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EE7B" w14:textId="32388CB7" w:rsidR="004852AE" w:rsidRDefault="004358EB" w:rsidP="004852AE">
      <w:pPr>
        <w:keepNext/>
        <w:tabs>
          <w:tab w:val="left" w:pos="142"/>
          <w:tab w:val="left" w:pos="1134"/>
        </w:tabs>
        <w:ind w:right="2" w:firstLine="709"/>
        <w:jc w:val="right"/>
      </w:pPr>
      <w:bookmarkStart w:id="0" w:name="_gjdgxs" w:colFirst="0" w:colLast="0"/>
      <w:bookmarkEnd w:id="0"/>
      <w:r w:rsidRPr="005C3806">
        <w:t xml:space="preserve">Administracinė byla Nr. </w:t>
      </w:r>
      <w:r w:rsidR="00F7011E" w:rsidRPr="00F7011E">
        <w:t>eAS-718-463/2026</w:t>
      </w:r>
    </w:p>
    <w:p w14:paraId="7252AE85" w14:textId="77777777" w:rsidR="00F7011E" w:rsidRDefault="004358EB" w:rsidP="00CE2C59">
      <w:pPr>
        <w:keepNext/>
        <w:tabs>
          <w:tab w:val="left" w:pos="142"/>
          <w:tab w:val="left" w:pos="1134"/>
        </w:tabs>
        <w:ind w:right="2" w:firstLine="709"/>
        <w:jc w:val="right"/>
      </w:pPr>
      <w:r w:rsidRPr="005C3806">
        <w:t xml:space="preserve">Teisminio proceso Nr. </w:t>
      </w:r>
      <w:bookmarkStart w:id="1" w:name="_30j0zll" w:colFirst="0" w:colLast="0"/>
      <w:bookmarkEnd w:id="1"/>
      <w:r w:rsidR="00F7011E" w:rsidRPr="00F7011E">
        <w:t>3-61-3-04058-2024-8</w:t>
      </w:r>
    </w:p>
    <w:p w14:paraId="5D8487F5" w14:textId="085AB35A" w:rsidR="003B5A7E" w:rsidRDefault="004358EB" w:rsidP="00CE2C59">
      <w:pPr>
        <w:keepNext/>
        <w:tabs>
          <w:tab w:val="left" w:pos="142"/>
          <w:tab w:val="left" w:pos="1134"/>
        </w:tabs>
        <w:ind w:right="2" w:firstLine="709"/>
        <w:jc w:val="right"/>
      </w:pPr>
      <w:r w:rsidRPr="005C3806">
        <w:t>Procesinio sprendimo kategorij</w:t>
      </w:r>
      <w:r w:rsidR="00F1440A">
        <w:t>os: 48; 53.5</w:t>
      </w:r>
    </w:p>
    <w:p w14:paraId="3F004494" w14:textId="1B9BC1BB" w:rsidR="007E5378" w:rsidRDefault="002255AD" w:rsidP="002255AD">
      <w:pPr>
        <w:ind w:right="2"/>
        <w:jc w:val="right"/>
      </w:pPr>
      <w:r>
        <w:t xml:space="preserve"> (S) </w:t>
      </w:r>
    </w:p>
    <w:p w14:paraId="2D5C14DF" w14:textId="77777777" w:rsidR="002255AD" w:rsidRPr="005C3806" w:rsidRDefault="002255AD">
      <w:pPr>
        <w:ind w:right="2"/>
        <w:jc w:val="right"/>
      </w:pPr>
    </w:p>
    <w:p w14:paraId="5697D002" w14:textId="77777777" w:rsidR="003B5A7E" w:rsidRPr="005C3806" w:rsidRDefault="004358EB">
      <w:pPr>
        <w:tabs>
          <w:tab w:val="left" w:pos="142"/>
          <w:tab w:val="left" w:pos="1134"/>
        </w:tabs>
        <w:ind w:right="2"/>
        <w:jc w:val="center"/>
      </w:pPr>
      <w:r w:rsidRPr="005C3806">
        <w:rPr>
          <w:noProof/>
        </w:rPr>
        <w:drawing>
          <wp:inline distT="0" distB="0" distL="0" distR="0" wp14:anchorId="7A3C2CEF" wp14:editId="7194B3FF">
            <wp:extent cx="524969" cy="59564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24969" cy="595640"/>
                    </a:xfrm>
                    <a:prstGeom prst="rect">
                      <a:avLst/>
                    </a:prstGeom>
                    <a:ln/>
                  </pic:spPr>
                </pic:pic>
              </a:graphicData>
            </a:graphic>
          </wp:inline>
        </w:drawing>
      </w:r>
    </w:p>
    <w:p w14:paraId="1913C6AE" w14:textId="77777777" w:rsidR="003B5A7E" w:rsidRPr="005C3806" w:rsidRDefault="003B5A7E">
      <w:pPr>
        <w:tabs>
          <w:tab w:val="left" w:pos="142"/>
          <w:tab w:val="left" w:pos="1134"/>
        </w:tabs>
        <w:ind w:right="2"/>
        <w:jc w:val="center"/>
      </w:pPr>
    </w:p>
    <w:p w14:paraId="26B9AE8B" w14:textId="77777777" w:rsidR="003B5A7E" w:rsidRPr="005C3806" w:rsidRDefault="004358EB">
      <w:pPr>
        <w:tabs>
          <w:tab w:val="left" w:pos="142"/>
          <w:tab w:val="left" w:pos="1134"/>
        </w:tabs>
        <w:ind w:right="2"/>
        <w:jc w:val="center"/>
        <w:rPr>
          <w:b/>
        </w:rPr>
      </w:pPr>
      <w:r w:rsidRPr="005C3806">
        <w:rPr>
          <w:b/>
        </w:rPr>
        <w:t>LIETUVOS VYRIAUSIASIS ADMINISTRACINIS TEISMAS</w:t>
      </w:r>
    </w:p>
    <w:p w14:paraId="3C69E037" w14:textId="77777777" w:rsidR="003B5A7E" w:rsidRPr="005C3806" w:rsidRDefault="003B5A7E">
      <w:pPr>
        <w:tabs>
          <w:tab w:val="left" w:pos="142"/>
          <w:tab w:val="left" w:pos="1134"/>
        </w:tabs>
        <w:ind w:right="2"/>
        <w:jc w:val="center"/>
      </w:pPr>
    </w:p>
    <w:p w14:paraId="44CB7007" w14:textId="77777777" w:rsidR="003B5A7E" w:rsidRPr="005C3806" w:rsidRDefault="004358EB">
      <w:pPr>
        <w:ind w:right="2"/>
        <w:jc w:val="center"/>
        <w:rPr>
          <w:b/>
        </w:rPr>
      </w:pPr>
      <w:r w:rsidRPr="005C3806">
        <w:rPr>
          <w:b/>
        </w:rPr>
        <w:t xml:space="preserve">N U T A R T I S </w:t>
      </w:r>
    </w:p>
    <w:p w14:paraId="4B959269" w14:textId="77777777" w:rsidR="003B5A7E" w:rsidRPr="005C3806" w:rsidRDefault="003B5A7E">
      <w:pPr>
        <w:tabs>
          <w:tab w:val="left" w:pos="142"/>
          <w:tab w:val="left" w:pos="1134"/>
        </w:tabs>
        <w:ind w:right="2"/>
        <w:jc w:val="center"/>
      </w:pPr>
    </w:p>
    <w:p w14:paraId="441EA621" w14:textId="427DDBD8" w:rsidR="003B5A7E" w:rsidRPr="00BA31F6" w:rsidRDefault="004358EB">
      <w:pPr>
        <w:tabs>
          <w:tab w:val="left" w:pos="142"/>
          <w:tab w:val="left" w:pos="1134"/>
        </w:tabs>
        <w:ind w:right="2"/>
        <w:jc w:val="center"/>
      </w:pPr>
      <w:r w:rsidRPr="005C3806">
        <w:t>202</w:t>
      </w:r>
      <w:r w:rsidR="00B410CB">
        <w:t>6</w:t>
      </w:r>
      <w:r w:rsidRPr="005C3806">
        <w:t xml:space="preserve"> m. </w:t>
      </w:r>
      <w:r w:rsidR="00F7011E">
        <w:t>birželio 17</w:t>
      </w:r>
      <w:r w:rsidR="00B7079A">
        <w:t xml:space="preserve"> </w:t>
      </w:r>
      <w:r w:rsidRPr="00BA31F6">
        <w:t>d.</w:t>
      </w:r>
    </w:p>
    <w:p w14:paraId="66D80D9D" w14:textId="77777777" w:rsidR="003B5A7E" w:rsidRPr="005C3806" w:rsidRDefault="004358EB">
      <w:pPr>
        <w:tabs>
          <w:tab w:val="left" w:pos="142"/>
          <w:tab w:val="left" w:pos="1134"/>
        </w:tabs>
        <w:ind w:right="2"/>
        <w:jc w:val="center"/>
      </w:pPr>
      <w:r w:rsidRPr="00BA31F6">
        <w:t>Vilnius</w:t>
      </w:r>
    </w:p>
    <w:p w14:paraId="098F20C5" w14:textId="77777777" w:rsidR="003B5A7E" w:rsidRPr="005C3806" w:rsidRDefault="003B5A7E">
      <w:pPr>
        <w:tabs>
          <w:tab w:val="left" w:pos="142"/>
          <w:tab w:val="left" w:pos="1134"/>
        </w:tabs>
        <w:ind w:right="2"/>
        <w:jc w:val="center"/>
      </w:pPr>
    </w:p>
    <w:p w14:paraId="1895F0E3" w14:textId="113D30AA" w:rsidR="00FA6788" w:rsidRPr="005C3806" w:rsidRDefault="00F7011E" w:rsidP="00882E89">
      <w:pPr>
        <w:ind w:right="2" w:firstLine="705"/>
        <w:contextualSpacing/>
        <w:jc w:val="both"/>
      </w:pPr>
      <w:bookmarkStart w:id="2" w:name="_1fob9te" w:colFirst="0" w:colLast="0"/>
      <w:bookmarkEnd w:id="2"/>
      <w:r w:rsidRPr="00F7011E">
        <w:t xml:space="preserve">Lietuvos vyriausiojo administracinio teismo teisėjų kolegija, susidedanti iš teisėjų Laimučio </w:t>
      </w:r>
      <w:proofErr w:type="spellStart"/>
      <w:r w:rsidRPr="00F7011E">
        <w:t>Alechnavičiaus</w:t>
      </w:r>
      <w:proofErr w:type="spellEnd"/>
      <w:r w:rsidRPr="00F7011E">
        <w:t xml:space="preserve"> (kolegijos pirmininkas), Ramūno Gadliausko ir Jolantos </w:t>
      </w:r>
      <w:proofErr w:type="spellStart"/>
      <w:r w:rsidRPr="00F7011E">
        <w:t>Malijauskienės</w:t>
      </w:r>
      <w:proofErr w:type="spellEnd"/>
      <w:r w:rsidRPr="00F7011E">
        <w:t xml:space="preserve"> (pranešėja),</w:t>
      </w:r>
    </w:p>
    <w:p w14:paraId="553C8FA1" w14:textId="1C95D20C" w:rsidR="003B5A7E" w:rsidRDefault="004358EB" w:rsidP="00CE2C59">
      <w:pPr>
        <w:tabs>
          <w:tab w:val="left" w:pos="1134"/>
        </w:tabs>
        <w:ind w:right="2" w:firstLine="705"/>
        <w:contextualSpacing/>
        <w:jc w:val="both"/>
      </w:pPr>
      <w:r w:rsidRPr="005C3806">
        <w:t>teismo posėdyje apeliacin</w:t>
      </w:r>
      <w:r w:rsidR="00995D1A">
        <w:t>e</w:t>
      </w:r>
      <w:r w:rsidRPr="005C3806">
        <w:t xml:space="preserve"> rašytinio proceso tvarka </w:t>
      </w:r>
      <w:r w:rsidR="00FA3A62">
        <w:t xml:space="preserve">išnagrinėjo administracinę bylą pagal </w:t>
      </w:r>
      <w:r w:rsidR="00F7011E" w:rsidRPr="00F7011E">
        <w:t xml:space="preserve">trečiojo suinteresuoto asmens </w:t>
      </w:r>
      <w:bookmarkStart w:id="3" w:name="Buk_1"/>
      <w:r w:rsidR="002255AD" w:rsidRPr="002255AD">
        <w:t xml:space="preserve">A. B. </w:t>
      </w:r>
      <w:bookmarkEnd w:id="3"/>
      <w:r w:rsidR="00F7011E" w:rsidRPr="00F7011E">
        <w:t>atskirąjį skundą dėl Regionų administracinio teismo 2025 m. gruodžio 17 d. nutarties administracinėje byloje pagal pareiškėjo uždarosios akcinės bendrovės „</w:t>
      </w:r>
      <w:proofErr w:type="spellStart"/>
      <w:r w:rsidR="00F7011E" w:rsidRPr="00F7011E">
        <w:t>Tete</w:t>
      </w:r>
      <w:proofErr w:type="spellEnd"/>
      <w:r w:rsidR="00F7011E" w:rsidRPr="00F7011E">
        <w:t>-a-</w:t>
      </w:r>
      <w:proofErr w:type="spellStart"/>
      <w:r w:rsidR="00F7011E" w:rsidRPr="00F7011E">
        <w:t>tete</w:t>
      </w:r>
      <w:proofErr w:type="spellEnd"/>
      <w:r w:rsidR="00F7011E" w:rsidRPr="00F7011E">
        <w:t>“ kazino skundą atsakov</w:t>
      </w:r>
      <w:r w:rsidR="00F7011E">
        <w:t>u</w:t>
      </w:r>
      <w:r w:rsidR="00F7011E" w:rsidRPr="00F7011E">
        <w:t>i Lošimų priežiūros tarnybai prie Lietuvos Respublikos finansų ministerijos</w:t>
      </w:r>
      <w:r w:rsidR="00F7011E">
        <w:t xml:space="preserve"> (</w:t>
      </w:r>
      <w:r w:rsidR="00F7011E" w:rsidRPr="00F7011E">
        <w:t>trečiasis suinteresuotas asmuo</w:t>
      </w:r>
      <w:r w:rsidR="00263BFA">
        <w:t xml:space="preserve"> –</w:t>
      </w:r>
      <w:r w:rsidR="00F7011E" w:rsidRPr="00F7011E">
        <w:t xml:space="preserve"> </w:t>
      </w:r>
      <w:bookmarkStart w:id="4" w:name="Buk_12"/>
      <w:r w:rsidR="002255AD" w:rsidRPr="002255AD">
        <w:t>A. B.</w:t>
      </w:r>
      <w:bookmarkEnd w:id="4"/>
      <w:r w:rsidR="00F7011E">
        <w:t>),</w:t>
      </w:r>
      <w:r w:rsidR="00F7011E" w:rsidRPr="00F7011E">
        <w:t xml:space="preserve"> dėl įsakymo panaikinimo</w:t>
      </w:r>
      <w:r w:rsidR="00CE2C59">
        <w:t>.</w:t>
      </w:r>
    </w:p>
    <w:p w14:paraId="76335CC9" w14:textId="77777777" w:rsidR="00220679" w:rsidRPr="005C3806" w:rsidRDefault="00220679" w:rsidP="00CE2C59">
      <w:pPr>
        <w:tabs>
          <w:tab w:val="left" w:pos="1134"/>
        </w:tabs>
        <w:ind w:right="2" w:firstLine="705"/>
        <w:contextualSpacing/>
        <w:jc w:val="both"/>
      </w:pPr>
    </w:p>
    <w:p w14:paraId="0F5EF486" w14:textId="77777777" w:rsidR="003B5A7E" w:rsidRPr="005C3806" w:rsidRDefault="004358EB" w:rsidP="00882E89">
      <w:pPr>
        <w:tabs>
          <w:tab w:val="left" w:pos="142"/>
          <w:tab w:val="left" w:pos="1134"/>
        </w:tabs>
        <w:ind w:right="2" w:firstLine="709"/>
        <w:contextualSpacing/>
        <w:jc w:val="both"/>
      </w:pPr>
      <w:r w:rsidRPr="005C3806">
        <w:t>Teisėjų kolegija</w:t>
      </w:r>
    </w:p>
    <w:p w14:paraId="48D774C6" w14:textId="77777777" w:rsidR="003B5A7E" w:rsidRPr="005C3806" w:rsidRDefault="003B5A7E" w:rsidP="00882E89">
      <w:pPr>
        <w:tabs>
          <w:tab w:val="left" w:pos="142"/>
          <w:tab w:val="left" w:pos="1134"/>
        </w:tabs>
        <w:ind w:right="2"/>
        <w:contextualSpacing/>
        <w:jc w:val="both"/>
      </w:pPr>
    </w:p>
    <w:p w14:paraId="0CA79D56" w14:textId="77777777" w:rsidR="003B5A7E" w:rsidRPr="005C3806" w:rsidRDefault="004358EB" w:rsidP="00882E89">
      <w:pPr>
        <w:tabs>
          <w:tab w:val="left" w:pos="142"/>
          <w:tab w:val="left" w:pos="1134"/>
        </w:tabs>
        <w:ind w:right="2"/>
        <w:contextualSpacing/>
        <w:jc w:val="both"/>
      </w:pPr>
      <w:r w:rsidRPr="005C3806">
        <w:t>n u s t a t ė :</w:t>
      </w:r>
    </w:p>
    <w:p w14:paraId="5CA3C082" w14:textId="77777777" w:rsidR="00F52F97" w:rsidRPr="005C3806" w:rsidRDefault="00F52F97" w:rsidP="00882E89">
      <w:pPr>
        <w:tabs>
          <w:tab w:val="left" w:pos="142"/>
          <w:tab w:val="left" w:pos="1134"/>
        </w:tabs>
        <w:ind w:right="2"/>
        <w:contextualSpacing/>
        <w:jc w:val="both"/>
      </w:pPr>
    </w:p>
    <w:p w14:paraId="154B91B6" w14:textId="647F5F6C" w:rsidR="003B5A7E" w:rsidRDefault="004358EB" w:rsidP="00882E89">
      <w:pPr>
        <w:tabs>
          <w:tab w:val="left" w:pos="142"/>
          <w:tab w:val="left" w:pos="1134"/>
        </w:tabs>
        <w:ind w:right="2"/>
        <w:contextualSpacing/>
        <w:jc w:val="center"/>
      </w:pPr>
      <w:r w:rsidRPr="005C3806">
        <w:t>I.</w:t>
      </w:r>
    </w:p>
    <w:p w14:paraId="057C9239" w14:textId="77777777" w:rsidR="008D4C58" w:rsidRPr="005C3806" w:rsidRDefault="008D4C58" w:rsidP="00882E89">
      <w:pPr>
        <w:tabs>
          <w:tab w:val="left" w:pos="142"/>
          <w:tab w:val="left" w:pos="1134"/>
        </w:tabs>
        <w:ind w:right="2"/>
        <w:contextualSpacing/>
        <w:jc w:val="center"/>
      </w:pPr>
    </w:p>
    <w:p w14:paraId="0B25407F" w14:textId="1BA91938" w:rsidR="00BE04C3" w:rsidRDefault="00220679" w:rsidP="00C6776C">
      <w:pPr>
        <w:tabs>
          <w:tab w:val="left" w:pos="993"/>
        </w:tabs>
        <w:ind w:right="2" w:firstLine="705"/>
        <w:contextualSpacing/>
        <w:jc w:val="both"/>
      </w:pPr>
      <w:r w:rsidRPr="00220679">
        <w:t xml:space="preserve">Pareiškėjas </w:t>
      </w:r>
      <w:r w:rsidR="00C6776C" w:rsidRPr="00C6776C">
        <w:t xml:space="preserve">uždaroji akcinė bendrovė </w:t>
      </w:r>
      <w:r w:rsidR="00C6776C">
        <w:t xml:space="preserve">(toliau – ir UAB) </w:t>
      </w:r>
      <w:r w:rsidR="00C6776C" w:rsidRPr="00C6776C">
        <w:t>„</w:t>
      </w:r>
      <w:proofErr w:type="spellStart"/>
      <w:r w:rsidR="00C6776C" w:rsidRPr="00C6776C">
        <w:t>Tete</w:t>
      </w:r>
      <w:proofErr w:type="spellEnd"/>
      <w:r w:rsidR="00C6776C" w:rsidRPr="00C6776C">
        <w:t>-a-</w:t>
      </w:r>
      <w:proofErr w:type="spellStart"/>
      <w:r w:rsidR="00C6776C" w:rsidRPr="00C6776C">
        <w:t>tete</w:t>
      </w:r>
      <w:proofErr w:type="spellEnd"/>
      <w:r w:rsidR="00C6776C" w:rsidRPr="00C6776C">
        <w:t>“</w:t>
      </w:r>
      <w:r w:rsidR="00C6776C">
        <w:t xml:space="preserve"> </w:t>
      </w:r>
      <w:r w:rsidR="00C6776C" w:rsidRPr="00C6776C">
        <w:t xml:space="preserve">kazino </w:t>
      </w:r>
      <w:r w:rsidR="00C6776C">
        <w:t xml:space="preserve">(toliau – ir pareiškėjas, </w:t>
      </w:r>
      <w:r w:rsidR="00C47CE1">
        <w:t>Bendrovė</w:t>
      </w:r>
      <w:r w:rsidR="00D93334">
        <w:t>, Kazino</w:t>
      </w:r>
      <w:r w:rsidR="00C6776C">
        <w:t xml:space="preserve">) </w:t>
      </w:r>
      <w:r w:rsidR="00C6776C" w:rsidRPr="00C6776C">
        <w:t>kreipėsi į teismą, prašydama</w:t>
      </w:r>
      <w:r w:rsidR="00C6776C">
        <w:t>s</w:t>
      </w:r>
      <w:r w:rsidR="00C6776C" w:rsidRPr="00C6776C">
        <w:t xml:space="preserve"> panaikinti atsakov</w:t>
      </w:r>
      <w:r w:rsidR="00C6776C">
        <w:t>o</w:t>
      </w:r>
      <w:r w:rsidR="00C6776C" w:rsidRPr="00C6776C">
        <w:t xml:space="preserve"> Lošimų priežiūros tarnybos prie Lietuvos Respublikos finansų ministerijos </w:t>
      </w:r>
      <w:r w:rsidR="00C6776C">
        <w:t xml:space="preserve">(toliau – ir atsakovas, Tarnyba) </w:t>
      </w:r>
      <w:r w:rsidR="00C6776C" w:rsidRPr="00C6776C">
        <w:t>direktoriaus 2024 m. birželio 27 d. įsakymą Nr. DIE-334 „Dėl atlikto UAB „</w:t>
      </w:r>
      <w:proofErr w:type="spellStart"/>
      <w:r w:rsidR="00C6776C" w:rsidRPr="00C6776C">
        <w:t>Tete</w:t>
      </w:r>
      <w:proofErr w:type="spellEnd"/>
      <w:r w:rsidR="00C6776C" w:rsidRPr="00C6776C">
        <w:t>-a-</w:t>
      </w:r>
      <w:proofErr w:type="spellStart"/>
      <w:r w:rsidR="00C6776C" w:rsidRPr="00C6776C">
        <w:t>tete</w:t>
      </w:r>
      <w:proofErr w:type="spellEnd"/>
      <w:r w:rsidR="00C6776C" w:rsidRPr="00C6776C">
        <w:t>“ kazino neplaninio specialiojo patikrinimo pagal 2023 m. gruodžio 14 d. pavedimą patikrinti Nr. PT-45</w:t>
      </w:r>
      <w:r w:rsidR="00C6776C">
        <w:t>“(toliau – ir Įsakymas)</w:t>
      </w:r>
      <w:r w:rsidR="00D93334">
        <w:t xml:space="preserve"> ir </w:t>
      </w:r>
      <w:r w:rsidR="00C6776C" w:rsidRPr="00C6776C">
        <w:t xml:space="preserve">panaikinti </w:t>
      </w:r>
      <w:r w:rsidR="00C6776C">
        <w:t>pareiškėjui</w:t>
      </w:r>
      <w:r w:rsidR="00C6776C" w:rsidRPr="00C6776C">
        <w:t xml:space="preserve"> skirtą 15 000 Eur baudą</w:t>
      </w:r>
      <w:r>
        <w:t>.</w:t>
      </w:r>
    </w:p>
    <w:p w14:paraId="620F0B0E" w14:textId="3291FF86" w:rsidR="00024A7A" w:rsidRDefault="00C6776C" w:rsidP="00220679">
      <w:pPr>
        <w:tabs>
          <w:tab w:val="left" w:pos="993"/>
        </w:tabs>
        <w:ind w:right="2" w:firstLine="705"/>
        <w:contextualSpacing/>
        <w:jc w:val="both"/>
      </w:pPr>
      <w:r>
        <w:t>Pirmosios instancijos teisme</w:t>
      </w:r>
      <w:r w:rsidRPr="00C6776C">
        <w:t xml:space="preserve"> 2025 m. gruodžio 15 d. gauta</w:t>
      </w:r>
      <w:r w:rsidR="00653D13">
        <w:t>s</w:t>
      </w:r>
      <w:r w:rsidRPr="00C6776C">
        <w:t xml:space="preserve"> </w:t>
      </w:r>
      <w:r w:rsidR="00653D13">
        <w:t xml:space="preserve">pareiškėjo prašymas patvirtinti pareiškėjo atstovo ir atsakovo atstovo </w:t>
      </w:r>
      <w:r w:rsidRPr="00C6776C">
        <w:t>pasirašyt</w:t>
      </w:r>
      <w:r w:rsidR="00653D13">
        <w:t>ą</w:t>
      </w:r>
      <w:r w:rsidRPr="00C6776C">
        <w:t xml:space="preserve"> taikos sutart</w:t>
      </w:r>
      <w:r w:rsidR="00653D13">
        <w:t xml:space="preserve">į ir </w:t>
      </w:r>
      <w:r w:rsidR="00653D13" w:rsidRPr="00C6776C">
        <w:t xml:space="preserve">nutraukti </w:t>
      </w:r>
      <w:r w:rsidRPr="00C6776C">
        <w:t>administracinę bylą.</w:t>
      </w:r>
    </w:p>
    <w:p w14:paraId="12439CE5" w14:textId="77777777" w:rsidR="00860018" w:rsidRDefault="00860018" w:rsidP="00882E89">
      <w:pPr>
        <w:tabs>
          <w:tab w:val="left" w:pos="142"/>
          <w:tab w:val="left" w:pos="1134"/>
        </w:tabs>
        <w:ind w:right="2"/>
        <w:contextualSpacing/>
        <w:jc w:val="center"/>
      </w:pPr>
    </w:p>
    <w:p w14:paraId="2479B1F4" w14:textId="58BAD328" w:rsidR="003B5A7E" w:rsidRPr="005C3806" w:rsidRDefault="004358EB" w:rsidP="00882E89">
      <w:pPr>
        <w:tabs>
          <w:tab w:val="left" w:pos="142"/>
          <w:tab w:val="left" w:pos="1134"/>
        </w:tabs>
        <w:ind w:right="2"/>
        <w:contextualSpacing/>
        <w:jc w:val="center"/>
      </w:pPr>
      <w:r w:rsidRPr="005C3806">
        <w:t>II.</w:t>
      </w:r>
    </w:p>
    <w:p w14:paraId="6BACACFD" w14:textId="77777777" w:rsidR="003B5A7E" w:rsidRPr="005C3806" w:rsidRDefault="003B5A7E" w:rsidP="00882E89">
      <w:pPr>
        <w:tabs>
          <w:tab w:val="left" w:pos="142"/>
          <w:tab w:val="left" w:pos="1134"/>
        </w:tabs>
        <w:ind w:right="2" w:firstLine="709"/>
        <w:contextualSpacing/>
        <w:jc w:val="both"/>
      </w:pPr>
    </w:p>
    <w:p w14:paraId="6CCA9AD2" w14:textId="29D997A8" w:rsidR="00C6776C" w:rsidRDefault="004358EB" w:rsidP="00C6776C">
      <w:pPr>
        <w:shd w:val="clear" w:color="auto" w:fill="FFFFFF"/>
        <w:tabs>
          <w:tab w:val="left" w:pos="142"/>
          <w:tab w:val="left" w:pos="1275"/>
          <w:tab w:val="left" w:pos="1140"/>
        </w:tabs>
        <w:ind w:right="2" w:firstLine="709"/>
        <w:contextualSpacing/>
        <w:jc w:val="both"/>
      </w:pPr>
      <w:r w:rsidRPr="005C3806">
        <w:t>Regionų administracin</w:t>
      </w:r>
      <w:r w:rsidR="00024A7A">
        <w:t>i</w:t>
      </w:r>
      <w:r w:rsidR="00C6776C">
        <w:t>s</w:t>
      </w:r>
      <w:r w:rsidRPr="005C3806">
        <w:t xml:space="preserve"> teism</w:t>
      </w:r>
      <w:r w:rsidR="00C6776C">
        <w:t>as</w:t>
      </w:r>
      <w:r w:rsidR="00024A7A">
        <w:t xml:space="preserve"> </w:t>
      </w:r>
      <w:r w:rsidRPr="005C3806">
        <w:t>202</w:t>
      </w:r>
      <w:r w:rsidR="00C6776C">
        <w:t>5</w:t>
      </w:r>
      <w:r w:rsidRPr="005C3806">
        <w:t xml:space="preserve"> m. </w:t>
      </w:r>
      <w:r w:rsidR="00C6776C">
        <w:t>gruodžio 17</w:t>
      </w:r>
      <w:r w:rsidR="00473B17">
        <w:t xml:space="preserve"> d.</w:t>
      </w:r>
      <w:r w:rsidRPr="005C3806">
        <w:t xml:space="preserve"> nutartim</w:t>
      </w:r>
      <w:r w:rsidR="004B4CD5">
        <w:t>i</w:t>
      </w:r>
      <w:r w:rsidR="00653D13">
        <w:t xml:space="preserve"> </w:t>
      </w:r>
      <w:r w:rsidR="00C6776C">
        <w:t>patvirtino pareiškėjo UAB „</w:t>
      </w:r>
      <w:proofErr w:type="spellStart"/>
      <w:r w:rsidR="00C6776C">
        <w:t>Tete</w:t>
      </w:r>
      <w:proofErr w:type="spellEnd"/>
      <w:r w:rsidR="00C6776C">
        <w:t>-a-</w:t>
      </w:r>
      <w:proofErr w:type="spellStart"/>
      <w:r w:rsidR="00C6776C">
        <w:t>tete</w:t>
      </w:r>
      <w:proofErr w:type="spellEnd"/>
      <w:r w:rsidR="00C6776C">
        <w:t xml:space="preserve">“ kazino direktoriaus </w:t>
      </w:r>
      <w:bookmarkStart w:id="5" w:name="Buk_20"/>
      <w:r w:rsidR="002255AD" w:rsidRPr="002255AD">
        <w:t xml:space="preserve">A. G. </w:t>
      </w:r>
      <w:bookmarkEnd w:id="5"/>
      <w:r w:rsidR="00C6776C">
        <w:t xml:space="preserve">ir atsakovo Tarnybos direktoriaus </w:t>
      </w:r>
      <w:bookmarkStart w:id="6" w:name="Buk_21"/>
      <w:r w:rsidR="002255AD" w:rsidRPr="002255AD">
        <w:t xml:space="preserve">V. D. </w:t>
      </w:r>
      <w:bookmarkEnd w:id="6"/>
      <w:r w:rsidR="00C6776C">
        <w:t xml:space="preserve">pasirašytą 2025 m. gruodžio 10 d. taikos sutartį (toliau – ir </w:t>
      </w:r>
      <w:r w:rsidR="00D93334">
        <w:t>T</w:t>
      </w:r>
      <w:r w:rsidR="00C6776C">
        <w:t xml:space="preserve">aikos sutartis) tokiomis sąlygomis: </w:t>
      </w:r>
    </w:p>
    <w:p w14:paraId="33A2579A" w14:textId="376B825D" w:rsidR="00C6776C" w:rsidRDefault="00C6776C" w:rsidP="00653D13">
      <w:pPr>
        <w:shd w:val="clear" w:color="auto" w:fill="FFFFFF"/>
        <w:tabs>
          <w:tab w:val="left" w:pos="142"/>
          <w:tab w:val="left" w:pos="993"/>
          <w:tab w:val="left" w:pos="1140"/>
        </w:tabs>
        <w:ind w:right="2" w:firstLine="709"/>
        <w:contextualSpacing/>
        <w:jc w:val="both"/>
      </w:pPr>
      <w:r>
        <w:t>1.</w:t>
      </w:r>
      <w:r>
        <w:tab/>
        <w:t>Taikos sutarties tikslas yra bendru sutarimu taikiai išspręsti visą tarp atsakovo ir pareiškėjo administracinėje byloje kilusį ginčą.</w:t>
      </w:r>
    </w:p>
    <w:p w14:paraId="76077A18" w14:textId="6184391D" w:rsidR="00C6776C" w:rsidRDefault="00C6776C" w:rsidP="00653D13">
      <w:pPr>
        <w:shd w:val="clear" w:color="auto" w:fill="FFFFFF"/>
        <w:tabs>
          <w:tab w:val="left" w:pos="142"/>
          <w:tab w:val="left" w:pos="993"/>
          <w:tab w:val="left" w:pos="1140"/>
        </w:tabs>
        <w:ind w:right="2" w:firstLine="709"/>
        <w:contextualSpacing/>
        <w:jc w:val="both"/>
      </w:pPr>
      <w:r>
        <w:t>2.</w:t>
      </w:r>
      <w:r>
        <w:tab/>
        <w:t xml:space="preserve">Šalys susitaria, kad pareiškėjas atsisako visų reikalavimų ir prašymų administracinėje byloje, o atsakovas panaikina Tarnybos direktoriaus 2024 m. birželio 27 d. Įsakymą geruoju – nuo šios </w:t>
      </w:r>
      <w:r w:rsidR="00D93334">
        <w:t>T</w:t>
      </w:r>
      <w:r>
        <w:t xml:space="preserve">aikos sutarties patvirtinimo Regionų administracinio teismo nutartimi dienos ginčijamas </w:t>
      </w:r>
      <w:r w:rsidR="00D93334">
        <w:t>Į</w:t>
      </w:r>
      <w:r>
        <w:t xml:space="preserve">sakymas laikomas negaliojančiu. Atsakovas turi teisę ir pareigą priimti visus būtinus aktus, kurie pagal atsakovui taikomas tvarkas būtini įforminti </w:t>
      </w:r>
      <w:r w:rsidR="00D93334">
        <w:t>Į</w:t>
      </w:r>
      <w:r>
        <w:t>sakymo negaliojimą.</w:t>
      </w:r>
    </w:p>
    <w:p w14:paraId="17E3F20B" w14:textId="77777777" w:rsidR="00C6776C" w:rsidRDefault="00C6776C" w:rsidP="00653D13">
      <w:pPr>
        <w:shd w:val="clear" w:color="auto" w:fill="FFFFFF"/>
        <w:tabs>
          <w:tab w:val="left" w:pos="142"/>
          <w:tab w:val="left" w:pos="993"/>
          <w:tab w:val="left" w:pos="1140"/>
        </w:tabs>
        <w:ind w:right="2" w:firstLine="709"/>
        <w:contextualSpacing/>
        <w:jc w:val="both"/>
      </w:pPr>
      <w:r>
        <w:lastRenderedPageBreak/>
        <w:t>3.</w:t>
      </w:r>
      <w:r>
        <w:tab/>
        <w:t>Šalys susitaria ir įsipareigoja pačios padengti administracinėje byloje savo patirtas bylinėjimosi išlaidas ir šių išlaidų atlyginimo viena iš kitos nereikalauja.</w:t>
      </w:r>
    </w:p>
    <w:p w14:paraId="1EC94546" w14:textId="69484A3E" w:rsidR="00C6776C" w:rsidRDefault="00C6776C" w:rsidP="00653D13">
      <w:pPr>
        <w:shd w:val="clear" w:color="auto" w:fill="FFFFFF"/>
        <w:tabs>
          <w:tab w:val="left" w:pos="142"/>
          <w:tab w:val="left" w:pos="993"/>
          <w:tab w:val="left" w:pos="1140"/>
        </w:tabs>
        <w:ind w:right="2" w:firstLine="709"/>
        <w:contextualSpacing/>
        <w:jc w:val="both"/>
      </w:pPr>
      <w:r>
        <w:t>4.</w:t>
      </w:r>
      <w:r>
        <w:tab/>
        <w:t xml:space="preserve">Šalys patvirtina, kad Regionų administraciniam teismui patvirtinus </w:t>
      </w:r>
      <w:r w:rsidR="00D93334">
        <w:t>T</w:t>
      </w:r>
      <w:r>
        <w:t xml:space="preserve">aikos sutartį visas šalių ginčas administracinėje byloje laikomas visiškai ir galutinai išspręstu. Šalys neturės viena kitai jokių pretenzijų ir (ar) reikalavimų dėl klausimų, susijusių su </w:t>
      </w:r>
      <w:r w:rsidR="00D93334">
        <w:t>Į</w:t>
      </w:r>
      <w:r>
        <w:t>sakymu.</w:t>
      </w:r>
    </w:p>
    <w:p w14:paraId="2A734787" w14:textId="7E097F9A" w:rsidR="00C6776C" w:rsidRDefault="00C6776C" w:rsidP="00653D13">
      <w:pPr>
        <w:shd w:val="clear" w:color="auto" w:fill="FFFFFF"/>
        <w:tabs>
          <w:tab w:val="left" w:pos="142"/>
          <w:tab w:val="left" w:pos="993"/>
          <w:tab w:val="left" w:pos="1140"/>
        </w:tabs>
        <w:ind w:right="2" w:firstLine="709"/>
        <w:contextualSpacing/>
        <w:jc w:val="both"/>
      </w:pPr>
      <w:r>
        <w:t>5.</w:t>
      </w:r>
      <w:r>
        <w:tab/>
        <w:t xml:space="preserve">Šalys susitaria, kad bet kuri šalis turi teisę vienašališkai pateikti </w:t>
      </w:r>
      <w:r w:rsidR="00D93334">
        <w:t>T</w:t>
      </w:r>
      <w:r>
        <w:t>aikos sutartį patvirtinti Regionų administraciniam teismui, ir kad jos patvirtinimui nėra reikalingas joks papildomas kitos šalies sutikimas ar patvirtinimas.</w:t>
      </w:r>
    </w:p>
    <w:p w14:paraId="238BC941" w14:textId="77777777" w:rsidR="00C6776C" w:rsidRDefault="00C6776C" w:rsidP="00653D13">
      <w:pPr>
        <w:shd w:val="clear" w:color="auto" w:fill="FFFFFF"/>
        <w:tabs>
          <w:tab w:val="left" w:pos="142"/>
          <w:tab w:val="left" w:pos="993"/>
          <w:tab w:val="left" w:pos="1140"/>
        </w:tabs>
        <w:ind w:right="2" w:firstLine="709"/>
        <w:contextualSpacing/>
        <w:jc w:val="both"/>
      </w:pPr>
      <w:r>
        <w:t>6.</w:t>
      </w:r>
      <w:r>
        <w:tab/>
        <w:t>Šalys susitaria ir patvirtina, kad administracinės bylos nutraukimas ir bet kokių kitų likusių procesinių klausimų išsprendimas bus atliekamas rašytinio proceso tvarka, šalims nedalyvaujant.</w:t>
      </w:r>
    </w:p>
    <w:p w14:paraId="44B499D4" w14:textId="10084261" w:rsidR="00C6776C" w:rsidRDefault="00C6776C" w:rsidP="00653D13">
      <w:pPr>
        <w:shd w:val="clear" w:color="auto" w:fill="FFFFFF"/>
        <w:tabs>
          <w:tab w:val="left" w:pos="142"/>
          <w:tab w:val="left" w:pos="993"/>
          <w:tab w:val="left" w:pos="1140"/>
        </w:tabs>
        <w:ind w:right="2" w:firstLine="709"/>
        <w:contextualSpacing/>
        <w:jc w:val="both"/>
      </w:pPr>
      <w:r>
        <w:t>7.</w:t>
      </w:r>
      <w:r>
        <w:tab/>
        <w:t xml:space="preserve">Šalys patvirtina, kad </w:t>
      </w:r>
      <w:r w:rsidR="00D93334">
        <w:t>T</w:t>
      </w:r>
      <w:r>
        <w:t xml:space="preserve">aikos sutarties sąlygos yra sąžiningos, atitinka šalių valią ir interesus, šalių yra tinkamai suprastos, taip pat </w:t>
      </w:r>
      <w:r w:rsidR="00D93334">
        <w:t>T</w:t>
      </w:r>
      <w:r>
        <w:t>aikos sutarties sąlygos neprieštarauja imperatyvioms įstatymų ir kitų teisės aktų nuostatoms, viešajam interesui, nepažeidžia jokių žinomų šalių ar trečiųjų asmenų teisėtų interesų. Taikos sutartis yra pasirašoma elektroniniais parašais.</w:t>
      </w:r>
    </w:p>
    <w:p w14:paraId="5F7E4456" w14:textId="3BA796C3" w:rsidR="00C6776C" w:rsidRDefault="00C6776C" w:rsidP="00653D13">
      <w:pPr>
        <w:shd w:val="clear" w:color="auto" w:fill="FFFFFF"/>
        <w:tabs>
          <w:tab w:val="left" w:pos="142"/>
          <w:tab w:val="left" w:pos="993"/>
          <w:tab w:val="left" w:pos="1140"/>
        </w:tabs>
        <w:ind w:right="2" w:firstLine="709"/>
        <w:contextualSpacing/>
        <w:jc w:val="both"/>
      </w:pPr>
      <w:r>
        <w:t>8.</w:t>
      </w:r>
      <w:r>
        <w:tab/>
        <w:t xml:space="preserve">Šalys susitaria, kad Regionų administraciniam teismui nepatvirtinus </w:t>
      </w:r>
      <w:r w:rsidR="00D93334">
        <w:t>T</w:t>
      </w:r>
      <w:r>
        <w:t xml:space="preserve">aikos sutarties, </w:t>
      </w:r>
      <w:r w:rsidR="00D93334">
        <w:t>T</w:t>
      </w:r>
      <w:r>
        <w:t xml:space="preserve">aikos sutartis laikoma negaliojančia visa apimtimi ir šalys negali vadovautis </w:t>
      </w:r>
      <w:r w:rsidR="00D93334">
        <w:t>T</w:t>
      </w:r>
      <w:r>
        <w:t>aikos sutarties sąlygomis ar derybų dėl jos metu gauta informacija administracinės bylos nagrinėjime.</w:t>
      </w:r>
    </w:p>
    <w:p w14:paraId="0A108DC8" w14:textId="30B0A8EE" w:rsidR="00C6776C" w:rsidRDefault="00C6776C" w:rsidP="00653D13">
      <w:pPr>
        <w:shd w:val="clear" w:color="auto" w:fill="FFFFFF"/>
        <w:tabs>
          <w:tab w:val="left" w:pos="142"/>
          <w:tab w:val="left" w:pos="993"/>
          <w:tab w:val="left" w:pos="1140"/>
        </w:tabs>
        <w:ind w:right="2" w:firstLine="709"/>
        <w:contextualSpacing/>
        <w:jc w:val="both"/>
      </w:pPr>
      <w:r>
        <w:t>9.</w:t>
      </w:r>
      <w:r>
        <w:tab/>
        <w:t xml:space="preserve">Kiekviena iš šalių turi teisę ir reikalingus įgaliojimus sudaryti </w:t>
      </w:r>
      <w:r w:rsidR="00D93334">
        <w:t>T</w:t>
      </w:r>
      <w:r>
        <w:t>aikos sutartį bei vykdyti taikos sutartimi prisiimtus įsipareigojimus pagal taikytinus įstatymus ir kitus teisės aktus.</w:t>
      </w:r>
    </w:p>
    <w:p w14:paraId="381BF2C5" w14:textId="77777777" w:rsidR="00C6776C" w:rsidRDefault="00C6776C" w:rsidP="00653D13">
      <w:pPr>
        <w:shd w:val="clear" w:color="auto" w:fill="FFFFFF"/>
        <w:tabs>
          <w:tab w:val="left" w:pos="142"/>
          <w:tab w:val="left" w:pos="1134"/>
        </w:tabs>
        <w:ind w:right="2" w:firstLine="709"/>
        <w:contextualSpacing/>
        <w:jc w:val="both"/>
      </w:pPr>
      <w:r>
        <w:t>10.</w:t>
      </w:r>
      <w:r>
        <w:tab/>
        <w:t>Taikos sutartis pasirašoma kvalifikuotais elektroniniais parašais ir kiekviena tinkamai pasirašytos sutarties kopija turi vienodą teisinę galią.</w:t>
      </w:r>
    </w:p>
    <w:p w14:paraId="233D437D" w14:textId="77777777" w:rsidR="00C6776C" w:rsidRDefault="00C6776C" w:rsidP="00653D13">
      <w:pPr>
        <w:shd w:val="clear" w:color="auto" w:fill="FFFFFF"/>
        <w:tabs>
          <w:tab w:val="left" w:pos="142"/>
          <w:tab w:val="left" w:pos="1134"/>
        </w:tabs>
        <w:ind w:right="2" w:firstLine="709"/>
        <w:contextualSpacing/>
        <w:jc w:val="both"/>
      </w:pPr>
      <w:r>
        <w:t>11.</w:t>
      </w:r>
      <w:r>
        <w:tab/>
        <w:t>Taikos sutartis įsigalioja nuo ją patvirtinančios Regionų administracinio teismo nutarties įsiteisėjimo.</w:t>
      </w:r>
    </w:p>
    <w:p w14:paraId="24E89B5F" w14:textId="5D1A09B0" w:rsidR="00F4786B" w:rsidRDefault="00C6776C" w:rsidP="00C6776C">
      <w:pPr>
        <w:shd w:val="clear" w:color="auto" w:fill="FFFFFF"/>
        <w:tabs>
          <w:tab w:val="left" w:pos="142"/>
          <w:tab w:val="left" w:pos="1275"/>
          <w:tab w:val="left" w:pos="1140"/>
        </w:tabs>
        <w:ind w:right="2" w:firstLine="709"/>
        <w:contextualSpacing/>
        <w:jc w:val="both"/>
      </w:pPr>
      <w:r>
        <w:t>Pirmosios instancijos teismas taip pat nutraukė administracinę bylą Nr. eI2-2380-1064/2025 ir išaiškino šalims, kad bylą nutraukus, vėl kreiptis į teismą dėl ginčo tarp tų pačių ginčo šalių, dėl to paties dalyko ir tuo pačiu pagrindu neleidžiama.</w:t>
      </w:r>
    </w:p>
    <w:p w14:paraId="47FFA08C" w14:textId="257F3736" w:rsidR="00C6776C" w:rsidRDefault="00C6776C" w:rsidP="00C6776C">
      <w:pPr>
        <w:shd w:val="clear" w:color="auto" w:fill="FFFFFF"/>
        <w:tabs>
          <w:tab w:val="left" w:pos="142"/>
          <w:tab w:val="left" w:pos="1275"/>
          <w:tab w:val="left" w:pos="1140"/>
        </w:tabs>
        <w:ind w:right="2" w:firstLine="709"/>
        <w:contextualSpacing/>
        <w:jc w:val="both"/>
      </w:pPr>
      <w:r>
        <w:t>Tesimas įvertino Lietuvos Respublikos administracinių bylų teisenos įstatymo (toliau – ir ABTĮ) 51 straipsnio 1 ir 2 dalių nuostatas.</w:t>
      </w:r>
    </w:p>
    <w:p w14:paraId="14A3D6BF" w14:textId="2BF86F92" w:rsidR="00C6776C" w:rsidRDefault="00C6776C" w:rsidP="00C6776C">
      <w:pPr>
        <w:shd w:val="clear" w:color="auto" w:fill="FFFFFF"/>
        <w:tabs>
          <w:tab w:val="left" w:pos="142"/>
          <w:tab w:val="left" w:pos="1275"/>
          <w:tab w:val="left" w:pos="1140"/>
        </w:tabs>
        <w:ind w:right="2" w:firstLine="709"/>
        <w:contextualSpacing/>
        <w:jc w:val="both"/>
      </w:pPr>
      <w:r>
        <w:t xml:space="preserve">Teismas nustatė, kad </w:t>
      </w:r>
      <w:r w:rsidR="00D93334">
        <w:t>T</w:t>
      </w:r>
      <w:r>
        <w:t>aikos sutartis neprieštarauja imperatyvioms įstatymų ir kitų teisės aktų nuostatoms, viešajam interesui, nepažeidžia trečiųjų suinteresuotų asmenų teisių ar teisėtų interesų; o bylos šalims žinomos bylos nutraukimo pasekmės.</w:t>
      </w:r>
    </w:p>
    <w:p w14:paraId="6F3FE13D" w14:textId="5E9E2B97" w:rsidR="00C6776C" w:rsidRDefault="00C6776C" w:rsidP="00C6776C">
      <w:pPr>
        <w:shd w:val="clear" w:color="auto" w:fill="FFFFFF"/>
        <w:tabs>
          <w:tab w:val="left" w:pos="142"/>
          <w:tab w:val="left" w:pos="1275"/>
          <w:tab w:val="left" w:pos="1140"/>
        </w:tabs>
        <w:ind w:right="2" w:firstLine="709"/>
        <w:contextualSpacing/>
        <w:jc w:val="both"/>
      </w:pPr>
      <w:r>
        <w:t xml:space="preserve">Teismas konstatavo, kad egzistuoja teisinės sąlygos patvirtinti pateiktą </w:t>
      </w:r>
      <w:r w:rsidR="00D93334">
        <w:t>T</w:t>
      </w:r>
      <w:r>
        <w:t>aikos sutartį ir bylą nutraukti (ABTĮ 103 str. 5 p.).</w:t>
      </w:r>
    </w:p>
    <w:p w14:paraId="55049DCF" w14:textId="77777777" w:rsidR="00C6776C" w:rsidRDefault="00C6776C" w:rsidP="00C6776C">
      <w:pPr>
        <w:shd w:val="clear" w:color="auto" w:fill="FFFFFF"/>
        <w:tabs>
          <w:tab w:val="left" w:pos="142"/>
          <w:tab w:val="left" w:pos="1275"/>
          <w:tab w:val="left" w:pos="1140"/>
        </w:tabs>
        <w:ind w:right="2" w:firstLine="709"/>
        <w:contextualSpacing/>
        <w:jc w:val="both"/>
      </w:pPr>
    </w:p>
    <w:p w14:paraId="62C31C4C" w14:textId="05E73C49" w:rsidR="002B4EFB" w:rsidRDefault="002B4EFB" w:rsidP="00882E89">
      <w:pPr>
        <w:shd w:val="clear" w:color="auto" w:fill="FFFFFF"/>
        <w:tabs>
          <w:tab w:val="left" w:pos="142"/>
          <w:tab w:val="left" w:pos="1275"/>
          <w:tab w:val="left" w:pos="1140"/>
        </w:tabs>
        <w:ind w:right="2" w:firstLine="4678"/>
        <w:contextualSpacing/>
        <w:jc w:val="both"/>
      </w:pPr>
      <w:r>
        <w:t>III.</w:t>
      </w:r>
    </w:p>
    <w:p w14:paraId="4D8B2533" w14:textId="77777777" w:rsidR="002B4EFB" w:rsidRPr="005C3806" w:rsidRDefault="002B4EFB" w:rsidP="00882E89">
      <w:pPr>
        <w:shd w:val="clear" w:color="auto" w:fill="FFFFFF"/>
        <w:tabs>
          <w:tab w:val="left" w:pos="142"/>
          <w:tab w:val="left" w:pos="1275"/>
          <w:tab w:val="left" w:pos="1140"/>
        </w:tabs>
        <w:ind w:right="2" w:firstLine="709"/>
        <w:contextualSpacing/>
        <w:jc w:val="both"/>
      </w:pPr>
    </w:p>
    <w:p w14:paraId="785486DF" w14:textId="371BD8BE" w:rsidR="002425E7" w:rsidRDefault="0010066B" w:rsidP="00882E89">
      <w:pPr>
        <w:tabs>
          <w:tab w:val="left" w:pos="142"/>
          <w:tab w:val="left" w:pos="851"/>
          <w:tab w:val="left" w:pos="1134"/>
        </w:tabs>
        <w:ind w:right="2" w:firstLine="709"/>
        <w:contextualSpacing/>
        <w:jc w:val="both"/>
      </w:pPr>
      <w:r>
        <w:t xml:space="preserve">Trečiasis suinteresuotas asmuo </w:t>
      </w:r>
      <w:bookmarkStart w:id="7" w:name="Buk_13"/>
      <w:r w:rsidR="002255AD" w:rsidRPr="002255AD">
        <w:t xml:space="preserve">A. B. </w:t>
      </w:r>
      <w:bookmarkEnd w:id="7"/>
      <w:r>
        <w:t xml:space="preserve">(toliau – ir </w:t>
      </w:r>
      <w:bookmarkStart w:id="8" w:name="Buk_14"/>
      <w:r w:rsidR="002255AD" w:rsidRPr="002255AD">
        <w:t>A. B.</w:t>
      </w:r>
      <w:bookmarkEnd w:id="8"/>
      <w:r>
        <w:t xml:space="preserve">, suinteresuotas asmuo) </w:t>
      </w:r>
      <w:r w:rsidR="002A2C9C" w:rsidRPr="006001D1">
        <w:t xml:space="preserve">atskirajame skunde </w:t>
      </w:r>
      <w:r w:rsidR="00BB6D3B" w:rsidRPr="006001D1">
        <w:t>prašo</w:t>
      </w:r>
      <w:r w:rsidR="00443E28" w:rsidRPr="006001D1">
        <w:t xml:space="preserve"> </w:t>
      </w:r>
      <w:r w:rsidR="00AE7637" w:rsidRPr="00AE7637">
        <w:t xml:space="preserve">panaikinti Regionų administracinio teismo </w:t>
      </w:r>
      <w:r w:rsidRPr="0010066B">
        <w:t xml:space="preserve">2025 m. gruodžio 17 d. nutartį ir išspręsti klausimą iš esmės </w:t>
      </w:r>
      <w:r>
        <w:t>–</w:t>
      </w:r>
      <w:r w:rsidRPr="0010066B">
        <w:t xml:space="preserve"> pareiškėjo ir atsako</w:t>
      </w:r>
      <w:r>
        <w:t>vo</w:t>
      </w:r>
      <w:r w:rsidRPr="0010066B">
        <w:t xml:space="preserve"> 2025 m. gruodžio 10 d. taikos sutartį atsisakyti tvirtinti.</w:t>
      </w:r>
    </w:p>
    <w:p w14:paraId="14810038" w14:textId="17F3437A" w:rsidR="0010066B" w:rsidRDefault="002255AD" w:rsidP="0010066B">
      <w:pPr>
        <w:tabs>
          <w:tab w:val="left" w:pos="142"/>
          <w:tab w:val="left" w:pos="851"/>
          <w:tab w:val="left" w:pos="1134"/>
        </w:tabs>
        <w:ind w:firstLine="709"/>
        <w:jc w:val="both"/>
      </w:pPr>
      <w:bookmarkStart w:id="9" w:name="Buk_15"/>
      <w:r w:rsidRPr="002255AD">
        <w:t xml:space="preserve">A. B. </w:t>
      </w:r>
      <w:bookmarkEnd w:id="9"/>
      <w:r w:rsidR="0010066B">
        <w:t xml:space="preserve">nurodo, kad administraciniame procese teismo teisė tvirtinti taikos sutartį nėra absoliuti ir ribojama imperatyvių teisės normų. Pirmosios instancijos teismas, spręsdamas šalių prašymą patvirtinti taikos sutartį, neįvertino, ar šalių sudaryta </w:t>
      </w:r>
      <w:r w:rsidR="00D93334">
        <w:t>T</w:t>
      </w:r>
      <w:r w:rsidR="0010066B">
        <w:t>aikos sutartis neprieštarauja įstatymams ir kitoms teisės aktų nuostatoms, viešajam interesui bei ar nepažeidžia trečiųjų suinteresuotų asmenų teisių ir teisėtų interesų.</w:t>
      </w:r>
    </w:p>
    <w:p w14:paraId="0B5548F0" w14:textId="1525DDF3" w:rsidR="0010066B" w:rsidRDefault="0010066B" w:rsidP="0010066B">
      <w:pPr>
        <w:tabs>
          <w:tab w:val="left" w:pos="142"/>
          <w:tab w:val="left" w:pos="851"/>
          <w:tab w:val="left" w:pos="1134"/>
        </w:tabs>
        <w:ind w:firstLine="709"/>
        <w:jc w:val="both"/>
      </w:pPr>
      <w:r>
        <w:t>Suinteresuotas asmens paaiškina, kad n</w:t>
      </w:r>
      <w:r w:rsidRPr="0010066B">
        <w:t xml:space="preserve">agrinėjamu atveju administracinėje byloje ginčo objektas buvo </w:t>
      </w:r>
      <w:r>
        <w:t>Įsakymas</w:t>
      </w:r>
      <w:r w:rsidRPr="0010066B">
        <w:t xml:space="preserve">, kuriuo, išnagrinėjus lošėjo </w:t>
      </w:r>
      <w:bookmarkStart w:id="10" w:name="Buk_2"/>
      <w:r w:rsidR="002255AD" w:rsidRPr="002255AD">
        <w:t xml:space="preserve">A. B. </w:t>
      </w:r>
      <w:bookmarkEnd w:id="10"/>
      <w:r w:rsidRPr="0010066B">
        <w:t xml:space="preserve">pareiškimą (skundą), buvo konstatuotas </w:t>
      </w:r>
      <w:r w:rsidR="00D93334">
        <w:t>Kazino</w:t>
      </w:r>
      <w:r w:rsidRPr="0010066B">
        <w:t xml:space="preserve"> padarytas </w:t>
      </w:r>
      <w:r>
        <w:t>Lietuvos Respublikos a</w:t>
      </w:r>
      <w:r w:rsidRPr="0010066B">
        <w:t xml:space="preserve">zartinių lošimų įstatymo </w:t>
      </w:r>
      <w:r w:rsidR="00DC1BF2">
        <w:t xml:space="preserve">(toliau – ir ALĮ) </w:t>
      </w:r>
      <w:r w:rsidRPr="0010066B">
        <w:t xml:space="preserve">pažeidimas ir paskirta 15 000 Eur bauda. </w:t>
      </w:r>
      <w:r>
        <w:t>Šiuo Įsakymu</w:t>
      </w:r>
      <w:r w:rsidRPr="0010066B">
        <w:t xml:space="preserve"> įgyvendinta įstatyme nustatyta priežiūros funkcija ir pritaikyta valstybės sankcija už teisės pažeidimą, todėl tokio akto teisinis stabilumas ir jo panaikinimas negali būti grindžiami šalių tarpusavio susitarimu.</w:t>
      </w:r>
    </w:p>
    <w:p w14:paraId="0E408ECD" w14:textId="71E5F0A0" w:rsidR="0010066B" w:rsidRDefault="002255AD" w:rsidP="0010066B">
      <w:pPr>
        <w:tabs>
          <w:tab w:val="left" w:pos="142"/>
          <w:tab w:val="left" w:pos="851"/>
          <w:tab w:val="left" w:pos="1134"/>
        </w:tabs>
        <w:ind w:firstLine="709"/>
        <w:jc w:val="both"/>
      </w:pPr>
      <w:bookmarkStart w:id="11" w:name="Buk_16"/>
      <w:r w:rsidRPr="002255AD">
        <w:t>A. B.</w:t>
      </w:r>
      <w:bookmarkEnd w:id="11"/>
      <w:r w:rsidR="0010066B">
        <w:t xml:space="preserve">, vadovaudamasis </w:t>
      </w:r>
      <w:r w:rsidR="00D93334">
        <w:t>ALĮ</w:t>
      </w:r>
      <w:r w:rsidR="0010066B">
        <w:t xml:space="preserve"> nuostatomis, nurodo, kad Tarnybos </w:t>
      </w:r>
      <w:r w:rsidR="0010066B" w:rsidRPr="0010066B">
        <w:t xml:space="preserve">vykdomos funkcijos lošimų priežiūros srityje yra imperatyvaus pobūdžio, skirtos viešosios tvarkos, sąžiningos rinkos ir lošėjų </w:t>
      </w:r>
      <w:r w:rsidR="0010066B" w:rsidRPr="0010066B">
        <w:lastRenderedPageBreak/>
        <w:t xml:space="preserve">apsaugos užtikrinimui, o ne šalių tarpusavio interesų „subalansavimui“ taikos sutarties būdu. Todėl situacija, kai administracinėje byloje </w:t>
      </w:r>
      <w:r w:rsidR="0010066B">
        <w:t xml:space="preserve">Tarnyba </w:t>
      </w:r>
      <w:r w:rsidR="0010066B" w:rsidRPr="0010066B">
        <w:t>taikos sutartimi įsipareigoja panaikinti savo pačios priimtą priežiūros aktą, kuriuo konstatuotas teisės pažeidimas ir paskirta sankcija, savo esme reiškia įstatyme nustatytos priežiūros funkcijos rezultatų eliminavimą ir įstatymu pavest</w:t>
      </w:r>
      <w:r w:rsidR="00D93334">
        <w:t>ų</w:t>
      </w:r>
      <w:r w:rsidR="0010066B" w:rsidRPr="0010066B">
        <w:t xml:space="preserve"> pareigų atsisakymą.</w:t>
      </w:r>
      <w:r w:rsidR="0010066B">
        <w:t xml:space="preserve"> Nagrinėjamu atveju Įsakymas buvo priimtas jau įgyvendinus priežiūros procedūrą: buvo vertintos faktinės aplinkybės, konstatuotas pažeidimas ir pritaikyta poveikio priemonė. Taikos sutartimi, kuri nukreipta į tokio sprendimo panaikinimą ne dėl jo neteisėtumo (nustačius materialiosios ar proceso teisės pažeidimus), bet vien dėl šalių susitarimo, sukuriama situacija, kai teisės pažeidimą konstatavusios valstybės institucijos sprendimas tampa sąlyginis ir priklausomas nuo procesinių derybų, o ne nuo teisėtumo kontrolės. Pasak suinteresuoto asmens, tokia praktika nesuderinama su teisėtumo principu, viešojo administravimo kompetencijos ribomis ir imperatyviu lošimų priežiūros reguliavimu, todėl teismas neturėjo teisinio pagrindo tokios taikos sutarties tvirtinti kaip prieštaraujančioms imperatyvioms įstatymų ir kitų teisės aktų nuostatoms.</w:t>
      </w:r>
    </w:p>
    <w:p w14:paraId="471AC0B6" w14:textId="37D3F00E" w:rsidR="00113547" w:rsidRDefault="002255AD" w:rsidP="00A13C18">
      <w:pPr>
        <w:tabs>
          <w:tab w:val="left" w:pos="142"/>
          <w:tab w:val="left" w:pos="851"/>
          <w:tab w:val="left" w:pos="1134"/>
        </w:tabs>
        <w:ind w:firstLine="709"/>
        <w:contextualSpacing/>
        <w:jc w:val="both"/>
      </w:pPr>
      <w:bookmarkStart w:id="12" w:name="Buk_3"/>
      <w:r w:rsidRPr="002255AD">
        <w:t xml:space="preserve">A. B. </w:t>
      </w:r>
      <w:bookmarkEnd w:id="12"/>
      <w:r w:rsidR="0010066B">
        <w:t xml:space="preserve">teigimu, </w:t>
      </w:r>
      <w:r w:rsidR="00D93334">
        <w:t>T</w:t>
      </w:r>
      <w:r w:rsidR="0010066B">
        <w:t xml:space="preserve">aikos sutartis prieštarauja viešajam interesui, nes, </w:t>
      </w:r>
      <w:r w:rsidR="00D93334">
        <w:t>T</w:t>
      </w:r>
      <w:r w:rsidR="0010066B">
        <w:t xml:space="preserve">aikos sutartimi panaikinus Įsakymą, kuriuo pareiškėjui skirta bauda, </w:t>
      </w:r>
      <w:r w:rsidR="0010066B" w:rsidRPr="0010066B">
        <w:t>sukuriamas precedentas, kad sankcijos už nustatytus pažeidimus gali būti eliminuojamos ne teisėtumo kontrolės keliu, o procesiniu kompromisu.</w:t>
      </w:r>
      <w:r w:rsidR="00DC1BF2" w:rsidRPr="00DC1BF2">
        <w:t xml:space="preserve"> Tokia situacija silpnina sankcijų prevencinę funkciją, skatina selektyvų teisės normų įgyvendinimą ir mažina pasitikėjimą valstybine priežiūra. Dėl to teismas, patvirtindamas </w:t>
      </w:r>
      <w:r w:rsidR="00653D13">
        <w:t>T</w:t>
      </w:r>
      <w:r w:rsidR="00DC1BF2" w:rsidRPr="00DC1BF2">
        <w:t xml:space="preserve">aikos sutartį, neįvertino jos realių pasekmių viešajam interesui ir toleravo situaciją, kai viešojo administravimo subjektas savo </w:t>
      </w:r>
      <w:proofErr w:type="spellStart"/>
      <w:r w:rsidR="00DC1BF2" w:rsidRPr="00DC1BF2">
        <w:t>diskrecija</w:t>
      </w:r>
      <w:proofErr w:type="spellEnd"/>
      <w:r w:rsidR="00DC1BF2" w:rsidRPr="00DC1BF2">
        <w:t xml:space="preserve"> atsisako įstatymu jam pavestų pareigų.</w:t>
      </w:r>
    </w:p>
    <w:p w14:paraId="46355876" w14:textId="6BE25B6B" w:rsidR="00DC1BF2" w:rsidRDefault="00DC1BF2" w:rsidP="00A13C18">
      <w:pPr>
        <w:tabs>
          <w:tab w:val="left" w:pos="142"/>
          <w:tab w:val="left" w:pos="851"/>
          <w:tab w:val="left" w:pos="1134"/>
        </w:tabs>
        <w:ind w:firstLine="709"/>
        <w:contextualSpacing/>
        <w:jc w:val="both"/>
      </w:pPr>
      <w:r>
        <w:t xml:space="preserve">Suinteresuotas asmuo pažymi, kad </w:t>
      </w:r>
      <w:r w:rsidR="00D93334">
        <w:t>T</w:t>
      </w:r>
      <w:r>
        <w:t xml:space="preserve">aikos sutartis pažeidžia jo teises ir teisėtus interesus, nes Įsakymas buvo priimtas atlikus patikrinimą pagal jo skundą, todėl </w:t>
      </w:r>
      <w:r w:rsidRPr="00DC1BF2">
        <w:t>suinteresuotas asmuo turėjo teisėtą lūkestį, kad jo skundo nagrinėjimas sukels realias teisines pasekmes pažeidėjui, o valstybės institucijos sprendimas bus nuosekliai įgyvendintas. Taikos sutartimi, sudaryt</w:t>
      </w:r>
      <w:r w:rsidR="00D93334">
        <w:t>a</w:t>
      </w:r>
      <w:r w:rsidRPr="00DC1BF2">
        <w:t xml:space="preserve"> be suinteresuoto asmens realaus įtraukimo ir nesuteikiant jam veiksmingos galimybės pasisakyti dėl tokio bylos užbaigimo būdo, iš esmės panaikinami jo skundo nagrinėjimo rezultatai</w:t>
      </w:r>
      <w:r>
        <w:t xml:space="preserve">, nes </w:t>
      </w:r>
      <w:r w:rsidRPr="00DC1BF2">
        <w:t xml:space="preserve">pažeidimas, kurį institucija buvo konstatavusi </w:t>
      </w:r>
      <w:r>
        <w:t>pareiškėjo</w:t>
      </w:r>
      <w:r w:rsidRPr="00DC1BF2">
        <w:t xml:space="preserve"> atžvilgiu, tampa „be sankcijos“, o konstatuoto pažeidimo teisinė reikšmė išnyksta dėl kitų proceso dalyvių susitarimo.</w:t>
      </w:r>
      <w:r>
        <w:t xml:space="preserve"> </w:t>
      </w:r>
      <w:r w:rsidRPr="00DC1BF2">
        <w:t>Tokiu būdu paneigiama suinteresuoto asmens teisė į veiksmingą teisių gynimą ir pažeidžiamas teisėtų lūkesčių principas, kylantis iš teisinės valstybės principo</w:t>
      </w:r>
      <w:r>
        <w:t>.</w:t>
      </w:r>
    </w:p>
    <w:p w14:paraId="5D98479C" w14:textId="6C6E097C" w:rsidR="00DC1BF2" w:rsidRDefault="00DC1BF2" w:rsidP="00A13C18">
      <w:pPr>
        <w:tabs>
          <w:tab w:val="left" w:pos="142"/>
          <w:tab w:val="left" w:pos="851"/>
          <w:tab w:val="left" w:pos="1134"/>
        </w:tabs>
        <w:ind w:firstLine="709"/>
        <w:contextualSpacing/>
        <w:jc w:val="both"/>
      </w:pPr>
      <w:r>
        <w:t xml:space="preserve">Suinteresuotas asmuo nurodo, kad </w:t>
      </w:r>
      <w:r w:rsidR="00D93334">
        <w:t>T</w:t>
      </w:r>
      <w:r w:rsidRPr="00DC1BF2">
        <w:t xml:space="preserve">aikos sutartis prieštarauja imperatyvioms teisės normoms, pažeidžia viešąjį interesą bei </w:t>
      </w:r>
      <w:r w:rsidR="00D93334">
        <w:t>jo</w:t>
      </w:r>
      <w:r w:rsidRPr="00DC1BF2">
        <w:t xml:space="preserve"> teises ir teisėtus interesus, todėl pirmosios instancijos teismas neturėjo teisinio pagrindo jos tvirtinti. Dėl šių esminių pažeidimų skundžiama nutartis laikytina nepagrįsta ir neteisėta, todėl naikintina.</w:t>
      </w:r>
    </w:p>
    <w:p w14:paraId="5A0AE409" w14:textId="0272AEAF" w:rsidR="00DC1BF2" w:rsidRDefault="00DC1BF2" w:rsidP="00A13C18">
      <w:pPr>
        <w:tabs>
          <w:tab w:val="left" w:pos="142"/>
          <w:tab w:val="left" w:pos="851"/>
          <w:tab w:val="left" w:pos="1134"/>
        </w:tabs>
        <w:ind w:firstLine="709"/>
        <w:contextualSpacing/>
        <w:jc w:val="both"/>
      </w:pPr>
      <w:r>
        <w:t xml:space="preserve">Pareiškėjas pateiktame atsiliepime nesutinka su apeliaciniu skundu ir prašo pirmosios instancijos teismo 2025 m. gruodžio 17 d. nutartį palikti nepakeistą ir </w:t>
      </w:r>
      <w:bookmarkStart w:id="13" w:name="Buk_4"/>
      <w:r w:rsidR="002255AD" w:rsidRPr="002255AD">
        <w:t xml:space="preserve">A. B. </w:t>
      </w:r>
      <w:bookmarkEnd w:id="13"/>
      <w:r>
        <w:t xml:space="preserve">atskirąjį skundą atmesti kaip nepagrįstą. </w:t>
      </w:r>
    </w:p>
    <w:p w14:paraId="41C06156" w14:textId="6976C9E2" w:rsidR="00DC1BF2" w:rsidRDefault="00DC1BF2" w:rsidP="00DC1BF2">
      <w:pPr>
        <w:tabs>
          <w:tab w:val="left" w:pos="142"/>
          <w:tab w:val="left" w:pos="851"/>
          <w:tab w:val="left" w:pos="1134"/>
        </w:tabs>
        <w:ind w:firstLine="709"/>
        <w:contextualSpacing/>
        <w:jc w:val="both"/>
      </w:pPr>
      <w:r>
        <w:t xml:space="preserve">Pareiškėjas nurodo, kad jokiame noriniame teises akte imperatyviai nenurodyta, kad </w:t>
      </w:r>
      <w:r w:rsidR="00D93334">
        <w:t>T</w:t>
      </w:r>
      <w:r>
        <w:t xml:space="preserve">arnyba dėl ALĮ pažeidimo su lošimų organizatoriais neturi teisės sudaryti taikos sutarties, o toks sutarties sudarymas laikytinas prieštaraujančiu imperatyvioms įstatymų ir kitų teisės aktų nuostatoms. Be to, draudimas </w:t>
      </w:r>
      <w:r w:rsidR="00D93334">
        <w:t>T</w:t>
      </w:r>
      <w:r>
        <w:t xml:space="preserve">arnybai sudaryti taikos sutartį prieštarautų ABTĮ 51  straipsnio nuostatoms. </w:t>
      </w:r>
    </w:p>
    <w:p w14:paraId="3FF550C9" w14:textId="2A6BFDFD" w:rsidR="00DC1BF2" w:rsidRDefault="00DC1BF2" w:rsidP="00DC1BF2">
      <w:pPr>
        <w:tabs>
          <w:tab w:val="left" w:pos="142"/>
          <w:tab w:val="left" w:pos="851"/>
          <w:tab w:val="left" w:pos="1134"/>
        </w:tabs>
        <w:ind w:firstLine="709"/>
        <w:contextualSpacing/>
        <w:jc w:val="both"/>
      </w:pPr>
      <w:r>
        <w:t>Pareiškėj</w:t>
      </w:r>
      <w:r w:rsidR="00D93334">
        <w:t>as nesutinka, kad T</w:t>
      </w:r>
      <w:r>
        <w:t>aikos sutartis prieštarauja viešajam interesui</w:t>
      </w:r>
      <w:r w:rsidR="00D93334">
        <w:t xml:space="preserve"> ir pažymi, kad suinteresuotam asmeniui </w:t>
      </w:r>
      <w:r>
        <w:t xml:space="preserve">nesuteikti </w:t>
      </w:r>
      <w:r w:rsidR="00D93334">
        <w:t>į</w:t>
      </w:r>
      <w:r>
        <w:t xml:space="preserve">galiojimai ginti viešąjį interesą, o nagrinėjamo administracinio ginčo pobūdis nėra susijęs poreikiu ginti viešąjį interesą. Taikos sutartis taip pat nepažeidžia suinteresuoto asmens teisių ir teisėtų interesų, nes nagrinėjamas administracinis ginčas kilo tarp </w:t>
      </w:r>
      <w:r w:rsidR="00D93334">
        <w:t>T</w:t>
      </w:r>
      <w:r>
        <w:t xml:space="preserve">arnybos ir ūkio subjekto dėl ūkio subjekto administracinio pažeidimo ir jo baigtis jokių suinteresuoto asmens teisių ar teisėtų interesu nesuvaržo. </w:t>
      </w:r>
      <w:r w:rsidR="00303426">
        <w:t xml:space="preserve">Taikos </w:t>
      </w:r>
      <w:r>
        <w:t>sutartimis neužkertamas kelias suinteresuotam asmeniui savo teises ir interesus ginti visimomis įmanomas teisinėmis priemonėmis, pavyzdžiui su ieškiniui kreipti</w:t>
      </w:r>
      <w:r w:rsidR="00303426">
        <w:t>s</w:t>
      </w:r>
      <w:r>
        <w:t xml:space="preserve"> į teismą.</w:t>
      </w:r>
    </w:p>
    <w:p w14:paraId="59E4BA4D" w14:textId="25F031C6" w:rsidR="00303426" w:rsidRDefault="00303426" w:rsidP="00DC1BF2">
      <w:pPr>
        <w:tabs>
          <w:tab w:val="left" w:pos="142"/>
          <w:tab w:val="left" w:pos="851"/>
          <w:tab w:val="left" w:pos="1134"/>
        </w:tabs>
        <w:ind w:firstLine="709"/>
        <w:contextualSpacing/>
        <w:jc w:val="both"/>
      </w:pPr>
      <w:r>
        <w:t xml:space="preserve">Atsakovas Tarnyba pateiktame atsiliepime prašo </w:t>
      </w:r>
      <w:r w:rsidRPr="00303426">
        <w:t xml:space="preserve">Regionų administracinio teismo 2025 m. gruodžio 17 d. nutartį palikti nepakeistą ir </w:t>
      </w:r>
      <w:bookmarkStart w:id="14" w:name="Buk_5"/>
      <w:r w:rsidR="002255AD" w:rsidRPr="002255AD">
        <w:t xml:space="preserve">A. B. </w:t>
      </w:r>
      <w:bookmarkEnd w:id="14"/>
      <w:r w:rsidRPr="00303426">
        <w:t>atskirąjį skundą atmesti</w:t>
      </w:r>
      <w:r>
        <w:t>.</w:t>
      </w:r>
    </w:p>
    <w:p w14:paraId="3797C63C" w14:textId="2C4B15D1" w:rsidR="00C47CE1" w:rsidRDefault="00C47CE1" w:rsidP="00DE6977">
      <w:pPr>
        <w:tabs>
          <w:tab w:val="left" w:pos="142"/>
          <w:tab w:val="left" w:pos="851"/>
          <w:tab w:val="left" w:pos="1134"/>
        </w:tabs>
        <w:ind w:firstLine="709"/>
        <w:contextualSpacing/>
        <w:jc w:val="both"/>
      </w:pPr>
      <w:r>
        <w:lastRenderedPageBreak/>
        <w:t xml:space="preserve">Atsakovas paaiškina, kad </w:t>
      </w:r>
      <w:r w:rsidR="00653D13">
        <w:t xml:space="preserve">ginčijamame </w:t>
      </w:r>
      <w:r w:rsidRPr="00C47CE1">
        <w:t>Įsakym</w:t>
      </w:r>
      <w:r>
        <w:t xml:space="preserve">e </w:t>
      </w:r>
      <w:r w:rsidR="00D93334">
        <w:t xml:space="preserve">buvo nustatyta, </w:t>
      </w:r>
      <w:r w:rsidR="007401DD">
        <w:t>jog</w:t>
      </w:r>
      <w:r w:rsidR="00D93334">
        <w:t xml:space="preserve"> </w:t>
      </w:r>
      <w:r w:rsidR="00E87A87">
        <w:t xml:space="preserve">pareiškėjas </w:t>
      </w:r>
      <w:r w:rsidR="00DE6977">
        <w:t xml:space="preserve">UAB </w:t>
      </w:r>
      <w:r w:rsidR="00653D13">
        <w:br/>
      </w:r>
      <w:r w:rsidR="00DE6977">
        <w:t>„</w:t>
      </w:r>
      <w:proofErr w:type="spellStart"/>
      <w:r w:rsidR="00DE6977">
        <w:t>Tete</w:t>
      </w:r>
      <w:proofErr w:type="spellEnd"/>
      <w:r w:rsidR="00DE6977">
        <w:t>-a-</w:t>
      </w:r>
      <w:proofErr w:type="spellStart"/>
      <w:r w:rsidR="00DE6977">
        <w:t>tete</w:t>
      </w:r>
      <w:proofErr w:type="spellEnd"/>
      <w:r w:rsidR="007401DD">
        <w:t>“ kazino</w:t>
      </w:r>
      <w:r w:rsidRPr="00C47CE1">
        <w:t xml:space="preserve"> nuotolinio lošimo reglamento</w:t>
      </w:r>
      <w:r w:rsidR="00DE6977">
        <w:t>, patvirtinto Lošimų priežiūros tarnybos direktoriaus 2020 m. rugpjūčio 13 d. įsakymu Nr. DIE-570</w:t>
      </w:r>
      <w:r w:rsidR="007401DD">
        <w:t xml:space="preserve"> (toliau – ir Reglamentas)</w:t>
      </w:r>
      <w:r w:rsidR="00DE6977">
        <w:t>,</w:t>
      </w:r>
      <w:r w:rsidRPr="00C47CE1">
        <w:t xml:space="preserve"> VI skyriaus 57</w:t>
      </w:r>
      <w:r w:rsidR="00653D13">
        <w:t> </w:t>
      </w:r>
      <w:r w:rsidRPr="00C47CE1">
        <w:t xml:space="preserve">punkto pažeidimą </w:t>
      </w:r>
      <w:bookmarkStart w:id="15" w:name="Buk_6"/>
      <w:r w:rsidR="002255AD" w:rsidRPr="002255AD">
        <w:t xml:space="preserve">A. B. </w:t>
      </w:r>
      <w:bookmarkEnd w:id="15"/>
      <w:r w:rsidR="00D93334" w:rsidRPr="00C47CE1">
        <w:t xml:space="preserve">atžvilgiu </w:t>
      </w:r>
      <w:r w:rsidRPr="00C47CE1">
        <w:t>konstatavo remdamasi</w:t>
      </w:r>
      <w:r w:rsidR="00DE6977">
        <w:t>s</w:t>
      </w:r>
      <w:r w:rsidRPr="00C47CE1">
        <w:t xml:space="preserve"> prielaidomis ir vadovaudamasi</w:t>
      </w:r>
      <w:r w:rsidR="00E87A87">
        <w:t>s</w:t>
      </w:r>
      <w:r w:rsidRPr="00C47CE1">
        <w:t xml:space="preserve"> </w:t>
      </w:r>
      <w:r w:rsidR="007401DD">
        <w:t>R</w:t>
      </w:r>
      <w:r w:rsidRPr="00C47CE1">
        <w:t>eglamento 57 ir 58</w:t>
      </w:r>
      <w:r w:rsidR="007401DD">
        <w:t> </w:t>
      </w:r>
      <w:r w:rsidRPr="00C47CE1">
        <w:t xml:space="preserve">punktais, </w:t>
      </w:r>
      <w:r w:rsidR="00E87A87">
        <w:t xml:space="preserve">todėl </w:t>
      </w:r>
      <w:r w:rsidRPr="00C47CE1">
        <w:t xml:space="preserve">Nuotolinio lošimo sutartį su </w:t>
      </w:r>
      <w:bookmarkStart w:id="16" w:name="Buk_18"/>
      <w:r w:rsidR="002255AD" w:rsidRPr="002255AD">
        <w:t xml:space="preserve">A. B. </w:t>
      </w:r>
      <w:bookmarkEnd w:id="16"/>
      <w:r w:rsidRPr="00C47CE1">
        <w:t xml:space="preserve">nutraukė neturėdama pakankamai objektyvių bei neginčijamų įrodymų dėl neteisėto </w:t>
      </w:r>
      <w:bookmarkStart w:id="17" w:name="Buk_7"/>
      <w:r w:rsidR="002255AD" w:rsidRPr="002255AD">
        <w:t xml:space="preserve">A. B. </w:t>
      </w:r>
      <w:bookmarkEnd w:id="17"/>
      <w:r w:rsidRPr="00C47CE1">
        <w:t xml:space="preserve">elgesio, todėl pažeidė </w:t>
      </w:r>
      <w:r>
        <w:t>ALĮ</w:t>
      </w:r>
      <w:r w:rsidRPr="00C47CE1">
        <w:t xml:space="preserve"> 18</w:t>
      </w:r>
      <w:r w:rsidR="00E87A87">
        <w:t> </w:t>
      </w:r>
      <w:r w:rsidRPr="00C47CE1">
        <w:t>straipsnio 1 dalį (lošimai yra organizuojami pagal lošimo reglamentą).</w:t>
      </w:r>
    </w:p>
    <w:p w14:paraId="68E524BC" w14:textId="225DB52A" w:rsidR="00C47CE1" w:rsidRDefault="00C47CE1" w:rsidP="00C47CE1">
      <w:pPr>
        <w:tabs>
          <w:tab w:val="left" w:pos="142"/>
          <w:tab w:val="left" w:pos="851"/>
          <w:tab w:val="left" w:pos="1134"/>
        </w:tabs>
        <w:ind w:firstLine="709"/>
        <w:contextualSpacing/>
        <w:jc w:val="both"/>
      </w:pPr>
      <w:r>
        <w:t xml:space="preserve">Atsakovas pažymi, kad </w:t>
      </w:r>
      <w:r w:rsidR="00E87A87">
        <w:t>T</w:t>
      </w:r>
      <w:r w:rsidRPr="00C47CE1">
        <w:t>aikos sutarties sudarymo poreikis iškilo 2025 m. lapkričio 1 d. pasikeitus teisiniam reglamentavimui</w:t>
      </w:r>
      <w:r>
        <w:t xml:space="preserve"> dėl </w:t>
      </w:r>
      <w:r w:rsidR="00E87A87">
        <w:t>N</w:t>
      </w:r>
      <w:r>
        <w:t>uotolinio lošimo sutarties nutraukimo pagrindų</w:t>
      </w:r>
      <w:r w:rsidR="0012524F">
        <w:t xml:space="preserve">. </w:t>
      </w:r>
      <w:r>
        <w:t xml:space="preserve">2025 m. lapkričio 27 d. </w:t>
      </w:r>
      <w:r w:rsidR="0012524F">
        <w:t>T</w:t>
      </w:r>
      <w:r>
        <w:t>arnybos direktoriaus įsakymu Nr. DIE-514 buvo pakeista Nuotolinio lošimo sutarties forma</w:t>
      </w:r>
      <w:r w:rsidR="0012524F">
        <w:t>, ir dabar N</w:t>
      </w:r>
      <w:r>
        <w:t>uotolinio lošimo sutartys su lošėjais yra nutraukiamos vadovaujantis įstatymų nuostatomis.</w:t>
      </w:r>
    </w:p>
    <w:p w14:paraId="1704B8AA" w14:textId="05ACF88F" w:rsidR="0012524F" w:rsidRDefault="0012524F" w:rsidP="00C47CE1">
      <w:pPr>
        <w:tabs>
          <w:tab w:val="left" w:pos="142"/>
          <w:tab w:val="left" w:pos="851"/>
          <w:tab w:val="left" w:pos="1134"/>
        </w:tabs>
        <w:ind w:firstLine="709"/>
        <w:contextualSpacing/>
        <w:jc w:val="both"/>
      </w:pPr>
      <w:r>
        <w:t xml:space="preserve">Atsakovas nurodo, kad </w:t>
      </w:r>
      <w:r w:rsidR="00C47CE1">
        <w:t xml:space="preserve">nors Bendrovės neplaninis specialusis patikrinimas buvo pradėtas </w:t>
      </w:r>
      <w:bookmarkStart w:id="18" w:name="Buk_8"/>
      <w:r w:rsidR="002255AD" w:rsidRPr="002255AD">
        <w:t xml:space="preserve">A. B. </w:t>
      </w:r>
      <w:bookmarkEnd w:id="18"/>
      <w:r w:rsidR="00C47CE1">
        <w:t>skundo pagrindu, tačiau baudos skyrimo procese jis nedalyvavo.</w:t>
      </w:r>
      <w:r>
        <w:t xml:space="preserve"> S</w:t>
      </w:r>
      <w:r w:rsidR="00C47CE1">
        <w:t xml:space="preserve">kundo pateikimas </w:t>
      </w:r>
      <w:r>
        <w:t>Ta</w:t>
      </w:r>
      <w:r w:rsidR="00C47CE1">
        <w:t>rnybai nesukuria asmeniui subjektinės teisės dalyvauti sprendžiant administracinės poveikio priemonės taikymo klausimą, nes šis klausimas yra išimtinai viešojo administravimo subjekto ir ūkio subjekto tarpusavio santykis.</w:t>
      </w:r>
      <w:r>
        <w:t xml:space="preserve"> S</w:t>
      </w:r>
      <w:r w:rsidR="00C47CE1">
        <w:t xml:space="preserve">kundo pateikimas nesukuria </w:t>
      </w:r>
      <w:r>
        <w:t>asmeniui</w:t>
      </w:r>
      <w:r w:rsidR="00C47CE1">
        <w:t xml:space="preserve"> subjektinės teisės reikalauti poveikio priemonės skyrimo.</w:t>
      </w:r>
      <w:r>
        <w:t xml:space="preserve"> S</w:t>
      </w:r>
      <w:r w:rsidR="00C47CE1">
        <w:t xml:space="preserve">uinteresuotas asmuo byloje dalyvavo ribotos apimties procesiniu statusu, </w:t>
      </w:r>
      <w:r>
        <w:t xml:space="preserve">t. y. tiek, kiek ginčas buvo susijęs </w:t>
      </w:r>
      <w:r w:rsidR="00C47CE1">
        <w:t xml:space="preserve">jo teisėms ar pareigoms. </w:t>
      </w:r>
    </w:p>
    <w:p w14:paraId="5A3A01A5" w14:textId="7F0A261C" w:rsidR="00C47CE1" w:rsidRDefault="0012524F" w:rsidP="00C47CE1">
      <w:pPr>
        <w:tabs>
          <w:tab w:val="left" w:pos="142"/>
          <w:tab w:val="left" w:pos="851"/>
          <w:tab w:val="left" w:pos="1134"/>
        </w:tabs>
        <w:ind w:firstLine="709"/>
        <w:contextualSpacing/>
        <w:jc w:val="both"/>
      </w:pPr>
      <w:r>
        <w:t xml:space="preserve">Atsakovas pažymi, kad </w:t>
      </w:r>
      <w:r w:rsidR="00E87A87">
        <w:t>T</w:t>
      </w:r>
      <w:r w:rsidR="00C47CE1">
        <w:t xml:space="preserve">aikos sutartis yra išimtinai bylos šalių </w:t>
      </w:r>
      <w:r>
        <w:t>–</w:t>
      </w:r>
      <w:r w:rsidR="00C47CE1">
        <w:t xml:space="preserve"> pareiškėjo ir atsakovo </w:t>
      </w:r>
      <w:r>
        <w:t>–</w:t>
      </w:r>
      <w:r w:rsidR="00C47CE1">
        <w:t xml:space="preserve"> procesinis veiksmas, kuriam suinteresuoto asmens sutikimas nėra būtinas.</w:t>
      </w:r>
      <w:r>
        <w:t xml:space="preserve"> Taikos sutartimi ir skundžiama nutartimi nebuvo sprendžiami klausimai, </w:t>
      </w:r>
      <w:r w:rsidR="00C47CE1">
        <w:t>susiję su suinteresuoto asmens ir Bendrovės sutartinių santykių nutraukimo teisėtumu ar galimos žalos atlyginimu</w:t>
      </w:r>
      <w:r>
        <w:t xml:space="preserve">, jomis nebuvo sukurtos, pakeistos ar panaikintos </w:t>
      </w:r>
      <w:r w:rsidR="00C47CE1">
        <w:t>suinteresuoto asmens teis</w:t>
      </w:r>
      <w:r>
        <w:t>ės</w:t>
      </w:r>
      <w:r w:rsidR="00C47CE1">
        <w:t xml:space="preserve"> ar pareig</w:t>
      </w:r>
      <w:r>
        <w:t>os</w:t>
      </w:r>
      <w:r w:rsidR="00C47CE1">
        <w:t>, todėl nėra pagrindo konstatuoti jo teisių pažeidimą.</w:t>
      </w:r>
      <w:r>
        <w:t xml:space="preserve"> A</w:t>
      </w:r>
      <w:r w:rsidR="00C47CE1">
        <w:t xml:space="preserve">dministracinės bylos dalykas buvo </w:t>
      </w:r>
      <w:r>
        <w:t>T</w:t>
      </w:r>
      <w:r w:rsidR="00C47CE1">
        <w:t xml:space="preserve">arnybos sprendimo skirti </w:t>
      </w:r>
      <w:r w:rsidR="00E87A87">
        <w:t xml:space="preserve">pareiškėjui </w:t>
      </w:r>
      <w:r w:rsidR="00C47CE1">
        <w:t>baudą teisėtumas, todėl atskirojo skundo pagrindai ir argumentai yra nepagrįsti.</w:t>
      </w:r>
    </w:p>
    <w:p w14:paraId="03BE41DE" w14:textId="77777777" w:rsidR="00AE7637" w:rsidRDefault="00AE7637" w:rsidP="00AE7637">
      <w:pPr>
        <w:tabs>
          <w:tab w:val="left" w:pos="142"/>
          <w:tab w:val="left" w:pos="851"/>
          <w:tab w:val="left" w:pos="1134"/>
        </w:tabs>
        <w:ind w:firstLine="709"/>
        <w:contextualSpacing/>
        <w:jc w:val="both"/>
      </w:pPr>
    </w:p>
    <w:p w14:paraId="5F5618E0" w14:textId="64DA8E3F" w:rsidR="003B5A7E" w:rsidRPr="005C3806" w:rsidRDefault="004358EB" w:rsidP="00882E89">
      <w:pPr>
        <w:tabs>
          <w:tab w:val="left" w:pos="142"/>
          <w:tab w:val="left" w:pos="851"/>
          <w:tab w:val="left" w:pos="1134"/>
        </w:tabs>
        <w:ind w:firstLine="705"/>
        <w:contextualSpacing/>
        <w:jc w:val="both"/>
      </w:pPr>
      <w:r w:rsidRPr="005C3806">
        <w:t>Teisėjų kolegija</w:t>
      </w:r>
    </w:p>
    <w:p w14:paraId="050544F0" w14:textId="77777777" w:rsidR="003B5A7E" w:rsidRPr="005C3806" w:rsidRDefault="003B5A7E" w:rsidP="00882E89">
      <w:pPr>
        <w:tabs>
          <w:tab w:val="left" w:pos="142"/>
          <w:tab w:val="left" w:pos="1134"/>
        </w:tabs>
        <w:ind w:right="2" w:firstLine="709"/>
        <w:contextualSpacing/>
        <w:jc w:val="both"/>
      </w:pPr>
    </w:p>
    <w:p w14:paraId="36324C75" w14:textId="77777777" w:rsidR="003B5A7E" w:rsidRPr="005C3806" w:rsidRDefault="004358EB" w:rsidP="00882E89">
      <w:pPr>
        <w:tabs>
          <w:tab w:val="left" w:pos="142"/>
          <w:tab w:val="left" w:pos="1134"/>
        </w:tabs>
        <w:ind w:right="2"/>
        <w:contextualSpacing/>
        <w:jc w:val="both"/>
      </w:pPr>
      <w:r w:rsidRPr="005C3806">
        <w:t>k o n s t a t u o j a :</w:t>
      </w:r>
    </w:p>
    <w:p w14:paraId="6AFD3CC7" w14:textId="77777777" w:rsidR="00E93849" w:rsidRDefault="00E93849" w:rsidP="00882E89">
      <w:pPr>
        <w:tabs>
          <w:tab w:val="left" w:pos="142"/>
          <w:tab w:val="left" w:pos="1134"/>
        </w:tabs>
        <w:ind w:right="2"/>
        <w:contextualSpacing/>
        <w:jc w:val="center"/>
      </w:pPr>
    </w:p>
    <w:p w14:paraId="42ABF0DB" w14:textId="12A1F9EA" w:rsidR="003B5A7E" w:rsidRPr="005C3806" w:rsidRDefault="004358EB" w:rsidP="00882E89">
      <w:pPr>
        <w:tabs>
          <w:tab w:val="left" w:pos="142"/>
          <w:tab w:val="left" w:pos="1134"/>
        </w:tabs>
        <w:ind w:right="2"/>
        <w:contextualSpacing/>
        <w:jc w:val="center"/>
      </w:pPr>
      <w:r w:rsidRPr="005C3806">
        <w:t>IV.</w:t>
      </w:r>
    </w:p>
    <w:p w14:paraId="218EB7A1" w14:textId="77777777" w:rsidR="00DA6095" w:rsidRDefault="00DA6095" w:rsidP="00882E89">
      <w:pPr>
        <w:tabs>
          <w:tab w:val="left" w:pos="851"/>
          <w:tab w:val="left" w:pos="993"/>
          <w:tab w:val="left" w:pos="1134"/>
        </w:tabs>
        <w:ind w:right="2" w:firstLine="709"/>
        <w:contextualSpacing/>
        <w:jc w:val="both"/>
      </w:pPr>
    </w:p>
    <w:p w14:paraId="7B2766CA" w14:textId="04BE8939" w:rsidR="00DA6095" w:rsidRDefault="00DA6095" w:rsidP="00882E89">
      <w:pPr>
        <w:tabs>
          <w:tab w:val="left" w:pos="851"/>
          <w:tab w:val="left" w:pos="993"/>
          <w:tab w:val="left" w:pos="1134"/>
        </w:tabs>
        <w:ind w:right="2" w:firstLine="709"/>
        <w:contextualSpacing/>
        <w:jc w:val="both"/>
      </w:pPr>
      <w:r>
        <w:t xml:space="preserve">Atskirojo skundo dalykas – pirmosios instancijos teismo nutarties, kuria </w:t>
      </w:r>
      <w:r w:rsidR="0012524F">
        <w:t xml:space="preserve">nuspręsta patvirtinti </w:t>
      </w:r>
      <w:r w:rsidR="00E87A87">
        <w:t>T</w:t>
      </w:r>
      <w:r w:rsidR="0012524F">
        <w:t>aikos sutartį ir nutraukti administracinę bylą, teisėtumas ir pagrįstumas.</w:t>
      </w:r>
    </w:p>
    <w:p w14:paraId="0D9C1248" w14:textId="77777777" w:rsidR="002B3E65" w:rsidRDefault="002B3E65" w:rsidP="002B3E65">
      <w:pPr>
        <w:tabs>
          <w:tab w:val="left" w:pos="851"/>
          <w:tab w:val="left" w:pos="993"/>
          <w:tab w:val="left" w:pos="1134"/>
        </w:tabs>
        <w:ind w:right="2" w:firstLine="709"/>
        <w:contextualSpacing/>
        <w:jc w:val="both"/>
      </w:pPr>
      <w:r>
        <w:t>ABTĮ 51 straipsnyje įtvirtinta ginčo šalių teisė administracinę bylą bet kurioje proceso stadijoje baigti taikos sutartimi, t. y. jų pageidaujamu būdu, nebetęsiant pradėto bylos proceso. Tačiau tai nėra absoliuti šalių teisė, nes, įtvirtindamas tokią šalių teisę, įstatymų leidėjas nustatė sąlygas, kurioms esant yra galima administracinę bylą užbaigti taikos sutartimi: 1) jei taikos sutartį sudaryti galima atsižvelgiant į ginčo pobūdį; 2) jei taikos sutartis neprieštarauja imperatyviosioms įstatymų ir kitų teisės aktų nuostatoms, viešajam interesui, nepažeidžia trečiųjų suinteresuotų asmenų teisių ar teisėtų interesų; 3) jei taikos sutarties dalykas yra to paties pobūdžio, kaip ir skunde (prašyme) nurodyti reikalavimai (ABTĮ 51 str. 1 d.).</w:t>
      </w:r>
    </w:p>
    <w:p w14:paraId="44A293F3" w14:textId="77777777" w:rsidR="002B3E65" w:rsidRDefault="002B3E65" w:rsidP="002B3E65">
      <w:pPr>
        <w:tabs>
          <w:tab w:val="left" w:pos="851"/>
          <w:tab w:val="left" w:pos="993"/>
          <w:tab w:val="left" w:pos="1134"/>
        </w:tabs>
        <w:ind w:right="2" w:firstLine="709"/>
        <w:contextualSpacing/>
        <w:jc w:val="both"/>
      </w:pPr>
      <w:r>
        <w:t xml:space="preserve">Aiškindamas šią teisės normą, Lietuvos vyriausiasis administracinis teismas yra pažymėjęs, kad taikos sutarties sudarymas savaime reiškia, kad tarp šalių yra kilęs konfliktas ir šalys siekia jį išspręsti. Taigi taikos sutarties esmė – tarpusavio kompromiso radimas, nes gana dažnai šalys, siekdamos bendro sprendimo, atsisako tam tikrų jų pozicijas išskiriančių argumentų, reikalavimų ir taip kiek atitolsta nuo pradinės ginčo pozicijos, siekiant rasti bendrų problemos sprendimo būdų (žr., pvz., 2015 m. balandžio 9 d. nutartį administracinėje byloje Nr. A-1466-492/2015; 2015 m. balandžio 27 d. nutartį administracinėje byloje Nr. eA-721-502/2015). Įstatymų leidėjui ABTĮ įtvirtinus galimybę bylą užbaigti taikos sutartimi, spręsti, ar tokia galimybe pasinaudoti, priklauso šalims, nuo jų priklauso ir derybinės taktikos dėl tokios sutarties sudarymo ir jos sąlygų pasirinkimas (žr., pvz., </w:t>
      </w:r>
      <w:r>
        <w:lastRenderedPageBreak/>
        <w:t>Lietuvos vyriausiojo administracinio teismo 2014 m. balandžio 16 d. nutartį administracinėje byloje Nr. A</w:t>
      </w:r>
      <w:r w:rsidRPr="00155FB4">
        <w:rPr>
          <w:vertAlign w:val="superscript"/>
        </w:rPr>
        <w:t>525</w:t>
      </w:r>
      <w:r>
        <w:t>-840/2014).</w:t>
      </w:r>
    </w:p>
    <w:p w14:paraId="56EB9A27" w14:textId="63FBE733" w:rsidR="00BD3A60" w:rsidRDefault="00BD3A60" w:rsidP="002B3E65">
      <w:pPr>
        <w:tabs>
          <w:tab w:val="left" w:pos="851"/>
          <w:tab w:val="left" w:pos="993"/>
          <w:tab w:val="left" w:pos="1134"/>
        </w:tabs>
        <w:ind w:right="2" w:firstLine="709"/>
        <w:contextualSpacing/>
        <w:jc w:val="both"/>
      </w:pPr>
      <w:r w:rsidRPr="00BD3A60">
        <w:t xml:space="preserve">Remiantis bylos duomenimis teisėjų kolegija nustatė, kad trečiasis suinteresuotas asmuo </w:t>
      </w:r>
      <w:bookmarkStart w:id="19" w:name="Buk_17"/>
      <w:r w:rsidR="002255AD" w:rsidRPr="002255AD">
        <w:t xml:space="preserve">A. B. </w:t>
      </w:r>
      <w:bookmarkEnd w:id="19"/>
      <w:r w:rsidRPr="00BD3A60">
        <w:t>su kreipėsi į Tarnybą su pranešimu dėl UAB „</w:t>
      </w:r>
      <w:proofErr w:type="spellStart"/>
      <w:r w:rsidRPr="00BD3A60">
        <w:t>Tete</w:t>
      </w:r>
      <w:proofErr w:type="spellEnd"/>
      <w:r w:rsidRPr="00BD3A60">
        <w:t xml:space="preserve">-a </w:t>
      </w:r>
      <w:proofErr w:type="spellStart"/>
      <w:r w:rsidRPr="00BD3A60">
        <w:t>tete</w:t>
      </w:r>
      <w:proofErr w:type="spellEnd"/>
      <w:r w:rsidRPr="00BD3A60">
        <w:t xml:space="preserve">“ kazino priimto sprendimo nutraukti su juo sudarytą Nuotolinio lošimo sutartį. Tarnyba, atlikusi Bendrovės neplaninį specialųjį patikrinimą, skundžiamame Įsakyme konstatavo, kad Bendrovė pareiškėjo </w:t>
      </w:r>
      <w:bookmarkStart w:id="20" w:name="Buk_9"/>
      <w:r w:rsidR="002255AD" w:rsidRPr="002255AD">
        <w:t xml:space="preserve">A. B. </w:t>
      </w:r>
      <w:bookmarkEnd w:id="20"/>
      <w:r w:rsidRPr="00BD3A60">
        <w:t xml:space="preserve">padarytą Reglamento VI skyriaus 57 punkto pažeidimą konstatavo remdamasi prielaidomis ir vadovaudamasi Reglamento 57 ir 58 punktais, todėl Nuotolinio lošimo sutartį su </w:t>
      </w:r>
      <w:bookmarkStart w:id="21" w:name="Buk_19"/>
      <w:r w:rsidR="002255AD" w:rsidRPr="002255AD">
        <w:t xml:space="preserve">A. B. </w:t>
      </w:r>
      <w:bookmarkEnd w:id="21"/>
      <w:r w:rsidRPr="00BD3A60">
        <w:t>nutraukė neturėdama pakankamai objektyvių bei neginčijamų įrodymų dėl neteisėto pareiškėjo (</w:t>
      </w:r>
      <w:bookmarkStart w:id="22" w:name="Buk_10"/>
      <w:r w:rsidR="002255AD" w:rsidRPr="002255AD">
        <w:t>A. B.</w:t>
      </w:r>
      <w:bookmarkEnd w:id="22"/>
      <w:r w:rsidRPr="00BD3A60">
        <w:t>) elgesio. Atsakovas Įsakyme nurodė, kad Bendrovė pažeidė Azartinių lošimų įstatymo 18 straipsnio 1 dalį (lošimai yra organizuojami pagal lošimo reglamentą) ir nutarė už nustatytą pažeidimą Bendrovei skirti 15 000 Eur baudą.</w:t>
      </w:r>
    </w:p>
    <w:p w14:paraId="09AEC4AD" w14:textId="78B8DE41" w:rsidR="00727C4F" w:rsidRDefault="00BD3A60" w:rsidP="00BD3A60">
      <w:pPr>
        <w:tabs>
          <w:tab w:val="left" w:pos="851"/>
          <w:tab w:val="left" w:pos="993"/>
          <w:tab w:val="left" w:pos="1134"/>
        </w:tabs>
        <w:ind w:right="2" w:firstLine="709"/>
        <w:contextualSpacing/>
        <w:jc w:val="both"/>
      </w:pPr>
      <w:r>
        <w:t xml:space="preserve">Šiuo aspektu pažymėtina, kad trečiųjų asmenų dalyvavimas byloje reiškia, jog bylos išsprendimas tiek priėmus teismo sprendimą, tiek nutartimi patvirtinus taikos sutartį gali turėti įtakos jų teisėms ir pareigoms (ABTĮ 46 str. 2 d.). Kaip jau minėta, ABTĮ 51 straipsnio 1 dalis įpareigoja teismą, tvirtinantį šalių sudarytą taikos sutartį, aiškintis, ar taikos sutartyje nustatytomis sąlygomis nepažeidžiamos trečiųjų asmenų teisės. Vykdydamas pareigą išsiaiškinti, ar šalių pateiktoje tvirtinti taikos sutartyje nustatytomis sąlygomis nepažeidžiamos trečiųjų asmenų teisės, teismas, esant būtinumui, privalo pasinaudoti visomis šiam tikslui pasiekti reikalingomis administracinio proceso įtvirtintomis faktinių duomenų nustatymo priemonėmis, </w:t>
      </w:r>
      <w:proofErr w:type="spellStart"/>
      <w:r w:rsidRPr="00BD3A60">
        <w:rPr>
          <w:i/>
          <w:iCs/>
        </w:rPr>
        <w:t>inter</w:t>
      </w:r>
      <w:proofErr w:type="spellEnd"/>
      <w:r w:rsidRPr="00BD3A60">
        <w:rPr>
          <w:i/>
          <w:iCs/>
        </w:rPr>
        <w:t xml:space="preserve"> alia</w:t>
      </w:r>
      <w:r>
        <w:t xml:space="preserve"> (liet. be kita ko), trečiųjų asmenų paaiškinimais. Teisėjų kolegija, atsižvelgdama į šioje byloje nustatytas faktines aplinkybes, konstatuoja, kad pirmosios instancijos teismas neįvykdė ABTĮ 51 straipsnio 1 dalyje nustatytos pareigos, t. y. jis neišsiaiškino, ar byloje nėra pažeidžiamos dalyvaujanči</w:t>
      </w:r>
      <w:r w:rsidR="00A9014A">
        <w:t>o</w:t>
      </w:r>
      <w:r>
        <w:t xml:space="preserve"> treči</w:t>
      </w:r>
      <w:r w:rsidR="00A9014A">
        <w:t>ojo</w:t>
      </w:r>
      <w:r>
        <w:t xml:space="preserve"> suinteresuot</w:t>
      </w:r>
      <w:r w:rsidR="00A9014A">
        <w:t>o</w:t>
      </w:r>
      <w:r>
        <w:t xml:space="preserve"> asmen</w:t>
      </w:r>
      <w:r w:rsidR="00A9014A">
        <w:t>s</w:t>
      </w:r>
      <w:r>
        <w:t xml:space="preserve"> teisės, todėl skundžiama teismo nutartis, kuria patvirtinta Taikos sutartis, negali būti laikoma teisėta ir pagrįsta.</w:t>
      </w:r>
    </w:p>
    <w:p w14:paraId="6DF906F6" w14:textId="4048F8FB" w:rsidR="00DE6977" w:rsidRDefault="00BD3A60" w:rsidP="00FA6EE7">
      <w:pPr>
        <w:tabs>
          <w:tab w:val="left" w:pos="851"/>
          <w:tab w:val="left" w:pos="993"/>
          <w:tab w:val="left" w:pos="1134"/>
        </w:tabs>
        <w:ind w:right="2" w:firstLine="709"/>
        <w:contextualSpacing/>
        <w:jc w:val="both"/>
      </w:pPr>
      <w:r w:rsidRPr="00BD3A60">
        <w:t xml:space="preserve">Apibendrindama išdėstytus motyvus, teisėjų kolegija sprendžia, kad pirmosios instancijos teismas netinkamai aiškino ir taikė proceso teisės normas, todėl priėmė neteisėtą nutartį </w:t>
      </w:r>
      <w:r>
        <w:t>T</w:t>
      </w:r>
      <w:r w:rsidRPr="00BD3A60">
        <w:t>aikos sutarties tvirtinimo ir bylos nutraukimo klausimu. Atsižvelgiant į tai, trečiojo suinteresuoto asmens atskirasis skundas tenkinamas iš dalies, o pirmosios instancijos teismo nutartis naikinama ir klausimas dėl Taikos sutarties patvirtinimo perduodamas pirmosios instancijos teismui nagrinėti iš naujo.</w:t>
      </w:r>
    </w:p>
    <w:p w14:paraId="3F600795" w14:textId="77777777" w:rsidR="0012524F" w:rsidRDefault="0012524F" w:rsidP="00E42FE9">
      <w:pPr>
        <w:tabs>
          <w:tab w:val="left" w:pos="851"/>
          <w:tab w:val="left" w:pos="993"/>
          <w:tab w:val="left" w:pos="1134"/>
        </w:tabs>
        <w:ind w:right="2" w:firstLine="709"/>
        <w:contextualSpacing/>
        <w:jc w:val="both"/>
      </w:pPr>
    </w:p>
    <w:p w14:paraId="3A0079D5" w14:textId="327BD8BD" w:rsidR="003B5A7E" w:rsidRPr="005C3806" w:rsidRDefault="004358EB" w:rsidP="00E42FE9">
      <w:pPr>
        <w:tabs>
          <w:tab w:val="left" w:pos="851"/>
          <w:tab w:val="left" w:pos="993"/>
          <w:tab w:val="left" w:pos="1134"/>
        </w:tabs>
        <w:ind w:right="2" w:firstLine="709"/>
        <w:contextualSpacing/>
        <w:jc w:val="both"/>
      </w:pPr>
      <w:r w:rsidRPr="005C3806">
        <w:t xml:space="preserve">Vadovaudamasi Lietuvos Respublikos administracinių bylų teisenos įstatymo 154 straipsnio </w:t>
      </w:r>
      <w:r w:rsidR="00DE6977">
        <w:t>4</w:t>
      </w:r>
      <w:r w:rsidRPr="005C3806">
        <w:t xml:space="preserve"> punktu, teisėjų kolegija</w:t>
      </w:r>
    </w:p>
    <w:p w14:paraId="3F4EC469" w14:textId="77777777" w:rsidR="003B5A7E" w:rsidRPr="005C3806" w:rsidRDefault="003B5A7E" w:rsidP="00E42FE9">
      <w:pPr>
        <w:tabs>
          <w:tab w:val="left" w:pos="142"/>
          <w:tab w:val="left" w:pos="1134"/>
        </w:tabs>
        <w:ind w:right="2" w:firstLine="709"/>
        <w:contextualSpacing/>
      </w:pPr>
    </w:p>
    <w:p w14:paraId="4BD1B66D" w14:textId="77777777" w:rsidR="003B5A7E" w:rsidRPr="005C3806" w:rsidRDefault="004358EB" w:rsidP="00DC5E97">
      <w:pPr>
        <w:tabs>
          <w:tab w:val="left" w:pos="142"/>
        </w:tabs>
        <w:ind w:right="2" w:firstLine="142"/>
        <w:contextualSpacing/>
      </w:pPr>
      <w:r w:rsidRPr="005C3806">
        <w:t xml:space="preserve">n u t a r i a : </w:t>
      </w:r>
    </w:p>
    <w:p w14:paraId="47505BF9" w14:textId="77777777" w:rsidR="003B5A7E" w:rsidRPr="005C3806" w:rsidRDefault="003B5A7E">
      <w:pPr>
        <w:tabs>
          <w:tab w:val="left" w:pos="142"/>
          <w:tab w:val="left" w:pos="1134"/>
        </w:tabs>
        <w:ind w:right="2" w:firstLine="709"/>
      </w:pPr>
    </w:p>
    <w:p w14:paraId="10A459EE" w14:textId="73B39629" w:rsidR="00F1440A" w:rsidRDefault="00F1440A" w:rsidP="00F1440A">
      <w:pPr>
        <w:tabs>
          <w:tab w:val="left" w:pos="142"/>
          <w:tab w:val="left" w:pos="1134"/>
        </w:tabs>
        <w:ind w:right="2" w:firstLine="708"/>
        <w:jc w:val="both"/>
      </w:pPr>
      <w:r>
        <w:t>T</w:t>
      </w:r>
      <w:r w:rsidRPr="00F1440A">
        <w:t xml:space="preserve">rečiojo suinteresuoto asmens </w:t>
      </w:r>
      <w:bookmarkStart w:id="23" w:name="Buk_11"/>
      <w:r w:rsidR="002255AD" w:rsidRPr="002255AD">
        <w:t xml:space="preserve">A. B. </w:t>
      </w:r>
      <w:bookmarkEnd w:id="23"/>
      <w:r w:rsidRPr="00F1440A">
        <w:t xml:space="preserve">atskirąjį skundą </w:t>
      </w:r>
      <w:r w:rsidR="00DE6977">
        <w:t>tenkinti iš dalies.</w:t>
      </w:r>
    </w:p>
    <w:p w14:paraId="1BE38B13" w14:textId="0A4E409E" w:rsidR="004329FD" w:rsidRDefault="00F1440A" w:rsidP="00F1440A">
      <w:pPr>
        <w:tabs>
          <w:tab w:val="left" w:pos="142"/>
          <w:tab w:val="left" w:pos="1134"/>
        </w:tabs>
        <w:ind w:right="2" w:firstLine="708"/>
        <w:jc w:val="both"/>
      </w:pPr>
      <w:r w:rsidRPr="00F1440A">
        <w:t>Regionų administracinio teismo 2025 m. gruodžio 17 d. nutart</w:t>
      </w:r>
      <w:r>
        <w:t xml:space="preserve">į </w:t>
      </w:r>
      <w:r w:rsidR="00DE6977">
        <w:t xml:space="preserve">panaikinti ir klausimą dėl </w:t>
      </w:r>
      <w:r w:rsidR="00DE6977" w:rsidRPr="00DE6977">
        <w:t>2025</w:t>
      </w:r>
      <w:r w:rsidR="00DE6977">
        <w:t> </w:t>
      </w:r>
      <w:r w:rsidR="00DE6977" w:rsidRPr="00DE6977">
        <w:t>m. gruodžio 10 d. taikos sutart</w:t>
      </w:r>
      <w:r w:rsidR="00DE6977">
        <w:t>ies tvirtinimo p</w:t>
      </w:r>
      <w:r w:rsidR="00DE6977" w:rsidRPr="00DE6977">
        <w:t>erduoti pirmosios instancijos teismui nagrinėti iš naujo.</w:t>
      </w:r>
    </w:p>
    <w:p w14:paraId="13F1AC98" w14:textId="32FDAABB" w:rsidR="003B5A7E" w:rsidRPr="005C3806" w:rsidRDefault="004358EB" w:rsidP="00B737F7">
      <w:pPr>
        <w:tabs>
          <w:tab w:val="left" w:pos="142"/>
          <w:tab w:val="left" w:pos="1134"/>
        </w:tabs>
        <w:ind w:right="2" w:firstLine="708"/>
        <w:jc w:val="both"/>
      </w:pPr>
      <w:r w:rsidRPr="00092613">
        <w:t>Nutartis neskundžiama.</w:t>
      </w:r>
    </w:p>
    <w:p w14:paraId="77F56D34" w14:textId="77777777" w:rsidR="009D1D19" w:rsidRPr="005C3806" w:rsidRDefault="009D1D19">
      <w:pPr>
        <w:tabs>
          <w:tab w:val="left" w:pos="142"/>
          <w:tab w:val="left" w:pos="1134"/>
        </w:tabs>
        <w:ind w:right="2" w:firstLine="709"/>
        <w:jc w:val="both"/>
      </w:pPr>
    </w:p>
    <w:p w14:paraId="63C406C0" w14:textId="040A8992" w:rsidR="00F1440A" w:rsidRDefault="00FA6788" w:rsidP="00FA6788">
      <w:pPr>
        <w:tabs>
          <w:tab w:val="left" w:pos="6804"/>
        </w:tabs>
        <w:ind w:right="2" w:firstLine="709"/>
        <w:jc w:val="both"/>
      </w:pPr>
      <w:bookmarkStart w:id="24" w:name="_3znysh7" w:colFirst="0" w:colLast="0"/>
      <w:bookmarkEnd w:id="24"/>
      <w:r w:rsidRPr="005C3806">
        <w:t>Teisėj</w:t>
      </w:r>
      <w:r w:rsidR="007E6B7F">
        <w:t>ai</w:t>
      </w:r>
      <w:r w:rsidRPr="005C3806">
        <w:tab/>
      </w:r>
      <w:r w:rsidR="00F1440A">
        <w:t xml:space="preserve">Laimutis </w:t>
      </w:r>
      <w:proofErr w:type="spellStart"/>
      <w:r w:rsidR="00F1440A">
        <w:t>Alechnavičius</w:t>
      </w:r>
      <w:proofErr w:type="spellEnd"/>
    </w:p>
    <w:p w14:paraId="33BEEBA4" w14:textId="77777777" w:rsidR="00F1440A" w:rsidRDefault="00F1440A" w:rsidP="00FA6788">
      <w:pPr>
        <w:tabs>
          <w:tab w:val="left" w:pos="6804"/>
        </w:tabs>
        <w:ind w:right="2" w:firstLine="709"/>
        <w:jc w:val="both"/>
      </w:pPr>
    </w:p>
    <w:p w14:paraId="3A2F4152" w14:textId="77777777" w:rsidR="00F1440A" w:rsidRDefault="00F1440A" w:rsidP="00FA6788">
      <w:pPr>
        <w:tabs>
          <w:tab w:val="left" w:pos="6804"/>
        </w:tabs>
        <w:ind w:right="2" w:firstLine="709"/>
        <w:jc w:val="both"/>
      </w:pPr>
    </w:p>
    <w:p w14:paraId="3DB8475F" w14:textId="75F162C3" w:rsidR="00F1440A" w:rsidRDefault="00F1440A" w:rsidP="00FA6788">
      <w:pPr>
        <w:tabs>
          <w:tab w:val="left" w:pos="6804"/>
        </w:tabs>
        <w:ind w:right="2" w:firstLine="709"/>
        <w:jc w:val="both"/>
      </w:pPr>
      <w:r>
        <w:tab/>
        <w:t>Ramūnas Gadliauskas</w:t>
      </w:r>
    </w:p>
    <w:p w14:paraId="369CA7AA" w14:textId="77777777" w:rsidR="00F1440A" w:rsidRDefault="00F1440A" w:rsidP="00FA6788">
      <w:pPr>
        <w:tabs>
          <w:tab w:val="left" w:pos="6804"/>
        </w:tabs>
        <w:ind w:right="2" w:firstLine="709"/>
        <w:jc w:val="both"/>
      </w:pPr>
    </w:p>
    <w:p w14:paraId="2776CFE3" w14:textId="77777777" w:rsidR="00F1440A" w:rsidRDefault="00F1440A" w:rsidP="00FA6788">
      <w:pPr>
        <w:tabs>
          <w:tab w:val="left" w:pos="6804"/>
        </w:tabs>
        <w:ind w:right="2" w:firstLine="709"/>
        <w:jc w:val="both"/>
      </w:pPr>
    </w:p>
    <w:p w14:paraId="0294757D" w14:textId="4A848BA7" w:rsidR="002A0191" w:rsidRDefault="00F1440A" w:rsidP="00FA6788">
      <w:pPr>
        <w:tabs>
          <w:tab w:val="left" w:pos="6804"/>
        </w:tabs>
        <w:ind w:right="2" w:firstLine="709"/>
        <w:jc w:val="both"/>
      </w:pPr>
      <w:r>
        <w:tab/>
      </w:r>
      <w:r w:rsidR="00FC2C48">
        <w:t>Jolanta Malijauskienė</w:t>
      </w:r>
    </w:p>
    <w:sectPr w:rsidR="002A0191">
      <w:headerReference w:type="default" r:id="rId8"/>
      <w:pgSz w:w="11909" w:h="16834"/>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C2C6A" w14:textId="77777777" w:rsidR="00B55A53" w:rsidRDefault="00B55A53">
      <w:r>
        <w:separator/>
      </w:r>
    </w:p>
  </w:endnote>
  <w:endnote w:type="continuationSeparator" w:id="0">
    <w:p w14:paraId="3118AF40" w14:textId="77777777" w:rsidR="00B55A53" w:rsidRDefault="00B5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61947" w14:textId="77777777" w:rsidR="00B55A53" w:rsidRDefault="00B55A53">
      <w:r>
        <w:separator/>
      </w:r>
    </w:p>
  </w:footnote>
  <w:footnote w:type="continuationSeparator" w:id="0">
    <w:p w14:paraId="50A399EF" w14:textId="77777777" w:rsidR="00B55A53" w:rsidRDefault="00B55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050E" w14:textId="7EF90819" w:rsidR="003B5A7E" w:rsidRDefault="004358EB">
    <w:pPr>
      <w:jc w:val="center"/>
      <w:rPr>
        <w:sz w:val="20"/>
        <w:szCs w:val="20"/>
      </w:rPr>
    </w:pPr>
    <w:r>
      <w:rPr>
        <w:sz w:val="20"/>
        <w:szCs w:val="20"/>
      </w:rPr>
      <w:fldChar w:fldCharType="begin"/>
    </w:r>
    <w:r>
      <w:rPr>
        <w:sz w:val="20"/>
        <w:szCs w:val="20"/>
      </w:rPr>
      <w:instrText>PAGE</w:instrText>
    </w:r>
    <w:r>
      <w:rPr>
        <w:sz w:val="20"/>
        <w:szCs w:val="20"/>
      </w:rPr>
      <w:fldChar w:fldCharType="separate"/>
    </w:r>
    <w:r w:rsidR="006333B8">
      <w:rPr>
        <w:noProof/>
        <w:sz w:val="20"/>
        <w:szCs w:val="20"/>
      </w:rPr>
      <w:t>2</w:t>
    </w:r>
    <w:r>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1D72"/>
    <w:multiLevelType w:val="hybridMultilevel"/>
    <w:tmpl w:val="B66CBCE4"/>
    <w:lvl w:ilvl="0" w:tplc="C23879F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4052B61"/>
    <w:multiLevelType w:val="multilevel"/>
    <w:tmpl w:val="B93494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811F29"/>
    <w:multiLevelType w:val="multilevel"/>
    <w:tmpl w:val="CD42F6CE"/>
    <w:lvl w:ilvl="0">
      <w:start w:val="1"/>
      <w:numFmt w:val="decimal"/>
      <w:lvlText w:val="%1."/>
      <w:lvlJc w:val="left"/>
      <w:pPr>
        <w:ind w:left="5322" w:hanging="360"/>
      </w:pPr>
      <w:rPr>
        <w:rFonts w:hint="default"/>
        <w:i w:val="0"/>
        <w:iCs w:val="0"/>
        <w:sz w:val="24"/>
        <w:szCs w:val="24"/>
      </w:rPr>
    </w:lvl>
    <w:lvl w:ilvl="1">
      <w:start w:val="1"/>
      <w:numFmt w:val="decimal"/>
      <w:lvlText w:val="%1.%2."/>
      <w:lvlJc w:val="left"/>
      <w:pPr>
        <w:ind w:left="1142" w:hanging="432"/>
      </w:pPr>
      <w:rPr>
        <w:b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BA4A60"/>
    <w:multiLevelType w:val="multilevel"/>
    <w:tmpl w:val="FEB8A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4241858">
    <w:abstractNumId w:val="1"/>
  </w:num>
  <w:num w:numId="2" w16cid:durableId="510266382">
    <w:abstractNumId w:val="2"/>
  </w:num>
  <w:num w:numId="3" w16cid:durableId="1704014173">
    <w:abstractNumId w:val="3"/>
  </w:num>
  <w:num w:numId="4" w16cid:durableId="529294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7E"/>
    <w:rsid w:val="00002120"/>
    <w:rsid w:val="00002ACA"/>
    <w:rsid w:val="0001042C"/>
    <w:rsid w:val="000233C0"/>
    <w:rsid w:val="00024A7A"/>
    <w:rsid w:val="00030F6A"/>
    <w:rsid w:val="00034EF4"/>
    <w:rsid w:val="000465CE"/>
    <w:rsid w:val="000624F7"/>
    <w:rsid w:val="00062D0F"/>
    <w:rsid w:val="00070CE4"/>
    <w:rsid w:val="00082FB2"/>
    <w:rsid w:val="00092613"/>
    <w:rsid w:val="000B2838"/>
    <w:rsid w:val="000B4AAD"/>
    <w:rsid w:val="000D16DC"/>
    <w:rsid w:val="000D2794"/>
    <w:rsid w:val="000D4502"/>
    <w:rsid w:val="000D4A9D"/>
    <w:rsid w:val="000E350A"/>
    <w:rsid w:val="000F1849"/>
    <w:rsid w:val="000F4DDE"/>
    <w:rsid w:val="0010066B"/>
    <w:rsid w:val="00101B3A"/>
    <w:rsid w:val="00106182"/>
    <w:rsid w:val="00106A35"/>
    <w:rsid w:val="00113547"/>
    <w:rsid w:val="0011567F"/>
    <w:rsid w:val="00120AE2"/>
    <w:rsid w:val="0012524F"/>
    <w:rsid w:val="00134FF4"/>
    <w:rsid w:val="00146D79"/>
    <w:rsid w:val="00155FB4"/>
    <w:rsid w:val="001636AD"/>
    <w:rsid w:val="00190AAB"/>
    <w:rsid w:val="00195199"/>
    <w:rsid w:val="001A693E"/>
    <w:rsid w:val="001B7701"/>
    <w:rsid w:val="001C18D1"/>
    <w:rsid w:val="001C2A6F"/>
    <w:rsid w:val="001D77B8"/>
    <w:rsid w:val="001E2CFB"/>
    <w:rsid w:val="001F5C92"/>
    <w:rsid w:val="00220679"/>
    <w:rsid w:val="002255AD"/>
    <w:rsid w:val="00225AAB"/>
    <w:rsid w:val="002425E7"/>
    <w:rsid w:val="00244F71"/>
    <w:rsid w:val="0025229F"/>
    <w:rsid w:val="002635AF"/>
    <w:rsid w:val="00263BFA"/>
    <w:rsid w:val="00291315"/>
    <w:rsid w:val="002A0191"/>
    <w:rsid w:val="002A2C9C"/>
    <w:rsid w:val="002B3CA3"/>
    <w:rsid w:val="002B3E65"/>
    <w:rsid w:val="002B4EFB"/>
    <w:rsid w:val="002C07E7"/>
    <w:rsid w:val="002C0D8A"/>
    <w:rsid w:val="002C6011"/>
    <w:rsid w:val="002E7299"/>
    <w:rsid w:val="002E79CD"/>
    <w:rsid w:val="002F519A"/>
    <w:rsid w:val="00303426"/>
    <w:rsid w:val="00307C47"/>
    <w:rsid w:val="003111AA"/>
    <w:rsid w:val="00320593"/>
    <w:rsid w:val="00323040"/>
    <w:rsid w:val="00357A9E"/>
    <w:rsid w:val="00391069"/>
    <w:rsid w:val="00396100"/>
    <w:rsid w:val="003A2F67"/>
    <w:rsid w:val="003A4FCC"/>
    <w:rsid w:val="003B15D0"/>
    <w:rsid w:val="003B5A7E"/>
    <w:rsid w:val="003B7ADC"/>
    <w:rsid w:val="003C490F"/>
    <w:rsid w:val="003E57D5"/>
    <w:rsid w:val="003F7CC4"/>
    <w:rsid w:val="004010F5"/>
    <w:rsid w:val="004105C7"/>
    <w:rsid w:val="00410C3C"/>
    <w:rsid w:val="0041717C"/>
    <w:rsid w:val="004329FD"/>
    <w:rsid w:val="00435686"/>
    <w:rsid w:val="004358EB"/>
    <w:rsid w:val="00436CFA"/>
    <w:rsid w:val="00443E28"/>
    <w:rsid w:val="00445112"/>
    <w:rsid w:val="00451724"/>
    <w:rsid w:val="00465FA5"/>
    <w:rsid w:val="00473B17"/>
    <w:rsid w:val="00475798"/>
    <w:rsid w:val="004852AE"/>
    <w:rsid w:val="00486D9A"/>
    <w:rsid w:val="004877AD"/>
    <w:rsid w:val="00492EFC"/>
    <w:rsid w:val="00495B7A"/>
    <w:rsid w:val="004A24ED"/>
    <w:rsid w:val="004B4CD5"/>
    <w:rsid w:val="004B50E0"/>
    <w:rsid w:val="004E5D23"/>
    <w:rsid w:val="004F05B7"/>
    <w:rsid w:val="005232A0"/>
    <w:rsid w:val="00530296"/>
    <w:rsid w:val="00557371"/>
    <w:rsid w:val="005727D4"/>
    <w:rsid w:val="00574E18"/>
    <w:rsid w:val="005971B4"/>
    <w:rsid w:val="005B7C8B"/>
    <w:rsid w:val="005C35A6"/>
    <w:rsid w:val="005C3806"/>
    <w:rsid w:val="005D0DFC"/>
    <w:rsid w:val="005D2409"/>
    <w:rsid w:val="005D63BF"/>
    <w:rsid w:val="005E4DD1"/>
    <w:rsid w:val="005F07C9"/>
    <w:rsid w:val="005F5373"/>
    <w:rsid w:val="006001D1"/>
    <w:rsid w:val="00605D0B"/>
    <w:rsid w:val="00625FA7"/>
    <w:rsid w:val="006333B8"/>
    <w:rsid w:val="00636249"/>
    <w:rsid w:val="00652955"/>
    <w:rsid w:val="00653D13"/>
    <w:rsid w:val="00657F74"/>
    <w:rsid w:val="00664B97"/>
    <w:rsid w:val="00671BD6"/>
    <w:rsid w:val="00672A31"/>
    <w:rsid w:val="00672C72"/>
    <w:rsid w:val="00676C7C"/>
    <w:rsid w:val="00681496"/>
    <w:rsid w:val="00693150"/>
    <w:rsid w:val="006945B0"/>
    <w:rsid w:val="006A13DA"/>
    <w:rsid w:val="006A36E5"/>
    <w:rsid w:val="006A4783"/>
    <w:rsid w:val="006B7082"/>
    <w:rsid w:val="006E2BE9"/>
    <w:rsid w:val="006E3D73"/>
    <w:rsid w:val="006F2B67"/>
    <w:rsid w:val="006F49F6"/>
    <w:rsid w:val="00717B6E"/>
    <w:rsid w:val="007228D1"/>
    <w:rsid w:val="00727C4F"/>
    <w:rsid w:val="007310F9"/>
    <w:rsid w:val="007401DD"/>
    <w:rsid w:val="00756AD3"/>
    <w:rsid w:val="00786FAD"/>
    <w:rsid w:val="007B6B42"/>
    <w:rsid w:val="007D6342"/>
    <w:rsid w:val="007E5378"/>
    <w:rsid w:val="007E6A65"/>
    <w:rsid w:val="007E6B7F"/>
    <w:rsid w:val="008113B8"/>
    <w:rsid w:val="0081431C"/>
    <w:rsid w:val="0082527D"/>
    <w:rsid w:val="00826BD6"/>
    <w:rsid w:val="008317E3"/>
    <w:rsid w:val="008445BB"/>
    <w:rsid w:val="00847834"/>
    <w:rsid w:val="00852B02"/>
    <w:rsid w:val="00855A82"/>
    <w:rsid w:val="00860018"/>
    <w:rsid w:val="00865F1F"/>
    <w:rsid w:val="00872290"/>
    <w:rsid w:val="008827AE"/>
    <w:rsid w:val="00882E89"/>
    <w:rsid w:val="00886868"/>
    <w:rsid w:val="008A28EE"/>
    <w:rsid w:val="008A7391"/>
    <w:rsid w:val="008A7A01"/>
    <w:rsid w:val="008B48E3"/>
    <w:rsid w:val="008B5D60"/>
    <w:rsid w:val="008C03E1"/>
    <w:rsid w:val="008C14C5"/>
    <w:rsid w:val="008C643F"/>
    <w:rsid w:val="008D4C58"/>
    <w:rsid w:val="008F241F"/>
    <w:rsid w:val="0094371C"/>
    <w:rsid w:val="00956111"/>
    <w:rsid w:val="009561C6"/>
    <w:rsid w:val="00962532"/>
    <w:rsid w:val="00974176"/>
    <w:rsid w:val="00981F96"/>
    <w:rsid w:val="00995D1A"/>
    <w:rsid w:val="009A265F"/>
    <w:rsid w:val="009A431F"/>
    <w:rsid w:val="009B774F"/>
    <w:rsid w:val="009C1410"/>
    <w:rsid w:val="009D1BD9"/>
    <w:rsid w:val="009D1D19"/>
    <w:rsid w:val="009D243F"/>
    <w:rsid w:val="009E2B7C"/>
    <w:rsid w:val="009E2FFE"/>
    <w:rsid w:val="009E3CEF"/>
    <w:rsid w:val="00A13C18"/>
    <w:rsid w:val="00A55473"/>
    <w:rsid w:val="00A71F12"/>
    <w:rsid w:val="00A9014A"/>
    <w:rsid w:val="00A90748"/>
    <w:rsid w:val="00A93C58"/>
    <w:rsid w:val="00AC41EB"/>
    <w:rsid w:val="00AE7637"/>
    <w:rsid w:val="00AF1EA1"/>
    <w:rsid w:val="00AF2EE3"/>
    <w:rsid w:val="00AF3CE5"/>
    <w:rsid w:val="00B02C5D"/>
    <w:rsid w:val="00B3264C"/>
    <w:rsid w:val="00B33F59"/>
    <w:rsid w:val="00B410CB"/>
    <w:rsid w:val="00B55A53"/>
    <w:rsid w:val="00B5648D"/>
    <w:rsid w:val="00B67E0A"/>
    <w:rsid w:val="00B7034C"/>
    <w:rsid w:val="00B7079A"/>
    <w:rsid w:val="00B715FA"/>
    <w:rsid w:val="00B737F7"/>
    <w:rsid w:val="00B76325"/>
    <w:rsid w:val="00B82D04"/>
    <w:rsid w:val="00B9039C"/>
    <w:rsid w:val="00BA257A"/>
    <w:rsid w:val="00BA31F6"/>
    <w:rsid w:val="00BB6D3B"/>
    <w:rsid w:val="00BD3512"/>
    <w:rsid w:val="00BD3A60"/>
    <w:rsid w:val="00BD646E"/>
    <w:rsid w:val="00BE04C3"/>
    <w:rsid w:val="00BE19EE"/>
    <w:rsid w:val="00BF0D45"/>
    <w:rsid w:val="00BF2657"/>
    <w:rsid w:val="00C0424A"/>
    <w:rsid w:val="00C13A0D"/>
    <w:rsid w:val="00C1498E"/>
    <w:rsid w:val="00C31645"/>
    <w:rsid w:val="00C41A0C"/>
    <w:rsid w:val="00C44760"/>
    <w:rsid w:val="00C47CE1"/>
    <w:rsid w:val="00C53D3E"/>
    <w:rsid w:val="00C562D5"/>
    <w:rsid w:val="00C6776C"/>
    <w:rsid w:val="00C77418"/>
    <w:rsid w:val="00C860C2"/>
    <w:rsid w:val="00CA7184"/>
    <w:rsid w:val="00CB1A25"/>
    <w:rsid w:val="00CB745F"/>
    <w:rsid w:val="00CB7E19"/>
    <w:rsid w:val="00CE2C59"/>
    <w:rsid w:val="00CE3E33"/>
    <w:rsid w:val="00CF6CF2"/>
    <w:rsid w:val="00D050D7"/>
    <w:rsid w:val="00D33E35"/>
    <w:rsid w:val="00D50E1F"/>
    <w:rsid w:val="00D517AF"/>
    <w:rsid w:val="00D51CA9"/>
    <w:rsid w:val="00D603D1"/>
    <w:rsid w:val="00D7748A"/>
    <w:rsid w:val="00D907D1"/>
    <w:rsid w:val="00D93334"/>
    <w:rsid w:val="00D97C06"/>
    <w:rsid w:val="00DA013F"/>
    <w:rsid w:val="00DA6095"/>
    <w:rsid w:val="00DB3354"/>
    <w:rsid w:val="00DB5B9D"/>
    <w:rsid w:val="00DC0BA4"/>
    <w:rsid w:val="00DC1BF2"/>
    <w:rsid w:val="00DC5E97"/>
    <w:rsid w:val="00DD7C83"/>
    <w:rsid w:val="00DE06E5"/>
    <w:rsid w:val="00DE6977"/>
    <w:rsid w:val="00E00F8D"/>
    <w:rsid w:val="00E42FE9"/>
    <w:rsid w:val="00E4653A"/>
    <w:rsid w:val="00E53AA2"/>
    <w:rsid w:val="00E771DD"/>
    <w:rsid w:val="00E776B1"/>
    <w:rsid w:val="00E82286"/>
    <w:rsid w:val="00E87A87"/>
    <w:rsid w:val="00E91261"/>
    <w:rsid w:val="00E93849"/>
    <w:rsid w:val="00EC6F32"/>
    <w:rsid w:val="00ED0785"/>
    <w:rsid w:val="00EE6A77"/>
    <w:rsid w:val="00EF0C71"/>
    <w:rsid w:val="00EF1DA1"/>
    <w:rsid w:val="00EF53E5"/>
    <w:rsid w:val="00F10BF6"/>
    <w:rsid w:val="00F1440A"/>
    <w:rsid w:val="00F1516B"/>
    <w:rsid w:val="00F44C19"/>
    <w:rsid w:val="00F4786B"/>
    <w:rsid w:val="00F52F97"/>
    <w:rsid w:val="00F64629"/>
    <w:rsid w:val="00F7011E"/>
    <w:rsid w:val="00F71E9F"/>
    <w:rsid w:val="00F800B9"/>
    <w:rsid w:val="00FA3A62"/>
    <w:rsid w:val="00FA6788"/>
    <w:rsid w:val="00FA6EE7"/>
    <w:rsid w:val="00FB463E"/>
    <w:rsid w:val="00FC2C48"/>
    <w:rsid w:val="00FC40A4"/>
    <w:rsid w:val="00FD7BD4"/>
    <w:rsid w:val="00FE3036"/>
    <w:rsid w:val="00FE30E4"/>
    <w:rsid w:val="00FE506A"/>
    <w:rsid w:val="00FE7583"/>
    <w:rsid w:val="00FE7627"/>
    <w:rsid w:val="00FF3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E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t-LT"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4FF4"/>
    <w:pPr>
      <w:spacing w:line="240" w:lineRule="auto"/>
    </w:pPr>
    <w:rPr>
      <w:rFonts w:ascii="Times New Roman" w:eastAsia="Times New Roman" w:hAnsi="Times New Roman" w:cs="Times New Roman"/>
      <w:sz w:val="24"/>
      <w:szCs w:val="24"/>
    </w:rPr>
  </w:style>
  <w:style w:type="paragraph" w:styleId="Antrat1">
    <w:name w:val="heading 1"/>
    <w:basedOn w:val="prastasis"/>
    <w:next w:val="prastasis"/>
    <w:uiPriority w:val="9"/>
    <w:qFormat/>
    <w:pPr>
      <w:keepNext/>
      <w:keepLines/>
      <w:spacing w:before="400" w:after="120" w:line="276" w:lineRule="auto"/>
      <w:outlineLvl w:val="0"/>
    </w:pPr>
    <w:rPr>
      <w:rFonts w:ascii="Arial" w:eastAsia="Arial" w:hAnsi="Arial" w:cs="Arial"/>
      <w:sz w:val="40"/>
      <w:szCs w:val="40"/>
    </w:rPr>
  </w:style>
  <w:style w:type="paragraph" w:styleId="Antrat2">
    <w:name w:val="heading 2"/>
    <w:basedOn w:val="prastasis"/>
    <w:next w:val="prastasis"/>
    <w:uiPriority w:val="9"/>
    <w:semiHidden/>
    <w:unhideWhenUsed/>
    <w:qFormat/>
    <w:pPr>
      <w:keepNext/>
      <w:keepLines/>
      <w:spacing w:before="360" w:after="120" w:line="276" w:lineRule="auto"/>
      <w:outlineLvl w:val="1"/>
    </w:pPr>
    <w:rPr>
      <w:rFonts w:ascii="Arial" w:eastAsia="Arial" w:hAnsi="Arial" w:cs="Arial"/>
      <w:sz w:val="32"/>
      <w:szCs w:val="32"/>
    </w:rPr>
  </w:style>
  <w:style w:type="paragraph" w:styleId="Antrat3">
    <w:name w:val="heading 3"/>
    <w:basedOn w:val="prastasis"/>
    <w:next w:val="prastasis"/>
    <w:uiPriority w:val="9"/>
    <w:semiHidden/>
    <w:unhideWhenUsed/>
    <w:qFormat/>
    <w:pPr>
      <w:keepNext/>
      <w:keepLines/>
      <w:spacing w:before="320" w:after="80" w:line="276" w:lineRule="auto"/>
      <w:outlineLvl w:val="2"/>
    </w:pPr>
    <w:rPr>
      <w:rFonts w:ascii="Arial" w:eastAsia="Arial" w:hAnsi="Arial" w:cs="Arial"/>
      <w:color w:val="434343"/>
      <w:sz w:val="28"/>
      <w:szCs w:val="28"/>
    </w:rPr>
  </w:style>
  <w:style w:type="paragraph" w:styleId="Antrat4">
    <w:name w:val="heading 4"/>
    <w:basedOn w:val="prastasis"/>
    <w:next w:val="prastasis"/>
    <w:uiPriority w:val="9"/>
    <w:semiHidden/>
    <w:unhideWhenUsed/>
    <w:qFormat/>
    <w:pPr>
      <w:keepNext/>
      <w:keepLines/>
      <w:spacing w:before="280" w:after="80" w:line="276" w:lineRule="auto"/>
      <w:outlineLvl w:val="3"/>
    </w:pPr>
    <w:rPr>
      <w:rFonts w:ascii="Arial" w:eastAsia="Arial" w:hAnsi="Arial" w:cs="Arial"/>
      <w:color w:val="666666"/>
    </w:rPr>
  </w:style>
  <w:style w:type="paragraph" w:styleId="Antrat5">
    <w:name w:val="heading 5"/>
    <w:basedOn w:val="prastasis"/>
    <w:next w:val="prastasis"/>
    <w:uiPriority w:val="9"/>
    <w:semiHidden/>
    <w:unhideWhenUsed/>
    <w:qFormat/>
    <w:pPr>
      <w:keepNext/>
      <w:keepLines/>
      <w:spacing w:before="240" w:after="80" w:line="276" w:lineRule="auto"/>
      <w:outlineLvl w:val="4"/>
    </w:pPr>
    <w:rPr>
      <w:rFonts w:ascii="Arial" w:eastAsia="Arial" w:hAnsi="Arial" w:cs="Arial"/>
      <w:color w:val="666666"/>
      <w:sz w:val="22"/>
      <w:szCs w:val="22"/>
    </w:rPr>
  </w:style>
  <w:style w:type="paragraph" w:styleId="Antrat6">
    <w:name w:val="heading 6"/>
    <w:basedOn w:val="prastasis"/>
    <w:next w:val="prastasis"/>
    <w:uiPriority w:val="9"/>
    <w:semiHidden/>
    <w:unhideWhenUsed/>
    <w:qFormat/>
    <w:pPr>
      <w:keepNext/>
      <w:keepLines/>
      <w:spacing w:before="240" w:after="80" w:line="276" w:lineRule="auto"/>
      <w:outlineLvl w:val="5"/>
    </w:pPr>
    <w:rPr>
      <w:rFonts w:ascii="Arial" w:eastAsia="Arial" w:hAnsi="Arial" w:cs="Arial"/>
      <w:i/>
      <w:color w:val="666666"/>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after="60" w:line="276" w:lineRule="auto"/>
    </w:pPr>
    <w:rPr>
      <w:rFonts w:ascii="Arial" w:eastAsia="Arial" w:hAnsi="Arial" w:cs="Arial"/>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Paantrat">
    <w:name w:val="Subtitle"/>
    <w:basedOn w:val="prastasis"/>
    <w:next w:val="prastasis"/>
    <w:uiPriority w:val="11"/>
    <w:qFormat/>
    <w:pPr>
      <w:keepNext/>
      <w:keepLines/>
      <w:pBdr>
        <w:top w:val="nil"/>
        <w:left w:val="nil"/>
        <w:bottom w:val="nil"/>
        <w:right w:val="nil"/>
        <w:between w:val="nil"/>
      </w:pBdr>
      <w:spacing w:after="320" w:line="276" w:lineRule="auto"/>
    </w:pPr>
    <w:rPr>
      <w:rFonts w:ascii="Arial" w:eastAsia="Arial" w:hAnsi="Arial" w:cs="Arial"/>
      <w:color w:val="666666"/>
      <w:sz w:val="30"/>
      <w:szCs w:val="30"/>
    </w:rPr>
  </w:style>
  <w:style w:type="paragraph" w:styleId="Sraopastraipa">
    <w:name w:val="List Paragraph"/>
    <w:basedOn w:val="prastasis"/>
    <w:uiPriority w:val="34"/>
    <w:qFormat/>
    <w:rsid w:val="00102566"/>
    <w:pPr>
      <w:spacing w:line="276" w:lineRule="auto"/>
      <w:ind w:left="720"/>
      <w:contextualSpacing/>
    </w:pPr>
    <w:rPr>
      <w:rFonts w:ascii="Arial" w:eastAsia="Arial" w:hAnsi="Arial" w:cs="Arial"/>
      <w:sz w:val="22"/>
      <w:szCs w:val="22"/>
    </w:rPr>
  </w:style>
  <w:style w:type="paragraph" w:styleId="Pagrindinistekstas">
    <w:name w:val="Body Text"/>
    <w:basedOn w:val="prastasis"/>
    <w:link w:val="PagrindinistekstasDiagrama"/>
    <w:rsid w:val="00FF78B4"/>
    <w:pPr>
      <w:jc w:val="both"/>
    </w:pPr>
    <w:rPr>
      <w:lang w:eastAsia="en-US"/>
    </w:rPr>
  </w:style>
  <w:style w:type="character" w:customStyle="1" w:styleId="PagrindinistekstasDiagrama">
    <w:name w:val="Pagrindinis tekstas Diagrama"/>
    <w:basedOn w:val="Numatytasispastraiposriftas"/>
    <w:link w:val="Pagrindinistekstas"/>
    <w:rsid w:val="00FF78B4"/>
    <w:rPr>
      <w:rFonts w:ascii="Times New Roman" w:eastAsia="Times New Roman" w:hAnsi="Times New Roman" w:cs="Times New Roman"/>
      <w:sz w:val="24"/>
      <w:szCs w:val="24"/>
      <w:lang w:val="lt-LT" w:eastAsia="en-US"/>
    </w:rPr>
  </w:style>
  <w:style w:type="character" w:customStyle="1" w:styleId="bkg-highlight-red">
    <w:name w:val="bkg-highlight-red"/>
    <w:basedOn w:val="Numatytasispastraiposriftas"/>
    <w:rsid w:val="00FF78B4"/>
  </w:style>
  <w:style w:type="paragraph" w:styleId="Betarp">
    <w:name w:val="No Spacing"/>
    <w:uiPriority w:val="1"/>
    <w:qFormat/>
    <w:rsid w:val="00FF78B4"/>
    <w:pPr>
      <w:widowControl w:val="0"/>
      <w:autoSpaceDE w:val="0"/>
      <w:autoSpaceDN w:val="0"/>
      <w:spacing w:line="240" w:lineRule="auto"/>
    </w:pPr>
    <w:rPr>
      <w:rFonts w:ascii="Times New Roman" w:eastAsia="Times New Roman" w:hAnsi="Times New Roman" w:cs="Times New Roman"/>
      <w:sz w:val="20"/>
      <w:szCs w:val="20"/>
      <w:lang w:val="en-US" w:eastAsia="en-US"/>
    </w:rPr>
  </w:style>
  <w:style w:type="character" w:customStyle="1" w:styleId="blackcaption">
    <w:name w:val="black_caption"/>
    <w:basedOn w:val="Numatytasispastraiposriftas"/>
    <w:rsid w:val="00E06F20"/>
  </w:style>
  <w:style w:type="character" w:styleId="Hipersaitas">
    <w:name w:val="Hyperlink"/>
    <w:basedOn w:val="Numatytasispastraiposriftas"/>
    <w:unhideWhenUsed/>
    <w:rsid w:val="007E069B"/>
    <w:rPr>
      <w:color w:val="0000FF"/>
      <w:u w:val="single"/>
    </w:rPr>
  </w:style>
  <w:style w:type="paragraph" w:customStyle="1" w:styleId="Style17">
    <w:name w:val="Style17"/>
    <w:basedOn w:val="prastasis"/>
    <w:uiPriority w:val="99"/>
    <w:rsid w:val="007E069B"/>
    <w:pPr>
      <w:widowControl w:val="0"/>
      <w:autoSpaceDE w:val="0"/>
      <w:autoSpaceDN w:val="0"/>
      <w:adjustRightInd w:val="0"/>
      <w:spacing w:line="317" w:lineRule="exact"/>
      <w:ind w:firstLine="538"/>
      <w:jc w:val="both"/>
    </w:pPr>
    <w:rPr>
      <w:rFonts w:eastAsiaTheme="minorEastAsia"/>
    </w:rPr>
  </w:style>
  <w:style w:type="paragraph" w:styleId="Pagrindinistekstas2">
    <w:name w:val="Body Text 2"/>
    <w:basedOn w:val="prastasis"/>
    <w:link w:val="Pagrindinistekstas2Diagrama"/>
    <w:uiPriority w:val="99"/>
    <w:rsid w:val="00101B3A"/>
    <w:pPr>
      <w:spacing w:after="120" w:line="480" w:lineRule="auto"/>
    </w:pPr>
    <w:rPr>
      <w:lang w:eastAsia="en-US"/>
    </w:rPr>
  </w:style>
  <w:style w:type="character" w:customStyle="1" w:styleId="BodyText2Char">
    <w:name w:val="Body Text 2 Char"/>
    <w:basedOn w:val="Numatytasispastraiposriftas"/>
    <w:uiPriority w:val="99"/>
    <w:semiHidden/>
    <w:rsid w:val="00101B3A"/>
    <w:rPr>
      <w:rFonts w:ascii="Times New Roman" w:eastAsia="Times New Roman" w:hAnsi="Times New Roman" w:cs="Times New Roman"/>
      <w:sz w:val="24"/>
      <w:szCs w:val="24"/>
    </w:rPr>
  </w:style>
  <w:style w:type="character" w:customStyle="1" w:styleId="Pagrindinistekstas2Diagrama">
    <w:name w:val="Pagrindinis tekstas 2 Diagrama"/>
    <w:link w:val="Pagrindinistekstas2"/>
    <w:uiPriority w:val="99"/>
    <w:locked/>
    <w:rsid w:val="00101B3A"/>
    <w:rPr>
      <w:rFonts w:ascii="Times New Roman" w:eastAsia="Times New Roman" w:hAnsi="Times New Roman" w:cs="Times New Roman"/>
      <w:sz w:val="24"/>
      <w:szCs w:val="24"/>
      <w:lang w:eastAsia="en-US"/>
    </w:rPr>
  </w:style>
  <w:style w:type="paragraph" w:styleId="Pagrindiniotekstotrauka2">
    <w:name w:val="Body Text Indent 2"/>
    <w:basedOn w:val="prastasis"/>
    <w:link w:val="Pagrindiniotekstotrauka2Diagrama"/>
    <w:uiPriority w:val="99"/>
    <w:semiHidden/>
    <w:unhideWhenUsed/>
    <w:rsid w:val="00A71F1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71F12"/>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A2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77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11832</Words>
  <Characters>6745</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2026-06-23T11:17:00Z</dcterms:created>
  <dcterms:modified xsi:type="dcterms:W3CDTF">2026-06-23T11:17:00Z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990f2a565cab4ef5b9acee214b7b1381202606231416499">
    <vt:lpwstr>4JrHJ8AoaP66MgTfFQOQIUEtgbo=</vt:lpwstr>
  </property>
</Properties>
</file>