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F3256" w14:textId="3AA1E22D" w:rsidR="00114621" w:rsidRPr="00FA26E3" w:rsidRDefault="00114621" w:rsidP="000F5778">
      <w:pPr>
        <w:spacing w:line="240" w:lineRule="auto"/>
        <w:jc w:val="right"/>
        <w:rPr>
          <w:rFonts w:ascii="Times New Roman" w:eastAsia="Times New Roman" w:hAnsi="Times New Roman" w:cs="Times New Roman"/>
          <w:sz w:val="24"/>
          <w:szCs w:val="24"/>
          <w:lang w:val="lt-LT"/>
        </w:rPr>
      </w:pPr>
      <w:r w:rsidRPr="00FA26E3">
        <w:rPr>
          <w:rFonts w:ascii="Times New Roman" w:eastAsia="Times New Roman" w:hAnsi="Times New Roman" w:cs="Times New Roman"/>
          <w:sz w:val="24"/>
          <w:szCs w:val="24"/>
          <w:lang w:val="lt-LT"/>
        </w:rPr>
        <w:t>Administracinė byla Nr.</w:t>
      </w:r>
      <w:r w:rsidR="00A77D2F" w:rsidRPr="00FA26E3">
        <w:t xml:space="preserve"> </w:t>
      </w:r>
      <w:r w:rsidR="000F5778" w:rsidRPr="00FA26E3">
        <w:rPr>
          <w:rFonts w:ascii="Times New Roman" w:eastAsia="Times New Roman" w:hAnsi="Times New Roman" w:cs="Times New Roman"/>
          <w:sz w:val="24"/>
          <w:szCs w:val="24"/>
        </w:rPr>
        <w:t>eA-</w:t>
      </w:r>
      <w:r w:rsidR="00955CCF">
        <w:rPr>
          <w:rFonts w:ascii="Times New Roman" w:eastAsia="Times New Roman" w:hAnsi="Times New Roman" w:cs="Times New Roman"/>
          <w:sz w:val="24"/>
          <w:szCs w:val="24"/>
        </w:rPr>
        <w:t>610-821</w:t>
      </w:r>
      <w:r w:rsidR="000F5778" w:rsidRPr="00FA26E3">
        <w:rPr>
          <w:rFonts w:ascii="Times New Roman" w:eastAsia="Times New Roman" w:hAnsi="Times New Roman" w:cs="Times New Roman"/>
          <w:sz w:val="24"/>
          <w:szCs w:val="24"/>
        </w:rPr>
        <w:t>/2026</w:t>
      </w:r>
    </w:p>
    <w:p w14:paraId="74785ACA" w14:textId="33E0DF9C" w:rsidR="00D3097E" w:rsidRPr="00FA26E3" w:rsidRDefault="00114621" w:rsidP="000F5778">
      <w:pPr>
        <w:spacing w:line="240" w:lineRule="auto"/>
        <w:jc w:val="right"/>
        <w:rPr>
          <w:rFonts w:ascii="Times New Roman" w:eastAsia="Times New Roman" w:hAnsi="Times New Roman" w:cs="Times New Roman"/>
          <w:sz w:val="24"/>
          <w:szCs w:val="24"/>
        </w:rPr>
      </w:pPr>
      <w:r w:rsidRPr="00FA26E3">
        <w:rPr>
          <w:rFonts w:ascii="Times New Roman" w:eastAsia="Times New Roman" w:hAnsi="Times New Roman" w:cs="Times New Roman"/>
          <w:sz w:val="24"/>
          <w:szCs w:val="24"/>
          <w:lang w:val="lt-LT"/>
        </w:rPr>
        <w:t xml:space="preserve">Teisminio proceso Nr. </w:t>
      </w:r>
      <w:r w:rsidR="00955CCF" w:rsidRPr="00955CCF">
        <w:rPr>
          <w:rFonts w:ascii="Times New Roman" w:eastAsia="Times New Roman" w:hAnsi="Times New Roman" w:cs="Times New Roman"/>
          <w:sz w:val="24"/>
          <w:szCs w:val="24"/>
        </w:rPr>
        <w:t>3-61-3-10075-2023-3</w:t>
      </w:r>
    </w:p>
    <w:p w14:paraId="3EAD026E" w14:textId="79036D65" w:rsidR="00114621" w:rsidRDefault="00114621" w:rsidP="00D3097E">
      <w:pPr>
        <w:spacing w:line="240" w:lineRule="auto"/>
        <w:jc w:val="right"/>
        <w:rPr>
          <w:rFonts w:asciiTheme="majorBidi" w:eastAsia="Times New Roman" w:hAnsiTheme="majorBidi" w:cstheme="majorBidi"/>
          <w:sz w:val="24"/>
          <w:szCs w:val="24"/>
          <w:lang w:val="lt-LT"/>
        </w:rPr>
      </w:pPr>
      <w:r w:rsidRPr="00FA26E3">
        <w:rPr>
          <w:rFonts w:ascii="Times New Roman" w:eastAsia="Times New Roman" w:hAnsi="Times New Roman" w:cs="Times New Roman"/>
          <w:sz w:val="24"/>
          <w:szCs w:val="24"/>
          <w:lang w:val="lt-LT"/>
        </w:rPr>
        <w:t xml:space="preserve">Procesinio sprendimo </w:t>
      </w:r>
      <w:r w:rsidRPr="00FA26E3">
        <w:rPr>
          <w:rFonts w:asciiTheme="majorBidi" w:eastAsia="Times New Roman" w:hAnsiTheme="majorBidi" w:cstheme="majorBidi"/>
          <w:sz w:val="24"/>
          <w:szCs w:val="24"/>
          <w:lang w:val="lt-LT"/>
        </w:rPr>
        <w:t>kategorij</w:t>
      </w:r>
      <w:r w:rsidR="0038450F" w:rsidRPr="00FA26E3">
        <w:rPr>
          <w:rFonts w:asciiTheme="majorBidi" w:eastAsia="Times New Roman" w:hAnsiTheme="majorBidi" w:cstheme="majorBidi"/>
          <w:sz w:val="24"/>
          <w:szCs w:val="24"/>
          <w:lang w:val="lt-LT"/>
        </w:rPr>
        <w:t xml:space="preserve">a </w:t>
      </w:r>
      <w:r w:rsidR="000F5778" w:rsidRPr="00FA26E3">
        <w:rPr>
          <w:rFonts w:asciiTheme="majorBidi" w:eastAsia="Times New Roman" w:hAnsiTheme="majorBidi" w:cstheme="majorBidi"/>
          <w:sz w:val="24"/>
          <w:szCs w:val="24"/>
          <w:lang w:val="lt-LT"/>
        </w:rPr>
        <w:t>29.1.2</w:t>
      </w:r>
    </w:p>
    <w:p w14:paraId="13B8BD19" w14:textId="6CDE80BD" w:rsidR="00D115CB" w:rsidRDefault="00D115CB" w:rsidP="00D3097E">
      <w:pPr>
        <w:spacing w:line="240" w:lineRule="auto"/>
        <w:jc w:val="right"/>
        <w:rPr>
          <w:rFonts w:asciiTheme="majorBidi" w:eastAsia="Times New Roman" w:hAnsiTheme="majorBidi" w:cstheme="majorBidi"/>
          <w:sz w:val="24"/>
          <w:szCs w:val="24"/>
          <w:lang w:val="lt-LT"/>
        </w:rPr>
      </w:pPr>
      <w:r>
        <w:rPr>
          <w:rFonts w:asciiTheme="majorBidi" w:eastAsia="Times New Roman" w:hAnsiTheme="majorBidi" w:cstheme="majorBidi"/>
          <w:sz w:val="24"/>
          <w:szCs w:val="24"/>
          <w:lang w:val="lt-LT"/>
        </w:rPr>
        <w:t>(S)</w:t>
      </w:r>
    </w:p>
    <w:p w14:paraId="3E09282A" w14:textId="77777777" w:rsidR="00E00756" w:rsidRPr="00FA26E3" w:rsidRDefault="00E00756" w:rsidP="00FA2D05">
      <w:pPr>
        <w:spacing w:line="240" w:lineRule="auto"/>
        <w:jc w:val="right"/>
        <w:rPr>
          <w:rFonts w:ascii="Times New Roman" w:eastAsia="Times New Roman" w:hAnsi="Times New Roman" w:cs="Times New Roman"/>
          <w:sz w:val="24"/>
          <w:szCs w:val="24"/>
          <w:lang w:val="lt-LT"/>
        </w:rPr>
      </w:pPr>
    </w:p>
    <w:p w14:paraId="674C14CB" w14:textId="09F40548" w:rsidR="005D32F1" w:rsidRPr="00FA26E3" w:rsidRDefault="006235E0">
      <w:pPr>
        <w:tabs>
          <w:tab w:val="left" w:pos="142"/>
          <w:tab w:val="left" w:pos="1134"/>
        </w:tabs>
        <w:spacing w:line="240" w:lineRule="auto"/>
        <w:ind w:right="2"/>
        <w:jc w:val="center"/>
        <w:rPr>
          <w:rFonts w:ascii="Times New Roman" w:eastAsia="Times New Roman" w:hAnsi="Times New Roman" w:cs="Times New Roman"/>
          <w:sz w:val="24"/>
          <w:szCs w:val="24"/>
        </w:rPr>
      </w:pPr>
      <w:r w:rsidRPr="00FA26E3">
        <w:rPr>
          <w:rFonts w:ascii="Times New Roman" w:eastAsia="Times New Roman" w:hAnsi="Times New Roman" w:cs="Times New Roman"/>
          <w:noProof/>
          <w:sz w:val="24"/>
          <w:szCs w:val="24"/>
        </w:rPr>
        <w:drawing>
          <wp:inline distT="0" distB="0" distL="0" distR="0" wp14:anchorId="5890DFF9" wp14:editId="436EBA75">
            <wp:extent cx="572770" cy="646430"/>
            <wp:effectExtent l="0" t="0" r="0" b="1270"/>
            <wp:docPr id="192253742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 cy="646430"/>
                    </a:xfrm>
                    <a:prstGeom prst="rect">
                      <a:avLst/>
                    </a:prstGeom>
                    <a:noFill/>
                  </pic:spPr>
                </pic:pic>
              </a:graphicData>
            </a:graphic>
          </wp:inline>
        </w:drawing>
      </w:r>
    </w:p>
    <w:p w14:paraId="6CC6956C" w14:textId="77777777" w:rsidR="005D32F1" w:rsidRPr="00FA26E3" w:rsidRDefault="005D32F1">
      <w:pPr>
        <w:tabs>
          <w:tab w:val="left" w:pos="142"/>
          <w:tab w:val="left" w:pos="1134"/>
        </w:tabs>
        <w:spacing w:line="240" w:lineRule="auto"/>
        <w:ind w:right="2"/>
        <w:jc w:val="center"/>
        <w:rPr>
          <w:rFonts w:ascii="Times New Roman" w:eastAsia="Times New Roman" w:hAnsi="Times New Roman" w:cs="Times New Roman"/>
          <w:sz w:val="24"/>
          <w:szCs w:val="24"/>
        </w:rPr>
      </w:pPr>
    </w:p>
    <w:p w14:paraId="195F3CBC" w14:textId="77777777" w:rsidR="005D32F1" w:rsidRPr="00FA26E3" w:rsidRDefault="003453C3">
      <w:pPr>
        <w:tabs>
          <w:tab w:val="left" w:pos="142"/>
          <w:tab w:val="left" w:pos="1134"/>
        </w:tabs>
        <w:spacing w:line="240" w:lineRule="auto"/>
        <w:ind w:right="2"/>
        <w:jc w:val="center"/>
        <w:rPr>
          <w:rFonts w:ascii="Times New Roman" w:eastAsia="Times New Roman" w:hAnsi="Times New Roman" w:cs="Times New Roman"/>
          <w:b/>
          <w:sz w:val="24"/>
          <w:szCs w:val="24"/>
        </w:rPr>
      </w:pPr>
      <w:r w:rsidRPr="00FA26E3">
        <w:rPr>
          <w:rFonts w:ascii="Times New Roman" w:eastAsia="Times New Roman" w:hAnsi="Times New Roman" w:cs="Times New Roman"/>
          <w:b/>
          <w:sz w:val="24"/>
          <w:szCs w:val="24"/>
        </w:rPr>
        <w:t>LIETUVOS VYRIAUSIASIS ADMINISTRACINIS TEISMAS</w:t>
      </w:r>
    </w:p>
    <w:p w14:paraId="75A9AC5E" w14:textId="77777777" w:rsidR="005D32F1" w:rsidRPr="00FA26E3" w:rsidRDefault="005D32F1">
      <w:pPr>
        <w:tabs>
          <w:tab w:val="left" w:pos="142"/>
          <w:tab w:val="left" w:pos="1134"/>
        </w:tabs>
        <w:spacing w:line="240" w:lineRule="auto"/>
        <w:ind w:right="2"/>
        <w:jc w:val="center"/>
        <w:rPr>
          <w:rFonts w:ascii="Times New Roman" w:eastAsia="Times New Roman" w:hAnsi="Times New Roman" w:cs="Times New Roman"/>
          <w:sz w:val="24"/>
          <w:szCs w:val="24"/>
        </w:rPr>
      </w:pPr>
    </w:p>
    <w:p w14:paraId="09469B92" w14:textId="3439D9D0" w:rsidR="005D32F1" w:rsidRPr="00FA26E3" w:rsidRDefault="00E80CF5">
      <w:pPr>
        <w:spacing w:line="240" w:lineRule="auto"/>
        <w:ind w:right="2"/>
        <w:jc w:val="center"/>
        <w:rPr>
          <w:rFonts w:ascii="Times New Roman" w:eastAsia="Times New Roman" w:hAnsi="Times New Roman" w:cs="Times New Roman"/>
          <w:b/>
          <w:sz w:val="24"/>
          <w:szCs w:val="24"/>
        </w:rPr>
      </w:pPr>
      <w:r w:rsidRPr="00DC1DF3">
        <w:rPr>
          <w:rFonts w:ascii="Times New Roman" w:eastAsia="Times New Roman" w:hAnsi="Times New Roman" w:cs="Times New Roman"/>
          <w:b/>
          <w:sz w:val="24"/>
          <w:szCs w:val="24"/>
        </w:rPr>
        <w:t>S P R E N D I M A S</w:t>
      </w:r>
    </w:p>
    <w:p w14:paraId="74CAE89B" w14:textId="77777777" w:rsidR="005D32F1" w:rsidRPr="00FA26E3" w:rsidRDefault="003453C3">
      <w:pPr>
        <w:keepNext/>
        <w:tabs>
          <w:tab w:val="left" w:pos="142"/>
          <w:tab w:val="left" w:pos="1134"/>
        </w:tabs>
        <w:spacing w:line="240" w:lineRule="auto"/>
        <w:ind w:right="2"/>
        <w:jc w:val="center"/>
        <w:rPr>
          <w:rFonts w:ascii="Times New Roman" w:eastAsia="Times New Roman" w:hAnsi="Times New Roman" w:cs="Times New Roman"/>
          <w:b/>
          <w:sz w:val="24"/>
          <w:szCs w:val="24"/>
        </w:rPr>
      </w:pPr>
      <w:r w:rsidRPr="00FA26E3">
        <w:rPr>
          <w:rFonts w:ascii="Times New Roman" w:eastAsia="Times New Roman" w:hAnsi="Times New Roman" w:cs="Times New Roman"/>
          <w:b/>
          <w:sz w:val="24"/>
          <w:szCs w:val="24"/>
        </w:rPr>
        <w:t>LIETUVOS RESPUBLIKOS VARDU</w:t>
      </w:r>
    </w:p>
    <w:p w14:paraId="274A87D5" w14:textId="77777777" w:rsidR="005D32F1" w:rsidRPr="00FA26E3" w:rsidRDefault="005D32F1">
      <w:pPr>
        <w:tabs>
          <w:tab w:val="left" w:pos="142"/>
          <w:tab w:val="left" w:pos="1134"/>
        </w:tabs>
        <w:spacing w:line="240" w:lineRule="auto"/>
        <w:ind w:right="2"/>
        <w:jc w:val="center"/>
        <w:rPr>
          <w:rFonts w:ascii="Times New Roman" w:eastAsia="Times New Roman" w:hAnsi="Times New Roman" w:cs="Times New Roman"/>
          <w:sz w:val="24"/>
          <w:szCs w:val="24"/>
        </w:rPr>
      </w:pPr>
    </w:p>
    <w:p w14:paraId="7149C43A" w14:textId="5F7DDED3" w:rsidR="005D32F1" w:rsidRPr="00FA26E3" w:rsidRDefault="003453C3">
      <w:pPr>
        <w:tabs>
          <w:tab w:val="left" w:pos="142"/>
          <w:tab w:val="left" w:pos="1134"/>
        </w:tabs>
        <w:spacing w:line="240" w:lineRule="auto"/>
        <w:ind w:right="2"/>
        <w:jc w:val="center"/>
        <w:rPr>
          <w:rFonts w:ascii="Times New Roman" w:eastAsia="Times New Roman" w:hAnsi="Times New Roman" w:cs="Times New Roman"/>
          <w:sz w:val="24"/>
          <w:szCs w:val="24"/>
        </w:rPr>
      </w:pPr>
      <w:r w:rsidRPr="00FA26E3">
        <w:rPr>
          <w:rFonts w:ascii="Times New Roman" w:eastAsia="Times New Roman" w:hAnsi="Times New Roman" w:cs="Times New Roman"/>
          <w:sz w:val="24"/>
          <w:szCs w:val="24"/>
        </w:rPr>
        <w:t>202</w:t>
      </w:r>
      <w:r w:rsidR="00292EEB" w:rsidRPr="00FA26E3">
        <w:rPr>
          <w:rFonts w:ascii="Times New Roman" w:eastAsia="Times New Roman" w:hAnsi="Times New Roman" w:cs="Times New Roman"/>
          <w:sz w:val="24"/>
          <w:szCs w:val="24"/>
        </w:rPr>
        <w:t>6</w:t>
      </w:r>
      <w:r w:rsidRPr="00FA26E3">
        <w:rPr>
          <w:rFonts w:ascii="Times New Roman" w:eastAsia="Times New Roman" w:hAnsi="Times New Roman" w:cs="Times New Roman"/>
          <w:sz w:val="24"/>
          <w:szCs w:val="24"/>
        </w:rPr>
        <w:t xml:space="preserve"> m. </w:t>
      </w:r>
      <w:r w:rsidR="00955CCF">
        <w:rPr>
          <w:rFonts w:ascii="Times New Roman" w:eastAsia="Times New Roman" w:hAnsi="Times New Roman" w:cs="Times New Roman"/>
          <w:sz w:val="24"/>
          <w:szCs w:val="24"/>
        </w:rPr>
        <w:t>spalio 14</w:t>
      </w:r>
      <w:r w:rsidR="000A7349" w:rsidRPr="00FA26E3">
        <w:rPr>
          <w:rFonts w:ascii="Times New Roman" w:eastAsia="Times New Roman" w:hAnsi="Times New Roman" w:cs="Times New Roman"/>
          <w:sz w:val="24"/>
          <w:szCs w:val="24"/>
        </w:rPr>
        <w:t xml:space="preserve"> </w:t>
      </w:r>
      <w:r w:rsidRPr="00FA26E3">
        <w:rPr>
          <w:rFonts w:ascii="Times New Roman" w:eastAsia="Times New Roman" w:hAnsi="Times New Roman" w:cs="Times New Roman"/>
          <w:sz w:val="24"/>
          <w:szCs w:val="24"/>
        </w:rPr>
        <w:t>d.</w:t>
      </w:r>
    </w:p>
    <w:p w14:paraId="35F9DAB5" w14:textId="77777777" w:rsidR="005D32F1" w:rsidRPr="00FA26E3" w:rsidRDefault="003453C3">
      <w:pPr>
        <w:tabs>
          <w:tab w:val="left" w:pos="142"/>
          <w:tab w:val="left" w:pos="1134"/>
        </w:tabs>
        <w:spacing w:line="240" w:lineRule="auto"/>
        <w:ind w:right="2"/>
        <w:jc w:val="center"/>
        <w:rPr>
          <w:rFonts w:ascii="Times New Roman" w:eastAsia="Times New Roman" w:hAnsi="Times New Roman" w:cs="Times New Roman"/>
          <w:sz w:val="24"/>
          <w:szCs w:val="24"/>
        </w:rPr>
      </w:pPr>
      <w:r w:rsidRPr="00FA26E3">
        <w:rPr>
          <w:rFonts w:ascii="Times New Roman" w:eastAsia="Times New Roman" w:hAnsi="Times New Roman" w:cs="Times New Roman"/>
          <w:sz w:val="24"/>
          <w:szCs w:val="24"/>
        </w:rPr>
        <w:t>Vilnius</w:t>
      </w:r>
    </w:p>
    <w:p w14:paraId="4D48327C" w14:textId="77777777" w:rsidR="005D32F1" w:rsidRPr="00FA26E3" w:rsidRDefault="005D32F1">
      <w:pPr>
        <w:tabs>
          <w:tab w:val="left" w:pos="142"/>
          <w:tab w:val="left" w:pos="1134"/>
        </w:tabs>
        <w:spacing w:line="240" w:lineRule="auto"/>
        <w:ind w:right="2"/>
        <w:jc w:val="center"/>
        <w:rPr>
          <w:rFonts w:ascii="Times New Roman" w:eastAsia="Times New Roman" w:hAnsi="Times New Roman" w:cs="Times New Roman"/>
          <w:sz w:val="24"/>
          <w:szCs w:val="24"/>
        </w:rPr>
      </w:pPr>
    </w:p>
    <w:p w14:paraId="268B6FBE" w14:textId="030700E4" w:rsidR="00790B5A" w:rsidRPr="00FA26E3" w:rsidRDefault="00790B5A" w:rsidP="00790B5A">
      <w:pPr>
        <w:tabs>
          <w:tab w:val="left" w:pos="1139"/>
        </w:tabs>
        <w:spacing w:line="240" w:lineRule="auto"/>
        <w:ind w:firstLine="705"/>
        <w:jc w:val="both"/>
        <w:rPr>
          <w:rFonts w:ascii="Times New Roman" w:eastAsia="Times New Roman" w:hAnsi="Times New Roman" w:cs="Times New Roman"/>
          <w:sz w:val="24"/>
          <w:szCs w:val="24"/>
          <w:lang w:val="lt-LT"/>
        </w:rPr>
      </w:pPr>
      <w:bookmarkStart w:id="0" w:name="_gjdgxs" w:colFirst="0" w:colLast="0"/>
      <w:bookmarkStart w:id="1" w:name="_Hlk29477685"/>
      <w:bookmarkStart w:id="2" w:name="_Hlk189742023"/>
      <w:bookmarkStart w:id="3" w:name="_Hlk185360237"/>
      <w:bookmarkEnd w:id="0"/>
      <w:r w:rsidRPr="00FA26E3">
        <w:rPr>
          <w:rFonts w:ascii="Times New Roman" w:eastAsia="Times New Roman" w:hAnsi="Times New Roman" w:cs="Times New Roman"/>
          <w:sz w:val="24"/>
          <w:szCs w:val="24"/>
          <w:lang w:val="lt-LT"/>
        </w:rPr>
        <w:t xml:space="preserve">Lietuvos vyriausiojo administracinio teismo teisėjų kolegija, susidedanti iš teisėjų </w:t>
      </w:r>
      <w:r w:rsidR="00955CCF">
        <w:rPr>
          <w:rFonts w:ascii="Times New Roman" w:eastAsia="Times New Roman" w:hAnsi="Times New Roman" w:cs="Times New Roman"/>
          <w:sz w:val="24"/>
          <w:szCs w:val="24"/>
          <w:lang w:val="lt-LT"/>
        </w:rPr>
        <w:t xml:space="preserve">Audriaus </w:t>
      </w:r>
      <w:proofErr w:type="spellStart"/>
      <w:r w:rsidR="00955CCF">
        <w:rPr>
          <w:rFonts w:ascii="Times New Roman" w:eastAsia="Times New Roman" w:hAnsi="Times New Roman" w:cs="Times New Roman"/>
          <w:sz w:val="24"/>
          <w:szCs w:val="24"/>
          <w:lang w:val="lt-LT"/>
        </w:rPr>
        <w:t>Bakavecko</w:t>
      </w:r>
      <w:proofErr w:type="spellEnd"/>
      <w:r w:rsidR="00087F97" w:rsidRPr="00FA26E3">
        <w:rPr>
          <w:rFonts w:ascii="Times New Roman" w:eastAsia="Times New Roman" w:hAnsi="Times New Roman" w:cs="Times New Roman"/>
          <w:sz w:val="24"/>
          <w:szCs w:val="24"/>
          <w:lang w:val="lt-LT"/>
        </w:rPr>
        <w:t xml:space="preserve"> </w:t>
      </w:r>
      <w:r w:rsidR="00B3790E" w:rsidRPr="00FA26E3">
        <w:rPr>
          <w:rFonts w:ascii="Times New Roman" w:eastAsia="Times New Roman" w:hAnsi="Times New Roman" w:cs="Times New Roman"/>
          <w:sz w:val="24"/>
          <w:szCs w:val="24"/>
          <w:lang w:val="lt-LT"/>
        </w:rPr>
        <w:t>(</w:t>
      </w:r>
      <w:r w:rsidR="00D3097E" w:rsidRPr="00FA26E3">
        <w:rPr>
          <w:rFonts w:ascii="Times New Roman" w:eastAsia="Times New Roman" w:hAnsi="Times New Roman" w:cs="Times New Roman"/>
          <w:sz w:val="24"/>
          <w:szCs w:val="24"/>
          <w:lang w:val="lt-LT"/>
        </w:rPr>
        <w:t>kolegijos pirmininkas</w:t>
      </w:r>
      <w:r w:rsidR="00207695" w:rsidRPr="00FA26E3">
        <w:rPr>
          <w:rFonts w:ascii="Times New Roman" w:eastAsia="Times New Roman" w:hAnsi="Times New Roman" w:cs="Times New Roman"/>
          <w:sz w:val="24"/>
          <w:szCs w:val="24"/>
          <w:lang w:val="lt-LT"/>
        </w:rPr>
        <w:t xml:space="preserve">), </w:t>
      </w:r>
      <w:bookmarkStart w:id="4" w:name="_Hlk29479952"/>
      <w:bookmarkEnd w:id="1"/>
      <w:r w:rsidR="00955CCF">
        <w:rPr>
          <w:rFonts w:ascii="Times New Roman" w:eastAsia="Times New Roman" w:hAnsi="Times New Roman" w:cs="Times New Roman"/>
          <w:sz w:val="24"/>
          <w:szCs w:val="24"/>
          <w:lang w:val="lt-LT"/>
        </w:rPr>
        <w:t xml:space="preserve">Ramūno Gadliausko ir Ivetos </w:t>
      </w:r>
      <w:proofErr w:type="spellStart"/>
      <w:r w:rsidR="00955CCF">
        <w:rPr>
          <w:rFonts w:ascii="Times New Roman" w:eastAsia="Times New Roman" w:hAnsi="Times New Roman" w:cs="Times New Roman"/>
          <w:sz w:val="24"/>
          <w:szCs w:val="24"/>
          <w:lang w:val="lt-LT"/>
        </w:rPr>
        <w:t>Pelienės</w:t>
      </w:r>
      <w:proofErr w:type="spellEnd"/>
      <w:r w:rsidR="00DC1DF3">
        <w:rPr>
          <w:rFonts w:ascii="Times New Roman" w:eastAsia="Times New Roman" w:hAnsi="Times New Roman" w:cs="Times New Roman"/>
          <w:sz w:val="24"/>
          <w:szCs w:val="24"/>
          <w:lang w:val="lt-LT"/>
        </w:rPr>
        <w:t xml:space="preserve"> (pranešėja)</w:t>
      </w:r>
      <w:r w:rsidR="00955CCF">
        <w:rPr>
          <w:rFonts w:ascii="Times New Roman" w:eastAsia="Times New Roman" w:hAnsi="Times New Roman" w:cs="Times New Roman"/>
          <w:sz w:val="24"/>
          <w:szCs w:val="24"/>
          <w:lang w:val="lt-LT"/>
        </w:rPr>
        <w:t>,</w:t>
      </w:r>
    </w:p>
    <w:bookmarkEnd w:id="2"/>
    <w:bookmarkEnd w:id="4"/>
    <w:p w14:paraId="6B640D28" w14:textId="071E85EC" w:rsidR="005D32F1" w:rsidRPr="00FA26E3" w:rsidRDefault="003453C3" w:rsidP="000F5778">
      <w:pPr>
        <w:tabs>
          <w:tab w:val="left" w:pos="1139"/>
        </w:tabs>
        <w:spacing w:line="240" w:lineRule="auto"/>
        <w:ind w:firstLine="705"/>
        <w:jc w:val="both"/>
        <w:rPr>
          <w:rFonts w:ascii="Times New Roman" w:eastAsia="Times New Roman" w:hAnsi="Times New Roman" w:cs="Times New Roman"/>
          <w:sz w:val="24"/>
          <w:szCs w:val="24"/>
          <w:lang w:val="lt-LT"/>
        </w:rPr>
      </w:pPr>
      <w:r w:rsidRPr="00FA26E3">
        <w:rPr>
          <w:rFonts w:ascii="Times New Roman" w:eastAsia="Times New Roman" w:hAnsi="Times New Roman" w:cs="Times New Roman"/>
          <w:sz w:val="24"/>
          <w:szCs w:val="24"/>
        </w:rPr>
        <w:t xml:space="preserve">teismo posėdyje apeliacine rašytinio proceso tvarka išnagrinėjo administracinę bylą pagal </w:t>
      </w:r>
      <w:r w:rsidR="000F5778" w:rsidRPr="00FA26E3">
        <w:rPr>
          <w:rFonts w:ascii="Times New Roman" w:eastAsia="Times New Roman" w:hAnsi="Times New Roman" w:cs="Times New Roman"/>
          <w:sz w:val="24"/>
          <w:szCs w:val="24"/>
        </w:rPr>
        <w:t xml:space="preserve">pareiškėjo Vilniaus miesto savivaldybės administracijos ir trečiojo suinteresuoto asmens savivaldybės įmonės „Vilniaus miesto būstas“ </w:t>
      </w:r>
      <w:r w:rsidR="00281FC6" w:rsidRPr="00FA26E3">
        <w:rPr>
          <w:rFonts w:ascii="Times New Roman" w:eastAsia="Times New Roman" w:hAnsi="Times New Roman" w:cs="Times New Roman"/>
          <w:sz w:val="24"/>
          <w:szCs w:val="24"/>
        </w:rPr>
        <w:t>apeliacin</w:t>
      </w:r>
      <w:r w:rsidR="000F5778" w:rsidRPr="00FA26E3">
        <w:rPr>
          <w:rFonts w:ascii="Times New Roman" w:eastAsia="Times New Roman" w:hAnsi="Times New Roman" w:cs="Times New Roman"/>
          <w:sz w:val="24"/>
          <w:szCs w:val="24"/>
        </w:rPr>
        <w:t>ius</w:t>
      </w:r>
      <w:r w:rsidR="00281FC6" w:rsidRPr="00FA26E3">
        <w:rPr>
          <w:rFonts w:ascii="Times New Roman" w:eastAsia="Times New Roman" w:hAnsi="Times New Roman" w:cs="Times New Roman"/>
          <w:sz w:val="24"/>
          <w:szCs w:val="24"/>
        </w:rPr>
        <w:t xml:space="preserve"> skund</w:t>
      </w:r>
      <w:r w:rsidR="000F5778" w:rsidRPr="00FA26E3">
        <w:rPr>
          <w:rFonts w:ascii="Times New Roman" w:eastAsia="Times New Roman" w:hAnsi="Times New Roman" w:cs="Times New Roman"/>
          <w:sz w:val="24"/>
          <w:szCs w:val="24"/>
        </w:rPr>
        <w:t>us</w:t>
      </w:r>
      <w:r w:rsidR="00281FC6" w:rsidRPr="00FA26E3">
        <w:rPr>
          <w:rFonts w:ascii="Times New Roman" w:eastAsia="Times New Roman" w:hAnsi="Times New Roman" w:cs="Times New Roman"/>
          <w:sz w:val="24"/>
          <w:szCs w:val="24"/>
        </w:rPr>
        <w:t xml:space="preserve"> dėl </w:t>
      </w:r>
      <w:r w:rsidR="00AA218E" w:rsidRPr="00FA26E3">
        <w:rPr>
          <w:rFonts w:ascii="Times New Roman" w:eastAsia="Times New Roman" w:hAnsi="Times New Roman" w:cs="Times New Roman"/>
          <w:sz w:val="24"/>
          <w:szCs w:val="24"/>
        </w:rPr>
        <w:t xml:space="preserve">Regionų administracinio teismo </w:t>
      </w:r>
      <w:r w:rsidR="00F3149A" w:rsidRPr="00FA26E3">
        <w:rPr>
          <w:rFonts w:ascii="Times New Roman" w:eastAsia="Times New Roman" w:hAnsi="Times New Roman" w:cs="Times New Roman"/>
          <w:sz w:val="24"/>
          <w:szCs w:val="24"/>
        </w:rPr>
        <w:t>20</w:t>
      </w:r>
      <w:r w:rsidR="00955CCF">
        <w:rPr>
          <w:rFonts w:ascii="Times New Roman" w:eastAsia="Times New Roman" w:hAnsi="Times New Roman" w:cs="Times New Roman"/>
          <w:sz w:val="24"/>
          <w:szCs w:val="24"/>
        </w:rPr>
        <w:t>25</w:t>
      </w:r>
      <w:r w:rsidR="00F3149A" w:rsidRPr="00FA26E3">
        <w:rPr>
          <w:rFonts w:ascii="Times New Roman" w:eastAsia="Times New Roman" w:hAnsi="Times New Roman" w:cs="Times New Roman"/>
          <w:sz w:val="24"/>
          <w:szCs w:val="24"/>
        </w:rPr>
        <w:t xml:space="preserve"> m. </w:t>
      </w:r>
      <w:r w:rsidR="00955CCF">
        <w:rPr>
          <w:rFonts w:ascii="Times New Roman" w:eastAsia="Times New Roman" w:hAnsi="Times New Roman" w:cs="Times New Roman"/>
          <w:sz w:val="24"/>
          <w:szCs w:val="24"/>
        </w:rPr>
        <w:t>vasario 10</w:t>
      </w:r>
      <w:r w:rsidR="00F3149A" w:rsidRPr="00FA26E3">
        <w:rPr>
          <w:rFonts w:ascii="Times New Roman" w:eastAsia="Times New Roman" w:hAnsi="Times New Roman" w:cs="Times New Roman"/>
          <w:sz w:val="24"/>
          <w:szCs w:val="24"/>
        </w:rPr>
        <w:t xml:space="preserve"> d. </w:t>
      </w:r>
      <w:r w:rsidR="00281FC6" w:rsidRPr="00FA26E3">
        <w:rPr>
          <w:rFonts w:ascii="Times New Roman" w:eastAsia="Times New Roman" w:hAnsi="Times New Roman" w:cs="Times New Roman"/>
          <w:sz w:val="24"/>
          <w:szCs w:val="24"/>
        </w:rPr>
        <w:t>sprendimo</w:t>
      </w:r>
      <w:r w:rsidR="00EA64F5" w:rsidRPr="00FA26E3">
        <w:rPr>
          <w:rFonts w:ascii="Times New Roman" w:eastAsia="Times New Roman" w:hAnsi="Times New Roman" w:cs="Times New Roman"/>
          <w:bCs/>
          <w:sz w:val="24"/>
          <w:szCs w:val="24"/>
        </w:rPr>
        <w:t xml:space="preserve"> </w:t>
      </w:r>
      <w:r w:rsidRPr="00FA26E3">
        <w:rPr>
          <w:rFonts w:ascii="Times New Roman" w:eastAsia="Times New Roman" w:hAnsi="Times New Roman" w:cs="Times New Roman"/>
          <w:sz w:val="24"/>
          <w:szCs w:val="24"/>
        </w:rPr>
        <w:t xml:space="preserve">administracinėje byloje pagal </w:t>
      </w:r>
      <w:r w:rsidR="000F5778" w:rsidRPr="00FA26E3">
        <w:rPr>
          <w:rFonts w:ascii="Times New Roman" w:eastAsia="Times New Roman" w:hAnsi="Times New Roman" w:cs="Times New Roman"/>
          <w:sz w:val="24"/>
          <w:szCs w:val="24"/>
        </w:rPr>
        <w:t xml:space="preserve">pareiškėjo Vilniaus miesto savivaldybės administracijos prašymą atsakovui viešajai įstaigai Centrinei projektų valdymo agentūrai (trečiasis suinteresuotas asmuo </w:t>
      </w:r>
      <w:r w:rsidR="00207695" w:rsidRPr="00FA26E3">
        <w:rPr>
          <w:rFonts w:ascii="Times New Roman" w:eastAsia="Times New Roman" w:hAnsi="Times New Roman" w:cs="Times New Roman"/>
          <w:sz w:val="24"/>
          <w:szCs w:val="24"/>
        </w:rPr>
        <w:t xml:space="preserve">– </w:t>
      </w:r>
      <w:r w:rsidR="000F5778" w:rsidRPr="00FA26E3">
        <w:rPr>
          <w:rFonts w:ascii="Times New Roman" w:eastAsia="Times New Roman" w:hAnsi="Times New Roman" w:cs="Times New Roman"/>
          <w:sz w:val="24"/>
          <w:szCs w:val="24"/>
        </w:rPr>
        <w:t>savivaldybės įmonė „Vilniaus miesto būstas“) dėl sprendimo panaikinimo ir įpareigojimo atlikti veiksmus</w:t>
      </w:r>
      <w:r w:rsidR="002134B5" w:rsidRPr="00FA26E3">
        <w:rPr>
          <w:rFonts w:ascii="Times New Roman" w:eastAsia="Times New Roman" w:hAnsi="Times New Roman" w:cs="Times New Roman"/>
          <w:bCs/>
          <w:iCs/>
          <w:sz w:val="24"/>
          <w:szCs w:val="24"/>
        </w:rPr>
        <w:t>.</w:t>
      </w:r>
    </w:p>
    <w:bookmarkEnd w:id="3"/>
    <w:p w14:paraId="7859A838" w14:textId="77777777" w:rsidR="005D32F1" w:rsidRPr="00FA26E3" w:rsidRDefault="005D32F1">
      <w:pPr>
        <w:tabs>
          <w:tab w:val="left" w:pos="1134"/>
        </w:tabs>
        <w:spacing w:line="240" w:lineRule="auto"/>
        <w:ind w:right="2" w:firstLine="709"/>
        <w:jc w:val="both"/>
        <w:rPr>
          <w:rFonts w:ascii="Times New Roman" w:eastAsia="Times New Roman" w:hAnsi="Times New Roman" w:cs="Times New Roman"/>
          <w:sz w:val="24"/>
          <w:szCs w:val="24"/>
          <w:lang w:val="lt-LT"/>
        </w:rPr>
      </w:pPr>
    </w:p>
    <w:p w14:paraId="229773BE" w14:textId="77777777" w:rsidR="005D32F1" w:rsidRPr="00FA26E3" w:rsidRDefault="003453C3">
      <w:pPr>
        <w:tabs>
          <w:tab w:val="left" w:pos="142"/>
          <w:tab w:val="left" w:pos="1134"/>
        </w:tabs>
        <w:spacing w:line="240" w:lineRule="auto"/>
        <w:ind w:right="2" w:firstLine="709"/>
        <w:jc w:val="both"/>
        <w:rPr>
          <w:rFonts w:ascii="Times New Roman" w:eastAsia="Times New Roman" w:hAnsi="Times New Roman" w:cs="Times New Roman"/>
          <w:sz w:val="24"/>
          <w:szCs w:val="24"/>
        </w:rPr>
      </w:pPr>
      <w:r w:rsidRPr="00FA26E3">
        <w:rPr>
          <w:rFonts w:ascii="Times New Roman" w:eastAsia="Times New Roman" w:hAnsi="Times New Roman" w:cs="Times New Roman"/>
          <w:sz w:val="24"/>
          <w:szCs w:val="24"/>
        </w:rPr>
        <w:t>Teisėjų kolegija</w:t>
      </w:r>
    </w:p>
    <w:p w14:paraId="273FFC31" w14:textId="77777777" w:rsidR="005D32F1" w:rsidRPr="00FA26E3" w:rsidRDefault="005D32F1">
      <w:pPr>
        <w:tabs>
          <w:tab w:val="left" w:pos="142"/>
          <w:tab w:val="left" w:pos="1134"/>
        </w:tabs>
        <w:spacing w:line="240" w:lineRule="auto"/>
        <w:ind w:right="2" w:firstLine="709"/>
        <w:jc w:val="both"/>
        <w:rPr>
          <w:rFonts w:ascii="Times New Roman" w:eastAsia="Times New Roman" w:hAnsi="Times New Roman" w:cs="Times New Roman"/>
          <w:sz w:val="24"/>
          <w:szCs w:val="24"/>
        </w:rPr>
      </w:pPr>
    </w:p>
    <w:p w14:paraId="5CBAB82B" w14:textId="1A6672CF" w:rsidR="005D32F1" w:rsidRPr="00FA26E3" w:rsidRDefault="003453C3">
      <w:pPr>
        <w:tabs>
          <w:tab w:val="left" w:pos="142"/>
          <w:tab w:val="left" w:pos="1134"/>
        </w:tabs>
        <w:spacing w:line="240" w:lineRule="auto"/>
        <w:ind w:right="2"/>
        <w:jc w:val="both"/>
        <w:rPr>
          <w:rFonts w:ascii="Times New Roman" w:eastAsia="Times New Roman" w:hAnsi="Times New Roman" w:cs="Times New Roman"/>
          <w:sz w:val="24"/>
          <w:szCs w:val="24"/>
        </w:rPr>
      </w:pPr>
      <w:r w:rsidRPr="00FA26E3">
        <w:rPr>
          <w:rFonts w:ascii="Times New Roman" w:eastAsia="Times New Roman" w:hAnsi="Times New Roman" w:cs="Times New Roman"/>
          <w:sz w:val="24"/>
          <w:szCs w:val="24"/>
        </w:rPr>
        <w:t>n u s t a t ė:</w:t>
      </w:r>
    </w:p>
    <w:p w14:paraId="41BD549F" w14:textId="77777777" w:rsidR="005D32F1" w:rsidRPr="00FA26E3" w:rsidRDefault="003453C3" w:rsidP="00192CBB">
      <w:pPr>
        <w:tabs>
          <w:tab w:val="left" w:pos="142"/>
          <w:tab w:val="left" w:pos="1134"/>
        </w:tabs>
        <w:spacing w:line="240" w:lineRule="auto"/>
        <w:jc w:val="center"/>
        <w:rPr>
          <w:rFonts w:ascii="Times New Roman" w:eastAsia="Times New Roman" w:hAnsi="Times New Roman" w:cs="Times New Roman"/>
          <w:sz w:val="24"/>
          <w:szCs w:val="24"/>
        </w:rPr>
      </w:pPr>
      <w:r w:rsidRPr="00FA26E3">
        <w:rPr>
          <w:rFonts w:ascii="Times New Roman" w:eastAsia="Times New Roman" w:hAnsi="Times New Roman" w:cs="Times New Roman"/>
          <w:sz w:val="24"/>
          <w:szCs w:val="24"/>
        </w:rPr>
        <w:t>I.</w:t>
      </w:r>
    </w:p>
    <w:p w14:paraId="17643102" w14:textId="77777777" w:rsidR="005D32F1" w:rsidRPr="00FA26E3" w:rsidRDefault="005D32F1" w:rsidP="00192CBB">
      <w:pPr>
        <w:tabs>
          <w:tab w:val="left" w:pos="142"/>
          <w:tab w:val="left" w:pos="1134"/>
        </w:tabs>
        <w:spacing w:line="240" w:lineRule="auto"/>
        <w:ind w:firstLine="709"/>
        <w:jc w:val="both"/>
        <w:rPr>
          <w:rFonts w:ascii="Times New Roman" w:eastAsia="Times New Roman" w:hAnsi="Times New Roman" w:cs="Times New Roman"/>
          <w:sz w:val="24"/>
          <w:szCs w:val="24"/>
        </w:rPr>
      </w:pPr>
    </w:p>
    <w:p w14:paraId="15B46A6D" w14:textId="28CE3F9E" w:rsidR="004E72D3" w:rsidRPr="00FA26E3" w:rsidRDefault="00CA7733" w:rsidP="00EF7026">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sz w:val="24"/>
          <w:szCs w:val="24"/>
          <w:lang w:val="lt-LT"/>
        </w:rPr>
      </w:pPr>
      <w:r w:rsidRPr="00FA26E3">
        <w:rPr>
          <w:rFonts w:ascii="Times New Roman" w:eastAsia="Times New Roman" w:hAnsi="Times New Roman" w:cs="Times New Roman"/>
          <w:bCs/>
          <w:sz w:val="24"/>
          <w:szCs w:val="24"/>
        </w:rPr>
        <w:t>Pareiškėj</w:t>
      </w:r>
      <w:r w:rsidR="00CA2B60" w:rsidRPr="00FA26E3">
        <w:rPr>
          <w:rFonts w:ascii="Times New Roman" w:eastAsia="Times New Roman" w:hAnsi="Times New Roman" w:cs="Times New Roman"/>
          <w:bCs/>
          <w:sz w:val="24"/>
          <w:szCs w:val="24"/>
        </w:rPr>
        <w:t>a</w:t>
      </w:r>
      <w:r w:rsidR="00EF7026" w:rsidRPr="00FA26E3">
        <w:rPr>
          <w:rFonts w:ascii="Times New Roman" w:eastAsia="Times New Roman" w:hAnsi="Times New Roman" w:cs="Times New Roman"/>
          <w:bCs/>
          <w:sz w:val="24"/>
          <w:szCs w:val="24"/>
        </w:rPr>
        <w:t>s</w:t>
      </w:r>
      <w:r w:rsidR="00D0232F" w:rsidRPr="00FA26E3">
        <w:rPr>
          <w:rFonts w:ascii="Times New Roman" w:eastAsia="Times New Roman" w:hAnsi="Times New Roman" w:cs="Times New Roman"/>
          <w:sz w:val="24"/>
          <w:szCs w:val="24"/>
        </w:rPr>
        <w:t xml:space="preserve"> </w:t>
      </w:r>
      <w:r w:rsidR="00EF7026" w:rsidRPr="00FA26E3">
        <w:rPr>
          <w:rFonts w:ascii="Times New Roman" w:eastAsia="Times New Roman" w:hAnsi="Times New Roman" w:cs="Times New Roman"/>
          <w:sz w:val="24"/>
          <w:szCs w:val="24"/>
          <w:lang w:val="lt-LT"/>
        </w:rPr>
        <w:t xml:space="preserve">Vilniaus miesto savivaldybės administracija </w:t>
      </w:r>
      <w:r w:rsidR="00D3097E" w:rsidRPr="00FA26E3">
        <w:rPr>
          <w:rFonts w:ascii="Times New Roman" w:eastAsia="Times New Roman" w:hAnsi="Times New Roman" w:cs="Times New Roman"/>
          <w:sz w:val="24"/>
          <w:szCs w:val="24"/>
        </w:rPr>
        <w:t>(toliau – ir</w:t>
      </w:r>
      <w:r w:rsidR="002E7C3C" w:rsidRPr="00FA26E3">
        <w:rPr>
          <w:rFonts w:ascii="Times New Roman" w:eastAsia="Times New Roman" w:hAnsi="Times New Roman" w:cs="Times New Roman"/>
          <w:sz w:val="24"/>
          <w:szCs w:val="24"/>
        </w:rPr>
        <w:t xml:space="preserve"> </w:t>
      </w:r>
      <w:r w:rsidR="009679F6" w:rsidRPr="00FA26E3">
        <w:rPr>
          <w:rFonts w:ascii="Times New Roman" w:eastAsia="Times New Roman" w:hAnsi="Times New Roman" w:cs="Times New Roman"/>
          <w:sz w:val="24"/>
          <w:szCs w:val="24"/>
        </w:rPr>
        <w:t xml:space="preserve">pareiškėjas, ir </w:t>
      </w:r>
      <w:r w:rsidR="00EF7026" w:rsidRPr="00FA26E3">
        <w:rPr>
          <w:rFonts w:ascii="Times New Roman" w:eastAsia="Times New Roman" w:hAnsi="Times New Roman" w:cs="Times New Roman"/>
          <w:sz w:val="24"/>
          <w:szCs w:val="24"/>
        </w:rPr>
        <w:t>Administracija</w:t>
      </w:r>
      <w:r w:rsidR="008A709F" w:rsidRPr="00FA26E3">
        <w:rPr>
          <w:rFonts w:ascii="Times New Roman" w:eastAsia="Times New Roman" w:hAnsi="Times New Roman" w:cs="Times New Roman"/>
          <w:sz w:val="24"/>
          <w:szCs w:val="24"/>
        </w:rPr>
        <w:t>, ir Projekto vykdytojas</w:t>
      </w:r>
      <w:r w:rsidR="00233A79" w:rsidRPr="00FA26E3">
        <w:rPr>
          <w:rFonts w:ascii="Times New Roman" w:eastAsia="Times New Roman" w:hAnsi="Times New Roman" w:cs="Times New Roman"/>
          <w:sz w:val="24"/>
          <w:szCs w:val="24"/>
        </w:rPr>
        <w:t>, ir Perkančioji organizacija</w:t>
      </w:r>
      <w:r w:rsidR="00D3097E" w:rsidRPr="00FA26E3">
        <w:rPr>
          <w:rFonts w:ascii="Times New Roman" w:eastAsia="Times New Roman" w:hAnsi="Times New Roman" w:cs="Times New Roman"/>
          <w:sz w:val="24"/>
          <w:szCs w:val="24"/>
        </w:rPr>
        <w:t>)</w:t>
      </w:r>
      <w:r w:rsidR="004E72D3" w:rsidRPr="00FA26E3">
        <w:rPr>
          <w:rFonts w:ascii="Times New Roman" w:eastAsia="Times New Roman" w:hAnsi="Times New Roman" w:cs="Times New Roman"/>
          <w:sz w:val="24"/>
          <w:szCs w:val="24"/>
        </w:rPr>
        <w:t xml:space="preserve"> </w:t>
      </w:r>
      <w:r w:rsidR="00D0232F" w:rsidRPr="00FA26E3">
        <w:rPr>
          <w:rFonts w:ascii="Times New Roman" w:eastAsia="Times New Roman" w:hAnsi="Times New Roman" w:cs="Times New Roman"/>
          <w:bCs/>
          <w:sz w:val="24"/>
          <w:szCs w:val="24"/>
        </w:rPr>
        <w:t xml:space="preserve">kreipėsi į teismą su </w:t>
      </w:r>
      <w:r w:rsidR="00EF7026" w:rsidRPr="00FA26E3">
        <w:rPr>
          <w:rFonts w:ascii="Times New Roman" w:eastAsia="Times New Roman" w:hAnsi="Times New Roman" w:cs="Times New Roman"/>
          <w:bCs/>
          <w:sz w:val="24"/>
          <w:szCs w:val="24"/>
        </w:rPr>
        <w:t>prašymu</w:t>
      </w:r>
      <w:r w:rsidR="00D0232F" w:rsidRPr="00FA26E3">
        <w:rPr>
          <w:rFonts w:ascii="Times New Roman" w:eastAsia="Times New Roman" w:hAnsi="Times New Roman" w:cs="Times New Roman"/>
          <w:bCs/>
          <w:sz w:val="24"/>
          <w:szCs w:val="24"/>
        </w:rPr>
        <w:t>, prašydam</w:t>
      </w:r>
      <w:r w:rsidR="00EF7026" w:rsidRPr="00FA26E3">
        <w:rPr>
          <w:rFonts w:ascii="Times New Roman" w:eastAsia="Times New Roman" w:hAnsi="Times New Roman" w:cs="Times New Roman"/>
          <w:bCs/>
          <w:sz w:val="24"/>
          <w:szCs w:val="24"/>
        </w:rPr>
        <w:t>as</w:t>
      </w:r>
      <w:r w:rsidR="00EF7026" w:rsidRPr="00FA26E3">
        <w:rPr>
          <w:rFonts w:ascii="Times New Roman" w:eastAsia="Times New Roman" w:hAnsi="Times New Roman" w:cs="Times New Roman"/>
          <w:bCs/>
          <w:sz w:val="24"/>
          <w:szCs w:val="24"/>
          <w:lang w:val="lt-LT"/>
        </w:rPr>
        <w:t>: 1)</w:t>
      </w:r>
      <w:r w:rsidR="000611D8" w:rsidRPr="00FA26E3">
        <w:rPr>
          <w:rFonts w:ascii="Times New Roman" w:eastAsia="Times New Roman" w:hAnsi="Times New Roman" w:cs="Times New Roman"/>
          <w:bCs/>
          <w:sz w:val="24"/>
          <w:szCs w:val="24"/>
          <w:lang w:val="lt-LT"/>
        </w:rPr>
        <w:t> </w:t>
      </w:r>
      <w:r w:rsidR="00EF7026" w:rsidRPr="00FA26E3">
        <w:rPr>
          <w:rFonts w:ascii="Times New Roman" w:eastAsia="Times New Roman" w:hAnsi="Times New Roman" w:cs="Times New Roman"/>
          <w:bCs/>
          <w:sz w:val="24"/>
          <w:szCs w:val="24"/>
          <w:lang w:val="lt-LT"/>
        </w:rPr>
        <w:t xml:space="preserve">panaikinti atsakovo viešosios įstaigos (toliau – ir VšĮ) „Centrinė projektų valdymo agentūra“ (toliau – ir </w:t>
      </w:r>
      <w:r w:rsidR="009679F6" w:rsidRPr="00FA26E3">
        <w:rPr>
          <w:rFonts w:ascii="Times New Roman" w:eastAsia="Times New Roman" w:hAnsi="Times New Roman" w:cs="Times New Roman"/>
          <w:bCs/>
          <w:sz w:val="24"/>
          <w:szCs w:val="24"/>
          <w:lang w:val="lt-LT"/>
        </w:rPr>
        <w:t xml:space="preserve">atsakovas, </w:t>
      </w:r>
      <w:r w:rsidR="00EF7026" w:rsidRPr="00FA26E3">
        <w:rPr>
          <w:rFonts w:ascii="Times New Roman" w:eastAsia="Times New Roman" w:hAnsi="Times New Roman" w:cs="Times New Roman"/>
          <w:bCs/>
          <w:sz w:val="24"/>
          <w:szCs w:val="24"/>
          <w:lang w:val="lt-LT"/>
        </w:rPr>
        <w:t>CPVA</w:t>
      </w:r>
      <w:r w:rsidR="00DC1DF3">
        <w:rPr>
          <w:rFonts w:ascii="Times New Roman" w:eastAsia="Times New Roman" w:hAnsi="Times New Roman" w:cs="Times New Roman"/>
          <w:bCs/>
          <w:sz w:val="24"/>
          <w:szCs w:val="24"/>
          <w:lang w:val="lt-LT"/>
        </w:rPr>
        <w:t>, Agentūra</w:t>
      </w:r>
      <w:r w:rsidR="00EF7026" w:rsidRPr="00FA26E3">
        <w:rPr>
          <w:rFonts w:ascii="Times New Roman" w:eastAsia="Times New Roman" w:hAnsi="Times New Roman" w:cs="Times New Roman"/>
          <w:bCs/>
          <w:sz w:val="24"/>
          <w:szCs w:val="24"/>
          <w:lang w:val="lt-LT"/>
        </w:rPr>
        <w:t>) 20</w:t>
      </w:r>
      <w:r w:rsidR="00272F2A">
        <w:rPr>
          <w:rFonts w:ascii="Times New Roman" w:eastAsia="Times New Roman" w:hAnsi="Times New Roman" w:cs="Times New Roman"/>
          <w:bCs/>
          <w:sz w:val="24"/>
          <w:szCs w:val="24"/>
          <w:lang w:val="lt-LT"/>
        </w:rPr>
        <w:t>23</w:t>
      </w:r>
      <w:r w:rsidR="00EF7026" w:rsidRPr="00FA26E3">
        <w:rPr>
          <w:rFonts w:ascii="Times New Roman" w:eastAsia="Times New Roman" w:hAnsi="Times New Roman" w:cs="Times New Roman"/>
          <w:bCs/>
          <w:sz w:val="24"/>
          <w:szCs w:val="24"/>
          <w:lang w:val="lt-LT"/>
        </w:rPr>
        <w:t xml:space="preserve"> m. </w:t>
      </w:r>
      <w:r w:rsidR="00272F2A">
        <w:rPr>
          <w:rFonts w:ascii="Times New Roman" w:eastAsia="Times New Roman" w:hAnsi="Times New Roman" w:cs="Times New Roman"/>
          <w:bCs/>
          <w:sz w:val="24"/>
          <w:szCs w:val="24"/>
          <w:lang w:val="lt-LT"/>
        </w:rPr>
        <w:t>lapkričio 28</w:t>
      </w:r>
      <w:r w:rsidR="00EF7026" w:rsidRPr="00FA26E3">
        <w:rPr>
          <w:rFonts w:ascii="Times New Roman" w:eastAsia="Times New Roman" w:hAnsi="Times New Roman" w:cs="Times New Roman"/>
          <w:bCs/>
          <w:sz w:val="24"/>
          <w:szCs w:val="24"/>
          <w:lang w:val="lt-LT"/>
        </w:rPr>
        <w:t xml:space="preserve"> d. sprendimą Nr. IT</w:t>
      </w:r>
      <w:r w:rsidR="00272F2A">
        <w:rPr>
          <w:rFonts w:ascii="Times New Roman" w:eastAsia="Times New Roman" w:hAnsi="Times New Roman" w:cs="Times New Roman"/>
          <w:bCs/>
          <w:sz w:val="24"/>
          <w:szCs w:val="24"/>
          <w:lang w:val="lt-LT"/>
        </w:rPr>
        <w:t>01</w:t>
      </w:r>
      <w:r w:rsidR="00EF7026" w:rsidRPr="00FA26E3">
        <w:rPr>
          <w:rFonts w:ascii="Times New Roman" w:eastAsia="Times New Roman" w:hAnsi="Times New Roman" w:cs="Times New Roman"/>
          <w:bCs/>
          <w:sz w:val="24"/>
          <w:szCs w:val="24"/>
          <w:lang w:val="lt-LT"/>
        </w:rPr>
        <w:t xml:space="preserve"> „Sprendimas dėl pažeidimo“ (toliau – ir Sprendimas); 2) teismui atmetus pirmąjį reikalavimą, </w:t>
      </w:r>
      <w:r w:rsidR="00272F2A" w:rsidRPr="00272F2A">
        <w:rPr>
          <w:rFonts w:ascii="Times New Roman" w:eastAsia="Times New Roman" w:hAnsi="Times New Roman" w:cs="Times New Roman"/>
          <w:bCs/>
          <w:sz w:val="24"/>
          <w:szCs w:val="24"/>
          <w:lang w:val="lt-LT"/>
        </w:rPr>
        <w:t>pakeisti skundžiamą Sprendimą ir pareiškėj</w:t>
      </w:r>
      <w:r w:rsidR="00DC1DF3">
        <w:rPr>
          <w:rFonts w:ascii="Times New Roman" w:eastAsia="Times New Roman" w:hAnsi="Times New Roman" w:cs="Times New Roman"/>
          <w:bCs/>
          <w:sz w:val="24"/>
          <w:szCs w:val="24"/>
          <w:lang w:val="lt-LT"/>
        </w:rPr>
        <w:t>u</w:t>
      </w:r>
      <w:r w:rsidR="00272F2A" w:rsidRPr="00272F2A">
        <w:rPr>
          <w:rFonts w:ascii="Times New Roman" w:eastAsia="Times New Roman" w:hAnsi="Times New Roman" w:cs="Times New Roman"/>
          <w:bCs/>
          <w:sz w:val="24"/>
          <w:szCs w:val="24"/>
          <w:lang w:val="lt-LT"/>
        </w:rPr>
        <w:t>i finansinės korekcijos netaikyti arba teismui nustačius, kad Agentūra turėjo pagrindą taikyti finansinę korekciją, įpareigoti Agentūrą iš naujo įvertinti galimą pažeidimą ir spręsti dėl mažesnės korekcijos taikymo.</w:t>
      </w:r>
    </w:p>
    <w:p w14:paraId="1F04FAA9" w14:textId="3CC33FFD" w:rsidR="00D0232F" w:rsidRPr="00FA26E3" w:rsidRDefault="00803EA1" w:rsidP="00D0232F">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sz w:val="24"/>
          <w:szCs w:val="24"/>
          <w:lang w:val="lt-LT"/>
        </w:rPr>
      </w:pPr>
      <w:r w:rsidRPr="00FA26E3">
        <w:rPr>
          <w:rFonts w:ascii="Times New Roman" w:eastAsia="Times New Roman" w:hAnsi="Times New Roman" w:cs="Times New Roman"/>
          <w:bCs/>
          <w:sz w:val="24"/>
          <w:szCs w:val="24"/>
        </w:rPr>
        <w:t>Pareiškėjas prašymą grindė šiais argumentais</w:t>
      </w:r>
      <w:r w:rsidR="00D0232F" w:rsidRPr="00FA26E3">
        <w:rPr>
          <w:rFonts w:ascii="Times New Roman" w:eastAsia="Times New Roman" w:hAnsi="Times New Roman" w:cs="Times New Roman"/>
          <w:bCs/>
          <w:sz w:val="24"/>
          <w:szCs w:val="24"/>
        </w:rPr>
        <w:t>:</w:t>
      </w:r>
    </w:p>
    <w:p w14:paraId="464E6434" w14:textId="411E9172" w:rsidR="00235612" w:rsidRPr="00FA26E3" w:rsidRDefault="00EF7026" w:rsidP="00EF7026">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sidRPr="00FA26E3">
        <w:rPr>
          <w:rFonts w:asciiTheme="majorBidi" w:eastAsia="Times New Roman" w:hAnsiTheme="majorBidi" w:cstheme="majorBidi"/>
          <w:sz w:val="24"/>
          <w:szCs w:val="24"/>
          <w:lang w:val="lt-LT" w:bidi="lt-LT"/>
        </w:rPr>
        <w:t xml:space="preserve">Įgyvendindamas projektą „Socialinio būsto plėtra“ </w:t>
      </w:r>
      <w:r w:rsidR="00235612" w:rsidRPr="00FA26E3">
        <w:rPr>
          <w:rFonts w:asciiTheme="majorBidi" w:eastAsia="Times New Roman" w:hAnsiTheme="majorBidi" w:cstheme="majorBidi"/>
          <w:sz w:val="24"/>
          <w:szCs w:val="24"/>
          <w:lang w:val="lt-LT" w:bidi="lt-LT"/>
        </w:rPr>
        <w:t>(</w:t>
      </w:r>
      <w:r w:rsidRPr="00FA26E3">
        <w:rPr>
          <w:rFonts w:asciiTheme="majorBidi" w:eastAsia="Times New Roman" w:hAnsiTheme="majorBidi" w:cstheme="majorBidi"/>
          <w:sz w:val="24"/>
          <w:szCs w:val="24"/>
          <w:lang w:val="lt-LT" w:bidi="lt-LT"/>
        </w:rPr>
        <w:t>projekto Nr. 08.1.2-CPVA-R-408-01-0011</w:t>
      </w:r>
      <w:r w:rsidR="00235612" w:rsidRPr="00FA26E3">
        <w:rPr>
          <w:rFonts w:asciiTheme="majorBidi" w:eastAsia="Times New Roman" w:hAnsiTheme="majorBidi" w:cstheme="majorBidi"/>
          <w:sz w:val="24"/>
          <w:szCs w:val="24"/>
          <w:lang w:val="lt-LT" w:bidi="lt-LT"/>
        </w:rPr>
        <w:t>)</w:t>
      </w:r>
      <w:r w:rsidRPr="00FA26E3">
        <w:rPr>
          <w:rFonts w:asciiTheme="majorBidi" w:eastAsia="Times New Roman" w:hAnsiTheme="majorBidi" w:cstheme="majorBidi"/>
          <w:sz w:val="24"/>
          <w:szCs w:val="24"/>
          <w:lang w:val="lt-LT" w:bidi="lt-LT"/>
        </w:rPr>
        <w:t xml:space="preserve"> (toliau – ir Projektas), </w:t>
      </w:r>
      <w:r w:rsidR="005E4E50" w:rsidRPr="00FA26E3">
        <w:rPr>
          <w:rFonts w:asciiTheme="majorBidi" w:eastAsia="Times New Roman" w:hAnsiTheme="majorBidi" w:cstheme="majorBidi"/>
          <w:sz w:val="24"/>
          <w:szCs w:val="24"/>
          <w:lang w:val="lt-LT" w:bidi="lt-LT"/>
        </w:rPr>
        <w:t>pareiškėjas</w:t>
      </w:r>
      <w:r w:rsidR="00235612" w:rsidRPr="00FA26E3">
        <w:rPr>
          <w:rFonts w:asciiTheme="majorBidi" w:eastAsia="Times New Roman" w:hAnsiTheme="majorBidi" w:cstheme="majorBidi"/>
          <w:sz w:val="24"/>
          <w:szCs w:val="24"/>
          <w:lang w:val="lt-LT" w:bidi="lt-LT"/>
        </w:rPr>
        <w:t xml:space="preserve"> </w:t>
      </w:r>
      <w:r w:rsidRPr="00FA26E3">
        <w:rPr>
          <w:rFonts w:asciiTheme="majorBidi" w:eastAsia="Times New Roman" w:hAnsiTheme="majorBidi" w:cstheme="majorBidi"/>
          <w:sz w:val="24"/>
          <w:szCs w:val="24"/>
          <w:lang w:val="lt-LT" w:bidi="lt-LT"/>
        </w:rPr>
        <w:t>skelbiamų derybų būdu įvykdė pirkimą „Sostinės savivaldybė perka vieno ir dviejų kambarių butus visose Vilniaus miesto seniūnijose“ (toliau – ir Pirkimas)</w:t>
      </w:r>
      <w:r w:rsidR="00235612" w:rsidRPr="00FA26E3">
        <w:rPr>
          <w:rFonts w:asciiTheme="majorBidi" w:eastAsia="Times New Roman" w:hAnsiTheme="majorBidi" w:cstheme="majorBidi"/>
          <w:sz w:val="24"/>
          <w:szCs w:val="24"/>
          <w:lang w:val="lt-LT" w:bidi="lt-LT"/>
        </w:rPr>
        <w:t>.</w:t>
      </w:r>
      <w:r w:rsidRPr="00FA26E3">
        <w:rPr>
          <w:rFonts w:asciiTheme="majorBidi" w:eastAsia="Times New Roman" w:hAnsiTheme="majorBidi" w:cstheme="majorBidi"/>
          <w:sz w:val="24"/>
          <w:szCs w:val="24"/>
          <w:lang w:val="lt-LT" w:bidi="lt-LT"/>
        </w:rPr>
        <w:t xml:space="preserve"> </w:t>
      </w:r>
      <w:r w:rsidR="00235612" w:rsidRPr="00FA26E3">
        <w:rPr>
          <w:rFonts w:asciiTheme="majorBidi" w:eastAsia="Times New Roman" w:hAnsiTheme="majorBidi" w:cstheme="majorBidi"/>
          <w:sz w:val="24"/>
          <w:szCs w:val="24"/>
          <w:lang w:val="lt-LT" w:bidi="lt-LT"/>
        </w:rPr>
        <w:t>Į</w:t>
      </w:r>
      <w:r w:rsidRPr="00FA26E3">
        <w:rPr>
          <w:rFonts w:asciiTheme="majorBidi" w:eastAsia="Times New Roman" w:hAnsiTheme="majorBidi" w:cstheme="majorBidi"/>
          <w:sz w:val="24"/>
          <w:szCs w:val="24"/>
          <w:lang w:val="lt-LT" w:bidi="lt-LT"/>
        </w:rPr>
        <w:t>vykd</w:t>
      </w:r>
      <w:r w:rsidR="000611D8" w:rsidRPr="00FA26E3">
        <w:rPr>
          <w:rFonts w:asciiTheme="majorBidi" w:eastAsia="Times New Roman" w:hAnsiTheme="majorBidi" w:cstheme="majorBidi"/>
          <w:sz w:val="24"/>
          <w:szCs w:val="24"/>
          <w:lang w:val="lt-LT" w:bidi="lt-LT"/>
        </w:rPr>
        <w:t>ęs</w:t>
      </w:r>
      <w:r w:rsidRPr="00FA26E3">
        <w:rPr>
          <w:rFonts w:asciiTheme="majorBidi" w:eastAsia="Times New Roman" w:hAnsiTheme="majorBidi" w:cstheme="majorBidi"/>
          <w:sz w:val="24"/>
          <w:szCs w:val="24"/>
          <w:lang w:val="lt-LT" w:bidi="lt-LT"/>
        </w:rPr>
        <w:t xml:space="preserve"> Pirkimą, </w:t>
      </w:r>
      <w:r w:rsidR="00B7570C" w:rsidRPr="00FA26E3">
        <w:rPr>
          <w:rFonts w:asciiTheme="majorBidi" w:eastAsia="Times New Roman" w:hAnsiTheme="majorBidi" w:cstheme="majorBidi"/>
          <w:sz w:val="24"/>
          <w:szCs w:val="24"/>
          <w:lang w:val="lt-LT" w:bidi="lt-LT"/>
        </w:rPr>
        <w:t>pareiškėjas</w:t>
      </w:r>
      <w:r w:rsidR="00235612" w:rsidRPr="00FA26E3">
        <w:rPr>
          <w:rFonts w:asciiTheme="majorBidi" w:eastAsia="Times New Roman" w:hAnsiTheme="majorBidi" w:cstheme="majorBidi"/>
          <w:sz w:val="24"/>
          <w:szCs w:val="24"/>
          <w:lang w:val="lt-LT" w:bidi="lt-LT"/>
        </w:rPr>
        <w:t xml:space="preserve"> </w:t>
      </w:r>
      <w:r w:rsidRPr="00FA26E3">
        <w:rPr>
          <w:rFonts w:asciiTheme="majorBidi" w:eastAsia="Times New Roman" w:hAnsiTheme="majorBidi" w:cstheme="majorBidi"/>
          <w:sz w:val="24"/>
          <w:szCs w:val="24"/>
          <w:lang w:val="lt-LT" w:bidi="lt-LT"/>
        </w:rPr>
        <w:t>20</w:t>
      </w:r>
      <w:r w:rsidR="00272F2A">
        <w:rPr>
          <w:rFonts w:asciiTheme="majorBidi" w:eastAsia="Times New Roman" w:hAnsiTheme="majorBidi" w:cstheme="majorBidi"/>
          <w:sz w:val="24"/>
          <w:szCs w:val="24"/>
          <w:lang w:val="lt-LT" w:bidi="lt-LT"/>
        </w:rPr>
        <w:t>19</w:t>
      </w:r>
      <w:r w:rsidRPr="00FA26E3">
        <w:rPr>
          <w:rFonts w:asciiTheme="majorBidi" w:eastAsia="Times New Roman" w:hAnsiTheme="majorBidi" w:cstheme="majorBidi"/>
          <w:sz w:val="24"/>
          <w:szCs w:val="24"/>
          <w:lang w:val="lt-LT" w:bidi="lt-LT"/>
        </w:rPr>
        <w:t xml:space="preserve"> m. </w:t>
      </w:r>
      <w:r w:rsidR="00272F2A">
        <w:rPr>
          <w:rFonts w:asciiTheme="majorBidi" w:eastAsia="Times New Roman" w:hAnsiTheme="majorBidi" w:cstheme="majorBidi"/>
          <w:sz w:val="24"/>
          <w:szCs w:val="24"/>
          <w:lang w:val="lt-LT" w:bidi="lt-LT"/>
        </w:rPr>
        <w:t>birželio 26</w:t>
      </w:r>
      <w:r w:rsidRPr="00FA26E3">
        <w:rPr>
          <w:rFonts w:asciiTheme="majorBidi" w:eastAsia="Times New Roman" w:hAnsiTheme="majorBidi" w:cstheme="majorBidi"/>
          <w:sz w:val="24"/>
          <w:szCs w:val="24"/>
          <w:lang w:val="lt-LT" w:bidi="lt-LT"/>
        </w:rPr>
        <w:t xml:space="preserve"> d. sudarė pirkimo-pardavimo sutartį Nr.</w:t>
      </w:r>
      <w:r w:rsidR="002E7C3C" w:rsidRPr="00FA26E3">
        <w:rPr>
          <w:rFonts w:asciiTheme="majorBidi" w:eastAsia="Times New Roman" w:hAnsiTheme="majorBidi" w:cstheme="majorBidi"/>
          <w:sz w:val="24"/>
          <w:szCs w:val="24"/>
          <w:lang w:val="lt-LT" w:bidi="lt-LT"/>
        </w:rPr>
        <w:t> </w:t>
      </w:r>
      <w:r w:rsidR="00B7570C" w:rsidRPr="00FA26E3">
        <w:rPr>
          <w:rFonts w:asciiTheme="majorBidi" w:eastAsia="Times New Roman" w:hAnsiTheme="majorBidi" w:cstheme="majorBidi"/>
          <w:sz w:val="24"/>
          <w:szCs w:val="24"/>
          <w:lang w:val="lt-LT" w:bidi="lt-LT"/>
        </w:rPr>
        <w:t>DJ-2803</w:t>
      </w:r>
      <w:r w:rsidRPr="00FA26E3">
        <w:rPr>
          <w:rFonts w:asciiTheme="majorBidi" w:eastAsia="Times New Roman" w:hAnsiTheme="majorBidi" w:cstheme="majorBidi"/>
          <w:sz w:val="24"/>
          <w:szCs w:val="24"/>
          <w:lang w:val="lt-LT" w:bidi="lt-LT"/>
        </w:rPr>
        <w:t xml:space="preserve"> (toliau – ir Pirkimo sutartis</w:t>
      </w:r>
      <w:r w:rsidR="00235612" w:rsidRPr="00FA26E3">
        <w:rPr>
          <w:rFonts w:asciiTheme="majorBidi" w:eastAsia="Times New Roman" w:hAnsiTheme="majorBidi" w:cstheme="majorBidi"/>
          <w:sz w:val="24"/>
          <w:szCs w:val="24"/>
          <w:lang w:val="lt-LT" w:bidi="lt-LT"/>
        </w:rPr>
        <w:t xml:space="preserve">) dėl buto, </w:t>
      </w:r>
      <w:r w:rsidR="00D115CB">
        <w:rPr>
          <w:rFonts w:asciiTheme="majorBidi" w:eastAsia="Times New Roman" w:hAnsiTheme="majorBidi" w:cstheme="majorBidi"/>
          <w:sz w:val="24"/>
          <w:szCs w:val="24"/>
          <w:lang w:val="lt-LT" w:bidi="lt-LT"/>
        </w:rPr>
        <w:t>(duomenys neskelbtini)</w:t>
      </w:r>
      <w:r w:rsidR="00235612" w:rsidRPr="00FA26E3">
        <w:rPr>
          <w:rFonts w:asciiTheme="majorBidi" w:eastAsia="Times New Roman" w:hAnsiTheme="majorBidi" w:cstheme="majorBidi"/>
          <w:sz w:val="24"/>
          <w:szCs w:val="24"/>
          <w:lang w:val="lt-LT" w:bidi="lt-LT"/>
        </w:rPr>
        <w:t xml:space="preserve"> (toliau – ir Butas)</w:t>
      </w:r>
      <w:r w:rsidRPr="00FA26E3">
        <w:rPr>
          <w:rFonts w:asciiTheme="majorBidi" w:eastAsia="Times New Roman" w:hAnsiTheme="majorBidi" w:cstheme="majorBidi"/>
          <w:sz w:val="24"/>
          <w:szCs w:val="24"/>
          <w:lang w:val="lt-LT" w:bidi="lt-LT"/>
        </w:rPr>
        <w:t xml:space="preserve">. Pirkimo sutarties vertė – </w:t>
      </w:r>
      <w:r w:rsidR="00B7570C" w:rsidRPr="00FA26E3">
        <w:rPr>
          <w:rFonts w:asciiTheme="majorBidi" w:eastAsia="Times New Roman" w:hAnsiTheme="majorBidi" w:cstheme="majorBidi"/>
          <w:sz w:val="24"/>
          <w:szCs w:val="24"/>
          <w:lang w:val="lt-LT" w:bidi="lt-LT"/>
        </w:rPr>
        <w:t>6</w:t>
      </w:r>
      <w:r w:rsidR="00272F2A">
        <w:rPr>
          <w:rFonts w:asciiTheme="majorBidi" w:eastAsia="Times New Roman" w:hAnsiTheme="majorBidi" w:cstheme="majorBidi"/>
          <w:sz w:val="24"/>
          <w:szCs w:val="24"/>
          <w:lang w:val="lt-LT" w:bidi="lt-LT"/>
        </w:rPr>
        <w:t>1</w:t>
      </w:r>
      <w:r w:rsidR="00B7570C" w:rsidRPr="00FA26E3">
        <w:rPr>
          <w:rFonts w:asciiTheme="majorBidi" w:eastAsia="Times New Roman" w:hAnsiTheme="majorBidi" w:cstheme="majorBidi"/>
          <w:sz w:val="24"/>
          <w:szCs w:val="24"/>
          <w:lang w:val="lt-LT" w:bidi="lt-LT"/>
        </w:rPr>
        <w:t> 000</w:t>
      </w:r>
      <w:r w:rsidRPr="00FA26E3">
        <w:rPr>
          <w:rFonts w:asciiTheme="majorBidi" w:eastAsia="Times New Roman" w:hAnsiTheme="majorBidi" w:cstheme="majorBidi"/>
          <w:sz w:val="24"/>
          <w:szCs w:val="24"/>
          <w:lang w:val="lt-LT" w:bidi="lt-LT"/>
        </w:rPr>
        <w:t xml:space="preserve"> Eur. Pirkimui, remiantis jo paskelbimo data, taikomos </w:t>
      </w:r>
      <w:r w:rsidR="00B7570C" w:rsidRPr="00FA26E3">
        <w:rPr>
          <w:rFonts w:asciiTheme="majorBidi" w:eastAsia="Times New Roman" w:hAnsiTheme="majorBidi" w:cstheme="majorBidi"/>
          <w:sz w:val="24"/>
          <w:szCs w:val="24"/>
          <w:lang w:val="lt-LT" w:bidi="lt-LT"/>
        </w:rPr>
        <w:t xml:space="preserve">Lietuvos Respublikos Vyriausybės 2017 m. gruodžio 13 d. nutarimu Nr. 1036 patvirtinto </w:t>
      </w:r>
      <w:r w:rsidRPr="00FA26E3">
        <w:rPr>
          <w:rFonts w:asciiTheme="majorBidi" w:eastAsia="Times New Roman" w:hAnsiTheme="majorBidi" w:cstheme="majorBidi"/>
          <w:sz w:val="24"/>
          <w:szCs w:val="24"/>
          <w:lang w:val="lt-LT" w:bidi="lt-LT"/>
        </w:rPr>
        <w:t xml:space="preserve">Žemės, esamų pastatų ar kitų nekilnojamųjų daiktų įsigijimo arba nuomos ar teisių į šiuos daiktus įsigijimo tvarkos aprašo (toliau – ir Aprašas) nuostatos. </w:t>
      </w:r>
    </w:p>
    <w:p w14:paraId="3BF8178C" w14:textId="2B29B9E0" w:rsidR="00737376" w:rsidRDefault="00EF7026" w:rsidP="00737376">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sidRPr="00FA26E3">
        <w:rPr>
          <w:rFonts w:asciiTheme="majorBidi" w:eastAsia="Times New Roman" w:hAnsiTheme="majorBidi" w:cstheme="majorBidi"/>
          <w:sz w:val="24"/>
          <w:szCs w:val="24"/>
          <w:lang w:val="lt-LT" w:bidi="lt-LT"/>
        </w:rPr>
        <w:t xml:space="preserve">CPVA priėmė Sprendimą, </w:t>
      </w:r>
      <w:r w:rsidR="00F8398A">
        <w:rPr>
          <w:rFonts w:asciiTheme="majorBidi" w:eastAsia="Times New Roman" w:hAnsiTheme="majorBidi" w:cstheme="majorBidi"/>
          <w:sz w:val="24"/>
          <w:szCs w:val="24"/>
          <w:lang w:val="lt-LT" w:bidi="lt-LT"/>
        </w:rPr>
        <w:t>kuriame darė išvadą, kad Administracija pažeidė</w:t>
      </w:r>
      <w:r w:rsidR="00F8398A" w:rsidRPr="00F8398A">
        <w:rPr>
          <w:rFonts w:asciiTheme="majorBidi" w:eastAsia="Times New Roman" w:hAnsiTheme="majorBidi" w:cstheme="majorBidi"/>
          <w:sz w:val="24"/>
          <w:szCs w:val="24"/>
          <w:lang w:val="lt-LT" w:bidi="lt-LT"/>
        </w:rPr>
        <w:t xml:space="preserve"> Aprašo 3 p</w:t>
      </w:r>
      <w:r w:rsidR="00F8398A">
        <w:rPr>
          <w:rFonts w:asciiTheme="majorBidi" w:eastAsia="Times New Roman" w:hAnsiTheme="majorBidi" w:cstheme="majorBidi"/>
          <w:sz w:val="24"/>
          <w:szCs w:val="24"/>
          <w:lang w:val="lt-LT" w:bidi="lt-LT"/>
        </w:rPr>
        <w:t>unkte</w:t>
      </w:r>
      <w:r w:rsidR="00F8398A" w:rsidRPr="00F8398A">
        <w:rPr>
          <w:rFonts w:asciiTheme="majorBidi" w:eastAsia="Times New Roman" w:hAnsiTheme="majorBidi" w:cstheme="majorBidi"/>
          <w:sz w:val="24"/>
          <w:szCs w:val="24"/>
          <w:lang w:val="lt-LT" w:bidi="lt-LT"/>
        </w:rPr>
        <w:t xml:space="preserve"> nurodytus skaidrumo ir lygiateisiškumo principus, 38 ir 40 </w:t>
      </w:r>
      <w:r w:rsidR="00F8398A">
        <w:rPr>
          <w:rFonts w:asciiTheme="majorBidi" w:eastAsia="Times New Roman" w:hAnsiTheme="majorBidi" w:cstheme="majorBidi"/>
          <w:sz w:val="24"/>
          <w:szCs w:val="24"/>
          <w:lang w:val="lt-LT" w:bidi="lt-LT"/>
        </w:rPr>
        <w:t>punktus</w:t>
      </w:r>
      <w:r w:rsidR="00F8398A" w:rsidRPr="00F8398A">
        <w:rPr>
          <w:rFonts w:asciiTheme="majorBidi" w:eastAsia="Times New Roman" w:hAnsiTheme="majorBidi" w:cstheme="majorBidi"/>
          <w:sz w:val="24"/>
          <w:szCs w:val="24"/>
          <w:lang w:val="lt-LT" w:bidi="lt-LT"/>
        </w:rPr>
        <w:t xml:space="preserve">, Vilniaus miesto </w:t>
      </w:r>
      <w:r w:rsidR="00F8398A" w:rsidRPr="00F8398A">
        <w:rPr>
          <w:rFonts w:asciiTheme="majorBidi" w:eastAsia="Times New Roman" w:hAnsiTheme="majorBidi" w:cstheme="majorBidi"/>
          <w:sz w:val="24"/>
          <w:szCs w:val="24"/>
          <w:lang w:val="lt-LT" w:bidi="lt-LT"/>
        </w:rPr>
        <w:lastRenderedPageBreak/>
        <w:t>savivaldybės tarybos 2018</w:t>
      </w:r>
      <w:r w:rsidR="00F8398A">
        <w:rPr>
          <w:rFonts w:asciiTheme="majorBidi" w:eastAsia="Times New Roman" w:hAnsiTheme="majorBidi" w:cstheme="majorBidi"/>
          <w:sz w:val="24"/>
          <w:szCs w:val="24"/>
          <w:lang w:val="lt-LT" w:bidi="lt-LT"/>
        </w:rPr>
        <w:t xml:space="preserve"> m. rugpjūčio 29 d. </w:t>
      </w:r>
      <w:r w:rsidR="00F8398A" w:rsidRPr="00F8398A">
        <w:rPr>
          <w:rFonts w:asciiTheme="majorBidi" w:eastAsia="Times New Roman" w:hAnsiTheme="majorBidi" w:cstheme="majorBidi"/>
          <w:sz w:val="24"/>
          <w:szCs w:val="24"/>
          <w:lang w:val="lt-LT" w:bidi="lt-LT"/>
        </w:rPr>
        <w:t>sprendimu Nr. 1-1707 patvirtint</w:t>
      </w:r>
      <w:r w:rsidR="00F8398A">
        <w:rPr>
          <w:rFonts w:asciiTheme="majorBidi" w:eastAsia="Times New Roman" w:hAnsiTheme="majorBidi" w:cstheme="majorBidi"/>
          <w:sz w:val="24"/>
          <w:szCs w:val="24"/>
          <w:lang w:val="lt-LT" w:bidi="lt-LT"/>
        </w:rPr>
        <w:t>o</w:t>
      </w:r>
      <w:r w:rsidR="00F8398A" w:rsidRPr="00F8398A">
        <w:rPr>
          <w:rFonts w:asciiTheme="majorBidi" w:eastAsia="Times New Roman" w:hAnsiTheme="majorBidi" w:cstheme="majorBidi"/>
          <w:sz w:val="24"/>
          <w:szCs w:val="24"/>
          <w:lang w:val="lt-LT" w:bidi="lt-LT"/>
        </w:rPr>
        <w:t xml:space="preserve"> Socialinių būstų pirkimo skelbiamų derybų būdu sąlygų ir vertinimo kriterijų apraš</w:t>
      </w:r>
      <w:r w:rsidR="00F8398A">
        <w:rPr>
          <w:rFonts w:asciiTheme="majorBidi" w:eastAsia="Times New Roman" w:hAnsiTheme="majorBidi" w:cstheme="majorBidi"/>
          <w:sz w:val="24"/>
          <w:szCs w:val="24"/>
          <w:lang w:val="lt-LT" w:bidi="lt-LT"/>
        </w:rPr>
        <w:t>o (toliau – ir</w:t>
      </w:r>
      <w:r w:rsidR="00F8398A" w:rsidRPr="00F8398A">
        <w:rPr>
          <w:rFonts w:asciiTheme="majorBidi" w:eastAsia="Times New Roman" w:hAnsiTheme="majorBidi" w:cstheme="majorBidi"/>
          <w:sz w:val="24"/>
          <w:szCs w:val="24"/>
          <w:lang w:val="lt-LT" w:bidi="lt-LT"/>
        </w:rPr>
        <w:t xml:space="preserve"> Pirkimo sąlyg</w:t>
      </w:r>
      <w:r w:rsidR="00F8398A">
        <w:rPr>
          <w:rFonts w:asciiTheme="majorBidi" w:eastAsia="Times New Roman" w:hAnsiTheme="majorBidi" w:cstheme="majorBidi"/>
          <w:sz w:val="24"/>
          <w:szCs w:val="24"/>
          <w:lang w:val="lt-LT" w:bidi="lt-LT"/>
        </w:rPr>
        <w:t>os)</w:t>
      </w:r>
      <w:r w:rsidR="00F8398A" w:rsidRPr="00F8398A">
        <w:rPr>
          <w:rFonts w:asciiTheme="majorBidi" w:eastAsia="Times New Roman" w:hAnsiTheme="majorBidi" w:cstheme="majorBidi"/>
          <w:sz w:val="24"/>
          <w:szCs w:val="24"/>
          <w:lang w:val="lt-LT" w:bidi="lt-LT"/>
        </w:rPr>
        <w:t xml:space="preserve"> </w:t>
      </w:r>
      <w:r w:rsidR="00F8398A">
        <w:rPr>
          <w:rFonts w:asciiTheme="majorBidi" w:eastAsia="Times New Roman" w:hAnsiTheme="majorBidi" w:cstheme="majorBidi"/>
          <w:sz w:val="24"/>
          <w:szCs w:val="24"/>
          <w:lang w:val="lt-LT" w:bidi="lt-LT"/>
        </w:rPr>
        <w:br/>
      </w:r>
      <w:r w:rsidR="00F8398A" w:rsidRPr="00F8398A">
        <w:rPr>
          <w:rFonts w:asciiTheme="majorBidi" w:eastAsia="Times New Roman" w:hAnsiTheme="majorBidi" w:cstheme="majorBidi"/>
          <w:sz w:val="24"/>
          <w:szCs w:val="24"/>
          <w:lang w:val="lt-LT" w:bidi="lt-LT"/>
        </w:rPr>
        <w:t>40.14 p</w:t>
      </w:r>
      <w:r w:rsidR="00F8398A">
        <w:rPr>
          <w:rFonts w:asciiTheme="majorBidi" w:eastAsia="Times New Roman" w:hAnsiTheme="majorBidi" w:cstheme="majorBidi"/>
          <w:sz w:val="24"/>
          <w:szCs w:val="24"/>
          <w:lang w:val="lt-LT" w:bidi="lt-LT"/>
        </w:rPr>
        <w:t>unkto</w:t>
      </w:r>
      <w:r w:rsidR="00F8398A" w:rsidRPr="00F8398A">
        <w:rPr>
          <w:rFonts w:asciiTheme="majorBidi" w:eastAsia="Times New Roman" w:hAnsiTheme="majorBidi" w:cstheme="majorBidi"/>
          <w:sz w:val="24"/>
          <w:szCs w:val="24"/>
          <w:lang w:val="lt-LT" w:bidi="lt-LT"/>
        </w:rPr>
        <w:t xml:space="preserve"> nuostatas, nes </w:t>
      </w:r>
      <w:r w:rsidR="00F8398A">
        <w:rPr>
          <w:rFonts w:asciiTheme="majorBidi" w:eastAsia="Times New Roman" w:hAnsiTheme="majorBidi" w:cstheme="majorBidi"/>
          <w:sz w:val="24"/>
          <w:szCs w:val="24"/>
          <w:lang w:val="lt-LT" w:bidi="lt-LT"/>
        </w:rPr>
        <w:t>l</w:t>
      </w:r>
      <w:r w:rsidR="00F8398A" w:rsidRPr="00F8398A">
        <w:rPr>
          <w:rFonts w:asciiTheme="majorBidi" w:eastAsia="Times New Roman" w:hAnsiTheme="majorBidi" w:cstheme="majorBidi"/>
          <w:sz w:val="24"/>
          <w:szCs w:val="24"/>
          <w:lang w:val="lt-LT" w:bidi="lt-LT"/>
        </w:rPr>
        <w:t>aimėtojo paraišką turėjo atmesti, kaip neatitinkančią Pirkimo sąlygų 7.1.3.3 p</w:t>
      </w:r>
      <w:r w:rsidR="00F8398A">
        <w:rPr>
          <w:rFonts w:asciiTheme="majorBidi" w:eastAsia="Times New Roman" w:hAnsiTheme="majorBidi" w:cstheme="majorBidi"/>
          <w:sz w:val="24"/>
          <w:szCs w:val="24"/>
          <w:lang w:val="lt-LT" w:bidi="lt-LT"/>
        </w:rPr>
        <w:t>unkto</w:t>
      </w:r>
      <w:r w:rsidR="00F8398A" w:rsidRPr="00F8398A">
        <w:rPr>
          <w:rFonts w:asciiTheme="majorBidi" w:eastAsia="Times New Roman" w:hAnsiTheme="majorBidi" w:cstheme="majorBidi"/>
          <w:sz w:val="24"/>
          <w:szCs w:val="24"/>
          <w:lang w:val="lt-LT" w:bidi="lt-LT"/>
        </w:rPr>
        <w:t xml:space="preserve"> reikalavimų</w:t>
      </w:r>
      <w:r w:rsidR="00F8398A">
        <w:rPr>
          <w:rFonts w:asciiTheme="majorBidi" w:eastAsia="Times New Roman" w:hAnsiTheme="majorBidi" w:cstheme="majorBidi"/>
          <w:sz w:val="24"/>
          <w:szCs w:val="24"/>
          <w:lang w:val="lt-LT" w:bidi="lt-LT"/>
        </w:rPr>
        <w:t xml:space="preserve">. </w:t>
      </w:r>
    </w:p>
    <w:p w14:paraId="19A3387B" w14:textId="543CBAB5" w:rsidR="00737376" w:rsidRDefault="00F8398A" w:rsidP="00737376">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sidRPr="00737376">
        <w:rPr>
          <w:rFonts w:asciiTheme="majorBidi" w:eastAsia="Times New Roman" w:hAnsiTheme="majorBidi" w:cstheme="majorBidi"/>
          <w:sz w:val="24"/>
          <w:szCs w:val="24"/>
          <w:lang w:val="lt-LT" w:bidi="lt-LT"/>
        </w:rPr>
        <w:t>Pirkimo sąlygo</w:t>
      </w:r>
      <w:r w:rsidR="00737376">
        <w:rPr>
          <w:rFonts w:asciiTheme="majorBidi" w:eastAsia="Times New Roman" w:hAnsiTheme="majorBidi" w:cstheme="majorBidi"/>
          <w:sz w:val="24"/>
          <w:szCs w:val="24"/>
          <w:lang w:val="lt-LT" w:bidi="lt-LT"/>
        </w:rPr>
        <w:t>se</w:t>
      </w:r>
      <w:r w:rsidRPr="00737376">
        <w:rPr>
          <w:rFonts w:asciiTheme="majorBidi" w:eastAsia="Times New Roman" w:hAnsiTheme="majorBidi" w:cstheme="majorBidi"/>
          <w:sz w:val="24"/>
          <w:szCs w:val="24"/>
          <w:lang w:val="lt-LT" w:bidi="lt-LT"/>
        </w:rPr>
        <w:t xml:space="preserve"> buvo nustatyta, kad Vilniaus miesto savivaldybė perka socialinius būstus ir šiuo tikslu pirkimo objektą suskaidė į dvi grupes</w:t>
      </w:r>
      <w:r w:rsidR="00737376">
        <w:rPr>
          <w:rFonts w:asciiTheme="majorBidi" w:eastAsia="Times New Roman" w:hAnsiTheme="majorBidi" w:cstheme="majorBidi"/>
          <w:sz w:val="24"/>
          <w:szCs w:val="24"/>
          <w:lang w:val="lt-LT" w:bidi="lt-LT"/>
        </w:rPr>
        <w:t>:</w:t>
      </w:r>
      <w:r w:rsidRPr="00737376">
        <w:rPr>
          <w:rFonts w:asciiTheme="majorBidi" w:eastAsia="Times New Roman" w:hAnsiTheme="majorBidi" w:cstheme="majorBidi"/>
          <w:sz w:val="24"/>
          <w:szCs w:val="24"/>
          <w:lang w:val="lt-LT" w:bidi="lt-LT"/>
        </w:rPr>
        <w:t xml:space="preserve"> I grupėje buvo įtraukti iš viso 47 vieno kambario butai. Pirkimo sąlygų 7.1.3.3 papunktyje buvo nurodyta</w:t>
      </w:r>
      <w:r w:rsidR="00737376">
        <w:rPr>
          <w:rFonts w:asciiTheme="majorBidi" w:eastAsia="Times New Roman" w:hAnsiTheme="majorBidi" w:cstheme="majorBidi"/>
          <w:sz w:val="24"/>
          <w:szCs w:val="24"/>
          <w:lang w:val="lt-LT" w:bidi="lt-LT"/>
        </w:rPr>
        <w:t xml:space="preserve">, kad </w:t>
      </w:r>
      <w:r w:rsidRPr="00737376">
        <w:rPr>
          <w:rFonts w:asciiTheme="majorBidi" w:eastAsia="Times New Roman" w:hAnsiTheme="majorBidi" w:cstheme="majorBidi"/>
          <w:sz w:val="24"/>
          <w:szCs w:val="24"/>
          <w:lang w:val="lt-LT" w:bidi="lt-LT"/>
        </w:rPr>
        <w:t xml:space="preserve">buto bendrasis (naudingasis) plotas ne didesnis nei 35 ir ne mažesnis nei 25 kv. m; į naudingąjį buto plotą neįskaitomas balkonų, terasų, rūsių, nešildomų </w:t>
      </w:r>
      <w:proofErr w:type="spellStart"/>
      <w:r w:rsidRPr="00737376">
        <w:rPr>
          <w:rFonts w:asciiTheme="majorBidi" w:eastAsia="Times New Roman" w:hAnsiTheme="majorBidi" w:cstheme="majorBidi"/>
          <w:sz w:val="24"/>
          <w:szCs w:val="24"/>
          <w:lang w:val="lt-LT" w:bidi="lt-LT"/>
        </w:rPr>
        <w:t>lodžijų</w:t>
      </w:r>
      <w:proofErr w:type="spellEnd"/>
      <w:r w:rsidRPr="00737376">
        <w:rPr>
          <w:rFonts w:asciiTheme="majorBidi" w:eastAsia="Times New Roman" w:hAnsiTheme="majorBidi" w:cstheme="majorBidi"/>
          <w:sz w:val="24"/>
          <w:szCs w:val="24"/>
          <w:lang w:val="lt-LT" w:bidi="lt-LT"/>
        </w:rPr>
        <w:t xml:space="preserve"> plotas. Gali būti įsigyjami ir tokie būstai, kurių plotas ne daugiau kaip 10 proc</w:t>
      </w:r>
      <w:r w:rsidR="0093769D">
        <w:rPr>
          <w:rFonts w:asciiTheme="majorBidi" w:eastAsia="Times New Roman" w:hAnsiTheme="majorBidi" w:cstheme="majorBidi"/>
          <w:sz w:val="24"/>
          <w:szCs w:val="24"/>
          <w:lang w:val="lt-LT" w:bidi="lt-LT"/>
        </w:rPr>
        <w:t>.</w:t>
      </w:r>
      <w:r w:rsidRPr="00737376">
        <w:rPr>
          <w:rFonts w:asciiTheme="majorBidi" w:eastAsia="Times New Roman" w:hAnsiTheme="majorBidi" w:cstheme="majorBidi"/>
          <w:sz w:val="24"/>
          <w:szCs w:val="24"/>
          <w:lang w:val="lt-LT" w:bidi="lt-LT"/>
        </w:rPr>
        <w:t xml:space="preserve"> yra didesnis ar mažesnis nei nurodytas perkamo būsto plotas </w:t>
      </w:r>
      <w:r w:rsidR="0093769D">
        <w:rPr>
          <w:rFonts w:asciiTheme="majorBidi" w:eastAsia="Times New Roman" w:hAnsiTheme="majorBidi" w:cstheme="majorBidi"/>
          <w:sz w:val="24"/>
          <w:szCs w:val="24"/>
          <w:lang w:val="lt-LT" w:bidi="lt-LT"/>
        </w:rPr>
        <w:t>P</w:t>
      </w:r>
      <w:r w:rsidRPr="00737376">
        <w:rPr>
          <w:rFonts w:asciiTheme="majorBidi" w:eastAsia="Times New Roman" w:hAnsiTheme="majorBidi" w:cstheme="majorBidi"/>
          <w:sz w:val="24"/>
          <w:szCs w:val="24"/>
          <w:lang w:val="lt-LT" w:bidi="lt-LT"/>
        </w:rPr>
        <w:t xml:space="preserve">irkimo sąlygose. Atsižvelgiant į tai, </w:t>
      </w:r>
      <w:r w:rsidR="00737376">
        <w:rPr>
          <w:rFonts w:asciiTheme="majorBidi" w:eastAsia="Times New Roman" w:hAnsiTheme="majorBidi" w:cstheme="majorBidi"/>
          <w:sz w:val="24"/>
          <w:szCs w:val="24"/>
          <w:lang w:val="lt-LT" w:bidi="lt-LT"/>
        </w:rPr>
        <w:t>CPVA</w:t>
      </w:r>
      <w:r w:rsidRPr="00737376">
        <w:rPr>
          <w:rFonts w:asciiTheme="majorBidi" w:eastAsia="Times New Roman" w:hAnsiTheme="majorBidi" w:cstheme="majorBidi"/>
          <w:sz w:val="24"/>
          <w:szCs w:val="24"/>
          <w:lang w:val="lt-LT" w:bidi="lt-LT"/>
        </w:rPr>
        <w:t xml:space="preserve"> vertinimu, maksimalus perkamo 1 kambario buto plotas galėjo būti 38,50 kv. m (35 kv. m +10 </w:t>
      </w:r>
      <w:r w:rsidR="00737376">
        <w:rPr>
          <w:rFonts w:asciiTheme="majorBidi" w:eastAsia="Times New Roman" w:hAnsiTheme="majorBidi" w:cstheme="majorBidi"/>
          <w:sz w:val="24"/>
          <w:szCs w:val="24"/>
          <w:lang w:val="lt-LT" w:bidi="lt-LT"/>
        </w:rPr>
        <w:t>proc.</w:t>
      </w:r>
      <w:r w:rsidRPr="00737376">
        <w:rPr>
          <w:rFonts w:asciiTheme="majorBidi" w:eastAsia="Times New Roman" w:hAnsiTheme="majorBidi" w:cstheme="majorBidi"/>
          <w:sz w:val="24"/>
          <w:szCs w:val="24"/>
          <w:lang w:val="lt-LT" w:bidi="lt-LT"/>
        </w:rPr>
        <w:t>). Atitinkamai 8.5 papunktyje buvo nurodyta, kad neperkami butai, kurie neatitinka bent vienos iš 7.1 ar 7.2 papunkčiuose nurodytų sąlygų, o 40.14 papunktyje buvo nurodyta, kad paraiška atmetama, jeigu kandidato siūlomas butas neatitinka bent vieno Pirkimo sąlygų 7.1 arba 7.2 papunkčiuose nustatyto reikalavimo.</w:t>
      </w:r>
    </w:p>
    <w:p w14:paraId="53BD3F7B" w14:textId="4CF8A302" w:rsidR="00737376" w:rsidRDefault="00F8398A" w:rsidP="00737376">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sidRPr="00737376">
        <w:rPr>
          <w:rFonts w:asciiTheme="majorBidi" w:eastAsia="Times New Roman" w:hAnsiTheme="majorBidi" w:cstheme="majorBidi"/>
          <w:sz w:val="24"/>
          <w:szCs w:val="24"/>
          <w:lang w:val="lt-LT" w:bidi="lt-LT"/>
        </w:rPr>
        <w:t xml:space="preserve">Atsižvelgdama į tai, kad iš laimėtojo nupirkto </w:t>
      </w:r>
      <w:r w:rsidR="00737376">
        <w:rPr>
          <w:rFonts w:asciiTheme="majorBidi" w:eastAsia="Times New Roman" w:hAnsiTheme="majorBidi" w:cstheme="majorBidi"/>
          <w:sz w:val="24"/>
          <w:szCs w:val="24"/>
          <w:lang w:val="lt-LT" w:bidi="lt-LT"/>
        </w:rPr>
        <w:t>B</w:t>
      </w:r>
      <w:r w:rsidRPr="00737376">
        <w:rPr>
          <w:rFonts w:asciiTheme="majorBidi" w:eastAsia="Times New Roman" w:hAnsiTheme="majorBidi" w:cstheme="majorBidi"/>
          <w:sz w:val="24"/>
          <w:szCs w:val="24"/>
          <w:lang w:val="lt-LT" w:bidi="lt-LT"/>
        </w:rPr>
        <w:t>uto plotas, vadovaujantis Nekilnojamojo turto registro duomenimis, yra 42,53 kv. m, t. y. daugiau nei 10 proc. didesnis nei maksimali Pirkimo sąlyg</w:t>
      </w:r>
      <w:r w:rsidR="00737376">
        <w:rPr>
          <w:rFonts w:asciiTheme="majorBidi" w:eastAsia="Times New Roman" w:hAnsiTheme="majorBidi" w:cstheme="majorBidi"/>
          <w:sz w:val="24"/>
          <w:szCs w:val="24"/>
          <w:lang w:val="lt-LT" w:bidi="lt-LT"/>
        </w:rPr>
        <w:t>ose</w:t>
      </w:r>
      <w:r w:rsidRPr="00737376">
        <w:rPr>
          <w:rFonts w:asciiTheme="majorBidi" w:eastAsia="Times New Roman" w:hAnsiTheme="majorBidi" w:cstheme="majorBidi"/>
          <w:sz w:val="24"/>
          <w:szCs w:val="24"/>
          <w:lang w:val="lt-LT" w:bidi="lt-LT"/>
        </w:rPr>
        <w:t xml:space="preserve"> nurodyta galima ploto riba, </w:t>
      </w:r>
      <w:r w:rsidR="00737376">
        <w:rPr>
          <w:rFonts w:asciiTheme="majorBidi" w:eastAsia="Times New Roman" w:hAnsiTheme="majorBidi" w:cstheme="majorBidi"/>
          <w:sz w:val="24"/>
          <w:szCs w:val="24"/>
          <w:lang w:val="lt-LT" w:bidi="lt-LT"/>
        </w:rPr>
        <w:t>CPVA</w:t>
      </w:r>
      <w:r w:rsidRPr="00737376">
        <w:rPr>
          <w:rFonts w:asciiTheme="majorBidi" w:eastAsia="Times New Roman" w:hAnsiTheme="majorBidi" w:cstheme="majorBidi"/>
          <w:sz w:val="24"/>
          <w:szCs w:val="24"/>
          <w:lang w:val="lt-LT" w:bidi="lt-LT"/>
        </w:rPr>
        <w:t xml:space="preserve"> vertinimu nupirktas Butas neatitinka Pirkimo sąlygose perkamam objektui nustatytų reikalavimų ir laimėtojo paraiška privalėjo būti atmesta. Taigi, </w:t>
      </w:r>
      <w:r w:rsidR="00737376">
        <w:rPr>
          <w:rFonts w:asciiTheme="majorBidi" w:eastAsia="Times New Roman" w:hAnsiTheme="majorBidi" w:cstheme="majorBidi"/>
          <w:sz w:val="24"/>
          <w:szCs w:val="24"/>
          <w:lang w:val="lt-LT" w:bidi="lt-LT"/>
        </w:rPr>
        <w:t>CPVA</w:t>
      </w:r>
      <w:r w:rsidRPr="00737376">
        <w:rPr>
          <w:rFonts w:asciiTheme="majorBidi" w:eastAsia="Times New Roman" w:hAnsiTheme="majorBidi" w:cstheme="majorBidi"/>
          <w:sz w:val="24"/>
          <w:szCs w:val="24"/>
          <w:lang w:val="lt-LT" w:bidi="lt-LT"/>
        </w:rPr>
        <w:t xml:space="preserve"> pažeidimą konstatavo bei sankciją pareiškėj</w:t>
      </w:r>
      <w:r w:rsidR="0093769D">
        <w:rPr>
          <w:rFonts w:asciiTheme="majorBidi" w:eastAsia="Times New Roman" w:hAnsiTheme="majorBidi" w:cstheme="majorBidi"/>
          <w:sz w:val="24"/>
          <w:szCs w:val="24"/>
          <w:lang w:val="lt-LT" w:bidi="lt-LT"/>
        </w:rPr>
        <w:t>u</w:t>
      </w:r>
      <w:r w:rsidRPr="00737376">
        <w:rPr>
          <w:rFonts w:asciiTheme="majorBidi" w:eastAsia="Times New Roman" w:hAnsiTheme="majorBidi" w:cstheme="majorBidi"/>
          <w:sz w:val="24"/>
          <w:szCs w:val="24"/>
          <w:lang w:val="lt-LT" w:bidi="lt-LT"/>
        </w:rPr>
        <w:t>i pritaikė dėl 4,03 kv. m didesnio Buto ploto.</w:t>
      </w:r>
    </w:p>
    <w:p w14:paraId="7F32A4C4" w14:textId="7E11015F" w:rsidR="00A165A7" w:rsidRDefault="00737376" w:rsidP="00A165A7">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Pr>
          <w:rFonts w:asciiTheme="majorBidi" w:eastAsia="Times New Roman" w:hAnsiTheme="majorBidi" w:cstheme="majorBidi"/>
          <w:sz w:val="24"/>
          <w:szCs w:val="24"/>
          <w:lang w:val="lt-LT" w:bidi="lt-LT"/>
        </w:rPr>
        <w:t>Dėl įtariamo pažeidimo</w:t>
      </w:r>
      <w:r w:rsidR="00F8398A" w:rsidRPr="00737376">
        <w:rPr>
          <w:rFonts w:asciiTheme="majorBidi" w:eastAsia="Times New Roman" w:hAnsiTheme="majorBidi" w:cstheme="majorBidi"/>
          <w:sz w:val="24"/>
          <w:szCs w:val="24"/>
          <w:lang w:val="lt-LT" w:bidi="lt-LT"/>
        </w:rPr>
        <w:t xml:space="preserve"> Administracija pateikė paaiškinimą</w:t>
      </w:r>
      <w:r>
        <w:rPr>
          <w:rFonts w:asciiTheme="majorBidi" w:eastAsia="Times New Roman" w:hAnsiTheme="majorBidi" w:cstheme="majorBidi"/>
          <w:sz w:val="24"/>
          <w:szCs w:val="24"/>
          <w:lang w:val="lt-LT" w:bidi="lt-LT"/>
        </w:rPr>
        <w:t xml:space="preserve">, kuriame nurodė, kad </w:t>
      </w:r>
      <w:r w:rsidR="00F8398A" w:rsidRPr="00737376">
        <w:rPr>
          <w:rFonts w:asciiTheme="majorBidi" w:eastAsia="Times New Roman" w:hAnsiTheme="majorBidi" w:cstheme="majorBidi"/>
          <w:sz w:val="24"/>
          <w:szCs w:val="24"/>
          <w:lang w:val="lt-LT" w:bidi="lt-LT"/>
        </w:rPr>
        <w:t xml:space="preserve">Buto bendras plotas yra 42,53 kv. m, tačiau į bendrą plotą yra įskaičiuotas sandėliukas, kurio plotas 3,29 kv. m, Buto kadastrinių matavimų byloje pažymėta, kad gyvenamasis plotas sudaro 33,62 kv. m, Buto bendrasis plotas neženkliai viršija maksimalų plotą, tačiau buvo priimtas sprendimas dėl šio Buto pirkimo, kadangi iš planuotų nupirkti I grupei priskirtų 47 būstų buvo gautos tik 7 paraiškos, o iš jų nupirkti tik 2 butai. Taigi </w:t>
      </w:r>
      <w:r>
        <w:rPr>
          <w:rFonts w:asciiTheme="majorBidi" w:eastAsia="Times New Roman" w:hAnsiTheme="majorBidi" w:cstheme="majorBidi"/>
          <w:sz w:val="24"/>
          <w:szCs w:val="24"/>
          <w:lang w:val="lt-LT" w:bidi="lt-LT"/>
        </w:rPr>
        <w:t>P</w:t>
      </w:r>
      <w:r w:rsidR="00F8398A" w:rsidRPr="00737376">
        <w:rPr>
          <w:rFonts w:asciiTheme="majorBidi" w:eastAsia="Times New Roman" w:hAnsiTheme="majorBidi" w:cstheme="majorBidi"/>
          <w:sz w:val="24"/>
          <w:szCs w:val="24"/>
          <w:lang w:val="lt-LT" w:bidi="lt-LT"/>
        </w:rPr>
        <w:t xml:space="preserve">erkančioji organizacija, dėjusi pastangas nupirkti kuo daugiau butų ir taip užtikrinti būsto laukiančių asmenų interesus, negali būti vertinama kaip pažeidusi kokius nors viešųjų pirkimų principus, kadangi jokiais </w:t>
      </w:r>
      <w:r w:rsidR="0093769D">
        <w:rPr>
          <w:rFonts w:asciiTheme="majorBidi" w:eastAsia="Times New Roman" w:hAnsiTheme="majorBidi" w:cstheme="majorBidi"/>
          <w:sz w:val="24"/>
          <w:szCs w:val="24"/>
          <w:lang w:val="lt-LT" w:bidi="lt-LT"/>
        </w:rPr>
        <w:t>P</w:t>
      </w:r>
      <w:r w:rsidR="00F8398A" w:rsidRPr="00737376">
        <w:rPr>
          <w:rFonts w:asciiTheme="majorBidi" w:eastAsia="Times New Roman" w:hAnsiTheme="majorBidi" w:cstheme="majorBidi"/>
          <w:sz w:val="24"/>
          <w:szCs w:val="24"/>
          <w:lang w:val="lt-LT" w:bidi="lt-LT"/>
        </w:rPr>
        <w:t>erkančiosios organizacijos veiksmais nebuvo apribota tiekėjų konkurencija</w:t>
      </w:r>
      <w:r w:rsidR="00A165A7">
        <w:rPr>
          <w:rFonts w:asciiTheme="majorBidi" w:eastAsia="Times New Roman" w:hAnsiTheme="majorBidi" w:cstheme="majorBidi"/>
          <w:sz w:val="24"/>
          <w:szCs w:val="24"/>
          <w:lang w:val="lt-LT" w:bidi="lt-LT"/>
        </w:rPr>
        <w:t xml:space="preserve"> (</w:t>
      </w:r>
      <w:r w:rsidR="00F8398A" w:rsidRPr="00737376">
        <w:rPr>
          <w:rFonts w:asciiTheme="majorBidi" w:eastAsia="Times New Roman" w:hAnsiTheme="majorBidi" w:cstheme="majorBidi"/>
          <w:sz w:val="24"/>
          <w:szCs w:val="24"/>
          <w:lang w:val="lt-LT" w:bidi="lt-LT"/>
        </w:rPr>
        <w:t>pasiūlymų pirkime buvo gauta gerokai mažiau, nei tikėtasi</w:t>
      </w:r>
      <w:r w:rsidR="00A165A7">
        <w:rPr>
          <w:rFonts w:asciiTheme="majorBidi" w:eastAsia="Times New Roman" w:hAnsiTheme="majorBidi" w:cstheme="majorBidi"/>
          <w:sz w:val="24"/>
          <w:szCs w:val="24"/>
          <w:lang w:val="lt-LT" w:bidi="lt-LT"/>
        </w:rPr>
        <w:t>)</w:t>
      </w:r>
      <w:r w:rsidR="00F8398A" w:rsidRPr="00737376">
        <w:rPr>
          <w:rFonts w:asciiTheme="majorBidi" w:eastAsia="Times New Roman" w:hAnsiTheme="majorBidi" w:cstheme="majorBidi"/>
          <w:sz w:val="24"/>
          <w:szCs w:val="24"/>
          <w:lang w:val="lt-LT" w:bidi="lt-LT"/>
        </w:rPr>
        <w:t>. Be kita ko, paaiškinime buvo papildomai motyvuotas ir pirkimo sėkmingumas bei pasiektas pagrindinis socialinio būsto plėtros tikslas – nupirktas Butas jau 2020 metais buvo išnuomotas neįgaliam, 25 proc</w:t>
      </w:r>
      <w:r w:rsidR="00A165A7">
        <w:rPr>
          <w:rFonts w:asciiTheme="majorBidi" w:eastAsia="Times New Roman" w:hAnsiTheme="majorBidi" w:cstheme="majorBidi"/>
          <w:sz w:val="24"/>
          <w:szCs w:val="24"/>
          <w:lang w:val="lt-LT" w:bidi="lt-LT"/>
        </w:rPr>
        <w:t>.</w:t>
      </w:r>
      <w:r w:rsidR="00F8398A" w:rsidRPr="00737376">
        <w:rPr>
          <w:rFonts w:asciiTheme="majorBidi" w:eastAsia="Times New Roman" w:hAnsiTheme="majorBidi" w:cstheme="majorBidi"/>
          <w:sz w:val="24"/>
          <w:szCs w:val="24"/>
          <w:lang w:val="lt-LT" w:bidi="lt-LT"/>
        </w:rPr>
        <w:t xml:space="preserve"> darbingumo lygį turinčiam asmeniui.</w:t>
      </w:r>
    </w:p>
    <w:p w14:paraId="59D33F43" w14:textId="4D2E8704" w:rsidR="00A165A7" w:rsidRDefault="00A165A7" w:rsidP="00A165A7">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Pr>
          <w:rFonts w:asciiTheme="majorBidi" w:eastAsia="Times New Roman" w:hAnsiTheme="majorBidi" w:cstheme="majorBidi"/>
          <w:sz w:val="24"/>
          <w:szCs w:val="24"/>
          <w:lang w:val="lt-LT" w:bidi="lt-LT"/>
        </w:rPr>
        <w:t xml:space="preserve">CPVA </w:t>
      </w:r>
      <w:r w:rsidR="00F8398A" w:rsidRPr="00A165A7">
        <w:rPr>
          <w:rFonts w:asciiTheme="majorBidi" w:eastAsia="Times New Roman" w:hAnsiTheme="majorBidi" w:cstheme="majorBidi"/>
          <w:sz w:val="24"/>
          <w:szCs w:val="24"/>
          <w:lang w:val="lt-LT" w:bidi="lt-LT"/>
        </w:rPr>
        <w:t>pateiktų paaiškinimų ir projekto tikslų pasiekimo nelaikė reikšmingais ir jų detaliau nevertino, Sprendime tik nurod</w:t>
      </w:r>
      <w:r>
        <w:rPr>
          <w:rFonts w:asciiTheme="majorBidi" w:eastAsia="Times New Roman" w:hAnsiTheme="majorBidi" w:cstheme="majorBidi"/>
          <w:sz w:val="24"/>
          <w:szCs w:val="24"/>
          <w:lang w:val="lt-LT" w:bidi="lt-LT"/>
        </w:rPr>
        <w:t>ė</w:t>
      </w:r>
      <w:r w:rsidR="00F8398A" w:rsidRPr="00A165A7">
        <w:rPr>
          <w:rFonts w:asciiTheme="majorBidi" w:eastAsia="Times New Roman" w:hAnsiTheme="majorBidi" w:cstheme="majorBidi"/>
          <w:sz w:val="24"/>
          <w:szCs w:val="24"/>
          <w:lang w:val="lt-LT" w:bidi="lt-LT"/>
        </w:rPr>
        <w:t>, kad pateikti paaiškinimai dėl patirties trūkumo vykdant pirkimą bei socialinio būsto įsigijimo poreikio negali pateisinti šių principų pažeidimo, o kartu pateisinti sprendimą pripažinti laimėtojo paraišką tinkam</w:t>
      </w:r>
      <w:r>
        <w:rPr>
          <w:rFonts w:asciiTheme="majorBidi" w:eastAsia="Times New Roman" w:hAnsiTheme="majorBidi" w:cstheme="majorBidi"/>
          <w:sz w:val="24"/>
          <w:szCs w:val="24"/>
          <w:lang w:val="lt-LT" w:bidi="lt-LT"/>
        </w:rPr>
        <w:t>a</w:t>
      </w:r>
      <w:r w:rsidR="00F8398A" w:rsidRPr="00A165A7">
        <w:rPr>
          <w:rFonts w:asciiTheme="majorBidi" w:eastAsia="Times New Roman" w:hAnsiTheme="majorBidi" w:cstheme="majorBidi"/>
          <w:sz w:val="24"/>
          <w:szCs w:val="24"/>
          <w:lang w:val="lt-LT" w:bidi="lt-LT"/>
        </w:rPr>
        <w:t xml:space="preserve"> bei sudaryti pirkimo sutartį. </w:t>
      </w:r>
      <w:r>
        <w:rPr>
          <w:rFonts w:asciiTheme="majorBidi" w:eastAsia="Times New Roman" w:hAnsiTheme="majorBidi" w:cstheme="majorBidi"/>
          <w:sz w:val="24"/>
          <w:szCs w:val="24"/>
          <w:lang w:val="lt-LT" w:bidi="lt-LT"/>
        </w:rPr>
        <w:t>CPVA</w:t>
      </w:r>
      <w:r w:rsidR="00F8398A" w:rsidRPr="00A165A7">
        <w:rPr>
          <w:rFonts w:asciiTheme="majorBidi" w:eastAsia="Times New Roman" w:hAnsiTheme="majorBidi" w:cstheme="majorBidi"/>
          <w:sz w:val="24"/>
          <w:szCs w:val="24"/>
          <w:lang w:val="lt-LT" w:bidi="lt-LT"/>
        </w:rPr>
        <w:t xml:space="preserve"> vertinimu</w:t>
      </w:r>
      <w:r w:rsidR="0093769D">
        <w:rPr>
          <w:rFonts w:asciiTheme="majorBidi" w:eastAsia="Times New Roman" w:hAnsiTheme="majorBidi" w:cstheme="majorBidi"/>
          <w:sz w:val="24"/>
          <w:szCs w:val="24"/>
          <w:lang w:val="lt-LT" w:bidi="lt-LT"/>
        </w:rPr>
        <w:t>, P</w:t>
      </w:r>
      <w:r w:rsidR="00F8398A" w:rsidRPr="00A165A7">
        <w:rPr>
          <w:rFonts w:asciiTheme="majorBidi" w:eastAsia="Times New Roman" w:hAnsiTheme="majorBidi" w:cstheme="majorBidi"/>
          <w:sz w:val="24"/>
          <w:szCs w:val="24"/>
          <w:lang w:val="lt-LT" w:bidi="lt-LT"/>
        </w:rPr>
        <w:t>erkančioji organizacija turėjo atmesti Buto paraišką dėl mažareikšmio ploto neatitikimo, nepaisyti nei aplinkybės, kad Butas iš esmės atitiko visus kriterijus ir tik nežymiai viršijo bendro ploto reikalavimą, nei aplinkybės, kad socialinio būsto laukiantiems daugiau nei tūkstančiui socialiai remtinų asmenų savivaldybė negali suteikti gyvenamosios vietos ir Buto įsigijimas reikšmingai pagerino bent vieno iš šių asmenų gyvenimo sąlygas.</w:t>
      </w:r>
    </w:p>
    <w:p w14:paraId="337C8351" w14:textId="77777777" w:rsidR="00A165A7" w:rsidRDefault="00A165A7" w:rsidP="00A165A7">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Pr>
          <w:rFonts w:asciiTheme="majorBidi" w:eastAsia="Times New Roman" w:hAnsiTheme="majorBidi" w:cstheme="majorBidi"/>
          <w:sz w:val="24"/>
          <w:szCs w:val="24"/>
          <w:lang w:val="lt-LT" w:bidi="lt-LT"/>
        </w:rPr>
        <w:t xml:space="preserve">CPVA </w:t>
      </w:r>
      <w:r w:rsidR="00F8398A" w:rsidRPr="00A165A7">
        <w:rPr>
          <w:rFonts w:asciiTheme="majorBidi" w:eastAsia="Times New Roman" w:hAnsiTheme="majorBidi" w:cstheme="majorBidi"/>
          <w:sz w:val="24"/>
          <w:szCs w:val="24"/>
          <w:lang w:val="lt-LT" w:bidi="lt-LT"/>
        </w:rPr>
        <w:t xml:space="preserve">Sprendime remiasi Lietuvos Aukščiausiojo Teismo (toliau – ir LAT) išaiškinimu, kad nustatyto pasiūlymo trūkumo mažareikšmiškumas (jo svarba ir vertė visos viešojo pirkimo sutarties atžvilgiu) nedaro įtakos tokio pasiūlymo vertinimui kaip neatitinkančio nustatytų reikalavimų, jeigu bent dalis jo tokių reikalavimų neatitinka. Taigi, pati </w:t>
      </w:r>
      <w:r>
        <w:rPr>
          <w:rFonts w:asciiTheme="majorBidi" w:eastAsia="Times New Roman" w:hAnsiTheme="majorBidi" w:cstheme="majorBidi"/>
          <w:sz w:val="24"/>
          <w:szCs w:val="24"/>
          <w:lang w:val="lt-LT" w:bidi="lt-LT"/>
        </w:rPr>
        <w:t>CPVA</w:t>
      </w:r>
      <w:r w:rsidR="00F8398A" w:rsidRPr="00A165A7">
        <w:rPr>
          <w:rFonts w:asciiTheme="majorBidi" w:eastAsia="Times New Roman" w:hAnsiTheme="majorBidi" w:cstheme="majorBidi"/>
          <w:sz w:val="24"/>
          <w:szCs w:val="24"/>
          <w:lang w:val="lt-LT" w:bidi="lt-LT"/>
        </w:rPr>
        <w:t xml:space="preserve"> pripažįsta, kad jos nustatytas pažeidimas dėl nupirkto Buto ploto nežymaus neatitikimo yra mažareikšmis.</w:t>
      </w:r>
    </w:p>
    <w:p w14:paraId="52DFCB37" w14:textId="76CBAE8A" w:rsidR="00A165A7" w:rsidRDefault="00A165A7" w:rsidP="00A165A7">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Pr>
          <w:rFonts w:asciiTheme="majorBidi" w:eastAsia="Times New Roman" w:hAnsiTheme="majorBidi" w:cstheme="majorBidi"/>
          <w:sz w:val="24"/>
          <w:szCs w:val="24"/>
          <w:lang w:val="lt-LT" w:bidi="lt-LT"/>
        </w:rPr>
        <w:t>N</w:t>
      </w:r>
      <w:r w:rsidR="00F8398A" w:rsidRPr="00A165A7">
        <w:rPr>
          <w:rFonts w:asciiTheme="majorBidi" w:eastAsia="Times New Roman" w:hAnsiTheme="majorBidi" w:cstheme="majorBidi"/>
          <w:sz w:val="24"/>
          <w:szCs w:val="24"/>
          <w:lang w:val="lt-LT" w:bidi="lt-LT"/>
        </w:rPr>
        <w:t xml:space="preserve">ustačius formalų Aprašo nuostatų pažeidimą, turėjo būti sprendžiama ir motyvuojama, ar projekto finansavimui skirtų lėšų korekcija apskritai taikytina, </w:t>
      </w:r>
      <w:r>
        <w:rPr>
          <w:rFonts w:asciiTheme="majorBidi" w:eastAsia="Times New Roman" w:hAnsiTheme="majorBidi" w:cstheme="majorBidi"/>
          <w:sz w:val="24"/>
          <w:szCs w:val="24"/>
          <w:lang w:val="lt-LT" w:bidi="lt-LT"/>
        </w:rPr>
        <w:t>o</w:t>
      </w:r>
      <w:r w:rsidR="00F8398A" w:rsidRPr="00A165A7">
        <w:rPr>
          <w:rFonts w:asciiTheme="majorBidi" w:eastAsia="Times New Roman" w:hAnsiTheme="majorBidi" w:cstheme="majorBidi"/>
          <w:sz w:val="24"/>
          <w:szCs w:val="24"/>
          <w:lang w:val="lt-LT" w:bidi="lt-LT"/>
        </w:rPr>
        <w:t xml:space="preserve"> jeigu taikytina, turėjo būti sprendžiama ir motyvuojama, kokio dydžio korekcija yra proporcinga pagal nustatytas faktines aplinkybes ir adekvati nustatytam pažeidimui. Šiuo konkrečiu atveju </w:t>
      </w:r>
      <w:r>
        <w:rPr>
          <w:rFonts w:asciiTheme="majorBidi" w:eastAsia="Times New Roman" w:hAnsiTheme="majorBidi" w:cstheme="majorBidi"/>
          <w:sz w:val="24"/>
          <w:szCs w:val="24"/>
          <w:lang w:val="lt-LT" w:bidi="lt-LT"/>
        </w:rPr>
        <w:t>atsakovo</w:t>
      </w:r>
      <w:r w:rsidR="00F8398A" w:rsidRPr="00A165A7">
        <w:rPr>
          <w:rFonts w:asciiTheme="majorBidi" w:eastAsia="Times New Roman" w:hAnsiTheme="majorBidi" w:cstheme="majorBidi"/>
          <w:sz w:val="24"/>
          <w:szCs w:val="24"/>
          <w:lang w:val="lt-LT" w:bidi="lt-LT"/>
        </w:rPr>
        <w:t xml:space="preserve"> pabrėžiama aplinkybė, neva Administracija vietoje to, kad laimėtojo pasiūlymą atmestų, suteikė jam išskirtines sąlygas dalyvauti pirkime, nes priėmė jo pasiūlymą, kaip tinkamą bei sudarė pirkimo sutartį, niekaip nepadarė </w:t>
      </w:r>
      <w:r w:rsidR="00F8398A" w:rsidRPr="00A165A7">
        <w:rPr>
          <w:rFonts w:asciiTheme="majorBidi" w:eastAsia="Times New Roman" w:hAnsiTheme="majorBidi" w:cstheme="majorBidi"/>
          <w:sz w:val="24"/>
          <w:szCs w:val="24"/>
          <w:lang w:val="lt-LT" w:bidi="lt-LT"/>
        </w:rPr>
        <w:lastRenderedPageBreak/>
        <w:t xml:space="preserve">absoliučiai jokios įtakos </w:t>
      </w:r>
      <w:r>
        <w:rPr>
          <w:rFonts w:asciiTheme="majorBidi" w:eastAsia="Times New Roman" w:hAnsiTheme="majorBidi" w:cstheme="majorBidi"/>
          <w:sz w:val="24"/>
          <w:szCs w:val="24"/>
          <w:lang w:val="lt-LT" w:bidi="lt-LT"/>
        </w:rPr>
        <w:t>P</w:t>
      </w:r>
      <w:r w:rsidR="00F8398A" w:rsidRPr="00A165A7">
        <w:rPr>
          <w:rFonts w:asciiTheme="majorBidi" w:eastAsia="Times New Roman" w:hAnsiTheme="majorBidi" w:cstheme="majorBidi"/>
          <w:sz w:val="24"/>
          <w:szCs w:val="24"/>
          <w:lang w:val="lt-LT" w:bidi="lt-LT"/>
        </w:rPr>
        <w:t xml:space="preserve">rojektui skirtų finansavimo lėšų panaudojimui. </w:t>
      </w:r>
      <w:r>
        <w:rPr>
          <w:rFonts w:asciiTheme="majorBidi" w:eastAsia="Times New Roman" w:hAnsiTheme="majorBidi" w:cstheme="majorBidi"/>
          <w:sz w:val="24"/>
          <w:szCs w:val="24"/>
          <w:lang w:val="lt-LT" w:bidi="lt-LT"/>
        </w:rPr>
        <w:t>CPVA</w:t>
      </w:r>
      <w:r w:rsidR="00F8398A" w:rsidRPr="00A165A7">
        <w:rPr>
          <w:rFonts w:asciiTheme="majorBidi" w:eastAsia="Times New Roman" w:hAnsiTheme="majorBidi" w:cstheme="majorBidi"/>
          <w:sz w:val="24"/>
          <w:szCs w:val="24"/>
          <w:lang w:val="lt-LT" w:bidi="lt-LT"/>
        </w:rPr>
        <w:t xml:space="preserve"> Sprendime šių aplinkybių atskirai neaptar</w:t>
      </w:r>
      <w:r w:rsidR="0093769D">
        <w:rPr>
          <w:rFonts w:asciiTheme="majorBidi" w:eastAsia="Times New Roman" w:hAnsiTheme="majorBidi" w:cstheme="majorBidi"/>
          <w:sz w:val="24"/>
          <w:szCs w:val="24"/>
          <w:lang w:val="lt-LT" w:bidi="lt-LT"/>
        </w:rPr>
        <w:t>ė</w:t>
      </w:r>
      <w:r w:rsidR="00F8398A" w:rsidRPr="00A165A7">
        <w:rPr>
          <w:rFonts w:asciiTheme="majorBidi" w:eastAsia="Times New Roman" w:hAnsiTheme="majorBidi" w:cstheme="majorBidi"/>
          <w:sz w:val="24"/>
          <w:szCs w:val="24"/>
          <w:lang w:val="lt-LT" w:bidi="lt-LT"/>
        </w:rPr>
        <w:t>, nemotyv</w:t>
      </w:r>
      <w:r w:rsidR="0093769D">
        <w:rPr>
          <w:rFonts w:asciiTheme="majorBidi" w:eastAsia="Times New Roman" w:hAnsiTheme="majorBidi" w:cstheme="majorBidi"/>
          <w:sz w:val="24"/>
          <w:szCs w:val="24"/>
          <w:lang w:val="lt-LT" w:bidi="lt-LT"/>
        </w:rPr>
        <w:t>avo</w:t>
      </w:r>
      <w:r w:rsidR="00F8398A" w:rsidRPr="00A165A7">
        <w:rPr>
          <w:rFonts w:asciiTheme="majorBidi" w:eastAsia="Times New Roman" w:hAnsiTheme="majorBidi" w:cstheme="majorBidi"/>
          <w:sz w:val="24"/>
          <w:szCs w:val="24"/>
          <w:lang w:val="lt-LT" w:bidi="lt-LT"/>
        </w:rPr>
        <w:t xml:space="preserve"> nei sankcijos pareiškėj</w:t>
      </w:r>
      <w:r>
        <w:rPr>
          <w:rFonts w:asciiTheme="majorBidi" w:eastAsia="Times New Roman" w:hAnsiTheme="majorBidi" w:cstheme="majorBidi"/>
          <w:sz w:val="24"/>
          <w:szCs w:val="24"/>
          <w:lang w:val="lt-LT" w:bidi="lt-LT"/>
        </w:rPr>
        <w:t>u</w:t>
      </w:r>
      <w:r w:rsidR="00F8398A" w:rsidRPr="00A165A7">
        <w:rPr>
          <w:rFonts w:asciiTheme="majorBidi" w:eastAsia="Times New Roman" w:hAnsiTheme="majorBidi" w:cstheme="majorBidi"/>
          <w:sz w:val="24"/>
          <w:szCs w:val="24"/>
          <w:lang w:val="lt-LT" w:bidi="lt-LT"/>
        </w:rPr>
        <w:t>i taikymo poreikio, nei jos dydžio jokiais argumentais dėl galimo poveikio E</w:t>
      </w:r>
      <w:r>
        <w:rPr>
          <w:rFonts w:asciiTheme="majorBidi" w:eastAsia="Times New Roman" w:hAnsiTheme="majorBidi" w:cstheme="majorBidi"/>
          <w:sz w:val="24"/>
          <w:szCs w:val="24"/>
          <w:lang w:val="lt-LT" w:bidi="lt-LT"/>
        </w:rPr>
        <w:t>uropos Sąjungos (</w:t>
      </w:r>
      <w:r w:rsidR="0093769D">
        <w:rPr>
          <w:rFonts w:asciiTheme="majorBidi" w:eastAsia="Times New Roman" w:hAnsiTheme="majorBidi" w:cstheme="majorBidi"/>
          <w:sz w:val="24"/>
          <w:szCs w:val="24"/>
          <w:lang w:val="lt-LT" w:bidi="lt-LT"/>
        </w:rPr>
        <w:t xml:space="preserve">toliau – ir </w:t>
      </w:r>
      <w:r>
        <w:rPr>
          <w:rFonts w:asciiTheme="majorBidi" w:eastAsia="Times New Roman" w:hAnsiTheme="majorBidi" w:cstheme="majorBidi"/>
          <w:sz w:val="24"/>
          <w:szCs w:val="24"/>
          <w:lang w:val="lt-LT" w:bidi="lt-LT"/>
        </w:rPr>
        <w:t>ES)</w:t>
      </w:r>
      <w:r w:rsidR="00F8398A" w:rsidRPr="00A165A7">
        <w:rPr>
          <w:rFonts w:asciiTheme="majorBidi" w:eastAsia="Times New Roman" w:hAnsiTheme="majorBidi" w:cstheme="majorBidi"/>
          <w:sz w:val="24"/>
          <w:szCs w:val="24"/>
          <w:lang w:val="lt-LT" w:bidi="lt-LT"/>
        </w:rPr>
        <w:t xml:space="preserve"> biudžetui.</w:t>
      </w:r>
    </w:p>
    <w:p w14:paraId="547B63FB" w14:textId="310FABE7" w:rsidR="00A165A7" w:rsidRDefault="00F8398A" w:rsidP="00A165A7">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sidRPr="00A165A7">
        <w:rPr>
          <w:rFonts w:asciiTheme="majorBidi" w:eastAsia="Times New Roman" w:hAnsiTheme="majorBidi" w:cstheme="majorBidi"/>
          <w:sz w:val="24"/>
          <w:szCs w:val="24"/>
          <w:lang w:val="lt-LT" w:bidi="lt-LT"/>
        </w:rPr>
        <w:t>Sprendimas neati</w:t>
      </w:r>
      <w:r w:rsidR="00974BEE">
        <w:rPr>
          <w:rFonts w:asciiTheme="majorBidi" w:eastAsia="Times New Roman" w:hAnsiTheme="majorBidi" w:cstheme="majorBidi"/>
          <w:sz w:val="24"/>
          <w:szCs w:val="24"/>
          <w:lang w:val="lt-LT" w:bidi="lt-LT"/>
        </w:rPr>
        <w:t>ti</w:t>
      </w:r>
      <w:r w:rsidR="0093769D">
        <w:rPr>
          <w:rFonts w:asciiTheme="majorBidi" w:eastAsia="Times New Roman" w:hAnsiTheme="majorBidi" w:cstheme="majorBidi"/>
          <w:sz w:val="24"/>
          <w:szCs w:val="24"/>
          <w:lang w:val="lt-LT" w:bidi="lt-LT"/>
        </w:rPr>
        <w:t>nka</w:t>
      </w:r>
      <w:r w:rsidRPr="00A165A7">
        <w:rPr>
          <w:rFonts w:asciiTheme="majorBidi" w:eastAsia="Times New Roman" w:hAnsiTheme="majorBidi" w:cstheme="majorBidi"/>
          <w:sz w:val="24"/>
          <w:szCs w:val="24"/>
          <w:lang w:val="lt-LT" w:bidi="lt-LT"/>
        </w:rPr>
        <w:t xml:space="preserve"> teismų praktikoje išskiriamų kriterijų (pažeidimų pobūdis, svarba, fondų finansiniai nuostoliai). Be to, atsakov</w:t>
      </w:r>
      <w:r w:rsidR="00A165A7">
        <w:rPr>
          <w:rFonts w:asciiTheme="majorBidi" w:eastAsia="Times New Roman" w:hAnsiTheme="majorBidi" w:cstheme="majorBidi"/>
          <w:sz w:val="24"/>
          <w:szCs w:val="24"/>
          <w:lang w:val="lt-LT" w:bidi="lt-LT"/>
        </w:rPr>
        <w:t>as</w:t>
      </w:r>
      <w:r w:rsidRPr="00A165A7">
        <w:rPr>
          <w:rFonts w:asciiTheme="majorBidi" w:eastAsia="Times New Roman" w:hAnsiTheme="majorBidi" w:cstheme="majorBidi"/>
          <w:sz w:val="24"/>
          <w:szCs w:val="24"/>
          <w:lang w:val="lt-LT" w:bidi="lt-LT"/>
        </w:rPr>
        <w:t xml:space="preserve"> Sprendime nenurodė, kad dėl </w:t>
      </w:r>
      <w:r w:rsidR="00A165A7">
        <w:rPr>
          <w:rFonts w:asciiTheme="majorBidi" w:eastAsia="Times New Roman" w:hAnsiTheme="majorBidi" w:cstheme="majorBidi"/>
          <w:sz w:val="24"/>
          <w:szCs w:val="24"/>
          <w:lang w:val="lt-LT" w:bidi="lt-LT"/>
        </w:rPr>
        <w:t xml:space="preserve">neva </w:t>
      </w:r>
      <w:r w:rsidRPr="00A165A7">
        <w:rPr>
          <w:rFonts w:asciiTheme="majorBidi" w:eastAsia="Times New Roman" w:hAnsiTheme="majorBidi" w:cstheme="majorBidi"/>
          <w:sz w:val="24"/>
          <w:szCs w:val="24"/>
          <w:lang w:val="lt-LT" w:bidi="lt-LT"/>
        </w:rPr>
        <w:t xml:space="preserve">padaryto pažeidimo buvo padarytas koks nors poveikis </w:t>
      </w:r>
      <w:r w:rsidR="00A165A7">
        <w:rPr>
          <w:rFonts w:asciiTheme="majorBidi" w:eastAsia="Times New Roman" w:hAnsiTheme="majorBidi" w:cstheme="majorBidi"/>
          <w:sz w:val="24"/>
          <w:szCs w:val="24"/>
          <w:lang w:val="lt-LT" w:bidi="lt-LT"/>
        </w:rPr>
        <w:t>ES</w:t>
      </w:r>
      <w:r w:rsidRPr="00A165A7">
        <w:rPr>
          <w:rFonts w:asciiTheme="majorBidi" w:eastAsia="Times New Roman" w:hAnsiTheme="majorBidi" w:cstheme="majorBidi"/>
          <w:sz w:val="24"/>
          <w:szCs w:val="24"/>
          <w:lang w:val="lt-LT" w:bidi="lt-LT"/>
        </w:rPr>
        <w:t xml:space="preserve"> biudžetui, todėl lieka neaišku, kodėl </w:t>
      </w:r>
      <w:r w:rsidR="00A165A7">
        <w:rPr>
          <w:rFonts w:asciiTheme="majorBidi" w:eastAsia="Times New Roman" w:hAnsiTheme="majorBidi" w:cstheme="majorBidi"/>
          <w:sz w:val="24"/>
          <w:szCs w:val="24"/>
          <w:lang w:val="lt-LT" w:bidi="lt-LT"/>
        </w:rPr>
        <w:t>CPVA</w:t>
      </w:r>
      <w:r w:rsidRPr="00A165A7">
        <w:rPr>
          <w:rFonts w:asciiTheme="majorBidi" w:eastAsia="Times New Roman" w:hAnsiTheme="majorBidi" w:cstheme="majorBidi"/>
          <w:sz w:val="24"/>
          <w:szCs w:val="24"/>
          <w:lang w:val="lt-LT" w:bidi="lt-LT"/>
        </w:rPr>
        <w:t xml:space="preserve"> pritaikė Administracijai sankciją. </w:t>
      </w:r>
      <w:r w:rsidR="00A165A7">
        <w:rPr>
          <w:rFonts w:asciiTheme="majorBidi" w:eastAsia="Times New Roman" w:hAnsiTheme="majorBidi" w:cstheme="majorBidi"/>
          <w:sz w:val="24"/>
          <w:szCs w:val="24"/>
          <w:lang w:val="lt-LT" w:bidi="lt-LT"/>
        </w:rPr>
        <w:t>Š</w:t>
      </w:r>
      <w:r w:rsidRPr="00A165A7">
        <w:rPr>
          <w:rFonts w:asciiTheme="majorBidi" w:eastAsia="Times New Roman" w:hAnsiTheme="majorBidi" w:cstheme="majorBidi"/>
          <w:sz w:val="24"/>
          <w:szCs w:val="24"/>
          <w:lang w:val="lt-LT" w:bidi="lt-LT"/>
        </w:rPr>
        <w:t xml:space="preserve">iuo atveju turėtų būti įvertintas </w:t>
      </w:r>
      <w:r w:rsidR="00A165A7">
        <w:rPr>
          <w:rFonts w:asciiTheme="majorBidi" w:eastAsia="Times New Roman" w:hAnsiTheme="majorBidi" w:cstheme="majorBidi"/>
          <w:sz w:val="24"/>
          <w:szCs w:val="24"/>
          <w:lang w:val="lt-LT" w:bidi="lt-LT"/>
        </w:rPr>
        <w:t>CPVA</w:t>
      </w:r>
      <w:r w:rsidRPr="00A165A7">
        <w:rPr>
          <w:rFonts w:asciiTheme="majorBidi" w:eastAsia="Times New Roman" w:hAnsiTheme="majorBidi" w:cstheme="majorBidi"/>
          <w:sz w:val="24"/>
          <w:szCs w:val="24"/>
          <w:lang w:val="lt-LT" w:bidi="lt-LT"/>
        </w:rPr>
        <w:t xml:space="preserve"> skirtos 25 proc. finansinės korekcijos pagrįstumas bei pripažintina, kad </w:t>
      </w:r>
      <w:r w:rsidR="00A165A7">
        <w:rPr>
          <w:rFonts w:asciiTheme="majorBidi" w:eastAsia="Times New Roman" w:hAnsiTheme="majorBidi" w:cstheme="majorBidi"/>
          <w:sz w:val="24"/>
          <w:szCs w:val="24"/>
          <w:lang w:val="lt-LT" w:bidi="lt-LT"/>
        </w:rPr>
        <w:t>S</w:t>
      </w:r>
      <w:r w:rsidRPr="00A165A7">
        <w:rPr>
          <w:rFonts w:asciiTheme="majorBidi" w:eastAsia="Times New Roman" w:hAnsiTheme="majorBidi" w:cstheme="majorBidi"/>
          <w:sz w:val="24"/>
          <w:szCs w:val="24"/>
          <w:lang w:val="lt-LT" w:bidi="lt-LT"/>
        </w:rPr>
        <w:t xml:space="preserve">prendimas taikyti sankciją nėra tinkamai motyvuotas. Sprendime nėra pateikta jokios informacijos, ar </w:t>
      </w:r>
      <w:r w:rsidR="0093769D">
        <w:rPr>
          <w:rFonts w:asciiTheme="majorBidi" w:eastAsia="Times New Roman" w:hAnsiTheme="majorBidi" w:cstheme="majorBidi"/>
          <w:sz w:val="24"/>
          <w:szCs w:val="24"/>
          <w:lang w:val="lt-LT" w:bidi="lt-LT"/>
        </w:rPr>
        <w:t xml:space="preserve">CPVA </w:t>
      </w:r>
      <w:r w:rsidRPr="00A165A7">
        <w:rPr>
          <w:rFonts w:asciiTheme="majorBidi" w:eastAsia="Times New Roman" w:hAnsiTheme="majorBidi" w:cstheme="majorBidi"/>
          <w:sz w:val="24"/>
          <w:szCs w:val="24"/>
          <w:lang w:val="lt-LT" w:bidi="lt-LT"/>
        </w:rPr>
        <w:t>taikydama finansinę korekciją išties atsižvelgė į teisės aktus ir (ar) kodėl nagrinėjamu atveju negalėjo būti pritaikyta, pavyzdžiui, mažesnė finansinė korekcija.</w:t>
      </w:r>
    </w:p>
    <w:p w14:paraId="46D54BBD" w14:textId="79EDCF69" w:rsidR="00F8398A" w:rsidRPr="00A165A7" w:rsidRDefault="00A165A7" w:rsidP="00A165A7">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Pr>
          <w:rFonts w:asciiTheme="majorBidi" w:eastAsia="Times New Roman" w:hAnsiTheme="majorBidi" w:cstheme="majorBidi"/>
          <w:sz w:val="24"/>
          <w:szCs w:val="24"/>
          <w:lang w:val="lt-LT" w:bidi="lt-LT"/>
        </w:rPr>
        <w:t>A</w:t>
      </w:r>
      <w:r w:rsidR="00F8398A" w:rsidRPr="00A165A7">
        <w:rPr>
          <w:rFonts w:asciiTheme="majorBidi" w:eastAsia="Times New Roman" w:hAnsiTheme="majorBidi" w:cstheme="majorBidi"/>
          <w:sz w:val="24"/>
          <w:szCs w:val="24"/>
          <w:lang w:val="lt-LT" w:bidi="lt-LT"/>
        </w:rPr>
        <w:t xml:space="preserve">tsižvelgiant į tai, kad konstatuotas pažeidimas buvo mažareikšmis, formalaus, vienkartinio pobūdžio, </w:t>
      </w:r>
      <w:r>
        <w:rPr>
          <w:rFonts w:asciiTheme="majorBidi" w:eastAsia="Times New Roman" w:hAnsiTheme="majorBidi" w:cstheme="majorBidi"/>
          <w:sz w:val="24"/>
          <w:szCs w:val="24"/>
          <w:lang w:val="lt-LT" w:bidi="lt-LT"/>
        </w:rPr>
        <w:t>ES</w:t>
      </w:r>
      <w:r w:rsidR="00F8398A" w:rsidRPr="00A165A7">
        <w:rPr>
          <w:rFonts w:asciiTheme="majorBidi" w:eastAsia="Times New Roman" w:hAnsiTheme="majorBidi" w:cstheme="majorBidi"/>
          <w:sz w:val="24"/>
          <w:szCs w:val="24"/>
          <w:lang w:val="lt-LT" w:bidi="lt-LT"/>
        </w:rPr>
        <w:t xml:space="preserve"> bendrajam biudžetui nebuvo padaryta jokia žala, finansinė korekcija dėl nurodytų aplinkybių šiuo atveju turėjo būti netaikoma arba iš esmės sumažinta.</w:t>
      </w:r>
    </w:p>
    <w:p w14:paraId="26196AA2" w14:textId="6C629D5F" w:rsidR="005E1E36" w:rsidRPr="00FA26E3" w:rsidRDefault="005E1E36" w:rsidP="005E1E36">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sz w:val="24"/>
          <w:szCs w:val="24"/>
          <w:lang w:val="lt-LT"/>
        </w:rPr>
      </w:pPr>
      <w:r w:rsidRPr="00FA26E3">
        <w:rPr>
          <w:rFonts w:ascii="Times New Roman" w:eastAsia="Times New Roman" w:hAnsi="Times New Roman" w:cs="Times New Roman"/>
          <w:bCs/>
          <w:sz w:val="24"/>
          <w:szCs w:val="24"/>
          <w:lang w:val="lt-LT"/>
        </w:rPr>
        <w:t xml:space="preserve">Atsakovas </w:t>
      </w:r>
      <w:r w:rsidR="00745F48" w:rsidRPr="00FA26E3">
        <w:rPr>
          <w:rFonts w:ascii="Times New Roman" w:eastAsia="Times New Roman" w:hAnsi="Times New Roman" w:cs="Times New Roman"/>
          <w:bCs/>
          <w:sz w:val="24"/>
          <w:szCs w:val="24"/>
          <w:lang w:val="lt-LT"/>
        </w:rPr>
        <w:t>CPVA</w:t>
      </w:r>
      <w:r w:rsidR="00D0232F" w:rsidRPr="00FA26E3">
        <w:rPr>
          <w:rFonts w:ascii="Times New Roman" w:eastAsia="Times New Roman" w:hAnsi="Times New Roman" w:cs="Times New Roman"/>
          <w:bCs/>
          <w:sz w:val="24"/>
          <w:szCs w:val="24"/>
          <w:lang w:val="lt-LT"/>
        </w:rPr>
        <w:t xml:space="preserve"> </w:t>
      </w:r>
      <w:r w:rsidRPr="00FA26E3">
        <w:rPr>
          <w:rFonts w:ascii="Times New Roman" w:eastAsia="Times New Roman" w:hAnsi="Times New Roman" w:cs="Times New Roman"/>
          <w:bCs/>
          <w:sz w:val="24"/>
          <w:szCs w:val="24"/>
          <w:lang w:val="lt-LT"/>
        </w:rPr>
        <w:t xml:space="preserve">atsiliepime į </w:t>
      </w:r>
      <w:r w:rsidR="00745F48" w:rsidRPr="00FA26E3">
        <w:rPr>
          <w:rFonts w:ascii="Times New Roman" w:eastAsia="Times New Roman" w:hAnsi="Times New Roman" w:cs="Times New Roman"/>
          <w:bCs/>
          <w:sz w:val="24"/>
          <w:szCs w:val="24"/>
          <w:lang w:val="lt-LT"/>
        </w:rPr>
        <w:t>prašymą</w:t>
      </w:r>
      <w:r w:rsidRPr="00FA26E3">
        <w:rPr>
          <w:rFonts w:ascii="Times New Roman" w:eastAsia="Times New Roman" w:hAnsi="Times New Roman" w:cs="Times New Roman"/>
          <w:bCs/>
          <w:sz w:val="24"/>
          <w:szCs w:val="24"/>
          <w:lang w:val="lt-LT"/>
        </w:rPr>
        <w:t xml:space="preserve"> prašė </w:t>
      </w:r>
      <w:r w:rsidR="0093769D">
        <w:rPr>
          <w:rFonts w:ascii="Times New Roman" w:eastAsia="Times New Roman" w:hAnsi="Times New Roman" w:cs="Times New Roman"/>
          <w:bCs/>
          <w:sz w:val="24"/>
          <w:szCs w:val="24"/>
          <w:lang w:val="lt-LT"/>
        </w:rPr>
        <w:t>jį</w:t>
      </w:r>
      <w:r w:rsidRPr="00FA26E3">
        <w:rPr>
          <w:rFonts w:ascii="Times New Roman" w:eastAsia="Times New Roman" w:hAnsi="Times New Roman" w:cs="Times New Roman"/>
          <w:bCs/>
          <w:sz w:val="24"/>
          <w:szCs w:val="24"/>
          <w:lang w:val="lt-LT"/>
        </w:rPr>
        <w:t xml:space="preserve"> atmesti.</w:t>
      </w:r>
      <w:r w:rsidR="00467628" w:rsidRPr="00FA26E3">
        <w:rPr>
          <w:rFonts w:ascii="Times New Roman" w:eastAsia="Times New Roman" w:hAnsi="Times New Roman" w:cs="Times New Roman"/>
          <w:bCs/>
          <w:sz w:val="24"/>
          <w:szCs w:val="24"/>
          <w:lang w:val="lt-LT"/>
        </w:rPr>
        <w:t xml:space="preserve"> CPVA atsiliepimas grindžiamas šiais argumentais:</w:t>
      </w:r>
    </w:p>
    <w:p w14:paraId="1CAF47F0" w14:textId="605FF6D0" w:rsidR="000D1CC5" w:rsidRDefault="000D1CC5" w:rsidP="000D1CC5">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Pr>
          <w:rFonts w:asciiTheme="majorBidi" w:eastAsia="Times New Roman" w:hAnsiTheme="majorBidi" w:cstheme="majorBidi"/>
          <w:sz w:val="24"/>
          <w:szCs w:val="24"/>
          <w:lang w:val="lt-LT" w:bidi="lt-LT"/>
        </w:rPr>
        <w:t>CPVA, v</w:t>
      </w:r>
      <w:r w:rsidR="00A165A7" w:rsidRPr="00A165A7">
        <w:rPr>
          <w:rFonts w:asciiTheme="majorBidi" w:eastAsia="Times New Roman" w:hAnsiTheme="majorBidi" w:cstheme="majorBidi"/>
          <w:sz w:val="24"/>
          <w:szCs w:val="24"/>
          <w:lang w:val="lt-LT" w:bidi="lt-LT"/>
        </w:rPr>
        <w:t xml:space="preserve">adovaudamasi </w:t>
      </w:r>
      <w:r w:rsidRPr="00A165A7">
        <w:rPr>
          <w:rFonts w:asciiTheme="majorBidi" w:eastAsia="Times New Roman" w:hAnsiTheme="majorBidi" w:cstheme="majorBidi"/>
          <w:sz w:val="24"/>
          <w:szCs w:val="24"/>
          <w:lang w:val="lt-LT" w:bidi="lt-LT"/>
        </w:rPr>
        <w:t xml:space="preserve">Lietuvos Respublikos finansų ministro 2014 m. spalio 8 d. įsakymu Nr. 1K-316 </w:t>
      </w:r>
      <w:r>
        <w:rPr>
          <w:rFonts w:asciiTheme="majorBidi" w:eastAsia="Times New Roman" w:hAnsiTheme="majorBidi" w:cstheme="majorBidi"/>
          <w:sz w:val="24"/>
          <w:szCs w:val="24"/>
          <w:lang w:val="lt-LT" w:bidi="lt-LT"/>
        </w:rPr>
        <w:t>patvirtint</w:t>
      </w:r>
      <w:r w:rsidR="001163CE">
        <w:rPr>
          <w:rFonts w:asciiTheme="majorBidi" w:eastAsia="Times New Roman" w:hAnsiTheme="majorBidi" w:cstheme="majorBidi"/>
          <w:sz w:val="24"/>
          <w:szCs w:val="24"/>
          <w:lang w:val="lt-LT" w:bidi="lt-LT"/>
        </w:rPr>
        <w:t>omis</w:t>
      </w:r>
      <w:r>
        <w:rPr>
          <w:rFonts w:asciiTheme="majorBidi" w:eastAsia="Times New Roman" w:hAnsiTheme="majorBidi" w:cstheme="majorBidi"/>
          <w:sz w:val="24"/>
          <w:szCs w:val="24"/>
          <w:lang w:val="lt-LT" w:bidi="lt-LT"/>
        </w:rPr>
        <w:t xml:space="preserve"> </w:t>
      </w:r>
      <w:r w:rsidR="00A165A7" w:rsidRPr="00A165A7">
        <w:rPr>
          <w:rFonts w:asciiTheme="majorBidi" w:eastAsia="Times New Roman" w:hAnsiTheme="majorBidi" w:cstheme="majorBidi"/>
          <w:sz w:val="24"/>
          <w:szCs w:val="24"/>
          <w:lang w:val="lt-LT" w:bidi="lt-LT"/>
        </w:rPr>
        <w:t>Projektų administravimo ir finansavimo taisykl</w:t>
      </w:r>
      <w:r>
        <w:rPr>
          <w:rFonts w:asciiTheme="majorBidi" w:eastAsia="Times New Roman" w:hAnsiTheme="majorBidi" w:cstheme="majorBidi"/>
          <w:sz w:val="24"/>
          <w:szCs w:val="24"/>
          <w:lang w:val="lt-LT" w:bidi="lt-LT"/>
        </w:rPr>
        <w:t>ėmis (</w:t>
      </w:r>
      <w:r w:rsidR="00A165A7" w:rsidRPr="00A165A7">
        <w:rPr>
          <w:rFonts w:asciiTheme="majorBidi" w:eastAsia="Times New Roman" w:hAnsiTheme="majorBidi" w:cstheme="majorBidi"/>
          <w:sz w:val="24"/>
          <w:szCs w:val="24"/>
          <w:lang w:val="lt-LT" w:bidi="lt-LT"/>
        </w:rPr>
        <w:t xml:space="preserve">toliau – ir PAFT) ir </w:t>
      </w:r>
      <w:r w:rsidR="00453C3D" w:rsidRPr="00453C3D">
        <w:rPr>
          <w:rFonts w:asciiTheme="majorBidi" w:eastAsia="Times New Roman" w:hAnsiTheme="majorBidi" w:cstheme="majorBidi"/>
          <w:sz w:val="24"/>
          <w:szCs w:val="24"/>
          <w:lang w:val="lt-LT" w:bidi="lt-LT"/>
        </w:rPr>
        <w:t>Europos Komisij</w:t>
      </w:r>
      <w:r w:rsidR="00453C3D">
        <w:rPr>
          <w:rFonts w:asciiTheme="majorBidi" w:eastAsia="Times New Roman" w:hAnsiTheme="majorBidi" w:cstheme="majorBidi"/>
          <w:sz w:val="24"/>
          <w:szCs w:val="24"/>
          <w:lang w:val="lt-LT" w:bidi="lt-LT"/>
        </w:rPr>
        <w:t>os</w:t>
      </w:r>
      <w:r w:rsidR="00453C3D" w:rsidRPr="00453C3D">
        <w:rPr>
          <w:rFonts w:asciiTheme="majorBidi" w:eastAsia="Times New Roman" w:hAnsiTheme="majorBidi" w:cstheme="majorBidi"/>
          <w:sz w:val="24"/>
          <w:szCs w:val="24"/>
          <w:lang w:val="lt-LT" w:bidi="lt-LT"/>
        </w:rPr>
        <w:t xml:space="preserve"> 2019 m. gegužės 14 d. sprendimu Nr. C(2019) 3452</w:t>
      </w:r>
      <w:r w:rsidR="00453C3D">
        <w:rPr>
          <w:rFonts w:asciiTheme="majorBidi" w:eastAsia="Times New Roman" w:hAnsiTheme="majorBidi" w:cstheme="majorBidi"/>
          <w:sz w:val="24"/>
          <w:szCs w:val="24"/>
          <w:lang w:val="lt-LT" w:bidi="lt-LT"/>
        </w:rPr>
        <w:t xml:space="preserve">, kuris nustato </w:t>
      </w:r>
      <w:r w:rsidR="00453C3D" w:rsidRPr="00453C3D">
        <w:rPr>
          <w:rFonts w:asciiTheme="majorBidi" w:eastAsia="Times New Roman" w:hAnsiTheme="majorBidi" w:cstheme="majorBidi"/>
          <w:sz w:val="24"/>
          <w:szCs w:val="24"/>
          <w:lang w:val="lt-LT" w:bidi="lt-LT"/>
        </w:rPr>
        <w:t>Europos Sąjungos finansuotomis išlaidomis susijusių finansinių pataisų, kurias reikia atlikti dėl taikytinų viešųjų pirkimų taisyklių nesilaikymo, nustatymo gaires (toliau – ir Gairės)</w:t>
      </w:r>
      <w:r w:rsidR="00A165A7" w:rsidRPr="00A165A7">
        <w:rPr>
          <w:rFonts w:asciiTheme="majorBidi" w:eastAsia="Times New Roman" w:hAnsiTheme="majorBidi" w:cstheme="majorBidi"/>
          <w:sz w:val="24"/>
          <w:szCs w:val="24"/>
          <w:lang w:val="lt-LT" w:bidi="lt-LT"/>
        </w:rPr>
        <w:t>, taikė 25 proc. finansinę korekciją</w:t>
      </w:r>
      <w:r>
        <w:rPr>
          <w:rFonts w:asciiTheme="majorBidi" w:eastAsia="Times New Roman" w:hAnsiTheme="majorBidi" w:cstheme="majorBidi"/>
          <w:sz w:val="24"/>
          <w:szCs w:val="24"/>
          <w:lang w:val="lt-LT" w:bidi="lt-LT"/>
        </w:rPr>
        <w:t>. A</w:t>
      </w:r>
      <w:r w:rsidR="00A165A7" w:rsidRPr="00A165A7">
        <w:rPr>
          <w:rFonts w:asciiTheme="majorBidi" w:eastAsia="Times New Roman" w:hAnsiTheme="majorBidi" w:cstheme="majorBidi"/>
          <w:sz w:val="24"/>
          <w:szCs w:val="24"/>
          <w:lang w:val="lt-LT" w:bidi="lt-LT"/>
        </w:rPr>
        <w:t xml:space="preserve">tsižvelgdama į tai, kad </w:t>
      </w:r>
      <w:r>
        <w:rPr>
          <w:rFonts w:asciiTheme="majorBidi" w:eastAsia="Times New Roman" w:hAnsiTheme="majorBidi" w:cstheme="majorBidi"/>
          <w:sz w:val="24"/>
          <w:szCs w:val="24"/>
          <w:lang w:val="lt-LT" w:bidi="lt-LT"/>
        </w:rPr>
        <w:t xml:space="preserve">Administracija </w:t>
      </w:r>
      <w:r w:rsidR="001163CE">
        <w:rPr>
          <w:rFonts w:asciiTheme="majorBidi" w:eastAsia="Times New Roman" w:hAnsiTheme="majorBidi" w:cstheme="majorBidi"/>
          <w:sz w:val="24"/>
          <w:szCs w:val="24"/>
          <w:lang w:val="lt-LT" w:bidi="lt-LT"/>
        </w:rPr>
        <w:t>P</w:t>
      </w:r>
      <w:r w:rsidR="00A165A7" w:rsidRPr="00A165A7">
        <w:rPr>
          <w:rFonts w:asciiTheme="majorBidi" w:eastAsia="Times New Roman" w:hAnsiTheme="majorBidi" w:cstheme="majorBidi"/>
          <w:sz w:val="24"/>
          <w:szCs w:val="24"/>
          <w:lang w:val="lt-LT" w:bidi="lt-LT"/>
        </w:rPr>
        <w:t xml:space="preserve">irkimo laimėtoju pripažino kandidatą, kurio siūlomas Butas neatitiko </w:t>
      </w:r>
      <w:r w:rsidR="001163CE">
        <w:rPr>
          <w:rFonts w:asciiTheme="majorBidi" w:eastAsia="Times New Roman" w:hAnsiTheme="majorBidi" w:cstheme="majorBidi"/>
          <w:sz w:val="24"/>
          <w:szCs w:val="24"/>
          <w:lang w:val="lt-LT" w:bidi="lt-LT"/>
        </w:rPr>
        <w:t>P</w:t>
      </w:r>
      <w:r w:rsidR="00A165A7" w:rsidRPr="00A165A7">
        <w:rPr>
          <w:rFonts w:asciiTheme="majorBidi" w:eastAsia="Times New Roman" w:hAnsiTheme="majorBidi" w:cstheme="majorBidi"/>
          <w:sz w:val="24"/>
          <w:szCs w:val="24"/>
          <w:lang w:val="lt-LT" w:bidi="lt-LT"/>
        </w:rPr>
        <w:t xml:space="preserve">irkimo sąlygų reikalavimų, tokiu būdu pažeidžiant skaidrumo ir lygiateisiškumo principus, taikyta 25 proc. pataisos norma nuo sutarties vertės tenkančios </w:t>
      </w:r>
      <w:r w:rsidR="001163CE">
        <w:rPr>
          <w:rFonts w:asciiTheme="majorBidi" w:eastAsia="Times New Roman" w:hAnsiTheme="majorBidi" w:cstheme="majorBidi"/>
          <w:sz w:val="24"/>
          <w:szCs w:val="24"/>
          <w:lang w:val="lt-LT" w:bidi="lt-LT"/>
        </w:rPr>
        <w:t>P</w:t>
      </w:r>
      <w:r w:rsidR="00A165A7" w:rsidRPr="00A165A7">
        <w:rPr>
          <w:rFonts w:asciiTheme="majorBidi" w:eastAsia="Times New Roman" w:hAnsiTheme="majorBidi" w:cstheme="majorBidi"/>
          <w:sz w:val="24"/>
          <w:szCs w:val="24"/>
          <w:lang w:val="lt-LT" w:bidi="lt-LT"/>
        </w:rPr>
        <w:t>rojektui, t. y. nuo 55</w:t>
      </w:r>
      <w:r>
        <w:rPr>
          <w:rFonts w:asciiTheme="majorBidi" w:eastAsia="Times New Roman" w:hAnsiTheme="majorBidi" w:cstheme="majorBidi"/>
          <w:sz w:val="24"/>
          <w:szCs w:val="24"/>
          <w:lang w:val="lt-LT" w:bidi="lt-LT"/>
        </w:rPr>
        <w:t> </w:t>
      </w:r>
      <w:r w:rsidR="00A165A7" w:rsidRPr="00A165A7">
        <w:rPr>
          <w:rFonts w:asciiTheme="majorBidi" w:eastAsia="Times New Roman" w:hAnsiTheme="majorBidi" w:cstheme="majorBidi"/>
          <w:sz w:val="24"/>
          <w:szCs w:val="24"/>
          <w:lang w:val="lt-LT" w:bidi="lt-LT"/>
        </w:rPr>
        <w:t>800 Eur. Pažeidimo tyrimo metu nustatyta netinkamų finansuoti išlaidų suma yra 13</w:t>
      </w:r>
      <w:r>
        <w:rPr>
          <w:rFonts w:asciiTheme="majorBidi" w:eastAsia="Times New Roman" w:hAnsiTheme="majorBidi" w:cstheme="majorBidi"/>
          <w:sz w:val="24"/>
          <w:szCs w:val="24"/>
          <w:lang w:val="lt-LT" w:bidi="lt-LT"/>
        </w:rPr>
        <w:t> </w:t>
      </w:r>
      <w:r w:rsidR="00A165A7" w:rsidRPr="00A165A7">
        <w:rPr>
          <w:rFonts w:asciiTheme="majorBidi" w:eastAsia="Times New Roman" w:hAnsiTheme="majorBidi" w:cstheme="majorBidi"/>
          <w:sz w:val="24"/>
          <w:szCs w:val="24"/>
          <w:lang w:val="lt-LT" w:bidi="lt-LT"/>
        </w:rPr>
        <w:t>950</w:t>
      </w:r>
      <w:r>
        <w:rPr>
          <w:rFonts w:asciiTheme="majorBidi" w:eastAsia="Times New Roman" w:hAnsiTheme="majorBidi" w:cstheme="majorBidi"/>
          <w:sz w:val="24"/>
          <w:szCs w:val="24"/>
          <w:lang w:val="lt-LT" w:bidi="lt-LT"/>
        </w:rPr>
        <w:t> </w:t>
      </w:r>
      <w:r w:rsidR="00A165A7" w:rsidRPr="00A165A7">
        <w:rPr>
          <w:rFonts w:asciiTheme="majorBidi" w:eastAsia="Times New Roman" w:hAnsiTheme="majorBidi" w:cstheme="majorBidi"/>
          <w:sz w:val="24"/>
          <w:szCs w:val="24"/>
          <w:lang w:val="lt-LT" w:bidi="lt-LT"/>
        </w:rPr>
        <w:t>Eur.</w:t>
      </w:r>
    </w:p>
    <w:p w14:paraId="58D70BBD" w14:textId="66AA4DFD" w:rsidR="000D1CC5" w:rsidRDefault="00A165A7" w:rsidP="000D1CC5">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sidRPr="000D1CC5">
        <w:rPr>
          <w:rFonts w:asciiTheme="majorBidi" w:eastAsia="Times New Roman" w:hAnsiTheme="majorBidi" w:cstheme="majorBidi"/>
          <w:sz w:val="24"/>
          <w:szCs w:val="24"/>
          <w:lang w:val="lt-LT" w:bidi="lt-LT"/>
        </w:rPr>
        <w:t>Sprendimo konstatuojamoje dalyje nustatyto pažeidimo mažareikšmi</w:t>
      </w:r>
      <w:r w:rsidR="000D1CC5">
        <w:rPr>
          <w:rFonts w:asciiTheme="majorBidi" w:eastAsia="Times New Roman" w:hAnsiTheme="majorBidi" w:cstheme="majorBidi"/>
          <w:sz w:val="24"/>
          <w:szCs w:val="24"/>
          <w:lang w:val="lt-LT" w:bidi="lt-LT"/>
        </w:rPr>
        <w:t>škumas</w:t>
      </w:r>
      <w:r w:rsidRPr="000D1CC5">
        <w:rPr>
          <w:rFonts w:asciiTheme="majorBidi" w:eastAsia="Times New Roman" w:hAnsiTheme="majorBidi" w:cstheme="majorBidi"/>
          <w:sz w:val="24"/>
          <w:szCs w:val="24"/>
          <w:lang w:val="lt-LT" w:bidi="lt-LT"/>
        </w:rPr>
        <w:t xml:space="preserve"> nėra įvardintas. </w:t>
      </w:r>
      <w:r w:rsidR="000D1CC5">
        <w:rPr>
          <w:rFonts w:asciiTheme="majorBidi" w:eastAsia="Times New Roman" w:hAnsiTheme="majorBidi" w:cstheme="majorBidi"/>
          <w:sz w:val="24"/>
          <w:szCs w:val="24"/>
          <w:lang w:val="lt-LT" w:bidi="lt-LT"/>
        </w:rPr>
        <w:t>Nors Administracija savo paaiškinimuose teigė, kad ne</w:t>
      </w:r>
      <w:r w:rsidRPr="000D1CC5">
        <w:rPr>
          <w:rFonts w:asciiTheme="majorBidi" w:eastAsia="Times New Roman" w:hAnsiTheme="majorBidi" w:cstheme="majorBidi"/>
          <w:sz w:val="24"/>
          <w:szCs w:val="24"/>
          <w:lang w:val="lt-LT" w:bidi="lt-LT"/>
        </w:rPr>
        <w:t>tikslinga buvo atmesti butus, kurių plotas neženkliai viršijo numatytus ploto intervalus, kai buvo didelis poreikis butų pirkimui</w:t>
      </w:r>
      <w:r w:rsidR="000D1CC5">
        <w:rPr>
          <w:rFonts w:asciiTheme="majorBidi" w:eastAsia="Times New Roman" w:hAnsiTheme="majorBidi" w:cstheme="majorBidi"/>
          <w:sz w:val="24"/>
          <w:szCs w:val="24"/>
          <w:lang w:val="lt-LT" w:bidi="lt-LT"/>
        </w:rPr>
        <w:t>, tačiau šie teiginiai, vadovaujantis teismų praktika ir teisiniu reguliavimu</w:t>
      </w:r>
      <w:r w:rsidR="001163CE">
        <w:rPr>
          <w:rFonts w:asciiTheme="majorBidi" w:eastAsia="Times New Roman" w:hAnsiTheme="majorBidi" w:cstheme="majorBidi"/>
          <w:sz w:val="24"/>
          <w:szCs w:val="24"/>
          <w:lang w:val="lt-LT" w:bidi="lt-LT"/>
        </w:rPr>
        <w:t>,</w:t>
      </w:r>
      <w:r w:rsidR="000D1CC5">
        <w:rPr>
          <w:rFonts w:asciiTheme="majorBidi" w:eastAsia="Times New Roman" w:hAnsiTheme="majorBidi" w:cstheme="majorBidi"/>
          <w:sz w:val="24"/>
          <w:szCs w:val="24"/>
          <w:lang w:val="lt-LT" w:bidi="lt-LT"/>
        </w:rPr>
        <w:t xml:space="preserve"> buvo paneigti</w:t>
      </w:r>
      <w:r w:rsidRPr="000D1CC5">
        <w:rPr>
          <w:rFonts w:asciiTheme="majorBidi" w:eastAsia="Times New Roman" w:hAnsiTheme="majorBidi" w:cstheme="majorBidi"/>
          <w:sz w:val="24"/>
          <w:szCs w:val="24"/>
          <w:lang w:val="lt-LT" w:bidi="lt-LT"/>
        </w:rPr>
        <w:t xml:space="preserve">. </w:t>
      </w:r>
      <w:r w:rsidR="000D1CC5">
        <w:rPr>
          <w:rFonts w:asciiTheme="majorBidi" w:eastAsia="Times New Roman" w:hAnsiTheme="majorBidi" w:cstheme="majorBidi"/>
          <w:sz w:val="24"/>
          <w:szCs w:val="24"/>
          <w:lang w:val="lt-LT" w:bidi="lt-LT"/>
        </w:rPr>
        <w:t>Sprendime cituota</w:t>
      </w:r>
      <w:r w:rsidRPr="000D1CC5">
        <w:rPr>
          <w:rFonts w:asciiTheme="majorBidi" w:eastAsia="Times New Roman" w:hAnsiTheme="majorBidi" w:cstheme="majorBidi"/>
          <w:sz w:val="24"/>
          <w:szCs w:val="24"/>
          <w:lang w:val="lt-LT" w:bidi="lt-LT"/>
        </w:rPr>
        <w:t xml:space="preserve"> LAT praktika (</w:t>
      </w:r>
      <w:r w:rsidR="000D1CC5">
        <w:rPr>
          <w:rFonts w:asciiTheme="majorBidi" w:eastAsia="Times New Roman" w:hAnsiTheme="majorBidi" w:cstheme="majorBidi"/>
          <w:sz w:val="24"/>
          <w:szCs w:val="24"/>
          <w:lang w:val="lt-LT" w:bidi="lt-LT"/>
        </w:rPr>
        <w:t xml:space="preserve">žr. </w:t>
      </w:r>
      <w:r w:rsidRPr="000D1CC5">
        <w:rPr>
          <w:rFonts w:asciiTheme="majorBidi" w:eastAsia="Times New Roman" w:hAnsiTheme="majorBidi" w:cstheme="majorBidi"/>
          <w:sz w:val="24"/>
          <w:szCs w:val="24"/>
          <w:lang w:val="lt-LT" w:bidi="lt-LT"/>
        </w:rPr>
        <w:t>LAT 2019 m. birželio 20 d. nutart</w:t>
      </w:r>
      <w:r w:rsidR="000D1CC5">
        <w:rPr>
          <w:rFonts w:asciiTheme="majorBidi" w:eastAsia="Times New Roman" w:hAnsiTheme="majorBidi" w:cstheme="majorBidi"/>
          <w:sz w:val="24"/>
          <w:szCs w:val="24"/>
          <w:lang w:val="lt-LT" w:bidi="lt-LT"/>
        </w:rPr>
        <w:t>į</w:t>
      </w:r>
      <w:r w:rsidRPr="000D1CC5">
        <w:rPr>
          <w:rFonts w:asciiTheme="majorBidi" w:eastAsia="Times New Roman" w:hAnsiTheme="majorBidi" w:cstheme="majorBidi"/>
          <w:sz w:val="24"/>
          <w:szCs w:val="24"/>
          <w:lang w:val="lt-LT" w:bidi="lt-LT"/>
        </w:rPr>
        <w:t xml:space="preserve"> civilinėje byloje Nr. e3K-3-217-969/2019) leidžia teigti, kad pasiūlyme esant neatitikimų pirkimo sąlygoms, neatitikimų mastas (šiuo atveju skirtumas tarp </w:t>
      </w:r>
      <w:r w:rsidR="001163CE">
        <w:rPr>
          <w:rFonts w:asciiTheme="majorBidi" w:eastAsia="Times New Roman" w:hAnsiTheme="majorBidi" w:cstheme="majorBidi"/>
          <w:sz w:val="24"/>
          <w:szCs w:val="24"/>
          <w:lang w:val="lt-LT" w:bidi="lt-LT"/>
        </w:rPr>
        <w:t>P</w:t>
      </w:r>
      <w:r w:rsidRPr="000D1CC5">
        <w:rPr>
          <w:rFonts w:asciiTheme="majorBidi" w:eastAsia="Times New Roman" w:hAnsiTheme="majorBidi" w:cstheme="majorBidi"/>
          <w:sz w:val="24"/>
          <w:szCs w:val="24"/>
          <w:lang w:val="lt-LT" w:bidi="lt-LT"/>
        </w:rPr>
        <w:t>irkimo sąlygose nustatyto maksimalaus buto bendrojo (naudingojo) ploto dydžio ir laimėtojo pasiūlyto buto bendrojo (naudingojo) ploto dydžio) negali padaryti tokios įtakos, kad netinkamas pasiūlymas taptų tinkamu (išskyrus Aprašo 39 p</w:t>
      </w:r>
      <w:r w:rsidR="001163CE">
        <w:rPr>
          <w:rFonts w:asciiTheme="majorBidi" w:eastAsia="Times New Roman" w:hAnsiTheme="majorBidi" w:cstheme="majorBidi"/>
          <w:sz w:val="24"/>
          <w:szCs w:val="24"/>
          <w:lang w:val="lt-LT" w:bidi="lt-LT"/>
        </w:rPr>
        <w:t>.</w:t>
      </w:r>
      <w:r w:rsidRPr="000D1CC5">
        <w:rPr>
          <w:rFonts w:asciiTheme="majorBidi" w:eastAsia="Times New Roman" w:hAnsiTheme="majorBidi" w:cstheme="majorBidi"/>
          <w:sz w:val="24"/>
          <w:szCs w:val="24"/>
          <w:lang w:val="lt-LT" w:bidi="lt-LT"/>
        </w:rPr>
        <w:t xml:space="preserve"> nustatytus atvejus). Todėl </w:t>
      </w:r>
      <w:r w:rsidR="000D1CC5">
        <w:rPr>
          <w:rFonts w:asciiTheme="majorBidi" w:eastAsia="Times New Roman" w:hAnsiTheme="majorBidi" w:cstheme="majorBidi"/>
          <w:sz w:val="24"/>
          <w:szCs w:val="24"/>
          <w:lang w:val="lt-LT" w:bidi="lt-LT"/>
        </w:rPr>
        <w:t xml:space="preserve">nepagrįsti </w:t>
      </w:r>
      <w:r w:rsidRPr="000D1CC5">
        <w:rPr>
          <w:rFonts w:asciiTheme="majorBidi" w:eastAsia="Times New Roman" w:hAnsiTheme="majorBidi" w:cstheme="majorBidi"/>
          <w:sz w:val="24"/>
          <w:szCs w:val="24"/>
          <w:lang w:val="lt-LT" w:bidi="lt-LT"/>
        </w:rPr>
        <w:t xml:space="preserve">pareiškėjo argumentai, kad ši situacija neva gali būti vertinama kaip formalus nukrypimas nuo </w:t>
      </w:r>
      <w:r w:rsidR="001163CE">
        <w:rPr>
          <w:rFonts w:asciiTheme="majorBidi" w:eastAsia="Times New Roman" w:hAnsiTheme="majorBidi" w:cstheme="majorBidi"/>
          <w:sz w:val="24"/>
          <w:szCs w:val="24"/>
          <w:lang w:val="lt-LT" w:bidi="lt-LT"/>
        </w:rPr>
        <w:t>P</w:t>
      </w:r>
      <w:r w:rsidRPr="000D1CC5">
        <w:rPr>
          <w:rFonts w:asciiTheme="majorBidi" w:eastAsia="Times New Roman" w:hAnsiTheme="majorBidi" w:cstheme="majorBidi"/>
          <w:sz w:val="24"/>
          <w:szCs w:val="24"/>
          <w:lang w:val="lt-LT" w:bidi="lt-LT"/>
        </w:rPr>
        <w:t xml:space="preserve">irkimo dokumentuose nustatytos konkrečios procedūros ir tai, kad </w:t>
      </w:r>
      <w:r w:rsidR="001163CE">
        <w:rPr>
          <w:rFonts w:asciiTheme="majorBidi" w:eastAsia="Times New Roman" w:hAnsiTheme="majorBidi" w:cstheme="majorBidi"/>
          <w:sz w:val="24"/>
          <w:szCs w:val="24"/>
          <w:lang w:val="lt-LT" w:bidi="lt-LT"/>
        </w:rPr>
        <w:t>P</w:t>
      </w:r>
      <w:r w:rsidRPr="000D1CC5">
        <w:rPr>
          <w:rFonts w:asciiTheme="majorBidi" w:eastAsia="Times New Roman" w:hAnsiTheme="majorBidi" w:cstheme="majorBidi"/>
          <w:sz w:val="24"/>
          <w:szCs w:val="24"/>
          <w:lang w:val="lt-LT" w:bidi="lt-LT"/>
        </w:rPr>
        <w:t>irkimo sąlygų reikalavimas dėl buto bendrojo (naudingojo) ploto dydžio yra mažesnės reikšmės nei kiti reikalavimai.</w:t>
      </w:r>
    </w:p>
    <w:p w14:paraId="343C18B3" w14:textId="2B1B6E94" w:rsidR="000D1CC5" w:rsidRDefault="00A165A7" w:rsidP="000D1CC5">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sidRPr="000D1CC5">
        <w:rPr>
          <w:rFonts w:asciiTheme="majorBidi" w:eastAsia="Times New Roman" w:hAnsiTheme="majorBidi" w:cstheme="majorBidi"/>
          <w:sz w:val="24"/>
          <w:szCs w:val="24"/>
          <w:lang w:val="lt-LT" w:bidi="lt-LT"/>
        </w:rPr>
        <w:t xml:space="preserve">Lietuvos Respublikos paramos būstui įsigyti ar išsinuomoti įstatymo (toliau – ir Paramos būstui įstatymas) 2 straipsnio 9 dalyje </w:t>
      </w:r>
      <w:r w:rsidR="001163CE">
        <w:rPr>
          <w:rFonts w:asciiTheme="majorBidi" w:eastAsia="Times New Roman" w:hAnsiTheme="majorBidi" w:cstheme="majorBidi"/>
          <w:sz w:val="24"/>
          <w:szCs w:val="24"/>
          <w:lang w:val="lt-LT" w:bidi="lt-LT"/>
        </w:rPr>
        <w:t xml:space="preserve">apibrėžta, kas yra </w:t>
      </w:r>
      <w:r w:rsidRPr="000D1CC5">
        <w:rPr>
          <w:rFonts w:asciiTheme="majorBidi" w:eastAsia="Times New Roman" w:hAnsiTheme="majorBidi" w:cstheme="majorBidi"/>
          <w:sz w:val="24"/>
          <w:szCs w:val="24"/>
          <w:lang w:val="lt-LT" w:bidi="lt-LT"/>
        </w:rPr>
        <w:t>naudingasis būsto plotas</w:t>
      </w:r>
      <w:r w:rsidR="001163CE">
        <w:rPr>
          <w:rFonts w:asciiTheme="majorBidi" w:eastAsia="Times New Roman" w:hAnsiTheme="majorBidi" w:cstheme="majorBidi"/>
          <w:sz w:val="24"/>
          <w:szCs w:val="24"/>
          <w:lang w:val="lt-LT" w:bidi="lt-LT"/>
        </w:rPr>
        <w:t>.</w:t>
      </w:r>
      <w:r w:rsidRPr="000D1CC5">
        <w:rPr>
          <w:rFonts w:asciiTheme="majorBidi" w:eastAsia="Times New Roman" w:hAnsiTheme="majorBidi" w:cstheme="majorBidi"/>
          <w:sz w:val="24"/>
          <w:szCs w:val="24"/>
          <w:lang w:val="lt-LT" w:bidi="lt-LT"/>
        </w:rPr>
        <w:t xml:space="preserve"> Iš Buto duomenų matyti, kad kambarys</w:t>
      </w:r>
      <w:r w:rsidR="000D1CC5">
        <w:rPr>
          <w:rFonts w:asciiTheme="majorBidi" w:eastAsia="Times New Roman" w:hAnsiTheme="majorBidi" w:cstheme="majorBidi"/>
          <w:sz w:val="24"/>
          <w:szCs w:val="24"/>
          <w:lang w:val="lt-LT" w:bidi="lt-LT"/>
        </w:rPr>
        <w:t>-</w:t>
      </w:r>
      <w:r w:rsidRPr="000D1CC5">
        <w:rPr>
          <w:rFonts w:asciiTheme="majorBidi" w:eastAsia="Times New Roman" w:hAnsiTheme="majorBidi" w:cstheme="majorBidi"/>
          <w:sz w:val="24"/>
          <w:szCs w:val="24"/>
          <w:lang w:val="lt-LT" w:bidi="lt-LT"/>
        </w:rPr>
        <w:t xml:space="preserve">virtuvė yra 33,62 kv. m, sandėliukas – 3,29 kv. m, vonia – 5,32 kv. m, bendras </w:t>
      </w:r>
      <w:r w:rsidR="000D1CC5">
        <w:rPr>
          <w:rFonts w:asciiTheme="majorBidi" w:eastAsia="Times New Roman" w:hAnsiTheme="majorBidi" w:cstheme="majorBidi"/>
          <w:sz w:val="24"/>
          <w:szCs w:val="24"/>
          <w:lang w:val="lt-LT" w:bidi="lt-LT"/>
        </w:rPr>
        <w:t>p</w:t>
      </w:r>
      <w:r w:rsidR="001163CE">
        <w:rPr>
          <w:rFonts w:asciiTheme="majorBidi" w:eastAsia="Times New Roman" w:hAnsiTheme="majorBidi" w:cstheme="majorBidi"/>
          <w:sz w:val="24"/>
          <w:szCs w:val="24"/>
          <w:lang w:val="lt-LT" w:bidi="lt-LT"/>
        </w:rPr>
        <w:t>l</w:t>
      </w:r>
      <w:r w:rsidR="000D1CC5">
        <w:rPr>
          <w:rFonts w:asciiTheme="majorBidi" w:eastAsia="Times New Roman" w:hAnsiTheme="majorBidi" w:cstheme="majorBidi"/>
          <w:sz w:val="24"/>
          <w:szCs w:val="24"/>
          <w:lang w:val="lt-LT" w:bidi="lt-LT"/>
        </w:rPr>
        <w:t xml:space="preserve">otas </w:t>
      </w:r>
      <w:r w:rsidR="001163CE">
        <w:rPr>
          <w:rFonts w:asciiTheme="majorBidi" w:eastAsia="Times New Roman" w:hAnsiTheme="majorBidi" w:cstheme="majorBidi"/>
          <w:sz w:val="24"/>
          <w:szCs w:val="24"/>
          <w:lang w:val="lt-LT" w:bidi="lt-LT"/>
        </w:rPr>
        <w:t>–</w:t>
      </w:r>
      <w:r w:rsidR="000D1CC5">
        <w:rPr>
          <w:rFonts w:asciiTheme="majorBidi" w:eastAsia="Times New Roman" w:hAnsiTheme="majorBidi" w:cstheme="majorBidi"/>
          <w:sz w:val="24"/>
          <w:szCs w:val="24"/>
          <w:lang w:val="lt-LT" w:bidi="lt-LT"/>
        </w:rPr>
        <w:t xml:space="preserve"> </w:t>
      </w:r>
      <w:r w:rsidRPr="000D1CC5">
        <w:rPr>
          <w:rFonts w:asciiTheme="majorBidi" w:eastAsia="Times New Roman" w:hAnsiTheme="majorBidi" w:cstheme="majorBidi"/>
          <w:sz w:val="24"/>
          <w:szCs w:val="24"/>
          <w:lang w:val="lt-LT" w:bidi="lt-LT"/>
        </w:rPr>
        <w:t xml:space="preserve">42,33 kv. m. Todėl skaičiuojant pagal Paramos būstui įstatymo nuostatas naudingąjį būsto plotą, jis viršija </w:t>
      </w:r>
      <w:r w:rsidR="000D1CC5">
        <w:rPr>
          <w:rFonts w:asciiTheme="majorBidi" w:eastAsia="Times New Roman" w:hAnsiTheme="majorBidi" w:cstheme="majorBidi"/>
          <w:sz w:val="24"/>
          <w:szCs w:val="24"/>
          <w:lang w:val="lt-LT" w:bidi="lt-LT"/>
        </w:rPr>
        <w:t>P</w:t>
      </w:r>
      <w:r w:rsidRPr="000D1CC5">
        <w:rPr>
          <w:rFonts w:asciiTheme="majorBidi" w:eastAsia="Times New Roman" w:hAnsiTheme="majorBidi" w:cstheme="majorBidi"/>
          <w:sz w:val="24"/>
          <w:szCs w:val="24"/>
          <w:lang w:val="lt-LT" w:bidi="lt-LT"/>
        </w:rPr>
        <w:t>irkimo sąlygų 7.1.3.3 papunktyje nustatytą reikalavimą, įskaitant paklaidos ribas.</w:t>
      </w:r>
    </w:p>
    <w:p w14:paraId="468FB573" w14:textId="77777777" w:rsidR="000D1CC5" w:rsidRDefault="00A165A7" w:rsidP="000D1CC5">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sidRPr="000D1CC5">
        <w:rPr>
          <w:rFonts w:asciiTheme="majorBidi" w:eastAsia="Times New Roman" w:hAnsiTheme="majorBidi" w:cstheme="majorBidi"/>
          <w:sz w:val="24"/>
          <w:szCs w:val="24"/>
          <w:lang w:val="lt-LT" w:bidi="lt-LT"/>
        </w:rPr>
        <w:t xml:space="preserve">Projekto sutartimi buvo sutarta dėl siektino tikslo – didinti savivaldybėje gyvenančių šeimų, turinčių teisę į socialinio būsto nuomą aprūpinimo būstu. Šio tikslo siekimas privalo būti atliekamas vadovaujantis teisės aktų nustatyta tvarka. Visgi, vien šio tikslo siekimas negali lemti sąlygų, kad neteisėti </w:t>
      </w:r>
      <w:r w:rsidR="000D1CC5">
        <w:rPr>
          <w:rFonts w:asciiTheme="majorBidi" w:eastAsia="Times New Roman" w:hAnsiTheme="majorBidi" w:cstheme="majorBidi"/>
          <w:sz w:val="24"/>
          <w:szCs w:val="24"/>
          <w:lang w:val="lt-LT" w:bidi="lt-LT"/>
        </w:rPr>
        <w:t xml:space="preserve">pareiškėjo </w:t>
      </w:r>
      <w:r w:rsidRPr="000D1CC5">
        <w:rPr>
          <w:rFonts w:asciiTheme="majorBidi" w:eastAsia="Times New Roman" w:hAnsiTheme="majorBidi" w:cstheme="majorBidi"/>
          <w:sz w:val="24"/>
          <w:szCs w:val="24"/>
          <w:lang w:val="lt-LT" w:bidi="lt-LT"/>
        </w:rPr>
        <w:t>veiksmai taptų pateisinami.</w:t>
      </w:r>
    </w:p>
    <w:p w14:paraId="0697A0C0" w14:textId="1AA40ED2" w:rsidR="008E1E9C" w:rsidRDefault="000D1CC5" w:rsidP="008E1E9C">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Pr>
          <w:rFonts w:asciiTheme="majorBidi" w:eastAsia="Times New Roman" w:hAnsiTheme="majorBidi" w:cstheme="majorBidi"/>
          <w:sz w:val="24"/>
          <w:szCs w:val="24"/>
          <w:lang w:val="lt-LT" w:bidi="lt-LT"/>
        </w:rPr>
        <w:t>N</w:t>
      </w:r>
      <w:r w:rsidR="00A165A7" w:rsidRPr="000D1CC5">
        <w:rPr>
          <w:rFonts w:asciiTheme="majorBidi" w:eastAsia="Times New Roman" w:hAnsiTheme="majorBidi" w:cstheme="majorBidi"/>
          <w:sz w:val="24"/>
          <w:szCs w:val="24"/>
          <w:lang w:val="lt-LT" w:bidi="lt-LT"/>
        </w:rPr>
        <w:t xml:space="preserve">ustatydama taikytiną finansinės korekcijos dydį, </w:t>
      </w:r>
      <w:r w:rsidR="008E1E9C">
        <w:rPr>
          <w:rFonts w:asciiTheme="majorBidi" w:eastAsia="Times New Roman" w:hAnsiTheme="majorBidi" w:cstheme="majorBidi"/>
          <w:sz w:val="24"/>
          <w:szCs w:val="24"/>
          <w:lang w:val="lt-LT" w:bidi="lt-LT"/>
        </w:rPr>
        <w:t xml:space="preserve">CPVA </w:t>
      </w:r>
      <w:r w:rsidR="00A165A7" w:rsidRPr="000D1CC5">
        <w:rPr>
          <w:rFonts w:asciiTheme="majorBidi" w:eastAsia="Times New Roman" w:hAnsiTheme="majorBidi" w:cstheme="majorBidi"/>
          <w:sz w:val="24"/>
          <w:szCs w:val="24"/>
          <w:lang w:val="lt-LT" w:bidi="lt-LT"/>
        </w:rPr>
        <w:t xml:space="preserve">įvertino pažeidimo pobūdį bei visas reikšmingas aplinkybes. Nustatytas pažeidimas yra susijęs su tuo, jog </w:t>
      </w:r>
      <w:r w:rsidR="008E1E9C">
        <w:rPr>
          <w:rFonts w:asciiTheme="majorBidi" w:eastAsia="Times New Roman" w:hAnsiTheme="majorBidi" w:cstheme="majorBidi"/>
          <w:sz w:val="24"/>
          <w:szCs w:val="24"/>
          <w:lang w:val="lt-LT" w:bidi="lt-LT"/>
        </w:rPr>
        <w:t>Administracija</w:t>
      </w:r>
      <w:r w:rsidR="00A165A7" w:rsidRPr="000D1CC5">
        <w:rPr>
          <w:rFonts w:asciiTheme="majorBidi" w:eastAsia="Times New Roman" w:hAnsiTheme="majorBidi" w:cstheme="majorBidi"/>
          <w:sz w:val="24"/>
          <w:szCs w:val="24"/>
          <w:lang w:val="lt-LT" w:bidi="lt-LT"/>
        </w:rPr>
        <w:t xml:space="preserve"> </w:t>
      </w:r>
      <w:r w:rsidR="001163CE">
        <w:rPr>
          <w:rFonts w:asciiTheme="majorBidi" w:eastAsia="Times New Roman" w:hAnsiTheme="majorBidi" w:cstheme="majorBidi"/>
          <w:sz w:val="24"/>
          <w:szCs w:val="24"/>
          <w:lang w:val="lt-LT" w:bidi="lt-LT"/>
        </w:rPr>
        <w:t>P</w:t>
      </w:r>
      <w:r w:rsidR="00A165A7" w:rsidRPr="000D1CC5">
        <w:rPr>
          <w:rFonts w:asciiTheme="majorBidi" w:eastAsia="Times New Roman" w:hAnsiTheme="majorBidi" w:cstheme="majorBidi"/>
          <w:sz w:val="24"/>
          <w:szCs w:val="24"/>
          <w:lang w:val="lt-LT" w:bidi="lt-LT"/>
        </w:rPr>
        <w:t xml:space="preserve">irkimo laimėtojo paraišką turėjo atmesti, kaip neatitinkančią </w:t>
      </w:r>
      <w:r w:rsidR="001163CE">
        <w:rPr>
          <w:rFonts w:asciiTheme="majorBidi" w:eastAsia="Times New Roman" w:hAnsiTheme="majorBidi" w:cstheme="majorBidi"/>
          <w:sz w:val="24"/>
          <w:szCs w:val="24"/>
          <w:lang w:val="lt-LT" w:bidi="lt-LT"/>
        </w:rPr>
        <w:t>P</w:t>
      </w:r>
      <w:r w:rsidR="00A165A7" w:rsidRPr="000D1CC5">
        <w:rPr>
          <w:rFonts w:asciiTheme="majorBidi" w:eastAsia="Times New Roman" w:hAnsiTheme="majorBidi" w:cstheme="majorBidi"/>
          <w:sz w:val="24"/>
          <w:szCs w:val="24"/>
          <w:lang w:val="lt-LT" w:bidi="lt-LT"/>
        </w:rPr>
        <w:t xml:space="preserve">irkimo sąlygų reikalavimų. Todėl vadovaujantis Gairių reguliavimu, finansinė korekcija turėjo būti nustatoma ir taikoma pagal </w:t>
      </w:r>
      <w:r w:rsidR="00A165A7" w:rsidRPr="000D1CC5">
        <w:rPr>
          <w:rFonts w:asciiTheme="majorBidi" w:eastAsia="Times New Roman" w:hAnsiTheme="majorBidi" w:cstheme="majorBidi"/>
          <w:sz w:val="24"/>
          <w:szCs w:val="24"/>
          <w:lang w:val="lt-LT" w:bidi="lt-LT"/>
        </w:rPr>
        <w:lastRenderedPageBreak/>
        <w:t xml:space="preserve">pažeidimo pobūdį, kuris yra </w:t>
      </w:r>
      <w:r w:rsidR="008E1E9C">
        <w:rPr>
          <w:rFonts w:asciiTheme="majorBidi" w:eastAsia="Times New Roman" w:hAnsiTheme="majorBidi" w:cstheme="majorBidi"/>
          <w:sz w:val="24"/>
          <w:szCs w:val="24"/>
          <w:lang w:val="lt-LT" w:bidi="lt-LT"/>
        </w:rPr>
        <w:t>artimiausias</w:t>
      </w:r>
      <w:r w:rsidR="00A165A7" w:rsidRPr="000D1CC5">
        <w:rPr>
          <w:rFonts w:asciiTheme="majorBidi" w:eastAsia="Times New Roman" w:hAnsiTheme="majorBidi" w:cstheme="majorBidi"/>
          <w:sz w:val="24"/>
          <w:szCs w:val="24"/>
          <w:lang w:val="lt-LT" w:bidi="lt-LT"/>
        </w:rPr>
        <w:t xml:space="preserve"> nustatytam CPVA pažeidimui, t. y. Gairių 2.2 lentelės 14 punktui. </w:t>
      </w:r>
    </w:p>
    <w:p w14:paraId="61C146B3" w14:textId="5C91F9B2" w:rsidR="00453C3D" w:rsidRDefault="00A165A7" w:rsidP="00453C3D">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sidRPr="008E1E9C">
        <w:rPr>
          <w:rFonts w:asciiTheme="majorBidi" w:eastAsia="Times New Roman" w:hAnsiTheme="majorBidi" w:cstheme="majorBidi"/>
          <w:sz w:val="24"/>
          <w:szCs w:val="24"/>
          <w:lang w:val="lt-LT" w:bidi="lt-LT"/>
        </w:rPr>
        <w:t>CPVA, vykdydama jai pavestas funkcijas, vadovaujantis PAFT nuostatose, susijusiose su bendrųjų išlaidų tinkamumo finansuoti reikalavimais, turi pareigą patikrinti</w:t>
      </w:r>
      <w:r w:rsidR="008E1E9C">
        <w:rPr>
          <w:rFonts w:asciiTheme="majorBidi" w:eastAsia="Times New Roman" w:hAnsiTheme="majorBidi" w:cstheme="majorBidi"/>
          <w:sz w:val="24"/>
          <w:szCs w:val="24"/>
          <w:lang w:val="lt-LT" w:bidi="lt-LT"/>
        </w:rPr>
        <w:t>,</w:t>
      </w:r>
      <w:r w:rsidRPr="008E1E9C">
        <w:rPr>
          <w:rFonts w:asciiTheme="majorBidi" w:eastAsia="Times New Roman" w:hAnsiTheme="majorBidi" w:cstheme="majorBidi"/>
          <w:sz w:val="24"/>
          <w:szCs w:val="24"/>
          <w:lang w:val="lt-LT" w:bidi="lt-LT"/>
        </w:rPr>
        <w:t xml:space="preserve"> ar projekto vykdytojo deklaruotos išlaidos gali būti pripažintos tinkamomis finansuoti. </w:t>
      </w:r>
      <w:r w:rsidR="008E1E9C">
        <w:rPr>
          <w:rFonts w:asciiTheme="majorBidi" w:eastAsia="Times New Roman" w:hAnsiTheme="majorBidi" w:cstheme="majorBidi"/>
          <w:sz w:val="24"/>
          <w:szCs w:val="24"/>
          <w:lang w:val="lt-LT" w:bidi="lt-LT"/>
        </w:rPr>
        <w:t>P</w:t>
      </w:r>
      <w:r w:rsidRPr="008E1E9C">
        <w:rPr>
          <w:rFonts w:asciiTheme="majorBidi" w:eastAsia="Times New Roman" w:hAnsiTheme="majorBidi" w:cstheme="majorBidi"/>
          <w:sz w:val="24"/>
          <w:szCs w:val="24"/>
          <w:lang w:val="lt-LT" w:bidi="lt-LT"/>
        </w:rPr>
        <w:t xml:space="preserve">agal </w:t>
      </w:r>
      <w:r w:rsidR="00453C3D" w:rsidRPr="00453C3D">
        <w:rPr>
          <w:rFonts w:asciiTheme="majorBidi" w:eastAsia="Times New Roman" w:hAnsiTheme="majorBidi" w:cstheme="majorBidi"/>
          <w:sz w:val="24"/>
          <w:szCs w:val="24"/>
          <w:lang w:val="lt-LT" w:bidi="lt-LT"/>
        </w:rPr>
        <w:t>Europos parlamento ir Tarybos 2013 m. gruodžio 17 d. reglamento (ES) Nr. 1303/2013, kuriuo nustatomos Europos regioninės plėtros fondui, Europos socialiniam fondui, Sanglaudos fondui, Europos žemės ūkio fondui kaimo plėtrai ir Europos jūros reikalų ir žuvininkystės fondui bendros nuostatos ir Europos regioninės plėtros fondui, Europos socialiniam fondui, Sanglaudos fondui ir Europos jūros reikalų ir žuvininkystės fondui taikytinos bendrosios nuostatos ir panaikinamas Tarybos reglamentas (EB) Nr. 1083/2006 (toliau – ir Reglamentas</w:t>
      </w:r>
      <w:r w:rsidR="006D1DA1">
        <w:rPr>
          <w:rFonts w:asciiTheme="majorBidi" w:eastAsia="Times New Roman" w:hAnsiTheme="majorBidi" w:cstheme="majorBidi"/>
          <w:sz w:val="24"/>
          <w:szCs w:val="24"/>
          <w:lang w:val="lt-LT" w:bidi="lt-LT"/>
        </w:rPr>
        <w:t xml:space="preserve"> </w:t>
      </w:r>
      <w:r w:rsidR="00453C3D" w:rsidRPr="00453C3D">
        <w:rPr>
          <w:rFonts w:asciiTheme="majorBidi" w:eastAsia="Times New Roman" w:hAnsiTheme="majorBidi" w:cstheme="majorBidi"/>
          <w:sz w:val="24"/>
          <w:szCs w:val="24"/>
          <w:lang w:val="lt-LT" w:bidi="lt-LT"/>
        </w:rPr>
        <w:t>Nr. 1303/2013</w:t>
      </w:r>
      <w:r w:rsidR="001163CE">
        <w:rPr>
          <w:rFonts w:asciiTheme="majorBidi" w:eastAsia="Times New Roman" w:hAnsiTheme="majorBidi" w:cstheme="majorBidi"/>
          <w:sz w:val="24"/>
          <w:szCs w:val="24"/>
          <w:lang w:val="lt-LT" w:bidi="lt-LT"/>
        </w:rPr>
        <w:t>, Reglamentas</w:t>
      </w:r>
      <w:r w:rsidR="00453C3D" w:rsidRPr="00453C3D">
        <w:rPr>
          <w:rFonts w:asciiTheme="majorBidi" w:eastAsia="Times New Roman" w:hAnsiTheme="majorBidi" w:cstheme="majorBidi"/>
          <w:sz w:val="24"/>
          <w:szCs w:val="24"/>
          <w:lang w:val="lt-LT" w:bidi="lt-LT"/>
        </w:rPr>
        <w:t>)</w:t>
      </w:r>
      <w:r w:rsidRPr="008E1E9C">
        <w:rPr>
          <w:rFonts w:asciiTheme="majorBidi" w:eastAsia="Times New Roman" w:hAnsiTheme="majorBidi" w:cstheme="majorBidi"/>
          <w:sz w:val="24"/>
          <w:szCs w:val="24"/>
          <w:lang w:val="lt-LT" w:bidi="lt-LT"/>
        </w:rPr>
        <w:t xml:space="preserve"> 2 straipsnio 36 punktą, pareiškėja</w:t>
      </w:r>
      <w:r w:rsidR="00453C3D">
        <w:rPr>
          <w:rFonts w:asciiTheme="majorBidi" w:eastAsia="Times New Roman" w:hAnsiTheme="majorBidi" w:cstheme="majorBidi"/>
          <w:sz w:val="24"/>
          <w:szCs w:val="24"/>
          <w:lang w:val="lt-LT" w:bidi="lt-LT"/>
        </w:rPr>
        <w:t>s</w:t>
      </w:r>
      <w:r w:rsidRPr="008E1E9C">
        <w:rPr>
          <w:rFonts w:asciiTheme="majorBidi" w:eastAsia="Times New Roman" w:hAnsiTheme="majorBidi" w:cstheme="majorBidi"/>
          <w:sz w:val="24"/>
          <w:szCs w:val="24"/>
          <w:lang w:val="lt-LT" w:bidi="lt-LT"/>
        </w:rPr>
        <w:t xml:space="preserve"> atitinka pirmąjį pažeidimo požymį, t. y. pareiškėja</w:t>
      </w:r>
      <w:r w:rsidR="001163CE">
        <w:rPr>
          <w:rFonts w:asciiTheme="majorBidi" w:eastAsia="Times New Roman" w:hAnsiTheme="majorBidi" w:cstheme="majorBidi"/>
          <w:sz w:val="24"/>
          <w:szCs w:val="24"/>
          <w:lang w:val="lt-LT" w:bidi="lt-LT"/>
        </w:rPr>
        <w:t>s</w:t>
      </w:r>
      <w:r w:rsidRPr="008E1E9C">
        <w:rPr>
          <w:rFonts w:asciiTheme="majorBidi" w:eastAsia="Times New Roman" w:hAnsiTheme="majorBidi" w:cstheme="majorBidi"/>
          <w:sz w:val="24"/>
          <w:szCs w:val="24"/>
          <w:lang w:val="lt-LT" w:bidi="lt-LT"/>
        </w:rPr>
        <w:t xml:space="preserve"> yra pažeidusi nacionalinį reguliavimą dėl pirkimų vykdymo, kuris buvo taikomas įgyvendinant ES lėšomis finansuojamą projektą. Be to, pažeidimas buvo padarytas netinkamu </w:t>
      </w:r>
      <w:r w:rsidR="001163CE">
        <w:rPr>
          <w:rFonts w:asciiTheme="majorBidi" w:eastAsia="Times New Roman" w:hAnsiTheme="majorBidi" w:cstheme="majorBidi"/>
          <w:sz w:val="24"/>
          <w:szCs w:val="24"/>
          <w:lang w:val="lt-LT" w:bidi="lt-LT"/>
        </w:rPr>
        <w:t>P</w:t>
      </w:r>
      <w:r w:rsidRPr="008E1E9C">
        <w:rPr>
          <w:rFonts w:asciiTheme="majorBidi" w:eastAsia="Times New Roman" w:hAnsiTheme="majorBidi" w:cstheme="majorBidi"/>
          <w:sz w:val="24"/>
          <w:szCs w:val="24"/>
          <w:lang w:val="lt-LT" w:bidi="lt-LT"/>
        </w:rPr>
        <w:t>erkančiosios organizacijos veikimu, t. y. pareiškėja</w:t>
      </w:r>
      <w:r w:rsidR="001163CE">
        <w:rPr>
          <w:rFonts w:asciiTheme="majorBidi" w:eastAsia="Times New Roman" w:hAnsiTheme="majorBidi" w:cstheme="majorBidi"/>
          <w:sz w:val="24"/>
          <w:szCs w:val="24"/>
          <w:lang w:val="lt-LT" w:bidi="lt-LT"/>
        </w:rPr>
        <w:t>s</w:t>
      </w:r>
      <w:r w:rsidRPr="008E1E9C">
        <w:rPr>
          <w:rFonts w:asciiTheme="majorBidi" w:eastAsia="Times New Roman" w:hAnsiTheme="majorBidi" w:cstheme="majorBidi"/>
          <w:sz w:val="24"/>
          <w:szCs w:val="24"/>
          <w:lang w:val="lt-LT" w:bidi="lt-LT"/>
        </w:rPr>
        <w:t xml:space="preserve"> </w:t>
      </w:r>
      <w:r w:rsidR="001163CE">
        <w:rPr>
          <w:rFonts w:asciiTheme="majorBidi" w:eastAsia="Times New Roman" w:hAnsiTheme="majorBidi" w:cstheme="majorBidi"/>
          <w:sz w:val="24"/>
          <w:szCs w:val="24"/>
          <w:lang w:val="lt-LT" w:bidi="lt-LT"/>
        </w:rPr>
        <w:t>P</w:t>
      </w:r>
      <w:r w:rsidRPr="008E1E9C">
        <w:rPr>
          <w:rFonts w:asciiTheme="majorBidi" w:eastAsia="Times New Roman" w:hAnsiTheme="majorBidi" w:cstheme="majorBidi"/>
          <w:sz w:val="24"/>
          <w:szCs w:val="24"/>
          <w:lang w:val="lt-LT" w:bidi="lt-LT"/>
        </w:rPr>
        <w:t>irkimo laimėtojui suteik</w:t>
      </w:r>
      <w:r w:rsidR="001163CE">
        <w:rPr>
          <w:rFonts w:asciiTheme="majorBidi" w:eastAsia="Times New Roman" w:hAnsiTheme="majorBidi" w:cstheme="majorBidi"/>
          <w:sz w:val="24"/>
          <w:szCs w:val="24"/>
          <w:lang w:val="lt-LT" w:bidi="lt-LT"/>
        </w:rPr>
        <w:t>ė</w:t>
      </w:r>
      <w:r w:rsidRPr="008E1E9C">
        <w:rPr>
          <w:rFonts w:asciiTheme="majorBidi" w:eastAsia="Times New Roman" w:hAnsiTheme="majorBidi" w:cstheme="majorBidi"/>
          <w:sz w:val="24"/>
          <w:szCs w:val="24"/>
          <w:lang w:val="lt-LT" w:bidi="lt-LT"/>
        </w:rPr>
        <w:t xml:space="preserve"> daugiau teisių nei kitiems galimiems kandidatams, atsisakydama vieno iš butams taikomų reikalavimų, tuo pažeisdama Aprašo 3 punkte nurodytus skaidrumo ir lygiateisiškumo principus, todėl yra tenkinamas ir antrasis pažeidimo požymis. Taip pat pareiškėjo padarytas pažeidimas sukėlė neigiamas pasekmes ES lėšų panaudojimui, kas atitinka trečiąjį pažeidimo požymį. Nustačius pažeidimą, finansinės korekcijos taikymas yra privaloma, o ne alternatyviai pasirenkama procedūra. Tuo pagrindu paneigtini skundo argumentai, kad CPVA tikslas turėtų būti įvertinti galimos sankcijos poreikį.</w:t>
      </w:r>
    </w:p>
    <w:p w14:paraId="330F7E08" w14:textId="22F8794F" w:rsidR="00A165A7" w:rsidRPr="00453C3D" w:rsidRDefault="00453C3D" w:rsidP="00453C3D">
      <w:pPr>
        <w:pStyle w:val="Sraopastraipa"/>
        <w:numPr>
          <w:ilvl w:val="1"/>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Pr>
          <w:rFonts w:asciiTheme="majorBidi" w:eastAsia="Times New Roman" w:hAnsiTheme="majorBidi" w:cstheme="majorBidi"/>
          <w:sz w:val="24"/>
          <w:szCs w:val="24"/>
          <w:lang w:val="lt-LT" w:bidi="lt-LT"/>
        </w:rPr>
        <w:t>S</w:t>
      </w:r>
      <w:r w:rsidR="00A165A7" w:rsidRPr="00453C3D">
        <w:rPr>
          <w:rFonts w:asciiTheme="majorBidi" w:eastAsia="Times New Roman" w:hAnsiTheme="majorBidi" w:cstheme="majorBidi"/>
          <w:sz w:val="24"/>
          <w:szCs w:val="24"/>
          <w:lang w:val="lt-LT" w:bidi="lt-LT"/>
        </w:rPr>
        <w:t xml:space="preserve">pręsdama dėl 25 proc. dydžio finansinės korekcijos taikymo, </w:t>
      </w:r>
      <w:r>
        <w:rPr>
          <w:rFonts w:asciiTheme="majorBidi" w:eastAsia="Times New Roman" w:hAnsiTheme="majorBidi" w:cstheme="majorBidi"/>
          <w:sz w:val="24"/>
          <w:szCs w:val="24"/>
          <w:lang w:val="lt-LT" w:bidi="lt-LT"/>
        </w:rPr>
        <w:t xml:space="preserve">CPVA </w:t>
      </w:r>
      <w:r w:rsidR="00A165A7" w:rsidRPr="00453C3D">
        <w:rPr>
          <w:rFonts w:asciiTheme="majorBidi" w:eastAsia="Times New Roman" w:hAnsiTheme="majorBidi" w:cstheme="majorBidi"/>
          <w:sz w:val="24"/>
          <w:szCs w:val="24"/>
          <w:lang w:val="lt-LT" w:bidi="lt-LT"/>
        </w:rPr>
        <w:t xml:space="preserve">įvertino visas su </w:t>
      </w:r>
      <w:r w:rsidR="001163CE">
        <w:rPr>
          <w:rFonts w:asciiTheme="majorBidi" w:eastAsia="Times New Roman" w:hAnsiTheme="majorBidi" w:cstheme="majorBidi"/>
          <w:sz w:val="24"/>
          <w:szCs w:val="24"/>
          <w:lang w:val="lt-LT" w:bidi="lt-LT"/>
        </w:rPr>
        <w:t>P</w:t>
      </w:r>
      <w:r w:rsidR="00A165A7" w:rsidRPr="00453C3D">
        <w:rPr>
          <w:rFonts w:asciiTheme="majorBidi" w:eastAsia="Times New Roman" w:hAnsiTheme="majorBidi" w:cstheme="majorBidi"/>
          <w:sz w:val="24"/>
          <w:szCs w:val="24"/>
          <w:lang w:val="lt-LT" w:bidi="lt-LT"/>
        </w:rPr>
        <w:t>irkimo vykdymu susijusias faktines aplinkybes, o paskirdama minėto dydžio finansinę korekciją rėmėsi PAFT ir Gairių nuostatomis. CPVA įsitikinimu, taikyta finansinė korekcija yra proporcinga padarytam pažeidimui.</w:t>
      </w:r>
    </w:p>
    <w:p w14:paraId="7A6BDC64" w14:textId="0BDE4E32" w:rsidR="00745F48" w:rsidRPr="00453C3D" w:rsidRDefault="00745F48" w:rsidP="00E318C5">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sidRPr="00FA26E3">
        <w:rPr>
          <w:rFonts w:ascii="Times New Roman" w:eastAsia="Times New Roman" w:hAnsi="Times New Roman" w:cs="Times New Roman"/>
          <w:bCs/>
          <w:iCs/>
          <w:sz w:val="24"/>
          <w:szCs w:val="24"/>
        </w:rPr>
        <w:t xml:space="preserve">Trečiasis suinteresuotas asmuo </w:t>
      </w:r>
      <w:r w:rsidR="00E318C5" w:rsidRPr="00FA26E3">
        <w:rPr>
          <w:rFonts w:ascii="Times New Roman" w:eastAsia="Times New Roman" w:hAnsi="Times New Roman" w:cs="Times New Roman"/>
          <w:bCs/>
          <w:iCs/>
          <w:sz w:val="24"/>
          <w:szCs w:val="24"/>
        </w:rPr>
        <w:t xml:space="preserve">savivaldybės įmonė (toliau – ir </w:t>
      </w:r>
      <w:r w:rsidR="005D5D3D" w:rsidRPr="00FA26E3">
        <w:rPr>
          <w:rFonts w:ascii="Times New Roman" w:eastAsia="Times New Roman" w:hAnsi="Times New Roman" w:cs="Times New Roman"/>
          <w:bCs/>
          <w:iCs/>
          <w:sz w:val="24"/>
          <w:szCs w:val="24"/>
        </w:rPr>
        <w:t>SĮ</w:t>
      </w:r>
      <w:r w:rsidR="00E318C5" w:rsidRPr="00FA26E3">
        <w:rPr>
          <w:rFonts w:ascii="Times New Roman" w:eastAsia="Times New Roman" w:hAnsi="Times New Roman" w:cs="Times New Roman"/>
          <w:bCs/>
          <w:iCs/>
          <w:sz w:val="24"/>
          <w:szCs w:val="24"/>
        </w:rPr>
        <w:t>)</w:t>
      </w:r>
      <w:r w:rsidRPr="00FA26E3">
        <w:rPr>
          <w:rFonts w:ascii="Times New Roman" w:eastAsia="Times New Roman" w:hAnsi="Times New Roman" w:cs="Times New Roman"/>
          <w:bCs/>
          <w:iCs/>
          <w:sz w:val="24"/>
          <w:szCs w:val="24"/>
        </w:rPr>
        <w:t xml:space="preserve"> „Vilniaus miesto būstas“ atsiliepime į prašymą </w:t>
      </w:r>
      <w:r w:rsidR="009A6AD9" w:rsidRPr="00FA26E3">
        <w:rPr>
          <w:rFonts w:ascii="Times New Roman" w:eastAsia="Times New Roman" w:hAnsi="Times New Roman" w:cs="Times New Roman"/>
          <w:bCs/>
          <w:iCs/>
          <w:sz w:val="24"/>
          <w:szCs w:val="24"/>
        </w:rPr>
        <w:t xml:space="preserve">sutiko su pareiškėjo prašymu ir </w:t>
      </w:r>
      <w:r w:rsidRPr="00FA26E3">
        <w:rPr>
          <w:rFonts w:ascii="Times New Roman" w:eastAsia="Times New Roman" w:hAnsi="Times New Roman" w:cs="Times New Roman"/>
          <w:bCs/>
          <w:iCs/>
          <w:sz w:val="24"/>
          <w:szCs w:val="24"/>
        </w:rPr>
        <w:t xml:space="preserve">prašė </w:t>
      </w:r>
      <w:r w:rsidR="001163CE">
        <w:rPr>
          <w:rFonts w:ascii="Times New Roman" w:eastAsia="Times New Roman" w:hAnsi="Times New Roman" w:cs="Times New Roman"/>
          <w:bCs/>
          <w:iCs/>
          <w:sz w:val="24"/>
          <w:szCs w:val="24"/>
        </w:rPr>
        <w:t>jį</w:t>
      </w:r>
      <w:r w:rsidRPr="00FA26E3">
        <w:rPr>
          <w:rFonts w:ascii="Times New Roman" w:eastAsia="Times New Roman" w:hAnsi="Times New Roman" w:cs="Times New Roman"/>
          <w:bCs/>
          <w:iCs/>
          <w:sz w:val="24"/>
          <w:szCs w:val="24"/>
        </w:rPr>
        <w:t xml:space="preserve"> tenkinti.</w:t>
      </w:r>
      <w:r w:rsidR="00E318C5" w:rsidRPr="00FA26E3">
        <w:rPr>
          <w:rFonts w:ascii="Times New Roman" w:eastAsia="Times New Roman" w:hAnsi="Times New Roman" w:cs="Times New Roman"/>
          <w:bCs/>
          <w:iCs/>
          <w:sz w:val="24"/>
          <w:szCs w:val="24"/>
        </w:rPr>
        <w:t xml:space="preserve"> Tr</w:t>
      </w:r>
      <w:r w:rsidR="009A6AD9" w:rsidRPr="00FA26E3">
        <w:rPr>
          <w:rFonts w:ascii="Times New Roman" w:eastAsia="Times New Roman" w:hAnsi="Times New Roman" w:cs="Times New Roman"/>
          <w:bCs/>
          <w:iCs/>
          <w:sz w:val="24"/>
          <w:szCs w:val="24"/>
        </w:rPr>
        <w:t>ečiasis suinteresuotas asmuo nurodė</w:t>
      </w:r>
      <w:r w:rsidR="00E318C5" w:rsidRPr="00FA26E3">
        <w:rPr>
          <w:rFonts w:ascii="Times New Roman" w:eastAsia="Times New Roman" w:hAnsi="Times New Roman" w:cs="Times New Roman"/>
          <w:bCs/>
          <w:iCs/>
          <w:sz w:val="24"/>
          <w:szCs w:val="24"/>
        </w:rPr>
        <w:t>, kad</w:t>
      </w:r>
      <w:r w:rsidR="00453C3D">
        <w:rPr>
          <w:rFonts w:ascii="Times New Roman" w:eastAsia="Times New Roman" w:hAnsi="Times New Roman" w:cs="Times New Roman"/>
          <w:bCs/>
          <w:iCs/>
          <w:sz w:val="24"/>
          <w:szCs w:val="24"/>
        </w:rPr>
        <w:t xml:space="preserve"> </w:t>
      </w:r>
      <w:r w:rsidR="00453C3D" w:rsidRPr="00453C3D">
        <w:rPr>
          <w:rFonts w:ascii="Times New Roman" w:eastAsia="Times New Roman" w:hAnsi="Times New Roman" w:cs="Times New Roman"/>
          <w:bCs/>
          <w:iCs/>
          <w:sz w:val="24"/>
          <w:szCs w:val="24"/>
        </w:rPr>
        <w:t>iš esmės pažeidimas konstatuotas tik dėl 4,03 kv. m didesnio būsto ploto.</w:t>
      </w:r>
      <w:r w:rsidR="00453C3D">
        <w:rPr>
          <w:rFonts w:ascii="Times New Roman" w:eastAsia="Times New Roman" w:hAnsi="Times New Roman" w:cs="Times New Roman"/>
          <w:bCs/>
          <w:iCs/>
          <w:sz w:val="24"/>
          <w:szCs w:val="24"/>
        </w:rPr>
        <w:t xml:space="preserve"> Būtų </w:t>
      </w:r>
      <w:r w:rsidR="00453C3D" w:rsidRPr="00453C3D">
        <w:rPr>
          <w:rFonts w:ascii="Times New Roman" w:eastAsia="Times New Roman" w:hAnsi="Times New Roman" w:cs="Times New Roman"/>
          <w:bCs/>
          <w:iCs/>
          <w:sz w:val="24"/>
          <w:szCs w:val="24"/>
        </w:rPr>
        <w:t>netikslinga atmesti kandidatų pasiūlymus, kuriuose plotas tik nežymiai viršijo numatytus buto ploto intervalus, kuomet yra didelis poreikis tokių būtų įsigijimui (</w:t>
      </w:r>
      <w:r w:rsidR="00453C3D" w:rsidRPr="00453C3D">
        <w:rPr>
          <w:rFonts w:ascii="Times New Roman" w:hAnsi="Times New Roman" w:cs="Times New Roman"/>
          <w:sz w:val="24"/>
          <w:szCs w:val="24"/>
          <w:lang w:val="lt-LT"/>
        </w:rPr>
        <w:t>eilėje išsinuomoti socialinį būstą laukia daugiau nei vienas tūkstantis socialiai pažeidžiamų ar remtinų asmenų). Jei teismas vertintų, jog pažeidimas nustatytas pagrįstai, turėtų būti vertinamas ir skirtos 25 proc</w:t>
      </w:r>
      <w:r w:rsidR="00A55A97">
        <w:rPr>
          <w:rFonts w:ascii="Times New Roman" w:hAnsi="Times New Roman" w:cs="Times New Roman"/>
          <w:sz w:val="24"/>
          <w:szCs w:val="24"/>
          <w:lang w:val="lt-LT"/>
        </w:rPr>
        <w:t>.</w:t>
      </w:r>
      <w:r w:rsidR="00453C3D" w:rsidRPr="00453C3D">
        <w:rPr>
          <w:rFonts w:ascii="Times New Roman" w:hAnsi="Times New Roman" w:cs="Times New Roman"/>
          <w:sz w:val="24"/>
          <w:szCs w:val="24"/>
          <w:lang w:val="lt-LT"/>
        </w:rPr>
        <w:t xml:space="preserve"> finansinės korekcijos pagrįstumas. </w:t>
      </w:r>
      <w:r w:rsidR="00453C3D">
        <w:rPr>
          <w:rFonts w:ascii="Times New Roman" w:hAnsi="Times New Roman" w:cs="Times New Roman"/>
          <w:sz w:val="24"/>
          <w:szCs w:val="24"/>
          <w:lang w:val="lt-LT"/>
        </w:rPr>
        <w:t xml:space="preserve">CPVA </w:t>
      </w:r>
      <w:r w:rsidR="00453C3D" w:rsidRPr="00453C3D">
        <w:rPr>
          <w:rFonts w:ascii="Times New Roman" w:hAnsi="Times New Roman" w:cs="Times New Roman"/>
          <w:sz w:val="24"/>
          <w:szCs w:val="24"/>
          <w:lang w:val="lt-LT"/>
        </w:rPr>
        <w:t>Sprendime tik nurodė, jog Valstybės kontrolė siūlė už pažeidimą taikyti 25 proc. finansinę korekciją</w:t>
      </w:r>
      <w:r w:rsidR="00453C3D">
        <w:rPr>
          <w:rFonts w:ascii="Times New Roman" w:hAnsi="Times New Roman" w:cs="Times New Roman"/>
          <w:sz w:val="24"/>
          <w:szCs w:val="24"/>
          <w:lang w:val="lt-LT"/>
        </w:rPr>
        <w:t xml:space="preserve">, tačiau </w:t>
      </w:r>
      <w:r w:rsidR="00453C3D" w:rsidRPr="00453C3D">
        <w:rPr>
          <w:rFonts w:ascii="Times New Roman" w:hAnsi="Times New Roman" w:cs="Times New Roman"/>
          <w:sz w:val="24"/>
          <w:szCs w:val="24"/>
          <w:lang w:val="lt-LT"/>
        </w:rPr>
        <w:t>nepagrindė, kodėl pritaikyta 25 proc</w:t>
      </w:r>
      <w:r w:rsidR="00A55A97">
        <w:rPr>
          <w:rFonts w:ascii="Times New Roman" w:hAnsi="Times New Roman" w:cs="Times New Roman"/>
          <w:sz w:val="24"/>
          <w:szCs w:val="24"/>
          <w:lang w:val="lt-LT"/>
        </w:rPr>
        <w:t>.</w:t>
      </w:r>
      <w:r w:rsidR="00453C3D" w:rsidRPr="00453C3D">
        <w:rPr>
          <w:rFonts w:ascii="Times New Roman" w:hAnsi="Times New Roman" w:cs="Times New Roman"/>
          <w:sz w:val="24"/>
          <w:szCs w:val="24"/>
          <w:lang w:val="lt-LT"/>
        </w:rPr>
        <w:t xml:space="preserve">, o ne mažesnė finansinė korekcija. Sprendime nėra pateikta jokios informacijos, ar taikydama finansinę korekciją </w:t>
      </w:r>
      <w:r w:rsidR="00453C3D">
        <w:rPr>
          <w:rFonts w:ascii="Times New Roman" w:hAnsi="Times New Roman" w:cs="Times New Roman"/>
          <w:sz w:val="24"/>
          <w:szCs w:val="24"/>
          <w:lang w:val="lt-LT"/>
        </w:rPr>
        <w:t xml:space="preserve">CPVA </w:t>
      </w:r>
      <w:r w:rsidR="00453C3D" w:rsidRPr="00453C3D">
        <w:rPr>
          <w:rFonts w:ascii="Times New Roman" w:hAnsi="Times New Roman" w:cs="Times New Roman"/>
          <w:sz w:val="24"/>
          <w:szCs w:val="24"/>
          <w:lang w:val="lt-LT"/>
        </w:rPr>
        <w:t>išties atsižvelgė į teisės aktus ir (ar) kodėl nagrinėjamu atveju negalėjo būti pritaikyta, dar mažesnė, t. y. 5 proc</w:t>
      </w:r>
      <w:r w:rsidR="00453C3D">
        <w:rPr>
          <w:rFonts w:ascii="Times New Roman" w:hAnsi="Times New Roman" w:cs="Times New Roman"/>
          <w:sz w:val="24"/>
          <w:szCs w:val="24"/>
          <w:lang w:val="lt-LT"/>
        </w:rPr>
        <w:t>.</w:t>
      </w:r>
      <w:r w:rsidR="00A55A97">
        <w:rPr>
          <w:rFonts w:ascii="Times New Roman" w:hAnsi="Times New Roman" w:cs="Times New Roman"/>
          <w:sz w:val="24"/>
          <w:szCs w:val="24"/>
          <w:lang w:val="lt-LT"/>
        </w:rPr>
        <w:t>,</w:t>
      </w:r>
      <w:r w:rsidR="00453C3D" w:rsidRPr="00453C3D">
        <w:rPr>
          <w:rFonts w:ascii="Times New Roman" w:hAnsi="Times New Roman" w:cs="Times New Roman"/>
          <w:sz w:val="24"/>
          <w:szCs w:val="24"/>
          <w:lang w:val="lt-LT"/>
        </w:rPr>
        <w:t xml:space="preserve"> dydžio finansinė korekcija.</w:t>
      </w:r>
    </w:p>
    <w:p w14:paraId="23692F32" w14:textId="77777777" w:rsidR="00745F48" w:rsidRPr="00453C3D" w:rsidRDefault="00745F48" w:rsidP="00A5622D">
      <w:pPr>
        <w:tabs>
          <w:tab w:val="left" w:pos="142"/>
          <w:tab w:val="left" w:pos="1134"/>
        </w:tabs>
        <w:spacing w:line="240" w:lineRule="auto"/>
        <w:jc w:val="center"/>
        <w:rPr>
          <w:rFonts w:ascii="Times New Roman" w:eastAsia="Times New Roman" w:hAnsi="Times New Roman" w:cs="Times New Roman"/>
          <w:sz w:val="24"/>
          <w:szCs w:val="24"/>
        </w:rPr>
      </w:pPr>
    </w:p>
    <w:p w14:paraId="5B517648" w14:textId="0F03E4B2" w:rsidR="005D32F1" w:rsidRPr="00FA26E3" w:rsidRDefault="003453C3" w:rsidP="00A5622D">
      <w:pPr>
        <w:tabs>
          <w:tab w:val="left" w:pos="142"/>
          <w:tab w:val="left" w:pos="1134"/>
        </w:tabs>
        <w:spacing w:line="240" w:lineRule="auto"/>
        <w:jc w:val="center"/>
        <w:rPr>
          <w:rFonts w:ascii="Times New Roman" w:eastAsia="Times New Roman" w:hAnsi="Times New Roman" w:cs="Times New Roman"/>
          <w:sz w:val="24"/>
          <w:szCs w:val="24"/>
        </w:rPr>
      </w:pPr>
      <w:r w:rsidRPr="00FA26E3">
        <w:rPr>
          <w:rFonts w:ascii="Times New Roman" w:eastAsia="Times New Roman" w:hAnsi="Times New Roman" w:cs="Times New Roman"/>
          <w:sz w:val="24"/>
          <w:szCs w:val="24"/>
        </w:rPr>
        <w:t>II.</w:t>
      </w:r>
    </w:p>
    <w:p w14:paraId="5F33848B" w14:textId="77777777" w:rsidR="005D32F1" w:rsidRPr="00FA26E3" w:rsidRDefault="005D32F1" w:rsidP="00A5622D">
      <w:pPr>
        <w:tabs>
          <w:tab w:val="left" w:pos="142"/>
          <w:tab w:val="left" w:pos="1134"/>
        </w:tabs>
        <w:spacing w:line="240" w:lineRule="auto"/>
        <w:ind w:firstLine="709"/>
        <w:jc w:val="both"/>
        <w:rPr>
          <w:rFonts w:ascii="Times New Roman" w:eastAsia="Times New Roman" w:hAnsi="Times New Roman" w:cs="Times New Roman"/>
          <w:sz w:val="24"/>
          <w:szCs w:val="24"/>
        </w:rPr>
      </w:pPr>
    </w:p>
    <w:p w14:paraId="16BCC14B" w14:textId="4AEC6239" w:rsidR="006033FF" w:rsidRPr="00FA26E3" w:rsidRDefault="00D0232F" w:rsidP="0056512C">
      <w:pPr>
        <w:numPr>
          <w:ilvl w:val="0"/>
          <w:numId w:val="1"/>
        </w:numPr>
        <w:shd w:val="clear" w:color="auto" w:fill="FFFFFF"/>
        <w:tabs>
          <w:tab w:val="left" w:pos="993"/>
        </w:tabs>
        <w:spacing w:line="240" w:lineRule="auto"/>
        <w:ind w:left="0" w:firstLine="709"/>
        <w:jc w:val="both"/>
        <w:rPr>
          <w:rFonts w:ascii="Times New Roman" w:eastAsia="Times New Roman" w:hAnsi="Times New Roman" w:cs="Times New Roman"/>
          <w:sz w:val="24"/>
          <w:szCs w:val="24"/>
        </w:rPr>
      </w:pPr>
      <w:r w:rsidRPr="00FA26E3">
        <w:rPr>
          <w:rFonts w:ascii="Times New Roman" w:eastAsia="Times New Roman" w:hAnsi="Times New Roman" w:cs="Times New Roman"/>
          <w:bCs/>
          <w:iCs/>
          <w:sz w:val="24"/>
          <w:szCs w:val="24"/>
        </w:rPr>
        <w:t xml:space="preserve">Regionų administracinis teismas </w:t>
      </w:r>
      <w:r w:rsidR="000F5778" w:rsidRPr="00FA26E3">
        <w:rPr>
          <w:rFonts w:ascii="Times New Roman" w:eastAsia="Times New Roman" w:hAnsi="Times New Roman" w:cs="Times New Roman"/>
          <w:bCs/>
          <w:iCs/>
          <w:sz w:val="24"/>
          <w:szCs w:val="24"/>
        </w:rPr>
        <w:t>20</w:t>
      </w:r>
      <w:r w:rsidR="00453C3D">
        <w:rPr>
          <w:rFonts w:ascii="Times New Roman" w:eastAsia="Times New Roman" w:hAnsi="Times New Roman" w:cs="Times New Roman"/>
          <w:bCs/>
          <w:iCs/>
          <w:sz w:val="24"/>
          <w:szCs w:val="24"/>
        </w:rPr>
        <w:t>25</w:t>
      </w:r>
      <w:r w:rsidR="000F5778" w:rsidRPr="00FA26E3">
        <w:rPr>
          <w:rFonts w:ascii="Times New Roman" w:eastAsia="Times New Roman" w:hAnsi="Times New Roman" w:cs="Times New Roman"/>
          <w:bCs/>
          <w:iCs/>
          <w:sz w:val="24"/>
          <w:szCs w:val="24"/>
        </w:rPr>
        <w:t xml:space="preserve"> m. </w:t>
      </w:r>
      <w:r w:rsidR="00453C3D">
        <w:rPr>
          <w:rFonts w:ascii="Times New Roman" w:eastAsia="Times New Roman" w:hAnsi="Times New Roman" w:cs="Times New Roman"/>
          <w:bCs/>
          <w:iCs/>
          <w:sz w:val="24"/>
          <w:szCs w:val="24"/>
        </w:rPr>
        <w:t>vasario 10</w:t>
      </w:r>
      <w:r w:rsidR="000F5778" w:rsidRPr="00FA26E3">
        <w:rPr>
          <w:rFonts w:ascii="Times New Roman" w:eastAsia="Times New Roman" w:hAnsi="Times New Roman" w:cs="Times New Roman"/>
          <w:bCs/>
          <w:iCs/>
          <w:sz w:val="24"/>
          <w:szCs w:val="24"/>
        </w:rPr>
        <w:t xml:space="preserve"> d. </w:t>
      </w:r>
      <w:r w:rsidR="00DD4ED1" w:rsidRPr="00FA26E3">
        <w:rPr>
          <w:rFonts w:ascii="Times New Roman" w:eastAsia="Times New Roman" w:hAnsi="Times New Roman" w:cs="Times New Roman"/>
          <w:bCs/>
          <w:iCs/>
          <w:sz w:val="24"/>
          <w:szCs w:val="24"/>
          <w:lang w:val="lt-LT"/>
        </w:rPr>
        <w:t xml:space="preserve">sprendimu </w:t>
      </w:r>
      <w:r w:rsidR="00B34AC3" w:rsidRPr="00FA26E3">
        <w:rPr>
          <w:rFonts w:ascii="Times New Roman" w:eastAsia="Times New Roman" w:hAnsi="Times New Roman" w:cs="Times New Roman"/>
          <w:bCs/>
          <w:iCs/>
          <w:sz w:val="24"/>
          <w:szCs w:val="24"/>
          <w:lang w:val="lt-LT"/>
        </w:rPr>
        <w:t>pareiškėjo Administracijos prašymą</w:t>
      </w:r>
      <w:r w:rsidR="00B34AC3" w:rsidRPr="00FA26E3">
        <w:rPr>
          <w:rFonts w:ascii="Times New Roman" w:eastAsia="Times New Roman" w:hAnsi="Times New Roman" w:cs="Times New Roman"/>
          <w:bCs/>
          <w:iCs/>
          <w:sz w:val="24"/>
          <w:szCs w:val="24"/>
        </w:rPr>
        <w:t xml:space="preserve"> </w:t>
      </w:r>
      <w:r w:rsidRPr="00FA26E3">
        <w:rPr>
          <w:rFonts w:ascii="Times New Roman" w:eastAsia="Times New Roman" w:hAnsi="Times New Roman" w:cs="Times New Roman"/>
          <w:bCs/>
          <w:iCs/>
          <w:sz w:val="24"/>
          <w:szCs w:val="24"/>
        </w:rPr>
        <w:t>atmetė.</w:t>
      </w:r>
    </w:p>
    <w:p w14:paraId="05E0A001" w14:textId="6A6A78A7" w:rsidR="006817A7" w:rsidRPr="006817A7" w:rsidRDefault="00E82AD9" w:rsidP="0056512C">
      <w:pPr>
        <w:numPr>
          <w:ilvl w:val="0"/>
          <w:numId w:val="1"/>
        </w:numPr>
        <w:shd w:val="clear" w:color="auto" w:fill="FFFFFF"/>
        <w:tabs>
          <w:tab w:val="left" w:pos="993"/>
        </w:tabs>
        <w:spacing w:line="240" w:lineRule="auto"/>
        <w:ind w:left="0" w:firstLine="709"/>
        <w:jc w:val="both"/>
        <w:rPr>
          <w:rFonts w:ascii="Times New Roman" w:eastAsia="Times New Roman" w:hAnsi="Times New Roman" w:cs="Times New Roman"/>
          <w:bCs/>
          <w:iCs/>
          <w:sz w:val="24"/>
          <w:szCs w:val="24"/>
        </w:rPr>
      </w:pPr>
      <w:r w:rsidRPr="00FA26E3">
        <w:rPr>
          <w:rFonts w:ascii="Times New Roman" w:eastAsia="Times New Roman" w:hAnsi="Times New Roman" w:cs="Times New Roman"/>
          <w:bCs/>
          <w:iCs/>
          <w:sz w:val="24"/>
          <w:szCs w:val="24"/>
          <w:lang w:val="lt-LT"/>
        </w:rPr>
        <w:t>Teismas</w:t>
      </w:r>
      <w:r w:rsidR="006817A7">
        <w:rPr>
          <w:rFonts w:ascii="Times New Roman" w:eastAsia="Times New Roman" w:hAnsi="Times New Roman" w:cs="Times New Roman"/>
          <w:bCs/>
          <w:iCs/>
          <w:sz w:val="24"/>
          <w:szCs w:val="24"/>
          <w:lang w:val="lt-LT"/>
        </w:rPr>
        <w:t>, be kita ko,</w:t>
      </w:r>
      <w:r w:rsidRPr="00FA26E3">
        <w:rPr>
          <w:rFonts w:ascii="Times New Roman" w:eastAsia="Times New Roman" w:hAnsi="Times New Roman" w:cs="Times New Roman"/>
          <w:bCs/>
          <w:iCs/>
          <w:sz w:val="24"/>
          <w:szCs w:val="24"/>
          <w:lang w:val="lt-LT"/>
        </w:rPr>
        <w:t xml:space="preserve"> </w:t>
      </w:r>
      <w:r w:rsidR="006033FF" w:rsidRPr="00FA26E3">
        <w:rPr>
          <w:rFonts w:ascii="Times New Roman" w:eastAsia="Times New Roman" w:hAnsi="Times New Roman" w:cs="Times New Roman"/>
          <w:bCs/>
          <w:iCs/>
          <w:sz w:val="24"/>
          <w:szCs w:val="24"/>
          <w:lang w:val="lt-LT"/>
        </w:rPr>
        <w:t>nustatė</w:t>
      </w:r>
      <w:r w:rsidR="008B3A63" w:rsidRPr="00FA26E3">
        <w:rPr>
          <w:rFonts w:ascii="Times New Roman" w:eastAsia="Times New Roman" w:hAnsi="Times New Roman" w:cs="Times New Roman"/>
          <w:bCs/>
          <w:iCs/>
          <w:sz w:val="24"/>
          <w:szCs w:val="24"/>
          <w:lang w:val="lt-LT"/>
        </w:rPr>
        <w:t>, kad</w:t>
      </w:r>
      <w:r w:rsidR="006817A7">
        <w:rPr>
          <w:rFonts w:ascii="Times New Roman" w:eastAsia="Times New Roman" w:hAnsi="Times New Roman" w:cs="Times New Roman"/>
          <w:bCs/>
          <w:iCs/>
          <w:sz w:val="24"/>
          <w:szCs w:val="24"/>
          <w:lang w:val="lt-LT"/>
        </w:rPr>
        <w:t xml:space="preserve"> </w:t>
      </w:r>
      <w:r w:rsidR="006817A7" w:rsidRPr="006817A7">
        <w:rPr>
          <w:rFonts w:ascii="Times New Roman" w:eastAsia="Times New Roman" w:hAnsi="Times New Roman" w:cs="Times New Roman"/>
          <w:bCs/>
          <w:iCs/>
          <w:sz w:val="24"/>
          <w:szCs w:val="24"/>
          <w:lang w:val="lt-LT"/>
        </w:rPr>
        <w:t xml:space="preserve">CPVA, įvertinusi tyrimo metu nustatytas aplinkybes bei pareiškėjo pateiktus paaiškinimus, Sprendime konstatavo, kad </w:t>
      </w:r>
      <w:r w:rsidR="006817A7">
        <w:rPr>
          <w:rFonts w:ascii="Times New Roman" w:eastAsia="Times New Roman" w:hAnsi="Times New Roman" w:cs="Times New Roman"/>
          <w:bCs/>
          <w:iCs/>
          <w:sz w:val="24"/>
          <w:szCs w:val="24"/>
          <w:lang w:val="lt-LT"/>
        </w:rPr>
        <w:t>P</w:t>
      </w:r>
      <w:r w:rsidR="006817A7" w:rsidRPr="006817A7">
        <w:rPr>
          <w:rFonts w:ascii="Times New Roman" w:eastAsia="Times New Roman" w:hAnsi="Times New Roman" w:cs="Times New Roman"/>
          <w:bCs/>
          <w:iCs/>
          <w:sz w:val="24"/>
          <w:szCs w:val="24"/>
          <w:lang w:val="lt-LT"/>
        </w:rPr>
        <w:t>rojekto vykdytojas įsigydamas Butą iš laimėtojo, pažeidė Aprašo 3 punkte nurodytus skaidrumo ir lygiateisiškumo principus, 38 ir 40 punktus, Pirkimo sąlygų 40.14 papunkčio nuostatas, nes laimėtojo paraišką turėjo atmesti, kaip neatitinkančią Pirkimo sąlygų 7.1.3.3 papunkčio reikalavimų (laimėtojas pasiūlė Butą, kurio bendrasis (naudingasis) plotas sudarė 42,23 kv. m, tačiau maksimalus perkamo buto plotas galėjo būti 38,50 kv. m).</w:t>
      </w:r>
    </w:p>
    <w:p w14:paraId="1711ACBF" w14:textId="11A38A1E" w:rsidR="006817A7" w:rsidRDefault="006817A7" w:rsidP="006817A7">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Teismas vadovavosi Lietuvos Respublikos viešųjų pirkimų įstatymu, Aprašu, analizavo Pirkimo sąlygos</w:t>
      </w:r>
      <w:r w:rsidR="00A55A97">
        <w:rPr>
          <w:rFonts w:ascii="Times New Roman" w:eastAsia="Times New Roman" w:hAnsi="Times New Roman" w:cs="Times New Roman"/>
          <w:bCs/>
          <w:iCs/>
          <w:sz w:val="24"/>
          <w:szCs w:val="24"/>
        </w:rPr>
        <w:t>e</w:t>
      </w:r>
      <w:r>
        <w:rPr>
          <w:rFonts w:ascii="Times New Roman" w:eastAsia="Times New Roman" w:hAnsi="Times New Roman" w:cs="Times New Roman"/>
          <w:bCs/>
          <w:iCs/>
          <w:sz w:val="24"/>
          <w:szCs w:val="24"/>
        </w:rPr>
        <w:t xml:space="preserve"> nustatytus reikalavimus. Teismo vertinimu, b</w:t>
      </w:r>
      <w:r w:rsidRPr="006817A7">
        <w:rPr>
          <w:rFonts w:ascii="Times New Roman" w:eastAsia="Times New Roman" w:hAnsi="Times New Roman" w:cs="Times New Roman"/>
          <w:bCs/>
          <w:iCs/>
          <w:sz w:val="24"/>
          <w:szCs w:val="24"/>
        </w:rPr>
        <w:t xml:space="preserve">yloje </w:t>
      </w:r>
      <w:r>
        <w:rPr>
          <w:rFonts w:ascii="Times New Roman" w:eastAsia="Times New Roman" w:hAnsi="Times New Roman" w:cs="Times New Roman"/>
          <w:bCs/>
          <w:iCs/>
          <w:sz w:val="24"/>
          <w:szCs w:val="24"/>
        </w:rPr>
        <w:t>nebuvo</w:t>
      </w:r>
      <w:r w:rsidRPr="006817A7">
        <w:rPr>
          <w:rFonts w:ascii="Times New Roman" w:eastAsia="Times New Roman" w:hAnsi="Times New Roman" w:cs="Times New Roman"/>
          <w:bCs/>
          <w:iCs/>
          <w:sz w:val="24"/>
          <w:szCs w:val="24"/>
        </w:rPr>
        <w:t xml:space="preserve"> ginčo dėl faktinių aplinkybių ir dėl CPVA nustatytų pažeidimų, t. y. pati Administracija sutinka, kad laimėtojo </w:t>
      </w:r>
      <w:r w:rsidRPr="006817A7">
        <w:rPr>
          <w:rFonts w:ascii="Times New Roman" w:eastAsia="Times New Roman" w:hAnsi="Times New Roman" w:cs="Times New Roman"/>
          <w:bCs/>
          <w:iCs/>
          <w:sz w:val="24"/>
          <w:szCs w:val="24"/>
        </w:rPr>
        <w:lastRenderedPageBreak/>
        <w:t>pasiūlytas Butas neatitiko Pirkimo sąlygų reikalavimų, tačiau skirta 25 proc. finansinė korekcija</w:t>
      </w:r>
      <w:r>
        <w:rPr>
          <w:rFonts w:ascii="Times New Roman" w:eastAsia="Times New Roman" w:hAnsi="Times New Roman" w:cs="Times New Roman"/>
          <w:bCs/>
          <w:iCs/>
          <w:sz w:val="24"/>
          <w:szCs w:val="24"/>
        </w:rPr>
        <w:t xml:space="preserve"> yra nepagrįsta ir neproporcinga.</w:t>
      </w:r>
    </w:p>
    <w:p w14:paraId="20E44227" w14:textId="6649D13C" w:rsidR="00314B53" w:rsidRDefault="006817A7" w:rsidP="00314B53">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Teismas nurodė, kad t</w:t>
      </w:r>
      <w:r w:rsidRPr="006817A7">
        <w:rPr>
          <w:rFonts w:ascii="Times New Roman" w:eastAsia="Times New Roman" w:hAnsi="Times New Roman" w:cs="Times New Roman"/>
          <w:bCs/>
          <w:iCs/>
          <w:sz w:val="24"/>
          <w:szCs w:val="24"/>
        </w:rPr>
        <w:t xml:space="preserve">iek </w:t>
      </w:r>
      <w:r>
        <w:rPr>
          <w:rFonts w:ascii="Times New Roman" w:eastAsia="Times New Roman" w:hAnsi="Times New Roman" w:cs="Times New Roman"/>
          <w:bCs/>
          <w:iCs/>
          <w:sz w:val="24"/>
          <w:szCs w:val="24"/>
        </w:rPr>
        <w:t>P</w:t>
      </w:r>
      <w:r w:rsidRPr="006817A7">
        <w:rPr>
          <w:rFonts w:ascii="Times New Roman" w:eastAsia="Times New Roman" w:hAnsi="Times New Roman" w:cs="Times New Roman"/>
          <w:bCs/>
          <w:iCs/>
          <w:sz w:val="24"/>
          <w:szCs w:val="24"/>
        </w:rPr>
        <w:t xml:space="preserve">irkimo sutartyje, tiek ir </w:t>
      </w:r>
      <w:r>
        <w:rPr>
          <w:rFonts w:ascii="Times New Roman" w:eastAsia="Times New Roman" w:hAnsi="Times New Roman" w:cs="Times New Roman"/>
          <w:bCs/>
          <w:iCs/>
          <w:sz w:val="24"/>
          <w:szCs w:val="24"/>
        </w:rPr>
        <w:t>N</w:t>
      </w:r>
      <w:r w:rsidRPr="006817A7">
        <w:rPr>
          <w:rFonts w:ascii="Times New Roman" w:eastAsia="Times New Roman" w:hAnsi="Times New Roman" w:cs="Times New Roman"/>
          <w:bCs/>
          <w:iCs/>
          <w:sz w:val="24"/>
          <w:szCs w:val="24"/>
        </w:rPr>
        <w:t>ekilnojamojo turto registro centrinio duomenų banko išraše nurodoma, kad nupirkto Buto bendras plotas yra 42,23 kv. m.</w:t>
      </w:r>
      <w:r>
        <w:rPr>
          <w:rFonts w:ascii="Times New Roman" w:eastAsia="Times New Roman" w:hAnsi="Times New Roman" w:cs="Times New Roman"/>
          <w:bCs/>
          <w:iCs/>
          <w:sz w:val="24"/>
          <w:szCs w:val="24"/>
        </w:rPr>
        <w:t xml:space="preserve"> Teismas atkreipė dėmesį, kad </w:t>
      </w:r>
      <w:r w:rsidRPr="006817A7">
        <w:rPr>
          <w:rFonts w:ascii="Times New Roman" w:eastAsia="Times New Roman" w:hAnsi="Times New Roman" w:cs="Times New Roman"/>
          <w:bCs/>
          <w:iCs/>
          <w:sz w:val="24"/>
          <w:szCs w:val="24"/>
        </w:rPr>
        <w:t xml:space="preserve">Pirkimo sąlygų 40.14 punkte nurodyta, </w:t>
      </w:r>
      <w:r w:rsidR="00A55A97">
        <w:rPr>
          <w:rFonts w:ascii="Times New Roman" w:eastAsia="Times New Roman" w:hAnsi="Times New Roman" w:cs="Times New Roman"/>
          <w:bCs/>
          <w:iCs/>
          <w:sz w:val="24"/>
          <w:szCs w:val="24"/>
        </w:rPr>
        <w:t>jog</w:t>
      </w:r>
      <w:r w:rsidRPr="006817A7">
        <w:rPr>
          <w:rFonts w:ascii="Times New Roman" w:eastAsia="Times New Roman" w:hAnsi="Times New Roman" w:cs="Times New Roman"/>
          <w:bCs/>
          <w:iCs/>
          <w:sz w:val="24"/>
          <w:szCs w:val="24"/>
        </w:rPr>
        <w:t xml:space="preserve"> paraiškos atmetamos, jeigu kandidato siūlomas butas neatitinka bent vieno Pirkimo sąlygų 7.1 arba 7.2 punkte nustatytų reikalavimų butams.</w:t>
      </w:r>
      <w:r w:rsidR="00314B53">
        <w:rPr>
          <w:rFonts w:ascii="Times New Roman" w:eastAsia="Times New Roman" w:hAnsi="Times New Roman" w:cs="Times New Roman"/>
          <w:bCs/>
          <w:iCs/>
          <w:sz w:val="24"/>
          <w:szCs w:val="24"/>
        </w:rPr>
        <w:t xml:space="preserve"> Teismo įsitikinimu, </w:t>
      </w:r>
      <w:r w:rsidRPr="00314B53">
        <w:rPr>
          <w:rFonts w:ascii="Times New Roman" w:eastAsia="Times New Roman" w:hAnsi="Times New Roman" w:cs="Times New Roman"/>
          <w:bCs/>
          <w:iCs/>
          <w:sz w:val="24"/>
          <w:szCs w:val="24"/>
        </w:rPr>
        <w:t xml:space="preserve">nepaisant to, kad Buto bendras plotas tik nežymiai viršijo bendro ploto reikalavimą, tačiau tai vis tiek laikytina vieno iš </w:t>
      </w:r>
      <w:r w:rsidR="00A55A97">
        <w:rPr>
          <w:rFonts w:ascii="Times New Roman" w:eastAsia="Times New Roman" w:hAnsi="Times New Roman" w:cs="Times New Roman"/>
          <w:bCs/>
          <w:iCs/>
          <w:sz w:val="24"/>
          <w:szCs w:val="24"/>
        </w:rPr>
        <w:t>P</w:t>
      </w:r>
      <w:r w:rsidRPr="00314B53">
        <w:rPr>
          <w:rFonts w:ascii="Times New Roman" w:eastAsia="Times New Roman" w:hAnsi="Times New Roman" w:cs="Times New Roman"/>
          <w:bCs/>
          <w:iCs/>
          <w:sz w:val="24"/>
          <w:szCs w:val="24"/>
        </w:rPr>
        <w:t>irkimo sąlygų imperatyviu pažeidimu (Pirkimo sąlygų 7.1.3.3 p</w:t>
      </w:r>
      <w:r w:rsidR="00314B53">
        <w:rPr>
          <w:rFonts w:ascii="Times New Roman" w:eastAsia="Times New Roman" w:hAnsi="Times New Roman" w:cs="Times New Roman"/>
          <w:bCs/>
          <w:iCs/>
          <w:sz w:val="24"/>
          <w:szCs w:val="24"/>
        </w:rPr>
        <w:t>.</w:t>
      </w:r>
      <w:r w:rsidRPr="00314B53">
        <w:rPr>
          <w:rFonts w:ascii="Times New Roman" w:eastAsia="Times New Roman" w:hAnsi="Times New Roman" w:cs="Times New Roman"/>
          <w:bCs/>
          <w:iCs/>
          <w:sz w:val="24"/>
          <w:szCs w:val="24"/>
        </w:rPr>
        <w:t xml:space="preserve">). </w:t>
      </w:r>
      <w:r w:rsidR="00314B53">
        <w:rPr>
          <w:rFonts w:ascii="Times New Roman" w:eastAsia="Times New Roman" w:hAnsi="Times New Roman" w:cs="Times New Roman"/>
          <w:bCs/>
          <w:iCs/>
          <w:sz w:val="24"/>
          <w:szCs w:val="24"/>
        </w:rPr>
        <w:t>Teismas darė išvadą, kad Administracija</w:t>
      </w:r>
      <w:r w:rsidRPr="00314B53">
        <w:rPr>
          <w:rFonts w:ascii="Times New Roman" w:eastAsia="Times New Roman" w:hAnsi="Times New Roman" w:cs="Times New Roman"/>
          <w:bCs/>
          <w:iCs/>
          <w:sz w:val="24"/>
          <w:szCs w:val="24"/>
        </w:rPr>
        <w:t xml:space="preserve"> sudarydama pirkimo sutartį dėl Buto, kurio plotas neatitiko Pirkimo sąlygų 7.1.3.3 papunkčio reikalavimų, pažeidė skaidrumo ir lygiateisiškumo principus, įtvirtintus VPĮ 17 straipsnio 1 dalyje, taip pat Pirkimo sąlygų 7.1.3.3 papunktį bei Pirkimo sąlygų 40.14 punktą, kuris aiškiai įpareigojo atmesti paraišką, kaip neatitinkanči</w:t>
      </w:r>
      <w:r w:rsidR="00314B53">
        <w:rPr>
          <w:rFonts w:ascii="Times New Roman" w:eastAsia="Times New Roman" w:hAnsi="Times New Roman" w:cs="Times New Roman"/>
          <w:bCs/>
          <w:iCs/>
          <w:sz w:val="24"/>
          <w:szCs w:val="24"/>
        </w:rPr>
        <w:t>ą</w:t>
      </w:r>
      <w:r w:rsidRPr="00314B53">
        <w:rPr>
          <w:rFonts w:ascii="Times New Roman" w:eastAsia="Times New Roman" w:hAnsi="Times New Roman" w:cs="Times New Roman"/>
          <w:bCs/>
          <w:iCs/>
          <w:sz w:val="24"/>
          <w:szCs w:val="24"/>
        </w:rPr>
        <w:t xml:space="preserve"> pirkimo reikalavimų.</w:t>
      </w:r>
    </w:p>
    <w:p w14:paraId="6291316D" w14:textId="38ECEB00" w:rsidR="00314B53" w:rsidRDefault="00314B53" w:rsidP="00314B53">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Nurodęs, kad pagal teisės aktus </w:t>
      </w:r>
      <w:r w:rsidRPr="00314B53">
        <w:rPr>
          <w:rFonts w:ascii="Times New Roman" w:eastAsia="Times New Roman" w:hAnsi="Times New Roman" w:cs="Times New Roman"/>
          <w:bCs/>
          <w:iCs/>
          <w:sz w:val="24"/>
          <w:szCs w:val="24"/>
        </w:rPr>
        <w:t>sandėliukas įeina į Buto naudingojo ploto apskaičiavimą</w:t>
      </w:r>
      <w:r>
        <w:rPr>
          <w:rFonts w:ascii="Times New Roman" w:eastAsia="Times New Roman" w:hAnsi="Times New Roman" w:cs="Times New Roman"/>
          <w:bCs/>
          <w:iCs/>
          <w:sz w:val="24"/>
          <w:szCs w:val="24"/>
        </w:rPr>
        <w:t xml:space="preserve">, teismas kaip nereikšmingus atmetė pareiškėjo argumentus, kad </w:t>
      </w:r>
      <w:r w:rsidR="006817A7" w:rsidRPr="00314B53">
        <w:rPr>
          <w:rFonts w:ascii="Times New Roman" w:eastAsia="Times New Roman" w:hAnsi="Times New Roman" w:cs="Times New Roman"/>
          <w:bCs/>
          <w:iCs/>
          <w:sz w:val="24"/>
          <w:szCs w:val="24"/>
        </w:rPr>
        <w:t xml:space="preserve">į </w:t>
      </w:r>
      <w:r>
        <w:rPr>
          <w:rFonts w:ascii="Times New Roman" w:eastAsia="Times New Roman" w:hAnsi="Times New Roman" w:cs="Times New Roman"/>
          <w:bCs/>
          <w:iCs/>
          <w:sz w:val="24"/>
          <w:szCs w:val="24"/>
        </w:rPr>
        <w:t xml:space="preserve">Buto </w:t>
      </w:r>
      <w:r w:rsidR="006817A7" w:rsidRPr="00314B53">
        <w:rPr>
          <w:rFonts w:ascii="Times New Roman" w:eastAsia="Times New Roman" w:hAnsi="Times New Roman" w:cs="Times New Roman"/>
          <w:bCs/>
          <w:iCs/>
          <w:sz w:val="24"/>
          <w:szCs w:val="24"/>
        </w:rPr>
        <w:t>bendrą plotą yra įskaičiuotas sandėliukas, kurio plotas 3,29 kv. m., todėl Buto bendrojo (naudingojo) ploto dydžio reikalavimo viršijimas yra tik nežymus</w:t>
      </w:r>
      <w:r>
        <w:rPr>
          <w:rFonts w:ascii="Times New Roman" w:eastAsia="Times New Roman" w:hAnsi="Times New Roman" w:cs="Times New Roman"/>
          <w:bCs/>
          <w:iCs/>
          <w:sz w:val="24"/>
          <w:szCs w:val="24"/>
        </w:rPr>
        <w:t>.</w:t>
      </w:r>
    </w:p>
    <w:p w14:paraId="42CD0A7C" w14:textId="3C887CC0" w:rsidR="000A34E2" w:rsidRDefault="00314B53" w:rsidP="000A34E2">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Teismas nesutiko su pareiškėjo pozicija, kad </w:t>
      </w:r>
      <w:r w:rsidR="006817A7" w:rsidRPr="00314B53">
        <w:rPr>
          <w:rFonts w:ascii="Times New Roman" w:eastAsia="Times New Roman" w:hAnsi="Times New Roman" w:cs="Times New Roman"/>
          <w:bCs/>
          <w:iCs/>
          <w:sz w:val="24"/>
          <w:szCs w:val="24"/>
        </w:rPr>
        <w:t>nustatytas pažeidimas dėl nupirkto Buto ploto nežymaus neatitikimo yra mažareikšmis</w:t>
      </w:r>
      <w:r>
        <w:rPr>
          <w:rFonts w:ascii="Times New Roman" w:eastAsia="Times New Roman" w:hAnsi="Times New Roman" w:cs="Times New Roman"/>
          <w:bCs/>
          <w:iCs/>
          <w:sz w:val="24"/>
          <w:szCs w:val="24"/>
        </w:rPr>
        <w:t>.</w:t>
      </w:r>
      <w:r w:rsidR="00E92544">
        <w:rPr>
          <w:rFonts w:ascii="Times New Roman" w:eastAsia="Times New Roman" w:hAnsi="Times New Roman" w:cs="Times New Roman"/>
          <w:bCs/>
          <w:iCs/>
          <w:sz w:val="24"/>
          <w:szCs w:val="24"/>
        </w:rPr>
        <w:t xml:space="preserve"> Teismas pabrėžė, kad </w:t>
      </w:r>
      <w:r w:rsidR="00E92544" w:rsidRPr="00E92544">
        <w:rPr>
          <w:rFonts w:ascii="Times New Roman" w:eastAsia="Times New Roman" w:hAnsi="Times New Roman" w:cs="Times New Roman"/>
          <w:bCs/>
          <w:iCs/>
          <w:sz w:val="24"/>
          <w:szCs w:val="24"/>
        </w:rPr>
        <w:t>viešųjų pirkimų tikslas, įtvirtintas VPĮ 1 straipsnio 1 dalyje, yra užtikrinti efektyvių ir skaidrių viešųjų pirkinių ir projekto konkursų atlikimą</w:t>
      </w:r>
      <w:r w:rsidR="00E92544">
        <w:rPr>
          <w:rFonts w:ascii="Times New Roman" w:eastAsia="Times New Roman" w:hAnsi="Times New Roman" w:cs="Times New Roman"/>
          <w:bCs/>
          <w:iCs/>
          <w:sz w:val="24"/>
          <w:szCs w:val="24"/>
        </w:rPr>
        <w:t xml:space="preserve">. </w:t>
      </w:r>
      <w:r w:rsidR="00A55A97">
        <w:rPr>
          <w:rFonts w:ascii="Times New Roman" w:eastAsia="Times New Roman" w:hAnsi="Times New Roman" w:cs="Times New Roman"/>
          <w:bCs/>
          <w:iCs/>
          <w:sz w:val="24"/>
          <w:szCs w:val="24"/>
        </w:rPr>
        <w:t xml:space="preserve">Buvo atkreiptas dėmesys, </w:t>
      </w:r>
      <w:r w:rsidR="00E92544">
        <w:rPr>
          <w:rFonts w:ascii="Times New Roman" w:eastAsia="Times New Roman" w:hAnsi="Times New Roman" w:cs="Times New Roman"/>
          <w:bCs/>
          <w:iCs/>
          <w:sz w:val="24"/>
          <w:szCs w:val="24"/>
        </w:rPr>
        <w:t>kurioje pa</w:t>
      </w:r>
      <w:r w:rsidR="000A34E2">
        <w:rPr>
          <w:rFonts w:ascii="Times New Roman" w:eastAsia="Times New Roman" w:hAnsi="Times New Roman" w:cs="Times New Roman"/>
          <w:bCs/>
          <w:iCs/>
          <w:sz w:val="24"/>
          <w:szCs w:val="24"/>
        </w:rPr>
        <w:t xml:space="preserve">žymėta, kad </w:t>
      </w:r>
      <w:r w:rsidR="000A34E2" w:rsidRPr="000A34E2">
        <w:rPr>
          <w:rFonts w:ascii="Times New Roman" w:eastAsia="Times New Roman" w:hAnsi="Times New Roman" w:cs="Times New Roman"/>
          <w:bCs/>
          <w:iCs/>
          <w:sz w:val="24"/>
          <w:szCs w:val="24"/>
        </w:rPr>
        <w:t xml:space="preserve">vien tik aplinkybė, </w:t>
      </w:r>
      <w:r w:rsidR="00A55A97">
        <w:rPr>
          <w:rFonts w:ascii="Times New Roman" w:eastAsia="Times New Roman" w:hAnsi="Times New Roman" w:cs="Times New Roman"/>
          <w:bCs/>
          <w:iCs/>
          <w:sz w:val="24"/>
          <w:szCs w:val="24"/>
        </w:rPr>
        <w:t>jog</w:t>
      </w:r>
      <w:r w:rsidR="000A34E2" w:rsidRPr="000A34E2">
        <w:rPr>
          <w:rFonts w:ascii="Times New Roman" w:eastAsia="Times New Roman" w:hAnsi="Times New Roman" w:cs="Times New Roman"/>
          <w:bCs/>
          <w:iCs/>
          <w:sz w:val="24"/>
          <w:szCs w:val="24"/>
        </w:rPr>
        <w:t xml:space="preserve"> konkreti nuostata nebuvo įgyvendinta, nereiškia, kad pažeidimas nebuvo padarytas ir jis neturi reikšmės</w:t>
      </w:r>
      <w:r w:rsidR="000A34E2">
        <w:rPr>
          <w:rFonts w:ascii="Times New Roman" w:eastAsia="Times New Roman" w:hAnsi="Times New Roman" w:cs="Times New Roman"/>
          <w:bCs/>
          <w:iCs/>
          <w:sz w:val="24"/>
          <w:szCs w:val="24"/>
        </w:rPr>
        <w:t xml:space="preserve">. Kadangi pareiškėjas </w:t>
      </w:r>
      <w:r w:rsidR="000A34E2" w:rsidRPr="000A34E2">
        <w:rPr>
          <w:rFonts w:ascii="Times New Roman" w:eastAsia="Times New Roman" w:hAnsi="Times New Roman" w:cs="Times New Roman"/>
          <w:bCs/>
          <w:iCs/>
          <w:sz w:val="24"/>
          <w:szCs w:val="24"/>
        </w:rPr>
        <w:t xml:space="preserve">priėmė pasiūlymą, kuris neatitiko </w:t>
      </w:r>
      <w:r w:rsidR="000A34E2">
        <w:rPr>
          <w:rFonts w:ascii="Times New Roman" w:eastAsia="Times New Roman" w:hAnsi="Times New Roman" w:cs="Times New Roman"/>
          <w:bCs/>
          <w:iCs/>
          <w:sz w:val="24"/>
          <w:szCs w:val="24"/>
        </w:rPr>
        <w:t>P</w:t>
      </w:r>
      <w:r w:rsidR="000A34E2" w:rsidRPr="000A34E2">
        <w:rPr>
          <w:rFonts w:ascii="Times New Roman" w:eastAsia="Times New Roman" w:hAnsi="Times New Roman" w:cs="Times New Roman"/>
          <w:bCs/>
          <w:iCs/>
          <w:sz w:val="24"/>
          <w:szCs w:val="24"/>
        </w:rPr>
        <w:t xml:space="preserve">irkimo sąlygų, </w:t>
      </w:r>
      <w:r w:rsidR="000A34E2">
        <w:rPr>
          <w:rFonts w:ascii="Times New Roman" w:eastAsia="Times New Roman" w:hAnsi="Times New Roman" w:cs="Times New Roman"/>
          <w:bCs/>
          <w:iCs/>
          <w:sz w:val="24"/>
          <w:szCs w:val="24"/>
        </w:rPr>
        <w:t>laikytina, kad pareiškėjas</w:t>
      </w:r>
      <w:r w:rsidR="000A34E2" w:rsidRPr="000A34E2">
        <w:rPr>
          <w:rFonts w:ascii="Times New Roman" w:eastAsia="Times New Roman" w:hAnsi="Times New Roman" w:cs="Times New Roman"/>
          <w:bCs/>
          <w:iCs/>
          <w:sz w:val="24"/>
          <w:szCs w:val="24"/>
        </w:rPr>
        <w:t xml:space="preserve"> pažeidė VPĮ 17 straipsnio 1 dalyje nustatytus skaidrumo ir lygiateisiškumo principus</w:t>
      </w:r>
      <w:r w:rsidR="000A34E2">
        <w:rPr>
          <w:rFonts w:ascii="Times New Roman" w:eastAsia="Times New Roman" w:hAnsi="Times New Roman" w:cs="Times New Roman"/>
          <w:bCs/>
          <w:iCs/>
          <w:sz w:val="24"/>
          <w:szCs w:val="24"/>
        </w:rPr>
        <w:t xml:space="preserve">, o jų pažeidimas prilyginamas imperatyvių </w:t>
      </w:r>
      <w:r w:rsidR="000A34E2" w:rsidRPr="000A34E2">
        <w:rPr>
          <w:rFonts w:ascii="Times New Roman" w:eastAsia="Times New Roman" w:hAnsi="Times New Roman" w:cs="Times New Roman"/>
          <w:bCs/>
          <w:iCs/>
          <w:sz w:val="24"/>
          <w:szCs w:val="24"/>
        </w:rPr>
        <w:t>nuostatų pažeidimui būtent dėl to, kad šie, kaip ir kitos VPĮ imperatyviosios nuostatos, susiję su viešojo intereso apsauga</w:t>
      </w:r>
      <w:r w:rsidR="000A34E2">
        <w:rPr>
          <w:rFonts w:ascii="Times New Roman" w:eastAsia="Times New Roman" w:hAnsi="Times New Roman" w:cs="Times New Roman"/>
          <w:bCs/>
          <w:iCs/>
          <w:sz w:val="24"/>
          <w:szCs w:val="24"/>
        </w:rPr>
        <w:t>.</w:t>
      </w:r>
    </w:p>
    <w:p w14:paraId="3F948C4B" w14:textId="0BCD7204" w:rsidR="006817A7" w:rsidRDefault="000A34E2" w:rsidP="000A34E2">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Teismas pažymėjo, kad </w:t>
      </w:r>
      <w:r w:rsidRPr="000A34E2">
        <w:rPr>
          <w:rFonts w:ascii="Times New Roman" w:eastAsia="Times New Roman" w:hAnsi="Times New Roman" w:cs="Times New Roman"/>
          <w:bCs/>
          <w:iCs/>
          <w:sz w:val="24"/>
          <w:szCs w:val="24"/>
        </w:rPr>
        <w:t>Sprendime</w:t>
      </w:r>
      <w:r>
        <w:rPr>
          <w:rFonts w:ascii="Times New Roman" w:eastAsia="Times New Roman" w:hAnsi="Times New Roman" w:cs="Times New Roman"/>
          <w:bCs/>
          <w:iCs/>
          <w:sz w:val="24"/>
          <w:szCs w:val="24"/>
        </w:rPr>
        <w:t xml:space="preserve"> nurodyta, jog </w:t>
      </w:r>
      <w:r w:rsidRPr="000A34E2">
        <w:rPr>
          <w:rFonts w:ascii="Times New Roman" w:eastAsia="Times New Roman" w:hAnsi="Times New Roman" w:cs="Times New Roman"/>
          <w:bCs/>
          <w:iCs/>
          <w:sz w:val="24"/>
          <w:szCs w:val="24"/>
        </w:rPr>
        <w:t>kandidatai</w:t>
      </w:r>
      <w:r>
        <w:rPr>
          <w:rFonts w:ascii="Times New Roman" w:eastAsia="Times New Roman" w:hAnsi="Times New Roman" w:cs="Times New Roman"/>
          <w:bCs/>
          <w:iCs/>
          <w:sz w:val="24"/>
          <w:szCs w:val="24"/>
        </w:rPr>
        <w:t>,</w:t>
      </w:r>
      <w:r w:rsidRPr="000A34E2">
        <w:rPr>
          <w:rFonts w:ascii="Times New Roman" w:eastAsia="Times New Roman" w:hAnsi="Times New Roman" w:cs="Times New Roman"/>
          <w:bCs/>
          <w:iCs/>
          <w:sz w:val="24"/>
          <w:szCs w:val="24"/>
        </w:rPr>
        <w:t xml:space="preserve"> priimdami sprendimą dalyvauti </w:t>
      </w:r>
      <w:r w:rsidR="00A55A97">
        <w:rPr>
          <w:rFonts w:ascii="Times New Roman" w:eastAsia="Times New Roman" w:hAnsi="Times New Roman" w:cs="Times New Roman"/>
          <w:bCs/>
          <w:iCs/>
          <w:sz w:val="24"/>
          <w:szCs w:val="24"/>
        </w:rPr>
        <w:t>P</w:t>
      </w:r>
      <w:r w:rsidRPr="000A34E2">
        <w:rPr>
          <w:rFonts w:ascii="Times New Roman" w:eastAsia="Times New Roman" w:hAnsi="Times New Roman" w:cs="Times New Roman"/>
          <w:bCs/>
          <w:iCs/>
          <w:sz w:val="24"/>
          <w:szCs w:val="24"/>
        </w:rPr>
        <w:t xml:space="preserve">irkime vertino Pirkimo sąlygas ir tai, ar jų turimi butai atitinka Pirkimo sąlygų reikalavimus. Įvertinę tai, kad butai yra didesni nei nurodyta Pirkimo sąlygose, jie galėjo nuspręsti nedalyvauti pirkime, nes jo sąlygos aiškiai ir nedviprasmiškai nurodė, kad tokie pasiūlymai bus atmetami. </w:t>
      </w:r>
      <w:r>
        <w:rPr>
          <w:rFonts w:ascii="Times New Roman" w:eastAsia="Times New Roman" w:hAnsi="Times New Roman" w:cs="Times New Roman"/>
          <w:bCs/>
          <w:iCs/>
          <w:sz w:val="24"/>
          <w:szCs w:val="24"/>
        </w:rPr>
        <w:t xml:space="preserve">Teismas vertino, kad </w:t>
      </w:r>
      <w:r w:rsidRPr="000A34E2">
        <w:rPr>
          <w:rFonts w:ascii="Times New Roman" w:eastAsia="Times New Roman" w:hAnsi="Times New Roman" w:cs="Times New Roman"/>
          <w:bCs/>
          <w:iCs/>
          <w:sz w:val="24"/>
          <w:szCs w:val="24"/>
        </w:rPr>
        <w:t xml:space="preserve">mažareikšmiškumo kriterijus šiuo atveju negali būti </w:t>
      </w:r>
      <w:r>
        <w:rPr>
          <w:rFonts w:ascii="Times New Roman" w:eastAsia="Times New Roman" w:hAnsi="Times New Roman" w:cs="Times New Roman"/>
          <w:bCs/>
          <w:iCs/>
          <w:sz w:val="24"/>
          <w:szCs w:val="24"/>
        </w:rPr>
        <w:t>taikomas</w:t>
      </w:r>
      <w:r w:rsidRPr="000A34E2">
        <w:rPr>
          <w:rFonts w:ascii="Times New Roman" w:eastAsia="Times New Roman" w:hAnsi="Times New Roman" w:cs="Times New Roman"/>
          <w:bCs/>
          <w:iCs/>
          <w:sz w:val="24"/>
          <w:szCs w:val="24"/>
        </w:rPr>
        <w:t xml:space="preserve">, kadangi nustatytas pažeidimas apima </w:t>
      </w:r>
      <w:r w:rsidR="00A55A97">
        <w:rPr>
          <w:rFonts w:ascii="Times New Roman" w:eastAsia="Times New Roman" w:hAnsi="Times New Roman" w:cs="Times New Roman"/>
          <w:bCs/>
          <w:iCs/>
          <w:sz w:val="24"/>
          <w:szCs w:val="24"/>
        </w:rPr>
        <w:t>P</w:t>
      </w:r>
      <w:r w:rsidRPr="000A34E2">
        <w:rPr>
          <w:rFonts w:ascii="Times New Roman" w:eastAsia="Times New Roman" w:hAnsi="Times New Roman" w:cs="Times New Roman"/>
          <w:bCs/>
          <w:iCs/>
          <w:sz w:val="24"/>
          <w:szCs w:val="24"/>
        </w:rPr>
        <w:t>irkimo dokumentų reikalavimų nesilaikymą, kuris suteikė vienam iš tiekėjų (šiuo atveju laimėtojui) nepagrįstą pranašumą ir taip pažeidė kitų tiekėjų teisėtus interesus</w:t>
      </w:r>
      <w:r>
        <w:rPr>
          <w:rFonts w:ascii="Times New Roman" w:eastAsia="Times New Roman" w:hAnsi="Times New Roman" w:cs="Times New Roman"/>
          <w:bCs/>
          <w:iCs/>
          <w:sz w:val="24"/>
          <w:szCs w:val="24"/>
        </w:rPr>
        <w:t xml:space="preserve">. </w:t>
      </w:r>
    </w:p>
    <w:p w14:paraId="3F8BEC30" w14:textId="639BAF5C" w:rsidR="000A34E2" w:rsidRDefault="000A34E2" w:rsidP="000A34E2">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Dėl pareiškėjo pozicijos, kad CPVA nepateikė duomenų apie </w:t>
      </w:r>
      <w:r w:rsidRPr="000A34E2">
        <w:rPr>
          <w:rFonts w:ascii="Times New Roman" w:eastAsia="Times New Roman" w:hAnsi="Times New Roman" w:cs="Times New Roman"/>
          <w:bCs/>
          <w:iCs/>
          <w:sz w:val="24"/>
          <w:szCs w:val="24"/>
        </w:rPr>
        <w:t>kitus potencialius tiekėjus</w:t>
      </w:r>
      <w:r>
        <w:rPr>
          <w:rFonts w:ascii="Times New Roman" w:eastAsia="Times New Roman" w:hAnsi="Times New Roman" w:cs="Times New Roman"/>
          <w:bCs/>
          <w:iCs/>
          <w:sz w:val="24"/>
          <w:szCs w:val="24"/>
        </w:rPr>
        <w:t xml:space="preserve">, teismas nurodė, kad </w:t>
      </w:r>
      <w:r w:rsidRPr="000A34E2">
        <w:rPr>
          <w:rFonts w:ascii="Times New Roman" w:eastAsia="Times New Roman" w:hAnsi="Times New Roman" w:cs="Times New Roman"/>
          <w:bCs/>
          <w:iCs/>
          <w:sz w:val="24"/>
          <w:szCs w:val="24"/>
        </w:rPr>
        <w:t xml:space="preserve">pirkimo sąlygos turi būti aiškios, tikslios ir vienodai taikomos visiems tiekėjams, </w:t>
      </w:r>
      <w:r>
        <w:rPr>
          <w:rFonts w:ascii="Times New Roman" w:eastAsia="Times New Roman" w:hAnsi="Times New Roman" w:cs="Times New Roman"/>
          <w:bCs/>
          <w:iCs/>
          <w:sz w:val="24"/>
          <w:szCs w:val="24"/>
        </w:rPr>
        <w:t>o</w:t>
      </w:r>
      <w:r w:rsidRPr="000A34E2">
        <w:rPr>
          <w:rFonts w:ascii="Times New Roman" w:eastAsia="Times New Roman" w:hAnsi="Times New Roman" w:cs="Times New Roman"/>
          <w:bCs/>
          <w:iCs/>
          <w:sz w:val="24"/>
          <w:szCs w:val="24"/>
        </w:rPr>
        <w:t xml:space="preserve"> pirkimo sąlygų neatitinkantis pasiūlymas turi būti atmestas nepriklausomai nuo to, kiek buvo arba galėjo būti kitų potencialių tiekėjų</w:t>
      </w:r>
      <w:r>
        <w:rPr>
          <w:rFonts w:ascii="Times New Roman" w:eastAsia="Times New Roman" w:hAnsi="Times New Roman" w:cs="Times New Roman"/>
          <w:bCs/>
          <w:iCs/>
          <w:sz w:val="24"/>
          <w:szCs w:val="24"/>
        </w:rPr>
        <w:t xml:space="preserve">, t. y. </w:t>
      </w:r>
      <w:r w:rsidRPr="000A34E2">
        <w:rPr>
          <w:rFonts w:ascii="Times New Roman" w:eastAsia="Times New Roman" w:hAnsi="Times New Roman" w:cs="Times New Roman"/>
          <w:bCs/>
          <w:iCs/>
          <w:sz w:val="24"/>
          <w:szCs w:val="24"/>
        </w:rPr>
        <w:t>esminė reikšmė teikiama ne galimam kitų tiekėjų buvimui, o pareiškėjo pasirinktam pasiūlymui, kuris neatitikimo Pirkimo sąlygų 7.1.3.3 papunkčio reikalavimų.</w:t>
      </w:r>
      <w:r>
        <w:rPr>
          <w:rFonts w:ascii="Times New Roman" w:eastAsia="Times New Roman" w:hAnsi="Times New Roman" w:cs="Times New Roman"/>
          <w:bCs/>
          <w:iCs/>
          <w:sz w:val="24"/>
          <w:szCs w:val="24"/>
        </w:rPr>
        <w:t xml:space="preserve"> Teismo vertinimu, pareiškėjo argumentai dėl prioriteto aprūpinti socialiai remtinus asmenis būstu nepaneigė </w:t>
      </w:r>
      <w:r w:rsidRPr="000A34E2">
        <w:rPr>
          <w:rFonts w:ascii="Times New Roman" w:eastAsia="Times New Roman" w:hAnsi="Times New Roman" w:cs="Times New Roman"/>
          <w:bCs/>
          <w:iCs/>
          <w:sz w:val="24"/>
          <w:szCs w:val="24"/>
        </w:rPr>
        <w:t>fakto, jog šiuo atveju buvo pažeisti imperatyvūs Pirkimo sąlygų reikalavimai</w:t>
      </w:r>
      <w:r>
        <w:rPr>
          <w:rFonts w:ascii="Times New Roman" w:eastAsia="Times New Roman" w:hAnsi="Times New Roman" w:cs="Times New Roman"/>
          <w:bCs/>
          <w:iCs/>
          <w:sz w:val="24"/>
          <w:szCs w:val="24"/>
        </w:rPr>
        <w:t xml:space="preserve">. </w:t>
      </w:r>
      <w:r w:rsidR="00D61791">
        <w:rPr>
          <w:rFonts w:ascii="Times New Roman" w:eastAsia="Times New Roman" w:hAnsi="Times New Roman" w:cs="Times New Roman"/>
          <w:bCs/>
          <w:iCs/>
          <w:sz w:val="24"/>
          <w:szCs w:val="24"/>
        </w:rPr>
        <w:t xml:space="preserve">Taip pat kaip neatitinkantys teisinio reguliavimo buvo atmesti pareiškėjo teiginiai, kad CPVA neturi įgaliojimų (kompetencijos) </w:t>
      </w:r>
      <w:r w:rsidR="00D61791" w:rsidRPr="00D61791">
        <w:rPr>
          <w:rFonts w:ascii="Times New Roman" w:eastAsia="Times New Roman" w:hAnsi="Times New Roman" w:cs="Times New Roman"/>
          <w:bCs/>
          <w:iCs/>
          <w:sz w:val="24"/>
          <w:szCs w:val="24"/>
        </w:rPr>
        <w:t>prižiūrėti viešuosius pirkimus ir tikrinti jų teisėtumą</w:t>
      </w:r>
      <w:r w:rsidR="00D61791">
        <w:rPr>
          <w:rFonts w:ascii="Times New Roman" w:eastAsia="Times New Roman" w:hAnsi="Times New Roman" w:cs="Times New Roman"/>
          <w:bCs/>
          <w:iCs/>
          <w:sz w:val="24"/>
          <w:szCs w:val="24"/>
        </w:rPr>
        <w:t>.</w:t>
      </w:r>
    </w:p>
    <w:p w14:paraId="7B109B6E" w14:textId="77777777" w:rsidR="00D61791" w:rsidRDefault="00D61791" w:rsidP="00B34AC3">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Vadovaudamasis</w:t>
      </w:r>
      <w:r w:rsidR="00B34AC3" w:rsidRPr="00FA26E3">
        <w:rPr>
          <w:rFonts w:ascii="Times New Roman" w:eastAsia="Times New Roman" w:hAnsi="Times New Roman" w:cs="Times New Roman"/>
          <w:bCs/>
          <w:iCs/>
          <w:sz w:val="24"/>
          <w:szCs w:val="24"/>
        </w:rPr>
        <w:t xml:space="preserve"> PAFT 407–408 punktų nuostat</w:t>
      </w:r>
      <w:r>
        <w:rPr>
          <w:rFonts w:ascii="Times New Roman" w:eastAsia="Times New Roman" w:hAnsi="Times New Roman" w:cs="Times New Roman"/>
          <w:bCs/>
          <w:iCs/>
          <w:sz w:val="24"/>
          <w:szCs w:val="24"/>
        </w:rPr>
        <w:t>omis</w:t>
      </w:r>
      <w:r w:rsidR="00B34AC3" w:rsidRPr="00FA26E3">
        <w:rPr>
          <w:rFonts w:ascii="Times New Roman" w:eastAsia="Times New Roman" w:hAnsi="Times New Roman" w:cs="Times New Roman"/>
          <w:bCs/>
          <w:iCs/>
          <w:sz w:val="24"/>
          <w:szCs w:val="24"/>
        </w:rPr>
        <w:t xml:space="preserve">, teismas </w:t>
      </w:r>
      <w:r w:rsidR="00D13D24" w:rsidRPr="00FA26E3">
        <w:rPr>
          <w:rFonts w:ascii="Times New Roman" w:eastAsia="Times New Roman" w:hAnsi="Times New Roman" w:cs="Times New Roman"/>
          <w:bCs/>
          <w:iCs/>
          <w:sz w:val="24"/>
          <w:szCs w:val="24"/>
        </w:rPr>
        <w:t>nurodė</w:t>
      </w:r>
      <w:r w:rsidR="00B34AC3" w:rsidRPr="00FA26E3">
        <w:rPr>
          <w:rFonts w:ascii="Times New Roman" w:eastAsia="Times New Roman" w:hAnsi="Times New Roman" w:cs="Times New Roman"/>
          <w:bCs/>
          <w:iCs/>
          <w:sz w:val="24"/>
          <w:szCs w:val="24"/>
        </w:rPr>
        <w:t>, kad</w:t>
      </w:r>
      <w:r w:rsidR="003B39D2" w:rsidRPr="00FA26E3">
        <w:rPr>
          <w:rFonts w:ascii="Times New Roman" w:eastAsia="Times New Roman" w:hAnsi="Times New Roman" w:cs="Times New Roman"/>
          <w:bCs/>
          <w:iCs/>
          <w:sz w:val="24"/>
          <w:szCs w:val="24"/>
        </w:rPr>
        <w:t>,</w:t>
      </w:r>
      <w:r w:rsidR="00B34AC3" w:rsidRPr="00FA26E3">
        <w:rPr>
          <w:rFonts w:ascii="Times New Roman" w:eastAsia="Times New Roman" w:hAnsi="Times New Roman" w:cs="Times New Roman"/>
          <w:bCs/>
          <w:iCs/>
          <w:sz w:val="24"/>
          <w:szCs w:val="24"/>
        </w:rPr>
        <w:t xml:space="preserve"> jei projekte patirtos išlaidos yra įgyvendintos pažeidžiant PAFT ar pirkimų reikalavimus, jos gali būti pripažintos netinkamomis finansuoti. </w:t>
      </w:r>
    </w:p>
    <w:p w14:paraId="7E1164CB" w14:textId="0CDE79DD" w:rsidR="00D61791" w:rsidRPr="00D61791" w:rsidRDefault="00D61791" w:rsidP="00D61791">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Teismas nustatė, kad </w:t>
      </w:r>
      <w:r w:rsidRPr="00D61791">
        <w:rPr>
          <w:rFonts w:ascii="Times New Roman" w:eastAsia="Times New Roman" w:hAnsi="Times New Roman" w:cs="Times New Roman"/>
          <w:bCs/>
          <w:iCs/>
          <w:sz w:val="24"/>
          <w:szCs w:val="24"/>
        </w:rPr>
        <w:t>finansinė korekcija buvo taikoma vadovaujantis Gairėmis</w:t>
      </w:r>
      <w:r>
        <w:rPr>
          <w:rFonts w:ascii="Times New Roman" w:eastAsia="Times New Roman" w:hAnsi="Times New Roman" w:cs="Times New Roman"/>
          <w:bCs/>
          <w:iCs/>
          <w:sz w:val="24"/>
          <w:szCs w:val="24"/>
        </w:rPr>
        <w:t xml:space="preserve">; </w:t>
      </w:r>
      <w:r w:rsidRPr="00D61791">
        <w:rPr>
          <w:rFonts w:ascii="Times New Roman" w:eastAsia="Times New Roman" w:hAnsi="Times New Roman" w:cs="Times New Roman"/>
          <w:bCs/>
          <w:iCs/>
          <w:sz w:val="24"/>
          <w:szCs w:val="24"/>
        </w:rPr>
        <w:t xml:space="preserve">pažeidimo tyrimo metu nustatyta, kad pareiškėjo padarytas pažeidimas atitinka Gairių 2 skirsnyje „Pažeidimų rūšys ir atitinkamų finansinių pataisų normos“ 2.2. lentelės „Konkurso dalyvių atranka ir pasiūlymų vertinimas“ 14 punkte nurodytą pažeidimą, t. y. kai atrankos kriterijų (arba techninių specifikacijų) pakeitimas atplėšus vokus su pasiūlymais arba netinkamas taikymas, t. y. atrankos kriterijai (arba techninės specifikacijos) buvo pakeisti atrankos etape arba buvo netinkamai taikomi </w:t>
      </w:r>
      <w:r w:rsidRPr="00D61791">
        <w:rPr>
          <w:rFonts w:ascii="Times New Roman" w:eastAsia="Times New Roman" w:hAnsi="Times New Roman" w:cs="Times New Roman"/>
          <w:bCs/>
          <w:iCs/>
          <w:sz w:val="24"/>
          <w:szCs w:val="24"/>
        </w:rPr>
        <w:lastRenderedPageBreak/>
        <w:t>atrankos etapo metu, todėl buvo priimti tokie laimėję pasiūlymai, kurie nebūtų buvę priimti (arba buvo atmesti pasiūlymai, kurie turėjo būti priimti), jei būtų buvę taikyti paskelbti atrankos kriterijai.</w:t>
      </w:r>
    </w:p>
    <w:p w14:paraId="1BEC7EBE" w14:textId="26E4BDBD" w:rsidR="00D61791" w:rsidRDefault="00D61791" w:rsidP="00D61791">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Teismas atkreipė dėmesį į </w:t>
      </w:r>
      <w:r w:rsidRPr="00D61791">
        <w:rPr>
          <w:rFonts w:ascii="Times New Roman" w:eastAsia="Times New Roman" w:hAnsi="Times New Roman" w:cs="Times New Roman"/>
          <w:bCs/>
          <w:iCs/>
          <w:sz w:val="24"/>
          <w:szCs w:val="24"/>
        </w:rPr>
        <w:t>Reglamento 2 straipsnio 36 punkte nurodyt</w:t>
      </w:r>
      <w:r>
        <w:rPr>
          <w:rFonts w:ascii="Times New Roman" w:eastAsia="Times New Roman" w:hAnsi="Times New Roman" w:cs="Times New Roman"/>
          <w:bCs/>
          <w:iCs/>
          <w:sz w:val="24"/>
          <w:szCs w:val="24"/>
        </w:rPr>
        <w:t>us</w:t>
      </w:r>
      <w:r w:rsidRPr="00D61791">
        <w:rPr>
          <w:rFonts w:ascii="Times New Roman" w:eastAsia="Times New Roman" w:hAnsi="Times New Roman" w:cs="Times New Roman"/>
          <w:bCs/>
          <w:iCs/>
          <w:sz w:val="24"/>
          <w:szCs w:val="24"/>
        </w:rPr>
        <w:t xml:space="preserve"> pažeidimo požym</w:t>
      </w:r>
      <w:r>
        <w:rPr>
          <w:rFonts w:ascii="Times New Roman" w:eastAsia="Times New Roman" w:hAnsi="Times New Roman" w:cs="Times New Roman"/>
          <w:bCs/>
          <w:iCs/>
          <w:sz w:val="24"/>
          <w:szCs w:val="24"/>
        </w:rPr>
        <w:t xml:space="preserve">ius ir sprendė, kad pareiškėjo padarytas pažeidimas juos atitinka. Pagal </w:t>
      </w:r>
      <w:r w:rsidR="00842A5E" w:rsidRPr="00D61791">
        <w:rPr>
          <w:rFonts w:ascii="Times New Roman" w:eastAsia="Times New Roman" w:hAnsi="Times New Roman" w:cs="Times New Roman"/>
          <w:bCs/>
          <w:iCs/>
          <w:sz w:val="24"/>
          <w:szCs w:val="24"/>
        </w:rPr>
        <w:t xml:space="preserve">Europos Sąjungos Teisingumo Teismo (toliau – ir ESTT) </w:t>
      </w:r>
      <w:r>
        <w:rPr>
          <w:rFonts w:ascii="Times New Roman" w:eastAsia="Times New Roman" w:hAnsi="Times New Roman" w:cs="Times New Roman"/>
          <w:bCs/>
          <w:iCs/>
          <w:sz w:val="24"/>
          <w:szCs w:val="24"/>
        </w:rPr>
        <w:t xml:space="preserve">praktiką </w:t>
      </w:r>
      <w:r w:rsidRPr="00D61791">
        <w:rPr>
          <w:rFonts w:ascii="Times New Roman" w:eastAsia="Times New Roman" w:hAnsi="Times New Roman" w:cs="Times New Roman"/>
          <w:bCs/>
          <w:iCs/>
          <w:sz w:val="24"/>
          <w:szCs w:val="24"/>
        </w:rPr>
        <w:t>tyčinis ar aplaidus paramos gavėjo veiksmų pobūdis negali būti laikomas būtinu veiksniu, kad būtų galima konstatuoti pažeidimą</w:t>
      </w:r>
      <w:r>
        <w:rPr>
          <w:rFonts w:ascii="Times New Roman" w:eastAsia="Times New Roman" w:hAnsi="Times New Roman" w:cs="Times New Roman"/>
          <w:bCs/>
          <w:iCs/>
          <w:sz w:val="24"/>
          <w:szCs w:val="24"/>
        </w:rPr>
        <w:t>. A</w:t>
      </w:r>
      <w:r w:rsidRPr="00D61791">
        <w:rPr>
          <w:rFonts w:ascii="Times New Roman" w:eastAsia="Times New Roman" w:hAnsi="Times New Roman" w:cs="Times New Roman"/>
          <w:bCs/>
          <w:iCs/>
          <w:sz w:val="24"/>
          <w:szCs w:val="24"/>
        </w:rPr>
        <w:t>iškin</w:t>
      </w:r>
      <w:r>
        <w:rPr>
          <w:rFonts w:ascii="Times New Roman" w:eastAsia="Times New Roman" w:hAnsi="Times New Roman" w:cs="Times New Roman"/>
          <w:bCs/>
          <w:iCs/>
          <w:sz w:val="24"/>
          <w:szCs w:val="24"/>
        </w:rPr>
        <w:t>damas</w:t>
      </w:r>
      <w:r w:rsidRPr="00D61791">
        <w:rPr>
          <w:rFonts w:ascii="Times New Roman" w:eastAsia="Times New Roman" w:hAnsi="Times New Roman" w:cs="Times New Roman"/>
          <w:bCs/>
          <w:iCs/>
          <w:sz w:val="24"/>
          <w:szCs w:val="24"/>
        </w:rPr>
        <w:t xml:space="preserve"> trečiąjį pažeidimo pagal Reglamentą sudėties elementą, kuris susijęs su padarytu faktiniu ar galimu finansiniu poveikiu Europos Sąjungos biudžetu</w:t>
      </w:r>
      <w:r>
        <w:rPr>
          <w:rFonts w:ascii="Times New Roman" w:eastAsia="Times New Roman" w:hAnsi="Times New Roman" w:cs="Times New Roman"/>
          <w:bCs/>
          <w:iCs/>
          <w:sz w:val="24"/>
          <w:szCs w:val="24"/>
        </w:rPr>
        <w:t xml:space="preserve">i, teismas, remdamasis ESTT jurisprudencija, pažymėjo, kad </w:t>
      </w:r>
      <w:r w:rsidRPr="00D61791">
        <w:rPr>
          <w:rFonts w:ascii="Times New Roman" w:eastAsia="Times New Roman" w:hAnsi="Times New Roman" w:cs="Times New Roman"/>
          <w:bCs/>
          <w:iCs/>
          <w:sz w:val="24"/>
          <w:szCs w:val="24"/>
        </w:rPr>
        <w:t>viešojo pirkimo sutarčių sudarymo taisyklių nesilaikymas yra pažeidimas, jeigu negalima atmesti galimybės, kad tas pažeidimas turėjo poveik</w:t>
      </w:r>
      <w:r w:rsidR="00A55A97">
        <w:rPr>
          <w:rFonts w:ascii="Times New Roman" w:eastAsia="Times New Roman" w:hAnsi="Times New Roman" w:cs="Times New Roman"/>
          <w:bCs/>
          <w:iCs/>
          <w:sz w:val="24"/>
          <w:szCs w:val="24"/>
        </w:rPr>
        <w:t>į</w:t>
      </w:r>
      <w:r w:rsidRPr="00D61791">
        <w:rPr>
          <w:rFonts w:ascii="Times New Roman" w:eastAsia="Times New Roman" w:hAnsi="Times New Roman" w:cs="Times New Roman"/>
          <w:bCs/>
          <w:iCs/>
          <w:sz w:val="24"/>
          <w:szCs w:val="24"/>
        </w:rPr>
        <w:t xml:space="preserve"> fondo biudžetui</w:t>
      </w:r>
      <w:r>
        <w:rPr>
          <w:rFonts w:ascii="Times New Roman" w:eastAsia="Times New Roman" w:hAnsi="Times New Roman" w:cs="Times New Roman"/>
          <w:bCs/>
          <w:iCs/>
          <w:sz w:val="24"/>
          <w:szCs w:val="24"/>
        </w:rPr>
        <w:t xml:space="preserve">. Teismo įsitikinimu, iš </w:t>
      </w:r>
      <w:r w:rsidRPr="00D61791">
        <w:rPr>
          <w:rFonts w:ascii="Times New Roman" w:eastAsia="Times New Roman" w:hAnsi="Times New Roman" w:cs="Times New Roman"/>
          <w:bCs/>
          <w:iCs/>
          <w:sz w:val="24"/>
          <w:szCs w:val="24"/>
        </w:rPr>
        <w:t xml:space="preserve">Sprendime aptartų aplinkybių </w:t>
      </w:r>
      <w:r>
        <w:rPr>
          <w:rFonts w:ascii="Times New Roman" w:eastAsia="Times New Roman" w:hAnsi="Times New Roman" w:cs="Times New Roman"/>
          <w:bCs/>
          <w:iCs/>
          <w:sz w:val="24"/>
          <w:szCs w:val="24"/>
        </w:rPr>
        <w:t xml:space="preserve">buvo </w:t>
      </w:r>
      <w:r w:rsidRPr="00D61791">
        <w:rPr>
          <w:rFonts w:ascii="Times New Roman" w:eastAsia="Times New Roman" w:hAnsi="Times New Roman" w:cs="Times New Roman"/>
          <w:bCs/>
          <w:iCs/>
          <w:sz w:val="24"/>
          <w:szCs w:val="24"/>
        </w:rPr>
        <w:t>matyti, jog priešingai n</w:t>
      </w:r>
      <w:r w:rsidR="00A55A97">
        <w:rPr>
          <w:rFonts w:ascii="Times New Roman" w:eastAsia="Times New Roman" w:hAnsi="Times New Roman" w:cs="Times New Roman"/>
          <w:bCs/>
          <w:iCs/>
          <w:sz w:val="24"/>
          <w:szCs w:val="24"/>
        </w:rPr>
        <w:t>ei</w:t>
      </w:r>
      <w:r w:rsidRPr="00D61791">
        <w:rPr>
          <w:rFonts w:ascii="Times New Roman" w:eastAsia="Times New Roman" w:hAnsi="Times New Roman" w:cs="Times New Roman"/>
          <w:bCs/>
          <w:iCs/>
          <w:sz w:val="24"/>
          <w:szCs w:val="24"/>
        </w:rPr>
        <w:t xml:space="preserve"> nurod</w:t>
      </w:r>
      <w:r w:rsidR="00A55A97">
        <w:rPr>
          <w:rFonts w:ascii="Times New Roman" w:eastAsia="Times New Roman" w:hAnsi="Times New Roman" w:cs="Times New Roman"/>
          <w:bCs/>
          <w:iCs/>
          <w:sz w:val="24"/>
          <w:szCs w:val="24"/>
        </w:rPr>
        <w:t>ė</w:t>
      </w:r>
      <w:r w:rsidRPr="00D61791">
        <w:rPr>
          <w:rFonts w:ascii="Times New Roman" w:eastAsia="Times New Roman" w:hAnsi="Times New Roman" w:cs="Times New Roman"/>
          <w:bCs/>
          <w:iCs/>
          <w:sz w:val="24"/>
          <w:szCs w:val="24"/>
        </w:rPr>
        <w:t xml:space="preserve"> pareiškėja</w:t>
      </w:r>
      <w:r w:rsidR="00AB3242">
        <w:rPr>
          <w:rFonts w:ascii="Times New Roman" w:eastAsia="Times New Roman" w:hAnsi="Times New Roman" w:cs="Times New Roman"/>
          <w:bCs/>
          <w:iCs/>
          <w:sz w:val="24"/>
          <w:szCs w:val="24"/>
        </w:rPr>
        <w:t>s</w:t>
      </w:r>
      <w:r w:rsidRPr="00D61791">
        <w:rPr>
          <w:rFonts w:ascii="Times New Roman" w:eastAsia="Times New Roman" w:hAnsi="Times New Roman" w:cs="Times New Roman"/>
          <w:bCs/>
          <w:iCs/>
          <w:sz w:val="24"/>
          <w:szCs w:val="24"/>
        </w:rPr>
        <w:t>, jo pažeidimas turėjo poveikį ES fondo biudžetui. Šiuo atveju pareiškėj</w:t>
      </w:r>
      <w:r w:rsidR="00AB3242">
        <w:rPr>
          <w:rFonts w:ascii="Times New Roman" w:eastAsia="Times New Roman" w:hAnsi="Times New Roman" w:cs="Times New Roman"/>
          <w:bCs/>
          <w:iCs/>
          <w:sz w:val="24"/>
          <w:szCs w:val="24"/>
        </w:rPr>
        <w:t>u</w:t>
      </w:r>
      <w:r w:rsidRPr="00D61791">
        <w:rPr>
          <w:rFonts w:ascii="Times New Roman" w:eastAsia="Times New Roman" w:hAnsi="Times New Roman" w:cs="Times New Roman"/>
          <w:bCs/>
          <w:iCs/>
          <w:sz w:val="24"/>
          <w:szCs w:val="24"/>
        </w:rPr>
        <w:t xml:space="preserve">i išmokėjus netinkamas finansuoti išlaidas, susijusias su minėtu pažeidimu, yra padaroma žala </w:t>
      </w:r>
      <w:r w:rsidR="00A55A97">
        <w:rPr>
          <w:rFonts w:ascii="Times New Roman" w:eastAsia="Times New Roman" w:hAnsi="Times New Roman" w:cs="Times New Roman"/>
          <w:bCs/>
          <w:iCs/>
          <w:sz w:val="24"/>
          <w:szCs w:val="24"/>
        </w:rPr>
        <w:t>ES</w:t>
      </w:r>
      <w:r w:rsidRPr="00D61791">
        <w:rPr>
          <w:rFonts w:ascii="Times New Roman" w:eastAsia="Times New Roman" w:hAnsi="Times New Roman" w:cs="Times New Roman"/>
          <w:bCs/>
          <w:iCs/>
          <w:sz w:val="24"/>
          <w:szCs w:val="24"/>
        </w:rPr>
        <w:t xml:space="preserve"> bendrajam biudžetui. </w:t>
      </w:r>
      <w:r w:rsidR="00AB3242">
        <w:rPr>
          <w:rFonts w:ascii="Times New Roman" w:eastAsia="Times New Roman" w:hAnsi="Times New Roman" w:cs="Times New Roman"/>
          <w:bCs/>
          <w:iCs/>
          <w:sz w:val="24"/>
          <w:szCs w:val="24"/>
        </w:rPr>
        <w:t>Teismas pažymėjo,</w:t>
      </w:r>
      <w:r w:rsidRPr="00D61791">
        <w:rPr>
          <w:rFonts w:ascii="Times New Roman" w:eastAsia="Times New Roman" w:hAnsi="Times New Roman" w:cs="Times New Roman"/>
          <w:bCs/>
          <w:iCs/>
          <w:sz w:val="24"/>
          <w:szCs w:val="24"/>
        </w:rPr>
        <w:t xml:space="preserve"> kad pagal Reglamente įtvirtintas nuostatas valstybės narės privalo užtikrinti, kad deklaruojamos ir apmokamos būtų tik tinkamos finansuoti išlaidos</w:t>
      </w:r>
      <w:r w:rsidR="00AB3242">
        <w:rPr>
          <w:rFonts w:ascii="Times New Roman" w:eastAsia="Times New Roman" w:hAnsi="Times New Roman" w:cs="Times New Roman"/>
          <w:bCs/>
          <w:iCs/>
          <w:sz w:val="24"/>
          <w:szCs w:val="24"/>
        </w:rPr>
        <w:t>.</w:t>
      </w:r>
    </w:p>
    <w:p w14:paraId="75A122F4" w14:textId="04953C64" w:rsidR="00AB3242" w:rsidRPr="00AB3242" w:rsidRDefault="00AB3242" w:rsidP="00F83EAC">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sidRPr="00AB3242">
        <w:rPr>
          <w:rFonts w:ascii="Times New Roman" w:eastAsia="Times New Roman" w:hAnsi="Times New Roman" w:cs="Times New Roman"/>
          <w:bCs/>
          <w:iCs/>
          <w:sz w:val="24"/>
          <w:szCs w:val="24"/>
        </w:rPr>
        <w:t xml:space="preserve">Teismas taip pat konstatavo, kad </w:t>
      </w:r>
      <w:r w:rsidR="00A55A97">
        <w:rPr>
          <w:rFonts w:ascii="Times New Roman" w:eastAsia="Times New Roman" w:hAnsi="Times New Roman" w:cs="Times New Roman"/>
          <w:bCs/>
          <w:iCs/>
          <w:sz w:val="24"/>
          <w:szCs w:val="24"/>
        </w:rPr>
        <w:t>CPVA</w:t>
      </w:r>
      <w:r w:rsidRPr="00AB3242">
        <w:rPr>
          <w:rFonts w:ascii="Times New Roman" w:eastAsia="Times New Roman" w:hAnsi="Times New Roman" w:cs="Times New Roman"/>
          <w:bCs/>
          <w:iCs/>
          <w:sz w:val="24"/>
          <w:szCs w:val="24"/>
        </w:rPr>
        <w:t xml:space="preserve">, taikydama finansinę korekciją pareiškėjui, pagrįstai ir teisėtai rėmėsi Gairių 2.2 lentelės 14 punkte nustatytu teisiniu reguliavimu. </w:t>
      </w:r>
    </w:p>
    <w:p w14:paraId="1B4BF3B1" w14:textId="4C01944D" w:rsidR="006960A8" w:rsidRDefault="00F92049" w:rsidP="00040320">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sidRPr="00FA26E3">
        <w:rPr>
          <w:rFonts w:ascii="Times New Roman" w:eastAsia="Times New Roman" w:hAnsi="Times New Roman" w:cs="Times New Roman"/>
          <w:bCs/>
          <w:iCs/>
          <w:sz w:val="24"/>
          <w:szCs w:val="24"/>
        </w:rPr>
        <w:t>V</w:t>
      </w:r>
      <w:r w:rsidR="00040320" w:rsidRPr="00FA26E3">
        <w:rPr>
          <w:rFonts w:ascii="Times New Roman" w:eastAsia="Times New Roman" w:hAnsi="Times New Roman" w:cs="Times New Roman"/>
          <w:bCs/>
          <w:iCs/>
          <w:sz w:val="24"/>
          <w:szCs w:val="24"/>
        </w:rPr>
        <w:t xml:space="preserve">ertindamas </w:t>
      </w:r>
      <w:r w:rsidR="003B39D2" w:rsidRPr="00FA26E3">
        <w:rPr>
          <w:rFonts w:ascii="Times New Roman" w:eastAsia="Times New Roman" w:hAnsi="Times New Roman" w:cs="Times New Roman"/>
          <w:bCs/>
          <w:iCs/>
          <w:sz w:val="24"/>
          <w:szCs w:val="24"/>
        </w:rPr>
        <w:t>S</w:t>
      </w:r>
      <w:r w:rsidR="00040320" w:rsidRPr="00FA26E3">
        <w:rPr>
          <w:rFonts w:ascii="Times New Roman" w:eastAsia="Times New Roman" w:hAnsi="Times New Roman" w:cs="Times New Roman"/>
          <w:bCs/>
          <w:iCs/>
          <w:sz w:val="24"/>
          <w:szCs w:val="24"/>
        </w:rPr>
        <w:t>prendime nustatytą 25 proc. finansinę korekciją jos atitikt</w:t>
      </w:r>
      <w:r w:rsidR="00A55A97">
        <w:rPr>
          <w:rFonts w:ascii="Times New Roman" w:eastAsia="Times New Roman" w:hAnsi="Times New Roman" w:cs="Times New Roman"/>
          <w:bCs/>
          <w:iCs/>
          <w:sz w:val="24"/>
          <w:szCs w:val="24"/>
        </w:rPr>
        <w:t>į</w:t>
      </w:r>
      <w:r w:rsidR="00040320" w:rsidRPr="00FA26E3">
        <w:rPr>
          <w:rFonts w:ascii="Times New Roman" w:eastAsia="Times New Roman" w:hAnsi="Times New Roman" w:cs="Times New Roman"/>
          <w:bCs/>
          <w:iCs/>
          <w:sz w:val="24"/>
          <w:szCs w:val="24"/>
        </w:rPr>
        <w:t xml:space="preserve"> proporcingumo principui</w:t>
      </w:r>
      <w:r w:rsidR="00A55A97">
        <w:rPr>
          <w:rFonts w:ascii="Times New Roman" w:eastAsia="Times New Roman" w:hAnsi="Times New Roman" w:cs="Times New Roman"/>
          <w:bCs/>
          <w:iCs/>
          <w:sz w:val="24"/>
          <w:szCs w:val="24"/>
        </w:rPr>
        <w:t xml:space="preserve">, </w:t>
      </w:r>
      <w:r w:rsidRPr="00FA26E3">
        <w:rPr>
          <w:rFonts w:ascii="Times New Roman" w:eastAsia="Times New Roman" w:hAnsi="Times New Roman" w:cs="Times New Roman"/>
          <w:bCs/>
          <w:iCs/>
          <w:sz w:val="24"/>
          <w:szCs w:val="24"/>
        </w:rPr>
        <w:t>teismas</w:t>
      </w:r>
      <w:r w:rsidR="00AB3242">
        <w:rPr>
          <w:rFonts w:ascii="Times New Roman" w:eastAsia="Times New Roman" w:hAnsi="Times New Roman" w:cs="Times New Roman"/>
          <w:bCs/>
          <w:iCs/>
          <w:sz w:val="24"/>
          <w:szCs w:val="24"/>
        </w:rPr>
        <w:t xml:space="preserve"> </w:t>
      </w:r>
      <w:r w:rsidR="00A55A97">
        <w:rPr>
          <w:rFonts w:ascii="Times New Roman" w:eastAsia="Times New Roman" w:hAnsi="Times New Roman" w:cs="Times New Roman"/>
          <w:bCs/>
          <w:iCs/>
          <w:sz w:val="24"/>
          <w:szCs w:val="24"/>
        </w:rPr>
        <w:t>nurodė</w:t>
      </w:r>
      <w:r w:rsidR="00AB3242">
        <w:rPr>
          <w:rFonts w:ascii="Times New Roman" w:eastAsia="Times New Roman" w:hAnsi="Times New Roman" w:cs="Times New Roman"/>
          <w:bCs/>
          <w:iCs/>
          <w:sz w:val="24"/>
          <w:szCs w:val="24"/>
        </w:rPr>
        <w:t>, kad CPVA</w:t>
      </w:r>
      <w:r w:rsidR="00AB3242" w:rsidRPr="00AB3242">
        <w:rPr>
          <w:rFonts w:ascii="Times New Roman" w:eastAsia="Times New Roman" w:hAnsi="Times New Roman" w:cs="Times New Roman"/>
          <w:bCs/>
          <w:iCs/>
          <w:sz w:val="24"/>
          <w:szCs w:val="24"/>
        </w:rPr>
        <w:t>, nustatydama taikytiną finansinės korekcijos dydį, iš esmės įvertino pažeidimo pobūdį bei visas reikšmingas aplinkybes, o tai leid</w:t>
      </w:r>
      <w:r w:rsidR="00AB3242">
        <w:rPr>
          <w:rFonts w:ascii="Times New Roman" w:eastAsia="Times New Roman" w:hAnsi="Times New Roman" w:cs="Times New Roman"/>
          <w:bCs/>
          <w:iCs/>
          <w:sz w:val="24"/>
          <w:szCs w:val="24"/>
        </w:rPr>
        <w:t>o</w:t>
      </w:r>
      <w:r w:rsidR="00AB3242" w:rsidRPr="00AB3242">
        <w:rPr>
          <w:rFonts w:ascii="Times New Roman" w:eastAsia="Times New Roman" w:hAnsi="Times New Roman" w:cs="Times New Roman"/>
          <w:bCs/>
          <w:iCs/>
          <w:sz w:val="24"/>
          <w:szCs w:val="24"/>
        </w:rPr>
        <w:t xml:space="preserve"> spręsti, kad finansinės korekcijos dydis yra proporcingas padarytam pažeidimui</w:t>
      </w:r>
      <w:r w:rsidR="00AB3242">
        <w:rPr>
          <w:rFonts w:ascii="Times New Roman" w:eastAsia="Times New Roman" w:hAnsi="Times New Roman" w:cs="Times New Roman"/>
          <w:bCs/>
          <w:iCs/>
          <w:sz w:val="24"/>
          <w:szCs w:val="24"/>
        </w:rPr>
        <w:t xml:space="preserve">, t. y. </w:t>
      </w:r>
      <w:r w:rsidR="00AB3242" w:rsidRPr="00AB3242">
        <w:rPr>
          <w:rFonts w:ascii="Times New Roman" w:eastAsia="Times New Roman" w:hAnsi="Times New Roman" w:cs="Times New Roman"/>
          <w:bCs/>
          <w:iCs/>
          <w:sz w:val="24"/>
          <w:szCs w:val="24"/>
        </w:rPr>
        <w:t xml:space="preserve">pareiškėjo atlikto </w:t>
      </w:r>
      <w:r w:rsidR="00A55A97">
        <w:rPr>
          <w:rFonts w:ascii="Times New Roman" w:eastAsia="Times New Roman" w:hAnsi="Times New Roman" w:cs="Times New Roman"/>
          <w:bCs/>
          <w:iCs/>
          <w:sz w:val="24"/>
          <w:szCs w:val="24"/>
        </w:rPr>
        <w:t>P</w:t>
      </w:r>
      <w:r w:rsidR="00AB3242" w:rsidRPr="00AB3242">
        <w:rPr>
          <w:rFonts w:ascii="Times New Roman" w:eastAsia="Times New Roman" w:hAnsi="Times New Roman" w:cs="Times New Roman"/>
          <w:bCs/>
          <w:iCs/>
          <w:sz w:val="24"/>
          <w:szCs w:val="24"/>
        </w:rPr>
        <w:t>irkimo situacija buvo įvertinta individualiai, teisiškai reikšmingų aplinkybių korekcijai mažinti nenustatyta, todėl dar</w:t>
      </w:r>
      <w:r w:rsidR="00AB3242">
        <w:rPr>
          <w:rFonts w:ascii="Times New Roman" w:eastAsia="Times New Roman" w:hAnsi="Times New Roman" w:cs="Times New Roman"/>
          <w:bCs/>
          <w:iCs/>
          <w:sz w:val="24"/>
          <w:szCs w:val="24"/>
        </w:rPr>
        <w:t>ė</w:t>
      </w:r>
      <w:r w:rsidR="00AB3242" w:rsidRPr="00AB3242">
        <w:rPr>
          <w:rFonts w:ascii="Times New Roman" w:eastAsia="Times New Roman" w:hAnsi="Times New Roman" w:cs="Times New Roman"/>
          <w:bCs/>
          <w:iCs/>
          <w:sz w:val="24"/>
          <w:szCs w:val="24"/>
        </w:rPr>
        <w:t xml:space="preserve"> išvad</w:t>
      </w:r>
      <w:r w:rsidR="00AB3242">
        <w:rPr>
          <w:rFonts w:ascii="Times New Roman" w:eastAsia="Times New Roman" w:hAnsi="Times New Roman" w:cs="Times New Roman"/>
          <w:bCs/>
          <w:iCs/>
          <w:sz w:val="24"/>
          <w:szCs w:val="24"/>
        </w:rPr>
        <w:t>ą</w:t>
      </w:r>
      <w:r w:rsidR="00AB3242" w:rsidRPr="00AB3242">
        <w:rPr>
          <w:rFonts w:ascii="Times New Roman" w:eastAsia="Times New Roman" w:hAnsi="Times New Roman" w:cs="Times New Roman"/>
          <w:bCs/>
          <w:iCs/>
          <w:sz w:val="24"/>
          <w:szCs w:val="24"/>
        </w:rPr>
        <w:t>, jog Sprendimu pritaikyta 25 proc. dydžio finansinė korekcija yra teisėta, pagrįsta ir proporcinga padarytam pažeidimui.</w:t>
      </w:r>
      <w:r w:rsidR="006960A8">
        <w:rPr>
          <w:rFonts w:ascii="Times New Roman" w:eastAsia="Times New Roman" w:hAnsi="Times New Roman" w:cs="Times New Roman"/>
          <w:bCs/>
          <w:iCs/>
          <w:sz w:val="24"/>
          <w:szCs w:val="24"/>
        </w:rPr>
        <w:t xml:space="preserve"> Atsižvelgęs į Lietuvos vyriausiojo administracinio teismo praktiką (žr. </w:t>
      </w:r>
      <w:r w:rsidR="006960A8" w:rsidRPr="006960A8">
        <w:rPr>
          <w:rFonts w:ascii="Times New Roman" w:eastAsia="Times New Roman" w:hAnsi="Times New Roman" w:cs="Times New Roman"/>
          <w:bCs/>
          <w:iCs/>
          <w:sz w:val="24"/>
          <w:szCs w:val="24"/>
        </w:rPr>
        <w:t>pvz., 2022 m. sausio 12 d. nutart</w:t>
      </w:r>
      <w:r w:rsidR="006960A8">
        <w:rPr>
          <w:rFonts w:ascii="Times New Roman" w:eastAsia="Times New Roman" w:hAnsi="Times New Roman" w:cs="Times New Roman"/>
          <w:bCs/>
          <w:iCs/>
          <w:sz w:val="24"/>
          <w:szCs w:val="24"/>
        </w:rPr>
        <w:t>į</w:t>
      </w:r>
      <w:r w:rsidR="006960A8" w:rsidRPr="006960A8">
        <w:rPr>
          <w:rFonts w:ascii="Times New Roman" w:eastAsia="Times New Roman" w:hAnsi="Times New Roman" w:cs="Times New Roman"/>
          <w:bCs/>
          <w:iCs/>
          <w:sz w:val="24"/>
          <w:szCs w:val="24"/>
        </w:rPr>
        <w:t xml:space="preserve"> administracinėje byloje Nr. eA-28-602/2022)</w:t>
      </w:r>
      <w:r w:rsidR="006960A8">
        <w:rPr>
          <w:rFonts w:ascii="Times New Roman" w:eastAsia="Times New Roman" w:hAnsi="Times New Roman" w:cs="Times New Roman"/>
          <w:bCs/>
          <w:iCs/>
          <w:sz w:val="24"/>
          <w:szCs w:val="24"/>
        </w:rPr>
        <w:t xml:space="preserve">, teismas konstatavo, kad </w:t>
      </w:r>
      <w:r w:rsidR="006960A8" w:rsidRPr="006960A8">
        <w:rPr>
          <w:rFonts w:ascii="Times New Roman" w:eastAsia="Times New Roman" w:hAnsi="Times New Roman" w:cs="Times New Roman"/>
          <w:bCs/>
          <w:iCs/>
          <w:sz w:val="24"/>
          <w:szCs w:val="24"/>
        </w:rPr>
        <w:t>CPVA neturėjo pagrindo taikyti mažesnės nei 25 proc. finansinės korekcijos</w:t>
      </w:r>
      <w:r w:rsidR="006960A8">
        <w:rPr>
          <w:rFonts w:ascii="Times New Roman" w:eastAsia="Times New Roman" w:hAnsi="Times New Roman" w:cs="Times New Roman"/>
          <w:bCs/>
          <w:iCs/>
          <w:sz w:val="24"/>
          <w:szCs w:val="24"/>
        </w:rPr>
        <w:t>.</w:t>
      </w:r>
    </w:p>
    <w:p w14:paraId="761D382B" w14:textId="2B234BF5" w:rsidR="006960A8" w:rsidRDefault="00F92049" w:rsidP="00375989">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iCs/>
          <w:sz w:val="24"/>
          <w:szCs w:val="24"/>
        </w:rPr>
      </w:pPr>
      <w:r w:rsidRPr="00FA26E3">
        <w:rPr>
          <w:rFonts w:ascii="Times New Roman" w:eastAsia="Times New Roman" w:hAnsi="Times New Roman" w:cs="Times New Roman"/>
          <w:bCs/>
          <w:iCs/>
          <w:sz w:val="24"/>
          <w:szCs w:val="24"/>
        </w:rPr>
        <w:t>Konstatavęs</w:t>
      </w:r>
      <w:r w:rsidR="00375989" w:rsidRPr="00FA26E3">
        <w:rPr>
          <w:rFonts w:ascii="Times New Roman" w:eastAsia="Times New Roman" w:hAnsi="Times New Roman" w:cs="Times New Roman"/>
          <w:bCs/>
          <w:iCs/>
          <w:sz w:val="24"/>
          <w:szCs w:val="24"/>
        </w:rPr>
        <w:t xml:space="preserve">, jog CPVA Sprendimas yra teisėtas ir pagrįstas, </w:t>
      </w:r>
      <w:r w:rsidRPr="00FA26E3">
        <w:rPr>
          <w:rFonts w:ascii="Times New Roman" w:eastAsia="Times New Roman" w:hAnsi="Times New Roman" w:cs="Times New Roman"/>
          <w:bCs/>
          <w:iCs/>
          <w:sz w:val="24"/>
          <w:szCs w:val="24"/>
        </w:rPr>
        <w:t xml:space="preserve">teismas nenustatė </w:t>
      </w:r>
      <w:r w:rsidR="00375989" w:rsidRPr="00FA26E3">
        <w:rPr>
          <w:rFonts w:ascii="Times New Roman" w:eastAsia="Times New Roman" w:hAnsi="Times New Roman" w:cs="Times New Roman"/>
          <w:bCs/>
          <w:iCs/>
          <w:sz w:val="24"/>
          <w:szCs w:val="24"/>
        </w:rPr>
        <w:t>pagrindo tenkinti pareiškėjo reikalavim</w:t>
      </w:r>
      <w:r w:rsidRPr="00FA26E3">
        <w:rPr>
          <w:rFonts w:ascii="Times New Roman" w:eastAsia="Times New Roman" w:hAnsi="Times New Roman" w:cs="Times New Roman"/>
          <w:bCs/>
          <w:iCs/>
          <w:sz w:val="24"/>
          <w:szCs w:val="24"/>
        </w:rPr>
        <w:t>ą</w:t>
      </w:r>
      <w:r w:rsidR="00375989" w:rsidRPr="00FA26E3">
        <w:rPr>
          <w:rFonts w:ascii="Times New Roman" w:eastAsia="Times New Roman" w:hAnsi="Times New Roman" w:cs="Times New Roman"/>
          <w:bCs/>
          <w:iCs/>
          <w:sz w:val="24"/>
          <w:szCs w:val="24"/>
        </w:rPr>
        <w:t xml:space="preserve">, </w:t>
      </w:r>
      <w:r w:rsidR="006960A8" w:rsidRPr="006960A8">
        <w:rPr>
          <w:rFonts w:ascii="Times New Roman" w:eastAsia="Times New Roman" w:hAnsi="Times New Roman" w:cs="Times New Roman"/>
          <w:bCs/>
          <w:iCs/>
          <w:sz w:val="24"/>
          <w:szCs w:val="24"/>
        </w:rPr>
        <w:t>pakeisti skundžiamą Sprendimą ir pareiškėj</w:t>
      </w:r>
      <w:r w:rsidR="006960A8">
        <w:rPr>
          <w:rFonts w:ascii="Times New Roman" w:eastAsia="Times New Roman" w:hAnsi="Times New Roman" w:cs="Times New Roman"/>
          <w:bCs/>
          <w:iCs/>
          <w:sz w:val="24"/>
          <w:szCs w:val="24"/>
        </w:rPr>
        <w:t>u</w:t>
      </w:r>
      <w:r w:rsidR="006960A8" w:rsidRPr="006960A8">
        <w:rPr>
          <w:rFonts w:ascii="Times New Roman" w:eastAsia="Times New Roman" w:hAnsi="Times New Roman" w:cs="Times New Roman"/>
          <w:bCs/>
          <w:iCs/>
          <w:sz w:val="24"/>
          <w:szCs w:val="24"/>
        </w:rPr>
        <w:t xml:space="preserve">i finansinės korekcijos netaikyti arba teismui nustačius, kad </w:t>
      </w:r>
      <w:r w:rsidR="00A55A97">
        <w:rPr>
          <w:rFonts w:ascii="Times New Roman" w:eastAsia="Times New Roman" w:hAnsi="Times New Roman" w:cs="Times New Roman"/>
          <w:bCs/>
          <w:iCs/>
          <w:sz w:val="24"/>
          <w:szCs w:val="24"/>
        </w:rPr>
        <w:t>CPVA</w:t>
      </w:r>
      <w:r w:rsidR="006960A8" w:rsidRPr="006960A8">
        <w:rPr>
          <w:rFonts w:ascii="Times New Roman" w:eastAsia="Times New Roman" w:hAnsi="Times New Roman" w:cs="Times New Roman"/>
          <w:bCs/>
          <w:iCs/>
          <w:sz w:val="24"/>
          <w:szCs w:val="24"/>
        </w:rPr>
        <w:t xml:space="preserve"> turėjo pagrindą taikyti finansinę korekciją, įpareigoti Agentūrą iš naujo įvertinti galimą pažeidimą ir spręsti dėl mažesnės korekcijos taikymo</w:t>
      </w:r>
    </w:p>
    <w:p w14:paraId="4AAE3287" w14:textId="77777777" w:rsidR="00B34AC3" w:rsidRPr="00FA26E3" w:rsidRDefault="00B34AC3" w:rsidP="00B34AC3">
      <w:pPr>
        <w:shd w:val="clear" w:color="auto" w:fill="FFFFFF"/>
        <w:tabs>
          <w:tab w:val="left" w:pos="1134"/>
        </w:tabs>
        <w:spacing w:line="240" w:lineRule="auto"/>
        <w:jc w:val="both"/>
        <w:rPr>
          <w:rFonts w:ascii="Times New Roman" w:eastAsia="Times New Roman" w:hAnsi="Times New Roman" w:cs="Times New Roman"/>
          <w:sz w:val="24"/>
          <w:szCs w:val="24"/>
        </w:rPr>
      </w:pPr>
    </w:p>
    <w:p w14:paraId="2CC8CD98" w14:textId="33331B61" w:rsidR="005D32F1" w:rsidRPr="00FA26E3" w:rsidRDefault="003453C3" w:rsidP="00B34AC3">
      <w:pPr>
        <w:shd w:val="clear" w:color="auto" w:fill="FFFFFF"/>
        <w:tabs>
          <w:tab w:val="left" w:pos="1134"/>
        </w:tabs>
        <w:spacing w:line="240" w:lineRule="auto"/>
        <w:jc w:val="center"/>
        <w:rPr>
          <w:rFonts w:ascii="Times New Roman" w:eastAsia="Times New Roman" w:hAnsi="Times New Roman" w:cs="Times New Roman"/>
          <w:sz w:val="24"/>
          <w:szCs w:val="24"/>
        </w:rPr>
      </w:pPr>
      <w:r w:rsidRPr="00FA26E3">
        <w:rPr>
          <w:rFonts w:ascii="Times New Roman" w:eastAsia="Times New Roman" w:hAnsi="Times New Roman" w:cs="Times New Roman"/>
          <w:sz w:val="24"/>
          <w:szCs w:val="24"/>
        </w:rPr>
        <w:t>III.</w:t>
      </w:r>
    </w:p>
    <w:p w14:paraId="2E8411F8" w14:textId="77777777" w:rsidR="005D32F1" w:rsidRPr="00FA26E3" w:rsidRDefault="005D32F1" w:rsidP="00A5622D">
      <w:pPr>
        <w:tabs>
          <w:tab w:val="left" w:pos="142"/>
          <w:tab w:val="left" w:pos="851"/>
          <w:tab w:val="left" w:pos="1134"/>
        </w:tabs>
        <w:spacing w:line="240" w:lineRule="auto"/>
        <w:ind w:firstLine="709"/>
        <w:jc w:val="both"/>
        <w:rPr>
          <w:rFonts w:ascii="Times New Roman" w:eastAsia="Times New Roman" w:hAnsi="Times New Roman" w:cs="Times New Roman"/>
          <w:sz w:val="24"/>
          <w:szCs w:val="24"/>
        </w:rPr>
      </w:pPr>
    </w:p>
    <w:p w14:paraId="1C548B52" w14:textId="72164F9D" w:rsidR="000E5848" w:rsidRPr="00FA26E3" w:rsidRDefault="00D0232F" w:rsidP="000E5848">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sz w:val="24"/>
          <w:szCs w:val="24"/>
        </w:rPr>
      </w:pPr>
      <w:r w:rsidRPr="00FA26E3">
        <w:rPr>
          <w:rFonts w:ascii="Times New Roman" w:eastAsia="Times New Roman" w:hAnsi="Times New Roman" w:cs="Times New Roman"/>
          <w:bCs/>
          <w:iCs/>
          <w:sz w:val="24"/>
          <w:szCs w:val="24"/>
        </w:rPr>
        <w:t>Pareiškėja</w:t>
      </w:r>
      <w:r w:rsidR="00BA0FF1" w:rsidRPr="00FA26E3">
        <w:rPr>
          <w:rFonts w:ascii="Times New Roman" w:eastAsia="Times New Roman" w:hAnsi="Times New Roman" w:cs="Times New Roman"/>
          <w:bCs/>
          <w:iCs/>
          <w:sz w:val="24"/>
          <w:szCs w:val="24"/>
        </w:rPr>
        <w:t>s Administracija</w:t>
      </w:r>
      <w:r w:rsidR="00D3097E" w:rsidRPr="00FA26E3">
        <w:rPr>
          <w:rFonts w:ascii="Times New Roman" w:eastAsia="Times New Roman" w:hAnsi="Times New Roman" w:cs="Times New Roman"/>
          <w:bCs/>
          <w:iCs/>
          <w:sz w:val="24"/>
          <w:szCs w:val="24"/>
        </w:rPr>
        <w:t xml:space="preserve"> </w:t>
      </w:r>
      <w:r w:rsidR="00DD4ED1" w:rsidRPr="00FA26E3">
        <w:rPr>
          <w:rFonts w:ascii="Times New Roman" w:eastAsia="Times New Roman" w:hAnsi="Times New Roman" w:cs="Times New Roman"/>
          <w:bCs/>
          <w:sz w:val="24"/>
          <w:szCs w:val="24"/>
          <w:lang w:val="lt-LT"/>
        </w:rPr>
        <w:t>apeliaciniame skunde prašo</w:t>
      </w:r>
      <w:r w:rsidR="00D61F02" w:rsidRPr="00FA26E3">
        <w:rPr>
          <w:rFonts w:ascii="Times New Roman" w:eastAsia="Times New Roman" w:hAnsi="Times New Roman" w:cs="Times New Roman"/>
          <w:bCs/>
          <w:sz w:val="24"/>
          <w:szCs w:val="24"/>
          <w:lang w:val="lt-LT"/>
        </w:rPr>
        <w:t xml:space="preserve"> panaikinti </w:t>
      </w:r>
      <w:r w:rsidR="00D3097E" w:rsidRPr="00FA26E3">
        <w:rPr>
          <w:rFonts w:ascii="Times New Roman" w:eastAsia="Times New Roman" w:hAnsi="Times New Roman" w:cs="Times New Roman"/>
          <w:bCs/>
          <w:iCs/>
          <w:sz w:val="24"/>
          <w:szCs w:val="24"/>
        </w:rPr>
        <w:t xml:space="preserve">Regionų administracinio teismo </w:t>
      </w:r>
      <w:r w:rsidR="000F5778" w:rsidRPr="00FA26E3">
        <w:rPr>
          <w:rFonts w:ascii="Times New Roman" w:eastAsia="Times New Roman" w:hAnsi="Times New Roman" w:cs="Times New Roman"/>
          <w:bCs/>
          <w:iCs/>
          <w:sz w:val="24"/>
          <w:szCs w:val="24"/>
        </w:rPr>
        <w:t>20</w:t>
      </w:r>
      <w:r w:rsidR="005F2168">
        <w:rPr>
          <w:rFonts w:ascii="Times New Roman" w:eastAsia="Times New Roman" w:hAnsi="Times New Roman" w:cs="Times New Roman"/>
          <w:bCs/>
          <w:iCs/>
          <w:sz w:val="24"/>
          <w:szCs w:val="24"/>
        </w:rPr>
        <w:t>25</w:t>
      </w:r>
      <w:r w:rsidR="000F5778" w:rsidRPr="00FA26E3">
        <w:rPr>
          <w:rFonts w:ascii="Times New Roman" w:eastAsia="Times New Roman" w:hAnsi="Times New Roman" w:cs="Times New Roman"/>
          <w:bCs/>
          <w:iCs/>
          <w:sz w:val="24"/>
          <w:szCs w:val="24"/>
        </w:rPr>
        <w:t xml:space="preserve"> m. </w:t>
      </w:r>
      <w:r w:rsidR="005F2168">
        <w:rPr>
          <w:rFonts w:ascii="Times New Roman" w:eastAsia="Times New Roman" w:hAnsi="Times New Roman" w:cs="Times New Roman"/>
          <w:bCs/>
          <w:iCs/>
          <w:sz w:val="24"/>
          <w:szCs w:val="24"/>
        </w:rPr>
        <w:t>vasario 10</w:t>
      </w:r>
      <w:r w:rsidR="000F5778" w:rsidRPr="00FA26E3">
        <w:rPr>
          <w:rFonts w:ascii="Times New Roman" w:eastAsia="Times New Roman" w:hAnsi="Times New Roman" w:cs="Times New Roman"/>
          <w:bCs/>
          <w:iCs/>
          <w:sz w:val="24"/>
          <w:szCs w:val="24"/>
        </w:rPr>
        <w:t xml:space="preserve"> d. </w:t>
      </w:r>
      <w:r w:rsidR="00D3097E" w:rsidRPr="00FA26E3">
        <w:rPr>
          <w:rFonts w:ascii="Times New Roman" w:eastAsia="Times New Roman" w:hAnsi="Times New Roman" w:cs="Times New Roman"/>
          <w:bCs/>
          <w:iCs/>
          <w:sz w:val="24"/>
          <w:szCs w:val="24"/>
        </w:rPr>
        <w:t xml:space="preserve">sprendimą </w:t>
      </w:r>
      <w:r w:rsidR="00D61F02" w:rsidRPr="00FA26E3">
        <w:rPr>
          <w:rFonts w:ascii="Times New Roman" w:eastAsia="Times New Roman" w:hAnsi="Times New Roman" w:cs="Times New Roman"/>
          <w:bCs/>
          <w:sz w:val="24"/>
          <w:szCs w:val="24"/>
        </w:rPr>
        <w:t xml:space="preserve">ir </w:t>
      </w:r>
      <w:r w:rsidR="00B02DE1" w:rsidRPr="00FA26E3">
        <w:rPr>
          <w:rFonts w:ascii="Times New Roman" w:eastAsia="Times New Roman" w:hAnsi="Times New Roman" w:cs="Times New Roman"/>
          <w:bCs/>
          <w:sz w:val="24"/>
          <w:szCs w:val="24"/>
          <w:lang w:val="lt-LT"/>
        </w:rPr>
        <w:t xml:space="preserve">priimti naują sprendimą – </w:t>
      </w:r>
      <w:r w:rsidR="00BA0FF1" w:rsidRPr="00FA26E3">
        <w:rPr>
          <w:rFonts w:ascii="Times New Roman" w:eastAsia="Times New Roman" w:hAnsi="Times New Roman" w:cs="Times New Roman"/>
          <w:bCs/>
          <w:sz w:val="24"/>
          <w:szCs w:val="24"/>
          <w:lang w:val="lt-LT"/>
        </w:rPr>
        <w:t xml:space="preserve">pareiškėjo prašymą tenkinti ir </w:t>
      </w:r>
      <w:r w:rsidR="00AF08B9" w:rsidRPr="00FA26E3">
        <w:rPr>
          <w:rFonts w:ascii="Times New Roman" w:eastAsia="Times New Roman" w:hAnsi="Times New Roman" w:cs="Times New Roman"/>
          <w:bCs/>
          <w:sz w:val="24"/>
          <w:szCs w:val="24"/>
          <w:lang w:val="lt-LT"/>
        </w:rPr>
        <w:t xml:space="preserve">ginčijamą </w:t>
      </w:r>
      <w:r w:rsidR="00BA0FF1" w:rsidRPr="00FA26E3">
        <w:rPr>
          <w:rFonts w:ascii="Times New Roman" w:eastAsia="Times New Roman" w:hAnsi="Times New Roman" w:cs="Times New Roman"/>
          <w:bCs/>
          <w:sz w:val="24"/>
          <w:szCs w:val="24"/>
          <w:lang w:val="lt-LT"/>
        </w:rPr>
        <w:t>Sprendimą panaikinti</w:t>
      </w:r>
      <w:r w:rsidR="005F2168">
        <w:rPr>
          <w:rFonts w:ascii="Times New Roman" w:eastAsia="Times New Roman" w:hAnsi="Times New Roman" w:cs="Times New Roman"/>
          <w:bCs/>
          <w:sz w:val="24"/>
          <w:szCs w:val="24"/>
          <w:lang w:val="lt-LT"/>
        </w:rPr>
        <w:t xml:space="preserve"> arba įpareigoti Agentūrą </w:t>
      </w:r>
      <w:r w:rsidR="00347231">
        <w:rPr>
          <w:rFonts w:ascii="Times New Roman" w:eastAsia="Times New Roman" w:hAnsi="Times New Roman" w:cs="Times New Roman"/>
          <w:bCs/>
          <w:sz w:val="24"/>
          <w:szCs w:val="24"/>
          <w:lang w:val="lt-LT"/>
        </w:rPr>
        <w:t>iš naujo įvertinti galimą pažeidimą ir spręsti dėl mažesnės finansinės korekcijos taikymo</w:t>
      </w:r>
      <w:r w:rsidR="00B02DE1" w:rsidRPr="00FA26E3">
        <w:rPr>
          <w:rFonts w:ascii="Times New Roman" w:eastAsia="Times New Roman" w:hAnsi="Times New Roman" w:cs="Times New Roman"/>
          <w:bCs/>
          <w:sz w:val="24"/>
          <w:szCs w:val="24"/>
          <w:lang w:val="lt-LT"/>
        </w:rPr>
        <w:t>.</w:t>
      </w:r>
    </w:p>
    <w:p w14:paraId="498A636E" w14:textId="34D70056" w:rsidR="00693D51" w:rsidRPr="00FA26E3" w:rsidRDefault="000E5848" w:rsidP="000E5848">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sz w:val="24"/>
          <w:szCs w:val="24"/>
        </w:rPr>
      </w:pPr>
      <w:r w:rsidRPr="00FA26E3">
        <w:rPr>
          <w:rFonts w:ascii="Times New Roman" w:eastAsia="Times New Roman" w:hAnsi="Times New Roman" w:cs="Times New Roman"/>
          <w:bCs/>
          <w:sz w:val="24"/>
          <w:szCs w:val="24"/>
        </w:rPr>
        <w:t xml:space="preserve">Administracija apeliacinį skundą grindžia šiais argumentais: </w:t>
      </w:r>
    </w:p>
    <w:p w14:paraId="0F8DC05A" w14:textId="0C00626F" w:rsidR="00B43ADD" w:rsidRDefault="00B43ADD" w:rsidP="00B43ADD">
      <w:pPr>
        <w:pStyle w:val="Sraopastraipa"/>
        <w:numPr>
          <w:ilvl w:val="1"/>
          <w:numId w:val="1"/>
        </w:numPr>
        <w:shd w:val="clear" w:color="auto" w:fill="FFFFFF"/>
        <w:tabs>
          <w:tab w:val="left" w:pos="1134"/>
          <w:tab w:val="left" w:pos="1276"/>
        </w:tabs>
        <w:spacing w:line="240" w:lineRule="auto"/>
        <w:ind w:left="0" w:firstLine="709"/>
        <w:jc w:val="both"/>
        <w:rPr>
          <w:rFonts w:asciiTheme="majorBidi" w:eastAsia="Times New Roman" w:hAnsiTheme="majorBidi" w:cstheme="majorBidi"/>
          <w:sz w:val="24"/>
          <w:szCs w:val="24"/>
          <w:lang w:val="lt-LT" w:bidi="lt-LT"/>
        </w:rPr>
      </w:pPr>
      <w:r w:rsidRPr="00B43ADD">
        <w:rPr>
          <w:rFonts w:asciiTheme="majorBidi" w:eastAsia="Times New Roman" w:hAnsiTheme="majorBidi" w:cstheme="majorBidi"/>
          <w:sz w:val="24"/>
          <w:szCs w:val="24"/>
          <w:lang w:val="lt-LT" w:bidi="lt-LT"/>
        </w:rPr>
        <w:t>Nesutiktina su pirmosios instancijos teismo sprendimo motyvais, kuriais CPVA iš esmės buvo atleista nuo pareigos motyvuoti ir individualizuoti pareiškėjui taikomą sankciją. Vien ta aplinkybė, kad pareiškėjas neginčijo formaliai padaręs konstatuotą pažeidimą (įsigijo Butą, šiek tiek viršijusį Pirkimo sąlygose nustatytus ploto reikalavimus) ir Agentūros paskirta sankcija formaliai atitinka Gairėse nustatytas ribas, nepagrindžia skirtos sankcijos teisingumo ir adekvatumo susiklosčiusiai situacijai.</w:t>
      </w:r>
    </w:p>
    <w:p w14:paraId="68343584" w14:textId="77777777" w:rsidR="00B43ADD" w:rsidRDefault="00B43ADD" w:rsidP="00B43ADD">
      <w:pPr>
        <w:pStyle w:val="Sraopastraipa"/>
        <w:numPr>
          <w:ilvl w:val="1"/>
          <w:numId w:val="1"/>
        </w:numPr>
        <w:shd w:val="clear" w:color="auto" w:fill="FFFFFF"/>
        <w:tabs>
          <w:tab w:val="left" w:pos="1134"/>
          <w:tab w:val="left" w:pos="1276"/>
        </w:tabs>
        <w:spacing w:line="240" w:lineRule="auto"/>
        <w:ind w:left="0" w:firstLine="709"/>
        <w:jc w:val="both"/>
        <w:rPr>
          <w:rFonts w:asciiTheme="majorBidi" w:eastAsia="Times New Roman" w:hAnsiTheme="majorBidi" w:cstheme="majorBidi"/>
          <w:sz w:val="24"/>
          <w:szCs w:val="24"/>
          <w:lang w:val="lt-LT" w:bidi="lt-LT"/>
        </w:rPr>
      </w:pPr>
      <w:r w:rsidRPr="00B43ADD">
        <w:rPr>
          <w:rFonts w:asciiTheme="majorBidi" w:eastAsia="Times New Roman" w:hAnsiTheme="majorBidi" w:cstheme="majorBidi"/>
          <w:sz w:val="24"/>
          <w:szCs w:val="24"/>
          <w:lang w:val="lt-LT" w:bidi="lt-LT"/>
        </w:rPr>
        <w:t xml:space="preserve">Nepagrįsta ir teismų praktikos neatitinka išvada, kad šiuo atveju buvo padaryta žala ES biudžetui. Nei </w:t>
      </w:r>
      <w:r>
        <w:rPr>
          <w:rFonts w:asciiTheme="majorBidi" w:eastAsia="Times New Roman" w:hAnsiTheme="majorBidi" w:cstheme="majorBidi"/>
          <w:sz w:val="24"/>
          <w:szCs w:val="24"/>
          <w:lang w:val="lt-LT" w:bidi="lt-LT"/>
        </w:rPr>
        <w:t>atsakovo</w:t>
      </w:r>
      <w:r w:rsidRPr="00B43ADD">
        <w:rPr>
          <w:rFonts w:asciiTheme="majorBidi" w:eastAsia="Times New Roman" w:hAnsiTheme="majorBidi" w:cstheme="majorBidi"/>
          <w:sz w:val="24"/>
          <w:szCs w:val="24"/>
          <w:lang w:val="lt-LT" w:bidi="lt-LT"/>
        </w:rPr>
        <w:t xml:space="preserve"> </w:t>
      </w:r>
      <w:r>
        <w:rPr>
          <w:rFonts w:asciiTheme="majorBidi" w:eastAsia="Times New Roman" w:hAnsiTheme="majorBidi" w:cstheme="majorBidi"/>
          <w:sz w:val="24"/>
          <w:szCs w:val="24"/>
          <w:lang w:val="lt-LT" w:bidi="lt-LT"/>
        </w:rPr>
        <w:t>S</w:t>
      </w:r>
      <w:r w:rsidRPr="00B43ADD">
        <w:rPr>
          <w:rFonts w:asciiTheme="majorBidi" w:eastAsia="Times New Roman" w:hAnsiTheme="majorBidi" w:cstheme="majorBidi"/>
          <w:sz w:val="24"/>
          <w:szCs w:val="24"/>
          <w:lang w:val="lt-LT" w:bidi="lt-LT"/>
        </w:rPr>
        <w:t xml:space="preserve">prendime, nei teismo sprendime nėra aiškiai konstatuota, kokia žala ir (ar) poveikis Lietuvos Respublikos ar Europos Sąjungos biudžetui buvo padaryta, dėl kurios būtų proporcinga būtent CPVA paskirta 25 proc. dydžio sankcija. </w:t>
      </w:r>
    </w:p>
    <w:p w14:paraId="5A2E6755" w14:textId="77777777" w:rsidR="00B43ADD" w:rsidRDefault="00B43ADD" w:rsidP="00B43ADD">
      <w:pPr>
        <w:pStyle w:val="Sraopastraipa"/>
        <w:numPr>
          <w:ilvl w:val="1"/>
          <w:numId w:val="1"/>
        </w:numPr>
        <w:shd w:val="clear" w:color="auto" w:fill="FFFFFF"/>
        <w:tabs>
          <w:tab w:val="left" w:pos="1134"/>
          <w:tab w:val="left" w:pos="1276"/>
        </w:tabs>
        <w:spacing w:line="240" w:lineRule="auto"/>
        <w:ind w:left="0" w:firstLine="709"/>
        <w:jc w:val="both"/>
        <w:rPr>
          <w:rFonts w:asciiTheme="majorBidi" w:eastAsia="Times New Roman" w:hAnsiTheme="majorBidi" w:cstheme="majorBidi"/>
          <w:sz w:val="24"/>
          <w:szCs w:val="24"/>
          <w:lang w:val="lt-LT" w:bidi="lt-LT"/>
        </w:rPr>
      </w:pPr>
      <w:r>
        <w:rPr>
          <w:rFonts w:asciiTheme="majorBidi" w:eastAsia="Times New Roman" w:hAnsiTheme="majorBidi" w:cstheme="majorBidi"/>
          <w:sz w:val="24"/>
          <w:szCs w:val="24"/>
          <w:lang w:val="lt-LT" w:bidi="lt-LT"/>
        </w:rPr>
        <w:t>ESTT</w:t>
      </w:r>
      <w:r w:rsidRPr="00B43ADD">
        <w:rPr>
          <w:rFonts w:asciiTheme="majorBidi" w:eastAsia="Times New Roman" w:hAnsiTheme="majorBidi" w:cstheme="majorBidi"/>
          <w:sz w:val="24"/>
          <w:szCs w:val="24"/>
          <w:lang w:val="lt-LT" w:bidi="lt-LT"/>
        </w:rPr>
        <w:t xml:space="preserve"> yra nurodęs, kad „pažeidimo“ sąvoka apima Europos Sąjungos teisės nuostatos pažeidimą, kurį lemia ūkio subjekto veiksmai ar neveikimas, kai dėl nepagrįstų Europos Sąjungos bendrojo biudžeto išlaidų padaroma arba gali būti padaryta žala bendrajam biudžetui. Gairių 1.1 papunktyje nurodyta, kad finansinės pataisos gali būti taikomos tik jei konkretus pažeidimas turi arba </w:t>
      </w:r>
      <w:r w:rsidRPr="00B43ADD">
        <w:rPr>
          <w:rFonts w:asciiTheme="majorBidi" w:eastAsia="Times New Roman" w:hAnsiTheme="majorBidi" w:cstheme="majorBidi"/>
          <w:sz w:val="24"/>
          <w:szCs w:val="24"/>
          <w:lang w:val="lt-LT" w:bidi="lt-LT"/>
        </w:rPr>
        <w:lastRenderedPageBreak/>
        <w:t>galėtų turėti finansinį poveikį Sąjungos biudžetui. Todėl šiose Gairėse nurodytų (arba į juos panašių) rūšių pažeidimai, dėl kurių 2 skirsnyje nustatyta fiksuoto dydžio pataisa, laikomi turinčiais finansinį poveikį. Tais atvejais, kai viešųjų pirkimų taisyklių pažeidimas yra tik formalaus pobūdžio ir neturi jokio faktinio arba galimo finansinio poveikio, finansinės pataisos yra nepateisinamos.</w:t>
      </w:r>
    </w:p>
    <w:p w14:paraId="2704932E" w14:textId="1593A2B7" w:rsidR="00B43ADD" w:rsidRDefault="00B43ADD" w:rsidP="00B43ADD">
      <w:pPr>
        <w:pStyle w:val="Sraopastraipa"/>
        <w:numPr>
          <w:ilvl w:val="1"/>
          <w:numId w:val="1"/>
        </w:numPr>
        <w:shd w:val="clear" w:color="auto" w:fill="FFFFFF"/>
        <w:tabs>
          <w:tab w:val="left" w:pos="1134"/>
          <w:tab w:val="left" w:pos="1276"/>
        </w:tabs>
        <w:spacing w:line="240" w:lineRule="auto"/>
        <w:ind w:left="0" w:firstLine="709"/>
        <w:jc w:val="both"/>
        <w:rPr>
          <w:rFonts w:asciiTheme="majorBidi" w:eastAsia="Times New Roman" w:hAnsiTheme="majorBidi" w:cstheme="majorBidi"/>
          <w:sz w:val="24"/>
          <w:szCs w:val="24"/>
          <w:lang w:val="lt-LT" w:bidi="lt-LT"/>
        </w:rPr>
      </w:pPr>
      <w:r w:rsidRPr="00B43ADD">
        <w:rPr>
          <w:rFonts w:asciiTheme="majorBidi" w:eastAsia="Times New Roman" w:hAnsiTheme="majorBidi" w:cstheme="majorBidi"/>
          <w:sz w:val="24"/>
          <w:szCs w:val="24"/>
          <w:lang w:val="lt-LT" w:bidi="lt-LT"/>
        </w:rPr>
        <w:t xml:space="preserve">CPVA Sprendime pritaikyta 25 proc. finansinė korekcija prieštarauja finansinių korekcijų taikymo tikslams užtikrinti ES biudžeto finansinius interesus, o CPVA niekaip nepagrindžia, kokią įtaką Administracijos veiksmai turėjo tinkamam Projekto ir Europos Sąjungos finansavimo tikslų įgyvendinimui. Priimant teismo sprendimą, nei į Projektui skirto finansavimo panaudojimo rezultatus, nei į gautą naudą bei neigiamų pasekmių nebuvimą iš esmės nebuvo atsižvelgta. CPVA nenurodė, koks poveikis </w:t>
      </w:r>
      <w:r w:rsidR="00746B67">
        <w:rPr>
          <w:rFonts w:asciiTheme="majorBidi" w:eastAsia="Times New Roman" w:hAnsiTheme="majorBidi" w:cstheme="majorBidi"/>
          <w:sz w:val="24"/>
          <w:szCs w:val="24"/>
          <w:lang w:val="lt-LT" w:bidi="lt-LT"/>
        </w:rPr>
        <w:t>ES</w:t>
      </w:r>
      <w:r w:rsidRPr="00B43ADD">
        <w:rPr>
          <w:rFonts w:asciiTheme="majorBidi" w:eastAsia="Times New Roman" w:hAnsiTheme="majorBidi" w:cstheme="majorBidi"/>
          <w:sz w:val="24"/>
          <w:szCs w:val="24"/>
          <w:lang w:val="lt-LT" w:bidi="lt-LT"/>
        </w:rPr>
        <w:t xml:space="preserve"> biudžetui buvo padarytas, žala ES biudžetui tiek Agentūros, tiek ir pirmosios instancijos teismo grindžiama tuo, kad buvo padarytas pažeidimas neatmetus Pirkimo sąlygų neatitinkančios paraiškos. Tačiau pažymėtina, kad Administracija nesulaukė pretenzijų iš dalyvių dėl Pirkimo procedūrų vykdymo ir(ar) rezultatų, n</w:t>
      </w:r>
      <w:r w:rsidR="00746B67">
        <w:rPr>
          <w:rFonts w:asciiTheme="majorBidi" w:eastAsia="Times New Roman" w:hAnsiTheme="majorBidi" w:cstheme="majorBidi"/>
          <w:sz w:val="24"/>
          <w:szCs w:val="24"/>
          <w:lang w:val="lt-LT" w:bidi="lt-LT"/>
        </w:rPr>
        <w:t>ė</w:t>
      </w:r>
      <w:r w:rsidRPr="00B43ADD">
        <w:rPr>
          <w:rFonts w:asciiTheme="majorBidi" w:eastAsia="Times New Roman" w:hAnsiTheme="majorBidi" w:cstheme="majorBidi"/>
          <w:sz w:val="24"/>
          <w:szCs w:val="24"/>
          <w:lang w:val="lt-LT" w:bidi="lt-LT"/>
        </w:rPr>
        <w:t xml:space="preserve"> vieno potencialaus kandidato pasiūlymas Pirkime nebuvo atmestas dėl to, kad buvo surinktas pagal Pirkimo sąlygas reikiamas pasiūlymų kiekis, atvirkščiai, kaip buvo nurodyta tiek Administracijos paaiškinime, tiek ir prašyme teismui, iš planuotų nupirkti I grupei priskirtų 47 būstų buvo gautos tik 7 paraiškos, o iš jų nupirkti tik 2 butai</w:t>
      </w:r>
      <w:r w:rsidR="00746B67">
        <w:rPr>
          <w:rFonts w:asciiTheme="majorBidi" w:eastAsia="Times New Roman" w:hAnsiTheme="majorBidi" w:cstheme="majorBidi"/>
          <w:sz w:val="24"/>
          <w:szCs w:val="24"/>
          <w:lang w:val="lt-LT" w:bidi="lt-LT"/>
        </w:rPr>
        <w:t>. T</w:t>
      </w:r>
      <w:r w:rsidRPr="00B43ADD">
        <w:rPr>
          <w:rFonts w:asciiTheme="majorBidi" w:eastAsia="Times New Roman" w:hAnsiTheme="majorBidi" w:cstheme="majorBidi"/>
          <w:sz w:val="24"/>
          <w:szCs w:val="24"/>
          <w:lang w:val="lt-LT" w:bidi="lt-LT"/>
        </w:rPr>
        <w:t xml:space="preserve">aigi, Perkančioji organizacija nusprendė neatmesti laimėtojo paraiškos, iš esmės atitinkančios Perkančiosios organizacijos poreikius, siekdama nupirkti kuo daugiau butų ir taip užtikrinti būsto laukiančių asmenų interesus. CPVA tik deklaratyviai nurodė, kad pažeisti skaidrumo ir lygiateisiškumo principai, tačiau jokių objektyvių duomenų, pagrindžiančių, kad nustatytas pažeidimas </w:t>
      </w:r>
      <w:r w:rsidR="00746B67">
        <w:rPr>
          <w:rFonts w:asciiTheme="majorBidi" w:eastAsia="Times New Roman" w:hAnsiTheme="majorBidi" w:cstheme="majorBidi"/>
          <w:sz w:val="24"/>
          <w:szCs w:val="24"/>
          <w:lang w:val="lt-LT" w:bidi="lt-LT"/>
        </w:rPr>
        <w:t>darė realią įtaką</w:t>
      </w:r>
      <w:r w:rsidRPr="00B43ADD">
        <w:rPr>
          <w:rFonts w:asciiTheme="majorBidi" w:eastAsia="Times New Roman" w:hAnsiTheme="majorBidi" w:cstheme="majorBidi"/>
          <w:sz w:val="24"/>
          <w:szCs w:val="24"/>
          <w:lang w:val="lt-LT" w:bidi="lt-LT"/>
        </w:rPr>
        <w:t xml:space="preserve"> </w:t>
      </w:r>
      <w:r w:rsidR="00746B67">
        <w:rPr>
          <w:rFonts w:asciiTheme="majorBidi" w:eastAsia="Times New Roman" w:hAnsiTheme="majorBidi" w:cstheme="majorBidi"/>
          <w:sz w:val="24"/>
          <w:szCs w:val="24"/>
          <w:lang w:val="lt-LT" w:bidi="lt-LT"/>
        </w:rPr>
        <w:t>P</w:t>
      </w:r>
      <w:r w:rsidRPr="00B43ADD">
        <w:rPr>
          <w:rFonts w:asciiTheme="majorBidi" w:eastAsia="Times New Roman" w:hAnsiTheme="majorBidi" w:cstheme="majorBidi"/>
          <w:sz w:val="24"/>
          <w:szCs w:val="24"/>
          <w:lang w:val="lt-LT" w:bidi="lt-LT"/>
        </w:rPr>
        <w:t xml:space="preserve">irkimo dalyvių ir kitų potencialių tiekėjų teisių apimčiai, nebuvo. </w:t>
      </w:r>
      <w:r w:rsidR="00746B67">
        <w:rPr>
          <w:rFonts w:asciiTheme="majorBidi" w:eastAsia="Times New Roman" w:hAnsiTheme="majorBidi" w:cstheme="majorBidi"/>
          <w:sz w:val="24"/>
          <w:szCs w:val="24"/>
          <w:lang w:val="lt-LT" w:bidi="lt-LT"/>
        </w:rPr>
        <w:t xml:space="preserve">Agentūra nepateikė </w:t>
      </w:r>
      <w:r w:rsidRPr="00B43ADD">
        <w:rPr>
          <w:rFonts w:asciiTheme="majorBidi" w:eastAsia="Times New Roman" w:hAnsiTheme="majorBidi" w:cstheme="majorBidi"/>
          <w:sz w:val="24"/>
          <w:szCs w:val="24"/>
          <w:lang w:val="lt-LT" w:bidi="lt-LT"/>
        </w:rPr>
        <w:t xml:space="preserve">duomenų, kad Administracijos skelbtas </w:t>
      </w:r>
      <w:r w:rsidR="00746B67">
        <w:rPr>
          <w:rFonts w:asciiTheme="majorBidi" w:eastAsia="Times New Roman" w:hAnsiTheme="majorBidi" w:cstheme="majorBidi"/>
          <w:sz w:val="24"/>
          <w:szCs w:val="24"/>
          <w:lang w:val="lt-LT" w:bidi="lt-LT"/>
        </w:rPr>
        <w:t>P</w:t>
      </w:r>
      <w:r w:rsidRPr="00B43ADD">
        <w:rPr>
          <w:rFonts w:asciiTheme="majorBidi" w:eastAsia="Times New Roman" w:hAnsiTheme="majorBidi" w:cstheme="majorBidi"/>
          <w:sz w:val="24"/>
          <w:szCs w:val="24"/>
          <w:lang w:val="lt-LT" w:bidi="lt-LT"/>
        </w:rPr>
        <w:t>irkimas dėl riboto sąlygų, kurios negali būti keičiamos (maksimali buto, atitinkančio nustatytus reikalavimus, kvadratinio metro kaina), patrauklumo būtų susilaukęs reikšmingesnio dėmesio Pirkimo sąlygose apibrėžtoje rinkoje</w:t>
      </w:r>
      <w:r w:rsidR="00746B67">
        <w:rPr>
          <w:rFonts w:asciiTheme="majorBidi" w:eastAsia="Times New Roman" w:hAnsiTheme="majorBidi" w:cstheme="majorBidi"/>
          <w:sz w:val="24"/>
          <w:szCs w:val="24"/>
          <w:lang w:val="lt-LT" w:bidi="lt-LT"/>
        </w:rPr>
        <w:t xml:space="preserve">. </w:t>
      </w:r>
      <w:r w:rsidRPr="00B43ADD">
        <w:rPr>
          <w:rFonts w:asciiTheme="majorBidi" w:eastAsia="Times New Roman" w:hAnsiTheme="majorBidi" w:cstheme="majorBidi"/>
          <w:sz w:val="24"/>
          <w:szCs w:val="24"/>
          <w:lang w:val="lt-LT" w:bidi="lt-LT"/>
        </w:rPr>
        <w:t xml:space="preserve"> </w:t>
      </w:r>
    </w:p>
    <w:p w14:paraId="19DE7A69" w14:textId="77777777" w:rsidR="00746B67" w:rsidRDefault="00B43ADD" w:rsidP="00746B67">
      <w:pPr>
        <w:pStyle w:val="Sraopastraipa"/>
        <w:numPr>
          <w:ilvl w:val="1"/>
          <w:numId w:val="1"/>
        </w:numPr>
        <w:shd w:val="clear" w:color="auto" w:fill="FFFFFF"/>
        <w:tabs>
          <w:tab w:val="left" w:pos="1134"/>
          <w:tab w:val="left" w:pos="1276"/>
        </w:tabs>
        <w:spacing w:line="240" w:lineRule="auto"/>
        <w:ind w:left="0" w:firstLine="709"/>
        <w:jc w:val="both"/>
        <w:rPr>
          <w:rFonts w:asciiTheme="majorBidi" w:eastAsia="Times New Roman" w:hAnsiTheme="majorBidi" w:cstheme="majorBidi"/>
          <w:sz w:val="24"/>
          <w:szCs w:val="24"/>
          <w:lang w:val="lt-LT" w:bidi="lt-LT"/>
        </w:rPr>
      </w:pPr>
      <w:r w:rsidRPr="00B43ADD">
        <w:rPr>
          <w:rFonts w:asciiTheme="majorBidi" w:eastAsia="Times New Roman" w:hAnsiTheme="majorBidi" w:cstheme="majorBidi"/>
          <w:sz w:val="24"/>
          <w:szCs w:val="24"/>
          <w:lang w:val="lt-LT" w:bidi="lt-LT"/>
        </w:rPr>
        <w:t>Pažymėtina, jog lygiateisiškumo, skaidrumo ir kitų viešųjų pirkimų principų pažeidimai negali būti konstatuojami remiantis prielaidomis ar CPVA nuomone, o turėtų būti siejami su teismų praktikoje išskiriamais kriterijais (pažeidimų pobūdis, svarba, fondų finansiniai nuostoliai). Šiuo atveju tokių kriterijų neįvertinus, pirmosios instancijos teismas neturėjo pagrindo pritarti atsakovo prielaidai apie poveikį ES biudžetui bei pripažinti taikytos sankcijos teisėtumą.</w:t>
      </w:r>
    </w:p>
    <w:p w14:paraId="28F42715" w14:textId="11DF1ECA" w:rsidR="00746B67" w:rsidRDefault="00B43ADD" w:rsidP="00746B67">
      <w:pPr>
        <w:pStyle w:val="Sraopastraipa"/>
        <w:numPr>
          <w:ilvl w:val="1"/>
          <w:numId w:val="1"/>
        </w:numPr>
        <w:shd w:val="clear" w:color="auto" w:fill="FFFFFF"/>
        <w:tabs>
          <w:tab w:val="left" w:pos="1134"/>
          <w:tab w:val="left" w:pos="1276"/>
        </w:tabs>
        <w:spacing w:line="240" w:lineRule="auto"/>
        <w:ind w:left="0" w:firstLine="709"/>
        <w:jc w:val="both"/>
        <w:rPr>
          <w:rFonts w:asciiTheme="majorBidi" w:eastAsia="Times New Roman" w:hAnsiTheme="majorBidi" w:cstheme="majorBidi"/>
          <w:sz w:val="24"/>
          <w:szCs w:val="24"/>
          <w:lang w:val="lt-LT" w:bidi="lt-LT"/>
        </w:rPr>
      </w:pPr>
      <w:r w:rsidRPr="00746B67">
        <w:rPr>
          <w:rFonts w:asciiTheme="majorBidi" w:eastAsia="Times New Roman" w:hAnsiTheme="majorBidi" w:cstheme="majorBidi"/>
          <w:sz w:val="24"/>
          <w:szCs w:val="24"/>
          <w:lang w:val="lt-LT" w:bidi="lt-LT"/>
        </w:rPr>
        <w:t>Taip pat vien CPVA taikytos sankcijos atitiktis Gairėse nurodytam finansinės korekcijos rekomenduojamam dydžiui negalėjo būti teismo pripažinta pakankama, kad Sprendimas taikyti būtent 25 proc. dydžio sankciją būtų laikomas motyvuotu. ESTT yra nurodęs, kad nėra draudžiama, jog pirminis vertinimas būtų atliekamas naudojantis lentele, parengta paisant proporcingumo principo, tačiau, nustatant galutinį taikytinos korekcijos dydį, turi būti atsižvelgiama į visas konstatuoto pažeidimo ypatybes, palyginti su aplinkybėmis, į kurias atsižvelgta sudarant tą lentelę, kurios gali pateisinti didesnės ar, atvirkščiai, mažesnės korekcijos taikymą. Šia praktika vadovaujasi ir Lietuvos vyriausiasis administracinis teismas, t. y. finansinės pataisos dydis neturi būti nustatomas automatiškai, remiantis vien iš anksto nustatyta fiksuoto dydžio pataisos normų skale</w:t>
      </w:r>
      <w:r w:rsidR="00746B67">
        <w:rPr>
          <w:rFonts w:asciiTheme="majorBidi" w:eastAsia="Times New Roman" w:hAnsiTheme="majorBidi" w:cstheme="majorBidi"/>
          <w:sz w:val="24"/>
          <w:szCs w:val="24"/>
          <w:lang w:val="lt-LT" w:bidi="lt-LT"/>
        </w:rPr>
        <w:t>;</w:t>
      </w:r>
      <w:r w:rsidRPr="00746B67">
        <w:rPr>
          <w:rFonts w:asciiTheme="majorBidi" w:eastAsia="Times New Roman" w:hAnsiTheme="majorBidi" w:cstheme="majorBidi"/>
          <w:sz w:val="24"/>
          <w:szCs w:val="24"/>
          <w:lang w:val="lt-LT" w:bidi="lt-LT"/>
        </w:rPr>
        <w:t xml:space="preserve"> atsakovui fiksuoto dydžio finansinę korekciją taikius automatiškai, remiantis vien iš anksto nustatyta fiksuoto dydžio pataisos normų skale, tai nedera su Reglamento nuostatomis (žr. 2025 m. vasario 5 d. nutartį administracinėje byloje Nr. eA-227-415/2025). Taigi, kiekvieno pažeidimo atveju įgyvendinančioji institucija (šiuo atveju Agentūra) privalo įvertinti visas su pažeidimu susijusias aplinkybes ketinamos taikyti finansinės korekcijos proporcingumo požiūriu. </w:t>
      </w:r>
    </w:p>
    <w:p w14:paraId="1BBC0F8D" w14:textId="036A27B3" w:rsidR="00746B67" w:rsidRDefault="00B43ADD" w:rsidP="00746B67">
      <w:pPr>
        <w:pStyle w:val="Sraopastraipa"/>
        <w:numPr>
          <w:ilvl w:val="1"/>
          <w:numId w:val="1"/>
        </w:numPr>
        <w:shd w:val="clear" w:color="auto" w:fill="FFFFFF"/>
        <w:tabs>
          <w:tab w:val="left" w:pos="1134"/>
          <w:tab w:val="left" w:pos="1276"/>
        </w:tabs>
        <w:spacing w:line="240" w:lineRule="auto"/>
        <w:ind w:left="0" w:firstLine="709"/>
        <w:jc w:val="both"/>
        <w:rPr>
          <w:rFonts w:asciiTheme="majorBidi" w:eastAsia="Times New Roman" w:hAnsiTheme="majorBidi" w:cstheme="majorBidi"/>
          <w:sz w:val="24"/>
          <w:szCs w:val="24"/>
          <w:lang w:val="lt-LT" w:bidi="lt-LT"/>
        </w:rPr>
      </w:pPr>
      <w:r w:rsidRPr="00746B67">
        <w:rPr>
          <w:rFonts w:asciiTheme="majorBidi" w:eastAsia="Times New Roman" w:hAnsiTheme="majorBidi" w:cstheme="majorBidi"/>
          <w:sz w:val="24"/>
          <w:szCs w:val="24"/>
          <w:lang w:val="lt-LT" w:bidi="lt-LT"/>
        </w:rPr>
        <w:t xml:space="preserve">Sprendimas turi atitikti </w:t>
      </w:r>
      <w:r w:rsidR="00E119C4">
        <w:rPr>
          <w:rFonts w:asciiTheme="majorBidi" w:eastAsia="Times New Roman" w:hAnsiTheme="majorBidi" w:cstheme="majorBidi"/>
          <w:sz w:val="24"/>
          <w:szCs w:val="24"/>
          <w:lang w:val="lt-LT" w:bidi="lt-LT"/>
        </w:rPr>
        <w:t xml:space="preserve">Lietuvos Respublikos viešojo administravimo įstatyme </w:t>
      </w:r>
      <w:r w:rsidRPr="00746B67">
        <w:rPr>
          <w:rFonts w:asciiTheme="majorBidi" w:eastAsia="Times New Roman" w:hAnsiTheme="majorBidi" w:cstheme="majorBidi"/>
          <w:sz w:val="24"/>
          <w:szCs w:val="24"/>
          <w:lang w:val="lt-LT" w:bidi="lt-LT"/>
        </w:rPr>
        <w:t xml:space="preserve">individualiam administraciniam aktui keliamus reikalavimus. CPVA Sprendime tik nurodė, kad finansinę korekciją taiko: 1) vadovaudamasi Gairių 2.2 lentelės 14 punktu, ir 2) atsižvelgdama į tai, kad Perkančioji organizacija Pirkimo laimėtoju pripažino kandidatą, kurio siūlomas butas neatitiko Pirkimo sąlygų reikalavimų, tokiu būdu pažeidžiant skaidrumo ir lygiateisiškumo principus. Visgi jokių kitų motyvų ir (ar) pagrindimo pateikta nebuvo, t. y. nenurodyta, kodėl šiuo atveju pritaikyta 25 proc. finansinė korekcija atitinka pažeidimo pobūdį, sunkumą, jo sukeltas teisines pasekmes (jų nebuvimą). Sprendime nėra pateikta jokios informacijos, ar taikydama finansinę korekciją CPVA išties atsižvelgė į </w:t>
      </w:r>
      <w:r w:rsidR="00746B67">
        <w:rPr>
          <w:rFonts w:asciiTheme="majorBidi" w:eastAsia="Times New Roman" w:hAnsiTheme="majorBidi" w:cstheme="majorBidi"/>
          <w:sz w:val="24"/>
          <w:szCs w:val="24"/>
          <w:lang w:val="lt-LT" w:bidi="lt-LT"/>
        </w:rPr>
        <w:t>PAFT</w:t>
      </w:r>
      <w:r w:rsidRPr="00746B67">
        <w:rPr>
          <w:rFonts w:asciiTheme="majorBidi" w:eastAsia="Times New Roman" w:hAnsiTheme="majorBidi" w:cstheme="majorBidi"/>
          <w:sz w:val="24"/>
          <w:szCs w:val="24"/>
          <w:lang w:val="lt-LT" w:bidi="lt-LT"/>
        </w:rPr>
        <w:t xml:space="preserve"> ir (ar) kodėl nagrinėjamu atveju negalėjo būti pritaikyta, pavyzdžiui, mažesnė </w:t>
      </w:r>
      <w:r w:rsidRPr="00746B67">
        <w:rPr>
          <w:rFonts w:asciiTheme="majorBidi" w:eastAsia="Times New Roman" w:hAnsiTheme="majorBidi" w:cstheme="majorBidi"/>
          <w:sz w:val="24"/>
          <w:szCs w:val="24"/>
          <w:lang w:val="lt-LT" w:bidi="lt-LT"/>
        </w:rPr>
        <w:lastRenderedPageBreak/>
        <w:t>finansinė korekcija. Regionų administracinis teismas įsiteisėjusiu 2025 m. sausio 8 d. sprendimu administracinėje byloje Nr. eI3-976-631/2025, kurioje taip pat buvo sprendžiamas tame pačiame Projekte dėl kito buto Agentūros konstatuotas pažeidimas panaikino Agentūros priimtą sprendimą dėl lėšų grąžinimo.</w:t>
      </w:r>
    </w:p>
    <w:p w14:paraId="1EA690EA" w14:textId="77777777" w:rsidR="00746B67" w:rsidRDefault="00B43ADD" w:rsidP="00746B67">
      <w:pPr>
        <w:pStyle w:val="Sraopastraipa"/>
        <w:numPr>
          <w:ilvl w:val="1"/>
          <w:numId w:val="1"/>
        </w:numPr>
        <w:shd w:val="clear" w:color="auto" w:fill="FFFFFF"/>
        <w:tabs>
          <w:tab w:val="left" w:pos="1134"/>
          <w:tab w:val="left" w:pos="1276"/>
        </w:tabs>
        <w:spacing w:line="240" w:lineRule="auto"/>
        <w:ind w:left="0" w:firstLine="709"/>
        <w:jc w:val="both"/>
        <w:rPr>
          <w:rFonts w:asciiTheme="majorBidi" w:eastAsia="Times New Roman" w:hAnsiTheme="majorBidi" w:cstheme="majorBidi"/>
          <w:sz w:val="24"/>
          <w:szCs w:val="24"/>
          <w:lang w:val="lt-LT" w:bidi="lt-LT"/>
        </w:rPr>
      </w:pPr>
      <w:r w:rsidRPr="00746B67">
        <w:rPr>
          <w:rFonts w:asciiTheme="majorBidi" w:eastAsia="Times New Roman" w:hAnsiTheme="majorBidi" w:cstheme="majorBidi"/>
          <w:sz w:val="24"/>
          <w:szCs w:val="24"/>
          <w:lang w:val="lt-LT" w:bidi="lt-LT"/>
        </w:rPr>
        <w:t xml:space="preserve">Atkreiptinas dėmesys į Lietuvos vyriausiojo administracinio teismo praktiką (žr. 2023 m. spalio 25 d. sprendimą administracinėje byloje Nr. eA-527-629/2023; 2024 m. gruodžio 18 d. sprendimą administracinėje byloje Nr. eA-1538-624/2024), be to, CPVA, vertindama kitus projektus, netaikė tokios didelės korekcijos. Taigi priimdama nemotyvuotą </w:t>
      </w:r>
      <w:r w:rsidR="00746B67">
        <w:rPr>
          <w:rFonts w:asciiTheme="majorBidi" w:eastAsia="Times New Roman" w:hAnsiTheme="majorBidi" w:cstheme="majorBidi"/>
          <w:sz w:val="24"/>
          <w:szCs w:val="24"/>
          <w:lang w:val="lt-LT" w:bidi="lt-LT"/>
        </w:rPr>
        <w:t>S</w:t>
      </w:r>
      <w:r w:rsidRPr="00746B67">
        <w:rPr>
          <w:rFonts w:asciiTheme="majorBidi" w:eastAsia="Times New Roman" w:hAnsiTheme="majorBidi" w:cstheme="majorBidi"/>
          <w:sz w:val="24"/>
          <w:szCs w:val="24"/>
          <w:lang w:val="lt-LT" w:bidi="lt-LT"/>
        </w:rPr>
        <w:t>prendimą, CPVA neabejotinai pažeidė ir VAĮ 3 straipsnyje įtvirtintus principus, o teismas formaliai pritarė atsakovo vertinimui.</w:t>
      </w:r>
    </w:p>
    <w:p w14:paraId="3B22DC40" w14:textId="347F9C93" w:rsidR="00347231" w:rsidRPr="00746B67" w:rsidRDefault="00B43ADD" w:rsidP="00746B67">
      <w:pPr>
        <w:pStyle w:val="Sraopastraipa"/>
        <w:numPr>
          <w:ilvl w:val="1"/>
          <w:numId w:val="1"/>
        </w:numPr>
        <w:shd w:val="clear" w:color="auto" w:fill="FFFFFF"/>
        <w:tabs>
          <w:tab w:val="left" w:pos="1134"/>
          <w:tab w:val="left" w:pos="1276"/>
        </w:tabs>
        <w:spacing w:line="240" w:lineRule="auto"/>
        <w:ind w:left="0" w:firstLine="709"/>
        <w:jc w:val="both"/>
        <w:rPr>
          <w:rFonts w:asciiTheme="majorBidi" w:eastAsia="Times New Roman" w:hAnsiTheme="majorBidi" w:cstheme="majorBidi"/>
          <w:sz w:val="24"/>
          <w:szCs w:val="24"/>
          <w:lang w:val="lt-LT" w:bidi="lt-LT"/>
        </w:rPr>
      </w:pPr>
      <w:r w:rsidRPr="00746B67">
        <w:rPr>
          <w:rFonts w:asciiTheme="majorBidi" w:eastAsia="Times New Roman" w:hAnsiTheme="majorBidi" w:cstheme="majorBidi"/>
          <w:sz w:val="24"/>
          <w:szCs w:val="24"/>
          <w:lang w:val="lt-LT" w:bidi="lt-LT"/>
        </w:rPr>
        <w:t>Pirmos instancijos teismas, formaliai išnagrinėjęs bylą, pakankamai neišanalizavo visų bylai reikšmingų aplinkybių dėl Administracijai taikytos sankcijos nepagrįstumo, neatsižvelgė į naujausią teismų praktiką bei egzistuojantį specifinį teisinį reguliavimą, įpareigojantį CPVA individualizuoti skiriamą sankciją.</w:t>
      </w:r>
    </w:p>
    <w:p w14:paraId="7A85A751" w14:textId="04B08924" w:rsidR="00191137" w:rsidRPr="00FA26E3" w:rsidRDefault="00993E80" w:rsidP="00191137">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sidRPr="00FA26E3">
        <w:rPr>
          <w:rFonts w:asciiTheme="majorBidi" w:eastAsia="Times New Roman" w:hAnsiTheme="majorBidi" w:cstheme="majorBidi"/>
          <w:sz w:val="24"/>
          <w:szCs w:val="24"/>
          <w:lang w:val="lt-LT" w:bidi="lt-LT"/>
        </w:rPr>
        <w:t xml:space="preserve">Trečiasis suinteresuotas asmuo </w:t>
      </w:r>
      <w:r w:rsidR="00BA7BE6" w:rsidRPr="00FA26E3">
        <w:rPr>
          <w:rFonts w:asciiTheme="majorBidi" w:eastAsia="Times New Roman" w:hAnsiTheme="majorBidi" w:cstheme="majorBidi"/>
          <w:sz w:val="24"/>
          <w:szCs w:val="24"/>
          <w:lang w:val="lt-LT" w:bidi="lt-LT"/>
        </w:rPr>
        <w:t>SĮ „Vilniaus miesto būstas“ a</w:t>
      </w:r>
      <w:r w:rsidR="00191137" w:rsidRPr="00FA26E3">
        <w:rPr>
          <w:rFonts w:asciiTheme="majorBidi" w:eastAsia="Times New Roman" w:hAnsiTheme="majorBidi" w:cstheme="majorBidi"/>
          <w:sz w:val="24"/>
          <w:szCs w:val="24"/>
          <w:lang w:val="lt-LT" w:bidi="lt-LT"/>
        </w:rPr>
        <w:t xml:space="preserve">peliaciniame skunde </w:t>
      </w:r>
      <w:r w:rsidR="00BA7BE6" w:rsidRPr="00FA26E3">
        <w:rPr>
          <w:rFonts w:asciiTheme="majorBidi" w:eastAsia="Times New Roman" w:hAnsiTheme="majorBidi" w:cstheme="majorBidi"/>
          <w:sz w:val="24"/>
          <w:szCs w:val="24"/>
          <w:lang w:val="lt-LT" w:bidi="lt-LT"/>
        </w:rPr>
        <w:t xml:space="preserve">prašo panaikinti pirmosios instancijos eismo sprendimą ir priimti naują sprendimą – Administracijos prašymą tenkinti. SĮ „Vilniaus miesto būstas“ apeliaciniame skunde </w:t>
      </w:r>
      <w:r w:rsidR="007D75BF">
        <w:rPr>
          <w:rFonts w:asciiTheme="majorBidi" w:eastAsia="Times New Roman" w:hAnsiTheme="majorBidi" w:cstheme="majorBidi"/>
          <w:sz w:val="24"/>
          <w:szCs w:val="24"/>
          <w:lang w:val="lt-LT" w:bidi="lt-LT"/>
        </w:rPr>
        <w:t>atkreipia dėmesį į aktualią teismų praktiką ir akcentuoja, kad vieno kambario b</w:t>
      </w:r>
      <w:r w:rsidR="00746B67">
        <w:rPr>
          <w:rFonts w:asciiTheme="majorBidi" w:eastAsia="Times New Roman" w:hAnsiTheme="majorBidi" w:cstheme="majorBidi"/>
          <w:sz w:val="24"/>
          <w:szCs w:val="24"/>
          <w:lang w:val="lt-LT" w:bidi="lt-LT"/>
        </w:rPr>
        <w:t>u</w:t>
      </w:r>
      <w:r w:rsidR="007D75BF">
        <w:rPr>
          <w:rFonts w:asciiTheme="majorBidi" w:eastAsia="Times New Roman" w:hAnsiTheme="majorBidi" w:cstheme="majorBidi"/>
          <w:sz w:val="24"/>
          <w:szCs w:val="24"/>
          <w:lang w:val="lt-LT" w:bidi="lt-LT"/>
        </w:rPr>
        <w:t xml:space="preserve">tų pasiūla labai maža, o poreikis gauti tokį būstą didelis. Atsakovas ir pirmosios instancijos teismas neatsižvelgė į visą pirkimo procedūrą, į tai, kad tokio pobūdžio butų pasiūlos nėra, nevertino pateiktų dokumentų, neatsižvelgė į atlikto pirkimo socialinę naudą. </w:t>
      </w:r>
    </w:p>
    <w:p w14:paraId="5D0798B9" w14:textId="0171234C" w:rsidR="0074279F" w:rsidRPr="00FA26E3" w:rsidRDefault="008A7A51" w:rsidP="007C24E8">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sz w:val="24"/>
          <w:szCs w:val="24"/>
          <w:lang w:val="lt-LT" w:bidi="lt-LT"/>
        </w:rPr>
      </w:pPr>
      <w:r w:rsidRPr="00FA26E3">
        <w:rPr>
          <w:rFonts w:asciiTheme="majorBidi" w:eastAsia="Times New Roman" w:hAnsiTheme="majorBidi" w:cstheme="majorBidi"/>
          <w:sz w:val="24"/>
          <w:szCs w:val="24"/>
          <w:lang w:val="lt-LT" w:bidi="lt-LT"/>
        </w:rPr>
        <w:t xml:space="preserve">Atsakovas </w:t>
      </w:r>
      <w:r w:rsidR="00FA31B0" w:rsidRPr="00FA26E3">
        <w:rPr>
          <w:rFonts w:asciiTheme="majorBidi" w:eastAsia="Times New Roman" w:hAnsiTheme="majorBidi" w:cstheme="majorBidi"/>
          <w:sz w:val="24"/>
          <w:szCs w:val="24"/>
          <w:lang w:val="lt-LT" w:bidi="lt-LT"/>
        </w:rPr>
        <w:t>CPVA</w:t>
      </w:r>
      <w:r w:rsidRPr="00FA26E3">
        <w:rPr>
          <w:rFonts w:asciiTheme="majorBidi" w:eastAsia="Times New Roman" w:hAnsiTheme="majorBidi" w:cstheme="majorBidi"/>
          <w:sz w:val="24"/>
          <w:szCs w:val="24"/>
          <w:lang w:val="lt-LT" w:bidi="lt-LT"/>
        </w:rPr>
        <w:t xml:space="preserve"> atsiliepim</w:t>
      </w:r>
      <w:r w:rsidR="00196976" w:rsidRPr="00FA26E3">
        <w:rPr>
          <w:rFonts w:asciiTheme="majorBidi" w:eastAsia="Times New Roman" w:hAnsiTheme="majorBidi" w:cstheme="majorBidi"/>
          <w:sz w:val="24"/>
          <w:szCs w:val="24"/>
          <w:lang w:val="lt-LT" w:bidi="lt-LT"/>
        </w:rPr>
        <w:t>uose</w:t>
      </w:r>
      <w:r w:rsidRPr="00FA26E3">
        <w:rPr>
          <w:rFonts w:asciiTheme="majorBidi" w:eastAsia="Times New Roman" w:hAnsiTheme="majorBidi" w:cstheme="majorBidi"/>
          <w:sz w:val="24"/>
          <w:szCs w:val="24"/>
          <w:lang w:val="lt-LT" w:bidi="lt-LT"/>
        </w:rPr>
        <w:t xml:space="preserve"> į </w:t>
      </w:r>
      <w:r w:rsidR="00FA31B0" w:rsidRPr="00FA26E3">
        <w:rPr>
          <w:rFonts w:asciiTheme="majorBidi" w:eastAsia="Times New Roman" w:hAnsiTheme="majorBidi" w:cstheme="majorBidi"/>
          <w:sz w:val="24"/>
          <w:szCs w:val="24"/>
          <w:lang w:val="lt-LT" w:bidi="lt-LT"/>
        </w:rPr>
        <w:t xml:space="preserve">pareiškėjo </w:t>
      </w:r>
      <w:r w:rsidR="00196976" w:rsidRPr="00FA26E3">
        <w:rPr>
          <w:rFonts w:asciiTheme="majorBidi" w:eastAsia="Times New Roman" w:hAnsiTheme="majorBidi" w:cstheme="majorBidi"/>
          <w:sz w:val="24"/>
          <w:szCs w:val="24"/>
          <w:lang w:val="lt-LT" w:bidi="lt-LT"/>
        </w:rPr>
        <w:t>Admini</w:t>
      </w:r>
      <w:r w:rsidR="00FF1C8D" w:rsidRPr="00FA26E3">
        <w:rPr>
          <w:rFonts w:asciiTheme="majorBidi" w:eastAsia="Times New Roman" w:hAnsiTheme="majorBidi" w:cstheme="majorBidi"/>
          <w:sz w:val="24"/>
          <w:szCs w:val="24"/>
          <w:lang w:val="lt-LT" w:bidi="lt-LT"/>
        </w:rPr>
        <w:t>s</w:t>
      </w:r>
      <w:r w:rsidR="00196976" w:rsidRPr="00FA26E3">
        <w:rPr>
          <w:rFonts w:asciiTheme="majorBidi" w:eastAsia="Times New Roman" w:hAnsiTheme="majorBidi" w:cstheme="majorBidi"/>
          <w:sz w:val="24"/>
          <w:szCs w:val="24"/>
          <w:lang w:val="lt-LT" w:bidi="lt-LT"/>
        </w:rPr>
        <w:t xml:space="preserve">tracijos ir </w:t>
      </w:r>
      <w:r w:rsidR="00FF1C8D" w:rsidRPr="00FA26E3">
        <w:rPr>
          <w:rFonts w:asciiTheme="majorBidi" w:eastAsia="Times New Roman" w:hAnsiTheme="majorBidi" w:cstheme="majorBidi"/>
          <w:sz w:val="24"/>
          <w:szCs w:val="24"/>
          <w:lang w:val="lt-LT" w:bidi="lt-LT"/>
        </w:rPr>
        <w:t>SĮ</w:t>
      </w:r>
      <w:r w:rsidR="00196976" w:rsidRPr="00FA26E3">
        <w:rPr>
          <w:rFonts w:asciiTheme="majorBidi" w:eastAsia="Times New Roman" w:hAnsiTheme="majorBidi" w:cstheme="majorBidi"/>
          <w:sz w:val="24"/>
          <w:szCs w:val="24"/>
          <w:lang w:val="lt-LT" w:bidi="lt-LT"/>
        </w:rPr>
        <w:t xml:space="preserve"> „Vilniaus miesto būstas</w:t>
      </w:r>
      <w:r w:rsidR="00B762E0" w:rsidRPr="00FA26E3">
        <w:rPr>
          <w:rFonts w:asciiTheme="majorBidi" w:eastAsia="Times New Roman" w:hAnsiTheme="majorBidi" w:cstheme="majorBidi"/>
          <w:sz w:val="24"/>
          <w:szCs w:val="24"/>
          <w:lang w:val="lt-LT" w:bidi="lt-LT"/>
        </w:rPr>
        <w:t>“</w:t>
      </w:r>
      <w:r w:rsidR="00196976" w:rsidRPr="00FA26E3">
        <w:rPr>
          <w:rFonts w:asciiTheme="majorBidi" w:eastAsia="Times New Roman" w:hAnsiTheme="majorBidi" w:cstheme="majorBidi"/>
          <w:sz w:val="24"/>
          <w:szCs w:val="24"/>
          <w:lang w:val="lt-LT" w:bidi="lt-LT"/>
        </w:rPr>
        <w:t xml:space="preserve"> </w:t>
      </w:r>
      <w:r w:rsidRPr="00FA26E3">
        <w:rPr>
          <w:rFonts w:asciiTheme="majorBidi" w:eastAsia="Times New Roman" w:hAnsiTheme="majorBidi" w:cstheme="majorBidi"/>
          <w:sz w:val="24"/>
          <w:szCs w:val="24"/>
          <w:lang w:val="lt-LT" w:bidi="lt-LT"/>
        </w:rPr>
        <w:t>apeliacin</w:t>
      </w:r>
      <w:r w:rsidR="00FF1C8D" w:rsidRPr="00FA26E3">
        <w:rPr>
          <w:rFonts w:asciiTheme="majorBidi" w:eastAsia="Times New Roman" w:hAnsiTheme="majorBidi" w:cstheme="majorBidi"/>
          <w:sz w:val="24"/>
          <w:szCs w:val="24"/>
          <w:lang w:val="lt-LT" w:bidi="lt-LT"/>
        </w:rPr>
        <w:t>ius</w:t>
      </w:r>
      <w:r w:rsidRPr="00FA26E3">
        <w:rPr>
          <w:rFonts w:asciiTheme="majorBidi" w:eastAsia="Times New Roman" w:hAnsiTheme="majorBidi" w:cstheme="majorBidi"/>
          <w:sz w:val="24"/>
          <w:szCs w:val="24"/>
          <w:lang w:val="lt-LT" w:bidi="lt-LT"/>
        </w:rPr>
        <w:t xml:space="preserve"> skund</w:t>
      </w:r>
      <w:r w:rsidR="00FF1C8D" w:rsidRPr="00FA26E3">
        <w:rPr>
          <w:rFonts w:asciiTheme="majorBidi" w:eastAsia="Times New Roman" w:hAnsiTheme="majorBidi" w:cstheme="majorBidi"/>
          <w:sz w:val="24"/>
          <w:szCs w:val="24"/>
          <w:lang w:val="lt-LT" w:bidi="lt-LT"/>
        </w:rPr>
        <w:t>us</w:t>
      </w:r>
      <w:r w:rsidRPr="00FA26E3">
        <w:rPr>
          <w:rFonts w:asciiTheme="majorBidi" w:eastAsia="Times New Roman" w:hAnsiTheme="majorBidi" w:cstheme="majorBidi"/>
          <w:sz w:val="24"/>
          <w:szCs w:val="24"/>
          <w:lang w:val="lt-LT" w:bidi="lt-LT"/>
        </w:rPr>
        <w:t xml:space="preserve"> prašo </w:t>
      </w:r>
      <w:r w:rsidRPr="00FA26E3">
        <w:rPr>
          <w:rFonts w:asciiTheme="majorBidi" w:eastAsia="Times New Roman" w:hAnsiTheme="majorBidi" w:cstheme="majorBidi"/>
          <w:sz w:val="24"/>
          <w:szCs w:val="24"/>
          <w:lang w:bidi="lt-LT"/>
        </w:rPr>
        <w:t xml:space="preserve">Regionų administracinio teismo </w:t>
      </w:r>
      <w:r w:rsidR="000F5778" w:rsidRPr="00FA26E3">
        <w:rPr>
          <w:rFonts w:asciiTheme="majorBidi" w:eastAsia="Times New Roman" w:hAnsiTheme="majorBidi" w:cstheme="majorBidi"/>
          <w:sz w:val="24"/>
          <w:szCs w:val="24"/>
          <w:lang w:bidi="lt-LT"/>
        </w:rPr>
        <w:t>20</w:t>
      </w:r>
      <w:r w:rsidR="006A141E">
        <w:rPr>
          <w:rFonts w:asciiTheme="majorBidi" w:eastAsia="Times New Roman" w:hAnsiTheme="majorBidi" w:cstheme="majorBidi"/>
          <w:sz w:val="24"/>
          <w:szCs w:val="24"/>
          <w:lang w:bidi="lt-LT"/>
        </w:rPr>
        <w:t>25</w:t>
      </w:r>
      <w:r w:rsidR="000F5778" w:rsidRPr="00FA26E3">
        <w:rPr>
          <w:rFonts w:asciiTheme="majorBidi" w:eastAsia="Times New Roman" w:hAnsiTheme="majorBidi" w:cstheme="majorBidi"/>
          <w:sz w:val="24"/>
          <w:szCs w:val="24"/>
          <w:lang w:bidi="lt-LT"/>
        </w:rPr>
        <w:t xml:space="preserve"> m. </w:t>
      </w:r>
      <w:r w:rsidR="006A141E">
        <w:rPr>
          <w:rFonts w:asciiTheme="majorBidi" w:eastAsia="Times New Roman" w:hAnsiTheme="majorBidi" w:cstheme="majorBidi"/>
          <w:sz w:val="24"/>
          <w:szCs w:val="24"/>
          <w:lang w:bidi="lt-LT"/>
        </w:rPr>
        <w:t>vasario 10</w:t>
      </w:r>
      <w:r w:rsidR="000F5778" w:rsidRPr="00FA26E3">
        <w:rPr>
          <w:rFonts w:asciiTheme="majorBidi" w:eastAsia="Times New Roman" w:hAnsiTheme="majorBidi" w:cstheme="majorBidi"/>
          <w:sz w:val="24"/>
          <w:szCs w:val="24"/>
          <w:lang w:bidi="lt-LT"/>
        </w:rPr>
        <w:t xml:space="preserve"> d. </w:t>
      </w:r>
      <w:r w:rsidRPr="00FA26E3">
        <w:rPr>
          <w:rFonts w:asciiTheme="majorBidi" w:eastAsia="Times New Roman" w:hAnsiTheme="majorBidi" w:cstheme="majorBidi"/>
          <w:sz w:val="24"/>
          <w:szCs w:val="24"/>
          <w:lang w:bidi="lt-LT"/>
        </w:rPr>
        <w:t xml:space="preserve">sprendimą palikti nepakeistą, o </w:t>
      </w:r>
      <w:r w:rsidR="00FF1C8D" w:rsidRPr="00FA26E3">
        <w:rPr>
          <w:rFonts w:asciiTheme="majorBidi" w:eastAsia="Times New Roman" w:hAnsiTheme="majorBidi" w:cstheme="majorBidi"/>
          <w:sz w:val="24"/>
          <w:szCs w:val="24"/>
          <w:lang w:bidi="lt-LT"/>
        </w:rPr>
        <w:t>apeliacinis skundus atmesti</w:t>
      </w:r>
      <w:r w:rsidRPr="00FA26E3">
        <w:rPr>
          <w:rFonts w:asciiTheme="majorBidi" w:eastAsia="Times New Roman" w:hAnsiTheme="majorBidi" w:cstheme="majorBidi"/>
          <w:sz w:val="24"/>
          <w:szCs w:val="24"/>
          <w:lang w:bidi="lt-LT"/>
        </w:rPr>
        <w:t>.</w:t>
      </w:r>
      <w:r w:rsidR="00454542" w:rsidRPr="00FA26E3">
        <w:rPr>
          <w:rFonts w:asciiTheme="majorBidi" w:eastAsia="Times New Roman" w:hAnsiTheme="majorBidi" w:cstheme="majorBidi"/>
          <w:sz w:val="24"/>
          <w:szCs w:val="24"/>
          <w:lang w:bidi="lt-LT"/>
        </w:rPr>
        <w:t xml:space="preserve"> </w:t>
      </w:r>
      <w:r w:rsidR="00026E00" w:rsidRPr="00FA26E3">
        <w:rPr>
          <w:rFonts w:asciiTheme="majorBidi" w:eastAsia="Times New Roman" w:hAnsiTheme="majorBidi" w:cstheme="majorBidi"/>
          <w:sz w:val="24"/>
          <w:szCs w:val="24"/>
          <w:lang w:bidi="lt-LT"/>
        </w:rPr>
        <w:t xml:space="preserve">CPVA atsiliepimas į </w:t>
      </w:r>
      <w:r w:rsidR="00191763" w:rsidRPr="00FA26E3">
        <w:rPr>
          <w:rFonts w:asciiTheme="majorBidi" w:eastAsia="Times New Roman" w:hAnsiTheme="majorBidi" w:cstheme="majorBidi"/>
          <w:sz w:val="24"/>
          <w:szCs w:val="24"/>
          <w:lang w:bidi="lt-LT"/>
        </w:rPr>
        <w:t xml:space="preserve">pareiškėjo </w:t>
      </w:r>
      <w:r w:rsidR="00026E00" w:rsidRPr="00FA26E3">
        <w:rPr>
          <w:rFonts w:asciiTheme="majorBidi" w:eastAsia="Times New Roman" w:hAnsiTheme="majorBidi" w:cstheme="majorBidi"/>
          <w:sz w:val="24"/>
          <w:szCs w:val="24"/>
          <w:lang w:bidi="lt-LT"/>
        </w:rPr>
        <w:t xml:space="preserve">Administracijos apeliacinį skundą grindžiamas šiais </w:t>
      </w:r>
      <w:r w:rsidR="0074279F" w:rsidRPr="00FA26E3">
        <w:rPr>
          <w:rFonts w:asciiTheme="majorBidi" w:eastAsia="Times New Roman" w:hAnsiTheme="majorBidi" w:cstheme="majorBidi"/>
          <w:sz w:val="24"/>
          <w:szCs w:val="24"/>
          <w:lang w:bidi="lt-LT"/>
        </w:rPr>
        <w:t>argument</w:t>
      </w:r>
      <w:r w:rsidR="00B762E0" w:rsidRPr="00FA26E3">
        <w:rPr>
          <w:rFonts w:asciiTheme="majorBidi" w:eastAsia="Times New Roman" w:hAnsiTheme="majorBidi" w:cstheme="majorBidi"/>
          <w:sz w:val="24"/>
          <w:szCs w:val="24"/>
          <w:lang w:bidi="lt-LT"/>
        </w:rPr>
        <w:t>ais</w:t>
      </w:r>
      <w:r w:rsidR="0074279F" w:rsidRPr="00FA26E3">
        <w:rPr>
          <w:rFonts w:asciiTheme="majorBidi" w:eastAsia="Times New Roman" w:hAnsiTheme="majorBidi" w:cstheme="majorBidi"/>
          <w:sz w:val="24"/>
          <w:szCs w:val="24"/>
          <w:lang w:bidi="lt-LT"/>
        </w:rPr>
        <w:t>:</w:t>
      </w:r>
    </w:p>
    <w:p w14:paraId="7ECA2A44" w14:textId="77777777" w:rsidR="00746B67" w:rsidRDefault="006A141E" w:rsidP="00746B67">
      <w:pPr>
        <w:pStyle w:val="Sraopastraipa"/>
        <w:numPr>
          <w:ilvl w:val="1"/>
          <w:numId w:val="1"/>
        </w:numPr>
        <w:shd w:val="clear" w:color="auto" w:fill="FFFFFF"/>
        <w:tabs>
          <w:tab w:val="left" w:pos="1418"/>
        </w:tabs>
        <w:spacing w:line="240" w:lineRule="auto"/>
        <w:ind w:left="0" w:firstLine="709"/>
        <w:jc w:val="both"/>
        <w:rPr>
          <w:rFonts w:ascii="Times New Roman" w:eastAsia="Times New Roman" w:hAnsi="Times New Roman" w:cs="Times New Roman"/>
          <w:bCs/>
          <w:sz w:val="24"/>
          <w:szCs w:val="24"/>
        </w:rPr>
      </w:pPr>
      <w:r w:rsidRPr="006A141E">
        <w:rPr>
          <w:rFonts w:ascii="Times New Roman" w:eastAsia="Times New Roman" w:hAnsi="Times New Roman" w:cs="Times New Roman"/>
          <w:bCs/>
          <w:sz w:val="24"/>
          <w:szCs w:val="24"/>
        </w:rPr>
        <w:t>Apeliaciniame skunde nėra nurodyta jokių papildomų naujų argumentų, kurių pareiškėjas nenurodė skunde pirmosios instancijos teismui. Nėra aišku, kuo remiantis pareiškėjas daro išvadas, kurios neatitinka Pirkimo faktinių aplinkybių, CPVA Sprendime nustatytų aplinkybių ir jų vertinimo. Kyla abejonių dėl to, ar apeliacinis skundas atitinka šiam procesiniam dokumentui nustatytus reikalavimus.</w:t>
      </w:r>
    </w:p>
    <w:p w14:paraId="228A85BA" w14:textId="77777777" w:rsidR="0003545F" w:rsidRDefault="006A141E" w:rsidP="0003545F">
      <w:pPr>
        <w:pStyle w:val="Sraopastraipa"/>
        <w:numPr>
          <w:ilvl w:val="1"/>
          <w:numId w:val="1"/>
        </w:numPr>
        <w:shd w:val="clear" w:color="auto" w:fill="FFFFFF"/>
        <w:tabs>
          <w:tab w:val="left" w:pos="1418"/>
        </w:tabs>
        <w:spacing w:line="240" w:lineRule="auto"/>
        <w:ind w:left="0" w:firstLine="709"/>
        <w:jc w:val="both"/>
        <w:rPr>
          <w:rFonts w:ascii="Times New Roman" w:eastAsia="Times New Roman" w:hAnsi="Times New Roman" w:cs="Times New Roman"/>
          <w:bCs/>
          <w:sz w:val="24"/>
          <w:szCs w:val="24"/>
        </w:rPr>
      </w:pPr>
      <w:r w:rsidRPr="00746B67">
        <w:rPr>
          <w:rFonts w:ascii="Times New Roman" w:eastAsia="Times New Roman" w:hAnsi="Times New Roman" w:cs="Times New Roman"/>
          <w:bCs/>
          <w:sz w:val="24"/>
          <w:szCs w:val="24"/>
        </w:rPr>
        <w:t xml:space="preserve">Pirmosios instancijos teismo sprendimas yra pagrįstas, motyvuotas ir teisingas. Jame aptartos faktinės Pirkimo aplinkybės, teismų praktika bei kitos ginčui reikšmingos aplinkybės. Pažymėtina, kad ir atsakovas, ir teismas konstatavo, kad nustatytas pažeidimas dėl nupirkto buto ploto neatitikimo negali būti vertinamas kaip mažareikšmis pažeidimas. </w:t>
      </w:r>
    </w:p>
    <w:p w14:paraId="380D8CCF" w14:textId="77777777" w:rsidR="0003545F" w:rsidRDefault="006A141E" w:rsidP="0003545F">
      <w:pPr>
        <w:pStyle w:val="Sraopastraipa"/>
        <w:numPr>
          <w:ilvl w:val="1"/>
          <w:numId w:val="1"/>
        </w:numPr>
        <w:shd w:val="clear" w:color="auto" w:fill="FFFFFF"/>
        <w:tabs>
          <w:tab w:val="left" w:pos="1418"/>
        </w:tabs>
        <w:spacing w:line="240" w:lineRule="auto"/>
        <w:ind w:left="0" w:firstLine="709"/>
        <w:jc w:val="both"/>
        <w:rPr>
          <w:rFonts w:ascii="Times New Roman" w:eastAsia="Times New Roman" w:hAnsi="Times New Roman" w:cs="Times New Roman"/>
          <w:bCs/>
          <w:sz w:val="24"/>
          <w:szCs w:val="24"/>
        </w:rPr>
      </w:pPr>
      <w:r w:rsidRPr="0003545F">
        <w:rPr>
          <w:rFonts w:ascii="Times New Roman" w:eastAsia="Times New Roman" w:hAnsi="Times New Roman" w:cs="Times New Roman"/>
          <w:bCs/>
          <w:sz w:val="24"/>
          <w:szCs w:val="24"/>
        </w:rPr>
        <w:t>Dėl pritaikytos finansinės korekcijos pažymėtina, kad atsakovas, kaip įgyvendinančioji institucija, nustatęs, kad Admini</w:t>
      </w:r>
      <w:r w:rsidR="0003545F">
        <w:rPr>
          <w:rFonts w:ascii="Times New Roman" w:eastAsia="Times New Roman" w:hAnsi="Times New Roman" w:cs="Times New Roman"/>
          <w:bCs/>
          <w:sz w:val="24"/>
          <w:szCs w:val="24"/>
        </w:rPr>
        <w:t>s</w:t>
      </w:r>
      <w:r w:rsidRPr="0003545F">
        <w:rPr>
          <w:rFonts w:ascii="Times New Roman" w:eastAsia="Times New Roman" w:hAnsi="Times New Roman" w:cs="Times New Roman"/>
          <w:bCs/>
          <w:sz w:val="24"/>
          <w:szCs w:val="24"/>
        </w:rPr>
        <w:t>tracijos veiksmai ir</w:t>
      </w:r>
      <w:r w:rsidR="0003545F">
        <w:rPr>
          <w:rFonts w:ascii="Times New Roman" w:eastAsia="Times New Roman" w:hAnsi="Times New Roman" w:cs="Times New Roman"/>
          <w:bCs/>
          <w:sz w:val="24"/>
          <w:szCs w:val="24"/>
        </w:rPr>
        <w:t xml:space="preserve"> </w:t>
      </w:r>
      <w:r w:rsidRPr="0003545F">
        <w:rPr>
          <w:rFonts w:ascii="Times New Roman" w:eastAsia="Times New Roman" w:hAnsi="Times New Roman" w:cs="Times New Roman"/>
          <w:bCs/>
          <w:sz w:val="24"/>
          <w:szCs w:val="24"/>
        </w:rPr>
        <w:t>/</w:t>
      </w:r>
      <w:r w:rsidR="0003545F">
        <w:rPr>
          <w:rFonts w:ascii="Times New Roman" w:eastAsia="Times New Roman" w:hAnsi="Times New Roman" w:cs="Times New Roman"/>
          <w:bCs/>
          <w:sz w:val="24"/>
          <w:szCs w:val="24"/>
        </w:rPr>
        <w:t xml:space="preserve"> </w:t>
      </w:r>
      <w:r w:rsidRPr="0003545F">
        <w:rPr>
          <w:rFonts w:ascii="Times New Roman" w:eastAsia="Times New Roman" w:hAnsi="Times New Roman" w:cs="Times New Roman"/>
          <w:bCs/>
          <w:sz w:val="24"/>
          <w:szCs w:val="24"/>
        </w:rPr>
        <w:t xml:space="preserve">ar neveikimas laikytini pažeidimu, kaip jis suprantamas pagal Reglamento nuostatas, ir spręsdamas dėl padarinių – finansinės korekcijos – taikymo, privalo vadovautis PAFT ir Gairių nuostatomis. </w:t>
      </w:r>
    </w:p>
    <w:p w14:paraId="1079383C" w14:textId="77777777" w:rsidR="0003545F" w:rsidRDefault="006A141E" w:rsidP="0003545F">
      <w:pPr>
        <w:pStyle w:val="Sraopastraipa"/>
        <w:numPr>
          <w:ilvl w:val="1"/>
          <w:numId w:val="1"/>
        </w:numPr>
        <w:shd w:val="clear" w:color="auto" w:fill="FFFFFF"/>
        <w:tabs>
          <w:tab w:val="left" w:pos="1418"/>
        </w:tabs>
        <w:spacing w:line="240" w:lineRule="auto"/>
        <w:ind w:left="0" w:firstLine="709"/>
        <w:jc w:val="both"/>
        <w:rPr>
          <w:rFonts w:ascii="Times New Roman" w:eastAsia="Times New Roman" w:hAnsi="Times New Roman" w:cs="Times New Roman"/>
          <w:bCs/>
          <w:sz w:val="24"/>
          <w:szCs w:val="24"/>
        </w:rPr>
      </w:pPr>
      <w:r w:rsidRPr="0003545F">
        <w:rPr>
          <w:rFonts w:ascii="Times New Roman" w:eastAsia="Times New Roman" w:hAnsi="Times New Roman" w:cs="Times New Roman"/>
          <w:bCs/>
          <w:sz w:val="24"/>
          <w:szCs w:val="24"/>
        </w:rPr>
        <w:t xml:space="preserve">Atsakovo pozicija grindžiama ne tik teisiniu reguliavimu, bet ir gausia ESTT </w:t>
      </w:r>
      <w:r w:rsidR="0003545F">
        <w:rPr>
          <w:rFonts w:ascii="Times New Roman" w:eastAsia="Times New Roman" w:hAnsi="Times New Roman" w:cs="Times New Roman"/>
          <w:bCs/>
          <w:sz w:val="24"/>
          <w:szCs w:val="24"/>
        </w:rPr>
        <w:t>i</w:t>
      </w:r>
      <w:r w:rsidRPr="0003545F">
        <w:rPr>
          <w:rFonts w:ascii="Times New Roman" w:eastAsia="Times New Roman" w:hAnsi="Times New Roman" w:cs="Times New Roman"/>
          <w:bCs/>
          <w:sz w:val="24"/>
          <w:szCs w:val="24"/>
        </w:rPr>
        <w:t xml:space="preserve">r Lietuvos vyriausiojo administracinio teismo jurisprudencija, kur yra nuolat pabrėžiama, kad įgyvendinančioji institucija ne tik turi teisę, bet ir privalo, nustačius pažeidimus, spręsti dėl finansinės korekcijos taikymo. </w:t>
      </w:r>
    </w:p>
    <w:p w14:paraId="27DF7C4A" w14:textId="77777777" w:rsidR="0003545F" w:rsidRDefault="006A141E" w:rsidP="0003545F">
      <w:pPr>
        <w:pStyle w:val="Sraopastraipa"/>
        <w:numPr>
          <w:ilvl w:val="1"/>
          <w:numId w:val="1"/>
        </w:numPr>
        <w:shd w:val="clear" w:color="auto" w:fill="FFFFFF"/>
        <w:tabs>
          <w:tab w:val="left" w:pos="1418"/>
        </w:tabs>
        <w:spacing w:line="240" w:lineRule="auto"/>
        <w:ind w:left="0" w:firstLine="709"/>
        <w:jc w:val="both"/>
        <w:rPr>
          <w:rFonts w:ascii="Times New Roman" w:eastAsia="Times New Roman" w:hAnsi="Times New Roman" w:cs="Times New Roman"/>
          <w:bCs/>
          <w:sz w:val="24"/>
          <w:szCs w:val="24"/>
        </w:rPr>
      </w:pPr>
      <w:r w:rsidRPr="0003545F">
        <w:rPr>
          <w:rFonts w:ascii="Times New Roman" w:eastAsia="Times New Roman" w:hAnsi="Times New Roman" w:cs="Times New Roman"/>
          <w:bCs/>
          <w:sz w:val="24"/>
          <w:szCs w:val="24"/>
        </w:rPr>
        <w:t>Sprendimas patvirtina, jog taikant finansinę korekciją buvo atliktas išsamus nagrinėjimas, kurio metu buvo atsižvelgta į visus konstatuotą pažeidimą apibūdinančius ypatumus. Pirmosios instancijos teismas išsamiai pasisakė dėl padaryto pažeidimo, dėl ko buvo padaryta žala ES biudžetui. Apeliantas, vykdydamas Pirkimą pažeidžiant Aprašą ir Pirkimo sąlygas, nepagrįstai gavo ES biudžeto lėšas. Manytina ir atsakovas Sprendime, ir pirmosios instancijos teismas labai aiškiai įvardijo, kaip ir koks poveikis buvo padarytas ES biudžetui.</w:t>
      </w:r>
    </w:p>
    <w:p w14:paraId="77536657" w14:textId="77777777" w:rsidR="0003545F" w:rsidRDefault="006A141E" w:rsidP="0003545F">
      <w:pPr>
        <w:pStyle w:val="Sraopastraipa"/>
        <w:numPr>
          <w:ilvl w:val="1"/>
          <w:numId w:val="1"/>
        </w:numPr>
        <w:shd w:val="clear" w:color="auto" w:fill="FFFFFF"/>
        <w:tabs>
          <w:tab w:val="left" w:pos="1418"/>
        </w:tabs>
        <w:spacing w:line="240" w:lineRule="auto"/>
        <w:ind w:left="0" w:firstLine="709"/>
        <w:jc w:val="both"/>
        <w:rPr>
          <w:rFonts w:ascii="Times New Roman" w:eastAsia="Times New Roman" w:hAnsi="Times New Roman" w:cs="Times New Roman"/>
          <w:bCs/>
          <w:sz w:val="24"/>
          <w:szCs w:val="24"/>
        </w:rPr>
      </w:pPr>
      <w:r w:rsidRPr="0003545F">
        <w:rPr>
          <w:rFonts w:ascii="Times New Roman" w:eastAsia="Times New Roman" w:hAnsi="Times New Roman" w:cs="Times New Roman"/>
          <w:bCs/>
          <w:sz w:val="24"/>
          <w:szCs w:val="24"/>
        </w:rPr>
        <w:t>Apeliaciniame skunde nurodoma Lietuvos vyriausiojo administracinio praktika (</w:t>
      </w:r>
      <w:r w:rsidR="0003545F">
        <w:rPr>
          <w:rFonts w:ascii="Times New Roman" w:eastAsia="Times New Roman" w:hAnsi="Times New Roman" w:cs="Times New Roman"/>
          <w:bCs/>
          <w:sz w:val="24"/>
          <w:szCs w:val="24"/>
        </w:rPr>
        <w:t xml:space="preserve">žr. </w:t>
      </w:r>
      <w:r w:rsidRPr="0003545F">
        <w:rPr>
          <w:rFonts w:ascii="Times New Roman" w:eastAsia="Times New Roman" w:hAnsi="Times New Roman" w:cs="Times New Roman"/>
          <w:bCs/>
          <w:sz w:val="24"/>
          <w:szCs w:val="24"/>
        </w:rPr>
        <w:t>2025 m. vasario 5 d. nutart</w:t>
      </w:r>
      <w:r w:rsidR="0003545F">
        <w:rPr>
          <w:rFonts w:ascii="Times New Roman" w:eastAsia="Times New Roman" w:hAnsi="Times New Roman" w:cs="Times New Roman"/>
          <w:bCs/>
          <w:sz w:val="24"/>
          <w:szCs w:val="24"/>
        </w:rPr>
        <w:t>į</w:t>
      </w:r>
      <w:r w:rsidRPr="0003545F">
        <w:rPr>
          <w:rFonts w:ascii="Times New Roman" w:eastAsia="Times New Roman" w:hAnsi="Times New Roman" w:cs="Times New Roman"/>
          <w:bCs/>
          <w:sz w:val="24"/>
          <w:szCs w:val="24"/>
        </w:rPr>
        <w:t xml:space="preserve"> admini</w:t>
      </w:r>
      <w:r w:rsidR="0003545F">
        <w:rPr>
          <w:rFonts w:ascii="Times New Roman" w:eastAsia="Times New Roman" w:hAnsi="Times New Roman" w:cs="Times New Roman"/>
          <w:bCs/>
          <w:sz w:val="24"/>
          <w:szCs w:val="24"/>
        </w:rPr>
        <w:t>s</w:t>
      </w:r>
      <w:r w:rsidRPr="0003545F">
        <w:rPr>
          <w:rFonts w:ascii="Times New Roman" w:eastAsia="Times New Roman" w:hAnsi="Times New Roman" w:cs="Times New Roman"/>
          <w:bCs/>
          <w:sz w:val="24"/>
          <w:szCs w:val="24"/>
        </w:rPr>
        <w:t xml:space="preserve">tracinėje byloje Nr. eA-227-415/2025) cituojama ir vertinama selektyviai. Naujausioje ESTT praktikoje (žr. 2024 m. spalio 4 d. sprendimą Nr. C-175/23) išaiškinta, jog nedraudžiama finansinių korekcijų taikyti vadovaujantis Gairėmis, visgi taikant galutinę finansinę korekciją reikalingas išsamus ir individualus pažeidimo tyrimas, kurį atliekant turi būti atsižvelgta į </w:t>
      </w:r>
      <w:r w:rsidRPr="0003545F">
        <w:rPr>
          <w:rFonts w:ascii="Times New Roman" w:eastAsia="Times New Roman" w:hAnsi="Times New Roman" w:cs="Times New Roman"/>
          <w:bCs/>
          <w:sz w:val="24"/>
          <w:szCs w:val="24"/>
        </w:rPr>
        <w:lastRenderedPageBreak/>
        <w:t>visus konstatuotą pažeidimą apibūdinančius ypatumus, palyginti su elementais, į kuriuos buvo atsižvelgta nustatant šią skalę, ir kurie gali pateisinti didesnės arba, priešingai, sumažintos pataisos taikymą. Atsakovas dar kartą akcentuoja, jog išsamus ir individualus pažeidimo tyrimas priimant Sprendimą ir buvo atliktas. Apeliantas nepagrįstai remiasi Lietuvos vyriausiojo administracinio teismo 2024 m. gruodžio 18 sprendimu adminis</w:t>
      </w:r>
      <w:r w:rsidR="0003545F" w:rsidRPr="0003545F">
        <w:rPr>
          <w:rFonts w:ascii="Times New Roman" w:eastAsia="Times New Roman" w:hAnsi="Times New Roman" w:cs="Times New Roman"/>
          <w:bCs/>
          <w:sz w:val="24"/>
          <w:szCs w:val="24"/>
        </w:rPr>
        <w:t>t</w:t>
      </w:r>
      <w:r w:rsidRPr="0003545F">
        <w:rPr>
          <w:rFonts w:ascii="Times New Roman" w:eastAsia="Times New Roman" w:hAnsi="Times New Roman" w:cs="Times New Roman"/>
          <w:bCs/>
          <w:sz w:val="24"/>
          <w:szCs w:val="24"/>
        </w:rPr>
        <w:t>racinėje byloje Nr. eA-1538-624/2024, kadangi ši byla skiriasi faktinėmis aplinkybėmis.</w:t>
      </w:r>
    </w:p>
    <w:p w14:paraId="32F6F365" w14:textId="77777777" w:rsidR="0003545F" w:rsidRDefault="006A141E" w:rsidP="0003545F">
      <w:pPr>
        <w:pStyle w:val="Sraopastraipa"/>
        <w:numPr>
          <w:ilvl w:val="1"/>
          <w:numId w:val="1"/>
        </w:numPr>
        <w:shd w:val="clear" w:color="auto" w:fill="FFFFFF"/>
        <w:tabs>
          <w:tab w:val="left" w:pos="1418"/>
        </w:tabs>
        <w:spacing w:line="240" w:lineRule="auto"/>
        <w:ind w:left="0" w:firstLine="709"/>
        <w:jc w:val="both"/>
        <w:rPr>
          <w:rFonts w:ascii="Times New Roman" w:eastAsia="Times New Roman" w:hAnsi="Times New Roman" w:cs="Times New Roman"/>
          <w:bCs/>
          <w:sz w:val="24"/>
          <w:szCs w:val="24"/>
        </w:rPr>
      </w:pPr>
      <w:r w:rsidRPr="0003545F">
        <w:rPr>
          <w:rFonts w:ascii="Times New Roman" w:eastAsia="Times New Roman" w:hAnsi="Times New Roman" w:cs="Times New Roman"/>
          <w:bCs/>
          <w:sz w:val="24"/>
          <w:szCs w:val="24"/>
        </w:rPr>
        <w:t>Gairės, kurių privalo laikytis atsakovas, yra įgyvendinančiųjų institucijų įrankis, skirtas finansinio koregavimo proporcingumui užtikrinti. Galutinės, proporcingos finansinės korekcijos taikymas (didesnės arba mažesnės) dažnu atveju priklauso tik nuo tam tikrų konkretaus Gairėse nurodyto pobūdžio pažeidimo aprašyme įvirtintų aplinkybių nustatymo</w:t>
      </w:r>
      <w:r w:rsidR="0003545F">
        <w:rPr>
          <w:rFonts w:ascii="Times New Roman" w:eastAsia="Times New Roman" w:hAnsi="Times New Roman" w:cs="Times New Roman"/>
          <w:bCs/>
          <w:sz w:val="24"/>
          <w:szCs w:val="24"/>
        </w:rPr>
        <w:t xml:space="preserve">. </w:t>
      </w:r>
      <w:r w:rsidRPr="0003545F">
        <w:rPr>
          <w:rFonts w:ascii="Times New Roman" w:eastAsia="Times New Roman" w:hAnsi="Times New Roman" w:cs="Times New Roman"/>
          <w:bCs/>
          <w:sz w:val="24"/>
          <w:szCs w:val="24"/>
        </w:rPr>
        <w:t xml:space="preserve">Taigi, pažeidimo pobūdis ir jo sunkumas nustatomas Gairių nuostatų pagalba, o Gairių pagalba nustatyta galutinė finansinė korekcija kartu reiškia, kad ji atitinka proporcingumo principą. </w:t>
      </w:r>
    </w:p>
    <w:p w14:paraId="003EC572" w14:textId="77777777" w:rsidR="0003545F" w:rsidRDefault="006A141E" w:rsidP="0003545F">
      <w:pPr>
        <w:pStyle w:val="Sraopastraipa"/>
        <w:numPr>
          <w:ilvl w:val="1"/>
          <w:numId w:val="1"/>
        </w:numPr>
        <w:shd w:val="clear" w:color="auto" w:fill="FFFFFF"/>
        <w:tabs>
          <w:tab w:val="left" w:pos="1418"/>
        </w:tabs>
        <w:spacing w:line="240" w:lineRule="auto"/>
        <w:ind w:left="0" w:firstLine="709"/>
        <w:jc w:val="both"/>
        <w:rPr>
          <w:rFonts w:ascii="Times New Roman" w:eastAsia="Times New Roman" w:hAnsi="Times New Roman" w:cs="Times New Roman"/>
          <w:bCs/>
          <w:sz w:val="24"/>
          <w:szCs w:val="24"/>
        </w:rPr>
      </w:pPr>
      <w:r w:rsidRPr="0003545F">
        <w:rPr>
          <w:rFonts w:ascii="Times New Roman" w:eastAsia="Times New Roman" w:hAnsi="Times New Roman" w:cs="Times New Roman"/>
          <w:bCs/>
          <w:sz w:val="24"/>
          <w:szCs w:val="24"/>
        </w:rPr>
        <w:t>Nagrinėjamu atveju CPVA, nustatydama taikytiną finansinės korekcijos dydį, iš esmės įvertino pažeidimo pobūdį bei visas reikšmingas aplinkybes. Kaip nurodyta Sprendime, pareiškėjas Pirkimo laimėtojo paraišką turėjo atmesti, kaip neatitinkančią Pirkimo sąlygų 7.1.3.3 p</w:t>
      </w:r>
      <w:r w:rsidR="0003545F">
        <w:rPr>
          <w:rFonts w:ascii="Times New Roman" w:eastAsia="Times New Roman" w:hAnsi="Times New Roman" w:cs="Times New Roman"/>
          <w:bCs/>
          <w:sz w:val="24"/>
          <w:szCs w:val="24"/>
        </w:rPr>
        <w:t>unkto</w:t>
      </w:r>
      <w:r w:rsidRPr="0003545F">
        <w:rPr>
          <w:rFonts w:ascii="Times New Roman" w:eastAsia="Times New Roman" w:hAnsi="Times New Roman" w:cs="Times New Roman"/>
          <w:bCs/>
          <w:sz w:val="24"/>
          <w:szCs w:val="24"/>
        </w:rPr>
        <w:t xml:space="preserve"> reikalavimų, tačiau pareiškėjas neįvykdė šios prievolės. Šio pažeidimo atveju yra tenkinami visi trys pažeidimą kvalifikuojantys požymiai (Reglamento 2 str. 36 d.). Pareiškėjo padarytas pažeidimas sukėlė neigiamas pasekmes ES lėšų panaudojimui, t. y. esant aptartam pareiškėjo pažeidimui ir pareiškėjui išmokėjus netinkamas finansuoti išlaidas, susijusias su šiuo pažeidimu, yra padaroma žala </w:t>
      </w:r>
      <w:r w:rsidR="0003545F">
        <w:rPr>
          <w:rFonts w:ascii="Times New Roman" w:eastAsia="Times New Roman" w:hAnsi="Times New Roman" w:cs="Times New Roman"/>
          <w:bCs/>
          <w:sz w:val="24"/>
          <w:szCs w:val="24"/>
        </w:rPr>
        <w:t>ES</w:t>
      </w:r>
      <w:r w:rsidRPr="0003545F">
        <w:rPr>
          <w:rFonts w:ascii="Times New Roman" w:eastAsia="Times New Roman" w:hAnsi="Times New Roman" w:cs="Times New Roman"/>
          <w:bCs/>
          <w:sz w:val="24"/>
          <w:szCs w:val="24"/>
        </w:rPr>
        <w:t xml:space="preserve"> bendrajam biudžetui. Pareiškėjo nuomonė, kad neva Sprendimas neatitiko teismų praktikoje išskiriamų kriterijų (pažeidimų pobūdis, svarba, fondų finansiniai nuostoliai ), laikytina nepagrįsta.</w:t>
      </w:r>
    </w:p>
    <w:p w14:paraId="5E36777F" w14:textId="77777777" w:rsidR="0003545F" w:rsidRDefault="006A141E" w:rsidP="0003545F">
      <w:pPr>
        <w:pStyle w:val="Sraopastraipa"/>
        <w:numPr>
          <w:ilvl w:val="1"/>
          <w:numId w:val="1"/>
        </w:numPr>
        <w:shd w:val="clear" w:color="auto" w:fill="FFFFFF"/>
        <w:tabs>
          <w:tab w:val="left" w:pos="1418"/>
        </w:tabs>
        <w:spacing w:line="240" w:lineRule="auto"/>
        <w:ind w:left="0" w:firstLine="709"/>
        <w:jc w:val="both"/>
        <w:rPr>
          <w:rFonts w:ascii="Times New Roman" w:eastAsia="Times New Roman" w:hAnsi="Times New Roman" w:cs="Times New Roman"/>
          <w:bCs/>
          <w:sz w:val="24"/>
          <w:szCs w:val="24"/>
        </w:rPr>
      </w:pPr>
      <w:r w:rsidRPr="0003545F">
        <w:rPr>
          <w:rFonts w:ascii="Times New Roman" w:eastAsia="Times New Roman" w:hAnsi="Times New Roman" w:cs="Times New Roman"/>
          <w:bCs/>
          <w:sz w:val="24"/>
          <w:szCs w:val="24"/>
        </w:rPr>
        <w:t xml:space="preserve">Atsakovas, vadovaudamasis jam privalomomis Gairių nuostatomis, nustatė, kad </w:t>
      </w:r>
      <w:r w:rsidR="0003545F">
        <w:rPr>
          <w:rFonts w:ascii="Times New Roman" w:eastAsia="Times New Roman" w:hAnsi="Times New Roman" w:cs="Times New Roman"/>
          <w:bCs/>
          <w:sz w:val="24"/>
          <w:szCs w:val="24"/>
        </w:rPr>
        <w:t>a</w:t>
      </w:r>
      <w:r w:rsidRPr="0003545F">
        <w:rPr>
          <w:rFonts w:ascii="Times New Roman" w:eastAsia="Times New Roman" w:hAnsi="Times New Roman" w:cs="Times New Roman"/>
          <w:bCs/>
          <w:sz w:val="24"/>
          <w:szCs w:val="24"/>
        </w:rPr>
        <w:t xml:space="preserve">pelianto padarytas pažeidimas pagal analogiją atitiko Gairių 2.2 lentelės 14 punkte nurodyto pažeidimo pobūdį. Nustatyto pažeidimo sudėties sunkumą apibrėžė viena vienintelė ir išimtinai už tokį pažeidimą galima 25 proc. pataisos norma, jokių kitų pataisos normų nenumatant, todėl </w:t>
      </w:r>
      <w:r w:rsidR="0003545F">
        <w:rPr>
          <w:rFonts w:ascii="Times New Roman" w:eastAsia="Times New Roman" w:hAnsi="Times New Roman" w:cs="Times New Roman"/>
          <w:bCs/>
          <w:sz w:val="24"/>
          <w:szCs w:val="24"/>
        </w:rPr>
        <w:t>a</w:t>
      </w:r>
      <w:r w:rsidRPr="0003545F">
        <w:rPr>
          <w:rFonts w:ascii="Times New Roman" w:eastAsia="Times New Roman" w:hAnsi="Times New Roman" w:cs="Times New Roman"/>
          <w:bCs/>
          <w:sz w:val="24"/>
          <w:szCs w:val="24"/>
        </w:rPr>
        <w:t xml:space="preserve">tsakovas pagrįstai už nustatytą pažeidimą skyrė galutinę 25 proc. finansinę korekciją. Finansinių korekcijų tikslas yra atkurti situaciją, kai visos projekto išlaidos yra tinkamos finansuoti. Nepaisant to, ar egzistuoja ir yra nustatomos PAFT 7 priedo 10.1–10.4 </w:t>
      </w:r>
      <w:r w:rsidR="0003545F">
        <w:rPr>
          <w:rFonts w:ascii="Times New Roman" w:eastAsia="Times New Roman" w:hAnsi="Times New Roman" w:cs="Times New Roman"/>
          <w:bCs/>
          <w:sz w:val="24"/>
          <w:szCs w:val="24"/>
        </w:rPr>
        <w:t>p</w:t>
      </w:r>
      <w:r w:rsidRPr="0003545F">
        <w:rPr>
          <w:rFonts w:ascii="Times New Roman" w:eastAsia="Times New Roman" w:hAnsi="Times New Roman" w:cs="Times New Roman"/>
          <w:bCs/>
          <w:sz w:val="24"/>
          <w:szCs w:val="24"/>
        </w:rPr>
        <w:t xml:space="preserve">unktuose nurodytos aplinkybės, įgyvendinančioji institucija tokio pažeidimo atveju Europos Komisijos yra ribojama skirti ne mažesnę ir ne didesnę, o būtent 25 proc. pataisos normą. </w:t>
      </w:r>
      <w:r w:rsidR="0003545F">
        <w:rPr>
          <w:rFonts w:ascii="Times New Roman" w:eastAsia="Times New Roman" w:hAnsi="Times New Roman" w:cs="Times New Roman"/>
          <w:bCs/>
          <w:sz w:val="24"/>
          <w:szCs w:val="24"/>
        </w:rPr>
        <w:t>Lietuvos vyriausiojo administracinio teismo</w:t>
      </w:r>
      <w:r w:rsidRPr="0003545F">
        <w:rPr>
          <w:rFonts w:ascii="Times New Roman" w:eastAsia="Times New Roman" w:hAnsi="Times New Roman" w:cs="Times New Roman"/>
          <w:bCs/>
          <w:sz w:val="24"/>
          <w:szCs w:val="24"/>
        </w:rPr>
        <w:t xml:space="preserve"> praktikoje nuosekliai laikomasi pozicijos, kad už panašaus pobūdžio pažeidimus taikoma 25 proc. finansinė korekcija yra pagrįsta ir proporcinga bei atitinka teisės aktų reikalavimus.</w:t>
      </w:r>
    </w:p>
    <w:p w14:paraId="672FF2DD" w14:textId="77777777" w:rsidR="0003545F" w:rsidRDefault="006A141E" w:rsidP="0003545F">
      <w:pPr>
        <w:pStyle w:val="Sraopastraipa"/>
        <w:numPr>
          <w:ilvl w:val="1"/>
          <w:numId w:val="1"/>
        </w:numPr>
        <w:shd w:val="clear" w:color="auto" w:fill="FFFFFF"/>
        <w:tabs>
          <w:tab w:val="left" w:pos="1418"/>
        </w:tabs>
        <w:spacing w:line="240" w:lineRule="auto"/>
        <w:ind w:left="0" w:firstLine="709"/>
        <w:jc w:val="both"/>
        <w:rPr>
          <w:rFonts w:ascii="Times New Roman" w:eastAsia="Times New Roman" w:hAnsi="Times New Roman" w:cs="Times New Roman"/>
          <w:bCs/>
          <w:sz w:val="24"/>
          <w:szCs w:val="24"/>
        </w:rPr>
      </w:pPr>
      <w:r w:rsidRPr="0003545F">
        <w:rPr>
          <w:rFonts w:ascii="Times New Roman" w:eastAsia="Times New Roman" w:hAnsi="Times New Roman" w:cs="Times New Roman"/>
          <w:bCs/>
          <w:sz w:val="24"/>
          <w:szCs w:val="24"/>
        </w:rPr>
        <w:t>Fiksuota finansinė korekcija (įvertinus visas aplinkybes) buvo taikoma, todėl, kad nebuvo įmanoma tiksliai apskaičiuoti su pažeidimais susijusių netinkamų finansuoti išlaidų dydžio, ką atsakovas teigė viso ginčo metu. Finansinė korekcija pritaikyta pagrįstai, teisingai ir visiškai atitinka pažeidimo pobūdį, kadangi pažeidimai nėra mažareikšmiai.</w:t>
      </w:r>
    </w:p>
    <w:p w14:paraId="34DA26DF" w14:textId="5074DE71" w:rsidR="006A141E" w:rsidRPr="0003545F" w:rsidRDefault="006A141E" w:rsidP="0003545F">
      <w:pPr>
        <w:pStyle w:val="Sraopastraipa"/>
        <w:numPr>
          <w:ilvl w:val="1"/>
          <w:numId w:val="1"/>
        </w:numPr>
        <w:shd w:val="clear" w:color="auto" w:fill="FFFFFF"/>
        <w:tabs>
          <w:tab w:val="left" w:pos="1418"/>
        </w:tabs>
        <w:spacing w:line="240" w:lineRule="auto"/>
        <w:ind w:left="0" w:firstLine="709"/>
        <w:jc w:val="both"/>
        <w:rPr>
          <w:rFonts w:ascii="Times New Roman" w:eastAsia="Times New Roman" w:hAnsi="Times New Roman" w:cs="Times New Roman"/>
          <w:bCs/>
          <w:sz w:val="24"/>
          <w:szCs w:val="24"/>
        </w:rPr>
      </w:pPr>
      <w:r w:rsidRPr="0003545F">
        <w:rPr>
          <w:rFonts w:ascii="Times New Roman" w:eastAsia="Times New Roman" w:hAnsi="Times New Roman" w:cs="Times New Roman"/>
          <w:bCs/>
          <w:sz w:val="24"/>
          <w:szCs w:val="24"/>
        </w:rPr>
        <w:t xml:space="preserve">Atsakovo nustatytas </w:t>
      </w:r>
      <w:r w:rsidR="0003545F">
        <w:rPr>
          <w:rFonts w:ascii="Times New Roman" w:eastAsia="Times New Roman" w:hAnsi="Times New Roman" w:cs="Times New Roman"/>
          <w:bCs/>
          <w:sz w:val="24"/>
          <w:szCs w:val="24"/>
        </w:rPr>
        <w:t>a</w:t>
      </w:r>
      <w:r w:rsidRPr="0003545F">
        <w:rPr>
          <w:rFonts w:ascii="Times New Roman" w:eastAsia="Times New Roman" w:hAnsi="Times New Roman" w:cs="Times New Roman"/>
          <w:bCs/>
          <w:sz w:val="24"/>
          <w:szCs w:val="24"/>
        </w:rPr>
        <w:t xml:space="preserve">pelianto padarytas pažeidimas yra pažeidimas, kaip jis suprantamas pagal Reglamento 2 straipsnio 36 dalį, už kurį taikoma Gairių 2.2 lentelės 14 punkte nurodyta 25 proc. finansinė korekcija, nenumatant galimybės taikyti mažesnę finansinę korekciją, o tai atitinka </w:t>
      </w:r>
      <w:r w:rsidR="0003545F">
        <w:rPr>
          <w:rFonts w:ascii="Times New Roman" w:eastAsia="Times New Roman" w:hAnsi="Times New Roman" w:cs="Times New Roman"/>
          <w:bCs/>
          <w:sz w:val="24"/>
          <w:szCs w:val="24"/>
        </w:rPr>
        <w:t>ESTT ir Lietuvos vyriausiojo administracinio teismo f</w:t>
      </w:r>
      <w:r w:rsidRPr="0003545F">
        <w:rPr>
          <w:rFonts w:ascii="Times New Roman" w:eastAsia="Times New Roman" w:hAnsi="Times New Roman" w:cs="Times New Roman"/>
          <w:bCs/>
          <w:sz w:val="24"/>
          <w:szCs w:val="24"/>
        </w:rPr>
        <w:t>ormuojamą praktiką</w:t>
      </w:r>
      <w:r w:rsidR="0003545F">
        <w:rPr>
          <w:rFonts w:ascii="Times New Roman" w:eastAsia="Times New Roman" w:hAnsi="Times New Roman" w:cs="Times New Roman"/>
          <w:bCs/>
          <w:sz w:val="24"/>
          <w:szCs w:val="24"/>
        </w:rPr>
        <w:t xml:space="preserve">. </w:t>
      </w:r>
      <w:r w:rsidRPr="0003545F">
        <w:rPr>
          <w:rFonts w:ascii="Times New Roman" w:eastAsia="Times New Roman" w:hAnsi="Times New Roman" w:cs="Times New Roman"/>
          <w:bCs/>
          <w:sz w:val="24"/>
          <w:szCs w:val="24"/>
        </w:rPr>
        <w:t>Atsakovo priimtas Sprendimas neabejotinai atitiko visus VAĮ 10 str</w:t>
      </w:r>
      <w:r w:rsidR="0003545F" w:rsidRPr="0003545F">
        <w:rPr>
          <w:rFonts w:ascii="Times New Roman" w:eastAsia="Times New Roman" w:hAnsi="Times New Roman" w:cs="Times New Roman"/>
          <w:bCs/>
          <w:sz w:val="24"/>
          <w:szCs w:val="24"/>
        </w:rPr>
        <w:t>aipsnyje</w:t>
      </w:r>
      <w:r w:rsidRPr="0003545F">
        <w:rPr>
          <w:rFonts w:ascii="Times New Roman" w:eastAsia="Times New Roman" w:hAnsi="Times New Roman" w:cs="Times New Roman"/>
          <w:bCs/>
          <w:sz w:val="24"/>
          <w:szCs w:val="24"/>
        </w:rPr>
        <w:t xml:space="preserve"> keliamus reikalavimus, kadangi Sprendime buvo nurodyti pagrindiniai faktai, argumentai ir įrodymai, pateikiamas teisinis pagrindas, kuriuo Atsakovas rėmėsi priimdamas Sprendimą.</w:t>
      </w:r>
    </w:p>
    <w:p w14:paraId="5D856239" w14:textId="723EDB16" w:rsidR="00F95373" w:rsidRPr="00FA26E3" w:rsidRDefault="00191763" w:rsidP="003D6705">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sz w:val="24"/>
          <w:szCs w:val="24"/>
        </w:rPr>
      </w:pPr>
      <w:r w:rsidRPr="00FA26E3">
        <w:rPr>
          <w:rFonts w:ascii="Times New Roman" w:eastAsia="Times New Roman" w:hAnsi="Times New Roman" w:cs="Times New Roman"/>
          <w:bCs/>
          <w:sz w:val="24"/>
          <w:szCs w:val="24"/>
        </w:rPr>
        <w:t xml:space="preserve">CPVA atsiliepime </w:t>
      </w:r>
      <w:r w:rsidR="003D6705" w:rsidRPr="00FA26E3">
        <w:rPr>
          <w:rFonts w:ascii="Times New Roman" w:eastAsia="Times New Roman" w:hAnsi="Times New Roman" w:cs="Times New Roman"/>
          <w:bCs/>
          <w:sz w:val="24"/>
          <w:szCs w:val="24"/>
        </w:rPr>
        <w:t xml:space="preserve">į </w:t>
      </w:r>
      <w:r w:rsidR="008A709F" w:rsidRPr="00FA26E3">
        <w:rPr>
          <w:rFonts w:ascii="Times New Roman" w:eastAsia="Times New Roman" w:hAnsi="Times New Roman" w:cs="Times New Roman"/>
          <w:bCs/>
          <w:sz w:val="24"/>
          <w:szCs w:val="24"/>
        </w:rPr>
        <w:t xml:space="preserve">trečiojo suinteresuoto asmens </w:t>
      </w:r>
      <w:r w:rsidRPr="00FA26E3">
        <w:rPr>
          <w:rFonts w:ascii="Times New Roman" w:eastAsia="Times New Roman" w:hAnsi="Times New Roman" w:cs="Times New Roman"/>
          <w:bCs/>
          <w:sz w:val="24"/>
          <w:szCs w:val="24"/>
        </w:rPr>
        <w:t xml:space="preserve">SĮ „Vilniaus miesto būstas“ </w:t>
      </w:r>
      <w:r w:rsidR="003D6705" w:rsidRPr="00FA26E3">
        <w:rPr>
          <w:rFonts w:ascii="Times New Roman" w:eastAsia="Times New Roman" w:hAnsi="Times New Roman" w:cs="Times New Roman"/>
          <w:bCs/>
          <w:sz w:val="24"/>
          <w:szCs w:val="24"/>
        </w:rPr>
        <w:t xml:space="preserve">apeliacinį skundą </w:t>
      </w:r>
      <w:r w:rsidR="007D75BF">
        <w:rPr>
          <w:rFonts w:ascii="Times New Roman" w:eastAsia="Times New Roman" w:hAnsi="Times New Roman" w:cs="Times New Roman"/>
          <w:bCs/>
          <w:sz w:val="24"/>
          <w:szCs w:val="24"/>
        </w:rPr>
        <w:t>nurodo, kad palaiko atsiliepime į Administracijos apeliacinį skundą išdėstytus argumentus, kurių nekartoja.</w:t>
      </w:r>
    </w:p>
    <w:p w14:paraId="08D8E109" w14:textId="77777777" w:rsidR="00896F77" w:rsidRPr="00FA26E3" w:rsidRDefault="004A60C8" w:rsidP="001C6E68">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sz w:val="24"/>
          <w:szCs w:val="24"/>
          <w:lang w:val="lt-LT"/>
        </w:rPr>
      </w:pPr>
      <w:r w:rsidRPr="00FA26E3">
        <w:rPr>
          <w:rFonts w:ascii="Times New Roman" w:eastAsia="Times New Roman" w:hAnsi="Times New Roman" w:cs="Times New Roman"/>
          <w:bCs/>
          <w:sz w:val="24"/>
          <w:szCs w:val="24"/>
          <w:lang w:val="lt-LT"/>
        </w:rPr>
        <w:t xml:space="preserve">Pareiškėjas Administracija atsiliepime į trečiojo suinteresuoto asmens </w:t>
      </w:r>
      <w:r w:rsidR="00896F77" w:rsidRPr="00FA26E3">
        <w:rPr>
          <w:rFonts w:ascii="Times New Roman" w:eastAsia="Times New Roman" w:hAnsi="Times New Roman" w:cs="Times New Roman"/>
          <w:bCs/>
          <w:sz w:val="24"/>
          <w:szCs w:val="24"/>
          <w:lang w:val="lt-LT"/>
        </w:rPr>
        <w:t xml:space="preserve">SĮ „Vilniaus miesto būstas“ </w:t>
      </w:r>
      <w:r w:rsidRPr="00FA26E3">
        <w:rPr>
          <w:rFonts w:ascii="Times New Roman" w:eastAsia="Times New Roman" w:hAnsi="Times New Roman" w:cs="Times New Roman"/>
          <w:bCs/>
          <w:sz w:val="24"/>
          <w:szCs w:val="24"/>
          <w:lang w:val="lt-LT"/>
        </w:rPr>
        <w:t xml:space="preserve">apeliacinį skundą </w:t>
      </w:r>
      <w:r w:rsidR="00896F77" w:rsidRPr="00FA26E3">
        <w:rPr>
          <w:rFonts w:ascii="Times New Roman" w:eastAsia="Times New Roman" w:hAnsi="Times New Roman" w:cs="Times New Roman"/>
          <w:bCs/>
          <w:sz w:val="24"/>
          <w:szCs w:val="24"/>
          <w:lang w:val="lt-LT"/>
        </w:rPr>
        <w:t>nurodo, kad sutinka su apeliaciniu skundu ir palaiko jame išdėstytus argumentus.</w:t>
      </w:r>
    </w:p>
    <w:p w14:paraId="14306197" w14:textId="77777777" w:rsidR="00896F77" w:rsidRPr="00FA26E3" w:rsidRDefault="00896F77" w:rsidP="00396212">
      <w:pPr>
        <w:shd w:val="clear" w:color="auto" w:fill="FFFFFF"/>
        <w:tabs>
          <w:tab w:val="left" w:pos="1134"/>
        </w:tabs>
        <w:spacing w:line="240" w:lineRule="auto"/>
        <w:ind w:left="709"/>
        <w:jc w:val="both"/>
        <w:rPr>
          <w:rFonts w:ascii="Times New Roman" w:eastAsia="Times New Roman" w:hAnsi="Times New Roman" w:cs="Times New Roman"/>
          <w:bCs/>
          <w:sz w:val="24"/>
          <w:szCs w:val="24"/>
          <w:lang w:val="lt-LT"/>
        </w:rPr>
      </w:pPr>
    </w:p>
    <w:p w14:paraId="1C24819D" w14:textId="4E9062F0" w:rsidR="00925A73" w:rsidRPr="00FA26E3" w:rsidRDefault="00396212" w:rsidP="00396212">
      <w:pPr>
        <w:shd w:val="clear" w:color="auto" w:fill="FFFFFF"/>
        <w:tabs>
          <w:tab w:val="left" w:pos="1134"/>
        </w:tabs>
        <w:spacing w:line="240" w:lineRule="auto"/>
        <w:ind w:left="709"/>
        <w:jc w:val="both"/>
        <w:rPr>
          <w:rFonts w:ascii="Times New Roman" w:eastAsia="Times New Roman" w:hAnsi="Times New Roman" w:cs="Times New Roman"/>
          <w:bCs/>
          <w:sz w:val="24"/>
          <w:szCs w:val="24"/>
          <w:lang w:val="lt-LT"/>
        </w:rPr>
      </w:pPr>
      <w:r w:rsidRPr="00FA26E3">
        <w:rPr>
          <w:rFonts w:ascii="Times New Roman" w:eastAsia="Times New Roman" w:hAnsi="Times New Roman" w:cs="Times New Roman"/>
          <w:bCs/>
          <w:sz w:val="24"/>
          <w:szCs w:val="24"/>
          <w:lang w:val="lt-LT"/>
        </w:rPr>
        <w:t>Teisėjų kolegija</w:t>
      </w:r>
    </w:p>
    <w:p w14:paraId="5684A990" w14:textId="77777777" w:rsidR="00396212" w:rsidRPr="00FA26E3" w:rsidRDefault="00396212" w:rsidP="00396212">
      <w:pPr>
        <w:shd w:val="clear" w:color="auto" w:fill="FFFFFF"/>
        <w:tabs>
          <w:tab w:val="left" w:pos="1134"/>
        </w:tabs>
        <w:spacing w:line="240" w:lineRule="auto"/>
        <w:ind w:left="709"/>
        <w:jc w:val="both"/>
        <w:rPr>
          <w:rFonts w:ascii="Times New Roman" w:eastAsia="Times New Roman" w:hAnsi="Times New Roman" w:cs="Times New Roman"/>
          <w:bCs/>
          <w:sz w:val="24"/>
          <w:szCs w:val="24"/>
          <w:lang w:val="lt-LT"/>
        </w:rPr>
      </w:pPr>
    </w:p>
    <w:p w14:paraId="0F344F86" w14:textId="7CB83303" w:rsidR="005D32F1" w:rsidRPr="00FA26E3" w:rsidRDefault="003453C3">
      <w:pPr>
        <w:tabs>
          <w:tab w:val="left" w:pos="142"/>
          <w:tab w:val="left" w:pos="1134"/>
        </w:tabs>
        <w:spacing w:line="240" w:lineRule="auto"/>
        <w:ind w:right="2"/>
        <w:jc w:val="both"/>
        <w:rPr>
          <w:rFonts w:ascii="Times New Roman" w:eastAsia="Times New Roman" w:hAnsi="Times New Roman" w:cs="Times New Roman"/>
          <w:sz w:val="24"/>
          <w:szCs w:val="24"/>
        </w:rPr>
      </w:pPr>
      <w:r w:rsidRPr="00FA26E3">
        <w:rPr>
          <w:rFonts w:ascii="Times New Roman" w:eastAsia="Times New Roman" w:hAnsi="Times New Roman" w:cs="Times New Roman"/>
          <w:sz w:val="24"/>
          <w:szCs w:val="24"/>
        </w:rPr>
        <w:lastRenderedPageBreak/>
        <w:t>k o n s t a t u o j a:</w:t>
      </w:r>
    </w:p>
    <w:p w14:paraId="6FE1EB0F" w14:textId="77777777" w:rsidR="006D296E" w:rsidRPr="00FA26E3" w:rsidRDefault="006D296E">
      <w:pPr>
        <w:tabs>
          <w:tab w:val="left" w:pos="142"/>
          <w:tab w:val="left" w:pos="1134"/>
        </w:tabs>
        <w:spacing w:line="240" w:lineRule="auto"/>
        <w:ind w:right="2"/>
        <w:jc w:val="both"/>
        <w:rPr>
          <w:rFonts w:ascii="Times New Roman" w:eastAsia="Times New Roman" w:hAnsi="Times New Roman" w:cs="Times New Roman"/>
          <w:sz w:val="24"/>
          <w:szCs w:val="24"/>
        </w:rPr>
      </w:pPr>
    </w:p>
    <w:p w14:paraId="55E1FEBE" w14:textId="2BA7DE8A" w:rsidR="005D32F1" w:rsidRPr="00FA26E3" w:rsidRDefault="003453C3" w:rsidP="00396212">
      <w:pPr>
        <w:tabs>
          <w:tab w:val="left" w:pos="142"/>
          <w:tab w:val="left" w:pos="1134"/>
        </w:tabs>
        <w:spacing w:line="240" w:lineRule="auto"/>
        <w:ind w:right="2"/>
        <w:jc w:val="center"/>
        <w:rPr>
          <w:rFonts w:ascii="Times New Roman" w:eastAsia="Times New Roman" w:hAnsi="Times New Roman" w:cs="Times New Roman"/>
          <w:sz w:val="24"/>
          <w:szCs w:val="24"/>
        </w:rPr>
      </w:pPr>
      <w:r w:rsidRPr="00FA26E3">
        <w:rPr>
          <w:rFonts w:ascii="Times New Roman" w:eastAsia="Times New Roman" w:hAnsi="Times New Roman" w:cs="Times New Roman"/>
          <w:sz w:val="24"/>
          <w:szCs w:val="24"/>
        </w:rPr>
        <w:t>IV.</w:t>
      </w:r>
    </w:p>
    <w:p w14:paraId="59F699D6" w14:textId="77777777" w:rsidR="005D32F1" w:rsidRPr="00FA26E3" w:rsidRDefault="005D32F1" w:rsidP="006D6B23">
      <w:pPr>
        <w:shd w:val="clear" w:color="auto" w:fill="FFFFFF"/>
        <w:tabs>
          <w:tab w:val="left" w:pos="1134"/>
        </w:tabs>
        <w:spacing w:line="240" w:lineRule="auto"/>
        <w:ind w:left="709"/>
        <w:jc w:val="both"/>
        <w:rPr>
          <w:rFonts w:ascii="Times New Roman" w:eastAsia="Times New Roman" w:hAnsi="Times New Roman" w:cs="Times New Roman"/>
          <w:bCs/>
          <w:sz w:val="24"/>
          <w:szCs w:val="24"/>
          <w:lang w:val="lt-LT"/>
        </w:rPr>
      </w:pPr>
    </w:p>
    <w:p w14:paraId="351FCADF" w14:textId="62FE46EC" w:rsidR="00AF34F6" w:rsidRDefault="00B31DD6" w:rsidP="00145C3D">
      <w:pPr>
        <w:pStyle w:val="Sraopastraipa"/>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sz w:val="24"/>
          <w:szCs w:val="24"/>
          <w:lang w:val="lt-LT"/>
        </w:rPr>
      </w:pPr>
      <w:r w:rsidRPr="00FA26E3">
        <w:rPr>
          <w:rFonts w:asciiTheme="majorBidi" w:eastAsia="Times New Roman" w:hAnsiTheme="majorBidi" w:cstheme="majorBidi"/>
          <w:bCs/>
          <w:sz w:val="24"/>
          <w:szCs w:val="24"/>
        </w:rPr>
        <w:t xml:space="preserve">Nagrinėjamoje byloje ginčas kilo </w:t>
      </w:r>
      <w:r w:rsidR="002134B5" w:rsidRPr="00FA26E3">
        <w:rPr>
          <w:rFonts w:asciiTheme="majorBidi" w:eastAsia="Times New Roman" w:hAnsiTheme="majorBidi" w:cstheme="majorBidi"/>
          <w:bCs/>
          <w:sz w:val="24"/>
          <w:szCs w:val="24"/>
        </w:rPr>
        <w:t xml:space="preserve">dėl </w:t>
      </w:r>
      <w:r w:rsidR="003D7313" w:rsidRPr="00FA26E3">
        <w:rPr>
          <w:rFonts w:ascii="Times New Roman" w:eastAsia="Times New Roman" w:hAnsi="Times New Roman" w:cs="Times New Roman"/>
          <w:bCs/>
          <w:sz w:val="24"/>
          <w:szCs w:val="24"/>
          <w:lang w:val="lt-LT"/>
        </w:rPr>
        <w:t xml:space="preserve">CPVA </w:t>
      </w:r>
      <w:r w:rsidR="00217A5A" w:rsidRPr="00217A5A">
        <w:rPr>
          <w:rFonts w:ascii="Times New Roman" w:eastAsia="Times New Roman" w:hAnsi="Times New Roman" w:cs="Times New Roman"/>
          <w:bCs/>
          <w:sz w:val="24"/>
          <w:szCs w:val="24"/>
          <w:lang w:val="lt-LT"/>
        </w:rPr>
        <w:t>2023 m. lapkričio 28 d. sprendim</w:t>
      </w:r>
      <w:r w:rsidR="00217A5A">
        <w:rPr>
          <w:rFonts w:ascii="Times New Roman" w:eastAsia="Times New Roman" w:hAnsi="Times New Roman" w:cs="Times New Roman"/>
          <w:bCs/>
          <w:sz w:val="24"/>
          <w:szCs w:val="24"/>
          <w:lang w:val="lt-LT"/>
        </w:rPr>
        <w:t>o</w:t>
      </w:r>
      <w:r w:rsidR="00217A5A" w:rsidRPr="00217A5A">
        <w:rPr>
          <w:rFonts w:ascii="Times New Roman" w:eastAsia="Times New Roman" w:hAnsi="Times New Roman" w:cs="Times New Roman"/>
          <w:bCs/>
          <w:sz w:val="24"/>
          <w:szCs w:val="24"/>
          <w:lang w:val="lt-LT"/>
        </w:rPr>
        <w:t xml:space="preserve"> Nr. IT01 „Sprendimas dėl pažeidimo“</w:t>
      </w:r>
      <w:r w:rsidR="00217A5A">
        <w:rPr>
          <w:rFonts w:ascii="Times New Roman" w:eastAsia="Times New Roman" w:hAnsi="Times New Roman" w:cs="Times New Roman"/>
          <w:bCs/>
          <w:sz w:val="24"/>
          <w:szCs w:val="24"/>
          <w:lang w:val="lt-LT"/>
        </w:rPr>
        <w:t xml:space="preserve"> (Sprendimo)</w:t>
      </w:r>
      <w:r w:rsidR="00AF34F6" w:rsidRPr="00FA26E3">
        <w:rPr>
          <w:rFonts w:asciiTheme="majorBidi" w:eastAsia="Times New Roman" w:hAnsiTheme="majorBidi" w:cstheme="majorBidi"/>
          <w:bCs/>
          <w:sz w:val="24"/>
          <w:szCs w:val="24"/>
          <w:lang w:val="lt-LT"/>
        </w:rPr>
        <w:t xml:space="preserve">, kuriuo </w:t>
      </w:r>
      <w:r w:rsidR="00697142" w:rsidRPr="00FA26E3">
        <w:rPr>
          <w:rFonts w:asciiTheme="majorBidi" w:eastAsia="Times New Roman" w:hAnsiTheme="majorBidi" w:cstheme="majorBidi"/>
          <w:bCs/>
          <w:sz w:val="24"/>
          <w:szCs w:val="24"/>
          <w:lang w:val="lt-LT"/>
        </w:rPr>
        <w:t>pri</w:t>
      </w:r>
      <w:r w:rsidR="00AF34F6" w:rsidRPr="00FA26E3">
        <w:rPr>
          <w:rFonts w:asciiTheme="majorBidi" w:eastAsia="Times New Roman" w:hAnsiTheme="majorBidi" w:cstheme="majorBidi"/>
          <w:bCs/>
          <w:sz w:val="24"/>
          <w:szCs w:val="24"/>
          <w:lang w:val="lt-LT"/>
        </w:rPr>
        <w:t xml:space="preserve">taikyta </w:t>
      </w:r>
      <w:r w:rsidR="00AF34F6" w:rsidRPr="00FA26E3">
        <w:rPr>
          <w:rFonts w:asciiTheme="majorBidi" w:hAnsiTheme="majorBidi" w:cstheme="majorBidi"/>
          <w:sz w:val="24"/>
          <w:szCs w:val="24"/>
        </w:rPr>
        <w:t>25 proc. finansinė korekcija</w:t>
      </w:r>
      <w:r w:rsidR="00AF34F6" w:rsidRPr="00FA26E3">
        <w:rPr>
          <w:rFonts w:asciiTheme="majorBidi" w:eastAsia="Times New Roman" w:hAnsiTheme="majorBidi" w:cstheme="majorBidi"/>
          <w:bCs/>
          <w:sz w:val="24"/>
          <w:szCs w:val="24"/>
          <w:lang w:val="lt-LT"/>
        </w:rPr>
        <w:t>, teisėtumo ir pagrįstumo</w:t>
      </w:r>
      <w:r w:rsidR="00AF34F6" w:rsidRPr="00FA26E3">
        <w:rPr>
          <w:rFonts w:ascii="Times New Roman" w:eastAsia="Times New Roman" w:hAnsi="Times New Roman" w:cs="Times New Roman"/>
          <w:bCs/>
          <w:sz w:val="24"/>
          <w:szCs w:val="24"/>
          <w:lang w:val="lt-LT"/>
        </w:rPr>
        <w:t>.</w:t>
      </w:r>
    </w:p>
    <w:p w14:paraId="377E3E87" w14:textId="1A7B3B42" w:rsidR="0099732D" w:rsidRPr="0099732D" w:rsidRDefault="007E4353" w:rsidP="0099732D">
      <w:pPr>
        <w:pStyle w:val="Sraopastraipa"/>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 xml:space="preserve">Ginčijamu Sprendimu CPVA taikė 25 proc. finansinę korekciją nuo Pirkimo sutarties vertės, tenkančios Projektui (55 800Eur), </w:t>
      </w:r>
      <w:r w:rsidR="0099732D">
        <w:rPr>
          <w:rFonts w:ascii="Times New Roman" w:eastAsia="Times New Roman" w:hAnsi="Times New Roman" w:cs="Times New Roman"/>
          <w:bCs/>
          <w:sz w:val="24"/>
          <w:szCs w:val="24"/>
          <w:lang w:val="lt-LT"/>
        </w:rPr>
        <w:t>nustačiusi,</w:t>
      </w:r>
      <w:r>
        <w:rPr>
          <w:rFonts w:ascii="Times New Roman" w:eastAsia="Times New Roman" w:hAnsi="Times New Roman" w:cs="Times New Roman"/>
          <w:bCs/>
          <w:sz w:val="24"/>
          <w:szCs w:val="24"/>
          <w:lang w:val="lt-LT"/>
        </w:rPr>
        <w:t xml:space="preserve"> kad </w:t>
      </w:r>
      <w:r w:rsidR="0099732D">
        <w:rPr>
          <w:rFonts w:ascii="Times New Roman" w:eastAsia="Times New Roman" w:hAnsi="Times New Roman" w:cs="Times New Roman"/>
          <w:bCs/>
          <w:sz w:val="24"/>
          <w:szCs w:val="24"/>
          <w:lang w:val="lt-LT"/>
        </w:rPr>
        <w:t xml:space="preserve">vykdant Pirkimą Administracijos </w:t>
      </w:r>
      <w:r w:rsidR="0099732D" w:rsidRPr="0099732D">
        <w:rPr>
          <w:rFonts w:asciiTheme="majorBidi" w:hAnsiTheme="majorBidi" w:cstheme="majorBidi"/>
          <w:bCs/>
          <w:sz w:val="24"/>
          <w:szCs w:val="24"/>
          <w:lang w:val="lt-LT"/>
        </w:rPr>
        <w:t xml:space="preserve">įsigyto </w:t>
      </w:r>
      <w:r w:rsidR="0099732D">
        <w:rPr>
          <w:rFonts w:asciiTheme="majorBidi" w:hAnsiTheme="majorBidi" w:cstheme="majorBidi"/>
          <w:bCs/>
          <w:sz w:val="24"/>
          <w:szCs w:val="24"/>
          <w:lang w:val="lt-LT"/>
        </w:rPr>
        <w:t>B</w:t>
      </w:r>
      <w:r w:rsidR="0099732D" w:rsidRPr="0099732D">
        <w:rPr>
          <w:rFonts w:asciiTheme="majorBidi" w:hAnsiTheme="majorBidi" w:cstheme="majorBidi"/>
          <w:bCs/>
          <w:sz w:val="24"/>
          <w:szCs w:val="24"/>
          <w:lang w:val="lt-LT"/>
        </w:rPr>
        <w:t>uto plotas yra daugiau nei 10 proc. didesnis nei maksimali Pirkimo sąlygų 7.1.3.3 p</w:t>
      </w:r>
      <w:r w:rsidR="00E119C4">
        <w:rPr>
          <w:rFonts w:asciiTheme="majorBidi" w:hAnsiTheme="majorBidi" w:cstheme="majorBidi"/>
          <w:bCs/>
          <w:sz w:val="24"/>
          <w:szCs w:val="24"/>
          <w:lang w:val="lt-LT"/>
        </w:rPr>
        <w:t>apunktyje</w:t>
      </w:r>
      <w:r w:rsidR="0099732D" w:rsidRPr="0099732D">
        <w:rPr>
          <w:rFonts w:asciiTheme="majorBidi" w:hAnsiTheme="majorBidi" w:cstheme="majorBidi"/>
          <w:bCs/>
          <w:sz w:val="24"/>
          <w:szCs w:val="24"/>
          <w:lang w:val="lt-LT"/>
        </w:rPr>
        <w:t xml:space="preserve"> nurodyta galima ploto riba</w:t>
      </w:r>
      <w:r w:rsidR="0099732D">
        <w:rPr>
          <w:rFonts w:asciiTheme="majorBidi" w:hAnsiTheme="majorBidi" w:cstheme="majorBidi"/>
          <w:bCs/>
          <w:sz w:val="24"/>
          <w:szCs w:val="24"/>
          <w:lang w:val="lt-LT"/>
        </w:rPr>
        <w:t>. Atsižvelg</w:t>
      </w:r>
      <w:r w:rsidR="00E119C4">
        <w:rPr>
          <w:rFonts w:asciiTheme="majorBidi" w:hAnsiTheme="majorBidi" w:cstheme="majorBidi"/>
          <w:bCs/>
          <w:sz w:val="24"/>
          <w:szCs w:val="24"/>
          <w:lang w:val="lt-LT"/>
        </w:rPr>
        <w:t>iant</w:t>
      </w:r>
      <w:r w:rsidR="0099732D">
        <w:rPr>
          <w:rFonts w:asciiTheme="majorBidi" w:hAnsiTheme="majorBidi" w:cstheme="majorBidi"/>
          <w:bCs/>
          <w:sz w:val="24"/>
          <w:szCs w:val="24"/>
          <w:lang w:val="lt-LT"/>
        </w:rPr>
        <w:t xml:space="preserve"> į tai, konsta</w:t>
      </w:r>
      <w:r w:rsidR="00E119C4">
        <w:rPr>
          <w:rFonts w:asciiTheme="majorBidi" w:hAnsiTheme="majorBidi" w:cstheme="majorBidi"/>
          <w:bCs/>
          <w:sz w:val="24"/>
          <w:szCs w:val="24"/>
          <w:lang w:val="lt-LT"/>
        </w:rPr>
        <w:t>tuota</w:t>
      </w:r>
      <w:r w:rsidR="0099732D">
        <w:rPr>
          <w:rFonts w:asciiTheme="majorBidi" w:hAnsiTheme="majorBidi" w:cstheme="majorBidi"/>
          <w:bCs/>
          <w:sz w:val="24"/>
          <w:szCs w:val="24"/>
          <w:lang w:val="lt-LT"/>
        </w:rPr>
        <w:t>, kad Administracija</w:t>
      </w:r>
      <w:r w:rsidR="0099732D" w:rsidRPr="0099732D">
        <w:rPr>
          <w:rFonts w:asciiTheme="majorBidi" w:hAnsiTheme="majorBidi" w:cstheme="majorBidi"/>
          <w:bCs/>
          <w:sz w:val="24"/>
          <w:szCs w:val="24"/>
          <w:lang w:val="lt-LT"/>
        </w:rPr>
        <w:t xml:space="preserve"> pažeidė Aprašo 3</w:t>
      </w:r>
      <w:r w:rsidR="0099732D">
        <w:rPr>
          <w:rFonts w:asciiTheme="majorBidi" w:hAnsiTheme="majorBidi" w:cstheme="majorBidi"/>
          <w:bCs/>
          <w:sz w:val="24"/>
          <w:szCs w:val="24"/>
          <w:lang w:val="lt-LT"/>
        </w:rPr>
        <w:t> </w:t>
      </w:r>
      <w:r w:rsidR="0099732D" w:rsidRPr="0099732D">
        <w:rPr>
          <w:rFonts w:asciiTheme="majorBidi" w:hAnsiTheme="majorBidi" w:cstheme="majorBidi"/>
          <w:bCs/>
          <w:sz w:val="24"/>
          <w:szCs w:val="24"/>
          <w:lang w:val="lt-LT"/>
        </w:rPr>
        <w:t>p</w:t>
      </w:r>
      <w:r w:rsidR="0099732D">
        <w:rPr>
          <w:rFonts w:asciiTheme="majorBidi" w:hAnsiTheme="majorBidi" w:cstheme="majorBidi"/>
          <w:bCs/>
          <w:sz w:val="24"/>
          <w:szCs w:val="24"/>
          <w:lang w:val="lt-LT"/>
        </w:rPr>
        <w:t>unkte</w:t>
      </w:r>
      <w:r w:rsidR="0099732D" w:rsidRPr="0099732D">
        <w:rPr>
          <w:rFonts w:asciiTheme="majorBidi" w:hAnsiTheme="majorBidi" w:cstheme="majorBidi"/>
          <w:bCs/>
          <w:sz w:val="24"/>
          <w:szCs w:val="24"/>
          <w:lang w:val="lt-LT"/>
        </w:rPr>
        <w:t xml:space="preserve"> nurodytus skaidrumo ir lygiateisiškumo principus, 38 ir 40 p</w:t>
      </w:r>
      <w:r w:rsidR="00E119C4">
        <w:rPr>
          <w:rFonts w:asciiTheme="majorBidi" w:hAnsiTheme="majorBidi" w:cstheme="majorBidi"/>
          <w:bCs/>
          <w:sz w:val="24"/>
          <w:szCs w:val="24"/>
          <w:lang w:val="lt-LT"/>
        </w:rPr>
        <w:t>unktus</w:t>
      </w:r>
      <w:r w:rsidR="0099732D" w:rsidRPr="0099732D">
        <w:rPr>
          <w:rFonts w:asciiTheme="majorBidi" w:hAnsiTheme="majorBidi" w:cstheme="majorBidi"/>
          <w:bCs/>
          <w:sz w:val="24"/>
          <w:szCs w:val="24"/>
          <w:lang w:val="lt-LT"/>
        </w:rPr>
        <w:t>, Pirkimo sąlygų 40.14 p</w:t>
      </w:r>
      <w:r w:rsidR="0099732D">
        <w:rPr>
          <w:rFonts w:asciiTheme="majorBidi" w:hAnsiTheme="majorBidi" w:cstheme="majorBidi"/>
          <w:bCs/>
          <w:sz w:val="24"/>
          <w:szCs w:val="24"/>
          <w:lang w:val="lt-LT"/>
        </w:rPr>
        <w:t>apunkčio</w:t>
      </w:r>
      <w:r w:rsidR="0099732D" w:rsidRPr="0099732D">
        <w:rPr>
          <w:rFonts w:asciiTheme="majorBidi" w:hAnsiTheme="majorBidi" w:cstheme="majorBidi"/>
          <w:bCs/>
          <w:sz w:val="24"/>
          <w:szCs w:val="24"/>
          <w:lang w:val="lt-LT"/>
        </w:rPr>
        <w:t xml:space="preserve"> nuostatas, nes </w:t>
      </w:r>
      <w:r w:rsidR="0099732D">
        <w:rPr>
          <w:rFonts w:asciiTheme="majorBidi" w:hAnsiTheme="majorBidi" w:cstheme="majorBidi"/>
          <w:bCs/>
          <w:sz w:val="24"/>
          <w:szCs w:val="24"/>
          <w:lang w:val="lt-LT"/>
        </w:rPr>
        <w:t>l</w:t>
      </w:r>
      <w:r w:rsidR="0099732D" w:rsidRPr="0099732D">
        <w:rPr>
          <w:rFonts w:asciiTheme="majorBidi" w:hAnsiTheme="majorBidi" w:cstheme="majorBidi"/>
          <w:bCs/>
          <w:sz w:val="24"/>
          <w:szCs w:val="24"/>
          <w:lang w:val="lt-LT"/>
        </w:rPr>
        <w:t>aimėtojo paraišką turėjo atmesti, kaip neatitinkančią Pirkimo sąlygų 7.1.3.3 p</w:t>
      </w:r>
      <w:r w:rsidR="0099732D">
        <w:rPr>
          <w:rFonts w:asciiTheme="majorBidi" w:hAnsiTheme="majorBidi" w:cstheme="majorBidi"/>
          <w:bCs/>
          <w:sz w:val="24"/>
          <w:szCs w:val="24"/>
          <w:lang w:val="lt-LT"/>
        </w:rPr>
        <w:t>apunkčio</w:t>
      </w:r>
      <w:r w:rsidR="0099732D" w:rsidRPr="0099732D">
        <w:rPr>
          <w:rFonts w:asciiTheme="majorBidi" w:hAnsiTheme="majorBidi" w:cstheme="majorBidi"/>
          <w:bCs/>
          <w:sz w:val="24"/>
          <w:szCs w:val="24"/>
          <w:lang w:val="lt-LT"/>
        </w:rPr>
        <w:t xml:space="preserve"> reikalavimų.</w:t>
      </w:r>
    </w:p>
    <w:p w14:paraId="1FB69A91" w14:textId="71F486F3" w:rsidR="00AF34F6" w:rsidRPr="00FA26E3" w:rsidRDefault="00AF34F6" w:rsidP="00145C3D">
      <w:pPr>
        <w:numPr>
          <w:ilvl w:val="0"/>
          <w:numId w:val="1"/>
        </w:numPr>
        <w:shd w:val="clear" w:color="auto" w:fill="FFFFFF"/>
        <w:tabs>
          <w:tab w:val="left" w:pos="1134"/>
        </w:tabs>
        <w:spacing w:line="240" w:lineRule="auto"/>
        <w:ind w:left="0" w:firstLine="709"/>
        <w:jc w:val="both"/>
        <w:rPr>
          <w:rFonts w:asciiTheme="majorBidi" w:hAnsiTheme="majorBidi" w:cstheme="majorBidi"/>
          <w:bCs/>
          <w:sz w:val="24"/>
          <w:szCs w:val="24"/>
          <w:lang w:val="lt-LT"/>
        </w:rPr>
      </w:pPr>
      <w:r w:rsidRPr="00FA26E3">
        <w:rPr>
          <w:rFonts w:asciiTheme="majorBidi" w:hAnsiTheme="majorBidi" w:cstheme="majorBidi"/>
          <w:sz w:val="24"/>
          <w:szCs w:val="24"/>
        </w:rPr>
        <w:t>Pirmosios instancijos teismas skundžiamu sprendimu</w:t>
      </w:r>
      <w:r w:rsidRPr="00FA26E3">
        <w:rPr>
          <w:rFonts w:asciiTheme="majorBidi" w:hAnsiTheme="majorBidi" w:cstheme="majorBidi"/>
          <w:sz w:val="24"/>
          <w:szCs w:val="24"/>
          <w:lang w:val="lt-LT"/>
        </w:rPr>
        <w:t xml:space="preserve"> pareiškėjo</w:t>
      </w:r>
      <w:r w:rsidRPr="00FA26E3">
        <w:rPr>
          <w:rFonts w:asciiTheme="majorBidi" w:hAnsiTheme="majorBidi" w:cstheme="majorBidi"/>
          <w:sz w:val="24"/>
          <w:szCs w:val="24"/>
        </w:rPr>
        <w:t xml:space="preserve"> prašymą </w:t>
      </w:r>
      <w:r w:rsidRPr="00FA26E3">
        <w:rPr>
          <w:rFonts w:asciiTheme="majorBidi" w:hAnsiTheme="majorBidi" w:cstheme="majorBidi"/>
          <w:sz w:val="24"/>
          <w:szCs w:val="24"/>
          <w:lang w:val="lt-LT"/>
        </w:rPr>
        <w:t>atmetė</w:t>
      </w:r>
      <w:r w:rsidR="00697142" w:rsidRPr="00FA26E3">
        <w:rPr>
          <w:rFonts w:asciiTheme="majorBidi" w:hAnsiTheme="majorBidi" w:cstheme="majorBidi"/>
          <w:sz w:val="24"/>
          <w:szCs w:val="24"/>
          <w:lang w:val="lt-LT"/>
        </w:rPr>
        <w:t>, konstatavęs</w:t>
      </w:r>
      <w:r w:rsidRPr="00FA26E3">
        <w:rPr>
          <w:rFonts w:asciiTheme="majorBidi" w:hAnsiTheme="majorBidi" w:cstheme="majorBidi"/>
          <w:sz w:val="24"/>
          <w:szCs w:val="24"/>
        </w:rPr>
        <w:t xml:space="preserve">, kad </w:t>
      </w:r>
      <w:r w:rsidR="00697142" w:rsidRPr="00FA26E3">
        <w:rPr>
          <w:rFonts w:asciiTheme="majorBidi" w:hAnsiTheme="majorBidi" w:cstheme="majorBidi"/>
          <w:sz w:val="24"/>
          <w:szCs w:val="24"/>
        </w:rPr>
        <w:t>S</w:t>
      </w:r>
      <w:r w:rsidRPr="00FA26E3">
        <w:rPr>
          <w:rFonts w:asciiTheme="majorBidi" w:hAnsiTheme="majorBidi" w:cstheme="majorBidi"/>
          <w:sz w:val="24"/>
          <w:szCs w:val="24"/>
        </w:rPr>
        <w:t xml:space="preserve">prendimas yra teisėtas ir pagrįstas, </w:t>
      </w:r>
      <w:r w:rsidR="00697142" w:rsidRPr="00FA26E3">
        <w:rPr>
          <w:rFonts w:asciiTheme="majorBidi" w:hAnsiTheme="majorBidi" w:cstheme="majorBidi"/>
          <w:sz w:val="24"/>
          <w:szCs w:val="24"/>
        </w:rPr>
        <w:t xml:space="preserve">o </w:t>
      </w:r>
      <w:r w:rsidRPr="00FA26E3">
        <w:rPr>
          <w:rFonts w:asciiTheme="majorBidi" w:hAnsiTheme="majorBidi" w:cstheme="majorBidi"/>
          <w:sz w:val="24"/>
          <w:szCs w:val="24"/>
        </w:rPr>
        <w:t>pritaikyta finansinė korekcija yra proporcinga nustatytam pažeidimui</w:t>
      </w:r>
      <w:r w:rsidR="00697142" w:rsidRPr="00FA26E3">
        <w:rPr>
          <w:rFonts w:asciiTheme="majorBidi" w:hAnsiTheme="majorBidi" w:cstheme="majorBidi"/>
          <w:sz w:val="24"/>
          <w:szCs w:val="24"/>
        </w:rPr>
        <w:t>.</w:t>
      </w:r>
    </w:p>
    <w:p w14:paraId="4FC52B5B" w14:textId="4446FB53" w:rsidR="00217A5A" w:rsidRDefault="00FF45E7" w:rsidP="00145C3D">
      <w:pPr>
        <w:numPr>
          <w:ilvl w:val="0"/>
          <w:numId w:val="1"/>
        </w:numPr>
        <w:shd w:val="clear" w:color="auto" w:fill="FFFFFF"/>
        <w:tabs>
          <w:tab w:val="left" w:pos="1134"/>
        </w:tabs>
        <w:spacing w:line="240" w:lineRule="auto"/>
        <w:ind w:left="0" w:firstLine="709"/>
        <w:jc w:val="both"/>
        <w:rPr>
          <w:rFonts w:asciiTheme="majorBidi" w:hAnsiTheme="majorBidi" w:cstheme="majorBidi"/>
          <w:bCs/>
          <w:sz w:val="24"/>
          <w:szCs w:val="24"/>
          <w:lang w:val="lt-LT"/>
        </w:rPr>
      </w:pPr>
      <w:r w:rsidRPr="00FA26E3">
        <w:rPr>
          <w:rFonts w:asciiTheme="majorBidi" w:hAnsiTheme="majorBidi" w:cstheme="majorBidi"/>
          <w:bCs/>
          <w:sz w:val="24"/>
          <w:szCs w:val="24"/>
          <w:lang w:val="lt-LT"/>
        </w:rPr>
        <w:t>A</w:t>
      </w:r>
      <w:r w:rsidR="00AF34F6" w:rsidRPr="00FA26E3">
        <w:rPr>
          <w:rFonts w:asciiTheme="majorBidi" w:hAnsiTheme="majorBidi" w:cstheme="majorBidi"/>
          <w:bCs/>
          <w:sz w:val="24"/>
          <w:szCs w:val="24"/>
          <w:lang w:val="lt-LT"/>
        </w:rPr>
        <w:t>dministracija</w:t>
      </w:r>
      <w:r w:rsidR="00217A5A">
        <w:rPr>
          <w:rFonts w:asciiTheme="majorBidi" w:hAnsiTheme="majorBidi" w:cstheme="majorBidi"/>
          <w:bCs/>
          <w:sz w:val="24"/>
          <w:szCs w:val="24"/>
          <w:lang w:val="lt-LT"/>
        </w:rPr>
        <w:t>, nesutikdama su pirmosios instancijos teismo išvadomis, apeliaciniame skunde nurodo, kad net ir pripažinus, jog pažeidimas buvo padarytas, Agentūra Sprendime nenustatė jo poveikio Europos Sąjungos biudžetui, nevertino, kokia žala buvo (</w:t>
      </w:r>
      <w:r w:rsidR="0099732D">
        <w:rPr>
          <w:rFonts w:asciiTheme="majorBidi" w:hAnsiTheme="majorBidi" w:cstheme="majorBidi"/>
          <w:bCs/>
          <w:sz w:val="24"/>
          <w:szCs w:val="24"/>
          <w:lang w:val="lt-LT"/>
        </w:rPr>
        <w:t xml:space="preserve">ar </w:t>
      </w:r>
      <w:r w:rsidR="00217A5A">
        <w:rPr>
          <w:rFonts w:asciiTheme="majorBidi" w:hAnsiTheme="majorBidi" w:cstheme="majorBidi"/>
          <w:bCs/>
          <w:sz w:val="24"/>
          <w:szCs w:val="24"/>
          <w:lang w:val="lt-LT"/>
        </w:rPr>
        <w:t>galėjo būti</w:t>
      </w:r>
      <w:r w:rsidR="0099732D">
        <w:rPr>
          <w:rFonts w:asciiTheme="majorBidi" w:hAnsiTheme="majorBidi" w:cstheme="majorBidi"/>
          <w:bCs/>
          <w:sz w:val="24"/>
          <w:szCs w:val="24"/>
          <w:lang w:val="lt-LT"/>
        </w:rPr>
        <w:t>)</w:t>
      </w:r>
      <w:r w:rsidR="00217A5A">
        <w:rPr>
          <w:rFonts w:asciiTheme="majorBidi" w:hAnsiTheme="majorBidi" w:cstheme="majorBidi"/>
          <w:bCs/>
          <w:sz w:val="24"/>
          <w:szCs w:val="24"/>
          <w:lang w:val="lt-LT"/>
        </w:rPr>
        <w:t xml:space="preserve"> padaryta, o skiriant finansinę korekciją </w:t>
      </w:r>
      <w:r w:rsidR="0099732D">
        <w:rPr>
          <w:rFonts w:asciiTheme="majorBidi" w:hAnsiTheme="majorBidi" w:cstheme="majorBidi"/>
          <w:bCs/>
          <w:sz w:val="24"/>
          <w:szCs w:val="24"/>
          <w:lang w:val="lt-LT"/>
        </w:rPr>
        <w:t xml:space="preserve">automatiškai </w:t>
      </w:r>
      <w:r w:rsidR="00217A5A">
        <w:rPr>
          <w:rFonts w:asciiTheme="majorBidi" w:hAnsiTheme="majorBidi" w:cstheme="majorBidi"/>
          <w:bCs/>
          <w:sz w:val="24"/>
          <w:szCs w:val="24"/>
          <w:lang w:val="lt-LT"/>
        </w:rPr>
        <w:t>rėmėsi Gairėse nustatyta skale, neatsižvelg</w:t>
      </w:r>
      <w:r w:rsidR="0099732D">
        <w:rPr>
          <w:rFonts w:asciiTheme="majorBidi" w:hAnsiTheme="majorBidi" w:cstheme="majorBidi"/>
          <w:bCs/>
          <w:sz w:val="24"/>
          <w:szCs w:val="24"/>
          <w:lang w:val="lt-LT"/>
        </w:rPr>
        <w:t>dama</w:t>
      </w:r>
      <w:r w:rsidR="00217A5A">
        <w:rPr>
          <w:rFonts w:asciiTheme="majorBidi" w:hAnsiTheme="majorBidi" w:cstheme="majorBidi"/>
          <w:bCs/>
          <w:sz w:val="24"/>
          <w:szCs w:val="24"/>
          <w:lang w:val="lt-LT"/>
        </w:rPr>
        <w:t xml:space="preserve"> į padaryto pažeidimo pobūdį ir kitas individualias aplinkybes.</w:t>
      </w:r>
    </w:p>
    <w:p w14:paraId="653A4712" w14:textId="591617CB" w:rsidR="00217A5A" w:rsidRDefault="00217A5A" w:rsidP="00145C3D">
      <w:pPr>
        <w:numPr>
          <w:ilvl w:val="0"/>
          <w:numId w:val="1"/>
        </w:numPr>
        <w:shd w:val="clear" w:color="auto" w:fill="FFFFFF"/>
        <w:tabs>
          <w:tab w:val="left" w:pos="1134"/>
        </w:tabs>
        <w:spacing w:line="240" w:lineRule="auto"/>
        <w:ind w:left="0" w:firstLine="709"/>
        <w:jc w:val="both"/>
        <w:rPr>
          <w:rFonts w:asciiTheme="majorBidi" w:hAnsiTheme="majorBidi" w:cstheme="majorBidi"/>
          <w:bCs/>
          <w:sz w:val="24"/>
          <w:szCs w:val="24"/>
          <w:lang w:val="lt-LT"/>
        </w:rPr>
      </w:pPr>
      <w:r>
        <w:rPr>
          <w:rFonts w:asciiTheme="majorBidi" w:hAnsiTheme="majorBidi" w:cstheme="majorBidi"/>
          <w:bCs/>
          <w:sz w:val="24"/>
          <w:szCs w:val="24"/>
          <w:lang w:val="lt-LT"/>
        </w:rPr>
        <w:t>Apeliantas SĮ „Vilniaus miesto būstas“ apeliaciniame skunde laikosi pozicijos, kad, atsižvelgiant į Projektu siekiamą tikslą aprūpinti būstu kuo daugiau socialiai remtinų asmenų, Sprendimu pritaikyta 25 proc. korekcija neproporcinga ir turėtų būti sumažinta.</w:t>
      </w:r>
    </w:p>
    <w:p w14:paraId="618509D6" w14:textId="77777777" w:rsidR="00217A5A" w:rsidRPr="00217A5A" w:rsidRDefault="00217A5A" w:rsidP="003A4FC5">
      <w:pPr>
        <w:numPr>
          <w:ilvl w:val="0"/>
          <w:numId w:val="1"/>
        </w:numPr>
        <w:shd w:val="clear" w:color="auto" w:fill="FFFFFF"/>
        <w:tabs>
          <w:tab w:val="left" w:pos="1134"/>
        </w:tabs>
        <w:spacing w:line="240" w:lineRule="auto"/>
        <w:ind w:left="0" w:firstLine="709"/>
        <w:jc w:val="both"/>
        <w:rPr>
          <w:rFonts w:asciiTheme="majorBidi" w:hAnsiTheme="majorBidi" w:cstheme="majorBidi"/>
          <w:bCs/>
          <w:sz w:val="24"/>
          <w:szCs w:val="24"/>
          <w:lang w:val="lt-LT"/>
        </w:rPr>
      </w:pPr>
      <w:r>
        <w:rPr>
          <w:rFonts w:asciiTheme="majorBidi" w:eastAsia="Times New Roman" w:hAnsiTheme="majorBidi" w:cstheme="majorBidi"/>
          <w:bCs/>
          <w:sz w:val="24"/>
          <w:szCs w:val="24"/>
        </w:rPr>
        <w:t>Atsakovas CPVA atsiliepime, sutikdamas su pirmosios instancijos teismo išvadomis, tvirtina, kad iš Sprendime nurodytų aplinkybių matyti, kad Administracijos padarytas pažeidimas daro poveikį Europos Sąjungos biudžetui. Atsakovas, parinkdamas taikytinos finansinės korekcijos dydį, vadovavosi Gairėmis ir įvertino visas su pažeidimus susijusias aplinkybes.</w:t>
      </w:r>
    </w:p>
    <w:p w14:paraId="6961849F" w14:textId="578B3F7D" w:rsidR="0099732D" w:rsidRPr="0099732D" w:rsidRDefault="0099732D" w:rsidP="00280B88">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bCs/>
          <w:sz w:val="24"/>
          <w:szCs w:val="24"/>
        </w:rPr>
      </w:pPr>
      <w:r w:rsidRPr="0099732D">
        <w:rPr>
          <w:rFonts w:asciiTheme="majorBidi" w:eastAsia="Times New Roman" w:hAnsiTheme="majorBidi" w:cstheme="majorBidi"/>
          <w:bCs/>
          <w:sz w:val="24"/>
          <w:szCs w:val="24"/>
        </w:rPr>
        <w:t xml:space="preserve">Visų pirma, teisėjų kolegija pažymi, kad, kaip matyti iš Administracijos ir SĮ „Vilniaus miesto būstas“ apeliacinių skundų turinio, apeliantai nesutinka su CPVA Sprendimo ir pirmosios instancijos teismo sprendimo dalimi dėl finansinės korekcijos taikymo. Byloje pareiškėjas iš esmės neginčijo, kad vykdant Projektą nupirktas Butas neatitiko Pirkimo sąlygų reikalavimų, apeliantai nenurodo jokių argumentų dėl pirmosios instancijos teismo išvadų, kad nustatytas pažeidimas nelaikytinas mažareikšmiu. </w:t>
      </w:r>
    </w:p>
    <w:p w14:paraId="1D77A858" w14:textId="458A9398" w:rsidR="00054558" w:rsidRDefault="00054558" w:rsidP="00054558">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bCs/>
          <w:sz w:val="24"/>
          <w:szCs w:val="24"/>
        </w:rPr>
      </w:pPr>
      <w:r w:rsidRPr="00054558">
        <w:rPr>
          <w:rFonts w:ascii="Times New Roman" w:hAnsi="Times New Roman" w:cs="Times New Roman"/>
          <w:sz w:val="24"/>
          <w:szCs w:val="24"/>
        </w:rPr>
        <w:t xml:space="preserve">Pagal Lietuvos Respublikos administracinių bylų teisenos įstatymo (toliau – ir ABTĮ) 140 straipsnio 1 dalį teismas, apeliacine tvarka nagrinėdamas bylą, patikrina pirmosios instancijos teismo sprendimo pagrįstumą ir teisėtumą, neperžengdamas apeliacinio skundo ribų. Byloje nenustatytos aplinkybės, dėl kurių turėtų būti peržengtos pareiškėjo apeliacinio skundo ribos, bei nenustatyti sprendimo negaliojimo pagrindai, nurodyti ABTĮ 146 straipsnio 2 dalyje (ABTĮ 140 str. 2 d.), todėl apeliacinės instancijos teismas šią bylą apeliacine tvarka nagrinėja ir patikrina pirmosios instancijos teismo sprendimo pagrįstumą ir teisėtumą, neperžengdamas </w:t>
      </w:r>
      <w:r w:rsidR="0099732D">
        <w:rPr>
          <w:rFonts w:ascii="Times New Roman" w:hAnsi="Times New Roman" w:cs="Times New Roman"/>
          <w:sz w:val="24"/>
          <w:szCs w:val="24"/>
        </w:rPr>
        <w:t>apeliacinių</w:t>
      </w:r>
      <w:r w:rsidRPr="00054558">
        <w:rPr>
          <w:rFonts w:ascii="Times New Roman" w:hAnsi="Times New Roman" w:cs="Times New Roman"/>
          <w:sz w:val="24"/>
          <w:szCs w:val="24"/>
        </w:rPr>
        <w:t xml:space="preserve"> skund</w:t>
      </w:r>
      <w:r w:rsidR="0099732D">
        <w:rPr>
          <w:rFonts w:ascii="Times New Roman" w:hAnsi="Times New Roman" w:cs="Times New Roman"/>
          <w:sz w:val="24"/>
          <w:szCs w:val="24"/>
        </w:rPr>
        <w:t>ų</w:t>
      </w:r>
      <w:r w:rsidRPr="00054558">
        <w:rPr>
          <w:rFonts w:ascii="Times New Roman" w:hAnsi="Times New Roman" w:cs="Times New Roman"/>
          <w:sz w:val="24"/>
          <w:szCs w:val="24"/>
        </w:rPr>
        <w:t xml:space="preserve"> ribų.</w:t>
      </w:r>
    </w:p>
    <w:p w14:paraId="698FA8C2" w14:textId="049D022F" w:rsidR="00054558" w:rsidRPr="00054558" w:rsidRDefault="0099732D" w:rsidP="00AF34F6">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bCs/>
          <w:sz w:val="24"/>
          <w:szCs w:val="24"/>
        </w:rPr>
      </w:pPr>
      <w:r w:rsidRPr="0099732D">
        <w:rPr>
          <w:rFonts w:asciiTheme="majorBidi" w:eastAsia="Times New Roman" w:hAnsiTheme="majorBidi" w:cstheme="majorBidi"/>
          <w:bCs/>
          <w:sz w:val="24"/>
          <w:szCs w:val="24"/>
        </w:rPr>
        <w:t>Vertin</w:t>
      </w:r>
      <w:r>
        <w:rPr>
          <w:rFonts w:asciiTheme="majorBidi" w:eastAsia="Times New Roman" w:hAnsiTheme="majorBidi" w:cstheme="majorBidi"/>
          <w:bCs/>
          <w:sz w:val="24"/>
          <w:szCs w:val="24"/>
        </w:rPr>
        <w:t>dama</w:t>
      </w:r>
      <w:r w:rsidRPr="0099732D">
        <w:rPr>
          <w:rFonts w:asciiTheme="majorBidi" w:eastAsia="Times New Roman" w:hAnsiTheme="majorBidi" w:cstheme="majorBidi"/>
          <w:bCs/>
          <w:sz w:val="24"/>
          <w:szCs w:val="24"/>
        </w:rPr>
        <w:t xml:space="preserve"> </w:t>
      </w:r>
      <w:r>
        <w:rPr>
          <w:rFonts w:asciiTheme="majorBidi" w:eastAsia="Times New Roman" w:hAnsiTheme="majorBidi" w:cstheme="majorBidi"/>
          <w:bCs/>
          <w:sz w:val="24"/>
          <w:szCs w:val="24"/>
        </w:rPr>
        <w:t>apeliantų</w:t>
      </w:r>
      <w:r w:rsidRPr="0099732D">
        <w:rPr>
          <w:rFonts w:asciiTheme="majorBidi" w:eastAsia="Times New Roman" w:hAnsiTheme="majorBidi" w:cstheme="majorBidi"/>
          <w:bCs/>
          <w:sz w:val="24"/>
          <w:szCs w:val="24"/>
        </w:rPr>
        <w:t xml:space="preserve"> argumentus dėl Agentūros formaliai, neįvertinus individualiai visų reikšmingų aplinkybių taikytos finansinės korekcijos ir jos </w:t>
      </w:r>
      <w:proofErr w:type="spellStart"/>
      <w:r w:rsidRPr="0099732D">
        <w:rPr>
          <w:rFonts w:asciiTheme="majorBidi" w:eastAsia="Times New Roman" w:hAnsiTheme="majorBidi" w:cstheme="majorBidi"/>
          <w:bCs/>
          <w:sz w:val="24"/>
          <w:szCs w:val="24"/>
        </w:rPr>
        <w:t>neproporcingumo</w:t>
      </w:r>
      <w:proofErr w:type="spellEnd"/>
      <w:r w:rsidRPr="0099732D">
        <w:rPr>
          <w:rFonts w:asciiTheme="majorBidi" w:eastAsia="Times New Roman" w:hAnsiTheme="majorBidi" w:cstheme="majorBidi"/>
          <w:bCs/>
          <w:sz w:val="24"/>
          <w:szCs w:val="24"/>
        </w:rPr>
        <w:t xml:space="preserve">, </w:t>
      </w:r>
      <w:r>
        <w:rPr>
          <w:rFonts w:asciiTheme="majorBidi" w:eastAsia="Times New Roman" w:hAnsiTheme="majorBidi" w:cstheme="majorBidi"/>
          <w:bCs/>
          <w:sz w:val="24"/>
          <w:szCs w:val="24"/>
        </w:rPr>
        <w:t xml:space="preserve">teisėjų kolegija pažymi, kad </w:t>
      </w:r>
      <w:r w:rsidRPr="0099732D">
        <w:rPr>
          <w:rFonts w:asciiTheme="majorBidi" w:eastAsia="Times New Roman" w:hAnsiTheme="majorBidi" w:cstheme="majorBidi"/>
          <w:bCs/>
          <w:sz w:val="24"/>
          <w:szCs w:val="24"/>
        </w:rPr>
        <w:t>Reglament</w:t>
      </w:r>
      <w:r>
        <w:rPr>
          <w:rFonts w:asciiTheme="majorBidi" w:eastAsia="Times New Roman" w:hAnsiTheme="majorBidi" w:cstheme="majorBidi"/>
          <w:bCs/>
          <w:sz w:val="24"/>
          <w:szCs w:val="24"/>
        </w:rPr>
        <w:t>e</w:t>
      </w:r>
      <w:r w:rsidRPr="0099732D">
        <w:rPr>
          <w:rFonts w:asciiTheme="majorBidi" w:eastAsia="Times New Roman" w:hAnsiTheme="majorBidi" w:cstheme="majorBidi"/>
          <w:bCs/>
          <w:sz w:val="24"/>
          <w:szCs w:val="24"/>
        </w:rPr>
        <w:t xml:space="preserve"> Nr. 1303/2013 nustatyta, jog pažeidimas – bet koks įgyvendinant Europos struktūrinius ir investicijų fondus padarytas Sąjungos teisės ar nacionalinės teisės, susijusios su jos taikymu, pažeidimas dėl ekonominės veiklos vykdytojo veiksmų ar neveikimo, kai nepagrįstas išlaidas įtraukus į Sąjungos biudžetą padaroma ar būtų padaryta žala Sąjungos biudžetui (2 str. 36 p.). Atsakomybė už pažeidimų tyrimą, reikiamas finansines pataisas ir lėšų susigrąžinimą visų pirma tenka valstybėms narėms. Sisteminio pažeidimo atveju valstybė narė atlieka visų veiksmų, kuriems pažeidimas galėjo turėti įtakos, tyrimą (143 str. 1 d.). Valstybės narės atlieka reikiamas finansines pataisas, kurias reikia atlikti dėl veiksmuose arba veiksmų programose nustatytų pavienių ar </w:t>
      </w:r>
      <w:r w:rsidRPr="0099732D">
        <w:rPr>
          <w:rFonts w:asciiTheme="majorBidi" w:eastAsia="Times New Roman" w:hAnsiTheme="majorBidi" w:cstheme="majorBidi"/>
          <w:bCs/>
          <w:sz w:val="24"/>
          <w:szCs w:val="24"/>
        </w:rPr>
        <w:lastRenderedPageBreak/>
        <w:t>sisteminių pažeidimų. Atliekant finansines pataisas panaikinamas visas veiksmui arba veiksmų programai skirtas viešasis įnašas arba jo dalis. Valstybė narė atsižvelgia į pažeidimų pobūdį, sunkumą ir fondų arba Europos jūrų reikalų ir žuvininkystės fondo finansinius nuostolius ir taiko proporcingą pataisą (143 str. 2 d.).</w:t>
      </w:r>
    </w:p>
    <w:p w14:paraId="7D0603E3" w14:textId="7C36FF3B" w:rsidR="00054558" w:rsidRPr="00054558" w:rsidRDefault="00DC182D" w:rsidP="00AF34F6">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bCs/>
          <w:sz w:val="24"/>
          <w:szCs w:val="24"/>
        </w:rPr>
      </w:pPr>
      <w:r w:rsidRPr="00DC182D">
        <w:rPr>
          <w:rFonts w:asciiTheme="majorBidi" w:eastAsia="Times New Roman" w:hAnsiTheme="majorBidi" w:cstheme="majorBidi"/>
          <w:bCs/>
          <w:sz w:val="24"/>
          <w:szCs w:val="24"/>
        </w:rPr>
        <w:t>Lietuvos vyriausiojo administracinio teismo išplėstinė teisėjų kolegija 2023 m. spalio 25</w:t>
      </w:r>
      <w:r>
        <w:rPr>
          <w:rFonts w:asciiTheme="majorBidi" w:eastAsia="Times New Roman" w:hAnsiTheme="majorBidi" w:cstheme="majorBidi"/>
          <w:bCs/>
          <w:sz w:val="24"/>
          <w:szCs w:val="24"/>
        </w:rPr>
        <w:t> </w:t>
      </w:r>
      <w:r w:rsidRPr="00DC182D">
        <w:rPr>
          <w:rFonts w:asciiTheme="majorBidi" w:eastAsia="Times New Roman" w:hAnsiTheme="majorBidi" w:cstheme="majorBidi"/>
          <w:bCs/>
          <w:sz w:val="24"/>
          <w:szCs w:val="24"/>
        </w:rPr>
        <w:t>d. sprendime administracinėje byloje Nr. eA-527-629/2023 išaiškino, kad finansinio koregavimo mechanizmas pagal Reglamentą Nr. 1303/2013 taikomas tuomet, kai nustatoma tam tikrų faktinių ir juridinių pagrindų visuma. Visų pirma, turi būti nustatomas pažeidimas, kaip jis suprantamas pagal Reglamento Nr. 1303/2013 nuostatas. Antra, nustačius pažeidimą, turi būti sprendžiama dėl padarinių – finansinės korekcijos – taikymo. Pažeidimo buvimas reiškia, kad turi būti įvykdytos trys sąlygos: pirma, turi būti padarytas Europos Sąjungos teisės (arba nacionalinės teisės, susijusios su Europos Sąjungos teisės taikymu) pažeidimas; antra, šis pažeidimas turi būti padarytas ūkio subjekto veiksmais ar neveikimu; ir, trečia, turi būti padaryta reali ar potenciali žala Europos Sąjungos biudžetui. VPĮ principai, kurių laikymasis užtikrina ir tarptautinės svarbos viešojo pirkimo atitiktį Sutarties dėl Europos Sąjungos veikimo nuostatoms bei bendriesiems principams, gali būti atskiras perkančiosios organizacijos veiksmų neteisėtumo vertinimo bei nustatymo pagrindas ir atitinkamai pripažinus pažeidimą, – pagrindas spręsti dėl finansinio koregavimo.</w:t>
      </w:r>
    </w:p>
    <w:p w14:paraId="2F544EA2" w14:textId="432060DE" w:rsidR="0099732D" w:rsidRPr="0099732D" w:rsidRDefault="00DC182D" w:rsidP="00AF34F6">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bCs/>
          <w:sz w:val="24"/>
          <w:szCs w:val="24"/>
        </w:rPr>
      </w:pPr>
      <w:r w:rsidRPr="00DC182D">
        <w:rPr>
          <w:rFonts w:asciiTheme="majorBidi" w:eastAsia="Times New Roman" w:hAnsiTheme="majorBidi" w:cstheme="majorBidi"/>
          <w:bCs/>
          <w:sz w:val="24"/>
          <w:szCs w:val="24"/>
        </w:rPr>
        <w:t xml:space="preserve">ESTT jurisprudencijoje pažeidimo pagal Reglamentą Nr. 1303/2013 konstatavimo aspektu pažymima, jog „pažeidimu“, kaip jis suprantamas pagal Reglamento Nr. 1303/2013 2 straipsnio 36 punktą, gali būti laikomas tik pažeidimas, dėl kurio „padaroma ar [gali būti] padaryta“ žalos Sąjungos biudžetui. Taigi pagal šią nuostatą draudžiama, kad bet koks Sąjungos teisės ar nacionalinės teisės, taikytinos veiksmams, finansuojamiems iš Sąjungos struktūrinių fondų lėšų, pažeidimas būtų laikomas automatiškai darančiu žalą Sąjungos biudžetui arba galinčiu jam daryti žalos, neatsižvelgiant į tokio pažeidimo poveikį Sąjungos biudžetui (žr., pvz., </w:t>
      </w:r>
      <w:bookmarkStart w:id="5" w:name="_Hlk242791199"/>
      <w:r w:rsidRPr="00DC182D">
        <w:rPr>
          <w:rFonts w:asciiTheme="majorBidi" w:eastAsia="Times New Roman" w:hAnsiTheme="majorBidi" w:cstheme="majorBidi"/>
          <w:bCs/>
          <w:sz w:val="24"/>
          <w:szCs w:val="24"/>
        </w:rPr>
        <w:t xml:space="preserve">2024 m. spalio 4 d. sprendimo </w:t>
      </w:r>
      <w:proofErr w:type="spellStart"/>
      <w:r w:rsidRPr="00B61ECE">
        <w:rPr>
          <w:rFonts w:asciiTheme="majorBidi" w:eastAsia="Times New Roman" w:hAnsiTheme="majorBidi" w:cstheme="majorBidi"/>
          <w:bCs/>
          <w:i/>
          <w:iCs/>
          <w:sz w:val="24"/>
          <w:szCs w:val="24"/>
        </w:rPr>
        <w:t>Obshtina</w:t>
      </w:r>
      <w:proofErr w:type="spellEnd"/>
      <w:r w:rsidRPr="00B61ECE">
        <w:rPr>
          <w:rFonts w:asciiTheme="majorBidi" w:eastAsia="Times New Roman" w:hAnsiTheme="majorBidi" w:cstheme="majorBidi"/>
          <w:bCs/>
          <w:i/>
          <w:iCs/>
          <w:sz w:val="24"/>
          <w:szCs w:val="24"/>
        </w:rPr>
        <w:t xml:space="preserve"> </w:t>
      </w:r>
      <w:proofErr w:type="spellStart"/>
      <w:r w:rsidRPr="00B61ECE">
        <w:rPr>
          <w:rFonts w:asciiTheme="majorBidi" w:eastAsia="Times New Roman" w:hAnsiTheme="majorBidi" w:cstheme="majorBidi"/>
          <w:bCs/>
          <w:i/>
          <w:iCs/>
          <w:sz w:val="24"/>
          <w:szCs w:val="24"/>
        </w:rPr>
        <w:t>Svishtov</w:t>
      </w:r>
      <w:proofErr w:type="spellEnd"/>
      <w:r w:rsidRPr="00DC182D">
        <w:rPr>
          <w:rFonts w:asciiTheme="majorBidi" w:eastAsia="Times New Roman" w:hAnsiTheme="majorBidi" w:cstheme="majorBidi"/>
          <w:bCs/>
          <w:sz w:val="24"/>
          <w:szCs w:val="24"/>
        </w:rPr>
        <w:t>, C-175/23</w:t>
      </w:r>
      <w:bookmarkEnd w:id="5"/>
      <w:r w:rsidRPr="00DC182D">
        <w:rPr>
          <w:rFonts w:asciiTheme="majorBidi" w:eastAsia="Times New Roman" w:hAnsiTheme="majorBidi" w:cstheme="majorBidi"/>
          <w:bCs/>
          <w:sz w:val="24"/>
          <w:szCs w:val="24"/>
        </w:rPr>
        <w:t>, ECLI:EU:C:2024:853, 27 p.).</w:t>
      </w:r>
    </w:p>
    <w:p w14:paraId="0F935F5C" w14:textId="0F40AF5F" w:rsidR="0099732D" w:rsidRPr="0099732D" w:rsidRDefault="004F1EFB" w:rsidP="00AF34F6">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bCs/>
          <w:sz w:val="24"/>
          <w:szCs w:val="24"/>
        </w:rPr>
      </w:pPr>
      <w:r w:rsidRPr="004F1EFB">
        <w:rPr>
          <w:rFonts w:asciiTheme="majorBidi" w:eastAsia="Times New Roman" w:hAnsiTheme="majorBidi" w:cstheme="majorBidi"/>
          <w:bCs/>
          <w:sz w:val="24"/>
          <w:szCs w:val="24"/>
        </w:rPr>
        <w:t>Lietuvos vyriausiojo administracinio teismo išplėstinė teisėjų kolegija 2026 m. balandžio 29 d. sprendime administracinėje byloje Nr. eA-39-789/2026 yra pasisakiusi, jog tam, kad būtų pagrindas spręsti dėl finansinio koregavimo pagal Reglamento Nr. 1303/2013 143 straipsnį ir PAFT 307 punktą, turi būti nustatyta, kad ūkio subjekto padarytas viešųjų pirkimų reglamentavimo pažeidimas padarė arba galėjo padaryti žalos Europos Sąjungos biudžetui. Pažymėtina, kad nors tokiu atveju nereikalaujama įrodyti konkretaus finansinio poveikio dydžio, žalos atsiradimo galimybė negali būti preziumuojama. Ji turi būti pagrįsta ir individualizuota, analizuojant konkretaus viešojo pirkimo konkurencinę aplinką, pavyzdžiui, nustatant tiekėjų dalyvavimo galimybes ir aktyvumą, konkurencijos realumą, taip pat tai, kokiu būdu viešųjų pirkimų pažeidimas galėjo paveikti atitinkamo fondo lėšų panaudojimą, iškreipti konkurenciją, lemti mažiau ekonomiškai naudingo pasiūlymo pasirinkimą, įvertinant tikėtiną pirkimo rezultatą, jei pažeidimas nebūtų padarytas, ir pan. Vien formalus viešųjų pirkimų reglamentavimo pažeidimo konstatavimas, neatskleidžiant jo (galimo) poveikio Europos Sąjungos biudžetui, t. y. nepagrindus žalos Sąjungos biudžetui, savaime nėra pakankamas pagrindas konstatuoti pažeidimą pagal Reglamentą Nr. 1303/2013 ir taikyti finansinę korekciją.</w:t>
      </w:r>
    </w:p>
    <w:p w14:paraId="640422F6" w14:textId="54D45618" w:rsidR="00567F73" w:rsidRDefault="004F1EFB" w:rsidP="00567F73">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bCs/>
          <w:sz w:val="24"/>
          <w:szCs w:val="24"/>
        </w:rPr>
      </w:pPr>
      <w:r w:rsidRPr="004F1EFB">
        <w:rPr>
          <w:rFonts w:asciiTheme="majorBidi" w:eastAsia="Times New Roman" w:hAnsiTheme="majorBidi" w:cstheme="majorBidi"/>
          <w:bCs/>
          <w:sz w:val="24"/>
          <w:szCs w:val="24"/>
        </w:rPr>
        <w:t xml:space="preserve">Pirmosios instancijos teismas </w:t>
      </w:r>
      <w:r w:rsidR="00567F73">
        <w:rPr>
          <w:rFonts w:asciiTheme="majorBidi" w:eastAsia="Times New Roman" w:hAnsiTheme="majorBidi" w:cstheme="majorBidi"/>
          <w:bCs/>
          <w:sz w:val="24"/>
          <w:szCs w:val="24"/>
        </w:rPr>
        <w:t xml:space="preserve">skundžiamame sprendime vertino, kad </w:t>
      </w:r>
      <w:r w:rsidR="00567F73" w:rsidRPr="00567F73">
        <w:rPr>
          <w:rFonts w:asciiTheme="majorBidi" w:eastAsia="Times New Roman" w:hAnsiTheme="majorBidi" w:cstheme="majorBidi"/>
          <w:bCs/>
          <w:sz w:val="24"/>
          <w:szCs w:val="24"/>
        </w:rPr>
        <w:t>iš CPVA Sprendime aptartų aplinkybių matyti, jog pažeidimas turėjo poveikį ES fondo biudžetui</w:t>
      </w:r>
      <w:r w:rsidR="00B61ECE">
        <w:rPr>
          <w:rFonts w:asciiTheme="majorBidi" w:eastAsia="Times New Roman" w:hAnsiTheme="majorBidi" w:cstheme="majorBidi"/>
          <w:bCs/>
          <w:sz w:val="24"/>
          <w:szCs w:val="24"/>
        </w:rPr>
        <w:t>. Teismo vertinimu,</w:t>
      </w:r>
      <w:r w:rsidR="00567F73">
        <w:rPr>
          <w:rFonts w:asciiTheme="majorBidi" w:eastAsia="Times New Roman" w:hAnsiTheme="majorBidi" w:cstheme="majorBidi"/>
          <w:bCs/>
          <w:sz w:val="24"/>
          <w:szCs w:val="24"/>
        </w:rPr>
        <w:t xml:space="preserve"> š</w:t>
      </w:r>
      <w:r w:rsidR="00567F73" w:rsidRPr="00567F73">
        <w:rPr>
          <w:rFonts w:asciiTheme="majorBidi" w:eastAsia="Times New Roman" w:hAnsiTheme="majorBidi" w:cstheme="majorBidi"/>
          <w:bCs/>
          <w:sz w:val="24"/>
          <w:szCs w:val="24"/>
        </w:rPr>
        <w:t>iuo atveju pareiškėj</w:t>
      </w:r>
      <w:r w:rsidR="00567F73">
        <w:rPr>
          <w:rFonts w:asciiTheme="majorBidi" w:eastAsia="Times New Roman" w:hAnsiTheme="majorBidi" w:cstheme="majorBidi"/>
          <w:bCs/>
          <w:sz w:val="24"/>
          <w:szCs w:val="24"/>
        </w:rPr>
        <w:t>u</w:t>
      </w:r>
      <w:r w:rsidR="00567F73" w:rsidRPr="00567F73">
        <w:rPr>
          <w:rFonts w:asciiTheme="majorBidi" w:eastAsia="Times New Roman" w:hAnsiTheme="majorBidi" w:cstheme="majorBidi"/>
          <w:bCs/>
          <w:sz w:val="24"/>
          <w:szCs w:val="24"/>
        </w:rPr>
        <w:t>i išmokėjus netinkamas finansuoti išlaidas, susijusias su minėtu pažeidimu, yra padaroma žala Europos Sąjungos bendrajam biudžetui.</w:t>
      </w:r>
      <w:r w:rsidR="00567F73">
        <w:rPr>
          <w:rFonts w:asciiTheme="majorBidi" w:eastAsia="Times New Roman" w:hAnsiTheme="majorBidi" w:cstheme="majorBidi"/>
          <w:bCs/>
          <w:sz w:val="24"/>
          <w:szCs w:val="24"/>
        </w:rPr>
        <w:t xml:space="preserve"> Teismas taip pat sprendė, kad CPVA</w:t>
      </w:r>
      <w:r w:rsidR="00567F73" w:rsidRPr="00567F73">
        <w:rPr>
          <w:rFonts w:asciiTheme="majorBidi" w:eastAsia="Times New Roman" w:hAnsiTheme="majorBidi" w:cstheme="majorBidi"/>
          <w:bCs/>
          <w:sz w:val="24"/>
          <w:szCs w:val="24"/>
        </w:rPr>
        <w:t xml:space="preserve">, taikydama finansinę korekciją, pagrįstai ir teisėtai rėmėsi Gairių 2.2 lentelės 14 punkte nustatytu teisiniu </w:t>
      </w:r>
      <w:r w:rsidR="00567F73">
        <w:rPr>
          <w:rFonts w:asciiTheme="majorBidi" w:eastAsia="Times New Roman" w:hAnsiTheme="majorBidi" w:cstheme="majorBidi"/>
          <w:bCs/>
          <w:sz w:val="24"/>
          <w:szCs w:val="24"/>
        </w:rPr>
        <w:t>reguliavimu.</w:t>
      </w:r>
    </w:p>
    <w:p w14:paraId="6923ABC1" w14:textId="7F28E999" w:rsidR="00CE200B" w:rsidRDefault="00567F73" w:rsidP="00CE200B">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bCs/>
          <w:sz w:val="24"/>
          <w:szCs w:val="24"/>
        </w:rPr>
      </w:pPr>
      <w:r w:rsidRPr="00567F73">
        <w:rPr>
          <w:rFonts w:asciiTheme="majorBidi" w:eastAsia="Times New Roman" w:hAnsiTheme="majorBidi" w:cstheme="majorBidi"/>
          <w:bCs/>
          <w:sz w:val="24"/>
          <w:szCs w:val="24"/>
        </w:rPr>
        <w:t xml:space="preserve">CPVA Sprendime </w:t>
      </w:r>
      <w:r w:rsidR="001179D6">
        <w:rPr>
          <w:rFonts w:asciiTheme="majorBidi" w:eastAsia="Times New Roman" w:hAnsiTheme="majorBidi" w:cstheme="majorBidi"/>
          <w:bCs/>
          <w:sz w:val="24"/>
          <w:szCs w:val="24"/>
        </w:rPr>
        <w:t>nurodė, kad</w:t>
      </w:r>
      <w:r w:rsidRPr="00567F73">
        <w:t xml:space="preserve"> </w:t>
      </w:r>
      <w:r w:rsidRPr="00567F73">
        <w:rPr>
          <w:rFonts w:asciiTheme="majorBidi" w:eastAsia="Times New Roman" w:hAnsiTheme="majorBidi" w:cstheme="majorBidi"/>
          <w:bCs/>
          <w:sz w:val="24"/>
          <w:szCs w:val="24"/>
        </w:rPr>
        <w:t>nustatydama tinkamų (netinkamų) finansuoti išlaidų sumą, vadovaujasi PAFT nuostatomis, Gairių 2.2 lentelės 14</w:t>
      </w:r>
      <w:r w:rsidR="001179D6">
        <w:rPr>
          <w:rFonts w:asciiTheme="majorBidi" w:eastAsia="Times New Roman" w:hAnsiTheme="majorBidi" w:cstheme="majorBidi"/>
          <w:bCs/>
          <w:sz w:val="24"/>
          <w:szCs w:val="24"/>
        </w:rPr>
        <w:t> </w:t>
      </w:r>
      <w:r w:rsidRPr="00567F73">
        <w:rPr>
          <w:rFonts w:asciiTheme="majorBidi" w:eastAsia="Times New Roman" w:hAnsiTheme="majorBidi" w:cstheme="majorBidi"/>
          <w:bCs/>
          <w:sz w:val="24"/>
          <w:szCs w:val="24"/>
        </w:rPr>
        <w:t>punktu ir atsižvelg</w:t>
      </w:r>
      <w:r w:rsidR="00E758DA">
        <w:rPr>
          <w:rFonts w:asciiTheme="majorBidi" w:eastAsia="Times New Roman" w:hAnsiTheme="majorBidi" w:cstheme="majorBidi"/>
          <w:bCs/>
          <w:sz w:val="24"/>
          <w:szCs w:val="24"/>
        </w:rPr>
        <w:t>usi</w:t>
      </w:r>
      <w:r w:rsidRPr="00567F73">
        <w:rPr>
          <w:rFonts w:asciiTheme="majorBidi" w:eastAsia="Times New Roman" w:hAnsiTheme="majorBidi" w:cstheme="majorBidi"/>
          <w:bCs/>
          <w:sz w:val="24"/>
          <w:szCs w:val="24"/>
        </w:rPr>
        <w:t xml:space="preserve"> į tai, kad Perkančioji organizacija Pirkimo laimėtoju pripažino kandidatą, kurio siūlomas butas neatitiko Pirkimo sąlygų reikalavimų, tokiu būdu pažeidžiant skaidrumo ir lygiateisiškumo principus,</w:t>
      </w:r>
      <w:r>
        <w:rPr>
          <w:rFonts w:asciiTheme="majorBidi" w:eastAsia="Times New Roman" w:hAnsiTheme="majorBidi" w:cstheme="majorBidi"/>
          <w:bCs/>
          <w:sz w:val="24"/>
          <w:szCs w:val="24"/>
        </w:rPr>
        <w:t xml:space="preserve"> </w:t>
      </w:r>
      <w:r w:rsidRPr="00567F73">
        <w:rPr>
          <w:rFonts w:asciiTheme="majorBidi" w:eastAsia="Times New Roman" w:hAnsiTheme="majorBidi" w:cstheme="majorBidi"/>
          <w:bCs/>
          <w:sz w:val="24"/>
          <w:szCs w:val="24"/>
        </w:rPr>
        <w:t>taik</w:t>
      </w:r>
      <w:r>
        <w:rPr>
          <w:rFonts w:asciiTheme="majorBidi" w:eastAsia="Times New Roman" w:hAnsiTheme="majorBidi" w:cstheme="majorBidi"/>
          <w:bCs/>
          <w:sz w:val="24"/>
          <w:szCs w:val="24"/>
        </w:rPr>
        <w:t>ė</w:t>
      </w:r>
      <w:r w:rsidRPr="00567F73">
        <w:rPr>
          <w:rFonts w:asciiTheme="majorBidi" w:eastAsia="Times New Roman" w:hAnsiTheme="majorBidi" w:cstheme="majorBidi"/>
          <w:bCs/>
          <w:sz w:val="24"/>
          <w:szCs w:val="24"/>
        </w:rPr>
        <w:t xml:space="preserve"> 25 proc. pataisos normą nuo Pirkimo sutarties vertės, tenkanči</w:t>
      </w:r>
      <w:r>
        <w:rPr>
          <w:rFonts w:asciiTheme="majorBidi" w:eastAsia="Times New Roman" w:hAnsiTheme="majorBidi" w:cstheme="majorBidi"/>
          <w:bCs/>
          <w:sz w:val="24"/>
          <w:szCs w:val="24"/>
        </w:rPr>
        <w:t>o</w:t>
      </w:r>
      <w:r w:rsidRPr="00567F73">
        <w:rPr>
          <w:rFonts w:asciiTheme="majorBidi" w:eastAsia="Times New Roman" w:hAnsiTheme="majorBidi" w:cstheme="majorBidi"/>
          <w:bCs/>
          <w:sz w:val="24"/>
          <w:szCs w:val="24"/>
        </w:rPr>
        <w:t>s Projektui (</w:t>
      </w:r>
      <w:r w:rsidR="00D71B8C" w:rsidRPr="00D71B8C">
        <w:rPr>
          <w:rFonts w:asciiTheme="majorBidi" w:eastAsia="Times New Roman" w:hAnsiTheme="majorBidi" w:cstheme="majorBidi"/>
          <w:bCs/>
          <w:sz w:val="24"/>
          <w:szCs w:val="24"/>
        </w:rPr>
        <w:t>55</w:t>
      </w:r>
      <w:r w:rsidR="00D71B8C">
        <w:rPr>
          <w:rFonts w:asciiTheme="majorBidi" w:eastAsia="Times New Roman" w:hAnsiTheme="majorBidi" w:cstheme="majorBidi"/>
          <w:bCs/>
          <w:sz w:val="24"/>
          <w:szCs w:val="24"/>
        </w:rPr>
        <w:t> </w:t>
      </w:r>
      <w:r w:rsidR="00D71B8C" w:rsidRPr="00D71B8C">
        <w:rPr>
          <w:rFonts w:asciiTheme="majorBidi" w:eastAsia="Times New Roman" w:hAnsiTheme="majorBidi" w:cstheme="majorBidi"/>
          <w:bCs/>
          <w:sz w:val="24"/>
          <w:szCs w:val="24"/>
        </w:rPr>
        <w:t>800 Eur</w:t>
      </w:r>
      <w:r w:rsidR="00D71B8C">
        <w:rPr>
          <w:rFonts w:asciiTheme="majorBidi" w:eastAsia="Times New Roman" w:hAnsiTheme="majorBidi" w:cstheme="majorBidi"/>
          <w:bCs/>
          <w:sz w:val="24"/>
          <w:szCs w:val="24"/>
        </w:rPr>
        <w:t>).</w:t>
      </w:r>
    </w:p>
    <w:p w14:paraId="2EEF4640" w14:textId="5F9682C0" w:rsidR="000122C9" w:rsidRDefault="00CE200B" w:rsidP="00471E88">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bCs/>
          <w:sz w:val="24"/>
          <w:szCs w:val="24"/>
        </w:rPr>
      </w:pPr>
      <w:r w:rsidRPr="000122C9">
        <w:rPr>
          <w:rFonts w:asciiTheme="majorBidi" w:eastAsia="Times New Roman" w:hAnsiTheme="majorBidi" w:cstheme="majorBidi"/>
          <w:bCs/>
          <w:sz w:val="24"/>
          <w:szCs w:val="24"/>
        </w:rPr>
        <w:lastRenderedPageBreak/>
        <w:t xml:space="preserve">Įvertinusi CPVA Sprendimo turinį, teisėjų kolegija konstatuoja, kad jame nėra argumentų, pagrindžiančių Aprašo ir Pirkimo sąlygų nuostatų (be kita ko, ir Aprašo 3 punkte nustatytų skaidrumo ir lygiateisiškumo principų) pažeidimo poveikį Europos Sąjungos biudžetui. Atsižvelgiant į tai spręstina, kad CVPA, spręsdama dėl pareiškėjui taikytinos finansinės korekcijos, laikė nustatytą minėtų teisės aktų pažeidimą automatiškai darančiu žalą Europos Sąjungos biudžetui, tuo nesilaikydama Reglamento Nr. 1303/2013 2 straipsnio 36 punkto nuostatų. </w:t>
      </w:r>
      <w:r w:rsidR="00D91418" w:rsidRPr="00D91418">
        <w:rPr>
          <w:rFonts w:asciiTheme="majorBidi" w:eastAsia="Times New Roman" w:hAnsiTheme="majorBidi" w:cstheme="majorBidi"/>
          <w:bCs/>
          <w:sz w:val="24"/>
          <w:szCs w:val="24"/>
        </w:rPr>
        <w:t xml:space="preserve">Taip pat atsakovas </w:t>
      </w:r>
      <w:r w:rsidR="00B61ECE">
        <w:rPr>
          <w:rFonts w:asciiTheme="majorBidi" w:eastAsia="Times New Roman" w:hAnsiTheme="majorBidi" w:cstheme="majorBidi"/>
          <w:bCs/>
          <w:sz w:val="24"/>
          <w:szCs w:val="24"/>
        </w:rPr>
        <w:t>Sprendime</w:t>
      </w:r>
      <w:r w:rsidR="00D91418" w:rsidRPr="00D91418">
        <w:rPr>
          <w:rFonts w:asciiTheme="majorBidi" w:eastAsia="Times New Roman" w:hAnsiTheme="majorBidi" w:cstheme="majorBidi"/>
          <w:bCs/>
          <w:sz w:val="24"/>
          <w:szCs w:val="24"/>
        </w:rPr>
        <w:t xml:space="preserve"> individualizuotais teisiniais argumentais nepagrindė, kodėl neįmanoma tiksliai apskaičiuoti iš fondų mokėtinos neteisėtų išlaidų sumos ir dėl to taikoma fiksuoto dydžio finansinė korekcija.</w:t>
      </w:r>
      <w:r w:rsidR="00D91418">
        <w:rPr>
          <w:rFonts w:asciiTheme="majorBidi" w:eastAsia="Times New Roman" w:hAnsiTheme="majorBidi" w:cstheme="majorBidi"/>
          <w:bCs/>
          <w:sz w:val="24"/>
          <w:szCs w:val="24"/>
        </w:rPr>
        <w:t xml:space="preserve"> </w:t>
      </w:r>
      <w:r w:rsidRPr="000122C9">
        <w:rPr>
          <w:rFonts w:asciiTheme="majorBidi" w:eastAsia="Times New Roman" w:hAnsiTheme="majorBidi" w:cstheme="majorBidi"/>
          <w:bCs/>
          <w:sz w:val="24"/>
          <w:szCs w:val="24"/>
        </w:rPr>
        <w:t>Kaip minėta, finansinė korekcija gali būti taikoma tik pažeidimo, kaip jis suprantamas pagal Reglamentą Nr. 1303/2013, t. y. visų trijų būtinųjų jo sąlygų</w:t>
      </w:r>
      <w:r w:rsidR="00E758DA">
        <w:rPr>
          <w:rFonts w:asciiTheme="majorBidi" w:eastAsia="Times New Roman" w:hAnsiTheme="majorBidi" w:cstheme="majorBidi"/>
          <w:bCs/>
          <w:sz w:val="24"/>
          <w:szCs w:val="24"/>
        </w:rPr>
        <w:t>,</w:t>
      </w:r>
      <w:r w:rsidRPr="000122C9">
        <w:rPr>
          <w:rFonts w:asciiTheme="majorBidi" w:eastAsia="Times New Roman" w:hAnsiTheme="majorBidi" w:cstheme="majorBidi"/>
          <w:bCs/>
          <w:sz w:val="24"/>
          <w:szCs w:val="24"/>
        </w:rPr>
        <w:t xml:space="preserve"> nustatymo atveju. </w:t>
      </w:r>
    </w:p>
    <w:p w14:paraId="0E76E017" w14:textId="03114A9F" w:rsidR="000122C9" w:rsidRDefault="000122C9" w:rsidP="000122C9">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bCs/>
          <w:sz w:val="24"/>
          <w:szCs w:val="24"/>
        </w:rPr>
      </w:pPr>
      <w:r w:rsidRPr="000122C9">
        <w:rPr>
          <w:rFonts w:asciiTheme="majorBidi" w:eastAsia="Times New Roman" w:hAnsiTheme="majorBidi" w:cstheme="majorBidi"/>
          <w:bCs/>
          <w:sz w:val="24"/>
          <w:szCs w:val="24"/>
        </w:rPr>
        <w:t xml:space="preserve">Atsižvelgdama į nurodytus argumentus, teisėjų kolegija sprendžia, kad nenustačiusi ir nepagrindusi visų pažeidimui konstatuoti būtinų sąlygų, </w:t>
      </w:r>
      <w:r>
        <w:rPr>
          <w:rFonts w:asciiTheme="majorBidi" w:eastAsia="Times New Roman" w:hAnsiTheme="majorBidi" w:cstheme="majorBidi"/>
          <w:bCs/>
          <w:sz w:val="24"/>
          <w:szCs w:val="24"/>
        </w:rPr>
        <w:t>CPVA</w:t>
      </w:r>
      <w:r w:rsidRPr="000122C9">
        <w:rPr>
          <w:rFonts w:asciiTheme="majorBidi" w:eastAsia="Times New Roman" w:hAnsiTheme="majorBidi" w:cstheme="majorBidi"/>
          <w:bCs/>
          <w:sz w:val="24"/>
          <w:szCs w:val="24"/>
        </w:rPr>
        <w:t xml:space="preserve"> neturėjo teisinio ir faktinio pagrindo spręsti dėl pareiškėjui taikytinos finansinės korekcijos ir ši aplinkybė yra pakankamas pagrindas panaikinti ginčijamą </w:t>
      </w:r>
      <w:r w:rsidR="00B61ECE">
        <w:rPr>
          <w:rFonts w:asciiTheme="majorBidi" w:eastAsia="Times New Roman" w:hAnsiTheme="majorBidi" w:cstheme="majorBidi"/>
          <w:bCs/>
          <w:sz w:val="24"/>
          <w:szCs w:val="24"/>
        </w:rPr>
        <w:t xml:space="preserve">CPVA </w:t>
      </w:r>
      <w:r w:rsidRPr="000122C9">
        <w:rPr>
          <w:rFonts w:asciiTheme="majorBidi" w:eastAsia="Times New Roman" w:hAnsiTheme="majorBidi" w:cstheme="majorBidi"/>
          <w:bCs/>
          <w:sz w:val="24"/>
          <w:szCs w:val="24"/>
        </w:rPr>
        <w:t>Sprendimą, kaip neatitinkantį imperatyvių V</w:t>
      </w:r>
      <w:r w:rsidR="00E758DA">
        <w:rPr>
          <w:rFonts w:asciiTheme="majorBidi" w:eastAsia="Times New Roman" w:hAnsiTheme="majorBidi" w:cstheme="majorBidi"/>
          <w:bCs/>
          <w:sz w:val="24"/>
          <w:szCs w:val="24"/>
        </w:rPr>
        <w:t>iešojo administravimo įstatymo</w:t>
      </w:r>
      <w:r w:rsidRPr="000122C9">
        <w:rPr>
          <w:rFonts w:asciiTheme="majorBidi" w:eastAsia="Times New Roman" w:hAnsiTheme="majorBidi" w:cstheme="majorBidi"/>
          <w:bCs/>
          <w:sz w:val="24"/>
          <w:szCs w:val="24"/>
        </w:rPr>
        <w:t xml:space="preserve"> 10 straipsnio 5 dalies 5 ir 6 punktų reikalavimų. Dėl šios priežasties atskiras Sprendimu parinktos finansinės korekcijos proporcingumo vertinimas nagrinėjamu atveju yra perteklinis ir nebeturi teisinės reikšmės bylos procesinei baigčiai, todėl nėra atliekamas.</w:t>
      </w:r>
    </w:p>
    <w:p w14:paraId="739B5737" w14:textId="14630928" w:rsidR="000122C9" w:rsidRPr="000122C9" w:rsidRDefault="000122C9" w:rsidP="000122C9">
      <w:pPr>
        <w:numPr>
          <w:ilvl w:val="0"/>
          <w:numId w:val="1"/>
        </w:numPr>
        <w:shd w:val="clear" w:color="auto" w:fill="FFFFFF"/>
        <w:tabs>
          <w:tab w:val="left" w:pos="1134"/>
        </w:tabs>
        <w:spacing w:line="240" w:lineRule="auto"/>
        <w:ind w:left="0" w:firstLine="709"/>
        <w:jc w:val="both"/>
        <w:rPr>
          <w:rFonts w:asciiTheme="majorBidi" w:eastAsia="Times New Roman" w:hAnsiTheme="majorBidi" w:cstheme="majorBidi"/>
          <w:bCs/>
          <w:sz w:val="24"/>
          <w:szCs w:val="24"/>
        </w:rPr>
      </w:pPr>
      <w:r w:rsidRPr="000122C9">
        <w:rPr>
          <w:rFonts w:asciiTheme="majorBidi" w:eastAsia="Times New Roman" w:hAnsiTheme="majorBidi" w:cstheme="majorBidi"/>
          <w:bCs/>
          <w:sz w:val="24"/>
          <w:szCs w:val="24"/>
        </w:rPr>
        <w:t xml:space="preserve">Teisėjų kolegija pažymi, kad nagrinėjamu atveju konstatavus, jog ginčijamas </w:t>
      </w:r>
      <w:r w:rsidR="00D91418">
        <w:rPr>
          <w:rFonts w:asciiTheme="majorBidi" w:eastAsia="Times New Roman" w:hAnsiTheme="majorBidi" w:cstheme="majorBidi"/>
          <w:bCs/>
          <w:sz w:val="24"/>
          <w:szCs w:val="24"/>
        </w:rPr>
        <w:t xml:space="preserve">CPVA </w:t>
      </w:r>
      <w:r w:rsidRPr="000122C9">
        <w:rPr>
          <w:rFonts w:asciiTheme="majorBidi" w:eastAsia="Times New Roman" w:hAnsiTheme="majorBidi" w:cstheme="majorBidi"/>
          <w:bCs/>
          <w:sz w:val="24"/>
          <w:szCs w:val="24"/>
        </w:rPr>
        <w:t xml:space="preserve">Sprendimas nėra pagrįstas teisinėmis ir faktinėmis aplinkybėmis dėl finansinės korekcijos taikymo pareiškėjui ir jį panaikinus, pradėto pažeidimo tyrimo procedūra lieka neužbaigta. Užbaigusi minėtą procedūrą, </w:t>
      </w:r>
      <w:r w:rsidR="00D91418">
        <w:rPr>
          <w:rFonts w:asciiTheme="majorBidi" w:eastAsia="Times New Roman" w:hAnsiTheme="majorBidi" w:cstheme="majorBidi"/>
          <w:bCs/>
          <w:sz w:val="24"/>
          <w:szCs w:val="24"/>
        </w:rPr>
        <w:t>CPVA</w:t>
      </w:r>
      <w:r w:rsidRPr="000122C9">
        <w:rPr>
          <w:rFonts w:asciiTheme="majorBidi" w:eastAsia="Times New Roman" w:hAnsiTheme="majorBidi" w:cstheme="majorBidi"/>
          <w:bCs/>
          <w:sz w:val="24"/>
          <w:szCs w:val="24"/>
        </w:rPr>
        <w:t xml:space="preserve"> dėl to turės priimti naują sprendimą.</w:t>
      </w:r>
    </w:p>
    <w:p w14:paraId="5688E87C" w14:textId="7A59CF1B" w:rsidR="00AF34F6" w:rsidRPr="00FA26E3" w:rsidRDefault="00AF34F6" w:rsidP="00AF34F6">
      <w:pPr>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sz w:val="24"/>
          <w:szCs w:val="24"/>
          <w:lang w:val="lt-LT"/>
        </w:rPr>
      </w:pPr>
      <w:r w:rsidRPr="00FA26E3">
        <w:rPr>
          <w:rFonts w:ascii="Times New Roman" w:eastAsia="Times New Roman" w:hAnsi="Times New Roman" w:cs="Times New Roman"/>
          <w:bCs/>
          <w:sz w:val="24"/>
          <w:szCs w:val="24"/>
        </w:rPr>
        <w:t>Teisėjų kolegijos vertinimu, kiti šalių procesiniuose dokumentuose pateikti argumentai ir tikrinamo pirmosios instancijos teismo motyvai neturi esminės teisinės reikšmės bylai teisingai išspręsti ir nekeičia šioje byloje susiklosčiusios situacijos teisinio vertinimo.</w:t>
      </w:r>
    </w:p>
    <w:p w14:paraId="3039D151" w14:textId="496874B4" w:rsidR="00AF34F6" w:rsidRPr="00FA26E3" w:rsidRDefault="00EF48CB" w:rsidP="00AF34F6">
      <w:pPr>
        <w:pStyle w:val="Sraopastraipa"/>
        <w:numPr>
          <w:ilvl w:val="0"/>
          <w:numId w:val="1"/>
        </w:numPr>
        <w:shd w:val="clear" w:color="auto" w:fill="FFFFFF"/>
        <w:tabs>
          <w:tab w:val="left" w:pos="1134"/>
        </w:tabs>
        <w:spacing w:line="240" w:lineRule="auto"/>
        <w:ind w:left="0" w:firstLine="709"/>
        <w:jc w:val="both"/>
        <w:rPr>
          <w:rFonts w:ascii="Times New Roman" w:eastAsia="Times New Roman" w:hAnsi="Times New Roman" w:cs="Times New Roman"/>
          <w:bCs/>
          <w:sz w:val="24"/>
          <w:szCs w:val="24"/>
          <w:lang w:val="lt-LT"/>
        </w:rPr>
      </w:pPr>
      <w:r w:rsidRPr="00FA26E3">
        <w:rPr>
          <w:rFonts w:ascii="Times New Roman" w:eastAsia="Times New Roman" w:hAnsi="Times New Roman" w:cs="Times New Roman"/>
          <w:bCs/>
          <w:sz w:val="24"/>
          <w:szCs w:val="24"/>
        </w:rPr>
        <w:t xml:space="preserve">Apibendrindama apeliacinės instancijos teismo teisėjų kolegija konstatuoja, kad </w:t>
      </w:r>
      <w:r w:rsidR="003D7313" w:rsidRPr="00FA26E3">
        <w:rPr>
          <w:rFonts w:ascii="Times New Roman" w:eastAsia="Times New Roman" w:hAnsi="Times New Roman" w:cs="Times New Roman"/>
          <w:sz w:val="24"/>
          <w:szCs w:val="24"/>
        </w:rPr>
        <w:t>pareiškėjo ir trečiojo suinteresuoto asmens apeliaciniai skundai yra tenkinami, tikrinamas pirmosios instancijos teismo sprendimas panaikinamas ir priimamas naujas sprendimas – tenkinti pareiškėjo skundą ir panaikinti ginčijamą Sprendimą.</w:t>
      </w:r>
    </w:p>
    <w:p w14:paraId="58DB80EA" w14:textId="77777777" w:rsidR="00896F77" w:rsidRPr="00FA26E3" w:rsidRDefault="00896F77" w:rsidP="004566A0">
      <w:pPr>
        <w:shd w:val="clear" w:color="auto" w:fill="FFFFFF"/>
        <w:tabs>
          <w:tab w:val="left" w:pos="1134"/>
        </w:tabs>
        <w:spacing w:line="240" w:lineRule="auto"/>
        <w:ind w:firstLine="709"/>
        <w:jc w:val="both"/>
        <w:rPr>
          <w:rFonts w:asciiTheme="majorBidi" w:hAnsiTheme="majorBidi" w:cstheme="majorBidi"/>
          <w:sz w:val="24"/>
          <w:szCs w:val="24"/>
        </w:rPr>
      </w:pPr>
    </w:p>
    <w:p w14:paraId="4C8A4EC0" w14:textId="669745F2" w:rsidR="004566A0" w:rsidRPr="00FA26E3" w:rsidRDefault="004566A0" w:rsidP="004566A0">
      <w:pPr>
        <w:shd w:val="clear" w:color="auto" w:fill="FFFFFF"/>
        <w:tabs>
          <w:tab w:val="left" w:pos="1134"/>
        </w:tabs>
        <w:spacing w:line="240" w:lineRule="auto"/>
        <w:ind w:firstLine="709"/>
        <w:jc w:val="both"/>
        <w:rPr>
          <w:rFonts w:ascii="Times New Roman" w:eastAsia="Times New Roman" w:hAnsi="Times New Roman" w:cs="Times New Roman"/>
          <w:bCs/>
          <w:sz w:val="24"/>
          <w:szCs w:val="24"/>
          <w:lang w:val="lt-LT"/>
        </w:rPr>
      </w:pPr>
      <w:r w:rsidRPr="00FA26E3">
        <w:rPr>
          <w:rFonts w:ascii="Times New Roman" w:eastAsia="Times New Roman" w:hAnsi="Times New Roman" w:cs="Times New Roman"/>
          <w:bCs/>
          <w:sz w:val="24"/>
          <w:szCs w:val="24"/>
          <w:lang w:val="lt-LT"/>
        </w:rPr>
        <w:t xml:space="preserve">Vadovaudamasi Lietuvos Respublikos administracinių bylų teisenos įstatymo </w:t>
      </w:r>
      <w:r w:rsidR="00912582" w:rsidRPr="00FA26E3">
        <w:rPr>
          <w:rFonts w:ascii="Times New Roman" w:eastAsia="Times New Roman" w:hAnsi="Times New Roman" w:cs="Times New Roman"/>
          <w:bCs/>
          <w:sz w:val="24"/>
          <w:szCs w:val="24"/>
          <w:lang w:val="lt-LT"/>
        </w:rPr>
        <w:t xml:space="preserve">144 straipsnio 1 dalies </w:t>
      </w:r>
      <w:r w:rsidR="00CE1D86">
        <w:rPr>
          <w:rFonts w:ascii="Times New Roman" w:eastAsia="Times New Roman" w:hAnsi="Times New Roman" w:cs="Times New Roman"/>
          <w:bCs/>
          <w:sz w:val="24"/>
          <w:szCs w:val="24"/>
          <w:lang w:val="lt-LT"/>
        </w:rPr>
        <w:t>2</w:t>
      </w:r>
      <w:r w:rsidR="00DD4ED1" w:rsidRPr="00FA26E3">
        <w:rPr>
          <w:rFonts w:ascii="Times New Roman" w:eastAsia="Times New Roman" w:hAnsi="Times New Roman" w:cs="Times New Roman"/>
          <w:bCs/>
          <w:sz w:val="24"/>
          <w:szCs w:val="24"/>
          <w:lang w:val="lt-LT"/>
        </w:rPr>
        <w:t xml:space="preserve"> </w:t>
      </w:r>
      <w:r w:rsidR="00912582" w:rsidRPr="00FA26E3">
        <w:rPr>
          <w:rFonts w:ascii="Times New Roman" w:eastAsia="Times New Roman" w:hAnsi="Times New Roman" w:cs="Times New Roman"/>
          <w:bCs/>
          <w:sz w:val="24"/>
          <w:szCs w:val="24"/>
          <w:lang w:val="lt-LT"/>
        </w:rPr>
        <w:t xml:space="preserve">punktu, </w:t>
      </w:r>
      <w:r w:rsidRPr="00FA26E3">
        <w:rPr>
          <w:rFonts w:ascii="Times New Roman" w:eastAsia="Times New Roman" w:hAnsi="Times New Roman" w:cs="Times New Roman"/>
          <w:bCs/>
          <w:sz w:val="24"/>
          <w:szCs w:val="24"/>
          <w:lang w:val="lt-LT"/>
        </w:rPr>
        <w:t>teisėjų kolegija</w:t>
      </w:r>
    </w:p>
    <w:p w14:paraId="6F540B41" w14:textId="77777777" w:rsidR="005D32F1" w:rsidRPr="00FA26E3" w:rsidRDefault="005D32F1" w:rsidP="004566A0">
      <w:pPr>
        <w:shd w:val="clear" w:color="auto" w:fill="FFFFFF"/>
        <w:tabs>
          <w:tab w:val="left" w:pos="1134"/>
        </w:tabs>
        <w:spacing w:line="240" w:lineRule="auto"/>
        <w:ind w:left="709"/>
        <w:jc w:val="both"/>
        <w:rPr>
          <w:rFonts w:ascii="Times New Roman" w:eastAsia="Times New Roman" w:hAnsi="Times New Roman" w:cs="Times New Roman"/>
          <w:bCs/>
          <w:sz w:val="24"/>
          <w:szCs w:val="24"/>
        </w:rPr>
      </w:pPr>
    </w:p>
    <w:p w14:paraId="0640B1BB" w14:textId="1849610A" w:rsidR="005D32F1" w:rsidRPr="00FA26E3" w:rsidRDefault="003453C3">
      <w:pPr>
        <w:tabs>
          <w:tab w:val="left" w:pos="142"/>
        </w:tabs>
        <w:spacing w:line="240" w:lineRule="auto"/>
        <w:ind w:right="2"/>
        <w:rPr>
          <w:rFonts w:ascii="Times New Roman" w:eastAsia="Times New Roman" w:hAnsi="Times New Roman" w:cs="Times New Roman"/>
          <w:sz w:val="24"/>
          <w:szCs w:val="24"/>
        </w:rPr>
      </w:pPr>
      <w:r w:rsidRPr="00FA26E3">
        <w:rPr>
          <w:rFonts w:ascii="Times New Roman" w:eastAsia="Times New Roman" w:hAnsi="Times New Roman" w:cs="Times New Roman"/>
          <w:sz w:val="24"/>
          <w:szCs w:val="24"/>
        </w:rPr>
        <w:t xml:space="preserve">n u </w:t>
      </w:r>
      <w:r w:rsidR="00E80CF5" w:rsidRPr="00FA26E3">
        <w:rPr>
          <w:rFonts w:ascii="Times New Roman" w:eastAsia="Times New Roman" w:hAnsi="Times New Roman" w:cs="Times New Roman"/>
          <w:sz w:val="24"/>
          <w:szCs w:val="24"/>
        </w:rPr>
        <w:t>s p r e n d ž</w:t>
      </w:r>
      <w:r w:rsidR="00771270" w:rsidRPr="00FA26E3">
        <w:rPr>
          <w:rFonts w:ascii="Times New Roman" w:eastAsia="Times New Roman" w:hAnsi="Times New Roman" w:cs="Times New Roman"/>
          <w:sz w:val="24"/>
          <w:szCs w:val="24"/>
        </w:rPr>
        <w:t xml:space="preserve"> i a:</w:t>
      </w:r>
    </w:p>
    <w:p w14:paraId="7AEF02CF" w14:textId="77777777" w:rsidR="005D32F1" w:rsidRPr="00FA26E3" w:rsidRDefault="005D32F1">
      <w:pPr>
        <w:tabs>
          <w:tab w:val="left" w:pos="142"/>
          <w:tab w:val="left" w:pos="1134"/>
        </w:tabs>
        <w:spacing w:line="240" w:lineRule="auto"/>
        <w:ind w:right="2" w:firstLine="709"/>
        <w:rPr>
          <w:rFonts w:ascii="Times New Roman" w:eastAsia="Times New Roman" w:hAnsi="Times New Roman" w:cs="Times New Roman"/>
          <w:sz w:val="24"/>
          <w:szCs w:val="24"/>
        </w:rPr>
      </w:pPr>
    </w:p>
    <w:p w14:paraId="68A94912" w14:textId="31999815" w:rsidR="00DD4ED1" w:rsidRPr="00FA26E3" w:rsidRDefault="00D0232F" w:rsidP="000F5778">
      <w:pPr>
        <w:tabs>
          <w:tab w:val="left" w:pos="142"/>
          <w:tab w:val="left" w:pos="1134"/>
        </w:tabs>
        <w:spacing w:line="240" w:lineRule="auto"/>
        <w:ind w:firstLine="705"/>
        <w:jc w:val="both"/>
        <w:rPr>
          <w:rFonts w:ascii="Times New Roman" w:eastAsia="Times New Roman" w:hAnsi="Times New Roman" w:cs="Times New Roman"/>
          <w:bCs/>
          <w:iCs/>
          <w:sz w:val="24"/>
          <w:szCs w:val="24"/>
        </w:rPr>
      </w:pPr>
      <w:r w:rsidRPr="00FA26E3">
        <w:rPr>
          <w:rFonts w:ascii="Times New Roman" w:eastAsia="Times New Roman" w:hAnsi="Times New Roman" w:cs="Times New Roman"/>
          <w:bCs/>
          <w:iCs/>
          <w:sz w:val="24"/>
          <w:szCs w:val="24"/>
        </w:rPr>
        <w:t>Pareiškėj</w:t>
      </w:r>
      <w:r w:rsidR="000F5778" w:rsidRPr="00FA26E3">
        <w:rPr>
          <w:rFonts w:ascii="Times New Roman" w:eastAsia="Times New Roman" w:hAnsi="Times New Roman" w:cs="Times New Roman"/>
          <w:bCs/>
          <w:iCs/>
          <w:sz w:val="24"/>
          <w:szCs w:val="24"/>
        </w:rPr>
        <w:t>o</w:t>
      </w:r>
      <w:r w:rsidRPr="00FA26E3">
        <w:rPr>
          <w:rFonts w:ascii="Times New Roman" w:eastAsia="Times New Roman" w:hAnsi="Times New Roman" w:cs="Times New Roman"/>
          <w:bCs/>
          <w:iCs/>
          <w:sz w:val="24"/>
          <w:szCs w:val="24"/>
        </w:rPr>
        <w:t xml:space="preserve"> </w:t>
      </w:r>
      <w:bookmarkStart w:id="6" w:name="_Hlk218699559"/>
      <w:r w:rsidR="000F5778" w:rsidRPr="00FA26E3">
        <w:rPr>
          <w:rFonts w:ascii="Times New Roman" w:eastAsia="Times New Roman" w:hAnsi="Times New Roman" w:cs="Times New Roman"/>
          <w:bCs/>
          <w:iCs/>
          <w:sz w:val="24"/>
          <w:szCs w:val="24"/>
          <w:lang w:val="lt-LT"/>
        </w:rPr>
        <w:t xml:space="preserve">Vilniaus miesto savivaldybės administracijos </w:t>
      </w:r>
      <w:r w:rsidR="00D3097E" w:rsidRPr="00FA26E3">
        <w:rPr>
          <w:rFonts w:ascii="Times New Roman" w:eastAsia="Times New Roman" w:hAnsi="Times New Roman" w:cs="Times New Roman"/>
          <w:bCs/>
          <w:iCs/>
          <w:sz w:val="24"/>
          <w:szCs w:val="24"/>
        </w:rPr>
        <w:t xml:space="preserve">ir </w:t>
      </w:r>
      <w:bookmarkEnd w:id="6"/>
      <w:r w:rsidR="000F5778" w:rsidRPr="00FA26E3">
        <w:rPr>
          <w:rFonts w:ascii="Times New Roman" w:eastAsia="Times New Roman" w:hAnsi="Times New Roman" w:cs="Times New Roman"/>
          <w:bCs/>
          <w:iCs/>
          <w:sz w:val="24"/>
          <w:szCs w:val="24"/>
        </w:rPr>
        <w:t xml:space="preserve">trečiojo </w:t>
      </w:r>
      <w:r w:rsidR="000F5778" w:rsidRPr="00FA26E3">
        <w:rPr>
          <w:rFonts w:ascii="Times New Roman" w:eastAsia="Times New Roman" w:hAnsi="Times New Roman" w:cs="Times New Roman"/>
          <w:bCs/>
          <w:iCs/>
          <w:sz w:val="24"/>
          <w:szCs w:val="24"/>
          <w:lang w:val="lt-LT"/>
        </w:rPr>
        <w:t>suinteresuoto</w:t>
      </w:r>
      <w:r w:rsidR="000F5778" w:rsidRPr="00FA26E3">
        <w:rPr>
          <w:rFonts w:ascii="Times New Roman" w:eastAsia="Times New Roman" w:hAnsi="Times New Roman" w:cs="Times New Roman"/>
          <w:bCs/>
          <w:iCs/>
          <w:sz w:val="24"/>
          <w:szCs w:val="24"/>
        </w:rPr>
        <w:t xml:space="preserve"> asmens savivaldybės įmonės „Vilniaus miesto </w:t>
      </w:r>
      <w:r w:rsidR="000F5778" w:rsidRPr="00FA26E3">
        <w:rPr>
          <w:rFonts w:ascii="Times New Roman" w:eastAsia="Times New Roman" w:hAnsi="Times New Roman" w:cs="Times New Roman"/>
          <w:bCs/>
          <w:iCs/>
          <w:sz w:val="24"/>
          <w:szCs w:val="24"/>
          <w:lang w:val="lt-LT"/>
        </w:rPr>
        <w:t xml:space="preserve">būstas“ </w:t>
      </w:r>
      <w:r w:rsidR="00DD4ED1" w:rsidRPr="00FA26E3">
        <w:rPr>
          <w:rFonts w:ascii="Times New Roman" w:eastAsia="Times New Roman" w:hAnsi="Times New Roman" w:cs="Times New Roman"/>
          <w:sz w:val="24"/>
          <w:szCs w:val="24"/>
          <w:lang w:val="lt-LT"/>
        </w:rPr>
        <w:t>apeliacin</w:t>
      </w:r>
      <w:r w:rsidR="00E80CF5" w:rsidRPr="00FA26E3">
        <w:rPr>
          <w:rFonts w:ascii="Times New Roman" w:eastAsia="Times New Roman" w:hAnsi="Times New Roman" w:cs="Times New Roman"/>
          <w:sz w:val="24"/>
          <w:szCs w:val="24"/>
          <w:lang w:val="lt-LT"/>
        </w:rPr>
        <w:t>ius</w:t>
      </w:r>
      <w:r w:rsidR="00DD4ED1" w:rsidRPr="00FA26E3">
        <w:rPr>
          <w:rFonts w:ascii="Times New Roman" w:eastAsia="Times New Roman" w:hAnsi="Times New Roman" w:cs="Times New Roman"/>
          <w:sz w:val="24"/>
          <w:szCs w:val="24"/>
        </w:rPr>
        <w:t xml:space="preserve"> skund</w:t>
      </w:r>
      <w:r w:rsidR="00E80CF5" w:rsidRPr="00FA26E3">
        <w:rPr>
          <w:rFonts w:ascii="Times New Roman" w:eastAsia="Times New Roman" w:hAnsi="Times New Roman" w:cs="Times New Roman"/>
          <w:sz w:val="24"/>
          <w:szCs w:val="24"/>
        </w:rPr>
        <w:t>us</w:t>
      </w:r>
      <w:r w:rsidR="00DD4ED1" w:rsidRPr="00FA26E3">
        <w:rPr>
          <w:rFonts w:ascii="Times New Roman" w:eastAsia="Times New Roman" w:hAnsi="Times New Roman" w:cs="Times New Roman"/>
          <w:sz w:val="24"/>
          <w:szCs w:val="24"/>
        </w:rPr>
        <w:t xml:space="preserve"> </w:t>
      </w:r>
      <w:r w:rsidR="00CE1D86">
        <w:rPr>
          <w:rFonts w:ascii="Times New Roman" w:eastAsia="Times New Roman" w:hAnsi="Times New Roman" w:cs="Times New Roman"/>
          <w:sz w:val="24"/>
          <w:szCs w:val="24"/>
        </w:rPr>
        <w:t>tenkinti</w:t>
      </w:r>
      <w:r w:rsidR="00E80CF5" w:rsidRPr="00FA26E3">
        <w:rPr>
          <w:rFonts w:ascii="Times New Roman" w:eastAsia="Times New Roman" w:hAnsi="Times New Roman" w:cs="Times New Roman"/>
          <w:sz w:val="24"/>
          <w:szCs w:val="24"/>
        </w:rPr>
        <w:t>.</w:t>
      </w:r>
    </w:p>
    <w:p w14:paraId="5A1298BD" w14:textId="492BE90A" w:rsidR="00E80CF5" w:rsidRDefault="00D0232F" w:rsidP="00E80CF5">
      <w:pPr>
        <w:tabs>
          <w:tab w:val="left" w:pos="142"/>
          <w:tab w:val="left" w:pos="1134"/>
        </w:tabs>
        <w:spacing w:line="240" w:lineRule="auto"/>
        <w:ind w:firstLine="705"/>
        <w:jc w:val="both"/>
        <w:rPr>
          <w:rFonts w:ascii="Times New Roman" w:eastAsia="Times New Roman" w:hAnsi="Times New Roman" w:cs="Times New Roman"/>
          <w:sz w:val="24"/>
          <w:szCs w:val="24"/>
        </w:rPr>
      </w:pPr>
      <w:r w:rsidRPr="00FA26E3">
        <w:rPr>
          <w:rFonts w:ascii="Times New Roman" w:eastAsia="Times New Roman" w:hAnsi="Times New Roman" w:cs="Times New Roman"/>
          <w:bCs/>
          <w:iCs/>
          <w:sz w:val="24"/>
          <w:szCs w:val="24"/>
        </w:rPr>
        <w:t xml:space="preserve">Regionų administracinio teismo </w:t>
      </w:r>
      <w:r w:rsidR="000F5778" w:rsidRPr="00FA26E3">
        <w:rPr>
          <w:rFonts w:ascii="Times New Roman" w:eastAsia="Times New Roman" w:hAnsi="Times New Roman" w:cs="Times New Roman"/>
          <w:bCs/>
          <w:iCs/>
          <w:sz w:val="24"/>
          <w:szCs w:val="24"/>
        </w:rPr>
        <w:t>20</w:t>
      </w:r>
      <w:r w:rsidR="00955CCF">
        <w:rPr>
          <w:rFonts w:ascii="Times New Roman" w:eastAsia="Times New Roman" w:hAnsi="Times New Roman" w:cs="Times New Roman"/>
          <w:bCs/>
          <w:iCs/>
          <w:sz w:val="24"/>
          <w:szCs w:val="24"/>
        </w:rPr>
        <w:t>25</w:t>
      </w:r>
      <w:r w:rsidR="000F5778" w:rsidRPr="00FA26E3">
        <w:rPr>
          <w:rFonts w:ascii="Times New Roman" w:eastAsia="Times New Roman" w:hAnsi="Times New Roman" w:cs="Times New Roman"/>
          <w:bCs/>
          <w:iCs/>
          <w:sz w:val="24"/>
          <w:szCs w:val="24"/>
        </w:rPr>
        <w:t xml:space="preserve"> m. </w:t>
      </w:r>
      <w:r w:rsidR="00955CCF">
        <w:rPr>
          <w:rFonts w:ascii="Times New Roman" w:eastAsia="Times New Roman" w:hAnsi="Times New Roman" w:cs="Times New Roman"/>
          <w:bCs/>
          <w:iCs/>
          <w:sz w:val="24"/>
          <w:szCs w:val="24"/>
        </w:rPr>
        <w:t>vasario 10</w:t>
      </w:r>
      <w:r w:rsidR="000F5778" w:rsidRPr="00FA26E3">
        <w:rPr>
          <w:rFonts w:ascii="Times New Roman" w:eastAsia="Times New Roman" w:hAnsi="Times New Roman" w:cs="Times New Roman"/>
          <w:bCs/>
          <w:iCs/>
          <w:sz w:val="24"/>
          <w:szCs w:val="24"/>
        </w:rPr>
        <w:t xml:space="preserve"> d.</w:t>
      </w:r>
      <w:r w:rsidR="00D3097E" w:rsidRPr="00FA26E3">
        <w:rPr>
          <w:rFonts w:ascii="Times New Roman" w:eastAsia="Times New Roman" w:hAnsi="Times New Roman" w:cs="Times New Roman"/>
          <w:bCs/>
          <w:iCs/>
          <w:sz w:val="24"/>
          <w:szCs w:val="24"/>
        </w:rPr>
        <w:t xml:space="preserve"> </w:t>
      </w:r>
      <w:r w:rsidR="00DD4ED1" w:rsidRPr="00FA26E3">
        <w:rPr>
          <w:rFonts w:ascii="Times New Roman" w:eastAsia="Times New Roman" w:hAnsi="Times New Roman" w:cs="Times New Roman"/>
          <w:bCs/>
          <w:iCs/>
          <w:sz w:val="24"/>
          <w:szCs w:val="24"/>
        </w:rPr>
        <w:t xml:space="preserve">sprendimą </w:t>
      </w:r>
      <w:r w:rsidR="00CE1D86">
        <w:rPr>
          <w:rFonts w:ascii="Times New Roman" w:eastAsia="Times New Roman" w:hAnsi="Times New Roman" w:cs="Times New Roman"/>
          <w:bCs/>
          <w:iCs/>
          <w:sz w:val="24"/>
          <w:szCs w:val="24"/>
        </w:rPr>
        <w:t>panaikinti ir priimti naują sprendimą</w:t>
      </w:r>
      <w:r w:rsidR="00E52D7A" w:rsidRPr="00FA26E3">
        <w:rPr>
          <w:rFonts w:ascii="Times New Roman" w:eastAsia="Times New Roman" w:hAnsi="Times New Roman" w:cs="Times New Roman"/>
          <w:sz w:val="24"/>
          <w:szCs w:val="24"/>
        </w:rPr>
        <w:t>.</w:t>
      </w:r>
    </w:p>
    <w:p w14:paraId="48857D0C" w14:textId="186FEF45" w:rsidR="00CE1D86" w:rsidRDefault="00CE1D86" w:rsidP="00E80CF5">
      <w:pPr>
        <w:tabs>
          <w:tab w:val="left" w:pos="142"/>
          <w:tab w:val="left" w:pos="1134"/>
        </w:tabs>
        <w:spacing w:line="240" w:lineRule="auto"/>
        <w:ind w:firstLine="705"/>
        <w:jc w:val="both"/>
        <w:rPr>
          <w:rFonts w:ascii="Times New Roman" w:eastAsia="Times New Roman" w:hAnsi="Times New Roman" w:cs="Times New Roman"/>
          <w:bCs/>
          <w:iCs/>
          <w:sz w:val="24"/>
          <w:szCs w:val="24"/>
        </w:rPr>
      </w:pPr>
      <w:r w:rsidRPr="00CE1D86">
        <w:rPr>
          <w:rFonts w:ascii="Times New Roman" w:eastAsia="Times New Roman" w:hAnsi="Times New Roman" w:cs="Times New Roman"/>
          <w:bCs/>
          <w:iCs/>
          <w:sz w:val="24"/>
          <w:szCs w:val="24"/>
        </w:rPr>
        <w:t>Pareiškėjo Vilniaus miesto savivaldybės administracijos</w:t>
      </w:r>
      <w:r>
        <w:rPr>
          <w:rFonts w:ascii="Times New Roman" w:eastAsia="Times New Roman" w:hAnsi="Times New Roman" w:cs="Times New Roman"/>
          <w:bCs/>
          <w:iCs/>
          <w:sz w:val="24"/>
          <w:szCs w:val="24"/>
        </w:rPr>
        <w:t xml:space="preserve"> skundą tenkinti.</w:t>
      </w:r>
    </w:p>
    <w:p w14:paraId="06D85B0E" w14:textId="3D1641B2" w:rsidR="00CE1D86" w:rsidRPr="00FA26E3" w:rsidRDefault="00CE1D86" w:rsidP="00E80CF5">
      <w:pPr>
        <w:tabs>
          <w:tab w:val="left" w:pos="142"/>
          <w:tab w:val="left" w:pos="1134"/>
        </w:tabs>
        <w:spacing w:line="240" w:lineRule="auto"/>
        <w:ind w:firstLine="705"/>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P</w:t>
      </w:r>
      <w:r w:rsidRPr="00CE1D86">
        <w:rPr>
          <w:rFonts w:ascii="Times New Roman" w:eastAsia="Times New Roman" w:hAnsi="Times New Roman" w:cs="Times New Roman"/>
          <w:bCs/>
          <w:iCs/>
          <w:sz w:val="24"/>
          <w:szCs w:val="24"/>
        </w:rPr>
        <w:t>anaikinti atsakovo viešosios įstaigos „Centrinė projektų valdymo agentūra“ 2023 m. lapkričio 28 d. sprendimą Nr. IT01 „Sprendimas dėl pažeidimo“</w:t>
      </w:r>
      <w:r>
        <w:rPr>
          <w:rFonts w:ascii="Times New Roman" w:eastAsia="Times New Roman" w:hAnsi="Times New Roman" w:cs="Times New Roman"/>
          <w:bCs/>
          <w:iCs/>
          <w:sz w:val="24"/>
          <w:szCs w:val="24"/>
        </w:rPr>
        <w:t>.</w:t>
      </w:r>
    </w:p>
    <w:p w14:paraId="21113BA4" w14:textId="392FB3A1" w:rsidR="005D32F1" w:rsidRPr="00FA26E3" w:rsidRDefault="00E80CF5" w:rsidP="00091E96">
      <w:pPr>
        <w:tabs>
          <w:tab w:val="left" w:pos="142"/>
          <w:tab w:val="left" w:pos="1134"/>
        </w:tabs>
        <w:spacing w:line="240" w:lineRule="auto"/>
        <w:ind w:right="2" w:firstLine="705"/>
        <w:jc w:val="both"/>
        <w:rPr>
          <w:rFonts w:ascii="Times New Roman" w:eastAsia="Times New Roman" w:hAnsi="Times New Roman" w:cs="Times New Roman"/>
          <w:sz w:val="24"/>
          <w:szCs w:val="24"/>
        </w:rPr>
      </w:pPr>
      <w:r w:rsidRPr="00B61ECE">
        <w:rPr>
          <w:rFonts w:ascii="Times New Roman" w:eastAsia="Times New Roman" w:hAnsi="Times New Roman" w:cs="Times New Roman"/>
          <w:sz w:val="24"/>
          <w:szCs w:val="24"/>
        </w:rPr>
        <w:t xml:space="preserve">Sprendimas </w:t>
      </w:r>
      <w:r w:rsidR="003453C3" w:rsidRPr="00B61ECE">
        <w:rPr>
          <w:rFonts w:ascii="Times New Roman" w:eastAsia="Times New Roman" w:hAnsi="Times New Roman" w:cs="Times New Roman"/>
          <w:sz w:val="24"/>
          <w:szCs w:val="24"/>
        </w:rPr>
        <w:t>neskundžiama</w:t>
      </w:r>
      <w:r w:rsidRPr="00B61ECE">
        <w:rPr>
          <w:rFonts w:ascii="Times New Roman" w:eastAsia="Times New Roman" w:hAnsi="Times New Roman" w:cs="Times New Roman"/>
          <w:sz w:val="24"/>
          <w:szCs w:val="24"/>
        </w:rPr>
        <w:t>s</w:t>
      </w:r>
      <w:r w:rsidR="003453C3" w:rsidRPr="00B61ECE">
        <w:rPr>
          <w:rFonts w:ascii="Times New Roman" w:eastAsia="Times New Roman" w:hAnsi="Times New Roman" w:cs="Times New Roman"/>
          <w:sz w:val="24"/>
          <w:szCs w:val="24"/>
        </w:rPr>
        <w:t>.</w:t>
      </w:r>
    </w:p>
    <w:p w14:paraId="358DA89E" w14:textId="77777777" w:rsidR="00FA26E3" w:rsidRPr="00FA26E3" w:rsidRDefault="00FA26E3" w:rsidP="005D5B8F">
      <w:pPr>
        <w:spacing w:line="240" w:lineRule="auto"/>
        <w:jc w:val="both"/>
        <w:rPr>
          <w:rFonts w:ascii="Times New Roman" w:eastAsia="Times New Roman" w:hAnsi="Times New Roman" w:cs="Times New Roman"/>
          <w:noProof/>
          <w:sz w:val="24"/>
          <w:szCs w:val="24"/>
          <w:lang w:val="lt-LT" w:eastAsia="en-US"/>
        </w:rPr>
      </w:pPr>
    </w:p>
    <w:p w14:paraId="239CF972" w14:textId="17DDF9BF" w:rsidR="00F040BE" w:rsidRDefault="005D5B8F" w:rsidP="000A29C1">
      <w:pPr>
        <w:spacing w:line="240" w:lineRule="auto"/>
        <w:ind w:firstLine="720"/>
        <w:jc w:val="both"/>
        <w:rPr>
          <w:rFonts w:ascii="Times New Roman" w:eastAsia="Times New Roman" w:hAnsi="Times New Roman" w:cs="Times New Roman"/>
          <w:noProof/>
          <w:sz w:val="24"/>
          <w:szCs w:val="24"/>
          <w:lang w:val="lt-LT" w:eastAsia="en-US"/>
        </w:rPr>
      </w:pPr>
      <w:r w:rsidRPr="00FA26E3">
        <w:rPr>
          <w:rFonts w:ascii="Times New Roman" w:eastAsia="Times New Roman" w:hAnsi="Times New Roman" w:cs="Times New Roman"/>
          <w:noProof/>
          <w:sz w:val="24"/>
          <w:szCs w:val="24"/>
          <w:lang w:val="lt-LT" w:eastAsia="en-US"/>
        </w:rPr>
        <w:t>Teisėjai</w:t>
      </w:r>
      <w:r w:rsidRPr="00FA26E3">
        <w:rPr>
          <w:rFonts w:ascii="Times New Roman" w:eastAsia="Times New Roman" w:hAnsi="Times New Roman" w:cs="Times New Roman"/>
          <w:noProof/>
          <w:sz w:val="24"/>
          <w:szCs w:val="24"/>
          <w:lang w:val="lt-LT" w:eastAsia="en-US"/>
        </w:rPr>
        <w:tab/>
      </w:r>
      <w:r w:rsidRPr="00FA26E3">
        <w:rPr>
          <w:rFonts w:ascii="Times New Roman" w:eastAsia="Times New Roman" w:hAnsi="Times New Roman" w:cs="Times New Roman"/>
          <w:noProof/>
          <w:sz w:val="24"/>
          <w:szCs w:val="24"/>
          <w:lang w:val="lt-LT" w:eastAsia="en-US"/>
        </w:rPr>
        <w:tab/>
      </w:r>
      <w:r w:rsidRPr="00FA26E3">
        <w:rPr>
          <w:rFonts w:ascii="Times New Roman" w:eastAsia="Times New Roman" w:hAnsi="Times New Roman" w:cs="Times New Roman"/>
          <w:noProof/>
          <w:sz w:val="24"/>
          <w:szCs w:val="24"/>
          <w:lang w:val="lt-LT" w:eastAsia="en-US"/>
        </w:rPr>
        <w:tab/>
      </w:r>
      <w:r w:rsidR="00FA26E3">
        <w:rPr>
          <w:rFonts w:ascii="Times New Roman" w:eastAsia="Times New Roman" w:hAnsi="Times New Roman" w:cs="Times New Roman"/>
          <w:noProof/>
          <w:sz w:val="24"/>
          <w:szCs w:val="24"/>
          <w:lang w:val="lt-LT" w:eastAsia="en-US"/>
        </w:rPr>
        <w:tab/>
      </w:r>
      <w:r w:rsidR="00FA26E3">
        <w:rPr>
          <w:rFonts w:ascii="Times New Roman" w:eastAsia="Times New Roman" w:hAnsi="Times New Roman" w:cs="Times New Roman"/>
          <w:noProof/>
          <w:sz w:val="24"/>
          <w:szCs w:val="24"/>
          <w:lang w:val="lt-LT" w:eastAsia="en-US"/>
        </w:rPr>
        <w:tab/>
      </w:r>
      <w:r w:rsidR="00FA26E3">
        <w:rPr>
          <w:rFonts w:ascii="Times New Roman" w:eastAsia="Times New Roman" w:hAnsi="Times New Roman" w:cs="Times New Roman"/>
          <w:noProof/>
          <w:sz w:val="24"/>
          <w:szCs w:val="24"/>
          <w:lang w:val="lt-LT" w:eastAsia="en-US"/>
        </w:rPr>
        <w:tab/>
      </w:r>
      <w:r w:rsidR="00FA26E3">
        <w:rPr>
          <w:rFonts w:ascii="Times New Roman" w:eastAsia="Times New Roman" w:hAnsi="Times New Roman" w:cs="Times New Roman"/>
          <w:noProof/>
          <w:sz w:val="24"/>
          <w:szCs w:val="24"/>
          <w:lang w:val="lt-LT" w:eastAsia="en-US"/>
        </w:rPr>
        <w:tab/>
      </w:r>
      <w:r w:rsidR="000A29C1">
        <w:rPr>
          <w:rFonts w:ascii="Times New Roman" w:eastAsia="Times New Roman" w:hAnsi="Times New Roman" w:cs="Times New Roman"/>
          <w:noProof/>
          <w:sz w:val="24"/>
          <w:szCs w:val="24"/>
          <w:lang w:val="lt-LT" w:eastAsia="en-US"/>
        </w:rPr>
        <w:t>Audrius Bakaveckas</w:t>
      </w:r>
    </w:p>
    <w:p w14:paraId="760A5452" w14:textId="77777777" w:rsidR="002B62B0" w:rsidRPr="00FA26E3" w:rsidRDefault="002B62B0" w:rsidP="000A29C1">
      <w:pPr>
        <w:spacing w:line="240" w:lineRule="auto"/>
        <w:ind w:firstLine="720"/>
        <w:jc w:val="both"/>
        <w:rPr>
          <w:rFonts w:ascii="Times New Roman" w:eastAsia="Times New Roman" w:hAnsi="Times New Roman" w:cs="Times New Roman"/>
          <w:noProof/>
          <w:sz w:val="24"/>
          <w:szCs w:val="24"/>
          <w:lang w:val="lt-LT" w:eastAsia="en-US"/>
        </w:rPr>
      </w:pPr>
    </w:p>
    <w:p w14:paraId="553597A6" w14:textId="77777777" w:rsidR="00F71EA7" w:rsidRPr="00FA26E3" w:rsidRDefault="00F71EA7" w:rsidP="005D5B8F">
      <w:pPr>
        <w:spacing w:line="240" w:lineRule="auto"/>
        <w:jc w:val="both"/>
        <w:rPr>
          <w:rFonts w:ascii="Times New Roman" w:eastAsia="Times New Roman" w:hAnsi="Times New Roman" w:cs="Times New Roman"/>
          <w:noProof/>
          <w:sz w:val="24"/>
          <w:szCs w:val="24"/>
          <w:lang w:val="lt-LT" w:eastAsia="en-US"/>
        </w:rPr>
      </w:pPr>
    </w:p>
    <w:p w14:paraId="429F0832" w14:textId="7B2A1113" w:rsidR="00F040BE" w:rsidRDefault="000A29C1" w:rsidP="005D5B8F">
      <w:pPr>
        <w:spacing w:line="240" w:lineRule="auto"/>
        <w:ind w:left="5184" w:firstLine="1296"/>
        <w:jc w:val="both"/>
        <w:rPr>
          <w:rFonts w:ascii="Times New Roman" w:eastAsia="Times New Roman" w:hAnsi="Times New Roman" w:cs="Times New Roman"/>
          <w:noProof/>
          <w:sz w:val="24"/>
          <w:szCs w:val="24"/>
          <w:lang w:val="lt-LT" w:eastAsia="en-US"/>
        </w:rPr>
      </w:pPr>
      <w:r>
        <w:rPr>
          <w:rFonts w:ascii="Times New Roman" w:eastAsia="Times New Roman" w:hAnsi="Times New Roman" w:cs="Times New Roman"/>
          <w:noProof/>
          <w:sz w:val="24"/>
          <w:szCs w:val="24"/>
          <w:lang w:val="lt-LT" w:eastAsia="en-US"/>
        </w:rPr>
        <w:t>Ramūnas Gadliauskas</w:t>
      </w:r>
    </w:p>
    <w:p w14:paraId="2E191DDE" w14:textId="77777777" w:rsidR="002B62B0" w:rsidRPr="00FA26E3" w:rsidRDefault="002B62B0" w:rsidP="005D5B8F">
      <w:pPr>
        <w:spacing w:line="240" w:lineRule="auto"/>
        <w:ind w:left="5184" w:firstLine="1296"/>
        <w:jc w:val="both"/>
        <w:rPr>
          <w:rFonts w:ascii="Times New Roman" w:eastAsia="Times New Roman" w:hAnsi="Times New Roman" w:cs="Times New Roman"/>
          <w:noProof/>
          <w:sz w:val="24"/>
          <w:szCs w:val="24"/>
          <w:lang w:val="lt-LT" w:eastAsia="en-US"/>
        </w:rPr>
      </w:pPr>
    </w:p>
    <w:p w14:paraId="32D773C5" w14:textId="77777777" w:rsidR="00F71EA7" w:rsidRPr="00FA26E3" w:rsidRDefault="00F71EA7" w:rsidP="005D5B8F">
      <w:pPr>
        <w:spacing w:line="240" w:lineRule="auto"/>
        <w:ind w:left="5184" w:firstLine="1296"/>
        <w:jc w:val="both"/>
        <w:rPr>
          <w:rFonts w:ascii="Times New Roman" w:eastAsia="Times New Roman" w:hAnsi="Times New Roman" w:cs="Times New Roman"/>
          <w:noProof/>
          <w:sz w:val="24"/>
          <w:szCs w:val="24"/>
          <w:lang w:val="lt-LT" w:eastAsia="en-US"/>
        </w:rPr>
      </w:pPr>
    </w:p>
    <w:p w14:paraId="2D25B6B4" w14:textId="6E5D4549" w:rsidR="000A29C1" w:rsidRPr="00FA26E3" w:rsidRDefault="000A29C1" w:rsidP="000A29C1">
      <w:pPr>
        <w:spacing w:line="240" w:lineRule="auto"/>
        <w:ind w:left="5760" w:firstLine="720"/>
        <w:jc w:val="both"/>
        <w:rPr>
          <w:rFonts w:ascii="Times New Roman" w:eastAsia="Times New Roman" w:hAnsi="Times New Roman" w:cs="Times New Roman"/>
          <w:noProof/>
          <w:sz w:val="24"/>
          <w:szCs w:val="24"/>
          <w:lang w:val="lt-LT" w:eastAsia="en-US"/>
        </w:rPr>
      </w:pPr>
      <w:r>
        <w:rPr>
          <w:rFonts w:ascii="Times New Roman" w:eastAsia="Times New Roman" w:hAnsi="Times New Roman" w:cs="Times New Roman"/>
          <w:noProof/>
          <w:sz w:val="24"/>
          <w:szCs w:val="24"/>
          <w:lang w:val="lt-LT" w:eastAsia="en-US"/>
        </w:rPr>
        <w:t>Iv</w:t>
      </w:r>
      <w:r w:rsidRPr="00FA26E3">
        <w:rPr>
          <w:rFonts w:ascii="Times New Roman" w:eastAsia="Times New Roman" w:hAnsi="Times New Roman" w:cs="Times New Roman"/>
          <w:noProof/>
          <w:sz w:val="24"/>
          <w:szCs w:val="24"/>
          <w:lang w:val="lt-LT" w:eastAsia="en-US"/>
        </w:rPr>
        <w:t>eta Pelienė</w:t>
      </w:r>
    </w:p>
    <w:p w14:paraId="522FBC1C" w14:textId="1ADEE52B" w:rsidR="00312E50" w:rsidRDefault="00312E50" w:rsidP="00204FA1">
      <w:pPr>
        <w:tabs>
          <w:tab w:val="left" w:pos="142"/>
          <w:tab w:val="left" w:pos="1134"/>
        </w:tabs>
        <w:spacing w:line="240" w:lineRule="auto"/>
        <w:ind w:right="2" w:firstLine="709"/>
        <w:jc w:val="both"/>
        <w:rPr>
          <w:rFonts w:ascii="Times New Roman" w:eastAsia="Times New Roman" w:hAnsi="Times New Roman" w:cs="Times New Roman"/>
          <w:noProof/>
          <w:sz w:val="24"/>
          <w:szCs w:val="24"/>
          <w:lang w:val="lt-LT" w:eastAsia="en-US"/>
        </w:rPr>
      </w:pPr>
    </w:p>
    <w:sectPr w:rsidR="00312E50" w:rsidSect="00171901">
      <w:headerReference w:type="default" r:id="rId9"/>
      <w:pgSz w:w="11909" w:h="16834"/>
      <w:pgMar w:top="1134" w:right="567" w:bottom="1134" w:left="1701" w:header="720" w:footer="720"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C97A1" w14:textId="77777777" w:rsidR="00BC3AD8" w:rsidRDefault="00BC3AD8">
      <w:pPr>
        <w:spacing w:line="240" w:lineRule="auto"/>
      </w:pPr>
      <w:r>
        <w:separator/>
      </w:r>
    </w:p>
  </w:endnote>
  <w:endnote w:type="continuationSeparator" w:id="0">
    <w:p w14:paraId="5D520DE7" w14:textId="77777777" w:rsidR="00BC3AD8" w:rsidRDefault="00BC3A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70B01" w14:textId="77777777" w:rsidR="00BC3AD8" w:rsidRDefault="00BC3AD8">
      <w:pPr>
        <w:spacing w:line="240" w:lineRule="auto"/>
      </w:pPr>
      <w:r>
        <w:separator/>
      </w:r>
    </w:p>
  </w:footnote>
  <w:footnote w:type="continuationSeparator" w:id="0">
    <w:p w14:paraId="10975559" w14:textId="77777777" w:rsidR="00BC3AD8" w:rsidRDefault="00BC3A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3CAF2" w14:textId="77777777" w:rsidR="005D32F1" w:rsidRDefault="003453C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PAGE</w:instrText>
    </w:r>
    <w:r>
      <w:rPr>
        <w:rFonts w:ascii="Times New Roman" w:eastAsia="Times New Roman" w:hAnsi="Times New Roman" w:cs="Times New Roman"/>
        <w:sz w:val="20"/>
        <w:szCs w:val="20"/>
      </w:rPr>
      <w:fldChar w:fldCharType="separate"/>
    </w:r>
    <w:r w:rsidR="00C76F73">
      <w:rPr>
        <w:rFonts w:ascii="Times New Roman" w:eastAsia="Times New Roman" w:hAnsi="Times New Roman" w:cs="Times New Roman"/>
        <w:noProof/>
        <w:sz w:val="20"/>
        <w:szCs w:val="20"/>
      </w:rPr>
      <w:t>2</w:t>
    </w:r>
    <w:r>
      <w:rPr>
        <w:rFonts w:ascii="Times New Roman" w:eastAsia="Times New Roman" w:hAnsi="Times New Roman" w:cs="Times New Roman"/>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F3F94"/>
    <w:multiLevelType w:val="multilevel"/>
    <w:tmpl w:val="1A6CF2BE"/>
    <w:lvl w:ilvl="0">
      <w:start w:val="1"/>
      <w:numFmt w:val="decimal"/>
      <w:lvlText w:val="%1."/>
      <w:lvlJc w:val="left"/>
      <w:pPr>
        <w:ind w:left="1351" w:hanging="359"/>
      </w:pPr>
      <w:rPr>
        <w:rFonts w:ascii="Times New Roman" w:eastAsia="Times New Roman" w:hAnsi="Times New Roman" w:cs="Times New Roman"/>
        <w:b w:val="0"/>
        <w:i w:val="0"/>
        <w:sz w:val="24"/>
        <w:szCs w:val="24"/>
        <w:lang w:val="lt-LT"/>
      </w:rPr>
    </w:lvl>
    <w:lvl w:ilvl="1">
      <w:start w:val="1"/>
      <w:numFmt w:val="decimal"/>
      <w:lvlText w:val="%1.%2."/>
      <w:lvlJc w:val="left"/>
      <w:pPr>
        <w:ind w:left="1566" w:hanging="432"/>
      </w:pPr>
      <w:rPr>
        <w:b w:val="0"/>
        <w:sz w:val="24"/>
        <w:szCs w:val="24"/>
        <w:lang w:val="lt-LT"/>
      </w:rPr>
    </w:lvl>
    <w:lvl w:ilvl="2">
      <w:start w:val="1"/>
      <w:numFmt w:val="decimal"/>
      <w:lvlText w:val="%1.%2.%3."/>
      <w:lvlJc w:val="left"/>
      <w:pPr>
        <w:ind w:left="1224" w:hanging="504"/>
      </w:pPr>
      <w:rPr>
        <w:rFonts w:asciiTheme="majorBidi" w:eastAsia="Arial" w:hAnsiTheme="majorBidi" w:cstheme="majorBidi" w:hint="default"/>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6C1D79"/>
    <w:multiLevelType w:val="multilevel"/>
    <w:tmpl w:val="E88E5140"/>
    <w:lvl w:ilvl="0">
      <w:start w:val="1"/>
      <w:numFmt w:val="decimal"/>
      <w:lvlText w:val="%1."/>
      <w:lvlJc w:val="left"/>
      <w:pPr>
        <w:ind w:left="1351" w:hanging="359"/>
      </w:pPr>
      <w:rPr>
        <w:rFonts w:ascii="Times New Roman" w:eastAsia="Times New Roman" w:hAnsi="Times New Roman" w:cs="Times New Roman"/>
        <w:b w:val="0"/>
        <w:i w:val="0"/>
        <w:sz w:val="24"/>
        <w:szCs w:val="24"/>
        <w:lang w:val="lt-LT"/>
      </w:rPr>
    </w:lvl>
    <w:lvl w:ilvl="1">
      <w:start w:val="1"/>
      <w:numFmt w:val="decimal"/>
      <w:lvlText w:val="%1.%2."/>
      <w:lvlJc w:val="left"/>
      <w:pPr>
        <w:ind w:left="1566" w:hanging="432"/>
      </w:pPr>
      <w:rPr>
        <w:b w:val="0"/>
        <w:sz w:val="24"/>
        <w:szCs w:val="24"/>
        <w:lang w:val="lt-LT"/>
      </w:rPr>
    </w:lvl>
    <w:lvl w:ilvl="2">
      <w:start w:val="1"/>
      <w:numFmt w:val="decimal"/>
      <w:lvlText w:val="%1.%2.%3."/>
      <w:lvlJc w:val="left"/>
      <w:pPr>
        <w:ind w:left="1224" w:hanging="504"/>
      </w:pPr>
      <w:rPr>
        <w:rFonts w:asciiTheme="majorBidi" w:eastAsia="Arial" w:hAnsiTheme="majorBidi" w:cstheme="majorBidi" w:hint="default"/>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7B22FE"/>
    <w:multiLevelType w:val="multilevel"/>
    <w:tmpl w:val="1A6CF2BE"/>
    <w:lvl w:ilvl="0">
      <w:start w:val="1"/>
      <w:numFmt w:val="decimal"/>
      <w:lvlText w:val="%1."/>
      <w:lvlJc w:val="left"/>
      <w:pPr>
        <w:ind w:left="1351" w:hanging="359"/>
      </w:pPr>
      <w:rPr>
        <w:rFonts w:ascii="Times New Roman" w:eastAsia="Times New Roman" w:hAnsi="Times New Roman" w:cs="Times New Roman"/>
        <w:b w:val="0"/>
        <w:i w:val="0"/>
        <w:sz w:val="24"/>
        <w:szCs w:val="24"/>
        <w:lang w:val="lt-LT"/>
      </w:rPr>
    </w:lvl>
    <w:lvl w:ilvl="1">
      <w:start w:val="1"/>
      <w:numFmt w:val="decimal"/>
      <w:lvlText w:val="%1.%2."/>
      <w:lvlJc w:val="left"/>
      <w:pPr>
        <w:ind w:left="1566" w:hanging="432"/>
      </w:pPr>
      <w:rPr>
        <w:b w:val="0"/>
        <w:sz w:val="24"/>
        <w:szCs w:val="24"/>
        <w:lang w:val="lt-LT"/>
      </w:rPr>
    </w:lvl>
    <w:lvl w:ilvl="2">
      <w:start w:val="1"/>
      <w:numFmt w:val="decimal"/>
      <w:lvlText w:val="%1.%2.%3."/>
      <w:lvlJc w:val="left"/>
      <w:pPr>
        <w:ind w:left="1224" w:hanging="504"/>
      </w:pPr>
      <w:rPr>
        <w:rFonts w:asciiTheme="majorBidi" w:eastAsia="Arial" w:hAnsiTheme="majorBidi" w:cstheme="majorBidi" w:hint="default"/>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AC7943"/>
    <w:multiLevelType w:val="multilevel"/>
    <w:tmpl w:val="1A6CF2BE"/>
    <w:lvl w:ilvl="0">
      <w:start w:val="1"/>
      <w:numFmt w:val="decimal"/>
      <w:lvlText w:val="%1."/>
      <w:lvlJc w:val="left"/>
      <w:pPr>
        <w:ind w:left="1351" w:hanging="359"/>
      </w:pPr>
      <w:rPr>
        <w:rFonts w:ascii="Times New Roman" w:eastAsia="Times New Roman" w:hAnsi="Times New Roman" w:cs="Times New Roman"/>
        <w:b w:val="0"/>
        <w:i w:val="0"/>
        <w:sz w:val="24"/>
        <w:szCs w:val="24"/>
        <w:lang w:val="lt-LT"/>
      </w:rPr>
    </w:lvl>
    <w:lvl w:ilvl="1">
      <w:start w:val="1"/>
      <w:numFmt w:val="decimal"/>
      <w:lvlText w:val="%1.%2."/>
      <w:lvlJc w:val="left"/>
      <w:pPr>
        <w:ind w:left="1566" w:hanging="432"/>
      </w:pPr>
      <w:rPr>
        <w:b w:val="0"/>
        <w:sz w:val="24"/>
        <w:szCs w:val="24"/>
        <w:lang w:val="lt-LT"/>
      </w:rPr>
    </w:lvl>
    <w:lvl w:ilvl="2">
      <w:start w:val="1"/>
      <w:numFmt w:val="decimal"/>
      <w:lvlText w:val="%1.%2.%3."/>
      <w:lvlJc w:val="left"/>
      <w:pPr>
        <w:ind w:left="1224" w:hanging="504"/>
      </w:pPr>
      <w:rPr>
        <w:rFonts w:asciiTheme="majorBidi" w:eastAsia="Arial" w:hAnsiTheme="majorBidi" w:cstheme="majorBidi" w:hint="default"/>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59F6F00"/>
    <w:multiLevelType w:val="multilevel"/>
    <w:tmpl w:val="5E50AF7E"/>
    <w:lvl w:ilvl="0">
      <w:start w:val="1"/>
      <w:numFmt w:val="decimal"/>
      <w:lvlText w:val="%1."/>
      <w:lvlJc w:val="left"/>
      <w:pPr>
        <w:ind w:left="1069" w:hanging="360"/>
      </w:pPr>
      <w:rPr>
        <w:rFonts w:ascii="Times New Roman" w:hAnsi="Times New Roman" w:cs="Times New Roman" w:hint="default"/>
        <w:sz w:val="24"/>
        <w:szCs w:val="24"/>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27D96A99"/>
    <w:multiLevelType w:val="multilevel"/>
    <w:tmpl w:val="3EEAFF74"/>
    <w:lvl w:ilvl="0">
      <w:start w:val="1"/>
      <w:numFmt w:val="decimal"/>
      <w:lvlText w:val="%1."/>
      <w:lvlJc w:val="left"/>
      <w:pPr>
        <w:ind w:left="1351" w:hanging="359"/>
      </w:pPr>
      <w:rPr>
        <w:rFonts w:ascii="Times New Roman" w:eastAsia="Times New Roman" w:hAnsi="Times New Roman" w:cs="Times New Roman"/>
        <w:b w:val="0"/>
        <w:i w:val="0"/>
        <w:sz w:val="24"/>
        <w:szCs w:val="24"/>
        <w:lang w:val="lt"/>
      </w:rPr>
    </w:lvl>
    <w:lvl w:ilvl="1">
      <w:start w:val="1"/>
      <w:numFmt w:val="decimal"/>
      <w:lvlText w:val="%1.%2."/>
      <w:lvlJc w:val="left"/>
      <w:pPr>
        <w:ind w:left="1566" w:hanging="432"/>
      </w:pPr>
      <w:rPr>
        <w:b w:val="0"/>
        <w:sz w:val="24"/>
        <w:szCs w:val="24"/>
        <w:lang w:val="lt-LT"/>
      </w:rPr>
    </w:lvl>
    <w:lvl w:ilvl="2">
      <w:start w:val="1"/>
      <w:numFmt w:val="decimal"/>
      <w:lvlText w:val="%1.%2.%3."/>
      <w:lvlJc w:val="left"/>
      <w:pPr>
        <w:ind w:left="1224" w:hanging="504"/>
      </w:pPr>
      <w:rPr>
        <w:rFonts w:asciiTheme="majorBidi" w:eastAsia="Arial" w:hAnsiTheme="majorBidi" w:cstheme="majorBidi" w:hint="default"/>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E1F096C"/>
    <w:multiLevelType w:val="multilevel"/>
    <w:tmpl w:val="86248172"/>
    <w:lvl w:ilvl="0">
      <w:start w:val="1"/>
      <w:numFmt w:val="decimal"/>
      <w:lvlText w:val="%1."/>
      <w:lvlJc w:val="left"/>
      <w:pPr>
        <w:ind w:left="4188" w:hanging="360"/>
      </w:pPr>
      <w:rPr>
        <w:rFonts w:ascii="Times New Roman" w:hAnsi="Times New Roman" w:hint="default"/>
        <w:b w:val="0"/>
        <w:i w:val="0"/>
        <w:color w:val="auto"/>
        <w:sz w:val="24"/>
      </w:rPr>
    </w:lvl>
    <w:lvl w:ilvl="1">
      <w:start w:val="1"/>
      <w:numFmt w:val="decimal"/>
      <w:isLgl/>
      <w:lvlText w:val="%1.%2."/>
      <w:lvlJc w:val="left"/>
      <w:pPr>
        <w:ind w:left="2771" w:hanging="360"/>
      </w:pPr>
      <w:rPr>
        <w:rFonts w:eastAsia="MS Mincho" w:hint="default"/>
      </w:rPr>
    </w:lvl>
    <w:lvl w:ilvl="2">
      <w:start w:val="1"/>
      <w:numFmt w:val="decimal"/>
      <w:isLgl/>
      <w:lvlText w:val="%1.%2.%3."/>
      <w:lvlJc w:val="left"/>
      <w:pPr>
        <w:ind w:left="2214" w:hanging="720"/>
      </w:pPr>
      <w:rPr>
        <w:rFonts w:eastAsia="MS Mincho" w:hint="default"/>
      </w:rPr>
    </w:lvl>
    <w:lvl w:ilvl="3">
      <w:start w:val="1"/>
      <w:numFmt w:val="decimal"/>
      <w:isLgl/>
      <w:lvlText w:val="%1.%2.%3.%4."/>
      <w:lvlJc w:val="left"/>
      <w:pPr>
        <w:ind w:left="2214" w:hanging="720"/>
      </w:pPr>
      <w:rPr>
        <w:rFonts w:eastAsia="MS Mincho" w:hint="default"/>
      </w:rPr>
    </w:lvl>
    <w:lvl w:ilvl="4">
      <w:start w:val="1"/>
      <w:numFmt w:val="decimal"/>
      <w:isLgl/>
      <w:lvlText w:val="%1.%2.%3.%4.%5."/>
      <w:lvlJc w:val="left"/>
      <w:pPr>
        <w:ind w:left="2574" w:hanging="1080"/>
      </w:pPr>
      <w:rPr>
        <w:rFonts w:eastAsia="MS Mincho" w:hint="default"/>
      </w:rPr>
    </w:lvl>
    <w:lvl w:ilvl="5">
      <w:start w:val="1"/>
      <w:numFmt w:val="decimal"/>
      <w:isLgl/>
      <w:lvlText w:val="%1.%2.%3.%4.%5.%6."/>
      <w:lvlJc w:val="left"/>
      <w:pPr>
        <w:ind w:left="2574" w:hanging="1080"/>
      </w:pPr>
      <w:rPr>
        <w:rFonts w:eastAsia="MS Mincho" w:hint="default"/>
      </w:rPr>
    </w:lvl>
    <w:lvl w:ilvl="6">
      <w:start w:val="1"/>
      <w:numFmt w:val="decimal"/>
      <w:isLgl/>
      <w:lvlText w:val="%1.%2.%3.%4.%5.%6.%7."/>
      <w:lvlJc w:val="left"/>
      <w:pPr>
        <w:ind w:left="2934" w:hanging="1440"/>
      </w:pPr>
      <w:rPr>
        <w:rFonts w:eastAsia="MS Mincho" w:hint="default"/>
      </w:rPr>
    </w:lvl>
    <w:lvl w:ilvl="7">
      <w:start w:val="1"/>
      <w:numFmt w:val="decimal"/>
      <w:isLgl/>
      <w:lvlText w:val="%1.%2.%3.%4.%5.%6.%7.%8."/>
      <w:lvlJc w:val="left"/>
      <w:pPr>
        <w:ind w:left="2934" w:hanging="1440"/>
      </w:pPr>
      <w:rPr>
        <w:rFonts w:eastAsia="MS Mincho" w:hint="default"/>
      </w:rPr>
    </w:lvl>
    <w:lvl w:ilvl="8">
      <w:start w:val="1"/>
      <w:numFmt w:val="decimal"/>
      <w:isLgl/>
      <w:lvlText w:val="%1.%2.%3.%4.%5.%6.%7.%8.%9."/>
      <w:lvlJc w:val="left"/>
      <w:pPr>
        <w:ind w:left="3294" w:hanging="1800"/>
      </w:pPr>
      <w:rPr>
        <w:rFonts w:eastAsia="MS Mincho" w:hint="default"/>
      </w:rPr>
    </w:lvl>
  </w:abstractNum>
  <w:abstractNum w:abstractNumId="7" w15:restartNumberingAfterBreak="0">
    <w:nsid w:val="3E870A67"/>
    <w:multiLevelType w:val="multilevel"/>
    <w:tmpl w:val="1A6CF2BE"/>
    <w:lvl w:ilvl="0">
      <w:start w:val="1"/>
      <w:numFmt w:val="decimal"/>
      <w:lvlText w:val="%1."/>
      <w:lvlJc w:val="left"/>
      <w:pPr>
        <w:ind w:left="1351" w:hanging="359"/>
      </w:pPr>
      <w:rPr>
        <w:rFonts w:ascii="Times New Roman" w:eastAsia="Times New Roman" w:hAnsi="Times New Roman" w:cs="Times New Roman"/>
        <w:b w:val="0"/>
        <w:i w:val="0"/>
        <w:sz w:val="24"/>
        <w:szCs w:val="24"/>
        <w:lang w:val="lt-LT"/>
      </w:rPr>
    </w:lvl>
    <w:lvl w:ilvl="1">
      <w:start w:val="1"/>
      <w:numFmt w:val="decimal"/>
      <w:lvlText w:val="%1.%2."/>
      <w:lvlJc w:val="left"/>
      <w:pPr>
        <w:ind w:left="1566" w:hanging="432"/>
      </w:pPr>
      <w:rPr>
        <w:b w:val="0"/>
        <w:sz w:val="24"/>
        <w:szCs w:val="24"/>
        <w:lang w:val="lt-LT"/>
      </w:rPr>
    </w:lvl>
    <w:lvl w:ilvl="2">
      <w:start w:val="1"/>
      <w:numFmt w:val="decimal"/>
      <w:lvlText w:val="%1.%2.%3."/>
      <w:lvlJc w:val="left"/>
      <w:pPr>
        <w:ind w:left="1224" w:hanging="504"/>
      </w:pPr>
      <w:rPr>
        <w:rFonts w:asciiTheme="majorBidi" w:eastAsia="Arial" w:hAnsiTheme="majorBidi" w:cstheme="majorBidi" w:hint="default"/>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6C24AD1"/>
    <w:multiLevelType w:val="multilevel"/>
    <w:tmpl w:val="E88E5140"/>
    <w:lvl w:ilvl="0">
      <w:start w:val="1"/>
      <w:numFmt w:val="decimal"/>
      <w:lvlText w:val="%1."/>
      <w:lvlJc w:val="left"/>
      <w:pPr>
        <w:ind w:left="1351" w:hanging="359"/>
      </w:pPr>
      <w:rPr>
        <w:rFonts w:ascii="Times New Roman" w:eastAsia="Times New Roman" w:hAnsi="Times New Roman" w:cs="Times New Roman"/>
        <w:b w:val="0"/>
        <w:i w:val="0"/>
        <w:sz w:val="24"/>
        <w:szCs w:val="24"/>
        <w:lang w:val="lt-LT"/>
      </w:rPr>
    </w:lvl>
    <w:lvl w:ilvl="1">
      <w:start w:val="1"/>
      <w:numFmt w:val="decimal"/>
      <w:lvlText w:val="%1.%2."/>
      <w:lvlJc w:val="left"/>
      <w:pPr>
        <w:ind w:left="1566" w:hanging="432"/>
      </w:pPr>
      <w:rPr>
        <w:b w:val="0"/>
        <w:sz w:val="24"/>
        <w:szCs w:val="24"/>
        <w:lang w:val="lt-LT"/>
      </w:rPr>
    </w:lvl>
    <w:lvl w:ilvl="2">
      <w:start w:val="1"/>
      <w:numFmt w:val="decimal"/>
      <w:lvlText w:val="%1.%2.%3."/>
      <w:lvlJc w:val="left"/>
      <w:pPr>
        <w:ind w:left="1224" w:hanging="504"/>
      </w:pPr>
      <w:rPr>
        <w:rFonts w:asciiTheme="majorBidi" w:eastAsia="Arial" w:hAnsiTheme="majorBidi" w:cstheme="majorBidi" w:hint="default"/>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6111655"/>
    <w:multiLevelType w:val="multilevel"/>
    <w:tmpl w:val="1A6CF2BE"/>
    <w:lvl w:ilvl="0">
      <w:start w:val="1"/>
      <w:numFmt w:val="decimal"/>
      <w:lvlText w:val="%1."/>
      <w:lvlJc w:val="left"/>
      <w:pPr>
        <w:ind w:left="1351" w:hanging="359"/>
      </w:pPr>
      <w:rPr>
        <w:rFonts w:ascii="Times New Roman" w:eastAsia="Times New Roman" w:hAnsi="Times New Roman" w:cs="Times New Roman"/>
        <w:b w:val="0"/>
        <w:i w:val="0"/>
        <w:sz w:val="24"/>
        <w:szCs w:val="24"/>
        <w:lang w:val="lt-LT"/>
      </w:rPr>
    </w:lvl>
    <w:lvl w:ilvl="1">
      <w:start w:val="1"/>
      <w:numFmt w:val="decimal"/>
      <w:lvlText w:val="%1.%2."/>
      <w:lvlJc w:val="left"/>
      <w:pPr>
        <w:ind w:left="1566" w:hanging="432"/>
      </w:pPr>
      <w:rPr>
        <w:b w:val="0"/>
        <w:sz w:val="24"/>
        <w:szCs w:val="24"/>
        <w:lang w:val="lt-LT"/>
      </w:rPr>
    </w:lvl>
    <w:lvl w:ilvl="2">
      <w:start w:val="1"/>
      <w:numFmt w:val="decimal"/>
      <w:lvlText w:val="%1.%2.%3."/>
      <w:lvlJc w:val="left"/>
      <w:pPr>
        <w:ind w:left="1224" w:hanging="504"/>
      </w:pPr>
      <w:rPr>
        <w:rFonts w:asciiTheme="majorBidi" w:eastAsia="Arial" w:hAnsiTheme="majorBidi" w:cstheme="majorBidi" w:hint="default"/>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34E65A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6130B5B"/>
    <w:multiLevelType w:val="multilevel"/>
    <w:tmpl w:val="3EEAFF74"/>
    <w:lvl w:ilvl="0">
      <w:start w:val="1"/>
      <w:numFmt w:val="decimal"/>
      <w:lvlText w:val="%1."/>
      <w:lvlJc w:val="left"/>
      <w:pPr>
        <w:ind w:left="1351" w:hanging="359"/>
      </w:pPr>
      <w:rPr>
        <w:rFonts w:ascii="Times New Roman" w:eastAsia="Times New Roman" w:hAnsi="Times New Roman" w:cs="Times New Roman"/>
        <w:b w:val="0"/>
        <w:i w:val="0"/>
        <w:sz w:val="24"/>
        <w:szCs w:val="24"/>
        <w:lang w:val="lt"/>
      </w:rPr>
    </w:lvl>
    <w:lvl w:ilvl="1">
      <w:start w:val="1"/>
      <w:numFmt w:val="decimal"/>
      <w:lvlText w:val="%1.%2."/>
      <w:lvlJc w:val="left"/>
      <w:pPr>
        <w:ind w:left="1566" w:hanging="432"/>
      </w:pPr>
      <w:rPr>
        <w:b w:val="0"/>
        <w:sz w:val="24"/>
        <w:szCs w:val="24"/>
        <w:lang w:val="lt-LT"/>
      </w:rPr>
    </w:lvl>
    <w:lvl w:ilvl="2">
      <w:start w:val="1"/>
      <w:numFmt w:val="decimal"/>
      <w:lvlText w:val="%1.%2.%3."/>
      <w:lvlJc w:val="left"/>
      <w:pPr>
        <w:ind w:left="1224" w:hanging="504"/>
      </w:pPr>
      <w:rPr>
        <w:rFonts w:asciiTheme="majorBidi" w:eastAsia="Arial" w:hAnsiTheme="majorBidi" w:cstheme="majorBidi" w:hint="default"/>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7B76AB2"/>
    <w:multiLevelType w:val="multilevel"/>
    <w:tmpl w:val="0427001F"/>
    <w:lvl w:ilvl="0">
      <w:start w:val="1"/>
      <w:numFmt w:val="decimal"/>
      <w:lvlText w:val="%1."/>
      <w:lvlJc w:val="left"/>
      <w:pPr>
        <w:ind w:left="360" w:hanging="360"/>
      </w:pPr>
      <w:rPr>
        <w:b w:val="0"/>
        <w:i w:val="0"/>
        <w:sz w:val="24"/>
        <w:szCs w:val="24"/>
      </w:rPr>
    </w:lvl>
    <w:lvl w:ilvl="1">
      <w:start w:val="1"/>
      <w:numFmt w:val="decimal"/>
      <w:lvlText w:val="%1.%2."/>
      <w:lvlJc w:val="left"/>
      <w:pPr>
        <w:ind w:left="2417" w:hanging="432"/>
      </w:pPr>
      <w:rPr>
        <w:b w:val="0"/>
        <w:sz w:val="24"/>
        <w:szCs w:val="24"/>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9254B63"/>
    <w:multiLevelType w:val="multilevel"/>
    <w:tmpl w:val="5F547B6E"/>
    <w:lvl w:ilvl="0">
      <w:start w:val="1"/>
      <w:numFmt w:val="decimal"/>
      <w:lvlText w:val="%1."/>
      <w:lvlJc w:val="left"/>
      <w:pPr>
        <w:ind w:left="1351" w:hanging="359"/>
      </w:pPr>
      <w:rPr>
        <w:rFonts w:ascii="Times New Roman" w:eastAsia="Times New Roman" w:hAnsi="Times New Roman" w:cs="Times New Roman"/>
        <w:b w:val="0"/>
        <w:i w:val="0"/>
        <w:sz w:val="24"/>
        <w:szCs w:val="24"/>
        <w:lang w:val="lt"/>
      </w:rPr>
    </w:lvl>
    <w:lvl w:ilvl="1">
      <w:start w:val="1"/>
      <w:numFmt w:val="decimal"/>
      <w:lvlText w:val="%1.%2."/>
      <w:lvlJc w:val="left"/>
      <w:pPr>
        <w:ind w:left="1566" w:hanging="432"/>
      </w:pPr>
      <w:rPr>
        <w:b w:val="0"/>
        <w:sz w:val="24"/>
        <w:szCs w:val="24"/>
        <w:lang w:val="lt-LT"/>
      </w:rPr>
    </w:lvl>
    <w:lvl w:ilvl="2">
      <w:start w:val="1"/>
      <w:numFmt w:val="decimal"/>
      <w:lvlText w:val="%1.%2.%3."/>
      <w:lvlJc w:val="left"/>
      <w:pPr>
        <w:ind w:left="1224" w:hanging="504"/>
      </w:pPr>
      <w:rPr>
        <w:rFonts w:asciiTheme="majorBidi" w:eastAsia="Arial" w:hAnsiTheme="majorBidi" w:cstheme="majorBidi" w:hint="default"/>
        <w:b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9340AA1"/>
    <w:multiLevelType w:val="multilevel"/>
    <w:tmpl w:val="DC2A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F45C7E"/>
    <w:multiLevelType w:val="multilevel"/>
    <w:tmpl w:val="4F3E7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5868775">
    <w:abstractNumId w:val="11"/>
  </w:num>
  <w:num w:numId="2" w16cid:durableId="772553881">
    <w:abstractNumId w:val="2"/>
  </w:num>
  <w:num w:numId="3" w16cid:durableId="1334837732">
    <w:abstractNumId w:val="0"/>
  </w:num>
  <w:num w:numId="4" w16cid:durableId="1856535787">
    <w:abstractNumId w:val="9"/>
  </w:num>
  <w:num w:numId="5" w16cid:durableId="1054890156">
    <w:abstractNumId w:val="14"/>
  </w:num>
  <w:num w:numId="6" w16cid:durableId="681249125">
    <w:abstractNumId w:val="15"/>
  </w:num>
  <w:num w:numId="7" w16cid:durableId="18965092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8433868">
    <w:abstractNumId w:val="7"/>
  </w:num>
  <w:num w:numId="9" w16cid:durableId="1592467412">
    <w:abstractNumId w:val="3"/>
  </w:num>
  <w:num w:numId="10" w16cid:durableId="1638682973">
    <w:abstractNumId w:val="13"/>
  </w:num>
  <w:num w:numId="11" w16cid:durableId="1917744046">
    <w:abstractNumId w:val="8"/>
  </w:num>
  <w:num w:numId="12" w16cid:durableId="1795439268">
    <w:abstractNumId w:val="1"/>
  </w:num>
  <w:num w:numId="13" w16cid:durableId="210463178">
    <w:abstractNumId w:val="10"/>
  </w:num>
  <w:num w:numId="14" w16cid:durableId="937441557">
    <w:abstractNumId w:val="12"/>
  </w:num>
  <w:num w:numId="15" w16cid:durableId="1448157024">
    <w:abstractNumId w:val="6"/>
  </w:num>
  <w:num w:numId="16" w16cid:durableId="940642554">
    <w:abstractNumId w:val="5"/>
  </w:num>
  <w:num w:numId="17" w16cid:durableId="130450684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8"/>
  <w:removePersonalInformation/>
  <w:removeDateAndTime/>
  <w:proofState w:spelling="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2F1"/>
    <w:rsid w:val="000008DA"/>
    <w:rsid w:val="00001920"/>
    <w:rsid w:val="000026A7"/>
    <w:rsid w:val="000031B8"/>
    <w:rsid w:val="00003BA0"/>
    <w:rsid w:val="00004CF2"/>
    <w:rsid w:val="00005320"/>
    <w:rsid w:val="00005BC6"/>
    <w:rsid w:val="0000636A"/>
    <w:rsid w:val="000063AC"/>
    <w:rsid w:val="00006425"/>
    <w:rsid w:val="000064B1"/>
    <w:rsid w:val="00006F92"/>
    <w:rsid w:val="00010AE0"/>
    <w:rsid w:val="000122C9"/>
    <w:rsid w:val="00014D7F"/>
    <w:rsid w:val="0001601B"/>
    <w:rsid w:val="0002094A"/>
    <w:rsid w:val="000227D0"/>
    <w:rsid w:val="0002283F"/>
    <w:rsid w:val="00022F58"/>
    <w:rsid w:val="00023CEA"/>
    <w:rsid w:val="00025491"/>
    <w:rsid w:val="00025B4B"/>
    <w:rsid w:val="00026A1E"/>
    <w:rsid w:val="00026C14"/>
    <w:rsid w:val="00026E00"/>
    <w:rsid w:val="00027193"/>
    <w:rsid w:val="000275CE"/>
    <w:rsid w:val="00032045"/>
    <w:rsid w:val="0003242E"/>
    <w:rsid w:val="000336E5"/>
    <w:rsid w:val="00033E6F"/>
    <w:rsid w:val="000340C3"/>
    <w:rsid w:val="00034DB3"/>
    <w:rsid w:val="0003545F"/>
    <w:rsid w:val="00035689"/>
    <w:rsid w:val="00037371"/>
    <w:rsid w:val="0003765C"/>
    <w:rsid w:val="00040320"/>
    <w:rsid w:val="00041145"/>
    <w:rsid w:val="0004158D"/>
    <w:rsid w:val="00042132"/>
    <w:rsid w:val="00042144"/>
    <w:rsid w:val="00042364"/>
    <w:rsid w:val="000427F1"/>
    <w:rsid w:val="00042DB6"/>
    <w:rsid w:val="00043879"/>
    <w:rsid w:val="0004402D"/>
    <w:rsid w:val="000451D3"/>
    <w:rsid w:val="00045901"/>
    <w:rsid w:val="00050660"/>
    <w:rsid w:val="00050777"/>
    <w:rsid w:val="00050F1E"/>
    <w:rsid w:val="0005107B"/>
    <w:rsid w:val="000512A7"/>
    <w:rsid w:val="0005295B"/>
    <w:rsid w:val="00053ADF"/>
    <w:rsid w:val="00053B83"/>
    <w:rsid w:val="00054558"/>
    <w:rsid w:val="0005463A"/>
    <w:rsid w:val="00054B60"/>
    <w:rsid w:val="00055712"/>
    <w:rsid w:val="00060C47"/>
    <w:rsid w:val="00060D38"/>
    <w:rsid w:val="00060D94"/>
    <w:rsid w:val="000611D8"/>
    <w:rsid w:val="0006302B"/>
    <w:rsid w:val="00063C55"/>
    <w:rsid w:val="00063D1D"/>
    <w:rsid w:val="0006459A"/>
    <w:rsid w:val="00065B5A"/>
    <w:rsid w:val="00066865"/>
    <w:rsid w:val="00067E65"/>
    <w:rsid w:val="000707C5"/>
    <w:rsid w:val="000712D6"/>
    <w:rsid w:val="00071541"/>
    <w:rsid w:val="00071C1A"/>
    <w:rsid w:val="0007268F"/>
    <w:rsid w:val="00072A10"/>
    <w:rsid w:val="00073013"/>
    <w:rsid w:val="00073C6E"/>
    <w:rsid w:val="00075809"/>
    <w:rsid w:val="00076FDD"/>
    <w:rsid w:val="0007790C"/>
    <w:rsid w:val="00081E7E"/>
    <w:rsid w:val="00084AAE"/>
    <w:rsid w:val="00084BEA"/>
    <w:rsid w:val="00084C45"/>
    <w:rsid w:val="00084CB3"/>
    <w:rsid w:val="00085DB5"/>
    <w:rsid w:val="00086921"/>
    <w:rsid w:val="00087F97"/>
    <w:rsid w:val="00087FE6"/>
    <w:rsid w:val="000902A6"/>
    <w:rsid w:val="0009078A"/>
    <w:rsid w:val="000910F8"/>
    <w:rsid w:val="000912FA"/>
    <w:rsid w:val="000915F5"/>
    <w:rsid w:val="00091BA5"/>
    <w:rsid w:val="00091E96"/>
    <w:rsid w:val="000922C7"/>
    <w:rsid w:val="000937D2"/>
    <w:rsid w:val="000937DF"/>
    <w:rsid w:val="00093855"/>
    <w:rsid w:val="00093904"/>
    <w:rsid w:val="000940B2"/>
    <w:rsid w:val="00094A31"/>
    <w:rsid w:val="00094ECF"/>
    <w:rsid w:val="000962E8"/>
    <w:rsid w:val="00096668"/>
    <w:rsid w:val="0009675C"/>
    <w:rsid w:val="000A065C"/>
    <w:rsid w:val="000A1226"/>
    <w:rsid w:val="000A19B6"/>
    <w:rsid w:val="000A1EDA"/>
    <w:rsid w:val="000A29C1"/>
    <w:rsid w:val="000A34E2"/>
    <w:rsid w:val="000A39B9"/>
    <w:rsid w:val="000A43D6"/>
    <w:rsid w:val="000A51E8"/>
    <w:rsid w:val="000A6CB4"/>
    <w:rsid w:val="000A70A2"/>
    <w:rsid w:val="000A71BE"/>
    <w:rsid w:val="000A7349"/>
    <w:rsid w:val="000A7753"/>
    <w:rsid w:val="000A7C89"/>
    <w:rsid w:val="000B0387"/>
    <w:rsid w:val="000B0F93"/>
    <w:rsid w:val="000B184B"/>
    <w:rsid w:val="000B189E"/>
    <w:rsid w:val="000B18A8"/>
    <w:rsid w:val="000B213D"/>
    <w:rsid w:val="000B3B5C"/>
    <w:rsid w:val="000B3BCC"/>
    <w:rsid w:val="000B409B"/>
    <w:rsid w:val="000B43C7"/>
    <w:rsid w:val="000B4D88"/>
    <w:rsid w:val="000B6504"/>
    <w:rsid w:val="000B777C"/>
    <w:rsid w:val="000B77A8"/>
    <w:rsid w:val="000C06FC"/>
    <w:rsid w:val="000C071C"/>
    <w:rsid w:val="000C0C24"/>
    <w:rsid w:val="000C0D65"/>
    <w:rsid w:val="000C2C77"/>
    <w:rsid w:val="000C375C"/>
    <w:rsid w:val="000C4349"/>
    <w:rsid w:val="000C58C6"/>
    <w:rsid w:val="000C5DE3"/>
    <w:rsid w:val="000C5E86"/>
    <w:rsid w:val="000C686E"/>
    <w:rsid w:val="000D0076"/>
    <w:rsid w:val="000D1CC5"/>
    <w:rsid w:val="000D3547"/>
    <w:rsid w:val="000D5EE2"/>
    <w:rsid w:val="000D68D3"/>
    <w:rsid w:val="000D73AF"/>
    <w:rsid w:val="000E0AFA"/>
    <w:rsid w:val="000E0D48"/>
    <w:rsid w:val="000E1415"/>
    <w:rsid w:val="000E236E"/>
    <w:rsid w:val="000E256B"/>
    <w:rsid w:val="000E354C"/>
    <w:rsid w:val="000E46AC"/>
    <w:rsid w:val="000E46DD"/>
    <w:rsid w:val="000E4A48"/>
    <w:rsid w:val="000E5746"/>
    <w:rsid w:val="000E5848"/>
    <w:rsid w:val="000E7E7F"/>
    <w:rsid w:val="000F1B8B"/>
    <w:rsid w:val="000F3961"/>
    <w:rsid w:val="000F46BE"/>
    <w:rsid w:val="000F48F6"/>
    <w:rsid w:val="000F50DA"/>
    <w:rsid w:val="000F54BE"/>
    <w:rsid w:val="000F555C"/>
    <w:rsid w:val="000F5778"/>
    <w:rsid w:val="000F604F"/>
    <w:rsid w:val="00100B87"/>
    <w:rsid w:val="00101449"/>
    <w:rsid w:val="001019DD"/>
    <w:rsid w:val="0010276B"/>
    <w:rsid w:val="00102AA5"/>
    <w:rsid w:val="00103436"/>
    <w:rsid w:val="001038E3"/>
    <w:rsid w:val="00104E7F"/>
    <w:rsid w:val="001056A3"/>
    <w:rsid w:val="001059D9"/>
    <w:rsid w:val="001062CB"/>
    <w:rsid w:val="00107FF4"/>
    <w:rsid w:val="00110D7C"/>
    <w:rsid w:val="00111198"/>
    <w:rsid w:val="001119DA"/>
    <w:rsid w:val="00111A9C"/>
    <w:rsid w:val="00112A27"/>
    <w:rsid w:val="00112CD7"/>
    <w:rsid w:val="00113FF5"/>
    <w:rsid w:val="00113FF9"/>
    <w:rsid w:val="00114621"/>
    <w:rsid w:val="001147FC"/>
    <w:rsid w:val="00114C76"/>
    <w:rsid w:val="00115687"/>
    <w:rsid w:val="001163CE"/>
    <w:rsid w:val="00116776"/>
    <w:rsid w:val="0011717F"/>
    <w:rsid w:val="001179D6"/>
    <w:rsid w:val="00117FC4"/>
    <w:rsid w:val="00120A3C"/>
    <w:rsid w:val="00123EA0"/>
    <w:rsid w:val="00123F51"/>
    <w:rsid w:val="00124698"/>
    <w:rsid w:val="00124FFE"/>
    <w:rsid w:val="00125B7D"/>
    <w:rsid w:val="00125CB3"/>
    <w:rsid w:val="00125D0F"/>
    <w:rsid w:val="00125FF0"/>
    <w:rsid w:val="00131223"/>
    <w:rsid w:val="00131789"/>
    <w:rsid w:val="001339EE"/>
    <w:rsid w:val="00135064"/>
    <w:rsid w:val="00136FF6"/>
    <w:rsid w:val="00140066"/>
    <w:rsid w:val="001400F7"/>
    <w:rsid w:val="00140F34"/>
    <w:rsid w:val="0014274C"/>
    <w:rsid w:val="00142AB5"/>
    <w:rsid w:val="00143261"/>
    <w:rsid w:val="00143323"/>
    <w:rsid w:val="00143F02"/>
    <w:rsid w:val="00145C3D"/>
    <w:rsid w:val="00145D29"/>
    <w:rsid w:val="001466CA"/>
    <w:rsid w:val="0014785B"/>
    <w:rsid w:val="0015026D"/>
    <w:rsid w:val="001509B4"/>
    <w:rsid w:val="00150F1B"/>
    <w:rsid w:val="00151F19"/>
    <w:rsid w:val="00152322"/>
    <w:rsid w:val="00152349"/>
    <w:rsid w:val="00152555"/>
    <w:rsid w:val="001525D8"/>
    <w:rsid w:val="00152956"/>
    <w:rsid w:val="00153AC2"/>
    <w:rsid w:val="00154E5E"/>
    <w:rsid w:val="00154FE9"/>
    <w:rsid w:val="001551EF"/>
    <w:rsid w:val="00155806"/>
    <w:rsid w:val="00156C6A"/>
    <w:rsid w:val="00157947"/>
    <w:rsid w:val="001604B9"/>
    <w:rsid w:val="0016061E"/>
    <w:rsid w:val="00160953"/>
    <w:rsid w:val="00161A52"/>
    <w:rsid w:val="00162510"/>
    <w:rsid w:val="00162797"/>
    <w:rsid w:val="00162F78"/>
    <w:rsid w:val="00162FC5"/>
    <w:rsid w:val="001634A9"/>
    <w:rsid w:val="001634E4"/>
    <w:rsid w:val="001641A2"/>
    <w:rsid w:val="00164B29"/>
    <w:rsid w:val="00164D75"/>
    <w:rsid w:val="00164F88"/>
    <w:rsid w:val="00165BA9"/>
    <w:rsid w:val="00165F08"/>
    <w:rsid w:val="0016619C"/>
    <w:rsid w:val="00166273"/>
    <w:rsid w:val="001667D5"/>
    <w:rsid w:val="001669C0"/>
    <w:rsid w:val="001714C4"/>
    <w:rsid w:val="00171901"/>
    <w:rsid w:val="00171D7F"/>
    <w:rsid w:val="00171DC0"/>
    <w:rsid w:val="00173595"/>
    <w:rsid w:val="001742CD"/>
    <w:rsid w:val="001774CC"/>
    <w:rsid w:val="00177D05"/>
    <w:rsid w:val="00177F4D"/>
    <w:rsid w:val="00177F7E"/>
    <w:rsid w:val="00180073"/>
    <w:rsid w:val="001807C7"/>
    <w:rsid w:val="0018189E"/>
    <w:rsid w:val="00181E37"/>
    <w:rsid w:val="001847E0"/>
    <w:rsid w:val="00184866"/>
    <w:rsid w:val="00186AB9"/>
    <w:rsid w:val="00187B09"/>
    <w:rsid w:val="001901D6"/>
    <w:rsid w:val="00190268"/>
    <w:rsid w:val="00190BE1"/>
    <w:rsid w:val="00190CDE"/>
    <w:rsid w:val="00191137"/>
    <w:rsid w:val="0019172F"/>
    <w:rsid w:val="00191763"/>
    <w:rsid w:val="001924C6"/>
    <w:rsid w:val="00192C76"/>
    <w:rsid w:val="00192C90"/>
    <w:rsid w:val="00192CBB"/>
    <w:rsid w:val="00193BCC"/>
    <w:rsid w:val="00194D85"/>
    <w:rsid w:val="00196976"/>
    <w:rsid w:val="00197203"/>
    <w:rsid w:val="001974D7"/>
    <w:rsid w:val="001A0E54"/>
    <w:rsid w:val="001A1AD4"/>
    <w:rsid w:val="001A1C1F"/>
    <w:rsid w:val="001A1F76"/>
    <w:rsid w:val="001A273E"/>
    <w:rsid w:val="001A2C5E"/>
    <w:rsid w:val="001A4045"/>
    <w:rsid w:val="001A4097"/>
    <w:rsid w:val="001A6C9E"/>
    <w:rsid w:val="001A7A17"/>
    <w:rsid w:val="001B09CC"/>
    <w:rsid w:val="001B103D"/>
    <w:rsid w:val="001B165C"/>
    <w:rsid w:val="001B2668"/>
    <w:rsid w:val="001B3167"/>
    <w:rsid w:val="001B3B78"/>
    <w:rsid w:val="001B400B"/>
    <w:rsid w:val="001B51D5"/>
    <w:rsid w:val="001B59A0"/>
    <w:rsid w:val="001B6BB0"/>
    <w:rsid w:val="001B7086"/>
    <w:rsid w:val="001B7154"/>
    <w:rsid w:val="001B7ACF"/>
    <w:rsid w:val="001B7B72"/>
    <w:rsid w:val="001B7E35"/>
    <w:rsid w:val="001C020F"/>
    <w:rsid w:val="001C1451"/>
    <w:rsid w:val="001C2239"/>
    <w:rsid w:val="001C2B1C"/>
    <w:rsid w:val="001C2C0B"/>
    <w:rsid w:val="001C36F4"/>
    <w:rsid w:val="001C4089"/>
    <w:rsid w:val="001C41CC"/>
    <w:rsid w:val="001C4A97"/>
    <w:rsid w:val="001C58B1"/>
    <w:rsid w:val="001C59EB"/>
    <w:rsid w:val="001C62A1"/>
    <w:rsid w:val="001C6E68"/>
    <w:rsid w:val="001C780D"/>
    <w:rsid w:val="001D02A4"/>
    <w:rsid w:val="001D0F16"/>
    <w:rsid w:val="001D1551"/>
    <w:rsid w:val="001D19A9"/>
    <w:rsid w:val="001D1B42"/>
    <w:rsid w:val="001D2FE3"/>
    <w:rsid w:val="001D3547"/>
    <w:rsid w:val="001D4625"/>
    <w:rsid w:val="001D4C4E"/>
    <w:rsid w:val="001D550C"/>
    <w:rsid w:val="001E0DF3"/>
    <w:rsid w:val="001E1CCD"/>
    <w:rsid w:val="001E35B7"/>
    <w:rsid w:val="001E4C72"/>
    <w:rsid w:val="001E54DE"/>
    <w:rsid w:val="001E6424"/>
    <w:rsid w:val="001E65D6"/>
    <w:rsid w:val="001E662F"/>
    <w:rsid w:val="001E7055"/>
    <w:rsid w:val="001F0123"/>
    <w:rsid w:val="001F1AC0"/>
    <w:rsid w:val="001F2FB9"/>
    <w:rsid w:val="001F323A"/>
    <w:rsid w:val="001F4B50"/>
    <w:rsid w:val="001F4E02"/>
    <w:rsid w:val="001F5984"/>
    <w:rsid w:val="001F5AE8"/>
    <w:rsid w:val="001F5C9E"/>
    <w:rsid w:val="001F604A"/>
    <w:rsid w:val="001F6DCC"/>
    <w:rsid w:val="001F79F6"/>
    <w:rsid w:val="001F7FF8"/>
    <w:rsid w:val="002005E3"/>
    <w:rsid w:val="0020068D"/>
    <w:rsid w:val="0020304A"/>
    <w:rsid w:val="002033CA"/>
    <w:rsid w:val="00203BE2"/>
    <w:rsid w:val="00204FA1"/>
    <w:rsid w:val="0020518C"/>
    <w:rsid w:val="002052FB"/>
    <w:rsid w:val="00205C93"/>
    <w:rsid w:val="00207131"/>
    <w:rsid w:val="00207667"/>
    <w:rsid w:val="00207695"/>
    <w:rsid w:val="00207E14"/>
    <w:rsid w:val="0021109D"/>
    <w:rsid w:val="00211BFF"/>
    <w:rsid w:val="002125F8"/>
    <w:rsid w:val="002133B8"/>
    <w:rsid w:val="002134B5"/>
    <w:rsid w:val="0021393F"/>
    <w:rsid w:val="002148DC"/>
    <w:rsid w:val="00215382"/>
    <w:rsid w:val="00215736"/>
    <w:rsid w:val="00216A57"/>
    <w:rsid w:val="0021744E"/>
    <w:rsid w:val="00217A5A"/>
    <w:rsid w:val="002206B0"/>
    <w:rsid w:val="00220827"/>
    <w:rsid w:val="00220CCC"/>
    <w:rsid w:val="00221CE3"/>
    <w:rsid w:val="00222AEC"/>
    <w:rsid w:val="0022306E"/>
    <w:rsid w:val="0022523F"/>
    <w:rsid w:val="0022593B"/>
    <w:rsid w:val="00225A0D"/>
    <w:rsid w:val="00226AF2"/>
    <w:rsid w:val="00227366"/>
    <w:rsid w:val="00227D5F"/>
    <w:rsid w:val="00230863"/>
    <w:rsid w:val="002327ED"/>
    <w:rsid w:val="00233056"/>
    <w:rsid w:val="0023371C"/>
    <w:rsid w:val="00233A79"/>
    <w:rsid w:val="00234520"/>
    <w:rsid w:val="00235612"/>
    <w:rsid w:val="002358C8"/>
    <w:rsid w:val="00235B64"/>
    <w:rsid w:val="00237315"/>
    <w:rsid w:val="00237502"/>
    <w:rsid w:val="00237F1A"/>
    <w:rsid w:val="00240388"/>
    <w:rsid w:val="00240877"/>
    <w:rsid w:val="00240B16"/>
    <w:rsid w:val="00240CA0"/>
    <w:rsid w:val="00240D08"/>
    <w:rsid w:val="00245988"/>
    <w:rsid w:val="00245D3B"/>
    <w:rsid w:val="00247DF2"/>
    <w:rsid w:val="00250946"/>
    <w:rsid w:val="002513EC"/>
    <w:rsid w:val="0025177D"/>
    <w:rsid w:val="002517DA"/>
    <w:rsid w:val="00251A7E"/>
    <w:rsid w:val="00251C9B"/>
    <w:rsid w:val="0025284D"/>
    <w:rsid w:val="002532E0"/>
    <w:rsid w:val="00255125"/>
    <w:rsid w:val="002557F3"/>
    <w:rsid w:val="00255F69"/>
    <w:rsid w:val="002577BC"/>
    <w:rsid w:val="00257DDE"/>
    <w:rsid w:val="0026061E"/>
    <w:rsid w:val="00260E7D"/>
    <w:rsid w:val="00261E5A"/>
    <w:rsid w:val="00261EC5"/>
    <w:rsid w:val="00262761"/>
    <w:rsid w:val="002629CB"/>
    <w:rsid w:val="00262AE4"/>
    <w:rsid w:val="00263A45"/>
    <w:rsid w:val="00264D16"/>
    <w:rsid w:val="002650C8"/>
    <w:rsid w:val="002653FA"/>
    <w:rsid w:val="0026557C"/>
    <w:rsid w:val="00265A81"/>
    <w:rsid w:val="0027105F"/>
    <w:rsid w:val="0027125B"/>
    <w:rsid w:val="0027197B"/>
    <w:rsid w:val="00271FAC"/>
    <w:rsid w:val="002724C9"/>
    <w:rsid w:val="00272F2A"/>
    <w:rsid w:val="00273E46"/>
    <w:rsid w:val="002745C7"/>
    <w:rsid w:val="002746B6"/>
    <w:rsid w:val="00274A43"/>
    <w:rsid w:val="00275063"/>
    <w:rsid w:val="00275701"/>
    <w:rsid w:val="00276582"/>
    <w:rsid w:val="00277432"/>
    <w:rsid w:val="0028071E"/>
    <w:rsid w:val="00280E1A"/>
    <w:rsid w:val="00281D6C"/>
    <w:rsid w:val="00281FC6"/>
    <w:rsid w:val="00282FF2"/>
    <w:rsid w:val="00285E2E"/>
    <w:rsid w:val="002863FB"/>
    <w:rsid w:val="00287291"/>
    <w:rsid w:val="00290059"/>
    <w:rsid w:val="00290AF0"/>
    <w:rsid w:val="0029150C"/>
    <w:rsid w:val="00291E19"/>
    <w:rsid w:val="002923BD"/>
    <w:rsid w:val="002929F1"/>
    <w:rsid w:val="00292EEB"/>
    <w:rsid w:val="00292F17"/>
    <w:rsid w:val="00293515"/>
    <w:rsid w:val="00293D1A"/>
    <w:rsid w:val="00293FEE"/>
    <w:rsid w:val="00294577"/>
    <w:rsid w:val="002948F4"/>
    <w:rsid w:val="00294DF7"/>
    <w:rsid w:val="002957B5"/>
    <w:rsid w:val="002961CB"/>
    <w:rsid w:val="002A0602"/>
    <w:rsid w:val="002A0BF5"/>
    <w:rsid w:val="002A1A7D"/>
    <w:rsid w:val="002A3148"/>
    <w:rsid w:val="002A356F"/>
    <w:rsid w:val="002A3AD8"/>
    <w:rsid w:val="002A4FD2"/>
    <w:rsid w:val="002A5A26"/>
    <w:rsid w:val="002A5A40"/>
    <w:rsid w:val="002A6873"/>
    <w:rsid w:val="002A76C1"/>
    <w:rsid w:val="002B0F28"/>
    <w:rsid w:val="002B1F1A"/>
    <w:rsid w:val="002B3200"/>
    <w:rsid w:val="002B51ED"/>
    <w:rsid w:val="002B5548"/>
    <w:rsid w:val="002B62B0"/>
    <w:rsid w:val="002B7201"/>
    <w:rsid w:val="002C067B"/>
    <w:rsid w:val="002C104E"/>
    <w:rsid w:val="002C1787"/>
    <w:rsid w:val="002C2524"/>
    <w:rsid w:val="002C27E0"/>
    <w:rsid w:val="002C2B78"/>
    <w:rsid w:val="002C3023"/>
    <w:rsid w:val="002C4A88"/>
    <w:rsid w:val="002C4AFF"/>
    <w:rsid w:val="002C5BAC"/>
    <w:rsid w:val="002C6363"/>
    <w:rsid w:val="002C7B27"/>
    <w:rsid w:val="002D2D58"/>
    <w:rsid w:val="002D3301"/>
    <w:rsid w:val="002D6107"/>
    <w:rsid w:val="002D798D"/>
    <w:rsid w:val="002D7EFF"/>
    <w:rsid w:val="002E16C7"/>
    <w:rsid w:val="002E268D"/>
    <w:rsid w:val="002E6A9B"/>
    <w:rsid w:val="002E7BD9"/>
    <w:rsid w:val="002E7C3C"/>
    <w:rsid w:val="002F1801"/>
    <w:rsid w:val="002F2B58"/>
    <w:rsid w:val="002F4A4A"/>
    <w:rsid w:val="002F4C69"/>
    <w:rsid w:val="002F4D94"/>
    <w:rsid w:val="002F5241"/>
    <w:rsid w:val="002F5E9E"/>
    <w:rsid w:val="002F68CC"/>
    <w:rsid w:val="002F769C"/>
    <w:rsid w:val="002F7CC1"/>
    <w:rsid w:val="00300649"/>
    <w:rsid w:val="0030071E"/>
    <w:rsid w:val="00300AAB"/>
    <w:rsid w:val="003010EE"/>
    <w:rsid w:val="0030133F"/>
    <w:rsid w:val="00302015"/>
    <w:rsid w:val="003040D1"/>
    <w:rsid w:val="00304A1D"/>
    <w:rsid w:val="00304AA8"/>
    <w:rsid w:val="00305959"/>
    <w:rsid w:val="00305E23"/>
    <w:rsid w:val="003068C5"/>
    <w:rsid w:val="003073CD"/>
    <w:rsid w:val="00307BF0"/>
    <w:rsid w:val="00307E83"/>
    <w:rsid w:val="00311072"/>
    <w:rsid w:val="00312E50"/>
    <w:rsid w:val="00313B11"/>
    <w:rsid w:val="003148AF"/>
    <w:rsid w:val="00314B53"/>
    <w:rsid w:val="0031698E"/>
    <w:rsid w:val="00316F92"/>
    <w:rsid w:val="00320390"/>
    <w:rsid w:val="0032218E"/>
    <w:rsid w:val="00322631"/>
    <w:rsid w:val="00323B13"/>
    <w:rsid w:val="0032405F"/>
    <w:rsid w:val="003243EE"/>
    <w:rsid w:val="00324595"/>
    <w:rsid w:val="00325A4B"/>
    <w:rsid w:val="00326455"/>
    <w:rsid w:val="00326900"/>
    <w:rsid w:val="00326A4F"/>
    <w:rsid w:val="00331D15"/>
    <w:rsid w:val="00332214"/>
    <w:rsid w:val="00332A10"/>
    <w:rsid w:val="00332EFC"/>
    <w:rsid w:val="00333BDE"/>
    <w:rsid w:val="003345F4"/>
    <w:rsid w:val="00336421"/>
    <w:rsid w:val="00337637"/>
    <w:rsid w:val="00340723"/>
    <w:rsid w:val="00340773"/>
    <w:rsid w:val="00341C8A"/>
    <w:rsid w:val="0034482E"/>
    <w:rsid w:val="003453C3"/>
    <w:rsid w:val="0034580E"/>
    <w:rsid w:val="00347135"/>
    <w:rsid w:val="00347231"/>
    <w:rsid w:val="00347AC8"/>
    <w:rsid w:val="00351D82"/>
    <w:rsid w:val="0035261C"/>
    <w:rsid w:val="00354337"/>
    <w:rsid w:val="00354EE9"/>
    <w:rsid w:val="00355B1D"/>
    <w:rsid w:val="00357762"/>
    <w:rsid w:val="00360D07"/>
    <w:rsid w:val="0036163B"/>
    <w:rsid w:val="0036171A"/>
    <w:rsid w:val="003642F3"/>
    <w:rsid w:val="003644EC"/>
    <w:rsid w:val="003649C4"/>
    <w:rsid w:val="00364AD6"/>
    <w:rsid w:val="0036658A"/>
    <w:rsid w:val="00366602"/>
    <w:rsid w:val="00366F8B"/>
    <w:rsid w:val="003675F4"/>
    <w:rsid w:val="0037035C"/>
    <w:rsid w:val="003708F0"/>
    <w:rsid w:val="0037134E"/>
    <w:rsid w:val="00372837"/>
    <w:rsid w:val="00373D11"/>
    <w:rsid w:val="0037476F"/>
    <w:rsid w:val="003748B6"/>
    <w:rsid w:val="00375989"/>
    <w:rsid w:val="00376262"/>
    <w:rsid w:val="0037799E"/>
    <w:rsid w:val="003807BE"/>
    <w:rsid w:val="003814CE"/>
    <w:rsid w:val="003824C6"/>
    <w:rsid w:val="00382E47"/>
    <w:rsid w:val="00382F24"/>
    <w:rsid w:val="0038450F"/>
    <w:rsid w:val="00384956"/>
    <w:rsid w:val="003854C2"/>
    <w:rsid w:val="00385744"/>
    <w:rsid w:val="00385886"/>
    <w:rsid w:val="00385F39"/>
    <w:rsid w:val="00386019"/>
    <w:rsid w:val="003861C2"/>
    <w:rsid w:val="00386C56"/>
    <w:rsid w:val="00386CA0"/>
    <w:rsid w:val="00387712"/>
    <w:rsid w:val="003878ED"/>
    <w:rsid w:val="003901C7"/>
    <w:rsid w:val="00391850"/>
    <w:rsid w:val="0039228B"/>
    <w:rsid w:val="00393825"/>
    <w:rsid w:val="003940CA"/>
    <w:rsid w:val="003945FD"/>
    <w:rsid w:val="003953B1"/>
    <w:rsid w:val="00396212"/>
    <w:rsid w:val="003963E7"/>
    <w:rsid w:val="00396894"/>
    <w:rsid w:val="00396F08"/>
    <w:rsid w:val="003970B6"/>
    <w:rsid w:val="0039787C"/>
    <w:rsid w:val="00397BC3"/>
    <w:rsid w:val="003A1DE9"/>
    <w:rsid w:val="003A2F5D"/>
    <w:rsid w:val="003A3F85"/>
    <w:rsid w:val="003A4798"/>
    <w:rsid w:val="003A4AD3"/>
    <w:rsid w:val="003A4B64"/>
    <w:rsid w:val="003A4FC5"/>
    <w:rsid w:val="003A5150"/>
    <w:rsid w:val="003A561F"/>
    <w:rsid w:val="003A5765"/>
    <w:rsid w:val="003B023F"/>
    <w:rsid w:val="003B11EF"/>
    <w:rsid w:val="003B1AE3"/>
    <w:rsid w:val="003B39D2"/>
    <w:rsid w:val="003B4DC9"/>
    <w:rsid w:val="003B4E5C"/>
    <w:rsid w:val="003B52C8"/>
    <w:rsid w:val="003B5E78"/>
    <w:rsid w:val="003B6DA0"/>
    <w:rsid w:val="003B6E8B"/>
    <w:rsid w:val="003B712C"/>
    <w:rsid w:val="003B7EEE"/>
    <w:rsid w:val="003C001B"/>
    <w:rsid w:val="003C0E7A"/>
    <w:rsid w:val="003C0F86"/>
    <w:rsid w:val="003C114D"/>
    <w:rsid w:val="003C1C78"/>
    <w:rsid w:val="003C1DAA"/>
    <w:rsid w:val="003C42CC"/>
    <w:rsid w:val="003C5438"/>
    <w:rsid w:val="003C5F51"/>
    <w:rsid w:val="003C6ACC"/>
    <w:rsid w:val="003C6ACF"/>
    <w:rsid w:val="003C7487"/>
    <w:rsid w:val="003D06AF"/>
    <w:rsid w:val="003D166E"/>
    <w:rsid w:val="003D2943"/>
    <w:rsid w:val="003D59D8"/>
    <w:rsid w:val="003D5FA9"/>
    <w:rsid w:val="003D6383"/>
    <w:rsid w:val="003D63D0"/>
    <w:rsid w:val="003D6705"/>
    <w:rsid w:val="003D7313"/>
    <w:rsid w:val="003D7656"/>
    <w:rsid w:val="003E2DA1"/>
    <w:rsid w:val="003E3C54"/>
    <w:rsid w:val="003E5D76"/>
    <w:rsid w:val="003E6369"/>
    <w:rsid w:val="003E669D"/>
    <w:rsid w:val="003E68BB"/>
    <w:rsid w:val="003E7755"/>
    <w:rsid w:val="003F1E34"/>
    <w:rsid w:val="003F206C"/>
    <w:rsid w:val="003F2284"/>
    <w:rsid w:val="003F22E9"/>
    <w:rsid w:val="003F230D"/>
    <w:rsid w:val="003F2668"/>
    <w:rsid w:val="003F4689"/>
    <w:rsid w:val="003F65BD"/>
    <w:rsid w:val="003F6984"/>
    <w:rsid w:val="00400061"/>
    <w:rsid w:val="00400CC8"/>
    <w:rsid w:val="004020C2"/>
    <w:rsid w:val="00402ABE"/>
    <w:rsid w:val="00402E47"/>
    <w:rsid w:val="00402E9F"/>
    <w:rsid w:val="00403E08"/>
    <w:rsid w:val="00405209"/>
    <w:rsid w:val="00405291"/>
    <w:rsid w:val="00405771"/>
    <w:rsid w:val="00406640"/>
    <w:rsid w:val="004074CE"/>
    <w:rsid w:val="004104B6"/>
    <w:rsid w:val="004125F5"/>
    <w:rsid w:val="00413663"/>
    <w:rsid w:val="00413850"/>
    <w:rsid w:val="00415A4D"/>
    <w:rsid w:val="004215B8"/>
    <w:rsid w:val="0042181D"/>
    <w:rsid w:val="00421ACF"/>
    <w:rsid w:val="00422CC5"/>
    <w:rsid w:val="00422D21"/>
    <w:rsid w:val="00425F5A"/>
    <w:rsid w:val="0042769E"/>
    <w:rsid w:val="00427B68"/>
    <w:rsid w:val="00430F2F"/>
    <w:rsid w:val="0043231D"/>
    <w:rsid w:val="00432AE0"/>
    <w:rsid w:val="00433E02"/>
    <w:rsid w:val="004341DA"/>
    <w:rsid w:val="004362A3"/>
    <w:rsid w:val="00437B25"/>
    <w:rsid w:val="004412FD"/>
    <w:rsid w:val="0044172A"/>
    <w:rsid w:val="004419AD"/>
    <w:rsid w:val="00443347"/>
    <w:rsid w:val="00444383"/>
    <w:rsid w:val="004444D9"/>
    <w:rsid w:val="00444CC6"/>
    <w:rsid w:val="00445415"/>
    <w:rsid w:val="00445946"/>
    <w:rsid w:val="0044731B"/>
    <w:rsid w:val="00450656"/>
    <w:rsid w:val="004506B4"/>
    <w:rsid w:val="004506C9"/>
    <w:rsid w:val="00451980"/>
    <w:rsid w:val="00452AC0"/>
    <w:rsid w:val="00453576"/>
    <w:rsid w:val="0045377C"/>
    <w:rsid w:val="00453C3D"/>
    <w:rsid w:val="00453EE2"/>
    <w:rsid w:val="00454542"/>
    <w:rsid w:val="004551DD"/>
    <w:rsid w:val="00455535"/>
    <w:rsid w:val="004566A0"/>
    <w:rsid w:val="00456A13"/>
    <w:rsid w:val="004576CA"/>
    <w:rsid w:val="00461312"/>
    <w:rsid w:val="00462505"/>
    <w:rsid w:val="00462F3D"/>
    <w:rsid w:val="004639B0"/>
    <w:rsid w:val="0046403B"/>
    <w:rsid w:val="004644DE"/>
    <w:rsid w:val="0046584D"/>
    <w:rsid w:val="0046598E"/>
    <w:rsid w:val="004664CF"/>
    <w:rsid w:val="00467628"/>
    <w:rsid w:val="00467944"/>
    <w:rsid w:val="004679F6"/>
    <w:rsid w:val="00467C0E"/>
    <w:rsid w:val="00470A11"/>
    <w:rsid w:val="00470FC8"/>
    <w:rsid w:val="00471C8A"/>
    <w:rsid w:val="0047299C"/>
    <w:rsid w:val="00473AAD"/>
    <w:rsid w:val="00473FDA"/>
    <w:rsid w:val="0047406E"/>
    <w:rsid w:val="00474508"/>
    <w:rsid w:val="0047482E"/>
    <w:rsid w:val="00474D27"/>
    <w:rsid w:val="00475078"/>
    <w:rsid w:val="004759D7"/>
    <w:rsid w:val="00475C78"/>
    <w:rsid w:val="004761D4"/>
    <w:rsid w:val="0047693E"/>
    <w:rsid w:val="00480D25"/>
    <w:rsid w:val="00480F19"/>
    <w:rsid w:val="004811FB"/>
    <w:rsid w:val="0048179A"/>
    <w:rsid w:val="00481931"/>
    <w:rsid w:val="0048226F"/>
    <w:rsid w:val="004841CC"/>
    <w:rsid w:val="00484CFB"/>
    <w:rsid w:val="00487764"/>
    <w:rsid w:val="0049002C"/>
    <w:rsid w:val="00490B80"/>
    <w:rsid w:val="004916F1"/>
    <w:rsid w:val="004928DC"/>
    <w:rsid w:val="00492F5C"/>
    <w:rsid w:val="0049302B"/>
    <w:rsid w:val="00493613"/>
    <w:rsid w:val="00494F69"/>
    <w:rsid w:val="00496536"/>
    <w:rsid w:val="0049700F"/>
    <w:rsid w:val="00497444"/>
    <w:rsid w:val="00497515"/>
    <w:rsid w:val="00497685"/>
    <w:rsid w:val="004A0B1F"/>
    <w:rsid w:val="004A0DCB"/>
    <w:rsid w:val="004A1A19"/>
    <w:rsid w:val="004A1F29"/>
    <w:rsid w:val="004A25B5"/>
    <w:rsid w:val="004A2726"/>
    <w:rsid w:val="004A284E"/>
    <w:rsid w:val="004A3600"/>
    <w:rsid w:val="004A464D"/>
    <w:rsid w:val="004A5F83"/>
    <w:rsid w:val="004A60C8"/>
    <w:rsid w:val="004A662A"/>
    <w:rsid w:val="004A6A2A"/>
    <w:rsid w:val="004A7A02"/>
    <w:rsid w:val="004A7C8D"/>
    <w:rsid w:val="004A7DA2"/>
    <w:rsid w:val="004B0449"/>
    <w:rsid w:val="004B0934"/>
    <w:rsid w:val="004B0BDD"/>
    <w:rsid w:val="004B0D90"/>
    <w:rsid w:val="004B1738"/>
    <w:rsid w:val="004B1CF2"/>
    <w:rsid w:val="004B21B3"/>
    <w:rsid w:val="004B2A56"/>
    <w:rsid w:val="004B2CBB"/>
    <w:rsid w:val="004B2FAD"/>
    <w:rsid w:val="004B56A8"/>
    <w:rsid w:val="004B5C9A"/>
    <w:rsid w:val="004B5CC2"/>
    <w:rsid w:val="004B70F8"/>
    <w:rsid w:val="004B78BF"/>
    <w:rsid w:val="004B78E4"/>
    <w:rsid w:val="004B791C"/>
    <w:rsid w:val="004C42FD"/>
    <w:rsid w:val="004C4A62"/>
    <w:rsid w:val="004C57FA"/>
    <w:rsid w:val="004C615E"/>
    <w:rsid w:val="004C61DD"/>
    <w:rsid w:val="004C6FB3"/>
    <w:rsid w:val="004C6FEB"/>
    <w:rsid w:val="004C7D19"/>
    <w:rsid w:val="004D0702"/>
    <w:rsid w:val="004D2004"/>
    <w:rsid w:val="004D249C"/>
    <w:rsid w:val="004D3C8B"/>
    <w:rsid w:val="004D4A25"/>
    <w:rsid w:val="004D6159"/>
    <w:rsid w:val="004D6DB8"/>
    <w:rsid w:val="004E0691"/>
    <w:rsid w:val="004E244D"/>
    <w:rsid w:val="004E27DF"/>
    <w:rsid w:val="004E3A8E"/>
    <w:rsid w:val="004E4816"/>
    <w:rsid w:val="004E56AF"/>
    <w:rsid w:val="004E5907"/>
    <w:rsid w:val="004E6666"/>
    <w:rsid w:val="004E66C1"/>
    <w:rsid w:val="004E7292"/>
    <w:rsid w:val="004E72D3"/>
    <w:rsid w:val="004E72E6"/>
    <w:rsid w:val="004E73DD"/>
    <w:rsid w:val="004F1EFB"/>
    <w:rsid w:val="004F2180"/>
    <w:rsid w:val="004F28F2"/>
    <w:rsid w:val="004F34D6"/>
    <w:rsid w:val="004F3523"/>
    <w:rsid w:val="004F6016"/>
    <w:rsid w:val="004F7CD3"/>
    <w:rsid w:val="005001CD"/>
    <w:rsid w:val="005044BD"/>
    <w:rsid w:val="00506F17"/>
    <w:rsid w:val="0051102B"/>
    <w:rsid w:val="0051113A"/>
    <w:rsid w:val="00511423"/>
    <w:rsid w:val="005116C3"/>
    <w:rsid w:val="00511DB5"/>
    <w:rsid w:val="005129B1"/>
    <w:rsid w:val="00512D32"/>
    <w:rsid w:val="005133B2"/>
    <w:rsid w:val="0051347B"/>
    <w:rsid w:val="0051382E"/>
    <w:rsid w:val="00513E4D"/>
    <w:rsid w:val="00514094"/>
    <w:rsid w:val="00515512"/>
    <w:rsid w:val="0051678B"/>
    <w:rsid w:val="0051682E"/>
    <w:rsid w:val="00516A6D"/>
    <w:rsid w:val="00516A6F"/>
    <w:rsid w:val="0051729D"/>
    <w:rsid w:val="005173D6"/>
    <w:rsid w:val="00517DDB"/>
    <w:rsid w:val="0052026C"/>
    <w:rsid w:val="005210E7"/>
    <w:rsid w:val="00522DEC"/>
    <w:rsid w:val="00522EBD"/>
    <w:rsid w:val="005236FA"/>
    <w:rsid w:val="00523E76"/>
    <w:rsid w:val="00523F62"/>
    <w:rsid w:val="0052428B"/>
    <w:rsid w:val="00524512"/>
    <w:rsid w:val="005260FA"/>
    <w:rsid w:val="00527814"/>
    <w:rsid w:val="0053193E"/>
    <w:rsid w:val="00532143"/>
    <w:rsid w:val="005327CA"/>
    <w:rsid w:val="00532AB2"/>
    <w:rsid w:val="00533357"/>
    <w:rsid w:val="00534BB2"/>
    <w:rsid w:val="005350EE"/>
    <w:rsid w:val="005365F7"/>
    <w:rsid w:val="005422F9"/>
    <w:rsid w:val="005427F6"/>
    <w:rsid w:val="005440B7"/>
    <w:rsid w:val="0054484D"/>
    <w:rsid w:val="005450D2"/>
    <w:rsid w:val="005459FF"/>
    <w:rsid w:val="00546F48"/>
    <w:rsid w:val="00547064"/>
    <w:rsid w:val="00547820"/>
    <w:rsid w:val="00550ACC"/>
    <w:rsid w:val="00550B5E"/>
    <w:rsid w:val="00551B78"/>
    <w:rsid w:val="0055289B"/>
    <w:rsid w:val="00552A42"/>
    <w:rsid w:val="00552F52"/>
    <w:rsid w:val="005543A9"/>
    <w:rsid w:val="00555203"/>
    <w:rsid w:val="00555304"/>
    <w:rsid w:val="0055686E"/>
    <w:rsid w:val="005568A6"/>
    <w:rsid w:val="00556D49"/>
    <w:rsid w:val="00557833"/>
    <w:rsid w:val="00561AEA"/>
    <w:rsid w:val="00562130"/>
    <w:rsid w:val="00562C1A"/>
    <w:rsid w:val="005647E7"/>
    <w:rsid w:val="00565056"/>
    <w:rsid w:val="0056512C"/>
    <w:rsid w:val="0056534E"/>
    <w:rsid w:val="00566E18"/>
    <w:rsid w:val="00566E2C"/>
    <w:rsid w:val="00567A1F"/>
    <w:rsid w:val="00567F73"/>
    <w:rsid w:val="0057001F"/>
    <w:rsid w:val="005701A0"/>
    <w:rsid w:val="00571E6D"/>
    <w:rsid w:val="0057238E"/>
    <w:rsid w:val="00572741"/>
    <w:rsid w:val="00572910"/>
    <w:rsid w:val="00573378"/>
    <w:rsid w:val="00573B39"/>
    <w:rsid w:val="005746A0"/>
    <w:rsid w:val="00576713"/>
    <w:rsid w:val="00580591"/>
    <w:rsid w:val="005805F6"/>
    <w:rsid w:val="00581FF2"/>
    <w:rsid w:val="0058232D"/>
    <w:rsid w:val="0058233E"/>
    <w:rsid w:val="00582614"/>
    <w:rsid w:val="00583E7A"/>
    <w:rsid w:val="00584333"/>
    <w:rsid w:val="005853CD"/>
    <w:rsid w:val="0058547F"/>
    <w:rsid w:val="005855C0"/>
    <w:rsid w:val="00585D2B"/>
    <w:rsid w:val="00585D40"/>
    <w:rsid w:val="005876E1"/>
    <w:rsid w:val="0059011C"/>
    <w:rsid w:val="0059138E"/>
    <w:rsid w:val="005944F8"/>
    <w:rsid w:val="00594880"/>
    <w:rsid w:val="00595E07"/>
    <w:rsid w:val="0059674E"/>
    <w:rsid w:val="005969D1"/>
    <w:rsid w:val="00596F01"/>
    <w:rsid w:val="005A017C"/>
    <w:rsid w:val="005A3685"/>
    <w:rsid w:val="005A3A36"/>
    <w:rsid w:val="005A3DE3"/>
    <w:rsid w:val="005A4521"/>
    <w:rsid w:val="005A4D02"/>
    <w:rsid w:val="005A5086"/>
    <w:rsid w:val="005A6853"/>
    <w:rsid w:val="005A73D9"/>
    <w:rsid w:val="005B2DC7"/>
    <w:rsid w:val="005B3E15"/>
    <w:rsid w:val="005B41AD"/>
    <w:rsid w:val="005B6A98"/>
    <w:rsid w:val="005B78FD"/>
    <w:rsid w:val="005B7E25"/>
    <w:rsid w:val="005C06FB"/>
    <w:rsid w:val="005C0A7A"/>
    <w:rsid w:val="005C0FA1"/>
    <w:rsid w:val="005C20BB"/>
    <w:rsid w:val="005C256B"/>
    <w:rsid w:val="005C3B7C"/>
    <w:rsid w:val="005C5A11"/>
    <w:rsid w:val="005C6A1F"/>
    <w:rsid w:val="005C7230"/>
    <w:rsid w:val="005D0989"/>
    <w:rsid w:val="005D1F40"/>
    <w:rsid w:val="005D2959"/>
    <w:rsid w:val="005D2A79"/>
    <w:rsid w:val="005D2DC9"/>
    <w:rsid w:val="005D32F1"/>
    <w:rsid w:val="005D3362"/>
    <w:rsid w:val="005D3802"/>
    <w:rsid w:val="005D5B8F"/>
    <w:rsid w:val="005D5C48"/>
    <w:rsid w:val="005D5D3D"/>
    <w:rsid w:val="005D615C"/>
    <w:rsid w:val="005D6196"/>
    <w:rsid w:val="005D6981"/>
    <w:rsid w:val="005D6F93"/>
    <w:rsid w:val="005D7197"/>
    <w:rsid w:val="005D71DF"/>
    <w:rsid w:val="005D77A2"/>
    <w:rsid w:val="005E0A49"/>
    <w:rsid w:val="005E1128"/>
    <w:rsid w:val="005E12E8"/>
    <w:rsid w:val="005E1E36"/>
    <w:rsid w:val="005E23CC"/>
    <w:rsid w:val="005E2454"/>
    <w:rsid w:val="005E2F0E"/>
    <w:rsid w:val="005E43E4"/>
    <w:rsid w:val="005E4E50"/>
    <w:rsid w:val="005E4EFF"/>
    <w:rsid w:val="005E5B1E"/>
    <w:rsid w:val="005E5B63"/>
    <w:rsid w:val="005F00F7"/>
    <w:rsid w:val="005F1E4E"/>
    <w:rsid w:val="005F2168"/>
    <w:rsid w:val="005F41EB"/>
    <w:rsid w:val="005F5802"/>
    <w:rsid w:val="005F5A93"/>
    <w:rsid w:val="005F5C95"/>
    <w:rsid w:val="005F6526"/>
    <w:rsid w:val="005F6CDD"/>
    <w:rsid w:val="005F74E8"/>
    <w:rsid w:val="00600095"/>
    <w:rsid w:val="00600D42"/>
    <w:rsid w:val="00600D4A"/>
    <w:rsid w:val="0060144A"/>
    <w:rsid w:val="0060271C"/>
    <w:rsid w:val="00602F3F"/>
    <w:rsid w:val="00603304"/>
    <w:rsid w:val="006033FF"/>
    <w:rsid w:val="006042C8"/>
    <w:rsid w:val="00604563"/>
    <w:rsid w:val="00606A05"/>
    <w:rsid w:val="00607B9D"/>
    <w:rsid w:val="00610989"/>
    <w:rsid w:val="00611BA8"/>
    <w:rsid w:val="00611C85"/>
    <w:rsid w:val="006133B6"/>
    <w:rsid w:val="00613634"/>
    <w:rsid w:val="00613F21"/>
    <w:rsid w:val="00615D7D"/>
    <w:rsid w:val="00615FAE"/>
    <w:rsid w:val="006161BD"/>
    <w:rsid w:val="00617E87"/>
    <w:rsid w:val="00621803"/>
    <w:rsid w:val="0062183C"/>
    <w:rsid w:val="00622289"/>
    <w:rsid w:val="006235E0"/>
    <w:rsid w:val="00623896"/>
    <w:rsid w:val="006249D5"/>
    <w:rsid w:val="006254BC"/>
    <w:rsid w:val="006263E3"/>
    <w:rsid w:val="006273ED"/>
    <w:rsid w:val="00627A22"/>
    <w:rsid w:val="00630037"/>
    <w:rsid w:val="00630756"/>
    <w:rsid w:val="0063103C"/>
    <w:rsid w:val="00631E85"/>
    <w:rsid w:val="00632313"/>
    <w:rsid w:val="006324CA"/>
    <w:rsid w:val="00633A72"/>
    <w:rsid w:val="006342B9"/>
    <w:rsid w:val="00634A5D"/>
    <w:rsid w:val="0063572A"/>
    <w:rsid w:val="006359E3"/>
    <w:rsid w:val="00640C03"/>
    <w:rsid w:val="00641C8B"/>
    <w:rsid w:val="00641F4D"/>
    <w:rsid w:val="006422D2"/>
    <w:rsid w:val="00643F09"/>
    <w:rsid w:val="006440D4"/>
    <w:rsid w:val="0064584D"/>
    <w:rsid w:val="00645A7A"/>
    <w:rsid w:val="00645EE3"/>
    <w:rsid w:val="00645F8F"/>
    <w:rsid w:val="0064659D"/>
    <w:rsid w:val="00650B04"/>
    <w:rsid w:val="00651DD4"/>
    <w:rsid w:val="006525BE"/>
    <w:rsid w:val="00654372"/>
    <w:rsid w:val="00654AD2"/>
    <w:rsid w:val="006552BC"/>
    <w:rsid w:val="006554C8"/>
    <w:rsid w:val="00656854"/>
    <w:rsid w:val="00656E05"/>
    <w:rsid w:val="00660046"/>
    <w:rsid w:val="00660060"/>
    <w:rsid w:val="00660ACB"/>
    <w:rsid w:val="006613CD"/>
    <w:rsid w:val="0066206B"/>
    <w:rsid w:val="0066221E"/>
    <w:rsid w:val="006627EE"/>
    <w:rsid w:val="006633DA"/>
    <w:rsid w:val="00663CDC"/>
    <w:rsid w:val="00663FAE"/>
    <w:rsid w:val="00664F71"/>
    <w:rsid w:val="0066629C"/>
    <w:rsid w:val="0066743C"/>
    <w:rsid w:val="00670150"/>
    <w:rsid w:val="0067070F"/>
    <w:rsid w:val="00672160"/>
    <w:rsid w:val="00672221"/>
    <w:rsid w:val="0067223E"/>
    <w:rsid w:val="00673853"/>
    <w:rsid w:val="00673BAB"/>
    <w:rsid w:val="00674E9E"/>
    <w:rsid w:val="0067648E"/>
    <w:rsid w:val="00676A8E"/>
    <w:rsid w:val="00680507"/>
    <w:rsid w:val="0068120C"/>
    <w:rsid w:val="006817A7"/>
    <w:rsid w:val="00681E69"/>
    <w:rsid w:val="006824B0"/>
    <w:rsid w:val="006830C2"/>
    <w:rsid w:val="00683B9F"/>
    <w:rsid w:val="00684662"/>
    <w:rsid w:val="00684712"/>
    <w:rsid w:val="00684B1C"/>
    <w:rsid w:val="0068577D"/>
    <w:rsid w:val="00687055"/>
    <w:rsid w:val="006900DE"/>
    <w:rsid w:val="006903C0"/>
    <w:rsid w:val="0069055F"/>
    <w:rsid w:val="00690716"/>
    <w:rsid w:val="00690BA7"/>
    <w:rsid w:val="00691401"/>
    <w:rsid w:val="0069267C"/>
    <w:rsid w:val="0069397D"/>
    <w:rsid w:val="00693D51"/>
    <w:rsid w:val="006943EA"/>
    <w:rsid w:val="00694ADB"/>
    <w:rsid w:val="00695C9F"/>
    <w:rsid w:val="006960A8"/>
    <w:rsid w:val="00696118"/>
    <w:rsid w:val="0069651B"/>
    <w:rsid w:val="0069655B"/>
    <w:rsid w:val="00696DC1"/>
    <w:rsid w:val="00697142"/>
    <w:rsid w:val="006972A2"/>
    <w:rsid w:val="00697893"/>
    <w:rsid w:val="00697C7F"/>
    <w:rsid w:val="00697FC7"/>
    <w:rsid w:val="006A0CF4"/>
    <w:rsid w:val="006A141E"/>
    <w:rsid w:val="006A15F0"/>
    <w:rsid w:val="006A3036"/>
    <w:rsid w:val="006A3BEE"/>
    <w:rsid w:val="006A54E5"/>
    <w:rsid w:val="006A56BA"/>
    <w:rsid w:val="006B0707"/>
    <w:rsid w:val="006B0767"/>
    <w:rsid w:val="006B0B7C"/>
    <w:rsid w:val="006B0C80"/>
    <w:rsid w:val="006B0CEC"/>
    <w:rsid w:val="006B2691"/>
    <w:rsid w:val="006B3074"/>
    <w:rsid w:val="006B328E"/>
    <w:rsid w:val="006B36F9"/>
    <w:rsid w:val="006B3B17"/>
    <w:rsid w:val="006B5962"/>
    <w:rsid w:val="006B5A98"/>
    <w:rsid w:val="006B619B"/>
    <w:rsid w:val="006B6D38"/>
    <w:rsid w:val="006B6FEE"/>
    <w:rsid w:val="006B73AB"/>
    <w:rsid w:val="006B75A6"/>
    <w:rsid w:val="006B75FF"/>
    <w:rsid w:val="006B7E70"/>
    <w:rsid w:val="006C1007"/>
    <w:rsid w:val="006C13B6"/>
    <w:rsid w:val="006C2036"/>
    <w:rsid w:val="006C381F"/>
    <w:rsid w:val="006C3CBA"/>
    <w:rsid w:val="006C42B6"/>
    <w:rsid w:val="006C4818"/>
    <w:rsid w:val="006C5A49"/>
    <w:rsid w:val="006C6200"/>
    <w:rsid w:val="006C7E21"/>
    <w:rsid w:val="006D013C"/>
    <w:rsid w:val="006D1DA1"/>
    <w:rsid w:val="006D247C"/>
    <w:rsid w:val="006D296E"/>
    <w:rsid w:val="006D2D87"/>
    <w:rsid w:val="006D4425"/>
    <w:rsid w:val="006D460B"/>
    <w:rsid w:val="006D4B46"/>
    <w:rsid w:val="006D4CBE"/>
    <w:rsid w:val="006D6B23"/>
    <w:rsid w:val="006D74E6"/>
    <w:rsid w:val="006D76E4"/>
    <w:rsid w:val="006D7B88"/>
    <w:rsid w:val="006D7DB4"/>
    <w:rsid w:val="006E23E8"/>
    <w:rsid w:val="006E397E"/>
    <w:rsid w:val="006E432B"/>
    <w:rsid w:val="006E4379"/>
    <w:rsid w:val="006E6368"/>
    <w:rsid w:val="006E6A80"/>
    <w:rsid w:val="006E6BD0"/>
    <w:rsid w:val="006E6C55"/>
    <w:rsid w:val="006E715D"/>
    <w:rsid w:val="006E7B40"/>
    <w:rsid w:val="006F0084"/>
    <w:rsid w:val="006F0746"/>
    <w:rsid w:val="006F0CFA"/>
    <w:rsid w:val="006F2335"/>
    <w:rsid w:val="006F2735"/>
    <w:rsid w:val="006F3049"/>
    <w:rsid w:val="006F405D"/>
    <w:rsid w:val="006F4D6C"/>
    <w:rsid w:val="006F4F57"/>
    <w:rsid w:val="006F5A54"/>
    <w:rsid w:val="006F6A92"/>
    <w:rsid w:val="006F77BC"/>
    <w:rsid w:val="00700176"/>
    <w:rsid w:val="00701708"/>
    <w:rsid w:val="007019BA"/>
    <w:rsid w:val="00701A0F"/>
    <w:rsid w:val="00701CF9"/>
    <w:rsid w:val="00702951"/>
    <w:rsid w:val="00704092"/>
    <w:rsid w:val="00705A5B"/>
    <w:rsid w:val="007066DC"/>
    <w:rsid w:val="00706765"/>
    <w:rsid w:val="007076F8"/>
    <w:rsid w:val="00707ABC"/>
    <w:rsid w:val="00712955"/>
    <w:rsid w:val="00714599"/>
    <w:rsid w:val="00714AA3"/>
    <w:rsid w:val="00714F3E"/>
    <w:rsid w:val="007154A2"/>
    <w:rsid w:val="00716190"/>
    <w:rsid w:val="007175B5"/>
    <w:rsid w:val="00720222"/>
    <w:rsid w:val="007213A0"/>
    <w:rsid w:val="00721D46"/>
    <w:rsid w:val="00723740"/>
    <w:rsid w:val="00723793"/>
    <w:rsid w:val="0072451B"/>
    <w:rsid w:val="007248BC"/>
    <w:rsid w:val="00727129"/>
    <w:rsid w:val="007314BF"/>
    <w:rsid w:val="00731CA8"/>
    <w:rsid w:val="00732B4F"/>
    <w:rsid w:val="00732FCF"/>
    <w:rsid w:val="00733BBE"/>
    <w:rsid w:val="00734193"/>
    <w:rsid w:val="0073427C"/>
    <w:rsid w:val="00734CA3"/>
    <w:rsid w:val="0073605F"/>
    <w:rsid w:val="00736501"/>
    <w:rsid w:val="0073654A"/>
    <w:rsid w:val="00736B73"/>
    <w:rsid w:val="00737376"/>
    <w:rsid w:val="00737736"/>
    <w:rsid w:val="007403E8"/>
    <w:rsid w:val="00740C1D"/>
    <w:rsid w:val="00740C69"/>
    <w:rsid w:val="00741D77"/>
    <w:rsid w:val="007426EB"/>
    <w:rsid w:val="0074279F"/>
    <w:rsid w:val="00742C5D"/>
    <w:rsid w:val="007435B6"/>
    <w:rsid w:val="00744279"/>
    <w:rsid w:val="0074466D"/>
    <w:rsid w:val="00744DAD"/>
    <w:rsid w:val="00745671"/>
    <w:rsid w:val="00745C30"/>
    <w:rsid w:val="00745CC9"/>
    <w:rsid w:val="00745EF6"/>
    <w:rsid w:val="00745F48"/>
    <w:rsid w:val="00746755"/>
    <w:rsid w:val="007468E2"/>
    <w:rsid w:val="00746B67"/>
    <w:rsid w:val="0074732F"/>
    <w:rsid w:val="007475EF"/>
    <w:rsid w:val="007477D5"/>
    <w:rsid w:val="00751092"/>
    <w:rsid w:val="007518D4"/>
    <w:rsid w:val="00751CCE"/>
    <w:rsid w:val="00751F37"/>
    <w:rsid w:val="007526C8"/>
    <w:rsid w:val="007526F4"/>
    <w:rsid w:val="0075274D"/>
    <w:rsid w:val="007536BF"/>
    <w:rsid w:val="00753F89"/>
    <w:rsid w:val="00754950"/>
    <w:rsid w:val="00755E84"/>
    <w:rsid w:val="0075610A"/>
    <w:rsid w:val="0075677C"/>
    <w:rsid w:val="00757182"/>
    <w:rsid w:val="007572C2"/>
    <w:rsid w:val="00757D21"/>
    <w:rsid w:val="00762CF0"/>
    <w:rsid w:val="0076367A"/>
    <w:rsid w:val="007650FE"/>
    <w:rsid w:val="007653B1"/>
    <w:rsid w:val="00766455"/>
    <w:rsid w:val="007700E1"/>
    <w:rsid w:val="007708E6"/>
    <w:rsid w:val="00771270"/>
    <w:rsid w:val="0077222D"/>
    <w:rsid w:val="00773CF0"/>
    <w:rsid w:val="00775965"/>
    <w:rsid w:val="00775E11"/>
    <w:rsid w:val="00776C65"/>
    <w:rsid w:val="00776F07"/>
    <w:rsid w:val="007772FA"/>
    <w:rsid w:val="00777C72"/>
    <w:rsid w:val="00780584"/>
    <w:rsid w:val="0078256F"/>
    <w:rsid w:val="00782705"/>
    <w:rsid w:val="00783C5B"/>
    <w:rsid w:val="00783F50"/>
    <w:rsid w:val="00784C45"/>
    <w:rsid w:val="00785BF6"/>
    <w:rsid w:val="007860B3"/>
    <w:rsid w:val="00786665"/>
    <w:rsid w:val="00786943"/>
    <w:rsid w:val="00786BE5"/>
    <w:rsid w:val="00787EFC"/>
    <w:rsid w:val="007907B3"/>
    <w:rsid w:val="007908E5"/>
    <w:rsid w:val="00790A13"/>
    <w:rsid w:val="00790B5A"/>
    <w:rsid w:val="00792094"/>
    <w:rsid w:val="007922D4"/>
    <w:rsid w:val="007927F4"/>
    <w:rsid w:val="0079360B"/>
    <w:rsid w:val="00793B86"/>
    <w:rsid w:val="00793CC5"/>
    <w:rsid w:val="00793E99"/>
    <w:rsid w:val="00794505"/>
    <w:rsid w:val="00795094"/>
    <w:rsid w:val="00795725"/>
    <w:rsid w:val="007965C9"/>
    <w:rsid w:val="007A0213"/>
    <w:rsid w:val="007A2051"/>
    <w:rsid w:val="007A2BFB"/>
    <w:rsid w:val="007A43DF"/>
    <w:rsid w:val="007A4B4C"/>
    <w:rsid w:val="007A5671"/>
    <w:rsid w:val="007A5CC9"/>
    <w:rsid w:val="007A6E66"/>
    <w:rsid w:val="007A72D0"/>
    <w:rsid w:val="007B0397"/>
    <w:rsid w:val="007B052F"/>
    <w:rsid w:val="007B13A1"/>
    <w:rsid w:val="007B14E4"/>
    <w:rsid w:val="007B3116"/>
    <w:rsid w:val="007B35E4"/>
    <w:rsid w:val="007B4B83"/>
    <w:rsid w:val="007B4FB2"/>
    <w:rsid w:val="007B760B"/>
    <w:rsid w:val="007B7EAD"/>
    <w:rsid w:val="007C03B5"/>
    <w:rsid w:val="007C12F7"/>
    <w:rsid w:val="007C1668"/>
    <w:rsid w:val="007C2E5B"/>
    <w:rsid w:val="007C32D7"/>
    <w:rsid w:val="007C36C7"/>
    <w:rsid w:val="007C4001"/>
    <w:rsid w:val="007C6FDC"/>
    <w:rsid w:val="007D080F"/>
    <w:rsid w:val="007D1082"/>
    <w:rsid w:val="007D157E"/>
    <w:rsid w:val="007D1E4A"/>
    <w:rsid w:val="007D2285"/>
    <w:rsid w:val="007D3370"/>
    <w:rsid w:val="007D4251"/>
    <w:rsid w:val="007D43B2"/>
    <w:rsid w:val="007D491A"/>
    <w:rsid w:val="007D57C4"/>
    <w:rsid w:val="007D66AF"/>
    <w:rsid w:val="007D681B"/>
    <w:rsid w:val="007D75BF"/>
    <w:rsid w:val="007D7AD3"/>
    <w:rsid w:val="007E0822"/>
    <w:rsid w:val="007E0E14"/>
    <w:rsid w:val="007E2284"/>
    <w:rsid w:val="007E4353"/>
    <w:rsid w:val="007E4870"/>
    <w:rsid w:val="007E4A89"/>
    <w:rsid w:val="007E5AA4"/>
    <w:rsid w:val="007E6510"/>
    <w:rsid w:val="007E6A5B"/>
    <w:rsid w:val="007E6BD2"/>
    <w:rsid w:val="007E7C99"/>
    <w:rsid w:val="007F204D"/>
    <w:rsid w:val="007F2066"/>
    <w:rsid w:val="007F2374"/>
    <w:rsid w:val="007F2752"/>
    <w:rsid w:val="007F2DA6"/>
    <w:rsid w:val="007F2E27"/>
    <w:rsid w:val="007F516B"/>
    <w:rsid w:val="007F5B00"/>
    <w:rsid w:val="007F68F3"/>
    <w:rsid w:val="007F7166"/>
    <w:rsid w:val="00800457"/>
    <w:rsid w:val="008013FD"/>
    <w:rsid w:val="00802F1B"/>
    <w:rsid w:val="008032B2"/>
    <w:rsid w:val="0080333C"/>
    <w:rsid w:val="00803D78"/>
    <w:rsid w:val="00803EA1"/>
    <w:rsid w:val="00804847"/>
    <w:rsid w:val="00805EA8"/>
    <w:rsid w:val="00806F46"/>
    <w:rsid w:val="0080710A"/>
    <w:rsid w:val="00807592"/>
    <w:rsid w:val="00811090"/>
    <w:rsid w:val="0081287E"/>
    <w:rsid w:val="00812B5F"/>
    <w:rsid w:val="00813653"/>
    <w:rsid w:val="00814012"/>
    <w:rsid w:val="00814FEA"/>
    <w:rsid w:val="00817502"/>
    <w:rsid w:val="0081784D"/>
    <w:rsid w:val="008205DD"/>
    <w:rsid w:val="0082106C"/>
    <w:rsid w:val="00821A70"/>
    <w:rsid w:val="0082238A"/>
    <w:rsid w:val="008231AF"/>
    <w:rsid w:val="008231C1"/>
    <w:rsid w:val="008238A0"/>
    <w:rsid w:val="00824BB5"/>
    <w:rsid w:val="00825E15"/>
    <w:rsid w:val="008300AE"/>
    <w:rsid w:val="008312AC"/>
    <w:rsid w:val="00831513"/>
    <w:rsid w:val="00833FBB"/>
    <w:rsid w:val="00834335"/>
    <w:rsid w:val="0083445E"/>
    <w:rsid w:val="0083448A"/>
    <w:rsid w:val="008350B8"/>
    <w:rsid w:val="00836997"/>
    <w:rsid w:val="00837816"/>
    <w:rsid w:val="00837C65"/>
    <w:rsid w:val="008418B5"/>
    <w:rsid w:val="00842A5E"/>
    <w:rsid w:val="00843773"/>
    <w:rsid w:val="008437F7"/>
    <w:rsid w:val="00843DAF"/>
    <w:rsid w:val="00844253"/>
    <w:rsid w:val="008442EB"/>
    <w:rsid w:val="00844BED"/>
    <w:rsid w:val="00844C64"/>
    <w:rsid w:val="00850096"/>
    <w:rsid w:val="008501CA"/>
    <w:rsid w:val="00850D88"/>
    <w:rsid w:val="008513C7"/>
    <w:rsid w:val="008520A8"/>
    <w:rsid w:val="00852CA7"/>
    <w:rsid w:val="00854612"/>
    <w:rsid w:val="0085582F"/>
    <w:rsid w:val="00855A3E"/>
    <w:rsid w:val="00857001"/>
    <w:rsid w:val="00857544"/>
    <w:rsid w:val="00861EE7"/>
    <w:rsid w:val="00862054"/>
    <w:rsid w:val="00862A64"/>
    <w:rsid w:val="00862BB5"/>
    <w:rsid w:val="00866A03"/>
    <w:rsid w:val="00867199"/>
    <w:rsid w:val="00870850"/>
    <w:rsid w:val="00871D46"/>
    <w:rsid w:val="00872E00"/>
    <w:rsid w:val="0087321F"/>
    <w:rsid w:val="008736F8"/>
    <w:rsid w:val="0087440F"/>
    <w:rsid w:val="00875578"/>
    <w:rsid w:val="008756F6"/>
    <w:rsid w:val="008761C7"/>
    <w:rsid w:val="00876A26"/>
    <w:rsid w:val="008800DE"/>
    <w:rsid w:val="0088048D"/>
    <w:rsid w:val="008805F0"/>
    <w:rsid w:val="00881AAB"/>
    <w:rsid w:val="00882F29"/>
    <w:rsid w:val="00882F98"/>
    <w:rsid w:val="008845E2"/>
    <w:rsid w:val="008858E0"/>
    <w:rsid w:val="008863F9"/>
    <w:rsid w:val="008864C0"/>
    <w:rsid w:val="00886B03"/>
    <w:rsid w:val="00890597"/>
    <w:rsid w:val="00892074"/>
    <w:rsid w:val="00892F88"/>
    <w:rsid w:val="00894BD6"/>
    <w:rsid w:val="00895E7D"/>
    <w:rsid w:val="00896CF1"/>
    <w:rsid w:val="00896F77"/>
    <w:rsid w:val="00897804"/>
    <w:rsid w:val="008A115E"/>
    <w:rsid w:val="008A1D58"/>
    <w:rsid w:val="008A1DD4"/>
    <w:rsid w:val="008A25E5"/>
    <w:rsid w:val="008A36A8"/>
    <w:rsid w:val="008A39C0"/>
    <w:rsid w:val="008A4279"/>
    <w:rsid w:val="008A4288"/>
    <w:rsid w:val="008A52B9"/>
    <w:rsid w:val="008A709F"/>
    <w:rsid w:val="008A7A51"/>
    <w:rsid w:val="008B10E9"/>
    <w:rsid w:val="008B13F9"/>
    <w:rsid w:val="008B16E4"/>
    <w:rsid w:val="008B189C"/>
    <w:rsid w:val="008B1FC9"/>
    <w:rsid w:val="008B3A63"/>
    <w:rsid w:val="008B44E3"/>
    <w:rsid w:val="008B4BF2"/>
    <w:rsid w:val="008B5E95"/>
    <w:rsid w:val="008B5E9E"/>
    <w:rsid w:val="008B619F"/>
    <w:rsid w:val="008B64BE"/>
    <w:rsid w:val="008B64D6"/>
    <w:rsid w:val="008B7D1B"/>
    <w:rsid w:val="008B7D5C"/>
    <w:rsid w:val="008C09DC"/>
    <w:rsid w:val="008C0CB8"/>
    <w:rsid w:val="008C1FCC"/>
    <w:rsid w:val="008C24B0"/>
    <w:rsid w:val="008C312A"/>
    <w:rsid w:val="008C3320"/>
    <w:rsid w:val="008C3615"/>
    <w:rsid w:val="008C5498"/>
    <w:rsid w:val="008D030F"/>
    <w:rsid w:val="008D04CF"/>
    <w:rsid w:val="008D0C62"/>
    <w:rsid w:val="008D2343"/>
    <w:rsid w:val="008D2370"/>
    <w:rsid w:val="008D2E74"/>
    <w:rsid w:val="008D2E8E"/>
    <w:rsid w:val="008D2EBF"/>
    <w:rsid w:val="008D3514"/>
    <w:rsid w:val="008D4FC1"/>
    <w:rsid w:val="008D514E"/>
    <w:rsid w:val="008D58B6"/>
    <w:rsid w:val="008D6C41"/>
    <w:rsid w:val="008D7495"/>
    <w:rsid w:val="008E1E9C"/>
    <w:rsid w:val="008E37C7"/>
    <w:rsid w:val="008E4168"/>
    <w:rsid w:val="008E4365"/>
    <w:rsid w:val="008E6296"/>
    <w:rsid w:val="008E6CA1"/>
    <w:rsid w:val="008F0939"/>
    <w:rsid w:val="008F1161"/>
    <w:rsid w:val="008F1E5B"/>
    <w:rsid w:val="008F2194"/>
    <w:rsid w:val="008F23DB"/>
    <w:rsid w:val="008F282B"/>
    <w:rsid w:val="008F2D7A"/>
    <w:rsid w:val="008F3036"/>
    <w:rsid w:val="008F3115"/>
    <w:rsid w:val="008F34F5"/>
    <w:rsid w:val="008F649A"/>
    <w:rsid w:val="008F7575"/>
    <w:rsid w:val="008F797C"/>
    <w:rsid w:val="00902343"/>
    <w:rsid w:val="009032E2"/>
    <w:rsid w:val="009055BA"/>
    <w:rsid w:val="009056AF"/>
    <w:rsid w:val="00906BB8"/>
    <w:rsid w:val="0090763C"/>
    <w:rsid w:val="0091176A"/>
    <w:rsid w:val="00911A51"/>
    <w:rsid w:val="00911AEF"/>
    <w:rsid w:val="00912582"/>
    <w:rsid w:val="00913A05"/>
    <w:rsid w:val="00914C10"/>
    <w:rsid w:val="00916675"/>
    <w:rsid w:val="0091693B"/>
    <w:rsid w:val="0091727D"/>
    <w:rsid w:val="00917447"/>
    <w:rsid w:val="00917904"/>
    <w:rsid w:val="009201D0"/>
    <w:rsid w:val="00920833"/>
    <w:rsid w:val="00921C45"/>
    <w:rsid w:val="00923290"/>
    <w:rsid w:val="009245E0"/>
    <w:rsid w:val="00925A73"/>
    <w:rsid w:val="00925C21"/>
    <w:rsid w:val="00926342"/>
    <w:rsid w:val="009272CB"/>
    <w:rsid w:val="00927610"/>
    <w:rsid w:val="009309E5"/>
    <w:rsid w:val="00930DA4"/>
    <w:rsid w:val="009311E4"/>
    <w:rsid w:val="00933B1B"/>
    <w:rsid w:val="00933C8B"/>
    <w:rsid w:val="0093461F"/>
    <w:rsid w:val="00935483"/>
    <w:rsid w:val="00935642"/>
    <w:rsid w:val="00937114"/>
    <w:rsid w:val="00937246"/>
    <w:rsid w:val="0093769D"/>
    <w:rsid w:val="00940001"/>
    <w:rsid w:val="0094037C"/>
    <w:rsid w:val="00940592"/>
    <w:rsid w:val="00940CE0"/>
    <w:rsid w:val="009411F2"/>
    <w:rsid w:val="00941ECB"/>
    <w:rsid w:val="00942BF4"/>
    <w:rsid w:val="009440C9"/>
    <w:rsid w:val="00945C38"/>
    <w:rsid w:val="00947BD9"/>
    <w:rsid w:val="0095003F"/>
    <w:rsid w:val="0095128B"/>
    <w:rsid w:val="00952E0F"/>
    <w:rsid w:val="00952F84"/>
    <w:rsid w:val="00954472"/>
    <w:rsid w:val="009549BA"/>
    <w:rsid w:val="00955711"/>
    <w:rsid w:val="00955CCF"/>
    <w:rsid w:val="00956598"/>
    <w:rsid w:val="0096074D"/>
    <w:rsid w:val="009612B1"/>
    <w:rsid w:val="0096317A"/>
    <w:rsid w:val="009632BA"/>
    <w:rsid w:val="0096334C"/>
    <w:rsid w:val="00963932"/>
    <w:rsid w:val="00964B42"/>
    <w:rsid w:val="009651B2"/>
    <w:rsid w:val="009652B0"/>
    <w:rsid w:val="009655C7"/>
    <w:rsid w:val="0096598B"/>
    <w:rsid w:val="009672BF"/>
    <w:rsid w:val="009674B4"/>
    <w:rsid w:val="00967835"/>
    <w:rsid w:val="009679F6"/>
    <w:rsid w:val="0097004B"/>
    <w:rsid w:val="00971D6E"/>
    <w:rsid w:val="00971E03"/>
    <w:rsid w:val="00973301"/>
    <w:rsid w:val="009735AF"/>
    <w:rsid w:val="00974557"/>
    <w:rsid w:val="00974BEE"/>
    <w:rsid w:val="00976356"/>
    <w:rsid w:val="009768AD"/>
    <w:rsid w:val="00977689"/>
    <w:rsid w:val="0098021A"/>
    <w:rsid w:val="009812F8"/>
    <w:rsid w:val="00981951"/>
    <w:rsid w:val="009822A0"/>
    <w:rsid w:val="0098345D"/>
    <w:rsid w:val="00984932"/>
    <w:rsid w:val="009857FC"/>
    <w:rsid w:val="00985C60"/>
    <w:rsid w:val="00985E46"/>
    <w:rsid w:val="00986B34"/>
    <w:rsid w:val="0099088C"/>
    <w:rsid w:val="0099158E"/>
    <w:rsid w:val="00991C95"/>
    <w:rsid w:val="00991E1A"/>
    <w:rsid w:val="009920B6"/>
    <w:rsid w:val="00993738"/>
    <w:rsid w:val="0099397B"/>
    <w:rsid w:val="0099398E"/>
    <w:rsid w:val="00993A0F"/>
    <w:rsid w:val="00993A68"/>
    <w:rsid w:val="00993E80"/>
    <w:rsid w:val="00993EBC"/>
    <w:rsid w:val="009940E2"/>
    <w:rsid w:val="009959F8"/>
    <w:rsid w:val="0099732D"/>
    <w:rsid w:val="00997B96"/>
    <w:rsid w:val="009A00F0"/>
    <w:rsid w:val="009A1133"/>
    <w:rsid w:val="009A19FD"/>
    <w:rsid w:val="009A3566"/>
    <w:rsid w:val="009A39C5"/>
    <w:rsid w:val="009A3A91"/>
    <w:rsid w:val="009A54AE"/>
    <w:rsid w:val="009A59EC"/>
    <w:rsid w:val="009A5B80"/>
    <w:rsid w:val="009A5D89"/>
    <w:rsid w:val="009A6AD9"/>
    <w:rsid w:val="009A7D70"/>
    <w:rsid w:val="009B40D5"/>
    <w:rsid w:val="009B412F"/>
    <w:rsid w:val="009B4187"/>
    <w:rsid w:val="009B4361"/>
    <w:rsid w:val="009B5D04"/>
    <w:rsid w:val="009B5FAC"/>
    <w:rsid w:val="009B6E47"/>
    <w:rsid w:val="009B7582"/>
    <w:rsid w:val="009B7FD5"/>
    <w:rsid w:val="009C0230"/>
    <w:rsid w:val="009C096F"/>
    <w:rsid w:val="009C0A16"/>
    <w:rsid w:val="009C20F6"/>
    <w:rsid w:val="009C2217"/>
    <w:rsid w:val="009C427B"/>
    <w:rsid w:val="009C57B2"/>
    <w:rsid w:val="009C63D9"/>
    <w:rsid w:val="009C6B23"/>
    <w:rsid w:val="009C6EB3"/>
    <w:rsid w:val="009C77FB"/>
    <w:rsid w:val="009D0B82"/>
    <w:rsid w:val="009D1B3A"/>
    <w:rsid w:val="009D38C9"/>
    <w:rsid w:val="009D418A"/>
    <w:rsid w:val="009D4A65"/>
    <w:rsid w:val="009D4F17"/>
    <w:rsid w:val="009D6C93"/>
    <w:rsid w:val="009D75C0"/>
    <w:rsid w:val="009E3A5E"/>
    <w:rsid w:val="009E3E63"/>
    <w:rsid w:val="009E4B3D"/>
    <w:rsid w:val="009E4B8A"/>
    <w:rsid w:val="009E4C3D"/>
    <w:rsid w:val="009E60FB"/>
    <w:rsid w:val="009E67F7"/>
    <w:rsid w:val="009F05D0"/>
    <w:rsid w:val="009F1964"/>
    <w:rsid w:val="009F229F"/>
    <w:rsid w:val="009F3558"/>
    <w:rsid w:val="009F45ED"/>
    <w:rsid w:val="009F4748"/>
    <w:rsid w:val="009F58CD"/>
    <w:rsid w:val="009F6251"/>
    <w:rsid w:val="009F65C5"/>
    <w:rsid w:val="009F76E8"/>
    <w:rsid w:val="009F7DBF"/>
    <w:rsid w:val="00A01D36"/>
    <w:rsid w:val="00A02284"/>
    <w:rsid w:val="00A03003"/>
    <w:rsid w:val="00A03CBF"/>
    <w:rsid w:val="00A03D3F"/>
    <w:rsid w:val="00A0536B"/>
    <w:rsid w:val="00A0581C"/>
    <w:rsid w:val="00A10226"/>
    <w:rsid w:val="00A12AB1"/>
    <w:rsid w:val="00A130AE"/>
    <w:rsid w:val="00A13B76"/>
    <w:rsid w:val="00A165A7"/>
    <w:rsid w:val="00A166A6"/>
    <w:rsid w:val="00A16D33"/>
    <w:rsid w:val="00A1747C"/>
    <w:rsid w:val="00A20083"/>
    <w:rsid w:val="00A20466"/>
    <w:rsid w:val="00A224C8"/>
    <w:rsid w:val="00A23697"/>
    <w:rsid w:val="00A23DEC"/>
    <w:rsid w:val="00A24751"/>
    <w:rsid w:val="00A24FB2"/>
    <w:rsid w:val="00A2507F"/>
    <w:rsid w:val="00A25777"/>
    <w:rsid w:val="00A2583D"/>
    <w:rsid w:val="00A2630B"/>
    <w:rsid w:val="00A27788"/>
    <w:rsid w:val="00A27BCB"/>
    <w:rsid w:val="00A300BA"/>
    <w:rsid w:val="00A304B6"/>
    <w:rsid w:val="00A3245F"/>
    <w:rsid w:val="00A332FD"/>
    <w:rsid w:val="00A3336B"/>
    <w:rsid w:val="00A33BD9"/>
    <w:rsid w:val="00A33F53"/>
    <w:rsid w:val="00A34552"/>
    <w:rsid w:val="00A34643"/>
    <w:rsid w:val="00A34C52"/>
    <w:rsid w:val="00A36492"/>
    <w:rsid w:val="00A36A27"/>
    <w:rsid w:val="00A36F56"/>
    <w:rsid w:val="00A378AA"/>
    <w:rsid w:val="00A406B1"/>
    <w:rsid w:val="00A422D4"/>
    <w:rsid w:val="00A4233A"/>
    <w:rsid w:val="00A42705"/>
    <w:rsid w:val="00A44130"/>
    <w:rsid w:val="00A4423A"/>
    <w:rsid w:val="00A448F7"/>
    <w:rsid w:val="00A45A58"/>
    <w:rsid w:val="00A503D9"/>
    <w:rsid w:val="00A51506"/>
    <w:rsid w:val="00A5175A"/>
    <w:rsid w:val="00A52B18"/>
    <w:rsid w:val="00A52D26"/>
    <w:rsid w:val="00A53466"/>
    <w:rsid w:val="00A53945"/>
    <w:rsid w:val="00A54171"/>
    <w:rsid w:val="00A54211"/>
    <w:rsid w:val="00A54FFD"/>
    <w:rsid w:val="00A557CC"/>
    <w:rsid w:val="00A55A97"/>
    <w:rsid w:val="00A55B98"/>
    <w:rsid w:val="00A5622D"/>
    <w:rsid w:val="00A56FD5"/>
    <w:rsid w:val="00A57718"/>
    <w:rsid w:val="00A57A41"/>
    <w:rsid w:val="00A57C31"/>
    <w:rsid w:val="00A601A2"/>
    <w:rsid w:val="00A60846"/>
    <w:rsid w:val="00A61A71"/>
    <w:rsid w:val="00A61B63"/>
    <w:rsid w:val="00A63C6C"/>
    <w:rsid w:val="00A64827"/>
    <w:rsid w:val="00A65B1C"/>
    <w:rsid w:val="00A65DE8"/>
    <w:rsid w:val="00A66212"/>
    <w:rsid w:val="00A66395"/>
    <w:rsid w:val="00A67D30"/>
    <w:rsid w:val="00A71AC4"/>
    <w:rsid w:val="00A72E23"/>
    <w:rsid w:val="00A72FA9"/>
    <w:rsid w:val="00A730BC"/>
    <w:rsid w:val="00A74475"/>
    <w:rsid w:val="00A76148"/>
    <w:rsid w:val="00A76463"/>
    <w:rsid w:val="00A77D2F"/>
    <w:rsid w:val="00A81D3B"/>
    <w:rsid w:val="00A8273D"/>
    <w:rsid w:val="00A84A87"/>
    <w:rsid w:val="00A84DEA"/>
    <w:rsid w:val="00A84F2B"/>
    <w:rsid w:val="00A852A5"/>
    <w:rsid w:val="00A85386"/>
    <w:rsid w:val="00A85B3C"/>
    <w:rsid w:val="00A865F1"/>
    <w:rsid w:val="00A870C5"/>
    <w:rsid w:val="00A8757E"/>
    <w:rsid w:val="00A87F24"/>
    <w:rsid w:val="00A915A0"/>
    <w:rsid w:val="00A916EC"/>
    <w:rsid w:val="00A91937"/>
    <w:rsid w:val="00A91AA2"/>
    <w:rsid w:val="00A92F3F"/>
    <w:rsid w:val="00A94A7C"/>
    <w:rsid w:val="00A95BA8"/>
    <w:rsid w:val="00A964A3"/>
    <w:rsid w:val="00A972B9"/>
    <w:rsid w:val="00AA0EDA"/>
    <w:rsid w:val="00AA18FB"/>
    <w:rsid w:val="00AA218E"/>
    <w:rsid w:val="00AA2DD1"/>
    <w:rsid w:val="00AA4352"/>
    <w:rsid w:val="00AA43A8"/>
    <w:rsid w:val="00AA61B0"/>
    <w:rsid w:val="00AA743A"/>
    <w:rsid w:val="00AB0ADF"/>
    <w:rsid w:val="00AB0CFA"/>
    <w:rsid w:val="00AB1A45"/>
    <w:rsid w:val="00AB1B5A"/>
    <w:rsid w:val="00AB1C6F"/>
    <w:rsid w:val="00AB1D1C"/>
    <w:rsid w:val="00AB20E5"/>
    <w:rsid w:val="00AB28C9"/>
    <w:rsid w:val="00AB31EB"/>
    <w:rsid w:val="00AB3242"/>
    <w:rsid w:val="00AB35EB"/>
    <w:rsid w:val="00AB3781"/>
    <w:rsid w:val="00AB424A"/>
    <w:rsid w:val="00AB4D5E"/>
    <w:rsid w:val="00AB54A2"/>
    <w:rsid w:val="00AB5684"/>
    <w:rsid w:val="00AB6776"/>
    <w:rsid w:val="00AB70D4"/>
    <w:rsid w:val="00AC1CDE"/>
    <w:rsid w:val="00AC3227"/>
    <w:rsid w:val="00AC44A9"/>
    <w:rsid w:val="00AC5271"/>
    <w:rsid w:val="00AC7678"/>
    <w:rsid w:val="00AC7D58"/>
    <w:rsid w:val="00AD0EFB"/>
    <w:rsid w:val="00AD1915"/>
    <w:rsid w:val="00AD286E"/>
    <w:rsid w:val="00AD2C57"/>
    <w:rsid w:val="00AD417D"/>
    <w:rsid w:val="00AD4F0C"/>
    <w:rsid w:val="00AD6442"/>
    <w:rsid w:val="00AD6C2A"/>
    <w:rsid w:val="00AD7BDF"/>
    <w:rsid w:val="00AE0757"/>
    <w:rsid w:val="00AE1608"/>
    <w:rsid w:val="00AE180D"/>
    <w:rsid w:val="00AE3153"/>
    <w:rsid w:val="00AE399A"/>
    <w:rsid w:val="00AE4FA9"/>
    <w:rsid w:val="00AE685A"/>
    <w:rsid w:val="00AE6929"/>
    <w:rsid w:val="00AE6B08"/>
    <w:rsid w:val="00AE6C12"/>
    <w:rsid w:val="00AE7B7B"/>
    <w:rsid w:val="00AF08B9"/>
    <w:rsid w:val="00AF1A85"/>
    <w:rsid w:val="00AF1AAA"/>
    <w:rsid w:val="00AF283C"/>
    <w:rsid w:val="00AF2B53"/>
    <w:rsid w:val="00AF33CA"/>
    <w:rsid w:val="00AF34F6"/>
    <w:rsid w:val="00AF4C02"/>
    <w:rsid w:val="00AF4EF7"/>
    <w:rsid w:val="00AF56A5"/>
    <w:rsid w:val="00AF7625"/>
    <w:rsid w:val="00B0149D"/>
    <w:rsid w:val="00B018A2"/>
    <w:rsid w:val="00B02DE1"/>
    <w:rsid w:val="00B03731"/>
    <w:rsid w:val="00B03954"/>
    <w:rsid w:val="00B03D83"/>
    <w:rsid w:val="00B06311"/>
    <w:rsid w:val="00B0680F"/>
    <w:rsid w:val="00B06C27"/>
    <w:rsid w:val="00B076BB"/>
    <w:rsid w:val="00B07D54"/>
    <w:rsid w:val="00B10694"/>
    <w:rsid w:val="00B125BF"/>
    <w:rsid w:val="00B12E64"/>
    <w:rsid w:val="00B1429C"/>
    <w:rsid w:val="00B157D7"/>
    <w:rsid w:val="00B17022"/>
    <w:rsid w:val="00B176A7"/>
    <w:rsid w:val="00B21615"/>
    <w:rsid w:val="00B223DD"/>
    <w:rsid w:val="00B22896"/>
    <w:rsid w:val="00B22D21"/>
    <w:rsid w:val="00B22E4A"/>
    <w:rsid w:val="00B23760"/>
    <w:rsid w:val="00B23DBA"/>
    <w:rsid w:val="00B23E8A"/>
    <w:rsid w:val="00B23F8C"/>
    <w:rsid w:val="00B24088"/>
    <w:rsid w:val="00B2452A"/>
    <w:rsid w:val="00B24C90"/>
    <w:rsid w:val="00B24F38"/>
    <w:rsid w:val="00B26655"/>
    <w:rsid w:val="00B26758"/>
    <w:rsid w:val="00B26BA4"/>
    <w:rsid w:val="00B30A34"/>
    <w:rsid w:val="00B31DD6"/>
    <w:rsid w:val="00B32C7A"/>
    <w:rsid w:val="00B34578"/>
    <w:rsid w:val="00B34AC3"/>
    <w:rsid w:val="00B34D3C"/>
    <w:rsid w:val="00B34FE2"/>
    <w:rsid w:val="00B35EEC"/>
    <w:rsid w:val="00B370E9"/>
    <w:rsid w:val="00B3790E"/>
    <w:rsid w:val="00B403B9"/>
    <w:rsid w:val="00B43ADD"/>
    <w:rsid w:val="00B44D66"/>
    <w:rsid w:val="00B46617"/>
    <w:rsid w:val="00B477A9"/>
    <w:rsid w:val="00B508A7"/>
    <w:rsid w:val="00B525E1"/>
    <w:rsid w:val="00B52A84"/>
    <w:rsid w:val="00B52FBF"/>
    <w:rsid w:val="00B533A4"/>
    <w:rsid w:val="00B5377F"/>
    <w:rsid w:val="00B53E2C"/>
    <w:rsid w:val="00B556FF"/>
    <w:rsid w:val="00B56C1F"/>
    <w:rsid w:val="00B57EE8"/>
    <w:rsid w:val="00B600B0"/>
    <w:rsid w:val="00B6067F"/>
    <w:rsid w:val="00B60753"/>
    <w:rsid w:val="00B6082A"/>
    <w:rsid w:val="00B6137C"/>
    <w:rsid w:val="00B61ECE"/>
    <w:rsid w:val="00B6211E"/>
    <w:rsid w:val="00B621BA"/>
    <w:rsid w:val="00B6499F"/>
    <w:rsid w:val="00B65974"/>
    <w:rsid w:val="00B65BB8"/>
    <w:rsid w:val="00B65EA8"/>
    <w:rsid w:val="00B66150"/>
    <w:rsid w:val="00B6641D"/>
    <w:rsid w:val="00B678E2"/>
    <w:rsid w:val="00B67DAB"/>
    <w:rsid w:val="00B67E6C"/>
    <w:rsid w:val="00B70DC2"/>
    <w:rsid w:val="00B71C20"/>
    <w:rsid w:val="00B71D9F"/>
    <w:rsid w:val="00B72C69"/>
    <w:rsid w:val="00B73832"/>
    <w:rsid w:val="00B73CD3"/>
    <w:rsid w:val="00B73E55"/>
    <w:rsid w:val="00B74214"/>
    <w:rsid w:val="00B7570C"/>
    <w:rsid w:val="00B75933"/>
    <w:rsid w:val="00B75AD0"/>
    <w:rsid w:val="00B75C70"/>
    <w:rsid w:val="00B762E0"/>
    <w:rsid w:val="00B77287"/>
    <w:rsid w:val="00B773CF"/>
    <w:rsid w:val="00B776C8"/>
    <w:rsid w:val="00B778F8"/>
    <w:rsid w:val="00B81DD1"/>
    <w:rsid w:val="00B81E35"/>
    <w:rsid w:val="00B82200"/>
    <w:rsid w:val="00B827FE"/>
    <w:rsid w:val="00B84622"/>
    <w:rsid w:val="00B84D7E"/>
    <w:rsid w:val="00B8533E"/>
    <w:rsid w:val="00B85F3D"/>
    <w:rsid w:val="00B8744D"/>
    <w:rsid w:val="00B90B62"/>
    <w:rsid w:val="00B92252"/>
    <w:rsid w:val="00B929E0"/>
    <w:rsid w:val="00B9368A"/>
    <w:rsid w:val="00B93CAA"/>
    <w:rsid w:val="00B953DF"/>
    <w:rsid w:val="00B97843"/>
    <w:rsid w:val="00BA0F7A"/>
    <w:rsid w:val="00BA0FF1"/>
    <w:rsid w:val="00BA1DAA"/>
    <w:rsid w:val="00BA25E5"/>
    <w:rsid w:val="00BA2A6C"/>
    <w:rsid w:val="00BA2CE1"/>
    <w:rsid w:val="00BA4F20"/>
    <w:rsid w:val="00BA5087"/>
    <w:rsid w:val="00BA52D6"/>
    <w:rsid w:val="00BA5CB7"/>
    <w:rsid w:val="00BA5E94"/>
    <w:rsid w:val="00BA681A"/>
    <w:rsid w:val="00BA7A0C"/>
    <w:rsid w:val="00BA7ADF"/>
    <w:rsid w:val="00BA7BE6"/>
    <w:rsid w:val="00BA7CAE"/>
    <w:rsid w:val="00BB0965"/>
    <w:rsid w:val="00BB272A"/>
    <w:rsid w:val="00BB3CEF"/>
    <w:rsid w:val="00BB5EBC"/>
    <w:rsid w:val="00BB5F59"/>
    <w:rsid w:val="00BB734A"/>
    <w:rsid w:val="00BB7DB0"/>
    <w:rsid w:val="00BC0DA2"/>
    <w:rsid w:val="00BC1143"/>
    <w:rsid w:val="00BC2251"/>
    <w:rsid w:val="00BC2459"/>
    <w:rsid w:val="00BC24FF"/>
    <w:rsid w:val="00BC289D"/>
    <w:rsid w:val="00BC3AD8"/>
    <w:rsid w:val="00BC3C94"/>
    <w:rsid w:val="00BC4E74"/>
    <w:rsid w:val="00BC654E"/>
    <w:rsid w:val="00BC7E82"/>
    <w:rsid w:val="00BD0193"/>
    <w:rsid w:val="00BD0266"/>
    <w:rsid w:val="00BD19B2"/>
    <w:rsid w:val="00BD1C43"/>
    <w:rsid w:val="00BD1F33"/>
    <w:rsid w:val="00BD2226"/>
    <w:rsid w:val="00BD2619"/>
    <w:rsid w:val="00BD28F9"/>
    <w:rsid w:val="00BD37C5"/>
    <w:rsid w:val="00BD39D4"/>
    <w:rsid w:val="00BD4444"/>
    <w:rsid w:val="00BD7046"/>
    <w:rsid w:val="00BD7D09"/>
    <w:rsid w:val="00BE2412"/>
    <w:rsid w:val="00BE329E"/>
    <w:rsid w:val="00BE3AB6"/>
    <w:rsid w:val="00BE493E"/>
    <w:rsid w:val="00BE5E70"/>
    <w:rsid w:val="00BE74EA"/>
    <w:rsid w:val="00BE79A2"/>
    <w:rsid w:val="00BF11F9"/>
    <w:rsid w:val="00BF2504"/>
    <w:rsid w:val="00BF2D60"/>
    <w:rsid w:val="00BF339C"/>
    <w:rsid w:val="00BF3A76"/>
    <w:rsid w:val="00BF467A"/>
    <w:rsid w:val="00BF6D64"/>
    <w:rsid w:val="00C00177"/>
    <w:rsid w:val="00C00D0E"/>
    <w:rsid w:val="00C00E29"/>
    <w:rsid w:val="00C01E64"/>
    <w:rsid w:val="00C02DF6"/>
    <w:rsid w:val="00C04006"/>
    <w:rsid w:val="00C04E70"/>
    <w:rsid w:val="00C05E4B"/>
    <w:rsid w:val="00C0779F"/>
    <w:rsid w:val="00C10467"/>
    <w:rsid w:val="00C10739"/>
    <w:rsid w:val="00C10D45"/>
    <w:rsid w:val="00C116D4"/>
    <w:rsid w:val="00C11705"/>
    <w:rsid w:val="00C11AFE"/>
    <w:rsid w:val="00C1351D"/>
    <w:rsid w:val="00C136CF"/>
    <w:rsid w:val="00C13970"/>
    <w:rsid w:val="00C139D3"/>
    <w:rsid w:val="00C1454A"/>
    <w:rsid w:val="00C15B8B"/>
    <w:rsid w:val="00C1745F"/>
    <w:rsid w:val="00C175AA"/>
    <w:rsid w:val="00C20853"/>
    <w:rsid w:val="00C215A7"/>
    <w:rsid w:val="00C231F0"/>
    <w:rsid w:val="00C2328C"/>
    <w:rsid w:val="00C2352E"/>
    <w:rsid w:val="00C24E8E"/>
    <w:rsid w:val="00C252DC"/>
    <w:rsid w:val="00C26940"/>
    <w:rsid w:val="00C26BEC"/>
    <w:rsid w:val="00C300DD"/>
    <w:rsid w:val="00C3071C"/>
    <w:rsid w:val="00C30AC2"/>
    <w:rsid w:val="00C30B00"/>
    <w:rsid w:val="00C30C5E"/>
    <w:rsid w:val="00C313BD"/>
    <w:rsid w:val="00C31522"/>
    <w:rsid w:val="00C31ECB"/>
    <w:rsid w:val="00C321FC"/>
    <w:rsid w:val="00C3310E"/>
    <w:rsid w:val="00C340BB"/>
    <w:rsid w:val="00C341FF"/>
    <w:rsid w:val="00C34C4D"/>
    <w:rsid w:val="00C34EE0"/>
    <w:rsid w:val="00C364DD"/>
    <w:rsid w:val="00C36B3F"/>
    <w:rsid w:val="00C3721B"/>
    <w:rsid w:val="00C372A1"/>
    <w:rsid w:val="00C42C63"/>
    <w:rsid w:val="00C4325B"/>
    <w:rsid w:val="00C4352A"/>
    <w:rsid w:val="00C435D8"/>
    <w:rsid w:val="00C44724"/>
    <w:rsid w:val="00C453B0"/>
    <w:rsid w:val="00C454F4"/>
    <w:rsid w:val="00C45F69"/>
    <w:rsid w:val="00C45FB4"/>
    <w:rsid w:val="00C46D81"/>
    <w:rsid w:val="00C4739D"/>
    <w:rsid w:val="00C503C1"/>
    <w:rsid w:val="00C505B7"/>
    <w:rsid w:val="00C50921"/>
    <w:rsid w:val="00C50CD3"/>
    <w:rsid w:val="00C515EA"/>
    <w:rsid w:val="00C5160B"/>
    <w:rsid w:val="00C518C6"/>
    <w:rsid w:val="00C52F43"/>
    <w:rsid w:val="00C5308C"/>
    <w:rsid w:val="00C541E6"/>
    <w:rsid w:val="00C5464D"/>
    <w:rsid w:val="00C55145"/>
    <w:rsid w:val="00C577E7"/>
    <w:rsid w:val="00C57B1A"/>
    <w:rsid w:val="00C6134A"/>
    <w:rsid w:val="00C6141B"/>
    <w:rsid w:val="00C62DDC"/>
    <w:rsid w:val="00C630C9"/>
    <w:rsid w:val="00C6430B"/>
    <w:rsid w:val="00C647DF"/>
    <w:rsid w:val="00C65F50"/>
    <w:rsid w:val="00C663ED"/>
    <w:rsid w:val="00C666D4"/>
    <w:rsid w:val="00C67469"/>
    <w:rsid w:val="00C67CE3"/>
    <w:rsid w:val="00C701C6"/>
    <w:rsid w:val="00C7360C"/>
    <w:rsid w:val="00C74357"/>
    <w:rsid w:val="00C74658"/>
    <w:rsid w:val="00C75A62"/>
    <w:rsid w:val="00C75CFF"/>
    <w:rsid w:val="00C76F73"/>
    <w:rsid w:val="00C809B0"/>
    <w:rsid w:val="00C83372"/>
    <w:rsid w:val="00C84EEE"/>
    <w:rsid w:val="00C86DA5"/>
    <w:rsid w:val="00C86E33"/>
    <w:rsid w:val="00C870AC"/>
    <w:rsid w:val="00C91A8E"/>
    <w:rsid w:val="00C92723"/>
    <w:rsid w:val="00C92D36"/>
    <w:rsid w:val="00C92E1D"/>
    <w:rsid w:val="00C93A31"/>
    <w:rsid w:val="00C93C29"/>
    <w:rsid w:val="00C9431E"/>
    <w:rsid w:val="00C946A8"/>
    <w:rsid w:val="00C9475C"/>
    <w:rsid w:val="00C959F9"/>
    <w:rsid w:val="00C96998"/>
    <w:rsid w:val="00C97264"/>
    <w:rsid w:val="00C975C8"/>
    <w:rsid w:val="00CA09CA"/>
    <w:rsid w:val="00CA0B08"/>
    <w:rsid w:val="00CA0F40"/>
    <w:rsid w:val="00CA129A"/>
    <w:rsid w:val="00CA1CBC"/>
    <w:rsid w:val="00CA2B60"/>
    <w:rsid w:val="00CA34AD"/>
    <w:rsid w:val="00CA4CC1"/>
    <w:rsid w:val="00CA5716"/>
    <w:rsid w:val="00CA5754"/>
    <w:rsid w:val="00CA58BB"/>
    <w:rsid w:val="00CA5EA8"/>
    <w:rsid w:val="00CA6D16"/>
    <w:rsid w:val="00CA7222"/>
    <w:rsid w:val="00CA7733"/>
    <w:rsid w:val="00CB0F0E"/>
    <w:rsid w:val="00CB0F8C"/>
    <w:rsid w:val="00CB218E"/>
    <w:rsid w:val="00CB2877"/>
    <w:rsid w:val="00CB3A32"/>
    <w:rsid w:val="00CB4A09"/>
    <w:rsid w:val="00CB6168"/>
    <w:rsid w:val="00CB6752"/>
    <w:rsid w:val="00CB7079"/>
    <w:rsid w:val="00CB79B5"/>
    <w:rsid w:val="00CB7F55"/>
    <w:rsid w:val="00CC038D"/>
    <w:rsid w:val="00CC1C11"/>
    <w:rsid w:val="00CC1E37"/>
    <w:rsid w:val="00CC2E3D"/>
    <w:rsid w:val="00CC332C"/>
    <w:rsid w:val="00CC3C86"/>
    <w:rsid w:val="00CC52E3"/>
    <w:rsid w:val="00CC5CA2"/>
    <w:rsid w:val="00CC5DCD"/>
    <w:rsid w:val="00CC6734"/>
    <w:rsid w:val="00CC6D23"/>
    <w:rsid w:val="00CC7902"/>
    <w:rsid w:val="00CC7977"/>
    <w:rsid w:val="00CD014C"/>
    <w:rsid w:val="00CD1336"/>
    <w:rsid w:val="00CD1B74"/>
    <w:rsid w:val="00CD201D"/>
    <w:rsid w:val="00CD2AE7"/>
    <w:rsid w:val="00CD35D6"/>
    <w:rsid w:val="00CD36A0"/>
    <w:rsid w:val="00CD441F"/>
    <w:rsid w:val="00CD4764"/>
    <w:rsid w:val="00CD4C3A"/>
    <w:rsid w:val="00CD4CB7"/>
    <w:rsid w:val="00CD4E93"/>
    <w:rsid w:val="00CD56DE"/>
    <w:rsid w:val="00CD615D"/>
    <w:rsid w:val="00CD6E36"/>
    <w:rsid w:val="00CE1394"/>
    <w:rsid w:val="00CE1D86"/>
    <w:rsid w:val="00CE200B"/>
    <w:rsid w:val="00CE2309"/>
    <w:rsid w:val="00CE311E"/>
    <w:rsid w:val="00CE3C8E"/>
    <w:rsid w:val="00CE513C"/>
    <w:rsid w:val="00CE5EF1"/>
    <w:rsid w:val="00CE74E0"/>
    <w:rsid w:val="00CF18CA"/>
    <w:rsid w:val="00CF21FD"/>
    <w:rsid w:val="00CF2386"/>
    <w:rsid w:val="00CF346B"/>
    <w:rsid w:val="00CF34A8"/>
    <w:rsid w:val="00CF4CF6"/>
    <w:rsid w:val="00CF5A65"/>
    <w:rsid w:val="00CF6B38"/>
    <w:rsid w:val="00D00798"/>
    <w:rsid w:val="00D00B79"/>
    <w:rsid w:val="00D018A0"/>
    <w:rsid w:val="00D0232F"/>
    <w:rsid w:val="00D02602"/>
    <w:rsid w:val="00D027A3"/>
    <w:rsid w:val="00D0358C"/>
    <w:rsid w:val="00D03D2A"/>
    <w:rsid w:val="00D0563C"/>
    <w:rsid w:val="00D0573B"/>
    <w:rsid w:val="00D06FCE"/>
    <w:rsid w:val="00D078BB"/>
    <w:rsid w:val="00D07C83"/>
    <w:rsid w:val="00D07EF8"/>
    <w:rsid w:val="00D10D0A"/>
    <w:rsid w:val="00D111F6"/>
    <w:rsid w:val="00D115CB"/>
    <w:rsid w:val="00D11AD6"/>
    <w:rsid w:val="00D121F3"/>
    <w:rsid w:val="00D12292"/>
    <w:rsid w:val="00D13D24"/>
    <w:rsid w:val="00D15A1C"/>
    <w:rsid w:val="00D16318"/>
    <w:rsid w:val="00D165C9"/>
    <w:rsid w:val="00D173AC"/>
    <w:rsid w:val="00D175FE"/>
    <w:rsid w:val="00D20A95"/>
    <w:rsid w:val="00D21155"/>
    <w:rsid w:val="00D2258F"/>
    <w:rsid w:val="00D22CA6"/>
    <w:rsid w:val="00D233DE"/>
    <w:rsid w:val="00D23DC3"/>
    <w:rsid w:val="00D23DFB"/>
    <w:rsid w:val="00D24BA8"/>
    <w:rsid w:val="00D265DB"/>
    <w:rsid w:val="00D26907"/>
    <w:rsid w:val="00D3097E"/>
    <w:rsid w:val="00D31371"/>
    <w:rsid w:val="00D31C27"/>
    <w:rsid w:val="00D31CB7"/>
    <w:rsid w:val="00D31D1B"/>
    <w:rsid w:val="00D32370"/>
    <w:rsid w:val="00D331A8"/>
    <w:rsid w:val="00D33894"/>
    <w:rsid w:val="00D34E67"/>
    <w:rsid w:val="00D360F8"/>
    <w:rsid w:val="00D40B2A"/>
    <w:rsid w:val="00D417CA"/>
    <w:rsid w:val="00D422E8"/>
    <w:rsid w:val="00D42732"/>
    <w:rsid w:val="00D42C1B"/>
    <w:rsid w:val="00D43FEB"/>
    <w:rsid w:val="00D443BF"/>
    <w:rsid w:val="00D465C6"/>
    <w:rsid w:val="00D476F3"/>
    <w:rsid w:val="00D50932"/>
    <w:rsid w:val="00D509C1"/>
    <w:rsid w:val="00D509C4"/>
    <w:rsid w:val="00D51641"/>
    <w:rsid w:val="00D519C1"/>
    <w:rsid w:val="00D51BCC"/>
    <w:rsid w:val="00D52EBF"/>
    <w:rsid w:val="00D52FF5"/>
    <w:rsid w:val="00D532F0"/>
    <w:rsid w:val="00D54036"/>
    <w:rsid w:val="00D5425D"/>
    <w:rsid w:val="00D542AC"/>
    <w:rsid w:val="00D547B4"/>
    <w:rsid w:val="00D5575A"/>
    <w:rsid w:val="00D55A5E"/>
    <w:rsid w:val="00D55BC7"/>
    <w:rsid w:val="00D55DC5"/>
    <w:rsid w:val="00D56A16"/>
    <w:rsid w:val="00D603A2"/>
    <w:rsid w:val="00D60C5E"/>
    <w:rsid w:val="00D61791"/>
    <w:rsid w:val="00D61C29"/>
    <w:rsid w:val="00D61C65"/>
    <w:rsid w:val="00D61F02"/>
    <w:rsid w:val="00D628CC"/>
    <w:rsid w:val="00D62CD1"/>
    <w:rsid w:val="00D63C50"/>
    <w:rsid w:val="00D6481D"/>
    <w:rsid w:val="00D64D16"/>
    <w:rsid w:val="00D65521"/>
    <w:rsid w:val="00D673CC"/>
    <w:rsid w:val="00D678CA"/>
    <w:rsid w:val="00D71284"/>
    <w:rsid w:val="00D71B8C"/>
    <w:rsid w:val="00D743E4"/>
    <w:rsid w:val="00D756D2"/>
    <w:rsid w:val="00D7659A"/>
    <w:rsid w:val="00D7733D"/>
    <w:rsid w:val="00D77A2B"/>
    <w:rsid w:val="00D77A5E"/>
    <w:rsid w:val="00D77B02"/>
    <w:rsid w:val="00D77B29"/>
    <w:rsid w:val="00D80590"/>
    <w:rsid w:val="00D80FED"/>
    <w:rsid w:val="00D8129A"/>
    <w:rsid w:val="00D815F2"/>
    <w:rsid w:val="00D8189C"/>
    <w:rsid w:val="00D821BA"/>
    <w:rsid w:val="00D821E9"/>
    <w:rsid w:val="00D82277"/>
    <w:rsid w:val="00D8246D"/>
    <w:rsid w:val="00D827D2"/>
    <w:rsid w:val="00D831E8"/>
    <w:rsid w:val="00D8468E"/>
    <w:rsid w:val="00D85C58"/>
    <w:rsid w:val="00D86523"/>
    <w:rsid w:val="00D86654"/>
    <w:rsid w:val="00D86656"/>
    <w:rsid w:val="00D86BB0"/>
    <w:rsid w:val="00D900CF"/>
    <w:rsid w:val="00D90671"/>
    <w:rsid w:val="00D9125B"/>
    <w:rsid w:val="00D91418"/>
    <w:rsid w:val="00D91552"/>
    <w:rsid w:val="00D9157C"/>
    <w:rsid w:val="00D92C1F"/>
    <w:rsid w:val="00D93ACE"/>
    <w:rsid w:val="00D947AB"/>
    <w:rsid w:val="00D95802"/>
    <w:rsid w:val="00D9689E"/>
    <w:rsid w:val="00D96F4B"/>
    <w:rsid w:val="00D97DB7"/>
    <w:rsid w:val="00DA2409"/>
    <w:rsid w:val="00DA28F7"/>
    <w:rsid w:val="00DA3805"/>
    <w:rsid w:val="00DA44AC"/>
    <w:rsid w:val="00DA56E4"/>
    <w:rsid w:val="00DA5BEF"/>
    <w:rsid w:val="00DA7936"/>
    <w:rsid w:val="00DB09CA"/>
    <w:rsid w:val="00DB0AAD"/>
    <w:rsid w:val="00DB1215"/>
    <w:rsid w:val="00DB16EF"/>
    <w:rsid w:val="00DB1882"/>
    <w:rsid w:val="00DB1F08"/>
    <w:rsid w:val="00DB298A"/>
    <w:rsid w:val="00DB3A4C"/>
    <w:rsid w:val="00DB3C82"/>
    <w:rsid w:val="00DB4312"/>
    <w:rsid w:val="00DB4439"/>
    <w:rsid w:val="00DB5879"/>
    <w:rsid w:val="00DB5C78"/>
    <w:rsid w:val="00DB6AC4"/>
    <w:rsid w:val="00DB6C24"/>
    <w:rsid w:val="00DB7A15"/>
    <w:rsid w:val="00DC182D"/>
    <w:rsid w:val="00DC1DF3"/>
    <w:rsid w:val="00DC2525"/>
    <w:rsid w:val="00DC2976"/>
    <w:rsid w:val="00DC319C"/>
    <w:rsid w:val="00DC4C76"/>
    <w:rsid w:val="00DC54DC"/>
    <w:rsid w:val="00DC6736"/>
    <w:rsid w:val="00DC749F"/>
    <w:rsid w:val="00DC7591"/>
    <w:rsid w:val="00DC759B"/>
    <w:rsid w:val="00DC7732"/>
    <w:rsid w:val="00DC7919"/>
    <w:rsid w:val="00DD1752"/>
    <w:rsid w:val="00DD444F"/>
    <w:rsid w:val="00DD4ED1"/>
    <w:rsid w:val="00DD51E0"/>
    <w:rsid w:val="00DD5833"/>
    <w:rsid w:val="00DD76CC"/>
    <w:rsid w:val="00DD7860"/>
    <w:rsid w:val="00DD7C36"/>
    <w:rsid w:val="00DE0A11"/>
    <w:rsid w:val="00DE1535"/>
    <w:rsid w:val="00DE196C"/>
    <w:rsid w:val="00DE2253"/>
    <w:rsid w:val="00DE22DB"/>
    <w:rsid w:val="00DE2BB5"/>
    <w:rsid w:val="00DE2DD9"/>
    <w:rsid w:val="00DE79B2"/>
    <w:rsid w:val="00DE7A55"/>
    <w:rsid w:val="00DF062E"/>
    <w:rsid w:val="00DF1204"/>
    <w:rsid w:val="00DF1834"/>
    <w:rsid w:val="00DF197B"/>
    <w:rsid w:val="00DF24DA"/>
    <w:rsid w:val="00DF2C56"/>
    <w:rsid w:val="00DF2DAE"/>
    <w:rsid w:val="00DF30CD"/>
    <w:rsid w:val="00DF34FB"/>
    <w:rsid w:val="00DF4A59"/>
    <w:rsid w:val="00DF502A"/>
    <w:rsid w:val="00DF56F1"/>
    <w:rsid w:val="00DF5898"/>
    <w:rsid w:val="00DF73BD"/>
    <w:rsid w:val="00DF748C"/>
    <w:rsid w:val="00E00756"/>
    <w:rsid w:val="00E026D2"/>
    <w:rsid w:val="00E036B4"/>
    <w:rsid w:val="00E053B8"/>
    <w:rsid w:val="00E054BD"/>
    <w:rsid w:val="00E055C0"/>
    <w:rsid w:val="00E063E5"/>
    <w:rsid w:val="00E069A1"/>
    <w:rsid w:val="00E06A30"/>
    <w:rsid w:val="00E07997"/>
    <w:rsid w:val="00E119C4"/>
    <w:rsid w:val="00E11A68"/>
    <w:rsid w:val="00E11AA6"/>
    <w:rsid w:val="00E127A8"/>
    <w:rsid w:val="00E13257"/>
    <w:rsid w:val="00E13574"/>
    <w:rsid w:val="00E135E7"/>
    <w:rsid w:val="00E14C5F"/>
    <w:rsid w:val="00E1518A"/>
    <w:rsid w:val="00E163A1"/>
    <w:rsid w:val="00E167DB"/>
    <w:rsid w:val="00E174C3"/>
    <w:rsid w:val="00E17C94"/>
    <w:rsid w:val="00E2199B"/>
    <w:rsid w:val="00E21C43"/>
    <w:rsid w:val="00E22548"/>
    <w:rsid w:val="00E231C3"/>
    <w:rsid w:val="00E23458"/>
    <w:rsid w:val="00E23871"/>
    <w:rsid w:val="00E259C9"/>
    <w:rsid w:val="00E25F1C"/>
    <w:rsid w:val="00E272A1"/>
    <w:rsid w:val="00E27C7C"/>
    <w:rsid w:val="00E302EA"/>
    <w:rsid w:val="00E318C5"/>
    <w:rsid w:val="00E3335D"/>
    <w:rsid w:val="00E33AB9"/>
    <w:rsid w:val="00E33C1A"/>
    <w:rsid w:val="00E3552F"/>
    <w:rsid w:val="00E369EA"/>
    <w:rsid w:val="00E37A34"/>
    <w:rsid w:val="00E4089C"/>
    <w:rsid w:val="00E40C5D"/>
    <w:rsid w:val="00E416C5"/>
    <w:rsid w:val="00E4248C"/>
    <w:rsid w:val="00E42A87"/>
    <w:rsid w:val="00E433AA"/>
    <w:rsid w:val="00E44F79"/>
    <w:rsid w:val="00E45326"/>
    <w:rsid w:val="00E454B2"/>
    <w:rsid w:val="00E47B35"/>
    <w:rsid w:val="00E511E9"/>
    <w:rsid w:val="00E52301"/>
    <w:rsid w:val="00E52613"/>
    <w:rsid w:val="00E52D7A"/>
    <w:rsid w:val="00E53F24"/>
    <w:rsid w:val="00E54B8C"/>
    <w:rsid w:val="00E54D97"/>
    <w:rsid w:val="00E55014"/>
    <w:rsid w:val="00E55BCC"/>
    <w:rsid w:val="00E560C4"/>
    <w:rsid w:val="00E56337"/>
    <w:rsid w:val="00E60F25"/>
    <w:rsid w:val="00E60F97"/>
    <w:rsid w:val="00E62972"/>
    <w:rsid w:val="00E630E9"/>
    <w:rsid w:val="00E63565"/>
    <w:rsid w:val="00E63EF1"/>
    <w:rsid w:val="00E65789"/>
    <w:rsid w:val="00E661AF"/>
    <w:rsid w:val="00E708CC"/>
    <w:rsid w:val="00E709D8"/>
    <w:rsid w:val="00E70CBC"/>
    <w:rsid w:val="00E71F14"/>
    <w:rsid w:val="00E726B9"/>
    <w:rsid w:val="00E73ADF"/>
    <w:rsid w:val="00E742BF"/>
    <w:rsid w:val="00E7461A"/>
    <w:rsid w:val="00E758DA"/>
    <w:rsid w:val="00E773F2"/>
    <w:rsid w:val="00E77471"/>
    <w:rsid w:val="00E77927"/>
    <w:rsid w:val="00E77940"/>
    <w:rsid w:val="00E80023"/>
    <w:rsid w:val="00E8028B"/>
    <w:rsid w:val="00E804A2"/>
    <w:rsid w:val="00E80CF5"/>
    <w:rsid w:val="00E82AD9"/>
    <w:rsid w:val="00E82BCC"/>
    <w:rsid w:val="00E82D9E"/>
    <w:rsid w:val="00E82DE1"/>
    <w:rsid w:val="00E82EA4"/>
    <w:rsid w:val="00E83007"/>
    <w:rsid w:val="00E847C6"/>
    <w:rsid w:val="00E85908"/>
    <w:rsid w:val="00E8662C"/>
    <w:rsid w:val="00E90CD6"/>
    <w:rsid w:val="00E90CDD"/>
    <w:rsid w:val="00E90F07"/>
    <w:rsid w:val="00E92544"/>
    <w:rsid w:val="00E928C2"/>
    <w:rsid w:val="00E93015"/>
    <w:rsid w:val="00E93CAA"/>
    <w:rsid w:val="00E95B56"/>
    <w:rsid w:val="00E9622A"/>
    <w:rsid w:val="00E96877"/>
    <w:rsid w:val="00E96CEC"/>
    <w:rsid w:val="00E97F55"/>
    <w:rsid w:val="00EA07FA"/>
    <w:rsid w:val="00EA1259"/>
    <w:rsid w:val="00EA1755"/>
    <w:rsid w:val="00EA2BC5"/>
    <w:rsid w:val="00EA3674"/>
    <w:rsid w:val="00EA5177"/>
    <w:rsid w:val="00EA5498"/>
    <w:rsid w:val="00EA5691"/>
    <w:rsid w:val="00EA64F5"/>
    <w:rsid w:val="00EA654F"/>
    <w:rsid w:val="00EA74D4"/>
    <w:rsid w:val="00EA7D84"/>
    <w:rsid w:val="00EA7FCC"/>
    <w:rsid w:val="00EB02CB"/>
    <w:rsid w:val="00EB1098"/>
    <w:rsid w:val="00EB14AA"/>
    <w:rsid w:val="00EB1C63"/>
    <w:rsid w:val="00EB1FDB"/>
    <w:rsid w:val="00EB31D8"/>
    <w:rsid w:val="00EB35C8"/>
    <w:rsid w:val="00EB385C"/>
    <w:rsid w:val="00EB396D"/>
    <w:rsid w:val="00EB3BC8"/>
    <w:rsid w:val="00EB3ED8"/>
    <w:rsid w:val="00EB46FB"/>
    <w:rsid w:val="00EB4E64"/>
    <w:rsid w:val="00EB56B6"/>
    <w:rsid w:val="00EB6CB0"/>
    <w:rsid w:val="00EB77AB"/>
    <w:rsid w:val="00EC0F42"/>
    <w:rsid w:val="00EC2B2B"/>
    <w:rsid w:val="00EC354A"/>
    <w:rsid w:val="00EC4231"/>
    <w:rsid w:val="00EC4362"/>
    <w:rsid w:val="00EC4880"/>
    <w:rsid w:val="00EC6333"/>
    <w:rsid w:val="00EC668F"/>
    <w:rsid w:val="00EC6939"/>
    <w:rsid w:val="00EC6C6F"/>
    <w:rsid w:val="00EC7A29"/>
    <w:rsid w:val="00ED05B9"/>
    <w:rsid w:val="00ED0684"/>
    <w:rsid w:val="00ED1142"/>
    <w:rsid w:val="00ED1572"/>
    <w:rsid w:val="00ED190B"/>
    <w:rsid w:val="00ED37C8"/>
    <w:rsid w:val="00ED510F"/>
    <w:rsid w:val="00ED5DC9"/>
    <w:rsid w:val="00ED6C69"/>
    <w:rsid w:val="00ED7366"/>
    <w:rsid w:val="00ED76F5"/>
    <w:rsid w:val="00ED7FAA"/>
    <w:rsid w:val="00EE090F"/>
    <w:rsid w:val="00EE0A84"/>
    <w:rsid w:val="00EE1D9A"/>
    <w:rsid w:val="00EE2C02"/>
    <w:rsid w:val="00EE4732"/>
    <w:rsid w:val="00EE4A44"/>
    <w:rsid w:val="00EE5340"/>
    <w:rsid w:val="00EE54C0"/>
    <w:rsid w:val="00EE569D"/>
    <w:rsid w:val="00EE76A4"/>
    <w:rsid w:val="00EF0515"/>
    <w:rsid w:val="00EF0793"/>
    <w:rsid w:val="00EF2897"/>
    <w:rsid w:val="00EF2A7A"/>
    <w:rsid w:val="00EF4161"/>
    <w:rsid w:val="00EF4324"/>
    <w:rsid w:val="00EF48CB"/>
    <w:rsid w:val="00EF63DB"/>
    <w:rsid w:val="00EF6B18"/>
    <w:rsid w:val="00EF7026"/>
    <w:rsid w:val="00EF70C5"/>
    <w:rsid w:val="00EF7276"/>
    <w:rsid w:val="00EF75F2"/>
    <w:rsid w:val="00EF7B5B"/>
    <w:rsid w:val="00EF7BF7"/>
    <w:rsid w:val="00F00A1F"/>
    <w:rsid w:val="00F0135E"/>
    <w:rsid w:val="00F01AF3"/>
    <w:rsid w:val="00F023BA"/>
    <w:rsid w:val="00F040BE"/>
    <w:rsid w:val="00F0427C"/>
    <w:rsid w:val="00F064FE"/>
    <w:rsid w:val="00F068CC"/>
    <w:rsid w:val="00F0739E"/>
    <w:rsid w:val="00F07583"/>
    <w:rsid w:val="00F07F80"/>
    <w:rsid w:val="00F105F8"/>
    <w:rsid w:val="00F10A6C"/>
    <w:rsid w:val="00F11787"/>
    <w:rsid w:val="00F117A9"/>
    <w:rsid w:val="00F12AAE"/>
    <w:rsid w:val="00F14657"/>
    <w:rsid w:val="00F147B0"/>
    <w:rsid w:val="00F14A18"/>
    <w:rsid w:val="00F15736"/>
    <w:rsid w:val="00F16567"/>
    <w:rsid w:val="00F178FB"/>
    <w:rsid w:val="00F21968"/>
    <w:rsid w:val="00F22499"/>
    <w:rsid w:val="00F232AE"/>
    <w:rsid w:val="00F242F2"/>
    <w:rsid w:val="00F24E9F"/>
    <w:rsid w:val="00F2556E"/>
    <w:rsid w:val="00F256E1"/>
    <w:rsid w:val="00F266EB"/>
    <w:rsid w:val="00F26D08"/>
    <w:rsid w:val="00F26EEE"/>
    <w:rsid w:val="00F27E67"/>
    <w:rsid w:val="00F30090"/>
    <w:rsid w:val="00F30121"/>
    <w:rsid w:val="00F3149A"/>
    <w:rsid w:val="00F32828"/>
    <w:rsid w:val="00F32B00"/>
    <w:rsid w:val="00F32E47"/>
    <w:rsid w:val="00F3398B"/>
    <w:rsid w:val="00F34068"/>
    <w:rsid w:val="00F34854"/>
    <w:rsid w:val="00F34AB6"/>
    <w:rsid w:val="00F35EDE"/>
    <w:rsid w:val="00F37100"/>
    <w:rsid w:val="00F37C3F"/>
    <w:rsid w:val="00F41272"/>
    <w:rsid w:val="00F412D8"/>
    <w:rsid w:val="00F4143A"/>
    <w:rsid w:val="00F431D9"/>
    <w:rsid w:val="00F43ACA"/>
    <w:rsid w:val="00F44379"/>
    <w:rsid w:val="00F458B3"/>
    <w:rsid w:val="00F47ECC"/>
    <w:rsid w:val="00F519DA"/>
    <w:rsid w:val="00F51A60"/>
    <w:rsid w:val="00F529D9"/>
    <w:rsid w:val="00F5379C"/>
    <w:rsid w:val="00F53F1B"/>
    <w:rsid w:val="00F541FE"/>
    <w:rsid w:val="00F54725"/>
    <w:rsid w:val="00F552BE"/>
    <w:rsid w:val="00F55762"/>
    <w:rsid w:val="00F5793B"/>
    <w:rsid w:val="00F60540"/>
    <w:rsid w:val="00F63C06"/>
    <w:rsid w:val="00F661FD"/>
    <w:rsid w:val="00F67832"/>
    <w:rsid w:val="00F67ECD"/>
    <w:rsid w:val="00F700E3"/>
    <w:rsid w:val="00F7050D"/>
    <w:rsid w:val="00F70526"/>
    <w:rsid w:val="00F707A3"/>
    <w:rsid w:val="00F71C05"/>
    <w:rsid w:val="00F71EA7"/>
    <w:rsid w:val="00F725E6"/>
    <w:rsid w:val="00F72952"/>
    <w:rsid w:val="00F73163"/>
    <w:rsid w:val="00F7411B"/>
    <w:rsid w:val="00F74BA5"/>
    <w:rsid w:val="00F763FF"/>
    <w:rsid w:val="00F7748D"/>
    <w:rsid w:val="00F81308"/>
    <w:rsid w:val="00F81957"/>
    <w:rsid w:val="00F81F58"/>
    <w:rsid w:val="00F8398A"/>
    <w:rsid w:val="00F842D8"/>
    <w:rsid w:val="00F847D0"/>
    <w:rsid w:val="00F85C6F"/>
    <w:rsid w:val="00F9016E"/>
    <w:rsid w:val="00F910A0"/>
    <w:rsid w:val="00F92049"/>
    <w:rsid w:val="00F933B2"/>
    <w:rsid w:val="00F9371F"/>
    <w:rsid w:val="00F94DE3"/>
    <w:rsid w:val="00F950F1"/>
    <w:rsid w:val="00F95373"/>
    <w:rsid w:val="00F9547A"/>
    <w:rsid w:val="00F9558F"/>
    <w:rsid w:val="00F96150"/>
    <w:rsid w:val="00F97519"/>
    <w:rsid w:val="00F97C59"/>
    <w:rsid w:val="00FA1945"/>
    <w:rsid w:val="00FA26E3"/>
    <w:rsid w:val="00FA2729"/>
    <w:rsid w:val="00FA2D05"/>
    <w:rsid w:val="00FA2DD4"/>
    <w:rsid w:val="00FA31B0"/>
    <w:rsid w:val="00FA5B18"/>
    <w:rsid w:val="00FA5E19"/>
    <w:rsid w:val="00FA7030"/>
    <w:rsid w:val="00FB1B02"/>
    <w:rsid w:val="00FB3A2A"/>
    <w:rsid w:val="00FB477E"/>
    <w:rsid w:val="00FB57CC"/>
    <w:rsid w:val="00FB622C"/>
    <w:rsid w:val="00FB6831"/>
    <w:rsid w:val="00FB6A97"/>
    <w:rsid w:val="00FB6C9C"/>
    <w:rsid w:val="00FB6F26"/>
    <w:rsid w:val="00FC0776"/>
    <w:rsid w:val="00FC0950"/>
    <w:rsid w:val="00FC26F8"/>
    <w:rsid w:val="00FC2DE9"/>
    <w:rsid w:val="00FC2E36"/>
    <w:rsid w:val="00FC3341"/>
    <w:rsid w:val="00FC3E3B"/>
    <w:rsid w:val="00FC3F5D"/>
    <w:rsid w:val="00FC40B9"/>
    <w:rsid w:val="00FC5466"/>
    <w:rsid w:val="00FC5B24"/>
    <w:rsid w:val="00FC66D5"/>
    <w:rsid w:val="00FC6C70"/>
    <w:rsid w:val="00FD02DF"/>
    <w:rsid w:val="00FD061B"/>
    <w:rsid w:val="00FD14B9"/>
    <w:rsid w:val="00FD1CA9"/>
    <w:rsid w:val="00FD200E"/>
    <w:rsid w:val="00FD304E"/>
    <w:rsid w:val="00FD3671"/>
    <w:rsid w:val="00FD3BD8"/>
    <w:rsid w:val="00FD42A1"/>
    <w:rsid w:val="00FD42BA"/>
    <w:rsid w:val="00FD4B4C"/>
    <w:rsid w:val="00FD536F"/>
    <w:rsid w:val="00FD5FF6"/>
    <w:rsid w:val="00FE0690"/>
    <w:rsid w:val="00FE1F8E"/>
    <w:rsid w:val="00FE25AF"/>
    <w:rsid w:val="00FE2C1B"/>
    <w:rsid w:val="00FE34B5"/>
    <w:rsid w:val="00FE3A82"/>
    <w:rsid w:val="00FE3BB1"/>
    <w:rsid w:val="00FE3C57"/>
    <w:rsid w:val="00FE45A0"/>
    <w:rsid w:val="00FE4816"/>
    <w:rsid w:val="00FE48C0"/>
    <w:rsid w:val="00FE532D"/>
    <w:rsid w:val="00FE7A42"/>
    <w:rsid w:val="00FF033C"/>
    <w:rsid w:val="00FF1C8D"/>
    <w:rsid w:val="00FF38D4"/>
    <w:rsid w:val="00FF45E7"/>
    <w:rsid w:val="00FF4932"/>
    <w:rsid w:val="00FF4A9C"/>
    <w:rsid w:val="00FF4EFB"/>
    <w:rsid w:val="00FF4FA5"/>
    <w:rsid w:val="00FF75D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2E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t" w:eastAsia="lt-L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400" w:after="120"/>
      <w:outlineLvl w:val="0"/>
    </w:pPr>
    <w:rPr>
      <w:sz w:val="40"/>
      <w:szCs w:val="40"/>
    </w:rPr>
  </w:style>
  <w:style w:type="paragraph" w:styleId="Antrat2">
    <w:name w:val="heading 2"/>
    <w:basedOn w:val="prastasis"/>
    <w:next w:val="prastasis"/>
    <w:uiPriority w:val="9"/>
    <w:unhideWhenUsed/>
    <w:qFormat/>
    <w:pPr>
      <w:keepNext/>
      <w:keepLines/>
      <w:spacing w:before="360" w:after="120"/>
      <w:outlineLvl w:val="1"/>
    </w:pPr>
    <w:rPr>
      <w:sz w:val="32"/>
      <w:szCs w:val="32"/>
    </w:rPr>
  </w:style>
  <w:style w:type="paragraph" w:styleId="Antrat3">
    <w:name w:val="heading 3"/>
    <w:basedOn w:val="prastasis"/>
    <w:next w:val="prastasis"/>
    <w:uiPriority w:val="9"/>
    <w:unhideWhenUsed/>
    <w:qFormat/>
    <w:pPr>
      <w:keepNext/>
      <w:keepLines/>
      <w:spacing w:before="320" w:after="80"/>
      <w:outlineLvl w:val="2"/>
    </w:pPr>
    <w:rPr>
      <w:color w:val="434343"/>
      <w:sz w:val="28"/>
      <w:szCs w:val="28"/>
    </w:rPr>
  </w:style>
  <w:style w:type="paragraph" w:styleId="Antrat4">
    <w:name w:val="heading 4"/>
    <w:basedOn w:val="prastasis"/>
    <w:next w:val="prastasis"/>
    <w:uiPriority w:val="9"/>
    <w:semiHidden/>
    <w:unhideWhenUsed/>
    <w:qFormat/>
    <w:pPr>
      <w:keepNext/>
      <w:keepLines/>
      <w:spacing w:before="280" w:after="80"/>
      <w:outlineLvl w:val="3"/>
    </w:pPr>
    <w:rPr>
      <w:color w:val="666666"/>
      <w:sz w:val="24"/>
      <w:szCs w:val="24"/>
    </w:rPr>
  </w:style>
  <w:style w:type="paragraph" w:styleId="Antrat5">
    <w:name w:val="heading 5"/>
    <w:basedOn w:val="prastasis"/>
    <w:next w:val="prastasis"/>
    <w:uiPriority w:val="9"/>
    <w:semiHidden/>
    <w:unhideWhenUsed/>
    <w:qFormat/>
    <w:pPr>
      <w:keepNext/>
      <w:keepLines/>
      <w:spacing w:before="240" w:after="80"/>
      <w:outlineLvl w:val="4"/>
    </w:pPr>
    <w:rPr>
      <w:color w:val="666666"/>
    </w:rPr>
  </w:style>
  <w:style w:type="paragraph" w:styleId="Antrat6">
    <w:name w:val="heading 6"/>
    <w:basedOn w:val="prastasis"/>
    <w:next w:val="prastasis"/>
    <w:uiPriority w:val="9"/>
    <w:semiHidden/>
    <w:unhideWhenUsed/>
    <w:qFormat/>
    <w:pPr>
      <w:keepNext/>
      <w:keepLines/>
      <w:spacing w:before="240" w:after="80"/>
      <w:outlineLvl w:val="5"/>
    </w:pPr>
    <w:rPr>
      <w:i/>
      <w:color w:val="66666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after="60"/>
    </w:pPr>
    <w:rPr>
      <w:sz w:val="52"/>
      <w:szCs w:val="52"/>
    </w:rPr>
  </w:style>
  <w:style w:type="table" w:customStyle="1" w:styleId="TableNormal6">
    <w:name w:val="Table Normal6"/>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Paantrat">
    <w:name w:val="Subtitle"/>
    <w:basedOn w:val="prastasis"/>
    <w:next w:val="prastasis"/>
    <w:uiPriority w:val="11"/>
    <w:qFormat/>
    <w:pPr>
      <w:keepNext/>
      <w:keepLines/>
      <w:spacing w:after="320"/>
    </w:pPr>
    <w:rPr>
      <w:color w:val="666666"/>
      <w:sz w:val="30"/>
      <w:szCs w:val="30"/>
    </w:rPr>
  </w:style>
  <w:style w:type="paragraph" w:styleId="Antrats">
    <w:name w:val="header"/>
    <w:basedOn w:val="prastasis"/>
    <w:link w:val="AntratsDiagrama"/>
    <w:uiPriority w:val="99"/>
    <w:unhideWhenUsed/>
    <w:rsid w:val="003453C3"/>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3453C3"/>
  </w:style>
  <w:style w:type="paragraph" w:styleId="Porat">
    <w:name w:val="footer"/>
    <w:basedOn w:val="prastasis"/>
    <w:link w:val="PoratDiagrama"/>
    <w:uiPriority w:val="99"/>
    <w:unhideWhenUsed/>
    <w:rsid w:val="003453C3"/>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3453C3"/>
  </w:style>
  <w:style w:type="paragraph" w:customStyle="1" w:styleId="prastasis1">
    <w:name w:val="Įprastasis1"/>
    <w:rsid w:val="00836997"/>
    <w:pPr>
      <w:spacing w:line="240" w:lineRule="auto"/>
    </w:pPr>
    <w:rPr>
      <w:rFonts w:ascii="Times New Roman" w:eastAsia="Times New Roman" w:hAnsi="Times New Roman" w:cs="Times New Roman"/>
      <w:sz w:val="20"/>
      <w:szCs w:val="20"/>
      <w:lang w:val="lt-LT" w:eastAsia="en-US"/>
    </w:rPr>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
    <w:basedOn w:val="prastasis"/>
    <w:link w:val="SraopastraipaDiagrama"/>
    <w:uiPriority w:val="34"/>
    <w:qFormat/>
    <w:rsid w:val="00205C93"/>
    <w:pPr>
      <w:ind w:left="720"/>
      <w:contextualSpacing/>
    </w:pPr>
  </w:style>
  <w:style w:type="paragraph" w:styleId="Pagrindinistekstas2">
    <w:name w:val="Body Text 2"/>
    <w:basedOn w:val="prastasis"/>
    <w:link w:val="Pagrindinistekstas2Diagrama"/>
    <w:rsid w:val="00F0135E"/>
    <w:pPr>
      <w:spacing w:line="240" w:lineRule="auto"/>
      <w:jc w:val="both"/>
    </w:pPr>
    <w:rPr>
      <w:rFonts w:ascii="Times New Roman" w:eastAsia="Times New Roman" w:hAnsi="Times New Roman" w:cs="Times New Roman"/>
      <w:sz w:val="24"/>
      <w:szCs w:val="20"/>
      <w:lang w:val="lt-LT" w:eastAsia="en-US"/>
    </w:rPr>
  </w:style>
  <w:style w:type="character" w:customStyle="1" w:styleId="Pagrindinistekstas2Diagrama">
    <w:name w:val="Pagrindinis tekstas 2 Diagrama"/>
    <w:basedOn w:val="Numatytasispastraiposriftas"/>
    <w:link w:val="Pagrindinistekstas2"/>
    <w:rsid w:val="00F0135E"/>
    <w:rPr>
      <w:rFonts w:ascii="Times New Roman" w:eastAsia="Times New Roman" w:hAnsi="Times New Roman" w:cs="Times New Roman"/>
      <w:sz w:val="24"/>
      <w:szCs w:val="20"/>
      <w:lang w:val="lt-LT" w:eastAsia="en-US"/>
    </w:rPr>
  </w:style>
  <w:style w:type="paragraph" w:styleId="Pagrindiniotekstotrauka2">
    <w:name w:val="Body Text Indent 2"/>
    <w:basedOn w:val="prastasis"/>
    <w:link w:val="Pagrindiniotekstotrauka2Diagrama"/>
    <w:uiPriority w:val="99"/>
    <w:semiHidden/>
    <w:unhideWhenUsed/>
    <w:rsid w:val="00B26758"/>
    <w:pPr>
      <w:spacing w:after="120"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rsid w:val="00B26758"/>
  </w:style>
  <w:style w:type="character" w:styleId="Hipersaitas">
    <w:name w:val="Hyperlink"/>
    <w:basedOn w:val="Numatytasispastraiposriftas"/>
    <w:uiPriority w:val="99"/>
    <w:unhideWhenUsed/>
    <w:rsid w:val="003D166E"/>
    <w:rPr>
      <w:color w:val="0000FF" w:themeColor="hyperlink"/>
      <w:u w:val="single"/>
    </w:rPr>
  </w:style>
  <w:style w:type="character" w:styleId="Neapdorotaspaminjimas">
    <w:name w:val="Unresolved Mention"/>
    <w:basedOn w:val="Numatytasispastraiposriftas"/>
    <w:uiPriority w:val="99"/>
    <w:semiHidden/>
    <w:unhideWhenUsed/>
    <w:rsid w:val="003D166E"/>
    <w:rPr>
      <w:color w:val="605E5C"/>
      <w:shd w:val="clear" w:color="auto" w:fill="E1DFDD"/>
    </w:rPr>
  </w:style>
  <w:style w:type="paragraph" w:styleId="Betarp">
    <w:name w:val="No Spacing"/>
    <w:uiPriority w:val="1"/>
    <w:qFormat/>
    <w:rsid w:val="0069055F"/>
    <w:pPr>
      <w:spacing w:line="240" w:lineRule="auto"/>
    </w:pPr>
  </w:style>
  <w:style w:type="paragraph" w:customStyle="1" w:styleId="Default">
    <w:name w:val="Default"/>
    <w:rsid w:val="0047299C"/>
    <w:pPr>
      <w:autoSpaceDE w:val="0"/>
      <w:autoSpaceDN w:val="0"/>
      <w:adjustRightInd w:val="0"/>
      <w:spacing w:line="240" w:lineRule="auto"/>
    </w:pPr>
    <w:rPr>
      <w:rFonts w:ascii="Garamond" w:hAnsi="Garamond" w:cs="Garamond"/>
      <w:color w:val="000000"/>
      <w:sz w:val="24"/>
      <w:szCs w:val="24"/>
      <w:lang w:val="lt-LT"/>
    </w:rPr>
  </w:style>
  <w:style w:type="paragraph" w:styleId="prastasiniatinklio">
    <w:name w:val="Normal (Web)"/>
    <w:basedOn w:val="prastasis"/>
    <w:uiPriority w:val="99"/>
    <w:semiHidden/>
    <w:unhideWhenUsed/>
    <w:rsid w:val="001C2239"/>
    <w:rPr>
      <w:rFonts w:ascii="Times New Roman" w:hAnsi="Times New Roman" w:cs="Times New Roman"/>
      <w:sz w:val="24"/>
      <w:szCs w:val="24"/>
    </w:rPr>
  </w:style>
  <w:style w:type="paragraph" w:styleId="Pagrindinistekstas">
    <w:name w:val="Body Text"/>
    <w:basedOn w:val="prastasis"/>
    <w:link w:val="PagrindinistekstasDiagrama"/>
    <w:uiPriority w:val="99"/>
    <w:semiHidden/>
    <w:unhideWhenUsed/>
    <w:rsid w:val="00FE3A82"/>
    <w:pPr>
      <w:spacing w:after="120"/>
    </w:pPr>
  </w:style>
  <w:style w:type="character" w:customStyle="1" w:styleId="PagrindinistekstasDiagrama">
    <w:name w:val="Pagrindinis tekstas Diagrama"/>
    <w:basedOn w:val="Numatytasispastraiposriftas"/>
    <w:link w:val="Pagrindinistekstas"/>
    <w:uiPriority w:val="99"/>
    <w:semiHidden/>
    <w:rsid w:val="00FE3A82"/>
  </w:style>
  <w:style w:type="paragraph" w:styleId="Pagrindiniotekstotrauka3">
    <w:name w:val="Body Text Indent 3"/>
    <w:basedOn w:val="prastasis"/>
    <w:link w:val="Pagrindiniotekstotrauka3Diagrama"/>
    <w:uiPriority w:val="99"/>
    <w:semiHidden/>
    <w:unhideWhenUsed/>
    <w:rsid w:val="00EA1259"/>
    <w:pPr>
      <w:spacing w:after="120"/>
      <w:ind w:left="360"/>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EA1259"/>
    <w:rPr>
      <w:sz w:val="16"/>
      <w:szCs w:val="16"/>
    </w:rPr>
  </w:style>
  <w:style w:type="paragraph" w:styleId="Pagrindiniotekstotrauka">
    <w:name w:val="Body Text Indent"/>
    <w:basedOn w:val="prastasis"/>
    <w:link w:val="PagrindiniotekstotraukaDiagrama"/>
    <w:uiPriority w:val="99"/>
    <w:semiHidden/>
    <w:unhideWhenUsed/>
    <w:rsid w:val="003D7656"/>
    <w:pPr>
      <w:spacing w:after="120"/>
      <w:ind w:left="360"/>
    </w:pPr>
  </w:style>
  <w:style w:type="character" w:customStyle="1" w:styleId="PagrindiniotekstotraukaDiagrama">
    <w:name w:val="Pagrindinio teksto įtrauka Diagrama"/>
    <w:basedOn w:val="Numatytasispastraiposriftas"/>
    <w:link w:val="Pagrindiniotekstotrauka"/>
    <w:uiPriority w:val="99"/>
    <w:semiHidden/>
    <w:rsid w:val="003D7656"/>
  </w:style>
  <w:style w:type="table" w:styleId="Lentelstinklelis">
    <w:name w:val="Table Grid"/>
    <w:basedOn w:val="prastojilentel"/>
    <w:uiPriority w:val="39"/>
    <w:rsid w:val="004644D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3">
    <w:name w:val="Body Text 3"/>
    <w:basedOn w:val="prastasis"/>
    <w:link w:val="Pagrindinistekstas3Diagrama"/>
    <w:uiPriority w:val="99"/>
    <w:semiHidden/>
    <w:unhideWhenUsed/>
    <w:rsid w:val="00A53945"/>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A53945"/>
    <w:rPr>
      <w:sz w:val="16"/>
      <w:szCs w:val="16"/>
    </w:rPr>
  </w:style>
  <w:style w:type="character" w:customStyle="1" w:styleId="SraopastraipaDiagrama">
    <w:name w:val="Sąrašo pastraipa Diagrama"/>
    <w:aliases w:val="Table of contents numbered Diagrama,List Paragraph21 Diagrama,List Paragraph1 Diagrama,Lentele Diagrama,List Paragraph2 Diagrama,ERP-List Paragraph Diagrama,List Paragraph11 Diagrama,Bullet EY Diagrama,Buletai Diagrama"/>
    <w:link w:val="Sraopastraipa"/>
    <w:uiPriority w:val="34"/>
    <w:qFormat/>
    <w:locked/>
    <w:rsid w:val="00687055"/>
  </w:style>
  <w:style w:type="character" w:customStyle="1" w:styleId="apple-converted-space">
    <w:name w:val="apple-converted-space"/>
    <w:rsid w:val="00073C6E"/>
  </w:style>
  <w:style w:type="paragraph" w:styleId="Puslapioinaostekstas">
    <w:name w:val="footnote text"/>
    <w:aliases w:val="Footnote,Char1,atask Puslapio išnašos tekstas,Footnote Text Char Char,Footnote Char Char,Footnote Char,Footnote text,fn, Char,Footnote Text Char1 Char Char2,Footnote Text OCR Char1 Char1 Char,Footnot,Char,Ch,M Footnotes,ft"/>
    <w:basedOn w:val="prastasis"/>
    <w:link w:val="PuslapioinaostekstasDiagrama"/>
    <w:uiPriority w:val="99"/>
    <w:unhideWhenUsed/>
    <w:qFormat/>
    <w:rsid w:val="00AB35EB"/>
    <w:pPr>
      <w:spacing w:line="240" w:lineRule="auto"/>
    </w:pPr>
    <w:rPr>
      <w:sz w:val="20"/>
      <w:szCs w:val="20"/>
    </w:rPr>
  </w:style>
  <w:style w:type="character" w:customStyle="1" w:styleId="PuslapioinaostekstasDiagrama">
    <w:name w:val="Puslapio išnašos tekstas Diagrama"/>
    <w:aliases w:val="Footnote Diagrama,Char1 Diagrama,atask Puslapio išnašos tekstas Diagrama,Footnote Text Char Char Diagrama,Footnote Char Char Diagrama,Footnote Char Diagrama,Footnote text Diagrama,fn Diagrama, Char Diagrama,Ch Diagrama"/>
    <w:basedOn w:val="Numatytasispastraiposriftas"/>
    <w:link w:val="Puslapioinaostekstas"/>
    <w:uiPriority w:val="99"/>
    <w:rsid w:val="00AB35EB"/>
    <w:rPr>
      <w:sz w:val="20"/>
      <w:szCs w:val="20"/>
    </w:rPr>
  </w:style>
  <w:style w:type="character" w:styleId="Puslapioinaosnuoroda">
    <w:name w:val="footnote reference"/>
    <w:aliases w:val="Išnaša,Footnote symbol,BVI fnr,Footnote Reference Superscript,Footnote reference number,Times 10 Point,Exposant 3 Point,Ref,de nota al pie,note TESI,SUPERS,EN Footnote text,EN Footnote Reference,No,fr,o,FR,Style 3,Style 124"/>
    <w:basedOn w:val="Numatytasispastraiposriftas"/>
    <w:qFormat/>
    <w:rsid w:val="00AB35EB"/>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0426">
      <w:bodyDiv w:val="1"/>
      <w:marLeft w:val="0"/>
      <w:marRight w:val="0"/>
      <w:marTop w:val="0"/>
      <w:marBottom w:val="0"/>
      <w:divBdr>
        <w:top w:val="none" w:sz="0" w:space="0" w:color="auto"/>
        <w:left w:val="none" w:sz="0" w:space="0" w:color="auto"/>
        <w:bottom w:val="none" w:sz="0" w:space="0" w:color="auto"/>
        <w:right w:val="none" w:sz="0" w:space="0" w:color="auto"/>
      </w:divBdr>
    </w:div>
    <w:div w:id="10228908">
      <w:bodyDiv w:val="1"/>
      <w:marLeft w:val="0"/>
      <w:marRight w:val="0"/>
      <w:marTop w:val="0"/>
      <w:marBottom w:val="0"/>
      <w:divBdr>
        <w:top w:val="none" w:sz="0" w:space="0" w:color="auto"/>
        <w:left w:val="none" w:sz="0" w:space="0" w:color="auto"/>
        <w:bottom w:val="none" w:sz="0" w:space="0" w:color="auto"/>
        <w:right w:val="none" w:sz="0" w:space="0" w:color="auto"/>
      </w:divBdr>
    </w:div>
    <w:div w:id="32733909">
      <w:bodyDiv w:val="1"/>
      <w:marLeft w:val="0"/>
      <w:marRight w:val="0"/>
      <w:marTop w:val="0"/>
      <w:marBottom w:val="0"/>
      <w:divBdr>
        <w:top w:val="none" w:sz="0" w:space="0" w:color="auto"/>
        <w:left w:val="none" w:sz="0" w:space="0" w:color="auto"/>
        <w:bottom w:val="none" w:sz="0" w:space="0" w:color="auto"/>
        <w:right w:val="none" w:sz="0" w:space="0" w:color="auto"/>
      </w:divBdr>
    </w:div>
    <w:div w:id="38481723">
      <w:bodyDiv w:val="1"/>
      <w:marLeft w:val="0"/>
      <w:marRight w:val="0"/>
      <w:marTop w:val="0"/>
      <w:marBottom w:val="0"/>
      <w:divBdr>
        <w:top w:val="none" w:sz="0" w:space="0" w:color="auto"/>
        <w:left w:val="none" w:sz="0" w:space="0" w:color="auto"/>
        <w:bottom w:val="none" w:sz="0" w:space="0" w:color="auto"/>
        <w:right w:val="none" w:sz="0" w:space="0" w:color="auto"/>
      </w:divBdr>
    </w:div>
    <w:div w:id="39935816">
      <w:bodyDiv w:val="1"/>
      <w:marLeft w:val="0"/>
      <w:marRight w:val="0"/>
      <w:marTop w:val="0"/>
      <w:marBottom w:val="0"/>
      <w:divBdr>
        <w:top w:val="none" w:sz="0" w:space="0" w:color="auto"/>
        <w:left w:val="none" w:sz="0" w:space="0" w:color="auto"/>
        <w:bottom w:val="none" w:sz="0" w:space="0" w:color="auto"/>
        <w:right w:val="none" w:sz="0" w:space="0" w:color="auto"/>
      </w:divBdr>
    </w:div>
    <w:div w:id="46952000">
      <w:bodyDiv w:val="1"/>
      <w:marLeft w:val="0"/>
      <w:marRight w:val="0"/>
      <w:marTop w:val="0"/>
      <w:marBottom w:val="0"/>
      <w:divBdr>
        <w:top w:val="none" w:sz="0" w:space="0" w:color="auto"/>
        <w:left w:val="none" w:sz="0" w:space="0" w:color="auto"/>
        <w:bottom w:val="none" w:sz="0" w:space="0" w:color="auto"/>
        <w:right w:val="none" w:sz="0" w:space="0" w:color="auto"/>
      </w:divBdr>
    </w:div>
    <w:div w:id="62870297">
      <w:bodyDiv w:val="1"/>
      <w:marLeft w:val="0"/>
      <w:marRight w:val="0"/>
      <w:marTop w:val="0"/>
      <w:marBottom w:val="0"/>
      <w:divBdr>
        <w:top w:val="none" w:sz="0" w:space="0" w:color="auto"/>
        <w:left w:val="none" w:sz="0" w:space="0" w:color="auto"/>
        <w:bottom w:val="none" w:sz="0" w:space="0" w:color="auto"/>
        <w:right w:val="none" w:sz="0" w:space="0" w:color="auto"/>
      </w:divBdr>
    </w:div>
    <w:div w:id="70197927">
      <w:bodyDiv w:val="1"/>
      <w:marLeft w:val="0"/>
      <w:marRight w:val="0"/>
      <w:marTop w:val="0"/>
      <w:marBottom w:val="0"/>
      <w:divBdr>
        <w:top w:val="none" w:sz="0" w:space="0" w:color="auto"/>
        <w:left w:val="none" w:sz="0" w:space="0" w:color="auto"/>
        <w:bottom w:val="none" w:sz="0" w:space="0" w:color="auto"/>
        <w:right w:val="none" w:sz="0" w:space="0" w:color="auto"/>
      </w:divBdr>
    </w:div>
    <w:div w:id="93014401">
      <w:bodyDiv w:val="1"/>
      <w:marLeft w:val="0"/>
      <w:marRight w:val="0"/>
      <w:marTop w:val="0"/>
      <w:marBottom w:val="0"/>
      <w:divBdr>
        <w:top w:val="none" w:sz="0" w:space="0" w:color="auto"/>
        <w:left w:val="none" w:sz="0" w:space="0" w:color="auto"/>
        <w:bottom w:val="none" w:sz="0" w:space="0" w:color="auto"/>
        <w:right w:val="none" w:sz="0" w:space="0" w:color="auto"/>
      </w:divBdr>
    </w:div>
    <w:div w:id="94984066">
      <w:bodyDiv w:val="1"/>
      <w:marLeft w:val="0"/>
      <w:marRight w:val="0"/>
      <w:marTop w:val="0"/>
      <w:marBottom w:val="0"/>
      <w:divBdr>
        <w:top w:val="none" w:sz="0" w:space="0" w:color="auto"/>
        <w:left w:val="none" w:sz="0" w:space="0" w:color="auto"/>
        <w:bottom w:val="none" w:sz="0" w:space="0" w:color="auto"/>
        <w:right w:val="none" w:sz="0" w:space="0" w:color="auto"/>
      </w:divBdr>
    </w:div>
    <w:div w:id="96220356">
      <w:bodyDiv w:val="1"/>
      <w:marLeft w:val="0"/>
      <w:marRight w:val="0"/>
      <w:marTop w:val="0"/>
      <w:marBottom w:val="0"/>
      <w:divBdr>
        <w:top w:val="none" w:sz="0" w:space="0" w:color="auto"/>
        <w:left w:val="none" w:sz="0" w:space="0" w:color="auto"/>
        <w:bottom w:val="none" w:sz="0" w:space="0" w:color="auto"/>
        <w:right w:val="none" w:sz="0" w:space="0" w:color="auto"/>
      </w:divBdr>
    </w:div>
    <w:div w:id="121846688">
      <w:bodyDiv w:val="1"/>
      <w:marLeft w:val="0"/>
      <w:marRight w:val="0"/>
      <w:marTop w:val="0"/>
      <w:marBottom w:val="0"/>
      <w:divBdr>
        <w:top w:val="none" w:sz="0" w:space="0" w:color="auto"/>
        <w:left w:val="none" w:sz="0" w:space="0" w:color="auto"/>
        <w:bottom w:val="none" w:sz="0" w:space="0" w:color="auto"/>
        <w:right w:val="none" w:sz="0" w:space="0" w:color="auto"/>
      </w:divBdr>
    </w:div>
    <w:div w:id="142623338">
      <w:bodyDiv w:val="1"/>
      <w:marLeft w:val="0"/>
      <w:marRight w:val="0"/>
      <w:marTop w:val="0"/>
      <w:marBottom w:val="0"/>
      <w:divBdr>
        <w:top w:val="none" w:sz="0" w:space="0" w:color="auto"/>
        <w:left w:val="none" w:sz="0" w:space="0" w:color="auto"/>
        <w:bottom w:val="none" w:sz="0" w:space="0" w:color="auto"/>
        <w:right w:val="none" w:sz="0" w:space="0" w:color="auto"/>
      </w:divBdr>
    </w:div>
    <w:div w:id="145514504">
      <w:bodyDiv w:val="1"/>
      <w:marLeft w:val="0"/>
      <w:marRight w:val="0"/>
      <w:marTop w:val="0"/>
      <w:marBottom w:val="0"/>
      <w:divBdr>
        <w:top w:val="none" w:sz="0" w:space="0" w:color="auto"/>
        <w:left w:val="none" w:sz="0" w:space="0" w:color="auto"/>
        <w:bottom w:val="none" w:sz="0" w:space="0" w:color="auto"/>
        <w:right w:val="none" w:sz="0" w:space="0" w:color="auto"/>
      </w:divBdr>
      <w:divsChild>
        <w:div w:id="525018862">
          <w:marLeft w:val="0"/>
          <w:marRight w:val="0"/>
          <w:marTop w:val="0"/>
          <w:marBottom w:val="0"/>
          <w:divBdr>
            <w:top w:val="none" w:sz="0" w:space="0" w:color="auto"/>
            <w:left w:val="none" w:sz="0" w:space="0" w:color="auto"/>
            <w:bottom w:val="none" w:sz="0" w:space="0" w:color="auto"/>
            <w:right w:val="none" w:sz="0" w:space="0" w:color="auto"/>
          </w:divBdr>
        </w:div>
      </w:divsChild>
    </w:div>
    <w:div w:id="146216159">
      <w:bodyDiv w:val="1"/>
      <w:marLeft w:val="0"/>
      <w:marRight w:val="0"/>
      <w:marTop w:val="0"/>
      <w:marBottom w:val="0"/>
      <w:divBdr>
        <w:top w:val="none" w:sz="0" w:space="0" w:color="auto"/>
        <w:left w:val="none" w:sz="0" w:space="0" w:color="auto"/>
        <w:bottom w:val="none" w:sz="0" w:space="0" w:color="auto"/>
        <w:right w:val="none" w:sz="0" w:space="0" w:color="auto"/>
      </w:divBdr>
    </w:div>
    <w:div w:id="159541269">
      <w:bodyDiv w:val="1"/>
      <w:marLeft w:val="0"/>
      <w:marRight w:val="0"/>
      <w:marTop w:val="0"/>
      <w:marBottom w:val="0"/>
      <w:divBdr>
        <w:top w:val="none" w:sz="0" w:space="0" w:color="auto"/>
        <w:left w:val="none" w:sz="0" w:space="0" w:color="auto"/>
        <w:bottom w:val="none" w:sz="0" w:space="0" w:color="auto"/>
        <w:right w:val="none" w:sz="0" w:space="0" w:color="auto"/>
      </w:divBdr>
    </w:div>
    <w:div w:id="178785762">
      <w:bodyDiv w:val="1"/>
      <w:marLeft w:val="0"/>
      <w:marRight w:val="0"/>
      <w:marTop w:val="0"/>
      <w:marBottom w:val="0"/>
      <w:divBdr>
        <w:top w:val="none" w:sz="0" w:space="0" w:color="auto"/>
        <w:left w:val="none" w:sz="0" w:space="0" w:color="auto"/>
        <w:bottom w:val="none" w:sz="0" w:space="0" w:color="auto"/>
        <w:right w:val="none" w:sz="0" w:space="0" w:color="auto"/>
      </w:divBdr>
    </w:div>
    <w:div w:id="184096766">
      <w:bodyDiv w:val="1"/>
      <w:marLeft w:val="0"/>
      <w:marRight w:val="0"/>
      <w:marTop w:val="0"/>
      <w:marBottom w:val="0"/>
      <w:divBdr>
        <w:top w:val="none" w:sz="0" w:space="0" w:color="auto"/>
        <w:left w:val="none" w:sz="0" w:space="0" w:color="auto"/>
        <w:bottom w:val="none" w:sz="0" w:space="0" w:color="auto"/>
        <w:right w:val="none" w:sz="0" w:space="0" w:color="auto"/>
      </w:divBdr>
    </w:div>
    <w:div w:id="242108443">
      <w:bodyDiv w:val="1"/>
      <w:marLeft w:val="0"/>
      <w:marRight w:val="0"/>
      <w:marTop w:val="0"/>
      <w:marBottom w:val="0"/>
      <w:divBdr>
        <w:top w:val="none" w:sz="0" w:space="0" w:color="auto"/>
        <w:left w:val="none" w:sz="0" w:space="0" w:color="auto"/>
        <w:bottom w:val="none" w:sz="0" w:space="0" w:color="auto"/>
        <w:right w:val="none" w:sz="0" w:space="0" w:color="auto"/>
      </w:divBdr>
    </w:div>
    <w:div w:id="263149853">
      <w:bodyDiv w:val="1"/>
      <w:marLeft w:val="0"/>
      <w:marRight w:val="0"/>
      <w:marTop w:val="0"/>
      <w:marBottom w:val="0"/>
      <w:divBdr>
        <w:top w:val="none" w:sz="0" w:space="0" w:color="auto"/>
        <w:left w:val="none" w:sz="0" w:space="0" w:color="auto"/>
        <w:bottom w:val="none" w:sz="0" w:space="0" w:color="auto"/>
        <w:right w:val="none" w:sz="0" w:space="0" w:color="auto"/>
      </w:divBdr>
    </w:div>
    <w:div w:id="293828226">
      <w:bodyDiv w:val="1"/>
      <w:marLeft w:val="0"/>
      <w:marRight w:val="0"/>
      <w:marTop w:val="0"/>
      <w:marBottom w:val="0"/>
      <w:divBdr>
        <w:top w:val="none" w:sz="0" w:space="0" w:color="auto"/>
        <w:left w:val="none" w:sz="0" w:space="0" w:color="auto"/>
        <w:bottom w:val="none" w:sz="0" w:space="0" w:color="auto"/>
        <w:right w:val="none" w:sz="0" w:space="0" w:color="auto"/>
      </w:divBdr>
    </w:div>
    <w:div w:id="294454761">
      <w:bodyDiv w:val="1"/>
      <w:marLeft w:val="0"/>
      <w:marRight w:val="0"/>
      <w:marTop w:val="0"/>
      <w:marBottom w:val="0"/>
      <w:divBdr>
        <w:top w:val="none" w:sz="0" w:space="0" w:color="auto"/>
        <w:left w:val="none" w:sz="0" w:space="0" w:color="auto"/>
        <w:bottom w:val="none" w:sz="0" w:space="0" w:color="auto"/>
        <w:right w:val="none" w:sz="0" w:space="0" w:color="auto"/>
      </w:divBdr>
    </w:div>
    <w:div w:id="327757977">
      <w:bodyDiv w:val="1"/>
      <w:marLeft w:val="0"/>
      <w:marRight w:val="0"/>
      <w:marTop w:val="0"/>
      <w:marBottom w:val="0"/>
      <w:divBdr>
        <w:top w:val="none" w:sz="0" w:space="0" w:color="auto"/>
        <w:left w:val="none" w:sz="0" w:space="0" w:color="auto"/>
        <w:bottom w:val="none" w:sz="0" w:space="0" w:color="auto"/>
        <w:right w:val="none" w:sz="0" w:space="0" w:color="auto"/>
      </w:divBdr>
    </w:div>
    <w:div w:id="329329708">
      <w:bodyDiv w:val="1"/>
      <w:marLeft w:val="0"/>
      <w:marRight w:val="0"/>
      <w:marTop w:val="0"/>
      <w:marBottom w:val="0"/>
      <w:divBdr>
        <w:top w:val="none" w:sz="0" w:space="0" w:color="auto"/>
        <w:left w:val="none" w:sz="0" w:space="0" w:color="auto"/>
        <w:bottom w:val="none" w:sz="0" w:space="0" w:color="auto"/>
        <w:right w:val="none" w:sz="0" w:space="0" w:color="auto"/>
      </w:divBdr>
    </w:div>
    <w:div w:id="350106785">
      <w:bodyDiv w:val="1"/>
      <w:marLeft w:val="0"/>
      <w:marRight w:val="0"/>
      <w:marTop w:val="0"/>
      <w:marBottom w:val="0"/>
      <w:divBdr>
        <w:top w:val="none" w:sz="0" w:space="0" w:color="auto"/>
        <w:left w:val="none" w:sz="0" w:space="0" w:color="auto"/>
        <w:bottom w:val="none" w:sz="0" w:space="0" w:color="auto"/>
        <w:right w:val="none" w:sz="0" w:space="0" w:color="auto"/>
      </w:divBdr>
    </w:div>
    <w:div w:id="376663514">
      <w:bodyDiv w:val="1"/>
      <w:marLeft w:val="0"/>
      <w:marRight w:val="0"/>
      <w:marTop w:val="0"/>
      <w:marBottom w:val="0"/>
      <w:divBdr>
        <w:top w:val="none" w:sz="0" w:space="0" w:color="auto"/>
        <w:left w:val="none" w:sz="0" w:space="0" w:color="auto"/>
        <w:bottom w:val="none" w:sz="0" w:space="0" w:color="auto"/>
        <w:right w:val="none" w:sz="0" w:space="0" w:color="auto"/>
      </w:divBdr>
    </w:div>
    <w:div w:id="378479642">
      <w:bodyDiv w:val="1"/>
      <w:marLeft w:val="0"/>
      <w:marRight w:val="0"/>
      <w:marTop w:val="0"/>
      <w:marBottom w:val="0"/>
      <w:divBdr>
        <w:top w:val="none" w:sz="0" w:space="0" w:color="auto"/>
        <w:left w:val="none" w:sz="0" w:space="0" w:color="auto"/>
        <w:bottom w:val="none" w:sz="0" w:space="0" w:color="auto"/>
        <w:right w:val="none" w:sz="0" w:space="0" w:color="auto"/>
      </w:divBdr>
      <w:divsChild>
        <w:div w:id="1024676820">
          <w:marLeft w:val="0"/>
          <w:marRight w:val="0"/>
          <w:marTop w:val="0"/>
          <w:marBottom w:val="0"/>
          <w:divBdr>
            <w:top w:val="none" w:sz="0" w:space="0" w:color="auto"/>
            <w:left w:val="none" w:sz="0" w:space="0" w:color="auto"/>
            <w:bottom w:val="none" w:sz="0" w:space="0" w:color="auto"/>
            <w:right w:val="none" w:sz="0" w:space="0" w:color="auto"/>
          </w:divBdr>
        </w:div>
        <w:div w:id="1061363630">
          <w:marLeft w:val="0"/>
          <w:marRight w:val="0"/>
          <w:marTop w:val="0"/>
          <w:marBottom w:val="0"/>
          <w:divBdr>
            <w:top w:val="none" w:sz="0" w:space="0" w:color="auto"/>
            <w:left w:val="none" w:sz="0" w:space="0" w:color="auto"/>
            <w:bottom w:val="none" w:sz="0" w:space="0" w:color="auto"/>
            <w:right w:val="none" w:sz="0" w:space="0" w:color="auto"/>
          </w:divBdr>
        </w:div>
        <w:div w:id="1633094325">
          <w:marLeft w:val="0"/>
          <w:marRight w:val="0"/>
          <w:marTop w:val="0"/>
          <w:marBottom w:val="0"/>
          <w:divBdr>
            <w:top w:val="none" w:sz="0" w:space="0" w:color="auto"/>
            <w:left w:val="none" w:sz="0" w:space="0" w:color="auto"/>
            <w:bottom w:val="none" w:sz="0" w:space="0" w:color="auto"/>
            <w:right w:val="none" w:sz="0" w:space="0" w:color="auto"/>
          </w:divBdr>
        </w:div>
      </w:divsChild>
    </w:div>
    <w:div w:id="379986589">
      <w:bodyDiv w:val="1"/>
      <w:marLeft w:val="0"/>
      <w:marRight w:val="0"/>
      <w:marTop w:val="0"/>
      <w:marBottom w:val="0"/>
      <w:divBdr>
        <w:top w:val="none" w:sz="0" w:space="0" w:color="auto"/>
        <w:left w:val="none" w:sz="0" w:space="0" w:color="auto"/>
        <w:bottom w:val="none" w:sz="0" w:space="0" w:color="auto"/>
        <w:right w:val="none" w:sz="0" w:space="0" w:color="auto"/>
      </w:divBdr>
    </w:div>
    <w:div w:id="394010824">
      <w:bodyDiv w:val="1"/>
      <w:marLeft w:val="0"/>
      <w:marRight w:val="0"/>
      <w:marTop w:val="0"/>
      <w:marBottom w:val="0"/>
      <w:divBdr>
        <w:top w:val="none" w:sz="0" w:space="0" w:color="auto"/>
        <w:left w:val="none" w:sz="0" w:space="0" w:color="auto"/>
        <w:bottom w:val="none" w:sz="0" w:space="0" w:color="auto"/>
        <w:right w:val="none" w:sz="0" w:space="0" w:color="auto"/>
      </w:divBdr>
    </w:div>
    <w:div w:id="395011299">
      <w:bodyDiv w:val="1"/>
      <w:marLeft w:val="0"/>
      <w:marRight w:val="0"/>
      <w:marTop w:val="0"/>
      <w:marBottom w:val="0"/>
      <w:divBdr>
        <w:top w:val="none" w:sz="0" w:space="0" w:color="auto"/>
        <w:left w:val="none" w:sz="0" w:space="0" w:color="auto"/>
        <w:bottom w:val="none" w:sz="0" w:space="0" w:color="auto"/>
        <w:right w:val="none" w:sz="0" w:space="0" w:color="auto"/>
      </w:divBdr>
    </w:div>
    <w:div w:id="409618443">
      <w:bodyDiv w:val="1"/>
      <w:marLeft w:val="0"/>
      <w:marRight w:val="0"/>
      <w:marTop w:val="0"/>
      <w:marBottom w:val="0"/>
      <w:divBdr>
        <w:top w:val="none" w:sz="0" w:space="0" w:color="auto"/>
        <w:left w:val="none" w:sz="0" w:space="0" w:color="auto"/>
        <w:bottom w:val="none" w:sz="0" w:space="0" w:color="auto"/>
        <w:right w:val="none" w:sz="0" w:space="0" w:color="auto"/>
      </w:divBdr>
    </w:div>
    <w:div w:id="443888964">
      <w:bodyDiv w:val="1"/>
      <w:marLeft w:val="0"/>
      <w:marRight w:val="0"/>
      <w:marTop w:val="0"/>
      <w:marBottom w:val="0"/>
      <w:divBdr>
        <w:top w:val="none" w:sz="0" w:space="0" w:color="auto"/>
        <w:left w:val="none" w:sz="0" w:space="0" w:color="auto"/>
        <w:bottom w:val="none" w:sz="0" w:space="0" w:color="auto"/>
        <w:right w:val="none" w:sz="0" w:space="0" w:color="auto"/>
      </w:divBdr>
    </w:div>
    <w:div w:id="453597524">
      <w:bodyDiv w:val="1"/>
      <w:marLeft w:val="0"/>
      <w:marRight w:val="0"/>
      <w:marTop w:val="0"/>
      <w:marBottom w:val="0"/>
      <w:divBdr>
        <w:top w:val="none" w:sz="0" w:space="0" w:color="auto"/>
        <w:left w:val="none" w:sz="0" w:space="0" w:color="auto"/>
        <w:bottom w:val="none" w:sz="0" w:space="0" w:color="auto"/>
        <w:right w:val="none" w:sz="0" w:space="0" w:color="auto"/>
      </w:divBdr>
    </w:div>
    <w:div w:id="467629967">
      <w:bodyDiv w:val="1"/>
      <w:marLeft w:val="0"/>
      <w:marRight w:val="0"/>
      <w:marTop w:val="0"/>
      <w:marBottom w:val="0"/>
      <w:divBdr>
        <w:top w:val="none" w:sz="0" w:space="0" w:color="auto"/>
        <w:left w:val="none" w:sz="0" w:space="0" w:color="auto"/>
        <w:bottom w:val="none" w:sz="0" w:space="0" w:color="auto"/>
        <w:right w:val="none" w:sz="0" w:space="0" w:color="auto"/>
      </w:divBdr>
      <w:divsChild>
        <w:div w:id="238293952">
          <w:marLeft w:val="0"/>
          <w:marRight w:val="0"/>
          <w:marTop w:val="0"/>
          <w:marBottom w:val="0"/>
          <w:divBdr>
            <w:top w:val="none" w:sz="0" w:space="0" w:color="auto"/>
            <w:left w:val="none" w:sz="0" w:space="0" w:color="auto"/>
            <w:bottom w:val="none" w:sz="0" w:space="0" w:color="auto"/>
            <w:right w:val="none" w:sz="0" w:space="0" w:color="auto"/>
          </w:divBdr>
        </w:div>
        <w:div w:id="476654401">
          <w:marLeft w:val="0"/>
          <w:marRight w:val="0"/>
          <w:marTop w:val="0"/>
          <w:marBottom w:val="0"/>
          <w:divBdr>
            <w:top w:val="none" w:sz="0" w:space="0" w:color="auto"/>
            <w:left w:val="none" w:sz="0" w:space="0" w:color="auto"/>
            <w:bottom w:val="none" w:sz="0" w:space="0" w:color="auto"/>
            <w:right w:val="none" w:sz="0" w:space="0" w:color="auto"/>
          </w:divBdr>
        </w:div>
        <w:div w:id="783765564">
          <w:marLeft w:val="0"/>
          <w:marRight w:val="0"/>
          <w:marTop w:val="0"/>
          <w:marBottom w:val="0"/>
          <w:divBdr>
            <w:top w:val="none" w:sz="0" w:space="0" w:color="auto"/>
            <w:left w:val="none" w:sz="0" w:space="0" w:color="auto"/>
            <w:bottom w:val="none" w:sz="0" w:space="0" w:color="auto"/>
            <w:right w:val="none" w:sz="0" w:space="0" w:color="auto"/>
          </w:divBdr>
        </w:div>
        <w:div w:id="1181359420">
          <w:marLeft w:val="0"/>
          <w:marRight w:val="0"/>
          <w:marTop w:val="0"/>
          <w:marBottom w:val="0"/>
          <w:divBdr>
            <w:top w:val="none" w:sz="0" w:space="0" w:color="auto"/>
            <w:left w:val="none" w:sz="0" w:space="0" w:color="auto"/>
            <w:bottom w:val="none" w:sz="0" w:space="0" w:color="auto"/>
            <w:right w:val="none" w:sz="0" w:space="0" w:color="auto"/>
          </w:divBdr>
          <w:divsChild>
            <w:div w:id="726953620">
              <w:marLeft w:val="0"/>
              <w:marRight w:val="0"/>
              <w:marTop w:val="0"/>
              <w:marBottom w:val="0"/>
              <w:divBdr>
                <w:top w:val="none" w:sz="0" w:space="0" w:color="auto"/>
                <w:left w:val="none" w:sz="0" w:space="0" w:color="auto"/>
                <w:bottom w:val="none" w:sz="0" w:space="0" w:color="auto"/>
                <w:right w:val="none" w:sz="0" w:space="0" w:color="auto"/>
              </w:divBdr>
            </w:div>
            <w:div w:id="1315527621">
              <w:marLeft w:val="0"/>
              <w:marRight w:val="0"/>
              <w:marTop w:val="0"/>
              <w:marBottom w:val="0"/>
              <w:divBdr>
                <w:top w:val="none" w:sz="0" w:space="0" w:color="auto"/>
                <w:left w:val="none" w:sz="0" w:space="0" w:color="auto"/>
                <w:bottom w:val="none" w:sz="0" w:space="0" w:color="auto"/>
                <w:right w:val="none" w:sz="0" w:space="0" w:color="auto"/>
              </w:divBdr>
            </w:div>
            <w:div w:id="213132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72563">
      <w:bodyDiv w:val="1"/>
      <w:marLeft w:val="0"/>
      <w:marRight w:val="0"/>
      <w:marTop w:val="0"/>
      <w:marBottom w:val="0"/>
      <w:divBdr>
        <w:top w:val="none" w:sz="0" w:space="0" w:color="auto"/>
        <w:left w:val="none" w:sz="0" w:space="0" w:color="auto"/>
        <w:bottom w:val="none" w:sz="0" w:space="0" w:color="auto"/>
        <w:right w:val="none" w:sz="0" w:space="0" w:color="auto"/>
      </w:divBdr>
    </w:div>
    <w:div w:id="538975108">
      <w:bodyDiv w:val="1"/>
      <w:marLeft w:val="0"/>
      <w:marRight w:val="0"/>
      <w:marTop w:val="0"/>
      <w:marBottom w:val="0"/>
      <w:divBdr>
        <w:top w:val="none" w:sz="0" w:space="0" w:color="auto"/>
        <w:left w:val="none" w:sz="0" w:space="0" w:color="auto"/>
        <w:bottom w:val="none" w:sz="0" w:space="0" w:color="auto"/>
        <w:right w:val="none" w:sz="0" w:space="0" w:color="auto"/>
      </w:divBdr>
    </w:div>
    <w:div w:id="560411338">
      <w:bodyDiv w:val="1"/>
      <w:marLeft w:val="0"/>
      <w:marRight w:val="0"/>
      <w:marTop w:val="0"/>
      <w:marBottom w:val="0"/>
      <w:divBdr>
        <w:top w:val="none" w:sz="0" w:space="0" w:color="auto"/>
        <w:left w:val="none" w:sz="0" w:space="0" w:color="auto"/>
        <w:bottom w:val="none" w:sz="0" w:space="0" w:color="auto"/>
        <w:right w:val="none" w:sz="0" w:space="0" w:color="auto"/>
      </w:divBdr>
    </w:div>
    <w:div w:id="563024122">
      <w:bodyDiv w:val="1"/>
      <w:marLeft w:val="0"/>
      <w:marRight w:val="0"/>
      <w:marTop w:val="0"/>
      <w:marBottom w:val="0"/>
      <w:divBdr>
        <w:top w:val="none" w:sz="0" w:space="0" w:color="auto"/>
        <w:left w:val="none" w:sz="0" w:space="0" w:color="auto"/>
        <w:bottom w:val="none" w:sz="0" w:space="0" w:color="auto"/>
        <w:right w:val="none" w:sz="0" w:space="0" w:color="auto"/>
      </w:divBdr>
      <w:divsChild>
        <w:div w:id="135803839">
          <w:marLeft w:val="0"/>
          <w:marRight w:val="0"/>
          <w:marTop w:val="0"/>
          <w:marBottom w:val="0"/>
          <w:divBdr>
            <w:top w:val="none" w:sz="0" w:space="0" w:color="auto"/>
            <w:left w:val="none" w:sz="0" w:space="0" w:color="auto"/>
            <w:bottom w:val="none" w:sz="0" w:space="0" w:color="auto"/>
            <w:right w:val="none" w:sz="0" w:space="0" w:color="auto"/>
          </w:divBdr>
        </w:div>
        <w:div w:id="908073783">
          <w:marLeft w:val="0"/>
          <w:marRight w:val="0"/>
          <w:marTop w:val="0"/>
          <w:marBottom w:val="0"/>
          <w:divBdr>
            <w:top w:val="none" w:sz="0" w:space="0" w:color="auto"/>
            <w:left w:val="none" w:sz="0" w:space="0" w:color="auto"/>
            <w:bottom w:val="none" w:sz="0" w:space="0" w:color="auto"/>
            <w:right w:val="none" w:sz="0" w:space="0" w:color="auto"/>
          </w:divBdr>
        </w:div>
      </w:divsChild>
    </w:div>
    <w:div w:id="565605862">
      <w:bodyDiv w:val="1"/>
      <w:marLeft w:val="0"/>
      <w:marRight w:val="0"/>
      <w:marTop w:val="0"/>
      <w:marBottom w:val="0"/>
      <w:divBdr>
        <w:top w:val="none" w:sz="0" w:space="0" w:color="auto"/>
        <w:left w:val="none" w:sz="0" w:space="0" w:color="auto"/>
        <w:bottom w:val="none" w:sz="0" w:space="0" w:color="auto"/>
        <w:right w:val="none" w:sz="0" w:space="0" w:color="auto"/>
      </w:divBdr>
    </w:div>
    <w:div w:id="591855904">
      <w:bodyDiv w:val="1"/>
      <w:marLeft w:val="0"/>
      <w:marRight w:val="0"/>
      <w:marTop w:val="0"/>
      <w:marBottom w:val="0"/>
      <w:divBdr>
        <w:top w:val="none" w:sz="0" w:space="0" w:color="auto"/>
        <w:left w:val="none" w:sz="0" w:space="0" w:color="auto"/>
        <w:bottom w:val="none" w:sz="0" w:space="0" w:color="auto"/>
        <w:right w:val="none" w:sz="0" w:space="0" w:color="auto"/>
      </w:divBdr>
    </w:div>
    <w:div w:id="613560727">
      <w:bodyDiv w:val="1"/>
      <w:marLeft w:val="0"/>
      <w:marRight w:val="0"/>
      <w:marTop w:val="0"/>
      <w:marBottom w:val="0"/>
      <w:divBdr>
        <w:top w:val="none" w:sz="0" w:space="0" w:color="auto"/>
        <w:left w:val="none" w:sz="0" w:space="0" w:color="auto"/>
        <w:bottom w:val="none" w:sz="0" w:space="0" w:color="auto"/>
        <w:right w:val="none" w:sz="0" w:space="0" w:color="auto"/>
      </w:divBdr>
    </w:div>
    <w:div w:id="665282167">
      <w:bodyDiv w:val="1"/>
      <w:marLeft w:val="0"/>
      <w:marRight w:val="0"/>
      <w:marTop w:val="0"/>
      <w:marBottom w:val="0"/>
      <w:divBdr>
        <w:top w:val="none" w:sz="0" w:space="0" w:color="auto"/>
        <w:left w:val="none" w:sz="0" w:space="0" w:color="auto"/>
        <w:bottom w:val="none" w:sz="0" w:space="0" w:color="auto"/>
        <w:right w:val="none" w:sz="0" w:space="0" w:color="auto"/>
      </w:divBdr>
    </w:div>
    <w:div w:id="683242167">
      <w:bodyDiv w:val="1"/>
      <w:marLeft w:val="0"/>
      <w:marRight w:val="0"/>
      <w:marTop w:val="0"/>
      <w:marBottom w:val="0"/>
      <w:divBdr>
        <w:top w:val="none" w:sz="0" w:space="0" w:color="auto"/>
        <w:left w:val="none" w:sz="0" w:space="0" w:color="auto"/>
        <w:bottom w:val="none" w:sz="0" w:space="0" w:color="auto"/>
        <w:right w:val="none" w:sz="0" w:space="0" w:color="auto"/>
      </w:divBdr>
    </w:div>
    <w:div w:id="685405152">
      <w:bodyDiv w:val="1"/>
      <w:marLeft w:val="0"/>
      <w:marRight w:val="0"/>
      <w:marTop w:val="0"/>
      <w:marBottom w:val="0"/>
      <w:divBdr>
        <w:top w:val="none" w:sz="0" w:space="0" w:color="auto"/>
        <w:left w:val="none" w:sz="0" w:space="0" w:color="auto"/>
        <w:bottom w:val="none" w:sz="0" w:space="0" w:color="auto"/>
        <w:right w:val="none" w:sz="0" w:space="0" w:color="auto"/>
      </w:divBdr>
    </w:div>
    <w:div w:id="697435315">
      <w:bodyDiv w:val="1"/>
      <w:marLeft w:val="0"/>
      <w:marRight w:val="0"/>
      <w:marTop w:val="0"/>
      <w:marBottom w:val="0"/>
      <w:divBdr>
        <w:top w:val="none" w:sz="0" w:space="0" w:color="auto"/>
        <w:left w:val="none" w:sz="0" w:space="0" w:color="auto"/>
        <w:bottom w:val="none" w:sz="0" w:space="0" w:color="auto"/>
        <w:right w:val="none" w:sz="0" w:space="0" w:color="auto"/>
      </w:divBdr>
    </w:div>
    <w:div w:id="708341874">
      <w:bodyDiv w:val="1"/>
      <w:marLeft w:val="0"/>
      <w:marRight w:val="0"/>
      <w:marTop w:val="0"/>
      <w:marBottom w:val="0"/>
      <w:divBdr>
        <w:top w:val="none" w:sz="0" w:space="0" w:color="auto"/>
        <w:left w:val="none" w:sz="0" w:space="0" w:color="auto"/>
        <w:bottom w:val="none" w:sz="0" w:space="0" w:color="auto"/>
        <w:right w:val="none" w:sz="0" w:space="0" w:color="auto"/>
      </w:divBdr>
      <w:divsChild>
        <w:div w:id="1063483265">
          <w:marLeft w:val="0"/>
          <w:marRight w:val="0"/>
          <w:marTop w:val="0"/>
          <w:marBottom w:val="0"/>
          <w:divBdr>
            <w:top w:val="none" w:sz="0" w:space="0" w:color="auto"/>
            <w:left w:val="none" w:sz="0" w:space="0" w:color="auto"/>
            <w:bottom w:val="none" w:sz="0" w:space="0" w:color="auto"/>
            <w:right w:val="none" w:sz="0" w:space="0" w:color="auto"/>
          </w:divBdr>
        </w:div>
      </w:divsChild>
    </w:div>
    <w:div w:id="713698723">
      <w:bodyDiv w:val="1"/>
      <w:marLeft w:val="0"/>
      <w:marRight w:val="0"/>
      <w:marTop w:val="0"/>
      <w:marBottom w:val="0"/>
      <w:divBdr>
        <w:top w:val="none" w:sz="0" w:space="0" w:color="auto"/>
        <w:left w:val="none" w:sz="0" w:space="0" w:color="auto"/>
        <w:bottom w:val="none" w:sz="0" w:space="0" w:color="auto"/>
        <w:right w:val="none" w:sz="0" w:space="0" w:color="auto"/>
      </w:divBdr>
    </w:div>
    <w:div w:id="715349591">
      <w:bodyDiv w:val="1"/>
      <w:marLeft w:val="0"/>
      <w:marRight w:val="0"/>
      <w:marTop w:val="0"/>
      <w:marBottom w:val="0"/>
      <w:divBdr>
        <w:top w:val="none" w:sz="0" w:space="0" w:color="auto"/>
        <w:left w:val="none" w:sz="0" w:space="0" w:color="auto"/>
        <w:bottom w:val="none" w:sz="0" w:space="0" w:color="auto"/>
        <w:right w:val="none" w:sz="0" w:space="0" w:color="auto"/>
      </w:divBdr>
    </w:div>
    <w:div w:id="734359326">
      <w:bodyDiv w:val="1"/>
      <w:marLeft w:val="0"/>
      <w:marRight w:val="0"/>
      <w:marTop w:val="0"/>
      <w:marBottom w:val="0"/>
      <w:divBdr>
        <w:top w:val="none" w:sz="0" w:space="0" w:color="auto"/>
        <w:left w:val="none" w:sz="0" w:space="0" w:color="auto"/>
        <w:bottom w:val="none" w:sz="0" w:space="0" w:color="auto"/>
        <w:right w:val="none" w:sz="0" w:space="0" w:color="auto"/>
      </w:divBdr>
    </w:div>
    <w:div w:id="761024161">
      <w:bodyDiv w:val="1"/>
      <w:marLeft w:val="0"/>
      <w:marRight w:val="0"/>
      <w:marTop w:val="0"/>
      <w:marBottom w:val="0"/>
      <w:divBdr>
        <w:top w:val="none" w:sz="0" w:space="0" w:color="auto"/>
        <w:left w:val="none" w:sz="0" w:space="0" w:color="auto"/>
        <w:bottom w:val="none" w:sz="0" w:space="0" w:color="auto"/>
        <w:right w:val="none" w:sz="0" w:space="0" w:color="auto"/>
      </w:divBdr>
    </w:div>
    <w:div w:id="766579431">
      <w:bodyDiv w:val="1"/>
      <w:marLeft w:val="0"/>
      <w:marRight w:val="0"/>
      <w:marTop w:val="0"/>
      <w:marBottom w:val="0"/>
      <w:divBdr>
        <w:top w:val="none" w:sz="0" w:space="0" w:color="auto"/>
        <w:left w:val="none" w:sz="0" w:space="0" w:color="auto"/>
        <w:bottom w:val="none" w:sz="0" w:space="0" w:color="auto"/>
        <w:right w:val="none" w:sz="0" w:space="0" w:color="auto"/>
      </w:divBdr>
    </w:div>
    <w:div w:id="766924965">
      <w:bodyDiv w:val="1"/>
      <w:marLeft w:val="0"/>
      <w:marRight w:val="0"/>
      <w:marTop w:val="0"/>
      <w:marBottom w:val="0"/>
      <w:divBdr>
        <w:top w:val="none" w:sz="0" w:space="0" w:color="auto"/>
        <w:left w:val="none" w:sz="0" w:space="0" w:color="auto"/>
        <w:bottom w:val="none" w:sz="0" w:space="0" w:color="auto"/>
        <w:right w:val="none" w:sz="0" w:space="0" w:color="auto"/>
      </w:divBdr>
    </w:div>
    <w:div w:id="808285153">
      <w:bodyDiv w:val="1"/>
      <w:marLeft w:val="0"/>
      <w:marRight w:val="0"/>
      <w:marTop w:val="0"/>
      <w:marBottom w:val="0"/>
      <w:divBdr>
        <w:top w:val="none" w:sz="0" w:space="0" w:color="auto"/>
        <w:left w:val="none" w:sz="0" w:space="0" w:color="auto"/>
        <w:bottom w:val="none" w:sz="0" w:space="0" w:color="auto"/>
        <w:right w:val="none" w:sz="0" w:space="0" w:color="auto"/>
      </w:divBdr>
    </w:div>
    <w:div w:id="808785184">
      <w:bodyDiv w:val="1"/>
      <w:marLeft w:val="0"/>
      <w:marRight w:val="0"/>
      <w:marTop w:val="0"/>
      <w:marBottom w:val="0"/>
      <w:divBdr>
        <w:top w:val="none" w:sz="0" w:space="0" w:color="auto"/>
        <w:left w:val="none" w:sz="0" w:space="0" w:color="auto"/>
        <w:bottom w:val="none" w:sz="0" w:space="0" w:color="auto"/>
        <w:right w:val="none" w:sz="0" w:space="0" w:color="auto"/>
      </w:divBdr>
    </w:div>
    <w:div w:id="816648565">
      <w:bodyDiv w:val="1"/>
      <w:marLeft w:val="0"/>
      <w:marRight w:val="0"/>
      <w:marTop w:val="0"/>
      <w:marBottom w:val="0"/>
      <w:divBdr>
        <w:top w:val="none" w:sz="0" w:space="0" w:color="auto"/>
        <w:left w:val="none" w:sz="0" w:space="0" w:color="auto"/>
        <w:bottom w:val="none" w:sz="0" w:space="0" w:color="auto"/>
        <w:right w:val="none" w:sz="0" w:space="0" w:color="auto"/>
      </w:divBdr>
    </w:div>
    <w:div w:id="827015704">
      <w:bodyDiv w:val="1"/>
      <w:marLeft w:val="0"/>
      <w:marRight w:val="0"/>
      <w:marTop w:val="0"/>
      <w:marBottom w:val="0"/>
      <w:divBdr>
        <w:top w:val="none" w:sz="0" w:space="0" w:color="auto"/>
        <w:left w:val="none" w:sz="0" w:space="0" w:color="auto"/>
        <w:bottom w:val="none" w:sz="0" w:space="0" w:color="auto"/>
        <w:right w:val="none" w:sz="0" w:space="0" w:color="auto"/>
      </w:divBdr>
    </w:div>
    <w:div w:id="830875909">
      <w:bodyDiv w:val="1"/>
      <w:marLeft w:val="0"/>
      <w:marRight w:val="0"/>
      <w:marTop w:val="0"/>
      <w:marBottom w:val="0"/>
      <w:divBdr>
        <w:top w:val="none" w:sz="0" w:space="0" w:color="auto"/>
        <w:left w:val="none" w:sz="0" w:space="0" w:color="auto"/>
        <w:bottom w:val="none" w:sz="0" w:space="0" w:color="auto"/>
        <w:right w:val="none" w:sz="0" w:space="0" w:color="auto"/>
      </w:divBdr>
    </w:div>
    <w:div w:id="843206943">
      <w:bodyDiv w:val="1"/>
      <w:marLeft w:val="0"/>
      <w:marRight w:val="0"/>
      <w:marTop w:val="0"/>
      <w:marBottom w:val="0"/>
      <w:divBdr>
        <w:top w:val="none" w:sz="0" w:space="0" w:color="auto"/>
        <w:left w:val="none" w:sz="0" w:space="0" w:color="auto"/>
        <w:bottom w:val="none" w:sz="0" w:space="0" w:color="auto"/>
        <w:right w:val="none" w:sz="0" w:space="0" w:color="auto"/>
      </w:divBdr>
    </w:div>
    <w:div w:id="850530024">
      <w:bodyDiv w:val="1"/>
      <w:marLeft w:val="0"/>
      <w:marRight w:val="0"/>
      <w:marTop w:val="0"/>
      <w:marBottom w:val="0"/>
      <w:divBdr>
        <w:top w:val="none" w:sz="0" w:space="0" w:color="auto"/>
        <w:left w:val="none" w:sz="0" w:space="0" w:color="auto"/>
        <w:bottom w:val="none" w:sz="0" w:space="0" w:color="auto"/>
        <w:right w:val="none" w:sz="0" w:space="0" w:color="auto"/>
      </w:divBdr>
    </w:div>
    <w:div w:id="856695478">
      <w:bodyDiv w:val="1"/>
      <w:marLeft w:val="0"/>
      <w:marRight w:val="0"/>
      <w:marTop w:val="0"/>
      <w:marBottom w:val="0"/>
      <w:divBdr>
        <w:top w:val="none" w:sz="0" w:space="0" w:color="auto"/>
        <w:left w:val="none" w:sz="0" w:space="0" w:color="auto"/>
        <w:bottom w:val="none" w:sz="0" w:space="0" w:color="auto"/>
        <w:right w:val="none" w:sz="0" w:space="0" w:color="auto"/>
      </w:divBdr>
    </w:div>
    <w:div w:id="858398877">
      <w:bodyDiv w:val="1"/>
      <w:marLeft w:val="0"/>
      <w:marRight w:val="0"/>
      <w:marTop w:val="0"/>
      <w:marBottom w:val="0"/>
      <w:divBdr>
        <w:top w:val="none" w:sz="0" w:space="0" w:color="auto"/>
        <w:left w:val="none" w:sz="0" w:space="0" w:color="auto"/>
        <w:bottom w:val="none" w:sz="0" w:space="0" w:color="auto"/>
        <w:right w:val="none" w:sz="0" w:space="0" w:color="auto"/>
      </w:divBdr>
    </w:div>
    <w:div w:id="860171517">
      <w:bodyDiv w:val="1"/>
      <w:marLeft w:val="0"/>
      <w:marRight w:val="0"/>
      <w:marTop w:val="0"/>
      <w:marBottom w:val="0"/>
      <w:divBdr>
        <w:top w:val="none" w:sz="0" w:space="0" w:color="auto"/>
        <w:left w:val="none" w:sz="0" w:space="0" w:color="auto"/>
        <w:bottom w:val="none" w:sz="0" w:space="0" w:color="auto"/>
        <w:right w:val="none" w:sz="0" w:space="0" w:color="auto"/>
      </w:divBdr>
    </w:div>
    <w:div w:id="869495136">
      <w:bodyDiv w:val="1"/>
      <w:marLeft w:val="0"/>
      <w:marRight w:val="0"/>
      <w:marTop w:val="0"/>
      <w:marBottom w:val="0"/>
      <w:divBdr>
        <w:top w:val="none" w:sz="0" w:space="0" w:color="auto"/>
        <w:left w:val="none" w:sz="0" w:space="0" w:color="auto"/>
        <w:bottom w:val="none" w:sz="0" w:space="0" w:color="auto"/>
        <w:right w:val="none" w:sz="0" w:space="0" w:color="auto"/>
      </w:divBdr>
    </w:div>
    <w:div w:id="874927138">
      <w:bodyDiv w:val="1"/>
      <w:marLeft w:val="0"/>
      <w:marRight w:val="0"/>
      <w:marTop w:val="0"/>
      <w:marBottom w:val="0"/>
      <w:divBdr>
        <w:top w:val="none" w:sz="0" w:space="0" w:color="auto"/>
        <w:left w:val="none" w:sz="0" w:space="0" w:color="auto"/>
        <w:bottom w:val="none" w:sz="0" w:space="0" w:color="auto"/>
        <w:right w:val="none" w:sz="0" w:space="0" w:color="auto"/>
      </w:divBdr>
    </w:div>
    <w:div w:id="883835313">
      <w:bodyDiv w:val="1"/>
      <w:marLeft w:val="0"/>
      <w:marRight w:val="0"/>
      <w:marTop w:val="0"/>
      <w:marBottom w:val="0"/>
      <w:divBdr>
        <w:top w:val="none" w:sz="0" w:space="0" w:color="auto"/>
        <w:left w:val="none" w:sz="0" w:space="0" w:color="auto"/>
        <w:bottom w:val="none" w:sz="0" w:space="0" w:color="auto"/>
        <w:right w:val="none" w:sz="0" w:space="0" w:color="auto"/>
      </w:divBdr>
    </w:div>
    <w:div w:id="897859900">
      <w:bodyDiv w:val="1"/>
      <w:marLeft w:val="0"/>
      <w:marRight w:val="0"/>
      <w:marTop w:val="0"/>
      <w:marBottom w:val="0"/>
      <w:divBdr>
        <w:top w:val="none" w:sz="0" w:space="0" w:color="auto"/>
        <w:left w:val="none" w:sz="0" w:space="0" w:color="auto"/>
        <w:bottom w:val="none" w:sz="0" w:space="0" w:color="auto"/>
        <w:right w:val="none" w:sz="0" w:space="0" w:color="auto"/>
      </w:divBdr>
    </w:div>
    <w:div w:id="901794441">
      <w:bodyDiv w:val="1"/>
      <w:marLeft w:val="0"/>
      <w:marRight w:val="0"/>
      <w:marTop w:val="0"/>
      <w:marBottom w:val="0"/>
      <w:divBdr>
        <w:top w:val="none" w:sz="0" w:space="0" w:color="auto"/>
        <w:left w:val="none" w:sz="0" w:space="0" w:color="auto"/>
        <w:bottom w:val="none" w:sz="0" w:space="0" w:color="auto"/>
        <w:right w:val="none" w:sz="0" w:space="0" w:color="auto"/>
      </w:divBdr>
    </w:div>
    <w:div w:id="904532617">
      <w:bodyDiv w:val="1"/>
      <w:marLeft w:val="0"/>
      <w:marRight w:val="0"/>
      <w:marTop w:val="0"/>
      <w:marBottom w:val="0"/>
      <w:divBdr>
        <w:top w:val="none" w:sz="0" w:space="0" w:color="auto"/>
        <w:left w:val="none" w:sz="0" w:space="0" w:color="auto"/>
        <w:bottom w:val="none" w:sz="0" w:space="0" w:color="auto"/>
        <w:right w:val="none" w:sz="0" w:space="0" w:color="auto"/>
      </w:divBdr>
    </w:div>
    <w:div w:id="911699840">
      <w:bodyDiv w:val="1"/>
      <w:marLeft w:val="0"/>
      <w:marRight w:val="0"/>
      <w:marTop w:val="0"/>
      <w:marBottom w:val="0"/>
      <w:divBdr>
        <w:top w:val="none" w:sz="0" w:space="0" w:color="auto"/>
        <w:left w:val="none" w:sz="0" w:space="0" w:color="auto"/>
        <w:bottom w:val="none" w:sz="0" w:space="0" w:color="auto"/>
        <w:right w:val="none" w:sz="0" w:space="0" w:color="auto"/>
      </w:divBdr>
    </w:div>
    <w:div w:id="919366683">
      <w:bodyDiv w:val="1"/>
      <w:marLeft w:val="0"/>
      <w:marRight w:val="0"/>
      <w:marTop w:val="0"/>
      <w:marBottom w:val="0"/>
      <w:divBdr>
        <w:top w:val="none" w:sz="0" w:space="0" w:color="auto"/>
        <w:left w:val="none" w:sz="0" w:space="0" w:color="auto"/>
        <w:bottom w:val="none" w:sz="0" w:space="0" w:color="auto"/>
        <w:right w:val="none" w:sz="0" w:space="0" w:color="auto"/>
      </w:divBdr>
    </w:div>
    <w:div w:id="926039515">
      <w:bodyDiv w:val="1"/>
      <w:marLeft w:val="0"/>
      <w:marRight w:val="0"/>
      <w:marTop w:val="0"/>
      <w:marBottom w:val="0"/>
      <w:divBdr>
        <w:top w:val="none" w:sz="0" w:space="0" w:color="auto"/>
        <w:left w:val="none" w:sz="0" w:space="0" w:color="auto"/>
        <w:bottom w:val="none" w:sz="0" w:space="0" w:color="auto"/>
        <w:right w:val="none" w:sz="0" w:space="0" w:color="auto"/>
      </w:divBdr>
    </w:div>
    <w:div w:id="928545461">
      <w:bodyDiv w:val="1"/>
      <w:marLeft w:val="0"/>
      <w:marRight w:val="0"/>
      <w:marTop w:val="0"/>
      <w:marBottom w:val="0"/>
      <w:divBdr>
        <w:top w:val="none" w:sz="0" w:space="0" w:color="auto"/>
        <w:left w:val="none" w:sz="0" w:space="0" w:color="auto"/>
        <w:bottom w:val="none" w:sz="0" w:space="0" w:color="auto"/>
        <w:right w:val="none" w:sz="0" w:space="0" w:color="auto"/>
      </w:divBdr>
    </w:div>
    <w:div w:id="941306716">
      <w:bodyDiv w:val="1"/>
      <w:marLeft w:val="0"/>
      <w:marRight w:val="0"/>
      <w:marTop w:val="0"/>
      <w:marBottom w:val="0"/>
      <w:divBdr>
        <w:top w:val="none" w:sz="0" w:space="0" w:color="auto"/>
        <w:left w:val="none" w:sz="0" w:space="0" w:color="auto"/>
        <w:bottom w:val="none" w:sz="0" w:space="0" w:color="auto"/>
        <w:right w:val="none" w:sz="0" w:space="0" w:color="auto"/>
      </w:divBdr>
    </w:div>
    <w:div w:id="975647986">
      <w:bodyDiv w:val="1"/>
      <w:marLeft w:val="0"/>
      <w:marRight w:val="0"/>
      <w:marTop w:val="0"/>
      <w:marBottom w:val="0"/>
      <w:divBdr>
        <w:top w:val="none" w:sz="0" w:space="0" w:color="auto"/>
        <w:left w:val="none" w:sz="0" w:space="0" w:color="auto"/>
        <w:bottom w:val="none" w:sz="0" w:space="0" w:color="auto"/>
        <w:right w:val="none" w:sz="0" w:space="0" w:color="auto"/>
      </w:divBdr>
    </w:div>
    <w:div w:id="989556666">
      <w:bodyDiv w:val="1"/>
      <w:marLeft w:val="0"/>
      <w:marRight w:val="0"/>
      <w:marTop w:val="0"/>
      <w:marBottom w:val="0"/>
      <w:divBdr>
        <w:top w:val="none" w:sz="0" w:space="0" w:color="auto"/>
        <w:left w:val="none" w:sz="0" w:space="0" w:color="auto"/>
        <w:bottom w:val="none" w:sz="0" w:space="0" w:color="auto"/>
        <w:right w:val="none" w:sz="0" w:space="0" w:color="auto"/>
      </w:divBdr>
    </w:div>
    <w:div w:id="997462451">
      <w:bodyDiv w:val="1"/>
      <w:marLeft w:val="0"/>
      <w:marRight w:val="0"/>
      <w:marTop w:val="0"/>
      <w:marBottom w:val="0"/>
      <w:divBdr>
        <w:top w:val="none" w:sz="0" w:space="0" w:color="auto"/>
        <w:left w:val="none" w:sz="0" w:space="0" w:color="auto"/>
        <w:bottom w:val="none" w:sz="0" w:space="0" w:color="auto"/>
        <w:right w:val="none" w:sz="0" w:space="0" w:color="auto"/>
      </w:divBdr>
      <w:divsChild>
        <w:div w:id="344133254">
          <w:marLeft w:val="0"/>
          <w:marRight w:val="0"/>
          <w:marTop w:val="0"/>
          <w:marBottom w:val="0"/>
          <w:divBdr>
            <w:top w:val="none" w:sz="0" w:space="0" w:color="auto"/>
            <w:left w:val="none" w:sz="0" w:space="0" w:color="auto"/>
            <w:bottom w:val="none" w:sz="0" w:space="0" w:color="auto"/>
            <w:right w:val="none" w:sz="0" w:space="0" w:color="auto"/>
          </w:divBdr>
        </w:div>
      </w:divsChild>
    </w:div>
    <w:div w:id="1001471941">
      <w:bodyDiv w:val="1"/>
      <w:marLeft w:val="0"/>
      <w:marRight w:val="0"/>
      <w:marTop w:val="0"/>
      <w:marBottom w:val="0"/>
      <w:divBdr>
        <w:top w:val="none" w:sz="0" w:space="0" w:color="auto"/>
        <w:left w:val="none" w:sz="0" w:space="0" w:color="auto"/>
        <w:bottom w:val="none" w:sz="0" w:space="0" w:color="auto"/>
        <w:right w:val="none" w:sz="0" w:space="0" w:color="auto"/>
      </w:divBdr>
    </w:div>
    <w:div w:id="1003702419">
      <w:bodyDiv w:val="1"/>
      <w:marLeft w:val="0"/>
      <w:marRight w:val="0"/>
      <w:marTop w:val="0"/>
      <w:marBottom w:val="0"/>
      <w:divBdr>
        <w:top w:val="none" w:sz="0" w:space="0" w:color="auto"/>
        <w:left w:val="none" w:sz="0" w:space="0" w:color="auto"/>
        <w:bottom w:val="none" w:sz="0" w:space="0" w:color="auto"/>
        <w:right w:val="none" w:sz="0" w:space="0" w:color="auto"/>
      </w:divBdr>
    </w:div>
    <w:div w:id="1006909614">
      <w:bodyDiv w:val="1"/>
      <w:marLeft w:val="0"/>
      <w:marRight w:val="0"/>
      <w:marTop w:val="0"/>
      <w:marBottom w:val="0"/>
      <w:divBdr>
        <w:top w:val="none" w:sz="0" w:space="0" w:color="auto"/>
        <w:left w:val="none" w:sz="0" w:space="0" w:color="auto"/>
        <w:bottom w:val="none" w:sz="0" w:space="0" w:color="auto"/>
        <w:right w:val="none" w:sz="0" w:space="0" w:color="auto"/>
      </w:divBdr>
    </w:div>
    <w:div w:id="1024282220">
      <w:bodyDiv w:val="1"/>
      <w:marLeft w:val="0"/>
      <w:marRight w:val="0"/>
      <w:marTop w:val="0"/>
      <w:marBottom w:val="0"/>
      <w:divBdr>
        <w:top w:val="none" w:sz="0" w:space="0" w:color="auto"/>
        <w:left w:val="none" w:sz="0" w:space="0" w:color="auto"/>
        <w:bottom w:val="none" w:sz="0" w:space="0" w:color="auto"/>
        <w:right w:val="none" w:sz="0" w:space="0" w:color="auto"/>
      </w:divBdr>
    </w:div>
    <w:div w:id="1038318878">
      <w:bodyDiv w:val="1"/>
      <w:marLeft w:val="0"/>
      <w:marRight w:val="0"/>
      <w:marTop w:val="0"/>
      <w:marBottom w:val="0"/>
      <w:divBdr>
        <w:top w:val="none" w:sz="0" w:space="0" w:color="auto"/>
        <w:left w:val="none" w:sz="0" w:space="0" w:color="auto"/>
        <w:bottom w:val="none" w:sz="0" w:space="0" w:color="auto"/>
        <w:right w:val="none" w:sz="0" w:space="0" w:color="auto"/>
      </w:divBdr>
    </w:div>
    <w:div w:id="1043597508">
      <w:bodyDiv w:val="1"/>
      <w:marLeft w:val="0"/>
      <w:marRight w:val="0"/>
      <w:marTop w:val="0"/>
      <w:marBottom w:val="0"/>
      <w:divBdr>
        <w:top w:val="none" w:sz="0" w:space="0" w:color="auto"/>
        <w:left w:val="none" w:sz="0" w:space="0" w:color="auto"/>
        <w:bottom w:val="none" w:sz="0" w:space="0" w:color="auto"/>
        <w:right w:val="none" w:sz="0" w:space="0" w:color="auto"/>
      </w:divBdr>
    </w:div>
    <w:div w:id="1052535810">
      <w:bodyDiv w:val="1"/>
      <w:marLeft w:val="0"/>
      <w:marRight w:val="0"/>
      <w:marTop w:val="0"/>
      <w:marBottom w:val="0"/>
      <w:divBdr>
        <w:top w:val="none" w:sz="0" w:space="0" w:color="auto"/>
        <w:left w:val="none" w:sz="0" w:space="0" w:color="auto"/>
        <w:bottom w:val="none" w:sz="0" w:space="0" w:color="auto"/>
        <w:right w:val="none" w:sz="0" w:space="0" w:color="auto"/>
      </w:divBdr>
    </w:div>
    <w:div w:id="1055742840">
      <w:bodyDiv w:val="1"/>
      <w:marLeft w:val="0"/>
      <w:marRight w:val="0"/>
      <w:marTop w:val="0"/>
      <w:marBottom w:val="0"/>
      <w:divBdr>
        <w:top w:val="none" w:sz="0" w:space="0" w:color="auto"/>
        <w:left w:val="none" w:sz="0" w:space="0" w:color="auto"/>
        <w:bottom w:val="none" w:sz="0" w:space="0" w:color="auto"/>
        <w:right w:val="none" w:sz="0" w:space="0" w:color="auto"/>
      </w:divBdr>
    </w:div>
    <w:div w:id="1055817535">
      <w:bodyDiv w:val="1"/>
      <w:marLeft w:val="0"/>
      <w:marRight w:val="0"/>
      <w:marTop w:val="0"/>
      <w:marBottom w:val="0"/>
      <w:divBdr>
        <w:top w:val="none" w:sz="0" w:space="0" w:color="auto"/>
        <w:left w:val="none" w:sz="0" w:space="0" w:color="auto"/>
        <w:bottom w:val="none" w:sz="0" w:space="0" w:color="auto"/>
        <w:right w:val="none" w:sz="0" w:space="0" w:color="auto"/>
      </w:divBdr>
    </w:div>
    <w:div w:id="1066798967">
      <w:bodyDiv w:val="1"/>
      <w:marLeft w:val="0"/>
      <w:marRight w:val="0"/>
      <w:marTop w:val="0"/>
      <w:marBottom w:val="0"/>
      <w:divBdr>
        <w:top w:val="none" w:sz="0" w:space="0" w:color="auto"/>
        <w:left w:val="none" w:sz="0" w:space="0" w:color="auto"/>
        <w:bottom w:val="none" w:sz="0" w:space="0" w:color="auto"/>
        <w:right w:val="none" w:sz="0" w:space="0" w:color="auto"/>
      </w:divBdr>
    </w:div>
    <w:div w:id="1069117270">
      <w:bodyDiv w:val="1"/>
      <w:marLeft w:val="0"/>
      <w:marRight w:val="0"/>
      <w:marTop w:val="0"/>
      <w:marBottom w:val="0"/>
      <w:divBdr>
        <w:top w:val="none" w:sz="0" w:space="0" w:color="auto"/>
        <w:left w:val="none" w:sz="0" w:space="0" w:color="auto"/>
        <w:bottom w:val="none" w:sz="0" w:space="0" w:color="auto"/>
        <w:right w:val="none" w:sz="0" w:space="0" w:color="auto"/>
      </w:divBdr>
    </w:div>
    <w:div w:id="1099256791">
      <w:bodyDiv w:val="1"/>
      <w:marLeft w:val="0"/>
      <w:marRight w:val="0"/>
      <w:marTop w:val="0"/>
      <w:marBottom w:val="0"/>
      <w:divBdr>
        <w:top w:val="none" w:sz="0" w:space="0" w:color="auto"/>
        <w:left w:val="none" w:sz="0" w:space="0" w:color="auto"/>
        <w:bottom w:val="none" w:sz="0" w:space="0" w:color="auto"/>
        <w:right w:val="none" w:sz="0" w:space="0" w:color="auto"/>
      </w:divBdr>
    </w:div>
    <w:div w:id="1114785708">
      <w:bodyDiv w:val="1"/>
      <w:marLeft w:val="0"/>
      <w:marRight w:val="0"/>
      <w:marTop w:val="0"/>
      <w:marBottom w:val="0"/>
      <w:divBdr>
        <w:top w:val="none" w:sz="0" w:space="0" w:color="auto"/>
        <w:left w:val="none" w:sz="0" w:space="0" w:color="auto"/>
        <w:bottom w:val="none" w:sz="0" w:space="0" w:color="auto"/>
        <w:right w:val="none" w:sz="0" w:space="0" w:color="auto"/>
      </w:divBdr>
    </w:div>
    <w:div w:id="1118449664">
      <w:bodyDiv w:val="1"/>
      <w:marLeft w:val="0"/>
      <w:marRight w:val="0"/>
      <w:marTop w:val="0"/>
      <w:marBottom w:val="0"/>
      <w:divBdr>
        <w:top w:val="none" w:sz="0" w:space="0" w:color="auto"/>
        <w:left w:val="none" w:sz="0" w:space="0" w:color="auto"/>
        <w:bottom w:val="none" w:sz="0" w:space="0" w:color="auto"/>
        <w:right w:val="none" w:sz="0" w:space="0" w:color="auto"/>
      </w:divBdr>
    </w:div>
    <w:div w:id="1125391751">
      <w:bodyDiv w:val="1"/>
      <w:marLeft w:val="0"/>
      <w:marRight w:val="0"/>
      <w:marTop w:val="0"/>
      <w:marBottom w:val="0"/>
      <w:divBdr>
        <w:top w:val="none" w:sz="0" w:space="0" w:color="auto"/>
        <w:left w:val="none" w:sz="0" w:space="0" w:color="auto"/>
        <w:bottom w:val="none" w:sz="0" w:space="0" w:color="auto"/>
        <w:right w:val="none" w:sz="0" w:space="0" w:color="auto"/>
      </w:divBdr>
    </w:div>
    <w:div w:id="1133475531">
      <w:bodyDiv w:val="1"/>
      <w:marLeft w:val="0"/>
      <w:marRight w:val="0"/>
      <w:marTop w:val="0"/>
      <w:marBottom w:val="0"/>
      <w:divBdr>
        <w:top w:val="none" w:sz="0" w:space="0" w:color="auto"/>
        <w:left w:val="none" w:sz="0" w:space="0" w:color="auto"/>
        <w:bottom w:val="none" w:sz="0" w:space="0" w:color="auto"/>
        <w:right w:val="none" w:sz="0" w:space="0" w:color="auto"/>
      </w:divBdr>
    </w:div>
    <w:div w:id="1133599065">
      <w:bodyDiv w:val="1"/>
      <w:marLeft w:val="0"/>
      <w:marRight w:val="0"/>
      <w:marTop w:val="0"/>
      <w:marBottom w:val="0"/>
      <w:divBdr>
        <w:top w:val="none" w:sz="0" w:space="0" w:color="auto"/>
        <w:left w:val="none" w:sz="0" w:space="0" w:color="auto"/>
        <w:bottom w:val="none" w:sz="0" w:space="0" w:color="auto"/>
        <w:right w:val="none" w:sz="0" w:space="0" w:color="auto"/>
      </w:divBdr>
    </w:div>
    <w:div w:id="1178154440">
      <w:bodyDiv w:val="1"/>
      <w:marLeft w:val="0"/>
      <w:marRight w:val="0"/>
      <w:marTop w:val="0"/>
      <w:marBottom w:val="0"/>
      <w:divBdr>
        <w:top w:val="none" w:sz="0" w:space="0" w:color="auto"/>
        <w:left w:val="none" w:sz="0" w:space="0" w:color="auto"/>
        <w:bottom w:val="none" w:sz="0" w:space="0" w:color="auto"/>
        <w:right w:val="none" w:sz="0" w:space="0" w:color="auto"/>
      </w:divBdr>
    </w:div>
    <w:div w:id="1189178742">
      <w:bodyDiv w:val="1"/>
      <w:marLeft w:val="0"/>
      <w:marRight w:val="0"/>
      <w:marTop w:val="0"/>
      <w:marBottom w:val="0"/>
      <w:divBdr>
        <w:top w:val="none" w:sz="0" w:space="0" w:color="auto"/>
        <w:left w:val="none" w:sz="0" w:space="0" w:color="auto"/>
        <w:bottom w:val="none" w:sz="0" w:space="0" w:color="auto"/>
        <w:right w:val="none" w:sz="0" w:space="0" w:color="auto"/>
      </w:divBdr>
    </w:div>
    <w:div w:id="1223639019">
      <w:bodyDiv w:val="1"/>
      <w:marLeft w:val="0"/>
      <w:marRight w:val="0"/>
      <w:marTop w:val="0"/>
      <w:marBottom w:val="0"/>
      <w:divBdr>
        <w:top w:val="none" w:sz="0" w:space="0" w:color="auto"/>
        <w:left w:val="none" w:sz="0" w:space="0" w:color="auto"/>
        <w:bottom w:val="none" w:sz="0" w:space="0" w:color="auto"/>
        <w:right w:val="none" w:sz="0" w:space="0" w:color="auto"/>
      </w:divBdr>
    </w:div>
    <w:div w:id="1241255978">
      <w:bodyDiv w:val="1"/>
      <w:marLeft w:val="0"/>
      <w:marRight w:val="0"/>
      <w:marTop w:val="0"/>
      <w:marBottom w:val="0"/>
      <w:divBdr>
        <w:top w:val="none" w:sz="0" w:space="0" w:color="auto"/>
        <w:left w:val="none" w:sz="0" w:space="0" w:color="auto"/>
        <w:bottom w:val="none" w:sz="0" w:space="0" w:color="auto"/>
        <w:right w:val="none" w:sz="0" w:space="0" w:color="auto"/>
      </w:divBdr>
    </w:div>
    <w:div w:id="1246839915">
      <w:bodyDiv w:val="1"/>
      <w:marLeft w:val="0"/>
      <w:marRight w:val="0"/>
      <w:marTop w:val="0"/>
      <w:marBottom w:val="0"/>
      <w:divBdr>
        <w:top w:val="none" w:sz="0" w:space="0" w:color="auto"/>
        <w:left w:val="none" w:sz="0" w:space="0" w:color="auto"/>
        <w:bottom w:val="none" w:sz="0" w:space="0" w:color="auto"/>
        <w:right w:val="none" w:sz="0" w:space="0" w:color="auto"/>
      </w:divBdr>
    </w:div>
    <w:div w:id="1251114049">
      <w:bodyDiv w:val="1"/>
      <w:marLeft w:val="0"/>
      <w:marRight w:val="0"/>
      <w:marTop w:val="0"/>
      <w:marBottom w:val="0"/>
      <w:divBdr>
        <w:top w:val="none" w:sz="0" w:space="0" w:color="auto"/>
        <w:left w:val="none" w:sz="0" w:space="0" w:color="auto"/>
        <w:bottom w:val="none" w:sz="0" w:space="0" w:color="auto"/>
        <w:right w:val="none" w:sz="0" w:space="0" w:color="auto"/>
      </w:divBdr>
    </w:div>
    <w:div w:id="1253660258">
      <w:bodyDiv w:val="1"/>
      <w:marLeft w:val="0"/>
      <w:marRight w:val="0"/>
      <w:marTop w:val="0"/>
      <w:marBottom w:val="0"/>
      <w:divBdr>
        <w:top w:val="none" w:sz="0" w:space="0" w:color="auto"/>
        <w:left w:val="none" w:sz="0" w:space="0" w:color="auto"/>
        <w:bottom w:val="none" w:sz="0" w:space="0" w:color="auto"/>
        <w:right w:val="none" w:sz="0" w:space="0" w:color="auto"/>
      </w:divBdr>
    </w:div>
    <w:div w:id="1265769644">
      <w:bodyDiv w:val="1"/>
      <w:marLeft w:val="0"/>
      <w:marRight w:val="0"/>
      <w:marTop w:val="0"/>
      <w:marBottom w:val="0"/>
      <w:divBdr>
        <w:top w:val="none" w:sz="0" w:space="0" w:color="auto"/>
        <w:left w:val="none" w:sz="0" w:space="0" w:color="auto"/>
        <w:bottom w:val="none" w:sz="0" w:space="0" w:color="auto"/>
        <w:right w:val="none" w:sz="0" w:space="0" w:color="auto"/>
      </w:divBdr>
    </w:div>
    <w:div w:id="1269506538">
      <w:bodyDiv w:val="1"/>
      <w:marLeft w:val="0"/>
      <w:marRight w:val="0"/>
      <w:marTop w:val="0"/>
      <w:marBottom w:val="0"/>
      <w:divBdr>
        <w:top w:val="none" w:sz="0" w:space="0" w:color="auto"/>
        <w:left w:val="none" w:sz="0" w:space="0" w:color="auto"/>
        <w:bottom w:val="none" w:sz="0" w:space="0" w:color="auto"/>
        <w:right w:val="none" w:sz="0" w:space="0" w:color="auto"/>
      </w:divBdr>
    </w:div>
    <w:div w:id="1282767294">
      <w:bodyDiv w:val="1"/>
      <w:marLeft w:val="0"/>
      <w:marRight w:val="0"/>
      <w:marTop w:val="0"/>
      <w:marBottom w:val="0"/>
      <w:divBdr>
        <w:top w:val="none" w:sz="0" w:space="0" w:color="auto"/>
        <w:left w:val="none" w:sz="0" w:space="0" w:color="auto"/>
        <w:bottom w:val="none" w:sz="0" w:space="0" w:color="auto"/>
        <w:right w:val="none" w:sz="0" w:space="0" w:color="auto"/>
      </w:divBdr>
    </w:div>
    <w:div w:id="1291857010">
      <w:bodyDiv w:val="1"/>
      <w:marLeft w:val="0"/>
      <w:marRight w:val="0"/>
      <w:marTop w:val="0"/>
      <w:marBottom w:val="0"/>
      <w:divBdr>
        <w:top w:val="none" w:sz="0" w:space="0" w:color="auto"/>
        <w:left w:val="none" w:sz="0" w:space="0" w:color="auto"/>
        <w:bottom w:val="none" w:sz="0" w:space="0" w:color="auto"/>
        <w:right w:val="none" w:sz="0" w:space="0" w:color="auto"/>
      </w:divBdr>
    </w:div>
    <w:div w:id="1292786857">
      <w:bodyDiv w:val="1"/>
      <w:marLeft w:val="0"/>
      <w:marRight w:val="0"/>
      <w:marTop w:val="0"/>
      <w:marBottom w:val="0"/>
      <w:divBdr>
        <w:top w:val="none" w:sz="0" w:space="0" w:color="auto"/>
        <w:left w:val="none" w:sz="0" w:space="0" w:color="auto"/>
        <w:bottom w:val="none" w:sz="0" w:space="0" w:color="auto"/>
        <w:right w:val="none" w:sz="0" w:space="0" w:color="auto"/>
      </w:divBdr>
    </w:div>
    <w:div w:id="1353267147">
      <w:bodyDiv w:val="1"/>
      <w:marLeft w:val="0"/>
      <w:marRight w:val="0"/>
      <w:marTop w:val="0"/>
      <w:marBottom w:val="0"/>
      <w:divBdr>
        <w:top w:val="none" w:sz="0" w:space="0" w:color="auto"/>
        <w:left w:val="none" w:sz="0" w:space="0" w:color="auto"/>
        <w:bottom w:val="none" w:sz="0" w:space="0" w:color="auto"/>
        <w:right w:val="none" w:sz="0" w:space="0" w:color="auto"/>
      </w:divBdr>
    </w:div>
    <w:div w:id="1369066286">
      <w:bodyDiv w:val="1"/>
      <w:marLeft w:val="0"/>
      <w:marRight w:val="0"/>
      <w:marTop w:val="0"/>
      <w:marBottom w:val="0"/>
      <w:divBdr>
        <w:top w:val="none" w:sz="0" w:space="0" w:color="auto"/>
        <w:left w:val="none" w:sz="0" w:space="0" w:color="auto"/>
        <w:bottom w:val="none" w:sz="0" w:space="0" w:color="auto"/>
        <w:right w:val="none" w:sz="0" w:space="0" w:color="auto"/>
      </w:divBdr>
    </w:div>
    <w:div w:id="1387989742">
      <w:bodyDiv w:val="1"/>
      <w:marLeft w:val="0"/>
      <w:marRight w:val="0"/>
      <w:marTop w:val="0"/>
      <w:marBottom w:val="0"/>
      <w:divBdr>
        <w:top w:val="none" w:sz="0" w:space="0" w:color="auto"/>
        <w:left w:val="none" w:sz="0" w:space="0" w:color="auto"/>
        <w:bottom w:val="none" w:sz="0" w:space="0" w:color="auto"/>
        <w:right w:val="none" w:sz="0" w:space="0" w:color="auto"/>
      </w:divBdr>
    </w:div>
    <w:div w:id="1389567453">
      <w:bodyDiv w:val="1"/>
      <w:marLeft w:val="0"/>
      <w:marRight w:val="0"/>
      <w:marTop w:val="0"/>
      <w:marBottom w:val="0"/>
      <w:divBdr>
        <w:top w:val="none" w:sz="0" w:space="0" w:color="auto"/>
        <w:left w:val="none" w:sz="0" w:space="0" w:color="auto"/>
        <w:bottom w:val="none" w:sz="0" w:space="0" w:color="auto"/>
        <w:right w:val="none" w:sz="0" w:space="0" w:color="auto"/>
      </w:divBdr>
    </w:div>
    <w:div w:id="1425345705">
      <w:bodyDiv w:val="1"/>
      <w:marLeft w:val="0"/>
      <w:marRight w:val="0"/>
      <w:marTop w:val="0"/>
      <w:marBottom w:val="0"/>
      <w:divBdr>
        <w:top w:val="none" w:sz="0" w:space="0" w:color="auto"/>
        <w:left w:val="none" w:sz="0" w:space="0" w:color="auto"/>
        <w:bottom w:val="none" w:sz="0" w:space="0" w:color="auto"/>
        <w:right w:val="none" w:sz="0" w:space="0" w:color="auto"/>
      </w:divBdr>
    </w:div>
    <w:div w:id="1430351769">
      <w:bodyDiv w:val="1"/>
      <w:marLeft w:val="0"/>
      <w:marRight w:val="0"/>
      <w:marTop w:val="0"/>
      <w:marBottom w:val="0"/>
      <w:divBdr>
        <w:top w:val="none" w:sz="0" w:space="0" w:color="auto"/>
        <w:left w:val="none" w:sz="0" w:space="0" w:color="auto"/>
        <w:bottom w:val="none" w:sz="0" w:space="0" w:color="auto"/>
        <w:right w:val="none" w:sz="0" w:space="0" w:color="auto"/>
      </w:divBdr>
    </w:div>
    <w:div w:id="1442139856">
      <w:bodyDiv w:val="1"/>
      <w:marLeft w:val="0"/>
      <w:marRight w:val="0"/>
      <w:marTop w:val="0"/>
      <w:marBottom w:val="0"/>
      <w:divBdr>
        <w:top w:val="none" w:sz="0" w:space="0" w:color="auto"/>
        <w:left w:val="none" w:sz="0" w:space="0" w:color="auto"/>
        <w:bottom w:val="none" w:sz="0" w:space="0" w:color="auto"/>
        <w:right w:val="none" w:sz="0" w:space="0" w:color="auto"/>
      </w:divBdr>
    </w:div>
    <w:div w:id="1445346708">
      <w:bodyDiv w:val="1"/>
      <w:marLeft w:val="0"/>
      <w:marRight w:val="0"/>
      <w:marTop w:val="0"/>
      <w:marBottom w:val="0"/>
      <w:divBdr>
        <w:top w:val="none" w:sz="0" w:space="0" w:color="auto"/>
        <w:left w:val="none" w:sz="0" w:space="0" w:color="auto"/>
        <w:bottom w:val="none" w:sz="0" w:space="0" w:color="auto"/>
        <w:right w:val="none" w:sz="0" w:space="0" w:color="auto"/>
      </w:divBdr>
    </w:div>
    <w:div w:id="1457604875">
      <w:bodyDiv w:val="1"/>
      <w:marLeft w:val="0"/>
      <w:marRight w:val="0"/>
      <w:marTop w:val="0"/>
      <w:marBottom w:val="0"/>
      <w:divBdr>
        <w:top w:val="none" w:sz="0" w:space="0" w:color="auto"/>
        <w:left w:val="none" w:sz="0" w:space="0" w:color="auto"/>
        <w:bottom w:val="none" w:sz="0" w:space="0" w:color="auto"/>
        <w:right w:val="none" w:sz="0" w:space="0" w:color="auto"/>
      </w:divBdr>
    </w:div>
    <w:div w:id="1466658505">
      <w:bodyDiv w:val="1"/>
      <w:marLeft w:val="0"/>
      <w:marRight w:val="0"/>
      <w:marTop w:val="0"/>
      <w:marBottom w:val="0"/>
      <w:divBdr>
        <w:top w:val="none" w:sz="0" w:space="0" w:color="auto"/>
        <w:left w:val="none" w:sz="0" w:space="0" w:color="auto"/>
        <w:bottom w:val="none" w:sz="0" w:space="0" w:color="auto"/>
        <w:right w:val="none" w:sz="0" w:space="0" w:color="auto"/>
      </w:divBdr>
    </w:div>
    <w:div w:id="1468817958">
      <w:bodyDiv w:val="1"/>
      <w:marLeft w:val="0"/>
      <w:marRight w:val="0"/>
      <w:marTop w:val="0"/>
      <w:marBottom w:val="0"/>
      <w:divBdr>
        <w:top w:val="none" w:sz="0" w:space="0" w:color="auto"/>
        <w:left w:val="none" w:sz="0" w:space="0" w:color="auto"/>
        <w:bottom w:val="none" w:sz="0" w:space="0" w:color="auto"/>
        <w:right w:val="none" w:sz="0" w:space="0" w:color="auto"/>
      </w:divBdr>
    </w:div>
    <w:div w:id="1501654359">
      <w:bodyDiv w:val="1"/>
      <w:marLeft w:val="0"/>
      <w:marRight w:val="0"/>
      <w:marTop w:val="0"/>
      <w:marBottom w:val="0"/>
      <w:divBdr>
        <w:top w:val="none" w:sz="0" w:space="0" w:color="auto"/>
        <w:left w:val="none" w:sz="0" w:space="0" w:color="auto"/>
        <w:bottom w:val="none" w:sz="0" w:space="0" w:color="auto"/>
        <w:right w:val="none" w:sz="0" w:space="0" w:color="auto"/>
      </w:divBdr>
    </w:div>
    <w:div w:id="1502545386">
      <w:bodyDiv w:val="1"/>
      <w:marLeft w:val="0"/>
      <w:marRight w:val="0"/>
      <w:marTop w:val="0"/>
      <w:marBottom w:val="0"/>
      <w:divBdr>
        <w:top w:val="none" w:sz="0" w:space="0" w:color="auto"/>
        <w:left w:val="none" w:sz="0" w:space="0" w:color="auto"/>
        <w:bottom w:val="none" w:sz="0" w:space="0" w:color="auto"/>
        <w:right w:val="none" w:sz="0" w:space="0" w:color="auto"/>
      </w:divBdr>
      <w:divsChild>
        <w:div w:id="329797493">
          <w:marLeft w:val="0"/>
          <w:marRight w:val="0"/>
          <w:marTop w:val="0"/>
          <w:marBottom w:val="0"/>
          <w:divBdr>
            <w:top w:val="none" w:sz="0" w:space="0" w:color="auto"/>
            <w:left w:val="none" w:sz="0" w:space="0" w:color="auto"/>
            <w:bottom w:val="none" w:sz="0" w:space="0" w:color="auto"/>
            <w:right w:val="none" w:sz="0" w:space="0" w:color="auto"/>
          </w:divBdr>
        </w:div>
        <w:div w:id="398599832">
          <w:marLeft w:val="0"/>
          <w:marRight w:val="0"/>
          <w:marTop w:val="0"/>
          <w:marBottom w:val="0"/>
          <w:divBdr>
            <w:top w:val="none" w:sz="0" w:space="0" w:color="auto"/>
            <w:left w:val="none" w:sz="0" w:space="0" w:color="auto"/>
            <w:bottom w:val="none" w:sz="0" w:space="0" w:color="auto"/>
            <w:right w:val="none" w:sz="0" w:space="0" w:color="auto"/>
          </w:divBdr>
        </w:div>
        <w:div w:id="458259704">
          <w:marLeft w:val="0"/>
          <w:marRight w:val="0"/>
          <w:marTop w:val="0"/>
          <w:marBottom w:val="0"/>
          <w:divBdr>
            <w:top w:val="none" w:sz="0" w:space="0" w:color="auto"/>
            <w:left w:val="none" w:sz="0" w:space="0" w:color="auto"/>
            <w:bottom w:val="none" w:sz="0" w:space="0" w:color="auto"/>
            <w:right w:val="none" w:sz="0" w:space="0" w:color="auto"/>
          </w:divBdr>
        </w:div>
        <w:div w:id="1570799505">
          <w:marLeft w:val="0"/>
          <w:marRight w:val="0"/>
          <w:marTop w:val="0"/>
          <w:marBottom w:val="0"/>
          <w:divBdr>
            <w:top w:val="none" w:sz="0" w:space="0" w:color="auto"/>
            <w:left w:val="none" w:sz="0" w:space="0" w:color="auto"/>
            <w:bottom w:val="none" w:sz="0" w:space="0" w:color="auto"/>
            <w:right w:val="none" w:sz="0" w:space="0" w:color="auto"/>
          </w:divBdr>
        </w:div>
      </w:divsChild>
    </w:div>
    <w:div w:id="1523128120">
      <w:bodyDiv w:val="1"/>
      <w:marLeft w:val="0"/>
      <w:marRight w:val="0"/>
      <w:marTop w:val="0"/>
      <w:marBottom w:val="0"/>
      <w:divBdr>
        <w:top w:val="none" w:sz="0" w:space="0" w:color="auto"/>
        <w:left w:val="none" w:sz="0" w:space="0" w:color="auto"/>
        <w:bottom w:val="none" w:sz="0" w:space="0" w:color="auto"/>
        <w:right w:val="none" w:sz="0" w:space="0" w:color="auto"/>
      </w:divBdr>
    </w:div>
    <w:div w:id="1552115126">
      <w:bodyDiv w:val="1"/>
      <w:marLeft w:val="0"/>
      <w:marRight w:val="0"/>
      <w:marTop w:val="0"/>
      <w:marBottom w:val="0"/>
      <w:divBdr>
        <w:top w:val="none" w:sz="0" w:space="0" w:color="auto"/>
        <w:left w:val="none" w:sz="0" w:space="0" w:color="auto"/>
        <w:bottom w:val="none" w:sz="0" w:space="0" w:color="auto"/>
        <w:right w:val="none" w:sz="0" w:space="0" w:color="auto"/>
      </w:divBdr>
    </w:div>
    <w:div w:id="1567759598">
      <w:bodyDiv w:val="1"/>
      <w:marLeft w:val="0"/>
      <w:marRight w:val="0"/>
      <w:marTop w:val="0"/>
      <w:marBottom w:val="0"/>
      <w:divBdr>
        <w:top w:val="none" w:sz="0" w:space="0" w:color="auto"/>
        <w:left w:val="none" w:sz="0" w:space="0" w:color="auto"/>
        <w:bottom w:val="none" w:sz="0" w:space="0" w:color="auto"/>
        <w:right w:val="none" w:sz="0" w:space="0" w:color="auto"/>
      </w:divBdr>
    </w:div>
    <w:div w:id="1574850838">
      <w:bodyDiv w:val="1"/>
      <w:marLeft w:val="0"/>
      <w:marRight w:val="0"/>
      <w:marTop w:val="0"/>
      <w:marBottom w:val="0"/>
      <w:divBdr>
        <w:top w:val="none" w:sz="0" w:space="0" w:color="auto"/>
        <w:left w:val="none" w:sz="0" w:space="0" w:color="auto"/>
        <w:bottom w:val="none" w:sz="0" w:space="0" w:color="auto"/>
        <w:right w:val="none" w:sz="0" w:space="0" w:color="auto"/>
      </w:divBdr>
    </w:div>
    <w:div w:id="1602568790">
      <w:bodyDiv w:val="1"/>
      <w:marLeft w:val="0"/>
      <w:marRight w:val="0"/>
      <w:marTop w:val="0"/>
      <w:marBottom w:val="0"/>
      <w:divBdr>
        <w:top w:val="none" w:sz="0" w:space="0" w:color="auto"/>
        <w:left w:val="none" w:sz="0" w:space="0" w:color="auto"/>
        <w:bottom w:val="none" w:sz="0" w:space="0" w:color="auto"/>
        <w:right w:val="none" w:sz="0" w:space="0" w:color="auto"/>
      </w:divBdr>
    </w:div>
    <w:div w:id="1603953133">
      <w:bodyDiv w:val="1"/>
      <w:marLeft w:val="0"/>
      <w:marRight w:val="0"/>
      <w:marTop w:val="0"/>
      <w:marBottom w:val="0"/>
      <w:divBdr>
        <w:top w:val="none" w:sz="0" w:space="0" w:color="auto"/>
        <w:left w:val="none" w:sz="0" w:space="0" w:color="auto"/>
        <w:bottom w:val="none" w:sz="0" w:space="0" w:color="auto"/>
        <w:right w:val="none" w:sz="0" w:space="0" w:color="auto"/>
      </w:divBdr>
    </w:div>
    <w:div w:id="1616254757">
      <w:bodyDiv w:val="1"/>
      <w:marLeft w:val="0"/>
      <w:marRight w:val="0"/>
      <w:marTop w:val="0"/>
      <w:marBottom w:val="0"/>
      <w:divBdr>
        <w:top w:val="none" w:sz="0" w:space="0" w:color="auto"/>
        <w:left w:val="none" w:sz="0" w:space="0" w:color="auto"/>
        <w:bottom w:val="none" w:sz="0" w:space="0" w:color="auto"/>
        <w:right w:val="none" w:sz="0" w:space="0" w:color="auto"/>
      </w:divBdr>
    </w:div>
    <w:div w:id="1628855158">
      <w:bodyDiv w:val="1"/>
      <w:marLeft w:val="0"/>
      <w:marRight w:val="0"/>
      <w:marTop w:val="0"/>
      <w:marBottom w:val="0"/>
      <w:divBdr>
        <w:top w:val="none" w:sz="0" w:space="0" w:color="auto"/>
        <w:left w:val="none" w:sz="0" w:space="0" w:color="auto"/>
        <w:bottom w:val="none" w:sz="0" w:space="0" w:color="auto"/>
        <w:right w:val="none" w:sz="0" w:space="0" w:color="auto"/>
      </w:divBdr>
    </w:div>
    <w:div w:id="1631396865">
      <w:bodyDiv w:val="1"/>
      <w:marLeft w:val="0"/>
      <w:marRight w:val="0"/>
      <w:marTop w:val="0"/>
      <w:marBottom w:val="0"/>
      <w:divBdr>
        <w:top w:val="none" w:sz="0" w:space="0" w:color="auto"/>
        <w:left w:val="none" w:sz="0" w:space="0" w:color="auto"/>
        <w:bottom w:val="none" w:sz="0" w:space="0" w:color="auto"/>
        <w:right w:val="none" w:sz="0" w:space="0" w:color="auto"/>
      </w:divBdr>
    </w:div>
    <w:div w:id="1632830132">
      <w:bodyDiv w:val="1"/>
      <w:marLeft w:val="0"/>
      <w:marRight w:val="0"/>
      <w:marTop w:val="0"/>
      <w:marBottom w:val="0"/>
      <w:divBdr>
        <w:top w:val="none" w:sz="0" w:space="0" w:color="auto"/>
        <w:left w:val="none" w:sz="0" w:space="0" w:color="auto"/>
        <w:bottom w:val="none" w:sz="0" w:space="0" w:color="auto"/>
        <w:right w:val="none" w:sz="0" w:space="0" w:color="auto"/>
      </w:divBdr>
    </w:div>
    <w:div w:id="1641881474">
      <w:bodyDiv w:val="1"/>
      <w:marLeft w:val="0"/>
      <w:marRight w:val="0"/>
      <w:marTop w:val="0"/>
      <w:marBottom w:val="0"/>
      <w:divBdr>
        <w:top w:val="none" w:sz="0" w:space="0" w:color="auto"/>
        <w:left w:val="none" w:sz="0" w:space="0" w:color="auto"/>
        <w:bottom w:val="none" w:sz="0" w:space="0" w:color="auto"/>
        <w:right w:val="none" w:sz="0" w:space="0" w:color="auto"/>
      </w:divBdr>
    </w:div>
    <w:div w:id="1650985004">
      <w:bodyDiv w:val="1"/>
      <w:marLeft w:val="0"/>
      <w:marRight w:val="0"/>
      <w:marTop w:val="0"/>
      <w:marBottom w:val="0"/>
      <w:divBdr>
        <w:top w:val="none" w:sz="0" w:space="0" w:color="auto"/>
        <w:left w:val="none" w:sz="0" w:space="0" w:color="auto"/>
        <w:bottom w:val="none" w:sz="0" w:space="0" w:color="auto"/>
        <w:right w:val="none" w:sz="0" w:space="0" w:color="auto"/>
      </w:divBdr>
    </w:div>
    <w:div w:id="1672566809">
      <w:bodyDiv w:val="1"/>
      <w:marLeft w:val="0"/>
      <w:marRight w:val="0"/>
      <w:marTop w:val="0"/>
      <w:marBottom w:val="0"/>
      <w:divBdr>
        <w:top w:val="none" w:sz="0" w:space="0" w:color="auto"/>
        <w:left w:val="none" w:sz="0" w:space="0" w:color="auto"/>
        <w:bottom w:val="none" w:sz="0" w:space="0" w:color="auto"/>
        <w:right w:val="none" w:sz="0" w:space="0" w:color="auto"/>
      </w:divBdr>
    </w:div>
    <w:div w:id="1729064778">
      <w:bodyDiv w:val="1"/>
      <w:marLeft w:val="0"/>
      <w:marRight w:val="0"/>
      <w:marTop w:val="0"/>
      <w:marBottom w:val="0"/>
      <w:divBdr>
        <w:top w:val="none" w:sz="0" w:space="0" w:color="auto"/>
        <w:left w:val="none" w:sz="0" w:space="0" w:color="auto"/>
        <w:bottom w:val="none" w:sz="0" w:space="0" w:color="auto"/>
        <w:right w:val="none" w:sz="0" w:space="0" w:color="auto"/>
      </w:divBdr>
    </w:div>
    <w:div w:id="1769962079">
      <w:bodyDiv w:val="1"/>
      <w:marLeft w:val="0"/>
      <w:marRight w:val="0"/>
      <w:marTop w:val="0"/>
      <w:marBottom w:val="0"/>
      <w:divBdr>
        <w:top w:val="none" w:sz="0" w:space="0" w:color="auto"/>
        <w:left w:val="none" w:sz="0" w:space="0" w:color="auto"/>
        <w:bottom w:val="none" w:sz="0" w:space="0" w:color="auto"/>
        <w:right w:val="none" w:sz="0" w:space="0" w:color="auto"/>
      </w:divBdr>
      <w:divsChild>
        <w:div w:id="97458304">
          <w:marLeft w:val="0"/>
          <w:marRight w:val="0"/>
          <w:marTop w:val="0"/>
          <w:marBottom w:val="0"/>
          <w:divBdr>
            <w:top w:val="none" w:sz="0" w:space="0" w:color="auto"/>
            <w:left w:val="none" w:sz="0" w:space="0" w:color="auto"/>
            <w:bottom w:val="none" w:sz="0" w:space="0" w:color="auto"/>
            <w:right w:val="none" w:sz="0" w:space="0" w:color="auto"/>
          </w:divBdr>
        </w:div>
        <w:div w:id="673648387">
          <w:marLeft w:val="0"/>
          <w:marRight w:val="0"/>
          <w:marTop w:val="0"/>
          <w:marBottom w:val="0"/>
          <w:divBdr>
            <w:top w:val="none" w:sz="0" w:space="0" w:color="auto"/>
            <w:left w:val="none" w:sz="0" w:space="0" w:color="auto"/>
            <w:bottom w:val="none" w:sz="0" w:space="0" w:color="auto"/>
            <w:right w:val="none" w:sz="0" w:space="0" w:color="auto"/>
          </w:divBdr>
        </w:div>
        <w:div w:id="1035693098">
          <w:marLeft w:val="0"/>
          <w:marRight w:val="0"/>
          <w:marTop w:val="0"/>
          <w:marBottom w:val="0"/>
          <w:divBdr>
            <w:top w:val="none" w:sz="0" w:space="0" w:color="auto"/>
            <w:left w:val="none" w:sz="0" w:space="0" w:color="auto"/>
            <w:bottom w:val="none" w:sz="0" w:space="0" w:color="auto"/>
            <w:right w:val="none" w:sz="0" w:space="0" w:color="auto"/>
          </w:divBdr>
        </w:div>
        <w:div w:id="1268345041">
          <w:marLeft w:val="0"/>
          <w:marRight w:val="0"/>
          <w:marTop w:val="0"/>
          <w:marBottom w:val="0"/>
          <w:divBdr>
            <w:top w:val="none" w:sz="0" w:space="0" w:color="auto"/>
            <w:left w:val="none" w:sz="0" w:space="0" w:color="auto"/>
            <w:bottom w:val="none" w:sz="0" w:space="0" w:color="auto"/>
            <w:right w:val="none" w:sz="0" w:space="0" w:color="auto"/>
          </w:divBdr>
        </w:div>
        <w:div w:id="1310749957">
          <w:marLeft w:val="0"/>
          <w:marRight w:val="0"/>
          <w:marTop w:val="0"/>
          <w:marBottom w:val="0"/>
          <w:divBdr>
            <w:top w:val="none" w:sz="0" w:space="0" w:color="auto"/>
            <w:left w:val="none" w:sz="0" w:space="0" w:color="auto"/>
            <w:bottom w:val="none" w:sz="0" w:space="0" w:color="auto"/>
            <w:right w:val="none" w:sz="0" w:space="0" w:color="auto"/>
          </w:divBdr>
        </w:div>
        <w:div w:id="1352682757">
          <w:marLeft w:val="0"/>
          <w:marRight w:val="0"/>
          <w:marTop w:val="0"/>
          <w:marBottom w:val="0"/>
          <w:divBdr>
            <w:top w:val="none" w:sz="0" w:space="0" w:color="auto"/>
            <w:left w:val="none" w:sz="0" w:space="0" w:color="auto"/>
            <w:bottom w:val="none" w:sz="0" w:space="0" w:color="auto"/>
            <w:right w:val="none" w:sz="0" w:space="0" w:color="auto"/>
          </w:divBdr>
        </w:div>
        <w:div w:id="1828587619">
          <w:marLeft w:val="0"/>
          <w:marRight w:val="0"/>
          <w:marTop w:val="0"/>
          <w:marBottom w:val="0"/>
          <w:divBdr>
            <w:top w:val="none" w:sz="0" w:space="0" w:color="auto"/>
            <w:left w:val="none" w:sz="0" w:space="0" w:color="auto"/>
            <w:bottom w:val="none" w:sz="0" w:space="0" w:color="auto"/>
            <w:right w:val="none" w:sz="0" w:space="0" w:color="auto"/>
          </w:divBdr>
        </w:div>
        <w:div w:id="1969817217">
          <w:marLeft w:val="0"/>
          <w:marRight w:val="0"/>
          <w:marTop w:val="0"/>
          <w:marBottom w:val="0"/>
          <w:divBdr>
            <w:top w:val="none" w:sz="0" w:space="0" w:color="auto"/>
            <w:left w:val="none" w:sz="0" w:space="0" w:color="auto"/>
            <w:bottom w:val="none" w:sz="0" w:space="0" w:color="auto"/>
            <w:right w:val="none" w:sz="0" w:space="0" w:color="auto"/>
          </w:divBdr>
        </w:div>
      </w:divsChild>
    </w:div>
    <w:div w:id="1777749345">
      <w:bodyDiv w:val="1"/>
      <w:marLeft w:val="0"/>
      <w:marRight w:val="0"/>
      <w:marTop w:val="0"/>
      <w:marBottom w:val="0"/>
      <w:divBdr>
        <w:top w:val="none" w:sz="0" w:space="0" w:color="auto"/>
        <w:left w:val="none" w:sz="0" w:space="0" w:color="auto"/>
        <w:bottom w:val="none" w:sz="0" w:space="0" w:color="auto"/>
        <w:right w:val="none" w:sz="0" w:space="0" w:color="auto"/>
      </w:divBdr>
    </w:div>
    <w:div w:id="1801221007">
      <w:bodyDiv w:val="1"/>
      <w:marLeft w:val="0"/>
      <w:marRight w:val="0"/>
      <w:marTop w:val="0"/>
      <w:marBottom w:val="0"/>
      <w:divBdr>
        <w:top w:val="none" w:sz="0" w:space="0" w:color="auto"/>
        <w:left w:val="none" w:sz="0" w:space="0" w:color="auto"/>
        <w:bottom w:val="none" w:sz="0" w:space="0" w:color="auto"/>
        <w:right w:val="none" w:sz="0" w:space="0" w:color="auto"/>
      </w:divBdr>
    </w:div>
    <w:div w:id="1807354751">
      <w:bodyDiv w:val="1"/>
      <w:marLeft w:val="0"/>
      <w:marRight w:val="0"/>
      <w:marTop w:val="0"/>
      <w:marBottom w:val="0"/>
      <w:divBdr>
        <w:top w:val="none" w:sz="0" w:space="0" w:color="auto"/>
        <w:left w:val="none" w:sz="0" w:space="0" w:color="auto"/>
        <w:bottom w:val="none" w:sz="0" w:space="0" w:color="auto"/>
        <w:right w:val="none" w:sz="0" w:space="0" w:color="auto"/>
      </w:divBdr>
    </w:div>
    <w:div w:id="1808625711">
      <w:bodyDiv w:val="1"/>
      <w:marLeft w:val="0"/>
      <w:marRight w:val="0"/>
      <w:marTop w:val="0"/>
      <w:marBottom w:val="0"/>
      <w:divBdr>
        <w:top w:val="none" w:sz="0" w:space="0" w:color="auto"/>
        <w:left w:val="none" w:sz="0" w:space="0" w:color="auto"/>
        <w:bottom w:val="none" w:sz="0" w:space="0" w:color="auto"/>
        <w:right w:val="none" w:sz="0" w:space="0" w:color="auto"/>
      </w:divBdr>
    </w:div>
    <w:div w:id="1815293440">
      <w:bodyDiv w:val="1"/>
      <w:marLeft w:val="0"/>
      <w:marRight w:val="0"/>
      <w:marTop w:val="0"/>
      <w:marBottom w:val="0"/>
      <w:divBdr>
        <w:top w:val="none" w:sz="0" w:space="0" w:color="auto"/>
        <w:left w:val="none" w:sz="0" w:space="0" w:color="auto"/>
        <w:bottom w:val="none" w:sz="0" w:space="0" w:color="auto"/>
        <w:right w:val="none" w:sz="0" w:space="0" w:color="auto"/>
      </w:divBdr>
    </w:div>
    <w:div w:id="1831368027">
      <w:bodyDiv w:val="1"/>
      <w:marLeft w:val="0"/>
      <w:marRight w:val="0"/>
      <w:marTop w:val="0"/>
      <w:marBottom w:val="0"/>
      <w:divBdr>
        <w:top w:val="none" w:sz="0" w:space="0" w:color="auto"/>
        <w:left w:val="none" w:sz="0" w:space="0" w:color="auto"/>
        <w:bottom w:val="none" w:sz="0" w:space="0" w:color="auto"/>
        <w:right w:val="none" w:sz="0" w:space="0" w:color="auto"/>
      </w:divBdr>
    </w:div>
    <w:div w:id="1844932113">
      <w:bodyDiv w:val="1"/>
      <w:marLeft w:val="0"/>
      <w:marRight w:val="0"/>
      <w:marTop w:val="0"/>
      <w:marBottom w:val="0"/>
      <w:divBdr>
        <w:top w:val="none" w:sz="0" w:space="0" w:color="auto"/>
        <w:left w:val="none" w:sz="0" w:space="0" w:color="auto"/>
        <w:bottom w:val="none" w:sz="0" w:space="0" w:color="auto"/>
        <w:right w:val="none" w:sz="0" w:space="0" w:color="auto"/>
      </w:divBdr>
    </w:div>
    <w:div w:id="1854878112">
      <w:bodyDiv w:val="1"/>
      <w:marLeft w:val="0"/>
      <w:marRight w:val="0"/>
      <w:marTop w:val="0"/>
      <w:marBottom w:val="0"/>
      <w:divBdr>
        <w:top w:val="none" w:sz="0" w:space="0" w:color="auto"/>
        <w:left w:val="none" w:sz="0" w:space="0" w:color="auto"/>
        <w:bottom w:val="none" w:sz="0" w:space="0" w:color="auto"/>
        <w:right w:val="none" w:sz="0" w:space="0" w:color="auto"/>
      </w:divBdr>
    </w:div>
    <w:div w:id="1855920413">
      <w:bodyDiv w:val="1"/>
      <w:marLeft w:val="0"/>
      <w:marRight w:val="0"/>
      <w:marTop w:val="0"/>
      <w:marBottom w:val="0"/>
      <w:divBdr>
        <w:top w:val="none" w:sz="0" w:space="0" w:color="auto"/>
        <w:left w:val="none" w:sz="0" w:space="0" w:color="auto"/>
        <w:bottom w:val="none" w:sz="0" w:space="0" w:color="auto"/>
        <w:right w:val="none" w:sz="0" w:space="0" w:color="auto"/>
      </w:divBdr>
    </w:div>
    <w:div w:id="1859544103">
      <w:bodyDiv w:val="1"/>
      <w:marLeft w:val="0"/>
      <w:marRight w:val="0"/>
      <w:marTop w:val="0"/>
      <w:marBottom w:val="0"/>
      <w:divBdr>
        <w:top w:val="none" w:sz="0" w:space="0" w:color="auto"/>
        <w:left w:val="none" w:sz="0" w:space="0" w:color="auto"/>
        <w:bottom w:val="none" w:sz="0" w:space="0" w:color="auto"/>
        <w:right w:val="none" w:sz="0" w:space="0" w:color="auto"/>
      </w:divBdr>
    </w:div>
    <w:div w:id="1875655638">
      <w:bodyDiv w:val="1"/>
      <w:marLeft w:val="0"/>
      <w:marRight w:val="0"/>
      <w:marTop w:val="0"/>
      <w:marBottom w:val="0"/>
      <w:divBdr>
        <w:top w:val="none" w:sz="0" w:space="0" w:color="auto"/>
        <w:left w:val="none" w:sz="0" w:space="0" w:color="auto"/>
        <w:bottom w:val="none" w:sz="0" w:space="0" w:color="auto"/>
        <w:right w:val="none" w:sz="0" w:space="0" w:color="auto"/>
      </w:divBdr>
    </w:div>
    <w:div w:id="1907492484">
      <w:bodyDiv w:val="1"/>
      <w:marLeft w:val="0"/>
      <w:marRight w:val="0"/>
      <w:marTop w:val="0"/>
      <w:marBottom w:val="0"/>
      <w:divBdr>
        <w:top w:val="none" w:sz="0" w:space="0" w:color="auto"/>
        <w:left w:val="none" w:sz="0" w:space="0" w:color="auto"/>
        <w:bottom w:val="none" w:sz="0" w:space="0" w:color="auto"/>
        <w:right w:val="none" w:sz="0" w:space="0" w:color="auto"/>
      </w:divBdr>
    </w:div>
    <w:div w:id="1912226433">
      <w:bodyDiv w:val="1"/>
      <w:marLeft w:val="0"/>
      <w:marRight w:val="0"/>
      <w:marTop w:val="0"/>
      <w:marBottom w:val="0"/>
      <w:divBdr>
        <w:top w:val="none" w:sz="0" w:space="0" w:color="auto"/>
        <w:left w:val="none" w:sz="0" w:space="0" w:color="auto"/>
        <w:bottom w:val="none" w:sz="0" w:space="0" w:color="auto"/>
        <w:right w:val="none" w:sz="0" w:space="0" w:color="auto"/>
      </w:divBdr>
    </w:div>
    <w:div w:id="1914701722">
      <w:bodyDiv w:val="1"/>
      <w:marLeft w:val="0"/>
      <w:marRight w:val="0"/>
      <w:marTop w:val="0"/>
      <w:marBottom w:val="0"/>
      <w:divBdr>
        <w:top w:val="none" w:sz="0" w:space="0" w:color="auto"/>
        <w:left w:val="none" w:sz="0" w:space="0" w:color="auto"/>
        <w:bottom w:val="none" w:sz="0" w:space="0" w:color="auto"/>
        <w:right w:val="none" w:sz="0" w:space="0" w:color="auto"/>
      </w:divBdr>
    </w:div>
    <w:div w:id="1918249587">
      <w:bodyDiv w:val="1"/>
      <w:marLeft w:val="0"/>
      <w:marRight w:val="0"/>
      <w:marTop w:val="0"/>
      <w:marBottom w:val="0"/>
      <w:divBdr>
        <w:top w:val="none" w:sz="0" w:space="0" w:color="auto"/>
        <w:left w:val="none" w:sz="0" w:space="0" w:color="auto"/>
        <w:bottom w:val="none" w:sz="0" w:space="0" w:color="auto"/>
        <w:right w:val="none" w:sz="0" w:space="0" w:color="auto"/>
      </w:divBdr>
    </w:div>
    <w:div w:id="1920794892">
      <w:bodyDiv w:val="1"/>
      <w:marLeft w:val="0"/>
      <w:marRight w:val="0"/>
      <w:marTop w:val="0"/>
      <w:marBottom w:val="0"/>
      <w:divBdr>
        <w:top w:val="none" w:sz="0" w:space="0" w:color="auto"/>
        <w:left w:val="none" w:sz="0" w:space="0" w:color="auto"/>
        <w:bottom w:val="none" w:sz="0" w:space="0" w:color="auto"/>
        <w:right w:val="none" w:sz="0" w:space="0" w:color="auto"/>
      </w:divBdr>
    </w:div>
    <w:div w:id="1929849780">
      <w:bodyDiv w:val="1"/>
      <w:marLeft w:val="0"/>
      <w:marRight w:val="0"/>
      <w:marTop w:val="0"/>
      <w:marBottom w:val="0"/>
      <w:divBdr>
        <w:top w:val="none" w:sz="0" w:space="0" w:color="auto"/>
        <w:left w:val="none" w:sz="0" w:space="0" w:color="auto"/>
        <w:bottom w:val="none" w:sz="0" w:space="0" w:color="auto"/>
        <w:right w:val="none" w:sz="0" w:space="0" w:color="auto"/>
      </w:divBdr>
    </w:div>
    <w:div w:id="1944995326">
      <w:bodyDiv w:val="1"/>
      <w:marLeft w:val="0"/>
      <w:marRight w:val="0"/>
      <w:marTop w:val="0"/>
      <w:marBottom w:val="0"/>
      <w:divBdr>
        <w:top w:val="none" w:sz="0" w:space="0" w:color="auto"/>
        <w:left w:val="none" w:sz="0" w:space="0" w:color="auto"/>
        <w:bottom w:val="none" w:sz="0" w:space="0" w:color="auto"/>
        <w:right w:val="none" w:sz="0" w:space="0" w:color="auto"/>
      </w:divBdr>
    </w:div>
    <w:div w:id="1948582075">
      <w:bodyDiv w:val="1"/>
      <w:marLeft w:val="0"/>
      <w:marRight w:val="0"/>
      <w:marTop w:val="0"/>
      <w:marBottom w:val="0"/>
      <w:divBdr>
        <w:top w:val="none" w:sz="0" w:space="0" w:color="auto"/>
        <w:left w:val="none" w:sz="0" w:space="0" w:color="auto"/>
        <w:bottom w:val="none" w:sz="0" w:space="0" w:color="auto"/>
        <w:right w:val="none" w:sz="0" w:space="0" w:color="auto"/>
      </w:divBdr>
    </w:div>
    <w:div w:id="2003393306">
      <w:bodyDiv w:val="1"/>
      <w:marLeft w:val="0"/>
      <w:marRight w:val="0"/>
      <w:marTop w:val="0"/>
      <w:marBottom w:val="0"/>
      <w:divBdr>
        <w:top w:val="none" w:sz="0" w:space="0" w:color="auto"/>
        <w:left w:val="none" w:sz="0" w:space="0" w:color="auto"/>
        <w:bottom w:val="none" w:sz="0" w:space="0" w:color="auto"/>
        <w:right w:val="none" w:sz="0" w:space="0" w:color="auto"/>
      </w:divBdr>
    </w:div>
    <w:div w:id="2008942159">
      <w:bodyDiv w:val="1"/>
      <w:marLeft w:val="0"/>
      <w:marRight w:val="0"/>
      <w:marTop w:val="0"/>
      <w:marBottom w:val="0"/>
      <w:divBdr>
        <w:top w:val="none" w:sz="0" w:space="0" w:color="auto"/>
        <w:left w:val="none" w:sz="0" w:space="0" w:color="auto"/>
        <w:bottom w:val="none" w:sz="0" w:space="0" w:color="auto"/>
        <w:right w:val="none" w:sz="0" w:space="0" w:color="auto"/>
      </w:divBdr>
    </w:div>
    <w:div w:id="2011981439">
      <w:bodyDiv w:val="1"/>
      <w:marLeft w:val="0"/>
      <w:marRight w:val="0"/>
      <w:marTop w:val="0"/>
      <w:marBottom w:val="0"/>
      <w:divBdr>
        <w:top w:val="none" w:sz="0" w:space="0" w:color="auto"/>
        <w:left w:val="none" w:sz="0" w:space="0" w:color="auto"/>
        <w:bottom w:val="none" w:sz="0" w:space="0" w:color="auto"/>
        <w:right w:val="none" w:sz="0" w:space="0" w:color="auto"/>
      </w:divBdr>
    </w:div>
    <w:div w:id="2017076930">
      <w:bodyDiv w:val="1"/>
      <w:marLeft w:val="0"/>
      <w:marRight w:val="0"/>
      <w:marTop w:val="0"/>
      <w:marBottom w:val="0"/>
      <w:divBdr>
        <w:top w:val="none" w:sz="0" w:space="0" w:color="auto"/>
        <w:left w:val="none" w:sz="0" w:space="0" w:color="auto"/>
        <w:bottom w:val="none" w:sz="0" w:space="0" w:color="auto"/>
        <w:right w:val="none" w:sz="0" w:space="0" w:color="auto"/>
      </w:divBdr>
    </w:div>
    <w:div w:id="2029523309">
      <w:bodyDiv w:val="1"/>
      <w:marLeft w:val="0"/>
      <w:marRight w:val="0"/>
      <w:marTop w:val="0"/>
      <w:marBottom w:val="0"/>
      <w:divBdr>
        <w:top w:val="none" w:sz="0" w:space="0" w:color="auto"/>
        <w:left w:val="none" w:sz="0" w:space="0" w:color="auto"/>
        <w:bottom w:val="none" w:sz="0" w:space="0" w:color="auto"/>
        <w:right w:val="none" w:sz="0" w:space="0" w:color="auto"/>
      </w:divBdr>
    </w:div>
    <w:div w:id="2041078662">
      <w:bodyDiv w:val="1"/>
      <w:marLeft w:val="0"/>
      <w:marRight w:val="0"/>
      <w:marTop w:val="0"/>
      <w:marBottom w:val="0"/>
      <w:divBdr>
        <w:top w:val="none" w:sz="0" w:space="0" w:color="auto"/>
        <w:left w:val="none" w:sz="0" w:space="0" w:color="auto"/>
        <w:bottom w:val="none" w:sz="0" w:space="0" w:color="auto"/>
        <w:right w:val="none" w:sz="0" w:space="0" w:color="auto"/>
      </w:divBdr>
    </w:div>
    <w:div w:id="2050836664">
      <w:bodyDiv w:val="1"/>
      <w:marLeft w:val="0"/>
      <w:marRight w:val="0"/>
      <w:marTop w:val="0"/>
      <w:marBottom w:val="0"/>
      <w:divBdr>
        <w:top w:val="none" w:sz="0" w:space="0" w:color="auto"/>
        <w:left w:val="none" w:sz="0" w:space="0" w:color="auto"/>
        <w:bottom w:val="none" w:sz="0" w:space="0" w:color="auto"/>
        <w:right w:val="none" w:sz="0" w:space="0" w:color="auto"/>
      </w:divBdr>
      <w:divsChild>
        <w:div w:id="1230532078">
          <w:marLeft w:val="0"/>
          <w:marRight w:val="0"/>
          <w:marTop w:val="0"/>
          <w:marBottom w:val="0"/>
          <w:divBdr>
            <w:top w:val="none" w:sz="0" w:space="0" w:color="auto"/>
            <w:left w:val="none" w:sz="0" w:space="0" w:color="auto"/>
            <w:bottom w:val="none" w:sz="0" w:space="0" w:color="auto"/>
            <w:right w:val="none" w:sz="0" w:space="0" w:color="auto"/>
          </w:divBdr>
        </w:div>
        <w:div w:id="1701394285">
          <w:marLeft w:val="0"/>
          <w:marRight w:val="0"/>
          <w:marTop w:val="0"/>
          <w:marBottom w:val="0"/>
          <w:divBdr>
            <w:top w:val="none" w:sz="0" w:space="0" w:color="auto"/>
            <w:left w:val="none" w:sz="0" w:space="0" w:color="auto"/>
            <w:bottom w:val="none" w:sz="0" w:space="0" w:color="auto"/>
            <w:right w:val="none" w:sz="0" w:space="0" w:color="auto"/>
          </w:divBdr>
        </w:div>
      </w:divsChild>
    </w:div>
    <w:div w:id="2054881498">
      <w:bodyDiv w:val="1"/>
      <w:marLeft w:val="0"/>
      <w:marRight w:val="0"/>
      <w:marTop w:val="0"/>
      <w:marBottom w:val="0"/>
      <w:divBdr>
        <w:top w:val="none" w:sz="0" w:space="0" w:color="auto"/>
        <w:left w:val="none" w:sz="0" w:space="0" w:color="auto"/>
        <w:bottom w:val="none" w:sz="0" w:space="0" w:color="auto"/>
        <w:right w:val="none" w:sz="0" w:space="0" w:color="auto"/>
      </w:divBdr>
    </w:div>
    <w:div w:id="2057965996">
      <w:bodyDiv w:val="1"/>
      <w:marLeft w:val="0"/>
      <w:marRight w:val="0"/>
      <w:marTop w:val="0"/>
      <w:marBottom w:val="0"/>
      <w:divBdr>
        <w:top w:val="none" w:sz="0" w:space="0" w:color="auto"/>
        <w:left w:val="none" w:sz="0" w:space="0" w:color="auto"/>
        <w:bottom w:val="none" w:sz="0" w:space="0" w:color="auto"/>
        <w:right w:val="none" w:sz="0" w:space="0" w:color="auto"/>
      </w:divBdr>
    </w:div>
    <w:div w:id="2065911267">
      <w:bodyDiv w:val="1"/>
      <w:marLeft w:val="0"/>
      <w:marRight w:val="0"/>
      <w:marTop w:val="0"/>
      <w:marBottom w:val="0"/>
      <w:divBdr>
        <w:top w:val="none" w:sz="0" w:space="0" w:color="auto"/>
        <w:left w:val="none" w:sz="0" w:space="0" w:color="auto"/>
        <w:bottom w:val="none" w:sz="0" w:space="0" w:color="auto"/>
        <w:right w:val="none" w:sz="0" w:space="0" w:color="auto"/>
      </w:divBdr>
    </w:div>
    <w:div w:id="2082175407">
      <w:bodyDiv w:val="1"/>
      <w:marLeft w:val="0"/>
      <w:marRight w:val="0"/>
      <w:marTop w:val="0"/>
      <w:marBottom w:val="0"/>
      <w:divBdr>
        <w:top w:val="none" w:sz="0" w:space="0" w:color="auto"/>
        <w:left w:val="none" w:sz="0" w:space="0" w:color="auto"/>
        <w:bottom w:val="none" w:sz="0" w:space="0" w:color="auto"/>
        <w:right w:val="none" w:sz="0" w:space="0" w:color="auto"/>
      </w:divBdr>
    </w:div>
    <w:div w:id="2086995971">
      <w:bodyDiv w:val="1"/>
      <w:marLeft w:val="0"/>
      <w:marRight w:val="0"/>
      <w:marTop w:val="0"/>
      <w:marBottom w:val="0"/>
      <w:divBdr>
        <w:top w:val="none" w:sz="0" w:space="0" w:color="auto"/>
        <w:left w:val="none" w:sz="0" w:space="0" w:color="auto"/>
        <w:bottom w:val="none" w:sz="0" w:space="0" w:color="auto"/>
        <w:right w:val="none" w:sz="0" w:space="0" w:color="auto"/>
      </w:divBdr>
    </w:div>
    <w:div w:id="2090538810">
      <w:bodyDiv w:val="1"/>
      <w:marLeft w:val="0"/>
      <w:marRight w:val="0"/>
      <w:marTop w:val="0"/>
      <w:marBottom w:val="0"/>
      <w:divBdr>
        <w:top w:val="none" w:sz="0" w:space="0" w:color="auto"/>
        <w:left w:val="none" w:sz="0" w:space="0" w:color="auto"/>
        <w:bottom w:val="none" w:sz="0" w:space="0" w:color="auto"/>
        <w:right w:val="none" w:sz="0" w:space="0" w:color="auto"/>
      </w:divBdr>
    </w:div>
    <w:div w:id="2091853707">
      <w:bodyDiv w:val="1"/>
      <w:marLeft w:val="0"/>
      <w:marRight w:val="0"/>
      <w:marTop w:val="0"/>
      <w:marBottom w:val="0"/>
      <w:divBdr>
        <w:top w:val="none" w:sz="0" w:space="0" w:color="auto"/>
        <w:left w:val="none" w:sz="0" w:space="0" w:color="auto"/>
        <w:bottom w:val="none" w:sz="0" w:space="0" w:color="auto"/>
        <w:right w:val="none" w:sz="0" w:space="0" w:color="auto"/>
      </w:divBdr>
    </w:div>
    <w:div w:id="2137597674">
      <w:bodyDiv w:val="1"/>
      <w:marLeft w:val="0"/>
      <w:marRight w:val="0"/>
      <w:marTop w:val="0"/>
      <w:marBottom w:val="0"/>
      <w:divBdr>
        <w:top w:val="none" w:sz="0" w:space="0" w:color="auto"/>
        <w:left w:val="none" w:sz="0" w:space="0" w:color="auto"/>
        <w:bottom w:val="none" w:sz="0" w:space="0" w:color="auto"/>
        <w:right w:val="none" w:sz="0" w:space="0" w:color="auto"/>
      </w:divBdr>
      <w:divsChild>
        <w:div w:id="298655937">
          <w:marLeft w:val="0"/>
          <w:marRight w:val="0"/>
          <w:marTop w:val="0"/>
          <w:marBottom w:val="0"/>
          <w:divBdr>
            <w:top w:val="none" w:sz="0" w:space="0" w:color="auto"/>
            <w:left w:val="none" w:sz="0" w:space="0" w:color="auto"/>
            <w:bottom w:val="none" w:sz="0" w:space="0" w:color="auto"/>
            <w:right w:val="none" w:sz="0" w:space="0" w:color="auto"/>
          </w:divBdr>
        </w:div>
        <w:div w:id="1419978698">
          <w:marLeft w:val="0"/>
          <w:marRight w:val="0"/>
          <w:marTop w:val="0"/>
          <w:marBottom w:val="0"/>
          <w:divBdr>
            <w:top w:val="none" w:sz="0" w:space="0" w:color="auto"/>
            <w:left w:val="none" w:sz="0" w:space="0" w:color="auto"/>
            <w:bottom w:val="none" w:sz="0" w:space="0" w:color="auto"/>
            <w:right w:val="none" w:sz="0" w:space="0" w:color="auto"/>
          </w:divBdr>
          <w:divsChild>
            <w:div w:id="198904191">
              <w:marLeft w:val="0"/>
              <w:marRight w:val="0"/>
              <w:marTop w:val="0"/>
              <w:marBottom w:val="0"/>
              <w:divBdr>
                <w:top w:val="none" w:sz="0" w:space="0" w:color="auto"/>
                <w:left w:val="none" w:sz="0" w:space="0" w:color="auto"/>
                <w:bottom w:val="none" w:sz="0" w:space="0" w:color="auto"/>
                <w:right w:val="none" w:sz="0" w:space="0" w:color="auto"/>
              </w:divBdr>
            </w:div>
            <w:div w:id="171673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46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7E2ED-F5C3-4C87-B4E8-FE9746AD1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32529</Words>
  <Characters>18542</Characters>
  <Application>Microsoft Office Word</Application>
  <DocSecurity>0</DocSecurity>
  <Lines>154</Lines>
  <Paragraphs>101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2026-10-08T08:42:00Z</dcterms:created>
  <dcterms:modified xsi:type="dcterms:W3CDTF">2026-10-15T07:06:00Z</dcterms:modified>
</cp:coreProperties>
</file>