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859E" w14:textId="57FCC17E" w:rsidR="00EE09AD" w:rsidRPr="00EE0FC1" w:rsidRDefault="00EE09AD" w:rsidP="00F87300">
      <w:pPr>
        <w:pStyle w:val="NoSpacing1"/>
        <w:ind w:right="-1" w:firstLine="0"/>
        <w:jc w:val="center"/>
        <w:rPr>
          <w:rFonts w:asciiTheme="minorHAnsi" w:hAnsiTheme="minorHAnsi" w:cstheme="minorHAnsi"/>
        </w:rPr>
      </w:pPr>
    </w:p>
    <w:p w14:paraId="1697E115" w14:textId="5BA2A218" w:rsidR="00C629B9" w:rsidRPr="00EE0FC1" w:rsidRDefault="00C629B9" w:rsidP="00F87300">
      <w:pPr>
        <w:pStyle w:val="NoSpacing1"/>
        <w:ind w:right="-1" w:firstLine="0"/>
        <w:jc w:val="center"/>
        <w:rPr>
          <w:rFonts w:asciiTheme="minorHAnsi" w:hAnsiTheme="minorHAnsi" w:cstheme="minorHAnsi"/>
        </w:rPr>
      </w:pPr>
    </w:p>
    <w:p w14:paraId="093146CB" w14:textId="42758594" w:rsidR="00C629B9" w:rsidRPr="00EE0FC1" w:rsidRDefault="00C629B9" w:rsidP="00F87300">
      <w:pPr>
        <w:pStyle w:val="NoSpacing1"/>
        <w:ind w:right="-1" w:firstLine="0"/>
        <w:jc w:val="center"/>
        <w:rPr>
          <w:rFonts w:asciiTheme="minorHAnsi" w:hAnsiTheme="minorHAnsi" w:cstheme="minorHAnsi"/>
        </w:rPr>
      </w:pPr>
    </w:p>
    <w:p w14:paraId="31926292" w14:textId="57DC52C7" w:rsidR="00C629B9" w:rsidRPr="00EE0FC1" w:rsidRDefault="00C629B9" w:rsidP="00F87300">
      <w:pPr>
        <w:pStyle w:val="NoSpacing1"/>
        <w:ind w:right="-1" w:firstLine="0"/>
        <w:jc w:val="center"/>
        <w:rPr>
          <w:rFonts w:asciiTheme="minorHAnsi" w:hAnsiTheme="minorHAnsi" w:cstheme="minorHAnsi"/>
        </w:rPr>
      </w:pPr>
    </w:p>
    <w:p w14:paraId="3A609108" w14:textId="25A8B999" w:rsidR="00C629B9" w:rsidRPr="00EE0FC1" w:rsidRDefault="00C629B9" w:rsidP="00F87300">
      <w:pPr>
        <w:pStyle w:val="NoSpacing1"/>
        <w:ind w:right="-1" w:firstLine="0"/>
        <w:jc w:val="center"/>
        <w:rPr>
          <w:rFonts w:asciiTheme="minorHAnsi" w:hAnsiTheme="minorHAnsi" w:cstheme="minorHAnsi"/>
        </w:rPr>
      </w:pPr>
    </w:p>
    <w:p w14:paraId="54E4E651" w14:textId="6C64930E" w:rsidR="00C629B9" w:rsidRPr="00EE0FC1" w:rsidRDefault="00C629B9" w:rsidP="00F87300">
      <w:pPr>
        <w:pStyle w:val="NoSpacing1"/>
        <w:ind w:right="-1" w:firstLine="0"/>
        <w:jc w:val="center"/>
        <w:rPr>
          <w:rFonts w:asciiTheme="minorHAnsi" w:hAnsiTheme="minorHAnsi" w:cstheme="minorHAnsi"/>
        </w:rPr>
      </w:pPr>
    </w:p>
    <w:p w14:paraId="696A73EC" w14:textId="77777777" w:rsidR="00C629B9" w:rsidRPr="00EE0FC1" w:rsidRDefault="00C629B9" w:rsidP="00F87300">
      <w:pPr>
        <w:pStyle w:val="NoSpacing1"/>
        <w:ind w:right="-1" w:firstLine="0"/>
        <w:jc w:val="center"/>
        <w:rPr>
          <w:rFonts w:asciiTheme="minorHAnsi" w:hAnsiTheme="minorHAnsi" w:cstheme="minorHAnsi"/>
        </w:rPr>
      </w:pPr>
    </w:p>
    <w:p w14:paraId="145FE607" w14:textId="77777777" w:rsidR="00EE09AD" w:rsidRPr="00EE0FC1" w:rsidRDefault="00EE09AD" w:rsidP="00F87300">
      <w:pPr>
        <w:pStyle w:val="NoSpacing1"/>
        <w:ind w:right="-1" w:firstLine="0"/>
        <w:jc w:val="center"/>
        <w:rPr>
          <w:rFonts w:asciiTheme="minorHAnsi" w:hAnsiTheme="minorHAnsi" w:cstheme="minorHAnsi"/>
        </w:rPr>
      </w:pPr>
      <w:r w:rsidRPr="00EE0FC1">
        <w:rPr>
          <w:rFonts w:asciiTheme="minorHAnsi" w:hAnsiTheme="minorHAnsi" w:cstheme="minorHAnsi"/>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EE0FC1">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6DD37"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D543F"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07D73"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EE0FC1">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CEF6D"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51EAE35" w14:textId="77777777" w:rsidR="00612945" w:rsidRPr="00EE0FC1" w:rsidRDefault="00612945" w:rsidP="00F87300">
      <w:pPr>
        <w:pStyle w:val="NoSpacing1"/>
        <w:ind w:right="-1" w:firstLine="0"/>
        <w:jc w:val="center"/>
        <w:rPr>
          <w:rFonts w:asciiTheme="minorHAnsi" w:hAnsiTheme="minorHAnsi" w:cstheme="minorHAnsi"/>
          <w:smallCaps/>
        </w:rPr>
      </w:pPr>
    </w:p>
    <w:p w14:paraId="3327C018" w14:textId="77777777" w:rsidR="00612945" w:rsidRPr="00EE0FC1" w:rsidRDefault="00612945" w:rsidP="00F87300">
      <w:pPr>
        <w:pStyle w:val="NoSpacing1"/>
        <w:ind w:right="-1" w:firstLine="0"/>
        <w:jc w:val="center"/>
        <w:rPr>
          <w:rFonts w:asciiTheme="minorHAnsi" w:hAnsiTheme="minorHAnsi" w:cstheme="minorHAnsi"/>
          <w:smallCaps/>
        </w:rPr>
      </w:pPr>
    </w:p>
    <w:p w14:paraId="21290A37" w14:textId="77777777" w:rsidR="00612945" w:rsidRPr="00EE0FC1" w:rsidRDefault="00612945" w:rsidP="00F87300">
      <w:pPr>
        <w:pStyle w:val="NoSpacing1"/>
        <w:ind w:right="-1" w:firstLine="0"/>
        <w:jc w:val="center"/>
        <w:rPr>
          <w:rFonts w:asciiTheme="minorHAnsi" w:hAnsiTheme="minorHAnsi" w:cstheme="minorHAnsi"/>
          <w:smallCaps/>
        </w:rPr>
      </w:pPr>
    </w:p>
    <w:p w14:paraId="3E08561D" w14:textId="17011FAE" w:rsidR="00EE09AD" w:rsidRPr="00EE0FC1" w:rsidRDefault="00EE09AD" w:rsidP="00F87300">
      <w:pPr>
        <w:pStyle w:val="NoSpacing1"/>
        <w:ind w:right="-1" w:firstLine="0"/>
        <w:jc w:val="center"/>
        <w:rPr>
          <w:rFonts w:asciiTheme="minorHAnsi" w:hAnsiTheme="minorHAnsi" w:cstheme="minorHAnsi"/>
          <w:smallCaps/>
          <w:sz w:val="52"/>
          <w:szCs w:val="52"/>
        </w:rPr>
      </w:pPr>
      <w:r w:rsidRPr="00EE0FC1">
        <w:rPr>
          <w:rFonts w:asciiTheme="minorHAnsi" w:hAnsiTheme="minorHAnsi" w:cstheme="minorHAnsi"/>
          <w:smallCaps/>
          <w:sz w:val="52"/>
          <w:szCs w:val="52"/>
        </w:rPr>
        <w:t>Europos Žmogaus Teisių Teismo praktikos apžvalga</w:t>
      </w:r>
    </w:p>
    <w:p w14:paraId="60DC5985" w14:textId="3FCE9039" w:rsidR="00EE09AD" w:rsidRPr="00EE0FC1" w:rsidRDefault="002F43A7" w:rsidP="00F87300">
      <w:pPr>
        <w:pStyle w:val="NoSpacing1"/>
        <w:ind w:right="-1" w:firstLine="0"/>
        <w:jc w:val="center"/>
        <w:rPr>
          <w:rFonts w:asciiTheme="minorHAnsi" w:hAnsiTheme="minorHAnsi" w:cstheme="minorHAnsi"/>
          <w:b/>
          <w:smallCaps/>
          <w:sz w:val="32"/>
          <w:szCs w:val="32"/>
          <w:u w:val="single"/>
        </w:rPr>
      </w:pPr>
      <w:r w:rsidRPr="00EE0FC1">
        <w:rPr>
          <w:rFonts w:asciiTheme="minorHAnsi" w:hAnsiTheme="minorHAnsi" w:cstheme="minorHAnsi"/>
          <w:b/>
          <w:smallCaps/>
          <w:sz w:val="32"/>
          <w:szCs w:val="32"/>
          <w:u w:val="single"/>
        </w:rPr>
        <w:t>202</w:t>
      </w:r>
      <w:r w:rsidR="00264883" w:rsidRPr="00EE0FC1">
        <w:rPr>
          <w:rFonts w:asciiTheme="minorHAnsi" w:hAnsiTheme="minorHAnsi" w:cstheme="minorHAnsi"/>
          <w:b/>
          <w:smallCaps/>
          <w:sz w:val="32"/>
          <w:szCs w:val="32"/>
          <w:u w:val="single"/>
        </w:rPr>
        <w:t>2</w:t>
      </w:r>
      <w:r w:rsidR="00EE09AD" w:rsidRPr="00EE0FC1">
        <w:rPr>
          <w:rFonts w:asciiTheme="minorHAnsi" w:hAnsiTheme="minorHAnsi" w:cstheme="minorHAnsi"/>
          <w:b/>
          <w:smallCaps/>
          <w:sz w:val="32"/>
          <w:szCs w:val="32"/>
          <w:u w:val="single"/>
        </w:rPr>
        <w:t xml:space="preserve"> m. </w:t>
      </w:r>
      <w:r w:rsidR="00CE2DDD">
        <w:rPr>
          <w:rFonts w:asciiTheme="minorHAnsi" w:hAnsiTheme="minorHAnsi" w:cstheme="minorHAnsi"/>
          <w:b/>
          <w:smallCaps/>
          <w:sz w:val="32"/>
          <w:szCs w:val="32"/>
          <w:u w:val="single"/>
        </w:rPr>
        <w:t>liepos</w:t>
      </w:r>
      <w:r w:rsidR="006021A9" w:rsidRPr="00EE0FC1">
        <w:rPr>
          <w:rFonts w:asciiTheme="minorHAnsi" w:hAnsiTheme="minorHAnsi" w:cstheme="minorHAnsi"/>
          <w:b/>
          <w:smallCaps/>
          <w:sz w:val="32"/>
          <w:szCs w:val="32"/>
          <w:u w:val="single"/>
        </w:rPr>
        <w:t xml:space="preserve"> </w:t>
      </w:r>
      <w:r w:rsidRPr="00EE0FC1">
        <w:rPr>
          <w:rFonts w:asciiTheme="minorHAnsi" w:hAnsiTheme="minorHAnsi" w:cstheme="minorHAnsi"/>
          <w:b/>
          <w:smallCaps/>
          <w:sz w:val="32"/>
          <w:szCs w:val="32"/>
          <w:u w:val="single"/>
        </w:rPr>
        <w:t>1 d. – 202</w:t>
      </w:r>
      <w:r w:rsidR="00264883" w:rsidRPr="00EE0FC1">
        <w:rPr>
          <w:rFonts w:asciiTheme="minorHAnsi" w:hAnsiTheme="minorHAnsi" w:cstheme="minorHAnsi"/>
          <w:b/>
          <w:smallCaps/>
          <w:sz w:val="32"/>
          <w:szCs w:val="32"/>
          <w:u w:val="single"/>
        </w:rPr>
        <w:t>2</w:t>
      </w:r>
      <w:r w:rsidR="00EE09AD" w:rsidRPr="00EE0FC1">
        <w:rPr>
          <w:rFonts w:asciiTheme="minorHAnsi" w:hAnsiTheme="minorHAnsi" w:cstheme="minorHAnsi"/>
          <w:b/>
          <w:smallCaps/>
          <w:sz w:val="32"/>
          <w:szCs w:val="32"/>
          <w:u w:val="single"/>
        </w:rPr>
        <w:t xml:space="preserve"> m. </w:t>
      </w:r>
      <w:r w:rsidR="00CE2DDD">
        <w:rPr>
          <w:rFonts w:asciiTheme="minorHAnsi" w:hAnsiTheme="minorHAnsi" w:cstheme="minorHAnsi"/>
          <w:b/>
          <w:smallCaps/>
          <w:sz w:val="32"/>
          <w:szCs w:val="32"/>
          <w:u w:val="single"/>
        </w:rPr>
        <w:t>gruodžio 31</w:t>
      </w:r>
      <w:r w:rsidR="00EE09AD" w:rsidRPr="00EE0FC1">
        <w:rPr>
          <w:rFonts w:asciiTheme="minorHAnsi" w:hAnsiTheme="minorHAnsi" w:cstheme="minorHAnsi"/>
          <w:b/>
          <w:smallCaps/>
          <w:sz w:val="32"/>
          <w:szCs w:val="32"/>
          <w:u w:val="single"/>
        </w:rPr>
        <w:t xml:space="preserve"> d.</w:t>
      </w:r>
    </w:p>
    <w:p w14:paraId="779B7F98" w14:textId="5AEC0169" w:rsidR="00EE09AD" w:rsidRPr="00EE0FC1" w:rsidRDefault="00EE09AD" w:rsidP="00F87300">
      <w:pPr>
        <w:spacing w:after="0" w:line="240" w:lineRule="auto"/>
        <w:ind w:right="-1" w:firstLine="567"/>
        <w:jc w:val="both"/>
        <w:rPr>
          <w:rFonts w:cstheme="minorHAnsi"/>
        </w:rPr>
      </w:pPr>
      <w:r w:rsidRPr="00EE0FC1">
        <w:rPr>
          <w:rFonts w:cstheme="minorHAnsi"/>
          <w:b/>
        </w:rPr>
        <w:br w:type="page"/>
      </w:r>
      <w:r w:rsidRPr="00EE0FC1">
        <w:rPr>
          <w:rFonts w:cstheme="minorHAnsi"/>
          <w:b/>
        </w:rPr>
        <w:lastRenderedPageBreak/>
        <w:t>Svarbi pastaba</w:t>
      </w:r>
      <w:r w:rsidRPr="00EE0FC1">
        <w:rPr>
          <w:rFonts w:cstheme="minorHAnsi"/>
        </w:rPr>
        <w:t xml:space="preserve">: </w:t>
      </w:r>
      <w:r w:rsidR="00FC2556" w:rsidRPr="00EE0FC1">
        <w:rPr>
          <w:rFonts w:cstheme="minorHAnsi"/>
        </w:rPr>
        <w:t>p</w:t>
      </w:r>
      <w:r w:rsidRPr="00EE0FC1">
        <w:rPr>
          <w:rFonts w:cstheme="minorHAnsi"/>
        </w:rPr>
        <w:t xml:space="preserve">rieš supažindindami su Lietuvos vyriausiojo administracinio teismo Teismų praktikos departamento parengta Europos Žmogaus Teisių Teismo </w:t>
      </w:r>
      <w:r w:rsidRPr="00EE0FC1">
        <w:rPr>
          <w:rFonts w:cstheme="minorHAnsi"/>
          <w:bCs/>
        </w:rPr>
        <w:t>praktikos apžvalga</w:t>
      </w:r>
      <w:r w:rsidRPr="00EE0FC1">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w:t>
      </w:r>
      <w:r w:rsidR="00B15160">
        <w:rPr>
          <w:rFonts w:cstheme="minorHAnsi"/>
        </w:rPr>
        <w:t xml:space="preserve"> ir </w:t>
      </w:r>
      <w:r w:rsidR="00B15160" w:rsidRPr="004604AF">
        <w:rPr>
          <w:rFonts w:cstheme="minorHAnsi"/>
        </w:rPr>
        <w:t>bylų santraukomis</w:t>
      </w:r>
      <w:r w:rsidRPr="00EE0FC1">
        <w:rPr>
          <w:rFonts w:cstheme="minorHAnsi"/>
        </w:rPr>
        <w:t>.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EE0FC1" w:rsidRDefault="00EE09AD" w:rsidP="00F87300">
      <w:pPr>
        <w:spacing w:after="0" w:line="240" w:lineRule="auto"/>
        <w:ind w:right="-1" w:firstLine="540"/>
        <w:jc w:val="both"/>
        <w:rPr>
          <w:rFonts w:cstheme="minorHAnsi"/>
        </w:rPr>
      </w:pPr>
      <w:r w:rsidRPr="00EE0FC1">
        <w:rPr>
          <w:rFonts w:cstheme="minorHAnsi"/>
        </w:rPr>
        <w:t xml:space="preserve">Atsižvelgiant į tai, kad oficialius ir nesutrumpintus sprendimų tekstus galite rasti Europos Žmogaus Teisių Teismo interneto svetainėje </w:t>
      </w:r>
      <w:hyperlink r:id="rId9" w:history="1">
        <w:r w:rsidRPr="00EE0FC1">
          <w:rPr>
            <w:rStyle w:val="Hipersaitas"/>
            <w:rFonts w:cstheme="minorHAnsi"/>
          </w:rPr>
          <w:t>www.echr.coe.int</w:t>
        </w:r>
      </w:hyperlink>
      <w:r w:rsidRPr="00EE0FC1">
        <w:rPr>
          <w:rFonts w:cstheme="minorHAnsi"/>
        </w:rPr>
        <w:t xml:space="preserve">, Lietuvos vyriausiasis administracinis teismas neprisiima atsakomybės už atliktą vertimą ir parengtos santraukos išsamumą. </w:t>
      </w:r>
    </w:p>
    <w:p w14:paraId="3BE223FE" w14:textId="77777777" w:rsidR="00EE09AD" w:rsidRPr="00EE0FC1" w:rsidRDefault="00EE09AD" w:rsidP="00F87300">
      <w:pPr>
        <w:spacing w:after="0" w:line="240" w:lineRule="auto"/>
        <w:ind w:right="-1" w:firstLine="540"/>
        <w:jc w:val="both"/>
        <w:rPr>
          <w:rFonts w:cstheme="minorHAnsi"/>
        </w:rPr>
      </w:pPr>
    </w:p>
    <w:p w14:paraId="6D8B8E74" w14:textId="77777777" w:rsidR="00EE09AD" w:rsidRPr="00EE0FC1" w:rsidRDefault="00EE09AD" w:rsidP="00F87300">
      <w:pPr>
        <w:spacing w:after="0" w:line="240" w:lineRule="auto"/>
        <w:ind w:right="-1"/>
        <w:jc w:val="both"/>
        <w:rPr>
          <w:rFonts w:cstheme="minorHAnsi"/>
        </w:rPr>
      </w:pPr>
      <w:r w:rsidRPr="00EE0FC1">
        <w:rPr>
          <w:rFonts w:cstheme="minorHAnsi"/>
        </w:rPr>
        <w:t>Apžvalgoje naudojami pagrindiniai sutrumpinimai:</w:t>
      </w:r>
    </w:p>
    <w:p w14:paraId="1DE4E769" w14:textId="77777777" w:rsidR="00EE09AD" w:rsidRPr="00EE0FC1" w:rsidRDefault="00EE09AD" w:rsidP="00F87300">
      <w:pPr>
        <w:spacing w:after="0" w:line="240" w:lineRule="auto"/>
        <w:ind w:right="-1"/>
        <w:jc w:val="both"/>
        <w:rPr>
          <w:rFonts w:cstheme="minorHAnsi"/>
        </w:rPr>
      </w:pPr>
      <w:r w:rsidRPr="00EE0FC1">
        <w:rPr>
          <w:rFonts w:cstheme="minorHAnsi"/>
          <w:b/>
        </w:rPr>
        <w:t>EŽTT, Teismas</w:t>
      </w:r>
      <w:r w:rsidRPr="00EE0FC1">
        <w:rPr>
          <w:rFonts w:cstheme="minorHAnsi"/>
        </w:rPr>
        <w:t xml:space="preserve"> – Europos Žmogaus Teisių Teismas</w:t>
      </w:r>
    </w:p>
    <w:p w14:paraId="718E76F1" w14:textId="0C7113E4" w:rsidR="00EE09AD" w:rsidRPr="00EE0FC1" w:rsidRDefault="00EE09AD" w:rsidP="00F87300">
      <w:pPr>
        <w:spacing w:after="0" w:line="240" w:lineRule="auto"/>
        <w:ind w:right="-1"/>
        <w:jc w:val="both"/>
        <w:rPr>
          <w:rFonts w:cstheme="minorHAnsi"/>
        </w:rPr>
      </w:pPr>
      <w:r w:rsidRPr="00EE0FC1">
        <w:rPr>
          <w:rFonts w:cstheme="minorHAnsi"/>
          <w:b/>
        </w:rPr>
        <w:t>Konvencija</w:t>
      </w:r>
      <w:r w:rsidRPr="00EE0FC1">
        <w:rPr>
          <w:rFonts w:cstheme="minorHAnsi"/>
        </w:rPr>
        <w:t xml:space="preserve"> – Žmogaus teisių ir pagrindinių laisvių apsaugos konvencija</w:t>
      </w:r>
    </w:p>
    <w:p w14:paraId="6914CC32" w14:textId="27D1CCED" w:rsidR="006C3D4F" w:rsidRPr="00EE0FC1" w:rsidRDefault="006C3D4F" w:rsidP="00F87300">
      <w:pPr>
        <w:spacing w:after="0" w:line="240" w:lineRule="auto"/>
        <w:ind w:right="-1"/>
        <w:jc w:val="both"/>
        <w:rPr>
          <w:rFonts w:cstheme="minorHAnsi"/>
        </w:rPr>
      </w:pPr>
      <w:r w:rsidRPr="00EE0FC1">
        <w:rPr>
          <w:rFonts w:cstheme="minorHAnsi"/>
          <w:b/>
          <w:bCs/>
        </w:rPr>
        <w:t xml:space="preserve">ES </w:t>
      </w:r>
      <w:r w:rsidRPr="00EE0FC1">
        <w:rPr>
          <w:rFonts w:cstheme="minorHAnsi"/>
        </w:rPr>
        <w:t>– Europos Sąjunga</w:t>
      </w:r>
    </w:p>
    <w:p w14:paraId="0175E68D" w14:textId="77777777" w:rsidR="00EE09AD" w:rsidRPr="00EE0FC1" w:rsidRDefault="00EE09AD" w:rsidP="00F87300">
      <w:pPr>
        <w:spacing w:after="0" w:line="240" w:lineRule="auto"/>
        <w:ind w:right="-1"/>
        <w:jc w:val="both"/>
        <w:rPr>
          <w:rFonts w:cstheme="minorHAnsi"/>
        </w:rPr>
      </w:pPr>
      <w:r w:rsidRPr="00EE0FC1">
        <w:rPr>
          <w:rFonts w:cstheme="minorHAnsi"/>
          <w:b/>
        </w:rPr>
        <w:t>Svarbos lygiai</w:t>
      </w:r>
      <w:r w:rsidRPr="00EE0FC1">
        <w:rPr>
          <w:rFonts w:cstheme="minorHAnsi"/>
        </w:rPr>
        <w:t xml:space="preserve"> – Europos Žmogaus Teisių Teismo nagrinėjamos bylos yra skirstomos į keturias kategorijas:</w:t>
      </w:r>
    </w:p>
    <w:p w14:paraId="231A7163" w14:textId="6055A7D5" w:rsidR="00EE09AD" w:rsidRPr="00EE0FC1" w:rsidRDefault="009B0BCB" w:rsidP="00F87300">
      <w:pPr>
        <w:tabs>
          <w:tab w:val="left" w:pos="567"/>
        </w:tabs>
        <w:spacing w:after="0" w:line="240" w:lineRule="auto"/>
        <w:ind w:left="539" w:right="-1"/>
        <w:jc w:val="both"/>
        <w:rPr>
          <w:rFonts w:cstheme="minorHAnsi"/>
        </w:rPr>
      </w:pPr>
      <w:r w:rsidRPr="00EE0FC1">
        <w:rPr>
          <w:rFonts w:cstheme="minorHAnsi"/>
          <w:i/>
        </w:rPr>
        <w:t>Svarbiausios bylos (angl. key cases)</w:t>
      </w:r>
      <w:r w:rsidR="00EE09AD" w:rsidRPr="00EE0FC1">
        <w:rPr>
          <w:rFonts w:cstheme="minorHAnsi"/>
        </w:rPr>
        <w:t xml:space="preserve"> – ypatingos svarbos sprendimai, kuri</w:t>
      </w:r>
      <w:r w:rsidRPr="00EE0FC1">
        <w:rPr>
          <w:rFonts w:cstheme="minorHAnsi"/>
        </w:rPr>
        <w:t>uos atrenka specialus Teismo teisėjų biuras, sudarytas iš Teismo pirmininko, pirmininko pavaduotojų ir skyrių pirmininkų.</w:t>
      </w:r>
    </w:p>
    <w:p w14:paraId="487CA55A" w14:textId="77777777" w:rsidR="00EE09AD" w:rsidRPr="00EE0FC1" w:rsidRDefault="00EE09AD" w:rsidP="00F87300">
      <w:pPr>
        <w:spacing w:after="0" w:line="240" w:lineRule="auto"/>
        <w:ind w:left="539" w:right="-1"/>
        <w:jc w:val="both"/>
        <w:rPr>
          <w:rFonts w:cstheme="minorHAnsi"/>
        </w:rPr>
      </w:pPr>
      <w:r w:rsidRPr="00EE0FC1">
        <w:rPr>
          <w:rFonts w:cstheme="minorHAnsi"/>
          <w:i/>
        </w:rPr>
        <w:t>1 = Didelė svarba</w:t>
      </w:r>
      <w:r w:rsidRPr="00EE0FC1">
        <w:rPr>
          <w:rFonts w:cstheme="minorHAnsi"/>
        </w:rPr>
        <w:t>: sprendimai, kurie reikšmingai prisideda prie Teismo praktikos plėtojimo, aiškinimo ar keitimo.</w:t>
      </w:r>
    </w:p>
    <w:p w14:paraId="70E0507C" w14:textId="77777777" w:rsidR="00EE09AD" w:rsidRPr="00EE0FC1" w:rsidRDefault="00EE09AD" w:rsidP="00F87300">
      <w:pPr>
        <w:spacing w:after="0" w:line="240" w:lineRule="auto"/>
        <w:ind w:left="539" w:right="-1"/>
        <w:jc w:val="both"/>
        <w:rPr>
          <w:rFonts w:cstheme="minorHAnsi"/>
        </w:rPr>
      </w:pPr>
      <w:r w:rsidRPr="00EE0FC1">
        <w:rPr>
          <w:rFonts w:cstheme="minorHAnsi"/>
          <w:i/>
        </w:rPr>
        <w:t>2 = Vidutinė svarba</w:t>
      </w:r>
      <w:r w:rsidRPr="00EE0FC1">
        <w:rPr>
          <w:rFonts w:cstheme="minorHAnsi"/>
        </w:rPr>
        <w:t>: sprendimai, kurie nors ir reikšmingai praktikos nepakeičia, tačiau nėra susiję vien tik su nusistovėjusios praktikos laikymusi.</w:t>
      </w:r>
    </w:p>
    <w:p w14:paraId="687CA506" w14:textId="77777777" w:rsidR="00EE09AD" w:rsidRPr="00EE0FC1" w:rsidRDefault="00EE09AD" w:rsidP="00F87300">
      <w:pPr>
        <w:spacing w:after="0" w:line="240" w:lineRule="auto"/>
        <w:ind w:left="539" w:right="-1"/>
        <w:jc w:val="both"/>
        <w:rPr>
          <w:rFonts w:cstheme="minorHAnsi"/>
        </w:rPr>
      </w:pPr>
      <w:r w:rsidRPr="00EE0FC1">
        <w:rPr>
          <w:rFonts w:cstheme="minorHAnsi"/>
          <w:i/>
        </w:rPr>
        <w:t>3 = Mažesnė svarba</w:t>
      </w:r>
      <w:r w:rsidRPr="00EE0FC1">
        <w:rPr>
          <w:rFonts w:cstheme="minorHAnsi"/>
        </w:rPr>
        <w:t>: sprendimai, pasižymintys mažu teisiniu interesu, t. y. sprendimai, kuriuose paprasčiausiai laikomasi nusistovėjusios teismo praktikos ir kt.</w:t>
      </w:r>
    </w:p>
    <w:p w14:paraId="10D3BA50" w14:textId="77777777" w:rsidR="00EE09AD" w:rsidRPr="00EE0FC1" w:rsidRDefault="00EE09AD" w:rsidP="00F87300">
      <w:pPr>
        <w:spacing w:after="0" w:line="240" w:lineRule="auto"/>
        <w:ind w:right="-1"/>
        <w:jc w:val="both"/>
        <w:rPr>
          <w:rFonts w:cstheme="minorHAnsi"/>
          <w:b/>
        </w:rPr>
      </w:pPr>
      <w:r w:rsidRPr="00EE0FC1">
        <w:rPr>
          <w:rFonts w:cstheme="minorHAnsi"/>
          <w:b/>
        </w:rPr>
        <w:br w:type="page"/>
      </w:r>
    </w:p>
    <w:sdt>
      <w:sdtPr>
        <w:rPr>
          <w:rFonts w:asciiTheme="minorHAnsi" w:eastAsiaTheme="minorHAnsi" w:hAnsiTheme="minorHAnsi" w:cstheme="minorBidi"/>
          <w:bCs w:val="0"/>
          <w:color w:val="auto"/>
          <w:sz w:val="22"/>
          <w:szCs w:val="22"/>
          <w:lang w:eastAsia="en-US"/>
        </w:rPr>
        <w:id w:val="1087499545"/>
        <w:docPartObj>
          <w:docPartGallery w:val="Table of Contents"/>
          <w:docPartUnique/>
        </w:docPartObj>
      </w:sdtPr>
      <w:sdtContent>
        <w:p w14:paraId="29C58ADA" w14:textId="7F8C1682" w:rsidR="00A60AAA" w:rsidRPr="00FF7A49" w:rsidRDefault="00A60AAA" w:rsidP="00F87300">
          <w:pPr>
            <w:pStyle w:val="Turinioantrat"/>
            <w:ind w:right="-1"/>
            <w:rPr>
              <w:bCs w:val="0"/>
              <w:color w:val="auto"/>
              <w:sz w:val="2"/>
              <w:szCs w:val="2"/>
            </w:rPr>
          </w:pPr>
        </w:p>
        <w:p w14:paraId="3E0364E5" w14:textId="6D3B8980" w:rsidR="00D73865" w:rsidRDefault="00A60AAA">
          <w:pPr>
            <w:pStyle w:val="Turinys1"/>
            <w:rPr>
              <w:rFonts w:eastAsiaTheme="minorEastAsia"/>
              <w:color w:val="auto"/>
              <w:kern w:val="2"/>
              <w:lang w:val="en-US"/>
              <w14:ligatures w14:val="standardContextual"/>
            </w:rPr>
          </w:pPr>
          <w:r w:rsidRPr="00FF7A49">
            <w:rPr>
              <w:color w:val="auto"/>
            </w:rPr>
            <w:fldChar w:fldCharType="begin"/>
          </w:r>
          <w:r w:rsidRPr="00FF7A49">
            <w:rPr>
              <w:color w:val="auto"/>
            </w:rPr>
            <w:instrText xml:space="preserve"> TOC \o "1-3" \h \z \u </w:instrText>
          </w:r>
          <w:r w:rsidRPr="00FF7A49">
            <w:rPr>
              <w:color w:val="auto"/>
            </w:rPr>
            <w:fldChar w:fldCharType="separate"/>
          </w:r>
          <w:hyperlink w:anchor="_Toc141446340" w:history="1">
            <w:r w:rsidR="00D73865" w:rsidRPr="00973E91">
              <w:rPr>
                <w:rStyle w:val="Hipersaitas"/>
                <w:rFonts w:eastAsia="Times New Roman"/>
              </w:rPr>
              <w:t>TEISĖ Į TEISINGĄ BYLOS NAGRINĖJIMĄ (6 straipsnis)</w:t>
            </w:r>
            <w:r w:rsidR="00D73865">
              <w:rPr>
                <w:webHidden/>
              </w:rPr>
              <w:tab/>
            </w:r>
            <w:r w:rsidR="00D73865">
              <w:rPr>
                <w:webHidden/>
              </w:rPr>
              <w:fldChar w:fldCharType="begin"/>
            </w:r>
            <w:r w:rsidR="00D73865">
              <w:rPr>
                <w:webHidden/>
              </w:rPr>
              <w:instrText xml:space="preserve"> PAGEREF _Toc141446340 \h </w:instrText>
            </w:r>
            <w:r w:rsidR="00D73865">
              <w:rPr>
                <w:webHidden/>
              </w:rPr>
            </w:r>
            <w:r w:rsidR="00D73865">
              <w:rPr>
                <w:webHidden/>
              </w:rPr>
              <w:fldChar w:fldCharType="separate"/>
            </w:r>
            <w:r w:rsidR="00D73865">
              <w:rPr>
                <w:webHidden/>
              </w:rPr>
              <w:t>5</w:t>
            </w:r>
            <w:r w:rsidR="00D73865">
              <w:rPr>
                <w:webHidden/>
              </w:rPr>
              <w:fldChar w:fldCharType="end"/>
            </w:r>
          </w:hyperlink>
        </w:p>
        <w:p w14:paraId="2342882C" w14:textId="5CD878E8"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41" w:history="1">
            <w:r w:rsidR="00D73865" w:rsidRPr="00973E91">
              <w:rPr>
                <w:rStyle w:val="Hipersaitas"/>
                <w:rFonts w:cstheme="minorHAnsi"/>
              </w:rPr>
              <w:t>De Legé prieš Nyderlandus</w:t>
            </w:r>
            <w:r w:rsidR="00D73865">
              <w:rPr>
                <w:webHidden/>
              </w:rPr>
              <w:tab/>
            </w:r>
            <w:r w:rsidR="00D73865">
              <w:rPr>
                <w:webHidden/>
              </w:rPr>
              <w:fldChar w:fldCharType="begin"/>
            </w:r>
            <w:r w:rsidR="00D73865">
              <w:rPr>
                <w:webHidden/>
              </w:rPr>
              <w:instrText xml:space="preserve"> PAGEREF _Toc141446341 \h </w:instrText>
            </w:r>
            <w:r w:rsidR="00D73865">
              <w:rPr>
                <w:webHidden/>
              </w:rPr>
            </w:r>
            <w:r w:rsidR="00D73865">
              <w:rPr>
                <w:webHidden/>
              </w:rPr>
              <w:fldChar w:fldCharType="separate"/>
            </w:r>
            <w:r w:rsidR="00D73865">
              <w:rPr>
                <w:webHidden/>
              </w:rPr>
              <w:t>5</w:t>
            </w:r>
            <w:r w:rsidR="00D73865">
              <w:rPr>
                <w:webHidden/>
              </w:rPr>
              <w:fldChar w:fldCharType="end"/>
            </w:r>
          </w:hyperlink>
        </w:p>
        <w:p w14:paraId="4A6ED7CD" w14:textId="364F3FAE" w:rsidR="00D73865" w:rsidRDefault="00000000">
          <w:pPr>
            <w:pStyle w:val="Turinys3"/>
            <w:rPr>
              <w:rFonts w:eastAsiaTheme="minorEastAsia" w:cstheme="minorBidi"/>
              <w:bCs w:val="0"/>
              <w:i w:val="0"/>
              <w:iCs w:val="0"/>
              <w:kern w:val="2"/>
              <w:lang w:val="en-US"/>
              <w14:ligatures w14:val="standardContextual"/>
            </w:rPr>
          </w:pPr>
          <w:hyperlink w:anchor="_Toc141446342" w:history="1">
            <w:r w:rsidR="00D73865" w:rsidRPr="00973E91">
              <w:rPr>
                <w:rStyle w:val="Hipersaitas"/>
              </w:rPr>
              <w:t>Dėl teisės neteikti parodymų (įrodymų) prieš save pažeidimo, kai mokesčio mokėtojas yra įpareigojamas pateikti konkrečius dokumentus</w:t>
            </w:r>
            <w:r w:rsidR="00D73865">
              <w:rPr>
                <w:webHidden/>
              </w:rPr>
              <w:tab/>
            </w:r>
            <w:r w:rsidR="00D73865">
              <w:rPr>
                <w:webHidden/>
              </w:rPr>
              <w:fldChar w:fldCharType="begin"/>
            </w:r>
            <w:r w:rsidR="00D73865">
              <w:rPr>
                <w:webHidden/>
              </w:rPr>
              <w:instrText xml:space="preserve"> PAGEREF _Toc141446342 \h </w:instrText>
            </w:r>
            <w:r w:rsidR="00D73865">
              <w:rPr>
                <w:webHidden/>
              </w:rPr>
            </w:r>
            <w:r w:rsidR="00D73865">
              <w:rPr>
                <w:webHidden/>
              </w:rPr>
              <w:fldChar w:fldCharType="separate"/>
            </w:r>
            <w:r w:rsidR="00D73865">
              <w:rPr>
                <w:webHidden/>
              </w:rPr>
              <w:t>5</w:t>
            </w:r>
            <w:r w:rsidR="00D73865">
              <w:rPr>
                <w:webHidden/>
              </w:rPr>
              <w:fldChar w:fldCharType="end"/>
            </w:r>
          </w:hyperlink>
        </w:p>
        <w:p w14:paraId="1959A8D2" w14:textId="7F4CC261"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43" w:history="1">
            <w:r w:rsidR="00D73865" w:rsidRPr="00973E91">
              <w:rPr>
                <w:rStyle w:val="Hipersaitas"/>
                <w:rFonts w:cstheme="minorHAnsi"/>
              </w:rPr>
              <w:t>Cocelli ir kt. prieš Turkiją</w:t>
            </w:r>
            <w:r w:rsidR="00D73865">
              <w:rPr>
                <w:webHidden/>
              </w:rPr>
              <w:tab/>
            </w:r>
            <w:r w:rsidR="00D73865">
              <w:rPr>
                <w:webHidden/>
              </w:rPr>
              <w:fldChar w:fldCharType="begin"/>
            </w:r>
            <w:r w:rsidR="00D73865">
              <w:rPr>
                <w:webHidden/>
              </w:rPr>
              <w:instrText xml:space="preserve"> PAGEREF _Toc141446343 \h </w:instrText>
            </w:r>
            <w:r w:rsidR="00D73865">
              <w:rPr>
                <w:webHidden/>
              </w:rPr>
            </w:r>
            <w:r w:rsidR="00D73865">
              <w:rPr>
                <w:webHidden/>
              </w:rPr>
              <w:fldChar w:fldCharType="separate"/>
            </w:r>
            <w:r w:rsidR="00D73865">
              <w:rPr>
                <w:webHidden/>
              </w:rPr>
              <w:t>6</w:t>
            </w:r>
            <w:r w:rsidR="00D73865">
              <w:rPr>
                <w:webHidden/>
              </w:rPr>
              <w:fldChar w:fldCharType="end"/>
            </w:r>
          </w:hyperlink>
        </w:p>
        <w:p w14:paraId="1FAE2F7F" w14:textId="30FEF3E7" w:rsidR="00D73865" w:rsidRDefault="00000000">
          <w:pPr>
            <w:pStyle w:val="Turinys3"/>
            <w:rPr>
              <w:rFonts w:eastAsiaTheme="minorEastAsia" w:cstheme="minorBidi"/>
              <w:bCs w:val="0"/>
              <w:i w:val="0"/>
              <w:iCs w:val="0"/>
              <w:kern w:val="2"/>
              <w:lang w:val="en-US"/>
              <w14:ligatures w14:val="standardContextual"/>
            </w:rPr>
          </w:pPr>
          <w:hyperlink w:anchor="_Toc141446344" w:history="1">
            <w:r w:rsidR="00D73865" w:rsidRPr="00973E91">
              <w:rPr>
                <w:rStyle w:val="Hipersaitas"/>
              </w:rPr>
              <w:t>Dėl išvadą administraciniame teisme teikusių ekspertų šališkumo vertinimo</w:t>
            </w:r>
            <w:r w:rsidR="00D73865">
              <w:rPr>
                <w:webHidden/>
              </w:rPr>
              <w:tab/>
            </w:r>
            <w:r w:rsidR="00D73865">
              <w:rPr>
                <w:webHidden/>
              </w:rPr>
              <w:fldChar w:fldCharType="begin"/>
            </w:r>
            <w:r w:rsidR="00D73865">
              <w:rPr>
                <w:webHidden/>
              </w:rPr>
              <w:instrText xml:space="preserve"> PAGEREF _Toc141446344 \h </w:instrText>
            </w:r>
            <w:r w:rsidR="00D73865">
              <w:rPr>
                <w:webHidden/>
              </w:rPr>
            </w:r>
            <w:r w:rsidR="00D73865">
              <w:rPr>
                <w:webHidden/>
              </w:rPr>
              <w:fldChar w:fldCharType="separate"/>
            </w:r>
            <w:r w:rsidR="00D73865">
              <w:rPr>
                <w:webHidden/>
              </w:rPr>
              <w:t>6</w:t>
            </w:r>
            <w:r w:rsidR="00D73865">
              <w:rPr>
                <w:webHidden/>
              </w:rPr>
              <w:fldChar w:fldCharType="end"/>
            </w:r>
          </w:hyperlink>
        </w:p>
        <w:p w14:paraId="7860DF3E" w14:textId="129C7857"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45" w:history="1">
            <w:r w:rsidR="00D73865" w:rsidRPr="00973E91">
              <w:rPr>
                <w:rStyle w:val="Hipersaitas"/>
                <w:rFonts w:cstheme="minorHAnsi"/>
              </w:rPr>
              <w:t>Vegotex International S.A. prieš Belgiją</w:t>
            </w:r>
            <w:r w:rsidR="00D73865">
              <w:rPr>
                <w:webHidden/>
              </w:rPr>
              <w:tab/>
            </w:r>
            <w:r w:rsidR="00D73865">
              <w:rPr>
                <w:webHidden/>
              </w:rPr>
              <w:fldChar w:fldCharType="begin"/>
            </w:r>
            <w:r w:rsidR="00D73865">
              <w:rPr>
                <w:webHidden/>
              </w:rPr>
              <w:instrText xml:space="preserve"> PAGEREF _Toc141446345 \h </w:instrText>
            </w:r>
            <w:r w:rsidR="00D73865">
              <w:rPr>
                <w:webHidden/>
              </w:rPr>
            </w:r>
            <w:r w:rsidR="00D73865">
              <w:rPr>
                <w:webHidden/>
              </w:rPr>
              <w:fldChar w:fldCharType="separate"/>
            </w:r>
            <w:r w:rsidR="00D73865">
              <w:rPr>
                <w:webHidden/>
              </w:rPr>
              <w:t>8</w:t>
            </w:r>
            <w:r w:rsidR="00D73865">
              <w:rPr>
                <w:webHidden/>
              </w:rPr>
              <w:fldChar w:fldCharType="end"/>
            </w:r>
          </w:hyperlink>
        </w:p>
        <w:p w14:paraId="376151FF" w14:textId="7C29B23F" w:rsidR="00D73865" w:rsidRDefault="00000000">
          <w:pPr>
            <w:pStyle w:val="Turinys3"/>
            <w:rPr>
              <w:rFonts w:eastAsiaTheme="minorEastAsia" w:cstheme="minorBidi"/>
              <w:bCs w:val="0"/>
              <w:i w:val="0"/>
              <w:iCs w:val="0"/>
              <w:kern w:val="2"/>
              <w:lang w:val="en-US"/>
              <w14:ligatures w14:val="standardContextual"/>
            </w:rPr>
          </w:pPr>
          <w:hyperlink w:anchor="_Toc141446346" w:history="1">
            <w:r w:rsidR="00D73865" w:rsidRPr="00973E91">
              <w:rPr>
                <w:rStyle w:val="Hipersaitas"/>
              </w:rPr>
              <w:t>Dėl įstatymų leidėjo teisės įsiterpti į teismuose nagrinėjamus mokestinius ginčus, siekiant atkurti nuoseklią administracinę praktiką, kuri buvo netikėtai pakeista vienodą teismų praktiką formuojančio teismo sprendimu</w:t>
            </w:r>
            <w:r w:rsidR="00D73865">
              <w:rPr>
                <w:webHidden/>
              </w:rPr>
              <w:tab/>
            </w:r>
            <w:r w:rsidR="00D73865">
              <w:rPr>
                <w:webHidden/>
              </w:rPr>
              <w:fldChar w:fldCharType="begin"/>
            </w:r>
            <w:r w:rsidR="00D73865">
              <w:rPr>
                <w:webHidden/>
              </w:rPr>
              <w:instrText xml:space="preserve"> PAGEREF _Toc141446346 \h </w:instrText>
            </w:r>
            <w:r w:rsidR="00D73865">
              <w:rPr>
                <w:webHidden/>
              </w:rPr>
            </w:r>
            <w:r w:rsidR="00D73865">
              <w:rPr>
                <w:webHidden/>
              </w:rPr>
              <w:fldChar w:fldCharType="separate"/>
            </w:r>
            <w:r w:rsidR="00D73865">
              <w:rPr>
                <w:webHidden/>
              </w:rPr>
              <w:t>8</w:t>
            </w:r>
            <w:r w:rsidR="00D73865">
              <w:rPr>
                <w:webHidden/>
              </w:rPr>
              <w:fldChar w:fldCharType="end"/>
            </w:r>
          </w:hyperlink>
        </w:p>
        <w:p w14:paraId="2B9382DF" w14:textId="50D548C4"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47" w:history="1">
            <w:r w:rsidR="00D73865" w:rsidRPr="00973E91">
              <w:rPr>
                <w:rStyle w:val="Hipersaitas"/>
                <w:rFonts w:cstheme="minorHAnsi"/>
              </w:rPr>
              <w:t>Cela prieš Albaniją</w:t>
            </w:r>
            <w:r w:rsidR="00D73865">
              <w:rPr>
                <w:webHidden/>
              </w:rPr>
              <w:tab/>
            </w:r>
            <w:r w:rsidR="00D73865">
              <w:rPr>
                <w:webHidden/>
              </w:rPr>
              <w:fldChar w:fldCharType="begin"/>
            </w:r>
            <w:r w:rsidR="00D73865">
              <w:rPr>
                <w:webHidden/>
              </w:rPr>
              <w:instrText xml:space="preserve"> PAGEREF _Toc141446347 \h </w:instrText>
            </w:r>
            <w:r w:rsidR="00D73865">
              <w:rPr>
                <w:webHidden/>
              </w:rPr>
            </w:r>
            <w:r w:rsidR="00D73865">
              <w:rPr>
                <w:webHidden/>
              </w:rPr>
              <w:fldChar w:fldCharType="separate"/>
            </w:r>
            <w:r w:rsidR="00D73865">
              <w:rPr>
                <w:webHidden/>
              </w:rPr>
              <w:t>9</w:t>
            </w:r>
            <w:r w:rsidR="00D73865">
              <w:rPr>
                <w:webHidden/>
              </w:rPr>
              <w:fldChar w:fldCharType="end"/>
            </w:r>
          </w:hyperlink>
        </w:p>
        <w:p w14:paraId="551079AE" w14:textId="57D29C53" w:rsidR="00D73865" w:rsidRDefault="00000000">
          <w:pPr>
            <w:pStyle w:val="Turinys3"/>
            <w:rPr>
              <w:rFonts w:eastAsiaTheme="minorEastAsia" w:cstheme="minorBidi"/>
              <w:bCs w:val="0"/>
              <w:i w:val="0"/>
              <w:iCs w:val="0"/>
              <w:kern w:val="2"/>
              <w:lang w:val="en-US"/>
              <w14:ligatures w14:val="standardContextual"/>
            </w:rPr>
          </w:pPr>
          <w:hyperlink w:anchor="_Toc141446348" w:history="1">
            <w:r w:rsidR="00D73865" w:rsidRPr="00973E91">
              <w:rPr>
                <w:rStyle w:val="Hipersaitas"/>
              </w:rPr>
              <w:t>Dėl atsisakymo priimti konstitucinį skundą dėl praleisto termino, kuris pradėtas taikyti po skundo padavimo</w:t>
            </w:r>
            <w:r w:rsidR="00D73865">
              <w:rPr>
                <w:webHidden/>
              </w:rPr>
              <w:tab/>
            </w:r>
            <w:r w:rsidR="00D73865">
              <w:rPr>
                <w:webHidden/>
              </w:rPr>
              <w:fldChar w:fldCharType="begin"/>
            </w:r>
            <w:r w:rsidR="00D73865">
              <w:rPr>
                <w:webHidden/>
              </w:rPr>
              <w:instrText xml:space="preserve"> PAGEREF _Toc141446348 \h </w:instrText>
            </w:r>
            <w:r w:rsidR="00D73865">
              <w:rPr>
                <w:webHidden/>
              </w:rPr>
            </w:r>
            <w:r w:rsidR="00D73865">
              <w:rPr>
                <w:webHidden/>
              </w:rPr>
              <w:fldChar w:fldCharType="separate"/>
            </w:r>
            <w:r w:rsidR="00D73865">
              <w:rPr>
                <w:webHidden/>
              </w:rPr>
              <w:t>9</w:t>
            </w:r>
            <w:r w:rsidR="00D73865">
              <w:rPr>
                <w:webHidden/>
              </w:rPr>
              <w:fldChar w:fldCharType="end"/>
            </w:r>
          </w:hyperlink>
        </w:p>
        <w:p w14:paraId="7418EBCA" w14:textId="6EB2D454"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49" w:history="1">
            <w:r w:rsidR="00D73865" w:rsidRPr="00973E91">
              <w:rPr>
                <w:rStyle w:val="Hipersaitas"/>
              </w:rPr>
              <w:t>Balan prieš Moldovos Respubliką (Nr. 2)</w:t>
            </w:r>
            <w:r w:rsidR="00D73865">
              <w:rPr>
                <w:webHidden/>
              </w:rPr>
              <w:tab/>
            </w:r>
            <w:r w:rsidR="00D73865">
              <w:rPr>
                <w:webHidden/>
              </w:rPr>
              <w:fldChar w:fldCharType="begin"/>
            </w:r>
            <w:r w:rsidR="00D73865">
              <w:rPr>
                <w:webHidden/>
              </w:rPr>
              <w:instrText xml:space="preserve"> PAGEREF _Toc141446349 \h </w:instrText>
            </w:r>
            <w:r w:rsidR="00D73865">
              <w:rPr>
                <w:webHidden/>
              </w:rPr>
            </w:r>
            <w:r w:rsidR="00D73865">
              <w:rPr>
                <w:webHidden/>
              </w:rPr>
              <w:fldChar w:fldCharType="separate"/>
            </w:r>
            <w:r w:rsidR="00D73865">
              <w:rPr>
                <w:webHidden/>
              </w:rPr>
              <w:t>10</w:t>
            </w:r>
            <w:r w:rsidR="00D73865">
              <w:rPr>
                <w:webHidden/>
              </w:rPr>
              <w:fldChar w:fldCharType="end"/>
            </w:r>
          </w:hyperlink>
        </w:p>
        <w:p w14:paraId="7B1A8D94" w14:textId="7EEF5B3A" w:rsidR="00D73865" w:rsidRDefault="00000000">
          <w:pPr>
            <w:pStyle w:val="Turinys3"/>
            <w:rPr>
              <w:rFonts w:eastAsiaTheme="minorEastAsia" w:cstheme="minorBidi"/>
              <w:bCs w:val="0"/>
              <w:i w:val="0"/>
              <w:iCs w:val="0"/>
              <w:kern w:val="2"/>
              <w:lang w:val="en-US"/>
              <w14:ligatures w14:val="standardContextual"/>
            </w:rPr>
          </w:pPr>
          <w:hyperlink w:anchor="_Toc141446350" w:history="1">
            <w:r w:rsidR="00D73865" w:rsidRPr="00973E91">
              <w:rPr>
                <w:rStyle w:val="Hipersaitas"/>
                <w:rFonts w:ascii="Calibri" w:eastAsia="Times New Roman" w:hAnsi="Calibri" w:cs="Times New Roman"/>
              </w:rPr>
              <w:t>Dėl galutinio sprendimo išaiškinimo</w:t>
            </w:r>
            <w:r w:rsidR="00D73865">
              <w:rPr>
                <w:webHidden/>
              </w:rPr>
              <w:tab/>
            </w:r>
            <w:r w:rsidR="00D73865">
              <w:rPr>
                <w:webHidden/>
              </w:rPr>
              <w:fldChar w:fldCharType="begin"/>
            </w:r>
            <w:r w:rsidR="00D73865">
              <w:rPr>
                <w:webHidden/>
              </w:rPr>
              <w:instrText xml:space="preserve"> PAGEREF _Toc141446350 \h </w:instrText>
            </w:r>
            <w:r w:rsidR="00D73865">
              <w:rPr>
                <w:webHidden/>
              </w:rPr>
            </w:r>
            <w:r w:rsidR="00D73865">
              <w:rPr>
                <w:webHidden/>
              </w:rPr>
              <w:fldChar w:fldCharType="separate"/>
            </w:r>
            <w:r w:rsidR="00D73865">
              <w:rPr>
                <w:webHidden/>
              </w:rPr>
              <w:t>10</w:t>
            </w:r>
            <w:r w:rsidR="00D73865">
              <w:rPr>
                <w:webHidden/>
              </w:rPr>
              <w:fldChar w:fldCharType="end"/>
            </w:r>
          </w:hyperlink>
        </w:p>
        <w:p w14:paraId="44B667DE" w14:textId="2BF260D5"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51" w:history="1">
            <w:r w:rsidR="00D73865" w:rsidRPr="00973E91">
              <w:rPr>
                <w:rStyle w:val="Hipersaitas"/>
                <w:rFonts w:eastAsia="Calibri"/>
              </w:rPr>
              <w:t>Rutar ir Rutar Marketing d.o.o. prieš Slovėniją</w:t>
            </w:r>
            <w:r w:rsidR="00D73865">
              <w:rPr>
                <w:webHidden/>
              </w:rPr>
              <w:tab/>
            </w:r>
            <w:r w:rsidR="00D73865">
              <w:rPr>
                <w:webHidden/>
              </w:rPr>
              <w:fldChar w:fldCharType="begin"/>
            </w:r>
            <w:r w:rsidR="00D73865">
              <w:rPr>
                <w:webHidden/>
              </w:rPr>
              <w:instrText xml:space="preserve"> PAGEREF _Toc141446351 \h </w:instrText>
            </w:r>
            <w:r w:rsidR="00D73865">
              <w:rPr>
                <w:webHidden/>
              </w:rPr>
            </w:r>
            <w:r w:rsidR="00D73865">
              <w:rPr>
                <w:webHidden/>
              </w:rPr>
              <w:fldChar w:fldCharType="separate"/>
            </w:r>
            <w:r w:rsidR="00D73865">
              <w:rPr>
                <w:webHidden/>
              </w:rPr>
              <w:t>11</w:t>
            </w:r>
            <w:r w:rsidR="00D73865">
              <w:rPr>
                <w:webHidden/>
              </w:rPr>
              <w:fldChar w:fldCharType="end"/>
            </w:r>
          </w:hyperlink>
        </w:p>
        <w:p w14:paraId="24BB884A" w14:textId="6EE42035" w:rsidR="00D73865" w:rsidRDefault="00000000">
          <w:pPr>
            <w:pStyle w:val="Turinys3"/>
            <w:rPr>
              <w:rFonts w:eastAsiaTheme="minorEastAsia" w:cstheme="minorBidi"/>
              <w:bCs w:val="0"/>
              <w:i w:val="0"/>
              <w:iCs w:val="0"/>
              <w:kern w:val="2"/>
              <w:lang w:val="en-US"/>
              <w14:ligatures w14:val="standardContextual"/>
            </w:rPr>
          </w:pPr>
          <w:hyperlink w:anchor="_Toc141446352" w:history="1">
            <w:r w:rsidR="00D73865" w:rsidRPr="00973E91">
              <w:rPr>
                <w:rStyle w:val="Hipersaitas"/>
                <w:rFonts w:ascii="Calibri" w:eastAsia="Times New Roman" w:hAnsi="Calibri" w:cs="Times New Roman"/>
              </w:rPr>
              <w:t>Dėl nacionalinio teismo nemotyvuoto atsisakymo kreiptis į Europos Sąjungos Teisingumo Teismą dėl prejudicinio sprendimo priėmimo</w:t>
            </w:r>
            <w:r w:rsidR="00D73865">
              <w:rPr>
                <w:webHidden/>
              </w:rPr>
              <w:tab/>
            </w:r>
            <w:r w:rsidR="00D73865">
              <w:rPr>
                <w:webHidden/>
              </w:rPr>
              <w:fldChar w:fldCharType="begin"/>
            </w:r>
            <w:r w:rsidR="00D73865">
              <w:rPr>
                <w:webHidden/>
              </w:rPr>
              <w:instrText xml:space="preserve"> PAGEREF _Toc141446352 \h </w:instrText>
            </w:r>
            <w:r w:rsidR="00D73865">
              <w:rPr>
                <w:webHidden/>
              </w:rPr>
            </w:r>
            <w:r w:rsidR="00D73865">
              <w:rPr>
                <w:webHidden/>
              </w:rPr>
              <w:fldChar w:fldCharType="separate"/>
            </w:r>
            <w:r w:rsidR="00D73865">
              <w:rPr>
                <w:webHidden/>
              </w:rPr>
              <w:t>11</w:t>
            </w:r>
            <w:r w:rsidR="00D73865">
              <w:rPr>
                <w:webHidden/>
              </w:rPr>
              <w:fldChar w:fldCharType="end"/>
            </w:r>
          </w:hyperlink>
        </w:p>
        <w:p w14:paraId="49685427" w14:textId="40432191" w:rsidR="00D73865" w:rsidRDefault="00000000">
          <w:pPr>
            <w:pStyle w:val="Turinys1"/>
            <w:rPr>
              <w:rFonts w:eastAsiaTheme="minorEastAsia"/>
              <w:color w:val="auto"/>
              <w:kern w:val="2"/>
              <w:lang w:val="en-US"/>
              <w14:ligatures w14:val="standardContextual"/>
            </w:rPr>
          </w:pPr>
          <w:hyperlink w:anchor="_Toc141446353" w:history="1">
            <w:r w:rsidR="00D73865" w:rsidRPr="00973E91">
              <w:rPr>
                <w:rStyle w:val="Hipersaitas"/>
                <w:rFonts w:eastAsia="Times New Roman" w:cstheme="minorHAnsi"/>
              </w:rPr>
              <w:t>TEISĖ Į PRIVATAUS IR ŠEIMOS GYVENIMO GERBIMĄ (8 straipsnis)</w:t>
            </w:r>
            <w:r w:rsidR="00D73865">
              <w:rPr>
                <w:webHidden/>
              </w:rPr>
              <w:tab/>
            </w:r>
            <w:r w:rsidR="00D73865">
              <w:rPr>
                <w:webHidden/>
              </w:rPr>
              <w:fldChar w:fldCharType="begin"/>
            </w:r>
            <w:r w:rsidR="00D73865">
              <w:rPr>
                <w:webHidden/>
              </w:rPr>
              <w:instrText xml:space="preserve"> PAGEREF _Toc141446353 \h </w:instrText>
            </w:r>
            <w:r w:rsidR="00D73865">
              <w:rPr>
                <w:webHidden/>
              </w:rPr>
            </w:r>
            <w:r w:rsidR="00D73865">
              <w:rPr>
                <w:webHidden/>
              </w:rPr>
              <w:fldChar w:fldCharType="separate"/>
            </w:r>
            <w:r w:rsidR="00D73865">
              <w:rPr>
                <w:webHidden/>
              </w:rPr>
              <w:t>12</w:t>
            </w:r>
            <w:r w:rsidR="00D73865">
              <w:rPr>
                <w:webHidden/>
              </w:rPr>
              <w:fldChar w:fldCharType="end"/>
            </w:r>
          </w:hyperlink>
        </w:p>
        <w:p w14:paraId="42712AC5" w14:textId="25741E9C"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54" w:history="1">
            <w:r w:rsidR="00D73865" w:rsidRPr="00973E91">
              <w:rPr>
                <w:rStyle w:val="Hipersaitas"/>
                <w:lang w:val="en-GB"/>
              </w:rPr>
              <w:t>Chocholáč prieš Slovakiją</w:t>
            </w:r>
            <w:r w:rsidR="00D73865">
              <w:rPr>
                <w:webHidden/>
              </w:rPr>
              <w:tab/>
            </w:r>
            <w:r w:rsidR="00D73865">
              <w:rPr>
                <w:webHidden/>
              </w:rPr>
              <w:fldChar w:fldCharType="begin"/>
            </w:r>
            <w:r w:rsidR="00D73865">
              <w:rPr>
                <w:webHidden/>
              </w:rPr>
              <w:instrText xml:space="preserve"> PAGEREF _Toc141446354 \h </w:instrText>
            </w:r>
            <w:r w:rsidR="00D73865">
              <w:rPr>
                <w:webHidden/>
              </w:rPr>
            </w:r>
            <w:r w:rsidR="00D73865">
              <w:rPr>
                <w:webHidden/>
              </w:rPr>
              <w:fldChar w:fldCharType="separate"/>
            </w:r>
            <w:r w:rsidR="00D73865">
              <w:rPr>
                <w:webHidden/>
              </w:rPr>
              <w:t>12</w:t>
            </w:r>
            <w:r w:rsidR="00D73865">
              <w:rPr>
                <w:webHidden/>
              </w:rPr>
              <w:fldChar w:fldCharType="end"/>
            </w:r>
          </w:hyperlink>
        </w:p>
        <w:p w14:paraId="0A828FCD" w14:textId="7987FF37" w:rsidR="00D73865" w:rsidRDefault="00000000">
          <w:pPr>
            <w:pStyle w:val="Turinys3"/>
            <w:rPr>
              <w:rFonts w:eastAsiaTheme="minorEastAsia" w:cstheme="minorBidi"/>
              <w:bCs w:val="0"/>
              <w:i w:val="0"/>
              <w:iCs w:val="0"/>
              <w:kern w:val="2"/>
              <w:lang w:val="en-US"/>
              <w14:ligatures w14:val="standardContextual"/>
            </w:rPr>
          </w:pPr>
          <w:hyperlink w:anchor="_Toc141446355" w:history="1">
            <w:r w:rsidR="00D73865" w:rsidRPr="00973E91">
              <w:rPr>
                <w:rStyle w:val="Hipersaitas"/>
                <w:shd w:val="clear" w:color="auto" w:fill="FFFFFF"/>
                <w:lang w:eastAsia="lt-LT"/>
              </w:rPr>
              <w:t>Dėl bendro ir absoliutaus draudimo kaliniams turėti pornografinę medžiagą, nenumatant galimybės įvertinti šio draudimo proporcingumą kiekvienu individualiu atveju</w:t>
            </w:r>
            <w:r w:rsidR="00D73865">
              <w:rPr>
                <w:webHidden/>
              </w:rPr>
              <w:tab/>
            </w:r>
            <w:r w:rsidR="00D73865">
              <w:rPr>
                <w:webHidden/>
              </w:rPr>
              <w:fldChar w:fldCharType="begin"/>
            </w:r>
            <w:r w:rsidR="00D73865">
              <w:rPr>
                <w:webHidden/>
              </w:rPr>
              <w:instrText xml:space="preserve"> PAGEREF _Toc141446355 \h </w:instrText>
            </w:r>
            <w:r w:rsidR="00D73865">
              <w:rPr>
                <w:webHidden/>
              </w:rPr>
            </w:r>
            <w:r w:rsidR="00D73865">
              <w:rPr>
                <w:webHidden/>
              </w:rPr>
              <w:fldChar w:fldCharType="separate"/>
            </w:r>
            <w:r w:rsidR="00D73865">
              <w:rPr>
                <w:webHidden/>
              </w:rPr>
              <w:t>12</w:t>
            </w:r>
            <w:r w:rsidR="00D73865">
              <w:rPr>
                <w:webHidden/>
              </w:rPr>
              <w:fldChar w:fldCharType="end"/>
            </w:r>
          </w:hyperlink>
        </w:p>
        <w:p w14:paraId="4DD362D8" w14:textId="4107FEBD"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56" w:history="1">
            <w:r w:rsidR="00D73865" w:rsidRPr="00973E91">
              <w:rPr>
                <w:rStyle w:val="Hipersaitas"/>
              </w:rPr>
              <w:t>Stanislav Lutsenko prieš Ukrainą (Nr. 2)</w:t>
            </w:r>
            <w:r w:rsidR="00D73865">
              <w:rPr>
                <w:webHidden/>
              </w:rPr>
              <w:tab/>
            </w:r>
            <w:r w:rsidR="00D73865">
              <w:rPr>
                <w:webHidden/>
              </w:rPr>
              <w:fldChar w:fldCharType="begin"/>
            </w:r>
            <w:r w:rsidR="00D73865">
              <w:rPr>
                <w:webHidden/>
              </w:rPr>
              <w:instrText xml:space="preserve"> PAGEREF _Toc141446356 \h </w:instrText>
            </w:r>
            <w:r w:rsidR="00D73865">
              <w:rPr>
                <w:webHidden/>
              </w:rPr>
            </w:r>
            <w:r w:rsidR="00D73865">
              <w:rPr>
                <w:webHidden/>
              </w:rPr>
              <w:fldChar w:fldCharType="separate"/>
            </w:r>
            <w:r w:rsidR="00D73865">
              <w:rPr>
                <w:webHidden/>
              </w:rPr>
              <w:t>14</w:t>
            </w:r>
            <w:r w:rsidR="00D73865">
              <w:rPr>
                <w:webHidden/>
              </w:rPr>
              <w:fldChar w:fldCharType="end"/>
            </w:r>
          </w:hyperlink>
        </w:p>
        <w:p w14:paraId="4183DB39" w14:textId="473CCAB0" w:rsidR="00D73865" w:rsidRDefault="00000000">
          <w:pPr>
            <w:pStyle w:val="Turinys3"/>
            <w:rPr>
              <w:rFonts w:eastAsiaTheme="minorEastAsia" w:cstheme="minorBidi"/>
              <w:bCs w:val="0"/>
              <w:i w:val="0"/>
              <w:iCs w:val="0"/>
              <w:kern w:val="2"/>
              <w:lang w:val="en-US"/>
              <w14:ligatures w14:val="standardContextual"/>
            </w:rPr>
          </w:pPr>
          <w:hyperlink w:anchor="_Toc141446357" w:history="1">
            <w:r w:rsidR="00D73865" w:rsidRPr="00973E91">
              <w:rPr>
                <w:rStyle w:val="Hipersaitas"/>
                <w:shd w:val="clear" w:color="auto" w:fill="FFFFFF"/>
                <w:lang w:eastAsia="lt-LT"/>
              </w:rPr>
              <w:t>Dėl drausminių nuobaudų, dėl kurių nustatomas griežtesnis kalinimo režimas, skyrimo ir pakartotino asmens perkėlimo į kitas kalinimo įstaigas, nesant tam teisinio pagrindo</w:t>
            </w:r>
            <w:r w:rsidR="00D73865">
              <w:rPr>
                <w:webHidden/>
              </w:rPr>
              <w:tab/>
            </w:r>
            <w:r w:rsidR="00D73865">
              <w:rPr>
                <w:webHidden/>
              </w:rPr>
              <w:fldChar w:fldCharType="begin"/>
            </w:r>
            <w:r w:rsidR="00D73865">
              <w:rPr>
                <w:webHidden/>
              </w:rPr>
              <w:instrText xml:space="preserve"> PAGEREF _Toc141446357 \h </w:instrText>
            </w:r>
            <w:r w:rsidR="00D73865">
              <w:rPr>
                <w:webHidden/>
              </w:rPr>
            </w:r>
            <w:r w:rsidR="00D73865">
              <w:rPr>
                <w:webHidden/>
              </w:rPr>
              <w:fldChar w:fldCharType="separate"/>
            </w:r>
            <w:r w:rsidR="00D73865">
              <w:rPr>
                <w:webHidden/>
              </w:rPr>
              <w:t>14</w:t>
            </w:r>
            <w:r w:rsidR="00D73865">
              <w:rPr>
                <w:webHidden/>
              </w:rPr>
              <w:fldChar w:fldCharType="end"/>
            </w:r>
          </w:hyperlink>
        </w:p>
        <w:p w14:paraId="7A7E02FA" w14:textId="7D898E13"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58" w:history="1">
            <w:r w:rsidR="00D73865" w:rsidRPr="00973E91">
              <w:rPr>
                <w:rStyle w:val="Hipersaitas"/>
              </w:rPr>
              <w:t>G. T. prieš Graikiją</w:t>
            </w:r>
            <w:r w:rsidR="00D73865">
              <w:rPr>
                <w:webHidden/>
              </w:rPr>
              <w:tab/>
            </w:r>
            <w:r w:rsidR="00D73865">
              <w:rPr>
                <w:webHidden/>
              </w:rPr>
              <w:fldChar w:fldCharType="begin"/>
            </w:r>
            <w:r w:rsidR="00D73865">
              <w:rPr>
                <w:webHidden/>
              </w:rPr>
              <w:instrText xml:space="preserve"> PAGEREF _Toc141446358 \h </w:instrText>
            </w:r>
            <w:r w:rsidR="00D73865">
              <w:rPr>
                <w:webHidden/>
              </w:rPr>
            </w:r>
            <w:r w:rsidR="00D73865">
              <w:rPr>
                <w:webHidden/>
              </w:rPr>
              <w:fldChar w:fldCharType="separate"/>
            </w:r>
            <w:r w:rsidR="00D73865">
              <w:rPr>
                <w:webHidden/>
              </w:rPr>
              <w:t>16</w:t>
            </w:r>
            <w:r w:rsidR="00D73865">
              <w:rPr>
                <w:webHidden/>
              </w:rPr>
              <w:fldChar w:fldCharType="end"/>
            </w:r>
          </w:hyperlink>
        </w:p>
        <w:p w14:paraId="4F4538E4" w14:textId="3535B238" w:rsidR="00D73865" w:rsidRDefault="00000000">
          <w:pPr>
            <w:pStyle w:val="Turinys3"/>
            <w:rPr>
              <w:rFonts w:eastAsiaTheme="minorEastAsia" w:cstheme="minorBidi"/>
              <w:bCs w:val="0"/>
              <w:i w:val="0"/>
              <w:iCs w:val="0"/>
              <w:kern w:val="2"/>
              <w:lang w:val="en-US"/>
              <w14:ligatures w14:val="standardContextual"/>
            </w:rPr>
          </w:pPr>
          <w:hyperlink w:anchor="_Toc141446359" w:history="1">
            <w:r w:rsidR="00D73865" w:rsidRPr="00973E91">
              <w:rPr>
                <w:rStyle w:val="Hipersaitas"/>
                <w:shd w:val="clear" w:color="auto" w:fill="FFFFFF"/>
                <w:lang w:eastAsia="lt-LT"/>
              </w:rPr>
              <w:t>Dėl atsisakymo leisti kaliniui aplankyti sergančią motiną ir vėliau dalyvauti jos laidotuvėse vien dėl to, kad tam reikalinga palyda ir būtų viršytas maksimalus išvykos už įkalinimo įstaigos ribų laikas</w:t>
            </w:r>
            <w:r w:rsidR="00D73865">
              <w:rPr>
                <w:webHidden/>
              </w:rPr>
              <w:tab/>
            </w:r>
            <w:r w:rsidR="00D73865">
              <w:rPr>
                <w:webHidden/>
              </w:rPr>
              <w:fldChar w:fldCharType="begin"/>
            </w:r>
            <w:r w:rsidR="00D73865">
              <w:rPr>
                <w:webHidden/>
              </w:rPr>
              <w:instrText xml:space="preserve"> PAGEREF _Toc141446359 \h </w:instrText>
            </w:r>
            <w:r w:rsidR="00D73865">
              <w:rPr>
                <w:webHidden/>
              </w:rPr>
            </w:r>
            <w:r w:rsidR="00D73865">
              <w:rPr>
                <w:webHidden/>
              </w:rPr>
              <w:fldChar w:fldCharType="separate"/>
            </w:r>
            <w:r w:rsidR="00D73865">
              <w:rPr>
                <w:webHidden/>
              </w:rPr>
              <w:t>16</w:t>
            </w:r>
            <w:r w:rsidR="00D73865">
              <w:rPr>
                <w:webHidden/>
              </w:rPr>
              <w:fldChar w:fldCharType="end"/>
            </w:r>
          </w:hyperlink>
        </w:p>
        <w:p w14:paraId="2DA45746" w14:textId="478C8A6F"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60" w:history="1">
            <w:r w:rsidR="00D73865" w:rsidRPr="00973E91">
              <w:rPr>
                <w:rStyle w:val="Hipersaitas"/>
                <w:rFonts w:eastAsia="Calibri"/>
              </w:rPr>
              <w:t>Darboe ir Camara prieš Italiją</w:t>
            </w:r>
            <w:r w:rsidR="00D73865">
              <w:rPr>
                <w:webHidden/>
              </w:rPr>
              <w:tab/>
            </w:r>
            <w:r w:rsidR="00D73865">
              <w:rPr>
                <w:webHidden/>
              </w:rPr>
              <w:fldChar w:fldCharType="begin"/>
            </w:r>
            <w:r w:rsidR="00D73865">
              <w:rPr>
                <w:webHidden/>
              </w:rPr>
              <w:instrText xml:space="preserve"> PAGEREF _Toc141446360 \h </w:instrText>
            </w:r>
            <w:r w:rsidR="00D73865">
              <w:rPr>
                <w:webHidden/>
              </w:rPr>
            </w:r>
            <w:r w:rsidR="00D73865">
              <w:rPr>
                <w:webHidden/>
              </w:rPr>
              <w:fldChar w:fldCharType="separate"/>
            </w:r>
            <w:r w:rsidR="00D73865">
              <w:rPr>
                <w:webHidden/>
              </w:rPr>
              <w:t>18</w:t>
            </w:r>
            <w:r w:rsidR="00D73865">
              <w:rPr>
                <w:webHidden/>
              </w:rPr>
              <w:fldChar w:fldCharType="end"/>
            </w:r>
          </w:hyperlink>
        </w:p>
        <w:p w14:paraId="14B4E71B" w14:textId="70AC952A" w:rsidR="00D73865" w:rsidRDefault="00000000">
          <w:pPr>
            <w:pStyle w:val="Turinys3"/>
            <w:rPr>
              <w:rFonts w:eastAsiaTheme="minorEastAsia" w:cstheme="minorBidi"/>
              <w:bCs w:val="0"/>
              <w:i w:val="0"/>
              <w:iCs w:val="0"/>
              <w:kern w:val="2"/>
              <w:lang w:val="en-US"/>
              <w14:ligatures w14:val="standardContextual"/>
            </w:rPr>
          </w:pPr>
          <w:hyperlink w:anchor="_Toc141446361" w:history="1">
            <w:r w:rsidR="00D73865" w:rsidRPr="00973E91">
              <w:rPr>
                <w:rStyle w:val="Hipersaitas"/>
                <w:rFonts w:ascii="Calibri" w:eastAsia="Times New Roman" w:hAnsi="Calibri" w:cs="Times New Roman"/>
              </w:rPr>
              <w:t>Dėl medicininės amžiaus nustatymo procedūros, atliktos nelydimam nepilnamečiui prieglobsčio prašytojui, pažeidžiant Konvencijos 8 straipsnį, bei tokio asmens apgyvendinimo suaugusiųjų užsieniečių priėmimo centre, pažeidusio Konvencijos 3 straipsnį</w:t>
            </w:r>
            <w:r w:rsidR="00D73865">
              <w:rPr>
                <w:webHidden/>
              </w:rPr>
              <w:tab/>
            </w:r>
            <w:r w:rsidR="00D73865">
              <w:rPr>
                <w:webHidden/>
              </w:rPr>
              <w:fldChar w:fldCharType="begin"/>
            </w:r>
            <w:r w:rsidR="00D73865">
              <w:rPr>
                <w:webHidden/>
              </w:rPr>
              <w:instrText xml:space="preserve"> PAGEREF _Toc141446361 \h </w:instrText>
            </w:r>
            <w:r w:rsidR="00D73865">
              <w:rPr>
                <w:webHidden/>
              </w:rPr>
            </w:r>
            <w:r w:rsidR="00D73865">
              <w:rPr>
                <w:webHidden/>
              </w:rPr>
              <w:fldChar w:fldCharType="separate"/>
            </w:r>
            <w:r w:rsidR="00D73865">
              <w:rPr>
                <w:webHidden/>
              </w:rPr>
              <w:t>18</w:t>
            </w:r>
            <w:r w:rsidR="00D73865">
              <w:rPr>
                <w:webHidden/>
              </w:rPr>
              <w:fldChar w:fldCharType="end"/>
            </w:r>
          </w:hyperlink>
        </w:p>
        <w:p w14:paraId="7B12C601" w14:textId="3D75D276"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62" w:history="1">
            <w:r w:rsidR="00D73865" w:rsidRPr="00973E91">
              <w:rPr>
                <w:rStyle w:val="Hipersaitas"/>
                <w:rFonts w:eastAsia="Calibri"/>
              </w:rPr>
              <w:t>M.T. ir kiti prieš Švediją</w:t>
            </w:r>
            <w:r w:rsidR="00D73865">
              <w:rPr>
                <w:webHidden/>
              </w:rPr>
              <w:tab/>
            </w:r>
            <w:r w:rsidR="00D73865">
              <w:rPr>
                <w:webHidden/>
              </w:rPr>
              <w:fldChar w:fldCharType="begin"/>
            </w:r>
            <w:r w:rsidR="00D73865">
              <w:rPr>
                <w:webHidden/>
              </w:rPr>
              <w:instrText xml:space="preserve"> PAGEREF _Toc141446362 \h </w:instrText>
            </w:r>
            <w:r w:rsidR="00D73865">
              <w:rPr>
                <w:webHidden/>
              </w:rPr>
            </w:r>
            <w:r w:rsidR="00D73865">
              <w:rPr>
                <w:webHidden/>
              </w:rPr>
              <w:fldChar w:fldCharType="separate"/>
            </w:r>
            <w:r w:rsidR="00D73865">
              <w:rPr>
                <w:webHidden/>
              </w:rPr>
              <w:t>20</w:t>
            </w:r>
            <w:r w:rsidR="00D73865">
              <w:rPr>
                <w:webHidden/>
              </w:rPr>
              <w:fldChar w:fldCharType="end"/>
            </w:r>
          </w:hyperlink>
        </w:p>
        <w:p w14:paraId="1A431458" w14:textId="40949BB3" w:rsidR="00D73865" w:rsidRDefault="00000000">
          <w:pPr>
            <w:pStyle w:val="Turinys3"/>
            <w:rPr>
              <w:rFonts w:eastAsiaTheme="minorEastAsia" w:cstheme="minorBidi"/>
              <w:bCs w:val="0"/>
              <w:i w:val="0"/>
              <w:iCs w:val="0"/>
              <w:kern w:val="2"/>
              <w:lang w:val="en-US"/>
              <w14:ligatures w14:val="standardContextual"/>
            </w:rPr>
          </w:pPr>
          <w:hyperlink w:anchor="_Toc141446363" w:history="1">
            <w:r w:rsidR="00D73865" w:rsidRPr="00973E91">
              <w:rPr>
                <w:rStyle w:val="Hipersaitas"/>
                <w:rFonts w:ascii="Calibri" w:eastAsia="Times New Roman" w:hAnsi="Calibri" w:cs="Times New Roman"/>
              </w:rPr>
              <w:t>Dėl laikinai galiojusio draudimo leisti susijungti su šeimos nariu, kuriam Susitariančioje Šalyje suteikta papildoma apsauga</w:t>
            </w:r>
            <w:r w:rsidR="00D73865">
              <w:rPr>
                <w:webHidden/>
              </w:rPr>
              <w:tab/>
            </w:r>
            <w:r w:rsidR="00D73865">
              <w:rPr>
                <w:webHidden/>
              </w:rPr>
              <w:fldChar w:fldCharType="begin"/>
            </w:r>
            <w:r w:rsidR="00D73865">
              <w:rPr>
                <w:webHidden/>
              </w:rPr>
              <w:instrText xml:space="preserve"> PAGEREF _Toc141446363 \h </w:instrText>
            </w:r>
            <w:r w:rsidR="00D73865">
              <w:rPr>
                <w:webHidden/>
              </w:rPr>
            </w:r>
            <w:r w:rsidR="00D73865">
              <w:rPr>
                <w:webHidden/>
              </w:rPr>
              <w:fldChar w:fldCharType="separate"/>
            </w:r>
            <w:r w:rsidR="00D73865">
              <w:rPr>
                <w:webHidden/>
              </w:rPr>
              <w:t>20</w:t>
            </w:r>
            <w:r w:rsidR="00D73865">
              <w:rPr>
                <w:webHidden/>
              </w:rPr>
              <w:fldChar w:fldCharType="end"/>
            </w:r>
          </w:hyperlink>
        </w:p>
        <w:p w14:paraId="1A7030BD" w14:textId="49769BBA"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64" w:history="1">
            <w:r w:rsidR="00D73865" w:rsidRPr="00973E91">
              <w:rPr>
                <w:rStyle w:val="Hipersaitas"/>
                <w:rFonts w:eastAsia="Calibri" w:cs="Calibri"/>
              </w:rPr>
              <w:t>Drelon prieš Prancūziją</w:t>
            </w:r>
            <w:r w:rsidR="00D73865">
              <w:rPr>
                <w:webHidden/>
              </w:rPr>
              <w:tab/>
            </w:r>
            <w:r w:rsidR="00D73865">
              <w:rPr>
                <w:webHidden/>
              </w:rPr>
              <w:fldChar w:fldCharType="begin"/>
            </w:r>
            <w:r w:rsidR="00D73865">
              <w:rPr>
                <w:webHidden/>
              </w:rPr>
              <w:instrText xml:space="preserve"> PAGEREF _Toc141446364 \h </w:instrText>
            </w:r>
            <w:r w:rsidR="00D73865">
              <w:rPr>
                <w:webHidden/>
              </w:rPr>
            </w:r>
            <w:r w:rsidR="00D73865">
              <w:rPr>
                <w:webHidden/>
              </w:rPr>
              <w:fldChar w:fldCharType="separate"/>
            </w:r>
            <w:r w:rsidR="00D73865">
              <w:rPr>
                <w:webHidden/>
              </w:rPr>
              <w:t>21</w:t>
            </w:r>
            <w:r w:rsidR="00D73865">
              <w:rPr>
                <w:webHidden/>
              </w:rPr>
              <w:fldChar w:fldCharType="end"/>
            </w:r>
          </w:hyperlink>
        </w:p>
        <w:p w14:paraId="5D0A820C" w14:textId="43F29502" w:rsidR="00D73865" w:rsidRDefault="00000000">
          <w:pPr>
            <w:pStyle w:val="Turinys3"/>
            <w:rPr>
              <w:rFonts w:eastAsiaTheme="minorEastAsia" w:cstheme="minorBidi"/>
              <w:bCs w:val="0"/>
              <w:i w:val="0"/>
              <w:iCs w:val="0"/>
              <w:kern w:val="2"/>
              <w:lang w:val="en-US"/>
              <w14:ligatures w14:val="standardContextual"/>
            </w:rPr>
          </w:pPr>
          <w:hyperlink w:anchor="_Toc141446365" w:history="1">
            <w:r w:rsidR="00D73865" w:rsidRPr="00973E91">
              <w:rPr>
                <w:rStyle w:val="Hipersaitas"/>
                <w:rFonts w:ascii="Calibri" w:hAnsi="Calibri" w:cs="Calibri"/>
              </w:rPr>
              <w:t>Dėl duomenų apie potencialaus kraujo donoro seksualinį elgesį rinkimo, pagrįsto spėjimu, ir pernelyg ilgo duomenų saugojimo valstybės institucijoje</w:t>
            </w:r>
            <w:r w:rsidR="00D73865">
              <w:rPr>
                <w:webHidden/>
              </w:rPr>
              <w:tab/>
            </w:r>
            <w:r w:rsidR="00D73865">
              <w:rPr>
                <w:webHidden/>
              </w:rPr>
              <w:fldChar w:fldCharType="begin"/>
            </w:r>
            <w:r w:rsidR="00D73865">
              <w:rPr>
                <w:webHidden/>
              </w:rPr>
              <w:instrText xml:space="preserve"> PAGEREF _Toc141446365 \h </w:instrText>
            </w:r>
            <w:r w:rsidR="00D73865">
              <w:rPr>
                <w:webHidden/>
              </w:rPr>
            </w:r>
            <w:r w:rsidR="00D73865">
              <w:rPr>
                <w:webHidden/>
              </w:rPr>
              <w:fldChar w:fldCharType="separate"/>
            </w:r>
            <w:r w:rsidR="00D73865">
              <w:rPr>
                <w:webHidden/>
              </w:rPr>
              <w:t>21</w:t>
            </w:r>
            <w:r w:rsidR="00D73865">
              <w:rPr>
                <w:webHidden/>
              </w:rPr>
              <w:fldChar w:fldCharType="end"/>
            </w:r>
          </w:hyperlink>
        </w:p>
        <w:p w14:paraId="772BF9D2" w14:textId="4208711D"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66" w:history="1">
            <w:r w:rsidR="00D73865" w:rsidRPr="00973E91">
              <w:rPr>
                <w:rStyle w:val="Hipersaitas"/>
                <w:rFonts w:eastAsia="Calibri" w:cs="Calibri"/>
              </w:rPr>
              <w:t>Pavlov ir kiti prieš Rusiją</w:t>
            </w:r>
            <w:r w:rsidR="00D73865">
              <w:rPr>
                <w:webHidden/>
              </w:rPr>
              <w:tab/>
            </w:r>
            <w:r w:rsidR="00D73865">
              <w:rPr>
                <w:webHidden/>
              </w:rPr>
              <w:fldChar w:fldCharType="begin"/>
            </w:r>
            <w:r w:rsidR="00D73865">
              <w:rPr>
                <w:webHidden/>
              </w:rPr>
              <w:instrText xml:space="preserve"> PAGEREF _Toc141446366 \h </w:instrText>
            </w:r>
            <w:r w:rsidR="00D73865">
              <w:rPr>
                <w:webHidden/>
              </w:rPr>
            </w:r>
            <w:r w:rsidR="00D73865">
              <w:rPr>
                <w:webHidden/>
              </w:rPr>
              <w:fldChar w:fldCharType="separate"/>
            </w:r>
            <w:r w:rsidR="00D73865">
              <w:rPr>
                <w:webHidden/>
              </w:rPr>
              <w:t>23</w:t>
            </w:r>
            <w:r w:rsidR="00D73865">
              <w:rPr>
                <w:webHidden/>
              </w:rPr>
              <w:fldChar w:fldCharType="end"/>
            </w:r>
          </w:hyperlink>
        </w:p>
        <w:p w14:paraId="6D1BE9F8" w14:textId="6EE525EF" w:rsidR="00D73865" w:rsidRDefault="00000000">
          <w:pPr>
            <w:pStyle w:val="Turinys3"/>
            <w:rPr>
              <w:rFonts w:eastAsiaTheme="minorEastAsia" w:cstheme="minorBidi"/>
              <w:bCs w:val="0"/>
              <w:i w:val="0"/>
              <w:iCs w:val="0"/>
              <w:kern w:val="2"/>
              <w:lang w:val="en-US"/>
              <w14:ligatures w14:val="standardContextual"/>
            </w:rPr>
          </w:pPr>
          <w:hyperlink w:anchor="_Toc141446367" w:history="1">
            <w:r w:rsidR="00D73865" w:rsidRPr="00973E91">
              <w:rPr>
                <w:rStyle w:val="Hipersaitas"/>
                <w:rFonts w:ascii="Calibri" w:hAnsi="Calibri" w:cs="Calibri"/>
              </w:rPr>
              <w:t>Dėl pozityvios valstybės pareigos imtis veiksmingų priemonių aplinkosauginei situacijai pagerinti, užtikrinant asmenų teisę į privataus gyvenimo gerbimą</w:t>
            </w:r>
            <w:r w:rsidR="00D73865">
              <w:rPr>
                <w:webHidden/>
              </w:rPr>
              <w:tab/>
            </w:r>
            <w:r w:rsidR="00D73865">
              <w:rPr>
                <w:webHidden/>
              </w:rPr>
              <w:fldChar w:fldCharType="begin"/>
            </w:r>
            <w:r w:rsidR="00D73865">
              <w:rPr>
                <w:webHidden/>
              </w:rPr>
              <w:instrText xml:space="preserve"> PAGEREF _Toc141446367 \h </w:instrText>
            </w:r>
            <w:r w:rsidR="00D73865">
              <w:rPr>
                <w:webHidden/>
              </w:rPr>
            </w:r>
            <w:r w:rsidR="00D73865">
              <w:rPr>
                <w:webHidden/>
              </w:rPr>
              <w:fldChar w:fldCharType="separate"/>
            </w:r>
            <w:r w:rsidR="00D73865">
              <w:rPr>
                <w:webHidden/>
              </w:rPr>
              <w:t>23</w:t>
            </w:r>
            <w:r w:rsidR="00D73865">
              <w:rPr>
                <w:webHidden/>
              </w:rPr>
              <w:fldChar w:fldCharType="end"/>
            </w:r>
          </w:hyperlink>
        </w:p>
        <w:p w14:paraId="62EBB286" w14:textId="12F443C3" w:rsidR="00D73865" w:rsidRDefault="00000000">
          <w:pPr>
            <w:pStyle w:val="Turinys1"/>
            <w:rPr>
              <w:rFonts w:eastAsiaTheme="minorEastAsia"/>
              <w:color w:val="auto"/>
              <w:kern w:val="2"/>
              <w:lang w:val="en-US"/>
              <w14:ligatures w14:val="standardContextual"/>
            </w:rPr>
          </w:pPr>
          <w:hyperlink w:anchor="_Toc141446368" w:history="1">
            <w:r w:rsidR="00D73865" w:rsidRPr="00973E91">
              <w:rPr>
                <w:rStyle w:val="Hipersaitas"/>
                <w:rFonts w:ascii="Calibri" w:eastAsia="Times New Roman" w:hAnsi="Calibri" w:cs="Calibri"/>
                <w:b/>
              </w:rPr>
              <w:t>SAVIRAIŠKOS LAISVĖ (10 straipsnis)</w:t>
            </w:r>
            <w:r w:rsidR="00D73865">
              <w:rPr>
                <w:webHidden/>
              </w:rPr>
              <w:tab/>
            </w:r>
            <w:r w:rsidR="00D73865">
              <w:rPr>
                <w:webHidden/>
              </w:rPr>
              <w:fldChar w:fldCharType="begin"/>
            </w:r>
            <w:r w:rsidR="00D73865">
              <w:rPr>
                <w:webHidden/>
              </w:rPr>
              <w:instrText xml:space="preserve"> PAGEREF _Toc141446368 \h </w:instrText>
            </w:r>
            <w:r w:rsidR="00D73865">
              <w:rPr>
                <w:webHidden/>
              </w:rPr>
            </w:r>
            <w:r w:rsidR="00D73865">
              <w:rPr>
                <w:webHidden/>
              </w:rPr>
              <w:fldChar w:fldCharType="separate"/>
            </w:r>
            <w:r w:rsidR="00D73865">
              <w:rPr>
                <w:webHidden/>
              </w:rPr>
              <w:t>24</w:t>
            </w:r>
            <w:r w:rsidR="00D73865">
              <w:rPr>
                <w:webHidden/>
              </w:rPr>
              <w:fldChar w:fldCharType="end"/>
            </w:r>
          </w:hyperlink>
        </w:p>
        <w:p w14:paraId="072C9A05" w14:textId="1A4E6560"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69" w:history="1">
            <w:r w:rsidR="00D73865" w:rsidRPr="00973E91">
              <w:rPr>
                <w:rStyle w:val="Hipersaitas"/>
              </w:rPr>
              <w:t>Timur Sharipov prieš Rusiją</w:t>
            </w:r>
            <w:r w:rsidR="00D73865">
              <w:rPr>
                <w:webHidden/>
              </w:rPr>
              <w:tab/>
            </w:r>
            <w:r w:rsidR="00D73865">
              <w:rPr>
                <w:webHidden/>
              </w:rPr>
              <w:fldChar w:fldCharType="begin"/>
            </w:r>
            <w:r w:rsidR="00D73865">
              <w:rPr>
                <w:webHidden/>
              </w:rPr>
              <w:instrText xml:space="preserve"> PAGEREF _Toc141446369 \h </w:instrText>
            </w:r>
            <w:r w:rsidR="00D73865">
              <w:rPr>
                <w:webHidden/>
              </w:rPr>
            </w:r>
            <w:r w:rsidR="00D73865">
              <w:rPr>
                <w:webHidden/>
              </w:rPr>
              <w:fldChar w:fldCharType="separate"/>
            </w:r>
            <w:r w:rsidR="00D73865">
              <w:rPr>
                <w:webHidden/>
              </w:rPr>
              <w:t>24</w:t>
            </w:r>
            <w:r w:rsidR="00D73865">
              <w:rPr>
                <w:webHidden/>
              </w:rPr>
              <w:fldChar w:fldCharType="end"/>
            </w:r>
          </w:hyperlink>
        </w:p>
        <w:p w14:paraId="551D7567" w14:textId="3CECEC09" w:rsidR="00D73865" w:rsidRDefault="00000000">
          <w:pPr>
            <w:pStyle w:val="Turinys3"/>
            <w:rPr>
              <w:rFonts w:eastAsiaTheme="minorEastAsia" w:cstheme="minorBidi"/>
              <w:bCs w:val="0"/>
              <w:i w:val="0"/>
              <w:iCs w:val="0"/>
              <w:kern w:val="2"/>
              <w:lang w:val="en-US"/>
              <w14:ligatures w14:val="standardContextual"/>
            </w:rPr>
          </w:pPr>
          <w:hyperlink w:anchor="_Toc141446370" w:history="1">
            <w:r w:rsidR="00D73865" w:rsidRPr="00973E91">
              <w:rPr>
                <w:rStyle w:val="Hipersaitas"/>
              </w:rPr>
              <w:t>Dėl rinkimų stebėtojo pašalinimo iš rinkimų apylinkės, jam pažeidus nustatytas rinkimų proceso filmavimo taisykles</w:t>
            </w:r>
            <w:r w:rsidR="00D73865">
              <w:rPr>
                <w:webHidden/>
              </w:rPr>
              <w:tab/>
            </w:r>
            <w:r w:rsidR="00D73865">
              <w:rPr>
                <w:webHidden/>
              </w:rPr>
              <w:fldChar w:fldCharType="begin"/>
            </w:r>
            <w:r w:rsidR="00D73865">
              <w:rPr>
                <w:webHidden/>
              </w:rPr>
              <w:instrText xml:space="preserve"> PAGEREF _Toc141446370 \h </w:instrText>
            </w:r>
            <w:r w:rsidR="00D73865">
              <w:rPr>
                <w:webHidden/>
              </w:rPr>
            </w:r>
            <w:r w:rsidR="00D73865">
              <w:rPr>
                <w:webHidden/>
              </w:rPr>
              <w:fldChar w:fldCharType="separate"/>
            </w:r>
            <w:r w:rsidR="00D73865">
              <w:rPr>
                <w:webHidden/>
              </w:rPr>
              <w:t>24</w:t>
            </w:r>
            <w:r w:rsidR="00D73865">
              <w:rPr>
                <w:webHidden/>
              </w:rPr>
              <w:fldChar w:fldCharType="end"/>
            </w:r>
          </w:hyperlink>
        </w:p>
        <w:p w14:paraId="662DC41C" w14:textId="0930863A"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71" w:history="1">
            <w:r w:rsidR="00D73865" w:rsidRPr="00973E91">
              <w:rPr>
                <w:rStyle w:val="Hipersaitas"/>
              </w:rPr>
              <w:t>Rabczewska prieš Lenkiją</w:t>
            </w:r>
            <w:r w:rsidR="00D73865">
              <w:rPr>
                <w:webHidden/>
              </w:rPr>
              <w:tab/>
            </w:r>
            <w:r w:rsidR="00D73865">
              <w:rPr>
                <w:webHidden/>
              </w:rPr>
              <w:fldChar w:fldCharType="begin"/>
            </w:r>
            <w:r w:rsidR="00D73865">
              <w:rPr>
                <w:webHidden/>
              </w:rPr>
              <w:instrText xml:space="preserve"> PAGEREF _Toc141446371 \h </w:instrText>
            </w:r>
            <w:r w:rsidR="00D73865">
              <w:rPr>
                <w:webHidden/>
              </w:rPr>
            </w:r>
            <w:r w:rsidR="00D73865">
              <w:rPr>
                <w:webHidden/>
              </w:rPr>
              <w:fldChar w:fldCharType="separate"/>
            </w:r>
            <w:r w:rsidR="00D73865">
              <w:rPr>
                <w:webHidden/>
              </w:rPr>
              <w:t>26</w:t>
            </w:r>
            <w:r w:rsidR="00D73865">
              <w:rPr>
                <w:webHidden/>
              </w:rPr>
              <w:fldChar w:fldCharType="end"/>
            </w:r>
          </w:hyperlink>
        </w:p>
        <w:p w14:paraId="04C96242" w14:textId="08B785A0" w:rsidR="00D73865" w:rsidRDefault="00000000">
          <w:pPr>
            <w:pStyle w:val="Turinys3"/>
            <w:rPr>
              <w:rFonts w:eastAsiaTheme="minorEastAsia" w:cstheme="minorBidi"/>
              <w:bCs w:val="0"/>
              <w:i w:val="0"/>
              <w:iCs w:val="0"/>
              <w:kern w:val="2"/>
              <w:lang w:val="en-US"/>
              <w14:ligatures w14:val="standardContextual"/>
            </w:rPr>
          </w:pPr>
          <w:hyperlink w:anchor="_Toc141446372" w:history="1">
            <w:r w:rsidR="00D73865" w:rsidRPr="00973E91">
              <w:rPr>
                <w:rStyle w:val="Hipersaitas"/>
                <w:rFonts w:ascii="Calibri" w:eastAsia="Times New Roman" w:hAnsi="Calibri" w:cs="Times New Roman"/>
              </w:rPr>
              <w:t>Dėl interviu metu išsakytų teiginių apie Bibliją, kurie galėjo įžeisti tikinčiųjų jausmus</w:t>
            </w:r>
            <w:r w:rsidR="00D73865">
              <w:rPr>
                <w:webHidden/>
              </w:rPr>
              <w:tab/>
            </w:r>
            <w:r w:rsidR="00D73865">
              <w:rPr>
                <w:webHidden/>
              </w:rPr>
              <w:fldChar w:fldCharType="begin"/>
            </w:r>
            <w:r w:rsidR="00D73865">
              <w:rPr>
                <w:webHidden/>
              </w:rPr>
              <w:instrText xml:space="preserve"> PAGEREF _Toc141446372 \h </w:instrText>
            </w:r>
            <w:r w:rsidR="00D73865">
              <w:rPr>
                <w:webHidden/>
              </w:rPr>
            </w:r>
            <w:r w:rsidR="00D73865">
              <w:rPr>
                <w:webHidden/>
              </w:rPr>
              <w:fldChar w:fldCharType="separate"/>
            </w:r>
            <w:r w:rsidR="00D73865">
              <w:rPr>
                <w:webHidden/>
              </w:rPr>
              <w:t>26</w:t>
            </w:r>
            <w:r w:rsidR="00D73865">
              <w:rPr>
                <w:webHidden/>
              </w:rPr>
              <w:fldChar w:fldCharType="end"/>
            </w:r>
          </w:hyperlink>
        </w:p>
        <w:p w14:paraId="3CCB29A9" w14:textId="7A3A10E0"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73" w:history="1">
            <w:r w:rsidR="00D73865" w:rsidRPr="00973E91">
              <w:rPr>
                <w:rStyle w:val="Hipersaitas"/>
              </w:rPr>
              <w:t>Ayuso Torres prieš Ispaniją</w:t>
            </w:r>
            <w:r w:rsidR="00D73865">
              <w:rPr>
                <w:webHidden/>
              </w:rPr>
              <w:tab/>
            </w:r>
            <w:r w:rsidR="00D73865">
              <w:rPr>
                <w:webHidden/>
              </w:rPr>
              <w:fldChar w:fldCharType="begin"/>
            </w:r>
            <w:r w:rsidR="00D73865">
              <w:rPr>
                <w:webHidden/>
              </w:rPr>
              <w:instrText xml:space="preserve"> PAGEREF _Toc141446373 \h </w:instrText>
            </w:r>
            <w:r w:rsidR="00D73865">
              <w:rPr>
                <w:webHidden/>
              </w:rPr>
            </w:r>
            <w:r w:rsidR="00D73865">
              <w:rPr>
                <w:webHidden/>
              </w:rPr>
              <w:fldChar w:fldCharType="separate"/>
            </w:r>
            <w:r w:rsidR="00D73865">
              <w:rPr>
                <w:webHidden/>
              </w:rPr>
              <w:t>26</w:t>
            </w:r>
            <w:r w:rsidR="00D73865">
              <w:rPr>
                <w:webHidden/>
              </w:rPr>
              <w:fldChar w:fldCharType="end"/>
            </w:r>
          </w:hyperlink>
        </w:p>
        <w:p w14:paraId="590A0E43" w14:textId="7C9EFA3E" w:rsidR="00D73865" w:rsidRDefault="00000000">
          <w:pPr>
            <w:pStyle w:val="Turinys3"/>
            <w:rPr>
              <w:rFonts w:eastAsiaTheme="minorEastAsia" w:cstheme="minorBidi"/>
              <w:bCs w:val="0"/>
              <w:i w:val="0"/>
              <w:iCs w:val="0"/>
              <w:kern w:val="2"/>
              <w:lang w:val="en-US"/>
              <w14:ligatures w14:val="standardContextual"/>
            </w:rPr>
          </w:pPr>
          <w:hyperlink w:anchor="_Toc141446374" w:history="1">
            <w:r w:rsidR="00D73865" w:rsidRPr="00973E91">
              <w:rPr>
                <w:rStyle w:val="Hipersaitas"/>
              </w:rPr>
              <w:t>Dėl mokslinėje diskusijoje išsakytų argumentų įtakos, taikant drausminę atsakomybę</w:t>
            </w:r>
            <w:r w:rsidR="00D73865">
              <w:rPr>
                <w:webHidden/>
              </w:rPr>
              <w:tab/>
            </w:r>
            <w:r w:rsidR="00D73865">
              <w:rPr>
                <w:webHidden/>
              </w:rPr>
              <w:fldChar w:fldCharType="begin"/>
            </w:r>
            <w:r w:rsidR="00D73865">
              <w:rPr>
                <w:webHidden/>
              </w:rPr>
              <w:instrText xml:space="preserve"> PAGEREF _Toc141446374 \h </w:instrText>
            </w:r>
            <w:r w:rsidR="00D73865">
              <w:rPr>
                <w:webHidden/>
              </w:rPr>
            </w:r>
            <w:r w:rsidR="00D73865">
              <w:rPr>
                <w:webHidden/>
              </w:rPr>
              <w:fldChar w:fldCharType="separate"/>
            </w:r>
            <w:r w:rsidR="00D73865">
              <w:rPr>
                <w:webHidden/>
              </w:rPr>
              <w:t>26</w:t>
            </w:r>
            <w:r w:rsidR="00D73865">
              <w:rPr>
                <w:webHidden/>
              </w:rPr>
              <w:fldChar w:fldCharType="end"/>
            </w:r>
          </w:hyperlink>
        </w:p>
        <w:p w14:paraId="71D20052" w14:textId="4FA9ED65"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75" w:history="1">
            <w:r w:rsidR="00D73865" w:rsidRPr="00973E91">
              <w:rPr>
                <w:rStyle w:val="Hipersaitas"/>
                <w:rFonts w:eastAsia="Calibri" w:cstheme="minorHAnsi"/>
              </w:rPr>
              <w:t>Marcinkevičius prieš Lietuvą</w:t>
            </w:r>
            <w:r w:rsidR="00D73865">
              <w:rPr>
                <w:webHidden/>
              </w:rPr>
              <w:tab/>
            </w:r>
            <w:r w:rsidR="00D73865">
              <w:rPr>
                <w:webHidden/>
              </w:rPr>
              <w:fldChar w:fldCharType="begin"/>
            </w:r>
            <w:r w:rsidR="00D73865">
              <w:rPr>
                <w:webHidden/>
              </w:rPr>
              <w:instrText xml:space="preserve"> PAGEREF _Toc141446375 \h </w:instrText>
            </w:r>
            <w:r w:rsidR="00D73865">
              <w:rPr>
                <w:webHidden/>
              </w:rPr>
            </w:r>
            <w:r w:rsidR="00D73865">
              <w:rPr>
                <w:webHidden/>
              </w:rPr>
              <w:fldChar w:fldCharType="separate"/>
            </w:r>
            <w:r w:rsidR="00D73865">
              <w:rPr>
                <w:webHidden/>
              </w:rPr>
              <w:t>28</w:t>
            </w:r>
            <w:r w:rsidR="00D73865">
              <w:rPr>
                <w:webHidden/>
              </w:rPr>
              <w:fldChar w:fldCharType="end"/>
            </w:r>
          </w:hyperlink>
        </w:p>
        <w:p w14:paraId="20633DC8" w14:textId="6FB19E54" w:rsidR="00D73865" w:rsidRDefault="00000000">
          <w:pPr>
            <w:pStyle w:val="Turinys3"/>
            <w:rPr>
              <w:rFonts w:eastAsiaTheme="minorEastAsia" w:cstheme="minorBidi"/>
              <w:bCs w:val="0"/>
              <w:i w:val="0"/>
              <w:iCs w:val="0"/>
              <w:kern w:val="2"/>
              <w:lang w:val="en-US"/>
              <w14:ligatures w14:val="standardContextual"/>
            </w:rPr>
          </w:pPr>
          <w:hyperlink w:anchor="_Toc141446376" w:history="1">
            <w:r w:rsidR="00D73865" w:rsidRPr="00973E91">
              <w:rPr>
                <w:rStyle w:val="Hipersaitas"/>
              </w:rPr>
              <w:t>Dėl apribojimų politinių pasisakymų ar diskusijų viešojo intereso klausimais</w:t>
            </w:r>
            <w:r w:rsidR="00D73865">
              <w:rPr>
                <w:webHidden/>
              </w:rPr>
              <w:tab/>
            </w:r>
            <w:r w:rsidR="00D73865">
              <w:rPr>
                <w:webHidden/>
              </w:rPr>
              <w:fldChar w:fldCharType="begin"/>
            </w:r>
            <w:r w:rsidR="00D73865">
              <w:rPr>
                <w:webHidden/>
              </w:rPr>
              <w:instrText xml:space="preserve"> PAGEREF _Toc141446376 \h </w:instrText>
            </w:r>
            <w:r w:rsidR="00D73865">
              <w:rPr>
                <w:webHidden/>
              </w:rPr>
            </w:r>
            <w:r w:rsidR="00D73865">
              <w:rPr>
                <w:webHidden/>
              </w:rPr>
              <w:fldChar w:fldCharType="separate"/>
            </w:r>
            <w:r w:rsidR="00D73865">
              <w:rPr>
                <w:webHidden/>
              </w:rPr>
              <w:t>28</w:t>
            </w:r>
            <w:r w:rsidR="00D73865">
              <w:rPr>
                <w:webHidden/>
              </w:rPr>
              <w:fldChar w:fldCharType="end"/>
            </w:r>
          </w:hyperlink>
        </w:p>
        <w:p w14:paraId="1A45DC07" w14:textId="5DFCFBB5" w:rsidR="00D73865" w:rsidRDefault="00000000">
          <w:pPr>
            <w:pStyle w:val="Turinys1"/>
            <w:rPr>
              <w:rFonts w:eastAsiaTheme="minorEastAsia"/>
              <w:color w:val="auto"/>
              <w:kern w:val="2"/>
              <w:lang w:val="en-US"/>
              <w14:ligatures w14:val="standardContextual"/>
            </w:rPr>
          </w:pPr>
          <w:hyperlink w:anchor="_Toc141446377" w:history="1">
            <w:r w:rsidR="00D73865" w:rsidRPr="00973E91">
              <w:rPr>
                <w:rStyle w:val="Hipersaitas"/>
              </w:rPr>
              <w:t>SUSIRINKIMŲ IR ASOCIACIJŲ LAISVĖ (11 straipsnis)</w:t>
            </w:r>
            <w:r w:rsidR="00D73865">
              <w:rPr>
                <w:webHidden/>
              </w:rPr>
              <w:tab/>
            </w:r>
            <w:r w:rsidR="00D73865">
              <w:rPr>
                <w:webHidden/>
              </w:rPr>
              <w:fldChar w:fldCharType="begin"/>
            </w:r>
            <w:r w:rsidR="00D73865">
              <w:rPr>
                <w:webHidden/>
              </w:rPr>
              <w:instrText xml:space="preserve"> PAGEREF _Toc141446377 \h </w:instrText>
            </w:r>
            <w:r w:rsidR="00D73865">
              <w:rPr>
                <w:webHidden/>
              </w:rPr>
            </w:r>
            <w:r w:rsidR="00D73865">
              <w:rPr>
                <w:webHidden/>
              </w:rPr>
              <w:fldChar w:fldCharType="separate"/>
            </w:r>
            <w:r w:rsidR="00D73865">
              <w:rPr>
                <w:webHidden/>
              </w:rPr>
              <w:t>29</w:t>
            </w:r>
            <w:r w:rsidR="00D73865">
              <w:rPr>
                <w:webHidden/>
              </w:rPr>
              <w:fldChar w:fldCharType="end"/>
            </w:r>
          </w:hyperlink>
        </w:p>
        <w:p w14:paraId="0516BF21" w14:textId="73589F7A"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78" w:history="1">
            <w:r w:rsidR="00D73865" w:rsidRPr="00973E91">
              <w:rPr>
                <w:rStyle w:val="Hipersaitas"/>
                <w:rFonts w:eastAsia="Calibri" w:cstheme="minorHAnsi"/>
              </w:rPr>
              <w:t>Mustafa Hajili ir kiti prieš Azerbaidžaną</w:t>
            </w:r>
            <w:r w:rsidR="00D73865">
              <w:rPr>
                <w:webHidden/>
              </w:rPr>
              <w:tab/>
            </w:r>
            <w:r w:rsidR="00D73865">
              <w:rPr>
                <w:webHidden/>
              </w:rPr>
              <w:fldChar w:fldCharType="begin"/>
            </w:r>
            <w:r w:rsidR="00D73865">
              <w:rPr>
                <w:webHidden/>
              </w:rPr>
              <w:instrText xml:space="preserve"> PAGEREF _Toc141446378 \h </w:instrText>
            </w:r>
            <w:r w:rsidR="00D73865">
              <w:rPr>
                <w:webHidden/>
              </w:rPr>
            </w:r>
            <w:r w:rsidR="00D73865">
              <w:rPr>
                <w:webHidden/>
              </w:rPr>
              <w:fldChar w:fldCharType="separate"/>
            </w:r>
            <w:r w:rsidR="00D73865">
              <w:rPr>
                <w:webHidden/>
              </w:rPr>
              <w:t>29</w:t>
            </w:r>
            <w:r w:rsidR="00D73865">
              <w:rPr>
                <w:webHidden/>
              </w:rPr>
              <w:fldChar w:fldCharType="end"/>
            </w:r>
          </w:hyperlink>
        </w:p>
        <w:p w14:paraId="54AF0C82" w14:textId="40D5FA4A" w:rsidR="00D73865" w:rsidRDefault="00000000">
          <w:pPr>
            <w:pStyle w:val="Turinys3"/>
            <w:rPr>
              <w:rFonts w:eastAsiaTheme="minorEastAsia" w:cstheme="minorBidi"/>
              <w:bCs w:val="0"/>
              <w:i w:val="0"/>
              <w:iCs w:val="0"/>
              <w:kern w:val="2"/>
              <w:lang w:val="en-US"/>
              <w14:ligatures w14:val="standardContextual"/>
            </w:rPr>
          </w:pPr>
          <w:hyperlink w:anchor="_Toc141446379" w:history="1">
            <w:r w:rsidR="00D73865" w:rsidRPr="00973E91">
              <w:rPr>
                <w:rStyle w:val="Hipersaitas"/>
              </w:rPr>
              <w:t>Dėl kompetentingoms institucijoms keliamų reikalavimų, atsisakant leisti rengti taikius susirinkimus</w:t>
            </w:r>
            <w:r w:rsidR="00D73865">
              <w:rPr>
                <w:webHidden/>
              </w:rPr>
              <w:tab/>
            </w:r>
            <w:r w:rsidR="00D73865">
              <w:rPr>
                <w:webHidden/>
              </w:rPr>
              <w:fldChar w:fldCharType="begin"/>
            </w:r>
            <w:r w:rsidR="00D73865">
              <w:rPr>
                <w:webHidden/>
              </w:rPr>
              <w:instrText xml:space="preserve"> PAGEREF _Toc141446379 \h </w:instrText>
            </w:r>
            <w:r w:rsidR="00D73865">
              <w:rPr>
                <w:webHidden/>
              </w:rPr>
            </w:r>
            <w:r w:rsidR="00D73865">
              <w:rPr>
                <w:webHidden/>
              </w:rPr>
              <w:fldChar w:fldCharType="separate"/>
            </w:r>
            <w:r w:rsidR="00D73865">
              <w:rPr>
                <w:webHidden/>
              </w:rPr>
              <w:t>30</w:t>
            </w:r>
            <w:r w:rsidR="00D73865">
              <w:rPr>
                <w:webHidden/>
              </w:rPr>
              <w:fldChar w:fldCharType="end"/>
            </w:r>
          </w:hyperlink>
        </w:p>
        <w:p w14:paraId="5A7FC7EB" w14:textId="071B2818" w:rsidR="00D73865" w:rsidRDefault="00000000">
          <w:pPr>
            <w:pStyle w:val="Turinys1"/>
            <w:rPr>
              <w:rFonts w:eastAsiaTheme="minorEastAsia"/>
              <w:color w:val="auto"/>
              <w:kern w:val="2"/>
              <w:lang w:val="en-US"/>
              <w14:ligatures w14:val="standardContextual"/>
            </w:rPr>
          </w:pPr>
          <w:hyperlink w:anchor="_Toc141446380" w:history="1">
            <w:r w:rsidR="00D73865" w:rsidRPr="00973E91">
              <w:rPr>
                <w:rStyle w:val="Hipersaitas"/>
              </w:rPr>
              <w:t>TEISĖ Į VEIKSMINGĄ TEISINĖS GYNYBOS PRIEMONĘ (13 straipsnis)</w:t>
            </w:r>
            <w:r w:rsidR="00D73865">
              <w:rPr>
                <w:webHidden/>
              </w:rPr>
              <w:tab/>
            </w:r>
            <w:r w:rsidR="00D73865">
              <w:rPr>
                <w:webHidden/>
              </w:rPr>
              <w:fldChar w:fldCharType="begin"/>
            </w:r>
            <w:r w:rsidR="00D73865">
              <w:rPr>
                <w:webHidden/>
              </w:rPr>
              <w:instrText xml:space="preserve"> PAGEREF _Toc141446380 \h </w:instrText>
            </w:r>
            <w:r w:rsidR="00D73865">
              <w:rPr>
                <w:webHidden/>
              </w:rPr>
            </w:r>
            <w:r w:rsidR="00D73865">
              <w:rPr>
                <w:webHidden/>
              </w:rPr>
              <w:fldChar w:fldCharType="separate"/>
            </w:r>
            <w:r w:rsidR="00D73865">
              <w:rPr>
                <w:webHidden/>
              </w:rPr>
              <w:t>32</w:t>
            </w:r>
            <w:r w:rsidR="00D73865">
              <w:rPr>
                <w:webHidden/>
              </w:rPr>
              <w:fldChar w:fldCharType="end"/>
            </w:r>
          </w:hyperlink>
        </w:p>
        <w:p w14:paraId="73256367" w14:textId="4C2E33EC"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81" w:history="1">
            <w:r w:rsidR="00D73865" w:rsidRPr="00973E91">
              <w:rPr>
                <w:rStyle w:val="Hipersaitas"/>
                <w:rFonts w:eastAsia="Calibri"/>
              </w:rPr>
              <w:t>S.H. prieš Maltą</w:t>
            </w:r>
            <w:r w:rsidR="00D73865">
              <w:rPr>
                <w:webHidden/>
              </w:rPr>
              <w:tab/>
            </w:r>
            <w:r w:rsidR="00D73865">
              <w:rPr>
                <w:webHidden/>
              </w:rPr>
              <w:fldChar w:fldCharType="begin"/>
            </w:r>
            <w:r w:rsidR="00D73865">
              <w:rPr>
                <w:webHidden/>
              </w:rPr>
              <w:instrText xml:space="preserve"> PAGEREF _Toc141446381 \h </w:instrText>
            </w:r>
            <w:r w:rsidR="00D73865">
              <w:rPr>
                <w:webHidden/>
              </w:rPr>
            </w:r>
            <w:r w:rsidR="00D73865">
              <w:rPr>
                <w:webHidden/>
              </w:rPr>
              <w:fldChar w:fldCharType="separate"/>
            </w:r>
            <w:r w:rsidR="00D73865">
              <w:rPr>
                <w:webHidden/>
              </w:rPr>
              <w:t>32</w:t>
            </w:r>
            <w:r w:rsidR="00D73865">
              <w:rPr>
                <w:webHidden/>
              </w:rPr>
              <w:fldChar w:fldCharType="end"/>
            </w:r>
          </w:hyperlink>
        </w:p>
        <w:p w14:paraId="7C6348DF" w14:textId="393CD13B" w:rsidR="00D73865" w:rsidRDefault="00000000">
          <w:pPr>
            <w:pStyle w:val="Turinys3"/>
            <w:rPr>
              <w:rFonts w:eastAsiaTheme="minorEastAsia" w:cstheme="minorBidi"/>
              <w:bCs w:val="0"/>
              <w:i w:val="0"/>
              <w:iCs w:val="0"/>
              <w:kern w:val="2"/>
              <w:lang w:val="en-US"/>
              <w14:ligatures w14:val="standardContextual"/>
            </w:rPr>
          </w:pPr>
          <w:hyperlink w:anchor="_Toc141446382" w:history="1">
            <w:r w:rsidR="00D73865" w:rsidRPr="00973E91">
              <w:rPr>
                <w:rStyle w:val="Hipersaitas"/>
                <w:rFonts w:ascii="Calibri" w:eastAsia="Times New Roman" w:hAnsi="Calibri" w:cs="Times New Roman"/>
              </w:rPr>
              <w:t>Dėl</w:t>
            </w:r>
            <w:r w:rsidR="00D73865" w:rsidRPr="00973E91">
              <w:rPr>
                <w:rStyle w:val="Hipersaitas"/>
                <w:rFonts w:ascii="Calibri" w:hAnsi="Calibri" w:cs="Times New Roman"/>
              </w:rPr>
              <w:t xml:space="preserve"> migracijos institucijos, sprendžiančios dėl prieglobsčio prašymo, netinkamai atlikto įrodymų vertinimo bei teisminės institucijos atliekamos tokių sprendimų peržiūros veiksmingumo Konvencijos 13 straipsnio kontekste</w:t>
            </w:r>
            <w:r w:rsidR="00D73865">
              <w:rPr>
                <w:webHidden/>
              </w:rPr>
              <w:tab/>
            </w:r>
            <w:r w:rsidR="00D73865">
              <w:rPr>
                <w:webHidden/>
              </w:rPr>
              <w:fldChar w:fldCharType="begin"/>
            </w:r>
            <w:r w:rsidR="00D73865">
              <w:rPr>
                <w:webHidden/>
              </w:rPr>
              <w:instrText xml:space="preserve"> PAGEREF _Toc141446382 \h </w:instrText>
            </w:r>
            <w:r w:rsidR="00D73865">
              <w:rPr>
                <w:webHidden/>
              </w:rPr>
            </w:r>
            <w:r w:rsidR="00D73865">
              <w:rPr>
                <w:webHidden/>
              </w:rPr>
              <w:fldChar w:fldCharType="separate"/>
            </w:r>
            <w:r w:rsidR="00D73865">
              <w:rPr>
                <w:webHidden/>
              </w:rPr>
              <w:t>32</w:t>
            </w:r>
            <w:r w:rsidR="00D73865">
              <w:rPr>
                <w:webHidden/>
              </w:rPr>
              <w:fldChar w:fldCharType="end"/>
            </w:r>
          </w:hyperlink>
        </w:p>
        <w:p w14:paraId="07EF86EE" w14:textId="554AEE89" w:rsidR="00D73865" w:rsidRDefault="00000000">
          <w:pPr>
            <w:pStyle w:val="Turinys1"/>
            <w:rPr>
              <w:rFonts w:eastAsiaTheme="minorEastAsia"/>
              <w:color w:val="auto"/>
              <w:kern w:val="2"/>
              <w:lang w:val="en-US"/>
              <w14:ligatures w14:val="standardContextual"/>
            </w:rPr>
          </w:pPr>
          <w:hyperlink w:anchor="_Toc141446383" w:history="1">
            <w:r w:rsidR="00D73865" w:rsidRPr="00973E91">
              <w:rPr>
                <w:rStyle w:val="Hipersaitas"/>
              </w:rPr>
              <w:t>NUOSAVYBĖS APSAUGA (Protokolo Nr. 1 1 straipsnis)</w:t>
            </w:r>
            <w:r w:rsidR="00D73865">
              <w:rPr>
                <w:webHidden/>
              </w:rPr>
              <w:tab/>
            </w:r>
            <w:r w:rsidR="00D73865">
              <w:rPr>
                <w:webHidden/>
              </w:rPr>
              <w:fldChar w:fldCharType="begin"/>
            </w:r>
            <w:r w:rsidR="00D73865">
              <w:rPr>
                <w:webHidden/>
              </w:rPr>
              <w:instrText xml:space="preserve"> PAGEREF _Toc141446383 \h </w:instrText>
            </w:r>
            <w:r w:rsidR="00D73865">
              <w:rPr>
                <w:webHidden/>
              </w:rPr>
            </w:r>
            <w:r w:rsidR="00D73865">
              <w:rPr>
                <w:webHidden/>
              </w:rPr>
              <w:fldChar w:fldCharType="separate"/>
            </w:r>
            <w:r w:rsidR="00D73865">
              <w:rPr>
                <w:webHidden/>
              </w:rPr>
              <w:t>33</w:t>
            </w:r>
            <w:r w:rsidR="00D73865">
              <w:rPr>
                <w:webHidden/>
              </w:rPr>
              <w:fldChar w:fldCharType="end"/>
            </w:r>
          </w:hyperlink>
        </w:p>
        <w:p w14:paraId="0B180BF1" w14:textId="6BB6103E"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84" w:history="1">
            <w:r w:rsidR="00D73865" w:rsidRPr="00973E91">
              <w:rPr>
                <w:rStyle w:val="Hipersaitas"/>
              </w:rPr>
              <w:t>Pannon Plakát Kft ir kiti prieš Vengriją</w:t>
            </w:r>
            <w:r w:rsidR="00D73865">
              <w:rPr>
                <w:webHidden/>
              </w:rPr>
              <w:tab/>
            </w:r>
            <w:r w:rsidR="00D73865">
              <w:rPr>
                <w:webHidden/>
              </w:rPr>
              <w:fldChar w:fldCharType="begin"/>
            </w:r>
            <w:r w:rsidR="00D73865">
              <w:rPr>
                <w:webHidden/>
              </w:rPr>
              <w:instrText xml:space="preserve"> PAGEREF _Toc141446384 \h </w:instrText>
            </w:r>
            <w:r w:rsidR="00D73865">
              <w:rPr>
                <w:webHidden/>
              </w:rPr>
            </w:r>
            <w:r w:rsidR="00D73865">
              <w:rPr>
                <w:webHidden/>
              </w:rPr>
              <w:fldChar w:fldCharType="separate"/>
            </w:r>
            <w:r w:rsidR="00D73865">
              <w:rPr>
                <w:webHidden/>
              </w:rPr>
              <w:t>33</w:t>
            </w:r>
            <w:r w:rsidR="00D73865">
              <w:rPr>
                <w:webHidden/>
              </w:rPr>
              <w:fldChar w:fldCharType="end"/>
            </w:r>
          </w:hyperlink>
        </w:p>
        <w:p w14:paraId="348EC7DC" w14:textId="0B4CAB3D" w:rsidR="00D73865" w:rsidRDefault="00000000">
          <w:pPr>
            <w:pStyle w:val="Turinys3"/>
            <w:rPr>
              <w:rFonts w:eastAsiaTheme="minorEastAsia" w:cstheme="minorBidi"/>
              <w:bCs w:val="0"/>
              <w:i w:val="0"/>
              <w:iCs w:val="0"/>
              <w:kern w:val="2"/>
              <w:lang w:val="en-US"/>
              <w14:ligatures w14:val="standardContextual"/>
            </w:rPr>
          </w:pPr>
          <w:hyperlink w:anchor="_Toc141446385" w:history="1">
            <w:r w:rsidR="00D73865" w:rsidRPr="00973E91">
              <w:rPr>
                <w:rStyle w:val="Hipersaitas"/>
              </w:rPr>
              <w:t>Dėl reklamos pakelės reklaminiuose stenduose už gyvenamųjų vietovių ribų draudimo ir tokio draudimo įsigaliojimui aktualaus pereinamojo laikotarpio</w:t>
            </w:r>
            <w:r w:rsidR="00D73865">
              <w:rPr>
                <w:webHidden/>
              </w:rPr>
              <w:tab/>
            </w:r>
            <w:r w:rsidR="00D73865">
              <w:rPr>
                <w:webHidden/>
              </w:rPr>
              <w:fldChar w:fldCharType="begin"/>
            </w:r>
            <w:r w:rsidR="00D73865">
              <w:rPr>
                <w:webHidden/>
              </w:rPr>
              <w:instrText xml:space="preserve"> PAGEREF _Toc141446385 \h </w:instrText>
            </w:r>
            <w:r w:rsidR="00D73865">
              <w:rPr>
                <w:webHidden/>
              </w:rPr>
            </w:r>
            <w:r w:rsidR="00D73865">
              <w:rPr>
                <w:webHidden/>
              </w:rPr>
              <w:fldChar w:fldCharType="separate"/>
            </w:r>
            <w:r w:rsidR="00D73865">
              <w:rPr>
                <w:webHidden/>
              </w:rPr>
              <w:t>33</w:t>
            </w:r>
            <w:r w:rsidR="00D73865">
              <w:rPr>
                <w:webHidden/>
              </w:rPr>
              <w:fldChar w:fldCharType="end"/>
            </w:r>
          </w:hyperlink>
        </w:p>
        <w:p w14:paraId="64961C4F" w14:textId="09BF0E76" w:rsidR="00D73865" w:rsidRDefault="00000000">
          <w:pPr>
            <w:pStyle w:val="Turinys1"/>
            <w:rPr>
              <w:rFonts w:eastAsiaTheme="minorEastAsia"/>
              <w:color w:val="auto"/>
              <w:kern w:val="2"/>
              <w:lang w:val="en-US"/>
              <w14:ligatures w14:val="standardContextual"/>
            </w:rPr>
          </w:pPr>
          <w:hyperlink w:anchor="_Toc141446386" w:history="1">
            <w:r w:rsidR="00D73865" w:rsidRPr="00973E91">
              <w:rPr>
                <w:rStyle w:val="Hipersaitas"/>
                <w:rFonts w:eastAsiaTheme="majorEastAsia" w:cstheme="majorBidi"/>
                <w:b/>
              </w:rPr>
              <w:t>BENDRAS DISKRIMINACIJOS UŽDRAUDIMAS (Protokolo Nr. 12 1 straipsnis)</w:t>
            </w:r>
            <w:r w:rsidR="00D73865">
              <w:rPr>
                <w:webHidden/>
              </w:rPr>
              <w:tab/>
            </w:r>
            <w:r w:rsidR="00D73865">
              <w:rPr>
                <w:webHidden/>
              </w:rPr>
              <w:fldChar w:fldCharType="begin"/>
            </w:r>
            <w:r w:rsidR="00D73865">
              <w:rPr>
                <w:webHidden/>
              </w:rPr>
              <w:instrText xml:space="preserve"> PAGEREF _Toc141446386 \h </w:instrText>
            </w:r>
            <w:r w:rsidR="00D73865">
              <w:rPr>
                <w:webHidden/>
              </w:rPr>
            </w:r>
            <w:r w:rsidR="00D73865">
              <w:rPr>
                <w:webHidden/>
              </w:rPr>
              <w:fldChar w:fldCharType="separate"/>
            </w:r>
            <w:r w:rsidR="00D73865">
              <w:rPr>
                <w:webHidden/>
              </w:rPr>
              <w:t>35</w:t>
            </w:r>
            <w:r w:rsidR="00D73865">
              <w:rPr>
                <w:webHidden/>
              </w:rPr>
              <w:fldChar w:fldCharType="end"/>
            </w:r>
          </w:hyperlink>
        </w:p>
        <w:p w14:paraId="6DC8F749" w14:textId="30A2EBE3" w:rsidR="00D73865"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41446387" w:history="1">
            <w:r w:rsidR="00D73865" w:rsidRPr="00973E91">
              <w:rPr>
                <w:rStyle w:val="Hipersaitas"/>
              </w:rPr>
              <w:t>Pinkas ir kt. prieš Bosniją ir Hercegoviną</w:t>
            </w:r>
            <w:r w:rsidR="00D73865">
              <w:rPr>
                <w:webHidden/>
              </w:rPr>
              <w:tab/>
            </w:r>
            <w:r w:rsidR="00D73865">
              <w:rPr>
                <w:webHidden/>
              </w:rPr>
              <w:fldChar w:fldCharType="begin"/>
            </w:r>
            <w:r w:rsidR="00D73865">
              <w:rPr>
                <w:webHidden/>
              </w:rPr>
              <w:instrText xml:space="preserve"> PAGEREF _Toc141446387 \h </w:instrText>
            </w:r>
            <w:r w:rsidR="00D73865">
              <w:rPr>
                <w:webHidden/>
              </w:rPr>
            </w:r>
            <w:r w:rsidR="00D73865">
              <w:rPr>
                <w:webHidden/>
              </w:rPr>
              <w:fldChar w:fldCharType="separate"/>
            </w:r>
            <w:r w:rsidR="00D73865">
              <w:rPr>
                <w:webHidden/>
              </w:rPr>
              <w:t>35</w:t>
            </w:r>
            <w:r w:rsidR="00D73865">
              <w:rPr>
                <w:webHidden/>
              </w:rPr>
              <w:fldChar w:fldCharType="end"/>
            </w:r>
          </w:hyperlink>
        </w:p>
        <w:p w14:paraId="51C39DA2" w14:textId="393BFFED" w:rsidR="00D73865" w:rsidRDefault="00000000">
          <w:pPr>
            <w:pStyle w:val="Turinys3"/>
            <w:rPr>
              <w:rFonts w:eastAsiaTheme="minorEastAsia" w:cstheme="minorBidi"/>
              <w:bCs w:val="0"/>
              <w:i w:val="0"/>
              <w:iCs w:val="0"/>
              <w:kern w:val="2"/>
              <w:lang w:val="en-US"/>
              <w14:ligatures w14:val="standardContextual"/>
            </w:rPr>
          </w:pPr>
          <w:hyperlink w:anchor="_Toc141446388" w:history="1">
            <w:r w:rsidR="00D73865" w:rsidRPr="00973E91">
              <w:rPr>
                <w:rStyle w:val="Hipersaitas"/>
              </w:rPr>
              <w:t>Dėl skirtingo teismų tarnautojų ir teisėjų statuso vertinimo, sprendžiant dėl jų teisės į su darbu susijusias išmokas</w:t>
            </w:r>
            <w:r w:rsidR="00D73865">
              <w:rPr>
                <w:webHidden/>
              </w:rPr>
              <w:tab/>
            </w:r>
            <w:r w:rsidR="00D73865">
              <w:rPr>
                <w:webHidden/>
              </w:rPr>
              <w:fldChar w:fldCharType="begin"/>
            </w:r>
            <w:r w:rsidR="00D73865">
              <w:rPr>
                <w:webHidden/>
              </w:rPr>
              <w:instrText xml:space="preserve"> PAGEREF _Toc141446388 \h </w:instrText>
            </w:r>
            <w:r w:rsidR="00D73865">
              <w:rPr>
                <w:webHidden/>
              </w:rPr>
            </w:r>
            <w:r w:rsidR="00D73865">
              <w:rPr>
                <w:webHidden/>
              </w:rPr>
              <w:fldChar w:fldCharType="separate"/>
            </w:r>
            <w:r w:rsidR="00D73865">
              <w:rPr>
                <w:webHidden/>
              </w:rPr>
              <w:t>35</w:t>
            </w:r>
            <w:r w:rsidR="00D73865">
              <w:rPr>
                <w:webHidden/>
              </w:rPr>
              <w:fldChar w:fldCharType="end"/>
            </w:r>
          </w:hyperlink>
        </w:p>
        <w:p w14:paraId="1A6C9727" w14:textId="58834244" w:rsidR="00A60AAA" w:rsidRDefault="00A60AAA" w:rsidP="00F87300">
          <w:pPr>
            <w:ind w:right="-1"/>
          </w:pPr>
          <w:r w:rsidRPr="00FF7A49">
            <w:fldChar w:fldCharType="end"/>
          </w:r>
        </w:p>
      </w:sdtContent>
    </w:sdt>
    <w:p w14:paraId="5F55C1A6" w14:textId="39802C0F" w:rsidR="00EE09AD" w:rsidRPr="00EE0FC1" w:rsidRDefault="00EE09AD" w:rsidP="00F87300">
      <w:pPr>
        <w:spacing w:after="0" w:line="240" w:lineRule="auto"/>
        <w:ind w:right="-1"/>
        <w:jc w:val="both"/>
        <w:rPr>
          <w:rFonts w:cstheme="minorHAnsi"/>
        </w:rPr>
      </w:pPr>
    </w:p>
    <w:p w14:paraId="77F2DB7D" w14:textId="5E0F1847" w:rsidR="00EE09AD" w:rsidRPr="00EE0FC1" w:rsidRDefault="00EE09AD" w:rsidP="00F87300">
      <w:pPr>
        <w:spacing w:after="0" w:line="240" w:lineRule="auto"/>
        <w:ind w:right="-1"/>
        <w:jc w:val="both"/>
        <w:rPr>
          <w:rFonts w:eastAsia="Calibri" w:cstheme="minorHAnsi"/>
          <w:b/>
          <w:highlight w:val="yellow"/>
        </w:rPr>
      </w:pPr>
      <w:r w:rsidRPr="00EE0FC1">
        <w:rPr>
          <w:rFonts w:eastAsia="Calibri" w:cstheme="minorHAnsi"/>
          <w:b/>
          <w:highlight w:val="yellow"/>
        </w:rPr>
        <w:br w:type="page"/>
      </w:r>
    </w:p>
    <w:p w14:paraId="0CD05266" w14:textId="6BE7E551" w:rsidR="006B11E1" w:rsidRDefault="006B11E1" w:rsidP="00F87300">
      <w:pPr>
        <w:spacing w:after="0" w:line="240" w:lineRule="auto"/>
        <w:ind w:right="-1" w:firstLine="567"/>
        <w:rPr>
          <w:rStyle w:val="Hipersaitas"/>
          <w:rFonts w:cs="Arial"/>
        </w:rPr>
      </w:pPr>
      <w:bookmarkStart w:id="0" w:name="_Toc19877693"/>
      <w:bookmarkStart w:id="1" w:name="_Toc104379828"/>
    </w:p>
    <w:p w14:paraId="44F5B4AF" w14:textId="5DD00806" w:rsidR="00B6565E" w:rsidRPr="00CC38E3" w:rsidRDefault="00B6565E" w:rsidP="00F87300">
      <w:pPr>
        <w:pStyle w:val="Antrat1"/>
        <w:spacing w:before="0"/>
        <w:ind w:right="-1"/>
        <w:rPr>
          <w:rFonts w:eastAsia="Times New Roman"/>
        </w:rPr>
      </w:pPr>
      <w:bookmarkStart w:id="2" w:name="_Toc141446340"/>
      <w:r>
        <w:rPr>
          <w:rFonts w:eastAsia="Times New Roman"/>
        </w:rPr>
        <w:t>TEISĖ Į TEISINGĄ BYLOS NAGRINĖJIMĄ</w:t>
      </w:r>
      <w:r w:rsidRPr="00034160">
        <w:rPr>
          <w:rFonts w:eastAsia="Times New Roman"/>
        </w:rPr>
        <w:t xml:space="preserve"> (</w:t>
      </w:r>
      <w:r>
        <w:rPr>
          <w:rFonts w:eastAsia="Times New Roman"/>
        </w:rPr>
        <w:t>6</w:t>
      </w:r>
      <w:r w:rsidRPr="00034160">
        <w:rPr>
          <w:rFonts w:eastAsia="Times New Roman"/>
        </w:rPr>
        <w:t xml:space="preserve"> straipsnis)</w:t>
      </w:r>
      <w:bookmarkEnd w:id="2"/>
    </w:p>
    <w:p w14:paraId="4F3670CA" w14:textId="77777777" w:rsidR="00D70988" w:rsidRDefault="00D70988" w:rsidP="00F87300">
      <w:pPr>
        <w:pStyle w:val="Betarp"/>
        <w:ind w:right="-1"/>
        <w:rPr>
          <w:rFonts w:cstheme="minorHAnsi"/>
          <w:b/>
          <w:bCs/>
        </w:rPr>
      </w:pPr>
    </w:p>
    <w:p w14:paraId="526CBFCA" w14:textId="6E9A4084" w:rsidR="004D22E8" w:rsidRPr="006101D4" w:rsidRDefault="004D22E8" w:rsidP="00F87300">
      <w:pPr>
        <w:spacing w:after="0" w:line="240" w:lineRule="auto"/>
        <w:ind w:right="-1"/>
        <w:jc w:val="center"/>
        <w:rPr>
          <w:rFonts w:cstheme="minorHAnsi"/>
          <w:b/>
        </w:rPr>
      </w:pPr>
      <w:r w:rsidRPr="005E49FD">
        <w:rPr>
          <w:rFonts w:cstheme="minorHAnsi"/>
          <w:b/>
          <w:bCs/>
        </w:rPr>
        <w:t xml:space="preserve">Europos Žmogaus Teisių Teismo </w:t>
      </w:r>
      <w:r w:rsidRPr="006101D4">
        <w:rPr>
          <w:rFonts w:cstheme="minorHAnsi"/>
          <w:b/>
        </w:rPr>
        <w:t xml:space="preserve">2022 m. </w:t>
      </w:r>
      <w:r>
        <w:rPr>
          <w:rFonts w:cstheme="minorHAnsi"/>
          <w:b/>
        </w:rPr>
        <w:t xml:space="preserve">spalio 4 </w:t>
      </w:r>
      <w:r w:rsidRPr="006101D4">
        <w:rPr>
          <w:rFonts w:cstheme="minorHAnsi"/>
          <w:b/>
        </w:rPr>
        <w:t>d. sprendimas byloje</w:t>
      </w:r>
    </w:p>
    <w:p w14:paraId="31067E2D" w14:textId="7B2ECD5F" w:rsidR="004D22E8" w:rsidRPr="004D22E8" w:rsidRDefault="004D22E8" w:rsidP="00F87300">
      <w:pPr>
        <w:pStyle w:val="Antrat2"/>
        <w:ind w:right="-1" w:firstLine="0"/>
        <w:rPr>
          <w:rFonts w:cstheme="minorHAnsi"/>
          <w:bCs w:val="0"/>
          <w:i w:val="0"/>
          <w:iCs w:val="0"/>
        </w:rPr>
      </w:pPr>
      <w:bookmarkStart w:id="3" w:name="_Toc141446341"/>
      <w:r w:rsidRPr="004D22E8">
        <w:rPr>
          <w:rFonts w:cstheme="minorHAnsi"/>
          <w:bCs w:val="0"/>
        </w:rPr>
        <w:t xml:space="preserve">De Legé </w:t>
      </w:r>
      <w:r w:rsidRPr="00AE48CC">
        <w:rPr>
          <w:rFonts w:cstheme="minorHAnsi"/>
        </w:rPr>
        <w:t>prieš</w:t>
      </w:r>
      <w:r w:rsidRPr="004D22E8">
        <w:rPr>
          <w:rFonts w:cstheme="minorHAnsi"/>
          <w:i w:val="0"/>
          <w:iCs w:val="0"/>
        </w:rPr>
        <w:t xml:space="preserve"> </w:t>
      </w:r>
      <w:r w:rsidRPr="004D22E8">
        <w:rPr>
          <w:rFonts w:cstheme="minorHAnsi"/>
          <w:bCs w:val="0"/>
        </w:rPr>
        <w:t>Nyderlandus</w:t>
      </w:r>
      <w:bookmarkEnd w:id="3"/>
    </w:p>
    <w:p w14:paraId="61235D5C" w14:textId="75027B55" w:rsidR="004D22E8" w:rsidRPr="006101D4" w:rsidRDefault="004D22E8" w:rsidP="00F87300">
      <w:pPr>
        <w:spacing w:after="0" w:line="240" w:lineRule="auto"/>
        <w:ind w:right="-1"/>
        <w:jc w:val="center"/>
        <w:rPr>
          <w:rFonts w:cstheme="minorHAnsi"/>
          <w:b/>
        </w:rPr>
      </w:pPr>
      <w:r w:rsidRPr="006101D4">
        <w:rPr>
          <w:rFonts w:cstheme="minorHAnsi"/>
          <w:b/>
        </w:rPr>
        <w:t xml:space="preserve">(pareiškimo Nr. </w:t>
      </w:r>
      <w:r w:rsidRPr="00935C3E">
        <w:rPr>
          <w:rFonts w:cstheme="minorHAnsi"/>
          <w:b/>
        </w:rPr>
        <w:t>58342/15</w:t>
      </w:r>
      <w:r w:rsidRPr="006101D4">
        <w:rPr>
          <w:rFonts w:cstheme="minorHAnsi"/>
          <w:b/>
          <w:bCs/>
        </w:rPr>
        <w:t xml:space="preserve">, svarbos lygis – </w:t>
      </w:r>
      <w:r w:rsidR="00B44A56" w:rsidRPr="00B44A56">
        <w:rPr>
          <w:rFonts w:cstheme="minorHAnsi"/>
          <w:b/>
          <w:bCs/>
        </w:rPr>
        <w:t>svarbiausios bylos</w:t>
      </w:r>
      <w:r w:rsidRPr="006101D4">
        <w:rPr>
          <w:rFonts w:cstheme="minorHAnsi"/>
          <w:b/>
        </w:rPr>
        <w:t>)</w:t>
      </w:r>
    </w:p>
    <w:p w14:paraId="24C18A89" w14:textId="77777777" w:rsidR="004D22E8" w:rsidRPr="006101D4" w:rsidRDefault="004D22E8" w:rsidP="00F87300">
      <w:pPr>
        <w:pStyle w:val="s6c429373"/>
        <w:spacing w:before="0" w:beforeAutospacing="0" w:after="0" w:afterAutospacing="0"/>
        <w:ind w:right="-1" w:firstLine="567"/>
        <w:jc w:val="both"/>
        <w:rPr>
          <w:rStyle w:val="sfbbfee58"/>
          <w:rFonts w:asciiTheme="minorHAnsi" w:hAnsiTheme="minorHAnsi" w:cstheme="minorHAnsi"/>
          <w:i/>
          <w:sz w:val="22"/>
          <w:szCs w:val="22"/>
        </w:rPr>
      </w:pPr>
    </w:p>
    <w:p w14:paraId="2FEC63C4" w14:textId="77777777" w:rsidR="004D22E8" w:rsidRDefault="004D22E8" w:rsidP="00F87300">
      <w:pPr>
        <w:pStyle w:val="Antrat3"/>
        <w:spacing w:before="0" w:line="240" w:lineRule="auto"/>
        <w:ind w:right="-1" w:firstLine="567"/>
        <w:rPr>
          <w:rFonts w:cstheme="minorHAnsi"/>
          <w:i w:val="0"/>
          <w:iCs/>
        </w:rPr>
      </w:pPr>
      <w:bookmarkStart w:id="4" w:name="_Toc141446342"/>
      <w:r w:rsidRPr="006101D4">
        <w:rPr>
          <w:rFonts w:cstheme="minorHAnsi"/>
          <w:iCs/>
        </w:rPr>
        <w:t xml:space="preserve">Dėl </w:t>
      </w:r>
      <w:r>
        <w:rPr>
          <w:rFonts w:cstheme="minorHAnsi"/>
          <w:iCs/>
        </w:rPr>
        <w:t>teisės neteikti parodymų (įrodymų) prieš save pažeidimo, kai mokesčio mokėtojas yra įpareigojamas pateikti konkrečius dokumentus</w:t>
      </w:r>
      <w:bookmarkEnd w:id="4"/>
    </w:p>
    <w:p w14:paraId="1ABC204F" w14:textId="77777777" w:rsidR="004D22E8" w:rsidRPr="006101D4" w:rsidRDefault="004D22E8" w:rsidP="00F87300">
      <w:pPr>
        <w:spacing w:after="0" w:line="240" w:lineRule="auto"/>
        <w:ind w:right="-1" w:firstLine="567"/>
        <w:rPr>
          <w:rFonts w:cstheme="minorHAnsi"/>
        </w:rPr>
      </w:pPr>
    </w:p>
    <w:p w14:paraId="3E3042D4" w14:textId="77777777" w:rsidR="004D22E8" w:rsidRPr="006101D4" w:rsidRDefault="004D22E8" w:rsidP="00F87300">
      <w:pPr>
        <w:spacing w:after="0" w:line="240" w:lineRule="auto"/>
        <w:ind w:right="-1"/>
        <w:jc w:val="center"/>
        <w:rPr>
          <w:rFonts w:cstheme="minorHAnsi"/>
          <w:b/>
        </w:rPr>
      </w:pPr>
      <w:r w:rsidRPr="006101D4">
        <w:rPr>
          <w:rFonts w:cstheme="minorHAnsi"/>
          <w:b/>
        </w:rPr>
        <w:t>Faktinės aplinkybės</w:t>
      </w:r>
    </w:p>
    <w:p w14:paraId="5C808778" w14:textId="77777777" w:rsidR="004D22E8" w:rsidRPr="006101D4" w:rsidRDefault="004D22E8" w:rsidP="00F87300">
      <w:pPr>
        <w:spacing w:after="0" w:line="240" w:lineRule="auto"/>
        <w:ind w:left="113" w:right="-1" w:firstLine="567"/>
        <w:jc w:val="both"/>
        <w:rPr>
          <w:rFonts w:cstheme="minorHAnsi"/>
        </w:rPr>
      </w:pPr>
      <w:r w:rsidRPr="006101D4">
        <w:rPr>
          <w:rFonts w:cstheme="minorHAnsi"/>
          <w:b/>
        </w:rPr>
        <w:t xml:space="preserve"> </w:t>
      </w:r>
    </w:p>
    <w:p w14:paraId="49D9F93C" w14:textId="2550658F" w:rsidR="004D22E8" w:rsidRDefault="004D22E8" w:rsidP="00F87300">
      <w:pPr>
        <w:spacing w:after="0" w:line="240" w:lineRule="auto"/>
        <w:ind w:right="-1" w:firstLine="567"/>
        <w:jc w:val="both"/>
        <w:rPr>
          <w:rFonts w:cstheme="minorHAnsi"/>
        </w:rPr>
      </w:pPr>
      <w:r>
        <w:rPr>
          <w:rFonts w:cstheme="minorHAnsi"/>
        </w:rPr>
        <w:t>Nyderlandų mokesčių administratorius 2005 metais gavo iš Belgijos institucijų informaciją apie Nyderlandų gyventojų Liuksemburgo banke turėtas sąskaitas ir jų balansą 1994–1996 m</w:t>
      </w:r>
      <w:r w:rsidR="00AE48CC">
        <w:rPr>
          <w:rFonts w:cstheme="minorHAnsi"/>
        </w:rPr>
        <w:t>.</w:t>
      </w:r>
      <w:r>
        <w:rPr>
          <w:rFonts w:cstheme="minorHAnsi"/>
        </w:rPr>
        <w:t xml:space="preserve"> (ši informacija buvo pavogta iš Liuksemburgo banko ir rasta Belgijoje atliekant baudžiamąjį tyrimą). Remdamasi</w:t>
      </w:r>
      <w:r w:rsidR="0008490B">
        <w:rPr>
          <w:rFonts w:cstheme="minorHAnsi"/>
        </w:rPr>
        <w:t>s</w:t>
      </w:r>
      <w:r>
        <w:rPr>
          <w:rFonts w:cstheme="minorHAnsi"/>
        </w:rPr>
        <w:t xml:space="preserve"> šia informacija, Nyderlandų mokesčių administratorius nustatė, kad pareiškėjas turėjo sąskaitą šiame banke, tačiau apie ją nebuvo informavęs nustatyt</w:t>
      </w:r>
      <w:r w:rsidR="0008490B">
        <w:rPr>
          <w:rFonts w:cstheme="minorHAnsi"/>
        </w:rPr>
        <w:t>a</w:t>
      </w:r>
      <w:r>
        <w:rPr>
          <w:rFonts w:cstheme="minorHAnsi"/>
        </w:rPr>
        <w:t xml:space="preserve"> tvarka bei deklaravęs joje (sąskaitoje) turėtų lėšų. </w:t>
      </w:r>
    </w:p>
    <w:p w14:paraId="4A3B4930" w14:textId="77777777" w:rsidR="004D22E8" w:rsidRDefault="004D22E8" w:rsidP="00F87300">
      <w:pPr>
        <w:spacing w:after="0" w:line="240" w:lineRule="auto"/>
        <w:ind w:right="-1" w:firstLine="567"/>
        <w:jc w:val="both"/>
        <w:rPr>
          <w:rFonts w:cstheme="minorHAnsi"/>
        </w:rPr>
      </w:pPr>
      <w:r>
        <w:rPr>
          <w:rFonts w:cstheme="minorHAnsi"/>
        </w:rPr>
        <w:t>Kadangi ginčo laikotarpiu Liuksemburge galioję banko paslaptį reglamentavę įstatymai draudė atskleisti informaciją kitų šalių mokesčių institucijoms be sąskaitos turėtojo sutikimo, 2007 m. kovo 7 d. Nyderlandų mokesčių administratorius informavo pareiškėją apie pradėtą mokestinį tyrimą bei nurodė deklaruoti visas nuo 1995 metų užsienio valstybėse turėtas bei turimas bankų sąskaitas, šiuo tikslu užpildant atitinkamas formas, susijusias su pajamų ir turto mokesčiais. Tačiau 2007 m. kovo 28 d. pareiškėjo atstovas raštu atsisakė pateikti prašomą informaciją, remdamasis Konvencijos 6 straipsnio su baudžiamuoju persekiojimu susijusioje dalyje įtvirtinta teise neteikti įrodymų prieš save, nes tokios informacijos pateikimas lemtų papildomų mokesčių apskaičiavimą bei, atitinkamai, baudos skyrimą.</w:t>
      </w:r>
    </w:p>
    <w:p w14:paraId="5F73A0D6" w14:textId="0426A3F9" w:rsidR="004D22E8" w:rsidRDefault="004D22E8" w:rsidP="00F87300">
      <w:pPr>
        <w:spacing w:after="0" w:line="240" w:lineRule="auto"/>
        <w:ind w:right="-1" w:firstLine="567"/>
        <w:jc w:val="both"/>
        <w:rPr>
          <w:rFonts w:cstheme="minorHAnsi"/>
        </w:rPr>
      </w:pPr>
      <w:r>
        <w:rPr>
          <w:rFonts w:cstheme="minorHAnsi"/>
        </w:rPr>
        <w:t>2007 m. liepos 24 d. ir</w:t>
      </w:r>
      <w:r w:rsidR="00AE48CC">
        <w:rPr>
          <w:rFonts w:cstheme="minorHAnsi"/>
        </w:rPr>
        <w:t xml:space="preserve"> 2007 m.</w:t>
      </w:r>
      <w:r>
        <w:rPr>
          <w:rFonts w:cstheme="minorHAnsi"/>
        </w:rPr>
        <w:t xml:space="preserve"> lapkričio 22 d. mokesčių administratorius informavo pareiškėją ir jo sutuoktinę apie tai, kad jų mokėtini mokesčiai bus perskaičiuoti remiantis numanomais duomenimis (turimais duomenimis apie banko sąskaitų balansus, statistine ir kita informacija), nes jie neįvykdė nacionaliniame mokesčių įstatyme nustatytos pareigos pateikti informaciją, taip pat nurodė, kad dėl nebendradarbiavimo su mokesčių administratoriumi jiems bus skirtos 100 proc. apskaičiuotų mokesčių ir socialinio draudimo įmokų dydžio baudos. Kadangi pareiškėjas nepateikė jokių pastabų, 2007 m. gruodžio 28 d. mokesčių administratorius priėmė sprendimą, kuriuo buvo apskaičiuoti papildomai mokėtini mokesčiai bei delspinigiai, taip pat skirtos 100 proc. mokesčių dydžio baudos.</w:t>
      </w:r>
    </w:p>
    <w:p w14:paraId="71EE08E2" w14:textId="50C23A3E" w:rsidR="004D22E8" w:rsidRDefault="00AE48CC" w:rsidP="00F87300">
      <w:pPr>
        <w:spacing w:after="0" w:line="240" w:lineRule="auto"/>
        <w:ind w:right="-1" w:firstLine="567"/>
        <w:jc w:val="both"/>
        <w:rPr>
          <w:rFonts w:cstheme="minorHAnsi"/>
        </w:rPr>
      </w:pPr>
      <w:r>
        <w:rPr>
          <w:rFonts w:cstheme="minorHAnsi"/>
        </w:rPr>
        <w:t>P</w:t>
      </w:r>
      <w:r w:rsidR="004D22E8">
        <w:rPr>
          <w:rFonts w:cstheme="minorHAnsi"/>
        </w:rPr>
        <w:t>areiškėjas šį sprendimą apskundė neteismine tvarka aukštesniam mokesčių administratoriui, be kita ko, laikydamasis pozicijos, kad surinkti įrodymai nepatvirtina fakto, kad jis ir jo sutuoktinė turėjo banko sąskaitas užsienio valstybėje.</w:t>
      </w:r>
    </w:p>
    <w:p w14:paraId="53D7A975" w14:textId="46413D55" w:rsidR="004D22E8" w:rsidRDefault="004D22E8" w:rsidP="00F87300">
      <w:pPr>
        <w:spacing w:after="0" w:line="240" w:lineRule="auto"/>
        <w:ind w:right="-1" w:firstLine="567"/>
        <w:jc w:val="both"/>
        <w:rPr>
          <w:rFonts w:cstheme="minorHAnsi"/>
        </w:rPr>
      </w:pPr>
      <w:r>
        <w:rPr>
          <w:rFonts w:cstheme="minorHAnsi"/>
        </w:rPr>
        <w:t xml:space="preserve">Sustabdęs skundo nagrinėjimą, mokesčių administratorius kreipėsi į teismą su prašymu įpareigoti pareiškėją pateikti informaciją apie jo turėtas sąskaitas užsienio valstybėse. Šį prašymą teismas tenkino – </w:t>
      </w:r>
      <w:r w:rsidRPr="0008490B">
        <w:t>2008</w:t>
      </w:r>
      <w:r w:rsidR="0008490B">
        <w:t> </w:t>
      </w:r>
      <w:r w:rsidRPr="0008490B">
        <w:t>m</w:t>
      </w:r>
      <w:r>
        <w:rPr>
          <w:rFonts w:cstheme="minorHAnsi"/>
        </w:rPr>
        <w:t>. lapkričio 28 d. nutartimi pareiškėjas buvo įpareigotas per 14 dienų pateikti minėtą informaciją taip pat numatyta 5</w:t>
      </w:r>
      <w:r w:rsidR="00AE48CC">
        <w:rPr>
          <w:rFonts w:cstheme="minorHAnsi"/>
        </w:rPr>
        <w:t> </w:t>
      </w:r>
      <w:r>
        <w:rPr>
          <w:rFonts w:cstheme="minorHAnsi"/>
        </w:rPr>
        <w:t>000</w:t>
      </w:r>
      <w:r w:rsidR="0008490B">
        <w:rPr>
          <w:rFonts w:cstheme="minorHAnsi"/>
        </w:rPr>
        <w:t xml:space="preserve"> </w:t>
      </w:r>
      <w:r>
        <w:rPr>
          <w:rFonts w:cstheme="minorHAnsi"/>
        </w:rPr>
        <w:t>Eur bauda už kiekvieną pradelstą dieną. Šio sprendimo pareiškėjas neskundė ir 2008 m. gruodžio 9 d. pateikė mokesčių administratoriaus prašytą informaciją, kuri patvirtino, kad iš tiesų jis turėjo sąskaitą užsienio banke ginčo laikotarpiu.</w:t>
      </w:r>
    </w:p>
    <w:p w14:paraId="138CC1F3" w14:textId="2E7B88A7" w:rsidR="004D22E8" w:rsidRDefault="004D22E8" w:rsidP="00F87300">
      <w:pPr>
        <w:spacing w:after="0" w:line="240" w:lineRule="auto"/>
        <w:ind w:right="-1" w:firstLine="567"/>
        <w:jc w:val="both"/>
        <w:rPr>
          <w:rFonts w:cstheme="minorHAnsi"/>
        </w:rPr>
      </w:pPr>
      <w:r>
        <w:rPr>
          <w:rFonts w:cstheme="minorHAnsi"/>
        </w:rPr>
        <w:t>Atitinkamai mokesčių administratorius pakoregavo pareiškėjui papildomai apskaičiuotas sumas, atsižvelgdamas į jo pateiktą informaciją</w:t>
      </w:r>
      <w:r w:rsidR="0008490B">
        <w:rPr>
          <w:rFonts w:cstheme="minorHAnsi"/>
        </w:rPr>
        <w:t>,</w:t>
      </w:r>
      <w:r>
        <w:rPr>
          <w:rFonts w:cstheme="minorHAnsi"/>
        </w:rPr>
        <w:t xml:space="preserve"> bei skyrė 100 proc. apskaičiuotų mokėtinų mokesčių dydžio baudą. Ginčus nagrinėję nacionaliniai teismai pareiškėjo skundus atmetė, be kita ko, pripažinę, kad mokesčių administratorius pagrįstai rėmėsi pareiškėjo pateikta informacija apskaičiuodamas jam mokėtinus mokesčius, taip pat vertino, kad skirta bauda yra pagrįsta.</w:t>
      </w:r>
    </w:p>
    <w:p w14:paraId="19F955F4" w14:textId="3EF91263" w:rsidR="004D22E8" w:rsidRDefault="004D22E8" w:rsidP="00F87300">
      <w:pPr>
        <w:spacing w:after="0" w:line="240" w:lineRule="auto"/>
        <w:ind w:right="-1" w:firstLine="567"/>
        <w:jc w:val="both"/>
        <w:rPr>
          <w:rFonts w:cstheme="minorHAnsi"/>
        </w:rPr>
      </w:pPr>
      <w:r>
        <w:rPr>
          <w:rFonts w:cstheme="minorHAnsi"/>
        </w:rPr>
        <w:t>Pareiškėjas kreipėsi į Teismą teigdamas, kad buvo pažeista Konvencijos 6 straipsnio 1 dalis, nes nacionaliniai teismai negalėjo remtis įrodymais, kurie iš jo buvo išgauti darant spaudimą ir pažeidžiant jo teis</w:t>
      </w:r>
      <w:r w:rsidR="0008490B">
        <w:rPr>
          <w:rFonts w:cstheme="minorHAnsi"/>
        </w:rPr>
        <w:t>ę</w:t>
      </w:r>
      <w:r>
        <w:rPr>
          <w:rFonts w:cstheme="minorHAnsi"/>
        </w:rPr>
        <w:t xml:space="preserve"> neteikti inkriminuojančių įrodymų prieš save.</w:t>
      </w:r>
    </w:p>
    <w:p w14:paraId="0D6340D8" w14:textId="77777777" w:rsidR="004D22E8" w:rsidRDefault="004D22E8" w:rsidP="00F87300">
      <w:pPr>
        <w:spacing w:after="0" w:line="240" w:lineRule="auto"/>
        <w:ind w:right="-1" w:firstLine="567"/>
        <w:jc w:val="both"/>
        <w:rPr>
          <w:rFonts w:cstheme="minorHAnsi"/>
        </w:rPr>
      </w:pPr>
    </w:p>
    <w:p w14:paraId="33BB51B9" w14:textId="77777777" w:rsidR="004D22E8" w:rsidRPr="006101D4" w:rsidRDefault="004D22E8" w:rsidP="00F87300">
      <w:pPr>
        <w:spacing w:after="0" w:line="240" w:lineRule="auto"/>
        <w:ind w:right="-1"/>
        <w:jc w:val="center"/>
        <w:rPr>
          <w:rFonts w:cstheme="minorHAnsi"/>
          <w:b/>
          <w:bCs/>
        </w:rPr>
      </w:pPr>
      <w:r w:rsidRPr="006101D4">
        <w:rPr>
          <w:rFonts w:cstheme="minorHAnsi"/>
          <w:b/>
          <w:bCs/>
        </w:rPr>
        <w:t>Neoficiali Teismo sprendimo apžvalga</w:t>
      </w:r>
    </w:p>
    <w:p w14:paraId="343AE2FA" w14:textId="77777777" w:rsidR="004D22E8" w:rsidRDefault="004D22E8" w:rsidP="00F87300">
      <w:pPr>
        <w:spacing w:after="0" w:line="240" w:lineRule="auto"/>
        <w:ind w:right="-1" w:firstLine="567"/>
        <w:jc w:val="both"/>
        <w:rPr>
          <w:rFonts w:cstheme="minorHAnsi"/>
        </w:rPr>
      </w:pPr>
    </w:p>
    <w:p w14:paraId="52225035" w14:textId="77777777" w:rsidR="004D22E8" w:rsidRDefault="004D22E8" w:rsidP="00F87300">
      <w:pPr>
        <w:spacing w:after="0" w:line="240" w:lineRule="auto"/>
        <w:ind w:right="-1" w:firstLine="567"/>
        <w:jc w:val="both"/>
        <w:rPr>
          <w:rFonts w:cstheme="minorHAnsi"/>
        </w:rPr>
      </w:pPr>
      <w:r>
        <w:rPr>
          <w:rFonts w:cstheme="minorHAnsi"/>
        </w:rPr>
        <w:lastRenderedPageBreak/>
        <w:t>Apžvelgęs savo formuojamą praktiką Teismas pirmiausia akcentavo, kad siekiant atvejį pripažinti patenkančiu į teisės neteikti parodymų prieš save taikymo sritį Konvencijos 6 straipsnio 1 dalies taikymo tikslais, asmens atžvilgiu turi būti taikomas koks nors spaudimas arba prievarta. Taip pat svarbu nustatyti, kad to asmens atžvilgiu yra pradėtas arba gali būti pradėtas baudžiamasis persekiojimas arba kitų procedūrų metu tokiu būdu gauti įrodymai yra panaudojami vėlesniame baudžiamajame persekiojime.</w:t>
      </w:r>
    </w:p>
    <w:p w14:paraId="096BF4B9" w14:textId="2C369A19" w:rsidR="004D22E8" w:rsidRDefault="004D22E8" w:rsidP="00F87300">
      <w:pPr>
        <w:spacing w:after="0" w:line="240" w:lineRule="auto"/>
        <w:ind w:right="-1" w:firstLine="567"/>
        <w:jc w:val="both"/>
        <w:rPr>
          <w:rFonts w:cstheme="minorHAnsi"/>
        </w:rPr>
      </w:pPr>
      <w:r>
        <w:rPr>
          <w:rFonts w:cstheme="minorHAnsi"/>
        </w:rPr>
        <w:t>Pasak Teismo, teisė neteikti parodymų prieš save neapima atvejų, kai priv</w:t>
      </w:r>
      <w:r w:rsidR="00AE48CC">
        <w:rPr>
          <w:rFonts w:cstheme="minorHAnsi"/>
        </w:rPr>
        <w:t>erstinai</w:t>
      </w:r>
      <w:r>
        <w:rPr>
          <w:rFonts w:cstheme="minorHAnsi"/>
        </w:rPr>
        <w:t xml:space="preserve"> surinkti daiktiniai įrodymai, kurių buvimas nepriklauso nuo atitinkamo asmens valios. Be to, finansų teisės srityje, kiek tai susiję su dokumentais, surinktais grasinant nuobaudomis, tokių dokumentų naudojimas nepatenka į aptariamos teisės taikymo sritį</w:t>
      </w:r>
      <w:r w:rsidR="0008490B">
        <w:rPr>
          <w:rFonts w:cstheme="minorHAnsi"/>
        </w:rPr>
        <w:t>,</w:t>
      </w:r>
      <w:r>
        <w:rPr>
          <w:rFonts w:cstheme="minorHAnsi"/>
        </w:rPr>
        <w:t xml:space="preserve"> jei kompetentingos institucijos gali pagrįsti, jog spaudimas buvo naudojamas siekiant gauti konkrečius ir jau egzistuojančius dokumentus, t. y. dokumentus</w:t>
      </w:r>
      <w:r w:rsidR="0008490B">
        <w:rPr>
          <w:rFonts w:cstheme="minorHAnsi"/>
        </w:rPr>
        <w:t>,</w:t>
      </w:r>
      <w:r>
        <w:rPr>
          <w:rFonts w:cstheme="minorHAnsi"/>
        </w:rPr>
        <w:t xml:space="preserve"> kurie nebuvo sukurti dėl taikyto spaudimo ir apie kurių buvimą šios institucijos žino. Pastaroji situacija turi būti aiškiai atskirta nuo situacijos, kai minėtomis priemonėmis siekiama gauti dokumentus, dėl kurių buvimo šios institucijos nėra tikros (tokią situaciją Teismas įvardino kaip</w:t>
      </w:r>
      <w:r w:rsidR="0008490B">
        <w:rPr>
          <w:rFonts w:cstheme="minorHAnsi"/>
        </w:rPr>
        <w:t xml:space="preserve"> atsitiktines paieškas</w:t>
      </w:r>
      <w:r>
        <w:rPr>
          <w:rFonts w:cstheme="minorHAnsi"/>
        </w:rPr>
        <w:t xml:space="preserve"> („</w:t>
      </w:r>
      <w:r w:rsidRPr="00984FBB">
        <w:rPr>
          <w:rFonts w:cstheme="minorHAnsi"/>
          <w:i/>
          <w:iCs/>
        </w:rPr>
        <w:t>fishing e</w:t>
      </w:r>
      <w:r w:rsidR="0008490B" w:rsidRPr="00984FBB">
        <w:rPr>
          <w:rFonts w:cstheme="minorHAnsi"/>
          <w:i/>
          <w:iCs/>
        </w:rPr>
        <w:t>x</w:t>
      </w:r>
      <w:r w:rsidRPr="00984FBB">
        <w:rPr>
          <w:rFonts w:cstheme="minorHAnsi"/>
          <w:i/>
          <w:iCs/>
        </w:rPr>
        <w:t>peditions</w:t>
      </w:r>
      <w:r>
        <w:rPr>
          <w:rFonts w:cstheme="minorHAnsi"/>
        </w:rPr>
        <w:t>“). Be to, kai asmens parodymai apie įrodymus (dokumentus)</w:t>
      </w:r>
      <w:r w:rsidR="00B44A56">
        <w:rPr>
          <w:rFonts w:cstheme="minorHAnsi"/>
        </w:rPr>
        <w:t>,</w:t>
      </w:r>
      <w:r>
        <w:rPr>
          <w:rFonts w:cstheme="minorHAnsi"/>
        </w:rPr>
        <w:t xml:space="preserve"> apie kuriuos institucijos nežinojo, buvo išgauti taikant minėtus metodus, tokia situacija taip pat patenka į aptariamos teisės taikymo sritį. Galiausiai Teismas akcentavo, kad teisės neteikti parodymų prieš save taikymo sritis apima atvejus, kai atitinkami parodymai išgaunami ar įrodymai surenkami taikant priemones, atitinkančias nurodytas Konvencijos 3 straipsnyje (kankinimo draudimas).</w:t>
      </w:r>
    </w:p>
    <w:p w14:paraId="0D980D2A" w14:textId="606773F1" w:rsidR="004D22E8" w:rsidRDefault="004D22E8" w:rsidP="00F87300">
      <w:pPr>
        <w:spacing w:after="0" w:line="240" w:lineRule="auto"/>
        <w:ind w:right="-1" w:firstLine="567"/>
        <w:jc w:val="both"/>
        <w:rPr>
          <w:rFonts w:cstheme="minorHAnsi"/>
        </w:rPr>
      </w:pPr>
      <w:r>
        <w:rPr>
          <w:rFonts w:cstheme="minorHAnsi"/>
        </w:rPr>
        <w:t>Pripažinus, kad atitinkamas atvejis patenka į Konvencijos 6 straipsnio 1 dalimi saugomos aptariamos teisės sritį, yra būtina įvertinti, ar atitinkama procedūra nebuvo paneigta šios teisės esmė, t. y. įvertinti, kokią įtaką tai turėjo proceso teisingumui – šiuo tikslu būtina atsižvelgti, be kita ko, į taikytų (pri</w:t>
      </w:r>
      <w:r w:rsidR="00AE48CC">
        <w:rPr>
          <w:rFonts w:cstheme="minorHAnsi"/>
        </w:rPr>
        <w:t>verstinumo</w:t>
      </w:r>
      <w:r>
        <w:rPr>
          <w:rFonts w:cstheme="minorHAnsi"/>
        </w:rPr>
        <w:t xml:space="preserve"> ir spaudimo) priemonių (metodų) prigimtį ir laipsnį, bet kokių saugiklių buvimą ir tai, kaip buvo panaudoti aptariamais būdais surinkti įrodymai.</w:t>
      </w:r>
    </w:p>
    <w:p w14:paraId="1D3DC154" w14:textId="77777777" w:rsidR="004D22E8" w:rsidRDefault="004D22E8" w:rsidP="00F87300">
      <w:pPr>
        <w:spacing w:after="0" w:line="240" w:lineRule="auto"/>
        <w:ind w:right="-1" w:firstLine="567"/>
        <w:jc w:val="both"/>
        <w:rPr>
          <w:rFonts w:cstheme="minorHAnsi"/>
        </w:rPr>
      </w:pPr>
      <w:r>
        <w:rPr>
          <w:rFonts w:cstheme="minorHAnsi"/>
        </w:rPr>
        <w:t>Kalbėdamas apie byloje nagrinėtą situaciją Teismas pažymėjo, kad pareiškėjo mokesčių administratoriui pateiktą informaciją sudarė, pirma, dvi jo (pareiškėjo) užpildytos formos, kuriose jis nurodė turėjęs banko sąskaitą Liuksemburge veikiančiame banke, ir, antra, banko išrašai ir suvestinė. Tačiau nebuvo jokių duomenų, kad minėtos formos buvo naudotos skiriant pareiškėjui mokesčio baudą – mokesčių institucijos jau turėjo duomenis apie pareiškėjo turėtą sąskaitą ir visas nacionalinis procesas buvo susijęs su sąskaitos išrašais ir suvestine. Todėl Teismas vertino, kad nėra pagrindo kalbėti apie aptariamos teisės pažeidimą, kiek tai yra susiję su minėtomis formomis.</w:t>
      </w:r>
    </w:p>
    <w:p w14:paraId="652E686A" w14:textId="35AA3BC1" w:rsidR="004D22E8" w:rsidRDefault="004D22E8" w:rsidP="00F87300">
      <w:pPr>
        <w:spacing w:after="0" w:line="240" w:lineRule="auto"/>
        <w:ind w:right="-1" w:firstLine="567"/>
        <w:jc w:val="both"/>
        <w:rPr>
          <w:rFonts w:cstheme="minorHAnsi"/>
        </w:rPr>
      </w:pPr>
      <w:r>
        <w:rPr>
          <w:rFonts w:cstheme="minorHAnsi"/>
        </w:rPr>
        <w:t>Pasisakydamas dėl minėtų išrašų ir suvestinės, Teismas pripažino, kad nors formaliai iki jų gavimo pareiškėjui mokėtini mokesčiai jau buvo apskaičiuoti ir bauda skirta, ginčo procedūra dėl mokesčių administratoriaus pirminio sprendimo buvo sustabdyta</w:t>
      </w:r>
      <w:r w:rsidR="00B44A56">
        <w:rPr>
          <w:rFonts w:cstheme="minorHAnsi"/>
        </w:rPr>
        <w:t>,</w:t>
      </w:r>
      <w:r>
        <w:rPr>
          <w:rFonts w:cstheme="minorHAnsi"/>
        </w:rPr>
        <w:t xml:space="preserve"> laukiant teismo sprendimo dėl įpareigojimo pateikti informaciją, o vėliau gauta informacija buvo pasiremta perskaičiuojant galutines mokėtinas mokesčio sumas ir skirtos baudos dydį. Taigi, šių dokumentų rinkimas buvo susijęs su baudos skyrimu ir pateko į Konvencijos 6 straipsnio 1 dalies taikymo sritį. Be to, šie įrodymai, panaudoti perskaičiuojant pareiškėjui skirtos baudos dydį, buvo surinkti darant spaudimą pareiškėjui, t. y. nacionaliniam teismui numačius skaudžias finansines pasekmes nurodymo neįvykdymo atveju. Todėl Teismas vertino, kad ginčo atvejis pateko į teisės neteikti parodymų prieš save taikymo apimtį.</w:t>
      </w:r>
    </w:p>
    <w:p w14:paraId="40688D7D" w14:textId="17F8F2CA" w:rsidR="004D22E8" w:rsidRDefault="004D22E8" w:rsidP="00F87300">
      <w:pPr>
        <w:spacing w:after="0" w:line="240" w:lineRule="auto"/>
        <w:ind w:right="-1" w:firstLine="567"/>
        <w:jc w:val="both"/>
        <w:rPr>
          <w:rFonts w:cstheme="minorHAnsi"/>
        </w:rPr>
      </w:pPr>
      <w:r>
        <w:rPr>
          <w:rFonts w:cstheme="minorHAnsi"/>
        </w:rPr>
        <w:t>Tačiau Teismas taip pat pažymėjo, kad nėra abejonių, jog minėti dokumentai egzistavo iki įpareigojant pareiškėją juos pateikti, taip pat dėl to, kad nacionalinės mokesčių institucijos žinojo apie jų buvimą, nes jau buvo nustatyta, kad pareiškėjas turėjo sąskaitą užsienio banke. T. y. nebuvo pagrindo teigti, kad kompetentingos institucijos vykdė minėt</w:t>
      </w:r>
      <w:r w:rsidR="00B44A56">
        <w:rPr>
          <w:rFonts w:cstheme="minorHAnsi"/>
        </w:rPr>
        <w:t xml:space="preserve">as atsitiktines paieškas, </w:t>
      </w:r>
      <w:r>
        <w:rPr>
          <w:rFonts w:cstheme="minorHAnsi"/>
        </w:rPr>
        <w:t>duodamos nurodymus minėtus duomenis pateikti. Todėl Teismas vertino, kad tokia situacija nepažeidė aptariamos teisės.</w:t>
      </w:r>
    </w:p>
    <w:p w14:paraId="13569214" w14:textId="77777777" w:rsidR="004D22E8" w:rsidRDefault="004D22E8" w:rsidP="00F87300">
      <w:pPr>
        <w:spacing w:after="0" w:line="240" w:lineRule="auto"/>
        <w:ind w:right="-1" w:firstLine="567"/>
        <w:jc w:val="both"/>
        <w:rPr>
          <w:rFonts w:cstheme="minorHAnsi"/>
        </w:rPr>
      </w:pPr>
    </w:p>
    <w:p w14:paraId="0608CC3B" w14:textId="77777777" w:rsidR="004D22E8" w:rsidRDefault="004D22E8" w:rsidP="00F87300">
      <w:pPr>
        <w:spacing w:after="0" w:line="240" w:lineRule="auto"/>
        <w:ind w:right="-1" w:firstLine="567"/>
        <w:jc w:val="both"/>
        <w:rPr>
          <w:rFonts w:cstheme="minorHAnsi"/>
        </w:rPr>
      </w:pPr>
      <w:r>
        <w:rPr>
          <w:rFonts w:cstheme="minorHAnsi"/>
        </w:rPr>
        <w:t>Išvada: nėra Konvencijos 6 straipsnio 1 dalies (teisė į teisingą teismą) pažeidimo.</w:t>
      </w:r>
    </w:p>
    <w:p w14:paraId="1A8FA26B" w14:textId="1537B5B2" w:rsidR="004D22E8" w:rsidRPr="00885AC9" w:rsidRDefault="00000000" w:rsidP="00F87300">
      <w:pPr>
        <w:spacing w:after="0" w:line="240" w:lineRule="auto"/>
        <w:ind w:right="-1" w:firstLine="567"/>
        <w:jc w:val="both"/>
        <w:rPr>
          <w:rFonts w:cstheme="minorHAnsi"/>
        </w:rPr>
      </w:pPr>
      <w:hyperlink r:id="rId10" w:history="1">
        <w:r w:rsidR="004D22E8" w:rsidRPr="00FB4D8C">
          <w:rPr>
            <w:rStyle w:val="Hipersaitas"/>
            <w:rFonts w:cstheme="minorHAnsi"/>
          </w:rPr>
          <w:t>Prieiga internete</w:t>
        </w:r>
      </w:hyperlink>
    </w:p>
    <w:p w14:paraId="39DF9BE7" w14:textId="77777777" w:rsidR="004D22E8" w:rsidRPr="005E49FD" w:rsidRDefault="004D22E8" w:rsidP="00F87300">
      <w:pPr>
        <w:pStyle w:val="Betarp"/>
        <w:ind w:right="-1"/>
        <w:rPr>
          <w:rFonts w:cstheme="minorHAnsi"/>
          <w:b/>
          <w:bCs/>
        </w:rPr>
      </w:pPr>
    </w:p>
    <w:p w14:paraId="7691CEEB" w14:textId="5FAD5A25" w:rsidR="00D70988" w:rsidRPr="005E49FD" w:rsidRDefault="00D70988" w:rsidP="00F87300">
      <w:pPr>
        <w:pStyle w:val="Betarp"/>
        <w:ind w:right="-1"/>
        <w:jc w:val="center"/>
        <w:rPr>
          <w:rFonts w:cstheme="minorHAnsi"/>
          <w:b/>
          <w:bCs/>
        </w:rPr>
      </w:pPr>
      <w:r w:rsidRPr="005E49FD">
        <w:rPr>
          <w:rFonts w:cstheme="minorHAnsi"/>
          <w:b/>
          <w:bCs/>
        </w:rPr>
        <w:t>Europos Žmogaus Teisių Teismo 2022 m. spalio 11 d. sprendimas byloje</w:t>
      </w:r>
    </w:p>
    <w:p w14:paraId="52BC0FE5" w14:textId="7EBD6DF6" w:rsidR="00D70988" w:rsidRPr="005E49FD" w:rsidRDefault="00D70988" w:rsidP="00F87300">
      <w:pPr>
        <w:pStyle w:val="Antrat2"/>
        <w:ind w:right="-1" w:firstLine="0"/>
        <w:rPr>
          <w:rFonts w:cstheme="minorHAnsi"/>
          <w:i w:val="0"/>
        </w:rPr>
      </w:pPr>
      <w:bookmarkStart w:id="5" w:name="_Toc141446343"/>
      <w:r w:rsidRPr="005E49FD">
        <w:rPr>
          <w:rFonts w:cstheme="minorHAnsi"/>
        </w:rPr>
        <w:t>Cocelli ir kt. prieš Turkiją</w:t>
      </w:r>
      <w:bookmarkEnd w:id="5"/>
    </w:p>
    <w:p w14:paraId="7BBA4EA4" w14:textId="06FA4F04" w:rsidR="00D70988" w:rsidRDefault="00D70988" w:rsidP="00F87300">
      <w:pPr>
        <w:pStyle w:val="Betarp"/>
        <w:ind w:right="-1"/>
        <w:jc w:val="center"/>
        <w:rPr>
          <w:rFonts w:cstheme="minorHAnsi"/>
          <w:b/>
          <w:bCs/>
        </w:rPr>
      </w:pPr>
      <w:r w:rsidRPr="005E49FD">
        <w:rPr>
          <w:rFonts w:cstheme="minorHAnsi"/>
          <w:b/>
          <w:bCs/>
        </w:rPr>
        <w:t>(pareiškimo Nr. 81415/12, svarbos lygis – 3)</w:t>
      </w:r>
    </w:p>
    <w:p w14:paraId="221968C3" w14:textId="77777777" w:rsidR="00D70988" w:rsidRPr="00D70988" w:rsidRDefault="00D70988" w:rsidP="00F87300">
      <w:pPr>
        <w:pStyle w:val="Betarp"/>
        <w:ind w:right="-1"/>
        <w:jc w:val="center"/>
        <w:rPr>
          <w:rFonts w:cstheme="minorHAnsi"/>
          <w:b/>
          <w:bCs/>
        </w:rPr>
      </w:pPr>
    </w:p>
    <w:p w14:paraId="3567E18A" w14:textId="77777777" w:rsidR="00D70988" w:rsidRPr="005E49FD" w:rsidRDefault="00D70988" w:rsidP="00F87300">
      <w:pPr>
        <w:pStyle w:val="Antrat3"/>
        <w:spacing w:before="0" w:line="240" w:lineRule="auto"/>
        <w:ind w:right="-1" w:firstLine="567"/>
        <w:rPr>
          <w:rFonts w:cstheme="minorHAnsi"/>
          <w:i w:val="0"/>
          <w:iCs/>
        </w:rPr>
      </w:pPr>
      <w:bookmarkStart w:id="6" w:name="_Toc141446344"/>
      <w:r w:rsidRPr="005E49FD">
        <w:rPr>
          <w:rFonts w:cstheme="minorHAnsi"/>
          <w:iCs/>
        </w:rPr>
        <w:t>Dėl išvadą administraciniame teisme teikusių ekspertų šališkumo vertinimo</w:t>
      </w:r>
      <w:bookmarkEnd w:id="6"/>
    </w:p>
    <w:p w14:paraId="0F18B0A7" w14:textId="77777777" w:rsidR="00F87934" w:rsidRDefault="00F87934" w:rsidP="00F87300">
      <w:pPr>
        <w:pStyle w:val="Betarp"/>
        <w:ind w:right="-1"/>
        <w:jc w:val="center"/>
        <w:rPr>
          <w:rFonts w:cstheme="minorHAnsi"/>
          <w:b/>
          <w:bCs/>
        </w:rPr>
      </w:pPr>
    </w:p>
    <w:p w14:paraId="6DFD22CD" w14:textId="3FFAAF02" w:rsidR="00D70988" w:rsidRDefault="00D70988" w:rsidP="00F87300">
      <w:pPr>
        <w:pStyle w:val="Betarp"/>
        <w:ind w:right="-1"/>
        <w:jc w:val="center"/>
        <w:rPr>
          <w:rFonts w:cstheme="minorHAnsi"/>
          <w:b/>
          <w:bCs/>
        </w:rPr>
      </w:pPr>
      <w:r w:rsidRPr="005E49FD">
        <w:rPr>
          <w:rFonts w:cstheme="minorHAnsi"/>
          <w:b/>
          <w:bCs/>
        </w:rPr>
        <w:lastRenderedPageBreak/>
        <w:t>Faktinės aplinkybės</w:t>
      </w:r>
    </w:p>
    <w:p w14:paraId="14CAB7D2" w14:textId="77777777" w:rsidR="00F87934" w:rsidRPr="00F87934" w:rsidRDefault="00F87934" w:rsidP="00F87300">
      <w:pPr>
        <w:pStyle w:val="Betarp"/>
        <w:ind w:right="-1"/>
        <w:jc w:val="center"/>
        <w:rPr>
          <w:rFonts w:cstheme="minorHAnsi"/>
          <w:b/>
          <w:bCs/>
        </w:rPr>
      </w:pPr>
    </w:p>
    <w:p w14:paraId="232D0018" w14:textId="35BF3539" w:rsidR="00D70988" w:rsidRPr="005E49FD" w:rsidRDefault="00D70988" w:rsidP="00F87300">
      <w:pPr>
        <w:pStyle w:val="Betarp"/>
        <w:ind w:right="-1" w:firstLine="567"/>
        <w:jc w:val="both"/>
        <w:rPr>
          <w:rFonts w:cstheme="minorHAnsi"/>
        </w:rPr>
      </w:pPr>
      <w:r w:rsidRPr="005E49FD">
        <w:rPr>
          <w:rFonts w:cstheme="minorHAnsi"/>
        </w:rPr>
        <w:t>Apžvelgiama byla susijusi su administraciniu procesu, kur</w:t>
      </w:r>
      <w:r>
        <w:rPr>
          <w:rFonts w:cstheme="minorHAnsi"/>
        </w:rPr>
        <w:t xml:space="preserve">į </w:t>
      </w:r>
      <w:r w:rsidRPr="005E49FD">
        <w:rPr>
          <w:rFonts w:cstheme="minorHAnsi"/>
        </w:rPr>
        <w:t>inicijavo pareiškėjai, Turkijos piliečiai, prieš Aplinkos ir miškų ministeriją dėl dviejų šalia jų gyvenamosios vietovės statomų cemento gamyklų daromo potencialaus poveikio. Administracinis teismas, atmesdamas pareiškėjų skundą, kaip įrodymu rėmėsi ekspertų grupės parengta ataskaita. Pareiškėjai, remdamiesi Konvencijos 6 straipsniu, teigė, kad administracinis procesas nebuvo sąžiningas</w:t>
      </w:r>
      <w:r w:rsidR="00AE48CC">
        <w:rPr>
          <w:rFonts w:cstheme="minorHAnsi"/>
        </w:rPr>
        <w:t>,</w:t>
      </w:r>
      <w:r w:rsidRPr="005E49FD">
        <w:rPr>
          <w:rFonts w:cstheme="minorHAnsi"/>
        </w:rPr>
        <w:t xml:space="preserve"> ypa</w:t>
      </w:r>
      <w:r w:rsidR="00AE48CC">
        <w:rPr>
          <w:rFonts w:cstheme="minorHAnsi"/>
        </w:rPr>
        <w:t>č</w:t>
      </w:r>
      <w:r w:rsidRPr="005E49FD">
        <w:rPr>
          <w:rFonts w:cstheme="minorHAnsi"/>
        </w:rPr>
        <w:t xml:space="preserve"> dėl to, kad jiems nebuvo suteikta pakankamai laiko ginčyti ekspertų grupės pateiktus teiginius, ataskaita buvo parengta šališkai, o teismas atsisakė vertinti šiuos jų argumentus.</w:t>
      </w:r>
    </w:p>
    <w:p w14:paraId="106968AC" w14:textId="77777777" w:rsidR="00D70988" w:rsidRPr="005E49FD" w:rsidRDefault="00D70988" w:rsidP="00F87300">
      <w:pPr>
        <w:pStyle w:val="Betarp"/>
        <w:ind w:right="-1" w:firstLine="567"/>
        <w:jc w:val="both"/>
        <w:rPr>
          <w:rFonts w:cstheme="minorHAnsi"/>
        </w:rPr>
      </w:pPr>
    </w:p>
    <w:p w14:paraId="36E13AB1" w14:textId="77777777" w:rsidR="00D70988" w:rsidRPr="005E49FD" w:rsidRDefault="00D70988" w:rsidP="00F87300">
      <w:pPr>
        <w:shd w:val="clear" w:color="auto" w:fill="FFFFFF"/>
        <w:spacing w:after="0" w:line="240" w:lineRule="auto"/>
        <w:ind w:right="-1"/>
        <w:jc w:val="center"/>
        <w:rPr>
          <w:rFonts w:eastAsia="Times New Roman" w:cstheme="minorHAnsi"/>
          <w:b/>
          <w:bCs/>
          <w:color w:val="000000"/>
        </w:rPr>
      </w:pPr>
      <w:r w:rsidRPr="005E49FD">
        <w:rPr>
          <w:rFonts w:eastAsia="Times New Roman" w:cstheme="minorHAnsi"/>
          <w:b/>
          <w:bCs/>
          <w:color w:val="000000"/>
        </w:rPr>
        <w:t>Neoficiali Teismo sprendimo apžvalga</w:t>
      </w:r>
    </w:p>
    <w:p w14:paraId="79957895" w14:textId="77777777" w:rsidR="00D70988" w:rsidRPr="005E49FD" w:rsidRDefault="00D70988" w:rsidP="00F87300">
      <w:pPr>
        <w:shd w:val="clear" w:color="auto" w:fill="FFFFFF"/>
        <w:spacing w:after="0" w:line="240" w:lineRule="auto"/>
        <w:ind w:right="-1"/>
        <w:jc w:val="center"/>
        <w:rPr>
          <w:rFonts w:eastAsia="Times New Roman" w:cstheme="minorHAnsi"/>
          <w:b/>
          <w:bCs/>
          <w:color w:val="000000"/>
        </w:rPr>
      </w:pPr>
    </w:p>
    <w:p w14:paraId="763FD5A0" w14:textId="4BFDD480" w:rsidR="00D70988" w:rsidRPr="005E49FD" w:rsidRDefault="00D70988" w:rsidP="00F87300">
      <w:pPr>
        <w:pStyle w:val="Betarp"/>
        <w:ind w:right="-1" w:firstLine="567"/>
        <w:jc w:val="both"/>
        <w:rPr>
          <w:rFonts w:cstheme="minorHAnsi"/>
        </w:rPr>
      </w:pPr>
      <w:r w:rsidRPr="005E49FD">
        <w:rPr>
          <w:rFonts w:cstheme="minorHAnsi"/>
        </w:rPr>
        <w:t>Teismas, lygindamas ankstesnes savo bylas su nagrinėjama situacija, pažymėjo, kad, priešingai nei kitose bylose, kuriose ataskaitą teikė vidiniai oponento ekspertai arba buvo priešingos pusės samdomi darbuotojai arba skiriami asmenys, šiuo atveju ekspertai nebuvo jokiais profesiniais, funkciniais ar hierarchiniais ryšiais susiję su priešinga bylos šalimi ar kita</w:t>
      </w:r>
      <w:r>
        <w:rPr>
          <w:rFonts w:cstheme="minorHAnsi"/>
        </w:rPr>
        <w:t>i</w:t>
      </w:r>
      <w:r w:rsidRPr="005E49FD">
        <w:rPr>
          <w:rFonts w:cstheme="minorHAnsi"/>
        </w:rPr>
        <w:t xml:space="preserve">s į bylą įstojusiais proceso dalyviais, be to, ir </w:t>
      </w:r>
      <w:r>
        <w:rPr>
          <w:rFonts w:cstheme="minorHAnsi"/>
        </w:rPr>
        <w:t xml:space="preserve">patys </w:t>
      </w:r>
      <w:r w:rsidRPr="005E49FD">
        <w:rPr>
          <w:rFonts w:cstheme="minorHAnsi"/>
        </w:rPr>
        <w:t>pareiškėjai nebuvo pašalinti iš ataskaitų organizavimo ir gavimo proceso. Šioje byloje, kaip pažymėjo Teismas, kilo klausimas, ar tariamas asmeninis šališkumas, pastebėtas ekspertų ataskaitoje pateiktuose teigi</w:t>
      </w:r>
      <w:r>
        <w:rPr>
          <w:rFonts w:cstheme="minorHAnsi"/>
        </w:rPr>
        <w:t>ni</w:t>
      </w:r>
      <w:r w:rsidRPr="005E49FD">
        <w:rPr>
          <w:rFonts w:cstheme="minorHAnsi"/>
        </w:rPr>
        <w:t xml:space="preserve">uose, kėlė pagrįstą susirūpinimą dėl jų neutralumo. Pastebėdamas, kad Konvencijos 6 straipsnis nereikalauja tokio paties teismo paskiriamų ekspertų nepriklausomumo ir nešališkumo, koks yra reikalaujamas iš ,,teismo”, Teismas vis dėlto priminė neutralumo, kurio turi laikytis teismo paskirti ekspertai, svarbą būtent dėl to, kad ekspertų nuomonė turi įtakos </w:t>
      </w:r>
      <w:r>
        <w:rPr>
          <w:rFonts w:cstheme="minorHAnsi"/>
        </w:rPr>
        <w:t xml:space="preserve">galutiniams teismo </w:t>
      </w:r>
      <w:r w:rsidRPr="005E49FD">
        <w:rPr>
          <w:rFonts w:cstheme="minorHAnsi"/>
        </w:rPr>
        <w:t xml:space="preserve">proceso rezultatams. </w:t>
      </w:r>
    </w:p>
    <w:p w14:paraId="09F351BD" w14:textId="1AE4FD6C" w:rsidR="00D70988" w:rsidRDefault="00D70988" w:rsidP="00F87300">
      <w:pPr>
        <w:pStyle w:val="Betarp"/>
        <w:ind w:right="-1" w:firstLine="567"/>
        <w:jc w:val="both"/>
        <w:rPr>
          <w:rFonts w:cstheme="minorHAnsi"/>
        </w:rPr>
      </w:pPr>
      <w:r w:rsidRPr="005E49FD">
        <w:rPr>
          <w:rFonts w:cstheme="minorHAnsi"/>
        </w:rPr>
        <w:t>Ekspertų nuomonės svarba buvo ypa</w:t>
      </w:r>
      <w:r w:rsidR="00AE48CC">
        <w:rPr>
          <w:rFonts w:cstheme="minorHAnsi"/>
        </w:rPr>
        <w:t>č</w:t>
      </w:r>
      <w:r w:rsidRPr="005E49FD">
        <w:rPr>
          <w:rFonts w:cstheme="minorHAnsi"/>
        </w:rPr>
        <w:t xml:space="preserve"> ryški apžvelgiamu atveju, kadangi ekspertams buvo patikėta užduotis įvertinti gamybinės veiklos atitiktį aplinkosaugos reikalavimams, t. y. pateikti techninės srities žinias, kurių administracinis teismas neturėjo. Ekspertų nuomonė turėjo didelę įtaką, kadangi jų išvados dėl poveikio aplinkai vertinimo nors ir nebuvo privalomos teismui, tačiau buvo tiesiogiai lemiančios ginčo baigtį. Atsižvelgiant į tai, pagrįstai tur</w:t>
      </w:r>
      <w:r>
        <w:rPr>
          <w:rFonts w:cstheme="minorHAnsi"/>
        </w:rPr>
        <w:t xml:space="preserve">i </w:t>
      </w:r>
      <w:r w:rsidRPr="005E49FD">
        <w:rPr>
          <w:rFonts w:cstheme="minorHAnsi"/>
        </w:rPr>
        <w:t>būti tikimasi, kad ekspertai turės šalių pasitikėjimą ir nekels šališkumo įspūdžio. Dėl to reikalinga remtis ankstesnėje Teismo praktikoje suformuotais principais, susijusiais su objektyvaus ir subjektyvaus nešališkumo reikalavimais, kurie taikomi teismui tiek, kiek jie yra svarbūs ir tinkami vertinant ekspertų atliekamą vaidmenį ir vykdomas funkcijas procese.</w:t>
      </w:r>
    </w:p>
    <w:p w14:paraId="569387D1" w14:textId="7365CFA5" w:rsidR="00D70988" w:rsidRPr="005E49FD" w:rsidRDefault="00D70988" w:rsidP="00F87300">
      <w:pPr>
        <w:pStyle w:val="Betarp"/>
        <w:ind w:right="-1" w:firstLine="567"/>
        <w:jc w:val="both"/>
        <w:rPr>
          <w:rFonts w:cstheme="minorHAnsi"/>
        </w:rPr>
      </w:pPr>
      <w:r w:rsidRPr="005E49FD">
        <w:rPr>
          <w:rFonts w:cstheme="minorHAnsi"/>
        </w:rPr>
        <w:t xml:space="preserve">Pasisakydamas dėl to, kaip ekspertai apžvelgiamu atveju atliko savo funkcijas ir ar viso proceso metu buvo laikomasi jų neutralumą užtikrinančių procesinių garantijų, Teismas pateikė šias pastabas. Pirma, ekspertai, kurie buvo mokslininkai, neturėjo jokių profesinių, funkcinių ar hierarchinių ryšių su valstybės institucijomis, kurios byloje buvo atsakovais, ar gamyklomis, kurios buvo įstojusios į procesą kaip bylos šalys. Antra, šie ekspertai prieš atlikdami pareigas tinkamai prisiekė. Taip pat nebuvo duomenų, kad ekspertai būtų rinkę įrodymus ar būtų apklausę vieną šalį, nedalyvaujant kitai; ar šalims būtų užkirstas kelias užduoti klausimus ekspertams. Trečia, ekspertų ataskaitose, kurios buvo išties išsamios, buvo atsakoma į techninius klausimus, kuriuos </w:t>
      </w:r>
      <w:r>
        <w:rPr>
          <w:rFonts w:cstheme="minorHAnsi"/>
        </w:rPr>
        <w:t xml:space="preserve">uždavė </w:t>
      </w:r>
      <w:r w:rsidRPr="005E49FD">
        <w:rPr>
          <w:rFonts w:cstheme="minorHAnsi"/>
        </w:rPr>
        <w:t xml:space="preserve">teismas. Žinoma, </w:t>
      </w:r>
      <w:r>
        <w:rPr>
          <w:rFonts w:cstheme="minorHAnsi"/>
        </w:rPr>
        <w:t xml:space="preserve">Teismo vertinimu, </w:t>
      </w:r>
      <w:r w:rsidRPr="005E49FD">
        <w:rPr>
          <w:rFonts w:cstheme="minorHAnsi"/>
        </w:rPr>
        <w:t>kai kurios frazės ar išsireiškimai (pvz., pareiškėjų požiūrio vertinimas kaip ,,nesąžiningas“, ,,nerūpestingas“, ,,fantazavimas“) galėjo sukelti abejonių ekspertų neutralumu, tačiau</w:t>
      </w:r>
      <w:r>
        <w:rPr>
          <w:rFonts w:cstheme="minorHAnsi"/>
        </w:rPr>
        <w:t xml:space="preserve"> </w:t>
      </w:r>
      <w:r w:rsidRPr="005E49FD">
        <w:rPr>
          <w:rFonts w:cstheme="minorHAnsi"/>
        </w:rPr>
        <w:t xml:space="preserve">vien šių teiginių vartojimas ataskaitose neleidžia įrodyti ekspertų subjektyvaus šališkumo, juolab kad iš ekspertų mokslininkų negalima reikalauti tokio paties neutralumo, atsargumo bei apdairumo, kokio reikalaujama iš teismo. </w:t>
      </w:r>
    </w:p>
    <w:p w14:paraId="74CE33B1" w14:textId="3DE0B107" w:rsidR="00D70988" w:rsidRPr="005E49FD" w:rsidRDefault="00D70988" w:rsidP="00F87300">
      <w:pPr>
        <w:pStyle w:val="Betarp"/>
        <w:ind w:right="-1" w:firstLine="567"/>
        <w:jc w:val="both"/>
        <w:rPr>
          <w:rFonts w:cstheme="minorHAnsi"/>
        </w:rPr>
      </w:pPr>
      <w:r w:rsidRPr="005E49FD">
        <w:rPr>
          <w:rFonts w:cstheme="minorHAnsi"/>
        </w:rPr>
        <w:t>Kalbėdamas apie tai, ar pareiškėjų abejonės ekspertų neutralumu gali būti vertinamos kaip objektyviai pa</w:t>
      </w:r>
      <w:r>
        <w:rPr>
          <w:rFonts w:cstheme="minorHAnsi"/>
        </w:rPr>
        <w:t>teisinamos</w:t>
      </w:r>
      <w:r w:rsidRPr="005E49FD">
        <w:rPr>
          <w:rFonts w:cstheme="minorHAnsi"/>
        </w:rPr>
        <w:t>, Teismas nustatinėjo, ar be ekspertų elgesio, yra dar kokių nors faktų, kurie gali kelti abejonių ekspertų šališkum</w:t>
      </w:r>
      <w:r>
        <w:rPr>
          <w:rFonts w:cstheme="minorHAnsi"/>
        </w:rPr>
        <w:t>u</w:t>
      </w:r>
      <w:r w:rsidRPr="005E49FD">
        <w:rPr>
          <w:rFonts w:cstheme="minorHAnsi"/>
        </w:rPr>
        <w:t xml:space="preserve">. Kaip ir objektyvaus testo, skirto įvertinti teismo objektyvų nešališkumą, atveju, suinteresuoto asmens požiūris yra svarbus faktorius, tačiau negali būti lemiantis. Svarbiausia šiuo atveju </w:t>
      </w:r>
      <w:r>
        <w:rPr>
          <w:rFonts w:cstheme="minorHAnsi"/>
        </w:rPr>
        <w:t>buvo</w:t>
      </w:r>
      <w:r w:rsidRPr="005E49FD">
        <w:rPr>
          <w:rFonts w:cstheme="minorHAnsi"/>
        </w:rPr>
        <w:t xml:space="preserve"> tai, ar bet kokie nuogąstavimai dėl šališkumo yra objektyviai pagrįsti. Teismas taip pat pakartojo, kad objektyvaus nešališkumo testas yra funkcinio pobūdžio, kadangi susijęs hierarchinių ar kitokių ryšių tarp teisėjo ir kitų proceso dalyvių vertinimu. </w:t>
      </w:r>
      <w:r w:rsidR="00BD40EE">
        <w:rPr>
          <w:rFonts w:cstheme="minorHAnsi"/>
        </w:rPr>
        <w:t>N</w:t>
      </w:r>
      <w:r w:rsidRPr="005E49FD">
        <w:rPr>
          <w:rFonts w:cstheme="minorHAnsi"/>
        </w:rPr>
        <w:t xml:space="preserve">agrinėtu atveju Teismas nenustatė jokių aplinkybių, kad ekspertai būtų funkciniais ar hierarchiniais ryšiais susiję su priešinga šalimi bei į bylą įstojusiais asmenimis. Be to, administracinę bylą išnagrinėjo trijų teisėjų kolegija, kurios nepriklausomumu bei nešališkumu nebuvo abejota. Svarbu ir tai, kad vidaus teisė bylą nagrinėjantiems teisėjams suteikė pakankamai procesinių priemonių, leidžiančių nušalinti ekspertus, jeigu kiltų abejonės išvados visapusiškumu ar šališkumu. Tai, kad teismui ekspertų išvada nėra privaloma, teisėjai laisvai vertina bylos įrodymus, taip pat turi teisę savo iniciatyva paskirti </w:t>
      </w:r>
      <w:r w:rsidRPr="005E49FD">
        <w:rPr>
          <w:rFonts w:cstheme="minorHAnsi"/>
        </w:rPr>
        <w:lastRenderedPageBreak/>
        <w:t>pakartotinę ekspertizę, sudaro tas garantijas, kurios užtikrina, kad būtų išsklaidytos bet kokios objektyvaus stebėtojo abejonės dėl ekspertų šališkumo.</w:t>
      </w:r>
    </w:p>
    <w:p w14:paraId="25A1F42E" w14:textId="77777777" w:rsidR="00D70988" w:rsidRPr="005E49FD" w:rsidRDefault="00D70988" w:rsidP="00F87300">
      <w:pPr>
        <w:pStyle w:val="Betarp"/>
        <w:ind w:right="-1" w:firstLine="567"/>
        <w:jc w:val="both"/>
        <w:rPr>
          <w:rFonts w:cstheme="minorHAnsi"/>
        </w:rPr>
      </w:pPr>
      <w:r w:rsidRPr="005E49FD">
        <w:rPr>
          <w:rFonts w:cstheme="minorHAnsi"/>
        </w:rPr>
        <w:t xml:space="preserve">Galiausiai, kaip pažymėjo teismas, nacionalinis administracinis teismas savo sprendimus grindė techniniais paaiškinimais, kurie buvo pateikti ekspertų ataskaitose. Pareiškėjų skundai dėl tariamo ekspertų šališkumo ir jų prašymas skirti kitus ekspertus teismo buvo atmesti, įvertinus tai, kad byloje nėra ataskaitų patikimumu leidžiančių abejoti aplinkybių. Taigi Teismui nekilo abejonių dėl to, kad administracinis teismas nepaskyrė naujos ekspertizės bei pritarė pateiktai ataskaitai, būtent atsižvelgiant į tai, kad, kaip aptarta pirmiau, ekspertai buvo nepriklausomi nuo atsakovo ir kitų bylos šalių, o pareiškėjo abejonės ekspertų šališkumu nebuvo objektyviai pateisinamos. </w:t>
      </w:r>
    </w:p>
    <w:p w14:paraId="51214B52" w14:textId="77777777" w:rsidR="00D70988" w:rsidRPr="005E49FD" w:rsidRDefault="00D70988" w:rsidP="00F87300">
      <w:pPr>
        <w:pStyle w:val="Betarp"/>
        <w:ind w:right="-1" w:firstLine="567"/>
        <w:jc w:val="both"/>
        <w:rPr>
          <w:rFonts w:cstheme="minorHAnsi"/>
        </w:rPr>
      </w:pPr>
    </w:p>
    <w:p w14:paraId="055374FD" w14:textId="77777777" w:rsidR="00D70988" w:rsidRPr="005E49FD" w:rsidRDefault="00D70988" w:rsidP="00F87300">
      <w:pPr>
        <w:pStyle w:val="Betarp"/>
        <w:ind w:right="-1" w:firstLine="567"/>
        <w:jc w:val="both"/>
        <w:rPr>
          <w:rFonts w:cstheme="minorHAnsi"/>
        </w:rPr>
      </w:pPr>
      <w:r w:rsidRPr="005E49FD">
        <w:rPr>
          <w:rFonts w:cstheme="minorHAnsi"/>
        </w:rPr>
        <w:t>Išvada: Konvencijos 6 straipsnio 1 dalies pažeidimas nenustatytas (vienbalsiai).</w:t>
      </w:r>
    </w:p>
    <w:p w14:paraId="6DBBCC79" w14:textId="47D3F3EC" w:rsidR="00D70988" w:rsidRPr="005E49FD" w:rsidRDefault="00000000" w:rsidP="00F87300">
      <w:pPr>
        <w:pStyle w:val="Betarp"/>
        <w:ind w:right="-1" w:firstLine="567"/>
        <w:jc w:val="both"/>
        <w:rPr>
          <w:rFonts w:cstheme="minorHAnsi"/>
          <w:lang w:val="en-US"/>
        </w:rPr>
      </w:pPr>
      <w:hyperlink r:id="rId11" w:history="1">
        <w:r w:rsidR="00D70988" w:rsidRPr="00D70988">
          <w:rPr>
            <w:rStyle w:val="Hipersaitas"/>
            <w:rFonts w:cstheme="minorHAnsi"/>
          </w:rPr>
          <w:t>Prieiga internete</w:t>
        </w:r>
      </w:hyperlink>
    </w:p>
    <w:p w14:paraId="58A0317F" w14:textId="77777777" w:rsidR="00D70988" w:rsidRDefault="00D70988" w:rsidP="00F87300">
      <w:pPr>
        <w:pStyle w:val="Betarp"/>
        <w:ind w:right="-1" w:firstLine="567"/>
        <w:jc w:val="both"/>
        <w:rPr>
          <w:rFonts w:cstheme="minorHAnsi"/>
        </w:rPr>
      </w:pPr>
    </w:p>
    <w:p w14:paraId="753DFB8B" w14:textId="1368FE87" w:rsidR="00B44CBD" w:rsidRPr="006101D4" w:rsidRDefault="00B44CBD" w:rsidP="00F87300">
      <w:pPr>
        <w:spacing w:after="0" w:line="240" w:lineRule="auto"/>
        <w:ind w:right="-1"/>
        <w:jc w:val="center"/>
        <w:rPr>
          <w:rFonts w:cstheme="minorHAnsi"/>
          <w:b/>
        </w:rPr>
      </w:pPr>
      <w:r w:rsidRPr="005E49FD">
        <w:rPr>
          <w:rFonts w:cstheme="minorHAnsi"/>
          <w:b/>
          <w:bCs/>
        </w:rPr>
        <w:t xml:space="preserve">Europos Žmogaus Teisių Teismo </w:t>
      </w:r>
      <w:r w:rsidR="009F439D">
        <w:rPr>
          <w:rFonts w:cstheme="minorHAnsi"/>
          <w:b/>
        </w:rPr>
        <w:t xml:space="preserve">didžiosios kolegijos </w:t>
      </w:r>
      <w:r w:rsidRPr="006101D4">
        <w:rPr>
          <w:rFonts w:cstheme="minorHAnsi"/>
          <w:b/>
        </w:rPr>
        <w:t xml:space="preserve">2022 m. </w:t>
      </w:r>
      <w:r>
        <w:rPr>
          <w:rFonts w:cstheme="minorHAnsi"/>
          <w:b/>
        </w:rPr>
        <w:t xml:space="preserve">lapkričio </w:t>
      </w:r>
      <w:r w:rsidR="008F61A6">
        <w:rPr>
          <w:rFonts w:cstheme="minorHAnsi"/>
          <w:b/>
        </w:rPr>
        <w:t>3</w:t>
      </w:r>
      <w:r>
        <w:rPr>
          <w:rFonts w:cstheme="minorHAnsi"/>
          <w:b/>
        </w:rPr>
        <w:t xml:space="preserve"> </w:t>
      </w:r>
      <w:r w:rsidRPr="006101D4">
        <w:rPr>
          <w:rFonts w:cstheme="minorHAnsi"/>
          <w:b/>
        </w:rPr>
        <w:t>d. sprendimas byloje</w:t>
      </w:r>
    </w:p>
    <w:p w14:paraId="65E7EDF8" w14:textId="77777777" w:rsidR="00B44CBD" w:rsidRPr="00B44CBD" w:rsidRDefault="00B44CBD" w:rsidP="00F87300">
      <w:pPr>
        <w:pStyle w:val="Antrat2"/>
        <w:ind w:right="-1" w:firstLine="0"/>
        <w:rPr>
          <w:rFonts w:cstheme="minorHAnsi"/>
          <w:i w:val="0"/>
          <w:iCs w:val="0"/>
        </w:rPr>
      </w:pPr>
      <w:bookmarkStart w:id="7" w:name="_Toc141446345"/>
      <w:r w:rsidRPr="00B44CBD">
        <w:rPr>
          <w:rFonts w:cstheme="minorHAnsi"/>
        </w:rPr>
        <w:t xml:space="preserve">Vegotex International S.A. </w:t>
      </w:r>
      <w:r w:rsidRPr="00AE48CC">
        <w:rPr>
          <w:rFonts w:cstheme="minorHAnsi"/>
        </w:rPr>
        <w:t>prieš</w:t>
      </w:r>
      <w:r w:rsidRPr="00B44CBD">
        <w:rPr>
          <w:rFonts w:cstheme="minorHAnsi"/>
          <w:i w:val="0"/>
          <w:iCs w:val="0"/>
        </w:rPr>
        <w:t xml:space="preserve"> </w:t>
      </w:r>
      <w:r w:rsidRPr="00B44CBD">
        <w:rPr>
          <w:rFonts w:cstheme="minorHAnsi"/>
        </w:rPr>
        <w:t>Belgiją</w:t>
      </w:r>
      <w:bookmarkEnd w:id="7"/>
    </w:p>
    <w:p w14:paraId="0DA12148" w14:textId="0BC4E349" w:rsidR="00B44CBD" w:rsidRPr="006101D4" w:rsidRDefault="00B44CBD" w:rsidP="00F87300">
      <w:pPr>
        <w:spacing w:after="0" w:line="240" w:lineRule="auto"/>
        <w:ind w:right="-1"/>
        <w:jc w:val="center"/>
        <w:rPr>
          <w:rFonts w:cstheme="minorHAnsi"/>
          <w:b/>
        </w:rPr>
      </w:pPr>
      <w:r w:rsidRPr="006101D4">
        <w:rPr>
          <w:rFonts w:cstheme="minorHAnsi"/>
          <w:b/>
        </w:rPr>
        <w:t xml:space="preserve">(pareiškimo Nr. </w:t>
      </w:r>
      <w:r w:rsidRPr="00935C3E">
        <w:rPr>
          <w:rFonts w:cstheme="minorHAnsi"/>
          <w:b/>
        </w:rPr>
        <w:t>49812/09</w:t>
      </w:r>
      <w:r w:rsidRPr="006101D4">
        <w:rPr>
          <w:rFonts w:cstheme="minorHAnsi"/>
          <w:b/>
          <w:bCs/>
        </w:rPr>
        <w:t xml:space="preserve">, svarbos lygis – </w:t>
      </w:r>
      <w:r w:rsidR="00051B29">
        <w:rPr>
          <w:rFonts w:cstheme="minorHAnsi"/>
          <w:b/>
          <w:bCs/>
        </w:rPr>
        <w:t>svarbiausios bylos</w:t>
      </w:r>
      <w:r w:rsidRPr="006101D4">
        <w:rPr>
          <w:rFonts w:cstheme="minorHAnsi"/>
          <w:b/>
        </w:rPr>
        <w:t>)</w:t>
      </w:r>
    </w:p>
    <w:p w14:paraId="798686FE" w14:textId="77777777" w:rsidR="00B44CBD" w:rsidRPr="006101D4" w:rsidRDefault="00B44CBD" w:rsidP="00F87300">
      <w:pPr>
        <w:pStyle w:val="s6c429373"/>
        <w:spacing w:before="0" w:beforeAutospacing="0" w:after="0" w:afterAutospacing="0"/>
        <w:ind w:right="-1" w:firstLine="567"/>
        <w:jc w:val="both"/>
        <w:rPr>
          <w:rStyle w:val="sfbbfee58"/>
          <w:rFonts w:asciiTheme="minorHAnsi" w:hAnsiTheme="minorHAnsi" w:cstheme="minorHAnsi"/>
          <w:i/>
          <w:sz w:val="22"/>
          <w:szCs w:val="22"/>
        </w:rPr>
      </w:pPr>
    </w:p>
    <w:p w14:paraId="38F5B52F" w14:textId="06E90389" w:rsidR="00B44CBD" w:rsidRPr="00E85FD6" w:rsidRDefault="00B44CBD" w:rsidP="00F87300">
      <w:pPr>
        <w:pStyle w:val="Antrat3"/>
        <w:spacing w:before="0" w:line="240" w:lineRule="auto"/>
        <w:ind w:right="-1" w:firstLine="567"/>
        <w:rPr>
          <w:rFonts w:cstheme="minorHAnsi"/>
          <w:i w:val="0"/>
          <w:iCs/>
        </w:rPr>
      </w:pPr>
      <w:bookmarkStart w:id="8" w:name="_Toc141446346"/>
      <w:r w:rsidRPr="00E85FD6">
        <w:rPr>
          <w:rFonts w:cstheme="minorHAnsi"/>
          <w:iCs/>
        </w:rPr>
        <w:t xml:space="preserve">Dėl įstatymų leidėjo teisės įsiterpti į </w:t>
      </w:r>
      <w:r>
        <w:rPr>
          <w:rFonts w:cstheme="minorHAnsi"/>
          <w:iCs/>
        </w:rPr>
        <w:t>teismuose nagrinėjamus</w:t>
      </w:r>
      <w:r w:rsidRPr="00E85FD6">
        <w:rPr>
          <w:rFonts w:cstheme="minorHAnsi"/>
          <w:iCs/>
        </w:rPr>
        <w:t xml:space="preserve"> mokestinius ginčus, siekiant atkurti nuoseklią administracin</w:t>
      </w:r>
      <w:r w:rsidR="00C470A5">
        <w:rPr>
          <w:rFonts w:cstheme="minorHAnsi"/>
          <w:iCs/>
        </w:rPr>
        <w:t>ę</w:t>
      </w:r>
      <w:r w:rsidRPr="00E85FD6">
        <w:rPr>
          <w:rFonts w:cstheme="minorHAnsi"/>
          <w:iCs/>
        </w:rPr>
        <w:t xml:space="preserve"> praktiką, kuri buvo netikėtai pakeista </w:t>
      </w:r>
      <w:r>
        <w:rPr>
          <w:rFonts w:cstheme="minorHAnsi"/>
          <w:iCs/>
        </w:rPr>
        <w:t>vienodą teismų praktiką formuojančio teismo sprendimu</w:t>
      </w:r>
      <w:bookmarkEnd w:id="8"/>
    </w:p>
    <w:p w14:paraId="4534B01A" w14:textId="77777777" w:rsidR="00B44CBD" w:rsidRPr="006101D4" w:rsidRDefault="00B44CBD" w:rsidP="00F87300">
      <w:pPr>
        <w:spacing w:after="0" w:line="240" w:lineRule="auto"/>
        <w:ind w:right="-1" w:firstLine="567"/>
        <w:rPr>
          <w:rFonts w:cstheme="minorHAnsi"/>
        </w:rPr>
      </w:pPr>
    </w:p>
    <w:p w14:paraId="1154C218" w14:textId="77777777" w:rsidR="00B44CBD" w:rsidRDefault="00B44CBD" w:rsidP="00F87300">
      <w:pPr>
        <w:spacing w:after="0" w:line="240" w:lineRule="auto"/>
        <w:ind w:right="-1"/>
        <w:jc w:val="center"/>
        <w:rPr>
          <w:rFonts w:cstheme="minorHAnsi"/>
          <w:b/>
        </w:rPr>
      </w:pPr>
      <w:r w:rsidRPr="006101D4">
        <w:rPr>
          <w:rFonts w:cstheme="minorHAnsi"/>
          <w:b/>
        </w:rPr>
        <w:t>Faktinės aplinkybės</w:t>
      </w:r>
    </w:p>
    <w:p w14:paraId="7BA6D4BA" w14:textId="77777777" w:rsidR="00B44CBD" w:rsidRPr="006101D4" w:rsidRDefault="00B44CBD" w:rsidP="00F87300">
      <w:pPr>
        <w:spacing w:after="0" w:line="240" w:lineRule="auto"/>
        <w:ind w:right="-1"/>
        <w:jc w:val="center"/>
        <w:rPr>
          <w:rFonts w:cstheme="minorHAnsi"/>
          <w:b/>
        </w:rPr>
      </w:pPr>
    </w:p>
    <w:p w14:paraId="4A3BE4BF" w14:textId="77777777" w:rsidR="00B44CBD" w:rsidRPr="00222584" w:rsidRDefault="00B44CBD" w:rsidP="00F87300">
      <w:pPr>
        <w:spacing w:after="0" w:line="240" w:lineRule="auto"/>
        <w:ind w:left="113" w:right="-1" w:firstLine="567"/>
        <w:jc w:val="both"/>
        <w:rPr>
          <w:rFonts w:cstheme="minorHAnsi"/>
          <w:bCs/>
        </w:rPr>
      </w:pPr>
      <w:r w:rsidRPr="00222584">
        <w:rPr>
          <w:rFonts w:cstheme="minorHAnsi"/>
          <w:bCs/>
        </w:rPr>
        <w:t xml:space="preserve"> 1995 metais mokesčių administratorius pakoregavo pagal pareiškėjo (Belgijoje veikiančios bendrovės) prašymą grąžintos mokesčio permokos dydį ir skyrė 10 proc. baudą nuo dėl korekcijos papildomai mokėtinų mokesčių sumų. Šį sprendimą bendrovė apskundė.</w:t>
      </w:r>
    </w:p>
    <w:p w14:paraId="76C352EB" w14:textId="6B36DEE2" w:rsidR="00B44CBD" w:rsidRPr="00222584" w:rsidRDefault="00B44CBD" w:rsidP="00F87300">
      <w:pPr>
        <w:spacing w:after="0" w:line="240" w:lineRule="auto"/>
        <w:ind w:left="113" w:right="-1" w:firstLine="567"/>
        <w:jc w:val="both"/>
        <w:rPr>
          <w:rFonts w:cstheme="minorHAnsi"/>
          <w:bCs/>
        </w:rPr>
      </w:pPr>
      <w:r w:rsidRPr="00222584">
        <w:rPr>
          <w:rFonts w:cstheme="minorHAnsi"/>
          <w:bCs/>
        </w:rPr>
        <w:t xml:space="preserve">Dar neišnagrinėjus minėto pareiškėjo skundo (laukiant bylos nagrinėjimo teisme), 2000 m. spalį mokesčių administratorius pateikė raginimą sumokėti minėtas sumas, eksplicitiškai nurodydamas, kad šis raginimas teikiamas </w:t>
      </w:r>
      <w:r w:rsidR="00C470A5">
        <w:rPr>
          <w:rFonts w:cstheme="minorHAnsi"/>
          <w:bCs/>
        </w:rPr>
        <w:t>siekiant</w:t>
      </w:r>
      <w:r w:rsidRPr="00222584">
        <w:rPr>
          <w:rFonts w:cstheme="minorHAnsi"/>
          <w:bCs/>
        </w:rPr>
        <w:t xml:space="preserve"> nutraukti mokesčių skolos išieškojimo senaties terminą.</w:t>
      </w:r>
    </w:p>
    <w:p w14:paraId="3E50F1EA" w14:textId="33116D27" w:rsidR="00B44CBD" w:rsidRDefault="00B44CBD" w:rsidP="00F87300">
      <w:pPr>
        <w:spacing w:after="0" w:line="240" w:lineRule="auto"/>
        <w:ind w:left="113" w:right="-1" w:firstLine="567"/>
        <w:jc w:val="both"/>
        <w:rPr>
          <w:rFonts w:cstheme="minorHAnsi"/>
          <w:bCs/>
        </w:rPr>
      </w:pPr>
      <w:r w:rsidRPr="00222584">
        <w:rPr>
          <w:rFonts w:cstheme="minorHAnsi"/>
          <w:bCs/>
        </w:rPr>
        <w:t>2002 m. spalio 10 d., t. y. tuo metu</w:t>
      </w:r>
      <w:r w:rsidR="00C470A5">
        <w:rPr>
          <w:rFonts w:cstheme="minorHAnsi"/>
          <w:bCs/>
        </w:rPr>
        <w:t>,</w:t>
      </w:r>
      <w:r w:rsidRPr="00222584">
        <w:rPr>
          <w:rFonts w:cstheme="minorHAnsi"/>
          <w:bCs/>
        </w:rPr>
        <w:t xml:space="preserve"> kol pareiškėjas laukė jo skundo nagrinėjimo </w:t>
      </w:r>
      <w:r>
        <w:rPr>
          <w:rFonts w:cstheme="minorHAnsi"/>
          <w:bCs/>
        </w:rPr>
        <w:t xml:space="preserve">apeliacinės </w:t>
      </w:r>
      <w:r w:rsidRPr="00222584">
        <w:rPr>
          <w:rFonts w:cstheme="minorHAnsi"/>
          <w:bCs/>
        </w:rPr>
        <w:t>instancijos teisme, Belgijos kasacinės instancijos teismas priėmė naują teismų praktiką formuojantį sprendimą, kuriame konstatavo, kad minėti raginimai nenutraukia aptariamos senaties</w:t>
      </w:r>
      <w:r>
        <w:rPr>
          <w:rFonts w:cstheme="minorHAnsi"/>
          <w:bCs/>
        </w:rPr>
        <w:t>.</w:t>
      </w:r>
    </w:p>
    <w:p w14:paraId="425D7141" w14:textId="77777777" w:rsidR="00B44CBD" w:rsidRPr="00222584" w:rsidRDefault="00B44CBD" w:rsidP="00F87300">
      <w:pPr>
        <w:spacing w:after="0" w:line="240" w:lineRule="auto"/>
        <w:ind w:left="113" w:right="-1" w:firstLine="567"/>
        <w:jc w:val="both"/>
        <w:rPr>
          <w:rFonts w:cstheme="minorHAnsi"/>
          <w:bCs/>
        </w:rPr>
      </w:pPr>
      <w:r w:rsidRPr="00222584">
        <w:rPr>
          <w:rFonts w:cstheme="minorHAnsi"/>
          <w:bCs/>
        </w:rPr>
        <w:t>Pareiškėjas pirmą kartą pasirėmė šia nauja jurisprudencija 2004 m. balandį, kai byla dėl jo skundo buvo nagrinėjama apeliacinės instancijos teisme. Tačiau 2004 m. liepą įstatymų leidėjas, siekdamas sustabdyti šią naują teismų jurisprudenciją ir atkurti iki tol buvusią administracinę praktiką, priėmė atitinkamą įstatymą, kuris buvo taikomas ir visiems tebevykstantiems procesams. Šis naujas reglamentavimas buvo pritaikytas ir kasaciniame teisme nagrinėjant bei atmetant pareiškėjo skundą.</w:t>
      </w:r>
    </w:p>
    <w:p w14:paraId="15CE9CE3" w14:textId="77777777" w:rsidR="00B44CBD" w:rsidRPr="00222584" w:rsidRDefault="00B44CBD" w:rsidP="00F87300">
      <w:pPr>
        <w:spacing w:after="0" w:line="240" w:lineRule="auto"/>
        <w:ind w:left="113" w:right="-1" w:firstLine="567"/>
        <w:jc w:val="both"/>
        <w:rPr>
          <w:rFonts w:cstheme="minorHAnsi"/>
          <w:bCs/>
        </w:rPr>
      </w:pPr>
      <w:r w:rsidRPr="00222584">
        <w:rPr>
          <w:rFonts w:cstheme="minorHAnsi"/>
          <w:bCs/>
        </w:rPr>
        <w:t>Manydamas, kad tokia įstatymų leidėjo intervencija, taip pat ilgu procesu nacionaliniuose teismuose buvo pažeista Konvencijos 6 straipsnio 1 dalis, pareiškėjas su pareiškimu kreipėsi į Teismą.</w:t>
      </w:r>
    </w:p>
    <w:p w14:paraId="326574E0" w14:textId="77777777" w:rsidR="00B44CBD" w:rsidRDefault="00B44CBD" w:rsidP="00F87300">
      <w:pPr>
        <w:spacing w:after="0" w:line="240" w:lineRule="auto"/>
        <w:ind w:right="-1" w:firstLine="567"/>
        <w:jc w:val="both"/>
        <w:rPr>
          <w:rFonts w:cstheme="minorHAnsi"/>
        </w:rPr>
      </w:pPr>
      <w:r>
        <w:rPr>
          <w:rFonts w:cstheme="minorHAnsi"/>
        </w:rPr>
        <w:t>2020 m. lapkričio 10 d. Teismas vienbalsiai pripažino, kad nebuvo Konvencijos 6 straipsnio 1 dalies pažeidimo dėl minėto nacionalinio įstatymų leidėjo įsiterpimo, tačiau šis straipsnis buvo pažeistas dėl per ilgo proceso ginčą nagrinėjant teismuose.</w:t>
      </w:r>
    </w:p>
    <w:p w14:paraId="794188FE" w14:textId="2B0B7E29" w:rsidR="00B44CBD" w:rsidRPr="00EE5FD7" w:rsidRDefault="00B44CBD" w:rsidP="00F87300">
      <w:pPr>
        <w:spacing w:after="0" w:line="240" w:lineRule="auto"/>
        <w:ind w:right="-1" w:firstLine="567"/>
        <w:jc w:val="both"/>
        <w:rPr>
          <w:rFonts w:cstheme="minorHAnsi"/>
        </w:rPr>
      </w:pPr>
      <w:r>
        <w:rPr>
          <w:rFonts w:cstheme="minorHAnsi"/>
        </w:rPr>
        <w:t>Pareiškėjo prašymu 2021 m. kovo 8 d. byla buvo perduota didžiajai kolegijai.</w:t>
      </w:r>
    </w:p>
    <w:p w14:paraId="62316D62" w14:textId="77777777" w:rsidR="00B44CBD" w:rsidRPr="006101D4" w:rsidRDefault="00B44CBD" w:rsidP="00F87300">
      <w:pPr>
        <w:spacing w:after="0" w:line="240" w:lineRule="auto"/>
        <w:ind w:right="-1" w:firstLine="567"/>
        <w:jc w:val="both"/>
        <w:rPr>
          <w:rFonts w:cstheme="minorHAnsi"/>
        </w:rPr>
      </w:pPr>
    </w:p>
    <w:p w14:paraId="1D3E4536" w14:textId="77777777" w:rsidR="00B44CBD" w:rsidRPr="006101D4" w:rsidRDefault="00B44CBD" w:rsidP="00F87300">
      <w:pPr>
        <w:spacing w:after="0" w:line="240" w:lineRule="auto"/>
        <w:ind w:right="-1"/>
        <w:jc w:val="center"/>
        <w:rPr>
          <w:rFonts w:cstheme="minorHAnsi"/>
          <w:b/>
          <w:bCs/>
        </w:rPr>
      </w:pPr>
      <w:r w:rsidRPr="006101D4">
        <w:rPr>
          <w:rFonts w:cstheme="minorHAnsi"/>
          <w:b/>
          <w:bCs/>
        </w:rPr>
        <w:t>Neoficiali Teismo sprendimo apžvalga</w:t>
      </w:r>
    </w:p>
    <w:p w14:paraId="78F1DEB6" w14:textId="77777777" w:rsidR="00B44CBD" w:rsidRPr="006101D4" w:rsidRDefault="00B44CBD" w:rsidP="00F87300">
      <w:pPr>
        <w:spacing w:after="0" w:line="240" w:lineRule="auto"/>
        <w:ind w:right="-1" w:firstLine="567"/>
        <w:jc w:val="both"/>
        <w:rPr>
          <w:rFonts w:cstheme="minorHAnsi"/>
        </w:rPr>
      </w:pPr>
    </w:p>
    <w:p w14:paraId="71F9F1DD" w14:textId="7E7CF3A4" w:rsidR="00B44CBD" w:rsidRDefault="00B44CBD" w:rsidP="00F87300">
      <w:pPr>
        <w:spacing w:after="0" w:line="240" w:lineRule="auto"/>
        <w:ind w:right="-1" w:firstLine="567"/>
        <w:jc w:val="both"/>
        <w:rPr>
          <w:rFonts w:cstheme="minorHAnsi"/>
        </w:rPr>
      </w:pPr>
      <w:r>
        <w:rPr>
          <w:rFonts w:cstheme="minorHAnsi"/>
        </w:rPr>
        <w:t>Teismas pirmiausia priminė, kad nors iš principo nėra draudžiama nacionaliniam įstatymų leidėjui retroaktyviai sureguliuoti atitinkamus teisinius santykius, įstatymų viršenybės principas ir teisė į teisingą teismą, įtvirtint</w:t>
      </w:r>
      <w:r w:rsidR="00C470A5">
        <w:rPr>
          <w:rFonts w:cstheme="minorHAnsi"/>
        </w:rPr>
        <w:t>a</w:t>
      </w:r>
      <w:r>
        <w:rPr>
          <w:rFonts w:cstheme="minorHAnsi"/>
        </w:rPr>
        <w:t xml:space="preserve"> Konvencijos 6 straipsnyje, draudžia bet kokį įsiterpimą į teisingumo vykdymą, kuriuo (įsiterpimu) yra siekiama daryti poveikį galutiniam teismo sprendimui, nebent egzistuotų įtikinamas viešasis interesas. Šiuo aspektu ginčo atveju minėti teisės aktų pakeitimai įsigaliojo, kai pareiškėjo byla laukė nagrinėjimo apeliacinės instancijos teisme ir juo (nauju reguliavimu) buvo išspręstas senaties termino taikymo klausimas, be kita ko, ir teismuose nagrinėjamose bylose, įskaitant pareiškėjo. </w:t>
      </w:r>
    </w:p>
    <w:p w14:paraId="1CC08DF8" w14:textId="77777777" w:rsidR="00B44CBD" w:rsidRPr="00EE5FD7" w:rsidRDefault="00B44CBD" w:rsidP="00F87300">
      <w:pPr>
        <w:spacing w:after="0" w:line="240" w:lineRule="auto"/>
        <w:ind w:right="-1" w:firstLine="567"/>
        <w:jc w:val="both"/>
        <w:rPr>
          <w:rFonts w:cstheme="minorHAnsi"/>
        </w:rPr>
      </w:pPr>
      <w:r>
        <w:rPr>
          <w:rFonts w:cstheme="minorHAnsi"/>
        </w:rPr>
        <w:lastRenderedPageBreak/>
        <w:t>Analizuodamas nacionalinio įstatymų leidėjo deklaruotus siekius bei vertindamas, ar toks įsiterpimas buvo pateisinamas viešuoju interesu, Teismas pirmiausia pažymėjo, kad, kiek tai yra susiję su valstybės biudžetu, vien valstybės finansiniai interesai patys savaime nepateisina retroaktyvaus įstatymų taikymo, o konkrečiu atveju nauja teismų praktika, kurią buvo siekiama pakeisti nauju reguliavimu, nekėlė grėsmės valstybės finansų sistemos stabilumui.</w:t>
      </w:r>
    </w:p>
    <w:p w14:paraId="22131F1D" w14:textId="0B659A5E" w:rsidR="00B44CBD" w:rsidRDefault="00B44CBD" w:rsidP="00F87300">
      <w:pPr>
        <w:spacing w:after="0" w:line="240" w:lineRule="auto"/>
        <w:ind w:right="-1" w:firstLine="567"/>
        <w:jc w:val="both"/>
        <w:rPr>
          <w:rFonts w:cstheme="minorHAnsi"/>
        </w:rPr>
      </w:pPr>
      <w:r>
        <w:rPr>
          <w:rFonts w:cstheme="minorHAnsi"/>
        </w:rPr>
        <w:t xml:space="preserve">Kita vertus, siekis kovoti su didelio masto mokesčių sukčiavimu (vengimu) buvo pripažintas susijusiu </w:t>
      </w:r>
      <w:r w:rsidR="00AE48CC">
        <w:rPr>
          <w:rFonts w:cstheme="minorHAnsi"/>
        </w:rPr>
        <w:t xml:space="preserve">su </w:t>
      </w:r>
      <w:r>
        <w:rPr>
          <w:rFonts w:cstheme="minorHAnsi"/>
        </w:rPr>
        <w:t>viešuoju interesu, kurio aktualumo savaime nepaneigė aplinkybė, kad ginčo atveju tokio plataus masto sukčiavimo nebuvo. Be to, teismas pripažino reikšmingu siekį užtikrinti mokesčių mokėtojų lygybę bei santykių dalyvių teisinį tikrumą. Pastaruoju aspektu Teismas paminėjo, kad išskirtinėmis aplinkybėmis retroaktyvi teisėkūra gali būti pateisinama, ypač kai siekiama išaiškinti ar patikslinti ankstesnį teisinį reguliavimą, užpildyti teisinio reguliavimo spragą ar pašalinti (pakeisti) naujos teismų praktikos pasekmes.</w:t>
      </w:r>
    </w:p>
    <w:p w14:paraId="529D61F8" w14:textId="53DFB9AD" w:rsidR="00B44CBD" w:rsidRDefault="00B44CBD" w:rsidP="00F87300">
      <w:pPr>
        <w:spacing w:after="0" w:line="240" w:lineRule="auto"/>
        <w:ind w:right="-1" w:firstLine="567"/>
        <w:jc w:val="both"/>
        <w:rPr>
          <w:rFonts w:cstheme="minorHAnsi"/>
        </w:rPr>
      </w:pPr>
      <w:r>
        <w:rPr>
          <w:rFonts w:cstheme="minorHAnsi"/>
        </w:rPr>
        <w:t>Visų šių tikslų kontekste teismas akcentavo šias aplinkybes: (1) nauja teismų praktika (Belgijos kasacinis teismas pirmą kartą sprendė šį klausimą), kurią buvo siekiama pakeisti nauju reguliavimu, neatitiko nuoseklios mokesčių institucijų administracinės praktikos, o ši nauja praktika turėjo retroaktyvų poveikį ir jau nagrinėjamiems mokestiniams ginčams; (2) naujas reguliavimas buvo priimtas sąlyginai greitai – per pusantrų metų nuo kasacinio teismo sprendimo; (3) nebuvo pagrindo manyti, kad nauju reguliavimu, kuriuo buvo siekiama įtvirtinti iki naujos teismų praktikos taikytą administracin</w:t>
      </w:r>
      <w:r w:rsidR="00C470A5">
        <w:rPr>
          <w:rFonts w:cstheme="minorHAnsi"/>
        </w:rPr>
        <w:t>ę</w:t>
      </w:r>
      <w:r>
        <w:rPr>
          <w:rFonts w:cstheme="minorHAnsi"/>
        </w:rPr>
        <w:t xml:space="preserve"> praktiką buvo nepaisyta teisinio tikrumo – priešingai, atsižvelgdamas į netikėtą teismų praktikos pokytį, įstatymų leidėjas siekė šį tikrumą užtikrinti</w:t>
      </w:r>
      <w:r w:rsidR="00AE48CC">
        <w:rPr>
          <w:rFonts w:cstheme="minorHAnsi"/>
        </w:rPr>
        <w:t>,</w:t>
      </w:r>
      <w:r>
        <w:rPr>
          <w:rFonts w:cstheme="minorHAnsi"/>
        </w:rPr>
        <w:t xml:space="preserve"> atkurdamas iki tol buvusią administracin</w:t>
      </w:r>
      <w:r w:rsidR="00C470A5">
        <w:rPr>
          <w:rFonts w:cstheme="minorHAnsi"/>
        </w:rPr>
        <w:t>ę</w:t>
      </w:r>
      <w:r>
        <w:rPr>
          <w:rFonts w:cstheme="minorHAnsi"/>
        </w:rPr>
        <w:t xml:space="preserve"> praktiką, kuri buvo taikoma tuo metu, kai pareiškėjas inicijavo ginčą teisme (pareiškėjas kreipimosi į teismą metu negalėjo žinoti ar tikėtis, kad jam bus taikomas minėtas senaties terminas); (4) kai pareiškėjas kreipėsi į pirmosios instancijos teismą, senaties terminas nebuvo suėjęs ir jis (iki naujo reguliavimo įsigaliojimo) pagal naują ir netikėtą teismų praktiką suėjo tik laukiant bylos nagrinėjimo apeliacinės instancijos teisme.</w:t>
      </w:r>
    </w:p>
    <w:p w14:paraId="7AC4370A" w14:textId="4CA70C9B" w:rsidR="00B44CBD" w:rsidRDefault="00B44CBD" w:rsidP="00F87300">
      <w:pPr>
        <w:spacing w:after="0" w:line="240" w:lineRule="auto"/>
        <w:ind w:right="-1" w:firstLine="567"/>
        <w:jc w:val="both"/>
        <w:rPr>
          <w:rFonts w:cstheme="minorHAnsi"/>
        </w:rPr>
      </w:pPr>
      <w:r>
        <w:rPr>
          <w:rFonts w:cstheme="minorHAnsi"/>
        </w:rPr>
        <w:t xml:space="preserve">Atsižvelgdamas į specifines bylos aplinkybes, Teismas konstatavo, kad siekiais kovoti su plataus masto mokesčių sukčiavimu (vengimu), užtikrinti mokesčių mokėtojų lygybę ir panaikinti kasacinio teismo sprendimo pasekmes, </w:t>
      </w:r>
      <w:r w:rsidR="00C470A5">
        <w:rPr>
          <w:rFonts w:cstheme="minorHAnsi"/>
        </w:rPr>
        <w:t>siekiant</w:t>
      </w:r>
      <w:r>
        <w:rPr>
          <w:rFonts w:cstheme="minorHAnsi"/>
        </w:rPr>
        <w:t xml:space="preserve"> užtikrinti teisinį tikrumą atkuriant nuoseklią administracin</w:t>
      </w:r>
      <w:r w:rsidR="00C470A5">
        <w:rPr>
          <w:rFonts w:cstheme="minorHAnsi"/>
        </w:rPr>
        <w:t>ę</w:t>
      </w:r>
      <w:r>
        <w:rPr>
          <w:rFonts w:cstheme="minorHAnsi"/>
        </w:rPr>
        <w:t xml:space="preserve"> praktiką, atspindėtą dominuojančioje žemesnės instancijos teismų jurisprudencijoje, grindžiama ir numatoma aptariama įstatymų leidėjo intervencija buvo pateisinama įtikinamu viešuoju interesu.</w:t>
      </w:r>
    </w:p>
    <w:p w14:paraId="14669D3F" w14:textId="77777777" w:rsidR="00B44CBD" w:rsidRPr="00EE5FD7" w:rsidRDefault="00B44CBD" w:rsidP="00F87300">
      <w:pPr>
        <w:spacing w:after="0" w:line="240" w:lineRule="auto"/>
        <w:ind w:right="-1" w:firstLine="567"/>
        <w:jc w:val="both"/>
        <w:rPr>
          <w:rFonts w:cstheme="minorHAnsi"/>
        </w:rPr>
      </w:pPr>
    </w:p>
    <w:p w14:paraId="6B95E496" w14:textId="77777777" w:rsidR="001754FE" w:rsidRDefault="00B44CBD" w:rsidP="00F87300">
      <w:pPr>
        <w:spacing w:after="0" w:line="240" w:lineRule="auto"/>
        <w:ind w:right="-1" w:firstLine="567"/>
        <w:jc w:val="both"/>
        <w:rPr>
          <w:rFonts w:cstheme="minorHAnsi"/>
        </w:rPr>
      </w:pPr>
      <w:r>
        <w:rPr>
          <w:rFonts w:cstheme="minorHAnsi"/>
        </w:rPr>
        <w:t xml:space="preserve">Išvada: pripažinta, kad Konvencijos 6 straipsnio 1 dalis pažeista tik tiek, kiek nacionaliniuose teismuose nepagrįstai ilgai truko procesas (ilgiau nei 13 metų). </w:t>
      </w:r>
    </w:p>
    <w:p w14:paraId="54807391" w14:textId="60B65336" w:rsidR="00B44CBD" w:rsidRPr="00EE5FD7" w:rsidRDefault="001754FE" w:rsidP="00F87300">
      <w:pPr>
        <w:spacing w:after="0" w:line="240" w:lineRule="auto"/>
        <w:ind w:right="-1" w:firstLine="567"/>
        <w:jc w:val="both"/>
        <w:rPr>
          <w:rFonts w:cstheme="minorHAnsi"/>
        </w:rPr>
      </w:pPr>
      <w:r>
        <w:rPr>
          <w:rFonts w:cstheme="minorHAnsi"/>
        </w:rPr>
        <w:t xml:space="preserve">41 straipsnis: </w:t>
      </w:r>
      <w:r w:rsidR="00B44CBD">
        <w:rPr>
          <w:rFonts w:cstheme="minorHAnsi"/>
        </w:rPr>
        <w:t>konstatuota, kad pažeidimo pripažinimas yra pakankamas neturtinei žalai atlyginti.</w:t>
      </w:r>
    </w:p>
    <w:p w14:paraId="2D8C2A42" w14:textId="692A75C3" w:rsidR="00B44CBD" w:rsidRDefault="00000000" w:rsidP="00F87300">
      <w:pPr>
        <w:pStyle w:val="Betarp"/>
        <w:ind w:right="-1" w:firstLine="567"/>
        <w:jc w:val="both"/>
        <w:rPr>
          <w:rFonts w:cstheme="minorHAnsi"/>
        </w:rPr>
      </w:pPr>
      <w:hyperlink r:id="rId12" w:history="1">
        <w:r w:rsidR="00B44CBD" w:rsidRPr="008F61A6">
          <w:rPr>
            <w:rStyle w:val="Hipersaitas"/>
            <w:rFonts w:cstheme="minorHAnsi"/>
          </w:rPr>
          <w:t>Prieiga internete</w:t>
        </w:r>
      </w:hyperlink>
    </w:p>
    <w:p w14:paraId="3FAB41E5" w14:textId="77777777" w:rsidR="00B44CBD" w:rsidRPr="005E49FD" w:rsidRDefault="00B44CBD" w:rsidP="00F87300">
      <w:pPr>
        <w:pStyle w:val="Betarp"/>
        <w:ind w:right="-1" w:firstLine="567"/>
        <w:jc w:val="both"/>
        <w:rPr>
          <w:rFonts w:cstheme="minorHAnsi"/>
        </w:rPr>
      </w:pPr>
    </w:p>
    <w:p w14:paraId="1AAA784A" w14:textId="77777777" w:rsidR="00D70988" w:rsidRPr="005E49FD" w:rsidRDefault="00D70988" w:rsidP="00F87300">
      <w:pPr>
        <w:pStyle w:val="Betarp"/>
        <w:ind w:right="-1"/>
        <w:jc w:val="center"/>
        <w:rPr>
          <w:rFonts w:cstheme="minorHAnsi"/>
          <w:b/>
          <w:bCs/>
        </w:rPr>
      </w:pPr>
      <w:r w:rsidRPr="005E49FD">
        <w:rPr>
          <w:rFonts w:cstheme="minorHAnsi"/>
          <w:b/>
          <w:bCs/>
        </w:rPr>
        <w:t>Europos Žmogaus Teisių Teismo 2022 m. lapkričio 29 d. sprendimas byloje</w:t>
      </w:r>
      <w:bookmarkStart w:id="9" w:name="_Toc52184418"/>
    </w:p>
    <w:p w14:paraId="18D55BEB" w14:textId="77777777" w:rsidR="00D70988" w:rsidRPr="005E49FD" w:rsidRDefault="00D70988" w:rsidP="00F87300">
      <w:pPr>
        <w:pStyle w:val="Antrat2"/>
        <w:ind w:right="-1" w:firstLine="0"/>
        <w:rPr>
          <w:rFonts w:cstheme="minorHAnsi"/>
          <w:i w:val="0"/>
        </w:rPr>
      </w:pPr>
      <w:bookmarkStart w:id="10" w:name="_Toc90304929"/>
      <w:bookmarkStart w:id="11" w:name="_Toc118817147"/>
      <w:bookmarkStart w:id="12" w:name="_Toc141446347"/>
      <w:r w:rsidRPr="005E49FD">
        <w:rPr>
          <w:rFonts w:cstheme="minorHAnsi"/>
        </w:rPr>
        <w:t xml:space="preserve">Cela prieš </w:t>
      </w:r>
      <w:bookmarkEnd w:id="9"/>
      <w:bookmarkEnd w:id="10"/>
      <w:r w:rsidRPr="005E49FD">
        <w:rPr>
          <w:rFonts w:cstheme="minorHAnsi"/>
        </w:rPr>
        <w:t>Albaniją</w:t>
      </w:r>
      <w:bookmarkEnd w:id="11"/>
      <w:bookmarkEnd w:id="12"/>
    </w:p>
    <w:p w14:paraId="4C340037" w14:textId="77777777" w:rsidR="00D70988" w:rsidRPr="005E49FD" w:rsidRDefault="00D70988" w:rsidP="00F87300">
      <w:pPr>
        <w:pStyle w:val="Betarp"/>
        <w:ind w:right="-1"/>
        <w:jc w:val="center"/>
        <w:rPr>
          <w:rFonts w:cstheme="minorHAnsi"/>
          <w:b/>
          <w:bCs/>
        </w:rPr>
      </w:pPr>
      <w:r w:rsidRPr="005E49FD">
        <w:rPr>
          <w:rFonts w:cstheme="minorHAnsi"/>
          <w:b/>
          <w:bCs/>
        </w:rPr>
        <w:t>(pareiškimo Nr. 73274/17, svarbos lygis – 2)</w:t>
      </w:r>
    </w:p>
    <w:p w14:paraId="01F92084" w14:textId="77777777" w:rsidR="00D70988" w:rsidRPr="005E49FD" w:rsidRDefault="00D70988" w:rsidP="00F87300">
      <w:pPr>
        <w:pStyle w:val="Betarp"/>
        <w:ind w:right="-1"/>
        <w:rPr>
          <w:rFonts w:cstheme="minorHAnsi"/>
        </w:rPr>
      </w:pPr>
    </w:p>
    <w:p w14:paraId="4D6115F5" w14:textId="77777777" w:rsidR="00D70988" w:rsidRPr="005E49FD" w:rsidRDefault="00D70988" w:rsidP="00F87300">
      <w:pPr>
        <w:pStyle w:val="Betarp"/>
        <w:ind w:right="-1" w:firstLine="709"/>
        <w:jc w:val="both"/>
        <w:outlineLvl w:val="2"/>
        <w:rPr>
          <w:rFonts w:cstheme="minorHAnsi"/>
          <w:i/>
          <w:iCs/>
        </w:rPr>
      </w:pPr>
      <w:bookmarkStart w:id="13" w:name="_Toc141446348"/>
      <w:r w:rsidRPr="005E49FD">
        <w:rPr>
          <w:rFonts w:cstheme="minorHAnsi"/>
          <w:i/>
          <w:iCs/>
        </w:rPr>
        <w:t>Dėl atsisakymo priimti konstitucinį skundą dėl praleisto termino, kuris pradėtas taikyti po skundo padavimo</w:t>
      </w:r>
      <w:bookmarkEnd w:id="13"/>
      <w:r w:rsidRPr="005E49FD">
        <w:rPr>
          <w:rFonts w:cstheme="minorHAnsi"/>
          <w:i/>
          <w:iCs/>
        </w:rPr>
        <w:t xml:space="preserve"> </w:t>
      </w:r>
    </w:p>
    <w:p w14:paraId="20944614" w14:textId="77777777" w:rsidR="00D70988" w:rsidRPr="005E49FD" w:rsidRDefault="00D70988" w:rsidP="00F87300">
      <w:pPr>
        <w:pStyle w:val="Betarp"/>
        <w:ind w:right="-1"/>
        <w:rPr>
          <w:rFonts w:cstheme="minorHAnsi"/>
        </w:rPr>
      </w:pPr>
    </w:p>
    <w:p w14:paraId="73513139" w14:textId="77777777" w:rsidR="00D70988" w:rsidRPr="005E49FD" w:rsidRDefault="00D70988" w:rsidP="00F87300">
      <w:pPr>
        <w:pStyle w:val="Betarp"/>
        <w:ind w:right="-1"/>
        <w:jc w:val="center"/>
        <w:rPr>
          <w:rFonts w:cstheme="minorHAnsi"/>
          <w:b/>
          <w:bCs/>
        </w:rPr>
      </w:pPr>
      <w:r w:rsidRPr="005E49FD">
        <w:rPr>
          <w:rFonts w:cstheme="minorHAnsi"/>
          <w:b/>
          <w:bCs/>
        </w:rPr>
        <w:t>Faktinės aplinkybės</w:t>
      </w:r>
    </w:p>
    <w:p w14:paraId="0CDA4E3F" w14:textId="77777777" w:rsidR="00D70988" w:rsidRPr="005E49FD" w:rsidRDefault="00D70988" w:rsidP="00F87300">
      <w:pPr>
        <w:pStyle w:val="Betarp"/>
        <w:ind w:right="-1"/>
        <w:rPr>
          <w:rFonts w:cstheme="minorHAnsi"/>
        </w:rPr>
      </w:pPr>
    </w:p>
    <w:p w14:paraId="2DF88827" w14:textId="6FF435DA" w:rsidR="00D70988" w:rsidRPr="005E49FD" w:rsidRDefault="00D70988" w:rsidP="00F87300">
      <w:pPr>
        <w:pStyle w:val="Betarp"/>
        <w:ind w:right="-1" w:firstLine="567"/>
        <w:jc w:val="both"/>
        <w:rPr>
          <w:rFonts w:cstheme="minorHAnsi"/>
          <w:color w:val="000000"/>
        </w:rPr>
      </w:pPr>
      <w:r w:rsidRPr="005E49FD">
        <w:rPr>
          <w:rFonts w:cstheme="minorHAnsi"/>
        </w:rPr>
        <w:t xml:space="preserve">Pareiškėjo apeliacinis skundas civilinėje byloje, kurioje jis buvo atsakovas, Aukščiausiojo Teismo atmestas </w:t>
      </w:r>
      <w:r w:rsidRPr="005E49FD">
        <w:rPr>
          <w:rStyle w:val="s68f5eaef"/>
          <w:rFonts w:cstheme="minorHAnsi"/>
          <w:color w:val="000000"/>
        </w:rPr>
        <w:t>2016 m. lapkričio 11 d. sprendimu. 2017 m. birželio 2 d. pareiškėjas pateikė konstitucinį skundą Konstituciniam Teismui, kuris šio teismo sprendimu buvo nepriimtas, nustačius, jog pareiškėjas praleido keturių mėnesių skundo padavimo terminą, skaičiuojamą nuo Aukščiausiojo Teismo sprendimo priėmimo. Naujas keturių mėnesių terminas įvestas 2016 m. lapkričio 6 d. įstatymu.</w:t>
      </w:r>
    </w:p>
    <w:p w14:paraId="328BFBAA" w14:textId="77777777" w:rsidR="00D70988" w:rsidRPr="005E49FD" w:rsidRDefault="00D70988" w:rsidP="00F87300">
      <w:pPr>
        <w:pStyle w:val="Betarp"/>
        <w:ind w:right="-1"/>
        <w:rPr>
          <w:rFonts w:cstheme="minorHAnsi"/>
        </w:rPr>
      </w:pPr>
    </w:p>
    <w:p w14:paraId="3F4264C7" w14:textId="77777777" w:rsidR="00D70988" w:rsidRPr="005E49FD" w:rsidRDefault="00D70988" w:rsidP="00F87300">
      <w:pPr>
        <w:shd w:val="clear" w:color="auto" w:fill="FFFFFF"/>
        <w:spacing w:after="0" w:line="240" w:lineRule="auto"/>
        <w:ind w:right="-1"/>
        <w:jc w:val="center"/>
        <w:rPr>
          <w:rFonts w:eastAsia="Times New Roman" w:cstheme="minorHAnsi"/>
          <w:b/>
          <w:bCs/>
          <w:color w:val="000000"/>
        </w:rPr>
      </w:pPr>
      <w:r w:rsidRPr="005E49FD">
        <w:rPr>
          <w:rFonts w:eastAsia="Times New Roman" w:cstheme="minorHAnsi"/>
          <w:b/>
          <w:bCs/>
          <w:color w:val="000000"/>
        </w:rPr>
        <w:t>Neoficiali Teismo sprendimo apžvalga</w:t>
      </w:r>
    </w:p>
    <w:p w14:paraId="7120ECB9" w14:textId="77777777" w:rsidR="00D70988" w:rsidRPr="005E49FD" w:rsidRDefault="00D70988" w:rsidP="00F87300">
      <w:pPr>
        <w:pStyle w:val="Betarp"/>
        <w:ind w:right="-1" w:firstLine="567"/>
        <w:rPr>
          <w:rFonts w:cstheme="minorHAnsi"/>
        </w:rPr>
      </w:pPr>
    </w:p>
    <w:p w14:paraId="17266B86" w14:textId="7DB1E548" w:rsidR="00D70988" w:rsidRPr="005E49FD" w:rsidRDefault="00D70988" w:rsidP="00F87300">
      <w:pPr>
        <w:pStyle w:val="Betarp"/>
        <w:ind w:right="-1" w:firstLine="567"/>
        <w:jc w:val="both"/>
        <w:rPr>
          <w:rStyle w:val="s68f5eaef"/>
          <w:rFonts w:cstheme="minorHAnsi"/>
          <w:color w:val="000000"/>
        </w:rPr>
      </w:pPr>
      <w:r w:rsidRPr="005E49FD">
        <w:rPr>
          <w:rFonts w:cstheme="minorHAnsi"/>
        </w:rPr>
        <w:t xml:space="preserve">Teismas pažymėjo, kad teisė kreiptis į Konstitucinį Teismas nagrinėtu atveju buvo suvaržyta tuo, kad skundo padavimo terminas </w:t>
      </w:r>
      <w:r w:rsidRPr="005E49FD">
        <w:rPr>
          <w:rStyle w:val="s68f5eaef"/>
          <w:rFonts w:cstheme="minorHAnsi"/>
          <w:color w:val="000000"/>
        </w:rPr>
        <w:t xml:space="preserve">2016 m. lapkričio 6 d. įstatymu buvo sutrumpintas nuo dvejų metų iki keturių </w:t>
      </w:r>
      <w:r w:rsidRPr="005E49FD">
        <w:rPr>
          <w:rStyle w:val="s68f5eaef"/>
          <w:rFonts w:cstheme="minorHAnsi"/>
          <w:color w:val="000000"/>
        </w:rPr>
        <w:lastRenderedPageBreak/>
        <w:t>mėnesių. Teism</w:t>
      </w:r>
      <w:r>
        <w:rPr>
          <w:rStyle w:val="s68f5eaef"/>
          <w:rFonts w:cstheme="minorHAnsi"/>
          <w:color w:val="000000"/>
        </w:rPr>
        <w:t xml:space="preserve">as pažymėjo, kad </w:t>
      </w:r>
      <w:r w:rsidRPr="005E49FD">
        <w:rPr>
          <w:rStyle w:val="s68f5eaef"/>
          <w:rFonts w:cstheme="minorHAnsi"/>
          <w:color w:val="000000"/>
        </w:rPr>
        <w:t>konstitucinis skundas buvo paduotas skundžiant galutinį teismo sprendimą ir ginčijant kitus aktus, o Konstituciniam Teismui suteikta kompetencija galutinį teismo sprendimą ar ginčijamus aktus panaikinti bei perduoti ginčą žemesnės instancijos teismui arba ginčo situaciją ištaisyti kitokiu būdu. Nors teismas pripažino, kad termino sutrumpinimu teisėtai siekta stiprinti teisinį tikrumą bei užtikrinti, jog bylų nagrinėjimas neužsitęstų pernelyg ilgai, taip pat kalbėdamas apie proporcingumą, nurodė, kad naujo termino taikymas gautoms byloms pats savaime nėra Konvencijos 6 straipsnio 1 daliai prieštaraujantis veiksmas, visgi vertino, kad šiuo atveju svarbu nustatyti, ar skundo padavimo termino sutrumpinimas pareiškėjui iš anksto buvo žinomas ir numatytas, bei tai, ar sutrumpinto skundo padavimo termino pažeidimo pasekmės šiuo atveju nebuvo neproporcingos.</w:t>
      </w:r>
    </w:p>
    <w:p w14:paraId="37F79FF7" w14:textId="77777777" w:rsidR="00D70988" w:rsidRPr="005E49FD" w:rsidRDefault="00D70988" w:rsidP="00F87300">
      <w:pPr>
        <w:pStyle w:val="Betarp"/>
        <w:ind w:right="-1" w:firstLine="567"/>
        <w:jc w:val="both"/>
        <w:rPr>
          <w:rStyle w:val="s68f5eaef"/>
          <w:rFonts w:cstheme="minorHAnsi"/>
          <w:color w:val="000000"/>
        </w:rPr>
      </w:pPr>
      <w:r w:rsidRPr="005E49FD">
        <w:rPr>
          <w:rStyle w:val="s68f5eaef"/>
          <w:rFonts w:cstheme="minorHAnsi"/>
          <w:color w:val="000000"/>
        </w:rPr>
        <w:t xml:space="preserve">Įstatymo pakeitimai, susiję su termino sutrumpinimu, </w:t>
      </w:r>
      <w:r>
        <w:rPr>
          <w:rStyle w:val="s68f5eaef"/>
          <w:rFonts w:cstheme="minorHAnsi"/>
          <w:color w:val="000000"/>
        </w:rPr>
        <w:t xml:space="preserve">nagrinėtu atveju buvo </w:t>
      </w:r>
      <w:r w:rsidRPr="005E49FD">
        <w:rPr>
          <w:rStyle w:val="s68f5eaef"/>
          <w:rFonts w:cstheme="minorHAnsi"/>
          <w:color w:val="000000"/>
        </w:rPr>
        <w:t xml:space="preserve">oficialiai publikuoti 2016 m. lapkričio 8 d. Įstatymas numatė, kad naujas sutrumpintas keturių mėnesių terminas taikytinas nuo 2017 m. kovo 1 d. Pareiškėjo supratimu, šis terminas turėjo būti taikomas po 2017 m. kovo 1 d. priimtiems galutiniams teismo sprendimams, tačiau Konstitucinis Teismas jį taikė visoms byloms, kai sprendimas, dėl kurio paduotas konstitucinis skundas, buvo priimtas per keturis mėnesius iki 2017 m. kovo 1 d. Konstitucinis skundas paprastai būdavo paduodamas dėl Aukščiausiojo Teismo sprendimų, priimamų baudžiamojo, civilinio proceso tvarka ar administracinėje teisenoje, bet įstatymo pakeitime nebuvo specialiai aptarta, ar keturių mėnesių terminas taikytinas tipiniams galutiniams sprendimams, priimtiems po 2017 m. kovo 1 d., ir tai, teismo vertinimu, įnešė tam tikro neapibrėžtumo. </w:t>
      </w:r>
    </w:p>
    <w:p w14:paraId="31C0879F" w14:textId="0BF9266C" w:rsidR="00D70988" w:rsidRPr="005E49FD" w:rsidRDefault="00D70988" w:rsidP="00F87300">
      <w:pPr>
        <w:pStyle w:val="Betarp"/>
        <w:ind w:right="-1" w:firstLine="567"/>
        <w:jc w:val="both"/>
        <w:rPr>
          <w:rStyle w:val="s68f5eaef"/>
          <w:rFonts w:cstheme="minorHAnsi"/>
          <w:color w:val="000000"/>
        </w:rPr>
      </w:pPr>
      <w:r w:rsidRPr="005E49FD">
        <w:rPr>
          <w:rStyle w:val="s68f5eaef"/>
          <w:rFonts w:cstheme="minorHAnsi"/>
          <w:color w:val="000000"/>
        </w:rPr>
        <w:t>Teismas pritarė, kad teisė į teismą nėra pažeidžiama, jeigu aiškumo stokojanti teisės norma jau yra taikyta konkrečioje byloje, kuri yra paskelbta bei prieinama teisės adresatams ir kurioje pakankamai tiksliai pateikiamas taikomos normos turinys taip, kad pareiškėjai (jeigu reikalinga, pasitelkdami kvalifikuotą teisinę pagalbą) galėtų prognozuoti savo elgesį pagal šią teisės normą. Todėl nuosekli teismų praktika ir jos sekimas paprastai turėtų patenkinti teisės prognozuotumo kriterijų. Teismas pažymėjo, kad teisės aktų pakeitimai pradeda galioti po tam tikro periodo (</w:t>
      </w:r>
      <w:r w:rsidRPr="005E49FD">
        <w:rPr>
          <w:rStyle w:val="s68f5eaef"/>
          <w:rFonts w:cstheme="minorHAnsi"/>
          <w:i/>
          <w:iCs/>
          <w:color w:val="000000"/>
        </w:rPr>
        <w:t>vacatio legis</w:t>
      </w:r>
      <w:r w:rsidRPr="005E49FD">
        <w:rPr>
          <w:rStyle w:val="s68f5eaef"/>
          <w:rFonts w:cstheme="minorHAnsi"/>
          <w:color w:val="000000"/>
        </w:rPr>
        <w:t>), kuris leidžia visiems suinteresuotiems asmenims susipažinti su daromais teisės pakeitimais. Nagrinėtu atveju aktualus teisės akto pakeitimas buvo ne visiškai aiškus, todėl, pasak Teismo, Konstitucinis Teismas turėjo pareigą išaiškinti, kaip skaičiuoti naują sutrumpintą skundo padavimo terminą. Kadangi įstatymo pakeitimas buvo visiškai naujas, akivaizdu, kad šiuo atveju Konstitucinis Teismas negalėjo dar būti pateikęs kokio nors išaiškinimo. Konkrečiai kalbant, atsižvelgiant į laikotarpį nuo 2016</w:t>
      </w:r>
      <w:r w:rsidR="00BD40EE">
        <w:rPr>
          <w:rStyle w:val="s68f5eaef"/>
          <w:rFonts w:cstheme="minorHAnsi"/>
          <w:color w:val="000000"/>
        </w:rPr>
        <w:t> </w:t>
      </w:r>
      <w:r w:rsidRPr="005E49FD">
        <w:rPr>
          <w:rStyle w:val="s68f5eaef"/>
          <w:rFonts w:cstheme="minorHAnsi"/>
          <w:color w:val="000000"/>
        </w:rPr>
        <w:t>m. lapkričio 23 d., t. y. praėjus penkiolikai dienų nuo oficialaus įstatymo pakeitimo paskelbimo</w:t>
      </w:r>
      <w:r>
        <w:rPr>
          <w:rStyle w:val="s68f5eaef"/>
          <w:rFonts w:cstheme="minorHAnsi"/>
          <w:color w:val="000000"/>
        </w:rPr>
        <w:t xml:space="preserve">, </w:t>
      </w:r>
      <w:r w:rsidRPr="005E49FD">
        <w:rPr>
          <w:rStyle w:val="s68f5eaef"/>
          <w:rFonts w:cstheme="minorHAnsi"/>
          <w:color w:val="000000"/>
        </w:rPr>
        <w:t>iki 2017</w:t>
      </w:r>
      <w:r w:rsidR="00F87300">
        <w:rPr>
          <w:rStyle w:val="s68f5eaef"/>
          <w:rFonts w:cstheme="minorHAnsi"/>
          <w:color w:val="000000"/>
        </w:rPr>
        <w:t> </w:t>
      </w:r>
      <w:r w:rsidRPr="005E49FD">
        <w:rPr>
          <w:rStyle w:val="s68f5eaef"/>
          <w:rFonts w:cstheme="minorHAnsi"/>
          <w:color w:val="000000"/>
        </w:rPr>
        <w:t>m. birželio 29 d., kai Konstitucinis Teismas atsisakė priimti pareiškėjo skundą, įstatymo pakeitimo taikymo praktika pareiškėjui teikiant skundą Konstituciniam Teismui dar nebuvo aiški. Dėl to ir Konstitucinio Teismo požiūris į termino skaičiavimą skundams, kurie paduodami dėl visų Aukščiausiojo Teismo sprendimų, priimtų tarp 2016</w:t>
      </w:r>
      <w:r>
        <w:rPr>
          <w:rStyle w:val="s68f5eaef"/>
          <w:rFonts w:cstheme="minorHAnsi"/>
          <w:color w:val="000000"/>
        </w:rPr>
        <w:t> </w:t>
      </w:r>
      <w:r w:rsidRPr="005E49FD">
        <w:rPr>
          <w:rStyle w:val="s68f5eaef"/>
          <w:rFonts w:cstheme="minorHAnsi"/>
          <w:color w:val="000000"/>
        </w:rPr>
        <w:t xml:space="preserve">m. lapkričio 1 d. ir 2017 m. kovo 1 d., negalėjo būti vertinamas kaip susiformavusi praktika, kuri turėjo būti žinoma pareiškėjui. Atitinkamai negalima sakyti, kad pareiškėjas neprotingai tikėjosi, kad naujas terminas taikytinas tik skundams dėl Aukščiausiojo Teismo sprendimų, priimtų po 2017 m. kovo 1 d. Be to, pareiškėjo teisės normos interpretacija neatrodė prieštaraujanti pakeitimų formuluotei. Vadinasi, Konstitucinio Teismo elgesys taikant procedūrinį apribojimą pareiškėjui nebuvo aiškus ir nuspėjamas, todėl neatitiko teisinio tikrumo principo. Juolab kad joks pareiškėjo elgesys negalėjo pateisinti to, kad šio teisinio netikrumo pasekmių našta tektų pareiškėjui. Tokiu būdu buvo pažeista teisinga pusiausvyra tarp, viena vertus, teisėto tikslo užtikrinti formalių kreipimosi į Konstitucinį Teismą sąlygų laikymąsi ir, kita vertus, teisės kreiptis į Konstitucinį Teismą. Taigi pareiškėjo konstitucinio skundo nepriėmimas kaip paduoto praleidus keturių mėnesių terminą nesant aiškios teisės normos bei suformuotos praktikos, laikytinas pareiškėjo teisės kreiptis į Konstitucinį Teismą pažeidimu. </w:t>
      </w:r>
    </w:p>
    <w:p w14:paraId="421F9DC7" w14:textId="77777777" w:rsidR="00D70988" w:rsidRPr="005E49FD" w:rsidRDefault="00D70988" w:rsidP="00F87300">
      <w:pPr>
        <w:pStyle w:val="Betarp"/>
        <w:ind w:right="-1" w:firstLine="567"/>
        <w:jc w:val="both"/>
        <w:rPr>
          <w:rFonts w:cstheme="minorHAnsi"/>
        </w:rPr>
      </w:pPr>
    </w:p>
    <w:p w14:paraId="51F4ABEA" w14:textId="77777777" w:rsidR="00D70988" w:rsidRPr="005E49FD" w:rsidRDefault="00D70988" w:rsidP="00F87300">
      <w:pPr>
        <w:pStyle w:val="Betarp"/>
        <w:ind w:right="-1" w:firstLine="567"/>
        <w:jc w:val="both"/>
        <w:rPr>
          <w:rFonts w:cstheme="minorHAnsi"/>
        </w:rPr>
      </w:pPr>
      <w:r w:rsidRPr="005E49FD">
        <w:rPr>
          <w:rFonts w:cstheme="minorHAnsi"/>
        </w:rPr>
        <w:t>Išvada: Konvencijos 6 straipsnio 1 dalies pažeidimas (vienbalsiai).</w:t>
      </w:r>
    </w:p>
    <w:p w14:paraId="32741AEE" w14:textId="77777777" w:rsidR="00D70988" w:rsidRDefault="00000000" w:rsidP="00F87300">
      <w:pPr>
        <w:pStyle w:val="Betarp"/>
        <w:ind w:right="-1" w:firstLine="567"/>
        <w:jc w:val="both"/>
        <w:rPr>
          <w:rStyle w:val="Hipersaitas"/>
          <w:rFonts w:cstheme="minorHAnsi"/>
        </w:rPr>
      </w:pPr>
      <w:hyperlink r:id="rId13" w:anchor="{%22docname%22:[%22cela%22],%22documentcollectionid2%22:[%22GRANDCHAMBER%22,%22CHAMBER%22],%22itemid%22:[%22001-221369%22]}" w:history="1">
        <w:r w:rsidR="00D70988" w:rsidRPr="005E49FD">
          <w:rPr>
            <w:rStyle w:val="Hipersaitas"/>
            <w:rFonts w:cstheme="minorHAnsi"/>
          </w:rPr>
          <w:t>Prieiga internete</w:t>
        </w:r>
      </w:hyperlink>
    </w:p>
    <w:p w14:paraId="6C130F7B" w14:textId="77777777" w:rsidR="00982EA2" w:rsidRDefault="00982EA2" w:rsidP="00F87300">
      <w:pPr>
        <w:pStyle w:val="Betarp"/>
        <w:ind w:right="-1" w:firstLine="567"/>
        <w:jc w:val="both"/>
        <w:rPr>
          <w:rFonts w:cstheme="minorHAnsi"/>
        </w:rPr>
      </w:pPr>
    </w:p>
    <w:p w14:paraId="468839C8" w14:textId="77777777" w:rsidR="00982EA2" w:rsidRPr="00982EA2" w:rsidRDefault="00982EA2"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982EA2">
        <w:rPr>
          <w:rFonts w:ascii="Calibri" w:eastAsia="Times New Roman" w:hAnsi="Calibri" w:cs="Calibri"/>
          <w:b/>
        </w:rPr>
        <w:t>Europos Žmogaus Teisių Teismo 2022 m. lapkričio 29 d. sprendimas byloje</w:t>
      </w:r>
    </w:p>
    <w:p w14:paraId="731D840C" w14:textId="77777777" w:rsidR="00982EA2" w:rsidRPr="00982EA2" w:rsidRDefault="00982EA2" w:rsidP="006424CA">
      <w:pPr>
        <w:keepNext/>
        <w:keepLines/>
        <w:spacing w:after="0" w:line="240" w:lineRule="auto"/>
        <w:ind w:right="-1"/>
        <w:jc w:val="center"/>
        <w:outlineLvl w:val="1"/>
        <w:rPr>
          <w:rFonts w:ascii="Calibri" w:eastAsia="Times New Roman" w:hAnsi="Calibri" w:cs="Times New Roman"/>
          <w:b/>
          <w:bCs/>
          <w:i/>
          <w:iCs/>
          <w:color w:val="2E74B5"/>
        </w:rPr>
      </w:pPr>
      <w:bookmarkStart w:id="14" w:name="_Toc141446349"/>
      <w:r w:rsidRPr="00982EA2">
        <w:rPr>
          <w:rFonts w:ascii="Calibri" w:eastAsia="Times New Roman" w:hAnsi="Calibri" w:cs="Times New Roman"/>
          <w:b/>
          <w:bCs/>
          <w:i/>
          <w:iCs/>
          <w:color w:val="2E74B5"/>
        </w:rPr>
        <w:t>Balan prieš Moldovos Respubliką (Nr. 2)</w:t>
      </w:r>
      <w:bookmarkEnd w:id="14"/>
    </w:p>
    <w:p w14:paraId="4E5FAAC2" w14:textId="77777777" w:rsidR="00982EA2" w:rsidRPr="00982EA2" w:rsidRDefault="00982EA2"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982EA2">
        <w:rPr>
          <w:rFonts w:ascii="Calibri" w:eastAsia="Times New Roman" w:hAnsi="Calibri" w:cs="Calibri"/>
          <w:b/>
        </w:rPr>
        <w:t>(pareiškimo Nr. 49016/10, svarbos lygis – 2)</w:t>
      </w:r>
    </w:p>
    <w:p w14:paraId="4726AB9E" w14:textId="77777777" w:rsidR="00982EA2" w:rsidRPr="00982EA2" w:rsidRDefault="00982EA2" w:rsidP="00F87300">
      <w:pPr>
        <w:pBdr>
          <w:top w:val="nil"/>
          <w:left w:val="nil"/>
          <w:bottom w:val="nil"/>
          <w:right w:val="nil"/>
          <w:between w:val="nil"/>
        </w:pBdr>
        <w:tabs>
          <w:tab w:val="left" w:pos="851"/>
        </w:tabs>
        <w:spacing w:after="0" w:line="240" w:lineRule="auto"/>
        <w:ind w:right="-1"/>
        <w:jc w:val="both"/>
        <w:rPr>
          <w:rFonts w:ascii="Calibri" w:eastAsia="Times New Roman" w:hAnsi="Calibri" w:cs="Calibri"/>
          <w:color w:val="000000"/>
        </w:rPr>
      </w:pPr>
    </w:p>
    <w:p w14:paraId="3192AFC1" w14:textId="3623FCBB" w:rsidR="00982EA2" w:rsidRPr="00982EA2" w:rsidRDefault="00982EA2" w:rsidP="00F87300">
      <w:pPr>
        <w:keepNext/>
        <w:keepLines/>
        <w:spacing w:before="40" w:after="0"/>
        <w:ind w:right="-1" w:firstLine="567"/>
        <w:jc w:val="both"/>
        <w:outlineLvl w:val="2"/>
        <w:rPr>
          <w:rFonts w:ascii="Calibri" w:eastAsia="Times New Roman" w:hAnsi="Calibri" w:cs="Times New Roman"/>
          <w:i/>
          <w:szCs w:val="24"/>
        </w:rPr>
      </w:pPr>
      <w:bookmarkStart w:id="15" w:name="_Toc141446350"/>
      <w:r w:rsidRPr="00982EA2">
        <w:rPr>
          <w:rFonts w:ascii="Calibri" w:eastAsia="Times New Roman" w:hAnsi="Calibri" w:cs="Times New Roman"/>
          <w:i/>
          <w:szCs w:val="24"/>
        </w:rPr>
        <w:t>Dėl galutinio sprendimo išaiškinimo</w:t>
      </w:r>
      <w:bookmarkEnd w:id="15"/>
    </w:p>
    <w:p w14:paraId="636D5368" w14:textId="77777777" w:rsidR="00982EA2" w:rsidRPr="00982EA2" w:rsidRDefault="00982EA2"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7425A3E1" w14:textId="77777777" w:rsidR="00982EA2" w:rsidRPr="00982EA2" w:rsidRDefault="00982EA2"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982EA2">
        <w:rPr>
          <w:rFonts w:ascii="Calibri" w:eastAsia="Times New Roman" w:hAnsi="Calibri" w:cs="Calibri"/>
          <w:b/>
          <w:bCs/>
          <w:color w:val="000000"/>
        </w:rPr>
        <w:lastRenderedPageBreak/>
        <w:t>Faktinės aplinkybės</w:t>
      </w:r>
    </w:p>
    <w:p w14:paraId="630CEC8B" w14:textId="77777777" w:rsidR="00982EA2" w:rsidRPr="00982EA2" w:rsidRDefault="00982EA2"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01DB6971" w14:textId="17026847"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Nors 2001 m. sprendimu pareiškėjui pirmosios instancijos teismas priteisė žalos atlyginimą, šis sprendimas vėliau buvo panaikintas aukštesnių teismo instancijų, dėl ko pareiškėjas EŽTT laimėjo bylą prieš valstybę dėl </w:t>
      </w:r>
      <w:r w:rsidRPr="00AE48CC">
        <w:rPr>
          <w:rStyle w:val="s68f5eaef"/>
          <w:rFonts w:cstheme="minorHAnsi"/>
        </w:rPr>
        <w:t>Konvencijos</w:t>
      </w:r>
      <w:r w:rsidRPr="00982EA2">
        <w:rPr>
          <w:rFonts w:ascii="Calibri" w:eastAsia="Times New Roman" w:hAnsi="Calibri" w:cs="Calibri"/>
          <w:color w:val="000000"/>
        </w:rPr>
        <w:t xml:space="preserve"> 6 straipsnio 1 dalies ir Protokolo Nr. 1 1 straipsnio pažeidimų</w:t>
      </w:r>
      <w:r w:rsidR="00AE48CC">
        <w:rPr>
          <w:rFonts w:ascii="Calibri" w:eastAsia="Times New Roman" w:hAnsi="Calibri" w:cs="Calibri"/>
          <w:color w:val="000000"/>
        </w:rPr>
        <w:t>. Pareiškėjui buvo</w:t>
      </w:r>
      <w:r w:rsidRPr="00982EA2">
        <w:rPr>
          <w:rFonts w:ascii="Calibri" w:eastAsia="Times New Roman" w:hAnsi="Calibri" w:cs="Calibri"/>
          <w:color w:val="000000"/>
        </w:rPr>
        <w:t xml:space="preserve"> priteista 5 000 Eur turtinei ir neturtinei žalai atlyginti bei 2 000 Eur kaštams ir išlaidoms padengti (juos Vyriausybė pareiškėjui sumokėjo 2008 m. liepos 2 d.). 2008 m. liepos 15 d. pareiškėjui pasikreipus į Aukščiausiąją Teismą su prašymu atnaujinti procesą jo byloje, teismas jį tekino, panaikino apeliacinio teismo sprendimą ir paliko galioti minėtą 2001 m. sprendimą, kuriuo bendra jam priteista suma tuo metu atitiko maždaug 13 900 Eur. Byloje dalyvavęs atsakovo atstovas neprašė teismo išskaičiuoti kokią nors sumą iš galutinės priteistos sumos.</w:t>
      </w:r>
    </w:p>
    <w:p w14:paraId="5968B877" w14:textId="77777777"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Aukščiausiajam Teismui atmetus ministerijos prašymą atnaujinti procesą (esą šalies teismai neturėjo teisinio pagrindo priteisti </w:t>
      </w:r>
      <w:r w:rsidRPr="00AE48CC">
        <w:rPr>
          <w:rStyle w:val="s68f5eaef"/>
          <w:rFonts w:cstheme="minorHAnsi"/>
        </w:rPr>
        <w:t>kompensacijos</w:t>
      </w:r>
      <w:r w:rsidRPr="00982EA2">
        <w:rPr>
          <w:rFonts w:ascii="Calibri" w:eastAsia="Times New Roman" w:hAnsi="Calibri" w:cs="Calibri"/>
          <w:color w:val="000000"/>
        </w:rPr>
        <w:t>), ministerija paprašė paaiškinti 2008 m. sprendimo vykdymo tvarką, kadangi sprendime nebuvo aiškiai nurodyta, ar priteista suma turėtų būti patikslinta atsižvelgiant į jau sumokėtus 5 000 Eur. Aukščiausiasis Teismas paaiškino, kad paliktas galioti 2001 m. sprendimas turi būti vykdomas išskaičiuojant pareiškėjui priteistą 5 000 Eur sumą. Galiausiai 2010 m. pareiškėjui išmokėta maždaug 8 900 Eur.</w:t>
      </w:r>
    </w:p>
    <w:p w14:paraId="217991B7" w14:textId="77777777"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Pareiškėjas, remdamasis Konvencijos 6 straipsniu, kreipėsi į Teismą teigdamas, kad Aukščiausiasis Teismas, </w:t>
      </w:r>
      <w:r w:rsidRPr="00AE48CC">
        <w:rPr>
          <w:rStyle w:val="s68f5eaef"/>
          <w:rFonts w:cstheme="minorHAnsi"/>
        </w:rPr>
        <w:t>išaiškindamas</w:t>
      </w:r>
      <w:r w:rsidRPr="00982EA2">
        <w:rPr>
          <w:rFonts w:ascii="Calibri" w:eastAsia="Times New Roman" w:hAnsi="Calibri" w:cs="Calibri"/>
          <w:color w:val="000000"/>
        </w:rPr>
        <w:t xml:space="preserve"> ir faktiškai pakeisdamas 2008 m. sprendimą, pažeidė teisinio tikrumo principą.</w:t>
      </w:r>
    </w:p>
    <w:p w14:paraId="4FD7D3D9" w14:textId="77777777" w:rsidR="00982EA2" w:rsidRPr="00982EA2" w:rsidRDefault="00982EA2" w:rsidP="00F87300">
      <w:pPr>
        <w:spacing w:after="0" w:line="240" w:lineRule="auto"/>
        <w:ind w:right="-1" w:firstLine="567"/>
        <w:jc w:val="both"/>
        <w:rPr>
          <w:rFonts w:ascii="Calibri" w:eastAsia="Calibri" w:hAnsi="Calibri" w:cs="Calibri"/>
        </w:rPr>
      </w:pPr>
    </w:p>
    <w:p w14:paraId="25E718C8" w14:textId="77777777" w:rsidR="00982EA2" w:rsidRPr="00982EA2" w:rsidRDefault="00982EA2" w:rsidP="00F87300">
      <w:pPr>
        <w:shd w:val="clear" w:color="auto" w:fill="FFFFFF"/>
        <w:spacing w:after="0" w:line="240" w:lineRule="auto"/>
        <w:ind w:right="-1"/>
        <w:jc w:val="center"/>
        <w:rPr>
          <w:rFonts w:ascii="Calibri" w:eastAsia="Times New Roman" w:hAnsi="Calibri" w:cs="Calibri"/>
          <w:b/>
          <w:bCs/>
          <w:color w:val="000000"/>
        </w:rPr>
      </w:pPr>
      <w:r w:rsidRPr="00982EA2">
        <w:rPr>
          <w:rFonts w:ascii="Calibri" w:eastAsia="Times New Roman" w:hAnsi="Calibri" w:cs="Calibri"/>
          <w:b/>
          <w:bCs/>
          <w:color w:val="000000"/>
        </w:rPr>
        <w:t>Neoficiali Teismo sprendimo apžvalga</w:t>
      </w:r>
    </w:p>
    <w:p w14:paraId="2DAE682E" w14:textId="77777777" w:rsidR="00982EA2" w:rsidRPr="00982EA2" w:rsidRDefault="00982EA2" w:rsidP="00F87300">
      <w:pPr>
        <w:spacing w:after="0" w:line="240" w:lineRule="auto"/>
        <w:ind w:right="-1" w:firstLine="567"/>
        <w:jc w:val="both"/>
        <w:rPr>
          <w:rFonts w:ascii="Calibri" w:eastAsia="Calibri" w:hAnsi="Calibri" w:cs="Calibri"/>
        </w:rPr>
      </w:pPr>
    </w:p>
    <w:p w14:paraId="16DF770B" w14:textId="5C35488F"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EŽTT priminė, kad teisinis tikrumas suponuoja pagarbą </w:t>
      </w:r>
      <w:r w:rsidRPr="00982EA2">
        <w:rPr>
          <w:rFonts w:ascii="Calibri" w:eastAsia="Times New Roman" w:hAnsi="Calibri" w:cs="Calibri"/>
          <w:i/>
          <w:iCs/>
          <w:color w:val="000000"/>
        </w:rPr>
        <w:t>res judicata</w:t>
      </w:r>
      <w:r w:rsidRPr="00982EA2">
        <w:rPr>
          <w:rFonts w:ascii="Calibri" w:eastAsia="Times New Roman" w:hAnsi="Calibri" w:cs="Calibri"/>
          <w:color w:val="000000"/>
        </w:rPr>
        <w:t xml:space="preserve">, t. y. teismo sprendimų galutinumo, principui. Pabrėžta, kad atsakovė nacionalinėje byloje, nors ir buvo atstovaujama teismo posėdyje ir žinojo apie teismo sprendimą, neprašė išskaičiuoti 5 000 Eur, kurie jau buvo sumokėti, iš galutinės priteistinos sumos. Todėl leidimas jai pateikti šį klausimą po to, kai sprendimas įsiteisėjo, buvo užslėptas apeliacinis skundas. Be to, pateiktas teismo sprendimo </w:t>
      </w:r>
      <w:r w:rsidRPr="00AE48CC">
        <w:rPr>
          <w:rStyle w:val="s68f5eaef"/>
          <w:rFonts w:cstheme="minorHAnsi"/>
        </w:rPr>
        <w:t>paaiškinimas</w:t>
      </w:r>
      <w:r w:rsidRPr="00982EA2">
        <w:rPr>
          <w:rFonts w:ascii="Calibri" w:eastAsia="Times New Roman" w:hAnsi="Calibri" w:cs="Calibri"/>
          <w:color w:val="000000"/>
        </w:rPr>
        <w:t xml:space="preserve"> reikšmingai paveikė pareiškėjui priteistą sumą (nuo 13 900 Eur iki 8 900 Eur, t. y. maždaug 36 proc. sumažino priteistą sumą), todėl jis peržengė įprasto aiškinimo ar kanceliarinių ar teisminių klaidų ištaisymo ribas ir turėjo poveikį, nesuderinamą su teisinio tikrumo principu, garantuojamu Konvencijos 6 straipsnyje.</w:t>
      </w:r>
    </w:p>
    <w:p w14:paraId="15E69BAB" w14:textId="0592F71B"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Pagal 2008 m. galutinį sprendimą pareiškėjas turėjo „nuosavybę“ Konvencijos </w:t>
      </w:r>
      <w:r w:rsidR="00AE48CC">
        <w:rPr>
          <w:rFonts w:ascii="Calibri" w:eastAsia="Times New Roman" w:hAnsi="Calibri" w:cs="Calibri"/>
          <w:color w:val="000000"/>
        </w:rPr>
        <w:t>P</w:t>
      </w:r>
      <w:r w:rsidRPr="00982EA2">
        <w:rPr>
          <w:rFonts w:ascii="Calibri" w:eastAsia="Times New Roman" w:hAnsi="Calibri" w:cs="Calibri"/>
          <w:color w:val="000000"/>
        </w:rPr>
        <w:t xml:space="preserve">rotokolo Nr. 1 1 straipsnio prasme, todėl, kai išaiškinus jo vykdymo tvarką neteko dalies šio turto (t. y. 5 000 Eur), buvo įsikišta į jo nuosavybės teisę. Nors Vyriausybės argumentas, kad pareiškėjui galėjo būti du kartus išmokėta kompensacija už tą </w:t>
      </w:r>
      <w:r w:rsidRPr="00AE48CC">
        <w:rPr>
          <w:rStyle w:val="s68f5eaef"/>
          <w:rFonts w:cstheme="minorHAnsi"/>
        </w:rPr>
        <w:t>patį</w:t>
      </w:r>
      <w:r w:rsidRPr="00982EA2">
        <w:rPr>
          <w:rFonts w:ascii="Calibri" w:eastAsia="Times New Roman" w:hAnsi="Calibri" w:cs="Calibri"/>
          <w:color w:val="000000"/>
        </w:rPr>
        <w:t>, nėra visiškai nepagrįstas, Aukščiausiasis Teismas turėjo visus duomenis, įskaitant EŽTT priimtą sprendimą, ir nusprendė neišskaičiuoti jokios sumos iš pareiškėjo naudai priimto sprendimo. Nesant jokių požymių, kad netinkamai įvykdytas teisingumas, reikia laikytis šio sprendimo galutinumo.</w:t>
      </w:r>
    </w:p>
    <w:p w14:paraId="4AEEAB37" w14:textId="77777777" w:rsidR="00982EA2" w:rsidRPr="00982EA2" w:rsidRDefault="00982EA2" w:rsidP="00AE48CC">
      <w:pPr>
        <w:pStyle w:val="Betarp"/>
        <w:ind w:right="-1" w:firstLine="567"/>
        <w:jc w:val="both"/>
        <w:rPr>
          <w:rFonts w:ascii="Calibri" w:eastAsia="Times New Roman" w:hAnsi="Calibri" w:cs="Calibri"/>
          <w:color w:val="000000"/>
        </w:rPr>
      </w:pPr>
      <w:r w:rsidRPr="00982EA2">
        <w:rPr>
          <w:rFonts w:ascii="Calibri" w:eastAsia="Times New Roman" w:hAnsi="Calibri" w:cs="Calibri"/>
          <w:color w:val="000000"/>
        </w:rPr>
        <w:t xml:space="preserve">Kadangi prašymas išaiškinti 2008 m. sprendimą šiuo atveju prilygo paslėptam apeliaciniam skundui, jį patenkindamas </w:t>
      </w:r>
      <w:r w:rsidRPr="00AE48CC">
        <w:rPr>
          <w:rStyle w:val="s68f5eaef"/>
          <w:rFonts w:cstheme="minorHAnsi"/>
        </w:rPr>
        <w:t>Aukščiausiasis</w:t>
      </w:r>
      <w:r w:rsidRPr="00982EA2">
        <w:rPr>
          <w:rFonts w:ascii="Calibri" w:eastAsia="Times New Roman" w:hAnsi="Calibri" w:cs="Calibri"/>
          <w:color w:val="000000"/>
        </w:rPr>
        <w:t xml:space="preserve"> Teismas pažeidė teisinio saugumo principą ir pakeitė galutinę teisinę situaciją, dėl ko pareiškėjas prarado turtą. Atitinkamai, buvo pažeistas Konvencijos </w:t>
      </w:r>
      <w:r w:rsidRPr="00982EA2">
        <w:rPr>
          <w:rFonts w:ascii="Calibri" w:eastAsia="Calibri" w:hAnsi="Calibri" w:cs="Calibri"/>
        </w:rPr>
        <w:t xml:space="preserve">Protokolo Nr. 1 1 </w:t>
      </w:r>
      <w:r w:rsidRPr="00982EA2">
        <w:rPr>
          <w:rFonts w:ascii="Calibri" w:eastAsia="Times New Roman" w:hAnsi="Calibri" w:cs="Calibri"/>
          <w:color w:val="000000"/>
        </w:rPr>
        <w:t>straipsnis.</w:t>
      </w:r>
    </w:p>
    <w:p w14:paraId="412B2A62" w14:textId="77777777" w:rsidR="00982EA2" w:rsidRPr="00982EA2" w:rsidRDefault="00982EA2" w:rsidP="00F87300">
      <w:pPr>
        <w:spacing w:after="0" w:line="259" w:lineRule="auto"/>
        <w:ind w:right="-1" w:firstLine="567"/>
        <w:jc w:val="both"/>
        <w:rPr>
          <w:rFonts w:ascii="Calibri" w:eastAsia="Times New Roman" w:hAnsi="Calibri" w:cs="Calibri"/>
          <w:color w:val="000000"/>
        </w:rPr>
      </w:pPr>
    </w:p>
    <w:p w14:paraId="3005BD6E" w14:textId="77777777" w:rsidR="00982EA2" w:rsidRPr="00982EA2" w:rsidRDefault="00982EA2" w:rsidP="00AE48CC">
      <w:pPr>
        <w:pStyle w:val="Betarp"/>
        <w:ind w:right="-1" w:firstLine="567"/>
        <w:jc w:val="both"/>
        <w:rPr>
          <w:rFonts w:ascii="Calibri" w:eastAsia="Calibri" w:hAnsi="Calibri" w:cs="Calibri"/>
        </w:rPr>
      </w:pPr>
      <w:r w:rsidRPr="00982EA2">
        <w:rPr>
          <w:rFonts w:ascii="Calibri" w:eastAsia="Calibri" w:hAnsi="Calibri" w:cs="Calibri"/>
        </w:rPr>
        <w:t xml:space="preserve">Išvada: nustatytas Konvencijos 6 </w:t>
      </w:r>
      <w:r w:rsidRPr="00AE48CC">
        <w:rPr>
          <w:rStyle w:val="s68f5eaef"/>
          <w:rFonts w:cstheme="minorHAnsi"/>
        </w:rPr>
        <w:t>straipsnio</w:t>
      </w:r>
      <w:r w:rsidRPr="00982EA2">
        <w:rPr>
          <w:rFonts w:ascii="Calibri" w:eastAsia="Calibri" w:hAnsi="Calibri" w:cs="Calibri"/>
        </w:rPr>
        <w:t xml:space="preserve"> 1 dalies ir Protokolo Nr. 1 1 straipsnio pažeidimas (vienbalsiai).</w:t>
      </w:r>
    </w:p>
    <w:p w14:paraId="6740F7E8" w14:textId="77777777" w:rsidR="00982EA2" w:rsidRPr="00982EA2" w:rsidRDefault="00982EA2" w:rsidP="00AE48CC">
      <w:pPr>
        <w:pStyle w:val="Betarp"/>
        <w:ind w:right="-1" w:firstLine="567"/>
        <w:jc w:val="both"/>
        <w:rPr>
          <w:rFonts w:ascii="Calibri" w:eastAsia="Calibri" w:hAnsi="Calibri" w:cs="Calibri"/>
        </w:rPr>
      </w:pPr>
      <w:r w:rsidRPr="00982EA2">
        <w:rPr>
          <w:rFonts w:ascii="Calibri" w:eastAsia="Calibri" w:hAnsi="Calibri" w:cs="Calibri"/>
        </w:rPr>
        <w:t xml:space="preserve">41 straipsnis: pareiškėjui </w:t>
      </w:r>
      <w:r w:rsidRPr="00AE48CC">
        <w:rPr>
          <w:rStyle w:val="s68f5eaef"/>
          <w:rFonts w:cstheme="minorHAnsi"/>
        </w:rPr>
        <w:t>priteista</w:t>
      </w:r>
      <w:r w:rsidRPr="00982EA2">
        <w:rPr>
          <w:rFonts w:ascii="Calibri" w:eastAsia="Calibri" w:hAnsi="Calibri" w:cs="Calibri"/>
        </w:rPr>
        <w:t xml:space="preserve"> 1 500 Eur neturtinės žalos suma ir 400 Eur patirtoms išlaidoms atlyginti.</w:t>
      </w:r>
    </w:p>
    <w:p w14:paraId="42735C0B" w14:textId="77777777" w:rsidR="00982EA2" w:rsidRPr="00982EA2" w:rsidRDefault="00000000" w:rsidP="00F87300">
      <w:pPr>
        <w:spacing w:after="0" w:line="240" w:lineRule="auto"/>
        <w:ind w:right="-1" w:firstLine="567"/>
        <w:jc w:val="both"/>
        <w:rPr>
          <w:rFonts w:ascii="Calibri" w:eastAsia="Calibri" w:hAnsi="Calibri" w:cs="Calibri"/>
          <w:color w:val="0000FF"/>
          <w:u w:val="single"/>
        </w:rPr>
      </w:pPr>
      <w:hyperlink r:id="rId14" w:history="1">
        <w:r w:rsidR="00982EA2" w:rsidRPr="00982EA2">
          <w:rPr>
            <w:rFonts w:ascii="Calibri" w:eastAsia="Calibri" w:hAnsi="Calibri" w:cs="Calibri"/>
            <w:color w:val="0000FF"/>
            <w:u w:val="single"/>
          </w:rPr>
          <w:t>Prieiga internete</w:t>
        </w:r>
      </w:hyperlink>
    </w:p>
    <w:p w14:paraId="177F68D0" w14:textId="77777777" w:rsidR="003D22DC" w:rsidRDefault="003D22DC" w:rsidP="00F87300">
      <w:pPr>
        <w:shd w:val="clear" w:color="auto" w:fill="FFFFFF"/>
        <w:spacing w:after="0" w:line="240" w:lineRule="auto"/>
        <w:ind w:right="-1"/>
        <w:jc w:val="center"/>
        <w:rPr>
          <w:rFonts w:eastAsia="Times New Roman" w:cstheme="minorHAnsi"/>
          <w:b/>
        </w:rPr>
      </w:pPr>
    </w:p>
    <w:p w14:paraId="43FC451C" w14:textId="3C7AC549" w:rsidR="003611CC" w:rsidRPr="003611CC" w:rsidRDefault="003611CC" w:rsidP="00F87300">
      <w:pPr>
        <w:pBdr>
          <w:top w:val="nil"/>
          <w:left w:val="nil"/>
          <w:bottom w:val="nil"/>
          <w:right w:val="nil"/>
          <w:between w:val="nil"/>
        </w:pBdr>
        <w:tabs>
          <w:tab w:val="left" w:pos="851"/>
        </w:tabs>
        <w:spacing w:after="0" w:line="240" w:lineRule="auto"/>
        <w:ind w:right="-1"/>
        <w:jc w:val="center"/>
        <w:rPr>
          <w:rFonts w:ascii="Calibri" w:eastAsia="Calibri" w:hAnsi="Calibri" w:cs="Times New Roman"/>
          <w:b/>
          <w:bCs/>
        </w:rPr>
      </w:pPr>
      <w:r w:rsidRPr="003611CC">
        <w:rPr>
          <w:rFonts w:ascii="Calibri" w:eastAsia="Calibri" w:hAnsi="Calibri" w:cs="Times New Roman"/>
          <w:b/>
          <w:bCs/>
        </w:rPr>
        <w:t>Europos Žmogaus Teisių Teismo 2022 m. gruodžio 15 d. sprendimas byloje</w:t>
      </w:r>
    </w:p>
    <w:p w14:paraId="3FF40A5B" w14:textId="006ECDC8" w:rsidR="003611CC" w:rsidRPr="003611CC" w:rsidRDefault="003611CC" w:rsidP="00F87300">
      <w:pPr>
        <w:pStyle w:val="Antrat2"/>
        <w:ind w:right="-1" w:firstLine="0"/>
        <w:rPr>
          <w:rFonts w:ascii="Calibri" w:eastAsia="Times New Roman" w:hAnsi="Calibri" w:cs="Calibri"/>
        </w:rPr>
      </w:pPr>
      <w:bookmarkStart w:id="16" w:name="_Toc141446351"/>
      <w:r w:rsidRPr="003611CC">
        <w:rPr>
          <w:rFonts w:ascii="Calibri" w:eastAsia="Calibri" w:hAnsi="Calibri"/>
        </w:rPr>
        <w:t>Rutar ir Rutar Marketing d.o.o. prieš Slovėniją</w:t>
      </w:r>
      <w:bookmarkEnd w:id="16"/>
    </w:p>
    <w:p w14:paraId="103E0DF8" w14:textId="77777777" w:rsidR="003611CC" w:rsidRPr="003611CC" w:rsidRDefault="003611CC"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3611CC">
        <w:rPr>
          <w:rFonts w:ascii="Calibri" w:eastAsia="Times New Roman" w:hAnsi="Calibri" w:cs="Calibri"/>
          <w:b/>
        </w:rPr>
        <w:t xml:space="preserve">(pareiškimo Nr. </w:t>
      </w:r>
      <w:r w:rsidRPr="003611CC">
        <w:rPr>
          <w:rFonts w:ascii="Calibri" w:eastAsia="Calibri" w:hAnsi="Calibri" w:cs="Times New Roman"/>
          <w:b/>
          <w:bCs/>
        </w:rPr>
        <w:t>21164/20</w:t>
      </w:r>
      <w:r w:rsidRPr="003611CC">
        <w:rPr>
          <w:rFonts w:ascii="Calibri" w:eastAsia="Times New Roman" w:hAnsi="Calibri" w:cs="Calibri"/>
          <w:b/>
        </w:rPr>
        <w:t>, svarbos lygis – 2)</w:t>
      </w:r>
    </w:p>
    <w:p w14:paraId="37AA8C74" w14:textId="77777777" w:rsidR="003611CC" w:rsidRPr="003611CC" w:rsidRDefault="003611CC"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4DB222C" w14:textId="495EB326" w:rsidR="003611CC" w:rsidRPr="003611CC" w:rsidRDefault="003611CC" w:rsidP="00F87300">
      <w:pPr>
        <w:pStyle w:val="Antrat3"/>
        <w:spacing w:before="0" w:line="240" w:lineRule="auto"/>
        <w:ind w:right="-1" w:firstLine="567"/>
        <w:rPr>
          <w:rFonts w:ascii="Calibri" w:eastAsia="Times New Roman" w:hAnsi="Calibri" w:cs="Calibri"/>
          <w:color w:val="000000"/>
        </w:rPr>
      </w:pPr>
      <w:bookmarkStart w:id="17" w:name="_Toc141446352"/>
      <w:r w:rsidRPr="003611CC">
        <w:rPr>
          <w:rFonts w:ascii="Calibri" w:eastAsia="Times New Roman" w:hAnsi="Calibri" w:cs="Times New Roman"/>
        </w:rPr>
        <w:t>Dėl nacionalinio teismo nemotyvuoto atsisakymo kreiptis į Europos Sąjungos Teisingumo Teismą dėl prejudicinio sprendimo priėmimo</w:t>
      </w:r>
      <w:bookmarkEnd w:id="17"/>
    </w:p>
    <w:p w14:paraId="46A0959F" w14:textId="77777777" w:rsidR="0007243A" w:rsidRDefault="0007243A" w:rsidP="00F87300">
      <w:pPr>
        <w:spacing w:after="0" w:line="240" w:lineRule="auto"/>
        <w:ind w:right="-1"/>
        <w:jc w:val="both"/>
        <w:rPr>
          <w:rFonts w:ascii="Calibri" w:eastAsia="Calibri" w:hAnsi="Calibri" w:cs="Times New Roman"/>
        </w:rPr>
      </w:pPr>
    </w:p>
    <w:p w14:paraId="019C6715" w14:textId="2E4921C0" w:rsidR="003611CC" w:rsidRPr="0007243A" w:rsidRDefault="003611CC" w:rsidP="00F87300">
      <w:pPr>
        <w:spacing w:after="0" w:line="240" w:lineRule="auto"/>
        <w:ind w:right="-1"/>
        <w:jc w:val="center"/>
        <w:rPr>
          <w:rFonts w:cs="Arial"/>
          <w:b/>
        </w:rPr>
      </w:pPr>
      <w:r w:rsidRPr="003611CC">
        <w:rPr>
          <w:rFonts w:cs="Arial"/>
          <w:b/>
        </w:rPr>
        <w:lastRenderedPageBreak/>
        <w:t>Faktinės aplinkybės</w:t>
      </w:r>
    </w:p>
    <w:p w14:paraId="642D05EC" w14:textId="77777777" w:rsidR="0007243A" w:rsidRPr="003611CC" w:rsidRDefault="0007243A" w:rsidP="00F87300">
      <w:pPr>
        <w:spacing w:after="0" w:line="240" w:lineRule="auto"/>
        <w:ind w:right="-1"/>
        <w:jc w:val="center"/>
        <w:rPr>
          <w:rFonts w:cs="Arial"/>
          <w:b/>
        </w:rPr>
      </w:pPr>
    </w:p>
    <w:p w14:paraId="665D6557" w14:textId="77777777" w:rsidR="00984FBB" w:rsidRDefault="00984FBB" w:rsidP="00984FBB">
      <w:pPr>
        <w:spacing w:after="0" w:line="240" w:lineRule="auto"/>
        <w:ind w:right="-1" w:firstLine="567"/>
        <w:jc w:val="both"/>
        <w:rPr>
          <w:rFonts w:ascii="Calibri" w:eastAsia="Calibri" w:hAnsi="Calibri" w:cs="Times New Roman"/>
        </w:rPr>
      </w:pPr>
      <w:r w:rsidRPr="003611CC">
        <w:rPr>
          <w:rFonts w:ascii="Calibri" w:eastAsia="Calibri" w:hAnsi="Calibri" w:cs="Times New Roman"/>
        </w:rPr>
        <w:t xml:space="preserve">Apžvelgiamoje byloje </w:t>
      </w:r>
      <w:r>
        <w:rPr>
          <w:rFonts w:ascii="Calibri" w:eastAsia="Calibri" w:hAnsi="Calibri" w:cs="Times New Roman"/>
        </w:rPr>
        <w:t>K</w:t>
      </w:r>
      <w:r w:rsidRPr="003611CC">
        <w:rPr>
          <w:rFonts w:ascii="Calibri" w:eastAsia="Calibri" w:hAnsi="Calibri" w:cs="Times New Roman"/>
        </w:rPr>
        <w:t>onvencijos 6 straipsnio 1 dalies pažeidimas vienbalsiai konstatuotas nacionaliniam teismui nepagrindus atsisakymo pagal pagrindinės bylos šalių prašymą kreiptis į Europos Sąjungos Teisingumo Teismą (toliau – Teisingumo Teismas) dėl prejudicinio sprendimo priėmimo.</w:t>
      </w:r>
    </w:p>
    <w:p w14:paraId="682B49CC" w14:textId="2FEA290C" w:rsidR="003611CC" w:rsidRDefault="003611CC" w:rsidP="00F87300">
      <w:pPr>
        <w:spacing w:after="0" w:line="240" w:lineRule="auto"/>
        <w:ind w:right="-1" w:firstLine="567"/>
        <w:jc w:val="both"/>
        <w:rPr>
          <w:rFonts w:ascii="Calibri" w:eastAsia="Calibri" w:hAnsi="Calibri" w:cs="Times New Roman"/>
        </w:rPr>
      </w:pPr>
      <w:r w:rsidRPr="003611CC">
        <w:rPr>
          <w:rFonts w:ascii="Calibri" w:eastAsia="Calibri" w:hAnsi="Calibri" w:cs="Times New Roman"/>
        </w:rPr>
        <w:t xml:space="preserve">Apžvelgiamoje byloje pareiškėjams (įmonei ir jos rinkodaros direktoriui) </w:t>
      </w:r>
      <w:r w:rsidR="00FE0B67">
        <w:rPr>
          <w:rFonts w:ascii="Calibri" w:eastAsia="Calibri" w:hAnsi="Calibri" w:cs="Times New Roman"/>
        </w:rPr>
        <w:t>nedidelio</w:t>
      </w:r>
      <w:r w:rsidRPr="003611CC">
        <w:rPr>
          <w:rFonts w:ascii="Calibri" w:eastAsia="Calibri" w:hAnsi="Calibri" w:cs="Times New Roman"/>
        </w:rPr>
        <w:t xml:space="preserve"> nusižengimo procedūros metu buvo skirtos</w:t>
      </w:r>
      <w:r w:rsidR="00B338FD">
        <w:rPr>
          <w:rFonts w:ascii="Calibri" w:eastAsia="Calibri" w:hAnsi="Calibri" w:cs="Times New Roman"/>
        </w:rPr>
        <w:t xml:space="preserve"> </w:t>
      </w:r>
      <w:r w:rsidRPr="003611CC">
        <w:rPr>
          <w:rFonts w:ascii="Calibri" w:eastAsia="Calibri" w:hAnsi="Calibri" w:cs="Times New Roman"/>
        </w:rPr>
        <w:t>atitinkamai 3</w:t>
      </w:r>
      <w:r w:rsidR="00B338FD">
        <w:rPr>
          <w:rFonts w:ascii="Calibri" w:eastAsia="Calibri" w:hAnsi="Calibri" w:cs="Times New Roman"/>
        </w:rPr>
        <w:t> </w:t>
      </w:r>
      <w:r w:rsidRPr="003611CC">
        <w:rPr>
          <w:rFonts w:ascii="Calibri" w:eastAsia="Calibri" w:hAnsi="Calibri" w:cs="Times New Roman"/>
        </w:rPr>
        <w:t>000</w:t>
      </w:r>
      <w:r w:rsidR="00B338FD">
        <w:rPr>
          <w:rFonts w:ascii="Calibri" w:eastAsia="Calibri" w:hAnsi="Calibri" w:cs="Times New Roman"/>
        </w:rPr>
        <w:t xml:space="preserve"> Eur</w:t>
      </w:r>
      <w:r w:rsidRPr="003611CC">
        <w:rPr>
          <w:rFonts w:ascii="Calibri" w:eastAsia="Calibri" w:hAnsi="Calibri" w:cs="Times New Roman"/>
        </w:rPr>
        <w:t xml:space="preserve"> ir 300 </w:t>
      </w:r>
      <w:r w:rsidR="00B338FD">
        <w:rPr>
          <w:rFonts w:ascii="Calibri" w:eastAsia="Calibri" w:hAnsi="Calibri" w:cs="Times New Roman"/>
        </w:rPr>
        <w:t>Eur</w:t>
      </w:r>
      <w:r w:rsidRPr="003611CC">
        <w:rPr>
          <w:rFonts w:ascii="Calibri" w:eastAsia="Calibri" w:hAnsi="Calibri" w:cs="Times New Roman"/>
        </w:rPr>
        <w:t xml:space="preserve"> </w:t>
      </w:r>
      <w:r w:rsidR="00B338FD" w:rsidRPr="003611CC">
        <w:rPr>
          <w:rFonts w:ascii="Calibri" w:eastAsia="Calibri" w:hAnsi="Calibri" w:cs="Times New Roman"/>
        </w:rPr>
        <w:t>baudos</w:t>
      </w:r>
      <w:r w:rsidRPr="003611CC">
        <w:rPr>
          <w:rFonts w:ascii="Calibri" w:eastAsia="Calibri" w:hAnsi="Calibri" w:cs="Times New Roman"/>
        </w:rPr>
        <w:t xml:space="preserve"> dėl vartotojus klaidinančios komercinės praktikos, susijusios su produktų reklama. Pareiškėjai su skundu kreipėsi į Slovėnijos (Nova Gorica) teismą, nurodydami, kad atitinkama praktika, už kurią Slovėnijoje jie buvo nubausti, yra leidžiama kai kuriose kitose ES valstybėse narėse, taip pat pagal Teisingumo Teismo praktiką, o nacionalinės Slovėnijos teisės normos yra nesuderinamos su ES teise. Atitinkamai, pareiškėjai Nova Gorica teismo prašė kreiptis į Teisingumo Teismą dėl prejudicinio sprendimo priėmimo, išaiškinant nagrinėtos pagrindinės bylos kontekste aktualios ES direktyvos normą, tačiau šis pareiškėjų skundą atmetė, be kita ko, apskritai nepasisakydamas dėl jų pateikto prašymo kreiptis į Teisingumo Teismą dėl prejudicinio sprendimo priėmimo. Pareiškėjai pateikė konstitucinį skundą, grindžiamą Konvencijos 6 straipsniu bei konstitucine teise į vienodą teisių apsaugą, tačiau jis buvo atmestas, konstatavus, kad pareiškėjai nepateikė argumentų, kodėl iš esmės nepriimtinas jų konstitucinis skundas turėtų būti išnagrinėtas išimties tvarka. </w:t>
      </w:r>
    </w:p>
    <w:p w14:paraId="159F829B" w14:textId="77777777" w:rsidR="0007243A" w:rsidRPr="003611CC" w:rsidRDefault="0007243A" w:rsidP="00F87300">
      <w:pPr>
        <w:spacing w:after="0" w:line="240" w:lineRule="auto"/>
        <w:ind w:right="-1" w:firstLine="567"/>
        <w:jc w:val="both"/>
        <w:rPr>
          <w:rFonts w:ascii="Calibri" w:eastAsia="Calibri" w:hAnsi="Calibri" w:cs="Times New Roman"/>
        </w:rPr>
      </w:pPr>
    </w:p>
    <w:p w14:paraId="5FBB07A7" w14:textId="77777777" w:rsidR="003611CC" w:rsidRPr="003611CC" w:rsidRDefault="003611CC" w:rsidP="00F87300">
      <w:pPr>
        <w:spacing w:after="0" w:line="240" w:lineRule="auto"/>
        <w:ind w:right="-1"/>
        <w:jc w:val="center"/>
        <w:rPr>
          <w:rFonts w:cs="Arial"/>
          <w:b/>
        </w:rPr>
      </w:pPr>
      <w:r w:rsidRPr="003611CC">
        <w:rPr>
          <w:rFonts w:cs="Arial"/>
          <w:b/>
        </w:rPr>
        <w:t>Neoficiali Teismo sprendimo apžvalga</w:t>
      </w:r>
    </w:p>
    <w:p w14:paraId="0666A9AA" w14:textId="77777777" w:rsidR="0007243A" w:rsidRDefault="0007243A" w:rsidP="00F87300">
      <w:pPr>
        <w:spacing w:after="0" w:line="240" w:lineRule="auto"/>
        <w:ind w:right="-1" w:firstLine="567"/>
        <w:jc w:val="both"/>
        <w:rPr>
          <w:rFonts w:ascii="Calibri" w:eastAsia="Calibri" w:hAnsi="Calibri" w:cs="Times New Roman"/>
        </w:rPr>
      </w:pPr>
    </w:p>
    <w:p w14:paraId="2521703B" w14:textId="3B3B3C9A" w:rsidR="003611CC" w:rsidRPr="003611CC" w:rsidRDefault="003611CC" w:rsidP="00F87300">
      <w:pPr>
        <w:spacing w:after="0" w:line="240" w:lineRule="auto"/>
        <w:ind w:right="-1" w:firstLine="567"/>
        <w:jc w:val="both"/>
        <w:rPr>
          <w:rFonts w:ascii="Calibri" w:eastAsia="Calibri" w:hAnsi="Calibri" w:cs="Times New Roman"/>
        </w:rPr>
      </w:pPr>
      <w:r w:rsidRPr="003611CC">
        <w:rPr>
          <w:rFonts w:ascii="Calibri" w:eastAsia="Calibri" w:hAnsi="Calibri" w:cs="Times New Roman"/>
        </w:rPr>
        <w:t xml:space="preserve">Nagrinėdamas pareiškėjų skundą Konvencijos 6 straipsnio 1 dalies aspektu, Teismas pažymėjo, kad Nova Gorica teismui pateiktas pareiškėjų prašymas kreiptis į Teisingumo Teismą dėl prejudicinio sprendimo priėmimo buvo aiškiai suformuluotas ir pagrįstas argumentais, be to, susijęs su bent vienu iš pagrindų, kuriais buvo grindžiamas tas </w:t>
      </w:r>
      <w:r w:rsidR="00FE0B67">
        <w:rPr>
          <w:rFonts w:ascii="Calibri" w:eastAsia="Calibri" w:hAnsi="Calibri" w:cs="Times New Roman"/>
        </w:rPr>
        <w:t>nedidelis</w:t>
      </w:r>
      <w:r w:rsidRPr="003611CC">
        <w:rPr>
          <w:rFonts w:ascii="Calibri" w:eastAsia="Calibri" w:hAnsi="Calibri" w:cs="Times New Roman"/>
        </w:rPr>
        <w:t xml:space="preserve"> pažeidimas, už kurį pareiškėjai buvo nubausti. Teismo vertinimu, pareiškėjų prašymas taip pat nebuvo </w:t>
      </w:r>
      <w:r w:rsidRPr="003611CC">
        <w:rPr>
          <w:rFonts w:ascii="Calibri" w:eastAsia="Calibri" w:hAnsi="Calibri" w:cs="Times New Roman"/>
          <w:i/>
          <w:iCs/>
        </w:rPr>
        <w:t>prima facie</w:t>
      </w:r>
      <w:r w:rsidRPr="003611CC">
        <w:rPr>
          <w:rFonts w:ascii="Calibri" w:eastAsia="Calibri" w:hAnsi="Calibri" w:cs="Times New Roman"/>
        </w:rPr>
        <w:t xml:space="preserve"> perteklinis, o štai Nova Gorica teismo priimto sprendimo argumentai, anot Teismo, nepaaiškino motyvų, kuriais remdamasis tas teismas sprendė atmesti pareiškėjų prašymą kreiptis į Teisingumo Teismą, ir iš tiesų nepašalino tikimybės, kad šio prašymo buvo tiesiog nepaisyta. </w:t>
      </w:r>
    </w:p>
    <w:p w14:paraId="0EDB43C1" w14:textId="10899504" w:rsidR="003611CC" w:rsidRPr="003611CC" w:rsidRDefault="003611CC" w:rsidP="00F87300">
      <w:pPr>
        <w:spacing w:after="0" w:line="240" w:lineRule="auto"/>
        <w:ind w:right="-1" w:firstLine="567"/>
        <w:jc w:val="both"/>
        <w:rPr>
          <w:rFonts w:ascii="Calibri" w:eastAsia="Calibri" w:hAnsi="Calibri" w:cs="Times New Roman"/>
        </w:rPr>
      </w:pPr>
      <w:r w:rsidRPr="003611CC">
        <w:rPr>
          <w:rFonts w:ascii="Calibri" w:eastAsia="Calibri" w:hAnsi="Calibri" w:cs="Times New Roman"/>
        </w:rPr>
        <w:t xml:space="preserve">Pagal Nova Gorica teismo sprendimą pareiškėjai neturėjo galimybės ginčyti faktų, nes jų neginčijo kompetentingai institucijai, skyrusiai pareiškėjams baudas. Vis dėlto, Teismo vertinimu, tai nesudaro pagrindo teigti, jog dėl šios aplinkybės </w:t>
      </w:r>
      <w:r w:rsidR="00AC301F">
        <w:rPr>
          <w:rFonts w:ascii="Calibri" w:eastAsia="Calibri" w:hAnsi="Calibri" w:cs="Times New Roman"/>
        </w:rPr>
        <w:t>pareiškėjų</w:t>
      </w:r>
      <w:r w:rsidRPr="003611CC">
        <w:rPr>
          <w:rFonts w:ascii="Calibri" w:eastAsia="Calibri" w:hAnsi="Calibri" w:cs="Times New Roman"/>
        </w:rPr>
        <w:t xml:space="preserve"> teisiniai argumentai, įskaitant tuos, kurie susiję su jų prašymu kreiptis į Teisingumo Teismą, neišvengiamai tapo nereikšmingais arba pertekliniais. </w:t>
      </w:r>
    </w:p>
    <w:p w14:paraId="0CC2FF0F" w14:textId="69C27AFE" w:rsidR="003611CC" w:rsidRPr="003611CC" w:rsidRDefault="003611CC" w:rsidP="00F87300">
      <w:pPr>
        <w:spacing w:after="0" w:line="240" w:lineRule="auto"/>
        <w:ind w:right="-1" w:firstLine="567"/>
        <w:jc w:val="both"/>
        <w:rPr>
          <w:rFonts w:ascii="Calibri" w:eastAsia="Calibri" w:hAnsi="Calibri" w:cs="Times New Roman"/>
        </w:rPr>
      </w:pPr>
      <w:r w:rsidRPr="003611CC">
        <w:rPr>
          <w:rFonts w:ascii="Calibri" w:eastAsia="Calibri" w:hAnsi="Calibri" w:cs="Times New Roman"/>
        </w:rPr>
        <w:t>Galiausiai Teismas pažymėjo, kad Vyriausybė neteigė, jog skundas Konstituciniam Teismui, turinčiam jurisdikciją spręsti tokias bylas tik išimtiniais atvejais, turėtų būti laikomas teismine gynybos priemone pagal nacionalinę teisę, Sutarties dėl Europos Sąjungos veikimo 267 straipsnio prasme. Tai lėmė išvadą, kad Nova Gorica teismas (kuris buvo pirmoji instancija ir vienintelis teismas, nagrinėjęs pareiškėjų bylą iš esmės), privalėjo motyvuoti savo atsisakymą kreiptis į Teisingumo Teismą dėl preju</w:t>
      </w:r>
      <w:r w:rsidR="00885A17">
        <w:rPr>
          <w:rFonts w:ascii="Calibri" w:eastAsia="Calibri" w:hAnsi="Calibri" w:cs="Times New Roman"/>
        </w:rPr>
        <w:t>di</w:t>
      </w:r>
      <w:r w:rsidRPr="003611CC">
        <w:rPr>
          <w:rFonts w:ascii="Calibri" w:eastAsia="Calibri" w:hAnsi="Calibri" w:cs="Times New Roman"/>
        </w:rPr>
        <w:t xml:space="preserve">cinio sprendimo priėmimo, žinoma, atsižvelgiant į Teisingumo Teismo praktikoje numatytas išimtis. Tačiau nei Nova Gorica teismas, nei Konstitucinis Teismas pareiškėjų prašymo priimti prejudicinį sprendimą ar kitų jų teisinių argumentų apskritai nenagrinėjo. </w:t>
      </w:r>
    </w:p>
    <w:p w14:paraId="2FBFA1EA" w14:textId="77777777" w:rsidR="003611CC" w:rsidRPr="003611CC" w:rsidRDefault="003611CC"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5B36213" w14:textId="77777777" w:rsidR="003611CC" w:rsidRPr="003611CC" w:rsidRDefault="003611CC"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3611CC">
        <w:rPr>
          <w:rFonts w:ascii="Calibri" w:eastAsia="Times New Roman" w:hAnsi="Calibri" w:cs="Calibri"/>
          <w:color w:val="000000"/>
        </w:rPr>
        <w:t>Išvada: Konvencijos 6 straipsnio 1 dalies pažeidimas (vienbalsiai).</w:t>
      </w:r>
    </w:p>
    <w:p w14:paraId="2DC66B77" w14:textId="77777777" w:rsidR="003611CC" w:rsidRPr="003611CC" w:rsidRDefault="003611CC"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FF"/>
          <w:u w:val="single"/>
        </w:rPr>
      </w:pPr>
      <w:r w:rsidRPr="003611CC">
        <w:rPr>
          <w:rFonts w:ascii="Calibri" w:eastAsia="Times New Roman" w:hAnsi="Calibri" w:cs="Calibri"/>
        </w:rPr>
        <w:fldChar w:fldCharType="begin"/>
      </w:r>
      <w:r w:rsidRPr="003611CC">
        <w:rPr>
          <w:rFonts w:ascii="Calibri" w:eastAsia="Times New Roman" w:hAnsi="Calibri" w:cs="Calibri"/>
        </w:rPr>
        <w:instrText>HYPERLINK "https://hudoc.echr.coe.int/" \l "{%22fulltext%22:[%2221164/20%22],%22documentcollectionid2%22:[%22GRANDCHAMBER%22,%22CHAMBER%22],%22itemid%22:[%22001-221639%22]}"</w:instrText>
      </w:r>
      <w:r w:rsidRPr="003611CC">
        <w:rPr>
          <w:rFonts w:ascii="Calibri" w:eastAsia="Times New Roman" w:hAnsi="Calibri" w:cs="Calibri"/>
        </w:rPr>
      </w:r>
      <w:r w:rsidRPr="003611CC">
        <w:rPr>
          <w:rFonts w:ascii="Calibri" w:eastAsia="Times New Roman" w:hAnsi="Calibri" w:cs="Calibri"/>
        </w:rPr>
        <w:fldChar w:fldCharType="separate"/>
      </w:r>
      <w:r w:rsidRPr="003611CC">
        <w:rPr>
          <w:rFonts w:ascii="Calibri" w:eastAsia="Times New Roman" w:hAnsi="Calibri" w:cs="Calibri"/>
          <w:color w:val="0000FF"/>
          <w:u w:val="single"/>
        </w:rPr>
        <w:t>Prieiga internete</w:t>
      </w:r>
    </w:p>
    <w:p w14:paraId="7C7DEA54" w14:textId="7E819A73" w:rsidR="003611CC" w:rsidRDefault="003611CC" w:rsidP="00F87300">
      <w:pPr>
        <w:shd w:val="clear" w:color="auto" w:fill="FFFFFF"/>
        <w:spacing w:after="0" w:line="240" w:lineRule="auto"/>
        <w:ind w:right="-1"/>
        <w:jc w:val="center"/>
        <w:rPr>
          <w:rFonts w:eastAsia="Times New Roman" w:cstheme="minorHAnsi"/>
        </w:rPr>
      </w:pPr>
      <w:r w:rsidRPr="003611CC">
        <w:rPr>
          <w:rFonts w:ascii="Calibri" w:eastAsia="Calibri" w:hAnsi="Calibri" w:cs="Calibri"/>
        </w:rPr>
        <w:fldChar w:fldCharType="end"/>
      </w:r>
      <w:bookmarkStart w:id="18" w:name="_Toc52184430"/>
      <w:bookmarkStart w:id="19" w:name="_Toc104379816"/>
      <w:bookmarkStart w:id="20" w:name="_Toc104379823"/>
    </w:p>
    <w:p w14:paraId="3EC0DF46" w14:textId="7CF5CB1C" w:rsidR="00025962" w:rsidRPr="00CC38E3" w:rsidRDefault="00025962" w:rsidP="00F87300">
      <w:pPr>
        <w:pStyle w:val="Antrat1"/>
        <w:spacing w:before="0"/>
        <w:ind w:right="-1"/>
        <w:rPr>
          <w:rFonts w:eastAsia="Times New Roman" w:cstheme="minorHAnsi"/>
          <w:szCs w:val="22"/>
        </w:rPr>
      </w:pPr>
      <w:bookmarkStart w:id="21" w:name="_Toc141446353"/>
      <w:r w:rsidRPr="00CC38E3">
        <w:rPr>
          <w:rFonts w:eastAsia="Times New Roman" w:cstheme="minorHAnsi"/>
          <w:szCs w:val="22"/>
        </w:rPr>
        <w:t>TEISĖ Į PRIVATAUS IR ŠEIMOS GYVENIMO GERBIMĄ (8 straipsnis)</w:t>
      </w:r>
      <w:bookmarkEnd w:id="18"/>
      <w:bookmarkEnd w:id="19"/>
      <w:bookmarkEnd w:id="21"/>
    </w:p>
    <w:p w14:paraId="08425B3F" w14:textId="092681B7" w:rsidR="00025962" w:rsidRDefault="00AC301F" w:rsidP="00F87300">
      <w:pPr>
        <w:shd w:val="clear" w:color="auto" w:fill="FFFFFF"/>
        <w:spacing w:after="0" w:line="240" w:lineRule="auto"/>
        <w:ind w:right="-1"/>
        <w:rPr>
          <w:rFonts w:ascii="Calibri" w:eastAsia="Times New Roman" w:hAnsi="Calibri" w:cs="Calibri"/>
          <w:b/>
        </w:rPr>
      </w:pPr>
      <w:r>
        <w:rPr>
          <w:rFonts w:ascii="Calibri" w:eastAsia="Times New Roman" w:hAnsi="Calibri" w:cs="Calibri"/>
          <w:b/>
        </w:rPr>
        <w:t xml:space="preserve"> </w:t>
      </w:r>
    </w:p>
    <w:p w14:paraId="1E6DCE35" w14:textId="2EAA0310" w:rsidR="00D63767" w:rsidRPr="007B5EFE" w:rsidRDefault="00D63767" w:rsidP="00F87300">
      <w:pPr>
        <w:spacing w:after="0" w:line="240" w:lineRule="auto"/>
        <w:ind w:right="-1"/>
        <w:jc w:val="center"/>
        <w:rPr>
          <w:rFonts w:cs="Arial"/>
          <w:b/>
        </w:rPr>
      </w:pPr>
      <w:r w:rsidRPr="007B5EFE">
        <w:rPr>
          <w:rFonts w:cs="Arial"/>
          <w:b/>
        </w:rPr>
        <w:t>Europos Žmogaus Teisių Teismo 202</w:t>
      </w:r>
      <w:r>
        <w:rPr>
          <w:rFonts w:cs="Arial"/>
          <w:b/>
        </w:rPr>
        <w:t>2</w:t>
      </w:r>
      <w:r w:rsidRPr="007B5EFE">
        <w:rPr>
          <w:rFonts w:cs="Arial"/>
          <w:b/>
        </w:rPr>
        <w:t xml:space="preserve"> m. </w:t>
      </w:r>
      <w:r>
        <w:rPr>
          <w:rFonts w:cs="Arial"/>
          <w:b/>
        </w:rPr>
        <w:t>liepos</w:t>
      </w:r>
      <w:r w:rsidRPr="007B5EFE">
        <w:rPr>
          <w:rFonts w:cs="Arial"/>
          <w:b/>
        </w:rPr>
        <w:t xml:space="preserve"> </w:t>
      </w:r>
      <w:r>
        <w:rPr>
          <w:rFonts w:cs="Arial"/>
          <w:b/>
        </w:rPr>
        <w:t>7</w:t>
      </w:r>
      <w:r w:rsidRPr="007B5EFE">
        <w:rPr>
          <w:rFonts w:cs="Arial"/>
          <w:b/>
        </w:rPr>
        <w:t xml:space="preserve"> d. sprendimas byloje</w:t>
      </w:r>
    </w:p>
    <w:p w14:paraId="758C9C98" w14:textId="2EAA0310" w:rsidR="00D63767" w:rsidRPr="00EB139B" w:rsidRDefault="00D63767" w:rsidP="00F87300">
      <w:pPr>
        <w:pStyle w:val="Antrat2"/>
        <w:ind w:right="-1" w:firstLine="0"/>
        <w:rPr>
          <w:b w:val="0"/>
          <w:bCs w:val="0"/>
          <w:i w:val="0"/>
          <w:iCs w:val="0"/>
        </w:rPr>
      </w:pPr>
      <w:bookmarkStart w:id="22" w:name="_Toc141446354"/>
      <w:r w:rsidRPr="00FA52FC">
        <w:rPr>
          <w:lang w:val="en-GB"/>
        </w:rPr>
        <w:t xml:space="preserve">Chocholáč </w:t>
      </w:r>
      <w:r>
        <w:rPr>
          <w:lang w:val="en-GB"/>
        </w:rPr>
        <w:t>prieš</w:t>
      </w:r>
      <w:r w:rsidRPr="00FA52FC">
        <w:rPr>
          <w:lang w:val="en-GB"/>
        </w:rPr>
        <w:t xml:space="preserve"> Slovaki</w:t>
      </w:r>
      <w:r>
        <w:rPr>
          <w:lang w:val="en-GB"/>
        </w:rPr>
        <w:t>ją</w:t>
      </w:r>
      <w:bookmarkEnd w:id="22"/>
    </w:p>
    <w:p w14:paraId="2E606F27" w14:textId="77777777" w:rsidR="00D63767" w:rsidRPr="007B5EFE" w:rsidRDefault="00D63767" w:rsidP="00F87300">
      <w:pPr>
        <w:spacing w:after="0" w:line="240" w:lineRule="auto"/>
        <w:ind w:right="-1"/>
        <w:jc w:val="center"/>
        <w:rPr>
          <w:rFonts w:cs="Arial"/>
          <w:b/>
        </w:rPr>
      </w:pPr>
      <w:r w:rsidRPr="007B5EFE">
        <w:rPr>
          <w:rFonts w:cs="Arial"/>
          <w:b/>
        </w:rPr>
        <w:t xml:space="preserve">(pareiškimo Nr. </w:t>
      </w:r>
      <w:r w:rsidRPr="00FA52FC">
        <w:rPr>
          <w:rFonts w:cs="Arial"/>
          <w:b/>
          <w:lang w:val="en-GB"/>
        </w:rPr>
        <w:t>81292/17</w:t>
      </w:r>
      <w:r w:rsidRPr="007B5EFE">
        <w:rPr>
          <w:rFonts w:cs="Arial"/>
          <w:b/>
        </w:rPr>
        <w:t xml:space="preserve">, </w:t>
      </w:r>
      <w:r w:rsidRPr="00011373">
        <w:rPr>
          <w:rFonts w:cs="Arial"/>
          <w:b/>
        </w:rPr>
        <w:t>svarbos lygis – 2</w:t>
      </w:r>
      <w:r w:rsidRPr="007B5EFE">
        <w:rPr>
          <w:rFonts w:cs="Arial"/>
          <w:b/>
        </w:rPr>
        <w:t>)</w:t>
      </w:r>
    </w:p>
    <w:p w14:paraId="4494EF6D" w14:textId="77777777" w:rsidR="00D63767" w:rsidRPr="007B5EFE" w:rsidRDefault="00D63767" w:rsidP="00F87300">
      <w:pPr>
        <w:spacing w:after="0" w:line="240" w:lineRule="auto"/>
        <w:ind w:right="-1"/>
        <w:jc w:val="center"/>
        <w:rPr>
          <w:rFonts w:cs="Arial"/>
        </w:rPr>
      </w:pPr>
    </w:p>
    <w:p w14:paraId="20B214A6" w14:textId="77777777" w:rsidR="00D63767" w:rsidRDefault="00D63767" w:rsidP="00F87300">
      <w:pPr>
        <w:pStyle w:val="Antrat3"/>
        <w:spacing w:before="0" w:line="240" w:lineRule="auto"/>
        <w:ind w:right="-1" w:firstLine="567"/>
        <w:rPr>
          <w:i w:val="0"/>
          <w:iCs/>
          <w:shd w:val="clear" w:color="auto" w:fill="FFFFFF"/>
          <w:lang w:eastAsia="lt-LT"/>
        </w:rPr>
      </w:pPr>
      <w:bookmarkStart w:id="23" w:name="_Toc141446355"/>
      <w:r w:rsidRPr="00A963F9">
        <w:rPr>
          <w:iCs/>
          <w:shd w:val="clear" w:color="auto" w:fill="FFFFFF"/>
          <w:lang w:eastAsia="lt-LT"/>
        </w:rPr>
        <w:t>Dėl</w:t>
      </w:r>
      <w:r>
        <w:rPr>
          <w:iCs/>
          <w:shd w:val="clear" w:color="auto" w:fill="FFFFFF"/>
          <w:lang w:eastAsia="lt-LT"/>
        </w:rPr>
        <w:t xml:space="preserve"> b</w:t>
      </w:r>
      <w:r w:rsidRPr="00BE27D6">
        <w:rPr>
          <w:iCs/>
          <w:shd w:val="clear" w:color="auto" w:fill="FFFFFF"/>
          <w:lang w:eastAsia="lt-LT"/>
        </w:rPr>
        <w:t>endr</w:t>
      </w:r>
      <w:r>
        <w:rPr>
          <w:iCs/>
          <w:shd w:val="clear" w:color="auto" w:fill="FFFFFF"/>
          <w:lang w:eastAsia="lt-LT"/>
        </w:rPr>
        <w:t>o</w:t>
      </w:r>
      <w:r w:rsidRPr="00BE27D6">
        <w:rPr>
          <w:iCs/>
          <w:shd w:val="clear" w:color="auto" w:fill="FFFFFF"/>
          <w:lang w:eastAsia="lt-LT"/>
        </w:rPr>
        <w:t xml:space="preserve"> ir </w:t>
      </w:r>
      <w:r>
        <w:rPr>
          <w:iCs/>
          <w:shd w:val="clear" w:color="auto" w:fill="FFFFFF"/>
          <w:lang w:eastAsia="lt-LT"/>
        </w:rPr>
        <w:t>absoliutaus</w:t>
      </w:r>
      <w:r w:rsidRPr="00BE27D6">
        <w:rPr>
          <w:iCs/>
          <w:shd w:val="clear" w:color="auto" w:fill="FFFFFF"/>
          <w:lang w:eastAsia="lt-LT"/>
        </w:rPr>
        <w:t xml:space="preserve"> draudim</w:t>
      </w:r>
      <w:r>
        <w:rPr>
          <w:iCs/>
          <w:shd w:val="clear" w:color="auto" w:fill="FFFFFF"/>
          <w:lang w:eastAsia="lt-LT"/>
        </w:rPr>
        <w:t>o</w:t>
      </w:r>
      <w:r w:rsidRPr="00BE27D6">
        <w:rPr>
          <w:iCs/>
          <w:shd w:val="clear" w:color="auto" w:fill="FFFFFF"/>
          <w:lang w:eastAsia="lt-LT"/>
        </w:rPr>
        <w:t xml:space="preserve"> kaliniams turėti pornografinę medžiagą, ne</w:t>
      </w:r>
      <w:r>
        <w:rPr>
          <w:iCs/>
          <w:shd w:val="clear" w:color="auto" w:fill="FFFFFF"/>
          <w:lang w:eastAsia="lt-LT"/>
        </w:rPr>
        <w:t>numatant galimybės į</w:t>
      </w:r>
      <w:r w:rsidRPr="00BE27D6">
        <w:rPr>
          <w:iCs/>
          <w:shd w:val="clear" w:color="auto" w:fill="FFFFFF"/>
          <w:lang w:eastAsia="lt-LT"/>
        </w:rPr>
        <w:t>vertint</w:t>
      </w:r>
      <w:r>
        <w:rPr>
          <w:iCs/>
          <w:shd w:val="clear" w:color="auto" w:fill="FFFFFF"/>
          <w:lang w:eastAsia="lt-LT"/>
        </w:rPr>
        <w:t>i</w:t>
      </w:r>
      <w:r w:rsidRPr="00BE27D6">
        <w:rPr>
          <w:iCs/>
          <w:shd w:val="clear" w:color="auto" w:fill="FFFFFF"/>
          <w:lang w:eastAsia="lt-LT"/>
        </w:rPr>
        <w:t xml:space="preserve"> </w:t>
      </w:r>
      <w:r>
        <w:rPr>
          <w:iCs/>
          <w:shd w:val="clear" w:color="auto" w:fill="FFFFFF"/>
          <w:lang w:eastAsia="lt-LT"/>
        </w:rPr>
        <w:t xml:space="preserve">šio draudimo </w:t>
      </w:r>
      <w:r w:rsidRPr="00BE27D6">
        <w:rPr>
          <w:iCs/>
          <w:shd w:val="clear" w:color="auto" w:fill="FFFFFF"/>
          <w:lang w:eastAsia="lt-LT"/>
        </w:rPr>
        <w:t>proporcingum</w:t>
      </w:r>
      <w:r>
        <w:rPr>
          <w:iCs/>
          <w:shd w:val="clear" w:color="auto" w:fill="FFFFFF"/>
          <w:lang w:eastAsia="lt-LT"/>
        </w:rPr>
        <w:t>ą</w:t>
      </w:r>
      <w:r w:rsidRPr="00BE27D6">
        <w:rPr>
          <w:iCs/>
          <w:shd w:val="clear" w:color="auto" w:fill="FFFFFF"/>
          <w:lang w:eastAsia="lt-LT"/>
        </w:rPr>
        <w:t xml:space="preserve"> </w:t>
      </w:r>
      <w:r>
        <w:rPr>
          <w:iCs/>
          <w:shd w:val="clear" w:color="auto" w:fill="FFFFFF"/>
          <w:lang w:eastAsia="lt-LT"/>
        </w:rPr>
        <w:t>kiekvienu individualiu</w:t>
      </w:r>
      <w:r w:rsidRPr="00BE27D6">
        <w:rPr>
          <w:iCs/>
          <w:shd w:val="clear" w:color="auto" w:fill="FFFFFF"/>
          <w:lang w:eastAsia="lt-LT"/>
        </w:rPr>
        <w:t xml:space="preserve"> atveju</w:t>
      </w:r>
      <w:bookmarkEnd w:id="23"/>
    </w:p>
    <w:p w14:paraId="6ACED4EE" w14:textId="77777777" w:rsidR="00D63767" w:rsidRPr="007B5EFE" w:rsidRDefault="00D63767" w:rsidP="00F87300">
      <w:pPr>
        <w:spacing w:after="0" w:line="240" w:lineRule="auto"/>
        <w:ind w:right="-1"/>
        <w:jc w:val="center"/>
        <w:rPr>
          <w:rFonts w:cs="Arial"/>
          <w:b/>
        </w:rPr>
      </w:pPr>
    </w:p>
    <w:p w14:paraId="1BCBAA3F" w14:textId="77777777" w:rsidR="00D63767" w:rsidRPr="007B5EFE" w:rsidRDefault="00D63767" w:rsidP="00F87300">
      <w:pPr>
        <w:spacing w:after="0" w:line="240" w:lineRule="auto"/>
        <w:ind w:right="-1"/>
        <w:jc w:val="center"/>
        <w:rPr>
          <w:rFonts w:cs="Arial"/>
          <w:b/>
        </w:rPr>
      </w:pPr>
      <w:r w:rsidRPr="007B5EFE">
        <w:rPr>
          <w:rFonts w:cs="Arial"/>
          <w:b/>
        </w:rPr>
        <w:t>Faktinės aplinkybės</w:t>
      </w:r>
    </w:p>
    <w:p w14:paraId="6F4EE90F" w14:textId="77777777" w:rsidR="00D63767" w:rsidRPr="007B5EFE" w:rsidRDefault="00D63767" w:rsidP="00F87300">
      <w:pPr>
        <w:spacing w:after="0" w:line="240" w:lineRule="auto"/>
        <w:ind w:right="-1" w:firstLine="540"/>
        <w:jc w:val="center"/>
        <w:rPr>
          <w:rFonts w:cs="Arial"/>
          <w:b/>
        </w:rPr>
      </w:pPr>
    </w:p>
    <w:p w14:paraId="414FCACD" w14:textId="77777777" w:rsidR="00D63767" w:rsidRDefault="00D63767" w:rsidP="00F87300">
      <w:pPr>
        <w:spacing w:after="0" w:line="240" w:lineRule="auto"/>
        <w:ind w:right="-1" w:firstLine="567"/>
        <w:jc w:val="both"/>
        <w:rPr>
          <w:rFonts w:cs="Arial"/>
        </w:rPr>
      </w:pPr>
      <w:r w:rsidRPr="00083B34">
        <w:rPr>
          <w:rFonts w:cs="Arial"/>
        </w:rPr>
        <w:t>Pareiškėjas</w:t>
      </w:r>
      <w:r>
        <w:rPr>
          <w:rFonts w:cs="Arial"/>
        </w:rPr>
        <w:t xml:space="preserve">, </w:t>
      </w:r>
      <w:r w:rsidRPr="00083B34">
        <w:rPr>
          <w:rFonts w:cs="Arial"/>
        </w:rPr>
        <w:t>atlik</w:t>
      </w:r>
      <w:r>
        <w:rPr>
          <w:rFonts w:cs="Arial"/>
        </w:rPr>
        <w:t>damas</w:t>
      </w:r>
      <w:r w:rsidRPr="00083B34">
        <w:rPr>
          <w:rFonts w:cs="Arial"/>
        </w:rPr>
        <w:t xml:space="preserve"> laisvės atėmimo iki gyvos galvos bausmę kalėjime</w:t>
      </w:r>
      <w:r>
        <w:rPr>
          <w:rFonts w:cs="Arial"/>
        </w:rPr>
        <w:t>, buvo laikomas vienas kameroje ir j</w:t>
      </w:r>
      <w:r w:rsidRPr="00D947A5">
        <w:rPr>
          <w:rFonts w:cs="Arial"/>
        </w:rPr>
        <w:t>am buvo taikomas maksimalus saugumo režimas</w:t>
      </w:r>
      <w:r>
        <w:rPr>
          <w:rFonts w:cs="Arial"/>
        </w:rPr>
        <w:t>. Į</w:t>
      </w:r>
      <w:r w:rsidRPr="00CE549B">
        <w:rPr>
          <w:rFonts w:cs="Arial"/>
        </w:rPr>
        <w:t>prastin</w:t>
      </w:r>
      <w:r>
        <w:rPr>
          <w:rFonts w:cs="Arial"/>
        </w:rPr>
        <w:t>ės</w:t>
      </w:r>
      <w:r w:rsidRPr="00CE549B">
        <w:rPr>
          <w:rFonts w:cs="Arial"/>
        </w:rPr>
        <w:t xml:space="preserve"> krat</w:t>
      </w:r>
      <w:r>
        <w:rPr>
          <w:rFonts w:cs="Arial"/>
        </w:rPr>
        <w:t xml:space="preserve">os metu pareiškėjo kameroje buvo rastas </w:t>
      </w:r>
      <w:r w:rsidRPr="00CE549B">
        <w:rPr>
          <w:rFonts w:cs="Arial"/>
        </w:rPr>
        <w:t xml:space="preserve">populiarus savaitinis žurnalas, kurio viduje įklijuotos nuotraukos su </w:t>
      </w:r>
      <w:r>
        <w:rPr>
          <w:rFonts w:cs="Arial"/>
        </w:rPr>
        <w:t>suaugusiesiems skirtu</w:t>
      </w:r>
      <w:r w:rsidRPr="00CE549B">
        <w:rPr>
          <w:rFonts w:cs="Arial"/>
        </w:rPr>
        <w:t xml:space="preserve"> atvir</w:t>
      </w:r>
      <w:r>
        <w:rPr>
          <w:rFonts w:cs="Arial"/>
        </w:rPr>
        <w:t>o pobūdžio</w:t>
      </w:r>
      <w:r w:rsidRPr="00CE549B">
        <w:rPr>
          <w:rFonts w:cs="Arial"/>
        </w:rPr>
        <w:t xml:space="preserve"> turiniu.</w:t>
      </w:r>
      <w:r>
        <w:rPr>
          <w:rFonts w:cs="Arial"/>
        </w:rPr>
        <w:t xml:space="preserve"> P</w:t>
      </w:r>
      <w:r w:rsidRPr="002326F6">
        <w:rPr>
          <w:rFonts w:cs="Arial"/>
        </w:rPr>
        <w:t>areiškėj</w:t>
      </w:r>
      <w:r>
        <w:rPr>
          <w:rFonts w:cs="Arial"/>
        </w:rPr>
        <w:t>as teig</w:t>
      </w:r>
      <w:r w:rsidRPr="002326F6">
        <w:rPr>
          <w:rFonts w:cs="Arial"/>
        </w:rPr>
        <w:t xml:space="preserve">ė, o valdžios institucijos </w:t>
      </w:r>
      <w:r>
        <w:rPr>
          <w:rFonts w:cs="Arial"/>
        </w:rPr>
        <w:t xml:space="preserve">to </w:t>
      </w:r>
      <w:r w:rsidRPr="002326F6">
        <w:rPr>
          <w:rFonts w:cs="Arial"/>
        </w:rPr>
        <w:t>neginčijo, kad nuotraukos buvo iškirptos iš suaugusiesiems skirtų žurnalų, kurie laisvai prieinami spaudos platinimo tinkle</w:t>
      </w:r>
      <w:r>
        <w:rPr>
          <w:rFonts w:cs="Arial"/>
        </w:rPr>
        <w:t>,</w:t>
      </w:r>
      <w:r w:rsidRPr="002326F6">
        <w:rPr>
          <w:rFonts w:cs="Arial"/>
        </w:rPr>
        <w:t xml:space="preserve"> ir kad juose buvo vaizduojamas „klasikinis“ suaugusiųjų heteroseksualus seksas.</w:t>
      </w:r>
    </w:p>
    <w:p w14:paraId="2D23F91C" w14:textId="77777777" w:rsidR="00D63767" w:rsidRDefault="00D63767" w:rsidP="00F87300">
      <w:pPr>
        <w:spacing w:after="0" w:line="240" w:lineRule="auto"/>
        <w:ind w:right="-1" w:firstLine="567"/>
        <w:jc w:val="both"/>
        <w:rPr>
          <w:rFonts w:cs="Arial"/>
        </w:rPr>
      </w:pPr>
      <w:r>
        <w:rPr>
          <w:rFonts w:cs="Arial"/>
        </w:rPr>
        <w:t xml:space="preserve">Remiantis Slovakijos </w:t>
      </w:r>
      <w:r w:rsidRPr="00BA7A1A">
        <w:rPr>
          <w:rFonts w:cs="Arial"/>
        </w:rPr>
        <w:t>Kalėjimo bausmių vykdymo įstatym</w:t>
      </w:r>
      <w:r>
        <w:rPr>
          <w:rFonts w:cs="Arial"/>
        </w:rPr>
        <w:t>u, minėta m</w:t>
      </w:r>
      <w:r w:rsidRPr="00BA7A1A">
        <w:rPr>
          <w:rFonts w:cs="Arial"/>
        </w:rPr>
        <w:t xml:space="preserve">edžiaga </w:t>
      </w:r>
      <w:r>
        <w:rPr>
          <w:rFonts w:cs="Arial"/>
        </w:rPr>
        <w:t>buvo pripažinta</w:t>
      </w:r>
      <w:r w:rsidRPr="00BA7A1A">
        <w:rPr>
          <w:rFonts w:cs="Arial"/>
        </w:rPr>
        <w:t xml:space="preserve"> pornografin</w:t>
      </w:r>
      <w:r>
        <w:rPr>
          <w:rFonts w:cs="Arial"/>
        </w:rPr>
        <w:t>e</w:t>
      </w:r>
      <w:r w:rsidRPr="00BA7A1A">
        <w:rPr>
          <w:rFonts w:cs="Arial"/>
        </w:rPr>
        <w:t xml:space="preserve"> ir kelia</w:t>
      </w:r>
      <w:r>
        <w:rPr>
          <w:rFonts w:cs="Arial"/>
        </w:rPr>
        <w:t>nčia</w:t>
      </w:r>
      <w:r w:rsidRPr="00BA7A1A">
        <w:rPr>
          <w:rFonts w:cs="Arial"/>
        </w:rPr>
        <w:t xml:space="preserve"> grėsmę moralei, </w:t>
      </w:r>
      <w:r>
        <w:rPr>
          <w:rFonts w:cs="Arial"/>
        </w:rPr>
        <w:t>todėl paimta</w:t>
      </w:r>
      <w:r w:rsidRPr="00BA7A1A">
        <w:rPr>
          <w:rFonts w:cs="Arial"/>
        </w:rPr>
        <w:t xml:space="preserve"> iš pareiškėjo ir jis pripažintas kaltu padaręs drausminį nusižengimą, už ką jam skirtas papeikimas. </w:t>
      </w:r>
      <w:r>
        <w:rPr>
          <w:rFonts w:cs="Arial"/>
        </w:rPr>
        <w:t>Pareiškėjas nesėkmingai bandė nuginčyti jam skirtą drausminę nuobaudą, jo konstitucinis skundas taip pat buvo atmestas.</w:t>
      </w:r>
    </w:p>
    <w:p w14:paraId="58186A75" w14:textId="77777777" w:rsidR="00D63767" w:rsidRDefault="00D63767" w:rsidP="00F87300">
      <w:pPr>
        <w:spacing w:after="0" w:line="240" w:lineRule="auto"/>
        <w:ind w:right="-1" w:firstLine="567"/>
        <w:jc w:val="both"/>
        <w:rPr>
          <w:rFonts w:cs="Arial"/>
        </w:rPr>
      </w:pPr>
      <w:r w:rsidRPr="001012D6">
        <w:rPr>
          <w:rFonts w:cs="Arial"/>
        </w:rPr>
        <w:t xml:space="preserve">Galutiniame sprendime </w:t>
      </w:r>
      <w:r>
        <w:rPr>
          <w:rFonts w:cs="Arial"/>
        </w:rPr>
        <w:t xml:space="preserve">Slovakijos </w:t>
      </w:r>
      <w:r w:rsidRPr="001012D6">
        <w:rPr>
          <w:rFonts w:cs="Arial"/>
        </w:rPr>
        <w:t xml:space="preserve">Konstitucinis </w:t>
      </w:r>
      <w:r>
        <w:rPr>
          <w:rFonts w:cs="Arial"/>
        </w:rPr>
        <w:t>T</w:t>
      </w:r>
      <w:r w:rsidRPr="001012D6">
        <w:rPr>
          <w:rFonts w:cs="Arial"/>
        </w:rPr>
        <w:t>eismas, be kita ko, konstatavo, kad</w:t>
      </w:r>
      <w:r>
        <w:rPr>
          <w:rFonts w:cs="Arial"/>
        </w:rPr>
        <w:t xml:space="preserve"> teisiniame reguliavime įtvirtintas draudimas buvo absoliutus </w:t>
      </w:r>
      <w:r w:rsidRPr="00251F07">
        <w:rPr>
          <w:rFonts w:cs="Arial"/>
        </w:rPr>
        <w:t>ir ne</w:t>
      </w:r>
      <w:r>
        <w:rPr>
          <w:rFonts w:cs="Arial"/>
        </w:rPr>
        <w:t>paliko vietos</w:t>
      </w:r>
      <w:r w:rsidRPr="00251F07">
        <w:rPr>
          <w:rFonts w:cs="Arial"/>
        </w:rPr>
        <w:t xml:space="preserve"> individualių interesų</w:t>
      </w:r>
      <w:r>
        <w:rPr>
          <w:rFonts w:cs="Arial"/>
        </w:rPr>
        <w:t xml:space="preserve"> derinimui. </w:t>
      </w:r>
      <w:r w:rsidRPr="001012D6">
        <w:rPr>
          <w:rFonts w:cs="Arial"/>
        </w:rPr>
        <w:t>Konstitucinis Teismas</w:t>
      </w:r>
      <w:r w:rsidRPr="00251F07">
        <w:rPr>
          <w:rFonts w:cs="Arial"/>
        </w:rPr>
        <w:t xml:space="preserve"> </w:t>
      </w:r>
      <w:r>
        <w:rPr>
          <w:rFonts w:cs="Arial"/>
        </w:rPr>
        <w:t xml:space="preserve">pripažino, kad </w:t>
      </w:r>
      <w:r w:rsidRPr="00251F07">
        <w:rPr>
          <w:rFonts w:cs="Arial"/>
        </w:rPr>
        <w:t xml:space="preserve">kalėjimo kontekstas specifinis tuo, </w:t>
      </w:r>
      <w:r>
        <w:rPr>
          <w:rFonts w:cs="Arial"/>
        </w:rPr>
        <w:t>jog pareiškėjas</w:t>
      </w:r>
      <w:r w:rsidRPr="00251F07">
        <w:rPr>
          <w:rFonts w:cs="Arial"/>
        </w:rPr>
        <w:t xml:space="preserve"> buvo visiškai izoliuotas nuo priešingos lyties</w:t>
      </w:r>
      <w:r>
        <w:rPr>
          <w:rFonts w:cs="Arial"/>
        </w:rPr>
        <w:t xml:space="preserve"> asmenų</w:t>
      </w:r>
      <w:r w:rsidRPr="00251F07">
        <w:rPr>
          <w:rFonts w:cs="Arial"/>
        </w:rPr>
        <w:t xml:space="preserve">, taigi ir </w:t>
      </w:r>
      <w:r>
        <w:rPr>
          <w:rFonts w:cs="Arial"/>
        </w:rPr>
        <w:t>nuo bet kokio</w:t>
      </w:r>
      <w:r w:rsidRPr="00251F07">
        <w:rPr>
          <w:rFonts w:cs="Arial"/>
        </w:rPr>
        <w:t xml:space="preserve"> intymaus kontakto su ja</w:t>
      </w:r>
      <w:r>
        <w:rPr>
          <w:rFonts w:cs="Arial"/>
        </w:rPr>
        <w:t>is, todėl</w:t>
      </w:r>
      <w:r w:rsidRPr="00251F07">
        <w:rPr>
          <w:rFonts w:cs="Arial"/>
        </w:rPr>
        <w:t xml:space="preserve"> pornografija galėtų tapti autoerotinio pasitenkinimo stimulu</w:t>
      </w:r>
      <w:r>
        <w:rPr>
          <w:rFonts w:cs="Arial"/>
        </w:rPr>
        <w:t>,</w:t>
      </w:r>
      <w:r w:rsidRPr="00251F07">
        <w:rPr>
          <w:rFonts w:cs="Arial"/>
        </w:rPr>
        <w:t xml:space="preserve"> </w:t>
      </w:r>
      <w:r>
        <w:rPr>
          <w:rFonts w:cs="Arial"/>
        </w:rPr>
        <w:t>t</w:t>
      </w:r>
      <w:r w:rsidRPr="00251F07">
        <w:rPr>
          <w:rFonts w:cs="Arial"/>
        </w:rPr>
        <w:t xml:space="preserve">ačiau </w:t>
      </w:r>
      <w:r>
        <w:rPr>
          <w:rFonts w:cs="Arial"/>
        </w:rPr>
        <w:t xml:space="preserve">pabrėžė, kad </w:t>
      </w:r>
      <w:r w:rsidRPr="00251F07">
        <w:rPr>
          <w:rFonts w:cs="Arial"/>
        </w:rPr>
        <w:t>tai taip pat gali paskatinti seksualinius ir smurtinius nusikaltimus</w:t>
      </w:r>
      <w:r>
        <w:rPr>
          <w:rFonts w:cs="Arial"/>
        </w:rPr>
        <w:t>.</w:t>
      </w:r>
    </w:p>
    <w:p w14:paraId="3BB8E8B0" w14:textId="77777777" w:rsidR="00D63767" w:rsidRDefault="00D63767" w:rsidP="00F87300">
      <w:pPr>
        <w:spacing w:after="0" w:line="240" w:lineRule="auto"/>
        <w:ind w:right="-1" w:firstLine="567"/>
        <w:jc w:val="both"/>
        <w:rPr>
          <w:rFonts w:cs="Arial"/>
        </w:rPr>
      </w:pPr>
      <w:r>
        <w:rPr>
          <w:rFonts w:cs="Arial"/>
        </w:rPr>
        <w:t>P</w:t>
      </w:r>
      <w:r w:rsidRPr="007B5EFE">
        <w:rPr>
          <w:rFonts w:cs="Arial"/>
        </w:rPr>
        <w:t xml:space="preserve">areiškėjas </w:t>
      </w:r>
      <w:r w:rsidRPr="00EE0FC1">
        <w:t xml:space="preserve">EŽTT pateiktoje peticijoje </w:t>
      </w:r>
      <w:r w:rsidRPr="007B5EFE">
        <w:rPr>
          <w:rFonts w:cs="Arial"/>
        </w:rPr>
        <w:t>skundėsi</w:t>
      </w:r>
      <w:r>
        <w:rPr>
          <w:rFonts w:cs="Arial"/>
        </w:rPr>
        <w:t xml:space="preserve"> </w:t>
      </w:r>
      <w:r w:rsidRPr="00092B89">
        <w:rPr>
          <w:rFonts w:cs="Arial"/>
        </w:rPr>
        <w:t xml:space="preserve">dėl </w:t>
      </w:r>
      <w:r>
        <w:rPr>
          <w:rFonts w:cs="Arial"/>
        </w:rPr>
        <w:t>drausminės nuobaudos</w:t>
      </w:r>
      <w:r w:rsidRPr="00092B89">
        <w:rPr>
          <w:rFonts w:cs="Arial"/>
        </w:rPr>
        <w:t xml:space="preserve">, kuri </w:t>
      </w:r>
      <w:r>
        <w:rPr>
          <w:rFonts w:cs="Arial"/>
        </w:rPr>
        <w:t xml:space="preserve">jam buvo skirta </w:t>
      </w:r>
      <w:r w:rsidRPr="00092B89">
        <w:rPr>
          <w:rFonts w:cs="Arial"/>
        </w:rPr>
        <w:t xml:space="preserve">už </w:t>
      </w:r>
      <w:r>
        <w:rPr>
          <w:rFonts w:cs="Arial"/>
        </w:rPr>
        <w:t>nurodytos</w:t>
      </w:r>
      <w:r w:rsidRPr="00092B89">
        <w:rPr>
          <w:rFonts w:cs="Arial"/>
        </w:rPr>
        <w:t xml:space="preserve"> medžiagos turėjimą. </w:t>
      </w:r>
      <w:r>
        <w:rPr>
          <w:rFonts w:cs="Arial"/>
        </w:rPr>
        <w:t>T</w:t>
      </w:r>
      <w:r w:rsidRPr="00092B89">
        <w:rPr>
          <w:rFonts w:cs="Arial"/>
        </w:rPr>
        <w:t xml:space="preserve">eismas </w:t>
      </w:r>
      <w:r>
        <w:rPr>
          <w:rFonts w:cs="Arial"/>
        </w:rPr>
        <w:t>sprendė</w:t>
      </w:r>
      <w:r w:rsidRPr="00092B89">
        <w:rPr>
          <w:rFonts w:cs="Arial"/>
        </w:rPr>
        <w:t xml:space="preserve">, kad </w:t>
      </w:r>
      <w:r>
        <w:rPr>
          <w:rFonts w:cs="Arial"/>
        </w:rPr>
        <w:t xml:space="preserve">pareiškėjo </w:t>
      </w:r>
      <w:r w:rsidRPr="00092B89">
        <w:rPr>
          <w:rFonts w:cs="Arial"/>
        </w:rPr>
        <w:t>skundas turi būti nagrinėjamas pagal Konvencijos 8 straipsnį</w:t>
      </w:r>
      <w:r>
        <w:rPr>
          <w:rFonts w:cs="Arial"/>
        </w:rPr>
        <w:t>.</w:t>
      </w:r>
    </w:p>
    <w:p w14:paraId="3FC38E24" w14:textId="77777777" w:rsidR="00D63767" w:rsidRPr="007B5EFE" w:rsidRDefault="00D63767" w:rsidP="00F87300">
      <w:pPr>
        <w:spacing w:after="0" w:line="240" w:lineRule="auto"/>
        <w:ind w:right="-1" w:firstLine="567"/>
        <w:jc w:val="both"/>
        <w:rPr>
          <w:rStyle w:val="tlid-translation"/>
        </w:rPr>
      </w:pPr>
    </w:p>
    <w:p w14:paraId="4C30CBA0" w14:textId="77777777" w:rsidR="00D63767" w:rsidRPr="007B5EFE" w:rsidRDefault="00D63767" w:rsidP="00F87300">
      <w:pPr>
        <w:spacing w:after="0" w:line="240" w:lineRule="auto"/>
        <w:ind w:right="-1"/>
        <w:jc w:val="center"/>
        <w:rPr>
          <w:rFonts w:cs="Arial"/>
        </w:rPr>
      </w:pPr>
      <w:r w:rsidRPr="007B5EFE">
        <w:rPr>
          <w:rFonts w:cs="Arial"/>
          <w:b/>
        </w:rPr>
        <w:t>Neoficiali Teismo sprendimo apžvalga</w:t>
      </w:r>
    </w:p>
    <w:p w14:paraId="07009D15" w14:textId="77777777" w:rsidR="00D63767" w:rsidRDefault="00D63767" w:rsidP="00F87300">
      <w:pPr>
        <w:spacing w:after="0" w:line="240" w:lineRule="auto"/>
        <w:ind w:right="-1" w:firstLine="567"/>
        <w:jc w:val="both"/>
        <w:rPr>
          <w:rStyle w:val="tlid-translation"/>
        </w:rPr>
      </w:pPr>
    </w:p>
    <w:p w14:paraId="3D96EDF2" w14:textId="77777777" w:rsidR="00D63767" w:rsidRDefault="00D63767" w:rsidP="00F87300">
      <w:pPr>
        <w:spacing w:after="0" w:line="240" w:lineRule="auto"/>
        <w:ind w:right="-1" w:firstLine="567"/>
        <w:jc w:val="both"/>
      </w:pPr>
      <w:r>
        <w:t xml:space="preserve">Teismas </w:t>
      </w:r>
      <w:r w:rsidRPr="009C23A6">
        <w:t>pakartojo savo praktikoje išvystytą principą, kad ribojant įkalintų asmenų laisvę</w:t>
      </w:r>
      <w:r>
        <w:t xml:space="preserve"> j</w:t>
      </w:r>
      <w:r w:rsidRPr="009C23A6">
        <w:t xml:space="preserve">ie toliau naudojasi </w:t>
      </w:r>
      <w:r>
        <w:t>kit</w:t>
      </w:r>
      <w:r w:rsidRPr="009C23A6">
        <w:t>omis pagrindinėmis Konvencijoje įtvirtintomis teisėmis ir laisvėmis</w:t>
      </w:r>
      <w:r>
        <w:t xml:space="preserve">. </w:t>
      </w:r>
      <w:r w:rsidRPr="009C23A6">
        <w:t>Šių teisių ribojimai gali būti pateisinami, siekiant užtikrinti saugumą ar išvengti nusikaltimų bei neramumų, tačiau bet koks ribojimas turi būti pa</w:t>
      </w:r>
      <w:r>
        <w:t>grįstas</w:t>
      </w:r>
      <w:r w:rsidRPr="009C23A6">
        <w:t xml:space="preserve"> kiekvienu konkrečiu atveju</w:t>
      </w:r>
      <w:r>
        <w:t xml:space="preserve">. </w:t>
      </w:r>
      <w:r w:rsidRPr="009C23A6">
        <w:t>Konvencijos sistemoje, kur tolerancija ir platus mąstymas yra pripažinti demokratinės visuomenės bruožai</w:t>
      </w:r>
      <w:r>
        <w:t>s</w:t>
      </w:r>
      <w:r w:rsidRPr="009C23A6">
        <w:t>, nėra vietos automatiniam teisių atėmimui, grindžiamam vien tuo, kas gali įžeisti viešąją nuomonę.</w:t>
      </w:r>
    </w:p>
    <w:p w14:paraId="6233230C" w14:textId="6A90A52D" w:rsidR="00D63767" w:rsidRDefault="00D63767" w:rsidP="00F87300">
      <w:pPr>
        <w:spacing w:after="0" w:line="240" w:lineRule="auto"/>
        <w:ind w:right="-1" w:firstLine="567"/>
        <w:jc w:val="both"/>
      </w:pPr>
      <w:r>
        <w:t>Teismas pabrėžė, kad aplinkybė</w:t>
      </w:r>
      <w:r w:rsidRPr="00574955">
        <w:t xml:space="preserve">, </w:t>
      </w:r>
      <w:r>
        <w:t>jog</w:t>
      </w:r>
      <w:r w:rsidRPr="00574955">
        <w:t xml:space="preserve"> atitinkam</w:t>
      </w:r>
      <w:r>
        <w:t>oje</w:t>
      </w:r>
      <w:r w:rsidRPr="00574955">
        <w:t xml:space="preserve"> kalėjimų sistem</w:t>
      </w:r>
      <w:r>
        <w:t xml:space="preserve">oje, kurioje pareiškėjas atliko laisvės atėmimo iki gyvos galvos bausmę, </w:t>
      </w:r>
      <w:r w:rsidRPr="00574955">
        <w:t>ne</w:t>
      </w:r>
      <w:r>
        <w:t xml:space="preserve">buvo </w:t>
      </w:r>
      <w:r w:rsidRPr="00574955">
        <w:t>leid</w:t>
      </w:r>
      <w:r>
        <w:t>žiami</w:t>
      </w:r>
      <w:r w:rsidRPr="00574955">
        <w:t xml:space="preserve"> susitiki</w:t>
      </w:r>
      <w:r>
        <w:t>mai</w:t>
      </w:r>
      <w:r w:rsidRPr="00574955">
        <w:t xml:space="preserve"> su sutuoktiniu, </w:t>
      </w:r>
      <w:r>
        <w:t>yra</w:t>
      </w:r>
      <w:r w:rsidRPr="00574955">
        <w:t xml:space="preserve"> konteksto, kuriame tur</w:t>
      </w:r>
      <w:r>
        <w:t>i</w:t>
      </w:r>
      <w:r w:rsidRPr="00574955">
        <w:t xml:space="preserve"> būti vertinamas ginčijamas pareiškėjo gebėjimo gyventi seksualinį gyvenimą apribojimas, dalis.</w:t>
      </w:r>
      <w:r>
        <w:t xml:space="preserve"> Byloje nebuvo ginčijama, kad </w:t>
      </w:r>
      <w:r w:rsidRPr="00574955">
        <w:t>pareiškėjas laikė spausdintinę medžiagą, kuri galėjo būti naudojama kaip autoeroti</w:t>
      </w:r>
      <w:r>
        <w:t>nis</w:t>
      </w:r>
      <w:r w:rsidRPr="00574955">
        <w:t xml:space="preserve"> stimuliatorius </w:t>
      </w:r>
      <w:r>
        <w:t>j</w:t>
      </w:r>
      <w:r w:rsidRPr="00574955">
        <w:t xml:space="preserve">o </w:t>
      </w:r>
      <w:r w:rsidRPr="001C062C">
        <w:t>privat</w:t>
      </w:r>
      <w:r>
        <w:t>a</w:t>
      </w:r>
      <w:r w:rsidRPr="001C062C">
        <w:t>us gyvenim</w:t>
      </w:r>
      <w:r>
        <w:t>o</w:t>
      </w:r>
      <w:r w:rsidRPr="001C062C">
        <w:t xml:space="preserve"> sfer</w:t>
      </w:r>
      <w:r>
        <w:t>oje</w:t>
      </w:r>
      <w:r w:rsidRPr="00574955">
        <w:t>.</w:t>
      </w:r>
      <w:r>
        <w:t xml:space="preserve"> Taigi</w:t>
      </w:r>
      <w:r w:rsidRPr="000E506B">
        <w:t xml:space="preserve"> byloje ne</w:t>
      </w:r>
      <w:r>
        <w:t>kilo</w:t>
      </w:r>
      <w:r w:rsidRPr="000E506B">
        <w:t xml:space="preserve"> jokių pozityvių įsipareigojimų, susijusių su </w:t>
      </w:r>
      <w:r>
        <w:t>šia teise</w:t>
      </w:r>
      <w:r w:rsidR="00FE0B67">
        <w:t>,</w:t>
      </w:r>
      <w:r>
        <w:t xml:space="preserve"> nei</w:t>
      </w:r>
      <w:r w:rsidRPr="000E506B">
        <w:t xml:space="preserve"> apskritai</w:t>
      </w:r>
      <w:r>
        <w:t xml:space="preserve">, nei </w:t>
      </w:r>
      <w:r w:rsidRPr="00972935">
        <w:rPr>
          <w:i/>
          <w:lang w:val="en-GB"/>
        </w:rPr>
        <w:t>in concreto</w:t>
      </w:r>
      <w:r w:rsidRPr="000E506B">
        <w:t xml:space="preserve"> klausimo.</w:t>
      </w:r>
      <w:r>
        <w:t xml:space="preserve"> </w:t>
      </w:r>
      <w:r w:rsidRPr="00574955">
        <w:t>Teismas pažymėjo, kad tokios medžiagos turėjimas paprastai neprieštarauja valstybės atsakovės įstatymams. Tačiau konkrečioje pareiškėjo situacijoje tai buvo draudžiama</w:t>
      </w:r>
      <w:r>
        <w:t xml:space="preserve"> taikant nacionalinę taisyklę, pagal kurią tokia </w:t>
      </w:r>
      <w:r w:rsidRPr="00BB278C">
        <w:t>medžiag</w:t>
      </w:r>
      <w:r>
        <w:t xml:space="preserve">a buvo konfiskuota ir pareiškėjui </w:t>
      </w:r>
      <w:r w:rsidRPr="00BB278C">
        <w:t>skir</w:t>
      </w:r>
      <w:r>
        <w:t>t</w:t>
      </w:r>
      <w:r w:rsidRPr="00BB278C">
        <w:t>a drausmin</w:t>
      </w:r>
      <w:r>
        <w:t>ė</w:t>
      </w:r>
      <w:r w:rsidRPr="00BB278C">
        <w:t xml:space="preserve"> nuobaud</w:t>
      </w:r>
      <w:r>
        <w:t xml:space="preserve">a. Šiomis aplinkybėmis Teismas sprendė, kad </w:t>
      </w:r>
      <w:r w:rsidRPr="003650C9">
        <w:t>bylos faktai patenka į Konvencijos 8 straipsnyje numatytos teisės į privataus gyvenimo gerbimą materialiąją taikymo sritį</w:t>
      </w:r>
      <w:r>
        <w:t>, o minėt</w:t>
      </w:r>
      <w:r w:rsidRPr="003650C9">
        <w:t xml:space="preserve">os medžiagos paėmimas iš pareiškėjo ir </w:t>
      </w:r>
      <w:r>
        <w:t>drausminės nuobaudos už jos turėjimą skyrimas</w:t>
      </w:r>
      <w:r w:rsidRPr="003650C9">
        <w:t xml:space="preserve"> buvo </w:t>
      </w:r>
      <w:r>
        <w:t>kišimasis į šią</w:t>
      </w:r>
      <w:r w:rsidRPr="003650C9">
        <w:t xml:space="preserve"> teis</w:t>
      </w:r>
      <w:r>
        <w:t>ę</w:t>
      </w:r>
      <w:r w:rsidRPr="003650C9">
        <w:t>.</w:t>
      </w:r>
    </w:p>
    <w:p w14:paraId="5ED45DCC" w14:textId="77777777" w:rsidR="00D63767" w:rsidRDefault="00D63767" w:rsidP="00F87300">
      <w:pPr>
        <w:spacing w:after="0" w:line="240" w:lineRule="auto"/>
        <w:ind w:right="-1" w:firstLine="567"/>
        <w:jc w:val="both"/>
      </w:pPr>
      <w:r>
        <w:t xml:space="preserve">Teismas nustatė, kad minėtas ribojimas buvo numatytas </w:t>
      </w:r>
      <w:r w:rsidRPr="003E608A">
        <w:t>pagal įstatymą</w:t>
      </w:r>
      <w:r>
        <w:t xml:space="preserve">, tačiau </w:t>
      </w:r>
      <w:r w:rsidRPr="003E608A">
        <w:t>išreiškė abejon</w:t>
      </w:r>
      <w:r>
        <w:t>es</w:t>
      </w:r>
      <w:r w:rsidRPr="003E608A">
        <w:t>, ar ginčijama priemone iš tikrųjų buvo siekiama k</w:t>
      </w:r>
      <w:r>
        <w:t>urio</w:t>
      </w:r>
      <w:r w:rsidRPr="003E608A">
        <w:t xml:space="preserve"> nors iš Vyriausybės </w:t>
      </w:r>
      <w:r>
        <w:t>nurodyt</w:t>
      </w:r>
      <w:r w:rsidRPr="003E608A">
        <w:t xml:space="preserve">ų teisėtų tikslų </w:t>
      </w:r>
      <w:r>
        <w:t>– moralės</w:t>
      </w:r>
      <w:r w:rsidRPr="003E608A">
        <w:t xml:space="preserve"> apsaug</w:t>
      </w:r>
      <w:r>
        <w:t>os</w:t>
      </w:r>
      <w:r w:rsidRPr="003E608A">
        <w:t xml:space="preserve">, </w:t>
      </w:r>
      <w:r>
        <w:t>pažeidimų</w:t>
      </w:r>
      <w:r w:rsidRPr="003E608A">
        <w:t xml:space="preserve"> </w:t>
      </w:r>
      <w:r>
        <w:t>prevencijos</w:t>
      </w:r>
      <w:r w:rsidRPr="003E608A">
        <w:t xml:space="preserve"> </w:t>
      </w:r>
      <w:r>
        <w:t>a</w:t>
      </w:r>
      <w:r w:rsidRPr="003E608A">
        <w:t xml:space="preserve">r kitų asmenų teisių </w:t>
      </w:r>
      <w:r>
        <w:t xml:space="preserve">bei laisvių apsaugos. Šiuo aspektu Teismas pažymėjo, kad </w:t>
      </w:r>
      <w:r w:rsidRPr="004D4A8E">
        <w:t>pareiškėjui drausminė nuobauda buvo skirta už ginčijamos medžiagos, kurią jis laikė tik savo asmeninia</w:t>
      </w:r>
      <w:r>
        <w:t>m</w:t>
      </w:r>
      <w:r w:rsidRPr="004D4A8E">
        <w:t>s tiksla</w:t>
      </w:r>
      <w:r>
        <w:t>m</w:t>
      </w:r>
      <w:r w:rsidRPr="004D4A8E">
        <w:t xml:space="preserve">s, </w:t>
      </w:r>
      <w:r>
        <w:t>turėjimą</w:t>
      </w:r>
      <w:r w:rsidRPr="004D4A8E">
        <w:t xml:space="preserve">, ir nebuvo jokių </w:t>
      </w:r>
      <w:r>
        <w:t>požymi</w:t>
      </w:r>
      <w:r w:rsidRPr="004D4A8E">
        <w:t xml:space="preserve">ų, kad </w:t>
      </w:r>
      <w:r>
        <w:t>š</w:t>
      </w:r>
      <w:r w:rsidRPr="004D4A8E">
        <w:t>i</w:t>
      </w:r>
      <w:r>
        <w:t xml:space="preserve"> medžiaga buvo skirta ar galėjo būti perduota kitie</w:t>
      </w:r>
      <w:r w:rsidRPr="004D4A8E">
        <w:t>m</w:t>
      </w:r>
      <w:r>
        <w:t>s asmenims.</w:t>
      </w:r>
      <w:r w:rsidRPr="00032635">
        <w:t xml:space="preserve"> </w:t>
      </w:r>
      <w:r w:rsidRPr="004D4A8E">
        <w:t>Todėl tiek, kiek moralės, tvarkos ir kitų asmenų teisių bei laisvių sąvokos suponuoja treči</w:t>
      </w:r>
      <w:r>
        <w:t>ų</w:t>
      </w:r>
      <w:r w:rsidRPr="004D4A8E">
        <w:t>j</w:t>
      </w:r>
      <w:r>
        <w:t>ų asmenų</w:t>
      </w:r>
      <w:r w:rsidRPr="004D4A8E">
        <w:t xml:space="preserve"> dalyvavimą, jos neatrodo reikšmingos šios bylos faktinėms aplinkybėms.</w:t>
      </w:r>
      <w:r w:rsidRPr="00DF49D2">
        <w:t xml:space="preserve"> </w:t>
      </w:r>
      <w:r>
        <w:t xml:space="preserve">Vis dėlto, Teismas </w:t>
      </w:r>
      <w:r w:rsidRPr="00E67F0F">
        <w:t xml:space="preserve">nemanė, kad </w:t>
      </w:r>
      <w:r>
        <w:t xml:space="preserve">šiuo klausimu </w:t>
      </w:r>
      <w:r w:rsidRPr="00E67F0F">
        <w:t xml:space="preserve">būtina laikytis galutinės pozicijos, nes bet kuriuo atveju </w:t>
      </w:r>
      <w:r>
        <w:t>ginčijama priemonė</w:t>
      </w:r>
      <w:r w:rsidRPr="00E67F0F">
        <w:t xml:space="preserve"> nebuvo būtina demokratinėje visuomenėje</w:t>
      </w:r>
      <w:r>
        <w:t>.</w:t>
      </w:r>
    </w:p>
    <w:p w14:paraId="141F3E2B" w14:textId="77777777" w:rsidR="00D63767" w:rsidRDefault="00D63767" w:rsidP="00F87300">
      <w:pPr>
        <w:spacing w:after="0" w:line="240" w:lineRule="auto"/>
        <w:ind w:right="-1" w:firstLine="567"/>
        <w:jc w:val="both"/>
      </w:pPr>
      <w:r>
        <w:t>Teismas pažymėjo, kad šiuo atveju Slovakijos Konstitucinis Teismas pripažino, jog aptariamas ribojimas buvo absoliutus. Taip pat pripažinta, kad m</w:t>
      </w:r>
      <w:r w:rsidRPr="00940C76">
        <w:t xml:space="preserve">edžiagos </w:t>
      </w:r>
      <w:r>
        <w:t xml:space="preserve">su </w:t>
      </w:r>
      <w:r w:rsidRPr="00CE549B">
        <w:rPr>
          <w:rFonts w:cs="Arial"/>
        </w:rPr>
        <w:t>atvir</w:t>
      </w:r>
      <w:r>
        <w:rPr>
          <w:rFonts w:cs="Arial"/>
        </w:rPr>
        <w:t>o pobūdžio</w:t>
      </w:r>
      <w:r w:rsidRPr="00CE549B">
        <w:rPr>
          <w:rFonts w:cs="Arial"/>
        </w:rPr>
        <w:t xml:space="preserve"> turiniu</w:t>
      </w:r>
      <w:r w:rsidRPr="00940C76">
        <w:t xml:space="preserve"> turėjimas kalėjimo kontekste privatų suinteresuoto asmens interesą supriešina viešajam interesui.</w:t>
      </w:r>
      <w:r>
        <w:t xml:space="preserve"> </w:t>
      </w:r>
      <w:r w:rsidRPr="00E8653E">
        <w:t>K</w:t>
      </w:r>
      <w:r>
        <w:t>iek tai susiję su pirmuoju,</w:t>
      </w:r>
      <w:r w:rsidRPr="00E8653E">
        <w:t xml:space="preserve"> Konstitucinis </w:t>
      </w:r>
      <w:r w:rsidRPr="00E8653E">
        <w:lastRenderedPageBreak/>
        <w:t xml:space="preserve">Teismas, </w:t>
      </w:r>
      <w:r>
        <w:t>turėdamas omenyje</w:t>
      </w:r>
      <w:r w:rsidRPr="00E8653E">
        <w:t xml:space="preserve">, kad įkalinimas reiškia visišką intymaus kontakto su priešinga lytimi </w:t>
      </w:r>
      <w:r>
        <w:t>nebuvimą</w:t>
      </w:r>
      <w:r w:rsidRPr="00E8653E">
        <w:t xml:space="preserve">, pripažino, </w:t>
      </w:r>
      <w:r>
        <w:t>jog</w:t>
      </w:r>
      <w:r w:rsidRPr="00E8653E">
        <w:t xml:space="preserve"> pornografija gali būti autoerotinio pasitenkinimo stimulas.</w:t>
      </w:r>
    </w:p>
    <w:p w14:paraId="0DA0B00C" w14:textId="77777777" w:rsidR="00D63767" w:rsidRDefault="00D63767" w:rsidP="00F87300">
      <w:pPr>
        <w:spacing w:after="0" w:line="240" w:lineRule="auto"/>
        <w:ind w:right="-1" w:firstLine="567"/>
        <w:jc w:val="both"/>
      </w:pPr>
      <w:r>
        <w:t xml:space="preserve">Šiuo aspektu EŽTT papildomai atkreipė dėmesį į tai, kad konkrečiai pareiškėjo individualioje situacijoje, atsižvelgiant į jam skirtos </w:t>
      </w:r>
      <w:r w:rsidRPr="00083B34">
        <w:rPr>
          <w:rFonts w:cs="Arial"/>
        </w:rPr>
        <w:t xml:space="preserve">laisvės atėmimo </w:t>
      </w:r>
      <w:r>
        <w:t xml:space="preserve">bausmės pobūdį ir </w:t>
      </w:r>
      <w:r w:rsidRPr="00953C38">
        <w:t>Slovakijos kalėjimų sistemos organiza</w:t>
      </w:r>
      <w:r>
        <w:t>vim</w:t>
      </w:r>
      <w:r w:rsidRPr="00953C38">
        <w:t>ą</w:t>
      </w:r>
      <w:r>
        <w:t xml:space="preserve">, </w:t>
      </w:r>
      <w:r w:rsidRPr="0050438E">
        <w:t xml:space="preserve">bet kokio tiesioginio intymaus kontakto </w:t>
      </w:r>
      <w:r>
        <w:t>nebuvimas</w:t>
      </w:r>
      <w:r w:rsidRPr="0050438E">
        <w:t xml:space="preserve"> buvo ilgalaikis, jei ne nuolatinis.</w:t>
      </w:r>
      <w:r>
        <w:t xml:space="preserve"> Byloje nebuvo jokių </w:t>
      </w:r>
      <w:r w:rsidRPr="00B02270">
        <w:t>požymių</w:t>
      </w:r>
      <w:r>
        <w:t>, kad pareiškė</w:t>
      </w:r>
      <w:r w:rsidRPr="00B02270">
        <w:t>j</w:t>
      </w:r>
      <w:r>
        <w:t>a</w:t>
      </w:r>
      <w:r w:rsidRPr="00B02270">
        <w:t>s kada nors buvo nuteistas už seksualinį nusikaltimą arba</w:t>
      </w:r>
      <w:r>
        <w:t xml:space="preserve"> </w:t>
      </w:r>
      <w:r w:rsidRPr="00B02270">
        <w:t>kentė</w:t>
      </w:r>
      <w:r>
        <w:t>tų</w:t>
      </w:r>
      <w:r w:rsidRPr="00B02270">
        <w:t xml:space="preserve"> nuo kokios nors būklės, kai aptariama medžiaga galėtų sukelti </w:t>
      </w:r>
      <w:r>
        <w:t xml:space="preserve">jo </w:t>
      </w:r>
      <w:r w:rsidRPr="00B02270">
        <w:t>smurtinį ar kit</w:t>
      </w:r>
      <w:r>
        <w:t>okį</w:t>
      </w:r>
      <w:r w:rsidRPr="00B02270">
        <w:t xml:space="preserve"> netinkamą elgesį.</w:t>
      </w:r>
      <w:r>
        <w:t xml:space="preserve"> </w:t>
      </w:r>
      <w:r w:rsidRPr="00E95A66">
        <w:t xml:space="preserve">Be to, nebuvo jokių užuominų, kad </w:t>
      </w:r>
      <w:r>
        <w:t>pareiškėjo turėtoje</w:t>
      </w:r>
      <w:r w:rsidRPr="00E95A66">
        <w:t xml:space="preserve"> medžiagoje buvo kokių nors įstatymo draudžiamų elementų. Priešingai, tokio pobūdžio medžiaga buvo </w:t>
      </w:r>
      <w:r>
        <w:t>lengvai</w:t>
      </w:r>
      <w:r w:rsidRPr="00E95A66">
        <w:t xml:space="preserve"> prieinama suaugusie</w:t>
      </w:r>
      <w:r>
        <w:t>sie</w:t>
      </w:r>
      <w:r w:rsidRPr="00E95A66">
        <w:t xml:space="preserve">ms </w:t>
      </w:r>
      <w:r>
        <w:t>įprastinėse</w:t>
      </w:r>
      <w:r w:rsidRPr="00E95A66">
        <w:t xml:space="preserve"> spaud</w:t>
      </w:r>
      <w:r>
        <w:t>os</w:t>
      </w:r>
      <w:r w:rsidRPr="00E95A66">
        <w:t xml:space="preserve"> platin</w:t>
      </w:r>
      <w:r>
        <w:t>imo vietose tiek</w:t>
      </w:r>
      <w:r w:rsidRPr="00E95A66">
        <w:t xml:space="preserve"> valsty</w:t>
      </w:r>
      <w:r>
        <w:t>bėje atsakovėje, tiek</w:t>
      </w:r>
      <w:r w:rsidRPr="00E95A66">
        <w:t xml:space="preserve"> už jos ribų.</w:t>
      </w:r>
      <w:r>
        <w:t xml:space="preserve"> </w:t>
      </w:r>
      <w:r w:rsidRPr="00E95A66">
        <w:t xml:space="preserve">Medžiaga buvo laikoma pareiškėjo privačioje erdvėje ir buvo skirta išimtinai jo asmeniniam </w:t>
      </w:r>
      <w:r>
        <w:t>be</w:t>
      </w:r>
      <w:r w:rsidRPr="00E95A66">
        <w:t xml:space="preserve">i </w:t>
      </w:r>
      <w:r>
        <w:t>privač</w:t>
      </w:r>
      <w:r w:rsidRPr="00E95A66">
        <w:t xml:space="preserve">iam naudojimui šioje sferoje, </w:t>
      </w:r>
      <w:r>
        <w:t>konkrečiai –</w:t>
      </w:r>
      <w:r w:rsidRPr="00E95A66">
        <w:t xml:space="preserve"> jo kameroje, kurioje jis buvo </w:t>
      </w:r>
      <w:r>
        <w:t xml:space="preserve">laikomas </w:t>
      </w:r>
      <w:r w:rsidRPr="00E95A66">
        <w:t>vien</w:t>
      </w:r>
      <w:r>
        <w:t>as</w:t>
      </w:r>
      <w:r w:rsidRPr="00E95A66">
        <w:t>.</w:t>
      </w:r>
    </w:p>
    <w:p w14:paraId="688E6737" w14:textId="77777777" w:rsidR="00D63767" w:rsidRDefault="00D63767" w:rsidP="00F87300">
      <w:pPr>
        <w:spacing w:after="0" w:line="240" w:lineRule="auto"/>
        <w:ind w:right="-1" w:firstLine="567"/>
        <w:jc w:val="both"/>
      </w:pPr>
      <w:r>
        <w:t xml:space="preserve">Šiame kontekste Teismas </w:t>
      </w:r>
      <w:r w:rsidRPr="009D17F8">
        <w:t>sprendė, k</w:t>
      </w:r>
      <w:r>
        <w:t xml:space="preserve">ad </w:t>
      </w:r>
      <w:r w:rsidRPr="009D17F8">
        <w:t xml:space="preserve">santykinai nedidelis </w:t>
      </w:r>
      <w:r>
        <w:t>pareiškėjui skirtos drausminės nuobaudos</w:t>
      </w:r>
      <w:r w:rsidRPr="009D17F8">
        <w:t xml:space="preserve"> </w:t>
      </w:r>
      <w:r>
        <w:t>griežtumo laipsnis</w:t>
      </w:r>
      <w:r w:rsidRPr="009D17F8">
        <w:t xml:space="preserve"> n</w:t>
      </w:r>
      <w:r>
        <w:t>ėra</w:t>
      </w:r>
      <w:r w:rsidRPr="009D17F8">
        <w:t xml:space="preserve"> lemiamas</w:t>
      </w:r>
      <w:r>
        <w:t xml:space="preserve"> veiksnys</w:t>
      </w:r>
      <w:r w:rsidRPr="009D17F8">
        <w:t xml:space="preserve">, nes problemos esmė </w:t>
      </w:r>
      <w:r>
        <w:t>yra pats</w:t>
      </w:r>
      <w:r w:rsidRPr="009D17F8">
        <w:t xml:space="preserve"> draudimas, o ne sankcija. Be to, jei </w:t>
      </w:r>
      <w:r>
        <w:t xml:space="preserve">minėtas </w:t>
      </w:r>
      <w:r w:rsidRPr="009D17F8">
        <w:t>draudimas būtų pažeistas pakartotinai, sankcija būtų griežtesnė.</w:t>
      </w:r>
    </w:p>
    <w:p w14:paraId="3A1AA54A" w14:textId="77777777" w:rsidR="00D63767" w:rsidRDefault="00D63767" w:rsidP="00F87300">
      <w:pPr>
        <w:spacing w:after="0" w:line="240" w:lineRule="auto"/>
        <w:ind w:right="-1" w:firstLine="567"/>
        <w:jc w:val="both"/>
      </w:pPr>
      <w:r w:rsidRPr="005258B0">
        <w:t>Dėl vieš</w:t>
      </w:r>
      <w:r>
        <w:t>ojo intereso</w:t>
      </w:r>
      <w:r w:rsidRPr="005258B0">
        <w:t xml:space="preserve">, </w:t>
      </w:r>
      <w:r>
        <w:t>o konkrečiai – moralės apsaugos, Teismas pažymėjo</w:t>
      </w:r>
      <w:r w:rsidRPr="005258B0">
        <w:t>, kad Susitariančiųjų Šalių teisinėje ir socialinėje santvarkoje neįmanoma rasti vien</w:t>
      </w:r>
      <w:r>
        <w:t>ingos</w:t>
      </w:r>
      <w:r w:rsidRPr="005258B0">
        <w:t xml:space="preserve"> europinės moralės sampratos. </w:t>
      </w:r>
      <w:r>
        <w:t>Todėl</w:t>
      </w:r>
      <w:r w:rsidRPr="005258B0">
        <w:t xml:space="preserve"> </w:t>
      </w:r>
      <w:r>
        <w:t xml:space="preserve">nacionalinės </w:t>
      </w:r>
      <w:r w:rsidRPr="005258B0">
        <w:t>val</w:t>
      </w:r>
      <w:r>
        <w:t>džios</w:t>
      </w:r>
      <w:r w:rsidRPr="005258B0">
        <w:t xml:space="preserve"> institucijos iš principo </w:t>
      </w:r>
      <w:r>
        <w:t xml:space="preserve">gali geriau apibrėžti </w:t>
      </w:r>
      <w:r w:rsidRPr="005258B0">
        <w:t xml:space="preserve">tikslų šių reikalavimų turinį, taip pat </w:t>
      </w:r>
      <w:r>
        <w:t>atitinkamų „ribojimų</w:t>
      </w:r>
      <w:r w:rsidRPr="005258B0">
        <w:t>“</w:t>
      </w:r>
      <w:r>
        <w:t xml:space="preserve"> ar „sankcijų“ šiems</w:t>
      </w:r>
      <w:r w:rsidRPr="005258B0">
        <w:t xml:space="preserve"> reikalavimams </w:t>
      </w:r>
      <w:r>
        <w:t>užtikrinti „būtinumą</w:t>
      </w:r>
      <w:r w:rsidRPr="005258B0">
        <w:t>“</w:t>
      </w:r>
      <w:r>
        <w:t xml:space="preserve">. Taigi </w:t>
      </w:r>
      <w:r w:rsidRPr="00EE7632">
        <w:t>Susitarianči</w:t>
      </w:r>
      <w:r>
        <w:t>ųjų Šalių</w:t>
      </w:r>
      <w:r w:rsidRPr="00EE7632">
        <w:t xml:space="preserve"> vertinimo laisvė, susijusi su moralės apsaugos priemonėmis, </w:t>
      </w:r>
      <w:r>
        <w:t>yra</w:t>
      </w:r>
      <w:r w:rsidRPr="00EE7632">
        <w:t xml:space="preserve"> plati.</w:t>
      </w:r>
      <w:r w:rsidRPr="005A19E8">
        <w:t xml:space="preserve"> Tačiau</w:t>
      </w:r>
      <w:r>
        <w:t xml:space="preserve"> </w:t>
      </w:r>
      <w:r w:rsidRPr="005A19E8">
        <w:t xml:space="preserve">bet </w:t>
      </w:r>
      <w:r>
        <w:t>koks Konvencijoje įtvirtintų</w:t>
      </w:r>
      <w:r w:rsidRPr="0071345A">
        <w:t xml:space="preserve"> kalinių teisių apribojimas negali būti </w:t>
      </w:r>
      <w:r w:rsidRPr="005A19E8">
        <w:t xml:space="preserve">grindžiamas </w:t>
      </w:r>
      <w:r w:rsidRPr="0071345A">
        <w:t>vien tuo, ka</w:t>
      </w:r>
      <w:r>
        <w:t>s</w:t>
      </w:r>
      <w:r w:rsidRPr="0071345A">
        <w:t xml:space="preserve"> įžeistų viešąją nuomonę</w:t>
      </w:r>
      <w:r>
        <w:t>.</w:t>
      </w:r>
    </w:p>
    <w:p w14:paraId="2B43C879" w14:textId="77777777" w:rsidR="00D63767" w:rsidRDefault="00D63767" w:rsidP="00F87300">
      <w:pPr>
        <w:spacing w:after="0" w:line="240" w:lineRule="auto"/>
        <w:ind w:right="-1" w:firstLine="567"/>
        <w:jc w:val="both"/>
      </w:pPr>
      <w:r w:rsidRPr="00687E8F">
        <w:t>K</w:t>
      </w:r>
      <w:r>
        <w:t>iek tai susiję su</w:t>
      </w:r>
      <w:r w:rsidRPr="00687E8F">
        <w:t xml:space="preserve"> </w:t>
      </w:r>
      <w:r>
        <w:t>pažeidimų prevencija</w:t>
      </w:r>
      <w:r w:rsidRPr="00687E8F">
        <w:t xml:space="preserve"> kalėjime ir kitų asmenų teisių </w:t>
      </w:r>
      <w:r>
        <w:t>be</w:t>
      </w:r>
      <w:r w:rsidRPr="00687E8F">
        <w:t>i</w:t>
      </w:r>
      <w:r>
        <w:t xml:space="preserve"> laisvių apsauga</w:t>
      </w:r>
      <w:r w:rsidRPr="00687E8F">
        <w:t xml:space="preserve">, </w:t>
      </w:r>
      <w:r>
        <w:t xml:space="preserve">Teismas pažymėjo, kad byloje </w:t>
      </w:r>
      <w:r w:rsidRPr="00687E8F">
        <w:t xml:space="preserve">nebuvo pateikta jokių konkrečių pavyzdžių, patvirtinančių teiginį, </w:t>
      </w:r>
      <w:r>
        <w:t>jog</w:t>
      </w:r>
      <w:r w:rsidRPr="00687E8F">
        <w:t xml:space="preserve"> suaugusiesiems skirto turinio</w:t>
      </w:r>
      <w:r w:rsidRPr="007A1D6B">
        <w:t xml:space="preserve"> </w:t>
      </w:r>
      <w:r w:rsidRPr="00687E8F">
        <w:t xml:space="preserve">turėjimas, kaip pareiškėjo atveju, kėlė </w:t>
      </w:r>
      <w:r>
        <w:t>reali</w:t>
      </w:r>
      <w:r w:rsidRPr="00687E8F">
        <w:t xml:space="preserve">ą riziką </w:t>
      </w:r>
      <w:r>
        <w:t>nurodytoms vertybėm</w:t>
      </w:r>
      <w:r w:rsidRPr="00687E8F">
        <w:t>s.</w:t>
      </w:r>
      <w:r>
        <w:t xml:space="preserve"> Dėl l</w:t>
      </w:r>
      <w:r w:rsidRPr="00D27C2A">
        <w:t>aisvės atėmimo bausm</w:t>
      </w:r>
      <w:r>
        <w:t>e</w:t>
      </w:r>
      <w:r w:rsidRPr="00D27C2A">
        <w:t xml:space="preserve"> </w:t>
      </w:r>
      <w:r>
        <w:t>siekiamų</w:t>
      </w:r>
      <w:r w:rsidRPr="00D27C2A">
        <w:t xml:space="preserve"> reabilitacijos ir reintegracijos </w:t>
      </w:r>
      <w:r>
        <w:t xml:space="preserve">tikslų Teismas pastebėjo, kad </w:t>
      </w:r>
      <w:r w:rsidRPr="007A1D6B">
        <w:t>tai pripažįstama</w:t>
      </w:r>
      <w:r w:rsidRPr="00D27C2A">
        <w:t xml:space="preserve"> nacionaliniu lygmeniu </w:t>
      </w:r>
      <w:r>
        <w:t>ir</w:t>
      </w:r>
      <w:r w:rsidRPr="00D27C2A">
        <w:t xml:space="preserve"> kaliniams draudžiama laikyti su šia</w:t>
      </w:r>
      <w:r>
        <w:t>is tikslais</w:t>
      </w:r>
      <w:r w:rsidRPr="00D27C2A">
        <w:t xml:space="preserve"> nesuderinamus daiktus.</w:t>
      </w:r>
      <w:r w:rsidRPr="00FE54F4">
        <w:t xml:space="preserve"> </w:t>
      </w:r>
      <w:r w:rsidRPr="00D27C2A">
        <w:t xml:space="preserve">Tačiau </w:t>
      </w:r>
      <w:r>
        <w:t>sprendžiant dėl</w:t>
      </w:r>
      <w:r w:rsidRPr="001B77D3">
        <w:t xml:space="preserve"> </w:t>
      </w:r>
      <w:r>
        <w:t>drausminės nuobaudos</w:t>
      </w:r>
      <w:r w:rsidRPr="00622261">
        <w:t xml:space="preserve"> </w:t>
      </w:r>
      <w:r w:rsidRPr="00D27C2A">
        <w:t xml:space="preserve">už ginčijamos medžiagos </w:t>
      </w:r>
      <w:r>
        <w:t xml:space="preserve">turėjimą skyrimo pareiškėjui </w:t>
      </w:r>
      <w:r w:rsidRPr="00D27C2A">
        <w:t>šiuo konkrečiu pagrindu nacionalini</w:t>
      </w:r>
      <w:r>
        <w:t>ame procese</w:t>
      </w:r>
      <w:r w:rsidRPr="00D27C2A">
        <w:t xml:space="preserve"> nebuvo remtasi.</w:t>
      </w:r>
    </w:p>
    <w:p w14:paraId="626E9376" w14:textId="77777777" w:rsidR="00D63767" w:rsidRDefault="00D63767" w:rsidP="00F87300">
      <w:pPr>
        <w:spacing w:after="0" w:line="240" w:lineRule="auto"/>
        <w:ind w:right="-1" w:firstLine="567"/>
        <w:jc w:val="both"/>
      </w:pPr>
      <w:r w:rsidRPr="00E85A99">
        <w:t>Galiausiai</w:t>
      </w:r>
      <w:r>
        <w:t>,</w:t>
      </w:r>
      <w:r w:rsidRPr="00E85A99">
        <w:t xml:space="preserve"> nebuvo </w:t>
      </w:r>
      <w:r>
        <w:t xml:space="preserve">užtikrinta </w:t>
      </w:r>
      <w:r w:rsidRPr="00E85A99">
        <w:t>konkuruojančių individualių ir viešųjų interesų pusiausvyr</w:t>
      </w:r>
      <w:r>
        <w:t>a, kadangi</w:t>
      </w:r>
      <w:r w:rsidRPr="00E85A99">
        <w:t xml:space="preserve"> </w:t>
      </w:r>
      <w:r>
        <w:t>n</w:t>
      </w:r>
      <w:r w:rsidRPr="00E85A99">
        <w:t xml:space="preserve">ebuvo įstatyminės galimybės atsižvelgti į jokius individualius interesus, </w:t>
      </w:r>
      <w:r>
        <w:t xml:space="preserve">o </w:t>
      </w:r>
      <w:r w:rsidRPr="00E85A99">
        <w:t xml:space="preserve">kalėjimo administracija praktiškai negalėjo diferencijuotai nagrinėti </w:t>
      </w:r>
      <w:r>
        <w:t>kiekvieną individualų atvejį.</w:t>
      </w:r>
      <w:r w:rsidRPr="00C64C5C">
        <w:t xml:space="preserve"> </w:t>
      </w:r>
      <w:r>
        <w:t>Slovakijos</w:t>
      </w:r>
      <w:r w:rsidRPr="00E85A99">
        <w:t xml:space="preserve"> Konstitucinis Teismas</w:t>
      </w:r>
      <w:r>
        <w:t xml:space="preserve"> taip pat pripažino</w:t>
      </w:r>
      <w:r w:rsidRPr="00E85A99">
        <w:t>, kad</w:t>
      </w:r>
      <w:r w:rsidRPr="00940DD4">
        <w:t xml:space="preserve"> </w:t>
      </w:r>
      <w:r w:rsidRPr="00E85A99">
        <w:t>jis neturi teisės spręsti problemos reaguodamas į</w:t>
      </w:r>
      <w:r>
        <w:t xml:space="preserve"> individualų</w:t>
      </w:r>
      <w:r w:rsidRPr="00E85A99">
        <w:t xml:space="preserve"> </w:t>
      </w:r>
      <w:r>
        <w:t>pareiškėjo</w:t>
      </w:r>
      <w:r w:rsidRPr="00E85A99">
        <w:t xml:space="preserve"> skundą, darant prielaidą, </w:t>
      </w:r>
      <w:r>
        <w:t>jog</w:t>
      </w:r>
      <w:r w:rsidRPr="00940DD4">
        <w:t xml:space="preserve"> </w:t>
      </w:r>
      <w:r w:rsidRPr="00E85A99">
        <w:t>įstatymų leidėja</w:t>
      </w:r>
      <w:r>
        <w:t>s</w:t>
      </w:r>
      <w:r w:rsidRPr="00E85A99">
        <w:t xml:space="preserve"> savo priimtus teisės aktus </w:t>
      </w:r>
      <w:r>
        <w:t>būtų pa</w:t>
      </w:r>
      <w:r w:rsidRPr="00E85A99">
        <w:t>grind</w:t>
      </w:r>
      <w:r>
        <w:t>ęs</w:t>
      </w:r>
      <w:r w:rsidRPr="00E85A99">
        <w:t xml:space="preserve"> reikiamu ekspertiniu vertinimu. Tačiau ši prielaida nebuvo pagrįsta jokiu faktiniu ekspert</w:t>
      </w:r>
      <w:r>
        <w:t>iniu</w:t>
      </w:r>
      <w:r w:rsidRPr="00E85A99">
        <w:t xml:space="preserve"> vertinimu.</w:t>
      </w:r>
    </w:p>
    <w:p w14:paraId="471BF6F9" w14:textId="77777777" w:rsidR="00D63767" w:rsidRDefault="00D63767" w:rsidP="00F87300">
      <w:pPr>
        <w:spacing w:after="0" w:line="240" w:lineRule="auto"/>
        <w:ind w:right="-1" w:firstLine="567"/>
        <w:jc w:val="both"/>
      </w:pPr>
      <w:r>
        <w:t xml:space="preserve">Taigi, aptariamas ribojimas buvo </w:t>
      </w:r>
      <w:r w:rsidRPr="004D5F3A">
        <w:t xml:space="preserve">bendro </w:t>
      </w:r>
      <w:r>
        <w:t xml:space="preserve">pobūdžio </w:t>
      </w:r>
      <w:r w:rsidRPr="004D5F3A">
        <w:t>ir absoliutus</w:t>
      </w:r>
      <w:r>
        <w:t xml:space="preserve">, </w:t>
      </w:r>
      <w:r w:rsidRPr="00C97862">
        <w:t xml:space="preserve">neleidžiantis </w:t>
      </w:r>
      <w:r>
        <w:t xml:space="preserve">įvertinti jo </w:t>
      </w:r>
      <w:r w:rsidRPr="00C97862">
        <w:t xml:space="preserve">proporcingumo konkrečiu </w:t>
      </w:r>
      <w:r>
        <w:t xml:space="preserve">individualiu </w:t>
      </w:r>
      <w:r w:rsidRPr="00C97862">
        <w:t>atveju</w:t>
      </w:r>
      <w:r>
        <w:t>.</w:t>
      </w:r>
      <w:r w:rsidRPr="002F079D">
        <w:t xml:space="preserve"> </w:t>
      </w:r>
      <w:r w:rsidRPr="00C97862">
        <w:t>T</w:t>
      </w:r>
      <w:r>
        <w:t>eismas sprendė, kad t</w:t>
      </w:r>
      <w:r w:rsidRPr="00C97862">
        <w:t xml:space="preserve">okio vertinimo </w:t>
      </w:r>
      <w:r>
        <w:t>trūkumas</w:t>
      </w:r>
      <w:r w:rsidRPr="00C97862">
        <w:t xml:space="preserve"> tiek įstatymų leidybos lygmeniu, tiek dėl pareiškėjo individualaus atvejo nepateko į priimtin</w:t>
      </w:r>
      <w:r>
        <w:t>as</w:t>
      </w:r>
      <w:r w:rsidRPr="00C97862">
        <w:t xml:space="preserve"> vertinimo</w:t>
      </w:r>
      <w:r>
        <w:t xml:space="preserve"> laisvės</w:t>
      </w:r>
      <w:r w:rsidRPr="00C97862">
        <w:t xml:space="preserve"> rib</w:t>
      </w:r>
      <w:r>
        <w:t>as</w:t>
      </w:r>
      <w:r w:rsidRPr="00C97862">
        <w:t>, todėl nebuvo pasiekta teisinga pusiausvyra tarp konkuruojančių vieš</w:t>
      </w:r>
      <w:r>
        <w:t>ų</w:t>
      </w:r>
      <w:r w:rsidRPr="00C97862">
        <w:t>j</w:t>
      </w:r>
      <w:r>
        <w:t>ų</w:t>
      </w:r>
      <w:r w:rsidRPr="00C97862">
        <w:t xml:space="preserve"> ir priva</w:t>
      </w:r>
      <w:r>
        <w:t>čių</w:t>
      </w:r>
      <w:r w:rsidRPr="00C97862">
        <w:t xml:space="preserve"> interesų</w:t>
      </w:r>
      <w:r>
        <w:t>. Atsižvelgiant į tai, konstatuotas Konvencijos 8 straipsnio pažeidimas.</w:t>
      </w:r>
    </w:p>
    <w:p w14:paraId="16DE97E2" w14:textId="77777777" w:rsidR="00D63767" w:rsidRDefault="00D63767" w:rsidP="00F87300">
      <w:pPr>
        <w:spacing w:after="0" w:line="240" w:lineRule="auto"/>
        <w:ind w:right="-1" w:firstLine="567"/>
        <w:jc w:val="both"/>
        <w:rPr>
          <w:rStyle w:val="tlid-translation"/>
        </w:rPr>
      </w:pPr>
    </w:p>
    <w:p w14:paraId="74758261" w14:textId="77777777" w:rsidR="00D63767" w:rsidRDefault="00D63767" w:rsidP="00F87300">
      <w:pPr>
        <w:spacing w:after="0" w:line="240" w:lineRule="auto"/>
        <w:ind w:right="-1" w:firstLine="567"/>
        <w:jc w:val="both"/>
        <w:rPr>
          <w:rFonts w:cstheme="minorHAnsi"/>
        </w:rPr>
      </w:pPr>
      <w:r w:rsidRPr="007B5EFE">
        <w:rPr>
          <w:rFonts w:cstheme="minorHAnsi"/>
        </w:rPr>
        <w:t xml:space="preserve">Išvada: nustatytas Konvencijos </w:t>
      </w:r>
      <w:r>
        <w:rPr>
          <w:rFonts w:cstheme="minorHAnsi"/>
        </w:rPr>
        <w:t>8</w:t>
      </w:r>
      <w:r w:rsidRPr="007B5EFE">
        <w:rPr>
          <w:rFonts w:cstheme="minorHAnsi"/>
        </w:rPr>
        <w:t xml:space="preserve"> straipsnio pažeidimas (</w:t>
      </w:r>
      <w:r>
        <w:rPr>
          <w:rFonts w:cstheme="minorHAnsi"/>
        </w:rPr>
        <w:t>5 balsais prieš 2</w:t>
      </w:r>
      <w:r w:rsidRPr="007B5EFE">
        <w:rPr>
          <w:rFonts w:cstheme="minorHAnsi"/>
        </w:rPr>
        <w:t>).</w:t>
      </w:r>
    </w:p>
    <w:p w14:paraId="5B17B5CD" w14:textId="77777777" w:rsidR="00D63767" w:rsidRDefault="00D63767" w:rsidP="00F87300">
      <w:pPr>
        <w:spacing w:after="0" w:line="240" w:lineRule="auto"/>
        <w:ind w:right="-1" w:firstLine="567"/>
        <w:jc w:val="both"/>
        <w:rPr>
          <w:rFonts w:cstheme="minorHAnsi"/>
        </w:rPr>
      </w:pPr>
      <w:r w:rsidRPr="00536624">
        <w:rPr>
          <w:rFonts w:cstheme="minorHAnsi"/>
        </w:rPr>
        <w:t>41 straipsnis: priteista</w:t>
      </w:r>
      <w:r>
        <w:rPr>
          <w:rFonts w:cstheme="minorHAnsi"/>
        </w:rPr>
        <w:t>s</w:t>
      </w:r>
      <w:r w:rsidRPr="00536624">
        <w:rPr>
          <w:rFonts w:cstheme="minorHAnsi"/>
        </w:rPr>
        <w:t xml:space="preserve"> </w:t>
      </w:r>
      <w:r>
        <w:rPr>
          <w:rFonts w:cstheme="minorHAnsi"/>
        </w:rPr>
        <w:t>2 6</w:t>
      </w:r>
      <w:r w:rsidRPr="00536624">
        <w:rPr>
          <w:rFonts w:cstheme="minorHAnsi"/>
        </w:rPr>
        <w:t>00 Eur neturtinės žalos</w:t>
      </w:r>
      <w:r>
        <w:rPr>
          <w:rFonts w:cstheme="minorHAnsi"/>
        </w:rPr>
        <w:t xml:space="preserve"> </w:t>
      </w:r>
      <w:r w:rsidRPr="00536624">
        <w:rPr>
          <w:rFonts w:cstheme="minorHAnsi"/>
        </w:rPr>
        <w:t>atlyginim</w:t>
      </w:r>
      <w:r>
        <w:rPr>
          <w:rFonts w:cstheme="minorHAnsi"/>
        </w:rPr>
        <w:t>as</w:t>
      </w:r>
      <w:r w:rsidRPr="00536624">
        <w:rPr>
          <w:rFonts w:cstheme="minorHAnsi"/>
        </w:rPr>
        <w:t>.</w:t>
      </w:r>
    </w:p>
    <w:p w14:paraId="37A66F56" w14:textId="77777777" w:rsidR="00D63767" w:rsidRPr="00EE0FC1" w:rsidRDefault="00D63767" w:rsidP="00F87300">
      <w:pPr>
        <w:pStyle w:val="Betarp"/>
        <w:ind w:right="-1" w:firstLine="567"/>
        <w:jc w:val="both"/>
      </w:pPr>
      <w:r w:rsidRPr="00EE0FC1">
        <w:t>Pateikt</w:t>
      </w:r>
      <w:r>
        <w:t xml:space="preserve">os dviejų teisėjų </w:t>
      </w:r>
      <w:r w:rsidRPr="00EE0FC1">
        <w:t>atskiro</w:t>
      </w:r>
      <w:r>
        <w:t>sios</w:t>
      </w:r>
      <w:r w:rsidRPr="00EE0FC1">
        <w:t xml:space="preserve"> nuomonė</w:t>
      </w:r>
      <w:r>
        <w:t>s</w:t>
      </w:r>
      <w:r w:rsidRPr="00EE0FC1">
        <w:t>.</w:t>
      </w:r>
    </w:p>
    <w:p w14:paraId="070A055F" w14:textId="5BD97C0F" w:rsidR="00D63767" w:rsidRDefault="00000000" w:rsidP="00F87300">
      <w:pPr>
        <w:spacing w:after="0" w:line="240" w:lineRule="auto"/>
        <w:ind w:right="-1" w:firstLine="567"/>
        <w:rPr>
          <w:rStyle w:val="Hipersaitas"/>
          <w:rFonts w:cs="Arial"/>
        </w:rPr>
      </w:pPr>
      <w:hyperlink r:id="rId15" w:history="1">
        <w:r w:rsidR="00D63767" w:rsidRPr="007B5EFE">
          <w:rPr>
            <w:rStyle w:val="Hipersaitas"/>
            <w:rFonts w:cs="Arial"/>
          </w:rPr>
          <w:t>Prieiga internete</w:t>
        </w:r>
      </w:hyperlink>
    </w:p>
    <w:p w14:paraId="3C02AEB4" w14:textId="77777777" w:rsidR="006424CA" w:rsidRDefault="006424CA" w:rsidP="00F87300">
      <w:pPr>
        <w:spacing w:after="0" w:line="240" w:lineRule="auto"/>
        <w:ind w:right="-1" w:firstLine="567"/>
        <w:rPr>
          <w:rStyle w:val="Hipersaitas"/>
          <w:rFonts w:cs="Arial"/>
        </w:rPr>
      </w:pPr>
    </w:p>
    <w:p w14:paraId="58054AFC" w14:textId="77777777" w:rsidR="006424CA" w:rsidRPr="007B5EFE" w:rsidRDefault="006424CA" w:rsidP="006424CA">
      <w:pPr>
        <w:spacing w:after="0" w:line="240" w:lineRule="auto"/>
        <w:ind w:right="-1"/>
        <w:jc w:val="center"/>
        <w:rPr>
          <w:rFonts w:cs="Arial"/>
          <w:b/>
        </w:rPr>
      </w:pPr>
      <w:r w:rsidRPr="007B5EFE">
        <w:rPr>
          <w:rFonts w:cs="Arial"/>
          <w:b/>
        </w:rPr>
        <w:t>Europos Žmogaus Teisių Teismo 202</w:t>
      </w:r>
      <w:r>
        <w:rPr>
          <w:rFonts w:cs="Arial"/>
          <w:b/>
        </w:rPr>
        <w:t>2</w:t>
      </w:r>
      <w:r w:rsidRPr="007B5EFE">
        <w:rPr>
          <w:rFonts w:cs="Arial"/>
          <w:b/>
        </w:rPr>
        <w:t xml:space="preserve"> m. </w:t>
      </w:r>
      <w:r>
        <w:rPr>
          <w:rFonts w:cs="Arial"/>
          <w:b/>
        </w:rPr>
        <w:t>rugsėjo</w:t>
      </w:r>
      <w:r w:rsidRPr="007B5EFE">
        <w:rPr>
          <w:rFonts w:cs="Arial"/>
          <w:b/>
        </w:rPr>
        <w:t xml:space="preserve"> </w:t>
      </w:r>
      <w:r>
        <w:rPr>
          <w:rFonts w:cs="Arial"/>
          <w:b/>
        </w:rPr>
        <w:t>15</w:t>
      </w:r>
      <w:r w:rsidRPr="007B5EFE">
        <w:rPr>
          <w:rFonts w:cs="Arial"/>
          <w:b/>
        </w:rPr>
        <w:t xml:space="preserve"> d. sprendimas byloje</w:t>
      </w:r>
    </w:p>
    <w:p w14:paraId="5DD6D8E8" w14:textId="41793EC4" w:rsidR="006424CA" w:rsidRPr="007B5EFE" w:rsidRDefault="006424CA" w:rsidP="006424CA">
      <w:pPr>
        <w:pStyle w:val="Antrat2"/>
        <w:ind w:right="-1" w:firstLine="0"/>
        <w:rPr>
          <w:b w:val="0"/>
          <w:bCs w:val="0"/>
          <w:i w:val="0"/>
          <w:iCs w:val="0"/>
          <w:color w:val="002060"/>
        </w:rPr>
      </w:pPr>
      <w:bookmarkStart w:id="24" w:name="_Toc141446356"/>
      <w:r w:rsidRPr="00DB581F">
        <w:t xml:space="preserve">Stanislav Lutsenko </w:t>
      </w:r>
      <w:r w:rsidRPr="00861BFF">
        <w:t xml:space="preserve">prieš </w:t>
      </w:r>
      <w:r>
        <w:t>Ukrain</w:t>
      </w:r>
      <w:r w:rsidRPr="00861BFF">
        <w:t>ą</w:t>
      </w:r>
      <w:r>
        <w:t xml:space="preserve"> (Nr. 2)</w:t>
      </w:r>
      <w:bookmarkEnd w:id="24"/>
    </w:p>
    <w:p w14:paraId="164C130D" w14:textId="77777777" w:rsidR="006424CA" w:rsidRPr="007B5EFE" w:rsidRDefault="006424CA" w:rsidP="006424CA">
      <w:pPr>
        <w:spacing w:after="0" w:line="240" w:lineRule="auto"/>
        <w:ind w:right="-1"/>
        <w:jc w:val="center"/>
        <w:rPr>
          <w:rFonts w:cs="Arial"/>
          <w:b/>
        </w:rPr>
      </w:pPr>
      <w:r w:rsidRPr="007B5EFE">
        <w:rPr>
          <w:rFonts w:cs="Arial"/>
          <w:b/>
        </w:rPr>
        <w:t xml:space="preserve">(pareiškimo Nr. </w:t>
      </w:r>
      <w:r w:rsidRPr="00A2108D">
        <w:rPr>
          <w:rFonts w:cs="Arial"/>
          <w:b/>
          <w:lang w:val="en-GB"/>
        </w:rPr>
        <w:t>483/10</w:t>
      </w:r>
      <w:r w:rsidRPr="007B5EFE">
        <w:rPr>
          <w:rFonts w:cs="Arial"/>
          <w:b/>
        </w:rPr>
        <w:t xml:space="preserve">, </w:t>
      </w:r>
      <w:r w:rsidRPr="00C83198">
        <w:rPr>
          <w:rFonts w:cs="Arial"/>
          <w:b/>
        </w:rPr>
        <w:t xml:space="preserve">svarbos lygis – </w:t>
      </w:r>
      <w:r>
        <w:rPr>
          <w:rFonts w:cs="Arial"/>
          <w:b/>
        </w:rPr>
        <w:t>2</w:t>
      </w:r>
      <w:r w:rsidRPr="007B5EFE">
        <w:rPr>
          <w:rFonts w:cs="Arial"/>
          <w:b/>
        </w:rPr>
        <w:t>)</w:t>
      </w:r>
    </w:p>
    <w:p w14:paraId="7F839A3B" w14:textId="77777777" w:rsidR="006424CA" w:rsidRPr="007B5EFE" w:rsidRDefault="006424CA" w:rsidP="006424CA">
      <w:pPr>
        <w:spacing w:after="0" w:line="240" w:lineRule="auto"/>
        <w:ind w:right="-1"/>
        <w:jc w:val="center"/>
        <w:rPr>
          <w:rFonts w:cs="Arial"/>
        </w:rPr>
      </w:pPr>
    </w:p>
    <w:p w14:paraId="76C0D8B2" w14:textId="77777777" w:rsidR="006424CA" w:rsidRPr="007B5EFE" w:rsidRDefault="006424CA" w:rsidP="006424CA">
      <w:pPr>
        <w:pStyle w:val="Antrat3"/>
        <w:spacing w:before="0" w:line="240" w:lineRule="auto"/>
        <w:ind w:right="-1" w:firstLine="567"/>
        <w:rPr>
          <w:i w:val="0"/>
          <w:iCs/>
          <w:shd w:val="clear" w:color="auto" w:fill="FFFFFF"/>
          <w:lang w:eastAsia="lt-LT"/>
        </w:rPr>
      </w:pPr>
      <w:bookmarkStart w:id="25" w:name="_Toc141446357"/>
      <w:r w:rsidRPr="00192FD8">
        <w:rPr>
          <w:iCs/>
          <w:shd w:val="clear" w:color="auto" w:fill="FFFFFF"/>
          <w:lang w:eastAsia="lt-LT"/>
        </w:rPr>
        <w:t xml:space="preserve">Dėl </w:t>
      </w:r>
      <w:r w:rsidRPr="008925E3">
        <w:rPr>
          <w:iCs/>
          <w:shd w:val="clear" w:color="auto" w:fill="FFFFFF"/>
          <w:lang w:eastAsia="lt-LT"/>
        </w:rPr>
        <w:t>drausmin</w:t>
      </w:r>
      <w:r>
        <w:rPr>
          <w:iCs/>
          <w:shd w:val="clear" w:color="auto" w:fill="FFFFFF"/>
          <w:lang w:eastAsia="lt-LT"/>
        </w:rPr>
        <w:t>ių</w:t>
      </w:r>
      <w:r w:rsidRPr="008925E3">
        <w:rPr>
          <w:iCs/>
          <w:shd w:val="clear" w:color="auto" w:fill="FFFFFF"/>
          <w:lang w:eastAsia="lt-LT"/>
        </w:rPr>
        <w:t xml:space="preserve"> nuobaud</w:t>
      </w:r>
      <w:r>
        <w:rPr>
          <w:iCs/>
          <w:shd w:val="clear" w:color="auto" w:fill="FFFFFF"/>
          <w:lang w:eastAsia="lt-LT"/>
        </w:rPr>
        <w:t>ų</w:t>
      </w:r>
      <w:r w:rsidRPr="008925E3">
        <w:rPr>
          <w:iCs/>
          <w:shd w:val="clear" w:color="auto" w:fill="FFFFFF"/>
          <w:lang w:eastAsia="lt-LT"/>
        </w:rPr>
        <w:t xml:space="preserve">, </w:t>
      </w:r>
      <w:r>
        <w:rPr>
          <w:iCs/>
          <w:shd w:val="clear" w:color="auto" w:fill="FFFFFF"/>
          <w:lang w:eastAsia="lt-LT"/>
        </w:rPr>
        <w:t xml:space="preserve">dėl kurių </w:t>
      </w:r>
      <w:r w:rsidRPr="008925E3">
        <w:rPr>
          <w:iCs/>
          <w:shd w:val="clear" w:color="auto" w:fill="FFFFFF"/>
          <w:lang w:eastAsia="lt-LT"/>
        </w:rPr>
        <w:t>nustat</w:t>
      </w:r>
      <w:r>
        <w:rPr>
          <w:iCs/>
          <w:shd w:val="clear" w:color="auto" w:fill="FFFFFF"/>
          <w:lang w:eastAsia="lt-LT"/>
        </w:rPr>
        <w:t>omas</w:t>
      </w:r>
      <w:r w:rsidRPr="008925E3">
        <w:rPr>
          <w:iCs/>
          <w:shd w:val="clear" w:color="auto" w:fill="FFFFFF"/>
          <w:lang w:eastAsia="lt-LT"/>
        </w:rPr>
        <w:t xml:space="preserve"> griežtesn</w:t>
      </w:r>
      <w:r>
        <w:rPr>
          <w:iCs/>
          <w:shd w:val="clear" w:color="auto" w:fill="FFFFFF"/>
          <w:lang w:eastAsia="lt-LT"/>
        </w:rPr>
        <w:t>is</w:t>
      </w:r>
      <w:r w:rsidRPr="008925E3">
        <w:rPr>
          <w:iCs/>
          <w:shd w:val="clear" w:color="auto" w:fill="FFFFFF"/>
          <w:lang w:eastAsia="lt-LT"/>
        </w:rPr>
        <w:t xml:space="preserve"> kal</w:t>
      </w:r>
      <w:r>
        <w:rPr>
          <w:iCs/>
          <w:shd w:val="clear" w:color="auto" w:fill="FFFFFF"/>
          <w:lang w:eastAsia="lt-LT"/>
        </w:rPr>
        <w:t>inim</w:t>
      </w:r>
      <w:r w:rsidRPr="008925E3">
        <w:rPr>
          <w:iCs/>
          <w:shd w:val="clear" w:color="auto" w:fill="FFFFFF"/>
          <w:lang w:eastAsia="lt-LT"/>
        </w:rPr>
        <w:t>o režim</w:t>
      </w:r>
      <w:r>
        <w:rPr>
          <w:iCs/>
          <w:shd w:val="clear" w:color="auto" w:fill="FFFFFF"/>
          <w:lang w:eastAsia="lt-LT"/>
        </w:rPr>
        <w:t>as, skyrimo</w:t>
      </w:r>
      <w:r w:rsidRPr="008925E3">
        <w:rPr>
          <w:iCs/>
          <w:shd w:val="clear" w:color="auto" w:fill="FFFFFF"/>
          <w:lang w:eastAsia="lt-LT"/>
        </w:rPr>
        <w:t xml:space="preserve"> ir pakartotin</w:t>
      </w:r>
      <w:r>
        <w:rPr>
          <w:iCs/>
          <w:shd w:val="clear" w:color="auto" w:fill="FFFFFF"/>
          <w:lang w:eastAsia="lt-LT"/>
        </w:rPr>
        <w:t>o</w:t>
      </w:r>
      <w:r w:rsidRPr="008925E3">
        <w:rPr>
          <w:iCs/>
          <w:shd w:val="clear" w:color="auto" w:fill="FFFFFF"/>
          <w:lang w:eastAsia="lt-LT"/>
        </w:rPr>
        <w:t xml:space="preserve"> </w:t>
      </w:r>
      <w:r>
        <w:rPr>
          <w:iCs/>
          <w:shd w:val="clear" w:color="auto" w:fill="FFFFFF"/>
          <w:lang w:eastAsia="lt-LT"/>
        </w:rPr>
        <w:t xml:space="preserve">asmens </w:t>
      </w:r>
      <w:r w:rsidRPr="008925E3">
        <w:rPr>
          <w:iCs/>
          <w:shd w:val="clear" w:color="auto" w:fill="FFFFFF"/>
          <w:lang w:eastAsia="lt-LT"/>
        </w:rPr>
        <w:t>perk</w:t>
      </w:r>
      <w:r>
        <w:rPr>
          <w:iCs/>
          <w:shd w:val="clear" w:color="auto" w:fill="FFFFFF"/>
          <w:lang w:eastAsia="lt-LT"/>
        </w:rPr>
        <w:t>ėlimo</w:t>
      </w:r>
      <w:r w:rsidRPr="008925E3">
        <w:rPr>
          <w:iCs/>
          <w:shd w:val="clear" w:color="auto" w:fill="FFFFFF"/>
          <w:lang w:eastAsia="lt-LT"/>
        </w:rPr>
        <w:t xml:space="preserve"> į</w:t>
      </w:r>
      <w:r>
        <w:rPr>
          <w:iCs/>
          <w:shd w:val="clear" w:color="auto" w:fill="FFFFFF"/>
          <w:lang w:eastAsia="lt-LT"/>
        </w:rPr>
        <w:t xml:space="preserve"> kitas </w:t>
      </w:r>
      <w:r w:rsidRPr="008925E3">
        <w:rPr>
          <w:iCs/>
          <w:shd w:val="clear" w:color="auto" w:fill="FFFFFF"/>
          <w:lang w:eastAsia="lt-LT"/>
        </w:rPr>
        <w:t>kalinimo įstaig</w:t>
      </w:r>
      <w:r>
        <w:rPr>
          <w:iCs/>
          <w:shd w:val="clear" w:color="auto" w:fill="FFFFFF"/>
          <w:lang w:eastAsia="lt-LT"/>
        </w:rPr>
        <w:t>a</w:t>
      </w:r>
      <w:r w:rsidRPr="008925E3">
        <w:rPr>
          <w:iCs/>
          <w:shd w:val="clear" w:color="auto" w:fill="FFFFFF"/>
          <w:lang w:eastAsia="lt-LT"/>
        </w:rPr>
        <w:t>s</w:t>
      </w:r>
      <w:r>
        <w:rPr>
          <w:iCs/>
          <w:shd w:val="clear" w:color="auto" w:fill="FFFFFF"/>
          <w:lang w:eastAsia="lt-LT"/>
        </w:rPr>
        <w:t xml:space="preserve">, </w:t>
      </w:r>
      <w:r w:rsidRPr="00FE64C0">
        <w:rPr>
          <w:iCs/>
          <w:shd w:val="clear" w:color="auto" w:fill="FFFFFF"/>
          <w:lang w:eastAsia="lt-LT"/>
        </w:rPr>
        <w:t>nesant tam teisinio pagrindo</w:t>
      </w:r>
      <w:bookmarkEnd w:id="25"/>
    </w:p>
    <w:p w14:paraId="5F4609E4" w14:textId="77777777" w:rsidR="006424CA" w:rsidRPr="007B5EFE" w:rsidRDefault="006424CA" w:rsidP="006424CA">
      <w:pPr>
        <w:spacing w:after="0" w:line="240" w:lineRule="auto"/>
        <w:ind w:right="-1"/>
        <w:jc w:val="center"/>
        <w:rPr>
          <w:rFonts w:cs="Arial"/>
          <w:b/>
        </w:rPr>
      </w:pPr>
    </w:p>
    <w:p w14:paraId="1CF658F4" w14:textId="77777777" w:rsidR="006424CA" w:rsidRPr="007B5EFE" w:rsidRDefault="006424CA" w:rsidP="006424CA">
      <w:pPr>
        <w:spacing w:after="0" w:line="240" w:lineRule="auto"/>
        <w:ind w:right="-1"/>
        <w:jc w:val="center"/>
        <w:rPr>
          <w:rFonts w:cs="Arial"/>
          <w:b/>
        </w:rPr>
      </w:pPr>
      <w:r w:rsidRPr="007B5EFE">
        <w:rPr>
          <w:rFonts w:cs="Arial"/>
          <w:b/>
        </w:rPr>
        <w:t>Faktinės aplinkybės</w:t>
      </w:r>
    </w:p>
    <w:p w14:paraId="31BF5C69" w14:textId="77777777" w:rsidR="006424CA" w:rsidRPr="007B5EFE" w:rsidRDefault="006424CA" w:rsidP="006424CA">
      <w:pPr>
        <w:spacing w:after="0" w:line="240" w:lineRule="auto"/>
        <w:ind w:right="-1" w:firstLine="540"/>
        <w:jc w:val="center"/>
        <w:rPr>
          <w:rFonts w:cs="Arial"/>
          <w:b/>
        </w:rPr>
      </w:pPr>
    </w:p>
    <w:p w14:paraId="154904D5" w14:textId="77777777" w:rsidR="006424CA" w:rsidRDefault="006424CA" w:rsidP="006424CA">
      <w:pPr>
        <w:spacing w:after="0" w:line="240" w:lineRule="auto"/>
        <w:ind w:right="-1" w:firstLine="567"/>
        <w:jc w:val="both"/>
        <w:rPr>
          <w:rFonts w:cs="Arial"/>
        </w:rPr>
      </w:pPr>
      <w:r w:rsidRPr="003F7B9F">
        <w:rPr>
          <w:rFonts w:cs="Arial"/>
        </w:rPr>
        <w:lastRenderedPageBreak/>
        <w:t xml:space="preserve">2008 metais byloje </w:t>
      </w:r>
      <w:r w:rsidRPr="00BB0953">
        <w:rPr>
          <w:rFonts w:cs="Arial"/>
          <w:i/>
          <w:iCs/>
        </w:rPr>
        <w:t xml:space="preserve">Lutsenko </w:t>
      </w:r>
      <w:r w:rsidRPr="003F7B9F">
        <w:rPr>
          <w:rFonts w:cs="Arial"/>
          <w:i/>
          <w:iCs/>
        </w:rPr>
        <w:t>prieš</w:t>
      </w:r>
      <w:r w:rsidRPr="00BB0953">
        <w:rPr>
          <w:rFonts w:cs="Arial"/>
          <w:i/>
          <w:iCs/>
        </w:rPr>
        <w:t xml:space="preserve"> Ukrain</w:t>
      </w:r>
      <w:r w:rsidRPr="003F7B9F">
        <w:rPr>
          <w:rFonts w:cs="Arial"/>
          <w:i/>
          <w:iCs/>
        </w:rPr>
        <w:t>ą</w:t>
      </w:r>
      <w:r w:rsidRPr="00BB0953">
        <w:rPr>
          <w:rFonts w:cs="Arial"/>
        </w:rPr>
        <w:t xml:space="preserve">, </w:t>
      </w:r>
      <w:r w:rsidRPr="003F7B9F">
        <w:rPr>
          <w:rFonts w:cs="Arial"/>
        </w:rPr>
        <w:t xml:space="preserve">pareiškimo </w:t>
      </w:r>
      <w:r>
        <w:rPr>
          <w:rFonts w:cs="Arial"/>
        </w:rPr>
        <w:t>N</w:t>
      </w:r>
      <w:r w:rsidRPr="003F7B9F">
        <w:rPr>
          <w:rFonts w:cs="Arial"/>
        </w:rPr>
        <w:t>r</w:t>
      </w:r>
      <w:r w:rsidRPr="00BB0953">
        <w:rPr>
          <w:rFonts w:cs="Arial"/>
        </w:rPr>
        <w:t>. 30663/04</w:t>
      </w:r>
      <w:r w:rsidRPr="003F7B9F">
        <w:rPr>
          <w:rFonts w:cs="Arial"/>
        </w:rPr>
        <w:t>, Teismas konstatavo</w:t>
      </w:r>
      <w:r>
        <w:rPr>
          <w:rFonts w:cs="Arial"/>
        </w:rPr>
        <w:t>, kad</w:t>
      </w:r>
      <w:r w:rsidRPr="003F7B9F">
        <w:rPr>
          <w:rFonts w:cs="Arial"/>
        </w:rPr>
        <w:t xml:space="preserve"> </w:t>
      </w:r>
      <w:r>
        <w:rPr>
          <w:rFonts w:cs="Arial"/>
        </w:rPr>
        <w:t xml:space="preserve">nacionalinis teismo procesas pareiškėjo byloje, kurioje jis buvo nuteistas už žmogžudystę, pažeidė </w:t>
      </w:r>
      <w:r w:rsidRPr="003F7B9F">
        <w:rPr>
          <w:rFonts w:cs="Arial"/>
        </w:rPr>
        <w:t>Konvencijos 6 straipsnio (</w:t>
      </w:r>
      <w:r w:rsidRPr="003F7B9F">
        <w:t>teisė į teisingą bylos nagrinėjimą</w:t>
      </w:r>
      <w:r w:rsidRPr="003F7B9F">
        <w:rPr>
          <w:rFonts w:cs="Arial"/>
        </w:rPr>
        <w:t>) 1 dal</w:t>
      </w:r>
      <w:r>
        <w:rPr>
          <w:rFonts w:cs="Arial"/>
        </w:rPr>
        <w:t>į. Šio sprendimo paskelbimo metu pareiškėjas atliko septintuosius jam skirtos trylikos metų laisvės atėmimo bausmės metus kalėjime, kuris buvo nutolęs nuo jo namų 18 km.</w:t>
      </w:r>
      <w:r w:rsidRPr="002D11F2">
        <w:rPr>
          <w:rFonts w:cs="Arial"/>
        </w:rPr>
        <w:t xml:space="preserve"> Pareiškėjas dirbo kalėjimo vyriausiuoju virėju ir tęsė studijas universitete. Jis vienuolika kartų buvo </w:t>
      </w:r>
      <w:r>
        <w:rPr>
          <w:rFonts w:cs="Arial"/>
        </w:rPr>
        <w:t>skatintas</w:t>
      </w:r>
      <w:r w:rsidRPr="002D11F2">
        <w:rPr>
          <w:rFonts w:cs="Arial"/>
        </w:rPr>
        <w:t xml:space="preserve"> kalėjimo administracijos už gerą elgesį</w:t>
      </w:r>
      <w:r>
        <w:rPr>
          <w:rFonts w:cs="Arial"/>
        </w:rPr>
        <w:t xml:space="preserve"> ir</w:t>
      </w:r>
      <w:r w:rsidRPr="002D11F2">
        <w:rPr>
          <w:rFonts w:cs="Arial"/>
        </w:rPr>
        <w:t xml:space="preserve"> nuo 2008 m. sausio mėn.</w:t>
      </w:r>
      <w:r>
        <w:rPr>
          <w:rFonts w:cs="Arial"/>
        </w:rPr>
        <w:t xml:space="preserve"> </w:t>
      </w:r>
      <w:r w:rsidRPr="002D11F2">
        <w:rPr>
          <w:rFonts w:cs="Arial"/>
        </w:rPr>
        <w:t>buvo laik</w:t>
      </w:r>
      <w:r>
        <w:rPr>
          <w:rFonts w:cs="Arial"/>
        </w:rPr>
        <w:t>omas</w:t>
      </w:r>
      <w:r w:rsidRPr="002D11F2">
        <w:rPr>
          <w:rFonts w:cs="Arial"/>
        </w:rPr>
        <w:t xml:space="preserve"> </w:t>
      </w:r>
      <w:r>
        <w:rPr>
          <w:rFonts w:cs="Arial"/>
        </w:rPr>
        <w:t>lengviausio</w:t>
      </w:r>
      <w:r w:rsidRPr="002D11F2">
        <w:rPr>
          <w:rFonts w:cs="Arial"/>
        </w:rPr>
        <w:t xml:space="preserve"> režim</w:t>
      </w:r>
      <w:r>
        <w:rPr>
          <w:rFonts w:cs="Arial"/>
        </w:rPr>
        <w:t>o</w:t>
      </w:r>
      <w:r w:rsidRPr="002D11F2">
        <w:rPr>
          <w:rFonts w:cs="Arial"/>
        </w:rPr>
        <w:t xml:space="preserve"> </w:t>
      </w:r>
      <w:r>
        <w:rPr>
          <w:rFonts w:cs="Arial"/>
        </w:rPr>
        <w:t>sąlygomis</w:t>
      </w:r>
      <w:r w:rsidRPr="002D11F2">
        <w:rPr>
          <w:rFonts w:cs="Arial"/>
        </w:rPr>
        <w:t xml:space="preserve">, </w:t>
      </w:r>
      <w:r>
        <w:rPr>
          <w:rFonts w:cs="Arial"/>
        </w:rPr>
        <w:t xml:space="preserve">kai </w:t>
      </w:r>
      <w:r w:rsidRPr="002D11F2">
        <w:rPr>
          <w:rFonts w:cs="Arial"/>
        </w:rPr>
        <w:t>jam buvo lei</w:t>
      </w:r>
      <w:r>
        <w:rPr>
          <w:rFonts w:cs="Arial"/>
        </w:rPr>
        <w:t>džiama</w:t>
      </w:r>
      <w:r w:rsidRPr="002D11F2">
        <w:rPr>
          <w:rFonts w:cs="Arial"/>
        </w:rPr>
        <w:t xml:space="preserve"> laikinai </w:t>
      </w:r>
      <w:r>
        <w:rPr>
          <w:rFonts w:cs="Arial"/>
        </w:rPr>
        <w:t xml:space="preserve">išvykti už kalinimo įstaigos ribų ir susitikti su šeima. </w:t>
      </w:r>
      <w:r w:rsidRPr="002D11F2">
        <w:rPr>
          <w:rFonts w:cs="Arial"/>
        </w:rPr>
        <w:t xml:space="preserve">Pareiškėjui </w:t>
      </w:r>
      <w:r>
        <w:rPr>
          <w:rFonts w:cs="Arial"/>
        </w:rPr>
        <w:t xml:space="preserve">taip pat </w:t>
      </w:r>
      <w:r w:rsidRPr="002D11F2">
        <w:rPr>
          <w:rFonts w:cs="Arial"/>
        </w:rPr>
        <w:t xml:space="preserve">buvo leista dėvėti civilius drabužius, laikyti pinigus ir kitus vertingus daiktus. Šis režimas paprastai buvo taikomas prieš </w:t>
      </w:r>
      <w:r>
        <w:rPr>
          <w:rFonts w:cs="Arial"/>
        </w:rPr>
        <w:t>pa</w:t>
      </w:r>
      <w:r w:rsidRPr="002D11F2">
        <w:rPr>
          <w:rFonts w:cs="Arial"/>
        </w:rPr>
        <w:t>leidimą</w:t>
      </w:r>
      <w:r>
        <w:rPr>
          <w:rFonts w:cs="Arial"/>
        </w:rPr>
        <w:t xml:space="preserve"> į laisvę.</w:t>
      </w:r>
    </w:p>
    <w:p w14:paraId="2D4B2D4E" w14:textId="77777777" w:rsidR="006424CA" w:rsidRDefault="006424CA" w:rsidP="006424CA">
      <w:pPr>
        <w:spacing w:after="0" w:line="240" w:lineRule="auto"/>
        <w:ind w:right="-1" w:firstLine="567"/>
        <w:jc w:val="both"/>
        <w:rPr>
          <w:rFonts w:cs="Arial"/>
        </w:rPr>
      </w:pPr>
      <w:r>
        <w:rPr>
          <w:rFonts w:cs="Arial"/>
        </w:rPr>
        <w:t xml:space="preserve">Po nurodyto Teismo sprendimo paskelbimo </w:t>
      </w:r>
      <w:r w:rsidRPr="008820D2">
        <w:rPr>
          <w:rFonts w:cs="Arial"/>
        </w:rPr>
        <w:t xml:space="preserve">pareiškėjui buvo skirtos kelios drausminės nuobaudos, </w:t>
      </w:r>
      <w:r>
        <w:rPr>
          <w:rFonts w:cs="Arial"/>
        </w:rPr>
        <w:t>dėl ko jo kalinimo režimas pakeistas į griežtesnį ir</w:t>
      </w:r>
      <w:r w:rsidRPr="00AC0A69">
        <w:rPr>
          <w:rFonts w:cs="Arial"/>
        </w:rPr>
        <w:t xml:space="preserve"> pareiškėj</w:t>
      </w:r>
      <w:r>
        <w:rPr>
          <w:rFonts w:cs="Arial"/>
        </w:rPr>
        <w:t>ui</w:t>
      </w:r>
      <w:r w:rsidRPr="00AC0A69">
        <w:rPr>
          <w:rFonts w:cs="Arial"/>
        </w:rPr>
        <w:t xml:space="preserve"> nebebuvo leidžiama laikinai </w:t>
      </w:r>
      <w:r>
        <w:rPr>
          <w:rFonts w:cs="Arial"/>
        </w:rPr>
        <w:t>išvykti už kalinimo įstaigos ribų,</w:t>
      </w:r>
      <w:r w:rsidRPr="00AC0A69">
        <w:rPr>
          <w:rFonts w:cs="Arial"/>
        </w:rPr>
        <w:t xml:space="preserve"> nešioti civilius drabužius ar laikyti pinigus</w:t>
      </w:r>
      <w:r>
        <w:rPr>
          <w:rFonts w:cs="Arial"/>
        </w:rPr>
        <w:t xml:space="preserve">. Vėliau pareiškėjas tris kartus buvo perkeltas </w:t>
      </w:r>
      <w:r w:rsidRPr="008820D2">
        <w:rPr>
          <w:rFonts w:cs="Arial"/>
        </w:rPr>
        <w:t>į kitus kalėjimus, esančius toliau nuo jo namų</w:t>
      </w:r>
      <w:r>
        <w:rPr>
          <w:rFonts w:cs="Arial"/>
        </w:rPr>
        <w:t xml:space="preserve"> (atitinkamai 450 km, 72 km ir 1 390 km)</w:t>
      </w:r>
      <w:r w:rsidRPr="008820D2">
        <w:rPr>
          <w:rFonts w:cs="Arial"/>
        </w:rPr>
        <w:t>.</w:t>
      </w:r>
    </w:p>
    <w:p w14:paraId="3815DF94" w14:textId="77777777" w:rsidR="006424CA" w:rsidRDefault="006424CA" w:rsidP="006424CA">
      <w:pPr>
        <w:spacing w:after="0" w:line="240" w:lineRule="auto"/>
        <w:ind w:right="-1" w:firstLine="567"/>
        <w:jc w:val="both"/>
        <w:rPr>
          <w:rFonts w:cs="Arial"/>
        </w:rPr>
      </w:pPr>
      <w:r>
        <w:rPr>
          <w:rFonts w:cs="Arial"/>
        </w:rPr>
        <w:t>Pareiškėjas ginčijo jam skirtas drausmines nuobaudas ir dalį jų prokuratūra panaikino.</w:t>
      </w:r>
      <w:r w:rsidRPr="00C37CAE">
        <w:rPr>
          <w:rFonts w:cs="Arial"/>
        </w:rPr>
        <w:t xml:space="preserve"> </w:t>
      </w:r>
      <w:r w:rsidRPr="008820D2">
        <w:rPr>
          <w:rFonts w:cs="Arial"/>
        </w:rPr>
        <w:t>2011 m. geguž</w:t>
      </w:r>
      <w:r>
        <w:rPr>
          <w:rFonts w:cs="Arial"/>
        </w:rPr>
        <w:t>ės mėn.</w:t>
      </w:r>
      <w:r w:rsidRPr="008820D2">
        <w:rPr>
          <w:rFonts w:cs="Arial"/>
        </w:rPr>
        <w:t xml:space="preserve"> nacionalinis teismas</w:t>
      </w:r>
      <w:r>
        <w:rPr>
          <w:rFonts w:cs="Arial"/>
        </w:rPr>
        <w:t xml:space="preserve"> pareiškėjo atžvilgiu taikė lygtinį paleidimą, savo sprendimą grįsdamas </w:t>
      </w:r>
      <w:r w:rsidRPr="007F0DB9">
        <w:rPr>
          <w:rFonts w:cs="Arial"/>
        </w:rPr>
        <w:t>pavyzdingu pareiškėjo elgesiu kalinimo metu</w:t>
      </w:r>
      <w:r>
        <w:rPr>
          <w:rFonts w:cs="Arial"/>
        </w:rPr>
        <w:t>,</w:t>
      </w:r>
      <w:r w:rsidRPr="007F0DB9">
        <w:rPr>
          <w:rFonts w:cs="Arial"/>
        </w:rPr>
        <w:t xml:space="preserve"> ir įpareigojo jį nedelsiant paleisti</w:t>
      </w:r>
      <w:r>
        <w:rPr>
          <w:rFonts w:cs="Arial"/>
        </w:rPr>
        <w:t xml:space="preserve"> į laisvę</w:t>
      </w:r>
      <w:r w:rsidRPr="007F0DB9">
        <w:rPr>
          <w:rFonts w:cs="Arial"/>
        </w:rPr>
        <w:t>.</w:t>
      </w:r>
      <w:r>
        <w:rPr>
          <w:rFonts w:cs="Arial"/>
        </w:rPr>
        <w:t xml:space="preserve"> </w:t>
      </w:r>
      <w:r w:rsidRPr="008820D2">
        <w:rPr>
          <w:rFonts w:cs="Arial"/>
        </w:rPr>
        <w:t xml:space="preserve">Nors šis sprendimas buvo panaikintas, </w:t>
      </w:r>
      <w:r w:rsidRPr="00D11229">
        <w:rPr>
          <w:rFonts w:cs="Arial"/>
        </w:rPr>
        <w:t>bylą grąžinus nagrinėti iš naujo</w:t>
      </w:r>
      <w:r>
        <w:rPr>
          <w:rFonts w:cs="Arial"/>
        </w:rPr>
        <w:t xml:space="preserve"> nacionalinis</w:t>
      </w:r>
      <w:r w:rsidRPr="008820D2">
        <w:rPr>
          <w:rFonts w:cs="Arial"/>
        </w:rPr>
        <w:t xml:space="preserve"> teismas dar kartą nurodė </w:t>
      </w:r>
      <w:r>
        <w:rPr>
          <w:rFonts w:cs="Arial"/>
        </w:rPr>
        <w:t>pareiškėją</w:t>
      </w:r>
      <w:r w:rsidRPr="008820D2">
        <w:rPr>
          <w:rFonts w:cs="Arial"/>
        </w:rPr>
        <w:t xml:space="preserve"> paleisti anksčiau laiko.</w:t>
      </w:r>
      <w:r>
        <w:rPr>
          <w:rFonts w:cs="Arial"/>
        </w:rPr>
        <w:t xml:space="preserve"> </w:t>
      </w:r>
      <w:r w:rsidRPr="00056F5B">
        <w:rPr>
          <w:rFonts w:cs="Arial"/>
        </w:rPr>
        <w:t>2011 m. gruodžio mėn. pareiškėjas buvo paleistas</w:t>
      </w:r>
      <w:r>
        <w:rPr>
          <w:rFonts w:cs="Arial"/>
        </w:rPr>
        <w:t xml:space="preserve"> į laisvę.</w:t>
      </w:r>
    </w:p>
    <w:p w14:paraId="3A2F0D3A" w14:textId="77777777" w:rsidR="006424CA" w:rsidRDefault="006424CA" w:rsidP="006424CA">
      <w:pPr>
        <w:spacing w:after="0" w:line="240" w:lineRule="auto"/>
        <w:ind w:right="-1" w:firstLine="567"/>
        <w:jc w:val="both"/>
        <w:rPr>
          <w:rFonts w:cs="Arial"/>
        </w:rPr>
      </w:pPr>
      <w:r w:rsidRPr="00961954">
        <w:rPr>
          <w:rFonts w:cs="Arial"/>
        </w:rPr>
        <w:t>Pareiškėjas skundėsi, kad Teism</w:t>
      </w:r>
      <w:r>
        <w:rPr>
          <w:rFonts w:cs="Arial"/>
        </w:rPr>
        <w:t>ui</w:t>
      </w:r>
      <w:r w:rsidRPr="00961954">
        <w:rPr>
          <w:rFonts w:cs="Arial"/>
        </w:rPr>
        <w:t xml:space="preserve"> </w:t>
      </w:r>
      <w:r w:rsidRPr="003F7B9F">
        <w:rPr>
          <w:rFonts w:cs="Arial"/>
        </w:rPr>
        <w:t xml:space="preserve">2008 metais byloje </w:t>
      </w:r>
      <w:r w:rsidRPr="00BB0953">
        <w:rPr>
          <w:rFonts w:cs="Arial"/>
          <w:i/>
          <w:iCs/>
        </w:rPr>
        <w:t xml:space="preserve">Lutsenko </w:t>
      </w:r>
      <w:r w:rsidRPr="003F7B9F">
        <w:rPr>
          <w:rFonts w:cs="Arial"/>
          <w:i/>
          <w:iCs/>
        </w:rPr>
        <w:t>prieš</w:t>
      </w:r>
      <w:r w:rsidRPr="00BB0953">
        <w:rPr>
          <w:rFonts w:cs="Arial"/>
          <w:i/>
          <w:iCs/>
        </w:rPr>
        <w:t xml:space="preserve"> Ukrain</w:t>
      </w:r>
      <w:r w:rsidRPr="003F7B9F">
        <w:rPr>
          <w:rFonts w:cs="Arial"/>
          <w:i/>
          <w:iCs/>
        </w:rPr>
        <w:t>ą</w:t>
      </w:r>
      <w:r>
        <w:rPr>
          <w:rFonts w:cs="Arial"/>
        </w:rPr>
        <w:t xml:space="preserve"> priėmus jam palankų sprendimą, jo kalinimo sąlygos buvo tyčia bloginamos skiriant </w:t>
      </w:r>
      <w:r w:rsidRPr="00961954">
        <w:rPr>
          <w:rFonts w:cs="Arial"/>
        </w:rPr>
        <w:t>drausmin</w:t>
      </w:r>
      <w:r>
        <w:rPr>
          <w:rFonts w:cs="Arial"/>
        </w:rPr>
        <w:t>e</w:t>
      </w:r>
      <w:r w:rsidRPr="00961954">
        <w:rPr>
          <w:rFonts w:cs="Arial"/>
        </w:rPr>
        <w:t>s nuobaud</w:t>
      </w:r>
      <w:r>
        <w:rPr>
          <w:rFonts w:cs="Arial"/>
        </w:rPr>
        <w:t>a</w:t>
      </w:r>
      <w:r w:rsidRPr="00961954">
        <w:rPr>
          <w:rFonts w:cs="Arial"/>
        </w:rPr>
        <w:t>s ir perk</w:t>
      </w:r>
      <w:r>
        <w:rPr>
          <w:rFonts w:cs="Arial"/>
        </w:rPr>
        <w:t>eliant jį</w:t>
      </w:r>
      <w:r w:rsidRPr="00961954">
        <w:rPr>
          <w:rFonts w:cs="Arial"/>
        </w:rPr>
        <w:t xml:space="preserve"> į kitas kalinimo įstaigas</w:t>
      </w:r>
      <w:r>
        <w:rPr>
          <w:rFonts w:cs="Arial"/>
        </w:rPr>
        <w:t xml:space="preserve">. </w:t>
      </w:r>
      <w:r w:rsidRPr="00961954">
        <w:rPr>
          <w:rFonts w:cs="Arial"/>
        </w:rPr>
        <w:t xml:space="preserve">Teismas </w:t>
      </w:r>
      <w:r>
        <w:rPr>
          <w:rFonts w:cs="Arial"/>
        </w:rPr>
        <w:t>sprendė</w:t>
      </w:r>
      <w:r w:rsidRPr="00961954">
        <w:rPr>
          <w:rFonts w:cs="Arial"/>
        </w:rPr>
        <w:t>, kad šis skundas turi būti nagrinėjamas pagal Konvencijos 8 straipsnį</w:t>
      </w:r>
      <w:r>
        <w:rPr>
          <w:rFonts w:cs="Arial"/>
        </w:rPr>
        <w:t>.</w:t>
      </w:r>
    </w:p>
    <w:p w14:paraId="3A1B4974" w14:textId="77777777" w:rsidR="006424CA" w:rsidRPr="007B5EFE" w:rsidRDefault="006424CA" w:rsidP="006424CA">
      <w:pPr>
        <w:spacing w:after="0" w:line="240" w:lineRule="auto"/>
        <w:ind w:right="-1" w:firstLine="567"/>
        <w:jc w:val="both"/>
        <w:rPr>
          <w:rStyle w:val="tlid-translation"/>
        </w:rPr>
      </w:pPr>
    </w:p>
    <w:p w14:paraId="43DDC9BF" w14:textId="77777777" w:rsidR="006424CA" w:rsidRPr="007B5EFE" w:rsidRDefault="006424CA" w:rsidP="006424CA">
      <w:pPr>
        <w:spacing w:after="0" w:line="240" w:lineRule="auto"/>
        <w:ind w:right="-1"/>
        <w:jc w:val="center"/>
        <w:rPr>
          <w:rFonts w:cs="Arial"/>
        </w:rPr>
      </w:pPr>
      <w:r w:rsidRPr="007B5EFE">
        <w:rPr>
          <w:rFonts w:cs="Arial"/>
          <w:b/>
        </w:rPr>
        <w:t>Neoficiali Teismo sprendimo apžvalga</w:t>
      </w:r>
    </w:p>
    <w:p w14:paraId="2E917FBA" w14:textId="77777777" w:rsidR="006424CA" w:rsidRDefault="006424CA" w:rsidP="006424CA">
      <w:pPr>
        <w:spacing w:after="0" w:line="240" w:lineRule="auto"/>
        <w:ind w:right="-1" w:firstLine="567"/>
        <w:jc w:val="both"/>
        <w:rPr>
          <w:rStyle w:val="tlid-translation"/>
        </w:rPr>
      </w:pPr>
    </w:p>
    <w:p w14:paraId="1EDDC628" w14:textId="77777777" w:rsidR="006424CA" w:rsidRDefault="006424CA" w:rsidP="006424CA">
      <w:pPr>
        <w:spacing w:after="0" w:line="240" w:lineRule="auto"/>
        <w:ind w:right="-1" w:firstLine="567"/>
        <w:jc w:val="both"/>
        <w:rPr>
          <w:rStyle w:val="tlid-translation"/>
        </w:rPr>
      </w:pPr>
      <w:r>
        <w:t xml:space="preserve">Teismas </w:t>
      </w:r>
      <w:r w:rsidRPr="009C23A6">
        <w:t>p</w:t>
      </w:r>
      <w:r>
        <w:t>riminė</w:t>
      </w:r>
      <w:r w:rsidRPr="009C23A6">
        <w:t xml:space="preserve"> savo praktikoje </w:t>
      </w:r>
      <w:r>
        <w:t>išplėtotą</w:t>
      </w:r>
      <w:r w:rsidRPr="009C23A6">
        <w:t xml:space="preserve"> principą, kad ribojant įkalintų asmenų laisvę, </w:t>
      </w:r>
      <w:r>
        <w:t>j</w:t>
      </w:r>
      <w:r w:rsidRPr="009C23A6">
        <w:t>ie toliau naudojasi visomis pagrindinėmis Konvencijoje įtvirtintomis teisėmis ir laisvėmis</w:t>
      </w:r>
      <w:r>
        <w:t>, išskyrus teise į laisvę. Taip pat, kad kalinimui</w:t>
      </w:r>
      <w:r w:rsidRPr="007C7742">
        <w:rPr>
          <w:rStyle w:val="tlid-translation"/>
        </w:rPr>
        <w:t>, kaip ir bet kuri</w:t>
      </w:r>
      <w:r>
        <w:rPr>
          <w:rStyle w:val="tlid-translation"/>
        </w:rPr>
        <w:t>ai</w:t>
      </w:r>
      <w:r w:rsidRPr="007C7742">
        <w:rPr>
          <w:rStyle w:val="tlid-translation"/>
        </w:rPr>
        <w:t xml:space="preserve"> kita</w:t>
      </w:r>
      <w:r>
        <w:rPr>
          <w:rStyle w:val="tlid-translation"/>
        </w:rPr>
        <w:t>i</w:t>
      </w:r>
      <w:r w:rsidRPr="007C7742">
        <w:rPr>
          <w:rStyle w:val="tlid-translation"/>
        </w:rPr>
        <w:t xml:space="preserve"> asmens laisvę </w:t>
      </w:r>
      <w:r>
        <w:rPr>
          <w:rStyle w:val="tlid-translation"/>
        </w:rPr>
        <w:t>ribojančiai</w:t>
      </w:r>
      <w:r w:rsidRPr="007C7742">
        <w:rPr>
          <w:rStyle w:val="tlid-translation"/>
        </w:rPr>
        <w:t xml:space="preserve"> priemon</w:t>
      </w:r>
      <w:r>
        <w:rPr>
          <w:rStyle w:val="tlid-translation"/>
        </w:rPr>
        <w:t>ei, neišvengiamai</w:t>
      </w:r>
      <w:r w:rsidRPr="007C7742">
        <w:rPr>
          <w:rStyle w:val="tlid-translation"/>
        </w:rPr>
        <w:t xml:space="preserve"> yra būding</w:t>
      </w:r>
      <w:r>
        <w:rPr>
          <w:rStyle w:val="tlid-translation"/>
        </w:rPr>
        <w:t>i</w:t>
      </w:r>
      <w:r w:rsidRPr="007C7742">
        <w:rPr>
          <w:rStyle w:val="tlid-translation"/>
        </w:rPr>
        <w:t xml:space="preserve"> </w:t>
      </w:r>
      <w:r>
        <w:rPr>
          <w:rStyle w:val="tlid-translation"/>
        </w:rPr>
        <w:t>tam tikri privataus</w:t>
      </w:r>
      <w:r w:rsidRPr="007C7742">
        <w:rPr>
          <w:rStyle w:val="tlid-translation"/>
        </w:rPr>
        <w:t xml:space="preserve"> ir šeimos gyvenimo </w:t>
      </w:r>
      <w:r>
        <w:rPr>
          <w:rStyle w:val="tlid-translation"/>
        </w:rPr>
        <w:t xml:space="preserve">gerbimo </w:t>
      </w:r>
      <w:r w:rsidRPr="007C7742">
        <w:rPr>
          <w:rStyle w:val="tlid-translation"/>
        </w:rPr>
        <w:t>apribojima</w:t>
      </w:r>
      <w:r>
        <w:rPr>
          <w:rStyle w:val="tlid-translation"/>
        </w:rPr>
        <w:t>i</w:t>
      </w:r>
      <w:r w:rsidRPr="007C7742">
        <w:rPr>
          <w:rStyle w:val="tlid-translation"/>
        </w:rPr>
        <w:t>.</w:t>
      </w:r>
      <w:r>
        <w:rPr>
          <w:rStyle w:val="tlid-translation"/>
        </w:rPr>
        <w:t xml:space="preserve"> Tačiau b</w:t>
      </w:r>
      <w:r w:rsidRPr="0083563F">
        <w:rPr>
          <w:rStyle w:val="tlid-translation"/>
        </w:rPr>
        <w:t>et koks asmens tei</w:t>
      </w:r>
      <w:r>
        <w:rPr>
          <w:rStyle w:val="tlid-translation"/>
        </w:rPr>
        <w:t>sės</w:t>
      </w:r>
      <w:r w:rsidRPr="007C270E">
        <w:t xml:space="preserve"> į privataus ir šeimos gyvenimo gerbimą</w:t>
      </w:r>
      <w:r>
        <w:t xml:space="preserve"> ribojimas </w:t>
      </w:r>
      <w:r>
        <w:rPr>
          <w:rStyle w:val="tlid-translation"/>
        </w:rPr>
        <w:t>turi būti</w:t>
      </w:r>
      <w:r w:rsidRPr="0083563F">
        <w:rPr>
          <w:rStyle w:val="tlid-translation"/>
        </w:rPr>
        <w:t xml:space="preserve"> „</w:t>
      </w:r>
      <w:r>
        <w:rPr>
          <w:rStyle w:val="tlid-translation"/>
        </w:rPr>
        <w:t>nustatytas</w:t>
      </w:r>
      <w:r w:rsidRPr="0083563F">
        <w:rPr>
          <w:rStyle w:val="tlid-translation"/>
        </w:rPr>
        <w:t xml:space="preserve"> įstatym</w:t>
      </w:r>
      <w:r>
        <w:rPr>
          <w:rStyle w:val="tlid-translation"/>
        </w:rPr>
        <w:t>e</w:t>
      </w:r>
      <w:r w:rsidRPr="0083563F">
        <w:rPr>
          <w:rStyle w:val="tlid-translation"/>
        </w:rPr>
        <w:t xml:space="preserve">“, </w:t>
      </w:r>
      <w:r>
        <w:rPr>
          <w:rStyle w:val="tlid-translation"/>
        </w:rPr>
        <w:t>juo turi būti siekiama vieno ar keleto</w:t>
      </w:r>
      <w:r w:rsidRPr="0083563F">
        <w:rPr>
          <w:rStyle w:val="tlid-translation"/>
        </w:rPr>
        <w:t xml:space="preserve"> teisėt</w:t>
      </w:r>
      <w:r>
        <w:rPr>
          <w:rStyle w:val="tlid-translation"/>
        </w:rPr>
        <w:t>ų</w:t>
      </w:r>
      <w:r w:rsidRPr="0083563F">
        <w:rPr>
          <w:rStyle w:val="tlid-translation"/>
        </w:rPr>
        <w:t xml:space="preserve"> tikslų pagal </w:t>
      </w:r>
      <w:r>
        <w:rPr>
          <w:rStyle w:val="tlid-translation"/>
        </w:rPr>
        <w:t xml:space="preserve">Konvencijos 8 straipsnio </w:t>
      </w:r>
      <w:r w:rsidRPr="0083563F">
        <w:rPr>
          <w:rStyle w:val="tlid-translation"/>
        </w:rPr>
        <w:t xml:space="preserve">2 dalį ir </w:t>
      </w:r>
      <w:r>
        <w:rPr>
          <w:rStyle w:val="tlid-translation"/>
        </w:rPr>
        <w:t>jis</w:t>
      </w:r>
      <w:r w:rsidRPr="0083563F">
        <w:rPr>
          <w:rStyle w:val="tlid-translation"/>
        </w:rPr>
        <w:t xml:space="preserve"> </w:t>
      </w:r>
      <w:r>
        <w:rPr>
          <w:rStyle w:val="tlid-translation"/>
        </w:rPr>
        <w:t xml:space="preserve">turi būti </w:t>
      </w:r>
      <w:r w:rsidRPr="0083563F">
        <w:rPr>
          <w:rStyle w:val="tlid-translation"/>
        </w:rPr>
        <w:t>„būtina</w:t>
      </w:r>
      <w:r>
        <w:rPr>
          <w:rStyle w:val="tlid-translation"/>
        </w:rPr>
        <w:t>s</w:t>
      </w:r>
      <w:r w:rsidRPr="0083563F">
        <w:rPr>
          <w:rStyle w:val="tlid-translation"/>
        </w:rPr>
        <w:t xml:space="preserve"> demokratinė</w:t>
      </w:r>
      <w:r>
        <w:rPr>
          <w:rStyle w:val="tlid-translation"/>
        </w:rPr>
        <w:t>je</w:t>
      </w:r>
      <w:r w:rsidRPr="0083563F">
        <w:rPr>
          <w:rStyle w:val="tlid-translation"/>
        </w:rPr>
        <w:t xml:space="preserve"> visuomenė</w:t>
      </w:r>
      <w:r>
        <w:rPr>
          <w:rStyle w:val="tlid-translation"/>
        </w:rPr>
        <w:t>je</w:t>
      </w:r>
      <w:r w:rsidRPr="0083563F">
        <w:rPr>
          <w:rStyle w:val="tlid-translation"/>
        </w:rPr>
        <w:t xml:space="preserve">“ </w:t>
      </w:r>
      <w:r>
        <w:rPr>
          <w:rStyle w:val="tlid-translation"/>
        </w:rPr>
        <w:t xml:space="preserve">tokio ribojimo </w:t>
      </w:r>
      <w:r w:rsidRPr="0083563F">
        <w:rPr>
          <w:rStyle w:val="tlid-translation"/>
        </w:rPr>
        <w:t>proporcing</w:t>
      </w:r>
      <w:r>
        <w:rPr>
          <w:rStyle w:val="tlid-translation"/>
        </w:rPr>
        <w:t>umo</w:t>
      </w:r>
      <w:r w:rsidRPr="0083563F">
        <w:rPr>
          <w:rStyle w:val="tlid-translation"/>
        </w:rPr>
        <w:t xml:space="preserve"> siekiamiems tikslams prasme</w:t>
      </w:r>
      <w:r>
        <w:rPr>
          <w:rStyle w:val="tlid-translation"/>
        </w:rPr>
        <w:t>.</w:t>
      </w:r>
    </w:p>
    <w:p w14:paraId="3D07C03A" w14:textId="77777777" w:rsidR="006424CA" w:rsidRDefault="006424CA" w:rsidP="006424CA">
      <w:pPr>
        <w:spacing w:after="0" w:line="240" w:lineRule="auto"/>
        <w:ind w:right="-1" w:firstLine="567"/>
        <w:jc w:val="both"/>
        <w:rPr>
          <w:rStyle w:val="tlid-translation"/>
        </w:rPr>
      </w:pPr>
      <w:r w:rsidRPr="0083563F">
        <w:rPr>
          <w:rStyle w:val="tlid-translation"/>
        </w:rPr>
        <w:t xml:space="preserve">Teismas </w:t>
      </w:r>
      <w:r>
        <w:rPr>
          <w:rStyle w:val="tlid-translation"/>
        </w:rPr>
        <w:t>pažymėjo</w:t>
      </w:r>
      <w:r w:rsidRPr="0083563F">
        <w:rPr>
          <w:rStyle w:val="tlid-translation"/>
        </w:rPr>
        <w:t xml:space="preserve">, kad </w:t>
      </w:r>
      <w:r>
        <w:rPr>
          <w:rStyle w:val="tlid-translation"/>
        </w:rPr>
        <w:t>šiuo atveju pareiškėjo atžvilgiu taikytos</w:t>
      </w:r>
      <w:r w:rsidRPr="0083563F">
        <w:rPr>
          <w:rStyle w:val="tlid-translation"/>
        </w:rPr>
        <w:t xml:space="preserve"> priemonės</w:t>
      </w:r>
      <w:r>
        <w:rPr>
          <w:rStyle w:val="tlid-translation"/>
        </w:rPr>
        <w:t xml:space="preserve"> </w:t>
      </w:r>
      <w:r w:rsidRPr="00F72FBB">
        <w:rPr>
          <w:rStyle w:val="tlid-translation"/>
        </w:rPr>
        <w:t>labai reikšmingai paveikė kasdienį jo gyvenimą kalėjime.</w:t>
      </w:r>
      <w:r w:rsidRPr="002C0CF4">
        <w:rPr>
          <w:rStyle w:val="tlid-translation"/>
        </w:rPr>
        <w:t xml:space="preserve"> </w:t>
      </w:r>
      <w:r w:rsidRPr="00F72FBB">
        <w:rPr>
          <w:rStyle w:val="tlid-translation"/>
        </w:rPr>
        <w:t xml:space="preserve">Pavyzdžiui, </w:t>
      </w:r>
      <w:r>
        <w:rPr>
          <w:rStyle w:val="tlid-translation"/>
        </w:rPr>
        <w:t>pareiškėjui</w:t>
      </w:r>
      <w:r w:rsidRPr="00F72FBB">
        <w:rPr>
          <w:rStyle w:val="tlid-translation"/>
        </w:rPr>
        <w:t xml:space="preserve"> nebebuvo lei</w:t>
      </w:r>
      <w:r>
        <w:rPr>
          <w:rStyle w:val="tlid-translation"/>
        </w:rPr>
        <w:t>džiama</w:t>
      </w:r>
      <w:r w:rsidRPr="00F72FBB">
        <w:rPr>
          <w:rStyle w:val="tlid-translation"/>
        </w:rPr>
        <w:t xml:space="preserve"> laikinai </w:t>
      </w:r>
      <w:r>
        <w:rPr>
          <w:rFonts w:cs="Arial"/>
        </w:rPr>
        <w:t>išvykti už kalinimo įstaigos ribų ir susitikti su šeima,</w:t>
      </w:r>
      <w:r w:rsidRPr="00256F78">
        <w:rPr>
          <w:rFonts w:cs="Arial"/>
        </w:rPr>
        <w:t xml:space="preserve"> </w:t>
      </w:r>
      <w:r w:rsidRPr="002D11F2">
        <w:rPr>
          <w:rFonts w:cs="Arial"/>
        </w:rPr>
        <w:t xml:space="preserve">laikyti pinigus </w:t>
      </w:r>
      <w:r w:rsidRPr="00F72FBB">
        <w:rPr>
          <w:rStyle w:val="tlid-translation"/>
        </w:rPr>
        <w:t>ar dėvėti civili</w:t>
      </w:r>
      <w:r>
        <w:rPr>
          <w:rStyle w:val="tlid-translation"/>
        </w:rPr>
        <w:t>us</w:t>
      </w:r>
      <w:r w:rsidRPr="00F72FBB">
        <w:rPr>
          <w:rStyle w:val="tlid-translation"/>
        </w:rPr>
        <w:t xml:space="preserve"> drabuži</w:t>
      </w:r>
      <w:r>
        <w:rPr>
          <w:rStyle w:val="tlid-translation"/>
        </w:rPr>
        <w:t>us</w:t>
      </w:r>
      <w:r w:rsidRPr="00F72FBB">
        <w:rPr>
          <w:rStyle w:val="tlid-translation"/>
        </w:rPr>
        <w:t>.</w:t>
      </w:r>
      <w:r>
        <w:rPr>
          <w:rStyle w:val="tlid-translation"/>
        </w:rPr>
        <w:t xml:space="preserve"> </w:t>
      </w:r>
      <w:r w:rsidRPr="00F149A3">
        <w:rPr>
          <w:rStyle w:val="tlid-translation"/>
        </w:rPr>
        <w:t>T</w:t>
      </w:r>
      <w:r>
        <w:rPr>
          <w:rStyle w:val="tlid-translation"/>
        </w:rPr>
        <w:t>aigi</w:t>
      </w:r>
      <w:r w:rsidRPr="00F149A3">
        <w:rPr>
          <w:rStyle w:val="tlid-translation"/>
        </w:rPr>
        <w:t xml:space="preserve"> buvo </w:t>
      </w:r>
      <w:r>
        <w:rPr>
          <w:rStyle w:val="tlid-translation"/>
        </w:rPr>
        <w:t>apribota</w:t>
      </w:r>
      <w:r w:rsidRPr="00F149A3">
        <w:rPr>
          <w:rStyle w:val="tlid-translation"/>
        </w:rPr>
        <w:t xml:space="preserve"> </w:t>
      </w:r>
      <w:r>
        <w:rPr>
          <w:rStyle w:val="tlid-translation"/>
        </w:rPr>
        <w:t>pareiškė</w:t>
      </w:r>
      <w:r w:rsidRPr="00F149A3">
        <w:rPr>
          <w:rStyle w:val="tlid-translation"/>
        </w:rPr>
        <w:t>jo teisė į privataus gyvenimo gerbimą</w:t>
      </w:r>
      <w:r>
        <w:rPr>
          <w:rStyle w:val="tlid-translation"/>
        </w:rPr>
        <w:t>, todėl taikytinas Konvencijos 8 straipsnis.</w:t>
      </w:r>
      <w:r w:rsidRPr="00CE6813">
        <w:rPr>
          <w:rStyle w:val="tlid-translation"/>
        </w:rPr>
        <w:t xml:space="preserve"> </w:t>
      </w:r>
      <w:r>
        <w:rPr>
          <w:rStyle w:val="tlid-translation"/>
        </w:rPr>
        <w:t>Teismo vertinimu</w:t>
      </w:r>
      <w:r w:rsidRPr="00F149A3">
        <w:rPr>
          <w:rStyle w:val="tlid-translation"/>
        </w:rPr>
        <w:t xml:space="preserve">, ginčijamos priemonės </w:t>
      </w:r>
      <w:r>
        <w:rPr>
          <w:rStyle w:val="tlid-translation"/>
        </w:rPr>
        <w:t>laikytinos</w:t>
      </w:r>
      <w:r w:rsidRPr="00F149A3">
        <w:rPr>
          <w:rStyle w:val="tlid-translation"/>
        </w:rPr>
        <w:t xml:space="preserve"> kišim</w:t>
      </w:r>
      <w:r>
        <w:rPr>
          <w:rStyle w:val="tlid-translation"/>
        </w:rPr>
        <w:t>u</w:t>
      </w:r>
      <w:r w:rsidRPr="00F149A3">
        <w:rPr>
          <w:rStyle w:val="tlid-translation"/>
        </w:rPr>
        <w:t>si į pareiškėjo privatų gyvenimą</w:t>
      </w:r>
      <w:r>
        <w:rPr>
          <w:rStyle w:val="tlid-translation"/>
        </w:rPr>
        <w:t xml:space="preserve"> ir tuo aspektu</w:t>
      </w:r>
      <w:r w:rsidRPr="00F149A3">
        <w:rPr>
          <w:rStyle w:val="tlid-translation"/>
        </w:rPr>
        <w:t xml:space="preserve">, </w:t>
      </w:r>
      <w:r>
        <w:rPr>
          <w:rStyle w:val="tlid-translation"/>
        </w:rPr>
        <w:t>kad jis buvo</w:t>
      </w:r>
      <w:r w:rsidRPr="00F149A3">
        <w:rPr>
          <w:rStyle w:val="tlid-translation"/>
        </w:rPr>
        <w:t xml:space="preserve"> perk</w:t>
      </w:r>
      <w:r>
        <w:rPr>
          <w:rStyle w:val="tlid-translation"/>
        </w:rPr>
        <w:t>e</w:t>
      </w:r>
      <w:r w:rsidRPr="00F149A3">
        <w:rPr>
          <w:rStyle w:val="tlid-translation"/>
        </w:rPr>
        <w:t>li</w:t>
      </w:r>
      <w:r>
        <w:rPr>
          <w:rStyle w:val="tlid-translation"/>
        </w:rPr>
        <w:t>a</w:t>
      </w:r>
      <w:r w:rsidRPr="00F149A3">
        <w:rPr>
          <w:rStyle w:val="tlid-translation"/>
        </w:rPr>
        <w:t>mas į skirtingus kalėjimus, esančius atokiose vietose.</w:t>
      </w:r>
    </w:p>
    <w:p w14:paraId="6D6646C9" w14:textId="77777777" w:rsidR="006424CA" w:rsidRDefault="006424CA" w:rsidP="006424CA">
      <w:pPr>
        <w:spacing w:after="0" w:line="240" w:lineRule="auto"/>
        <w:ind w:right="-1" w:firstLine="567"/>
        <w:jc w:val="both"/>
        <w:rPr>
          <w:rFonts w:cs="Arial"/>
        </w:rPr>
      </w:pPr>
      <w:r>
        <w:rPr>
          <w:rStyle w:val="tlid-translation"/>
        </w:rPr>
        <w:t xml:space="preserve">Spręsdamas, </w:t>
      </w:r>
      <w:r w:rsidRPr="00F72FBB">
        <w:rPr>
          <w:rStyle w:val="tlid-translation"/>
        </w:rPr>
        <w:t xml:space="preserve">ar </w:t>
      </w:r>
      <w:r>
        <w:rPr>
          <w:rStyle w:val="tlid-translation"/>
        </w:rPr>
        <w:t xml:space="preserve">toks </w:t>
      </w:r>
      <w:r w:rsidRPr="00F72FBB">
        <w:rPr>
          <w:rStyle w:val="tlid-translation"/>
        </w:rPr>
        <w:t>kišimasis buvo teisėtas</w:t>
      </w:r>
      <w:r>
        <w:rPr>
          <w:rStyle w:val="tlid-translation"/>
        </w:rPr>
        <w:t>,</w:t>
      </w:r>
      <w:r w:rsidRPr="005822BD">
        <w:rPr>
          <w:rStyle w:val="tlid-translation"/>
        </w:rPr>
        <w:t xml:space="preserve"> </w:t>
      </w:r>
      <w:r w:rsidRPr="00F72FBB">
        <w:rPr>
          <w:rStyle w:val="tlid-translation"/>
        </w:rPr>
        <w:t>Teismas</w:t>
      </w:r>
      <w:r>
        <w:rPr>
          <w:rStyle w:val="tlid-translation"/>
        </w:rPr>
        <w:t xml:space="preserve"> atkreipė dėmesį, kad iki </w:t>
      </w:r>
      <w:r w:rsidRPr="003F7B9F">
        <w:rPr>
          <w:rFonts w:cs="Arial"/>
        </w:rPr>
        <w:t xml:space="preserve">2008 metais </w:t>
      </w:r>
      <w:r>
        <w:rPr>
          <w:rStyle w:val="tlid-translation"/>
        </w:rPr>
        <w:t>paskelbiant</w:t>
      </w:r>
      <w:r w:rsidRPr="006B16BA">
        <w:rPr>
          <w:rStyle w:val="tlid-translation"/>
        </w:rPr>
        <w:t xml:space="preserve"> Teismo sprendi</w:t>
      </w:r>
      <w:r>
        <w:rPr>
          <w:rStyle w:val="tlid-translation"/>
        </w:rPr>
        <w:t>mą</w:t>
      </w:r>
      <w:r w:rsidRPr="00191A5D">
        <w:rPr>
          <w:rFonts w:cs="Arial"/>
        </w:rPr>
        <w:t xml:space="preserve"> </w:t>
      </w:r>
      <w:r w:rsidRPr="003F7B9F">
        <w:rPr>
          <w:rFonts w:cs="Arial"/>
        </w:rPr>
        <w:t xml:space="preserve">byloje </w:t>
      </w:r>
      <w:r w:rsidRPr="00BB0953">
        <w:rPr>
          <w:rFonts w:cs="Arial"/>
          <w:i/>
          <w:iCs/>
        </w:rPr>
        <w:t xml:space="preserve">Lutsenko </w:t>
      </w:r>
      <w:r w:rsidRPr="003F7B9F">
        <w:rPr>
          <w:rFonts w:cs="Arial"/>
          <w:i/>
          <w:iCs/>
        </w:rPr>
        <w:t>prieš</w:t>
      </w:r>
      <w:r w:rsidRPr="00BB0953">
        <w:rPr>
          <w:rFonts w:cs="Arial"/>
          <w:i/>
          <w:iCs/>
        </w:rPr>
        <w:t xml:space="preserve"> Ukrain</w:t>
      </w:r>
      <w:r w:rsidRPr="003F7B9F">
        <w:rPr>
          <w:rFonts w:cs="Arial"/>
          <w:i/>
          <w:iCs/>
        </w:rPr>
        <w:t>ą</w:t>
      </w:r>
      <w:r>
        <w:rPr>
          <w:rFonts w:cs="Arial"/>
        </w:rPr>
        <w:t xml:space="preserve"> </w:t>
      </w:r>
      <w:r w:rsidRPr="006B16BA">
        <w:rPr>
          <w:rStyle w:val="tlid-translation"/>
        </w:rPr>
        <w:t xml:space="preserve">pareiškėjas kalėjimo vadovybės </w:t>
      </w:r>
      <w:r w:rsidRPr="002D11F2">
        <w:rPr>
          <w:rFonts w:cs="Arial"/>
        </w:rPr>
        <w:t xml:space="preserve">buvo </w:t>
      </w:r>
      <w:r w:rsidRPr="006B16BA">
        <w:rPr>
          <w:rStyle w:val="tlid-translation"/>
        </w:rPr>
        <w:t>daug kartų</w:t>
      </w:r>
      <w:r w:rsidRPr="00681058">
        <w:rPr>
          <w:rFonts w:cs="Arial"/>
        </w:rPr>
        <w:t xml:space="preserve"> </w:t>
      </w:r>
      <w:r>
        <w:rPr>
          <w:rFonts w:cs="Arial"/>
        </w:rPr>
        <w:t>skatintas</w:t>
      </w:r>
      <w:r w:rsidRPr="002D11F2">
        <w:rPr>
          <w:rFonts w:cs="Arial"/>
        </w:rPr>
        <w:t xml:space="preserve"> už gerą elgesį</w:t>
      </w:r>
      <w:r>
        <w:rPr>
          <w:rFonts w:cs="Arial"/>
        </w:rPr>
        <w:t xml:space="preserve"> ir jam buvo taikomas lengviausias</w:t>
      </w:r>
      <w:r w:rsidRPr="002D11F2">
        <w:rPr>
          <w:rFonts w:cs="Arial"/>
        </w:rPr>
        <w:t xml:space="preserve"> </w:t>
      </w:r>
      <w:r>
        <w:rPr>
          <w:rFonts w:cs="Arial"/>
        </w:rPr>
        <w:t xml:space="preserve">kalinimo </w:t>
      </w:r>
      <w:r w:rsidRPr="002D11F2">
        <w:rPr>
          <w:rFonts w:cs="Arial"/>
        </w:rPr>
        <w:t>režim</w:t>
      </w:r>
      <w:r>
        <w:rPr>
          <w:rFonts w:cs="Arial"/>
        </w:rPr>
        <w:t>as. Tačiau iškart po minėto sprendimo paskelbimo</w:t>
      </w:r>
      <w:r w:rsidRPr="00F31518">
        <w:rPr>
          <w:rStyle w:val="tlid-translation"/>
        </w:rPr>
        <w:t xml:space="preserve"> </w:t>
      </w:r>
      <w:r>
        <w:rPr>
          <w:rStyle w:val="tlid-translation"/>
        </w:rPr>
        <w:t>pareiškėjas</w:t>
      </w:r>
      <w:r w:rsidRPr="00F31518">
        <w:rPr>
          <w:rStyle w:val="tlid-translation"/>
        </w:rPr>
        <w:t xml:space="preserve"> </w:t>
      </w:r>
      <w:r>
        <w:rPr>
          <w:rStyle w:val="tlid-translation"/>
        </w:rPr>
        <w:t xml:space="preserve">du kartus </w:t>
      </w:r>
      <w:r w:rsidRPr="00F31518">
        <w:rPr>
          <w:rStyle w:val="tlid-translation"/>
        </w:rPr>
        <w:t xml:space="preserve">buvo patalpintas į </w:t>
      </w:r>
      <w:r>
        <w:rPr>
          <w:rStyle w:val="tlid-translation"/>
        </w:rPr>
        <w:t>bausmės izoliatorių</w:t>
      </w:r>
      <w:r w:rsidRPr="00F31518">
        <w:rPr>
          <w:rStyle w:val="tlid-translation"/>
        </w:rPr>
        <w:t xml:space="preserve"> nuo dešimties iki penkiolikos </w:t>
      </w:r>
      <w:r>
        <w:rPr>
          <w:rStyle w:val="tlid-translation"/>
        </w:rPr>
        <w:t>parų</w:t>
      </w:r>
      <w:r w:rsidRPr="00F31518">
        <w:rPr>
          <w:rStyle w:val="tlid-translation"/>
        </w:rPr>
        <w:t xml:space="preserve"> už kalėjimo taisyklių pažeidimus,</w:t>
      </w:r>
      <w:r>
        <w:rPr>
          <w:rStyle w:val="tlid-translation"/>
        </w:rPr>
        <w:t xml:space="preserve"> o vėliau </w:t>
      </w:r>
      <w:r>
        <w:rPr>
          <w:rFonts w:cs="Arial"/>
        </w:rPr>
        <w:t xml:space="preserve">jo kalinimo režimas pakeistas į griežtesnį. Pagal nacionalinį teisinį reguliavimą </w:t>
      </w:r>
      <w:r w:rsidRPr="00063B85">
        <w:rPr>
          <w:rFonts w:cs="Arial"/>
        </w:rPr>
        <w:t>pakeisti kal</w:t>
      </w:r>
      <w:r>
        <w:rPr>
          <w:rFonts w:cs="Arial"/>
        </w:rPr>
        <w:t>inimo</w:t>
      </w:r>
      <w:r w:rsidRPr="00063B85">
        <w:rPr>
          <w:rFonts w:cs="Arial"/>
        </w:rPr>
        <w:t xml:space="preserve"> režimą buvo </w:t>
      </w:r>
      <w:r>
        <w:rPr>
          <w:rFonts w:cs="Arial"/>
        </w:rPr>
        <w:t xml:space="preserve">galima </w:t>
      </w:r>
      <w:r w:rsidRPr="00063B85">
        <w:rPr>
          <w:rFonts w:cs="Arial"/>
        </w:rPr>
        <w:t xml:space="preserve">tik </w:t>
      </w:r>
      <w:r>
        <w:rPr>
          <w:rFonts w:cs="Arial"/>
        </w:rPr>
        <w:t xml:space="preserve">dėl </w:t>
      </w:r>
      <w:r w:rsidRPr="00063B85">
        <w:rPr>
          <w:rFonts w:cs="Arial"/>
        </w:rPr>
        <w:t>šiurkš</w:t>
      </w:r>
      <w:r>
        <w:rPr>
          <w:rFonts w:cs="Arial"/>
        </w:rPr>
        <w:t>taus</w:t>
      </w:r>
      <w:r w:rsidRPr="00063B85">
        <w:rPr>
          <w:rFonts w:cs="Arial"/>
        </w:rPr>
        <w:t xml:space="preserve"> kalėjimo taisykl</w:t>
      </w:r>
      <w:r>
        <w:rPr>
          <w:rFonts w:cs="Arial"/>
        </w:rPr>
        <w:t xml:space="preserve">ių pažeidimo, tačiau Vyriausybė </w:t>
      </w:r>
      <w:r w:rsidRPr="0049276B">
        <w:rPr>
          <w:rFonts w:cs="Arial"/>
        </w:rPr>
        <w:t>neteigė, kad nusižengima</w:t>
      </w:r>
      <w:r>
        <w:rPr>
          <w:rFonts w:cs="Arial"/>
        </w:rPr>
        <w:t>i</w:t>
      </w:r>
      <w:r w:rsidRPr="0049276B">
        <w:rPr>
          <w:rFonts w:cs="Arial"/>
        </w:rPr>
        <w:t>, už kur</w:t>
      </w:r>
      <w:r>
        <w:rPr>
          <w:rFonts w:cs="Arial"/>
        </w:rPr>
        <w:t>iuos</w:t>
      </w:r>
      <w:r w:rsidRPr="0049276B">
        <w:rPr>
          <w:rFonts w:cs="Arial"/>
        </w:rPr>
        <w:t xml:space="preserve"> </w:t>
      </w:r>
      <w:r>
        <w:rPr>
          <w:rFonts w:cs="Arial"/>
        </w:rPr>
        <w:t xml:space="preserve">pareiškėjui </w:t>
      </w:r>
      <w:r w:rsidRPr="0049276B">
        <w:rPr>
          <w:rFonts w:cs="Arial"/>
        </w:rPr>
        <w:t>sk</w:t>
      </w:r>
      <w:r>
        <w:rPr>
          <w:rFonts w:cs="Arial"/>
        </w:rPr>
        <w:t>irtos šios</w:t>
      </w:r>
      <w:r w:rsidRPr="0049276B">
        <w:rPr>
          <w:rFonts w:cs="Arial"/>
        </w:rPr>
        <w:t xml:space="preserve"> sankcij</w:t>
      </w:r>
      <w:r>
        <w:rPr>
          <w:rFonts w:cs="Arial"/>
        </w:rPr>
        <w:t>o</w:t>
      </w:r>
      <w:r w:rsidRPr="0049276B">
        <w:rPr>
          <w:rFonts w:cs="Arial"/>
        </w:rPr>
        <w:t>s</w:t>
      </w:r>
      <w:r>
        <w:rPr>
          <w:rFonts w:cs="Arial"/>
        </w:rPr>
        <w:t xml:space="preserve"> ir vėliau </w:t>
      </w:r>
      <w:r w:rsidRPr="0049276B">
        <w:rPr>
          <w:rFonts w:cs="Arial"/>
        </w:rPr>
        <w:t xml:space="preserve">pritaikytas griežtesnis </w:t>
      </w:r>
      <w:r>
        <w:rPr>
          <w:rFonts w:cs="Arial"/>
        </w:rPr>
        <w:t xml:space="preserve">kalinimo </w:t>
      </w:r>
      <w:r w:rsidRPr="0049276B">
        <w:rPr>
          <w:rFonts w:cs="Arial"/>
        </w:rPr>
        <w:t xml:space="preserve">režimas </w:t>
      </w:r>
      <w:r>
        <w:rPr>
          <w:rFonts w:cs="Arial"/>
        </w:rPr>
        <w:t>(</w:t>
      </w:r>
      <w:r w:rsidRPr="0049276B">
        <w:rPr>
          <w:rFonts w:cs="Arial"/>
        </w:rPr>
        <w:t>nebuvimas darbo vietoje ir mobiliojo telefono turėjimas</w:t>
      </w:r>
      <w:r>
        <w:rPr>
          <w:rFonts w:cs="Arial"/>
        </w:rPr>
        <w:t>)</w:t>
      </w:r>
      <w:r w:rsidRPr="0049276B">
        <w:rPr>
          <w:rFonts w:cs="Arial"/>
        </w:rPr>
        <w:t xml:space="preserve">, yra </w:t>
      </w:r>
      <w:r w:rsidRPr="00063B85">
        <w:rPr>
          <w:rFonts w:cs="Arial"/>
        </w:rPr>
        <w:t>šiurkš</w:t>
      </w:r>
      <w:r>
        <w:rPr>
          <w:rFonts w:cs="Arial"/>
        </w:rPr>
        <w:t>tūs pažeidimai taikytinos nacionalinės teisės prasme.</w:t>
      </w:r>
    </w:p>
    <w:p w14:paraId="07B6856F" w14:textId="77777777" w:rsidR="006424CA" w:rsidRDefault="006424CA" w:rsidP="006424CA">
      <w:pPr>
        <w:spacing w:after="0" w:line="240" w:lineRule="auto"/>
        <w:ind w:right="-1" w:firstLine="567"/>
        <w:jc w:val="both"/>
        <w:rPr>
          <w:rStyle w:val="tlid-translation"/>
        </w:rPr>
      </w:pPr>
      <w:r w:rsidRPr="00AE5530">
        <w:rPr>
          <w:rFonts w:cs="Arial"/>
        </w:rPr>
        <w:t xml:space="preserve">Dėl </w:t>
      </w:r>
      <w:r>
        <w:rPr>
          <w:rFonts w:cs="Arial"/>
        </w:rPr>
        <w:t xml:space="preserve">pareiškėjo </w:t>
      </w:r>
      <w:r w:rsidRPr="00AE5530">
        <w:rPr>
          <w:rFonts w:cs="Arial"/>
        </w:rPr>
        <w:t xml:space="preserve">perkėlimo </w:t>
      </w:r>
      <w:r>
        <w:rPr>
          <w:rFonts w:cs="Arial"/>
        </w:rPr>
        <w:t>į kitas kalinimo įstaigas</w:t>
      </w:r>
      <w:r w:rsidRPr="00AE5530">
        <w:rPr>
          <w:rFonts w:cs="Arial"/>
        </w:rPr>
        <w:t xml:space="preserve"> Teismas pa</w:t>
      </w:r>
      <w:r>
        <w:rPr>
          <w:rFonts w:cs="Arial"/>
        </w:rPr>
        <w:t>žymėjo</w:t>
      </w:r>
      <w:r w:rsidRPr="00AE5530">
        <w:rPr>
          <w:rFonts w:cs="Arial"/>
        </w:rPr>
        <w:t xml:space="preserve">, kad iš pradžių pareiškėjas bausmę atliko </w:t>
      </w:r>
      <w:r>
        <w:rPr>
          <w:rFonts w:cs="Arial"/>
        </w:rPr>
        <w:t>k</w:t>
      </w:r>
      <w:r w:rsidRPr="00AE5530">
        <w:rPr>
          <w:rFonts w:cs="Arial"/>
        </w:rPr>
        <w:t xml:space="preserve">alėjime, </w:t>
      </w:r>
      <w:r w:rsidRPr="002304DA">
        <w:rPr>
          <w:rStyle w:val="tlid-translation"/>
        </w:rPr>
        <w:t xml:space="preserve">esančiame </w:t>
      </w:r>
      <w:r w:rsidRPr="00AE5530">
        <w:rPr>
          <w:rFonts w:cs="Arial"/>
        </w:rPr>
        <w:t>18 km nuo jo namų. Tačiau po 2008 m</w:t>
      </w:r>
      <w:r>
        <w:rPr>
          <w:rFonts w:cs="Arial"/>
        </w:rPr>
        <w:t xml:space="preserve">etų </w:t>
      </w:r>
      <w:r w:rsidRPr="00AE5530">
        <w:rPr>
          <w:rFonts w:cs="Arial"/>
        </w:rPr>
        <w:t>Teismo sprendimo 2009–2011</w:t>
      </w:r>
      <w:r>
        <w:rPr>
          <w:rFonts w:cs="Arial"/>
        </w:rPr>
        <w:t> </w:t>
      </w:r>
      <w:r w:rsidRPr="00AE5530">
        <w:rPr>
          <w:rFonts w:cs="Arial"/>
        </w:rPr>
        <w:t>m</w:t>
      </w:r>
      <w:r>
        <w:rPr>
          <w:rFonts w:cs="Arial"/>
        </w:rPr>
        <w:t>etais</w:t>
      </w:r>
      <w:r w:rsidRPr="00AE5530">
        <w:rPr>
          <w:rFonts w:cs="Arial"/>
        </w:rPr>
        <w:t xml:space="preserve"> jis buvo perkeltas į tris skirting</w:t>
      </w:r>
      <w:r>
        <w:rPr>
          <w:rFonts w:cs="Arial"/>
        </w:rPr>
        <w:t>u</w:t>
      </w:r>
      <w:r w:rsidRPr="00AE5530">
        <w:rPr>
          <w:rFonts w:cs="Arial"/>
        </w:rPr>
        <w:t>s kal</w:t>
      </w:r>
      <w:r>
        <w:rPr>
          <w:rFonts w:cs="Arial"/>
        </w:rPr>
        <w:t xml:space="preserve">ėjimus, esančius </w:t>
      </w:r>
      <w:r w:rsidRPr="00AE5530">
        <w:rPr>
          <w:rFonts w:cs="Arial"/>
        </w:rPr>
        <w:t>72</w:t>
      </w:r>
      <w:r>
        <w:rPr>
          <w:rFonts w:cs="Arial"/>
        </w:rPr>
        <w:t>–</w:t>
      </w:r>
      <w:r w:rsidRPr="00AE5530">
        <w:rPr>
          <w:rFonts w:cs="Arial"/>
        </w:rPr>
        <w:t>1</w:t>
      </w:r>
      <w:r>
        <w:rPr>
          <w:rFonts w:cs="Arial"/>
        </w:rPr>
        <w:t> </w:t>
      </w:r>
      <w:r w:rsidRPr="00AE5530">
        <w:rPr>
          <w:rFonts w:cs="Arial"/>
        </w:rPr>
        <w:t xml:space="preserve">390 km </w:t>
      </w:r>
      <w:r>
        <w:rPr>
          <w:rFonts w:cs="Arial"/>
        </w:rPr>
        <w:t xml:space="preserve">atstumu </w:t>
      </w:r>
      <w:r w:rsidRPr="00AE5530">
        <w:rPr>
          <w:rFonts w:cs="Arial"/>
        </w:rPr>
        <w:t>nuo jo namų</w:t>
      </w:r>
      <w:r>
        <w:rPr>
          <w:rFonts w:cs="Arial"/>
        </w:rPr>
        <w:t>, nors</w:t>
      </w:r>
      <w:r>
        <w:rPr>
          <w:rStyle w:val="tlid-translation"/>
        </w:rPr>
        <w:t xml:space="preserve"> p</w:t>
      </w:r>
      <w:r w:rsidRPr="002304DA">
        <w:rPr>
          <w:rStyle w:val="tlid-translation"/>
        </w:rPr>
        <w:t xml:space="preserve">agal </w:t>
      </w:r>
      <w:r>
        <w:rPr>
          <w:rStyle w:val="tlid-translation"/>
        </w:rPr>
        <w:t>nacionalinę</w:t>
      </w:r>
      <w:r w:rsidRPr="002304DA">
        <w:rPr>
          <w:rStyle w:val="tlid-translation"/>
        </w:rPr>
        <w:t xml:space="preserve"> teisę </w:t>
      </w:r>
      <w:r>
        <w:rPr>
          <w:rStyle w:val="tlid-translation"/>
        </w:rPr>
        <w:t xml:space="preserve">kalinių </w:t>
      </w:r>
      <w:r w:rsidRPr="002304DA">
        <w:rPr>
          <w:rStyle w:val="tlid-translation"/>
        </w:rPr>
        <w:t>per</w:t>
      </w:r>
      <w:r>
        <w:rPr>
          <w:rStyle w:val="tlid-translation"/>
        </w:rPr>
        <w:t>kėlimas</w:t>
      </w:r>
      <w:r w:rsidRPr="002304DA">
        <w:rPr>
          <w:rStyle w:val="tlid-translation"/>
        </w:rPr>
        <w:t xml:space="preserve"> buvo leidžiam</w:t>
      </w:r>
      <w:r>
        <w:rPr>
          <w:rStyle w:val="tlid-translation"/>
        </w:rPr>
        <w:t>as</w:t>
      </w:r>
      <w:r w:rsidRPr="002304DA">
        <w:rPr>
          <w:rStyle w:val="tlid-translation"/>
        </w:rPr>
        <w:t xml:space="preserve"> tik </w:t>
      </w:r>
      <w:r>
        <w:rPr>
          <w:rStyle w:val="tlid-translation"/>
        </w:rPr>
        <w:t xml:space="preserve">esant </w:t>
      </w:r>
      <w:r w:rsidRPr="002304DA">
        <w:rPr>
          <w:rStyle w:val="tlid-translation"/>
        </w:rPr>
        <w:t>išskirtinėms aplinkybėms.</w:t>
      </w:r>
    </w:p>
    <w:p w14:paraId="0029A2E8" w14:textId="77777777" w:rsidR="006424CA" w:rsidRDefault="006424CA" w:rsidP="006424CA">
      <w:pPr>
        <w:spacing w:after="0" w:line="240" w:lineRule="auto"/>
        <w:ind w:right="-1" w:firstLine="567"/>
        <w:jc w:val="both"/>
        <w:rPr>
          <w:rStyle w:val="tlid-translation"/>
        </w:rPr>
      </w:pPr>
      <w:r w:rsidRPr="00C50A51">
        <w:rPr>
          <w:rStyle w:val="tlid-translation"/>
        </w:rPr>
        <w:t>Teismas pažym</w:t>
      </w:r>
      <w:r>
        <w:rPr>
          <w:rStyle w:val="tlid-translation"/>
        </w:rPr>
        <w:t>ėjo</w:t>
      </w:r>
      <w:r w:rsidRPr="00C50A51">
        <w:rPr>
          <w:rStyle w:val="tlid-translation"/>
        </w:rPr>
        <w:t xml:space="preserve">, kad šalys nepateikė atitinkamų dokumentų, </w:t>
      </w:r>
      <w:r>
        <w:rPr>
          <w:rStyle w:val="tlid-translation"/>
        </w:rPr>
        <w:t>kuriais remiantis</w:t>
      </w:r>
      <w:r w:rsidRPr="00C50A51">
        <w:rPr>
          <w:rStyle w:val="tlid-translation"/>
        </w:rPr>
        <w:t xml:space="preserve"> pareiškėj</w:t>
      </w:r>
      <w:r>
        <w:rPr>
          <w:rStyle w:val="tlid-translation"/>
        </w:rPr>
        <w:t xml:space="preserve">as buvo patalpintas į baudos izoliatorių, </w:t>
      </w:r>
      <w:r>
        <w:rPr>
          <w:rFonts w:cs="Arial"/>
        </w:rPr>
        <w:t xml:space="preserve">jo kalinimo režimas pakeistas į griežtesnį ir </w:t>
      </w:r>
      <w:r w:rsidRPr="00C50A51">
        <w:rPr>
          <w:rStyle w:val="tlid-translation"/>
        </w:rPr>
        <w:t>2009–2011 m</w:t>
      </w:r>
      <w:r>
        <w:rPr>
          <w:rStyle w:val="tlid-translation"/>
        </w:rPr>
        <w:t>etais</w:t>
      </w:r>
      <w:r w:rsidRPr="00C50A51">
        <w:rPr>
          <w:rStyle w:val="tlid-translation"/>
        </w:rPr>
        <w:t xml:space="preserve"> </w:t>
      </w:r>
      <w:r>
        <w:rPr>
          <w:rStyle w:val="tlid-translation"/>
        </w:rPr>
        <w:t xml:space="preserve">jis tris kartus </w:t>
      </w:r>
      <w:r w:rsidRPr="00C50A51">
        <w:rPr>
          <w:rStyle w:val="tlid-translation"/>
        </w:rPr>
        <w:t>perkelt</w:t>
      </w:r>
      <w:r>
        <w:rPr>
          <w:rStyle w:val="tlid-translation"/>
        </w:rPr>
        <w:t>as</w:t>
      </w:r>
      <w:r w:rsidRPr="00C50A51">
        <w:rPr>
          <w:rStyle w:val="tlid-translation"/>
        </w:rPr>
        <w:t xml:space="preserve"> į kitas kalinimo įstaigas</w:t>
      </w:r>
      <w:r>
        <w:rPr>
          <w:rStyle w:val="tlid-translation"/>
        </w:rPr>
        <w:t xml:space="preserve">, kopijų, o </w:t>
      </w:r>
      <w:r w:rsidRPr="00C50A51">
        <w:rPr>
          <w:rStyle w:val="tlid-translation"/>
        </w:rPr>
        <w:t>Vyriausybė pripažino, kad „kai kuri</w:t>
      </w:r>
      <w:r>
        <w:rPr>
          <w:rStyle w:val="tlid-translation"/>
        </w:rPr>
        <w:t>os</w:t>
      </w:r>
      <w:r w:rsidRPr="00C50A51">
        <w:rPr>
          <w:rStyle w:val="tlid-translation"/>
        </w:rPr>
        <w:t xml:space="preserve"> sankcij</w:t>
      </w:r>
      <w:r>
        <w:rPr>
          <w:rStyle w:val="tlid-translation"/>
        </w:rPr>
        <w:t>os</w:t>
      </w:r>
      <w:r w:rsidRPr="00C50A51">
        <w:rPr>
          <w:rStyle w:val="tlid-translation"/>
        </w:rPr>
        <w:t>“ vėliau prokuror</w:t>
      </w:r>
      <w:r>
        <w:rPr>
          <w:rStyle w:val="tlid-translation"/>
        </w:rPr>
        <w:t xml:space="preserve">o </w:t>
      </w:r>
      <w:r>
        <w:rPr>
          <w:rStyle w:val="tlid-translation"/>
        </w:rPr>
        <w:lastRenderedPageBreak/>
        <w:t>buvo</w:t>
      </w:r>
      <w:r w:rsidRPr="00C50A51">
        <w:rPr>
          <w:rStyle w:val="tlid-translation"/>
        </w:rPr>
        <w:t xml:space="preserve"> pripažin</w:t>
      </w:r>
      <w:r>
        <w:rPr>
          <w:rStyle w:val="tlid-translation"/>
        </w:rPr>
        <w:t>t</w:t>
      </w:r>
      <w:r w:rsidRPr="00C50A51">
        <w:rPr>
          <w:rStyle w:val="tlid-translation"/>
        </w:rPr>
        <w:t>o</w:t>
      </w:r>
      <w:r>
        <w:rPr>
          <w:rStyle w:val="tlid-translation"/>
        </w:rPr>
        <w:t>s</w:t>
      </w:r>
      <w:r w:rsidRPr="00C50A51">
        <w:rPr>
          <w:rStyle w:val="tlid-translation"/>
        </w:rPr>
        <w:t xml:space="preserve"> neteisėt</w:t>
      </w:r>
      <w:r>
        <w:rPr>
          <w:rStyle w:val="tlid-translation"/>
        </w:rPr>
        <w:t>omis.</w:t>
      </w:r>
      <w:r w:rsidRPr="00BA6284">
        <w:t xml:space="preserve"> </w:t>
      </w:r>
      <w:r w:rsidRPr="00BA6284">
        <w:rPr>
          <w:rStyle w:val="tlid-translation"/>
        </w:rPr>
        <w:t xml:space="preserve">Vienintelis </w:t>
      </w:r>
      <w:r>
        <w:rPr>
          <w:rStyle w:val="tlid-translation"/>
        </w:rPr>
        <w:t xml:space="preserve">Teismo </w:t>
      </w:r>
      <w:r w:rsidRPr="00BA6284">
        <w:rPr>
          <w:rStyle w:val="tlid-translation"/>
        </w:rPr>
        <w:t xml:space="preserve">turimas dokumentas, kuriame aptariamos </w:t>
      </w:r>
      <w:r>
        <w:rPr>
          <w:rStyle w:val="tlid-translation"/>
        </w:rPr>
        <w:t xml:space="preserve">pareiškėjui skirtos </w:t>
      </w:r>
      <w:r w:rsidRPr="00BA6284">
        <w:rPr>
          <w:rStyle w:val="tlid-translation"/>
        </w:rPr>
        <w:t xml:space="preserve">sankcijos ir </w:t>
      </w:r>
      <w:r>
        <w:rPr>
          <w:rStyle w:val="tlid-translation"/>
        </w:rPr>
        <w:t>jo perkėlimai į kitas kalinimo įstaigas</w:t>
      </w:r>
      <w:r w:rsidRPr="00BA6284">
        <w:rPr>
          <w:rStyle w:val="tlid-translation"/>
        </w:rPr>
        <w:t xml:space="preserve">, buvo 2011 m. gegužės mėn. </w:t>
      </w:r>
      <w:r>
        <w:rPr>
          <w:rStyle w:val="tlid-translation"/>
        </w:rPr>
        <w:t xml:space="preserve">nacionalinio </w:t>
      </w:r>
      <w:r w:rsidRPr="00BA6284">
        <w:rPr>
          <w:rStyle w:val="tlid-translation"/>
        </w:rPr>
        <w:t>teismo sprendimas, kuriuo pirmą kartą nurodyta paleisti pareiškėją anksčiau laiko.</w:t>
      </w:r>
      <w:r>
        <w:rPr>
          <w:rStyle w:val="tlid-translation"/>
        </w:rPr>
        <w:t xml:space="preserve"> Šiame sprendime pareiškėjui skirtos </w:t>
      </w:r>
      <w:r w:rsidRPr="005378E1">
        <w:rPr>
          <w:rStyle w:val="tlid-translation"/>
        </w:rPr>
        <w:t>sankcij</w:t>
      </w:r>
      <w:r>
        <w:rPr>
          <w:rStyle w:val="tlid-translation"/>
        </w:rPr>
        <w:t>o</w:t>
      </w:r>
      <w:r w:rsidRPr="005378E1">
        <w:rPr>
          <w:rStyle w:val="tlid-translation"/>
        </w:rPr>
        <w:t>s apibūdin</w:t>
      </w:r>
      <w:r>
        <w:rPr>
          <w:rStyle w:val="tlid-translation"/>
        </w:rPr>
        <w:t>t</w:t>
      </w:r>
      <w:r w:rsidRPr="005378E1">
        <w:rPr>
          <w:rStyle w:val="tlid-translation"/>
        </w:rPr>
        <w:t>o</w:t>
      </w:r>
      <w:r>
        <w:rPr>
          <w:rStyle w:val="tlid-translation"/>
        </w:rPr>
        <w:t>s</w:t>
      </w:r>
      <w:r w:rsidRPr="005378E1">
        <w:rPr>
          <w:rStyle w:val="tlid-translation"/>
        </w:rPr>
        <w:t xml:space="preserve"> kaip „nepagrįst</w:t>
      </w:r>
      <w:r>
        <w:rPr>
          <w:rStyle w:val="tlid-translation"/>
        </w:rPr>
        <w:t>o</w:t>
      </w:r>
      <w:r w:rsidRPr="005378E1">
        <w:rPr>
          <w:rStyle w:val="tlid-translation"/>
        </w:rPr>
        <w:t>s ir nesuprantam</w:t>
      </w:r>
      <w:r>
        <w:rPr>
          <w:rStyle w:val="tlid-translation"/>
        </w:rPr>
        <w:t>o</w:t>
      </w:r>
      <w:r w:rsidRPr="005378E1">
        <w:rPr>
          <w:rStyle w:val="tlid-translation"/>
        </w:rPr>
        <w:t>s“</w:t>
      </w:r>
      <w:r>
        <w:rPr>
          <w:rStyle w:val="tlid-translation"/>
        </w:rPr>
        <w:t xml:space="preserve">, </w:t>
      </w:r>
      <w:r w:rsidRPr="006E0646">
        <w:rPr>
          <w:rStyle w:val="tlid-translation"/>
        </w:rPr>
        <w:t>paskirt</w:t>
      </w:r>
      <w:r>
        <w:rPr>
          <w:rStyle w:val="tlid-translation"/>
        </w:rPr>
        <w:t>o</w:t>
      </w:r>
      <w:r w:rsidRPr="006E0646">
        <w:rPr>
          <w:rStyle w:val="tlid-translation"/>
        </w:rPr>
        <w:t>s už „nesuprantamus, dviprasmiškus, abejotinus pažeidimus – atsižvelgiant į jo pavyzdingą elgesį“</w:t>
      </w:r>
      <w:r>
        <w:rPr>
          <w:rStyle w:val="tlid-translation"/>
        </w:rPr>
        <w:t>.</w:t>
      </w:r>
      <w:r w:rsidRPr="006E0646">
        <w:rPr>
          <w:rStyle w:val="tlid-translation"/>
        </w:rPr>
        <w:t xml:space="preserve"> </w:t>
      </w:r>
      <w:r>
        <w:rPr>
          <w:rStyle w:val="tlid-translation"/>
        </w:rPr>
        <w:t>Taip pat</w:t>
      </w:r>
      <w:r w:rsidRPr="005378E1">
        <w:rPr>
          <w:rStyle w:val="tlid-translation"/>
        </w:rPr>
        <w:t xml:space="preserve"> pabrėž</w:t>
      </w:r>
      <w:r>
        <w:rPr>
          <w:rStyle w:val="tlid-translation"/>
        </w:rPr>
        <w:t>tas</w:t>
      </w:r>
      <w:r w:rsidRPr="005378E1">
        <w:rPr>
          <w:rStyle w:val="tlid-translation"/>
        </w:rPr>
        <w:t xml:space="preserve"> išskirtin</w:t>
      </w:r>
      <w:r>
        <w:rPr>
          <w:rStyle w:val="tlid-translation"/>
        </w:rPr>
        <w:t>is kalinių</w:t>
      </w:r>
      <w:r w:rsidRPr="005378E1">
        <w:rPr>
          <w:rStyle w:val="tlid-translation"/>
        </w:rPr>
        <w:t xml:space="preserve"> per</w:t>
      </w:r>
      <w:r>
        <w:rPr>
          <w:rStyle w:val="tlid-translation"/>
        </w:rPr>
        <w:t>kėlimo</w:t>
      </w:r>
      <w:r w:rsidRPr="005378E1">
        <w:rPr>
          <w:rStyle w:val="tlid-translation"/>
        </w:rPr>
        <w:t xml:space="preserve"> pobūd</w:t>
      </w:r>
      <w:r>
        <w:rPr>
          <w:rStyle w:val="tlid-translation"/>
        </w:rPr>
        <w:t xml:space="preserve">is, nurodant, kad </w:t>
      </w:r>
      <w:r w:rsidRPr="006E0646">
        <w:rPr>
          <w:rStyle w:val="tlid-translation"/>
        </w:rPr>
        <w:t>„net ir didžiausi kalėjimo taisyklių pažeidėjai atlieka bausmę viename kalėjime“</w:t>
      </w:r>
      <w:r w:rsidRPr="005378E1">
        <w:rPr>
          <w:rStyle w:val="tlid-translation"/>
        </w:rPr>
        <w:t>.</w:t>
      </w:r>
    </w:p>
    <w:p w14:paraId="585B5EDE" w14:textId="77777777" w:rsidR="006424CA" w:rsidRDefault="006424CA" w:rsidP="006424CA">
      <w:pPr>
        <w:spacing w:after="0" w:line="240" w:lineRule="auto"/>
        <w:ind w:right="-1" w:firstLine="567"/>
        <w:jc w:val="both"/>
        <w:rPr>
          <w:rStyle w:val="tlid-translation"/>
        </w:rPr>
      </w:pPr>
      <w:r>
        <w:rPr>
          <w:rStyle w:val="tlid-translation"/>
        </w:rPr>
        <w:t>Sprendime</w:t>
      </w:r>
      <w:r w:rsidRPr="005378E1">
        <w:rPr>
          <w:rStyle w:val="tlid-translation"/>
        </w:rPr>
        <w:t xml:space="preserve"> nurod</w:t>
      </w:r>
      <w:r>
        <w:rPr>
          <w:rStyle w:val="tlid-translation"/>
        </w:rPr>
        <w:t>yta</w:t>
      </w:r>
      <w:r w:rsidRPr="005378E1">
        <w:rPr>
          <w:rStyle w:val="tlid-translation"/>
        </w:rPr>
        <w:t xml:space="preserve">, kad prokuroras </w:t>
      </w:r>
      <w:r>
        <w:rPr>
          <w:rStyle w:val="tlid-translation"/>
        </w:rPr>
        <w:t xml:space="preserve">pareiškėjui skirtas </w:t>
      </w:r>
      <w:r w:rsidRPr="005378E1">
        <w:rPr>
          <w:rStyle w:val="tlid-translation"/>
        </w:rPr>
        <w:t xml:space="preserve">sankcijas panaikino kaip šališkas ir nepagrįstas, o vėliau vienos iš kalinimo įstaigų vadovas </w:t>
      </w:r>
      <w:r>
        <w:rPr>
          <w:rStyle w:val="tlid-translation"/>
        </w:rPr>
        <w:t xml:space="preserve">taip pat </w:t>
      </w:r>
      <w:r w:rsidRPr="005378E1">
        <w:rPr>
          <w:rStyle w:val="tlid-translation"/>
        </w:rPr>
        <w:t>panaikino sankcijas po vidinio patikrinimo, kuri</w:t>
      </w:r>
      <w:r>
        <w:rPr>
          <w:rStyle w:val="tlid-translation"/>
        </w:rPr>
        <w:t>o metu nustatyta</w:t>
      </w:r>
      <w:r w:rsidRPr="005378E1">
        <w:rPr>
          <w:rStyle w:val="tlid-translation"/>
        </w:rPr>
        <w:t xml:space="preserve">, kad jos nepagrįstos ir neteisėtos. Nors </w:t>
      </w:r>
      <w:r>
        <w:rPr>
          <w:rStyle w:val="tlid-translation"/>
        </w:rPr>
        <w:t xml:space="preserve">šis teismo </w:t>
      </w:r>
      <w:r w:rsidRPr="005378E1">
        <w:rPr>
          <w:rStyle w:val="tlid-translation"/>
        </w:rPr>
        <w:t xml:space="preserve">sprendimas buvo panaikintas, o byla perduota nagrinėti iš naujo, </w:t>
      </w:r>
      <w:r>
        <w:rPr>
          <w:rStyle w:val="tlid-translation"/>
        </w:rPr>
        <w:t xml:space="preserve">tai </w:t>
      </w:r>
      <w:r w:rsidRPr="005378E1">
        <w:rPr>
          <w:rStyle w:val="tlid-translation"/>
        </w:rPr>
        <w:t>neturėjo</w:t>
      </w:r>
      <w:r w:rsidRPr="00495051">
        <w:rPr>
          <w:rStyle w:val="tlid-translation"/>
        </w:rPr>
        <w:t xml:space="preserve"> </w:t>
      </w:r>
      <w:r w:rsidRPr="005378E1">
        <w:rPr>
          <w:rStyle w:val="tlid-translation"/>
        </w:rPr>
        <w:t>įtakos</w:t>
      </w:r>
      <w:r w:rsidRPr="00495051">
        <w:rPr>
          <w:rStyle w:val="tlid-translation"/>
        </w:rPr>
        <w:t xml:space="preserve"> </w:t>
      </w:r>
      <w:r>
        <w:rPr>
          <w:rStyle w:val="tlid-translation"/>
        </w:rPr>
        <w:t xml:space="preserve">minėtų </w:t>
      </w:r>
      <w:r w:rsidRPr="005378E1">
        <w:rPr>
          <w:rStyle w:val="tlid-translation"/>
        </w:rPr>
        <w:t>prokuroro ir kalinimo įstaigos vadovo sprendimų</w:t>
      </w:r>
      <w:r>
        <w:rPr>
          <w:rStyle w:val="tlid-translation"/>
        </w:rPr>
        <w:t xml:space="preserve">, kuriais </w:t>
      </w:r>
      <w:r w:rsidRPr="00495051">
        <w:rPr>
          <w:rStyle w:val="tlid-translation"/>
        </w:rPr>
        <w:t>sankcij</w:t>
      </w:r>
      <w:r>
        <w:rPr>
          <w:rStyle w:val="tlid-translation"/>
        </w:rPr>
        <w:t>o</w:t>
      </w:r>
      <w:r w:rsidRPr="00495051">
        <w:rPr>
          <w:rStyle w:val="tlid-translation"/>
        </w:rPr>
        <w:t xml:space="preserve">s </w:t>
      </w:r>
      <w:r>
        <w:rPr>
          <w:rStyle w:val="tlid-translation"/>
        </w:rPr>
        <w:t xml:space="preserve">buvo </w:t>
      </w:r>
      <w:r w:rsidRPr="00495051">
        <w:rPr>
          <w:rStyle w:val="tlid-translation"/>
        </w:rPr>
        <w:t>panaikint</w:t>
      </w:r>
      <w:r>
        <w:rPr>
          <w:rStyle w:val="tlid-translation"/>
        </w:rPr>
        <w:t>os</w:t>
      </w:r>
      <w:r w:rsidRPr="00495051">
        <w:rPr>
          <w:rStyle w:val="tlid-translation"/>
        </w:rPr>
        <w:t xml:space="preserve"> kaip nepagrįst</w:t>
      </w:r>
      <w:r>
        <w:rPr>
          <w:rStyle w:val="tlid-translation"/>
        </w:rPr>
        <w:t>o</w:t>
      </w:r>
      <w:r w:rsidRPr="00495051">
        <w:rPr>
          <w:rStyle w:val="tlid-translation"/>
        </w:rPr>
        <w:t>s ir neteisėt</w:t>
      </w:r>
      <w:r>
        <w:rPr>
          <w:rStyle w:val="tlid-translation"/>
        </w:rPr>
        <w:t>o</w:t>
      </w:r>
      <w:r w:rsidRPr="00495051">
        <w:rPr>
          <w:rStyle w:val="tlid-translation"/>
        </w:rPr>
        <w:t>s</w:t>
      </w:r>
      <w:r>
        <w:rPr>
          <w:rStyle w:val="tlid-translation"/>
        </w:rPr>
        <w:t xml:space="preserve">, </w:t>
      </w:r>
      <w:r w:rsidRPr="005378E1">
        <w:rPr>
          <w:rStyle w:val="tlid-translation"/>
        </w:rPr>
        <w:t>pagrįstumui.</w:t>
      </w:r>
      <w:r>
        <w:rPr>
          <w:rStyle w:val="tlid-translation"/>
        </w:rPr>
        <w:t xml:space="preserve"> Be to, bylą išnagrinėjus iš naujo </w:t>
      </w:r>
      <w:r>
        <w:rPr>
          <w:rFonts w:cs="Arial"/>
        </w:rPr>
        <w:t>nacionalinis</w:t>
      </w:r>
      <w:r w:rsidRPr="008820D2">
        <w:rPr>
          <w:rFonts w:cs="Arial"/>
        </w:rPr>
        <w:t xml:space="preserve"> teismas</w:t>
      </w:r>
      <w:r w:rsidRPr="003C11A9">
        <w:rPr>
          <w:rStyle w:val="tlid-translation"/>
        </w:rPr>
        <w:t xml:space="preserve"> </w:t>
      </w:r>
      <w:r w:rsidRPr="005378E1">
        <w:rPr>
          <w:rStyle w:val="tlid-translation"/>
        </w:rPr>
        <w:t>vėl įpareigojo pareiškėją paleisti</w:t>
      </w:r>
      <w:r w:rsidRPr="003C11A9">
        <w:rPr>
          <w:rFonts w:cs="Arial"/>
        </w:rPr>
        <w:t xml:space="preserve"> </w:t>
      </w:r>
      <w:r w:rsidRPr="008820D2">
        <w:rPr>
          <w:rFonts w:cs="Arial"/>
        </w:rPr>
        <w:t>anksčiau laiko</w:t>
      </w:r>
      <w:r>
        <w:rPr>
          <w:rFonts w:cs="Arial"/>
        </w:rPr>
        <w:t xml:space="preserve">, tokį sprendimą grįsdamas pareiškėjui skirtais pagyrimais </w:t>
      </w:r>
      <w:r w:rsidRPr="005378E1">
        <w:rPr>
          <w:rStyle w:val="tlid-translation"/>
        </w:rPr>
        <w:t>už gerą elgesį, teigiamą požiūrį į darbą ir mokslus</w:t>
      </w:r>
      <w:r>
        <w:rPr>
          <w:rStyle w:val="tlid-translation"/>
        </w:rPr>
        <w:t xml:space="preserve"> bei nesant neigiamų pastabų iš paskutinės kalinimo įstaigos</w:t>
      </w:r>
      <w:r w:rsidRPr="00ED15D5">
        <w:rPr>
          <w:rStyle w:val="tlid-translation"/>
        </w:rPr>
        <w:t xml:space="preserve"> </w:t>
      </w:r>
      <w:r w:rsidRPr="005378E1">
        <w:rPr>
          <w:rStyle w:val="tlid-translation"/>
        </w:rPr>
        <w:t xml:space="preserve">administracijos dėl </w:t>
      </w:r>
      <w:r>
        <w:rPr>
          <w:rStyle w:val="tlid-translation"/>
        </w:rPr>
        <w:t>pareiškėjo</w:t>
      </w:r>
      <w:r w:rsidRPr="005378E1">
        <w:rPr>
          <w:rStyle w:val="tlid-translation"/>
        </w:rPr>
        <w:t xml:space="preserve"> elgesio ar kalėjimo taisykl</w:t>
      </w:r>
      <w:r>
        <w:rPr>
          <w:rStyle w:val="tlid-translation"/>
        </w:rPr>
        <w:t>ių</w:t>
      </w:r>
      <w:r w:rsidRPr="005378E1">
        <w:rPr>
          <w:rStyle w:val="tlid-translation"/>
        </w:rPr>
        <w:t xml:space="preserve"> laikymosi.</w:t>
      </w:r>
      <w:r w:rsidRPr="00373328">
        <w:rPr>
          <w:rStyle w:val="tlid-translation"/>
        </w:rPr>
        <w:t xml:space="preserve"> </w:t>
      </w:r>
      <w:r w:rsidRPr="005378E1">
        <w:rPr>
          <w:rStyle w:val="tlid-translation"/>
        </w:rPr>
        <w:t xml:space="preserve">Šis sprendimas, kuriame nebuvo nurodyta, kad 2011 m. gegužės mėn. </w:t>
      </w:r>
      <w:r>
        <w:rPr>
          <w:rStyle w:val="tlid-translation"/>
        </w:rPr>
        <w:t xml:space="preserve">nacionalinio </w:t>
      </w:r>
      <w:r w:rsidRPr="00BA6284">
        <w:rPr>
          <w:rStyle w:val="tlid-translation"/>
        </w:rPr>
        <w:t xml:space="preserve">teismo </w:t>
      </w:r>
      <w:r w:rsidRPr="005378E1">
        <w:rPr>
          <w:rStyle w:val="tlid-translation"/>
        </w:rPr>
        <w:t>sprendimo išvados buvo neteisingos, tapo galutiniu.</w:t>
      </w:r>
    </w:p>
    <w:p w14:paraId="44535A85" w14:textId="77777777" w:rsidR="006424CA" w:rsidRDefault="006424CA" w:rsidP="006424CA">
      <w:pPr>
        <w:spacing w:after="0" w:line="240" w:lineRule="auto"/>
        <w:ind w:right="-1" w:firstLine="567"/>
        <w:jc w:val="both"/>
        <w:rPr>
          <w:rStyle w:val="tlid-translation"/>
        </w:rPr>
      </w:pPr>
      <w:r>
        <w:rPr>
          <w:rStyle w:val="tlid-translation"/>
        </w:rPr>
        <w:t>Teismo vertinimu, nurodytų aplinkybių</w:t>
      </w:r>
      <w:r w:rsidRPr="00B64817">
        <w:rPr>
          <w:rStyle w:val="tlid-translation"/>
        </w:rPr>
        <w:t xml:space="preserve"> pakanka daryti išvadą, kad ginčijamos drausminės nuobaudos, dėl kurių pareiškėjui buvo nustatytas griežtesnis kalinimo režimas, taip pat pakartotina</w:t>
      </w:r>
      <w:r>
        <w:rPr>
          <w:rStyle w:val="tlid-translation"/>
        </w:rPr>
        <w:t>s</w:t>
      </w:r>
      <w:r w:rsidRPr="00B64817">
        <w:rPr>
          <w:rStyle w:val="tlid-translation"/>
        </w:rPr>
        <w:t xml:space="preserve"> pareiškėj</w:t>
      </w:r>
      <w:r>
        <w:rPr>
          <w:rStyle w:val="tlid-translation"/>
        </w:rPr>
        <w:t>o perkėlimas</w:t>
      </w:r>
      <w:r w:rsidRPr="00B64817">
        <w:rPr>
          <w:rStyle w:val="tlid-translation"/>
        </w:rPr>
        <w:t xml:space="preserve"> į kitas kalinimo įstaigas neturėjo teisinio pagrindo.</w:t>
      </w:r>
      <w:r>
        <w:rPr>
          <w:rStyle w:val="tlid-translation"/>
        </w:rPr>
        <w:t xml:space="preserve"> Todėl Teismas sprendė, kad pareiškė</w:t>
      </w:r>
      <w:r w:rsidRPr="00F149A3">
        <w:rPr>
          <w:rStyle w:val="tlid-translation"/>
        </w:rPr>
        <w:t>jo teisė</w:t>
      </w:r>
      <w:r>
        <w:rPr>
          <w:rStyle w:val="tlid-translation"/>
        </w:rPr>
        <w:t>s</w:t>
      </w:r>
      <w:r w:rsidRPr="00F149A3">
        <w:rPr>
          <w:rStyle w:val="tlid-translation"/>
        </w:rPr>
        <w:t xml:space="preserve"> į privataus gyvenimo gerbimą</w:t>
      </w:r>
      <w:r>
        <w:rPr>
          <w:rStyle w:val="tlid-translation"/>
        </w:rPr>
        <w:t xml:space="preserve"> ribojimas </w:t>
      </w:r>
      <w:r w:rsidRPr="00B5170B">
        <w:rPr>
          <w:rStyle w:val="tlid-translation"/>
        </w:rPr>
        <w:t>buvo neteisėtas, todėl n</w:t>
      </w:r>
      <w:r>
        <w:rPr>
          <w:rStyle w:val="tlid-translation"/>
        </w:rPr>
        <w:t>urodė, kad nebe</w:t>
      </w:r>
      <w:r w:rsidRPr="00B5170B">
        <w:rPr>
          <w:rStyle w:val="tlid-translation"/>
        </w:rPr>
        <w:t xml:space="preserve">reikia nustatyti, ar </w:t>
      </w:r>
      <w:r>
        <w:rPr>
          <w:rStyle w:val="tlid-translation"/>
        </w:rPr>
        <w:t>šiuo ribojimu</w:t>
      </w:r>
      <w:r w:rsidRPr="00B5170B">
        <w:rPr>
          <w:rStyle w:val="tlid-translation"/>
        </w:rPr>
        <w:t xml:space="preserve"> buvo siekiama teisėto tikslo ir, jei taip, ar jis buvo proporcingas siekiamam tikslui.</w:t>
      </w:r>
      <w:r>
        <w:rPr>
          <w:rStyle w:val="tlid-translation"/>
        </w:rPr>
        <w:t xml:space="preserve"> </w:t>
      </w:r>
      <w:r w:rsidRPr="00B5170B">
        <w:t>Šiomis aplinkybėmis Teismas konstatavo</w:t>
      </w:r>
      <w:r>
        <w:t xml:space="preserve"> </w:t>
      </w:r>
      <w:r w:rsidRPr="00B5170B">
        <w:t>Konvencijos 8 straipsnio pažeidim</w:t>
      </w:r>
      <w:r>
        <w:t>ą.</w:t>
      </w:r>
    </w:p>
    <w:p w14:paraId="4CC46972" w14:textId="77777777" w:rsidR="006424CA" w:rsidRPr="007B5EFE" w:rsidRDefault="006424CA" w:rsidP="006424CA">
      <w:pPr>
        <w:spacing w:after="0" w:line="240" w:lineRule="auto"/>
        <w:ind w:right="-1" w:firstLine="567"/>
        <w:jc w:val="both"/>
        <w:rPr>
          <w:rStyle w:val="tlid-translation"/>
        </w:rPr>
      </w:pPr>
    </w:p>
    <w:p w14:paraId="260E1F0B" w14:textId="77777777" w:rsidR="006424CA" w:rsidRDefault="006424CA" w:rsidP="006424CA">
      <w:pPr>
        <w:spacing w:after="0" w:line="240" w:lineRule="auto"/>
        <w:ind w:right="-1" w:firstLine="567"/>
        <w:jc w:val="both"/>
        <w:rPr>
          <w:rFonts w:cstheme="minorHAnsi"/>
        </w:rPr>
      </w:pPr>
      <w:r w:rsidRPr="007B5EFE">
        <w:rPr>
          <w:rFonts w:cstheme="minorHAnsi"/>
        </w:rPr>
        <w:t xml:space="preserve">Išvada: nustatytas Konvencijos </w:t>
      </w:r>
      <w:r>
        <w:rPr>
          <w:rFonts w:cstheme="minorHAnsi"/>
        </w:rPr>
        <w:t>8</w:t>
      </w:r>
      <w:r w:rsidRPr="007B5EFE">
        <w:rPr>
          <w:rFonts w:cstheme="minorHAnsi"/>
        </w:rPr>
        <w:t xml:space="preserve"> </w:t>
      </w:r>
      <w:r>
        <w:rPr>
          <w:rFonts w:cstheme="minorHAnsi"/>
        </w:rPr>
        <w:t>straipsnio</w:t>
      </w:r>
      <w:r w:rsidRPr="007B5EFE">
        <w:rPr>
          <w:rFonts w:cstheme="minorHAnsi"/>
        </w:rPr>
        <w:t xml:space="preserve"> pažeidimas (</w:t>
      </w:r>
      <w:r>
        <w:rPr>
          <w:rFonts w:cstheme="minorHAnsi"/>
        </w:rPr>
        <w:t>vienbalsiai</w:t>
      </w:r>
      <w:r w:rsidRPr="007B5EFE">
        <w:rPr>
          <w:rFonts w:cstheme="minorHAnsi"/>
        </w:rPr>
        <w:t>).</w:t>
      </w:r>
    </w:p>
    <w:p w14:paraId="06C9C0AA" w14:textId="77777777" w:rsidR="006424CA" w:rsidRDefault="006424CA" w:rsidP="006424CA">
      <w:pPr>
        <w:spacing w:after="0" w:line="240" w:lineRule="auto"/>
        <w:ind w:right="-1" w:firstLine="567"/>
        <w:jc w:val="both"/>
        <w:rPr>
          <w:rFonts w:cstheme="minorHAnsi"/>
        </w:rPr>
      </w:pPr>
      <w:r w:rsidRPr="00536624">
        <w:rPr>
          <w:rFonts w:cstheme="minorHAnsi"/>
        </w:rPr>
        <w:t>41 straipsnis: priteista</w:t>
      </w:r>
      <w:r>
        <w:rPr>
          <w:rFonts w:cstheme="minorHAnsi"/>
        </w:rPr>
        <w:t>s</w:t>
      </w:r>
      <w:r w:rsidRPr="00536624">
        <w:rPr>
          <w:rFonts w:cstheme="minorHAnsi"/>
        </w:rPr>
        <w:t xml:space="preserve"> </w:t>
      </w:r>
      <w:r>
        <w:rPr>
          <w:rFonts w:cstheme="minorHAnsi"/>
        </w:rPr>
        <w:t>4 5</w:t>
      </w:r>
      <w:r w:rsidRPr="00536624">
        <w:rPr>
          <w:rFonts w:cstheme="minorHAnsi"/>
        </w:rPr>
        <w:t>00 Eur neturtinės žalos</w:t>
      </w:r>
      <w:r>
        <w:rPr>
          <w:rFonts w:cstheme="minorHAnsi"/>
        </w:rPr>
        <w:t xml:space="preserve"> </w:t>
      </w:r>
      <w:r w:rsidRPr="00536624">
        <w:rPr>
          <w:rFonts w:cstheme="minorHAnsi"/>
        </w:rPr>
        <w:t>atlyginim</w:t>
      </w:r>
      <w:r>
        <w:rPr>
          <w:rFonts w:cstheme="minorHAnsi"/>
        </w:rPr>
        <w:t>as</w:t>
      </w:r>
      <w:r w:rsidRPr="00536624">
        <w:rPr>
          <w:rFonts w:cstheme="minorHAnsi"/>
        </w:rPr>
        <w:t>.</w:t>
      </w:r>
    </w:p>
    <w:p w14:paraId="04F1012B" w14:textId="77777777" w:rsidR="006424CA" w:rsidRDefault="00000000" w:rsidP="006424CA">
      <w:pPr>
        <w:spacing w:after="0" w:line="240" w:lineRule="auto"/>
        <w:ind w:right="-1" w:firstLine="567"/>
        <w:rPr>
          <w:rStyle w:val="Hipersaitas"/>
          <w:rFonts w:cs="Arial"/>
        </w:rPr>
      </w:pPr>
      <w:hyperlink r:id="rId16" w:history="1">
        <w:r w:rsidR="006424CA" w:rsidRPr="007B5EFE">
          <w:rPr>
            <w:rStyle w:val="Hipersaitas"/>
            <w:rFonts w:cs="Arial"/>
          </w:rPr>
          <w:t>Prieiga internete</w:t>
        </w:r>
      </w:hyperlink>
    </w:p>
    <w:p w14:paraId="700EC49C" w14:textId="77777777" w:rsidR="006424CA" w:rsidRDefault="006424CA" w:rsidP="006424CA">
      <w:pPr>
        <w:spacing w:after="0" w:line="240" w:lineRule="auto"/>
        <w:ind w:right="-1" w:firstLine="567"/>
        <w:rPr>
          <w:rStyle w:val="Hipersaitas"/>
          <w:rFonts w:cs="Arial"/>
        </w:rPr>
      </w:pPr>
    </w:p>
    <w:p w14:paraId="70B6BE42" w14:textId="77777777" w:rsidR="006424CA" w:rsidRPr="007B5EFE" w:rsidRDefault="006424CA" w:rsidP="006424CA">
      <w:pPr>
        <w:spacing w:after="0" w:line="240" w:lineRule="auto"/>
        <w:ind w:right="-1"/>
        <w:jc w:val="center"/>
        <w:rPr>
          <w:rFonts w:cs="Arial"/>
          <w:b/>
        </w:rPr>
      </w:pPr>
      <w:r w:rsidRPr="007B5EFE">
        <w:rPr>
          <w:rFonts w:cs="Arial"/>
          <w:b/>
        </w:rPr>
        <w:t>Europos Žmogaus Teisių Teismo 202</w:t>
      </w:r>
      <w:r>
        <w:rPr>
          <w:rFonts w:cs="Arial"/>
          <w:b/>
        </w:rPr>
        <w:t>2</w:t>
      </w:r>
      <w:r w:rsidRPr="007B5EFE">
        <w:rPr>
          <w:rFonts w:cs="Arial"/>
          <w:b/>
        </w:rPr>
        <w:t xml:space="preserve"> m. </w:t>
      </w:r>
      <w:r>
        <w:rPr>
          <w:rFonts w:cs="Arial"/>
          <w:b/>
        </w:rPr>
        <w:t>gruodžio</w:t>
      </w:r>
      <w:r w:rsidRPr="007B5EFE">
        <w:rPr>
          <w:rFonts w:cs="Arial"/>
          <w:b/>
        </w:rPr>
        <w:t xml:space="preserve"> </w:t>
      </w:r>
      <w:r>
        <w:rPr>
          <w:rFonts w:cs="Arial"/>
          <w:b/>
        </w:rPr>
        <w:t>13</w:t>
      </w:r>
      <w:r w:rsidRPr="007B5EFE">
        <w:rPr>
          <w:rFonts w:cs="Arial"/>
          <w:b/>
        </w:rPr>
        <w:t xml:space="preserve"> d. sprendimas byloje</w:t>
      </w:r>
    </w:p>
    <w:p w14:paraId="2DADF006" w14:textId="77777777" w:rsidR="006424CA" w:rsidRPr="007B5EFE" w:rsidRDefault="006424CA" w:rsidP="006424CA">
      <w:pPr>
        <w:pStyle w:val="Antrat2"/>
        <w:ind w:right="-1" w:firstLine="0"/>
        <w:rPr>
          <w:b w:val="0"/>
          <w:bCs w:val="0"/>
          <w:i w:val="0"/>
          <w:iCs w:val="0"/>
          <w:color w:val="002060"/>
        </w:rPr>
      </w:pPr>
      <w:bookmarkStart w:id="26" w:name="_Toc141446358"/>
      <w:r>
        <w:t xml:space="preserve">G. T. </w:t>
      </w:r>
      <w:r w:rsidRPr="00861BFF">
        <w:t xml:space="preserve">prieš </w:t>
      </w:r>
      <w:r>
        <w:t>Graikij</w:t>
      </w:r>
      <w:r w:rsidRPr="00861BFF">
        <w:t>ą</w:t>
      </w:r>
      <w:bookmarkEnd w:id="26"/>
    </w:p>
    <w:p w14:paraId="04DDEE60" w14:textId="77777777" w:rsidR="006424CA" w:rsidRPr="007B5EFE" w:rsidRDefault="006424CA" w:rsidP="006424CA">
      <w:pPr>
        <w:spacing w:after="0" w:line="240" w:lineRule="auto"/>
        <w:ind w:right="-1"/>
        <w:jc w:val="center"/>
        <w:rPr>
          <w:rFonts w:cs="Arial"/>
          <w:b/>
        </w:rPr>
      </w:pPr>
      <w:r w:rsidRPr="007B5EFE">
        <w:rPr>
          <w:rFonts w:cs="Arial"/>
          <w:b/>
        </w:rPr>
        <w:t xml:space="preserve">(pareiškimo Nr. </w:t>
      </w:r>
      <w:r w:rsidRPr="005B3051">
        <w:rPr>
          <w:rFonts w:cs="Arial"/>
          <w:b/>
          <w:lang w:val="en-GB"/>
        </w:rPr>
        <w:t>37830/16</w:t>
      </w:r>
      <w:r w:rsidRPr="007B5EFE">
        <w:rPr>
          <w:rFonts w:cs="Arial"/>
          <w:b/>
        </w:rPr>
        <w:t xml:space="preserve">, </w:t>
      </w:r>
      <w:r w:rsidRPr="008F0751">
        <w:rPr>
          <w:rFonts w:cs="Arial"/>
          <w:b/>
        </w:rPr>
        <w:t xml:space="preserve">svarbos lygis – </w:t>
      </w:r>
      <w:r>
        <w:rPr>
          <w:rFonts w:cs="Arial"/>
          <w:b/>
        </w:rPr>
        <w:t>2</w:t>
      </w:r>
      <w:r w:rsidRPr="007B5EFE">
        <w:rPr>
          <w:rFonts w:cs="Arial"/>
          <w:b/>
        </w:rPr>
        <w:t>)</w:t>
      </w:r>
    </w:p>
    <w:p w14:paraId="510E8455" w14:textId="77777777" w:rsidR="006424CA" w:rsidRPr="007B5EFE" w:rsidRDefault="006424CA" w:rsidP="006424CA">
      <w:pPr>
        <w:spacing w:after="0" w:line="240" w:lineRule="auto"/>
        <w:ind w:right="-1"/>
        <w:jc w:val="center"/>
        <w:rPr>
          <w:rFonts w:cs="Arial"/>
        </w:rPr>
      </w:pPr>
    </w:p>
    <w:p w14:paraId="34F79835" w14:textId="77777777" w:rsidR="006424CA" w:rsidRPr="007B5EFE" w:rsidRDefault="006424CA" w:rsidP="006424CA">
      <w:pPr>
        <w:pStyle w:val="Antrat3"/>
        <w:spacing w:before="0" w:line="240" w:lineRule="auto"/>
        <w:ind w:right="-1" w:firstLine="567"/>
        <w:rPr>
          <w:i w:val="0"/>
          <w:iCs/>
          <w:shd w:val="clear" w:color="auto" w:fill="FFFFFF"/>
          <w:lang w:eastAsia="lt-LT"/>
        </w:rPr>
      </w:pPr>
      <w:bookmarkStart w:id="27" w:name="_Toc141446359"/>
      <w:r w:rsidRPr="00192FD8">
        <w:rPr>
          <w:iCs/>
          <w:shd w:val="clear" w:color="auto" w:fill="FFFFFF"/>
          <w:lang w:eastAsia="lt-LT"/>
        </w:rPr>
        <w:t xml:space="preserve">Dėl </w:t>
      </w:r>
      <w:r>
        <w:rPr>
          <w:iCs/>
          <w:shd w:val="clear" w:color="auto" w:fill="FFFFFF"/>
          <w:lang w:eastAsia="lt-LT"/>
        </w:rPr>
        <w:t>a</w:t>
      </w:r>
      <w:r w:rsidRPr="00B72D83">
        <w:rPr>
          <w:iCs/>
          <w:shd w:val="clear" w:color="auto" w:fill="FFFFFF"/>
          <w:lang w:eastAsia="lt-LT"/>
        </w:rPr>
        <w:t>tsisakym</w:t>
      </w:r>
      <w:r>
        <w:rPr>
          <w:iCs/>
          <w:shd w:val="clear" w:color="auto" w:fill="FFFFFF"/>
          <w:lang w:eastAsia="lt-LT"/>
        </w:rPr>
        <w:t>o</w:t>
      </w:r>
      <w:r w:rsidRPr="00B72D83">
        <w:rPr>
          <w:iCs/>
          <w:shd w:val="clear" w:color="auto" w:fill="FFFFFF"/>
          <w:lang w:eastAsia="lt-LT"/>
        </w:rPr>
        <w:t xml:space="preserve"> leisti kaliniui aplankyti sergančią motiną ir vėliau dalyvauti jos laidotuvėse vien dėl to, kad </w:t>
      </w:r>
      <w:r>
        <w:rPr>
          <w:iCs/>
          <w:shd w:val="clear" w:color="auto" w:fill="FFFFFF"/>
          <w:lang w:eastAsia="lt-LT"/>
        </w:rPr>
        <w:t>tam</w:t>
      </w:r>
      <w:r w:rsidRPr="00B72D83">
        <w:rPr>
          <w:iCs/>
          <w:shd w:val="clear" w:color="auto" w:fill="FFFFFF"/>
          <w:lang w:eastAsia="lt-LT"/>
        </w:rPr>
        <w:t xml:space="preserve"> reikalinga palyda ir būtų viršytas maksimalus </w:t>
      </w:r>
      <w:r>
        <w:rPr>
          <w:iCs/>
          <w:shd w:val="clear" w:color="auto" w:fill="FFFFFF"/>
          <w:lang w:eastAsia="lt-LT"/>
        </w:rPr>
        <w:t xml:space="preserve">išvykos už </w:t>
      </w:r>
      <w:r w:rsidRPr="00B72D83">
        <w:rPr>
          <w:iCs/>
          <w:shd w:val="clear" w:color="auto" w:fill="FFFFFF"/>
          <w:lang w:eastAsia="lt-LT"/>
        </w:rPr>
        <w:t xml:space="preserve">įkalinimo </w:t>
      </w:r>
      <w:r>
        <w:rPr>
          <w:iCs/>
          <w:shd w:val="clear" w:color="auto" w:fill="FFFFFF"/>
          <w:lang w:eastAsia="lt-LT"/>
        </w:rPr>
        <w:t>įstaigos ribų</w:t>
      </w:r>
      <w:r w:rsidRPr="00B72D83">
        <w:rPr>
          <w:iCs/>
          <w:shd w:val="clear" w:color="auto" w:fill="FFFFFF"/>
          <w:lang w:eastAsia="lt-LT"/>
        </w:rPr>
        <w:t xml:space="preserve"> laikas</w:t>
      </w:r>
      <w:bookmarkEnd w:id="27"/>
    </w:p>
    <w:p w14:paraId="1996EF3D" w14:textId="77777777" w:rsidR="006424CA" w:rsidRPr="007B5EFE" w:rsidRDefault="006424CA" w:rsidP="006424CA">
      <w:pPr>
        <w:spacing w:after="0" w:line="240" w:lineRule="auto"/>
        <w:ind w:right="-1"/>
        <w:jc w:val="center"/>
        <w:rPr>
          <w:rFonts w:cs="Arial"/>
          <w:b/>
        </w:rPr>
      </w:pPr>
    </w:p>
    <w:p w14:paraId="4E64C3A9" w14:textId="77777777" w:rsidR="006424CA" w:rsidRPr="007B5EFE" w:rsidRDefault="006424CA" w:rsidP="006424CA">
      <w:pPr>
        <w:spacing w:after="0" w:line="240" w:lineRule="auto"/>
        <w:ind w:right="-1"/>
        <w:jc w:val="center"/>
        <w:rPr>
          <w:rFonts w:cs="Arial"/>
          <w:b/>
        </w:rPr>
      </w:pPr>
      <w:r w:rsidRPr="007B5EFE">
        <w:rPr>
          <w:rFonts w:cs="Arial"/>
          <w:b/>
        </w:rPr>
        <w:t>Faktinės aplinkybės</w:t>
      </w:r>
    </w:p>
    <w:p w14:paraId="0AB315B2" w14:textId="77777777" w:rsidR="006424CA" w:rsidRPr="007B5EFE" w:rsidRDefault="006424CA" w:rsidP="006424CA">
      <w:pPr>
        <w:spacing w:after="0" w:line="240" w:lineRule="auto"/>
        <w:ind w:right="-1" w:firstLine="540"/>
        <w:jc w:val="center"/>
        <w:rPr>
          <w:rFonts w:cs="Arial"/>
          <w:b/>
        </w:rPr>
      </w:pPr>
    </w:p>
    <w:p w14:paraId="13540557" w14:textId="77777777" w:rsidR="006424CA" w:rsidRDefault="006424CA" w:rsidP="006424CA">
      <w:pPr>
        <w:spacing w:after="0" w:line="240" w:lineRule="auto"/>
        <w:ind w:right="-1" w:firstLine="567"/>
        <w:jc w:val="both"/>
        <w:rPr>
          <w:rFonts w:cs="Arial"/>
        </w:rPr>
      </w:pPr>
      <w:r w:rsidRPr="00AE2823">
        <w:rPr>
          <w:rFonts w:cs="Arial"/>
        </w:rPr>
        <w:t>Pareiškėjas, Graikijos pilietis, b</w:t>
      </w:r>
      <w:r>
        <w:rPr>
          <w:rFonts w:cs="Arial"/>
        </w:rPr>
        <w:t>ūdamas</w:t>
      </w:r>
      <w:r w:rsidRPr="00AE2823">
        <w:rPr>
          <w:rFonts w:cs="Arial"/>
        </w:rPr>
        <w:t xml:space="preserve"> kalėjime</w:t>
      </w:r>
      <w:r>
        <w:rPr>
          <w:rFonts w:cs="Arial"/>
        </w:rPr>
        <w:t xml:space="preserve"> </w:t>
      </w:r>
      <w:r w:rsidRPr="00AE2823">
        <w:rPr>
          <w:rFonts w:cs="Arial"/>
        </w:rPr>
        <w:t xml:space="preserve">2016 m. birželio 27 d. </w:t>
      </w:r>
      <w:r>
        <w:rPr>
          <w:rFonts w:cs="Arial"/>
        </w:rPr>
        <w:t>pateikė prašymą</w:t>
      </w:r>
      <w:r w:rsidRPr="00AE2823">
        <w:rPr>
          <w:rFonts w:cs="Arial"/>
        </w:rPr>
        <w:t xml:space="preserve"> dėl </w:t>
      </w:r>
      <w:r>
        <w:rPr>
          <w:rFonts w:cs="Arial"/>
        </w:rPr>
        <w:t xml:space="preserve">leidimo </w:t>
      </w:r>
      <w:r w:rsidRPr="00AE2823">
        <w:rPr>
          <w:rFonts w:cs="Arial"/>
        </w:rPr>
        <w:t>skubi</w:t>
      </w:r>
      <w:r>
        <w:rPr>
          <w:rFonts w:cs="Arial"/>
        </w:rPr>
        <w:t>ai</w:t>
      </w:r>
      <w:r w:rsidRPr="00AE2823">
        <w:rPr>
          <w:rFonts w:cs="Arial"/>
        </w:rPr>
        <w:t xml:space="preserve"> aplankyti savo motiną, kuri </w:t>
      </w:r>
      <w:r>
        <w:rPr>
          <w:rFonts w:cs="Arial"/>
        </w:rPr>
        <w:t xml:space="preserve">tuo metu </w:t>
      </w:r>
      <w:r w:rsidRPr="00AE2823">
        <w:rPr>
          <w:rFonts w:cs="Arial"/>
        </w:rPr>
        <w:t xml:space="preserve">buvo ligoninėje. </w:t>
      </w:r>
      <w:r>
        <w:rPr>
          <w:rFonts w:cs="Arial"/>
        </w:rPr>
        <w:t>Pareiškėja</w:t>
      </w:r>
      <w:r w:rsidRPr="00AE2823">
        <w:rPr>
          <w:rFonts w:cs="Arial"/>
        </w:rPr>
        <w:t xml:space="preserve">s užpildė trumpą standartizuotą </w:t>
      </w:r>
      <w:r>
        <w:rPr>
          <w:rFonts w:cs="Arial"/>
        </w:rPr>
        <w:t xml:space="preserve">prašymo </w:t>
      </w:r>
      <w:r w:rsidRPr="00AE2823">
        <w:rPr>
          <w:rFonts w:cs="Arial"/>
        </w:rPr>
        <w:t>formą, kurioje keli</w:t>
      </w:r>
      <w:r>
        <w:rPr>
          <w:rFonts w:cs="Arial"/>
        </w:rPr>
        <w:t>ais sakiniais</w:t>
      </w:r>
      <w:r w:rsidRPr="00AE2823">
        <w:rPr>
          <w:rFonts w:cs="Arial"/>
        </w:rPr>
        <w:t xml:space="preserve"> nurodė savo prašymo priežastį</w:t>
      </w:r>
      <w:r>
        <w:rPr>
          <w:rFonts w:cs="Arial"/>
        </w:rPr>
        <w:t xml:space="preserve">, tačiau prokuroras prašymo netenkino, </w:t>
      </w:r>
      <w:r w:rsidRPr="00AE2823">
        <w:rPr>
          <w:rFonts w:cs="Arial"/>
        </w:rPr>
        <w:t xml:space="preserve">motyvuodamas tuo, </w:t>
      </w:r>
      <w:r>
        <w:rPr>
          <w:rFonts w:cs="Arial"/>
        </w:rPr>
        <w:t>jog</w:t>
      </w:r>
      <w:r w:rsidRPr="00AE2823">
        <w:rPr>
          <w:rFonts w:cs="Arial"/>
        </w:rPr>
        <w:t xml:space="preserve"> pareiškėjo</w:t>
      </w:r>
      <w:r w:rsidRPr="004833A7">
        <w:t xml:space="preserve"> </w:t>
      </w:r>
      <w:r w:rsidRPr="004833A7">
        <w:rPr>
          <w:rFonts w:cs="Arial"/>
        </w:rPr>
        <w:t>išvyk</w:t>
      </w:r>
      <w:r>
        <w:rPr>
          <w:rFonts w:cs="Arial"/>
        </w:rPr>
        <w:t>a</w:t>
      </w:r>
      <w:r w:rsidRPr="004833A7">
        <w:rPr>
          <w:rFonts w:cs="Arial"/>
        </w:rPr>
        <w:t xml:space="preserve"> </w:t>
      </w:r>
      <w:r w:rsidRPr="00AE2823">
        <w:rPr>
          <w:rFonts w:cs="Arial"/>
        </w:rPr>
        <w:t xml:space="preserve">su palyda </w:t>
      </w:r>
      <w:r w:rsidRPr="004833A7">
        <w:rPr>
          <w:rFonts w:cs="Arial"/>
        </w:rPr>
        <w:t>už įkalinimo įstaigos ribų</w:t>
      </w:r>
      <w:r>
        <w:rPr>
          <w:rFonts w:cs="Arial"/>
        </w:rPr>
        <w:t xml:space="preserve"> </w:t>
      </w:r>
      <w:r w:rsidRPr="00AE2823">
        <w:rPr>
          <w:rFonts w:cs="Arial"/>
        </w:rPr>
        <w:t xml:space="preserve">būtų </w:t>
      </w:r>
      <w:r>
        <w:rPr>
          <w:rFonts w:cs="Arial"/>
        </w:rPr>
        <w:t xml:space="preserve">viršijusi maksimalią </w:t>
      </w:r>
      <w:r w:rsidRPr="00AE2823">
        <w:rPr>
          <w:rFonts w:cs="Arial"/>
        </w:rPr>
        <w:t xml:space="preserve">įstatymo nustatytą </w:t>
      </w:r>
      <w:r>
        <w:rPr>
          <w:rFonts w:cs="Arial"/>
        </w:rPr>
        <w:t xml:space="preserve">tokios išvykos trukmę, t. y. </w:t>
      </w:r>
      <w:r w:rsidRPr="00AE2823">
        <w:rPr>
          <w:rFonts w:cs="Arial"/>
        </w:rPr>
        <w:t xml:space="preserve">trukusi ilgiau nei </w:t>
      </w:r>
      <w:r>
        <w:rPr>
          <w:rFonts w:cs="Arial"/>
        </w:rPr>
        <w:t xml:space="preserve">24 </w:t>
      </w:r>
      <w:r w:rsidRPr="00AE2823">
        <w:rPr>
          <w:rFonts w:cs="Arial"/>
        </w:rPr>
        <w:t>valandas</w:t>
      </w:r>
      <w:r>
        <w:rPr>
          <w:rFonts w:cs="Arial"/>
        </w:rPr>
        <w:t>.</w:t>
      </w:r>
    </w:p>
    <w:p w14:paraId="195D8C83" w14:textId="77777777" w:rsidR="006424CA" w:rsidRDefault="006424CA" w:rsidP="006424CA">
      <w:pPr>
        <w:spacing w:after="0" w:line="240" w:lineRule="auto"/>
        <w:ind w:right="-1" w:firstLine="567"/>
        <w:jc w:val="both"/>
        <w:rPr>
          <w:rFonts w:cs="Arial"/>
        </w:rPr>
      </w:pPr>
      <w:r w:rsidRPr="00AE2823">
        <w:rPr>
          <w:rFonts w:cs="Arial"/>
        </w:rPr>
        <w:t>2016 m. birželio 30 d. pareiškėjo motina</w:t>
      </w:r>
      <w:r w:rsidRPr="0022259C">
        <w:rPr>
          <w:rFonts w:cs="Arial"/>
        </w:rPr>
        <w:t xml:space="preserve"> </w:t>
      </w:r>
      <w:r w:rsidRPr="00AE2823">
        <w:rPr>
          <w:rFonts w:cs="Arial"/>
        </w:rPr>
        <w:t xml:space="preserve">mirė. Tą pačią dieną </w:t>
      </w:r>
      <w:r>
        <w:rPr>
          <w:rFonts w:cs="Arial"/>
        </w:rPr>
        <w:t>pareiškėja</w:t>
      </w:r>
      <w:r w:rsidRPr="00AE2823">
        <w:rPr>
          <w:rFonts w:cs="Arial"/>
        </w:rPr>
        <w:t xml:space="preserve">s pateikė prašymą skubiai leisti </w:t>
      </w:r>
      <w:r>
        <w:rPr>
          <w:rFonts w:cs="Arial"/>
        </w:rPr>
        <w:t xml:space="preserve">jam </w:t>
      </w:r>
      <w:r w:rsidRPr="00AE2823">
        <w:rPr>
          <w:rFonts w:cs="Arial"/>
        </w:rPr>
        <w:t xml:space="preserve">dalyvauti </w:t>
      </w:r>
      <w:r>
        <w:rPr>
          <w:rFonts w:cs="Arial"/>
        </w:rPr>
        <w:t>motin</w:t>
      </w:r>
      <w:r w:rsidRPr="00AE2823">
        <w:rPr>
          <w:rFonts w:cs="Arial"/>
        </w:rPr>
        <w:t>os laidotuvėse, kurios turėjo vykti 2016 m. liepos 5 d.</w:t>
      </w:r>
      <w:r>
        <w:rPr>
          <w:rFonts w:cs="Arial"/>
        </w:rPr>
        <w:t>, tačiau</w:t>
      </w:r>
      <w:r w:rsidRPr="00AE2823">
        <w:rPr>
          <w:rFonts w:cs="Arial"/>
        </w:rPr>
        <w:t xml:space="preserve"> prokuroras </w:t>
      </w:r>
      <w:r>
        <w:rPr>
          <w:rFonts w:cs="Arial"/>
        </w:rPr>
        <w:t>ir šio prašymo netenkino, vadovaudamasis tais pačiais motyvais</w:t>
      </w:r>
      <w:r w:rsidRPr="00AE2823">
        <w:rPr>
          <w:rFonts w:cs="Arial"/>
        </w:rPr>
        <w:t>.</w:t>
      </w:r>
    </w:p>
    <w:p w14:paraId="34E43005" w14:textId="77777777" w:rsidR="006424CA" w:rsidRDefault="006424CA" w:rsidP="006424CA">
      <w:pPr>
        <w:spacing w:after="0" w:line="240" w:lineRule="auto"/>
        <w:ind w:right="-1" w:firstLine="567"/>
        <w:jc w:val="both"/>
        <w:rPr>
          <w:rFonts w:cs="Arial"/>
        </w:rPr>
      </w:pPr>
      <w:r w:rsidRPr="00502CAA">
        <w:rPr>
          <w:rFonts w:cs="Arial"/>
        </w:rPr>
        <w:t xml:space="preserve">Remdamasis </w:t>
      </w:r>
      <w:r>
        <w:rPr>
          <w:rFonts w:cs="Arial"/>
        </w:rPr>
        <w:t xml:space="preserve">Konvencijos </w:t>
      </w:r>
      <w:r w:rsidRPr="00502CAA">
        <w:rPr>
          <w:rFonts w:cs="Arial"/>
        </w:rPr>
        <w:t xml:space="preserve">8 straipsniu, </w:t>
      </w:r>
      <w:r>
        <w:rPr>
          <w:rFonts w:cs="Arial"/>
        </w:rPr>
        <w:t>pareiškėjas</w:t>
      </w:r>
      <w:r w:rsidRPr="00502CAA">
        <w:rPr>
          <w:rFonts w:cs="Arial"/>
        </w:rPr>
        <w:t xml:space="preserve"> </w:t>
      </w:r>
      <w:r>
        <w:rPr>
          <w:rFonts w:cs="Arial"/>
        </w:rPr>
        <w:t>skundėsi</w:t>
      </w:r>
      <w:r w:rsidRPr="00502CAA">
        <w:rPr>
          <w:rFonts w:cs="Arial"/>
        </w:rPr>
        <w:t xml:space="preserve">, kad valdžios institucijų atsisakymas patenkinti jo prašymus skubiai leisti aplankyti motiną, kai ji gulėjo ligoninėje, ir vėliau dalyvauti jos laidotuvėse pažeidė jo teisę </w:t>
      </w:r>
      <w:r>
        <w:rPr>
          <w:rFonts w:cs="Arial"/>
        </w:rPr>
        <w:t>į privataus ir šeimos gyvenimo gerbimą. Taip pat, r</w:t>
      </w:r>
      <w:r w:rsidRPr="00502CAA">
        <w:rPr>
          <w:rFonts w:cs="Arial"/>
        </w:rPr>
        <w:t xml:space="preserve">emdamasis </w:t>
      </w:r>
      <w:r>
        <w:rPr>
          <w:rFonts w:cs="Arial"/>
        </w:rPr>
        <w:t xml:space="preserve">Konvencijos </w:t>
      </w:r>
      <w:r w:rsidRPr="00502CAA">
        <w:rPr>
          <w:rFonts w:cs="Arial"/>
        </w:rPr>
        <w:t>13</w:t>
      </w:r>
      <w:r>
        <w:rPr>
          <w:rFonts w:cs="Arial"/>
        </w:rPr>
        <w:t> </w:t>
      </w:r>
      <w:r w:rsidRPr="00502CAA">
        <w:rPr>
          <w:rFonts w:cs="Arial"/>
        </w:rPr>
        <w:t>straipsniu</w:t>
      </w:r>
      <w:r>
        <w:rPr>
          <w:rFonts w:cs="Arial"/>
        </w:rPr>
        <w:t>,</w:t>
      </w:r>
      <w:r w:rsidRPr="00502CAA">
        <w:rPr>
          <w:rFonts w:cs="Arial"/>
        </w:rPr>
        <w:t xml:space="preserve"> </w:t>
      </w:r>
      <w:r>
        <w:rPr>
          <w:rFonts w:cs="Arial"/>
        </w:rPr>
        <w:t xml:space="preserve">skaitomu </w:t>
      </w:r>
      <w:r w:rsidRPr="00502CAA">
        <w:rPr>
          <w:rFonts w:cs="Arial"/>
        </w:rPr>
        <w:t xml:space="preserve">kartu su 8 straipsniu, </w:t>
      </w:r>
      <w:r>
        <w:rPr>
          <w:rFonts w:cs="Arial"/>
        </w:rPr>
        <w:t>pareiškėjas</w:t>
      </w:r>
      <w:r w:rsidRPr="00502CAA">
        <w:rPr>
          <w:rFonts w:cs="Arial"/>
        </w:rPr>
        <w:t xml:space="preserve"> </w:t>
      </w:r>
      <w:r>
        <w:rPr>
          <w:rFonts w:cs="Arial"/>
        </w:rPr>
        <w:t>skundėsi</w:t>
      </w:r>
      <w:r w:rsidRPr="00502CAA">
        <w:rPr>
          <w:rFonts w:cs="Arial"/>
        </w:rPr>
        <w:t>, kad pagal vidaus teisę ne</w:t>
      </w:r>
      <w:r>
        <w:rPr>
          <w:rFonts w:cs="Arial"/>
        </w:rPr>
        <w:t>buvo</w:t>
      </w:r>
      <w:r w:rsidRPr="00502CAA">
        <w:rPr>
          <w:rFonts w:cs="Arial"/>
        </w:rPr>
        <w:t xml:space="preserve"> veiksming</w:t>
      </w:r>
      <w:r>
        <w:rPr>
          <w:rFonts w:cs="Arial"/>
        </w:rPr>
        <w:t>ų</w:t>
      </w:r>
      <w:r w:rsidRPr="00502CAA">
        <w:rPr>
          <w:rFonts w:cs="Arial"/>
        </w:rPr>
        <w:t xml:space="preserve"> </w:t>
      </w:r>
      <w:r>
        <w:rPr>
          <w:rFonts w:cs="Arial"/>
        </w:rPr>
        <w:t>teisių</w:t>
      </w:r>
      <w:r w:rsidRPr="00502CAA">
        <w:rPr>
          <w:rFonts w:cs="Arial"/>
        </w:rPr>
        <w:t xml:space="preserve"> gynimo priemon</w:t>
      </w:r>
      <w:r>
        <w:rPr>
          <w:rFonts w:cs="Arial"/>
        </w:rPr>
        <w:t>ių</w:t>
      </w:r>
      <w:r w:rsidRPr="00502CAA">
        <w:rPr>
          <w:rFonts w:cs="Arial"/>
        </w:rPr>
        <w:t xml:space="preserve"> </w:t>
      </w:r>
      <w:r>
        <w:rPr>
          <w:rFonts w:cs="Arial"/>
        </w:rPr>
        <w:t>siekiant</w:t>
      </w:r>
      <w:r w:rsidRPr="00502CAA">
        <w:rPr>
          <w:rFonts w:cs="Arial"/>
        </w:rPr>
        <w:t xml:space="preserve"> </w:t>
      </w:r>
      <w:r>
        <w:rPr>
          <w:rFonts w:cs="Arial"/>
        </w:rPr>
        <w:t>nu</w:t>
      </w:r>
      <w:r w:rsidRPr="00502CAA">
        <w:rPr>
          <w:rFonts w:cs="Arial"/>
        </w:rPr>
        <w:t xml:space="preserve">ginčyti </w:t>
      </w:r>
      <w:r>
        <w:rPr>
          <w:rFonts w:cs="Arial"/>
        </w:rPr>
        <w:t xml:space="preserve">minėtus </w:t>
      </w:r>
      <w:r w:rsidRPr="00502CAA">
        <w:rPr>
          <w:rFonts w:cs="Arial"/>
        </w:rPr>
        <w:t>atsisakym</w:t>
      </w:r>
      <w:r>
        <w:rPr>
          <w:rFonts w:cs="Arial"/>
        </w:rPr>
        <w:t>us.</w:t>
      </w:r>
    </w:p>
    <w:p w14:paraId="3112ECA9" w14:textId="77777777" w:rsidR="006424CA" w:rsidRPr="007B5EFE" w:rsidRDefault="006424CA" w:rsidP="006424CA">
      <w:pPr>
        <w:spacing w:after="0" w:line="240" w:lineRule="auto"/>
        <w:ind w:right="-1" w:firstLine="567"/>
        <w:jc w:val="both"/>
        <w:rPr>
          <w:rStyle w:val="tlid-translation"/>
        </w:rPr>
      </w:pPr>
    </w:p>
    <w:p w14:paraId="3E0DD5C1" w14:textId="77777777" w:rsidR="006424CA" w:rsidRPr="007B5EFE" w:rsidRDefault="006424CA" w:rsidP="006424CA">
      <w:pPr>
        <w:spacing w:after="0" w:line="240" w:lineRule="auto"/>
        <w:ind w:right="-1"/>
        <w:jc w:val="center"/>
        <w:rPr>
          <w:rFonts w:cs="Arial"/>
        </w:rPr>
      </w:pPr>
      <w:r w:rsidRPr="007B5EFE">
        <w:rPr>
          <w:rFonts w:cs="Arial"/>
          <w:b/>
        </w:rPr>
        <w:t>Neoficiali Teismo sprendimo apžvalga</w:t>
      </w:r>
    </w:p>
    <w:p w14:paraId="33CE1618" w14:textId="77777777" w:rsidR="006424CA" w:rsidRDefault="006424CA" w:rsidP="006424CA">
      <w:pPr>
        <w:spacing w:after="0" w:line="240" w:lineRule="auto"/>
        <w:ind w:right="-1" w:firstLine="567"/>
        <w:jc w:val="both"/>
        <w:rPr>
          <w:rStyle w:val="tlid-translation"/>
        </w:rPr>
      </w:pPr>
    </w:p>
    <w:p w14:paraId="04326D6A" w14:textId="77777777" w:rsidR="006424CA" w:rsidRPr="007B5EFE" w:rsidRDefault="006424CA" w:rsidP="006424CA">
      <w:pPr>
        <w:spacing w:after="0" w:line="240" w:lineRule="auto"/>
        <w:ind w:right="-1" w:firstLine="567"/>
        <w:rPr>
          <w:i/>
          <w:iCs/>
          <w:shd w:val="clear" w:color="auto" w:fill="FFFFFF"/>
          <w:lang w:eastAsia="lt-LT"/>
        </w:rPr>
      </w:pPr>
      <w:r w:rsidRPr="00192FD8">
        <w:rPr>
          <w:i/>
          <w:iCs/>
          <w:shd w:val="clear" w:color="auto" w:fill="FFFFFF"/>
          <w:lang w:eastAsia="lt-LT"/>
        </w:rPr>
        <w:t xml:space="preserve">Dėl </w:t>
      </w:r>
      <w:r>
        <w:rPr>
          <w:i/>
          <w:iCs/>
          <w:shd w:val="clear" w:color="auto" w:fill="FFFFFF"/>
          <w:lang w:eastAsia="lt-LT"/>
        </w:rPr>
        <w:t>Konvencijos 8 straipsnio pažeidimo</w:t>
      </w:r>
    </w:p>
    <w:p w14:paraId="1D9C350E" w14:textId="77777777" w:rsidR="006424CA" w:rsidRDefault="006424CA" w:rsidP="006424CA">
      <w:pPr>
        <w:spacing w:after="0" w:line="240" w:lineRule="auto"/>
        <w:ind w:right="-1" w:firstLine="567"/>
        <w:jc w:val="both"/>
        <w:rPr>
          <w:rStyle w:val="tlid-translation"/>
        </w:rPr>
      </w:pPr>
    </w:p>
    <w:p w14:paraId="0CAC20BF" w14:textId="77777777" w:rsidR="006424CA" w:rsidRDefault="006424CA" w:rsidP="006424CA">
      <w:pPr>
        <w:spacing w:after="0" w:line="240" w:lineRule="auto"/>
        <w:ind w:right="-1" w:firstLine="567"/>
        <w:jc w:val="both"/>
        <w:rPr>
          <w:rStyle w:val="tlid-translation"/>
        </w:rPr>
      </w:pPr>
      <w:r>
        <w:rPr>
          <w:rStyle w:val="tlid-translation"/>
        </w:rPr>
        <w:t xml:space="preserve">Teismas </w:t>
      </w:r>
      <w:r w:rsidRPr="008141F9">
        <w:rPr>
          <w:rStyle w:val="tlid-translation"/>
        </w:rPr>
        <w:t xml:space="preserve">sprendė, kad atsisakymas leisti kaliniui </w:t>
      </w:r>
      <w:r>
        <w:rPr>
          <w:rStyle w:val="tlid-translation"/>
        </w:rPr>
        <w:t>laikinai išvykti iš</w:t>
      </w:r>
      <w:r w:rsidRPr="008141F9">
        <w:rPr>
          <w:rStyle w:val="tlid-translation"/>
        </w:rPr>
        <w:t xml:space="preserve"> kalėjim</w:t>
      </w:r>
      <w:r>
        <w:rPr>
          <w:rStyle w:val="tlid-translation"/>
        </w:rPr>
        <w:t>o</w:t>
      </w:r>
      <w:r w:rsidRPr="008141F9">
        <w:rPr>
          <w:rStyle w:val="tlid-translation"/>
        </w:rPr>
        <w:t xml:space="preserve"> aplankyti sergantį giminaitį arba dalyvauti giminaičio laidotuvėse </w:t>
      </w:r>
      <w:r>
        <w:rPr>
          <w:rStyle w:val="tlid-translation"/>
        </w:rPr>
        <w:t xml:space="preserve">yra </w:t>
      </w:r>
      <w:r w:rsidRPr="008141F9">
        <w:rPr>
          <w:rStyle w:val="tlid-translation"/>
        </w:rPr>
        <w:t>jo teis</w:t>
      </w:r>
      <w:r>
        <w:rPr>
          <w:rStyle w:val="tlid-translation"/>
        </w:rPr>
        <w:t>ės</w:t>
      </w:r>
      <w:r w:rsidRPr="008141F9">
        <w:rPr>
          <w:rStyle w:val="tlid-translation"/>
        </w:rPr>
        <w:t xml:space="preserve"> į privataus ir šeimos gyvenimo gerbimą</w:t>
      </w:r>
      <w:r>
        <w:rPr>
          <w:rStyle w:val="tlid-translation"/>
        </w:rPr>
        <w:t xml:space="preserve"> ribojimas.</w:t>
      </w:r>
      <w:r w:rsidRPr="00D81A6F">
        <w:rPr>
          <w:rStyle w:val="tlid-translation"/>
        </w:rPr>
        <w:t xml:space="preserve"> </w:t>
      </w:r>
      <w:r>
        <w:rPr>
          <w:rStyle w:val="tlid-translation"/>
        </w:rPr>
        <w:t xml:space="preserve">Nors </w:t>
      </w:r>
      <w:r w:rsidRPr="008141F9">
        <w:rPr>
          <w:rStyle w:val="tlid-translation"/>
        </w:rPr>
        <w:t>Konvencijos 8 straipsnis ne</w:t>
      </w:r>
      <w:r>
        <w:rPr>
          <w:rStyle w:val="tlid-translation"/>
        </w:rPr>
        <w:t>garantuoja</w:t>
      </w:r>
      <w:r w:rsidRPr="008141F9">
        <w:rPr>
          <w:rStyle w:val="tlid-translation"/>
        </w:rPr>
        <w:t xml:space="preserve"> besąlyginės teisės gauti leidimą aplankyti sergantį giminaitį ar dalyvauti laidotuvėse</w:t>
      </w:r>
      <w:r>
        <w:rPr>
          <w:rStyle w:val="tlid-translation"/>
        </w:rPr>
        <w:t>,</w:t>
      </w:r>
      <w:r w:rsidRPr="008141F9">
        <w:rPr>
          <w:rStyle w:val="tlid-translation"/>
        </w:rPr>
        <w:t xml:space="preserve"> </w:t>
      </w:r>
      <w:r>
        <w:rPr>
          <w:rStyle w:val="tlid-translation"/>
        </w:rPr>
        <w:t>t</w:t>
      </w:r>
      <w:r w:rsidRPr="008141F9">
        <w:rPr>
          <w:rStyle w:val="tlid-translation"/>
        </w:rPr>
        <w:t>ačiau valdžios institucijos gal</w:t>
      </w:r>
      <w:r>
        <w:rPr>
          <w:rStyle w:val="tlid-translation"/>
        </w:rPr>
        <w:t>i</w:t>
      </w:r>
      <w:r w:rsidRPr="008141F9">
        <w:rPr>
          <w:rStyle w:val="tlid-translation"/>
        </w:rPr>
        <w:t xml:space="preserve"> atsisakyti </w:t>
      </w:r>
      <w:r>
        <w:rPr>
          <w:rStyle w:val="tlid-translation"/>
        </w:rPr>
        <w:t xml:space="preserve">suteikti tokį leidimą </w:t>
      </w:r>
      <w:r w:rsidRPr="008141F9">
        <w:rPr>
          <w:rStyle w:val="tlid-translation"/>
        </w:rPr>
        <w:t>tik dėl įtikinamų priežasčių ir jei nepavyk</w:t>
      </w:r>
      <w:r>
        <w:rPr>
          <w:rStyle w:val="tlid-translation"/>
        </w:rPr>
        <w:t>sta</w:t>
      </w:r>
      <w:r w:rsidRPr="008141F9">
        <w:rPr>
          <w:rStyle w:val="tlid-translation"/>
        </w:rPr>
        <w:t xml:space="preserve"> rasti kito sprendimo (</w:t>
      </w:r>
      <w:r>
        <w:rPr>
          <w:rStyle w:val="tlid-translation"/>
        </w:rPr>
        <w:t xml:space="preserve">taip pat žr. sprendimą byloje </w:t>
      </w:r>
      <w:r w:rsidRPr="00046AB7">
        <w:rPr>
          <w:rStyle w:val="tlid-translation"/>
          <w:i/>
          <w:iCs/>
        </w:rPr>
        <w:t>Guimon prieš Prancūziją</w:t>
      </w:r>
      <w:r>
        <w:rPr>
          <w:rStyle w:val="tlid-translation"/>
        </w:rPr>
        <w:t>, pareiškimo Nr. </w:t>
      </w:r>
      <w:r w:rsidRPr="00D86BB7">
        <w:rPr>
          <w:rStyle w:val="tlid-translation"/>
        </w:rPr>
        <w:t>48798/14</w:t>
      </w:r>
      <w:r w:rsidRPr="008141F9">
        <w:rPr>
          <w:rStyle w:val="tlid-translation"/>
        </w:rPr>
        <w:t>).</w:t>
      </w:r>
      <w:r>
        <w:rPr>
          <w:rStyle w:val="tlid-translation"/>
        </w:rPr>
        <w:t xml:space="preserve"> </w:t>
      </w:r>
      <w:r w:rsidRPr="008141F9">
        <w:rPr>
          <w:rStyle w:val="tlid-translation"/>
        </w:rPr>
        <w:t>Nacionalinė</w:t>
      </w:r>
      <w:r>
        <w:rPr>
          <w:rStyle w:val="tlid-translation"/>
        </w:rPr>
        <w:t>m</w:t>
      </w:r>
      <w:r w:rsidRPr="008141F9">
        <w:rPr>
          <w:rStyle w:val="tlid-translation"/>
        </w:rPr>
        <w:t>s valdžios institucijo</w:t>
      </w:r>
      <w:r>
        <w:rPr>
          <w:rStyle w:val="tlid-translation"/>
        </w:rPr>
        <w:t>m</w:t>
      </w:r>
      <w:r w:rsidRPr="008141F9">
        <w:rPr>
          <w:rStyle w:val="tlid-translation"/>
        </w:rPr>
        <w:t>s</w:t>
      </w:r>
      <w:r>
        <w:rPr>
          <w:rStyle w:val="tlid-translation"/>
        </w:rPr>
        <w:t xml:space="preserve"> tenka pareiga</w:t>
      </w:r>
      <w:r w:rsidRPr="008141F9">
        <w:rPr>
          <w:rStyle w:val="tlid-translation"/>
        </w:rPr>
        <w:t xml:space="preserve"> išnagrinėti kiekvieno tokio joms pateikto prašymo pagrįstumą.</w:t>
      </w:r>
    </w:p>
    <w:p w14:paraId="4270FDE1" w14:textId="77777777" w:rsidR="006424CA" w:rsidRDefault="006424CA" w:rsidP="006424CA">
      <w:pPr>
        <w:spacing w:after="0" w:line="240" w:lineRule="auto"/>
        <w:ind w:right="-1" w:firstLine="567"/>
        <w:jc w:val="both"/>
        <w:rPr>
          <w:rStyle w:val="tlid-translation"/>
        </w:rPr>
      </w:pPr>
      <w:r>
        <w:rPr>
          <w:rStyle w:val="tlid-translation"/>
        </w:rPr>
        <w:t>Apžvelgiamu atveju pagal nacionalinę</w:t>
      </w:r>
      <w:r w:rsidRPr="00C8750C">
        <w:rPr>
          <w:rStyle w:val="tlid-translation"/>
        </w:rPr>
        <w:t xml:space="preserve"> teis</w:t>
      </w:r>
      <w:r>
        <w:rPr>
          <w:rStyle w:val="tlid-translation"/>
        </w:rPr>
        <w:t>ę</w:t>
      </w:r>
      <w:r w:rsidRPr="00C8750C">
        <w:rPr>
          <w:rStyle w:val="tlid-translation"/>
        </w:rPr>
        <w:t xml:space="preserve"> įprast</w:t>
      </w:r>
      <w:r>
        <w:rPr>
          <w:rStyle w:val="tlid-translation"/>
        </w:rPr>
        <w:t xml:space="preserve">inė išvyka už pataisos įstaigos ribų galėjo būti suteikta tik </w:t>
      </w:r>
      <w:r w:rsidRPr="00C8750C">
        <w:rPr>
          <w:rStyle w:val="tlid-translation"/>
        </w:rPr>
        <w:t>penktadalį</w:t>
      </w:r>
      <w:r>
        <w:rPr>
          <w:rStyle w:val="tlid-translation"/>
        </w:rPr>
        <w:t>, bet ne mažiau kaip tris mėnesius,</w:t>
      </w:r>
      <w:r w:rsidRPr="00C8750C">
        <w:rPr>
          <w:rStyle w:val="tlid-translation"/>
        </w:rPr>
        <w:t xml:space="preserve"> </w:t>
      </w:r>
      <w:r>
        <w:rPr>
          <w:rStyle w:val="tlid-translation"/>
        </w:rPr>
        <w:t xml:space="preserve">laisvės atėmimo </w:t>
      </w:r>
      <w:r w:rsidRPr="00C8750C">
        <w:rPr>
          <w:rStyle w:val="tlid-translation"/>
        </w:rPr>
        <w:t>bausmės atlikusiems</w:t>
      </w:r>
      <w:r>
        <w:rPr>
          <w:rStyle w:val="tlid-translation"/>
        </w:rPr>
        <w:t xml:space="preserve"> </w:t>
      </w:r>
      <w:r w:rsidRPr="00C8750C">
        <w:rPr>
          <w:rStyle w:val="tlid-translation"/>
        </w:rPr>
        <w:t>kaliniams</w:t>
      </w:r>
      <w:r>
        <w:rPr>
          <w:rStyle w:val="tlid-translation"/>
        </w:rPr>
        <w:t>.</w:t>
      </w:r>
      <w:r w:rsidRPr="00983975">
        <w:rPr>
          <w:rStyle w:val="tlid-translation"/>
        </w:rPr>
        <w:t xml:space="preserve"> </w:t>
      </w:r>
      <w:r>
        <w:rPr>
          <w:rStyle w:val="tlid-translation"/>
        </w:rPr>
        <w:t xml:space="preserve">Netenkinant </w:t>
      </w:r>
      <w:r w:rsidRPr="00C8750C">
        <w:rPr>
          <w:rStyle w:val="tlid-translation"/>
        </w:rPr>
        <w:t>ši</w:t>
      </w:r>
      <w:r>
        <w:rPr>
          <w:rStyle w:val="tlid-translation"/>
        </w:rPr>
        <w:t>ų</w:t>
      </w:r>
      <w:r w:rsidRPr="00C8750C">
        <w:rPr>
          <w:rStyle w:val="tlid-translation"/>
        </w:rPr>
        <w:t xml:space="preserve"> sąlyg</w:t>
      </w:r>
      <w:r>
        <w:rPr>
          <w:rStyle w:val="tlid-translation"/>
        </w:rPr>
        <w:t>ų</w:t>
      </w:r>
      <w:r w:rsidRPr="00C8750C">
        <w:rPr>
          <w:rStyle w:val="tlid-translation"/>
        </w:rPr>
        <w:t xml:space="preserve">, skubi </w:t>
      </w:r>
      <w:r>
        <w:rPr>
          <w:rStyle w:val="tlid-translation"/>
        </w:rPr>
        <w:t>išvyka</w:t>
      </w:r>
      <w:r w:rsidRPr="00C8750C">
        <w:rPr>
          <w:rStyle w:val="tlid-translation"/>
        </w:rPr>
        <w:t xml:space="preserve"> galė</w:t>
      </w:r>
      <w:r>
        <w:rPr>
          <w:rStyle w:val="tlid-translation"/>
        </w:rPr>
        <w:t>jo</w:t>
      </w:r>
      <w:r w:rsidRPr="00C8750C">
        <w:rPr>
          <w:rStyle w:val="tlid-translation"/>
        </w:rPr>
        <w:t xml:space="preserve"> būti suteikiam</w:t>
      </w:r>
      <w:r>
        <w:rPr>
          <w:rStyle w:val="tlid-translation"/>
        </w:rPr>
        <w:t>a</w:t>
      </w:r>
      <w:r w:rsidRPr="00C8750C">
        <w:rPr>
          <w:rStyle w:val="tlid-translation"/>
        </w:rPr>
        <w:t xml:space="preserve"> ne ilgesniam kaip </w:t>
      </w:r>
      <w:r>
        <w:rPr>
          <w:rStyle w:val="tlid-translation"/>
        </w:rPr>
        <w:t>24</w:t>
      </w:r>
      <w:r w:rsidRPr="00C8750C">
        <w:rPr>
          <w:rStyle w:val="tlid-translation"/>
        </w:rPr>
        <w:t xml:space="preserve"> valandų laikotarpiui šeimos ar su darbu susijusiems poreikiams arba neatidėliotinam, nenumatytam ir išskirtiniam poreikiui patenkinti.</w:t>
      </w:r>
      <w:r w:rsidRPr="00C81B8D">
        <w:rPr>
          <w:rStyle w:val="tlid-translation"/>
        </w:rPr>
        <w:t xml:space="preserve"> </w:t>
      </w:r>
      <w:r>
        <w:rPr>
          <w:rStyle w:val="tlid-translation"/>
        </w:rPr>
        <w:t>Pareiškėjas neatitiko reikalavimų, kad jam būtų suteikta</w:t>
      </w:r>
      <w:r w:rsidRPr="00BC0A08">
        <w:rPr>
          <w:rStyle w:val="tlid-translation"/>
        </w:rPr>
        <w:t xml:space="preserve"> </w:t>
      </w:r>
      <w:r w:rsidRPr="00C8750C">
        <w:rPr>
          <w:rStyle w:val="tlid-translation"/>
        </w:rPr>
        <w:t>įprast</w:t>
      </w:r>
      <w:r>
        <w:rPr>
          <w:rStyle w:val="tlid-translation"/>
        </w:rPr>
        <w:t>inė išvyka už pataisos įstaigos ribų</w:t>
      </w:r>
      <w:r w:rsidRPr="00BC0A08">
        <w:rPr>
          <w:rStyle w:val="tlid-translation"/>
        </w:rPr>
        <w:t xml:space="preserve">, </w:t>
      </w:r>
      <w:r>
        <w:rPr>
          <w:rStyle w:val="tlid-translation"/>
        </w:rPr>
        <w:t>bet</w:t>
      </w:r>
      <w:r w:rsidRPr="00BC0A08">
        <w:rPr>
          <w:rStyle w:val="tlid-translation"/>
        </w:rPr>
        <w:t xml:space="preserve"> </w:t>
      </w:r>
      <w:r>
        <w:rPr>
          <w:rStyle w:val="tlid-translation"/>
        </w:rPr>
        <w:t xml:space="preserve">jis </w:t>
      </w:r>
      <w:r w:rsidRPr="00BC0A08">
        <w:rPr>
          <w:rStyle w:val="tlid-translation"/>
        </w:rPr>
        <w:t>turėjo teisę į skubi</w:t>
      </w:r>
      <w:r>
        <w:rPr>
          <w:rStyle w:val="tlid-translation"/>
        </w:rPr>
        <w:t>ą išvyką</w:t>
      </w:r>
      <w:r w:rsidRPr="00BC0A08">
        <w:rPr>
          <w:rStyle w:val="tlid-translation"/>
        </w:rPr>
        <w:t xml:space="preserve"> aplankyti savo motiną ligoninėje </w:t>
      </w:r>
      <w:r>
        <w:rPr>
          <w:rStyle w:val="tlid-translation"/>
        </w:rPr>
        <w:t>ir</w:t>
      </w:r>
      <w:r w:rsidRPr="00BC0A08">
        <w:rPr>
          <w:rStyle w:val="tlid-translation"/>
        </w:rPr>
        <w:t xml:space="preserve"> dalyvauti jos laidotuvėse.</w:t>
      </w:r>
      <w:r w:rsidRPr="004064E8">
        <w:rPr>
          <w:rStyle w:val="tlid-translation"/>
        </w:rPr>
        <w:t xml:space="preserve"> </w:t>
      </w:r>
      <w:r w:rsidRPr="00BC0A08">
        <w:rPr>
          <w:rStyle w:val="tlid-translation"/>
        </w:rPr>
        <w:t xml:space="preserve">Tačiau prokuroras abu </w:t>
      </w:r>
      <w:r>
        <w:rPr>
          <w:rStyle w:val="tlid-translation"/>
        </w:rPr>
        <w:t xml:space="preserve">pareiškėjo </w:t>
      </w:r>
      <w:r w:rsidRPr="00BC0A08">
        <w:rPr>
          <w:rStyle w:val="tlid-translation"/>
        </w:rPr>
        <w:t>prašymus</w:t>
      </w:r>
      <w:r>
        <w:rPr>
          <w:rStyle w:val="tlid-translation"/>
        </w:rPr>
        <w:t xml:space="preserve"> atmetė</w:t>
      </w:r>
      <w:r w:rsidRPr="00BC0A08">
        <w:rPr>
          <w:rStyle w:val="tlid-translation"/>
        </w:rPr>
        <w:t xml:space="preserve">, motyvuodamas tuo, kad jo </w:t>
      </w:r>
      <w:r>
        <w:rPr>
          <w:rStyle w:val="tlid-translation"/>
        </w:rPr>
        <w:t>išvyka</w:t>
      </w:r>
      <w:r w:rsidRPr="00BC0A08">
        <w:rPr>
          <w:rStyle w:val="tlid-translation"/>
        </w:rPr>
        <w:t xml:space="preserve"> su palyda </w:t>
      </w:r>
      <w:r>
        <w:rPr>
          <w:rStyle w:val="tlid-translation"/>
        </w:rPr>
        <w:t>abiem</w:t>
      </w:r>
      <w:r w:rsidRPr="00BC0A08">
        <w:rPr>
          <w:rStyle w:val="tlid-translation"/>
        </w:rPr>
        <w:t xml:space="preserve"> atvej</w:t>
      </w:r>
      <w:r>
        <w:rPr>
          <w:rStyle w:val="tlid-translation"/>
        </w:rPr>
        <w:t>ais</w:t>
      </w:r>
      <w:r w:rsidRPr="00BC0A08">
        <w:rPr>
          <w:rStyle w:val="tlid-translation"/>
        </w:rPr>
        <w:t xml:space="preserve"> būtų viršijusi įstatyme nustatytą maksimalią </w:t>
      </w:r>
      <w:r>
        <w:rPr>
          <w:rStyle w:val="tlid-translation"/>
        </w:rPr>
        <w:t>24</w:t>
      </w:r>
      <w:r w:rsidRPr="00BC0A08">
        <w:rPr>
          <w:rStyle w:val="tlid-translation"/>
        </w:rPr>
        <w:t xml:space="preserve"> valandų trukmę.</w:t>
      </w:r>
      <w:r>
        <w:rPr>
          <w:rStyle w:val="tlid-translation"/>
        </w:rPr>
        <w:t xml:space="preserve"> </w:t>
      </w:r>
      <w:r w:rsidRPr="00BC0A08">
        <w:rPr>
          <w:rStyle w:val="tlid-translation"/>
        </w:rPr>
        <w:t xml:space="preserve">Taigi </w:t>
      </w:r>
      <w:r>
        <w:rPr>
          <w:rStyle w:val="tlid-translation"/>
        </w:rPr>
        <w:t>pareiškėjo teisės</w:t>
      </w:r>
      <w:r w:rsidRPr="00750214">
        <w:rPr>
          <w:rStyle w:val="tlid-translation"/>
        </w:rPr>
        <w:t xml:space="preserve"> </w:t>
      </w:r>
      <w:r w:rsidRPr="008141F9">
        <w:rPr>
          <w:rStyle w:val="tlid-translation"/>
        </w:rPr>
        <w:t>į privataus ir šeimos gyvenimo gerbimą</w:t>
      </w:r>
      <w:r>
        <w:rPr>
          <w:rStyle w:val="tlid-translation"/>
        </w:rPr>
        <w:t xml:space="preserve"> ribojimas buvo „nustatytas įstatyme“ ir juo iš esmės buvo siekiama </w:t>
      </w:r>
      <w:r w:rsidRPr="00BC0A08">
        <w:rPr>
          <w:rStyle w:val="tlid-translation"/>
        </w:rPr>
        <w:t>užtikrinti visuomenės saugumą</w:t>
      </w:r>
      <w:r>
        <w:rPr>
          <w:rStyle w:val="tlid-translation"/>
        </w:rPr>
        <w:t xml:space="preserve"> bei</w:t>
      </w:r>
      <w:r w:rsidRPr="00BC0A08">
        <w:rPr>
          <w:rStyle w:val="tlid-translation"/>
        </w:rPr>
        <w:t xml:space="preserve"> užkirsti kelią</w:t>
      </w:r>
      <w:r>
        <w:rPr>
          <w:rStyle w:val="tlid-translation"/>
        </w:rPr>
        <w:t xml:space="preserve"> nusikalstamoms veikoms.</w:t>
      </w:r>
    </w:p>
    <w:p w14:paraId="03C866F3" w14:textId="0B7AEE18" w:rsidR="006424CA" w:rsidRDefault="006424CA" w:rsidP="006424CA">
      <w:pPr>
        <w:spacing w:after="0" w:line="240" w:lineRule="auto"/>
        <w:ind w:right="-1" w:firstLine="567"/>
        <w:jc w:val="both"/>
        <w:rPr>
          <w:rStyle w:val="tlid-translation"/>
        </w:rPr>
      </w:pPr>
      <w:r w:rsidRPr="00F726AE">
        <w:rPr>
          <w:rStyle w:val="tlid-translation"/>
        </w:rPr>
        <w:t>Teismas atsižvelgė į finansin</w:t>
      </w:r>
      <w:r>
        <w:rPr>
          <w:rStyle w:val="tlid-translation"/>
        </w:rPr>
        <w:t>ius</w:t>
      </w:r>
      <w:r w:rsidRPr="00F726AE">
        <w:rPr>
          <w:rStyle w:val="tlid-translation"/>
        </w:rPr>
        <w:t xml:space="preserve"> ir logistin</w:t>
      </w:r>
      <w:r>
        <w:rPr>
          <w:rStyle w:val="tlid-translation"/>
        </w:rPr>
        <w:t>ius sunkumus</w:t>
      </w:r>
      <w:r w:rsidRPr="00F726AE">
        <w:rPr>
          <w:rStyle w:val="tlid-translation"/>
        </w:rPr>
        <w:t>, kylanči</w:t>
      </w:r>
      <w:r>
        <w:rPr>
          <w:rStyle w:val="tlid-translation"/>
        </w:rPr>
        <w:t>u</w:t>
      </w:r>
      <w:r w:rsidRPr="00F726AE">
        <w:rPr>
          <w:rStyle w:val="tlid-translation"/>
        </w:rPr>
        <w:t xml:space="preserve">s dėl palydos </w:t>
      </w:r>
      <w:r>
        <w:rPr>
          <w:rStyle w:val="tlid-translation"/>
        </w:rPr>
        <w:t xml:space="preserve">leidžiant kaliniui laikinai išvykti </w:t>
      </w:r>
      <w:r w:rsidRPr="000A6409">
        <w:rPr>
          <w:rStyle w:val="tlid-translation"/>
        </w:rPr>
        <w:t>už įkalinimo įstaigos ribų</w:t>
      </w:r>
      <w:r>
        <w:rPr>
          <w:rStyle w:val="tlid-translation"/>
        </w:rPr>
        <w:t>, kadangi t</w:t>
      </w:r>
      <w:r w:rsidRPr="00F726AE">
        <w:rPr>
          <w:rStyle w:val="tlid-translation"/>
        </w:rPr>
        <w:t>iek ligoninė, tiek vieta, kur turėjo vykti pareiškėjo motinos laidotuvės, buvo labai nutol</w:t>
      </w:r>
      <w:r w:rsidR="00EF6497">
        <w:rPr>
          <w:rStyle w:val="tlid-translation"/>
        </w:rPr>
        <w:t>usios</w:t>
      </w:r>
      <w:r w:rsidRPr="00F726AE">
        <w:rPr>
          <w:rStyle w:val="tlid-translation"/>
        </w:rPr>
        <w:t xml:space="preserve"> nuo </w:t>
      </w:r>
      <w:r>
        <w:rPr>
          <w:rStyle w:val="tlid-translation"/>
        </w:rPr>
        <w:t xml:space="preserve">pareiškėjo kalinimo </w:t>
      </w:r>
      <w:r w:rsidRPr="00F726AE">
        <w:rPr>
          <w:rStyle w:val="tlid-translation"/>
        </w:rPr>
        <w:t>vietos.</w:t>
      </w:r>
      <w:r>
        <w:rPr>
          <w:rStyle w:val="tlid-translation"/>
        </w:rPr>
        <w:t xml:space="preserve"> Tačiau </w:t>
      </w:r>
      <w:r w:rsidR="005666E7">
        <w:rPr>
          <w:rStyle w:val="tlid-translation"/>
        </w:rPr>
        <w:t xml:space="preserve">EŽTT </w:t>
      </w:r>
      <w:r>
        <w:rPr>
          <w:rStyle w:val="tlid-translation"/>
        </w:rPr>
        <w:t xml:space="preserve">atkreipė dėmesį, kad </w:t>
      </w:r>
      <w:r w:rsidRPr="007B6862">
        <w:rPr>
          <w:rStyle w:val="tlid-translation"/>
        </w:rPr>
        <w:t>prokuroras</w:t>
      </w:r>
      <w:r>
        <w:rPr>
          <w:rStyle w:val="tlid-translation"/>
        </w:rPr>
        <w:t xml:space="preserve"> nepagrindė ir </w:t>
      </w:r>
      <w:r w:rsidRPr="007B6862">
        <w:rPr>
          <w:rStyle w:val="tlid-translation"/>
        </w:rPr>
        <w:t>savo sprendim</w:t>
      </w:r>
      <w:r>
        <w:rPr>
          <w:rStyle w:val="tlid-translation"/>
        </w:rPr>
        <w:t>e</w:t>
      </w:r>
      <w:r w:rsidRPr="007B6862">
        <w:rPr>
          <w:rStyle w:val="tlid-translation"/>
        </w:rPr>
        <w:t xml:space="preserve"> nepateik</w:t>
      </w:r>
      <w:r>
        <w:rPr>
          <w:rStyle w:val="tlid-translation"/>
        </w:rPr>
        <w:t>ė</w:t>
      </w:r>
      <w:r w:rsidRPr="007B6862">
        <w:rPr>
          <w:rStyle w:val="tlid-translation"/>
        </w:rPr>
        <w:t xml:space="preserve"> jokių motyvų, ypač susijusių su pareiškėjo</w:t>
      </w:r>
      <w:r>
        <w:rPr>
          <w:rStyle w:val="tlid-translation"/>
        </w:rPr>
        <w:t xml:space="preserve"> charakteristika</w:t>
      </w:r>
      <w:r w:rsidRPr="007B6862">
        <w:rPr>
          <w:rStyle w:val="tlid-translation"/>
        </w:rPr>
        <w:t>, jo tariamai keliamu pavojumi</w:t>
      </w:r>
      <w:r>
        <w:rPr>
          <w:rStyle w:val="tlid-translation"/>
        </w:rPr>
        <w:t>,</w:t>
      </w:r>
      <w:r w:rsidRPr="007B6862">
        <w:rPr>
          <w:rStyle w:val="tlid-translation"/>
        </w:rPr>
        <w:t xml:space="preserve"> bausmės bei nusikalstam</w:t>
      </w:r>
      <w:r>
        <w:rPr>
          <w:rStyle w:val="tlid-translation"/>
        </w:rPr>
        <w:t>os</w:t>
      </w:r>
      <w:r w:rsidRPr="007B6862">
        <w:rPr>
          <w:rStyle w:val="tlid-translation"/>
        </w:rPr>
        <w:t xml:space="preserve"> veik</w:t>
      </w:r>
      <w:r>
        <w:rPr>
          <w:rStyle w:val="tlid-translation"/>
        </w:rPr>
        <w:t>os</w:t>
      </w:r>
      <w:r w:rsidRPr="007B6862">
        <w:rPr>
          <w:rStyle w:val="tlid-translation"/>
        </w:rPr>
        <w:t xml:space="preserve">, už kurią </w:t>
      </w:r>
      <w:r>
        <w:rPr>
          <w:rStyle w:val="tlid-translation"/>
        </w:rPr>
        <w:t>pareiškėjas</w:t>
      </w:r>
      <w:r w:rsidRPr="007B6862">
        <w:rPr>
          <w:rStyle w:val="tlid-translation"/>
        </w:rPr>
        <w:t xml:space="preserve"> buvo nuteistas</w:t>
      </w:r>
      <w:r>
        <w:rPr>
          <w:rStyle w:val="tlid-translation"/>
        </w:rPr>
        <w:t xml:space="preserve">, </w:t>
      </w:r>
      <w:r w:rsidRPr="007B6862">
        <w:rPr>
          <w:rStyle w:val="tlid-translation"/>
        </w:rPr>
        <w:t>pobūdžiu</w:t>
      </w:r>
      <w:r>
        <w:rPr>
          <w:rStyle w:val="tlid-translation"/>
        </w:rPr>
        <w:t xml:space="preserve">, dėl kurių nustatė, kad </w:t>
      </w:r>
      <w:r w:rsidRPr="007B6862">
        <w:rPr>
          <w:rStyle w:val="tlid-translation"/>
        </w:rPr>
        <w:t>pareiškėjas galėjo iš</w:t>
      </w:r>
      <w:r>
        <w:rPr>
          <w:rStyle w:val="tlid-translation"/>
        </w:rPr>
        <w:t>vykti</w:t>
      </w:r>
      <w:r w:rsidRPr="007B6862">
        <w:rPr>
          <w:rStyle w:val="tlid-translation"/>
        </w:rPr>
        <w:t xml:space="preserve"> iš kalėjimo tik su palyda</w:t>
      </w:r>
      <w:r>
        <w:rPr>
          <w:rStyle w:val="tlid-translation"/>
        </w:rPr>
        <w:t>.</w:t>
      </w:r>
      <w:r w:rsidRPr="00CA0C28">
        <w:rPr>
          <w:rStyle w:val="tlid-translation"/>
        </w:rPr>
        <w:t xml:space="preserve"> </w:t>
      </w:r>
      <w:r w:rsidRPr="007B6862">
        <w:rPr>
          <w:rStyle w:val="tlid-translation"/>
        </w:rPr>
        <w:t xml:space="preserve">Be to, </w:t>
      </w:r>
      <w:r>
        <w:rPr>
          <w:rStyle w:val="tlid-translation"/>
        </w:rPr>
        <w:t>sprendimuose</w:t>
      </w:r>
      <w:r w:rsidRPr="007B6862">
        <w:rPr>
          <w:rStyle w:val="tlid-translation"/>
        </w:rPr>
        <w:t xml:space="preserve"> nebuvo užsiminta apie faktines aplinkybes (pvz., geografinį atstumą, pasirinktą transporto priemonę ar </w:t>
      </w:r>
      <w:r>
        <w:rPr>
          <w:rStyle w:val="tlid-translation"/>
        </w:rPr>
        <w:t>pervežimo</w:t>
      </w:r>
      <w:r w:rsidRPr="007B6862">
        <w:rPr>
          <w:rStyle w:val="tlid-translation"/>
        </w:rPr>
        <w:t xml:space="preserve"> kainą), į kuri</w:t>
      </w:r>
      <w:r>
        <w:rPr>
          <w:rStyle w:val="tlid-translation"/>
        </w:rPr>
        <w:t>a</w:t>
      </w:r>
      <w:r w:rsidRPr="007B6862">
        <w:rPr>
          <w:rStyle w:val="tlid-translation"/>
        </w:rPr>
        <w:t>s prokuroras galėjo atsižvelgti atmes</w:t>
      </w:r>
      <w:r>
        <w:rPr>
          <w:rStyle w:val="tlid-translation"/>
        </w:rPr>
        <w:t>damas pareiškėjo</w:t>
      </w:r>
      <w:r w:rsidRPr="007B6862">
        <w:rPr>
          <w:rStyle w:val="tlid-translation"/>
        </w:rPr>
        <w:t xml:space="preserve"> prašymus.</w:t>
      </w:r>
      <w:r>
        <w:rPr>
          <w:rStyle w:val="tlid-translation"/>
        </w:rPr>
        <w:t xml:space="preserve"> Iš sprendimų turinio taip pat nebuvo matyti, kad </w:t>
      </w:r>
      <w:r w:rsidRPr="007B6862">
        <w:rPr>
          <w:rStyle w:val="tlid-translation"/>
        </w:rPr>
        <w:t xml:space="preserve">prokuroras būtų </w:t>
      </w:r>
      <w:r>
        <w:rPr>
          <w:rStyle w:val="tlid-translation"/>
        </w:rPr>
        <w:t xml:space="preserve">vertinęs </w:t>
      </w:r>
      <w:r w:rsidRPr="007B6862">
        <w:rPr>
          <w:rStyle w:val="tlid-translation"/>
        </w:rPr>
        <w:t xml:space="preserve">įvairius </w:t>
      </w:r>
      <w:r>
        <w:rPr>
          <w:rStyle w:val="tlid-translation"/>
        </w:rPr>
        <w:t xml:space="preserve">kitus </w:t>
      </w:r>
      <w:r w:rsidRPr="007B6862">
        <w:rPr>
          <w:rStyle w:val="tlid-translation"/>
        </w:rPr>
        <w:t>galimus variantus, pavyzdžiui, pervežimą oro transportu, ar kad jis būtų nu</w:t>
      </w:r>
      <w:r>
        <w:rPr>
          <w:rStyle w:val="tlid-translation"/>
        </w:rPr>
        <w:t>stat</w:t>
      </w:r>
      <w:r w:rsidRPr="007B6862">
        <w:rPr>
          <w:rStyle w:val="tlid-translation"/>
        </w:rPr>
        <w:t xml:space="preserve">ęs, </w:t>
      </w:r>
      <w:r>
        <w:rPr>
          <w:rStyle w:val="tlid-translation"/>
        </w:rPr>
        <w:t>jog</w:t>
      </w:r>
      <w:r w:rsidRPr="007B6862">
        <w:rPr>
          <w:rStyle w:val="tlid-translation"/>
        </w:rPr>
        <w:t xml:space="preserve"> toks pervežimas su palyda kainuotų </w:t>
      </w:r>
      <w:r>
        <w:rPr>
          <w:rStyle w:val="tlid-translation"/>
        </w:rPr>
        <w:t xml:space="preserve">itin </w:t>
      </w:r>
      <w:r w:rsidRPr="007B6862">
        <w:rPr>
          <w:rStyle w:val="tlid-translation"/>
        </w:rPr>
        <w:t>brangiai arba dėl kokių nors priežasčių būtų neįmanomas ar sunkiai įgyvendinamas.</w:t>
      </w:r>
    </w:p>
    <w:p w14:paraId="3A223352" w14:textId="77777777" w:rsidR="006424CA" w:rsidRDefault="006424CA" w:rsidP="006424CA">
      <w:pPr>
        <w:spacing w:after="0" w:line="240" w:lineRule="auto"/>
        <w:ind w:right="-1" w:firstLine="567"/>
        <w:jc w:val="both"/>
        <w:rPr>
          <w:rStyle w:val="tlid-translation"/>
        </w:rPr>
      </w:pPr>
      <w:r>
        <w:rPr>
          <w:rStyle w:val="tlid-translation"/>
        </w:rPr>
        <w:t>Teismas sutiko, kad laiko</w:t>
      </w:r>
      <w:r w:rsidRPr="007B6862">
        <w:rPr>
          <w:rStyle w:val="tlid-translation"/>
        </w:rPr>
        <w:t xml:space="preserve"> apribojimas buvo svarbus veiksnys</w:t>
      </w:r>
      <w:r>
        <w:rPr>
          <w:rStyle w:val="tlid-translation"/>
        </w:rPr>
        <w:t xml:space="preserve">, tačiau pabrėžė, jog pareiškėjas </w:t>
      </w:r>
      <w:r w:rsidRPr="007B6862">
        <w:rPr>
          <w:rStyle w:val="tlid-translation"/>
        </w:rPr>
        <w:t>prašymą leisti dalyvauti laidotuvėse pateikė nedelsdamas, suteikdamas valdžios institucijoms penkias dienas organizuoti jo kelionę su palyda.</w:t>
      </w:r>
      <w:r>
        <w:rPr>
          <w:rStyle w:val="tlid-translation"/>
        </w:rPr>
        <w:t xml:space="preserve"> Be to, k</w:t>
      </w:r>
      <w:r w:rsidRPr="007B6862">
        <w:rPr>
          <w:rStyle w:val="tlid-translation"/>
        </w:rPr>
        <w:t>albant apie antrąjį atsisakymą, prokuroras neatsižvelgė į tai, kad pareiškėjas neturėjo galimybės aplankyti savo motin</w:t>
      </w:r>
      <w:r>
        <w:rPr>
          <w:rStyle w:val="tlid-translation"/>
        </w:rPr>
        <w:t>ą</w:t>
      </w:r>
      <w:r w:rsidRPr="007B6862">
        <w:rPr>
          <w:rStyle w:val="tlid-translation"/>
        </w:rPr>
        <w:t xml:space="preserve"> ligoninėje prieš jos mirtį.</w:t>
      </w:r>
    </w:p>
    <w:p w14:paraId="4D17AFB9" w14:textId="77777777" w:rsidR="006424CA" w:rsidRPr="0082534F" w:rsidRDefault="006424CA" w:rsidP="006424CA">
      <w:pPr>
        <w:spacing w:after="0" w:line="240" w:lineRule="auto"/>
        <w:ind w:right="-1" w:firstLine="567"/>
        <w:jc w:val="both"/>
      </w:pPr>
      <w:r>
        <w:rPr>
          <w:rStyle w:val="tlid-translation"/>
        </w:rPr>
        <w:t xml:space="preserve">Šiomis aplinkybėmis Teismas konstatavo, kad valdžios institucijos, netenkindamos pareiškėjo prašymų </w:t>
      </w:r>
      <w:r w:rsidRPr="0082534F">
        <w:t>leisti aplankyti jo motiną ligoninėje, o vėliau dalyvauti jos laidotuvėse</w:t>
      </w:r>
      <w:r>
        <w:t xml:space="preserve">, </w:t>
      </w:r>
      <w:r w:rsidRPr="0082534F">
        <w:t xml:space="preserve">savo sprendimų nepagrindė išsamiu individualių aplinkybių </w:t>
      </w:r>
      <w:r>
        <w:t>vertinimu</w:t>
      </w:r>
      <w:r w:rsidRPr="0082534F">
        <w:t xml:space="preserve"> ir</w:t>
      </w:r>
      <w:r>
        <w:t xml:space="preserve"> tinkamai nepasvėrė konkuruojančių interesų – </w:t>
      </w:r>
      <w:r w:rsidRPr="0082534F">
        <w:t>pareiškėjo teisės į privataus ir šeimos gyvenimo gerbimą</w:t>
      </w:r>
      <w:r>
        <w:t xml:space="preserve"> bei </w:t>
      </w:r>
      <w:r w:rsidRPr="0082534F">
        <w:t>būtinyb</w:t>
      </w:r>
      <w:r>
        <w:t>ės</w:t>
      </w:r>
      <w:r w:rsidRPr="0082534F">
        <w:t xml:space="preserve"> užkirsti kelią </w:t>
      </w:r>
      <w:r>
        <w:rPr>
          <w:rStyle w:val="tlid-translation"/>
        </w:rPr>
        <w:t xml:space="preserve">nusikalstamoms veikoms. Taigi </w:t>
      </w:r>
      <w:r>
        <w:t>byloje</w:t>
      </w:r>
      <w:r w:rsidRPr="0082534F">
        <w:t xml:space="preserve"> nebuvo įrodyta, kad </w:t>
      </w:r>
      <w:r>
        <w:t>ginčijamas</w:t>
      </w:r>
      <w:r w:rsidRPr="0082534F">
        <w:t xml:space="preserve"> </w:t>
      </w:r>
      <w:r>
        <w:t>ribojimas</w:t>
      </w:r>
      <w:r w:rsidRPr="0082534F">
        <w:t xml:space="preserve"> buvo „būtinas demokratinėje visuomenėje“</w:t>
      </w:r>
      <w:r>
        <w:t>, todėl konstatuotas Konvencijos 8 straipsnio pažeidimas</w:t>
      </w:r>
      <w:r w:rsidRPr="0082534F">
        <w:t>.</w:t>
      </w:r>
    </w:p>
    <w:p w14:paraId="20BD2B5E" w14:textId="77777777" w:rsidR="006424CA" w:rsidRDefault="006424CA" w:rsidP="006424CA">
      <w:pPr>
        <w:spacing w:after="0" w:line="240" w:lineRule="auto"/>
        <w:ind w:right="-1" w:firstLine="567"/>
        <w:jc w:val="both"/>
        <w:rPr>
          <w:rStyle w:val="tlid-translation"/>
        </w:rPr>
      </w:pPr>
    </w:p>
    <w:p w14:paraId="143582DA" w14:textId="77777777" w:rsidR="006424CA" w:rsidRPr="007B5EFE" w:rsidRDefault="006424CA" w:rsidP="006424CA">
      <w:pPr>
        <w:spacing w:after="0" w:line="240" w:lineRule="auto"/>
        <w:ind w:right="-1" w:firstLine="567"/>
        <w:rPr>
          <w:i/>
          <w:iCs/>
          <w:shd w:val="clear" w:color="auto" w:fill="FFFFFF"/>
          <w:lang w:eastAsia="lt-LT"/>
        </w:rPr>
      </w:pPr>
      <w:r w:rsidRPr="00192FD8">
        <w:rPr>
          <w:i/>
          <w:iCs/>
          <w:shd w:val="clear" w:color="auto" w:fill="FFFFFF"/>
          <w:lang w:eastAsia="lt-LT"/>
        </w:rPr>
        <w:t xml:space="preserve">Dėl </w:t>
      </w:r>
      <w:r>
        <w:rPr>
          <w:i/>
          <w:iCs/>
          <w:shd w:val="clear" w:color="auto" w:fill="FFFFFF"/>
          <w:lang w:eastAsia="lt-LT"/>
        </w:rPr>
        <w:t>Konvencijos 13 straipsnio, skaitomo kartu su 8 straipsniu, pažeidimo</w:t>
      </w:r>
    </w:p>
    <w:p w14:paraId="63E9A688" w14:textId="77777777" w:rsidR="006424CA" w:rsidRDefault="006424CA" w:rsidP="006424CA">
      <w:pPr>
        <w:spacing w:after="0" w:line="240" w:lineRule="auto"/>
        <w:ind w:right="-1" w:firstLine="567"/>
        <w:jc w:val="both"/>
        <w:rPr>
          <w:rStyle w:val="tlid-translation"/>
        </w:rPr>
      </w:pPr>
    </w:p>
    <w:p w14:paraId="15A6983C" w14:textId="77777777" w:rsidR="006424CA" w:rsidRDefault="006424CA" w:rsidP="006424CA">
      <w:pPr>
        <w:spacing w:after="0" w:line="240" w:lineRule="auto"/>
        <w:ind w:right="-1" w:firstLine="567"/>
        <w:jc w:val="both"/>
      </w:pPr>
      <w:r w:rsidRPr="00327C3D">
        <w:t xml:space="preserve">Teismas nustatė, kad </w:t>
      </w:r>
      <w:r>
        <w:t>p</w:t>
      </w:r>
      <w:r w:rsidRPr="00327C3D">
        <w:t>areiškėjas savo prašymus dėl skubi</w:t>
      </w:r>
      <w:r>
        <w:t>os išvykos</w:t>
      </w:r>
      <w:r w:rsidRPr="00327C3D">
        <w:t xml:space="preserve"> galėjo pateikti tik užpildydamas </w:t>
      </w:r>
      <w:r>
        <w:t xml:space="preserve">standartizuotą </w:t>
      </w:r>
      <w:r w:rsidRPr="00327C3D">
        <w:t>formą, kurioje buvo reikalaujama trumpai apibūdinti prašymo priežastis</w:t>
      </w:r>
      <w:r>
        <w:t>, o</w:t>
      </w:r>
      <w:r w:rsidRPr="00327C3D">
        <w:t xml:space="preserve"> </w:t>
      </w:r>
      <w:r>
        <w:t>nacionalinė teisė</w:t>
      </w:r>
      <w:r w:rsidRPr="00327C3D">
        <w:t xml:space="preserve"> nenumatė jokių teisių gynimo priemonių atmetus tokius prašymus. </w:t>
      </w:r>
      <w:r>
        <w:t xml:space="preserve">Taigi sprendimo teisė dėl tokių išvykų buvo palikta </w:t>
      </w:r>
      <w:r w:rsidRPr="00327C3D">
        <w:t>kompetentingam prokurorui</w:t>
      </w:r>
      <w:r>
        <w:t>, kurio sprendimas</w:t>
      </w:r>
      <w:r w:rsidRPr="00327C3D">
        <w:t xml:space="preserve"> negalėjo būti peržiūrėt</w:t>
      </w:r>
      <w:r>
        <w:t>a</w:t>
      </w:r>
      <w:r w:rsidRPr="00327C3D">
        <w:t>s.</w:t>
      </w:r>
    </w:p>
    <w:p w14:paraId="332AEDB2" w14:textId="339F5D09" w:rsidR="006424CA" w:rsidRDefault="006424CA" w:rsidP="006424CA">
      <w:pPr>
        <w:spacing w:after="0" w:line="240" w:lineRule="auto"/>
        <w:ind w:right="-1" w:firstLine="567"/>
        <w:jc w:val="both"/>
      </w:pPr>
      <w:r w:rsidRPr="00705174">
        <w:t>Kalbant apie</w:t>
      </w:r>
      <w:r>
        <w:t xml:space="preserve"> pareiškėjo</w:t>
      </w:r>
      <w:r w:rsidRPr="00705174">
        <w:t xml:space="preserve"> teisę raštu kreiptis į bet kurią valstybės instituciją, </w:t>
      </w:r>
      <w:r>
        <w:t xml:space="preserve">siekti </w:t>
      </w:r>
      <w:r w:rsidRPr="00705174">
        <w:t xml:space="preserve">teisminės gynybos, kreiptis į tarptautines organizacijas </w:t>
      </w:r>
      <w:r>
        <w:t>a</w:t>
      </w:r>
      <w:r w:rsidRPr="00705174">
        <w:t>r teisinės pagalbos</w:t>
      </w:r>
      <w:r>
        <w:t xml:space="preserve"> –</w:t>
      </w:r>
      <w:r w:rsidRPr="00705174">
        <w:t xml:space="preserve"> šios galimybės buvo aprašytos </w:t>
      </w:r>
      <w:r>
        <w:t xml:space="preserve">tik </w:t>
      </w:r>
      <w:r w:rsidRPr="00705174">
        <w:t xml:space="preserve">bendrais bruožais ir </w:t>
      </w:r>
      <w:r>
        <w:t xml:space="preserve">Teismui </w:t>
      </w:r>
      <w:r w:rsidRPr="00705174">
        <w:t xml:space="preserve">neatrodė, kad </w:t>
      </w:r>
      <w:r>
        <w:t xml:space="preserve">jos </w:t>
      </w:r>
      <w:r w:rsidRPr="00705174">
        <w:t>būtų aktualios šioje byloje.</w:t>
      </w:r>
      <w:r>
        <w:t xml:space="preserve"> </w:t>
      </w:r>
      <w:r w:rsidRPr="00705174">
        <w:t xml:space="preserve">Dėl teisės kreiptis į Kalėjimų valdybą ar Pirmosios instancijos baudžiamojo teismo Kaltinimų skyrių ir būti išklausytam už įkalinimo įstaigą atsakingo prokuroro Vyriausybė nepateikė jokių pavyzdžių ir atitinkamų sprendimų. </w:t>
      </w:r>
      <w:r>
        <w:t>Taigi Vyriausybė</w:t>
      </w:r>
      <w:r w:rsidRPr="00705174">
        <w:t xml:space="preserve"> neįrodė, kad šios teisės gynimo priemonės suteikė </w:t>
      </w:r>
      <w:r>
        <w:t>pareiškėjui</w:t>
      </w:r>
      <w:r w:rsidRPr="00705174">
        <w:t xml:space="preserve"> pagrįst</w:t>
      </w:r>
      <w:r>
        <w:t>ą</w:t>
      </w:r>
      <w:r w:rsidRPr="00705174">
        <w:t xml:space="preserve"> sėkmės perspektyv</w:t>
      </w:r>
      <w:r>
        <w:t>ą.</w:t>
      </w:r>
    </w:p>
    <w:p w14:paraId="10ED8C79" w14:textId="77777777" w:rsidR="006424CA" w:rsidRDefault="006424CA" w:rsidP="006424CA">
      <w:pPr>
        <w:spacing w:after="0" w:line="240" w:lineRule="auto"/>
        <w:ind w:right="-1" w:firstLine="567"/>
        <w:jc w:val="both"/>
      </w:pPr>
      <w:r>
        <w:lastRenderedPageBreak/>
        <w:t>Nacionalinė teisė</w:t>
      </w:r>
      <w:r w:rsidRPr="001A2BA6">
        <w:t xml:space="preserve"> nenumatė jokių teisių gynimo priemonių, kuriomis pareiškėjas </w:t>
      </w:r>
      <w:r>
        <w:t xml:space="preserve">būtų </w:t>
      </w:r>
      <w:r w:rsidRPr="001A2BA6">
        <w:t>galė</w:t>
      </w:r>
      <w:r>
        <w:t>jęs</w:t>
      </w:r>
      <w:r w:rsidRPr="001A2BA6">
        <w:t xml:space="preserve"> </w:t>
      </w:r>
      <w:r>
        <w:t xml:space="preserve">pasinaudoti </w:t>
      </w:r>
      <w:r w:rsidRPr="001A2BA6">
        <w:t>ginčy</w:t>
      </w:r>
      <w:r>
        <w:t>damas prokuroro</w:t>
      </w:r>
      <w:r w:rsidRPr="001A2BA6">
        <w:t xml:space="preserve"> atsisakymus </w:t>
      </w:r>
      <w:r>
        <w:t>leisti jam skubiai išvykti</w:t>
      </w:r>
      <w:r w:rsidRPr="001A2BA6">
        <w:t xml:space="preserve"> ir </w:t>
      </w:r>
      <w:r>
        <w:t>j</w:t>
      </w:r>
      <w:r w:rsidRPr="001A2BA6">
        <w:t xml:space="preserve">uos peržiūrėti </w:t>
      </w:r>
      <w:r>
        <w:t xml:space="preserve">Konvencijos </w:t>
      </w:r>
      <w:r w:rsidRPr="001A2BA6">
        <w:t>8</w:t>
      </w:r>
      <w:r>
        <w:t> </w:t>
      </w:r>
      <w:r w:rsidRPr="001A2BA6">
        <w:t xml:space="preserve">straipsnio požiūriu. </w:t>
      </w:r>
      <w:r>
        <w:t>Teismo vertinimu, p</w:t>
      </w:r>
      <w:r w:rsidRPr="001A2BA6">
        <w:t xml:space="preserve">rokuroro atliktas pareiškėjo prašymų nagrinėjimas </w:t>
      </w:r>
      <w:r>
        <w:t>be</w:t>
      </w:r>
      <w:r w:rsidRPr="001A2BA6">
        <w:t xml:space="preserve"> galimybė</w:t>
      </w:r>
      <w:r>
        <w:t>s</w:t>
      </w:r>
      <w:r w:rsidRPr="001A2BA6">
        <w:t xml:space="preserve"> </w:t>
      </w:r>
      <w:r>
        <w:t>peržiūrėti sprendimus, kuriais šie prašymai atmesti,</w:t>
      </w:r>
      <w:r w:rsidRPr="00090FF1">
        <w:t xml:space="preserve"> </w:t>
      </w:r>
      <w:r w:rsidRPr="001A2BA6">
        <w:t>negal</w:t>
      </w:r>
      <w:r>
        <w:t>i</w:t>
      </w:r>
      <w:r w:rsidRPr="001A2BA6">
        <w:t xml:space="preserve"> būti laikoma</w:t>
      </w:r>
      <w:r>
        <w:t>s</w:t>
      </w:r>
      <w:r w:rsidRPr="001A2BA6">
        <w:t xml:space="preserve"> pakankam</w:t>
      </w:r>
      <w:r>
        <w:t>u</w:t>
      </w:r>
      <w:r w:rsidRPr="001A2BA6">
        <w:t>.</w:t>
      </w:r>
      <w:r>
        <w:t xml:space="preserve"> </w:t>
      </w:r>
      <w:r w:rsidRPr="00D91CC1">
        <w:t>Atsižvelgęs į tai, Teismas konstatavo, jog</w:t>
      </w:r>
      <w:r>
        <w:t xml:space="preserve"> buvo pažeistas </w:t>
      </w:r>
      <w:r w:rsidRPr="007B5EFE">
        <w:rPr>
          <w:rFonts w:cstheme="minorHAnsi"/>
        </w:rPr>
        <w:t xml:space="preserve">Konvencijos </w:t>
      </w:r>
      <w:r>
        <w:rPr>
          <w:rFonts w:cstheme="minorHAnsi"/>
        </w:rPr>
        <w:t xml:space="preserve">13 </w:t>
      </w:r>
      <w:r w:rsidRPr="007B5EFE">
        <w:rPr>
          <w:rFonts w:cstheme="minorHAnsi"/>
        </w:rPr>
        <w:t>straipsni</w:t>
      </w:r>
      <w:r>
        <w:rPr>
          <w:rFonts w:cstheme="minorHAnsi"/>
        </w:rPr>
        <w:t>s, skaitomas kartu su 8 straipsniu.</w:t>
      </w:r>
    </w:p>
    <w:p w14:paraId="0432CA63" w14:textId="77777777" w:rsidR="006424CA" w:rsidRPr="007B5EFE" w:rsidRDefault="006424CA" w:rsidP="006424CA">
      <w:pPr>
        <w:spacing w:after="0" w:line="240" w:lineRule="auto"/>
        <w:ind w:right="-1" w:firstLine="567"/>
        <w:jc w:val="both"/>
        <w:rPr>
          <w:rStyle w:val="tlid-translation"/>
        </w:rPr>
      </w:pPr>
    </w:p>
    <w:p w14:paraId="2B8AF5EF" w14:textId="77777777" w:rsidR="006424CA" w:rsidRDefault="006424CA" w:rsidP="006424CA">
      <w:pPr>
        <w:spacing w:after="0" w:line="240" w:lineRule="auto"/>
        <w:ind w:right="-1" w:firstLine="567"/>
        <w:jc w:val="both"/>
        <w:rPr>
          <w:rFonts w:cstheme="minorHAnsi"/>
        </w:rPr>
      </w:pPr>
      <w:r w:rsidRPr="007B5EFE">
        <w:rPr>
          <w:rFonts w:cstheme="minorHAnsi"/>
        </w:rPr>
        <w:t xml:space="preserve">Išvada: nustatytas Konvencijos </w:t>
      </w:r>
      <w:r>
        <w:rPr>
          <w:rFonts w:cstheme="minorHAnsi"/>
        </w:rPr>
        <w:t>8</w:t>
      </w:r>
      <w:r w:rsidRPr="007B5EFE">
        <w:rPr>
          <w:rFonts w:cstheme="minorHAnsi"/>
        </w:rPr>
        <w:t xml:space="preserve"> </w:t>
      </w:r>
      <w:r>
        <w:rPr>
          <w:rFonts w:cstheme="minorHAnsi"/>
        </w:rPr>
        <w:t xml:space="preserve">straipsnio ir 13 </w:t>
      </w:r>
      <w:r w:rsidRPr="007B5EFE">
        <w:rPr>
          <w:rFonts w:cstheme="minorHAnsi"/>
        </w:rPr>
        <w:t>straipsni</w:t>
      </w:r>
      <w:r>
        <w:rPr>
          <w:rFonts w:cstheme="minorHAnsi"/>
        </w:rPr>
        <w:t>o, skaitomo kartu su 8 straipsniu,</w:t>
      </w:r>
      <w:r w:rsidRPr="007B5EFE">
        <w:rPr>
          <w:rFonts w:cstheme="minorHAnsi"/>
        </w:rPr>
        <w:t xml:space="preserve"> pažeidimas (</w:t>
      </w:r>
      <w:r>
        <w:rPr>
          <w:rFonts w:cstheme="minorHAnsi"/>
        </w:rPr>
        <w:t>vienbalsiai</w:t>
      </w:r>
      <w:r w:rsidRPr="007B5EFE">
        <w:rPr>
          <w:rFonts w:cstheme="minorHAnsi"/>
        </w:rPr>
        <w:t>).</w:t>
      </w:r>
    </w:p>
    <w:p w14:paraId="0D098D9F" w14:textId="77777777" w:rsidR="006424CA" w:rsidRDefault="006424CA" w:rsidP="006424CA">
      <w:pPr>
        <w:spacing w:after="0" w:line="240" w:lineRule="auto"/>
        <w:ind w:right="-1" w:firstLine="567"/>
        <w:jc w:val="both"/>
        <w:rPr>
          <w:rFonts w:cstheme="minorHAnsi"/>
        </w:rPr>
      </w:pPr>
      <w:r w:rsidRPr="00536624">
        <w:rPr>
          <w:rFonts w:cstheme="minorHAnsi"/>
        </w:rPr>
        <w:t>41 straipsnis: priteista</w:t>
      </w:r>
      <w:r>
        <w:rPr>
          <w:rFonts w:cstheme="minorHAnsi"/>
        </w:rPr>
        <w:t>s</w:t>
      </w:r>
      <w:r w:rsidRPr="00536624">
        <w:rPr>
          <w:rFonts w:cstheme="minorHAnsi"/>
        </w:rPr>
        <w:t xml:space="preserve"> </w:t>
      </w:r>
      <w:r>
        <w:rPr>
          <w:rFonts w:cstheme="minorHAnsi"/>
        </w:rPr>
        <w:t>4 0</w:t>
      </w:r>
      <w:r w:rsidRPr="00536624">
        <w:rPr>
          <w:rFonts w:cstheme="minorHAnsi"/>
        </w:rPr>
        <w:t>00 Eur neturtinės žalos</w:t>
      </w:r>
      <w:r>
        <w:rPr>
          <w:rFonts w:cstheme="minorHAnsi"/>
        </w:rPr>
        <w:t xml:space="preserve"> </w:t>
      </w:r>
      <w:r w:rsidRPr="00536624">
        <w:rPr>
          <w:rFonts w:cstheme="minorHAnsi"/>
        </w:rPr>
        <w:t>atlyginim</w:t>
      </w:r>
      <w:r>
        <w:rPr>
          <w:rFonts w:cstheme="minorHAnsi"/>
        </w:rPr>
        <w:t>as</w:t>
      </w:r>
      <w:r w:rsidRPr="00536624">
        <w:rPr>
          <w:rFonts w:cstheme="minorHAnsi"/>
        </w:rPr>
        <w:t>.</w:t>
      </w:r>
    </w:p>
    <w:p w14:paraId="428ABE4A" w14:textId="77777777" w:rsidR="006424CA" w:rsidRDefault="00000000" w:rsidP="006424CA">
      <w:pPr>
        <w:spacing w:after="0" w:line="240" w:lineRule="auto"/>
        <w:ind w:right="-1" w:firstLine="567"/>
        <w:rPr>
          <w:rStyle w:val="Hipersaitas"/>
          <w:rFonts w:cs="Arial"/>
        </w:rPr>
      </w:pPr>
      <w:hyperlink r:id="rId17" w:history="1">
        <w:r w:rsidR="006424CA" w:rsidRPr="007B5EFE">
          <w:rPr>
            <w:rStyle w:val="Hipersaitas"/>
            <w:rFonts w:cs="Arial"/>
          </w:rPr>
          <w:t>Prieiga internete</w:t>
        </w:r>
      </w:hyperlink>
      <w:r w:rsidR="006424CA" w:rsidRPr="007B5EFE">
        <w:rPr>
          <w:rStyle w:val="Hipersaitas"/>
          <w:rFonts w:cs="Arial"/>
        </w:rPr>
        <w:t xml:space="preserve"> </w:t>
      </w:r>
      <w:r w:rsidR="006424CA" w:rsidRPr="00AF484B">
        <w:rPr>
          <w:rFonts w:cstheme="minorHAnsi"/>
        </w:rPr>
        <w:t>(prancūzų k.)</w:t>
      </w:r>
    </w:p>
    <w:p w14:paraId="7D0A374C" w14:textId="77777777" w:rsidR="004C62F8" w:rsidRDefault="004C62F8" w:rsidP="00F87300">
      <w:pPr>
        <w:spacing w:after="0" w:line="240" w:lineRule="auto"/>
        <w:ind w:right="-1" w:firstLine="567"/>
        <w:rPr>
          <w:rStyle w:val="Hipersaitas"/>
          <w:rFonts w:cs="Arial"/>
        </w:rPr>
      </w:pPr>
    </w:p>
    <w:p w14:paraId="697A916C"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center"/>
        <w:rPr>
          <w:rFonts w:ascii="Calibri" w:eastAsia="Calibri" w:hAnsi="Calibri" w:cs="Times New Roman"/>
          <w:b/>
          <w:bCs/>
        </w:rPr>
      </w:pPr>
      <w:r w:rsidRPr="00425047">
        <w:rPr>
          <w:rFonts w:ascii="Calibri" w:eastAsia="Calibri" w:hAnsi="Calibri" w:cs="Times New Roman"/>
          <w:b/>
          <w:bCs/>
        </w:rPr>
        <w:t xml:space="preserve">Europos Žmogaus Teisių Teismo 2022 m. </w:t>
      </w:r>
      <w:r>
        <w:rPr>
          <w:rFonts w:ascii="Calibri" w:eastAsia="Calibri" w:hAnsi="Calibri" w:cs="Times New Roman"/>
          <w:b/>
          <w:bCs/>
        </w:rPr>
        <w:t>liepos 21</w:t>
      </w:r>
      <w:r w:rsidRPr="00425047">
        <w:rPr>
          <w:rFonts w:ascii="Calibri" w:eastAsia="Calibri" w:hAnsi="Calibri" w:cs="Times New Roman"/>
          <w:b/>
          <w:bCs/>
        </w:rPr>
        <w:t xml:space="preserve"> d. sprendimas byloje </w:t>
      </w:r>
    </w:p>
    <w:p w14:paraId="1E29C0B7" w14:textId="70F3F2A1" w:rsidR="004C62F8" w:rsidRPr="00425047" w:rsidRDefault="004C62F8" w:rsidP="00F87300">
      <w:pPr>
        <w:pStyle w:val="Antrat2"/>
        <w:ind w:right="-1" w:firstLine="0"/>
        <w:rPr>
          <w:rFonts w:ascii="Calibri" w:eastAsia="Calibri" w:hAnsi="Calibri"/>
        </w:rPr>
      </w:pPr>
      <w:bookmarkStart w:id="28" w:name="_Toc141446360"/>
      <w:r w:rsidRPr="00425047">
        <w:rPr>
          <w:rFonts w:ascii="Calibri" w:eastAsia="Calibri" w:hAnsi="Calibri"/>
        </w:rPr>
        <w:t xml:space="preserve">Darboe </w:t>
      </w:r>
      <w:r w:rsidR="00317261">
        <w:rPr>
          <w:rFonts w:ascii="Calibri" w:eastAsia="Calibri" w:hAnsi="Calibri"/>
        </w:rPr>
        <w:t>ir</w:t>
      </w:r>
      <w:r w:rsidRPr="00425047">
        <w:rPr>
          <w:rFonts w:ascii="Calibri" w:eastAsia="Calibri" w:hAnsi="Calibri"/>
        </w:rPr>
        <w:t xml:space="preserve"> Camara prieš Italiją</w:t>
      </w:r>
      <w:bookmarkEnd w:id="28"/>
    </w:p>
    <w:p w14:paraId="42D2F636" w14:textId="77777777" w:rsidR="004C62F8" w:rsidRPr="00425047" w:rsidRDefault="004C62F8"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425047">
        <w:rPr>
          <w:rFonts w:ascii="Calibri" w:eastAsia="Calibri" w:hAnsi="Calibri" w:cs="Times New Roman"/>
          <w:b/>
          <w:bCs/>
        </w:rPr>
        <w:t>(pareiškimo Nr. 5797/17,</w:t>
      </w:r>
      <w:r w:rsidRPr="00425047">
        <w:rPr>
          <w:rFonts w:ascii="Calibri" w:eastAsia="Times New Roman" w:hAnsi="Calibri" w:cs="Calibri"/>
          <w:b/>
        </w:rPr>
        <w:t xml:space="preserve"> svarbos lygis – Svarbiausios bylos)</w:t>
      </w:r>
    </w:p>
    <w:p w14:paraId="323C4544"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4D3A1EC3" w14:textId="77777777" w:rsidR="004C62F8" w:rsidRPr="00425047" w:rsidRDefault="004C62F8" w:rsidP="00F87300">
      <w:pPr>
        <w:pStyle w:val="Antrat3"/>
        <w:spacing w:before="0" w:line="240" w:lineRule="auto"/>
        <w:ind w:right="-1" w:firstLine="567"/>
        <w:rPr>
          <w:rFonts w:ascii="Calibri" w:eastAsia="Times New Roman" w:hAnsi="Calibri" w:cs="Times New Roman"/>
        </w:rPr>
      </w:pPr>
      <w:bookmarkStart w:id="29" w:name="_Toc141446361"/>
      <w:r w:rsidRPr="00425047">
        <w:rPr>
          <w:rFonts w:ascii="Calibri" w:eastAsia="Times New Roman" w:hAnsi="Calibri" w:cs="Times New Roman"/>
        </w:rPr>
        <w:t>Dėl medicininės amžiaus nustatymo procedūros, atliktos nelydimam nepilnamečiui prieglobsčio prašytojui, pažeidžiant Konvencijos 8 straipsnį, bei tokio asmens apgyvendinimo suaugusiųjų užsieniečių priėmimo centre, pažeidusio Konvencijos 3 straipsnį</w:t>
      </w:r>
      <w:bookmarkEnd w:id="29"/>
      <w:r w:rsidRPr="00425047">
        <w:rPr>
          <w:rFonts w:ascii="Calibri" w:eastAsia="Times New Roman" w:hAnsi="Calibri" w:cs="Times New Roman"/>
        </w:rPr>
        <w:t xml:space="preserve"> </w:t>
      </w:r>
    </w:p>
    <w:p w14:paraId="49BB0F9B"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8529550" w14:textId="77777777" w:rsidR="004C62F8" w:rsidRPr="00425047" w:rsidRDefault="004C62F8"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425047">
        <w:rPr>
          <w:rFonts w:ascii="Calibri" w:eastAsia="Times New Roman" w:hAnsi="Calibri" w:cs="Calibri"/>
          <w:b/>
          <w:bCs/>
          <w:color w:val="000000"/>
        </w:rPr>
        <w:t>Faktinės aplinkybės</w:t>
      </w:r>
    </w:p>
    <w:p w14:paraId="0336D60A"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9BDE50B" w14:textId="77777777"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Atvykęs į Italiją, Gvinėjos pilietis žodžiu paprašė prieglobsčio ir nurodė, kad yra nelydimas nepilnametis. Jam nebuvo suteikta informacija, kaip inicijuoti reikiamą procedūrą dėl prieglobsčio prašymo nagrinėjimo, ir prašymas dėl tarptautinės apsaugos jo byloje registruotas nebuvo. Vienintelės apklausos metu nebuvo įvertintas jo, kaip nepilnamečio, galimas pažeidžiamumas ir specifiniai poreikiai. Pareiškėjas buvo patalpintas nelydimiems nepilnamečiams skirtame užsieniečių centre, bet vėliau buvo perkeltas į suaugusiųjų priėmimo centrą, kuris, pareiškėjo teigimu, buvo perpildytas, jame trūko patalpų ir sveikatos priežiūros. Po mėnesio, siekiant nustatyti pareiškėjo amžių, jam buvo atliktas riešo rentgeno tyrimas</w:t>
      </w:r>
      <w:r>
        <w:rPr>
          <w:rFonts w:ascii="Calibri" w:eastAsia="Calibri" w:hAnsi="Calibri" w:cs="Times New Roman"/>
        </w:rPr>
        <w:t>,</w:t>
      </w:r>
      <w:r w:rsidRPr="00425047">
        <w:rPr>
          <w:rFonts w:ascii="Calibri" w:eastAsia="Calibri" w:hAnsi="Calibri" w:cs="Times New Roman"/>
        </w:rPr>
        <w:t xml:space="preserve"> po kurio buvo nuspręsta, kad pareiškėjas yra aštuoniolikos metų pilnametis. Pareiškėjas nebuvo davęs sutikimo atlikti šį tyrimą ir jam nebuvo pateikta atitinkamos medicininės išvados kopija. Medicininėje išvadoje nebuvo nurodyta jokios amžiaus paklaidos, taip pat pareiškėjui nebuvo išduotas joks administracinis ar teismo sprendimas, susijęs su jo amžiaus nustatymo procedūra ir jos rezultatais.</w:t>
      </w:r>
    </w:p>
    <w:p w14:paraId="3508C5AB" w14:textId="09B01FAE"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425047">
        <w:rPr>
          <w:rFonts w:ascii="Calibri" w:eastAsia="Calibri" w:hAnsi="Calibri" w:cs="Times New Roman"/>
        </w:rPr>
        <w:t>Galiausiai, gavęs advokatų pagalbą, pareiškėjas nedelsdamas nacionaliniam teismui pateikė prašymą paskirti globėją ir pripažinti jo, kaip nelydimo nepilnamečio prieglobsčio prašytojo, teises, garantuojamas pagal Italijos teisės normas. Vis dėlto nei jis, nei jo atstovai informacijos apie tokio prašymo rezultatus negavo. Remdamasis Teismo reglamento 39 taisykle, Teismas taikė laikinąsias apsaugos priemones, todėl pareiškėjas buvo perkeltas į nepilnamečių centrą; jo gyvenimas suaugusiųjų priėmimo centre truko daugiau nei keturis mėnesius</w:t>
      </w:r>
      <w:r w:rsidRPr="00425047">
        <w:rPr>
          <w:rFonts w:ascii="Calibri" w:eastAsia="Times New Roman" w:hAnsi="Calibri" w:cs="Calibri"/>
          <w:color w:val="000000"/>
        </w:rPr>
        <w:t>.</w:t>
      </w:r>
    </w:p>
    <w:p w14:paraId="2C940677"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45C8D8CC" w14:textId="77777777" w:rsidR="004C62F8" w:rsidRPr="00425047" w:rsidRDefault="004C62F8" w:rsidP="00F87300">
      <w:pPr>
        <w:shd w:val="clear" w:color="auto" w:fill="FFFFFF"/>
        <w:spacing w:after="0" w:line="240" w:lineRule="auto"/>
        <w:ind w:right="-1"/>
        <w:jc w:val="center"/>
        <w:rPr>
          <w:rFonts w:ascii="Calibri" w:eastAsia="Times New Roman" w:hAnsi="Calibri" w:cs="Calibri"/>
          <w:b/>
          <w:bCs/>
          <w:color w:val="000000"/>
        </w:rPr>
      </w:pPr>
      <w:r w:rsidRPr="00425047">
        <w:rPr>
          <w:rFonts w:ascii="Calibri" w:eastAsia="Times New Roman" w:hAnsi="Calibri" w:cs="Calibri"/>
          <w:b/>
          <w:bCs/>
          <w:color w:val="000000"/>
        </w:rPr>
        <w:t>Neoficiali Teismo sprendimo apžvalga</w:t>
      </w:r>
    </w:p>
    <w:p w14:paraId="4531F495" w14:textId="77777777" w:rsidR="004C62F8" w:rsidRPr="00425047" w:rsidRDefault="004C62F8"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880D63E" w14:textId="4A1DA941"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Konstatuodamas skundo dėl Konvencijos 8 straipsnio pažeidimo priimtinumą</w:t>
      </w:r>
      <w:r w:rsidR="00FE0B67">
        <w:rPr>
          <w:rFonts w:ascii="Calibri" w:eastAsia="Calibri" w:hAnsi="Calibri" w:cs="Times New Roman"/>
        </w:rPr>
        <w:t>,</w:t>
      </w:r>
      <w:r w:rsidRPr="00425047">
        <w:rPr>
          <w:rFonts w:ascii="Calibri" w:eastAsia="Calibri" w:hAnsi="Calibri" w:cs="Times New Roman"/>
        </w:rPr>
        <w:t xml:space="preserve"> Teismas pažymėjo, kad asmens amžius yra asmens tapatybės nustatymo priemonė ir kad asmens, kuris teigia esąs nepilnametis, amžiaus nustatymo procedūra, įskaitant jos procesines garantijas, yra svarbi, siekiant užtikrinti jam visas teises, kylančias dėl jo, kaip nepilnamečio, statuso. Teismas pabrėžė amžiaus nustatymo procedūrų svarbą migracijos kontekste ir pažymėjo, kad nacionaliniai, ES ir tarptautiniai teisės aktai, reglamentuojantys vaikų teisių apsaugą, pradedami taikyti nuo to momento, kai atitinkamas asmuo identifikuojamas kaip vaikas. Taigi, nustatymas, ar asmuo yra nepilnametis, yra pirmasis žingsnis, siekiant pripažinti jo teises ir imtis visų būtinų globos nustatymo priemonių. Iš tiesų, jeigu nepilnametis klaidingai pripažįstamas pilnamečiu, jo teisės gali būti rimtai pažeidžiamos.</w:t>
      </w:r>
    </w:p>
    <w:p w14:paraId="71A7C164" w14:textId="77777777"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Pareiškėjo skundą, kad valstybė nesiėmė visų būtinų priemonių jam, kaip nepilnamečiui, apsaugoti ir procesinių garantijų, susijusių su jo amžiaus nustatymu, užtikrinti, Teismas nagrinėjo atsižvelgdamas </w:t>
      </w:r>
      <w:r>
        <w:rPr>
          <w:rFonts w:ascii="Calibri" w:eastAsia="Calibri" w:hAnsi="Calibri" w:cs="Times New Roman"/>
        </w:rPr>
        <w:t xml:space="preserve">į </w:t>
      </w:r>
      <w:r w:rsidRPr="00425047">
        <w:rPr>
          <w:rFonts w:ascii="Calibri" w:eastAsia="Calibri" w:hAnsi="Calibri" w:cs="Times New Roman"/>
        </w:rPr>
        <w:t xml:space="preserve">pozityviuosius valstybės įsipareigojimus pagal Konvencijos 8 straipsnį. Taigi, Teismas siekė išsiaiškinti, ar pagal </w:t>
      </w:r>
      <w:r w:rsidRPr="00425047">
        <w:rPr>
          <w:rFonts w:ascii="Calibri" w:eastAsia="Calibri" w:hAnsi="Calibri" w:cs="Times New Roman"/>
        </w:rPr>
        <w:lastRenderedPageBreak/>
        <w:t>Konvencijos 8 straipsnį nacionalinės valdžios institucijos užtikrino procesines garantijas, kylančias iš pareiškėjo, kaip nelydimo nepilnamečio, prašančio tarptautinės apsaugos, statuso.</w:t>
      </w:r>
    </w:p>
    <w:p w14:paraId="4BB3145C" w14:textId="44BC0411"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Teismo vertinimu, valstybių interesas užkirsti kelią bandymams apeiti imigracijos taisykles neturi atimti iš nepilnamečių užsieniečių, ypač jei jie nelydimi, apsaugos, kurią garantuoja jų statusas. Todėl pagrindinių teisių apsauga ir suvaržymai, sietini su valstybės imigracijos politika, turi būti suderinti. Nagrinėjamu atveju Italijos valdžios institucijos netaikė nepilnamečio amžiaus prezumpcijos principo, kurį Teismas laiko neatsiejamu nelydimo užsieniečio, kuris nurodo esąs nepilnametis, teisės į privataus gyvenimo gerbimą elementu. Nors nacionalinių institucijų atliekamas asmens amžiaus nustatymas gali būti būtinas žingsnis, jei kyla abejonių dėl jo nepilnametystės, prezumpcijos principas reiškia, kad atliekant atitinkamą procedūrą asmeniui turi būti suteikiamos pakankamos procedūrinės garantijos. Pagal nacionalinę ir ES teisę, galiojusią šios konkrečios bylos faktinių aplinkybių metu, tokios apsaugos priemonės aiškiai apėmė teisinio atstovo ar globėjo paskyrimą, galimybę kreiptis į advokatą, taip pat teisę būti informuotam, kai dalyvaujama amžiaus nustatymo procedūroje. Vėliau ES ir tarptautinėje teisėje nustatytos garantijos buvo išplėstos, siekiant užtikrinti holistinę ir daugiadisciplininę amžiaus vertinimo procedūrą ir, Teismo vertinimu, šiuo metu Italijos teisinė sistema, atrodo, visiškai atitinka tokius aukštesnius tarptautinius standartus. </w:t>
      </w:r>
    </w:p>
    <w:p w14:paraId="3020F127" w14:textId="44E356CB"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Vis dėlto, atsižvelgęs į bylos faktinių aplinkybių metu susiklosčiusią situaciją, Teismas konstatavo, kad pareiškėjui nebuvo taikomos minimalios procedūrinės garantijos. Laiku nepaskyrus teisinio atstovo ar globėjo pareiškėjo byloje, jis negalėjo tinkamai ir veiksmingai pateikti prieglobsčio prašymo. Pareiškėjui atliktas kairiojo riešo ir plaštakos rentgeno tyrimas, nesuteikus jokios informacijos apie jam atliekamą amžiaus nustatymo procedūrą ir galimas jos pasekmes, jam nebuvo įteikta atitinkama medicininė išvada, kurioje, be kita ko, nebuvo nurodyta jokia amžiaus paklaida, be to nebuvo priimtas joks administracinis ar teismo sprendimas dėl pareiškėjo pripažinimo esant pilnamečiu, kurį jis būtų galėjęs apskųsti; pareiškėjui nebuvo pateikta jokios informacijos dėl jo prašymo teismui suteikti globėją ir pripažinti atitinkamas teises rezultato. Tokias faktines aplinkybes Teismas įvertino, kaip procesinių garantijų trūkumus, dėl kurių pareiškėjas neturėjo reikalingų priemonių prieglobsčio prašymui pateikti ir buvo apgyvendintas perpildytame suaugusiųjų priėmimo centre daugiau nei keturiems mėnesiams. Pastarasis aspektas, Teismo manymu, turėjo paveikti jo teisę į asmeninį tobulėjimą ir užmegzti bei plėtoti santykius su kitais asmenimis. Pasak Teismo, to buvo galima išvengti, jei pareiškėjas būtų buvęs apgyvendintas specializuotame centre arba pas įtėvius. Šias priemones, kurios labiau atitinka Vaiko teisių konvencijos 3 straipsnyje įtvirtintus geriausius vaiko interesus, nacionalinės valdžios institucijos apsvarstė ir galiausiai jas įgyvendino, tačiau tai buvo padaryta praėjus ilgam laiko tarpui ir tik po nurodymo taikyti Teismo reglamento 39 taisyklę. Esant tokioms aplinkybėms, Teismas darė išvadą, kad institucijos nesielgė pakankamai rūpestingai, todėl neįvykdė savo pozityvios pareigos užtikrinti pareiškėjo teisę į privataus gyvenimo gerbimą šioje byloje. Taigi, vienbalsiai spręsta, kad buvo pažeistas Konvencijos 8</w:t>
      </w:r>
      <w:r w:rsidR="00F87300">
        <w:rPr>
          <w:rFonts w:ascii="Calibri" w:eastAsia="Calibri" w:hAnsi="Calibri" w:cs="Times New Roman"/>
        </w:rPr>
        <w:t> </w:t>
      </w:r>
      <w:r w:rsidRPr="00425047">
        <w:rPr>
          <w:rFonts w:ascii="Calibri" w:eastAsia="Calibri" w:hAnsi="Calibri" w:cs="Times New Roman"/>
        </w:rPr>
        <w:t>straipsnis.</w:t>
      </w:r>
    </w:p>
    <w:p w14:paraId="7AD035F0" w14:textId="7BF4E04E"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Nagrinėdamas pareiškėjo skundą dėl Konvencijos 3 straipsnio pažeidimo, Teismas atsižvelgė į tai, kad suaugusiųjų priėmimo centras buvo perpildytas, jame nebuvo pakankamai darbuotojų ir buvo sunku gauti medicininę pagalbą. Be to, tam tikras aplinkybes (pareiškėjo apgyvendinimą suaugusiųjų priėmimo centre, ignoruojant jo nurodytą nepilnametystės faktą; Konvencijos 8 straipsnį pažeidžiančios amžiaus nustatymo procedūros atlikimą; pareiškėjo laikymą suaugusiųjų priėmimo centre ilgiau nei 4 mėnesius po to, kai pareiškėjas pripažintas pilnamečiu) Teismas vertino kaip savaime keliančias problem</w:t>
      </w:r>
      <w:r>
        <w:rPr>
          <w:rFonts w:ascii="Calibri" w:eastAsia="Calibri" w:hAnsi="Calibri" w:cs="Times New Roman"/>
        </w:rPr>
        <w:t>ų</w:t>
      </w:r>
      <w:r w:rsidRPr="00425047">
        <w:rPr>
          <w:rFonts w:ascii="Calibri" w:eastAsia="Calibri" w:hAnsi="Calibri" w:cs="Times New Roman"/>
        </w:rPr>
        <w:t xml:space="preserve"> dėl pareiškėjo pažeidžiamumo ir orumo. Viena vertus, Teismas jautriai įvertino faktus, jog aptariamas priėmimo centras buvo pakeistas iš buvusio karinio objekto, kad būtų galima spręsti dėl didžiulės migracijos susidariusią padėtį, be to, į Italiją atvykstančių nelydimų nepilnamečių skaičius bylos faktinių aplinkybių metu buvo labai išaugęs. Kita vertus, Teismas pabrėžė, kad atsižvelgiant į absoliutų Konvencijos 3 straipsnio pobūdį, sunkumai, kylantys dėl padidėjusio migrantų ir prieglobsčio prašytojų antplūdžio, ypač valstybėms, kurios sudaro Europos Sąjungos išorės sienas, neatleidžia Europos Tarybos narių nuo įsipareigojimų pagal šią nuostatą. Todėl, atsižvelgdamas į pareiškėjo buvimo suaugusiųjų priėmimo centre trukmę ir sąlygas, Teismas darė išvadą, kad buvo pažeistas Konvencijos 3 straipsnis.</w:t>
      </w:r>
    </w:p>
    <w:p w14:paraId="20B2310D" w14:textId="77777777" w:rsidR="004C62F8" w:rsidRPr="00425047" w:rsidRDefault="004C62F8" w:rsidP="00F87300">
      <w:pPr>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Teismas taip pat pabrėžė, kad Italijos Vyriausybė nenurodė jokių konkrečių teisių gynimo priemonių, kuriomis pareiškėjas galėjo pasinaudoti skųsdamas suaugusiųjų priėmimo centro sąlygas, o Vyriausybės nurodytos teisių gynimo priemonės dėl amžiaus nustatymo procedūros laikytos neveiksmingos, atkreipiant dėmesį į tai, kad pareiškėjui nebuvo pateikta jokia informacija apie jo kreipimosi į teismą, prašant suteikti </w:t>
      </w:r>
      <w:r w:rsidRPr="00425047">
        <w:rPr>
          <w:rFonts w:ascii="Calibri" w:eastAsia="Calibri" w:hAnsi="Calibri" w:cs="Times New Roman"/>
        </w:rPr>
        <w:lastRenderedPageBreak/>
        <w:t>globėją ir pripažinti atitinkamas teises, rezultatą. Todėl Teismas darė išvadą, kad buvo pažeistas Konvencijos 13 straipsnis kartu su 3 ir 8 straipsniais.</w:t>
      </w:r>
    </w:p>
    <w:p w14:paraId="6F1072BF" w14:textId="77777777" w:rsidR="004C62F8" w:rsidRPr="00425047" w:rsidRDefault="004C62F8" w:rsidP="00F87300">
      <w:pPr>
        <w:spacing w:after="0" w:line="240" w:lineRule="auto"/>
        <w:ind w:right="-1" w:firstLine="567"/>
        <w:jc w:val="both"/>
        <w:rPr>
          <w:rFonts w:ascii="Calibri" w:eastAsia="Calibri" w:hAnsi="Calibri" w:cs="Calibri"/>
        </w:rPr>
      </w:pPr>
    </w:p>
    <w:p w14:paraId="650EFDF9" w14:textId="77777777" w:rsidR="004C62F8" w:rsidRDefault="004C62F8" w:rsidP="00F87300">
      <w:pPr>
        <w:spacing w:after="0" w:line="240" w:lineRule="auto"/>
        <w:ind w:right="-1" w:firstLine="567"/>
        <w:jc w:val="both"/>
        <w:rPr>
          <w:rFonts w:ascii="Calibri" w:eastAsia="Calibri" w:hAnsi="Calibri" w:cs="Calibri"/>
        </w:rPr>
      </w:pPr>
      <w:r w:rsidRPr="00425047">
        <w:rPr>
          <w:rFonts w:ascii="Calibri" w:eastAsia="Calibri" w:hAnsi="Calibri" w:cs="Calibri"/>
        </w:rPr>
        <w:t xml:space="preserve">Išvada: pažeisti Konvencijos 3 ir 8 straipsniai, taip pat Konvencijos 13 straipsnis, siejant kartu su Konvencijos 3 ir 8 straipsniais (vienbalsiai). </w:t>
      </w:r>
    </w:p>
    <w:p w14:paraId="0B322B94" w14:textId="77777777" w:rsidR="004C62F8" w:rsidRPr="00425047" w:rsidRDefault="004C62F8" w:rsidP="00F87300">
      <w:pPr>
        <w:spacing w:after="0" w:line="240" w:lineRule="auto"/>
        <w:ind w:right="-1" w:firstLine="567"/>
        <w:jc w:val="both"/>
        <w:rPr>
          <w:rFonts w:ascii="Calibri" w:eastAsia="Calibri" w:hAnsi="Calibri" w:cs="Calibri"/>
        </w:rPr>
      </w:pPr>
      <w:r>
        <w:rPr>
          <w:rFonts w:cstheme="minorHAnsi"/>
        </w:rPr>
        <w:t>41 straipsnis: p</w:t>
      </w:r>
      <w:r w:rsidRPr="00425047">
        <w:rPr>
          <w:rFonts w:ascii="Calibri" w:eastAsia="Calibri" w:hAnsi="Calibri" w:cs="Calibri"/>
        </w:rPr>
        <w:t>areiškėjui priteista 7 500 EUR neturtinei žalai atlyginti.</w:t>
      </w:r>
    </w:p>
    <w:p w14:paraId="1EBE7262" w14:textId="77777777" w:rsidR="004C62F8" w:rsidRPr="00425047" w:rsidRDefault="004C62F8" w:rsidP="00F87300">
      <w:pPr>
        <w:spacing w:after="0" w:line="240" w:lineRule="auto"/>
        <w:ind w:right="-1" w:firstLine="567"/>
        <w:jc w:val="both"/>
        <w:rPr>
          <w:rFonts w:ascii="Calibri" w:eastAsia="Calibri" w:hAnsi="Calibri" w:cs="Calibri"/>
          <w:color w:val="0000FF"/>
          <w:u w:val="single"/>
        </w:rPr>
      </w:pPr>
      <w:r w:rsidRPr="00425047">
        <w:rPr>
          <w:rFonts w:ascii="Calibri" w:eastAsia="Calibri" w:hAnsi="Calibri" w:cs="Calibri"/>
          <w:color w:val="0000FF"/>
          <w:u w:val="single"/>
        </w:rPr>
        <w:fldChar w:fldCharType="begin"/>
      </w:r>
      <w:r w:rsidRPr="00425047">
        <w:rPr>
          <w:rFonts w:ascii="Calibri" w:eastAsia="Calibri" w:hAnsi="Calibri" w:cs="Calibri"/>
          <w:color w:val="0000FF"/>
          <w:u w:val="single"/>
        </w:rPr>
        <w:instrText>HYPERLINK "https://hudoc.echr.coe.int/" \l "{%22fulltext%22:[%225797/17%22],%22documentcollectionid2%22:[%22GRANDCHAMBER%22,%22CHAMBER%22],%22itemid%22:[%22001-218424%22]}"</w:instrText>
      </w:r>
      <w:r w:rsidRPr="00425047">
        <w:rPr>
          <w:rFonts w:ascii="Calibri" w:eastAsia="Calibri" w:hAnsi="Calibri" w:cs="Calibri"/>
          <w:color w:val="0000FF"/>
          <w:u w:val="single"/>
        </w:rPr>
      </w:r>
      <w:r w:rsidRPr="00425047">
        <w:rPr>
          <w:rFonts w:ascii="Calibri" w:eastAsia="Calibri" w:hAnsi="Calibri" w:cs="Calibri"/>
          <w:color w:val="0000FF"/>
          <w:u w:val="single"/>
        </w:rPr>
        <w:fldChar w:fldCharType="separate"/>
      </w:r>
      <w:r w:rsidRPr="00425047">
        <w:rPr>
          <w:rFonts w:ascii="Calibri" w:eastAsia="Calibri" w:hAnsi="Calibri" w:cs="Calibri"/>
          <w:color w:val="0000FF"/>
          <w:u w:val="single"/>
        </w:rPr>
        <w:t>Prieiga internete</w:t>
      </w:r>
    </w:p>
    <w:p w14:paraId="70D9FE5B" w14:textId="77777777" w:rsidR="006424CA" w:rsidRDefault="004C62F8" w:rsidP="006424CA">
      <w:pPr>
        <w:pBdr>
          <w:top w:val="nil"/>
          <w:left w:val="nil"/>
          <w:bottom w:val="nil"/>
          <w:right w:val="nil"/>
          <w:between w:val="nil"/>
        </w:pBdr>
        <w:tabs>
          <w:tab w:val="left" w:pos="851"/>
        </w:tabs>
        <w:spacing w:after="0" w:line="240" w:lineRule="auto"/>
        <w:ind w:right="-1"/>
        <w:jc w:val="center"/>
        <w:rPr>
          <w:rFonts w:ascii="Calibri" w:eastAsia="Calibri" w:hAnsi="Calibri" w:cs="Times New Roman"/>
          <w:b/>
          <w:bCs/>
        </w:rPr>
      </w:pPr>
      <w:r w:rsidRPr="00425047">
        <w:rPr>
          <w:rFonts w:ascii="Calibri" w:eastAsia="Calibri" w:hAnsi="Calibri" w:cs="Calibri"/>
          <w:color w:val="0000FF"/>
          <w:u w:val="single"/>
        </w:rPr>
        <w:fldChar w:fldCharType="end"/>
      </w:r>
      <w:r w:rsidR="006424CA" w:rsidRPr="006424CA">
        <w:rPr>
          <w:rFonts w:ascii="Calibri" w:eastAsia="Calibri" w:hAnsi="Calibri" w:cs="Times New Roman"/>
          <w:b/>
          <w:bCs/>
        </w:rPr>
        <w:t xml:space="preserve"> </w:t>
      </w:r>
    </w:p>
    <w:p w14:paraId="79F81B0A" w14:textId="55066192" w:rsidR="006424CA" w:rsidRPr="00425047" w:rsidRDefault="006424CA" w:rsidP="006424CA">
      <w:pPr>
        <w:pBdr>
          <w:top w:val="nil"/>
          <w:left w:val="nil"/>
          <w:bottom w:val="nil"/>
          <w:right w:val="nil"/>
          <w:between w:val="nil"/>
        </w:pBdr>
        <w:tabs>
          <w:tab w:val="left" w:pos="851"/>
        </w:tabs>
        <w:spacing w:after="0" w:line="240" w:lineRule="auto"/>
        <w:ind w:right="-1"/>
        <w:jc w:val="center"/>
        <w:rPr>
          <w:rFonts w:ascii="Calibri" w:eastAsia="Calibri" w:hAnsi="Calibri" w:cs="Times New Roman"/>
          <w:b/>
          <w:bCs/>
        </w:rPr>
      </w:pPr>
      <w:r w:rsidRPr="00425047">
        <w:rPr>
          <w:rFonts w:ascii="Calibri" w:eastAsia="Calibri" w:hAnsi="Calibri" w:cs="Times New Roman"/>
          <w:b/>
          <w:bCs/>
        </w:rPr>
        <w:t>Europos Žmogaus Teisių Teismo 2022 m. spalio 20 d. sprendimas byloje</w:t>
      </w:r>
    </w:p>
    <w:p w14:paraId="3E3236DC" w14:textId="77777777" w:rsidR="006424CA" w:rsidRPr="00425047" w:rsidRDefault="006424CA" w:rsidP="006424CA">
      <w:pPr>
        <w:pStyle w:val="Antrat2"/>
        <w:ind w:right="-1" w:firstLine="0"/>
        <w:rPr>
          <w:rFonts w:ascii="Calibri" w:eastAsia="Calibri" w:hAnsi="Calibri"/>
        </w:rPr>
      </w:pPr>
      <w:bookmarkStart w:id="30" w:name="_Toc141446362"/>
      <w:r w:rsidRPr="00425047">
        <w:rPr>
          <w:rFonts w:ascii="Calibri" w:eastAsia="Calibri" w:hAnsi="Calibri"/>
        </w:rPr>
        <w:t>M.T. ir kiti prieš Švediją</w:t>
      </w:r>
      <w:bookmarkEnd w:id="30"/>
    </w:p>
    <w:p w14:paraId="276F62E0" w14:textId="77777777" w:rsidR="006424CA" w:rsidRPr="00425047" w:rsidRDefault="006424CA" w:rsidP="006424CA">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425047">
        <w:rPr>
          <w:rFonts w:ascii="Calibri" w:eastAsia="Calibri" w:hAnsi="Calibri" w:cs="Times New Roman"/>
          <w:b/>
          <w:bCs/>
        </w:rPr>
        <w:t>(pareiškimo Nr. 22105/18,</w:t>
      </w:r>
      <w:r w:rsidRPr="00425047">
        <w:rPr>
          <w:rFonts w:ascii="Calibri" w:eastAsia="Times New Roman" w:hAnsi="Calibri" w:cs="Calibri"/>
          <w:b/>
        </w:rPr>
        <w:t xml:space="preserve"> svarbos lygis – 2)</w:t>
      </w:r>
    </w:p>
    <w:p w14:paraId="7730F3C1"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C041EC9" w14:textId="77777777" w:rsidR="006424CA" w:rsidRPr="00425047" w:rsidRDefault="006424CA" w:rsidP="006424CA">
      <w:pPr>
        <w:pStyle w:val="Antrat3"/>
        <w:ind w:right="-1" w:firstLine="567"/>
        <w:rPr>
          <w:rFonts w:ascii="Calibri" w:eastAsia="Times New Roman" w:hAnsi="Calibri" w:cs="Times New Roman"/>
        </w:rPr>
      </w:pPr>
      <w:bookmarkStart w:id="31" w:name="_Toc141446363"/>
      <w:r w:rsidRPr="00425047">
        <w:rPr>
          <w:rFonts w:ascii="Calibri" w:eastAsia="Times New Roman" w:hAnsi="Calibri" w:cs="Times New Roman"/>
        </w:rPr>
        <w:t xml:space="preserve">Dėl laikinai galiojusio draudimo leisti susijungti su šeimos nariu, kuriam Susitariančioje </w:t>
      </w:r>
      <w:r>
        <w:rPr>
          <w:rFonts w:ascii="Calibri" w:eastAsia="Times New Roman" w:hAnsi="Calibri" w:cs="Times New Roman"/>
        </w:rPr>
        <w:t>Š</w:t>
      </w:r>
      <w:r w:rsidRPr="00425047">
        <w:rPr>
          <w:rFonts w:ascii="Calibri" w:eastAsia="Times New Roman" w:hAnsi="Calibri" w:cs="Times New Roman"/>
        </w:rPr>
        <w:t>alyje suteikta papildoma apsauga</w:t>
      </w:r>
      <w:bookmarkEnd w:id="31"/>
      <w:r w:rsidRPr="00425047">
        <w:rPr>
          <w:rFonts w:ascii="Calibri" w:eastAsia="Times New Roman" w:hAnsi="Calibri" w:cs="Times New Roman"/>
        </w:rPr>
        <w:t xml:space="preserve"> </w:t>
      </w:r>
    </w:p>
    <w:p w14:paraId="351DDF9C"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6182E4D" w14:textId="77777777" w:rsidR="006424CA" w:rsidRPr="00425047" w:rsidRDefault="006424CA" w:rsidP="006424CA">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425047">
        <w:rPr>
          <w:rFonts w:ascii="Calibri" w:eastAsia="Times New Roman" w:hAnsi="Calibri" w:cs="Calibri"/>
          <w:b/>
          <w:bCs/>
          <w:color w:val="000000"/>
        </w:rPr>
        <w:t>Faktinės aplinkybės</w:t>
      </w:r>
    </w:p>
    <w:p w14:paraId="78B51683"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62D97EC"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Aptariamoje byloje pareiškėjai yra Saudo Arabijos pilietybę turinti motina (pirmoji pareiškėja) ir Sirijos pilietybę turintys du jos sūnūs (antrasis ir trečiasis pareiškėjai). </w:t>
      </w:r>
    </w:p>
    <w:p w14:paraId="2E2A2E26"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2016 metų kovo mėnesį antrasis pareiškėjas, tuo metu būdamas 15 metų amžiaus, atvyko į Švediją, kurioje jau gyveno du pilnamečiai jo broliai, ir paprašė prieglobsčio. Jam buvo suteikta teisinė pagalba bei, atsižvelgiant į jo, kaip nepilnamečio, statusą, specialus atstovas. Išnagrinėjus prieglobsčio prašymą, kompetentingos migracijos institucijos atliko pareiškėjo, kaip vaiko, geriausių interesų įvertinimą ir suteikė papildomą apsaugą bei laikiną leidimą gyventi šalyje. </w:t>
      </w:r>
    </w:p>
    <w:p w14:paraId="2339337C"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Netrukus po to Švedijoje buvo priimtas teisės aktas, nustatęs laikiną draudimą (galiojusį nuo 2016 m. liepos 20 d. iki 2019 m. birželio 19 d.) į susijungimą su šeima asmenims, kuriems suteikta papildoma apsauga, išskyrus, kai toks draudimas pažeidžia tarptautinių konvencijų, </w:t>
      </w:r>
      <w:r w:rsidRPr="00425047">
        <w:rPr>
          <w:rFonts w:ascii="Calibri" w:eastAsia="Calibri" w:hAnsi="Calibri" w:cs="Times New Roman"/>
          <w:i/>
          <w:iCs/>
        </w:rPr>
        <w:t>inter alia</w:t>
      </w:r>
      <w:r w:rsidRPr="00425047">
        <w:rPr>
          <w:rFonts w:ascii="Calibri" w:eastAsia="Calibri" w:hAnsi="Calibri" w:cs="Times New Roman"/>
        </w:rPr>
        <w:t xml:space="preserve">, Konvencijos 8 straipsnio nuostatas (toliau – Laikinas įstatymas). Toks draudimas buvo taikomas asmenims, paprašiusiems tarptautinės apsaugos nuo 2015 m. lapkričio 24 d., taigi ir pareiškėjui. </w:t>
      </w:r>
    </w:p>
    <w:p w14:paraId="6478E10E"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Calibri" w:hAnsi="Calibri" w:cs="Times New Roman"/>
        </w:rPr>
      </w:pPr>
      <w:r w:rsidRPr="00425047">
        <w:rPr>
          <w:rFonts w:ascii="Calibri" w:eastAsia="Calibri" w:hAnsi="Calibri" w:cs="Times New Roman"/>
        </w:rPr>
        <w:t>2017 metų vasario mėnesį antrojo pareiškėjo motina ir jaunesnis brolis paprašė leidimo susijungti su šeimos nariu (antruoju pareiškėju), kuris tuo metu buvo jau 17 metų amžiaus. Remiantis Laikinajame įstatyme įtvirtintu draudimu, prašymas buvo atmestas. Visi su tuo susiję pareiškėjų skundai taip pat buvo atmesti. 2018</w:t>
      </w:r>
      <w:r>
        <w:rPr>
          <w:rFonts w:ascii="Calibri" w:eastAsia="Calibri" w:hAnsi="Calibri" w:cs="Times New Roman"/>
        </w:rPr>
        <w:t> </w:t>
      </w:r>
      <w:r w:rsidRPr="00425047">
        <w:rPr>
          <w:rFonts w:ascii="Calibri" w:eastAsia="Calibri" w:hAnsi="Calibri" w:cs="Times New Roman"/>
        </w:rPr>
        <w:t>metų rugpjūčio mėnesį antrasis pareiškėjas tapo pilnamečiu, todėl pagal nacionalinės teisės normas neteko teisės į šeimos susijungimą.</w:t>
      </w:r>
    </w:p>
    <w:p w14:paraId="0C5EBB18"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425047">
        <w:rPr>
          <w:rFonts w:ascii="Calibri" w:eastAsia="Calibri" w:hAnsi="Calibri" w:cs="Times New Roman"/>
        </w:rPr>
        <w:t xml:space="preserve"> Pareiškėjai pateikė peticiją Teismui, remdamiesi Konvencijos 8 ir 14 straipsniais. </w:t>
      </w:r>
    </w:p>
    <w:p w14:paraId="293C3580"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05DD48AB" w14:textId="77777777" w:rsidR="006424CA" w:rsidRPr="00425047" w:rsidRDefault="006424CA" w:rsidP="006424CA">
      <w:pPr>
        <w:shd w:val="clear" w:color="auto" w:fill="FFFFFF"/>
        <w:spacing w:after="0" w:line="240" w:lineRule="auto"/>
        <w:ind w:right="-1"/>
        <w:jc w:val="center"/>
        <w:rPr>
          <w:rFonts w:ascii="Calibri" w:eastAsia="Times New Roman" w:hAnsi="Calibri" w:cs="Calibri"/>
          <w:b/>
          <w:bCs/>
          <w:color w:val="000000"/>
        </w:rPr>
      </w:pPr>
      <w:r w:rsidRPr="00425047">
        <w:rPr>
          <w:rFonts w:ascii="Calibri" w:eastAsia="Times New Roman" w:hAnsi="Calibri" w:cs="Calibri"/>
          <w:b/>
          <w:bCs/>
          <w:color w:val="000000"/>
        </w:rPr>
        <w:t>Neoficiali Teismo sprendimo apžvalga</w:t>
      </w:r>
    </w:p>
    <w:p w14:paraId="15398172" w14:textId="77777777" w:rsidR="006424CA" w:rsidRPr="00425047" w:rsidRDefault="006424CA" w:rsidP="006424CA">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A27A42A" w14:textId="77777777" w:rsidR="006424CA" w:rsidRPr="00425047" w:rsidRDefault="006424CA" w:rsidP="006424CA">
      <w:pPr>
        <w:spacing w:after="0" w:line="240" w:lineRule="auto"/>
        <w:ind w:right="-1" w:firstLine="567"/>
        <w:jc w:val="both"/>
        <w:rPr>
          <w:rFonts w:ascii="Calibri" w:eastAsia="Calibri" w:hAnsi="Calibri" w:cs="Times New Roman"/>
        </w:rPr>
      </w:pPr>
      <w:r w:rsidRPr="00425047">
        <w:rPr>
          <w:rFonts w:ascii="Calibri" w:eastAsia="Calibri" w:hAnsi="Calibri" w:cs="Times New Roman"/>
        </w:rPr>
        <w:t xml:space="preserve">Nagrinėdamas pareiškėjų skundą pagal Konvencijos 8 straipsnį, ir pasisakydamas byloje aktualių Švedijos teisėkūros priemonių aspektu, Teismas nerado pagrindo abejoti nacionalinėje teisėje įtvirtintu skirtingu požiūriu į pabėgėlio statusą ir papildomą apsaugą gavusių prieglobsčio prašytojų padėtį. Teismas taip pat atsižvelgė į tai, kad Laikinasis įstatymas pagrįstas bendrų šalies ekonominės gerovės interesų užtikrinimo apsauga. Šiuo klausimu Teismas visų pirma pažymėjo, kad dėl įvykių Sirijoje iki 2015 m. drastiškai išaugo prieglobsčio prašytojų skaičius Europos Sąjungoje, įskaitant Švediją. Laikinasis įstatymas savo pobūdžiu skyrėsi nuo byloje </w:t>
      </w:r>
      <w:r w:rsidRPr="00425047">
        <w:rPr>
          <w:rFonts w:ascii="Calibri" w:eastAsia="Calibri" w:hAnsi="Calibri" w:cs="Times New Roman"/>
          <w:i/>
          <w:iCs/>
        </w:rPr>
        <w:t>M.A. prieš Daniją</w:t>
      </w:r>
      <w:r w:rsidRPr="00425047">
        <w:rPr>
          <w:rFonts w:ascii="Calibri" w:eastAsia="Calibri" w:hAnsi="Calibri" w:cs="Times New Roman"/>
        </w:rPr>
        <w:t xml:space="preserve"> nagrinėt</w:t>
      </w:r>
      <w:r>
        <w:rPr>
          <w:rFonts w:ascii="Calibri" w:eastAsia="Calibri" w:hAnsi="Calibri" w:cs="Times New Roman"/>
        </w:rPr>
        <w:t>os</w:t>
      </w:r>
      <w:r w:rsidRPr="00425047">
        <w:rPr>
          <w:rFonts w:ascii="Calibri" w:eastAsia="Calibri" w:hAnsi="Calibri" w:cs="Times New Roman"/>
        </w:rPr>
        <w:t xml:space="preserve"> teisėkūros priemon</w:t>
      </w:r>
      <w:r>
        <w:rPr>
          <w:rFonts w:ascii="Calibri" w:eastAsia="Calibri" w:hAnsi="Calibri" w:cs="Times New Roman"/>
        </w:rPr>
        <w:t>ės</w:t>
      </w:r>
      <w:r w:rsidRPr="00425047">
        <w:rPr>
          <w:rFonts w:ascii="Calibri" w:eastAsia="Calibri" w:hAnsi="Calibri" w:cs="Times New Roman"/>
        </w:rPr>
        <w:t>, nes juo buvo nustatytas tik trejų metų šeimos susijungimo sustabdymo laikotarpis tiems, kurie su tokiu prašymu kreipėsi nuo 2016 m. liepos 20 d. Vėliau toks laikotarpis buvo palaipsniui sutrumpintas iki dvejų metų ar mažiau tiems, kurie prašymus pateikė 2017 m. liepos 20 d. arba vėliau. Toks reglamentavimas iš esmės skyrėsi nuo minėtoje byloje prieš Daniją nagrinėto teisės akto, pagal kurį buvo reikalaujama, kad asmuo turėtų leidimą gyventi bent trejus metus, prieš įgydamas teisę į šeimos susijungimą, nebent egzistuotų išskirtinės atitinkamą teisę pateisinančios priežastys. Be to, 2019</w:t>
      </w:r>
      <w:r>
        <w:rPr>
          <w:rFonts w:ascii="Calibri" w:eastAsia="Calibri" w:hAnsi="Calibri" w:cs="Times New Roman"/>
        </w:rPr>
        <w:t> </w:t>
      </w:r>
      <w:r w:rsidRPr="00425047">
        <w:rPr>
          <w:rFonts w:ascii="Calibri" w:eastAsia="Calibri" w:hAnsi="Calibri" w:cs="Times New Roman"/>
        </w:rPr>
        <w:t>m. liepos mėn. pratęsus Laikinojo įstatymo galiojimą dvejiems metams, buvo atkurta teisė kreiptis dėl šeimos susijungimo asmenims, kuriems buvo suteikta papildoma apsauga ir kurie kreipėsi dėl leidimo gyventi po 2015 m. lapkričio 24 d.</w:t>
      </w:r>
    </w:p>
    <w:p w14:paraId="3DD1D07A" w14:textId="77777777" w:rsidR="006424CA" w:rsidRPr="00425047" w:rsidRDefault="006424CA" w:rsidP="006424CA">
      <w:pPr>
        <w:spacing w:after="0" w:line="240" w:lineRule="auto"/>
        <w:ind w:right="-1" w:firstLine="567"/>
        <w:jc w:val="both"/>
        <w:rPr>
          <w:rFonts w:ascii="Calibri" w:eastAsia="Calibri" w:hAnsi="Calibri" w:cs="Times New Roman"/>
        </w:rPr>
      </w:pPr>
      <w:r w:rsidRPr="00425047">
        <w:rPr>
          <w:rFonts w:ascii="Calibri" w:eastAsia="Calibri" w:hAnsi="Calibri" w:cs="Times New Roman"/>
        </w:rPr>
        <w:lastRenderedPageBreak/>
        <w:t xml:space="preserve">Nagrinėdamas pareiškėjų skundą, Teismas laikėsi pozicijos, kad bet kokio amžiaus vaiko geriausi interesai negali tapti „koziriu“, lemiančiu reikalavimą priimti visus vaikus, kuriems būtų geriau gyventi Susitariančiojoje </w:t>
      </w:r>
      <w:r>
        <w:rPr>
          <w:rFonts w:ascii="Calibri" w:eastAsia="Calibri" w:hAnsi="Calibri" w:cs="Times New Roman"/>
        </w:rPr>
        <w:t>Šalyje</w:t>
      </w:r>
      <w:r w:rsidRPr="00425047">
        <w:rPr>
          <w:rFonts w:ascii="Calibri" w:eastAsia="Calibri" w:hAnsi="Calibri" w:cs="Times New Roman"/>
        </w:rPr>
        <w:t xml:space="preserve">. Taigi, šioje byloje Teismas nagrinėjo, ar nesuteikiant teisės į šeimos susijungimą, buvo išlaikyta pareiškėjų ir Susitariančios </w:t>
      </w:r>
      <w:r>
        <w:rPr>
          <w:rFonts w:ascii="Calibri" w:eastAsia="Calibri" w:hAnsi="Calibri" w:cs="Times New Roman"/>
        </w:rPr>
        <w:t>Šalies</w:t>
      </w:r>
      <w:r w:rsidRPr="00425047">
        <w:rPr>
          <w:rFonts w:ascii="Calibri" w:eastAsia="Calibri" w:hAnsi="Calibri" w:cs="Times New Roman"/>
        </w:rPr>
        <w:t xml:space="preserve"> bendruomenės kaip visumos interesų teisinga pusiausvyra. </w:t>
      </w:r>
    </w:p>
    <w:p w14:paraId="35379D68" w14:textId="77777777" w:rsidR="006424CA" w:rsidRPr="00425047" w:rsidRDefault="006424CA" w:rsidP="006424CA">
      <w:pPr>
        <w:spacing w:after="0" w:line="240" w:lineRule="auto"/>
        <w:ind w:right="-1" w:firstLine="567"/>
        <w:jc w:val="both"/>
        <w:rPr>
          <w:rFonts w:ascii="Calibri" w:eastAsia="Calibri" w:hAnsi="Calibri" w:cs="Times New Roman"/>
        </w:rPr>
      </w:pPr>
      <w:r w:rsidRPr="00425047">
        <w:rPr>
          <w:rFonts w:ascii="Calibri" w:eastAsia="Calibri" w:hAnsi="Calibri" w:cs="Times New Roman"/>
        </w:rPr>
        <w:t>Šiame kontekste Teismas ypač atkreipė dėmesį, kad šeimos susijungimo sustabdymo priežastimi, tokių, kaip pareiškėjų situacijų atvejais, yra didelis Švedijoje priimtų prieglobsčio prašytojų skaičius ir dėl to susidariusi įtampa, siekiant užtikrinti veiksmingą valstybės ir visuomenės funkcionavimą. Pareiškėjai neturėjo jokių sąsajų su Švedija, išskyrus antrajam pareiškėjui suteiktą papildomą apsaugą šioje šalyje. Jie neįrodė tokio pobūdžio tarpusavio priklausomybės santykio, kuris būtų lėmęs Teismo vertinimą, jog egzistuojantys šeiminiai ryšiai pateisintų šeimos susijungimą. Atsižvelgęs į tai, kad antrasis pareiškėjas gyveno ir mokėsi Švedijoje jau d</w:t>
      </w:r>
      <w:r>
        <w:rPr>
          <w:rFonts w:ascii="Calibri" w:eastAsia="Calibri" w:hAnsi="Calibri" w:cs="Times New Roman"/>
        </w:rPr>
        <w:t>vej</w:t>
      </w:r>
      <w:r w:rsidRPr="00425047">
        <w:rPr>
          <w:rFonts w:ascii="Calibri" w:eastAsia="Calibri" w:hAnsi="Calibri" w:cs="Times New Roman"/>
        </w:rPr>
        <w:t>u</w:t>
      </w:r>
      <w:r>
        <w:rPr>
          <w:rFonts w:ascii="Calibri" w:eastAsia="Calibri" w:hAnsi="Calibri" w:cs="Times New Roman"/>
        </w:rPr>
        <w:t>s</w:t>
      </w:r>
      <w:r w:rsidRPr="00425047">
        <w:rPr>
          <w:rFonts w:ascii="Calibri" w:eastAsia="Calibri" w:hAnsi="Calibri" w:cs="Times New Roman"/>
        </w:rPr>
        <w:t xml:space="preserve"> metus, Teismas nemanė, kad šeimos susijungimo sustabdymas turėjo jam trikdantį poveikį. Apskritai, Teismas buvo įtikintas, kad valdžios institucijos, sustabdydamos pareiškėjų teisę į šeimos susijungimą, išlaik</w:t>
      </w:r>
      <w:r>
        <w:rPr>
          <w:rFonts w:ascii="Calibri" w:eastAsia="Calibri" w:hAnsi="Calibri" w:cs="Times New Roman"/>
        </w:rPr>
        <w:t>ė</w:t>
      </w:r>
      <w:r w:rsidRPr="00425047">
        <w:rPr>
          <w:rFonts w:ascii="Calibri" w:eastAsia="Calibri" w:hAnsi="Calibri" w:cs="Times New Roman"/>
        </w:rPr>
        <w:t xml:space="preserve"> teisingą pusiausvyrą tarp pareiškėjų intereso į šeimos susijungimą ir bendruomenės kaip visumos intereso ginti šalies ekonominę gerovę, reguliuojant imigraciją ir kontroliuojant viešąsias išlaidas. Teismo vertinimu, pareiškėjų padėtis, jų interesai, tarpusavio priklausomumas (ar jo nebuvimas) buvo individualiai įvertinti, sprendžiant, ar atsisakymas leisti pareiškėjams susijungti nepažeis Švedijos įsipareigojimų pagal Konvenciją, sprendimas pakankamai konkrečiai argumentuotas, taigi valstybė veikė savo nuožiūra („vertinimo laisvė“) ir Konvencijos 8 straipsnio nepažeidė.</w:t>
      </w:r>
    </w:p>
    <w:p w14:paraId="319E6464" w14:textId="77777777" w:rsidR="006424CA" w:rsidRPr="00425047" w:rsidRDefault="006424CA" w:rsidP="006424CA">
      <w:pPr>
        <w:spacing w:after="0" w:line="240" w:lineRule="auto"/>
        <w:ind w:right="-1" w:firstLine="567"/>
        <w:jc w:val="both"/>
        <w:rPr>
          <w:rFonts w:ascii="Calibri" w:eastAsia="Calibri" w:hAnsi="Calibri" w:cs="Times New Roman"/>
        </w:rPr>
      </w:pPr>
      <w:r w:rsidRPr="00425047">
        <w:rPr>
          <w:rFonts w:ascii="Calibri" w:eastAsia="Calibri" w:hAnsi="Calibri" w:cs="Times New Roman"/>
        </w:rPr>
        <w:t>Nagrinėdamas pareiškėjų skundą dėl Konvencijos 14 straipsnio, siejant kartu su 8 straipsniu, pažeidimo, Teismas vėlgi atsižvelgdamas į Švedijos priimtų prieglobsčio prašytojų didelio kiekio keliamus iššūkius valstybės ir visuomenės veikimui, pažymėjo, kad nėra tarptautinio konsensuso dėl papildomą apsaugą gavusių prieglobsčio prašytojų teisės į šeimos susijungimą. Nagrinėtos bylos esmė buvo ne pats šeimos susijungimo sustabdymas, tačiau tokio sustabdymo laikotarpio proporcingumo klausimas. Šiame kontekste atkreiptas dėmesys, kad sustabdymas pareiškėjų atžvilgiu buvo taikomas mažiau, nei dvejus metus. Skirtingas požiūris į pareiškėjus ir kitus panašioje situacijoje esančius asmenis, Teismo vertinimu, buvo objektyviai pateisinamas būtinybe užtikrinti veiksmingą imigracijos kontrolės įgyvendinimą ir apsaugoti „šalies ekonominę gerovę“. Skirtingo požiūrio poveikis, pasak Teismo, nebuvo neproporcingas, taigi, Konvencijos 14 straipsnis, sieja</w:t>
      </w:r>
      <w:r>
        <w:rPr>
          <w:rFonts w:ascii="Calibri" w:eastAsia="Calibri" w:hAnsi="Calibri" w:cs="Times New Roman"/>
        </w:rPr>
        <w:t>n</w:t>
      </w:r>
      <w:r w:rsidRPr="00425047">
        <w:rPr>
          <w:rFonts w:ascii="Calibri" w:eastAsia="Calibri" w:hAnsi="Calibri" w:cs="Times New Roman"/>
        </w:rPr>
        <w:t>t jį kartu su 8 straipsniu, nebuvo pažeistas.</w:t>
      </w:r>
    </w:p>
    <w:p w14:paraId="247E205B" w14:textId="77777777" w:rsidR="006424CA" w:rsidRPr="00425047" w:rsidRDefault="006424CA" w:rsidP="006424CA">
      <w:pPr>
        <w:spacing w:after="0" w:line="240" w:lineRule="auto"/>
        <w:ind w:right="-1" w:firstLine="567"/>
        <w:jc w:val="both"/>
        <w:rPr>
          <w:rFonts w:ascii="Calibri" w:eastAsia="Calibri" w:hAnsi="Calibri" w:cs="Times New Roman"/>
        </w:rPr>
      </w:pPr>
    </w:p>
    <w:p w14:paraId="15ABF63D" w14:textId="77777777" w:rsidR="006424CA" w:rsidRPr="00425047" w:rsidRDefault="006424CA" w:rsidP="006424CA">
      <w:pPr>
        <w:spacing w:after="0" w:line="240" w:lineRule="auto"/>
        <w:ind w:right="-1" w:firstLine="567"/>
        <w:jc w:val="both"/>
        <w:rPr>
          <w:rFonts w:ascii="Calibri" w:eastAsia="Calibri" w:hAnsi="Calibri" w:cs="Calibri"/>
        </w:rPr>
      </w:pPr>
      <w:r w:rsidRPr="00425047">
        <w:rPr>
          <w:rFonts w:ascii="Calibri" w:eastAsia="Calibri" w:hAnsi="Calibri" w:cs="Calibri"/>
        </w:rPr>
        <w:t xml:space="preserve">Išvada: Konvencijos 8 straipsnio, taip pat Konvencijos </w:t>
      </w:r>
      <w:r w:rsidRPr="00425047">
        <w:rPr>
          <w:rFonts w:ascii="Calibri" w:eastAsia="Calibri" w:hAnsi="Calibri" w:cs="Times New Roman"/>
        </w:rPr>
        <w:t>14 straipsnio, sieja</w:t>
      </w:r>
      <w:r>
        <w:rPr>
          <w:rFonts w:ascii="Calibri" w:eastAsia="Calibri" w:hAnsi="Calibri" w:cs="Times New Roman"/>
        </w:rPr>
        <w:t>n</w:t>
      </w:r>
      <w:r w:rsidRPr="00425047">
        <w:rPr>
          <w:rFonts w:ascii="Calibri" w:eastAsia="Calibri" w:hAnsi="Calibri" w:cs="Times New Roman"/>
        </w:rPr>
        <w:t>t jį kartu su 8 straipsniu</w:t>
      </w:r>
      <w:r>
        <w:rPr>
          <w:rFonts w:ascii="Calibri" w:eastAsia="Calibri" w:hAnsi="Calibri" w:cs="Times New Roman"/>
        </w:rPr>
        <w:t>,</w:t>
      </w:r>
      <w:r w:rsidRPr="00425047">
        <w:rPr>
          <w:rFonts w:ascii="Calibri" w:eastAsia="Calibri" w:hAnsi="Calibri" w:cs="Calibri"/>
        </w:rPr>
        <w:t xml:space="preserve"> pažeidimai nenustatyti (šeši balsai prieš vieną). </w:t>
      </w:r>
    </w:p>
    <w:p w14:paraId="011237F6" w14:textId="77777777" w:rsidR="006424CA" w:rsidRPr="00425047" w:rsidRDefault="006424CA" w:rsidP="006424CA">
      <w:pPr>
        <w:spacing w:after="0" w:line="240" w:lineRule="auto"/>
        <w:ind w:right="-1" w:firstLine="567"/>
        <w:jc w:val="both"/>
        <w:rPr>
          <w:rFonts w:ascii="Calibri" w:eastAsia="Calibri" w:hAnsi="Calibri" w:cs="Calibri"/>
          <w:color w:val="0000FF"/>
          <w:u w:val="single"/>
        </w:rPr>
      </w:pPr>
      <w:r w:rsidRPr="00425047">
        <w:rPr>
          <w:rFonts w:ascii="Calibri" w:eastAsia="Calibri" w:hAnsi="Calibri" w:cs="Calibri"/>
          <w:color w:val="0000FF"/>
          <w:u w:val="single"/>
        </w:rPr>
        <w:fldChar w:fldCharType="begin"/>
      </w:r>
      <w:r w:rsidRPr="00425047">
        <w:rPr>
          <w:rFonts w:ascii="Calibri" w:eastAsia="Calibri" w:hAnsi="Calibri" w:cs="Calibri"/>
          <w:color w:val="0000FF"/>
          <w:u w:val="single"/>
        </w:rPr>
        <w:instrText>HYPERLINK "https://hudoc.echr.coe.int/" \l "{%22itemid%22:[%22001-220013%22]}"</w:instrText>
      </w:r>
      <w:r w:rsidRPr="00425047">
        <w:rPr>
          <w:rFonts w:ascii="Calibri" w:eastAsia="Calibri" w:hAnsi="Calibri" w:cs="Calibri"/>
          <w:color w:val="0000FF"/>
          <w:u w:val="single"/>
        </w:rPr>
      </w:r>
      <w:r w:rsidRPr="00425047">
        <w:rPr>
          <w:rFonts w:ascii="Calibri" w:eastAsia="Calibri" w:hAnsi="Calibri" w:cs="Calibri"/>
          <w:color w:val="0000FF"/>
          <w:u w:val="single"/>
        </w:rPr>
        <w:fldChar w:fldCharType="separate"/>
      </w:r>
      <w:r w:rsidRPr="00425047">
        <w:rPr>
          <w:rFonts w:ascii="Calibri" w:eastAsia="Calibri" w:hAnsi="Calibri" w:cs="Calibri"/>
          <w:color w:val="0000FF"/>
          <w:u w:val="single"/>
        </w:rPr>
        <w:t>Prieiga internete</w:t>
      </w:r>
    </w:p>
    <w:p w14:paraId="6A6421B3" w14:textId="32F99BE1" w:rsidR="00D63767" w:rsidRDefault="006424CA" w:rsidP="006424CA">
      <w:pPr>
        <w:shd w:val="clear" w:color="auto" w:fill="FFFFFF"/>
        <w:spacing w:after="0" w:line="240" w:lineRule="auto"/>
        <w:ind w:right="-1"/>
        <w:rPr>
          <w:rFonts w:ascii="Calibri" w:eastAsia="Times New Roman" w:hAnsi="Calibri" w:cs="Calibri"/>
          <w:b/>
        </w:rPr>
      </w:pPr>
      <w:r w:rsidRPr="00425047">
        <w:rPr>
          <w:rFonts w:ascii="Calibri" w:eastAsia="Calibri" w:hAnsi="Calibri" w:cs="Calibri"/>
          <w:color w:val="0000FF"/>
          <w:u w:val="single"/>
        </w:rPr>
        <w:fldChar w:fldCharType="end"/>
      </w:r>
    </w:p>
    <w:p w14:paraId="2BC8F79C" w14:textId="077884E8" w:rsidR="00636B05" w:rsidRDefault="00636B05" w:rsidP="00F87300">
      <w:pPr>
        <w:shd w:val="clear" w:color="auto" w:fill="FFFFFF"/>
        <w:spacing w:after="0" w:line="240" w:lineRule="auto"/>
        <w:ind w:right="-1" w:firstLine="720"/>
        <w:jc w:val="center"/>
        <w:rPr>
          <w:rFonts w:ascii="Calibri" w:eastAsia="Times New Roman" w:hAnsi="Calibri" w:cs="Calibri"/>
          <w:b/>
        </w:rPr>
      </w:pPr>
      <w:r>
        <w:rPr>
          <w:rFonts w:ascii="Calibri" w:eastAsia="Times New Roman" w:hAnsi="Calibri" w:cs="Calibri"/>
          <w:b/>
        </w:rPr>
        <w:t>Europos Žmogaus Teisių Teismo 2022 m. rugsėjo 8 d. sprendimas byloje</w:t>
      </w:r>
    </w:p>
    <w:p w14:paraId="57CFE9BF" w14:textId="14B98C8F" w:rsidR="00636B05" w:rsidRDefault="00636B05" w:rsidP="00F87300">
      <w:pPr>
        <w:pStyle w:val="Antrat2"/>
        <w:ind w:right="-1" w:firstLine="0"/>
        <w:rPr>
          <w:rFonts w:ascii="Calibri" w:eastAsia="Calibri" w:hAnsi="Calibri" w:cs="Calibri"/>
          <w:b w:val="0"/>
          <w:bCs w:val="0"/>
          <w:i w:val="0"/>
          <w:iCs w:val="0"/>
          <w:color w:val="2E74B5"/>
        </w:rPr>
      </w:pPr>
      <w:bookmarkStart w:id="32" w:name="_Toc118817158"/>
      <w:bookmarkStart w:id="33" w:name="_Toc141446364"/>
      <w:r>
        <w:rPr>
          <w:rFonts w:ascii="Calibri" w:eastAsia="Calibri" w:hAnsi="Calibri" w:cs="Calibri"/>
          <w:color w:val="2E74B5"/>
        </w:rPr>
        <w:t>Drelon prieš Prancūziją</w:t>
      </w:r>
      <w:bookmarkEnd w:id="32"/>
      <w:bookmarkEnd w:id="33"/>
    </w:p>
    <w:p w14:paraId="5E472890" w14:textId="7DD6BCC3" w:rsidR="00636B05" w:rsidRDefault="00636B05" w:rsidP="00F87300">
      <w:pPr>
        <w:shd w:val="clear" w:color="auto" w:fill="FFFFFF"/>
        <w:spacing w:after="0" w:line="240" w:lineRule="auto"/>
        <w:ind w:right="-1"/>
        <w:jc w:val="center"/>
        <w:rPr>
          <w:rFonts w:ascii="Calibri" w:eastAsia="Times New Roman" w:hAnsi="Calibri" w:cs="Calibri"/>
          <w:b/>
        </w:rPr>
      </w:pPr>
      <w:r>
        <w:rPr>
          <w:rFonts w:ascii="Calibri" w:eastAsia="Times New Roman" w:hAnsi="Calibri" w:cs="Calibri"/>
          <w:b/>
        </w:rPr>
        <w:t xml:space="preserve">(pareiškimo Nr. </w:t>
      </w:r>
      <w:r w:rsidRPr="004D7719">
        <w:rPr>
          <w:rFonts w:ascii="Calibri" w:eastAsia="Times New Roman" w:hAnsi="Calibri" w:cs="Calibri"/>
          <w:b/>
        </w:rPr>
        <w:t>3153/</w:t>
      </w:r>
      <w:r w:rsidRPr="001B7F42">
        <w:rPr>
          <w:rFonts w:ascii="Calibri" w:eastAsia="Times New Roman" w:hAnsi="Calibri" w:cs="Calibri"/>
          <w:b/>
        </w:rPr>
        <w:t>16</w:t>
      </w:r>
      <w:r>
        <w:rPr>
          <w:rFonts w:ascii="Calibri" w:eastAsia="Calibri" w:hAnsi="Calibri" w:cs="Calibri"/>
          <w:b/>
        </w:rPr>
        <w:t xml:space="preserve"> ir </w:t>
      </w:r>
      <w:r w:rsidRPr="001B7F42">
        <w:rPr>
          <w:rFonts w:ascii="Calibri" w:eastAsia="Calibri" w:hAnsi="Calibri" w:cs="Calibri"/>
          <w:b/>
        </w:rPr>
        <w:t>27758/18</w:t>
      </w:r>
      <w:r>
        <w:rPr>
          <w:rFonts w:ascii="Calibri" w:eastAsia="Calibri" w:hAnsi="Calibri" w:cs="Calibri"/>
          <w:b/>
        </w:rPr>
        <w:t>,</w:t>
      </w:r>
      <w:r w:rsidRPr="001B7F42">
        <w:rPr>
          <w:rFonts w:ascii="Calibri" w:eastAsia="Calibri" w:hAnsi="Calibri" w:cs="Calibri"/>
          <w:b/>
        </w:rPr>
        <w:t xml:space="preserve"> svarbos lygis – </w:t>
      </w:r>
      <w:r w:rsidR="00FE0B67">
        <w:rPr>
          <w:rFonts w:ascii="Calibri" w:eastAsia="Calibri" w:hAnsi="Calibri" w:cs="Calibri"/>
          <w:b/>
        </w:rPr>
        <w:t>S</w:t>
      </w:r>
      <w:r w:rsidRPr="001B7F42">
        <w:rPr>
          <w:rFonts w:ascii="Calibri" w:eastAsia="Calibri" w:hAnsi="Calibri" w:cs="Calibri"/>
          <w:b/>
        </w:rPr>
        <w:t>varbiausios</w:t>
      </w:r>
      <w:r>
        <w:rPr>
          <w:rFonts w:ascii="Calibri" w:eastAsia="Calibri" w:hAnsi="Calibri" w:cs="Calibri"/>
          <w:b/>
        </w:rPr>
        <w:t xml:space="preserve"> bylos</w:t>
      </w:r>
      <w:r>
        <w:rPr>
          <w:rFonts w:ascii="Calibri" w:eastAsia="Times New Roman" w:hAnsi="Calibri" w:cs="Calibri"/>
          <w:b/>
        </w:rPr>
        <w:t>)</w:t>
      </w:r>
    </w:p>
    <w:p w14:paraId="6AEC16E5" w14:textId="77777777" w:rsidR="00636B05" w:rsidRDefault="00636B05" w:rsidP="00F87300">
      <w:pPr>
        <w:shd w:val="clear" w:color="auto" w:fill="FFFFFF"/>
        <w:spacing w:after="0" w:line="240" w:lineRule="auto"/>
        <w:ind w:right="-1" w:firstLine="720"/>
        <w:jc w:val="center"/>
        <w:rPr>
          <w:rFonts w:ascii="Calibri" w:eastAsia="Times New Roman" w:hAnsi="Calibri" w:cs="Calibri"/>
          <w:b/>
          <w:bCs/>
          <w:color w:val="000000"/>
        </w:rPr>
      </w:pPr>
    </w:p>
    <w:p w14:paraId="7E372F52" w14:textId="77777777" w:rsidR="00636B05" w:rsidRDefault="00636B05" w:rsidP="00F87300">
      <w:pPr>
        <w:keepNext/>
        <w:keepLines/>
        <w:spacing w:after="0" w:line="240" w:lineRule="auto"/>
        <w:ind w:right="-1" w:firstLine="567"/>
        <w:jc w:val="both"/>
        <w:outlineLvl w:val="2"/>
        <w:rPr>
          <w:rFonts w:ascii="Calibri" w:eastAsia="Calibri" w:hAnsi="Calibri" w:cs="Calibri"/>
          <w:bCs/>
          <w:i/>
          <w:iCs/>
        </w:rPr>
      </w:pPr>
      <w:bookmarkStart w:id="34" w:name="_Toc118817159"/>
      <w:bookmarkStart w:id="35" w:name="_Toc141446365"/>
      <w:r>
        <w:rPr>
          <w:rFonts w:ascii="Calibri" w:eastAsia="Calibri" w:hAnsi="Calibri" w:cs="Calibri"/>
          <w:bCs/>
          <w:i/>
          <w:iCs/>
        </w:rPr>
        <w:t xml:space="preserve">Dėl </w:t>
      </w:r>
      <w:bookmarkEnd w:id="34"/>
      <w:r>
        <w:rPr>
          <w:rFonts w:ascii="Calibri" w:eastAsia="Calibri" w:hAnsi="Calibri" w:cs="Calibri"/>
          <w:bCs/>
          <w:i/>
          <w:iCs/>
        </w:rPr>
        <w:t>duomenų apie potencialaus kraujo donoro seksualinį elgesį rinkimo, pagrįsto spėjimu, ir pernelyg ilgo duomenų saugojimo valstybės institucijoje</w:t>
      </w:r>
      <w:bookmarkEnd w:id="35"/>
    </w:p>
    <w:p w14:paraId="261F5ECB" w14:textId="77777777" w:rsidR="00636B05" w:rsidRDefault="00636B05" w:rsidP="00F87300">
      <w:pPr>
        <w:spacing w:after="0" w:line="240" w:lineRule="auto"/>
        <w:ind w:right="-1" w:firstLine="720"/>
        <w:rPr>
          <w:rFonts w:ascii="Calibri" w:eastAsia="Calibri" w:hAnsi="Calibri" w:cs="Calibri"/>
        </w:rPr>
      </w:pPr>
    </w:p>
    <w:p w14:paraId="1C844AEB" w14:textId="77777777" w:rsidR="00636B05" w:rsidRDefault="00636B05" w:rsidP="00F87300">
      <w:pPr>
        <w:shd w:val="clear" w:color="auto" w:fill="FFFFFF"/>
        <w:spacing w:after="0" w:line="240" w:lineRule="auto"/>
        <w:ind w:right="-1"/>
        <w:jc w:val="center"/>
        <w:rPr>
          <w:rFonts w:ascii="Calibri" w:eastAsia="Times New Roman" w:hAnsi="Calibri" w:cs="Calibri"/>
          <w:b/>
          <w:bCs/>
          <w:color w:val="000000"/>
        </w:rPr>
      </w:pPr>
      <w:r>
        <w:rPr>
          <w:rFonts w:ascii="Calibri" w:eastAsia="Times New Roman" w:hAnsi="Calibri" w:cs="Calibri"/>
          <w:b/>
          <w:bCs/>
          <w:color w:val="000000"/>
        </w:rPr>
        <w:t>Faktinės aplinkybės</w:t>
      </w:r>
    </w:p>
    <w:p w14:paraId="1A3AE38E" w14:textId="77777777" w:rsidR="00636B05" w:rsidRDefault="00636B05" w:rsidP="00F87300">
      <w:pPr>
        <w:shd w:val="clear" w:color="auto" w:fill="FFFFFF"/>
        <w:spacing w:after="0" w:line="240" w:lineRule="auto"/>
        <w:ind w:right="-1" w:firstLine="720"/>
        <w:jc w:val="center"/>
        <w:rPr>
          <w:rFonts w:ascii="Calibri" w:eastAsia="Times New Roman" w:hAnsi="Calibri" w:cs="Calibri"/>
          <w:b/>
          <w:bCs/>
          <w:color w:val="000000"/>
        </w:rPr>
      </w:pPr>
    </w:p>
    <w:p w14:paraId="60386B51" w14:textId="7E29AF7F" w:rsidR="00636B05" w:rsidRDefault="00636B05" w:rsidP="00F87300">
      <w:pPr>
        <w:spacing w:after="0" w:line="240" w:lineRule="auto"/>
        <w:ind w:right="-1" w:firstLine="567"/>
        <w:jc w:val="both"/>
      </w:pPr>
      <w:r>
        <w:t>2004 m. pareiškėjas norėjo paaukoti kraujo, tačiau atsisakė atsakyti į klausimus apie savo seksualinį gyvenimą, kurie jam buvo užduoti per pokalbį su gydytoju. Be to, vien dėl šio atsisakymo jis buvo užregistruotas Prancūzijos kraujo donorystės tarnybos (</w:t>
      </w:r>
      <w:r w:rsidRPr="00D04409">
        <w:rPr>
          <w:i/>
          <w:iCs/>
        </w:rPr>
        <w:t>Établissement français du sang</w:t>
      </w:r>
      <w:r w:rsidRPr="001733A7">
        <w:t xml:space="preserve">, </w:t>
      </w:r>
      <w:r>
        <w:t xml:space="preserve">toliau </w:t>
      </w:r>
      <w:r w:rsidR="00E27BF0">
        <w:t xml:space="preserve">– </w:t>
      </w:r>
      <w:r w:rsidRPr="001733A7">
        <w:t>EFS</w:t>
      </w:r>
      <w:r>
        <w:t>), valstybės valdomos institucijos, kaip asmuo, kuris negali aukoti kraujo dėl kontraindikacijos, kuri kaip nuolatinio pobūdžio buvo priskiriama vyrams, turėjusiems lytinių santykių su kitais vyrais. Jo pasiūlymas paaukoti kraujo buvo atmestas šiuo pagrindu. Pareiškimas Nr. 3153/16 buvo pateiktas po to, kai buvo nutraukta baudžiamoji byla pagal pareiškėjo skundą dėl diskriminacijos. Pareiškėjo apeliaciniai skundai buvo atmesti.</w:t>
      </w:r>
    </w:p>
    <w:p w14:paraId="6F79ED1F" w14:textId="77777777" w:rsidR="00636B05" w:rsidRDefault="00636B05" w:rsidP="00F87300">
      <w:pPr>
        <w:spacing w:after="0" w:line="240" w:lineRule="auto"/>
        <w:ind w:right="-1" w:firstLine="720"/>
        <w:jc w:val="both"/>
      </w:pPr>
    </w:p>
    <w:p w14:paraId="338AB147" w14:textId="77777777" w:rsidR="00636B05" w:rsidRDefault="00636B05" w:rsidP="00F87300">
      <w:pPr>
        <w:spacing w:after="0" w:line="240" w:lineRule="auto"/>
        <w:ind w:right="-1"/>
        <w:jc w:val="center"/>
        <w:rPr>
          <w:b/>
        </w:rPr>
      </w:pPr>
      <w:r w:rsidRPr="00AC7E4D">
        <w:rPr>
          <w:b/>
        </w:rPr>
        <w:t>Neoficiali Teismo sprendimo apžvalga</w:t>
      </w:r>
    </w:p>
    <w:p w14:paraId="6ABFC3BC" w14:textId="77777777" w:rsidR="00636B05" w:rsidRPr="00AC7E4D" w:rsidRDefault="00636B05" w:rsidP="00F87300">
      <w:pPr>
        <w:spacing w:after="0" w:line="240" w:lineRule="auto"/>
        <w:ind w:right="-1" w:firstLine="720"/>
        <w:jc w:val="center"/>
      </w:pPr>
    </w:p>
    <w:p w14:paraId="59C5066C" w14:textId="77777777" w:rsidR="00636B05" w:rsidRDefault="00636B05" w:rsidP="00F87300">
      <w:pPr>
        <w:spacing w:after="0" w:line="240" w:lineRule="auto"/>
        <w:ind w:right="-1" w:firstLine="567"/>
        <w:jc w:val="both"/>
      </w:pPr>
      <w:r>
        <w:lastRenderedPageBreak/>
        <w:t>Atsižvelgiant į tai, kad EFS yra valstybės valdoma institucija, šis skundas buvo nagrinėjamas iš pozityviųjų pareigų perspektyvos.</w:t>
      </w:r>
    </w:p>
    <w:p w14:paraId="76943220" w14:textId="77777777" w:rsidR="00636B05" w:rsidRDefault="00636B05" w:rsidP="00F87300">
      <w:pPr>
        <w:spacing w:after="0" w:line="240" w:lineRule="auto"/>
        <w:ind w:right="-1" w:firstLine="567"/>
        <w:jc w:val="both"/>
      </w:pPr>
      <w:r>
        <w:t>Asmens duomenys, atskleidžiantys, kad pareiškėjui buvo priskirta kontraindikacija kraujo donorystei, pagal nacionalinę teisę priskiriama vyrams, turėjusiems lytinių santykių su kitais vyrais, buvo surinkti ir saugomi duomenų bazėje, kuri iš pradžių buvo valdoma vieno iš EFS skyrių. Tuos duomenis sudarė aiški informacija apie pareiškėjo preziumuojamą lytinį gyvenimą ir seksualinę orientaciją. Tai, kad kontraindikacija buvo užregistruota pateikiant nuorodą į kodą, o ne aiškų seksualinio elgesio apibūdinimą, nebuvo lemiamas veiksnys. Be to, duomenys, surinkti 2004 m., turėjo būti saugomi iki 2278 m. Taigi buvo ribojama pareiškėjo teisė į pagarbą jo privačiam gyvenimui.</w:t>
      </w:r>
    </w:p>
    <w:p w14:paraId="2E53EE1C" w14:textId="77777777" w:rsidR="00636B05" w:rsidRDefault="00636B05" w:rsidP="00F87300">
      <w:pPr>
        <w:spacing w:after="0" w:line="240" w:lineRule="auto"/>
        <w:ind w:right="-1" w:firstLine="567"/>
        <w:jc w:val="both"/>
      </w:pPr>
      <w:r>
        <w:t xml:space="preserve">Nacionalinėje teisėje medicinos tikslais buvo numatyta išimtis iš draudimo rinkti ir tvarkyti duomenis apie asmenų sveikatą ir lytinį gyvenimą. Tokių duomenų tvarkymas buvo leidžiamas, kai buvo būtina „sveikatos paslaugų valdymui“ ir nacionalinės institucijos turėjo diskreciją sudaryti tokią duomenų bazę. </w:t>
      </w:r>
    </w:p>
    <w:p w14:paraId="64E28502" w14:textId="77777777" w:rsidR="00636B05" w:rsidRDefault="00636B05" w:rsidP="00F87300">
      <w:pPr>
        <w:spacing w:after="0" w:line="240" w:lineRule="auto"/>
        <w:ind w:right="-1" w:firstLine="567"/>
        <w:jc w:val="both"/>
      </w:pPr>
      <w:r>
        <w:t>Buvo svarbu įvertinti šio teisinio pagrindo numatomumą jo kontekste. Aktualiu laikotarpiu pagal Direktyvos 2002/98/EB</w:t>
      </w:r>
      <w:r>
        <w:rPr>
          <w:rStyle w:val="Puslapioinaosnuoroda"/>
        </w:rPr>
        <w:footnoteReference w:id="1"/>
      </w:r>
      <w:r>
        <w:t xml:space="preserve"> 18 straipsnį buvo reikalaujama, kad donorų vertinimo ir tyrimo procedūrų rezultatai būtų dokumentuojami. 2003 m. rugsėjo 10 d. įsakyme buvo nurodyta saugoti „skaitmeninę donoro duomenų bylą“, kurioje būtų „bet kokios laikino ar nuolatinio pobūdžio kontraindikacijos donorystei, naudojant kodus“ kiekvieno donoro atžvilgiu. Šis teisinis pagrindas, vertinant bendrai, pakankamai detaliai apibrėžė diskrecijos, suteiktos nacionalinėms institucijoms, apimtį ir sąlygas, taigi pareiškėjas galėjo reguliuoti savo elgesį, siekdamas arba atsisakydamas savo siūlymo paaukoti kraujo, puikiai žinodamas apie pasekmes. Taigi ribojimas buvo atliktas pagal įstatymą.</w:t>
      </w:r>
    </w:p>
    <w:p w14:paraId="61157996" w14:textId="64D87141" w:rsidR="00636B05" w:rsidRDefault="00636B05" w:rsidP="00F87300">
      <w:pPr>
        <w:spacing w:after="0" w:line="240" w:lineRule="auto"/>
        <w:ind w:right="-1" w:firstLine="567"/>
        <w:jc w:val="both"/>
      </w:pPr>
      <w:r>
        <w:t>Ribojimas siekė teisėto sveikatos apsaugos tikslo. Šiuo aspektu</w:t>
      </w:r>
      <w:r w:rsidR="00E27BF0">
        <w:t xml:space="preserve"> pažymėta</w:t>
      </w:r>
      <w:r>
        <w:t>,</w:t>
      </w:r>
      <w:r w:rsidR="00E27BF0">
        <w:t xml:space="preserve"> kad</w:t>
      </w:r>
      <w:r>
        <w:t xml:space="preserve"> didelis skaičius žmonių buvo užkrėsti ŽIV ar hepatito virusu per nesaugių kraujo produktų perpylimą Prancūzijoje ir daugelyje kitų Susitariančiųjų Šalių prieš tai, kai buvo išvystytos ir plačiai paplito technologijos patogenų aptikimui, nukenksminimui ir pašalinimui. Tarptautiniai teisiniai instrumentai buvo priimti reaguojant į šią didžiulę sveikatos krizę ir siekė to paties tikslo </w:t>
      </w:r>
      <w:r w:rsidR="00E27BF0">
        <w:t xml:space="preserve">– </w:t>
      </w:r>
      <w:r>
        <w:t xml:space="preserve">apsaugoti visuomenės sveikatą. Be to, pozityvios pareigos pagal Konvencijos 2 straipsnį reikalavo, kad egzistuotų teisinis reguliavimas, pagal kurį ligoninės turėjo užtikrinti savo pacientų gyvybių apsaugą, imdamosi tinkamų priemonių. </w:t>
      </w:r>
    </w:p>
    <w:p w14:paraId="0FE663DC" w14:textId="6D6E4F17" w:rsidR="00636B05" w:rsidRDefault="00636B05" w:rsidP="00F87300">
      <w:pPr>
        <w:spacing w:after="0" w:line="240" w:lineRule="auto"/>
        <w:ind w:right="-1" w:firstLine="567"/>
        <w:jc w:val="both"/>
      </w:pPr>
      <w:r>
        <w:t xml:space="preserve">Rinkimas ir saugojimas asmens duomenų, susijusių su kandidatų kraujo donorystei atrankos procedūrų rezultatais, ir ypač su bet kokiais pagrindais, kuriais remiantis atsisakoma leisti aukoti kraujo, prisidėjo prie kraujo saugumo užtikrinimo. Nesant būtinybės tirti, ar galėjo būti naudojami kiti kraujo donorystės kriterijai, duomenų rinkimas ir saugojimas buvo pagrįstas susijusiais ir pakankamais pagrindais. </w:t>
      </w:r>
    </w:p>
    <w:p w14:paraId="1491A5C6" w14:textId="77777777" w:rsidR="00636B05" w:rsidRDefault="00636B05" w:rsidP="00F87300">
      <w:pPr>
        <w:spacing w:after="0" w:line="240" w:lineRule="auto"/>
        <w:ind w:right="-1" w:firstLine="567"/>
        <w:jc w:val="both"/>
      </w:pPr>
      <w:r>
        <w:t xml:space="preserve">Atsižvelgiant į jautrumą asmens duomenų, kuriuose buvo informacija apie pareiškėjo seksualinę orientaciją ir elgesį, buvo ypač svarbu užtikrinti, kad jie tenkintų kokybės reikalavimus, išdėstytus Europos Tarybos </w:t>
      </w:r>
      <w:r w:rsidRPr="003E662E">
        <w:t>Konvencij</w:t>
      </w:r>
      <w:r>
        <w:t>os</w:t>
      </w:r>
      <w:r w:rsidRPr="003E662E">
        <w:t xml:space="preserve"> dėl asmenų apsaugos ryšium su asmens duomenų automatizuotu tvarkymu </w:t>
      </w:r>
      <w:r>
        <w:t xml:space="preserve">5 straipsnyje. Buvo ypač svarbu, kad tokie duomenys būtų tikslūs ir, kai būtina, atnaujinami, ir būtų tinkami, susiję ir nepertekliniai, atsižvelgiant į tvarkymo tikslus, ir būtų saugomi ne ilgiau nei buvo būtina. Be to, šiuo atveju duomenys, susiję su pareiškėjo privačiu gyvenimu, buvo surinkti ir saugomi be aiškaus pareiškėjo sutikimo. Dėl to Teismas turėjo kruopščiai atlikti šį vertinimą. </w:t>
      </w:r>
    </w:p>
    <w:p w14:paraId="32914EE8" w14:textId="74AE1AD0" w:rsidR="00636B05" w:rsidRDefault="00636B05" w:rsidP="00F87300">
      <w:pPr>
        <w:spacing w:after="0" w:line="240" w:lineRule="auto"/>
        <w:ind w:right="-1" w:firstLine="567"/>
        <w:jc w:val="both"/>
      </w:pPr>
      <w:r>
        <w:t>Pirmiausia, asmens duomenų tikslumas turėjo būti įvertintas atsižvelgiant į tikslą, kuriam jie buvo surinkti. Nagrinėjam</w:t>
      </w:r>
      <w:r w:rsidR="00E27BF0">
        <w:t>ų</w:t>
      </w:r>
      <w:r>
        <w:t xml:space="preserve"> duomenų tvarkymo atveju šios kategorijos duomenų tikslas buvo užtikrinti atitiktį konkrečiai donorystės kontraindikacijai, kuri tuo metu buvo nustatyta nacionalinėje teisėje kaip nuolatinio pobūdžio. Tam tikslui turėjo būti aiškus ir tikslus faktinis pagrindas. Tačiau pareiškėjui buvo priskirta konkreti kontraindikacija vyrams, kurie yra turėję lytinių santykių su kitais vyrais, vien tuo pagrindu, kad per pokalbį su gydytoju jis atsisakė atsakyti į klausimus, susijusius su savo seksualiniu gyvenimu. Jokia gydytojui pateikta informacija neleido daryti tokią išvadą apie jo seksualinį elgesį. Vis dėlto, buvo įrašyta ir išsaugota ši priežastis neleisti aukoti kraujo. Surinkti duomenys buvo paremti vien tik spėjimu</w:t>
      </w:r>
      <w:r w:rsidR="00E27BF0">
        <w:t>,</w:t>
      </w:r>
      <w:r>
        <w:t xml:space="preserve"> be </w:t>
      </w:r>
      <w:r w:rsidR="00E27BF0">
        <w:t>j</w:t>
      </w:r>
      <w:r>
        <w:t xml:space="preserve">okio įrodymais pagrįsto faktinio pagrindo. Valstybės institucijoms teko našta įrodyti surinktų duomenų tikslumą. Be to, duomenys nebuvo atnaujinti po pareiškėjo prieštaravimų ir skundo. </w:t>
      </w:r>
    </w:p>
    <w:p w14:paraId="0B8CFA0B" w14:textId="77777777" w:rsidR="00636B05" w:rsidRDefault="00636B05" w:rsidP="00F87300">
      <w:pPr>
        <w:spacing w:after="0" w:line="240" w:lineRule="auto"/>
        <w:ind w:right="-1" w:firstLine="567"/>
        <w:jc w:val="both"/>
      </w:pPr>
      <w:r>
        <w:lastRenderedPageBreak/>
        <w:t>Nebuvo tinkama rinkti asmens duomenis, susijusius su asmens seksualiniu elgesiu ir orientacija, remiantis vien tik spėjimu ar prezumpcija. Dar daugiau, siekiant kraujo saugumo tikslo, būtų buvę pakankama saugoti įrašą apie pareiškėjo atsisakymą atsakyti į klausimus, susijusius su jo lytine orientacija, kadangi vien to būtų pakakę pateisinti atsisakymą leisti jam paaukoti kraujo.</w:t>
      </w:r>
    </w:p>
    <w:p w14:paraId="3A6130B8" w14:textId="77777777" w:rsidR="00636B05" w:rsidRDefault="00636B05" w:rsidP="00F87300">
      <w:pPr>
        <w:spacing w:after="0" w:line="240" w:lineRule="auto"/>
        <w:ind w:right="-1" w:firstLine="567"/>
        <w:jc w:val="both"/>
      </w:pPr>
      <w:r>
        <w:t>Vyriausybė nepagrindė, kad įvykių metu atitinkamų duomenų saugojimo laikotarpis buvo reguliuojamas tokiu būdu, kuris neviršijo laiko, būtino duomenų rinkimo tikslams. Tuo metu, kai ginčo duomenys buvo surinkti 2004 m., IT įrankis, naudotas EFS, numatė duomenų saugojimą iki 2278 m., dėl ko buvo įmanoma juos naudoti pakartotinai. 2016 m. gegužės 26 d., beveik 12 metų nuo jų surinkimo, atitinkami duomenys vis dar buvo byloje. Šiuo atžvilgiu duomenų saugojimo laikotarpis turėjo būti reguliuojamas kiekvienai duomenų kategorijai ir turėjo būti peržiūrėtas, jei duomenų rinkimo tikslai pasikeitė. Atsižvelgiant į nuolatinę EFS praktiką, dėl pernelyg ilgo duomenų saugojimo laikotarpio buvo įmanoma tuos duomenis pakartotinai naudoti prieš pareiškėją, dėl ko jam automatiškai buvo neleidžiama aukoti kraujo.</w:t>
      </w:r>
    </w:p>
    <w:p w14:paraId="3D96C994" w14:textId="77777777" w:rsidR="00636B05" w:rsidRDefault="00636B05" w:rsidP="00F87300">
      <w:pPr>
        <w:spacing w:after="0" w:line="240" w:lineRule="auto"/>
        <w:ind w:right="-1" w:firstLine="567"/>
        <w:jc w:val="both"/>
      </w:pPr>
      <w:r>
        <w:t xml:space="preserve">Atsižvelgiant į išdėstytus argumentus, valstybė atsakovė šiuo klausimu peržengė savo vertinimo laisvės ribas. </w:t>
      </w:r>
    </w:p>
    <w:p w14:paraId="6BCF0E30" w14:textId="77777777" w:rsidR="00636B05" w:rsidRDefault="00636B05" w:rsidP="00F87300">
      <w:pPr>
        <w:spacing w:after="0" w:line="240" w:lineRule="auto"/>
        <w:ind w:right="-1" w:firstLine="567"/>
        <w:jc w:val="both"/>
      </w:pPr>
    </w:p>
    <w:p w14:paraId="5CBFF839" w14:textId="77777777" w:rsidR="00636B05" w:rsidRDefault="00636B05" w:rsidP="00F87300">
      <w:pPr>
        <w:spacing w:after="0" w:line="240" w:lineRule="auto"/>
        <w:ind w:right="-1" w:firstLine="567"/>
        <w:jc w:val="both"/>
      </w:pPr>
      <w:r>
        <w:t xml:space="preserve">Išvada: nustatytas Konvencijos 8 straipsnio pažeidimas (vienbalsiai). </w:t>
      </w:r>
    </w:p>
    <w:p w14:paraId="4BA28B28" w14:textId="77777777" w:rsidR="00636B05" w:rsidRDefault="00636B05" w:rsidP="00F87300">
      <w:pPr>
        <w:spacing w:after="0" w:line="240" w:lineRule="auto"/>
        <w:ind w:right="-1" w:firstLine="567"/>
        <w:jc w:val="both"/>
      </w:pPr>
      <w:r>
        <w:t>41 straipsnis: priteistas 3 000 Eur neturtinės žalos atlyginimas.</w:t>
      </w:r>
    </w:p>
    <w:p w14:paraId="6724D4E0" w14:textId="75FFE92F" w:rsidR="00636B05" w:rsidRPr="006424CA" w:rsidRDefault="00000000" w:rsidP="006424CA">
      <w:pPr>
        <w:spacing w:after="0" w:line="240" w:lineRule="auto"/>
        <w:ind w:right="-1" w:firstLine="567"/>
        <w:jc w:val="both"/>
        <w:rPr>
          <w:color w:val="0000FF"/>
          <w:u w:val="single"/>
        </w:rPr>
      </w:pPr>
      <w:hyperlink r:id="rId18" w:anchor="{%22itemid%22:[%22001-219069%22]}" w:history="1">
        <w:r w:rsidR="00636B05" w:rsidRPr="00CE30D8">
          <w:rPr>
            <w:rStyle w:val="Hipersaitas"/>
          </w:rPr>
          <w:t>Prieiga internete</w:t>
        </w:r>
      </w:hyperlink>
    </w:p>
    <w:p w14:paraId="79D1D318" w14:textId="77777777" w:rsidR="00380FCE" w:rsidRDefault="00380FCE" w:rsidP="00F87300">
      <w:pPr>
        <w:shd w:val="clear" w:color="auto" w:fill="FFFFFF"/>
        <w:spacing w:after="0" w:line="240" w:lineRule="auto"/>
        <w:ind w:right="-1"/>
        <w:rPr>
          <w:rFonts w:ascii="Calibri" w:eastAsia="Times New Roman" w:hAnsi="Calibri" w:cs="Calibri"/>
          <w:b/>
        </w:rPr>
      </w:pPr>
    </w:p>
    <w:p w14:paraId="5DA69069" w14:textId="77777777" w:rsidR="004F5F74" w:rsidRPr="0007243E" w:rsidRDefault="004F5F74" w:rsidP="00F87300">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Europos Žmogaus Teisių Teismo 202</w:t>
      </w:r>
      <w:r>
        <w:rPr>
          <w:rFonts w:ascii="Calibri" w:eastAsia="Times New Roman" w:hAnsi="Calibri" w:cs="Calibri"/>
          <w:b/>
        </w:rPr>
        <w:t>2</w:t>
      </w:r>
      <w:r w:rsidRPr="0007243E">
        <w:rPr>
          <w:rFonts w:ascii="Calibri" w:eastAsia="Times New Roman" w:hAnsi="Calibri" w:cs="Calibri"/>
          <w:b/>
        </w:rPr>
        <w:t xml:space="preserve"> m. </w:t>
      </w:r>
      <w:r>
        <w:rPr>
          <w:rFonts w:ascii="Calibri" w:eastAsia="Times New Roman" w:hAnsi="Calibri" w:cs="Calibri"/>
          <w:b/>
        </w:rPr>
        <w:t>spalio 11</w:t>
      </w:r>
      <w:r w:rsidRPr="0007243E">
        <w:rPr>
          <w:rFonts w:ascii="Calibri" w:eastAsia="Times New Roman" w:hAnsi="Calibri" w:cs="Calibri"/>
          <w:b/>
        </w:rPr>
        <w:t xml:space="preserve"> d. sprendimas byloje</w:t>
      </w:r>
    </w:p>
    <w:p w14:paraId="59FF029B" w14:textId="77777777" w:rsidR="004F5F74" w:rsidRDefault="004F5F74" w:rsidP="00F87300">
      <w:pPr>
        <w:pStyle w:val="Antrat2"/>
        <w:ind w:right="-1" w:firstLine="0"/>
        <w:rPr>
          <w:rFonts w:ascii="Calibri" w:eastAsia="Calibri" w:hAnsi="Calibri" w:cs="Calibri"/>
          <w:b w:val="0"/>
          <w:bCs w:val="0"/>
          <w:i w:val="0"/>
          <w:iCs w:val="0"/>
          <w:color w:val="2E74B5"/>
        </w:rPr>
      </w:pPr>
      <w:bookmarkStart w:id="36" w:name="_Toc141446366"/>
      <w:r>
        <w:rPr>
          <w:rFonts w:ascii="Calibri" w:eastAsia="Calibri" w:hAnsi="Calibri" w:cs="Calibri"/>
          <w:color w:val="2E74B5"/>
        </w:rPr>
        <w:t>Pavlov ir kiti prieš</w:t>
      </w:r>
      <w:r w:rsidRPr="00C95782">
        <w:rPr>
          <w:rFonts w:ascii="Calibri" w:eastAsia="Calibri" w:hAnsi="Calibri" w:cs="Calibri"/>
          <w:color w:val="2E74B5"/>
        </w:rPr>
        <w:t xml:space="preserve"> R</w:t>
      </w:r>
      <w:r>
        <w:rPr>
          <w:rFonts w:ascii="Calibri" w:eastAsia="Calibri" w:hAnsi="Calibri" w:cs="Calibri"/>
          <w:color w:val="2E74B5"/>
        </w:rPr>
        <w:t>usiją</w:t>
      </w:r>
      <w:bookmarkEnd w:id="36"/>
    </w:p>
    <w:p w14:paraId="2713D4D1" w14:textId="77777777" w:rsidR="004F5F74" w:rsidRPr="0007243E" w:rsidRDefault="004F5F74" w:rsidP="00F87300">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(pareiškim</w:t>
      </w:r>
      <w:r>
        <w:rPr>
          <w:rFonts w:ascii="Calibri" w:eastAsia="Times New Roman" w:hAnsi="Calibri" w:cs="Calibri"/>
          <w:b/>
        </w:rPr>
        <w:t>o</w:t>
      </w:r>
      <w:r w:rsidRPr="0007243E">
        <w:rPr>
          <w:rFonts w:ascii="Calibri" w:eastAsia="Times New Roman" w:hAnsi="Calibri" w:cs="Calibri"/>
          <w:b/>
        </w:rPr>
        <w:t xml:space="preserve"> Nr. </w:t>
      </w:r>
      <w:r w:rsidRPr="00584370">
        <w:rPr>
          <w:rFonts w:ascii="Calibri" w:eastAsia="Times New Roman" w:hAnsi="Calibri" w:cs="Calibri"/>
          <w:b/>
        </w:rPr>
        <w:t>31612/09</w:t>
      </w:r>
      <w:r w:rsidRPr="0007243E">
        <w:rPr>
          <w:rFonts w:ascii="Calibri" w:eastAsia="Calibri" w:hAnsi="Calibri" w:cs="Calibri"/>
          <w:b/>
        </w:rPr>
        <w:t xml:space="preserve">, svarbos lygis – </w:t>
      </w:r>
      <w:r>
        <w:rPr>
          <w:rFonts w:ascii="Calibri" w:eastAsia="Calibri" w:hAnsi="Calibri" w:cs="Calibri"/>
          <w:b/>
        </w:rPr>
        <w:t>2</w:t>
      </w:r>
      <w:r w:rsidRPr="0007243E">
        <w:rPr>
          <w:rFonts w:ascii="Calibri" w:eastAsia="Times New Roman" w:hAnsi="Calibri" w:cs="Calibri"/>
          <w:b/>
        </w:rPr>
        <w:t>)</w:t>
      </w:r>
    </w:p>
    <w:p w14:paraId="3ED82DF8" w14:textId="77777777" w:rsidR="004F5F74" w:rsidRPr="0007243E" w:rsidRDefault="004F5F74" w:rsidP="00F87300">
      <w:pPr>
        <w:shd w:val="clear" w:color="auto" w:fill="FFFFFF"/>
        <w:spacing w:after="0" w:line="240" w:lineRule="auto"/>
        <w:ind w:right="-1" w:firstLine="567"/>
        <w:jc w:val="center"/>
        <w:rPr>
          <w:rFonts w:ascii="Calibri" w:eastAsia="Times New Roman" w:hAnsi="Calibri" w:cs="Calibri"/>
          <w:b/>
          <w:bCs/>
          <w:color w:val="000000"/>
        </w:rPr>
      </w:pPr>
    </w:p>
    <w:p w14:paraId="066846FC" w14:textId="77777777" w:rsidR="004F5F74" w:rsidRPr="00310333" w:rsidRDefault="004F5F74" w:rsidP="00F87300">
      <w:pPr>
        <w:keepNext/>
        <w:keepLines/>
        <w:spacing w:after="0" w:line="240" w:lineRule="auto"/>
        <w:ind w:right="-1" w:firstLine="567"/>
        <w:jc w:val="both"/>
        <w:outlineLvl w:val="2"/>
        <w:rPr>
          <w:rFonts w:ascii="Calibri" w:eastAsia="Calibri" w:hAnsi="Calibri" w:cs="Calibri"/>
          <w:bCs/>
          <w:i/>
          <w:iCs/>
        </w:rPr>
      </w:pPr>
      <w:bookmarkStart w:id="37" w:name="_Toc141446367"/>
      <w:r w:rsidRPr="006B11CD">
        <w:rPr>
          <w:rFonts w:ascii="Calibri" w:eastAsia="Calibri" w:hAnsi="Calibri" w:cs="Calibri"/>
          <w:bCs/>
          <w:i/>
          <w:iCs/>
        </w:rPr>
        <w:t>Dėl pozityvios</w:t>
      </w:r>
      <w:r>
        <w:rPr>
          <w:rFonts w:ascii="Calibri" w:eastAsia="Calibri" w:hAnsi="Calibri" w:cs="Calibri"/>
          <w:bCs/>
          <w:i/>
          <w:iCs/>
        </w:rPr>
        <w:t xml:space="preserve"> </w:t>
      </w:r>
      <w:r w:rsidRPr="00310333">
        <w:rPr>
          <w:rFonts w:ascii="Calibri" w:eastAsia="Calibri" w:hAnsi="Calibri" w:cs="Calibri"/>
          <w:bCs/>
          <w:i/>
          <w:iCs/>
        </w:rPr>
        <w:t xml:space="preserve">valstybės pareigos imtis </w:t>
      </w:r>
      <w:r>
        <w:rPr>
          <w:rFonts w:ascii="Calibri" w:eastAsia="Calibri" w:hAnsi="Calibri" w:cs="Calibri"/>
          <w:bCs/>
          <w:i/>
          <w:iCs/>
        </w:rPr>
        <w:t>veiksmingų</w:t>
      </w:r>
      <w:r w:rsidRPr="00310333">
        <w:rPr>
          <w:rFonts w:ascii="Calibri" w:eastAsia="Calibri" w:hAnsi="Calibri" w:cs="Calibri"/>
          <w:bCs/>
          <w:i/>
          <w:iCs/>
        </w:rPr>
        <w:t xml:space="preserve"> priemonių</w:t>
      </w:r>
      <w:r>
        <w:rPr>
          <w:rFonts w:ascii="Calibri" w:eastAsia="Calibri" w:hAnsi="Calibri" w:cs="Calibri"/>
          <w:bCs/>
          <w:i/>
          <w:iCs/>
        </w:rPr>
        <w:t xml:space="preserve"> </w:t>
      </w:r>
      <w:r w:rsidRPr="00D30288">
        <w:rPr>
          <w:rFonts w:ascii="Calibri" w:eastAsia="Calibri" w:hAnsi="Calibri" w:cs="Calibri"/>
          <w:bCs/>
          <w:i/>
          <w:iCs/>
        </w:rPr>
        <w:t>aplinkosauginei situacijai pagerinti</w:t>
      </w:r>
      <w:r>
        <w:rPr>
          <w:rFonts w:ascii="Calibri" w:eastAsia="Calibri" w:hAnsi="Calibri" w:cs="Calibri"/>
          <w:bCs/>
          <w:i/>
          <w:iCs/>
        </w:rPr>
        <w:t xml:space="preserve">, užtikrinant asmenų </w:t>
      </w:r>
      <w:r w:rsidRPr="00A41642">
        <w:rPr>
          <w:rFonts w:ascii="Calibri" w:eastAsia="Calibri" w:hAnsi="Calibri" w:cs="Calibri"/>
          <w:bCs/>
          <w:i/>
          <w:iCs/>
        </w:rPr>
        <w:t>teis</w:t>
      </w:r>
      <w:r>
        <w:rPr>
          <w:rFonts w:ascii="Calibri" w:eastAsia="Calibri" w:hAnsi="Calibri" w:cs="Calibri"/>
          <w:bCs/>
          <w:i/>
          <w:iCs/>
        </w:rPr>
        <w:t>ę</w:t>
      </w:r>
      <w:r w:rsidRPr="00A41642">
        <w:rPr>
          <w:rFonts w:ascii="Calibri" w:eastAsia="Calibri" w:hAnsi="Calibri" w:cs="Calibri"/>
          <w:bCs/>
          <w:i/>
          <w:iCs/>
        </w:rPr>
        <w:t xml:space="preserve"> į privataus gyvenimo gerbimą</w:t>
      </w:r>
      <w:bookmarkEnd w:id="37"/>
      <w:r>
        <w:rPr>
          <w:rFonts w:ascii="Calibri" w:eastAsia="Calibri" w:hAnsi="Calibri" w:cs="Calibri"/>
          <w:bCs/>
          <w:i/>
          <w:iCs/>
        </w:rPr>
        <w:t xml:space="preserve"> </w:t>
      </w:r>
    </w:p>
    <w:p w14:paraId="6977D463" w14:textId="77777777" w:rsidR="004F5F74" w:rsidRDefault="004F5F74" w:rsidP="00F87300">
      <w:pPr>
        <w:shd w:val="clear" w:color="auto" w:fill="FFFFFF"/>
        <w:spacing w:after="0" w:line="240" w:lineRule="auto"/>
        <w:ind w:right="-1"/>
        <w:jc w:val="center"/>
        <w:rPr>
          <w:rFonts w:ascii="Calibri" w:eastAsia="Times New Roman" w:hAnsi="Calibri" w:cs="Calibri"/>
          <w:b/>
          <w:bCs/>
          <w:color w:val="000000"/>
        </w:rPr>
      </w:pPr>
    </w:p>
    <w:p w14:paraId="351BC590" w14:textId="77777777" w:rsidR="004F5F74" w:rsidRPr="001A4C74" w:rsidRDefault="004F5F74" w:rsidP="00F87300">
      <w:pPr>
        <w:shd w:val="clear" w:color="auto" w:fill="FFFFFF"/>
        <w:spacing w:after="0" w:line="240" w:lineRule="auto"/>
        <w:ind w:right="-1"/>
        <w:jc w:val="center"/>
        <w:rPr>
          <w:rFonts w:ascii="Calibri" w:eastAsia="Times New Roman" w:hAnsi="Calibri" w:cs="Calibri"/>
          <w:b/>
          <w:bCs/>
          <w:color w:val="000000"/>
        </w:rPr>
      </w:pPr>
      <w:r w:rsidRPr="001A4C74">
        <w:rPr>
          <w:rFonts w:ascii="Calibri" w:eastAsia="Times New Roman" w:hAnsi="Calibri" w:cs="Calibri"/>
          <w:b/>
          <w:bCs/>
          <w:color w:val="000000"/>
        </w:rPr>
        <w:t>Faktinės aplinkybės</w:t>
      </w:r>
    </w:p>
    <w:p w14:paraId="0576F8DD" w14:textId="77777777" w:rsidR="004F5F74" w:rsidRPr="001A4C74" w:rsidRDefault="004F5F74" w:rsidP="00F87300">
      <w:pPr>
        <w:spacing w:after="0" w:line="240" w:lineRule="auto"/>
        <w:ind w:right="-1" w:firstLine="567"/>
        <w:rPr>
          <w:rFonts w:ascii="Calibri" w:eastAsia="Calibri" w:hAnsi="Calibri" w:cs="Calibri"/>
        </w:rPr>
      </w:pPr>
    </w:p>
    <w:p w14:paraId="4035D7B4" w14:textId="084F36F4" w:rsidR="004F5F74" w:rsidRDefault="004F5F74" w:rsidP="00F87300">
      <w:pPr>
        <w:spacing w:after="0" w:line="240" w:lineRule="auto"/>
        <w:ind w:right="-1" w:firstLine="567"/>
        <w:jc w:val="both"/>
        <w:rPr>
          <w:rFonts w:ascii="Calibri" w:eastAsia="Calibri" w:hAnsi="Calibri" w:cs="Calibri"/>
        </w:rPr>
      </w:pPr>
      <w:r w:rsidRPr="00D37E2A">
        <w:rPr>
          <w:rFonts w:ascii="Calibri" w:eastAsia="Calibri" w:hAnsi="Calibri" w:cs="Calibri"/>
        </w:rPr>
        <w:t xml:space="preserve">Dvidešimt du </w:t>
      </w:r>
      <w:r>
        <w:rPr>
          <w:rFonts w:ascii="Calibri" w:eastAsia="Calibri" w:hAnsi="Calibri" w:cs="Calibri"/>
        </w:rPr>
        <w:t>pareiškėjai</w:t>
      </w:r>
      <w:r w:rsidRPr="00D37E2A">
        <w:rPr>
          <w:rFonts w:ascii="Calibri" w:eastAsia="Calibri" w:hAnsi="Calibri" w:cs="Calibri"/>
        </w:rPr>
        <w:t xml:space="preserve"> gyvena Lipecke, pramoniniame mieste. Pareiškėjai nesėkmingai </w:t>
      </w:r>
      <w:r>
        <w:rPr>
          <w:rFonts w:ascii="Calibri" w:eastAsia="Calibri" w:hAnsi="Calibri" w:cs="Calibri"/>
        </w:rPr>
        <w:t>inicijavo</w:t>
      </w:r>
      <w:r w:rsidRPr="00D37E2A">
        <w:rPr>
          <w:rFonts w:ascii="Calibri" w:eastAsia="Calibri" w:hAnsi="Calibri" w:cs="Calibri"/>
        </w:rPr>
        <w:t xml:space="preserve"> bylą prieš keturiolika federalinių ir regioninių įstaigų dėl to, kad jos, be kita ko, neužtikrino jų teisės į privataus gyvenimo gerbimą pagal </w:t>
      </w:r>
      <w:r>
        <w:rPr>
          <w:rFonts w:ascii="Calibri" w:eastAsia="Calibri" w:hAnsi="Calibri" w:cs="Calibri"/>
        </w:rPr>
        <w:t xml:space="preserve">Konvencijos </w:t>
      </w:r>
      <w:r w:rsidRPr="00D37E2A">
        <w:rPr>
          <w:rFonts w:ascii="Calibri" w:eastAsia="Calibri" w:hAnsi="Calibri" w:cs="Calibri"/>
        </w:rPr>
        <w:t xml:space="preserve">8 straipsnį. </w:t>
      </w:r>
      <w:r w:rsidR="00F905AC">
        <w:rPr>
          <w:rFonts w:ascii="Calibri" w:eastAsia="Calibri" w:hAnsi="Calibri" w:cs="Calibri"/>
        </w:rPr>
        <w:t>J</w:t>
      </w:r>
      <w:r w:rsidRPr="00D37E2A">
        <w:rPr>
          <w:rFonts w:ascii="Calibri" w:eastAsia="Calibri" w:hAnsi="Calibri" w:cs="Calibri"/>
        </w:rPr>
        <w:t xml:space="preserve">ie teigė, kad kenksmingų medžiagų koncentracija ore ir geriamajame vandenyje, sklindanti iš Lipecko apylinkėse veikiančių didelių pramonės įmonių, nuolat viršijo didžiausias leistinas normas ir kad valdžios institucijos nesiėmė reikšmingų priemonių aplinkosauginei </w:t>
      </w:r>
      <w:r>
        <w:rPr>
          <w:rFonts w:ascii="Calibri" w:eastAsia="Calibri" w:hAnsi="Calibri" w:cs="Calibri"/>
        </w:rPr>
        <w:t>situacijai</w:t>
      </w:r>
      <w:r w:rsidRPr="00D37E2A">
        <w:rPr>
          <w:rFonts w:ascii="Calibri" w:eastAsia="Calibri" w:hAnsi="Calibri" w:cs="Calibri"/>
        </w:rPr>
        <w:t xml:space="preserve"> pagerinti.</w:t>
      </w:r>
    </w:p>
    <w:p w14:paraId="6CA0EEAD" w14:textId="77777777" w:rsidR="004F5F74" w:rsidRPr="0089498E" w:rsidRDefault="004F5F74" w:rsidP="00F87300">
      <w:pPr>
        <w:spacing w:after="0" w:line="240" w:lineRule="auto"/>
        <w:ind w:right="-1" w:firstLine="567"/>
      </w:pPr>
    </w:p>
    <w:p w14:paraId="74F15E54" w14:textId="77777777" w:rsidR="004F5F74" w:rsidRPr="0089498E" w:rsidRDefault="004F5F74" w:rsidP="00F87300">
      <w:pPr>
        <w:shd w:val="clear" w:color="auto" w:fill="FFFFFF"/>
        <w:spacing w:after="0" w:line="240" w:lineRule="auto"/>
        <w:ind w:right="-1"/>
        <w:jc w:val="center"/>
        <w:rPr>
          <w:rFonts w:ascii="Calibri" w:eastAsia="Times New Roman" w:hAnsi="Calibri" w:cs="Calibri"/>
          <w:b/>
          <w:bCs/>
          <w:color w:val="000000"/>
        </w:rPr>
      </w:pPr>
      <w:r w:rsidRPr="0089498E">
        <w:rPr>
          <w:rFonts w:ascii="Calibri" w:eastAsia="Times New Roman" w:hAnsi="Calibri" w:cs="Calibri"/>
          <w:b/>
          <w:bCs/>
          <w:color w:val="000000"/>
        </w:rPr>
        <w:t>Neoficiali Teismo sprendimo apžvalga</w:t>
      </w:r>
    </w:p>
    <w:p w14:paraId="6ABCA38A" w14:textId="77777777" w:rsidR="004F5F74" w:rsidRDefault="004F5F74" w:rsidP="00F87300">
      <w:pPr>
        <w:spacing w:after="0" w:line="240" w:lineRule="auto"/>
        <w:ind w:right="-1" w:firstLine="567"/>
      </w:pPr>
    </w:p>
    <w:p w14:paraId="61DADC0B" w14:textId="68B545FB" w:rsidR="004F5F74" w:rsidRDefault="004F5F74" w:rsidP="00F87300">
      <w:pPr>
        <w:spacing w:after="0" w:line="240" w:lineRule="auto"/>
        <w:ind w:right="-1" w:firstLine="567"/>
        <w:jc w:val="both"/>
      </w:pPr>
      <w:r w:rsidRPr="00517938">
        <w:t>Iš oficialių ataskaitų paaiškėjo, kad pramoninis oro užterštumas buvo pagrindinis veiksnys, lėmęs bendrą aplinkos būklės pablogėjimą Lipecke. Valdžios institucijos žinojo apie nuolatines aplinkosaugos problemas ir išdavė leidimus miesto pramonės įmonėms, reguliavo jų veiklą, atliko aplinkosauginį vertinimą, vykdė patikrinimus ir taikė tam tikras sankcijas, kad pagerintų padėtį. Aplinkosauginė padėtis, dėl kurios skundžiamasi, buvo ilgalaikė ir gerai žinoma. Todėl valdžios institucijos galėjo įvertinti taršos pavojų ir imtis tinkamų priemonių jam išvengti arba sumažinti. Šių veiksnių visuma rodė pakankamą ryšį tarp išmetamų teršalų ir valstybės, kad būtų galima kelti klausimą dėl valstybės pozityvios pareigos pagal</w:t>
      </w:r>
      <w:r w:rsidR="00BB3D80">
        <w:t xml:space="preserve"> Konvencijos</w:t>
      </w:r>
      <w:r w:rsidRPr="00517938">
        <w:t xml:space="preserve"> 8</w:t>
      </w:r>
      <w:r w:rsidR="00BB3D80">
        <w:t> </w:t>
      </w:r>
      <w:r w:rsidRPr="00517938">
        <w:t>straipsnį. Todėl Teismas bylą nagrinėjo valstybės pareigos imtis pagrįstų ir tinkamų priemonių pareiškėjų teisėms pagal</w:t>
      </w:r>
      <w:r w:rsidR="00BB3D80" w:rsidRPr="00BB3D80">
        <w:t xml:space="preserve"> </w:t>
      </w:r>
      <w:r w:rsidR="00BB3D80">
        <w:t>Konvencijos</w:t>
      </w:r>
      <w:r w:rsidRPr="00517938">
        <w:t xml:space="preserve"> 8 straipsnio 1 dalį užtikrinti </w:t>
      </w:r>
      <w:r>
        <w:t>aspektu</w:t>
      </w:r>
      <w:r w:rsidRPr="00517938">
        <w:t>.</w:t>
      </w:r>
    </w:p>
    <w:p w14:paraId="243875F4" w14:textId="4DAD317F" w:rsidR="004F5F74" w:rsidRDefault="004F5F74" w:rsidP="00F87300">
      <w:pPr>
        <w:spacing w:after="0" w:line="240" w:lineRule="auto"/>
        <w:ind w:right="-1" w:firstLine="567"/>
        <w:jc w:val="both"/>
      </w:pPr>
      <w:r w:rsidRPr="0026787F">
        <w:t>Kadangi pareiškėjų skundas buvo susijęs su tuo, kad valdžios institucijos nesugebėjo sureguliuoti pramonės įmonių veiklos</w:t>
      </w:r>
      <w:r w:rsidR="00227D86">
        <w:t>,</w:t>
      </w:r>
      <w:r w:rsidRPr="0026787F">
        <w:t xml:space="preserve"> nustatydamos sanitarinės apsaugos zonas aplink pagrindines gamyklas ir fabrikus, Teismas pažymėjo, kad tokių zonų, kuriose tarša gali oficialiai viršyti saugų lygį, nustatymas yra privalomas pagal Rusijos įstatymus. Pagrindinė jų paskirtis buvo atskirti gyvenamąsias zonas nuo taršos šaltinių, o nesant nustatytos sanitarinės apsaugos zonos, pramonės įmonė turėjo būti uždaryta arba iš esmės pertvarkyta. Teismas atkreipė dėmesį į tai, kad tokių zonų kūrimas buvo ilgas procesas, kuriam, kaip ir bet kuriam sudėtingam daugiasektoriniam projektui, buvo reikalingi finansiniai, logistiniai, techniniai ištekliai ir </w:t>
      </w:r>
      <w:r w:rsidRPr="0026787F">
        <w:lastRenderedPageBreak/>
        <w:t>pareigingas jame dalyvaujančių šalių, įskaitant valstybės institucijas, bendradarbiavimas bei pastangos. Tačiau šiuo atveju įmonių delsimas parengti projektinę dokumentaciją ir ją patvirtinti nebūtų įvykęs be tam tikro valdžios institucijų neveiklumo ir jų atlaidumo vykdant sanitarinių apsaugos zonų steigimo taisykles. Be to, nė vienai įmonei, išskyrus vieną gamyklą, nebuvo nurodyta sustabdyti savo veiklą arba uždaryti įmonę dėl atitinkamų aplinkos apsaugos taisyklių pažeidimo arba sanitarinės apsaugos zonos nesukūrimo, kaip reikalaujama pagal vidaus teisės aktus.</w:t>
      </w:r>
    </w:p>
    <w:p w14:paraId="2511D0F5" w14:textId="77777777" w:rsidR="004F5F74" w:rsidRDefault="004F5F74" w:rsidP="00F87300">
      <w:pPr>
        <w:spacing w:after="0" w:line="240" w:lineRule="auto"/>
        <w:ind w:right="-1" w:firstLine="567"/>
        <w:jc w:val="both"/>
      </w:pPr>
      <w:r w:rsidRPr="00502E8A">
        <w:t xml:space="preserve">Nenutrūkstama pramonės įmonių veikla buvo svarbi regiono ir šalies ekonomikai ir ja buvo siekiama užtikrinti teisingą pareiškėjų ir bendruomenės interesų pusiausvyrą, atsižvelgiant į sunkios ekonominės krizės, su kuria atsakovei teko susidurti atitinkamu laikotarpiu, padarinius. Be to, skirtingai nei tiesioginio valstybės kišimosi atvejais, vidaus teisėtumas buvo tik vienas iš veiksnių, į kuriuos reikia atsižvelgti vertinant, ar valstybė įvykdė savo pozityviąją pareigą; valstybė galėjo pasirinkti kitas, jos nuomone, tinkamas priemones </w:t>
      </w:r>
      <w:r>
        <w:t>„privataus gyvenimo gerbimui“</w:t>
      </w:r>
      <w:r w:rsidRPr="00502E8A">
        <w:t xml:space="preserve"> užtikrinti.</w:t>
      </w:r>
    </w:p>
    <w:p w14:paraId="378A0D23" w14:textId="77777777" w:rsidR="004F5F74" w:rsidRDefault="004F5F74" w:rsidP="00F87300">
      <w:pPr>
        <w:spacing w:after="0" w:line="240" w:lineRule="auto"/>
        <w:ind w:right="-1" w:firstLine="567"/>
        <w:jc w:val="both"/>
      </w:pPr>
      <w:r>
        <w:t>Apylinkės teismas apsiribojo tik priemonių, kurių ėmėsi valdžios institucijos, konstatavimu ir nenagrinėjo pagrindinio klausimo, ar šios priemonės iš tiesų buvo veiksmingos ir galėjo pašalinti neigiamas pramoninės taršos pasekmes pareiškėjams, atsižvelgiant į valstybines aplinkos apsaugos ataskaitas. Iš tiesų atrodė, kad į ieškovų interesą gyventi saugioje aplinkoje nebuvo tinkamai atsižvelgta ir nebuvo teisingai suderinta su bendrais ekonominiais regiono interesais. Taigi Teismas turėjo atlikti savo vertinimą, atsižvelgdamas į tuo metu šalies viduje turėtą informaciją ir visus vėlesnius pokyčius.</w:t>
      </w:r>
    </w:p>
    <w:p w14:paraId="4626D227" w14:textId="6B8E23BE" w:rsidR="004F5F74" w:rsidRDefault="004F5F74" w:rsidP="00F87300">
      <w:pPr>
        <w:spacing w:after="0" w:line="240" w:lineRule="auto"/>
        <w:ind w:right="-1" w:firstLine="567"/>
        <w:jc w:val="both"/>
      </w:pPr>
      <w:r>
        <w:t>Vertindamas visą šalių pateiktą medžiagą duomenų apie didelį oro užterštumą 1999</w:t>
      </w:r>
      <w:r w:rsidR="00FE0B67">
        <w:t>–</w:t>
      </w:r>
      <w:r>
        <w:t xml:space="preserve">2013 m. fone, Teismas nustatė, kad priemonės, kurių buvo imtasi nuo 1998 m. gegužės 5 d. iki 2013 m. pabaigos, neturėjo reikšmingo poveikio pramonės išmetamų teršalų ar kenksmingų medžiagų koncentracijos Lipecko atmosferos ore ar kitų rūšių taršos mažinimui. Jos taip pat buvo nepakankamos, nes jomis buvo siekiama užtikrinti, kad privati pramonė laikytųsi atitinkamų aplinkosaugos standartų. Taigi valdžios institucijos uoliai nesiėmė priemonių nepalankiai aplinkosauginei situacijai Lipecke spręsti ir tuo laikotarpiu neįvykdė savo pozityvios pareigos apsaugoti pareiškėjų teisę į privataus gyvenimo gerbimą. </w:t>
      </w:r>
    </w:p>
    <w:p w14:paraId="5A590539" w14:textId="7AABDEF7" w:rsidR="004F5F74" w:rsidRDefault="004F5F74" w:rsidP="00F87300">
      <w:pPr>
        <w:spacing w:after="0" w:line="240" w:lineRule="auto"/>
        <w:ind w:right="-1" w:firstLine="567"/>
        <w:jc w:val="both"/>
      </w:pPr>
      <w:r>
        <w:t>Priemonės ir politika, kurias valstybė atsakovė įgyvendino po 2013 m., buvo tikslingesnės (ypač nuo 2018</w:t>
      </w:r>
      <w:r w:rsidR="00F87300">
        <w:t> </w:t>
      </w:r>
      <w:r>
        <w:t>m.) ir pastaraisiais metais lėmė apčiuopiamą pažangą mažinant pramonės išmetamų teršalų kiekį ir gerinant oro kokybę bei aplinkos sąlygas Lipecke. Vis dėlto aplinkos taršos problemą vis dar reikėjo spręsti, o pramoninė oro tarša Lipecke nebuvo pakankamai pažabota, kad miesto gyventojai nepatirtų su tuo susijusios rizikos sveikatai. Todėl vidaus valdžios institucijos, vykdydamos savo pozityvias pareigas užtikrinti pareiškėjų teisę į privataus gyvenimo gerbimą, neužtikrino tinkamos pusiausvyros.</w:t>
      </w:r>
    </w:p>
    <w:p w14:paraId="242A3A7E" w14:textId="77777777" w:rsidR="004F5F74" w:rsidRDefault="004F5F74" w:rsidP="00F87300">
      <w:pPr>
        <w:spacing w:after="0" w:line="240" w:lineRule="auto"/>
        <w:ind w:right="-1" w:firstLine="567"/>
        <w:jc w:val="both"/>
        <w:rPr>
          <w:highlight w:val="darkGray"/>
        </w:rPr>
      </w:pPr>
    </w:p>
    <w:p w14:paraId="0312C500" w14:textId="77777777" w:rsidR="004F5F74" w:rsidRDefault="004F5F74" w:rsidP="00F87300">
      <w:pPr>
        <w:pStyle w:val="s6c429373"/>
        <w:spacing w:before="0" w:beforeAutospacing="0" w:after="0" w:afterAutospacing="0"/>
        <w:ind w:right="-1" w:firstLine="567"/>
        <w:jc w:val="both"/>
        <w:rPr>
          <w:rFonts w:asciiTheme="minorHAnsi" w:hAnsiTheme="minorHAnsi" w:cstheme="minorHAnsi"/>
          <w:sz w:val="22"/>
          <w:szCs w:val="22"/>
        </w:rPr>
      </w:pPr>
      <w:r w:rsidRPr="00D1455C">
        <w:rPr>
          <w:rFonts w:asciiTheme="minorHAnsi" w:hAnsiTheme="minorHAnsi" w:cstheme="minorHAnsi"/>
          <w:sz w:val="22"/>
          <w:szCs w:val="22"/>
        </w:rPr>
        <w:t>Išvada</w:t>
      </w:r>
      <w:r>
        <w:rPr>
          <w:rFonts w:asciiTheme="minorHAnsi" w:hAnsiTheme="minorHAnsi" w:cstheme="minorHAnsi"/>
          <w:sz w:val="22"/>
          <w:szCs w:val="22"/>
        </w:rPr>
        <w:t>: n</w:t>
      </w:r>
      <w:r w:rsidRPr="00D1455C">
        <w:rPr>
          <w:rFonts w:asciiTheme="minorHAnsi" w:hAnsiTheme="minorHAnsi" w:cstheme="minorHAnsi"/>
          <w:sz w:val="22"/>
          <w:szCs w:val="22"/>
        </w:rPr>
        <w:t xml:space="preserve">ustatytas Konvencijos </w:t>
      </w:r>
      <w:r>
        <w:rPr>
          <w:rFonts w:asciiTheme="minorHAnsi" w:hAnsiTheme="minorHAnsi" w:cstheme="minorHAnsi"/>
          <w:sz w:val="22"/>
          <w:szCs w:val="22"/>
        </w:rPr>
        <w:t>8 straipsnio pažeidimas (6 balsai prieš 1).</w:t>
      </w:r>
    </w:p>
    <w:p w14:paraId="021C4095" w14:textId="77777777" w:rsidR="004F5F74" w:rsidRDefault="004F5F74" w:rsidP="00F87300">
      <w:pPr>
        <w:spacing w:after="0" w:line="240" w:lineRule="auto"/>
        <w:ind w:right="-1" w:firstLine="567"/>
        <w:jc w:val="both"/>
      </w:pPr>
      <w:r>
        <w:rPr>
          <w:rFonts w:cstheme="minorHAnsi"/>
        </w:rPr>
        <w:t xml:space="preserve">41 straipsnis: </w:t>
      </w:r>
      <w:r>
        <w:t>k</w:t>
      </w:r>
      <w:r w:rsidRPr="00CC4AF9">
        <w:t xml:space="preserve">iekvienam pareiškėjui </w:t>
      </w:r>
      <w:r>
        <w:t xml:space="preserve">priteista </w:t>
      </w:r>
      <w:r w:rsidRPr="00CC4AF9">
        <w:t>po 2</w:t>
      </w:r>
      <w:r>
        <w:t> </w:t>
      </w:r>
      <w:r w:rsidRPr="00CC4AF9">
        <w:t>500 Eur neturtinei žalai atlyginti.</w:t>
      </w:r>
    </w:p>
    <w:p w14:paraId="10E654B9" w14:textId="77777777" w:rsidR="004F5F74" w:rsidRPr="00FF1C07" w:rsidRDefault="004F5F74" w:rsidP="00F87300">
      <w:pPr>
        <w:spacing w:after="0" w:line="240" w:lineRule="auto"/>
        <w:ind w:right="-1" w:firstLine="567"/>
        <w:jc w:val="both"/>
        <w:rPr>
          <w:rFonts w:cstheme="minorHAnsi"/>
          <w:b/>
          <w:bCs/>
        </w:rPr>
      </w:pPr>
      <w:r>
        <w:rPr>
          <w:rFonts w:cstheme="minorHAnsi"/>
        </w:rPr>
        <w:t>Pateikta atskiroji nuomonė.</w:t>
      </w:r>
    </w:p>
    <w:p w14:paraId="6F4CF758" w14:textId="77777777" w:rsidR="004F5F74" w:rsidRDefault="00000000" w:rsidP="00F87300">
      <w:pPr>
        <w:ind w:right="-1" w:firstLine="567"/>
      </w:pPr>
      <w:hyperlink r:id="rId19" w:anchor="{%22tabview%22:[%22document%22],%22itemid%22:[%22001-219640%22]}" w:history="1">
        <w:r w:rsidR="004F5F74">
          <w:rPr>
            <w:rStyle w:val="Hipersaitas"/>
          </w:rPr>
          <w:t>Prieiga internete</w:t>
        </w:r>
      </w:hyperlink>
    </w:p>
    <w:p w14:paraId="5B516107" w14:textId="77777777" w:rsidR="004F5F74" w:rsidRDefault="004F5F74" w:rsidP="00F87300">
      <w:pPr>
        <w:spacing w:after="0" w:line="240" w:lineRule="auto"/>
        <w:ind w:right="-1" w:firstLine="567"/>
        <w:jc w:val="both"/>
      </w:pPr>
      <w:r>
        <w:t xml:space="preserve">Taip pat žiūrėti Europos Žmogaus Teisių Teismo 2022 m. spalio 11 d. sprendimą byloje </w:t>
      </w:r>
      <w:r w:rsidRPr="00F10AEC">
        <w:rPr>
          <w:i/>
          <w:iCs/>
        </w:rPr>
        <w:t>Kotov ir kiti prieš Rusiją</w:t>
      </w:r>
      <w:r>
        <w:rPr>
          <w:i/>
          <w:iCs/>
        </w:rPr>
        <w:t xml:space="preserve"> </w:t>
      </w:r>
      <w:r>
        <w:t>(pareiškimų Nr. 6142/18 ir kt., svarbos lygis – 2).</w:t>
      </w:r>
    </w:p>
    <w:p w14:paraId="76B9E1BF" w14:textId="24834741" w:rsidR="004F5F74" w:rsidRDefault="004F5F74" w:rsidP="00F87300">
      <w:pPr>
        <w:spacing w:after="0" w:line="240" w:lineRule="auto"/>
        <w:ind w:right="-1" w:firstLine="567"/>
        <w:jc w:val="both"/>
      </w:pPr>
      <w:r>
        <w:t xml:space="preserve"> </w:t>
      </w:r>
      <w:hyperlink r:id="rId20" w:anchor="{%22tabview%22:[%22document%22],%22itemid%22:[%22001-219648%22]}" w:history="1">
        <w:r>
          <w:rPr>
            <w:rStyle w:val="Hipersaitas"/>
          </w:rPr>
          <w:t>Prieiga internete</w:t>
        </w:r>
      </w:hyperlink>
      <w:r>
        <w:t xml:space="preserve"> </w:t>
      </w:r>
    </w:p>
    <w:p w14:paraId="090240BA" w14:textId="77777777" w:rsidR="008C3D86" w:rsidRPr="00481B50" w:rsidRDefault="008C3D86" w:rsidP="006424CA">
      <w:pPr>
        <w:spacing w:after="0" w:line="240" w:lineRule="auto"/>
        <w:ind w:right="-1"/>
      </w:pPr>
    </w:p>
    <w:p w14:paraId="5669643B" w14:textId="77777777" w:rsidR="00025962" w:rsidRPr="0007243E" w:rsidRDefault="00025962" w:rsidP="00F87300">
      <w:pPr>
        <w:keepNext/>
        <w:keepLines/>
        <w:spacing w:after="0" w:line="240" w:lineRule="auto"/>
        <w:ind w:right="-1"/>
        <w:jc w:val="center"/>
        <w:outlineLvl w:val="0"/>
        <w:rPr>
          <w:rFonts w:ascii="Calibri" w:eastAsia="Times New Roman" w:hAnsi="Calibri" w:cs="Calibri"/>
          <w:b/>
          <w:color w:val="323E4F"/>
        </w:rPr>
      </w:pPr>
      <w:bookmarkStart w:id="38" w:name="_Toc141446368"/>
      <w:r w:rsidRPr="0007243E">
        <w:rPr>
          <w:rFonts w:ascii="Calibri" w:eastAsia="Times New Roman" w:hAnsi="Calibri" w:cs="Calibri"/>
          <w:b/>
          <w:color w:val="323E4F"/>
        </w:rPr>
        <w:t>SAVIRAIŠKOS LAISVĖ (10 straipsnis)</w:t>
      </w:r>
      <w:bookmarkEnd w:id="20"/>
      <w:bookmarkEnd w:id="38"/>
    </w:p>
    <w:p w14:paraId="7733380F" w14:textId="77777777" w:rsidR="00025962" w:rsidRDefault="00025962" w:rsidP="00F87300">
      <w:pPr>
        <w:spacing w:after="0" w:line="240" w:lineRule="auto"/>
        <w:ind w:right="-1"/>
        <w:jc w:val="both"/>
      </w:pPr>
    </w:p>
    <w:p w14:paraId="057CD74F" w14:textId="77777777" w:rsidR="008C2A2E" w:rsidRPr="00EC0AA7" w:rsidRDefault="008C2A2E" w:rsidP="00F87300">
      <w:pPr>
        <w:pStyle w:val="Betarp"/>
        <w:ind w:right="-1"/>
        <w:jc w:val="center"/>
        <w:rPr>
          <w:b/>
          <w:bCs/>
        </w:rPr>
      </w:pPr>
      <w:r w:rsidRPr="00EC0AA7">
        <w:rPr>
          <w:b/>
          <w:bCs/>
        </w:rPr>
        <w:t>Europos Žmogaus Teisių Teismo 202</w:t>
      </w:r>
      <w:r>
        <w:rPr>
          <w:b/>
          <w:bCs/>
        </w:rPr>
        <w:t>2</w:t>
      </w:r>
      <w:r w:rsidRPr="00EC0AA7">
        <w:rPr>
          <w:b/>
          <w:bCs/>
        </w:rPr>
        <w:t xml:space="preserve"> m. </w:t>
      </w:r>
      <w:r>
        <w:rPr>
          <w:b/>
          <w:bCs/>
        </w:rPr>
        <w:t xml:space="preserve">rugsėjo 13 </w:t>
      </w:r>
      <w:r w:rsidRPr="00EC0AA7">
        <w:rPr>
          <w:b/>
          <w:bCs/>
        </w:rPr>
        <w:t>d. sprendimas byloje</w:t>
      </w:r>
    </w:p>
    <w:p w14:paraId="215CB057" w14:textId="77777777" w:rsidR="008C2A2E" w:rsidRPr="00D94DCC" w:rsidRDefault="008C2A2E" w:rsidP="00F87300">
      <w:pPr>
        <w:pStyle w:val="Betarp"/>
        <w:ind w:right="-1"/>
        <w:jc w:val="center"/>
        <w:outlineLvl w:val="1"/>
        <w:rPr>
          <w:b/>
          <w:bCs/>
          <w:i/>
          <w:color w:val="2E74B5" w:themeColor="accent1" w:themeShade="BF"/>
        </w:rPr>
      </w:pPr>
      <w:bookmarkStart w:id="39" w:name="_Toc141446369"/>
      <w:r>
        <w:rPr>
          <w:b/>
          <w:bCs/>
          <w:i/>
          <w:color w:val="2E74B5" w:themeColor="accent1" w:themeShade="BF"/>
        </w:rPr>
        <w:t>Timur Sharipov</w:t>
      </w:r>
      <w:r w:rsidRPr="00D94DCC">
        <w:rPr>
          <w:b/>
          <w:bCs/>
          <w:i/>
          <w:color w:val="2E74B5" w:themeColor="accent1" w:themeShade="BF"/>
        </w:rPr>
        <w:t xml:space="preserve"> prieš </w:t>
      </w:r>
      <w:r>
        <w:rPr>
          <w:b/>
          <w:bCs/>
          <w:i/>
          <w:color w:val="2E74B5" w:themeColor="accent1" w:themeShade="BF"/>
        </w:rPr>
        <w:t>Rusiją</w:t>
      </w:r>
      <w:bookmarkEnd w:id="39"/>
    </w:p>
    <w:p w14:paraId="7BE5CDBF" w14:textId="77777777" w:rsidR="008C2A2E" w:rsidRPr="00EC0AA7" w:rsidRDefault="008C2A2E" w:rsidP="00F87300">
      <w:pPr>
        <w:pStyle w:val="Betarp"/>
        <w:ind w:right="-1"/>
        <w:jc w:val="center"/>
        <w:rPr>
          <w:b/>
          <w:bCs/>
        </w:rPr>
      </w:pPr>
      <w:r w:rsidRPr="00EC0AA7">
        <w:rPr>
          <w:b/>
          <w:bCs/>
        </w:rPr>
        <w:t xml:space="preserve">(pareiškimo Nr. </w:t>
      </w:r>
      <w:r w:rsidRPr="007F58DB">
        <w:rPr>
          <w:b/>
          <w:bCs/>
        </w:rPr>
        <w:t>15758/13</w:t>
      </w:r>
      <w:r w:rsidRPr="00EB6EF8">
        <w:rPr>
          <w:b/>
          <w:bCs/>
        </w:rPr>
        <w:t xml:space="preserve">, svarbos lygis – </w:t>
      </w:r>
      <w:r>
        <w:rPr>
          <w:b/>
          <w:bCs/>
        </w:rPr>
        <w:t>2</w:t>
      </w:r>
      <w:r w:rsidRPr="00EB6EF8">
        <w:rPr>
          <w:b/>
          <w:bCs/>
        </w:rPr>
        <w:t>)</w:t>
      </w:r>
    </w:p>
    <w:p w14:paraId="3A1317EA" w14:textId="77777777" w:rsidR="008C2A2E" w:rsidRDefault="008C2A2E" w:rsidP="00F87300">
      <w:pPr>
        <w:pStyle w:val="Betarp"/>
        <w:ind w:right="-1"/>
        <w:jc w:val="center"/>
        <w:rPr>
          <w:b/>
          <w:bCs/>
        </w:rPr>
      </w:pPr>
    </w:p>
    <w:p w14:paraId="09894BD8" w14:textId="77777777" w:rsidR="008C2A2E" w:rsidRDefault="008C2A2E" w:rsidP="00F87300">
      <w:pPr>
        <w:pStyle w:val="Betarp"/>
        <w:ind w:right="-1" w:firstLine="567"/>
        <w:jc w:val="both"/>
        <w:outlineLvl w:val="2"/>
        <w:rPr>
          <w:i/>
          <w:iCs/>
        </w:rPr>
      </w:pPr>
      <w:bookmarkStart w:id="40" w:name="_Toc141446370"/>
      <w:r w:rsidRPr="007F58DB">
        <w:rPr>
          <w:i/>
          <w:iCs/>
        </w:rPr>
        <w:t>Dėl</w:t>
      </w:r>
      <w:r>
        <w:rPr>
          <w:i/>
          <w:iCs/>
        </w:rPr>
        <w:t xml:space="preserve"> rinkimų stebėtojo pašalinimo iš rinkimų apylinkės, jam pažeidus nustatytas rinkimų proceso filmavimo taisykles</w:t>
      </w:r>
      <w:bookmarkEnd w:id="40"/>
    </w:p>
    <w:p w14:paraId="732F5D28" w14:textId="77777777" w:rsidR="008C2A2E" w:rsidRDefault="008C2A2E" w:rsidP="00F87300">
      <w:pPr>
        <w:pStyle w:val="Betarp"/>
        <w:ind w:right="-1" w:firstLine="567"/>
        <w:jc w:val="both"/>
      </w:pPr>
    </w:p>
    <w:p w14:paraId="7B15B081" w14:textId="77777777" w:rsidR="008C2A2E" w:rsidRPr="00B35DC4" w:rsidRDefault="008C2A2E" w:rsidP="00F87300">
      <w:pPr>
        <w:pStyle w:val="Betarp"/>
        <w:ind w:right="-1"/>
        <w:jc w:val="center"/>
        <w:rPr>
          <w:b/>
          <w:bCs/>
        </w:rPr>
      </w:pPr>
      <w:r w:rsidRPr="00B35DC4">
        <w:rPr>
          <w:b/>
          <w:bCs/>
        </w:rPr>
        <w:t>Faktinės aplinkybės</w:t>
      </w:r>
    </w:p>
    <w:p w14:paraId="0A213123" w14:textId="77777777" w:rsidR="008C2A2E" w:rsidRDefault="008C2A2E" w:rsidP="00F87300">
      <w:pPr>
        <w:pStyle w:val="Betarp"/>
        <w:ind w:right="-1"/>
        <w:jc w:val="center"/>
      </w:pPr>
    </w:p>
    <w:p w14:paraId="3666D153" w14:textId="77777777" w:rsidR="008C2A2E" w:rsidRDefault="008C2A2E" w:rsidP="00F87300">
      <w:pPr>
        <w:pStyle w:val="Betarp"/>
        <w:ind w:right="-1" w:firstLine="567"/>
        <w:jc w:val="both"/>
      </w:pPr>
      <w:r w:rsidRPr="00F24DF4">
        <w:lastRenderedPageBreak/>
        <w:t>Pareiškėjas buvo politinės partijos paskirtas rinkimų stebėtojas, stebėj</w:t>
      </w:r>
      <w:r>
        <w:t>ęs</w:t>
      </w:r>
      <w:r w:rsidRPr="00F24DF4">
        <w:t xml:space="preserve"> Rusijos įstatymų leidžiamosios valdžios rinkimus.</w:t>
      </w:r>
      <w:r>
        <w:t xml:space="preserve"> </w:t>
      </w:r>
      <w:r w:rsidRPr="00F24DF4">
        <w:t xml:space="preserve">Balsavimo dieną </w:t>
      </w:r>
      <w:r>
        <w:t>R</w:t>
      </w:r>
      <w:r w:rsidRPr="00F24DF4">
        <w:t xml:space="preserve">inkimų apylinkės rinkimų komisija (toliau </w:t>
      </w:r>
      <w:r>
        <w:t>– Komisija</w:t>
      </w:r>
      <w:r w:rsidRPr="00F24DF4">
        <w:t>) nustatė filmavimo rinkimų apylinkėje taisykles</w:t>
      </w:r>
      <w:r>
        <w:t xml:space="preserve">, pagal kurias </w:t>
      </w:r>
      <w:r w:rsidRPr="00F24DF4">
        <w:t>stebėtojas rinkimų procesą gal</w:t>
      </w:r>
      <w:r>
        <w:t>ėjo</w:t>
      </w:r>
      <w:r w:rsidRPr="00F24DF4">
        <w:t xml:space="preserve"> filmuoti</w:t>
      </w:r>
      <w:r>
        <w:t xml:space="preserve"> tik</w:t>
      </w:r>
      <w:r w:rsidRPr="00F24DF4">
        <w:t xml:space="preserve"> nepertraukiamai,</w:t>
      </w:r>
      <w:r>
        <w:t xml:space="preserve"> </w:t>
      </w:r>
      <w:r w:rsidRPr="00F24DF4">
        <w:t>buvo draudžiama filmuoti pareigūnų veidus be jų raštiško sutikimo, taip pat filmuojant komentuoti įvykius. Pareiškėjas filmavo rinkimus ir balsų skaičiavimą</w:t>
      </w:r>
      <w:r>
        <w:t xml:space="preserve">. Komisijai fiksavus </w:t>
      </w:r>
      <w:r w:rsidRPr="00F24DF4">
        <w:t>pakartotin</w:t>
      </w:r>
      <w:r>
        <w:t>ai pareiškėjo daromus</w:t>
      </w:r>
      <w:r w:rsidRPr="00F24DF4">
        <w:t xml:space="preserve"> </w:t>
      </w:r>
      <w:r>
        <w:t>filmavimo t</w:t>
      </w:r>
      <w:r w:rsidRPr="00F24DF4">
        <w:t>aisykl</w:t>
      </w:r>
      <w:r>
        <w:t xml:space="preserve">ių pažeidimus, buvo </w:t>
      </w:r>
      <w:r w:rsidRPr="00F24DF4">
        <w:t>pareng</w:t>
      </w:r>
      <w:r>
        <w:t>ti</w:t>
      </w:r>
      <w:r w:rsidRPr="00F24DF4">
        <w:t xml:space="preserve"> du oficial</w:t>
      </w:r>
      <w:r>
        <w:t>ū</w:t>
      </w:r>
      <w:r w:rsidRPr="00F24DF4">
        <w:t>s protokol</w:t>
      </w:r>
      <w:r>
        <w:t>ai, viename iš jų, nepateikiant</w:t>
      </w:r>
      <w:r w:rsidRPr="00F24DF4">
        <w:t xml:space="preserve"> išsamesnės informacijos apie inkriminuojamą pažeidimą</w:t>
      </w:r>
      <w:r>
        <w:t>,</w:t>
      </w:r>
      <w:r w:rsidRPr="00F24DF4">
        <w:t xml:space="preserve"> buvo nurodyta, kad </w:t>
      </w:r>
      <w:r>
        <w:t>pareiškėjas</w:t>
      </w:r>
      <w:r w:rsidRPr="00F24DF4">
        <w:t xml:space="preserve"> filmav</w:t>
      </w:r>
      <w:r>
        <w:t>o</w:t>
      </w:r>
      <w:r w:rsidRPr="00F24DF4">
        <w:t xml:space="preserve"> be raštiško </w:t>
      </w:r>
      <w:r>
        <w:t>Komisijos</w:t>
      </w:r>
      <w:r w:rsidRPr="00F24DF4">
        <w:t xml:space="preserve"> narių sutikimo</w:t>
      </w:r>
      <w:r>
        <w:t>. Vėliau Komisija</w:t>
      </w:r>
      <w:r w:rsidRPr="00C51E8E">
        <w:t xml:space="preserve"> </w:t>
      </w:r>
      <w:r w:rsidRPr="00F24DF4">
        <w:t>priėmė sprend</w:t>
      </w:r>
      <w:r>
        <w:t>imą, kad pareiškėjo padarytas p</w:t>
      </w:r>
      <w:r w:rsidRPr="00F24DF4">
        <w:t>ažeidim</w:t>
      </w:r>
      <w:r>
        <w:t>as pasireiškė</w:t>
      </w:r>
      <w:r w:rsidRPr="00F24DF4">
        <w:t xml:space="preserve"> pakartotini</w:t>
      </w:r>
      <w:r>
        <w:t xml:space="preserve">u </w:t>
      </w:r>
      <w:r w:rsidRPr="00F24DF4">
        <w:t>kameros įjungim</w:t>
      </w:r>
      <w:r>
        <w:t>u</w:t>
      </w:r>
      <w:r w:rsidRPr="00F24DF4">
        <w:t xml:space="preserve"> ir išjungim</w:t>
      </w:r>
      <w:r>
        <w:t>u</w:t>
      </w:r>
      <w:r w:rsidRPr="00F24DF4">
        <w:t xml:space="preserve"> filmuojant </w:t>
      </w:r>
      <w:r>
        <w:t>bei</w:t>
      </w:r>
      <w:r w:rsidRPr="00F24DF4">
        <w:t xml:space="preserve"> spaudim</w:t>
      </w:r>
      <w:r>
        <w:t>u</w:t>
      </w:r>
      <w:r w:rsidRPr="00F24DF4">
        <w:t xml:space="preserve"> </w:t>
      </w:r>
      <w:r>
        <w:t>Komisijai,</w:t>
      </w:r>
      <w:r w:rsidRPr="00F24DF4">
        <w:t xml:space="preserve"> </w:t>
      </w:r>
      <w:r>
        <w:t xml:space="preserve">ir </w:t>
      </w:r>
      <w:r w:rsidRPr="00F24DF4">
        <w:t>nurodė pašalinti pareiškėją iš apylinkės dėl jo netinkamo elgesio.</w:t>
      </w:r>
      <w:r>
        <w:t xml:space="preserve"> </w:t>
      </w:r>
      <w:r w:rsidRPr="00922DC6">
        <w:t>Pareiškėjo teigimu, jis</w:t>
      </w:r>
      <w:r>
        <w:t xml:space="preserve"> iš rinkimų apylinkės</w:t>
      </w:r>
      <w:r w:rsidRPr="00922DC6">
        <w:t xml:space="preserve"> buvo pašalintas už tai, kad nufilmavo šiurkščius </w:t>
      </w:r>
      <w:r>
        <w:t>Komisijos</w:t>
      </w:r>
      <w:r w:rsidRPr="00922DC6">
        <w:t xml:space="preserve"> procedūrinius pažeidimus, įskaitant neteisėtą pertrauką prieš balsų skaičiavimą ir </w:t>
      </w:r>
      <w:r>
        <w:t>Komisijos</w:t>
      </w:r>
      <w:r w:rsidRPr="00922DC6">
        <w:t xml:space="preserve"> pirmininko bandymą neteisėtai išnešti rinkėjų sąrašą iš </w:t>
      </w:r>
      <w:r>
        <w:t xml:space="preserve">balsų skaičiavimo </w:t>
      </w:r>
      <w:r w:rsidRPr="00922DC6">
        <w:t xml:space="preserve">patalpos. </w:t>
      </w:r>
      <w:r>
        <w:t>R</w:t>
      </w:r>
      <w:r w:rsidRPr="00922DC6">
        <w:t>inkimų stebėtojai apie šiuos incidentus pranešė aukštesnei rinkimų institucijai</w:t>
      </w:r>
      <w:r>
        <w:t>, o p</w:t>
      </w:r>
      <w:r w:rsidRPr="00922DC6">
        <w:t xml:space="preserve">areiškėjas savo vaizdo įrašą paskelbė </w:t>
      </w:r>
      <w:r>
        <w:t>internetinėje platformoje „</w:t>
      </w:r>
      <w:r w:rsidRPr="00922DC6">
        <w:t>YouTube</w:t>
      </w:r>
      <w:r>
        <w:t>“</w:t>
      </w:r>
      <w:r w:rsidRPr="00922DC6">
        <w:t>.</w:t>
      </w:r>
    </w:p>
    <w:p w14:paraId="21792D2E" w14:textId="77777777" w:rsidR="008C2A2E" w:rsidRDefault="008C2A2E" w:rsidP="00F87300">
      <w:pPr>
        <w:pStyle w:val="Betarp"/>
        <w:ind w:right="-1" w:firstLine="567"/>
        <w:jc w:val="both"/>
      </w:pPr>
      <w:r>
        <w:t>Nacionaliniai teismai atmetė pareiškėjo skundus dėl jo pašalinimo iš rinkimų apylinkės,</w:t>
      </w:r>
      <w:r w:rsidRPr="00D45CD7">
        <w:t xml:space="preserve"> motyvuodam</w:t>
      </w:r>
      <w:r>
        <w:t>i</w:t>
      </w:r>
      <w:r w:rsidRPr="00D45CD7">
        <w:t>, kad buvo nustatyti du atvejai, kai pareiškėjas filmavo</w:t>
      </w:r>
      <w:r>
        <w:t xml:space="preserve"> </w:t>
      </w:r>
      <w:r w:rsidRPr="00D45CD7">
        <w:t xml:space="preserve">be raštiško </w:t>
      </w:r>
      <w:r>
        <w:t>Komisijos</w:t>
      </w:r>
      <w:r w:rsidRPr="00D45CD7">
        <w:t xml:space="preserve"> narių sutikimo</w:t>
      </w:r>
      <w:r>
        <w:t xml:space="preserve">, taip pažeisdamas nustatytas filmavimo taisykles. </w:t>
      </w:r>
    </w:p>
    <w:p w14:paraId="40C6F0E3" w14:textId="77777777" w:rsidR="008C2A2E" w:rsidRDefault="008C2A2E" w:rsidP="00F87300">
      <w:pPr>
        <w:pStyle w:val="Betarp"/>
        <w:ind w:right="-1" w:firstLine="567"/>
        <w:jc w:val="both"/>
      </w:pPr>
      <w:r w:rsidRPr="00303354">
        <w:t>EŽTT pateiktoje peticijoje pareiškėja</w:t>
      </w:r>
      <w:r>
        <w:t xml:space="preserve">s </w:t>
      </w:r>
      <w:r w:rsidRPr="00303354">
        <w:t>skundėsi</w:t>
      </w:r>
      <w:r>
        <w:t>,</w:t>
      </w:r>
      <w:r w:rsidRPr="006A08BF">
        <w:t xml:space="preserve"> kad jis buvo neteisėtai pašalintas iš rinkimų apylinkės</w:t>
      </w:r>
      <w:r>
        <w:t>, j</w:t>
      </w:r>
      <w:r w:rsidRPr="006A08BF">
        <w:t xml:space="preserve">o teigimu, </w:t>
      </w:r>
      <w:r>
        <w:t>Komisijos</w:t>
      </w:r>
      <w:r w:rsidRPr="006A08BF">
        <w:t xml:space="preserve"> </w:t>
      </w:r>
      <w:r>
        <w:t>patvirtintos filmavimo</w:t>
      </w:r>
      <w:r w:rsidRPr="006A08BF">
        <w:t xml:space="preserve"> taisyklės ribojo stebėtojų teisę filmuoti rinkimų procesą</w:t>
      </w:r>
      <w:r>
        <w:t>, be to, pareiškė</w:t>
      </w:r>
      <w:r w:rsidRPr="006A08BF">
        <w:t xml:space="preserve">jo pašalinimas buvo grindžiamas neaiškiomis ir </w:t>
      </w:r>
      <w:r>
        <w:t xml:space="preserve">teisės aktuose </w:t>
      </w:r>
      <w:r w:rsidRPr="006A08BF">
        <w:t>nenu</w:t>
      </w:r>
      <w:r>
        <w:t>st</w:t>
      </w:r>
      <w:r w:rsidRPr="006A08BF">
        <w:t xml:space="preserve">atytomis </w:t>
      </w:r>
      <w:r>
        <w:t xml:space="preserve">priežastimis, o </w:t>
      </w:r>
      <w:r w:rsidRPr="006A08BF">
        <w:t xml:space="preserve">skundžiama priemonė nebuvo būtina demokratinėje visuomenėje </w:t>
      </w:r>
      <w:r>
        <w:t>bei</w:t>
      </w:r>
      <w:r w:rsidRPr="006A08BF">
        <w:t xml:space="preserve"> pakirto pasitikėjimą rinkimais.</w:t>
      </w:r>
      <w:r>
        <w:t xml:space="preserve"> Dėl šių priežasčių buvo pažeistas </w:t>
      </w:r>
      <w:r w:rsidRPr="00D45CD7">
        <w:t>Konvencijos 10 straipsn</w:t>
      </w:r>
      <w:r>
        <w:t xml:space="preserve">is. </w:t>
      </w:r>
    </w:p>
    <w:p w14:paraId="2B1410A1" w14:textId="77777777" w:rsidR="008C2A2E" w:rsidRDefault="008C2A2E" w:rsidP="00F87300">
      <w:pPr>
        <w:pStyle w:val="Betarp"/>
        <w:ind w:right="-1"/>
        <w:jc w:val="both"/>
      </w:pPr>
    </w:p>
    <w:p w14:paraId="3BCEB400" w14:textId="77777777" w:rsidR="008C2A2E" w:rsidRPr="00536624" w:rsidRDefault="008C2A2E" w:rsidP="00F87300">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03DC30BB" w14:textId="77777777" w:rsidR="008C2A2E" w:rsidRDefault="008C2A2E" w:rsidP="00F87300">
      <w:pPr>
        <w:pStyle w:val="Betarp"/>
        <w:ind w:right="-1"/>
        <w:jc w:val="center"/>
      </w:pPr>
    </w:p>
    <w:p w14:paraId="31462969" w14:textId="77777777" w:rsidR="008C2A2E" w:rsidRDefault="008C2A2E" w:rsidP="00F87300">
      <w:pPr>
        <w:pStyle w:val="Betarp"/>
        <w:ind w:right="-1" w:firstLine="567"/>
        <w:jc w:val="both"/>
      </w:pPr>
      <w:r>
        <w:t xml:space="preserve">EŽTT pažymėjo, jog </w:t>
      </w:r>
      <w:r w:rsidRPr="00A10E48">
        <w:t xml:space="preserve">pareiškėjas rinko informaciją prižiūrėdamas rinkimus kaip politinės partijos paskirtas rinkimų stebėtojas, kad perduotų šią informaciją visuomenei. Tai buvo esminė jo pareigų dalis, kuri atitiko svarbų visuomenės interesą, susijusį su laisvais ir skaidriais rinkimais. </w:t>
      </w:r>
      <w:r>
        <w:t xml:space="preserve">Pareiškėjo </w:t>
      </w:r>
      <w:r w:rsidRPr="00845A89">
        <w:t>pašalinimas iš rinkimų apylinkės neleido jam atlikti rinkimų stebėtojo funkcijų, t. y. tiesiogiai susipažinti su rinkimų procesu ir perduoti savo stebėjimų rezultatus</w:t>
      </w:r>
      <w:r>
        <w:t>, t</w:t>
      </w:r>
      <w:r w:rsidRPr="00845A89">
        <w:t>odėl buvo pažeistos jo teisės, garantuo</w:t>
      </w:r>
      <w:r>
        <w:t>tos</w:t>
      </w:r>
      <w:r w:rsidRPr="00845A89">
        <w:t xml:space="preserve"> Konvencijos 10 straipsn</w:t>
      </w:r>
      <w:r>
        <w:t xml:space="preserve">yje. </w:t>
      </w:r>
      <w:r w:rsidRPr="00845A89">
        <w:t xml:space="preserve">Net darant prielaidą, kad pareiškėjo </w:t>
      </w:r>
      <w:r>
        <w:t>pa</w:t>
      </w:r>
      <w:r w:rsidRPr="00845A89">
        <w:t>šalinimu buvo siekiama užkirsti kelią trukd</w:t>
      </w:r>
      <w:r>
        <w:t>yt</w:t>
      </w:r>
      <w:r w:rsidRPr="00845A89">
        <w:t xml:space="preserve">i </w:t>
      </w:r>
      <w:r>
        <w:t xml:space="preserve">Komisijos </w:t>
      </w:r>
      <w:r w:rsidRPr="00845A89">
        <w:t xml:space="preserve">darbui ir apsaugoti rinkimų dalyvių teises, </w:t>
      </w:r>
      <w:r>
        <w:t>t. y. kad</w:t>
      </w:r>
      <w:r w:rsidRPr="00845A89">
        <w:t xml:space="preserve"> buvo siekiama teisėtų tikslų,</w:t>
      </w:r>
      <w:r>
        <w:t xml:space="preserve"> byloje</w:t>
      </w:r>
      <w:r w:rsidRPr="00845A89">
        <w:t xml:space="preserve"> nebuvo įrodyta, kad toks įsikišimas buvo </w:t>
      </w:r>
      <w:r>
        <w:t>„</w:t>
      </w:r>
      <w:r w:rsidRPr="00845A89">
        <w:t>būtinas demokratinėje visuomenėje</w:t>
      </w:r>
      <w:r>
        <w:t>“</w:t>
      </w:r>
      <w:r w:rsidRPr="00845A89">
        <w:t>.</w:t>
      </w:r>
    </w:p>
    <w:p w14:paraId="6BAF72D0" w14:textId="77777777" w:rsidR="008C2A2E" w:rsidRDefault="008C2A2E" w:rsidP="00F87300">
      <w:pPr>
        <w:pStyle w:val="Betarp"/>
        <w:ind w:right="-1" w:firstLine="567"/>
        <w:jc w:val="both"/>
      </w:pPr>
      <w:r>
        <w:t xml:space="preserve">EŽTT vertinimu, </w:t>
      </w:r>
      <w:r w:rsidRPr="006424CA">
        <w:t>pareiškėjo, kaip rinkimų stebėtojo, statusas suteikė jam aukštesnio lygmens apsaugą pagal Konvencijos 10 straipsnį, būtiną veiksmingai atlikti jo, kaip informacijos skleidėjo ir „viešosios tvarkos prievaizdo“, šioje srityje užduotį. Teismas pažymėjo, jog Komisijos sprendime nebuvo pateikta net pagrindinių duomenų apie pareiškėjo netinkamą elgesį. Teismas taip pat atkreipė dėmesį, kad objektyvūs sunkumai, su kuriais susidūrė Komisija dėl sprendimo parengimo operatyvumo, neatleido jos nuo pareigos aprašyti faktines priimto sprendimo aplinkybes. Tokio aprašymo reikėjo siekiant išlaikyti kontrolės eigos skaidrumą, kuris yra svarbi savavališkumo prevencijos garantija ir būtina išsamaus bylos nagrinėjimo sąlyga.</w:t>
      </w:r>
      <w:r>
        <w:t xml:space="preserve"> Faktinių duomenų trūkumas nebuvo pašalintas ir nacionaliniuose teismuose, kuriuose nebuvo nurodyta, kokiu konkrečiu būdu pareiškėjas trukdė Komisijai dirbti, nacionaliniai teismai taip pat neįvertino, kokiu mastu tariamas pareiškėjo netinkamas elgesys trukdė rinkimų procesui bei ar jis buvo toks rimtas, kad galėtų pateisinti stebėtojo pašalinimą iš rinkimų apylinkės, taip atimant iš jo bet kokią galimybę stebėti procesą lemiamu balsų skaičiavimo etapu. </w:t>
      </w:r>
    </w:p>
    <w:p w14:paraId="44D49551" w14:textId="77777777" w:rsidR="008C2A2E" w:rsidRDefault="008C2A2E" w:rsidP="00F87300">
      <w:pPr>
        <w:pStyle w:val="Betarp"/>
        <w:ind w:right="-1" w:firstLine="567"/>
        <w:jc w:val="both"/>
      </w:pPr>
      <w:r>
        <w:t>Atsižvelgęs į nustatytas aplinkybes, EŽTT konstatavo, kad valdžios institucijos nepateikė jokių svarbių ir pakankamų byloje ginčytos priemonės taikymo priežasčių, todėl buvo pažeistas Konvencijos 10 straipsnis.</w:t>
      </w:r>
    </w:p>
    <w:p w14:paraId="2A7112BA" w14:textId="77777777" w:rsidR="008C2A2E" w:rsidRDefault="008C2A2E" w:rsidP="00F87300">
      <w:pPr>
        <w:pStyle w:val="Betarp"/>
        <w:ind w:right="-1" w:firstLine="567"/>
        <w:jc w:val="both"/>
      </w:pPr>
    </w:p>
    <w:p w14:paraId="4EE83C4A" w14:textId="77777777" w:rsidR="008C2A2E" w:rsidRDefault="008C2A2E" w:rsidP="00F87300">
      <w:pPr>
        <w:pStyle w:val="Betarp"/>
        <w:ind w:right="-1" w:firstLine="567"/>
        <w:jc w:val="both"/>
      </w:pPr>
      <w:r>
        <w:t>Išvada: n</w:t>
      </w:r>
      <w:r w:rsidRPr="006B54B1">
        <w:t xml:space="preserve">ustatytas Konvencijos </w:t>
      </w:r>
      <w:r>
        <w:t>10</w:t>
      </w:r>
      <w:r w:rsidRPr="006B54B1">
        <w:t xml:space="preserve"> straipsni</w:t>
      </w:r>
      <w:r>
        <w:t>o</w:t>
      </w:r>
      <w:r w:rsidRPr="006B54B1">
        <w:t xml:space="preserve"> pažeidimas (</w:t>
      </w:r>
      <w:r>
        <w:t>6 balsai prieš 1</w:t>
      </w:r>
      <w:r w:rsidRPr="006B54B1">
        <w:t>).</w:t>
      </w:r>
    </w:p>
    <w:p w14:paraId="3E5DD11A" w14:textId="77777777" w:rsidR="008C2A2E" w:rsidRDefault="008C2A2E" w:rsidP="00F87300">
      <w:pPr>
        <w:pStyle w:val="Betarp"/>
        <w:ind w:right="-1" w:firstLine="567"/>
        <w:jc w:val="both"/>
      </w:pPr>
      <w:r>
        <w:t>41 straipsnis: priteista 2</w:t>
      </w:r>
      <w:r w:rsidRPr="00270608">
        <w:t xml:space="preserve"> 000 Eur neturtinei žalai</w:t>
      </w:r>
      <w:r>
        <w:t xml:space="preserve"> </w:t>
      </w:r>
      <w:r w:rsidRPr="00270608">
        <w:t>atlyginti</w:t>
      </w:r>
      <w:r>
        <w:t>.</w:t>
      </w:r>
    </w:p>
    <w:p w14:paraId="302BB3B4" w14:textId="77777777" w:rsidR="008C2A2E" w:rsidRDefault="008C2A2E" w:rsidP="00F87300">
      <w:pPr>
        <w:pStyle w:val="Betarp"/>
        <w:ind w:right="-1" w:firstLine="567"/>
        <w:jc w:val="both"/>
      </w:pPr>
      <w:r w:rsidRPr="00EE0FC1">
        <w:t>Pateikta atskiroji nuomonė.</w:t>
      </w:r>
    </w:p>
    <w:p w14:paraId="1799D164" w14:textId="77777777" w:rsidR="008C2A2E" w:rsidRDefault="00000000" w:rsidP="00F87300">
      <w:pPr>
        <w:pStyle w:val="Betarp"/>
        <w:ind w:right="-1" w:firstLine="567"/>
        <w:jc w:val="both"/>
      </w:pPr>
      <w:hyperlink r:id="rId21" w:history="1">
        <w:r w:rsidR="008C2A2E" w:rsidRPr="00795B24">
          <w:rPr>
            <w:rStyle w:val="Hipersaitas"/>
          </w:rPr>
          <w:t>Prieiga internete</w:t>
        </w:r>
      </w:hyperlink>
    </w:p>
    <w:p w14:paraId="0302AA5F" w14:textId="77777777" w:rsidR="008C2A2E" w:rsidRDefault="008C2A2E" w:rsidP="00F87300">
      <w:pPr>
        <w:pStyle w:val="Betarp"/>
        <w:ind w:right="-1" w:firstLine="567"/>
        <w:jc w:val="both"/>
      </w:pPr>
    </w:p>
    <w:p w14:paraId="5D61431E" w14:textId="77777777" w:rsidR="007E4586" w:rsidRPr="007E4586" w:rsidRDefault="007E4586"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7E4586">
        <w:rPr>
          <w:rFonts w:ascii="Calibri" w:eastAsia="Times New Roman" w:hAnsi="Calibri" w:cs="Calibri"/>
          <w:b/>
        </w:rPr>
        <w:lastRenderedPageBreak/>
        <w:t>Europos Žmogaus Teisių Teismo 2022 m. rugsėjo 15 d. sprendimas byloje</w:t>
      </w:r>
    </w:p>
    <w:p w14:paraId="7758B5F4" w14:textId="77777777" w:rsidR="007E4586" w:rsidRPr="007E4586" w:rsidRDefault="007E4586" w:rsidP="006424CA">
      <w:pPr>
        <w:keepNext/>
        <w:keepLines/>
        <w:spacing w:after="0" w:line="240" w:lineRule="auto"/>
        <w:ind w:right="-1"/>
        <w:jc w:val="center"/>
        <w:outlineLvl w:val="1"/>
        <w:rPr>
          <w:rFonts w:ascii="Calibri" w:eastAsia="Times New Roman" w:hAnsi="Calibri" w:cs="Times New Roman"/>
          <w:b/>
          <w:bCs/>
          <w:i/>
          <w:iCs/>
          <w:color w:val="2E74B5"/>
        </w:rPr>
      </w:pPr>
      <w:bookmarkStart w:id="41" w:name="_Toc141446371"/>
      <w:r w:rsidRPr="007E4586">
        <w:rPr>
          <w:rFonts w:ascii="Calibri" w:eastAsia="Times New Roman" w:hAnsi="Calibri" w:cs="Times New Roman"/>
          <w:b/>
          <w:bCs/>
          <w:i/>
          <w:iCs/>
          <w:color w:val="2E74B5"/>
        </w:rPr>
        <w:t>Rabczewska prieš Lenkiją</w:t>
      </w:r>
      <w:bookmarkEnd w:id="41"/>
    </w:p>
    <w:p w14:paraId="21494C9A" w14:textId="77777777" w:rsidR="007E4586" w:rsidRPr="007E4586" w:rsidRDefault="007E4586"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7E4586">
        <w:rPr>
          <w:rFonts w:ascii="Calibri" w:eastAsia="Times New Roman" w:hAnsi="Calibri" w:cs="Calibri"/>
          <w:b/>
        </w:rPr>
        <w:t>(pareiškimo Nr. 8257/13, svarbos lygis – 2)</w:t>
      </w:r>
    </w:p>
    <w:p w14:paraId="140C6645" w14:textId="77777777" w:rsidR="007E4586" w:rsidRPr="007E4586" w:rsidRDefault="007E4586" w:rsidP="00F87300">
      <w:pPr>
        <w:pBdr>
          <w:top w:val="nil"/>
          <w:left w:val="nil"/>
          <w:bottom w:val="nil"/>
          <w:right w:val="nil"/>
          <w:between w:val="nil"/>
        </w:pBdr>
        <w:tabs>
          <w:tab w:val="left" w:pos="851"/>
        </w:tabs>
        <w:spacing w:after="0" w:line="240" w:lineRule="auto"/>
        <w:ind w:right="-1"/>
        <w:jc w:val="both"/>
        <w:rPr>
          <w:rFonts w:ascii="Calibri" w:eastAsia="Times New Roman" w:hAnsi="Calibri" w:cs="Calibri"/>
          <w:color w:val="000000"/>
          <w:highlight w:val="yellow"/>
        </w:rPr>
      </w:pPr>
    </w:p>
    <w:p w14:paraId="3ABC32FE" w14:textId="77777777" w:rsidR="007E4586" w:rsidRPr="007E4586" w:rsidRDefault="007E4586" w:rsidP="00F87300">
      <w:pPr>
        <w:keepNext/>
        <w:keepLines/>
        <w:spacing w:after="0" w:line="240" w:lineRule="auto"/>
        <w:ind w:right="-1" w:firstLine="567"/>
        <w:jc w:val="both"/>
        <w:outlineLvl w:val="2"/>
        <w:rPr>
          <w:rFonts w:ascii="Calibri" w:eastAsia="Times New Roman" w:hAnsi="Calibri" w:cs="Times New Roman"/>
          <w:i/>
          <w:szCs w:val="24"/>
        </w:rPr>
      </w:pPr>
      <w:bookmarkStart w:id="42" w:name="_Toc141446372"/>
      <w:r w:rsidRPr="007E4586">
        <w:rPr>
          <w:rFonts w:ascii="Calibri" w:eastAsia="Times New Roman" w:hAnsi="Calibri" w:cs="Times New Roman"/>
          <w:i/>
          <w:szCs w:val="24"/>
        </w:rPr>
        <w:t>Dėl interviu metu išsakytų teiginių apie Bibliją, kurie galėjo įžeisti tikinčiųjų jausmus</w:t>
      </w:r>
      <w:bookmarkEnd w:id="42"/>
    </w:p>
    <w:p w14:paraId="60FD1084" w14:textId="77777777" w:rsidR="007E4586" w:rsidRPr="007E4586" w:rsidRDefault="007E4586"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highlight w:val="yellow"/>
        </w:rPr>
      </w:pPr>
    </w:p>
    <w:p w14:paraId="676F746A" w14:textId="77777777" w:rsidR="007E4586" w:rsidRPr="007E4586" w:rsidRDefault="007E4586"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7E4586">
        <w:rPr>
          <w:rFonts w:ascii="Calibri" w:eastAsia="Times New Roman" w:hAnsi="Calibri" w:cs="Calibri"/>
          <w:b/>
          <w:bCs/>
          <w:color w:val="000000"/>
        </w:rPr>
        <w:t>Faktinės aplinkybės</w:t>
      </w:r>
    </w:p>
    <w:p w14:paraId="39D1E5E4" w14:textId="77777777" w:rsidR="007E4586" w:rsidRPr="007E4586" w:rsidRDefault="007E4586"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highlight w:val="yellow"/>
        </w:rPr>
      </w:pPr>
    </w:p>
    <w:p w14:paraId="446D3E6F" w14:textId="75DAEE6B" w:rsidR="007E4586" w:rsidRPr="007E4586" w:rsidRDefault="007E4586" w:rsidP="00F87300">
      <w:pPr>
        <w:spacing w:after="0" w:line="240" w:lineRule="auto"/>
        <w:ind w:right="-1" w:firstLine="567"/>
        <w:jc w:val="both"/>
        <w:rPr>
          <w:rFonts w:ascii="Calibri" w:eastAsia="Times New Roman" w:hAnsi="Calibri" w:cs="Calibri"/>
          <w:color w:val="000000"/>
          <w:highlight w:val="yellow"/>
        </w:rPr>
      </w:pPr>
      <w:r w:rsidRPr="007E4586">
        <w:rPr>
          <w:rFonts w:ascii="Calibri" w:eastAsia="Times New Roman" w:hAnsi="Calibri" w:cs="Calibri"/>
          <w:color w:val="000000"/>
        </w:rPr>
        <w:t>Populiari dainininkė Doda interviu naujienų tinklalapiui, kuris vėliau buvo perspausdintas bulvariniame leidinyje su antrašte „Doda: netikiu Biblija“, pasisakė apie Bibliją ir jos autorius. Atsakydama į jai užduotą klausimą apie tikėjimą</w:t>
      </w:r>
      <w:r w:rsidR="00EF6497">
        <w:rPr>
          <w:rFonts w:ascii="Calibri" w:eastAsia="Times New Roman" w:hAnsi="Calibri" w:cs="Calibri"/>
          <w:color w:val="000000"/>
        </w:rPr>
        <w:t xml:space="preserve"> ji</w:t>
      </w:r>
      <w:r w:rsidRPr="007E4586">
        <w:rPr>
          <w:rFonts w:ascii="Calibri" w:eastAsia="Times New Roman" w:hAnsi="Calibri" w:cs="Calibri"/>
          <w:color w:val="000000"/>
        </w:rPr>
        <w:t xml:space="preserve"> pabrėžė, kad tiki aukštesniąja galia ir buvo auginama religingai, tačiau ją labiau įtikina moksliniai atradimai, o ne tai, ką ji apibūdino kaip „nuo vyno gėrimo ir kažkokios žolės rūkymo apsvaigusio žmogaus raštus“. Dviem asmenims pateikus skundą prokurorui, galiausiai pareiškėja teismų pripažinta įžeidusia tikinčiųjų jausmus ir nubausta pinigine bauda.</w:t>
      </w:r>
    </w:p>
    <w:p w14:paraId="2E0103AA" w14:textId="77777777" w:rsidR="007E4586" w:rsidRPr="007E4586" w:rsidRDefault="007E4586" w:rsidP="00F87300">
      <w:pPr>
        <w:spacing w:after="0" w:line="240" w:lineRule="auto"/>
        <w:ind w:right="-1" w:firstLine="567"/>
        <w:jc w:val="both"/>
        <w:rPr>
          <w:rFonts w:ascii="Calibri" w:eastAsia="Times New Roman" w:hAnsi="Calibri" w:cs="Calibri"/>
          <w:color w:val="000000"/>
        </w:rPr>
      </w:pPr>
      <w:r w:rsidRPr="007E4586">
        <w:rPr>
          <w:rFonts w:ascii="Calibri" w:eastAsia="Times New Roman" w:hAnsi="Calibri" w:cs="Calibri"/>
          <w:color w:val="000000"/>
        </w:rPr>
        <w:t>Pareiškėja, remdamasi Konvencijos 10 straipsniu, kreipėsi į Teismą.</w:t>
      </w:r>
    </w:p>
    <w:p w14:paraId="77F65457" w14:textId="77777777" w:rsidR="007E4586" w:rsidRPr="007E4586" w:rsidRDefault="007E4586" w:rsidP="00F87300">
      <w:pPr>
        <w:spacing w:after="0" w:line="240" w:lineRule="auto"/>
        <w:ind w:right="-1" w:firstLine="567"/>
        <w:jc w:val="both"/>
        <w:rPr>
          <w:rFonts w:ascii="Calibri" w:eastAsia="Calibri" w:hAnsi="Calibri" w:cs="Calibri"/>
          <w:highlight w:val="yellow"/>
        </w:rPr>
      </w:pPr>
    </w:p>
    <w:p w14:paraId="400E87AA" w14:textId="77777777" w:rsidR="007E4586" w:rsidRPr="007E4586" w:rsidRDefault="007E4586" w:rsidP="00F87300">
      <w:pPr>
        <w:shd w:val="clear" w:color="auto" w:fill="FFFFFF"/>
        <w:spacing w:after="0" w:line="240" w:lineRule="auto"/>
        <w:ind w:right="-1"/>
        <w:jc w:val="center"/>
        <w:rPr>
          <w:rFonts w:ascii="Calibri" w:eastAsia="Times New Roman" w:hAnsi="Calibri" w:cs="Calibri"/>
          <w:b/>
          <w:bCs/>
          <w:color w:val="000000"/>
        </w:rPr>
      </w:pPr>
      <w:r w:rsidRPr="007E4586">
        <w:rPr>
          <w:rFonts w:ascii="Calibri" w:eastAsia="Times New Roman" w:hAnsi="Calibri" w:cs="Calibri"/>
          <w:b/>
          <w:bCs/>
          <w:color w:val="000000"/>
        </w:rPr>
        <w:t>Neoficiali Teismo sprendimo apžvalga</w:t>
      </w:r>
    </w:p>
    <w:p w14:paraId="08775A8E" w14:textId="77777777" w:rsidR="007E4586" w:rsidRPr="007E4586" w:rsidRDefault="007E4586" w:rsidP="00F87300">
      <w:pPr>
        <w:spacing w:after="0" w:line="240" w:lineRule="auto"/>
        <w:ind w:right="-1" w:firstLine="567"/>
        <w:jc w:val="both"/>
        <w:rPr>
          <w:rFonts w:ascii="Calibri" w:eastAsia="Calibri" w:hAnsi="Calibri" w:cs="Calibri"/>
          <w:highlight w:val="yellow"/>
        </w:rPr>
      </w:pPr>
    </w:p>
    <w:p w14:paraId="65D9AC3C" w14:textId="1655F977" w:rsidR="007E4586" w:rsidRPr="007E4586" w:rsidRDefault="00EF6497" w:rsidP="00F87300">
      <w:pPr>
        <w:spacing w:after="0" w:line="240" w:lineRule="auto"/>
        <w:ind w:right="-1" w:firstLine="567"/>
        <w:jc w:val="both"/>
        <w:rPr>
          <w:rFonts w:ascii="Calibri" w:eastAsia="Times New Roman" w:hAnsi="Calibri" w:cs="Calibri"/>
          <w:color w:val="000000"/>
        </w:rPr>
      </w:pPr>
      <w:r>
        <w:rPr>
          <w:rFonts w:ascii="Calibri" w:eastAsia="Times New Roman" w:hAnsi="Calibri" w:cs="Calibri"/>
          <w:color w:val="000000"/>
        </w:rPr>
        <w:t xml:space="preserve">Šiomis aplinkybėmis </w:t>
      </w:r>
      <w:r w:rsidR="007E4586" w:rsidRPr="007E4586">
        <w:rPr>
          <w:rFonts w:ascii="Calibri" w:eastAsia="Times New Roman" w:hAnsi="Calibri" w:cs="Calibri"/>
          <w:color w:val="000000"/>
        </w:rPr>
        <w:t xml:space="preserve">EŽTT vertino </w:t>
      </w:r>
      <w:r>
        <w:rPr>
          <w:rFonts w:ascii="Calibri" w:eastAsia="Times New Roman" w:hAnsi="Calibri" w:cs="Calibri"/>
          <w:color w:val="000000"/>
        </w:rPr>
        <w:t>konkuruojančius</w:t>
      </w:r>
      <w:r w:rsidR="007E4586" w:rsidRPr="007E4586">
        <w:rPr>
          <w:rFonts w:ascii="Calibri" w:eastAsia="Times New Roman" w:hAnsi="Calibri" w:cs="Calibri"/>
          <w:color w:val="000000"/>
        </w:rPr>
        <w:t xml:space="preserve"> interesus – pareiškėjos teisę į saviraiškos laisvę, kuri buvo apribota pareiškėją nuteisus baudžiamąja tvarka, ir kitų asmenų religinių jausmų apsaugą. Teismas priminė, jog tai, kad Europoje nėra vienodos sampratos dėl kitų asmenų teisių apsaugos, susijusių su išpuoliais prieš jų religinius įsitikinimus, reiškia, kad valstybės turi didesnę vertinimo laisvę reguliuodamos saviraiškos laisvę klausimais, galinčiais įžeisti intymius asmeninius įsitikinimus moralės ar religijos srityje.</w:t>
      </w:r>
    </w:p>
    <w:p w14:paraId="6AB171E8" w14:textId="77777777" w:rsidR="007E4586" w:rsidRPr="007E4586" w:rsidRDefault="007E4586" w:rsidP="00F87300">
      <w:pPr>
        <w:spacing w:after="0" w:line="240" w:lineRule="auto"/>
        <w:ind w:right="-1" w:firstLine="567"/>
        <w:jc w:val="both"/>
        <w:rPr>
          <w:rFonts w:ascii="Calibri" w:eastAsia="Times New Roman" w:hAnsi="Calibri" w:cs="Calibri"/>
          <w:color w:val="000000"/>
        </w:rPr>
      </w:pPr>
      <w:r w:rsidRPr="007E4586">
        <w:rPr>
          <w:rFonts w:ascii="Calibri" w:eastAsia="Times New Roman" w:hAnsi="Calibri" w:cs="Calibri"/>
          <w:color w:val="000000"/>
        </w:rPr>
        <w:t>Vertinti pareiškėjos teiginiai buvo atsakymas į žurnalisto klausimą apie jos asmeninį gyvenimą, į auditoriją ji kreipėsi jos bendravimo stilių atitinkančia kalba, sąmoningai lengvabūdiška ir spalvinga, siekdama sukelti susidomėjimą, tačiau neteigė esanti šios srities ekspertė, žurnalistė ar istorikė. Nacionaliniai teismai, išsamiai analizavę pareiškėjos atsakymo formuluotę, tinkamai neįvertino, ar jis buvo faktinis teiginys, ar vertybinis vertinimas; taip pat kruopščiai nepasvėrė konkuruojančių interesų ir neaptarė Konvencijoje nustatytų leistinų religinių doktrinų kritikos ir jų menkinimo ribų. Be to, nebuvo vertinta, ar pareiškėjos teiginiai galėjo sukelti pagrįstą pasipiktinimą, kurstyti neapykantą ar kitaip trikdyti religinę taiką ir toleranciją Lenkijoje, veikiau nacionalinės teisės akto nuostata inkriminavo bet kokį elgesį, galintį įžeisti religinius jausmus, neatsižvelgiant į tai, ar gali kilti grėsmė viešajai tvarkai.</w:t>
      </w:r>
    </w:p>
    <w:p w14:paraId="346BB1A4" w14:textId="77777777" w:rsidR="007E4586" w:rsidRPr="007E4586" w:rsidRDefault="007E4586" w:rsidP="00F87300">
      <w:pPr>
        <w:spacing w:after="0" w:line="240" w:lineRule="auto"/>
        <w:ind w:right="-1" w:firstLine="567"/>
        <w:jc w:val="both"/>
        <w:rPr>
          <w:rFonts w:ascii="Calibri" w:eastAsia="Times New Roman" w:hAnsi="Calibri" w:cs="Calibri"/>
          <w:color w:val="000000"/>
        </w:rPr>
      </w:pPr>
      <w:r w:rsidRPr="007E4586">
        <w:rPr>
          <w:rFonts w:ascii="Calibri" w:eastAsia="Times New Roman" w:hAnsi="Calibri" w:cs="Calibri"/>
          <w:color w:val="000000"/>
        </w:rPr>
        <w:t>Neįrodyta, kad įsikišimas buvo būtinas pagal valstybės pozityvius įsipareigojimus pagal Konvencijos 9 straipsnį, siekiant užtikrinti taikų religinių ir nereliginių grupių ir asmenų sambūvį, užtikrinant abipusės tolerancijos atmosferą. Pareiškėjos atsakymas nebuvo netinkamas ar įžeidžiantis išpuolis prieš religinės pagarbos objektą, galintis kurstyti religinę netoleranciją. Teismas dėmesį atkreipė ir į tai, kad baudžiamasis procesas buvo tęsiamas net ir po to, kai pareiškėja su vienu iš skundo teikėjų susitaikė, ir į tai, kad jai buvo skirta 1 160 Eur bauda, penkiasdešimt kartų viršijusi minimalios baudos dydį, todėl nebuvo galima daryti išvados, kad paskirta sankcija buvo nereikšminga. Todėl, nepaisant plačios diskrecijos vertinant pareiškėjos veiksmus laisvės, šalies institucijos nepateikė pakankamų priežasčių, pateisinusių kišimąsi į jos saviraiškos laisvę.</w:t>
      </w:r>
    </w:p>
    <w:p w14:paraId="228AAAAF" w14:textId="77777777" w:rsidR="007E4586" w:rsidRPr="007E4586" w:rsidRDefault="007E4586" w:rsidP="00F87300">
      <w:pPr>
        <w:spacing w:after="0" w:line="240" w:lineRule="auto"/>
        <w:ind w:right="-1" w:firstLine="567"/>
        <w:jc w:val="both"/>
        <w:rPr>
          <w:rFonts w:ascii="Calibri" w:eastAsia="Times New Roman" w:hAnsi="Calibri" w:cs="Calibri"/>
          <w:b/>
          <w:bCs/>
          <w:color w:val="000000"/>
          <w:highlight w:val="yellow"/>
        </w:rPr>
      </w:pPr>
    </w:p>
    <w:p w14:paraId="3CC2C7B4" w14:textId="77777777" w:rsidR="007E4586" w:rsidRPr="007E4586" w:rsidRDefault="007E4586" w:rsidP="00F87300">
      <w:pPr>
        <w:spacing w:after="0" w:line="240" w:lineRule="auto"/>
        <w:ind w:right="-1" w:firstLine="567"/>
        <w:jc w:val="both"/>
        <w:rPr>
          <w:rFonts w:ascii="Calibri" w:eastAsia="Calibri" w:hAnsi="Calibri" w:cs="Calibri"/>
        </w:rPr>
      </w:pPr>
      <w:r w:rsidRPr="007E4586">
        <w:rPr>
          <w:rFonts w:ascii="Calibri" w:eastAsia="Calibri" w:hAnsi="Calibri" w:cs="Calibri"/>
        </w:rPr>
        <w:t>Išvada: nustatytas Konvencijos 10 straipsnio pažeidimas (6 balsais prieš 1).</w:t>
      </w:r>
    </w:p>
    <w:p w14:paraId="17740CD9" w14:textId="2DBDA496" w:rsidR="007E4586" w:rsidRPr="007E4586" w:rsidRDefault="007E4586" w:rsidP="00F87300">
      <w:pPr>
        <w:spacing w:after="0" w:line="240" w:lineRule="auto"/>
        <w:ind w:right="-1" w:firstLine="567"/>
        <w:jc w:val="both"/>
        <w:rPr>
          <w:rFonts w:ascii="Calibri" w:eastAsia="Calibri" w:hAnsi="Calibri" w:cs="Calibri"/>
        </w:rPr>
      </w:pPr>
      <w:r w:rsidRPr="007E4586">
        <w:rPr>
          <w:rFonts w:ascii="Calibri" w:eastAsia="Calibri" w:hAnsi="Calibri" w:cs="Calibri"/>
        </w:rPr>
        <w:t>41 straipsnis: pareiškėjai priteista 10 000 Eur neturtinės žalos suma.</w:t>
      </w:r>
    </w:p>
    <w:p w14:paraId="5A1DAD1C" w14:textId="77777777" w:rsidR="007E4586" w:rsidRPr="007E4586" w:rsidRDefault="00000000" w:rsidP="00F87300">
      <w:pPr>
        <w:spacing w:after="0" w:line="240" w:lineRule="auto"/>
        <w:ind w:right="-1" w:firstLine="567"/>
        <w:jc w:val="both"/>
        <w:rPr>
          <w:rFonts w:ascii="Calibri" w:eastAsia="Calibri" w:hAnsi="Calibri" w:cs="Calibri"/>
          <w:color w:val="0000FF"/>
          <w:u w:val="single"/>
        </w:rPr>
      </w:pPr>
      <w:hyperlink r:id="rId22" w:history="1">
        <w:r w:rsidR="007E4586" w:rsidRPr="007E4586">
          <w:rPr>
            <w:rFonts w:ascii="Calibri" w:eastAsia="Calibri" w:hAnsi="Calibri" w:cs="Calibri"/>
            <w:color w:val="0000FF"/>
            <w:u w:val="single"/>
          </w:rPr>
          <w:t>Prieiga internete</w:t>
        </w:r>
      </w:hyperlink>
    </w:p>
    <w:p w14:paraId="4586BF2F" w14:textId="77777777" w:rsidR="007E4586" w:rsidRPr="007F58DB" w:rsidRDefault="007E4586" w:rsidP="00F87300">
      <w:pPr>
        <w:pStyle w:val="Betarp"/>
        <w:ind w:right="-1" w:firstLine="567"/>
        <w:jc w:val="both"/>
      </w:pPr>
    </w:p>
    <w:p w14:paraId="184EA51A" w14:textId="77777777" w:rsidR="008C2A2E" w:rsidRPr="00EC0AA7" w:rsidRDefault="008C2A2E" w:rsidP="00F87300">
      <w:pPr>
        <w:pStyle w:val="Betarp"/>
        <w:ind w:right="-1"/>
        <w:jc w:val="center"/>
        <w:rPr>
          <w:b/>
          <w:bCs/>
        </w:rPr>
      </w:pPr>
      <w:r w:rsidRPr="00EC0AA7">
        <w:rPr>
          <w:b/>
          <w:bCs/>
        </w:rPr>
        <w:t>Europos Žmogaus Teisių Teismo 202</w:t>
      </w:r>
      <w:r>
        <w:rPr>
          <w:b/>
          <w:bCs/>
        </w:rPr>
        <w:t>2</w:t>
      </w:r>
      <w:r w:rsidRPr="00EC0AA7">
        <w:rPr>
          <w:b/>
          <w:bCs/>
        </w:rPr>
        <w:t xml:space="preserve"> m. </w:t>
      </w:r>
      <w:r>
        <w:rPr>
          <w:b/>
          <w:bCs/>
        </w:rPr>
        <w:t xml:space="preserve">lapkričio 8 </w:t>
      </w:r>
      <w:r w:rsidRPr="00EC0AA7">
        <w:rPr>
          <w:b/>
          <w:bCs/>
        </w:rPr>
        <w:t>d. sprendimas byloje</w:t>
      </w:r>
    </w:p>
    <w:p w14:paraId="1C209ED5" w14:textId="77777777" w:rsidR="008C2A2E" w:rsidRPr="00D94DCC" w:rsidRDefault="008C2A2E" w:rsidP="00EB178E">
      <w:pPr>
        <w:pStyle w:val="Betarp"/>
        <w:ind w:right="-1"/>
        <w:jc w:val="center"/>
        <w:outlineLvl w:val="1"/>
        <w:rPr>
          <w:b/>
          <w:bCs/>
          <w:i/>
          <w:color w:val="2E74B5" w:themeColor="accent1" w:themeShade="BF"/>
        </w:rPr>
      </w:pPr>
      <w:bookmarkStart w:id="43" w:name="_Toc141446373"/>
      <w:r>
        <w:rPr>
          <w:b/>
          <w:bCs/>
          <w:i/>
          <w:color w:val="2E74B5" w:themeColor="accent1" w:themeShade="BF"/>
        </w:rPr>
        <w:t>Ayuso Torres</w:t>
      </w:r>
      <w:r w:rsidRPr="00D94DCC">
        <w:rPr>
          <w:b/>
          <w:bCs/>
          <w:i/>
          <w:color w:val="2E74B5" w:themeColor="accent1" w:themeShade="BF"/>
        </w:rPr>
        <w:t xml:space="preserve"> prieš </w:t>
      </w:r>
      <w:r>
        <w:rPr>
          <w:b/>
          <w:bCs/>
          <w:i/>
          <w:color w:val="2E74B5" w:themeColor="accent1" w:themeShade="BF"/>
        </w:rPr>
        <w:t>Ispaniją</w:t>
      </w:r>
      <w:bookmarkEnd w:id="43"/>
    </w:p>
    <w:p w14:paraId="2A7A0754" w14:textId="77777777" w:rsidR="008C2A2E" w:rsidRPr="00EC0AA7" w:rsidRDefault="008C2A2E" w:rsidP="00F87300">
      <w:pPr>
        <w:pStyle w:val="Betarp"/>
        <w:ind w:right="-1"/>
        <w:jc w:val="center"/>
        <w:rPr>
          <w:b/>
          <w:bCs/>
        </w:rPr>
      </w:pPr>
      <w:r w:rsidRPr="00EC0AA7">
        <w:rPr>
          <w:b/>
          <w:bCs/>
        </w:rPr>
        <w:t xml:space="preserve">(pareiškimo Nr. </w:t>
      </w:r>
      <w:r w:rsidRPr="00AB7950">
        <w:rPr>
          <w:b/>
          <w:bCs/>
        </w:rPr>
        <w:t>74729/17</w:t>
      </w:r>
      <w:r w:rsidRPr="00EB6EF8">
        <w:rPr>
          <w:b/>
          <w:bCs/>
        </w:rPr>
        <w:t xml:space="preserve">, svarbos lygis – </w:t>
      </w:r>
      <w:r>
        <w:rPr>
          <w:b/>
          <w:bCs/>
        </w:rPr>
        <w:t>2</w:t>
      </w:r>
      <w:r w:rsidRPr="00EB6EF8">
        <w:rPr>
          <w:b/>
          <w:bCs/>
        </w:rPr>
        <w:t>)</w:t>
      </w:r>
    </w:p>
    <w:p w14:paraId="2677F2F7" w14:textId="77777777" w:rsidR="008C2A2E" w:rsidRDefault="008C2A2E" w:rsidP="00F87300">
      <w:pPr>
        <w:pStyle w:val="Betarp"/>
        <w:ind w:right="-1"/>
        <w:jc w:val="center"/>
        <w:rPr>
          <w:b/>
          <w:bCs/>
        </w:rPr>
      </w:pPr>
    </w:p>
    <w:p w14:paraId="62B0B237" w14:textId="77777777" w:rsidR="008C2A2E" w:rsidRDefault="008C2A2E" w:rsidP="00EB178E">
      <w:pPr>
        <w:pStyle w:val="Betarp"/>
        <w:ind w:right="-1" w:firstLine="567"/>
        <w:jc w:val="both"/>
        <w:outlineLvl w:val="2"/>
        <w:rPr>
          <w:i/>
          <w:iCs/>
        </w:rPr>
      </w:pPr>
      <w:bookmarkStart w:id="44" w:name="_Toc141446374"/>
      <w:r w:rsidRPr="007F58DB">
        <w:rPr>
          <w:i/>
          <w:iCs/>
        </w:rPr>
        <w:t>Dėl</w:t>
      </w:r>
      <w:r>
        <w:rPr>
          <w:i/>
          <w:iCs/>
        </w:rPr>
        <w:t xml:space="preserve"> mokslinėje diskusijoje išsakytų argumentų įtakos, taikant drausminę atsakomybę</w:t>
      </w:r>
      <w:bookmarkEnd w:id="44"/>
      <w:r>
        <w:rPr>
          <w:i/>
          <w:iCs/>
        </w:rPr>
        <w:t xml:space="preserve"> </w:t>
      </w:r>
    </w:p>
    <w:p w14:paraId="2FB1C292" w14:textId="77777777" w:rsidR="008C2A2E" w:rsidRDefault="008C2A2E" w:rsidP="00F87300">
      <w:pPr>
        <w:pStyle w:val="Betarp"/>
        <w:ind w:right="-1" w:firstLine="567"/>
        <w:jc w:val="both"/>
      </w:pPr>
    </w:p>
    <w:p w14:paraId="518225AB" w14:textId="77777777" w:rsidR="008C2A2E" w:rsidRPr="00B35DC4" w:rsidRDefault="008C2A2E" w:rsidP="00F87300">
      <w:pPr>
        <w:pStyle w:val="Betarp"/>
        <w:ind w:right="-1"/>
        <w:jc w:val="center"/>
        <w:rPr>
          <w:b/>
          <w:bCs/>
        </w:rPr>
      </w:pPr>
      <w:r w:rsidRPr="00B35DC4">
        <w:rPr>
          <w:b/>
          <w:bCs/>
        </w:rPr>
        <w:t>Faktinės aplinkybės</w:t>
      </w:r>
    </w:p>
    <w:p w14:paraId="08EBE7AB" w14:textId="77777777" w:rsidR="008C2A2E" w:rsidRDefault="008C2A2E" w:rsidP="00F87300">
      <w:pPr>
        <w:pStyle w:val="Betarp"/>
        <w:ind w:right="-1"/>
        <w:jc w:val="center"/>
      </w:pPr>
    </w:p>
    <w:p w14:paraId="5D2336BA" w14:textId="77777777" w:rsidR="008C2A2E" w:rsidRDefault="008C2A2E" w:rsidP="00F87300">
      <w:pPr>
        <w:pStyle w:val="Betarp"/>
        <w:ind w:right="-1" w:firstLine="567"/>
        <w:jc w:val="both"/>
      </w:pPr>
      <w:r w:rsidRPr="00F24DF4">
        <w:t>Pareiškėjas</w:t>
      </w:r>
      <w:r>
        <w:t xml:space="preserve"> –</w:t>
      </w:r>
      <w:r w:rsidRPr="00F24DF4">
        <w:t xml:space="preserve"> </w:t>
      </w:r>
      <w:r>
        <w:t>k</w:t>
      </w:r>
      <w:r w:rsidRPr="00C81331">
        <w:t>arinio teisinio korpuso narys, turintis pulkininko leitenanto auditoriaus laipsnį</w:t>
      </w:r>
      <w:r>
        <w:t>,</w:t>
      </w:r>
      <w:r w:rsidRPr="00C81331">
        <w:t xml:space="preserve"> ir konstitucinės teisės profesorius</w:t>
      </w:r>
      <w:r>
        <w:t xml:space="preserve"> – kartu su kitais universiteto dėstytojais dalyvavo diskusijoje</w:t>
      </w:r>
      <w:r w:rsidRPr="00C81331">
        <w:t xml:space="preserve"> televizijos laidoje</w:t>
      </w:r>
      <w:r>
        <w:t xml:space="preserve">, kurioje </w:t>
      </w:r>
      <w:r w:rsidRPr="00C81331">
        <w:t>kalbėjo apie perėjimo nuo karinės diktatūros prie demokratijos procesą Ispanijoje ir apie tai, kodėl, jo nuomone, Ispanijos Konstitucijos ištakos buvo ydingos</w:t>
      </w:r>
      <w:r>
        <w:t>; š</w:t>
      </w:r>
      <w:r w:rsidRPr="00C81331">
        <w:t>ias mintis</w:t>
      </w:r>
      <w:r>
        <w:t xml:space="preserve"> pareiškėjas</w:t>
      </w:r>
      <w:r w:rsidRPr="00C81331">
        <w:t xml:space="preserve"> plėtojo pasitelkdamas akademinius argumentus</w:t>
      </w:r>
      <w:r>
        <w:t>,</w:t>
      </w:r>
      <w:r w:rsidRPr="00C81331">
        <w:t xml:space="preserve"> Ispanijos Konstituciją apibūdino kaip </w:t>
      </w:r>
      <w:r>
        <w:t>„</w:t>
      </w:r>
      <w:r w:rsidRPr="00C81331">
        <w:t>pseudokonstituciją</w:t>
      </w:r>
      <w:r>
        <w:t>“</w:t>
      </w:r>
      <w:r w:rsidRPr="00C81331">
        <w:t>. Pareiškėjas anksčiau buvo parašęs akademinių straipsnių šia tema, kuriuose išreiškė tas pačias mintis.</w:t>
      </w:r>
      <w:r>
        <w:t xml:space="preserve"> Praėjus keliems mėnesiams po minėtos televizijos laidos, </w:t>
      </w:r>
      <w:r w:rsidRPr="004A420E">
        <w:t xml:space="preserve">vienas iš pagrindinių nacionalinių laikraščių paskelbė straipsnį </w:t>
      </w:r>
      <w:r>
        <w:t>„</w:t>
      </w:r>
      <w:r w:rsidRPr="004A420E">
        <w:t>[Gynybos] ministerija skatina karinį teisėją, kuris abejoja Konstitucija</w:t>
      </w:r>
      <w:r>
        <w:t>“</w:t>
      </w:r>
      <w:r w:rsidRPr="004A420E">
        <w:t>, todėl pareiškėjui buvo iškelta karinė drausminė byla, kurioje jis buvo apkaltintas sunkiu nusikaltimu</w:t>
      </w:r>
      <w:r>
        <w:t>. K</w:t>
      </w:r>
      <w:r w:rsidRPr="00EC6E0D">
        <w:t>arinis generolas, kuriam buvo pavesta tirti pareiškėjo bylą, pasiūlė nutraukti procesą</w:t>
      </w:r>
      <w:r>
        <w:t>, nurodydamas, jog</w:t>
      </w:r>
      <w:r w:rsidRPr="00EC6E0D">
        <w:t xml:space="preserve"> pareiškėjas neketino kritikuoti Konstitucijos ir kad ginčijamus komentarus jis išsakė tik akademiniame kontekste, todėl jo pasisakymas nelaik</w:t>
      </w:r>
      <w:r>
        <w:t>ytina</w:t>
      </w:r>
      <w:r w:rsidRPr="00EC6E0D">
        <w:t>s sunkiu nusikaltimu</w:t>
      </w:r>
      <w:r>
        <w:t xml:space="preserve">, </w:t>
      </w:r>
      <w:r w:rsidRPr="00EC6E0D">
        <w:t>pasiūlė nebausti pareiškėjo, motyvuodamas, kad baudžiam</w:t>
      </w:r>
      <w:r>
        <w:t>ajam</w:t>
      </w:r>
      <w:r w:rsidRPr="00EC6E0D">
        <w:t xml:space="preserve"> persekiojim</w:t>
      </w:r>
      <w:r>
        <w:t>ui</w:t>
      </w:r>
      <w:r w:rsidRPr="00EC6E0D">
        <w:t xml:space="preserve"> už nesunkų nusikaltimą </w:t>
      </w:r>
      <w:r>
        <w:t>buvo suėjęs</w:t>
      </w:r>
      <w:r w:rsidRPr="00EC6E0D">
        <w:t xml:space="preserve"> senaties terminas.</w:t>
      </w:r>
      <w:r>
        <w:t xml:space="preserve"> Remiantis šiuo pagrindu priimtas sprendimas nutraukti pareiškėjui iškeltą karinę drausmės bylą. Pasibaigus procesui, p</w:t>
      </w:r>
      <w:r w:rsidRPr="001E7930">
        <w:t>areiškėjas</w:t>
      </w:r>
      <w:r>
        <w:t xml:space="preserve">, jo paties prašymu, </w:t>
      </w:r>
      <w:r w:rsidRPr="001E7930">
        <w:t xml:space="preserve">buvo </w:t>
      </w:r>
      <w:r>
        <w:t>išleistas į atsargą</w:t>
      </w:r>
      <w:r w:rsidRPr="001E7930">
        <w:t>.</w:t>
      </w:r>
    </w:p>
    <w:p w14:paraId="2AF772D6" w14:textId="28409006" w:rsidR="008C2A2E" w:rsidRDefault="008C2A2E" w:rsidP="00F87300">
      <w:pPr>
        <w:pStyle w:val="Betarp"/>
        <w:ind w:right="-1" w:firstLine="567"/>
        <w:jc w:val="both"/>
      </w:pPr>
      <w:r w:rsidRPr="00454D57">
        <w:t xml:space="preserve">Pareiškėjas sprendimą </w:t>
      </w:r>
      <w:r>
        <w:t xml:space="preserve">nutraukti jo drausmės bylą </w:t>
      </w:r>
      <w:r w:rsidRPr="00454D57">
        <w:t>apskundė Centrini</w:t>
      </w:r>
      <w:r>
        <w:t>am</w:t>
      </w:r>
      <w:r w:rsidRPr="00454D57">
        <w:t xml:space="preserve"> karini</w:t>
      </w:r>
      <w:r>
        <w:t>am</w:t>
      </w:r>
      <w:r w:rsidRPr="00454D57">
        <w:t xml:space="preserve"> teism</w:t>
      </w:r>
      <w:r>
        <w:t>ui</w:t>
      </w:r>
      <w:r w:rsidRPr="00454D57">
        <w:t xml:space="preserve">, prašydamas iš drausminio sprendimo motyvų išbraukti teiginį, kad </w:t>
      </w:r>
      <w:r>
        <w:t>pareiškėjas</w:t>
      </w:r>
      <w:r w:rsidRPr="00454D57">
        <w:t xml:space="preserve"> peržengė kariams suteiktos teisės į saviraiškos laisvę ribas. Centrinis karinis teismas atmetė </w:t>
      </w:r>
      <w:r>
        <w:t xml:space="preserve">pareiškėjo </w:t>
      </w:r>
      <w:r w:rsidRPr="00454D57">
        <w:t>skundą</w:t>
      </w:r>
      <w:r>
        <w:t xml:space="preserve">, </w:t>
      </w:r>
      <w:r w:rsidRPr="00454D57">
        <w:t>nusprend</w:t>
      </w:r>
      <w:r>
        <w:t>ęs</w:t>
      </w:r>
      <w:r w:rsidRPr="00454D57">
        <w:t xml:space="preserve"> nevertinti faktinių bylos aplinkybių, nes pareiškėjui nebuvo paskirta nuobauda</w:t>
      </w:r>
      <w:r>
        <w:t>, kartu pažymėdamas</w:t>
      </w:r>
      <w:r w:rsidRPr="00454D57">
        <w:t xml:space="preserve">, kad </w:t>
      </w:r>
      <w:r>
        <w:t>dėl televizijos laidoje išsakytų teiginių pareiškėjas negalėtų</w:t>
      </w:r>
      <w:r w:rsidRPr="00454D57">
        <w:t xml:space="preserve"> g</w:t>
      </w:r>
      <w:r>
        <w:t>intis</w:t>
      </w:r>
      <w:r w:rsidRPr="00454D57">
        <w:t xml:space="preserve"> teis</w:t>
      </w:r>
      <w:r>
        <w:t>e</w:t>
      </w:r>
      <w:r w:rsidRPr="00454D57">
        <w:t xml:space="preserve"> į saviraiškos laisvę.</w:t>
      </w:r>
      <w:r>
        <w:t xml:space="preserve"> Pareiškėjo skundas dėl šio </w:t>
      </w:r>
      <w:r w:rsidRPr="000C2182">
        <w:t>sprendimo teisminės peržiūros</w:t>
      </w:r>
      <w:r>
        <w:t>, taip pat kasacinis skundas buvo atmesti, motyvuojant teisinio suinteresuotumo nebuvimu.</w:t>
      </w:r>
    </w:p>
    <w:p w14:paraId="71FD397B" w14:textId="77777777" w:rsidR="008C2A2E" w:rsidRDefault="008C2A2E" w:rsidP="00F87300">
      <w:pPr>
        <w:pStyle w:val="Betarp"/>
        <w:ind w:right="-1" w:firstLine="567"/>
        <w:jc w:val="both"/>
      </w:pPr>
      <w:r w:rsidRPr="00303354">
        <w:t>EŽTT pateiktoje peticijoje pareiškėja</w:t>
      </w:r>
      <w:r>
        <w:t xml:space="preserve">s </w:t>
      </w:r>
      <w:r w:rsidRPr="00303354">
        <w:t>skundėsi</w:t>
      </w:r>
      <w:r>
        <w:t>,</w:t>
      </w:r>
      <w:r w:rsidRPr="006A08BF">
        <w:t xml:space="preserve"> </w:t>
      </w:r>
      <w:r>
        <w:t>kad</w:t>
      </w:r>
      <w:r w:rsidRPr="00A434E7">
        <w:t xml:space="preserve"> buvo priverstas atsisakyti karjeros kariuomenėje ir atsidėti tik akademinei veiklai</w:t>
      </w:r>
      <w:r>
        <w:t xml:space="preserve">, tačiau net ir </w:t>
      </w:r>
      <w:r w:rsidRPr="00A434E7">
        <w:t xml:space="preserve">į atsargą </w:t>
      </w:r>
      <w:r>
        <w:t>išleistiems</w:t>
      </w:r>
      <w:r w:rsidRPr="00A434E7">
        <w:t xml:space="preserve"> kariams toliau </w:t>
      </w:r>
      <w:r>
        <w:t xml:space="preserve">yra </w:t>
      </w:r>
      <w:r w:rsidRPr="00A434E7">
        <w:t>taikomas karinis režimas. Todėl</w:t>
      </w:r>
      <w:r>
        <w:t xml:space="preserve"> </w:t>
      </w:r>
      <w:r w:rsidRPr="002C787B">
        <w:t>sprendim</w:t>
      </w:r>
      <w:r>
        <w:t>o</w:t>
      </w:r>
      <w:r w:rsidRPr="002C787B">
        <w:t xml:space="preserve"> dėl </w:t>
      </w:r>
      <w:r>
        <w:t>pareiškė</w:t>
      </w:r>
      <w:r w:rsidRPr="002C787B">
        <w:t xml:space="preserve">jo drausminės nuobaudos teiginys, kad pavartoti išsireiškimai peržengė </w:t>
      </w:r>
      <w:r>
        <w:t>pareiškė</w:t>
      </w:r>
      <w:r w:rsidRPr="002C787B">
        <w:t xml:space="preserve">jo teisės į saviraiškos laisvę ribas, prilygo įspėjimui, kad </w:t>
      </w:r>
      <w:r>
        <w:t>dėl pasisakymų</w:t>
      </w:r>
      <w:r w:rsidRPr="002C787B">
        <w:t xml:space="preserve"> ateityje</w:t>
      </w:r>
      <w:r>
        <w:t xml:space="preserve"> pareiškėjui, atsižvelgiant į jo karinį statusą,</w:t>
      </w:r>
      <w:r w:rsidRPr="002C787B">
        <w:t xml:space="preserve"> gali būti skirta nuobauda</w:t>
      </w:r>
      <w:r>
        <w:t>. T</w:t>
      </w:r>
      <w:r w:rsidRPr="002C787B">
        <w:t xml:space="preserve">ai yra kišimasis į </w:t>
      </w:r>
      <w:r>
        <w:t>pareiškė</w:t>
      </w:r>
      <w:r w:rsidRPr="002C787B">
        <w:t>jo teisę laisvai reikšti savo nuomonę</w:t>
      </w:r>
      <w:r>
        <w:t xml:space="preserve">, pažeidžiant </w:t>
      </w:r>
      <w:r w:rsidRPr="00D45CD7">
        <w:t>Konvencijos 10 straipsn</w:t>
      </w:r>
      <w:r>
        <w:t xml:space="preserve">į. </w:t>
      </w:r>
    </w:p>
    <w:p w14:paraId="1A93174D" w14:textId="77777777" w:rsidR="008C2A2E" w:rsidRDefault="008C2A2E" w:rsidP="00F87300">
      <w:pPr>
        <w:pStyle w:val="Betarp"/>
        <w:ind w:right="-1"/>
        <w:jc w:val="both"/>
      </w:pPr>
    </w:p>
    <w:p w14:paraId="17F1A2F1" w14:textId="77777777" w:rsidR="008C2A2E" w:rsidRPr="00536624" w:rsidRDefault="008C2A2E" w:rsidP="00F87300">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2C04B358" w14:textId="77777777" w:rsidR="008C2A2E" w:rsidRDefault="008C2A2E" w:rsidP="00F87300">
      <w:pPr>
        <w:pStyle w:val="Betarp"/>
        <w:ind w:right="-1"/>
        <w:jc w:val="center"/>
      </w:pPr>
    </w:p>
    <w:p w14:paraId="4B610EDC" w14:textId="77777777" w:rsidR="008C2A2E" w:rsidRDefault="008C2A2E" w:rsidP="00F87300">
      <w:pPr>
        <w:pStyle w:val="Betarp"/>
        <w:ind w:right="-1" w:firstLine="567"/>
        <w:jc w:val="both"/>
      </w:pPr>
      <w:r>
        <w:t xml:space="preserve">EŽTT pažymėjo, jog </w:t>
      </w:r>
      <w:r w:rsidRPr="00A434E7">
        <w:t xml:space="preserve">valstybei turi būti suteikta galimybė riboti saviraiškos laisvę, kai kyla reali grėsmė karinei drausmei, nes tinkamas kariuomenės funkcionavimas sunkiai įsivaizduojamas be teisinių taisyklių, skirtų užkirsti kelią kariškiams </w:t>
      </w:r>
      <w:r>
        <w:t>šia drausmę</w:t>
      </w:r>
      <w:r w:rsidRPr="00A434E7">
        <w:t xml:space="preserve"> pažeisti</w:t>
      </w:r>
      <w:r>
        <w:t>. T</w:t>
      </w:r>
      <w:r w:rsidRPr="00A434E7">
        <w:t>ačiau nacionalinės valdžios institucijos negali remtis tokiomis taisyklėmis, siekdamos užkirsti kelią nuomon</w:t>
      </w:r>
      <w:r>
        <w:t xml:space="preserve">ei </w:t>
      </w:r>
      <w:r w:rsidRPr="00A434E7">
        <w:t>rei</w:t>
      </w:r>
      <w:r>
        <w:t>kšt</w:t>
      </w:r>
      <w:r w:rsidRPr="00A434E7">
        <w:t xml:space="preserve">i, net jei </w:t>
      </w:r>
      <w:r>
        <w:t>tokia nuomonė</w:t>
      </w:r>
      <w:r w:rsidRPr="00A434E7">
        <w:t xml:space="preserve"> nukreipt</w:t>
      </w:r>
      <w:r>
        <w:t>a</w:t>
      </w:r>
      <w:r w:rsidRPr="00A434E7">
        <w:t xml:space="preserve"> prieš kariuomenę</w:t>
      </w:r>
      <w:r>
        <w:t>,</w:t>
      </w:r>
      <w:r w:rsidRPr="00A434E7">
        <w:t xml:space="preserve"> kaip instituciją</w:t>
      </w:r>
      <w:r>
        <w:t>. Todėl</w:t>
      </w:r>
      <w:r w:rsidRPr="00F24B45">
        <w:t xml:space="preserve"> ne kiekvienas kariams taikomas apribojimas gali būti laikomas proporcingu siekiamam tikslui.</w:t>
      </w:r>
      <w:r>
        <w:t xml:space="preserve"> EŽTT atkreipė dėmesį, kad </w:t>
      </w:r>
      <w:r w:rsidRPr="00F24B45">
        <w:t>pareiškėjas, kuris</w:t>
      </w:r>
      <w:r>
        <w:t xml:space="preserve"> buvo ne tik </w:t>
      </w:r>
      <w:r w:rsidRPr="00F24B45">
        <w:t>Ispanijos kariuomenės narys</w:t>
      </w:r>
      <w:r>
        <w:t xml:space="preserve">, bet ir </w:t>
      </w:r>
      <w:r w:rsidRPr="00F24B45">
        <w:t>universiteto profesorius, buvo pakviestas dalyvauti televizijos debatuose, kuri</w:t>
      </w:r>
      <w:r>
        <w:t>ų</w:t>
      </w:r>
      <w:r w:rsidRPr="00F24B45">
        <w:t xml:space="preserve"> tema buvo susijusi su Ispanijos visuomenėje </w:t>
      </w:r>
      <w:r>
        <w:t xml:space="preserve">prieštaringas nuomones keliančiais </w:t>
      </w:r>
      <w:r w:rsidRPr="00F24B45">
        <w:t>klausimai</w:t>
      </w:r>
      <w:r>
        <w:t>s</w:t>
      </w:r>
      <w:r w:rsidRPr="00F24B45">
        <w:t>. Pareiškėjas išsakė savo nuomonę apie Ispanijos Konstituciją</w:t>
      </w:r>
      <w:r>
        <w:t xml:space="preserve">, </w:t>
      </w:r>
      <w:r w:rsidRPr="00F24B45">
        <w:t>jo pasisakymai prisidėjo prie viešų diskusijų visuotinės svarbos klausimu</w:t>
      </w:r>
      <w:r>
        <w:t>, todėl</w:t>
      </w:r>
      <w:r w:rsidRPr="00F24B45">
        <w:t xml:space="preserve"> pareiškėjo teiginiai tur</w:t>
      </w:r>
      <w:r>
        <w:t>ėjo</w:t>
      </w:r>
      <w:r w:rsidRPr="00F24B45">
        <w:t xml:space="preserve"> būti </w:t>
      </w:r>
      <w:r>
        <w:t xml:space="preserve">vertinami </w:t>
      </w:r>
      <w:r w:rsidRPr="00F24B45">
        <w:t xml:space="preserve">konkrečiame kontekste. </w:t>
      </w:r>
      <w:r>
        <w:t>Be to, nors</w:t>
      </w:r>
      <w:r w:rsidRPr="00F24B45">
        <w:t xml:space="preserve"> pareiškėjas nebuvo išrinktas atstovas ir nesakė politinės kalbos </w:t>
      </w:r>
      <w:r w:rsidRPr="00EB68AC">
        <w:rPr>
          <w:i/>
          <w:iCs/>
        </w:rPr>
        <w:t>stricto sensu</w:t>
      </w:r>
      <w:r>
        <w:t xml:space="preserve"> (griežtai kalbant; tiksliai sakant)</w:t>
      </w:r>
      <w:r w:rsidRPr="00F24B45">
        <w:t>, jis išreiškė savo nuomonę klausimais, kurie gali būti laikomi turinčiais politinį pobūdį. Pareiškėjo pareiškimai nereikalavo imtis jokių neatidėliotinų ar kitokių veiksmų, o jų poveikis nesukėlė jokios žalos</w:t>
      </w:r>
      <w:r>
        <w:t>; j</w:t>
      </w:r>
      <w:r w:rsidRPr="00F24B45">
        <w:t xml:space="preserve">ie neturėjo jokio poveikio </w:t>
      </w:r>
      <w:r>
        <w:t>pareiškė</w:t>
      </w:r>
      <w:r w:rsidRPr="00F24B45">
        <w:t>jo tarnybai</w:t>
      </w:r>
      <w:r>
        <w:t xml:space="preserve"> ar </w:t>
      </w:r>
      <w:r w:rsidRPr="00F24B45">
        <w:t xml:space="preserve">įtakos jo, kaip kariuomenės nario, veiklai. Vyriausybė nenurodė nė vieno atvejo, kai pareiškėjas, eidamas pareigas ar kitais būdais, </w:t>
      </w:r>
      <w:r>
        <w:t xml:space="preserve">būtų </w:t>
      </w:r>
      <w:r w:rsidRPr="00F24B45">
        <w:t>elg</w:t>
      </w:r>
      <w:r>
        <w:t>ęsis</w:t>
      </w:r>
      <w:r w:rsidRPr="00F24B45">
        <w:t xml:space="preserve"> smerktinai</w:t>
      </w:r>
      <w:r>
        <w:t xml:space="preserve">. </w:t>
      </w:r>
    </w:p>
    <w:p w14:paraId="6583EA3B" w14:textId="54D38200" w:rsidR="008C2A2E" w:rsidRDefault="008C2A2E" w:rsidP="00F87300">
      <w:pPr>
        <w:pStyle w:val="Betarp"/>
        <w:ind w:right="-1" w:firstLine="567"/>
        <w:jc w:val="both"/>
      </w:pPr>
      <w:r w:rsidRPr="00F24B45">
        <w:t>Atsižvelg</w:t>
      </w:r>
      <w:r>
        <w:t>ę</w:t>
      </w:r>
      <w:r w:rsidRPr="00F24B45">
        <w:t>s į pareiškėjo kari</w:t>
      </w:r>
      <w:r>
        <w:t>škio</w:t>
      </w:r>
      <w:r w:rsidRPr="00F24B45">
        <w:t xml:space="preserve"> statusą, </w:t>
      </w:r>
      <w:r>
        <w:t>EŽTT konstatavo</w:t>
      </w:r>
      <w:r w:rsidRPr="00F24B45">
        <w:t>, kad valstybė atsakovė, vertindama, ar iškelti drausm</w:t>
      </w:r>
      <w:r>
        <w:t>ės</w:t>
      </w:r>
      <w:r w:rsidRPr="00F24B45">
        <w:t xml:space="preserve"> bylą, turėjo teisę atsižvelgti į reikalavimą, kad karinis personalas, vykdydamas savo funkcijas</w:t>
      </w:r>
      <w:r w:rsidR="00E46534">
        <w:t>,</w:t>
      </w:r>
      <w:r w:rsidRPr="00F24B45">
        <w:t xml:space="preserve"> gerbtų ir užtikrintų ypatingą pasitikėjimo ir lojalumo ryšį </w:t>
      </w:r>
      <w:r>
        <w:t>su</w:t>
      </w:r>
      <w:r w:rsidRPr="00F24B45">
        <w:t xml:space="preserve"> valstyb</w:t>
      </w:r>
      <w:r>
        <w:t xml:space="preserve">e. </w:t>
      </w:r>
      <w:r w:rsidRPr="00F24B45">
        <w:t xml:space="preserve">Tačiau šiuo konkrečiu atveju pareiškėjas taip pat buvo universiteto dėstytojas, o ši aplinkybė galėjo sukelti situacijas, kai jo teisė į saviraiškos laisvę </w:t>
      </w:r>
      <w:r>
        <w:t>akademinėje</w:t>
      </w:r>
      <w:r w:rsidRPr="00F24B45">
        <w:t xml:space="preserve"> srityje galėjo susidurti su apribojimais karinėje srityje. </w:t>
      </w:r>
      <w:r>
        <w:t>Teismas pabrėžė</w:t>
      </w:r>
      <w:r w:rsidRPr="00F24B45">
        <w:t xml:space="preserve">, kad pareiškėjui nebuvo kliūčių turėti </w:t>
      </w:r>
      <w:r>
        <w:t>tiek</w:t>
      </w:r>
      <w:r w:rsidRPr="00F24B45">
        <w:t xml:space="preserve"> kariškio, </w:t>
      </w:r>
      <w:r>
        <w:t>tiek</w:t>
      </w:r>
      <w:r w:rsidRPr="00F24B45">
        <w:t xml:space="preserve"> teisės profesoriaus ne karinėje srityje</w:t>
      </w:r>
      <w:r>
        <w:t xml:space="preserve"> statusą</w:t>
      </w:r>
      <w:r w:rsidRPr="00F24B45">
        <w:t xml:space="preserve">. Be to, pareiškėjas ir anksčiau akademinėje sferoje </w:t>
      </w:r>
      <w:r>
        <w:t>reiškė panašias mintis</w:t>
      </w:r>
      <w:r w:rsidRPr="00F24B45">
        <w:t xml:space="preserve">, tačiau tai nesukėlė jokių pasekmių. </w:t>
      </w:r>
      <w:r>
        <w:t>A</w:t>
      </w:r>
      <w:r w:rsidRPr="00F24B45">
        <w:t xml:space="preserve">plinkybės, kuriomis </w:t>
      </w:r>
      <w:r>
        <w:t>pareiškėjas</w:t>
      </w:r>
      <w:r w:rsidRPr="00F24B45">
        <w:t xml:space="preserve"> išsakė pastabas, dėl kurių</w:t>
      </w:r>
      <w:r>
        <w:t xml:space="preserve"> jam</w:t>
      </w:r>
      <w:r w:rsidRPr="00F24B45">
        <w:t xml:space="preserve"> buvo iškelta drausm</w:t>
      </w:r>
      <w:r>
        <w:t>ės</w:t>
      </w:r>
      <w:r w:rsidRPr="00F24B45">
        <w:t xml:space="preserve"> byla, </w:t>
      </w:r>
      <w:r>
        <w:t>susiklostė</w:t>
      </w:r>
      <w:r w:rsidRPr="00F24B45">
        <w:t xml:space="preserve"> akademinėje </w:t>
      </w:r>
      <w:r>
        <w:t>srityje</w:t>
      </w:r>
      <w:r w:rsidRPr="00F24B45">
        <w:t xml:space="preserve">, diskusijoje su kitais </w:t>
      </w:r>
      <w:r w:rsidRPr="00F24B45">
        <w:lastRenderedPageBreak/>
        <w:t>dėstytojais</w:t>
      </w:r>
      <w:r>
        <w:t xml:space="preserve">, </w:t>
      </w:r>
      <w:r w:rsidRPr="00F24B45">
        <w:t>ne kartą pabrėž</w:t>
      </w:r>
      <w:r>
        <w:t>iant, jog tai</w:t>
      </w:r>
      <w:r w:rsidRPr="00F24B45">
        <w:t xml:space="preserve"> pareiškėjo, kaip mokslininko, pozicija</w:t>
      </w:r>
      <w:r>
        <w:t>, tačiau n</w:t>
      </w:r>
      <w:r w:rsidRPr="00F24B45">
        <w:t>acionaliniai teismai</w:t>
      </w:r>
      <w:r>
        <w:t xml:space="preserve"> į tai</w:t>
      </w:r>
      <w:r w:rsidRPr="00F24B45">
        <w:t xml:space="preserve"> tinkama</w:t>
      </w:r>
      <w:r>
        <w:t>i neatsižvelgė</w:t>
      </w:r>
      <w:r w:rsidRPr="00F24B45">
        <w:t xml:space="preserve">. </w:t>
      </w:r>
    </w:p>
    <w:p w14:paraId="10BDD13F" w14:textId="77777777" w:rsidR="008C2A2E" w:rsidRDefault="008C2A2E" w:rsidP="00F87300">
      <w:pPr>
        <w:pStyle w:val="Betarp"/>
        <w:ind w:right="-1" w:firstLine="567"/>
        <w:jc w:val="both"/>
      </w:pPr>
      <w:r>
        <w:t>T</w:t>
      </w:r>
      <w:r w:rsidRPr="00F24B45">
        <w:t>eismas taip pat pažym</w:t>
      </w:r>
      <w:r>
        <w:t>ėjo</w:t>
      </w:r>
      <w:r w:rsidRPr="00F24B45">
        <w:t>, kad drausm</w:t>
      </w:r>
      <w:r>
        <w:t xml:space="preserve">ės </w:t>
      </w:r>
      <w:r w:rsidRPr="00F24B45">
        <w:t xml:space="preserve">byla </w:t>
      </w:r>
      <w:r>
        <w:t xml:space="preserve">pareiškėjui </w:t>
      </w:r>
      <w:r w:rsidRPr="00F24B45">
        <w:t xml:space="preserve">iškelta tik po šešių mėnesių, kai nacionalinis laikraštis perspausdino pareiškėjo pasisakymus. Drausminės institucijos nustatė, kad pareiškėjas nepadarė sunkaus drausminio nusižengimo, nes jo išsakytos nuomonės, nors ir buvo nepagarbios Konstitucijai, nebuvo išreikštos siekiant akivaizdžiai parodyti nepagarbų požiūrį į Konstituciją. Ir nors sprendimuose konstatuota, kad nebūtina vertinti, ar pareiškėjo pavartoti išsireiškimai galėjo būti laikomi nesunkiu pažeidimu, nes yra suėjęs senaties terminas, į </w:t>
      </w:r>
      <w:r>
        <w:t xml:space="preserve">minėtą </w:t>
      </w:r>
      <w:r w:rsidRPr="00F24B45">
        <w:t>tyčios nebuvimą neatsižvelgta, konstatuo</w:t>
      </w:r>
      <w:r>
        <w:t>jant</w:t>
      </w:r>
      <w:r w:rsidRPr="00F24B45">
        <w:t>, kad pareiškėjas peržengė teisės į saviraiškos laisvę ribas</w:t>
      </w:r>
      <w:r>
        <w:t xml:space="preserve">, ir </w:t>
      </w:r>
      <w:r w:rsidRPr="00F24B45">
        <w:t xml:space="preserve">netiesiogiai </w:t>
      </w:r>
      <w:r>
        <w:t xml:space="preserve">pareiškėją </w:t>
      </w:r>
      <w:r w:rsidRPr="00F24B45">
        <w:t>įspė</w:t>
      </w:r>
      <w:r>
        <w:t>jant</w:t>
      </w:r>
      <w:r w:rsidRPr="00F24B45">
        <w:t>, kad už bet kokią jo nuomonę dėl Konstitucijos kilmės, kuri galėtų būti laikoma nepagarbia, nepriklausomai nuo jo ketinimų ją išreiškiant, jam bus taikoma sankcija.</w:t>
      </w:r>
      <w:r>
        <w:t xml:space="preserve"> Taigi, nors pareiškėjui nebuvo skirta nuobauda, pareiškimai, kad jo nuomonė neturi būti saugoma teisės į saviraiškos laisvę, buvo pakankamas papeikimas už nuomonę, pareikštą akademinės diskusijos metu visuotinai svarbiu klausimu. Pareiškėjas buvo įspėtas dėl pareiškimų apie Konstituciją ateityje, neatsižvelgiant į kontekstą ar jo ketinimus, todėl šis įspėjimas dėl būsimo pareiškėjo elgesio pats savaime galėjo turėti įtakos jo saviraiškos laisvei įgyvendinti ir netgi turėti atgrasomąjį poveikį. </w:t>
      </w:r>
    </w:p>
    <w:p w14:paraId="5D11225F" w14:textId="77777777" w:rsidR="008C2A2E" w:rsidRDefault="008C2A2E" w:rsidP="00F87300">
      <w:pPr>
        <w:pStyle w:val="Betarp"/>
        <w:ind w:right="-1" w:firstLine="567"/>
        <w:jc w:val="both"/>
      </w:pPr>
      <w:r>
        <w:t>EŽTT darė išvadą, kad nagrinėtu atveju buvo pažeistas Konvencijos 10 straipsnis.</w:t>
      </w:r>
    </w:p>
    <w:p w14:paraId="75607119" w14:textId="77777777" w:rsidR="008C2A2E" w:rsidRDefault="008C2A2E" w:rsidP="00F87300">
      <w:pPr>
        <w:pStyle w:val="Betarp"/>
        <w:ind w:right="-1"/>
        <w:jc w:val="both"/>
      </w:pPr>
    </w:p>
    <w:p w14:paraId="0FDFBD14" w14:textId="77777777" w:rsidR="008C2A2E" w:rsidRDefault="008C2A2E" w:rsidP="00F87300">
      <w:pPr>
        <w:pStyle w:val="Betarp"/>
        <w:ind w:right="-1" w:firstLine="567"/>
        <w:jc w:val="both"/>
      </w:pPr>
      <w:r>
        <w:t>Išvada: n</w:t>
      </w:r>
      <w:r w:rsidRPr="006B54B1">
        <w:t xml:space="preserve">ustatytas Konvencijos </w:t>
      </w:r>
      <w:r>
        <w:t>10</w:t>
      </w:r>
      <w:r w:rsidRPr="006B54B1">
        <w:t xml:space="preserve"> straipsni</w:t>
      </w:r>
      <w:r>
        <w:t>o</w:t>
      </w:r>
      <w:r w:rsidRPr="006B54B1">
        <w:t xml:space="preserve"> pažeidimas (</w:t>
      </w:r>
      <w:r>
        <w:t>vienbalsiai</w:t>
      </w:r>
      <w:r w:rsidRPr="006B54B1">
        <w:t>).</w:t>
      </w:r>
    </w:p>
    <w:p w14:paraId="15655873" w14:textId="77777777" w:rsidR="008C2A2E" w:rsidRDefault="008C2A2E" w:rsidP="00F87300">
      <w:pPr>
        <w:pStyle w:val="Betarp"/>
        <w:ind w:right="-1" w:firstLine="567"/>
        <w:jc w:val="both"/>
      </w:pPr>
      <w:r>
        <w:t>41 straipsnis: priteista 4</w:t>
      </w:r>
      <w:r w:rsidRPr="00270608">
        <w:t xml:space="preserve"> 000 Eur neturtinei žalai</w:t>
      </w:r>
      <w:r>
        <w:t xml:space="preserve"> ir 4 000 Eur bylinėjimosi išlaidoms </w:t>
      </w:r>
      <w:r w:rsidRPr="00270608">
        <w:t>atlyginti</w:t>
      </w:r>
      <w:r>
        <w:t>.</w:t>
      </w:r>
    </w:p>
    <w:p w14:paraId="235C034F" w14:textId="70DDF755" w:rsidR="008C2A2E" w:rsidRDefault="00000000" w:rsidP="00F87300">
      <w:pPr>
        <w:pStyle w:val="Betarp"/>
        <w:ind w:right="-1" w:firstLine="567"/>
        <w:jc w:val="both"/>
        <w:rPr>
          <w:rStyle w:val="Hipersaitas"/>
        </w:rPr>
      </w:pPr>
      <w:hyperlink r:id="rId23" w:history="1">
        <w:r w:rsidR="008C2A2E" w:rsidRPr="00795B24">
          <w:rPr>
            <w:rStyle w:val="Hipersaitas"/>
          </w:rPr>
          <w:t>Prieiga internete</w:t>
        </w:r>
      </w:hyperlink>
    </w:p>
    <w:p w14:paraId="46B08561" w14:textId="77777777" w:rsidR="005B6CFC" w:rsidRDefault="005B6CFC" w:rsidP="00F87300">
      <w:pPr>
        <w:pStyle w:val="Betarp"/>
        <w:ind w:right="-1" w:firstLine="567"/>
        <w:jc w:val="both"/>
        <w:rPr>
          <w:rStyle w:val="Hipersaitas"/>
        </w:rPr>
      </w:pPr>
    </w:p>
    <w:p w14:paraId="34C18FEE" w14:textId="1D4D6D21" w:rsidR="005B6CFC" w:rsidRPr="00EE0FC1" w:rsidRDefault="005B6CFC" w:rsidP="00F87300">
      <w:pPr>
        <w:shd w:val="clear" w:color="auto" w:fill="FFFFFF"/>
        <w:spacing w:after="0" w:line="240" w:lineRule="auto"/>
        <w:ind w:right="-1"/>
        <w:jc w:val="center"/>
        <w:rPr>
          <w:rFonts w:eastAsia="Times New Roman" w:cstheme="minorHAnsi"/>
          <w:b/>
        </w:rPr>
      </w:pPr>
      <w:r w:rsidRPr="00EE0FC1">
        <w:rPr>
          <w:rFonts w:eastAsia="Times New Roman" w:cstheme="minorHAnsi"/>
          <w:b/>
        </w:rPr>
        <w:t xml:space="preserve">Europos Žmogaus Teisių Teismo 2022 m. </w:t>
      </w:r>
      <w:r>
        <w:rPr>
          <w:rFonts w:eastAsia="Times New Roman" w:cstheme="minorHAnsi"/>
          <w:b/>
        </w:rPr>
        <w:t>lapkričio 15</w:t>
      </w:r>
      <w:r w:rsidRPr="00EE0FC1">
        <w:rPr>
          <w:rFonts w:eastAsia="Times New Roman" w:cstheme="minorHAnsi"/>
          <w:b/>
        </w:rPr>
        <w:t xml:space="preserve"> d. sprendimas byloje</w:t>
      </w:r>
    </w:p>
    <w:p w14:paraId="6566656F" w14:textId="696EE72B" w:rsidR="005B6CFC" w:rsidRDefault="005B6CFC" w:rsidP="00EB178E">
      <w:pPr>
        <w:pStyle w:val="Antrat2"/>
        <w:ind w:firstLine="0"/>
        <w:rPr>
          <w:rFonts w:eastAsia="Calibri" w:cstheme="minorHAnsi"/>
          <w:b w:val="0"/>
          <w:bCs w:val="0"/>
          <w:i w:val="0"/>
          <w:iCs w:val="0"/>
        </w:rPr>
      </w:pPr>
      <w:bookmarkStart w:id="45" w:name="_Toc141446375"/>
      <w:r w:rsidRPr="005B6CFC">
        <w:rPr>
          <w:rFonts w:eastAsia="Calibri" w:cstheme="minorHAnsi"/>
        </w:rPr>
        <w:t>Marcinkevičius prieš Lietuvą</w:t>
      </w:r>
      <w:bookmarkEnd w:id="45"/>
    </w:p>
    <w:p w14:paraId="30FC8C3E" w14:textId="4916C1DA" w:rsidR="005B6CFC" w:rsidRPr="00EE0FC1" w:rsidRDefault="005B6CFC" w:rsidP="00F87300">
      <w:pPr>
        <w:shd w:val="clear" w:color="auto" w:fill="FFFFFF"/>
        <w:spacing w:after="0" w:line="240" w:lineRule="auto"/>
        <w:ind w:right="-1"/>
        <w:jc w:val="center"/>
        <w:rPr>
          <w:rFonts w:eastAsia="Times New Roman" w:cstheme="minorHAnsi"/>
          <w:b/>
        </w:rPr>
      </w:pPr>
      <w:r w:rsidRPr="00EE0FC1">
        <w:rPr>
          <w:rFonts w:eastAsia="Times New Roman" w:cstheme="minorHAnsi"/>
          <w:b/>
        </w:rPr>
        <w:t>(pareiškimo Nr.</w:t>
      </w:r>
      <w:r w:rsidRPr="00EE0FC1">
        <w:t xml:space="preserve"> </w:t>
      </w:r>
      <w:r w:rsidRPr="005B6CFC">
        <w:rPr>
          <w:b/>
        </w:rPr>
        <w:t>24919/20</w:t>
      </w:r>
      <w:r w:rsidRPr="00FB2B47">
        <w:rPr>
          <w:rFonts w:cstheme="minorHAnsi"/>
          <w:b/>
        </w:rPr>
        <w:t>,</w:t>
      </w:r>
      <w:r w:rsidRPr="00EE0FC1">
        <w:rPr>
          <w:rFonts w:cstheme="minorHAnsi"/>
          <w:b/>
        </w:rPr>
        <w:t xml:space="preserve"> svarbos lygis – </w:t>
      </w:r>
      <w:r>
        <w:rPr>
          <w:rFonts w:cstheme="minorHAnsi"/>
          <w:b/>
        </w:rPr>
        <w:t>3</w:t>
      </w:r>
      <w:r w:rsidRPr="00EE0FC1">
        <w:rPr>
          <w:rFonts w:eastAsia="Times New Roman" w:cstheme="minorHAnsi"/>
          <w:b/>
        </w:rPr>
        <w:t>)</w:t>
      </w:r>
    </w:p>
    <w:p w14:paraId="3B3489D6" w14:textId="77777777" w:rsidR="005B6CFC" w:rsidRDefault="005B6CFC" w:rsidP="00F87300">
      <w:pPr>
        <w:pStyle w:val="Betarp"/>
        <w:ind w:right="-1" w:firstLine="567"/>
        <w:jc w:val="both"/>
        <w:rPr>
          <w:rStyle w:val="Hipersaitas"/>
        </w:rPr>
      </w:pPr>
    </w:p>
    <w:p w14:paraId="3CF156F5" w14:textId="75D52DC5" w:rsidR="005B6CFC" w:rsidRPr="00EE0FC1" w:rsidRDefault="005B6CFC" w:rsidP="00F87300">
      <w:pPr>
        <w:pStyle w:val="Antrat3"/>
        <w:spacing w:before="0" w:line="240" w:lineRule="auto"/>
        <w:ind w:right="-1" w:firstLine="567"/>
        <w:rPr>
          <w:rFonts w:eastAsia="Calibri" w:cstheme="minorHAnsi"/>
          <w:bCs/>
          <w:iCs/>
          <w:szCs w:val="22"/>
        </w:rPr>
      </w:pPr>
      <w:bookmarkStart w:id="46" w:name="_Toc141446376"/>
      <w:r w:rsidRPr="00EE0FC1">
        <w:rPr>
          <w:rFonts w:eastAsia="Calibri" w:cstheme="minorHAnsi"/>
          <w:bCs/>
          <w:iCs/>
          <w:szCs w:val="22"/>
        </w:rPr>
        <w:t xml:space="preserve">Dėl </w:t>
      </w:r>
      <w:r w:rsidRPr="005B6CFC">
        <w:rPr>
          <w:rFonts w:eastAsia="Calibri" w:cstheme="minorHAnsi"/>
          <w:bCs/>
          <w:iCs/>
          <w:szCs w:val="22"/>
        </w:rPr>
        <w:t>apribojim</w:t>
      </w:r>
      <w:r>
        <w:rPr>
          <w:rFonts w:eastAsia="Calibri" w:cstheme="minorHAnsi"/>
          <w:bCs/>
          <w:iCs/>
          <w:szCs w:val="22"/>
        </w:rPr>
        <w:t>ų</w:t>
      </w:r>
      <w:r w:rsidRPr="005B6CFC">
        <w:rPr>
          <w:rFonts w:eastAsia="Calibri" w:cstheme="minorHAnsi"/>
          <w:bCs/>
          <w:iCs/>
          <w:szCs w:val="22"/>
        </w:rPr>
        <w:t xml:space="preserve"> politinių pasisakymų ar diskusijų viešojo intereso klausimais</w:t>
      </w:r>
      <w:bookmarkEnd w:id="46"/>
      <w:r w:rsidRPr="005B6CFC">
        <w:rPr>
          <w:rFonts w:eastAsia="Calibri" w:cstheme="minorHAnsi"/>
          <w:bCs/>
          <w:iCs/>
          <w:szCs w:val="22"/>
        </w:rPr>
        <w:t xml:space="preserve"> </w:t>
      </w:r>
    </w:p>
    <w:p w14:paraId="11A1D9A3" w14:textId="77777777" w:rsidR="005B6CFC" w:rsidRPr="00EE0FC1" w:rsidRDefault="005B6CFC" w:rsidP="00F87300">
      <w:pPr>
        <w:spacing w:after="0" w:line="240" w:lineRule="auto"/>
        <w:ind w:right="-1"/>
        <w:rPr>
          <w:rFonts w:cstheme="minorHAnsi"/>
        </w:rPr>
      </w:pPr>
    </w:p>
    <w:p w14:paraId="0926F385" w14:textId="77777777" w:rsidR="005B6CFC" w:rsidRPr="00EE0FC1" w:rsidRDefault="005B6CFC" w:rsidP="00F87300">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Faktinės aplinkybės</w:t>
      </w:r>
    </w:p>
    <w:p w14:paraId="7189309C" w14:textId="77777777" w:rsidR="005B6CFC" w:rsidRDefault="005B6CFC" w:rsidP="00F87300">
      <w:pPr>
        <w:pStyle w:val="Betarp"/>
        <w:ind w:right="-1" w:firstLine="567"/>
        <w:jc w:val="both"/>
      </w:pPr>
    </w:p>
    <w:p w14:paraId="2FC34B49" w14:textId="248F4B27" w:rsidR="005B6CFC" w:rsidRPr="00C974E2" w:rsidRDefault="005B6CFC" w:rsidP="00F87300">
      <w:pPr>
        <w:spacing w:after="0" w:line="240" w:lineRule="auto"/>
        <w:ind w:right="-1" w:firstLine="567"/>
        <w:jc w:val="both"/>
      </w:pPr>
      <w:r w:rsidRPr="00C974E2">
        <w:t>Pareiškėjas, Mindaugas Marcinkevičius ‒ UAB „Vilniaus Prekyba“ (toliau –</w:t>
      </w:r>
      <w:r w:rsidR="00E46534">
        <w:t xml:space="preserve"> </w:t>
      </w:r>
      <w:r w:rsidRPr="00C974E2">
        <w:t>VP) įkūrėjas ir akcininkas. 2017</w:t>
      </w:r>
      <w:r w:rsidR="00E46534">
        <w:t> </w:t>
      </w:r>
      <w:r w:rsidRPr="00C974E2">
        <w:t>m. sausį naujienų portale „Delfi“ buvo publikuotas straipsnis pavadinimu „Lietuvos turtingųjų kova tęsiasi: susikirto dėl uždirbtų milijonų“. N. N., kitas VP įkūrėjas ir pagrindinis akcininkas, turtingiausias žmogus Lietuvoje, pateikė ieškinį teismui, kuriame prašė pripažinti, kad straipsnyje paskleisti teiginiai neatitinka tikrovės, žemina N. N. garbę ir orumą. Be kita ko, jis teigė, kad M. Marcinkevičius nurodė, jog N. N. padarė nusikalstamas veikas ir žalą kitiems, taip paskleisdamas žinią, kuri buvo nepagrįsta įrodymais. Jis skundėsi dėl šių M. Marcinkevičiaus teiginių minėtame straipsnyje:</w:t>
      </w:r>
    </w:p>
    <w:p w14:paraId="722BFA42" w14:textId="77777777" w:rsidR="005B6CFC" w:rsidRPr="00C974E2" w:rsidRDefault="005B6CFC" w:rsidP="00F87300">
      <w:pPr>
        <w:spacing w:after="0" w:line="240" w:lineRule="auto"/>
        <w:ind w:right="-1" w:firstLine="567"/>
        <w:jc w:val="both"/>
      </w:pPr>
      <w:r w:rsidRPr="00C974E2">
        <w:t>„VP įmonės galimai naudotos visų akcininkų pinigų išvedimui į asmenines N. N. sąskaitas, nesumokant mokesčių Lietuvoje ir pasisavinant kitų akcininkų turtą.“</w:t>
      </w:r>
    </w:p>
    <w:p w14:paraId="1C2CAA28" w14:textId="77777777" w:rsidR="005B6CFC" w:rsidRPr="00C974E2" w:rsidRDefault="005B6CFC" w:rsidP="00F87300">
      <w:pPr>
        <w:spacing w:after="0" w:line="240" w:lineRule="auto"/>
        <w:ind w:right="-1" w:firstLine="567"/>
        <w:jc w:val="both"/>
      </w:pPr>
      <w:r w:rsidRPr="00C974E2">
        <w:t>„Viena iš tokiose operacijose panaudotų įmonių - ... [T.], per kurią, po sudėtingų sandorių, galimai išplauta daugiau nei 20 mln. Eur akcininkų turto ir nuslėpta bent 3 mln. eurų mokesčių Lietuvos biudžetui</w:t>
      </w:r>
      <w:r>
        <w:t>.</w:t>
      </w:r>
      <w:r w:rsidRPr="00C974E2">
        <w:t>“</w:t>
      </w:r>
    </w:p>
    <w:p w14:paraId="78887940" w14:textId="77777777" w:rsidR="005B6CFC" w:rsidRPr="00C974E2" w:rsidRDefault="005B6CFC" w:rsidP="00F87300">
      <w:pPr>
        <w:spacing w:after="0" w:line="240" w:lineRule="auto"/>
        <w:ind w:right="-1" w:firstLine="567"/>
        <w:jc w:val="both"/>
      </w:pPr>
      <w:r w:rsidRPr="00C974E2">
        <w:t>„[P]agrindinis tikslas buvo pasiimti VP įmonių pelną, nesumokant mokesčių Lietuvoje. Akivaizdu, kad ne tik mes, bet ir Lietuvos valstybė patyrė milžinišką žalą.“</w:t>
      </w:r>
    </w:p>
    <w:p w14:paraId="26A07959" w14:textId="77777777" w:rsidR="005B6CFC" w:rsidRPr="00C974E2" w:rsidRDefault="005B6CFC" w:rsidP="00F87300">
      <w:pPr>
        <w:spacing w:after="0" w:line="240" w:lineRule="auto"/>
        <w:ind w:right="-1" w:firstLine="567"/>
        <w:jc w:val="both"/>
      </w:pPr>
      <w:r w:rsidRPr="00C974E2">
        <w:t xml:space="preserve">Vilniaus miesto apylinkės teismas ieškinį tenkino iš dalies, spręsdamas, kad didžioji dalis M. Marcinkevičiaus teiginių buvo nuomonė, kuri nebuvo pareikšta įžeidžiančiai. Vis dėlto, teismas priėjo kitokią išvadą šio sakinio atžvilgiu: </w:t>
      </w:r>
      <w:bookmarkStart w:id="47" w:name="_Hlk139036029"/>
      <w:r w:rsidRPr="00C974E2">
        <w:t>„Akivaizdu, kad ne tik mes, bet ir Lietuvos valstybė patyrė milžinišką žalą“</w:t>
      </w:r>
      <w:bookmarkEnd w:id="47"/>
      <w:r w:rsidRPr="00C974E2">
        <w:t>, spręsdamas, kad šiuo teiginiu buvo paskleista žinia be pakankamo faktinio pagrindo. Teismas įpareigojo M. Marcinkevičių viešai paneigti šį sakinį. Šis teismo sprendimas buvo apskųstas, tačiau galiausiai paliktas nepakeistas. 2020 m. kovą naujienų portalas „Delfi“ publikavo paneigimą.</w:t>
      </w:r>
    </w:p>
    <w:p w14:paraId="755C10CA" w14:textId="77777777" w:rsidR="005B6CFC" w:rsidRPr="00C974E2" w:rsidRDefault="005B6CFC" w:rsidP="00F87300">
      <w:pPr>
        <w:spacing w:after="0" w:line="240" w:lineRule="auto"/>
        <w:ind w:right="-1" w:firstLine="720"/>
        <w:jc w:val="both"/>
      </w:pPr>
    </w:p>
    <w:p w14:paraId="67FCFDD5" w14:textId="77777777" w:rsidR="005B6CFC" w:rsidRPr="00C974E2" w:rsidRDefault="005B6CFC" w:rsidP="00F87300">
      <w:pPr>
        <w:spacing w:after="0" w:line="240" w:lineRule="auto"/>
        <w:ind w:left="2160" w:right="-1" w:firstLine="720"/>
        <w:rPr>
          <w:b/>
          <w:bCs/>
        </w:rPr>
      </w:pPr>
      <w:r w:rsidRPr="00C974E2">
        <w:rPr>
          <w:b/>
          <w:bCs/>
        </w:rPr>
        <w:t>Neoficiali Teismo sprendimo apžvalga</w:t>
      </w:r>
    </w:p>
    <w:p w14:paraId="6FA2B64F" w14:textId="77777777" w:rsidR="005B6CFC" w:rsidRPr="00C974E2" w:rsidRDefault="005B6CFC" w:rsidP="00F87300">
      <w:pPr>
        <w:spacing w:after="0" w:line="240" w:lineRule="auto"/>
        <w:ind w:left="2160" w:right="-1" w:firstLine="720"/>
      </w:pPr>
    </w:p>
    <w:p w14:paraId="5038DE0C" w14:textId="399C8021" w:rsidR="005B6CFC" w:rsidRPr="005B6CFC" w:rsidRDefault="00E46534" w:rsidP="00F87300">
      <w:pPr>
        <w:spacing w:after="0" w:line="240" w:lineRule="auto"/>
        <w:ind w:right="-1" w:firstLine="567"/>
        <w:jc w:val="both"/>
        <w:rPr>
          <w:rFonts w:cstheme="minorHAnsi"/>
        </w:rPr>
      </w:pPr>
      <w:r>
        <w:rPr>
          <w:rFonts w:cstheme="minorHAnsi"/>
        </w:rPr>
        <w:t>EŽTT</w:t>
      </w:r>
      <w:r w:rsidR="005B6CFC" w:rsidRPr="005B6CFC">
        <w:rPr>
          <w:rFonts w:cstheme="minorHAnsi"/>
        </w:rPr>
        <w:t>, nustatęs, kad nagrinėjamas pareiškėjo teisės į saviraiškos laisvę ribojimas turėjo teisinį pagrindą ir siekė teisėto tikslo, vertino, ar jis taip pat buvo būtinas demokratinėje visuomenėje.</w:t>
      </w:r>
    </w:p>
    <w:p w14:paraId="30AB5B2F" w14:textId="77777777" w:rsidR="005B6CFC" w:rsidRPr="005B6CFC" w:rsidRDefault="005B6CFC" w:rsidP="00F87300">
      <w:pPr>
        <w:spacing w:after="0" w:line="240" w:lineRule="auto"/>
        <w:ind w:right="-1" w:firstLine="567"/>
        <w:jc w:val="both"/>
        <w:rPr>
          <w:rFonts w:cstheme="minorHAnsi"/>
        </w:rPr>
      </w:pPr>
      <w:r w:rsidRPr="005B6CFC">
        <w:rPr>
          <w:rFonts w:cstheme="minorHAnsi"/>
        </w:rPr>
        <w:lastRenderedPageBreak/>
        <w:t>Teismas priminė, kad reikia atskirti fakto teiginius ir nuomonę, kadangi, nors faktų egzistavimas gali būti įrodytas, nuomonės teisingumo įrodyti negalima. Reikalavimas įrodyti nuomonės teisingumą bendrai yra neįmanomas ir gali pažeisti nuomonės laisvę, kuri yra Konvencijos 10 straipsnio saugomos teisės pamatinė dalis.</w:t>
      </w:r>
    </w:p>
    <w:p w14:paraId="38D5F856" w14:textId="77777777" w:rsidR="005B6CFC" w:rsidRPr="005B6CFC" w:rsidRDefault="005B6CFC" w:rsidP="00F87300">
      <w:pPr>
        <w:spacing w:after="0" w:line="240" w:lineRule="auto"/>
        <w:ind w:right="-1" w:firstLine="567"/>
        <w:jc w:val="both"/>
        <w:rPr>
          <w:rFonts w:cstheme="minorHAnsi"/>
        </w:rPr>
      </w:pPr>
      <w:r w:rsidRPr="005B6CFC">
        <w:rPr>
          <w:rFonts w:cstheme="minorHAnsi"/>
        </w:rPr>
        <w:t>Teismas, be kita ko, pažymėjo, kad, siekiant atskirti fakto teiginį nuo nuomonės, būtina atsižvelgti į bylos aplinkybes ir į bendrą pastabų toną, turint omenyje tai, kad teiginiai viešojo intereso klausimais gali, atsižvelgiant į tai, būti priskirti nuomonei, o ne fakto teiginiams. Teismas taip pat pažymėjo, kad mokesčių klausimai, įskaitant kaltinimus dėl didelio masto mokesčių vengimo, yra viešojo intereso klausimas, ypač šiuo atveju, turint omenyje straipsnyje aptariamos įmonių ir asmenų veiklos ekonominę svarbą.</w:t>
      </w:r>
    </w:p>
    <w:p w14:paraId="03A4C20E" w14:textId="77777777" w:rsidR="005B6CFC" w:rsidRPr="005B6CFC" w:rsidRDefault="005B6CFC" w:rsidP="00F87300">
      <w:pPr>
        <w:spacing w:after="0" w:line="240" w:lineRule="auto"/>
        <w:ind w:right="-1" w:firstLine="567"/>
        <w:jc w:val="both"/>
        <w:rPr>
          <w:rFonts w:cstheme="minorHAnsi"/>
        </w:rPr>
      </w:pPr>
      <w:r w:rsidRPr="005B6CFC">
        <w:rPr>
          <w:rFonts w:cstheme="minorHAnsi"/>
        </w:rPr>
        <w:t>Teiginys, kurį nacionaliniai teismai vertino atskirai nuo kitų teiginių, ir sprendė, kad jis yra fakto teiginys, buvo pateiktas straipsnio dalyje, išdėstytoje taip:</w:t>
      </w:r>
    </w:p>
    <w:p w14:paraId="62B53926" w14:textId="77777777" w:rsidR="005B6CFC" w:rsidRPr="005B6CFC" w:rsidRDefault="005B6CFC" w:rsidP="00F87300">
      <w:pPr>
        <w:spacing w:after="0" w:line="240" w:lineRule="auto"/>
        <w:ind w:right="-1" w:firstLine="567"/>
        <w:jc w:val="both"/>
        <w:rPr>
          <w:rFonts w:cstheme="minorHAnsi"/>
        </w:rPr>
      </w:pPr>
      <w:r w:rsidRPr="005B6CFC">
        <w:rPr>
          <w:rFonts w:cstheme="minorHAnsi"/>
        </w:rPr>
        <w:t xml:space="preserve">„Paklaustas, kokiu tikslu galėjo būti vykdoma tokia schema, kas patyrė žalą ir ar dėl to kreiptasi į teisėsaugą, pareiškėjas nurodė: </w:t>
      </w:r>
    </w:p>
    <w:p w14:paraId="5D5E4B22" w14:textId="77777777" w:rsidR="005B6CFC" w:rsidRPr="005B6CFC" w:rsidRDefault="005B6CFC" w:rsidP="00F87300">
      <w:pPr>
        <w:spacing w:after="0" w:line="240" w:lineRule="auto"/>
        <w:ind w:right="-1" w:firstLine="567"/>
        <w:jc w:val="both"/>
        <w:rPr>
          <w:rFonts w:cstheme="minorHAnsi"/>
        </w:rPr>
      </w:pPr>
      <w:r w:rsidRPr="005B6CFC">
        <w:rPr>
          <w:rFonts w:cstheme="minorHAnsi"/>
        </w:rPr>
        <w:t>„Mano nuomone, pagrindinis tikslas buvo pasiimti VP įmonių pelną, nesumokant mokesčių Lietuvoje. Akivaizdu, kad ne tik mes, bet ir Lietuvos valstybė patyrė milžinišką žalą. Kreipėmės į bendrovę, kalbėjome apie tai akcininkų susirinkimuose, vėliau kreipėmės į prokuratūrą.“</w:t>
      </w:r>
    </w:p>
    <w:p w14:paraId="05753983" w14:textId="631DC522" w:rsidR="005B6CFC" w:rsidRPr="005B6CFC" w:rsidRDefault="00E46534" w:rsidP="00F87300">
      <w:pPr>
        <w:spacing w:after="0" w:line="240" w:lineRule="auto"/>
        <w:ind w:right="-1" w:firstLine="567"/>
        <w:jc w:val="both"/>
        <w:rPr>
          <w:rFonts w:cstheme="minorHAnsi"/>
        </w:rPr>
      </w:pPr>
      <w:r>
        <w:rPr>
          <w:rFonts w:cstheme="minorHAnsi"/>
        </w:rPr>
        <w:t>EŽTT</w:t>
      </w:r>
      <w:r w:rsidR="005B6CFC" w:rsidRPr="005B6CFC">
        <w:rPr>
          <w:rFonts w:cstheme="minorHAnsi"/>
        </w:rPr>
        <w:t xml:space="preserve"> pastebėjo, kad pareiškėjo pasisakymas, susidedantis iš trijų sakinių, buvo pateiktas atsakant į tris žurnalisto klausimus. Nacionaliniai teismai laikė, kad kiekvienas iš šių trijų klausimų ir atsakymų turėjo būti vertinami atskirai. </w:t>
      </w:r>
      <w:r>
        <w:rPr>
          <w:rFonts w:cstheme="minorHAnsi"/>
        </w:rPr>
        <w:t>EŽTT</w:t>
      </w:r>
      <w:r w:rsidR="005B6CFC" w:rsidRPr="005B6CFC">
        <w:rPr>
          <w:rFonts w:cstheme="minorHAnsi"/>
        </w:rPr>
        <w:t xml:space="preserve"> nuomone, atsižvelgiant į tai, kad konstatuota, jog visas straipsnis pristatė dvi skirtingas nuomones, o ne nurodė faktus, nacionaliniai teismai turėjo pateikti įtikinamus argumentus, dėl kurių buvo išskirtas vienas konkretus sakinys, ir jis įvertintas kitaip nei likęs straipsnis. Vis dėlto, Teismas negalėjo konstatuoti, kad nacionalinių teismų motyvai šiuo atžvilgiu buvo pakankami.</w:t>
      </w:r>
    </w:p>
    <w:p w14:paraId="7D2C081D" w14:textId="77777777" w:rsidR="005B6CFC" w:rsidRPr="005B6CFC" w:rsidRDefault="005B6CFC" w:rsidP="00F87300">
      <w:pPr>
        <w:spacing w:after="0" w:line="240" w:lineRule="auto"/>
        <w:ind w:right="-1" w:firstLine="567"/>
        <w:jc w:val="both"/>
        <w:rPr>
          <w:rFonts w:cstheme="minorHAnsi"/>
        </w:rPr>
      </w:pPr>
      <w:r w:rsidRPr="005B6CFC">
        <w:rPr>
          <w:rFonts w:cstheme="minorHAnsi"/>
        </w:rPr>
        <w:t>Teismas toliau pastebėjo, kad nacionalinių teismų išvada, jog minėtas sakinys buvo žinia, o ne nuomonė, buvo grindžiama žodžių „yra akivaizdu“ vartojimu tame sakinyje. Teismas pripažino, kad, skaitant atskirai ir suprantant pažodžiui, tokia formuluotė būtų tvirtas požymis, kad ginčijamas teiginys yra fakto teiginys. Vis dėlto, Teismas pakartojo, kad yra svarbu atsižvelgti į kiekvieno teiginio kontekstą. Teismo vertinimu, frazė „Akivaizdu, kad ne tik mes, bet ir Lietuvos valstybė patyrė milžinišką žalą“ abstrakčiai ir perdėtai apibūdino tariamą žalą, ir iš kitų pareiškėjo teiginių buvo pakankamai aišku, kad dėl klausimo, ar buvo patirta žala, vis dar turėjo nuspręsti atitinkamos institucijos. Taigi, Teismo nuomone, šiuo atveju žodžio „akivaizdu“ vartojimas, skaitant kartu su kitais pareiškėjo teiginiais ir straipsniu kaip visuma, nebuvo pakankamas, kad įrodytų, jog ginčijamas sakinys prilygo fakto teiginiui.</w:t>
      </w:r>
    </w:p>
    <w:p w14:paraId="1D404336" w14:textId="77777777" w:rsidR="005B6CFC" w:rsidRPr="005B6CFC" w:rsidRDefault="005B6CFC" w:rsidP="00F87300">
      <w:pPr>
        <w:spacing w:after="0" w:line="240" w:lineRule="auto"/>
        <w:ind w:right="-1" w:firstLine="567"/>
        <w:jc w:val="both"/>
        <w:rPr>
          <w:rFonts w:cstheme="minorHAnsi"/>
        </w:rPr>
      </w:pPr>
      <w:r w:rsidRPr="005B6CFC">
        <w:rPr>
          <w:rFonts w:cstheme="minorHAnsi"/>
        </w:rPr>
        <w:t>Galiausiai, Teismas negalėjo nepastebėti tam tikro prieštaravimo nacionalinių teismų motyvuose: jie sutiko, kad pareiškėjo teiginiai, jog N. N. galėjo sudaryti neteisėtus sandorius ir išvengti mokesčių mokėjimo, buvo nuomonė, patenkanti į priimtinos viešo asmens kritikos ribas, tačiau sprendė priešingai dėl sakinio, kuris buvo susijęs su tų pačių veiksmų galimomis pasekmėmis – žala valstybei ir akcininkams.</w:t>
      </w:r>
    </w:p>
    <w:p w14:paraId="455F4010" w14:textId="77777777" w:rsidR="005B6CFC" w:rsidRPr="005B6CFC" w:rsidRDefault="005B6CFC" w:rsidP="00F87300">
      <w:pPr>
        <w:spacing w:after="0" w:line="240" w:lineRule="auto"/>
        <w:ind w:right="-1" w:firstLine="567"/>
        <w:jc w:val="both"/>
        <w:rPr>
          <w:rFonts w:cstheme="minorHAnsi"/>
        </w:rPr>
      </w:pPr>
      <w:r w:rsidRPr="005B6CFC">
        <w:rPr>
          <w:rFonts w:cstheme="minorHAnsi"/>
        </w:rPr>
        <w:t>Teismas sprendė, kad nacionalinių teismų išvada, jog ginčo sakinys prilygo fakto teiginiui, nebuvo pagrįsta priimtinu reikšmingų faktinių aplinkybių vertinimu, ir kad tas sakinys turi būti apibūdinamas kaip nuomonė. Teismas taip pat pažymėjo, kad faktinis pagrindas, kuris buvo pakankamas pareiškėjui susidaryti nuomonę, kad tam tikri neteisėti veiksmai galėjo būti atlikti, taip pat turi būti laikomas pakankamu pagrįsti nuomonę, kad tie neteisėti veiksmai galėjo sukelti žalą.</w:t>
      </w:r>
    </w:p>
    <w:p w14:paraId="722990A8" w14:textId="01071C5D" w:rsidR="005B6CFC" w:rsidRPr="005B6CFC" w:rsidRDefault="005B6CFC" w:rsidP="00F87300">
      <w:pPr>
        <w:spacing w:after="0" w:line="240" w:lineRule="auto"/>
        <w:ind w:right="-1" w:firstLine="567"/>
        <w:jc w:val="both"/>
        <w:rPr>
          <w:rFonts w:cstheme="minorHAnsi"/>
        </w:rPr>
      </w:pPr>
      <w:r w:rsidRPr="005B6CFC">
        <w:rPr>
          <w:rFonts w:cstheme="minorHAnsi"/>
        </w:rPr>
        <w:t>Teismas priėjo prie išvados, kad nagrinė</w:t>
      </w:r>
      <w:r w:rsidR="00EF6497">
        <w:rPr>
          <w:rFonts w:cstheme="minorHAnsi"/>
        </w:rPr>
        <w:t>t</w:t>
      </w:r>
      <w:r w:rsidRPr="005B6CFC">
        <w:rPr>
          <w:rFonts w:cstheme="minorHAnsi"/>
        </w:rPr>
        <w:t>u atveju įpareigojimas paneigti ginčo teiginį negali būti laikomas būtinu demokratinėje visuomenėje.</w:t>
      </w:r>
    </w:p>
    <w:p w14:paraId="6A3D36F4" w14:textId="77777777" w:rsidR="00E54E3B" w:rsidRPr="005B6CFC" w:rsidRDefault="00E54E3B" w:rsidP="00F87300">
      <w:pPr>
        <w:spacing w:after="0" w:line="240" w:lineRule="auto"/>
        <w:ind w:right="-1" w:firstLine="567"/>
        <w:jc w:val="both"/>
        <w:rPr>
          <w:rFonts w:cstheme="minorHAnsi"/>
        </w:rPr>
      </w:pPr>
    </w:p>
    <w:p w14:paraId="4DE24F1D" w14:textId="05B2CA34" w:rsidR="00E54E3B" w:rsidRPr="00EE0FC1" w:rsidRDefault="00E54E3B" w:rsidP="00F87300">
      <w:pPr>
        <w:spacing w:after="0" w:line="240" w:lineRule="auto"/>
        <w:ind w:right="-1" w:firstLine="567"/>
        <w:jc w:val="both"/>
        <w:rPr>
          <w:rFonts w:cstheme="minorHAnsi"/>
        </w:rPr>
      </w:pPr>
      <w:r w:rsidRPr="00EE0FC1">
        <w:rPr>
          <w:rFonts w:cstheme="minorHAnsi"/>
        </w:rPr>
        <w:t xml:space="preserve">Išvada: </w:t>
      </w:r>
      <w:r w:rsidR="00E46534">
        <w:t>n</w:t>
      </w:r>
      <w:r w:rsidR="00E46534" w:rsidRPr="006B54B1">
        <w:t xml:space="preserve">ustatytas </w:t>
      </w:r>
      <w:r w:rsidRPr="00EE0FC1">
        <w:rPr>
          <w:rFonts w:cstheme="minorHAnsi"/>
        </w:rPr>
        <w:t>Konvencijos 1</w:t>
      </w:r>
      <w:r>
        <w:rPr>
          <w:rFonts w:cstheme="minorHAnsi"/>
        </w:rPr>
        <w:t>0</w:t>
      </w:r>
      <w:r w:rsidRPr="00EE0FC1">
        <w:rPr>
          <w:rFonts w:cstheme="minorHAnsi"/>
        </w:rPr>
        <w:t xml:space="preserve"> straipsnio pažeidimas</w:t>
      </w:r>
      <w:r w:rsidR="00E46534">
        <w:rPr>
          <w:rFonts w:cstheme="minorHAnsi"/>
        </w:rPr>
        <w:t xml:space="preserve"> (vienbalsiai)</w:t>
      </w:r>
      <w:r w:rsidRPr="00EE0FC1">
        <w:rPr>
          <w:rFonts w:cstheme="minorHAnsi"/>
        </w:rPr>
        <w:t>.</w:t>
      </w:r>
    </w:p>
    <w:p w14:paraId="7E01E299" w14:textId="09BFE411" w:rsidR="00E54E3B" w:rsidRPr="00EE0FC1" w:rsidRDefault="00E54E3B" w:rsidP="00F87300">
      <w:pPr>
        <w:spacing w:after="0" w:line="240" w:lineRule="auto"/>
        <w:ind w:right="-1" w:firstLine="567"/>
        <w:jc w:val="both"/>
        <w:rPr>
          <w:rFonts w:ascii="Arial" w:eastAsia="Times New Roman" w:hAnsi="Arial" w:cs="Arial"/>
          <w:color w:val="000000"/>
          <w:sz w:val="20"/>
          <w:szCs w:val="20"/>
          <w:lang w:eastAsia="en-GB"/>
        </w:rPr>
      </w:pPr>
      <w:r w:rsidRPr="00EE0FC1">
        <w:rPr>
          <w:rFonts w:cstheme="minorHAnsi"/>
        </w:rPr>
        <w:t xml:space="preserve">41 straipsnis: </w:t>
      </w:r>
      <w:r>
        <w:rPr>
          <w:rFonts w:cstheme="minorHAnsi"/>
        </w:rPr>
        <w:t xml:space="preserve">įvertinta, kad </w:t>
      </w:r>
      <w:r w:rsidRPr="00E54E3B">
        <w:rPr>
          <w:rFonts w:cstheme="minorHAnsi"/>
        </w:rPr>
        <w:t>pažeidimo konstatavimas yra pakankamas neturtinės žalo</w:t>
      </w:r>
      <w:r>
        <w:rPr>
          <w:rFonts w:cstheme="minorHAnsi"/>
        </w:rPr>
        <w:t>s atlyginimas, taip pat priteista</w:t>
      </w:r>
      <w:r w:rsidRPr="00E54E3B">
        <w:rPr>
          <w:rFonts w:cstheme="minorHAnsi"/>
        </w:rPr>
        <w:t xml:space="preserve"> 15 000 Eur bylinėjimosi išlaidoms atlyginti.</w:t>
      </w:r>
    </w:p>
    <w:p w14:paraId="202B9DA1" w14:textId="2C42C7DB" w:rsidR="005B6CFC" w:rsidRDefault="00000000" w:rsidP="00F87300">
      <w:pPr>
        <w:pStyle w:val="Betarp"/>
        <w:ind w:right="-1" w:firstLine="567"/>
        <w:jc w:val="both"/>
      </w:pPr>
      <w:hyperlink r:id="rId24" w:history="1">
        <w:r w:rsidR="00E54E3B" w:rsidRPr="00E54E3B">
          <w:rPr>
            <w:rStyle w:val="Hipersaitas"/>
            <w:rFonts w:cstheme="minorHAnsi"/>
          </w:rPr>
          <w:t>Prieiga internete</w:t>
        </w:r>
      </w:hyperlink>
    </w:p>
    <w:p w14:paraId="2E3A1DBA" w14:textId="4704EF45" w:rsidR="009A78C8" w:rsidRPr="00EE0FC1" w:rsidRDefault="009A78C8" w:rsidP="00F87300">
      <w:pPr>
        <w:pStyle w:val="Antrat1"/>
        <w:ind w:right="-1"/>
        <w:rPr>
          <w:rFonts w:cs="Arial"/>
        </w:rPr>
      </w:pPr>
      <w:bookmarkStart w:id="48" w:name="_Toc141446377"/>
      <w:r w:rsidRPr="00EE0FC1">
        <w:t>S</w:t>
      </w:r>
      <w:r w:rsidR="00FC2524" w:rsidRPr="00EE0FC1">
        <w:t xml:space="preserve">USIRINKIMŲ IR ASOCIACIJŲ </w:t>
      </w:r>
      <w:r w:rsidRPr="00EE0FC1">
        <w:t>LAISVĖ (11 straipsnis)</w:t>
      </w:r>
      <w:bookmarkEnd w:id="0"/>
      <w:bookmarkEnd w:id="1"/>
      <w:bookmarkEnd w:id="48"/>
    </w:p>
    <w:p w14:paraId="06933680" w14:textId="16503015" w:rsidR="009A78C8" w:rsidRPr="00EE0FC1" w:rsidRDefault="009A78C8" w:rsidP="00F87300">
      <w:pPr>
        <w:spacing w:after="0" w:line="240" w:lineRule="auto"/>
        <w:ind w:right="-1"/>
        <w:jc w:val="center"/>
        <w:rPr>
          <w:rFonts w:cs="Arial"/>
          <w:b/>
        </w:rPr>
      </w:pPr>
    </w:p>
    <w:p w14:paraId="0B20099D" w14:textId="23F11F3E" w:rsidR="00095E04" w:rsidRPr="00EE0FC1" w:rsidRDefault="00095E04" w:rsidP="00F87300">
      <w:pPr>
        <w:shd w:val="clear" w:color="auto" w:fill="FFFFFF"/>
        <w:spacing w:after="0" w:line="240" w:lineRule="auto"/>
        <w:ind w:right="-1"/>
        <w:jc w:val="center"/>
        <w:rPr>
          <w:rFonts w:eastAsia="Times New Roman" w:cstheme="minorHAnsi"/>
          <w:b/>
        </w:rPr>
      </w:pPr>
      <w:r w:rsidRPr="00EE0FC1">
        <w:rPr>
          <w:rFonts w:eastAsia="Times New Roman" w:cstheme="minorHAnsi"/>
          <w:b/>
        </w:rPr>
        <w:t xml:space="preserve">Europos Žmogaus Teisių Teismo 2022 m. </w:t>
      </w:r>
      <w:r w:rsidR="00FB2B47">
        <w:rPr>
          <w:rFonts w:eastAsia="Times New Roman" w:cstheme="minorHAnsi"/>
          <w:b/>
        </w:rPr>
        <w:t>spalio 6</w:t>
      </w:r>
      <w:r w:rsidRPr="00EE0FC1">
        <w:rPr>
          <w:rFonts w:eastAsia="Times New Roman" w:cstheme="minorHAnsi"/>
          <w:b/>
        </w:rPr>
        <w:t xml:space="preserve"> d. sprendimas byloje</w:t>
      </w:r>
    </w:p>
    <w:p w14:paraId="671D783E" w14:textId="559A99C3" w:rsidR="00095E04" w:rsidRPr="00EE0FC1" w:rsidRDefault="00FB2B47" w:rsidP="00F87300">
      <w:pPr>
        <w:pStyle w:val="Antrat2"/>
        <w:ind w:right="-1" w:firstLine="0"/>
        <w:rPr>
          <w:rFonts w:eastAsia="Calibri" w:cstheme="minorHAnsi"/>
          <w:i w:val="0"/>
        </w:rPr>
      </w:pPr>
      <w:bookmarkStart w:id="49" w:name="_Toc53151216"/>
      <w:bookmarkStart w:id="50" w:name="_Toc110002050"/>
      <w:bookmarkStart w:id="51" w:name="_Hlk138421605"/>
      <w:bookmarkStart w:id="52" w:name="_Toc141446378"/>
      <w:r w:rsidRPr="00FB2B47">
        <w:rPr>
          <w:rFonts w:eastAsia="Calibri" w:cstheme="minorHAnsi"/>
        </w:rPr>
        <w:t xml:space="preserve">Mustafa Hajili </w:t>
      </w:r>
      <w:r>
        <w:rPr>
          <w:rFonts w:eastAsia="Calibri" w:cstheme="minorHAnsi"/>
        </w:rPr>
        <w:t xml:space="preserve">ir kiti </w:t>
      </w:r>
      <w:r w:rsidR="00095E04" w:rsidRPr="00EE0FC1">
        <w:rPr>
          <w:rFonts w:eastAsia="Calibri" w:cstheme="minorHAnsi"/>
        </w:rPr>
        <w:t xml:space="preserve">prieš </w:t>
      </w:r>
      <w:bookmarkEnd w:id="49"/>
      <w:bookmarkEnd w:id="50"/>
      <w:r>
        <w:rPr>
          <w:rFonts w:eastAsia="Calibri" w:cstheme="minorHAnsi"/>
        </w:rPr>
        <w:t>Azerbaidžaną</w:t>
      </w:r>
      <w:bookmarkEnd w:id="51"/>
      <w:bookmarkEnd w:id="52"/>
    </w:p>
    <w:p w14:paraId="709AC2CE" w14:textId="24F380A4" w:rsidR="00095E04" w:rsidRPr="00EE0FC1" w:rsidRDefault="00095E04" w:rsidP="00F87300">
      <w:pPr>
        <w:shd w:val="clear" w:color="auto" w:fill="FFFFFF"/>
        <w:spacing w:after="0" w:line="240" w:lineRule="auto"/>
        <w:ind w:right="-1"/>
        <w:jc w:val="center"/>
        <w:rPr>
          <w:rFonts w:eastAsia="Times New Roman" w:cstheme="minorHAnsi"/>
          <w:b/>
        </w:rPr>
      </w:pPr>
      <w:r w:rsidRPr="00EE0FC1">
        <w:rPr>
          <w:rFonts w:eastAsia="Times New Roman" w:cstheme="minorHAnsi"/>
          <w:b/>
        </w:rPr>
        <w:t>(pareiškimo Nr.</w:t>
      </w:r>
      <w:r w:rsidRPr="00EE0FC1">
        <w:t xml:space="preserve"> </w:t>
      </w:r>
      <w:bookmarkStart w:id="53" w:name="_Hlk138421618"/>
      <w:r>
        <w:fldChar w:fldCharType="begin"/>
      </w:r>
      <w:r>
        <w:instrText>HYPERLINK "https://hudoc.echr.coe.int/eng" \l "{%22appno%22:[%2269483/13%22]}" \t "_blank"</w:instrText>
      </w:r>
      <w:r>
        <w:fldChar w:fldCharType="separate"/>
      </w:r>
      <w:r w:rsidR="00FB2B47" w:rsidRPr="00FB2B47">
        <w:rPr>
          <w:rStyle w:val="Hipersaitas"/>
          <w:rFonts w:eastAsia="Times New Roman" w:cstheme="minorHAnsi"/>
          <w:b/>
          <w:color w:val="auto"/>
          <w:u w:val="none"/>
        </w:rPr>
        <w:t>69483/13</w:t>
      </w:r>
      <w:r>
        <w:rPr>
          <w:rStyle w:val="Hipersaitas"/>
          <w:rFonts w:eastAsia="Times New Roman" w:cstheme="minorHAnsi"/>
          <w:b/>
          <w:color w:val="auto"/>
          <w:u w:val="none"/>
        </w:rPr>
        <w:fldChar w:fldCharType="end"/>
      </w:r>
      <w:r w:rsidR="00FB2B47" w:rsidRPr="00FB2B47">
        <w:rPr>
          <w:rFonts w:eastAsia="Times New Roman" w:cstheme="minorHAnsi"/>
          <w:b/>
        </w:rPr>
        <w:t> ir kt</w:t>
      </w:r>
      <w:bookmarkEnd w:id="53"/>
      <w:r w:rsidR="00FB2B47" w:rsidRPr="00FB2B47">
        <w:rPr>
          <w:rFonts w:eastAsia="Times New Roman" w:cstheme="minorHAnsi"/>
          <w:b/>
        </w:rPr>
        <w:t>.</w:t>
      </w:r>
      <w:r w:rsidRPr="00FB2B47">
        <w:rPr>
          <w:rFonts w:cstheme="minorHAnsi"/>
          <w:b/>
        </w:rPr>
        <w:t>,</w:t>
      </w:r>
      <w:r w:rsidRPr="00EE0FC1">
        <w:rPr>
          <w:rFonts w:cstheme="minorHAnsi"/>
          <w:b/>
        </w:rPr>
        <w:t xml:space="preserve"> svarbos lygis – </w:t>
      </w:r>
      <w:r w:rsidR="00FB2B47">
        <w:rPr>
          <w:rFonts w:cstheme="minorHAnsi"/>
          <w:b/>
        </w:rPr>
        <w:t>3</w:t>
      </w:r>
      <w:r w:rsidRPr="00EE0FC1">
        <w:rPr>
          <w:rFonts w:eastAsia="Times New Roman" w:cstheme="minorHAnsi"/>
          <w:b/>
        </w:rPr>
        <w:t>)</w:t>
      </w:r>
    </w:p>
    <w:p w14:paraId="7C304255" w14:textId="77777777" w:rsidR="00095E04" w:rsidRPr="00EE0FC1" w:rsidRDefault="00095E04" w:rsidP="00F87300">
      <w:pPr>
        <w:shd w:val="clear" w:color="auto" w:fill="FFFFFF"/>
        <w:spacing w:after="0" w:line="240" w:lineRule="auto"/>
        <w:ind w:right="-1" w:firstLine="567"/>
        <w:jc w:val="center"/>
        <w:rPr>
          <w:rFonts w:eastAsia="Times New Roman" w:cstheme="minorHAnsi"/>
          <w:b/>
          <w:bCs/>
          <w:color w:val="000000"/>
        </w:rPr>
      </w:pPr>
    </w:p>
    <w:p w14:paraId="626DAD7D" w14:textId="72B5DD3A" w:rsidR="00095E04" w:rsidRPr="00EE0FC1" w:rsidRDefault="00095E04" w:rsidP="00F87300">
      <w:pPr>
        <w:pStyle w:val="Antrat3"/>
        <w:spacing w:before="0" w:line="240" w:lineRule="auto"/>
        <w:ind w:right="-1" w:firstLine="567"/>
        <w:rPr>
          <w:rFonts w:eastAsia="Calibri" w:cstheme="minorHAnsi"/>
          <w:bCs/>
          <w:iCs/>
          <w:szCs w:val="22"/>
        </w:rPr>
      </w:pPr>
      <w:bookmarkStart w:id="54" w:name="_Toc53151217"/>
      <w:bookmarkStart w:id="55" w:name="_Toc110002051"/>
      <w:bookmarkStart w:id="56" w:name="_Toc141446379"/>
      <w:r w:rsidRPr="00EE0FC1">
        <w:rPr>
          <w:rFonts w:eastAsia="Calibri" w:cstheme="minorHAnsi"/>
          <w:bCs/>
          <w:iCs/>
          <w:szCs w:val="22"/>
        </w:rPr>
        <w:t xml:space="preserve">Dėl </w:t>
      </w:r>
      <w:bookmarkEnd w:id="54"/>
      <w:bookmarkEnd w:id="55"/>
      <w:r w:rsidR="00351773">
        <w:rPr>
          <w:rFonts w:eastAsia="Calibri" w:cstheme="minorHAnsi"/>
          <w:bCs/>
          <w:iCs/>
          <w:szCs w:val="22"/>
        </w:rPr>
        <w:t>kompetentingoms institucijoms keliamų reikalavimų, atsisakant leisti rengti taikius susirinkimus</w:t>
      </w:r>
      <w:bookmarkEnd w:id="56"/>
    </w:p>
    <w:p w14:paraId="24A582EE" w14:textId="77777777" w:rsidR="00095E04" w:rsidRPr="00EE0FC1" w:rsidRDefault="00095E04" w:rsidP="00F87300">
      <w:pPr>
        <w:spacing w:after="0" w:line="240" w:lineRule="auto"/>
        <w:ind w:right="-1"/>
        <w:rPr>
          <w:rFonts w:cstheme="minorHAnsi"/>
        </w:rPr>
      </w:pPr>
    </w:p>
    <w:p w14:paraId="7C9CBB39" w14:textId="77777777" w:rsidR="00095E04" w:rsidRPr="00EE0FC1" w:rsidRDefault="00095E04" w:rsidP="00F87300">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Faktinės aplinkybės</w:t>
      </w:r>
    </w:p>
    <w:p w14:paraId="23C786F3" w14:textId="77777777" w:rsidR="00095E04" w:rsidRPr="00EE0FC1" w:rsidRDefault="00095E04" w:rsidP="00F87300">
      <w:pPr>
        <w:spacing w:after="0" w:line="240" w:lineRule="auto"/>
        <w:ind w:right="-1" w:firstLine="567"/>
        <w:rPr>
          <w:rFonts w:cstheme="minorHAnsi"/>
        </w:rPr>
      </w:pPr>
    </w:p>
    <w:p w14:paraId="3890DAE4" w14:textId="1312462E" w:rsidR="00095E04" w:rsidRDefault="00095E04" w:rsidP="00F87300">
      <w:pPr>
        <w:spacing w:after="0" w:line="240" w:lineRule="auto"/>
        <w:ind w:right="-1" w:firstLine="567"/>
        <w:jc w:val="both"/>
        <w:rPr>
          <w:rFonts w:cstheme="minorHAnsi"/>
        </w:rPr>
      </w:pPr>
      <w:r w:rsidRPr="00EE0FC1">
        <w:rPr>
          <w:rFonts w:cstheme="minorHAnsi"/>
        </w:rPr>
        <w:t>Pareiškėja</w:t>
      </w:r>
      <w:r w:rsidR="00480CE6">
        <w:rPr>
          <w:rFonts w:cstheme="minorHAnsi"/>
        </w:rPr>
        <w:t>i skundėsi, kad vidaus valdžios institucijų atsisakyma</w:t>
      </w:r>
      <w:r w:rsidR="00CA02E7">
        <w:rPr>
          <w:rFonts w:cstheme="minorHAnsi"/>
        </w:rPr>
        <w:t>i</w:t>
      </w:r>
      <w:r w:rsidR="00BD7D4A">
        <w:rPr>
          <w:rFonts w:cstheme="minorHAnsi"/>
        </w:rPr>
        <w:t xml:space="preserve"> 2012 m.</w:t>
      </w:r>
      <w:r w:rsidR="00480CE6">
        <w:rPr>
          <w:rFonts w:cstheme="minorHAnsi"/>
        </w:rPr>
        <w:t xml:space="preserve"> leisti </w:t>
      </w:r>
      <w:r w:rsidR="00CA02E7">
        <w:rPr>
          <w:rFonts w:cstheme="minorHAnsi"/>
        </w:rPr>
        <w:t xml:space="preserve">jiems </w:t>
      </w:r>
      <w:r w:rsidR="00480CE6">
        <w:rPr>
          <w:rFonts w:cstheme="minorHAnsi"/>
        </w:rPr>
        <w:t>rengti taikius viešus susirinkimus arb</w:t>
      </w:r>
      <w:r w:rsidR="00CA02E7">
        <w:rPr>
          <w:rFonts w:cstheme="minorHAnsi"/>
        </w:rPr>
        <w:t>a</w:t>
      </w:r>
      <w:r w:rsidR="00480CE6">
        <w:rPr>
          <w:rFonts w:cstheme="minorHAnsi"/>
        </w:rPr>
        <w:t xml:space="preserve"> </w:t>
      </w:r>
      <w:r w:rsidR="00CA02E7">
        <w:rPr>
          <w:rFonts w:cstheme="minorHAnsi"/>
        </w:rPr>
        <w:t>leisti</w:t>
      </w:r>
      <w:r w:rsidR="00480CE6">
        <w:rPr>
          <w:rFonts w:cstheme="minorHAnsi"/>
        </w:rPr>
        <w:t xml:space="preserve"> tokius susirinkimus numatytose vietose </w:t>
      </w:r>
      <w:r w:rsidR="00BD7D4A">
        <w:rPr>
          <w:rFonts w:cstheme="minorHAnsi"/>
        </w:rPr>
        <w:t xml:space="preserve">Baku </w:t>
      </w:r>
      <w:r w:rsidR="00480CE6">
        <w:rPr>
          <w:rFonts w:cstheme="minorHAnsi"/>
        </w:rPr>
        <w:t>pažeidžia jų teisę į susirinkimų laisvę pagal Konvencijos 11 straipsnį.</w:t>
      </w:r>
    </w:p>
    <w:p w14:paraId="5E952AB2" w14:textId="77777777" w:rsidR="00FF4C17" w:rsidRPr="00FF4C17" w:rsidRDefault="00FF4C17" w:rsidP="00F87300">
      <w:pPr>
        <w:spacing w:after="0" w:line="240" w:lineRule="auto"/>
        <w:ind w:right="-1" w:firstLine="567"/>
        <w:jc w:val="both"/>
        <w:rPr>
          <w:rFonts w:cstheme="minorHAnsi"/>
        </w:rPr>
      </w:pPr>
      <w:r w:rsidRPr="00FF4C17">
        <w:rPr>
          <w:rFonts w:cstheme="minorHAnsi"/>
        </w:rPr>
        <w:t>Viena grupė pareiškėjų planavo susirinkimą (piketą), kuris turėjo įvykti 2012 m. balandžio 22 d. Vadovaujantis pranešimu, kurį jie pateikė Baku miesto vykdomajai institucijai (toliau – Institucija), susirinkimas turėjo vykti nuo 12 val. iki 13 val. prieš Instituciją, tikintis, kad dalyvaus 50 asmenų. Susirinkimo tikslas buvo reikalauti panaikinti susirinkimų laisvei taikomus nerašytinius apribojimus, reikalauti politinių reformų ir laisvės politiniams kaliniams. Tačiau 2012 m. balandžio 18 d. Institucija atsisakė leisti susirinkti. Institucija pažymėjo, kad tą pačią dieną ji paskyrė vietą kitam susirinkimui, siekiančiam panašaus tikslo, todėl pareiškėjų susirinkimas yra betikslis. Suplanuotas susirinkimas galiausiai nebuvo surengtas.</w:t>
      </w:r>
    </w:p>
    <w:p w14:paraId="1B93D4B8" w14:textId="7ABFFE68" w:rsidR="00FF4C17" w:rsidRPr="00FF4C17" w:rsidRDefault="00FF4C17" w:rsidP="00F87300">
      <w:pPr>
        <w:spacing w:after="0" w:line="240" w:lineRule="auto"/>
        <w:ind w:right="-1" w:firstLine="567"/>
        <w:jc w:val="both"/>
        <w:rPr>
          <w:rFonts w:cstheme="minorHAnsi"/>
        </w:rPr>
      </w:pPr>
      <w:r w:rsidRPr="00FF4C17">
        <w:rPr>
          <w:rFonts w:cstheme="minorHAnsi"/>
        </w:rPr>
        <w:t>Kita pareiškėjų grupė planavo susirinkimą (eitynes), kuris turėjo vykti 2012 m. balandžio 22 d. nuo 16</w:t>
      </w:r>
      <w:r>
        <w:rPr>
          <w:rFonts w:cstheme="minorHAnsi"/>
        </w:rPr>
        <w:t> </w:t>
      </w:r>
      <w:r w:rsidRPr="00FF4C17">
        <w:rPr>
          <w:rFonts w:cstheme="minorHAnsi"/>
        </w:rPr>
        <w:t>val. iki 18 val. Buvo tikimasi, kad jame dalyvaus 10 000 žmonių. Pareiškėjai susirinkimui surengti pasiūlė tris skirtingas vietas ir paprašė Instituciją suderinti vieną iš tų vietų. Susirinkimo tikslas, be kita ko, buvo reikalauti naujų parlamento rinkimų, politinių reformų, politinių kalinių laisvės ir teisės į susirinkimų laisvę apsaugos bei protestuoti prieš korupciją ir nuosavybės teisių pažeidimus. Tačiau 2012 m. balandžio 18 d. Institucija atsisakė leisti susirinkti bet kurioje iš pareiškėjų pasiūlytų vietų ir pasiūlė kitą vietą – Baku pakraštyje esančią vairavimo mokyklos teritoriją. Institucija pažymėjo, kad pareiškėjų nurodytos vietos yra intensyvaus eismo zonose, todėl ten negalima rengti susirinkimų. Institucija taip pat nurodė, kad neįmanoma užtikrinti saugumo dėl planuojamo susirinkimo, atsižvelgiant į rimtas problemas, kurias toks susirinkimas sukels laisvam asmenų, nenorinčių dalyvauti susirinkime, judėjimui ir sklandžiam transporto veikimui. Pareiškėjai nusprendė surengti susirinkimą Institucijos pasiūlytoje vietoje.</w:t>
      </w:r>
    </w:p>
    <w:p w14:paraId="11545975" w14:textId="77777777" w:rsidR="00FF4C17" w:rsidRPr="00FF4C17" w:rsidRDefault="00FF4C17" w:rsidP="00F87300">
      <w:pPr>
        <w:spacing w:after="0" w:line="240" w:lineRule="auto"/>
        <w:ind w:right="-1" w:firstLine="567"/>
        <w:jc w:val="both"/>
        <w:rPr>
          <w:rFonts w:cstheme="minorHAnsi"/>
        </w:rPr>
      </w:pPr>
      <w:r w:rsidRPr="00FF4C17">
        <w:rPr>
          <w:rFonts w:cstheme="minorHAnsi"/>
        </w:rPr>
        <w:t>Vienas pareiškėjas planavo susirinkimą (eitynes), kuris turėjo vykti 2012 m. spalio 13 d. nuo 16 val. iki 18 val. Buvo tikimasi, kad jame dalyvaus 10 000 žmonių. Eitynes buvo planuojama pradėti aikštėje, esančioje greta parlamento, o baigti – prieš parlamento pastatą. Susirinkimo tikslas buvo reikalauti pirmalaikių parlamento rinkimų. Institucija 2012 m. spalio 10 d. atsisakė leisti susirinkimą pareiškėjo nurodytoje vietoje ir pasiūlė kitą vietą – tą pačią Baku pakraštyje esančią vairavimo mokyklos teritoriją. Institucija, kaip ir ankstesniame atsakyme, nurodė argumentus dėl intensyvaus eismo ir kliūčių kitų asmenų bei transporto laisvam judėjimui. Planuotos eitynės galiausiai nebuvo surengtos.</w:t>
      </w:r>
    </w:p>
    <w:p w14:paraId="6BF8A356" w14:textId="77777777" w:rsidR="00FF4C17" w:rsidRPr="00FF4C17" w:rsidRDefault="00FF4C17" w:rsidP="00F87300">
      <w:pPr>
        <w:spacing w:after="0" w:line="240" w:lineRule="auto"/>
        <w:ind w:right="-1" w:firstLine="567"/>
        <w:jc w:val="both"/>
        <w:rPr>
          <w:rFonts w:cstheme="minorHAnsi"/>
          <w:bCs/>
        </w:rPr>
      </w:pPr>
      <w:r w:rsidRPr="00FF4C17">
        <w:rPr>
          <w:rFonts w:cstheme="minorHAnsi"/>
          <w:bCs/>
        </w:rPr>
        <w:t>Nacionaliniams teismams atmetus visų pareiškėjų skundus, pareiškėjai kreipėsi į EŽTT, teigdami, kad I</w:t>
      </w:r>
      <w:r w:rsidRPr="00FF4C17">
        <w:rPr>
          <w:rFonts w:cstheme="minorHAnsi"/>
          <w:bCs/>
          <w:iCs/>
        </w:rPr>
        <w:t>nstitucijos atsisakymai 2012 m. leisti jiems rengti taikius viešus susirinkimus arba leisti tokius susirinkimus numatytose vietose Baku pažeidė jų teisę į susirinkimų laisvę pagal Konvencijos 11 straipsnį.</w:t>
      </w:r>
    </w:p>
    <w:p w14:paraId="282A22AA" w14:textId="77777777" w:rsidR="00095E04" w:rsidRPr="00EE0FC1" w:rsidRDefault="00095E04" w:rsidP="00F87300">
      <w:pPr>
        <w:shd w:val="clear" w:color="auto" w:fill="FFFFFF"/>
        <w:spacing w:after="0" w:line="240" w:lineRule="auto"/>
        <w:ind w:right="-1"/>
        <w:jc w:val="center"/>
        <w:rPr>
          <w:rFonts w:eastAsia="Times New Roman" w:cstheme="minorHAnsi"/>
          <w:b/>
          <w:bCs/>
          <w:color w:val="000000"/>
        </w:rPr>
      </w:pPr>
    </w:p>
    <w:p w14:paraId="73809252" w14:textId="77777777" w:rsidR="00095E04" w:rsidRPr="00EE0FC1" w:rsidRDefault="00095E04" w:rsidP="00F87300">
      <w:pPr>
        <w:shd w:val="clear" w:color="auto" w:fill="FFFFFF"/>
        <w:spacing w:after="0" w:line="240" w:lineRule="auto"/>
        <w:ind w:right="-1"/>
        <w:jc w:val="center"/>
        <w:rPr>
          <w:rFonts w:eastAsia="Times New Roman" w:cstheme="minorHAnsi"/>
          <w:b/>
          <w:bCs/>
          <w:color w:val="000000"/>
        </w:rPr>
      </w:pPr>
      <w:r w:rsidRPr="00EE0FC1">
        <w:rPr>
          <w:rFonts w:eastAsia="Times New Roman" w:cstheme="minorHAnsi"/>
          <w:b/>
          <w:bCs/>
          <w:color w:val="000000"/>
        </w:rPr>
        <w:t>Neoficiali Teismo sprendimo apžvalga</w:t>
      </w:r>
    </w:p>
    <w:p w14:paraId="267A4755" w14:textId="77777777" w:rsidR="00095E04" w:rsidRPr="00EE0FC1" w:rsidRDefault="00095E04" w:rsidP="00F87300">
      <w:pPr>
        <w:spacing w:after="0" w:line="240" w:lineRule="auto"/>
        <w:ind w:right="-1" w:firstLine="567"/>
        <w:jc w:val="both"/>
        <w:rPr>
          <w:rFonts w:cstheme="minorHAnsi"/>
        </w:rPr>
      </w:pPr>
    </w:p>
    <w:p w14:paraId="4DE2BBD3" w14:textId="77777777" w:rsidR="00FF4C17" w:rsidRPr="00FF4C17" w:rsidRDefault="00FF4C17" w:rsidP="00F87300">
      <w:pPr>
        <w:spacing w:after="0" w:line="240" w:lineRule="auto"/>
        <w:ind w:right="-1" w:firstLine="567"/>
        <w:jc w:val="both"/>
        <w:rPr>
          <w:rFonts w:cstheme="minorHAnsi"/>
        </w:rPr>
      </w:pPr>
      <w:r w:rsidRPr="00FF4C17">
        <w:rPr>
          <w:rFonts w:cstheme="minorHAnsi"/>
        </w:rPr>
        <w:t>EŽTT pažymėjo, kad pareiškėjų atveju susirinkimai iš viso nebuvo leisti arba nebuvo leista rengti jų numatytose vietose. Institucijos atsisakymai nebuvo grindžiami įtarimais, kad organizatoriai ir dalyviai turėjo smurtinių ketinimų, norėjo kurstyti smurtą ar kitaip paminti demokratinės visuomenės pagrindus. Teismo vertinimu, tokiais atsisakymais trikdoma pareiškėjų susirinkimų laisvė. Toks trikdymas nėra pateisinamas Konvencijos 11 straipsnio atžvilgiu, nebent jis yra numatytas įstatyme, juo siekiama vieno ar daugiau minėto straipsnio 2 dalyje įtvirtintų teisėtų tikslų ir jis yra būtinas demokratinėje visuomenėje.</w:t>
      </w:r>
    </w:p>
    <w:p w14:paraId="0E4C6326" w14:textId="77777777" w:rsidR="00FF4C17" w:rsidRPr="00FF4C17" w:rsidRDefault="00FF4C17" w:rsidP="00F87300">
      <w:pPr>
        <w:spacing w:after="0" w:line="240" w:lineRule="auto"/>
        <w:ind w:right="-1" w:firstLine="567"/>
        <w:jc w:val="both"/>
        <w:rPr>
          <w:rFonts w:cstheme="minorHAnsi"/>
        </w:rPr>
      </w:pPr>
      <w:r w:rsidRPr="00FF4C17">
        <w:rPr>
          <w:rFonts w:cstheme="minorHAnsi"/>
        </w:rPr>
        <w:t xml:space="preserve">EŽTT, įvertinęs nacionalinio teisinio reguliavimo (Susirinkimų laisvės įstatymo) nuostatas, pažymėjo, kad šios nuostatos buvo skirtos įvairioms situacijoms, susijusioms su pranešimu apie susirinkimus ir jų leidimu. Teismo vertinimu, praktinis nacionalinių institucijų atliekamas minėto įstatymo teisės normų taikymas ir aiškinimas turėtų apsaugoti pareiškėjus nuo savavališko kišimosi į jų teises. Todėl Teismas toliau analizavo, kokiais pagrindas nacionalinė institucija atsisakė pareiškėjams leisti susirinkti, taip pat nacionalinių teismų motyvus. </w:t>
      </w:r>
    </w:p>
    <w:p w14:paraId="238465F3" w14:textId="77777777" w:rsidR="00FF4C17" w:rsidRPr="00FF4C17" w:rsidRDefault="00FF4C17" w:rsidP="00F87300">
      <w:pPr>
        <w:spacing w:after="0" w:line="240" w:lineRule="auto"/>
        <w:ind w:right="-1" w:firstLine="567"/>
        <w:jc w:val="both"/>
        <w:rPr>
          <w:rFonts w:cstheme="minorHAnsi"/>
        </w:rPr>
      </w:pPr>
      <w:r w:rsidRPr="00FF4C17">
        <w:rPr>
          <w:rFonts w:cstheme="minorHAnsi"/>
        </w:rPr>
        <w:t xml:space="preserve">Vieno susirinkimo institucija neleido organizuoti dėl to, kad tą pačią dieną tuo pačiu tikslu buvo planuojamas kitas susirinkimas, todėl dar vienam susirinkimui nebuvo pagrindo. EŽTT pažymėjo, kad toks </w:t>
      </w:r>
      <w:r w:rsidRPr="00FF4C17">
        <w:rPr>
          <w:rFonts w:cstheme="minorHAnsi"/>
        </w:rPr>
        <w:lastRenderedPageBreak/>
        <w:t>atsisakymas nebuvo grindžiamas priešiškais susirinkimų motyvais, galinčiais sukelti smurtinį konfliktą tarp dalyvaujančių asmenų. Priešingai, buvo aišku, kad abu susirinkimai buvo planuojami tos pačios politinės grupės narių, siekiančių panašių tikslų. Nei nacionaliniai teisės aktai, nei Konvencija nenumatė galimybės uždrausti susirinkimą vien dėl to, kad jis yra panašus į kitą tą pačią dieną suplanuotą susirinkimą. Teismas nemanė, kad toks visiškas draudimas gali būti teisėtas.</w:t>
      </w:r>
    </w:p>
    <w:p w14:paraId="2947D726" w14:textId="77777777" w:rsidR="00FF4C17" w:rsidRPr="00FF4C17" w:rsidRDefault="00FF4C17" w:rsidP="00F87300">
      <w:pPr>
        <w:spacing w:after="0" w:line="240" w:lineRule="auto"/>
        <w:ind w:right="-1" w:firstLine="567"/>
        <w:jc w:val="both"/>
        <w:rPr>
          <w:rFonts w:cstheme="minorHAnsi"/>
        </w:rPr>
      </w:pPr>
      <w:r w:rsidRPr="00FF4C17">
        <w:rPr>
          <w:rFonts w:cstheme="minorHAnsi"/>
        </w:rPr>
        <w:t>Kitų susirinkimų nebuvo leista organizuoti dėl to, kad pareiškėjų pasiūlytos susirinkimų vietos buvo įvertintos kaip sritys, kuriose vyksta intensyvus eismas, kad neįmanoma užtikrinti susirinkimų saugumo, atsižvelgiant į rimtas problemas, kurias tokie susirinkimai keltų laisvam piliečių, nedalyvaujančių susirinkimuose, judėjimui ir sklandžiam transporto funkcionavimui. EŽTT nurodė, kad Institucija nepateikė nacionaliniams teismams jokių įrodymų šiuo aspektu. Be to, viena vieta, kurioje pareiškėjai norėjo rengti susirinkimą, buvo įtraukta į orientacinį vietų, skirtų viešiems susirinkimams rengti, sąrašą. Tačiau nebuvo paaiškinta, kodėl ši vieta buvo laikoma netinkama rengti pareiškėjų susirinkimą.</w:t>
      </w:r>
    </w:p>
    <w:p w14:paraId="4415854D" w14:textId="72F59A60" w:rsidR="00FF4C17" w:rsidRPr="00FF4C17" w:rsidRDefault="00FF4C17" w:rsidP="00F87300">
      <w:pPr>
        <w:spacing w:after="0" w:line="240" w:lineRule="auto"/>
        <w:ind w:right="-1" w:firstLine="567"/>
        <w:jc w:val="both"/>
        <w:rPr>
          <w:rFonts w:cstheme="minorHAnsi"/>
        </w:rPr>
      </w:pPr>
      <w:r w:rsidRPr="00FF4C17">
        <w:rPr>
          <w:rFonts w:cstheme="minorHAnsi"/>
        </w:rPr>
        <w:t>EŽTT pažymėjo, kad nacionaliniai teismai neįvertino Institucijos sprendimų neleisti rengti susirinkimų teisėtumo. Jie pritarė Institucijos nurodytoms priežastims, neprašė pateikti jokių įrodymų, pagrindžiančių tokius teiginius, neatsižvelgė į pareiškėjų argumentus, susijusius su atsisakymų nepagrįstumu. Toks vertinimas pareiškėjams nesuteikė apsaugos nuo savavališko kišimosi į jų susirinkimų laisvę, o Institucijai leido naudotis nevaržoma diskrecija</w:t>
      </w:r>
      <w:r>
        <w:rPr>
          <w:rFonts w:cstheme="minorHAnsi"/>
        </w:rPr>
        <w:t>,</w:t>
      </w:r>
      <w:r w:rsidRPr="00FF4C17">
        <w:rPr>
          <w:rFonts w:cstheme="minorHAnsi"/>
        </w:rPr>
        <w:t xml:space="preserve"> uždraudžiant viešus susirinkimus. Tai rodė, kad atsisakymai leisti rengti viešus susirinkimus nebuvo grindžiami įstatyme numatytais reikalavimais, kaip reikalaujama pagal Konvencijos 11</w:t>
      </w:r>
      <w:r>
        <w:rPr>
          <w:rFonts w:cstheme="minorHAnsi"/>
        </w:rPr>
        <w:t> </w:t>
      </w:r>
      <w:r w:rsidRPr="00FF4C17">
        <w:rPr>
          <w:rFonts w:cstheme="minorHAnsi"/>
        </w:rPr>
        <w:t xml:space="preserve">straipsnio 2 dalį. </w:t>
      </w:r>
    </w:p>
    <w:p w14:paraId="08A7B32B" w14:textId="77777777" w:rsidR="00FF4C17" w:rsidRPr="00FF4C17" w:rsidRDefault="00FF4C17" w:rsidP="00F87300">
      <w:pPr>
        <w:spacing w:after="0" w:line="240" w:lineRule="auto"/>
        <w:ind w:right="-1" w:firstLine="567"/>
        <w:jc w:val="both"/>
        <w:rPr>
          <w:rFonts w:cstheme="minorHAnsi"/>
        </w:rPr>
      </w:pPr>
      <w:r w:rsidRPr="00FF4C17">
        <w:rPr>
          <w:rFonts w:cstheme="minorHAnsi"/>
        </w:rPr>
        <w:t xml:space="preserve">Teismas pažymėjo, kad </w:t>
      </w:r>
      <w:bookmarkStart w:id="57" w:name="_Hlk138421374"/>
      <w:r w:rsidRPr="00FF4C17">
        <w:rPr>
          <w:rFonts w:cstheme="minorHAnsi"/>
        </w:rPr>
        <w:t>įprastas naudojimasis teise į taikius viešus susirinkimus, asmenų susibūrimas viešoje vietoje neišvengiamai tam tikru mastu sutrikdo įprastą žmonių gyvenimą. Teismo vertinimu, net jei būtų tam tikrų įrodymų, kad pareiškėjų planuoti susirinkimai sukels rimtų problemų laisvam žmonių judėjimui ir transportui, vien tik šis elementas pats savaime negalėtų būti laikomas pakankama priežastimi uždrausti susirinkimų rengimą jų numatytose vietose. Išankstinio pranešimo ir leidimo procedūros, numatytos nacionalinėje teisėje, tikslas buvo būtent kompetentingos institucijos įgalinimas imtis priemonių surengti planuojamus susirinkimus. Institucija galėjo pašalinti arba sumažinti neigiamą susirinkimų poveikį (jeigu toks buvo) laisvam žmonių ir transporto judėjimui taikydama tokias priemones, kaip, pavyzdžiui, visuomenės informavimas apie būsimus susirinkimus, apylankų įrengimas, policijos pasitelkimas miniai kontroliuoti ir susirinkimo eigai palengvinti.</w:t>
      </w:r>
    </w:p>
    <w:p w14:paraId="24912415" w14:textId="77777777" w:rsidR="00FF4C17" w:rsidRPr="00FF4C17" w:rsidRDefault="00FF4C17" w:rsidP="00F87300">
      <w:pPr>
        <w:spacing w:after="0" w:line="240" w:lineRule="auto"/>
        <w:ind w:right="-1" w:firstLine="567"/>
        <w:jc w:val="both"/>
        <w:rPr>
          <w:rFonts w:cstheme="minorHAnsi"/>
        </w:rPr>
      </w:pPr>
      <w:bookmarkStart w:id="58" w:name="_Hlk138421757"/>
      <w:bookmarkEnd w:id="57"/>
      <w:r w:rsidRPr="00FF4C17">
        <w:rPr>
          <w:rFonts w:cstheme="minorHAnsi"/>
        </w:rPr>
        <w:t xml:space="preserve">Be to, Teismas nurodė, kad, siekdamos laikytis proporcingumo reikalavimo ir pasiekti teisingą konkuruojančių interesų pusiausvyrą, valdžios institucijos, prieš atsisakydamos leisti susirinkti, paprastai turėtų apsvarstyti priemones, kuriomis mažiau kišamasi į susirinkimų laisvę. Tokios priemonės, kaip siūlymas organizatoriams pakeisti susirinkimo vietą, datą ir (arba) laiką, sutrumpinti jo trukmę arba apriboti dalyvių skaičių, tam tikromis aplinkybėmis galėtų būti laikomos proporcingesnėmis priemonėmis nei visiškas draudimas. </w:t>
      </w:r>
      <w:bookmarkEnd w:id="58"/>
      <w:r w:rsidRPr="00FF4C17">
        <w:rPr>
          <w:rFonts w:cstheme="minorHAnsi"/>
        </w:rPr>
        <w:t xml:space="preserve">Tačiau byloje nagrinėtu atveju tiesiog atsisakius leisti susirinkti, o kitais atvejais pasiūlius susirinkti kitame gyvenamajame rajone (iš esmės atokiau nuo visuomenės akių, Baku pakraštyje esančios vairavimo mokyklos teritorijoje), kompetentinga institucija nepasiūlė mažiau trikdančių priemonių. Nors vienas iš susirinkimų laisvės tikslų – užtikrinti forumą viešoms diskusijoms ir atviram protesto reiškimui (byloje nagrinėtu atveju vienų pareiškėjų reikalavimai, kuriuos ketino išsakyti dalyviai, buvo skirti parlamentui, todėl susirinkimo vietos klausimas buvo itin reikšmingas). </w:t>
      </w:r>
    </w:p>
    <w:p w14:paraId="6F21FA97" w14:textId="59B7B92D" w:rsidR="00FF4C17" w:rsidRPr="00FF4C17" w:rsidRDefault="00FF4C17" w:rsidP="00F87300">
      <w:pPr>
        <w:spacing w:after="0" w:line="240" w:lineRule="auto"/>
        <w:ind w:right="-1" w:firstLine="567"/>
        <w:jc w:val="both"/>
        <w:rPr>
          <w:rFonts w:cstheme="minorHAnsi"/>
        </w:rPr>
      </w:pPr>
      <w:r w:rsidRPr="00FF4C17">
        <w:rPr>
          <w:rFonts w:cstheme="minorHAnsi"/>
        </w:rPr>
        <w:t>Dėmesys atkreiptas į tai, kad visi pareiškėjai buvo politinės grupės nariai ir susirinkim</w:t>
      </w:r>
      <w:r>
        <w:rPr>
          <w:rFonts w:cstheme="minorHAnsi"/>
        </w:rPr>
        <w:t>uose</w:t>
      </w:r>
      <w:r w:rsidRPr="00FF4C17">
        <w:rPr>
          <w:rFonts w:cstheme="minorHAnsi"/>
        </w:rPr>
        <w:t xml:space="preserve"> siekė kelti įvairaus pobūdžio politinius klausimus. Sprendimai leisti ar neleisti tokio pobūdžio susirinkimus turi būti priimami atsižvelgiant į tinkamą Konvencijos pripažįstamą politinės kalbos, debatų viešojo intereso klausimais ir taikios nuomonės reiškimo apsaugą. Tokiais atvejais, ribodama politinę kalbą, institucija naudojasi siauros apimties veikimo laisve.</w:t>
      </w:r>
    </w:p>
    <w:p w14:paraId="46C1F6F3" w14:textId="05975F35" w:rsidR="00095E04" w:rsidRDefault="00FF4C17" w:rsidP="00F87300">
      <w:pPr>
        <w:spacing w:after="0" w:line="240" w:lineRule="auto"/>
        <w:ind w:right="-1" w:firstLine="567"/>
        <w:jc w:val="both"/>
        <w:rPr>
          <w:rFonts w:cstheme="minorHAnsi"/>
        </w:rPr>
      </w:pPr>
      <w:r w:rsidRPr="00FF4C17">
        <w:rPr>
          <w:rFonts w:cstheme="minorHAnsi"/>
        </w:rPr>
        <w:t>Teismas konstatavo, kad nacionalinės valdžios institucijos nepateikė svarbių ir pakankamų priežasčių, pateisinančių pareiškėjų teisės į susirinkimų laisvę pažeidimą, ir nesugebėjo rasti teisingos konkuruojančių interesų pusiausvyros.</w:t>
      </w:r>
    </w:p>
    <w:p w14:paraId="378CF569" w14:textId="77777777" w:rsidR="00FF4C17" w:rsidRPr="00EE0FC1" w:rsidRDefault="00FF4C17" w:rsidP="00F87300">
      <w:pPr>
        <w:spacing w:after="0" w:line="240" w:lineRule="auto"/>
        <w:ind w:right="-1" w:firstLine="567"/>
        <w:jc w:val="both"/>
        <w:rPr>
          <w:rFonts w:ascii="Arial" w:eastAsia="Times New Roman" w:hAnsi="Arial" w:cs="Arial"/>
          <w:color w:val="000000"/>
          <w:sz w:val="20"/>
          <w:szCs w:val="20"/>
          <w:lang w:eastAsia="en-GB"/>
        </w:rPr>
      </w:pPr>
    </w:p>
    <w:p w14:paraId="1A2BAEEF" w14:textId="26D67905" w:rsidR="00095E04" w:rsidRPr="00EE0FC1" w:rsidRDefault="00095E04" w:rsidP="00F87300">
      <w:pPr>
        <w:spacing w:after="0" w:line="240" w:lineRule="auto"/>
        <w:ind w:right="-1" w:firstLine="567"/>
        <w:jc w:val="both"/>
        <w:rPr>
          <w:rFonts w:cstheme="minorHAnsi"/>
        </w:rPr>
      </w:pPr>
      <w:r w:rsidRPr="00EE0FC1">
        <w:rPr>
          <w:rFonts w:cstheme="minorHAnsi"/>
        </w:rPr>
        <w:t xml:space="preserve">Išvada: </w:t>
      </w:r>
      <w:r w:rsidR="00FF4C17">
        <w:rPr>
          <w:rFonts w:cstheme="minorHAnsi"/>
        </w:rPr>
        <w:t xml:space="preserve">nustatytas </w:t>
      </w:r>
      <w:r w:rsidRPr="00EE0FC1">
        <w:rPr>
          <w:rFonts w:cstheme="minorHAnsi"/>
        </w:rPr>
        <w:t>Konvencijos 11 straipsnio pažeidimas</w:t>
      </w:r>
      <w:r w:rsidR="00FF4C17">
        <w:rPr>
          <w:rFonts w:cstheme="minorHAnsi"/>
        </w:rPr>
        <w:t xml:space="preserve"> (vienbalsiai)</w:t>
      </w:r>
      <w:r w:rsidRPr="00EE0FC1">
        <w:rPr>
          <w:rFonts w:cstheme="minorHAnsi"/>
        </w:rPr>
        <w:t>.</w:t>
      </w:r>
    </w:p>
    <w:p w14:paraId="18E2B475" w14:textId="0771191D" w:rsidR="00095E04" w:rsidRPr="00EE0FC1" w:rsidRDefault="00095E04" w:rsidP="00F87300">
      <w:pPr>
        <w:spacing w:after="0" w:line="240" w:lineRule="auto"/>
        <w:ind w:right="-1" w:firstLine="567"/>
        <w:jc w:val="both"/>
        <w:rPr>
          <w:rFonts w:ascii="Arial" w:eastAsia="Times New Roman" w:hAnsi="Arial" w:cs="Arial"/>
          <w:color w:val="000000"/>
          <w:sz w:val="20"/>
          <w:szCs w:val="20"/>
          <w:lang w:eastAsia="en-GB"/>
        </w:rPr>
      </w:pPr>
      <w:r w:rsidRPr="00EE0FC1">
        <w:rPr>
          <w:rFonts w:cstheme="minorHAnsi"/>
        </w:rPr>
        <w:t xml:space="preserve">41 straipsnis: </w:t>
      </w:r>
      <w:r w:rsidR="00FF4C17" w:rsidRPr="00FF4C17">
        <w:rPr>
          <w:rFonts w:cstheme="minorHAnsi"/>
        </w:rPr>
        <w:t xml:space="preserve">pareiškėjų grupėms ir atskiram pareiškėjui </w:t>
      </w:r>
      <w:r w:rsidR="00FF4C17">
        <w:rPr>
          <w:rFonts w:cstheme="minorHAnsi"/>
        </w:rPr>
        <w:t xml:space="preserve">priteista </w:t>
      </w:r>
      <w:r w:rsidR="00FF4C17" w:rsidRPr="00FF4C17">
        <w:rPr>
          <w:rFonts w:cstheme="minorHAnsi"/>
        </w:rPr>
        <w:t xml:space="preserve">po 4 500 Eur neturtinės žalos atlyginimo </w:t>
      </w:r>
      <w:r w:rsidR="003C54F4">
        <w:rPr>
          <w:rFonts w:cstheme="minorHAnsi"/>
        </w:rPr>
        <w:t>ir išlaid</w:t>
      </w:r>
      <w:r w:rsidR="00B07BE3">
        <w:rPr>
          <w:rFonts w:cstheme="minorHAnsi"/>
        </w:rPr>
        <w:t>ų</w:t>
      </w:r>
      <w:r w:rsidR="003C54F4">
        <w:rPr>
          <w:rFonts w:cstheme="minorHAnsi"/>
        </w:rPr>
        <w:t xml:space="preserve"> už teisines paslaugas</w:t>
      </w:r>
      <w:r w:rsidR="00B07BE3">
        <w:rPr>
          <w:rFonts w:cstheme="minorHAnsi"/>
        </w:rPr>
        <w:t xml:space="preserve"> atlyginimas</w:t>
      </w:r>
      <w:r w:rsidRPr="00EE0FC1">
        <w:rPr>
          <w:rFonts w:cstheme="minorHAnsi"/>
        </w:rPr>
        <w:t>.</w:t>
      </w:r>
    </w:p>
    <w:p w14:paraId="1D5151A6" w14:textId="0CF28407" w:rsidR="00095E04" w:rsidRPr="00EE0FC1" w:rsidRDefault="00000000" w:rsidP="00F87300">
      <w:pPr>
        <w:spacing w:after="0" w:line="240" w:lineRule="auto"/>
        <w:ind w:right="-1" w:firstLine="567"/>
        <w:jc w:val="both"/>
        <w:rPr>
          <w:rStyle w:val="Hipersaitas"/>
          <w:rFonts w:cstheme="minorHAnsi"/>
        </w:rPr>
      </w:pPr>
      <w:hyperlink r:id="rId25" w:history="1">
        <w:r w:rsidR="00095E04" w:rsidRPr="00767ED6">
          <w:rPr>
            <w:rStyle w:val="Hipersaitas"/>
            <w:rFonts w:cstheme="minorHAnsi"/>
          </w:rPr>
          <w:t>Prieiga internete</w:t>
        </w:r>
      </w:hyperlink>
    </w:p>
    <w:p w14:paraId="7AEB57AC" w14:textId="59456761" w:rsidR="0005723B" w:rsidRDefault="0005723B" w:rsidP="00F87300">
      <w:pPr>
        <w:pStyle w:val="Antrat1"/>
        <w:ind w:right="-1"/>
      </w:pPr>
      <w:bookmarkStart w:id="59" w:name="_Toc141446380"/>
      <w:r>
        <w:lastRenderedPageBreak/>
        <w:t>TEISĖ Į VEIKSMINGĄ TEISINĖS GYNYBOS PRIEMONĘ (13 straipsnis)</w:t>
      </w:r>
      <w:bookmarkEnd w:id="59"/>
    </w:p>
    <w:p w14:paraId="40B26DA8" w14:textId="77777777" w:rsidR="009B1315" w:rsidRDefault="009B1315"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p>
    <w:p w14:paraId="6EFAA8AE" w14:textId="75AB1E32" w:rsidR="009B1315" w:rsidRPr="009B1315" w:rsidRDefault="009B1315"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9B1315">
        <w:rPr>
          <w:rFonts w:ascii="Calibri" w:eastAsia="Times New Roman" w:hAnsi="Calibri" w:cs="Calibri"/>
          <w:b/>
        </w:rPr>
        <w:t>Europos Žmogaus Teisių Teismo 2022 m. gruodžio 20 d. sprendimas byloje</w:t>
      </w:r>
    </w:p>
    <w:p w14:paraId="2125FC65" w14:textId="77777777" w:rsidR="009B1315" w:rsidRPr="009B1315" w:rsidRDefault="009B1315" w:rsidP="00F87300">
      <w:pPr>
        <w:pStyle w:val="Antrat2"/>
        <w:ind w:right="-1" w:firstLine="0"/>
        <w:rPr>
          <w:rFonts w:ascii="Calibri" w:eastAsia="Times New Roman" w:hAnsi="Calibri" w:cs="Calibri"/>
        </w:rPr>
      </w:pPr>
      <w:bookmarkStart w:id="60" w:name="_Toc141446381"/>
      <w:r w:rsidRPr="009B1315">
        <w:rPr>
          <w:rFonts w:ascii="Calibri" w:eastAsia="Calibri" w:hAnsi="Calibri"/>
        </w:rPr>
        <w:t>S.H. prieš Maltą</w:t>
      </w:r>
      <w:bookmarkEnd w:id="60"/>
    </w:p>
    <w:p w14:paraId="495078CC" w14:textId="77777777" w:rsidR="009B1315" w:rsidRPr="009B1315" w:rsidRDefault="009B1315"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9B1315">
        <w:rPr>
          <w:rFonts w:ascii="Calibri" w:eastAsia="Times New Roman" w:hAnsi="Calibri" w:cs="Calibri"/>
          <w:b/>
        </w:rPr>
        <w:t>(pareiškimo Nr. 37241/21, svarbos lygis – 2)</w:t>
      </w:r>
    </w:p>
    <w:p w14:paraId="2F36F63D"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6A914A9D" w14:textId="0C164A35" w:rsidR="009B1315" w:rsidRPr="009B1315" w:rsidRDefault="009B1315" w:rsidP="00F87300">
      <w:pPr>
        <w:pStyle w:val="Antrat3"/>
        <w:spacing w:before="0" w:line="240" w:lineRule="auto"/>
        <w:ind w:right="-1" w:firstLine="567"/>
        <w:rPr>
          <w:rFonts w:ascii="Calibri" w:eastAsia="Times New Roman" w:hAnsi="Calibri" w:cs="Calibri"/>
          <w:color w:val="000000"/>
        </w:rPr>
      </w:pPr>
      <w:bookmarkStart w:id="61" w:name="_Toc141446382"/>
      <w:r w:rsidRPr="009B1315">
        <w:rPr>
          <w:rFonts w:ascii="Calibri" w:eastAsia="Times New Roman" w:hAnsi="Calibri" w:cs="Times New Roman"/>
        </w:rPr>
        <w:t>Dėl</w:t>
      </w:r>
      <w:r w:rsidRPr="009B1315">
        <w:rPr>
          <w:rFonts w:ascii="Calibri" w:eastAsia="Calibri" w:hAnsi="Calibri" w:cs="Times New Roman"/>
        </w:rPr>
        <w:t xml:space="preserve"> migracijos institucijos, sprendžiančios dėl prieglobsčio prašymo, netinkamai atlikto įrodymų vertinimo bei teisminės institucijos atliekamos tokių sprendimų peržiūros veiksmingumo Konvencijos 13</w:t>
      </w:r>
      <w:r w:rsidR="005308EE">
        <w:rPr>
          <w:rFonts w:ascii="Calibri" w:eastAsia="Calibri" w:hAnsi="Calibri" w:cs="Times New Roman"/>
        </w:rPr>
        <w:t> </w:t>
      </w:r>
      <w:r w:rsidRPr="009B1315">
        <w:rPr>
          <w:rFonts w:ascii="Calibri" w:eastAsia="Calibri" w:hAnsi="Calibri" w:cs="Times New Roman"/>
        </w:rPr>
        <w:t>straipsnio kontekste</w:t>
      </w:r>
      <w:bookmarkEnd w:id="61"/>
    </w:p>
    <w:p w14:paraId="62E85BAC"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center"/>
        <w:rPr>
          <w:rFonts w:ascii="Calibri" w:eastAsia="Times New Roman" w:hAnsi="Calibri" w:cs="Calibri"/>
          <w:b/>
          <w:bCs/>
          <w:color w:val="000000"/>
        </w:rPr>
      </w:pPr>
    </w:p>
    <w:p w14:paraId="0711D23E" w14:textId="77777777" w:rsidR="009B1315" w:rsidRPr="009B1315" w:rsidRDefault="009B1315" w:rsidP="00F87300">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9B1315">
        <w:rPr>
          <w:rFonts w:ascii="Calibri" w:eastAsia="Times New Roman" w:hAnsi="Calibri" w:cs="Calibri"/>
          <w:b/>
          <w:bCs/>
          <w:color w:val="000000"/>
        </w:rPr>
        <w:t>Faktinės aplinkybės</w:t>
      </w:r>
    </w:p>
    <w:p w14:paraId="51BB588F"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1B413D18" w14:textId="1EFDA926"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 xml:space="preserve">Apžvelgiamoje byloje pareiškėjas atvyko į Maltą valtimi ir buvo nedelsiant sulaikytas. Savarankiškai (neturėdamas jokios teisinės pagalbos) jis pateikė prašymą dėl prieglobsčio suteikimo, teigdamas, kad Bangladeše dirbo žurnalistu, o valdančioji partija po 2018 m. laimėtų rinkimų jį ėmė persekioti dėl jo žurnalistinės veiklos, pranešant apie korupcinio pobūdžio pažeidimus, padarytus per nacionalinius rinkimus. Kompetentingos Maltos migracijos institucijos pareiškėjo prašymą dėl prieglobsčio nagrinėjo pagreitinta tvarka, laikydamos Bangladešą saugia šalimi. Pareiškėjui buvo užtikrintas vertimas, tačiau nebuvo suteikta jokia teisinė pagalba. Pasak migracijos institucijų, pareiškėjas pokalbio metu nepateikė pakankamai konkrečių ir išsamių atsakymų į jam pateiktus klausimus, kaip būtų galima tikėtis iš politinius reportažus rengiančio žurnalisto, o pareiškėjo pateikti jo profesinės veiklos įrodymai nelaikyti patikimais, nes buvo pateiktos tik jų kopijos. Kitaip tariant, pareiškėjo teiginiai dėl jo buvimo žurnalistu apskritai laikyti nepatikimais, o atsižvelgiant į tai, taip pat vertinti ir teiginiai dėl pareiškėjo persekiojimo. Sprendimą nesuteikti tarptautinės apsaugos pareiškėjas apskundė, o 2020 m. gruodžio 11 d. priimtas galutinis sprendimas jo byloje pareiškėjui tuomet jau paskirtam advokatui įteiktas tik 2022 m. birželio 21 d. Per tą laiką buvo priimtas pareiškėjo išsiuntimo iš šalies sprendimas, atitinkamai, pareiškėjas vėl buvo sulaikytas. Visi pareiškėjo skundai dėl sprendimo išsiųsti jį iš šalies ir jo sulaikymo buvo atmesti. Laikyta, kad pareiškėjas nepateikė jokių naujų įrodymų, jo byloje pagrindžiančių negrąžinimo principo taikymą. Vis dėlto pareiškėjas išsiųstas iš šalies nebuvo dėl </w:t>
      </w:r>
      <w:r w:rsidR="00600C23">
        <w:rPr>
          <w:rFonts w:ascii="Calibri" w:eastAsia="Times New Roman" w:hAnsi="Calibri" w:cs="Calibri"/>
          <w:color w:val="000000"/>
        </w:rPr>
        <w:t>EŽTT</w:t>
      </w:r>
      <w:r w:rsidRPr="009B1315">
        <w:rPr>
          <w:rFonts w:ascii="Calibri" w:eastAsia="Times New Roman" w:hAnsi="Calibri" w:cs="Calibri"/>
          <w:color w:val="000000"/>
        </w:rPr>
        <w:t xml:space="preserve"> nurodymo taikyti laikinąsias apsaugos priemones pagal </w:t>
      </w:r>
      <w:r w:rsidRPr="009B1315">
        <w:rPr>
          <w:rFonts w:ascii="Calibri" w:eastAsia="Calibri" w:hAnsi="Calibri" w:cs="Times New Roman"/>
        </w:rPr>
        <w:t>Teismo reglamento 39 taisyklę</w:t>
      </w:r>
      <w:r w:rsidRPr="009B1315">
        <w:rPr>
          <w:rFonts w:ascii="Calibri" w:eastAsia="Times New Roman" w:hAnsi="Calibri" w:cs="Calibri"/>
          <w:color w:val="000000"/>
        </w:rPr>
        <w:t>.</w:t>
      </w:r>
    </w:p>
    <w:p w14:paraId="30D17EB6" w14:textId="61AAD116"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Paskesniuoju prašymu dėl prieglobsčio suteikimo pareiškėjas pateikė naujų dokumentų, įrodančių jo žurnalistinę veiklą, tačiau migracijos institucijos, didžiąj</w:t>
      </w:r>
      <w:r w:rsidR="00EF6497">
        <w:rPr>
          <w:rFonts w:ascii="Calibri" w:eastAsia="Times New Roman" w:hAnsi="Calibri" w:cs="Calibri"/>
          <w:color w:val="000000"/>
        </w:rPr>
        <w:t>a</w:t>
      </w:r>
      <w:r w:rsidRPr="009B1315">
        <w:rPr>
          <w:rFonts w:ascii="Calibri" w:eastAsia="Times New Roman" w:hAnsi="Calibri" w:cs="Calibri"/>
          <w:color w:val="000000"/>
        </w:rPr>
        <w:t xml:space="preserve"> dalimi remdamosi</w:t>
      </w:r>
      <w:r w:rsidR="00EF6497">
        <w:rPr>
          <w:rFonts w:ascii="Calibri" w:eastAsia="Times New Roman" w:hAnsi="Calibri" w:cs="Calibri"/>
          <w:color w:val="000000"/>
        </w:rPr>
        <w:t>s</w:t>
      </w:r>
      <w:r w:rsidRPr="009B1315">
        <w:rPr>
          <w:rFonts w:ascii="Calibri" w:eastAsia="Times New Roman" w:hAnsi="Calibri" w:cs="Calibri"/>
          <w:color w:val="000000"/>
        </w:rPr>
        <w:t xml:space="preserve"> ankstesniuoju sprendimu (kuriuo iš esmės buvo konstatuota, kad pareiškėjas neįrodė esąs žurnalistas), sprendė, kad net darant prielaidą, </w:t>
      </w:r>
      <w:r w:rsidR="00EF6497">
        <w:rPr>
          <w:rFonts w:ascii="Calibri" w:eastAsia="Times New Roman" w:hAnsi="Calibri" w:cs="Calibri"/>
          <w:color w:val="000000"/>
        </w:rPr>
        <w:t>jog</w:t>
      </w:r>
      <w:r w:rsidRPr="009B1315">
        <w:rPr>
          <w:rFonts w:ascii="Calibri" w:eastAsia="Times New Roman" w:hAnsi="Calibri" w:cs="Calibri"/>
          <w:color w:val="000000"/>
        </w:rPr>
        <w:t xml:space="preserve"> pareiškėjas yra žurnalistas, jis vis dėlto neįrodė, kad dėl savo veiklos buvo užpultas. Taigi, daryta išvada, kad pareiškėjas nepateikė naujų duomenų ar įrodymų, susijusių su tyrimu dėl pareiškėjo atitikties tarptautinės apsaugos gavėjo reikalavimams. Dar vienas pareiškėjo pateiktas paskesnis prašymas dėl prieglobsčio atmestas, remiantis analogiškais argumentais. </w:t>
      </w:r>
    </w:p>
    <w:p w14:paraId="6D0C033E"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00E55F55" w14:textId="77777777" w:rsidR="009B1315" w:rsidRPr="009B1315" w:rsidRDefault="009B1315" w:rsidP="00F87300">
      <w:pPr>
        <w:shd w:val="clear" w:color="auto" w:fill="FFFFFF"/>
        <w:spacing w:after="0" w:line="240" w:lineRule="auto"/>
        <w:ind w:right="-1"/>
        <w:jc w:val="center"/>
        <w:rPr>
          <w:rFonts w:ascii="Calibri" w:eastAsia="Times New Roman" w:hAnsi="Calibri" w:cs="Calibri"/>
          <w:b/>
          <w:bCs/>
          <w:color w:val="000000"/>
        </w:rPr>
      </w:pPr>
      <w:r w:rsidRPr="009B1315">
        <w:rPr>
          <w:rFonts w:ascii="Calibri" w:eastAsia="Times New Roman" w:hAnsi="Calibri" w:cs="Calibri"/>
          <w:b/>
          <w:bCs/>
          <w:color w:val="000000"/>
        </w:rPr>
        <w:t>Neoficiali Teismo sprendimo apžvalga</w:t>
      </w:r>
    </w:p>
    <w:p w14:paraId="7A86F274"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26103D49" w14:textId="0FBF8962"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Pareiškėjo skundą dėl Konvencijos 13 straipsnio pažeidimo nagrinėjęs EŽTT pirmiausia atkreipė dėmesį į tai, kad pareiškėjui nebuvo užtikrinta teisinė pagalb</w:t>
      </w:r>
      <w:r w:rsidR="00EF6497">
        <w:rPr>
          <w:rFonts w:ascii="Calibri" w:eastAsia="Times New Roman" w:hAnsi="Calibri" w:cs="Calibri"/>
          <w:color w:val="000000"/>
        </w:rPr>
        <w:t>a</w:t>
      </w:r>
      <w:r w:rsidRPr="009B1315">
        <w:rPr>
          <w:rFonts w:ascii="Calibri" w:eastAsia="Times New Roman" w:hAnsi="Calibri" w:cs="Calibri"/>
          <w:color w:val="000000"/>
        </w:rPr>
        <w:t xml:space="preserve"> prieglobsčio prašymo nagrinėjimo metu, nors tokia pagalba buvo numatyta pagal Maltos nacionalinės teisės aktus. Be to, Teismas pažymėjo, jog pareiškėjas apklausos metu buvo 20 metų amžiaus, jis nebuvo atstovaujamas advokato, o jo, kaip žurnalisto</w:t>
      </w:r>
      <w:r w:rsidR="00600C23">
        <w:rPr>
          <w:rFonts w:ascii="Calibri" w:eastAsia="Times New Roman" w:hAnsi="Calibri" w:cs="Calibri"/>
          <w:color w:val="000000"/>
        </w:rPr>
        <w:t>,</w:t>
      </w:r>
      <w:r w:rsidRPr="009B1315">
        <w:rPr>
          <w:rFonts w:ascii="Calibri" w:eastAsia="Times New Roman" w:hAnsi="Calibri" w:cs="Calibri"/>
          <w:color w:val="000000"/>
        </w:rPr>
        <w:t xml:space="preserve"> akademinės studijos kilmės šalyje susidarė iš dviejų mokymų, vykusių, atitinkamai, tris dienas ir tris mėnesius; atsižvelgęs į tokias aplinkybes, Teismas nesutiko su Vyriausybės vertinimu, kad pokalbio metu pareiškėjo teikiama informacija buvo prieštaringa ir nedetali. Pavyzdžiui, pareiškėjas buvo prašomas nurodyti atitinkamų teisės aktų pavadinimus (atitinkamų nuostatų ir jų turinio nurodymas buvo laikomas nepakankamu), taip pat jis buvo prašomas papasakoti apie rinkimų pažeidimus, aprašytus šaltiniuose apie kilmės šalį, nepaisant to, kad pareiškėjas su jais nebuvo susidūręs, ir pan. Šiame kontekste Teismas priminė išplėtotą savo praktiką, kurioje spręsta, kad dėl ypatingos padėties, kurioje dažnai atsiduria prieglobsčio prašytojai, būtina suteikti jiems abejonės privilegiją, kai vertinamas jų prašymas dėl prieglobsčio ir jį pagrindžiančių dokumentų patikimumas, o net jei pareiškėjo pasakojimas apie kai kurias detales gali pasirodyti šiek tiek neįtikimas, tai nebūtinai sumenkina bendrą pareiškėjo pozicijos patikimumą. Teismas pasigedo motyvų, kodėl nebuvo atsižvelgta į </w:t>
      </w:r>
      <w:r w:rsidRPr="009B1315">
        <w:rPr>
          <w:rFonts w:ascii="Calibri" w:eastAsia="Times New Roman" w:hAnsi="Calibri" w:cs="Calibri"/>
          <w:color w:val="000000"/>
        </w:rPr>
        <w:lastRenderedPageBreak/>
        <w:t>pareiškėjo pateiktus jo žurnalistinio darbo įrodymus – valdžios institucijos neteigė, kad jie yra netikri, o tiesiog apsiribojo pozicija, kad jų autentiškumas nebuvo nustatytas, nes pateiktos buvo tik atitinkamų dokumentų kopijos. Teismas atkreipė dėmesį, kad kompetentingos institucijos nesiėmė tolesnio įrodymų patikrinimo ir nesuteikė pareiškėjui galimybės išsklaidyti bet kokių abejonių dėl jų autentiškumo.</w:t>
      </w:r>
    </w:p>
    <w:p w14:paraId="580BE32C" w14:textId="4A7399AE"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Kitas svarbus aspektas Konvencijos 13 straipsnio kontekste, Teismo vertinimu, buvo Tarptautinės apsaugos skundų tribunolo procedūra ir jo atliekamos sprendimų peržiūros apimtis pagreitintų prieglobsčio procedūrų atveju. Nacionalinėje teisėje nustatytas 3 dienų terminas, per kurį neigiamas migracijos institucijos sprendimas automatiškai peržiūrimas Tarptautinės apsaugos skundų tribunole, Teismo manymu, implikuoja paviršutinišką visų Tribunolui pateiktų dokumentų vertinimą. Tokią išvadą, anot Teismo, patvirtina per 24</w:t>
      </w:r>
      <w:r w:rsidR="00600C23">
        <w:rPr>
          <w:rFonts w:ascii="Calibri" w:eastAsia="Times New Roman" w:hAnsi="Calibri" w:cs="Calibri"/>
          <w:color w:val="000000"/>
        </w:rPr>
        <w:t> </w:t>
      </w:r>
      <w:r w:rsidRPr="009B1315">
        <w:rPr>
          <w:rFonts w:ascii="Calibri" w:eastAsia="Times New Roman" w:hAnsi="Calibri" w:cs="Calibri"/>
          <w:color w:val="000000"/>
        </w:rPr>
        <w:t xml:space="preserve">valandas nuo neigiamo migracijos sprendimo priėmimo priimtas trumpas, stereotipinis Tribunolo sprendimas pareiškėjo byloje, kuriame be motyvų tiesiog pritarta migracijos institucijos padarytoms nesuderinamoms išvadoms. </w:t>
      </w:r>
    </w:p>
    <w:p w14:paraId="5B16FE07"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Teismas taip pat akcentavo, kad siekiant prieglobsčio proceso veiksmingumo, prieglobsčio prašytojai turi turėti patikimą komunikavimo su valdžios institucijomis sistemą, tačiau pareiškėjo atveju tokia sistema buvo nepakankama: apie Tribunolo sprendimą dėl prieglobsčio prašymo atmetimo pareiškėjui buvo pranešta tik po kelių mėnesių, nors sprendimas išsiųsti pareiškėją iš šalies buvo priimtas vos 5 dienos po Tribunolo sprendimo priėmimo. Teismas atmetė Vyriausybės argumentą, kad pareiškėjui buvo bandoma prisiskambinti mobiliuoju telefonu, atsižvelgęs į tai, kad iš sulaikytų prieglobsčio prašytojų mobilūs telefonai pagal galiojančią tvarką yra paimami.</w:t>
      </w:r>
    </w:p>
    <w:p w14:paraId="00F9309B" w14:textId="284BA88C"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 xml:space="preserve">Remdamasis tokiais argumentais, Teismas konstatavo, kad pirmoji prieglobsčio procedūra, pagal pagreitintą procedūrą vykdyta pareiškėjo atžvilgiu, </w:t>
      </w:r>
      <w:r w:rsidRPr="009B1315">
        <w:rPr>
          <w:rFonts w:ascii="Calibri" w:eastAsia="Times New Roman" w:hAnsi="Calibri" w:cs="Calibri"/>
          <w:i/>
          <w:iCs/>
          <w:color w:val="000000"/>
        </w:rPr>
        <w:t>ab initio</w:t>
      </w:r>
      <w:r w:rsidRPr="009B1315">
        <w:rPr>
          <w:rFonts w:ascii="Calibri" w:eastAsia="Times New Roman" w:hAnsi="Calibri" w:cs="Calibri"/>
          <w:color w:val="000000"/>
        </w:rPr>
        <w:t xml:space="preserve"> nesuteikė jam veiksmingų garantijų, apsaugančių nuo savavališko išsiuntimo. Dėl paskesnių pareiškėjo prieglobsčio prašymų nagrinėjimo Teismas apibendrino, kad pareiškėjo situacija nebuvo įvertinta kruopščiai individualiai, jokiame etape institucijos nevertino rizikos, susijusios su jo individualia padėtimi (kaip žurnalisto, pranešančio apie rinkimų pažeidimus, kuris pagal jo pateiktus dokumentus, kurių tikrumas nebuvo ištirtas, dėl savo darbo gal</w:t>
      </w:r>
      <w:r w:rsidR="00EF6497">
        <w:rPr>
          <w:rFonts w:ascii="Calibri" w:eastAsia="Times New Roman" w:hAnsi="Calibri" w:cs="Calibri"/>
          <w:color w:val="000000"/>
        </w:rPr>
        <w:t>būt</w:t>
      </w:r>
      <w:r w:rsidRPr="009B1315">
        <w:rPr>
          <w:rFonts w:ascii="Calibri" w:eastAsia="Times New Roman" w:hAnsi="Calibri" w:cs="Calibri"/>
          <w:color w:val="000000"/>
        </w:rPr>
        <w:t xml:space="preserve"> jau buvo patyręs bent vieną persekiojimo atvejį), jeigu būtų grąžintas į Bangladešą. Taigi, pareiškėjas neturėjo galimybės pasinaudoti veiksminga teisių gynimo priemone pagal Konvencijos 13 straipsnį, kad galėtų pateikti skundą dėl Konvencijos 3 straipsnio. Atitinkamai konstatuota, kad buvo pažeistas Konvencijos 13 straipsnis, siejamas su 3 straipsniu. Taip pat Teismas sprendė, kad būtų pažeistas Konvencijos 3 straipsnis, jei pareiškėjas būtų išsiųstas į Bangladešą, iš naujo neįvertinus teiginių dėl jam, kaip žurnalistui, pranešusiam apie 2018 m. rinkimų pažeidimus, gr</w:t>
      </w:r>
      <w:r w:rsidR="00EF6497">
        <w:rPr>
          <w:rFonts w:ascii="Calibri" w:eastAsia="Times New Roman" w:hAnsi="Calibri" w:cs="Calibri"/>
          <w:color w:val="000000"/>
        </w:rPr>
        <w:t>e</w:t>
      </w:r>
      <w:r w:rsidRPr="009B1315">
        <w:rPr>
          <w:rFonts w:ascii="Calibri" w:eastAsia="Times New Roman" w:hAnsi="Calibri" w:cs="Calibri"/>
          <w:color w:val="000000"/>
        </w:rPr>
        <w:t xml:space="preserve">siančio Konvencijos 3 straipsniui prieštaraujančio elgesio, grąžinimo į Bangladešą atveju. </w:t>
      </w:r>
    </w:p>
    <w:p w14:paraId="72CA491A"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55635D63" w14:textId="77777777" w:rsid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sidRPr="009B1315">
        <w:rPr>
          <w:rFonts w:ascii="Calibri" w:eastAsia="Times New Roman" w:hAnsi="Calibri" w:cs="Calibri"/>
          <w:color w:val="000000"/>
        </w:rPr>
        <w:t>Išvada: pažeistas Konvencijos 13 straipsnis, siejant kartu su Konvencijos 3 straipsniu; pareiškėjo išsiuntimas į Bangladešą, iš naujo neišnagrinėjus jo prieglobsčio prašymo, pažeistų Konvencijos 3 straipsnį (vienbalsiai).</w:t>
      </w:r>
    </w:p>
    <w:p w14:paraId="6E86E003" w14:textId="4E4FC812" w:rsidR="00600C23" w:rsidRPr="009B1315" w:rsidRDefault="00600C23"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r>
        <w:rPr>
          <w:rFonts w:ascii="Calibri" w:eastAsia="Times New Roman" w:hAnsi="Calibri" w:cs="Calibri"/>
          <w:color w:val="000000"/>
        </w:rPr>
        <w:t>41 straipsnis:</w:t>
      </w:r>
      <w:r w:rsidRPr="00600C23">
        <w:rPr>
          <w:rFonts w:ascii="Calibri" w:eastAsia="Times New Roman" w:hAnsi="Calibri" w:cs="Calibri"/>
          <w:color w:val="000000"/>
        </w:rPr>
        <w:t xml:space="preserve"> </w:t>
      </w:r>
      <w:r>
        <w:rPr>
          <w:rFonts w:ascii="Calibri" w:eastAsia="Times New Roman" w:hAnsi="Calibri" w:cs="Calibri"/>
          <w:color w:val="000000"/>
        </w:rPr>
        <w:t>p</w:t>
      </w:r>
      <w:r w:rsidRPr="009B1315">
        <w:rPr>
          <w:rFonts w:ascii="Calibri" w:eastAsia="Times New Roman" w:hAnsi="Calibri" w:cs="Calibri"/>
          <w:color w:val="000000"/>
        </w:rPr>
        <w:t>areiškėjui priteista 5 000 Eur neturtinės žalos, taip pat 2 000 Eur bylinėjimosi išlaidoms atlyginti</w:t>
      </w:r>
      <w:r>
        <w:rPr>
          <w:rFonts w:ascii="Calibri" w:eastAsia="Times New Roman" w:hAnsi="Calibri" w:cs="Calibri"/>
          <w:color w:val="000000"/>
        </w:rPr>
        <w:t>.</w:t>
      </w:r>
    </w:p>
    <w:p w14:paraId="60027668" w14:textId="77777777" w:rsidR="009B1315" w:rsidRPr="009B1315" w:rsidRDefault="009B1315" w:rsidP="00F87300">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FF"/>
          <w:u w:val="single"/>
        </w:rPr>
      </w:pPr>
      <w:r w:rsidRPr="009B1315">
        <w:rPr>
          <w:rFonts w:ascii="Calibri" w:eastAsia="Times New Roman" w:hAnsi="Calibri" w:cs="Calibri"/>
        </w:rPr>
        <w:fldChar w:fldCharType="begin"/>
      </w:r>
      <w:r w:rsidRPr="009B1315">
        <w:rPr>
          <w:rFonts w:ascii="Calibri" w:eastAsia="Times New Roman" w:hAnsi="Calibri" w:cs="Calibri"/>
        </w:rPr>
        <w:instrText>HYPERLINK "https://hudoc.echr.coe.int/" \l "{%22fulltext%22:[%2237241/21%22],%22documentcollectionid2%22:[%22GRANDCHAMBER%22,%22CHAMBER%22],%22itemid%22:[%22001-221838%22]}"</w:instrText>
      </w:r>
      <w:r w:rsidRPr="009B1315">
        <w:rPr>
          <w:rFonts w:ascii="Calibri" w:eastAsia="Times New Roman" w:hAnsi="Calibri" w:cs="Calibri"/>
        </w:rPr>
      </w:r>
      <w:r w:rsidRPr="009B1315">
        <w:rPr>
          <w:rFonts w:ascii="Calibri" w:eastAsia="Times New Roman" w:hAnsi="Calibri" w:cs="Calibri"/>
        </w:rPr>
        <w:fldChar w:fldCharType="separate"/>
      </w:r>
      <w:r w:rsidRPr="009B1315">
        <w:rPr>
          <w:rFonts w:ascii="Calibri" w:eastAsia="Times New Roman" w:hAnsi="Calibri" w:cs="Calibri"/>
          <w:color w:val="0000FF"/>
          <w:u w:val="single"/>
        </w:rPr>
        <w:t>Prieiga internete</w:t>
      </w:r>
    </w:p>
    <w:p w14:paraId="3AF282B2" w14:textId="59854CA5" w:rsidR="009B1315" w:rsidRPr="0005723B" w:rsidRDefault="009B1315" w:rsidP="00F87300">
      <w:pPr>
        <w:spacing w:after="0" w:line="240" w:lineRule="auto"/>
        <w:ind w:right="-1"/>
      </w:pPr>
      <w:r w:rsidRPr="009B1315">
        <w:rPr>
          <w:rFonts w:ascii="Calibri" w:eastAsia="Calibri" w:hAnsi="Calibri" w:cs="Calibri"/>
        </w:rPr>
        <w:fldChar w:fldCharType="end"/>
      </w:r>
    </w:p>
    <w:p w14:paraId="56EC0E74" w14:textId="0BA959EC" w:rsidR="004115A0" w:rsidRPr="00EE0FC1" w:rsidRDefault="004115A0" w:rsidP="00F87300">
      <w:pPr>
        <w:pStyle w:val="Antrat1"/>
        <w:spacing w:before="0"/>
        <w:ind w:right="-1"/>
      </w:pPr>
      <w:bookmarkStart w:id="62" w:name="_Toc141446383"/>
      <w:r w:rsidRPr="00EE0FC1">
        <w:t>NUOSAVYBĖS APSAUGA (Protokolo Nr. 1 1 straipsnis)</w:t>
      </w:r>
      <w:bookmarkEnd w:id="62"/>
    </w:p>
    <w:p w14:paraId="1D97E1A8" w14:textId="77777777" w:rsidR="004115A0" w:rsidRPr="00EE0FC1" w:rsidRDefault="004115A0" w:rsidP="00F87300">
      <w:pPr>
        <w:spacing w:after="0" w:line="240" w:lineRule="auto"/>
        <w:ind w:right="-1"/>
        <w:jc w:val="both"/>
        <w:rPr>
          <w:rFonts w:cs="Arial"/>
          <w:b/>
        </w:rPr>
      </w:pPr>
    </w:p>
    <w:p w14:paraId="420F2FC8" w14:textId="43536662" w:rsidR="004115A0" w:rsidRPr="00EE0FC1" w:rsidRDefault="004115A0" w:rsidP="00F87300">
      <w:pPr>
        <w:spacing w:after="0" w:line="240" w:lineRule="auto"/>
        <w:ind w:right="-1"/>
        <w:jc w:val="center"/>
        <w:rPr>
          <w:rFonts w:cstheme="minorHAnsi"/>
          <w:b/>
        </w:rPr>
      </w:pPr>
      <w:r w:rsidRPr="00EE0FC1">
        <w:rPr>
          <w:rFonts w:cstheme="minorHAnsi"/>
          <w:b/>
        </w:rPr>
        <w:t xml:space="preserve">Europos Žmogaus Teisių Teismo 2022 m. </w:t>
      </w:r>
      <w:r w:rsidR="004C36E5">
        <w:rPr>
          <w:rFonts w:cstheme="minorHAnsi"/>
          <w:b/>
        </w:rPr>
        <w:t>gruodžio 6</w:t>
      </w:r>
      <w:r w:rsidRPr="00EE0FC1">
        <w:rPr>
          <w:rFonts w:cstheme="minorHAnsi"/>
          <w:b/>
        </w:rPr>
        <w:t xml:space="preserve"> d. sprendimas byloje</w:t>
      </w:r>
    </w:p>
    <w:p w14:paraId="5BA8E08C" w14:textId="7BD74BC0" w:rsidR="004115A0" w:rsidRPr="00EE0FC1" w:rsidRDefault="004C36E5" w:rsidP="00F87300">
      <w:pPr>
        <w:pStyle w:val="Antrat2"/>
        <w:ind w:right="-1" w:firstLine="0"/>
      </w:pPr>
      <w:bookmarkStart w:id="63" w:name="_Toc141446384"/>
      <w:r w:rsidRPr="004C36E5">
        <w:t>Pannon Plakát Kft</w:t>
      </w:r>
      <w:r>
        <w:t xml:space="preserve"> ir kiti </w:t>
      </w:r>
      <w:r w:rsidR="004115A0" w:rsidRPr="00EE0FC1">
        <w:t xml:space="preserve">prieš </w:t>
      </w:r>
      <w:r>
        <w:t>Vengriją</w:t>
      </w:r>
      <w:bookmarkEnd w:id="63"/>
    </w:p>
    <w:p w14:paraId="78BB5357" w14:textId="6CF3FF1A" w:rsidR="004115A0" w:rsidRPr="00EE0FC1" w:rsidRDefault="004115A0" w:rsidP="00F87300">
      <w:pPr>
        <w:spacing w:after="0" w:line="240" w:lineRule="auto"/>
        <w:ind w:right="-1"/>
        <w:jc w:val="center"/>
        <w:rPr>
          <w:rFonts w:cstheme="minorHAnsi"/>
          <w:b/>
        </w:rPr>
      </w:pPr>
      <w:r w:rsidRPr="00EE0FC1">
        <w:rPr>
          <w:rFonts w:cstheme="minorHAnsi"/>
          <w:b/>
        </w:rPr>
        <w:t xml:space="preserve">(pareiškimo Nr. </w:t>
      </w:r>
      <w:r w:rsidR="004C36E5">
        <w:rPr>
          <w:rFonts w:cstheme="minorHAnsi"/>
          <w:b/>
        </w:rPr>
        <w:t>39859</w:t>
      </w:r>
      <w:r w:rsidRPr="00EE0FC1">
        <w:rPr>
          <w:rFonts w:cstheme="minorHAnsi"/>
          <w:b/>
        </w:rPr>
        <w:t>/1</w:t>
      </w:r>
      <w:r w:rsidR="004C36E5">
        <w:rPr>
          <w:rFonts w:cstheme="minorHAnsi"/>
          <w:b/>
        </w:rPr>
        <w:t>4</w:t>
      </w:r>
      <w:r w:rsidRPr="00EE0FC1">
        <w:rPr>
          <w:rFonts w:cstheme="minorHAnsi"/>
          <w:b/>
          <w:bCs/>
        </w:rPr>
        <w:t xml:space="preserve">, svarbos lygis – </w:t>
      </w:r>
      <w:r w:rsidR="004C36E5">
        <w:rPr>
          <w:rFonts w:cstheme="minorHAnsi"/>
          <w:b/>
          <w:bCs/>
        </w:rPr>
        <w:t>2</w:t>
      </w:r>
      <w:r w:rsidRPr="00EE0FC1">
        <w:rPr>
          <w:rFonts w:cstheme="minorHAnsi"/>
          <w:b/>
        </w:rPr>
        <w:t>)</w:t>
      </w:r>
    </w:p>
    <w:p w14:paraId="457933CE" w14:textId="77777777" w:rsidR="004115A0" w:rsidRPr="00EE0FC1" w:rsidRDefault="004115A0" w:rsidP="00F87300">
      <w:pPr>
        <w:pStyle w:val="s6c429373"/>
        <w:spacing w:before="0" w:beforeAutospacing="0" w:after="0" w:afterAutospacing="0"/>
        <w:ind w:right="-1" w:firstLine="567"/>
        <w:jc w:val="both"/>
        <w:rPr>
          <w:rStyle w:val="sfbbfee58"/>
          <w:rFonts w:asciiTheme="minorHAnsi" w:hAnsiTheme="minorHAnsi" w:cstheme="minorHAnsi"/>
          <w:i/>
          <w:sz w:val="22"/>
          <w:szCs w:val="22"/>
        </w:rPr>
      </w:pPr>
    </w:p>
    <w:p w14:paraId="55C541C6" w14:textId="3BF8BF2B" w:rsidR="004115A0" w:rsidRPr="00EE0FC1" w:rsidRDefault="004115A0" w:rsidP="00F87300">
      <w:pPr>
        <w:pStyle w:val="Antrat3"/>
        <w:spacing w:line="240" w:lineRule="auto"/>
        <w:ind w:right="-1" w:firstLine="567"/>
      </w:pPr>
      <w:bookmarkStart w:id="64" w:name="_Toc141446385"/>
      <w:r w:rsidRPr="00EE0FC1">
        <w:t xml:space="preserve">Dėl </w:t>
      </w:r>
      <w:r w:rsidR="00F13A4F">
        <w:t xml:space="preserve">reklamos </w:t>
      </w:r>
      <w:r w:rsidR="001B2584">
        <w:t>pakelės</w:t>
      </w:r>
      <w:r w:rsidR="00341837">
        <w:t xml:space="preserve"> </w:t>
      </w:r>
      <w:r w:rsidR="00F13A4F">
        <w:t xml:space="preserve">reklaminiuose stenduose už gyvenamųjų vietovių ribų draudimo ir </w:t>
      </w:r>
      <w:r w:rsidR="002E7CB4">
        <w:t>toki</w:t>
      </w:r>
      <w:r w:rsidR="00565C9E">
        <w:t>o</w:t>
      </w:r>
      <w:r w:rsidR="002E7CB4">
        <w:t xml:space="preserve"> draudim</w:t>
      </w:r>
      <w:r w:rsidR="00565C9E">
        <w:t>o įsigaliojimui</w:t>
      </w:r>
      <w:r w:rsidR="002E7CB4">
        <w:t xml:space="preserve"> </w:t>
      </w:r>
      <w:r w:rsidR="00F13A4F">
        <w:t>aktualaus pereinamojo laikotarpio</w:t>
      </w:r>
      <w:bookmarkEnd w:id="64"/>
    </w:p>
    <w:p w14:paraId="0B791DE7" w14:textId="77777777" w:rsidR="004115A0" w:rsidRPr="00EE0FC1" w:rsidRDefault="004115A0" w:rsidP="00F87300">
      <w:pPr>
        <w:spacing w:after="0" w:line="240" w:lineRule="auto"/>
        <w:ind w:right="-1" w:firstLine="567"/>
        <w:rPr>
          <w:rFonts w:cstheme="minorHAnsi"/>
        </w:rPr>
      </w:pPr>
    </w:p>
    <w:p w14:paraId="407CD9A5" w14:textId="77777777" w:rsidR="004115A0" w:rsidRPr="00EE0FC1" w:rsidRDefault="004115A0" w:rsidP="00F87300">
      <w:pPr>
        <w:spacing w:after="0" w:line="240" w:lineRule="auto"/>
        <w:ind w:right="-1"/>
        <w:jc w:val="center"/>
        <w:rPr>
          <w:rFonts w:cstheme="minorHAnsi"/>
          <w:b/>
        </w:rPr>
      </w:pPr>
      <w:r w:rsidRPr="00EE0FC1">
        <w:rPr>
          <w:rFonts w:cstheme="minorHAnsi"/>
          <w:b/>
        </w:rPr>
        <w:t>Faktinės aplinkybės</w:t>
      </w:r>
    </w:p>
    <w:p w14:paraId="10B667A9" w14:textId="012E59D8" w:rsidR="004115A0" w:rsidRPr="00EE0FC1" w:rsidRDefault="004115A0" w:rsidP="00F87300">
      <w:pPr>
        <w:spacing w:after="0" w:line="240" w:lineRule="auto"/>
        <w:ind w:left="113" w:right="-1" w:firstLine="567"/>
        <w:jc w:val="both"/>
        <w:rPr>
          <w:rFonts w:cstheme="minorHAnsi"/>
        </w:rPr>
      </w:pPr>
    </w:p>
    <w:p w14:paraId="06404D37" w14:textId="14E10234" w:rsidR="00115717" w:rsidRDefault="00364A5E" w:rsidP="00F87300">
      <w:pPr>
        <w:spacing w:after="0" w:line="240" w:lineRule="auto"/>
        <w:ind w:right="-1" w:firstLine="567"/>
        <w:jc w:val="both"/>
        <w:rPr>
          <w:rFonts w:cstheme="minorHAnsi"/>
        </w:rPr>
      </w:pPr>
      <w:r>
        <w:rPr>
          <w:rFonts w:cstheme="minorHAnsi"/>
        </w:rPr>
        <w:t>Pareiškėj</w:t>
      </w:r>
      <w:r w:rsidR="006E5C65">
        <w:rPr>
          <w:rFonts w:cstheme="minorHAnsi"/>
        </w:rPr>
        <w:t>ai</w:t>
      </w:r>
      <w:r>
        <w:rPr>
          <w:rFonts w:cstheme="minorHAnsi"/>
        </w:rPr>
        <w:t xml:space="preserve"> </w:t>
      </w:r>
      <w:r w:rsidR="006E5C65">
        <w:rPr>
          <w:rFonts w:cstheme="minorHAnsi"/>
        </w:rPr>
        <w:t>byloje –</w:t>
      </w:r>
      <w:r>
        <w:rPr>
          <w:rFonts w:cstheme="minorHAnsi"/>
        </w:rPr>
        <w:t xml:space="preserve"> reklamos įmonės, kurios eksploatavo reklaminius stendus pakelėse ir iš šios veiklos gavo didelę pajamų dalį. Kelių eismo įstatymo pakeitim</w:t>
      </w:r>
      <w:r w:rsidR="00DF0855">
        <w:rPr>
          <w:rFonts w:cstheme="minorHAnsi"/>
        </w:rPr>
        <w:t>ais</w:t>
      </w:r>
      <w:r>
        <w:rPr>
          <w:rFonts w:cstheme="minorHAnsi"/>
        </w:rPr>
        <w:t>, atlikt</w:t>
      </w:r>
      <w:r w:rsidR="00DF0855">
        <w:rPr>
          <w:rFonts w:cstheme="minorHAnsi"/>
        </w:rPr>
        <w:t>ais</w:t>
      </w:r>
      <w:r>
        <w:rPr>
          <w:rFonts w:cstheme="minorHAnsi"/>
        </w:rPr>
        <w:t xml:space="preserve"> nuo 2011 m., reklama pakelėse esančiose rek</w:t>
      </w:r>
      <w:r w:rsidR="006E5C65">
        <w:rPr>
          <w:rFonts w:cstheme="minorHAnsi"/>
        </w:rPr>
        <w:t xml:space="preserve">laminiuose stenduose </w:t>
      </w:r>
      <w:r>
        <w:rPr>
          <w:rFonts w:cstheme="minorHAnsi"/>
        </w:rPr>
        <w:t>už gyvenamųjų vietovių ribų buvo uždrausta.</w:t>
      </w:r>
      <w:r w:rsidR="00115717">
        <w:rPr>
          <w:rFonts w:cstheme="minorHAnsi"/>
        </w:rPr>
        <w:t xml:space="preserve"> Dėl tokio draudimo pareiškėja</w:t>
      </w:r>
      <w:r w:rsidR="006E5C65">
        <w:rPr>
          <w:rFonts w:cstheme="minorHAnsi"/>
        </w:rPr>
        <w:t>i</w:t>
      </w:r>
      <w:r w:rsidR="00115717">
        <w:rPr>
          <w:rFonts w:cstheme="minorHAnsi"/>
        </w:rPr>
        <w:t xml:space="preserve"> neteko </w:t>
      </w:r>
      <w:r w:rsidR="00115717">
        <w:rPr>
          <w:rFonts w:cstheme="minorHAnsi"/>
        </w:rPr>
        <w:lastRenderedPageBreak/>
        <w:t xml:space="preserve">galimybės naudoti ir išnuomoti didelę dalį anksčiau įrengtų reklaminių </w:t>
      </w:r>
      <w:r w:rsidR="00F13A4F">
        <w:rPr>
          <w:rFonts w:cstheme="minorHAnsi"/>
        </w:rPr>
        <w:t>stendų</w:t>
      </w:r>
      <w:r w:rsidR="00115717">
        <w:rPr>
          <w:rFonts w:cstheme="minorHAnsi"/>
        </w:rPr>
        <w:t xml:space="preserve"> ir prarado didelę dalį pajamų. Teisės aktų teisėtumo klausimus nagrinėjęs Konstitucinis Teismas prieštaravimo nenustatė. </w:t>
      </w:r>
    </w:p>
    <w:p w14:paraId="718B573C" w14:textId="6221665C" w:rsidR="004115A0" w:rsidRPr="00EE0FC1" w:rsidRDefault="00115717" w:rsidP="00F87300">
      <w:pPr>
        <w:spacing w:after="0" w:line="240" w:lineRule="auto"/>
        <w:ind w:right="-1" w:firstLine="567"/>
        <w:jc w:val="both"/>
        <w:rPr>
          <w:rFonts w:cstheme="minorHAnsi"/>
        </w:rPr>
      </w:pPr>
      <w:r>
        <w:rPr>
          <w:rFonts w:cstheme="minorHAnsi"/>
        </w:rPr>
        <w:t>P</w:t>
      </w:r>
      <w:r w:rsidR="006E5C65">
        <w:rPr>
          <w:rFonts w:cstheme="minorHAnsi"/>
        </w:rPr>
        <w:t>areiškėjai</w:t>
      </w:r>
      <w:r>
        <w:rPr>
          <w:rFonts w:cstheme="minorHAnsi"/>
        </w:rPr>
        <w:t xml:space="preserve"> kreipėsi į EŽTT, kuris nagrinėjo klausimą, susijusį su </w:t>
      </w:r>
      <w:r w:rsidR="00364A5E">
        <w:rPr>
          <w:rFonts w:cstheme="minorHAnsi"/>
        </w:rPr>
        <w:t xml:space="preserve">įsikišimu į </w:t>
      </w:r>
      <w:r w:rsidR="006E5C65">
        <w:rPr>
          <w:rFonts w:cstheme="minorHAnsi"/>
        </w:rPr>
        <w:t>pareiškėjų (</w:t>
      </w:r>
      <w:r w:rsidR="00364A5E">
        <w:rPr>
          <w:rFonts w:cstheme="minorHAnsi"/>
        </w:rPr>
        <w:t>įmonių</w:t>
      </w:r>
      <w:r w:rsidR="006E5C65">
        <w:rPr>
          <w:rFonts w:cstheme="minorHAnsi"/>
        </w:rPr>
        <w:t>)</w:t>
      </w:r>
      <w:r w:rsidR="00364A5E">
        <w:rPr>
          <w:rFonts w:cstheme="minorHAnsi"/>
        </w:rPr>
        <w:t xml:space="preserve"> teises pagal Konvencijos Protokolo Nr. 1 1 straipsnį ir Konvencijos 10 straipsnį dėl daugelio teisės aktų pakeitimų, kuriais galiausiai buvo uždrausta reklama pakelėse</w:t>
      </w:r>
      <w:r w:rsidR="00F13A4F">
        <w:rPr>
          <w:rFonts w:cstheme="minorHAnsi"/>
        </w:rPr>
        <w:t xml:space="preserve"> esančiose reklaminiuose stenduose </w:t>
      </w:r>
      <w:r w:rsidR="00364A5E">
        <w:rPr>
          <w:rFonts w:cstheme="minorHAnsi"/>
        </w:rPr>
        <w:t xml:space="preserve">už gyvenamųjų vietovių ribų, tokiu būdu </w:t>
      </w:r>
      <w:r w:rsidR="00EF6497">
        <w:rPr>
          <w:rFonts w:cstheme="minorHAnsi"/>
        </w:rPr>
        <w:t>darant</w:t>
      </w:r>
      <w:r w:rsidR="00364A5E">
        <w:rPr>
          <w:rFonts w:cstheme="minorHAnsi"/>
        </w:rPr>
        <w:t xml:space="preserve"> </w:t>
      </w:r>
      <w:r w:rsidR="00EF6497">
        <w:rPr>
          <w:rFonts w:cstheme="minorHAnsi"/>
        </w:rPr>
        <w:t xml:space="preserve">įtaką </w:t>
      </w:r>
      <w:r w:rsidR="00364A5E">
        <w:rPr>
          <w:rFonts w:cstheme="minorHAnsi"/>
        </w:rPr>
        <w:t>didel</w:t>
      </w:r>
      <w:r w:rsidR="00EF6497">
        <w:rPr>
          <w:rFonts w:cstheme="minorHAnsi"/>
        </w:rPr>
        <w:t>ei</w:t>
      </w:r>
      <w:r w:rsidR="00364A5E">
        <w:rPr>
          <w:rFonts w:cstheme="minorHAnsi"/>
        </w:rPr>
        <w:t xml:space="preserve"> </w:t>
      </w:r>
      <w:r w:rsidR="001B2584">
        <w:rPr>
          <w:rFonts w:cstheme="minorHAnsi"/>
        </w:rPr>
        <w:t>pareiškėjų</w:t>
      </w:r>
      <w:r w:rsidR="00364A5E">
        <w:rPr>
          <w:rFonts w:cstheme="minorHAnsi"/>
        </w:rPr>
        <w:t xml:space="preserve"> verslo dal</w:t>
      </w:r>
      <w:r w:rsidR="00EF6497">
        <w:rPr>
          <w:rFonts w:cstheme="minorHAnsi"/>
        </w:rPr>
        <w:t>iai</w:t>
      </w:r>
      <w:r w:rsidR="004115A0" w:rsidRPr="00EE0FC1">
        <w:rPr>
          <w:rFonts w:cstheme="minorHAnsi"/>
        </w:rPr>
        <w:t xml:space="preserve">. </w:t>
      </w:r>
    </w:p>
    <w:p w14:paraId="099E81DA" w14:textId="77777777" w:rsidR="004115A0" w:rsidRPr="00EE0FC1" w:rsidRDefault="004115A0" w:rsidP="00F87300">
      <w:pPr>
        <w:spacing w:after="0" w:line="240" w:lineRule="auto"/>
        <w:ind w:right="-1" w:firstLine="567"/>
        <w:jc w:val="both"/>
        <w:rPr>
          <w:rFonts w:cstheme="minorHAnsi"/>
        </w:rPr>
      </w:pPr>
    </w:p>
    <w:p w14:paraId="20E82EC9" w14:textId="77777777" w:rsidR="004115A0" w:rsidRPr="00EE0FC1" w:rsidRDefault="004115A0" w:rsidP="00F87300">
      <w:pPr>
        <w:spacing w:after="0" w:line="240" w:lineRule="auto"/>
        <w:ind w:right="-1"/>
        <w:jc w:val="center"/>
        <w:rPr>
          <w:rFonts w:cstheme="minorHAnsi"/>
          <w:b/>
          <w:bCs/>
        </w:rPr>
      </w:pPr>
      <w:r w:rsidRPr="00EE0FC1">
        <w:rPr>
          <w:rFonts w:cstheme="minorHAnsi"/>
          <w:b/>
          <w:bCs/>
        </w:rPr>
        <w:t>Neoficiali Teismo sprendimo apžvalga</w:t>
      </w:r>
    </w:p>
    <w:p w14:paraId="06579D67" w14:textId="77777777" w:rsidR="004115A0" w:rsidRPr="00EE0FC1" w:rsidRDefault="004115A0" w:rsidP="00F87300">
      <w:pPr>
        <w:spacing w:after="0" w:line="240" w:lineRule="auto"/>
        <w:ind w:right="-1" w:firstLine="567"/>
        <w:jc w:val="both"/>
        <w:rPr>
          <w:rFonts w:cstheme="minorHAnsi"/>
        </w:rPr>
      </w:pPr>
    </w:p>
    <w:p w14:paraId="769155A3" w14:textId="223D4E6B" w:rsidR="00115717" w:rsidRPr="00524652" w:rsidRDefault="00115717" w:rsidP="00F87300">
      <w:pPr>
        <w:spacing w:after="0" w:line="240" w:lineRule="auto"/>
        <w:ind w:right="-1" w:firstLine="567"/>
        <w:jc w:val="both"/>
        <w:rPr>
          <w:rFonts w:cstheme="minorHAnsi"/>
          <w:i/>
        </w:rPr>
      </w:pPr>
      <w:r w:rsidRPr="00524652">
        <w:rPr>
          <w:rFonts w:cstheme="minorHAnsi"/>
          <w:i/>
        </w:rPr>
        <w:t>Dėl antrojo ir penkto</w:t>
      </w:r>
      <w:r w:rsidR="00457B12">
        <w:rPr>
          <w:rFonts w:cstheme="minorHAnsi"/>
          <w:i/>
        </w:rPr>
        <w:t>jo</w:t>
      </w:r>
      <w:r w:rsidRPr="00524652">
        <w:rPr>
          <w:rFonts w:cstheme="minorHAnsi"/>
          <w:i/>
        </w:rPr>
        <w:t xml:space="preserve"> pareiškėjo: </w:t>
      </w:r>
    </w:p>
    <w:p w14:paraId="655E86A7" w14:textId="5FB87F8F" w:rsidR="004115A0" w:rsidRDefault="00115717" w:rsidP="00F87300">
      <w:pPr>
        <w:spacing w:after="0" w:line="240" w:lineRule="auto"/>
        <w:ind w:right="-1" w:firstLine="567"/>
        <w:jc w:val="both"/>
        <w:rPr>
          <w:rFonts w:cstheme="minorHAnsi"/>
        </w:rPr>
      </w:pPr>
      <w:r>
        <w:rPr>
          <w:rFonts w:cstheme="minorHAnsi"/>
        </w:rPr>
        <w:t xml:space="preserve">Po to, kai antrasis ir penktasis pareiškėjai tapo nemokūs, prieš </w:t>
      </w:r>
      <w:r w:rsidR="005E51FE">
        <w:rPr>
          <w:rFonts w:cstheme="minorHAnsi"/>
        </w:rPr>
        <w:t>pašalinimą</w:t>
      </w:r>
      <w:r>
        <w:rPr>
          <w:rFonts w:cstheme="minorHAnsi"/>
        </w:rPr>
        <w:t xml:space="preserve"> iš įmonių registro jie perdavė savo Teisme nagrinėjamą skundą kitai įmonei ir akcininkui, kuris </w:t>
      </w:r>
      <w:r w:rsidR="00524652">
        <w:rPr>
          <w:rFonts w:cstheme="minorHAnsi"/>
        </w:rPr>
        <w:t>perleidimo aktu siekė perimti individualią peticiją iš pareiškėjų. T</w:t>
      </w:r>
      <w:r w:rsidR="00457B12">
        <w:rPr>
          <w:rFonts w:cstheme="minorHAnsi"/>
        </w:rPr>
        <w:t>ačiau, Teismo vertinimu, k</w:t>
      </w:r>
      <w:r w:rsidR="00524652">
        <w:rPr>
          <w:rFonts w:cstheme="minorHAnsi"/>
        </w:rPr>
        <w:t xml:space="preserve">ad ir koks būtų nagrinėjamo sandorio vertinimas nacionalinėje teisėje, leidimas perduoti pareiškėjo statusą būtų neatitikęs Konvencijos, </w:t>
      </w:r>
      <w:r w:rsidR="00457B12">
        <w:rPr>
          <w:rFonts w:cstheme="minorHAnsi"/>
        </w:rPr>
        <w:t>kaip pagrindinė</w:t>
      </w:r>
      <w:r w:rsidR="00524652">
        <w:rPr>
          <w:rFonts w:cstheme="minorHAnsi"/>
        </w:rPr>
        <w:t>s žmogaus teises ginančio dokumento, ir pačio Teismo, kaip jos globėjo, prigimties</w:t>
      </w:r>
      <w:r w:rsidR="002A4206">
        <w:rPr>
          <w:rFonts w:cstheme="minorHAnsi"/>
        </w:rPr>
        <w:t xml:space="preserve">. </w:t>
      </w:r>
      <w:r w:rsidR="002A4206" w:rsidRPr="002A4206">
        <w:rPr>
          <w:rFonts w:cstheme="minorHAnsi"/>
        </w:rPr>
        <w:t xml:space="preserve">Be to, nebuvo jokių ypatingų aplinkybių, susijusių su pagarba žmogaus teisėms, dėl kurių Teismas turėtų tęsti pareiškimo dėl antrojo ir penktojo pareiškėjų nagrinėjimą pagal </w:t>
      </w:r>
      <w:r w:rsidR="002A4206">
        <w:rPr>
          <w:rFonts w:cstheme="minorHAnsi"/>
        </w:rPr>
        <w:t xml:space="preserve">Konvencijos </w:t>
      </w:r>
      <w:r w:rsidR="002A4206" w:rsidRPr="002A4206">
        <w:rPr>
          <w:rFonts w:cstheme="minorHAnsi"/>
        </w:rPr>
        <w:t>37 straipsnio 1 dalį, atsižvelgiant į tai, kad jie tapo nemokūs, ir ieškinys iš esmės buvo piniginio pobūdžio.</w:t>
      </w:r>
      <w:r w:rsidR="00506669">
        <w:rPr>
          <w:rFonts w:cstheme="minorHAnsi"/>
        </w:rPr>
        <w:t xml:space="preserve"> Dėl to skundas dėl šių pareiškėjų pripažintas nepriimtinu.</w:t>
      </w:r>
    </w:p>
    <w:p w14:paraId="3E573360" w14:textId="77777777" w:rsidR="00506669" w:rsidRDefault="00506669" w:rsidP="00F87300">
      <w:pPr>
        <w:spacing w:after="0" w:line="240" w:lineRule="auto"/>
        <w:ind w:right="-1" w:firstLine="567"/>
        <w:jc w:val="both"/>
        <w:rPr>
          <w:rFonts w:cstheme="minorHAnsi"/>
        </w:rPr>
      </w:pPr>
    </w:p>
    <w:p w14:paraId="609163F3" w14:textId="0EF983B7" w:rsidR="00506669" w:rsidRPr="00524652" w:rsidRDefault="00506669" w:rsidP="00F87300">
      <w:pPr>
        <w:spacing w:after="0" w:line="240" w:lineRule="auto"/>
        <w:ind w:right="-1" w:firstLine="567"/>
        <w:jc w:val="both"/>
        <w:rPr>
          <w:rFonts w:cstheme="minorHAnsi"/>
          <w:i/>
        </w:rPr>
      </w:pPr>
      <w:r w:rsidRPr="00524652">
        <w:rPr>
          <w:rFonts w:cstheme="minorHAnsi"/>
          <w:i/>
        </w:rPr>
        <w:t xml:space="preserve">Dėl </w:t>
      </w:r>
      <w:r>
        <w:rPr>
          <w:rFonts w:cstheme="minorHAnsi"/>
          <w:i/>
        </w:rPr>
        <w:t>pirmojo, trečiojo, ketvirtojo, šeštojo</w:t>
      </w:r>
      <w:r w:rsidRPr="00524652">
        <w:rPr>
          <w:rFonts w:cstheme="minorHAnsi"/>
          <w:i/>
        </w:rPr>
        <w:t xml:space="preserve"> ir </w:t>
      </w:r>
      <w:r>
        <w:rPr>
          <w:rFonts w:cstheme="minorHAnsi"/>
          <w:i/>
        </w:rPr>
        <w:t>septintojo</w:t>
      </w:r>
      <w:r w:rsidRPr="00524652">
        <w:rPr>
          <w:rFonts w:cstheme="minorHAnsi"/>
          <w:i/>
        </w:rPr>
        <w:t xml:space="preserve"> pareiškėjo: </w:t>
      </w:r>
    </w:p>
    <w:p w14:paraId="5AECDB5C" w14:textId="717B632C" w:rsidR="008D4416" w:rsidRDefault="00506669" w:rsidP="00F87300">
      <w:pPr>
        <w:spacing w:after="0" w:line="240" w:lineRule="auto"/>
        <w:ind w:right="-1" w:firstLine="567"/>
        <w:jc w:val="both"/>
        <w:rPr>
          <w:rFonts w:cstheme="minorHAnsi"/>
        </w:rPr>
      </w:pPr>
      <w:r>
        <w:rPr>
          <w:rFonts w:cstheme="minorHAnsi"/>
        </w:rPr>
        <w:t xml:space="preserve">Teismas nurodė, kad pareiškėjų verslas priklausė reklamos </w:t>
      </w:r>
      <w:r w:rsidR="005235E1">
        <w:rPr>
          <w:rFonts w:cstheme="minorHAnsi"/>
        </w:rPr>
        <w:t xml:space="preserve">pakelėse </w:t>
      </w:r>
      <w:r>
        <w:rPr>
          <w:rFonts w:cstheme="minorHAnsi"/>
        </w:rPr>
        <w:t>segmentui, kas reikalavo atitinkamo turto,</w:t>
      </w:r>
      <w:r w:rsidR="005E51FE">
        <w:rPr>
          <w:rFonts w:cstheme="minorHAnsi"/>
        </w:rPr>
        <w:t xml:space="preserve"> specialių</w:t>
      </w:r>
      <w:r>
        <w:rPr>
          <w:rFonts w:cstheme="minorHAnsi"/>
        </w:rPr>
        <w:t xml:space="preserve"> pakelės reklamos stendų. Teismo vertinimu, </w:t>
      </w:r>
      <w:r w:rsidR="005235E1">
        <w:rPr>
          <w:rFonts w:cstheme="minorHAnsi"/>
        </w:rPr>
        <w:t>d</w:t>
      </w:r>
      <w:r>
        <w:rPr>
          <w:rFonts w:cstheme="minorHAnsi"/>
        </w:rPr>
        <w:t>ėl pritaikytos įstatyminės priemonės, kuri</w:t>
      </w:r>
      <w:r w:rsidR="007139F4">
        <w:rPr>
          <w:rFonts w:cstheme="minorHAnsi"/>
        </w:rPr>
        <w:t>a buvo</w:t>
      </w:r>
      <w:r>
        <w:rPr>
          <w:rFonts w:cstheme="minorHAnsi"/>
        </w:rPr>
        <w:t xml:space="preserve"> įsikiš</w:t>
      </w:r>
      <w:r w:rsidR="007139F4">
        <w:rPr>
          <w:rFonts w:cstheme="minorHAnsi"/>
        </w:rPr>
        <w:t>ta</w:t>
      </w:r>
      <w:r>
        <w:rPr>
          <w:rFonts w:cstheme="minorHAnsi"/>
        </w:rPr>
        <w:t xml:space="preserve"> į pareiškėjų ekonominės veiklos laisvę, jie prarado galimybę naudotis ir išnuomoti didelę dalį savo anksčiau įrengtų reklaminių stendų. Jie turėjo nutraukti arba pakeisti sutartis su esamais klientais, kurie skelbė apie savo produktus pareiškėjų reklamini</w:t>
      </w:r>
      <w:r w:rsidR="005235E1">
        <w:rPr>
          <w:rFonts w:cstheme="minorHAnsi"/>
        </w:rPr>
        <w:t>uose stenduose</w:t>
      </w:r>
      <w:r>
        <w:rPr>
          <w:rFonts w:cstheme="minorHAnsi"/>
        </w:rPr>
        <w:t>. Be to, pareiškėjai turėjo padengti reklaminių stendų, kurie negalėjo būti naudojami kitiems pajamas generuojantiems tikslams, pašalinimo išlaidas. Tai reikšmingai sumažino jų pajamas</w:t>
      </w:r>
      <w:r w:rsidR="008D4416">
        <w:rPr>
          <w:rFonts w:cstheme="minorHAnsi"/>
        </w:rPr>
        <w:t xml:space="preserve"> ir prisidėjo prie jų investicijų vertės sumažėjimo.</w:t>
      </w:r>
    </w:p>
    <w:p w14:paraId="325ACDAE" w14:textId="3FE0D794" w:rsidR="00506669" w:rsidRDefault="008D4416" w:rsidP="00F87300">
      <w:pPr>
        <w:spacing w:after="0" w:line="240" w:lineRule="auto"/>
        <w:ind w:right="-1" w:firstLine="567"/>
        <w:jc w:val="both"/>
        <w:rPr>
          <w:rFonts w:cstheme="minorHAnsi"/>
        </w:rPr>
      </w:pPr>
      <w:r>
        <w:rPr>
          <w:rFonts w:cstheme="minorHAnsi"/>
        </w:rPr>
        <w:t>Teismo vertinimu, pareiškėjai prarado galimybes rinkoje,</w:t>
      </w:r>
      <w:r w:rsidR="00506669">
        <w:rPr>
          <w:rFonts w:cstheme="minorHAnsi"/>
        </w:rPr>
        <w:t xml:space="preserve"> </w:t>
      </w:r>
      <w:r>
        <w:rPr>
          <w:rFonts w:cstheme="minorHAnsi"/>
        </w:rPr>
        <w:t>dėl ko jie neišvengiamai prarado pelną, ka</w:t>
      </w:r>
      <w:r w:rsidR="001B161D">
        <w:rPr>
          <w:rFonts w:cstheme="minorHAnsi"/>
        </w:rPr>
        <w:t>s</w:t>
      </w:r>
      <w:r>
        <w:rPr>
          <w:rFonts w:cstheme="minorHAnsi"/>
        </w:rPr>
        <w:t xml:space="preserve"> galėjo lemti jų akcijų vertės sumažėjimą. Akcijos akcinėje bendrovėje turi ekonominę vertę, dėl to jos laikytinos nuosavybe Protokolo Nr. 1 1 straipsnio prasme. Be to, pareiškėjai buvo </w:t>
      </w:r>
      <w:r w:rsidR="00FC646A">
        <w:rPr>
          <w:rFonts w:cstheme="minorHAnsi"/>
        </w:rPr>
        <w:t xml:space="preserve">pakelės reklaminių stendų – fizinių prekių, saugomų pagal šią nuostatą, – savininkai, kurie dėl pritaikytos priemonės prarado didžiąją dalį savo ekonominės vertės. </w:t>
      </w:r>
      <w:r w:rsidR="004C6742">
        <w:rPr>
          <w:rFonts w:cstheme="minorHAnsi"/>
        </w:rPr>
        <w:t>Atsižvelgiant į rimtas ekonomines pasekmes, pritaikytos priemonės sąlygojo įsikišimą į pareiškėjų nuosavybės teises.</w:t>
      </w:r>
      <w:r w:rsidR="003323B3">
        <w:rPr>
          <w:rFonts w:cstheme="minorHAnsi"/>
        </w:rPr>
        <w:t xml:space="preserve"> Teismas pažymėjo, kad</w:t>
      </w:r>
      <w:r w:rsidR="00FC646A">
        <w:rPr>
          <w:rFonts w:cstheme="minorHAnsi"/>
        </w:rPr>
        <w:t xml:space="preserve"> </w:t>
      </w:r>
      <w:r w:rsidR="003323B3" w:rsidRPr="003323B3">
        <w:rPr>
          <w:rFonts w:cstheme="minorHAnsi"/>
        </w:rPr>
        <w:t xml:space="preserve">formaliai jų turtas </w:t>
      </w:r>
      <w:r w:rsidR="00814338">
        <w:rPr>
          <w:rFonts w:cstheme="minorHAnsi"/>
        </w:rPr>
        <w:t xml:space="preserve">ar nuosavybė </w:t>
      </w:r>
      <w:r w:rsidR="003323B3">
        <w:rPr>
          <w:rFonts w:cstheme="minorHAnsi"/>
        </w:rPr>
        <w:t>n</w:t>
      </w:r>
      <w:r w:rsidR="003323B3" w:rsidRPr="003323B3">
        <w:rPr>
          <w:rFonts w:cstheme="minorHAnsi"/>
        </w:rPr>
        <w:t>ebuvo nusavint</w:t>
      </w:r>
      <w:r w:rsidR="00814338">
        <w:rPr>
          <w:rFonts w:cstheme="minorHAnsi"/>
        </w:rPr>
        <w:t>i</w:t>
      </w:r>
      <w:r w:rsidR="00FC6D29">
        <w:rPr>
          <w:rFonts w:cstheme="minorHAnsi"/>
        </w:rPr>
        <w:t>: nors</w:t>
      </w:r>
      <w:r w:rsidR="003323B3" w:rsidRPr="003323B3">
        <w:rPr>
          <w:rFonts w:cstheme="minorHAnsi"/>
        </w:rPr>
        <w:t xml:space="preserve"> turtas tapo visiškai netinkamas naudoti, </w:t>
      </w:r>
      <w:r w:rsidR="00814338">
        <w:rPr>
          <w:rFonts w:cstheme="minorHAnsi"/>
        </w:rPr>
        <w:t>stendai</w:t>
      </w:r>
      <w:r w:rsidR="003323B3" w:rsidRPr="003323B3">
        <w:rPr>
          <w:rFonts w:cstheme="minorHAnsi"/>
        </w:rPr>
        <w:t>, prarad</w:t>
      </w:r>
      <w:r w:rsidR="00814338">
        <w:rPr>
          <w:rFonts w:cstheme="minorHAnsi"/>
        </w:rPr>
        <w:t>ę</w:t>
      </w:r>
      <w:r w:rsidR="003323B3" w:rsidRPr="003323B3">
        <w:rPr>
          <w:rFonts w:cstheme="minorHAnsi"/>
        </w:rPr>
        <w:t xml:space="preserve"> ekonominę vertę pagal pirminę paskirtį, vis tiek galėjo būti parduodam</w:t>
      </w:r>
      <w:r w:rsidR="00814338">
        <w:rPr>
          <w:rFonts w:cstheme="minorHAnsi"/>
        </w:rPr>
        <w:t>i</w:t>
      </w:r>
      <w:r w:rsidR="003323B3" w:rsidRPr="003323B3">
        <w:rPr>
          <w:rFonts w:cstheme="minorHAnsi"/>
        </w:rPr>
        <w:t xml:space="preserve"> dalimis. Taigi buvo </w:t>
      </w:r>
      <w:r w:rsidR="00814338">
        <w:rPr>
          <w:rFonts w:cstheme="minorHAnsi"/>
        </w:rPr>
        <w:t>įsikišta į</w:t>
      </w:r>
      <w:r w:rsidR="003323B3" w:rsidRPr="003323B3">
        <w:rPr>
          <w:rFonts w:cstheme="minorHAnsi"/>
        </w:rPr>
        <w:t xml:space="preserve"> pareiškėjų teis</w:t>
      </w:r>
      <w:r w:rsidR="00814338">
        <w:rPr>
          <w:rFonts w:cstheme="minorHAnsi"/>
        </w:rPr>
        <w:t>e</w:t>
      </w:r>
      <w:r w:rsidR="003323B3" w:rsidRPr="003323B3">
        <w:rPr>
          <w:rFonts w:cstheme="minorHAnsi"/>
        </w:rPr>
        <w:t xml:space="preserve">s pagal šią nuostatą, </w:t>
      </w:r>
      <w:r w:rsidR="00814338">
        <w:rPr>
          <w:rFonts w:cstheme="minorHAnsi"/>
        </w:rPr>
        <w:t>apribojant</w:t>
      </w:r>
      <w:r w:rsidR="003323B3" w:rsidRPr="003323B3">
        <w:rPr>
          <w:rFonts w:cstheme="minorHAnsi"/>
        </w:rPr>
        <w:t xml:space="preserve"> jų nuosavybės naudojimo kontrolę.</w:t>
      </w:r>
    </w:p>
    <w:p w14:paraId="1FBCFB5A" w14:textId="6D24E5E5" w:rsidR="00C326B8" w:rsidRDefault="005463D2" w:rsidP="00F87300">
      <w:pPr>
        <w:spacing w:after="0" w:line="240" w:lineRule="auto"/>
        <w:ind w:right="-1" w:firstLine="567"/>
        <w:jc w:val="both"/>
        <w:rPr>
          <w:rFonts w:cstheme="minorHAnsi"/>
        </w:rPr>
      </w:pPr>
      <w:r>
        <w:rPr>
          <w:rFonts w:cstheme="minorHAnsi"/>
        </w:rPr>
        <w:t>Teismas pažymėjo, kad p</w:t>
      </w:r>
      <w:r w:rsidR="00C326B8">
        <w:rPr>
          <w:rFonts w:cstheme="minorHAnsi"/>
        </w:rPr>
        <w:t>ritaikyta teisinio reguliavimo priemonė buvo teisėta ir ja buvo siekiama teisėto tikslo</w:t>
      </w:r>
      <w:r>
        <w:rPr>
          <w:rFonts w:cstheme="minorHAnsi"/>
        </w:rPr>
        <w:t>,</w:t>
      </w:r>
      <w:r w:rsidR="00C326B8">
        <w:rPr>
          <w:rFonts w:cstheme="minorHAnsi"/>
        </w:rPr>
        <w:t xml:space="preserve"> užtikrinant svarbų viešąjį interesą</w:t>
      </w:r>
      <w:r>
        <w:rPr>
          <w:rFonts w:cstheme="minorHAnsi"/>
        </w:rPr>
        <w:t>,</w:t>
      </w:r>
      <w:r w:rsidR="00C326B8">
        <w:rPr>
          <w:rFonts w:cstheme="minorHAnsi"/>
        </w:rPr>
        <w:t xml:space="preserve"> </w:t>
      </w:r>
      <w:r w:rsidR="0049413E">
        <w:rPr>
          <w:rFonts w:cstheme="minorHAnsi"/>
        </w:rPr>
        <w:t>–</w:t>
      </w:r>
      <w:r w:rsidR="00C326B8">
        <w:rPr>
          <w:rFonts w:cstheme="minorHAnsi"/>
        </w:rPr>
        <w:t xml:space="preserve"> </w:t>
      </w:r>
      <w:r w:rsidR="0049413E">
        <w:rPr>
          <w:rFonts w:cstheme="minorHAnsi"/>
        </w:rPr>
        <w:t>sumažinti eismo įvykius, pašalinant reklaminius stendus nuo viešųjų kelių, kad vairuotojų dėmesys nebūtų blaškomas ir kelio ženklai būtų aiškiai matomi. Negalima teigti, kad pritaikytos priemonės tikslai buvo akivaizdžiai neturintys rimto pagrindo</w:t>
      </w:r>
      <w:r>
        <w:rPr>
          <w:rFonts w:cstheme="minorHAnsi"/>
        </w:rPr>
        <w:t>.</w:t>
      </w:r>
      <w:r w:rsidR="0049413E">
        <w:rPr>
          <w:rFonts w:cstheme="minorHAnsi"/>
        </w:rPr>
        <w:t xml:space="preserve"> </w:t>
      </w:r>
      <w:r>
        <w:rPr>
          <w:rFonts w:cstheme="minorHAnsi"/>
        </w:rPr>
        <w:t>J</w:t>
      </w:r>
      <w:r w:rsidR="0049413E">
        <w:rPr>
          <w:rFonts w:cstheme="minorHAnsi"/>
        </w:rPr>
        <w:t>ie atitiko valstybės tarptautinius įsipareigojimus pagal 1968 m. lapkričio 8 d. Kelių eismo</w:t>
      </w:r>
      <w:r w:rsidR="0049413E" w:rsidRPr="0049413E">
        <w:rPr>
          <w:rFonts w:cstheme="minorHAnsi"/>
        </w:rPr>
        <w:t xml:space="preserve"> </w:t>
      </w:r>
      <w:r w:rsidR="0049413E">
        <w:rPr>
          <w:rFonts w:cstheme="minorHAnsi"/>
        </w:rPr>
        <w:t>konvenciją.</w:t>
      </w:r>
    </w:p>
    <w:p w14:paraId="704DC3F5" w14:textId="27D57DF6" w:rsidR="00CF68CE" w:rsidRDefault="0049413E" w:rsidP="00F87300">
      <w:pPr>
        <w:spacing w:after="0" w:line="240" w:lineRule="auto"/>
        <w:ind w:right="-1" w:firstLine="567"/>
        <w:jc w:val="both"/>
        <w:rPr>
          <w:rFonts w:cstheme="minorHAnsi"/>
        </w:rPr>
      </w:pPr>
      <w:r>
        <w:rPr>
          <w:rFonts w:cstheme="minorHAnsi"/>
        </w:rPr>
        <w:t>Vertindamas priemonės proporcingumo klausimą, Teismas pažymėjo, kad pereinamasis laikotarpis, numatytas pareiškėjams, pe</w:t>
      </w:r>
      <w:r w:rsidR="008E70C5">
        <w:rPr>
          <w:rFonts w:cstheme="minorHAnsi"/>
        </w:rPr>
        <w:t>r kurį</w:t>
      </w:r>
      <w:r>
        <w:rPr>
          <w:rFonts w:cstheme="minorHAnsi"/>
        </w:rPr>
        <w:t xml:space="preserve"> jie galėjo imtis veiksmų, reaguo</w:t>
      </w:r>
      <w:r w:rsidR="00CF68CE">
        <w:rPr>
          <w:rFonts w:cstheme="minorHAnsi"/>
        </w:rPr>
        <w:t>jant į artėjančius</w:t>
      </w:r>
      <w:r w:rsidR="00EF6497">
        <w:rPr>
          <w:rFonts w:cstheme="minorHAnsi"/>
        </w:rPr>
        <w:t xml:space="preserve"> su</w:t>
      </w:r>
      <w:r w:rsidR="00CF68CE">
        <w:rPr>
          <w:rFonts w:cstheme="minorHAnsi"/>
        </w:rPr>
        <w:t xml:space="preserve"> jų</w:t>
      </w:r>
      <w:r>
        <w:rPr>
          <w:rFonts w:cstheme="minorHAnsi"/>
        </w:rPr>
        <w:t xml:space="preserve"> pagrindin</w:t>
      </w:r>
      <w:r w:rsidR="00EF6497">
        <w:rPr>
          <w:rFonts w:cstheme="minorHAnsi"/>
        </w:rPr>
        <w:t>iu</w:t>
      </w:r>
      <w:r>
        <w:rPr>
          <w:rFonts w:cstheme="minorHAnsi"/>
        </w:rPr>
        <w:t xml:space="preserve"> pajamų šaltin</w:t>
      </w:r>
      <w:r w:rsidR="00EF6497">
        <w:rPr>
          <w:rFonts w:cstheme="minorHAnsi"/>
        </w:rPr>
        <w:t>iu susijusius</w:t>
      </w:r>
      <w:r>
        <w:rPr>
          <w:rFonts w:cstheme="minorHAnsi"/>
        </w:rPr>
        <w:t xml:space="preserve"> pakeitim</w:t>
      </w:r>
      <w:r w:rsidR="00CF68CE">
        <w:rPr>
          <w:rFonts w:cstheme="minorHAnsi"/>
        </w:rPr>
        <w:t>us</w:t>
      </w:r>
      <w:r>
        <w:rPr>
          <w:rFonts w:cstheme="minorHAnsi"/>
        </w:rPr>
        <w:t xml:space="preserve">, buvo labai trumpas ir negalėjo būti laikomas pakankamu, </w:t>
      </w:r>
      <w:r w:rsidR="000E3518">
        <w:rPr>
          <w:rFonts w:cstheme="minorHAnsi"/>
        </w:rPr>
        <w:t>atsižvelgiant į tai, kad</w:t>
      </w:r>
      <w:r w:rsidR="00CF68CE">
        <w:rPr>
          <w:rFonts w:cstheme="minorHAnsi"/>
        </w:rPr>
        <w:t xml:space="preserve"> įmonė veikė pagal teisinę sistemą, kuri iš esmės buvo stabili daugiau nei dešimt metų. Nuo pirmosios pataisos, įved</w:t>
      </w:r>
      <w:r w:rsidR="000E3518">
        <w:rPr>
          <w:rFonts w:cstheme="minorHAnsi"/>
        </w:rPr>
        <w:t xml:space="preserve">usios </w:t>
      </w:r>
      <w:r w:rsidR="00CF68CE">
        <w:rPr>
          <w:rFonts w:cstheme="minorHAnsi"/>
        </w:rPr>
        <w:t xml:space="preserve">draudimą įrengti naujus reklaminius stendus pakelėse, paskelbimo ir įsigaliojimo praėjo tik dvi dienos. </w:t>
      </w:r>
      <w:r w:rsidR="00CF68CE" w:rsidRPr="00CF68CE">
        <w:rPr>
          <w:rFonts w:cstheme="minorHAnsi"/>
        </w:rPr>
        <w:t xml:space="preserve">Ši priemonė neabejotinai turėjo tiesioginės įtakos </w:t>
      </w:r>
      <w:r w:rsidR="00CF68CE">
        <w:rPr>
          <w:rFonts w:cstheme="minorHAnsi"/>
        </w:rPr>
        <w:t>pareiškėjų</w:t>
      </w:r>
      <w:r w:rsidR="00CF68CE" w:rsidRPr="00CF68CE">
        <w:rPr>
          <w:rFonts w:cstheme="minorHAnsi"/>
        </w:rPr>
        <w:t xml:space="preserve"> verslui, paskatindama juos nutraukti arba pakeisti jau esamus sutartinius santykius su klientais</w:t>
      </w:r>
      <w:r w:rsidR="00CF68CE">
        <w:rPr>
          <w:rFonts w:cstheme="minorHAnsi"/>
        </w:rPr>
        <w:t>, apribodama nuo</w:t>
      </w:r>
      <w:r w:rsidR="00CF68CE" w:rsidRPr="00CF68CE">
        <w:rPr>
          <w:rFonts w:cstheme="minorHAnsi"/>
        </w:rPr>
        <w:t xml:space="preserve"> naujų sutarčių pasirašymo. Be to, nuo draudimo įsigaliojimo kompetentinga institucija </w:t>
      </w:r>
      <w:r w:rsidR="00CF68CE">
        <w:rPr>
          <w:rFonts w:cstheme="minorHAnsi"/>
        </w:rPr>
        <w:t xml:space="preserve">galėjo įpareigoti pareiškėjus </w:t>
      </w:r>
      <w:r w:rsidR="00CF68CE" w:rsidRPr="00CF68CE">
        <w:rPr>
          <w:rFonts w:cstheme="minorHAnsi"/>
        </w:rPr>
        <w:t>priverstinai pašalinti pareiškėjų reklaminius stendus pakelėse jų lėšomis, taip sukeldama jiems tiesiogin</w:t>
      </w:r>
      <w:r w:rsidR="00FC6D29">
        <w:rPr>
          <w:rFonts w:cstheme="minorHAnsi"/>
        </w:rPr>
        <w:t>ių</w:t>
      </w:r>
      <w:r w:rsidR="00CF68CE" w:rsidRPr="00CF68CE">
        <w:rPr>
          <w:rFonts w:cstheme="minorHAnsi"/>
        </w:rPr>
        <w:t xml:space="preserve"> finansi</w:t>
      </w:r>
      <w:r w:rsidR="00FC6D29">
        <w:rPr>
          <w:rFonts w:cstheme="minorHAnsi"/>
        </w:rPr>
        <w:t>nių išlaidų</w:t>
      </w:r>
      <w:r w:rsidR="00CF68CE" w:rsidRPr="00CF68CE">
        <w:rPr>
          <w:rFonts w:cstheme="minorHAnsi"/>
        </w:rPr>
        <w:t xml:space="preserve">. Vėlesni įstatymų pakeitimai uždraudė </w:t>
      </w:r>
      <w:r w:rsidR="00CF68CE">
        <w:rPr>
          <w:rFonts w:cstheme="minorHAnsi"/>
        </w:rPr>
        <w:t xml:space="preserve">reklaminius </w:t>
      </w:r>
      <w:r w:rsidR="00CF68CE" w:rsidRPr="00CF68CE">
        <w:rPr>
          <w:rFonts w:cstheme="minorHAnsi"/>
        </w:rPr>
        <w:t>stendus pakelės</w:t>
      </w:r>
      <w:r w:rsidR="00CF68CE">
        <w:rPr>
          <w:rFonts w:cstheme="minorHAnsi"/>
        </w:rPr>
        <w:t>e</w:t>
      </w:r>
      <w:r w:rsidR="00CF68CE" w:rsidRPr="00CF68CE">
        <w:rPr>
          <w:rFonts w:cstheme="minorHAnsi"/>
        </w:rPr>
        <w:t xml:space="preserve"> už gyvenvietės ribų ir leido </w:t>
      </w:r>
      <w:r w:rsidR="0036066D">
        <w:rPr>
          <w:rFonts w:cstheme="minorHAnsi"/>
        </w:rPr>
        <w:t xml:space="preserve">per </w:t>
      </w:r>
      <w:r w:rsidR="00CF68CE" w:rsidRPr="00CF68CE">
        <w:rPr>
          <w:rFonts w:cstheme="minorHAnsi"/>
        </w:rPr>
        <w:t>mažiau nei du</w:t>
      </w:r>
      <w:r w:rsidR="0036066D">
        <w:rPr>
          <w:rFonts w:cstheme="minorHAnsi"/>
        </w:rPr>
        <w:t xml:space="preserve"> mėnesius pašalinti jau įrengtus stendus</w:t>
      </w:r>
      <w:r w:rsidR="00CF68CE" w:rsidRPr="00CF68CE">
        <w:rPr>
          <w:rFonts w:cstheme="minorHAnsi"/>
        </w:rPr>
        <w:t xml:space="preserve">. </w:t>
      </w:r>
      <w:r w:rsidR="008E70C5">
        <w:rPr>
          <w:rFonts w:cstheme="minorHAnsi"/>
        </w:rPr>
        <w:t>Teismo vertinimu,</w:t>
      </w:r>
      <w:r w:rsidR="00CF68CE" w:rsidRPr="00CF68CE">
        <w:rPr>
          <w:rFonts w:cstheme="minorHAnsi"/>
        </w:rPr>
        <w:t xml:space="preserve"> šios priemonės turėjo atgalinį poveikį.</w:t>
      </w:r>
    </w:p>
    <w:p w14:paraId="79C2AFEC" w14:textId="4E8D2C63" w:rsidR="00DA134C" w:rsidRDefault="00DA134C" w:rsidP="00F87300">
      <w:pPr>
        <w:spacing w:after="0" w:line="240" w:lineRule="auto"/>
        <w:ind w:right="-1" w:firstLine="567"/>
        <w:jc w:val="both"/>
        <w:rPr>
          <w:rFonts w:cstheme="minorHAnsi"/>
        </w:rPr>
      </w:pPr>
      <w:r w:rsidRPr="00DA134C">
        <w:rPr>
          <w:rFonts w:cstheme="minorHAnsi"/>
        </w:rPr>
        <w:lastRenderedPageBreak/>
        <w:t>Be to, atsižvelgiant į tai, kad Kelių eismo įstatymas iki skundžiamos priemonės priėmimo jau buvo uždraudęs statyti pakelės stendus tiek, kiek jie kelia pavojų eismo saugumui, pareiškėjai turėjo teisėtų lūkesčių tęsti savo ūkinę veiklą. Taigi</w:t>
      </w:r>
      <w:r w:rsidR="001E62AE">
        <w:rPr>
          <w:rFonts w:cstheme="minorHAnsi"/>
        </w:rPr>
        <w:t xml:space="preserve"> </w:t>
      </w:r>
      <w:r w:rsidRPr="00DA134C">
        <w:rPr>
          <w:rFonts w:cstheme="minorHAnsi"/>
        </w:rPr>
        <w:t>ginčijama priemonė</w:t>
      </w:r>
      <w:r w:rsidR="001E62AE">
        <w:rPr>
          <w:rFonts w:cstheme="minorHAnsi"/>
        </w:rPr>
        <w:t xml:space="preserve"> šios</w:t>
      </w:r>
      <w:r w:rsidRPr="00DA134C">
        <w:rPr>
          <w:rFonts w:cstheme="minorHAnsi"/>
        </w:rPr>
        <w:t xml:space="preserve"> bylos kontekste buvo netikėta.</w:t>
      </w:r>
    </w:p>
    <w:p w14:paraId="3BE33F07" w14:textId="7F4E3B70" w:rsidR="006B5DCE" w:rsidRPr="00EE0FC1" w:rsidRDefault="006B5DCE" w:rsidP="00F87300">
      <w:pPr>
        <w:spacing w:after="0" w:line="240" w:lineRule="auto"/>
        <w:ind w:right="-1" w:firstLine="567"/>
        <w:jc w:val="both"/>
        <w:rPr>
          <w:rFonts w:cstheme="minorHAnsi"/>
        </w:rPr>
      </w:pPr>
      <w:r>
        <w:rPr>
          <w:rFonts w:cstheme="minorHAnsi"/>
        </w:rPr>
        <w:t>P</w:t>
      </w:r>
      <w:r w:rsidRPr="006B5DCE">
        <w:rPr>
          <w:rFonts w:cstheme="minorHAnsi"/>
        </w:rPr>
        <w:t>areiškėj</w:t>
      </w:r>
      <w:r w:rsidR="00996868">
        <w:rPr>
          <w:rFonts w:cstheme="minorHAnsi"/>
        </w:rPr>
        <w:t>ams tekusi</w:t>
      </w:r>
      <w:r w:rsidRPr="006B5DCE">
        <w:rPr>
          <w:rFonts w:cstheme="minorHAnsi"/>
        </w:rPr>
        <w:t xml:space="preserve"> </w:t>
      </w:r>
      <w:r>
        <w:rPr>
          <w:rFonts w:cstheme="minorHAnsi"/>
        </w:rPr>
        <w:t>n</w:t>
      </w:r>
      <w:r w:rsidRPr="006B5DCE">
        <w:rPr>
          <w:rFonts w:cstheme="minorHAnsi"/>
        </w:rPr>
        <w:t xml:space="preserve">ašta dėl įstatyme nustatyto draudimo vykdyti dalį jų verslo veiklos, nors ir </w:t>
      </w:r>
      <w:r w:rsidR="00FC6D29">
        <w:rPr>
          <w:rFonts w:cstheme="minorHAnsi"/>
        </w:rPr>
        <w:t>didelė</w:t>
      </w:r>
      <w:r w:rsidRPr="006B5DCE">
        <w:rPr>
          <w:rFonts w:cstheme="minorHAnsi"/>
        </w:rPr>
        <w:t xml:space="preserve">, turėjo būti </w:t>
      </w:r>
      <w:r w:rsidR="0013349C">
        <w:rPr>
          <w:rFonts w:cstheme="minorHAnsi"/>
        </w:rPr>
        <w:t>vertinama atsižvelgiant į</w:t>
      </w:r>
      <w:r w:rsidRPr="006B5DCE">
        <w:rPr>
          <w:rFonts w:cstheme="minorHAnsi"/>
        </w:rPr>
        <w:t xml:space="preserve"> bendr</w:t>
      </w:r>
      <w:r w:rsidR="0013349C">
        <w:rPr>
          <w:rFonts w:cstheme="minorHAnsi"/>
        </w:rPr>
        <w:t>ą</w:t>
      </w:r>
      <w:r w:rsidRPr="006B5DCE">
        <w:rPr>
          <w:rFonts w:cstheme="minorHAnsi"/>
        </w:rPr>
        <w:t xml:space="preserve"> </w:t>
      </w:r>
      <w:r>
        <w:rPr>
          <w:rFonts w:cstheme="minorHAnsi"/>
        </w:rPr>
        <w:t>visuomenės</w:t>
      </w:r>
      <w:r w:rsidRPr="006B5DCE">
        <w:rPr>
          <w:rFonts w:cstheme="minorHAnsi"/>
        </w:rPr>
        <w:t xml:space="preserve"> interes</w:t>
      </w:r>
      <w:r w:rsidR="0013349C">
        <w:rPr>
          <w:rFonts w:cstheme="minorHAnsi"/>
        </w:rPr>
        <w:t>ą</w:t>
      </w:r>
      <w:r w:rsidRPr="006B5DCE">
        <w:rPr>
          <w:rFonts w:cstheme="minorHAnsi"/>
        </w:rPr>
        <w:t>, t</w:t>
      </w:r>
      <w:r>
        <w:rPr>
          <w:rFonts w:cstheme="minorHAnsi"/>
        </w:rPr>
        <w:t xml:space="preserve">. </w:t>
      </w:r>
      <w:r w:rsidRPr="006B5DCE">
        <w:rPr>
          <w:rFonts w:cstheme="minorHAnsi"/>
        </w:rPr>
        <w:t>y</w:t>
      </w:r>
      <w:r>
        <w:rPr>
          <w:rFonts w:cstheme="minorHAnsi"/>
        </w:rPr>
        <w:t>.</w:t>
      </w:r>
      <w:r w:rsidRPr="006B5DCE">
        <w:rPr>
          <w:rFonts w:cstheme="minorHAnsi"/>
        </w:rPr>
        <w:t xml:space="preserve"> visuomenės saugumo </w:t>
      </w:r>
      <w:r>
        <w:rPr>
          <w:rFonts w:cstheme="minorHAnsi"/>
        </w:rPr>
        <w:t>priežastis</w:t>
      </w:r>
      <w:r w:rsidRPr="006B5DCE">
        <w:rPr>
          <w:rFonts w:cstheme="minorHAnsi"/>
        </w:rPr>
        <w:t>, kuri</w:t>
      </w:r>
      <w:r>
        <w:rPr>
          <w:rFonts w:cstheme="minorHAnsi"/>
        </w:rPr>
        <w:t>ų kontekste valstybės naudojosi</w:t>
      </w:r>
      <w:r w:rsidRPr="006B5DCE">
        <w:rPr>
          <w:rFonts w:cstheme="minorHAnsi"/>
        </w:rPr>
        <w:t xml:space="preserve"> </w:t>
      </w:r>
      <w:r>
        <w:rPr>
          <w:rFonts w:cstheme="minorHAnsi"/>
        </w:rPr>
        <w:t>plačia</w:t>
      </w:r>
      <w:r w:rsidRPr="006B5DCE">
        <w:rPr>
          <w:rFonts w:cstheme="minorHAnsi"/>
        </w:rPr>
        <w:t xml:space="preserve"> vertinimo </w:t>
      </w:r>
      <w:r>
        <w:rPr>
          <w:rFonts w:cstheme="minorHAnsi"/>
        </w:rPr>
        <w:t>laisve</w:t>
      </w:r>
      <w:r w:rsidRPr="006B5DCE">
        <w:rPr>
          <w:rFonts w:cstheme="minorHAnsi"/>
        </w:rPr>
        <w:t>.</w:t>
      </w:r>
      <w:r>
        <w:rPr>
          <w:rFonts w:cstheme="minorHAnsi"/>
        </w:rPr>
        <w:t xml:space="preserve"> </w:t>
      </w:r>
      <w:r w:rsidR="00FC6D29">
        <w:rPr>
          <w:rFonts w:cstheme="minorHAnsi"/>
        </w:rPr>
        <w:t>Teismo vertinimu</w:t>
      </w:r>
      <w:r w:rsidRPr="006B5DCE">
        <w:rPr>
          <w:rFonts w:cstheme="minorHAnsi"/>
        </w:rPr>
        <w:t xml:space="preserve">, neproporcinga ir savavališka </w:t>
      </w:r>
      <w:r w:rsidR="00FC6D29">
        <w:rPr>
          <w:rFonts w:cstheme="minorHAnsi"/>
        </w:rPr>
        <w:t xml:space="preserve">nuosavybės </w:t>
      </w:r>
      <w:r w:rsidRPr="006B5DCE">
        <w:rPr>
          <w:rFonts w:cstheme="minorHAnsi"/>
        </w:rPr>
        <w:t xml:space="preserve">kontrolės priemonė negalėjo </w:t>
      </w:r>
      <w:r>
        <w:rPr>
          <w:rFonts w:cstheme="minorHAnsi"/>
        </w:rPr>
        <w:t>būti suderinama su</w:t>
      </w:r>
      <w:r w:rsidRPr="006B5DCE">
        <w:rPr>
          <w:rFonts w:cstheme="minorHAnsi"/>
        </w:rPr>
        <w:t xml:space="preserve"> Protokol</w:t>
      </w:r>
      <w:r w:rsidR="00EF6497">
        <w:rPr>
          <w:rFonts w:cstheme="minorHAnsi"/>
        </w:rPr>
        <w:t>o</w:t>
      </w:r>
      <w:r w:rsidRPr="006B5DCE">
        <w:rPr>
          <w:rFonts w:cstheme="minorHAnsi"/>
        </w:rPr>
        <w:t xml:space="preserve"> Nr. 1</w:t>
      </w:r>
      <w:r>
        <w:rPr>
          <w:rFonts w:cstheme="minorHAnsi"/>
        </w:rPr>
        <w:t xml:space="preserve"> 1 straipsniu.</w:t>
      </w:r>
      <w:r w:rsidR="00FC6D29">
        <w:rPr>
          <w:rFonts w:cstheme="minorHAnsi"/>
        </w:rPr>
        <w:t xml:space="preserve"> EŽTT pažymėjo, kad l</w:t>
      </w:r>
      <w:r w:rsidRPr="006B5DCE">
        <w:rPr>
          <w:rFonts w:cstheme="minorHAnsi"/>
        </w:rPr>
        <w:t>abai trumpas pereinamasis laikotarpis nebuvo sušvelnintas jokiomis pozityviomis valstybės priemonėmis, pavyzdžiui, pagrįstos kompensacijos schemos patvirtinimu. Vyriausybė nenurodė jokio neatidėliotino ekonominio ar socialinio poreikio, dėl kurio būtų buvę galima sutrukdyti suteikti ilgesnį laikotarpį. Kelių eismo saugumo tikslas, nors ir neabejotinai aktualus, negali būti laikomas atitinkančiu išskirtinę aplinkybę, kuri leistų sutrumpinti pereinamąjį laikotarpį.</w:t>
      </w:r>
    </w:p>
    <w:p w14:paraId="33912237" w14:textId="4AB9B15F" w:rsidR="00654387" w:rsidRDefault="009231FE" w:rsidP="00F87300">
      <w:pPr>
        <w:spacing w:after="0" w:line="240" w:lineRule="auto"/>
        <w:ind w:right="-1" w:firstLine="567"/>
        <w:jc w:val="both"/>
        <w:rPr>
          <w:rFonts w:cstheme="minorHAnsi"/>
        </w:rPr>
      </w:pPr>
      <w:r w:rsidRPr="009231FE">
        <w:rPr>
          <w:rFonts w:cstheme="minorHAnsi"/>
        </w:rPr>
        <w:t xml:space="preserve">Apibendrinant, atsižvelgiant į ginčijamos priemonės iš dalies </w:t>
      </w:r>
      <w:r w:rsidR="004479DF">
        <w:rPr>
          <w:rFonts w:cstheme="minorHAnsi"/>
        </w:rPr>
        <w:t>retro</w:t>
      </w:r>
      <w:r w:rsidR="008E70C5">
        <w:rPr>
          <w:rFonts w:cstheme="minorHAnsi"/>
        </w:rPr>
        <w:t>spek</w:t>
      </w:r>
      <w:r w:rsidR="004479DF">
        <w:rPr>
          <w:rFonts w:cstheme="minorHAnsi"/>
        </w:rPr>
        <w:t>tyvų</w:t>
      </w:r>
      <w:r w:rsidRPr="009231FE">
        <w:rPr>
          <w:rFonts w:cstheme="minorHAnsi"/>
        </w:rPr>
        <w:t xml:space="preserve"> pobūdį, netikėtą jos pobūdį, trumpą pereinamąjį laikotarpį, jokios kompensacinės schemos nebuvimą ir nutrauktos verslo veiklos svarbą pareiškėjams, net turint omenyje plačią </w:t>
      </w:r>
      <w:r w:rsidR="004479DF">
        <w:rPr>
          <w:rFonts w:cstheme="minorHAnsi"/>
        </w:rPr>
        <w:t>v</w:t>
      </w:r>
      <w:r w:rsidRPr="009231FE">
        <w:rPr>
          <w:rFonts w:cstheme="minorHAnsi"/>
        </w:rPr>
        <w:t>alstybei suteiktą vertinimo laisvę vykdant tokio pobūdžio politiką ir kelių eismo saugumo svarbą</w:t>
      </w:r>
      <w:r w:rsidR="00B11178">
        <w:rPr>
          <w:rFonts w:cstheme="minorHAnsi"/>
        </w:rPr>
        <w:t xml:space="preserve">, įvertinta, kad </w:t>
      </w:r>
      <w:r w:rsidRPr="009231FE">
        <w:rPr>
          <w:rFonts w:cstheme="minorHAnsi"/>
        </w:rPr>
        <w:t>kišimasis į pareiškėjų teises buvo neproporcingas siekiamam tikslui ir jiems teko prisiimti individualią</w:t>
      </w:r>
      <w:r w:rsidR="00996868">
        <w:rPr>
          <w:rFonts w:cstheme="minorHAnsi"/>
        </w:rPr>
        <w:t>,</w:t>
      </w:r>
      <w:r w:rsidRPr="009231FE">
        <w:rPr>
          <w:rFonts w:cstheme="minorHAnsi"/>
        </w:rPr>
        <w:t xml:space="preserve"> per didelę naštą.</w:t>
      </w:r>
    </w:p>
    <w:p w14:paraId="41B9E08E" w14:textId="50CAB9A0" w:rsidR="002D40D2" w:rsidRDefault="002D40D2" w:rsidP="00F87300">
      <w:pPr>
        <w:spacing w:after="0" w:line="240" w:lineRule="auto"/>
        <w:ind w:right="-1" w:firstLine="567"/>
        <w:jc w:val="both"/>
        <w:rPr>
          <w:rFonts w:cstheme="minorHAnsi"/>
        </w:rPr>
      </w:pPr>
      <w:r w:rsidRPr="002D40D2">
        <w:rPr>
          <w:rFonts w:cstheme="minorHAnsi"/>
        </w:rPr>
        <w:t xml:space="preserve">Atsižvelgdamas į faktines bylos aplinkybes, šalių paaiškinimus ir savo pateiktas išvadas, </w:t>
      </w:r>
      <w:r w:rsidR="00B11178">
        <w:rPr>
          <w:rFonts w:cstheme="minorHAnsi"/>
        </w:rPr>
        <w:t>EŽTT</w:t>
      </w:r>
      <w:r w:rsidRPr="002D40D2">
        <w:rPr>
          <w:rFonts w:cstheme="minorHAnsi"/>
        </w:rPr>
        <w:t xml:space="preserve"> </w:t>
      </w:r>
      <w:r>
        <w:rPr>
          <w:rFonts w:cstheme="minorHAnsi"/>
        </w:rPr>
        <w:t>vertino</w:t>
      </w:r>
      <w:r w:rsidRPr="002D40D2">
        <w:rPr>
          <w:rFonts w:cstheme="minorHAnsi"/>
        </w:rPr>
        <w:t xml:space="preserve">, kad dėl likusio </w:t>
      </w:r>
      <w:r>
        <w:rPr>
          <w:rFonts w:cstheme="minorHAnsi"/>
        </w:rPr>
        <w:t xml:space="preserve">pareiškėjų </w:t>
      </w:r>
      <w:r w:rsidRPr="002D40D2">
        <w:rPr>
          <w:rFonts w:cstheme="minorHAnsi"/>
        </w:rPr>
        <w:t>skundo</w:t>
      </w:r>
      <w:r>
        <w:rPr>
          <w:rFonts w:cstheme="minorHAnsi"/>
        </w:rPr>
        <w:t xml:space="preserve"> dalies, kurioje jie dėstė Konvencijos 10 straipsnio pažeidimo argumentus, </w:t>
      </w:r>
      <w:r w:rsidRPr="002D40D2">
        <w:rPr>
          <w:rFonts w:cstheme="minorHAnsi"/>
        </w:rPr>
        <w:t xml:space="preserve">nereikia </w:t>
      </w:r>
      <w:r>
        <w:rPr>
          <w:rFonts w:cstheme="minorHAnsi"/>
        </w:rPr>
        <w:t>pasisakyti atskirai.</w:t>
      </w:r>
      <w:r w:rsidRPr="002D40D2">
        <w:rPr>
          <w:rFonts w:cstheme="minorHAnsi"/>
        </w:rPr>
        <w:t xml:space="preserve"> </w:t>
      </w:r>
    </w:p>
    <w:p w14:paraId="49D0A028" w14:textId="77777777" w:rsidR="009231FE" w:rsidRDefault="009231FE" w:rsidP="00F87300">
      <w:pPr>
        <w:spacing w:after="0" w:line="240" w:lineRule="auto"/>
        <w:ind w:right="-1" w:firstLine="567"/>
        <w:jc w:val="both"/>
        <w:rPr>
          <w:rFonts w:cstheme="minorHAnsi"/>
        </w:rPr>
      </w:pPr>
    </w:p>
    <w:p w14:paraId="15510B59" w14:textId="0B769753" w:rsidR="009560B6" w:rsidRPr="00536624" w:rsidRDefault="009560B6" w:rsidP="00F87300">
      <w:pPr>
        <w:spacing w:after="0" w:line="240" w:lineRule="auto"/>
        <w:ind w:right="-1" w:firstLine="567"/>
        <w:jc w:val="both"/>
        <w:rPr>
          <w:rFonts w:cstheme="minorHAnsi"/>
        </w:rPr>
      </w:pPr>
      <w:r w:rsidRPr="00536624">
        <w:rPr>
          <w:rFonts w:cstheme="minorHAnsi"/>
        </w:rPr>
        <w:t xml:space="preserve">Išvada: </w:t>
      </w:r>
      <w:r w:rsidR="00506669">
        <w:rPr>
          <w:rFonts w:cstheme="minorHAnsi"/>
        </w:rPr>
        <w:t>skundas pripažintas nepriimtinu dėl antrojo ir penktojo pareiškėjų.</w:t>
      </w:r>
      <w:r w:rsidR="001A62FF">
        <w:rPr>
          <w:rFonts w:cstheme="minorHAnsi"/>
        </w:rPr>
        <w:t xml:space="preserve"> Dėl kitų pareiškėjų </w:t>
      </w:r>
      <w:r>
        <w:rPr>
          <w:rFonts w:cstheme="minorHAnsi"/>
        </w:rPr>
        <w:t xml:space="preserve">nustatytas </w:t>
      </w:r>
      <w:r w:rsidRPr="00536624">
        <w:rPr>
          <w:rFonts w:cstheme="minorHAnsi"/>
        </w:rPr>
        <w:t>Konvencijos</w:t>
      </w:r>
      <w:r>
        <w:rPr>
          <w:rFonts w:cstheme="minorHAnsi"/>
        </w:rPr>
        <w:t xml:space="preserve"> Protokolo Nr. 1</w:t>
      </w:r>
      <w:r w:rsidRPr="00536624">
        <w:rPr>
          <w:rFonts w:cstheme="minorHAnsi"/>
        </w:rPr>
        <w:t xml:space="preserve"> </w:t>
      </w:r>
      <w:r>
        <w:rPr>
          <w:rFonts w:cstheme="minorHAnsi"/>
        </w:rPr>
        <w:t>1 straipsnio pažeidimas (vienbalsiai).</w:t>
      </w:r>
    </w:p>
    <w:p w14:paraId="73489378" w14:textId="2F39EB5F" w:rsidR="009560B6" w:rsidRDefault="009560B6" w:rsidP="00F87300">
      <w:pPr>
        <w:spacing w:after="0" w:line="240" w:lineRule="auto"/>
        <w:ind w:right="-1" w:firstLine="567"/>
        <w:jc w:val="both"/>
        <w:rPr>
          <w:rFonts w:cstheme="minorHAnsi"/>
        </w:rPr>
      </w:pPr>
      <w:r w:rsidRPr="00EE0FC1">
        <w:rPr>
          <w:rFonts w:cstheme="minorHAnsi"/>
        </w:rPr>
        <w:t xml:space="preserve">41 straipsnis: </w:t>
      </w:r>
      <w:r w:rsidR="001A62FF">
        <w:rPr>
          <w:rFonts w:cstheme="minorHAnsi"/>
        </w:rPr>
        <w:t>pirmajam pareiškėjui priteista 240 000 Eur, ketvirtajam – 170 000 Eur, šeštajam – 150</w:t>
      </w:r>
      <w:r w:rsidR="001B2584">
        <w:rPr>
          <w:rFonts w:cstheme="minorHAnsi"/>
        </w:rPr>
        <w:t> 000 </w:t>
      </w:r>
      <w:r w:rsidR="001A62FF">
        <w:rPr>
          <w:rFonts w:cstheme="minorHAnsi"/>
        </w:rPr>
        <w:t>Eur, septintajam – 130 000 Eur turtinės ir neturtinės žalos atlyginimo bendrai</w:t>
      </w:r>
      <w:r w:rsidR="001A62FF" w:rsidRPr="001A62FF">
        <w:rPr>
          <w:rFonts w:cstheme="minorHAnsi"/>
        </w:rPr>
        <w:t xml:space="preserve"> už galimybių praradimą ir nusivylimą, patirtą dėl nustatyto pažeidimo.</w:t>
      </w:r>
    </w:p>
    <w:p w14:paraId="6938C5F5" w14:textId="424E60A0" w:rsidR="004115A0" w:rsidRPr="00EE0FC1" w:rsidRDefault="00000000" w:rsidP="00F87300">
      <w:pPr>
        <w:spacing w:after="0" w:line="240" w:lineRule="auto"/>
        <w:ind w:right="-1" w:firstLine="567"/>
        <w:jc w:val="both"/>
        <w:rPr>
          <w:rStyle w:val="Hipersaitas"/>
          <w:rFonts w:cstheme="minorHAnsi"/>
        </w:rPr>
      </w:pPr>
      <w:hyperlink r:id="rId26" w:history="1">
        <w:r w:rsidR="004115A0" w:rsidRPr="004D0015">
          <w:rPr>
            <w:rStyle w:val="Hipersaitas"/>
            <w:rFonts w:cstheme="minorHAnsi"/>
          </w:rPr>
          <w:t>Prieiga internete</w:t>
        </w:r>
      </w:hyperlink>
    </w:p>
    <w:p w14:paraId="1F1FE79F" w14:textId="77777777" w:rsidR="00B6565E" w:rsidRDefault="00B6565E" w:rsidP="00F87300">
      <w:pPr>
        <w:spacing w:after="0" w:line="240" w:lineRule="auto"/>
        <w:ind w:right="-1" w:firstLine="454"/>
        <w:jc w:val="both"/>
        <w:rPr>
          <w:rFonts w:cs="Arial"/>
          <w:b/>
        </w:rPr>
      </w:pPr>
    </w:p>
    <w:p w14:paraId="23BC9387" w14:textId="77777777" w:rsidR="00693A77" w:rsidRPr="004B1363" w:rsidRDefault="00693A77" w:rsidP="00EB178E">
      <w:pPr>
        <w:pStyle w:val="Betarp"/>
        <w:ind w:right="-1"/>
        <w:jc w:val="center"/>
        <w:outlineLvl w:val="0"/>
        <w:rPr>
          <w:rFonts w:eastAsiaTheme="majorEastAsia" w:cstheme="majorBidi"/>
          <w:b/>
          <w:color w:val="323E4F" w:themeColor="text2" w:themeShade="BF"/>
          <w:szCs w:val="32"/>
        </w:rPr>
      </w:pPr>
      <w:bookmarkStart w:id="65" w:name="_Toc141446386"/>
      <w:r w:rsidRPr="004B1363">
        <w:rPr>
          <w:rFonts w:eastAsiaTheme="majorEastAsia" w:cstheme="majorBidi"/>
          <w:b/>
          <w:color w:val="323E4F" w:themeColor="text2" w:themeShade="BF"/>
          <w:szCs w:val="32"/>
        </w:rPr>
        <w:t>BENDRAS DISKRIMINACIJOS UŽDRAUDIMAS (Protokolo Nr. 12 1 straipsnis)</w:t>
      </w:r>
      <w:bookmarkEnd w:id="65"/>
    </w:p>
    <w:p w14:paraId="1474773D" w14:textId="77777777" w:rsidR="00693A77" w:rsidRDefault="00693A77" w:rsidP="00F87300">
      <w:pPr>
        <w:pStyle w:val="Betarp"/>
        <w:ind w:right="-1"/>
        <w:jc w:val="center"/>
        <w:rPr>
          <w:b/>
          <w:bCs/>
        </w:rPr>
      </w:pPr>
    </w:p>
    <w:p w14:paraId="530F26CA" w14:textId="77777777" w:rsidR="00693A77" w:rsidRPr="00EC0AA7" w:rsidRDefault="00693A77" w:rsidP="00F87300">
      <w:pPr>
        <w:pStyle w:val="Betarp"/>
        <w:ind w:right="-1"/>
        <w:jc w:val="center"/>
        <w:rPr>
          <w:b/>
          <w:bCs/>
        </w:rPr>
      </w:pPr>
      <w:bookmarkStart w:id="66" w:name="_Hlk100847088"/>
      <w:r w:rsidRPr="00EC0AA7">
        <w:rPr>
          <w:b/>
          <w:bCs/>
        </w:rPr>
        <w:t>Europos Žmogaus Teisių Teismo 202</w:t>
      </w:r>
      <w:r>
        <w:rPr>
          <w:b/>
          <w:bCs/>
        </w:rPr>
        <w:t>2</w:t>
      </w:r>
      <w:r w:rsidRPr="00EC0AA7">
        <w:rPr>
          <w:b/>
          <w:bCs/>
        </w:rPr>
        <w:t xml:space="preserve"> m. </w:t>
      </w:r>
      <w:r>
        <w:rPr>
          <w:b/>
          <w:bCs/>
        </w:rPr>
        <w:t xml:space="preserve">spalio 4 </w:t>
      </w:r>
      <w:r w:rsidRPr="00EC0AA7">
        <w:rPr>
          <w:b/>
          <w:bCs/>
        </w:rPr>
        <w:t>d. sprendimas byloje</w:t>
      </w:r>
    </w:p>
    <w:p w14:paraId="0750061A" w14:textId="77777777" w:rsidR="00693A77" w:rsidRPr="00D94DCC" w:rsidRDefault="00693A77" w:rsidP="00F87300">
      <w:pPr>
        <w:pStyle w:val="Betarp"/>
        <w:ind w:right="-1"/>
        <w:jc w:val="center"/>
        <w:outlineLvl w:val="1"/>
        <w:rPr>
          <w:b/>
          <w:bCs/>
          <w:i/>
          <w:color w:val="2E74B5" w:themeColor="accent1" w:themeShade="BF"/>
        </w:rPr>
      </w:pPr>
      <w:bookmarkStart w:id="67" w:name="_Toc141446387"/>
      <w:r>
        <w:rPr>
          <w:b/>
          <w:bCs/>
          <w:i/>
          <w:color w:val="2E74B5" w:themeColor="accent1" w:themeShade="BF"/>
        </w:rPr>
        <w:t>Pinkas ir kt.</w:t>
      </w:r>
      <w:r w:rsidRPr="00D94DCC">
        <w:rPr>
          <w:b/>
          <w:bCs/>
          <w:i/>
          <w:color w:val="2E74B5" w:themeColor="accent1" w:themeShade="BF"/>
        </w:rPr>
        <w:t xml:space="preserve"> prieš </w:t>
      </w:r>
      <w:r>
        <w:rPr>
          <w:b/>
          <w:bCs/>
          <w:i/>
          <w:color w:val="2E74B5" w:themeColor="accent1" w:themeShade="BF"/>
        </w:rPr>
        <w:t>Bosniją ir Hercegoviną</w:t>
      </w:r>
      <w:bookmarkEnd w:id="67"/>
    </w:p>
    <w:p w14:paraId="2406CA72" w14:textId="77777777" w:rsidR="00693A77" w:rsidRPr="00EC0AA7" w:rsidRDefault="00693A77" w:rsidP="00F87300">
      <w:pPr>
        <w:pStyle w:val="Betarp"/>
        <w:ind w:right="-1"/>
        <w:jc w:val="center"/>
        <w:rPr>
          <w:b/>
          <w:bCs/>
        </w:rPr>
      </w:pPr>
      <w:r w:rsidRPr="00EC0AA7">
        <w:rPr>
          <w:b/>
          <w:bCs/>
        </w:rPr>
        <w:t xml:space="preserve">(pareiškimo Nr. </w:t>
      </w:r>
      <w:r w:rsidRPr="00687876">
        <w:rPr>
          <w:b/>
          <w:bCs/>
        </w:rPr>
        <w:t>8701/21</w:t>
      </w:r>
      <w:r w:rsidRPr="00EB6EF8">
        <w:rPr>
          <w:b/>
          <w:bCs/>
        </w:rPr>
        <w:t xml:space="preserve">, svarbos lygis – </w:t>
      </w:r>
      <w:r>
        <w:rPr>
          <w:b/>
          <w:bCs/>
        </w:rPr>
        <w:t>2</w:t>
      </w:r>
      <w:r w:rsidRPr="00EB6EF8">
        <w:rPr>
          <w:b/>
          <w:bCs/>
        </w:rPr>
        <w:t>)</w:t>
      </w:r>
    </w:p>
    <w:p w14:paraId="33913754" w14:textId="77777777" w:rsidR="00693A77" w:rsidRDefault="00693A77" w:rsidP="00F87300">
      <w:pPr>
        <w:pStyle w:val="Betarp"/>
        <w:ind w:right="-1"/>
      </w:pPr>
    </w:p>
    <w:p w14:paraId="65046908" w14:textId="77777777" w:rsidR="00693A77" w:rsidRPr="007A3E06" w:rsidRDefault="00693A77" w:rsidP="00F87300">
      <w:pPr>
        <w:pStyle w:val="Betarp"/>
        <w:ind w:right="-1" w:firstLine="567"/>
        <w:jc w:val="both"/>
        <w:outlineLvl w:val="2"/>
        <w:rPr>
          <w:i/>
          <w:iCs/>
        </w:rPr>
      </w:pPr>
      <w:bookmarkStart w:id="68" w:name="_Toc141446388"/>
      <w:r w:rsidRPr="007A3E06">
        <w:rPr>
          <w:i/>
          <w:iCs/>
        </w:rPr>
        <w:t xml:space="preserve">Dėl </w:t>
      </w:r>
      <w:r w:rsidRPr="005159BE">
        <w:rPr>
          <w:i/>
          <w:iCs/>
        </w:rPr>
        <w:t>skirting</w:t>
      </w:r>
      <w:r>
        <w:rPr>
          <w:i/>
          <w:iCs/>
        </w:rPr>
        <w:t>o</w:t>
      </w:r>
      <w:r w:rsidRPr="005159BE">
        <w:rPr>
          <w:i/>
          <w:iCs/>
        </w:rPr>
        <w:t xml:space="preserve"> teismų tarnautoj</w:t>
      </w:r>
      <w:r>
        <w:rPr>
          <w:i/>
          <w:iCs/>
        </w:rPr>
        <w:t>ų</w:t>
      </w:r>
      <w:r w:rsidRPr="005159BE">
        <w:rPr>
          <w:i/>
          <w:iCs/>
        </w:rPr>
        <w:t xml:space="preserve"> ir teisėj</w:t>
      </w:r>
      <w:r>
        <w:rPr>
          <w:i/>
          <w:iCs/>
        </w:rPr>
        <w:t>ų statuso vertinimo, sprendžiant</w:t>
      </w:r>
      <w:r w:rsidRPr="005159BE">
        <w:rPr>
          <w:i/>
          <w:iCs/>
        </w:rPr>
        <w:t xml:space="preserve"> dėl jų teisės į su darbu susijusias išmokas</w:t>
      </w:r>
      <w:bookmarkEnd w:id="68"/>
    </w:p>
    <w:bookmarkEnd w:id="66"/>
    <w:p w14:paraId="753E37BD" w14:textId="77777777" w:rsidR="00693A77" w:rsidRDefault="00693A77" w:rsidP="00F87300">
      <w:pPr>
        <w:pStyle w:val="Betarp"/>
        <w:ind w:right="-1"/>
        <w:jc w:val="both"/>
      </w:pPr>
    </w:p>
    <w:p w14:paraId="6EED33B6" w14:textId="77777777" w:rsidR="00693A77" w:rsidRPr="00721DF7" w:rsidRDefault="00693A77" w:rsidP="00F87300">
      <w:pPr>
        <w:pStyle w:val="Betarp"/>
        <w:ind w:right="-1"/>
        <w:jc w:val="center"/>
        <w:rPr>
          <w:b/>
          <w:bCs/>
        </w:rPr>
      </w:pPr>
      <w:r w:rsidRPr="00721DF7">
        <w:rPr>
          <w:b/>
          <w:bCs/>
        </w:rPr>
        <w:t>Faktinės aplinkybės</w:t>
      </w:r>
    </w:p>
    <w:p w14:paraId="1CE5B63E" w14:textId="77777777" w:rsidR="00693A77" w:rsidRDefault="00693A77" w:rsidP="00F87300">
      <w:pPr>
        <w:pStyle w:val="Betarp"/>
        <w:ind w:right="-1"/>
        <w:jc w:val="both"/>
      </w:pPr>
    </w:p>
    <w:p w14:paraId="338D3C5F" w14:textId="343757D5" w:rsidR="00693A77" w:rsidRDefault="00693A77" w:rsidP="00F87300">
      <w:pPr>
        <w:pStyle w:val="Betarp"/>
        <w:ind w:right="-1" w:firstLine="567"/>
        <w:jc w:val="both"/>
      </w:pPr>
      <w:r w:rsidRPr="00A46ECB">
        <w:t>2012 m</w:t>
      </w:r>
      <w:r>
        <w:t xml:space="preserve">etais dalis </w:t>
      </w:r>
      <w:r w:rsidRPr="00A46ECB">
        <w:t>Valstybės teismo teisėj</w:t>
      </w:r>
      <w:r>
        <w:t>ų</w:t>
      </w:r>
      <w:r w:rsidRPr="00A46ECB">
        <w:t xml:space="preserve"> ir teismo tarnautoj</w:t>
      </w:r>
      <w:r>
        <w:t>ų, remdamiesi</w:t>
      </w:r>
      <w:r w:rsidRPr="00A46ECB">
        <w:t xml:space="preserve"> 2009 m</w:t>
      </w:r>
      <w:r>
        <w:t>etų</w:t>
      </w:r>
      <w:r w:rsidRPr="00A46ECB">
        <w:t xml:space="preserve"> Diskriminacijos draudimo įstatymu</w:t>
      </w:r>
      <w:r>
        <w:t>,</w:t>
      </w:r>
      <w:r w:rsidRPr="00A46ECB">
        <w:t xml:space="preserve"> pateikė šiam teismui civilinį ieškinį, prašydami nuo 2009 m</w:t>
      </w:r>
      <w:r>
        <w:t>etų</w:t>
      </w:r>
      <w:r w:rsidRPr="00A46ECB">
        <w:t xml:space="preserve"> išmokėti maitinimo, kelionės ir šeimos išmokas, nes jų atlyginimus reglamentuojančiuose teisės aktuose, skirtingai nei visų kitų valstybės tarnautojų atlyginimus reglamentuojančiuose teisės aktuose, tuo metu šie priedai nebuvo numatyti.</w:t>
      </w:r>
      <w:r w:rsidRPr="00F9527B">
        <w:t xml:space="preserve"> </w:t>
      </w:r>
      <w:r>
        <w:t>V</w:t>
      </w:r>
      <w:r w:rsidRPr="00F9527B">
        <w:t xml:space="preserve">alstybės teismas sustabdė civilinę bylą ir pateikė prašymą dėl abstrakčios konstitucingumo kontrolės. </w:t>
      </w:r>
      <w:r>
        <w:t>K</w:t>
      </w:r>
      <w:r w:rsidRPr="00F9527B">
        <w:t xml:space="preserve">onstitucinis </w:t>
      </w:r>
      <w:r w:rsidR="00163311">
        <w:t>T</w:t>
      </w:r>
      <w:r w:rsidRPr="00F9527B">
        <w:t>eismas</w:t>
      </w:r>
      <w:r>
        <w:t xml:space="preserve"> </w:t>
      </w:r>
      <w:r w:rsidRPr="00F9527B">
        <w:t>pripažino, kad Teisėjų ir prokurorų institucijų darbo užmokesčio įstatymas prieštara</w:t>
      </w:r>
      <w:r>
        <w:t>vo</w:t>
      </w:r>
      <w:r w:rsidRPr="00F9527B">
        <w:t xml:space="preserve"> diskriminacijos draudimui ir teismų nepriklausomumo principui tiek, kiek jame ne</w:t>
      </w:r>
      <w:r>
        <w:t xml:space="preserve">buvo </w:t>
      </w:r>
      <w:r w:rsidRPr="00F9527B">
        <w:t>numatytos maitinimosi, kelionės ir šeimos išskyrimo išmokos</w:t>
      </w:r>
      <w:r>
        <w:t>, bei</w:t>
      </w:r>
      <w:r w:rsidRPr="00F9527B">
        <w:t xml:space="preserve"> nurodė Bosnijos ir Hercegovinos parlamentinei asamblėjai per šešis mėnesius suderinti įstatymą su Konstitucija</w:t>
      </w:r>
      <w:r>
        <w:t>, tačiau tai buvo padaryta</w:t>
      </w:r>
      <w:r w:rsidRPr="00F9527B">
        <w:t xml:space="preserve"> tik 2020 m</w:t>
      </w:r>
      <w:r>
        <w:t>etais</w:t>
      </w:r>
      <w:r w:rsidRPr="00F9527B">
        <w:t>.</w:t>
      </w:r>
      <w:r>
        <w:t xml:space="preserve"> </w:t>
      </w:r>
      <w:r w:rsidRPr="006D7095">
        <w:t>Valstybės teismas 2013 m</w:t>
      </w:r>
      <w:r>
        <w:t>.</w:t>
      </w:r>
      <w:r w:rsidRPr="006D7095">
        <w:t xml:space="preserve"> rugsėj</w:t>
      </w:r>
      <w:r>
        <w:t>į</w:t>
      </w:r>
      <w:r w:rsidRPr="006D7095">
        <w:t xml:space="preserve"> dėl ieškovų statuso bylą išsk</w:t>
      </w:r>
      <w:r>
        <w:t xml:space="preserve">yrė </w:t>
      </w:r>
      <w:r w:rsidRPr="006D7095">
        <w:t>į dvi</w:t>
      </w:r>
      <w:r>
        <w:t xml:space="preserve"> – </w:t>
      </w:r>
      <w:r w:rsidRPr="006D7095">
        <w:t>teisėj</w:t>
      </w:r>
      <w:r>
        <w:t>ų</w:t>
      </w:r>
      <w:r w:rsidRPr="006D7095">
        <w:t xml:space="preserve"> </w:t>
      </w:r>
      <w:r>
        <w:t xml:space="preserve">ir </w:t>
      </w:r>
      <w:r w:rsidRPr="006D7095">
        <w:t>teismo tarnautoj</w:t>
      </w:r>
      <w:r>
        <w:t xml:space="preserve">ų – bylas ir dėl interesų konflikto jas perdavė nagrinėti kitam teismui. </w:t>
      </w:r>
    </w:p>
    <w:p w14:paraId="4C51C5CD" w14:textId="77777777" w:rsidR="00693A77" w:rsidRDefault="00693A77" w:rsidP="00F87300">
      <w:pPr>
        <w:pStyle w:val="Betarp"/>
        <w:ind w:right="-1" w:firstLine="567"/>
        <w:jc w:val="both"/>
      </w:pPr>
      <w:r w:rsidRPr="0091119A">
        <w:t>2015 m. lapkri</w:t>
      </w:r>
      <w:r>
        <w:t xml:space="preserve">tį </w:t>
      </w:r>
      <w:r w:rsidRPr="0091119A">
        <w:t xml:space="preserve">Savivaldybės teismas </w:t>
      </w:r>
      <w:r>
        <w:t xml:space="preserve">tenkino ieškinį teismo tarnautojų </w:t>
      </w:r>
      <w:r w:rsidRPr="0091119A">
        <w:t>byloje</w:t>
      </w:r>
      <w:r>
        <w:t xml:space="preserve"> – </w:t>
      </w:r>
      <w:r w:rsidRPr="0091119A">
        <w:t xml:space="preserve">priteisė jiems </w:t>
      </w:r>
      <w:r>
        <w:t>ginčo</w:t>
      </w:r>
      <w:r w:rsidRPr="0091119A">
        <w:t xml:space="preserve"> išmokas nuo 2009 m</w:t>
      </w:r>
      <w:r>
        <w:t xml:space="preserve">etų, </w:t>
      </w:r>
      <w:r w:rsidRPr="0091119A">
        <w:t>motyvuodamas, kad pareiškėjų reikalavimas atlyginti žalą buvo grindžiamas diskriminaciniu ginčijamų teisės aktų pobūdžiu, o ne jų prieštaravimu Konstitucijai</w:t>
      </w:r>
      <w:r>
        <w:t xml:space="preserve">, todėl, </w:t>
      </w:r>
      <w:r w:rsidRPr="0091119A">
        <w:t xml:space="preserve">nors ginčijami teisės </w:t>
      </w:r>
      <w:r w:rsidRPr="0091119A">
        <w:lastRenderedPageBreak/>
        <w:t xml:space="preserve">aktai nuo 2013 m. sausio prieštaravo Konstitucijai, jie buvo diskriminacinio pobūdžio </w:t>
      </w:r>
      <w:r>
        <w:t>ir anksčiau</w:t>
      </w:r>
      <w:r w:rsidRPr="0091119A">
        <w:t xml:space="preserve">. </w:t>
      </w:r>
      <w:r>
        <w:t>2</w:t>
      </w:r>
      <w:r w:rsidRPr="00970B16">
        <w:t>017 m. liepos 11 d. Sarajevo kantono teismas pakeitė pirmosios instancijos teismo sprendimą</w:t>
      </w:r>
      <w:r>
        <w:t>, nurodydamas, jog</w:t>
      </w:r>
      <w:r w:rsidRPr="00970B16">
        <w:t xml:space="preserve"> Konstitucinio Teismo sprendimai</w:t>
      </w:r>
      <w:r>
        <w:t xml:space="preserve"> </w:t>
      </w:r>
      <w:r w:rsidRPr="00970B16">
        <w:t>neturi grįžtamosios galios</w:t>
      </w:r>
      <w:r>
        <w:t>, todėl</w:t>
      </w:r>
      <w:r w:rsidRPr="00970B16">
        <w:t xml:space="preserve"> pareiškėjų reikalavimas gal</w:t>
      </w:r>
      <w:r>
        <w:t>ėjo</w:t>
      </w:r>
      <w:r w:rsidRPr="00970B16">
        <w:t xml:space="preserve"> būti patenkintas tik dėl laikotarpio po 2013 m. sausio</w:t>
      </w:r>
      <w:r>
        <w:t xml:space="preserve"> mėnesio</w:t>
      </w:r>
      <w:r w:rsidRPr="00970B16">
        <w:t>.</w:t>
      </w:r>
      <w:r>
        <w:t xml:space="preserve"> </w:t>
      </w:r>
      <w:r w:rsidRPr="00372F58">
        <w:t>2018 m. balandžio 17 d. Bosnijos ir Hercegovinos Federacijos Aukščiausiasis Teismas paliko galioti antrosios instancijos teismo sprendimą.</w:t>
      </w:r>
      <w:r>
        <w:t xml:space="preserve"> </w:t>
      </w:r>
      <w:r w:rsidRPr="00804C4C">
        <w:t>2018 m. birželio 12</w:t>
      </w:r>
      <w:r>
        <w:t> </w:t>
      </w:r>
      <w:r w:rsidRPr="00804C4C">
        <w:t xml:space="preserve">d. </w:t>
      </w:r>
      <w:r>
        <w:t>dalis</w:t>
      </w:r>
      <w:r w:rsidRPr="00804C4C">
        <w:t xml:space="preserve"> ši</w:t>
      </w:r>
      <w:r>
        <w:t>os bylos</w:t>
      </w:r>
      <w:r w:rsidRPr="00804C4C">
        <w:t xml:space="preserve"> pareiškėjų pateikė konstitucinį skundą</w:t>
      </w:r>
      <w:r>
        <w:t>, teigdami, kad</w:t>
      </w:r>
      <w:r w:rsidRPr="00804C4C">
        <w:t xml:space="preserve"> ginčijami teisės aktai nuo pat pradžių buvo diskriminaciniai</w:t>
      </w:r>
      <w:r>
        <w:t>.</w:t>
      </w:r>
    </w:p>
    <w:p w14:paraId="781E39A3" w14:textId="77777777" w:rsidR="00693A77" w:rsidRDefault="00693A77" w:rsidP="00F87300">
      <w:pPr>
        <w:pStyle w:val="Betarp"/>
        <w:ind w:right="-1" w:firstLine="567"/>
        <w:jc w:val="both"/>
      </w:pPr>
      <w:r w:rsidRPr="00D62F2F">
        <w:t>2018 m. liepos 13 d. Savivaldybės teismas priėmė sprendimą teisėjų byloje</w:t>
      </w:r>
      <w:r>
        <w:t xml:space="preserve">, priteisdamas jiems ginčo išmokas </w:t>
      </w:r>
      <w:r w:rsidRPr="00D62F2F">
        <w:t>nuo 2009 m</w:t>
      </w:r>
      <w:r>
        <w:t>etų</w:t>
      </w:r>
      <w:r w:rsidRPr="00D62F2F">
        <w:t>. Sarajevo kantono teismas</w:t>
      </w:r>
      <w:r>
        <w:t xml:space="preserve"> (</w:t>
      </w:r>
      <w:r w:rsidRPr="00D62F2F">
        <w:t>kitos sudėties nei byloje dėl teismo tarnautojų</w:t>
      </w:r>
      <w:r>
        <w:t>)</w:t>
      </w:r>
      <w:r w:rsidRPr="00D62F2F">
        <w:t xml:space="preserve"> paliko galioti pirmosios instancijos teismo sprendimą</w:t>
      </w:r>
      <w:r>
        <w:t xml:space="preserve">, </w:t>
      </w:r>
      <w:r w:rsidRPr="00D62F2F">
        <w:t xml:space="preserve">nenurodydamas jokių tokio teismų praktikos pasikeitimo priežasčių. Valstybė nepateikė nei </w:t>
      </w:r>
      <w:r>
        <w:t>kasacinio</w:t>
      </w:r>
      <w:r w:rsidRPr="00D62F2F">
        <w:t>, nei konstitucinio skundo.</w:t>
      </w:r>
    </w:p>
    <w:p w14:paraId="3A961F32" w14:textId="77777777" w:rsidR="00693A77" w:rsidRDefault="00693A77" w:rsidP="00F87300">
      <w:pPr>
        <w:pStyle w:val="Betarp"/>
        <w:ind w:right="-1" w:firstLine="567"/>
        <w:jc w:val="both"/>
      </w:pPr>
      <w:r w:rsidRPr="00005411">
        <w:t xml:space="preserve">2020 m. gegužės 20 d. Konstitucinis Teismas priėmė sprendimą, </w:t>
      </w:r>
      <w:r>
        <w:t>kuriame nurodė</w:t>
      </w:r>
      <w:r w:rsidRPr="00005411">
        <w:t xml:space="preserve"> negali</w:t>
      </w:r>
      <w:r>
        <w:t>ntis</w:t>
      </w:r>
      <w:r w:rsidRPr="00005411">
        <w:t xml:space="preserve"> atsižvelgti į</w:t>
      </w:r>
      <w:r>
        <w:t xml:space="preserve"> teismo</w:t>
      </w:r>
      <w:r w:rsidRPr="00005411">
        <w:t xml:space="preserve"> sprendimą dėl Valstybės teismo teisėjų, nes pareiškėjai </w:t>
      </w:r>
      <w:r>
        <w:t xml:space="preserve">(teismo tarnautojai) </w:t>
      </w:r>
      <w:r w:rsidRPr="00005411">
        <w:t>apie šį sprendimą pranešė praėjus daugiau nei šešiasdešimčiai dienų nuo paskutinio sprendimo jų pačių byloje paskelbimo. Atsižvelg</w:t>
      </w:r>
      <w:r>
        <w:t>ęs</w:t>
      </w:r>
      <w:r w:rsidRPr="00005411">
        <w:t xml:space="preserve"> į tai, kad pareiškėjų byloje priimti sprendimai atitiko bendrąją taisyklę, pagal kurią sprendimai, kuriais teisės aktai pripažįstami prieštaraujančiais Konstitucijai, neturi grįžtamosios galios, ir nesant jokių kitų savavališkumo ar diskriminacijos požymių, </w:t>
      </w:r>
      <w:r>
        <w:t>Konstitucinis Teismas</w:t>
      </w:r>
      <w:r w:rsidRPr="00005411">
        <w:t xml:space="preserve"> atmetė pareiškėjų </w:t>
      </w:r>
      <w:r>
        <w:t>skundą</w:t>
      </w:r>
      <w:r w:rsidRPr="00005411">
        <w:t xml:space="preserve">. </w:t>
      </w:r>
    </w:p>
    <w:p w14:paraId="2C379A1B" w14:textId="77777777" w:rsidR="00693A77" w:rsidRDefault="00693A77" w:rsidP="00F87300">
      <w:pPr>
        <w:pStyle w:val="Betarp"/>
        <w:ind w:right="-1" w:firstLine="567"/>
        <w:jc w:val="both"/>
      </w:pPr>
      <w:r w:rsidRPr="00896384">
        <w:t>EŽTT pateiktoje peticijoje pareiškėja</w:t>
      </w:r>
      <w:r>
        <w:t>i – Valstybės teismo valstybės tarnautojai –</w:t>
      </w:r>
      <w:r w:rsidRPr="00896384">
        <w:t xml:space="preserve"> skundėsi, kad </w:t>
      </w:r>
      <w:r w:rsidRPr="00B678ED">
        <w:t>beveik identiško</w:t>
      </w:r>
      <w:r>
        <w:t>s</w:t>
      </w:r>
      <w:r w:rsidRPr="00B678ED">
        <w:t>e bylo</w:t>
      </w:r>
      <w:r>
        <w:t>s</w:t>
      </w:r>
      <w:r w:rsidRPr="00B678ED">
        <w:t>e</w:t>
      </w:r>
      <w:r>
        <w:t xml:space="preserve"> buvo </w:t>
      </w:r>
      <w:r w:rsidRPr="00B678ED">
        <w:t>padaryt</w:t>
      </w:r>
      <w:r>
        <w:t>os</w:t>
      </w:r>
      <w:r w:rsidRPr="00B678ED">
        <w:t xml:space="preserve"> priešing</w:t>
      </w:r>
      <w:r>
        <w:t>os</w:t>
      </w:r>
      <w:r w:rsidRPr="00B678ED">
        <w:t xml:space="preserve"> išvad</w:t>
      </w:r>
      <w:r>
        <w:t>os. T</w:t>
      </w:r>
      <w:r w:rsidRPr="00B678ED">
        <w:t xml:space="preserve">ai, kad valstybė </w:t>
      </w:r>
      <w:r>
        <w:t xml:space="preserve">neginčijo teismo </w:t>
      </w:r>
      <w:r w:rsidRPr="00B678ED">
        <w:t>sprendimo</w:t>
      </w:r>
      <w:r w:rsidRPr="00896384">
        <w:t xml:space="preserve"> </w:t>
      </w:r>
      <w:r>
        <w:t>teisėjų byloje</w:t>
      </w:r>
      <w:r w:rsidRPr="00B678ED">
        <w:t>,</w:t>
      </w:r>
      <w:r>
        <w:t xml:space="preserve"> pareiškėjų teigimu,</w:t>
      </w:r>
      <w:r w:rsidRPr="00B678ED">
        <w:t xml:space="preserve"> </w:t>
      </w:r>
      <w:r>
        <w:t>patvirtino</w:t>
      </w:r>
      <w:r w:rsidRPr="00B678ED">
        <w:t xml:space="preserve">, kad </w:t>
      </w:r>
      <w:r>
        <w:t>ši</w:t>
      </w:r>
      <w:r w:rsidRPr="00B678ED">
        <w:t xml:space="preserve">s sprendimas buvo teisingas, o jų byloje priimtas sprendimas </w:t>
      </w:r>
      <w:r>
        <w:t>–</w:t>
      </w:r>
      <w:r w:rsidRPr="00B678ED">
        <w:t xml:space="preserve"> neteisingas</w:t>
      </w:r>
      <w:r>
        <w:t xml:space="preserve">, ir Konstitucinis Teismas šios padėties neištaisė. Dėl šių priežasčių buvo pažeista Konvencijos 6 straipsnio 1 dalis, taip pat Konvencijos </w:t>
      </w:r>
      <w:r w:rsidRPr="00896384">
        <w:t>12 protokolo 1 straipsn</w:t>
      </w:r>
      <w:r>
        <w:t>is</w:t>
      </w:r>
      <w:r w:rsidRPr="00896384">
        <w:t>.</w:t>
      </w:r>
    </w:p>
    <w:p w14:paraId="6C1FC896" w14:textId="77777777" w:rsidR="00693A77" w:rsidRDefault="00693A77" w:rsidP="00F87300">
      <w:pPr>
        <w:pStyle w:val="Betarp"/>
        <w:ind w:right="-1"/>
        <w:jc w:val="both"/>
      </w:pPr>
    </w:p>
    <w:p w14:paraId="1A5F06F9" w14:textId="77777777" w:rsidR="00693A77" w:rsidRPr="00536624" w:rsidRDefault="00693A77" w:rsidP="00F87300">
      <w:pPr>
        <w:shd w:val="clear" w:color="auto" w:fill="FFFFFF"/>
        <w:spacing w:after="0" w:line="240" w:lineRule="auto"/>
        <w:ind w:right="-1"/>
        <w:jc w:val="center"/>
        <w:rPr>
          <w:rFonts w:eastAsia="Times New Roman" w:cstheme="minorHAnsi"/>
          <w:b/>
          <w:bCs/>
          <w:color w:val="000000"/>
        </w:rPr>
      </w:pPr>
      <w:bookmarkStart w:id="69" w:name="_Hlk101347967"/>
      <w:r w:rsidRPr="00536624">
        <w:rPr>
          <w:rFonts w:eastAsia="Times New Roman" w:cstheme="minorHAnsi"/>
          <w:b/>
          <w:bCs/>
          <w:color w:val="000000"/>
        </w:rPr>
        <w:t>Neoficiali Teismo sprendimo apžvalga</w:t>
      </w:r>
    </w:p>
    <w:bookmarkEnd w:id="69"/>
    <w:p w14:paraId="4A9B4843" w14:textId="175B9104" w:rsidR="00693A77" w:rsidRDefault="00693A77" w:rsidP="00F87300">
      <w:pPr>
        <w:pStyle w:val="Betarp"/>
        <w:ind w:right="-1" w:firstLine="567"/>
        <w:jc w:val="both"/>
      </w:pPr>
    </w:p>
    <w:p w14:paraId="423008F5" w14:textId="77777777" w:rsidR="00693A77" w:rsidRDefault="00693A77" w:rsidP="00F87300">
      <w:pPr>
        <w:pStyle w:val="Betarp"/>
        <w:ind w:right="-1" w:firstLine="567"/>
        <w:jc w:val="both"/>
      </w:pPr>
      <w:r>
        <w:t xml:space="preserve">EŽTT sutiko </w:t>
      </w:r>
      <w:r w:rsidRPr="00E31310">
        <w:t>su Konstitucini</w:t>
      </w:r>
      <w:r>
        <w:t>o</w:t>
      </w:r>
      <w:r w:rsidRPr="00E31310">
        <w:t xml:space="preserve"> Teism</w:t>
      </w:r>
      <w:r>
        <w:t>o išaiškinimu</w:t>
      </w:r>
      <w:r w:rsidRPr="00E31310">
        <w:t xml:space="preserve">, kad </w:t>
      </w:r>
      <w:r>
        <w:t>pareiškėjai</w:t>
      </w:r>
      <w:r w:rsidRPr="00E31310">
        <w:t xml:space="preserve"> aiškiai atitiko bendrą vidaus konstitucinės teisės taisyklę, pagal kurią sprendimai, kuriais teisės aktai pripažįstami prieštaraujančiais Konstitucijai, neturi grįžtamosios galios. Teism</w:t>
      </w:r>
      <w:r>
        <w:t>o vertinimu,</w:t>
      </w:r>
      <w:r w:rsidRPr="00E31310">
        <w:t xml:space="preserve"> šiuo </w:t>
      </w:r>
      <w:r>
        <w:t>požiūriu</w:t>
      </w:r>
      <w:r w:rsidRPr="00E31310">
        <w:t xml:space="preserve"> tikslinga pabrėžti subsidiarumo ir bendros atsakomybės principų svarbą. Konvencijos 15 protokolu subsidiarumo principas buvo įtrauktas į Konvencijos preambulę</w:t>
      </w:r>
      <w:r>
        <w:t>.</w:t>
      </w:r>
      <w:r w:rsidRPr="00E31310">
        <w:t xml:space="preserve"> </w:t>
      </w:r>
      <w:r>
        <w:t xml:space="preserve">Nors </w:t>
      </w:r>
      <w:r w:rsidRPr="00E31310">
        <w:t xml:space="preserve">beveik identiškoje byloje buvo priimtas priešingas sprendimas, tai įvyko praėjus daugeliui mėnesių po to, kai sprendimas pareiškėjų byloje tapo galutinis. </w:t>
      </w:r>
      <w:r>
        <w:t>EŽTT taip pat pabrėžė, kad</w:t>
      </w:r>
      <w:r w:rsidRPr="00E31310">
        <w:t xml:space="preserve"> prieštaringų teismo sprendimų galimybė yra neatsiejamas bet kurios teismų sistemos, pagrįstos pirmosios ir apeliacinės instancijos teismų, turinčių įgaliojimus savo teritorinės jurisdikcijos srityje, tinklu, bruožas. Tokie skirtumai gali atsirasti ir tame pačiame teisme. Tai savaime negali būti laikoma prieštara</w:t>
      </w:r>
      <w:r>
        <w:t>vimu</w:t>
      </w:r>
      <w:r w:rsidRPr="00E31310">
        <w:t xml:space="preserve"> Konvencijai. Teismas </w:t>
      </w:r>
      <w:r>
        <w:t xml:space="preserve">yra </w:t>
      </w:r>
      <w:r w:rsidRPr="00E31310">
        <w:t>nustat</w:t>
      </w:r>
      <w:r>
        <w:t>ęs</w:t>
      </w:r>
      <w:r w:rsidRPr="00E31310">
        <w:t xml:space="preserve"> sąlygas, kuriomis prieštaringi vidaus teismų sprendimai pažeidžia Konvencijos 6 straipsnio 1 dalyje įtvirtintą teisingo bylos nagrinėjimo reikalavimą. Viena iš jų yra </w:t>
      </w:r>
      <w:r>
        <w:t>„</w:t>
      </w:r>
      <w:r w:rsidRPr="00E31310">
        <w:t>gilių ir ilgalaikių</w:t>
      </w:r>
      <w:r>
        <w:t>“</w:t>
      </w:r>
      <w:r w:rsidRPr="00E31310">
        <w:t xml:space="preserve"> vidaus teismų praktikos skirtumų egzistavimas</w:t>
      </w:r>
      <w:r>
        <w:t>. Teismo vertinimu,</w:t>
      </w:r>
      <w:r w:rsidRPr="00E31310">
        <w:t xml:space="preserve"> </w:t>
      </w:r>
      <w:r>
        <w:t xml:space="preserve">nagrinėtu atveju </w:t>
      </w:r>
      <w:r w:rsidRPr="00E31310">
        <w:t>situacija akivaizdžiai tokia</w:t>
      </w:r>
      <w:r>
        <w:t xml:space="preserve"> nebuvo</w:t>
      </w:r>
      <w:r w:rsidRPr="00E31310">
        <w:t>.</w:t>
      </w:r>
    </w:p>
    <w:p w14:paraId="47D477F2" w14:textId="1C76B285" w:rsidR="00693A77" w:rsidRDefault="00693A77" w:rsidP="00F87300">
      <w:pPr>
        <w:pStyle w:val="Betarp"/>
        <w:ind w:right="-1" w:firstLine="567"/>
        <w:jc w:val="both"/>
      </w:pPr>
      <w:r>
        <w:t xml:space="preserve">Atsižvelgęs į aplinkybę, kad </w:t>
      </w:r>
      <w:r w:rsidRPr="00E31310">
        <w:t>Konstitucinis Teismas pareiškėjų pateiktą informaciją apie teisėjų byloje priimtą sprendimą pagal savo reglament</w:t>
      </w:r>
      <w:r>
        <w:t>ą</w:t>
      </w:r>
      <w:r w:rsidRPr="00E31310">
        <w:t xml:space="preserve"> vertino kaip naują skundą, o ne kaip bylai svarbią teisin</w:t>
      </w:r>
      <w:r>
        <w:t>ių</w:t>
      </w:r>
      <w:r w:rsidRPr="00E31310">
        <w:t xml:space="preserve"> ir faktin</w:t>
      </w:r>
      <w:r>
        <w:t>ių aplinkybių</w:t>
      </w:r>
      <w:r w:rsidRPr="00E31310">
        <w:t xml:space="preserve"> raidą</w:t>
      </w:r>
      <w:r>
        <w:t>, EŽTT atkreipė dėmesį, kad savo praktikoje</w:t>
      </w:r>
      <w:r w:rsidR="00163311">
        <w:t xml:space="preserve"> jis</w:t>
      </w:r>
      <w:r>
        <w:t xml:space="preserve"> jau </w:t>
      </w:r>
      <w:r w:rsidRPr="00E31310">
        <w:t xml:space="preserve">yra </w:t>
      </w:r>
      <w:r>
        <w:t>konstatavęs</w:t>
      </w:r>
      <w:r w:rsidRPr="00E31310">
        <w:t>, kad taisyklėmis, reglamentuojančiomis formalius veiksmus, kurių turi būti imtasi, ir terminus, kurių turi būti laikomasi paduodant skundą, aiškiai siekiama užtikrinti tinkamą teisingumo vykdymą ir visų pirma teisinio tikrumo principo laikymąsi</w:t>
      </w:r>
      <w:r>
        <w:t>; taip pat kad</w:t>
      </w:r>
      <w:r w:rsidRPr="00E31310">
        <w:t xml:space="preserve">, atsižvelgiant į ypatingą Konstitucinio Teismo, kaip paskutinės instancijos teismo pagrindinių teisių apsaugos srityje, vaidmenį, procesas jame gali būti formalesnis. </w:t>
      </w:r>
      <w:r>
        <w:t>Aptariamu atveju</w:t>
      </w:r>
      <w:r w:rsidRPr="00E31310">
        <w:t xml:space="preserve"> pareiškėjai </w:t>
      </w:r>
      <w:r>
        <w:t>EŽTT</w:t>
      </w:r>
      <w:r w:rsidRPr="00E31310">
        <w:t xml:space="preserve"> nesiskundė, kad tai, kaip Konstitucinis Teismas aiškino ir taikė savo procesines taisykles jų byloje, </w:t>
      </w:r>
      <w:r>
        <w:t xml:space="preserve">savaime </w:t>
      </w:r>
      <w:r w:rsidRPr="00E31310">
        <w:t>buvo savavališka</w:t>
      </w:r>
      <w:r>
        <w:t>, todėl Konvencijos 6 straipsnio 1 dalis nebuvo pažeista.</w:t>
      </w:r>
    </w:p>
    <w:p w14:paraId="3D0A49B1" w14:textId="3678471E" w:rsidR="00693A77" w:rsidRDefault="00693A77" w:rsidP="00F87300">
      <w:pPr>
        <w:pStyle w:val="Betarp"/>
        <w:ind w:right="-1" w:firstLine="567"/>
        <w:jc w:val="both"/>
      </w:pPr>
      <w:r>
        <w:t xml:space="preserve">Vis dėlto, Teismas atkreipė dėmesį, kad </w:t>
      </w:r>
      <w:r w:rsidRPr="00827E0A">
        <w:t xml:space="preserve">Valstybės teismo teisėjai ir teismo tarnautojai pareiškė bendrą civilinį ieškinį, remdamiesi tomis pačiomis teisinėmis nuostatomis, </w:t>
      </w:r>
      <w:r>
        <w:t xml:space="preserve">tačiau </w:t>
      </w:r>
      <w:r w:rsidRPr="00827E0A">
        <w:t>vėliau bylą dėl</w:t>
      </w:r>
      <w:r>
        <w:t xml:space="preserve"> pareiškė</w:t>
      </w:r>
      <w:r w:rsidRPr="00827E0A">
        <w:t>jų statuso išskyr</w:t>
      </w:r>
      <w:r>
        <w:t>us</w:t>
      </w:r>
      <w:r w:rsidRPr="00827E0A">
        <w:t xml:space="preserve"> į </w:t>
      </w:r>
      <w:r>
        <w:t xml:space="preserve">atskiras </w:t>
      </w:r>
      <w:r w:rsidRPr="00827E0A">
        <w:t>bylas</w:t>
      </w:r>
      <w:r>
        <w:t>, buvo</w:t>
      </w:r>
      <w:r w:rsidRPr="00827E0A">
        <w:t xml:space="preserve"> padar</w:t>
      </w:r>
      <w:r>
        <w:t>ytos</w:t>
      </w:r>
      <w:r w:rsidRPr="00827E0A">
        <w:t xml:space="preserve"> priešing</w:t>
      </w:r>
      <w:r>
        <w:t>o</w:t>
      </w:r>
      <w:r w:rsidRPr="00827E0A">
        <w:t>s išvad</w:t>
      </w:r>
      <w:r>
        <w:t>o</w:t>
      </w:r>
      <w:r w:rsidRPr="00827E0A">
        <w:t xml:space="preserve">s dėl vieno iš pagrindinių šiose bylose iškeltų teisinių klausimų. Dėl šių ypatingų aplinkybių visiems Valstybės teismo </w:t>
      </w:r>
      <w:r>
        <w:t xml:space="preserve">tarnautojams </w:t>
      </w:r>
      <w:r w:rsidRPr="00827E0A">
        <w:t xml:space="preserve">maitinimosi, kelionės ir šeimos išmokos buvo paskirtos tik už laikotarpį po 2013 m. sausio, o visiems teisėjams </w:t>
      </w:r>
      <w:r>
        <w:t>–</w:t>
      </w:r>
      <w:r w:rsidRPr="00827E0A">
        <w:t xml:space="preserve"> ir už laikotarpį iki 2013 m. sausio</w:t>
      </w:r>
      <w:r>
        <w:t xml:space="preserve"> mėnesio</w:t>
      </w:r>
      <w:r w:rsidRPr="00827E0A">
        <w:t xml:space="preserve">. </w:t>
      </w:r>
      <w:r>
        <w:t>EŽTT vertinimu</w:t>
      </w:r>
      <w:r w:rsidRPr="00827E0A">
        <w:t xml:space="preserve">, šis skirtingas požiūris buvo grindžiamas </w:t>
      </w:r>
      <w:r>
        <w:t>„</w:t>
      </w:r>
      <w:r w:rsidRPr="00827E0A">
        <w:t>kitu statusu</w:t>
      </w:r>
      <w:r>
        <w:t>“</w:t>
      </w:r>
      <w:r w:rsidRPr="00827E0A">
        <w:t>, kaip apibrėžta 12</w:t>
      </w:r>
      <w:r w:rsidR="005308EE">
        <w:t> </w:t>
      </w:r>
      <w:r w:rsidRPr="00827E0A">
        <w:t>protokolo 1 straipsnyje.</w:t>
      </w:r>
      <w:r>
        <w:t xml:space="preserve"> Vidaus teismams bei Vyriausybei nepateikus jokio šio skirtingo traktavimo </w:t>
      </w:r>
      <w:r>
        <w:lastRenderedPageBreak/>
        <w:t>pagrindimo, Teismas darė išvadą, kad šis skirtingas traktavimas neturėjo jokio objektyvaus ir pagrįsto pateisinimo, todėl buvo pažeistas Konvencijos 12 protokolo 1 straipsnis.</w:t>
      </w:r>
    </w:p>
    <w:p w14:paraId="4EB9EFC7" w14:textId="77777777" w:rsidR="00693A77" w:rsidRDefault="00693A77" w:rsidP="00F87300">
      <w:pPr>
        <w:pStyle w:val="Betarp"/>
        <w:ind w:right="-1"/>
        <w:jc w:val="both"/>
      </w:pPr>
    </w:p>
    <w:p w14:paraId="4E309563" w14:textId="2ED7114F" w:rsidR="00693A77" w:rsidRDefault="00693A77" w:rsidP="00F87300">
      <w:pPr>
        <w:pStyle w:val="Betarp"/>
        <w:ind w:right="-1" w:firstLine="567"/>
        <w:jc w:val="both"/>
      </w:pPr>
      <w:r>
        <w:t xml:space="preserve">Išvada: Konvencijos 6 straipsnio 1 dalies pažeidimas (vienbalsiai) nenustatytas; nustatytas Konvencijos </w:t>
      </w:r>
      <w:r w:rsidRPr="002930B7">
        <w:t>12 protokolo 1 straipsn</w:t>
      </w:r>
      <w:r>
        <w:t>io pažeidimas (vienbalsiai).</w:t>
      </w:r>
    </w:p>
    <w:p w14:paraId="38DFC69D" w14:textId="77777777" w:rsidR="00693A77" w:rsidRDefault="00693A77" w:rsidP="00F87300">
      <w:pPr>
        <w:pStyle w:val="Betarp"/>
        <w:ind w:right="-1" w:firstLine="567"/>
        <w:jc w:val="both"/>
      </w:pPr>
      <w:r w:rsidRPr="00536624">
        <w:rPr>
          <w:rFonts w:cstheme="minorHAnsi"/>
        </w:rPr>
        <w:t>41 straipsnis:</w:t>
      </w:r>
      <w:r>
        <w:rPr>
          <w:rFonts w:cstheme="minorHAnsi"/>
        </w:rPr>
        <w:t xml:space="preserve"> kiekvienam pareiškėjui priteista</w:t>
      </w:r>
      <w:r w:rsidRPr="00E206AD">
        <w:rPr>
          <w:rFonts w:cstheme="minorHAnsi"/>
        </w:rPr>
        <w:t xml:space="preserve"> po 1 000 E</w:t>
      </w:r>
      <w:r>
        <w:rPr>
          <w:rFonts w:cstheme="minorHAnsi"/>
        </w:rPr>
        <w:t xml:space="preserve">ur </w:t>
      </w:r>
      <w:r w:rsidRPr="00E206AD">
        <w:rPr>
          <w:rFonts w:cstheme="minorHAnsi"/>
        </w:rPr>
        <w:t>neturtinei žalai atlyginti</w:t>
      </w:r>
      <w:r>
        <w:rPr>
          <w:rFonts w:cstheme="minorHAnsi"/>
        </w:rPr>
        <w:t>.</w:t>
      </w:r>
    </w:p>
    <w:p w14:paraId="7BD35218" w14:textId="77777777" w:rsidR="00693A77" w:rsidRDefault="00000000" w:rsidP="00F87300">
      <w:pPr>
        <w:pStyle w:val="Betarp"/>
        <w:ind w:right="-1" w:firstLine="567"/>
        <w:jc w:val="both"/>
      </w:pPr>
      <w:hyperlink r:id="rId27" w:history="1">
        <w:r w:rsidR="00693A77" w:rsidRPr="00D55E99">
          <w:rPr>
            <w:rStyle w:val="Hipersaitas"/>
          </w:rPr>
          <w:t>Prieiga internete</w:t>
        </w:r>
      </w:hyperlink>
    </w:p>
    <w:p w14:paraId="3BDCE150" w14:textId="77777777" w:rsidR="00693A77" w:rsidRDefault="00693A77" w:rsidP="00F87300">
      <w:pPr>
        <w:spacing w:after="0" w:line="240" w:lineRule="auto"/>
        <w:ind w:right="-1" w:firstLine="454"/>
        <w:jc w:val="both"/>
        <w:rPr>
          <w:rFonts w:cs="Arial"/>
          <w:b/>
        </w:rPr>
      </w:pPr>
    </w:p>
    <w:p w14:paraId="73BFDC50" w14:textId="77777777" w:rsidR="00D73865" w:rsidRDefault="00D73865" w:rsidP="00F87300">
      <w:pPr>
        <w:spacing w:after="0" w:line="240" w:lineRule="auto"/>
        <w:ind w:right="-1" w:firstLine="454"/>
        <w:jc w:val="both"/>
        <w:rPr>
          <w:rFonts w:cs="Arial"/>
          <w:b/>
        </w:rPr>
      </w:pPr>
    </w:p>
    <w:p w14:paraId="0DD2E8A5" w14:textId="0E954FA2" w:rsidR="00D73865" w:rsidRPr="00EE0FC1" w:rsidRDefault="00D73865" w:rsidP="00D73865">
      <w:pPr>
        <w:spacing w:after="0" w:line="240" w:lineRule="auto"/>
        <w:ind w:right="-1"/>
        <w:jc w:val="center"/>
        <w:rPr>
          <w:rFonts w:cs="Arial"/>
          <w:b/>
        </w:rPr>
      </w:pPr>
      <w:r>
        <w:rPr>
          <w:rFonts w:cs="Arial"/>
          <w:b/>
        </w:rPr>
        <w:t>______________</w:t>
      </w:r>
    </w:p>
    <w:sectPr w:rsidR="00D73865" w:rsidRPr="00EE0FC1" w:rsidSect="007D4315">
      <w:headerReference w:type="default" r:id="rId28"/>
      <w:footerReference w:type="default" r:id="rId29"/>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D8E9A" w14:textId="77777777" w:rsidR="00BB731D" w:rsidRDefault="00BB731D">
      <w:pPr>
        <w:spacing w:after="0" w:line="240" w:lineRule="auto"/>
      </w:pPr>
      <w:r>
        <w:separator/>
      </w:r>
    </w:p>
  </w:endnote>
  <w:endnote w:type="continuationSeparator" w:id="0">
    <w:p w14:paraId="29EB5F49" w14:textId="77777777" w:rsidR="00BB731D" w:rsidRDefault="00BB7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18730759" w14:textId="77777777" w:rsidR="009E20DB" w:rsidRPr="00C95576" w:rsidRDefault="009E20DB">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sidR="00C64F35">
              <w:rPr>
                <w:bCs/>
                <w:noProof/>
                <w:sz w:val="20"/>
                <w:szCs w:val="20"/>
              </w:rPr>
              <w:t>5</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sidR="00C64F35">
              <w:rPr>
                <w:bCs/>
                <w:noProof/>
                <w:sz w:val="20"/>
                <w:szCs w:val="20"/>
              </w:rPr>
              <w:t>34</w:t>
            </w:r>
            <w:r w:rsidRPr="00C95576">
              <w:rPr>
                <w:bCs/>
                <w:sz w:val="20"/>
                <w:szCs w:val="20"/>
              </w:rPr>
              <w:fldChar w:fldCharType="end"/>
            </w:r>
          </w:p>
        </w:sdtContent>
      </w:sdt>
    </w:sdtContent>
  </w:sdt>
  <w:p w14:paraId="0FEDAA04" w14:textId="77777777" w:rsidR="009E20DB" w:rsidRDefault="009E20D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2CFF9" w14:textId="77777777" w:rsidR="00BB731D" w:rsidRDefault="00BB731D">
      <w:pPr>
        <w:spacing w:after="0" w:line="240" w:lineRule="auto"/>
      </w:pPr>
      <w:r>
        <w:separator/>
      </w:r>
    </w:p>
  </w:footnote>
  <w:footnote w:type="continuationSeparator" w:id="0">
    <w:p w14:paraId="7520E996" w14:textId="77777777" w:rsidR="00BB731D" w:rsidRDefault="00BB731D">
      <w:pPr>
        <w:spacing w:after="0" w:line="240" w:lineRule="auto"/>
      </w:pPr>
      <w:r>
        <w:continuationSeparator/>
      </w:r>
    </w:p>
  </w:footnote>
  <w:footnote w:id="1">
    <w:p w14:paraId="56725B79" w14:textId="77777777" w:rsidR="00636B05" w:rsidRDefault="00636B05" w:rsidP="00636B05">
      <w:pPr>
        <w:pStyle w:val="Puslapioinaostekstas"/>
        <w:jc w:val="both"/>
      </w:pPr>
      <w:r>
        <w:rPr>
          <w:rStyle w:val="Puslapioinaosnuoroda"/>
        </w:rPr>
        <w:footnoteRef/>
      </w:r>
      <w:r>
        <w:t xml:space="preserve"> </w:t>
      </w:r>
      <w:r w:rsidRPr="000E6668">
        <w:t>2003 m. sausio 27 d. Europos Parlamento ir Tarybos direktyva 2002/98/EB nustatanti žmogaus kraujo ir kraujo komponentų surinkimo, ištyrimo, perdirbimo, laikymo bei paskirstymo kokybės ir saugos standartus bei iš dalies keičianti Direktyvą 2001/83/EB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E20DB" w:rsidRPr="000967FF" w14:paraId="363E1FB1" w14:textId="77777777" w:rsidTr="00C22527">
      <w:tc>
        <w:tcPr>
          <w:tcW w:w="7230" w:type="dxa"/>
        </w:tcPr>
        <w:p w14:paraId="5C87C8A7" w14:textId="77777777" w:rsidR="009E20DB" w:rsidRPr="0021377E" w:rsidRDefault="009E20DB"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2552CD09" w:rsidR="009E20DB" w:rsidRPr="0021377E" w:rsidRDefault="009E20DB" w:rsidP="0037620F">
          <w:pPr>
            <w:rPr>
              <w:rFonts w:ascii="Calibri" w:hAnsi="Calibri"/>
              <w:color w:val="323E4F" w:themeColor="text2" w:themeShade="BF"/>
              <w:sz w:val="20"/>
              <w:szCs w:val="20"/>
            </w:rPr>
          </w:pPr>
          <w:r>
            <w:rPr>
              <w:rFonts w:ascii="Calibri" w:hAnsi="Calibri"/>
              <w:color w:val="323E4F" w:themeColor="text2" w:themeShade="BF"/>
              <w:sz w:val="20"/>
              <w:szCs w:val="20"/>
            </w:rPr>
            <w:t>2022 0</w:t>
          </w:r>
          <w:r w:rsidR="00EF6497">
            <w:rPr>
              <w:rFonts w:ascii="Calibri" w:hAnsi="Calibri"/>
              <w:color w:val="323E4F" w:themeColor="text2" w:themeShade="BF"/>
              <w:sz w:val="20"/>
              <w:szCs w:val="20"/>
            </w:rPr>
            <w:t>7</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 xml:space="preserve">01–2022 </w:t>
          </w:r>
          <w:r w:rsidR="00EF6497">
            <w:rPr>
              <w:rFonts w:ascii="Calibri" w:hAnsi="Calibri"/>
              <w:color w:val="323E4F" w:themeColor="text2" w:themeShade="BF"/>
              <w:sz w:val="20"/>
              <w:szCs w:val="20"/>
            </w:rPr>
            <w:t>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w:t>
          </w:r>
          <w:r w:rsidR="00EF6497">
            <w:rPr>
              <w:rFonts w:ascii="Calibri" w:hAnsi="Calibri"/>
              <w:color w:val="323E4F" w:themeColor="text2" w:themeShade="BF"/>
              <w:sz w:val="20"/>
              <w:szCs w:val="20"/>
            </w:rPr>
            <w:t>1</w:t>
          </w:r>
        </w:p>
      </w:tc>
    </w:tr>
  </w:tbl>
  <w:p w14:paraId="08528B04" w14:textId="77777777" w:rsidR="009E20DB" w:rsidRDefault="009E20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D9416F9"/>
    <w:multiLevelType w:val="hybridMultilevel"/>
    <w:tmpl w:val="85743A74"/>
    <w:lvl w:ilvl="0" w:tplc="57E0B8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EC2F9F"/>
    <w:multiLevelType w:val="hybridMultilevel"/>
    <w:tmpl w:val="5D586E36"/>
    <w:lvl w:ilvl="0" w:tplc="4606E9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776D1E"/>
    <w:multiLevelType w:val="hybridMultilevel"/>
    <w:tmpl w:val="64BC1784"/>
    <w:lvl w:ilvl="0" w:tplc="72E68074">
      <w:numFmt w:val="bullet"/>
      <w:lvlText w:val=""/>
      <w:lvlJc w:val="left"/>
      <w:pPr>
        <w:ind w:left="927" w:hanging="360"/>
      </w:pPr>
      <w:rPr>
        <w:rFonts w:ascii="Symbol" w:eastAsia="Times New Roman" w:hAnsi="Symbol" w:cstheme="minorHAns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303239818">
    <w:abstractNumId w:val="5"/>
  </w:num>
  <w:num w:numId="2" w16cid:durableId="139617635">
    <w:abstractNumId w:val="4"/>
  </w:num>
  <w:num w:numId="3" w16cid:durableId="172110098">
    <w:abstractNumId w:val="6"/>
  </w:num>
  <w:num w:numId="4" w16cid:durableId="556866701">
    <w:abstractNumId w:val="0"/>
  </w:num>
  <w:num w:numId="5" w16cid:durableId="1662346826">
    <w:abstractNumId w:val="7"/>
  </w:num>
  <w:num w:numId="6" w16cid:durableId="1704358143">
    <w:abstractNumId w:val="3"/>
  </w:num>
  <w:num w:numId="7" w16cid:durableId="1063791511">
    <w:abstractNumId w:val="1"/>
  </w:num>
  <w:num w:numId="8" w16cid:durableId="1720518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9D9"/>
    <w:rsid w:val="00005CD9"/>
    <w:rsid w:val="00005ED2"/>
    <w:rsid w:val="00006AAC"/>
    <w:rsid w:val="00010266"/>
    <w:rsid w:val="000146C4"/>
    <w:rsid w:val="00016793"/>
    <w:rsid w:val="00021C2F"/>
    <w:rsid w:val="00022EBF"/>
    <w:rsid w:val="0002415A"/>
    <w:rsid w:val="00025264"/>
    <w:rsid w:val="00025962"/>
    <w:rsid w:val="00026234"/>
    <w:rsid w:val="00026AA9"/>
    <w:rsid w:val="0003146A"/>
    <w:rsid w:val="000317E5"/>
    <w:rsid w:val="000329DA"/>
    <w:rsid w:val="00032E09"/>
    <w:rsid w:val="00037B28"/>
    <w:rsid w:val="000441D4"/>
    <w:rsid w:val="00045D7F"/>
    <w:rsid w:val="00047636"/>
    <w:rsid w:val="00051B29"/>
    <w:rsid w:val="00051D22"/>
    <w:rsid w:val="0005596B"/>
    <w:rsid w:val="0005723B"/>
    <w:rsid w:val="000576BD"/>
    <w:rsid w:val="00057E43"/>
    <w:rsid w:val="000659D1"/>
    <w:rsid w:val="0007243A"/>
    <w:rsid w:val="00080BFA"/>
    <w:rsid w:val="0008490B"/>
    <w:rsid w:val="00085E79"/>
    <w:rsid w:val="000866F8"/>
    <w:rsid w:val="00086AE2"/>
    <w:rsid w:val="00087629"/>
    <w:rsid w:val="00093644"/>
    <w:rsid w:val="0009454D"/>
    <w:rsid w:val="00095E04"/>
    <w:rsid w:val="0009639F"/>
    <w:rsid w:val="000A023E"/>
    <w:rsid w:val="000B0DBB"/>
    <w:rsid w:val="000B0DE7"/>
    <w:rsid w:val="000B4C85"/>
    <w:rsid w:val="000C0E99"/>
    <w:rsid w:val="000C1246"/>
    <w:rsid w:val="000C4D70"/>
    <w:rsid w:val="000E141C"/>
    <w:rsid w:val="000E3518"/>
    <w:rsid w:val="000E3F53"/>
    <w:rsid w:val="000E489D"/>
    <w:rsid w:val="000E5FE6"/>
    <w:rsid w:val="000F1AF5"/>
    <w:rsid w:val="000F2508"/>
    <w:rsid w:val="000F3BDD"/>
    <w:rsid w:val="000F4873"/>
    <w:rsid w:val="000F4A37"/>
    <w:rsid w:val="00100409"/>
    <w:rsid w:val="001028C0"/>
    <w:rsid w:val="001114D7"/>
    <w:rsid w:val="00111E5F"/>
    <w:rsid w:val="00115310"/>
    <w:rsid w:val="00115717"/>
    <w:rsid w:val="00115F8C"/>
    <w:rsid w:val="00117103"/>
    <w:rsid w:val="001205F1"/>
    <w:rsid w:val="001206B4"/>
    <w:rsid w:val="00124031"/>
    <w:rsid w:val="001306E9"/>
    <w:rsid w:val="0013349C"/>
    <w:rsid w:val="00135E8A"/>
    <w:rsid w:val="00144C55"/>
    <w:rsid w:val="001461EA"/>
    <w:rsid w:val="00150619"/>
    <w:rsid w:val="00152D52"/>
    <w:rsid w:val="00153F1B"/>
    <w:rsid w:val="00154712"/>
    <w:rsid w:val="0016312B"/>
    <w:rsid w:val="00163311"/>
    <w:rsid w:val="00167949"/>
    <w:rsid w:val="0017187A"/>
    <w:rsid w:val="001754FE"/>
    <w:rsid w:val="00186CD8"/>
    <w:rsid w:val="00190411"/>
    <w:rsid w:val="001941A2"/>
    <w:rsid w:val="001974FE"/>
    <w:rsid w:val="0019787C"/>
    <w:rsid w:val="001A1FCE"/>
    <w:rsid w:val="001A29C4"/>
    <w:rsid w:val="001A2ADA"/>
    <w:rsid w:val="001A2B79"/>
    <w:rsid w:val="001A3F69"/>
    <w:rsid w:val="001A4611"/>
    <w:rsid w:val="001A5F5A"/>
    <w:rsid w:val="001A610F"/>
    <w:rsid w:val="001A62FF"/>
    <w:rsid w:val="001B161D"/>
    <w:rsid w:val="001B1FF1"/>
    <w:rsid w:val="001B2584"/>
    <w:rsid w:val="001B7F69"/>
    <w:rsid w:val="001C0508"/>
    <w:rsid w:val="001C1244"/>
    <w:rsid w:val="001C38F6"/>
    <w:rsid w:val="001C501B"/>
    <w:rsid w:val="001D13E2"/>
    <w:rsid w:val="001D7A09"/>
    <w:rsid w:val="001E2FBF"/>
    <w:rsid w:val="001E4F5D"/>
    <w:rsid w:val="001E62AE"/>
    <w:rsid w:val="001F1CF0"/>
    <w:rsid w:val="001F30CD"/>
    <w:rsid w:val="001F37D5"/>
    <w:rsid w:val="001F6604"/>
    <w:rsid w:val="00205BEB"/>
    <w:rsid w:val="00207786"/>
    <w:rsid w:val="00207F9B"/>
    <w:rsid w:val="00210C45"/>
    <w:rsid w:val="00214F38"/>
    <w:rsid w:val="00217357"/>
    <w:rsid w:val="00224044"/>
    <w:rsid w:val="00224EE6"/>
    <w:rsid w:val="002250CF"/>
    <w:rsid w:val="00227D86"/>
    <w:rsid w:val="00230FBA"/>
    <w:rsid w:val="00232F51"/>
    <w:rsid w:val="00234614"/>
    <w:rsid w:val="00243284"/>
    <w:rsid w:val="002433E2"/>
    <w:rsid w:val="00246920"/>
    <w:rsid w:val="00253D5B"/>
    <w:rsid w:val="002556E5"/>
    <w:rsid w:val="0025732F"/>
    <w:rsid w:val="002609B1"/>
    <w:rsid w:val="00263E9F"/>
    <w:rsid w:val="00264883"/>
    <w:rsid w:val="00264CEE"/>
    <w:rsid w:val="00267716"/>
    <w:rsid w:val="00272B99"/>
    <w:rsid w:val="00273F4D"/>
    <w:rsid w:val="00277903"/>
    <w:rsid w:val="00281044"/>
    <w:rsid w:val="00284966"/>
    <w:rsid w:val="002852A7"/>
    <w:rsid w:val="002853B9"/>
    <w:rsid w:val="0028626B"/>
    <w:rsid w:val="002868A4"/>
    <w:rsid w:val="00290ED6"/>
    <w:rsid w:val="0029123E"/>
    <w:rsid w:val="002A3492"/>
    <w:rsid w:val="002A4206"/>
    <w:rsid w:val="002A5DE3"/>
    <w:rsid w:val="002A6F70"/>
    <w:rsid w:val="002A73CF"/>
    <w:rsid w:val="002A7636"/>
    <w:rsid w:val="002B15F3"/>
    <w:rsid w:val="002B2757"/>
    <w:rsid w:val="002C13C4"/>
    <w:rsid w:val="002C1713"/>
    <w:rsid w:val="002C5413"/>
    <w:rsid w:val="002D0A91"/>
    <w:rsid w:val="002D3F36"/>
    <w:rsid w:val="002D40D2"/>
    <w:rsid w:val="002D4DA5"/>
    <w:rsid w:val="002D5C62"/>
    <w:rsid w:val="002E7CB4"/>
    <w:rsid w:val="002F1F90"/>
    <w:rsid w:val="002F23D7"/>
    <w:rsid w:val="002F43A7"/>
    <w:rsid w:val="002F739E"/>
    <w:rsid w:val="00300420"/>
    <w:rsid w:val="0030137B"/>
    <w:rsid w:val="00303685"/>
    <w:rsid w:val="00305F76"/>
    <w:rsid w:val="0030608E"/>
    <w:rsid w:val="003061A6"/>
    <w:rsid w:val="00306D41"/>
    <w:rsid w:val="00306FC2"/>
    <w:rsid w:val="00307841"/>
    <w:rsid w:val="0031042E"/>
    <w:rsid w:val="00310F3E"/>
    <w:rsid w:val="00311C7E"/>
    <w:rsid w:val="00314DD6"/>
    <w:rsid w:val="00317261"/>
    <w:rsid w:val="00326D86"/>
    <w:rsid w:val="00326DBF"/>
    <w:rsid w:val="00330D45"/>
    <w:rsid w:val="003312CA"/>
    <w:rsid w:val="003323B3"/>
    <w:rsid w:val="00334E31"/>
    <w:rsid w:val="0033544B"/>
    <w:rsid w:val="00341837"/>
    <w:rsid w:val="0034336B"/>
    <w:rsid w:val="00343DC3"/>
    <w:rsid w:val="003460C1"/>
    <w:rsid w:val="00346301"/>
    <w:rsid w:val="00351773"/>
    <w:rsid w:val="00351BC2"/>
    <w:rsid w:val="00351D5B"/>
    <w:rsid w:val="00351F91"/>
    <w:rsid w:val="00354B02"/>
    <w:rsid w:val="003558D2"/>
    <w:rsid w:val="003578B6"/>
    <w:rsid w:val="0036066D"/>
    <w:rsid w:val="003611CC"/>
    <w:rsid w:val="003626B1"/>
    <w:rsid w:val="003648BB"/>
    <w:rsid w:val="00364A5E"/>
    <w:rsid w:val="00366D1B"/>
    <w:rsid w:val="00370C09"/>
    <w:rsid w:val="003740DD"/>
    <w:rsid w:val="00374CDB"/>
    <w:rsid w:val="0037620F"/>
    <w:rsid w:val="003768B5"/>
    <w:rsid w:val="00376CC5"/>
    <w:rsid w:val="00380FCE"/>
    <w:rsid w:val="003812CB"/>
    <w:rsid w:val="00384E27"/>
    <w:rsid w:val="003851ED"/>
    <w:rsid w:val="003900E3"/>
    <w:rsid w:val="003922A7"/>
    <w:rsid w:val="0039276C"/>
    <w:rsid w:val="0039456C"/>
    <w:rsid w:val="00396014"/>
    <w:rsid w:val="003A37DB"/>
    <w:rsid w:val="003B116D"/>
    <w:rsid w:val="003B4852"/>
    <w:rsid w:val="003B6EBF"/>
    <w:rsid w:val="003B7E25"/>
    <w:rsid w:val="003C3579"/>
    <w:rsid w:val="003C4ABE"/>
    <w:rsid w:val="003C54F4"/>
    <w:rsid w:val="003C740A"/>
    <w:rsid w:val="003D0762"/>
    <w:rsid w:val="003D22DC"/>
    <w:rsid w:val="003D5C02"/>
    <w:rsid w:val="003E1CC0"/>
    <w:rsid w:val="003E32FC"/>
    <w:rsid w:val="003E3981"/>
    <w:rsid w:val="003F0638"/>
    <w:rsid w:val="003F0BA7"/>
    <w:rsid w:val="003F1676"/>
    <w:rsid w:val="0040293A"/>
    <w:rsid w:val="004076D8"/>
    <w:rsid w:val="00407FA2"/>
    <w:rsid w:val="004115A0"/>
    <w:rsid w:val="004136F9"/>
    <w:rsid w:val="00423B69"/>
    <w:rsid w:val="00425047"/>
    <w:rsid w:val="00426F74"/>
    <w:rsid w:val="00430029"/>
    <w:rsid w:val="00432F79"/>
    <w:rsid w:val="00433D88"/>
    <w:rsid w:val="00436638"/>
    <w:rsid w:val="004461D4"/>
    <w:rsid w:val="004478CF"/>
    <w:rsid w:val="004479DF"/>
    <w:rsid w:val="004531D4"/>
    <w:rsid w:val="00453ED1"/>
    <w:rsid w:val="00457674"/>
    <w:rsid w:val="00457B12"/>
    <w:rsid w:val="004604AF"/>
    <w:rsid w:val="0046082F"/>
    <w:rsid w:val="00460C74"/>
    <w:rsid w:val="00461D5F"/>
    <w:rsid w:val="00465094"/>
    <w:rsid w:val="00471132"/>
    <w:rsid w:val="00472D63"/>
    <w:rsid w:val="00472F87"/>
    <w:rsid w:val="0047528D"/>
    <w:rsid w:val="004771B6"/>
    <w:rsid w:val="00480CE6"/>
    <w:rsid w:val="00482221"/>
    <w:rsid w:val="00482E6C"/>
    <w:rsid w:val="00485580"/>
    <w:rsid w:val="004912F4"/>
    <w:rsid w:val="00492256"/>
    <w:rsid w:val="0049413E"/>
    <w:rsid w:val="0049416C"/>
    <w:rsid w:val="004955D1"/>
    <w:rsid w:val="00495D51"/>
    <w:rsid w:val="00496D7D"/>
    <w:rsid w:val="004A1084"/>
    <w:rsid w:val="004A150D"/>
    <w:rsid w:val="004A254D"/>
    <w:rsid w:val="004A373F"/>
    <w:rsid w:val="004B1363"/>
    <w:rsid w:val="004B1919"/>
    <w:rsid w:val="004B3FBA"/>
    <w:rsid w:val="004B562D"/>
    <w:rsid w:val="004B73D4"/>
    <w:rsid w:val="004C1277"/>
    <w:rsid w:val="004C1958"/>
    <w:rsid w:val="004C36E5"/>
    <w:rsid w:val="004C403F"/>
    <w:rsid w:val="004C4BD7"/>
    <w:rsid w:val="004C5624"/>
    <w:rsid w:val="004C59FE"/>
    <w:rsid w:val="004C62F8"/>
    <w:rsid w:val="004C6742"/>
    <w:rsid w:val="004D0015"/>
    <w:rsid w:val="004D1E5E"/>
    <w:rsid w:val="004D22E8"/>
    <w:rsid w:val="004D3D54"/>
    <w:rsid w:val="004D46CA"/>
    <w:rsid w:val="004D7373"/>
    <w:rsid w:val="004E1BE0"/>
    <w:rsid w:val="004E1FE9"/>
    <w:rsid w:val="004E21F2"/>
    <w:rsid w:val="004E28FB"/>
    <w:rsid w:val="004E2B81"/>
    <w:rsid w:val="004E352F"/>
    <w:rsid w:val="004E5611"/>
    <w:rsid w:val="004E63EF"/>
    <w:rsid w:val="004F245A"/>
    <w:rsid w:val="004F5F74"/>
    <w:rsid w:val="00506655"/>
    <w:rsid w:val="00506669"/>
    <w:rsid w:val="005123AF"/>
    <w:rsid w:val="00512C17"/>
    <w:rsid w:val="0051363D"/>
    <w:rsid w:val="005235E1"/>
    <w:rsid w:val="00524652"/>
    <w:rsid w:val="00525BD1"/>
    <w:rsid w:val="00526614"/>
    <w:rsid w:val="005306E1"/>
    <w:rsid w:val="005308EE"/>
    <w:rsid w:val="005312F6"/>
    <w:rsid w:val="005330B5"/>
    <w:rsid w:val="00536624"/>
    <w:rsid w:val="005408B2"/>
    <w:rsid w:val="0054219E"/>
    <w:rsid w:val="005463D2"/>
    <w:rsid w:val="0055665C"/>
    <w:rsid w:val="00565C9E"/>
    <w:rsid w:val="005666E7"/>
    <w:rsid w:val="00571F6B"/>
    <w:rsid w:val="0057622D"/>
    <w:rsid w:val="00583515"/>
    <w:rsid w:val="00586AE7"/>
    <w:rsid w:val="005870AD"/>
    <w:rsid w:val="0059475C"/>
    <w:rsid w:val="005A019E"/>
    <w:rsid w:val="005A0C23"/>
    <w:rsid w:val="005A40A2"/>
    <w:rsid w:val="005A6372"/>
    <w:rsid w:val="005B08C5"/>
    <w:rsid w:val="005B4163"/>
    <w:rsid w:val="005B435F"/>
    <w:rsid w:val="005B51AB"/>
    <w:rsid w:val="005B6CFC"/>
    <w:rsid w:val="005C2516"/>
    <w:rsid w:val="005C2578"/>
    <w:rsid w:val="005C4C94"/>
    <w:rsid w:val="005C5A0E"/>
    <w:rsid w:val="005D345F"/>
    <w:rsid w:val="005D53E5"/>
    <w:rsid w:val="005D6E08"/>
    <w:rsid w:val="005D788D"/>
    <w:rsid w:val="005E0C4C"/>
    <w:rsid w:val="005E51FE"/>
    <w:rsid w:val="005E542C"/>
    <w:rsid w:val="005E7216"/>
    <w:rsid w:val="005E7DC4"/>
    <w:rsid w:val="005F54A2"/>
    <w:rsid w:val="00600C23"/>
    <w:rsid w:val="006021A9"/>
    <w:rsid w:val="006030DA"/>
    <w:rsid w:val="006075D7"/>
    <w:rsid w:val="00611648"/>
    <w:rsid w:val="00612945"/>
    <w:rsid w:val="00625540"/>
    <w:rsid w:val="006255FB"/>
    <w:rsid w:val="00633D57"/>
    <w:rsid w:val="00634247"/>
    <w:rsid w:val="00636B05"/>
    <w:rsid w:val="006424CA"/>
    <w:rsid w:val="00654387"/>
    <w:rsid w:val="00656880"/>
    <w:rsid w:val="00657CDF"/>
    <w:rsid w:val="00657F91"/>
    <w:rsid w:val="006601F7"/>
    <w:rsid w:val="006602CC"/>
    <w:rsid w:val="00662679"/>
    <w:rsid w:val="006637D9"/>
    <w:rsid w:val="00663CEB"/>
    <w:rsid w:val="006648FE"/>
    <w:rsid w:val="0066728A"/>
    <w:rsid w:val="00667ACB"/>
    <w:rsid w:val="0067501F"/>
    <w:rsid w:val="00683B82"/>
    <w:rsid w:val="00684867"/>
    <w:rsid w:val="006860B3"/>
    <w:rsid w:val="00690B5C"/>
    <w:rsid w:val="006922FB"/>
    <w:rsid w:val="00693A77"/>
    <w:rsid w:val="006965B7"/>
    <w:rsid w:val="006969FB"/>
    <w:rsid w:val="006A4F93"/>
    <w:rsid w:val="006A5BC1"/>
    <w:rsid w:val="006A6A0D"/>
    <w:rsid w:val="006B059B"/>
    <w:rsid w:val="006B09B0"/>
    <w:rsid w:val="006B0B75"/>
    <w:rsid w:val="006B11E1"/>
    <w:rsid w:val="006B1CB2"/>
    <w:rsid w:val="006B4CC0"/>
    <w:rsid w:val="006B5DCE"/>
    <w:rsid w:val="006B692E"/>
    <w:rsid w:val="006C0FBD"/>
    <w:rsid w:val="006C234E"/>
    <w:rsid w:val="006C3A46"/>
    <w:rsid w:val="006C3D4F"/>
    <w:rsid w:val="006C650F"/>
    <w:rsid w:val="006C75B9"/>
    <w:rsid w:val="006D2C6F"/>
    <w:rsid w:val="006D3BE2"/>
    <w:rsid w:val="006D4829"/>
    <w:rsid w:val="006D7E90"/>
    <w:rsid w:val="006E2B09"/>
    <w:rsid w:val="006E326F"/>
    <w:rsid w:val="006E5616"/>
    <w:rsid w:val="006E5C65"/>
    <w:rsid w:val="006E7305"/>
    <w:rsid w:val="006E7D68"/>
    <w:rsid w:val="006F1519"/>
    <w:rsid w:val="006F2B91"/>
    <w:rsid w:val="006F4F98"/>
    <w:rsid w:val="00700275"/>
    <w:rsid w:val="007063DD"/>
    <w:rsid w:val="00706A41"/>
    <w:rsid w:val="007139F4"/>
    <w:rsid w:val="007175DE"/>
    <w:rsid w:val="00717976"/>
    <w:rsid w:val="00720464"/>
    <w:rsid w:val="007205EB"/>
    <w:rsid w:val="00721DA9"/>
    <w:rsid w:val="007220D0"/>
    <w:rsid w:val="00724C27"/>
    <w:rsid w:val="00726DE9"/>
    <w:rsid w:val="00733C94"/>
    <w:rsid w:val="00735513"/>
    <w:rsid w:val="00735E1D"/>
    <w:rsid w:val="0074223B"/>
    <w:rsid w:val="00751E59"/>
    <w:rsid w:val="00757595"/>
    <w:rsid w:val="007622CB"/>
    <w:rsid w:val="00764D7D"/>
    <w:rsid w:val="00767ED6"/>
    <w:rsid w:val="007818DC"/>
    <w:rsid w:val="0078350C"/>
    <w:rsid w:val="00783BB3"/>
    <w:rsid w:val="007900FC"/>
    <w:rsid w:val="00793523"/>
    <w:rsid w:val="0079565B"/>
    <w:rsid w:val="007A23A9"/>
    <w:rsid w:val="007A38D0"/>
    <w:rsid w:val="007A3B02"/>
    <w:rsid w:val="007A4776"/>
    <w:rsid w:val="007B1F05"/>
    <w:rsid w:val="007B673C"/>
    <w:rsid w:val="007D0C6C"/>
    <w:rsid w:val="007D147E"/>
    <w:rsid w:val="007D1963"/>
    <w:rsid w:val="007D1A6A"/>
    <w:rsid w:val="007D3CAA"/>
    <w:rsid w:val="007D4315"/>
    <w:rsid w:val="007E096D"/>
    <w:rsid w:val="007E4586"/>
    <w:rsid w:val="007E77CF"/>
    <w:rsid w:val="007F1A03"/>
    <w:rsid w:val="007F297D"/>
    <w:rsid w:val="00800BC9"/>
    <w:rsid w:val="00806211"/>
    <w:rsid w:val="00807379"/>
    <w:rsid w:val="00811007"/>
    <w:rsid w:val="00814338"/>
    <w:rsid w:val="00814814"/>
    <w:rsid w:val="00814DD5"/>
    <w:rsid w:val="00820F55"/>
    <w:rsid w:val="00825299"/>
    <w:rsid w:val="00831905"/>
    <w:rsid w:val="00831D44"/>
    <w:rsid w:val="00833D0A"/>
    <w:rsid w:val="00834693"/>
    <w:rsid w:val="00834E7D"/>
    <w:rsid w:val="00836B11"/>
    <w:rsid w:val="00836E24"/>
    <w:rsid w:val="0084277B"/>
    <w:rsid w:val="00842B57"/>
    <w:rsid w:val="00842DCA"/>
    <w:rsid w:val="00844CC8"/>
    <w:rsid w:val="008458AE"/>
    <w:rsid w:val="00846265"/>
    <w:rsid w:val="008466B1"/>
    <w:rsid w:val="00847BE9"/>
    <w:rsid w:val="0085132D"/>
    <w:rsid w:val="0085296B"/>
    <w:rsid w:val="0085488A"/>
    <w:rsid w:val="00861BD7"/>
    <w:rsid w:val="00862B5D"/>
    <w:rsid w:val="00863FBB"/>
    <w:rsid w:val="0087270D"/>
    <w:rsid w:val="008744E8"/>
    <w:rsid w:val="0087461F"/>
    <w:rsid w:val="0087519D"/>
    <w:rsid w:val="00877F30"/>
    <w:rsid w:val="008832D1"/>
    <w:rsid w:val="008852F5"/>
    <w:rsid w:val="00885525"/>
    <w:rsid w:val="008858E5"/>
    <w:rsid w:val="00885A17"/>
    <w:rsid w:val="00890061"/>
    <w:rsid w:val="0089244C"/>
    <w:rsid w:val="00893F65"/>
    <w:rsid w:val="0089626B"/>
    <w:rsid w:val="008A6D79"/>
    <w:rsid w:val="008B4D78"/>
    <w:rsid w:val="008C07E6"/>
    <w:rsid w:val="008C1757"/>
    <w:rsid w:val="008C2141"/>
    <w:rsid w:val="008C26B5"/>
    <w:rsid w:val="008C2A2E"/>
    <w:rsid w:val="008C3D86"/>
    <w:rsid w:val="008C6A0A"/>
    <w:rsid w:val="008D1091"/>
    <w:rsid w:val="008D188E"/>
    <w:rsid w:val="008D4416"/>
    <w:rsid w:val="008D54F7"/>
    <w:rsid w:val="008D626B"/>
    <w:rsid w:val="008E0EF3"/>
    <w:rsid w:val="008E4C67"/>
    <w:rsid w:val="008E6CCB"/>
    <w:rsid w:val="008E70C5"/>
    <w:rsid w:val="008E7CC6"/>
    <w:rsid w:val="008F0BC9"/>
    <w:rsid w:val="008F10A2"/>
    <w:rsid w:val="008F45BA"/>
    <w:rsid w:val="008F50BC"/>
    <w:rsid w:val="008F61A6"/>
    <w:rsid w:val="008F6ACD"/>
    <w:rsid w:val="0090084A"/>
    <w:rsid w:val="00900F06"/>
    <w:rsid w:val="00901E5A"/>
    <w:rsid w:val="00903873"/>
    <w:rsid w:val="00907E3B"/>
    <w:rsid w:val="009111BB"/>
    <w:rsid w:val="00914BAA"/>
    <w:rsid w:val="009152E9"/>
    <w:rsid w:val="00921999"/>
    <w:rsid w:val="009221C8"/>
    <w:rsid w:val="009231FE"/>
    <w:rsid w:val="00923885"/>
    <w:rsid w:val="009249C9"/>
    <w:rsid w:val="00930AFB"/>
    <w:rsid w:val="009358B4"/>
    <w:rsid w:val="0094048E"/>
    <w:rsid w:val="0094075B"/>
    <w:rsid w:val="00944B8C"/>
    <w:rsid w:val="00944F27"/>
    <w:rsid w:val="00946C52"/>
    <w:rsid w:val="009560B6"/>
    <w:rsid w:val="00957D94"/>
    <w:rsid w:val="00961215"/>
    <w:rsid w:val="00974752"/>
    <w:rsid w:val="00982EA2"/>
    <w:rsid w:val="00984FBB"/>
    <w:rsid w:val="00986A6D"/>
    <w:rsid w:val="00990C93"/>
    <w:rsid w:val="0099420E"/>
    <w:rsid w:val="00996868"/>
    <w:rsid w:val="00996972"/>
    <w:rsid w:val="009A1B99"/>
    <w:rsid w:val="009A31A7"/>
    <w:rsid w:val="009A4021"/>
    <w:rsid w:val="009A4205"/>
    <w:rsid w:val="009A4E90"/>
    <w:rsid w:val="009A78C8"/>
    <w:rsid w:val="009B0BCB"/>
    <w:rsid w:val="009B127E"/>
    <w:rsid w:val="009B1315"/>
    <w:rsid w:val="009B32C8"/>
    <w:rsid w:val="009B3D78"/>
    <w:rsid w:val="009B6C91"/>
    <w:rsid w:val="009B6D67"/>
    <w:rsid w:val="009B78CE"/>
    <w:rsid w:val="009C1FF0"/>
    <w:rsid w:val="009C6F4D"/>
    <w:rsid w:val="009D475B"/>
    <w:rsid w:val="009D7FC3"/>
    <w:rsid w:val="009E0E5D"/>
    <w:rsid w:val="009E1916"/>
    <w:rsid w:val="009E20DB"/>
    <w:rsid w:val="009E3834"/>
    <w:rsid w:val="009E3F52"/>
    <w:rsid w:val="009E49FD"/>
    <w:rsid w:val="009E5300"/>
    <w:rsid w:val="009E6917"/>
    <w:rsid w:val="009F439D"/>
    <w:rsid w:val="009F4ADD"/>
    <w:rsid w:val="009F54E4"/>
    <w:rsid w:val="009F759F"/>
    <w:rsid w:val="00A00372"/>
    <w:rsid w:val="00A0072B"/>
    <w:rsid w:val="00A04F2F"/>
    <w:rsid w:val="00A069DF"/>
    <w:rsid w:val="00A06C73"/>
    <w:rsid w:val="00A07465"/>
    <w:rsid w:val="00A1174A"/>
    <w:rsid w:val="00A12305"/>
    <w:rsid w:val="00A1313E"/>
    <w:rsid w:val="00A14C25"/>
    <w:rsid w:val="00A201A0"/>
    <w:rsid w:val="00A22529"/>
    <w:rsid w:val="00A25E02"/>
    <w:rsid w:val="00A26119"/>
    <w:rsid w:val="00A27228"/>
    <w:rsid w:val="00A32AE0"/>
    <w:rsid w:val="00A3466C"/>
    <w:rsid w:val="00A35792"/>
    <w:rsid w:val="00A35CA6"/>
    <w:rsid w:val="00A37A68"/>
    <w:rsid w:val="00A37DDD"/>
    <w:rsid w:val="00A4098B"/>
    <w:rsid w:val="00A51D3E"/>
    <w:rsid w:val="00A5268F"/>
    <w:rsid w:val="00A57404"/>
    <w:rsid w:val="00A60AAA"/>
    <w:rsid w:val="00A7104C"/>
    <w:rsid w:val="00A74B32"/>
    <w:rsid w:val="00A76C12"/>
    <w:rsid w:val="00A779C3"/>
    <w:rsid w:val="00A8090E"/>
    <w:rsid w:val="00A81310"/>
    <w:rsid w:val="00A81DEE"/>
    <w:rsid w:val="00A820DC"/>
    <w:rsid w:val="00A82D41"/>
    <w:rsid w:val="00A85F73"/>
    <w:rsid w:val="00A873DE"/>
    <w:rsid w:val="00A908BD"/>
    <w:rsid w:val="00A908E3"/>
    <w:rsid w:val="00A90C03"/>
    <w:rsid w:val="00A93147"/>
    <w:rsid w:val="00A94C67"/>
    <w:rsid w:val="00A962F0"/>
    <w:rsid w:val="00AA1412"/>
    <w:rsid w:val="00AA2F3F"/>
    <w:rsid w:val="00AA558B"/>
    <w:rsid w:val="00AA61F8"/>
    <w:rsid w:val="00AA6914"/>
    <w:rsid w:val="00AB1F7F"/>
    <w:rsid w:val="00AB4306"/>
    <w:rsid w:val="00AB5BF1"/>
    <w:rsid w:val="00AC2FE0"/>
    <w:rsid w:val="00AC301F"/>
    <w:rsid w:val="00AD20FD"/>
    <w:rsid w:val="00AD3A5F"/>
    <w:rsid w:val="00AD4299"/>
    <w:rsid w:val="00AD5086"/>
    <w:rsid w:val="00AD5491"/>
    <w:rsid w:val="00AE0363"/>
    <w:rsid w:val="00AE0912"/>
    <w:rsid w:val="00AE1B00"/>
    <w:rsid w:val="00AE29DF"/>
    <w:rsid w:val="00AE3063"/>
    <w:rsid w:val="00AE32F2"/>
    <w:rsid w:val="00AE48CC"/>
    <w:rsid w:val="00AE54D5"/>
    <w:rsid w:val="00AE5ED4"/>
    <w:rsid w:val="00AE6957"/>
    <w:rsid w:val="00AE7C62"/>
    <w:rsid w:val="00AF036E"/>
    <w:rsid w:val="00AF2838"/>
    <w:rsid w:val="00AF484B"/>
    <w:rsid w:val="00AF6ED0"/>
    <w:rsid w:val="00B04E9C"/>
    <w:rsid w:val="00B053AE"/>
    <w:rsid w:val="00B06C0E"/>
    <w:rsid w:val="00B07080"/>
    <w:rsid w:val="00B07BE3"/>
    <w:rsid w:val="00B10587"/>
    <w:rsid w:val="00B11178"/>
    <w:rsid w:val="00B118E7"/>
    <w:rsid w:val="00B128AE"/>
    <w:rsid w:val="00B13ED1"/>
    <w:rsid w:val="00B14A16"/>
    <w:rsid w:val="00B15160"/>
    <w:rsid w:val="00B1625D"/>
    <w:rsid w:val="00B20306"/>
    <w:rsid w:val="00B238CF"/>
    <w:rsid w:val="00B242C1"/>
    <w:rsid w:val="00B245C5"/>
    <w:rsid w:val="00B25845"/>
    <w:rsid w:val="00B26468"/>
    <w:rsid w:val="00B32466"/>
    <w:rsid w:val="00B338FD"/>
    <w:rsid w:val="00B44A56"/>
    <w:rsid w:val="00B44CBD"/>
    <w:rsid w:val="00B4503E"/>
    <w:rsid w:val="00B510E6"/>
    <w:rsid w:val="00B5424D"/>
    <w:rsid w:val="00B54B6F"/>
    <w:rsid w:val="00B6565E"/>
    <w:rsid w:val="00B66165"/>
    <w:rsid w:val="00B67CA9"/>
    <w:rsid w:val="00B71B5E"/>
    <w:rsid w:val="00B73BE3"/>
    <w:rsid w:val="00B83C9E"/>
    <w:rsid w:val="00B83F1D"/>
    <w:rsid w:val="00B86119"/>
    <w:rsid w:val="00B933FD"/>
    <w:rsid w:val="00B93837"/>
    <w:rsid w:val="00B9626B"/>
    <w:rsid w:val="00BA2729"/>
    <w:rsid w:val="00BA5DB5"/>
    <w:rsid w:val="00BA7D3B"/>
    <w:rsid w:val="00BA7E29"/>
    <w:rsid w:val="00BB0D3B"/>
    <w:rsid w:val="00BB30FF"/>
    <w:rsid w:val="00BB3D80"/>
    <w:rsid w:val="00BB5092"/>
    <w:rsid w:val="00BB731D"/>
    <w:rsid w:val="00BC1D31"/>
    <w:rsid w:val="00BC5EFF"/>
    <w:rsid w:val="00BD04BC"/>
    <w:rsid w:val="00BD16B9"/>
    <w:rsid w:val="00BD2A4E"/>
    <w:rsid w:val="00BD2F4F"/>
    <w:rsid w:val="00BD40EE"/>
    <w:rsid w:val="00BD441E"/>
    <w:rsid w:val="00BD7D4A"/>
    <w:rsid w:val="00BE2DB5"/>
    <w:rsid w:val="00BE641B"/>
    <w:rsid w:val="00BE7096"/>
    <w:rsid w:val="00BF03B0"/>
    <w:rsid w:val="00BF72E2"/>
    <w:rsid w:val="00BF7FC5"/>
    <w:rsid w:val="00C001E2"/>
    <w:rsid w:val="00C076F5"/>
    <w:rsid w:val="00C12300"/>
    <w:rsid w:val="00C13A09"/>
    <w:rsid w:val="00C1400D"/>
    <w:rsid w:val="00C16108"/>
    <w:rsid w:val="00C16511"/>
    <w:rsid w:val="00C16B95"/>
    <w:rsid w:val="00C21437"/>
    <w:rsid w:val="00C22527"/>
    <w:rsid w:val="00C23DE4"/>
    <w:rsid w:val="00C26EA2"/>
    <w:rsid w:val="00C31DE6"/>
    <w:rsid w:val="00C326B8"/>
    <w:rsid w:val="00C36E11"/>
    <w:rsid w:val="00C42EE5"/>
    <w:rsid w:val="00C43CA7"/>
    <w:rsid w:val="00C45B51"/>
    <w:rsid w:val="00C463C6"/>
    <w:rsid w:val="00C470A5"/>
    <w:rsid w:val="00C5485A"/>
    <w:rsid w:val="00C54B35"/>
    <w:rsid w:val="00C56F0E"/>
    <w:rsid w:val="00C57146"/>
    <w:rsid w:val="00C57692"/>
    <w:rsid w:val="00C622DD"/>
    <w:rsid w:val="00C629B9"/>
    <w:rsid w:val="00C62DA3"/>
    <w:rsid w:val="00C63BFF"/>
    <w:rsid w:val="00C64F35"/>
    <w:rsid w:val="00C65A7B"/>
    <w:rsid w:val="00C65F00"/>
    <w:rsid w:val="00C67180"/>
    <w:rsid w:val="00C67C37"/>
    <w:rsid w:val="00C7197C"/>
    <w:rsid w:val="00C732D6"/>
    <w:rsid w:val="00C743DF"/>
    <w:rsid w:val="00C756CD"/>
    <w:rsid w:val="00C81B63"/>
    <w:rsid w:val="00C8579B"/>
    <w:rsid w:val="00C86461"/>
    <w:rsid w:val="00C86E5D"/>
    <w:rsid w:val="00C933C3"/>
    <w:rsid w:val="00C941E2"/>
    <w:rsid w:val="00C943FD"/>
    <w:rsid w:val="00C94FD0"/>
    <w:rsid w:val="00C9621D"/>
    <w:rsid w:val="00C9647E"/>
    <w:rsid w:val="00CA02E7"/>
    <w:rsid w:val="00CA2363"/>
    <w:rsid w:val="00CA4006"/>
    <w:rsid w:val="00CA461C"/>
    <w:rsid w:val="00CA4C5A"/>
    <w:rsid w:val="00CA50B7"/>
    <w:rsid w:val="00CA7C65"/>
    <w:rsid w:val="00CB0749"/>
    <w:rsid w:val="00CB5365"/>
    <w:rsid w:val="00CB723A"/>
    <w:rsid w:val="00CC00E0"/>
    <w:rsid w:val="00CC1526"/>
    <w:rsid w:val="00CC38E3"/>
    <w:rsid w:val="00CC3A09"/>
    <w:rsid w:val="00CD0042"/>
    <w:rsid w:val="00CD08DA"/>
    <w:rsid w:val="00CD4B7A"/>
    <w:rsid w:val="00CD57C4"/>
    <w:rsid w:val="00CD6A7B"/>
    <w:rsid w:val="00CE2DDD"/>
    <w:rsid w:val="00CE3CF3"/>
    <w:rsid w:val="00CE4DCD"/>
    <w:rsid w:val="00CE508C"/>
    <w:rsid w:val="00CF1398"/>
    <w:rsid w:val="00CF68CE"/>
    <w:rsid w:val="00CF7F42"/>
    <w:rsid w:val="00D01E1A"/>
    <w:rsid w:val="00D04409"/>
    <w:rsid w:val="00D04F5E"/>
    <w:rsid w:val="00D11B63"/>
    <w:rsid w:val="00D138CC"/>
    <w:rsid w:val="00D16DE2"/>
    <w:rsid w:val="00D17AAF"/>
    <w:rsid w:val="00D17CF0"/>
    <w:rsid w:val="00D2288B"/>
    <w:rsid w:val="00D24598"/>
    <w:rsid w:val="00D268DA"/>
    <w:rsid w:val="00D31D42"/>
    <w:rsid w:val="00D32D7A"/>
    <w:rsid w:val="00D3482A"/>
    <w:rsid w:val="00D3778B"/>
    <w:rsid w:val="00D37B71"/>
    <w:rsid w:val="00D37D14"/>
    <w:rsid w:val="00D41B6C"/>
    <w:rsid w:val="00D4696A"/>
    <w:rsid w:val="00D47B0F"/>
    <w:rsid w:val="00D510C5"/>
    <w:rsid w:val="00D51C1B"/>
    <w:rsid w:val="00D51DBF"/>
    <w:rsid w:val="00D524A9"/>
    <w:rsid w:val="00D565E1"/>
    <w:rsid w:val="00D6124B"/>
    <w:rsid w:val="00D6278E"/>
    <w:rsid w:val="00D62DC3"/>
    <w:rsid w:val="00D63767"/>
    <w:rsid w:val="00D665C8"/>
    <w:rsid w:val="00D70988"/>
    <w:rsid w:val="00D737CF"/>
    <w:rsid w:val="00D73865"/>
    <w:rsid w:val="00D74E1D"/>
    <w:rsid w:val="00D75DFC"/>
    <w:rsid w:val="00D760C8"/>
    <w:rsid w:val="00D842C6"/>
    <w:rsid w:val="00D9707A"/>
    <w:rsid w:val="00DA134C"/>
    <w:rsid w:val="00DA3ABD"/>
    <w:rsid w:val="00DA3EBC"/>
    <w:rsid w:val="00DB0745"/>
    <w:rsid w:val="00DB6523"/>
    <w:rsid w:val="00DB7160"/>
    <w:rsid w:val="00DC1C6C"/>
    <w:rsid w:val="00DC5907"/>
    <w:rsid w:val="00DC77FA"/>
    <w:rsid w:val="00DC7996"/>
    <w:rsid w:val="00DD46DE"/>
    <w:rsid w:val="00DE0740"/>
    <w:rsid w:val="00DE2EF8"/>
    <w:rsid w:val="00DE6762"/>
    <w:rsid w:val="00DE7ED1"/>
    <w:rsid w:val="00DF0855"/>
    <w:rsid w:val="00DF22EF"/>
    <w:rsid w:val="00DF29E0"/>
    <w:rsid w:val="00DF3737"/>
    <w:rsid w:val="00DF57A5"/>
    <w:rsid w:val="00E000BD"/>
    <w:rsid w:val="00E0534B"/>
    <w:rsid w:val="00E05E1E"/>
    <w:rsid w:val="00E06EB1"/>
    <w:rsid w:val="00E152A5"/>
    <w:rsid w:val="00E227B0"/>
    <w:rsid w:val="00E23213"/>
    <w:rsid w:val="00E25DAB"/>
    <w:rsid w:val="00E267A7"/>
    <w:rsid w:val="00E27BF0"/>
    <w:rsid w:val="00E325D7"/>
    <w:rsid w:val="00E3446E"/>
    <w:rsid w:val="00E41F1D"/>
    <w:rsid w:val="00E42530"/>
    <w:rsid w:val="00E458A8"/>
    <w:rsid w:val="00E45AC6"/>
    <w:rsid w:val="00E46534"/>
    <w:rsid w:val="00E471B1"/>
    <w:rsid w:val="00E54E3B"/>
    <w:rsid w:val="00E647A9"/>
    <w:rsid w:val="00E668E7"/>
    <w:rsid w:val="00E7183E"/>
    <w:rsid w:val="00E764F0"/>
    <w:rsid w:val="00E7701A"/>
    <w:rsid w:val="00E84AC9"/>
    <w:rsid w:val="00E90DC8"/>
    <w:rsid w:val="00E92275"/>
    <w:rsid w:val="00E93315"/>
    <w:rsid w:val="00E93FD2"/>
    <w:rsid w:val="00EA07E3"/>
    <w:rsid w:val="00EA2092"/>
    <w:rsid w:val="00EB109E"/>
    <w:rsid w:val="00EB178E"/>
    <w:rsid w:val="00EB2C14"/>
    <w:rsid w:val="00EB408B"/>
    <w:rsid w:val="00EC3D24"/>
    <w:rsid w:val="00EC7DF2"/>
    <w:rsid w:val="00ED09AD"/>
    <w:rsid w:val="00ED1D1C"/>
    <w:rsid w:val="00ED6041"/>
    <w:rsid w:val="00ED6F3E"/>
    <w:rsid w:val="00ED7233"/>
    <w:rsid w:val="00EE09AD"/>
    <w:rsid w:val="00EE0FC1"/>
    <w:rsid w:val="00EE2FA3"/>
    <w:rsid w:val="00EE3328"/>
    <w:rsid w:val="00EE3C92"/>
    <w:rsid w:val="00EE4145"/>
    <w:rsid w:val="00EE4FA2"/>
    <w:rsid w:val="00EF00AD"/>
    <w:rsid w:val="00EF1B99"/>
    <w:rsid w:val="00EF1D24"/>
    <w:rsid w:val="00EF29E1"/>
    <w:rsid w:val="00EF6497"/>
    <w:rsid w:val="00F04403"/>
    <w:rsid w:val="00F05ED0"/>
    <w:rsid w:val="00F11A18"/>
    <w:rsid w:val="00F125AD"/>
    <w:rsid w:val="00F12F75"/>
    <w:rsid w:val="00F13A4F"/>
    <w:rsid w:val="00F163F4"/>
    <w:rsid w:val="00F16994"/>
    <w:rsid w:val="00F17DEA"/>
    <w:rsid w:val="00F21CB1"/>
    <w:rsid w:val="00F21D3D"/>
    <w:rsid w:val="00F23068"/>
    <w:rsid w:val="00F24169"/>
    <w:rsid w:val="00F26CBF"/>
    <w:rsid w:val="00F3077F"/>
    <w:rsid w:val="00F31C93"/>
    <w:rsid w:val="00F32AF0"/>
    <w:rsid w:val="00F34A5F"/>
    <w:rsid w:val="00F37079"/>
    <w:rsid w:val="00F4119D"/>
    <w:rsid w:val="00F44B82"/>
    <w:rsid w:val="00F45242"/>
    <w:rsid w:val="00F5434D"/>
    <w:rsid w:val="00F549A2"/>
    <w:rsid w:val="00F56322"/>
    <w:rsid w:val="00F6419F"/>
    <w:rsid w:val="00F650DB"/>
    <w:rsid w:val="00F67B59"/>
    <w:rsid w:val="00F7122C"/>
    <w:rsid w:val="00F71A63"/>
    <w:rsid w:val="00F72540"/>
    <w:rsid w:val="00F833C3"/>
    <w:rsid w:val="00F872B0"/>
    <w:rsid w:val="00F87300"/>
    <w:rsid w:val="00F87934"/>
    <w:rsid w:val="00F87CD1"/>
    <w:rsid w:val="00F901EB"/>
    <w:rsid w:val="00F905AC"/>
    <w:rsid w:val="00F9104F"/>
    <w:rsid w:val="00F912E5"/>
    <w:rsid w:val="00F955F3"/>
    <w:rsid w:val="00F9732F"/>
    <w:rsid w:val="00F9783B"/>
    <w:rsid w:val="00FA1F17"/>
    <w:rsid w:val="00FA299A"/>
    <w:rsid w:val="00FA4ADC"/>
    <w:rsid w:val="00FA5D3F"/>
    <w:rsid w:val="00FA5FA3"/>
    <w:rsid w:val="00FB1605"/>
    <w:rsid w:val="00FB2B47"/>
    <w:rsid w:val="00FB434B"/>
    <w:rsid w:val="00FB4D8C"/>
    <w:rsid w:val="00FB6123"/>
    <w:rsid w:val="00FB6A30"/>
    <w:rsid w:val="00FC22A0"/>
    <w:rsid w:val="00FC2524"/>
    <w:rsid w:val="00FC2556"/>
    <w:rsid w:val="00FC2D08"/>
    <w:rsid w:val="00FC3C27"/>
    <w:rsid w:val="00FC3C8F"/>
    <w:rsid w:val="00FC564B"/>
    <w:rsid w:val="00FC5A9E"/>
    <w:rsid w:val="00FC6030"/>
    <w:rsid w:val="00FC646A"/>
    <w:rsid w:val="00FC6D29"/>
    <w:rsid w:val="00FC7A3A"/>
    <w:rsid w:val="00FD28AF"/>
    <w:rsid w:val="00FD44FC"/>
    <w:rsid w:val="00FD5803"/>
    <w:rsid w:val="00FD6A45"/>
    <w:rsid w:val="00FE0B67"/>
    <w:rsid w:val="00FE0DBB"/>
    <w:rsid w:val="00FE7128"/>
    <w:rsid w:val="00FF4C17"/>
    <w:rsid w:val="00FF581B"/>
    <w:rsid w:val="00FF6605"/>
    <w:rsid w:val="00FF7A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DA60D07A-4367-4729-B527-E5D32068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4205"/>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CB0749"/>
    <w:pPr>
      <w:spacing w:before="0" w:line="240" w:lineRule="auto"/>
      <w:ind w:firstLine="720"/>
      <w:jc w:val="center"/>
      <w:outlineLvl w:val="1"/>
    </w:pPr>
    <w:rPr>
      <w:rFonts w:cs="Times New Roman"/>
      <w:b/>
      <w:bCs/>
      <w:iCs/>
      <w:color w:val="2E74B5" w:themeColor="accent1" w:themeShade="BF"/>
      <w:szCs w:val="22"/>
    </w:rPr>
  </w:style>
  <w:style w:type="paragraph" w:styleId="Antrat3">
    <w:name w:val="heading 3"/>
    <w:basedOn w:val="prastasis"/>
    <w:next w:val="prastasis"/>
    <w:link w:val="Antrat3Diagrama"/>
    <w:unhideWhenUsed/>
    <w:qFormat/>
    <w:rsid w:val="00CB0749"/>
    <w:pPr>
      <w:keepNext/>
      <w:keepLines/>
      <w:spacing w:before="40" w:after="0"/>
      <w:jc w:val="both"/>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CB0749"/>
    <w:rPr>
      <w:rFonts w:eastAsiaTheme="majorEastAsia" w:cs="Times New Roman"/>
      <w:b/>
      <w:bCs/>
      <w:i/>
      <w:iCs/>
      <w:color w:val="2E74B5" w:themeColor="accent1" w:themeShade="BF"/>
    </w:rPr>
  </w:style>
  <w:style w:type="character" w:customStyle="1" w:styleId="Antrat3Diagrama">
    <w:name w:val="Antraštė 3 Diagrama"/>
    <w:basedOn w:val="Numatytasispastraiposriftas"/>
    <w:link w:val="Antrat3"/>
    <w:rsid w:val="00CB0749"/>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F6497"/>
    <w:pPr>
      <w:tabs>
        <w:tab w:val="right" w:leader="dot" w:pos="9769"/>
      </w:tabs>
      <w:spacing w:after="100"/>
      <w:ind w:left="220"/>
    </w:pPr>
    <w:rPr>
      <w:rFonts w:ascii="Calibri" w:eastAsia="Times New Roman" w:hAnsi="Calibri" w:cs="Times New Roman"/>
      <w:b/>
      <w:bCs/>
      <w:i/>
      <w:iCs/>
      <w:noProof/>
    </w:rPr>
  </w:style>
  <w:style w:type="paragraph" w:styleId="Turinys3">
    <w:name w:val="toc 3"/>
    <w:basedOn w:val="prastasis"/>
    <w:next w:val="prastasis"/>
    <w:autoRedefine/>
    <w:uiPriority w:val="39"/>
    <w:unhideWhenUsed/>
    <w:rsid w:val="0034336B"/>
    <w:pPr>
      <w:tabs>
        <w:tab w:val="right" w:leader="dot" w:pos="9769"/>
      </w:tabs>
      <w:spacing w:after="100"/>
      <w:ind w:left="440"/>
    </w:pPr>
    <w:rPr>
      <w:rFonts w:eastAsia="Calibri" w:cstheme="minorHAnsi"/>
      <w:bCs/>
      <w:i/>
      <w:iCs/>
      <w:noProof/>
    </w:r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 w:type="paragraph" w:customStyle="1" w:styleId="paragraph">
    <w:name w:val="paragraph"/>
    <w:basedOn w:val="prastasis"/>
    <w:rsid w:val="00C67C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C67C37"/>
  </w:style>
  <w:style w:type="character" w:customStyle="1" w:styleId="apple-converted-space">
    <w:name w:val="apple-converted-space"/>
    <w:basedOn w:val="Numatytasispastraiposriftas"/>
    <w:rsid w:val="00E41F1D"/>
  </w:style>
  <w:style w:type="paragraph" w:styleId="prastasiniatinklio">
    <w:name w:val="Normal (Web)"/>
    <w:basedOn w:val="prastasis"/>
    <w:uiPriority w:val="99"/>
    <w:unhideWhenUsed/>
    <w:rsid w:val="007A477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7A4776"/>
    <w:rPr>
      <w:i/>
      <w:iCs/>
    </w:rPr>
  </w:style>
  <w:style w:type="character" w:customStyle="1" w:styleId="UnresolvedMention1">
    <w:name w:val="Unresolved Mention1"/>
    <w:basedOn w:val="Numatytasispastraiposriftas"/>
    <w:uiPriority w:val="99"/>
    <w:rsid w:val="00124031"/>
    <w:rPr>
      <w:color w:val="605E5C"/>
      <w:shd w:val="clear" w:color="auto" w:fill="E1DFDD"/>
    </w:rPr>
  </w:style>
  <w:style w:type="character" w:customStyle="1" w:styleId="s68f5eaef">
    <w:name w:val="s68f5eaef"/>
    <w:basedOn w:val="Numatytasispastraiposriftas"/>
    <w:rsid w:val="00A04F2F"/>
  </w:style>
  <w:style w:type="character" w:customStyle="1" w:styleId="sbc73225d">
    <w:name w:val="sbc73225d"/>
    <w:basedOn w:val="Numatytasispastraiposriftas"/>
    <w:rsid w:val="00A04F2F"/>
  </w:style>
  <w:style w:type="paragraph" w:customStyle="1" w:styleId="sc75ff09a">
    <w:name w:val="sc75ff09a"/>
    <w:basedOn w:val="prastasis"/>
    <w:rsid w:val="00862B5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F23068"/>
    <w:pPr>
      <w:spacing w:after="0" w:line="240" w:lineRule="auto"/>
    </w:pPr>
  </w:style>
  <w:style w:type="paragraph" w:customStyle="1" w:styleId="s899b3e47">
    <w:name w:val="s899b3e47"/>
    <w:basedOn w:val="prastasis"/>
    <w:rsid w:val="00A123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8E4C67"/>
  </w:style>
  <w:style w:type="paragraph" w:customStyle="1" w:styleId="ClinContent">
    <w:name w:val="ClinContent"/>
    <w:basedOn w:val="prastasis"/>
    <w:qFormat/>
    <w:rsid w:val="00CC38E3"/>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AF036E"/>
    <w:pPr>
      <w:spacing w:after="0" w:line="240" w:lineRule="auto"/>
    </w:pPr>
  </w:style>
  <w:style w:type="character" w:customStyle="1" w:styleId="UnresolvedMention2">
    <w:name w:val="Unresolved Mention2"/>
    <w:basedOn w:val="Numatytasispastraiposriftas"/>
    <w:uiPriority w:val="99"/>
    <w:semiHidden/>
    <w:unhideWhenUsed/>
    <w:rsid w:val="001B7F69"/>
    <w:rPr>
      <w:color w:val="605E5C"/>
      <w:shd w:val="clear" w:color="auto" w:fill="E1DFDD"/>
    </w:rPr>
  </w:style>
  <w:style w:type="character" w:customStyle="1" w:styleId="UnresolvedMention3">
    <w:name w:val="Unresolved Mention3"/>
    <w:basedOn w:val="Numatytasispastraiposriftas"/>
    <w:uiPriority w:val="99"/>
    <w:semiHidden/>
    <w:unhideWhenUsed/>
    <w:rsid w:val="00FB2B47"/>
    <w:rPr>
      <w:color w:val="605E5C"/>
      <w:shd w:val="clear" w:color="auto" w:fill="E1DFDD"/>
    </w:rPr>
  </w:style>
  <w:style w:type="character" w:customStyle="1" w:styleId="UnresolvedMention4">
    <w:name w:val="Unresolved Mention4"/>
    <w:basedOn w:val="Numatytasispastraiposriftas"/>
    <w:uiPriority w:val="99"/>
    <w:semiHidden/>
    <w:unhideWhenUsed/>
    <w:rsid w:val="00D70988"/>
    <w:rPr>
      <w:color w:val="605E5C"/>
      <w:shd w:val="clear" w:color="auto" w:fill="E1DFDD"/>
    </w:rPr>
  </w:style>
  <w:style w:type="character" w:styleId="Neapdorotaspaminjimas">
    <w:name w:val="Unresolved Mention"/>
    <w:basedOn w:val="Numatytasispastraiposriftas"/>
    <w:uiPriority w:val="99"/>
    <w:semiHidden/>
    <w:unhideWhenUsed/>
    <w:rsid w:val="008F6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785724">
      <w:bodyDiv w:val="1"/>
      <w:marLeft w:val="0"/>
      <w:marRight w:val="0"/>
      <w:marTop w:val="0"/>
      <w:marBottom w:val="0"/>
      <w:divBdr>
        <w:top w:val="none" w:sz="0" w:space="0" w:color="auto"/>
        <w:left w:val="none" w:sz="0" w:space="0" w:color="auto"/>
        <w:bottom w:val="none" w:sz="0" w:space="0" w:color="auto"/>
        <w:right w:val="none" w:sz="0" w:space="0" w:color="auto"/>
      </w:divBdr>
    </w:div>
    <w:div w:id="440687566">
      <w:bodyDiv w:val="1"/>
      <w:marLeft w:val="0"/>
      <w:marRight w:val="0"/>
      <w:marTop w:val="0"/>
      <w:marBottom w:val="0"/>
      <w:divBdr>
        <w:top w:val="none" w:sz="0" w:space="0" w:color="auto"/>
        <w:left w:val="none" w:sz="0" w:space="0" w:color="auto"/>
        <w:bottom w:val="none" w:sz="0" w:space="0" w:color="auto"/>
        <w:right w:val="none" w:sz="0" w:space="0" w:color="auto"/>
      </w:divBdr>
    </w:div>
    <w:div w:id="505439167">
      <w:bodyDiv w:val="1"/>
      <w:marLeft w:val="0"/>
      <w:marRight w:val="0"/>
      <w:marTop w:val="0"/>
      <w:marBottom w:val="0"/>
      <w:divBdr>
        <w:top w:val="none" w:sz="0" w:space="0" w:color="auto"/>
        <w:left w:val="none" w:sz="0" w:space="0" w:color="auto"/>
        <w:bottom w:val="none" w:sz="0" w:space="0" w:color="auto"/>
        <w:right w:val="none" w:sz="0" w:space="0" w:color="auto"/>
      </w:divBdr>
    </w:div>
    <w:div w:id="749887278">
      <w:bodyDiv w:val="1"/>
      <w:marLeft w:val="0"/>
      <w:marRight w:val="0"/>
      <w:marTop w:val="0"/>
      <w:marBottom w:val="0"/>
      <w:divBdr>
        <w:top w:val="none" w:sz="0" w:space="0" w:color="auto"/>
        <w:left w:val="none" w:sz="0" w:space="0" w:color="auto"/>
        <w:bottom w:val="none" w:sz="0" w:space="0" w:color="auto"/>
        <w:right w:val="none" w:sz="0" w:space="0" w:color="auto"/>
      </w:divBdr>
    </w:div>
    <w:div w:id="923954352">
      <w:bodyDiv w:val="1"/>
      <w:marLeft w:val="0"/>
      <w:marRight w:val="0"/>
      <w:marTop w:val="0"/>
      <w:marBottom w:val="0"/>
      <w:divBdr>
        <w:top w:val="none" w:sz="0" w:space="0" w:color="auto"/>
        <w:left w:val="none" w:sz="0" w:space="0" w:color="auto"/>
        <w:bottom w:val="none" w:sz="0" w:space="0" w:color="auto"/>
        <w:right w:val="none" w:sz="0" w:space="0" w:color="auto"/>
      </w:divBdr>
      <w:divsChild>
        <w:div w:id="98186981">
          <w:marLeft w:val="0"/>
          <w:marRight w:val="0"/>
          <w:marTop w:val="0"/>
          <w:marBottom w:val="0"/>
          <w:divBdr>
            <w:top w:val="none" w:sz="0" w:space="0" w:color="auto"/>
            <w:left w:val="none" w:sz="0" w:space="0" w:color="auto"/>
            <w:bottom w:val="none" w:sz="0" w:space="0" w:color="auto"/>
            <w:right w:val="none" w:sz="0" w:space="0" w:color="auto"/>
          </w:divBdr>
        </w:div>
        <w:div w:id="201134880">
          <w:marLeft w:val="0"/>
          <w:marRight w:val="0"/>
          <w:marTop w:val="0"/>
          <w:marBottom w:val="0"/>
          <w:divBdr>
            <w:top w:val="none" w:sz="0" w:space="0" w:color="auto"/>
            <w:left w:val="none" w:sz="0" w:space="0" w:color="auto"/>
            <w:bottom w:val="none" w:sz="0" w:space="0" w:color="auto"/>
            <w:right w:val="none" w:sz="0" w:space="0" w:color="auto"/>
          </w:divBdr>
        </w:div>
      </w:divsChild>
    </w:div>
    <w:div w:id="961425897">
      <w:bodyDiv w:val="1"/>
      <w:marLeft w:val="0"/>
      <w:marRight w:val="0"/>
      <w:marTop w:val="0"/>
      <w:marBottom w:val="0"/>
      <w:divBdr>
        <w:top w:val="none" w:sz="0" w:space="0" w:color="auto"/>
        <w:left w:val="none" w:sz="0" w:space="0" w:color="auto"/>
        <w:bottom w:val="none" w:sz="0" w:space="0" w:color="auto"/>
        <w:right w:val="none" w:sz="0" w:space="0" w:color="auto"/>
      </w:divBdr>
      <w:divsChild>
        <w:div w:id="71781631">
          <w:marLeft w:val="0"/>
          <w:marRight w:val="0"/>
          <w:marTop w:val="0"/>
          <w:marBottom w:val="0"/>
          <w:divBdr>
            <w:top w:val="none" w:sz="0" w:space="0" w:color="auto"/>
            <w:left w:val="none" w:sz="0" w:space="0" w:color="auto"/>
            <w:bottom w:val="none" w:sz="0" w:space="0" w:color="auto"/>
            <w:right w:val="none" w:sz="0" w:space="0" w:color="auto"/>
          </w:divBdr>
        </w:div>
        <w:div w:id="549533977">
          <w:marLeft w:val="0"/>
          <w:marRight w:val="0"/>
          <w:marTop w:val="0"/>
          <w:marBottom w:val="0"/>
          <w:divBdr>
            <w:top w:val="none" w:sz="0" w:space="0" w:color="auto"/>
            <w:left w:val="none" w:sz="0" w:space="0" w:color="auto"/>
            <w:bottom w:val="none" w:sz="0" w:space="0" w:color="auto"/>
            <w:right w:val="none" w:sz="0" w:space="0" w:color="auto"/>
          </w:divBdr>
        </w:div>
        <w:div w:id="1664696332">
          <w:marLeft w:val="0"/>
          <w:marRight w:val="0"/>
          <w:marTop w:val="0"/>
          <w:marBottom w:val="0"/>
          <w:divBdr>
            <w:top w:val="none" w:sz="0" w:space="0" w:color="auto"/>
            <w:left w:val="none" w:sz="0" w:space="0" w:color="auto"/>
            <w:bottom w:val="none" w:sz="0" w:space="0" w:color="auto"/>
            <w:right w:val="none" w:sz="0" w:space="0" w:color="auto"/>
          </w:divBdr>
        </w:div>
      </w:divsChild>
    </w:div>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1341548042">
      <w:bodyDiv w:val="1"/>
      <w:marLeft w:val="0"/>
      <w:marRight w:val="0"/>
      <w:marTop w:val="0"/>
      <w:marBottom w:val="0"/>
      <w:divBdr>
        <w:top w:val="none" w:sz="0" w:space="0" w:color="auto"/>
        <w:left w:val="none" w:sz="0" w:space="0" w:color="auto"/>
        <w:bottom w:val="none" w:sz="0" w:space="0" w:color="auto"/>
        <w:right w:val="none" w:sz="0" w:space="0" w:color="auto"/>
      </w:divBdr>
    </w:div>
    <w:div w:id="1588344421">
      <w:bodyDiv w:val="1"/>
      <w:marLeft w:val="0"/>
      <w:marRight w:val="0"/>
      <w:marTop w:val="0"/>
      <w:marBottom w:val="0"/>
      <w:divBdr>
        <w:top w:val="none" w:sz="0" w:space="0" w:color="auto"/>
        <w:left w:val="none" w:sz="0" w:space="0" w:color="auto"/>
        <w:bottom w:val="none" w:sz="0" w:space="0" w:color="auto"/>
        <w:right w:val="none" w:sz="0" w:space="0" w:color="auto"/>
      </w:divBdr>
    </w:div>
    <w:div w:id="2028022149">
      <w:bodyDiv w:val="1"/>
      <w:marLeft w:val="0"/>
      <w:marRight w:val="0"/>
      <w:marTop w:val="0"/>
      <w:marBottom w:val="0"/>
      <w:divBdr>
        <w:top w:val="none" w:sz="0" w:space="0" w:color="auto"/>
        <w:left w:val="none" w:sz="0" w:space="0" w:color="auto"/>
        <w:bottom w:val="none" w:sz="0" w:space="0" w:color="auto"/>
        <w:right w:val="none" w:sz="0" w:space="0" w:color="auto"/>
      </w:divBdr>
    </w:div>
    <w:div w:id="2068646655">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 w:id="212075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yperlink" Target="https://hudoc.echr.coe.int/eng?i=001-221253" TargetMode="External"/><Relationship Id="rId3" Type="http://schemas.openxmlformats.org/officeDocument/2006/relationships/styles" Target="styles.xml"/><Relationship Id="rId21" Type="http://schemas.openxmlformats.org/officeDocument/2006/relationships/hyperlink" Target="https://hudoc.echr.coe.int/eng?i=001-219096" TargetMode="External"/><Relationship Id="rId7" Type="http://schemas.openxmlformats.org/officeDocument/2006/relationships/endnotes" Target="endnotes.xml"/><Relationship Id="rId12" Type="http://schemas.openxmlformats.org/officeDocument/2006/relationships/hyperlink" Target="https://hudoc.echr.coe.int/eng?i=001-220415" TargetMode="External"/><Relationship Id="rId17" Type="http://schemas.openxmlformats.org/officeDocument/2006/relationships/hyperlink" Target="https://hudoc.echr.coe.int/eng?i=001-221475" TargetMode="External"/><Relationship Id="rId25" Type="http://schemas.openxmlformats.org/officeDocument/2006/relationships/hyperlink" Target="https://hudoc.echr.coe.int/eng?i=001-219484" TargetMode="External"/><Relationship Id="rId2" Type="http://schemas.openxmlformats.org/officeDocument/2006/relationships/numbering" Target="numbering.xml"/><Relationship Id="rId16" Type="http://schemas.openxmlformats.org/officeDocument/2006/relationships/hyperlink" Target="https://hudoc.echr.coe.int/eng?i=001-219195" TargetMode="External"/><Relationship Id="rId20" Type="http://schemas.openxmlformats.org/officeDocument/2006/relationships/hyperlink" Target="https://hudoc.echr.coe.int/e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19643" TargetMode="External"/><Relationship Id="rId24" Type="http://schemas.openxmlformats.org/officeDocument/2006/relationships/hyperlink" Target="https://hudoc.echr.coe.int/eng?i=001-220866" TargetMode="External"/><Relationship Id="rId5" Type="http://schemas.openxmlformats.org/officeDocument/2006/relationships/webSettings" Target="webSettings.xml"/><Relationship Id="rId15" Type="http://schemas.openxmlformats.org/officeDocument/2006/relationships/hyperlink" Target="https://hudoc.echr.coe.int/eng?i=001-218459" TargetMode="External"/><Relationship Id="rId23" Type="http://schemas.openxmlformats.org/officeDocument/2006/relationships/hyperlink" Target="https://hudoc.echr.coe.int/eng?i=001-220573" TargetMode="External"/><Relationship Id="rId28" Type="http://schemas.openxmlformats.org/officeDocument/2006/relationships/header" Target="header1.xml"/><Relationship Id="rId10" Type="http://schemas.openxmlformats.org/officeDocument/2006/relationships/hyperlink" Target="https://hudoc.echr.coe.int/?i=001-219556" TargetMode="External"/><Relationship Id="rId19" Type="http://schemas.openxmlformats.org/officeDocument/2006/relationships/hyperlink" Target="https://hudoc.echr.coe.int/e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fre?i=001-221436" TargetMode="External"/><Relationship Id="rId22" Type="http://schemas.openxmlformats.org/officeDocument/2006/relationships/hyperlink" Target="https://hudoc.echr.coe.int/fre?i=001-219102" TargetMode="External"/><Relationship Id="rId27" Type="http://schemas.openxmlformats.org/officeDocument/2006/relationships/hyperlink" Target="https://hudoc.echr.coe.int/eng?i=001-219562"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65E7-0155-496F-B7A3-C52139F1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22955</Words>
  <Characters>130844</Characters>
  <Application>Microsoft Office Word</Application>
  <DocSecurity>0</DocSecurity>
  <Lines>1090</Lines>
  <Paragraphs>306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cp:lastPrinted>2022-05-23T12:28:00Z</cp:lastPrinted>
  <dcterms:created xsi:type="dcterms:W3CDTF">2023-08-01T06:04:00Z</dcterms:created>
  <dcterms:modified xsi:type="dcterms:W3CDTF">2023-08-01T06:18:00Z</dcterms:modified>
</cp:coreProperties>
</file>