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B1859E" w14:textId="77777777" w:rsidR="00EE09AD" w:rsidRPr="00E25DAB" w:rsidRDefault="00EE09AD" w:rsidP="009A1B99">
      <w:pPr>
        <w:pStyle w:val="NoSpacing1"/>
        <w:spacing w:after="240"/>
        <w:ind w:firstLine="0"/>
        <w:jc w:val="center"/>
        <w:rPr>
          <w:rFonts w:cs="Calibri"/>
        </w:rPr>
      </w:pPr>
    </w:p>
    <w:p w14:paraId="145FE607" w14:textId="77777777" w:rsidR="00EE09AD" w:rsidRPr="00E25DAB" w:rsidRDefault="00EE09AD" w:rsidP="009A1B99">
      <w:pPr>
        <w:pStyle w:val="NoSpacing1"/>
        <w:spacing w:after="1440"/>
        <w:ind w:firstLine="0"/>
        <w:jc w:val="center"/>
        <w:rPr>
          <w:rFonts w:cs="Calibri"/>
        </w:rPr>
      </w:pPr>
      <w:r w:rsidRPr="00E25DAB">
        <w:rPr>
          <w:rFonts w:cs="Calibri"/>
          <w:noProof/>
          <w:lang w:eastAsia="lt-LT"/>
        </w:rPr>
        <w:drawing>
          <wp:inline distT="0" distB="0" distL="0" distR="0" wp14:anchorId="45F667FC" wp14:editId="19001174">
            <wp:extent cx="3084195" cy="2087880"/>
            <wp:effectExtent l="19050" t="0" r="1905"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7" cstate="print"/>
                    <a:srcRect/>
                    <a:stretch>
                      <a:fillRect/>
                    </a:stretch>
                  </pic:blipFill>
                  <pic:spPr bwMode="auto">
                    <a:xfrm>
                      <a:off x="0" y="0"/>
                      <a:ext cx="3084195" cy="2087880"/>
                    </a:xfrm>
                    <a:prstGeom prst="rect">
                      <a:avLst/>
                    </a:prstGeom>
                    <a:noFill/>
                    <a:ln w="9525">
                      <a:noFill/>
                      <a:miter lim="800000"/>
                      <a:headEnd/>
                      <a:tailEnd/>
                    </a:ln>
                  </pic:spPr>
                </pic:pic>
              </a:graphicData>
            </a:graphic>
          </wp:inline>
        </w:drawing>
      </w:r>
      <w:r w:rsidRPr="00E25DAB">
        <w:rPr>
          <w:rFonts w:cs="Calibri"/>
          <w:noProof/>
          <w:lang w:eastAsia="lt-LT"/>
        </w:rPr>
        <mc:AlternateContent>
          <mc:Choice Requires="wps">
            <w:drawing>
              <wp:anchor distT="0" distB="0" distL="114300" distR="114300" simplePos="0" relativeHeight="251660288" behindDoc="0" locked="0" layoutInCell="0" allowOverlap="1" wp14:anchorId="32AA5FFD" wp14:editId="4D314660">
                <wp:simplePos x="0" y="0"/>
                <wp:positionH relativeFrom="page">
                  <wp:posOffset>-291465</wp:posOffset>
                </wp:positionH>
                <wp:positionV relativeFrom="page">
                  <wp:posOffset>20320</wp:posOffset>
                </wp:positionV>
                <wp:extent cx="7919720" cy="629920"/>
                <wp:effectExtent l="0" t="0" r="24130" b="17780"/>
                <wp:wrapNone/>
                <wp:docPr id="5" name="Stačiakampis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9720" cy="629920"/>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3F268B" id="Stačiakampis 5" o:spid="_x0000_s1026" style="position:absolute;margin-left:-22.95pt;margin-top:1.6pt;width:623.6pt;height:49.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" o:allowincell="f" fillcolor="#365f91" strokecolor="#31849b">
                <w10:wrap anchorx="page" anchory="page"/>
              </v:rect>
            </w:pict>
          </mc:Fallback>
        </mc:AlternateContent>
      </w:r>
      <w:r w:rsidRPr="00E25DAB">
        <w:rPr>
          <w:rFonts w:cs="Calibri"/>
          <w:noProof/>
          <w:lang w:eastAsia="lt-LT"/>
        </w:rPr>
        <mc:AlternateContent>
          <mc:Choice Requires="wps">
            <w:drawing>
              <wp:anchor distT="0" distB="0" distL="114300" distR="114300" simplePos="0" relativeHeight="251659264" behindDoc="0" locked="0" layoutInCell="0" allowOverlap="1" wp14:anchorId="7665A611" wp14:editId="34A0C82C">
                <wp:simplePos x="0" y="0"/>
                <wp:positionH relativeFrom="page">
                  <wp:align>center</wp:align>
                </wp:positionH>
                <wp:positionV relativeFrom="page">
                  <wp:align>bottom</wp:align>
                </wp:positionV>
                <wp:extent cx="7920355" cy="629920"/>
                <wp:effectExtent l="0" t="0" r="23495" b="17780"/>
                <wp:wrapNone/>
                <wp:docPr id="4" name="Stačiakampi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0355" cy="629920"/>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904F0B" id="Stačiakampis 4" o:spid="_x0000_s1026" style="position:absolute;margin-left:0;margin-top:0;width:623.65pt;height:49.6pt;z-index:251659264;visibility:visible;mso-wrap-style:square;mso-width-percent:0;mso-height-percent:0;mso-wrap-distance-left:9pt;mso-wrap-distance-top:0;mso-wrap-distance-right:9pt;mso-wrap-distance-bottom:0;mso-position-horizontal:center;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" o:allowincell="f" fillcolor="#365f91" strokecolor="#17365d">
                <w10:wrap anchorx="page" anchory="page"/>
              </v:rect>
            </w:pict>
          </mc:Fallback>
        </mc:AlternateContent>
      </w:r>
      <w:r w:rsidRPr="00E25DAB">
        <w:rPr>
          <w:rFonts w:cs="Calibri"/>
          <w:noProof/>
          <w:lang w:eastAsia="lt-LT"/>
        </w:rPr>
        <mc:AlternateContent>
          <mc:Choice Requires="wps">
            <w:drawing>
              <wp:anchor distT="0" distB="0" distL="114300" distR="114300" simplePos="0" relativeHeight="251662336" behindDoc="0" locked="0" layoutInCell="0" allowOverlap="1" wp14:anchorId="172C0C57" wp14:editId="0FE21C9B">
                <wp:simplePos x="0" y="0"/>
                <wp:positionH relativeFrom="page">
                  <wp:posOffset>503555</wp:posOffset>
                </wp:positionH>
                <wp:positionV relativeFrom="page">
                  <wp:posOffset>-248285</wp:posOffset>
                </wp:positionV>
                <wp:extent cx="90805" cy="11205210"/>
                <wp:effectExtent l="0" t="0" r="23495" b="15240"/>
                <wp:wrapNone/>
                <wp:docPr id="3" name="Stačiakampi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D9BECF" id="Stačiakampis 3" o:spid="_x0000_s1026" style="position:absolute;margin-left:39.65pt;margin-top:-19.55pt;width:7.15pt;height:882.3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" o:allowincell="f" strokecolor="#17365d">
                <w10:wrap anchorx="page" anchory="page"/>
              </v:rect>
            </w:pict>
          </mc:Fallback>
        </mc:AlternateContent>
      </w:r>
      <w:r w:rsidRPr="00E25DAB">
        <w:rPr>
          <w:rFonts w:cs="Calibri"/>
          <w:noProof/>
          <w:lang w:eastAsia="lt-LT"/>
        </w:rPr>
        <mc:AlternateContent>
          <mc:Choice Requires="wps">
            <w:drawing>
              <wp:anchor distT="0" distB="0" distL="114300" distR="114300" simplePos="0" relativeHeight="251661312" behindDoc="0" locked="0" layoutInCell="0" allowOverlap="1" wp14:anchorId="70702638" wp14:editId="1977303A">
                <wp:simplePos x="0" y="0"/>
                <wp:positionH relativeFrom="page">
                  <wp:posOffset>7250430</wp:posOffset>
                </wp:positionH>
                <wp:positionV relativeFrom="page">
                  <wp:posOffset>-248285</wp:posOffset>
                </wp:positionV>
                <wp:extent cx="90805" cy="11205210"/>
                <wp:effectExtent l="0" t="0" r="23495" b="15240"/>
                <wp:wrapNone/>
                <wp:docPr id="2" name="Stačiakampi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5210"/>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3A6F054" id="Stačiakampis 2" o:spid="_x0000_s1026" style="position:absolute;margin-left:570.9pt;margin-top:-19.55pt;width:7.15pt;height:882.3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" o:allowincell="f" strokecolor="#17365d">
                <w10:wrap anchorx="page" anchory="page"/>
              </v:rect>
            </w:pict>
          </mc:Fallback>
        </mc:AlternateContent>
      </w:r>
    </w:p>
    <w:p w14:paraId="3E08561D" w14:textId="77777777" w:rsidR="00EE09AD" w:rsidRPr="00E25DAB" w:rsidRDefault="00EE09AD" w:rsidP="009A1B99">
      <w:pPr>
        <w:pStyle w:val="NoSpacing1"/>
        <w:spacing w:after="1200"/>
        <w:ind w:firstLine="0"/>
        <w:jc w:val="center"/>
        <w:rPr>
          <w:rFonts w:ascii="Times New Roman" w:hAnsi="Times New Roman"/>
          <w:smallCaps/>
          <w:sz w:val="56"/>
          <w:szCs w:val="56"/>
        </w:rPr>
      </w:pPr>
      <w:r w:rsidRPr="00E25DAB">
        <w:rPr>
          <w:rFonts w:ascii="Times New Roman" w:hAnsi="Times New Roman"/>
          <w:smallCaps/>
          <w:sz w:val="56"/>
          <w:szCs w:val="56"/>
        </w:rPr>
        <w:t>Europos Žmogaus Teisių Teismo praktikos apžvalga</w:t>
      </w:r>
    </w:p>
    <w:p w14:paraId="60DC5985" w14:textId="760A1740" w:rsidR="00EE09AD" w:rsidRPr="00E25DAB" w:rsidRDefault="00EE09AD" w:rsidP="009A1B99">
      <w:pPr>
        <w:pStyle w:val="NoSpacing1"/>
        <w:spacing w:after="5160"/>
        <w:ind w:firstLine="0"/>
        <w:jc w:val="center"/>
        <w:rPr>
          <w:rFonts w:cs="Calibri"/>
          <w:b/>
          <w:smallCaps/>
          <w:u w:val="single"/>
        </w:rPr>
      </w:pPr>
      <w:r w:rsidRPr="00E25DAB">
        <w:rPr>
          <w:rFonts w:cs="Calibri"/>
          <w:b/>
          <w:smallCaps/>
          <w:u w:val="single"/>
        </w:rPr>
        <w:t>201</w:t>
      </w:r>
      <w:r w:rsidR="0037620F" w:rsidRPr="00E25DAB">
        <w:rPr>
          <w:rFonts w:cs="Calibri"/>
          <w:b/>
          <w:smallCaps/>
          <w:u w:val="single"/>
        </w:rPr>
        <w:t>9</w:t>
      </w:r>
      <w:r w:rsidRPr="00E25DAB">
        <w:rPr>
          <w:rFonts w:cs="Calibri"/>
          <w:b/>
          <w:smallCaps/>
          <w:u w:val="single"/>
        </w:rPr>
        <w:t xml:space="preserve"> m. </w:t>
      </w:r>
      <w:r w:rsidR="0037620F" w:rsidRPr="00E25DAB">
        <w:rPr>
          <w:rFonts w:cs="Calibri"/>
          <w:b/>
          <w:smallCaps/>
          <w:u w:val="single"/>
        </w:rPr>
        <w:t>sausio 1 d. – 2019</w:t>
      </w:r>
      <w:r w:rsidRPr="00E25DAB">
        <w:rPr>
          <w:rFonts w:cs="Calibri"/>
          <w:b/>
          <w:smallCaps/>
          <w:u w:val="single"/>
        </w:rPr>
        <w:t xml:space="preserve"> m. </w:t>
      </w:r>
      <w:r w:rsidR="0037620F" w:rsidRPr="00E25DAB">
        <w:rPr>
          <w:rFonts w:cs="Calibri"/>
          <w:b/>
          <w:smallCaps/>
          <w:u w:val="single"/>
        </w:rPr>
        <w:t>birželio</w:t>
      </w:r>
      <w:r w:rsidRPr="00E25DAB">
        <w:rPr>
          <w:rFonts w:cs="Calibri"/>
          <w:b/>
          <w:smallCaps/>
          <w:u w:val="single"/>
        </w:rPr>
        <w:t xml:space="preserve"> 3</w:t>
      </w:r>
      <w:r w:rsidR="0037620F" w:rsidRPr="00E25DAB">
        <w:rPr>
          <w:rFonts w:cs="Calibri"/>
          <w:b/>
          <w:smallCaps/>
          <w:u w:val="single"/>
        </w:rPr>
        <w:t>0</w:t>
      </w:r>
      <w:r w:rsidRPr="00E25DAB">
        <w:rPr>
          <w:rFonts w:cs="Calibri"/>
          <w:b/>
          <w:smallCaps/>
          <w:u w:val="single"/>
        </w:rPr>
        <w:t xml:space="preserve"> d.</w:t>
      </w:r>
    </w:p>
    <w:p w14:paraId="00632BFF" w14:textId="77777777" w:rsidR="00EE09AD" w:rsidRPr="00E25DAB" w:rsidRDefault="00EE09AD" w:rsidP="009A1B99">
      <w:pPr>
        <w:spacing w:after="160" w:line="259" w:lineRule="auto"/>
        <w:rPr>
          <w:rFonts w:ascii="Calibri" w:hAnsi="Calibri" w:cs="Calibri"/>
          <w:b/>
        </w:rPr>
      </w:pPr>
      <w:r w:rsidRPr="00E25DAB">
        <w:rPr>
          <w:rFonts w:ascii="Calibri" w:hAnsi="Calibri" w:cs="Calibri"/>
          <w:b/>
        </w:rPr>
        <w:br w:type="page"/>
      </w:r>
    </w:p>
    <w:p w14:paraId="779B7F98" w14:textId="77777777" w:rsidR="00EE09AD" w:rsidRPr="00E25DAB" w:rsidRDefault="00EE09AD" w:rsidP="009A1B99">
      <w:pPr>
        <w:ind w:firstLine="540"/>
        <w:jc w:val="both"/>
        <w:rPr>
          <w:rFonts w:ascii="Calibri" w:hAnsi="Calibri" w:cs="Calibri"/>
        </w:rPr>
      </w:pPr>
      <w:r w:rsidRPr="00E25DAB">
        <w:rPr>
          <w:rFonts w:ascii="Calibri" w:hAnsi="Calibri" w:cs="Calibri"/>
          <w:b/>
        </w:rPr>
        <w:lastRenderedPageBreak/>
        <w:t>Svarbi pastaba</w:t>
      </w:r>
      <w:r w:rsidRPr="00E25DAB">
        <w:rPr>
          <w:rFonts w:ascii="Calibri" w:hAnsi="Calibri" w:cs="Calibri"/>
        </w:rPr>
        <w:t xml:space="preserve">: Prieš supažindindami su Lietuvos vyriausiojo administracinio teismo Teismų praktikos departamento parengta Europos Žmogaus Teisių Teismo </w:t>
      </w:r>
      <w:r w:rsidRPr="00E25DAB">
        <w:rPr>
          <w:rFonts w:ascii="Calibri" w:hAnsi="Calibri" w:cs="Calibri"/>
          <w:bCs/>
        </w:rPr>
        <w:t>praktikos apžvalga</w:t>
      </w:r>
      <w:r w:rsidRPr="00E25DAB">
        <w:rPr>
          <w:rFonts w:ascii="Calibri" w:hAnsi="Calibri" w:cs="Calibri"/>
        </w:rPr>
        <w:t>, jos autoriai nori atkreipti skaitytojų dėmesį į tai, kad šiame dokumente yra pateikiamos neoficialios Europos Žmogaus Teisių Teismo procesinių sprendimų santraukos, kurios Europos Žmogaus Teisių Teismo ir Lietuvos vyriausiojo administracinio teismo nesaisto. Šis dokumentas yra tik informacinio pobūdžio, be kita ko, parengtas remiantis Europos Žmogaus Teisių Teismo informaciniais pranešimais. Taip pat norime atkreipti dėmesį į tai, kad pagal Konvencijos 44 straipsnio 2 dalį, kolegijos sprendimas tampa galutiniu: a) šalims paskelbus, kad jos neprašo perduoti bylos svarstyti Didžiajai Kolegijai; ar b) praėjus trims mėnesiams nuo sprendimo datos, jei nebuvo prašymo perduoti bylą svarstyti Didžiajai Kolegijai; ar c) Didžiosios Kolegijos teisėjų komisijai atmetus prašymą pagal 43 straipsnį. Pagal to paties straipsnio 1 dalį Didžiosios Kolegijos sprendimas yra galutinis.</w:t>
      </w:r>
    </w:p>
    <w:p w14:paraId="237ADFA3" w14:textId="77777777" w:rsidR="00EE09AD" w:rsidRPr="00E25DAB" w:rsidRDefault="00EE09AD" w:rsidP="009A1B99">
      <w:pPr>
        <w:ind w:firstLine="540"/>
        <w:jc w:val="both"/>
        <w:rPr>
          <w:rFonts w:ascii="Calibri" w:hAnsi="Calibri" w:cs="Calibri"/>
        </w:rPr>
      </w:pPr>
      <w:r w:rsidRPr="00E25DAB">
        <w:rPr>
          <w:rFonts w:ascii="Calibri" w:hAnsi="Calibri" w:cs="Calibri"/>
        </w:rPr>
        <w:t xml:space="preserve">Atsižvelgiant į tai, kad oficialius ir nesutrumpintus sprendimų tekstus galite rasti Europos Žmogaus Teisių Teismo interneto svetainėje </w:t>
      </w:r>
      <w:hyperlink r:id="rId8" w:history="1">
        <w:r w:rsidRPr="00E25DAB">
          <w:rPr>
            <w:rStyle w:val="Hipersaitas"/>
            <w:rFonts w:ascii="Calibri" w:hAnsi="Calibri" w:cs="Calibri"/>
          </w:rPr>
          <w:t>www.echr.coe.int</w:t>
        </w:r>
      </w:hyperlink>
      <w:r w:rsidRPr="00E25DAB">
        <w:rPr>
          <w:rFonts w:ascii="Calibri" w:hAnsi="Calibri" w:cs="Calibri"/>
        </w:rPr>
        <w:t xml:space="preserve">, Lietuvos vyriausiasis administracinis teismas neprisiima atsakomybės už atliktą vertimą ir parengtos santraukos išsamumą. </w:t>
      </w:r>
    </w:p>
    <w:p w14:paraId="3BE223FE" w14:textId="77777777" w:rsidR="00EE09AD" w:rsidRPr="00E25DAB" w:rsidRDefault="00EE09AD" w:rsidP="009A1B99">
      <w:pPr>
        <w:ind w:firstLine="540"/>
        <w:jc w:val="both"/>
        <w:rPr>
          <w:rFonts w:ascii="Calibri" w:hAnsi="Calibri" w:cs="Calibri"/>
        </w:rPr>
      </w:pPr>
    </w:p>
    <w:p w14:paraId="6D8B8E74" w14:textId="77777777" w:rsidR="00EE09AD" w:rsidRPr="00E25DAB" w:rsidRDefault="00EE09AD" w:rsidP="009A1B99">
      <w:pPr>
        <w:ind w:firstLine="540"/>
        <w:jc w:val="both"/>
        <w:rPr>
          <w:rFonts w:ascii="Calibri" w:hAnsi="Calibri" w:cs="Calibri"/>
        </w:rPr>
      </w:pPr>
      <w:r w:rsidRPr="00E25DAB">
        <w:rPr>
          <w:rFonts w:ascii="Calibri" w:hAnsi="Calibri" w:cs="Calibri"/>
        </w:rPr>
        <w:t>Apžvalgoje naudojami pagrindiniai sutrumpinimai:</w:t>
      </w:r>
    </w:p>
    <w:p w14:paraId="1DE4E769" w14:textId="77777777" w:rsidR="00EE09AD" w:rsidRPr="00E25DAB" w:rsidRDefault="00EE09AD" w:rsidP="009A1B99">
      <w:pPr>
        <w:ind w:firstLine="540"/>
        <w:jc w:val="both"/>
        <w:rPr>
          <w:rFonts w:ascii="Calibri" w:hAnsi="Calibri" w:cs="Calibri"/>
        </w:rPr>
      </w:pPr>
      <w:r w:rsidRPr="00E25DAB">
        <w:rPr>
          <w:rFonts w:ascii="Calibri" w:hAnsi="Calibri" w:cs="Calibri"/>
          <w:b/>
        </w:rPr>
        <w:t>EŽTT, Teismas</w:t>
      </w:r>
      <w:r w:rsidRPr="00E25DAB">
        <w:rPr>
          <w:rFonts w:ascii="Calibri" w:hAnsi="Calibri" w:cs="Calibri"/>
        </w:rPr>
        <w:t xml:space="preserve"> – Europos Žmogaus Teisių Teismas</w:t>
      </w:r>
    </w:p>
    <w:p w14:paraId="718E76F1" w14:textId="77777777" w:rsidR="00EE09AD" w:rsidRPr="00E25DAB" w:rsidRDefault="00EE09AD" w:rsidP="009A1B99">
      <w:pPr>
        <w:ind w:firstLine="540"/>
        <w:jc w:val="both"/>
        <w:rPr>
          <w:rFonts w:ascii="Calibri" w:hAnsi="Calibri" w:cs="Calibri"/>
        </w:rPr>
      </w:pPr>
      <w:r w:rsidRPr="00E25DAB">
        <w:rPr>
          <w:rFonts w:ascii="Calibri" w:hAnsi="Calibri" w:cs="Calibri"/>
          <w:b/>
        </w:rPr>
        <w:t>Konvencija</w:t>
      </w:r>
      <w:r w:rsidRPr="00E25DAB">
        <w:rPr>
          <w:rFonts w:ascii="Calibri" w:hAnsi="Calibri" w:cs="Calibri"/>
        </w:rPr>
        <w:t xml:space="preserve"> – Žmogaus teisių ir pagrindinių laisvių apsaugos konvencija</w:t>
      </w:r>
    </w:p>
    <w:p w14:paraId="0175E68D" w14:textId="77777777" w:rsidR="00EE09AD" w:rsidRPr="00E25DAB" w:rsidRDefault="00EE09AD" w:rsidP="009A1B99">
      <w:pPr>
        <w:ind w:left="539" w:firstLine="1"/>
        <w:jc w:val="both"/>
        <w:rPr>
          <w:rFonts w:ascii="Calibri" w:hAnsi="Calibri" w:cs="Calibri"/>
        </w:rPr>
      </w:pPr>
      <w:r w:rsidRPr="00E25DAB">
        <w:rPr>
          <w:rFonts w:ascii="Calibri" w:hAnsi="Calibri" w:cs="Calibri"/>
          <w:b/>
        </w:rPr>
        <w:t>Svarbos lygiai</w:t>
      </w:r>
      <w:r w:rsidRPr="00E25DAB">
        <w:rPr>
          <w:rFonts w:ascii="Calibri" w:hAnsi="Calibri" w:cs="Calibri"/>
        </w:rPr>
        <w:t xml:space="preserve"> – Europos Žmogaus Teisių Teismo nagrinėjamos bylos yra skirstomos į keturias kategorijas:</w:t>
      </w:r>
    </w:p>
    <w:p w14:paraId="231A7163" w14:textId="6998A754" w:rsidR="00EE09AD" w:rsidRPr="00E25DAB" w:rsidRDefault="00EE09AD" w:rsidP="009A1B99">
      <w:pPr>
        <w:tabs>
          <w:tab w:val="left" w:pos="567"/>
        </w:tabs>
        <w:spacing w:after="0"/>
        <w:ind w:left="539"/>
        <w:jc w:val="both"/>
        <w:rPr>
          <w:rFonts w:ascii="Calibri" w:hAnsi="Calibri" w:cs="Calibri"/>
        </w:rPr>
      </w:pPr>
      <w:r w:rsidRPr="00E25DAB">
        <w:rPr>
          <w:rFonts w:ascii="Calibri" w:hAnsi="Calibri" w:cs="Calibri"/>
          <w:i/>
        </w:rPr>
        <w:t>Skelbta Rinkinyje</w:t>
      </w:r>
      <w:r w:rsidRPr="00E25DAB">
        <w:rPr>
          <w:rFonts w:ascii="Calibri" w:hAnsi="Calibri" w:cs="Calibri"/>
        </w:rPr>
        <w:t xml:space="preserve"> – ypatingos svarbos sprendimai, kurie skelbiami oficialiuosiuose Teismo praktikos rinkiniuose (</w:t>
      </w:r>
      <w:r w:rsidRPr="00E25DAB">
        <w:rPr>
          <w:rFonts w:ascii="Calibri" w:hAnsi="Calibri" w:cs="Calibri"/>
          <w:i/>
        </w:rPr>
        <w:t>Reports of Judgments and Decisions</w:t>
      </w:r>
      <w:r w:rsidR="006860B3" w:rsidRPr="00E25DAB">
        <w:rPr>
          <w:rFonts w:ascii="Calibri" w:hAnsi="Calibri" w:cs="Calibri"/>
        </w:rPr>
        <w:t>,</w:t>
      </w:r>
      <w:r w:rsidR="006860B3" w:rsidRPr="00E25DAB">
        <w:rPr>
          <w:rFonts w:ascii="Calibri" w:hAnsi="Calibri" w:cs="Calibri"/>
          <w:i/>
        </w:rPr>
        <w:t xml:space="preserve"> Selection of key cases</w:t>
      </w:r>
      <w:r w:rsidRPr="00E25DAB">
        <w:rPr>
          <w:rFonts w:ascii="Calibri" w:hAnsi="Calibri" w:cs="Calibri"/>
        </w:rPr>
        <w:t>).</w:t>
      </w:r>
    </w:p>
    <w:p w14:paraId="487CA55A" w14:textId="77777777" w:rsidR="00EE09AD" w:rsidRPr="00E25DAB" w:rsidRDefault="00EE09AD" w:rsidP="009A1B99">
      <w:pPr>
        <w:spacing w:after="0"/>
        <w:ind w:left="539"/>
        <w:jc w:val="both"/>
        <w:rPr>
          <w:rFonts w:ascii="Calibri" w:hAnsi="Calibri" w:cs="Calibri"/>
        </w:rPr>
      </w:pPr>
      <w:r w:rsidRPr="00E25DAB">
        <w:rPr>
          <w:rFonts w:ascii="Calibri" w:hAnsi="Calibri" w:cs="Calibri"/>
          <w:i/>
        </w:rPr>
        <w:t>1 = Didelė svarba</w:t>
      </w:r>
      <w:r w:rsidRPr="00E25DAB">
        <w:rPr>
          <w:rFonts w:ascii="Calibri" w:hAnsi="Calibri" w:cs="Calibri"/>
        </w:rPr>
        <w:t>: sprendimai, kurie reikšmingai prisideda prie Teismo praktikos plėtojimo, aiškinimo ar keitimo.</w:t>
      </w:r>
    </w:p>
    <w:p w14:paraId="70E0507C" w14:textId="77777777" w:rsidR="00EE09AD" w:rsidRPr="00E25DAB" w:rsidRDefault="00EE09AD" w:rsidP="009A1B99">
      <w:pPr>
        <w:spacing w:after="0"/>
        <w:ind w:left="539"/>
        <w:jc w:val="both"/>
        <w:rPr>
          <w:rFonts w:ascii="Calibri" w:hAnsi="Calibri" w:cs="Calibri"/>
        </w:rPr>
      </w:pPr>
      <w:r w:rsidRPr="00E25DAB">
        <w:rPr>
          <w:rFonts w:ascii="Calibri" w:hAnsi="Calibri" w:cs="Calibri"/>
          <w:i/>
        </w:rPr>
        <w:t>2 = Vidutinė svarba</w:t>
      </w:r>
      <w:r w:rsidRPr="00E25DAB">
        <w:rPr>
          <w:rFonts w:ascii="Calibri" w:hAnsi="Calibri" w:cs="Calibri"/>
        </w:rPr>
        <w:t>: sprendimai, kurie nors ir reikšmingai praktikos nepakeičia, tačiau nėra susiję vien tik su nusistovėjusios praktikos laikymusi.</w:t>
      </w:r>
    </w:p>
    <w:p w14:paraId="687CA506" w14:textId="77777777" w:rsidR="00EE09AD" w:rsidRPr="00E25DAB" w:rsidRDefault="00EE09AD" w:rsidP="009A1B99">
      <w:pPr>
        <w:spacing w:after="0"/>
        <w:ind w:left="539"/>
        <w:jc w:val="both"/>
        <w:rPr>
          <w:rFonts w:ascii="Calibri" w:hAnsi="Calibri" w:cs="Calibri"/>
        </w:rPr>
      </w:pPr>
      <w:r w:rsidRPr="00E25DAB">
        <w:rPr>
          <w:rFonts w:ascii="Calibri" w:hAnsi="Calibri" w:cs="Calibri"/>
          <w:i/>
        </w:rPr>
        <w:t>3 = Mažesnė svarba</w:t>
      </w:r>
      <w:r w:rsidRPr="00E25DAB">
        <w:rPr>
          <w:rFonts w:ascii="Calibri" w:hAnsi="Calibri" w:cs="Calibri"/>
        </w:rPr>
        <w:t>: sprendimai, pasižymintys mažu teisiniu interesu, t. y. sprendimai, kuriuose paprasčiausiai laikomasi nusistovėjusios teismo praktikos ir kt.</w:t>
      </w:r>
    </w:p>
    <w:p w14:paraId="10D3BA50" w14:textId="77777777" w:rsidR="00EE09AD" w:rsidRPr="00E25DAB" w:rsidRDefault="00EE09AD" w:rsidP="009A1B99">
      <w:pPr>
        <w:spacing w:after="0" w:line="240" w:lineRule="auto"/>
        <w:jc w:val="both"/>
        <w:rPr>
          <w:rFonts w:ascii="Calibri" w:hAnsi="Calibri" w:cs="Calibri"/>
          <w:b/>
        </w:rPr>
      </w:pPr>
      <w:r w:rsidRPr="00E25DAB">
        <w:rPr>
          <w:rFonts w:ascii="Calibri" w:hAnsi="Calibri" w:cs="Calibri"/>
          <w:b/>
        </w:rPr>
        <w:br w:type="page"/>
      </w:r>
    </w:p>
    <w:sdt>
      <w:sdtPr>
        <w:rPr>
          <w:rFonts w:ascii="Calibri" w:eastAsiaTheme="minorHAnsi" w:hAnsi="Calibri" w:cs="Calibri"/>
          <w:bCs w:val="0"/>
          <w:color w:val="auto"/>
          <w:sz w:val="22"/>
          <w:szCs w:val="22"/>
          <w:lang w:eastAsia="en-US"/>
        </w:rPr>
        <w:id w:val="654178032"/>
        <w:docPartObj>
          <w:docPartGallery w:val="Table of Contents"/>
          <w:docPartUnique/>
        </w:docPartObj>
      </w:sdtPr>
      <w:sdtEndPr>
        <w:rPr>
          <w:b/>
        </w:rPr>
      </w:sdtEndPr>
      <w:sdtContent>
        <w:p w14:paraId="259F4E74" w14:textId="77777777" w:rsidR="00EE09AD" w:rsidRPr="00E25DAB" w:rsidRDefault="00EE09AD" w:rsidP="009A1B99">
          <w:pPr>
            <w:pStyle w:val="Turinioantrat"/>
            <w:rPr>
              <w:rFonts w:ascii="Calibri" w:hAnsi="Calibri" w:cs="Calibri"/>
              <w:sz w:val="22"/>
              <w:szCs w:val="22"/>
            </w:rPr>
          </w:pPr>
        </w:p>
        <w:p w14:paraId="115BA973" w14:textId="77777777" w:rsidR="00150619" w:rsidRPr="00E25DAB" w:rsidRDefault="00EE09AD">
          <w:pPr>
            <w:pStyle w:val="Turinys1"/>
            <w:rPr>
              <w:rFonts w:eastAsiaTheme="minorEastAsia"/>
              <w:color w:val="auto"/>
              <w:lang w:eastAsia="lt-LT"/>
            </w:rPr>
          </w:pPr>
          <w:r w:rsidRPr="00E25DAB">
            <w:rPr>
              <w:rFonts w:ascii="Calibri" w:hAnsi="Calibri" w:cs="Calibri"/>
              <w:noProof w:val="0"/>
            </w:rPr>
            <w:fldChar w:fldCharType="begin"/>
          </w:r>
          <w:r w:rsidRPr="00E25DAB">
            <w:rPr>
              <w:rFonts w:ascii="Calibri" w:hAnsi="Calibri" w:cs="Calibri"/>
              <w:noProof w:val="0"/>
            </w:rPr>
            <w:instrText xml:space="preserve"> TOC \o "1-3" \h \z \u </w:instrText>
          </w:r>
          <w:r w:rsidRPr="00E25DAB">
            <w:rPr>
              <w:rFonts w:ascii="Calibri" w:hAnsi="Calibri" w:cs="Calibri"/>
              <w:noProof w:val="0"/>
            </w:rPr>
            <w:fldChar w:fldCharType="separate"/>
          </w:r>
          <w:hyperlink w:anchor="_Toc19877676" w:history="1">
            <w:r w:rsidR="00150619" w:rsidRPr="00E25DAB">
              <w:rPr>
                <w:rStyle w:val="Hipersaitas"/>
              </w:rPr>
              <w:t>KANKINIMO UŽDRAUDIMAS (3 straipsnis)</w:t>
            </w:r>
            <w:r w:rsidR="00150619" w:rsidRPr="00E25DAB">
              <w:rPr>
                <w:webHidden/>
              </w:rPr>
              <w:tab/>
            </w:r>
            <w:r w:rsidR="00150619" w:rsidRPr="00E25DAB">
              <w:rPr>
                <w:webHidden/>
              </w:rPr>
              <w:fldChar w:fldCharType="begin"/>
            </w:r>
            <w:r w:rsidR="00150619" w:rsidRPr="00E25DAB">
              <w:rPr>
                <w:webHidden/>
              </w:rPr>
              <w:instrText xml:space="preserve"> PAGEREF _Toc19877676 \h </w:instrText>
            </w:r>
            <w:r w:rsidR="00150619" w:rsidRPr="00E25DAB">
              <w:rPr>
                <w:webHidden/>
              </w:rPr>
            </w:r>
            <w:r w:rsidR="00150619" w:rsidRPr="00E25DAB">
              <w:rPr>
                <w:webHidden/>
              </w:rPr>
              <w:fldChar w:fldCharType="separate"/>
            </w:r>
            <w:r w:rsidR="00150619" w:rsidRPr="00E25DAB">
              <w:rPr>
                <w:webHidden/>
              </w:rPr>
              <w:t>5</w:t>
            </w:r>
            <w:r w:rsidR="00150619" w:rsidRPr="00E25DAB">
              <w:rPr>
                <w:webHidden/>
              </w:rPr>
              <w:fldChar w:fldCharType="end"/>
            </w:r>
          </w:hyperlink>
        </w:p>
        <w:p w14:paraId="04806471" w14:textId="77777777" w:rsidR="00150619" w:rsidRPr="00E25DAB" w:rsidRDefault="00907E3B">
          <w:pPr>
            <w:pStyle w:val="Turinys2"/>
            <w:tabs>
              <w:tab w:val="right" w:leader="dot" w:pos="9628"/>
            </w:tabs>
            <w:rPr>
              <w:rFonts w:eastAsiaTheme="minorEastAsia"/>
              <w:noProof/>
              <w:lang w:eastAsia="lt-LT"/>
            </w:rPr>
          </w:pPr>
          <w:hyperlink w:anchor="_Toc19877677" w:history="1">
            <w:r w:rsidR="00150619" w:rsidRPr="00E25DAB">
              <w:rPr>
                <w:rStyle w:val="Hipersaitas"/>
                <w:i/>
                <w:noProof/>
              </w:rPr>
              <w:t>Ilgiz Khalikov prieš Rusiją</w:t>
            </w:r>
            <w:r w:rsidR="00150619" w:rsidRPr="00E25DAB">
              <w:rPr>
                <w:noProof/>
                <w:webHidden/>
              </w:rPr>
              <w:tab/>
            </w:r>
            <w:r w:rsidR="00150619" w:rsidRPr="00E25DAB">
              <w:rPr>
                <w:noProof/>
                <w:webHidden/>
              </w:rPr>
              <w:fldChar w:fldCharType="begin"/>
            </w:r>
            <w:r w:rsidR="00150619" w:rsidRPr="00E25DAB">
              <w:rPr>
                <w:noProof/>
                <w:webHidden/>
              </w:rPr>
              <w:instrText xml:space="preserve"> PAGEREF _Toc19877677 \h </w:instrText>
            </w:r>
            <w:r w:rsidR="00150619" w:rsidRPr="00E25DAB">
              <w:rPr>
                <w:noProof/>
                <w:webHidden/>
              </w:rPr>
            </w:r>
            <w:r w:rsidR="00150619" w:rsidRPr="00E25DAB">
              <w:rPr>
                <w:noProof/>
                <w:webHidden/>
              </w:rPr>
              <w:fldChar w:fldCharType="separate"/>
            </w:r>
            <w:r w:rsidR="00150619" w:rsidRPr="00E25DAB">
              <w:rPr>
                <w:noProof/>
                <w:webHidden/>
              </w:rPr>
              <w:t>5</w:t>
            </w:r>
            <w:r w:rsidR="00150619" w:rsidRPr="00E25DAB">
              <w:rPr>
                <w:noProof/>
                <w:webHidden/>
              </w:rPr>
              <w:fldChar w:fldCharType="end"/>
            </w:r>
          </w:hyperlink>
        </w:p>
        <w:p w14:paraId="4C99F75A" w14:textId="77777777" w:rsidR="00150619" w:rsidRPr="00E25DAB" w:rsidRDefault="00907E3B">
          <w:pPr>
            <w:pStyle w:val="Turinys3"/>
            <w:tabs>
              <w:tab w:val="right" w:leader="dot" w:pos="9628"/>
            </w:tabs>
            <w:rPr>
              <w:rFonts w:eastAsiaTheme="minorEastAsia"/>
              <w:noProof/>
              <w:lang w:eastAsia="lt-LT"/>
            </w:rPr>
          </w:pPr>
          <w:hyperlink w:anchor="_Toc19877678" w:history="1">
            <w:r w:rsidR="00150619" w:rsidRPr="00E25DAB">
              <w:rPr>
                <w:rStyle w:val="Hipersaitas"/>
                <w:noProof/>
                <w:shd w:val="clear" w:color="auto" w:fill="FFFFFF"/>
                <w:lang w:eastAsia="lt-LT"/>
              </w:rPr>
              <w:t>Dėl atsakomybės už susišaudymo, įvykusio tarp konvojuojamų sulaikytųjų ir juos lydinčių pareigūnų, metu atsitiktinai sužeistą kitą kalinį</w:t>
            </w:r>
            <w:r w:rsidR="00150619" w:rsidRPr="00E25DAB">
              <w:rPr>
                <w:noProof/>
                <w:webHidden/>
              </w:rPr>
              <w:tab/>
            </w:r>
            <w:r w:rsidR="00150619" w:rsidRPr="00E25DAB">
              <w:rPr>
                <w:noProof/>
                <w:webHidden/>
              </w:rPr>
              <w:fldChar w:fldCharType="begin"/>
            </w:r>
            <w:r w:rsidR="00150619" w:rsidRPr="00E25DAB">
              <w:rPr>
                <w:noProof/>
                <w:webHidden/>
              </w:rPr>
              <w:instrText xml:space="preserve"> PAGEREF _Toc19877678 \h </w:instrText>
            </w:r>
            <w:r w:rsidR="00150619" w:rsidRPr="00E25DAB">
              <w:rPr>
                <w:noProof/>
                <w:webHidden/>
              </w:rPr>
            </w:r>
            <w:r w:rsidR="00150619" w:rsidRPr="00E25DAB">
              <w:rPr>
                <w:noProof/>
                <w:webHidden/>
              </w:rPr>
              <w:fldChar w:fldCharType="separate"/>
            </w:r>
            <w:r w:rsidR="00150619" w:rsidRPr="00E25DAB">
              <w:rPr>
                <w:noProof/>
                <w:webHidden/>
              </w:rPr>
              <w:t>5</w:t>
            </w:r>
            <w:r w:rsidR="00150619" w:rsidRPr="00E25DAB">
              <w:rPr>
                <w:noProof/>
                <w:webHidden/>
              </w:rPr>
              <w:fldChar w:fldCharType="end"/>
            </w:r>
          </w:hyperlink>
        </w:p>
        <w:p w14:paraId="49B3094B" w14:textId="77777777" w:rsidR="00150619" w:rsidRPr="00E25DAB" w:rsidRDefault="00907E3B">
          <w:pPr>
            <w:pStyle w:val="Turinys1"/>
            <w:rPr>
              <w:rFonts w:eastAsiaTheme="minorEastAsia"/>
              <w:color w:val="auto"/>
              <w:lang w:eastAsia="lt-LT"/>
            </w:rPr>
          </w:pPr>
          <w:hyperlink w:anchor="_Toc19877679" w:history="1">
            <w:r w:rsidR="00150619" w:rsidRPr="00E25DAB">
              <w:rPr>
                <w:rStyle w:val="Hipersaitas"/>
              </w:rPr>
              <w:t>TEISĖ Į LAISVĘ IR SAUGUMĄ (5 straipsnis)</w:t>
            </w:r>
            <w:r w:rsidR="00150619" w:rsidRPr="00E25DAB">
              <w:rPr>
                <w:webHidden/>
              </w:rPr>
              <w:tab/>
            </w:r>
            <w:r w:rsidR="00150619" w:rsidRPr="00E25DAB">
              <w:rPr>
                <w:webHidden/>
              </w:rPr>
              <w:fldChar w:fldCharType="begin"/>
            </w:r>
            <w:r w:rsidR="00150619" w:rsidRPr="00E25DAB">
              <w:rPr>
                <w:webHidden/>
              </w:rPr>
              <w:instrText xml:space="preserve"> PAGEREF _Toc19877679 \h </w:instrText>
            </w:r>
            <w:r w:rsidR="00150619" w:rsidRPr="00E25DAB">
              <w:rPr>
                <w:webHidden/>
              </w:rPr>
            </w:r>
            <w:r w:rsidR="00150619" w:rsidRPr="00E25DAB">
              <w:rPr>
                <w:webHidden/>
              </w:rPr>
              <w:fldChar w:fldCharType="separate"/>
            </w:r>
            <w:r w:rsidR="00150619" w:rsidRPr="00E25DAB">
              <w:rPr>
                <w:webHidden/>
              </w:rPr>
              <w:t>6</w:t>
            </w:r>
            <w:r w:rsidR="00150619" w:rsidRPr="00E25DAB">
              <w:rPr>
                <w:webHidden/>
              </w:rPr>
              <w:fldChar w:fldCharType="end"/>
            </w:r>
          </w:hyperlink>
        </w:p>
        <w:p w14:paraId="747854AA" w14:textId="77777777" w:rsidR="00150619" w:rsidRPr="00E25DAB" w:rsidRDefault="00907E3B">
          <w:pPr>
            <w:pStyle w:val="Turinys2"/>
            <w:tabs>
              <w:tab w:val="right" w:leader="dot" w:pos="9628"/>
            </w:tabs>
            <w:rPr>
              <w:rFonts w:eastAsiaTheme="minorEastAsia"/>
              <w:noProof/>
              <w:lang w:eastAsia="lt-LT"/>
            </w:rPr>
          </w:pPr>
          <w:hyperlink w:anchor="_Toc19877680" w:history="1">
            <w:r w:rsidR="00150619" w:rsidRPr="00E25DAB">
              <w:rPr>
                <w:rStyle w:val="Hipersaitas"/>
                <w:rFonts w:eastAsia="Calibri"/>
                <w:i/>
                <w:noProof/>
              </w:rPr>
              <w:t>Aboya Boa Jean prieš Maltą</w:t>
            </w:r>
            <w:r w:rsidR="00150619" w:rsidRPr="00E25DAB">
              <w:rPr>
                <w:noProof/>
                <w:webHidden/>
              </w:rPr>
              <w:tab/>
            </w:r>
            <w:r w:rsidR="00150619" w:rsidRPr="00E25DAB">
              <w:rPr>
                <w:noProof/>
                <w:webHidden/>
              </w:rPr>
              <w:fldChar w:fldCharType="begin"/>
            </w:r>
            <w:r w:rsidR="00150619" w:rsidRPr="00E25DAB">
              <w:rPr>
                <w:noProof/>
                <w:webHidden/>
              </w:rPr>
              <w:instrText xml:space="preserve"> PAGEREF _Toc19877680 \h </w:instrText>
            </w:r>
            <w:r w:rsidR="00150619" w:rsidRPr="00E25DAB">
              <w:rPr>
                <w:noProof/>
                <w:webHidden/>
              </w:rPr>
            </w:r>
            <w:r w:rsidR="00150619" w:rsidRPr="00E25DAB">
              <w:rPr>
                <w:noProof/>
                <w:webHidden/>
              </w:rPr>
              <w:fldChar w:fldCharType="separate"/>
            </w:r>
            <w:r w:rsidR="00150619" w:rsidRPr="00E25DAB">
              <w:rPr>
                <w:noProof/>
                <w:webHidden/>
              </w:rPr>
              <w:t>6</w:t>
            </w:r>
            <w:r w:rsidR="00150619" w:rsidRPr="00E25DAB">
              <w:rPr>
                <w:noProof/>
                <w:webHidden/>
              </w:rPr>
              <w:fldChar w:fldCharType="end"/>
            </w:r>
          </w:hyperlink>
        </w:p>
        <w:p w14:paraId="4754F678" w14:textId="77777777" w:rsidR="00150619" w:rsidRPr="00E25DAB" w:rsidRDefault="00907E3B">
          <w:pPr>
            <w:pStyle w:val="Turinys3"/>
            <w:tabs>
              <w:tab w:val="right" w:leader="dot" w:pos="9628"/>
            </w:tabs>
            <w:rPr>
              <w:rFonts w:eastAsiaTheme="minorEastAsia"/>
              <w:noProof/>
              <w:lang w:eastAsia="lt-LT"/>
            </w:rPr>
          </w:pPr>
          <w:hyperlink w:anchor="_Toc19877681" w:history="1">
            <w:r w:rsidR="00150619" w:rsidRPr="00E25DAB">
              <w:rPr>
                <w:rStyle w:val="Hipersaitas"/>
                <w:rFonts w:ascii="Calibri" w:hAnsi="Calibri" w:cs="Calibri"/>
                <w:noProof/>
              </w:rPr>
              <w:t>Dėl sprendimo dėl sulaikymo pagrįstumo patikros greitumo</w:t>
            </w:r>
            <w:r w:rsidR="00150619" w:rsidRPr="00E25DAB">
              <w:rPr>
                <w:noProof/>
                <w:webHidden/>
              </w:rPr>
              <w:tab/>
            </w:r>
            <w:r w:rsidR="00150619" w:rsidRPr="00E25DAB">
              <w:rPr>
                <w:noProof/>
                <w:webHidden/>
              </w:rPr>
              <w:fldChar w:fldCharType="begin"/>
            </w:r>
            <w:r w:rsidR="00150619" w:rsidRPr="00E25DAB">
              <w:rPr>
                <w:noProof/>
                <w:webHidden/>
              </w:rPr>
              <w:instrText xml:space="preserve"> PAGEREF _Toc19877681 \h </w:instrText>
            </w:r>
            <w:r w:rsidR="00150619" w:rsidRPr="00E25DAB">
              <w:rPr>
                <w:noProof/>
                <w:webHidden/>
              </w:rPr>
            </w:r>
            <w:r w:rsidR="00150619" w:rsidRPr="00E25DAB">
              <w:rPr>
                <w:noProof/>
                <w:webHidden/>
              </w:rPr>
              <w:fldChar w:fldCharType="separate"/>
            </w:r>
            <w:r w:rsidR="00150619" w:rsidRPr="00E25DAB">
              <w:rPr>
                <w:noProof/>
                <w:webHidden/>
              </w:rPr>
              <w:t>6</w:t>
            </w:r>
            <w:r w:rsidR="00150619" w:rsidRPr="00E25DAB">
              <w:rPr>
                <w:noProof/>
                <w:webHidden/>
              </w:rPr>
              <w:fldChar w:fldCharType="end"/>
            </w:r>
          </w:hyperlink>
        </w:p>
        <w:p w14:paraId="2180250C" w14:textId="77777777" w:rsidR="00150619" w:rsidRPr="00E25DAB" w:rsidRDefault="00907E3B">
          <w:pPr>
            <w:pStyle w:val="Turinys1"/>
            <w:rPr>
              <w:rFonts w:eastAsiaTheme="minorEastAsia"/>
              <w:color w:val="auto"/>
              <w:lang w:eastAsia="lt-LT"/>
            </w:rPr>
          </w:pPr>
          <w:hyperlink w:anchor="_Toc19877682" w:history="1">
            <w:r w:rsidR="00150619" w:rsidRPr="00E25DAB">
              <w:rPr>
                <w:rStyle w:val="Hipersaitas"/>
                <w:rFonts w:ascii="Calibri" w:hAnsi="Calibri" w:cs="Calibri"/>
              </w:rPr>
              <w:t>TEISĖ Į TEISINGĄ BYLOS NAGRINĖJIMĄ (6 straipsnis)</w:t>
            </w:r>
            <w:r w:rsidR="00150619" w:rsidRPr="00E25DAB">
              <w:rPr>
                <w:webHidden/>
              </w:rPr>
              <w:tab/>
            </w:r>
            <w:r w:rsidR="00150619" w:rsidRPr="00E25DAB">
              <w:rPr>
                <w:webHidden/>
              </w:rPr>
              <w:fldChar w:fldCharType="begin"/>
            </w:r>
            <w:r w:rsidR="00150619" w:rsidRPr="00E25DAB">
              <w:rPr>
                <w:webHidden/>
              </w:rPr>
              <w:instrText xml:space="preserve"> PAGEREF _Toc19877682 \h </w:instrText>
            </w:r>
            <w:r w:rsidR="00150619" w:rsidRPr="00E25DAB">
              <w:rPr>
                <w:webHidden/>
              </w:rPr>
            </w:r>
            <w:r w:rsidR="00150619" w:rsidRPr="00E25DAB">
              <w:rPr>
                <w:webHidden/>
              </w:rPr>
              <w:fldChar w:fldCharType="separate"/>
            </w:r>
            <w:r w:rsidR="00150619" w:rsidRPr="00E25DAB">
              <w:rPr>
                <w:webHidden/>
              </w:rPr>
              <w:t>7</w:t>
            </w:r>
            <w:r w:rsidR="00150619" w:rsidRPr="00E25DAB">
              <w:rPr>
                <w:webHidden/>
              </w:rPr>
              <w:fldChar w:fldCharType="end"/>
            </w:r>
          </w:hyperlink>
        </w:p>
        <w:p w14:paraId="4C1A13D4" w14:textId="77777777" w:rsidR="00150619" w:rsidRPr="00E25DAB" w:rsidRDefault="00907E3B">
          <w:pPr>
            <w:pStyle w:val="Turinys2"/>
            <w:tabs>
              <w:tab w:val="right" w:leader="dot" w:pos="9628"/>
            </w:tabs>
            <w:rPr>
              <w:rFonts w:eastAsiaTheme="minorEastAsia"/>
              <w:noProof/>
              <w:lang w:eastAsia="lt-LT"/>
            </w:rPr>
          </w:pPr>
          <w:hyperlink w:anchor="_Toc19877683" w:history="1">
            <w:r w:rsidR="00150619" w:rsidRPr="00E25DAB">
              <w:rPr>
                <w:rStyle w:val="Hipersaitas"/>
                <w:rFonts w:eastAsia="Calibri"/>
                <w:i/>
                <w:noProof/>
              </w:rPr>
              <w:t>Orlen Lietuva prieš Lietuvą</w:t>
            </w:r>
            <w:r w:rsidR="00150619" w:rsidRPr="00E25DAB">
              <w:rPr>
                <w:noProof/>
                <w:webHidden/>
              </w:rPr>
              <w:tab/>
            </w:r>
            <w:r w:rsidR="00150619" w:rsidRPr="00E25DAB">
              <w:rPr>
                <w:noProof/>
                <w:webHidden/>
              </w:rPr>
              <w:fldChar w:fldCharType="begin"/>
            </w:r>
            <w:r w:rsidR="00150619" w:rsidRPr="00E25DAB">
              <w:rPr>
                <w:noProof/>
                <w:webHidden/>
              </w:rPr>
              <w:instrText xml:space="preserve"> PAGEREF _Toc19877683 \h </w:instrText>
            </w:r>
            <w:r w:rsidR="00150619" w:rsidRPr="00E25DAB">
              <w:rPr>
                <w:noProof/>
                <w:webHidden/>
              </w:rPr>
            </w:r>
            <w:r w:rsidR="00150619" w:rsidRPr="00E25DAB">
              <w:rPr>
                <w:noProof/>
                <w:webHidden/>
              </w:rPr>
              <w:fldChar w:fldCharType="separate"/>
            </w:r>
            <w:r w:rsidR="00150619" w:rsidRPr="00E25DAB">
              <w:rPr>
                <w:noProof/>
                <w:webHidden/>
              </w:rPr>
              <w:t>8</w:t>
            </w:r>
            <w:r w:rsidR="00150619" w:rsidRPr="00E25DAB">
              <w:rPr>
                <w:noProof/>
                <w:webHidden/>
              </w:rPr>
              <w:fldChar w:fldCharType="end"/>
            </w:r>
          </w:hyperlink>
        </w:p>
        <w:p w14:paraId="1F777705" w14:textId="77777777" w:rsidR="00150619" w:rsidRPr="00E25DAB" w:rsidRDefault="00907E3B">
          <w:pPr>
            <w:pStyle w:val="Turinys3"/>
            <w:tabs>
              <w:tab w:val="right" w:leader="dot" w:pos="9628"/>
            </w:tabs>
            <w:rPr>
              <w:rFonts w:eastAsiaTheme="minorEastAsia"/>
              <w:noProof/>
              <w:lang w:eastAsia="lt-LT"/>
            </w:rPr>
          </w:pPr>
          <w:hyperlink w:anchor="_Toc19877684" w:history="1">
            <w:r w:rsidR="00150619" w:rsidRPr="00E25DAB">
              <w:rPr>
                <w:rStyle w:val="Hipersaitas"/>
                <w:rFonts w:cstheme="minorHAnsi"/>
                <w:noProof/>
              </w:rPr>
              <w:t>Dėl teismo precedento laikymosi skaičiuojant senaties terminą</w:t>
            </w:r>
            <w:r w:rsidR="00150619" w:rsidRPr="00E25DAB">
              <w:rPr>
                <w:noProof/>
                <w:webHidden/>
              </w:rPr>
              <w:tab/>
            </w:r>
            <w:r w:rsidR="00150619" w:rsidRPr="00E25DAB">
              <w:rPr>
                <w:noProof/>
                <w:webHidden/>
              </w:rPr>
              <w:fldChar w:fldCharType="begin"/>
            </w:r>
            <w:r w:rsidR="00150619" w:rsidRPr="00E25DAB">
              <w:rPr>
                <w:noProof/>
                <w:webHidden/>
              </w:rPr>
              <w:instrText xml:space="preserve"> PAGEREF _Toc19877684 \h </w:instrText>
            </w:r>
            <w:r w:rsidR="00150619" w:rsidRPr="00E25DAB">
              <w:rPr>
                <w:noProof/>
                <w:webHidden/>
              </w:rPr>
            </w:r>
            <w:r w:rsidR="00150619" w:rsidRPr="00E25DAB">
              <w:rPr>
                <w:noProof/>
                <w:webHidden/>
              </w:rPr>
              <w:fldChar w:fldCharType="separate"/>
            </w:r>
            <w:r w:rsidR="00150619" w:rsidRPr="00E25DAB">
              <w:rPr>
                <w:noProof/>
                <w:webHidden/>
              </w:rPr>
              <w:t>8</w:t>
            </w:r>
            <w:r w:rsidR="00150619" w:rsidRPr="00E25DAB">
              <w:rPr>
                <w:noProof/>
                <w:webHidden/>
              </w:rPr>
              <w:fldChar w:fldCharType="end"/>
            </w:r>
          </w:hyperlink>
        </w:p>
        <w:p w14:paraId="451DCDD6" w14:textId="77777777" w:rsidR="00150619" w:rsidRPr="00E25DAB" w:rsidRDefault="00907E3B">
          <w:pPr>
            <w:pStyle w:val="Turinys2"/>
            <w:tabs>
              <w:tab w:val="right" w:leader="dot" w:pos="9628"/>
            </w:tabs>
            <w:rPr>
              <w:rFonts w:eastAsiaTheme="minorEastAsia"/>
              <w:noProof/>
              <w:lang w:eastAsia="lt-LT"/>
            </w:rPr>
          </w:pPr>
          <w:hyperlink w:anchor="_Toc19877685" w:history="1">
            <w:r w:rsidR="00150619" w:rsidRPr="00E25DAB">
              <w:rPr>
                <w:rStyle w:val="Hipersaitas"/>
                <w:rFonts w:eastAsia="Calibri"/>
                <w:bCs/>
                <w:i/>
                <w:iCs/>
                <w:noProof/>
              </w:rPr>
              <w:t>Sa-Capital Oy prieš Suomiją</w:t>
            </w:r>
            <w:r w:rsidR="00150619" w:rsidRPr="00E25DAB">
              <w:rPr>
                <w:noProof/>
                <w:webHidden/>
              </w:rPr>
              <w:tab/>
            </w:r>
            <w:r w:rsidR="00150619" w:rsidRPr="00E25DAB">
              <w:rPr>
                <w:noProof/>
                <w:webHidden/>
              </w:rPr>
              <w:fldChar w:fldCharType="begin"/>
            </w:r>
            <w:r w:rsidR="00150619" w:rsidRPr="00E25DAB">
              <w:rPr>
                <w:noProof/>
                <w:webHidden/>
              </w:rPr>
              <w:instrText xml:space="preserve"> PAGEREF _Toc19877685 \h </w:instrText>
            </w:r>
            <w:r w:rsidR="00150619" w:rsidRPr="00E25DAB">
              <w:rPr>
                <w:noProof/>
                <w:webHidden/>
              </w:rPr>
            </w:r>
            <w:r w:rsidR="00150619" w:rsidRPr="00E25DAB">
              <w:rPr>
                <w:noProof/>
                <w:webHidden/>
              </w:rPr>
              <w:fldChar w:fldCharType="separate"/>
            </w:r>
            <w:r w:rsidR="00150619" w:rsidRPr="00E25DAB">
              <w:rPr>
                <w:noProof/>
                <w:webHidden/>
              </w:rPr>
              <w:t>9</w:t>
            </w:r>
            <w:r w:rsidR="00150619" w:rsidRPr="00E25DAB">
              <w:rPr>
                <w:noProof/>
                <w:webHidden/>
              </w:rPr>
              <w:fldChar w:fldCharType="end"/>
            </w:r>
          </w:hyperlink>
        </w:p>
        <w:p w14:paraId="236E6E79" w14:textId="77777777" w:rsidR="00150619" w:rsidRPr="00E25DAB" w:rsidRDefault="00907E3B">
          <w:pPr>
            <w:pStyle w:val="Turinys3"/>
            <w:tabs>
              <w:tab w:val="right" w:leader="dot" w:pos="9628"/>
            </w:tabs>
            <w:rPr>
              <w:rFonts w:eastAsiaTheme="minorEastAsia"/>
              <w:noProof/>
              <w:lang w:eastAsia="lt-LT"/>
            </w:rPr>
          </w:pPr>
          <w:hyperlink w:anchor="_Toc19877686" w:history="1">
            <w:r w:rsidR="00150619" w:rsidRPr="00E25DAB">
              <w:rPr>
                <w:rStyle w:val="Hipersaitas"/>
                <w:rFonts w:eastAsia="Calibri" w:cs="Times New Roman"/>
                <w:noProof/>
              </w:rPr>
              <w:t>Dėl teisės į teisingą teismą ir nekaltumo prezumpcijos</w:t>
            </w:r>
            <w:r w:rsidR="00150619" w:rsidRPr="00E25DAB">
              <w:rPr>
                <w:noProof/>
                <w:webHidden/>
              </w:rPr>
              <w:tab/>
            </w:r>
            <w:r w:rsidR="00150619" w:rsidRPr="00E25DAB">
              <w:rPr>
                <w:noProof/>
                <w:webHidden/>
              </w:rPr>
              <w:fldChar w:fldCharType="begin"/>
            </w:r>
            <w:r w:rsidR="00150619" w:rsidRPr="00E25DAB">
              <w:rPr>
                <w:noProof/>
                <w:webHidden/>
              </w:rPr>
              <w:instrText xml:space="preserve"> PAGEREF _Toc19877686 \h </w:instrText>
            </w:r>
            <w:r w:rsidR="00150619" w:rsidRPr="00E25DAB">
              <w:rPr>
                <w:noProof/>
                <w:webHidden/>
              </w:rPr>
            </w:r>
            <w:r w:rsidR="00150619" w:rsidRPr="00E25DAB">
              <w:rPr>
                <w:noProof/>
                <w:webHidden/>
              </w:rPr>
              <w:fldChar w:fldCharType="separate"/>
            </w:r>
            <w:r w:rsidR="00150619" w:rsidRPr="00E25DAB">
              <w:rPr>
                <w:noProof/>
                <w:webHidden/>
              </w:rPr>
              <w:t>9</w:t>
            </w:r>
            <w:r w:rsidR="00150619" w:rsidRPr="00E25DAB">
              <w:rPr>
                <w:noProof/>
                <w:webHidden/>
              </w:rPr>
              <w:fldChar w:fldCharType="end"/>
            </w:r>
          </w:hyperlink>
        </w:p>
        <w:p w14:paraId="5E90E8BA" w14:textId="77777777" w:rsidR="00150619" w:rsidRPr="00E25DAB" w:rsidRDefault="00907E3B">
          <w:pPr>
            <w:pStyle w:val="Turinys2"/>
            <w:tabs>
              <w:tab w:val="right" w:leader="dot" w:pos="9628"/>
            </w:tabs>
            <w:rPr>
              <w:rFonts w:eastAsiaTheme="minorEastAsia"/>
              <w:noProof/>
              <w:lang w:eastAsia="lt-LT"/>
            </w:rPr>
          </w:pPr>
          <w:hyperlink w:anchor="_Toc19877687" w:history="1">
            <w:r w:rsidR="00150619" w:rsidRPr="00E25DAB">
              <w:rPr>
                <w:rStyle w:val="Hipersaitas"/>
                <w:rFonts w:eastAsia="Calibri"/>
                <w:i/>
                <w:noProof/>
              </w:rPr>
              <w:t>Arnaboldi prieš Italiją</w:t>
            </w:r>
            <w:r w:rsidR="00150619" w:rsidRPr="00E25DAB">
              <w:rPr>
                <w:noProof/>
                <w:webHidden/>
              </w:rPr>
              <w:tab/>
            </w:r>
            <w:r w:rsidR="00150619" w:rsidRPr="00E25DAB">
              <w:rPr>
                <w:noProof/>
                <w:webHidden/>
              </w:rPr>
              <w:fldChar w:fldCharType="begin"/>
            </w:r>
            <w:r w:rsidR="00150619" w:rsidRPr="00E25DAB">
              <w:rPr>
                <w:noProof/>
                <w:webHidden/>
              </w:rPr>
              <w:instrText xml:space="preserve"> PAGEREF _Toc19877687 \h </w:instrText>
            </w:r>
            <w:r w:rsidR="00150619" w:rsidRPr="00E25DAB">
              <w:rPr>
                <w:noProof/>
                <w:webHidden/>
              </w:rPr>
            </w:r>
            <w:r w:rsidR="00150619" w:rsidRPr="00E25DAB">
              <w:rPr>
                <w:noProof/>
                <w:webHidden/>
              </w:rPr>
              <w:fldChar w:fldCharType="separate"/>
            </w:r>
            <w:r w:rsidR="00150619" w:rsidRPr="00E25DAB">
              <w:rPr>
                <w:noProof/>
                <w:webHidden/>
              </w:rPr>
              <w:t>10</w:t>
            </w:r>
            <w:r w:rsidR="00150619" w:rsidRPr="00E25DAB">
              <w:rPr>
                <w:noProof/>
                <w:webHidden/>
              </w:rPr>
              <w:fldChar w:fldCharType="end"/>
            </w:r>
          </w:hyperlink>
        </w:p>
        <w:p w14:paraId="783D206D" w14:textId="77777777" w:rsidR="00150619" w:rsidRPr="00E25DAB" w:rsidRDefault="00907E3B">
          <w:pPr>
            <w:pStyle w:val="Turinys3"/>
            <w:tabs>
              <w:tab w:val="right" w:leader="dot" w:pos="9628"/>
            </w:tabs>
            <w:rPr>
              <w:rFonts w:eastAsiaTheme="minorEastAsia"/>
              <w:noProof/>
              <w:lang w:eastAsia="lt-LT"/>
            </w:rPr>
          </w:pPr>
          <w:hyperlink w:anchor="_Toc19877688" w:history="1">
            <w:r w:rsidR="00150619" w:rsidRPr="00E25DAB">
              <w:rPr>
                <w:rStyle w:val="Hipersaitas"/>
                <w:rFonts w:ascii="Calibri" w:hAnsi="Calibri" w:cs="Calibri"/>
                <w:noProof/>
              </w:rPr>
              <w:t>Dėl valstybės pareigos užtikrinti, kad asmeniui būtų išmokėta teismo sprendimu priteista kompensacija už visuomenės poreikiams paimtą turtą</w:t>
            </w:r>
            <w:r w:rsidR="00150619" w:rsidRPr="00E25DAB">
              <w:rPr>
                <w:noProof/>
                <w:webHidden/>
              </w:rPr>
              <w:tab/>
            </w:r>
            <w:r w:rsidR="00150619" w:rsidRPr="00E25DAB">
              <w:rPr>
                <w:noProof/>
                <w:webHidden/>
              </w:rPr>
              <w:fldChar w:fldCharType="begin"/>
            </w:r>
            <w:r w:rsidR="00150619" w:rsidRPr="00E25DAB">
              <w:rPr>
                <w:noProof/>
                <w:webHidden/>
              </w:rPr>
              <w:instrText xml:space="preserve"> PAGEREF _Toc19877688 \h </w:instrText>
            </w:r>
            <w:r w:rsidR="00150619" w:rsidRPr="00E25DAB">
              <w:rPr>
                <w:noProof/>
                <w:webHidden/>
              </w:rPr>
            </w:r>
            <w:r w:rsidR="00150619" w:rsidRPr="00E25DAB">
              <w:rPr>
                <w:noProof/>
                <w:webHidden/>
              </w:rPr>
              <w:fldChar w:fldCharType="separate"/>
            </w:r>
            <w:r w:rsidR="00150619" w:rsidRPr="00E25DAB">
              <w:rPr>
                <w:noProof/>
                <w:webHidden/>
              </w:rPr>
              <w:t>10</w:t>
            </w:r>
            <w:r w:rsidR="00150619" w:rsidRPr="00E25DAB">
              <w:rPr>
                <w:noProof/>
                <w:webHidden/>
              </w:rPr>
              <w:fldChar w:fldCharType="end"/>
            </w:r>
          </w:hyperlink>
        </w:p>
        <w:p w14:paraId="5C11F546" w14:textId="77777777" w:rsidR="00150619" w:rsidRPr="00E25DAB" w:rsidRDefault="00907E3B">
          <w:pPr>
            <w:pStyle w:val="Turinys2"/>
            <w:tabs>
              <w:tab w:val="right" w:leader="dot" w:pos="9628"/>
            </w:tabs>
            <w:rPr>
              <w:rFonts w:eastAsiaTheme="minorEastAsia"/>
              <w:noProof/>
              <w:lang w:eastAsia="lt-LT"/>
            </w:rPr>
          </w:pPr>
          <w:hyperlink w:anchor="_Toc19877689" w:history="1">
            <w:r w:rsidR="00150619" w:rsidRPr="00E25DAB">
              <w:rPr>
                <w:rStyle w:val="Hipersaitas"/>
                <w:rFonts w:eastAsia="Calibri"/>
                <w:i/>
                <w:noProof/>
              </w:rPr>
              <w:t>Sine Tsaggarakis A.E.E. prieš Graikiją</w:t>
            </w:r>
            <w:r w:rsidR="00150619" w:rsidRPr="00E25DAB">
              <w:rPr>
                <w:noProof/>
                <w:webHidden/>
              </w:rPr>
              <w:tab/>
            </w:r>
            <w:r w:rsidR="00150619" w:rsidRPr="00E25DAB">
              <w:rPr>
                <w:noProof/>
                <w:webHidden/>
              </w:rPr>
              <w:fldChar w:fldCharType="begin"/>
            </w:r>
            <w:r w:rsidR="00150619" w:rsidRPr="00E25DAB">
              <w:rPr>
                <w:noProof/>
                <w:webHidden/>
              </w:rPr>
              <w:instrText xml:space="preserve"> PAGEREF _Toc19877689 \h </w:instrText>
            </w:r>
            <w:r w:rsidR="00150619" w:rsidRPr="00E25DAB">
              <w:rPr>
                <w:noProof/>
                <w:webHidden/>
              </w:rPr>
            </w:r>
            <w:r w:rsidR="00150619" w:rsidRPr="00E25DAB">
              <w:rPr>
                <w:noProof/>
                <w:webHidden/>
              </w:rPr>
              <w:fldChar w:fldCharType="separate"/>
            </w:r>
            <w:r w:rsidR="00150619" w:rsidRPr="00E25DAB">
              <w:rPr>
                <w:noProof/>
                <w:webHidden/>
              </w:rPr>
              <w:t>11</w:t>
            </w:r>
            <w:r w:rsidR="00150619" w:rsidRPr="00E25DAB">
              <w:rPr>
                <w:noProof/>
                <w:webHidden/>
              </w:rPr>
              <w:fldChar w:fldCharType="end"/>
            </w:r>
          </w:hyperlink>
        </w:p>
        <w:p w14:paraId="37FB6C0D" w14:textId="77777777" w:rsidR="00150619" w:rsidRPr="00E25DAB" w:rsidRDefault="00907E3B">
          <w:pPr>
            <w:pStyle w:val="Turinys3"/>
            <w:tabs>
              <w:tab w:val="right" w:leader="dot" w:pos="9628"/>
            </w:tabs>
            <w:rPr>
              <w:rFonts w:eastAsiaTheme="minorEastAsia"/>
              <w:noProof/>
              <w:lang w:eastAsia="lt-LT"/>
            </w:rPr>
          </w:pPr>
          <w:hyperlink w:anchor="_Toc19877690" w:history="1">
            <w:r w:rsidR="00150619" w:rsidRPr="00E25DAB">
              <w:rPr>
                <w:rStyle w:val="Hipersaitas"/>
                <w:rFonts w:ascii="Calibri" w:eastAsia="Calibri" w:hAnsi="Calibri" w:cs="Calibri"/>
                <w:noProof/>
              </w:rPr>
              <w:t>Dėl teisinio netikrumo, susijusio su Graikijos vyriausiojo administracinio teismo praktikos išsiskyrimu</w:t>
            </w:r>
            <w:r w:rsidR="00150619" w:rsidRPr="00E25DAB">
              <w:rPr>
                <w:noProof/>
                <w:webHidden/>
              </w:rPr>
              <w:tab/>
            </w:r>
            <w:r w:rsidR="00150619" w:rsidRPr="00E25DAB">
              <w:rPr>
                <w:noProof/>
                <w:webHidden/>
              </w:rPr>
              <w:fldChar w:fldCharType="begin"/>
            </w:r>
            <w:r w:rsidR="00150619" w:rsidRPr="00E25DAB">
              <w:rPr>
                <w:noProof/>
                <w:webHidden/>
              </w:rPr>
              <w:instrText xml:space="preserve"> PAGEREF _Toc19877690 \h </w:instrText>
            </w:r>
            <w:r w:rsidR="00150619" w:rsidRPr="00E25DAB">
              <w:rPr>
                <w:noProof/>
                <w:webHidden/>
              </w:rPr>
            </w:r>
            <w:r w:rsidR="00150619" w:rsidRPr="00E25DAB">
              <w:rPr>
                <w:noProof/>
                <w:webHidden/>
              </w:rPr>
              <w:fldChar w:fldCharType="separate"/>
            </w:r>
            <w:r w:rsidR="00150619" w:rsidRPr="00E25DAB">
              <w:rPr>
                <w:noProof/>
                <w:webHidden/>
              </w:rPr>
              <w:t>11</w:t>
            </w:r>
            <w:r w:rsidR="00150619" w:rsidRPr="00E25DAB">
              <w:rPr>
                <w:noProof/>
                <w:webHidden/>
              </w:rPr>
              <w:fldChar w:fldCharType="end"/>
            </w:r>
          </w:hyperlink>
        </w:p>
        <w:p w14:paraId="436CFE99" w14:textId="77777777" w:rsidR="00150619" w:rsidRPr="00E25DAB" w:rsidRDefault="00907E3B">
          <w:pPr>
            <w:pStyle w:val="Turinys2"/>
            <w:tabs>
              <w:tab w:val="right" w:leader="dot" w:pos="9628"/>
            </w:tabs>
            <w:rPr>
              <w:rFonts w:eastAsiaTheme="minorEastAsia"/>
              <w:noProof/>
              <w:lang w:eastAsia="lt-LT"/>
            </w:rPr>
          </w:pPr>
          <w:hyperlink w:anchor="_Toc19877691" w:history="1">
            <w:r w:rsidR="00150619" w:rsidRPr="00E25DAB">
              <w:rPr>
                <w:rStyle w:val="Hipersaitas"/>
                <w:rFonts w:eastAsia="Calibri"/>
                <w:i/>
                <w:noProof/>
              </w:rPr>
              <w:t>Loupas prieš Graikiją</w:t>
            </w:r>
            <w:r w:rsidR="00150619" w:rsidRPr="00E25DAB">
              <w:rPr>
                <w:noProof/>
                <w:webHidden/>
              </w:rPr>
              <w:tab/>
            </w:r>
            <w:r w:rsidR="00150619" w:rsidRPr="00E25DAB">
              <w:rPr>
                <w:noProof/>
                <w:webHidden/>
              </w:rPr>
              <w:fldChar w:fldCharType="begin"/>
            </w:r>
            <w:r w:rsidR="00150619" w:rsidRPr="00E25DAB">
              <w:rPr>
                <w:noProof/>
                <w:webHidden/>
              </w:rPr>
              <w:instrText xml:space="preserve"> PAGEREF _Toc19877691 \h </w:instrText>
            </w:r>
            <w:r w:rsidR="00150619" w:rsidRPr="00E25DAB">
              <w:rPr>
                <w:noProof/>
                <w:webHidden/>
              </w:rPr>
            </w:r>
            <w:r w:rsidR="00150619" w:rsidRPr="00E25DAB">
              <w:rPr>
                <w:noProof/>
                <w:webHidden/>
              </w:rPr>
              <w:fldChar w:fldCharType="separate"/>
            </w:r>
            <w:r w:rsidR="00150619" w:rsidRPr="00E25DAB">
              <w:rPr>
                <w:noProof/>
                <w:webHidden/>
              </w:rPr>
              <w:t>13</w:t>
            </w:r>
            <w:r w:rsidR="00150619" w:rsidRPr="00E25DAB">
              <w:rPr>
                <w:noProof/>
                <w:webHidden/>
              </w:rPr>
              <w:fldChar w:fldCharType="end"/>
            </w:r>
          </w:hyperlink>
        </w:p>
        <w:p w14:paraId="476FFF2F" w14:textId="77777777" w:rsidR="00150619" w:rsidRPr="00E25DAB" w:rsidRDefault="00907E3B">
          <w:pPr>
            <w:pStyle w:val="Turinys3"/>
            <w:tabs>
              <w:tab w:val="right" w:leader="dot" w:pos="9628"/>
            </w:tabs>
            <w:rPr>
              <w:rFonts w:eastAsiaTheme="minorEastAsia"/>
              <w:noProof/>
              <w:lang w:eastAsia="lt-LT"/>
            </w:rPr>
          </w:pPr>
          <w:hyperlink w:anchor="_Toc19877692" w:history="1">
            <w:r w:rsidR="00150619" w:rsidRPr="00E25DAB">
              <w:rPr>
                <w:rStyle w:val="Hipersaitas"/>
                <w:rFonts w:ascii="Calibri" w:hAnsi="Calibri" w:cs="Calibri"/>
                <w:noProof/>
              </w:rPr>
              <w:t>Dėl teismo pareigos įvertinti skirtingą valstybės poziciją atskirose bylose</w:t>
            </w:r>
            <w:r w:rsidR="00150619" w:rsidRPr="00E25DAB">
              <w:rPr>
                <w:noProof/>
                <w:webHidden/>
              </w:rPr>
              <w:tab/>
            </w:r>
            <w:r w:rsidR="00150619" w:rsidRPr="00E25DAB">
              <w:rPr>
                <w:noProof/>
                <w:webHidden/>
              </w:rPr>
              <w:fldChar w:fldCharType="begin"/>
            </w:r>
            <w:r w:rsidR="00150619" w:rsidRPr="00E25DAB">
              <w:rPr>
                <w:noProof/>
                <w:webHidden/>
              </w:rPr>
              <w:instrText xml:space="preserve"> PAGEREF _Toc19877692 \h </w:instrText>
            </w:r>
            <w:r w:rsidR="00150619" w:rsidRPr="00E25DAB">
              <w:rPr>
                <w:noProof/>
                <w:webHidden/>
              </w:rPr>
            </w:r>
            <w:r w:rsidR="00150619" w:rsidRPr="00E25DAB">
              <w:rPr>
                <w:noProof/>
                <w:webHidden/>
              </w:rPr>
              <w:fldChar w:fldCharType="separate"/>
            </w:r>
            <w:r w:rsidR="00150619" w:rsidRPr="00E25DAB">
              <w:rPr>
                <w:noProof/>
                <w:webHidden/>
              </w:rPr>
              <w:t>13</w:t>
            </w:r>
            <w:r w:rsidR="00150619" w:rsidRPr="00E25DAB">
              <w:rPr>
                <w:noProof/>
                <w:webHidden/>
              </w:rPr>
              <w:fldChar w:fldCharType="end"/>
            </w:r>
          </w:hyperlink>
        </w:p>
        <w:p w14:paraId="2E9D927B" w14:textId="77777777" w:rsidR="00150619" w:rsidRPr="00E25DAB" w:rsidRDefault="00907E3B">
          <w:pPr>
            <w:pStyle w:val="Turinys1"/>
            <w:rPr>
              <w:rFonts w:eastAsiaTheme="minorEastAsia"/>
              <w:color w:val="auto"/>
              <w:lang w:eastAsia="lt-LT"/>
            </w:rPr>
          </w:pPr>
          <w:hyperlink w:anchor="_Toc19877693" w:history="1">
            <w:r w:rsidR="00150619" w:rsidRPr="00E25DAB">
              <w:rPr>
                <w:rStyle w:val="Hipersaitas"/>
                <w:rFonts w:ascii="Calibri" w:hAnsi="Calibri" w:cs="Calibri"/>
              </w:rPr>
              <w:t>TEISĖ Į PRIVATAUS IR ŠEIMOS GYVENIMO GERBIMĄ</w:t>
            </w:r>
            <w:r w:rsidR="00150619" w:rsidRPr="00E25DAB">
              <w:rPr>
                <w:rStyle w:val="Hipersaitas"/>
                <w:rFonts w:ascii="Calibri" w:hAnsi="Calibri" w:cs="Calibri"/>
                <w:bCs/>
              </w:rPr>
              <w:t xml:space="preserve"> (8 straipsnis)</w:t>
            </w:r>
            <w:r w:rsidR="00150619" w:rsidRPr="00E25DAB">
              <w:rPr>
                <w:webHidden/>
              </w:rPr>
              <w:tab/>
            </w:r>
            <w:r w:rsidR="00150619" w:rsidRPr="00E25DAB">
              <w:rPr>
                <w:webHidden/>
              </w:rPr>
              <w:fldChar w:fldCharType="begin"/>
            </w:r>
            <w:r w:rsidR="00150619" w:rsidRPr="00E25DAB">
              <w:rPr>
                <w:webHidden/>
              </w:rPr>
              <w:instrText xml:space="preserve"> PAGEREF _Toc19877693 \h </w:instrText>
            </w:r>
            <w:r w:rsidR="00150619" w:rsidRPr="00E25DAB">
              <w:rPr>
                <w:webHidden/>
              </w:rPr>
            </w:r>
            <w:r w:rsidR="00150619" w:rsidRPr="00E25DAB">
              <w:rPr>
                <w:webHidden/>
              </w:rPr>
              <w:fldChar w:fldCharType="separate"/>
            </w:r>
            <w:r w:rsidR="00150619" w:rsidRPr="00E25DAB">
              <w:rPr>
                <w:webHidden/>
              </w:rPr>
              <w:t>13</w:t>
            </w:r>
            <w:r w:rsidR="00150619" w:rsidRPr="00E25DAB">
              <w:rPr>
                <w:webHidden/>
              </w:rPr>
              <w:fldChar w:fldCharType="end"/>
            </w:r>
          </w:hyperlink>
        </w:p>
        <w:p w14:paraId="6E093B71" w14:textId="77777777" w:rsidR="00150619" w:rsidRPr="00E25DAB" w:rsidRDefault="00907E3B">
          <w:pPr>
            <w:pStyle w:val="Turinys2"/>
            <w:tabs>
              <w:tab w:val="right" w:leader="dot" w:pos="9628"/>
            </w:tabs>
            <w:rPr>
              <w:rFonts w:eastAsiaTheme="minorEastAsia"/>
              <w:noProof/>
              <w:lang w:eastAsia="lt-LT"/>
            </w:rPr>
          </w:pPr>
          <w:hyperlink w:anchor="_Toc19877694" w:history="1">
            <w:r w:rsidR="00150619" w:rsidRPr="00E25DAB">
              <w:rPr>
                <w:rStyle w:val="Hipersaitas"/>
                <w:rFonts w:eastAsia="Calibri"/>
                <w:i/>
                <w:noProof/>
              </w:rPr>
              <w:t>Cordella ir kiti prieš Italiją</w:t>
            </w:r>
            <w:r w:rsidR="00150619" w:rsidRPr="00E25DAB">
              <w:rPr>
                <w:noProof/>
                <w:webHidden/>
              </w:rPr>
              <w:tab/>
            </w:r>
            <w:r w:rsidR="00150619" w:rsidRPr="00E25DAB">
              <w:rPr>
                <w:noProof/>
                <w:webHidden/>
              </w:rPr>
              <w:fldChar w:fldCharType="begin"/>
            </w:r>
            <w:r w:rsidR="00150619" w:rsidRPr="00E25DAB">
              <w:rPr>
                <w:noProof/>
                <w:webHidden/>
              </w:rPr>
              <w:instrText xml:space="preserve"> PAGEREF _Toc19877694 \h </w:instrText>
            </w:r>
            <w:r w:rsidR="00150619" w:rsidRPr="00E25DAB">
              <w:rPr>
                <w:noProof/>
                <w:webHidden/>
              </w:rPr>
            </w:r>
            <w:r w:rsidR="00150619" w:rsidRPr="00E25DAB">
              <w:rPr>
                <w:noProof/>
                <w:webHidden/>
              </w:rPr>
              <w:fldChar w:fldCharType="separate"/>
            </w:r>
            <w:r w:rsidR="00150619" w:rsidRPr="00E25DAB">
              <w:rPr>
                <w:noProof/>
                <w:webHidden/>
              </w:rPr>
              <w:t>13</w:t>
            </w:r>
            <w:r w:rsidR="00150619" w:rsidRPr="00E25DAB">
              <w:rPr>
                <w:noProof/>
                <w:webHidden/>
              </w:rPr>
              <w:fldChar w:fldCharType="end"/>
            </w:r>
          </w:hyperlink>
        </w:p>
        <w:p w14:paraId="733A582E" w14:textId="77777777" w:rsidR="00150619" w:rsidRPr="00E25DAB" w:rsidRDefault="00907E3B">
          <w:pPr>
            <w:pStyle w:val="Turinys3"/>
            <w:tabs>
              <w:tab w:val="right" w:leader="dot" w:pos="9628"/>
            </w:tabs>
            <w:rPr>
              <w:rFonts w:eastAsiaTheme="minorEastAsia"/>
              <w:noProof/>
              <w:lang w:eastAsia="lt-LT"/>
            </w:rPr>
          </w:pPr>
          <w:hyperlink w:anchor="_Toc19877695" w:history="1">
            <w:r w:rsidR="00150619" w:rsidRPr="00E25DAB">
              <w:rPr>
                <w:rStyle w:val="Hipersaitas"/>
                <w:rFonts w:cstheme="minorHAnsi"/>
                <w:noProof/>
                <w:shd w:val="clear" w:color="auto" w:fill="FFFFFF"/>
                <w:lang w:eastAsia="lt-LT"/>
              </w:rPr>
              <w:t>Dėl valdžios institucijų negebėjimo apginti pareiškėjus, gyvenančius nuodingomis medžiagomis užterštose teritorijose</w:t>
            </w:r>
            <w:r w:rsidR="00150619" w:rsidRPr="00E25DAB">
              <w:rPr>
                <w:noProof/>
                <w:webHidden/>
              </w:rPr>
              <w:tab/>
            </w:r>
            <w:r w:rsidR="00150619" w:rsidRPr="00E25DAB">
              <w:rPr>
                <w:noProof/>
                <w:webHidden/>
              </w:rPr>
              <w:fldChar w:fldCharType="begin"/>
            </w:r>
            <w:r w:rsidR="00150619" w:rsidRPr="00E25DAB">
              <w:rPr>
                <w:noProof/>
                <w:webHidden/>
              </w:rPr>
              <w:instrText xml:space="preserve"> PAGEREF _Toc19877695 \h </w:instrText>
            </w:r>
            <w:r w:rsidR="00150619" w:rsidRPr="00E25DAB">
              <w:rPr>
                <w:noProof/>
                <w:webHidden/>
              </w:rPr>
            </w:r>
            <w:r w:rsidR="00150619" w:rsidRPr="00E25DAB">
              <w:rPr>
                <w:noProof/>
                <w:webHidden/>
              </w:rPr>
              <w:fldChar w:fldCharType="separate"/>
            </w:r>
            <w:r w:rsidR="00150619" w:rsidRPr="00E25DAB">
              <w:rPr>
                <w:noProof/>
                <w:webHidden/>
              </w:rPr>
              <w:t>14</w:t>
            </w:r>
            <w:r w:rsidR="00150619" w:rsidRPr="00E25DAB">
              <w:rPr>
                <w:noProof/>
                <w:webHidden/>
              </w:rPr>
              <w:fldChar w:fldCharType="end"/>
            </w:r>
          </w:hyperlink>
        </w:p>
        <w:p w14:paraId="2055DFEA" w14:textId="77777777" w:rsidR="00150619" w:rsidRPr="00E25DAB" w:rsidRDefault="00907E3B">
          <w:pPr>
            <w:pStyle w:val="Turinys2"/>
            <w:tabs>
              <w:tab w:val="right" w:leader="dot" w:pos="9628"/>
            </w:tabs>
            <w:rPr>
              <w:rFonts w:eastAsiaTheme="minorEastAsia"/>
              <w:noProof/>
              <w:lang w:eastAsia="lt-LT"/>
            </w:rPr>
          </w:pPr>
          <w:hyperlink w:anchor="_Toc19877696" w:history="1">
            <w:r w:rsidR="00150619" w:rsidRPr="00E25DAB">
              <w:rPr>
                <w:rStyle w:val="Hipersaitas"/>
                <w:rFonts w:eastAsia="Calibri"/>
                <w:i/>
                <w:noProof/>
              </w:rPr>
              <w:t>Høiness prieš Norvegiją</w:t>
            </w:r>
            <w:r w:rsidR="00150619" w:rsidRPr="00E25DAB">
              <w:rPr>
                <w:noProof/>
                <w:webHidden/>
              </w:rPr>
              <w:tab/>
            </w:r>
            <w:r w:rsidR="00150619" w:rsidRPr="00E25DAB">
              <w:rPr>
                <w:noProof/>
                <w:webHidden/>
              </w:rPr>
              <w:fldChar w:fldCharType="begin"/>
            </w:r>
            <w:r w:rsidR="00150619" w:rsidRPr="00E25DAB">
              <w:rPr>
                <w:noProof/>
                <w:webHidden/>
              </w:rPr>
              <w:instrText xml:space="preserve"> PAGEREF _Toc19877696 \h </w:instrText>
            </w:r>
            <w:r w:rsidR="00150619" w:rsidRPr="00E25DAB">
              <w:rPr>
                <w:noProof/>
                <w:webHidden/>
              </w:rPr>
            </w:r>
            <w:r w:rsidR="00150619" w:rsidRPr="00E25DAB">
              <w:rPr>
                <w:noProof/>
                <w:webHidden/>
              </w:rPr>
              <w:fldChar w:fldCharType="separate"/>
            </w:r>
            <w:r w:rsidR="00150619" w:rsidRPr="00E25DAB">
              <w:rPr>
                <w:noProof/>
                <w:webHidden/>
              </w:rPr>
              <w:t>15</w:t>
            </w:r>
            <w:r w:rsidR="00150619" w:rsidRPr="00E25DAB">
              <w:rPr>
                <w:noProof/>
                <w:webHidden/>
              </w:rPr>
              <w:fldChar w:fldCharType="end"/>
            </w:r>
          </w:hyperlink>
        </w:p>
        <w:p w14:paraId="197BC996" w14:textId="77777777" w:rsidR="00150619" w:rsidRPr="00E25DAB" w:rsidRDefault="00907E3B">
          <w:pPr>
            <w:pStyle w:val="Turinys3"/>
            <w:tabs>
              <w:tab w:val="right" w:leader="dot" w:pos="9628"/>
            </w:tabs>
            <w:rPr>
              <w:rFonts w:eastAsiaTheme="minorEastAsia"/>
              <w:noProof/>
              <w:lang w:eastAsia="lt-LT"/>
            </w:rPr>
          </w:pPr>
          <w:hyperlink w:anchor="_Toc19877697" w:history="1">
            <w:r w:rsidR="00150619" w:rsidRPr="00E25DAB">
              <w:rPr>
                <w:rStyle w:val="Hipersaitas"/>
                <w:rFonts w:ascii="Calibri" w:eastAsia="Calibri" w:hAnsi="Calibri" w:cs="Calibri"/>
                <w:iCs/>
                <w:noProof/>
              </w:rPr>
              <w:t>Dėl interneto naujienų portalo atsakomybės už asmenybės neatskleidžiančių trečiųjų asmenų skelbiamus komentarus</w:t>
            </w:r>
            <w:r w:rsidR="00150619" w:rsidRPr="00E25DAB">
              <w:rPr>
                <w:noProof/>
                <w:webHidden/>
              </w:rPr>
              <w:tab/>
            </w:r>
            <w:r w:rsidR="00150619" w:rsidRPr="00E25DAB">
              <w:rPr>
                <w:noProof/>
                <w:webHidden/>
              </w:rPr>
              <w:fldChar w:fldCharType="begin"/>
            </w:r>
            <w:r w:rsidR="00150619" w:rsidRPr="00E25DAB">
              <w:rPr>
                <w:noProof/>
                <w:webHidden/>
              </w:rPr>
              <w:instrText xml:space="preserve"> PAGEREF _Toc19877697 \h </w:instrText>
            </w:r>
            <w:r w:rsidR="00150619" w:rsidRPr="00E25DAB">
              <w:rPr>
                <w:noProof/>
                <w:webHidden/>
              </w:rPr>
            </w:r>
            <w:r w:rsidR="00150619" w:rsidRPr="00E25DAB">
              <w:rPr>
                <w:noProof/>
                <w:webHidden/>
              </w:rPr>
              <w:fldChar w:fldCharType="separate"/>
            </w:r>
            <w:r w:rsidR="00150619" w:rsidRPr="00E25DAB">
              <w:rPr>
                <w:noProof/>
                <w:webHidden/>
              </w:rPr>
              <w:t>15</w:t>
            </w:r>
            <w:r w:rsidR="00150619" w:rsidRPr="00E25DAB">
              <w:rPr>
                <w:noProof/>
                <w:webHidden/>
              </w:rPr>
              <w:fldChar w:fldCharType="end"/>
            </w:r>
          </w:hyperlink>
        </w:p>
        <w:p w14:paraId="3CF12E19" w14:textId="77777777" w:rsidR="00150619" w:rsidRPr="00E25DAB" w:rsidRDefault="00907E3B">
          <w:pPr>
            <w:pStyle w:val="Turinys2"/>
            <w:tabs>
              <w:tab w:val="right" w:leader="dot" w:pos="9628"/>
            </w:tabs>
            <w:rPr>
              <w:rFonts w:eastAsiaTheme="minorEastAsia"/>
              <w:noProof/>
              <w:lang w:eastAsia="lt-LT"/>
            </w:rPr>
          </w:pPr>
          <w:hyperlink w:anchor="_Toc19877698" w:history="1">
            <w:r w:rsidR="00150619" w:rsidRPr="00E25DAB">
              <w:rPr>
                <w:rStyle w:val="Hipersaitas"/>
                <w:rFonts w:eastAsia="Calibri"/>
                <w:i/>
                <w:noProof/>
              </w:rPr>
              <w:t>Guimon prieš Prancūziją</w:t>
            </w:r>
            <w:r w:rsidR="00150619" w:rsidRPr="00E25DAB">
              <w:rPr>
                <w:noProof/>
                <w:webHidden/>
              </w:rPr>
              <w:tab/>
            </w:r>
            <w:r w:rsidR="00150619" w:rsidRPr="00E25DAB">
              <w:rPr>
                <w:noProof/>
                <w:webHidden/>
              </w:rPr>
              <w:fldChar w:fldCharType="begin"/>
            </w:r>
            <w:r w:rsidR="00150619" w:rsidRPr="00E25DAB">
              <w:rPr>
                <w:noProof/>
                <w:webHidden/>
              </w:rPr>
              <w:instrText xml:space="preserve"> PAGEREF _Toc19877698 \h </w:instrText>
            </w:r>
            <w:r w:rsidR="00150619" w:rsidRPr="00E25DAB">
              <w:rPr>
                <w:noProof/>
                <w:webHidden/>
              </w:rPr>
            </w:r>
            <w:r w:rsidR="00150619" w:rsidRPr="00E25DAB">
              <w:rPr>
                <w:noProof/>
                <w:webHidden/>
              </w:rPr>
              <w:fldChar w:fldCharType="separate"/>
            </w:r>
            <w:r w:rsidR="00150619" w:rsidRPr="00E25DAB">
              <w:rPr>
                <w:noProof/>
                <w:webHidden/>
              </w:rPr>
              <w:t>16</w:t>
            </w:r>
            <w:r w:rsidR="00150619" w:rsidRPr="00E25DAB">
              <w:rPr>
                <w:noProof/>
                <w:webHidden/>
              </w:rPr>
              <w:fldChar w:fldCharType="end"/>
            </w:r>
          </w:hyperlink>
        </w:p>
        <w:p w14:paraId="0B824E2D" w14:textId="64CC2C74" w:rsidR="00150619" w:rsidRPr="00E25DAB" w:rsidRDefault="00907E3B">
          <w:pPr>
            <w:pStyle w:val="Turinys3"/>
            <w:tabs>
              <w:tab w:val="right" w:leader="dot" w:pos="9628"/>
            </w:tabs>
            <w:rPr>
              <w:rFonts w:eastAsiaTheme="minorEastAsia"/>
              <w:noProof/>
              <w:lang w:eastAsia="lt-LT"/>
            </w:rPr>
          </w:pPr>
          <w:hyperlink w:anchor="_Toc19877699" w:history="1">
            <w:r w:rsidR="00150619" w:rsidRPr="00E25DAB">
              <w:rPr>
                <w:rStyle w:val="Hipersaitas"/>
                <w:noProof/>
                <w:shd w:val="clear" w:color="auto" w:fill="FFFFFF"/>
                <w:lang w:eastAsia="lt-LT"/>
              </w:rPr>
              <w:t>Dėl atsisakymo leisti nuteistajai už teroristinius nusikaltimus išvykti su palyda į tėvo laidotuves</w:t>
            </w:r>
            <w:r w:rsidR="00150619" w:rsidRPr="00E25DAB">
              <w:rPr>
                <w:noProof/>
                <w:webHidden/>
              </w:rPr>
              <w:tab/>
            </w:r>
            <w:r w:rsidR="00150619" w:rsidRPr="00E25DAB">
              <w:rPr>
                <w:noProof/>
                <w:webHidden/>
              </w:rPr>
              <w:fldChar w:fldCharType="begin"/>
            </w:r>
            <w:r w:rsidR="00150619" w:rsidRPr="00E25DAB">
              <w:rPr>
                <w:noProof/>
                <w:webHidden/>
              </w:rPr>
              <w:instrText xml:space="preserve"> PAGEREF _Toc19877699 \h </w:instrText>
            </w:r>
            <w:r w:rsidR="00150619" w:rsidRPr="00E25DAB">
              <w:rPr>
                <w:noProof/>
                <w:webHidden/>
              </w:rPr>
            </w:r>
            <w:r w:rsidR="00150619" w:rsidRPr="00E25DAB">
              <w:rPr>
                <w:noProof/>
                <w:webHidden/>
              </w:rPr>
              <w:fldChar w:fldCharType="separate"/>
            </w:r>
            <w:r w:rsidR="00150619" w:rsidRPr="00E25DAB">
              <w:rPr>
                <w:noProof/>
                <w:webHidden/>
              </w:rPr>
              <w:t>16</w:t>
            </w:r>
            <w:r w:rsidR="00150619" w:rsidRPr="00E25DAB">
              <w:rPr>
                <w:noProof/>
                <w:webHidden/>
              </w:rPr>
              <w:fldChar w:fldCharType="end"/>
            </w:r>
          </w:hyperlink>
        </w:p>
        <w:p w14:paraId="20FDC6B4" w14:textId="77777777" w:rsidR="00150619" w:rsidRPr="00E25DAB" w:rsidRDefault="00907E3B">
          <w:pPr>
            <w:pStyle w:val="Turinys2"/>
            <w:tabs>
              <w:tab w:val="right" w:leader="dot" w:pos="9628"/>
            </w:tabs>
            <w:rPr>
              <w:rFonts w:eastAsiaTheme="minorEastAsia"/>
              <w:noProof/>
              <w:lang w:eastAsia="lt-LT"/>
            </w:rPr>
          </w:pPr>
          <w:hyperlink w:anchor="_Toc19877700" w:history="1">
            <w:r w:rsidR="00150619" w:rsidRPr="00E25DAB">
              <w:rPr>
                <w:rStyle w:val="Hipersaitas"/>
                <w:rFonts w:eastAsia="Calibri"/>
                <w:i/>
                <w:noProof/>
              </w:rPr>
              <w:t>Tasev prieš Šiaurės Makedoniją</w:t>
            </w:r>
            <w:r w:rsidR="00150619" w:rsidRPr="00E25DAB">
              <w:rPr>
                <w:noProof/>
                <w:webHidden/>
              </w:rPr>
              <w:tab/>
            </w:r>
            <w:r w:rsidR="00150619" w:rsidRPr="00E25DAB">
              <w:rPr>
                <w:noProof/>
                <w:webHidden/>
              </w:rPr>
              <w:fldChar w:fldCharType="begin"/>
            </w:r>
            <w:r w:rsidR="00150619" w:rsidRPr="00E25DAB">
              <w:rPr>
                <w:noProof/>
                <w:webHidden/>
              </w:rPr>
              <w:instrText xml:space="preserve"> PAGEREF _Toc19877700 \h </w:instrText>
            </w:r>
            <w:r w:rsidR="00150619" w:rsidRPr="00E25DAB">
              <w:rPr>
                <w:noProof/>
                <w:webHidden/>
              </w:rPr>
            </w:r>
            <w:r w:rsidR="00150619" w:rsidRPr="00E25DAB">
              <w:rPr>
                <w:noProof/>
                <w:webHidden/>
              </w:rPr>
              <w:fldChar w:fldCharType="separate"/>
            </w:r>
            <w:r w:rsidR="00150619" w:rsidRPr="00E25DAB">
              <w:rPr>
                <w:noProof/>
                <w:webHidden/>
              </w:rPr>
              <w:t>17</w:t>
            </w:r>
            <w:r w:rsidR="00150619" w:rsidRPr="00E25DAB">
              <w:rPr>
                <w:noProof/>
                <w:webHidden/>
              </w:rPr>
              <w:fldChar w:fldCharType="end"/>
            </w:r>
          </w:hyperlink>
        </w:p>
        <w:p w14:paraId="42BC9D44" w14:textId="77777777" w:rsidR="00150619" w:rsidRPr="00E25DAB" w:rsidRDefault="00907E3B">
          <w:pPr>
            <w:pStyle w:val="Turinys3"/>
            <w:tabs>
              <w:tab w:val="right" w:leader="dot" w:pos="9628"/>
            </w:tabs>
            <w:rPr>
              <w:rFonts w:eastAsiaTheme="minorEastAsia"/>
              <w:noProof/>
              <w:lang w:eastAsia="lt-LT"/>
            </w:rPr>
          </w:pPr>
          <w:hyperlink w:anchor="_Toc19877701" w:history="1">
            <w:r w:rsidR="00150619" w:rsidRPr="00E25DAB">
              <w:rPr>
                <w:rStyle w:val="Hipersaitas"/>
                <w:rFonts w:ascii="Calibri" w:eastAsia="Times New Roman" w:hAnsi="Calibri" w:cs="Calibri"/>
                <w:noProof/>
                <w:shd w:val="clear" w:color="auto" w:fill="FFFFFF"/>
                <w:lang w:eastAsia="lt-LT"/>
              </w:rPr>
              <w:t>Dėl atsisakymo tenkinti prašymą pakeisti tautybės įrašą, remiantis teisės aktuose nenumatytu pagrindu</w:t>
            </w:r>
            <w:r w:rsidR="00150619" w:rsidRPr="00E25DAB">
              <w:rPr>
                <w:noProof/>
                <w:webHidden/>
              </w:rPr>
              <w:tab/>
            </w:r>
            <w:r w:rsidR="00150619" w:rsidRPr="00E25DAB">
              <w:rPr>
                <w:noProof/>
                <w:webHidden/>
              </w:rPr>
              <w:fldChar w:fldCharType="begin"/>
            </w:r>
            <w:r w:rsidR="00150619" w:rsidRPr="00E25DAB">
              <w:rPr>
                <w:noProof/>
                <w:webHidden/>
              </w:rPr>
              <w:instrText xml:space="preserve"> PAGEREF _Toc19877701 \h </w:instrText>
            </w:r>
            <w:r w:rsidR="00150619" w:rsidRPr="00E25DAB">
              <w:rPr>
                <w:noProof/>
                <w:webHidden/>
              </w:rPr>
            </w:r>
            <w:r w:rsidR="00150619" w:rsidRPr="00E25DAB">
              <w:rPr>
                <w:noProof/>
                <w:webHidden/>
              </w:rPr>
              <w:fldChar w:fldCharType="separate"/>
            </w:r>
            <w:r w:rsidR="00150619" w:rsidRPr="00E25DAB">
              <w:rPr>
                <w:noProof/>
                <w:webHidden/>
              </w:rPr>
              <w:t>17</w:t>
            </w:r>
            <w:r w:rsidR="00150619" w:rsidRPr="00E25DAB">
              <w:rPr>
                <w:noProof/>
                <w:webHidden/>
              </w:rPr>
              <w:fldChar w:fldCharType="end"/>
            </w:r>
          </w:hyperlink>
        </w:p>
        <w:p w14:paraId="58EA042E" w14:textId="77777777" w:rsidR="00150619" w:rsidRPr="00E25DAB" w:rsidRDefault="00907E3B">
          <w:pPr>
            <w:pStyle w:val="Turinys2"/>
            <w:tabs>
              <w:tab w:val="right" w:leader="dot" w:pos="9628"/>
            </w:tabs>
            <w:rPr>
              <w:rFonts w:eastAsiaTheme="minorEastAsia"/>
              <w:noProof/>
              <w:lang w:eastAsia="lt-LT"/>
            </w:rPr>
          </w:pPr>
          <w:hyperlink w:anchor="_Toc19877702" w:history="1">
            <w:r w:rsidR="00150619" w:rsidRPr="00E25DAB">
              <w:rPr>
                <w:rStyle w:val="Hipersaitas"/>
                <w:i/>
                <w:noProof/>
              </w:rPr>
              <w:t>Chaldayev prieš Rusiją</w:t>
            </w:r>
            <w:r w:rsidR="00150619" w:rsidRPr="00E25DAB">
              <w:rPr>
                <w:noProof/>
                <w:webHidden/>
              </w:rPr>
              <w:tab/>
            </w:r>
            <w:r w:rsidR="00150619" w:rsidRPr="00E25DAB">
              <w:rPr>
                <w:noProof/>
                <w:webHidden/>
              </w:rPr>
              <w:fldChar w:fldCharType="begin"/>
            </w:r>
            <w:r w:rsidR="00150619" w:rsidRPr="00E25DAB">
              <w:rPr>
                <w:noProof/>
                <w:webHidden/>
              </w:rPr>
              <w:instrText xml:space="preserve"> PAGEREF _Toc19877702 \h </w:instrText>
            </w:r>
            <w:r w:rsidR="00150619" w:rsidRPr="00E25DAB">
              <w:rPr>
                <w:noProof/>
                <w:webHidden/>
              </w:rPr>
            </w:r>
            <w:r w:rsidR="00150619" w:rsidRPr="00E25DAB">
              <w:rPr>
                <w:noProof/>
                <w:webHidden/>
              </w:rPr>
              <w:fldChar w:fldCharType="separate"/>
            </w:r>
            <w:r w:rsidR="00150619" w:rsidRPr="00E25DAB">
              <w:rPr>
                <w:noProof/>
                <w:webHidden/>
              </w:rPr>
              <w:t>18</w:t>
            </w:r>
            <w:r w:rsidR="00150619" w:rsidRPr="00E25DAB">
              <w:rPr>
                <w:noProof/>
                <w:webHidden/>
              </w:rPr>
              <w:fldChar w:fldCharType="end"/>
            </w:r>
          </w:hyperlink>
        </w:p>
        <w:p w14:paraId="24AF47AF" w14:textId="77777777" w:rsidR="00150619" w:rsidRPr="00E25DAB" w:rsidRDefault="00907E3B">
          <w:pPr>
            <w:pStyle w:val="Turinys3"/>
            <w:tabs>
              <w:tab w:val="right" w:leader="dot" w:pos="9628"/>
            </w:tabs>
            <w:rPr>
              <w:rFonts w:eastAsiaTheme="minorEastAsia"/>
              <w:noProof/>
              <w:lang w:eastAsia="lt-LT"/>
            </w:rPr>
          </w:pPr>
          <w:hyperlink w:anchor="_Toc19877703" w:history="1">
            <w:r w:rsidR="00150619" w:rsidRPr="00E25DAB">
              <w:rPr>
                <w:rStyle w:val="Hipersaitas"/>
                <w:noProof/>
                <w:shd w:val="clear" w:color="auto" w:fill="FFFFFF"/>
                <w:lang w:eastAsia="lt-LT"/>
              </w:rPr>
              <w:t xml:space="preserve">Dėl </w:t>
            </w:r>
            <w:r w:rsidR="00150619" w:rsidRPr="00E25DAB">
              <w:rPr>
                <w:rStyle w:val="Hipersaitas"/>
                <w:rFonts w:eastAsia="Calibri"/>
                <w:noProof/>
              </w:rPr>
              <w:t xml:space="preserve">kardomojo kalinimo įstaigose </w:t>
            </w:r>
            <w:r w:rsidR="00150619" w:rsidRPr="00E25DAB">
              <w:rPr>
                <w:rStyle w:val="Hipersaitas"/>
                <w:noProof/>
                <w:shd w:val="clear" w:color="auto" w:fill="FFFFFF"/>
                <w:lang w:eastAsia="lt-LT"/>
              </w:rPr>
              <w:t>laikomų suimtųjų teisės į pasimatymus ribojimo</w:t>
            </w:r>
            <w:r w:rsidR="00150619" w:rsidRPr="00E25DAB">
              <w:rPr>
                <w:noProof/>
                <w:webHidden/>
              </w:rPr>
              <w:tab/>
            </w:r>
            <w:r w:rsidR="00150619" w:rsidRPr="00E25DAB">
              <w:rPr>
                <w:noProof/>
                <w:webHidden/>
              </w:rPr>
              <w:fldChar w:fldCharType="begin"/>
            </w:r>
            <w:r w:rsidR="00150619" w:rsidRPr="00E25DAB">
              <w:rPr>
                <w:noProof/>
                <w:webHidden/>
              </w:rPr>
              <w:instrText xml:space="preserve"> PAGEREF _Toc19877703 \h </w:instrText>
            </w:r>
            <w:r w:rsidR="00150619" w:rsidRPr="00E25DAB">
              <w:rPr>
                <w:noProof/>
                <w:webHidden/>
              </w:rPr>
            </w:r>
            <w:r w:rsidR="00150619" w:rsidRPr="00E25DAB">
              <w:rPr>
                <w:noProof/>
                <w:webHidden/>
              </w:rPr>
              <w:fldChar w:fldCharType="separate"/>
            </w:r>
            <w:r w:rsidR="00150619" w:rsidRPr="00E25DAB">
              <w:rPr>
                <w:noProof/>
                <w:webHidden/>
              </w:rPr>
              <w:t>18</w:t>
            </w:r>
            <w:r w:rsidR="00150619" w:rsidRPr="00E25DAB">
              <w:rPr>
                <w:noProof/>
                <w:webHidden/>
              </w:rPr>
              <w:fldChar w:fldCharType="end"/>
            </w:r>
          </w:hyperlink>
        </w:p>
        <w:p w14:paraId="735DB86C" w14:textId="77777777" w:rsidR="00150619" w:rsidRPr="00E25DAB" w:rsidRDefault="00907E3B">
          <w:pPr>
            <w:pStyle w:val="Turinys2"/>
            <w:tabs>
              <w:tab w:val="right" w:leader="dot" w:pos="9628"/>
            </w:tabs>
            <w:rPr>
              <w:rFonts w:eastAsiaTheme="minorEastAsia"/>
              <w:noProof/>
              <w:lang w:eastAsia="lt-LT"/>
            </w:rPr>
          </w:pPr>
          <w:hyperlink w:anchor="_Toc19877704" w:history="1">
            <w:r w:rsidR="00150619" w:rsidRPr="00E25DAB">
              <w:rPr>
                <w:rStyle w:val="Hipersaitas"/>
                <w:rFonts w:ascii="Calibri" w:eastAsia="Calibri" w:hAnsi="Calibri" w:cs="Calibri"/>
                <w:i/>
                <w:noProof/>
              </w:rPr>
              <w:t xml:space="preserve">Kosaitė-Čypienė ir </w:t>
            </w:r>
            <w:r w:rsidR="00150619" w:rsidRPr="00E25DAB">
              <w:rPr>
                <w:rStyle w:val="Hipersaitas"/>
                <w:rFonts w:eastAsia="Calibri"/>
                <w:i/>
                <w:noProof/>
              </w:rPr>
              <w:t>kiti prieš Lietuvą</w:t>
            </w:r>
            <w:r w:rsidR="00150619" w:rsidRPr="00E25DAB">
              <w:rPr>
                <w:noProof/>
                <w:webHidden/>
              </w:rPr>
              <w:tab/>
            </w:r>
            <w:r w:rsidR="00150619" w:rsidRPr="00E25DAB">
              <w:rPr>
                <w:noProof/>
                <w:webHidden/>
              </w:rPr>
              <w:fldChar w:fldCharType="begin"/>
            </w:r>
            <w:r w:rsidR="00150619" w:rsidRPr="00E25DAB">
              <w:rPr>
                <w:noProof/>
                <w:webHidden/>
              </w:rPr>
              <w:instrText xml:space="preserve"> PAGEREF _Toc19877704 \h </w:instrText>
            </w:r>
            <w:r w:rsidR="00150619" w:rsidRPr="00E25DAB">
              <w:rPr>
                <w:noProof/>
                <w:webHidden/>
              </w:rPr>
            </w:r>
            <w:r w:rsidR="00150619" w:rsidRPr="00E25DAB">
              <w:rPr>
                <w:noProof/>
                <w:webHidden/>
              </w:rPr>
              <w:fldChar w:fldCharType="separate"/>
            </w:r>
            <w:r w:rsidR="00150619" w:rsidRPr="00E25DAB">
              <w:rPr>
                <w:noProof/>
                <w:webHidden/>
              </w:rPr>
              <w:t>20</w:t>
            </w:r>
            <w:r w:rsidR="00150619" w:rsidRPr="00E25DAB">
              <w:rPr>
                <w:noProof/>
                <w:webHidden/>
              </w:rPr>
              <w:fldChar w:fldCharType="end"/>
            </w:r>
          </w:hyperlink>
        </w:p>
        <w:p w14:paraId="6D78FBBF" w14:textId="77777777" w:rsidR="00150619" w:rsidRPr="00E25DAB" w:rsidRDefault="00907E3B">
          <w:pPr>
            <w:pStyle w:val="Turinys3"/>
            <w:tabs>
              <w:tab w:val="right" w:leader="dot" w:pos="9628"/>
            </w:tabs>
            <w:rPr>
              <w:rFonts w:eastAsiaTheme="minorEastAsia"/>
              <w:noProof/>
              <w:lang w:eastAsia="lt-LT"/>
            </w:rPr>
          </w:pPr>
          <w:hyperlink w:anchor="_Toc19877705" w:history="1">
            <w:r w:rsidR="00150619" w:rsidRPr="00E25DAB">
              <w:rPr>
                <w:rStyle w:val="Hipersaitas"/>
                <w:rFonts w:ascii="Calibri" w:eastAsia="Times New Roman" w:hAnsi="Calibri" w:cs="Calibri"/>
                <w:noProof/>
                <w:shd w:val="clear" w:color="auto" w:fill="FFFFFF"/>
                <w:lang w:eastAsia="lt-LT"/>
              </w:rPr>
              <w:t>Dėl pagalbos gimdymams namuose teikimo įteisinimo</w:t>
            </w:r>
            <w:r w:rsidR="00150619" w:rsidRPr="00E25DAB">
              <w:rPr>
                <w:noProof/>
                <w:webHidden/>
              </w:rPr>
              <w:tab/>
            </w:r>
            <w:r w:rsidR="00150619" w:rsidRPr="00E25DAB">
              <w:rPr>
                <w:noProof/>
                <w:webHidden/>
              </w:rPr>
              <w:fldChar w:fldCharType="begin"/>
            </w:r>
            <w:r w:rsidR="00150619" w:rsidRPr="00E25DAB">
              <w:rPr>
                <w:noProof/>
                <w:webHidden/>
              </w:rPr>
              <w:instrText xml:space="preserve"> PAGEREF _Toc19877705 \h </w:instrText>
            </w:r>
            <w:r w:rsidR="00150619" w:rsidRPr="00E25DAB">
              <w:rPr>
                <w:noProof/>
                <w:webHidden/>
              </w:rPr>
            </w:r>
            <w:r w:rsidR="00150619" w:rsidRPr="00E25DAB">
              <w:rPr>
                <w:noProof/>
                <w:webHidden/>
              </w:rPr>
              <w:fldChar w:fldCharType="separate"/>
            </w:r>
            <w:r w:rsidR="00150619" w:rsidRPr="00E25DAB">
              <w:rPr>
                <w:noProof/>
                <w:webHidden/>
              </w:rPr>
              <w:t>20</w:t>
            </w:r>
            <w:r w:rsidR="00150619" w:rsidRPr="00E25DAB">
              <w:rPr>
                <w:noProof/>
                <w:webHidden/>
              </w:rPr>
              <w:fldChar w:fldCharType="end"/>
            </w:r>
          </w:hyperlink>
        </w:p>
        <w:p w14:paraId="555EB99C" w14:textId="77777777" w:rsidR="00150619" w:rsidRPr="00E25DAB" w:rsidRDefault="00907E3B">
          <w:pPr>
            <w:pStyle w:val="Turinys2"/>
            <w:tabs>
              <w:tab w:val="right" w:leader="dot" w:pos="9628"/>
            </w:tabs>
            <w:rPr>
              <w:rFonts w:eastAsiaTheme="minorEastAsia"/>
              <w:noProof/>
              <w:lang w:eastAsia="lt-LT"/>
            </w:rPr>
          </w:pPr>
          <w:hyperlink w:anchor="_Toc19877706" w:history="1">
            <w:r w:rsidR="00150619" w:rsidRPr="00E25DAB">
              <w:rPr>
                <w:rStyle w:val="Hipersaitas"/>
                <w:rFonts w:ascii="Calibri" w:eastAsia="Calibri" w:hAnsi="Calibri" w:cs="Calibri"/>
                <w:i/>
                <w:noProof/>
              </w:rPr>
              <w:t>En l’affaire Aktaş ir Aslaniskender prieš Turkiją</w:t>
            </w:r>
            <w:r w:rsidR="00150619" w:rsidRPr="00E25DAB">
              <w:rPr>
                <w:noProof/>
                <w:webHidden/>
              </w:rPr>
              <w:tab/>
            </w:r>
            <w:r w:rsidR="00150619" w:rsidRPr="00E25DAB">
              <w:rPr>
                <w:noProof/>
                <w:webHidden/>
              </w:rPr>
              <w:fldChar w:fldCharType="begin"/>
            </w:r>
            <w:r w:rsidR="00150619" w:rsidRPr="00E25DAB">
              <w:rPr>
                <w:noProof/>
                <w:webHidden/>
              </w:rPr>
              <w:instrText xml:space="preserve"> PAGEREF _Toc19877706 \h </w:instrText>
            </w:r>
            <w:r w:rsidR="00150619" w:rsidRPr="00E25DAB">
              <w:rPr>
                <w:noProof/>
                <w:webHidden/>
              </w:rPr>
            </w:r>
            <w:r w:rsidR="00150619" w:rsidRPr="00E25DAB">
              <w:rPr>
                <w:noProof/>
                <w:webHidden/>
              </w:rPr>
              <w:fldChar w:fldCharType="separate"/>
            </w:r>
            <w:r w:rsidR="00150619" w:rsidRPr="00E25DAB">
              <w:rPr>
                <w:noProof/>
                <w:webHidden/>
              </w:rPr>
              <w:t>21</w:t>
            </w:r>
            <w:r w:rsidR="00150619" w:rsidRPr="00E25DAB">
              <w:rPr>
                <w:noProof/>
                <w:webHidden/>
              </w:rPr>
              <w:fldChar w:fldCharType="end"/>
            </w:r>
          </w:hyperlink>
        </w:p>
        <w:p w14:paraId="2E036CD1" w14:textId="77777777" w:rsidR="00150619" w:rsidRPr="00E25DAB" w:rsidRDefault="00907E3B">
          <w:pPr>
            <w:pStyle w:val="Turinys3"/>
            <w:tabs>
              <w:tab w:val="right" w:leader="dot" w:pos="9628"/>
            </w:tabs>
            <w:rPr>
              <w:rFonts w:eastAsiaTheme="minorEastAsia"/>
              <w:noProof/>
              <w:lang w:eastAsia="lt-LT"/>
            </w:rPr>
          </w:pPr>
          <w:hyperlink w:anchor="_Toc19877707" w:history="1">
            <w:r w:rsidR="00150619" w:rsidRPr="00E25DAB">
              <w:rPr>
                <w:rStyle w:val="Hipersaitas"/>
                <w:rFonts w:ascii="Calibri" w:hAnsi="Calibri" w:cs="Calibri"/>
                <w:noProof/>
              </w:rPr>
              <w:t>Dėl atsisakymo pakeisti pavardę vien dėl to, jog nauja pageidaujama pavardė nėra turkiška</w:t>
            </w:r>
            <w:r w:rsidR="00150619" w:rsidRPr="00E25DAB">
              <w:rPr>
                <w:noProof/>
                <w:webHidden/>
              </w:rPr>
              <w:tab/>
            </w:r>
            <w:r w:rsidR="00150619" w:rsidRPr="00E25DAB">
              <w:rPr>
                <w:noProof/>
                <w:webHidden/>
              </w:rPr>
              <w:fldChar w:fldCharType="begin"/>
            </w:r>
            <w:r w:rsidR="00150619" w:rsidRPr="00E25DAB">
              <w:rPr>
                <w:noProof/>
                <w:webHidden/>
              </w:rPr>
              <w:instrText xml:space="preserve"> PAGEREF _Toc19877707 \h </w:instrText>
            </w:r>
            <w:r w:rsidR="00150619" w:rsidRPr="00E25DAB">
              <w:rPr>
                <w:noProof/>
                <w:webHidden/>
              </w:rPr>
            </w:r>
            <w:r w:rsidR="00150619" w:rsidRPr="00E25DAB">
              <w:rPr>
                <w:noProof/>
                <w:webHidden/>
              </w:rPr>
              <w:fldChar w:fldCharType="separate"/>
            </w:r>
            <w:r w:rsidR="00150619" w:rsidRPr="00E25DAB">
              <w:rPr>
                <w:noProof/>
                <w:webHidden/>
              </w:rPr>
              <w:t>21</w:t>
            </w:r>
            <w:r w:rsidR="00150619" w:rsidRPr="00E25DAB">
              <w:rPr>
                <w:noProof/>
                <w:webHidden/>
              </w:rPr>
              <w:fldChar w:fldCharType="end"/>
            </w:r>
          </w:hyperlink>
        </w:p>
        <w:p w14:paraId="54724AEB" w14:textId="77777777" w:rsidR="00150619" w:rsidRPr="00E25DAB" w:rsidRDefault="00907E3B">
          <w:pPr>
            <w:pStyle w:val="Turinys1"/>
            <w:rPr>
              <w:rFonts w:eastAsiaTheme="minorEastAsia"/>
              <w:color w:val="auto"/>
              <w:lang w:eastAsia="lt-LT"/>
            </w:rPr>
          </w:pPr>
          <w:hyperlink w:anchor="_Toc19877708" w:history="1">
            <w:r w:rsidR="00150619" w:rsidRPr="00E25DAB">
              <w:rPr>
                <w:rStyle w:val="Hipersaitas"/>
                <w:rFonts w:ascii="Calibri" w:hAnsi="Calibri" w:cs="Calibri"/>
                <w:kern w:val="32"/>
              </w:rPr>
              <w:t>SAVIRAIŠKOS LAISVĖ (10 straipsnis)</w:t>
            </w:r>
            <w:r w:rsidR="00150619" w:rsidRPr="00E25DAB">
              <w:rPr>
                <w:webHidden/>
              </w:rPr>
              <w:tab/>
            </w:r>
            <w:r w:rsidR="00150619" w:rsidRPr="00E25DAB">
              <w:rPr>
                <w:webHidden/>
              </w:rPr>
              <w:fldChar w:fldCharType="begin"/>
            </w:r>
            <w:r w:rsidR="00150619" w:rsidRPr="00E25DAB">
              <w:rPr>
                <w:webHidden/>
              </w:rPr>
              <w:instrText xml:space="preserve"> PAGEREF _Toc19877708 \h </w:instrText>
            </w:r>
            <w:r w:rsidR="00150619" w:rsidRPr="00E25DAB">
              <w:rPr>
                <w:webHidden/>
              </w:rPr>
            </w:r>
            <w:r w:rsidR="00150619" w:rsidRPr="00E25DAB">
              <w:rPr>
                <w:webHidden/>
              </w:rPr>
              <w:fldChar w:fldCharType="separate"/>
            </w:r>
            <w:r w:rsidR="00150619" w:rsidRPr="00E25DAB">
              <w:rPr>
                <w:webHidden/>
              </w:rPr>
              <w:t>22</w:t>
            </w:r>
            <w:r w:rsidR="00150619" w:rsidRPr="00E25DAB">
              <w:rPr>
                <w:webHidden/>
              </w:rPr>
              <w:fldChar w:fldCharType="end"/>
            </w:r>
          </w:hyperlink>
        </w:p>
        <w:p w14:paraId="3FB0EDAA" w14:textId="77777777" w:rsidR="00150619" w:rsidRPr="00E25DAB" w:rsidRDefault="00907E3B">
          <w:pPr>
            <w:pStyle w:val="Turinys2"/>
            <w:tabs>
              <w:tab w:val="right" w:leader="dot" w:pos="9628"/>
            </w:tabs>
            <w:rPr>
              <w:rFonts w:eastAsiaTheme="minorEastAsia"/>
              <w:noProof/>
              <w:lang w:eastAsia="lt-LT"/>
            </w:rPr>
          </w:pPr>
          <w:hyperlink w:anchor="_Toc19877709" w:history="1">
            <w:r w:rsidR="00150619" w:rsidRPr="00E25DAB">
              <w:rPr>
                <w:rStyle w:val="Hipersaitas"/>
                <w:rFonts w:ascii="Calibri" w:hAnsi="Calibri" w:cs="Calibri"/>
                <w:i/>
                <w:noProof/>
              </w:rPr>
              <w:t xml:space="preserve">Prunea ir kiti </w:t>
            </w:r>
            <w:r w:rsidR="00150619" w:rsidRPr="00E25DAB">
              <w:rPr>
                <w:rStyle w:val="Hipersaitas"/>
                <w:rFonts w:eastAsia="Calibri"/>
                <w:i/>
                <w:noProof/>
              </w:rPr>
              <w:t>prieš Rumuniją</w:t>
            </w:r>
            <w:r w:rsidR="00150619" w:rsidRPr="00E25DAB">
              <w:rPr>
                <w:noProof/>
                <w:webHidden/>
              </w:rPr>
              <w:tab/>
            </w:r>
            <w:r w:rsidR="00150619" w:rsidRPr="00E25DAB">
              <w:rPr>
                <w:noProof/>
                <w:webHidden/>
              </w:rPr>
              <w:fldChar w:fldCharType="begin"/>
            </w:r>
            <w:r w:rsidR="00150619" w:rsidRPr="00E25DAB">
              <w:rPr>
                <w:noProof/>
                <w:webHidden/>
              </w:rPr>
              <w:instrText xml:space="preserve"> PAGEREF _Toc19877709 \h </w:instrText>
            </w:r>
            <w:r w:rsidR="00150619" w:rsidRPr="00E25DAB">
              <w:rPr>
                <w:noProof/>
                <w:webHidden/>
              </w:rPr>
            </w:r>
            <w:r w:rsidR="00150619" w:rsidRPr="00E25DAB">
              <w:rPr>
                <w:noProof/>
                <w:webHidden/>
              </w:rPr>
              <w:fldChar w:fldCharType="separate"/>
            </w:r>
            <w:r w:rsidR="00150619" w:rsidRPr="00E25DAB">
              <w:rPr>
                <w:noProof/>
                <w:webHidden/>
              </w:rPr>
              <w:t>22</w:t>
            </w:r>
            <w:r w:rsidR="00150619" w:rsidRPr="00E25DAB">
              <w:rPr>
                <w:noProof/>
                <w:webHidden/>
              </w:rPr>
              <w:fldChar w:fldCharType="end"/>
            </w:r>
          </w:hyperlink>
        </w:p>
        <w:p w14:paraId="019A79DD" w14:textId="77777777" w:rsidR="00150619" w:rsidRPr="00E25DAB" w:rsidRDefault="00907E3B">
          <w:pPr>
            <w:pStyle w:val="Turinys3"/>
            <w:tabs>
              <w:tab w:val="right" w:leader="dot" w:pos="9628"/>
            </w:tabs>
            <w:rPr>
              <w:rFonts w:eastAsiaTheme="minorEastAsia"/>
              <w:noProof/>
              <w:lang w:eastAsia="lt-LT"/>
            </w:rPr>
          </w:pPr>
          <w:hyperlink w:anchor="_Toc19877710" w:history="1">
            <w:r w:rsidR="00150619" w:rsidRPr="00E25DAB">
              <w:rPr>
                <w:rStyle w:val="Hipersaitas"/>
                <w:rFonts w:ascii="Calibri" w:eastAsia="Times New Roman" w:hAnsi="Calibri" w:cs="Calibri"/>
                <w:noProof/>
                <w:shd w:val="clear" w:color="auto" w:fill="FFFFFF"/>
                <w:lang w:eastAsia="lt-LT"/>
              </w:rPr>
              <w:t>Dėl su Konvencija suderinamos sankcijos asmeniui už kritiką kandidatui rinkimuose</w:t>
            </w:r>
            <w:r w:rsidR="00150619" w:rsidRPr="00E25DAB">
              <w:rPr>
                <w:noProof/>
                <w:webHidden/>
              </w:rPr>
              <w:tab/>
            </w:r>
            <w:r w:rsidR="00150619" w:rsidRPr="00E25DAB">
              <w:rPr>
                <w:noProof/>
                <w:webHidden/>
              </w:rPr>
              <w:fldChar w:fldCharType="begin"/>
            </w:r>
            <w:r w:rsidR="00150619" w:rsidRPr="00E25DAB">
              <w:rPr>
                <w:noProof/>
                <w:webHidden/>
              </w:rPr>
              <w:instrText xml:space="preserve"> PAGEREF _Toc19877710 \h </w:instrText>
            </w:r>
            <w:r w:rsidR="00150619" w:rsidRPr="00E25DAB">
              <w:rPr>
                <w:noProof/>
                <w:webHidden/>
              </w:rPr>
            </w:r>
            <w:r w:rsidR="00150619" w:rsidRPr="00E25DAB">
              <w:rPr>
                <w:noProof/>
                <w:webHidden/>
              </w:rPr>
              <w:fldChar w:fldCharType="separate"/>
            </w:r>
            <w:r w:rsidR="00150619" w:rsidRPr="00E25DAB">
              <w:rPr>
                <w:noProof/>
                <w:webHidden/>
              </w:rPr>
              <w:t>22</w:t>
            </w:r>
            <w:r w:rsidR="00150619" w:rsidRPr="00E25DAB">
              <w:rPr>
                <w:noProof/>
                <w:webHidden/>
              </w:rPr>
              <w:fldChar w:fldCharType="end"/>
            </w:r>
          </w:hyperlink>
        </w:p>
        <w:p w14:paraId="1E41C45E" w14:textId="77777777" w:rsidR="00150619" w:rsidRPr="00E25DAB" w:rsidRDefault="00907E3B">
          <w:pPr>
            <w:pStyle w:val="Turinys1"/>
            <w:rPr>
              <w:rFonts w:eastAsiaTheme="minorEastAsia"/>
              <w:color w:val="auto"/>
              <w:lang w:eastAsia="lt-LT"/>
            </w:rPr>
          </w:pPr>
          <w:hyperlink w:anchor="_Toc19877711" w:history="1">
            <w:r w:rsidR="00150619" w:rsidRPr="00E25DAB">
              <w:rPr>
                <w:rStyle w:val="Hipersaitas"/>
              </w:rPr>
              <w:t>TEISĖ Į MOKSLĄ (Konvencijos Pirmojo Protokolo 2 straipsnis)</w:t>
            </w:r>
            <w:r w:rsidR="00150619" w:rsidRPr="00E25DAB">
              <w:rPr>
                <w:webHidden/>
              </w:rPr>
              <w:tab/>
            </w:r>
            <w:r w:rsidR="00150619" w:rsidRPr="00E25DAB">
              <w:rPr>
                <w:webHidden/>
              </w:rPr>
              <w:fldChar w:fldCharType="begin"/>
            </w:r>
            <w:r w:rsidR="00150619" w:rsidRPr="00E25DAB">
              <w:rPr>
                <w:webHidden/>
              </w:rPr>
              <w:instrText xml:space="preserve"> PAGEREF _Toc19877711 \h </w:instrText>
            </w:r>
            <w:r w:rsidR="00150619" w:rsidRPr="00E25DAB">
              <w:rPr>
                <w:webHidden/>
              </w:rPr>
            </w:r>
            <w:r w:rsidR="00150619" w:rsidRPr="00E25DAB">
              <w:rPr>
                <w:webHidden/>
              </w:rPr>
              <w:fldChar w:fldCharType="separate"/>
            </w:r>
            <w:r w:rsidR="00150619" w:rsidRPr="00E25DAB">
              <w:rPr>
                <w:webHidden/>
              </w:rPr>
              <w:t>23</w:t>
            </w:r>
            <w:r w:rsidR="00150619" w:rsidRPr="00E25DAB">
              <w:rPr>
                <w:webHidden/>
              </w:rPr>
              <w:fldChar w:fldCharType="end"/>
            </w:r>
          </w:hyperlink>
        </w:p>
        <w:p w14:paraId="5C16FCA6" w14:textId="77777777" w:rsidR="00150619" w:rsidRPr="00E25DAB" w:rsidRDefault="00907E3B">
          <w:pPr>
            <w:pStyle w:val="Turinys2"/>
            <w:tabs>
              <w:tab w:val="right" w:leader="dot" w:pos="9628"/>
            </w:tabs>
            <w:rPr>
              <w:rFonts w:eastAsiaTheme="minorEastAsia"/>
              <w:noProof/>
              <w:lang w:eastAsia="lt-LT"/>
            </w:rPr>
          </w:pPr>
          <w:hyperlink w:anchor="_Toc19877712" w:history="1">
            <w:r w:rsidR="00150619" w:rsidRPr="00E25DAB">
              <w:rPr>
                <w:rStyle w:val="Hipersaitas"/>
                <w:i/>
                <w:noProof/>
              </w:rPr>
              <w:t xml:space="preserve">Mehmet Reşit Arslan and </w:t>
            </w:r>
            <w:r w:rsidR="00150619" w:rsidRPr="00E25DAB">
              <w:rPr>
                <w:rStyle w:val="Hipersaitas"/>
                <w:rFonts w:eastAsia="Calibri"/>
                <w:i/>
                <w:noProof/>
              </w:rPr>
              <w:t>Orhan Bingöl prieš Turkiją</w:t>
            </w:r>
            <w:r w:rsidR="00150619" w:rsidRPr="00E25DAB">
              <w:rPr>
                <w:noProof/>
                <w:webHidden/>
              </w:rPr>
              <w:tab/>
            </w:r>
            <w:r w:rsidR="00150619" w:rsidRPr="00E25DAB">
              <w:rPr>
                <w:noProof/>
                <w:webHidden/>
              </w:rPr>
              <w:fldChar w:fldCharType="begin"/>
            </w:r>
            <w:r w:rsidR="00150619" w:rsidRPr="00E25DAB">
              <w:rPr>
                <w:noProof/>
                <w:webHidden/>
              </w:rPr>
              <w:instrText xml:space="preserve"> PAGEREF _Toc19877712 \h </w:instrText>
            </w:r>
            <w:r w:rsidR="00150619" w:rsidRPr="00E25DAB">
              <w:rPr>
                <w:noProof/>
                <w:webHidden/>
              </w:rPr>
            </w:r>
            <w:r w:rsidR="00150619" w:rsidRPr="00E25DAB">
              <w:rPr>
                <w:noProof/>
                <w:webHidden/>
              </w:rPr>
              <w:fldChar w:fldCharType="separate"/>
            </w:r>
            <w:r w:rsidR="00150619" w:rsidRPr="00E25DAB">
              <w:rPr>
                <w:noProof/>
                <w:webHidden/>
              </w:rPr>
              <w:t>23</w:t>
            </w:r>
            <w:r w:rsidR="00150619" w:rsidRPr="00E25DAB">
              <w:rPr>
                <w:noProof/>
                <w:webHidden/>
              </w:rPr>
              <w:fldChar w:fldCharType="end"/>
            </w:r>
          </w:hyperlink>
        </w:p>
        <w:p w14:paraId="78E761FA" w14:textId="77777777" w:rsidR="00150619" w:rsidRPr="00E25DAB" w:rsidRDefault="00907E3B">
          <w:pPr>
            <w:pStyle w:val="Turinys3"/>
            <w:tabs>
              <w:tab w:val="right" w:leader="dot" w:pos="9628"/>
            </w:tabs>
            <w:rPr>
              <w:rFonts w:eastAsiaTheme="minorEastAsia"/>
              <w:noProof/>
              <w:lang w:eastAsia="lt-LT"/>
            </w:rPr>
          </w:pPr>
          <w:hyperlink w:anchor="_Toc19877713" w:history="1">
            <w:r w:rsidR="00150619" w:rsidRPr="00E25DAB">
              <w:rPr>
                <w:rStyle w:val="Hipersaitas"/>
                <w:noProof/>
                <w:shd w:val="clear" w:color="auto" w:fill="FFFFFF"/>
                <w:lang w:eastAsia="lt-LT"/>
              </w:rPr>
              <w:t xml:space="preserve">Dėl </w:t>
            </w:r>
            <w:r w:rsidR="00150619" w:rsidRPr="00E25DAB">
              <w:rPr>
                <w:rStyle w:val="Hipersaitas"/>
                <w:rFonts w:eastAsia="Calibri"/>
                <w:noProof/>
              </w:rPr>
              <w:t xml:space="preserve">teisės į mokslą </w:t>
            </w:r>
            <w:r w:rsidR="00150619" w:rsidRPr="00E25DAB">
              <w:rPr>
                <w:rStyle w:val="Hipersaitas"/>
                <w:noProof/>
              </w:rPr>
              <w:t>pažeidimo, neleidžiant kaliniams naudotis kompiuteriais ir interneto prieiga</w:t>
            </w:r>
            <w:r w:rsidR="00150619" w:rsidRPr="00E25DAB">
              <w:rPr>
                <w:noProof/>
                <w:webHidden/>
              </w:rPr>
              <w:tab/>
            </w:r>
            <w:r w:rsidR="00150619" w:rsidRPr="00E25DAB">
              <w:rPr>
                <w:noProof/>
                <w:webHidden/>
              </w:rPr>
              <w:fldChar w:fldCharType="begin"/>
            </w:r>
            <w:r w:rsidR="00150619" w:rsidRPr="00E25DAB">
              <w:rPr>
                <w:noProof/>
                <w:webHidden/>
              </w:rPr>
              <w:instrText xml:space="preserve"> PAGEREF _Toc19877713 \h </w:instrText>
            </w:r>
            <w:r w:rsidR="00150619" w:rsidRPr="00E25DAB">
              <w:rPr>
                <w:noProof/>
                <w:webHidden/>
              </w:rPr>
            </w:r>
            <w:r w:rsidR="00150619" w:rsidRPr="00E25DAB">
              <w:rPr>
                <w:noProof/>
                <w:webHidden/>
              </w:rPr>
              <w:fldChar w:fldCharType="separate"/>
            </w:r>
            <w:r w:rsidR="00150619" w:rsidRPr="00E25DAB">
              <w:rPr>
                <w:noProof/>
                <w:webHidden/>
              </w:rPr>
              <w:t>23</w:t>
            </w:r>
            <w:r w:rsidR="00150619" w:rsidRPr="00E25DAB">
              <w:rPr>
                <w:noProof/>
                <w:webHidden/>
              </w:rPr>
              <w:fldChar w:fldCharType="end"/>
            </w:r>
          </w:hyperlink>
        </w:p>
        <w:p w14:paraId="5F55C1A6" w14:textId="24C85FAD" w:rsidR="00EE09AD" w:rsidRPr="00E25DAB" w:rsidRDefault="00EE09AD" w:rsidP="009A1B99">
          <w:pPr>
            <w:rPr>
              <w:rFonts w:ascii="Calibri" w:hAnsi="Calibri" w:cs="Calibri"/>
            </w:rPr>
          </w:pPr>
          <w:r w:rsidRPr="00E25DAB">
            <w:rPr>
              <w:rFonts w:ascii="Calibri" w:hAnsi="Calibri" w:cs="Calibri"/>
              <w:b/>
              <w:bCs/>
            </w:rPr>
            <w:fldChar w:fldCharType="end"/>
          </w:r>
        </w:p>
      </w:sdtContent>
    </w:sdt>
    <w:p w14:paraId="77F2DB7D" w14:textId="5E0F1847" w:rsidR="00EE09AD" w:rsidRPr="00E25DAB" w:rsidRDefault="00EE09AD" w:rsidP="009A1B99">
      <w:pPr>
        <w:spacing w:after="0" w:line="240" w:lineRule="auto"/>
        <w:jc w:val="both"/>
        <w:rPr>
          <w:rFonts w:ascii="Calibri" w:eastAsia="Calibri" w:hAnsi="Calibri" w:cs="Calibri"/>
          <w:b/>
          <w:highlight w:val="yellow"/>
        </w:rPr>
      </w:pPr>
      <w:r w:rsidRPr="00E25DAB">
        <w:rPr>
          <w:rFonts w:ascii="Calibri" w:eastAsia="Calibri" w:hAnsi="Calibri" w:cs="Calibri"/>
          <w:b/>
          <w:highlight w:val="yellow"/>
        </w:rPr>
        <w:br w:type="page"/>
      </w:r>
    </w:p>
    <w:p w14:paraId="7BF3A28D" w14:textId="1CA5FE38" w:rsidR="00A85F73" w:rsidRPr="00E25DAB" w:rsidRDefault="00A85F73" w:rsidP="009A1B99">
      <w:pPr>
        <w:pStyle w:val="Antrat1"/>
        <w:rPr>
          <w:szCs w:val="22"/>
        </w:rPr>
      </w:pPr>
      <w:bookmarkStart w:id="0" w:name="_Toc19877676"/>
      <w:r w:rsidRPr="00E25DAB">
        <w:rPr>
          <w:szCs w:val="22"/>
        </w:rPr>
        <w:lastRenderedPageBreak/>
        <w:t>KANKINIMO UŽDRAUDIMAS (3 straipsnis)</w:t>
      </w:r>
      <w:bookmarkEnd w:id="0"/>
    </w:p>
    <w:p w14:paraId="44ABCBC6" w14:textId="77777777" w:rsidR="00A85F73" w:rsidRPr="00E25DAB" w:rsidRDefault="00A85F73" w:rsidP="00A85F73">
      <w:pPr>
        <w:spacing w:after="0" w:line="240" w:lineRule="auto"/>
        <w:jc w:val="center"/>
        <w:rPr>
          <w:rFonts w:cs="Arial"/>
          <w:b/>
        </w:rPr>
      </w:pPr>
      <w:r w:rsidRPr="00E25DAB">
        <w:rPr>
          <w:rFonts w:cs="Arial"/>
          <w:b/>
        </w:rPr>
        <w:t>Europos Žmogaus Teisių Teismo 2019 m. sausio 15 d. sprendimas byloje</w:t>
      </w:r>
    </w:p>
    <w:p w14:paraId="0DB54DC3" w14:textId="77777777" w:rsidR="00A85F73" w:rsidRPr="00E25DAB" w:rsidRDefault="00A85F73" w:rsidP="00224044">
      <w:pPr>
        <w:pStyle w:val="Antrat2"/>
        <w:ind w:firstLine="0"/>
        <w:jc w:val="center"/>
        <w:rPr>
          <w:i/>
        </w:rPr>
      </w:pPr>
      <w:bookmarkStart w:id="1" w:name="_Toc19877677"/>
      <w:r w:rsidRPr="00E25DAB">
        <w:rPr>
          <w:i/>
        </w:rPr>
        <w:t>Ilgiz Khalikov prieš Rusiją</w:t>
      </w:r>
      <w:bookmarkEnd w:id="1"/>
    </w:p>
    <w:p w14:paraId="7F74FBB7" w14:textId="77777777" w:rsidR="00A85F73" w:rsidRPr="00E25DAB" w:rsidRDefault="00A85F73" w:rsidP="00A85F73">
      <w:pPr>
        <w:spacing w:after="0" w:line="240" w:lineRule="auto"/>
        <w:jc w:val="center"/>
        <w:rPr>
          <w:rFonts w:cs="Arial"/>
          <w:b/>
        </w:rPr>
      </w:pPr>
      <w:r w:rsidRPr="00E25DAB">
        <w:rPr>
          <w:rFonts w:cs="Arial"/>
          <w:b/>
        </w:rPr>
        <w:t>(pareiškimo Nr. 48724/15, svarbos lygis – 2)</w:t>
      </w:r>
    </w:p>
    <w:p w14:paraId="45E99F6E" w14:textId="77777777" w:rsidR="00A85F73" w:rsidRPr="00E25DAB" w:rsidRDefault="00A85F73" w:rsidP="00A85F73">
      <w:pPr>
        <w:spacing w:after="0" w:line="240" w:lineRule="auto"/>
        <w:jc w:val="center"/>
        <w:rPr>
          <w:rFonts w:cs="Arial"/>
        </w:rPr>
      </w:pPr>
    </w:p>
    <w:p w14:paraId="2E9613DB" w14:textId="77777777" w:rsidR="00A85F73" w:rsidRPr="00E25DAB" w:rsidRDefault="00A85F73" w:rsidP="00A85F73">
      <w:pPr>
        <w:pStyle w:val="Antrat3"/>
        <w:spacing w:before="0" w:line="240" w:lineRule="auto"/>
        <w:ind w:firstLine="567"/>
        <w:jc w:val="both"/>
        <w:rPr>
          <w:shd w:val="clear" w:color="auto" w:fill="FFFFFF"/>
          <w:lang w:eastAsia="lt-LT"/>
        </w:rPr>
      </w:pPr>
      <w:bookmarkStart w:id="2" w:name="_Toc19877678"/>
      <w:r w:rsidRPr="00E25DAB">
        <w:rPr>
          <w:shd w:val="clear" w:color="auto" w:fill="FFFFFF"/>
          <w:lang w:eastAsia="lt-LT"/>
        </w:rPr>
        <w:t>Dėl atsakomybės už susišaudymo, įvykusio tarp konvojuojamų sulaikytųjų ir juos lydinčių pareigūnų, metu atsitiktinai sužeistą kitą kalinį</w:t>
      </w:r>
      <w:bookmarkEnd w:id="2"/>
    </w:p>
    <w:p w14:paraId="4E848AAE" w14:textId="77777777" w:rsidR="00A85F73" w:rsidRPr="00E25DAB" w:rsidRDefault="00A85F73" w:rsidP="00A85F73">
      <w:pPr>
        <w:spacing w:after="0" w:line="240" w:lineRule="auto"/>
        <w:jc w:val="center"/>
        <w:rPr>
          <w:rFonts w:cs="Arial"/>
          <w:b/>
        </w:rPr>
      </w:pPr>
    </w:p>
    <w:p w14:paraId="4DC9120C" w14:textId="77777777" w:rsidR="00A85F73" w:rsidRPr="00E25DAB" w:rsidRDefault="00A85F73" w:rsidP="00A85F73">
      <w:pPr>
        <w:spacing w:after="0" w:line="240" w:lineRule="auto"/>
        <w:jc w:val="center"/>
        <w:rPr>
          <w:rFonts w:cs="Arial"/>
          <w:b/>
        </w:rPr>
      </w:pPr>
      <w:r w:rsidRPr="00E25DAB">
        <w:rPr>
          <w:rFonts w:cs="Arial"/>
          <w:b/>
        </w:rPr>
        <w:t>Faktinės aplinkybės</w:t>
      </w:r>
    </w:p>
    <w:p w14:paraId="35C63239" w14:textId="77777777" w:rsidR="00A85F73" w:rsidRPr="00E25DAB" w:rsidRDefault="00A85F73" w:rsidP="00A85F73">
      <w:pPr>
        <w:spacing w:after="0" w:line="240" w:lineRule="auto"/>
        <w:ind w:firstLine="540"/>
        <w:jc w:val="center"/>
        <w:rPr>
          <w:rFonts w:cs="Arial"/>
          <w:b/>
        </w:rPr>
      </w:pPr>
    </w:p>
    <w:p w14:paraId="0F8182B6" w14:textId="00739576" w:rsidR="00A85F73" w:rsidRPr="00E25DAB" w:rsidRDefault="00A85F73" w:rsidP="00A85F73">
      <w:pPr>
        <w:spacing w:after="0" w:line="240" w:lineRule="auto"/>
        <w:ind w:firstLine="567"/>
        <w:jc w:val="both"/>
        <w:rPr>
          <w:rFonts w:cs="Arial"/>
        </w:rPr>
      </w:pPr>
      <w:r w:rsidRPr="00E25DAB">
        <w:rPr>
          <w:rFonts w:cs="Arial"/>
        </w:rPr>
        <w:t>Pareiškėjas, Rusijos pilietis, atliekantis laisvės atėmimo bausmę, kartu su dar aštuoniais kitais sulaikytaisiais 2013 m. lapkričio 7 d. buvo konvojuojami kalėjimo mikroautobusu, pritaikyt</w:t>
      </w:r>
      <w:r w:rsidR="00F650DB">
        <w:rPr>
          <w:rFonts w:cs="Arial"/>
        </w:rPr>
        <w:t>u</w:t>
      </w:r>
      <w:r w:rsidRPr="00E25DAB">
        <w:rPr>
          <w:rFonts w:cs="Arial"/>
        </w:rPr>
        <w:t xml:space="preserve"> daugiausiai septyniems konvojuojamiesiems su trimis vietomis konvojaus pareigūnams. Kadangi pareiškėjas yra buvęs policijos pareigūnas, pagal galiojusį teisinį reguliavimą jis turėjo būti konvojuojamas atskirai nuo kitų suimtųjų, tačiau tam nebuvo laisvų vietų, todėl konvojavimo metu jam buvo leista sėdėti mikroautobuso gale kartu su dviem konvojaus pareigūnais, o mikroautobuso priekyje buvo vairuotojas ir </w:t>
      </w:r>
      <w:r w:rsidR="00DB0745" w:rsidRPr="00E25DAB">
        <w:rPr>
          <w:rFonts w:cs="Arial"/>
        </w:rPr>
        <w:t xml:space="preserve">dar vienas pareigūnas. </w:t>
      </w:r>
      <w:r w:rsidR="00F650DB">
        <w:rPr>
          <w:rFonts w:cs="Arial"/>
        </w:rPr>
        <w:t>M</w:t>
      </w:r>
      <w:r w:rsidRPr="00E25DAB">
        <w:rPr>
          <w:rFonts w:cs="Arial"/>
        </w:rPr>
        <w:t>aždaug pusiaukelėje iki kelionės tikslo trys suimtieji mėgino pabėgti ir vienam iš jų grumtynių metu pavyko atimti pareigūno ginklą. Po to susišaudymo metu pareiškėj</w:t>
      </w:r>
      <w:r w:rsidR="00F650DB">
        <w:rPr>
          <w:rFonts w:cs="Arial"/>
        </w:rPr>
        <w:t>ą</w:t>
      </w:r>
      <w:r w:rsidRPr="00E25DAB">
        <w:rPr>
          <w:rFonts w:cs="Arial"/>
        </w:rPr>
        <w:t xml:space="preserve"> </w:t>
      </w:r>
      <w:r w:rsidR="00F650DB" w:rsidRPr="00E25DAB">
        <w:rPr>
          <w:rFonts w:cs="Arial"/>
        </w:rPr>
        <w:t xml:space="preserve">atsitiktinės kulkos </w:t>
      </w:r>
      <w:r w:rsidRPr="00E25DAB">
        <w:rPr>
          <w:rFonts w:cs="Arial"/>
        </w:rPr>
        <w:t>sužei</w:t>
      </w:r>
      <w:r w:rsidR="00F650DB">
        <w:rPr>
          <w:rFonts w:cs="Arial"/>
        </w:rPr>
        <w:t>dė</w:t>
      </w:r>
      <w:r w:rsidRPr="00E25DAB">
        <w:rPr>
          <w:rFonts w:cs="Arial"/>
        </w:rPr>
        <w:t xml:space="preserve"> į koją. Dėl šio sužeidimo pareiškėjas buvo nuvežtas į ligoninę.</w:t>
      </w:r>
    </w:p>
    <w:p w14:paraId="768036F6" w14:textId="311D416C" w:rsidR="00A85F73" w:rsidRPr="00E25DAB" w:rsidRDefault="00A85F73" w:rsidP="00A85F73">
      <w:pPr>
        <w:spacing w:after="0" w:line="240" w:lineRule="auto"/>
        <w:ind w:firstLine="567"/>
        <w:jc w:val="both"/>
        <w:rPr>
          <w:rStyle w:val="tlid-translation"/>
        </w:rPr>
      </w:pPr>
      <w:r w:rsidRPr="00E25DAB">
        <w:rPr>
          <w:rFonts w:cs="Arial"/>
        </w:rPr>
        <w:t>2013 m. gruodžio mėn. dėl minėto įvykio pareiškėjas pateikė skundą</w:t>
      </w:r>
      <w:r w:rsidRPr="00E25DAB">
        <w:rPr>
          <w:rStyle w:val="tlid-translation"/>
        </w:rPr>
        <w:t xml:space="preserve"> prokuratūrai</w:t>
      </w:r>
      <w:r w:rsidRPr="00E25DAB">
        <w:rPr>
          <w:rFonts w:cs="Arial"/>
        </w:rPr>
        <w:t xml:space="preserve">, tvirtindamas, kad jis </w:t>
      </w:r>
      <w:r w:rsidRPr="00E25DAB">
        <w:rPr>
          <w:rStyle w:val="tlid-translation"/>
        </w:rPr>
        <w:t>buvo sužeistas dėl šiurkštaus kalinių perkėlimo taisyklių pažeidimo, t. y. dėl to, jog buvo konvojuojama daugiau kalinių nei mikroautobuse tam buvo skirta vietų.</w:t>
      </w:r>
      <w:r w:rsidRPr="00E25DAB">
        <w:rPr>
          <w:rFonts w:cs="Arial"/>
        </w:rPr>
        <w:t xml:space="preserve"> </w:t>
      </w:r>
      <w:r w:rsidRPr="00E25DAB">
        <w:rPr>
          <w:rStyle w:val="tlid-translation"/>
        </w:rPr>
        <w:t>Per kelerius sekančius metus buvo pradėti keli ikiteisminiai tyrimai, tačiau visi jie baigėsi atsisakymu iškelti baudžiamąją bylą.</w:t>
      </w:r>
    </w:p>
    <w:p w14:paraId="2FC97A12" w14:textId="7A3CD112" w:rsidR="00A85F73" w:rsidRPr="00E25DAB" w:rsidRDefault="00A85F73" w:rsidP="00A85F73">
      <w:pPr>
        <w:spacing w:after="0" w:line="240" w:lineRule="auto"/>
        <w:ind w:firstLine="567"/>
        <w:jc w:val="both"/>
        <w:rPr>
          <w:rStyle w:val="tlid-translation"/>
        </w:rPr>
      </w:pPr>
      <w:r w:rsidRPr="00E25DAB">
        <w:rPr>
          <w:rStyle w:val="tlid-translation"/>
        </w:rPr>
        <w:t>2015 m. lapkričio mėn. buvo pradėtas papildomas ikiteisminis tyrimas ir atlikta šaunamojo ginklo teismo ekspertizė, tačiau jos metu nepavyko susieti kulkos ir gilzės su ginklu, iš kurio buvo šaudyta, taip pat nepavyko identifikuoti šaudžius</w:t>
      </w:r>
      <w:r w:rsidR="00F650DB">
        <w:rPr>
          <w:rStyle w:val="tlid-translation"/>
        </w:rPr>
        <w:t>io</w:t>
      </w:r>
      <w:r w:rsidRPr="00E25DAB">
        <w:rPr>
          <w:rStyle w:val="tlid-translation"/>
        </w:rPr>
        <w:t xml:space="preserve"> asmen</w:t>
      </w:r>
      <w:r w:rsidR="00F650DB">
        <w:rPr>
          <w:rStyle w:val="tlid-translation"/>
        </w:rPr>
        <w:t>s</w:t>
      </w:r>
      <w:r w:rsidRPr="00E25DAB">
        <w:rPr>
          <w:rStyle w:val="tlid-translation"/>
        </w:rPr>
        <w:t>, todėl atsisakyta iškelti baudžiamąją bylą.</w:t>
      </w:r>
    </w:p>
    <w:p w14:paraId="5F5CE45F" w14:textId="1098AD54" w:rsidR="00A85F73" w:rsidRPr="00E25DAB" w:rsidRDefault="00A85F73" w:rsidP="00A85F73">
      <w:pPr>
        <w:spacing w:after="0" w:line="240" w:lineRule="auto"/>
        <w:ind w:firstLine="567"/>
        <w:jc w:val="both"/>
        <w:rPr>
          <w:rStyle w:val="tlid-translation"/>
        </w:rPr>
      </w:pPr>
      <w:r w:rsidRPr="00E25DAB">
        <w:rPr>
          <w:rStyle w:val="tlid-translation"/>
        </w:rPr>
        <w:t>2016 m. gegužės mėn. buvo papildomai paskirta teismo ekspertizė įvertinti pareiškėjo sužeidimą, tačiau jos atlikti nepavyko, nes nebuvo rasti pareiškėjo medicininiai duomenys.</w:t>
      </w:r>
    </w:p>
    <w:p w14:paraId="09B1F691" w14:textId="4A63A254" w:rsidR="00A85F73" w:rsidRPr="00E25DAB" w:rsidRDefault="00A85F73" w:rsidP="00A85F73">
      <w:pPr>
        <w:spacing w:after="0" w:line="240" w:lineRule="auto"/>
        <w:ind w:firstLine="567"/>
        <w:jc w:val="both"/>
        <w:rPr>
          <w:rStyle w:val="tlid-translation"/>
        </w:rPr>
      </w:pPr>
      <w:r w:rsidRPr="00E25DAB">
        <w:t>Remdamasis Konvencijos 3 straipsniu, pareiškėjas skundėsi, kad jis susišaudymo metu buvo sužeistas dėl konvojaus pareigūnų aplaidumo.</w:t>
      </w:r>
      <w:r w:rsidRPr="00E25DAB">
        <w:rPr>
          <w:rStyle w:val="tlid-translation"/>
        </w:rPr>
        <w:t xml:space="preserve"> Visų pirma dėl to, kad jis, kaip buvęs policijos pareigūnas, turėjo būti konvojuojamas atskiroje mikroautobuso kameroje, tačiau to padaryti nebuvo įmanoma, nes mikroautobusas buvo perpildytas, o dėl to pareiškėjas turėjo sėdėti mikroautobuso gale šalia dviejų konvojaus pareigūnų. Remdamasis tuo pačiu straipsniu pareiškėjas taip pat skundėsi, kad valdžios institucijos nesugebėjo atlikti veiksmingo nurodyto incidento, dėl kurio, pasak pareiškėjo, jis liko neįgalus visam gyvenimui ir turi kęsti didelį skausmą, tyrimo.</w:t>
      </w:r>
    </w:p>
    <w:p w14:paraId="0B4CDB4A" w14:textId="77777777" w:rsidR="00A85F73" w:rsidRPr="00E25DAB" w:rsidRDefault="00A85F73" w:rsidP="00A85F73">
      <w:pPr>
        <w:spacing w:after="0" w:line="240" w:lineRule="auto"/>
        <w:ind w:firstLine="567"/>
        <w:jc w:val="both"/>
        <w:rPr>
          <w:rFonts w:cs="Arial"/>
        </w:rPr>
      </w:pPr>
    </w:p>
    <w:p w14:paraId="1E856BB8" w14:textId="77777777" w:rsidR="00A85F73" w:rsidRPr="00E25DAB" w:rsidRDefault="00A85F73" w:rsidP="00A85F73">
      <w:pPr>
        <w:spacing w:after="0" w:line="240" w:lineRule="auto"/>
        <w:jc w:val="center"/>
        <w:rPr>
          <w:rFonts w:cs="Arial"/>
        </w:rPr>
      </w:pPr>
      <w:r w:rsidRPr="00E25DAB">
        <w:rPr>
          <w:rFonts w:cs="Arial"/>
          <w:b/>
        </w:rPr>
        <w:t>Neoficiali Teismo sprendimo apžvalga</w:t>
      </w:r>
    </w:p>
    <w:p w14:paraId="7F823068" w14:textId="77777777" w:rsidR="00A85F73" w:rsidRPr="00E25DAB" w:rsidRDefault="00A85F73" w:rsidP="00A85F73">
      <w:pPr>
        <w:spacing w:after="0" w:line="240" w:lineRule="auto"/>
        <w:ind w:firstLine="567"/>
        <w:jc w:val="both"/>
        <w:rPr>
          <w:rFonts w:cs="Arial"/>
        </w:rPr>
      </w:pPr>
    </w:p>
    <w:p w14:paraId="4087F952" w14:textId="7CBC684D" w:rsidR="00A85F73" w:rsidRPr="00E25DAB" w:rsidRDefault="00A85F73" w:rsidP="00A85F73">
      <w:pPr>
        <w:spacing w:after="0" w:line="240" w:lineRule="auto"/>
        <w:ind w:firstLine="567"/>
        <w:jc w:val="both"/>
      </w:pPr>
      <w:r w:rsidRPr="00E25DAB">
        <w:rPr>
          <w:rStyle w:val="tlid-translation"/>
        </w:rPr>
        <w:t>Teismas priminė, kad Konvencijos 1 straipsnis kartu su 3 straipsniu valstybėms numato pozityvią pareigą užtikrinti, jog jų jurisdikcijai priklausantys asmenys būtų apsaugoti nuo nežmoniško ir žeminančio elgesio, neatsižvelgiant į tai, ar tokį elgesį daro valstybės pareigūnai</w:t>
      </w:r>
      <w:r w:rsidR="00DA3ABD" w:rsidRPr="00E25DAB">
        <w:rPr>
          <w:rStyle w:val="tlid-translation"/>
        </w:rPr>
        <w:t>,</w:t>
      </w:r>
      <w:r w:rsidRPr="00E25DAB">
        <w:rPr>
          <w:rStyle w:val="tlid-translation"/>
        </w:rPr>
        <w:t xml:space="preserve"> ar privatūs asmenys. Ši pareiga pirm</w:t>
      </w:r>
      <w:r w:rsidR="00907E3B">
        <w:rPr>
          <w:rStyle w:val="tlid-translation"/>
        </w:rPr>
        <w:t>iausia</w:t>
      </w:r>
      <w:r w:rsidRPr="00E25DAB">
        <w:rPr>
          <w:rStyle w:val="tlid-translation"/>
        </w:rPr>
        <w:t xml:space="preserve"> apima asmenų, kurie yra kalinami prižiūrint išimtinai valdžios institucijoms, fizinio neliečiamumo ir gerovės apsaugą, taip pat reikalauja imtis visų priemonių, kurių pagrįstai galima tikėtis, kad būtų išvengta realios ir tiesioginės netinkamo elgesio, apie kurį valdžios institucijos turėjo arba galėjo žinoti, rizikos.</w:t>
      </w:r>
    </w:p>
    <w:p w14:paraId="3B749C3A" w14:textId="77777777" w:rsidR="00A85F73" w:rsidRPr="00E25DAB" w:rsidRDefault="00A85F73" w:rsidP="00A85F73">
      <w:pPr>
        <w:spacing w:after="0" w:line="240" w:lineRule="auto"/>
        <w:ind w:firstLine="567"/>
        <w:jc w:val="both"/>
      </w:pPr>
      <w:r w:rsidRPr="00E25DAB">
        <w:rPr>
          <w:rStyle w:val="tlid-translation"/>
        </w:rPr>
        <w:t>Kitas svarbus elementas yra valstybės pozityvi pareiga veiksmingai ištirti skundą dėl netinkamo elgesio. Kad tyrimas būtų veiksmingas, jis turi būti greitas ir nuodugnus. Baigdamos tyrimą valdžios institucijos neturėtų remtis skubotomis ar nepagrįstomis išvadomis, jos turi imtis visų pagrįstų priemonių, kad apsaugotų įrodymus. Bet koks tyrimo trūkumas, kuris pakenkia galimybėms nustatyti sužalojimų priežastį ar atsakingų asmenų tapatybę, gali pažeisti šį standartą.</w:t>
      </w:r>
    </w:p>
    <w:p w14:paraId="039A23F5" w14:textId="04521EBE" w:rsidR="00A85F73" w:rsidRPr="00E25DAB" w:rsidRDefault="00A85F73" w:rsidP="00A85F73">
      <w:pPr>
        <w:spacing w:after="0" w:line="240" w:lineRule="auto"/>
        <w:ind w:firstLine="567"/>
        <w:jc w:val="both"/>
        <w:rPr>
          <w:rStyle w:val="tlid-translation"/>
        </w:rPr>
      </w:pPr>
      <w:r w:rsidRPr="00E25DAB">
        <w:t xml:space="preserve">Šiame kontekste </w:t>
      </w:r>
      <w:r w:rsidR="00DA3ABD" w:rsidRPr="00E25DAB">
        <w:t>pažymėta</w:t>
      </w:r>
      <w:r w:rsidRPr="00E25DAB">
        <w:t xml:space="preserve">, kad </w:t>
      </w:r>
      <w:r w:rsidR="00DA3ABD" w:rsidRPr="00E25DAB">
        <w:t xml:space="preserve">Teismas </w:t>
      </w:r>
      <w:r w:rsidRPr="00E25DAB">
        <w:t xml:space="preserve">daugelyje ankstesnių bylų prieš Rusijos Federaciją pabrėžė „ikiteisminio tyrimo“ struktūrinius trūkumus. Teismas nurodė, kad </w:t>
      </w:r>
      <w:r w:rsidRPr="00E25DAB">
        <w:rPr>
          <w:rStyle w:val="tlid-translation"/>
        </w:rPr>
        <w:t xml:space="preserve">valdžios institucijos, turėdamos pagrįstų įtarimų dėl netinkamo elgesio, </w:t>
      </w:r>
      <w:r w:rsidRPr="00E25DAB">
        <w:t xml:space="preserve">apie kurį valdžios institucijoms buvo nedelsiant pranešta, </w:t>
      </w:r>
      <w:r w:rsidRPr="00E25DAB">
        <w:rPr>
          <w:rStyle w:val="tlid-translation"/>
        </w:rPr>
        <w:t xml:space="preserve">privalėjo pradėti baudžiamąją bylą ir atlikti tyrimą. </w:t>
      </w:r>
      <w:r w:rsidR="00D01E1A">
        <w:t>Tačiau</w:t>
      </w:r>
      <w:r w:rsidRPr="00E25DAB">
        <w:t xml:space="preserve"> tyrimas šioje byloje buvo pavėluotas ir nepakankamo masto, tyrimo </w:t>
      </w:r>
      <w:r w:rsidRPr="00E25DAB">
        <w:lastRenderedPageBreak/>
        <w:t xml:space="preserve">metu nebuvo rimtai bandoma nustatyti visas įvykio aplinkybes ar dėl pareiškėjo sužeidimo atsakingus asmenis. </w:t>
      </w:r>
      <w:r w:rsidRPr="00E25DAB">
        <w:rPr>
          <w:rStyle w:val="tlid-translation"/>
        </w:rPr>
        <w:t>Dėl tyrėjų nenoro pradėti baudžiamąją bylą ir pakartotinių ikiteisminio tyrimo veiksmų atlikimo prarastas laikas ir galimybė surinkti bei ištirti svarbius įrodymus.</w:t>
      </w:r>
    </w:p>
    <w:p w14:paraId="4B621B09" w14:textId="77777777" w:rsidR="00A85F73" w:rsidRPr="00E25DAB" w:rsidRDefault="00A85F73" w:rsidP="00A85F73">
      <w:pPr>
        <w:spacing w:after="0" w:line="240" w:lineRule="auto"/>
        <w:ind w:firstLine="567"/>
        <w:jc w:val="both"/>
      </w:pPr>
      <w:r w:rsidRPr="00E25DAB">
        <w:t xml:space="preserve">Teismo vertinimu, šiuo atveju </w:t>
      </w:r>
      <w:r w:rsidRPr="00E25DAB">
        <w:rPr>
          <w:rStyle w:val="tlid-translation"/>
        </w:rPr>
        <w:t xml:space="preserve">vien „ikiteisminis tyrimas“ negali atitikti veiksmingo tyrimo reikalavimų pagal Konvencijos 3 straipsnį, o </w:t>
      </w:r>
      <w:r w:rsidRPr="00E25DAB">
        <w:t>atsisakymas pradėti baudžiamąją bylą prilygo veiksmingo tyrimo nevykdymui.</w:t>
      </w:r>
    </w:p>
    <w:p w14:paraId="0DB4087B" w14:textId="197D7E33" w:rsidR="00A85F73" w:rsidRPr="00E25DAB" w:rsidRDefault="00A85F73" w:rsidP="00A85F73">
      <w:pPr>
        <w:spacing w:after="0" w:line="240" w:lineRule="auto"/>
        <w:ind w:firstLine="567"/>
        <w:jc w:val="both"/>
        <w:rPr>
          <w:rStyle w:val="tlid-translation"/>
        </w:rPr>
      </w:pPr>
      <w:r w:rsidRPr="00E25DAB">
        <w:t xml:space="preserve">Spręsdamas, ar šiuo atveju valstybė gali būti laikoma atsakinga dėl pareiškėjo sužalojimo, Teismas pažymėjo, kad </w:t>
      </w:r>
      <w:r w:rsidRPr="00E25DAB">
        <w:rPr>
          <w:rStyle w:val="tlid-translation"/>
        </w:rPr>
        <w:t>nors pareiškėjo sužalojimai buvo atsitiktiniai, jo buvimas nesaugioje kalėjimo mikroautobuso kameroje nebuvo atsitiktinis. T</w:t>
      </w:r>
      <w:r w:rsidR="00D01E1A">
        <w:rPr>
          <w:rStyle w:val="tlid-translation"/>
        </w:rPr>
        <w:t>ą</w:t>
      </w:r>
      <w:r w:rsidRPr="00E25DAB">
        <w:rPr>
          <w:rStyle w:val="tlid-translation"/>
        </w:rPr>
        <w:t xml:space="preserve"> </w:t>
      </w:r>
      <w:r w:rsidR="00D01E1A">
        <w:rPr>
          <w:rStyle w:val="tlid-translation"/>
        </w:rPr>
        <w:t>nu</w:t>
      </w:r>
      <w:r w:rsidRPr="00E25DAB">
        <w:rPr>
          <w:rStyle w:val="tlid-translation"/>
        </w:rPr>
        <w:t>lėmė konvojaus pareigūnų sprendimas gabenti daugiau sulaikytųjų, nei buvo pritaikytas mikroautobusas. Dėl tokio sprendimo mikroautobuse pareiškėjui neliko laisvos atskiros kameros ir jis turėjo sėdėti kartu su konvojaus pareigūnais. Tokiu būdu buvo pažeistos bendros taisyklės, draudžiančios konvojui viršyti kalėjimo mikroautobuse numatytų keleivių vietų skaičių. Taip pat buvo pažeistas specialus reglamentavimas, susijęs su ypač pažeidžiamų kalinių kategorijų, pavyzdžiui, buvusių teisėsaugos pareigūnų, kok</w:t>
      </w:r>
      <w:r w:rsidR="00D01E1A">
        <w:rPr>
          <w:rStyle w:val="tlid-translation"/>
        </w:rPr>
        <w:t>s</w:t>
      </w:r>
      <w:r w:rsidRPr="00E25DAB">
        <w:rPr>
          <w:rStyle w:val="tlid-translation"/>
        </w:rPr>
        <w:t xml:space="preserve"> ir buvo pareiškėjas, konvojavimu atskirose kamerose.</w:t>
      </w:r>
    </w:p>
    <w:p w14:paraId="4EB612DA" w14:textId="71BE708D" w:rsidR="00A85F73" w:rsidRPr="00E25DAB" w:rsidRDefault="00A85F73" w:rsidP="00A85F73">
      <w:pPr>
        <w:spacing w:after="0" w:line="240" w:lineRule="auto"/>
        <w:ind w:firstLine="567"/>
        <w:jc w:val="both"/>
      </w:pPr>
      <w:r w:rsidRPr="00E25DAB">
        <w:rPr>
          <w:rStyle w:val="tlid-translation"/>
        </w:rPr>
        <w:t xml:space="preserve">Teismas atkreipė dėmesį, kad kalinių konvojavimo taisyklės buvo parengtos siekiant užkirsti kelią tokiems saugumo incidentams, kokie nagrinėjami šioje byloje. Jos riboja kalinių, kurie gali būti gabenami kartu, skaičių, kad būtų sumažinta rizika, jog jie bendrai bandys įveikti konvojaus pareigūnus. Jomis taip pat siekiama išvengti smurto tarp kalinių atvejų, nustatant reikalavimą atskirti pažeidžiamus kalinius. Tačiau šiuo atveju konvojaus pareigūnai neatsižvelgė į saugumo riziką, kylančią gabenant daugiau kalinių nei leidžia mikroautobuso </w:t>
      </w:r>
      <w:r w:rsidR="00D01E1A">
        <w:rPr>
          <w:rStyle w:val="tlid-translation"/>
        </w:rPr>
        <w:t>dydis ir pritaikymas</w:t>
      </w:r>
      <w:r w:rsidRPr="00E25DAB">
        <w:rPr>
          <w:rStyle w:val="tlid-translation"/>
        </w:rPr>
        <w:t>. Nesvarbu, ar jie siekė sutaupyti degalų, ar išvengti papildomos kelionės, pareigūnai elgėsi nepaisydami taisyklių, kurios buvo nustatytos siekiant apsaugoti sulaikytų asmenų gerovę ir fizinį neliečiamumą konvojavimo metu. Taigi valstybė turi būti laikoma atsakinga už tai, kad konvojavimo metu nebuvo tinkamai apsaugota pareiškėjo fizinė neliečiamybė. Teismas sprendė, kad pareiškėjas nebūtų buvęs sužeistas, jei būtų patalpintas saugioje vietoje, kaip buvo reikalaujama pagal galiojančius teisės aktus.</w:t>
      </w:r>
    </w:p>
    <w:p w14:paraId="61C1C761" w14:textId="77777777" w:rsidR="00A85F73" w:rsidRPr="00E25DAB" w:rsidRDefault="00A85F73" w:rsidP="00A85F73">
      <w:pPr>
        <w:spacing w:after="0" w:line="240" w:lineRule="auto"/>
        <w:ind w:firstLine="567"/>
        <w:jc w:val="both"/>
        <w:rPr>
          <w:rStyle w:val="tlid-translation"/>
        </w:rPr>
      </w:pPr>
    </w:p>
    <w:p w14:paraId="620ACDEC" w14:textId="77777777" w:rsidR="00A85F73" w:rsidRPr="00E25DAB" w:rsidRDefault="00A85F73" w:rsidP="00A85F73">
      <w:pPr>
        <w:spacing w:after="0" w:line="240" w:lineRule="auto"/>
        <w:ind w:firstLine="567"/>
        <w:jc w:val="both"/>
        <w:rPr>
          <w:rFonts w:cs="Arial"/>
        </w:rPr>
      </w:pPr>
      <w:r w:rsidRPr="00E25DAB">
        <w:rPr>
          <w:rFonts w:cs="Arial"/>
        </w:rPr>
        <w:t>Išvada: nustatytas Konvencijos 3 straipsnio pažeidimas (vienbalsiai).</w:t>
      </w:r>
    </w:p>
    <w:p w14:paraId="538AAFF9" w14:textId="77777777" w:rsidR="00A85F73" w:rsidRPr="00E25DAB" w:rsidRDefault="00A85F73" w:rsidP="00A85F73">
      <w:pPr>
        <w:spacing w:after="0" w:line="240" w:lineRule="auto"/>
        <w:ind w:firstLine="567"/>
        <w:jc w:val="both"/>
        <w:rPr>
          <w:rFonts w:cs="Arial"/>
        </w:rPr>
      </w:pPr>
      <w:r w:rsidRPr="00E25DAB">
        <w:t xml:space="preserve">41 straipsnis: </w:t>
      </w:r>
      <w:r w:rsidRPr="00E25DAB">
        <w:rPr>
          <w:rStyle w:val="sfbbfee58"/>
          <w:color w:val="000000"/>
        </w:rPr>
        <w:t>priteistas 20 000 Eur neturtinės žalos atlyginimas.</w:t>
      </w:r>
    </w:p>
    <w:p w14:paraId="0A8DCA1D" w14:textId="12B0B422" w:rsidR="00A85F73" w:rsidRPr="00E25DAB" w:rsidRDefault="00907E3B" w:rsidP="00A85F73">
      <w:pPr>
        <w:ind w:firstLine="567"/>
        <w:rPr>
          <w:rFonts w:cs="Arial"/>
        </w:rPr>
      </w:pPr>
      <w:hyperlink r:id="rId9" w:history="1">
        <w:r w:rsidR="00A85F73" w:rsidRPr="00E25DAB">
          <w:rPr>
            <w:rStyle w:val="Hipersaitas"/>
            <w:rFonts w:cs="Arial"/>
          </w:rPr>
          <w:t>Prieiga internete</w:t>
        </w:r>
      </w:hyperlink>
    </w:p>
    <w:p w14:paraId="219512CD" w14:textId="77777777" w:rsidR="00923885" w:rsidRPr="00E25DAB" w:rsidRDefault="00923885" w:rsidP="00923885">
      <w:pPr>
        <w:pStyle w:val="Antrat1"/>
        <w:rPr>
          <w:szCs w:val="22"/>
        </w:rPr>
      </w:pPr>
      <w:bookmarkStart w:id="3" w:name="_Toc19877679"/>
      <w:r w:rsidRPr="00E25DAB">
        <w:rPr>
          <w:szCs w:val="22"/>
        </w:rPr>
        <w:t>TEISĖ Į LAISVĘ IR SAUGUMĄ (5 straipsnis)</w:t>
      </w:r>
      <w:bookmarkEnd w:id="3"/>
    </w:p>
    <w:p w14:paraId="6EFEFD97" w14:textId="26558EE1" w:rsidR="00923885" w:rsidRPr="00E25DAB" w:rsidRDefault="00923885" w:rsidP="0085488A">
      <w:pPr>
        <w:spacing w:after="0" w:line="240" w:lineRule="auto"/>
        <w:jc w:val="center"/>
        <w:rPr>
          <w:rFonts w:ascii="Calibri" w:hAnsi="Calibri" w:cs="Calibri"/>
          <w:b/>
        </w:rPr>
      </w:pPr>
      <w:r w:rsidRPr="00E25DAB">
        <w:rPr>
          <w:rFonts w:ascii="Calibri" w:hAnsi="Calibri" w:cs="Calibri"/>
          <w:b/>
        </w:rPr>
        <w:t>Europos Žmogaus Teisių Teismo 2019 m. balandžio 2 d. sprendimas byloje</w:t>
      </w:r>
    </w:p>
    <w:p w14:paraId="5AEB5E73" w14:textId="439A65DF" w:rsidR="00923885" w:rsidRPr="00E25DAB" w:rsidRDefault="00923885" w:rsidP="00923885">
      <w:pPr>
        <w:pStyle w:val="Antrat2"/>
        <w:ind w:firstLine="0"/>
        <w:jc w:val="center"/>
        <w:rPr>
          <w:rFonts w:eastAsia="Calibri"/>
          <w:bCs w:val="0"/>
          <w:i/>
          <w:iCs w:val="0"/>
        </w:rPr>
      </w:pPr>
      <w:bookmarkStart w:id="4" w:name="_Toc19877680"/>
      <w:r w:rsidRPr="00E25DAB">
        <w:rPr>
          <w:rFonts w:eastAsia="Calibri"/>
          <w:bCs w:val="0"/>
          <w:i/>
          <w:iCs w:val="0"/>
        </w:rPr>
        <w:t>Aboya Boa Jean prieš Maltą</w:t>
      </w:r>
      <w:bookmarkEnd w:id="4"/>
    </w:p>
    <w:p w14:paraId="47536FC2" w14:textId="7D67AEA0" w:rsidR="00923885" w:rsidRPr="00E25DAB" w:rsidRDefault="00923885" w:rsidP="00923885">
      <w:pPr>
        <w:spacing w:after="0" w:line="240" w:lineRule="auto"/>
        <w:jc w:val="center"/>
        <w:rPr>
          <w:rFonts w:ascii="Calibri" w:hAnsi="Calibri" w:cs="Calibri"/>
          <w:b/>
        </w:rPr>
      </w:pPr>
      <w:r w:rsidRPr="00E25DAB">
        <w:rPr>
          <w:rFonts w:ascii="Calibri" w:hAnsi="Calibri" w:cs="Calibri"/>
          <w:b/>
        </w:rPr>
        <w:t>(pareiškimo Nr. 62676/16, svarbos lygis – 2)</w:t>
      </w:r>
    </w:p>
    <w:p w14:paraId="66F34083" w14:textId="77777777" w:rsidR="00923885" w:rsidRPr="00E25DAB" w:rsidRDefault="00923885" w:rsidP="00923885">
      <w:pPr>
        <w:spacing w:after="0" w:line="240" w:lineRule="auto"/>
        <w:ind w:firstLine="420"/>
        <w:jc w:val="center"/>
        <w:rPr>
          <w:rFonts w:ascii="Calibri" w:hAnsi="Calibri" w:cs="Calibri"/>
        </w:rPr>
      </w:pPr>
    </w:p>
    <w:p w14:paraId="1CFED608" w14:textId="602B5BF2" w:rsidR="00923885" w:rsidRPr="00E25DAB" w:rsidRDefault="00923885" w:rsidP="00923885">
      <w:pPr>
        <w:pStyle w:val="Antrat3"/>
        <w:spacing w:before="0" w:line="240" w:lineRule="auto"/>
        <w:ind w:firstLine="567"/>
        <w:rPr>
          <w:rFonts w:ascii="Calibri" w:hAnsi="Calibri" w:cs="Calibri"/>
          <w:szCs w:val="22"/>
        </w:rPr>
      </w:pPr>
      <w:bookmarkStart w:id="5" w:name="_Toc19877681"/>
      <w:r w:rsidRPr="00E25DAB">
        <w:rPr>
          <w:rFonts w:ascii="Calibri" w:hAnsi="Calibri" w:cs="Calibri"/>
          <w:szCs w:val="22"/>
        </w:rPr>
        <w:t xml:space="preserve">Dėl sprendimo </w:t>
      </w:r>
      <w:r w:rsidR="00A4098B" w:rsidRPr="00E25DAB">
        <w:rPr>
          <w:rFonts w:ascii="Calibri" w:hAnsi="Calibri" w:cs="Calibri"/>
          <w:szCs w:val="22"/>
        </w:rPr>
        <w:t xml:space="preserve">dėl sulaikymo pagrįstumo </w:t>
      </w:r>
      <w:r w:rsidRPr="00E25DAB">
        <w:rPr>
          <w:rFonts w:ascii="Calibri" w:hAnsi="Calibri" w:cs="Calibri"/>
          <w:szCs w:val="22"/>
        </w:rPr>
        <w:t>patikros greitumo</w:t>
      </w:r>
      <w:bookmarkEnd w:id="5"/>
    </w:p>
    <w:p w14:paraId="7765AEB8" w14:textId="77777777" w:rsidR="00923885" w:rsidRPr="00E25DAB" w:rsidRDefault="00923885" w:rsidP="00923885">
      <w:pPr>
        <w:spacing w:after="0" w:line="240" w:lineRule="auto"/>
        <w:ind w:firstLine="420"/>
        <w:jc w:val="center"/>
        <w:rPr>
          <w:rFonts w:ascii="Calibri" w:hAnsi="Calibri" w:cs="Calibri"/>
        </w:rPr>
      </w:pPr>
    </w:p>
    <w:p w14:paraId="12ECC36E" w14:textId="77777777" w:rsidR="00923885" w:rsidRPr="00E25DAB" w:rsidRDefault="00923885" w:rsidP="00BC5EFF">
      <w:pPr>
        <w:spacing w:after="0" w:line="240" w:lineRule="auto"/>
        <w:jc w:val="center"/>
        <w:rPr>
          <w:rFonts w:ascii="Calibri" w:hAnsi="Calibri" w:cs="Calibri"/>
          <w:b/>
        </w:rPr>
      </w:pPr>
      <w:r w:rsidRPr="00E25DAB">
        <w:rPr>
          <w:rFonts w:ascii="Calibri" w:hAnsi="Calibri" w:cs="Calibri"/>
          <w:b/>
        </w:rPr>
        <w:t>Faktinės aplinkybės</w:t>
      </w:r>
    </w:p>
    <w:p w14:paraId="20120CBC" w14:textId="77777777" w:rsidR="00923885" w:rsidRPr="00E25DAB" w:rsidRDefault="00923885" w:rsidP="00923885">
      <w:pPr>
        <w:spacing w:after="0" w:line="240" w:lineRule="auto"/>
        <w:ind w:firstLine="420"/>
        <w:jc w:val="center"/>
        <w:rPr>
          <w:rFonts w:ascii="Calibri" w:hAnsi="Calibri" w:cs="Calibri"/>
        </w:rPr>
      </w:pPr>
    </w:p>
    <w:p w14:paraId="7F6709A0" w14:textId="76532F01" w:rsidR="00923885" w:rsidRPr="00E25DAB" w:rsidRDefault="00923885" w:rsidP="00BC5EFF">
      <w:pPr>
        <w:spacing w:after="0" w:line="240" w:lineRule="auto"/>
        <w:ind w:firstLine="567"/>
        <w:jc w:val="both"/>
        <w:rPr>
          <w:rFonts w:ascii="Calibri" w:hAnsi="Calibri" w:cs="Calibri"/>
        </w:rPr>
      </w:pPr>
      <w:r w:rsidRPr="00E25DAB">
        <w:rPr>
          <w:rFonts w:ascii="Calibri" w:hAnsi="Calibri" w:cs="Calibri"/>
        </w:rPr>
        <w:t>Pareiškėjas Serge Aboya Boa Jean yra Dramblio Kaulo Kranto pilietis, gimęs 1978 metais. Byla buvo susijusi su jo imigraciniu sulaikymu 2 mėnesiams</w:t>
      </w:r>
      <w:r w:rsidR="0085488A" w:rsidRPr="00E25DAB">
        <w:rPr>
          <w:rFonts w:ascii="Calibri" w:hAnsi="Calibri" w:cs="Calibri"/>
        </w:rPr>
        <w:t xml:space="preserve"> Safi Barracks sulaikymo centre Maltoje</w:t>
      </w:r>
      <w:r w:rsidRPr="00E25DAB">
        <w:rPr>
          <w:rFonts w:ascii="Calibri" w:hAnsi="Calibri" w:cs="Calibri"/>
        </w:rPr>
        <w:t xml:space="preserve"> 2016 metais.</w:t>
      </w:r>
    </w:p>
    <w:p w14:paraId="426C2B14" w14:textId="5FB0DAC1" w:rsidR="00923885" w:rsidRPr="00E25DAB" w:rsidRDefault="00923885" w:rsidP="00BC5EFF">
      <w:pPr>
        <w:spacing w:after="0" w:line="240" w:lineRule="auto"/>
        <w:ind w:firstLine="567"/>
        <w:jc w:val="both"/>
        <w:rPr>
          <w:rFonts w:ascii="Calibri" w:hAnsi="Calibri" w:cs="Calibri"/>
        </w:rPr>
      </w:pPr>
      <w:r w:rsidRPr="00E25DAB">
        <w:rPr>
          <w:rFonts w:ascii="Calibri" w:hAnsi="Calibri" w:cs="Calibri"/>
        </w:rPr>
        <w:t>Pareiškėjas į Maltą atskrido lėktuvu 2016 m. rugsėjį.</w:t>
      </w:r>
      <w:r w:rsidR="00BC5EFF" w:rsidRPr="00E25DAB">
        <w:rPr>
          <w:rFonts w:ascii="Calibri" w:hAnsi="Calibri" w:cs="Calibri"/>
        </w:rPr>
        <w:t xml:space="preserve"> Pateikdamas savo piliečio pasą</w:t>
      </w:r>
      <w:r w:rsidRPr="00E25DAB">
        <w:rPr>
          <w:rFonts w:ascii="Calibri" w:hAnsi="Calibri" w:cs="Calibri"/>
        </w:rPr>
        <w:t xml:space="preserve"> imigracijos tarnyboms jis nurodė, jog Armėnijoje jam buvo suteiktas pabėgėlio statusas ir jis siekė gauti prieglobstį Maltoje. Nepaisant to, </w:t>
      </w:r>
      <w:r w:rsidR="00D01E1A">
        <w:rPr>
          <w:rFonts w:ascii="Calibri" w:hAnsi="Calibri" w:cs="Calibri"/>
        </w:rPr>
        <w:t>pareiškėją</w:t>
      </w:r>
      <w:r w:rsidRPr="00E25DAB">
        <w:rPr>
          <w:rFonts w:ascii="Calibri" w:hAnsi="Calibri" w:cs="Calibri"/>
        </w:rPr>
        <w:t xml:space="preserve"> atsisakyta įleisti į šalį ir jis buvo uždarytas imigraciniame sulaikyme, remiantis tuo, jog jis gali pabėgti, kol valdžios institucijos nagrinės jo prieglobsčio prašymą. </w:t>
      </w:r>
    </w:p>
    <w:p w14:paraId="5F627040" w14:textId="7161EB30" w:rsidR="00923885" w:rsidRPr="00E25DAB" w:rsidRDefault="00923885" w:rsidP="00BC5EFF">
      <w:pPr>
        <w:spacing w:after="0" w:line="240" w:lineRule="auto"/>
        <w:ind w:firstLine="567"/>
        <w:jc w:val="both"/>
        <w:rPr>
          <w:rFonts w:ascii="Calibri" w:hAnsi="Calibri" w:cs="Calibri"/>
        </w:rPr>
      </w:pPr>
      <w:r w:rsidRPr="00E25DAB">
        <w:rPr>
          <w:rFonts w:ascii="Calibri" w:hAnsi="Calibri" w:cs="Calibri"/>
        </w:rPr>
        <w:t xml:space="preserve">2016 m. spalį Imigracijos apeliacinė taryba (toliau </w:t>
      </w:r>
      <w:r w:rsidR="00BC5EFF" w:rsidRPr="00E25DAB">
        <w:rPr>
          <w:rFonts w:ascii="Calibri" w:hAnsi="Calibri" w:cs="Calibri"/>
        </w:rPr>
        <w:t>–</w:t>
      </w:r>
      <w:r w:rsidRPr="00E25DAB">
        <w:rPr>
          <w:rFonts w:ascii="Calibri" w:hAnsi="Calibri" w:cs="Calibri"/>
        </w:rPr>
        <w:t xml:space="preserve"> Taryba) patvirtino </w:t>
      </w:r>
      <w:r w:rsidR="00D01E1A">
        <w:rPr>
          <w:rFonts w:ascii="Calibri" w:hAnsi="Calibri" w:cs="Calibri"/>
        </w:rPr>
        <w:t>pareiškėjo</w:t>
      </w:r>
      <w:r w:rsidRPr="00E25DAB">
        <w:rPr>
          <w:rFonts w:ascii="Calibri" w:hAnsi="Calibri" w:cs="Calibri"/>
        </w:rPr>
        <w:t xml:space="preserve"> sulaikymo teisėtumą, nurodydama, kad jam pabėgėlio statusas Armėnijoje dar nebuvo suteiktas ir kad pas jį buvo rastas kelionės bilietas į Italiją bei suklastotas itališkas pasas. Tą patį mėnesį kiti teismai taip pat patvirtino jo sulaikymo teisėtumą. Iš imigracinio sulaikymo pareiškėjas paleistas 2016 m. lapkričio 8 d. bei įpareigotas kasdien registruotis policijos įstaigoje. </w:t>
      </w:r>
    </w:p>
    <w:p w14:paraId="5E7929B4" w14:textId="5488979B" w:rsidR="00923885" w:rsidRPr="00E25DAB" w:rsidRDefault="00923885" w:rsidP="00923885">
      <w:pPr>
        <w:spacing w:after="0" w:line="240" w:lineRule="auto"/>
        <w:ind w:firstLine="567"/>
        <w:jc w:val="both"/>
        <w:rPr>
          <w:rFonts w:ascii="Calibri" w:hAnsi="Calibri" w:cs="Calibri"/>
        </w:rPr>
      </w:pPr>
      <w:r w:rsidRPr="00E25DAB">
        <w:rPr>
          <w:rFonts w:ascii="Calibri" w:hAnsi="Calibri" w:cs="Calibri"/>
        </w:rPr>
        <w:t>Remdamasis Konvencij</w:t>
      </w:r>
      <w:r w:rsidR="00BC5EFF" w:rsidRPr="00E25DAB">
        <w:rPr>
          <w:rFonts w:ascii="Calibri" w:hAnsi="Calibri" w:cs="Calibri"/>
        </w:rPr>
        <w:t>os</w:t>
      </w:r>
      <w:r w:rsidRPr="00E25DAB">
        <w:rPr>
          <w:rFonts w:ascii="Calibri" w:hAnsi="Calibri" w:cs="Calibri"/>
        </w:rPr>
        <w:t xml:space="preserve"> 5 straipsnio 1 dalimi (teisė į laisvę ir saugumą), Aboya Boa Jean teigė, kad jo sulaikymas buvo neteisėtas ir savavališkas. Be to, remdamasis Konvencijos 5 straipsnio 4 dalimi (teisė į sulaikymo teisėtumą, dėl kurio sprendimą greitai priėmė teismas), jis taip pat teigė, kad jam prieinama priemonė, skirta ginčyti sulaikymą, nebuvo greita ar veiksminga.</w:t>
      </w:r>
    </w:p>
    <w:p w14:paraId="6941D227" w14:textId="77777777" w:rsidR="00923885" w:rsidRPr="00E25DAB" w:rsidRDefault="00923885" w:rsidP="00923885">
      <w:pPr>
        <w:spacing w:after="0" w:line="240" w:lineRule="auto"/>
        <w:ind w:firstLine="420"/>
        <w:jc w:val="both"/>
        <w:rPr>
          <w:rFonts w:ascii="Calibri" w:hAnsi="Calibri" w:cs="Calibri"/>
        </w:rPr>
      </w:pPr>
    </w:p>
    <w:p w14:paraId="1D28145C" w14:textId="691121B9" w:rsidR="00923885" w:rsidRPr="00E25DAB" w:rsidRDefault="00923885" w:rsidP="00A962F0">
      <w:pPr>
        <w:spacing w:after="0" w:line="240" w:lineRule="auto"/>
        <w:jc w:val="center"/>
        <w:rPr>
          <w:rFonts w:ascii="Calibri" w:hAnsi="Calibri" w:cs="Calibri"/>
          <w:b/>
        </w:rPr>
      </w:pPr>
      <w:r w:rsidRPr="00E25DAB">
        <w:rPr>
          <w:rFonts w:ascii="Calibri" w:hAnsi="Calibri" w:cs="Calibri"/>
          <w:b/>
        </w:rPr>
        <w:lastRenderedPageBreak/>
        <w:t>Neoficiali teismo sprendimo apžvalga</w:t>
      </w:r>
    </w:p>
    <w:p w14:paraId="25A1E05F" w14:textId="77777777" w:rsidR="00923885" w:rsidRPr="00E25DAB" w:rsidRDefault="00923885" w:rsidP="00923885">
      <w:pPr>
        <w:spacing w:after="0" w:line="240" w:lineRule="auto"/>
        <w:ind w:firstLine="420"/>
        <w:jc w:val="both"/>
        <w:rPr>
          <w:rFonts w:ascii="Calibri" w:hAnsi="Calibri" w:cs="Calibri"/>
        </w:rPr>
      </w:pPr>
    </w:p>
    <w:p w14:paraId="1FCF4542" w14:textId="39DB5C58" w:rsidR="00923885" w:rsidRPr="00E25DAB" w:rsidRDefault="00923885" w:rsidP="00923885">
      <w:pPr>
        <w:spacing w:after="0" w:line="240" w:lineRule="auto"/>
        <w:ind w:firstLine="567"/>
        <w:jc w:val="both"/>
        <w:rPr>
          <w:rFonts w:ascii="Calibri" w:hAnsi="Calibri" w:cs="Calibri"/>
        </w:rPr>
      </w:pPr>
      <w:r w:rsidRPr="00E25DAB">
        <w:rPr>
          <w:rFonts w:ascii="Calibri" w:hAnsi="Calibri" w:cs="Calibri"/>
        </w:rPr>
        <w:t>Teismas nenustatė pažeidimo, vertindamas automatinės imigracinio sulaikymo patikros neįvykdymą per 7 darbo dienas, kaip to reikalauja nacionalinė teisė (pagal Maltos įstatymus, per 7 da</w:t>
      </w:r>
      <w:r w:rsidR="0085488A" w:rsidRPr="00E25DAB">
        <w:rPr>
          <w:rFonts w:ascii="Calibri" w:hAnsi="Calibri" w:cs="Calibri"/>
        </w:rPr>
        <w:t>rbo dienas nuo asmens sulaikymo</w:t>
      </w:r>
      <w:r w:rsidRPr="00E25DAB">
        <w:rPr>
          <w:rFonts w:ascii="Calibri" w:hAnsi="Calibri" w:cs="Calibri"/>
        </w:rPr>
        <w:t xml:space="preserve"> turi įvykti automatinė imigracinio sulaikymo patikra, </w:t>
      </w:r>
      <w:r w:rsidR="00A37A68">
        <w:rPr>
          <w:rFonts w:ascii="Calibri" w:hAnsi="Calibri" w:cs="Calibri"/>
        </w:rPr>
        <w:t xml:space="preserve">kuria </w:t>
      </w:r>
      <w:r w:rsidRPr="00E25DAB">
        <w:rPr>
          <w:rFonts w:ascii="Calibri" w:hAnsi="Calibri" w:cs="Calibri"/>
        </w:rPr>
        <w:t xml:space="preserve">remiantis sulaikymas gali būti pratęstas). Pareiškėjo atveju, priešingai nacionalinei teisei, tokia patikra atlikta tik po 25 dienų. </w:t>
      </w:r>
    </w:p>
    <w:p w14:paraId="6DA0AB72" w14:textId="77777777" w:rsidR="00923885" w:rsidRPr="00E25DAB" w:rsidRDefault="00923885" w:rsidP="00923885">
      <w:pPr>
        <w:spacing w:after="0" w:line="240" w:lineRule="auto"/>
        <w:ind w:firstLine="567"/>
        <w:jc w:val="both"/>
        <w:rPr>
          <w:rFonts w:ascii="Calibri" w:hAnsi="Calibri" w:cs="Calibri"/>
        </w:rPr>
      </w:pPr>
      <w:r w:rsidRPr="00E25DAB">
        <w:rPr>
          <w:rFonts w:ascii="Calibri" w:hAnsi="Calibri" w:cs="Calibri"/>
        </w:rPr>
        <w:t>Konvencijos 5 straipsnio 4 dalies reikalavimus tenkinančios teisminės patikros formos įvairiose srityse gali skirtis ir priklausyti nuo vertinamos laisvės atėmimo rūšies.</w:t>
      </w:r>
    </w:p>
    <w:p w14:paraId="47DE36A4" w14:textId="2F7268C6" w:rsidR="00923885" w:rsidRPr="00E25DAB" w:rsidRDefault="00923885" w:rsidP="00923885">
      <w:pPr>
        <w:spacing w:after="0" w:line="240" w:lineRule="auto"/>
        <w:ind w:firstLine="567"/>
        <w:jc w:val="both"/>
        <w:rPr>
          <w:rFonts w:ascii="Calibri" w:hAnsi="Calibri" w:cs="Calibri"/>
        </w:rPr>
      </w:pPr>
      <w:r w:rsidRPr="00E25DAB">
        <w:rPr>
          <w:rFonts w:ascii="Calibri" w:hAnsi="Calibri" w:cs="Calibri"/>
        </w:rPr>
        <w:t>Neatmesta galimybė, kad teismo vykdoma automatinio periodinio sulaikymo teisėtumo patikros sistema gali užtikrinti Konvencijos 5 straipsnio 4 dalies reikalavimų laikymąsi. Tačiau dėl ilgų laiko tarpų atliekant automatinę periodinę patikrą gali būti pažeista Konvencijos 5 st</w:t>
      </w:r>
      <w:r w:rsidR="0085488A" w:rsidRPr="00E25DAB">
        <w:rPr>
          <w:rFonts w:ascii="Calibri" w:hAnsi="Calibri" w:cs="Calibri"/>
        </w:rPr>
        <w:t>raipsnio 4 dalis. Konvencijos 5 </w:t>
      </w:r>
      <w:r w:rsidRPr="00E25DAB">
        <w:rPr>
          <w:rFonts w:ascii="Calibri" w:hAnsi="Calibri" w:cs="Calibri"/>
        </w:rPr>
        <w:t>straipsnio 4 dalies reikalavimai, susiję su tuo, kas gali būti laikoma „pagrįstu“ intervalu periodinės teisminės patikros prasme, įvairiose srityse skiriasi, atsižvelgiant į vertinamą laisvės atėmimo tipą. Sulaikymo, kol laukiama išsiuntimo ar ekstradicijos, veiksniai, turintys įtakos sulaikymo teisėtumui, bėgant laikui gali keistis. Todėl sulaikymui iki išsiuntimo ar ekstradicijos būtini trumpesni intervalai tarp patikros, palyginti su sulaikymu po to, kai kompetenting</w:t>
      </w:r>
      <w:r w:rsidR="0085488A" w:rsidRPr="00E25DAB">
        <w:rPr>
          <w:rFonts w:ascii="Calibri" w:hAnsi="Calibri" w:cs="Calibri"/>
        </w:rPr>
        <w:t>as teismas paskelbia nuosprendį</w:t>
      </w:r>
      <w:r w:rsidRPr="00E25DAB">
        <w:rPr>
          <w:rFonts w:ascii="Calibri" w:hAnsi="Calibri" w:cs="Calibri"/>
        </w:rPr>
        <w:t xml:space="preserve"> arba kai sulaikomi neveiksnūs asmenys. </w:t>
      </w:r>
    </w:p>
    <w:p w14:paraId="32E2FFBB" w14:textId="3D694B60" w:rsidR="00923885" w:rsidRPr="00E25DAB" w:rsidRDefault="00923885" w:rsidP="00923885">
      <w:pPr>
        <w:spacing w:after="0" w:line="240" w:lineRule="auto"/>
        <w:ind w:firstLine="567"/>
        <w:jc w:val="both"/>
        <w:rPr>
          <w:rFonts w:ascii="Calibri" w:hAnsi="Calibri" w:cs="Calibri"/>
        </w:rPr>
      </w:pPr>
      <w:r w:rsidRPr="00E25DAB">
        <w:rPr>
          <w:rFonts w:ascii="Calibri" w:hAnsi="Calibri" w:cs="Calibri"/>
        </w:rPr>
        <w:t>Atsižvelgiant į ribotą sulaikymo teisėtumo patikros, kaip reikalaujama Konvencijos 5 straipsnio 4 dalyje, apimtį ekstradicijos bylose (kuri nea</w:t>
      </w:r>
      <w:r w:rsidR="003740DD">
        <w:rPr>
          <w:rFonts w:ascii="Calibri" w:hAnsi="Calibri" w:cs="Calibri"/>
        </w:rPr>
        <w:t>prėpia</w:t>
      </w:r>
      <w:r w:rsidRPr="00E25DAB">
        <w:rPr>
          <w:rFonts w:ascii="Calibri" w:hAnsi="Calibri" w:cs="Calibri"/>
        </w:rPr>
        <w:t xml:space="preserve">, pavyzdžiui, klausimų, ar sulaikymas buvo „būtinas“ siekiant užkirsti kelią nusikaltimams arba pabėgimui), patikra neturi būti tokia dažna, kaip laisvės atėmimo atveju pagal Konvencijos 5 straipsnio 1 dalies c punktą. Pavyzdžiui, Teismo vertinimu, laikotarpiai tarp periodinių sulaikymo patikrų </w:t>
      </w:r>
      <w:r w:rsidR="0085488A" w:rsidRPr="00E25DAB">
        <w:rPr>
          <w:rFonts w:ascii="Calibri" w:hAnsi="Calibri" w:cs="Calibri"/>
        </w:rPr>
        <w:t>nuo dviejų iki keturių mėnesių –</w:t>
      </w:r>
      <w:r w:rsidRPr="00E25DAB">
        <w:rPr>
          <w:rFonts w:ascii="Calibri" w:hAnsi="Calibri" w:cs="Calibri"/>
        </w:rPr>
        <w:t xml:space="preserve"> suderinami su Konvencijos 5 straipsnio 4 dalies reikalavimais. Kita vertus, Teismo užduotis byloje nebuvo bandyti nuspręsti dėl maksimalus laikotarpio tarp patikrų, kuris turėtų būti automatiškai taikomas tam tikrai kategorijai sulaikytųjų. Klausimas, ar laikotarpiai atitinka šį reikalavimą, turi būti sprendžiamas atsižvelgiant į kiekvieno atvejo aplinkybes.</w:t>
      </w:r>
    </w:p>
    <w:p w14:paraId="49796DB8" w14:textId="0B7D8529" w:rsidR="00923885" w:rsidRPr="00E25DAB" w:rsidRDefault="00923885" w:rsidP="00923885">
      <w:pPr>
        <w:spacing w:after="0" w:line="240" w:lineRule="auto"/>
        <w:ind w:firstLine="567"/>
        <w:jc w:val="both"/>
        <w:rPr>
          <w:rFonts w:ascii="Calibri" w:hAnsi="Calibri" w:cs="Calibri"/>
        </w:rPr>
      </w:pPr>
      <w:r w:rsidRPr="00E25DAB">
        <w:rPr>
          <w:rFonts w:ascii="Calibri" w:hAnsi="Calibri" w:cs="Calibri"/>
        </w:rPr>
        <w:t>Pareiškėjas sulaikytas 2016 m. rugsėjo 10 d., o į Tarybą atvyko 2016 m. rugsėjo 30 d. Jo pirmoji sulaikymo patikra turėjo vykti automatiškai per septynias darbo dienas, t. y. vėliausiai rugsėjo 20 d. Tačiau rugsėjo 20 d. patikra nebuvo atlikta, nes Tarybos narys buvo užsienyje. Remdamasi nacionaliniais teisės aktais, Taryba galėjo pratęsti šį terminą dar septynioms darbo dienoms. Atsižvelgiant į tai, kad rugsėjo 21 d. buvo valstybinė šventė, t. y. ne darbo diena, kita patikra turėjo būti surengt</w:t>
      </w:r>
      <w:r w:rsidR="009B127E" w:rsidRPr="00E25DAB">
        <w:rPr>
          <w:rFonts w:ascii="Calibri" w:hAnsi="Calibri" w:cs="Calibri"/>
        </w:rPr>
        <w:t>a ne vėliau kaip rugsėjo 30 d. –</w:t>
      </w:r>
      <w:r w:rsidRPr="00E25DAB">
        <w:rPr>
          <w:rFonts w:ascii="Calibri" w:hAnsi="Calibri" w:cs="Calibri"/>
        </w:rPr>
        <w:t xml:space="preserve"> tą dieną, kurią </w:t>
      </w:r>
      <w:r w:rsidR="009B127E" w:rsidRPr="00E25DAB">
        <w:rPr>
          <w:rFonts w:ascii="Calibri" w:hAnsi="Calibri" w:cs="Calibri"/>
        </w:rPr>
        <w:t xml:space="preserve">Taryba </w:t>
      </w:r>
      <w:r w:rsidRPr="00E25DAB">
        <w:rPr>
          <w:rFonts w:ascii="Calibri" w:hAnsi="Calibri" w:cs="Calibri"/>
        </w:rPr>
        <w:t xml:space="preserve">iš tikrųjų buvo sušaukta. Kai rugsėjo 30 d. Taryba susirinko, ji vis dar įsiteko į maksimalius nacionaliniuose teisės aktuose nustatytus terminus. Tą dieną, atsižvelgiant į tai, kad vienas iš pasirinktų pareiškėjo advokatų buvo užsienyje, byla buvo atidėta iki 2016 m. spalio 5 d. Pastarąją dieną Taryba paaiškino pareiškėjui, kodėl ji negalėjo laikytis įstatyme nustatyto pirmosios patikros termino; ji apsvarstė pareiškėjo situaciją ir motyvuotai nusprendė tęsti pareiškėjo sulaikymą. </w:t>
      </w:r>
    </w:p>
    <w:p w14:paraId="5272FBF1" w14:textId="77777777" w:rsidR="00923885" w:rsidRPr="00E25DAB" w:rsidRDefault="00923885" w:rsidP="00923885">
      <w:pPr>
        <w:spacing w:after="0" w:line="240" w:lineRule="auto"/>
        <w:ind w:firstLine="567"/>
        <w:jc w:val="both"/>
        <w:rPr>
          <w:rFonts w:ascii="Calibri" w:hAnsi="Calibri" w:cs="Calibri"/>
        </w:rPr>
      </w:pPr>
      <w:r w:rsidRPr="00E25DAB">
        <w:rPr>
          <w:rFonts w:ascii="Calibri" w:hAnsi="Calibri" w:cs="Calibri"/>
        </w:rPr>
        <w:t>Taigi procedūrinė neatitiktis byloje buvo ta, kad pareiškėjas per pirmąsias septynias darbo dienas neturėjo automatinės patikros ir kad patikros laikotarpis nebuvo tinkamai pratęstas. Nepaisant to, posėdis įvyko per įstatyme nustatytą maksimalų laiką ir jis buvo atidėtas tik todėl, kad vienas iš pasirinktų pareiškėjo advokatų buvo užsienyje.</w:t>
      </w:r>
    </w:p>
    <w:p w14:paraId="20382D10" w14:textId="207801D2" w:rsidR="00923885" w:rsidRPr="00E25DAB" w:rsidRDefault="00923885" w:rsidP="00923885">
      <w:pPr>
        <w:spacing w:after="0" w:line="240" w:lineRule="auto"/>
        <w:ind w:firstLine="567"/>
        <w:jc w:val="both"/>
        <w:rPr>
          <w:rFonts w:ascii="Calibri" w:hAnsi="Calibri" w:cs="Calibri"/>
        </w:rPr>
      </w:pPr>
      <w:r w:rsidRPr="00E25DAB">
        <w:rPr>
          <w:rFonts w:ascii="Calibri" w:hAnsi="Calibri" w:cs="Calibri"/>
        </w:rPr>
        <w:t xml:space="preserve">Nors pagal Konvencijos 5 straipsnio 1 dalį sulaikymas, neatitinkantis nacionalinių teisės aktų, pažeidė šią nuostatą, įstatyme nustatytų automatinės patikros terminų pažeidimas </w:t>
      </w:r>
      <w:r w:rsidR="009B127E" w:rsidRPr="00E25DAB">
        <w:rPr>
          <w:rFonts w:ascii="Calibri" w:hAnsi="Calibri" w:cs="Calibri"/>
        </w:rPr>
        <w:t>nebūtinai reiškia Konvencijos 5 </w:t>
      </w:r>
      <w:r w:rsidRPr="00E25DAB">
        <w:rPr>
          <w:rFonts w:ascii="Calibri" w:hAnsi="Calibri" w:cs="Calibri"/>
        </w:rPr>
        <w:t>straipsnio 4 dalies pažeidimą, jei byla dėl</w:t>
      </w:r>
      <w:r w:rsidR="009B127E" w:rsidRPr="00E25DAB">
        <w:rPr>
          <w:rFonts w:ascii="Calibri" w:hAnsi="Calibri" w:cs="Calibri"/>
        </w:rPr>
        <w:t xml:space="preserve"> pareiškėjo sulaikymo teisėtumo</w:t>
      </w:r>
      <w:r w:rsidRPr="00E25DAB">
        <w:rPr>
          <w:rFonts w:ascii="Calibri" w:hAnsi="Calibri" w:cs="Calibri"/>
        </w:rPr>
        <w:t xml:space="preserve"> vis dėlto buvo išnagrinėta greitai. Pareiškėjo atveju, nepaisant tam tikrų pažeidimų, laikas, praėjęs iki jo pirmosios peržiūros, negalėjo būti laikomas nepagrįstu.</w:t>
      </w:r>
    </w:p>
    <w:p w14:paraId="2625707E" w14:textId="77777777" w:rsidR="00923885" w:rsidRPr="00E25DAB" w:rsidRDefault="00923885" w:rsidP="00923885">
      <w:pPr>
        <w:spacing w:after="0" w:line="240" w:lineRule="auto"/>
        <w:ind w:firstLine="567"/>
        <w:jc w:val="both"/>
        <w:rPr>
          <w:rFonts w:ascii="Calibri" w:hAnsi="Calibri" w:cs="Calibri"/>
        </w:rPr>
      </w:pPr>
      <w:r w:rsidRPr="00E25DAB">
        <w:rPr>
          <w:rFonts w:ascii="Calibri" w:hAnsi="Calibri" w:cs="Calibri"/>
        </w:rPr>
        <w:t>Teismas taip pat vienbalsiai nusprendė, kad nebuvo pažeista Konvencijos 5 straipsnio 1 dalis, konstatuodamas, kad pareiškėjo sulaikymas buvo glaudžiai susijęs su valstybės nurodytu sulaikymo pagrindu, o sulaikymo trukmė negalėjo būti laikoma nepagrįsta.</w:t>
      </w:r>
    </w:p>
    <w:p w14:paraId="055955AA" w14:textId="77777777" w:rsidR="00923885" w:rsidRPr="00E25DAB" w:rsidRDefault="00923885" w:rsidP="00923885">
      <w:pPr>
        <w:spacing w:after="0" w:line="240" w:lineRule="auto"/>
        <w:ind w:firstLine="420"/>
        <w:jc w:val="both"/>
        <w:rPr>
          <w:rFonts w:ascii="Calibri" w:hAnsi="Calibri" w:cs="Calibri"/>
        </w:rPr>
      </w:pPr>
    </w:p>
    <w:p w14:paraId="4F37FD99" w14:textId="77777777" w:rsidR="00923885" w:rsidRPr="00E25DAB" w:rsidRDefault="00923885" w:rsidP="00923885">
      <w:pPr>
        <w:spacing w:after="0" w:line="240" w:lineRule="auto"/>
        <w:ind w:firstLine="567"/>
        <w:jc w:val="both"/>
        <w:rPr>
          <w:rFonts w:ascii="Calibri" w:hAnsi="Calibri" w:cs="Calibri"/>
        </w:rPr>
      </w:pPr>
      <w:r w:rsidRPr="00E25DAB">
        <w:rPr>
          <w:rFonts w:ascii="Calibri" w:hAnsi="Calibri" w:cs="Calibri"/>
        </w:rPr>
        <w:t xml:space="preserve">Išvada: Konvencijos 5 straipsnio 1 dalies ir 5 straipsnio 4 dalies pažeidimai nenustatyti (vienbalsiai). </w:t>
      </w:r>
    </w:p>
    <w:p w14:paraId="3208C22E" w14:textId="77777777" w:rsidR="00923885" w:rsidRPr="00E25DAB" w:rsidRDefault="00907E3B" w:rsidP="00923885">
      <w:pPr>
        <w:spacing w:after="0" w:line="240" w:lineRule="auto"/>
        <w:ind w:firstLine="567"/>
        <w:jc w:val="both"/>
        <w:rPr>
          <w:rFonts w:ascii="Calibri" w:hAnsi="Calibri" w:cs="Calibri"/>
        </w:rPr>
      </w:pPr>
      <w:hyperlink r:id="rId10" w:history="1">
        <w:r w:rsidR="00923885" w:rsidRPr="00E25DAB">
          <w:rPr>
            <w:rStyle w:val="Hipersaitas"/>
            <w:rFonts w:ascii="Calibri" w:hAnsi="Calibri" w:cs="Calibri"/>
          </w:rPr>
          <w:t xml:space="preserve">Prieiga internete </w:t>
        </w:r>
      </w:hyperlink>
    </w:p>
    <w:p w14:paraId="0E06471A" w14:textId="77777777" w:rsidR="00EE09AD" w:rsidRPr="00E25DAB" w:rsidRDefault="00EE09AD" w:rsidP="009A1B99">
      <w:pPr>
        <w:pStyle w:val="Antrat1"/>
        <w:rPr>
          <w:rFonts w:ascii="Calibri" w:hAnsi="Calibri" w:cs="Calibri"/>
          <w:szCs w:val="22"/>
        </w:rPr>
      </w:pPr>
      <w:bookmarkStart w:id="6" w:name="_Toc19877682"/>
      <w:r w:rsidRPr="00E25DAB">
        <w:rPr>
          <w:rFonts w:ascii="Calibri" w:hAnsi="Calibri" w:cs="Calibri"/>
          <w:szCs w:val="22"/>
        </w:rPr>
        <w:t>TEISĖ Į TEISINGĄ BYLOS NAGRINĖJIMĄ (6 straipsnis)</w:t>
      </w:r>
      <w:bookmarkEnd w:id="6"/>
    </w:p>
    <w:p w14:paraId="10932CDC" w14:textId="77777777" w:rsidR="00E0534B" w:rsidRPr="00E25DAB" w:rsidRDefault="00E0534B" w:rsidP="009A1B99">
      <w:pPr>
        <w:spacing w:after="0" w:line="240" w:lineRule="auto"/>
        <w:jc w:val="center"/>
        <w:rPr>
          <w:rFonts w:ascii="Calibri" w:hAnsi="Calibri" w:cs="Calibri"/>
        </w:rPr>
      </w:pPr>
      <w:bookmarkStart w:id="7" w:name="_Toc454808457"/>
    </w:p>
    <w:p w14:paraId="699403F4" w14:textId="77777777" w:rsidR="00CE3CF3" w:rsidRPr="00E25DAB" w:rsidRDefault="00CE3CF3" w:rsidP="00CE3CF3">
      <w:pPr>
        <w:spacing w:after="0" w:line="240" w:lineRule="auto"/>
        <w:jc w:val="center"/>
        <w:rPr>
          <w:rFonts w:cstheme="minorHAnsi"/>
          <w:b/>
        </w:rPr>
      </w:pPr>
      <w:r w:rsidRPr="00E25DAB">
        <w:rPr>
          <w:rFonts w:cstheme="minorHAnsi"/>
          <w:b/>
        </w:rPr>
        <w:t>Europos Žmogaus Teisių Teismo 2019 m. sausio 29 d. sprendimas</w:t>
      </w:r>
    </w:p>
    <w:p w14:paraId="6E689209" w14:textId="77777777" w:rsidR="00CE3CF3" w:rsidRPr="00E25DAB" w:rsidRDefault="00CE3CF3" w:rsidP="00CE3CF3">
      <w:pPr>
        <w:pStyle w:val="Antrat2"/>
        <w:ind w:firstLine="0"/>
        <w:jc w:val="center"/>
        <w:rPr>
          <w:rFonts w:eastAsia="Calibri"/>
          <w:i/>
        </w:rPr>
      </w:pPr>
      <w:bookmarkStart w:id="8" w:name="_Toc1657778"/>
      <w:bookmarkStart w:id="9" w:name="_Toc19877683"/>
      <w:r w:rsidRPr="00E25DAB">
        <w:rPr>
          <w:rFonts w:eastAsia="Calibri"/>
          <w:i/>
        </w:rPr>
        <w:lastRenderedPageBreak/>
        <w:t>Orlen Lietuva prieš Lietuvą</w:t>
      </w:r>
      <w:bookmarkEnd w:id="8"/>
      <w:bookmarkEnd w:id="9"/>
    </w:p>
    <w:p w14:paraId="3CB760C6" w14:textId="77777777" w:rsidR="00CE3CF3" w:rsidRPr="00E25DAB" w:rsidRDefault="00CE3CF3" w:rsidP="00CE3CF3">
      <w:pPr>
        <w:spacing w:after="0" w:line="240" w:lineRule="auto"/>
        <w:jc w:val="center"/>
        <w:rPr>
          <w:rFonts w:cstheme="minorHAnsi"/>
          <w:b/>
        </w:rPr>
      </w:pPr>
      <w:r w:rsidRPr="00E25DAB">
        <w:rPr>
          <w:rFonts w:cstheme="minorHAnsi"/>
          <w:b/>
        </w:rPr>
        <w:t>(pareiškimo Nr. 45849/13, svarbos lygis – 3)</w:t>
      </w:r>
    </w:p>
    <w:p w14:paraId="62086F5C" w14:textId="77777777" w:rsidR="00CE3CF3" w:rsidRPr="00E25DAB" w:rsidRDefault="00CE3CF3" w:rsidP="00CE3CF3">
      <w:pPr>
        <w:spacing w:after="0" w:line="240" w:lineRule="auto"/>
        <w:ind w:firstLine="720"/>
        <w:jc w:val="both"/>
        <w:rPr>
          <w:rFonts w:cstheme="minorHAnsi"/>
        </w:rPr>
      </w:pPr>
    </w:p>
    <w:p w14:paraId="78A4F7AE" w14:textId="77777777" w:rsidR="00CE3CF3" w:rsidRPr="00E25DAB" w:rsidRDefault="00CE3CF3" w:rsidP="00CE3CF3">
      <w:pPr>
        <w:pStyle w:val="Antrat3"/>
        <w:ind w:firstLine="567"/>
        <w:jc w:val="both"/>
        <w:rPr>
          <w:rFonts w:eastAsiaTheme="minorHAnsi" w:cstheme="minorHAnsi"/>
          <w:b/>
          <w:bCs/>
          <w:i w:val="0"/>
          <w:iCs/>
          <w:szCs w:val="22"/>
        </w:rPr>
      </w:pPr>
      <w:bookmarkStart w:id="10" w:name="_Toc1657779"/>
      <w:bookmarkStart w:id="11" w:name="_Toc19877684"/>
      <w:r w:rsidRPr="00E25DAB">
        <w:rPr>
          <w:rFonts w:eastAsiaTheme="minorHAnsi" w:cstheme="minorHAnsi"/>
          <w:szCs w:val="22"/>
        </w:rPr>
        <w:t xml:space="preserve">Dėl </w:t>
      </w:r>
      <w:bookmarkEnd w:id="10"/>
      <w:r w:rsidRPr="00E25DAB">
        <w:rPr>
          <w:rFonts w:eastAsiaTheme="minorHAnsi" w:cstheme="minorHAnsi"/>
          <w:szCs w:val="22"/>
        </w:rPr>
        <w:t>teismo precedento laikymosi skaičiuojant senaties terminą</w:t>
      </w:r>
      <w:bookmarkEnd w:id="11"/>
    </w:p>
    <w:p w14:paraId="6BBED78D" w14:textId="77777777" w:rsidR="00CE3CF3" w:rsidRPr="00E25DAB" w:rsidRDefault="00CE3CF3" w:rsidP="00CE3CF3">
      <w:pPr>
        <w:spacing w:after="0" w:line="240" w:lineRule="auto"/>
        <w:ind w:firstLine="720"/>
        <w:jc w:val="both"/>
        <w:rPr>
          <w:rFonts w:cstheme="minorHAnsi"/>
        </w:rPr>
      </w:pPr>
    </w:p>
    <w:p w14:paraId="13603A7B" w14:textId="77777777" w:rsidR="00CE3CF3" w:rsidRPr="00E25DAB" w:rsidRDefault="00CE3CF3" w:rsidP="00CE3CF3">
      <w:pPr>
        <w:spacing w:after="0" w:line="240" w:lineRule="auto"/>
        <w:jc w:val="center"/>
        <w:rPr>
          <w:rFonts w:cstheme="minorHAnsi"/>
          <w:b/>
        </w:rPr>
      </w:pPr>
      <w:r w:rsidRPr="00E25DAB">
        <w:rPr>
          <w:rFonts w:cstheme="minorHAnsi"/>
          <w:b/>
        </w:rPr>
        <w:t>Faktinės aplinkybės</w:t>
      </w:r>
    </w:p>
    <w:p w14:paraId="6DB036B4" w14:textId="77777777" w:rsidR="00CE3CF3" w:rsidRPr="00E25DAB" w:rsidRDefault="00CE3CF3" w:rsidP="00CE3CF3">
      <w:pPr>
        <w:spacing w:after="0" w:line="240" w:lineRule="auto"/>
        <w:ind w:firstLine="720"/>
        <w:jc w:val="both"/>
        <w:rPr>
          <w:rFonts w:cstheme="minorHAnsi"/>
        </w:rPr>
      </w:pPr>
    </w:p>
    <w:p w14:paraId="1C2F962C" w14:textId="6BD33A74" w:rsidR="00CE3CF3" w:rsidRPr="00E25DAB" w:rsidRDefault="00CE3CF3" w:rsidP="00CE3CF3">
      <w:pPr>
        <w:spacing w:after="0" w:line="240" w:lineRule="auto"/>
        <w:ind w:firstLine="567"/>
        <w:jc w:val="both"/>
        <w:rPr>
          <w:rFonts w:cstheme="minorHAnsi"/>
        </w:rPr>
      </w:pPr>
      <w:r w:rsidRPr="00E25DAB">
        <w:rPr>
          <w:rFonts w:cstheme="minorHAnsi"/>
        </w:rPr>
        <w:t>2004 m. Konkurencijos taryba pradėjo 2002-2004 m. laikotarpį apimantį tyrimą dėl pareiškėjo Orlen Lietuva piktnaudžiavimo dominuojančia padėtimi. Pareiškėjo teigimu, paskutiniai jo veiksmai, kurie galėjo būti vertinti tyrime, atlikti 2004 m. gruodžio 31 d., tačiau 2005 m.</w:t>
      </w:r>
      <w:r w:rsidR="001A2B79">
        <w:rPr>
          <w:rFonts w:cstheme="minorHAnsi"/>
        </w:rPr>
        <w:t>,</w:t>
      </w:r>
      <w:r w:rsidRPr="00E25DAB">
        <w:rPr>
          <w:rFonts w:cstheme="minorHAnsi"/>
        </w:rPr>
        <w:t xml:space="preserve"> išplėtusi tyrimo ribas</w:t>
      </w:r>
      <w:r w:rsidR="001A2B79">
        <w:rPr>
          <w:rFonts w:cstheme="minorHAnsi"/>
        </w:rPr>
        <w:t>,</w:t>
      </w:r>
      <w:r w:rsidRPr="00E25DAB">
        <w:rPr>
          <w:rFonts w:cstheme="minorHAnsi"/>
        </w:rPr>
        <w:t xml:space="preserve"> Konkurencijos taryba nustatė, kad pareiškėjo veiksmai turėjo poveikį Europos Sąjungos valstybių narių tarpusavio prekybai, kaip tai numatyta Europos Bendrijos steigimo sutarties 82 straipsnyje (dabar – Sutarties dėl Europos Sąjungos veikimo 102 str.) ir pareiškėjui paskyrė 32 000 000 Lt (9 267 841 Eur) baudą. Pareiškėjui apskundus šį sprendimą, byla grąžinta Konkurencijos tarybai atlikti papildomą tyrimą.</w:t>
      </w:r>
    </w:p>
    <w:p w14:paraId="68A0D658" w14:textId="0B50F5BA" w:rsidR="00CE3CF3" w:rsidRPr="00E25DAB" w:rsidRDefault="00726DE9" w:rsidP="00CE3CF3">
      <w:pPr>
        <w:spacing w:after="0" w:line="240" w:lineRule="auto"/>
        <w:ind w:firstLine="567"/>
        <w:jc w:val="both"/>
        <w:rPr>
          <w:rFonts w:cstheme="minorHAnsi"/>
        </w:rPr>
      </w:pPr>
      <w:r w:rsidRPr="00E25DAB">
        <w:rPr>
          <w:rFonts w:cstheme="minorHAnsi"/>
        </w:rPr>
        <w:t>Nacionalinis t</w:t>
      </w:r>
      <w:r w:rsidR="00CE3CF3" w:rsidRPr="00E25DAB">
        <w:rPr>
          <w:rFonts w:cstheme="minorHAnsi"/>
        </w:rPr>
        <w:t xml:space="preserve">eismas atmetė vėlesnį pareiškėjo skundą dėl Konkurencijos tarybos tyrimo ir nurodė, kad Konkurencijos taryba turėjo vykdyti teismo sprendimą ir skundžiamu nutarimu buvo tik atnaujintas anksčiau vykdytas tyrimas vykdant </w:t>
      </w:r>
      <w:r w:rsidRPr="00E25DAB">
        <w:rPr>
          <w:rFonts w:cstheme="minorHAnsi"/>
        </w:rPr>
        <w:t>Lietuvos vyriausiojo administracinio teismo (toliau – LVAT)</w:t>
      </w:r>
      <w:r w:rsidR="00CE3CF3" w:rsidRPr="00E25DAB">
        <w:rPr>
          <w:rFonts w:cstheme="minorHAnsi"/>
        </w:rPr>
        <w:t xml:space="preserve"> įpareigojimą, o ne pradėtas naujas tyrimas. Konkurencijos taryba dar kartą konstatavo, kad pareiškėjas pažeidė Konkurencijos įstatymą ir Sutartį dėl Europos Sąjungos veikimo ir paskyrė 8 231 000 Lt (2 383 862 Eur) baudą. Pareiškėjas pakartotinai kreipėsi į teismą ir nurodė, kad suėjus senaties terminui negali būti baudžiamas dėl padaryto pažeidimo, be to, kad Konkurencijos įstatymo numatytos sankcijos kelia grėsmę ūkio subjektų veiklos tęstinumui, todėl logiška, kad įstatymas nenumato galimybės sustabdyti ar atnaujinti senaties terminą.</w:t>
      </w:r>
      <w:r w:rsidRPr="00E25DAB">
        <w:rPr>
          <w:rFonts w:cstheme="minorHAnsi"/>
        </w:rPr>
        <w:t xml:space="preserve"> 2013 </w:t>
      </w:r>
      <w:r w:rsidR="00CE3CF3" w:rsidRPr="00E25DAB">
        <w:rPr>
          <w:rFonts w:cstheme="minorHAnsi"/>
        </w:rPr>
        <w:t xml:space="preserve">m. sausio 21 d. LVAT išplėstinė teisėjų kolegija, </w:t>
      </w:r>
      <w:r w:rsidR="00CE3CF3" w:rsidRPr="00E25DAB">
        <w:rPr>
          <w:rFonts w:cstheme="minorHAnsi"/>
          <w:i/>
          <w:iCs/>
        </w:rPr>
        <w:t>inter alia</w:t>
      </w:r>
      <w:r w:rsidR="00CE3CF3" w:rsidRPr="00E25DAB">
        <w:rPr>
          <w:rFonts w:cstheme="minorHAnsi"/>
        </w:rPr>
        <w:t xml:space="preserve"> pasiremdama „pieno produktų</w:t>
      </w:r>
      <w:r w:rsidR="00667ACB" w:rsidRPr="00E25DAB">
        <w:rPr>
          <w:rFonts w:cstheme="minorHAnsi"/>
        </w:rPr>
        <w:t>“</w:t>
      </w:r>
      <w:r w:rsidR="00CE3CF3" w:rsidRPr="00E25DAB">
        <w:rPr>
          <w:rFonts w:cstheme="minorHAnsi"/>
        </w:rPr>
        <w:t xml:space="preserve"> byla, sutiko su pirmosios instancijos teismo išvadomis ir nurodė, kad senaties terminas nebuvo praleistas bei sumažino ba</w:t>
      </w:r>
      <w:r w:rsidRPr="00E25DAB">
        <w:rPr>
          <w:rFonts w:cstheme="minorHAnsi"/>
        </w:rPr>
        <w:t>udą iki 7 819 450 Lt (2 264 669 </w:t>
      </w:r>
      <w:r w:rsidR="00CE3CF3" w:rsidRPr="00E25DAB">
        <w:rPr>
          <w:rFonts w:cstheme="minorHAnsi"/>
        </w:rPr>
        <w:t>Eur).</w:t>
      </w:r>
    </w:p>
    <w:p w14:paraId="7D4BEF4B" w14:textId="21765387" w:rsidR="00CE3CF3" w:rsidRPr="00E25DAB" w:rsidRDefault="00CE3CF3" w:rsidP="00CE3CF3">
      <w:pPr>
        <w:spacing w:after="0" w:line="240" w:lineRule="auto"/>
        <w:ind w:firstLine="567"/>
        <w:jc w:val="both"/>
        <w:rPr>
          <w:rFonts w:cstheme="minorHAnsi"/>
        </w:rPr>
      </w:pPr>
      <w:r w:rsidRPr="00E25DAB">
        <w:rPr>
          <w:rFonts w:cstheme="minorHAnsi"/>
        </w:rPr>
        <w:t xml:space="preserve">Pareiškėjas, remdamasis Konvencijos 6 straipsniu (teisė į teisingą teismą), teigė, kad </w:t>
      </w:r>
      <w:r w:rsidRPr="00E25DAB">
        <w:t>Konkurencijos tarybos bauda skirta jau pasibaigus senaties terminui, be to, LVAT skirtingai aiškino senaties termino skaičiavimą dv</w:t>
      </w:r>
      <w:r w:rsidR="001A2B79">
        <w:t>i</w:t>
      </w:r>
      <w:r w:rsidRPr="00E25DAB">
        <w:t>ejose neva panašiose bylose. Dėl to, jog bauda buvo paskirta jau suėjus senaties terminui, pareiškėjas rėmėsi ir 7 straipsniu (negali būti skiriama griežtesnė bausmė negu ta, kuri galėjo būti taikyta nusikaltimo padarymo momentu).</w:t>
      </w:r>
    </w:p>
    <w:p w14:paraId="6527FDB7" w14:textId="77777777" w:rsidR="00CE3CF3" w:rsidRPr="00E25DAB" w:rsidRDefault="00CE3CF3" w:rsidP="00CE3CF3">
      <w:pPr>
        <w:spacing w:after="0" w:line="240" w:lineRule="auto"/>
        <w:ind w:firstLine="720"/>
        <w:jc w:val="both"/>
        <w:rPr>
          <w:rFonts w:cstheme="minorHAnsi"/>
        </w:rPr>
      </w:pPr>
    </w:p>
    <w:p w14:paraId="4A3D3DDB" w14:textId="77777777" w:rsidR="00CE3CF3" w:rsidRPr="00E25DAB" w:rsidRDefault="00CE3CF3" w:rsidP="00CE3CF3">
      <w:pPr>
        <w:spacing w:after="0" w:line="240" w:lineRule="auto"/>
        <w:jc w:val="center"/>
        <w:rPr>
          <w:rFonts w:cstheme="minorHAnsi"/>
          <w:b/>
        </w:rPr>
      </w:pPr>
      <w:r w:rsidRPr="00E25DAB">
        <w:rPr>
          <w:rFonts w:cstheme="minorHAnsi"/>
          <w:b/>
        </w:rPr>
        <w:t>Neoficiali Teismo sprendimo apžvalga</w:t>
      </w:r>
    </w:p>
    <w:p w14:paraId="2A7AD560" w14:textId="77777777" w:rsidR="00CE3CF3" w:rsidRPr="00E25DAB" w:rsidRDefault="00CE3CF3" w:rsidP="00CE3CF3">
      <w:pPr>
        <w:spacing w:after="0" w:line="240" w:lineRule="auto"/>
        <w:ind w:firstLine="720"/>
        <w:jc w:val="both"/>
        <w:rPr>
          <w:rFonts w:cstheme="minorHAnsi"/>
        </w:rPr>
      </w:pPr>
    </w:p>
    <w:p w14:paraId="45587D0C" w14:textId="5534F79B" w:rsidR="00CE3CF3" w:rsidRPr="00E25DAB" w:rsidRDefault="00CE3CF3" w:rsidP="00CE3CF3">
      <w:pPr>
        <w:spacing w:after="0" w:line="240" w:lineRule="auto"/>
        <w:ind w:firstLine="567"/>
        <w:jc w:val="both"/>
        <w:rPr>
          <w:rFonts w:cstheme="minorHAnsi"/>
        </w:rPr>
      </w:pPr>
      <w:r w:rsidRPr="00E25DAB">
        <w:rPr>
          <w:rFonts w:cstheme="minorHAnsi"/>
        </w:rPr>
        <w:t>Teismas priminė pagrindinius principus, kuriais vadovaujamasi sprendžiant dėl išsiskiriančios nacionalinių teismų praktikos: nors teisinis tikrumas yra vienas iš fundamentalių teisinės valstybės elementų, vien tam tikri skirtumai tarp teismo sprendimų savaime nelemia Konvencijos pažeidimo. Teismų praktikos vystymas taip pat nėra priešingas tinkamam teisingumo įgyvendinimui, o skirtingas dviejų ginčų sprendimas negali būti laikomas nenuoseklia teismų praktika, jei jis pateisinamas faktine bylos situacija. Kriterijai, kuriais Teismas vadovaujasi vertindamas aplinkybes prieštaringuose sprendimuose, yra: pirma, ar teismų praktikoje yra „esm</w:t>
      </w:r>
      <w:r w:rsidR="00726DE9" w:rsidRPr="00E25DAB">
        <w:rPr>
          <w:rFonts w:cstheme="minorHAnsi"/>
        </w:rPr>
        <w:t>iniai ir ilgalaikiai skirtumai“</w:t>
      </w:r>
      <w:r w:rsidRPr="00E25DAB">
        <w:rPr>
          <w:rFonts w:cstheme="minorHAnsi"/>
        </w:rPr>
        <w:t>; antra, ar nacionalinė teisė numato mechanizmą ištaisyti tokius skirtumus; trečia, ar tuo mechanizmu buvo pasinaudota</w:t>
      </w:r>
      <w:r w:rsidR="00726DE9" w:rsidRPr="00E25DAB">
        <w:rPr>
          <w:rFonts w:cstheme="minorHAnsi"/>
        </w:rPr>
        <w:t>,</w:t>
      </w:r>
      <w:r w:rsidRPr="00E25DAB">
        <w:rPr>
          <w:rFonts w:cstheme="minorHAnsi"/>
        </w:rPr>
        <w:t xml:space="preserve"> ir jei taip, kokie to rezultatai. Teismas taip pat priminė, kad praktikos unifikavimas reikalauja laiko, o teismų sprendimai turi būti tinkamai argumentuoti.</w:t>
      </w:r>
    </w:p>
    <w:p w14:paraId="6EC1FF89" w14:textId="77777777" w:rsidR="00CE3CF3" w:rsidRPr="00E25DAB" w:rsidRDefault="00CE3CF3" w:rsidP="00CE3CF3">
      <w:pPr>
        <w:spacing w:after="0" w:line="240" w:lineRule="auto"/>
        <w:ind w:firstLine="567"/>
        <w:jc w:val="both"/>
        <w:rPr>
          <w:rFonts w:cstheme="minorHAnsi"/>
        </w:rPr>
      </w:pPr>
      <w:r w:rsidRPr="00E25DAB">
        <w:rPr>
          <w:rFonts w:cstheme="minorHAnsi"/>
        </w:rPr>
        <w:t>Lietuvos vyriausybės argumentas, kad senaties termino skaičiavimo stabdymo būtinumas kyla iš tarptautinių sutarčių ir Europos Sąjungos teisės viršenybės Lietuvos teisinėje sistemoje buvo atmestas kaip šiuo aspektu nepagrįstas, nes nacionaliniai teismai savo sprendimuose nesirėmė atitinkamomis Europos Sąjungos teisės nuostatomis.</w:t>
      </w:r>
    </w:p>
    <w:p w14:paraId="2375243B" w14:textId="599521FF" w:rsidR="00CE3CF3" w:rsidRPr="00E25DAB" w:rsidRDefault="00CE3CF3" w:rsidP="00CE3CF3">
      <w:pPr>
        <w:spacing w:after="0" w:line="240" w:lineRule="auto"/>
        <w:ind w:firstLine="567"/>
        <w:jc w:val="both"/>
        <w:rPr>
          <w:rFonts w:cstheme="minorHAnsi"/>
        </w:rPr>
      </w:pPr>
      <w:r w:rsidRPr="00E25DAB">
        <w:rPr>
          <w:rFonts w:cstheme="minorHAnsi"/>
        </w:rPr>
        <w:t xml:space="preserve">Pareiškėjo argumentą, kad sprendimas jo byloje skyrėsi nuo sprendimo </w:t>
      </w:r>
      <w:r w:rsidR="00667ACB" w:rsidRPr="00E25DAB">
        <w:rPr>
          <w:rFonts w:cstheme="minorHAnsi"/>
        </w:rPr>
        <w:t>„</w:t>
      </w:r>
      <w:r w:rsidRPr="00E25DAB">
        <w:rPr>
          <w:rFonts w:cstheme="minorHAnsi"/>
        </w:rPr>
        <w:t>pieno produktų</w:t>
      </w:r>
      <w:r w:rsidR="00667ACB" w:rsidRPr="00E25DAB">
        <w:rPr>
          <w:rFonts w:cstheme="minorHAnsi"/>
        </w:rPr>
        <w:t>“</w:t>
      </w:r>
      <w:r w:rsidRPr="00E25DAB">
        <w:rPr>
          <w:rFonts w:cstheme="minorHAnsi"/>
        </w:rPr>
        <w:t xml:space="preserve"> byloje</w:t>
      </w:r>
      <w:r w:rsidR="00667ACB" w:rsidRPr="00E25DAB">
        <w:rPr>
          <w:rFonts w:cstheme="minorHAnsi"/>
        </w:rPr>
        <w:t>,</w:t>
      </w:r>
      <w:r w:rsidRPr="00E25DAB">
        <w:rPr>
          <w:rFonts w:cstheme="minorHAnsi"/>
        </w:rPr>
        <w:t xml:space="preserve"> Teismas atmetė. Kaip buvo pažymėta, Teismas nevertina nacionalinio teismo atlikto išaiškinimo, susijusio su senaties terminu, kadangi tai galėtų lemti teismų išaiškinimų pakeitimą Teismo pažiūromis. Teismas pabrėžė, kad pareiškėjas galėjo pateikti savo argumentus dviem teismų instancijoms, kuriose buvo laikomasi rungimosi principo. LVAT nutartyje nurodė savo 2010 m. sprendimo pareiškėjo byloje </w:t>
      </w:r>
      <w:r w:rsidRPr="00E25DAB">
        <w:rPr>
          <w:rFonts w:cstheme="minorHAnsi"/>
          <w:i/>
          <w:iCs/>
        </w:rPr>
        <w:t>res judicata</w:t>
      </w:r>
      <w:r w:rsidRPr="00E25DAB">
        <w:rPr>
          <w:rFonts w:cstheme="minorHAnsi"/>
        </w:rPr>
        <w:t xml:space="preserve"> galią bei galutinių teismo sprendimų vykdymo svarbą. Teismo vertinimu, LVAT motyvai, dėl kurių buvo nesivadovauta principais, nurodytais </w:t>
      </w:r>
      <w:r w:rsidR="00667ACB" w:rsidRPr="00E25DAB">
        <w:rPr>
          <w:rFonts w:cstheme="minorHAnsi"/>
        </w:rPr>
        <w:t>„</w:t>
      </w:r>
      <w:r w:rsidRPr="00E25DAB">
        <w:rPr>
          <w:rFonts w:cstheme="minorHAnsi"/>
        </w:rPr>
        <w:t>pieno produktų</w:t>
      </w:r>
      <w:r w:rsidR="00667ACB" w:rsidRPr="00E25DAB">
        <w:rPr>
          <w:rFonts w:cstheme="minorHAnsi"/>
        </w:rPr>
        <w:t>“</w:t>
      </w:r>
      <w:r w:rsidRPr="00E25DAB">
        <w:rPr>
          <w:rFonts w:cstheme="minorHAnsi"/>
        </w:rPr>
        <w:t xml:space="preserve"> byloje, buvo labai glausti (tačiau jie buvo) ir nepaaiškino, kodėl tai, </w:t>
      </w:r>
      <w:r w:rsidRPr="00E25DAB">
        <w:rPr>
          <w:rFonts w:cstheme="minorHAnsi"/>
        </w:rPr>
        <w:lastRenderedPageBreak/>
        <w:t xml:space="preserve">jog pareiškėjo byla yra susijusi su Europos Sąjungos teisės taikymu, skiria ją nuo </w:t>
      </w:r>
      <w:r w:rsidR="00667ACB" w:rsidRPr="00E25DAB">
        <w:rPr>
          <w:rFonts w:cstheme="minorHAnsi"/>
        </w:rPr>
        <w:t>„</w:t>
      </w:r>
      <w:r w:rsidRPr="00E25DAB">
        <w:rPr>
          <w:rFonts w:cstheme="minorHAnsi"/>
        </w:rPr>
        <w:t>pieno produktų</w:t>
      </w:r>
      <w:r w:rsidR="00667ACB" w:rsidRPr="00E25DAB">
        <w:rPr>
          <w:rFonts w:cstheme="minorHAnsi"/>
        </w:rPr>
        <w:t>“</w:t>
      </w:r>
      <w:r w:rsidRPr="00E25DAB">
        <w:rPr>
          <w:rFonts w:cstheme="minorHAnsi"/>
        </w:rPr>
        <w:t xml:space="preserve"> bylos. Vis dėlto, atsižvelgiant į tai, kad senaties termino klausimu nebuvo jokios nusistovėjusios vieningos jurisprudencijos, Teismas nusprendė, kad LVAT nutartyje nebuvo padaryta faktinė ar t</w:t>
      </w:r>
      <w:r w:rsidR="001A2B79">
        <w:rPr>
          <w:rFonts w:cstheme="minorHAnsi"/>
        </w:rPr>
        <w:t>ei</w:t>
      </w:r>
      <w:r w:rsidRPr="00E25DAB">
        <w:rPr>
          <w:rFonts w:cstheme="minorHAnsi"/>
        </w:rPr>
        <w:t>sinė klaida, lėmusi teisingumo neužtikrinimą. Įvertinęs vykusio teisminio proceso visumą, Teismas pažymėjo, kad LVAT sprendimas nebuvo nemotyvuotas, todėl padarė išvadą, kad nei sprendimo pareiškėjo byloje, palyginus su pieno produktų byla, skirtumas, nei teismo pateiktas sprendimo motyv</w:t>
      </w:r>
      <w:r w:rsidR="00667ACB" w:rsidRPr="00E25DAB">
        <w:rPr>
          <w:rFonts w:cstheme="minorHAnsi"/>
        </w:rPr>
        <w:t>avimas nepažeidė Konvencijos 6 </w:t>
      </w:r>
      <w:r w:rsidRPr="00E25DAB">
        <w:rPr>
          <w:rFonts w:cstheme="minorHAnsi"/>
        </w:rPr>
        <w:t>straipsnio.</w:t>
      </w:r>
    </w:p>
    <w:p w14:paraId="5FFBAFD7" w14:textId="77777777" w:rsidR="00CE3CF3" w:rsidRPr="00E25DAB" w:rsidRDefault="00CE3CF3" w:rsidP="00CE3CF3">
      <w:pPr>
        <w:spacing w:after="0" w:line="240" w:lineRule="auto"/>
        <w:ind w:firstLine="567"/>
        <w:jc w:val="both"/>
        <w:rPr>
          <w:rFonts w:cstheme="minorHAnsi"/>
        </w:rPr>
      </w:pPr>
      <w:r w:rsidRPr="00E25DAB">
        <w:rPr>
          <w:rFonts w:cstheme="minorHAnsi"/>
        </w:rPr>
        <w:t>Kadangi pareiškėjas teigė, jog 2 383 862 Eur bauda, paskirta jau suėjus senaties terminui, reiškia bausmę pagal Konvencijos 7 straipsnio 1 dalį, Teismas pažymėjo, kad pareiškėjas nepagrindė, kaip Konkurencijos įstatyme esantis senaties terminas susijęs su pažeidimo ar bausmės sąvokomis. Teismo vertinimu, jam pateikta medžiaga neatskleidžia jokio Konvencijos 7 straipsnio 1 dalies pažeidimo, tad ši pareiškėjo prašymo dalis atmesta kaip akivaizdžiai nepagrįsta.</w:t>
      </w:r>
    </w:p>
    <w:p w14:paraId="5595C516" w14:textId="77777777" w:rsidR="00CE3CF3" w:rsidRPr="00E25DAB" w:rsidRDefault="00CE3CF3" w:rsidP="00CE3CF3">
      <w:pPr>
        <w:spacing w:after="0" w:line="240" w:lineRule="auto"/>
        <w:ind w:firstLine="720"/>
        <w:jc w:val="both"/>
        <w:rPr>
          <w:rFonts w:cstheme="minorHAnsi"/>
        </w:rPr>
      </w:pPr>
    </w:p>
    <w:p w14:paraId="6DB6D21A" w14:textId="77777777" w:rsidR="00CE3CF3" w:rsidRPr="00E25DAB" w:rsidRDefault="00CE3CF3" w:rsidP="00CE3CF3">
      <w:pPr>
        <w:spacing w:after="0" w:line="240" w:lineRule="auto"/>
        <w:ind w:firstLine="567"/>
        <w:jc w:val="both"/>
        <w:rPr>
          <w:rFonts w:cstheme="minorHAnsi"/>
        </w:rPr>
      </w:pPr>
      <w:r w:rsidRPr="00E25DAB">
        <w:rPr>
          <w:rFonts w:cstheme="minorHAnsi"/>
        </w:rPr>
        <w:t>Išvada: Konvencijos 6 straipsnio pažeidimas nenustatytas (vienbalsiai).</w:t>
      </w:r>
    </w:p>
    <w:p w14:paraId="19A72BFB" w14:textId="77777777" w:rsidR="00CE3CF3" w:rsidRPr="00E25DAB" w:rsidRDefault="00907E3B" w:rsidP="00CE3CF3">
      <w:pPr>
        <w:spacing w:after="0" w:line="240" w:lineRule="auto"/>
        <w:ind w:firstLine="567"/>
        <w:jc w:val="both"/>
        <w:rPr>
          <w:rFonts w:cstheme="minorHAnsi"/>
        </w:rPr>
      </w:pPr>
      <w:hyperlink r:id="rId11" w:history="1">
        <w:r w:rsidR="00CE3CF3" w:rsidRPr="00E25DAB">
          <w:rPr>
            <w:rStyle w:val="Hipersaitas"/>
            <w:rFonts w:cstheme="minorHAnsi"/>
          </w:rPr>
          <w:t>Prieiga internete</w:t>
        </w:r>
      </w:hyperlink>
    </w:p>
    <w:p w14:paraId="22FFE1C8" w14:textId="77777777" w:rsidR="00CE3CF3" w:rsidRPr="00E25DAB" w:rsidRDefault="00CE3CF3" w:rsidP="001C0508">
      <w:pPr>
        <w:spacing w:after="0" w:line="240" w:lineRule="auto"/>
        <w:ind w:firstLine="567"/>
        <w:jc w:val="center"/>
        <w:rPr>
          <w:rFonts w:ascii="Calibri" w:hAnsi="Calibri" w:cs="Calibri"/>
          <w:b/>
        </w:rPr>
      </w:pPr>
    </w:p>
    <w:p w14:paraId="6B6E085F" w14:textId="77777777" w:rsidR="00426F74" w:rsidRPr="00E25DAB" w:rsidRDefault="00426F74" w:rsidP="00426F74">
      <w:pPr>
        <w:pStyle w:val="s30eec3f8"/>
        <w:shd w:val="clear" w:color="auto" w:fill="FFFFFF"/>
        <w:spacing w:before="0" w:beforeAutospacing="0" w:after="0" w:afterAutospacing="0"/>
        <w:jc w:val="center"/>
        <w:rPr>
          <w:rStyle w:val="sb8d990e2"/>
          <w:rFonts w:asciiTheme="minorHAnsi" w:hAnsiTheme="minorHAnsi" w:cs="Arial"/>
          <w:b/>
          <w:sz w:val="22"/>
          <w:szCs w:val="22"/>
        </w:rPr>
      </w:pPr>
      <w:r w:rsidRPr="00E25DAB">
        <w:rPr>
          <w:rStyle w:val="sb8d990e2"/>
          <w:rFonts w:asciiTheme="minorHAnsi" w:hAnsiTheme="minorHAnsi" w:cs="Arial"/>
          <w:b/>
          <w:sz w:val="22"/>
          <w:szCs w:val="22"/>
        </w:rPr>
        <w:t>Europos Žmogaus Teisių Teismo 2019 m. vasario 14 d. sprendimas byloje</w:t>
      </w:r>
    </w:p>
    <w:p w14:paraId="7744216A" w14:textId="77777777" w:rsidR="00426F74" w:rsidRPr="00E25DAB" w:rsidRDefault="00426F74" w:rsidP="00426F74">
      <w:pPr>
        <w:pStyle w:val="s30eec3f8"/>
        <w:shd w:val="clear" w:color="auto" w:fill="FFFFFF"/>
        <w:spacing w:before="0" w:beforeAutospacing="0" w:after="0" w:afterAutospacing="0"/>
        <w:jc w:val="center"/>
        <w:outlineLvl w:val="1"/>
        <w:rPr>
          <w:rStyle w:val="sb8d990e2"/>
          <w:rFonts w:asciiTheme="minorHAnsi" w:eastAsia="Calibri" w:hAnsiTheme="minorHAnsi"/>
          <w:b/>
          <w:bCs/>
          <w:i/>
          <w:iCs/>
          <w:color w:val="2E74B5" w:themeColor="accent1" w:themeShade="BF"/>
          <w:sz w:val="22"/>
          <w:szCs w:val="22"/>
          <w:lang w:eastAsia="en-US"/>
        </w:rPr>
      </w:pPr>
      <w:bookmarkStart w:id="12" w:name="_Toc19877685"/>
      <w:r w:rsidRPr="00E25DAB">
        <w:rPr>
          <w:rFonts w:asciiTheme="minorHAnsi" w:eastAsia="Calibri" w:hAnsiTheme="minorHAnsi"/>
          <w:b/>
          <w:bCs/>
          <w:i/>
          <w:iCs/>
          <w:color w:val="2E74B5" w:themeColor="accent1" w:themeShade="BF"/>
          <w:sz w:val="22"/>
          <w:szCs w:val="22"/>
          <w:lang w:eastAsia="en-US"/>
        </w:rPr>
        <w:t>Sa-Capital Oy prieš Suomiją</w:t>
      </w:r>
      <w:bookmarkEnd w:id="12"/>
      <w:r w:rsidRPr="00E25DAB">
        <w:rPr>
          <w:rStyle w:val="sb8d990e2"/>
          <w:rFonts w:asciiTheme="minorHAnsi" w:eastAsia="Calibri" w:hAnsiTheme="minorHAnsi"/>
          <w:b/>
          <w:bCs/>
          <w:i/>
          <w:iCs/>
          <w:color w:val="2E74B5" w:themeColor="accent1" w:themeShade="BF"/>
          <w:sz w:val="22"/>
          <w:szCs w:val="22"/>
          <w:lang w:eastAsia="en-US"/>
        </w:rPr>
        <w:t xml:space="preserve"> </w:t>
      </w:r>
    </w:p>
    <w:p w14:paraId="0BC2D7EC" w14:textId="77777777" w:rsidR="00426F74" w:rsidRPr="00E25DAB" w:rsidRDefault="00426F74" w:rsidP="00426F74">
      <w:pPr>
        <w:pStyle w:val="s30eec3f8"/>
        <w:shd w:val="clear" w:color="auto" w:fill="FFFFFF"/>
        <w:spacing w:before="0" w:beforeAutospacing="0" w:after="0" w:afterAutospacing="0"/>
        <w:jc w:val="center"/>
        <w:rPr>
          <w:rStyle w:val="sb8d990e2"/>
          <w:rFonts w:asciiTheme="minorHAnsi" w:hAnsiTheme="minorHAnsi" w:cs="Arial"/>
          <w:b/>
          <w:sz w:val="22"/>
          <w:szCs w:val="22"/>
        </w:rPr>
      </w:pPr>
      <w:r w:rsidRPr="00E25DAB">
        <w:rPr>
          <w:rStyle w:val="sb8d990e2"/>
          <w:rFonts w:asciiTheme="minorHAnsi" w:hAnsiTheme="minorHAnsi" w:cs="Arial"/>
          <w:b/>
          <w:sz w:val="22"/>
          <w:szCs w:val="22"/>
        </w:rPr>
        <w:t xml:space="preserve">(pareiškimo Nr. </w:t>
      </w:r>
      <w:r w:rsidRPr="00E25DAB">
        <w:rPr>
          <w:rStyle w:val="sb8d990e2"/>
          <w:rFonts w:asciiTheme="minorHAnsi" w:eastAsiaTheme="majorEastAsia" w:hAnsiTheme="minorHAnsi" w:cs="Arial"/>
          <w:b/>
          <w:sz w:val="22"/>
          <w:szCs w:val="22"/>
        </w:rPr>
        <w:t xml:space="preserve">5556/10, </w:t>
      </w:r>
      <w:r w:rsidRPr="00E25DAB">
        <w:rPr>
          <w:rFonts w:asciiTheme="minorHAnsi" w:eastAsiaTheme="majorEastAsia" w:hAnsiTheme="minorHAnsi" w:cs="Arial"/>
          <w:b/>
          <w:sz w:val="22"/>
          <w:szCs w:val="22"/>
        </w:rPr>
        <w:t>svarbos lygis – 2</w:t>
      </w:r>
      <w:r w:rsidRPr="00E25DAB">
        <w:rPr>
          <w:rStyle w:val="sb8d990e2"/>
          <w:rFonts w:asciiTheme="minorHAnsi" w:hAnsiTheme="minorHAnsi" w:cs="Arial"/>
          <w:b/>
          <w:sz w:val="22"/>
          <w:szCs w:val="22"/>
        </w:rPr>
        <w:t>)</w:t>
      </w:r>
    </w:p>
    <w:p w14:paraId="4CE22850" w14:textId="77777777" w:rsidR="00426F74" w:rsidRPr="00E25DAB" w:rsidRDefault="00426F74" w:rsidP="00426F74">
      <w:pPr>
        <w:shd w:val="clear" w:color="auto" w:fill="FFFFFF"/>
        <w:spacing w:after="0" w:line="240" w:lineRule="auto"/>
        <w:ind w:firstLine="567"/>
        <w:jc w:val="center"/>
        <w:rPr>
          <w:rFonts w:eastAsia="Times New Roman" w:cstheme="minorHAnsi"/>
          <w:b/>
          <w:bCs/>
          <w:color w:val="000000"/>
        </w:rPr>
      </w:pPr>
    </w:p>
    <w:p w14:paraId="1B316C04" w14:textId="77777777" w:rsidR="00426F74" w:rsidRPr="00E93315" w:rsidRDefault="00426F74" w:rsidP="00426F74">
      <w:pPr>
        <w:pStyle w:val="Antrat3"/>
        <w:spacing w:before="0" w:line="240" w:lineRule="auto"/>
        <w:ind w:firstLine="567"/>
        <w:rPr>
          <w:rFonts w:eastAsia="Calibri" w:cs="Times New Roman"/>
          <w:szCs w:val="22"/>
          <w:lang w:val="en-GB"/>
        </w:rPr>
      </w:pPr>
      <w:bookmarkStart w:id="13" w:name="_Toc1657783"/>
      <w:bookmarkStart w:id="14" w:name="_Toc19877686"/>
      <w:r w:rsidRPr="00E25DAB">
        <w:rPr>
          <w:rFonts w:eastAsia="Calibri" w:cs="Times New Roman"/>
          <w:szCs w:val="22"/>
        </w:rPr>
        <w:t xml:space="preserve">Dėl </w:t>
      </w:r>
      <w:bookmarkEnd w:id="13"/>
      <w:r w:rsidRPr="00E25DAB">
        <w:rPr>
          <w:rFonts w:eastAsia="Calibri" w:cs="Times New Roman"/>
          <w:szCs w:val="22"/>
        </w:rPr>
        <w:t>teisės į teisingą teismą ir nekaltumo prezumpcijos</w:t>
      </w:r>
      <w:bookmarkEnd w:id="14"/>
    </w:p>
    <w:p w14:paraId="52099EF5" w14:textId="77777777" w:rsidR="00426F74" w:rsidRPr="00E25DAB" w:rsidRDefault="00426F74" w:rsidP="00426F74">
      <w:pPr>
        <w:spacing w:after="0" w:line="240" w:lineRule="auto"/>
        <w:ind w:firstLine="567"/>
      </w:pPr>
    </w:p>
    <w:p w14:paraId="5623FE1C" w14:textId="77777777" w:rsidR="00426F74" w:rsidRPr="00E25DAB" w:rsidRDefault="00426F74" w:rsidP="00426F74">
      <w:pPr>
        <w:shd w:val="clear" w:color="auto" w:fill="FFFFFF"/>
        <w:spacing w:after="0" w:line="240" w:lineRule="auto"/>
        <w:jc w:val="center"/>
        <w:rPr>
          <w:rFonts w:eastAsia="Times New Roman" w:cstheme="minorHAnsi"/>
          <w:b/>
          <w:bCs/>
          <w:color w:val="000000"/>
        </w:rPr>
      </w:pPr>
      <w:r w:rsidRPr="00E25DAB">
        <w:rPr>
          <w:rFonts w:eastAsia="Times New Roman" w:cstheme="minorHAnsi"/>
          <w:b/>
          <w:bCs/>
          <w:color w:val="000000"/>
        </w:rPr>
        <w:t>Faktinės aplinkybės</w:t>
      </w:r>
    </w:p>
    <w:p w14:paraId="3DD86199" w14:textId="77777777" w:rsidR="00426F74" w:rsidRPr="00E25DAB" w:rsidRDefault="00426F74" w:rsidP="00426F74">
      <w:pPr>
        <w:spacing w:after="0" w:line="240" w:lineRule="auto"/>
        <w:ind w:firstLine="567"/>
      </w:pPr>
    </w:p>
    <w:p w14:paraId="3124F3DD" w14:textId="44AE3DF2" w:rsidR="00426F74" w:rsidRPr="00E25DAB" w:rsidRDefault="00426F74" w:rsidP="00426F74">
      <w:pPr>
        <w:spacing w:after="0" w:line="240" w:lineRule="auto"/>
        <w:ind w:firstLine="567"/>
        <w:jc w:val="both"/>
      </w:pPr>
      <w:r w:rsidRPr="00E25DAB">
        <w:t>Po konkurencijos priežiūrą vykdančios institucijos pradėto tyrimo teismas nusprendė, kad pareiškėjas dalyvavo centrinei valdžiai teikiamų pasiūlymų karteliniame susitarime. Pareiškėjas nubaustas 75 000 Eur bauda. Vyriausiasis administracinis teismas tokį sprendimą panaikino ir nurodė, kad 1994-2002 m. egzistavo visą šalį a</w:t>
      </w:r>
      <w:r w:rsidR="004C1958">
        <w:t>prėpiantis</w:t>
      </w:r>
      <w:r w:rsidRPr="00E25DAB">
        <w:t xml:space="preserve"> kartelis, paveikęs tiek centrinę, tiek regioninę valdžią, </w:t>
      </w:r>
      <w:r w:rsidR="004C1958">
        <w:t xml:space="preserve">taip pat </w:t>
      </w:r>
      <w:r w:rsidRPr="00E25DAB">
        <w:t>ir privatų sektorių. Pareiškėjo įmonė dalyvavo kartelyje centrinės</w:t>
      </w:r>
      <w:r w:rsidR="004C1958">
        <w:t xml:space="preserve"> </w:t>
      </w:r>
      <w:r w:rsidRPr="00E25DAB">
        <w:t>ir regioninės valdžios lyg</w:t>
      </w:r>
      <w:r w:rsidR="004C1958">
        <w:t>meniu</w:t>
      </w:r>
      <w:r w:rsidRPr="00E25DAB">
        <w:t xml:space="preserve"> nuo 1995 m. iki 2000 m. Tai lėmė baudos pareiškėjui padidinimą iki 500 000 Eur. Tokios teismo išvados buvo pagrįstos įrodymais, kurie tiesiogiai išsakyti teisme, taip pat liudijimais, kuriuos liudytojai rėmė savo patirtimi arba nuogirdomis iš kitų asmenų.</w:t>
      </w:r>
    </w:p>
    <w:p w14:paraId="71AC317C" w14:textId="26E269B8" w:rsidR="00426F74" w:rsidRPr="00E25DAB" w:rsidRDefault="00426F74" w:rsidP="00426F74">
      <w:pPr>
        <w:spacing w:after="0" w:line="240" w:lineRule="auto"/>
        <w:ind w:firstLine="567"/>
        <w:jc w:val="both"/>
      </w:pPr>
      <w:r w:rsidRPr="00E25DAB">
        <w:t xml:space="preserve">Pareiškėjas, remdamasis Konvencijos 6 straipsnio 1 dalimi (teisė į teisingą bylos nagrinėjimą) ir 3 dalies d punktu (teisė apklausti liudytojus arba turėti galimybę, kad liudytojai būtų apklausti), skundėsi, jog Vyriausiasis administracinis teismas rėmėsi nuogirdomis ir neidentifikuotais šaltiniais, kurie nebuvo ir negalėjo būti apklausiami. Remdamasis Konvencijos 6 straipsnio 1 ir 2 dalimis (teisė į teisingą bylos nagrinėjimą ir nekaltumo prezumpcija), pareiškėjas nurodė, kad Vyriausiasis administracinis teismas konkurencijos bylose taiko žemesnį nei „be pagrįstų abejonių“ ar „įrodymų persvaros“ standartą. Be to, pareiškėjas skundėsi dėl įrodinėjimo naštos perkėlimo. </w:t>
      </w:r>
    </w:p>
    <w:p w14:paraId="75F357D5" w14:textId="77777777" w:rsidR="00426F74" w:rsidRPr="00E25DAB" w:rsidRDefault="00426F74" w:rsidP="00426F74">
      <w:pPr>
        <w:spacing w:after="0" w:line="240" w:lineRule="auto"/>
        <w:ind w:firstLine="567"/>
        <w:jc w:val="both"/>
      </w:pPr>
    </w:p>
    <w:p w14:paraId="137D74E7" w14:textId="77777777" w:rsidR="00426F74" w:rsidRPr="00E25DAB" w:rsidRDefault="00426F74" w:rsidP="00426F74">
      <w:pPr>
        <w:shd w:val="clear" w:color="auto" w:fill="FFFFFF"/>
        <w:spacing w:after="0" w:line="240" w:lineRule="auto"/>
        <w:jc w:val="center"/>
        <w:rPr>
          <w:rFonts w:eastAsia="Times New Roman" w:cstheme="minorHAnsi"/>
          <w:b/>
          <w:bCs/>
          <w:color w:val="000000"/>
        </w:rPr>
      </w:pPr>
      <w:r w:rsidRPr="00E25DAB">
        <w:rPr>
          <w:rFonts w:eastAsia="Times New Roman" w:cstheme="minorHAnsi"/>
          <w:b/>
          <w:bCs/>
          <w:color w:val="000000"/>
        </w:rPr>
        <w:t>Neoficiali Teismo sprendimo apžvalga</w:t>
      </w:r>
    </w:p>
    <w:p w14:paraId="4EFA7265" w14:textId="77777777" w:rsidR="00426F74" w:rsidRPr="00E25DAB" w:rsidRDefault="00426F74" w:rsidP="00426F74">
      <w:pPr>
        <w:spacing w:after="0" w:line="240" w:lineRule="auto"/>
        <w:ind w:firstLine="567"/>
        <w:jc w:val="both"/>
      </w:pPr>
    </w:p>
    <w:p w14:paraId="79037A88" w14:textId="1D0772AF" w:rsidR="00426F74" w:rsidRPr="00E25DAB" w:rsidRDefault="00426F74" w:rsidP="00426F74">
      <w:pPr>
        <w:spacing w:after="0" w:line="240" w:lineRule="auto"/>
        <w:ind w:firstLine="567"/>
        <w:jc w:val="both"/>
      </w:pPr>
      <w:r w:rsidRPr="00E25DAB">
        <w:t>Teismas, nusprendęs pareiškėjo skundą nagrinėti Konvencijos 6 straipsnio 1 dalies ribose ir pabrėžęs, kad kai kuriose bylose, nepaisant to, jog jos patenka į Konvencijos 6 straipsnio reguliavimo sritį, procesinės garantijos nebūtinai taikomos visa apimtimi, nurodė, kad, konkurencijos byloms dažnai esant sudėtingoms bei kompleksinėms, reikia vertinti teismo proceso kaip visumos teisingumą. Iš tiesų apeliacine tvarka nagrinėdamas kilusį ginčą Vyriausiasis administracinis teismas turėjo vertinti keletą elementų, susijusių su finansinėmis, faktinėmis bei teisinėmis aplinkybėmis. Teismo vertinimu, pareiškėjas galėjo daryti įtaką tam, kurie įrodymai yra pateikiami Vyriausiajam administraciniam teismui, kadangi dalyvavo parengiamajame posėdyje, kuriame tai buvo aptariama. Pareiškėjas nereikalavo, kad būtų apklausta daugiau liudytojų, nei tie šeši, kurie teismo buvo pakviesti. Teismas nusprendė, kad Vyriausiojo administracinio teismo atliktas įrodymų vertinimas buvo pagrįstas.</w:t>
      </w:r>
    </w:p>
    <w:p w14:paraId="1580BE8D" w14:textId="77777777" w:rsidR="00426F74" w:rsidRPr="00E25DAB" w:rsidRDefault="00426F74" w:rsidP="00426F74">
      <w:pPr>
        <w:spacing w:after="0" w:line="240" w:lineRule="auto"/>
        <w:ind w:firstLine="567"/>
        <w:jc w:val="both"/>
      </w:pPr>
      <w:r w:rsidRPr="00E25DAB">
        <w:lastRenderedPageBreak/>
        <w:t>Teismas taip pat pažymėjo, kad pagrindinis klausimas, kurį turėjo išspręsti Vyriausiasis administracinis teismas, buvo pareiškėjo įsitraukimo į kartelį mastas – ar jis buvo susijęs su centrine valdžia, ar su regionine valdžia ir privačiu sektoriumi. Tam Vyriausiasis administracinis teismas pasitelkė pirmosios instancijos teisme liudytojų duotus parodymus ir išklausė apeliacinėje instancijoje duotus parodymus liudytojų, kurių keli tiesiogiai nurodė pareiškėją kaip kartelio dalyvį. Nors tam tikrų liudytojų parodymai galėjo būti nepatikimos manipuliacijos, Teismas sprendė, kad priimdamas sprendimą Vyriausiasis administracinis teismas nesirėmė tokiais (nepatikimais) liudijimais.</w:t>
      </w:r>
    </w:p>
    <w:p w14:paraId="071AE68A" w14:textId="43556F83" w:rsidR="00426F74" w:rsidRPr="00E25DAB" w:rsidRDefault="00426F74" w:rsidP="00426F74">
      <w:pPr>
        <w:spacing w:after="0" w:line="240" w:lineRule="auto"/>
        <w:ind w:firstLine="567"/>
        <w:jc w:val="both"/>
      </w:pPr>
      <w:r w:rsidRPr="00E25DAB">
        <w:t>Teismas pažymėjo, kad pats procesas pareiškėjo atžvilgiu buvo sąžiningas ir teisingas: Vyriausiasis administracinis teismas paaiškino ginčo sprendimui reikšmingas nacionalines ir Europos Sąjungos nuostatas, taip pat atsižvelgė į Konvencijos 6 straipsnio reikalavimus. Pareiškėjas galėjo prieštarauti surinktiems įrodymams, taip pat teikti savo įrodymus, t</w:t>
      </w:r>
      <w:r w:rsidR="003E32FC">
        <w:t>aigi –</w:t>
      </w:r>
      <w:r w:rsidRPr="00E25DAB">
        <w:t xml:space="preserve"> naudotis teise į gynybą. Atsižvelgdamas į tai Teismas nusprendė, kad aptartomis aplinkybėmis Vyriausiasis administracinis teismas galėjo remtis netiesioginiais įrodymais.</w:t>
      </w:r>
    </w:p>
    <w:p w14:paraId="2E0B0244" w14:textId="0948072A" w:rsidR="00426F74" w:rsidRPr="00E25DAB" w:rsidRDefault="00426F74" w:rsidP="00426F74">
      <w:pPr>
        <w:spacing w:after="0" w:line="240" w:lineRule="auto"/>
        <w:ind w:firstLine="567"/>
        <w:jc w:val="both"/>
      </w:pPr>
      <w:r w:rsidRPr="00E25DAB">
        <w:t>Teismas taip pat pažymėjo, kad Vyriausiasis administracinis teismas savo sprendime aptarė įrodinėjimo naštos paskirstymą ir jai taikomus standartus. Teismo vertinimu, konkurencijos institucija surinko išsamius įrodymus, kad pareiškėjas dalyvavo karteliniame susitarime, o pareiškėjas nesugebėjo paneigti nei šių įrodymų, nei konkurencijos priežiūrą vykdančios institucijos padarytų išvadų. Teismas nurodė, kad nėra jokių priežasčių laikyti, jog Vyriausiojo administracinio teismo taikyti principai kaip nors pažeidė Konvencijos 6 straipsnio 2 dalį, ar kad teismui buvo iš anksto daroma įtaka pripažinti pareiškėją atsakingu už dalyvavimą karteliniame susitarime. Teismo vertinimu, negali būti teigiama, kad Vyriausiasis administracinis teismas perkėlė įrodinėjimo naštą pareiškėj</w:t>
      </w:r>
      <w:r w:rsidR="003E32FC">
        <w:t>ui</w:t>
      </w:r>
      <w:r w:rsidRPr="00E25DAB">
        <w:t xml:space="preserve"> ar kad taikytas atsakomybės įrodymo standartas buvo neteisingas. Todėl šiuos pareiškėjo nusiskundimus Teismas atmetė kaip nepriimtinus.</w:t>
      </w:r>
    </w:p>
    <w:p w14:paraId="7762C523" w14:textId="77777777" w:rsidR="00426F74" w:rsidRPr="00E25DAB" w:rsidRDefault="00426F74" w:rsidP="00426F74">
      <w:pPr>
        <w:spacing w:after="0" w:line="240" w:lineRule="auto"/>
        <w:ind w:firstLine="567"/>
        <w:jc w:val="both"/>
      </w:pPr>
      <w:r w:rsidRPr="00E25DAB">
        <w:t xml:space="preserve">               </w:t>
      </w:r>
    </w:p>
    <w:p w14:paraId="38E1336D" w14:textId="77777777" w:rsidR="00426F74" w:rsidRPr="00E25DAB" w:rsidRDefault="00426F74" w:rsidP="00426F74">
      <w:pPr>
        <w:spacing w:after="0" w:line="240" w:lineRule="auto"/>
        <w:ind w:firstLine="567"/>
        <w:jc w:val="both"/>
      </w:pPr>
      <w:r w:rsidRPr="00E25DAB">
        <w:t xml:space="preserve">Išvada: 6 straipsnio pažeidimas nenustatytas (vienbalsiai). </w:t>
      </w:r>
    </w:p>
    <w:p w14:paraId="40BF88A8" w14:textId="77C1687F" w:rsidR="00426F74" w:rsidRPr="00E25DAB" w:rsidRDefault="00426F74" w:rsidP="00426F74">
      <w:pPr>
        <w:spacing w:after="0" w:line="240" w:lineRule="auto"/>
        <w:ind w:firstLine="567"/>
        <w:jc w:val="both"/>
      </w:pPr>
      <w:r w:rsidRPr="00E25DAB">
        <w:t>(pateikta atskiroji nuomonė)</w:t>
      </w:r>
    </w:p>
    <w:p w14:paraId="4A63CC49" w14:textId="77777777" w:rsidR="00426F74" w:rsidRPr="00E25DAB" w:rsidRDefault="00907E3B" w:rsidP="00426F74">
      <w:pPr>
        <w:spacing w:after="0" w:line="240" w:lineRule="auto"/>
        <w:ind w:firstLine="567"/>
        <w:jc w:val="both"/>
      </w:pPr>
      <w:hyperlink r:id="rId12" w:history="1">
        <w:r w:rsidR="00426F74" w:rsidRPr="00E25DAB">
          <w:rPr>
            <w:rStyle w:val="Hipersaitas"/>
          </w:rPr>
          <w:t>Prieiga internete</w:t>
        </w:r>
      </w:hyperlink>
      <w:r w:rsidR="00426F74" w:rsidRPr="00E25DAB">
        <w:t xml:space="preserve">  </w:t>
      </w:r>
    </w:p>
    <w:p w14:paraId="6E1309DB" w14:textId="77777777" w:rsidR="00426F74" w:rsidRPr="00E25DAB" w:rsidRDefault="00426F74" w:rsidP="001C0508">
      <w:pPr>
        <w:spacing w:after="0" w:line="240" w:lineRule="auto"/>
        <w:ind w:firstLine="567"/>
        <w:jc w:val="center"/>
        <w:rPr>
          <w:rFonts w:ascii="Calibri" w:hAnsi="Calibri" w:cs="Calibri"/>
          <w:b/>
        </w:rPr>
      </w:pPr>
    </w:p>
    <w:p w14:paraId="7FC7A629" w14:textId="77777777" w:rsidR="001C0508" w:rsidRPr="00E25DAB" w:rsidRDefault="001C0508" w:rsidP="001C0508">
      <w:pPr>
        <w:spacing w:after="0" w:line="240" w:lineRule="auto"/>
        <w:ind w:firstLine="567"/>
        <w:jc w:val="center"/>
        <w:rPr>
          <w:rFonts w:ascii="Calibri" w:hAnsi="Calibri" w:cs="Calibri"/>
          <w:b/>
        </w:rPr>
      </w:pPr>
      <w:r w:rsidRPr="00E25DAB">
        <w:rPr>
          <w:rFonts w:ascii="Calibri" w:hAnsi="Calibri" w:cs="Calibri"/>
          <w:b/>
        </w:rPr>
        <w:t xml:space="preserve">Europos Žmogaus Teisių Teismo 2019 m. kovo 14 d. sprendimas byloje </w:t>
      </w:r>
    </w:p>
    <w:p w14:paraId="293E786B" w14:textId="1635F54E" w:rsidR="001C0508" w:rsidRPr="00E25DAB" w:rsidRDefault="001C0508" w:rsidP="00923885">
      <w:pPr>
        <w:pStyle w:val="Antrat2"/>
        <w:ind w:firstLine="0"/>
        <w:jc w:val="center"/>
        <w:rPr>
          <w:rFonts w:eastAsia="Calibri"/>
          <w:bCs w:val="0"/>
          <w:i/>
          <w:iCs w:val="0"/>
        </w:rPr>
      </w:pPr>
      <w:bookmarkStart w:id="15" w:name="_Toc19877687"/>
      <w:r w:rsidRPr="00E25DAB">
        <w:rPr>
          <w:rFonts w:eastAsia="Calibri"/>
          <w:bCs w:val="0"/>
          <w:i/>
          <w:iCs w:val="0"/>
        </w:rPr>
        <w:t>Arnaboldi prieš Italij</w:t>
      </w:r>
      <w:r w:rsidR="00CE4DCD" w:rsidRPr="00E25DAB">
        <w:rPr>
          <w:rFonts w:eastAsia="Calibri"/>
          <w:bCs w:val="0"/>
          <w:i/>
          <w:iCs w:val="0"/>
        </w:rPr>
        <w:t>ą</w:t>
      </w:r>
      <w:bookmarkEnd w:id="15"/>
    </w:p>
    <w:p w14:paraId="5C9E6EB8" w14:textId="46909DC3" w:rsidR="001C0508" w:rsidRPr="00E25DAB" w:rsidRDefault="001C0508" w:rsidP="00923885">
      <w:pPr>
        <w:spacing w:after="0" w:line="240" w:lineRule="auto"/>
        <w:jc w:val="center"/>
        <w:rPr>
          <w:rFonts w:ascii="Calibri" w:hAnsi="Calibri" w:cs="Calibri"/>
          <w:b/>
        </w:rPr>
      </w:pPr>
      <w:r w:rsidRPr="00E25DAB">
        <w:rPr>
          <w:rFonts w:ascii="Calibri" w:hAnsi="Calibri" w:cs="Calibri"/>
          <w:b/>
        </w:rPr>
        <w:t>(pareiškimo Nr. 43422/07</w:t>
      </w:r>
      <w:r w:rsidR="0085488A" w:rsidRPr="00E25DAB">
        <w:rPr>
          <w:rFonts w:ascii="Calibri" w:hAnsi="Calibri" w:cs="Calibri"/>
          <w:b/>
        </w:rPr>
        <w:t xml:space="preserve">, svarbos lygis – </w:t>
      </w:r>
      <w:r w:rsidR="000329DA" w:rsidRPr="00E25DAB">
        <w:rPr>
          <w:rFonts w:ascii="Calibri" w:hAnsi="Calibri" w:cs="Calibri"/>
          <w:b/>
        </w:rPr>
        <w:t>2</w:t>
      </w:r>
      <w:r w:rsidRPr="00E25DAB">
        <w:rPr>
          <w:rFonts w:ascii="Calibri" w:hAnsi="Calibri" w:cs="Calibri"/>
          <w:b/>
        </w:rPr>
        <w:t>)</w:t>
      </w:r>
    </w:p>
    <w:p w14:paraId="450A7E7B" w14:textId="77777777" w:rsidR="001C0508" w:rsidRPr="00E25DAB" w:rsidRDefault="001C0508" w:rsidP="001C0508">
      <w:pPr>
        <w:pStyle w:val="s6c429373"/>
        <w:spacing w:before="0" w:beforeAutospacing="0" w:after="0" w:afterAutospacing="0"/>
        <w:ind w:firstLine="567"/>
        <w:jc w:val="both"/>
        <w:rPr>
          <w:rStyle w:val="sfbbfee58"/>
          <w:rFonts w:ascii="Calibri" w:hAnsi="Calibri" w:cs="Calibri"/>
          <w:i/>
          <w:sz w:val="22"/>
          <w:szCs w:val="22"/>
        </w:rPr>
      </w:pPr>
    </w:p>
    <w:p w14:paraId="3EA31544" w14:textId="77777777" w:rsidR="001C0508" w:rsidRPr="00E25DAB" w:rsidRDefault="001C0508" w:rsidP="00923885">
      <w:pPr>
        <w:pStyle w:val="Antrat3"/>
        <w:spacing w:before="0" w:line="240" w:lineRule="auto"/>
        <w:ind w:firstLine="567"/>
        <w:jc w:val="both"/>
        <w:rPr>
          <w:rStyle w:val="sfbbfee58"/>
          <w:rFonts w:ascii="Calibri" w:hAnsi="Calibri" w:cs="Calibri"/>
          <w:i w:val="0"/>
          <w:szCs w:val="22"/>
        </w:rPr>
      </w:pPr>
      <w:bookmarkStart w:id="16" w:name="_Toc19877688"/>
      <w:r w:rsidRPr="00E25DAB">
        <w:rPr>
          <w:rStyle w:val="sfbbfee58"/>
          <w:rFonts w:ascii="Calibri" w:hAnsi="Calibri" w:cs="Calibri"/>
          <w:szCs w:val="22"/>
        </w:rPr>
        <w:t>Dėl valstybės pareigos užtikrinti, kad asmeniui būtų išmokėta teismo sprendimu priteista kompensacija už visuomenės poreikiams paimtą turtą</w:t>
      </w:r>
      <w:bookmarkEnd w:id="16"/>
    </w:p>
    <w:p w14:paraId="1173B0B7" w14:textId="77777777" w:rsidR="001C0508" w:rsidRPr="00E25DAB" w:rsidRDefault="001C0508" w:rsidP="001C0508">
      <w:pPr>
        <w:spacing w:after="0" w:line="240" w:lineRule="auto"/>
        <w:ind w:firstLine="567"/>
        <w:rPr>
          <w:rFonts w:ascii="Calibri" w:hAnsi="Calibri" w:cs="Calibri"/>
        </w:rPr>
      </w:pPr>
    </w:p>
    <w:p w14:paraId="1E4F1C3F" w14:textId="77777777" w:rsidR="001C0508" w:rsidRPr="00E25DAB" w:rsidRDefault="001C0508" w:rsidP="001C0508">
      <w:pPr>
        <w:spacing w:after="0" w:line="240" w:lineRule="auto"/>
        <w:jc w:val="center"/>
        <w:rPr>
          <w:rFonts w:ascii="Calibri" w:hAnsi="Calibri" w:cs="Calibri"/>
          <w:b/>
        </w:rPr>
      </w:pPr>
      <w:r w:rsidRPr="00E25DAB">
        <w:rPr>
          <w:rFonts w:ascii="Calibri" w:hAnsi="Calibri" w:cs="Calibri"/>
          <w:b/>
        </w:rPr>
        <w:t>Faktinės aplinkybės</w:t>
      </w:r>
    </w:p>
    <w:p w14:paraId="5BFB6677" w14:textId="77777777" w:rsidR="001C0508" w:rsidRPr="00E25DAB" w:rsidRDefault="001C0508" w:rsidP="001C0508">
      <w:pPr>
        <w:spacing w:after="0" w:line="240" w:lineRule="auto"/>
        <w:ind w:firstLine="567"/>
        <w:rPr>
          <w:rFonts w:ascii="Calibri" w:hAnsi="Calibri" w:cs="Calibri"/>
          <w:b/>
        </w:rPr>
      </w:pPr>
    </w:p>
    <w:p w14:paraId="5696CB4E" w14:textId="1F450095" w:rsidR="001C0508" w:rsidRPr="00E25DAB" w:rsidRDefault="001C0508" w:rsidP="001C0508">
      <w:pPr>
        <w:spacing w:after="0" w:line="240" w:lineRule="auto"/>
        <w:ind w:left="113" w:firstLine="567"/>
        <w:jc w:val="both"/>
        <w:rPr>
          <w:rFonts w:ascii="Calibri" w:hAnsi="Calibri" w:cs="Calibri"/>
        </w:rPr>
      </w:pPr>
      <w:r w:rsidRPr="00E25DAB">
        <w:rPr>
          <w:rFonts w:ascii="Calibri" w:hAnsi="Calibri" w:cs="Calibri"/>
        </w:rPr>
        <w:t>Pareiškėjas – Italijos pilietis, turėję</w:t>
      </w:r>
      <w:r w:rsidR="003E32FC">
        <w:rPr>
          <w:rFonts w:ascii="Calibri" w:hAnsi="Calibri" w:cs="Calibri"/>
        </w:rPr>
        <w:t>s</w:t>
      </w:r>
      <w:r w:rsidRPr="00E25DAB">
        <w:rPr>
          <w:rFonts w:ascii="Calibri" w:hAnsi="Calibri" w:cs="Calibri"/>
        </w:rPr>
        <w:t xml:space="preserve"> žemės sklypą, ant kurio buvo pasistatęs gyvenamąjį nam</w:t>
      </w:r>
      <w:r w:rsidR="003E32FC">
        <w:rPr>
          <w:rFonts w:ascii="Calibri" w:hAnsi="Calibri" w:cs="Calibri"/>
        </w:rPr>
        <w:t>ą ir sandėlį. Namas</w:t>
      </w:r>
      <w:r w:rsidRPr="00E25DAB">
        <w:rPr>
          <w:rFonts w:ascii="Calibri" w:hAnsi="Calibri" w:cs="Calibri"/>
        </w:rPr>
        <w:t xml:space="preserve"> buvo pagrindinė jo gyvenamoji vieta. Šis žemės sklypas valdžios institucijų sprendimais buvo paimtas visuomenės poreikiams (</w:t>
      </w:r>
      <w:r w:rsidR="002B2757" w:rsidRPr="00E25DAB">
        <w:rPr>
          <w:rFonts w:ascii="Calibri" w:hAnsi="Calibri" w:cs="Calibri"/>
        </w:rPr>
        <w:t>siekiant</w:t>
      </w:r>
      <w:r w:rsidRPr="00E25DAB">
        <w:rPr>
          <w:rFonts w:ascii="Calibri" w:hAnsi="Calibri" w:cs="Calibri"/>
        </w:rPr>
        <w:t xml:space="preserve"> </w:t>
      </w:r>
      <w:r w:rsidR="002B2757" w:rsidRPr="00E25DAB">
        <w:rPr>
          <w:rFonts w:ascii="Calibri" w:hAnsi="Calibri" w:cs="Calibri"/>
        </w:rPr>
        <w:t>nu</w:t>
      </w:r>
      <w:r w:rsidRPr="00E25DAB">
        <w:rPr>
          <w:rFonts w:ascii="Calibri" w:hAnsi="Calibri" w:cs="Calibri"/>
        </w:rPr>
        <w:t>tiesti kelią).</w:t>
      </w:r>
    </w:p>
    <w:p w14:paraId="720254A3" w14:textId="288D518D" w:rsidR="001C0508" w:rsidRPr="00E25DAB" w:rsidRDefault="001C0508" w:rsidP="001C0508">
      <w:pPr>
        <w:spacing w:after="0" w:line="240" w:lineRule="auto"/>
        <w:ind w:left="113" w:firstLine="567"/>
        <w:jc w:val="both"/>
        <w:rPr>
          <w:rFonts w:ascii="Calibri" w:hAnsi="Calibri" w:cs="Calibri"/>
        </w:rPr>
      </w:pPr>
      <w:r w:rsidRPr="00E25DAB">
        <w:rPr>
          <w:rFonts w:ascii="Calibri" w:hAnsi="Calibri" w:cs="Calibri"/>
        </w:rPr>
        <w:t xml:space="preserve">2007 metais Florencijos apeliacinis teismas nusprendė, kad žemės sklypas iš pareiškėjo buvo paimtas neteisėtai (nepagrįstai), todėl nurodė nekilnojamojo turto bendrovei </w:t>
      </w:r>
      <w:r w:rsidRPr="00E25DAB">
        <w:rPr>
          <w:rFonts w:ascii="Calibri" w:hAnsi="Calibri" w:cs="Calibri"/>
          <w:iCs/>
        </w:rPr>
        <w:t xml:space="preserve">Padana Appalti S. p. </w:t>
      </w:r>
      <w:r w:rsidRPr="00E25DAB">
        <w:rPr>
          <w:rFonts w:ascii="Calibri" w:hAnsi="Calibri" w:cs="Calibri"/>
        </w:rPr>
        <w:t>A.</w:t>
      </w:r>
      <w:r w:rsidR="002B2757" w:rsidRPr="00E25DAB">
        <w:rPr>
          <w:rFonts w:ascii="Calibri" w:hAnsi="Calibri" w:cs="Calibri"/>
        </w:rPr>
        <w:t>,</w:t>
      </w:r>
      <w:r w:rsidRPr="00E25DAB">
        <w:rPr>
          <w:rFonts w:ascii="Calibri" w:hAnsi="Calibri" w:cs="Calibri"/>
        </w:rPr>
        <w:t xml:space="preserve"> kuri veikė Italijos nacionalinės tiltų ir greitkelių korporacijos (ANAS) vardu, išmo</w:t>
      </w:r>
      <w:r w:rsidR="003E32FC">
        <w:rPr>
          <w:rFonts w:ascii="Calibri" w:hAnsi="Calibri" w:cs="Calibri"/>
        </w:rPr>
        <w:t>k</w:t>
      </w:r>
      <w:r w:rsidRPr="00E25DAB">
        <w:rPr>
          <w:rFonts w:ascii="Calibri" w:hAnsi="Calibri" w:cs="Calibri"/>
        </w:rPr>
        <w:t>ėti pareiškėjui 653 822 Eur.</w:t>
      </w:r>
    </w:p>
    <w:p w14:paraId="5E75E13B" w14:textId="736AD567" w:rsidR="001C0508" w:rsidRPr="00E25DAB" w:rsidRDefault="001C0508" w:rsidP="001C0508">
      <w:pPr>
        <w:spacing w:after="0" w:line="240" w:lineRule="auto"/>
        <w:ind w:left="113" w:firstLine="567"/>
        <w:jc w:val="both"/>
        <w:rPr>
          <w:rFonts w:ascii="Calibri" w:hAnsi="Calibri" w:cs="Calibri"/>
        </w:rPr>
      </w:pPr>
      <w:r w:rsidRPr="00E25DAB">
        <w:rPr>
          <w:rFonts w:ascii="Calibri" w:hAnsi="Calibri" w:cs="Calibri"/>
        </w:rPr>
        <w:t xml:space="preserve">Kadangi minėtai įmonei buvo </w:t>
      </w:r>
      <w:r w:rsidR="002B2757" w:rsidRPr="00E25DAB">
        <w:rPr>
          <w:rFonts w:ascii="Calibri" w:hAnsi="Calibri" w:cs="Calibri"/>
        </w:rPr>
        <w:t>taikomos likvidavimo procedūros</w:t>
      </w:r>
      <w:r w:rsidRPr="00E25DAB">
        <w:rPr>
          <w:rFonts w:ascii="Calibri" w:hAnsi="Calibri" w:cs="Calibri"/>
        </w:rPr>
        <w:t>, 2008 metais pareiškėjas pateikė kreditorinį reikalavimą šios įmonės likvidatoriams, kurie nurodė, kad bendrovė teturi turto tik vieną pastatą</w:t>
      </w:r>
      <w:r w:rsidR="002B2757" w:rsidRPr="00E25DAB">
        <w:rPr>
          <w:rFonts w:ascii="Calibri" w:hAnsi="Calibri" w:cs="Calibri"/>
        </w:rPr>
        <w:t>,</w:t>
      </w:r>
      <w:r w:rsidRPr="00E25DAB">
        <w:rPr>
          <w:rFonts w:ascii="Calibri" w:hAnsi="Calibri" w:cs="Calibri"/>
        </w:rPr>
        <w:t xml:space="preserve"> vertą 169 000 Eur</w:t>
      </w:r>
      <w:r w:rsidR="002B2757" w:rsidRPr="00E25DAB">
        <w:rPr>
          <w:rFonts w:ascii="Calibri" w:hAnsi="Calibri" w:cs="Calibri"/>
        </w:rPr>
        <w:t>,</w:t>
      </w:r>
      <w:r w:rsidRPr="00E25DAB">
        <w:rPr>
          <w:rFonts w:ascii="Calibri" w:hAnsi="Calibri" w:cs="Calibri"/>
        </w:rPr>
        <w:t xml:space="preserve"> ir kad egzistuoja prioritetiniai kitų kreditorių reikalavimai, kurių bendra suma apie 278 000 Eur.</w:t>
      </w:r>
    </w:p>
    <w:p w14:paraId="6B4E838D" w14:textId="507E53FB" w:rsidR="001C0508" w:rsidRPr="00E25DAB" w:rsidRDefault="001C0508" w:rsidP="001C0508">
      <w:pPr>
        <w:spacing w:after="0" w:line="240" w:lineRule="auto"/>
        <w:ind w:left="113" w:firstLine="567"/>
        <w:jc w:val="both"/>
        <w:rPr>
          <w:rFonts w:ascii="Calibri" w:hAnsi="Calibri" w:cs="Calibri"/>
        </w:rPr>
      </w:pPr>
      <w:r w:rsidRPr="00E25DAB">
        <w:rPr>
          <w:rFonts w:ascii="Calibri" w:hAnsi="Calibri" w:cs="Calibri"/>
        </w:rPr>
        <w:t>2010–2011 metais pareiškėjas kreipėsi į bendrosios kompetencijos ir administracinius teismus, nurodydamas, kad jis negali atgauti jam priteistų sumų, bei reikalaudamas, kad valdžios įstaigos grąžintų jo žemę arba iš</w:t>
      </w:r>
      <w:r w:rsidR="002B2757" w:rsidRPr="00E25DAB">
        <w:rPr>
          <w:rFonts w:ascii="Calibri" w:hAnsi="Calibri" w:cs="Calibri"/>
        </w:rPr>
        <w:t>mokėtų atitinkamą kompensaciją.</w:t>
      </w:r>
      <w:r w:rsidRPr="00E25DAB">
        <w:rPr>
          <w:rFonts w:ascii="Calibri" w:hAnsi="Calibri" w:cs="Calibri"/>
        </w:rPr>
        <w:t xml:space="preserve"> Šie jo prašymai buvo atmesti bei pareiškėjas buvo įpareigotas atlyginti bylinėjimosi išlaidas.</w:t>
      </w:r>
    </w:p>
    <w:p w14:paraId="3E19A060" w14:textId="1CB05183" w:rsidR="001C0508" w:rsidRPr="00E25DAB" w:rsidRDefault="001C0508" w:rsidP="001C0508">
      <w:pPr>
        <w:spacing w:after="0" w:line="240" w:lineRule="auto"/>
        <w:ind w:left="113" w:firstLine="567"/>
        <w:jc w:val="both"/>
        <w:rPr>
          <w:rFonts w:ascii="Calibri" w:hAnsi="Calibri" w:cs="Calibri"/>
        </w:rPr>
      </w:pPr>
      <w:r w:rsidRPr="00E25DAB">
        <w:rPr>
          <w:rFonts w:ascii="Calibri" w:hAnsi="Calibri" w:cs="Calibri"/>
        </w:rPr>
        <w:t>2015 metais likvidavimo procedūros buvo baigtos ir kai kurie</w:t>
      </w:r>
      <w:r w:rsidR="002B2757" w:rsidRPr="00E25DAB">
        <w:rPr>
          <w:rFonts w:ascii="Calibri" w:hAnsi="Calibri" w:cs="Calibri"/>
        </w:rPr>
        <w:t>ms kreditoriams buvo paskirstyta</w:t>
      </w:r>
      <w:r w:rsidRPr="00E25DAB">
        <w:rPr>
          <w:rFonts w:ascii="Calibri" w:hAnsi="Calibri" w:cs="Calibri"/>
        </w:rPr>
        <w:t xml:space="preserve">s likęs įmonės turtas. Tuo metu teismo procese Livorno apylinkės teisme dalyvavęs ekspertas, kuris negalėjo atgauti iš minėtos įmonės 11 928 Eur, inicijavo šios sumos išieškojimą priverstine tvarka iš pareiškėjo, kuris </w:t>
      </w:r>
      <w:r w:rsidRPr="00E25DAB">
        <w:rPr>
          <w:rFonts w:ascii="Calibri" w:hAnsi="Calibri" w:cs="Calibri"/>
        </w:rPr>
        <w:lastRenderedPageBreak/>
        <w:t>tokiu atveju tapo atsakingas už minėtų išlaidų atlyginimą. Vykdant šį išieškojimą namas, kuriame buvo pagrindinė pareiškėjo gyvenamoji vieta, buvo parduotas aukcione 2018 metais.</w:t>
      </w:r>
    </w:p>
    <w:p w14:paraId="782A48EE" w14:textId="663B1A3B" w:rsidR="001C0508" w:rsidRPr="00E25DAB" w:rsidRDefault="001C0508" w:rsidP="001C0508">
      <w:pPr>
        <w:spacing w:after="0" w:line="240" w:lineRule="auto"/>
        <w:ind w:left="113" w:firstLine="567"/>
        <w:jc w:val="both"/>
        <w:rPr>
          <w:rFonts w:ascii="Calibri" w:hAnsi="Calibri" w:cs="Calibri"/>
        </w:rPr>
      </w:pPr>
      <w:r w:rsidRPr="00E25DAB">
        <w:rPr>
          <w:rFonts w:ascii="Calibri" w:hAnsi="Calibri" w:cs="Calibri"/>
        </w:rPr>
        <w:t>Remdamasis Konvencijos 6 straipsnio 1 dalimi (teisė į teisingą teismą) ir Protokolu Nr. 1 (nuosavybės teisių apsauga), pareiškėjas Teismui skundėsi, kad jam nepavyko gauti Florencijos apeliacinio teismo jam pr</w:t>
      </w:r>
      <w:r w:rsidR="002B2757" w:rsidRPr="00E25DAB">
        <w:rPr>
          <w:rFonts w:ascii="Calibri" w:hAnsi="Calibri" w:cs="Calibri"/>
        </w:rPr>
        <w:t>iteistų sumų (kompensacijos) ir</w:t>
      </w:r>
      <w:r w:rsidRPr="00E25DAB">
        <w:rPr>
          <w:rFonts w:ascii="Calibri" w:hAnsi="Calibri" w:cs="Calibri"/>
        </w:rPr>
        <w:t xml:space="preserve"> kad buvo pažeistos jo nuosavybės teisės.</w:t>
      </w:r>
    </w:p>
    <w:p w14:paraId="093CCC4C" w14:textId="77777777" w:rsidR="001C0508" w:rsidRPr="00E25DAB" w:rsidRDefault="001C0508" w:rsidP="001C0508">
      <w:pPr>
        <w:spacing w:after="0" w:line="240" w:lineRule="auto"/>
        <w:ind w:left="113" w:firstLine="567"/>
        <w:jc w:val="both"/>
        <w:rPr>
          <w:rFonts w:ascii="Calibri" w:hAnsi="Calibri" w:cs="Calibri"/>
        </w:rPr>
      </w:pPr>
    </w:p>
    <w:p w14:paraId="7C764092" w14:textId="77777777" w:rsidR="001C0508" w:rsidRPr="00E25DAB" w:rsidRDefault="001C0508" w:rsidP="001C0508">
      <w:pPr>
        <w:spacing w:after="0" w:line="240" w:lineRule="auto"/>
        <w:jc w:val="center"/>
        <w:rPr>
          <w:rFonts w:ascii="Calibri" w:hAnsi="Calibri" w:cs="Calibri"/>
          <w:b/>
        </w:rPr>
      </w:pPr>
      <w:r w:rsidRPr="00E25DAB">
        <w:rPr>
          <w:rFonts w:ascii="Calibri" w:hAnsi="Calibri" w:cs="Calibri"/>
          <w:b/>
        </w:rPr>
        <w:t>Neoficiali Teismo sprendimo apžvalga</w:t>
      </w:r>
    </w:p>
    <w:p w14:paraId="5F980D62" w14:textId="77777777" w:rsidR="001C0508" w:rsidRPr="00E25DAB" w:rsidRDefault="001C0508" w:rsidP="001C0508">
      <w:pPr>
        <w:spacing w:after="0" w:line="240" w:lineRule="auto"/>
        <w:ind w:firstLine="567"/>
        <w:jc w:val="both"/>
        <w:rPr>
          <w:rFonts w:ascii="Calibri" w:hAnsi="Calibri" w:cs="Calibri"/>
        </w:rPr>
      </w:pPr>
    </w:p>
    <w:p w14:paraId="67465B9D" w14:textId="5F199534" w:rsidR="001C0508" w:rsidRPr="00E25DAB" w:rsidRDefault="001C0508" w:rsidP="001C0508">
      <w:pPr>
        <w:spacing w:after="0" w:line="240" w:lineRule="auto"/>
        <w:ind w:firstLine="567"/>
        <w:jc w:val="both"/>
        <w:rPr>
          <w:rFonts w:ascii="Calibri" w:hAnsi="Calibri" w:cs="Calibri"/>
        </w:rPr>
      </w:pPr>
      <w:r w:rsidRPr="00E25DAB">
        <w:rPr>
          <w:rFonts w:ascii="Calibri" w:hAnsi="Calibri" w:cs="Calibri"/>
          <w:i/>
        </w:rPr>
        <w:t>Konvencijos 6 straipsnis:</w:t>
      </w:r>
      <w:r w:rsidRPr="00E25DAB">
        <w:rPr>
          <w:rFonts w:ascii="Calibri" w:hAnsi="Calibri" w:cs="Calibri"/>
        </w:rPr>
        <w:t xml:space="preserve"> Teismas priminė, kad pagal nusistovėjusią praktiką asmuo, kuris teisme laimėjo bylą prieš valstybę, neturi </w:t>
      </w:r>
      <w:r w:rsidR="002B2757" w:rsidRPr="00E25DAB">
        <w:rPr>
          <w:rFonts w:ascii="Calibri" w:hAnsi="Calibri" w:cs="Calibri"/>
        </w:rPr>
        <w:t xml:space="preserve">dalyvauti vėlesnėse procedūrose, siekdamas </w:t>
      </w:r>
      <w:r w:rsidRPr="00E25DAB">
        <w:rPr>
          <w:rFonts w:ascii="Calibri" w:hAnsi="Calibri" w:cs="Calibri"/>
        </w:rPr>
        <w:t>užtikrinti teismo sprendimo vykdymą. Kadangi šis principas turėjo būti taikomas apžvelgiamu atveju, valstybė negalėjo atsisakyti vykdyti galutinio teismo sprendimo, priimto dėl bendrovės, kuri tapo nemokia.</w:t>
      </w:r>
    </w:p>
    <w:p w14:paraId="11358F46" w14:textId="701AA537" w:rsidR="001C0508" w:rsidRPr="00E25DAB" w:rsidRDefault="001C0508" w:rsidP="001C0508">
      <w:pPr>
        <w:spacing w:after="0" w:line="240" w:lineRule="auto"/>
        <w:ind w:firstLine="567"/>
        <w:jc w:val="both"/>
        <w:rPr>
          <w:rFonts w:ascii="Calibri" w:hAnsi="Calibri" w:cs="Calibri"/>
        </w:rPr>
      </w:pPr>
      <w:r w:rsidRPr="00E25DAB">
        <w:rPr>
          <w:rFonts w:ascii="Calibri" w:hAnsi="Calibri" w:cs="Calibri"/>
        </w:rPr>
        <w:t>Atsižvelgdama</w:t>
      </w:r>
      <w:r w:rsidR="002B2757" w:rsidRPr="00E25DAB">
        <w:rPr>
          <w:rFonts w:ascii="Calibri" w:hAnsi="Calibri" w:cs="Calibri"/>
        </w:rPr>
        <w:t>s</w:t>
      </w:r>
      <w:r w:rsidRPr="00E25DAB">
        <w:rPr>
          <w:rFonts w:ascii="Calibri" w:hAnsi="Calibri" w:cs="Calibri"/>
        </w:rPr>
        <w:t xml:space="preserve"> į tai, kad valstybė buvo atsakinga už pareiškėjui priteistas sumas, Teismas vertino, kad valdžios institucijų atsisakymas imtis reikiamų priemonių, kad būtų įvykdytas Florencijos apeliacinio teismo sprendimas, pažeidė pareiškėjo teisę į veiksmingą pažeistų teisių gynimą teisme, garantuojamą Ko</w:t>
      </w:r>
      <w:r w:rsidR="002B2757" w:rsidRPr="00E25DAB">
        <w:rPr>
          <w:rFonts w:ascii="Calibri" w:hAnsi="Calibri" w:cs="Calibri"/>
        </w:rPr>
        <w:t>nvencijos 6 straipsnio 1 dalyje.</w:t>
      </w:r>
    </w:p>
    <w:p w14:paraId="4EC61FDC" w14:textId="77777777" w:rsidR="001C0508" w:rsidRPr="00E25DAB" w:rsidRDefault="001C0508" w:rsidP="001C0508">
      <w:pPr>
        <w:spacing w:after="0" w:line="240" w:lineRule="auto"/>
        <w:ind w:firstLine="567"/>
        <w:jc w:val="both"/>
        <w:rPr>
          <w:rFonts w:ascii="Calibri" w:hAnsi="Calibri" w:cs="Calibri"/>
          <w:i/>
        </w:rPr>
      </w:pPr>
    </w:p>
    <w:p w14:paraId="21C113F0" w14:textId="1B2F781B" w:rsidR="001C0508" w:rsidRPr="00E25DAB" w:rsidRDefault="001C0508" w:rsidP="001C0508">
      <w:pPr>
        <w:spacing w:after="0" w:line="240" w:lineRule="auto"/>
        <w:ind w:firstLine="567"/>
        <w:jc w:val="both"/>
        <w:rPr>
          <w:rFonts w:ascii="Calibri" w:hAnsi="Calibri" w:cs="Calibri"/>
        </w:rPr>
      </w:pPr>
      <w:r w:rsidRPr="00E25DAB">
        <w:rPr>
          <w:rFonts w:ascii="Calibri" w:hAnsi="Calibri" w:cs="Calibri"/>
          <w:i/>
        </w:rPr>
        <w:t>Protokolo Nr. 1 1 straipsnis</w:t>
      </w:r>
      <w:r w:rsidRPr="00E25DAB">
        <w:rPr>
          <w:rFonts w:ascii="Calibri" w:hAnsi="Calibri" w:cs="Calibri"/>
        </w:rPr>
        <w:t>: Teismas pripažino, kad valdžios institucijos, nevykdžiusios joms tekusios pareigos imtis visų reikalingų priemonių užtikrinti, kad būtų išmokėta galutiniu ir neatšaukiamu teismo sprendimu priteist</w:t>
      </w:r>
      <w:r w:rsidR="003E3981" w:rsidRPr="00E25DAB">
        <w:rPr>
          <w:rFonts w:ascii="Calibri" w:hAnsi="Calibri" w:cs="Calibri"/>
        </w:rPr>
        <w:t>a</w:t>
      </w:r>
      <w:r w:rsidRPr="00E25DAB">
        <w:rPr>
          <w:rFonts w:ascii="Calibri" w:hAnsi="Calibri" w:cs="Calibri"/>
        </w:rPr>
        <w:t xml:space="preserve"> tinkam</w:t>
      </w:r>
      <w:r w:rsidR="003E3981" w:rsidRPr="00E25DAB">
        <w:rPr>
          <w:rFonts w:ascii="Calibri" w:hAnsi="Calibri" w:cs="Calibri"/>
        </w:rPr>
        <w:t>a</w:t>
      </w:r>
      <w:r w:rsidRPr="00E25DAB">
        <w:rPr>
          <w:rFonts w:ascii="Calibri" w:hAnsi="Calibri" w:cs="Calibri"/>
        </w:rPr>
        <w:t xml:space="preserve"> kompensacij</w:t>
      </w:r>
      <w:r w:rsidR="003E3981" w:rsidRPr="00E25DAB">
        <w:rPr>
          <w:rFonts w:ascii="Calibri" w:hAnsi="Calibri" w:cs="Calibri"/>
        </w:rPr>
        <w:t>a</w:t>
      </w:r>
      <w:r w:rsidRPr="00E25DAB">
        <w:rPr>
          <w:rFonts w:ascii="Calibri" w:hAnsi="Calibri" w:cs="Calibri"/>
        </w:rPr>
        <w:t xml:space="preserve">, pažeidė pareiškėjo teisę į nuosavybės neliečiamybę. Šis šios teisės pažeidimas nebuvo pateisinamas jokiomis tinkamomis priežastimis, todėl </w:t>
      </w:r>
      <w:r w:rsidR="003E3981" w:rsidRPr="00E25DAB">
        <w:rPr>
          <w:rFonts w:ascii="Calibri" w:hAnsi="Calibri" w:cs="Calibri"/>
        </w:rPr>
        <w:t>laikytas neteisėtu</w:t>
      </w:r>
      <w:r w:rsidRPr="00E25DAB">
        <w:rPr>
          <w:rFonts w:ascii="Calibri" w:hAnsi="Calibri" w:cs="Calibri"/>
        </w:rPr>
        <w:t>. Atitinkam</w:t>
      </w:r>
      <w:r w:rsidR="003E3981" w:rsidRPr="00E25DAB">
        <w:rPr>
          <w:rFonts w:ascii="Calibri" w:hAnsi="Calibri" w:cs="Calibri"/>
        </w:rPr>
        <w:t>a</w:t>
      </w:r>
      <w:r w:rsidRPr="00E25DAB">
        <w:rPr>
          <w:rFonts w:ascii="Calibri" w:hAnsi="Calibri" w:cs="Calibri"/>
        </w:rPr>
        <w:t>i Teismas pripažino, kad apžvelgiamu atveju buvo pažeist</w:t>
      </w:r>
      <w:r w:rsidR="00AA6914">
        <w:rPr>
          <w:rFonts w:ascii="Calibri" w:hAnsi="Calibri" w:cs="Calibri"/>
        </w:rPr>
        <w:t>o</w:t>
      </w:r>
      <w:r w:rsidRPr="00E25DAB">
        <w:rPr>
          <w:rFonts w:ascii="Calibri" w:hAnsi="Calibri" w:cs="Calibri"/>
        </w:rPr>
        <w:t>s ir aptariamos Protokolo Nr. 1 nuostatos.</w:t>
      </w:r>
    </w:p>
    <w:p w14:paraId="0726AFF0" w14:textId="77777777" w:rsidR="001C0508" w:rsidRPr="00E25DAB" w:rsidRDefault="001C0508" w:rsidP="001C0508">
      <w:pPr>
        <w:spacing w:after="0" w:line="240" w:lineRule="auto"/>
        <w:ind w:firstLine="567"/>
        <w:jc w:val="both"/>
        <w:rPr>
          <w:rFonts w:ascii="Calibri" w:hAnsi="Calibri" w:cs="Calibri"/>
        </w:rPr>
      </w:pPr>
    </w:p>
    <w:p w14:paraId="7238442E" w14:textId="02993CBF" w:rsidR="001C0508" w:rsidRPr="00E25DAB" w:rsidRDefault="001C0508" w:rsidP="001C0508">
      <w:pPr>
        <w:spacing w:after="0" w:line="240" w:lineRule="auto"/>
        <w:ind w:firstLine="567"/>
        <w:jc w:val="both"/>
        <w:rPr>
          <w:rFonts w:ascii="Calibri" w:hAnsi="Calibri" w:cs="Calibri"/>
        </w:rPr>
      </w:pPr>
      <w:r w:rsidRPr="00E25DAB">
        <w:rPr>
          <w:rFonts w:ascii="Calibri" w:hAnsi="Calibri" w:cs="Calibri"/>
        </w:rPr>
        <w:t>Išvada: nuspręsta, kad buvo pažeisti Konvencijos 6 straipsnio 1 dalis ir Protokolo Nr. 1 1 straipsnis.</w:t>
      </w:r>
    </w:p>
    <w:p w14:paraId="739C892D" w14:textId="77777777" w:rsidR="001C0508" w:rsidRPr="00E25DAB" w:rsidRDefault="001C0508" w:rsidP="001C0508">
      <w:pPr>
        <w:spacing w:after="0" w:line="240" w:lineRule="auto"/>
        <w:ind w:firstLine="567"/>
        <w:jc w:val="both"/>
        <w:rPr>
          <w:rFonts w:ascii="Calibri" w:hAnsi="Calibri" w:cs="Calibri"/>
        </w:rPr>
      </w:pPr>
      <w:r w:rsidRPr="00E25DAB">
        <w:rPr>
          <w:rFonts w:ascii="Calibri" w:hAnsi="Calibri" w:cs="Calibri"/>
        </w:rPr>
        <w:t>42 straipsnis: priteista 880 000 Eur dydžio turtinės bei neturtinės žalos atlyginimas.</w:t>
      </w:r>
    </w:p>
    <w:p w14:paraId="574775E9" w14:textId="77777777" w:rsidR="001C0508" w:rsidRPr="00E25DAB" w:rsidRDefault="00907E3B" w:rsidP="001C0508">
      <w:pPr>
        <w:spacing w:after="0" w:line="240" w:lineRule="auto"/>
        <w:ind w:firstLine="567"/>
        <w:jc w:val="both"/>
        <w:rPr>
          <w:rFonts w:ascii="Calibri" w:hAnsi="Calibri" w:cs="Calibri"/>
        </w:rPr>
      </w:pPr>
      <w:hyperlink r:id="rId13" w:history="1">
        <w:r w:rsidR="001C0508" w:rsidRPr="00E25DAB">
          <w:rPr>
            <w:rStyle w:val="Hipersaitas"/>
            <w:rFonts w:ascii="Calibri" w:hAnsi="Calibri" w:cs="Calibri"/>
          </w:rPr>
          <w:t>Prieiga internete</w:t>
        </w:r>
      </w:hyperlink>
    </w:p>
    <w:p w14:paraId="60999A77" w14:textId="77777777" w:rsidR="001C0508" w:rsidRPr="00E25DAB" w:rsidRDefault="001C0508" w:rsidP="009A1B99">
      <w:pPr>
        <w:spacing w:after="0" w:line="240" w:lineRule="auto"/>
        <w:jc w:val="center"/>
        <w:rPr>
          <w:rFonts w:ascii="Calibri" w:hAnsi="Calibri" w:cs="Calibri"/>
        </w:rPr>
      </w:pPr>
    </w:p>
    <w:p w14:paraId="5D171812" w14:textId="33B37466" w:rsidR="00277903" w:rsidRPr="00E25DAB" w:rsidRDefault="00277903" w:rsidP="003B4852">
      <w:pPr>
        <w:shd w:val="clear" w:color="auto" w:fill="FFFFFF"/>
        <w:spacing w:after="0" w:line="240" w:lineRule="auto"/>
        <w:jc w:val="center"/>
        <w:rPr>
          <w:rFonts w:ascii="Calibri" w:eastAsia="Times New Roman" w:hAnsi="Calibri" w:cs="Calibri"/>
          <w:b/>
          <w:lang w:eastAsia="lt-LT"/>
        </w:rPr>
      </w:pPr>
      <w:r w:rsidRPr="00E25DAB">
        <w:rPr>
          <w:rFonts w:ascii="Calibri" w:eastAsia="Times New Roman" w:hAnsi="Calibri" w:cs="Calibri"/>
          <w:b/>
          <w:lang w:eastAsia="lt-LT"/>
        </w:rPr>
        <w:t>Europos Žmogaus Teisių Teismo 2019 m. gegužės 23 d. sprendimas byloje</w:t>
      </w:r>
    </w:p>
    <w:p w14:paraId="5A035696" w14:textId="77777777" w:rsidR="00277903" w:rsidRPr="00E25DAB" w:rsidRDefault="00277903" w:rsidP="003B4852">
      <w:pPr>
        <w:pStyle w:val="Antrat2"/>
        <w:ind w:firstLine="0"/>
        <w:jc w:val="center"/>
        <w:rPr>
          <w:rFonts w:eastAsia="Calibri"/>
          <w:b w:val="0"/>
          <w:bCs w:val="0"/>
          <w:i/>
          <w:iCs w:val="0"/>
        </w:rPr>
      </w:pPr>
      <w:bookmarkStart w:id="17" w:name="_Toc19877689"/>
      <w:r w:rsidRPr="00E25DAB">
        <w:rPr>
          <w:rFonts w:eastAsia="Calibri"/>
          <w:i/>
          <w:iCs w:val="0"/>
        </w:rPr>
        <w:t>Sine Tsaggarakis A.E.E. prieš Graikiją</w:t>
      </w:r>
      <w:bookmarkEnd w:id="17"/>
    </w:p>
    <w:p w14:paraId="4D1D8F7C" w14:textId="4E6F12E4" w:rsidR="00277903" w:rsidRPr="00E25DAB" w:rsidRDefault="00277903" w:rsidP="003B4852">
      <w:pPr>
        <w:shd w:val="clear" w:color="auto" w:fill="FFFFFF"/>
        <w:spacing w:after="0" w:line="240" w:lineRule="auto"/>
        <w:jc w:val="center"/>
        <w:rPr>
          <w:rFonts w:ascii="Calibri" w:eastAsia="Times New Roman" w:hAnsi="Calibri" w:cs="Calibri"/>
          <w:b/>
          <w:lang w:eastAsia="lt-LT"/>
        </w:rPr>
      </w:pPr>
      <w:r w:rsidRPr="00E25DAB">
        <w:rPr>
          <w:rFonts w:ascii="Calibri" w:eastAsia="Times New Roman" w:hAnsi="Calibri" w:cs="Calibri"/>
          <w:b/>
          <w:lang w:eastAsia="lt-LT"/>
        </w:rPr>
        <w:t>(pareiškimo Nr. 17257/13</w:t>
      </w:r>
      <w:r w:rsidR="00F26CBF" w:rsidRPr="00E25DAB">
        <w:rPr>
          <w:rFonts w:ascii="Calibri" w:eastAsia="Times New Roman" w:hAnsi="Calibri" w:cs="Calibri"/>
          <w:b/>
          <w:lang w:eastAsia="lt-LT"/>
        </w:rPr>
        <w:t>, svarbos lygis – 2</w:t>
      </w:r>
      <w:r w:rsidRPr="00E25DAB">
        <w:rPr>
          <w:rFonts w:ascii="Calibri" w:eastAsia="Times New Roman" w:hAnsi="Calibri" w:cs="Calibri"/>
          <w:b/>
          <w:lang w:eastAsia="lt-LT"/>
        </w:rPr>
        <w:t>)</w:t>
      </w:r>
    </w:p>
    <w:p w14:paraId="02165D78" w14:textId="77777777" w:rsidR="00277903" w:rsidRPr="00E25DAB" w:rsidRDefault="00277903" w:rsidP="00277903">
      <w:pPr>
        <w:shd w:val="clear" w:color="auto" w:fill="FFFFFF"/>
        <w:spacing w:after="0" w:line="240" w:lineRule="auto"/>
        <w:ind w:firstLine="567"/>
        <w:jc w:val="center"/>
        <w:rPr>
          <w:rFonts w:ascii="Calibri" w:eastAsia="Times New Roman" w:hAnsi="Calibri" w:cs="Calibri"/>
          <w:b/>
          <w:bCs/>
          <w:color w:val="000000"/>
        </w:rPr>
      </w:pPr>
    </w:p>
    <w:p w14:paraId="2F0C7AC5" w14:textId="29DBD6F5" w:rsidR="00277903" w:rsidRPr="00E25DAB" w:rsidRDefault="00277903" w:rsidP="00DD46DE">
      <w:pPr>
        <w:pStyle w:val="Antrat3"/>
        <w:ind w:firstLine="567"/>
        <w:jc w:val="both"/>
        <w:rPr>
          <w:rFonts w:ascii="Calibri" w:eastAsia="Calibri" w:hAnsi="Calibri" w:cs="Calibri"/>
          <w:i w:val="0"/>
          <w:szCs w:val="22"/>
        </w:rPr>
      </w:pPr>
      <w:bookmarkStart w:id="18" w:name="_Toc19877690"/>
      <w:r w:rsidRPr="00E25DAB">
        <w:rPr>
          <w:rFonts w:ascii="Calibri" w:eastAsia="Calibri" w:hAnsi="Calibri" w:cs="Calibri"/>
          <w:szCs w:val="22"/>
        </w:rPr>
        <w:t xml:space="preserve">Dėl teisinio netikrumo, susijusio su Graikijos </w:t>
      </w:r>
      <w:r w:rsidR="00A4098B" w:rsidRPr="00E25DAB">
        <w:rPr>
          <w:rFonts w:ascii="Calibri" w:eastAsia="Calibri" w:hAnsi="Calibri" w:cs="Calibri"/>
          <w:szCs w:val="22"/>
        </w:rPr>
        <w:t xml:space="preserve">vyriausiojo administracinio teismo </w:t>
      </w:r>
      <w:r w:rsidRPr="00E25DAB">
        <w:rPr>
          <w:rFonts w:ascii="Calibri" w:eastAsia="Calibri" w:hAnsi="Calibri" w:cs="Calibri"/>
          <w:szCs w:val="22"/>
        </w:rPr>
        <w:t>praktikos išsiskyrimu</w:t>
      </w:r>
      <w:bookmarkEnd w:id="18"/>
    </w:p>
    <w:p w14:paraId="0CCE9790" w14:textId="77777777" w:rsidR="00277903" w:rsidRPr="00E25DAB" w:rsidRDefault="00277903" w:rsidP="00277903">
      <w:pPr>
        <w:spacing w:after="0" w:line="240" w:lineRule="auto"/>
        <w:ind w:firstLine="567"/>
        <w:rPr>
          <w:rFonts w:ascii="Calibri" w:eastAsia="Calibri" w:hAnsi="Calibri" w:cs="Calibri"/>
        </w:rPr>
      </w:pPr>
    </w:p>
    <w:p w14:paraId="6C991812" w14:textId="77777777" w:rsidR="00277903" w:rsidRPr="00E25DAB" w:rsidRDefault="00277903" w:rsidP="00277903">
      <w:pPr>
        <w:shd w:val="clear" w:color="auto" w:fill="FFFFFF"/>
        <w:spacing w:after="0" w:line="240" w:lineRule="auto"/>
        <w:jc w:val="center"/>
        <w:rPr>
          <w:rFonts w:ascii="Calibri" w:eastAsia="Times New Roman" w:hAnsi="Calibri" w:cs="Calibri"/>
          <w:b/>
          <w:bCs/>
          <w:color w:val="000000"/>
        </w:rPr>
      </w:pPr>
      <w:r w:rsidRPr="00E25DAB">
        <w:rPr>
          <w:rFonts w:ascii="Calibri" w:eastAsia="Times New Roman" w:hAnsi="Calibri" w:cs="Calibri"/>
          <w:b/>
          <w:bCs/>
          <w:color w:val="000000"/>
        </w:rPr>
        <w:t>Faktinės aplinkybės</w:t>
      </w:r>
    </w:p>
    <w:p w14:paraId="483D638C" w14:textId="77777777" w:rsidR="00277903" w:rsidRPr="00E25DAB" w:rsidRDefault="00277903" w:rsidP="00277903">
      <w:pPr>
        <w:spacing w:after="0" w:line="240" w:lineRule="auto"/>
        <w:ind w:firstLine="567"/>
        <w:rPr>
          <w:rFonts w:ascii="Calibri" w:eastAsia="Calibri" w:hAnsi="Calibri" w:cs="Calibri"/>
        </w:rPr>
      </w:pPr>
    </w:p>
    <w:p w14:paraId="4F0717E3" w14:textId="7CE66243" w:rsidR="00277903" w:rsidRPr="00E25DAB" w:rsidRDefault="00277903" w:rsidP="00277903">
      <w:pPr>
        <w:spacing w:after="0" w:line="240" w:lineRule="auto"/>
        <w:ind w:firstLine="567"/>
        <w:jc w:val="both"/>
        <w:rPr>
          <w:rFonts w:ascii="Calibri" w:eastAsia="Calibri" w:hAnsi="Calibri" w:cs="Calibri"/>
        </w:rPr>
      </w:pPr>
      <w:r w:rsidRPr="00E25DAB">
        <w:rPr>
          <w:rFonts w:ascii="Calibri" w:eastAsia="Calibri" w:hAnsi="Calibri" w:cs="Calibri"/>
        </w:rPr>
        <w:t>Pareiškėjas Sine Tsaggarakis A.E.E. yra Graikijoje registruota bendrovė, veikusi pramogų srityje bei valdanti pramogų centrą Heraklione.</w:t>
      </w:r>
      <w:r w:rsidR="00C622DD" w:rsidRPr="00E25DAB">
        <w:rPr>
          <w:rFonts w:ascii="Calibri" w:eastAsia="Calibri" w:hAnsi="Calibri" w:cs="Calibri"/>
        </w:rPr>
        <w:t xml:space="preserve"> </w:t>
      </w:r>
      <w:r w:rsidRPr="00E25DAB">
        <w:rPr>
          <w:rFonts w:ascii="Calibri" w:eastAsia="Calibri" w:hAnsi="Calibri" w:cs="Calibri"/>
        </w:rPr>
        <w:t>Pareiškėjo bendrovė 2007 metais kreipėsi į teismą dėl konkuruojančioms įmonėms išduotų statybos ir eksp</w:t>
      </w:r>
      <w:r w:rsidR="00C622DD" w:rsidRPr="00E25DAB">
        <w:rPr>
          <w:rFonts w:ascii="Calibri" w:eastAsia="Calibri" w:hAnsi="Calibri" w:cs="Calibri"/>
        </w:rPr>
        <w:t>loatacijos leidimų</w:t>
      </w:r>
      <w:r w:rsidR="0085296B">
        <w:rPr>
          <w:rFonts w:ascii="Calibri" w:eastAsia="Calibri" w:hAnsi="Calibri" w:cs="Calibri"/>
        </w:rPr>
        <w:t>,</w:t>
      </w:r>
      <w:r w:rsidR="0085296B" w:rsidRPr="0085296B">
        <w:rPr>
          <w:rFonts w:ascii="Calibri" w:eastAsia="Calibri" w:hAnsi="Calibri" w:cs="Calibri"/>
        </w:rPr>
        <w:t xml:space="preserve"> </w:t>
      </w:r>
      <w:r w:rsidR="0085296B" w:rsidRPr="00E25DAB">
        <w:rPr>
          <w:rFonts w:ascii="Calibri" w:eastAsia="Calibri" w:hAnsi="Calibri" w:cs="Calibri"/>
        </w:rPr>
        <w:t>susijusių su pramogų centro eksploatavimu</w:t>
      </w:r>
      <w:r w:rsidR="0085296B">
        <w:rPr>
          <w:rFonts w:ascii="Calibri" w:eastAsia="Calibri" w:hAnsi="Calibri" w:cs="Calibri"/>
        </w:rPr>
        <w:t>,</w:t>
      </w:r>
      <w:r w:rsidR="00C622DD" w:rsidRPr="00E25DAB">
        <w:rPr>
          <w:rFonts w:ascii="Calibri" w:eastAsia="Calibri" w:hAnsi="Calibri" w:cs="Calibri"/>
        </w:rPr>
        <w:t xml:space="preserve"> peržiūrėjimo</w:t>
      </w:r>
      <w:r w:rsidRPr="00E25DAB">
        <w:rPr>
          <w:rFonts w:ascii="Calibri" w:eastAsia="Calibri" w:hAnsi="Calibri" w:cs="Calibri"/>
        </w:rPr>
        <w:t xml:space="preserve">. Pirmiausia pareiškėjas rėmėsi tuo, jog šie leidimai buvo neteisėti, kadangi ginčo teritorija buvo skirta privačių būstų statybai, o valdžios institucijos nebuvo atlikusios preliminaraus įvertinimo, ar laikomasi reglamentuose įtvirtintų aplinkos apsaugos sąlygų. Taip pat jis teigė, jog konkuruojančio pramogų centro veikimas sukels nesąžiningą konkurenciją, kadangi kaimyniniame rajone jis valdė savo pramogų centrą. </w:t>
      </w:r>
    </w:p>
    <w:p w14:paraId="5E2C3256" w14:textId="77777777" w:rsidR="00277903" w:rsidRPr="00E25DAB" w:rsidRDefault="00277903" w:rsidP="00277903">
      <w:pPr>
        <w:spacing w:after="0" w:line="240" w:lineRule="auto"/>
        <w:ind w:firstLine="567"/>
        <w:jc w:val="both"/>
        <w:rPr>
          <w:rFonts w:ascii="Calibri" w:eastAsia="Calibri" w:hAnsi="Calibri" w:cs="Calibri"/>
        </w:rPr>
      </w:pPr>
      <w:r w:rsidRPr="00E25DAB">
        <w:rPr>
          <w:rFonts w:ascii="Calibri" w:eastAsia="Calibri" w:hAnsi="Calibri" w:cs="Calibri"/>
        </w:rPr>
        <w:t xml:space="preserve">2009 metais Vyriausiojo administracinio teismo Ketvirtasis skyrius konstatavo, jog, atsižvelgiant į teisėtų lūkesčių principą, valdžios institucijos, išduodamos eksploatacijos leidimą, negalėjo pakartotinai tikrinti kino teatro statybos leidimo teisėtumo. Vis dėl to, pažymėjęs, kad šio skyriaus ir Penktojo skyriaus teismų praktika skiriasi (pastarasis laikė, jog toks tikrinimas buvo galimas tiek suteikiant statybos leidimą, tiek išduodant eksploatacijos leidimą), Ketvirtasis skyrius nusprendė perduoti bylą Vyriausiojo administracinio teismo plenarinei sesijai. </w:t>
      </w:r>
    </w:p>
    <w:p w14:paraId="6093E309" w14:textId="77777777" w:rsidR="00277903" w:rsidRPr="00E25DAB" w:rsidRDefault="00277903" w:rsidP="00277903">
      <w:pPr>
        <w:spacing w:after="0" w:line="240" w:lineRule="auto"/>
        <w:ind w:firstLine="567"/>
        <w:jc w:val="both"/>
        <w:rPr>
          <w:rFonts w:ascii="Calibri" w:eastAsia="Calibri" w:hAnsi="Calibri" w:cs="Calibri"/>
        </w:rPr>
      </w:pPr>
      <w:r w:rsidRPr="00E25DAB">
        <w:rPr>
          <w:rFonts w:ascii="Calibri" w:eastAsia="Calibri" w:hAnsi="Calibri" w:cs="Calibri"/>
        </w:rPr>
        <w:t xml:space="preserve">2011 metais Vyriausiojo administracinio teismo plenarinė sesija, kaip ir Penktasis skyrius, nusprendė, kad toks tikrinimas gali būti atliekamas tiek išduodant statybos leidimą, tiek išduodant eksploatacijos leidimą, kad būtų laikomasi konstitucinio aplinkos apsaugos principo. </w:t>
      </w:r>
    </w:p>
    <w:p w14:paraId="2479A949" w14:textId="3A6C8A8E" w:rsidR="00277903" w:rsidRPr="00E25DAB" w:rsidRDefault="00277903" w:rsidP="00277903">
      <w:pPr>
        <w:spacing w:after="0" w:line="240" w:lineRule="auto"/>
        <w:ind w:firstLine="567"/>
        <w:jc w:val="both"/>
        <w:rPr>
          <w:rFonts w:ascii="Calibri" w:eastAsia="Calibri" w:hAnsi="Calibri" w:cs="Calibri"/>
        </w:rPr>
      </w:pPr>
      <w:r w:rsidRPr="00E25DAB">
        <w:rPr>
          <w:rFonts w:ascii="Calibri" w:eastAsia="Calibri" w:hAnsi="Calibri" w:cs="Calibri"/>
        </w:rPr>
        <w:lastRenderedPageBreak/>
        <w:t>2012 metais Vyriausiojo administracinio teismo Ketvirtasis skyrius priėmė sprendimą, kuriame pakarto</w:t>
      </w:r>
      <w:r w:rsidR="00032E09" w:rsidRPr="00E25DAB">
        <w:rPr>
          <w:rFonts w:ascii="Calibri" w:eastAsia="Calibri" w:hAnsi="Calibri" w:cs="Calibri"/>
        </w:rPr>
        <w:t>jo savo pradinę poziciją – taigi</w:t>
      </w:r>
      <w:r w:rsidRPr="00E25DAB">
        <w:rPr>
          <w:rFonts w:ascii="Calibri" w:eastAsia="Calibri" w:hAnsi="Calibri" w:cs="Calibri"/>
        </w:rPr>
        <w:t xml:space="preserve"> nesilai</w:t>
      </w:r>
      <w:r w:rsidR="00032E09" w:rsidRPr="00E25DAB">
        <w:rPr>
          <w:rFonts w:ascii="Calibri" w:eastAsia="Calibri" w:hAnsi="Calibri" w:cs="Calibri"/>
        </w:rPr>
        <w:t>kė plenarinės sesijos sprendimo</w:t>
      </w:r>
      <w:r w:rsidRPr="00E25DAB">
        <w:rPr>
          <w:rFonts w:ascii="Calibri" w:eastAsia="Calibri" w:hAnsi="Calibri" w:cs="Calibri"/>
        </w:rPr>
        <w:t xml:space="preserve"> bei atmetė pareiškėjo prašymą dėl teisminės peržiūros. </w:t>
      </w:r>
    </w:p>
    <w:p w14:paraId="6A602744" w14:textId="2D548E5D" w:rsidR="00277903" w:rsidRPr="00E25DAB" w:rsidRDefault="00032E09" w:rsidP="00277903">
      <w:pPr>
        <w:spacing w:after="0" w:line="240" w:lineRule="auto"/>
        <w:ind w:firstLine="567"/>
        <w:jc w:val="both"/>
        <w:rPr>
          <w:rFonts w:ascii="Calibri" w:eastAsia="Calibri" w:hAnsi="Calibri" w:cs="Calibri"/>
        </w:rPr>
      </w:pPr>
      <w:r w:rsidRPr="00E25DAB">
        <w:rPr>
          <w:rFonts w:ascii="Calibri" w:eastAsia="Calibri" w:hAnsi="Calibri" w:cs="Calibri"/>
        </w:rPr>
        <w:t>P</w:t>
      </w:r>
      <w:r w:rsidR="00277903" w:rsidRPr="00E25DAB">
        <w:rPr>
          <w:rFonts w:ascii="Calibri" w:eastAsia="Calibri" w:hAnsi="Calibri" w:cs="Calibri"/>
        </w:rPr>
        <w:t xml:space="preserve">areiškėjo bendrovė 2008 metais kreipėsi į miesto planavimo instituciją, prašydama užplombuoti konkurentų pramogų centrą. Herakliono miesto taryba pastato neužplombavo, todėl pareiškėjo bendrovė kreipėsi į Vyriausiąjį administracinį teismą. Vyriausiojo administracinio teismo Penktasis skyrius 2014 metais priėmė sprendimą pareiškėjo naudai konstatuodamas, kad valdžios institucijos privalėjo pramogų centrą užplombuoti. Tačiau miesto taryba atsisakė vykdyti šį sprendimą, kadangi pereinamuoju laikotarpiu konkuruojanti bendrovė pateikė prašymą taikyti nelegalių statybų sureguliavimo įstatymo nuostatas. Konkurentų pramogų centras ir toliau veikia. </w:t>
      </w:r>
    </w:p>
    <w:p w14:paraId="05CF3C11" w14:textId="298F3E46" w:rsidR="00277903" w:rsidRPr="00E25DAB" w:rsidRDefault="00277903" w:rsidP="00277903">
      <w:pPr>
        <w:spacing w:after="0" w:line="240" w:lineRule="auto"/>
        <w:ind w:firstLine="567"/>
        <w:jc w:val="both"/>
        <w:rPr>
          <w:rFonts w:ascii="Calibri" w:eastAsia="Calibri" w:hAnsi="Calibri" w:cs="Calibri"/>
        </w:rPr>
      </w:pPr>
      <w:r w:rsidRPr="00E25DAB">
        <w:rPr>
          <w:rFonts w:ascii="Calibri" w:eastAsia="Calibri" w:hAnsi="Calibri" w:cs="Calibri"/>
        </w:rPr>
        <w:t xml:space="preserve">Remdamasis Konvencijos 6 straipsnio 1 dalimi (teisė į teisingą teismą) pareiškėjas teigė, </w:t>
      </w:r>
      <w:r w:rsidR="0085296B">
        <w:rPr>
          <w:rFonts w:ascii="Calibri" w:eastAsia="Calibri" w:hAnsi="Calibri" w:cs="Calibri"/>
        </w:rPr>
        <w:t xml:space="preserve">jog </w:t>
      </w:r>
      <w:r w:rsidRPr="00E25DAB">
        <w:rPr>
          <w:rFonts w:ascii="Calibri" w:eastAsia="Calibri" w:hAnsi="Calibri" w:cs="Calibri"/>
        </w:rPr>
        <w:t>nebuvo užtikrinta, kad bylą teisingai išnagrinėtų nešališkas teismas, ypatingai</w:t>
      </w:r>
      <w:r w:rsidR="0085296B">
        <w:rPr>
          <w:rFonts w:ascii="Calibri" w:eastAsia="Calibri" w:hAnsi="Calibri" w:cs="Calibri"/>
        </w:rPr>
        <w:t xml:space="preserve"> –</w:t>
      </w:r>
      <w:r w:rsidRPr="00E25DAB">
        <w:rPr>
          <w:rFonts w:ascii="Calibri" w:eastAsia="Calibri" w:hAnsi="Calibri" w:cs="Calibri"/>
        </w:rPr>
        <w:t xml:space="preserve"> teisinio tikrumo prasme. </w:t>
      </w:r>
    </w:p>
    <w:p w14:paraId="7A3FFBEA" w14:textId="77777777" w:rsidR="00277903" w:rsidRPr="00E25DAB" w:rsidRDefault="00277903" w:rsidP="00277903">
      <w:pPr>
        <w:spacing w:after="0" w:line="240" w:lineRule="auto"/>
        <w:ind w:firstLine="567"/>
        <w:jc w:val="both"/>
        <w:rPr>
          <w:rFonts w:ascii="Calibri" w:eastAsia="Calibri" w:hAnsi="Calibri" w:cs="Calibri"/>
        </w:rPr>
      </w:pPr>
    </w:p>
    <w:p w14:paraId="03B03281" w14:textId="77777777" w:rsidR="00277903" w:rsidRPr="00E25DAB" w:rsidRDefault="00277903" w:rsidP="00277903">
      <w:pPr>
        <w:shd w:val="clear" w:color="auto" w:fill="FFFFFF"/>
        <w:spacing w:after="0" w:line="240" w:lineRule="auto"/>
        <w:jc w:val="center"/>
        <w:rPr>
          <w:rFonts w:ascii="Calibri" w:eastAsia="Times New Roman" w:hAnsi="Calibri" w:cs="Calibri"/>
          <w:b/>
          <w:bCs/>
          <w:color w:val="000000"/>
        </w:rPr>
      </w:pPr>
      <w:r w:rsidRPr="00E25DAB">
        <w:rPr>
          <w:rFonts w:ascii="Calibri" w:eastAsia="Times New Roman" w:hAnsi="Calibri" w:cs="Calibri"/>
          <w:b/>
          <w:bCs/>
          <w:color w:val="000000"/>
        </w:rPr>
        <w:t>Neoficiali Teismo sprendimo apžvalga</w:t>
      </w:r>
    </w:p>
    <w:p w14:paraId="33BD578D" w14:textId="77777777" w:rsidR="00277903" w:rsidRPr="00E25DAB" w:rsidRDefault="00277903" w:rsidP="003B4852">
      <w:pPr>
        <w:spacing w:after="0" w:line="240" w:lineRule="auto"/>
        <w:jc w:val="both"/>
        <w:rPr>
          <w:rFonts w:ascii="Calibri" w:eastAsia="Calibri" w:hAnsi="Calibri" w:cs="Calibri"/>
        </w:rPr>
      </w:pPr>
    </w:p>
    <w:p w14:paraId="01D48056" w14:textId="77777777" w:rsidR="00277903" w:rsidRPr="00E25DAB" w:rsidRDefault="00277903" w:rsidP="00277903">
      <w:pPr>
        <w:spacing w:after="0" w:line="240" w:lineRule="auto"/>
        <w:ind w:firstLine="567"/>
        <w:jc w:val="both"/>
        <w:rPr>
          <w:rFonts w:ascii="Calibri" w:eastAsia="Calibri" w:hAnsi="Calibri" w:cs="Calibri"/>
        </w:rPr>
      </w:pPr>
      <w:r w:rsidRPr="00E25DAB">
        <w:rPr>
          <w:rFonts w:ascii="Calibri" w:eastAsia="Calibri" w:hAnsi="Calibri" w:cs="Calibri"/>
        </w:rPr>
        <w:t xml:space="preserve">Teismas pažymėjo, kad keletą metų egzistavo reikšmingi skirtumai tarp Vyriausiojo administracinio teismo Ketvirtojo ir Penktojo skyrių teismų praktikos, susijusios su galimybe iš naujo tikrinti statybos leidimo teisėtumą, tikrinant eksploatavimo leidimo teisėtumą ir sprendžiant, ar jį išduoti. </w:t>
      </w:r>
    </w:p>
    <w:p w14:paraId="504C1AFD" w14:textId="5B183211" w:rsidR="00277903" w:rsidRPr="00E25DAB" w:rsidRDefault="00277903" w:rsidP="00277903">
      <w:pPr>
        <w:spacing w:after="0" w:line="240" w:lineRule="auto"/>
        <w:ind w:firstLine="567"/>
        <w:jc w:val="both"/>
        <w:rPr>
          <w:rFonts w:ascii="Calibri" w:eastAsia="Calibri" w:hAnsi="Calibri" w:cs="Calibri"/>
        </w:rPr>
      </w:pPr>
      <w:r w:rsidRPr="00E25DAB">
        <w:rPr>
          <w:rFonts w:ascii="Calibri" w:eastAsia="Calibri" w:hAnsi="Calibri" w:cs="Calibri"/>
        </w:rPr>
        <w:t xml:space="preserve">Graikijos administracinės teisės sistemoje būtent Vyriausiojo administracinio teismo plenarinė sesija atsakinga už teismų praktikos išsiskyrimų pašalinimą. Šioje byloje Vyriausiojo administracinio teismo plenarinė sesija turėjo nuspręsti, ar teisėtų lūkesčių principas (kuriuo rėmėsi Ketvirtasis skyrius) turėtų būti viršesnis už aplinkos apsaugos principą (kuriuo rėmėsi Penktasis skyrius). Plenarinė sesija nusprendė, kad klausimas, ar leidžiama statyti pramogų centrą, turėjo būti tikrinamas tiek išduodant statybos leidimą, tiek išduodant eksploatacijos leidimą, siekiant pagerinti atitiktį konstituciniam aplinkos apsaugos principui. </w:t>
      </w:r>
      <w:r w:rsidR="0085296B" w:rsidRPr="00E25DAB">
        <w:rPr>
          <w:rFonts w:ascii="Calibri" w:eastAsia="Calibri" w:hAnsi="Calibri" w:cs="Calibri"/>
        </w:rPr>
        <w:t>Plenarinė sesija</w:t>
      </w:r>
      <w:r w:rsidRPr="00E25DAB">
        <w:rPr>
          <w:rFonts w:ascii="Calibri" w:eastAsia="Calibri" w:hAnsi="Calibri" w:cs="Calibri"/>
        </w:rPr>
        <w:t xml:space="preserve"> taip pat pažymėjo, kad teisėtų lūkesčių ir administracinių situacijų stabilumo principų (kuriais sprendimą grindė Ketvirtasis skyrius) klausimas šioje byloje nekilo, kadangi šie principai negalėjo būti taikomi, kai situacija susidarė dėl konstitucinių nuostatų pažeidimo. Kitaip tariant, plenarinė sesija sprendimą priėmė remdamasi teisės normų hierarchija ir prioritetą suteikė Penktojo skyriaus formuojamai teismų praktikai. Nepaisant to, Ketvirtasis skyrius, iš naujo išnagrinėjęs bylą, motyvuodamas išskirtinėmis aplinkybėmis, pateisin</w:t>
      </w:r>
      <w:r w:rsidR="00F163F4" w:rsidRPr="00E25DAB">
        <w:rPr>
          <w:rFonts w:ascii="Calibri" w:eastAsia="Calibri" w:hAnsi="Calibri" w:cs="Calibri"/>
        </w:rPr>
        <w:t>usiomis „fait accompli“ (liet. į</w:t>
      </w:r>
      <w:r w:rsidRPr="00E25DAB">
        <w:rPr>
          <w:rFonts w:ascii="Calibri" w:eastAsia="Calibri" w:hAnsi="Calibri" w:cs="Calibri"/>
        </w:rPr>
        <w:t xml:space="preserve">vykęs faktas) teisėtų lūkesčių principo taikymą, priėmė sprendimą, atitinkantį </w:t>
      </w:r>
      <w:r w:rsidR="0085296B">
        <w:rPr>
          <w:rFonts w:ascii="Calibri" w:eastAsia="Calibri" w:hAnsi="Calibri" w:cs="Calibri"/>
        </w:rPr>
        <w:t>Ketvirtojo skyriaus</w:t>
      </w:r>
      <w:r w:rsidRPr="00E25DAB">
        <w:rPr>
          <w:rFonts w:ascii="Calibri" w:eastAsia="Calibri" w:hAnsi="Calibri" w:cs="Calibri"/>
        </w:rPr>
        <w:t xml:space="preserve"> ankstesnę praktiką, nepaisant to, kad Vyriausiojo administracinio teismo plenarinė sesija nusprendė, jog turėtų būti laikomasi konstitucinio aplinkos apsaugos principo. </w:t>
      </w:r>
    </w:p>
    <w:p w14:paraId="12B43B26" w14:textId="0F4B9EFF" w:rsidR="00277903" w:rsidRPr="00E25DAB" w:rsidRDefault="00277903" w:rsidP="00277903">
      <w:pPr>
        <w:spacing w:after="0" w:line="240" w:lineRule="auto"/>
        <w:ind w:firstLine="567"/>
        <w:jc w:val="both"/>
        <w:rPr>
          <w:rFonts w:ascii="Calibri" w:eastAsia="Calibri" w:hAnsi="Calibri" w:cs="Calibri"/>
        </w:rPr>
      </w:pPr>
      <w:r w:rsidRPr="00E25DAB">
        <w:rPr>
          <w:rFonts w:ascii="Calibri" w:eastAsia="Calibri" w:hAnsi="Calibri" w:cs="Calibri"/>
        </w:rPr>
        <w:t xml:space="preserve">Penktasis skyrius taip pat laikėsi savo aplinkos apsauga grįstos pozicijos ir nurodė, jog pramogų centras turi būti užplombuotas. Nors formaliai pareiškėjo skundų Ketvirtajam ir Penktajam skyriui dalykai skyrėsi, tačiau faktiškai abiem apeliaciniais skundais buvo siekiama to paties tikslo, t. y. užbaigti privačių būstų statybai skirtame sklype pastatytame dideliame pastate veikiančios bendrovės veiklą. Dėl to susidarė situacija, kai Ketvirtojo skyriaus sprendimu konkurentų pramogų centrui leista normaliai funkcionuoti, o Penktojo skyriaus sprendimu buvo nurodyta jo veiklą sustabdyti pastatą užplombuojant. Padėtį pablogino miesto tarybos atisakymas vykdyti Penktojo skyriaus sprendimą – atsisakymas, patvirtintas Vyriausiojo administracinio teismo trijų teisėjų kolegijos (už šio teismo sprendimų vykdymo priežiūrą faktiškai atsakingas subjektas), kuri, pateisindama savo sprendimą, atsižvelgė į konkurentų pramogų centro pateiktą paraišką dėl situacijos sureguliavimo. </w:t>
      </w:r>
    </w:p>
    <w:p w14:paraId="274DE61D" w14:textId="02E8A843" w:rsidR="00277903" w:rsidRPr="00E25DAB" w:rsidRDefault="00277903" w:rsidP="00277903">
      <w:pPr>
        <w:spacing w:after="0" w:line="240" w:lineRule="auto"/>
        <w:ind w:firstLine="567"/>
        <w:jc w:val="both"/>
        <w:rPr>
          <w:rFonts w:ascii="Calibri" w:eastAsia="Calibri" w:hAnsi="Calibri" w:cs="Calibri"/>
        </w:rPr>
      </w:pPr>
      <w:r w:rsidRPr="00E25DAB">
        <w:rPr>
          <w:rFonts w:ascii="Calibri" w:eastAsia="Calibri" w:hAnsi="Calibri" w:cs="Calibri"/>
        </w:rPr>
        <w:t xml:space="preserve">Dėl šių priežasčių, Teismo nuomone, buvo akivaizdu, kad Ketvirtojo ir Penktojo skyrių praktikos išsiskyrimas egzistavo ilgus metus ir vis dar tęsėsi, nepaisant Vyriausiojo administracinio teismo plenarinės sesijos įsikišimo. Tai sukūrė teisinio netikrumo situaciją, rodančią teismų praktikos vienodinimo mechanizmo neveiksmingumą, kuris šiuo atveju turėjo būti užtikrintas perdavus bylą nagrinėti Vyriausiojo administracinio teismo plenarinei sesijai. Todėl Teismas nusprendė, kad teisinio tikrumo srityje nustatytos sąlygos nebuvo įvykdytos. </w:t>
      </w:r>
    </w:p>
    <w:p w14:paraId="7281C10C" w14:textId="77777777" w:rsidR="00277903" w:rsidRPr="00E25DAB" w:rsidRDefault="00277903" w:rsidP="00277903">
      <w:pPr>
        <w:spacing w:after="0" w:line="240" w:lineRule="auto"/>
        <w:ind w:firstLine="567"/>
        <w:jc w:val="both"/>
        <w:rPr>
          <w:rFonts w:ascii="Calibri" w:eastAsia="Calibri" w:hAnsi="Calibri" w:cs="Calibri"/>
        </w:rPr>
      </w:pPr>
    </w:p>
    <w:p w14:paraId="1A10F32C" w14:textId="4EB7F96D" w:rsidR="002A7636" w:rsidRPr="00E25DAB" w:rsidRDefault="002A7636" w:rsidP="00277903">
      <w:pPr>
        <w:spacing w:after="0" w:line="240" w:lineRule="auto"/>
        <w:ind w:firstLine="567"/>
        <w:jc w:val="both"/>
        <w:rPr>
          <w:rFonts w:ascii="Calibri" w:eastAsia="Calibri" w:hAnsi="Calibri" w:cs="Calibri"/>
        </w:rPr>
      </w:pPr>
      <w:r w:rsidRPr="00E25DAB">
        <w:rPr>
          <w:rFonts w:ascii="Calibri" w:eastAsia="Calibri" w:hAnsi="Calibri" w:cs="Calibri"/>
        </w:rPr>
        <w:t>Išvada: Konvencijos 6 straipsnio 1 dalis buvo pažeista.</w:t>
      </w:r>
    </w:p>
    <w:p w14:paraId="27BFEC39" w14:textId="7D3F8C0C" w:rsidR="002A7636" w:rsidRPr="00E25DAB" w:rsidRDefault="002A7636" w:rsidP="002A7636">
      <w:pPr>
        <w:spacing w:after="0" w:line="240" w:lineRule="auto"/>
        <w:ind w:firstLine="567"/>
        <w:jc w:val="both"/>
        <w:rPr>
          <w:rFonts w:ascii="Calibri" w:eastAsia="Calibri" w:hAnsi="Calibri" w:cs="Calibri"/>
        </w:rPr>
      </w:pPr>
      <w:r w:rsidRPr="00E25DAB">
        <w:rPr>
          <w:rFonts w:ascii="Calibri" w:eastAsia="Calibri" w:hAnsi="Calibri" w:cs="Calibri"/>
        </w:rPr>
        <w:t>(pateiktos dvi atskirosios nuomonės)</w:t>
      </w:r>
    </w:p>
    <w:p w14:paraId="1DD2AF40" w14:textId="7F7801CA" w:rsidR="00277903" w:rsidRPr="00E25DAB" w:rsidRDefault="002A7636" w:rsidP="00277903">
      <w:pPr>
        <w:spacing w:after="0" w:line="240" w:lineRule="auto"/>
        <w:ind w:firstLine="567"/>
        <w:jc w:val="both"/>
        <w:rPr>
          <w:rFonts w:ascii="Calibri" w:eastAsia="Calibri" w:hAnsi="Calibri" w:cs="Calibri"/>
        </w:rPr>
      </w:pPr>
      <w:r w:rsidRPr="00E25DAB">
        <w:rPr>
          <w:rFonts w:ascii="Calibri" w:eastAsia="Calibri" w:hAnsi="Calibri" w:cs="Calibri"/>
        </w:rPr>
        <w:t xml:space="preserve">41 straipsnis: </w:t>
      </w:r>
      <w:r w:rsidR="00277903" w:rsidRPr="00E25DAB">
        <w:rPr>
          <w:rFonts w:ascii="Calibri" w:eastAsia="Calibri" w:hAnsi="Calibri" w:cs="Calibri"/>
        </w:rPr>
        <w:t>Teismas (balsų dauguma) pripažino, kad Graikija pareiškėjui turi sumokėti 8 000 Eur neturtinei žalai ir 5 000 Eur bylinėjimosi išlaidoms padengti.</w:t>
      </w:r>
    </w:p>
    <w:p w14:paraId="0C14D80B" w14:textId="77777777" w:rsidR="00277903" w:rsidRPr="00E25DAB" w:rsidRDefault="00907E3B" w:rsidP="00277903">
      <w:pPr>
        <w:spacing w:after="0" w:line="240" w:lineRule="auto"/>
        <w:ind w:firstLine="567"/>
        <w:jc w:val="both"/>
        <w:rPr>
          <w:rFonts w:ascii="Calibri" w:eastAsia="Calibri" w:hAnsi="Calibri" w:cs="Calibri"/>
        </w:rPr>
      </w:pPr>
      <w:hyperlink r:id="rId14" w:history="1">
        <w:r w:rsidR="00277903" w:rsidRPr="00E25DAB">
          <w:rPr>
            <w:rFonts w:ascii="Calibri" w:eastAsia="Calibri" w:hAnsi="Calibri" w:cs="Calibri"/>
            <w:color w:val="0000FF"/>
            <w:u w:val="single"/>
          </w:rPr>
          <w:t>Prieiga internete</w:t>
        </w:r>
      </w:hyperlink>
      <w:r w:rsidR="00277903" w:rsidRPr="00E25DAB">
        <w:rPr>
          <w:rFonts w:ascii="Calibri" w:eastAsia="Calibri" w:hAnsi="Calibri" w:cs="Calibri"/>
        </w:rPr>
        <w:t xml:space="preserve"> </w:t>
      </w:r>
    </w:p>
    <w:p w14:paraId="6A300233" w14:textId="77777777" w:rsidR="00DD46DE" w:rsidRPr="00E25DAB" w:rsidRDefault="00DD46DE" w:rsidP="00277903">
      <w:pPr>
        <w:spacing w:after="0" w:line="240" w:lineRule="auto"/>
        <w:ind w:firstLine="567"/>
        <w:jc w:val="both"/>
        <w:rPr>
          <w:rFonts w:ascii="Calibri" w:eastAsia="Calibri" w:hAnsi="Calibri" w:cs="Calibri"/>
        </w:rPr>
      </w:pPr>
    </w:p>
    <w:p w14:paraId="329D0F73" w14:textId="77777777" w:rsidR="001C0508" w:rsidRPr="00E25DAB" w:rsidRDefault="001C0508" w:rsidP="001C0508">
      <w:pPr>
        <w:spacing w:after="0" w:line="240" w:lineRule="auto"/>
        <w:ind w:firstLine="567"/>
        <w:jc w:val="center"/>
        <w:rPr>
          <w:rFonts w:ascii="Calibri" w:hAnsi="Calibri" w:cs="Calibri"/>
          <w:b/>
        </w:rPr>
      </w:pPr>
      <w:r w:rsidRPr="00E25DAB">
        <w:rPr>
          <w:rFonts w:ascii="Calibri" w:hAnsi="Calibri" w:cs="Calibri"/>
          <w:b/>
        </w:rPr>
        <w:t>Europos Žmogaus Teisių Teismo 2019 m. birželio 20 d. sprendimas byloje</w:t>
      </w:r>
      <w:bookmarkStart w:id="19" w:name="_Toc506738624"/>
      <w:r w:rsidRPr="00E25DAB">
        <w:rPr>
          <w:rFonts w:ascii="Calibri" w:hAnsi="Calibri" w:cs="Calibri"/>
          <w:b/>
        </w:rPr>
        <w:t xml:space="preserve"> </w:t>
      </w:r>
    </w:p>
    <w:p w14:paraId="4E66829F" w14:textId="77777777" w:rsidR="001C0508" w:rsidRPr="00E25DAB" w:rsidRDefault="001C0508" w:rsidP="008466B1">
      <w:pPr>
        <w:pStyle w:val="Antrat2"/>
        <w:ind w:firstLine="0"/>
        <w:jc w:val="center"/>
        <w:rPr>
          <w:rFonts w:ascii="Calibri" w:hAnsi="Calibri" w:cs="Calibri"/>
          <w:i/>
        </w:rPr>
      </w:pPr>
      <w:bookmarkStart w:id="20" w:name="_Toc19877691"/>
      <w:r w:rsidRPr="00E25DAB">
        <w:rPr>
          <w:rFonts w:eastAsia="Calibri"/>
          <w:bCs w:val="0"/>
          <w:i/>
          <w:iCs w:val="0"/>
        </w:rPr>
        <w:t xml:space="preserve">Loupas prieš </w:t>
      </w:r>
      <w:bookmarkEnd w:id="19"/>
      <w:r w:rsidRPr="00E25DAB">
        <w:rPr>
          <w:rFonts w:eastAsia="Calibri"/>
          <w:bCs w:val="0"/>
          <w:i/>
          <w:iCs w:val="0"/>
        </w:rPr>
        <w:t>Graikiją</w:t>
      </w:r>
      <w:bookmarkEnd w:id="20"/>
    </w:p>
    <w:p w14:paraId="4DADF16A" w14:textId="5E95B724" w:rsidR="001C0508" w:rsidRPr="00E25DAB" w:rsidRDefault="001C0508" w:rsidP="008466B1">
      <w:pPr>
        <w:spacing w:after="0" w:line="240" w:lineRule="auto"/>
        <w:jc w:val="center"/>
        <w:rPr>
          <w:rFonts w:ascii="Calibri" w:hAnsi="Calibri" w:cs="Calibri"/>
          <w:b/>
        </w:rPr>
      </w:pPr>
      <w:r w:rsidRPr="00E25DAB">
        <w:rPr>
          <w:rFonts w:ascii="Calibri" w:hAnsi="Calibri" w:cs="Calibri"/>
          <w:b/>
        </w:rPr>
        <w:t>(pareiškimo Nr. 21268/16</w:t>
      </w:r>
      <w:r w:rsidR="00D11B63" w:rsidRPr="00E25DAB">
        <w:rPr>
          <w:rFonts w:ascii="Calibri" w:hAnsi="Calibri" w:cs="Calibri"/>
          <w:b/>
        </w:rPr>
        <w:t>, svarbos lygis – 2</w:t>
      </w:r>
      <w:r w:rsidRPr="00E25DAB">
        <w:rPr>
          <w:rFonts w:ascii="Calibri" w:hAnsi="Calibri" w:cs="Calibri"/>
          <w:b/>
        </w:rPr>
        <w:t>)</w:t>
      </w:r>
    </w:p>
    <w:p w14:paraId="25135FAD" w14:textId="77777777" w:rsidR="001C0508" w:rsidRPr="00E25DAB" w:rsidRDefault="001C0508" w:rsidP="001C0508">
      <w:pPr>
        <w:pStyle w:val="s6c429373"/>
        <w:spacing w:before="0" w:beforeAutospacing="0" w:after="0" w:afterAutospacing="0"/>
        <w:ind w:firstLine="567"/>
        <w:jc w:val="both"/>
        <w:rPr>
          <w:rStyle w:val="sfbbfee58"/>
          <w:rFonts w:ascii="Calibri" w:hAnsi="Calibri" w:cs="Calibri"/>
          <w:i/>
          <w:sz w:val="22"/>
          <w:szCs w:val="22"/>
        </w:rPr>
      </w:pPr>
    </w:p>
    <w:p w14:paraId="734A4676" w14:textId="77777777" w:rsidR="001C0508" w:rsidRPr="00E25DAB" w:rsidRDefault="001C0508" w:rsidP="008466B1">
      <w:pPr>
        <w:pStyle w:val="Antrat3"/>
        <w:spacing w:before="0" w:line="240" w:lineRule="auto"/>
        <w:ind w:firstLine="567"/>
        <w:rPr>
          <w:rStyle w:val="sfbbfee58"/>
          <w:rFonts w:ascii="Calibri" w:hAnsi="Calibri" w:cs="Calibri"/>
          <w:i w:val="0"/>
          <w:szCs w:val="22"/>
        </w:rPr>
      </w:pPr>
      <w:bookmarkStart w:id="21" w:name="_Toc19877692"/>
      <w:r w:rsidRPr="00E25DAB">
        <w:rPr>
          <w:rStyle w:val="sfbbfee58"/>
          <w:rFonts w:ascii="Calibri" w:hAnsi="Calibri" w:cs="Calibri"/>
          <w:szCs w:val="22"/>
        </w:rPr>
        <w:t>Dėl teismo pareigos įvertinti skirtingą valstybės poziciją atskirose bylose</w:t>
      </w:r>
      <w:bookmarkEnd w:id="21"/>
    </w:p>
    <w:p w14:paraId="037E1C2D" w14:textId="77777777" w:rsidR="001C0508" w:rsidRPr="00E25DAB" w:rsidRDefault="001C0508" w:rsidP="001C0508">
      <w:pPr>
        <w:spacing w:after="0" w:line="240" w:lineRule="auto"/>
        <w:ind w:firstLine="567"/>
        <w:rPr>
          <w:rFonts w:ascii="Calibri" w:hAnsi="Calibri" w:cs="Calibri"/>
        </w:rPr>
      </w:pPr>
    </w:p>
    <w:p w14:paraId="180B8ED7" w14:textId="77777777" w:rsidR="001C0508" w:rsidRPr="00E25DAB" w:rsidRDefault="001C0508" w:rsidP="001C0508">
      <w:pPr>
        <w:spacing w:after="0" w:line="240" w:lineRule="auto"/>
        <w:jc w:val="center"/>
        <w:rPr>
          <w:rFonts w:ascii="Calibri" w:hAnsi="Calibri" w:cs="Calibri"/>
          <w:b/>
        </w:rPr>
      </w:pPr>
      <w:r w:rsidRPr="00E25DAB">
        <w:rPr>
          <w:rFonts w:ascii="Calibri" w:hAnsi="Calibri" w:cs="Calibri"/>
          <w:b/>
        </w:rPr>
        <w:t>Faktinės aplinkybės</w:t>
      </w:r>
    </w:p>
    <w:p w14:paraId="0E739331" w14:textId="77777777" w:rsidR="001C0508" w:rsidRPr="00E25DAB" w:rsidRDefault="001C0508" w:rsidP="001C0508">
      <w:pPr>
        <w:spacing w:after="0" w:line="240" w:lineRule="auto"/>
        <w:ind w:firstLine="567"/>
        <w:rPr>
          <w:rFonts w:ascii="Calibri" w:hAnsi="Calibri" w:cs="Calibri"/>
          <w:b/>
        </w:rPr>
      </w:pPr>
    </w:p>
    <w:p w14:paraId="02E2846A" w14:textId="67CBA694" w:rsidR="001C0508" w:rsidRPr="00E25DAB" w:rsidRDefault="001C0508" w:rsidP="00EF1D24">
      <w:pPr>
        <w:spacing w:after="0" w:line="240" w:lineRule="auto"/>
        <w:ind w:firstLine="567"/>
        <w:jc w:val="both"/>
        <w:rPr>
          <w:rFonts w:ascii="Calibri" w:hAnsi="Calibri" w:cs="Calibri"/>
        </w:rPr>
      </w:pPr>
      <w:r w:rsidRPr="00E25DAB">
        <w:rPr>
          <w:rFonts w:ascii="Calibri" w:hAnsi="Calibri" w:cs="Calibri"/>
        </w:rPr>
        <w:t xml:space="preserve">2007 m. rugpjūčio 17 d. Šveicarijos bendrasis darbo teismas įpareigojo </w:t>
      </w:r>
      <w:r w:rsidR="00E23213" w:rsidRPr="00E25DAB">
        <w:rPr>
          <w:rFonts w:ascii="Calibri" w:hAnsi="Calibri" w:cs="Calibri"/>
        </w:rPr>
        <w:t>Jekateriną</w:t>
      </w:r>
      <w:r w:rsidRPr="00E25DAB">
        <w:rPr>
          <w:rFonts w:ascii="Calibri" w:hAnsi="Calibri" w:cs="Calibri"/>
        </w:rPr>
        <w:t xml:space="preserve"> Loupas, kuri tuo metu buvo Graikijos generalinė konsulė Ženevoje (Šveicarija)</w:t>
      </w:r>
      <w:r w:rsidR="00E23213" w:rsidRPr="00E25DAB">
        <w:rPr>
          <w:rFonts w:ascii="Calibri" w:hAnsi="Calibri" w:cs="Calibri"/>
        </w:rPr>
        <w:t>,</w:t>
      </w:r>
      <w:r w:rsidRPr="00E25DAB">
        <w:rPr>
          <w:rFonts w:ascii="Calibri" w:hAnsi="Calibri" w:cs="Calibri"/>
        </w:rPr>
        <w:t xml:space="preserve"> ir Graikijos valst</w:t>
      </w:r>
      <w:r w:rsidR="008458AE" w:rsidRPr="00E25DAB">
        <w:rPr>
          <w:rFonts w:ascii="Calibri" w:hAnsi="Calibri" w:cs="Calibri"/>
        </w:rPr>
        <w:t>ybę solidariai išmokėti 181 845 </w:t>
      </w:r>
      <w:r w:rsidRPr="00E25DAB">
        <w:rPr>
          <w:rFonts w:ascii="Calibri" w:hAnsi="Calibri" w:cs="Calibri"/>
        </w:rPr>
        <w:t>Šveicarijos frankų už viršvalandžius ir darbą švenčių bei poilsio dienomis Filipinų piliečiui, kuris 2001–2005 metais kaip namudininkas dirbo J. Loupas rezidencijoje. Aukštesni Šveicarijos teismai pirmosios instancijos teismo sprendimą paliko nepakeistą.</w:t>
      </w:r>
    </w:p>
    <w:p w14:paraId="46FE802B" w14:textId="20580CDE" w:rsidR="001C0508" w:rsidRPr="00E25DAB" w:rsidRDefault="001C0508" w:rsidP="00EF1D24">
      <w:pPr>
        <w:spacing w:after="0" w:line="240" w:lineRule="auto"/>
        <w:ind w:firstLine="567"/>
        <w:jc w:val="both"/>
        <w:rPr>
          <w:rFonts w:ascii="Calibri" w:hAnsi="Calibri" w:cs="Calibri"/>
        </w:rPr>
      </w:pPr>
      <w:r w:rsidRPr="00E25DAB">
        <w:rPr>
          <w:rFonts w:ascii="Calibri" w:hAnsi="Calibri" w:cs="Calibri"/>
        </w:rPr>
        <w:t xml:space="preserve">Graikijos Respublikos užsienio reikalų ministerijos generalinio sekretoriaus nurodymu ministerijos generalinis inspektorius pradėjo tarnybinį patikrinimą, tačiau </w:t>
      </w:r>
      <w:r w:rsidR="00974752">
        <w:rPr>
          <w:rFonts w:ascii="Calibri" w:hAnsi="Calibri" w:cs="Calibri"/>
        </w:rPr>
        <w:t>m</w:t>
      </w:r>
      <w:r w:rsidRPr="00E25DAB">
        <w:rPr>
          <w:rFonts w:ascii="Calibri" w:hAnsi="Calibri" w:cs="Calibri"/>
        </w:rPr>
        <w:t>inisterijos drausmės komisija atsisakė pripažinti J. Loupas padariusią tarnybinį nusižengimą. 2009 m. rugsėjo 8 d. Viešojo valdymo generalinis sekretorius Aukščiausiajam administraciniam teismui pat</w:t>
      </w:r>
      <w:r w:rsidR="00974752">
        <w:rPr>
          <w:rFonts w:ascii="Calibri" w:hAnsi="Calibri" w:cs="Calibri"/>
        </w:rPr>
        <w:t>ei</w:t>
      </w:r>
      <w:r w:rsidRPr="00E25DAB">
        <w:rPr>
          <w:rFonts w:ascii="Calibri" w:hAnsi="Calibri" w:cs="Calibri"/>
        </w:rPr>
        <w:t xml:space="preserve">kė prašymą peržiūrėti </w:t>
      </w:r>
      <w:r w:rsidR="00974752">
        <w:rPr>
          <w:rFonts w:ascii="Calibri" w:hAnsi="Calibri" w:cs="Calibri"/>
        </w:rPr>
        <w:t>u</w:t>
      </w:r>
      <w:r w:rsidRPr="00E25DAB">
        <w:rPr>
          <w:rFonts w:ascii="Calibri" w:hAnsi="Calibri" w:cs="Calibri"/>
        </w:rPr>
        <w:t>žsienio reikalų ministerijos drausmės komisijos sprendimą. Tenkindamas prašymą, šis teismas panaikino minėtos komisijos sprendimą ir skyrė J. Loupas drausmin</w:t>
      </w:r>
      <w:r w:rsidR="00974752">
        <w:rPr>
          <w:rFonts w:ascii="Calibri" w:hAnsi="Calibri" w:cs="Calibri"/>
        </w:rPr>
        <w:t>ę</w:t>
      </w:r>
      <w:r w:rsidRPr="00E25DAB">
        <w:rPr>
          <w:rFonts w:ascii="Calibri" w:hAnsi="Calibri" w:cs="Calibri"/>
        </w:rPr>
        <w:t xml:space="preserve"> nuobaudą – šešis mėnesius laikinai nušalino nuo pareigų nemokant atlyginimo už šį nušalinimo laikotarpį.</w:t>
      </w:r>
    </w:p>
    <w:p w14:paraId="2C87CB2A" w14:textId="27C5DEF9" w:rsidR="001C0508" w:rsidRPr="00E25DAB" w:rsidRDefault="001C0508" w:rsidP="00EF1D24">
      <w:pPr>
        <w:spacing w:after="0" w:line="240" w:lineRule="auto"/>
        <w:ind w:firstLine="567"/>
        <w:jc w:val="both"/>
        <w:rPr>
          <w:rFonts w:ascii="Calibri" w:hAnsi="Calibri" w:cs="Calibri"/>
        </w:rPr>
      </w:pPr>
      <w:r w:rsidRPr="00E25DAB">
        <w:rPr>
          <w:rFonts w:ascii="Calibri" w:hAnsi="Calibri" w:cs="Calibri"/>
        </w:rPr>
        <w:t xml:space="preserve">Remdamasi Konvencijos 6 straipsniu (teisė į teisingą teismą) pareiškėja Teismui skundėsi, kad buvo pažeistos jos teisės į teisingą teismą, nes Aukščiausiasis administracinis teismas neatsižvelgė į reikšmingus oficialius dokumentus, bet savo sprendimą iš esmės grindė argumentais, kurie buvo nurodyti </w:t>
      </w:r>
      <w:r w:rsidR="00974752">
        <w:rPr>
          <w:rFonts w:ascii="Calibri" w:hAnsi="Calibri" w:cs="Calibri"/>
        </w:rPr>
        <w:t>u</w:t>
      </w:r>
      <w:r w:rsidRPr="00E25DAB">
        <w:rPr>
          <w:rFonts w:ascii="Calibri" w:hAnsi="Calibri" w:cs="Calibri"/>
        </w:rPr>
        <w:t>žsienio reikalų ministerijos drausmės komisijai pateiktoje tyrimo išvadoje.</w:t>
      </w:r>
    </w:p>
    <w:p w14:paraId="7089D70F" w14:textId="77777777" w:rsidR="001C0508" w:rsidRPr="00E25DAB" w:rsidRDefault="001C0508" w:rsidP="001C0508">
      <w:pPr>
        <w:spacing w:after="0" w:line="240" w:lineRule="auto"/>
        <w:ind w:left="113" w:firstLine="567"/>
        <w:jc w:val="both"/>
        <w:rPr>
          <w:rFonts w:ascii="Calibri" w:hAnsi="Calibri" w:cs="Calibri"/>
        </w:rPr>
      </w:pPr>
    </w:p>
    <w:p w14:paraId="730C3B41" w14:textId="77777777" w:rsidR="001C0508" w:rsidRPr="00E25DAB" w:rsidRDefault="001C0508" w:rsidP="001C0508">
      <w:pPr>
        <w:spacing w:after="0" w:line="240" w:lineRule="auto"/>
        <w:jc w:val="center"/>
        <w:rPr>
          <w:rFonts w:ascii="Calibri" w:hAnsi="Calibri" w:cs="Calibri"/>
          <w:b/>
        </w:rPr>
      </w:pPr>
      <w:r w:rsidRPr="00E25DAB">
        <w:rPr>
          <w:rFonts w:ascii="Calibri" w:hAnsi="Calibri" w:cs="Calibri"/>
          <w:b/>
        </w:rPr>
        <w:t>Neoficiali Teismo sprendimo apžvalga</w:t>
      </w:r>
    </w:p>
    <w:p w14:paraId="374A2087" w14:textId="77777777" w:rsidR="001C0508" w:rsidRPr="00E25DAB" w:rsidRDefault="001C0508" w:rsidP="001C0508">
      <w:pPr>
        <w:spacing w:after="0" w:line="240" w:lineRule="auto"/>
        <w:ind w:firstLine="567"/>
        <w:jc w:val="both"/>
        <w:rPr>
          <w:rFonts w:ascii="Calibri" w:hAnsi="Calibri" w:cs="Calibri"/>
        </w:rPr>
      </w:pPr>
    </w:p>
    <w:p w14:paraId="31CEB4E2" w14:textId="4C5683A6" w:rsidR="001C0508" w:rsidRPr="00E25DAB" w:rsidRDefault="001C0508" w:rsidP="001C0508">
      <w:pPr>
        <w:spacing w:after="0" w:line="240" w:lineRule="auto"/>
        <w:ind w:firstLine="567"/>
        <w:jc w:val="both"/>
        <w:rPr>
          <w:rFonts w:ascii="Calibri" w:hAnsi="Calibri" w:cs="Calibri"/>
        </w:rPr>
      </w:pPr>
      <w:r w:rsidRPr="00E25DAB">
        <w:rPr>
          <w:rFonts w:ascii="Calibri" w:hAnsi="Calibri" w:cs="Calibri"/>
        </w:rPr>
        <w:t>Teismas pirmiausia pastebėjo nesutapimus tarp Graikijos valstybės pozicijos Šveicarijoje ir nacionaliniuose teismuose vykusių procedūrų metu. Viena vertus, Šveicarijoje vykusio ginčo dėl darbo užmokesčio apmokėjimo metu Graikijos valstybė teikė argumentus ir įrodymus, kad minėtas Filipinų pilietis buvo ne asmeni</w:t>
      </w:r>
      <w:r w:rsidR="00974752">
        <w:rPr>
          <w:rFonts w:ascii="Calibri" w:hAnsi="Calibri" w:cs="Calibri"/>
        </w:rPr>
        <w:t>škai</w:t>
      </w:r>
      <w:r w:rsidRPr="00E25DAB">
        <w:rPr>
          <w:rFonts w:ascii="Calibri" w:hAnsi="Calibri" w:cs="Calibri"/>
        </w:rPr>
        <w:t xml:space="preserve"> J. Loupas, bet valstybės įdarbintas darbuotojas. Kita vertus, nacionalinių procedūrų metu, pareiškime teismui dėl drausmės komisijos panaikinimo, generalinis inspektorius atsisakė pozicijos, kurios buvo laikomasi Šveicarijos teismuose.</w:t>
      </w:r>
    </w:p>
    <w:p w14:paraId="61FE13C6" w14:textId="03581DEC" w:rsidR="001C0508" w:rsidRPr="00E25DAB" w:rsidRDefault="001C0508" w:rsidP="001C0508">
      <w:pPr>
        <w:spacing w:after="0" w:line="240" w:lineRule="auto"/>
        <w:ind w:firstLine="567"/>
        <w:jc w:val="both"/>
        <w:rPr>
          <w:rFonts w:ascii="Calibri" w:hAnsi="Calibri" w:cs="Calibri"/>
        </w:rPr>
      </w:pPr>
      <w:r w:rsidRPr="00E25DAB">
        <w:rPr>
          <w:rFonts w:ascii="Calibri" w:hAnsi="Calibri" w:cs="Calibri"/>
        </w:rPr>
        <w:t>Kadangi nacionalinis teismas J. Loupas drausmės byloje visiškai neats</w:t>
      </w:r>
      <w:r w:rsidR="00DA3EBC" w:rsidRPr="00E25DAB">
        <w:rPr>
          <w:rFonts w:ascii="Calibri" w:hAnsi="Calibri" w:cs="Calibri"/>
        </w:rPr>
        <w:t>ižvelgė ir nevertino tokios pak</w:t>
      </w:r>
      <w:r w:rsidRPr="00E25DAB">
        <w:rPr>
          <w:rFonts w:ascii="Calibri" w:hAnsi="Calibri" w:cs="Calibri"/>
        </w:rPr>
        <w:t>itusios valstybės pozicijos ir su tuo susijusių reikšmingų įrodymų, Teismas pripažino, kad buvo pažeista Konvencijos 6 straipsnio 1 dalis.</w:t>
      </w:r>
    </w:p>
    <w:p w14:paraId="6B496C51" w14:textId="77777777" w:rsidR="001C0508" w:rsidRPr="00E25DAB" w:rsidRDefault="001C0508" w:rsidP="001C0508">
      <w:pPr>
        <w:spacing w:after="0" w:line="240" w:lineRule="auto"/>
        <w:ind w:firstLine="567"/>
        <w:jc w:val="both"/>
        <w:rPr>
          <w:rFonts w:ascii="Calibri" w:hAnsi="Calibri" w:cs="Calibri"/>
        </w:rPr>
      </w:pPr>
    </w:p>
    <w:p w14:paraId="7ACD5403" w14:textId="77777777" w:rsidR="001C0508" w:rsidRPr="00E25DAB" w:rsidRDefault="001C0508" w:rsidP="001C0508">
      <w:pPr>
        <w:spacing w:after="0" w:line="240" w:lineRule="auto"/>
        <w:ind w:firstLine="567"/>
        <w:jc w:val="both"/>
        <w:rPr>
          <w:rFonts w:ascii="Calibri" w:hAnsi="Calibri" w:cs="Calibri"/>
        </w:rPr>
      </w:pPr>
      <w:r w:rsidRPr="00E25DAB">
        <w:rPr>
          <w:rFonts w:ascii="Calibri" w:hAnsi="Calibri" w:cs="Calibri"/>
        </w:rPr>
        <w:t>Išvada: nuspręsta, kad buvo pažeista Konvencijos 6 straipsnio 1 dalis.</w:t>
      </w:r>
    </w:p>
    <w:p w14:paraId="321CE935" w14:textId="77777777" w:rsidR="001C0508" w:rsidRPr="00E25DAB" w:rsidRDefault="001C0508" w:rsidP="001C0508">
      <w:pPr>
        <w:spacing w:after="0" w:line="240" w:lineRule="auto"/>
        <w:ind w:firstLine="567"/>
        <w:jc w:val="both"/>
        <w:rPr>
          <w:rFonts w:ascii="Calibri" w:hAnsi="Calibri" w:cs="Calibri"/>
        </w:rPr>
      </w:pPr>
      <w:r w:rsidRPr="00E25DAB">
        <w:rPr>
          <w:rFonts w:ascii="Calibri" w:hAnsi="Calibri" w:cs="Calibri"/>
        </w:rPr>
        <w:t>42 straipsnis: priteista 1 000 Eur dydžio neturtinės žalos atlyginimas.</w:t>
      </w:r>
    </w:p>
    <w:p w14:paraId="1A2B624F" w14:textId="77777777" w:rsidR="001C0508" w:rsidRPr="00E25DAB" w:rsidRDefault="00907E3B" w:rsidP="001C0508">
      <w:pPr>
        <w:spacing w:after="0" w:line="240" w:lineRule="auto"/>
        <w:ind w:firstLine="567"/>
        <w:jc w:val="both"/>
        <w:rPr>
          <w:rStyle w:val="Hipersaitas"/>
          <w:rFonts w:ascii="Calibri" w:hAnsi="Calibri" w:cs="Calibri"/>
        </w:rPr>
      </w:pPr>
      <w:hyperlink r:id="rId15" w:history="1">
        <w:r w:rsidR="001C0508" w:rsidRPr="00E25DAB">
          <w:rPr>
            <w:rStyle w:val="Hipersaitas"/>
            <w:rFonts w:ascii="Calibri" w:hAnsi="Calibri" w:cs="Calibri"/>
          </w:rPr>
          <w:t>Prieiga internete</w:t>
        </w:r>
      </w:hyperlink>
    </w:p>
    <w:p w14:paraId="77F4A3FA" w14:textId="77777777" w:rsidR="00EE09AD" w:rsidRPr="00E25DAB" w:rsidRDefault="00EE09AD" w:rsidP="009A1B99">
      <w:pPr>
        <w:pStyle w:val="Antrat1"/>
        <w:rPr>
          <w:rFonts w:ascii="Calibri" w:hAnsi="Calibri" w:cs="Calibri"/>
          <w:bCs/>
          <w:szCs w:val="22"/>
        </w:rPr>
      </w:pPr>
      <w:bookmarkStart w:id="22" w:name="_Toc19877693"/>
      <w:r w:rsidRPr="00E25DAB">
        <w:rPr>
          <w:rFonts w:ascii="Calibri" w:hAnsi="Calibri" w:cs="Calibri"/>
          <w:szCs w:val="22"/>
        </w:rPr>
        <w:t>TEISĖ Į PRIVATAUS IR ŠEIMOS GYVENIMO GERBIMĄ</w:t>
      </w:r>
      <w:r w:rsidRPr="00E25DAB">
        <w:rPr>
          <w:rFonts w:ascii="Calibri" w:hAnsi="Calibri" w:cs="Calibri"/>
          <w:bCs/>
          <w:szCs w:val="22"/>
        </w:rPr>
        <w:t xml:space="preserve"> (8 straipsnis)</w:t>
      </w:r>
      <w:bookmarkEnd w:id="7"/>
      <w:bookmarkEnd w:id="22"/>
    </w:p>
    <w:p w14:paraId="7F43A600" w14:textId="77777777" w:rsidR="00EE09AD" w:rsidRPr="00E25DAB" w:rsidRDefault="00EE09AD" w:rsidP="009A1B99">
      <w:pPr>
        <w:tabs>
          <w:tab w:val="left" w:pos="2610"/>
        </w:tabs>
        <w:spacing w:after="0" w:line="240" w:lineRule="auto"/>
        <w:jc w:val="center"/>
        <w:rPr>
          <w:rFonts w:ascii="Calibri" w:eastAsia="Calibri" w:hAnsi="Calibri" w:cs="Calibri"/>
          <w:b/>
        </w:rPr>
      </w:pPr>
    </w:p>
    <w:p w14:paraId="2ED17F99" w14:textId="77777777" w:rsidR="00667ACB" w:rsidRPr="00E25DAB" w:rsidRDefault="00667ACB" w:rsidP="00667ACB">
      <w:pPr>
        <w:spacing w:after="0" w:line="240" w:lineRule="auto"/>
        <w:jc w:val="center"/>
        <w:rPr>
          <w:rFonts w:cstheme="minorHAnsi"/>
          <w:b/>
        </w:rPr>
      </w:pPr>
      <w:r w:rsidRPr="00E25DAB">
        <w:rPr>
          <w:rFonts w:cstheme="minorHAnsi"/>
          <w:b/>
        </w:rPr>
        <w:t>Europos Žmogaus Teisių Teismo 2019 m. sausio 24 d. sprendimas byloje</w:t>
      </w:r>
    </w:p>
    <w:p w14:paraId="3618D73E" w14:textId="77777777" w:rsidR="00667ACB" w:rsidRPr="00E25DAB" w:rsidRDefault="00667ACB" w:rsidP="00667ACB">
      <w:pPr>
        <w:pStyle w:val="Antrat2"/>
        <w:ind w:firstLine="0"/>
        <w:jc w:val="center"/>
        <w:rPr>
          <w:rFonts w:eastAsia="Calibri"/>
          <w:i/>
        </w:rPr>
      </w:pPr>
      <w:bookmarkStart w:id="23" w:name="_Toc1657780"/>
      <w:bookmarkStart w:id="24" w:name="_Toc19877694"/>
      <w:r w:rsidRPr="00E25DAB">
        <w:rPr>
          <w:rFonts w:eastAsia="Calibri"/>
          <w:i/>
        </w:rPr>
        <w:t>Cordella ir kiti prieš Italiją</w:t>
      </w:r>
      <w:bookmarkEnd w:id="23"/>
      <w:bookmarkEnd w:id="24"/>
    </w:p>
    <w:p w14:paraId="72062403" w14:textId="77777777" w:rsidR="00667ACB" w:rsidRPr="00E25DAB" w:rsidRDefault="00667ACB" w:rsidP="00667ACB">
      <w:pPr>
        <w:spacing w:after="0" w:line="240" w:lineRule="auto"/>
        <w:jc w:val="center"/>
        <w:rPr>
          <w:rFonts w:cstheme="minorHAnsi"/>
          <w:b/>
        </w:rPr>
      </w:pPr>
      <w:r w:rsidRPr="00E25DAB">
        <w:rPr>
          <w:rFonts w:cstheme="minorHAnsi"/>
          <w:b/>
        </w:rPr>
        <w:t>(pareiškimo Nr. 54414/13 ir 54264/15, svarbos lygis – 2)</w:t>
      </w:r>
    </w:p>
    <w:p w14:paraId="70A073A9" w14:textId="77777777" w:rsidR="00667ACB" w:rsidRPr="00E25DAB" w:rsidRDefault="00667ACB" w:rsidP="00667ACB">
      <w:pPr>
        <w:spacing w:after="0" w:line="240" w:lineRule="auto"/>
        <w:jc w:val="center"/>
        <w:rPr>
          <w:rFonts w:cstheme="minorHAnsi"/>
        </w:rPr>
      </w:pPr>
    </w:p>
    <w:p w14:paraId="5681FBE0" w14:textId="77777777" w:rsidR="00667ACB" w:rsidRPr="00E25DAB" w:rsidRDefault="00667ACB" w:rsidP="00667ACB">
      <w:pPr>
        <w:pStyle w:val="Antrat3"/>
        <w:spacing w:before="0" w:line="240" w:lineRule="auto"/>
        <w:ind w:firstLine="567"/>
        <w:jc w:val="both"/>
        <w:rPr>
          <w:rFonts w:cstheme="minorHAnsi"/>
          <w:szCs w:val="22"/>
          <w:shd w:val="clear" w:color="auto" w:fill="FFFFFF"/>
          <w:lang w:eastAsia="lt-LT"/>
        </w:rPr>
      </w:pPr>
      <w:bookmarkStart w:id="25" w:name="_Toc526931860"/>
      <w:bookmarkStart w:id="26" w:name="_Toc527116503"/>
      <w:bookmarkStart w:id="27" w:name="_Toc1657781"/>
      <w:bookmarkStart w:id="28" w:name="_Toc19877695"/>
      <w:r w:rsidRPr="00E25DAB">
        <w:rPr>
          <w:rFonts w:cstheme="minorHAnsi"/>
          <w:szCs w:val="22"/>
          <w:shd w:val="clear" w:color="auto" w:fill="FFFFFF"/>
          <w:lang w:eastAsia="lt-LT"/>
        </w:rPr>
        <w:t xml:space="preserve">Dėl </w:t>
      </w:r>
      <w:bookmarkEnd w:id="25"/>
      <w:bookmarkEnd w:id="26"/>
      <w:bookmarkEnd w:id="27"/>
      <w:r w:rsidRPr="00E25DAB">
        <w:rPr>
          <w:rFonts w:cstheme="minorHAnsi"/>
          <w:szCs w:val="22"/>
          <w:shd w:val="clear" w:color="auto" w:fill="FFFFFF"/>
          <w:lang w:eastAsia="lt-LT"/>
        </w:rPr>
        <w:t>valdžios institucijų negebėjimo apginti pareiškėjus, gyvenančius nuodingomis medžiagomis užterštose teritorijose</w:t>
      </w:r>
      <w:bookmarkEnd w:id="28"/>
    </w:p>
    <w:p w14:paraId="53A8A65A" w14:textId="77777777" w:rsidR="00667ACB" w:rsidRPr="00E25DAB" w:rsidRDefault="00667ACB" w:rsidP="00667ACB">
      <w:pPr>
        <w:spacing w:after="0" w:line="240" w:lineRule="auto"/>
        <w:ind w:firstLine="540"/>
        <w:jc w:val="both"/>
        <w:rPr>
          <w:rFonts w:cstheme="minorHAnsi"/>
        </w:rPr>
      </w:pPr>
    </w:p>
    <w:p w14:paraId="0802ACB5" w14:textId="77777777" w:rsidR="00667ACB" w:rsidRPr="00E25DAB" w:rsidRDefault="00667ACB" w:rsidP="00667ACB">
      <w:pPr>
        <w:spacing w:after="0" w:line="240" w:lineRule="auto"/>
        <w:jc w:val="center"/>
        <w:rPr>
          <w:rFonts w:cstheme="minorHAnsi"/>
          <w:b/>
        </w:rPr>
      </w:pPr>
      <w:r w:rsidRPr="00E25DAB">
        <w:rPr>
          <w:rFonts w:cstheme="minorHAnsi"/>
          <w:b/>
        </w:rPr>
        <w:t>Faktinės aplinkybės</w:t>
      </w:r>
    </w:p>
    <w:p w14:paraId="69A83F58" w14:textId="77777777" w:rsidR="00667ACB" w:rsidRPr="00E25DAB" w:rsidRDefault="00667ACB" w:rsidP="00667ACB">
      <w:pPr>
        <w:spacing w:after="0" w:line="240" w:lineRule="auto"/>
        <w:ind w:firstLine="540"/>
        <w:jc w:val="center"/>
        <w:rPr>
          <w:rFonts w:cstheme="minorHAnsi"/>
          <w:b/>
        </w:rPr>
      </w:pPr>
    </w:p>
    <w:p w14:paraId="7692F785" w14:textId="77777777" w:rsidR="00667ACB" w:rsidRPr="00E25DAB" w:rsidRDefault="00667ACB" w:rsidP="00667ACB">
      <w:pPr>
        <w:spacing w:after="0" w:line="240" w:lineRule="auto"/>
        <w:ind w:firstLine="567"/>
        <w:jc w:val="both"/>
        <w:rPr>
          <w:rFonts w:cstheme="minorHAnsi"/>
        </w:rPr>
      </w:pPr>
      <w:r w:rsidRPr="00E25DAB">
        <w:rPr>
          <w:rFonts w:cstheme="minorHAnsi"/>
        </w:rPr>
        <w:t>180 pareiškėjų gyvena ar gyveno Taranto (Italija), turinčio didžiausią Europoje plieno gamyklą „Ilva“, savivaldybėje ar jos priemiesčiuose. Gamyklos taršos poveikis aplinkai bei aplink gyvenančių asmenų sveikatai buvo aptartas keliose mokslinėse ataskaitose. Dar 1990 m. Ministrų taryba nurodė „didesnės rizikos aplinkai“ savivaldybes (tarp jų ir Tarantą) ir paprašė aplinkos ministerijos parengti tų vietovių nukenksminimo planą. Nuo 2012 m. pabaigos vyriausybė išleido ne vieną potvarkį, susijusį su „Ilva“ gamykla. Ginčijant vieną tokių potvarkių, numačiusių aplinkosaugos priemonių įgyvendinimo termino nukėlimą į 2023 m., Apulijos regionas kartu su Taranto savivaldybe kreipėsi į administracinį teismą dėl pasekmių aplinkai bei visuomenės sveikatai, jei toks terminas bus nukeliamas. Administracinis procesas vis dar nėra užbaigtas.</w:t>
      </w:r>
    </w:p>
    <w:p w14:paraId="7F2EA060" w14:textId="3A5C0305" w:rsidR="00667ACB" w:rsidRPr="00E25DAB" w:rsidRDefault="00667ACB" w:rsidP="00667ACB">
      <w:pPr>
        <w:spacing w:after="0" w:line="240" w:lineRule="auto"/>
        <w:ind w:firstLine="567"/>
        <w:jc w:val="both"/>
        <w:rPr>
          <w:rFonts w:cstheme="minorHAnsi"/>
        </w:rPr>
      </w:pPr>
      <w:r w:rsidRPr="00E25DAB">
        <w:rPr>
          <w:rFonts w:cstheme="minorHAnsi"/>
        </w:rPr>
        <w:t>Gamyklos valdyba ne kartą buvo patraukta baudžiamojon atsakomybėn dėl rimtos ekologinės žalos, maisto medžiagų nuodijimo, oro taršos ir pan. Be to, kasacinis teismas buvo pripažinęs „Ilva“ vadovus atsakingais už oro taršą, pavojingų atliekų išmetimą. 2011 m. Europos Sąjungos Teisingumo Teismas pripažino Italiją nevykdžiusia savo įsipareigojimų pagal Direktyvą Nr. 2008/1, susijusią su taršos prevencija ir kontrole.</w:t>
      </w:r>
    </w:p>
    <w:p w14:paraId="3ACB74D7" w14:textId="4F861AA6" w:rsidR="00667ACB" w:rsidRPr="00E25DAB" w:rsidRDefault="00667ACB" w:rsidP="00667ACB">
      <w:pPr>
        <w:spacing w:after="0" w:line="240" w:lineRule="auto"/>
        <w:ind w:firstLine="567"/>
        <w:jc w:val="both"/>
        <w:rPr>
          <w:rFonts w:cstheme="minorHAnsi"/>
        </w:rPr>
      </w:pPr>
      <w:r w:rsidRPr="00E25DAB">
        <w:rPr>
          <w:rFonts w:cstheme="minorHAnsi"/>
        </w:rPr>
        <w:t>Remdamiesi Konvencijos 2 (teisė į gyvybę) ir 8 (teisė į privataus ir šeimos gyvenimo gerbimą) straipsniais, pareiškėjai skundėsi Italijos valdžios institucijų negebėjimu priimti teisines priemones, kurios apsaugotų pareiškėjų sveikatą bei aplinką; teigė, kad negalėjo veiksmingai apginti savo teisių (Konvencijos 13 str.); prašė, kad Teismas priimtų pilotinį sprendimą (Konvencijos 46 str.).</w:t>
      </w:r>
    </w:p>
    <w:p w14:paraId="2A4E4096" w14:textId="77777777" w:rsidR="00667ACB" w:rsidRPr="00E25DAB" w:rsidRDefault="00667ACB" w:rsidP="00667ACB">
      <w:pPr>
        <w:spacing w:after="0" w:line="240" w:lineRule="auto"/>
        <w:ind w:firstLine="567"/>
        <w:jc w:val="both"/>
        <w:rPr>
          <w:rFonts w:cstheme="minorHAnsi"/>
        </w:rPr>
      </w:pPr>
    </w:p>
    <w:p w14:paraId="17108439" w14:textId="77777777" w:rsidR="00667ACB" w:rsidRPr="00E25DAB" w:rsidRDefault="00667ACB" w:rsidP="00667ACB">
      <w:pPr>
        <w:spacing w:after="0" w:line="240" w:lineRule="auto"/>
        <w:jc w:val="center"/>
        <w:rPr>
          <w:rFonts w:cstheme="minorHAnsi"/>
        </w:rPr>
      </w:pPr>
      <w:r w:rsidRPr="00E25DAB">
        <w:rPr>
          <w:rFonts w:cstheme="minorHAnsi"/>
          <w:b/>
        </w:rPr>
        <w:t>Neoficiali Teismo sprendimo apžvalga</w:t>
      </w:r>
    </w:p>
    <w:p w14:paraId="6FAD4E5A" w14:textId="77777777" w:rsidR="00667ACB" w:rsidRPr="00E25DAB" w:rsidRDefault="00667ACB" w:rsidP="00667ACB">
      <w:pPr>
        <w:spacing w:after="0" w:line="240" w:lineRule="auto"/>
        <w:ind w:firstLine="567"/>
        <w:jc w:val="both"/>
        <w:rPr>
          <w:rFonts w:cstheme="minorHAnsi"/>
        </w:rPr>
      </w:pPr>
    </w:p>
    <w:p w14:paraId="66A3D61E" w14:textId="325E45A0" w:rsidR="00667ACB" w:rsidRPr="00E25DAB" w:rsidRDefault="00667ACB" w:rsidP="00667ACB">
      <w:pPr>
        <w:spacing w:after="0" w:line="240" w:lineRule="auto"/>
        <w:ind w:firstLine="567"/>
        <w:jc w:val="both"/>
        <w:rPr>
          <w:rFonts w:cstheme="minorHAnsi"/>
        </w:rPr>
      </w:pPr>
      <w:r w:rsidRPr="00E25DAB">
        <w:rPr>
          <w:rFonts w:cstheme="minorHAnsi"/>
        </w:rPr>
        <w:t xml:space="preserve">Teismas, nurodęs, kad 19 pareiškėjų negalėjo būti laikomi nukentėjusiaisiais, kadangi negyveno taršos paveiktose savivaldybėse, pažymėjo, kad jau nuo aštuntojo dešimtmečio mokslo tyrimai aptaria „Ilva“ gamyklos taršą ir jos poveikį aplinkai bei visuomenės sveikatai. Tam tikros mokslinės ataskaitos nurodo ryšį tarp gamyklos į aplinką išleidžiamų kancerogeninių dalelių ir įvairių ligų (pavyzdžiui, vėžio). Teismas atkreipė dėmesį, kad nacionalinės institucijos mėgino pasiekti regiono nukenksminimą, tačiau jų iniciatyvos </w:t>
      </w:r>
      <w:r w:rsidR="00F9783B">
        <w:rPr>
          <w:rFonts w:cstheme="minorHAnsi"/>
        </w:rPr>
        <w:t xml:space="preserve">nepasiekė </w:t>
      </w:r>
      <w:r w:rsidRPr="00E25DAB">
        <w:rPr>
          <w:rFonts w:cstheme="minorHAnsi"/>
        </w:rPr>
        <w:t xml:space="preserve"> norimo rezultato. Nuo 2012 m. turėjusios būti įgyvendintos priemonės galiausiai taip ir nebuvo įgyvendintos, nustatytas terminas įgyvendinti planus buvo nukeltas į 2023 m., todėl procedūra pasiekti tam tikrus tikslus tame regione vyko labai lėtai. Vyriausybė </w:t>
      </w:r>
      <w:r w:rsidR="00F9783B">
        <w:rPr>
          <w:rFonts w:cstheme="minorHAnsi"/>
        </w:rPr>
        <w:t>skubiai</w:t>
      </w:r>
      <w:r w:rsidRPr="00E25DAB">
        <w:rPr>
          <w:rFonts w:cstheme="minorHAnsi"/>
        </w:rPr>
        <w:t xml:space="preserve"> kelis kartus įsikišo tam, kad būtų užtikrintas plieno gamybos tęstinumas, nepaisant to, jog teismai buvo pripažinę rimtą gamyklos veiklos grėsmę aplinkai bei sveikatai. Be to, asmenims, atsakingiems už atitikimo aplinkosaugos reikalavimams užtikrinimą, t. y. privalomam administratoriui ir būsimam gamyklos pirkėjui, buvo suteiktas imunitetas nuo baudžiamosios ir administracinės atsakomybės. Taigi nacionalinių institucijų pastangos tvarkytis su aplinkosaugos klausimais, susijusiais su „Ilva“ gamykla, buvo atsidūrusios aklavietėje. Dėl šių priežasčių Teismas nurodė, kad nacionalinės institucijos nesiėmė visų reikalingų priemonių, turinčių apsaugoti pareiškėjų teisę į privatų gyvenimą, todėl teisingas balansas tarp</w:t>
      </w:r>
      <w:r w:rsidR="00F9783B">
        <w:rPr>
          <w:rFonts w:cstheme="minorHAnsi"/>
        </w:rPr>
        <w:t xml:space="preserve"> </w:t>
      </w:r>
      <w:r w:rsidRPr="00E25DAB">
        <w:rPr>
          <w:rFonts w:cstheme="minorHAnsi"/>
        </w:rPr>
        <w:t>pareiškėjų intereso nebūti apsuptiems jų gyvenimus bei sveikatą veikiančios taršos ir</w:t>
      </w:r>
      <w:r w:rsidR="00F9783B">
        <w:rPr>
          <w:rFonts w:cstheme="minorHAnsi"/>
        </w:rPr>
        <w:t xml:space="preserve"> </w:t>
      </w:r>
      <w:r w:rsidRPr="00E25DAB">
        <w:rPr>
          <w:rFonts w:cstheme="minorHAnsi"/>
        </w:rPr>
        <w:t>visuomenės interesų nebuvo pasiektas, todėl pripažintas Konvencijos 8 straipsnio pažeidimas.</w:t>
      </w:r>
    </w:p>
    <w:p w14:paraId="365A2DD1" w14:textId="6579A6A8" w:rsidR="00667ACB" w:rsidRPr="00E25DAB" w:rsidRDefault="00667ACB" w:rsidP="00667ACB">
      <w:pPr>
        <w:spacing w:after="0" w:line="240" w:lineRule="auto"/>
        <w:ind w:firstLine="567"/>
        <w:jc w:val="both"/>
        <w:rPr>
          <w:rFonts w:cstheme="minorHAnsi"/>
        </w:rPr>
      </w:pPr>
      <w:r w:rsidRPr="00E25DAB">
        <w:rPr>
          <w:rFonts w:cstheme="minorHAnsi"/>
        </w:rPr>
        <w:t xml:space="preserve">Pripažindamas, kad Konvencijos 13 straipsnis buvo pažeistas, Teismas nurodė, kad pareiškėjai neturėjo prieinamų efektyvių jų teisių gynybos priemonių. Pažymėdamas, kad Ministrų komitetas, veikdamas pagal Konvencijos 46 straipsnį, turi nurodyti Italijos vyriausybei priemones, kurių </w:t>
      </w:r>
      <w:r w:rsidR="00F9783B">
        <w:rPr>
          <w:rFonts w:cstheme="minorHAnsi"/>
        </w:rPr>
        <w:t>privalo</w:t>
      </w:r>
      <w:r w:rsidRPr="00E25DAB">
        <w:rPr>
          <w:rFonts w:cstheme="minorHAnsi"/>
        </w:rPr>
        <w:t xml:space="preserve"> būti imtasi įgyvendinant Teismo sprendimą, Teismas nurodė, kad nėra reikalinga taikyti pilotinio sprendimo procedūrą pagal Konvencijos 46 straipsnį.</w:t>
      </w:r>
    </w:p>
    <w:p w14:paraId="3C9C7A80" w14:textId="77777777" w:rsidR="00667ACB" w:rsidRPr="00E25DAB" w:rsidRDefault="00667ACB" w:rsidP="00667ACB">
      <w:pPr>
        <w:spacing w:after="0" w:line="240" w:lineRule="auto"/>
        <w:ind w:firstLine="567"/>
        <w:jc w:val="both"/>
        <w:rPr>
          <w:rFonts w:cstheme="minorHAnsi"/>
        </w:rPr>
      </w:pPr>
      <w:r w:rsidRPr="00E25DAB">
        <w:rPr>
          <w:rFonts w:cstheme="minorHAnsi"/>
        </w:rPr>
        <w:t>Teismo vertinimu, pažeidimo pripažinimas yra pakankama satisfakcija, todėl neturtinės žalos pareiškėjams nepriteisė.</w:t>
      </w:r>
    </w:p>
    <w:p w14:paraId="5A145697" w14:textId="77777777" w:rsidR="00667ACB" w:rsidRPr="00E25DAB" w:rsidRDefault="00667ACB" w:rsidP="00667ACB">
      <w:pPr>
        <w:spacing w:after="0" w:line="240" w:lineRule="auto"/>
        <w:ind w:firstLine="567"/>
        <w:jc w:val="both"/>
        <w:rPr>
          <w:rFonts w:cstheme="minorHAnsi"/>
        </w:rPr>
      </w:pPr>
    </w:p>
    <w:p w14:paraId="594AD3BE" w14:textId="77777777" w:rsidR="00667ACB" w:rsidRPr="00E25DAB" w:rsidRDefault="00667ACB" w:rsidP="00667ACB">
      <w:pPr>
        <w:spacing w:after="0" w:line="240" w:lineRule="auto"/>
        <w:ind w:firstLine="567"/>
        <w:jc w:val="both"/>
        <w:rPr>
          <w:rFonts w:cstheme="minorHAnsi"/>
        </w:rPr>
      </w:pPr>
      <w:r w:rsidRPr="00E25DAB">
        <w:rPr>
          <w:rFonts w:cstheme="minorHAnsi"/>
        </w:rPr>
        <w:t>Išvada: nustatytas Konvencijos 8 ir 13 straipsnių pažeidimas (vienbalsiai).</w:t>
      </w:r>
    </w:p>
    <w:p w14:paraId="26AA07A7" w14:textId="77777777" w:rsidR="00667ACB" w:rsidRPr="00E25DAB" w:rsidRDefault="00907E3B" w:rsidP="00667ACB">
      <w:pPr>
        <w:ind w:firstLine="567"/>
        <w:rPr>
          <w:rStyle w:val="Hipersaitas"/>
          <w:rFonts w:cstheme="minorHAnsi"/>
        </w:rPr>
      </w:pPr>
      <w:hyperlink r:id="rId16" w:history="1">
        <w:r w:rsidR="00667ACB" w:rsidRPr="00E25DAB">
          <w:rPr>
            <w:rStyle w:val="Hipersaitas"/>
            <w:rFonts w:cstheme="minorHAnsi"/>
          </w:rPr>
          <w:t>Prieiga internete</w:t>
        </w:r>
      </w:hyperlink>
    </w:p>
    <w:p w14:paraId="61748C1F" w14:textId="77777777" w:rsidR="00B14A16" w:rsidRPr="00E25DAB" w:rsidRDefault="00B14A16" w:rsidP="00B14A16">
      <w:pPr>
        <w:spacing w:after="0" w:line="240" w:lineRule="auto"/>
        <w:ind w:right="-1"/>
        <w:jc w:val="center"/>
        <w:rPr>
          <w:rFonts w:ascii="Calibri" w:eastAsia="Calibri" w:hAnsi="Calibri" w:cs="Calibri"/>
          <w:b/>
          <w:bCs/>
        </w:rPr>
      </w:pPr>
      <w:r w:rsidRPr="00E25DAB">
        <w:rPr>
          <w:rFonts w:ascii="Calibri" w:eastAsia="Calibri" w:hAnsi="Calibri" w:cs="Calibri"/>
          <w:b/>
          <w:bCs/>
        </w:rPr>
        <w:t>Europos Žmogaus Teisių Teismo 2019 m. kovo 19 d. sprendimas byloje</w:t>
      </w:r>
    </w:p>
    <w:p w14:paraId="4F306B49" w14:textId="77777777" w:rsidR="00B14A16" w:rsidRPr="00E25DAB" w:rsidRDefault="00B14A16" w:rsidP="00EF1D24">
      <w:pPr>
        <w:pStyle w:val="Antrat2"/>
        <w:ind w:firstLine="0"/>
        <w:jc w:val="center"/>
        <w:rPr>
          <w:rFonts w:eastAsia="Calibri"/>
          <w:bCs w:val="0"/>
          <w:i/>
          <w:iCs w:val="0"/>
        </w:rPr>
      </w:pPr>
      <w:bookmarkStart w:id="29" w:name="_Toc19877696"/>
      <w:r w:rsidRPr="00E25DAB">
        <w:rPr>
          <w:rFonts w:eastAsia="Calibri"/>
          <w:bCs w:val="0"/>
          <w:i/>
          <w:iCs w:val="0"/>
        </w:rPr>
        <w:t>Høiness prieš Norvegiją</w:t>
      </w:r>
      <w:bookmarkEnd w:id="29"/>
    </w:p>
    <w:p w14:paraId="0F90AA30" w14:textId="4F2EB0CE" w:rsidR="00B14A16" w:rsidRPr="00E25DAB" w:rsidRDefault="00B14A16" w:rsidP="00EF1D24">
      <w:pPr>
        <w:spacing w:after="0" w:line="240" w:lineRule="auto"/>
        <w:ind w:right="-1"/>
        <w:jc w:val="center"/>
        <w:rPr>
          <w:rFonts w:ascii="Calibri" w:eastAsia="Calibri" w:hAnsi="Calibri" w:cs="Calibri"/>
          <w:b/>
          <w:bCs/>
        </w:rPr>
      </w:pPr>
      <w:r w:rsidRPr="00E25DAB">
        <w:rPr>
          <w:rFonts w:ascii="Calibri" w:eastAsia="Calibri" w:hAnsi="Calibri" w:cs="Calibri"/>
          <w:b/>
          <w:bCs/>
        </w:rPr>
        <w:t>(pareiškimo Nr.</w:t>
      </w:r>
      <w:r w:rsidR="005C2578" w:rsidRPr="00E25DAB">
        <w:rPr>
          <w:rFonts w:ascii="Calibri" w:eastAsia="Calibri" w:hAnsi="Calibri" w:cs="Calibri"/>
          <w:b/>
          <w:bCs/>
        </w:rPr>
        <w:t xml:space="preserve"> </w:t>
      </w:r>
      <w:r w:rsidRPr="00E25DAB">
        <w:rPr>
          <w:rFonts w:ascii="Calibri" w:eastAsia="Calibri" w:hAnsi="Calibri" w:cs="Calibri"/>
          <w:b/>
          <w:bCs/>
        </w:rPr>
        <w:t>43624/14, svarbos lygis</w:t>
      </w:r>
      <w:r w:rsidR="00CE4DCD" w:rsidRPr="00E25DAB">
        <w:rPr>
          <w:rFonts w:ascii="Calibri" w:eastAsia="Calibri" w:hAnsi="Calibri" w:cs="Calibri"/>
          <w:b/>
          <w:bCs/>
        </w:rPr>
        <w:t xml:space="preserve"> - 2</w:t>
      </w:r>
      <w:r w:rsidRPr="00E25DAB">
        <w:rPr>
          <w:rFonts w:ascii="Calibri" w:eastAsia="Calibri" w:hAnsi="Calibri" w:cs="Calibri"/>
          <w:b/>
          <w:bCs/>
        </w:rPr>
        <w:t>)</w:t>
      </w:r>
    </w:p>
    <w:p w14:paraId="3BDD9EAC" w14:textId="77777777" w:rsidR="00B14A16" w:rsidRPr="00E25DAB" w:rsidRDefault="00B14A16" w:rsidP="00B14A16">
      <w:pPr>
        <w:spacing w:after="0" w:line="240" w:lineRule="auto"/>
        <w:ind w:right="-1"/>
        <w:jc w:val="center"/>
        <w:rPr>
          <w:rFonts w:ascii="Calibri" w:eastAsia="Calibri" w:hAnsi="Calibri" w:cs="Calibri"/>
          <w:b/>
          <w:bCs/>
          <w:i/>
          <w:iCs/>
        </w:rPr>
      </w:pPr>
    </w:p>
    <w:p w14:paraId="401CFEE8" w14:textId="5A304E6A" w:rsidR="00B14A16" w:rsidRPr="00E25DAB" w:rsidRDefault="00DA3EBC" w:rsidP="00EF1D24">
      <w:pPr>
        <w:pStyle w:val="Antrat3"/>
        <w:ind w:firstLine="567"/>
        <w:jc w:val="both"/>
        <w:rPr>
          <w:rFonts w:ascii="Calibri" w:eastAsia="Calibri" w:hAnsi="Calibri" w:cs="Calibri"/>
          <w:iCs/>
        </w:rPr>
      </w:pPr>
      <w:bookmarkStart w:id="30" w:name="_Toc19877697"/>
      <w:r w:rsidRPr="00E25DAB">
        <w:rPr>
          <w:rFonts w:ascii="Calibri" w:eastAsia="Calibri" w:hAnsi="Calibri" w:cs="Calibri"/>
          <w:iCs/>
        </w:rPr>
        <w:lastRenderedPageBreak/>
        <w:t>Dėl interneto naujienų portalo atsakomybės už</w:t>
      </w:r>
      <w:r w:rsidR="00B14A16" w:rsidRPr="00E25DAB">
        <w:rPr>
          <w:rFonts w:ascii="Calibri" w:eastAsia="Calibri" w:hAnsi="Calibri" w:cs="Calibri"/>
          <w:iCs/>
        </w:rPr>
        <w:t xml:space="preserve"> asmenybės neatskleidžiančių </w:t>
      </w:r>
      <w:r w:rsidRPr="00E25DAB">
        <w:rPr>
          <w:rFonts w:ascii="Calibri" w:eastAsia="Calibri" w:hAnsi="Calibri" w:cs="Calibri"/>
          <w:iCs/>
        </w:rPr>
        <w:t>trečiųjų asmenų skelbiamus</w:t>
      </w:r>
      <w:r w:rsidR="00B14A16" w:rsidRPr="00E25DAB">
        <w:rPr>
          <w:rFonts w:ascii="Calibri" w:eastAsia="Calibri" w:hAnsi="Calibri" w:cs="Calibri"/>
          <w:iCs/>
        </w:rPr>
        <w:t xml:space="preserve"> </w:t>
      </w:r>
      <w:r w:rsidRPr="00E25DAB">
        <w:rPr>
          <w:rFonts w:ascii="Calibri" w:eastAsia="Calibri" w:hAnsi="Calibri" w:cs="Calibri"/>
          <w:iCs/>
        </w:rPr>
        <w:t>komentarus</w:t>
      </w:r>
      <w:bookmarkEnd w:id="30"/>
    </w:p>
    <w:p w14:paraId="336BDCA1" w14:textId="77777777" w:rsidR="00B14A16" w:rsidRPr="00E25DAB" w:rsidRDefault="00B14A16" w:rsidP="00B14A16">
      <w:pPr>
        <w:spacing w:after="0" w:line="240" w:lineRule="auto"/>
        <w:ind w:right="-1"/>
        <w:jc w:val="both"/>
        <w:rPr>
          <w:rFonts w:ascii="Calibri" w:eastAsia="Calibri" w:hAnsi="Calibri" w:cs="Calibri"/>
          <w:i/>
          <w:iCs/>
        </w:rPr>
      </w:pPr>
    </w:p>
    <w:p w14:paraId="4BFBD7DE" w14:textId="77777777" w:rsidR="00B14A16" w:rsidRPr="00E25DAB" w:rsidRDefault="00B14A16" w:rsidP="00B14A16">
      <w:pPr>
        <w:spacing w:after="0" w:line="240" w:lineRule="auto"/>
        <w:ind w:right="-1"/>
        <w:jc w:val="center"/>
        <w:rPr>
          <w:rFonts w:ascii="Calibri" w:eastAsia="Calibri" w:hAnsi="Calibri" w:cs="Calibri"/>
          <w:b/>
          <w:bCs/>
        </w:rPr>
      </w:pPr>
      <w:r w:rsidRPr="00E25DAB">
        <w:rPr>
          <w:rFonts w:ascii="Calibri" w:eastAsia="Calibri" w:hAnsi="Calibri" w:cs="Calibri"/>
          <w:b/>
          <w:bCs/>
        </w:rPr>
        <w:t>Faktinės aplinkybės</w:t>
      </w:r>
    </w:p>
    <w:p w14:paraId="17952F26" w14:textId="77777777" w:rsidR="00B14A16" w:rsidRPr="00E25DAB" w:rsidRDefault="00B14A16" w:rsidP="00B14A16">
      <w:pPr>
        <w:spacing w:after="0" w:line="240" w:lineRule="auto"/>
        <w:ind w:right="-1"/>
        <w:jc w:val="center"/>
        <w:rPr>
          <w:rFonts w:ascii="Calibri" w:eastAsia="Calibri" w:hAnsi="Calibri" w:cs="Calibri"/>
          <w:b/>
          <w:bCs/>
        </w:rPr>
      </w:pPr>
    </w:p>
    <w:p w14:paraId="513E93EE" w14:textId="2B861307" w:rsidR="00B14A16" w:rsidRPr="00E25DAB" w:rsidRDefault="00B14A16" w:rsidP="002A5DE3">
      <w:pPr>
        <w:spacing w:after="0" w:line="240" w:lineRule="auto"/>
        <w:ind w:right="-1" w:firstLine="567"/>
        <w:jc w:val="both"/>
        <w:rPr>
          <w:rFonts w:ascii="Calibri" w:eastAsia="Calibri" w:hAnsi="Calibri" w:cs="Calibri"/>
        </w:rPr>
      </w:pPr>
      <w:r w:rsidRPr="00E25DAB">
        <w:rPr>
          <w:rFonts w:ascii="Calibri" w:eastAsia="Calibri" w:hAnsi="Calibri" w:cs="Calibri"/>
        </w:rPr>
        <w:t>Pareiškėja buvo žinoma teisinink</w:t>
      </w:r>
      <w:r w:rsidR="00CE4DCD" w:rsidRPr="00E25DAB">
        <w:rPr>
          <w:rFonts w:ascii="Calibri" w:eastAsia="Calibri" w:hAnsi="Calibri" w:cs="Calibri"/>
        </w:rPr>
        <w:t>ė</w:t>
      </w:r>
      <w:r w:rsidRPr="00E25DAB">
        <w:rPr>
          <w:rFonts w:ascii="Calibri" w:eastAsia="Calibri" w:hAnsi="Calibri" w:cs="Calibri"/>
        </w:rPr>
        <w:t xml:space="preserve"> Norvegijoje. Po </w:t>
      </w:r>
      <w:r w:rsidR="00CE4DCD" w:rsidRPr="00E25DAB">
        <w:rPr>
          <w:rFonts w:ascii="Calibri" w:eastAsia="Calibri" w:hAnsi="Calibri" w:cs="Calibri"/>
        </w:rPr>
        <w:t>laikraštyje</w:t>
      </w:r>
      <w:r w:rsidRPr="00E25DAB">
        <w:rPr>
          <w:rFonts w:ascii="Calibri" w:eastAsia="Calibri" w:hAnsi="Calibri" w:cs="Calibri"/>
        </w:rPr>
        <w:t xml:space="preserve"> publikuoto straipsnio apie </w:t>
      </w:r>
      <w:r w:rsidR="00CE4DCD" w:rsidRPr="00E25DAB">
        <w:rPr>
          <w:rFonts w:ascii="Calibri" w:eastAsia="Calibri" w:hAnsi="Calibri" w:cs="Calibri"/>
        </w:rPr>
        <w:t>jos</w:t>
      </w:r>
      <w:r w:rsidRPr="00E25DAB">
        <w:rPr>
          <w:rFonts w:ascii="Calibri" w:eastAsia="Calibri" w:hAnsi="Calibri" w:cs="Calibri"/>
        </w:rPr>
        <w:t xml:space="preserve"> santykius su vyresniu </w:t>
      </w:r>
      <w:r w:rsidR="00CE4DCD" w:rsidRPr="00E25DAB">
        <w:rPr>
          <w:rFonts w:ascii="Calibri" w:eastAsia="Calibri" w:hAnsi="Calibri" w:cs="Calibri"/>
        </w:rPr>
        <w:t>našliu</w:t>
      </w:r>
      <w:r w:rsidRPr="00E25DAB">
        <w:rPr>
          <w:rFonts w:ascii="Calibri" w:eastAsia="Calibri" w:hAnsi="Calibri" w:cs="Calibri"/>
        </w:rPr>
        <w:t xml:space="preserve">, iš kurio pareiškėja </w:t>
      </w:r>
      <w:r w:rsidR="00C62DA3">
        <w:rPr>
          <w:rFonts w:ascii="Calibri" w:eastAsia="Calibri" w:hAnsi="Calibri" w:cs="Calibri"/>
        </w:rPr>
        <w:t xml:space="preserve">ateityje </w:t>
      </w:r>
      <w:r w:rsidRPr="00E25DAB">
        <w:rPr>
          <w:rFonts w:ascii="Calibri" w:eastAsia="Calibri" w:hAnsi="Calibri" w:cs="Calibri"/>
        </w:rPr>
        <w:t>turėtų paveldėti</w:t>
      </w:r>
      <w:r w:rsidR="00C62DA3">
        <w:rPr>
          <w:rFonts w:ascii="Calibri" w:eastAsia="Calibri" w:hAnsi="Calibri" w:cs="Calibri"/>
        </w:rPr>
        <w:t xml:space="preserve"> turtą</w:t>
      </w:r>
      <w:r w:rsidRPr="00E25DAB">
        <w:rPr>
          <w:rFonts w:ascii="Calibri" w:eastAsia="Calibri" w:hAnsi="Calibri" w:cs="Calibri"/>
        </w:rPr>
        <w:t xml:space="preserve">, interneto naujienų portalas </w:t>
      </w:r>
      <w:r w:rsidR="00CE4DCD" w:rsidRPr="00E25DAB">
        <w:rPr>
          <w:rFonts w:ascii="Calibri" w:eastAsia="Calibri" w:hAnsi="Calibri" w:cs="Calibri"/>
        </w:rPr>
        <w:t>pradėjo</w:t>
      </w:r>
      <w:r w:rsidRPr="00E25DAB">
        <w:rPr>
          <w:rFonts w:ascii="Calibri" w:eastAsia="Calibri" w:hAnsi="Calibri" w:cs="Calibri"/>
        </w:rPr>
        <w:t xml:space="preserve"> atvirą diskusiją</w:t>
      </w:r>
      <w:r w:rsidR="00CE4DCD" w:rsidRPr="00E25DAB">
        <w:rPr>
          <w:rFonts w:ascii="Calibri" w:eastAsia="Calibri" w:hAnsi="Calibri" w:cs="Calibri"/>
        </w:rPr>
        <w:t xml:space="preserve"> šia tema</w:t>
      </w:r>
      <w:r w:rsidR="00217357" w:rsidRPr="00E25DAB">
        <w:rPr>
          <w:rFonts w:ascii="Calibri" w:eastAsia="Calibri" w:hAnsi="Calibri" w:cs="Calibri"/>
        </w:rPr>
        <w:t>. Į forumą buvo galima patekti per laikraščio internetinį portalą. Diskusijoje</w:t>
      </w:r>
      <w:r w:rsidRPr="00E25DAB">
        <w:rPr>
          <w:rFonts w:ascii="Calibri" w:eastAsia="Calibri" w:hAnsi="Calibri" w:cs="Calibri"/>
        </w:rPr>
        <w:t xml:space="preserve"> apie pareiškėją buvo i</w:t>
      </w:r>
      <w:r w:rsidR="004E2B81" w:rsidRPr="00E25DAB">
        <w:rPr>
          <w:rFonts w:ascii="Calibri" w:eastAsia="Calibri" w:hAnsi="Calibri" w:cs="Calibri"/>
        </w:rPr>
        <w:t>šreikštos vulgarios, seksistinio pobūdžio</w:t>
      </w:r>
      <w:r w:rsidRPr="00E25DAB">
        <w:rPr>
          <w:rFonts w:ascii="Calibri" w:eastAsia="Calibri" w:hAnsi="Calibri" w:cs="Calibri"/>
        </w:rPr>
        <w:t xml:space="preserve"> pastabos. Po pranešimo internetiniame portale komentarai buvo ištrinti</w:t>
      </w:r>
      <w:r w:rsidR="00217357" w:rsidRPr="00E25DAB">
        <w:rPr>
          <w:rFonts w:ascii="Calibri" w:eastAsia="Calibri" w:hAnsi="Calibri" w:cs="Calibri"/>
        </w:rPr>
        <w:t xml:space="preserve">, </w:t>
      </w:r>
      <w:r w:rsidR="004531D4" w:rsidRPr="00E25DAB">
        <w:rPr>
          <w:rFonts w:ascii="Calibri" w:eastAsia="Calibri" w:hAnsi="Calibri" w:cs="Calibri"/>
        </w:rPr>
        <w:t xml:space="preserve">o </w:t>
      </w:r>
      <w:r w:rsidR="00217357" w:rsidRPr="00E25DAB">
        <w:rPr>
          <w:rFonts w:ascii="Calibri" w:eastAsia="Calibri" w:hAnsi="Calibri" w:cs="Calibri"/>
        </w:rPr>
        <w:t xml:space="preserve">vienas </w:t>
      </w:r>
      <w:r w:rsidR="002A5DE3" w:rsidRPr="00E25DAB">
        <w:rPr>
          <w:rFonts w:ascii="Calibri" w:eastAsia="Calibri" w:hAnsi="Calibri" w:cs="Calibri"/>
        </w:rPr>
        <w:t>komentaras buvo ištrintas</w:t>
      </w:r>
      <w:r w:rsidR="00217357" w:rsidRPr="00E25DAB">
        <w:rPr>
          <w:rFonts w:ascii="Calibri" w:eastAsia="Calibri" w:hAnsi="Calibri" w:cs="Calibri"/>
        </w:rPr>
        <w:t xml:space="preserve"> moderatoriaus iniciatyva</w:t>
      </w:r>
      <w:r w:rsidRPr="00E25DAB">
        <w:rPr>
          <w:rFonts w:ascii="Calibri" w:eastAsia="Calibri" w:hAnsi="Calibri" w:cs="Calibri"/>
        </w:rPr>
        <w:t xml:space="preserve">. Pareiškėja po nesėkmingų vidaus procedūrų </w:t>
      </w:r>
      <w:r w:rsidR="00217357" w:rsidRPr="00E25DAB">
        <w:rPr>
          <w:rFonts w:ascii="Calibri" w:eastAsia="Calibri" w:hAnsi="Calibri" w:cs="Calibri"/>
        </w:rPr>
        <w:t>kreipėsi į EŽTT ir, vadovaudamasi Konvencijos 8 straipsniu, teigė, jog</w:t>
      </w:r>
      <w:r w:rsidRPr="00E25DAB">
        <w:rPr>
          <w:rFonts w:ascii="Calibri" w:eastAsia="Calibri" w:hAnsi="Calibri" w:cs="Calibri"/>
        </w:rPr>
        <w:t xml:space="preserve"> buvo pažeista jo</w:t>
      </w:r>
      <w:r w:rsidR="00217357" w:rsidRPr="00E25DAB">
        <w:rPr>
          <w:rFonts w:ascii="Calibri" w:eastAsia="Calibri" w:hAnsi="Calibri" w:cs="Calibri"/>
        </w:rPr>
        <w:t>s</w:t>
      </w:r>
      <w:r w:rsidRPr="00E25DAB">
        <w:rPr>
          <w:rFonts w:ascii="Calibri" w:eastAsia="Calibri" w:hAnsi="Calibri" w:cs="Calibri"/>
        </w:rPr>
        <w:t xml:space="preserve"> teisė į </w:t>
      </w:r>
      <w:r w:rsidR="00217357" w:rsidRPr="00E25DAB">
        <w:rPr>
          <w:rFonts w:ascii="Calibri" w:eastAsia="Calibri" w:hAnsi="Calibri" w:cs="Calibri"/>
        </w:rPr>
        <w:t>privataus gyvenimo gerbimą ir vietos valdžios institucijos šią teisę apsaugojo nepakankamai</w:t>
      </w:r>
      <w:r w:rsidRPr="00E25DAB">
        <w:rPr>
          <w:rFonts w:ascii="Calibri" w:eastAsia="Calibri" w:hAnsi="Calibri" w:cs="Calibri"/>
        </w:rPr>
        <w:t>.</w:t>
      </w:r>
    </w:p>
    <w:p w14:paraId="68BDE41B" w14:textId="77777777" w:rsidR="00B14A16" w:rsidRPr="00E25DAB" w:rsidRDefault="00B14A16" w:rsidP="00B14A16">
      <w:pPr>
        <w:spacing w:after="0" w:line="240" w:lineRule="auto"/>
        <w:ind w:right="-1"/>
        <w:jc w:val="both"/>
        <w:rPr>
          <w:rFonts w:ascii="Calibri" w:eastAsia="Calibri" w:hAnsi="Calibri" w:cs="Calibri"/>
        </w:rPr>
      </w:pPr>
    </w:p>
    <w:p w14:paraId="57E4C70F" w14:textId="77777777" w:rsidR="00B14A16" w:rsidRPr="00E25DAB" w:rsidRDefault="00B14A16" w:rsidP="00B14A16">
      <w:pPr>
        <w:spacing w:after="0" w:line="240" w:lineRule="auto"/>
        <w:ind w:right="-1"/>
        <w:jc w:val="center"/>
        <w:rPr>
          <w:rFonts w:ascii="Calibri" w:eastAsia="Calibri" w:hAnsi="Calibri" w:cs="Calibri"/>
          <w:b/>
          <w:bCs/>
        </w:rPr>
      </w:pPr>
      <w:r w:rsidRPr="00E25DAB">
        <w:rPr>
          <w:rFonts w:ascii="Calibri" w:eastAsia="Calibri" w:hAnsi="Calibri" w:cs="Calibri"/>
          <w:b/>
          <w:bCs/>
        </w:rPr>
        <w:t>Neoficiali Teismo sprendimo apžvalga</w:t>
      </w:r>
    </w:p>
    <w:p w14:paraId="180EEE6F" w14:textId="77777777" w:rsidR="00AA1412" w:rsidRPr="00E25DAB" w:rsidRDefault="00AA1412" w:rsidP="002A5DE3">
      <w:pPr>
        <w:spacing w:after="0" w:line="240" w:lineRule="auto"/>
        <w:ind w:right="-1" w:firstLine="567"/>
        <w:jc w:val="both"/>
        <w:rPr>
          <w:rFonts w:ascii="Calibri" w:eastAsia="Calibri" w:hAnsi="Calibri" w:cs="Calibri"/>
        </w:rPr>
      </w:pPr>
    </w:p>
    <w:p w14:paraId="5859C6B7" w14:textId="6AFF0584" w:rsidR="00AA1412" w:rsidRPr="00E25DAB" w:rsidRDefault="00AA1412" w:rsidP="00AA1412">
      <w:pPr>
        <w:spacing w:after="0" w:line="240" w:lineRule="auto"/>
        <w:ind w:right="-1" w:firstLine="720"/>
        <w:jc w:val="both"/>
        <w:rPr>
          <w:rFonts w:ascii="Calibri" w:eastAsia="Calibri" w:hAnsi="Calibri" w:cs="Calibri"/>
        </w:rPr>
      </w:pPr>
      <w:r w:rsidRPr="00E25DAB">
        <w:rPr>
          <w:rFonts w:ascii="Calibri" w:eastAsia="Calibri" w:hAnsi="Calibri" w:cs="Calibri"/>
        </w:rPr>
        <w:t xml:space="preserve">Teismas pakartojo, kad </w:t>
      </w:r>
      <w:r w:rsidR="004531D4" w:rsidRPr="00E25DAB">
        <w:rPr>
          <w:rFonts w:ascii="Calibri" w:eastAsia="Calibri" w:hAnsi="Calibri" w:cs="Calibri"/>
        </w:rPr>
        <w:t>privataus gyvenimo</w:t>
      </w:r>
      <w:r w:rsidRPr="00E25DAB">
        <w:rPr>
          <w:rFonts w:ascii="Calibri" w:eastAsia="Calibri" w:hAnsi="Calibri" w:cs="Calibri"/>
        </w:rPr>
        <w:t xml:space="preserve"> sąvoka, kaip apibrėžta Konvencijos 8 straipsnyje, yra plati sąvoka, kuri apima daugelį aspektų, susijusių su asmens tapatybe, pavyzdžiui, asmens vardą ar atvaizdą, ir, be to, apima asmens fizinį ir psichologinį vientisumą (žr. </w:t>
      </w:r>
      <w:r w:rsidRPr="00E25DAB">
        <w:rPr>
          <w:rFonts w:ascii="Calibri" w:eastAsia="Calibri" w:hAnsi="Calibri" w:cs="Calibri"/>
          <w:i/>
        </w:rPr>
        <w:t>Von Hannover prieš Vokietiją</w:t>
      </w:r>
      <w:r w:rsidRPr="00E25DAB">
        <w:rPr>
          <w:rFonts w:ascii="Calibri" w:eastAsia="Calibri" w:hAnsi="Calibri" w:cs="Calibri"/>
        </w:rPr>
        <w:t>, pareiškimo Nr. 59320/00, 50 punktą</w:t>
      </w:r>
      <w:r w:rsidR="006075D7" w:rsidRPr="00E25DAB">
        <w:rPr>
          <w:rFonts w:ascii="Calibri" w:eastAsia="Calibri" w:hAnsi="Calibri" w:cs="Calibri"/>
        </w:rPr>
        <w:t>;</w:t>
      </w:r>
      <w:r w:rsidRPr="00E25DAB">
        <w:rPr>
          <w:rFonts w:ascii="Calibri" w:eastAsia="Calibri" w:hAnsi="Calibri" w:cs="Calibri"/>
        </w:rPr>
        <w:t xml:space="preserve"> </w:t>
      </w:r>
      <w:r w:rsidRPr="00E25DAB">
        <w:rPr>
          <w:rFonts w:ascii="Calibri" w:eastAsia="Calibri" w:hAnsi="Calibri" w:cs="Calibri"/>
          <w:i/>
        </w:rPr>
        <w:t>Paradiso ir Campanelli prieš Italiją</w:t>
      </w:r>
      <w:r w:rsidRPr="00E25DAB">
        <w:rPr>
          <w:rFonts w:ascii="Calibri" w:eastAsia="Calibri" w:hAnsi="Calibri" w:cs="Calibri"/>
        </w:rPr>
        <w:t>, pareiškimo Nr. 25358/12, 159 punktą). Teismas taip pat priminė, kad asmens teisės į savo reputacij</w:t>
      </w:r>
      <w:r w:rsidR="00C62DA3">
        <w:rPr>
          <w:rFonts w:ascii="Calibri" w:eastAsia="Calibri" w:hAnsi="Calibri" w:cs="Calibri"/>
        </w:rPr>
        <w:t>ą</w:t>
      </w:r>
      <w:r w:rsidRPr="00E25DAB">
        <w:rPr>
          <w:rFonts w:ascii="Calibri" w:eastAsia="Calibri" w:hAnsi="Calibri" w:cs="Calibri"/>
        </w:rPr>
        <w:t xml:space="preserve"> apsauga yra Konvencijos 8 straipsnio kaip teisės į privataus gyvenimo gerbimą dalis (žr. </w:t>
      </w:r>
      <w:r w:rsidRPr="00E25DAB">
        <w:rPr>
          <w:rFonts w:ascii="Calibri" w:eastAsia="Calibri" w:hAnsi="Calibri" w:cs="Calibri"/>
          <w:i/>
        </w:rPr>
        <w:t>Bédat prieš Šveicariją</w:t>
      </w:r>
      <w:r w:rsidRPr="00E25DAB">
        <w:rPr>
          <w:rFonts w:ascii="Calibri" w:eastAsia="Calibri" w:hAnsi="Calibri" w:cs="Calibri"/>
        </w:rPr>
        <w:t xml:space="preserve">, pareiškimo Nr. 56925/08, 72 punktą, su kitomis nuorodomis). Teismas nurodė, kad nors pagrindinis Konvencijos 8 straipsnio tikslas yra apsaugoti asmenį nuo savavališko valdžios institucijų kišimosi, jis ne tik įpareigoja valstybę susilaikyti nuo tokio kišimosi: be šio neigiamo įsipareigojimo gali būti ir teigiamų įsipareigojimų, susijusių su veiksminga pagarba asmeniniam ar šeimos gyvenimui. Šie įpareigojimai taip pat gali apimti priemonių, skirtų užtikrinti pagarbą privačiam gyvenimui, užtikrinimą net ir asmenų tarpusavio santykių srityje. </w:t>
      </w:r>
    </w:p>
    <w:p w14:paraId="54990A12" w14:textId="40F95F15" w:rsidR="003B6EBF" w:rsidRPr="00E25DAB" w:rsidRDefault="00217357" w:rsidP="002A5DE3">
      <w:pPr>
        <w:spacing w:after="0" w:line="240" w:lineRule="auto"/>
        <w:ind w:right="-1" w:firstLine="567"/>
        <w:jc w:val="both"/>
        <w:rPr>
          <w:rFonts w:ascii="Calibri" w:eastAsia="Calibri" w:hAnsi="Calibri" w:cs="Calibri"/>
        </w:rPr>
      </w:pPr>
      <w:r w:rsidRPr="00E25DAB">
        <w:rPr>
          <w:rFonts w:ascii="Calibri" w:eastAsia="Calibri" w:hAnsi="Calibri" w:cs="Calibri"/>
        </w:rPr>
        <w:t xml:space="preserve">Teismas vertino, ar valstybė užtikrino teisingą pusiausvyrą tarp pareiškėjos teisės į privataus gyvenimo gerbimą pagal Konvencijos 8 straipsnį ir </w:t>
      </w:r>
      <w:r w:rsidR="004461D4" w:rsidRPr="00E25DAB">
        <w:rPr>
          <w:rFonts w:ascii="Calibri" w:eastAsia="Calibri" w:hAnsi="Calibri" w:cs="Calibri"/>
        </w:rPr>
        <w:t>internetinės naujienų agentūros bei</w:t>
      </w:r>
      <w:r w:rsidR="002A5DE3" w:rsidRPr="00E25DAB">
        <w:rPr>
          <w:rFonts w:ascii="Calibri" w:eastAsia="Calibri" w:hAnsi="Calibri" w:cs="Calibri"/>
        </w:rPr>
        <w:t xml:space="preserve"> diskusijų</w:t>
      </w:r>
      <w:r w:rsidR="004461D4" w:rsidRPr="00E25DAB">
        <w:rPr>
          <w:rFonts w:ascii="Calibri" w:eastAsia="Calibri" w:hAnsi="Calibri" w:cs="Calibri"/>
        </w:rPr>
        <w:t xml:space="preserve"> forumo rengėjo teisės į saviraiškos laisvę, garantuojamą Konvencijos 10 straipsnyje. Šiuo atveju nereikėjo nuodugniai vertinti ginčo komentarų pobūdžio, </w:t>
      </w:r>
      <w:r w:rsidR="00B13ED1" w:rsidRPr="00E25DAB">
        <w:rPr>
          <w:rFonts w:ascii="Calibri" w:eastAsia="Calibri" w:hAnsi="Calibri" w:cs="Calibri"/>
        </w:rPr>
        <w:t>nes jie bet kokiu atveju neprilygo</w:t>
      </w:r>
      <w:r w:rsidR="004461D4" w:rsidRPr="00E25DAB">
        <w:rPr>
          <w:rFonts w:ascii="Calibri" w:eastAsia="Calibri" w:hAnsi="Calibri" w:cs="Calibri"/>
        </w:rPr>
        <w:t xml:space="preserve"> neapykant</w:t>
      </w:r>
      <w:r w:rsidR="00B13ED1" w:rsidRPr="00E25DAB">
        <w:rPr>
          <w:rFonts w:ascii="Calibri" w:eastAsia="Calibri" w:hAnsi="Calibri" w:cs="Calibri"/>
        </w:rPr>
        <w:t xml:space="preserve">ą kurstančioms kalboms </w:t>
      </w:r>
      <w:r w:rsidR="008D1091" w:rsidRPr="00E25DAB">
        <w:rPr>
          <w:rFonts w:ascii="Calibri" w:eastAsia="Calibri" w:hAnsi="Calibri" w:cs="Calibri"/>
        </w:rPr>
        <w:t>(</w:t>
      </w:r>
      <w:r w:rsidR="00BB0D3B" w:rsidRPr="00E25DAB">
        <w:rPr>
          <w:rFonts w:ascii="Calibri" w:eastAsia="Calibri" w:hAnsi="Calibri" w:cs="Calibri"/>
        </w:rPr>
        <w:t>angl. „</w:t>
      </w:r>
      <w:r w:rsidR="00B13ED1" w:rsidRPr="00E25DAB">
        <w:rPr>
          <w:rFonts w:ascii="Calibri" w:eastAsia="Calibri" w:hAnsi="Calibri" w:cs="Calibri"/>
          <w:i/>
        </w:rPr>
        <w:t>hate speech</w:t>
      </w:r>
      <w:r w:rsidR="00BB0D3B" w:rsidRPr="00E25DAB">
        <w:rPr>
          <w:rFonts w:ascii="Calibri" w:eastAsia="Calibri" w:hAnsi="Calibri" w:cs="Calibri"/>
          <w:i/>
        </w:rPr>
        <w:t>“</w:t>
      </w:r>
      <w:r w:rsidR="008D1091" w:rsidRPr="00E25DAB">
        <w:rPr>
          <w:rFonts w:ascii="Calibri" w:eastAsia="Calibri" w:hAnsi="Calibri" w:cs="Calibri"/>
        </w:rPr>
        <w:t>)</w:t>
      </w:r>
      <w:r w:rsidR="004461D4" w:rsidRPr="00E25DAB">
        <w:rPr>
          <w:rFonts w:ascii="Calibri" w:eastAsia="Calibri" w:hAnsi="Calibri" w:cs="Calibri"/>
        </w:rPr>
        <w:t xml:space="preserve"> ar smurto kurstymu</w:t>
      </w:r>
      <w:r w:rsidR="00B13ED1" w:rsidRPr="00E25DAB">
        <w:rPr>
          <w:rFonts w:ascii="Calibri" w:eastAsia="Calibri" w:hAnsi="Calibri" w:cs="Calibri"/>
        </w:rPr>
        <w:t>i</w:t>
      </w:r>
      <w:r w:rsidR="004461D4" w:rsidRPr="00E25DAB">
        <w:rPr>
          <w:rFonts w:ascii="Calibri" w:eastAsia="Calibri" w:hAnsi="Calibri" w:cs="Calibri"/>
        </w:rPr>
        <w:t>. Tai pat nebuvo pagrindo ginčyti pareiškėjos teigini</w:t>
      </w:r>
      <w:r w:rsidR="00C62DA3">
        <w:rPr>
          <w:rFonts w:ascii="Calibri" w:eastAsia="Calibri" w:hAnsi="Calibri" w:cs="Calibri"/>
        </w:rPr>
        <w:t>ų</w:t>
      </w:r>
      <w:r w:rsidR="004461D4" w:rsidRPr="00E25DAB">
        <w:rPr>
          <w:rFonts w:ascii="Calibri" w:eastAsia="Calibri" w:hAnsi="Calibri" w:cs="Calibri"/>
        </w:rPr>
        <w:t xml:space="preserve">, jog ji būtų susidūrusi su didelėmis kliūtimis, bandydama reikšti pretenzijas anonimams asmenims ar asmenims, parašiusiems komentarus. </w:t>
      </w:r>
    </w:p>
    <w:p w14:paraId="3001615C" w14:textId="49BB05D2" w:rsidR="003B6EBF" w:rsidRPr="00E25DAB" w:rsidRDefault="003B6EBF" w:rsidP="002A5DE3">
      <w:pPr>
        <w:spacing w:after="0" w:line="240" w:lineRule="auto"/>
        <w:ind w:right="-1" w:firstLine="567"/>
        <w:jc w:val="both"/>
        <w:rPr>
          <w:rFonts w:ascii="Calibri" w:eastAsia="Calibri" w:hAnsi="Calibri" w:cs="Calibri"/>
        </w:rPr>
      </w:pPr>
      <w:r w:rsidRPr="00E25DAB">
        <w:rPr>
          <w:rFonts w:ascii="Calibri" w:eastAsia="Calibri" w:hAnsi="Calibri" w:cs="Calibri"/>
        </w:rPr>
        <w:t>Kalbant apie pateiktų komentarų kontekstą, Teismas pažymėjo, kad naujienų portalas buvo didelis ir valdomas</w:t>
      </w:r>
      <w:r w:rsidR="00B13ED1" w:rsidRPr="00E25DAB">
        <w:rPr>
          <w:rFonts w:ascii="Calibri" w:eastAsia="Calibri" w:hAnsi="Calibri" w:cs="Calibri"/>
        </w:rPr>
        <w:t xml:space="preserve"> komerciniu pagrindu</w:t>
      </w:r>
      <w:r w:rsidRPr="00E25DAB">
        <w:rPr>
          <w:rFonts w:ascii="Calibri" w:eastAsia="Calibri" w:hAnsi="Calibri" w:cs="Calibri"/>
        </w:rPr>
        <w:t xml:space="preserve">, o diskusijų forumai buvo populiarūs. </w:t>
      </w:r>
      <w:r w:rsidR="00A873DE" w:rsidRPr="00E25DAB">
        <w:rPr>
          <w:rFonts w:ascii="Calibri" w:eastAsia="Calibri" w:hAnsi="Calibri" w:cs="Calibri"/>
        </w:rPr>
        <w:t xml:space="preserve">Tačiau iš nacionalinių teismų sprendimų nebuvo matyti, jog diskusijų forumai buvo </w:t>
      </w:r>
      <w:r w:rsidR="007900FC" w:rsidRPr="00E25DAB">
        <w:rPr>
          <w:rFonts w:ascii="Calibri" w:eastAsia="Calibri" w:hAnsi="Calibri" w:cs="Calibri"/>
        </w:rPr>
        <w:t>integruoti, pristatant naujienas, ir jie galėjo būti laiko</w:t>
      </w:r>
      <w:r w:rsidR="002A5DE3" w:rsidRPr="00E25DAB">
        <w:rPr>
          <w:rFonts w:ascii="Calibri" w:eastAsia="Calibri" w:hAnsi="Calibri" w:cs="Calibri"/>
        </w:rPr>
        <w:t>mi redakcinių straipsnių tęsiniu</w:t>
      </w:r>
      <w:r w:rsidR="007900FC" w:rsidRPr="00E25DAB">
        <w:rPr>
          <w:rFonts w:ascii="Calibri" w:eastAsia="Calibri" w:hAnsi="Calibri" w:cs="Calibri"/>
        </w:rPr>
        <w:t>. Atsižvelgiant į naujienų portalo taikomas priemones, paaiškėjo, kad buvo sukurta moderatorių, stebinčių turinį, sistema. Skaitytojai internetiniame portale galėjo spustelti mygtuką „įspėti“, norėdami reaguoti į komentarus. Taip pat paaiškėjo, kad įspėjimas galėjo būti pateikiamas ir kitomis priemonėmis, pavyzdžiui, elektroniniu paštu.</w:t>
      </w:r>
      <w:r w:rsidR="009E5300" w:rsidRPr="00E25DAB">
        <w:rPr>
          <w:rFonts w:ascii="Calibri" w:eastAsia="Calibri" w:hAnsi="Calibri" w:cs="Calibri"/>
        </w:rPr>
        <w:t xml:space="preserve"> </w:t>
      </w:r>
    </w:p>
    <w:p w14:paraId="2938BDB6" w14:textId="7A85AA19" w:rsidR="003B6EBF" w:rsidRPr="00E25DAB" w:rsidRDefault="005330B5" w:rsidP="002A5DE3">
      <w:pPr>
        <w:spacing w:after="0" w:line="240" w:lineRule="auto"/>
        <w:ind w:right="-1" w:firstLine="567"/>
        <w:jc w:val="both"/>
        <w:rPr>
          <w:rFonts w:ascii="Calibri" w:eastAsia="Calibri" w:hAnsi="Calibri" w:cs="Calibri"/>
        </w:rPr>
      </w:pPr>
      <w:r w:rsidRPr="00E25DAB">
        <w:rPr>
          <w:rFonts w:ascii="Calibri" w:eastAsia="Calibri" w:hAnsi="Calibri" w:cs="Calibri"/>
        </w:rPr>
        <w:t>Aptariamu</w:t>
      </w:r>
      <w:r w:rsidR="00384E27" w:rsidRPr="00E25DAB">
        <w:rPr>
          <w:rFonts w:ascii="Calibri" w:eastAsia="Calibri" w:hAnsi="Calibri" w:cs="Calibri"/>
        </w:rPr>
        <w:t xml:space="preserve"> atveju moderatoriai nepastebėjo dviejų iš ginčo komentarų</w:t>
      </w:r>
      <w:r w:rsidR="003B6EBF" w:rsidRPr="00E25DAB">
        <w:rPr>
          <w:rFonts w:ascii="Calibri" w:eastAsia="Calibri" w:hAnsi="Calibri" w:cs="Calibri"/>
        </w:rPr>
        <w:t>, tačiau po trylikos minučių, kai buvo pranešta apie juos, pareiškėjos advokatas gavo elektroninį laišką, kuriame buvo teigiama, jog komentarai buvo ištrinti. Kitas komentaras buvo ištrintas moderat</w:t>
      </w:r>
      <w:r w:rsidR="004E2B81" w:rsidRPr="00E25DAB">
        <w:rPr>
          <w:rFonts w:ascii="Calibri" w:eastAsia="Calibri" w:hAnsi="Calibri" w:cs="Calibri"/>
        </w:rPr>
        <w:t xml:space="preserve">oriaus iniciatyva. </w:t>
      </w:r>
    </w:p>
    <w:p w14:paraId="550F332D" w14:textId="4FA5C80A" w:rsidR="00384E27" w:rsidRPr="00E25DAB" w:rsidRDefault="00384E27" w:rsidP="00384E27">
      <w:pPr>
        <w:spacing w:after="0" w:line="240" w:lineRule="auto"/>
        <w:ind w:right="-1" w:firstLine="567"/>
        <w:jc w:val="both"/>
        <w:rPr>
          <w:rFonts w:ascii="Calibri" w:eastAsia="Calibri" w:hAnsi="Calibri" w:cs="Calibri"/>
        </w:rPr>
      </w:pPr>
      <w:r w:rsidRPr="00E25DAB">
        <w:rPr>
          <w:rFonts w:ascii="Calibri" w:eastAsia="Calibri" w:hAnsi="Calibri" w:cs="Calibri"/>
        </w:rPr>
        <w:t>Atlikę</w:t>
      </w:r>
      <w:r w:rsidR="009E5300" w:rsidRPr="00E25DAB">
        <w:rPr>
          <w:rFonts w:ascii="Calibri" w:eastAsia="Calibri" w:hAnsi="Calibri" w:cs="Calibri"/>
        </w:rPr>
        <w:t xml:space="preserve"> bendrą situacijos tyrimą ir įvertinę priemones, kurių buvo imtasi</w:t>
      </w:r>
      <w:r w:rsidR="00A820DC" w:rsidRPr="00E25DAB">
        <w:rPr>
          <w:rFonts w:ascii="Calibri" w:eastAsia="Calibri" w:hAnsi="Calibri" w:cs="Calibri"/>
        </w:rPr>
        <w:t xml:space="preserve"> stebint diskusijų forumo komentarus ir konkrečius atsakymus į pareiškėjos pranešimus, nacionaliniai teismai įvertino, kad naujienų portalo įmonė ir </w:t>
      </w:r>
      <w:r w:rsidRPr="00E25DAB">
        <w:rPr>
          <w:rFonts w:ascii="Calibri" w:eastAsia="Calibri" w:hAnsi="Calibri" w:cs="Calibri"/>
        </w:rPr>
        <w:t>naujienų portalo</w:t>
      </w:r>
      <w:r w:rsidR="00A820DC" w:rsidRPr="00E25DAB">
        <w:rPr>
          <w:rFonts w:ascii="Calibri" w:eastAsia="Calibri" w:hAnsi="Calibri" w:cs="Calibri"/>
        </w:rPr>
        <w:t xml:space="preserve"> redaktorius elgėsi tinkamai. </w:t>
      </w:r>
      <w:r w:rsidRPr="00E25DAB">
        <w:rPr>
          <w:rFonts w:ascii="Calibri" w:eastAsia="Calibri" w:hAnsi="Calibri" w:cs="Calibri"/>
        </w:rPr>
        <w:t xml:space="preserve">Pareiškėjos bylą nacionaliniuose teismuose iš esmės nagrinėjo dviejų instancijų teismai. </w:t>
      </w:r>
      <w:r w:rsidR="005330B5" w:rsidRPr="00E25DAB">
        <w:rPr>
          <w:rFonts w:ascii="Calibri" w:eastAsia="Calibri" w:hAnsi="Calibri" w:cs="Calibri"/>
        </w:rPr>
        <w:t>EŽTT</w:t>
      </w:r>
      <w:r w:rsidRPr="00E25DAB">
        <w:rPr>
          <w:rFonts w:ascii="Calibri" w:eastAsia="Calibri" w:hAnsi="Calibri" w:cs="Calibri"/>
        </w:rPr>
        <w:t xml:space="preserve"> įvertino, kad nacionaliniai teismai įvertino svarbius bylai aspektus ir</w:t>
      </w:r>
      <w:r w:rsidR="00C62DA3">
        <w:rPr>
          <w:rFonts w:ascii="Calibri" w:eastAsia="Calibri" w:hAnsi="Calibri" w:cs="Calibri"/>
        </w:rPr>
        <w:t>,</w:t>
      </w:r>
      <w:r w:rsidRPr="00E25DAB">
        <w:rPr>
          <w:rFonts w:ascii="Calibri" w:eastAsia="Calibri" w:hAnsi="Calibri" w:cs="Calibri"/>
        </w:rPr>
        <w:t xml:space="preserve"> neviršydami savo kompetencijos ribų</w:t>
      </w:r>
      <w:r w:rsidR="00C62DA3">
        <w:rPr>
          <w:rFonts w:ascii="Calibri" w:eastAsia="Calibri" w:hAnsi="Calibri" w:cs="Calibri"/>
        </w:rPr>
        <w:t>,</w:t>
      </w:r>
      <w:r w:rsidRPr="00E25DAB">
        <w:rPr>
          <w:rFonts w:ascii="Calibri" w:eastAsia="Calibri" w:hAnsi="Calibri" w:cs="Calibri"/>
        </w:rPr>
        <w:t xml:space="preserve"> nustatė tinkamą pusiausvyrą tarp pareiškėjos ir naujienų portalo bei diskusijų forumo rengėjo teisių. </w:t>
      </w:r>
      <w:r w:rsidR="005330B5" w:rsidRPr="00E25DAB">
        <w:rPr>
          <w:rFonts w:ascii="Calibri" w:eastAsia="Calibri" w:hAnsi="Calibri" w:cs="Calibri"/>
        </w:rPr>
        <w:t>EŽTT</w:t>
      </w:r>
      <w:r w:rsidRPr="00E25DAB">
        <w:rPr>
          <w:rFonts w:ascii="Calibri" w:eastAsia="Calibri" w:hAnsi="Calibri" w:cs="Calibri"/>
        </w:rPr>
        <w:t xml:space="preserve"> </w:t>
      </w:r>
      <w:r w:rsidR="005330B5" w:rsidRPr="00E25DAB">
        <w:rPr>
          <w:rFonts w:ascii="Calibri" w:eastAsia="Calibri" w:hAnsi="Calibri" w:cs="Calibri"/>
        </w:rPr>
        <w:t>nenustatė</w:t>
      </w:r>
      <w:r w:rsidRPr="00E25DAB">
        <w:rPr>
          <w:rFonts w:ascii="Calibri" w:eastAsia="Calibri" w:hAnsi="Calibri" w:cs="Calibri"/>
        </w:rPr>
        <w:t xml:space="preserve"> pagrindo keisti nacionalinių teismų vertinimą.</w:t>
      </w:r>
    </w:p>
    <w:p w14:paraId="438820A9" w14:textId="77777777" w:rsidR="00AA1412" w:rsidRPr="00E25DAB" w:rsidRDefault="00AA1412" w:rsidP="003B6EBF">
      <w:pPr>
        <w:spacing w:after="0" w:line="240" w:lineRule="auto"/>
        <w:ind w:right="-1" w:firstLine="720"/>
        <w:jc w:val="both"/>
        <w:rPr>
          <w:rFonts w:ascii="Calibri" w:eastAsia="Calibri" w:hAnsi="Calibri" w:cs="Calibri"/>
        </w:rPr>
      </w:pPr>
    </w:p>
    <w:p w14:paraId="3D4EAB6C" w14:textId="01740A62" w:rsidR="003B6EBF" w:rsidRPr="00E25DAB" w:rsidRDefault="00B14A16" w:rsidP="003B6EBF">
      <w:pPr>
        <w:spacing w:after="0" w:line="240" w:lineRule="auto"/>
        <w:ind w:right="-1" w:firstLine="720"/>
        <w:jc w:val="both"/>
        <w:rPr>
          <w:rFonts w:ascii="Calibri" w:eastAsia="Calibri" w:hAnsi="Calibri" w:cs="Calibri"/>
        </w:rPr>
      </w:pPr>
      <w:r w:rsidRPr="00E25DAB">
        <w:rPr>
          <w:rFonts w:ascii="Calibri" w:eastAsia="Calibri" w:hAnsi="Calibri" w:cs="Calibri"/>
        </w:rPr>
        <w:t>Išvada: Konvencijos 8 straipsnis nebuvo pažeistas</w:t>
      </w:r>
      <w:r w:rsidR="003B6EBF" w:rsidRPr="00E25DAB">
        <w:rPr>
          <w:rFonts w:ascii="Calibri" w:eastAsia="Calibri" w:hAnsi="Calibri" w:cs="Calibri"/>
        </w:rPr>
        <w:t xml:space="preserve"> (vienbalsiai)</w:t>
      </w:r>
      <w:r w:rsidRPr="00E25DAB">
        <w:rPr>
          <w:rFonts w:ascii="Calibri" w:eastAsia="Calibri" w:hAnsi="Calibri" w:cs="Calibri"/>
        </w:rPr>
        <w:t>.</w:t>
      </w:r>
    </w:p>
    <w:p w14:paraId="539A612F" w14:textId="7BDC680B" w:rsidR="003B6EBF" w:rsidRPr="00E25DAB" w:rsidRDefault="003B6EBF" w:rsidP="003B6EBF">
      <w:pPr>
        <w:tabs>
          <w:tab w:val="left" w:pos="720"/>
        </w:tabs>
        <w:spacing w:after="0" w:line="240" w:lineRule="auto"/>
        <w:ind w:right="-1"/>
        <w:jc w:val="both"/>
        <w:rPr>
          <w:rFonts w:ascii="Calibri" w:eastAsia="Calibri" w:hAnsi="Calibri" w:cs="Calibri"/>
        </w:rPr>
      </w:pPr>
      <w:r w:rsidRPr="00E25DAB">
        <w:rPr>
          <w:rFonts w:ascii="Calibri" w:eastAsia="Calibri" w:hAnsi="Calibri" w:cs="Calibri"/>
        </w:rPr>
        <w:tab/>
      </w:r>
      <w:hyperlink r:id="rId17" w:anchor="{%22fulltext%22:[%22H%C3%B8iness%22],%22documentcollectionid2%22:[%22GRANDCHAMBER%22,%22CHAMBER%22],%22itemid%22:[%22001-191740%22]}" w:history="1">
        <w:r w:rsidRPr="00E25DAB">
          <w:rPr>
            <w:rStyle w:val="Hipersaitas"/>
            <w:rFonts w:ascii="Calibri" w:eastAsia="Calibri" w:hAnsi="Calibri" w:cs="Calibri"/>
          </w:rPr>
          <w:t>Prieiga internete</w:t>
        </w:r>
      </w:hyperlink>
      <w:r w:rsidRPr="00E25DAB">
        <w:rPr>
          <w:rFonts w:ascii="Calibri" w:eastAsia="Calibri" w:hAnsi="Calibri" w:cs="Calibri"/>
        </w:rPr>
        <w:t xml:space="preserve"> </w:t>
      </w:r>
    </w:p>
    <w:p w14:paraId="5A67FE92" w14:textId="77777777" w:rsidR="005C2578" w:rsidRPr="00E25DAB" w:rsidRDefault="005C2578" w:rsidP="003B6EBF">
      <w:pPr>
        <w:tabs>
          <w:tab w:val="left" w:pos="720"/>
        </w:tabs>
        <w:spacing w:after="0" w:line="240" w:lineRule="auto"/>
        <w:ind w:right="-1"/>
        <w:jc w:val="both"/>
        <w:rPr>
          <w:rFonts w:ascii="Calibri" w:eastAsia="Calibri" w:hAnsi="Calibri" w:cs="Calibri"/>
        </w:rPr>
      </w:pPr>
    </w:p>
    <w:p w14:paraId="6BA8FC4A" w14:textId="77777777" w:rsidR="005C2578" w:rsidRPr="00E25DAB" w:rsidRDefault="005C2578" w:rsidP="005C2578">
      <w:pPr>
        <w:spacing w:after="0" w:line="240" w:lineRule="auto"/>
        <w:jc w:val="center"/>
        <w:rPr>
          <w:rFonts w:cs="Arial"/>
          <w:b/>
        </w:rPr>
      </w:pPr>
      <w:r w:rsidRPr="00E25DAB">
        <w:rPr>
          <w:rFonts w:cs="Arial"/>
          <w:b/>
        </w:rPr>
        <w:t>Europos Žmogaus Teisių Teismo 2019 m. balandžio 11 d. sprendimas byloje</w:t>
      </w:r>
    </w:p>
    <w:p w14:paraId="4CE3A27C" w14:textId="77777777" w:rsidR="005C2578" w:rsidRPr="00E25DAB" w:rsidRDefault="005C2578" w:rsidP="002A5DE3">
      <w:pPr>
        <w:pStyle w:val="Antrat2"/>
        <w:ind w:firstLine="0"/>
        <w:jc w:val="center"/>
        <w:rPr>
          <w:rFonts w:eastAsia="Calibri"/>
          <w:i/>
        </w:rPr>
      </w:pPr>
      <w:bookmarkStart w:id="31" w:name="_Toc19877698"/>
      <w:r w:rsidRPr="00E25DAB">
        <w:rPr>
          <w:rFonts w:eastAsia="Calibri"/>
          <w:i/>
        </w:rPr>
        <w:t>Guimon prieš Prancūziją</w:t>
      </w:r>
      <w:bookmarkEnd w:id="31"/>
    </w:p>
    <w:p w14:paraId="53DD55C6" w14:textId="6B52E913" w:rsidR="005C2578" w:rsidRPr="00E25DAB" w:rsidRDefault="005C2578" w:rsidP="005C2578">
      <w:pPr>
        <w:spacing w:after="0" w:line="240" w:lineRule="auto"/>
        <w:jc w:val="center"/>
        <w:rPr>
          <w:rFonts w:cs="Arial"/>
          <w:b/>
        </w:rPr>
      </w:pPr>
      <w:r w:rsidRPr="00E25DAB">
        <w:rPr>
          <w:rFonts w:cs="Arial"/>
          <w:b/>
        </w:rPr>
        <w:t xml:space="preserve">(pareiškimo Nr. 48798/14, </w:t>
      </w:r>
      <w:r w:rsidR="005330B5" w:rsidRPr="00E25DAB">
        <w:rPr>
          <w:rFonts w:cs="Arial"/>
          <w:b/>
        </w:rPr>
        <w:t>svarbos lygis – 2</w:t>
      </w:r>
      <w:r w:rsidRPr="00E25DAB">
        <w:rPr>
          <w:rFonts w:cs="Arial"/>
          <w:b/>
        </w:rPr>
        <w:t>)</w:t>
      </w:r>
    </w:p>
    <w:p w14:paraId="6D3067E4" w14:textId="77777777" w:rsidR="005C2578" w:rsidRPr="00E25DAB" w:rsidRDefault="005C2578" w:rsidP="005C2578">
      <w:pPr>
        <w:spacing w:after="0" w:line="240" w:lineRule="auto"/>
        <w:jc w:val="center"/>
        <w:rPr>
          <w:rFonts w:cs="Arial"/>
        </w:rPr>
      </w:pPr>
    </w:p>
    <w:p w14:paraId="750E834C" w14:textId="07D25641" w:rsidR="005C2578" w:rsidRPr="00E25DAB" w:rsidRDefault="005C2578" w:rsidP="005C2578">
      <w:pPr>
        <w:pStyle w:val="Antrat3"/>
        <w:spacing w:before="0" w:line="240" w:lineRule="auto"/>
        <w:ind w:firstLine="567"/>
        <w:jc w:val="both"/>
        <w:rPr>
          <w:shd w:val="clear" w:color="auto" w:fill="FFFFFF"/>
          <w:lang w:eastAsia="lt-LT"/>
        </w:rPr>
      </w:pPr>
      <w:bookmarkStart w:id="32" w:name="_Toc19877699"/>
      <w:r w:rsidRPr="00E25DAB">
        <w:rPr>
          <w:shd w:val="clear" w:color="auto" w:fill="FFFFFF"/>
          <w:lang w:eastAsia="lt-LT"/>
        </w:rPr>
        <w:t>Dėl atsisakymo leisti nuteistajai už teroristinius nusikaltimus išvykti su palyda į tėvo laidotuves</w:t>
      </w:r>
      <w:bookmarkEnd w:id="32"/>
    </w:p>
    <w:p w14:paraId="48CFE2FC" w14:textId="77777777" w:rsidR="005C2578" w:rsidRPr="00E25DAB" w:rsidRDefault="005C2578" w:rsidP="005C2578">
      <w:pPr>
        <w:spacing w:after="0" w:line="240" w:lineRule="auto"/>
        <w:jc w:val="center"/>
        <w:rPr>
          <w:rFonts w:cs="Arial"/>
          <w:b/>
        </w:rPr>
      </w:pPr>
    </w:p>
    <w:p w14:paraId="6A43B86F" w14:textId="77777777" w:rsidR="005C2578" w:rsidRPr="00E25DAB" w:rsidRDefault="005C2578" w:rsidP="005330B5">
      <w:pPr>
        <w:spacing w:after="0" w:line="240" w:lineRule="auto"/>
        <w:jc w:val="center"/>
        <w:rPr>
          <w:rFonts w:cs="Arial"/>
          <w:b/>
        </w:rPr>
      </w:pPr>
      <w:r w:rsidRPr="00E25DAB">
        <w:rPr>
          <w:rFonts w:cs="Arial"/>
          <w:b/>
        </w:rPr>
        <w:t>Faktinės aplinkybės</w:t>
      </w:r>
    </w:p>
    <w:p w14:paraId="430760D4" w14:textId="77777777" w:rsidR="005C2578" w:rsidRPr="00E25DAB" w:rsidRDefault="005C2578" w:rsidP="005C2578">
      <w:pPr>
        <w:spacing w:after="0" w:line="240" w:lineRule="auto"/>
        <w:ind w:firstLine="540"/>
        <w:jc w:val="center"/>
        <w:rPr>
          <w:rFonts w:cs="Arial"/>
          <w:b/>
        </w:rPr>
      </w:pPr>
    </w:p>
    <w:p w14:paraId="0D1A6B14" w14:textId="1A7AA998" w:rsidR="005C2578" w:rsidRPr="00E25DAB" w:rsidRDefault="005C2578" w:rsidP="005C2578">
      <w:pPr>
        <w:spacing w:after="0" w:line="240" w:lineRule="auto"/>
        <w:ind w:firstLine="567"/>
        <w:jc w:val="both"/>
        <w:rPr>
          <w:rStyle w:val="tlid-translation"/>
        </w:rPr>
      </w:pPr>
      <w:r w:rsidRPr="00E25DAB">
        <w:rPr>
          <w:rFonts w:cs="Arial"/>
        </w:rPr>
        <w:t>Pareiškėja, Prancūzijos pilietė, buvo laikoma Rennes (Prancūzija) kalėjime. Ji buvo aktyvi ETA organizacijos (</w:t>
      </w:r>
      <w:r w:rsidRPr="00E25DAB">
        <w:t>ginkluota teroristinė baskų organizacija) narė</w:t>
      </w:r>
      <w:r w:rsidRPr="00E25DAB">
        <w:rPr>
          <w:rFonts w:cs="Arial"/>
        </w:rPr>
        <w:t xml:space="preserve"> iki pat jos sulaikymo 2003 metais</w:t>
      </w:r>
      <w:r w:rsidRPr="00E25DAB">
        <w:t>. Pareiškėja buvo tris kartus nuteista</w:t>
      </w:r>
      <w:r w:rsidR="00903873">
        <w:t>:</w:t>
      </w:r>
      <w:r w:rsidRPr="00E25DAB">
        <w:t xml:space="preserve"> dėl dalyvavimo nusikalstamame sąmoksle planuojant įvykdyti teroristinį aktą, dėl reketo būdu gauto turto valdymo, taip pat dėl neteisėto </w:t>
      </w:r>
      <w:r w:rsidRPr="00E25DAB">
        <w:rPr>
          <w:rStyle w:val="tlid-translation"/>
        </w:rPr>
        <w:t>ginklų ir sprogstamųjų medžiagų ar prietaisų, susijusių su terorizmu, laikymo bei gabenimo.</w:t>
      </w:r>
    </w:p>
    <w:p w14:paraId="498A8B5F" w14:textId="16529B2B" w:rsidR="005C2578" w:rsidRPr="00E25DAB" w:rsidRDefault="005C2578" w:rsidP="005C2578">
      <w:pPr>
        <w:spacing w:after="0" w:line="240" w:lineRule="auto"/>
        <w:ind w:firstLine="567"/>
        <w:jc w:val="both"/>
        <w:rPr>
          <w:rStyle w:val="tlid-translation"/>
        </w:rPr>
      </w:pPr>
      <w:r w:rsidRPr="00E25DAB">
        <w:rPr>
          <w:rStyle w:val="tlid-translation"/>
        </w:rPr>
        <w:t>2006 m. balandžio 26 d. pareiškėja buvo nuteista 8 metų laisvės atėmimo bausme; 2006 m. lapkričio 29 d. – 17 metų laisvės atėmimo bausme su teise į lygtinį paleidimą atlikus du trečdalius skirtos bausmės; 2008 m. lapkričio 17 d. – 17 metų laisvės atėmimo bausme, pastarąją vykdan</w:t>
      </w:r>
      <w:r w:rsidR="005330B5" w:rsidRPr="00E25DAB">
        <w:rPr>
          <w:rStyle w:val="tlid-translation"/>
        </w:rPr>
        <w:t>t kartu su antrąja bausme. 2011 </w:t>
      </w:r>
      <w:r w:rsidRPr="00E25DAB">
        <w:rPr>
          <w:rStyle w:val="tlid-translation"/>
        </w:rPr>
        <w:t>metais teismai iš dalies subendrino paskirtas bausmes.</w:t>
      </w:r>
    </w:p>
    <w:p w14:paraId="6311A2B0" w14:textId="6EC8E65C" w:rsidR="005C2578" w:rsidRPr="00E25DAB" w:rsidRDefault="005C2578" w:rsidP="005C2578">
      <w:pPr>
        <w:spacing w:after="0" w:line="240" w:lineRule="auto"/>
        <w:ind w:firstLine="567"/>
        <w:jc w:val="both"/>
        <w:rPr>
          <w:rFonts w:cs="Arial"/>
        </w:rPr>
      </w:pPr>
      <w:r w:rsidRPr="00E25DAB">
        <w:rPr>
          <w:rStyle w:val="tlid-translation"/>
        </w:rPr>
        <w:t>2014 m. sausio 21 d. pareiškėjos advokatas pateikė prašymą leisti pareiškėjai laikinai išvykti su palyda, kad ji galėtų atsisveikinti su tėvu</w:t>
      </w:r>
      <w:r w:rsidRPr="00E25DAB">
        <w:rPr>
          <w:rFonts w:cs="Arial"/>
        </w:rPr>
        <w:t xml:space="preserve">, kuris tą pačią dieną mirė Bayonne ligoninėje. Tačiau sekančią dieną </w:t>
      </w:r>
      <w:r w:rsidRPr="00E25DAB">
        <w:rPr>
          <w:rFonts w:cs="Arial"/>
          <w:iCs/>
        </w:rPr>
        <w:t>Paryžiaus aukščiausios instancijos tribunolo (</w:t>
      </w:r>
      <w:r w:rsidRPr="00E25DAB">
        <w:rPr>
          <w:rFonts w:cs="Arial"/>
          <w:i/>
        </w:rPr>
        <w:t>Paris</w:t>
      </w:r>
      <w:r w:rsidRPr="00E25DAB">
        <w:rPr>
          <w:rFonts w:cs="Arial"/>
        </w:rPr>
        <w:t xml:space="preserve"> </w:t>
      </w:r>
      <w:r w:rsidRPr="00E25DAB">
        <w:rPr>
          <w:rFonts w:cs="Arial"/>
          <w:i/>
          <w:iCs/>
        </w:rPr>
        <w:t>tribunal de grande instance</w:t>
      </w:r>
      <w:r w:rsidRPr="00E25DAB">
        <w:rPr>
          <w:rFonts w:cs="Arial"/>
          <w:iCs/>
        </w:rPr>
        <w:t xml:space="preserve">) pirmininko pavaduotojo, atsakingo už </w:t>
      </w:r>
      <w:r w:rsidRPr="00E25DAB">
        <w:rPr>
          <w:rStyle w:val="tlid-translation"/>
        </w:rPr>
        <w:t>bausmių vykdymą,</w:t>
      </w:r>
      <w:r w:rsidRPr="00E25DAB">
        <w:rPr>
          <w:rFonts w:cs="Arial"/>
        </w:rPr>
        <w:t xml:space="preserve"> sprendimu šis prašymas buvo atmestas argumentuojant tuo, kad nors artimo giminaičio mirtis gali būti pagrindas leisti laikinai išvykti su palyda, tačiau toks prašymas turi būti vertinamas atsižvelgiant į kalinamojo asmenybę ir galimą pabėgimo riziką.</w:t>
      </w:r>
    </w:p>
    <w:p w14:paraId="369B1859" w14:textId="77777777" w:rsidR="005C2578" w:rsidRPr="00E25DAB" w:rsidRDefault="005C2578" w:rsidP="005C2578">
      <w:pPr>
        <w:spacing w:after="0" w:line="240" w:lineRule="auto"/>
        <w:ind w:firstLine="567"/>
        <w:jc w:val="both"/>
        <w:rPr>
          <w:rStyle w:val="tlid-translation"/>
          <w:rFonts w:cs="Arial"/>
        </w:rPr>
      </w:pPr>
      <w:r w:rsidRPr="00E25DAB">
        <w:rPr>
          <w:rStyle w:val="tlid-translation"/>
        </w:rPr>
        <w:t>P</w:t>
      </w:r>
      <w:r w:rsidRPr="00E25DAB">
        <w:rPr>
          <w:rFonts w:cs="Arial"/>
        </w:rPr>
        <w:t xml:space="preserve">areiškėja apskundė tokį sprendimą, tačiau </w:t>
      </w:r>
      <w:r w:rsidRPr="00E25DAB">
        <w:rPr>
          <w:rStyle w:val="tlid-translation"/>
        </w:rPr>
        <w:t>2014 m. sausio 24 d. jos skundas buvo atmestas. Apeliacinis teismas pažymėjo, kad nors prašymas išduoti leidimą buvo visiškai pagrįstas žmogiškuoju aspektu, viešosios tvarkos sutrikdymo rizika lėmė padidintos apsaugos būtinybę, ypač dėl geografinio atstumo ir dėl to, kad fiziškai nebuvo įmanoma suorganizuoti palydos per tokį trumpą laiką. Pareiškėja dėl šio sprendimo pateikė kasacinį skundą, grindžiamą netinkamu teisės taikymu. Tačiau 2014 m. balandžio 29 d. nutartimi kasacinis teismas šį skundą atmetė.</w:t>
      </w:r>
    </w:p>
    <w:p w14:paraId="7701E313" w14:textId="051C1A86" w:rsidR="005C2578" w:rsidRPr="00E25DAB" w:rsidRDefault="005C2578" w:rsidP="005C2578">
      <w:pPr>
        <w:spacing w:after="0" w:line="240" w:lineRule="auto"/>
        <w:ind w:firstLine="567"/>
        <w:jc w:val="both"/>
      </w:pPr>
      <w:r w:rsidRPr="00E25DAB">
        <w:rPr>
          <w:rStyle w:val="tlid-translation"/>
        </w:rPr>
        <w:t>Remdamasi Konvencijos 8 straipsniu, pareiškėja skundėsi dėl teisminių institucijų atsisakymo leisti jai laikinai išvykti su palyda į Bayonne laido</w:t>
      </w:r>
      <w:r w:rsidR="00903873">
        <w:rPr>
          <w:rStyle w:val="tlid-translation"/>
        </w:rPr>
        <w:t>jimo namus</w:t>
      </w:r>
      <w:r w:rsidRPr="00E25DAB">
        <w:rPr>
          <w:rStyle w:val="tlid-translation"/>
        </w:rPr>
        <w:t>, kad ji galėtų atsisveikinti su mirusiu tėvu.</w:t>
      </w:r>
    </w:p>
    <w:p w14:paraId="1E713A74" w14:textId="77777777" w:rsidR="005C2578" w:rsidRPr="00E25DAB" w:rsidRDefault="005C2578" w:rsidP="005C2578">
      <w:pPr>
        <w:spacing w:after="0" w:line="240" w:lineRule="auto"/>
        <w:ind w:firstLine="567"/>
        <w:jc w:val="both"/>
        <w:rPr>
          <w:rFonts w:cs="Arial"/>
        </w:rPr>
      </w:pPr>
    </w:p>
    <w:p w14:paraId="78DC3301" w14:textId="77777777" w:rsidR="005C2578" w:rsidRPr="00E25DAB" w:rsidRDefault="005C2578" w:rsidP="005C2578">
      <w:pPr>
        <w:spacing w:after="0" w:line="240" w:lineRule="auto"/>
        <w:jc w:val="center"/>
        <w:rPr>
          <w:rFonts w:cs="Arial"/>
        </w:rPr>
      </w:pPr>
      <w:r w:rsidRPr="00E25DAB">
        <w:rPr>
          <w:rFonts w:cs="Arial"/>
          <w:b/>
        </w:rPr>
        <w:t>Neoficiali Teismo sprendimo apžvalga</w:t>
      </w:r>
    </w:p>
    <w:p w14:paraId="329D966A" w14:textId="77777777" w:rsidR="005C2578" w:rsidRPr="00E25DAB" w:rsidRDefault="005C2578" w:rsidP="005C2578">
      <w:pPr>
        <w:spacing w:after="0" w:line="240" w:lineRule="auto"/>
        <w:ind w:firstLine="567"/>
        <w:jc w:val="both"/>
        <w:rPr>
          <w:rFonts w:cs="Arial"/>
        </w:rPr>
      </w:pPr>
    </w:p>
    <w:p w14:paraId="62A02D75" w14:textId="77777777" w:rsidR="005C2578" w:rsidRPr="00E25DAB" w:rsidRDefault="005C2578" w:rsidP="005C2578">
      <w:pPr>
        <w:spacing w:after="0" w:line="240" w:lineRule="auto"/>
        <w:ind w:firstLine="567"/>
        <w:jc w:val="both"/>
        <w:rPr>
          <w:rStyle w:val="tlid-translation"/>
        </w:rPr>
      </w:pPr>
      <w:r w:rsidRPr="00E25DAB">
        <w:rPr>
          <w:rStyle w:val="tlid-translation"/>
        </w:rPr>
        <w:t>Teismas pakartojo, kad sulaikymas,</w:t>
      </w:r>
      <w:r w:rsidRPr="00E25DAB">
        <w:t xml:space="preserve"> kaip ir bet kuri kita priemonė, kuria asmeniui atimama laisvė, sukelia neatsiejamus </w:t>
      </w:r>
      <w:r w:rsidRPr="00E25DAB">
        <w:rPr>
          <w:rStyle w:val="tlid-translation"/>
        </w:rPr>
        <w:t xml:space="preserve">suinteresuoto asmens privataus </w:t>
      </w:r>
      <w:r w:rsidRPr="00E25DAB">
        <w:t xml:space="preserve">ir šeimos gyvenimo apribojimus. </w:t>
      </w:r>
      <w:r w:rsidRPr="00E25DAB">
        <w:rPr>
          <w:rStyle w:val="tlid-translation"/>
        </w:rPr>
        <w:t>Vis dėlto, kad būtų gerbiamas šeimos gyvenimas, kalėjimo administracija suteikia leidimą kaliniui ir, jei reikia, padeda jam palaikyti ryšius su artimiausia šeima.</w:t>
      </w:r>
    </w:p>
    <w:p w14:paraId="35FCD040" w14:textId="77777777" w:rsidR="005C2578" w:rsidRPr="00E25DAB" w:rsidRDefault="005C2578" w:rsidP="005C2578">
      <w:pPr>
        <w:spacing w:after="0" w:line="240" w:lineRule="auto"/>
        <w:ind w:firstLine="567"/>
        <w:jc w:val="both"/>
        <w:rPr>
          <w:rStyle w:val="tlid-translation"/>
        </w:rPr>
      </w:pPr>
      <w:r w:rsidRPr="00E25DAB">
        <w:rPr>
          <w:rStyle w:val="tlid-translation"/>
        </w:rPr>
        <w:t xml:space="preserve">Tačiau Teismas taip pat priminė, kad rekomenduojama tam tikra kalinių kontaktų su išoriniu pasauliu kontrolė ir kad tai </w:t>
      </w:r>
      <w:r w:rsidRPr="00E25DAB">
        <w:rPr>
          <w:rStyle w:val="tlid-translation"/>
          <w:i/>
        </w:rPr>
        <w:t>per se</w:t>
      </w:r>
      <w:r w:rsidRPr="00E25DAB">
        <w:rPr>
          <w:rStyle w:val="tlid-translation"/>
        </w:rPr>
        <w:t xml:space="preserve"> neprieštarauja Konvencijai. Be to, </w:t>
      </w:r>
      <w:r w:rsidRPr="00E25DAB">
        <w:t xml:space="preserve">Konvencija savaime negarantuoja teisės </w:t>
      </w:r>
      <w:r w:rsidRPr="00E25DAB">
        <w:rPr>
          <w:rStyle w:val="tlid-translation"/>
        </w:rPr>
        <w:t xml:space="preserve">laikinai išvykti iš kalėjimo, o Teismas ne kartą pastebėjo, kad leidimų sistemos sukūrimas </w:t>
      </w:r>
      <w:r w:rsidRPr="00E25DAB">
        <w:rPr>
          <w:rStyle w:val="tlid-translation"/>
          <w:i/>
        </w:rPr>
        <w:t>per se</w:t>
      </w:r>
      <w:r w:rsidRPr="00E25DAB">
        <w:rPr>
          <w:rStyle w:val="tlid-translation"/>
        </w:rPr>
        <w:t xml:space="preserve"> nėra kritikuojamas.</w:t>
      </w:r>
    </w:p>
    <w:p w14:paraId="3ECDEC8F" w14:textId="1AD8448C" w:rsidR="005C2578" w:rsidRPr="00E25DAB" w:rsidRDefault="005C2578" w:rsidP="005C2578">
      <w:pPr>
        <w:spacing w:after="0" w:line="240" w:lineRule="auto"/>
        <w:ind w:firstLine="567"/>
        <w:jc w:val="both"/>
        <w:rPr>
          <w:rStyle w:val="tlid-translation"/>
        </w:rPr>
      </w:pPr>
      <w:r w:rsidRPr="00E25DAB">
        <w:rPr>
          <w:rStyle w:val="tlid-translation"/>
        </w:rPr>
        <w:t xml:space="preserve">Teismas nurodė, kad šiuo atveju atsisakymas leisti pareiškėjai išvykti iš kalėjimo palydint ją į laidojimo </w:t>
      </w:r>
      <w:r w:rsidR="00903873">
        <w:rPr>
          <w:rStyle w:val="tlid-translation"/>
        </w:rPr>
        <w:t>namus</w:t>
      </w:r>
      <w:r w:rsidRPr="00E25DAB">
        <w:rPr>
          <w:rStyle w:val="tlid-translation"/>
        </w:rPr>
        <w:t xml:space="preserve"> atsisveikinti su mirus</w:t>
      </w:r>
      <w:r w:rsidR="001A4611" w:rsidRPr="00E25DAB">
        <w:rPr>
          <w:rStyle w:val="tlid-translation"/>
        </w:rPr>
        <w:t>iu tėvu yra jos teisės į pagarbą</w:t>
      </w:r>
      <w:r w:rsidRPr="00E25DAB">
        <w:rPr>
          <w:rStyle w:val="tlid-translation"/>
        </w:rPr>
        <w:t xml:space="preserve"> šeimos gyvenimui, garantuojamos pagal Konvencijos 8 straipsnį, ribojimas. Toks kišimasis nepažeidžia Konvencijos, jei jis numatytas įstatyme, juo siekiama teisėto tikslo ir tai būtina demokratinėje visuomenėje.</w:t>
      </w:r>
    </w:p>
    <w:p w14:paraId="782D0CE3" w14:textId="2C03B514" w:rsidR="005C2578" w:rsidRPr="00E25DAB" w:rsidRDefault="005C2578" w:rsidP="003B4852">
      <w:pPr>
        <w:spacing w:after="0" w:line="240" w:lineRule="auto"/>
        <w:ind w:firstLine="567"/>
        <w:jc w:val="both"/>
        <w:rPr>
          <w:rStyle w:val="tlid-translation"/>
        </w:rPr>
      </w:pPr>
      <w:r w:rsidRPr="00E25DAB">
        <w:rPr>
          <w:rStyle w:val="tlid-translation"/>
        </w:rPr>
        <w:t>Atitinkamai Teismas pabrėžė, kad šiuo atveju atsisakymą išduoti leidimą išvykti su palyda numatė įstatymai, būtent Baudžiamojo proceso kodekso 723-6 straipsnis, ir kad leidžiant nuteistajam laikinai išvykti, nesvarbu – su palyda ar be jos, yra būdinga pabėgimo bei viešosios tvarkos sutrikdymo rizika. Išskyrus skubius atvejus, sprendimai dėl prašymų leisti laikinai išvykti su palyda priimami gavus bausmės vykdymo komisijos išvadą. Tačiau Teismas manė, kad šiuo atveju galimi pagrindai atmesti pareiškėjos prašymą buvo pakankamai aiškūs. Teismas sprendė, kad šiuo atveju kišimosi tikslas buvo užtikrinti visuomenės saugumą, viešosios tvarkos apsaugą ir užkirst</w:t>
      </w:r>
      <w:r w:rsidR="003B4852" w:rsidRPr="00E25DAB">
        <w:rPr>
          <w:rStyle w:val="tlid-translation"/>
        </w:rPr>
        <w:t>i kelią nusikalstamoms veikoms.</w:t>
      </w:r>
    </w:p>
    <w:p w14:paraId="73546190" w14:textId="77777777" w:rsidR="005C2578" w:rsidRPr="00E25DAB" w:rsidRDefault="005C2578" w:rsidP="005C2578">
      <w:pPr>
        <w:spacing w:after="0" w:line="240" w:lineRule="auto"/>
        <w:ind w:firstLine="567"/>
        <w:jc w:val="both"/>
        <w:rPr>
          <w:rStyle w:val="tlid-translation"/>
        </w:rPr>
      </w:pPr>
      <w:r w:rsidRPr="00E25DAB">
        <w:rPr>
          <w:rStyle w:val="tlid-translation"/>
        </w:rPr>
        <w:lastRenderedPageBreak/>
        <w:t>Teismas atkreipė dėmesį, kad pirmosios ir apeliacinės instancijos teisminės institucijos kruopščiai išnagrinėjo pareiškėjos prašymą ir nusprendė, jog jos tėvo mirtis buvo išskirtinė priežastis, galinti pateisinti leidimą laikinai išvykti su palyda. Tačiau valdžios institucijos atsisakė patenkinti pareiškėjos prašymą, pirma, dėl jos nusikalstamo profilio – ji atliko keletą laisvės atėmimo bausmių už teroristinius nusikaltimus ir toliau tvirtino savo narystę ETA, ir, antra, dėl to, kad per likusį laiką buvo neįmanoma suorganizuoti sustiprintos palydos.</w:t>
      </w:r>
    </w:p>
    <w:p w14:paraId="072FD052" w14:textId="4346EE36" w:rsidR="005C2578" w:rsidRPr="00E25DAB" w:rsidRDefault="005C2578" w:rsidP="005C2578">
      <w:pPr>
        <w:spacing w:after="0" w:line="240" w:lineRule="auto"/>
        <w:ind w:firstLine="567"/>
        <w:jc w:val="both"/>
        <w:rPr>
          <w:rStyle w:val="tlid-translation"/>
        </w:rPr>
      </w:pPr>
      <w:r w:rsidRPr="00E25DAB">
        <w:rPr>
          <w:rStyle w:val="tlid-translation"/>
        </w:rPr>
        <w:t>Teismas nenustatė pagrindo nesutikti su Vyriausybės argumentais, kad buvo likę nepakankamai laiko suorganizuoti pareigūnų, specialiai apmokytų perkelti ir prižiūrėti kalinius, nuteistus už teroristinius nusikaltimus, palydą, įskaitant išankstinį patalpų patikrinimą. Teismas sprendė, kad teisminės institucijos tinkamai įvertino skirtingų interesų, būtent pareiškėjos teisės į pagarbą šeimos gyvenimui ir visuomenės saugumo bei nusikaltimų prevencijos pusiausvyrą. Teismas pažymėjo, kad šiuo atveju valstybė atsakovė neviršijo jai šioje srityje suteiktos vertinimo laisvės.</w:t>
      </w:r>
    </w:p>
    <w:p w14:paraId="505788C5" w14:textId="48F24E03" w:rsidR="005C2578" w:rsidRPr="00E25DAB" w:rsidRDefault="005C2578" w:rsidP="005C2578">
      <w:pPr>
        <w:spacing w:after="0" w:line="240" w:lineRule="auto"/>
        <w:ind w:firstLine="567"/>
        <w:jc w:val="both"/>
      </w:pPr>
      <w:r w:rsidRPr="00E25DAB">
        <w:rPr>
          <w:rStyle w:val="tlid-translation"/>
        </w:rPr>
        <w:t xml:space="preserve">Aptartų aplinkybių pagrindu Teismas konstatavo, kad byloje susiklosčiusiomis aplinkybėmis atsisakymas patenkinti pareiškėjos prašymą leisti jai laikinai išvykti su palyda į laidojimo </w:t>
      </w:r>
      <w:r w:rsidR="00903873">
        <w:rPr>
          <w:rStyle w:val="tlid-translation"/>
        </w:rPr>
        <w:t>namus</w:t>
      </w:r>
      <w:r w:rsidRPr="00E25DAB">
        <w:rPr>
          <w:rStyle w:val="tlid-translation"/>
        </w:rPr>
        <w:t xml:space="preserve"> atsisveikinti su mirusiu tėvu nebuvo neproporcingas ir juo buvo siekiama teisėtų tikslų.</w:t>
      </w:r>
    </w:p>
    <w:p w14:paraId="6F18D9D2" w14:textId="77777777" w:rsidR="005C2578" w:rsidRPr="00E25DAB" w:rsidRDefault="005C2578" w:rsidP="005C2578">
      <w:pPr>
        <w:spacing w:after="0" w:line="240" w:lineRule="auto"/>
        <w:ind w:firstLine="567"/>
        <w:jc w:val="both"/>
        <w:rPr>
          <w:rFonts w:cs="Arial"/>
        </w:rPr>
      </w:pPr>
    </w:p>
    <w:p w14:paraId="276951C4" w14:textId="77777777" w:rsidR="005C2578" w:rsidRPr="00E25DAB" w:rsidRDefault="005C2578" w:rsidP="005C2578">
      <w:pPr>
        <w:spacing w:after="0" w:line="240" w:lineRule="auto"/>
        <w:ind w:firstLine="567"/>
        <w:jc w:val="both"/>
        <w:rPr>
          <w:rFonts w:cs="Arial"/>
        </w:rPr>
      </w:pPr>
      <w:r w:rsidRPr="00E25DAB">
        <w:rPr>
          <w:rFonts w:cs="Arial"/>
        </w:rPr>
        <w:t>Išvada: nenustatytas Konvencijos 8 straipsnio pažeidimas (vienbalsiai).</w:t>
      </w:r>
    </w:p>
    <w:p w14:paraId="0E728514" w14:textId="77777777" w:rsidR="005C2578" w:rsidRPr="00C62DA3" w:rsidRDefault="00907E3B" w:rsidP="005C2578">
      <w:pPr>
        <w:ind w:firstLine="567"/>
        <w:rPr>
          <w:rFonts w:cs="Arial"/>
          <w:u w:val="single"/>
        </w:rPr>
      </w:pPr>
      <w:hyperlink r:id="rId18" w:history="1">
        <w:r w:rsidR="005C2578" w:rsidRPr="00C62DA3">
          <w:rPr>
            <w:rStyle w:val="Hipersaitas"/>
            <w:rFonts w:cs="Arial"/>
          </w:rPr>
          <w:t>Prieiga internete</w:t>
        </w:r>
      </w:hyperlink>
      <w:r w:rsidR="005C2578" w:rsidRPr="00C62DA3">
        <w:rPr>
          <w:rStyle w:val="Hipersaitas"/>
          <w:rFonts w:cs="Arial"/>
        </w:rPr>
        <w:t xml:space="preserve"> (prancūzų k.)</w:t>
      </w:r>
    </w:p>
    <w:p w14:paraId="13C7B0AB" w14:textId="77777777" w:rsidR="0002415A" w:rsidRPr="00E25DAB" w:rsidRDefault="0002415A" w:rsidP="0002415A">
      <w:pPr>
        <w:spacing w:after="0" w:line="240" w:lineRule="auto"/>
        <w:jc w:val="center"/>
        <w:rPr>
          <w:rFonts w:ascii="Calibri" w:hAnsi="Calibri" w:cs="Calibri"/>
          <w:b/>
        </w:rPr>
      </w:pPr>
      <w:r w:rsidRPr="00E25DAB">
        <w:rPr>
          <w:rFonts w:ascii="Calibri" w:hAnsi="Calibri" w:cs="Calibri"/>
          <w:b/>
        </w:rPr>
        <w:t>Europos Žmogaus Teisių Teismo 2019 m. gegužės 16 d. sprendimas byloje</w:t>
      </w:r>
    </w:p>
    <w:p w14:paraId="6ED15547" w14:textId="1FC0F8EC" w:rsidR="0002415A" w:rsidRPr="00E25DAB" w:rsidRDefault="003B4852" w:rsidP="0002415A">
      <w:pPr>
        <w:pStyle w:val="Antrat2"/>
        <w:ind w:firstLine="0"/>
        <w:jc w:val="center"/>
        <w:rPr>
          <w:rFonts w:eastAsia="Calibri"/>
          <w:i/>
        </w:rPr>
      </w:pPr>
      <w:bookmarkStart w:id="33" w:name="_Toc15309263"/>
      <w:bookmarkStart w:id="34" w:name="_Toc19877700"/>
      <w:bookmarkStart w:id="35" w:name="_Hlk20138786"/>
      <w:r w:rsidRPr="00E25DAB">
        <w:rPr>
          <w:rFonts w:eastAsia="Calibri"/>
          <w:i/>
        </w:rPr>
        <w:t>Tasev prieš</w:t>
      </w:r>
      <w:r w:rsidR="0002415A" w:rsidRPr="00E25DAB">
        <w:rPr>
          <w:rFonts w:eastAsia="Calibri"/>
          <w:i/>
        </w:rPr>
        <w:t xml:space="preserve"> Šiaurės Makedoniją</w:t>
      </w:r>
      <w:bookmarkEnd w:id="33"/>
      <w:bookmarkEnd w:id="34"/>
    </w:p>
    <w:bookmarkEnd w:id="35"/>
    <w:p w14:paraId="6FC177BB" w14:textId="77777777" w:rsidR="0002415A" w:rsidRPr="00E25DAB" w:rsidRDefault="0002415A" w:rsidP="0002415A">
      <w:pPr>
        <w:spacing w:after="0" w:line="240" w:lineRule="auto"/>
        <w:jc w:val="center"/>
        <w:rPr>
          <w:rFonts w:ascii="Calibri" w:hAnsi="Calibri" w:cs="Calibri"/>
          <w:b/>
        </w:rPr>
      </w:pPr>
      <w:r w:rsidRPr="00E25DAB">
        <w:rPr>
          <w:rFonts w:ascii="Calibri" w:hAnsi="Calibri" w:cs="Calibri"/>
          <w:b/>
        </w:rPr>
        <w:t>(pareiškimo Nr. 9825/13, svarbos lygis – 2)</w:t>
      </w:r>
    </w:p>
    <w:p w14:paraId="6C1B3359" w14:textId="77777777" w:rsidR="0002415A" w:rsidRPr="00E25DAB" w:rsidRDefault="0002415A" w:rsidP="0002415A">
      <w:pPr>
        <w:spacing w:after="0" w:line="240" w:lineRule="auto"/>
        <w:jc w:val="center"/>
        <w:rPr>
          <w:rFonts w:ascii="Calibri" w:hAnsi="Calibri" w:cs="Calibri"/>
        </w:rPr>
      </w:pPr>
    </w:p>
    <w:p w14:paraId="6A8DC541" w14:textId="249D1735" w:rsidR="0002415A" w:rsidRPr="00E25DAB" w:rsidRDefault="0002415A" w:rsidP="0002415A">
      <w:pPr>
        <w:pStyle w:val="Antrat3"/>
        <w:spacing w:before="0" w:line="240" w:lineRule="auto"/>
        <w:ind w:firstLine="567"/>
        <w:jc w:val="both"/>
        <w:rPr>
          <w:rFonts w:ascii="Calibri" w:eastAsia="Times New Roman" w:hAnsi="Calibri" w:cs="Calibri"/>
          <w:szCs w:val="22"/>
          <w:shd w:val="clear" w:color="auto" w:fill="FFFFFF"/>
          <w:lang w:eastAsia="lt-LT"/>
        </w:rPr>
      </w:pPr>
      <w:bookmarkStart w:id="36" w:name="_Toc15309264"/>
      <w:bookmarkStart w:id="37" w:name="_Toc19877701"/>
      <w:r w:rsidRPr="00E25DAB">
        <w:rPr>
          <w:rFonts w:ascii="Calibri" w:eastAsia="Times New Roman" w:hAnsi="Calibri" w:cs="Calibri"/>
          <w:szCs w:val="22"/>
          <w:shd w:val="clear" w:color="auto" w:fill="FFFFFF"/>
          <w:lang w:eastAsia="lt-LT"/>
        </w:rPr>
        <w:t>Dėl atsisakymo tenkinti prašymą pakeisti tautybės įrašą</w:t>
      </w:r>
      <w:r w:rsidR="00A908E3" w:rsidRPr="00E25DAB">
        <w:rPr>
          <w:rFonts w:ascii="Calibri" w:eastAsia="Times New Roman" w:hAnsi="Calibri" w:cs="Calibri"/>
          <w:szCs w:val="22"/>
          <w:shd w:val="clear" w:color="auto" w:fill="FFFFFF"/>
          <w:lang w:eastAsia="lt-LT"/>
        </w:rPr>
        <w:t>,</w:t>
      </w:r>
      <w:r w:rsidRPr="00E25DAB">
        <w:rPr>
          <w:rFonts w:ascii="Calibri" w:eastAsia="Times New Roman" w:hAnsi="Calibri" w:cs="Calibri"/>
          <w:szCs w:val="22"/>
          <w:shd w:val="clear" w:color="auto" w:fill="FFFFFF"/>
          <w:lang w:eastAsia="lt-LT"/>
        </w:rPr>
        <w:t xml:space="preserve"> remiantis teisės aktuose nenumatytu pagrindu</w:t>
      </w:r>
      <w:bookmarkEnd w:id="36"/>
      <w:bookmarkEnd w:id="37"/>
      <w:r w:rsidRPr="00E25DAB">
        <w:rPr>
          <w:rFonts w:ascii="Calibri" w:eastAsia="Times New Roman" w:hAnsi="Calibri" w:cs="Calibri"/>
          <w:szCs w:val="22"/>
          <w:shd w:val="clear" w:color="auto" w:fill="FFFFFF"/>
          <w:lang w:eastAsia="lt-LT"/>
        </w:rPr>
        <w:t xml:space="preserve"> </w:t>
      </w:r>
    </w:p>
    <w:p w14:paraId="5BD54C6B" w14:textId="77777777" w:rsidR="0002415A" w:rsidRPr="00E25DAB" w:rsidRDefault="0002415A" w:rsidP="0002415A">
      <w:pPr>
        <w:spacing w:after="0" w:line="240" w:lineRule="auto"/>
        <w:jc w:val="center"/>
        <w:rPr>
          <w:rFonts w:ascii="Calibri" w:hAnsi="Calibri" w:cs="Calibri"/>
          <w:b/>
        </w:rPr>
      </w:pPr>
    </w:p>
    <w:p w14:paraId="20E17DBD" w14:textId="77777777" w:rsidR="0002415A" w:rsidRPr="00E25DAB" w:rsidRDefault="0002415A" w:rsidP="003B4852">
      <w:pPr>
        <w:spacing w:after="0" w:line="240" w:lineRule="auto"/>
        <w:jc w:val="center"/>
        <w:rPr>
          <w:rFonts w:ascii="Calibri" w:hAnsi="Calibri" w:cs="Calibri"/>
          <w:b/>
        </w:rPr>
      </w:pPr>
      <w:r w:rsidRPr="00E25DAB">
        <w:rPr>
          <w:rFonts w:ascii="Calibri" w:hAnsi="Calibri" w:cs="Calibri"/>
          <w:b/>
        </w:rPr>
        <w:t>Faktinės aplinkybės</w:t>
      </w:r>
    </w:p>
    <w:p w14:paraId="05A17F79" w14:textId="77777777" w:rsidR="0002415A" w:rsidRPr="00E25DAB" w:rsidRDefault="0002415A" w:rsidP="0002415A">
      <w:pPr>
        <w:spacing w:after="0" w:line="240" w:lineRule="auto"/>
        <w:ind w:firstLine="540"/>
        <w:jc w:val="center"/>
        <w:rPr>
          <w:rFonts w:ascii="Calibri" w:hAnsi="Calibri" w:cs="Calibri"/>
          <w:b/>
        </w:rPr>
      </w:pPr>
    </w:p>
    <w:p w14:paraId="1FA40732" w14:textId="1902AB3B" w:rsidR="0002415A" w:rsidRPr="00E25DAB" w:rsidRDefault="0002415A" w:rsidP="0002415A">
      <w:pPr>
        <w:spacing w:after="0" w:line="240" w:lineRule="auto"/>
        <w:ind w:firstLine="567"/>
        <w:jc w:val="both"/>
        <w:rPr>
          <w:rFonts w:ascii="Calibri" w:hAnsi="Calibri" w:cs="Calibri"/>
        </w:rPr>
      </w:pPr>
      <w:r w:rsidRPr="00E25DAB">
        <w:rPr>
          <w:rFonts w:ascii="Calibri" w:hAnsi="Calibri" w:cs="Calibri"/>
        </w:rPr>
        <w:t xml:space="preserve">2012 m. rugsėjo mėnesį buvo išleistas pranešimas apie laisvas vietas Valstybės teismų taryboje (toliau – VTT), kurias turėjo </w:t>
      </w:r>
      <w:r w:rsidR="005A40A2">
        <w:rPr>
          <w:rFonts w:ascii="Calibri" w:hAnsi="Calibri" w:cs="Calibri"/>
        </w:rPr>
        <w:t>užimti</w:t>
      </w:r>
      <w:r w:rsidRPr="00E25DAB">
        <w:rPr>
          <w:rFonts w:ascii="Calibri" w:hAnsi="Calibri" w:cs="Calibri"/>
        </w:rPr>
        <w:t xml:space="preserve"> teisėjai, išrinkti iš savo kolegų. Tautybė nebuvo vienas iš reikalavimų. Pareiškėjas buvo teisėjas, kuris bandė dalyvauti rinkimuose kaip kandidatas, pareiškė pageidavimą, kad jo tautybės įrašas rinkėjų sąraše būtų pakeistas iš bulgariškos į makedoni</w:t>
      </w:r>
      <w:r w:rsidR="004E2B81" w:rsidRPr="00E25DAB">
        <w:rPr>
          <w:rFonts w:ascii="Calibri" w:hAnsi="Calibri" w:cs="Calibri"/>
        </w:rPr>
        <w:t>eti</w:t>
      </w:r>
      <w:r w:rsidRPr="00E25DAB">
        <w:rPr>
          <w:rFonts w:ascii="Calibri" w:hAnsi="Calibri" w:cs="Calibri"/>
        </w:rPr>
        <w:t>šką. Teisingumo ministerija ir teismai atsisakė ten</w:t>
      </w:r>
      <w:r w:rsidR="00A908E3" w:rsidRPr="00E25DAB">
        <w:rPr>
          <w:rFonts w:ascii="Calibri" w:hAnsi="Calibri" w:cs="Calibri"/>
        </w:rPr>
        <w:t>kinti šį pareiškėjo prašymą remdamiesi</w:t>
      </w:r>
      <w:r w:rsidRPr="00E25DAB">
        <w:rPr>
          <w:rFonts w:ascii="Calibri" w:hAnsi="Calibri" w:cs="Calibri"/>
        </w:rPr>
        <w:t xml:space="preserve"> šiais pagrindais: (1) prašymas buvo pateiktas po paskelbimo apie naujų narių atranką; (2) jis buvo susijęs su pareiškėjo rinkimų teise artėjančiuose rinkimuose į VTT; (3) tai būtų lėmę kitų rinkimus </w:t>
      </w:r>
      <w:r w:rsidR="005A40A2">
        <w:rPr>
          <w:rFonts w:ascii="Calibri" w:hAnsi="Calibri" w:cs="Calibri"/>
        </w:rPr>
        <w:t>dalyvaujančių</w:t>
      </w:r>
      <w:r w:rsidRPr="00E25DAB">
        <w:rPr>
          <w:rFonts w:ascii="Calibri" w:hAnsi="Calibri" w:cs="Calibri"/>
        </w:rPr>
        <w:t xml:space="preserve"> teisėjų blogesnę padėtį.</w:t>
      </w:r>
    </w:p>
    <w:p w14:paraId="72B4D284" w14:textId="77777777" w:rsidR="0002415A" w:rsidRPr="00E25DAB" w:rsidRDefault="0002415A" w:rsidP="0002415A">
      <w:pPr>
        <w:spacing w:after="0" w:line="240" w:lineRule="auto"/>
        <w:jc w:val="both"/>
        <w:rPr>
          <w:rFonts w:ascii="Calibri" w:hAnsi="Calibri" w:cs="Calibri"/>
        </w:rPr>
      </w:pPr>
    </w:p>
    <w:p w14:paraId="1DFD0B7D" w14:textId="77777777" w:rsidR="0002415A" w:rsidRPr="00E25DAB" w:rsidRDefault="0002415A" w:rsidP="003B4852">
      <w:pPr>
        <w:spacing w:after="0" w:line="240" w:lineRule="auto"/>
        <w:jc w:val="center"/>
        <w:rPr>
          <w:rFonts w:ascii="Calibri" w:hAnsi="Calibri" w:cs="Calibri"/>
        </w:rPr>
      </w:pPr>
      <w:r w:rsidRPr="00E25DAB">
        <w:rPr>
          <w:rFonts w:ascii="Calibri" w:hAnsi="Calibri" w:cs="Calibri"/>
          <w:b/>
        </w:rPr>
        <w:t>Neoficiali Teismo sprendimo apžvalga</w:t>
      </w:r>
    </w:p>
    <w:p w14:paraId="0FAE85DE" w14:textId="77777777" w:rsidR="0002415A" w:rsidRPr="00E25DAB" w:rsidRDefault="0002415A" w:rsidP="0002415A">
      <w:pPr>
        <w:spacing w:after="0" w:line="240" w:lineRule="auto"/>
        <w:ind w:firstLine="540"/>
        <w:jc w:val="both"/>
        <w:rPr>
          <w:rFonts w:ascii="Calibri" w:hAnsi="Calibri" w:cs="Calibri"/>
        </w:rPr>
      </w:pPr>
    </w:p>
    <w:p w14:paraId="355245C1" w14:textId="77777777" w:rsidR="0002415A" w:rsidRPr="00E25DAB" w:rsidRDefault="0002415A" w:rsidP="0002415A">
      <w:pPr>
        <w:spacing w:after="0" w:line="240" w:lineRule="auto"/>
        <w:ind w:firstLine="540"/>
        <w:jc w:val="both"/>
        <w:rPr>
          <w:rFonts w:ascii="Calibri" w:hAnsi="Calibri" w:cs="Calibri"/>
        </w:rPr>
      </w:pPr>
      <w:r w:rsidRPr="00E25DAB">
        <w:rPr>
          <w:rFonts w:ascii="Calibri" w:hAnsi="Calibri" w:cs="Calibri"/>
        </w:rPr>
        <w:t>Teismas anksčiau buvo pripažinęs, kad tautinė tapatybė buvo detalė, kuri yra individo tapatybės dalis ir patenka į asmeninės sferos ribas, kurias gina Konvencijos 8 straipsnis. Tautinės mažumos grupės nariams turi būti suteikiama teisė laisvai savo nuožiūra save identifikuoti ir dėl to savaime turi nekilti neigiamų padarinių.</w:t>
      </w:r>
    </w:p>
    <w:p w14:paraId="304AC81E" w14:textId="6DE1B663" w:rsidR="0002415A" w:rsidRPr="00E25DAB" w:rsidRDefault="0002415A" w:rsidP="0002415A">
      <w:pPr>
        <w:spacing w:after="0" w:line="240" w:lineRule="auto"/>
        <w:ind w:firstLine="540"/>
        <w:jc w:val="both"/>
        <w:rPr>
          <w:rFonts w:ascii="Calibri" w:hAnsi="Calibri" w:cs="Calibri"/>
        </w:rPr>
      </w:pPr>
      <w:r w:rsidRPr="00E25DAB">
        <w:rPr>
          <w:rFonts w:ascii="Calibri" w:hAnsi="Calibri" w:cs="Calibri"/>
        </w:rPr>
        <w:t>Šioje byloje nacionalinė teisė reikalavo</w:t>
      </w:r>
      <w:r w:rsidR="00A908E3" w:rsidRPr="00E25DAB">
        <w:rPr>
          <w:rFonts w:ascii="Calibri" w:hAnsi="Calibri" w:cs="Calibri"/>
        </w:rPr>
        <w:t xml:space="preserve"> iš</w:t>
      </w:r>
      <w:r w:rsidRPr="00E25DAB">
        <w:rPr>
          <w:rFonts w:ascii="Calibri" w:hAnsi="Calibri" w:cs="Calibri"/>
        </w:rPr>
        <w:t xml:space="preserve"> teisėjų paskelbti savo tautinę tapatybę rinkėjų sąraše ir VTT rinkimų kontekste nacionalinių institucijų atsisakymas pakeisti pareiškėjo tautybės įrašą rinkėjų sąraše sudarė įsiterpimą į jo privatų gyvenimą Konvencijos 8 straipsnio prasme.</w:t>
      </w:r>
    </w:p>
    <w:p w14:paraId="3FEBF9EB" w14:textId="071EE363" w:rsidR="0002415A" w:rsidRPr="00E25DAB" w:rsidRDefault="0002415A" w:rsidP="0002415A">
      <w:pPr>
        <w:spacing w:after="0" w:line="240" w:lineRule="auto"/>
        <w:ind w:firstLine="540"/>
        <w:jc w:val="both"/>
        <w:rPr>
          <w:rFonts w:ascii="Calibri" w:hAnsi="Calibri" w:cs="Calibri"/>
        </w:rPr>
      </w:pPr>
      <w:r w:rsidRPr="00E25DAB">
        <w:rPr>
          <w:rFonts w:ascii="Calibri" w:hAnsi="Calibri" w:cs="Calibri"/>
        </w:rPr>
        <w:t>Nesant jokio reikalavimo</w:t>
      </w:r>
      <w:r w:rsidR="00A908E3" w:rsidRPr="00E25DAB">
        <w:rPr>
          <w:rFonts w:ascii="Calibri" w:hAnsi="Calibri" w:cs="Calibri"/>
        </w:rPr>
        <w:t>,</w:t>
      </w:r>
      <w:r w:rsidRPr="00E25DAB">
        <w:rPr>
          <w:rFonts w:ascii="Calibri" w:hAnsi="Calibri" w:cs="Calibri"/>
        </w:rPr>
        <w:t xml:space="preserve"> kaip objektyvus pareiškėjo pasiskelbtos tautybės pagrindimas, pagrindinis ginčyto atsisakymo motyvas buvo laikas, kada pareiškėjas pateikė savo prašymą, atsižvelgiant į tai, kad jis dalyvavo artėjančiuose VTT rinkimuose. Tačiau nei viena administracinių teismų nurodyta teisės aktų nuostata nebuvo susijusi su rinkėjų sąrašais, juose esančios medžiagos keitimu. Šie klausimai buvo reguliuojami kitose nuostatose, kurios numatė, kad bet kuris prašymas pakeisti įrašų detales, taip pat ir asmens tapatybės apibrėžimą, turėjo būti teikiamas po to, kai rinkėjų sąrašas buvo paverstas prieinamu įvertinimui, kas savaime gali nutikti tik po viešo paskelbimo apie artėjančius naujų VTT narių rinkimus.</w:t>
      </w:r>
    </w:p>
    <w:p w14:paraId="5ADF9019" w14:textId="74974D91" w:rsidR="0002415A" w:rsidRPr="00E25DAB" w:rsidRDefault="0002415A" w:rsidP="0002415A">
      <w:pPr>
        <w:spacing w:after="0" w:line="240" w:lineRule="auto"/>
        <w:ind w:firstLine="540"/>
        <w:jc w:val="both"/>
        <w:rPr>
          <w:rFonts w:ascii="Calibri" w:hAnsi="Calibri" w:cs="Calibri"/>
        </w:rPr>
      </w:pPr>
      <w:r w:rsidRPr="00E25DAB">
        <w:rPr>
          <w:rFonts w:ascii="Calibri" w:hAnsi="Calibri" w:cs="Calibri"/>
        </w:rPr>
        <w:t xml:space="preserve">Ši nuostata buvo suformuluota bendrais bruožais ir galiojo visiems teisėjams, kurių asmeniniai duomenys buvo įrašyti rinkėjų sąraše. Joje nebuvo jokio detalizavimo, kuriame būtų giliau atskleidžiamas ar </w:t>
      </w:r>
      <w:r w:rsidRPr="00E25DAB">
        <w:rPr>
          <w:rFonts w:ascii="Calibri" w:hAnsi="Calibri" w:cs="Calibri"/>
        </w:rPr>
        <w:lastRenderedPageBreak/>
        <w:t>ribojamas šios nuostatos taikymas ar sąlyginumas</w:t>
      </w:r>
      <w:r w:rsidR="00A908E3" w:rsidRPr="00E25DAB">
        <w:rPr>
          <w:rFonts w:ascii="Calibri" w:hAnsi="Calibri" w:cs="Calibri"/>
        </w:rPr>
        <w:t>,</w:t>
      </w:r>
      <w:r w:rsidRPr="00E25DAB">
        <w:rPr>
          <w:rFonts w:ascii="Calibri" w:hAnsi="Calibri" w:cs="Calibri"/>
        </w:rPr>
        <w:t xml:space="preserve"> atsižvelgiant į tam tikras aplinkybes, pavyzdžiui</w:t>
      </w:r>
      <w:r w:rsidR="00A908E3" w:rsidRPr="00E25DAB">
        <w:rPr>
          <w:rFonts w:ascii="Calibri" w:hAnsi="Calibri" w:cs="Calibri"/>
        </w:rPr>
        <w:t>,</w:t>
      </w:r>
      <w:r w:rsidRPr="00E25DAB">
        <w:rPr>
          <w:rFonts w:ascii="Calibri" w:hAnsi="Calibri" w:cs="Calibri"/>
        </w:rPr>
        <w:t xml:space="preserve"> tokias, kurios buvo pritaikytos pareiškėjui šioje byloje. Jokia šios nuostatos dalis negalėjo būti interpretuojama kaip draudžianti teisėjams, dalyvaujantiems VTT rinkimuose, siekti pakeisti savo asmeninius įrašus rinkėjų sąraše (įskaitant jų tautybės apibrėžimus) po to, kai buvo viešai paskelbtas pranešimas apie tokius rinkimus. Nepaisant to, nacionalinės institucijos pasirinko tokį aiškinimą, kuris negalėjo būti numatytas. Taip pat, nesant tokį padarinį numatančios nuostatos, pareiškėjas negalėjo tikėtis, kad jo prašymas bus netenkinamas tokiais pagrindais.</w:t>
      </w:r>
    </w:p>
    <w:p w14:paraId="4DA80638" w14:textId="77777777" w:rsidR="0002415A" w:rsidRPr="00E25DAB" w:rsidRDefault="0002415A" w:rsidP="0002415A">
      <w:pPr>
        <w:spacing w:after="0" w:line="240" w:lineRule="auto"/>
        <w:ind w:firstLine="540"/>
        <w:jc w:val="both"/>
        <w:rPr>
          <w:rFonts w:ascii="Calibri" w:hAnsi="Calibri" w:cs="Calibri"/>
        </w:rPr>
      </w:pPr>
      <w:r w:rsidRPr="00E25DAB">
        <w:rPr>
          <w:rFonts w:ascii="Calibri" w:hAnsi="Calibri" w:cs="Calibri"/>
        </w:rPr>
        <w:t>Dėl šių priežasčių Teismas konstatavo, kad, nors teisinis reguliavimas šiuo atveju buvo prieinamas, tačiau teisiniai pagrindai, kuriais remiantis buvo priimtas ginčytas sprendimas, negalėjo būti iš anksto nuspėti. Dėl to jis buvo priimtas pažeidžiant reikalavimą remtis teise, kuris reiškia, kad taikoma teisinė priemonė turėtų pagrindą nacionalinėje teisėje ir nacionalinė teisė privalo jį apibrėžti tinkamai – kad šis pagrindas būtų prieinamas ir jo taikymas bei kylantys teisiniai padariniai būtų nuspėjami.</w:t>
      </w:r>
    </w:p>
    <w:p w14:paraId="777AD4E8" w14:textId="77777777" w:rsidR="00A908E3" w:rsidRPr="00E25DAB" w:rsidRDefault="00A908E3" w:rsidP="0002415A">
      <w:pPr>
        <w:spacing w:after="0" w:line="240" w:lineRule="auto"/>
        <w:ind w:firstLine="540"/>
        <w:jc w:val="both"/>
        <w:rPr>
          <w:rFonts w:ascii="Calibri" w:hAnsi="Calibri" w:cs="Calibri"/>
        </w:rPr>
      </w:pPr>
    </w:p>
    <w:p w14:paraId="725810FA" w14:textId="60236A61" w:rsidR="00A908E3" w:rsidRPr="00E25DAB" w:rsidRDefault="00A908E3" w:rsidP="00A908E3">
      <w:pPr>
        <w:spacing w:after="0" w:line="240" w:lineRule="auto"/>
        <w:ind w:firstLine="540"/>
        <w:jc w:val="both"/>
        <w:rPr>
          <w:rFonts w:ascii="Calibri" w:hAnsi="Calibri" w:cs="Calibri"/>
        </w:rPr>
      </w:pPr>
      <w:r w:rsidRPr="00E25DAB">
        <w:rPr>
          <w:rFonts w:ascii="Calibri" w:hAnsi="Calibri" w:cs="Calibri"/>
        </w:rPr>
        <w:t>Išvada:</w:t>
      </w:r>
      <w:r w:rsidR="0002415A" w:rsidRPr="00E25DAB">
        <w:rPr>
          <w:rFonts w:ascii="Calibri" w:hAnsi="Calibri" w:cs="Calibri"/>
        </w:rPr>
        <w:t xml:space="preserve"> Teismas konstatavo, kad buvo pažeistas Konvencijos 8 straipsnis</w:t>
      </w:r>
      <w:r w:rsidRPr="00E25DAB">
        <w:rPr>
          <w:rFonts w:ascii="Calibri" w:hAnsi="Calibri" w:cs="Calibri"/>
        </w:rPr>
        <w:t xml:space="preserve"> (6 balsai prieš 1).</w:t>
      </w:r>
    </w:p>
    <w:p w14:paraId="5D3CE95A" w14:textId="04D0FA6A" w:rsidR="00A908E3" w:rsidRPr="00E25DAB" w:rsidRDefault="00A908E3" w:rsidP="00A908E3">
      <w:pPr>
        <w:spacing w:after="0" w:line="240" w:lineRule="auto"/>
        <w:ind w:firstLine="540"/>
        <w:jc w:val="both"/>
        <w:rPr>
          <w:rFonts w:ascii="Calibri" w:hAnsi="Calibri" w:cs="Calibri"/>
        </w:rPr>
      </w:pPr>
      <w:r w:rsidRPr="00E25DAB">
        <w:rPr>
          <w:rFonts w:ascii="Calibri" w:hAnsi="Calibri" w:cs="Calibri"/>
        </w:rPr>
        <w:t>(yra pateikta atskiroji nuomonė)</w:t>
      </w:r>
    </w:p>
    <w:p w14:paraId="420364D7" w14:textId="59EC671F" w:rsidR="0002415A" w:rsidRPr="00E25DAB" w:rsidRDefault="00A908E3" w:rsidP="00A908E3">
      <w:pPr>
        <w:spacing w:after="0" w:line="240" w:lineRule="auto"/>
        <w:ind w:firstLine="540"/>
        <w:jc w:val="both"/>
        <w:rPr>
          <w:rFonts w:ascii="Calibri" w:hAnsi="Calibri" w:cs="Calibri"/>
        </w:rPr>
      </w:pPr>
      <w:r w:rsidRPr="00E25DAB">
        <w:rPr>
          <w:rFonts w:ascii="Calibri" w:hAnsi="Calibri" w:cs="Calibri"/>
        </w:rPr>
        <w:t xml:space="preserve">41 straipsnis: </w:t>
      </w:r>
      <w:r w:rsidR="0002415A" w:rsidRPr="00E25DAB">
        <w:rPr>
          <w:rFonts w:ascii="Calibri" w:hAnsi="Calibri" w:cs="Calibri"/>
        </w:rPr>
        <w:t>pareiškėjui priteistas 4 500 EUR dydžio neturtinės žalos atlyginimas.</w:t>
      </w:r>
    </w:p>
    <w:p w14:paraId="1740656C" w14:textId="77777777" w:rsidR="0002415A" w:rsidRPr="00E25DAB" w:rsidRDefault="00907E3B" w:rsidP="0002415A">
      <w:pPr>
        <w:pStyle w:val="s6c429373"/>
        <w:shd w:val="clear" w:color="auto" w:fill="FFFFFF"/>
        <w:spacing w:before="0" w:beforeAutospacing="0" w:after="0" w:afterAutospacing="0"/>
        <w:ind w:firstLine="567"/>
        <w:jc w:val="both"/>
        <w:rPr>
          <w:rStyle w:val="sfbbfee58"/>
          <w:rFonts w:ascii="Calibri" w:hAnsi="Calibri" w:cs="Calibri"/>
          <w:color w:val="000000"/>
          <w:sz w:val="22"/>
          <w:szCs w:val="22"/>
        </w:rPr>
      </w:pPr>
      <w:hyperlink r:id="rId19" w:history="1">
        <w:r w:rsidR="0002415A" w:rsidRPr="00E25DAB">
          <w:rPr>
            <w:rStyle w:val="Hipersaitas"/>
            <w:rFonts w:ascii="Calibri" w:hAnsi="Calibri" w:cs="Calibri"/>
            <w:sz w:val="22"/>
            <w:szCs w:val="22"/>
          </w:rPr>
          <w:t>Prieiga internete</w:t>
        </w:r>
      </w:hyperlink>
      <w:r w:rsidR="0002415A" w:rsidRPr="00E25DAB">
        <w:rPr>
          <w:rStyle w:val="sfbbfee58"/>
          <w:rFonts w:ascii="Calibri" w:hAnsi="Calibri" w:cs="Calibri"/>
          <w:color w:val="000000"/>
          <w:sz w:val="22"/>
          <w:szCs w:val="22"/>
        </w:rPr>
        <w:t xml:space="preserve"> </w:t>
      </w:r>
    </w:p>
    <w:p w14:paraId="261C9DF5" w14:textId="77777777" w:rsidR="00B14A16" w:rsidRPr="00E25DAB" w:rsidRDefault="00B14A16" w:rsidP="0002415A">
      <w:pPr>
        <w:pStyle w:val="s6c429373"/>
        <w:shd w:val="clear" w:color="auto" w:fill="FFFFFF"/>
        <w:spacing w:before="0" w:beforeAutospacing="0" w:after="0" w:afterAutospacing="0"/>
        <w:ind w:firstLine="567"/>
        <w:jc w:val="both"/>
        <w:rPr>
          <w:rStyle w:val="sfbbfee58"/>
          <w:rFonts w:ascii="Calibri" w:hAnsi="Calibri" w:cs="Calibri"/>
          <w:color w:val="000000"/>
          <w:sz w:val="22"/>
          <w:szCs w:val="22"/>
        </w:rPr>
      </w:pPr>
    </w:p>
    <w:p w14:paraId="2E97EE05" w14:textId="77777777" w:rsidR="005C2578" w:rsidRPr="00E25DAB" w:rsidRDefault="005C2578" w:rsidP="005C2578">
      <w:pPr>
        <w:spacing w:after="0" w:line="240" w:lineRule="auto"/>
        <w:jc w:val="center"/>
        <w:rPr>
          <w:rFonts w:cs="Arial"/>
          <w:b/>
        </w:rPr>
      </w:pPr>
      <w:r w:rsidRPr="00E25DAB">
        <w:rPr>
          <w:rFonts w:cs="Arial"/>
          <w:b/>
        </w:rPr>
        <w:t>Europos Žmogaus Teisių Teismo 2019 m. gegužės 28 d. sprendimas byloje</w:t>
      </w:r>
    </w:p>
    <w:p w14:paraId="15930A1D" w14:textId="77777777" w:rsidR="005C2578" w:rsidRPr="00E25DAB" w:rsidRDefault="005C2578" w:rsidP="003B4852">
      <w:pPr>
        <w:pStyle w:val="Antrat2"/>
        <w:ind w:firstLine="0"/>
        <w:jc w:val="center"/>
        <w:rPr>
          <w:i/>
        </w:rPr>
      </w:pPr>
      <w:bookmarkStart w:id="38" w:name="_Toc526931859"/>
      <w:bookmarkStart w:id="39" w:name="_Toc527116502"/>
      <w:bookmarkStart w:id="40" w:name="_Toc19877702"/>
      <w:bookmarkStart w:id="41" w:name="_Hlk20138983"/>
      <w:r w:rsidRPr="00E25DAB">
        <w:rPr>
          <w:i/>
        </w:rPr>
        <w:t>Chaldayev prieš Rusiją</w:t>
      </w:r>
      <w:bookmarkEnd w:id="38"/>
      <w:bookmarkEnd w:id="39"/>
      <w:bookmarkEnd w:id="40"/>
    </w:p>
    <w:bookmarkEnd w:id="41"/>
    <w:p w14:paraId="44F7BB46" w14:textId="77777777" w:rsidR="005C2578" w:rsidRPr="00E25DAB" w:rsidRDefault="005C2578" w:rsidP="005C2578">
      <w:pPr>
        <w:spacing w:after="0" w:line="240" w:lineRule="auto"/>
        <w:jc w:val="center"/>
        <w:rPr>
          <w:rFonts w:cs="Arial"/>
          <w:b/>
        </w:rPr>
      </w:pPr>
      <w:r w:rsidRPr="00E25DAB">
        <w:rPr>
          <w:rFonts w:cs="Arial"/>
          <w:b/>
        </w:rPr>
        <w:t>(pareiškimo Nr. 33172/16, svarbos lygis – 2)</w:t>
      </w:r>
    </w:p>
    <w:p w14:paraId="6ED843DE" w14:textId="77777777" w:rsidR="005C2578" w:rsidRPr="00E25DAB" w:rsidRDefault="005C2578" w:rsidP="005C2578">
      <w:pPr>
        <w:spacing w:after="0" w:line="240" w:lineRule="auto"/>
        <w:jc w:val="center"/>
        <w:rPr>
          <w:rFonts w:cs="Arial"/>
        </w:rPr>
      </w:pPr>
    </w:p>
    <w:p w14:paraId="79B09AE0" w14:textId="77777777" w:rsidR="005C2578" w:rsidRPr="00E25DAB" w:rsidRDefault="005C2578" w:rsidP="005C2578">
      <w:pPr>
        <w:pStyle w:val="Antrat3"/>
        <w:spacing w:before="0" w:line="240" w:lineRule="auto"/>
        <w:ind w:firstLine="567"/>
        <w:jc w:val="both"/>
        <w:rPr>
          <w:shd w:val="clear" w:color="auto" w:fill="FFFFFF"/>
          <w:lang w:eastAsia="lt-LT"/>
        </w:rPr>
      </w:pPr>
      <w:bookmarkStart w:id="42" w:name="_Toc19877703"/>
      <w:r w:rsidRPr="00E25DAB">
        <w:rPr>
          <w:shd w:val="clear" w:color="auto" w:fill="FFFFFF"/>
          <w:lang w:eastAsia="lt-LT"/>
        </w:rPr>
        <w:t xml:space="preserve">Dėl </w:t>
      </w:r>
      <w:r w:rsidRPr="00E25DAB">
        <w:rPr>
          <w:rStyle w:val="tlid-translation"/>
          <w:rFonts w:eastAsia="Calibri"/>
        </w:rPr>
        <w:t xml:space="preserve">kardomojo kalinimo įstaigose </w:t>
      </w:r>
      <w:r w:rsidRPr="00E25DAB">
        <w:rPr>
          <w:shd w:val="clear" w:color="auto" w:fill="FFFFFF"/>
          <w:lang w:eastAsia="lt-LT"/>
        </w:rPr>
        <w:t>laikomų suimtųjų teisės į pasimatymus ribojimo</w:t>
      </w:r>
      <w:bookmarkEnd w:id="42"/>
    </w:p>
    <w:p w14:paraId="07326DB4" w14:textId="77777777" w:rsidR="005C2578" w:rsidRPr="00E25DAB" w:rsidRDefault="005C2578" w:rsidP="005C2578">
      <w:pPr>
        <w:spacing w:after="0" w:line="240" w:lineRule="auto"/>
        <w:jc w:val="center"/>
        <w:rPr>
          <w:rFonts w:cs="Arial"/>
          <w:b/>
        </w:rPr>
      </w:pPr>
    </w:p>
    <w:p w14:paraId="34A73C47" w14:textId="77777777" w:rsidR="005C2578" w:rsidRPr="00E25DAB" w:rsidRDefault="005C2578" w:rsidP="005C2578">
      <w:pPr>
        <w:spacing w:after="0" w:line="240" w:lineRule="auto"/>
        <w:jc w:val="center"/>
        <w:rPr>
          <w:rFonts w:cs="Arial"/>
          <w:b/>
        </w:rPr>
      </w:pPr>
      <w:r w:rsidRPr="00E25DAB">
        <w:rPr>
          <w:rFonts w:cs="Arial"/>
          <w:b/>
        </w:rPr>
        <w:t>Faktinės aplinkybės</w:t>
      </w:r>
    </w:p>
    <w:p w14:paraId="0EC037E1" w14:textId="77777777" w:rsidR="005C2578" w:rsidRPr="00E25DAB" w:rsidRDefault="005C2578" w:rsidP="005C2578">
      <w:pPr>
        <w:spacing w:after="0" w:line="240" w:lineRule="auto"/>
        <w:ind w:firstLine="540"/>
        <w:jc w:val="center"/>
        <w:rPr>
          <w:rFonts w:cs="Arial"/>
          <w:b/>
        </w:rPr>
      </w:pPr>
    </w:p>
    <w:p w14:paraId="7F2C5C2C" w14:textId="77777777" w:rsidR="005C2578" w:rsidRPr="00E25DAB" w:rsidRDefault="005C2578" w:rsidP="005C2578">
      <w:pPr>
        <w:spacing w:after="0" w:line="240" w:lineRule="auto"/>
        <w:ind w:firstLine="567"/>
        <w:jc w:val="both"/>
        <w:rPr>
          <w:rFonts w:cs="Arial"/>
        </w:rPr>
      </w:pPr>
      <w:r w:rsidRPr="00E25DAB">
        <w:rPr>
          <w:rFonts w:cs="Arial"/>
        </w:rPr>
        <w:t>Pareiškėjas, Rusijos pilietis, buvo kaltinamas ginkluotu apiplėšimu ir 2015 m. gegužės 18 d. nuteistas 13 metų laisvės atėmimo bausme. Galutinis apkaltinamasis nuosprendis pareiškėjo atžvilgiu įsiteisėjo 2015 m. spalio 29 d. ir 2015 m. lapkričio 27 d. pareiškėjas buvo perkeltas atlikti laisvės atėmimo bausmę į pataisos koloniją. Iki tol pareiškėjas buvo laikomas kardomojo kalinimo įstaigose.</w:t>
      </w:r>
    </w:p>
    <w:p w14:paraId="63D8EEFB" w14:textId="77777777" w:rsidR="005C2578" w:rsidRPr="00E25DAB" w:rsidRDefault="005C2578" w:rsidP="005C2578">
      <w:pPr>
        <w:spacing w:after="0" w:line="240" w:lineRule="auto"/>
        <w:ind w:firstLine="567"/>
        <w:jc w:val="both"/>
        <w:rPr>
          <w:rFonts w:cs="Arial"/>
        </w:rPr>
      </w:pPr>
      <w:r w:rsidRPr="00E25DAB">
        <w:rPr>
          <w:rFonts w:cs="Arial"/>
        </w:rPr>
        <w:t>2015 m. birželio 1 d. pareiškėjo tėvai pateikė prašymą leisti aplankyti sūnų, tačiau teisėjas šio prašymo netenkino, argumentuodamas tuo, kad jiems neseniai jau buvo suteiktas toks leidimas. Pareiškėjo tėvai dėl tokio sprendimo skundėsi teismo pirmininkui, tačiau jų skundas buvo atmestas.</w:t>
      </w:r>
    </w:p>
    <w:p w14:paraId="1454FBB6" w14:textId="77777777" w:rsidR="005C2578" w:rsidRPr="00E25DAB" w:rsidRDefault="005C2578" w:rsidP="005C2578">
      <w:pPr>
        <w:spacing w:after="0" w:line="240" w:lineRule="auto"/>
        <w:ind w:firstLine="567"/>
        <w:jc w:val="both"/>
        <w:rPr>
          <w:rFonts w:cs="Arial"/>
        </w:rPr>
      </w:pPr>
      <w:r w:rsidRPr="00E25DAB">
        <w:rPr>
          <w:rFonts w:cs="Arial"/>
        </w:rPr>
        <w:t>2015 m. rugpjūčio 10 d. pareiškėjas prašė leisti jo tėvams jį aplankyti, tačiau šis prašymas buvo atmestas, tokio sprendimo visiškai neargumentuojant.</w:t>
      </w:r>
    </w:p>
    <w:p w14:paraId="1B493782" w14:textId="61EBE12B" w:rsidR="005C2578" w:rsidRPr="00E25DAB" w:rsidRDefault="005C2578" w:rsidP="005C2578">
      <w:pPr>
        <w:spacing w:after="0" w:line="240" w:lineRule="auto"/>
        <w:ind w:firstLine="567"/>
        <w:jc w:val="both"/>
        <w:rPr>
          <w:rFonts w:cs="Arial"/>
        </w:rPr>
      </w:pPr>
      <w:r w:rsidRPr="00E25DAB">
        <w:rPr>
          <w:rFonts w:cs="Arial"/>
        </w:rPr>
        <w:t xml:space="preserve">2015 m. spalio 5 d. pareiškėjo tėvai Mordovijos Respublikos (respublika Rusijoje) aukščiausiajam teismui, kuriame buvo nagrinėjamas pareiškėjo apeliacinis skundas, pateikė du prašymus leisti aplankyti sūnų, tačiau </w:t>
      </w:r>
      <w:r w:rsidR="005A40A2">
        <w:rPr>
          <w:rFonts w:cs="Arial"/>
        </w:rPr>
        <w:t>abu</w:t>
      </w:r>
      <w:r w:rsidRPr="00E25DAB">
        <w:rPr>
          <w:rFonts w:cs="Arial"/>
        </w:rPr>
        <w:t xml:space="preserve"> buvo atmesti.</w:t>
      </w:r>
    </w:p>
    <w:p w14:paraId="62E32727" w14:textId="77777777" w:rsidR="005C2578" w:rsidRPr="00E25DAB" w:rsidRDefault="005C2578" w:rsidP="005C2578">
      <w:pPr>
        <w:spacing w:after="0" w:line="240" w:lineRule="auto"/>
        <w:ind w:firstLine="567"/>
        <w:jc w:val="both"/>
        <w:rPr>
          <w:rFonts w:cs="Arial"/>
        </w:rPr>
      </w:pPr>
      <w:r w:rsidRPr="00E25DAB">
        <w:rPr>
          <w:rFonts w:cs="Arial"/>
        </w:rPr>
        <w:t>2015 m. spalio 11 d. pareiškėjas Mordovijos Respublikos prokurorui pateikė skundą dėl iki tol gautų pasimatymų mažo skaičiaus ir jų tvarkos. Nurodė, kad pasimatymai vyko patalpoje, kuri buvo atskirta siena, ribojančia bet kokį fizinį kontaktą tarp suimtojo ir jo lankytojų, be to, bendrauti su tėvais jis galėjo tik telefonu, stebint pareigūnams.</w:t>
      </w:r>
    </w:p>
    <w:p w14:paraId="3F61F476" w14:textId="77777777" w:rsidR="005C2578" w:rsidRPr="00E25DAB" w:rsidRDefault="005C2578" w:rsidP="005C2578">
      <w:pPr>
        <w:spacing w:after="0" w:line="240" w:lineRule="auto"/>
        <w:ind w:firstLine="567"/>
        <w:jc w:val="both"/>
        <w:rPr>
          <w:rStyle w:val="tlid-translation"/>
        </w:rPr>
      </w:pPr>
      <w:r w:rsidRPr="00E25DAB">
        <w:rPr>
          <w:rStyle w:val="tlid-translation"/>
        </w:rPr>
        <w:t>Remdamasis Konvencijos 8 straipsniu, pareiškėjas skundėsi, kad dėl riboto pasimatymų su tėvais skaičiaus ir tokių pasimatymų tvarkos buvo pažeista jo teisė į privataus ir šeimos gyvenimo gerbimą. Pareiškėjas taip pat skundėsi, kad jis negalėjo turėti jokio fizinio kontakto su giminaičiais, o bendrauti galėjo tik telefonu, stebint pareigūnams.</w:t>
      </w:r>
    </w:p>
    <w:p w14:paraId="2BEC1EEC" w14:textId="77777777" w:rsidR="005C2578" w:rsidRPr="00E25DAB" w:rsidRDefault="005C2578" w:rsidP="005C2578">
      <w:pPr>
        <w:spacing w:after="0" w:line="240" w:lineRule="auto"/>
        <w:ind w:firstLine="567"/>
        <w:jc w:val="both"/>
        <w:rPr>
          <w:rFonts w:cs="Arial"/>
        </w:rPr>
      </w:pPr>
    </w:p>
    <w:p w14:paraId="1C6B0539" w14:textId="77777777" w:rsidR="005C2578" w:rsidRPr="00E25DAB" w:rsidRDefault="005C2578" w:rsidP="005C2578">
      <w:pPr>
        <w:spacing w:after="0" w:line="240" w:lineRule="auto"/>
        <w:jc w:val="center"/>
        <w:rPr>
          <w:rFonts w:cs="Arial"/>
        </w:rPr>
      </w:pPr>
      <w:r w:rsidRPr="00E25DAB">
        <w:rPr>
          <w:rFonts w:cs="Arial"/>
          <w:b/>
        </w:rPr>
        <w:t>Neoficiali Teismo sprendimo apžvalga</w:t>
      </w:r>
    </w:p>
    <w:p w14:paraId="50B42C1B" w14:textId="77777777" w:rsidR="005C2578" w:rsidRPr="00E25DAB" w:rsidRDefault="005C2578" w:rsidP="005C2578">
      <w:pPr>
        <w:spacing w:after="0" w:line="240" w:lineRule="auto"/>
        <w:ind w:firstLine="567"/>
        <w:jc w:val="both"/>
        <w:rPr>
          <w:rFonts w:cs="Arial"/>
        </w:rPr>
      </w:pPr>
    </w:p>
    <w:p w14:paraId="2B0CDDD4" w14:textId="77777777" w:rsidR="005C2578" w:rsidRPr="00E25DAB" w:rsidRDefault="005C2578" w:rsidP="005C2578">
      <w:pPr>
        <w:spacing w:after="0" w:line="240" w:lineRule="auto"/>
        <w:ind w:firstLine="567"/>
        <w:jc w:val="both"/>
        <w:rPr>
          <w:rStyle w:val="tlid-translation"/>
          <w:i/>
        </w:rPr>
      </w:pPr>
      <w:r w:rsidRPr="00E25DAB">
        <w:rPr>
          <w:rStyle w:val="tlid-translation"/>
          <w:i/>
        </w:rPr>
        <w:t>Dėl Konvencijos 8 straipsnio pažeidimo</w:t>
      </w:r>
    </w:p>
    <w:p w14:paraId="27A6D593" w14:textId="77777777" w:rsidR="005C2578" w:rsidRPr="00E25DAB" w:rsidRDefault="005C2578" w:rsidP="005C2578">
      <w:pPr>
        <w:spacing w:after="0" w:line="240" w:lineRule="auto"/>
        <w:ind w:firstLine="567"/>
        <w:jc w:val="both"/>
        <w:rPr>
          <w:rStyle w:val="tlid-translation"/>
        </w:rPr>
      </w:pPr>
      <w:r w:rsidRPr="00E25DAB">
        <w:rPr>
          <w:rStyle w:val="tlid-translation"/>
        </w:rPr>
        <w:t xml:space="preserve">Teismas pastebėjo, kad daugeliu ankstesnių atvejų jis nustatė Konvencijos 8 straipsnio pažeidimą dėl Rusijos valdžios institucijų atsisakymo leisti suimtiesiems pasimatyti su šeimos nariais, taip pat dėl to, kad tarp suimtojo ir jo lankytojų buvo įrengta pertvara. Teismas priminė savo ankstesnę praktiką, kurioje, visų </w:t>
      </w:r>
      <w:r w:rsidRPr="00E25DAB">
        <w:rPr>
          <w:rStyle w:val="tlid-translation"/>
        </w:rPr>
        <w:lastRenderedPageBreak/>
        <w:t xml:space="preserve">pirma, sprendė, kad Įstatymas Nr. </w:t>
      </w:r>
      <w:r w:rsidRPr="00E25DAB">
        <w:rPr>
          <w:rFonts w:cs="Arial"/>
        </w:rPr>
        <w:t xml:space="preserve">103-FZ neatitinka „kokybės“ ir „numatomumo“ kriterijų, nes jis </w:t>
      </w:r>
      <w:r w:rsidRPr="00E25DAB">
        <w:rPr>
          <w:rStyle w:val="tlid-translation"/>
        </w:rPr>
        <w:t>vidaus valdžios institucijoms suteikė neribotą diskreciją spręsti dėl pasimatymų suteikimo ir neapibrėžė aplinkybių, kurioms esant tokie pasimatymai gali būti nesuteikti. Be to, Teismas sprendė, kad lankytojų atskyrimas pertvara, užkertančia kelią fiziniam kontaktui, yra nepagrįstas, nesant konkrečių įrodymų apie sulaikytojo pavojingumą ar saugumo riziką. Teismas nurodė, kad Vyriausybė nepateikė jokio faktinio ar teisinio pagrindo, įtikinančio jį šioje byloje padaryti kitokią išvadą.</w:t>
      </w:r>
    </w:p>
    <w:p w14:paraId="465C2DC9" w14:textId="0636FCF4" w:rsidR="005C2578" w:rsidRPr="00E25DAB" w:rsidRDefault="005C2578" w:rsidP="005C2578">
      <w:pPr>
        <w:spacing w:after="0" w:line="240" w:lineRule="auto"/>
        <w:ind w:firstLine="567"/>
        <w:jc w:val="both"/>
        <w:rPr>
          <w:rStyle w:val="tlid-translation"/>
        </w:rPr>
      </w:pPr>
      <w:r w:rsidRPr="00E25DAB">
        <w:rPr>
          <w:rStyle w:val="tlid-translation"/>
        </w:rPr>
        <w:t>Teismas nurodė, kad 2015 m. liepos 29 d., rugpjūčio 12 d. ir spalio 6 d. netenkindami pareiškėjo ir jo tėvų pateiktų prašymų suteikti pasimatymus, teismai šių sprendimų nemotyvavo.</w:t>
      </w:r>
    </w:p>
    <w:p w14:paraId="59555980" w14:textId="77777777" w:rsidR="005C2578" w:rsidRPr="00E25DAB" w:rsidRDefault="005C2578" w:rsidP="005C2578">
      <w:pPr>
        <w:spacing w:after="0" w:line="240" w:lineRule="auto"/>
        <w:ind w:firstLine="567"/>
        <w:jc w:val="both"/>
        <w:rPr>
          <w:rStyle w:val="tlid-translation"/>
        </w:rPr>
      </w:pPr>
      <w:r w:rsidRPr="00E25DAB">
        <w:rPr>
          <w:rStyle w:val="tlid-translation"/>
        </w:rPr>
        <w:t>Dėl pareiškėjui suteiktų pasimatymų sąlygų (dėl pareiškėjo ir jo tėvų atskyrimo stikline siena ir bendravimo per telefono aparatą, prižiūrint pareigūnams) Teismas pažymėjo, kad šie pasimatymai buvo apriboti pagal Tardymo izoliatoriaus taisyklių 143 punktą, kuris buvo automatiškai taikomas visiems suimtiesiems. Šiuo atžvilgiu Teismas atkreipė dėmesį į tai, kad, kiek tai susiję su teise į pasimatymus, valstybė negali turėti nevaržomos diskrecijos nustatyti bendrus apribojimus, nesuteikiant galimybės konkrečiu atveju individualiai nustatyti, ar tokie apribojimai yra tinkami ir tikrai būtini.</w:t>
      </w:r>
    </w:p>
    <w:p w14:paraId="3A576967" w14:textId="77777777" w:rsidR="005C2578" w:rsidRPr="00E25DAB" w:rsidRDefault="005C2578" w:rsidP="005C2578">
      <w:pPr>
        <w:spacing w:after="0" w:line="240" w:lineRule="auto"/>
        <w:ind w:firstLine="567"/>
        <w:jc w:val="both"/>
        <w:rPr>
          <w:rStyle w:val="tlid-translation"/>
        </w:rPr>
      </w:pPr>
      <w:r w:rsidRPr="00E25DAB">
        <w:rPr>
          <w:rStyle w:val="tlid-translation"/>
        </w:rPr>
        <w:t>Nurodytos aplinkybės buvo pakankamas pagrindas Teismui konstatuoti Konvencijos 8 straipsnio pažeidimą.</w:t>
      </w:r>
    </w:p>
    <w:p w14:paraId="46736F75" w14:textId="77777777" w:rsidR="005C2578" w:rsidRPr="00E25DAB" w:rsidRDefault="005C2578" w:rsidP="005C2578">
      <w:pPr>
        <w:spacing w:after="0" w:line="240" w:lineRule="auto"/>
        <w:ind w:firstLine="567"/>
        <w:jc w:val="both"/>
        <w:rPr>
          <w:rFonts w:cs="Arial"/>
        </w:rPr>
      </w:pPr>
    </w:p>
    <w:p w14:paraId="5587A994" w14:textId="77777777" w:rsidR="005C2578" w:rsidRPr="00E25DAB" w:rsidRDefault="005C2578" w:rsidP="005C2578">
      <w:pPr>
        <w:spacing w:after="0" w:line="240" w:lineRule="auto"/>
        <w:ind w:firstLine="567"/>
        <w:jc w:val="both"/>
        <w:rPr>
          <w:rStyle w:val="tlid-translation"/>
          <w:i/>
        </w:rPr>
      </w:pPr>
      <w:r w:rsidRPr="00E25DAB">
        <w:rPr>
          <w:rStyle w:val="tlid-translation"/>
          <w:i/>
        </w:rPr>
        <w:t>Dėl Konvencijos 14 straipsnio, skaitomo kartu su 8 straipsniu, pažeidimo</w:t>
      </w:r>
    </w:p>
    <w:p w14:paraId="508176F2" w14:textId="77777777" w:rsidR="005C2578" w:rsidRPr="00E25DAB" w:rsidRDefault="005C2578" w:rsidP="005C2578">
      <w:pPr>
        <w:spacing w:after="0" w:line="240" w:lineRule="auto"/>
        <w:ind w:firstLine="567"/>
        <w:jc w:val="both"/>
        <w:rPr>
          <w:rStyle w:val="tlid-translation"/>
        </w:rPr>
      </w:pPr>
      <w:r w:rsidRPr="00E25DAB">
        <w:rPr>
          <w:rStyle w:val="tlid-translation"/>
        </w:rPr>
        <w:t xml:space="preserve">Teismas atkreipė dėmesį į tai, kad tiek suimtieji, kurie dar nėra nuteisti galutiniu teismo nuosprendžiu, tiek kaliniai, kurių atžvilgiu apkaltinamieji nuosprendžiai įgijo </w:t>
      </w:r>
      <w:r w:rsidRPr="00E25DAB">
        <w:rPr>
          <w:rStyle w:val="tlid-translation"/>
          <w:i/>
        </w:rPr>
        <w:t>res judicata</w:t>
      </w:r>
      <w:r w:rsidRPr="00E25DAB">
        <w:rPr>
          <w:rStyle w:val="tlid-translation"/>
        </w:rPr>
        <w:t xml:space="preserve"> galią, kaip asmenys, kurių laisvė apribota skirtinguose baudžiamojo proceso etapuose, išsaugo teisę į pagarbą jų asmeniniam ir šeimos gyvenimui. Nors šios asmenų grupės nėra visiškai analogiškos, Teismas sprendė, kad Konvencijos 14 straipsnio taikymo prasme pareiškėjo padėtis buvo panaši į nuteistojo.</w:t>
      </w:r>
    </w:p>
    <w:p w14:paraId="11BCF623" w14:textId="77777777" w:rsidR="005C2578" w:rsidRPr="00E25DAB" w:rsidRDefault="005C2578" w:rsidP="005C2578">
      <w:pPr>
        <w:spacing w:after="0" w:line="240" w:lineRule="auto"/>
        <w:ind w:firstLine="567"/>
        <w:jc w:val="both"/>
        <w:rPr>
          <w:rStyle w:val="tlid-translation"/>
        </w:rPr>
      </w:pPr>
      <w:r w:rsidRPr="00E25DAB">
        <w:rPr>
          <w:rStyle w:val="tlid-translation"/>
        </w:rPr>
        <w:t>Teismas nurodė, kad skirtingas požiūris yra diskriminacinis, jei jis neturi objektyvaus ir pagrįsto pateisinimo, tai yra, jei juo nesiekiama teisėto tikslo arba jei nėra pagrįstų proporcijų tarp naudojamų priemonių ir tikslo. Susitariančiosios valstybės turi tam tikrą vertinimo laisvę nustatydamos, ar ir kokiu mastu skirtumai panašiose situacijose pateisina skirtingą požiūrį. Teismas pripažino, kad klausimams, susijusiems su kaliniais ir baudžiamąja politika, iš esmės taikoma plati vertinimo laisvė.</w:t>
      </w:r>
    </w:p>
    <w:p w14:paraId="193B567D" w14:textId="77777777" w:rsidR="005C2578" w:rsidRPr="00E25DAB" w:rsidRDefault="005C2578" w:rsidP="005C2578">
      <w:pPr>
        <w:spacing w:after="0" w:line="240" w:lineRule="auto"/>
        <w:ind w:firstLine="567"/>
        <w:jc w:val="both"/>
        <w:rPr>
          <w:rStyle w:val="tlid-translation"/>
        </w:rPr>
      </w:pPr>
      <w:r w:rsidRPr="00E25DAB">
        <w:rPr>
          <w:rStyle w:val="tlid-translation"/>
        </w:rPr>
        <w:t>Teismas pažymėjo, kad pagal Įstatymo Nr. 103-FZ 18 skirsnį suimtiesiems kardomojo kalinimo įstaigose, įskaitant nenuteistus galutiniu teismo nuosprendžiu, suteikiami viena valanda trumpesni trumpalaikiai pasimatymai (3 val. trukmės), nei pagal Bausmių vykdymo kodekso 89 straipsnį suteikiami nuteistiesiems (4 val. trukmės). Be to, Įstatyme Nr. 103-FZ suimtųjų, laikomų kardomojo kalinimo įstaigose, teisė į ilgalaikius pasimatymus nereglamentuota, o nuteistieji pagal Bausmių vykdymo kodeksą turi teisę į ne mažiau kaip du ilgalaikius pasimatymus per metus. Teismas akcentavo, kad teisės į pasimatymus ribojimai buvo taikomi visiems suimtiesiems, nepriklausomai nuo jų suėmimo priežasčių, nuo baudžiamojo proceso stadijos ar bet kokių saugumo aplinkybių. Tačiau Teismas nenustatė jokio objektyvaus pagrindo, pateisinančio tokį skirtingą asmenų traktavimą nei dėl trumpalaikių pasimatymų trukmės, nei dėl teisės į ilgalaikius pasimatymus.</w:t>
      </w:r>
    </w:p>
    <w:p w14:paraId="1471AE9D" w14:textId="0692C9FA" w:rsidR="005C2578" w:rsidRPr="00E25DAB" w:rsidRDefault="005C2578" w:rsidP="005C2578">
      <w:pPr>
        <w:spacing w:after="0" w:line="240" w:lineRule="auto"/>
        <w:ind w:firstLine="567"/>
        <w:jc w:val="both"/>
        <w:rPr>
          <w:rStyle w:val="tlid-translation"/>
        </w:rPr>
      </w:pPr>
      <w:r w:rsidRPr="00E25DAB">
        <w:rPr>
          <w:rStyle w:val="tlid-translation"/>
        </w:rPr>
        <w:t>Kiek tai susiję su negalėjimu pareiškėjui gauti ilgalaikį pasimatymą su tėvais, Teismas sprendė, kad pareiškėjo laikymo režimas kardomojo kalinimo įstaigoje iš esmės atitiko nuteistųjų iki gyvos galvos, t. y. asmenų, nuteistų už ypač smerktinus ir pavojingus veiksmus, kurių kalinimas apima visišką izoliaciją</w:t>
      </w:r>
      <w:r w:rsidR="00C67180" w:rsidRPr="00E25DAB">
        <w:rPr>
          <w:rStyle w:val="tlid-translation"/>
        </w:rPr>
        <w:t>, režimą</w:t>
      </w:r>
      <w:r w:rsidRPr="00E25DAB">
        <w:rPr>
          <w:rStyle w:val="tlid-translation"/>
        </w:rPr>
        <w:t xml:space="preserve">. Teismas nenustatė objektyvaus ir pagrįsto pateisinimo tam, kad pareiškėjui šiuo aspektu būtų taikomi tokie patys apribojimai kaip nuteistiesiems iki gyvos galvos. Teismas pabrėžė, kad kaltinamiesiems, kurie nebuvo nuteisti galutiniu teismo nuosprendžiu, turėtų būti taikoma nekaltumo prezumpcija. </w:t>
      </w:r>
    </w:p>
    <w:p w14:paraId="68446F29" w14:textId="77777777" w:rsidR="005C2578" w:rsidRPr="00E25DAB" w:rsidRDefault="005C2578" w:rsidP="005C2578">
      <w:pPr>
        <w:spacing w:after="0" w:line="240" w:lineRule="auto"/>
        <w:ind w:firstLine="567"/>
        <w:jc w:val="both"/>
        <w:rPr>
          <w:rStyle w:val="tlid-translation"/>
        </w:rPr>
      </w:pPr>
      <w:r w:rsidRPr="00E25DAB">
        <w:rPr>
          <w:rStyle w:val="tlid-translation"/>
        </w:rPr>
        <w:t>Dėl trumpalaikių pasimatymų trukmės Teismas akcentavo, kad vien asmeniui priskyrus įtariamojo ar kaltinamojo statusą ir sulaikius jį kardomojo kalinimo įstaigoje, jo trumpalaikiai pasimatymai automatiškai apribojami iki trijų valandų. Be to, kardomojo kalinimo įstaigose sulaikytieji automatiškai netenka teisės į ilgalaikius pasimatymus. Tačiau Teismas akcentavo, kad kiekvienu atveju visi suimtųjų teisės į pasimatymus ribojimai turi būti pateisinami viešosios tvarkos pažeidimų prevencijos ir saugumo palaikymo būtinybe ar poreikiu užtikrinti teisėtus ikiteisminio tyrimo interesus.</w:t>
      </w:r>
    </w:p>
    <w:p w14:paraId="24696597" w14:textId="77777777" w:rsidR="005C2578" w:rsidRPr="00E25DAB" w:rsidRDefault="005C2578" w:rsidP="005C2578">
      <w:pPr>
        <w:spacing w:after="0" w:line="240" w:lineRule="auto"/>
        <w:ind w:firstLine="567"/>
        <w:jc w:val="both"/>
        <w:rPr>
          <w:rStyle w:val="tlid-translation"/>
        </w:rPr>
      </w:pPr>
      <w:r w:rsidRPr="00E25DAB">
        <w:rPr>
          <w:rStyle w:val="tlid-translation"/>
        </w:rPr>
        <w:t>Aptartų argumentų pagrindu Teismas konstatavo Konvencijos 14 straipsnio, skaitomo kartu su 8 straipsniu, pažeidimą.</w:t>
      </w:r>
    </w:p>
    <w:p w14:paraId="7A6B28B2" w14:textId="77777777" w:rsidR="005C2578" w:rsidRPr="00E25DAB" w:rsidRDefault="005C2578" w:rsidP="005C2578">
      <w:pPr>
        <w:spacing w:after="0" w:line="240" w:lineRule="auto"/>
        <w:ind w:firstLine="567"/>
        <w:jc w:val="both"/>
        <w:rPr>
          <w:rStyle w:val="tlid-translation"/>
        </w:rPr>
      </w:pPr>
    </w:p>
    <w:p w14:paraId="7C052281" w14:textId="77777777" w:rsidR="005C2578" w:rsidRPr="00E25DAB" w:rsidRDefault="005C2578" w:rsidP="005C2578">
      <w:pPr>
        <w:spacing w:after="0" w:line="240" w:lineRule="auto"/>
        <w:ind w:firstLine="567"/>
        <w:jc w:val="both"/>
        <w:rPr>
          <w:rFonts w:cs="Arial"/>
        </w:rPr>
      </w:pPr>
      <w:r w:rsidRPr="00E25DAB">
        <w:rPr>
          <w:rFonts w:cs="Arial"/>
        </w:rPr>
        <w:lastRenderedPageBreak/>
        <w:t>Išvada: nustatytas Konvencijos 8 straipsnio ir 14 straipsnio, skaitomo kartu su Konvencijos 8 straipsniu, pažeidimas (vienbalsiai).</w:t>
      </w:r>
    </w:p>
    <w:p w14:paraId="6C09BA27" w14:textId="77777777" w:rsidR="005C2578" w:rsidRPr="00E25DAB" w:rsidRDefault="005C2578" w:rsidP="005C2578">
      <w:pPr>
        <w:spacing w:after="0" w:line="240" w:lineRule="auto"/>
        <w:ind w:firstLine="567"/>
        <w:jc w:val="both"/>
        <w:rPr>
          <w:rFonts w:cs="Arial"/>
        </w:rPr>
      </w:pPr>
      <w:r w:rsidRPr="00E25DAB">
        <w:t xml:space="preserve">41 straipsnis: </w:t>
      </w:r>
      <w:r w:rsidRPr="00E25DAB">
        <w:rPr>
          <w:rStyle w:val="sfbbfee58"/>
          <w:color w:val="000000"/>
        </w:rPr>
        <w:t>priteistas 10 000 Eur neturtinės žalos atlyginimas.</w:t>
      </w:r>
    </w:p>
    <w:p w14:paraId="4C375DC8" w14:textId="77777777" w:rsidR="005C2578" w:rsidRPr="00E25DAB" w:rsidRDefault="00907E3B" w:rsidP="005C2578">
      <w:pPr>
        <w:ind w:firstLine="567"/>
        <w:rPr>
          <w:rStyle w:val="Hipersaitas"/>
          <w:rFonts w:cs="Arial"/>
        </w:rPr>
      </w:pPr>
      <w:hyperlink r:id="rId20" w:history="1">
        <w:r w:rsidR="005C2578" w:rsidRPr="00E25DAB">
          <w:rPr>
            <w:rStyle w:val="Hipersaitas"/>
            <w:rFonts w:cs="Arial"/>
          </w:rPr>
          <w:t>Prieiga internete</w:t>
        </w:r>
      </w:hyperlink>
      <w:r w:rsidR="005C2578" w:rsidRPr="00E25DAB">
        <w:rPr>
          <w:rStyle w:val="Hipersaitas"/>
          <w:rFonts w:cs="Arial"/>
        </w:rPr>
        <w:t xml:space="preserve"> (prancūzų k.)</w:t>
      </w:r>
    </w:p>
    <w:p w14:paraId="4D41B650" w14:textId="77777777" w:rsidR="005C2578" w:rsidRPr="00E25DAB" w:rsidRDefault="005C2578" w:rsidP="0002415A">
      <w:pPr>
        <w:pStyle w:val="s6c429373"/>
        <w:shd w:val="clear" w:color="auto" w:fill="FFFFFF"/>
        <w:spacing w:before="0" w:beforeAutospacing="0" w:after="0" w:afterAutospacing="0"/>
        <w:ind w:firstLine="567"/>
        <w:jc w:val="both"/>
        <w:rPr>
          <w:rStyle w:val="sfbbfee58"/>
          <w:rFonts w:ascii="Calibri" w:hAnsi="Calibri" w:cs="Calibri"/>
          <w:color w:val="000000"/>
          <w:sz w:val="22"/>
          <w:szCs w:val="22"/>
        </w:rPr>
      </w:pPr>
    </w:p>
    <w:p w14:paraId="0BD9303F" w14:textId="77777777" w:rsidR="00B14A16" w:rsidRPr="00E25DAB" w:rsidRDefault="00B14A16" w:rsidP="00B14A16">
      <w:pPr>
        <w:spacing w:after="0" w:line="240" w:lineRule="auto"/>
        <w:jc w:val="center"/>
        <w:rPr>
          <w:rFonts w:ascii="Calibri" w:hAnsi="Calibri" w:cs="Calibri"/>
          <w:b/>
        </w:rPr>
      </w:pPr>
      <w:r w:rsidRPr="00E25DAB">
        <w:rPr>
          <w:rFonts w:ascii="Calibri" w:hAnsi="Calibri" w:cs="Calibri"/>
          <w:b/>
        </w:rPr>
        <w:t>Europos Žmogaus Teisių Teismo 2019 m. birželio 4 d. sprendimas byloje</w:t>
      </w:r>
    </w:p>
    <w:p w14:paraId="33F2931D" w14:textId="77777777" w:rsidR="0002415A" w:rsidRPr="00E25DAB" w:rsidRDefault="0002415A" w:rsidP="0002415A">
      <w:pPr>
        <w:pStyle w:val="Antrat2"/>
        <w:ind w:firstLine="0"/>
        <w:jc w:val="center"/>
        <w:rPr>
          <w:rFonts w:ascii="Calibri" w:eastAsia="Calibri" w:hAnsi="Calibri" w:cs="Calibri"/>
          <w:i/>
        </w:rPr>
      </w:pPr>
      <w:bookmarkStart w:id="43" w:name="_Toc15309261"/>
      <w:bookmarkStart w:id="44" w:name="_Toc19877704"/>
      <w:r w:rsidRPr="00E25DAB">
        <w:rPr>
          <w:rFonts w:ascii="Calibri" w:eastAsia="Calibri" w:hAnsi="Calibri" w:cs="Calibri"/>
          <w:i/>
        </w:rPr>
        <w:t xml:space="preserve">Kosaitė-Čypienė ir </w:t>
      </w:r>
      <w:r w:rsidRPr="00E25DAB">
        <w:rPr>
          <w:rFonts w:eastAsia="Calibri"/>
          <w:i/>
        </w:rPr>
        <w:t>kiti prieš Lietuvą</w:t>
      </w:r>
      <w:bookmarkEnd w:id="43"/>
      <w:bookmarkEnd w:id="44"/>
    </w:p>
    <w:p w14:paraId="7C0287C3" w14:textId="77777777" w:rsidR="0002415A" w:rsidRPr="00E25DAB" w:rsidRDefault="0002415A" w:rsidP="0002415A">
      <w:pPr>
        <w:spacing w:after="0" w:line="240" w:lineRule="auto"/>
        <w:jc w:val="center"/>
        <w:rPr>
          <w:rFonts w:ascii="Calibri" w:hAnsi="Calibri" w:cs="Calibri"/>
          <w:b/>
        </w:rPr>
      </w:pPr>
      <w:r w:rsidRPr="00E25DAB">
        <w:rPr>
          <w:rFonts w:ascii="Calibri" w:hAnsi="Calibri" w:cs="Calibri"/>
          <w:b/>
        </w:rPr>
        <w:t>(pareiškimo Nr. 69489/12, svarbos lygis – 3)</w:t>
      </w:r>
    </w:p>
    <w:p w14:paraId="081F47F1" w14:textId="77777777" w:rsidR="0002415A" w:rsidRPr="00E25DAB" w:rsidRDefault="0002415A" w:rsidP="0002415A">
      <w:pPr>
        <w:spacing w:after="0" w:line="240" w:lineRule="auto"/>
        <w:jc w:val="center"/>
        <w:rPr>
          <w:rFonts w:ascii="Calibri" w:hAnsi="Calibri" w:cs="Calibri"/>
        </w:rPr>
      </w:pPr>
    </w:p>
    <w:p w14:paraId="3317A505" w14:textId="381B7704" w:rsidR="0002415A" w:rsidRPr="00E25DAB" w:rsidRDefault="0002415A" w:rsidP="0002415A">
      <w:pPr>
        <w:pStyle w:val="Antrat3"/>
        <w:spacing w:before="0" w:line="240" w:lineRule="auto"/>
        <w:ind w:firstLine="567"/>
        <w:jc w:val="both"/>
        <w:rPr>
          <w:rFonts w:ascii="Calibri" w:eastAsia="Times New Roman" w:hAnsi="Calibri" w:cs="Calibri"/>
          <w:szCs w:val="22"/>
          <w:shd w:val="clear" w:color="auto" w:fill="FFFFFF"/>
          <w:lang w:eastAsia="lt-LT"/>
        </w:rPr>
      </w:pPr>
      <w:bookmarkStart w:id="45" w:name="_Toc15309262"/>
      <w:bookmarkStart w:id="46" w:name="_Toc19877705"/>
      <w:r w:rsidRPr="00E25DAB">
        <w:rPr>
          <w:rFonts w:ascii="Calibri" w:eastAsia="Times New Roman" w:hAnsi="Calibri" w:cs="Calibri"/>
          <w:szCs w:val="22"/>
          <w:shd w:val="clear" w:color="auto" w:fill="FFFFFF"/>
          <w:lang w:eastAsia="lt-LT"/>
        </w:rPr>
        <w:t>Dėl pagalbos gimdymams namuose teikimo įteisinimo</w:t>
      </w:r>
      <w:bookmarkEnd w:id="45"/>
      <w:bookmarkEnd w:id="46"/>
      <w:r w:rsidR="004E2B81" w:rsidRPr="00E25DAB">
        <w:rPr>
          <w:rFonts w:ascii="Calibri" w:eastAsia="Times New Roman" w:hAnsi="Calibri" w:cs="Calibri"/>
          <w:szCs w:val="22"/>
          <w:shd w:val="clear" w:color="auto" w:fill="FFFFFF"/>
          <w:lang w:eastAsia="lt-LT"/>
        </w:rPr>
        <w:t xml:space="preserve"> </w:t>
      </w:r>
    </w:p>
    <w:p w14:paraId="2D227AB2" w14:textId="77777777" w:rsidR="0002415A" w:rsidRPr="00E25DAB" w:rsidRDefault="0002415A" w:rsidP="0002415A">
      <w:pPr>
        <w:spacing w:after="0" w:line="240" w:lineRule="auto"/>
        <w:ind w:firstLine="540"/>
        <w:jc w:val="both"/>
        <w:rPr>
          <w:rFonts w:ascii="Calibri" w:hAnsi="Calibri" w:cs="Calibri"/>
        </w:rPr>
      </w:pPr>
    </w:p>
    <w:p w14:paraId="1EC9DC40" w14:textId="77777777" w:rsidR="0002415A" w:rsidRPr="00E25DAB" w:rsidRDefault="0002415A" w:rsidP="0002415A">
      <w:pPr>
        <w:spacing w:after="0" w:line="240" w:lineRule="auto"/>
        <w:jc w:val="center"/>
        <w:rPr>
          <w:rFonts w:ascii="Calibri" w:hAnsi="Calibri" w:cs="Calibri"/>
          <w:b/>
        </w:rPr>
      </w:pPr>
      <w:r w:rsidRPr="00E25DAB">
        <w:rPr>
          <w:rFonts w:ascii="Calibri" w:hAnsi="Calibri" w:cs="Calibri"/>
          <w:b/>
        </w:rPr>
        <w:t>Faktinės aplinkybės</w:t>
      </w:r>
    </w:p>
    <w:p w14:paraId="41135812" w14:textId="77777777" w:rsidR="0002415A" w:rsidRPr="00E25DAB" w:rsidRDefault="0002415A" w:rsidP="0002415A">
      <w:pPr>
        <w:spacing w:after="0" w:line="240" w:lineRule="auto"/>
        <w:ind w:firstLine="540"/>
        <w:jc w:val="center"/>
        <w:rPr>
          <w:rFonts w:ascii="Calibri" w:hAnsi="Calibri" w:cs="Calibri"/>
          <w:b/>
        </w:rPr>
      </w:pPr>
    </w:p>
    <w:p w14:paraId="1E2675B2" w14:textId="21C00F1F" w:rsidR="0002415A" w:rsidRPr="00E25DAB" w:rsidRDefault="00BB0D3B" w:rsidP="0002415A">
      <w:pPr>
        <w:spacing w:after="0" w:line="240" w:lineRule="auto"/>
        <w:ind w:firstLine="567"/>
        <w:jc w:val="both"/>
        <w:rPr>
          <w:rFonts w:ascii="Calibri" w:hAnsi="Calibri" w:cs="Calibri"/>
        </w:rPr>
      </w:pPr>
      <w:r w:rsidRPr="00E25DAB">
        <w:rPr>
          <w:rFonts w:ascii="Calibri" w:hAnsi="Calibri" w:cs="Calibri"/>
        </w:rPr>
        <w:t>Pareiškėjo</w:t>
      </w:r>
      <w:r w:rsidR="0002415A" w:rsidRPr="00E25DAB">
        <w:rPr>
          <w:rFonts w:ascii="Calibri" w:hAnsi="Calibri" w:cs="Calibri"/>
        </w:rPr>
        <w:t xml:space="preserve">s </w:t>
      </w:r>
      <w:r w:rsidRPr="00E25DAB">
        <w:rPr>
          <w:rFonts w:ascii="Calibri" w:hAnsi="Calibri" w:cs="Calibri"/>
        </w:rPr>
        <w:t xml:space="preserve">yra motinos, kurios </w:t>
      </w:r>
      <w:r w:rsidR="005A40A2">
        <w:rPr>
          <w:rFonts w:ascii="Calibri" w:hAnsi="Calibri" w:cs="Calibri"/>
        </w:rPr>
        <w:t>gimdė</w:t>
      </w:r>
      <w:r w:rsidR="0002415A" w:rsidRPr="00E25DAB">
        <w:rPr>
          <w:rFonts w:ascii="Calibri" w:hAnsi="Calibri" w:cs="Calibri"/>
        </w:rPr>
        <w:t xml:space="preserve"> namuose su </w:t>
      </w:r>
      <w:r w:rsidRPr="00E25DAB">
        <w:rPr>
          <w:rFonts w:ascii="Calibri" w:hAnsi="Calibri" w:cs="Calibri"/>
        </w:rPr>
        <w:t>gimdyvės padėjėjos (angl. „</w:t>
      </w:r>
      <w:r w:rsidRPr="00E25DAB">
        <w:rPr>
          <w:rFonts w:ascii="Calibri" w:hAnsi="Calibri" w:cs="Calibri"/>
          <w:i/>
        </w:rPr>
        <w:t>doula</w:t>
      </w:r>
      <w:r w:rsidRPr="00E25DAB">
        <w:rPr>
          <w:rFonts w:ascii="Calibri" w:hAnsi="Calibri" w:cs="Calibri"/>
        </w:rPr>
        <w:t>“)</w:t>
      </w:r>
      <w:r w:rsidR="0002415A" w:rsidRPr="00E25DAB">
        <w:rPr>
          <w:rFonts w:ascii="Calibri" w:hAnsi="Calibri" w:cs="Calibri"/>
        </w:rPr>
        <w:t xml:space="preserve"> pagalba. Pareiškėjų tvirtinimu, jų gimdymai namuose įvyko be komplikacijų. Dėl to, kad priėmė gimdymus namuose, </w:t>
      </w:r>
      <w:r w:rsidRPr="00E25DAB">
        <w:rPr>
          <w:rFonts w:ascii="Calibri" w:hAnsi="Calibri" w:cs="Calibri"/>
        </w:rPr>
        <w:t xml:space="preserve">gimdyvių padėjėjai </w:t>
      </w:r>
      <w:r w:rsidR="0002415A" w:rsidRPr="00E25DAB">
        <w:rPr>
          <w:rFonts w:ascii="Calibri" w:hAnsi="Calibri" w:cs="Calibri"/>
        </w:rPr>
        <w:t xml:space="preserve">J. I. Š. buvo pateikti baudžiamieji kaltinimai. Po kaltinimų pareiškimo trys iš keturių pareiškėjų </w:t>
      </w:r>
      <w:r w:rsidRPr="00E25DAB">
        <w:rPr>
          <w:rFonts w:ascii="Calibri" w:hAnsi="Calibri" w:cs="Calibri"/>
        </w:rPr>
        <w:t>2012 </w:t>
      </w:r>
      <w:r w:rsidR="0002415A" w:rsidRPr="00E25DAB">
        <w:rPr>
          <w:rFonts w:ascii="Calibri" w:hAnsi="Calibri" w:cs="Calibri"/>
        </w:rPr>
        <w:t>metais paprašė vietinių gydymo įstaigų suteikti joms medicininę pagalbą gimd</w:t>
      </w:r>
      <w:r w:rsidR="00C732D6">
        <w:rPr>
          <w:rFonts w:ascii="Calibri" w:hAnsi="Calibri" w:cs="Calibri"/>
        </w:rPr>
        <w:t>ant</w:t>
      </w:r>
      <w:r w:rsidRPr="00E25DAB">
        <w:rPr>
          <w:rFonts w:ascii="Calibri" w:hAnsi="Calibri" w:cs="Calibri"/>
        </w:rPr>
        <w:t xml:space="preserve"> namuose</w:t>
      </w:r>
      <w:r w:rsidR="0002415A" w:rsidRPr="00E25DAB">
        <w:rPr>
          <w:rFonts w:ascii="Calibri" w:hAnsi="Calibri" w:cs="Calibri"/>
        </w:rPr>
        <w:t>. Gydymo įstaigos atsisakė, kadangi tokios pagalbos teikimą draudė aktuali nacionalinė teisė.</w:t>
      </w:r>
    </w:p>
    <w:p w14:paraId="447DE842" w14:textId="09078153" w:rsidR="0002415A" w:rsidRPr="00E25DAB" w:rsidRDefault="0002415A" w:rsidP="0002415A">
      <w:pPr>
        <w:spacing w:after="0" w:line="240" w:lineRule="auto"/>
        <w:ind w:firstLine="567"/>
        <w:jc w:val="both"/>
        <w:rPr>
          <w:rFonts w:ascii="Calibri" w:hAnsi="Calibri" w:cs="Calibri"/>
        </w:rPr>
      </w:pPr>
      <w:r w:rsidRPr="00E25DAB">
        <w:rPr>
          <w:rFonts w:ascii="Calibri" w:hAnsi="Calibri" w:cs="Calibri"/>
        </w:rPr>
        <w:t>Trys pareiškėjos kreipėsi į sveikatos apsaugos ministeriją su prašymu pakeisti teisės aktus, kad medicinos personalui būtų leidžiama padėti namuose gimdančioms moterims. Ministerija atsakė, kad nėra planuojama keisti galiojanči</w:t>
      </w:r>
      <w:r w:rsidR="004C59FE">
        <w:rPr>
          <w:rFonts w:ascii="Calibri" w:hAnsi="Calibri" w:cs="Calibri"/>
        </w:rPr>
        <w:t>ų</w:t>
      </w:r>
      <w:r w:rsidRPr="00E25DAB">
        <w:rPr>
          <w:rFonts w:ascii="Calibri" w:hAnsi="Calibri" w:cs="Calibri"/>
        </w:rPr>
        <w:t xml:space="preserve"> teisės akt</w:t>
      </w:r>
      <w:r w:rsidR="004C59FE">
        <w:rPr>
          <w:rFonts w:ascii="Calibri" w:hAnsi="Calibri" w:cs="Calibri"/>
        </w:rPr>
        <w:t>ų</w:t>
      </w:r>
      <w:r w:rsidRPr="00E25DAB">
        <w:rPr>
          <w:rFonts w:ascii="Calibri" w:hAnsi="Calibri" w:cs="Calibri"/>
        </w:rPr>
        <w:t xml:space="preserve"> ar priimti naujų, kuriais būtų sureguliuojamas </w:t>
      </w:r>
      <w:r w:rsidR="00BB0D3B" w:rsidRPr="00E25DAB">
        <w:rPr>
          <w:rFonts w:ascii="Calibri" w:hAnsi="Calibri" w:cs="Calibri"/>
        </w:rPr>
        <w:t xml:space="preserve">gimdyvių padėjėjų </w:t>
      </w:r>
      <w:r w:rsidRPr="00E25DAB">
        <w:rPr>
          <w:rFonts w:ascii="Calibri" w:hAnsi="Calibri" w:cs="Calibri"/>
        </w:rPr>
        <w:t xml:space="preserve">paslaugų teikimas namuose. Ministerija taip pat nurodė, kad gimdyti gimdymo namuose yra saugiausia ir pareiškėjos turėtų </w:t>
      </w:r>
      <w:r w:rsidR="00BB0D3B" w:rsidRPr="00E25DAB">
        <w:rPr>
          <w:rFonts w:ascii="Calibri" w:hAnsi="Calibri" w:cs="Calibri"/>
        </w:rPr>
        <w:t>juos</w:t>
      </w:r>
      <w:r w:rsidRPr="00E25DAB">
        <w:rPr>
          <w:rFonts w:ascii="Calibri" w:hAnsi="Calibri" w:cs="Calibri"/>
        </w:rPr>
        <w:t xml:space="preserve"> </w:t>
      </w:r>
      <w:r w:rsidR="004C59FE">
        <w:rPr>
          <w:rFonts w:ascii="Calibri" w:hAnsi="Calibri" w:cs="Calibri"/>
        </w:rPr>
        <w:t>pasirinkti</w:t>
      </w:r>
      <w:r w:rsidRPr="00E25DAB">
        <w:rPr>
          <w:rFonts w:ascii="Calibri" w:hAnsi="Calibri" w:cs="Calibri"/>
        </w:rPr>
        <w:t xml:space="preserve">, </w:t>
      </w:r>
      <w:r w:rsidR="004C59FE">
        <w:rPr>
          <w:rFonts w:ascii="Calibri" w:hAnsi="Calibri" w:cs="Calibri"/>
        </w:rPr>
        <w:t xml:space="preserve">kaip </w:t>
      </w:r>
      <w:r w:rsidRPr="00E25DAB">
        <w:rPr>
          <w:rFonts w:ascii="Calibri" w:hAnsi="Calibri" w:cs="Calibri"/>
        </w:rPr>
        <w:t>labiausiai atitinkanči</w:t>
      </w:r>
      <w:r w:rsidR="00BB0D3B" w:rsidRPr="00E25DAB">
        <w:rPr>
          <w:rFonts w:ascii="Calibri" w:hAnsi="Calibri" w:cs="Calibri"/>
        </w:rPr>
        <w:t>us</w:t>
      </w:r>
      <w:r w:rsidRPr="00E25DAB">
        <w:rPr>
          <w:rFonts w:ascii="Calibri" w:hAnsi="Calibri" w:cs="Calibri"/>
        </w:rPr>
        <w:t xml:space="preserve"> jų poreikius.</w:t>
      </w:r>
    </w:p>
    <w:p w14:paraId="2D440777" w14:textId="0BB53782" w:rsidR="0002415A" w:rsidRPr="00E25DAB" w:rsidRDefault="0002415A" w:rsidP="0002415A">
      <w:pPr>
        <w:spacing w:after="0" w:line="240" w:lineRule="auto"/>
        <w:ind w:firstLine="567"/>
        <w:jc w:val="both"/>
        <w:rPr>
          <w:rFonts w:ascii="Calibri" w:hAnsi="Calibri" w:cs="Calibri"/>
        </w:rPr>
      </w:pPr>
      <w:r w:rsidRPr="00E25DAB">
        <w:rPr>
          <w:rFonts w:ascii="Calibri" w:hAnsi="Calibri" w:cs="Calibri"/>
        </w:rPr>
        <w:t>Viena iš pareiškėjų nesėkmingai apskundė ministerijos atsakymą administraciniams teismams. 2012 m. Lietuvos vyriausiasis administracinis teismas atmetė jos skundą, kuri</w:t>
      </w:r>
      <w:r w:rsidR="004C59FE">
        <w:rPr>
          <w:rFonts w:ascii="Calibri" w:hAnsi="Calibri" w:cs="Calibri"/>
        </w:rPr>
        <w:t>ame</w:t>
      </w:r>
      <w:r w:rsidRPr="00E25DAB">
        <w:rPr>
          <w:rFonts w:ascii="Calibri" w:hAnsi="Calibri" w:cs="Calibri"/>
        </w:rPr>
        <w:t xml:space="preserve"> pareiškėja tvirtino, kad teisinio reguliavimo nebuvimas dėl pagalbos teikimo gimdymams namuose pažeidė jos teisę į privatumą; priešingai – nacionalinė teisė užtikrin</w:t>
      </w:r>
      <w:r w:rsidR="004C59FE">
        <w:rPr>
          <w:rFonts w:ascii="Calibri" w:hAnsi="Calibri" w:cs="Calibri"/>
        </w:rPr>
        <w:t>o</w:t>
      </w:r>
      <w:r w:rsidRPr="00E25DAB">
        <w:rPr>
          <w:rFonts w:ascii="Calibri" w:hAnsi="Calibri" w:cs="Calibri"/>
        </w:rPr>
        <w:t xml:space="preserve"> galimybę pasirinkti tinkamiausią sveikatos paslaugų įstaigą ir jos pageidavimams dėl teisės į privatumą įgyvendinimo negalėj</w:t>
      </w:r>
      <w:r w:rsidR="00BB0D3B" w:rsidRPr="00E25DAB">
        <w:rPr>
          <w:rFonts w:ascii="Calibri" w:hAnsi="Calibri" w:cs="Calibri"/>
        </w:rPr>
        <w:t>o būti teikiama aukštesnė vertė,</w:t>
      </w:r>
      <w:r w:rsidRPr="00E25DAB">
        <w:rPr>
          <w:rFonts w:ascii="Calibri" w:hAnsi="Calibri" w:cs="Calibri"/>
        </w:rPr>
        <w:t xml:space="preserve"> negu motinos ir vaiko sveikatai.</w:t>
      </w:r>
    </w:p>
    <w:p w14:paraId="25DF31C1" w14:textId="77777777" w:rsidR="0002415A" w:rsidRPr="00E25DAB" w:rsidRDefault="0002415A" w:rsidP="0002415A">
      <w:pPr>
        <w:spacing w:after="0" w:line="240" w:lineRule="auto"/>
        <w:ind w:firstLine="567"/>
        <w:jc w:val="both"/>
        <w:rPr>
          <w:rFonts w:ascii="Calibri" w:hAnsi="Calibri" w:cs="Calibri"/>
        </w:rPr>
      </w:pPr>
    </w:p>
    <w:p w14:paraId="7E848490" w14:textId="77777777" w:rsidR="0002415A" w:rsidRPr="00E25DAB" w:rsidRDefault="0002415A" w:rsidP="0002415A">
      <w:pPr>
        <w:spacing w:after="0" w:line="240" w:lineRule="auto"/>
        <w:jc w:val="center"/>
        <w:rPr>
          <w:rFonts w:ascii="Calibri" w:hAnsi="Calibri" w:cs="Calibri"/>
        </w:rPr>
      </w:pPr>
      <w:r w:rsidRPr="00E25DAB">
        <w:rPr>
          <w:rFonts w:ascii="Calibri" w:hAnsi="Calibri" w:cs="Calibri"/>
          <w:b/>
        </w:rPr>
        <w:t>Neoficiali Teismo sprendimo apžvalga</w:t>
      </w:r>
    </w:p>
    <w:p w14:paraId="3CDE8525" w14:textId="77777777" w:rsidR="0002415A" w:rsidRPr="00E25DAB" w:rsidRDefault="0002415A" w:rsidP="0002415A">
      <w:pPr>
        <w:spacing w:after="0" w:line="240" w:lineRule="auto"/>
        <w:ind w:firstLine="567"/>
        <w:jc w:val="both"/>
        <w:rPr>
          <w:rFonts w:ascii="Calibri" w:hAnsi="Calibri" w:cs="Calibri"/>
        </w:rPr>
      </w:pPr>
    </w:p>
    <w:p w14:paraId="3FA6A798" w14:textId="421F1E17" w:rsidR="0002415A" w:rsidRPr="00E25DAB" w:rsidRDefault="0002415A" w:rsidP="0002415A">
      <w:pPr>
        <w:spacing w:after="0" w:line="240" w:lineRule="auto"/>
        <w:ind w:firstLine="567"/>
        <w:jc w:val="both"/>
        <w:rPr>
          <w:rFonts w:ascii="Calibri" w:eastAsia="Times New Roman" w:hAnsi="Calibri" w:cs="Calibri"/>
          <w:color w:val="000000"/>
          <w:lang w:eastAsia="lt-LT"/>
        </w:rPr>
      </w:pPr>
      <w:r w:rsidRPr="00E25DAB">
        <w:rPr>
          <w:rFonts w:ascii="Calibri" w:eastAsia="Times New Roman" w:hAnsi="Calibri" w:cs="Calibri"/>
          <w:color w:val="000000"/>
          <w:lang w:eastAsia="lt-LT"/>
        </w:rPr>
        <w:t>Teismas šioje byloje nustatė, kad pareiškėjos buvo atsidūrusios padėtyje, kuri turėjo rimtos įtakos jų laisvei pasirinkti: jos privalėjo arba gimdyti ligoninėje, arba, jeigu norėjo gimdyti namuose, turėjo tai daryti be sveikatos priežiūros specialisto pagalbos. Teismas tai įvertino kaip pakankamą trikdį, kuris laikytinas įsiterpimu į privataus gyvenimo gerbimą.</w:t>
      </w:r>
    </w:p>
    <w:p w14:paraId="7778532C" w14:textId="5A070FCD" w:rsidR="0002415A" w:rsidRPr="00E25DAB" w:rsidRDefault="0002415A" w:rsidP="0002415A">
      <w:pPr>
        <w:spacing w:after="0" w:line="240" w:lineRule="auto"/>
        <w:ind w:firstLine="567"/>
        <w:jc w:val="both"/>
        <w:rPr>
          <w:rFonts w:ascii="Calibri" w:eastAsia="Times New Roman" w:hAnsi="Calibri" w:cs="Calibri"/>
          <w:color w:val="000000"/>
          <w:lang w:eastAsia="lt-LT"/>
        </w:rPr>
      </w:pPr>
      <w:r w:rsidRPr="00E25DAB">
        <w:rPr>
          <w:rFonts w:ascii="Calibri" w:eastAsia="Times New Roman" w:hAnsi="Calibri" w:cs="Calibri"/>
          <w:color w:val="000000"/>
          <w:lang w:eastAsia="lt-LT"/>
        </w:rPr>
        <w:t xml:space="preserve">Šis įsiterpimas pripažintas įvykdytu vadovaujantis teise. Nacionalinė teisė ne tik buvo pasiekiama, bet ir eksplicitiškai bei aiškiai reguliavo klausimą, kas leido pareiškėjoms matyti, kad profesionaliai asistuojami gimdymai namuose nebuvo leidžiami. Draudimas taip pat buvo patvirtintas </w:t>
      </w:r>
      <w:r w:rsidR="00BB0D3B" w:rsidRPr="00E25DAB">
        <w:rPr>
          <w:rFonts w:ascii="Calibri" w:eastAsia="Times New Roman" w:hAnsi="Calibri" w:cs="Calibri"/>
          <w:color w:val="000000"/>
          <w:lang w:eastAsia="lt-LT"/>
        </w:rPr>
        <w:t xml:space="preserve">ligoninių </w:t>
      </w:r>
      <w:r w:rsidRPr="00E25DAB">
        <w:rPr>
          <w:rFonts w:ascii="Calibri" w:eastAsia="Times New Roman" w:hAnsi="Calibri" w:cs="Calibri"/>
          <w:color w:val="000000"/>
          <w:lang w:eastAsia="lt-LT"/>
        </w:rPr>
        <w:t>laiškuose, kuriuos pareiškėjos gavo, kol kai kurios iš jų dar laukėsi naujagimių.</w:t>
      </w:r>
    </w:p>
    <w:p w14:paraId="5E1BC0D5" w14:textId="7534BCB7" w:rsidR="0002415A" w:rsidRPr="00E25DAB" w:rsidRDefault="0002415A" w:rsidP="0002415A">
      <w:pPr>
        <w:spacing w:after="0" w:line="240" w:lineRule="auto"/>
        <w:ind w:firstLine="567"/>
        <w:jc w:val="both"/>
        <w:rPr>
          <w:rFonts w:ascii="Calibri" w:eastAsia="Times New Roman" w:hAnsi="Calibri" w:cs="Calibri"/>
          <w:color w:val="000000"/>
          <w:lang w:eastAsia="lt-LT"/>
        </w:rPr>
      </w:pPr>
      <w:r w:rsidRPr="00E25DAB">
        <w:rPr>
          <w:rFonts w:ascii="Calibri" w:eastAsia="Times New Roman" w:hAnsi="Calibri" w:cs="Calibri"/>
          <w:color w:val="000000"/>
          <w:lang w:eastAsia="lt-LT"/>
        </w:rPr>
        <w:t>Priešingai, nei teigė pareiškėjos, ginčyta nacionalinė teisė ir praktika buvo skirta siekti teisėto tikslo – ginti motinų ir naujagimių sveikatą paties gimdymo metu ir jam pasibaigus. Atitinkamai, įsiterpimas į asmens teisę pasitarnavo tikslui ginti kitų asmenų sveikatą ir teises, kaip tai numatyta Konvencijos 8 straipsni</w:t>
      </w:r>
      <w:r w:rsidR="00C9621D" w:rsidRPr="00E25DAB">
        <w:rPr>
          <w:rFonts w:ascii="Calibri" w:eastAsia="Times New Roman" w:hAnsi="Calibri" w:cs="Calibri"/>
          <w:color w:val="000000"/>
          <w:lang w:eastAsia="lt-LT"/>
        </w:rPr>
        <w:t>o 2 </w:t>
      </w:r>
      <w:r w:rsidRPr="00E25DAB">
        <w:rPr>
          <w:rFonts w:ascii="Calibri" w:eastAsia="Times New Roman" w:hAnsi="Calibri" w:cs="Calibri"/>
          <w:color w:val="000000"/>
          <w:lang w:eastAsia="lt-LT"/>
        </w:rPr>
        <w:t>dalyje.</w:t>
      </w:r>
    </w:p>
    <w:p w14:paraId="69C1A356" w14:textId="12AA6076" w:rsidR="0002415A" w:rsidRPr="00E25DAB" w:rsidRDefault="00C9621D" w:rsidP="0002415A">
      <w:pPr>
        <w:spacing w:after="0" w:line="240" w:lineRule="auto"/>
        <w:ind w:firstLine="567"/>
        <w:jc w:val="both"/>
        <w:rPr>
          <w:rFonts w:ascii="Calibri" w:eastAsia="Times New Roman" w:hAnsi="Calibri" w:cs="Calibri"/>
          <w:color w:val="000000"/>
          <w:lang w:eastAsia="lt-LT"/>
        </w:rPr>
      </w:pPr>
      <w:r w:rsidRPr="00E25DAB">
        <w:rPr>
          <w:rFonts w:ascii="Calibri" w:eastAsia="Times New Roman" w:hAnsi="Calibri" w:cs="Calibri"/>
          <w:color w:val="000000"/>
          <w:lang w:eastAsia="lt-LT"/>
        </w:rPr>
        <w:t>Vertindamas</w:t>
      </w:r>
      <w:r w:rsidR="0002415A" w:rsidRPr="00E25DAB">
        <w:rPr>
          <w:rFonts w:ascii="Calibri" w:eastAsia="Times New Roman" w:hAnsi="Calibri" w:cs="Calibri"/>
          <w:color w:val="000000"/>
          <w:lang w:eastAsia="lt-LT"/>
        </w:rPr>
        <w:t>, ar įsiterpimas buvo būtinas demokratinėje visuomenėje, Teismas iškėlė klausimą, ar ginčytu draudimu Lietuvos sveikatos apsaugos sistema pasirinko teisingą pusiausvyrą tarp pareiškėjų teisės į privataus gyvenimo gerbimą ir valstybės intereso ginti motinų ir naujagimių sveikatą. Teismas pasisakė, kad nors kai kurioms gimdyvėms gimdymas namuose ir gali būti malonesnė patirtis, negu gimdymas ligoninėje, tačiau pastarasis dėl objektyvių ir pamatuojamų priežasčių suteikė didesnį saugumą – gimdymas ligoninėje geriausiai užtikrino motin</w:t>
      </w:r>
      <w:r w:rsidR="004C59FE">
        <w:rPr>
          <w:rFonts w:ascii="Calibri" w:eastAsia="Times New Roman" w:hAnsi="Calibri" w:cs="Calibri"/>
          <w:color w:val="000000"/>
          <w:lang w:eastAsia="lt-LT"/>
        </w:rPr>
        <w:t>ų</w:t>
      </w:r>
      <w:r w:rsidR="0002415A" w:rsidRPr="00E25DAB">
        <w:rPr>
          <w:rFonts w:ascii="Calibri" w:eastAsia="Times New Roman" w:hAnsi="Calibri" w:cs="Calibri"/>
          <w:color w:val="000000"/>
          <w:lang w:eastAsia="lt-LT"/>
        </w:rPr>
        <w:t xml:space="preserve"> ir naujagimių sveikatos ir gyvybės apsaugą.</w:t>
      </w:r>
    </w:p>
    <w:p w14:paraId="0BC3E6A6" w14:textId="120E4786" w:rsidR="00BA2729" w:rsidRPr="00E25DAB" w:rsidRDefault="0002415A" w:rsidP="0002415A">
      <w:pPr>
        <w:spacing w:after="0" w:line="240" w:lineRule="auto"/>
        <w:ind w:firstLine="567"/>
        <w:jc w:val="both"/>
        <w:rPr>
          <w:rFonts w:ascii="Calibri" w:eastAsia="Times New Roman" w:hAnsi="Calibri" w:cs="Calibri"/>
          <w:color w:val="000000"/>
          <w:lang w:eastAsia="lt-LT"/>
        </w:rPr>
      </w:pPr>
      <w:r w:rsidRPr="00E25DAB">
        <w:rPr>
          <w:rFonts w:ascii="Calibri" w:eastAsia="Times New Roman" w:hAnsi="Calibri" w:cs="Calibri"/>
          <w:color w:val="000000"/>
          <w:lang w:eastAsia="lt-LT"/>
        </w:rPr>
        <w:t>Įvertinęs Lietuvos viešosios sveikatos sistemos tobulinimą pastaruoju metu bei duomenų apie gimdymo sveikatos priežiūros įstaigose didesnį saugumą</w:t>
      </w:r>
      <w:r w:rsidR="00C9621D" w:rsidRPr="00E25DAB">
        <w:rPr>
          <w:rFonts w:ascii="Calibri" w:eastAsia="Times New Roman" w:hAnsi="Calibri" w:cs="Calibri"/>
          <w:color w:val="000000"/>
          <w:lang w:eastAsia="lt-LT"/>
        </w:rPr>
        <w:t>,</w:t>
      </w:r>
      <w:r w:rsidRPr="00E25DAB">
        <w:rPr>
          <w:rFonts w:ascii="Calibri" w:eastAsia="Times New Roman" w:hAnsi="Calibri" w:cs="Calibri"/>
          <w:color w:val="000000"/>
          <w:lang w:eastAsia="lt-LT"/>
        </w:rPr>
        <w:t xml:space="preserve"> palyginus su gimdymais namuose, Teismas padarė </w:t>
      </w:r>
      <w:r w:rsidRPr="00E25DAB">
        <w:rPr>
          <w:rFonts w:ascii="Calibri" w:eastAsia="Times New Roman" w:hAnsi="Calibri" w:cs="Calibri"/>
          <w:color w:val="000000"/>
          <w:lang w:eastAsia="lt-LT"/>
        </w:rPr>
        <w:lastRenderedPageBreak/>
        <w:t xml:space="preserve">išvadą, kad neįteisindamas gimdymo namuose įstatymų leidėjas neperžengė valstybės vertinimo ribų, kurias leidžia Konvencija, taigi, nors Konvencija tokio įteisinimo nedraudžia, bet kartu ir nereikalauja jo </w:t>
      </w:r>
      <w:r w:rsidR="00C9621D" w:rsidRPr="00E25DAB">
        <w:rPr>
          <w:rFonts w:ascii="Calibri" w:eastAsia="Times New Roman" w:hAnsi="Calibri" w:cs="Calibri"/>
          <w:color w:val="000000"/>
          <w:lang w:eastAsia="lt-LT"/>
        </w:rPr>
        <w:t>atlikti</w:t>
      </w:r>
      <w:r w:rsidRPr="00E25DAB">
        <w:rPr>
          <w:rFonts w:ascii="Calibri" w:eastAsia="Times New Roman" w:hAnsi="Calibri" w:cs="Calibri"/>
          <w:color w:val="000000"/>
          <w:lang w:eastAsia="lt-LT"/>
        </w:rPr>
        <w:t xml:space="preserve">. </w:t>
      </w:r>
    </w:p>
    <w:p w14:paraId="01E2171C" w14:textId="77777777" w:rsidR="00BA2729" w:rsidRPr="00E25DAB" w:rsidRDefault="00BA2729" w:rsidP="0002415A">
      <w:pPr>
        <w:spacing w:after="0" w:line="240" w:lineRule="auto"/>
        <w:ind w:firstLine="567"/>
        <w:jc w:val="both"/>
        <w:rPr>
          <w:rFonts w:ascii="Calibri" w:eastAsia="Times New Roman" w:hAnsi="Calibri" w:cs="Calibri"/>
          <w:color w:val="000000"/>
          <w:lang w:eastAsia="lt-LT"/>
        </w:rPr>
      </w:pPr>
    </w:p>
    <w:p w14:paraId="44A41307" w14:textId="7214CEF6" w:rsidR="0002415A" w:rsidRPr="00E25DAB" w:rsidRDefault="00BA2729" w:rsidP="0002415A">
      <w:pPr>
        <w:spacing w:after="0" w:line="240" w:lineRule="auto"/>
        <w:ind w:firstLine="567"/>
        <w:jc w:val="both"/>
        <w:rPr>
          <w:rFonts w:ascii="Calibri" w:eastAsia="Times New Roman" w:hAnsi="Calibri" w:cs="Calibri"/>
          <w:color w:val="000000"/>
          <w:lang w:eastAsia="lt-LT"/>
        </w:rPr>
      </w:pPr>
      <w:r w:rsidRPr="00E25DAB">
        <w:rPr>
          <w:rFonts w:ascii="Calibri" w:eastAsia="Times New Roman" w:hAnsi="Calibri" w:cs="Calibri"/>
          <w:color w:val="000000"/>
          <w:lang w:eastAsia="lt-LT"/>
        </w:rPr>
        <w:t xml:space="preserve">Išvada: </w:t>
      </w:r>
      <w:r w:rsidR="0002415A" w:rsidRPr="00E25DAB">
        <w:rPr>
          <w:rFonts w:ascii="Calibri" w:eastAsia="Times New Roman" w:hAnsi="Calibri" w:cs="Calibri"/>
          <w:color w:val="000000"/>
          <w:lang w:eastAsia="lt-LT"/>
        </w:rPr>
        <w:t xml:space="preserve">Teismas nenustatė Konvencijos </w:t>
      </w:r>
      <w:r w:rsidRPr="00E25DAB">
        <w:rPr>
          <w:rFonts w:ascii="Calibri" w:eastAsia="Times New Roman" w:hAnsi="Calibri" w:cs="Calibri"/>
          <w:color w:val="000000"/>
          <w:lang w:eastAsia="lt-LT"/>
        </w:rPr>
        <w:t xml:space="preserve">8 straipsnio </w:t>
      </w:r>
      <w:r w:rsidR="0002415A" w:rsidRPr="00E25DAB">
        <w:rPr>
          <w:rFonts w:ascii="Calibri" w:eastAsia="Times New Roman" w:hAnsi="Calibri" w:cs="Calibri"/>
          <w:color w:val="000000"/>
          <w:lang w:eastAsia="lt-LT"/>
        </w:rPr>
        <w:t>pažeidimo.</w:t>
      </w:r>
    </w:p>
    <w:p w14:paraId="2354B0E0" w14:textId="031249FC" w:rsidR="00BA2729" w:rsidRPr="00E25DAB" w:rsidRDefault="00BA2729" w:rsidP="0002415A">
      <w:pPr>
        <w:spacing w:after="0" w:line="240" w:lineRule="auto"/>
        <w:ind w:firstLine="567"/>
        <w:jc w:val="both"/>
        <w:rPr>
          <w:rStyle w:val="sfbbfee58"/>
          <w:rFonts w:ascii="Calibri" w:hAnsi="Calibri" w:cs="Calibri"/>
          <w:color w:val="000000"/>
        </w:rPr>
      </w:pPr>
      <w:r w:rsidRPr="00E25DAB">
        <w:rPr>
          <w:rFonts w:ascii="Calibri" w:eastAsia="Times New Roman" w:hAnsi="Calibri" w:cs="Calibri"/>
          <w:color w:val="000000"/>
          <w:lang w:eastAsia="lt-LT"/>
        </w:rPr>
        <w:t>(pateikta atskiroji nuomonė)</w:t>
      </w:r>
    </w:p>
    <w:p w14:paraId="657AC5E3" w14:textId="77777777" w:rsidR="0002415A" w:rsidRPr="00E25DAB" w:rsidRDefault="00907E3B" w:rsidP="0002415A">
      <w:pPr>
        <w:pStyle w:val="s6c429373"/>
        <w:shd w:val="clear" w:color="auto" w:fill="FFFFFF"/>
        <w:spacing w:before="0" w:beforeAutospacing="0" w:after="0" w:afterAutospacing="0"/>
        <w:ind w:firstLine="567"/>
        <w:jc w:val="both"/>
        <w:rPr>
          <w:rFonts w:ascii="Calibri" w:hAnsi="Calibri" w:cs="Calibri"/>
          <w:color w:val="000000"/>
          <w:sz w:val="22"/>
          <w:szCs w:val="22"/>
        </w:rPr>
      </w:pPr>
      <w:hyperlink r:id="rId21" w:history="1">
        <w:r w:rsidR="0002415A" w:rsidRPr="00E25DAB">
          <w:rPr>
            <w:rStyle w:val="Hipersaitas"/>
            <w:rFonts w:ascii="Calibri" w:hAnsi="Calibri" w:cs="Calibri"/>
            <w:sz w:val="22"/>
            <w:szCs w:val="22"/>
          </w:rPr>
          <w:t>Prieiga internete</w:t>
        </w:r>
      </w:hyperlink>
      <w:r w:rsidR="0002415A" w:rsidRPr="00E25DAB">
        <w:rPr>
          <w:rStyle w:val="sfbbfee58"/>
          <w:rFonts w:ascii="Calibri" w:hAnsi="Calibri" w:cs="Calibri"/>
          <w:color w:val="000000"/>
          <w:sz w:val="22"/>
          <w:szCs w:val="22"/>
        </w:rPr>
        <w:t xml:space="preserve"> </w:t>
      </w:r>
    </w:p>
    <w:p w14:paraId="5B925656" w14:textId="77777777" w:rsidR="0002415A" w:rsidRPr="00E25DAB" w:rsidRDefault="0002415A" w:rsidP="009A1B99">
      <w:pPr>
        <w:tabs>
          <w:tab w:val="left" w:pos="2610"/>
        </w:tabs>
        <w:spacing w:after="0" w:line="240" w:lineRule="auto"/>
        <w:jc w:val="center"/>
        <w:rPr>
          <w:rFonts w:ascii="Calibri" w:eastAsia="Calibri" w:hAnsi="Calibri" w:cs="Calibri"/>
          <w:b/>
        </w:rPr>
      </w:pPr>
    </w:p>
    <w:p w14:paraId="2687DC81" w14:textId="60B71597" w:rsidR="00E05E1E" w:rsidRPr="00E25DAB" w:rsidRDefault="00E05E1E" w:rsidP="009A1B99">
      <w:pPr>
        <w:spacing w:after="0" w:line="240" w:lineRule="auto"/>
        <w:jc w:val="center"/>
        <w:rPr>
          <w:rFonts w:ascii="Calibri" w:hAnsi="Calibri" w:cs="Calibri"/>
          <w:b/>
        </w:rPr>
      </w:pPr>
      <w:r w:rsidRPr="00E25DAB">
        <w:rPr>
          <w:rFonts w:ascii="Calibri" w:hAnsi="Calibri" w:cs="Calibri"/>
          <w:b/>
        </w:rPr>
        <w:t>Europos Žmogaus Teisių Teismo</w:t>
      </w:r>
      <w:r w:rsidR="000B0DBB" w:rsidRPr="00E25DAB">
        <w:rPr>
          <w:rFonts w:ascii="Calibri" w:hAnsi="Calibri" w:cs="Calibri"/>
          <w:b/>
        </w:rPr>
        <w:t xml:space="preserve"> 2019</w:t>
      </w:r>
      <w:r w:rsidRPr="00E25DAB">
        <w:rPr>
          <w:rFonts w:ascii="Calibri" w:hAnsi="Calibri" w:cs="Calibri"/>
          <w:b/>
        </w:rPr>
        <w:t xml:space="preserve"> m. </w:t>
      </w:r>
      <w:r w:rsidR="000B0DBB" w:rsidRPr="00E25DAB">
        <w:rPr>
          <w:rFonts w:ascii="Calibri" w:hAnsi="Calibri" w:cs="Calibri"/>
          <w:b/>
        </w:rPr>
        <w:t>birželio</w:t>
      </w:r>
      <w:r w:rsidRPr="00E25DAB">
        <w:rPr>
          <w:rFonts w:ascii="Calibri" w:hAnsi="Calibri" w:cs="Calibri"/>
          <w:b/>
        </w:rPr>
        <w:t xml:space="preserve"> </w:t>
      </w:r>
      <w:r w:rsidR="000B0DBB" w:rsidRPr="00E25DAB">
        <w:rPr>
          <w:rFonts w:ascii="Calibri" w:hAnsi="Calibri" w:cs="Calibri"/>
          <w:b/>
        </w:rPr>
        <w:t>25</w:t>
      </w:r>
      <w:r w:rsidRPr="00E25DAB">
        <w:rPr>
          <w:rFonts w:ascii="Calibri" w:hAnsi="Calibri" w:cs="Calibri"/>
          <w:b/>
        </w:rPr>
        <w:t xml:space="preserve"> d. sprendimas byloje</w:t>
      </w:r>
    </w:p>
    <w:p w14:paraId="4522FC22" w14:textId="1FB3C3E6" w:rsidR="00E05E1E" w:rsidRPr="00E25DAB" w:rsidRDefault="000B0DBB" w:rsidP="009A1B99">
      <w:pPr>
        <w:pStyle w:val="Antrat2"/>
        <w:ind w:firstLine="0"/>
        <w:jc w:val="center"/>
        <w:rPr>
          <w:rFonts w:ascii="Calibri" w:eastAsia="Calibri" w:hAnsi="Calibri" w:cs="Calibri"/>
          <w:i/>
        </w:rPr>
      </w:pPr>
      <w:bookmarkStart w:id="47" w:name="_Toc19877706"/>
      <w:r w:rsidRPr="00E25DAB">
        <w:rPr>
          <w:rFonts w:ascii="Calibri" w:eastAsia="Calibri" w:hAnsi="Calibri" w:cs="Calibri"/>
          <w:i/>
        </w:rPr>
        <w:t xml:space="preserve">En l’affaire Aktaş </w:t>
      </w:r>
      <w:r w:rsidR="00F26CBF" w:rsidRPr="00E25DAB">
        <w:rPr>
          <w:rFonts w:ascii="Calibri" w:eastAsia="Calibri" w:hAnsi="Calibri" w:cs="Calibri"/>
          <w:i/>
        </w:rPr>
        <w:t>ir</w:t>
      </w:r>
      <w:r w:rsidRPr="00E25DAB">
        <w:rPr>
          <w:rFonts w:ascii="Calibri" w:eastAsia="Calibri" w:hAnsi="Calibri" w:cs="Calibri"/>
          <w:i/>
        </w:rPr>
        <w:t xml:space="preserve"> Aslaniskender </w:t>
      </w:r>
      <w:r w:rsidR="00E05E1E" w:rsidRPr="00E25DAB">
        <w:rPr>
          <w:rFonts w:ascii="Calibri" w:eastAsia="Calibri" w:hAnsi="Calibri" w:cs="Calibri"/>
          <w:i/>
        </w:rPr>
        <w:t>prieš</w:t>
      </w:r>
      <w:r w:rsidRPr="00E25DAB">
        <w:rPr>
          <w:rFonts w:ascii="Calibri" w:eastAsia="Calibri" w:hAnsi="Calibri" w:cs="Calibri"/>
          <w:i/>
        </w:rPr>
        <w:t xml:space="preserve"> Turkiją</w:t>
      </w:r>
      <w:bookmarkEnd w:id="47"/>
    </w:p>
    <w:p w14:paraId="6A2F71D3" w14:textId="77777777" w:rsidR="00E05E1E" w:rsidRPr="00E25DAB" w:rsidRDefault="00E05E1E" w:rsidP="009A1B99">
      <w:pPr>
        <w:spacing w:after="0" w:line="240" w:lineRule="auto"/>
        <w:jc w:val="center"/>
        <w:rPr>
          <w:rFonts w:ascii="Calibri" w:hAnsi="Calibri" w:cs="Calibri"/>
          <w:b/>
        </w:rPr>
      </w:pPr>
      <w:r w:rsidRPr="00E25DAB">
        <w:rPr>
          <w:rFonts w:ascii="Calibri" w:hAnsi="Calibri" w:cs="Calibri"/>
          <w:b/>
        </w:rPr>
        <w:t xml:space="preserve">(pareiškimų Nr. </w:t>
      </w:r>
      <w:hyperlink r:id="rId22" w:anchor="{&quot;appno&quot;:[&quot;58170/13&quot;]}" w:tgtFrame="_blank" w:history="1">
        <w:r w:rsidRPr="00E25DAB">
          <w:rPr>
            <w:rFonts w:ascii="Calibri" w:hAnsi="Calibri" w:cs="Calibri"/>
            <w:b/>
          </w:rPr>
          <w:t>58170/13</w:t>
        </w:r>
      </w:hyperlink>
      <w:r w:rsidRPr="00E25DAB">
        <w:rPr>
          <w:rFonts w:ascii="Calibri" w:hAnsi="Calibri" w:cs="Calibri"/>
          <w:b/>
        </w:rPr>
        <w:t xml:space="preserve">, </w:t>
      </w:r>
      <w:hyperlink r:id="rId23" w:anchor="{&quot;appno&quot;:[&quot;62322/14&quot;]}" w:tgtFrame="_blank" w:history="1">
        <w:r w:rsidRPr="00E25DAB">
          <w:rPr>
            <w:rFonts w:ascii="Calibri" w:hAnsi="Calibri" w:cs="Calibri"/>
            <w:b/>
          </w:rPr>
          <w:t>62322/14</w:t>
        </w:r>
      </w:hyperlink>
      <w:r w:rsidRPr="00E25DAB">
        <w:rPr>
          <w:rFonts w:ascii="Calibri" w:hAnsi="Calibri" w:cs="Calibri"/>
          <w:b/>
        </w:rPr>
        <w:t xml:space="preserve"> ir </w:t>
      </w:r>
      <w:hyperlink r:id="rId24" w:anchor="{&quot;appno&quot;:[&quot;24960/15&quot;]}" w:tgtFrame="_blank" w:history="1">
        <w:r w:rsidRPr="00E25DAB">
          <w:rPr>
            <w:rFonts w:ascii="Calibri" w:hAnsi="Calibri" w:cs="Calibri"/>
            <w:b/>
          </w:rPr>
          <w:t>24960/15</w:t>
        </w:r>
      </w:hyperlink>
      <w:r w:rsidRPr="00E25DAB">
        <w:rPr>
          <w:rFonts w:ascii="Calibri" w:hAnsi="Calibri" w:cs="Calibri"/>
          <w:b/>
        </w:rPr>
        <w:t>, svarbos lygis – 2)</w:t>
      </w:r>
    </w:p>
    <w:p w14:paraId="392EA4D0" w14:textId="77777777" w:rsidR="00E05E1E" w:rsidRPr="00E25DAB" w:rsidRDefault="00E05E1E" w:rsidP="009A1B99">
      <w:pPr>
        <w:pStyle w:val="s6c429373"/>
        <w:shd w:val="clear" w:color="auto" w:fill="FFFFFF"/>
        <w:spacing w:before="0" w:beforeAutospacing="0" w:after="0" w:afterAutospacing="0"/>
        <w:ind w:firstLine="567"/>
        <w:jc w:val="both"/>
        <w:rPr>
          <w:rStyle w:val="sfbbfee58"/>
          <w:rFonts w:ascii="Calibri" w:hAnsi="Calibri" w:cs="Calibri"/>
          <w:i/>
          <w:color w:val="000000"/>
          <w:sz w:val="22"/>
          <w:szCs w:val="22"/>
        </w:rPr>
      </w:pPr>
    </w:p>
    <w:p w14:paraId="4D758E63" w14:textId="2E220CD9" w:rsidR="00E05E1E" w:rsidRPr="00E25DAB" w:rsidRDefault="00E05E1E" w:rsidP="009A1B99">
      <w:pPr>
        <w:pStyle w:val="Antrat3"/>
        <w:spacing w:before="0" w:line="240" w:lineRule="auto"/>
        <w:ind w:firstLine="567"/>
        <w:jc w:val="both"/>
        <w:rPr>
          <w:rStyle w:val="sfbbfee58"/>
          <w:rFonts w:ascii="Calibri" w:hAnsi="Calibri" w:cs="Calibri"/>
          <w:szCs w:val="22"/>
        </w:rPr>
      </w:pPr>
      <w:bookmarkStart w:id="48" w:name="_Toc19877707"/>
      <w:r w:rsidRPr="00E25DAB">
        <w:rPr>
          <w:rStyle w:val="sfbbfee58"/>
          <w:rFonts w:ascii="Calibri" w:hAnsi="Calibri" w:cs="Calibri"/>
          <w:szCs w:val="22"/>
        </w:rPr>
        <w:t xml:space="preserve">Dėl </w:t>
      </w:r>
      <w:r w:rsidR="000B0DBB" w:rsidRPr="00E25DAB">
        <w:rPr>
          <w:rStyle w:val="sfbbfee58"/>
          <w:rFonts w:ascii="Calibri" w:hAnsi="Calibri" w:cs="Calibri"/>
          <w:szCs w:val="22"/>
        </w:rPr>
        <w:t>atsisakymo pakeisti pavardę vien dėl to, jog nauja pageidaujama pavardė nėra turkiška</w:t>
      </w:r>
      <w:bookmarkEnd w:id="48"/>
    </w:p>
    <w:p w14:paraId="11159FCA" w14:textId="77777777" w:rsidR="00AE29DF" w:rsidRPr="00E25DAB" w:rsidRDefault="00AE29DF" w:rsidP="00AE29DF">
      <w:pPr>
        <w:spacing w:after="0" w:line="240" w:lineRule="auto"/>
        <w:rPr>
          <w:rFonts w:ascii="Calibri" w:eastAsia="Times New Roman" w:hAnsi="Calibri" w:cs="Calibri"/>
          <w:i/>
          <w:color w:val="000000"/>
          <w:lang w:eastAsia="lt-LT"/>
        </w:rPr>
      </w:pPr>
    </w:p>
    <w:p w14:paraId="1864A4CF" w14:textId="77777777" w:rsidR="00E05E1E" w:rsidRPr="00E25DAB" w:rsidRDefault="00E05E1E" w:rsidP="00AE29DF">
      <w:pPr>
        <w:spacing w:after="0" w:line="240" w:lineRule="auto"/>
        <w:jc w:val="center"/>
        <w:rPr>
          <w:rFonts w:ascii="Calibri" w:hAnsi="Calibri" w:cs="Calibri"/>
          <w:b/>
        </w:rPr>
      </w:pPr>
      <w:r w:rsidRPr="00E25DAB">
        <w:rPr>
          <w:rFonts w:ascii="Calibri" w:hAnsi="Calibri" w:cs="Calibri"/>
          <w:b/>
        </w:rPr>
        <w:t>Faktinės aplinkybės</w:t>
      </w:r>
    </w:p>
    <w:p w14:paraId="6813518B" w14:textId="77777777" w:rsidR="00E05E1E" w:rsidRPr="00E25DAB" w:rsidRDefault="00E05E1E" w:rsidP="009A1B99">
      <w:pPr>
        <w:spacing w:after="0" w:line="240" w:lineRule="auto"/>
        <w:ind w:firstLine="567"/>
        <w:rPr>
          <w:rFonts w:ascii="Calibri" w:hAnsi="Calibri" w:cs="Calibri"/>
        </w:rPr>
      </w:pPr>
    </w:p>
    <w:p w14:paraId="15F52AAF" w14:textId="07B402E3" w:rsidR="00C43CA7" w:rsidRPr="00E25DAB" w:rsidRDefault="004955D1" w:rsidP="008F45BA">
      <w:pPr>
        <w:spacing w:after="0" w:line="240" w:lineRule="auto"/>
        <w:ind w:firstLine="567"/>
        <w:jc w:val="both"/>
        <w:rPr>
          <w:rStyle w:val="s1a844bc0"/>
          <w:rFonts w:ascii="Calibri" w:eastAsia="Times New Roman" w:hAnsi="Calibri" w:cs="Calibri"/>
          <w:iCs/>
          <w:color w:val="000000"/>
          <w:lang w:eastAsia="lt-LT"/>
        </w:rPr>
      </w:pPr>
      <w:r w:rsidRPr="00E25DAB">
        <w:rPr>
          <w:rStyle w:val="s1a844bc0"/>
          <w:rFonts w:ascii="Calibri" w:eastAsia="Times New Roman" w:hAnsi="Calibri" w:cs="Calibri"/>
          <w:iCs/>
          <w:color w:val="000000"/>
          <w:lang w:eastAsia="lt-LT"/>
        </w:rPr>
        <w:t>Pirmasis pareiškėjas, asirų etninės kilmės Turkijos pilietis, įgiję</w:t>
      </w:r>
      <w:r w:rsidR="004C59FE">
        <w:rPr>
          <w:rStyle w:val="s1a844bc0"/>
          <w:rFonts w:ascii="Calibri" w:eastAsia="Times New Roman" w:hAnsi="Calibri" w:cs="Calibri"/>
          <w:iCs/>
          <w:color w:val="000000"/>
          <w:lang w:eastAsia="lt-LT"/>
        </w:rPr>
        <w:t>s</w:t>
      </w:r>
      <w:r w:rsidRPr="00E25DAB">
        <w:rPr>
          <w:rStyle w:val="s1a844bc0"/>
          <w:rFonts w:ascii="Calibri" w:eastAsia="Times New Roman" w:hAnsi="Calibri" w:cs="Calibri"/>
          <w:iCs/>
          <w:color w:val="000000"/>
          <w:lang w:eastAsia="lt-LT"/>
        </w:rPr>
        <w:t xml:space="preserve"> Šveicarijos pilietybę, savo pavarde nurodė „Amno“ (asirų vardas)</w:t>
      </w:r>
      <w:r w:rsidR="00E05E1E" w:rsidRPr="00E25DAB">
        <w:rPr>
          <w:rStyle w:val="s1a844bc0"/>
          <w:rFonts w:ascii="Calibri" w:eastAsia="Times New Roman" w:hAnsi="Calibri" w:cs="Calibri"/>
          <w:iCs/>
          <w:color w:val="000000"/>
          <w:lang w:eastAsia="lt-LT"/>
        </w:rPr>
        <w:t xml:space="preserve">. </w:t>
      </w:r>
      <w:r w:rsidRPr="00E25DAB">
        <w:rPr>
          <w:rStyle w:val="s1a844bc0"/>
          <w:rFonts w:ascii="Calibri" w:eastAsia="Times New Roman" w:hAnsi="Calibri" w:cs="Calibri"/>
          <w:iCs/>
          <w:color w:val="000000"/>
          <w:lang w:eastAsia="lt-LT"/>
        </w:rPr>
        <w:t>Tuo vardu jam bu</w:t>
      </w:r>
      <w:r w:rsidR="00C001E2" w:rsidRPr="00E25DAB">
        <w:rPr>
          <w:rStyle w:val="s1a844bc0"/>
          <w:rFonts w:ascii="Calibri" w:eastAsia="Times New Roman" w:hAnsi="Calibri" w:cs="Calibri"/>
          <w:iCs/>
          <w:color w:val="000000"/>
          <w:lang w:eastAsia="lt-LT"/>
        </w:rPr>
        <w:t>vo išduotas Šveicarijos pasas. Tuomet j</w:t>
      </w:r>
      <w:r w:rsidRPr="00E25DAB">
        <w:rPr>
          <w:rStyle w:val="s1a844bc0"/>
          <w:rFonts w:ascii="Calibri" w:eastAsia="Times New Roman" w:hAnsi="Calibri" w:cs="Calibri"/>
          <w:iCs/>
          <w:color w:val="000000"/>
          <w:lang w:eastAsia="lt-LT"/>
        </w:rPr>
        <w:t xml:space="preserve">is kreipėsi </w:t>
      </w:r>
      <w:r w:rsidR="00C001E2" w:rsidRPr="00E25DAB">
        <w:rPr>
          <w:rStyle w:val="s1a844bc0"/>
          <w:rFonts w:ascii="Calibri" w:eastAsia="Times New Roman" w:hAnsi="Calibri" w:cs="Calibri"/>
          <w:iCs/>
          <w:color w:val="000000"/>
          <w:lang w:eastAsia="lt-LT"/>
        </w:rPr>
        <w:t>į Turkijos kompetentingą instituciją</w:t>
      </w:r>
      <w:r w:rsidR="00307841" w:rsidRPr="00E25DAB">
        <w:rPr>
          <w:rStyle w:val="s1a844bc0"/>
          <w:rFonts w:ascii="Calibri" w:eastAsia="Times New Roman" w:hAnsi="Calibri" w:cs="Calibri"/>
          <w:iCs/>
          <w:color w:val="000000"/>
          <w:lang w:eastAsia="lt-LT"/>
        </w:rPr>
        <w:t>,</w:t>
      </w:r>
      <w:r w:rsidR="00C001E2" w:rsidRPr="00E25DAB">
        <w:rPr>
          <w:rStyle w:val="s1a844bc0"/>
          <w:rFonts w:ascii="Calibri" w:eastAsia="Times New Roman" w:hAnsi="Calibri" w:cs="Calibri"/>
          <w:iCs/>
          <w:color w:val="000000"/>
          <w:lang w:eastAsia="lt-LT"/>
        </w:rPr>
        <w:t xml:space="preserve"> </w:t>
      </w:r>
      <w:r w:rsidRPr="00E25DAB">
        <w:rPr>
          <w:rStyle w:val="s1a844bc0"/>
          <w:rFonts w:ascii="Calibri" w:eastAsia="Times New Roman" w:hAnsi="Calibri" w:cs="Calibri"/>
          <w:iCs/>
          <w:color w:val="000000"/>
          <w:lang w:eastAsia="lt-LT"/>
        </w:rPr>
        <w:t xml:space="preserve">prašydamas pakeisti jo pavardę „Aktaş“ į „Amno“, teigdamas, jog (i) pagal tautybę jis yra asiras ir jis bei jo šeima yra žinomi „Amno“ vardu; (ii) jo brolio prašymas pakeisti pavardę jau buvo tenkintas; </w:t>
      </w:r>
      <w:r w:rsidR="00C43CA7" w:rsidRPr="00E25DAB">
        <w:rPr>
          <w:rStyle w:val="s1a844bc0"/>
          <w:rFonts w:ascii="Calibri" w:eastAsia="Times New Roman" w:hAnsi="Calibri" w:cs="Calibri"/>
          <w:iCs/>
          <w:color w:val="000000"/>
          <w:lang w:eastAsia="lt-LT"/>
        </w:rPr>
        <w:t>(iii) dviejų skirtingų pavardžių turėjimas dv</w:t>
      </w:r>
      <w:r w:rsidR="004C59FE">
        <w:rPr>
          <w:rStyle w:val="s1a844bc0"/>
          <w:rFonts w:ascii="Calibri" w:eastAsia="Times New Roman" w:hAnsi="Calibri" w:cs="Calibri"/>
          <w:iCs/>
          <w:color w:val="000000"/>
          <w:lang w:eastAsia="lt-LT"/>
        </w:rPr>
        <w:t>i</w:t>
      </w:r>
      <w:r w:rsidR="00C43CA7" w:rsidRPr="00E25DAB">
        <w:rPr>
          <w:rStyle w:val="s1a844bc0"/>
          <w:rFonts w:ascii="Calibri" w:eastAsia="Times New Roman" w:hAnsi="Calibri" w:cs="Calibri"/>
          <w:iCs/>
          <w:color w:val="000000"/>
          <w:lang w:eastAsia="lt-LT"/>
        </w:rPr>
        <w:t xml:space="preserve">ejuose asmens dokumentuose jam sukelia praktinių problemų kasdieniame gyvenime. </w:t>
      </w:r>
      <w:r w:rsidR="00460C74" w:rsidRPr="00E25DAB">
        <w:rPr>
          <w:rStyle w:val="s1a844bc0"/>
          <w:rFonts w:ascii="Calibri" w:eastAsia="Times New Roman" w:hAnsi="Calibri" w:cs="Calibri"/>
          <w:iCs/>
          <w:color w:val="000000"/>
          <w:lang w:eastAsia="lt-LT"/>
        </w:rPr>
        <w:t>Nacionalinis t</w:t>
      </w:r>
      <w:r w:rsidR="00C43CA7" w:rsidRPr="00E25DAB">
        <w:rPr>
          <w:rStyle w:val="s1a844bc0"/>
          <w:rFonts w:ascii="Calibri" w:eastAsia="Times New Roman" w:hAnsi="Calibri" w:cs="Calibri"/>
          <w:iCs/>
          <w:color w:val="000000"/>
          <w:lang w:eastAsia="lt-LT"/>
        </w:rPr>
        <w:t xml:space="preserve">eismas kreipėsi į Turkų kalbos institutą klausdamas, ar </w:t>
      </w:r>
      <w:r w:rsidR="00460C74" w:rsidRPr="00E25DAB">
        <w:rPr>
          <w:rStyle w:val="s1a844bc0"/>
          <w:rFonts w:ascii="Calibri" w:eastAsia="Times New Roman" w:hAnsi="Calibri" w:cs="Calibri"/>
          <w:iCs/>
          <w:color w:val="000000"/>
          <w:lang w:eastAsia="lt-LT"/>
        </w:rPr>
        <w:t xml:space="preserve">prašoma pakeisti pavardė yra turkiškas žodis. Institutas atsakė, kad „Amno“ nėra turkiškas žodis. Dėl to pareiškėjo prašymas pakeisti pavardę buvo atmestas. </w:t>
      </w:r>
    </w:p>
    <w:p w14:paraId="176C4029" w14:textId="7BB1C249" w:rsidR="00E05E1E" w:rsidRPr="00E25DAB" w:rsidRDefault="00460C74" w:rsidP="009A1B99">
      <w:pPr>
        <w:spacing w:after="0" w:line="240" w:lineRule="auto"/>
        <w:ind w:firstLine="567"/>
        <w:jc w:val="both"/>
        <w:rPr>
          <w:rStyle w:val="s1a844bc0"/>
          <w:rFonts w:ascii="Calibri" w:eastAsia="Times New Roman" w:hAnsi="Calibri" w:cs="Calibri"/>
          <w:iCs/>
          <w:color w:val="000000"/>
          <w:lang w:eastAsia="lt-LT"/>
        </w:rPr>
      </w:pPr>
      <w:r w:rsidRPr="00E25DAB">
        <w:rPr>
          <w:rStyle w:val="s1a844bc0"/>
          <w:rFonts w:ascii="Calibri" w:eastAsia="Times New Roman" w:hAnsi="Calibri" w:cs="Calibri"/>
          <w:iCs/>
          <w:color w:val="000000"/>
          <w:lang w:eastAsia="lt-LT"/>
        </w:rPr>
        <w:t>Kitas pareiškėjas, budistas, savo turkiškoje asmens tapatybės kortelėje vietoje „islamo“ įgijo budizmo religijos įrašą</w:t>
      </w:r>
      <w:r w:rsidR="00E05E1E" w:rsidRPr="00E25DAB">
        <w:rPr>
          <w:rStyle w:val="s1a844bc0"/>
          <w:rFonts w:ascii="Calibri" w:eastAsia="Times New Roman" w:hAnsi="Calibri" w:cs="Calibri"/>
          <w:iCs/>
          <w:color w:val="000000"/>
          <w:lang w:eastAsia="lt-LT"/>
        </w:rPr>
        <w:t>.</w:t>
      </w:r>
      <w:r w:rsidRPr="00E25DAB">
        <w:rPr>
          <w:rStyle w:val="s1a844bc0"/>
          <w:rFonts w:ascii="Calibri" w:eastAsia="Times New Roman" w:hAnsi="Calibri" w:cs="Calibri"/>
          <w:iCs/>
          <w:color w:val="000000"/>
          <w:lang w:eastAsia="lt-LT"/>
        </w:rPr>
        <w:t xml:space="preserve"> Remdamasis savo religiniais įsitikinimais, asmenine laisve, sąžinės ir saviraiškos laisve, </w:t>
      </w:r>
      <w:r w:rsidR="00EA07E3" w:rsidRPr="00E25DAB">
        <w:rPr>
          <w:rStyle w:val="s1a844bc0"/>
          <w:rFonts w:ascii="Calibri" w:eastAsia="Times New Roman" w:hAnsi="Calibri" w:cs="Calibri"/>
          <w:iCs/>
          <w:color w:val="000000"/>
          <w:lang w:eastAsia="lt-LT"/>
        </w:rPr>
        <w:t>j</w:t>
      </w:r>
      <w:r w:rsidRPr="00E25DAB">
        <w:rPr>
          <w:rStyle w:val="s1a844bc0"/>
          <w:rFonts w:ascii="Calibri" w:eastAsia="Times New Roman" w:hAnsi="Calibri" w:cs="Calibri"/>
          <w:iCs/>
          <w:color w:val="000000"/>
          <w:lang w:eastAsia="lt-LT"/>
        </w:rPr>
        <w:t>is kreipėsi dėl savo vardo ir pavardės pakeitimo į „Padmapanys Leonalexandros“</w:t>
      </w:r>
      <w:r w:rsidR="0089626B" w:rsidRPr="00E25DAB">
        <w:rPr>
          <w:rStyle w:val="s1a844bc0"/>
          <w:rFonts w:ascii="Calibri" w:eastAsia="Times New Roman" w:hAnsi="Calibri" w:cs="Calibri"/>
          <w:iCs/>
          <w:color w:val="000000"/>
          <w:lang w:eastAsia="lt-LT"/>
        </w:rPr>
        <w:t xml:space="preserve">. Indologas atkreipė dėmesį, kad prašomas vardas yra sanskrito terminas, susijęs su budizmu, tačiau </w:t>
      </w:r>
      <w:r w:rsidR="00C001E2" w:rsidRPr="00E25DAB">
        <w:rPr>
          <w:rStyle w:val="s1a844bc0"/>
          <w:rFonts w:ascii="Calibri" w:eastAsia="Times New Roman" w:hAnsi="Calibri" w:cs="Calibri"/>
          <w:iCs/>
          <w:color w:val="000000"/>
          <w:lang w:eastAsia="lt-LT"/>
        </w:rPr>
        <w:t>nurodoma</w:t>
      </w:r>
      <w:r w:rsidR="0089626B" w:rsidRPr="00E25DAB">
        <w:rPr>
          <w:rStyle w:val="s1a844bc0"/>
          <w:rFonts w:ascii="Calibri" w:eastAsia="Times New Roman" w:hAnsi="Calibri" w:cs="Calibri"/>
          <w:iCs/>
          <w:color w:val="000000"/>
          <w:lang w:eastAsia="lt-LT"/>
        </w:rPr>
        <w:t xml:space="preserve"> pavard</w:t>
      </w:r>
      <w:r w:rsidR="00C001E2" w:rsidRPr="00E25DAB">
        <w:rPr>
          <w:rStyle w:val="s1a844bc0"/>
          <w:rFonts w:ascii="Calibri" w:eastAsia="Times New Roman" w:hAnsi="Calibri" w:cs="Calibri"/>
          <w:iCs/>
          <w:color w:val="000000"/>
          <w:lang w:eastAsia="lt-LT"/>
        </w:rPr>
        <w:t xml:space="preserve">ė </w:t>
      </w:r>
      <w:r w:rsidR="0089626B" w:rsidRPr="00E25DAB">
        <w:rPr>
          <w:rStyle w:val="s1a844bc0"/>
          <w:rFonts w:ascii="Calibri" w:eastAsia="Times New Roman" w:hAnsi="Calibri" w:cs="Calibri"/>
          <w:iCs/>
          <w:color w:val="000000"/>
          <w:lang w:eastAsia="lt-LT"/>
        </w:rPr>
        <w:t xml:space="preserve">yra pažodinis graikiškas dabartinės pavardės vertimas. Tada pareiškėjas pakeitė prašomą pakeisti pavardę į sanskrito </w:t>
      </w:r>
      <w:r w:rsidR="00C001E2" w:rsidRPr="00E25DAB">
        <w:rPr>
          <w:rStyle w:val="s1a844bc0"/>
          <w:rFonts w:ascii="Calibri" w:eastAsia="Times New Roman" w:hAnsi="Calibri" w:cs="Calibri"/>
          <w:iCs/>
          <w:color w:val="000000"/>
          <w:lang w:eastAsia="lt-LT"/>
        </w:rPr>
        <w:t>terminą</w:t>
      </w:r>
      <w:r w:rsidR="000441D4" w:rsidRPr="00E25DAB">
        <w:rPr>
          <w:rStyle w:val="s1a844bc0"/>
          <w:rFonts w:ascii="Calibri" w:eastAsia="Times New Roman" w:hAnsi="Calibri" w:cs="Calibri"/>
          <w:iCs/>
          <w:color w:val="000000"/>
          <w:lang w:eastAsia="lt-LT"/>
        </w:rPr>
        <w:t xml:space="preserve"> („Paramabindu”).</w:t>
      </w:r>
      <w:r w:rsidR="0089626B" w:rsidRPr="00E25DAB">
        <w:rPr>
          <w:rStyle w:val="s1a844bc0"/>
          <w:rFonts w:ascii="Calibri" w:eastAsia="Times New Roman" w:hAnsi="Calibri" w:cs="Calibri"/>
          <w:iCs/>
          <w:color w:val="000000"/>
          <w:lang w:eastAsia="lt-LT"/>
        </w:rPr>
        <w:t xml:space="preserve"> </w:t>
      </w:r>
      <w:r w:rsidR="008F45BA" w:rsidRPr="00E25DAB">
        <w:rPr>
          <w:rStyle w:val="s1a844bc0"/>
          <w:rFonts w:ascii="Calibri" w:eastAsia="Times New Roman" w:hAnsi="Calibri" w:cs="Calibri"/>
          <w:iCs/>
          <w:color w:val="000000"/>
          <w:lang w:eastAsia="lt-LT"/>
        </w:rPr>
        <w:t xml:space="preserve">Teismas sutiko su prašomais pakeitimais, tačiau pareiškėjui buvo leista pasikeisti tik vardą, o prašymas dėl pavardės keitimo buvo atmestas. </w:t>
      </w:r>
    </w:p>
    <w:p w14:paraId="2EE631EC" w14:textId="77777777" w:rsidR="00E05E1E" w:rsidRPr="00E25DAB" w:rsidRDefault="00E05E1E" w:rsidP="009A1B99">
      <w:pPr>
        <w:pStyle w:val="s6c429373"/>
        <w:shd w:val="clear" w:color="auto" w:fill="FFFFFF"/>
        <w:spacing w:before="0" w:beforeAutospacing="0" w:after="0" w:afterAutospacing="0"/>
        <w:ind w:firstLine="567"/>
        <w:jc w:val="both"/>
        <w:rPr>
          <w:rStyle w:val="sfbbfee58"/>
          <w:rFonts w:ascii="Calibri" w:hAnsi="Calibri" w:cs="Calibri"/>
          <w:color w:val="000000"/>
          <w:sz w:val="22"/>
          <w:szCs w:val="22"/>
        </w:rPr>
      </w:pPr>
    </w:p>
    <w:p w14:paraId="5015FA15" w14:textId="77777777" w:rsidR="00E05E1E" w:rsidRPr="00E25DAB" w:rsidRDefault="00E05E1E" w:rsidP="009A1B99">
      <w:pPr>
        <w:spacing w:after="0" w:line="240" w:lineRule="auto"/>
        <w:jc w:val="center"/>
        <w:rPr>
          <w:rFonts w:ascii="Calibri" w:hAnsi="Calibri" w:cs="Calibri"/>
        </w:rPr>
      </w:pPr>
      <w:r w:rsidRPr="00E25DAB">
        <w:rPr>
          <w:rFonts w:ascii="Calibri" w:hAnsi="Calibri" w:cs="Calibri"/>
          <w:b/>
        </w:rPr>
        <w:t>Neoficiali Teismo sprendimo apžvalga</w:t>
      </w:r>
    </w:p>
    <w:p w14:paraId="531A6DCF" w14:textId="77777777" w:rsidR="00C001E2" w:rsidRPr="00E25DAB" w:rsidRDefault="00C001E2" w:rsidP="004955D1">
      <w:pPr>
        <w:pStyle w:val="s6c429373"/>
        <w:shd w:val="clear" w:color="auto" w:fill="FFFFFF"/>
        <w:spacing w:before="0" w:beforeAutospacing="0" w:after="0" w:afterAutospacing="0"/>
        <w:ind w:firstLine="567"/>
        <w:jc w:val="both"/>
        <w:rPr>
          <w:rStyle w:val="s1a844bc0"/>
          <w:rFonts w:ascii="Calibri" w:hAnsi="Calibri" w:cs="Calibri"/>
          <w:iCs/>
          <w:color w:val="000000"/>
          <w:sz w:val="22"/>
          <w:szCs w:val="22"/>
        </w:rPr>
      </w:pPr>
    </w:p>
    <w:p w14:paraId="43606BA8" w14:textId="343A3D78" w:rsidR="00E05E1E" w:rsidRPr="00E25DAB" w:rsidRDefault="00E05E1E" w:rsidP="004955D1">
      <w:pPr>
        <w:pStyle w:val="s6c429373"/>
        <w:shd w:val="clear" w:color="auto" w:fill="FFFFFF"/>
        <w:spacing w:before="0" w:beforeAutospacing="0" w:after="0" w:afterAutospacing="0"/>
        <w:ind w:firstLine="567"/>
        <w:jc w:val="both"/>
        <w:rPr>
          <w:rStyle w:val="s1a844bc0"/>
          <w:rFonts w:ascii="Calibri" w:hAnsi="Calibri" w:cs="Calibri"/>
          <w:iCs/>
          <w:color w:val="000000"/>
          <w:sz w:val="22"/>
          <w:szCs w:val="22"/>
        </w:rPr>
      </w:pPr>
      <w:r w:rsidRPr="00E25DAB">
        <w:rPr>
          <w:rStyle w:val="s1a844bc0"/>
          <w:rFonts w:ascii="Calibri" w:hAnsi="Calibri" w:cs="Calibri"/>
          <w:iCs/>
          <w:color w:val="000000"/>
          <w:sz w:val="22"/>
          <w:szCs w:val="22"/>
        </w:rPr>
        <w:t xml:space="preserve">Teismas </w:t>
      </w:r>
      <w:r w:rsidR="00944F27" w:rsidRPr="00E25DAB">
        <w:rPr>
          <w:rStyle w:val="s1a844bc0"/>
          <w:rFonts w:ascii="Calibri" w:hAnsi="Calibri" w:cs="Calibri"/>
          <w:iCs/>
          <w:color w:val="000000"/>
          <w:sz w:val="22"/>
          <w:szCs w:val="22"/>
        </w:rPr>
        <w:t xml:space="preserve">nurodė, kad nacionalinių institucijų atsisakymas leisti pareiškėjams pasikeisti jų pavardes, kas laikytina jų privataus ir šeimos gyvenimo dalyku, turėjo būti įvertintas atsižvelgiant į pozityvius valstybės įsipareigojimus šioje srityje. </w:t>
      </w:r>
    </w:p>
    <w:p w14:paraId="3F4E03F3" w14:textId="38F8B382" w:rsidR="005408B2" w:rsidRPr="00E25DAB" w:rsidRDefault="005408B2" w:rsidP="004955D1">
      <w:pPr>
        <w:pStyle w:val="s6c429373"/>
        <w:shd w:val="clear" w:color="auto" w:fill="FFFFFF"/>
        <w:spacing w:before="0" w:beforeAutospacing="0" w:after="0" w:afterAutospacing="0"/>
        <w:ind w:firstLine="567"/>
        <w:jc w:val="both"/>
        <w:rPr>
          <w:rStyle w:val="s1a844bc0"/>
          <w:rFonts w:ascii="Calibri" w:hAnsi="Calibri" w:cs="Calibri"/>
          <w:iCs/>
          <w:color w:val="000000"/>
          <w:sz w:val="22"/>
          <w:szCs w:val="22"/>
        </w:rPr>
      </w:pPr>
      <w:r w:rsidRPr="00E25DAB">
        <w:rPr>
          <w:rStyle w:val="s1a844bc0"/>
          <w:rFonts w:ascii="Calibri" w:hAnsi="Calibri" w:cs="Calibri"/>
          <w:iCs/>
          <w:color w:val="000000"/>
          <w:sz w:val="22"/>
          <w:szCs w:val="22"/>
        </w:rPr>
        <w:t>Pripažindamas, kad gali būti svarių priežasčių, dėl kurių asmuo gali norėti pakeisti savo pavardę, Teismas</w:t>
      </w:r>
      <w:r w:rsidR="006E5616" w:rsidRPr="00E25DAB">
        <w:rPr>
          <w:rStyle w:val="s1a844bc0"/>
          <w:rFonts w:ascii="Calibri" w:hAnsi="Calibri" w:cs="Calibri"/>
          <w:iCs/>
          <w:color w:val="000000"/>
          <w:sz w:val="22"/>
          <w:szCs w:val="22"/>
        </w:rPr>
        <w:t xml:space="preserve"> priminė, jog jis</w:t>
      </w:r>
      <w:r w:rsidRPr="00E25DAB">
        <w:rPr>
          <w:rStyle w:val="s1a844bc0"/>
          <w:rFonts w:ascii="Calibri" w:hAnsi="Calibri" w:cs="Calibri"/>
          <w:iCs/>
          <w:color w:val="000000"/>
          <w:sz w:val="22"/>
          <w:szCs w:val="22"/>
        </w:rPr>
        <w:t xml:space="preserve"> jau yra pripažinęs, kad visuotinai svarbios priežastys gali pateisinti tokios galimybės teisinį ribojimą, pavyzdžiui, siekiant užtikrinti tinkamą gyventojų registraciją, </w:t>
      </w:r>
      <w:r w:rsidR="00AE29DF" w:rsidRPr="00E25DAB">
        <w:rPr>
          <w:rStyle w:val="s1a844bc0"/>
          <w:rFonts w:ascii="Calibri" w:hAnsi="Calibri" w:cs="Calibri"/>
          <w:iCs/>
          <w:color w:val="000000"/>
          <w:sz w:val="22"/>
          <w:szCs w:val="22"/>
        </w:rPr>
        <w:t xml:space="preserve">apsaugoti asmens identifikavimą </w:t>
      </w:r>
      <w:r w:rsidRPr="00E25DAB">
        <w:rPr>
          <w:rStyle w:val="s1a844bc0"/>
          <w:rFonts w:ascii="Calibri" w:hAnsi="Calibri" w:cs="Calibri"/>
          <w:iCs/>
          <w:color w:val="000000"/>
          <w:sz w:val="22"/>
          <w:szCs w:val="22"/>
        </w:rPr>
        <w:t xml:space="preserve">arba susieti suteikto vardo turėtoją su konkrečia šeima. Susitariančioji valstybė turi plačią vertinimo laisvę šioje srityje. </w:t>
      </w:r>
    </w:p>
    <w:p w14:paraId="5D716680" w14:textId="034C2D0A" w:rsidR="000F3BDD" w:rsidRPr="00E25DAB" w:rsidRDefault="005408B2" w:rsidP="006E5616">
      <w:pPr>
        <w:pStyle w:val="s6c429373"/>
        <w:shd w:val="clear" w:color="auto" w:fill="FFFFFF"/>
        <w:spacing w:before="0" w:beforeAutospacing="0" w:after="0" w:afterAutospacing="0"/>
        <w:ind w:firstLine="567"/>
        <w:jc w:val="both"/>
        <w:rPr>
          <w:rStyle w:val="s1a844bc0"/>
          <w:rFonts w:ascii="Calibri" w:hAnsi="Calibri" w:cs="Calibri"/>
          <w:iCs/>
          <w:color w:val="000000"/>
          <w:sz w:val="22"/>
          <w:szCs w:val="22"/>
        </w:rPr>
      </w:pPr>
      <w:r w:rsidRPr="00E25DAB">
        <w:rPr>
          <w:rStyle w:val="s1a844bc0"/>
          <w:rFonts w:ascii="Calibri" w:hAnsi="Calibri" w:cs="Calibri"/>
          <w:iCs/>
          <w:color w:val="000000"/>
          <w:sz w:val="22"/>
          <w:szCs w:val="22"/>
        </w:rPr>
        <w:t>Nagrinėtu atveju nacionaliniai teismai, atmesdami prašymus dėl pavardės keitimo, nurodė vienintelę priežastį</w:t>
      </w:r>
      <w:r w:rsidR="00AE29DF" w:rsidRPr="00E25DAB">
        <w:rPr>
          <w:rStyle w:val="s1a844bc0"/>
          <w:rFonts w:ascii="Calibri" w:hAnsi="Calibri" w:cs="Calibri"/>
          <w:iCs/>
          <w:color w:val="000000"/>
          <w:sz w:val="22"/>
          <w:szCs w:val="22"/>
        </w:rPr>
        <w:t xml:space="preserve"> –</w:t>
      </w:r>
      <w:r w:rsidRPr="00E25DAB">
        <w:rPr>
          <w:rStyle w:val="s1a844bc0"/>
          <w:rFonts w:ascii="Calibri" w:hAnsi="Calibri" w:cs="Calibri"/>
          <w:iCs/>
          <w:color w:val="000000"/>
          <w:sz w:val="22"/>
          <w:szCs w:val="22"/>
        </w:rPr>
        <w:t xml:space="preserve"> kad pagal Įstatymo Nr. 2525 3 skyrių ir pagal Pavardžių taisyklių 5 straipsnį vardai, kurie nėra turkiški, negali būti pasirenkami kaip pavardės. </w:t>
      </w:r>
      <w:r w:rsidR="000F3BDD" w:rsidRPr="00E25DAB">
        <w:rPr>
          <w:rStyle w:val="s1a844bc0"/>
          <w:rFonts w:ascii="Calibri" w:hAnsi="Calibri" w:cs="Calibri"/>
          <w:iCs/>
          <w:color w:val="000000"/>
          <w:sz w:val="22"/>
          <w:szCs w:val="22"/>
        </w:rPr>
        <w:t xml:space="preserve">Beje, teismas pastebėjo, kad </w:t>
      </w:r>
      <w:r w:rsidR="00957D94" w:rsidRPr="00E25DAB">
        <w:rPr>
          <w:rStyle w:val="s1a844bc0"/>
          <w:rFonts w:ascii="Calibri" w:hAnsi="Calibri" w:cs="Calibri"/>
          <w:iCs/>
          <w:color w:val="000000"/>
          <w:sz w:val="22"/>
          <w:szCs w:val="22"/>
        </w:rPr>
        <w:t>Įstatymo Nr. 2525 3 skyriaus formuluotė nenustatė bendro draudimo ne turk</w:t>
      </w:r>
      <w:r w:rsidR="00AE29DF" w:rsidRPr="00E25DAB">
        <w:rPr>
          <w:rStyle w:val="s1a844bc0"/>
          <w:rFonts w:ascii="Calibri" w:hAnsi="Calibri" w:cs="Calibri"/>
          <w:iCs/>
          <w:color w:val="000000"/>
          <w:sz w:val="22"/>
          <w:szCs w:val="22"/>
        </w:rPr>
        <w:t>ų kalbos vardams, o tik užsienietiškos</w:t>
      </w:r>
      <w:r w:rsidR="00957D94" w:rsidRPr="00E25DAB">
        <w:rPr>
          <w:rStyle w:val="s1a844bc0"/>
          <w:rFonts w:ascii="Calibri" w:hAnsi="Calibri" w:cs="Calibri"/>
          <w:iCs/>
          <w:color w:val="000000"/>
          <w:sz w:val="22"/>
          <w:szCs w:val="22"/>
        </w:rPr>
        <w:t xml:space="preserve"> rasės ir tautybės vardų </w:t>
      </w:r>
      <w:r w:rsidR="00AE29DF" w:rsidRPr="00E25DAB">
        <w:rPr>
          <w:rStyle w:val="s1a844bc0"/>
          <w:rFonts w:ascii="Calibri" w:hAnsi="Calibri" w:cs="Calibri"/>
          <w:iCs/>
          <w:color w:val="000000"/>
          <w:sz w:val="22"/>
          <w:szCs w:val="22"/>
        </w:rPr>
        <w:t>vartojimui</w:t>
      </w:r>
      <w:r w:rsidR="00433D88" w:rsidRPr="00E25DAB">
        <w:rPr>
          <w:rStyle w:val="s1a844bc0"/>
          <w:rFonts w:ascii="Calibri" w:hAnsi="Calibri" w:cs="Calibri"/>
          <w:iCs/>
          <w:color w:val="000000"/>
          <w:sz w:val="22"/>
          <w:szCs w:val="22"/>
        </w:rPr>
        <w:t>.</w:t>
      </w:r>
      <w:r w:rsidR="00957D94" w:rsidRPr="00E25DAB">
        <w:rPr>
          <w:rStyle w:val="s1a844bc0"/>
          <w:rFonts w:ascii="Calibri" w:hAnsi="Calibri" w:cs="Calibri"/>
          <w:iCs/>
          <w:color w:val="000000"/>
          <w:sz w:val="22"/>
          <w:szCs w:val="22"/>
        </w:rPr>
        <w:t xml:space="preserve"> </w:t>
      </w:r>
    </w:p>
    <w:p w14:paraId="55ADBEFB" w14:textId="44D4692B" w:rsidR="000F1AF5" w:rsidRPr="00E25DAB" w:rsidRDefault="00957D94" w:rsidP="006E5616">
      <w:pPr>
        <w:pStyle w:val="s6c429373"/>
        <w:shd w:val="clear" w:color="auto" w:fill="FFFFFF"/>
        <w:spacing w:before="0" w:beforeAutospacing="0" w:after="0" w:afterAutospacing="0"/>
        <w:ind w:firstLine="567"/>
        <w:jc w:val="both"/>
        <w:rPr>
          <w:rStyle w:val="s1a844bc0"/>
          <w:rFonts w:ascii="Calibri" w:hAnsi="Calibri" w:cs="Calibri"/>
          <w:iCs/>
          <w:color w:val="000000"/>
          <w:sz w:val="22"/>
          <w:szCs w:val="22"/>
        </w:rPr>
      </w:pPr>
      <w:r w:rsidRPr="00E25DAB">
        <w:rPr>
          <w:rStyle w:val="s1a844bc0"/>
          <w:rFonts w:ascii="Calibri" w:hAnsi="Calibri" w:cs="Calibri"/>
          <w:iCs/>
          <w:color w:val="000000"/>
          <w:sz w:val="22"/>
          <w:szCs w:val="22"/>
        </w:rPr>
        <w:t xml:space="preserve">Teismas vertino, ar teisės aktų taikymas </w:t>
      </w:r>
      <w:r w:rsidR="00433D88" w:rsidRPr="00E25DAB">
        <w:rPr>
          <w:rStyle w:val="s1a844bc0"/>
          <w:rFonts w:ascii="Calibri" w:hAnsi="Calibri" w:cs="Calibri"/>
          <w:iCs/>
          <w:color w:val="000000"/>
          <w:sz w:val="22"/>
          <w:szCs w:val="22"/>
        </w:rPr>
        <w:t xml:space="preserve">nacionaliniu lygmeniu </w:t>
      </w:r>
      <w:r w:rsidRPr="00E25DAB">
        <w:rPr>
          <w:rStyle w:val="s1a844bc0"/>
          <w:rFonts w:ascii="Calibri" w:hAnsi="Calibri" w:cs="Calibri"/>
          <w:iCs/>
          <w:color w:val="000000"/>
          <w:sz w:val="22"/>
          <w:szCs w:val="22"/>
        </w:rPr>
        <w:t>suteikė būtiną lankstumą, kad asmenų, prašančių pakeisti pavardes, poreikiai būtų patenkinti. Šiomis aplinkybė</w:t>
      </w:r>
      <w:r w:rsidR="00B71B5E">
        <w:rPr>
          <w:rStyle w:val="s1a844bc0"/>
          <w:rFonts w:ascii="Calibri" w:hAnsi="Calibri" w:cs="Calibri"/>
          <w:iCs/>
          <w:color w:val="000000"/>
          <w:sz w:val="22"/>
          <w:szCs w:val="22"/>
        </w:rPr>
        <w:t>mi</w:t>
      </w:r>
      <w:r w:rsidRPr="00E25DAB">
        <w:rPr>
          <w:rStyle w:val="s1a844bc0"/>
          <w:rFonts w:ascii="Calibri" w:hAnsi="Calibri" w:cs="Calibri"/>
          <w:iCs/>
          <w:color w:val="000000"/>
          <w:sz w:val="22"/>
          <w:szCs w:val="22"/>
        </w:rPr>
        <w:t>s nacionaliniai teismai turėjo pademonstruoti, kad jie suderino konkuruojančius interesus.</w:t>
      </w:r>
      <w:r w:rsidR="006E5616" w:rsidRPr="00E25DAB">
        <w:rPr>
          <w:rStyle w:val="s1a844bc0"/>
          <w:rFonts w:ascii="Calibri" w:hAnsi="Calibri" w:cs="Calibri"/>
          <w:iCs/>
          <w:color w:val="000000"/>
          <w:sz w:val="22"/>
          <w:szCs w:val="22"/>
        </w:rPr>
        <w:t xml:space="preserve"> </w:t>
      </w:r>
      <w:r w:rsidR="00433D88" w:rsidRPr="00E25DAB">
        <w:rPr>
          <w:rStyle w:val="s1a844bc0"/>
          <w:rFonts w:ascii="Calibri" w:hAnsi="Calibri" w:cs="Calibri"/>
          <w:iCs/>
          <w:color w:val="000000"/>
          <w:sz w:val="22"/>
          <w:szCs w:val="22"/>
        </w:rPr>
        <w:t>Vis tik i</w:t>
      </w:r>
      <w:r w:rsidRPr="00E25DAB">
        <w:rPr>
          <w:rStyle w:val="s1a844bc0"/>
          <w:rFonts w:ascii="Calibri" w:hAnsi="Calibri" w:cs="Calibri"/>
          <w:iCs/>
          <w:color w:val="000000"/>
          <w:sz w:val="22"/>
          <w:szCs w:val="22"/>
        </w:rPr>
        <w:t xml:space="preserve">š teismų sprendimų motyvacijos paaiškėjo, kad </w:t>
      </w:r>
      <w:r w:rsidR="000F1AF5" w:rsidRPr="00E25DAB">
        <w:rPr>
          <w:rStyle w:val="s1a844bc0"/>
          <w:rFonts w:ascii="Calibri" w:hAnsi="Calibri" w:cs="Calibri"/>
          <w:iCs/>
          <w:color w:val="000000"/>
          <w:sz w:val="22"/>
          <w:szCs w:val="22"/>
        </w:rPr>
        <w:t xml:space="preserve">teismai atliko formalų įstatymo ir poįstatyminio akto turinio patikrinimą: jie neatsižvelgė į argumentus ir specifinę bei individualią pareiškėjų situaciją, taip pat nesubalansavo konkuruojančių interesų. Nebuvo paaiškinta, kaip ir kodėl pareiškėjų </w:t>
      </w:r>
      <w:r w:rsidR="00433D88" w:rsidRPr="00E25DAB">
        <w:rPr>
          <w:rStyle w:val="s1a844bc0"/>
          <w:rFonts w:ascii="Calibri" w:hAnsi="Calibri" w:cs="Calibri"/>
          <w:iCs/>
          <w:color w:val="000000"/>
          <w:sz w:val="22"/>
          <w:szCs w:val="22"/>
        </w:rPr>
        <w:t>pavardžių keitimas į ne turkiška</w:t>
      </w:r>
      <w:r w:rsidR="000F1AF5" w:rsidRPr="00E25DAB">
        <w:rPr>
          <w:rStyle w:val="s1a844bc0"/>
          <w:rFonts w:ascii="Calibri" w:hAnsi="Calibri" w:cs="Calibri"/>
          <w:iCs/>
          <w:color w:val="000000"/>
          <w:sz w:val="22"/>
          <w:szCs w:val="22"/>
        </w:rPr>
        <w:t xml:space="preserve">s prieštarauja viešajam interesui. </w:t>
      </w:r>
      <w:r w:rsidR="000F1AF5" w:rsidRPr="00E25DAB">
        <w:rPr>
          <w:rStyle w:val="s1a844bc0"/>
          <w:rFonts w:ascii="Calibri" w:hAnsi="Calibri" w:cs="Calibri"/>
          <w:iCs/>
          <w:color w:val="000000"/>
          <w:sz w:val="22"/>
          <w:szCs w:val="22"/>
        </w:rPr>
        <w:lastRenderedPageBreak/>
        <w:t xml:space="preserve">Tai buvo ypač akivaizdu pirmojo pareiškėjo atveju, kurio broliui buvo leista pasikeisti pavardę į tokią, kurios prašė pareiškėjas. </w:t>
      </w:r>
    </w:p>
    <w:p w14:paraId="3F66CB72" w14:textId="0A080E06" w:rsidR="009358B4" w:rsidRPr="00E25DAB" w:rsidRDefault="007D147E" w:rsidP="004955D1">
      <w:pPr>
        <w:pStyle w:val="s6c429373"/>
        <w:shd w:val="clear" w:color="auto" w:fill="FFFFFF"/>
        <w:spacing w:before="0" w:beforeAutospacing="0" w:after="0" w:afterAutospacing="0"/>
        <w:ind w:firstLine="567"/>
        <w:jc w:val="both"/>
        <w:rPr>
          <w:rStyle w:val="s1a844bc0"/>
          <w:rFonts w:ascii="Calibri" w:hAnsi="Calibri" w:cs="Calibri"/>
          <w:iCs/>
          <w:color w:val="000000"/>
          <w:sz w:val="22"/>
          <w:szCs w:val="22"/>
        </w:rPr>
      </w:pPr>
      <w:r w:rsidRPr="00E25DAB">
        <w:rPr>
          <w:rStyle w:val="s1a844bc0"/>
          <w:rFonts w:ascii="Calibri" w:hAnsi="Calibri" w:cs="Calibri"/>
          <w:iCs/>
          <w:color w:val="000000"/>
          <w:sz w:val="22"/>
          <w:szCs w:val="22"/>
        </w:rPr>
        <w:t xml:space="preserve">Padaryta išvada, jog </w:t>
      </w:r>
      <w:r w:rsidR="009358B4" w:rsidRPr="00E25DAB">
        <w:rPr>
          <w:rStyle w:val="s1a844bc0"/>
          <w:rFonts w:ascii="Calibri" w:hAnsi="Calibri" w:cs="Calibri"/>
          <w:iCs/>
          <w:color w:val="000000"/>
          <w:sz w:val="22"/>
          <w:szCs w:val="22"/>
        </w:rPr>
        <w:t>valstybė nesugebėjo rasti tinkamos pusiausvyros tarp konkuruojančių pareiškėjų ir visos visuomenės interesų.</w:t>
      </w:r>
    </w:p>
    <w:p w14:paraId="7F71FD96" w14:textId="77777777" w:rsidR="00C001E2" w:rsidRPr="00E25DAB" w:rsidRDefault="00C001E2" w:rsidP="004955D1">
      <w:pPr>
        <w:pStyle w:val="s6c429373"/>
        <w:shd w:val="clear" w:color="auto" w:fill="FFFFFF"/>
        <w:spacing w:before="0" w:beforeAutospacing="0" w:after="0" w:afterAutospacing="0"/>
        <w:ind w:firstLine="567"/>
        <w:jc w:val="both"/>
        <w:rPr>
          <w:rStyle w:val="s1a844bc0"/>
          <w:rFonts w:ascii="Calibri" w:hAnsi="Calibri" w:cs="Calibri"/>
          <w:iCs/>
          <w:color w:val="000000"/>
          <w:sz w:val="22"/>
          <w:szCs w:val="22"/>
        </w:rPr>
      </w:pPr>
    </w:p>
    <w:p w14:paraId="6201EA68" w14:textId="2B5DA059" w:rsidR="00E05E1E" w:rsidRPr="00E25DAB" w:rsidRDefault="00E05E1E" w:rsidP="009A1B99">
      <w:pPr>
        <w:pStyle w:val="s6e50bd9a"/>
        <w:shd w:val="clear" w:color="auto" w:fill="FFFFFF"/>
        <w:spacing w:before="0" w:beforeAutospacing="0" w:after="0" w:afterAutospacing="0"/>
        <w:ind w:firstLine="567"/>
        <w:jc w:val="both"/>
        <w:rPr>
          <w:rFonts w:ascii="Calibri" w:hAnsi="Calibri" w:cs="Calibri"/>
          <w:sz w:val="22"/>
          <w:szCs w:val="22"/>
        </w:rPr>
      </w:pPr>
      <w:r w:rsidRPr="00E25DAB">
        <w:rPr>
          <w:rFonts w:ascii="Calibri" w:hAnsi="Calibri" w:cs="Calibri"/>
          <w:sz w:val="22"/>
          <w:szCs w:val="22"/>
        </w:rPr>
        <w:t>Išvada: nustatytas Konve</w:t>
      </w:r>
      <w:r w:rsidR="00307841" w:rsidRPr="00E25DAB">
        <w:rPr>
          <w:rFonts w:ascii="Calibri" w:hAnsi="Calibri" w:cs="Calibri"/>
          <w:sz w:val="22"/>
          <w:szCs w:val="22"/>
        </w:rPr>
        <w:t>ncijos 8 straipsnio pažeidimas</w:t>
      </w:r>
      <w:r w:rsidRPr="00E25DAB">
        <w:rPr>
          <w:rFonts w:ascii="Calibri" w:hAnsi="Calibri" w:cs="Calibri"/>
          <w:sz w:val="22"/>
          <w:szCs w:val="22"/>
        </w:rPr>
        <w:t xml:space="preserve">. </w:t>
      </w:r>
    </w:p>
    <w:p w14:paraId="523489E5" w14:textId="77777777" w:rsidR="00D9707A" w:rsidRPr="00E25DAB" w:rsidRDefault="00D9707A" w:rsidP="00D9707A">
      <w:pPr>
        <w:pStyle w:val="s6e50bd9a"/>
        <w:shd w:val="clear" w:color="auto" w:fill="FFFFFF"/>
        <w:spacing w:before="0" w:beforeAutospacing="0" w:after="0" w:afterAutospacing="0"/>
        <w:ind w:firstLine="567"/>
        <w:jc w:val="both"/>
        <w:rPr>
          <w:rFonts w:ascii="Calibri" w:hAnsi="Calibri" w:cs="Calibri"/>
          <w:sz w:val="22"/>
          <w:szCs w:val="22"/>
        </w:rPr>
      </w:pPr>
      <w:r w:rsidRPr="00E25DAB">
        <w:rPr>
          <w:rFonts w:ascii="Calibri" w:hAnsi="Calibri" w:cs="Calibri"/>
          <w:sz w:val="22"/>
          <w:szCs w:val="22"/>
        </w:rPr>
        <w:t xml:space="preserve">(pateikta atskiroji nuomonė) </w:t>
      </w:r>
    </w:p>
    <w:p w14:paraId="54F4C7C2" w14:textId="355B85D8" w:rsidR="00D9707A" w:rsidRPr="00E25DAB" w:rsidRDefault="00D9707A" w:rsidP="00D9707A">
      <w:pPr>
        <w:pStyle w:val="s6c429373"/>
        <w:shd w:val="clear" w:color="auto" w:fill="FFFFFF"/>
        <w:spacing w:before="0" w:beforeAutospacing="0" w:after="0" w:afterAutospacing="0"/>
        <w:ind w:firstLine="567"/>
        <w:jc w:val="both"/>
        <w:rPr>
          <w:rStyle w:val="sfbbfee58"/>
          <w:rFonts w:ascii="Calibri" w:hAnsi="Calibri" w:cs="Calibri"/>
          <w:color w:val="000000"/>
          <w:sz w:val="22"/>
          <w:szCs w:val="22"/>
        </w:rPr>
      </w:pPr>
      <w:r w:rsidRPr="00E25DAB">
        <w:rPr>
          <w:rStyle w:val="sfbbfee58"/>
          <w:rFonts w:ascii="Calibri" w:hAnsi="Calibri" w:cs="Calibri"/>
          <w:color w:val="000000"/>
          <w:sz w:val="22"/>
          <w:szCs w:val="22"/>
        </w:rPr>
        <w:t>41 straipsnis:</w:t>
      </w:r>
      <w:r w:rsidRPr="00E25DAB">
        <w:rPr>
          <w:rFonts w:ascii="Calibri" w:hAnsi="Calibri" w:cs="Calibri"/>
          <w:sz w:val="22"/>
          <w:szCs w:val="22"/>
        </w:rPr>
        <w:t xml:space="preserve"> </w:t>
      </w:r>
      <w:r w:rsidRPr="00E25DAB">
        <w:rPr>
          <w:rStyle w:val="sfbbfee58"/>
          <w:rFonts w:ascii="Calibri" w:hAnsi="Calibri" w:cs="Calibri"/>
          <w:color w:val="000000"/>
          <w:sz w:val="22"/>
          <w:szCs w:val="22"/>
        </w:rPr>
        <w:t>pareiškėjams buvo priteista</w:t>
      </w:r>
      <w:r w:rsidR="004955D1" w:rsidRPr="00E25DAB">
        <w:rPr>
          <w:rStyle w:val="sfbbfee58"/>
          <w:rFonts w:ascii="Calibri" w:hAnsi="Calibri" w:cs="Calibri"/>
          <w:color w:val="000000"/>
          <w:sz w:val="22"/>
          <w:szCs w:val="22"/>
        </w:rPr>
        <w:t xml:space="preserve"> po</w:t>
      </w:r>
      <w:r w:rsidRPr="00E25DAB">
        <w:rPr>
          <w:rStyle w:val="sfbbfee58"/>
          <w:rFonts w:ascii="Calibri" w:hAnsi="Calibri" w:cs="Calibri"/>
          <w:color w:val="000000"/>
          <w:sz w:val="22"/>
          <w:szCs w:val="22"/>
        </w:rPr>
        <w:t xml:space="preserve"> 1 500 Eur neturtinės žal</w:t>
      </w:r>
      <w:r w:rsidR="004955D1" w:rsidRPr="00E25DAB">
        <w:rPr>
          <w:rStyle w:val="sfbbfee58"/>
          <w:rFonts w:ascii="Calibri" w:hAnsi="Calibri" w:cs="Calibri"/>
          <w:color w:val="000000"/>
          <w:sz w:val="22"/>
          <w:szCs w:val="22"/>
        </w:rPr>
        <w:t>os atlyginimo</w:t>
      </w:r>
      <w:r w:rsidRPr="00E25DAB">
        <w:rPr>
          <w:rStyle w:val="sfbbfee58"/>
          <w:rFonts w:ascii="Calibri" w:hAnsi="Calibri" w:cs="Calibri"/>
          <w:color w:val="000000"/>
          <w:sz w:val="22"/>
          <w:szCs w:val="22"/>
        </w:rPr>
        <w:t>.</w:t>
      </w:r>
    </w:p>
    <w:p w14:paraId="3290DFF1" w14:textId="22FD4876" w:rsidR="00E05E1E" w:rsidRPr="00E25DAB" w:rsidRDefault="00907E3B" w:rsidP="009A1B99">
      <w:pPr>
        <w:spacing w:after="0" w:line="240" w:lineRule="auto"/>
        <w:ind w:firstLine="567"/>
        <w:rPr>
          <w:rStyle w:val="Hipersaitas"/>
          <w:rFonts w:ascii="Calibri" w:eastAsia="Times New Roman" w:hAnsi="Calibri" w:cs="Calibri"/>
          <w:lang w:eastAsia="lt-LT"/>
        </w:rPr>
      </w:pPr>
      <w:hyperlink r:id="rId25" w:history="1">
        <w:r w:rsidR="00E05E1E" w:rsidRPr="00E25DAB">
          <w:rPr>
            <w:rStyle w:val="Hipersaitas"/>
            <w:rFonts w:ascii="Calibri" w:eastAsia="Times New Roman" w:hAnsi="Calibri" w:cs="Calibri"/>
            <w:lang w:eastAsia="lt-LT"/>
          </w:rPr>
          <w:t>Prieiga internete</w:t>
        </w:r>
      </w:hyperlink>
    </w:p>
    <w:p w14:paraId="2740A016" w14:textId="77777777" w:rsidR="00B14A16" w:rsidRPr="00E25DAB" w:rsidRDefault="00B14A16" w:rsidP="009A1B99">
      <w:pPr>
        <w:spacing w:after="0" w:line="240" w:lineRule="auto"/>
        <w:ind w:firstLine="567"/>
        <w:rPr>
          <w:rFonts w:ascii="Calibri" w:eastAsia="Times New Roman" w:hAnsi="Calibri" w:cs="Calibri"/>
          <w:lang w:eastAsia="lt-LT"/>
        </w:rPr>
      </w:pPr>
    </w:p>
    <w:p w14:paraId="3F5D1CCC" w14:textId="77777777" w:rsidR="00C21437" w:rsidRPr="00E25DAB" w:rsidRDefault="00C21437" w:rsidP="009A1B99">
      <w:pPr>
        <w:pStyle w:val="Antrat1"/>
        <w:spacing w:before="0"/>
        <w:rPr>
          <w:rFonts w:ascii="Calibri" w:hAnsi="Calibri" w:cs="Calibri"/>
          <w:kern w:val="32"/>
          <w:szCs w:val="22"/>
        </w:rPr>
      </w:pPr>
      <w:bookmarkStart w:id="49" w:name="_Toc469559984"/>
      <w:bookmarkStart w:id="50" w:name="_Toc527116511"/>
      <w:bookmarkStart w:id="51" w:name="_Toc19877708"/>
      <w:r w:rsidRPr="00E25DAB">
        <w:rPr>
          <w:rFonts w:ascii="Calibri" w:hAnsi="Calibri" w:cs="Calibri"/>
          <w:kern w:val="32"/>
          <w:szCs w:val="22"/>
        </w:rPr>
        <w:t>SAVIRAIŠKOS LAISVĖ (10 straipsnis)</w:t>
      </w:r>
      <w:bookmarkEnd w:id="49"/>
      <w:bookmarkEnd w:id="50"/>
      <w:bookmarkEnd w:id="51"/>
    </w:p>
    <w:p w14:paraId="23078514" w14:textId="77777777" w:rsidR="00DC7996" w:rsidRPr="00E25DAB" w:rsidRDefault="00DC7996" w:rsidP="009A1B99">
      <w:pPr>
        <w:spacing w:after="0" w:line="240" w:lineRule="auto"/>
        <w:rPr>
          <w:rFonts w:ascii="Calibri" w:hAnsi="Calibri" w:cs="Calibri"/>
        </w:rPr>
      </w:pPr>
    </w:p>
    <w:p w14:paraId="3AF77E4D" w14:textId="77777777" w:rsidR="0002415A" w:rsidRPr="00E25DAB" w:rsidRDefault="0002415A" w:rsidP="0002415A">
      <w:pPr>
        <w:spacing w:after="0" w:line="240" w:lineRule="auto"/>
        <w:jc w:val="center"/>
        <w:rPr>
          <w:rFonts w:ascii="Calibri" w:hAnsi="Calibri" w:cs="Calibri"/>
          <w:b/>
        </w:rPr>
      </w:pPr>
      <w:r w:rsidRPr="00E25DAB">
        <w:rPr>
          <w:rFonts w:ascii="Calibri" w:hAnsi="Calibri" w:cs="Calibri"/>
          <w:b/>
        </w:rPr>
        <w:t>Europos Žmogaus Teisių Teismo 2019 m. sausio 8 d. sprendimas byloje</w:t>
      </w:r>
    </w:p>
    <w:p w14:paraId="43B512BC" w14:textId="77777777" w:rsidR="0002415A" w:rsidRPr="00E25DAB" w:rsidRDefault="0002415A" w:rsidP="0002415A">
      <w:pPr>
        <w:pStyle w:val="Antrat2"/>
        <w:ind w:firstLine="0"/>
        <w:jc w:val="center"/>
        <w:rPr>
          <w:rFonts w:ascii="Calibri" w:eastAsia="Calibri" w:hAnsi="Calibri" w:cs="Calibri"/>
          <w:i/>
        </w:rPr>
      </w:pPr>
      <w:bookmarkStart w:id="52" w:name="_Toc15309258"/>
      <w:bookmarkStart w:id="53" w:name="_Toc19877709"/>
      <w:r w:rsidRPr="00E25DAB">
        <w:rPr>
          <w:rFonts w:ascii="Calibri" w:hAnsi="Calibri" w:cs="Calibri"/>
          <w:i/>
        </w:rPr>
        <w:t xml:space="preserve">Prunea ir kiti </w:t>
      </w:r>
      <w:r w:rsidRPr="00E25DAB">
        <w:rPr>
          <w:rFonts w:eastAsia="Calibri"/>
          <w:i/>
        </w:rPr>
        <w:t>prieš Rumuniją</w:t>
      </w:r>
      <w:bookmarkEnd w:id="52"/>
      <w:bookmarkEnd w:id="53"/>
    </w:p>
    <w:p w14:paraId="149C8A12" w14:textId="77777777" w:rsidR="0002415A" w:rsidRPr="00E25DAB" w:rsidRDefault="0002415A" w:rsidP="0002415A">
      <w:pPr>
        <w:spacing w:after="0" w:line="240" w:lineRule="auto"/>
        <w:jc w:val="center"/>
        <w:rPr>
          <w:rFonts w:ascii="Calibri" w:hAnsi="Calibri" w:cs="Calibri"/>
          <w:b/>
        </w:rPr>
      </w:pPr>
      <w:r w:rsidRPr="00E25DAB">
        <w:rPr>
          <w:rFonts w:ascii="Calibri" w:hAnsi="Calibri" w:cs="Calibri"/>
          <w:b/>
        </w:rPr>
        <w:t>(pareiškimo Nr. 47881/11, svarbos lygis – 2)</w:t>
      </w:r>
    </w:p>
    <w:p w14:paraId="54698ADC" w14:textId="77777777" w:rsidR="0002415A" w:rsidRPr="00E25DAB" w:rsidRDefault="0002415A" w:rsidP="0002415A">
      <w:pPr>
        <w:spacing w:after="0" w:line="240" w:lineRule="auto"/>
        <w:jc w:val="center"/>
        <w:rPr>
          <w:rFonts w:ascii="Calibri" w:hAnsi="Calibri" w:cs="Calibri"/>
        </w:rPr>
      </w:pPr>
    </w:p>
    <w:p w14:paraId="70010E35" w14:textId="77777777" w:rsidR="0002415A" w:rsidRPr="00E25DAB" w:rsidRDefault="0002415A" w:rsidP="0002415A">
      <w:pPr>
        <w:pStyle w:val="Antrat3"/>
        <w:spacing w:before="0" w:line="240" w:lineRule="auto"/>
        <w:ind w:firstLine="567"/>
        <w:jc w:val="both"/>
        <w:rPr>
          <w:rFonts w:ascii="Calibri" w:eastAsia="Times New Roman" w:hAnsi="Calibri" w:cs="Calibri"/>
          <w:szCs w:val="22"/>
          <w:shd w:val="clear" w:color="auto" w:fill="FFFFFF"/>
          <w:lang w:eastAsia="lt-LT"/>
        </w:rPr>
      </w:pPr>
      <w:bookmarkStart w:id="54" w:name="_Toc15309259"/>
      <w:bookmarkStart w:id="55" w:name="_Toc19877710"/>
      <w:r w:rsidRPr="00E25DAB">
        <w:rPr>
          <w:rFonts w:ascii="Calibri" w:eastAsia="Times New Roman" w:hAnsi="Calibri" w:cs="Calibri"/>
          <w:szCs w:val="22"/>
          <w:shd w:val="clear" w:color="auto" w:fill="FFFFFF"/>
          <w:lang w:eastAsia="lt-LT"/>
        </w:rPr>
        <w:t>Dėl su Konvencija suderinamos sankcijos asmeniui už kritiką kandidatui rinkimuose</w:t>
      </w:r>
      <w:bookmarkEnd w:id="54"/>
      <w:bookmarkEnd w:id="55"/>
    </w:p>
    <w:p w14:paraId="738B03DB" w14:textId="77777777" w:rsidR="0002415A" w:rsidRPr="00E25DAB" w:rsidRDefault="0002415A" w:rsidP="0002415A">
      <w:pPr>
        <w:spacing w:after="0" w:line="240" w:lineRule="auto"/>
        <w:jc w:val="center"/>
        <w:rPr>
          <w:rFonts w:ascii="Calibri" w:hAnsi="Calibri" w:cs="Calibri"/>
          <w:b/>
        </w:rPr>
      </w:pPr>
    </w:p>
    <w:p w14:paraId="371FEB76" w14:textId="77777777" w:rsidR="0002415A" w:rsidRPr="00E25DAB" w:rsidRDefault="0002415A" w:rsidP="0002415A">
      <w:pPr>
        <w:spacing w:after="0" w:line="240" w:lineRule="auto"/>
        <w:jc w:val="center"/>
        <w:rPr>
          <w:rFonts w:ascii="Calibri" w:hAnsi="Calibri" w:cs="Calibri"/>
          <w:b/>
        </w:rPr>
      </w:pPr>
      <w:r w:rsidRPr="00E25DAB">
        <w:rPr>
          <w:rFonts w:ascii="Calibri" w:hAnsi="Calibri" w:cs="Calibri"/>
          <w:b/>
        </w:rPr>
        <w:t>Faktinės aplinkybės</w:t>
      </w:r>
    </w:p>
    <w:p w14:paraId="5E98CDEE" w14:textId="77777777" w:rsidR="0002415A" w:rsidRPr="00E25DAB" w:rsidRDefault="0002415A" w:rsidP="0002415A">
      <w:pPr>
        <w:spacing w:after="0" w:line="240" w:lineRule="auto"/>
        <w:ind w:firstLine="540"/>
        <w:jc w:val="center"/>
        <w:rPr>
          <w:rFonts w:ascii="Calibri" w:hAnsi="Calibri" w:cs="Calibri"/>
          <w:b/>
        </w:rPr>
      </w:pPr>
    </w:p>
    <w:p w14:paraId="272108EA" w14:textId="28188D79" w:rsidR="0002415A" w:rsidRPr="00E25DAB" w:rsidRDefault="0002415A" w:rsidP="0002415A">
      <w:pPr>
        <w:spacing w:after="0" w:line="240" w:lineRule="auto"/>
        <w:ind w:firstLine="567"/>
        <w:jc w:val="both"/>
        <w:rPr>
          <w:rFonts w:ascii="Calibri" w:hAnsi="Calibri" w:cs="Calibri"/>
        </w:rPr>
      </w:pPr>
      <w:r w:rsidRPr="00E25DAB">
        <w:rPr>
          <w:rFonts w:ascii="Calibri" w:hAnsi="Calibri" w:cs="Calibri"/>
        </w:rPr>
        <w:t xml:space="preserve">Pareiškėjas šioje byloje </w:t>
      </w:r>
      <w:r w:rsidR="00D760C8" w:rsidRPr="00E25DAB">
        <w:rPr>
          <w:rFonts w:ascii="Calibri" w:hAnsi="Calibri" w:cs="Calibri"/>
        </w:rPr>
        <w:t>buvo</w:t>
      </w:r>
      <w:r w:rsidRPr="00E25DAB">
        <w:rPr>
          <w:rFonts w:ascii="Calibri" w:hAnsi="Calibri" w:cs="Calibri"/>
        </w:rPr>
        <w:t xml:space="preserve"> universiteto profesorius bei įvairiuose žurnaluose ir laikraščiuose publikuojamas autorius. Viename iš savo straipsnių jis pasisakė apie kandidatą rinkimuose, atstovavusį Rumunijos politin</w:t>
      </w:r>
      <w:r w:rsidR="00B71B5E">
        <w:rPr>
          <w:rFonts w:ascii="Calibri" w:hAnsi="Calibri" w:cs="Calibri"/>
        </w:rPr>
        <w:t>ei</w:t>
      </w:r>
      <w:r w:rsidRPr="00E25DAB">
        <w:rPr>
          <w:rFonts w:ascii="Calibri" w:hAnsi="Calibri" w:cs="Calibri"/>
        </w:rPr>
        <w:t xml:space="preserve"> partij</w:t>
      </w:r>
      <w:r w:rsidR="00B71B5E">
        <w:rPr>
          <w:rFonts w:ascii="Calibri" w:hAnsi="Calibri" w:cs="Calibri"/>
        </w:rPr>
        <w:t>ai</w:t>
      </w:r>
      <w:r w:rsidRPr="00E25DAB">
        <w:rPr>
          <w:rFonts w:ascii="Calibri" w:hAnsi="Calibri" w:cs="Calibri"/>
        </w:rPr>
        <w:t xml:space="preserve"> parlamento rinkimuose. Straipsnyje autorius pristatė komercinį ginčą tarp kandidato ir brokerių įmonės. Pareiškėjo teiginiai buvo perspausdinti rinkiminėse skrajutėse, kurios buvo dalinamos keliose viešose vietose. Aptartas kandidatas nacionaliniuose teismuose laimėjo civilinį ginčą prieš pareiškėją dėl šmeižto.</w:t>
      </w:r>
    </w:p>
    <w:p w14:paraId="395FD09A" w14:textId="77777777" w:rsidR="0002415A" w:rsidRPr="00E25DAB" w:rsidRDefault="0002415A" w:rsidP="0002415A">
      <w:pPr>
        <w:spacing w:after="0" w:line="240" w:lineRule="auto"/>
        <w:ind w:firstLine="567"/>
        <w:jc w:val="both"/>
        <w:rPr>
          <w:rFonts w:ascii="Calibri" w:hAnsi="Calibri" w:cs="Calibri"/>
        </w:rPr>
      </w:pPr>
    </w:p>
    <w:p w14:paraId="2BD26463" w14:textId="77777777" w:rsidR="0002415A" w:rsidRPr="00E25DAB" w:rsidRDefault="0002415A" w:rsidP="0002415A">
      <w:pPr>
        <w:spacing w:after="0" w:line="240" w:lineRule="auto"/>
        <w:jc w:val="center"/>
        <w:rPr>
          <w:rFonts w:ascii="Calibri" w:hAnsi="Calibri" w:cs="Calibri"/>
        </w:rPr>
      </w:pPr>
      <w:r w:rsidRPr="00E25DAB">
        <w:rPr>
          <w:rFonts w:ascii="Calibri" w:hAnsi="Calibri" w:cs="Calibri"/>
          <w:b/>
        </w:rPr>
        <w:t>Neoficiali Teismo sprendimo apžvalga</w:t>
      </w:r>
    </w:p>
    <w:p w14:paraId="4161E588" w14:textId="77777777" w:rsidR="0002415A" w:rsidRPr="00E25DAB" w:rsidRDefault="0002415A" w:rsidP="0002415A">
      <w:pPr>
        <w:spacing w:after="0" w:line="240" w:lineRule="auto"/>
        <w:ind w:firstLine="540"/>
        <w:jc w:val="both"/>
        <w:rPr>
          <w:rFonts w:ascii="Calibri" w:hAnsi="Calibri" w:cs="Calibri"/>
        </w:rPr>
      </w:pPr>
    </w:p>
    <w:p w14:paraId="63AF7BC1" w14:textId="50F827C2" w:rsidR="0002415A" w:rsidRPr="00E25DAB" w:rsidRDefault="0002415A" w:rsidP="0002415A">
      <w:pPr>
        <w:spacing w:after="0" w:line="240" w:lineRule="auto"/>
        <w:ind w:firstLine="540"/>
        <w:jc w:val="both"/>
        <w:rPr>
          <w:rFonts w:ascii="Calibri" w:hAnsi="Calibri" w:cs="Calibri"/>
        </w:rPr>
      </w:pPr>
      <w:r w:rsidRPr="00E25DAB">
        <w:rPr>
          <w:rFonts w:ascii="Calibri" w:hAnsi="Calibri" w:cs="Calibri"/>
        </w:rPr>
        <w:t>Pareiškėjo kritika buvo nukreipta į politiką, kurio atžvilgiu priimtinos kritikos ribos yra platesnės</w:t>
      </w:r>
      <w:bookmarkStart w:id="56" w:name="_GoBack"/>
      <w:bookmarkEnd w:id="56"/>
      <w:r w:rsidRPr="00E25DAB">
        <w:rPr>
          <w:rFonts w:ascii="Calibri" w:hAnsi="Calibri" w:cs="Calibri"/>
        </w:rPr>
        <w:t xml:space="preserve"> negu įprastai privataus asmens atžvilgiu. Dalyvaudamas parlamento rinkimuose kandidatas įžengė į politinį gyvenimą ir neišvengiamai, pats tai suprasdamas, save pateikė nuodugniam aptarinėjimui. Dėl šių priežasčių, jis privalėjo pademonstruoti aukštesnio laipsnio toleranciją.</w:t>
      </w:r>
    </w:p>
    <w:p w14:paraId="5E2B83C9" w14:textId="744046DC" w:rsidR="0002415A" w:rsidRPr="00E25DAB" w:rsidRDefault="0002415A" w:rsidP="0002415A">
      <w:pPr>
        <w:spacing w:after="0" w:line="240" w:lineRule="auto"/>
        <w:ind w:firstLine="540"/>
        <w:jc w:val="both"/>
        <w:rPr>
          <w:rFonts w:ascii="Calibri" w:hAnsi="Calibri" w:cs="Calibri"/>
        </w:rPr>
      </w:pPr>
      <w:r w:rsidRPr="00E25DAB">
        <w:rPr>
          <w:rFonts w:ascii="Calibri" w:hAnsi="Calibri" w:cs="Calibri"/>
        </w:rPr>
        <w:t>Nepaisant to, nacionaliniai teismai nustatė, kad pareiškėjo teiginiai žalojo pareiškėjo reputaciją ir orumą, tad negalėjo būti viešinami per spaudą, ypač turint omenyje tai, kad jie buvo susiję su privačiais reikalais. Nacionaliniai teismai atsižvelgė į kontekstą, kuriame ginčyti kaltinimai buvo pareikšti, tai yra, rinkimų kampaniją, ir patvirtino aplinkybę, kad šie teiginiai susiję su viešu interesu, nes buvo apie viešą asmenį. Byloje buvo svarbu, kad patenkindami ieškinį prieš pareiškėją nacionaliniai teismai apsvarstė, kad jis nesiekė kritikuoti kandidato, kaip viešo asmens, veiklos, o viešai atskleidė vienareikšmišką požiūrį apie privatų komercinio pobūdžio bylinėjimąsi tarp dviejų privačių asmenų. Šiuo aspektu nacionaliniai teismai taip pat konstatavo, kad pareiškėjas neįvykdė minimalių savo veiklai keliamų reikalavimų, nes neveikė gera valia.</w:t>
      </w:r>
    </w:p>
    <w:p w14:paraId="466BACB5" w14:textId="77777777" w:rsidR="0002415A" w:rsidRPr="00E25DAB" w:rsidRDefault="0002415A" w:rsidP="0002415A">
      <w:pPr>
        <w:spacing w:after="0" w:line="240" w:lineRule="auto"/>
        <w:ind w:firstLine="540"/>
        <w:jc w:val="both"/>
        <w:rPr>
          <w:rFonts w:ascii="Calibri" w:hAnsi="Calibri" w:cs="Calibri"/>
        </w:rPr>
      </w:pPr>
      <w:r w:rsidRPr="00E25DAB">
        <w:rPr>
          <w:rFonts w:ascii="Calibri" w:hAnsi="Calibri" w:cs="Calibri"/>
        </w:rPr>
        <w:t>EŽTT sutiko su nacionaliniais teismais dėl to, kad ginčytais teiginiais buvo puolama kandidato reputacija ir jų intensyvumas pasiekė rimtumo lygį, turėjusį įtakos asmenis naudojimuisi savo teise į privataus gyvenimo gerbimą, kurį gina Konvencijos 8 straipsnis. Nacionaliniai teismai pasirinko tinkamą pusiausvyrą tarp šiuo atveju konkuravusių teisių, kuri atitiko EŽTT jurisprudencijoje įtvirtintus kriterijus. Be to, teismai įtikinančiai patvirtino poreikį suteikti prioritetą kandidato teisei į reputacijos apsaugą prieš pareiškėjo teisę į saviraišką. Norint paneigti nacionalinių teismų poziciją EŽTT būtų prireikę svarių argumentų, kurių šioje byloje nebuvo aptikta.</w:t>
      </w:r>
    </w:p>
    <w:p w14:paraId="2BCD6ACE" w14:textId="77777777" w:rsidR="0002415A" w:rsidRPr="00E25DAB" w:rsidRDefault="0002415A" w:rsidP="0002415A">
      <w:pPr>
        <w:spacing w:after="0" w:line="240" w:lineRule="auto"/>
        <w:ind w:firstLine="540"/>
        <w:jc w:val="both"/>
        <w:rPr>
          <w:rFonts w:ascii="Calibri" w:hAnsi="Calibri" w:cs="Calibri"/>
        </w:rPr>
      </w:pPr>
      <w:r w:rsidRPr="00E25DAB">
        <w:rPr>
          <w:rFonts w:ascii="Calibri" w:hAnsi="Calibri" w:cs="Calibri"/>
        </w:rPr>
        <w:t>Galutinai vertinant pareiškėjo nusiskundimus, EŽTT paminėjo, kad jam paskirta 5 000 EUR sankcija negalėjo būti pripažįstama neproporcingai griežta ir negalėjo būti laikoma galinčia sukelti „atvėsinantį“ atgrasantį efektą tolesniam pareiškėjo naudojimuisi savo saviraiškos laisve.</w:t>
      </w:r>
    </w:p>
    <w:p w14:paraId="10717754" w14:textId="77777777" w:rsidR="003B4852" w:rsidRPr="00E25DAB" w:rsidRDefault="003B4852" w:rsidP="0002415A">
      <w:pPr>
        <w:spacing w:after="0" w:line="240" w:lineRule="auto"/>
        <w:ind w:firstLine="540"/>
        <w:jc w:val="both"/>
        <w:rPr>
          <w:rFonts w:ascii="Calibri" w:hAnsi="Calibri" w:cs="Calibri"/>
        </w:rPr>
      </w:pPr>
    </w:p>
    <w:p w14:paraId="02872C85" w14:textId="5FC33C90" w:rsidR="0002415A" w:rsidRPr="00E25DAB" w:rsidRDefault="003B4852" w:rsidP="00D760C8">
      <w:pPr>
        <w:spacing w:after="0" w:line="240" w:lineRule="auto"/>
        <w:ind w:firstLine="540"/>
        <w:jc w:val="both"/>
        <w:rPr>
          <w:rFonts w:ascii="Calibri" w:hAnsi="Calibri" w:cs="Calibri"/>
        </w:rPr>
      </w:pPr>
      <w:r w:rsidRPr="00E25DAB">
        <w:rPr>
          <w:rFonts w:ascii="Calibri" w:hAnsi="Calibri" w:cs="Calibri"/>
        </w:rPr>
        <w:t>Išvada:</w:t>
      </w:r>
      <w:r w:rsidR="0002415A" w:rsidRPr="00E25DAB">
        <w:rPr>
          <w:rFonts w:ascii="Calibri" w:hAnsi="Calibri" w:cs="Calibri"/>
        </w:rPr>
        <w:t xml:space="preserve"> Konvencijos 10 straipsnis nebuvo pažeistas</w:t>
      </w:r>
      <w:r w:rsidR="00D760C8" w:rsidRPr="00E25DAB">
        <w:rPr>
          <w:rFonts w:ascii="Calibri" w:hAnsi="Calibri" w:cs="Calibri"/>
        </w:rPr>
        <w:t xml:space="preserve"> (5 balsai prieš 2)</w:t>
      </w:r>
      <w:r w:rsidR="0002415A" w:rsidRPr="00E25DAB">
        <w:rPr>
          <w:rFonts w:ascii="Calibri" w:hAnsi="Calibri" w:cs="Calibri"/>
        </w:rPr>
        <w:t>.</w:t>
      </w:r>
    </w:p>
    <w:p w14:paraId="5FF7587F" w14:textId="2F0AE777" w:rsidR="00D760C8" w:rsidRPr="00E25DAB" w:rsidRDefault="00D760C8" w:rsidP="00D760C8">
      <w:pPr>
        <w:spacing w:after="0" w:line="240" w:lineRule="auto"/>
        <w:ind w:firstLine="540"/>
        <w:jc w:val="both"/>
        <w:rPr>
          <w:rFonts w:ascii="Calibri" w:hAnsi="Calibri" w:cs="Calibri"/>
        </w:rPr>
      </w:pPr>
      <w:r w:rsidRPr="00E25DAB">
        <w:rPr>
          <w:rFonts w:ascii="Calibri" w:hAnsi="Calibri" w:cs="Calibri"/>
        </w:rPr>
        <w:lastRenderedPageBreak/>
        <w:t>(pateikta bendra dviejų teisėjų atskiroji nuomonė)</w:t>
      </w:r>
    </w:p>
    <w:p w14:paraId="16C388F7" w14:textId="77777777" w:rsidR="0002415A" w:rsidRPr="00E25DAB" w:rsidRDefault="00907E3B" w:rsidP="0002415A">
      <w:pPr>
        <w:pStyle w:val="s6c429373"/>
        <w:shd w:val="clear" w:color="auto" w:fill="FFFFFF"/>
        <w:spacing w:before="0" w:beforeAutospacing="0" w:after="0" w:afterAutospacing="0"/>
        <w:ind w:firstLine="567"/>
        <w:jc w:val="both"/>
        <w:rPr>
          <w:rStyle w:val="sfbbfee58"/>
          <w:rFonts w:ascii="Calibri" w:hAnsi="Calibri" w:cs="Calibri"/>
          <w:color w:val="000000"/>
          <w:sz w:val="22"/>
          <w:szCs w:val="22"/>
        </w:rPr>
      </w:pPr>
      <w:hyperlink r:id="rId26" w:history="1">
        <w:r w:rsidR="0002415A" w:rsidRPr="00E25DAB">
          <w:rPr>
            <w:rStyle w:val="Hipersaitas"/>
            <w:rFonts w:ascii="Calibri" w:hAnsi="Calibri" w:cs="Calibri"/>
            <w:sz w:val="22"/>
            <w:szCs w:val="22"/>
          </w:rPr>
          <w:t>Prieiga internete</w:t>
        </w:r>
      </w:hyperlink>
      <w:r w:rsidR="0002415A" w:rsidRPr="00E25DAB">
        <w:rPr>
          <w:rStyle w:val="sfbbfee58"/>
          <w:rFonts w:ascii="Calibri" w:hAnsi="Calibri" w:cs="Calibri"/>
          <w:color w:val="000000"/>
          <w:sz w:val="22"/>
          <w:szCs w:val="22"/>
        </w:rPr>
        <w:t xml:space="preserve"> </w:t>
      </w:r>
    </w:p>
    <w:p w14:paraId="707B083A" w14:textId="77777777" w:rsidR="0002415A" w:rsidRPr="00E25DAB" w:rsidRDefault="0002415A" w:rsidP="009A1B99">
      <w:pPr>
        <w:spacing w:after="0" w:line="240" w:lineRule="auto"/>
        <w:rPr>
          <w:rFonts w:ascii="Calibri" w:hAnsi="Calibri" w:cs="Calibri"/>
        </w:rPr>
      </w:pPr>
    </w:p>
    <w:p w14:paraId="6426FE0A" w14:textId="3590DBF6" w:rsidR="007B1F05" w:rsidRPr="00E25DAB" w:rsidRDefault="007B1F05" w:rsidP="007B1F05">
      <w:pPr>
        <w:pStyle w:val="Antrat1"/>
        <w:keepLines w:val="0"/>
        <w:tabs>
          <w:tab w:val="right" w:leader="dot" w:pos="9639"/>
        </w:tabs>
        <w:spacing w:before="0"/>
        <w:ind w:right="6"/>
        <w:rPr>
          <w:szCs w:val="22"/>
        </w:rPr>
      </w:pPr>
      <w:bookmarkStart w:id="57" w:name="_Toc490820973"/>
      <w:bookmarkStart w:id="58" w:name="_Toc19877711"/>
      <w:r w:rsidRPr="00E25DAB">
        <w:rPr>
          <w:szCs w:val="22"/>
        </w:rPr>
        <w:t>TEISĖ Į MOKSLĄ (Konvencijos Pirmojo Protokolo 2 straipsnis)</w:t>
      </w:r>
      <w:bookmarkEnd w:id="57"/>
      <w:bookmarkEnd w:id="58"/>
    </w:p>
    <w:p w14:paraId="5D761CCB" w14:textId="77777777" w:rsidR="00EF1D24" w:rsidRPr="00E25DAB" w:rsidRDefault="00EF1D24" w:rsidP="00EF1D24">
      <w:pPr>
        <w:spacing w:after="0" w:line="240" w:lineRule="auto"/>
      </w:pPr>
    </w:p>
    <w:p w14:paraId="6E1EEC4F" w14:textId="77777777" w:rsidR="007B1F05" w:rsidRPr="00E25DAB" w:rsidRDefault="007B1F05" w:rsidP="00EF1D24">
      <w:pPr>
        <w:spacing w:after="0" w:line="240" w:lineRule="auto"/>
        <w:jc w:val="center"/>
        <w:rPr>
          <w:rFonts w:cs="Arial"/>
          <w:b/>
        </w:rPr>
      </w:pPr>
      <w:r w:rsidRPr="00E25DAB">
        <w:rPr>
          <w:rFonts w:cs="Arial"/>
          <w:b/>
        </w:rPr>
        <w:t>Europos Žmogaus Teisių Teismo 2019 m. birželio 18 d. sprendimas byloje</w:t>
      </w:r>
    </w:p>
    <w:p w14:paraId="335C7A67" w14:textId="77777777" w:rsidR="007B1F05" w:rsidRPr="00E25DAB" w:rsidRDefault="007B1F05" w:rsidP="007B1F05">
      <w:pPr>
        <w:pStyle w:val="Antrat2"/>
        <w:jc w:val="center"/>
        <w:rPr>
          <w:i/>
        </w:rPr>
      </w:pPr>
      <w:bookmarkStart w:id="59" w:name="_Toc19877712"/>
      <w:r w:rsidRPr="00E25DAB">
        <w:rPr>
          <w:i/>
        </w:rPr>
        <w:t xml:space="preserve">Mehmet Reşit Arslan and </w:t>
      </w:r>
      <w:r w:rsidRPr="00E25DAB">
        <w:rPr>
          <w:rFonts w:eastAsia="Calibri"/>
          <w:i/>
        </w:rPr>
        <w:t>Orhan Bingöl prieš Turkiją</w:t>
      </w:r>
      <w:bookmarkEnd w:id="59"/>
    </w:p>
    <w:p w14:paraId="7DD083E0" w14:textId="714B7BCD" w:rsidR="007B1F05" w:rsidRPr="00E25DAB" w:rsidRDefault="007B1F05" w:rsidP="007B1F05">
      <w:pPr>
        <w:spacing w:after="0" w:line="240" w:lineRule="auto"/>
        <w:jc w:val="center"/>
        <w:rPr>
          <w:rFonts w:cs="Arial"/>
          <w:b/>
        </w:rPr>
      </w:pPr>
      <w:r w:rsidRPr="00E25DAB">
        <w:rPr>
          <w:rFonts w:cs="Arial"/>
          <w:b/>
        </w:rPr>
        <w:t xml:space="preserve">(pareiškimų Nr. 47121/06, Nr. 13988/07 ir Nr. 34750/07, </w:t>
      </w:r>
      <w:r w:rsidR="00930AFB" w:rsidRPr="00E25DAB">
        <w:rPr>
          <w:rFonts w:cs="Arial"/>
          <w:b/>
        </w:rPr>
        <w:t>svarbos lygis – 2</w:t>
      </w:r>
      <w:r w:rsidRPr="00E25DAB">
        <w:rPr>
          <w:rFonts w:cs="Arial"/>
          <w:b/>
        </w:rPr>
        <w:t>)</w:t>
      </w:r>
    </w:p>
    <w:p w14:paraId="43602D00" w14:textId="77777777" w:rsidR="007B1F05" w:rsidRPr="00E25DAB" w:rsidRDefault="007B1F05" w:rsidP="007B1F05">
      <w:pPr>
        <w:spacing w:after="0" w:line="240" w:lineRule="auto"/>
        <w:jc w:val="center"/>
        <w:rPr>
          <w:rFonts w:cs="Arial"/>
        </w:rPr>
      </w:pPr>
    </w:p>
    <w:p w14:paraId="5BAB1FF5" w14:textId="77D96340" w:rsidR="007B1F05" w:rsidRPr="00E25DAB" w:rsidRDefault="007B1F05" w:rsidP="007B1F05">
      <w:pPr>
        <w:pStyle w:val="Antrat3"/>
        <w:spacing w:before="0" w:line="240" w:lineRule="auto"/>
        <w:ind w:firstLine="567"/>
        <w:jc w:val="both"/>
      </w:pPr>
      <w:bookmarkStart w:id="60" w:name="_Toc19877713"/>
      <w:r w:rsidRPr="00E25DAB">
        <w:rPr>
          <w:shd w:val="clear" w:color="auto" w:fill="FFFFFF"/>
          <w:lang w:eastAsia="lt-LT"/>
        </w:rPr>
        <w:t xml:space="preserve">Dėl </w:t>
      </w:r>
      <w:r w:rsidRPr="00E25DAB">
        <w:rPr>
          <w:rStyle w:val="tlid-translation"/>
          <w:rFonts w:eastAsia="Calibri"/>
        </w:rPr>
        <w:t xml:space="preserve">teisės į mokslą </w:t>
      </w:r>
      <w:r w:rsidRPr="00E25DAB">
        <w:t>pažeidimo</w:t>
      </w:r>
      <w:r w:rsidR="00930AFB" w:rsidRPr="00E25DAB">
        <w:t>,</w:t>
      </w:r>
      <w:r w:rsidRPr="00E25DAB">
        <w:t xml:space="preserve"> neleidžiant kaliniams naudotis kompiuteriais ir interneto prieiga</w:t>
      </w:r>
      <w:bookmarkEnd w:id="60"/>
    </w:p>
    <w:p w14:paraId="4EF5D45E" w14:textId="77777777" w:rsidR="007B1F05" w:rsidRPr="00E25DAB" w:rsidRDefault="007B1F05" w:rsidP="007B1F05">
      <w:pPr>
        <w:spacing w:after="0" w:line="240" w:lineRule="auto"/>
        <w:jc w:val="center"/>
        <w:rPr>
          <w:rFonts w:cs="Arial"/>
          <w:b/>
        </w:rPr>
      </w:pPr>
    </w:p>
    <w:p w14:paraId="47E0F63C" w14:textId="77777777" w:rsidR="007B1F05" w:rsidRPr="00E25DAB" w:rsidRDefault="007B1F05" w:rsidP="007B1F05">
      <w:pPr>
        <w:spacing w:after="0" w:line="240" w:lineRule="auto"/>
        <w:jc w:val="center"/>
        <w:rPr>
          <w:rFonts w:cs="Arial"/>
          <w:b/>
        </w:rPr>
      </w:pPr>
      <w:r w:rsidRPr="00E25DAB">
        <w:rPr>
          <w:rFonts w:cs="Arial"/>
          <w:b/>
        </w:rPr>
        <w:t>Faktinės aplinkybės</w:t>
      </w:r>
    </w:p>
    <w:p w14:paraId="1C533EB4" w14:textId="77777777" w:rsidR="007B1F05" w:rsidRPr="00E25DAB" w:rsidRDefault="007B1F05" w:rsidP="007B1F05">
      <w:pPr>
        <w:spacing w:after="0" w:line="240" w:lineRule="auto"/>
        <w:ind w:firstLine="540"/>
        <w:jc w:val="center"/>
        <w:rPr>
          <w:rFonts w:cs="Arial"/>
          <w:b/>
        </w:rPr>
      </w:pPr>
    </w:p>
    <w:p w14:paraId="4099503D" w14:textId="77777777" w:rsidR="007B1F05" w:rsidRPr="00E25DAB" w:rsidRDefault="007B1F05" w:rsidP="007B1F05">
      <w:pPr>
        <w:spacing w:after="0" w:line="240" w:lineRule="auto"/>
        <w:ind w:firstLine="567"/>
        <w:jc w:val="both"/>
        <w:rPr>
          <w:rFonts w:cs="Arial"/>
        </w:rPr>
      </w:pPr>
      <w:r w:rsidRPr="00E25DAB">
        <w:rPr>
          <w:rFonts w:cs="Arial"/>
        </w:rPr>
        <w:t>Pareiškėjai, Turkijos piliečiai, buvo nuteisti dėl narystės neteisėtoje ginkluotoje organizacijoje ir atliko laisvės atėmimo bausmes iki gyvos galvos.</w:t>
      </w:r>
    </w:p>
    <w:p w14:paraId="54A80DA0" w14:textId="77777777" w:rsidR="007B1F05" w:rsidRPr="00E25DAB" w:rsidRDefault="007B1F05" w:rsidP="007B1F05">
      <w:pPr>
        <w:spacing w:after="0" w:line="240" w:lineRule="auto"/>
        <w:ind w:firstLine="567"/>
        <w:jc w:val="both"/>
        <w:rPr>
          <w:rStyle w:val="tlid-translation"/>
        </w:rPr>
      </w:pPr>
      <w:r w:rsidRPr="00E25DAB">
        <w:rPr>
          <w:rFonts w:cs="Arial"/>
        </w:rPr>
        <w:t xml:space="preserve">Pareiškėjas M. R. Arslanas 2006 m. kovo 13 d. Izmiro kalėjimo vadovybei pateikė prašymą leisti jam naudotis kompiuteriu ir turėti prieigą prie interneto, kaip tai, esant tam tikroms sąlygoms, nustatyta nacionaliniame bausmių vykdymą reglamentuojančiame </w:t>
      </w:r>
      <w:r w:rsidRPr="00E25DAB">
        <w:rPr>
          <w:rStyle w:val="tlid-translation"/>
        </w:rPr>
        <w:t>Įstatyme Nr. 5275</w:t>
      </w:r>
      <w:r w:rsidRPr="00E25DAB">
        <w:rPr>
          <w:rFonts w:cs="Arial"/>
        </w:rPr>
        <w:t xml:space="preserve">. Tačiau </w:t>
      </w:r>
      <w:r w:rsidRPr="00E25DAB">
        <w:rPr>
          <w:rStyle w:val="tlid-translation"/>
        </w:rPr>
        <w:t>kalėjimo administracija ir stebėtojų taryba pateikė pareiškėjui nepalankią nuomonę dėl to, kad jis kalėjimo viduje palaikė ryšius su kitais kaliniais, priklausančiais tai pačiai nelegaliai organizacijai, ir nedalyvavo jokiuose mokymo kursuose. Kalėjimo vadovybė pritarė šiai nuomonei ir atmetė pareiškėjo prašymą. Dėl to pareiškėjas pateikė skundą, argumentuodamas tuo, jog prieš sulaikymą jis buvo paskutinio kurso medicinos studentas ir norėtų turėti prieigą prie garso ir vaizdo medžiagos, kad galėtų tęsti šias studijas. Pareiškėjas netgi siūlė savo lėšomis sumokėti už būtiną įrangą, tačiau jo skundas buvo atmestas.</w:t>
      </w:r>
    </w:p>
    <w:p w14:paraId="4E1F8851" w14:textId="77777777" w:rsidR="007B1F05" w:rsidRPr="00E25DAB" w:rsidRDefault="007B1F05" w:rsidP="007B1F05">
      <w:pPr>
        <w:spacing w:after="0" w:line="240" w:lineRule="auto"/>
        <w:ind w:firstLine="567"/>
        <w:jc w:val="both"/>
        <w:rPr>
          <w:rStyle w:val="tlid-translation"/>
        </w:rPr>
      </w:pPr>
      <w:r w:rsidRPr="00E25DAB">
        <w:rPr>
          <w:rStyle w:val="tlid-translation"/>
        </w:rPr>
        <w:t>Po perkėlimo į Bolu sustiprinto režimo kalėjimą pareiškėjas</w:t>
      </w:r>
      <w:r w:rsidRPr="00E25DAB">
        <w:rPr>
          <w:rFonts w:cs="Arial"/>
        </w:rPr>
        <w:t xml:space="preserve"> M. R. Arslanas taip pat </w:t>
      </w:r>
      <w:r w:rsidRPr="00E25DAB">
        <w:rPr>
          <w:rStyle w:val="tlid-translation"/>
        </w:rPr>
        <w:t>prašė kalėjimo vadovybės leidimo nusipirkti ir naudoti kompiuterį, bet šis prašymas buvo atmestas. Pareiškėjas dėl to nesėkmingai kreipėsi į teismus.</w:t>
      </w:r>
    </w:p>
    <w:p w14:paraId="2ABD796C" w14:textId="77777777" w:rsidR="007B1F05" w:rsidRPr="00E25DAB" w:rsidRDefault="007B1F05" w:rsidP="007B1F05">
      <w:pPr>
        <w:spacing w:after="0" w:line="240" w:lineRule="auto"/>
        <w:ind w:firstLine="567"/>
        <w:jc w:val="both"/>
      </w:pPr>
      <w:r w:rsidRPr="00E25DAB">
        <w:rPr>
          <w:rStyle w:val="tlid-translation"/>
        </w:rPr>
        <w:t xml:space="preserve">Pareiškėjas O. </w:t>
      </w:r>
      <w:r w:rsidRPr="00E25DAB">
        <w:t xml:space="preserve">Bingölis 2006 m. rugpjūčio 1 d. taip pat prašė kalėjimo vadovybės leidimo naudotis kompiuteriu ir turėti prieigą prie interneto. Tačiau </w:t>
      </w:r>
      <w:r w:rsidRPr="00E25DAB">
        <w:rPr>
          <w:rStyle w:val="tlid-translation"/>
        </w:rPr>
        <w:t>Kalėjimų direkcijos prie Teisingumo ministerijos direktoriaus pavaduotojas šio prašymo netenkino. Pareiškėjo skundai dėl nurodyto sprendimo buvo atmesti.</w:t>
      </w:r>
    </w:p>
    <w:p w14:paraId="41E7F096" w14:textId="77777777" w:rsidR="007B1F05" w:rsidRPr="00E25DAB" w:rsidRDefault="007B1F05" w:rsidP="007B1F05">
      <w:pPr>
        <w:spacing w:after="0" w:line="240" w:lineRule="auto"/>
        <w:ind w:firstLine="567"/>
        <w:jc w:val="both"/>
        <w:rPr>
          <w:rFonts w:cs="Arial"/>
        </w:rPr>
      </w:pPr>
      <w:r w:rsidRPr="00E25DAB">
        <w:rPr>
          <w:rFonts w:cs="Arial"/>
        </w:rPr>
        <w:t xml:space="preserve">Remdamiesi Protokolo Nr. 1 2 straipsniu, pareiškėjai skundėsi, kad jiems buvo nepagrįstai neleista naudotis kompiuteriu ir turėti prieigą prie interneto. Pareiškėjų teigimu, šios priemonės jiems buvo būtinos siekiant tęsti studijas ir įgyti išsilavinimą. </w:t>
      </w:r>
      <w:r w:rsidRPr="00E25DAB">
        <w:rPr>
          <w:rStyle w:val="tlid-translation"/>
        </w:rPr>
        <w:t>Pareiškėjas</w:t>
      </w:r>
      <w:r w:rsidRPr="00E25DAB">
        <w:rPr>
          <w:rFonts w:cs="Arial"/>
        </w:rPr>
        <w:t xml:space="preserve"> M. R. Arslanas, remdamasis Konvencijos 6 straipsniu, taip pat skundėsi, kad nacionaliniuose teismuose jis nebuvo tinkamai išklausytas.</w:t>
      </w:r>
    </w:p>
    <w:p w14:paraId="7A0587DA" w14:textId="77777777" w:rsidR="007B1F05" w:rsidRPr="00E25DAB" w:rsidRDefault="007B1F05" w:rsidP="007B1F05">
      <w:pPr>
        <w:spacing w:after="0" w:line="240" w:lineRule="auto"/>
        <w:ind w:firstLine="567"/>
        <w:jc w:val="both"/>
        <w:rPr>
          <w:rFonts w:cs="Arial"/>
        </w:rPr>
      </w:pPr>
    </w:p>
    <w:p w14:paraId="41399C79" w14:textId="77777777" w:rsidR="007B1F05" w:rsidRPr="00E25DAB" w:rsidRDefault="007B1F05" w:rsidP="007B1F05">
      <w:pPr>
        <w:spacing w:after="0" w:line="240" w:lineRule="auto"/>
        <w:jc w:val="center"/>
        <w:rPr>
          <w:rFonts w:cs="Arial"/>
        </w:rPr>
      </w:pPr>
      <w:r w:rsidRPr="00E25DAB">
        <w:rPr>
          <w:rFonts w:cs="Arial"/>
          <w:b/>
        </w:rPr>
        <w:t>Neoficiali Teismo sprendimo apžvalga</w:t>
      </w:r>
    </w:p>
    <w:p w14:paraId="5A34A58C" w14:textId="77777777" w:rsidR="007B1F05" w:rsidRPr="00E25DAB" w:rsidRDefault="007B1F05" w:rsidP="007B1F05">
      <w:pPr>
        <w:spacing w:after="0" w:line="240" w:lineRule="auto"/>
        <w:ind w:firstLine="567"/>
        <w:jc w:val="both"/>
        <w:rPr>
          <w:rFonts w:cs="Arial"/>
        </w:rPr>
      </w:pPr>
    </w:p>
    <w:p w14:paraId="30BFD2AA" w14:textId="77777777" w:rsidR="007B1F05" w:rsidRPr="00E25DAB" w:rsidRDefault="007B1F05" w:rsidP="007B1F05">
      <w:pPr>
        <w:spacing w:after="0" w:line="240" w:lineRule="auto"/>
        <w:ind w:firstLine="567"/>
        <w:jc w:val="both"/>
        <w:rPr>
          <w:rStyle w:val="tlid-translation"/>
        </w:rPr>
      </w:pPr>
      <w:r w:rsidRPr="00E25DAB">
        <w:rPr>
          <w:rFonts w:cs="Arial"/>
        </w:rPr>
        <w:t xml:space="preserve">Teismas </w:t>
      </w:r>
      <w:r w:rsidRPr="00E25DAB">
        <w:rPr>
          <w:rStyle w:val="tlid-translation"/>
        </w:rPr>
        <w:t>atkreipė dėmesį į tai, kad Turkijos vidaus teisė suteikė kaliniams galimybę tam tikromis sąlygomis naudotis kompiuteriu ir turėti prieigą prie interneto. Turkijos įstatymai nenustatė bendro draudimo naudotis kompiuteriu ar interneto prieiga. Įstatymo Nr. 5275 67 straipsnio 3 dalyje nuteistiesiems buvo numatyta galimybė naudotis garso ir vaizdo mokymo priemonėmis bei kompiuteriais, taip pat naudotis kontroliuojama interneto prieiga kalėjimo administracijos tam skirtose patalpose reintegracijos ar mokymosi tikslais. Tačiau tam gali būti taikoma kalėjimo administracijos priežiūra ir toks naudojimasis gali būti ribojamas Įstatymo Nr. 5275 67 straipsnio 4 dalyje numatytomis sąlygomis.</w:t>
      </w:r>
    </w:p>
    <w:p w14:paraId="4A017F53" w14:textId="77777777" w:rsidR="007B1F05" w:rsidRPr="00E25DAB" w:rsidRDefault="007B1F05" w:rsidP="007B1F05">
      <w:pPr>
        <w:spacing w:after="0" w:line="240" w:lineRule="auto"/>
        <w:ind w:firstLine="567"/>
        <w:jc w:val="both"/>
        <w:rPr>
          <w:rStyle w:val="tlid-translation"/>
        </w:rPr>
      </w:pPr>
      <w:r w:rsidRPr="00E25DAB">
        <w:rPr>
          <w:rStyle w:val="tlid-translation"/>
        </w:rPr>
        <w:t>Teismas pažymėjo, kad nacionalinės valdžios institucijos rėmėsi įvairiomis priežastimis, kad pateisintų pareiškėjų prašymų atmetimą.</w:t>
      </w:r>
      <w:r w:rsidRPr="00E25DAB">
        <w:rPr>
          <w:rFonts w:cs="Arial"/>
        </w:rPr>
        <w:t xml:space="preserve"> Pareiškėjo M. R. Arslano </w:t>
      </w:r>
      <w:r w:rsidRPr="00E25DAB">
        <w:rPr>
          <w:rStyle w:val="tlid-translation"/>
        </w:rPr>
        <w:t xml:space="preserve">pateiktas prašymas buvo atmestas remiantis kalėjimo vadovybės nuomone, kad jis palaikė ryšius su kitais kaliniais, priklausančiais tai pačiai nelegaliai organizacijai, ir nedalyvavo jokiuose mokymuose. Pareiškėjas O. </w:t>
      </w:r>
      <w:r w:rsidRPr="00E25DAB">
        <w:t>Bingölis</w:t>
      </w:r>
      <w:r w:rsidRPr="00E25DAB">
        <w:rPr>
          <w:rStyle w:val="tlid-translation"/>
        </w:rPr>
        <w:t xml:space="preserve"> taip pat nedalyvavo jokiuose mokymuose, be to, jam ne kartą buvo skirtos drausmės nuobaudos.</w:t>
      </w:r>
    </w:p>
    <w:p w14:paraId="367E7C81" w14:textId="77777777" w:rsidR="007B1F05" w:rsidRPr="00E25DAB" w:rsidRDefault="007B1F05" w:rsidP="007B1F05">
      <w:pPr>
        <w:spacing w:after="0" w:line="240" w:lineRule="auto"/>
        <w:ind w:firstLine="567"/>
        <w:jc w:val="both"/>
        <w:rPr>
          <w:rStyle w:val="tlid-translation"/>
        </w:rPr>
      </w:pPr>
      <w:r w:rsidRPr="00E25DAB">
        <w:rPr>
          <w:rStyle w:val="tlid-translation"/>
        </w:rPr>
        <w:t xml:space="preserve">Teismas pabrėžė, kad sulaikymas neišvengiamai reiškia apribojimus kalinių bendravimui su išoriniu pasauliu, įskaitant jų galimybę gauti informaciją. Taip pat pakartojo, kad švietimo svarba kalėjime buvo pripažinta </w:t>
      </w:r>
      <w:r w:rsidRPr="00E25DAB">
        <w:t xml:space="preserve">Europos Tarybos </w:t>
      </w:r>
      <w:r w:rsidRPr="00E25DAB">
        <w:rPr>
          <w:rStyle w:val="tlid-translation"/>
        </w:rPr>
        <w:t>Ministrų komiteto rekomendacijose dėl švietimo kalėjime ir Europos kalėjimų taisyklėse.</w:t>
      </w:r>
    </w:p>
    <w:p w14:paraId="2D7B232D" w14:textId="0B6B3907" w:rsidR="007B1F05" w:rsidRPr="00E25DAB" w:rsidRDefault="007B1F05" w:rsidP="007B1F05">
      <w:pPr>
        <w:spacing w:after="0" w:line="240" w:lineRule="auto"/>
        <w:ind w:firstLine="567"/>
        <w:jc w:val="both"/>
        <w:rPr>
          <w:rStyle w:val="tlid-translation"/>
        </w:rPr>
      </w:pPr>
      <w:r w:rsidRPr="00E25DAB">
        <w:rPr>
          <w:rStyle w:val="tlid-translation"/>
        </w:rPr>
        <w:lastRenderedPageBreak/>
        <w:t xml:space="preserve">Šiuo aspektu Teismas akcentavo, kad abu pareiškėjai norėjo siekti aukštojo mokslo. Jie abu 2006 m. laikė stojamuosius egzaminus į aukštojo mokslo įstaigas ir parodė didelį susidomėjimą tęsti studijas, kurios buvo nutrauktos dėl jų nuteisimo. Be to, </w:t>
      </w:r>
      <w:r w:rsidRPr="00E25DAB">
        <w:rPr>
          <w:rFonts w:cs="Arial"/>
        </w:rPr>
        <w:t xml:space="preserve">pareiškėjas M. R. Arslanas </w:t>
      </w:r>
      <w:r w:rsidRPr="00E25DAB">
        <w:rPr>
          <w:rStyle w:val="tlid-translation"/>
        </w:rPr>
        <w:t xml:space="preserve">buvo priimtas į Anadolu universiteto ekonomikos ir vadybos fakultetą 2006–2007 mokslo metams. Pareiškėjas O. </w:t>
      </w:r>
      <w:r w:rsidRPr="00E25DAB">
        <w:t>Bingölis</w:t>
      </w:r>
      <w:r w:rsidRPr="00E25DAB">
        <w:rPr>
          <w:rStyle w:val="tlid-translation"/>
        </w:rPr>
        <w:t xml:space="preserve">, jo manymu, taip pat įgijo pakankamą pažymį, kuris leistų </w:t>
      </w:r>
      <w:r w:rsidR="00930AFB" w:rsidRPr="00E25DAB">
        <w:rPr>
          <w:rStyle w:val="tlid-translation"/>
        </w:rPr>
        <w:t>jį priimti</w:t>
      </w:r>
      <w:r w:rsidRPr="00E25DAB">
        <w:rPr>
          <w:rStyle w:val="tlid-translation"/>
        </w:rPr>
        <w:t xml:space="preserve"> į aukštojo mokslo įstaigą, net jei jis ir neįstojo į jokią aukštojo mokslo įstaigą 2006–2007 mokslo metais. Teismas atkreipė dėmesį, kad pareiškėjų prašymai kalėjimų administracijai dėl garso ir vaizdo medžiagos, kompiuterinės ar elektroninės įrangos naudojimo daugiausia buvo susiję su pasiruošimu stojamiesiems egzaminams. Taigi, Teismo nuomo</w:t>
      </w:r>
      <w:r w:rsidR="00930AFB" w:rsidRPr="00E25DAB">
        <w:rPr>
          <w:rStyle w:val="tlid-translation"/>
        </w:rPr>
        <w:t>ne, nesvarbu, ar pareiškėjas O. </w:t>
      </w:r>
      <w:r w:rsidRPr="00E25DAB">
        <w:t>Bingölis</w:t>
      </w:r>
      <w:r w:rsidRPr="00E25DAB">
        <w:rPr>
          <w:rStyle w:val="tlid-translation"/>
        </w:rPr>
        <w:t xml:space="preserve"> buvo užsiregistravęs švietimo įstaigoje, ar ne.</w:t>
      </w:r>
    </w:p>
    <w:p w14:paraId="680145AB" w14:textId="77777777" w:rsidR="007B1F05" w:rsidRPr="00E25DAB" w:rsidRDefault="007B1F05" w:rsidP="007B1F05">
      <w:pPr>
        <w:spacing w:after="0" w:line="240" w:lineRule="auto"/>
        <w:ind w:firstLine="567"/>
        <w:jc w:val="both"/>
        <w:rPr>
          <w:rStyle w:val="tlid-translation"/>
        </w:rPr>
      </w:pPr>
      <w:r w:rsidRPr="00E25DAB">
        <w:rPr>
          <w:rStyle w:val="tlid-translation"/>
        </w:rPr>
        <w:t>Teismas buvo pasirengęs pripažinti, kad pareiškėjų teisių apribojimas šiuo atžvilgiu buvo numatytas įstatyme, be to, manė, kad teisine nuostata, reglamentuojančia nuteistųjų kompiuterių naudojimą ir jų prieigą prie interneto, galėtų būti siekiama teisėtų viešosios tvarkos gynimo ir nusikalstamumo prevencijos tikslų. Visgi Teismas pastebėjo, kad nors šioje byloje nacionalinių valdžios institucijų ir Vyriausybės nurodyti saugumo reikalavimai ir ekonominiai aspektai galėtų būti laikomi tinkamais argumentais, nacionaliniai teismai neatliko jokios išsamios saugumo rizikos, kuri gali kilti suteikus pareiškėjams leidimą naudotis kompiuteriais ir interneto prieiga prie konkrečių svetainių, analizės. Nacionaliniai teismai šiuo klausimu apsiribojo gana bendru tvirtinimu, kad suteikiant prieigą prie konkrečių svetainių gali padidėti rizika, jog sulaikytieji bendrauja draudžiamu būdu, o tam reikalinga didesnė kontrolė. Be to, nacionaliniai teismai tinkamai neįvertino skirtingų interesų pusiausvyros ir neįvykdė savo pareigos užkirsti kelią administracijos piktnaudžiavimui valdžia. Tokiomis aplinkybėmis Teisingumo Teismo neįtikino pagrindai, kuriais remiantis buvo atmesti pareiškėjų prašymai leisti naudotis garso ir vaizdo medžiaga bei kompiuteriais ir turėti prieigą prie interneto.</w:t>
      </w:r>
    </w:p>
    <w:p w14:paraId="13DAA689" w14:textId="77777777" w:rsidR="007B1F05" w:rsidRPr="00E25DAB" w:rsidRDefault="007B1F05" w:rsidP="007B1F05">
      <w:pPr>
        <w:spacing w:after="0" w:line="240" w:lineRule="auto"/>
        <w:ind w:firstLine="567"/>
        <w:jc w:val="both"/>
        <w:rPr>
          <w:rStyle w:val="tlid-translation"/>
        </w:rPr>
      </w:pPr>
      <w:r w:rsidRPr="00E25DAB">
        <w:rPr>
          <w:rStyle w:val="tlid-translation"/>
        </w:rPr>
        <w:t>Taigi Teismas padarė išvadą, kad vidaus teismai nesugebėjo rasti tinkamos pusiausvyros tarp pareiškėjų teisės į mokslą pagal Protokolo Nr. 1 2 straipsnį ir viešosios tvarkos imperatyvų, todėl abiejų pareiškėjų atžvilgiu buvo pažeistas minėtas straipsnis.</w:t>
      </w:r>
    </w:p>
    <w:p w14:paraId="4633A172" w14:textId="77777777" w:rsidR="007B1F05" w:rsidRPr="00E25DAB" w:rsidRDefault="007B1F05" w:rsidP="007B1F05">
      <w:pPr>
        <w:spacing w:after="0" w:line="240" w:lineRule="auto"/>
        <w:ind w:firstLine="567"/>
        <w:jc w:val="both"/>
        <w:rPr>
          <w:rFonts w:cs="Arial"/>
        </w:rPr>
      </w:pPr>
      <w:r w:rsidRPr="00E25DAB">
        <w:rPr>
          <w:rStyle w:val="tlid-translation"/>
        </w:rPr>
        <w:t xml:space="preserve">Atsižvelgęs į motyvus, kuriais remiantis buvo konstatuotas Protokolo Nr. 1 2 straipsnio pažeidimas, ir nustatęs, kad pagrindinis teisinis klausimas šioje byloje jau išnagrinėtas, Teismas nusprendė, kad atskirai nereikia nagrinėti skundo dėl </w:t>
      </w:r>
      <w:r w:rsidRPr="00E25DAB">
        <w:rPr>
          <w:rFonts w:cs="Arial"/>
        </w:rPr>
        <w:t>Konvencijos 6 straipsnio pažeidimo</w:t>
      </w:r>
      <w:r w:rsidRPr="00E25DAB">
        <w:rPr>
          <w:rStyle w:val="tlid-translation"/>
        </w:rPr>
        <w:t>.</w:t>
      </w:r>
    </w:p>
    <w:p w14:paraId="45C57DC9" w14:textId="77777777" w:rsidR="007B1F05" w:rsidRPr="00E25DAB" w:rsidRDefault="007B1F05" w:rsidP="007B1F05">
      <w:pPr>
        <w:spacing w:after="0" w:line="240" w:lineRule="auto"/>
        <w:ind w:firstLine="567"/>
        <w:jc w:val="both"/>
        <w:rPr>
          <w:rFonts w:cs="Arial"/>
        </w:rPr>
      </w:pPr>
    </w:p>
    <w:p w14:paraId="44776D06" w14:textId="77777777" w:rsidR="007B1F05" w:rsidRPr="00E25DAB" w:rsidRDefault="007B1F05" w:rsidP="007B1F05">
      <w:pPr>
        <w:spacing w:after="0" w:line="240" w:lineRule="auto"/>
        <w:ind w:firstLine="567"/>
        <w:jc w:val="both"/>
        <w:rPr>
          <w:rFonts w:cs="Arial"/>
        </w:rPr>
      </w:pPr>
      <w:r w:rsidRPr="00E25DAB">
        <w:rPr>
          <w:rFonts w:cs="Arial"/>
        </w:rPr>
        <w:t>Išvada: nustatytas Protokolo Nr. 1 2 straipsnio pažeidimas (vienbalsiai).</w:t>
      </w:r>
    </w:p>
    <w:p w14:paraId="349E5353" w14:textId="77777777" w:rsidR="007B1F05" w:rsidRPr="00E25DAB" w:rsidRDefault="007B1F05" w:rsidP="007B1F05">
      <w:pPr>
        <w:spacing w:after="0" w:line="240" w:lineRule="auto"/>
        <w:ind w:firstLine="567"/>
        <w:jc w:val="both"/>
      </w:pPr>
      <w:r w:rsidRPr="00E25DAB">
        <w:t xml:space="preserve">41 straipsnis: </w:t>
      </w:r>
      <w:r w:rsidRPr="00E25DAB">
        <w:rPr>
          <w:rFonts w:cs="Arial"/>
        </w:rPr>
        <w:t>pažeidimo konstatavimas pripažintas pakankamu neturtinės žalos atlyginimu</w:t>
      </w:r>
      <w:r w:rsidRPr="00E25DAB">
        <w:t>.</w:t>
      </w:r>
    </w:p>
    <w:p w14:paraId="38EF7051" w14:textId="77777777" w:rsidR="007B1F05" w:rsidRPr="00E25DAB" w:rsidRDefault="00907E3B" w:rsidP="007B1F05">
      <w:pPr>
        <w:ind w:firstLine="567"/>
        <w:rPr>
          <w:rStyle w:val="Hipersaitas"/>
          <w:rFonts w:cs="Arial"/>
        </w:rPr>
      </w:pPr>
      <w:hyperlink r:id="rId27" w:history="1">
        <w:r w:rsidR="007B1F05" w:rsidRPr="00E25DAB">
          <w:rPr>
            <w:rStyle w:val="Hipersaitas"/>
            <w:rFonts w:cs="Arial"/>
          </w:rPr>
          <w:t>Prieiga internete</w:t>
        </w:r>
      </w:hyperlink>
      <w:r w:rsidR="007B1F05" w:rsidRPr="00E25DAB">
        <w:rPr>
          <w:rStyle w:val="Hipersaitas"/>
          <w:rFonts w:cs="Arial"/>
        </w:rPr>
        <w:t xml:space="preserve"> (prancūzų k.)</w:t>
      </w:r>
    </w:p>
    <w:p w14:paraId="4567F4B4" w14:textId="77777777" w:rsidR="006637D9" w:rsidRPr="00E25DAB" w:rsidRDefault="006637D9" w:rsidP="009A1B99">
      <w:pPr>
        <w:spacing w:after="0" w:line="240" w:lineRule="auto"/>
        <w:jc w:val="center"/>
        <w:rPr>
          <w:rFonts w:ascii="Calibri" w:hAnsi="Calibri" w:cs="Calibri"/>
          <w:b/>
        </w:rPr>
      </w:pPr>
    </w:p>
    <w:sectPr w:rsidR="006637D9" w:rsidRPr="00E25DAB" w:rsidSect="00C22527">
      <w:headerReference w:type="default" r:id="rId28"/>
      <w:footerReference w:type="default" r:id="rId29"/>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3813A1" w14:textId="77777777" w:rsidR="001114D7" w:rsidRDefault="001114D7">
      <w:pPr>
        <w:spacing w:after="0" w:line="240" w:lineRule="auto"/>
      </w:pPr>
      <w:r>
        <w:separator/>
      </w:r>
    </w:p>
  </w:endnote>
  <w:endnote w:type="continuationSeparator" w:id="0">
    <w:p w14:paraId="4A8D88E0" w14:textId="77777777" w:rsidR="001114D7" w:rsidRDefault="001114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20"/>
        <w:szCs w:val="20"/>
      </w:rPr>
      <w:id w:val="-1852252299"/>
      <w:docPartObj>
        <w:docPartGallery w:val="Page Numbers (Bottom of Page)"/>
        <w:docPartUnique/>
      </w:docPartObj>
    </w:sdtPr>
    <w:sdtContent>
      <w:sdt>
        <w:sdtPr>
          <w:rPr>
            <w:sz w:val="20"/>
            <w:szCs w:val="20"/>
          </w:rPr>
          <w:id w:val="1728636285"/>
          <w:docPartObj>
            <w:docPartGallery w:val="Page Numbers (Top of Page)"/>
            <w:docPartUnique/>
          </w:docPartObj>
        </w:sdtPr>
        <w:sdtContent>
          <w:p w14:paraId="18730759" w14:textId="77777777" w:rsidR="00907E3B" w:rsidRPr="00C95576" w:rsidRDefault="00907E3B">
            <w:pPr>
              <w:pStyle w:val="Porat"/>
              <w:jc w:val="center"/>
              <w:rPr>
                <w:sz w:val="20"/>
                <w:szCs w:val="20"/>
              </w:rPr>
            </w:pPr>
            <w:r w:rsidRPr="00C95576">
              <w:rPr>
                <w:bCs/>
                <w:sz w:val="20"/>
                <w:szCs w:val="20"/>
              </w:rPr>
              <w:fldChar w:fldCharType="begin"/>
            </w:r>
            <w:r w:rsidRPr="00C95576">
              <w:rPr>
                <w:bCs/>
                <w:sz w:val="20"/>
                <w:szCs w:val="20"/>
              </w:rPr>
              <w:instrText>PAGE</w:instrText>
            </w:r>
            <w:r w:rsidRPr="00C95576">
              <w:rPr>
                <w:bCs/>
                <w:sz w:val="20"/>
                <w:szCs w:val="20"/>
              </w:rPr>
              <w:fldChar w:fldCharType="separate"/>
            </w:r>
            <w:r>
              <w:rPr>
                <w:bCs/>
                <w:noProof/>
                <w:sz w:val="20"/>
                <w:szCs w:val="20"/>
              </w:rPr>
              <w:t>24</w:t>
            </w:r>
            <w:r w:rsidRPr="00C95576">
              <w:rPr>
                <w:bCs/>
                <w:sz w:val="20"/>
                <w:szCs w:val="20"/>
              </w:rPr>
              <w:fldChar w:fldCharType="end"/>
            </w:r>
            <w:r w:rsidRPr="00C95576">
              <w:rPr>
                <w:sz w:val="20"/>
                <w:szCs w:val="20"/>
              </w:rPr>
              <w:t xml:space="preserve"> / </w:t>
            </w:r>
            <w:r w:rsidRPr="00C95576">
              <w:rPr>
                <w:bCs/>
                <w:sz w:val="20"/>
                <w:szCs w:val="20"/>
              </w:rPr>
              <w:fldChar w:fldCharType="begin"/>
            </w:r>
            <w:r w:rsidRPr="00C95576">
              <w:rPr>
                <w:bCs/>
                <w:sz w:val="20"/>
                <w:szCs w:val="20"/>
              </w:rPr>
              <w:instrText>NUMPAGES</w:instrText>
            </w:r>
            <w:r w:rsidRPr="00C95576">
              <w:rPr>
                <w:bCs/>
                <w:sz w:val="20"/>
                <w:szCs w:val="20"/>
              </w:rPr>
              <w:fldChar w:fldCharType="separate"/>
            </w:r>
            <w:r>
              <w:rPr>
                <w:bCs/>
                <w:noProof/>
                <w:sz w:val="20"/>
                <w:szCs w:val="20"/>
              </w:rPr>
              <w:t>24</w:t>
            </w:r>
            <w:r w:rsidRPr="00C95576">
              <w:rPr>
                <w:bCs/>
                <w:sz w:val="20"/>
                <w:szCs w:val="20"/>
              </w:rPr>
              <w:fldChar w:fldCharType="end"/>
            </w:r>
          </w:p>
        </w:sdtContent>
      </w:sdt>
    </w:sdtContent>
  </w:sdt>
  <w:p w14:paraId="0FEDAA04" w14:textId="77777777" w:rsidR="00907E3B" w:rsidRDefault="00907E3B">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EFED86" w14:textId="77777777" w:rsidR="001114D7" w:rsidRDefault="001114D7">
      <w:pPr>
        <w:spacing w:after="0" w:line="240" w:lineRule="auto"/>
      </w:pPr>
      <w:r>
        <w:separator/>
      </w:r>
    </w:p>
  </w:footnote>
  <w:footnote w:type="continuationSeparator" w:id="0">
    <w:p w14:paraId="01084191" w14:textId="77777777" w:rsidR="001114D7" w:rsidRDefault="001114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Borders>
        <w:bottom w:val="single" w:sz="4" w:space="0" w:color="44546A" w:themeColor="text2"/>
      </w:tblBorders>
      <w:tblLook w:val="04A0" w:firstRow="1" w:lastRow="0" w:firstColumn="1" w:lastColumn="0" w:noHBand="0" w:noVBand="1"/>
    </w:tblPr>
    <w:tblGrid>
      <w:gridCol w:w="7147"/>
      <w:gridCol w:w="2383"/>
    </w:tblGrid>
    <w:tr w:rsidR="00907E3B" w:rsidRPr="000967FF" w14:paraId="363E1FB1" w14:textId="77777777" w:rsidTr="00C22527">
      <w:tc>
        <w:tcPr>
          <w:tcW w:w="7230" w:type="dxa"/>
        </w:tcPr>
        <w:p w14:paraId="5C87C8A7" w14:textId="77777777" w:rsidR="00907E3B" w:rsidRPr="0021377E" w:rsidRDefault="00907E3B" w:rsidP="00C22527">
          <w:pPr>
            <w:rPr>
              <w:rFonts w:ascii="Calibri" w:hAnsi="Calibri"/>
              <w:i/>
              <w:color w:val="323E4F" w:themeColor="text2" w:themeShade="BF"/>
              <w:sz w:val="20"/>
              <w:szCs w:val="20"/>
            </w:rPr>
          </w:pPr>
          <w:r>
            <w:rPr>
              <w:rFonts w:ascii="Calibri" w:hAnsi="Calibri"/>
              <w:i/>
              <w:color w:val="323E4F" w:themeColor="text2" w:themeShade="BF"/>
              <w:sz w:val="20"/>
              <w:szCs w:val="20"/>
            </w:rPr>
            <w:t>Teismų praktikos departamentas</w:t>
          </w:r>
        </w:p>
      </w:tc>
      <w:tc>
        <w:tcPr>
          <w:tcW w:w="2409" w:type="dxa"/>
        </w:tcPr>
        <w:p w14:paraId="602994CB" w14:textId="53DAA716" w:rsidR="00907E3B" w:rsidRPr="0021377E" w:rsidRDefault="00907E3B" w:rsidP="0037620F">
          <w:pPr>
            <w:rPr>
              <w:rFonts w:ascii="Calibri" w:hAnsi="Calibri"/>
              <w:color w:val="323E4F" w:themeColor="text2" w:themeShade="BF"/>
              <w:sz w:val="20"/>
              <w:szCs w:val="20"/>
            </w:rPr>
          </w:pPr>
          <w:r>
            <w:rPr>
              <w:rFonts w:ascii="Calibri" w:hAnsi="Calibri"/>
              <w:color w:val="323E4F" w:themeColor="text2" w:themeShade="BF"/>
              <w:sz w:val="20"/>
              <w:szCs w:val="20"/>
            </w:rPr>
            <w:t>2019 01</w:t>
          </w:r>
          <w:r w:rsidRPr="0021377E">
            <w:rPr>
              <w:rFonts w:ascii="Calibri" w:hAnsi="Calibri"/>
              <w:color w:val="323E4F" w:themeColor="text2" w:themeShade="BF"/>
              <w:sz w:val="20"/>
              <w:szCs w:val="20"/>
            </w:rPr>
            <w:t xml:space="preserve"> </w:t>
          </w:r>
          <w:r>
            <w:rPr>
              <w:rFonts w:ascii="Calibri" w:hAnsi="Calibri"/>
              <w:color w:val="323E4F" w:themeColor="text2" w:themeShade="BF"/>
              <w:sz w:val="20"/>
              <w:szCs w:val="20"/>
            </w:rPr>
            <w:t>01</w:t>
          </w:r>
          <w:r w:rsidRPr="0021377E">
            <w:rPr>
              <w:rFonts w:ascii="Calibri" w:hAnsi="Calibri"/>
              <w:color w:val="323E4F" w:themeColor="text2" w:themeShade="BF"/>
              <w:sz w:val="20"/>
              <w:szCs w:val="20"/>
            </w:rPr>
            <w:t>–201</w:t>
          </w:r>
          <w:r>
            <w:rPr>
              <w:rFonts w:ascii="Calibri" w:hAnsi="Calibri"/>
              <w:color w:val="323E4F" w:themeColor="text2" w:themeShade="BF"/>
              <w:sz w:val="20"/>
              <w:szCs w:val="20"/>
            </w:rPr>
            <w:t>9 06</w:t>
          </w:r>
          <w:r w:rsidRPr="0021377E">
            <w:rPr>
              <w:rFonts w:ascii="Calibri" w:hAnsi="Calibri"/>
              <w:color w:val="323E4F" w:themeColor="text2" w:themeShade="BF"/>
              <w:sz w:val="20"/>
              <w:szCs w:val="20"/>
            </w:rPr>
            <w:t xml:space="preserve"> </w:t>
          </w:r>
          <w:r>
            <w:rPr>
              <w:rFonts w:ascii="Calibri" w:hAnsi="Calibri"/>
              <w:color w:val="323E4F" w:themeColor="text2" w:themeShade="BF"/>
              <w:sz w:val="20"/>
              <w:szCs w:val="20"/>
            </w:rPr>
            <w:t>30</w:t>
          </w:r>
        </w:p>
      </w:tc>
    </w:tr>
  </w:tbl>
  <w:p w14:paraId="08528B04" w14:textId="77777777" w:rsidR="00907E3B" w:rsidRDefault="00907E3B">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9AD"/>
    <w:rsid w:val="000033CA"/>
    <w:rsid w:val="0002415A"/>
    <w:rsid w:val="0003146A"/>
    <w:rsid w:val="000329DA"/>
    <w:rsid w:val="00032E09"/>
    <w:rsid w:val="000441D4"/>
    <w:rsid w:val="000B0DBB"/>
    <w:rsid w:val="000B4C85"/>
    <w:rsid w:val="000F1AF5"/>
    <w:rsid w:val="000F3BDD"/>
    <w:rsid w:val="001114D7"/>
    <w:rsid w:val="001206B4"/>
    <w:rsid w:val="00144C55"/>
    <w:rsid w:val="00150619"/>
    <w:rsid w:val="001A2B79"/>
    <w:rsid w:val="001A4611"/>
    <w:rsid w:val="001C0508"/>
    <w:rsid w:val="001F30CD"/>
    <w:rsid w:val="00207F9B"/>
    <w:rsid w:val="00210C45"/>
    <w:rsid w:val="00214F38"/>
    <w:rsid w:val="00217357"/>
    <w:rsid w:val="00224044"/>
    <w:rsid w:val="00230FBA"/>
    <w:rsid w:val="002556E5"/>
    <w:rsid w:val="00272B99"/>
    <w:rsid w:val="00277903"/>
    <w:rsid w:val="002853B9"/>
    <w:rsid w:val="0029123E"/>
    <w:rsid w:val="002A5DE3"/>
    <w:rsid w:val="002A7636"/>
    <w:rsid w:val="002B2757"/>
    <w:rsid w:val="002C1713"/>
    <w:rsid w:val="0030137B"/>
    <w:rsid w:val="00303685"/>
    <w:rsid w:val="00306FC2"/>
    <w:rsid w:val="00307841"/>
    <w:rsid w:val="00310F3E"/>
    <w:rsid w:val="00330D45"/>
    <w:rsid w:val="00346301"/>
    <w:rsid w:val="003626B1"/>
    <w:rsid w:val="003740DD"/>
    <w:rsid w:val="0037620F"/>
    <w:rsid w:val="003768B5"/>
    <w:rsid w:val="00384E27"/>
    <w:rsid w:val="0039456C"/>
    <w:rsid w:val="003B4852"/>
    <w:rsid w:val="003B6EBF"/>
    <w:rsid w:val="003C4ABE"/>
    <w:rsid w:val="003C740A"/>
    <w:rsid w:val="003E32FC"/>
    <w:rsid w:val="003E3981"/>
    <w:rsid w:val="004136F9"/>
    <w:rsid w:val="00426F74"/>
    <w:rsid w:val="00433D88"/>
    <w:rsid w:val="004461D4"/>
    <w:rsid w:val="004531D4"/>
    <w:rsid w:val="00457674"/>
    <w:rsid w:val="0046082F"/>
    <w:rsid w:val="00460C74"/>
    <w:rsid w:val="00492256"/>
    <w:rsid w:val="004955D1"/>
    <w:rsid w:val="004A150D"/>
    <w:rsid w:val="004B562D"/>
    <w:rsid w:val="004B73D4"/>
    <w:rsid w:val="004C1958"/>
    <w:rsid w:val="004C59FE"/>
    <w:rsid w:val="004D3D54"/>
    <w:rsid w:val="004E21F2"/>
    <w:rsid w:val="004E2B81"/>
    <w:rsid w:val="004F245A"/>
    <w:rsid w:val="005306E1"/>
    <w:rsid w:val="005312F6"/>
    <w:rsid w:val="005330B5"/>
    <w:rsid w:val="005408B2"/>
    <w:rsid w:val="005A019E"/>
    <w:rsid w:val="005A40A2"/>
    <w:rsid w:val="005A6372"/>
    <w:rsid w:val="005C2578"/>
    <w:rsid w:val="005D788D"/>
    <w:rsid w:val="005E0C4C"/>
    <w:rsid w:val="006075D7"/>
    <w:rsid w:val="00611648"/>
    <w:rsid w:val="006601F7"/>
    <w:rsid w:val="006637D9"/>
    <w:rsid w:val="0066728A"/>
    <w:rsid w:val="00667ACB"/>
    <w:rsid w:val="00683B82"/>
    <w:rsid w:val="00684867"/>
    <w:rsid w:val="006860B3"/>
    <w:rsid w:val="006965B7"/>
    <w:rsid w:val="006A4F93"/>
    <w:rsid w:val="006D4829"/>
    <w:rsid w:val="006E5616"/>
    <w:rsid w:val="00706A41"/>
    <w:rsid w:val="007205EB"/>
    <w:rsid w:val="00726DE9"/>
    <w:rsid w:val="00733C94"/>
    <w:rsid w:val="00735513"/>
    <w:rsid w:val="007818DC"/>
    <w:rsid w:val="0078350C"/>
    <w:rsid w:val="007900FC"/>
    <w:rsid w:val="007A3B02"/>
    <w:rsid w:val="007B1F05"/>
    <w:rsid w:val="007B673C"/>
    <w:rsid w:val="007D147E"/>
    <w:rsid w:val="007E77CF"/>
    <w:rsid w:val="007F1A03"/>
    <w:rsid w:val="00806211"/>
    <w:rsid w:val="00836B11"/>
    <w:rsid w:val="008458AE"/>
    <w:rsid w:val="00846265"/>
    <w:rsid w:val="008466B1"/>
    <w:rsid w:val="0085296B"/>
    <w:rsid w:val="0085488A"/>
    <w:rsid w:val="0087519D"/>
    <w:rsid w:val="0089626B"/>
    <w:rsid w:val="008A6D79"/>
    <w:rsid w:val="008D1091"/>
    <w:rsid w:val="008D54F7"/>
    <w:rsid w:val="008F45BA"/>
    <w:rsid w:val="00903873"/>
    <w:rsid w:val="00907E3B"/>
    <w:rsid w:val="00923885"/>
    <w:rsid w:val="00930AFB"/>
    <w:rsid w:val="009358B4"/>
    <w:rsid w:val="00944F27"/>
    <w:rsid w:val="00957D94"/>
    <w:rsid w:val="00974752"/>
    <w:rsid w:val="009A1B99"/>
    <w:rsid w:val="009B127E"/>
    <w:rsid w:val="009D7FC3"/>
    <w:rsid w:val="009E5300"/>
    <w:rsid w:val="00A1174A"/>
    <w:rsid w:val="00A25E02"/>
    <w:rsid w:val="00A26119"/>
    <w:rsid w:val="00A37A68"/>
    <w:rsid w:val="00A4098B"/>
    <w:rsid w:val="00A57404"/>
    <w:rsid w:val="00A81310"/>
    <w:rsid w:val="00A81DEE"/>
    <w:rsid w:val="00A820DC"/>
    <w:rsid w:val="00A85F73"/>
    <w:rsid w:val="00A873DE"/>
    <w:rsid w:val="00A908E3"/>
    <w:rsid w:val="00A962F0"/>
    <w:rsid w:val="00AA1412"/>
    <w:rsid w:val="00AA6914"/>
    <w:rsid w:val="00AD3A5F"/>
    <w:rsid w:val="00AE29DF"/>
    <w:rsid w:val="00AE32F2"/>
    <w:rsid w:val="00AE7C62"/>
    <w:rsid w:val="00B13ED1"/>
    <w:rsid w:val="00B14A16"/>
    <w:rsid w:val="00B26468"/>
    <w:rsid w:val="00B4503E"/>
    <w:rsid w:val="00B5424D"/>
    <w:rsid w:val="00B71B5E"/>
    <w:rsid w:val="00B93837"/>
    <w:rsid w:val="00BA2729"/>
    <w:rsid w:val="00BB0D3B"/>
    <w:rsid w:val="00BC5EFF"/>
    <w:rsid w:val="00BF7FC5"/>
    <w:rsid w:val="00C001E2"/>
    <w:rsid w:val="00C076F5"/>
    <w:rsid w:val="00C21437"/>
    <w:rsid w:val="00C22527"/>
    <w:rsid w:val="00C43CA7"/>
    <w:rsid w:val="00C463C6"/>
    <w:rsid w:val="00C56F0E"/>
    <w:rsid w:val="00C57146"/>
    <w:rsid w:val="00C622DD"/>
    <w:rsid w:val="00C62DA3"/>
    <w:rsid w:val="00C67180"/>
    <w:rsid w:val="00C732D6"/>
    <w:rsid w:val="00C9621D"/>
    <w:rsid w:val="00C9647E"/>
    <w:rsid w:val="00CA2363"/>
    <w:rsid w:val="00CD0042"/>
    <w:rsid w:val="00CD08DA"/>
    <w:rsid w:val="00CE3CF3"/>
    <w:rsid w:val="00CE4DCD"/>
    <w:rsid w:val="00D01E1A"/>
    <w:rsid w:val="00D11B63"/>
    <w:rsid w:val="00D17AAF"/>
    <w:rsid w:val="00D37D14"/>
    <w:rsid w:val="00D47B0F"/>
    <w:rsid w:val="00D565E1"/>
    <w:rsid w:val="00D737CF"/>
    <w:rsid w:val="00D760C8"/>
    <w:rsid w:val="00D9707A"/>
    <w:rsid w:val="00DA3ABD"/>
    <w:rsid w:val="00DA3EBC"/>
    <w:rsid w:val="00DB0745"/>
    <w:rsid w:val="00DC7996"/>
    <w:rsid w:val="00DD46DE"/>
    <w:rsid w:val="00E000BD"/>
    <w:rsid w:val="00E0534B"/>
    <w:rsid w:val="00E05E1E"/>
    <w:rsid w:val="00E23213"/>
    <w:rsid w:val="00E25DAB"/>
    <w:rsid w:val="00E471B1"/>
    <w:rsid w:val="00E92275"/>
    <w:rsid w:val="00E93315"/>
    <w:rsid w:val="00E93FD2"/>
    <w:rsid w:val="00EA07E3"/>
    <w:rsid w:val="00EA2092"/>
    <w:rsid w:val="00EB2C14"/>
    <w:rsid w:val="00EB408B"/>
    <w:rsid w:val="00EC7DF2"/>
    <w:rsid w:val="00EE09AD"/>
    <w:rsid w:val="00EE4145"/>
    <w:rsid w:val="00EF1D24"/>
    <w:rsid w:val="00F04403"/>
    <w:rsid w:val="00F163F4"/>
    <w:rsid w:val="00F26CBF"/>
    <w:rsid w:val="00F4119D"/>
    <w:rsid w:val="00F44B82"/>
    <w:rsid w:val="00F650DB"/>
    <w:rsid w:val="00F9783B"/>
    <w:rsid w:val="00FA4ADC"/>
    <w:rsid w:val="00FB6123"/>
    <w:rsid w:val="00FC2D08"/>
    <w:rsid w:val="00FC3C8F"/>
    <w:rsid w:val="00FC6030"/>
    <w:rsid w:val="00FC7A3A"/>
    <w:rsid w:val="00FD580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582A1E"/>
  <w15:chartTrackingRefBased/>
  <w15:docId w15:val="{4B8F9375-6DB2-4AC9-8981-24DC56D73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prastasis">
    <w:name w:val="Normal"/>
    <w:qFormat/>
    <w:rsid w:val="00EE09AD"/>
    <w:pPr>
      <w:spacing w:after="200" w:line="276" w:lineRule="auto"/>
    </w:pPr>
  </w:style>
  <w:style w:type="paragraph" w:styleId="Antrat1">
    <w:name w:val="heading 1"/>
    <w:basedOn w:val="prastasis"/>
    <w:next w:val="prastasis"/>
    <w:link w:val="Antrat1Diagrama"/>
    <w:qFormat/>
    <w:rsid w:val="00706A41"/>
    <w:pPr>
      <w:keepNext/>
      <w:keepLines/>
      <w:spacing w:before="240" w:after="0" w:line="240" w:lineRule="auto"/>
      <w:jc w:val="center"/>
      <w:outlineLvl w:val="0"/>
    </w:pPr>
    <w:rPr>
      <w:rFonts w:eastAsiaTheme="majorEastAsia" w:cstheme="majorBidi"/>
      <w:b/>
      <w:color w:val="323E4F" w:themeColor="text2" w:themeShade="BF"/>
      <w:szCs w:val="32"/>
    </w:rPr>
  </w:style>
  <w:style w:type="paragraph" w:styleId="Antrat2">
    <w:name w:val="heading 2"/>
    <w:basedOn w:val="Antrat3"/>
    <w:next w:val="prastasis"/>
    <w:link w:val="Antrat2Diagrama"/>
    <w:unhideWhenUsed/>
    <w:qFormat/>
    <w:rsid w:val="00EE09AD"/>
    <w:pPr>
      <w:spacing w:before="0" w:line="240" w:lineRule="auto"/>
      <w:ind w:firstLine="720"/>
      <w:jc w:val="both"/>
      <w:outlineLvl w:val="1"/>
    </w:pPr>
    <w:rPr>
      <w:rFonts w:cs="Times New Roman"/>
      <w:b/>
      <w:bCs/>
      <w:i w:val="0"/>
      <w:iCs/>
      <w:color w:val="2E74B5" w:themeColor="accent1" w:themeShade="BF"/>
      <w:szCs w:val="22"/>
    </w:rPr>
  </w:style>
  <w:style w:type="paragraph" w:styleId="Antrat3">
    <w:name w:val="heading 3"/>
    <w:basedOn w:val="prastasis"/>
    <w:next w:val="prastasis"/>
    <w:link w:val="Antrat3Diagrama"/>
    <w:unhideWhenUsed/>
    <w:qFormat/>
    <w:rsid w:val="00EE09AD"/>
    <w:pPr>
      <w:keepNext/>
      <w:keepLines/>
      <w:spacing w:before="40" w:after="0"/>
      <w:outlineLvl w:val="2"/>
    </w:pPr>
    <w:rPr>
      <w:rFonts w:eastAsiaTheme="majorEastAsia" w:cstheme="majorBidi"/>
      <w:i/>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706A41"/>
    <w:rPr>
      <w:rFonts w:eastAsiaTheme="majorEastAsia" w:cstheme="majorBidi"/>
      <w:b/>
      <w:color w:val="323E4F" w:themeColor="text2" w:themeShade="BF"/>
      <w:szCs w:val="32"/>
    </w:rPr>
  </w:style>
  <w:style w:type="character" w:customStyle="1" w:styleId="Antrat2Diagrama">
    <w:name w:val="Antraštė 2 Diagrama"/>
    <w:basedOn w:val="Numatytasispastraiposriftas"/>
    <w:link w:val="Antrat2"/>
    <w:rsid w:val="00EE09AD"/>
    <w:rPr>
      <w:rFonts w:eastAsiaTheme="majorEastAsia" w:cs="Times New Roman"/>
      <w:b/>
      <w:bCs/>
      <w:iCs/>
      <w:color w:val="2E74B5" w:themeColor="accent1" w:themeShade="BF"/>
    </w:rPr>
  </w:style>
  <w:style w:type="character" w:customStyle="1" w:styleId="Antrat3Diagrama">
    <w:name w:val="Antraštė 3 Diagrama"/>
    <w:basedOn w:val="Numatytasispastraiposriftas"/>
    <w:link w:val="Antrat3"/>
    <w:rsid w:val="00EE09AD"/>
    <w:rPr>
      <w:rFonts w:eastAsiaTheme="majorEastAsia" w:cstheme="majorBidi"/>
      <w:i/>
      <w:szCs w:val="24"/>
    </w:rPr>
  </w:style>
  <w:style w:type="character" w:styleId="Hipersaitas">
    <w:name w:val="Hyperlink"/>
    <w:basedOn w:val="Numatytasispastraiposriftas"/>
    <w:uiPriority w:val="99"/>
    <w:rsid w:val="00EE09AD"/>
    <w:rPr>
      <w:color w:val="0000FF"/>
      <w:u w:val="single"/>
    </w:rPr>
  </w:style>
  <w:style w:type="paragraph" w:styleId="Antrats">
    <w:name w:val="header"/>
    <w:basedOn w:val="prastasis"/>
    <w:link w:val="AntratsDiagrama"/>
    <w:uiPriority w:val="99"/>
    <w:unhideWhenUsed/>
    <w:rsid w:val="00EE09AD"/>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EE09AD"/>
  </w:style>
  <w:style w:type="paragraph" w:styleId="Porat">
    <w:name w:val="footer"/>
    <w:basedOn w:val="prastasis"/>
    <w:link w:val="PoratDiagrama"/>
    <w:uiPriority w:val="99"/>
    <w:unhideWhenUsed/>
    <w:rsid w:val="00EE09AD"/>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EE09AD"/>
  </w:style>
  <w:style w:type="paragraph" w:customStyle="1" w:styleId="NoSpacing1">
    <w:name w:val="No Spacing1"/>
    <w:link w:val="NoSpacingChar"/>
    <w:uiPriority w:val="99"/>
    <w:rsid w:val="00EE09AD"/>
    <w:pPr>
      <w:spacing w:after="0" w:line="240" w:lineRule="auto"/>
      <w:ind w:firstLine="720"/>
    </w:pPr>
    <w:rPr>
      <w:rFonts w:ascii="Calibri" w:eastAsia="Times New Roman" w:hAnsi="Calibri" w:cs="Times New Roman"/>
    </w:rPr>
  </w:style>
  <w:style w:type="character" w:customStyle="1" w:styleId="NoSpacingChar">
    <w:name w:val="No Spacing Char"/>
    <w:link w:val="NoSpacing1"/>
    <w:uiPriority w:val="99"/>
    <w:locked/>
    <w:rsid w:val="00EE09AD"/>
    <w:rPr>
      <w:rFonts w:ascii="Calibri" w:eastAsia="Times New Roman" w:hAnsi="Calibri" w:cs="Times New Roman"/>
    </w:rPr>
  </w:style>
  <w:style w:type="paragraph" w:styleId="Turinioantrat">
    <w:name w:val="TOC Heading"/>
    <w:basedOn w:val="Antrat1"/>
    <w:next w:val="prastasis"/>
    <w:uiPriority w:val="39"/>
    <w:unhideWhenUsed/>
    <w:qFormat/>
    <w:rsid w:val="00EE09AD"/>
    <w:pPr>
      <w:spacing w:line="259" w:lineRule="auto"/>
      <w:jc w:val="left"/>
      <w:outlineLvl w:val="9"/>
    </w:pPr>
    <w:rPr>
      <w:rFonts w:asciiTheme="majorHAnsi" w:hAnsiTheme="majorHAnsi"/>
      <w:b w:val="0"/>
      <w:bCs/>
      <w:color w:val="2E74B5"/>
      <w:sz w:val="32"/>
      <w:lang w:eastAsia="lt-LT"/>
    </w:rPr>
  </w:style>
  <w:style w:type="paragraph" w:styleId="Turinys1">
    <w:name w:val="toc 1"/>
    <w:basedOn w:val="prastasis"/>
    <w:next w:val="prastasis"/>
    <w:autoRedefine/>
    <w:uiPriority w:val="39"/>
    <w:unhideWhenUsed/>
    <w:rsid w:val="00EE09AD"/>
    <w:pPr>
      <w:tabs>
        <w:tab w:val="right" w:leader="dot" w:pos="9628"/>
      </w:tabs>
      <w:spacing w:after="100"/>
    </w:pPr>
    <w:rPr>
      <w:noProof/>
      <w:color w:val="1F4E79" w:themeColor="accent1" w:themeShade="80"/>
    </w:rPr>
  </w:style>
  <w:style w:type="paragraph" w:styleId="Turinys2">
    <w:name w:val="toc 2"/>
    <w:basedOn w:val="prastasis"/>
    <w:next w:val="prastasis"/>
    <w:autoRedefine/>
    <w:uiPriority w:val="39"/>
    <w:unhideWhenUsed/>
    <w:rsid w:val="00EE09AD"/>
    <w:pPr>
      <w:spacing w:after="100"/>
      <w:ind w:left="220"/>
    </w:pPr>
  </w:style>
  <w:style w:type="paragraph" w:styleId="Turinys3">
    <w:name w:val="toc 3"/>
    <w:basedOn w:val="prastasis"/>
    <w:next w:val="prastasis"/>
    <w:autoRedefine/>
    <w:uiPriority w:val="39"/>
    <w:unhideWhenUsed/>
    <w:rsid w:val="00EE09AD"/>
    <w:pPr>
      <w:spacing w:after="100"/>
      <w:ind w:left="440"/>
    </w:pPr>
  </w:style>
  <w:style w:type="paragraph" w:customStyle="1" w:styleId="Default">
    <w:name w:val="Default"/>
    <w:rsid w:val="00EE09AD"/>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Perirtashipersaitas">
    <w:name w:val="FollowedHyperlink"/>
    <w:basedOn w:val="Numatytasispastraiposriftas"/>
    <w:uiPriority w:val="99"/>
    <w:semiHidden/>
    <w:unhideWhenUsed/>
    <w:rsid w:val="00330D45"/>
    <w:rPr>
      <w:color w:val="954F72" w:themeColor="followedHyperlink"/>
      <w:u w:val="single"/>
    </w:rPr>
  </w:style>
  <w:style w:type="character" w:customStyle="1" w:styleId="sfbbfee58">
    <w:name w:val="sfbbfee58"/>
    <w:basedOn w:val="Numatytasispastraiposriftas"/>
    <w:rsid w:val="00C21437"/>
  </w:style>
  <w:style w:type="paragraph" w:customStyle="1" w:styleId="s6c429373">
    <w:name w:val="s6c429373"/>
    <w:basedOn w:val="prastasis"/>
    <w:rsid w:val="00C21437"/>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customStyle="1" w:styleId="s30eec3f8">
    <w:name w:val="s30eec3f8"/>
    <w:basedOn w:val="prastasis"/>
    <w:rsid w:val="00C21437"/>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sb8d990e2">
    <w:name w:val="sb8d990e2"/>
    <w:basedOn w:val="Numatytasispastraiposriftas"/>
    <w:rsid w:val="00C21437"/>
  </w:style>
  <w:style w:type="character" w:customStyle="1" w:styleId="s1a844bc0">
    <w:name w:val="s1a844bc0"/>
    <w:basedOn w:val="Numatytasispastraiposriftas"/>
    <w:rsid w:val="00C21437"/>
  </w:style>
  <w:style w:type="paragraph" w:customStyle="1" w:styleId="s6e50bd9a">
    <w:name w:val="s6e50bd9a"/>
    <w:basedOn w:val="prastasis"/>
    <w:rsid w:val="00C21437"/>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customStyle="1" w:styleId="tlid-translation">
    <w:name w:val="tlid-translation"/>
    <w:basedOn w:val="Numatytasispastraiposriftas"/>
    <w:rsid w:val="00FC3C8F"/>
  </w:style>
  <w:style w:type="character" w:styleId="Komentaronuoroda">
    <w:name w:val="annotation reference"/>
    <w:basedOn w:val="Numatytasispastraiposriftas"/>
    <w:uiPriority w:val="99"/>
    <w:semiHidden/>
    <w:unhideWhenUsed/>
    <w:rsid w:val="00E0534B"/>
    <w:rPr>
      <w:sz w:val="16"/>
      <w:szCs w:val="16"/>
    </w:rPr>
  </w:style>
  <w:style w:type="paragraph" w:styleId="Komentarotekstas">
    <w:name w:val="annotation text"/>
    <w:basedOn w:val="prastasis"/>
    <w:link w:val="KomentarotekstasDiagrama"/>
    <w:uiPriority w:val="99"/>
    <w:semiHidden/>
    <w:unhideWhenUsed/>
    <w:rsid w:val="00E0534B"/>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E0534B"/>
    <w:rPr>
      <w:sz w:val="20"/>
      <w:szCs w:val="20"/>
    </w:rPr>
  </w:style>
  <w:style w:type="paragraph" w:styleId="Komentarotema">
    <w:name w:val="annotation subject"/>
    <w:basedOn w:val="Komentarotekstas"/>
    <w:next w:val="Komentarotekstas"/>
    <w:link w:val="KomentarotemaDiagrama"/>
    <w:uiPriority w:val="99"/>
    <w:semiHidden/>
    <w:unhideWhenUsed/>
    <w:rsid w:val="00E0534B"/>
    <w:rPr>
      <w:b/>
      <w:bCs/>
    </w:rPr>
  </w:style>
  <w:style w:type="character" w:customStyle="1" w:styleId="KomentarotemaDiagrama">
    <w:name w:val="Komentaro tema Diagrama"/>
    <w:basedOn w:val="KomentarotekstasDiagrama"/>
    <w:link w:val="Komentarotema"/>
    <w:uiPriority w:val="99"/>
    <w:semiHidden/>
    <w:rsid w:val="00E0534B"/>
    <w:rPr>
      <w:b/>
      <w:bCs/>
      <w:sz w:val="20"/>
      <w:szCs w:val="20"/>
    </w:rPr>
  </w:style>
  <w:style w:type="paragraph" w:styleId="Debesliotekstas">
    <w:name w:val="Balloon Text"/>
    <w:basedOn w:val="prastasis"/>
    <w:link w:val="DebesliotekstasDiagrama"/>
    <w:uiPriority w:val="99"/>
    <w:semiHidden/>
    <w:unhideWhenUsed/>
    <w:rsid w:val="00E0534B"/>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E0534B"/>
    <w:rPr>
      <w:rFonts w:ascii="Segoe UI" w:hAnsi="Segoe UI" w:cs="Segoe UI"/>
      <w:sz w:val="18"/>
      <w:szCs w:val="18"/>
    </w:rPr>
  </w:style>
  <w:style w:type="paragraph" w:styleId="Puslapioinaostekstas">
    <w:name w:val="footnote text"/>
    <w:basedOn w:val="prastasis"/>
    <w:link w:val="PuslapioinaostekstasDiagrama"/>
    <w:uiPriority w:val="99"/>
    <w:semiHidden/>
    <w:unhideWhenUsed/>
    <w:rsid w:val="00E05E1E"/>
    <w:pPr>
      <w:spacing w:after="0" w:line="240" w:lineRule="auto"/>
    </w:pPr>
    <w:rPr>
      <w:rFonts w:ascii="Calibri" w:eastAsia="Calibri" w:hAnsi="Calibri" w:cs="Times New Roman"/>
      <w:sz w:val="20"/>
      <w:szCs w:val="20"/>
    </w:rPr>
  </w:style>
  <w:style w:type="character" w:customStyle="1" w:styleId="PuslapioinaostekstasDiagrama">
    <w:name w:val="Puslapio išnašos tekstas Diagrama"/>
    <w:basedOn w:val="Numatytasispastraiposriftas"/>
    <w:link w:val="Puslapioinaostekstas"/>
    <w:uiPriority w:val="99"/>
    <w:semiHidden/>
    <w:rsid w:val="00E05E1E"/>
    <w:rPr>
      <w:rFonts w:ascii="Calibri" w:eastAsia="Calibri" w:hAnsi="Calibri" w:cs="Times New Roman"/>
      <w:sz w:val="20"/>
      <w:szCs w:val="20"/>
    </w:rPr>
  </w:style>
  <w:style w:type="character" w:styleId="Puslapioinaosnuoroda">
    <w:name w:val="footnote reference"/>
    <w:basedOn w:val="Numatytasispastraiposriftas"/>
    <w:uiPriority w:val="99"/>
    <w:semiHidden/>
    <w:unhideWhenUsed/>
    <w:rsid w:val="00E05E1E"/>
    <w:rPr>
      <w:vertAlign w:val="superscript"/>
    </w:rPr>
  </w:style>
  <w:style w:type="character" w:customStyle="1" w:styleId="Neapdorotaspaminjimas1">
    <w:name w:val="Neapdorotas paminėjimas1"/>
    <w:basedOn w:val="Numatytasispastraiposriftas"/>
    <w:uiPriority w:val="99"/>
    <w:semiHidden/>
    <w:unhideWhenUsed/>
    <w:rsid w:val="003B6E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3799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urimas\AppData\Local\Microsoft\Windows\Temporary%20Internet%20Files\Content.Outlook\PRDPYQIP\www.echr.coe.int" TargetMode="External"/><Relationship Id="rId13" Type="http://schemas.openxmlformats.org/officeDocument/2006/relationships/hyperlink" Target="http://hudoc.echr.coe.int/eng?i=001-191546" TargetMode="External"/><Relationship Id="rId18" Type="http://schemas.openxmlformats.org/officeDocument/2006/relationships/hyperlink" Target="http://hudoc.echr.coe.int/eng?i=001-192218" TargetMode="External"/><Relationship Id="rId26" Type="http://schemas.openxmlformats.org/officeDocument/2006/relationships/hyperlink" Target="http://hudoc.echr.coe.int/eng?i=001-188987" TargetMode="External"/><Relationship Id="rId3" Type="http://schemas.openxmlformats.org/officeDocument/2006/relationships/settings" Target="settings.xml"/><Relationship Id="rId21" Type="http://schemas.openxmlformats.org/officeDocument/2006/relationships/hyperlink" Target="http://hudoc.echr.coe.int/eng?i=001-193452" TargetMode="External"/><Relationship Id="rId7" Type="http://schemas.openxmlformats.org/officeDocument/2006/relationships/image" Target="media/image1.png"/><Relationship Id="rId12" Type="http://schemas.openxmlformats.org/officeDocument/2006/relationships/hyperlink" Target="http://hudoc.echr.coe.int/eng?i=001-189791" TargetMode="External"/><Relationship Id="rId17" Type="http://schemas.openxmlformats.org/officeDocument/2006/relationships/hyperlink" Target="https://hudoc.echr.coe.int/eng" TargetMode="External"/><Relationship Id="rId25" Type="http://schemas.openxmlformats.org/officeDocument/2006/relationships/hyperlink" Target="http://hudoc.echr.coe.int/eng?i=001-194287" TargetMode="External"/><Relationship Id="rId2" Type="http://schemas.openxmlformats.org/officeDocument/2006/relationships/styles" Target="styles.xml"/><Relationship Id="rId16" Type="http://schemas.openxmlformats.org/officeDocument/2006/relationships/hyperlink" Target="http://hudoc.echr.coe.int/eng?i=001-189421" TargetMode="External"/><Relationship Id="rId20" Type="http://schemas.openxmlformats.org/officeDocument/2006/relationships/hyperlink" Target="http://hudoc.echr.coe.int/eng?i=001-193652"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hudoc.echr.coe.int/eng?i=001-189625" TargetMode="External"/><Relationship Id="rId24" Type="http://schemas.openxmlformats.org/officeDocument/2006/relationships/hyperlink" Target="https://hudoc.echr.coe.int/eng" TargetMode="External"/><Relationship Id="rId5" Type="http://schemas.openxmlformats.org/officeDocument/2006/relationships/footnotes" Target="footnotes.xml"/><Relationship Id="rId15" Type="http://schemas.openxmlformats.org/officeDocument/2006/relationships/hyperlink" Target="http://hudoc.echr.coe.int/eng?i=001-194196" TargetMode="External"/><Relationship Id="rId23" Type="http://schemas.openxmlformats.org/officeDocument/2006/relationships/hyperlink" Target="https://hudoc.echr.coe.int/eng" TargetMode="External"/><Relationship Id="rId28" Type="http://schemas.openxmlformats.org/officeDocument/2006/relationships/header" Target="header1.xml"/><Relationship Id="rId10" Type="http://schemas.openxmlformats.org/officeDocument/2006/relationships/hyperlink" Target="http://hudoc.echr.coe.int/eng?i=001-192066" TargetMode="External"/><Relationship Id="rId19" Type="http://schemas.openxmlformats.org/officeDocument/2006/relationships/hyperlink" Target="http://hudoc.echr.coe.int/eng?i=001-192985"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hudoc.echr.coe.int/eng?i=001-189166" TargetMode="External"/><Relationship Id="rId14" Type="http://schemas.openxmlformats.org/officeDocument/2006/relationships/hyperlink" Target="http://hudoc.echr.coe.int/eng?i=001-193088" TargetMode="External"/><Relationship Id="rId22" Type="http://schemas.openxmlformats.org/officeDocument/2006/relationships/hyperlink" Target="https://hudoc.echr.coe.int/eng" TargetMode="External"/><Relationship Id="rId27" Type="http://schemas.openxmlformats.org/officeDocument/2006/relationships/hyperlink" Target="http://hudoc.echr.coe.int/eng?i=001-193741" TargetMode="External"/><Relationship Id="rId30"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E78D15-C622-403A-93C1-837A3642D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241</TotalTime>
  <Pages>24</Pages>
  <Words>13351</Words>
  <Characters>76102</Characters>
  <Application>Microsoft Office Word</Application>
  <DocSecurity>0</DocSecurity>
  <Lines>634</Lines>
  <Paragraphs>178</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89275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Eimantė Šilvaitė</dc:creator>
  <cp:keywords/>
  <dc:description/>
  <cp:lastModifiedBy>Jurga Marcinkevičiūtė</cp:lastModifiedBy>
  <cp:revision>17</cp:revision>
  <dcterms:created xsi:type="dcterms:W3CDTF">2019-09-23T06:52:00Z</dcterms:created>
  <dcterms:modified xsi:type="dcterms:W3CDTF">2019-09-23T11:06:00Z</dcterms:modified>
</cp:coreProperties>
</file>