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187E2" w14:textId="77777777" w:rsidR="003D4C15" w:rsidRPr="007D3F98" w:rsidRDefault="003D4C15" w:rsidP="00496E0E">
      <w:pPr>
        <w:pStyle w:val="Betarp"/>
        <w:spacing w:after="240"/>
        <w:jc w:val="both"/>
        <w:rPr>
          <w:rFonts w:asciiTheme="minorHAnsi" w:hAnsiTheme="minorHAnsi" w:cstheme="minorHAnsi"/>
        </w:rPr>
      </w:pPr>
    </w:p>
    <w:p w14:paraId="17569D08" w14:textId="77777777" w:rsidR="003D4C15" w:rsidRPr="007D3F98" w:rsidRDefault="003D4C15" w:rsidP="00496E0E">
      <w:pPr>
        <w:pStyle w:val="Betarp"/>
        <w:spacing w:after="240"/>
        <w:jc w:val="both"/>
        <w:rPr>
          <w:rFonts w:asciiTheme="minorHAnsi" w:hAnsiTheme="minorHAnsi" w:cstheme="minorHAnsi"/>
        </w:rPr>
      </w:pPr>
    </w:p>
    <w:p w14:paraId="70D2EAA9" w14:textId="77777777" w:rsidR="00A4671F" w:rsidRPr="007D3F98" w:rsidRDefault="00A4671F" w:rsidP="00496E0E">
      <w:pPr>
        <w:pStyle w:val="Betarp"/>
        <w:spacing w:after="1440"/>
        <w:ind w:left="1296" w:hanging="1296"/>
        <w:jc w:val="center"/>
        <w:rPr>
          <w:rFonts w:asciiTheme="minorHAnsi" w:hAnsiTheme="minorHAnsi" w:cstheme="minorHAnsi"/>
          <w:lang w:eastAsia="lt-LT"/>
        </w:rPr>
      </w:pPr>
    </w:p>
    <w:p w14:paraId="66813C6B" w14:textId="77777777" w:rsidR="003D4C15" w:rsidRPr="007D3F98" w:rsidRDefault="003D4C15" w:rsidP="00496E0E">
      <w:pPr>
        <w:pStyle w:val="Betarp"/>
        <w:spacing w:after="1440"/>
        <w:ind w:left="1296" w:hanging="1296"/>
        <w:jc w:val="center"/>
        <w:rPr>
          <w:rFonts w:asciiTheme="minorHAnsi" w:hAnsiTheme="minorHAnsi" w:cstheme="minorHAnsi"/>
        </w:rPr>
      </w:pPr>
      <w:r w:rsidRPr="007D3F98">
        <w:rPr>
          <w:rFonts w:asciiTheme="minorHAnsi" w:hAnsiTheme="minorHAnsi" w:cstheme="minorHAnsi"/>
          <w:noProof/>
          <w:lang w:eastAsia="lt-LT"/>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7D3F98">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F0ED16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7D3F98">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BB0D123"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7D3F98">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3502C55"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7D3F98">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DE6C87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14:paraId="06F7CBC9" w14:textId="77777777" w:rsidR="003D4C15" w:rsidRPr="007D3F98" w:rsidRDefault="003D4C15" w:rsidP="00496E0E">
      <w:pPr>
        <w:pStyle w:val="Betarp"/>
        <w:jc w:val="center"/>
        <w:rPr>
          <w:rFonts w:asciiTheme="minorHAnsi" w:hAnsiTheme="minorHAnsi" w:cstheme="minorHAnsi"/>
          <w:smallCaps/>
          <w:sz w:val="52"/>
          <w:szCs w:val="52"/>
        </w:rPr>
      </w:pPr>
      <w:r w:rsidRPr="007D3F98">
        <w:rPr>
          <w:rFonts w:asciiTheme="minorHAnsi" w:hAnsiTheme="minorHAnsi" w:cstheme="minorHAnsi"/>
          <w:smallCaps/>
          <w:sz w:val="52"/>
          <w:szCs w:val="52"/>
        </w:rPr>
        <w:t>Lietuvos vyriausiojo administracinio teismo praktikos apžvalga</w:t>
      </w:r>
    </w:p>
    <w:p w14:paraId="6B519B9C" w14:textId="787C664D" w:rsidR="003D4C15" w:rsidRPr="007D3F98" w:rsidRDefault="003D4C15" w:rsidP="00496E0E">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7D3F98">
        <w:rPr>
          <w:rFonts w:asciiTheme="minorHAnsi" w:hAnsiTheme="minorHAnsi" w:cstheme="minorHAnsi"/>
          <w:b/>
          <w:smallCaps/>
          <w:sz w:val="32"/>
          <w:szCs w:val="32"/>
          <w:u w:val="double"/>
        </w:rPr>
        <w:t>201</w:t>
      </w:r>
      <w:r w:rsidR="00381934" w:rsidRPr="007D3F98">
        <w:rPr>
          <w:rFonts w:asciiTheme="minorHAnsi" w:hAnsiTheme="minorHAnsi" w:cstheme="minorHAnsi"/>
          <w:b/>
          <w:smallCaps/>
          <w:sz w:val="32"/>
          <w:szCs w:val="32"/>
          <w:u w:val="double"/>
        </w:rPr>
        <w:t>9</w:t>
      </w:r>
      <w:r w:rsidRPr="007D3F98">
        <w:rPr>
          <w:rFonts w:asciiTheme="minorHAnsi" w:hAnsiTheme="minorHAnsi" w:cstheme="minorHAnsi"/>
          <w:b/>
          <w:smallCaps/>
          <w:sz w:val="32"/>
          <w:szCs w:val="32"/>
          <w:u w:val="double"/>
        </w:rPr>
        <w:t xml:space="preserve"> m. </w:t>
      </w:r>
      <w:r w:rsidR="007E7F95" w:rsidRPr="007D3F98">
        <w:rPr>
          <w:rFonts w:asciiTheme="minorHAnsi" w:hAnsiTheme="minorHAnsi" w:cstheme="minorHAnsi"/>
          <w:b/>
          <w:smallCaps/>
          <w:sz w:val="32"/>
          <w:szCs w:val="32"/>
          <w:u w:val="double"/>
        </w:rPr>
        <w:t>lapkričio</w:t>
      </w:r>
      <w:r w:rsidR="000F1C77" w:rsidRPr="007D3F98">
        <w:rPr>
          <w:rFonts w:asciiTheme="minorHAnsi" w:hAnsiTheme="minorHAnsi" w:cstheme="minorHAnsi"/>
          <w:b/>
          <w:smallCaps/>
          <w:sz w:val="32"/>
          <w:szCs w:val="32"/>
          <w:u w:val="double"/>
        </w:rPr>
        <w:t xml:space="preserve"> </w:t>
      </w:r>
      <w:r w:rsidRPr="007D3F98">
        <w:rPr>
          <w:rFonts w:asciiTheme="minorHAnsi" w:hAnsiTheme="minorHAnsi" w:cstheme="minorHAnsi"/>
          <w:b/>
          <w:smallCaps/>
          <w:sz w:val="32"/>
          <w:szCs w:val="32"/>
          <w:u w:val="double"/>
        </w:rPr>
        <w:t>1 d. – 201</w:t>
      </w:r>
      <w:r w:rsidR="00381934" w:rsidRPr="007D3F98">
        <w:rPr>
          <w:rFonts w:asciiTheme="minorHAnsi" w:hAnsiTheme="minorHAnsi" w:cstheme="minorHAnsi"/>
          <w:b/>
          <w:smallCaps/>
          <w:sz w:val="32"/>
          <w:szCs w:val="32"/>
          <w:u w:val="double"/>
        </w:rPr>
        <w:t>9</w:t>
      </w:r>
      <w:r w:rsidRPr="007D3F98">
        <w:rPr>
          <w:rFonts w:asciiTheme="minorHAnsi" w:hAnsiTheme="minorHAnsi" w:cstheme="minorHAnsi"/>
          <w:b/>
          <w:smallCaps/>
          <w:sz w:val="32"/>
          <w:szCs w:val="32"/>
          <w:u w:val="double"/>
        </w:rPr>
        <w:t xml:space="preserve"> m.</w:t>
      </w:r>
      <w:r w:rsidR="000F1C77" w:rsidRPr="007D3F98">
        <w:rPr>
          <w:rFonts w:asciiTheme="minorHAnsi" w:hAnsiTheme="minorHAnsi" w:cstheme="minorHAnsi"/>
          <w:b/>
          <w:smallCaps/>
          <w:sz w:val="32"/>
          <w:szCs w:val="32"/>
          <w:u w:val="double"/>
        </w:rPr>
        <w:t xml:space="preserve"> </w:t>
      </w:r>
      <w:r w:rsidR="005E7FEB" w:rsidRPr="007D3F98">
        <w:rPr>
          <w:rFonts w:asciiTheme="minorHAnsi" w:hAnsiTheme="minorHAnsi" w:cstheme="minorHAnsi"/>
          <w:b/>
          <w:smallCaps/>
          <w:sz w:val="32"/>
          <w:szCs w:val="32"/>
          <w:u w:val="double"/>
        </w:rPr>
        <w:t>lapkričio</w:t>
      </w:r>
      <w:r w:rsidR="009623D0" w:rsidRPr="007D3F98">
        <w:rPr>
          <w:rFonts w:asciiTheme="minorHAnsi" w:hAnsiTheme="minorHAnsi" w:cstheme="minorHAnsi"/>
          <w:b/>
          <w:smallCaps/>
          <w:sz w:val="32"/>
          <w:szCs w:val="32"/>
          <w:u w:val="double"/>
        </w:rPr>
        <w:t xml:space="preserve"> </w:t>
      </w:r>
      <w:r w:rsidR="00B1030A" w:rsidRPr="007D3F98">
        <w:rPr>
          <w:rFonts w:asciiTheme="minorHAnsi" w:hAnsiTheme="minorHAnsi" w:cstheme="minorHAnsi"/>
          <w:b/>
          <w:smallCaps/>
          <w:sz w:val="32"/>
          <w:szCs w:val="32"/>
          <w:u w:val="double"/>
        </w:rPr>
        <w:t>3</w:t>
      </w:r>
      <w:r w:rsidR="005E7FEB" w:rsidRPr="007D3F98">
        <w:rPr>
          <w:rFonts w:asciiTheme="minorHAnsi" w:hAnsiTheme="minorHAnsi" w:cstheme="minorHAnsi"/>
          <w:b/>
          <w:smallCaps/>
          <w:sz w:val="32"/>
          <w:szCs w:val="32"/>
          <w:u w:val="double"/>
        </w:rPr>
        <w:t>0</w:t>
      </w:r>
      <w:r w:rsidR="000F1C77" w:rsidRPr="007D3F98">
        <w:rPr>
          <w:rFonts w:asciiTheme="minorHAnsi" w:hAnsiTheme="minorHAnsi" w:cstheme="minorHAnsi"/>
          <w:b/>
          <w:smallCaps/>
          <w:sz w:val="32"/>
          <w:szCs w:val="32"/>
          <w:u w:val="double"/>
        </w:rPr>
        <w:t xml:space="preserve"> </w:t>
      </w:r>
      <w:r w:rsidRPr="007D3F98">
        <w:rPr>
          <w:rFonts w:asciiTheme="minorHAnsi" w:hAnsiTheme="minorHAnsi" w:cstheme="minorHAnsi"/>
          <w:b/>
          <w:smallCaps/>
          <w:sz w:val="32"/>
          <w:szCs w:val="32"/>
          <w:u w:val="double"/>
        </w:rPr>
        <w:t>d.</w:t>
      </w:r>
      <w:bookmarkEnd w:id="0"/>
      <w:bookmarkEnd w:id="1"/>
      <w:bookmarkEnd w:id="2"/>
      <w:bookmarkEnd w:id="3"/>
      <w:bookmarkEnd w:id="4"/>
      <w:bookmarkEnd w:id="5"/>
    </w:p>
    <w:p w14:paraId="34CB955A" w14:textId="77777777" w:rsidR="003D4C15" w:rsidRPr="007D3F98" w:rsidRDefault="003D4C15" w:rsidP="00496E0E">
      <w:pPr>
        <w:jc w:val="both"/>
        <w:rPr>
          <w:rFonts w:asciiTheme="minorHAnsi" w:hAnsiTheme="minorHAnsi" w:cstheme="minorHAnsi"/>
          <w:b/>
          <w:smallCaps/>
          <w:sz w:val="32"/>
          <w:szCs w:val="32"/>
        </w:rPr>
      </w:pPr>
    </w:p>
    <w:p w14:paraId="012D63E8" w14:textId="77777777" w:rsidR="003D4C15" w:rsidRPr="007D3F98" w:rsidRDefault="003D4C15" w:rsidP="00496E0E">
      <w:pPr>
        <w:jc w:val="both"/>
        <w:rPr>
          <w:rFonts w:asciiTheme="minorHAnsi" w:hAnsiTheme="minorHAnsi" w:cstheme="minorHAnsi"/>
          <w:b/>
          <w:smallCaps/>
          <w:sz w:val="22"/>
          <w:szCs w:val="22"/>
        </w:rPr>
      </w:pPr>
    </w:p>
    <w:p w14:paraId="455E7653" w14:textId="77777777" w:rsidR="003D4C15" w:rsidRPr="007D3F98" w:rsidRDefault="003D4C15" w:rsidP="00496E0E">
      <w:pPr>
        <w:jc w:val="both"/>
        <w:rPr>
          <w:rFonts w:asciiTheme="minorHAnsi" w:hAnsiTheme="minorHAnsi" w:cstheme="minorHAnsi"/>
          <w:b/>
          <w:smallCaps/>
          <w:sz w:val="22"/>
          <w:szCs w:val="22"/>
        </w:rPr>
      </w:pPr>
    </w:p>
    <w:p w14:paraId="53EE2D16" w14:textId="77777777" w:rsidR="003D4C15" w:rsidRPr="007D3F98" w:rsidRDefault="003D4C15" w:rsidP="00496E0E">
      <w:pPr>
        <w:jc w:val="both"/>
        <w:rPr>
          <w:rFonts w:asciiTheme="minorHAnsi" w:hAnsiTheme="minorHAnsi" w:cstheme="minorHAnsi"/>
          <w:b/>
          <w:smallCaps/>
          <w:sz w:val="22"/>
          <w:szCs w:val="22"/>
        </w:rPr>
      </w:pPr>
    </w:p>
    <w:p w14:paraId="73448F9D" w14:textId="77777777" w:rsidR="003D4C15" w:rsidRPr="007D3F98" w:rsidRDefault="003D4C15" w:rsidP="00496E0E">
      <w:pPr>
        <w:jc w:val="both"/>
        <w:rPr>
          <w:rFonts w:asciiTheme="minorHAnsi" w:hAnsiTheme="minorHAnsi" w:cstheme="minorHAnsi"/>
          <w:b/>
          <w:smallCaps/>
          <w:sz w:val="22"/>
          <w:szCs w:val="22"/>
        </w:rPr>
      </w:pPr>
    </w:p>
    <w:p w14:paraId="28466615" w14:textId="77777777" w:rsidR="003D4C15" w:rsidRPr="007D3F98" w:rsidRDefault="003D4C15" w:rsidP="00496E0E">
      <w:pPr>
        <w:jc w:val="both"/>
        <w:rPr>
          <w:rFonts w:asciiTheme="minorHAnsi" w:hAnsiTheme="minorHAnsi" w:cstheme="minorHAnsi"/>
          <w:b/>
          <w:smallCaps/>
          <w:sz w:val="22"/>
          <w:szCs w:val="22"/>
        </w:rPr>
      </w:pPr>
    </w:p>
    <w:p w14:paraId="2FC70AC6" w14:textId="77777777" w:rsidR="003D4C15" w:rsidRPr="007D3F98" w:rsidRDefault="003D4C15" w:rsidP="00496E0E">
      <w:pPr>
        <w:jc w:val="both"/>
        <w:rPr>
          <w:rFonts w:asciiTheme="minorHAnsi" w:hAnsiTheme="minorHAnsi" w:cstheme="minorHAnsi"/>
          <w:b/>
          <w:smallCaps/>
          <w:sz w:val="22"/>
          <w:szCs w:val="22"/>
        </w:rPr>
      </w:pPr>
    </w:p>
    <w:p w14:paraId="01F50AED" w14:textId="77777777" w:rsidR="003D4C15" w:rsidRPr="007D3F98" w:rsidRDefault="003D4C15" w:rsidP="00496E0E">
      <w:pPr>
        <w:jc w:val="both"/>
        <w:rPr>
          <w:rFonts w:asciiTheme="minorHAnsi" w:hAnsiTheme="minorHAnsi" w:cstheme="minorHAnsi"/>
          <w:b/>
          <w:smallCaps/>
          <w:sz w:val="22"/>
          <w:szCs w:val="22"/>
        </w:rPr>
      </w:pPr>
    </w:p>
    <w:p w14:paraId="30B0D408" w14:textId="77777777" w:rsidR="003D4C15" w:rsidRPr="007D3F98" w:rsidRDefault="003D4C15" w:rsidP="00496E0E">
      <w:pPr>
        <w:jc w:val="both"/>
        <w:rPr>
          <w:rFonts w:asciiTheme="minorHAnsi" w:hAnsiTheme="minorHAnsi" w:cstheme="minorHAnsi"/>
          <w:b/>
          <w:smallCaps/>
          <w:sz w:val="22"/>
          <w:szCs w:val="22"/>
        </w:rPr>
      </w:pPr>
    </w:p>
    <w:p w14:paraId="0AC2F7A6" w14:textId="77777777" w:rsidR="003D4C15" w:rsidRPr="007D3F98" w:rsidRDefault="003D4C15" w:rsidP="00496E0E">
      <w:pPr>
        <w:jc w:val="both"/>
        <w:rPr>
          <w:rFonts w:asciiTheme="minorHAnsi" w:hAnsiTheme="minorHAnsi" w:cstheme="minorHAnsi"/>
          <w:b/>
          <w:smallCaps/>
          <w:sz w:val="22"/>
          <w:szCs w:val="22"/>
        </w:rPr>
      </w:pPr>
    </w:p>
    <w:p w14:paraId="74A36362" w14:textId="77777777" w:rsidR="003D4C15" w:rsidRPr="007D3F98" w:rsidRDefault="003D4C15" w:rsidP="00496E0E">
      <w:pPr>
        <w:jc w:val="both"/>
        <w:rPr>
          <w:rFonts w:asciiTheme="minorHAnsi" w:hAnsiTheme="minorHAnsi" w:cstheme="minorHAnsi"/>
          <w:b/>
          <w:smallCaps/>
          <w:sz w:val="22"/>
          <w:szCs w:val="22"/>
        </w:rPr>
      </w:pPr>
    </w:p>
    <w:p w14:paraId="3B289CC4" w14:textId="77777777" w:rsidR="003D4C15" w:rsidRPr="007D3F98" w:rsidRDefault="003D4C15" w:rsidP="00496E0E">
      <w:pPr>
        <w:jc w:val="both"/>
        <w:rPr>
          <w:rFonts w:asciiTheme="minorHAnsi" w:hAnsiTheme="minorHAnsi" w:cstheme="minorHAnsi"/>
          <w:b/>
          <w:smallCaps/>
          <w:sz w:val="22"/>
          <w:szCs w:val="22"/>
        </w:rPr>
      </w:pPr>
    </w:p>
    <w:p w14:paraId="2012CFEA" w14:textId="77777777" w:rsidR="003D4C15" w:rsidRPr="007D3F98" w:rsidRDefault="003D4C15" w:rsidP="00496E0E">
      <w:pPr>
        <w:jc w:val="both"/>
        <w:rPr>
          <w:rFonts w:asciiTheme="minorHAnsi" w:hAnsiTheme="minorHAnsi" w:cstheme="minorHAnsi"/>
          <w:b/>
          <w:smallCaps/>
          <w:sz w:val="22"/>
          <w:szCs w:val="22"/>
        </w:rPr>
      </w:pPr>
    </w:p>
    <w:p w14:paraId="0CBF0D24" w14:textId="77777777" w:rsidR="003D4C15" w:rsidRPr="007D3F98" w:rsidRDefault="003D4C15" w:rsidP="00496E0E">
      <w:pPr>
        <w:jc w:val="both"/>
        <w:rPr>
          <w:rFonts w:asciiTheme="minorHAnsi" w:hAnsiTheme="minorHAnsi" w:cstheme="minorHAnsi"/>
          <w:b/>
          <w:smallCaps/>
          <w:sz w:val="22"/>
          <w:szCs w:val="22"/>
        </w:rPr>
      </w:pPr>
    </w:p>
    <w:p w14:paraId="1867DC59" w14:textId="77777777" w:rsidR="003D4C15" w:rsidRPr="007D3F98" w:rsidRDefault="003D4C15" w:rsidP="00496E0E">
      <w:pPr>
        <w:jc w:val="both"/>
        <w:rPr>
          <w:rFonts w:asciiTheme="minorHAnsi" w:hAnsiTheme="minorHAnsi" w:cstheme="minorHAnsi"/>
          <w:b/>
          <w:smallCaps/>
          <w:sz w:val="22"/>
          <w:szCs w:val="22"/>
        </w:rPr>
      </w:pPr>
    </w:p>
    <w:p w14:paraId="637CF3A2" w14:textId="77777777" w:rsidR="003D4C15" w:rsidRPr="007D3F98" w:rsidRDefault="003D4C15" w:rsidP="00496E0E">
      <w:pPr>
        <w:jc w:val="center"/>
        <w:rPr>
          <w:rFonts w:asciiTheme="minorHAnsi" w:hAnsiTheme="minorHAnsi" w:cstheme="minorHAnsi"/>
          <w:b/>
          <w:smallCaps/>
          <w:sz w:val="28"/>
          <w:szCs w:val="28"/>
        </w:rPr>
      </w:pPr>
      <w:r w:rsidRPr="007D3F98">
        <w:rPr>
          <w:rFonts w:asciiTheme="minorHAnsi" w:hAnsiTheme="minorHAnsi" w:cstheme="minorHAnsi"/>
          <w:b/>
          <w:smallCaps/>
          <w:sz w:val="28"/>
          <w:szCs w:val="28"/>
        </w:rPr>
        <w:t>Apžvalgą parengė Lietuvos vyriausiojo administracinio teismo</w:t>
      </w:r>
    </w:p>
    <w:p w14:paraId="4B9B7B9F" w14:textId="77777777" w:rsidR="003D4C15" w:rsidRPr="007D3F98" w:rsidRDefault="003D4C15" w:rsidP="00496E0E">
      <w:pPr>
        <w:jc w:val="center"/>
        <w:rPr>
          <w:rFonts w:asciiTheme="minorHAnsi" w:hAnsiTheme="minorHAnsi" w:cstheme="minorHAnsi"/>
          <w:sz w:val="22"/>
          <w:szCs w:val="22"/>
        </w:rPr>
      </w:pPr>
      <w:r w:rsidRPr="007D3F98">
        <w:rPr>
          <w:rFonts w:asciiTheme="minorHAnsi" w:hAnsiTheme="minorHAnsi" w:cstheme="minorHAnsi"/>
          <w:b/>
          <w:smallCaps/>
          <w:sz w:val="28"/>
          <w:szCs w:val="28"/>
        </w:rPr>
        <w:t>T</w:t>
      </w:r>
      <w:r w:rsidR="0016762E" w:rsidRPr="007D3F98">
        <w:rPr>
          <w:rFonts w:asciiTheme="minorHAnsi" w:hAnsiTheme="minorHAnsi" w:cstheme="minorHAnsi"/>
          <w:b/>
          <w:smallCaps/>
          <w:sz w:val="28"/>
          <w:szCs w:val="28"/>
        </w:rPr>
        <w:t xml:space="preserve">eismų praktikos </w:t>
      </w:r>
      <w:r w:rsidRPr="007D3F98">
        <w:rPr>
          <w:rFonts w:asciiTheme="minorHAnsi" w:hAnsiTheme="minorHAnsi" w:cstheme="minorHAnsi"/>
          <w:b/>
          <w:smallCaps/>
          <w:sz w:val="28"/>
          <w:szCs w:val="28"/>
        </w:rPr>
        <w:t>departamentas</w:t>
      </w:r>
      <w:r w:rsidRPr="007D3F98">
        <w:rPr>
          <w:rFonts w:asciiTheme="minorHAnsi" w:hAnsiTheme="minorHAnsi" w:cstheme="minorHAnsi"/>
          <w:smallCaps/>
          <w:sz w:val="22"/>
          <w:szCs w:val="22"/>
        </w:rPr>
        <w:br w:type="page"/>
      </w:r>
      <w:bookmarkStart w:id="6" w:name="_Hlk529270320"/>
      <w:bookmarkStart w:id="7" w:name="_Hlk29391244"/>
      <w:bookmarkStart w:id="8" w:name="_Toc120597382"/>
      <w:r w:rsidRPr="007D3F98">
        <w:rPr>
          <w:rFonts w:asciiTheme="minorHAnsi" w:hAnsiTheme="minorHAnsi" w:cstheme="minorHAnsi"/>
          <w:b/>
          <w:sz w:val="22"/>
          <w:szCs w:val="22"/>
        </w:rPr>
        <w:lastRenderedPageBreak/>
        <w:t>TURINYS</w:t>
      </w:r>
    </w:p>
    <w:p w14:paraId="252AEBB3" w14:textId="37C534E8" w:rsidR="0023091E" w:rsidRDefault="00A364C6">
      <w:pPr>
        <w:pStyle w:val="Turinys1"/>
        <w:rPr>
          <w:rFonts w:eastAsiaTheme="minorEastAsia" w:cstheme="minorBidi"/>
          <w:b w:val="0"/>
          <w:bCs w:val="0"/>
          <w:caps w:val="0"/>
          <w:noProof/>
          <w:szCs w:val="22"/>
          <w:lang w:val="en-US" w:eastAsia="en-US"/>
        </w:rPr>
      </w:pPr>
      <w:r w:rsidRPr="007D3F98">
        <w:rPr>
          <w:rFonts w:cstheme="minorHAnsi"/>
          <w:szCs w:val="22"/>
        </w:rPr>
        <w:fldChar w:fldCharType="begin"/>
      </w:r>
      <w:r w:rsidR="003D4C15" w:rsidRPr="007D3F98">
        <w:rPr>
          <w:rFonts w:cstheme="minorHAnsi"/>
          <w:szCs w:val="22"/>
        </w:rPr>
        <w:instrText xml:space="preserve"> TOC \o "1-3" \h \z \u </w:instrText>
      </w:r>
      <w:r w:rsidRPr="007D3F98">
        <w:rPr>
          <w:rFonts w:cstheme="minorHAnsi"/>
          <w:szCs w:val="22"/>
        </w:rPr>
        <w:fldChar w:fldCharType="separate"/>
      </w:r>
      <w:hyperlink w:anchor="_Toc29392685" w:history="1">
        <w:r w:rsidR="0023091E" w:rsidRPr="00390D16">
          <w:rPr>
            <w:rStyle w:val="Hipersaitas"/>
            <w:rFonts w:cstheme="minorHAnsi"/>
            <w:noProof/>
          </w:rPr>
          <w:t>I. Administracinės bylos, kylančios iš ginčų dėl teisės viešojo administravimo srityje</w:t>
        </w:r>
        <w:r w:rsidR="0023091E">
          <w:rPr>
            <w:noProof/>
            <w:webHidden/>
          </w:rPr>
          <w:tab/>
        </w:r>
        <w:r w:rsidR="0023091E">
          <w:rPr>
            <w:noProof/>
            <w:webHidden/>
          </w:rPr>
          <w:fldChar w:fldCharType="begin"/>
        </w:r>
        <w:r w:rsidR="0023091E">
          <w:rPr>
            <w:noProof/>
            <w:webHidden/>
          </w:rPr>
          <w:instrText xml:space="preserve"> PAGEREF _Toc29392685 \h </w:instrText>
        </w:r>
        <w:r w:rsidR="0023091E">
          <w:rPr>
            <w:noProof/>
            <w:webHidden/>
          </w:rPr>
        </w:r>
        <w:r w:rsidR="0023091E">
          <w:rPr>
            <w:noProof/>
            <w:webHidden/>
          </w:rPr>
          <w:fldChar w:fldCharType="separate"/>
        </w:r>
        <w:r w:rsidR="0023091E">
          <w:rPr>
            <w:noProof/>
            <w:webHidden/>
          </w:rPr>
          <w:t>4</w:t>
        </w:r>
        <w:r w:rsidR="0023091E">
          <w:rPr>
            <w:noProof/>
            <w:webHidden/>
          </w:rPr>
          <w:fldChar w:fldCharType="end"/>
        </w:r>
      </w:hyperlink>
    </w:p>
    <w:p w14:paraId="7AA107F8" w14:textId="1E169926" w:rsidR="0023091E" w:rsidRDefault="00854B2C">
      <w:pPr>
        <w:pStyle w:val="Turinys1"/>
        <w:rPr>
          <w:rFonts w:eastAsiaTheme="minorEastAsia" w:cstheme="minorBidi"/>
          <w:b w:val="0"/>
          <w:bCs w:val="0"/>
          <w:caps w:val="0"/>
          <w:noProof/>
          <w:szCs w:val="22"/>
          <w:lang w:val="en-US" w:eastAsia="en-US"/>
        </w:rPr>
      </w:pPr>
      <w:hyperlink w:anchor="_Toc29392686" w:history="1">
        <w:r w:rsidR="0023091E" w:rsidRPr="00390D16">
          <w:rPr>
            <w:rStyle w:val="Hipersaitas"/>
            <w:rFonts w:cstheme="minorHAnsi"/>
            <w:noProof/>
          </w:rPr>
          <w:t>4. Norminių administracinių aktų teisėtumo patikra</w:t>
        </w:r>
        <w:r w:rsidR="0023091E">
          <w:rPr>
            <w:noProof/>
            <w:webHidden/>
          </w:rPr>
          <w:tab/>
        </w:r>
        <w:r w:rsidR="0023091E">
          <w:rPr>
            <w:noProof/>
            <w:webHidden/>
          </w:rPr>
          <w:fldChar w:fldCharType="begin"/>
        </w:r>
        <w:r w:rsidR="0023091E">
          <w:rPr>
            <w:noProof/>
            <w:webHidden/>
          </w:rPr>
          <w:instrText xml:space="preserve"> PAGEREF _Toc29392686 \h </w:instrText>
        </w:r>
        <w:r w:rsidR="0023091E">
          <w:rPr>
            <w:noProof/>
            <w:webHidden/>
          </w:rPr>
        </w:r>
        <w:r w:rsidR="0023091E">
          <w:rPr>
            <w:noProof/>
            <w:webHidden/>
          </w:rPr>
          <w:fldChar w:fldCharType="separate"/>
        </w:r>
        <w:r w:rsidR="0023091E">
          <w:rPr>
            <w:noProof/>
            <w:webHidden/>
          </w:rPr>
          <w:t>4</w:t>
        </w:r>
        <w:r w:rsidR="0023091E">
          <w:rPr>
            <w:noProof/>
            <w:webHidden/>
          </w:rPr>
          <w:fldChar w:fldCharType="end"/>
        </w:r>
      </w:hyperlink>
    </w:p>
    <w:p w14:paraId="0EBB9C0C" w14:textId="02CD3A18" w:rsidR="0023091E" w:rsidRDefault="00854B2C">
      <w:pPr>
        <w:pStyle w:val="Turinys2"/>
        <w:rPr>
          <w:rFonts w:eastAsiaTheme="minorEastAsia" w:cstheme="minorBidi"/>
          <w:i w:val="0"/>
          <w:noProof/>
          <w:szCs w:val="22"/>
          <w:lang w:val="en-US" w:eastAsia="en-US"/>
        </w:rPr>
      </w:pPr>
      <w:hyperlink w:anchor="_Toc29392687" w:history="1">
        <w:r w:rsidR="0023091E" w:rsidRPr="00390D16">
          <w:rPr>
            <w:rStyle w:val="Hipersaitas"/>
            <w:noProof/>
          </w:rPr>
          <w:t>Dėl Advokatų kvalifikacinio egzamino ir advokatų veiklos organizavimo egzamino laikymo ir apmokėjimo tvarkos aprašo nuostatų vertinimo</w:t>
        </w:r>
        <w:r w:rsidR="0023091E">
          <w:rPr>
            <w:noProof/>
            <w:webHidden/>
          </w:rPr>
          <w:tab/>
        </w:r>
        <w:r w:rsidR="0023091E">
          <w:rPr>
            <w:noProof/>
            <w:webHidden/>
          </w:rPr>
          <w:fldChar w:fldCharType="begin"/>
        </w:r>
        <w:r w:rsidR="0023091E">
          <w:rPr>
            <w:noProof/>
            <w:webHidden/>
          </w:rPr>
          <w:instrText xml:space="preserve"> PAGEREF _Toc29392687 \h </w:instrText>
        </w:r>
        <w:r w:rsidR="0023091E">
          <w:rPr>
            <w:noProof/>
            <w:webHidden/>
          </w:rPr>
        </w:r>
        <w:r w:rsidR="0023091E">
          <w:rPr>
            <w:noProof/>
            <w:webHidden/>
          </w:rPr>
          <w:fldChar w:fldCharType="separate"/>
        </w:r>
        <w:r w:rsidR="0023091E">
          <w:rPr>
            <w:noProof/>
            <w:webHidden/>
          </w:rPr>
          <w:t>4</w:t>
        </w:r>
        <w:r w:rsidR="0023091E">
          <w:rPr>
            <w:noProof/>
            <w:webHidden/>
          </w:rPr>
          <w:fldChar w:fldCharType="end"/>
        </w:r>
      </w:hyperlink>
    </w:p>
    <w:p w14:paraId="4E5E4203" w14:textId="6D8C844E" w:rsidR="0023091E" w:rsidRDefault="00854B2C">
      <w:pPr>
        <w:pStyle w:val="Turinys1"/>
        <w:rPr>
          <w:rFonts w:eastAsiaTheme="minorEastAsia" w:cstheme="minorBidi"/>
          <w:b w:val="0"/>
          <w:bCs w:val="0"/>
          <w:caps w:val="0"/>
          <w:noProof/>
          <w:szCs w:val="22"/>
          <w:lang w:val="en-US" w:eastAsia="en-US"/>
        </w:rPr>
      </w:pPr>
      <w:hyperlink w:anchor="_Toc29392688" w:history="1">
        <w:r w:rsidR="0023091E" w:rsidRPr="00390D16">
          <w:rPr>
            <w:rStyle w:val="Hipersaitas"/>
            <w:rFonts w:cstheme="minorHAnsi"/>
            <w:noProof/>
          </w:rPr>
          <w:t>6. Sveikatos apsauga</w:t>
        </w:r>
        <w:r w:rsidR="0023091E">
          <w:rPr>
            <w:noProof/>
            <w:webHidden/>
          </w:rPr>
          <w:tab/>
        </w:r>
        <w:r w:rsidR="0023091E">
          <w:rPr>
            <w:noProof/>
            <w:webHidden/>
          </w:rPr>
          <w:fldChar w:fldCharType="begin"/>
        </w:r>
        <w:r w:rsidR="0023091E">
          <w:rPr>
            <w:noProof/>
            <w:webHidden/>
          </w:rPr>
          <w:instrText xml:space="preserve"> PAGEREF _Toc29392688 \h </w:instrText>
        </w:r>
        <w:r w:rsidR="0023091E">
          <w:rPr>
            <w:noProof/>
            <w:webHidden/>
          </w:rPr>
        </w:r>
        <w:r w:rsidR="0023091E">
          <w:rPr>
            <w:noProof/>
            <w:webHidden/>
          </w:rPr>
          <w:fldChar w:fldCharType="separate"/>
        </w:r>
        <w:r w:rsidR="0023091E">
          <w:rPr>
            <w:noProof/>
            <w:webHidden/>
          </w:rPr>
          <w:t>4</w:t>
        </w:r>
        <w:r w:rsidR="0023091E">
          <w:rPr>
            <w:noProof/>
            <w:webHidden/>
          </w:rPr>
          <w:fldChar w:fldCharType="end"/>
        </w:r>
      </w:hyperlink>
    </w:p>
    <w:p w14:paraId="11175C23" w14:textId="0B495372" w:rsidR="0023091E" w:rsidRDefault="00854B2C">
      <w:pPr>
        <w:pStyle w:val="Turinys2"/>
        <w:rPr>
          <w:rFonts w:eastAsiaTheme="minorEastAsia" w:cstheme="minorBidi"/>
          <w:i w:val="0"/>
          <w:noProof/>
          <w:szCs w:val="22"/>
          <w:lang w:val="en-US" w:eastAsia="en-US"/>
        </w:rPr>
      </w:pPr>
      <w:hyperlink w:anchor="_Toc29392689" w:history="1">
        <w:r w:rsidR="0023091E" w:rsidRPr="00390D16">
          <w:rPr>
            <w:rStyle w:val="Hipersaitas"/>
            <w:noProof/>
          </w:rPr>
          <w:t>Dėl pagal asmens skundą pradedamo ligoninės neplaninio patikrinimo vertinimo</w:t>
        </w:r>
        <w:r w:rsidR="0023091E">
          <w:rPr>
            <w:noProof/>
            <w:webHidden/>
          </w:rPr>
          <w:tab/>
        </w:r>
        <w:r w:rsidR="0023091E">
          <w:rPr>
            <w:noProof/>
            <w:webHidden/>
          </w:rPr>
          <w:fldChar w:fldCharType="begin"/>
        </w:r>
        <w:r w:rsidR="0023091E">
          <w:rPr>
            <w:noProof/>
            <w:webHidden/>
          </w:rPr>
          <w:instrText xml:space="preserve"> PAGEREF _Toc29392689 \h </w:instrText>
        </w:r>
        <w:r w:rsidR="0023091E">
          <w:rPr>
            <w:noProof/>
            <w:webHidden/>
          </w:rPr>
        </w:r>
        <w:r w:rsidR="0023091E">
          <w:rPr>
            <w:noProof/>
            <w:webHidden/>
          </w:rPr>
          <w:fldChar w:fldCharType="separate"/>
        </w:r>
        <w:r w:rsidR="0023091E">
          <w:rPr>
            <w:noProof/>
            <w:webHidden/>
          </w:rPr>
          <w:t>4</w:t>
        </w:r>
        <w:r w:rsidR="0023091E">
          <w:rPr>
            <w:noProof/>
            <w:webHidden/>
          </w:rPr>
          <w:fldChar w:fldCharType="end"/>
        </w:r>
      </w:hyperlink>
    </w:p>
    <w:p w14:paraId="48366589" w14:textId="19B73599" w:rsidR="0023091E" w:rsidRDefault="00854B2C">
      <w:pPr>
        <w:pStyle w:val="Turinys1"/>
        <w:rPr>
          <w:rFonts w:eastAsiaTheme="minorEastAsia" w:cstheme="minorBidi"/>
          <w:b w:val="0"/>
          <w:bCs w:val="0"/>
          <w:caps w:val="0"/>
          <w:noProof/>
          <w:szCs w:val="22"/>
          <w:lang w:val="en-US" w:eastAsia="en-US"/>
        </w:rPr>
      </w:pPr>
      <w:hyperlink w:anchor="_Toc29392690" w:history="1">
        <w:r w:rsidR="0023091E" w:rsidRPr="00390D16">
          <w:rPr>
            <w:rStyle w:val="Hipersaitas"/>
            <w:rFonts w:ascii="Calibri" w:hAnsi="Calibri"/>
            <w:noProof/>
          </w:rPr>
          <w:t>9. Prieglobstis</w:t>
        </w:r>
        <w:r w:rsidR="0023091E">
          <w:rPr>
            <w:noProof/>
            <w:webHidden/>
          </w:rPr>
          <w:tab/>
        </w:r>
        <w:r w:rsidR="0023091E">
          <w:rPr>
            <w:noProof/>
            <w:webHidden/>
          </w:rPr>
          <w:fldChar w:fldCharType="begin"/>
        </w:r>
        <w:r w:rsidR="0023091E">
          <w:rPr>
            <w:noProof/>
            <w:webHidden/>
          </w:rPr>
          <w:instrText xml:space="preserve"> PAGEREF _Toc29392690 \h </w:instrText>
        </w:r>
        <w:r w:rsidR="0023091E">
          <w:rPr>
            <w:noProof/>
            <w:webHidden/>
          </w:rPr>
        </w:r>
        <w:r w:rsidR="0023091E">
          <w:rPr>
            <w:noProof/>
            <w:webHidden/>
          </w:rPr>
          <w:fldChar w:fldCharType="separate"/>
        </w:r>
        <w:r w:rsidR="0023091E">
          <w:rPr>
            <w:noProof/>
            <w:webHidden/>
          </w:rPr>
          <w:t>5</w:t>
        </w:r>
        <w:r w:rsidR="0023091E">
          <w:rPr>
            <w:noProof/>
            <w:webHidden/>
          </w:rPr>
          <w:fldChar w:fldCharType="end"/>
        </w:r>
      </w:hyperlink>
    </w:p>
    <w:p w14:paraId="69E202CC" w14:textId="0D0FE1F5" w:rsidR="0023091E" w:rsidRDefault="00854B2C">
      <w:pPr>
        <w:pStyle w:val="Turinys2"/>
        <w:rPr>
          <w:rFonts w:eastAsiaTheme="minorEastAsia" w:cstheme="minorBidi"/>
          <w:i w:val="0"/>
          <w:noProof/>
          <w:szCs w:val="22"/>
          <w:lang w:val="en-US" w:eastAsia="en-US"/>
        </w:rPr>
      </w:pPr>
      <w:hyperlink w:anchor="_Toc29392691" w:history="1">
        <w:r w:rsidR="0023091E" w:rsidRPr="00390D16">
          <w:rPr>
            <w:rStyle w:val="Hipersaitas"/>
            <w:rFonts w:ascii="Calibri" w:hAnsi="Calibri"/>
            <w:noProof/>
          </w:rPr>
          <w:t>Dėl kalinimo sąlygų kilmės valstybėje reikšmės sprendžiant dėl pabėgėlio statuso ar papildomos apsaugos suteikimo</w:t>
        </w:r>
        <w:r w:rsidR="0023091E">
          <w:rPr>
            <w:noProof/>
            <w:webHidden/>
          </w:rPr>
          <w:tab/>
        </w:r>
        <w:r w:rsidR="0023091E">
          <w:rPr>
            <w:noProof/>
            <w:webHidden/>
          </w:rPr>
          <w:fldChar w:fldCharType="begin"/>
        </w:r>
        <w:r w:rsidR="0023091E">
          <w:rPr>
            <w:noProof/>
            <w:webHidden/>
          </w:rPr>
          <w:instrText xml:space="preserve"> PAGEREF _Toc29392691 \h </w:instrText>
        </w:r>
        <w:r w:rsidR="0023091E">
          <w:rPr>
            <w:noProof/>
            <w:webHidden/>
          </w:rPr>
        </w:r>
        <w:r w:rsidR="0023091E">
          <w:rPr>
            <w:noProof/>
            <w:webHidden/>
          </w:rPr>
          <w:fldChar w:fldCharType="separate"/>
        </w:r>
        <w:r w:rsidR="0023091E">
          <w:rPr>
            <w:noProof/>
            <w:webHidden/>
          </w:rPr>
          <w:t>5</w:t>
        </w:r>
        <w:r w:rsidR="0023091E">
          <w:rPr>
            <w:noProof/>
            <w:webHidden/>
          </w:rPr>
          <w:fldChar w:fldCharType="end"/>
        </w:r>
      </w:hyperlink>
    </w:p>
    <w:p w14:paraId="1E9237A2" w14:textId="38CDCB09" w:rsidR="0023091E" w:rsidRDefault="00854B2C">
      <w:pPr>
        <w:pStyle w:val="Turinys1"/>
        <w:rPr>
          <w:rFonts w:eastAsiaTheme="minorEastAsia" w:cstheme="minorBidi"/>
          <w:b w:val="0"/>
          <w:bCs w:val="0"/>
          <w:caps w:val="0"/>
          <w:noProof/>
          <w:szCs w:val="22"/>
          <w:lang w:val="en-US" w:eastAsia="en-US"/>
        </w:rPr>
      </w:pPr>
      <w:hyperlink w:anchor="_Toc29392692" w:history="1">
        <w:r w:rsidR="0023091E" w:rsidRPr="00390D16">
          <w:rPr>
            <w:rStyle w:val="Hipersaitas"/>
            <w:rFonts w:ascii="Calibri" w:hAnsi="Calibri"/>
            <w:noProof/>
          </w:rPr>
          <w:t>12. Mokesčiai, įmokos ir kiti privalomieji mokėjimai</w:t>
        </w:r>
        <w:r w:rsidR="0023091E">
          <w:rPr>
            <w:noProof/>
            <w:webHidden/>
          </w:rPr>
          <w:tab/>
        </w:r>
        <w:r w:rsidR="0023091E">
          <w:rPr>
            <w:noProof/>
            <w:webHidden/>
          </w:rPr>
          <w:fldChar w:fldCharType="begin"/>
        </w:r>
        <w:r w:rsidR="0023091E">
          <w:rPr>
            <w:noProof/>
            <w:webHidden/>
          </w:rPr>
          <w:instrText xml:space="preserve"> PAGEREF _Toc29392692 \h </w:instrText>
        </w:r>
        <w:r w:rsidR="0023091E">
          <w:rPr>
            <w:noProof/>
            <w:webHidden/>
          </w:rPr>
        </w:r>
        <w:r w:rsidR="0023091E">
          <w:rPr>
            <w:noProof/>
            <w:webHidden/>
          </w:rPr>
          <w:fldChar w:fldCharType="separate"/>
        </w:r>
        <w:r w:rsidR="0023091E">
          <w:rPr>
            <w:noProof/>
            <w:webHidden/>
          </w:rPr>
          <w:t>6</w:t>
        </w:r>
        <w:r w:rsidR="0023091E">
          <w:rPr>
            <w:noProof/>
            <w:webHidden/>
          </w:rPr>
          <w:fldChar w:fldCharType="end"/>
        </w:r>
      </w:hyperlink>
    </w:p>
    <w:p w14:paraId="6A6D0E6D" w14:textId="3DB2F547" w:rsidR="0023091E" w:rsidRDefault="00854B2C">
      <w:pPr>
        <w:pStyle w:val="Turinys2"/>
        <w:rPr>
          <w:rFonts w:eastAsiaTheme="minorEastAsia" w:cstheme="minorBidi"/>
          <w:i w:val="0"/>
          <w:noProof/>
          <w:szCs w:val="22"/>
          <w:lang w:val="en-US" w:eastAsia="en-US"/>
        </w:rPr>
      </w:pPr>
      <w:hyperlink w:anchor="_Toc29392693" w:history="1">
        <w:r w:rsidR="0023091E" w:rsidRPr="00390D16">
          <w:rPr>
            <w:rStyle w:val="Hipersaitas"/>
            <w:noProof/>
          </w:rPr>
          <w:t>Dėl pripažinimo, kad tiekimo sandoriai buvo sudaryti piktnaudžiaujant teise, kaip pagrindo paneigti apmokestinamojo asmens teisę į pirkimo PVM atskaitą</w:t>
        </w:r>
        <w:r w:rsidR="0023091E">
          <w:rPr>
            <w:noProof/>
            <w:webHidden/>
          </w:rPr>
          <w:tab/>
        </w:r>
        <w:r w:rsidR="0023091E">
          <w:rPr>
            <w:noProof/>
            <w:webHidden/>
          </w:rPr>
          <w:fldChar w:fldCharType="begin"/>
        </w:r>
        <w:r w:rsidR="0023091E">
          <w:rPr>
            <w:noProof/>
            <w:webHidden/>
          </w:rPr>
          <w:instrText xml:space="preserve"> PAGEREF _Toc29392693 \h </w:instrText>
        </w:r>
        <w:r w:rsidR="0023091E">
          <w:rPr>
            <w:noProof/>
            <w:webHidden/>
          </w:rPr>
        </w:r>
        <w:r w:rsidR="0023091E">
          <w:rPr>
            <w:noProof/>
            <w:webHidden/>
          </w:rPr>
          <w:fldChar w:fldCharType="separate"/>
        </w:r>
        <w:r w:rsidR="0023091E">
          <w:rPr>
            <w:noProof/>
            <w:webHidden/>
          </w:rPr>
          <w:t>7</w:t>
        </w:r>
        <w:r w:rsidR="0023091E">
          <w:rPr>
            <w:noProof/>
            <w:webHidden/>
          </w:rPr>
          <w:fldChar w:fldCharType="end"/>
        </w:r>
      </w:hyperlink>
    </w:p>
    <w:p w14:paraId="74CF5DDC" w14:textId="411CF666" w:rsidR="0023091E" w:rsidRDefault="00854B2C">
      <w:pPr>
        <w:pStyle w:val="Turinys1"/>
        <w:rPr>
          <w:rFonts w:eastAsiaTheme="minorEastAsia" w:cstheme="minorBidi"/>
          <w:b w:val="0"/>
          <w:bCs w:val="0"/>
          <w:caps w:val="0"/>
          <w:noProof/>
          <w:szCs w:val="22"/>
          <w:lang w:val="en-US" w:eastAsia="en-US"/>
        </w:rPr>
      </w:pPr>
      <w:hyperlink w:anchor="_Toc29392694" w:history="1">
        <w:r w:rsidR="0023091E" w:rsidRPr="00390D16">
          <w:rPr>
            <w:rStyle w:val="Hipersaitas"/>
            <w:rFonts w:cstheme="minorHAnsi"/>
            <w:noProof/>
          </w:rPr>
          <w:t>16. Teritorijų planavimas</w:t>
        </w:r>
        <w:r w:rsidR="0023091E">
          <w:rPr>
            <w:noProof/>
            <w:webHidden/>
          </w:rPr>
          <w:tab/>
        </w:r>
        <w:r w:rsidR="0023091E">
          <w:rPr>
            <w:noProof/>
            <w:webHidden/>
          </w:rPr>
          <w:fldChar w:fldCharType="begin"/>
        </w:r>
        <w:r w:rsidR="0023091E">
          <w:rPr>
            <w:noProof/>
            <w:webHidden/>
          </w:rPr>
          <w:instrText xml:space="preserve"> PAGEREF _Toc29392694 \h </w:instrText>
        </w:r>
        <w:r w:rsidR="0023091E">
          <w:rPr>
            <w:noProof/>
            <w:webHidden/>
          </w:rPr>
        </w:r>
        <w:r w:rsidR="0023091E">
          <w:rPr>
            <w:noProof/>
            <w:webHidden/>
          </w:rPr>
          <w:fldChar w:fldCharType="separate"/>
        </w:r>
        <w:r w:rsidR="0023091E">
          <w:rPr>
            <w:noProof/>
            <w:webHidden/>
          </w:rPr>
          <w:t>9</w:t>
        </w:r>
        <w:r w:rsidR="0023091E">
          <w:rPr>
            <w:noProof/>
            <w:webHidden/>
          </w:rPr>
          <w:fldChar w:fldCharType="end"/>
        </w:r>
      </w:hyperlink>
    </w:p>
    <w:p w14:paraId="5250C133" w14:textId="138AA7AF" w:rsidR="0023091E" w:rsidRDefault="00854B2C">
      <w:pPr>
        <w:pStyle w:val="Turinys2"/>
        <w:rPr>
          <w:rFonts w:eastAsiaTheme="minorEastAsia" w:cstheme="minorBidi"/>
          <w:i w:val="0"/>
          <w:noProof/>
          <w:szCs w:val="22"/>
          <w:lang w:val="en-US" w:eastAsia="en-US"/>
        </w:rPr>
      </w:pPr>
      <w:hyperlink w:anchor="_Toc29392695" w:history="1">
        <w:r w:rsidR="0023091E" w:rsidRPr="00390D16">
          <w:rPr>
            <w:rStyle w:val="Hipersaitas"/>
            <w:noProof/>
          </w:rPr>
          <w:t>Dėl subjektų, turinčių teisę inicijuoti sodininkų bendrijų teritorijose esančių bendro naudojimo žemės sklypų projektų rengimą</w:t>
        </w:r>
        <w:r w:rsidR="0023091E">
          <w:rPr>
            <w:noProof/>
            <w:webHidden/>
          </w:rPr>
          <w:tab/>
        </w:r>
        <w:r w:rsidR="0023091E">
          <w:rPr>
            <w:noProof/>
            <w:webHidden/>
          </w:rPr>
          <w:fldChar w:fldCharType="begin"/>
        </w:r>
        <w:r w:rsidR="0023091E">
          <w:rPr>
            <w:noProof/>
            <w:webHidden/>
          </w:rPr>
          <w:instrText xml:space="preserve"> PAGEREF _Toc29392695 \h </w:instrText>
        </w:r>
        <w:r w:rsidR="0023091E">
          <w:rPr>
            <w:noProof/>
            <w:webHidden/>
          </w:rPr>
        </w:r>
        <w:r w:rsidR="0023091E">
          <w:rPr>
            <w:noProof/>
            <w:webHidden/>
          </w:rPr>
          <w:fldChar w:fldCharType="separate"/>
        </w:r>
        <w:r w:rsidR="0023091E">
          <w:rPr>
            <w:noProof/>
            <w:webHidden/>
          </w:rPr>
          <w:t>9</w:t>
        </w:r>
        <w:r w:rsidR="0023091E">
          <w:rPr>
            <w:noProof/>
            <w:webHidden/>
          </w:rPr>
          <w:fldChar w:fldCharType="end"/>
        </w:r>
      </w:hyperlink>
    </w:p>
    <w:p w14:paraId="7F109A2A" w14:textId="678021DF" w:rsidR="0023091E" w:rsidRDefault="00854B2C">
      <w:pPr>
        <w:pStyle w:val="Turinys1"/>
        <w:rPr>
          <w:rFonts w:eastAsiaTheme="minorEastAsia" w:cstheme="minorBidi"/>
          <w:b w:val="0"/>
          <w:bCs w:val="0"/>
          <w:caps w:val="0"/>
          <w:noProof/>
          <w:szCs w:val="22"/>
          <w:lang w:val="en-US" w:eastAsia="en-US"/>
        </w:rPr>
      </w:pPr>
      <w:hyperlink w:anchor="_Toc29392696" w:history="1">
        <w:r w:rsidR="0023091E" w:rsidRPr="00390D16">
          <w:rPr>
            <w:rStyle w:val="Hipersaitas"/>
            <w:rFonts w:cstheme="minorHAnsi"/>
            <w:noProof/>
          </w:rPr>
          <w:t>17. Statyba</w:t>
        </w:r>
        <w:r w:rsidR="0023091E">
          <w:rPr>
            <w:noProof/>
            <w:webHidden/>
          </w:rPr>
          <w:tab/>
        </w:r>
        <w:r w:rsidR="0023091E">
          <w:rPr>
            <w:noProof/>
            <w:webHidden/>
          </w:rPr>
          <w:fldChar w:fldCharType="begin"/>
        </w:r>
        <w:r w:rsidR="0023091E">
          <w:rPr>
            <w:noProof/>
            <w:webHidden/>
          </w:rPr>
          <w:instrText xml:space="preserve"> PAGEREF _Toc29392696 \h </w:instrText>
        </w:r>
        <w:r w:rsidR="0023091E">
          <w:rPr>
            <w:noProof/>
            <w:webHidden/>
          </w:rPr>
        </w:r>
        <w:r w:rsidR="0023091E">
          <w:rPr>
            <w:noProof/>
            <w:webHidden/>
          </w:rPr>
          <w:fldChar w:fldCharType="separate"/>
        </w:r>
        <w:r w:rsidR="0023091E">
          <w:rPr>
            <w:noProof/>
            <w:webHidden/>
          </w:rPr>
          <w:t>10</w:t>
        </w:r>
        <w:r w:rsidR="0023091E">
          <w:rPr>
            <w:noProof/>
            <w:webHidden/>
          </w:rPr>
          <w:fldChar w:fldCharType="end"/>
        </w:r>
      </w:hyperlink>
    </w:p>
    <w:p w14:paraId="3AF738E4" w14:textId="628DCBE9" w:rsidR="0023091E" w:rsidRDefault="00854B2C">
      <w:pPr>
        <w:pStyle w:val="Turinys2"/>
        <w:rPr>
          <w:rFonts w:eastAsiaTheme="minorEastAsia" w:cstheme="minorBidi"/>
          <w:i w:val="0"/>
          <w:noProof/>
          <w:szCs w:val="22"/>
          <w:lang w:val="en-US" w:eastAsia="en-US"/>
        </w:rPr>
      </w:pPr>
      <w:hyperlink w:anchor="_Toc29392697" w:history="1">
        <w:r w:rsidR="0023091E" w:rsidRPr="00390D16">
          <w:rPr>
            <w:rStyle w:val="Hipersaitas"/>
            <w:noProof/>
          </w:rPr>
          <w:t>Dėl minimalios vertingųjų savybių požymių turinčio nekilnojamojo objekto apsaugos statybų projektavimo stadijoje</w:t>
        </w:r>
        <w:r w:rsidR="0023091E">
          <w:rPr>
            <w:noProof/>
            <w:webHidden/>
          </w:rPr>
          <w:tab/>
        </w:r>
        <w:r w:rsidR="0023091E">
          <w:rPr>
            <w:noProof/>
            <w:webHidden/>
          </w:rPr>
          <w:fldChar w:fldCharType="begin"/>
        </w:r>
        <w:r w:rsidR="0023091E">
          <w:rPr>
            <w:noProof/>
            <w:webHidden/>
          </w:rPr>
          <w:instrText xml:space="preserve"> PAGEREF _Toc29392697 \h </w:instrText>
        </w:r>
        <w:r w:rsidR="0023091E">
          <w:rPr>
            <w:noProof/>
            <w:webHidden/>
          </w:rPr>
        </w:r>
        <w:r w:rsidR="0023091E">
          <w:rPr>
            <w:noProof/>
            <w:webHidden/>
          </w:rPr>
          <w:fldChar w:fldCharType="separate"/>
        </w:r>
        <w:r w:rsidR="0023091E">
          <w:rPr>
            <w:noProof/>
            <w:webHidden/>
          </w:rPr>
          <w:t>10</w:t>
        </w:r>
        <w:r w:rsidR="0023091E">
          <w:rPr>
            <w:noProof/>
            <w:webHidden/>
          </w:rPr>
          <w:fldChar w:fldCharType="end"/>
        </w:r>
      </w:hyperlink>
    </w:p>
    <w:p w14:paraId="394E5194" w14:textId="52637AEE" w:rsidR="0023091E" w:rsidRDefault="00854B2C">
      <w:pPr>
        <w:pStyle w:val="Turinys1"/>
        <w:rPr>
          <w:rFonts w:eastAsiaTheme="minorEastAsia" w:cstheme="minorBidi"/>
          <w:b w:val="0"/>
          <w:bCs w:val="0"/>
          <w:caps w:val="0"/>
          <w:noProof/>
          <w:szCs w:val="22"/>
          <w:lang w:val="en-US" w:eastAsia="en-US"/>
        </w:rPr>
      </w:pPr>
      <w:hyperlink w:anchor="_Toc29392698" w:history="1">
        <w:r w:rsidR="0023091E" w:rsidRPr="00390D16">
          <w:rPr>
            <w:rStyle w:val="Hipersaitas"/>
            <w:rFonts w:cstheme="minorHAnsi"/>
            <w:noProof/>
          </w:rPr>
          <w:t>20. Civilinė atsakomybė už žalą, atsiradusią dėl valdžios institucijų neteisėtų veiksmų</w:t>
        </w:r>
        <w:r w:rsidR="0023091E">
          <w:rPr>
            <w:noProof/>
            <w:webHidden/>
          </w:rPr>
          <w:tab/>
        </w:r>
        <w:r w:rsidR="0023091E">
          <w:rPr>
            <w:noProof/>
            <w:webHidden/>
          </w:rPr>
          <w:fldChar w:fldCharType="begin"/>
        </w:r>
        <w:r w:rsidR="0023091E">
          <w:rPr>
            <w:noProof/>
            <w:webHidden/>
          </w:rPr>
          <w:instrText xml:space="preserve"> PAGEREF _Toc29392698 \h </w:instrText>
        </w:r>
        <w:r w:rsidR="0023091E">
          <w:rPr>
            <w:noProof/>
            <w:webHidden/>
          </w:rPr>
        </w:r>
        <w:r w:rsidR="0023091E">
          <w:rPr>
            <w:noProof/>
            <w:webHidden/>
          </w:rPr>
          <w:fldChar w:fldCharType="separate"/>
        </w:r>
        <w:r w:rsidR="0023091E">
          <w:rPr>
            <w:noProof/>
            <w:webHidden/>
          </w:rPr>
          <w:t>11</w:t>
        </w:r>
        <w:r w:rsidR="0023091E">
          <w:rPr>
            <w:noProof/>
            <w:webHidden/>
          </w:rPr>
          <w:fldChar w:fldCharType="end"/>
        </w:r>
      </w:hyperlink>
    </w:p>
    <w:p w14:paraId="0C9C70F0" w14:textId="7DEB3A92" w:rsidR="0023091E" w:rsidRDefault="00854B2C">
      <w:pPr>
        <w:pStyle w:val="Turinys2"/>
        <w:rPr>
          <w:rFonts w:eastAsiaTheme="minorEastAsia" w:cstheme="minorBidi"/>
          <w:i w:val="0"/>
          <w:noProof/>
          <w:szCs w:val="22"/>
          <w:lang w:val="en-US" w:eastAsia="en-US"/>
        </w:rPr>
      </w:pPr>
      <w:hyperlink w:anchor="_Toc29392699" w:history="1">
        <w:r w:rsidR="0023091E" w:rsidRPr="00390D16">
          <w:rPr>
            <w:rStyle w:val="Hipersaitas"/>
            <w:noProof/>
          </w:rPr>
          <w:t>Dėl skundo pagrindo identifikavimo byloje dėl žalos atlyginimo</w:t>
        </w:r>
        <w:r w:rsidR="0023091E">
          <w:rPr>
            <w:noProof/>
            <w:webHidden/>
          </w:rPr>
          <w:tab/>
        </w:r>
        <w:r w:rsidR="0023091E">
          <w:rPr>
            <w:noProof/>
            <w:webHidden/>
          </w:rPr>
          <w:fldChar w:fldCharType="begin"/>
        </w:r>
        <w:r w:rsidR="0023091E">
          <w:rPr>
            <w:noProof/>
            <w:webHidden/>
          </w:rPr>
          <w:instrText xml:space="preserve"> PAGEREF _Toc29392699 \h </w:instrText>
        </w:r>
        <w:r w:rsidR="0023091E">
          <w:rPr>
            <w:noProof/>
            <w:webHidden/>
          </w:rPr>
        </w:r>
        <w:r w:rsidR="0023091E">
          <w:rPr>
            <w:noProof/>
            <w:webHidden/>
          </w:rPr>
          <w:fldChar w:fldCharType="separate"/>
        </w:r>
        <w:r w:rsidR="0023091E">
          <w:rPr>
            <w:noProof/>
            <w:webHidden/>
          </w:rPr>
          <w:t>11</w:t>
        </w:r>
        <w:r w:rsidR="0023091E">
          <w:rPr>
            <w:noProof/>
            <w:webHidden/>
          </w:rPr>
          <w:fldChar w:fldCharType="end"/>
        </w:r>
      </w:hyperlink>
    </w:p>
    <w:p w14:paraId="68A55651" w14:textId="25A32D83" w:rsidR="0023091E" w:rsidRDefault="00854B2C">
      <w:pPr>
        <w:pStyle w:val="Turinys1"/>
        <w:rPr>
          <w:rFonts w:eastAsiaTheme="minorEastAsia" w:cstheme="minorBidi"/>
          <w:b w:val="0"/>
          <w:bCs w:val="0"/>
          <w:caps w:val="0"/>
          <w:noProof/>
          <w:szCs w:val="22"/>
          <w:lang w:val="en-US" w:eastAsia="en-US"/>
        </w:rPr>
      </w:pPr>
      <w:hyperlink w:anchor="_Toc29392700" w:history="1">
        <w:r w:rsidR="0023091E" w:rsidRPr="00390D16">
          <w:rPr>
            <w:rStyle w:val="Hipersaitas"/>
            <w:rFonts w:ascii="Calibri" w:hAnsi="Calibri"/>
            <w:noProof/>
          </w:rPr>
          <w:t>21. Valstybės tarnautojo statuso įgijimas, pasikeitimas, praradimas ir atsakomybė</w:t>
        </w:r>
        <w:r w:rsidR="0023091E">
          <w:rPr>
            <w:noProof/>
            <w:webHidden/>
          </w:rPr>
          <w:tab/>
        </w:r>
        <w:r w:rsidR="0023091E">
          <w:rPr>
            <w:noProof/>
            <w:webHidden/>
          </w:rPr>
          <w:fldChar w:fldCharType="begin"/>
        </w:r>
        <w:r w:rsidR="0023091E">
          <w:rPr>
            <w:noProof/>
            <w:webHidden/>
          </w:rPr>
          <w:instrText xml:space="preserve"> PAGEREF _Toc29392700 \h </w:instrText>
        </w:r>
        <w:r w:rsidR="0023091E">
          <w:rPr>
            <w:noProof/>
            <w:webHidden/>
          </w:rPr>
        </w:r>
        <w:r w:rsidR="0023091E">
          <w:rPr>
            <w:noProof/>
            <w:webHidden/>
          </w:rPr>
          <w:fldChar w:fldCharType="separate"/>
        </w:r>
        <w:r w:rsidR="0023091E">
          <w:rPr>
            <w:noProof/>
            <w:webHidden/>
          </w:rPr>
          <w:t>12</w:t>
        </w:r>
        <w:r w:rsidR="0023091E">
          <w:rPr>
            <w:noProof/>
            <w:webHidden/>
          </w:rPr>
          <w:fldChar w:fldCharType="end"/>
        </w:r>
      </w:hyperlink>
    </w:p>
    <w:p w14:paraId="29ED44EF" w14:textId="67005657" w:rsidR="0023091E" w:rsidRDefault="00854B2C">
      <w:pPr>
        <w:pStyle w:val="Turinys2"/>
        <w:rPr>
          <w:rFonts w:eastAsiaTheme="minorEastAsia" w:cstheme="minorBidi"/>
          <w:i w:val="0"/>
          <w:noProof/>
          <w:szCs w:val="22"/>
          <w:lang w:val="en-US" w:eastAsia="en-US"/>
        </w:rPr>
      </w:pPr>
      <w:hyperlink w:anchor="_Toc29392701" w:history="1">
        <w:r w:rsidR="0023091E" w:rsidRPr="00390D16">
          <w:rPr>
            <w:rStyle w:val="Hipersaitas"/>
            <w:rFonts w:ascii="Calibri" w:hAnsi="Calibri"/>
            <w:noProof/>
          </w:rPr>
          <w:t>Dėl draudimo statutiniams pareigūnams dalyvauti politinėje veikloje pažeidimo</w:t>
        </w:r>
        <w:r w:rsidR="0023091E">
          <w:rPr>
            <w:noProof/>
            <w:webHidden/>
          </w:rPr>
          <w:tab/>
        </w:r>
        <w:r w:rsidR="0023091E">
          <w:rPr>
            <w:noProof/>
            <w:webHidden/>
          </w:rPr>
          <w:fldChar w:fldCharType="begin"/>
        </w:r>
        <w:r w:rsidR="0023091E">
          <w:rPr>
            <w:noProof/>
            <w:webHidden/>
          </w:rPr>
          <w:instrText xml:space="preserve"> PAGEREF _Toc29392701 \h </w:instrText>
        </w:r>
        <w:r w:rsidR="0023091E">
          <w:rPr>
            <w:noProof/>
            <w:webHidden/>
          </w:rPr>
        </w:r>
        <w:r w:rsidR="0023091E">
          <w:rPr>
            <w:noProof/>
            <w:webHidden/>
          </w:rPr>
          <w:fldChar w:fldCharType="separate"/>
        </w:r>
        <w:r w:rsidR="0023091E">
          <w:rPr>
            <w:noProof/>
            <w:webHidden/>
          </w:rPr>
          <w:t>12</w:t>
        </w:r>
        <w:r w:rsidR="0023091E">
          <w:rPr>
            <w:noProof/>
            <w:webHidden/>
          </w:rPr>
          <w:fldChar w:fldCharType="end"/>
        </w:r>
      </w:hyperlink>
    </w:p>
    <w:p w14:paraId="0E7A40B2" w14:textId="0AF23A35" w:rsidR="0023091E" w:rsidRDefault="00854B2C">
      <w:pPr>
        <w:pStyle w:val="Turinys1"/>
        <w:rPr>
          <w:rFonts w:eastAsiaTheme="minorEastAsia" w:cstheme="minorBidi"/>
          <w:b w:val="0"/>
          <w:bCs w:val="0"/>
          <w:caps w:val="0"/>
          <w:noProof/>
          <w:szCs w:val="22"/>
          <w:lang w:val="en-US" w:eastAsia="en-US"/>
        </w:rPr>
      </w:pPr>
      <w:hyperlink w:anchor="_Toc29392702" w:history="1">
        <w:r w:rsidR="0023091E" w:rsidRPr="00390D16">
          <w:rPr>
            <w:rStyle w:val="Hipersaitas"/>
            <w:rFonts w:ascii="Calibri" w:hAnsi="Calibri"/>
            <w:noProof/>
          </w:rPr>
          <w:t>22. Kiti su valstybės tarnyba susiję klausimai</w:t>
        </w:r>
        <w:r w:rsidR="0023091E">
          <w:rPr>
            <w:noProof/>
            <w:webHidden/>
          </w:rPr>
          <w:tab/>
        </w:r>
        <w:r w:rsidR="0023091E">
          <w:rPr>
            <w:noProof/>
            <w:webHidden/>
          </w:rPr>
          <w:fldChar w:fldCharType="begin"/>
        </w:r>
        <w:r w:rsidR="0023091E">
          <w:rPr>
            <w:noProof/>
            <w:webHidden/>
          </w:rPr>
          <w:instrText xml:space="preserve"> PAGEREF _Toc29392702 \h </w:instrText>
        </w:r>
        <w:r w:rsidR="0023091E">
          <w:rPr>
            <w:noProof/>
            <w:webHidden/>
          </w:rPr>
        </w:r>
        <w:r w:rsidR="0023091E">
          <w:rPr>
            <w:noProof/>
            <w:webHidden/>
          </w:rPr>
          <w:fldChar w:fldCharType="separate"/>
        </w:r>
        <w:r w:rsidR="0023091E">
          <w:rPr>
            <w:noProof/>
            <w:webHidden/>
          </w:rPr>
          <w:t>13</w:t>
        </w:r>
        <w:r w:rsidR="0023091E">
          <w:rPr>
            <w:noProof/>
            <w:webHidden/>
          </w:rPr>
          <w:fldChar w:fldCharType="end"/>
        </w:r>
      </w:hyperlink>
    </w:p>
    <w:p w14:paraId="0310A52A" w14:textId="42B63403" w:rsidR="0023091E" w:rsidRDefault="00854B2C">
      <w:pPr>
        <w:pStyle w:val="Turinys2"/>
        <w:rPr>
          <w:rFonts w:eastAsiaTheme="minorEastAsia" w:cstheme="minorBidi"/>
          <w:i w:val="0"/>
          <w:noProof/>
          <w:szCs w:val="22"/>
          <w:lang w:val="en-US" w:eastAsia="en-US"/>
        </w:rPr>
      </w:pPr>
      <w:hyperlink w:anchor="_Toc29392703" w:history="1">
        <w:r w:rsidR="0023091E" w:rsidRPr="00390D16">
          <w:rPr>
            <w:rStyle w:val="Hipersaitas"/>
            <w:rFonts w:ascii="Calibri" w:hAnsi="Calibri"/>
            <w:noProof/>
          </w:rPr>
          <w:t>Dėl tarnybinės veiklos vertinimo komisijos posėdžio garso įrašo reikšmės</w:t>
        </w:r>
        <w:r w:rsidR="0023091E">
          <w:rPr>
            <w:noProof/>
            <w:webHidden/>
          </w:rPr>
          <w:tab/>
        </w:r>
        <w:r w:rsidR="0023091E">
          <w:rPr>
            <w:noProof/>
            <w:webHidden/>
          </w:rPr>
          <w:fldChar w:fldCharType="begin"/>
        </w:r>
        <w:r w:rsidR="0023091E">
          <w:rPr>
            <w:noProof/>
            <w:webHidden/>
          </w:rPr>
          <w:instrText xml:space="preserve"> PAGEREF _Toc29392703 \h </w:instrText>
        </w:r>
        <w:r w:rsidR="0023091E">
          <w:rPr>
            <w:noProof/>
            <w:webHidden/>
          </w:rPr>
        </w:r>
        <w:r w:rsidR="0023091E">
          <w:rPr>
            <w:noProof/>
            <w:webHidden/>
          </w:rPr>
          <w:fldChar w:fldCharType="separate"/>
        </w:r>
        <w:r w:rsidR="0023091E">
          <w:rPr>
            <w:noProof/>
            <w:webHidden/>
          </w:rPr>
          <w:t>13</w:t>
        </w:r>
        <w:r w:rsidR="0023091E">
          <w:rPr>
            <w:noProof/>
            <w:webHidden/>
          </w:rPr>
          <w:fldChar w:fldCharType="end"/>
        </w:r>
      </w:hyperlink>
    </w:p>
    <w:p w14:paraId="309CEE16" w14:textId="0807DE9C" w:rsidR="0023091E" w:rsidRDefault="00854B2C">
      <w:pPr>
        <w:pStyle w:val="Turinys2"/>
        <w:rPr>
          <w:rFonts w:eastAsiaTheme="minorEastAsia" w:cstheme="minorBidi"/>
          <w:i w:val="0"/>
          <w:noProof/>
          <w:szCs w:val="22"/>
          <w:lang w:val="en-US" w:eastAsia="en-US"/>
        </w:rPr>
      </w:pPr>
      <w:hyperlink w:anchor="_Toc29392704" w:history="1">
        <w:r w:rsidR="0023091E" w:rsidRPr="00390D16">
          <w:rPr>
            <w:rStyle w:val="Hipersaitas"/>
            <w:rFonts w:ascii="Calibri" w:hAnsi="Calibri"/>
            <w:noProof/>
          </w:rPr>
          <w:t>Dėl vidaus tarnybos pareigūnų laipsnių suteikimo tvarkos</w:t>
        </w:r>
        <w:r w:rsidR="0023091E">
          <w:rPr>
            <w:noProof/>
            <w:webHidden/>
          </w:rPr>
          <w:tab/>
        </w:r>
        <w:r w:rsidR="0023091E">
          <w:rPr>
            <w:noProof/>
            <w:webHidden/>
          </w:rPr>
          <w:fldChar w:fldCharType="begin"/>
        </w:r>
        <w:r w:rsidR="0023091E">
          <w:rPr>
            <w:noProof/>
            <w:webHidden/>
          </w:rPr>
          <w:instrText xml:space="preserve"> PAGEREF _Toc29392704 \h </w:instrText>
        </w:r>
        <w:r w:rsidR="0023091E">
          <w:rPr>
            <w:noProof/>
            <w:webHidden/>
          </w:rPr>
        </w:r>
        <w:r w:rsidR="0023091E">
          <w:rPr>
            <w:noProof/>
            <w:webHidden/>
          </w:rPr>
          <w:fldChar w:fldCharType="separate"/>
        </w:r>
        <w:r w:rsidR="0023091E">
          <w:rPr>
            <w:noProof/>
            <w:webHidden/>
          </w:rPr>
          <w:t>14</w:t>
        </w:r>
        <w:r w:rsidR="0023091E">
          <w:rPr>
            <w:noProof/>
            <w:webHidden/>
          </w:rPr>
          <w:fldChar w:fldCharType="end"/>
        </w:r>
      </w:hyperlink>
    </w:p>
    <w:p w14:paraId="0F6693D2" w14:textId="45BE7A48" w:rsidR="0023091E" w:rsidRDefault="00854B2C">
      <w:pPr>
        <w:pStyle w:val="Turinys1"/>
        <w:rPr>
          <w:rFonts w:eastAsiaTheme="minorEastAsia" w:cstheme="minorBidi"/>
          <w:b w:val="0"/>
          <w:bCs w:val="0"/>
          <w:caps w:val="0"/>
          <w:noProof/>
          <w:szCs w:val="22"/>
          <w:lang w:val="en-US" w:eastAsia="en-US"/>
        </w:rPr>
      </w:pPr>
      <w:hyperlink w:anchor="_Toc29392705" w:history="1">
        <w:r w:rsidR="0023091E" w:rsidRPr="00390D16">
          <w:rPr>
            <w:rStyle w:val="Hipersaitas"/>
            <w:rFonts w:cstheme="minorHAnsi"/>
            <w:noProof/>
          </w:rPr>
          <w:t>26. Asmens duomenų teisinė apsauga</w:t>
        </w:r>
        <w:r w:rsidR="0023091E">
          <w:rPr>
            <w:noProof/>
            <w:webHidden/>
          </w:rPr>
          <w:tab/>
        </w:r>
        <w:r w:rsidR="0023091E">
          <w:rPr>
            <w:noProof/>
            <w:webHidden/>
          </w:rPr>
          <w:fldChar w:fldCharType="begin"/>
        </w:r>
        <w:r w:rsidR="0023091E">
          <w:rPr>
            <w:noProof/>
            <w:webHidden/>
          </w:rPr>
          <w:instrText xml:space="preserve"> PAGEREF _Toc29392705 \h </w:instrText>
        </w:r>
        <w:r w:rsidR="0023091E">
          <w:rPr>
            <w:noProof/>
            <w:webHidden/>
          </w:rPr>
        </w:r>
        <w:r w:rsidR="0023091E">
          <w:rPr>
            <w:noProof/>
            <w:webHidden/>
          </w:rPr>
          <w:fldChar w:fldCharType="separate"/>
        </w:r>
        <w:r w:rsidR="0023091E">
          <w:rPr>
            <w:noProof/>
            <w:webHidden/>
          </w:rPr>
          <w:t>15</w:t>
        </w:r>
        <w:r w:rsidR="0023091E">
          <w:rPr>
            <w:noProof/>
            <w:webHidden/>
          </w:rPr>
          <w:fldChar w:fldCharType="end"/>
        </w:r>
      </w:hyperlink>
    </w:p>
    <w:p w14:paraId="6D4190E4" w14:textId="74746A59" w:rsidR="0023091E" w:rsidRDefault="00854B2C">
      <w:pPr>
        <w:pStyle w:val="Turinys2"/>
        <w:rPr>
          <w:rFonts w:eastAsiaTheme="minorEastAsia" w:cstheme="minorBidi"/>
          <w:i w:val="0"/>
          <w:noProof/>
          <w:szCs w:val="22"/>
          <w:lang w:val="en-US" w:eastAsia="en-US"/>
        </w:rPr>
      </w:pPr>
      <w:hyperlink w:anchor="_Toc29392706" w:history="1">
        <w:r w:rsidR="0023091E" w:rsidRPr="00390D16">
          <w:rPr>
            <w:rStyle w:val="Hipersaitas"/>
            <w:noProof/>
          </w:rPr>
          <w:t>Dėl tarnybiniuose automobiliuose sumontuotos geografinės padėties nustatymo įrangos užfiksuotos informacijos tvarkymo darbo organizavimo tikslais vertinimo</w:t>
        </w:r>
        <w:r w:rsidR="0023091E">
          <w:rPr>
            <w:noProof/>
            <w:webHidden/>
          </w:rPr>
          <w:tab/>
        </w:r>
        <w:r w:rsidR="0023091E">
          <w:rPr>
            <w:noProof/>
            <w:webHidden/>
          </w:rPr>
          <w:fldChar w:fldCharType="begin"/>
        </w:r>
        <w:r w:rsidR="0023091E">
          <w:rPr>
            <w:noProof/>
            <w:webHidden/>
          </w:rPr>
          <w:instrText xml:space="preserve"> PAGEREF _Toc29392706 \h </w:instrText>
        </w:r>
        <w:r w:rsidR="0023091E">
          <w:rPr>
            <w:noProof/>
            <w:webHidden/>
          </w:rPr>
        </w:r>
        <w:r w:rsidR="0023091E">
          <w:rPr>
            <w:noProof/>
            <w:webHidden/>
          </w:rPr>
          <w:fldChar w:fldCharType="separate"/>
        </w:r>
        <w:r w:rsidR="0023091E">
          <w:rPr>
            <w:noProof/>
            <w:webHidden/>
          </w:rPr>
          <w:t>15</w:t>
        </w:r>
        <w:r w:rsidR="0023091E">
          <w:rPr>
            <w:noProof/>
            <w:webHidden/>
          </w:rPr>
          <w:fldChar w:fldCharType="end"/>
        </w:r>
      </w:hyperlink>
    </w:p>
    <w:p w14:paraId="07605E1D" w14:textId="05FDEBB3" w:rsidR="0023091E" w:rsidRDefault="00854B2C">
      <w:pPr>
        <w:pStyle w:val="Turinys1"/>
        <w:rPr>
          <w:rFonts w:eastAsiaTheme="minorEastAsia" w:cstheme="minorBidi"/>
          <w:b w:val="0"/>
          <w:bCs w:val="0"/>
          <w:caps w:val="0"/>
          <w:noProof/>
          <w:szCs w:val="22"/>
          <w:lang w:val="en-US" w:eastAsia="en-US"/>
        </w:rPr>
      </w:pPr>
      <w:hyperlink w:anchor="_Toc29392707" w:history="1">
        <w:r w:rsidR="0023091E" w:rsidRPr="00390D16">
          <w:rPr>
            <w:rStyle w:val="Hipersaitas"/>
            <w:rFonts w:cstheme="minorHAnsi"/>
            <w:noProof/>
          </w:rPr>
          <w:t>27. Visuomenės informavimas</w:t>
        </w:r>
        <w:r w:rsidR="0023091E">
          <w:rPr>
            <w:noProof/>
            <w:webHidden/>
          </w:rPr>
          <w:tab/>
        </w:r>
        <w:r w:rsidR="0023091E">
          <w:rPr>
            <w:noProof/>
            <w:webHidden/>
          </w:rPr>
          <w:fldChar w:fldCharType="begin"/>
        </w:r>
        <w:r w:rsidR="0023091E">
          <w:rPr>
            <w:noProof/>
            <w:webHidden/>
          </w:rPr>
          <w:instrText xml:space="preserve"> PAGEREF _Toc29392707 \h </w:instrText>
        </w:r>
        <w:r w:rsidR="0023091E">
          <w:rPr>
            <w:noProof/>
            <w:webHidden/>
          </w:rPr>
        </w:r>
        <w:r w:rsidR="0023091E">
          <w:rPr>
            <w:noProof/>
            <w:webHidden/>
          </w:rPr>
          <w:fldChar w:fldCharType="separate"/>
        </w:r>
        <w:r w:rsidR="0023091E">
          <w:rPr>
            <w:noProof/>
            <w:webHidden/>
          </w:rPr>
          <w:t>16</w:t>
        </w:r>
        <w:r w:rsidR="0023091E">
          <w:rPr>
            <w:noProof/>
            <w:webHidden/>
          </w:rPr>
          <w:fldChar w:fldCharType="end"/>
        </w:r>
      </w:hyperlink>
    </w:p>
    <w:p w14:paraId="17072593" w14:textId="39439CE3" w:rsidR="0023091E" w:rsidRDefault="00854B2C">
      <w:pPr>
        <w:pStyle w:val="Turinys2"/>
        <w:rPr>
          <w:rFonts w:eastAsiaTheme="minorEastAsia" w:cstheme="minorBidi"/>
          <w:i w:val="0"/>
          <w:noProof/>
          <w:szCs w:val="22"/>
          <w:lang w:val="en-US" w:eastAsia="en-US"/>
        </w:rPr>
      </w:pPr>
      <w:hyperlink w:anchor="_Toc29392708" w:history="1">
        <w:r w:rsidR="0023091E" w:rsidRPr="00390D16">
          <w:rPr>
            <w:rStyle w:val="Hipersaitas"/>
            <w:noProof/>
          </w:rPr>
          <w:t>Dėl straipsnio antraštės ir iliustracijų sąsajumo</w:t>
        </w:r>
        <w:r w:rsidR="0023091E">
          <w:rPr>
            <w:noProof/>
            <w:webHidden/>
          </w:rPr>
          <w:tab/>
        </w:r>
        <w:r w:rsidR="0023091E">
          <w:rPr>
            <w:noProof/>
            <w:webHidden/>
          </w:rPr>
          <w:fldChar w:fldCharType="begin"/>
        </w:r>
        <w:r w:rsidR="0023091E">
          <w:rPr>
            <w:noProof/>
            <w:webHidden/>
          </w:rPr>
          <w:instrText xml:space="preserve"> PAGEREF _Toc29392708 \h </w:instrText>
        </w:r>
        <w:r w:rsidR="0023091E">
          <w:rPr>
            <w:noProof/>
            <w:webHidden/>
          </w:rPr>
        </w:r>
        <w:r w:rsidR="0023091E">
          <w:rPr>
            <w:noProof/>
            <w:webHidden/>
          </w:rPr>
          <w:fldChar w:fldCharType="separate"/>
        </w:r>
        <w:r w:rsidR="0023091E">
          <w:rPr>
            <w:noProof/>
            <w:webHidden/>
          </w:rPr>
          <w:t>16</w:t>
        </w:r>
        <w:r w:rsidR="0023091E">
          <w:rPr>
            <w:noProof/>
            <w:webHidden/>
          </w:rPr>
          <w:fldChar w:fldCharType="end"/>
        </w:r>
      </w:hyperlink>
    </w:p>
    <w:p w14:paraId="0839443C" w14:textId="6FEB7E34" w:rsidR="0023091E" w:rsidRDefault="00854B2C">
      <w:pPr>
        <w:pStyle w:val="Turinys1"/>
        <w:rPr>
          <w:rFonts w:eastAsiaTheme="minorEastAsia" w:cstheme="minorBidi"/>
          <w:b w:val="0"/>
          <w:bCs w:val="0"/>
          <w:caps w:val="0"/>
          <w:noProof/>
          <w:szCs w:val="22"/>
          <w:lang w:val="en-US" w:eastAsia="en-US"/>
        </w:rPr>
      </w:pPr>
      <w:hyperlink w:anchor="_Toc29392709" w:history="1">
        <w:r w:rsidR="0023091E" w:rsidRPr="00390D16">
          <w:rPr>
            <w:rStyle w:val="Hipersaitas"/>
            <w:rFonts w:cstheme="minorHAnsi"/>
            <w:noProof/>
          </w:rPr>
          <w:t>34. Tabako ir alkoholio kontrolė</w:t>
        </w:r>
        <w:r w:rsidR="0023091E">
          <w:rPr>
            <w:noProof/>
            <w:webHidden/>
          </w:rPr>
          <w:tab/>
        </w:r>
        <w:r w:rsidR="0023091E">
          <w:rPr>
            <w:noProof/>
            <w:webHidden/>
          </w:rPr>
          <w:fldChar w:fldCharType="begin"/>
        </w:r>
        <w:r w:rsidR="0023091E">
          <w:rPr>
            <w:noProof/>
            <w:webHidden/>
          </w:rPr>
          <w:instrText xml:space="preserve"> PAGEREF _Toc29392709 \h </w:instrText>
        </w:r>
        <w:r w:rsidR="0023091E">
          <w:rPr>
            <w:noProof/>
            <w:webHidden/>
          </w:rPr>
        </w:r>
        <w:r w:rsidR="0023091E">
          <w:rPr>
            <w:noProof/>
            <w:webHidden/>
          </w:rPr>
          <w:fldChar w:fldCharType="separate"/>
        </w:r>
        <w:r w:rsidR="0023091E">
          <w:rPr>
            <w:noProof/>
            <w:webHidden/>
          </w:rPr>
          <w:t>17</w:t>
        </w:r>
        <w:r w:rsidR="0023091E">
          <w:rPr>
            <w:noProof/>
            <w:webHidden/>
          </w:rPr>
          <w:fldChar w:fldCharType="end"/>
        </w:r>
      </w:hyperlink>
    </w:p>
    <w:p w14:paraId="17FB5E62" w14:textId="05C2160C" w:rsidR="0023091E" w:rsidRDefault="00854B2C">
      <w:pPr>
        <w:pStyle w:val="Turinys2"/>
        <w:rPr>
          <w:rFonts w:eastAsiaTheme="minorEastAsia" w:cstheme="minorBidi"/>
          <w:i w:val="0"/>
          <w:noProof/>
          <w:szCs w:val="22"/>
          <w:lang w:val="en-US" w:eastAsia="en-US"/>
        </w:rPr>
      </w:pPr>
      <w:hyperlink w:anchor="_Toc29392710" w:history="1">
        <w:r w:rsidR="0023091E" w:rsidRPr="00390D16">
          <w:rPr>
            <w:rStyle w:val="Hipersaitas"/>
            <w:noProof/>
          </w:rPr>
          <w:t>Dėl draudimo įrengti rūkymo patalpą lošimo namuose (kazino)</w:t>
        </w:r>
        <w:r w:rsidR="0023091E">
          <w:rPr>
            <w:noProof/>
            <w:webHidden/>
          </w:rPr>
          <w:tab/>
        </w:r>
        <w:r w:rsidR="0023091E">
          <w:rPr>
            <w:noProof/>
            <w:webHidden/>
          </w:rPr>
          <w:fldChar w:fldCharType="begin"/>
        </w:r>
        <w:r w:rsidR="0023091E">
          <w:rPr>
            <w:noProof/>
            <w:webHidden/>
          </w:rPr>
          <w:instrText xml:space="preserve"> PAGEREF _Toc29392710 \h </w:instrText>
        </w:r>
        <w:r w:rsidR="0023091E">
          <w:rPr>
            <w:noProof/>
            <w:webHidden/>
          </w:rPr>
        </w:r>
        <w:r w:rsidR="0023091E">
          <w:rPr>
            <w:noProof/>
            <w:webHidden/>
          </w:rPr>
          <w:fldChar w:fldCharType="separate"/>
        </w:r>
        <w:r w:rsidR="0023091E">
          <w:rPr>
            <w:noProof/>
            <w:webHidden/>
          </w:rPr>
          <w:t>17</w:t>
        </w:r>
        <w:r w:rsidR="0023091E">
          <w:rPr>
            <w:noProof/>
            <w:webHidden/>
          </w:rPr>
          <w:fldChar w:fldCharType="end"/>
        </w:r>
      </w:hyperlink>
    </w:p>
    <w:p w14:paraId="21608C00" w14:textId="4B70F1F5" w:rsidR="0023091E" w:rsidRDefault="00854B2C">
      <w:pPr>
        <w:pStyle w:val="Turinys1"/>
        <w:rPr>
          <w:rFonts w:eastAsiaTheme="minorEastAsia" w:cstheme="minorBidi"/>
          <w:b w:val="0"/>
          <w:bCs w:val="0"/>
          <w:caps w:val="0"/>
          <w:noProof/>
          <w:szCs w:val="22"/>
          <w:lang w:val="en-US" w:eastAsia="en-US"/>
        </w:rPr>
      </w:pPr>
      <w:hyperlink w:anchor="_Toc29392711" w:history="1">
        <w:r w:rsidR="0023091E" w:rsidRPr="00390D16">
          <w:rPr>
            <w:rStyle w:val="Hipersaitas"/>
            <w:rFonts w:ascii="Calibri" w:eastAsia="Calibri" w:hAnsi="Calibri"/>
            <w:noProof/>
            <w:lang w:eastAsia="en-US"/>
          </w:rPr>
          <w:t>41. Kiti ginčai viešojo administravimo srityje</w:t>
        </w:r>
        <w:r w:rsidR="0023091E">
          <w:rPr>
            <w:noProof/>
            <w:webHidden/>
          </w:rPr>
          <w:tab/>
        </w:r>
        <w:r w:rsidR="0023091E">
          <w:rPr>
            <w:noProof/>
            <w:webHidden/>
          </w:rPr>
          <w:fldChar w:fldCharType="begin"/>
        </w:r>
        <w:r w:rsidR="0023091E">
          <w:rPr>
            <w:noProof/>
            <w:webHidden/>
          </w:rPr>
          <w:instrText xml:space="preserve"> PAGEREF _Toc29392711 \h </w:instrText>
        </w:r>
        <w:r w:rsidR="0023091E">
          <w:rPr>
            <w:noProof/>
            <w:webHidden/>
          </w:rPr>
        </w:r>
        <w:r w:rsidR="0023091E">
          <w:rPr>
            <w:noProof/>
            <w:webHidden/>
          </w:rPr>
          <w:fldChar w:fldCharType="separate"/>
        </w:r>
        <w:r w:rsidR="0023091E">
          <w:rPr>
            <w:noProof/>
            <w:webHidden/>
          </w:rPr>
          <w:t>18</w:t>
        </w:r>
        <w:r w:rsidR="0023091E">
          <w:rPr>
            <w:noProof/>
            <w:webHidden/>
          </w:rPr>
          <w:fldChar w:fldCharType="end"/>
        </w:r>
      </w:hyperlink>
    </w:p>
    <w:p w14:paraId="0FE7B0E6" w14:textId="55237F9A" w:rsidR="0023091E" w:rsidRDefault="00854B2C">
      <w:pPr>
        <w:pStyle w:val="Turinys2"/>
        <w:rPr>
          <w:rFonts w:eastAsiaTheme="minorEastAsia" w:cstheme="minorBidi"/>
          <w:i w:val="0"/>
          <w:noProof/>
          <w:szCs w:val="22"/>
          <w:lang w:val="en-US" w:eastAsia="en-US"/>
        </w:rPr>
      </w:pPr>
      <w:hyperlink w:anchor="_Toc29392712" w:history="1">
        <w:r w:rsidR="0023091E" w:rsidRPr="00390D16">
          <w:rPr>
            <w:rStyle w:val="Hipersaitas"/>
            <w:noProof/>
          </w:rPr>
          <w:t>Dėl galimos diskriminacijos politinių pažiūrų pagrindu teikiant kandidatūrą į Lietuvos kultūros tarybos narių susirinkimą</w:t>
        </w:r>
        <w:r w:rsidR="0023091E">
          <w:rPr>
            <w:noProof/>
            <w:webHidden/>
          </w:rPr>
          <w:tab/>
        </w:r>
        <w:r w:rsidR="0023091E">
          <w:rPr>
            <w:noProof/>
            <w:webHidden/>
          </w:rPr>
          <w:fldChar w:fldCharType="begin"/>
        </w:r>
        <w:r w:rsidR="0023091E">
          <w:rPr>
            <w:noProof/>
            <w:webHidden/>
          </w:rPr>
          <w:instrText xml:space="preserve"> PAGEREF _Toc29392712 \h </w:instrText>
        </w:r>
        <w:r w:rsidR="0023091E">
          <w:rPr>
            <w:noProof/>
            <w:webHidden/>
          </w:rPr>
        </w:r>
        <w:r w:rsidR="0023091E">
          <w:rPr>
            <w:noProof/>
            <w:webHidden/>
          </w:rPr>
          <w:fldChar w:fldCharType="separate"/>
        </w:r>
        <w:r w:rsidR="0023091E">
          <w:rPr>
            <w:noProof/>
            <w:webHidden/>
          </w:rPr>
          <w:t>18</w:t>
        </w:r>
        <w:r w:rsidR="0023091E">
          <w:rPr>
            <w:noProof/>
            <w:webHidden/>
          </w:rPr>
          <w:fldChar w:fldCharType="end"/>
        </w:r>
      </w:hyperlink>
    </w:p>
    <w:p w14:paraId="467A1350" w14:textId="3D126468" w:rsidR="0023091E" w:rsidRDefault="00854B2C">
      <w:pPr>
        <w:pStyle w:val="Turinys2"/>
        <w:rPr>
          <w:rFonts w:eastAsiaTheme="minorEastAsia" w:cstheme="minorBidi"/>
          <w:i w:val="0"/>
          <w:noProof/>
          <w:szCs w:val="22"/>
          <w:lang w:val="en-US" w:eastAsia="en-US"/>
        </w:rPr>
      </w:pPr>
      <w:hyperlink w:anchor="_Toc29392713" w:history="1">
        <w:r w:rsidR="0023091E" w:rsidRPr="00390D16">
          <w:rPr>
            <w:rStyle w:val="Hipersaitas"/>
            <w:noProof/>
          </w:rPr>
          <w:t>Dėl oro vežėjo pareigos pateikti skrydžio keleivių duomenis</w:t>
        </w:r>
        <w:r w:rsidR="0023091E">
          <w:rPr>
            <w:noProof/>
            <w:webHidden/>
          </w:rPr>
          <w:tab/>
        </w:r>
        <w:r w:rsidR="0023091E">
          <w:rPr>
            <w:noProof/>
            <w:webHidden/>
          </w:rPr>
          <w:fldChar w:fldCharType="begin"/>
        </w:r>
        <w:r w:rsidR="0023091E">
          <w:rPr>
            <w:noProof/>
            <w:webHidden/>
          </w:rPr>
          <w:instrText xml:space="preserve"> PAGEREF _Toc29392713 \h </w:instrText>
        </w:r>
        <w:r w:rsidR="0023091E">
          <w:rPr>
            <w:noProof/>
            <w:webHidden/>
          </w:rPr>
        </w:r>
        <w:r w:rsidR="0023091E">
          <w:rPr>
            <w:noProof/>
            <w:webHidden/>
          </w:rPr>
          <w:fldChar w:fldCharType="separate"/>
        </w:r>
        <w:r w:rsidR="0023091E">
          <w:rPr>
            <w:noProof/>
            <w:webHidden/>
          </w:rPr>
          <w:t>19</w:t>
        </w:r>
        <w:r w:rsidR="0023091E">
          <w:rPr>
            <w:noProof/>
            <w:webHidden/>
          </w:rPr>
          <w:fldChar w:fldCharType="end"/>
        </w:r>
      </w:hyperlink>
    </w:p>
    <w:p w14:paraId="5443C0E6" w14:textId="536A152E" w:rsidR="0023091E" w:rsidRDefault="00854B2C">
      <w:pPr>
        <w:pStyle w:val="Turinys1"/>
        <w:rPr>
          <w:rFonts w:eastAsiaTheme="minorEastAsia" w:cstheme="minorBidi"/>
          <w:b w:val="0"/>
          <w:bCs w:val="0"/>
          <w:caps w:val="0"/>
          <w:noProof/>
          <w:szCs w:val="22"/>
          <w:lang w:val="en-US" w:eastAsia="en-US"/>
        </w:rPr>
      </w:pPr>
      <w:hyperlink w:anchor="_Toc29392714" w:history="1">
        <w:r w:rsidR="0023091E" w:rsidRPr="00390D16">
          <w:rPr>
            <w:rStyle w:val="Hipersaitas"/>
            <w:rFonts w:cstheme="minorHAnsi"/>
            <w:noProof/>
          </w:rPr>
          <w:t>II. Administracinių bylų teisena</w:t>
        </w:r>
        <w:r w:rsidR="0023091E">
          <w:rPr>
            <w:noProof/>
            <w:webHidden/>
          </w:rPr>
          <w:tab/>
        </w:r>
        <w:r w:rsidR="0023091E">
          <w:rPr>
            <w:noProof/>
            <w:webHidden/>
          </w:rPr>
          <w:fldChar w:fldCharType="begin"/>
        </w:r>
        <w:r w:rsidR="0023091E">
          <w:rPr>
            <w:noProof/>
            <w:webHidden/>
          </w:rPr>
          <w:instrText xml:space="preserve"> PAGEREF _Toc29392714 \h </w:instrText>
        </w:r>
        <w:r w:rsidR="0023091E">
          <w:rPr>
            <w:noProof/>
            <w:webHidden/>
          </w:rPr>
        </w:r>
        <w:r w:rsidR="0023091E">
          <w:rPr>
            <w:noProof/>
            <w:webHidden/>
          </w:rPr>
          <w:fldChar w:fldCharType="separate"/>
        </w:r>
        <w:r w:rsidR="0023091E">
          <w:rPr>
            <w:noProof/>
            <w:webHidden/>
          </w:rPr>
          <w:t>19</w:t>
        </w:r>
        <w:r w:rsidR="0023091E">
          <w:rPr>
            <w:noProof/>
            <w:webHidden/>
          </w:rPr>
          <w:fldChar w:fldCharType="end"/>
        </w:r>
      </w:hyperlink>
    </w:p>
    <w:p w14:paraId="464C136B" w14:textId="1A3828F9" w:rsidR="0023091E" w:rsidRDefault="00854B2C">
      <w:pPr>
        <w:pStyle w:val="Turinys1"/>
        <w:rPr>
          <w:rFonts w:eastAsiaTheme="minorEastAsia" w:cstheme="minorBidi"/>
          <w:b w:val="0"/>
          <w:bCs w:val="0"/>
          <w:caps w:val="0"/>
          <w:noProof/>
          <w:szCs w:val="22"/>
          <w:lang w:val="en-US" w:eastAsia="en-US"/>
        </w:rPr>
      </w:pPr>
      <w:hyperlink w:anchor="_Toc29392715" w:history="1">
        <w:r w:rsidR="0023091E" w:rsidRPr="00390D16">
          <w:rPr>
            <w:rStyle w:val="Hipersaitas"/>
            <w:rFonts w:cstheme="minorHAnsi"/>
            <w:noProof/>
          </w:rPr>
          <w:t>43. Teisė kreiptis į teismą ir jos realizavimas</w:t>
        </w:r>
        <w:r w:rsidR="0023091E">
          <w:rPr>
            <w:noProof/>
            <w:webHidden/>
          </w:rPr>
          <w:tab/>
        </w:r>
        <w:r w:rsidR="0023091E">
          <w:rPr>
            <w:noProof/>
            <w:webHidden/>
          </w:rPr>
          <w:fldChar w:fldCharType="begin"/>
        </w:r>
        <w:r w:rsidR="0023091E">
          <w:rPr>
            <w:noProof/>
            <w:webHidden/>
          </w:rPr>
          <w:instrText xml:space="preserve"> PAGEREF _Toc29392715 \h </w:instrText>
        </w:r>
        <w:r w:rsidR="0023091E">
          <w:rPr>
            <w:noProof/>
            <w:webHidden/>
          </w:rPr>
        </w:r>
        <w:r w:rsidR="0023091E">
          <w:rPr>
            <w:noProof/>
            <w:webHidden/>
          </w:rPr>
          <w:fldChar w:fldCharType="separate"/>
        </w:r>
        <w:r w:rsidR="0023091E">
          <w:rPr>
            <w:noProof/>
            <w:webHidden/>
          </w:rPr>
          <w:t>20</w:t>
        </w:r>
        <w:r w:rsidR="0023091E">
          <w:rPr>
            <w:noProof/>
            <w:webHidden/>
          </w:rPr>
          <w:fldChar w:fldCharType="end"/>
        </w:r>
      </w:hyperlink>
    </w:p>
    <w:p w14:paraId="6F91BDDE" w14:textId="6BB07CF0" w:rsidR="0023091E" w:rsidRDefault="00854B2C">
      <w:pPr>
        <w:pStyle w:val="Turinys2"/>
        <w:rPr>
          <w:rFonts w:eastAsiaTheme="minorEastAsia" w:cstheme="minorBidi"/>
          <w:i w:val="0"/>
          <w:noProof/>
          <w:szCs w:val="22"/>
          <w:lang w:val="en-US" w:eastAsia="en-US"/>
        </w:rPr>
      </w:pPr>
      <w:hyperlink w:anchor="_Toc29392716" w:history="1">
        <w:r w:rsidR="0023091E" w:rsidRPr="00390D16">
          <w:rPr>
            <w:rStyle w:val="Hipersaitas"/>
            <w:noProof/>
          </w:rPr>
          <w:t>Dėl elektroniniu paštu gauto viešojo administravimo subjekto pranešimo apskundimo</w:t>
        </w:r>
        <w:r w:rsidR="0023091E">
          <w:rPr>
            <w:noProof/>
            <w:webHidden/>
          </w:rPr>
          <w:tab/>
        </w:r>
        <w:r w:rsidR="0023091E">
          <w:rPr>
            <w:noProof/>
            <w:webHidden/>
          </w:rPr>
          <w:fldChar w:fldCharType="begin"/>
        </w:r>
        <w:r w:rsidR="0023091E">
          <w:rPr>
            <w:noProof/>
            <w:webHidden/>
          </w:rPr>
          <w:instrText xml:space="preserve"> PAGEREF _Toc29392716 \h </w:instrText>
        </w:r>
        <w:r w:rsidR="0023091E">
          <w:rPr>
            <w:noProof/>
            <w:webHidden/>
          </w:rPr>
        </w:r>
        <w:r w:rsidR="0023091E">
          <w:rPr>
            <w:noProof/>
            <w:webHidden/>
          </w:rPr>
          <w:fldChar w:fldCharType="separate"/>
        </w:r>
        <w:r w:rsidR="0023091E">
          <w:rPr>
            <w:noProof/>
            <w:webHidden/>
          </w:rPr>
          <w:t>20</w:t>
        </w:r>
        <w:r w:rsidR="0023091E">
          <w:rPr>
            <w:noProof/>
            <w:webHidden/>
          </w:rPr>
          <w:fldChar w:fldCharType="end"/>
        </w:r>
      </w:hyperlink>
    </w:p>
    <w:p w14:paraId="452DF139" w14:textId="42138724" w:rsidR="0023091E" w:rsidRDefault="00854B2C">
      <w:pPr>
        <w:pStyle w:val="Turinys2"/>
        <w:rPr>
          <w:rFonts w:eastAsiaTheme="minorEastAsia" w:cstheme="minorBidi"/>
          <w:i w:val="0"/>
          <w:noProof/>
          <w:szCs w:val="22"/>
          <w:lang w:val="en-US" w:eastAsia="en-US"/>
        </w:rPr>
      </w:pPr>
      <w:hyperlink w:anchor="_Toc29392717" w:history="1">
        <w:r w:rsidR="0023091E" w:rsidRPr="00390D16">
          <w:rPr>
            <w:rStyle w:val="Hipersaitas"/>
            <w:noProof/>
          </w:rPr>
          <w:t>Dėl informavimo apie žemėtvarkos planavimo veiksmus tvarkos reikšmės, sprendžiant skundo padavimo termino atnaujinimo klausimą</w:t>
        </w:r>
        <w:r w:rsidR="0023091E">
          <w:rPr>
            <w:noProof/>
            <w:webHidden/>
          </w:rPr>
          <w:tab/>
        </w:r>
        <w:r w:rsidR="0023091E">
          <w:rPr>
            <w:noProof/>
            <w:webHidden/>
          </w:rPr>
          <w:fldChar w:fldCharType="begin"/>
        </w:r>
        <w:r w:rsidR="0023091E">
          <w:rPr>
            <w:noProof/>
            <w:webHidden/>
          </w:rPr>
          <w:instrText xml:space="preserve"> PAGEREF _Toc29392717 \h </w:instrText>
        </w:r>
        <w:r w:rsidR="0023091E">
          <w:rPr>
            <w:noProof/>
            <w:webHidden/>
          </w:rPr>
        </w:r>
        <w:r w:rsidR="0023091E">
          <w:rPr>
            <w:noProof/>
            <w:webHidden/>
          </w:rPr>
          <w:fldChar w:fldCharType="separate"/>
        </w:r>
        <w:r w:rsidR="0023091E">
          <w:rPr>
            <w:noProof/>
            <w:webHidden/>
          </w:rPr>
          <w:t>20</w:t>
        </w:r>
        <w:r w:rsidR="0023091E">
          <w:rPr>
            <w:noProof/>
            <w:webHidden/>
          </w:rPr>
          <w:fldChar w:fldCharType="end"/>
        </w:r>
      </w:hyperlink>
    </w:p>
    <w:p w14:paraId="0E8BF00D" w14:textId="1BBFBC90" w:rsidR="0023091E" w:rsidRDefault="00854B2C">
      <w:pPr>
        <w:pStyle w:val="Turinys2"/>
        <w:rPr>
          <w:rFonts w:eastAsiaTheme="minorEastAsia" w:cstheme="minorBidi"/>
          <w:i w:val="0"/>
          <w:noProof/>
          <w:szCs w:val="22"/>
          <w:lang w:val="en-US" w:eastAsia="en-US"/>
        </w:rPr>
      </w:pPr>
      <w:hyperlink w:anchor="_Toc29392718" w:history="1">
        <w:r w:rsidR="0023091E" w:rsidRPr="00390D16">
          <w:rPr>
            <w:rStyle w:val="Hipersaitas"/>
            <w:noProof/>
          </w:rPr>
          <w:t>Dėl muitinės įstaigos atsisakymo suteikti informaciją Sąjungos muitinės kodekso 22 straipsnio 6 dalyje numatytos procedūros metu (kai, nustačius galimus muitinės teisės pažeidimus, prieš priimant sprendimą pasiūloma už prievoles muitinei atsakingam asmeniui pateikti paaiškinimus)</w:t>
        </w:r>
        <w:r w:rsidR="0023091E">
          <w:rPr>
            <w:noProof/>
            <w:webHidden/>
          </w:rPr>
          <w:tab/>
        </w:r>
        <w:r w:rsidR="0023091E">
          <w:rPr>
            <w:noProof/>
            <w:webHidden/>
          </w:rPr>
          <w:fldChar w:fldCharType="begin"/>
        </w:r>
        <w:r w:rsidR="0023091E">
          <w:rPr>
            <w:noProof/>
            <w:webHidden/>
          </w:rPr>
          <w:instrText xml:space="preserve"> PAGEREF _Toc29392718 \h </w:instrText>
        </w:r>
        <w:r w:rsidR="0023091E">
          <w:rPr>
            <w:noProof/>
            <w:webHidden/>
          </w:rPr>
        </w:r>
        <w:r w:rsidR="0023091E">
          <w:rPr>
            <w:noProof/>
            <w:webHidden/>
          </w:rPr>
          <w:fldChar w:fldCharType="separate"/>
        </w:r>
        <w:r w:rsidR="0023091E">
          <w:rPr>
            <w:noProof/>
            <w:webHidden/>
          </w:rPr>
          <w:t>21</w:t>
        </w:r>
        <w:r w:rsidR="0023091E">
          <w:rPr>
            <w:noProof/>
            <w:webHidden/>
          </w:rPr>
          <w:fldChar w:fldCharType="end"/>
        </w:r>
      </w:hyperlink>
    </w:p>
    <w:p w14:paraId="2984DC1F" w14:textId="5F6D5DD5" w:rsidR="0023091E" w:rsidRDefault="00854B2C">
      <w:pPr>
        <w:pStyle w:val="Turinys1"/>
        <w:rPr>
          <w:rFonts w:eastAsiaTheme="minorEastAsia" w:cstheme="minorBidi"/>
          <w:b w:val="0"/>
          <w:bCs w:val="0"/>
          <w:caps w:val="0"/>
          <w:noProof/>
          <w:szCs w:val="22"/>
          <w:lang w:val="en-US" w:eastAsia="en-US"/>
        </w:rPr>
      </w:pPr>
      <w:hyperlink w:anchor="_Toc29392719" w:history="1">
        <w:r w:rsidR="0023091E" w:rsidRPr="00390D16">
          <w:rPr>
            <w:rStyle w:val="Hipersaitas"/>
            <w:rFonts w:ascii="Calibri" w:hAnsi="Calibri"/>
            <w:noProof/>
          </w:rPr>
          <w:t>49. Reikalavimo užtikrinimo priemonių taikymas</w:t>
        </w:r>
        <w:r w:rsidR="0023091E">
          <w:rPr>
            <w:noProof/>
            <w:webHidden/>
          </w:rPr>
          <w:tab/>
        </w:r>
        <w:r w:rsidR="0023091E">
          <w:rPr>
            <w:noProof/>
            <w:webHidden/>
          </w:rPr>
          <w:fldChar w:fldCharType="begin"/>
        </w:r>
        <w:r w:rsidR="0023091E">
          <w:rPr>
            <w:noProof/>
            <w:webHidden/>
          </w:rPr>
          <w:instrText xml:space="preserve"> PAGEREF _Toc29392719 \h </w:instrText>
        </w:r>
        <w:r w:rsidR="0023091E">
          <w:rPr>
            <w:noProof/>
            <w:webHidden/>
          </w:rPr>
        </w:r>
        <w:r w:rsidR="0023091E">
          <w:rPr>
            <w:noProof/>
            <w:webHidden/>
          </w:rPr>
          <w:fldChar w:fldCharType="separate"/>
        </w:r>
        <w:r w:rsidR="0023091E">
          <w:rPr>
            <w:noProof/>
            <w:webHidden/>
          </w:rPr>
          <w:t>22</w:t>
        </w:r>
        <w:r w:rsidR="0023091E">
          <w:rPr>
            <w:noProof/>
            <w:webHidden/>
          </w:rPr>
          <w:fldChar w:fldCharType="end"/>
        </w:r>
      </w:hyperlink>
    </w:p>
    <w:p w14:paraId="68FD49FB" w14:textId="518D5B01" w:rsidR="0023091E" w:rsidRDefault="00854B2C">
      <w:pPr>
        <w:pStyle w:val="Turinys2"/>
        <w:rPr>
          <w:rFonts w:eastAsiaTheme="minorEastAsia" w:cstheme="minorBidi"/>
          <w:i w:val="0"/>
          <w:noProof/>
          <w:szCs w:val="22"/>
          <w:lang w:val="en-US" w:eastAsia="en-US"/>
        </w:rPr>
      </w:pPr>
      <w:hyperlink w:anchor="_Toc29392720" w:history="1">
        <w:r w:rsidR="0023091E" w:rsidRPr="00390D16">
          <w:rPr>
            <w:rStyle w:val="Hipersaitas"/>
            <w:rFonts w:ascii="Calibri" w:eastAsia="Calibri" w:hAnsi="Calibri"/>
            <w:noProof/>
          </w:rPr>
          <w:t xml:space="preserve">Dėl Migracijos departamento sprendimo, kuriuo atsisakyta </w:t>
        </w:r>
        <w:r w:rsidR="0023091E" w:rsidRPr="00390D16">
          <w:rPr>
            <w:rStyle w:val="Hipersaitas"/>
            <w:rFonts w:ascii="Calibri" w:eastAsia="Calibri" w:hAnsi="Calibri"/>
            <w:bCs/>
            <w:noProof/>
          </w:rPr>
          <w:t>pakeisti leidimą laikinai gyventi Lietuvos Respublikoje, galiojimo laikino sustabdymo</w:t>
        </w:r>
        <w:r w:rsidR="0023091E">
          <w:rPr>
            <w:noProof/>
            <w:webHidden/>
          </w:rPr>
          <w:tab/>
        </w:r>
        <w:r w:rsidR="0023091E">
          <w:rPr>
            <w:noProof/>
            <w:webHidden/>
          </w:rPr>
          <w:fldChar w:fldCharType="begin"/>
        </w:r>
        <w:r w:rsidR="0023091E">
          <w:rPr>
            <w:noProof/>
            <w:webHidden/>
          </w:rPr>
          <w:instrText xml:space="preserve"> PAGEREF _Toc29392720 \h </w:instrText>
        </w:r>
        <w:r w:rsidR="0023091E">
          <w:rPr>
            <w:noProof/>
            <w:webHidden/>
          </w:rPr>
        </w:r>
        <w:r w:rsidR="0023091E">
          <w:rPr>
            <w:noProof/>
            <w:webHidden/>
          </w:rPr>
          <w:fldChar w:fldCharType="separate"/>
        </w:r>
        <w:r w:rsidR="0023091E">
          <w:rPr>
            <w:noProof/>
            <w:webHidden/>
          </w:rPr>
          <w:t>22</w:t>
        </w:r>
        <w:r w:rsidR="0023091E">
          <w:rPr>
            <w:noProof/>
            <w:webHidden/>
          </w:rPr>
          <w:fldChar w:fldCharType="end"/>
        </w:r>
      </w:hyperlink>
    </w:p>
    <w:p w14:paraId="580C0F47" w14:textId="20D87B86" w:rsidR="0023091E" w:rsidRDefault="00854B2C">
      <w:pPr>
        <w:pStyle w:val="Turinys1"/>
        <w:rPr>
          <w:rFonts w:eastAsiaTheme="minorEastAsia" w:cstheme="minorBidi"/>
          <w:b w:val="0"/>
          <w:bCs w:val="0"/>
          <w:caps w:val="0"/>
          <w:noProof/>
          <w:szCs w:val="22"/>
          <w:lang w:val="en-US" w:eastAsia="en-US"/>
        </w:rPr>
      </w:pPr>
      <w:hyperlink w:anchor="_Toc29392721" w:history="1">
        <w:r w:rsidR="0023091E" w:rsidRPr="00390D16">
          <w:rPr>
            <w:rStyle w:val="Hipersaitas"/>
            <w:rFonts w:ascii="Calibri" w:hAnsi="Calibri" w:cs="Calibri"/>
            <w:noProof/>
          </w:rPr>
          <w:t>57. Bylos nagrinėjimo išlaidos</w:t>
        </w:r>
        <w:r w:rsidR="0023091E">
          <w:rPr>
            <w:noProof/>
            <w:webHidden/>
          </w:rPr>
          <w:tab/>
        </w:r>
        <w:r w:rsidR="0023091E">
          <w:rPr>
            <w:noProof/>
            <w:webHidden/>
          </w:rPr>
          <w:fldChar w:fldCharType="begin"/>
        </w:r>
        <w:r w:rsidR="0023091E">
          <w:rPr>
            <w:noProof/>
            <w:webHidden/>
          </w:rPr>
          <w:instrText xml:space="preserve"> PAGEREF _Toc29392721 \h </w:instrText>
        </w:r>
        <w:r w:rsidR="0023091E">
          <w:rPr>
            <w:noProof/>
            <w:webHidden/>
          </w:rPr>
        </w:r>
        <w:r w:rsidR="0023091E">
          <w:rPr>
            <w:noProof/>
            <w:webHidden/>
          </w:rPr>
          <w:fldChar w:fldCharType="separate"/>
        </w:r>
        <w:r w:rsidR="0023091E">
          <w:rPr>
            <w:noProof/>
            <w:webHidden/>
          </w:rPr>
          <w:t>23</w:t>
        </w:r>
        <w:r w:rsidR="0023091E">
          <w:rPr>
            <w:noProof/>
            <w:webHidden/>
          </w:rPr>
          <w:fldChar w:fldCharType="end"/>
        </w:r>
      </w:hyperlink>
    </w:p>
    <w:p w14:paraId="61B3029D" w14:textId="25096D8B" w:rsidR="0023091E" w:rsidRDefault="00854B2C">
      <w:pPr>
        <w:pStyle w:val="Turinys2"/>
        <w:rPr>
          <w:rFonts w:eastAsiaTheme="minorEastAsia" w:cstheme="minorBidi"/>
          <w:i w:val="0"/>
          <w:noProof/>
          <w:szCs w:val="22"/>
          <w:lang w:val="en-US" w:eastAsia="en-US"/>
        </w:rPr>
      </w:pPr>
      <w:hyperlink w:anchor="_Toc29392722" w:history="1">
        <w:r w:rsidR="0023091E" w:rsidRPr="00390D16">
          <w:rPr>
            <w:rStyle w:val="Hipersaitas"/>
            <w:noProof/>
          </w:rPr>
          <w:t>Dėl termino prašymui dėl bylinėjimosi išlaidų atlyginimo pateikti vertinimo</w:t>
        </w:r>
        <w:r w:rsidR="0023091E">
          <w:rPr>
            <w:noProof/>
            <w:webHidden/>
          </w:rPr>
          <w:tab/>
        </w:r>
        <w:r w:rsidR="0023091E">
          <w:rPr>
            <w:noProof/>
            <w:webHidden/>
          </w:rPr>
          <w:fldChar w:fldCharType="begin"/>
        </w:r>
        <w:r w:rsidR="0023091E">
          <w:rPr>
            <w:noProof/>
            <w:webHidden/>
          </w:rPr>
          <w:instrText xml:space="preserve"> PAGEREF _Toc29392722 \h </w:instrText>
        </w:r>
        <w:r w:rsidR="0023091E">
          <w:rPr>
            <w:noProof/>
            <w:webHidden/>
          </w:rPr>
        </w:r>
        <w:r w:rsidR="0023091E">
          <w:rPr>
            <w:noProof/>
            <w:webHidden/>
          </w:rPr>
          <w:fldChar w:fldCharType="separate"/>
        </w:r>
        <w:r w:rsidR="0023091E">
          <w:rPr>
            <w:noProof/>
            <w:webHidden/>
          </w:rPr>
          <w:t>23</w:t>
        </w:r>
        <w:r w:rsidR="0023091E">
          <w:rPr>
            <w:noProof/>
            <w:webHidden/>
          </w:rPr>
          <w:fldChar w:fldCharType="end"/>
        </w:r>
      </w:hyperlink>
    </w:p>
    <w:p w14:paraId="2B78297D" w14:textId="382735D2" w:rsidR="0023091E" w:rsidRDefault="00854B2C">
      <w:pPr>
        <w:pStyle w:val="Turinys1"/>
        <w:rPr>
          <w:rFonts w:eastAsiaTheme="minorEastAsia" w:cstheme="minorBidi"/>
          <w:b w:val="0"/>
          <w:bCs w:val="0"/>
          <w:caps w:val="0"/>
          <w:noProof/>
          <w:szCs w:val="22"/>
          <w:lang w:val="en-US" w:eastAsia="en-US"/>
        </w:rPr>
      </w:pPr>
      <w:hyperlink w:anchor="_Toc29392723" w:history="1">
        <w:r w:rsidR="0023091E" w:rsidRPr="00390D16">
          <w:rPr>
            <w:rStyle w:val="Hipersaitas"/>
            <w:rFonts w:ascii="Calibri" w:hAnsi="Calibri"/>
            <w:noProof/>
          </w:rPr>
          <w:t>59. Apeliacinis procesas</w:t>
        </w:r>
        <w:r w:rsidR="0023091E">
          <w:rPr>
            <w:noProof/>
            <w:webHidden/>
          </w:rPr>
          <w:tab/>
        </w:r>
        <w:r w:rsidR="0023091E">
          <w:rPr>
            <w:noProof/>
            <w:webHidden/>
          </w:rPr>
          <w:fldChar w:fldCharType="begin"/>
        </w:r>
        <w:r w:rsidR="0023091E">
          <w:rPr>
            <w:noProof/>
            <w:webHidden/>
          </w:rPr>
          <w:instrText xml:space="preserve"> PAGEREF _Toc29392723 \h </w:instrText>
        </w:r>
        <w:r w:rsidR="0023091E">
          <w:rPr>
            <w:noProof/>
            <w:webHidden/>
          </w:rPr>
        </w:r>
        <w:r w:rsidR="0023091E">
          <w:rPr>
            <w:noProof/>
            <w:webHidden/>
          </w:rPr>
          <w:fldChar w:fldCharType="separate"/>
        </w:r>
        <w:r w:rsidR="0023091E">
          <w:rPr>
            <w:noProof/>
            <w:webHidden/>
          </w:rPr>
          <w:t>24</w:t>
        </w:r>
        <w:r w:rsidR="0023091E">
          <w:rPr>
            <w:noProof/>
            <w:webHidden/>
          </w:rPr>
          <w:fldChar w:fldCharType="end"/>
        </w:r>
      </w:hyperlink>
    </w:p>
    <w:p w14:paraId="3BDC5BD4" w14:textId="18BBE3C2" w:rsidR="0023091E" w:rsidRDefault="00854B2C">
      <w:pPr>
        <w:pStyle w:val="Turinys2"/>
        <w:rPr>
          <w:rFonts w:eastAsiaTheme="minorEastAsia" w:cstheme="minorBidi"/>
          <w:i w:val="0"/>
          <w:noProof/>
          <w:szCs w:val="22"/>
          <w:lang w:val="en-US" w:eastAsia="en-US"/>
        </w:rPr>
      </w:pPr>
      <w:hyperlink w:anchor="_Toc29392724" w:history="1">
        <w:r w:rsidR="0023091E" w:rsidRPr="00390D16">
          <w:rPr>
            <w:rStyle w:val="Hipersaitas"/>
            <w:rFonts w:ascii="Calibri" w:hAnsi="Calibri"/>
            <w:noProof/>
          </w:rPr>
          <w:t>Dėl teismo sudėties keitimo tvarkos</w:t>
        </w:r>
        <w:r w:rsidR="0023091E">
          <w:rPr>
            <w:noProof/>
            <w:webHidden/>
          </w:rPr>
          <w:tab/>
        </w:r>
        <w:r w:rsidR="0023091E">
          <w:rPr>
            <w:noProof/>
            <w:webHidden/>
          </w:rPr>
          <w:fldChar w:fldCharType="begin"/>
        </w:r>
        <w:r w:rsidR="0023091E">
          <w:rPr>
            <w:noProof/>
            <w:webHidden/>
          </w:rPr>
          <w:instrText xml:space="preserve"> PAGEREF _Toc29392724 \h </w:instrText>
        </w:r>
        <w:r w:rsidR="0023091E">
          <w:rPr>
            <w:noProof/>
            <w:webHidden/>
          </w:rPr>
        </w:r>
        <w:r w:rsidR="0023091E">
          <w:rPr>
            <w:noProof/>
            <w:webHidden/>
          </w:rPr>
          <w:fldChar w:fldCharType="separate"/>
        </w:r>
        <w:r w:rsidR="0023091E">
          <w:rPr>
            <w:noProof/>
            <w:webHidden/>
          </w:rPr>
          <w:t>24</w:t>
        </w:r>
        <w:r w:rsidR="0023091E">
          <w:rPr>
            <w:noProof/>
            <w:webHidden/>
          </w:rPr>
          <w:fldChar w:fldCharType="end"/>
        </w:r>
      </w:hyperlink>
    </w:p>
    <w:p w14:paraId="0FBBAF6E" w14:textId="5769F958" w:rsidR="0023091E" w:rsidRDefault="00854B2C">
      <w:pPr>
        <w:pStyle w:val="Turinys1"/>
        <w:rPr>
          <w:rFonts w:eastAsiaTheme="minorEastAsia" w:cstheme="minorBidi"/>
          <w:b w:val="0"/>
          <w:bCs w:val="0"/>
          <w:caps w:val="0"/>
          <w:noProof/>
          <w:szCs w:val="22"/>
          <w:lang w:val="en-US" w:eastAsia="en-US"/>
        </w:rPr>
      </w:pPr>
      <w:hyperlink w:anchor="_Toc29392725" w:history="1">
        <w:r w:rsidR="0023091E" w:rsidRPr="00390D16">
          <w:rPr>
            <w:rStyle w:val="Hipersaitas"/>
            <w:rFonts w:cstheme="minorHAnsi"/>
            <w:noProof/>
          </w:rPr>
          <w:t>60. Proceso atnaujinimas</w:t>
        </w:r>
        <w:r w:rsidR="0023091E">
          <w:rPr>
            <w:noProof/>
            <w:webHidden/>
          </w:rPr>
          <w:tab/>
        </w:r>
        <w:r w:rsidR="0023091E">
          <w:rPr>
            <w:noProof/>
            <w:webHidden/>
          </w:rPr>
          <w:fldChar w:fldCharType="begin"/>
        </w:r>
        <w:r w:rsidR="0023091E">
          <w:rPr>
            <w:noProof/>
            <w:webHidden/>
          </w:rPr>
          <w:instrText xml:space="preserve"> PAGEREF _Toc29392725 \h </w:instrText>
        </w:r>
        <w:r w:rsidR="0023091E">
          <w:rPr>
            <w:noProof/>
            <w:webHidden/>
          </w:rPr>
        </w:r>
        <w:r w:rsidR="0023091E">
          <w:rPr>
            <w:noProof/>
            <w:webHidden/>
          </w:rPr>
          <w:fldChar w:fldCharType="separate"/>
        </w:r>
        <w:r w:rsidR="0023091E">
          <w:rPr>
            <w:noProof/>
            <w:webHidden/>
          </w:rPr>
          <w:t>25</w:t>
        </w:r>
        <w:r w:rsidR="0023091E">
          <w:rPr>
            <w:noProof/>
            <w:webHidden/>
          </w:rPr>
          <w:fldChar w:fldCharType="end"/>
        </w:r>
      </w:hyperlink>
    </w:p>
    <w:p w14:paraId="2E45D984" w14:textId="1CC2B6C3" w:rsidR="0023091E" w:rsidRDefault="00854B2C">
      <w:pPr>
        <w:pStyle w:val="Turinys2"/>
        <w:rPr>
          <w:rFonts w:eastAsiaTheme="minorEastAsia" w:cstheme="minorBidi"/>
          <w:i w:val="0"/>
          <w:noProof/>
          <w:szCs w:val="22"/>
          <w:lang w:val="en-US" w:eastAsia="en-US"/>
        </w:rPr>
      </w:pPr>
      <w:hyperlink w:anchor="_Toc29392726" w:history="1">
        <w:r w:rsidR="0023091E" w:rsidRPr="00390D16">
          <w:rPr>
            <w:rStyle w:val="Hipersaitas"/>
            <w:noProof/>
          </w:rPr>
          <w:t>Dėl proceso atnaujinimo instituto nuostatų netaikymo LVAT nutarčiai, kuria pirmosios instancijos teismo nutartis laikyti skundą nepaduotu nepašalinus skundo trūkumų palikta nepakeista</w:t>
        </w:r>
        <w:r w:rsidR="0023091E">
          <w:rPr>
            <w:noProof/>
            <w:webHidden/>
          </w:rPr>
          <w:tab/>
        </w:r>
        <w:r w:rsidR="0023091E">
          <w:rPr>
            <w:noProof/>
            <w:webHidden/>
          </w:rPr>
          <w:fldChar w:fldCharType="begin"/>
        </w:r>
        <w:r w:rsidR="0023091E">
          <w:rPr>
            <w:noProof/>
            <w:webHidden/>
          </w:rPr>
          <w:instrText xml:space="preserve"> PAGEREF _Toc29392726 \h </w:instrText>
        </w:r>
        <w:r w:rsidR="0023091E">
          <w:rPr>
            <w:noProof/>
            <w:webHidden/>
          </w:rPr>
        </w:r>
        <w:r w:rsidR="0023091E">
          <w:rPr>
            <w:noProof/>
            <w:webHidden/>
          </w:rPr>
          <w:fldChar w:fldCharType="separate"/>
        </w:r>
        <w:r w:rsidR="0023091E">
          <w:rPr>
            <w:noProof/>
            <w:webHidden/>
          </w:rPr>
          <w:t>25</w:t>
        </w:r>
        <w:r w:rsidR="0023091E">
          <w:rPr>
            <w:noProof/>
            <w:webHidden/>
          </w:rPr>
          <w:fldChar w:fldCharType="end"/>
        </w:r>
      </w:hyperlink>
    </w:p>
    <w:p w14:paraId="19CBDCDB" w14:textId="48B66C87" w:rsidR="00520245" w:rsidRPr="007D3F98" w:rsidRDefault="00A364C6" w:rsidP="00496E0E">
      <w:pPr>
        <w:spacing w:before="240" w:after="240"/>
        <w:jc w:val="both"/>
        <w:rPr>
          <w:rFonts w:asciiTheme="minorHAnsi" w:hAnsiTheme="minorHAnsi" w:cstheme="minorHAnsi"/>
          <w:sz w:val="22"/>
          <w:szCs w:val="22"/>
        </w:rPr>
      </w:pPr>
      <w:r w:rsidRPr="007D3F98">
        <w:rPr>
          <w:rFonts w:asciiTheme="minorHAnsi" w:hAnsiTheme="minorHAnsi" w:cstheme="minorHAnsi"/>
          <w:sz w:val="22"/>
          <w:szCs w:val="22"/>
        </w:rPr>
        <w:fldChar w:fldCharType="end"/>
      </w:r>
      <w:bookmarkEnd w:id="6"/>
    </w:p>
    <w:bookmarkEnd w:id="7"/>
    <w:p w14:paraId="11BC93FC" w14:textId="185262B1" w:rsidR="00293CF6" w:rsidRPr="007D3F98" w:rsidRDefault="00293CF6" w:rsidP="00496E0E">
      <w:pPr>
        <w:spacing w:before="240" w:after="240"/>
        <w:jc w:val="both"/>
        <w:rPr>
          <w:rFonts w:asciiTheme="minorHAnsi" w:hAnsiTheme="minorHAnsi" w:cstheme="minorHAnsi"/>
          <w:sz w:val="22"/>
          <w:szCs w:val="22"/>
        </w:rPr>
      </w:pPr>
      <w:r w:rsidRPr="007D3F98">
        <w:rPr>
          <w:rFonts w:asciiTheme="minorHAnsi" w:hAnsiTheme="minorHAnsi" w:cstheme="minorHAnsi"/>
          <w:sz w:val="22"/>
          <w:szCs w:val="22"/>
        </w:rPr>
        <w:t xml:space="preserve">Šioje apžvalgoje vartojami </w:t>
      </w:r>
      <w:r w:rsidRPr="007D3F98">
        <w:rPr>
          <w:rFonts w:asciiTheme="minorHAnsi" w:hAnsiTheme="minorHAnsi" w:cstheme="minorHAnsi"/>
          <w:b/>
          <w:sz w:val="22"/>
          <w:szCs w:val="22"/>
        </w:rPr>
        <w:t>sutrumpinimai</w:t>
      </w:r>
      <w:r w:rsidRPr="007D3F98">
        <w:rPr>
          <w:rFonts w:asciiTheme="minorHAnsi" w:hAnsiTheme="minorHAnsi" w:cstheme="minorHAnsi"/>
          <w:sz w:val="22"/>
          <w:szCs w:val="22"/>
        </w:rPr>
        <w:t>:</w:t>
      </w:r>
    </w:p>
    <w:p w14:paraId="7AF347C7" w14:textId="77777777" w:rsidR="002F1CF6" w:rsidRPr="007D3F98" w:rsidRDefault="002F1CF6" w:rsidP="00496E0E">
      <w:pPr>
        <w:jc w:val="both"/>
        <w:rPr>
          <w:rFonts w:asciiTheme="minorHAnsi" w:hAnsiTheme="minorHAnsi" w:cstheme="minorHAnsi"/>
          <w:sz w:val="22"/>
          <w:szCs w:val="22"/>
        </w:rPr>
      </w:pPr>
      <w:r w:rsidRPr="007D3F98">
        <w:rPr>
          <w:rFonts w:asciiTheme="minorHAnsi" w:hAnsiTheme="minorHAnsi" w:cstheme="minorHAnsi"/>
          <w:sz w:val="22"/>
          <w:szCs w:val="22"/>
        </w:rPr>
        <w:t xml:space="preserve">Lietuvos vyriausiasis administracinis teismas – </w:t>
      </w:r>
      <w:r w:rsidRPr="007D3F98">
        <w:rPr>
          <w:rFonts w:asciiTheme="minorHAnsi" w:hAnsiTheme="minorHAnsi" w:cstheme="minorHAnsi"/>
          <w:b/>
          <w:sz w:val="22"/>
          <w:szCs w:val="22"/>
        </w:rPr>
        <w:t>LVAT</w:t>
      </w:r>
    </w:p>
    <w:p w14:paraId="356C2674" w14:textId="77777777" w:rsidR="002F1CF6" w:rsidRPr="007D3F98" w:rsidRDefault="002F1CF6" w:rsidP="00496E0E">
      <w:pPr>
        <w:jc w:val="both"/>
        <w:rPr>
          <w:rFonts w:asciiTheme="minorHAnsi" w:hAnsiTheme="minorHAnsi" w:cstheme="minorHAnsi"/>
          <w:sz w:val="22"/>
          <w:szCs w:val="22"/>
        </w:rPr>
      </w:pPr>
      <w:r w:rsidRPr="007D3F98">
        <w:rPr>
          <w:rFonts w:asciiTheme="minorHAnsi" w:hAnsiTheme="minorHAnsi" w:cstheme="minorHAnsi"/>
          <w:sz w:val="22"/>
          <w:szCs w:val="22"/>
        </w:rPr>
        <w:t xml:space="preserve">Lietuvos Respublikos administracinių bylų teisenos įstatymas – </w:t>
      </w:r>
      <w:r w:rsidRPr="007D3F98">
        <w:rPr>
          <w:rFonts w:asciiTheme="minorHAnsi" w:hAnsiTheme="minorHAnsi" w:cstheme="minorHAnsi"/>
          <w:b/>
          <w:sz w:val="22"/>
          <w:szCs w:val="22"/>
        </w:rPr>
        <w:t>ABTĮ</w:t>
      </w:r>
      <w:r w:rsidRPr="007D3F98">
        <w:rPr>
          <w:rFonts w:asciiTheme="minorHAnsi" w:hAnsiTheme="minorHAnsi" w:cstheme="minorHAnsi"/>
          <w:sz w:val="22"/>
          <w:szCs w:val="22"/>
        </w:rPr>
        <w:t xml:space="preserve"> </w:t>
      </w:r>
    </w:p>
    <w:p w14:paraId="3E324524" w14:textId="6C1FEE53" w:rsidR="00793668" w:rsidRPr="007D3F98" w:rsidRDefault="00793668" w:rsidP="00496E0E">
      <w:pPr>
        <w:jc w:val="both"/>
        <w:rPr>
          <w:rFonts w:asciiTheme="minorHAnsi" w:hAnsiTheme="minorHAnsi" w:cstheme="minorHAnsi"/>
          <w:b/>
          <w:sz w:val="22"/>
          <w:szCs w:val="22"/>
        </w:rPr>
      </w:pPr>
      <w:r w:rsidRPr="007D3F98">
        <w:rPr>
          <w:rFonts w:asciiTheme="minorHAnsi" w:hAnsiTheme="minorHAnsi" w:cstheme="minorHAnsi"/>
          <w:bCs/>
          <w:sz w:val="22"/>
          <w:szCs w:val="22"/>
        </w:rPr>
        <w:t xml:space="preserve">Lietuvos Respublikos </w:t>
      </w:r>
      <w:r w:rsidR="00E279A9" w:rsidRPr="007D3F98">
        <w:rPr>
          <w:rFonts w:asciiTheme="minorHAnsi" w:hAnsiTheme="minorHAnsi" w:cstheme="minorHAnsi"/>
          <w:bCs/>
          <w:sz w:val="22"/>
          <w:szCs w:val="22"/>
        </w:rPr>
        <w:t>baudžiamojo proceso</w:t>
      </w:r>
      <w:r w:rsidRPr="007D3F98">
        <w:rPr>
          <w:rFonts w:asciiTheme="minorHAnsi" w:hAnsiTheme="minorHAnsi" w:cstheme="minorHAnsi"/>
          <w:bCs/>
          <w:sz w:val="22"/>
          <w:szCs w:val="22"/>
        </w:rPr>
        <w:t xml:space="preserve"> kodeksas –</w:t>
      </w:r>
      <w:r w:rsidRPr="007D3F98">
        <w:rPr>
          <w:rFonts w:asciiTheme="minorHAnsi" w:hAnsiTheme="minorHAnsi" w:cstheme="minorHAnsi"/>
          <w:b/>
          <w:sz w:val="22"/>
          <w:szCs w:val="22"/>
        </w:rPr>
        <w:t xml:space="preserve"> </w:t>
      </w:r>
      <w:r w:rsidR="00E279A9" w:rsidRPr="007D3F98">
        <w:rPr>
          <w:rFonts w:asciiTheme="minorHAnsi" w:hAnsiTheme="minorHAnsi" w:cstheme="minorHAnsi"/>
          <w:b/>
          <w:sz w:val="22"/>
          <w:szCs w:val="22"/>
        </w:rPr>
        <w:t>BPK</w:t>
      </w:r>
    </w:p>
    <w:p w14:paraId="21DF10F0" w14:textId="4C48B1DF" w:rsidR="000626F5" w:rsidRPr="007D3F98" w:rsidRDefault="000626F5" w:rsidP="000626F5">
      <w:pPr>
        <w:jc w:val="both"/>
        <w:rPr>
          <w:rFonts w:asciiTheme="minorHAnsi" w:hAnsiTheme="minorHAnsi" w:cstheme="minorHAnsi"/>
          <w:b/>
          <w:sz w:val="22"/>
          <w:szCs w:val="22"/>
        </w:rPr>
      </w:pPr>
      <w:r w:rsidRPr="007D3F98">
        <w:rPr>
          <w:rFonts w:asciiTheme="minorHAnsi" w:hAnsiTheme="minorHAnsi" w:cstheme="minorHAnsi"/>
          <w:bCs/>
          <w:sz w:val="22"/>
          <w:szCs w:val="22"/>
        </w:rPr>
        <w:t>Lietuvos Respublikos baudžiamasis kodeksas –</w:t>
      </w:r>
      <w:r w:rsidRPr="007D3F98">
        <w:rPr>
          <w:rFonts w:asciiTheme="minorHAnsi" w:hAnsiTheme="minorHAnsi" w:cstheme="minorHAnsi"/>
          <w:b/>
          <w:sz w:val="22"/>
          <w:szCs w:val="22"/>
        </w:rPr>
        <w:t xml:space="preserve"> BK</w:t>
      </w:r>
    </w:p>
    <w:p w14:paraId="3CBFD35A" w14:textId="77777777" w:rsidR="002F1CF6" w:rsidRPr="007D3F98" w:rsidRDefault="002F1CF6" w:rsidP="00496E0E">
      <w:pPr>
        <w:jc w:val="both"/>
        <w:rPr>
          <w:rFonts w:asciiTheme="minorHAnsi" w:hAnsiTheme="minorHAnsi" w:cstheme="minorHAnsi"/>
          <w:sz w:val="22"/>
          <w:szCs w:val="22"/>
        </w:rPr>
      </w:pPr>
      <w:r w:rsidRPr="007D3F98">
        <w:rPr>
          <w:rFonts w:asciiTheme="minorHAnsi" w:hAnsiTheme="minorHAnsi" w:cstheme="minorHAnsi"/>
          <w:sz w:val="22"/>
          <w:szCs w:val="22"/>
        </w:rPr>
        <w:t xml:space="preserve">Lietuvos Respublikos civilinis kodeksas – </w:t>
      </w:r>
      <w:r w:rsidRPr="007D3F98">
        <w:rPr>
          <w:rFonts w:asciiTheme="minorHAnsi" w:hAnsiTheme="minorHAnsi" w:cstheme="minorHAnsi"/>
          <w:b/>
          <w:sz w:val="22"/>
          <w:szCs w:val="22"/>
        </w:rPr>
        <w:t>CK</w:t>
      </w:r>
      <w:r w:rsidRPr="007D3F98">
        <w:rPr>
          <w:rFonts w:asciiTheme="minorHAnsi" w:hAnsiTheme="minorHAnsi" w:cstheme="minorHAnsi"/>
          <w:sz w:val="22"/>
          <w:szCs w:val="22"/>
        </w:rPr>
        <w:t xml:space="preserve"> </w:t>
      </w:r>
    </w:p>
    <w:p w14:paraId="1BDCA2F0" w14:textId="7A638C61" w:rsidR="000626F5" w:rsidRPr="007D3F98" w:rsidRDefault="000626F5" w:rsidP="00496E0E">
      <w:pPr>
        <w:jc w:val="both"/>
        <w:rPr>
          <w:rFonts w:asciiTheme="minorHAnsi" w:hAnsiTheme="minorHAnsi" w:cstheme="minorHAnsi"/>
          <w:b/>
          <w:sz w:val="22"/>
          <w:szCs w:val="22"/>
        </w:rPr>
      </w:pPr>
      <w:r w:rsidRPr="007D3F98">
        <w:rPr>
          <w:rFonts w:asciiTheme="minorHAnsi" w:hAnsiTheme="minorHAnsi" w:cstheme="minorHAnsi"/>
          <w:sz w:val="22"/>
          <w:szCs w:val="22"/>
        </w:rPr>
        <w:t>Pridėtinės vertės mokestis –</w:t>
      </w:r>
      <w:r w:rsidRPr="007D3F98">
        <w:rPr>
          <w:rFonts w:asciiTheme="minorHAnsi" w:hAnsiTheme="minorHAnsi" w:cstheme="minorHAnsi"/>
          <w:b/>
          <w:sz w:val="22"/>
          <w:szCs w:val="22"/>
        </w:rPr>
        <w:t xml:space="preserve"> PVM</w:t>
      </w:r>
    </w:p>
    <w:p w14:paraId="1F204854" w14:textId="77777777" w:rsidR="002F1CF6" w:rsidRPr="007D3F98" w:rsidRDefault="002F1CF6" w:rsidP="00496E0E">
      <w:pPr>
        <w:jc w:val="both"/>
        <w:rPr>
          <w:rFonts w:asciiTheme="minorHAnsi" w:hAnsiTheme="minorHAnsi" w:cstheme="minorHAnsi"/>
          <w:b/>
          <w:sz w:val="22"/>
          <w:szCs w:val="22"/>
        </w:rPr>
      </w:pPr>
      <w:r w:rsidRPr="007D3F98">
        <w:rPr>
          <w:rFonts w:asciiTheme="minorHAnsi" w:hAnsiTheme="minorHAnsi" w:cstheme="minorHAnsi"/>
          <w:sz w:val="22"/>
          <w:szCs w:val="22"/>
        </w:rPr>
        <w:t>Europos Sąjungos Teisingumo Teismas –</w:t>
      </w:r>
      <w:r w:rsidRPr="007D3F98">
        <w:rPr>
          <w:rFonts w:asciiTheme="minorHAnsi" w:hAnsiTheme="minorHAnsi" w:cstheme="minorHAnsi"/>
          <w:b/>
          <w:sz w:val="22"/>
          <w:szCs w:val="22"/>
        </w:rPr>
        <w:t xml:space="preserve"> ESTT </w:t>
      </w:r>
    </w:p>
    <w:p w14:paraId="34837E81" w14:textId="473961E7" w:rsidR="002F1CF6" w:rsidRPr="007D3F98" w:rsidRDefault="002F1CF6" w:rsidP="00496E0E">
      <w:pPr>
        <w:jc w:val="both"/>
        <w:rPr>
          <w:rFonts w:asciiTheme="minorHAnsi" w:hAnsiTheme="minorHAnsi" w:cstheme="minorHAnsi"/>
          <w:sz w:val="22"/>
          <w:szCs w:val="22"/>
        </w:rPr>
      </w:pPr>
      <w:r w:rsidRPr="007D3F98">
        <w:rPr>
          <w:rFonts w:asciiTheme="minorHAnsi" w:hAnsiTheme="minorHAnsi" w:cstheme="minorHAnsi"/>
          <w:sz w:val="22"/>
          <w:szCs w:val="22"/>
        </w:rPr>
        <w:t xml:space="preserve">Europos Žmogaus Teisių Teismas – </w:t>
      </w:r>
      <w:r w:rsidRPr="007D3F98">
        <w:rPr>
          <w:rFonts w:asciiTheme="minorHAnsi" w:hAnsiTheme="minorHAnsi" w:cstheme="minorHAnsi"/>
          <w:b/>
          <w:sz w:val="22"/>
          <w:szCs w:val="22"/>
        </w:rPr>
        <w:t>EŽTT</w:t>
      </w:r>
      <w:r w:rsidRPr="007D3F98">
        <w:rPr>
          <w:rFonts w:asciiTheme="minorHAnsi" w:hAnsiTheme="minorHAnsi" w:cstheme="minorHAnsi"/>
          <w:sz w:val="22"/>
          <w:szCs w:val="22"/>
        </w:rPr>
        <w:t xml:space="preserve"> </w:t>
      </w:r>
    </w:p>
    <w:p w14:paraId="7F6DAACA" w14:textId="4EE497A9" w:rsidR="00445177" w:rsidRPr="007D3F98" w:rsidRDefault="00445177" w:rsidP="00496E0E">
      <w:pPr>
        <w:jc w:val="both"/>
        <w:rPr>
          <w:rFonts w:asciiTheme="minorHAnsi" w:hAnsiTheme="minorHAnsi" w:cstheme="minorHAnsi"/>
          <w:sz w:val="22"/>
          <w:szCs w:val="22"/>
        </w:rPr>
      </w:pPr>
      <w:r w:rsidRPr="007D3F98">
        <w:rPr>
          <w:rFonts w:asciiTheme="minorHAnsi" w:hAnsiTheme="minorHAnsi" w:cstheme="minorHAnsi"/>
          <w:sz w:val="22"/>
          <w:szCs w:val="22"/>
        </w:rPr>
        <w:t xml:space="preserve">Žmogaus teisių ir pagrindinių laisvių apsaugos konvencija – </w:t>
      </w:r>
      <w:r w:rsidR="00B42F74" w:rsidRPr="007D3F98">
        <w:rPr>
          <w:rFonts w:asciiTheme="minorHAnsi" w:hAnsiTheme="minorHAnsi" w:cstheme="minorHAnsi"/>
          <w:b/>
          <w:sz w:val="22"/>
          <w:szCs w:val="22"/>
        </w:rPr>
        <w:t>EŽTK</w:t>
      </w:r>
      <w:r w:rsidRPr="007D3F98">
        <w:rPr>
          <w:rFonts w:asciiTheme="minorHAnsi" w:hAnsiTheme="minorHAnsi" w:cstheme="minorHAnsi"/>
          <w:sz w:val="22"/>
          <w:szCs w:val="22"/>
        </w:rPr>
        <w:t xml:space="preserve"> </w:t>
      </w:r>
    </w:p>
    <w:p w14:paraId="2E2354A8" w14:textId="1C738DDF" w:rsidR="008D58A3" w:rsidRPr="007D3F98" w:rsidRDefault="008D58A3" w:rsidP="00496E0E">
      <w:pPr>
        <w:jc w:val="both"/>
        <w:rPr>
          <w:rFonts w:asciiTheme="minorHAnsi" w:hAnsiTheme="minorHAnsi" w:cstheme="minorHAnsi"/>
          <w:sz w:val="22"/>
          <w:szCs w:val="22"/>
        </w:rPr>
      </w:pPr>
      <w:r w:rsidRPr="007D3F98">
        <w:rPr>
          <w:rFonts w:asciiTheme="minorHAnsi" w:hAnsiTheme="minorHAnsi" w:cstheme="minorHAnsi"/>
          <w:sz w:val="22"/>
          <w:szCs w:val="22"/>
        </w:rPr>
        <w:t xml:space="preserve">Akcinė bendrovė – </w:t>
      </w:r>
      <w:r w:rsidRPr="007D3F98">
        <w:rPr>
          <w:rFonts w:asciiTheme="minorHAnsi" w:hAnsiTheme="minorHAnsi" w:cstheme="minorHAnsi"/>
          <w:b/>
          <w:sz w:val="22"/>
          <w:szCs w:val="22"/>
        </w:rPr>
        <w:t>AB</w:t>
      </w:r>
    </w:p>
    <w:p w14:paraId="73F013F5" w14:textId="77777777" w:rsidR="002F1CF6" w:rsidRPr="007D3F98" w:rsidRDefault="002F1CF6" w:rsidP="00496E0E">
      <w:pPr>
        <w:jc w:val="both"/>
        <w:rPr>
          <w:rFonts w:asciiTheme="minorHAnsi" w:hAnsiTheme="minorHAnsi" w:cstheme="minorHAnsi"/>
          <w:b/>
          <w:sz w:val="22"/>
          <w:szCs w:val="22"/>
        </w:rPr>
      </w:pPr>
      <w:r w:rsidRPr="007D3F98">
        <w:rPr>
          <w:rFonts w:asciiTheme="minorHAnsi" w:hAnsiTheme="minorHAnsi" w:cstheme="minorHAnsi"/>
          <w:sz w:val="22"/>
          <w:szCs w:val="22"/>
        </w:rPr>
        <w:t xml:space="preserve">Uždaroji akcinė bendrovė – </w:t>
      </w:r>
      <w:r w:rsidRPr="007D3F98">
        <w:rPr>
          <w:rFonts w:asciiTheme="minorHAnsi" w:hAnsiTheme="minorHAnsi" w:cstheme="minorHAnsi"/>
          <w:b/>
          <w:sz w:val="22"/>
          <w:szCs w:val="22"/>
        </w:rPr>
        <w:t>UAB</w:t>
      </w:r>
    </w:p>
    <w:p w14:paraId="3D7900C9" w14:textId="662005BF" w:rsidR="00175455" w:rsidRPr="007D3F98" w:rsidRDefault="00175455" w:rsidP="00496E0E">
      <w:pPr>
        <w:jc w:val="both"/>
        <w:rPr>
          <w:rFonts w:asciiTheme="minorHAnsi" w:hAnsiTheme="minorHAnsi" w:cstheme="minorHAnsi"/>
          <w:b/>
          <w:sz w:val="22"/>
          <w:szCs w:val="22"/>
        </w:rPr>
      </w:pPr>
      <w:r w:rsidRPr="007D3F98">
        <w:rPr>
          <w:rFonts w:asciiTheme="minorHAnsi" w:hAnsiTheme="minorHAnsi" w:cstheme="minorHAnsi"/>
          <w:sz w:val="22"/>
          <w:szCs w:val="22"/>
        </w:rPr>
        <w:t>Viešoji įstaiga –</w:t>
      </w:r>
      <w:r w:rsidRPr="007D3F98">
        <w:rPr>
          <w:rFonts w:asciiTheme="minorHAnsi" w:hAnsiTheme="minorHAnsi" w:cstheme="minorHAnsi"/>
          <w:b/>
          <w:sz w:val="22"/>
          <w:szCs w:val="22"/>
        </w:rPr>
        <w:t xml:space="preserve"> VšĮ</w:t>
      </w:r>
    </w:p>
    <w:p w14:paraId="64F5C6EE" w14:textId="43DD8110" w:rsidR="00B61887" w:rsidRPr="007D3F98" w:rsidRDefault="00B61887" w:rsidP="00496E0E">
      <w:pPr>
        <w:jc w:val="both"/>
        <w:rPr>
          <w:rFonts w:asciiTheme="minorHAnsi" w:hAnsiTheme="minorHAnsi" w:cstheme="minorHAnsi"/>
          <w:b/>
          <w:sz w:val="22"/>
          <w:szCs w:val="22"/>
        </w:rPr>
      </w:pPr>
      <w:r w:rsidRPr="007D3F98">
        <w:rPr>
          <w:rFonts w:asciiTheme="minorHAnsi" w:hAnsiTheme="minorHAnsi" w:cstheme="minorHAnsi"/>
          <w:sz w:val="22"/>
          <w:szCs w:val="22"/>
        </w:rPr>
        <w:t>Europos Sąjunga –</w:t>
      </w:r>
      <w:r w:rsidRPr="007D3F98">
        <w:rPr>
          <w:rFonts w:asciiTheme="minorHAnsi" w:hAnsiTheme="minorHAnsi" w:cstheme="minorHAnsi"/>
          <w:b/>
          <w:sz w:val="22"/>
          <w:szCs w:val="22"/>
        </w:rPr>
        <w:t xml:space="preserve"> ES</w:t>
      </w:r>
    </w:p>
    <w:p w14:paraId="1DB03E38" w14:textId="373AB829" w:rsidR="006D2858" w:rsidRPr="007D3F98" w:rsidRDefault="006D2858" w:rsidP="00496E0E">
      <w:pPr>
        <w:spacing w:before="240" w:after="240"/>
        <w:jc w:val="both"/>
        <w:rPr>
          <w:rFonts w:asciiTheme="minorHAnsi" w:hAnsiTheme="minorHAnsi" w:cstheme="minorHAnsi"/>
          <w:b/>
          <w:sz w:val="22"/>
          <w:szCs w:val="22"/>
        </w:rPr>
      </w:pPr>
    </w:p>
    <w:p w14:paraId="459F4DD8" w14:textId="6457F976" w:rsidR="004B5E60" w:rsidRPr="007D3F98" w:rsidRDefault="00E227FE" w:rsidP="00496E0E">
      <w:pPr>
        <w:spacing w:before="240" w:after="240"/>
        <w:jc w:val="both"/>
        <w:rPr>
          <w:rFonts w:asciiTheme="minorHAnsi" w:hAnsiTheme="minorHAnsi" w:cstheme="minorHAnsi"/>
          <w:sz w:val="22"/>
          <w:szCs w:val="22"/>
        </w:rPr>
      </w:pPr>
      <w:r w:rsidRPr="007D3F98">
        <w:rPr>
          <w:rFonts w:asciiTheme="minorHAnsi" w:hAnsiTheme="minorHAnsi" w:cstheme="minorHAnsi"/>
          <w:b/>
          <w:sz w:val="22"/>
          <w:szCs w:val="22"/>
        </w:rPr>
        <w:t>P</w:t>
      </w:r>
      <w:r w:rsidR="003D4C15" w:rsidRPr="007D3F98">
        <w:rPr>
          <w:rFonts w:asciiTheme="minorHAnsi" w:hAnsiTheme="minorHAnsi" w:cstheme="minorHAnsi"/>
          <w:b/>
          <w:sz w:val="22"/>
          <w:szCs w:val="22"/>
        </w:rPr>
        <w:t>astaba.</w:t>
      </w:r>
      <w:r w:rsidR="003D4C15" w:rsidRPr="007D3F98">
        <w:rPr>
          <w:rFonts w:asciiTheme="minorHAnsi" w:hAnsiTheme="minorHAnsi" w:cstheme="minorHAnsi"/>
          <w:sz w:val="22"/>
          <w:szCs w:val="22"/>
        </w:rPr>
        <w:t xml:space="preserve"> Šioje apžvalgoje pateikiamos neoficialios </w:t>
      </w:r>
      <w:r w:rsidR="0028287C" w:rsidRPr="007D3F98">
        <w:rPr>
          <w:rFonts w:asciiTheme="minorHAnsi" w:hAnsiTheme="minorHAnsi" w:cstheme="minorHAnsi"/>
          <w:sz w:val="22"/>
          <w:szCs w:val="22"/>
        </w:rPr>
        <w:t>LVAT</w:t>
      </w:r>
      <w:r w:rsidR="003D4C15" w:rsidRPr="007D3F98">
        <w:rPr>
          <w:rFonts w:asciiTheme="minorHAnsi" w:hAnsiTheme="minorHAnsi" w:cstheme="minorHAnsi"/>
          <w:sz w:val="22"/>
          <w:szCs w:val="22"/>
        </w:rPr>
        <w:t xml:space="preserve"> procesinių sprendimų santraukos, kurios LVAT nesaisto. Šis dokumentas yra skirtas tik info</w:t>
      </w:r>
      <w:r w:rsidR="009E6C8D" w:rsidRPr="007D3F98">
        <w:rPr>
          <w:rFonts w:asciiTheme="minorHAnsi" w:hAnsiTheme="minorHAnsi" w:cstheme="minorHAnsi"/>
          <w:sz w:val="22"/>
          <w:szCs w:val="22"/>
        </w:rPr>
        <w:t>rm</w:t>
      </w:r>
      <w:r w:rsidR="00780457">
        <w:rPr>
          <w:rFonts w:asciiTheme="minorHAnsi" w:hAnsiTheme="minorHAnsi" w:cstheme="minorHAnsi"/>
          <w:sz w:val="22"/>
          <w:szCs w:val="22"/>
        </w:rPr>
        <w:t>uoti</w:t>
      </w:r>
      <w:r w:rsidR="003D4C15" w:rsidRPr="007D3F98">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7D3F98">
        <w:rPr>
          <w:rFonts w:asciiTheme="minorHAnsi" w:hAnsiTheme="minorHAnsi" w:cstheme="minorHAnsi"/>
          <w:sz w:val="22"/>
          <w:szCs w:val="22"/>
        </w:rPr>
        <w:t>16</w:t>
      </w:r>
      <w:r w:rsidR="003D4C15" w:rsidRPr="007D3F98">
        <w:rPr>
          <w:rFonts w:asciiTheme="minorHAnsi" w:hAnsiTheme="minorHAnsi" w:cstheme="minorHAnsi"/>
          <w:sz w:val="22"/>
          <w:szCs w:val="22"/>
        </w:rPr>
        <w:t xml:space="preserve"> m. </w:t>
      </w:r>
      <w:r w:rsidR="0045102F" w:rsidRPr="007D3F98">
        <w:rPr>
          <w:rFonts w:asciiTheme="minorHAnsi" w:hAnsiTheme="minorHAnsi" w:cstheme="minorHAnsi"/>
          <w:sz w:val="22"/>
          <w:szCs w:val="22"/>
        </w:rPr>
        <w:t>rugsėjo 30</w:t>
      </w:r>
      <w:r w:rsidR="009E6C8D" w:rsidRPr="007D3F98">
        <w:rPr>
          <w:rFonts w:asciiTheme="minorHAnsi" w:hAnsiTheme="minorHAnsi" w:cstheme="minorHAnsi"/>
          <w:sz w:val="22"/>
          <w:szCs w:val="22"/>
        </w:rPr>
        <w:t> </w:t>
      </w:r>
      <w:r w:rsidR="00291483" w:rsidRPr="007D3F98">
        <w:rPr>
          <w:rFonts w:asciiTheme="minorHAnsi" w:hAnsiTheme="minorHAnsi" w:cstheme="minorHAnsi"/>
          <w:sz w:val="22"/>
          <w:szCs w:val="22"/>
        </w:rPr>
        <w:t>d. nutarimu Nr. </w:t>
      </w:r>
      <w:r w:rsidR="003D4C15" w:rsidRPr="007D3F98">
        <w:rPr>
          <w:rFonts w:asciiTheme="minorHAnsi" w:hAnsiTheme="minorHAnsi" w:cstheme="minorHAnsi"/>
          <w:sz w:val="22"/>
          <w:szCs w:val="22"/>
        </w:rPr>
        <w:t>13P-</w:t>
      </w:r>
      <w:r w:rsidR="0045102F" w:rsidRPr="007D3F98">
        <w:rPr>
          <w:rFonts w:asciiTheme="minorHAnsi" w:hAnsiTheme="minorHAnsi" w:cstheme="minorHAnsi"/>
          <w:sz w:val="22"/>
          <w:szCs w:val="22"/>
        </w:rPr>
        <w:t>102</w:t>
      </w:r>
      <w:r w:rsidR="003D4C15" w:rsidRPr="007D3F98">
        <w:rPr>
          <w:rFonts w:asciiTheme="minorHAnsi" w:hAnsiTheme="minorHAnsi" w:cstheme="minorHAnsi"/>
          <w:sz w:val="22"/>
          <w:szCs w:val="22"/>
        </w:rPr>
        <w:t>-(7.1.2) patvirtintu Teismų procesinių sprendimų administracinėse bylose kategorijų klasifikatoriumi</w:t>
      </w:r>
      <w:r w:rsidR="0038475E" w:rsidRPr="007D3F98">
        <w:rPr>
          <w:rFonts w:asciiTheme="minorHAnsi" w:hAnsiTheme="minorHAnsi" w:cstheme="minorHAnsi"/>
          <w:sz w:val="22"/>
          <w:szCs w:val="22"/>
        </w:rPr>
        <w:t xml:space="preserve"> (nuo 2019 m. vasario 1 d. galiojanti redakcija)</w:t>
      </w:r>
      <w:r w:rsidR="003D4C15" w:rsidRPr="007D3F98">
        <w:rPr>
          <w:rFonts w:asciiTheme="minorHAnsi" w:hAnsiTheme="minorHAnsi" w:cstheme="minorHAnsi"/>
          <w:sz w:val="22"/>
          <w:szCs w:val="22"/>
        </w:rPr>
        <w:t>.</w:t>
      </w:r>
      <w:bookmarkStart w:id="9" w:name="_Toc410389752"/>
      <w:bookmarkStart w:id="10" w:name="_Toc361146890"/>
      <w:bookmarkEnd w:id="8"/>
      <w:r w:rsidR="00CA65D3" w:rsidRPr="007D3F98">
        <w:rPr>
          <w:rFonts w:asciiTheme="minorHAnsi" w:hAnsiTheme="minorHAnsi" w:cstheme="minorHAnsi"/>
          <w:sz w:val="22"/>
          <w:szCs w:val="22"/>
        </w:rPr>
        <w:t xml:space="preserve"> </w:t>
      </w:r>
    </w:p>
    <w:p w14:paraId="6AAB4AE5" w14:textId="77777777" w:rsidR="0007050C" w:rsidRPr="007D3F98" w:rsidRDefault="0007050C" w:rsidP="00496E0E">
      <w:pPr>
        <w:spacing w:before="240" w:after="240"/>
        <w:jc w:val="both"/>
        <w:rPr>
          <w:rFonts w:asciiTheme="minorHAnsi" w:hAnsiTheme="minorHAnsi" w:cstheme="minorHAnsi"/>
          <w:sz w:val="22"/>
          <w:szCs w:val="22"/>
        </w:rPr>
      </w:pPr>
      <w:r w:rsidRPr="007D3F98">
        <w:rPr>
          <w:rFonts w:asciiTheme="minorHAnsi" w:hAnsiTheme="minorHAnsi" w:cstheme="minorHAnsi"/>
          <w:sz w:val="22"/>
          <w:szCs w:val="22"/>
        </w:rPr>
        <w:br w:type="page"/>
      </w:r>
    </w:p>
    <w:p w14:paraId="4865180B" w14:textId="77777777" w:rsidR="00A84D45" w:rsidRPr="007D3F98" w:rsidRDefault="00A84D45" w:rsidP="00496E0E">
      <w:pPr>
        <w:pStyle w:val="Apzvalgai1"/>
        <w:rPr>
          <w:rFonts w:asciiTheme="minorHAnsi" w:hAnsiTheme="minorHAnsi" w:cstheme="minorHAnsi"/>
        </w:rPr>
      </w:pPr>
      <w:bookmarkStart w:id="11" w:name="_Toc519600852"/>
      <w:bookmarkStart w:id="12" w:name="_Toc29392685"/>
      <w:r w:rsidRPr="007D3F98">
        <w:rPr>
          <w:rFonts w:asciiTheme="minorHAnsi" w:hAnsiTheme="minorHAnsi" w:cstheme="minorHAnsi"/>
        </w:rPr>
        <w:lastRenderedPageBreak/>
        <w:t>I. Administracinės bylos, kylančios iš ginčų dėl teisės viešojo administravimo srityje</w:t>
      </w:r>
      <w:bookmarkEnd w:id="11"/>
      <w:bookmarkEnd w:id="12"/>
    </w:p>
    <w:p w14:paraId="69584A91" w14:textId="7A41DEDF" w:rsidR="00D70C5F" w:rsidRPr="007D3F98" w:rsidRDefault="00D70C5F" w:rsidP="00496E0E">
      <w:pPr>
        <w:rPr>
          <w:rFonts w:asciiTheme="minorHAnsi" w:hAnsiTheme="minorHAnsi" w:cstheme="minorHAnsi"/>
          <w:b/>
          <w:bCs/>
          <w:sz w:val="22"/>
          <w:szCs w:val="22"/>
          <w:u w:val="single"/>
        </w:rPr>
      </w:pPr>
      <w:bookmarkStart w:id="13" w:name="_Toc462149990"/>
      <w:bookmarkStart w:id="14" w:name="_Toc462150004"/>
      <w:bookmarkStart w:id="15" w:name="_Toc462149971"/>
      <w:bookmarkStart w:id="16" w:name="_Toc462149972"/>
    </w:p>
    <w:p w14:paraId="4AC12EDA" w14:textId="67ED36C5" w:rsidR="002217CE" w:rsidRPr="007D3F98" w:rsidRDefault="002217CE" w:rsidP="00496E0E">
      <w:pPr>
        <w:pStyle w:val="Antrat1"/>
        <w:rPr>
          <w:rFonts w:asciiTheme="minorHAnsi" w:hAnsiTheme="minorHAnsi" w:cstheme="minorHAnsi"/>
        </w:rPr>
      </w:pPr>
      <w:bookmarkStart w:id="17" w:name="_Toc462149968"/>
      <w:bookmarkStart w:id="18" w:name="_Toc29392686"/>
      <w:r w:rsidRPr="007D3F98">
        <w:rPr>
          <w:rFonts w:asciiTheme="minorHAnsi" w:hAnsiTheme="minorHAnsi" w:cstheme="minorHAnsi"/>
        </w:rPr>
        <w:t>4. Norminių administracinių aktų teisėtumo patikra</w:t>
      </w:r>
      <w:bookmarkEnd w:id="17"/>
      <w:bookmarkEnd w:id="18"/>
    </w:p>
    <w:p w14:paraId="702F50C3" w14:textId="77777777" w:rsidR="002217CE" w:rsidRPr="007D3F98" w:rsidRDefault="002217CE" w:rsidP="00496E0E">
      <w:pPr>
        <w:ind w:firstLine="567"/>
        <w:rPr>
          <w:rFonts w:asciiTheme="minorHAnsi" w:hAnsiTheme="minorHAnsi" w:cstheme="minorHAnsi"/>
          <w:b/>
          <w:sz w:val="22"/>
          <w:szCs w:val="22"/>
          <w:u w:val="single"/>
        </w:rPr>
      </w:pPr>
      <w:r w:rsidRPr="007D3F98">
        <w:rPr>
          <w:rFonts w:asciiTheme="minorHAnsi" w:hAnsiTheme="minorHAnsi" w:cstheme="minorHAnsi"/>
          <w:b/>
          <w:sz w:val="22"/>
          <w:szCs w:val="22"/>
          <w:u w:val="single"/>
        </w:rPr>
        <w:t>4.1. Centrinių valstybinio administravimo subjektų norminių administracinių aktų teisėtumas</w:t>
      </w:r>
    </w:p>
    <w:p w14:paraId="623A346F" w14:textId="57A16DE8" w:rsidR="002217CE" w:rsidRPr="007D3F98" w:rsidRDefault="002217CE" w:rsidP="00496E0E">
      <w:pPr>
        <w:ind w:firstLine="567"/>
        <w:jc w:val="both"/>
        <w:rPr>
          <w:rFonts w:asciiTheme="minorHAnsi" w:hAnsiTheme="minorHAnsi" w:cstheme="minorHAnsi"/>
          <w:sz w:val="22"/>
          <w:szCs w:val="22"/>
        </w:rPr>
      </w:pPr>
    </w:p>
    <w:p w14:paraId="31C4D214" w14:textId="77777777" w:rsidR="00E30177" w:rsidRPr="007D3F98" w:rsidRDefault="00E30177" w:rsidP="00E30177">
      <w:pPr>
        <w:pStyle w:val="Antrat2"/>
        <w:rPr>
          <w:bCs w:val="0"/>
          <w:i w:val="0"/>
        </w:rPr>
      </w:pPr>
      <w:bookmarkStart w:id="19" w:name="_Toc29392687"/>
      <w:r w:rsidRPr="007D3F98">
        <w:t>Dėl Advokatų kvalifikacinio egzamino ir advokatų veiklos organizavimo egzamino laikymo ir apmokėjimo tvarkos aprašo nuostatų vertinimo</w:t>
      </w:r>
      <w:bookmarkEnd w:id="19"/>
    </w:p>
    <w:p w14:paraId="66BC1D42" w14:textId="77777777" w:rsidR="00E30177" w:rsidRPr="007D3F98" w:rsidRDefault="00E30177" w:rsidP="00E30177">
      <w:pPr>
        <w:rPr>
          <w:rFonts w:asciiTheme="minorHAnsi" w:hAnsiTheme="minorHAnsi" w:cstheme="minorHAnsi"/>
          <w:bCs/>
          <w:sz w:val="22"/>
          <w:szCs w:val="22"/>
        </w:rPr>
      </w:pPr>
    </w:p>
    <w:p w14:paraId="59BB5E91" w14:textId="2E6DE44F" w:rsidR="00E30177" w:rsidRPr="007D3F98" w:rsidRDefault="00E30177" w:rsidP="00E30177">
      <w:pPr>
        <w:ind w:firstLine="567"/>
        <w:jc w:val="both"/>
        <w:rPr>
          <w:rFonts w:asciiTheme="minorHAnsi" w:hAnsiTheme="minorHAnsi" w:cstheme="minorHAnsi"/>
          <w:bCs/>
          <w:iCs/>
          <w:sz w:val="22"/>
          <w:szCs w:val="22"/>
        </w:rPr>
      </w:pPr>
      <w:r w:rsidRPr="007D3F98">
        <w:rPr>
          <w:rFonts w:asciiTheme="minorHAnsi" w:hAnsiTheme="minorHAnsi" w:cstheme="minorHAnsi"/>
          <w:bCs/>
          <w:sz w:val="22"/>
          <w:szCs w:val="22"/>
        </w:rPr>
        <w:t xml:space="preserve">Apžvelgiamoje byloje buvo prašoma ištirti </w:t>
      </w:r>
      <w:r w:rsidRPr="007D3F98">
        <w:rPr>
          <w:rFonts w:asciiTheme="minorHAnsi" w:hAnsiTheme="minorHAnsi" w:cstheme="minorHAnsi"/>
          <w:sz w:val="22"/>
          <w:szCs w:val="22"/>
        </w:rPr>
        <w:t>Advokatų kvalifikacinio egzamino ir advokatų veiklos organizavimo egzamino laikymo ir apmokėjimo tvarkos aprašo, patvirtinto Lietuvos Respublikos teisingumo ministro 2005 m. lapkričio 28 d. įsakymu Nr. 1R-379 (2014 m. balandžio 30 d. įsakymo Nr. 1R-149 redakcija)</w:t>
      </w:r>
      <w:r w:rsidR="00175455" w:rsidRPr="007D3F98">
        <w:rPr>
          <w:rFonts w:asciiTheme="minorHAnsi" w:hAnsiTheme="minorHAnsi" w:cstheme="minorHAnsi"/>
          <w:sz w:val="22"/>
          <w:szCs w:val="22"/>
        </w:rPr>
        <w:t xml:space="preserve">, (toliau – </w:t>
      </w:r>
      <w:r w:rsidRPr="007D3F98">
        <w:rPr>
          <w:rFonts w:asciiTheme="minorHAnsi" w:hAnsiTheme="minorHAnsi" w:cstheme="minorHAnsi"/>
          <w:sz w:val="22"/>
          <w:szCs w:val="22"/>
        </w:rPr>
        <w:t xml:space="preserve">Aprašas) 30–33 punktų atitiktį </w:t>
      </w:r>
      <w:r w:rsidRPr="007D3F98">
        <w:rPr>
          <w:rFonts w:asciiTheme="minorHAnsi" w:hAnsiTheme="minorHAnsi" w:cstheme="minorHAnsi"/>
          <w:bCs/>
          <w:iCs/>
          <w:sz w:val="22"/>
          <w:szCs w:val="22"/>
        </w:rPr>
        <w:t>Advokatūros įstatymo 14 straipsnio 1 daliai bei iš konstitucinio teisinės valstybės principo kylantiems teisės aktų hierarchijos reikalavimams.</w:t>
      </w:r>
      <w:r w:rsidRPr="007D3F98">
        <w:rPr>
          <w:rFonts w:asciiTheme="minorHAnsi" w:hAnsiTheme="minorHAnsi" w:cstheme="minorHAnsi"/>
          <w:bCs/>
          <w:sz w:val="22"/>
          <w:szCs w:val="22"/>
        </w:rPr>
        <w:t xml:space="preserve"> </w:t>
      </w:r>
      <w:r w:rsidRPr="007D3F98">
        <w:rPr>
          <w:rFonts w:asciiTheme="minorHAnsi" w:hAnsiTheme="minorHAnsi" w:cstheme="minorHAnsi"/>
          <w:bCs/>
          <w:iCs/>
          <w:sz w:val="22"/>
          <w:szCs w:val="22"/>
        </w:rPr>
        <w:t xml:space="preserve">Aprašo 30–33 punktų nuostatų teisėtumu suabejota tuo aspektu, kiek jose teisingumo ministras </w:t>
      </w:r>
      <w:r w:rsidRPr="007D3F98">
        <w:rPr>
          <w:rFonts w:asciiTheme="minorHAnsi" w:hAnsiTheme="minorHAnsi" w:cstheme="minorHAnsi"/>
          <w:bCs/>
          <w:iCs/>
          <w:sz w:val="22"/>
          <w:szCs w:val="22"/>
          <w:lang w:bidi="lt-LT"/>
        </w:rPr>
        <w:t>įstatymo įgyvendinamajame teisės akte</w:t>
      </w:r>
      <w:r w:rsidRPr="007D3F98">
        <w:rPr>
          <w:rFonts w:asciiTheme="minorHAnsi" w:hAnsiTheme="minorHAnsi" w:cstheme="minorHAnsi"/>
          <w:bCs/>
          <w:iCs/>
          <w:sz w:val="22"/>
          <w:szCs w:val="22"/>
        </w:rPr>
        <w:t xml:space="preserve"> įtvirtino privalomą ikiteisminę ginčų dėl advokatų kvalifikacinio egzamino ir advokatų veiklos organizavimo egzamino vykdymo ar rezultatų nagrinėjimo tvarką.</w:t>
      </w:r>
    </w:p>
    <w:p w14:paraId="0427C89B" w14:textId="15BFFD79" w:rsidR="00E30177" w:rsidRPr="007D3F98" w:rsidRDefault="00E30177" w:rsidP="00E30177">
      <w:pPr>
        <w:ind w:firstLine="567"/>
        <w:jc w:val="both"/>
        <w:rPr>
          <w:rFonts w:asciiTheme="minorHAnsi" w:hAnsiTheme="minorHAnsi" w:cstheme="minorHAnsi"/>
          <w:color w:val="000000"/>
          <w:sz w:val="22"/>
          <w:szCs w:val="22"/>
          <w:lang w:bidi="lt-LT"/>
        </w:rPr>
      </w:pPr>
      <w:r w:rsidRPr="007D3F98">
        <w:rPr>
          <w:rFonts w:asciiTheme="minorHAnsi" w:hAnsiTheme="minorHAnsi" w:cstheme="minorHAnsi"/>
          <w:color w:val="000000"/>
          <w:sz w:val="22"/>
          <w:szCs w:val="22"/>
        </w:rPr>
        <w:t xml:space="preserve">Išplėstinė teisėjų kolegija pažymėjo, kad </w:t>
      </w:r>
      <w:r w:rsidRPr="007D3F98">
        <w:rPr>
          <w:rFonts w:asciiTheme="minorHAnsi" w:hAnsiTheme="minorHAnsi" w:cstheme="minorHAnsi"/>
          <w:color w:val="000000"/>
          <w:sz w:val="22"/>
          <w:szCs w:val="22"/>
          <w:lang w:bidi="lt-LT"/>
        </w:rPr>
        <w:t xml:space="preserve">teisingumo ministras ginčijamose Aprašo nuostatose įtvirtino neprivalomą ginčų nagrinėjimo ne teisme tvarką, o tai suponuoja asmens elgesio pasirinkimo laisvę. Šią išvadą išplėstinė teisėjų kolegija padarė remdamasi </w:t>
      </w:r>
      <w:r w:rsidR="00175455" w:rsidRPr="007D3F98">
        <w:rPr>
          <w:rFonts w:asciiTheme="minorHAnsi" w:hAnsiTheme="minorHAnsi" w:cstheme="minorHAnsi"/>
          <w:color w:val="000000"/>
          <w:sz w:val="22"/>
          <w:szCs w:val="22"/>
          <w:lang w:bidi="lt-LT"/>
        </w:rPr>
        <w:t>LVAT</w:t>
      </w:r>
      <w:r w:rsidRPr="007D3F98">
        <w:rPr>
          <w:rFonts w:asciiTheme="minorHAnsi" w:hAnsiTheme="minorHAnsi" w:cstheme="minorHAnsi"/>
          <w:color w:val="000000"/>
          <w:sz w:val="22"/>
          <w:szCs w:val="22"/>
          <w:lang w:bidi="lt-LT"/>
        </w:rPr>
        <w:t xml:space="preserve"> praktikoje suformuluotomis teisės aiškinimo taisyklėmis dėl ikiteisminės ginčų nagrinėjimo tvarkos (ne)privalomumo ir įvertinusi lingvistinę tiriamos Aprašo 30 punkte įtvirtintos teisės normos teksto konstrukciją, kurioje vartojamas veiksmažodis „</w:t>
      </w:r>
      <w:r w:rsidRPr="007D3F98">
        <w:rPr>
          <w:rFonts w:asciiTheme="minorHAnsi" w:hAnsiTheme="minorHAnsi" w:cstheme="minorHAnsi"/>
          <w:i/>
          <w:color w:val="000000"/>
          <w:sz w:val="22"/>
          <w:szCs w:val="22"/>
          <w:lang w:bidi="lt-LT"/>
        </w:rPr>
        <w:t>gali</w:t>
      </w:r>
      <w:r w:rsidRPr="007D3F98">
        <w:rPr>
          <w:rFonts w:asciiTheme="minorHAnsi" w:hAnsiTheme="minorHAnsi" w:cstheme="minorHAnsi"/>
          <w:color w:val="000000"/>
          <w:sz w:val="22"/>
          <w:szCs w:val="22"/>
          <w:lang w:bidi="lt-LT"/>
        </w:rPr>
        <w:t>“, taip pat tai, kad ik</w:t>
      </w:r>
      <w:r w:rsidR="00175455" w:rsidRPr="007D3F98">
        <w:rPr>
          <w:rFonts w:asciiTheme="minorHAnsi" w:hAnsiTheme="minorHAnsi" w:cstheme="minorHAnsi"/>
          <w:color w:val="000000"/>
          <w:sz w:val="22"/>
          <w:szCs w:val="22"/>
          <w:lang w:bidi="lt-LT"/>
        </w:rPr>
        <w:t>iteisminė tokių, kaip nagrinėt</w:t>
      </w:r>
      <w:r w:rsidRPr="007D3F98">
        <w:rPr>
          <w:rFonts w:asciiTheme="minorHAnsi" w:hAnsiTheme="minorHAnsi" w:cstheme="minorHAnsi"/>
          <w:color w:val="000000"/>
          <w:sz w:val="22"/>
          <w:szCs w:val="22"/>
          <w:lang w:bidi="lt-LT"/>
        </w:rPr>
        <w:t>oje byloje, ginčų nagrinėjimo ne teisme tvarka nėra nustatyta įstatymo.</w:t>
      </w:r>
    </w:p>
    <w:p w14:paraId="05479351" w14:textId="77777777" w:rsidR="00E30177" w:rsidRPr="007D3F98" w:rsidRDefault="00E30177" w:rsidP="00E30177">
      <w:pPr>
        <w:ind w:firstLine="567"/>
        <w:jc w:val="both"/>
        <w:rPr>
          <w:rFonts w:asciiTheme="minorHAnsi" w:hAnsiTheme="minorHAnsi" w:cstheme="minorHAnsi"/>
          <w:bCs/>
          <w:iCs/>
          <w:sz w:val="22"/>
          <w:szCs w:val="22"/>
        </w:rPr>
      </w:pPr>
      <w:r w:rsidRPr="007D3F98">
        <w:rPr>
          <w:rFonts w:asciiTheme="minorHAnsi" w:hAnsiTheme="minorHAnsi" w:cstheme="minorHAnsi"/>
          <w:bCs/>
          <w:iCs/>
          <w:sz w:val="22"/>
          <w:szCs w:val="22"/>
        </w:rPr>
        <w:t xml:space="preserve">Išplėstinė teisėjų kolegija papildomai atkreipė dėmesį į tai, jog teisės aktuose nustatant neprivalomą ginčų nagrinėjimo ne teisme tvarką, iš konstitucinio teisinės valstybės principo kylančius reikalavimus labiau atitiktų toks teisinis reglamentavimas, kuriuo </w:t>
      </w:r>
      <w:r w:rsidRPr="007D3F98">
        <w:rPr>
          <w:rFonts w:asciiTheme="minorHAnsi" w:hAnsiTheme="minorHAnsi" w:cstheme="minorHAnsi"/>
          <w:bCs/>
          <w:i/>
          <w:iCs/>
          <w:sz w:val="22"/>
          <w:szCs w:val="22"/>
        </w:rPr>
        <w:t>expressis verbis</w:t>
      </w:r>
      <w:r w:rsidRPr="007D3F98">
        <w:rPr>
          <w:rFonts w:asciiTheme="minorHAnsi" w:hAnsiTheme="minorHAnsi" w:cstheme="minorHAnsi"/>
          <w:bCs/>
          <w:iCs/>
          <w:sz w:val="22"/>
          <w:szCs w:val="22"/>
        </w:rPr>
        <w:t xml:space="preserve"> būtų nustatyta asmens teisė pasirinkti alternatyvų savo teisių gynimo būdą – galimybė prieš kreipiantis į teismą pasinaudoti išankstinio ginčų nagrinėjimo ne per teismą tvarka arba tiesiogiai su skundu kreiptis į teismą.</w:t>
      </w:r>
    </w:p>
    <w:p w14:paraId="25EB35F6" w14:textId="1EA62C4A" w:rsidR="00E30177" w:rsidRPr="007D3F98" w:rsidRDefault="00175455" w:rsidP="00E30177">
      <w:pPr>
        <w:ind w:firstLine="567"/>
        <w:jc w:val="both"/>
        <w:rPr>
          <w:rFonts w:asciiTheme="minorHAnsi" w:hAnsiTheme="minorHAnsi" w:cstheme="minorHAnsi"/>
          <w:bCs/>
          <w:iCs/>
          <w:sz w:val="22"/>
          <w:szCs w:val="22"/>
        </w:rPr>
      </w:pPr>
      <w:r w:rsidRPr="007D3F98">
        <w:rPr>
          <w:rFonts w:asciiTheme="minorHAnsi" w:hAnsiTheme="minorHAnsi" w:cstheme="minorHAnsi"/>
          <w:bCs/>
          <w:iCs/>
          <w:sz w:val="22"/>
          <w:szCs w:val="22"/>
        </w:rPr>
        <w:t>Taigi</w:t>
      </w:r>
      <w:r w:rsidR="00E30177" w:rsidRPr="007D3F98">
        <w:rPr>
          <w:rFonts w:asciiTheme="minorHAnsi" w:hAnsiTheme="minorHAnsi" w:cstheme="minorHAnsi"/>
          <w:bCs/>
          <w:iCs/>
          <w:sz w:val="22"/>
          <w:szCs w:val="22"/>
        </w:rPr>
        <w:t xml:space="preserve"> Aprašo 30–33 punktai pripažinti teisėtais.</w:t>
      </w:r>
    </w:p>
    <w:p w14:paraId="516CD9D5" w14:textId="77777777" w:rsidR="00E30177" w:rsidRPr="007D3F98" w:rsidRDefault="00E30177" w:rsidP="00E30177">
      <w:pPr>
        <w:rPr>
          <w:rFonts w:asciiTheme="minorHAnsi" w:hAnsiTheme="minorHAnsi" w:cstheme="minorHAnsi"/>
          <w:bCs/>
          <w:sz w:val="22"/>
          <w:szCs w:val="22"/>
        </w:rPr>
      </w:pPr>
    </w:p>
    <w:p w14:paraId="57EDB39E" w14:textId="77777777" w:rsidR="00E30177" w:rsidRPr="007D3F98" w:rsidRDefault="00E30177" w:rsidP="00E30177">
      <w:pPr>
        <w:rPr>
          <w:rFonts w:asciiTheme="minorHAnsi" w:hAnsiTheme="minorHAnsi" w:cstheme="minorHAnsi"/>
          <w:sz w:val="22"/>
          <w:szCs w:val="22"/>
        </w:rPr>
      </w:pPr>
      <w:r w:rsidRPr="007D3F98">
        <w:rPr>
          <w:rFonts w:asciiTheme="minorHAnsi" w:hAnsiTheme="minorHAnsi" w:cstheme="minorHAnsi"/>
          <w:sz w:val="22"/>
          <w:szCs w:val="22"/>
        </w:rPr>
        <w:t xml:space="preserve">Išplėstinės teisėjų kolegijos 2019 m. lapkričio 20 d. sprendimas administracinėje byloje Nr. </w:t>
      </w:r>
      <w:r w:rsidRPr="007D3F98">
        <w:rPr>
          <w:rFonts w:asciiTheme="minorHAnsi" w:hAnsiTheme="minorHAnsi" w:cstheme="minorHAnsi"/>
          <w:sz w:val="22"/>
          <w:szCs w:val="22"/>
          <w:lang w:eastAsia="en-US"/>
        </w:rPr>
        <w:t>I-15-415/2019</w:t>
      </w:r>
    </w:p>
    <w:p w14:paraId="55109C2C" w14:textId="77777777" w:rsidR="00E30177" w:rsidRPr="007D3F98" w:rsidRDefault="00E30177" w:rsidP="00E30177">
      <w:pPr>
        <w:rPr>
          <w:rFonts w:asciiTheme="minorHAnsi" w:hAnsiTheme="minorHAnsi" w:cstheme="minorHAnsi"/>
          <w:sz w:val="22"/>
          <w:szCs w:val="22"/>
        </w:rPr>
      </w:pPr>
      <w:r w:rsidRPr="007D3F98">
        <w:rPr>
          <w:rFonts w:asciiTheme="minorHAnsi" w:hAnsiTheme="minorHAnsi" w:cstheme="minorHAnsi"/>
          <w:sz w:val="22"/>
          <w:szCs w:val="22"/>
        </w:rPr>
        <w:t xml:space="preserve">Teisminio proceso Nr. </w:t>
      </w:r>
      <w:r w:rsidRPr="007D3F98">
        <w:rPr>
          <w:rFonts w:asciiTheme="minorHAnsi" w:hAnsiTheme="minorHAnsi" w:cstheme="minorHAnsi"/>
          <w:bCs/>
          <w:sz w:val="22"/>
          <w:szCs w:val="22"/>
          <w:lang w:eastAsia="en-US"/>
        </w:rPr>
        <w:t>3-66-3-00082-2019-0</w:t>
      </w:r>
    </w:p>
    <w:p w14:paraId="794433C6" w14:textId="77777777" w:rsidR="00E30177" w:rsidRPr="007D3F98" w:rsidRDefault="00E30177" w:rsidP="00E30177">
      <w:pPr>
        <w:rPr>
          <w:rFonts w:asciiTheme="minorHAnsi" w:hAnsiTheme="minorHAnsi" w:cstheme="minorHAnsi"/>
          <w:sz w:val="22"/>
          <w:szCs w:val="22"/>
          <w:lang w:eastAsia="en-US"/>
        </w:rPr>
      </w:pPr>
      <w:r w:rsidRPr="007D3F98">
        <w:rPr>
          <w:rFonts w:asciiTheme="minorHAnsi" w:hAnsiTheme="minorHAnsi" w:cstheme="minorHAnsi"/>
          <w:sz w:val="22"/>
          <w:szCs w:val="22"/>
        </w:rPr>
        <w:t xml:space="preserve">Procesinio sprendimo </w:t>
      </w:r>
      <w:r w:rsidRPr="007D3F98">
        <w:rPr>
          <w:rFonts w:asciiTheme="minorHAnsi" w:hAnsiTheme="minorHAnsi" w:cstheme="minorHAnsi"/>
          <w:sz w:val="22"/>
          <w:szCs w:val="22"/>
          <w:lang w:eastAsia="en-US"/>
        </w:rPr>
        <w:t>kategorija 4.1</w:t>
      </w:r>
    </w:p>
    <w:p w14:paraId="4883336E" w14:textId="77777777" w:rsidR="00E30177" w:rsidRPr="007D3F98" w:rsidRDefault="00854B2C" w:rsidP="00E30177">
      <w:pPr>
        <w:rPr>
          <w:rFonts w:asciiTheme="minorHAnsi" w:hAnsiTheme="minorHAnsi" w:cstheme="minorHAnsi"/>
          <w:sz w:val="22"/>
          <w:szCs w:val="22"/>
          <w:u w:val="single"/>
        </w:rPr>
      </w:pPr>
      <w:hyperlink r:id="rId9" w:history="1">
        <w:r w:rsidR="00E30177" w:rsidRPr="007D3F98">
          <w:rPr>
            <w:rStyle w:val="Hipersaitas"/>
            <w:rFonts w:asciiTheme="minorHAnsi" w:hAnsiTheme="minorHAnsi" w:cstheme="minorHAnsi"/>
            <w:sz w:val="22"/>
            <w:szCs w:val="22"/>
          </w:rPr>
          <w:t>Prieiga internete</w:t>
        </w:r>
      </w:hyperlink>
    </w:p>
    <w:p w14:paraId="72E68ED1" w14:textId="77777777" w:rsidR="00175455" w:rsidRPr="007D3F98" w:rsidRDefault="00175455" w:rsidP="00175455">
      <w:pPr>
        <w:ind w:firstLine="567"/>
        <w:rPr>
          <w:rFonts w:asciiTheme="minorHAnsi" w:hAnsiTheme="minorHAnsi" w:cstheme="minorHAnsi"/>
          <w:sz w:val="22"/>
          <w:szCs w:val="22"/>
          <w:highlight w:val="yellow"/>
        </w:rPr>
      </w:pPr>
    </w:p>
    <w:p w14:paraId="64D2A00E" w14:textId="48E9AA0E" w:rsidR="000C6BFD" w:rsidRPr="007D3F98" w:rsidRDefault="000C6BFD" w:rsidP="00496E0E">
      <w:pPr>
        <w:pStyle w:val="Antrat1"/>
        <w:rPr>
          <w:rFonts w:asciiTheme="minorHAnsi" w:hAnsiTheme="minorHAnsi" w:cstheme="minorHAnsi"/>
          <w:b w:val="0"/>
          <w:bCs/>
        </w:rPr>
      </w:pPr>
      <w:bookmarkStart w:id="20" w:name="_Toc462149970"/>
      <w:bookmarkStart w:id="21" w:name="_Toc29392688"/>
      <w:r w:rsidRPr="007D3F98">
        <w:rPr>
          <w:rFonts w:asciiTheme="minorHAnsi" w:hAnsiTheme="minorHAnsi" w:cstheme="minorHAnsi"/>
          <w:bCs/>
        </w:rPr>
        <w:t>6. Sveikatos apsauga</w:t>
      </w:r>
      <w:bookmarkEnd w:id="20"/>
      <w:bookmarkEnd w:id="21"/>
    </w:p>
    <w:p w14:paraId="721DA8EC" w14:textId="02E69BDD" w:rsidR="000C6BFD" w:rsidRPr="007D3F98" w:rsidRDefault="000C6BFD" w:rsidP="00496E0E">
      <w:pPr>
        <w:tabs>
          <w:tab w:val="left" w:pos="567"/>
        </w:tabs>
        <w:ind w:firstLine="567"/>
        <w:rPr>
          <w:rFonts w:asciiTheme="minorHAnsi" w:hAnsiTheme="minorHAnsi" w:cstheme="minorHAnsi"/>
          <w:b/>
          <w:bCs/>
          <w:sz w:val="22"/>
          <w:szCs w:val="22"/>
          <w:u w:val="single"/>
        </w:rPr>
      </w:pPr>
      <w:r w:rsidRPr="007D3F98">
        <w:rPr>
          <w:rFonts w:asciiTheme="minorHAnsi" w:hAnsiTheme="minorHAnsi" w:cstheme="minorHAnsi"/>
          <w:b/>
          <w:bCs/>
          <w:sz w:val="22"/>
          <w:szCs w:val="22"/>
          <w:u w:val="single"/>
        </w:rPr>
        <w:t>6.</w:t>
      </w:r>
      <w:r w:rsidR="007E04A1" w:rsidRPr="007D3F98">
        <w:rPr>
          <w:rFonts w:asciiTheme="minorHAnsi" w:hAnsiTheme="minorHAnsi" w:cstheme="minorHAnsi"/>
          <w:b/>
          <w:bCs/>
          <w:sz w:val="22"/>
          <w:szCs w:val="22"/>
          <w:u w:val="single"/>
        </w:rPr>
        <w:t>6</w:t>
      </w:r>
      <w:r w:rsidRPr="007D3F98">
        <w:rPr>
          <w:rFonts w:asciiTheme="minorHAnsi" w:hAnsiTheme="minorHAnsi" w:cstheme="minorHAnsi"/>
          <w:b/>
          <w:bCs/>
          <w:sz w:val="22"/>
          <w:szCs w:val="22"/>
          <w:u w:val="single"/>
        </w:rPr>
        <w:t xml:space="preserve">. </w:t>
      </w:r>
      <w:r w:rsidR="007E04A1" w:rsidRPr="007D3F98">
        <w:rPr>
          <w:rFonts w:asciiTheme="minorHAnsi" w:hAnsiTheme="minorHAnsi" w:cstheme="minorHAnsi"/>
          <w:b/>
          <w:bCs/>
          <w:sz w:val="22"/>
          <w:szCs w:val="22"/>
          <w:u w:val="single"/>
        </w:rPr>
        <w:t>Kiti su sveikatos apsauga susiję klausimai</w:t>
      </w:r>
    </w:p>
    <w:p w14:paraId="472DC722" w14:textId="77777777" w:rsidR="000C6BFD" w:rsidRPr="007D3F98" w:rsidRDefault="000C6BFD" w:rsidP="00496E0E">
      <w:pPr>
        <w:rPr>
          <w:rFonts w:asciiTheme="minorHAnsi" w:hAnsiTheme="minorHAnsi" w:cstheme="minorHAnsi"/>
          <w:b/>
          <w:bCs/>
          <w:sz w:val="22"/>
          <w:szCs w:val="22"/>
          <w:u w:val="single"/>
        </w:rPr>
      </w:pPr>
    </w:p>
    <w:p w14:paraId="0AC7FDFF" w14:textId="344A87D6" w:rsidR="000C6BFD" w:rsidRPr="007D3F98" w:rsidRDefault="000C6BFD" w:rsidP="00496E0E">
      <w:pPr>
        <w:pStyle w:val="Antrat2"/>
      </w:pPr>
      <w:bookmarkStart w:id="22" w:name="_Toc29392689"/>
      <w:bookmarkStart w:id="23" w:name="_Hlk26519275"/>
      <w:r w:rsidRPr="007D3F98">
        <w:t>Dėl</w:t>
      </w:r>
      <w:r w:rsidR="00BE0EA6" w:rsidRPr="007D3F98">
        <w:t xml:space="preserve"> </w:t>
      </w:r>
      <w:r w:rsidR="00231026" w:rsidRPr="007D3F98">
        <w:t>pagal asmens skundą pradedamo ligoninės neplaninio patikrinimo vertinimo</w:t>
      </w:r>
      <w:bookmarkEnd w:id="22"/>
    </w:p>
    <w:p w14:paraId="3567D7AF" w14:textId="77777777" w:rsidR="000C6BFD" w:rsidRPr="007D3F98" w:rsidRDefault="000C6BFD" w:rsidP="00496E0E">
      <w:pPr>
        <w:rPr>
          <w:lang w:eastAsia="en-US"/>
        </w:rPr>
      </w:pPr>
    </w:p>
    <w:p w14:paraId="3A901372" w14:textId="353B0E08" w:rsidR="001C0AF1" w:rsidRPr="007D3F98" w:rsidRDefault="000C6BFD" w:rsidP="001C0AF1">
      <w:pPr>
        <w:tabs>
          <w:tab w:val="left" w:pos="567"/>
        </w:tabs>
        <w:ind w:firstLine="567"/>
        <w:jc w:val="both"/>
        <w:rPr>
          <w:rFonts w:asciiTheme="minorHAnsi" w:hAnsiTheme="minorHAnsi" w:cstheme="minorHAnsi"/>
          <w:sz w:val="22"/>
          <w:szCs w:val="22"/>
        </w:rPr>
      </w:pPr>
      <w:r w:rsidRPr="007D3F98">
        <w:rPr>
          <w:rFonts w:asciiTheme="minorHAnsi" w:hAnsiTheme="minorHAnsi" w:cstheme="minorHAnsi"/>
          <w:sz w:val="22"/>
          <w:szCs w:val="22"/>
        </w:rPr>
        <w:t>Nagrinė</w:t>
      </w:r>
      <w:r w:rsidR="0069463E" w:rsidRPr="007D3F98">
        <w:rPr>
          <w:rFonts w:asciiTheme="minorHAnsi" w:hAnsiTheme="minorHAnsi" w:cstheme="minorHAnsi"/>
          <w:sz w:val="22"/>
          <w:szCs w:val="22"/>
        </w:rPr>
        <w:t>t</w:t>
      </w:r>
      <w:r w:rsidRPr="007D3F98">
        <w:rPr>
          <w:rFonts w:asciiTheme="minorHAnsi" w:hAnsiTheme="minorHAnsi" w:cstheme="minorHAnsi"/>
          <w:sz w:val="22"/>
          <w:szCs w:val="22"/>
        </w:rPr>
        <w:t xml:space="preserve">oje byloje </w:t>
      </w:r>
      <w:r w:rsidR="007E04A1" w:rsidRPr="007D3F98">
        <w:rPr>
          <w:rFonts w:asciiTheme="minorHAnsi" w:hAnsiTheme="minorHAnsi" w:cstheme="minorHAnsi"/>
          <w:iCs/>
          <w:sz w:val="22"/>
          <w:szCs w:val="22"/>
        </w:rPr>
        <w:t xml:space="preserve">ginčas kilo dėl įspėjimo, </w:t>
      </w:r>
      <w:r w:rsidR="007E04A1" w:rsidRPr="007D3F98">
        <w:rPr>
          <w:rFonts w:asciiTheme="minorHAnsi" w:hAnsiTheme="minorHAnsi" w:cstheme="minorHAnsi"/>
          <w:sz w:val="22"/>
          <w:szCs w:val="22"/>
        </w:rPr>
        <w:t xml:space="preserve">Valstybinės akreditavimo sveikatos priežiūros veiklai tarnybos (toliau – Tarnyba) skirto </w:t>
      </w:r>
      <w:r w:rsidR="007E04A1" w:rsidRPr="007D3F98">
        <w:rPr>
          <w:rFonts w:asciiTheme="minorHAnsi" w:hAnsiTheme="minorHAnsi" w:cstheme="minorHAnsi"/>
          <w:iCs/>
          <w:sz w:val="22"/>
          <w:szCs w:val="22"/>
        </w:rPr>
        <w:t xml:space="preserve">VšĮ </w:t>
      </w:r>
      <w:r w:rsidR="00175455" w:rsidRPr="007D3F98">
        <w:rPr>
          <w:rFonts w:asciiTheme="minorHAnsi" w:hAnsiTheme="minorHAnsi" w:cstheme="minorHAnsi"/>
          <w:sz w:val="22"/>
          <w:szCs w:val="22"/>
        </w:rPr>
        <w:t>Širvintų ligoninei</w:t>
      </w:r>
      <w:r w:rsidR="007E04A1" w:rsidRPr="007D3F98">
        <w:rPr>
          <w:rFonts w:asciiTheme="minorHAnsi" w:hAnsiTheme="minorHAnsi" w:cstheme="minorHAnsi"/>
          <w:sz w:val="22"/>
          <w:szCs w:val="22"/>
        </w:rPr>
        <w:t xml:space="preserve"> už konstatuotus pažeidimus, susijusius su sveikatos priežiūros teikimu pacientui, teisėtumo ir pagrįstumo.</w:t>
      </w:r>
    </w:p>
    <w:p w14:paraId="3F907592" w14:textId="359623A5" w:rsidR="00231026" w:rsidRPr="007D3F98" w:rsidRDefault="00231026" w:rsidP="0027071A">
      <w:pPr>
        <w:tabs>
          <w:tab w:val="left" w:pos="567"/>
        </w:tabs>
        <w:ind w:firstLine="567"/>
        <w:jc w:val="both"/>
        <w:rPr>
          <w:rFonts w:asciiTheme="minorHAnsi" w:hAnsiTheme="minorHAnsi" w:cstheme="minorHAnsi"/>
          <w:iCs/>
          <w:sz w:val="22"/>
          <w:szCs w:val="22"/>
        </w:rPr>
      </w:pPr>
      <w:r w:rsidRPr="007D3F98">
        <w:rPr>
          <w:rFonts w:asciiTheme="minorHAnsi" w:hAnsiTheme="minorHAnsi" w:cstheme="minorHAnsi"/>
          <w:iCs/>
          <w:sz w:val="22"/>
          <w:szCs w:val="22"/>
        </w:rPr>
        <w:t>Apeliaciniame skunde pareiškėjas tvirtino, jog atsakovas atliko ne neplaninį ligoninės patikrinimą, o skundo nagrinėjimo procedūrą, t. y. administracinę procedūrą, todėl atsakovo veiksmai vertintini pagal administracinę procedūrą reglamentuojančias Viešojo administravimo įstatymo normas</w:t>
      </w:r>
      <w:r w:rsidR="00175455" w:rsidRPr="007D3F98">
        <w:rPr>
          <w:rFonts w:asciiTheme="minorHAnsi" w:hAnsiTheme="minorHAnsi" w:cstheme="minorHAnsi"/>
          <w:iCs/>
          <w:sz w:val="22"/>
          <w:szCs w:val="22"/>
        </w:rPr>
        <w:t>.</w:t>
      </w:r>
    </w:p>
    <w:p w14:paraId="7A8E2B3B" w14:textId="3787618B" w:rsidR="0027071A" w:rsidRPr="007D3F98" w:rsidRDefault="001C0AF1" w:rsidP="0027071A">
      <w:pPr>
        <w:tabs>
          <w:tab w:val="left" w:pos="567"/>
        </w:tabs>
        <w:ind w:firstLine="567"/>
        <w:jc w:val="both"/>
        <w:rPr>
          <w:rFonts w:asciiTheme="minorHAnsi" w:hAnsiTheme="minorHAnsi" w:cstheme="minorHAnsi"/>
          <w:sz w:val="22"/>
          <w:szCs w:val="22"/>
        </w:rPr>
      </w:pPr>
      <w:r w:rsidRPr="007D3F98">
        <w:rPr>
          <w:rFonts w:asciiTheme="minorHAnsi" w:hAnsiTheme="minorHAnsi" w:cstheme="minorHAnsi"/>
          <w:iCs/>
          <w:sz w:val="22"/>
          <w:szCs w:val="22"/>
        </w:rPr>
        <w:t>Teisėjų kolegija</w:t>
      </w:r>
      <w:r w:rsidR="0027071A" w:rsidRPr="007D3F98">
        <w:rPr>
          <w:rFonts w:asciiTheme="minorHAnsi" w:hAnsiTheme="minorHAnsi" w:cstheme="minorHAnsi"/>
          <w:iCs/>
          <w:sz w:val="22"/>
          <w:szCs w:val="22"/>
        </w:rPr>
        <w:t>, išnagrinėjusi pareiškėjo apeliacinį skundą,</w:t>
      </w:r>
      <w:r w:rsidRPr="007D3F98">
        <w:rPr>
          <w:rFonts w:asciiTheme="minorHAnsi" w:hAnsiTheme="minorHAnsi" w:cstheme="minorHAnsi"/>
          <w:iCs/>
          <w:sz w:val="22"/>
          <w:szCs w:val="22"/>
        </w:rPr>
        <w:t xml:space="preserve"> sutiko su pirmosios instancijos teismo išvadomis ir motyvais, kad </w:t>
      </w:r>
      <w:r w:rsidR="00175455" w:rsidRPr="007D3F98">
        <w:rPr>
          <w:rFonts w:asciiTheme="minorHAnsi" w:hAnsiTheme="minorHAnsi" w:cstheme="minorHAnsi"/>
          <w:bCs/>
          <w:sz w:val="22"/>
          <w:szCs w:val="22"/>
        </w:rPr>
        <w:t xml:space="preserve">VšĮ Širvintų ligoninė </w:t>
      </w:r>
      <w:r w:rsidRPr="007D3F98">
        <w:rPr>
          <w:rFonts w:asciiTheme="minorHAnsi" w:hAnsiTheme="minorHAnsi" w:cstheme="minorHAnsi"/>
          <w:bCs/>
          <w:sz w:val="22"/>
          <w:szCs w:val="22"/>
        </w:rPr>
        <w:t>pacientui asmens sveikatos prieži</w:t>
      </w:r>
      <w:r w:rsidR="001C73D1" w:rsidRPr="007D3F98">
        <w:rPr>
          <w:rFonts w:asciiTheme="minorHAnsi" w:hAnsiTheme="minorHAnsi" w:cstheme="minorHAnsi"/>
          <w:bCs/>
          <w:sz w:val="22"/>
          <w:szCs w:val="22"/>
        </w:rPr>
        <w:t>ūros paslaugas teikė pažeisdama</w:t>
      </w:r>
      <w:r w:rsidRPr="007D3F98">
        <w:rPr>
          <w:rFonts w:asciiTheme="minorHAnsi" w:hAnsiTheme="minorHAnsi" w:cstheme="minorHAnsi"/>
          <w:bCs/>
          <w:sz w:val="22"/>
          <w:szCs w:val="22"/>
        </w:rPr>
        <w:t xml:space="preserve"> atitinkamų teisės aktų nuostatas, todėl ja</w:t>
      </w:r>
      <w:r w:rsidR="001C73D1" w:rsidRPr="007D3F98">
        <w:rPr>
          <w:rFonts w:asciiTheme="minorHAnsi" w:hAnsiTheme="minorHAnsi" w:cstheme="minorHAnsi"/>
          <w:bCs/>
          <w:sz w:val="22"/>
          <w:szCs w:val="22"/>
        </w:rPr>
        <w:t>i</w:t>
      </w:r>
      <w:r w:rsidRPr="007D3F98">
        <w:rPr>
          <w:rFonts w:asciiTheme="minorHAnsi" w:hAnsiTheme="minorHAnsi" w:cstheme="minorHAnsi"/>
          <w:bCs/>
          <w:sz w:val="22"/>
          <w:szCs w:val="22"/>
        </w:rPr>
        <w:t xml:space="preserve"> pagrįstai skirtas įspėjimas.</w:t>
      </w:r>
      <w:r w:rsidR="0027071A" w:rsidRPr="007D3F98">
        <w:rPr>
          <w:rFonts w:asciiTheme="minorHAnsi" w:hAnsiTheme="minorHAnsi" w:cstheme="minorHAnsi"/>
          <w:sz w:val="22"/>
          <w:szCs w:val="22"/>
        </w:rPr>
        <w:t xml:space="preserve"> </w:t>
      </w:r>
    </w:p>
    <w:p w14:paraId="444D926B" w14:textId="38FD2AD3" w:rsidR="0027071A" w:rsidRPr="007D3F98" w:rsidRDefault="0027071A" w:rsidP="0027071A">
      <w:pPr>
        <w:tabs>
          <w:tab w:val="left" w:pos="567"/>
        </w:tabs>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Teisėjų kolegija atkreipė dėmesį į du Viešojo administravimo įstatyme įtvirtintus institutus. Pirmasis – administracinė procedūra, kuri suprantama kaip </w:t>
      </w:r>
      <w:r w:rsidRPr="007D3F98">
        <w:rPr>
          <w:rFonts w:asciiTheme="minorHAnsi" w:hAnsiTheme="minorHAnsi" w:cstheme="minorHAnsi"/>
          <w:bCs/>
          <w:sz w:val="22"/>
          <w:szCs w:val="22"/>
        </w:rPr>
        <w:t xml:space="preserve">pagal šį įstatymą viešojo administravimo subjekto atliekami privalomi veiksmai nagrinėjant skundą apie viešojo administravimo subjekto veiksmais, neveikimu ar administraciniais sprendimais galimai padarytą asmens, nurodyto skunde, teisių ir teisėtų interesų pažeidimą ir priimant dėl to </w:t>
      </w:r>
      <w:r w:rsidRPr="007D3F98">
        <w:rPr>
          <w:rFonts w:asciiTheme="minorHAnsi" w:hAnsiTheme="minorHAnsi" w:cstheme="minorHAnsi"/>
          <w:sz w:val="22"/>
          <w:szCs w:val="22"/>
        </w:rPr>
        <w:t xml:space="preserve">administracinės procedūros sprendimą (19 str. 1 d.). Antrasis – ūkio subjektų veiklos priežiūra, kuri apibrėžiama kaip šio įstatymo nustatyta tvarka įgaliotų atlikti šio straipsnio 2 dalyje nurodytus veiksmus </w:t>
      </w:r>
      <w:r w:rsidRPr="007D3F98">
        <w:rPr>
          <w:rFonts w:asciiTheme="minorHAnsi" w:hAnsiTheme="minorHAnsi" w:cstheme="minorHAnsi"/>
          <w:sz w:val="22"/>
          <w:szCs w:val="22"/>
        </w:rPr>
        <w:lastRenderedPageBreak/>
        <w:t>viešojo administravimo subjektų veikla, skirta teikti metodinę pagalbą ūkio subjektams, prižiūrėti, kaip ūkio subjektai laikosi įstatymuose ir kituose teisės aktuose nustatytų reikalavimų, kontroliuoti, ar tinkamai tuos reikalavimus vykdo, ir įgyvendinti kitas priemones, užtikrinančias tinkamą teisės aktų reikalavimų laikymąsi ir užkertančias kelią žalai teisės normų saugomoms vertybėms atsirasti (36</w:t>
      </w:r>
      <w:r w:rsidRPr="007D3F98">
        <w:rPr>
          <w:rFonts w:asciiTheme="minorHAnsi" w:hAnsiTheme="minorHAnsi" w:cstheme="minorHAnsi"/>
          <w:sz w:val="22"/>
          <w:szCs w:val="22"/>
          <w:vertAlign w:val="superscript"/>
        </w:rPr>
        <w:t>1</w:t>
      </w:r>
      <w:r w:rsidRPr="007D3F98">
        <w:rPr>
          <w:rFonts w:asciiTheme="minorHAnsi" w:hAnsiTheme="minorHAnsi" w:cstheme="minorHAnsi"/>
          <w:sz w:val="22"/>
          <w:szCs w:val="22"/>
        </w:rPr>
        <w:t xml:space="preserve"> str. 1 d.). Ūkio subjektų veiklos priežiūra apima, be kita ko, ūkio subjektų veiklos patikrinimus ir poveikio priemonių ūkio subjektams taikymą įstatymų ir jų pagrindu priimtų kitų teisės aktų nustatyta tvarka (36</w:t>
      </w:r>
      <w:r w:rsidRPr="007D3F98">
        <w:rPr>
          <w:rFonts w:asciiTheme="minorHAnsi" w:hAnsiTheme="minorHAnsi" w:cstheme="minorHAnsi"/>
          <w:sz w:val="22"/>
          <w:szCs w:val="22"/>
          <w:vertAlign w:val="superscript"/>
        </w:rPr>
        <w:t>1</w:t>
      </w:r>
      <w:r w:rsidRPr="007D3F98">
        <w:rPr>
          <w:rFonts w:asciiTheme="minorHAnsi" w:hAnsiTheme="minorHAnsi" w:cstheme="minorHAnsi"/>
          <w:sz w:val="22"/>
          <w:szCs w:val="22"/>
        </w:rPr>
        <w:t xml:space="preserve"> str. 2 d. 2 ir 4 p.). </w:t>
      </w:r>
      <w:r w:rsidRPr="007D3F98">
        <w:rPr>
          <w:rFonts w:asciiTheme="minorHAnsi" w:hAnsiTheme="minorHAnsi" w:cstheme="minorHAnsi"/>
          <w:sz w:val="22"/>
          <w:szCs w:val="22"/>
          <w:u w:val="single"/>
        </w:rPr>
        <w:t xml:space="preserve">Teisėjų kolegijos vertinimu, nors minėti teisės institutai yra panašūs, </w:t>
      </w:r>
      <w:r w:rsidR="001C73D1" w:rsidRPr="007D3F98">
        <w:rPr>
          <w:rFonts w:asciiTheme="minorHAnsi" w:hAnsiTheme="minorHAnsi" w:cstheme="minorHAnsi"/>
          <w:sz w:val="22"/>
          <w:szCs w:val="22"/>
          <w:u w:val="single"/>
        </w:rPr>
        <w:t>nebuvo</w:t>
      </w:r>
      <w:r w:rsidRPr="007D3F98">
        <w:rPr>
          <w:rFonts w:asciiTheme="minorHAnsi" w:hAnsiTheme="minorHAnsi" w:cstheme="minorHAnsi"/>
          <w:sz w:val="22"/>
          <w:szCs w:val="22"/>
          <w:u w:val="single"/>
        </w:rPr>
        <w:t xml:space="preserve"> pagrindo konstatuoti, jog atsakovas </w:t>
      </w:r>
      <w:r w:rsidR="001C73D1" w:rsidRPr="007D3F98">
        <w:rPr>
          <w:rFonts w:asciiTheme="minorHAnsi" w:hAnsiTheme="minorHAnsi" w:cstheme="minorHAnsi"/>
          <w:sz w:val="22"/>
          <w:szCs w:val="22"/>
          <w:u w:val="single"/>
        </w:rPr>
        <w:t xml:space="preserve">aptariamu atveju </w:t>
      </w:r>
      <w:r w:rsidRPr="007D3F98">
        <w:rPr>
          <w:rFonts w:asciiTheme="minorHAnsi" w:hAnsiTheme="minorHAnsi" w:cstheme="minorHAnsi"/>
          <w:sz w:val="22"/>
          <w:szCs w:val="22"/>
          <w:u w:val="single"/>
        </w:rPr>
        <w:t>atliko ne ūkio subjektų veiklos priežiūrą, o administracinę procedūrą.</w:t>
      </w:r>
    </w:p>
    <w:p w14:paraId="532A415A" w14:textId="6360BD56" w:rsidR="00FA07DB" w:rsidRPr="007D3F98" w:rsidRDefault="0027071A" w:rsidP="00FA07DB">
      <w:pPr>
        <w:tabs>
          <w:tab w:val="left" w:pos="567"/>
        </w:tabs>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Teisėjų kolegija konstatavo, kad atsakovas skundą, kuriuo prašyta ištirti atvejį ir atsakyti į klausimus, susijusius su sveikatos priežiūros paslaugų teikimu pacientui, laikė gauta rašytine informacija apie sveikatos priežiūros įstaigos (pareiškėjo) veiklą, kuri gali neatitikti teisės aktų reikalavimų, t. y. pagrindu pradėti neplaninį patikrinimą. </w:t>
      </w:r>
      <w:r w:rsidRPr="007D3F98">
        <w:rPr>
          <w:rFonts w:asciiTheme="minorHAnsi" w:hAnsiTheme="minorHAnsi" w:cstheme="minorHAnsi"/>
          <w:sz w:val="22"/>
          <w:szCs w:val="22"/>
          <w:u w:val="single"/>
        </w:rPr>
        <w:t>Neplaninis patikrinimas gali būti pradėtas ir dėl dalies sveikatos priežiūros įstaigos veiklos, ir jokios teisės normos neužkerta kelio patikrinimą atlikti tik dėl tos įstaigos veiklos, kuri susijusi su vienam konkrečiam pacientui teiktomis sveikatos priežiūros paslaugomis</w:t>
      </w:r>
      <w:r w:rsidRPr="007D3F98">
        <w:rPr>
          <w:rFonts w:asciiTheme="minorHAnsi" w:hAnsiTheme="minorHAnsi" w:cstheme="minorHAnsi"/>
          <w:sz w:val="22"/>
          <w:szCs w:val="22"/>
        </w:rPr>
        <w:t>. Pastebėta, jog ir pats pacientas, pateikdamas pareiškimą, kuriuo sutiko su savo sutuoktinės pateiktu skundu, prašė atlikti neplaninę asmens sveikatos priežiūros paslaugų kokybės kontrolę. Taigi nei skundas, nei ginčo neplaninio patikrinimo metu atlik</w:t>
      </w:r>
      <w:r w:rsidR="002950FA" w:rsidRPr="007D3F98">
        <w:rPr>
          <w:rFonts w:asciiTheme="minorHAnsi" w:hAnsiTheme="minorHAnsi" w:cstheme="minorHAnsi"/>
          <w:sz w:val="22"/>
          <w:szCs w:val="22"/>
        </w:rPr>
        <w:t>ti atsakovo veiksmai nevertinti</w:t>
      </w:r>
      <w:r w:rsidRPr="007D3F98">
        <w:rPr>
          <w:rFonts w:asciiTheme="minorHAnsi" w:hAnsiTheme="minorHAnsi" w:cstheme="minorHAnsi"/>
          <w:sz w:val="22"/>
          <w:szCs w:val="22"/>
        </w:rPr>
        <w:t xml:space="preserve"> pagal V</w:t>
      </w:r>
      <w:r w:rsidR="00231026" w:rsidRPr="007D3F98">
        <w:rPr>
          <w:rFonts w:asciiTheme="minorHAnsi" w:hAnsiTheme="minorHAnsi" w:cstheme="minorHAnsi"/>
          <w:sz w:val="22"/>
          <w:szCs w:val="22"/>
        </w:rPr>
        <w:t>iešojo administravimo įstatymo t</w:t>
      </w:r>
      <w:r w:rsidRPr="007D3F98">
        <w:rPr>
          <w:rFonts w:asciiTheme="minorHAnsi" w:hAnsiTheme="minorHAnsi" w:cstheme="minorHAnsi"/>
          <w:sz w:val="22"/>
          <w:szCs w:val="22"/>
        </w:rPr>
        <w:t>rečiojo skirsnio, reglamentuojančio administracinę procedūrą, reikalavimus.</w:t>
      </w:r>
    </w:p>
    <w:p w14:paraId="56C268AA" w14:textId="65AD697F" w:rsidR="0027071A" w:rsidRPr="007D3F98" w:rsidRDefault="0027071A" w:rsidP="00FA07DB">
      <w:pPr>
        <w:tabs>
          <w:tab w:val="left" w:pos="567"/>
        </w:tabs>
        <w:ind w:firstLine="567"/>
        <w:jc w:val="both"/>
        <w:rPr>
          <w:rFonts w:asciiTheme="minorHAnsi" w:hAnsiTheme="minorHAnsi" w:cstheme="minorHAnsi"/>
          <w:sz w:val="22"/>
          <w:szCs w:val="22"/>
        </w:rPr>
      </w:pPr>
      <w:r w:rsidRPr="007D3F98">
        <w:rPr>
          <w:rFonts w:asciiTheme="minorHAnsi" w:hAnsiTheme="minorHAnsi" w:cstheme="minorHAnsi"/>
          <w:bCs/>
          <w:sz w:val="22"/>
          <w:szCs w:val="22"/>
        </w:rPr>
        <w:t>Teisėjų kolegija konstat</w:t>
      </w:r>
      <w:r w:rsidR="00FA07DB" w:rsidRPr="007D3F98">
        <w:rPr>
          <w:rFonts w:asciiTheme="minorHAnsi" w:hAnsiTheme="minorHAnsi" w:cstheme="minorHAnsi"/>
          <w:bCs/>
          <w:sz w:val="22"/>
          <w:szCs w:val="22"/>
        </w:rPr>
        <w:t>avo, kad skundžiamame į</w:t>
      </w:r>
      <w:r w:rsidRPr="007D3F98">
        <w:rPr>
          <w:rFonts w:asciiTheme="minorHAnsi" w:hAnsiTheme="minorHAnsi" w:cstheme="minorHAnsi"/>
          <w:bCs/>
          <w:sz w:val="22"/>
          <w:szCs w:val="22"/>
        </w:rPr>
        <w:t>sakyme aiškiai nurodytos aplinkybės, dėl kurių pare</w:t>
      </w:r>
      <w:r w:rsidR="00FA07DB" w:rsidRPr="007D3F98">
        <w:rPr>
          <w:rFonts w:asciiTheme="minorHAnsi" w:hAnsiTheme="minorHAnsi" w:cstheme="minorHAnsi"/>
          <w:bCs/>
          <w:sz w:val="22"/>
          <w:szCs w:val="22"/>
        </w:rPr>
        <w:t>iškėjui skir</w:t>
      </w:r>
      <w:r w:rsidR="001C73D1" w:rsidRPr="007D3F98">
        <w:rPr>
          <w:rFonts w:asciiTheme="minorHAnsi" w:hAnsiTheme="minorHAnsi" w:cstheme="minorHAnsi"/>
          <w:bCs/>
          <w:sz w:val="22"/>
          <w:szCs w:val="22"/>
        </w:rPr>
        <w:t>t</w:t>
      </w:r>
      <w:r w:rsidR="00FA07DB" w:rsidRPr="007D3F98">
        <w:rPr>
          <w:rFonts w:asciiTheme="minorHAnsi" w:hAnsiTheme="minorHAnsi" w:cstheme="minorHAnsi"/>
          <w:bCs/>
          <w:sz w:val="22"/>
          <w:szCs w:val="22"/>
        </w:rPr>
        <w:t>a sankcija, į</w:t>
      </w:r>
      <w:r w:rsidRPr="007D3F98">
        <w:rPr>
          <w:rFonts w:asciiTheme="minorHAnsi" w:hAnsiTheme="minorHAnsi" w:cstheme="minorHAnsi"/>
          <w:bCs/>
          <w:sz w:val="22"/>
          <w:szCs w:val="22"/>
        </w:rPr>
        <w:t xml:space="preserve">sakymas iš esmės atitinka </w:t>
      </w:r>
      <w:r w:rsidR="00FA07DB" w:rsidRPr="007D3F98">
        <w:rPr>
          <w:rFonts w:asciiTheme="minorHAnsi" w:hAnsiTheme="minorHAnsi" w:cstheme="minorHAnsi"/>
          <w:bCs/>
          <w:sz w:val="22"/>
          <w:szCs w:val="22"/>
        </w:rPr>
        <w:t>V</w:t>
      </w:r>
      <w:r w:rsidRPr="007D3F98">
        <w:rPr>
          <w:rFonts w:asciiTheme="minorHAnsi" w:hAnsiTheme="minorHAnsi" w:cstheme="minorHAnsi"/>
          <w:bCs/>
          <w:sz w:val="22"/>
          <w:szCs w:val="22"/>
        </w:rPr>
        <w:t>iešojo administravimo įstatymo 8 straipsnyje įtvirtintus reikalavimus</w:t>
      </w:r>
      <w:r w:rsidR="001C73D1" w:rsidRPr="007D3F98">
        <w:rPr>
          <w:rFonts w:asciiTheme="minorHAnsi" w:hAnsiTheme="minorHAnsi" w:cstheme="minorHAnsi"/>
          <w:bCs/>
          <w:sz w:val="22"/>
          <w:szCs w:val="22"/>
        </w:rPr>
        <w:t>, keliamus</w:t>
      </w:r>
      <w:r w:rsidRPr="007D3F98">
        <w:rPr>
          <w:rFonts w:asciiTheme="minorHAnsi" w:hAnsiTheme="minorHAnsi" w:cstheme="minorHAnsi"/>
          <w:bCs/>
          <w:sz w:val="22"/>
          <w:szCs w:val="22"/>
        </w:rPr>
        <w:t xml:space="preserve"> individualiam administraciniam aktui, todėl pareiškėjo </w:t>
      </w:r>
      <w:r w:rsidR="00171DCE" w:rsidRPr="007D3F98">
        <w:rPr>
          <w:rFonts w:asciiTheme="minorHAnsi" w:hAnsiTheme="minorHAnsi" w:cstheme="minorHAnsi"/>
          <w:bCs/>
          <w:sz w:val="22"/>
          <w:szCs w:val="22"/>
        </w:rPr>
        <w:t xml:space="preserve">pretenzijos dėl motyvų trūkumo ir </w:t>
      </w:r>
      <w:r w:rsidRPr="007D3F98">
        <w:rPr>
          <w:rFonts w:asciiTheme="minorHAnsi" w:hAnsiTheme="minorHAnsi" w:cstheme="minorHAnsi"/>
          <w:bCs/>
          <w:sz w:val="22"/>
          <w:szCs w:val="22"/>
        </w:rPr>
        <w:t xml:space="preserve">netikslumo </w:t>
      </w:r>
      <w:r w:rsidR="001C73D1" w:rsidRPr="007D3F98">
        <w:rPr>
          <w:rFonts w:asciiTheme="minorHAnsi" w:hAnsiTheme="minorHAnsi" w:cstheme="minorHAnsi"/>
          <w:bCs/>
          <w:sz w:val="22"/>
          <w:szCs w:val="22"/>
        </w:rPr>
        <w:t>buvo atmesto</w:t>
      </w:r>
      <w:r w:rsidRPr="007D3F98">
        <w:rPr>
          <w:rFonts w:asciiTheme="minorHAnsi" w:hAnsiTheme="minorHAnsi" w:cstheme="minorHAnsi"/>
          <w:bCs/>
          <w:sz w:val="22"/>
          <w:szCs w:val="22"/>
        </w:rPr>
        <w:t>s.</w:t>
      </w:r>
    </w:p>
    <w:p w14:paraId="4BD1E0A8" w14:textId="58F657D3" w:rsidR="008D64E5" w:rsidRPr="007D3F98" w:rsidRDefault="008D64E5" w:rsidP="007E7F95">
      <w:pPr>
        <w:tabs>
          <w:tab w:val="left" w:pos="567"/>
          <w:tab w:val="left" w:pos="3379"/>
        </w:tabs>
        <w:ind w:firstLine="567"/>
        <w:jc w:val="both"/>
        <w:rPr>
          <w:rFonts w:asciiTheme="minorHAnsi" w:hAnsiTheme="minorHAnsi" w:cstheme="minorHAnsi"/>
          <w:sz w:val="22"/>
          <w:szCs w:val="22"/>
        </w:rPr>
      </w:pPr>
    </w:p>
    <w:p w14:paraId="64A2CFB7" w14:textId="0A3587C5" w:rsidR="007E04A1" w:rsidRPr="007D3F98" w:rsidRDefault="000C6BFD" w:rsidP="007E04A1">
      <w:pPr>
        <w:jc w:val="both"/>
        <w:rPr>
          <w:rFonts w:asciiTheme="minorHAnsi" w:hAnsiTheme="minorHAnsi" w:cstheme="minorHAnsi"/>
          <w:sz w:val="22"/>
          <w:szCs w:val="22"/>
        </w:rPr>
      </w:pPr>
      <w:r w:rsidRPr="007D3F98">
        <w:rPr>
          <w:rFonts w:asciiTheme="minorHAnsi" w:hAnsiTheme="minorHAnsi" w:cstheme="minorHAnsi"/>
          <w:sz w:val="22"/>
          <w:szCs w:val="22"/>
        </w:rPr>
        <w:t xml:space="preserve">2019 m. </w:t>
      </w:r>
      <w:r w:rsidR="007E04A1" w:rsidRPr="007D3F98">
        <w:rPr>
          <w:rFonts w:asciiTheme="minorHAnsi" w:hAnsiTheme="minorHAnsi" w:cstheme="minorHAnsi"/>
          <w:sz w:val="22"/>
          <w:szCs w:val="22"/>
        </w:rPr>
        <w:t>lapkričio 20</w:t>
      </w:r>
      <w:r w:rsidRPr="007D3F98">
        <w:rPr>
          <w:rFonts w:asciiTheme="minorHAnsi" w:hAnsiTheme="minorHAnsi" w:cstheme="minorHAnsi"/>
          <w:sz w:val="22"/>
          <w:szCs w:val="22"/>
        </w:rPr>
        <w:t xml:space="preserve"> d. </w:t>
      </w:r>
      <w:r w:rsidR="007E04A1" w:rsidRPr="007D3F98">
        <w:rPr>
          <w:rFonts w:asciiTheme="minorHAnsi" w:hAnsiTheme="minorHAnsi" w:cstheme="minorHAnsi"/>
          <w:sz w:val="22"/>
          <w:szCs w:val="22"/>
        </w:rPr>
        <w:t>nutartis</w:t>
      </w:r>
      <w:r w:rsidRPr="007D3F98">
        <w:rPr>
          <w:rFonts w:asciiTheme="minorHAnsi" w:hAnsiTheme="minorHAnsi" w:cstheme="minorHAnsi"/>
          <w:sz w:val="22"/>
          <w:szCs w:val="22"/>
        </w:rPr>
        <w:t xml:space="preserve"> administracinėje byloje </w:t>
      </w:r>
      <w:r w:rsidR="007E04A1" w:rsidRPr="007D3F98">
        <w:rPr>
          <w:rFonts w:asciiTheme="minorHAnsi" w:hAnsiTheme="minorHAnsi" w:cstheme="minorHAnsi"/>
          <w:sz w:val="22"/>
          <w:szCs w:val="22"/>
        </w:rPr>
        <w:t>Nr. A-903-525/2019</w:t>
      </w:r>
    </w:p>
    <w:p w14:paraId="55077D37" w14:textId="77777777" w:rsidR="007E04A1" w:rsidRPr="007D3F98" w:rsidRDefault="007E04A1" w:rsidP="007E04A1">
      <w:pPr>
        <w:jc w:val="both"/>
        <w:rPr>
          <w:rFonts w:asciiTheme="minorHAnsi" w:hAnsiTheme="minorHAnsi" w:cstheme="minorHAnsi"/>
          <w:sz w:val="22"/>
          <w:szCs w:val="22"/>
        </w:rPr>
      </w:pPr>
      <w:r w:rsidRPr="007D3F98">
        <w:rPr>
          <w:rFonts w:asciiTheme="minorHAnsi" w:hAnsiTheme="minorHAnsi" w:cstheme="minorHAnsi"/>
          <w:sz w:val="22"/>
          <w:szCs w:val="22"/>
        </w:rPr>
        <w:t>Teisminio proceso Nr. 3-61-3-01274-2017-7</w:t>
      </w:r>
    </w:p>
    <w:p w14:paraId="1B5B89BD" w14:textId="77777777" w:rsidR="007E04A1" w:rsidRPr="007D3F98" w:rsidRDefault="007E04A1" w:rsidP="007E04A1">
      <w:pPr>
        <w:jc w:val="both"/>
        <w:rPr>
          <w:rFonts w:asciiTheme="minorHAnsi" w:hAnsiTheme="minorHAnsi" w:cstheme="minorHAnsi"/>
          <w:sz w:val="22"/>
          <w:szCs w:val="22"/>
        </w:rPr>
      </w:pPr>
      <w:r w:rsidRPr="007D3F98">
        <w:rPr>
          <w:rFonts w:asciiTheme="minorHAnsi" w:hAnsiTheme="minorHAnsi" w:cstheme="minorHAnsi"/>
          <w:sz w:val="22"/>
          <w:szCs w:val="22"/>
        </w:rPr>
        <w:t>Procesinio sprendimo kategorija 6.6</w:t>
      </w:r>
    </w:p>
    <w:p w14:paraId="65E1FE4F" w14:textId="2C83D967" w:rsidR="000C6BFD" w:rsidRPr="007D3F98" w:rsidRDefault="00854B2C" w:rsidP="007E04A1">
      <w:pPr>
        <w:jc w:val="both"/>
        <w:rPr>
          <w:rFonts w:asciiTheme="minorHAnsi" w:hAnsiTheme="minorHAnsi" w:cstheme="minorHAnsi"/>
          <w:sz w:val="22"/>
          <w:szCs w:val="22"/>
        </w:rPr>
      </w:pPr>
      <w:hyperlink r:id="rId10" w:history="1">
        <w:r w:rsidR="000C6BFD" w:rsidRPr="007D3F98">
          <w:rPr>
            <w:rStyle w:val="Hipersaitas"/>
            <w:rFonts w:asciiTheme="minorHAnsi" w:hAnsiTheme="minorHAnsi" w:cstheme="minorHAnsi"/>
            <w:sz w:val="22"/>
            <w:szCs w:val="22"/>
          </w:rPr>
          <w:t>Prieiga internete</w:t>
        </w:r>
      </w:hyperlink>
    </w:p>
    <w:bookmarkEnd w:id="23"/>
    <w:p w14:paraId="6F5DEE8F" w14:textId="77777777" w:rsidR="000C6BFD" w:rsidRPr="007D3F98" w:rsidRDefault="000C6BFD" w:rsidP="00496E0E">
      <w:pPr>
        <w:rPr>
          <w:rFonts w:asciiTheme="minorHAnsi" w:hAnsiTheme="minorHAnsi" w:cstheme="minorHAnsi"/>
          <w:b/>
          <w:bCs/>
          <w:sz w:val="22"/>
          <w:szCs w:val="22"/>
          <w:u w:val="single"/>
        </w:rPr>
      </w:pPr>
    </w:p>
    <w:p w14:paraId="1134C1FF" w14:textId="77777777" w:rsidR="003D1DEB" w:rsidRPr="007D3F98" w:rsidRDefault="003D1DEB" w:rsidP="003D1DEB">
      <w:pPr>
        <w:pStyle w:val="Antrat1"/>
        <w:rPr>
          <w:rFonts w:ascii="Calibri" w:hAnsi="Calibri"/>
        </w:rPr>
      </w:pPr>
      <w:bookmarkStart w:id="24" w:name="_Toc774917"/>
      <w:bookmarkStart w:id="25" w:name="_Toc29392690"/>
      <w:r w:rsidRPr="007D3F98">
        <w:rPr>
          <w:rFonts w:ascii="Calibri" w:hAnsi="Calibri"/>
        </w:rPr>
        <w:t>9. Prieglobstis</w:t>
      </w:r>
      <w:bookmarkEnd w:id="24"/>
      <w:bookmarkEnd w:id="25"/>
    </w:p>
    <w:p w14:paraId="30031ECB" w14:textId="77777777" w:rsidR="003D1DEB" w:rsidRPr="007D3F98" w:rsidRDefault="003D1DEB" w:rsidP="003D1DEB">
      <w:pPr>
        <w:ind w:firstLine="567"/>
        <w:jc w:val="both"/>
        <w:rPr>
          <w:rFonts w:ascii="Calibri" w:hAnsi="Calibri"/>
          <w:b/>
          <w:sz w:val="22"/>
          <w:szCs w:val="22"/>
          <w:u w:val="single"/>
        </w:rPr>
      </w:pPr>
      <w:r w:rsidRPr="007D3F98">
        <w:rPr>
          <w:rFonts w:ascii="Calibri" w:hAnsi="Calibri"/>
          <w:b/>
          <w:sz w:val="22"/>
          <w:szCs w:val="22"/>
          <w:u w:val="single"/>
        </w:rPr>
        <w:t>9.2. Pabėgėlio statuso suteikimas</w:t>
      </w:r>
    </w:p>
    <w:p w14:paraId="43034118"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6EE5073E" w14:textId="77777777" w:rsidR="003D1DEB" w:rsidRPr="007D3F98" w:rsidRDefault="003D1DEB" w:rsidP="003D1DEB">
      <w:pPr>
        <w:pStyle w:val="Antrat2"/>
        <w:rPr>
          <w:rFonts w:ascii="Calibri" w:hAnsi="Calibri"/>
        </w:rPr>
      </w:pPr>
      <w:bookmarkStart w:id="26" w:name="_Toc29392691"/>
      <w:r w:rsidRPr="007D3F98">
        <w:rPr>
          <w:rFonts w:ascii="Calibri" w:hAnsi="Calibri"/>
        </w:rPr>
        <w:t>Dėl kalinimo sąlygų kilmės valstybėje reikšmės sprendžiant dėl pabėgėlio statuso ar papildomos apsaugos suteikimo</w:t>
      </w:r>
      <w:bookmarkEnd w:id="26"/>
      <w:r w:rsidRPr="007D3F98">
        <w:rPr>
          <w:rFonts w:ascii="Calibri" w:hAnsi="Calibri"/>
        </w:rPr>
        <w:t xml:space="preserve"> </w:t>
      </w:r>
    </w:p>
    <w:p w14:paraId="6353B7FA"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1DC5E5BD"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Nagrinėtoje byloje ginčas kilo dėl Migracijos departamento sprendimo, kuriuo pareiškėjui atsisakyta suteikti prieglobstį ir papildomą apsaugą, pagrįstumo ir teisėtumo bei įpareigojimo atlikti veiksmus. </w:t>
      </w:r>
    </w:p>
    <w:p w14:paraId="4C0B3710" w14:textId="79403DB6"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LVAT pažymėjo, kad bylos faktinėms aplinkybėms taikytinos </w:t>
      </w:r>
      <w:r w:rsidR="00B42F74" w:rsidRPr="007D3F98">
        <w:rPr>
          <w:rFonts w:ascii="Calibri" w:eastAsia="Calibri" w:hAnsi="Calibri" w:cs="Calibri"/>
          <w:color w:val="000000"/>
          <w:sz w:val="22"/>
          <w:szCs w:val="22"/>
          <w:shd w:val="clear" w:color="auto" w:fill="FFFFFF"/>
          <w:lang w:eastAsia="en-US"/>
        </w:rPr>
        <w:t>Įstatymo „Dėl užsieniečių teisinės padėties“ (toliau – Įstatymas)</w:t>
      </w:r>
      <w:r w:rsidRPr="007D3F98">
        <w:rPr>
          <w:rFonts w:ascii="Calibri" w:eastAsia="Calibri" w:hAnsi="Calibri" w:cs="Calibri"/>
          <w:color w:val="000000"/>
          <w:sz w:val="22"/>
          <w:szCs w:val="22"/>
          <w:shd w:val="clear" w:color="auto" w:fill="FFFFFF"/>
          <w:lang w:eastAsia="en-US"/>
        </w:rPr>
        <w:t>, jį įgyvendinančių teisės aktų nuostatos, taip pat tarptautinės teisės ir Europos Sąjungos teisės aktai (1951 m. liepos 28 d. Ženevos konvencija dėl pabėgėlio statuso (toliau – Konvencija), Europos Sąjungos pagrindin</w:t>
      </w:r>
      <w:r w:rsidR="00B42F74" w:rsidRPr="007D3F98">
        <w:rPr>
          <w:rFonts w:ascii="Calibri" w:eastAsia="Calibri" w:hAnsi="Calibri" w:cs="Calibri"/>
          <w:color w:val="000000"/>
          <w:sz w:val="22"/>
          <w:szCs w:val="22"/>
          <w:shd w:val="clear" w:color="auto" w:fill="FFFFFF"/>
          <w:lang w:eastAsia="en-US"/>
        </w:rPr>
        <w:t xml:space="preserve">ių teisių chartija (toliau – </w:t>
      </w:r>
      <w:r w:rsidRPr="007D3F98">
        <w:rPr>
          <w:rFonts w:ascii="Calibri" w:eastAsia="Calibri" w:hAnsi="Calibri" w:cs="Calibri"/>
          <w:color w:val="000000"/>
          <w:sz w:val="22"/>
          <w:szCs w:val="22"/>
          <w:shd w:val="clear" w:color="auto" w:fill="FFFFFF"/>
          <w:lang w:eastAsia="en-US"/>
        </w:rPr>
        <w:t>Chartija), 2011 m. gruodžio 13 d. Europos Parlamento ir Tarybos direktyva 2011/95/ES dėl trečiųjų šalių piliečių ar asmenų be pilietybės priskyrimo prie tarptautinės apsaugos gavėjų, vienodo statuso pabėgėliams arba papildomą apsaugą galintiems gauti asmenims ir suteikiamos apsaugos pobūdžio reikalavimų (toli</w:t>
      </w:r>
      <w:r w:rsidR="00B42F74" w:rsidRPr="007D3F98">
        <w:rPr>
          <w:rFonts w:ascii="Calibri" w:eastAsia="Calibri" w:hAnsi="Calibri" w:cs="Calibri"/>
          <w:color w:val="000000"/>
          <w:sz w:val="22"/>
          <w:szCs w:val="22"/>
          <w:shd w:val="clear" w:color="auto" w:fill="FFFFFF"/>
          <w:lang w:eastAsia="en-US"/>
        </w:rPr>
        <w:t>au – Kvalifikavimo direktyva</w:t>
      </w:r>
      <w:r w:rsidRPr="007D3F98">
        <w:rPr>
          <w:rFonts w:ascii="Calibri" w:eastAsia="Calibri" w:hAnsi="Calibri" w:cs="Calibri"/>
          <w:color w:val="000000"/>
          <w:sz w:val="22"/>
          <w:szCs w:val="22"/>
          <w:shd w:val="clear" w:color="auto" w:fill="FFFFFF"/>
          <w:lang w:eastAsia="en-US"/>
        </w:rPr>
        <w:t xml:space="preserve">). LVAT pažymėjo, jog Įstatymo (redakcija, galiojusi nuo 2018 m. sausio 1 d.) nuostatos yra pagrįstos Konvencija, jos taip pat įgyvendina Kvalifikavimo direktyvą. Įvertinusi Įstatymo 86-87 straipsnių nuostatas, teisėjų kolegija priminė, jog </w:t>
      </w:r>
      <w:r w:rsidR="00B42F74" w:rsidRPr="007D3F98">
        <w:rPr>
          <w:rFonts w:ascii="Calibri" w:eastAsia="Calibri" w:hAnsi="Calibri" w:cs="Calibri"/>
          <w:color w:val="000000"/>
          <w:sz w:val="22"/>
          <w:szCs w:val="22"/>
          <w:shd w:val="clear" w:color="auto" w:fill="FFFFFF"/>
          <w:lang w:eastAsia="en-US"/>
        </w:rPr>
        <w:t>LVAT</w:t>
      </w:r>
      <w:r w:rsidRPr="007D3F98">
        <w:rPr>
          <w:rFonts w:ascii="Calibri" w:eastAsia="Calibri" w:hAnsi="Calibri" w:cs="Calibri"/>
          <w:color w:val="000000"/>
          <w:sz w:val="22"/>
          <w:szCs w:val="22"/>
          <w:shd w:val="clear" w:color="auto" w:fill="FFFFFF"/>
          <w:lang w:eastAsia="en-US"/>
        </w:rPr>
        <w:t xml:space="preserve"> praktikoje laikomasi nuostatos, kad pabėgėlio statuso suteikimas turi būti siejamas su aplinkybių</w:t>
      </w:r>
      <w:r w:rsidR="00B42F74" w:rsidRPr="007D3F98">
        <w:rPr>
          <w:rFonts w:ascii="Calibri" w:eastAsia="Calibri" w:hAnsi="Calibri" w:cs="Calibri"/>
          <w:color w:val="000000"/>
          <w:sz w:val="22"/>
          <w:szCs w:val="22"/>
          <w:shd w:val="clear" w:color="auto" w:fill="FFFFFF"/>
          <w:lang w:eastAsia="en-US"/>
        </w:rPr>
        <w:t xml:space="preserve"> konstatavimu</w:t>
      </w:r>
      <w:r w:rsidRPr="007D3F98">
        <w:rPr>
          <w:rFonts w:ascii="Calibri" w:eastAsia="Calibri" w:hAnsi="Calibri" w:cs="Calibri"/>
          <w:color w:val="000000"/>
          <w:sz w:val="22"/>
          <w:szCs w:val="22"/>
          <w:shd w:val="clear" w:color="auto" w:fill="FFFFFF"/>
          <w:lang w:eastAsia="en-US"/>
        </w:rPr>
        <w:t>, kad prieglobsčio prašytojas gali būti persekiojamas dėl priklausymo istoriškai susidariusiai teritorinei žmonių grupei, tautai, priklausymo atitinkamai visuomeninei grupei, dėl teisės laisvai reikšti politinius įsitikinimus, atitinkamo tikėjimo</w:t>
      </w:r>
      <w:r w:rsidR="00B42F74" w:rsidRPr="007D3F98">
        <w:rPr>
          <w:rFonts w:ascii="Calibri" w:eastAsia="Calibri" w:hAnsi="Calibri" w:cs="Calibri"/>
          <w:color w:val="000000"/>
          <w:sz w:val="22"/>
          <w:szCs w:val="22"/>
          <w:shd w:val="clear" w:color="auto" w:fill="FFFFFF"/>
          <w:lang w:eastAsia="en-US"/>
        </w:rPr>
        <w:t xml:space="preserve"> išpažinimo</w:t>
      </w:r>
      <w:r w:rsidRPr="007D3F98">
        <w:rPr>
          <w:rFonts w:ascii="Calibri" w:eastAsia="Calibri" w:hAnsi="Calibri" w:cs="Calibri"/>
          <w:color w:val="000000"/>
          <w:sz w:val="22"/>
          <w:szCs w:val="22"/>
          <w:shd w:val="clear" w:color="auto" w:fill="FFFFFF"/>
          <w:lang w:eastAsia="en-US"/>
        </w:rPr>
        <w:t>. Persekiojimo baimė turi būti reali, pagrįsta bent viena iš Konvencijos 1 straipsnio A dalies 2 punkte išvardytų priežasčių, taip pat atitikti Įstatymo 86 straipsnio 1 dalyje nurodytas sąlygas. Galimas persekiojimas dėl kurios nors iš nurodytų priežasčių turi būti pagrįstas konkrečių faktinių duomenų visuma, o ne bendro pobūdžio teiginiais apie galimo persekiojimo baimę. Be to, persekiojimas turi būti individualaus pobūdžio.</w:t>
      </w:r>
    </w:p>
    <w:p w14:paraId="654C2B84" w14:textId="3E7B436F"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Remiantis EŽTT praktika prieglobsčio bylose, siekiant išsiaiškinti, ar prieglobsčio prašančio asmens prašymas yra pagrįstas, </w:t>
      </w:r>
      <w:r w:rsidRPr="007D3F98">
        <w:rPr>
          <w:rFonts w:ascii="Calibri" w:eastAsia="Calibri" w:hAnsi="Calibri" w:cs="Calibri"/>
          <w:color w:val="000000"/>
          <w:sz w:val="22"/>
          <w:szCs w:val="22"/>
          <w:u w:val="single"/>
          <w:shd w:val="clear" w:color="auto" w:fill="FFFFFF"/>
          <w:lang w:eastAsia="en-US"/>
        </w:rPr>
        <w:t xml:space="preserve">turi būti nustatyta, kad įvykus tokio asmens deportacijai kyla reali rizika, kad asmuo </w:t>
      </w:r>
      <w:r w:rsidRPr="007D3F98">
        <w:rPr>
          <w:rFonts w:ascii="Calibri" w:eastAsia="Calibri" w:hAnsi="Calibri" w:cs="Calibri"/>
          <w:color w:val="000000"/>
          <w:sz w:val="22"/>
          <w:szCs w:val="22"/>
          <w:u w:val="single"/>
          <w:shd w:val="clear" w:color="auto" w:fill="FFFFFF"/>
          <w:lang w:eastAsia="en-US"/>
        </w:rPr>
        <w:lastRenderedPageBreak/>
        <w:t>patirs elgesį, kuris prieštarauja EŽTK 3 straipsnyje įtvirtintam kankinimo draudimui</w:t>
      </w:r>
      <w:r w:rsidRPr="007D3F98">
        <w:rPr>
          <w:rFonts w:ascii="Calibri" w:eastAsia="Calibri" w:hAnsi="Calibri" w:cs="Calibri"/>
          <w:color w:val="000000"/>
          <w:sz w:val="22"/>
          <w:szCs w:val="22"/>
          <w:shd w:val="clear" w:color="auto" w:fill="FFFFFF"/>
          <w:lang w:eastAsia="en-US"/>
        </w:rPr>
        <w:t xml:space="preserve">. Tokia rizika turi būti nustatyta remiantis pakankamais įrodymais, atsižvelgiant į konkrečią individualią situaciją (EŽTK 2008 m. rugpjūčio 6 d. sprendimas byloje </w:t>
      </w:r>
      <w:r w:rsidRPr="007D3F98">
        <w:rPr>
          <w:rFonts w:ascii="Calibri" w:eastAsia="Calibri" w:hAnsi="Calibri" w:cs="Calibri"/>
          <w:i/>
          <w:color w:val="000000"/>
          <w:sz w:val="22"/>
          <w:szCs w:val="22"/>
          <w:shd w:val="clear" w:color="auto" w:fill="FFFFFF"/>
          <w:lang w:eastAsia="en-US"/>
        </w:rPr>
        <w:t>NA prieš Jungtinę Karalystę</w:t>
      </w:r>
      <w:r w:rsidRPr="007D3F98">
        <w:rPr>
          <w:rFonts w:ascii="Calibri" w:eastAsia="Calibri" w:hAnsi="Calibri" w:cs="Calibri"/>
          <w:color w:val="000000"/>
          <w:sz w:val="22"/>
          <w:szCs w:val="22"/>
          <w:shd w:val="clear" w:color="auto" w:fill="FFFFFF"/>
          <w:lang w:eastAsia="en-US"/>
        </w:rPr>
        <w:t xml:space="preserve">, pareiškimo Nr. 25904/07). EŽTT 1997 m. balandžio 29 d. sprendime byloje </w:t>
      </w:r>
      <w:r w:rsidRPr="007D3F98">
        <w:rPr>
          <w:rFonts w:ascii="Calibri" w:eastAsia="Calibri" w:hAnsi="Calibri" w:cs="Calibri"/>
          <w:i/>
          <w:color w:val="000000"/>
          <w:sz w:val="22"/>
          <w:szCs w:val="22"/>
          <w:shd w:val="clear" w:color="auto" w:fill="FFFFFF"/>
          <w:lang w:eastAsia="en-US"/>
        </w:rPr>
        <w:t>H.</w:t>
      </w:r>
      <w:r w:rsidR="00B42F74" w:rsidRPr="007D3F98">
        <w:rPr>
          <w:rFonts w:ascii="Calibri" w:eastAsia="Calibri" w:hAnsi="Calibri" w:cs="Calibri"/>
          <w:i/>
          <w:color w:val="000000"/>
          <w:sz w:val="22"/>
          <w:szCs w:val="22"/>
          <w:shd w:val="clear" w:color="auto" w:fill="FFFFFF"/>
          <w:lang w:eastAsia="en-US"/>
        </w:rPr>
        <w:t xml:space="preserve"> </w:t>
      </w:r>
      <w:r w:rsidRPr="007D3F98">
        <w:rPr>
          <w:rFonts w:ascii="Calibri" w:eastAsia="Calibri" w:hAnsi="Calibri" w:cs="Calibri"/>
          <w:i/>
          <w:color w:val="000000"/>
          <w:sz w:val="22"/>
          <w:szCs w:val="22"/>
          <w:shd w:val="clear" w:color="auto" w:fill="FFFFFF"/>
          <w:lang w:eastAsia="en-US"/>
        </w:rPr>
        <w:t>L.</w:t>
      </w:r>
      <w:r w:rsidR="00B42F74" w:rsidRPr="007D3F98">
        <w:rPr>
          <w:rFonts w:ascii="Calibri" w:eastAsia="Calibri" w:hAnsi="Calibri" w:cs="Calibri"/>
          <w:i/>
          <w:color w:val="000000"/>
          <w:sz w:val="22"/>
          <w:szCs w:val="22"/>
          <w:shd w:val="clear" w:color="auto" w:fill="FFFFFF"/>
          <w:lang w:eastAsia="en-US"/>
        </w:rPr>
        <w:t xml:space="preserve"> </w:t>
      </w:r>
      <w:r w:rsidRPr="007D3F98">
        <w:rPr>
          <w:rFonts w:ascii="Calibri" w:eastAsia="Calibri" w:hAnsi="Calibri" w:cs="Calibri"/>
          <w:i/>
          <w:color w:val="000000"/>
          <w:sz w:val="22"/>
          <w:szCs w:val="22"/>
          <w:shd w:val="clear" w:color="auto" w:fill="FFFFFF"/>
          <w:lang w:eastAsia="en-US"/>
        </w:rPr>
        <w:t>R. prieš Prancūziją</w:t>
      </w:r>
      <w:r w:rsidRPr="007D3F98">
        <w:rPr>
          <w:rFonts w:ascii="Calibri" w:eastAsia="Calibri" w:hAnsi="Calibri" w:cs="Calibri"/>
          <w:color w:val="000000"/>
          <w:sz w:val="22"/>
          <w:szCs w:val="22"/>
          <w:shd w:val="clear" w:color="auto" w:fill="FFFFFF"/>
          <w:lang w:eastAsia="en-US"/>
        </w:rPr>
        <w:t xml:space="preserve">, pareiškimo Nr. 24573/94, pažymėjo, kad </w:t>
      </w:r>
      <w:r w:rsidRPr="007D3F98">
        <w:rPr>
          <w:rFonts w:ascii="Calibri" w:eastAsia="Calibri" w:hAnsi="Calibri" w:cs="Calibri"/>
          <w:color w:val="000000"/>
          <w:sz w:val="22"/>
          <w:szCs w:val="22"/>
          <w:u w:val="single"/>
          <w:shd w:val="clear" w:color="auto" w:fill="FFFFFF"/>
          <w:lang w:eastAsia="en-US"/>
        </w:rPr>
        <w:t>bendra smurto situacija šalyje nereiškia, kad asmens deportavimo atveju jam kyla reali grėsmė ir EŽTK 3 straipsnio pažeidimas</w:t>
      </w:r>
      <w:r w:rsidRPr="007D3F98">
        <w:rPr>
          <w:rFonts w:ascii="Calibri" w:eastAsia="Calibri" w:hAnsi="Calibri" w:cs="Calibri"/>
          <w:color w:val="000000"/>
          <w:sz w:val="22"/>
          <w:szCs w:val="22"/>
          <w:shd w:val="clear" w:color="auto" w:fill="FFFFFF"/>
          <w:lang w:eastAsia="en-US"/>
        </w:rPr>
        <w:t xml:space="preserve">. Atitinkama praktika formuojama ir </w:t>
      </w:r>
      <w:r w:rsidR="00B42F74" w:rsidRPr="007D3F98">
        <w:rPr>
          <w:rFonts w:ascii="Calibri" w:eastAsia="Calibri" w:hAnsi="Calibri" w:cs="Calibri"/>
          <w:color w:val="000000"/>
          <w:sz w:val="22"/>
          <w:szCs w:val="22"/>
          <w:shd w:val="clear" w:color="auto" w:fill="FFFFFF"/>
          <w:lang w:eastAsia="en-US"/>
        </w:rPr>
        <w:t>LVAT</w:t>
      </w:r>
      <w:r w:rsidRPr="007D3F98">
        <w:rPr>
          <w:rFonts w:ascii="Calibri" w:eastAsia="Calibri" w:hAnsi="Calibri" w:cs="Calibri"/>
          <w:color w:val="000000"/>
          <w:sz w:val="22"/>
          <w:szCs w:val="22"/>
          <w:shd w:val="clear" w:color="auto" w:fill="FFFFFF"/>
          <w:lang w:eastAsia="en-US"/>
        </w:rPr>
        <w:t xml:space="preserve"> nagrinėjamose tokio pobūdžio bylose, pvz., 2009 m. gruodžio 3 d. nutartyje administracinėje byloje Nr. A</w:t>
      </w:r>
      <w:r w:rsidRPr="007D3F98">
        <w:rPr>
          <w:rFonts w:ascii="Calibri" w:eastAsia="Calibri" w:hAnsi="Calibri" w:cs="Calibri"/>
          <w:color w:val="000000"/>
          <w:sz w:val="22"/>
          <w:szCs w:val="22"/>
          <w:shd w:val="clear" w:color="auto" w:fill="FFFFFF"/>
          <w:vertAlign w:val="superscript"/>
          <w:lang w:eastAsia="en-US"/>
        </w:rPr>
        <w:t>662</w:t>
      </w:r>
      <w:r w:rsidRPr="007D3F98">
        <w:rPr>
          <w:rFonts w:ascii="Calibri" w:eastAsia="Calibri" w:hAnsi="Calibri" w:cs="Calibri"/>
          <w:color w:val="000000"/>
          <w:sz w:val="22"/>
          <w:szCs w:val="22"/>
          <w:shd w:val="clear" w:color="auto" w:fill="FFFFFF"/>
          <w:lang w:eastAsia="en-US"/>
        </w:rPr>
        <w:t xml:space="preserve">-1380/2009 konstatuota, kad </w:t>
      </w:r>
      <w:r w:rsidRPr="007D3F98">
        <w:rPr>
          <w:rFonts w:ascii="Calibri" w:eastAsia="Calibri" w:hAnsi="Calibri" w:cs="Calibri"/>
          <w:color w:val="000000"/>
          <w:sz w:val="22"/>
          <w:szCs w:val="22"/>
          <w:u w:val="single"/>
          <w:shd w:val="clear" w:color="auto" w:fill="FFFFFF"/>
          <w:lang w:eastAsia="en-US"/>
        </w:rPr>
        <w:t>tai, jog šalyje yra pažeidžiamos žmogaus teisės, dar nereiškia, jog savaime dėl to bus suteikiama papildoma apsauga</w:t>
      </w:r>
      <w:r w:rsidRPr="007D3F98">
        <w:rPr>
          <w:rFonts w:ascii="Calibri" w:eastAsia="Calibri" w:hAnsi="Calibri" w:cs="Calibri"/>
          <w:color w:val="000000"/>
          <w:sz w:val="22"/>
          <w:szCs w:val="22"/>
          <w:shd w:val="clear" w:color="auto" w:fill="FFFFFF"/>
          <w:lang w:eastAsia="en-US"/>
        </w:rPr>
        <w:t>, nes žmogaus teisių pažeidimų egzistavimo faktas savaime neįrodo prieglobsčio prašytojo baimės asmeniškai tapti tokio pobūdžio pažeidimų auka pagrįstumo.</w:t>
      </w:r>
    </w:p>
    <w:p w14:paraId="362E4477" w14:textId="045A4D46"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Nagrinėtoje byloje pareiškėjo prašymas suteikti jam prieglobstį Lietuvos Respublikoje iš esmės buvo grindžiamas tuo, kad kilmės valstybėje jam gresia sulaikymas dėl jam nepagrįstai vykdomo baudžiamojo persekiojimo, kurį inicijavo valdžios atstovai, siekdami padaryti spaudimą jo tėvui. Byloje pateikti duomenys patvirtino, kad pareiškėjas savo kilmės valstybėje buvo patrauktas kaltinamuoju dėl padarytos baudžiamosios veikos, už kurią asmuo baudžiamas laisvės atėmimo bausme iki 6 metų. Nusikalstamos veikos, kurių padarymu kaltintas pareiškėjas, pagal faktines aplinkybes atitiko ir nusikalstamas veikas, įtvirtintas </w:t>
      </w:r>
      <w:r w:rsidR="00B42F74" w:rsidRPr="007D3F98">
        <w:rPr>
          <w:rFonts w:ascii="Calibri" w:eastAsia="Calibri" w:hAnsi="Calibri" w:cs="Calibri"/>
          <w:color w:val="000000"/>
          <w:sz w:val="22"/>
          <w:szCs w:val="22"/>
          <w:shd w:val="clear" w:color="auto" w:fill="FFFFFF"/>
          <w:lang w:eastAsia="en-US"/>
        </w:rPr>
        <w:t>BK</w:t>
      </w:r>
      <w:r w:rsidRPr="007D3F98">
        <w:rPr>
          <w:rFonts w:ascii="Calibri" w:eastAsia="Calibri" w:hAnsi="Calibri" w:cs="Calibri"/>
          <w:color w:val="000000"/>
          <w:sz w:val="22"/>
          <w:szCs w:val="22"/>
          <w:shd w:val="clear" w:color="auto" w:fill="FFFFFF"/>
          <w:lang w:eastAsia="en-US"/>
        </w:rPr>
        <w:t xml:space="preserve"> ir už jas maksimali nustatyta sankcija – laisvės atėmimas iki 6 metų. Migracijos departamentas, nustatęs, jog pareiškėjo atžvilgiu vykdomas baudžiamasis persekiojimas, atkreipė dėmesį, jog </w:t>
      </w:r>
      <w:r w:rsidRPr="007D3F98">
        <w:rPr>
          <w:rFonts w:ascii="Calibri" w:eastAsia="Calibri" w:hAnsi="Calibri" w:cs="Calibri"/>
          <w:color w:val="000000"/>
          <w:sz w:val="22"/>
          <w:szCs w:val="22"/>
          <w:u w:val="single"/>
          <w:shd w:val="clear" w:color="auto" w:fill="FFFFFF"/>
          <w:lang w:eastAsia="en-US"/>
        </w:rPr>
        <w:t>baudžiamasis persekiojimas yra pagrindas suteikti pabėgėlio statusą tik tuo atveju, jei prieglobsčio prašytojas dėl visiškai pa</w:t>
      </w:r>
      <w:r w:rsidR="00B42F74" w:rsidRPr="007D3F98">
        <w:rPr>
          <w:rFonts w:ascii="Calibri" w:eastAsia="Calibri" w:hAnsi="Calibri" w:cs="Calibri"/>
          <w:color w:val="000000"/>
          <w:sz w:val="22"/>
          <w:szCs w:val="22"/>
          <w:u w:val="single"/>
          <w:shd w:val="clear" w:color="auto" w:fill="FFFFFF"/>
          <w:lang w:eastAsia="en-US"/>
        </w:rPr>
        <w:t>grįstos baimės būti persekiojamu</w:t>
      </w:r>
      <w:r w:rsidRPr="007D3F98">
        <w:rPr>
          <w:rFonts w:ascii="Calibri" w:eastAsia="Calibri" w:hAnsi="Calibri" w:cs="Calibri"/>
          <w:color w:val="000000"/>
          <w:sz w:val="22"/>
          <w:szCs w:val="22"/>
          <w:u w:val="single"/>
          <w:shd w:val="clear" w:color="auto" w:fill="FFFFFF"/>
          <w:lang w:eastAsia="en-US"/>
        </w:rPr>
        <w:t xml:space="preserve"> dėl rasės, religijos, tautybės, priklausymo tam tikrai socialinei grupei ar dėl politinių įsitikinimų yra už valstybės, kurios pilietis jis yra, ribų ir negali ar bijo naudotis tos valstybės apsauga</w:t>
      </w:r>
      <w:r w:rsidRPr="007D3F98">
        <w:rPr>
          <w:rFonts w:ascii="Calibri" w:eastAsia="Calibri" w:hAnsi="Calibri" w:cs="Calibri"/>
          <w:color w:val="000000"/>
          <w:sz w:val="22"/>
          <w:szCs w:val="22"/>
          <w:shd w:val="clear" w:color="auto" w:fill="FFFFFF"/>
          <w:lang w:eastAsia="en-US"/>
        </w:rPr>
        <w:t>.</w:t>
      </w:r>
    </w:p>
    <w:p w14:paraId="28055715" w14:textId="6BE8E18C"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LVAT, įvertinęs bylos medžiagą, sutiko su atsakovu, jog nenustatyta, kad </w:t>
      </w:r>
      <w:bookmarkStart w:id="27" w:name="Buk_92"/>
      <w:r w:rsidRPr="007D3F98">
        <w:rPr>
          <w:rFonts w:ascii="Calibri" w:eastAsia="Calibri" w:hAnsi="Calibri" w:cs="Calibri"/>
          <w:color w:val="000000"/>
          <w:sz w:val="22"/>
          <w:szCs w:val="22"/>
          <w:shd w:val="clear" w:color="auto" w:fill="FFFFFF"/>
          <w:lang w:eastAsia="en-US"/>
        </w:rPr>
        <w:t xml:space="preserve">pareiškėjo </w:t>
      </w:r>
      <w:bookmarkEnd w:id="27"/>
      <w:r w:rsidRPr="007D3F98">
        <w:rPr>
          <w:rFonts w:ascii="Calibri" w:eastAsia="Calibri" w:hAnsi="Calibri" w:cs="Calibri"/>
          <w:color w:val="000000"/>
          <w:sz w:val="22"/>
          <w:szCs w:val="22"/>
          <w:shd w:val="clear" w:color="auto" w:fill="FFFFFF"/>
          <w:lang w:eastAsia="en-US"/>
        </w:rPr>
        <w:t xml:space="preserve">atžvilgiu iškelta baudžiamąja byla siekiama padaryti spaudimą jo tėvui, taip pat nenustatyta, kad iškelta baudžiamoji byla yra sufabrikuota. Byloje nenustatyta ir tai, kad pareiškėjo atžvilgiu vykdomas baudžiamasis persekiojimas būtų neproporcingas ir diskriminacinis. Teisėjų kolegija atkreipė dėmesį į tai, kad pareiškėjo nurodomi </w:t>
      </w:r>
      <w:r w:rsidRPr="007D3F98">
        <w:rPr>
          <w:rFonts w:ascii="Calibri" w:eastAsia="Calibri" w:hAnsi="Calibri" w:cs="Calibri"/>
          <w:color w:val="000000"/>
          <w:sz w:val="22"/>
          <w:szCs w:val="22"/>
          <w:u w:val="single"/>
          <w:shd w:val="clear" w:color="auto" w:fill="FFFFFF"/>
          <w:lang w:eastAsia="en-US"/>
        </w:rPr>
        <w:t>baudžiamosios bylos fabrikavimo požymiai prieglobsčio byloje gali būti vertinami itin atsargiai ir tik per galimo asmens persekiojimo dėl rasės, religijos, tautybės, priklausymo tam tikrai socialinei grupei ar dėl politinių įsitikinimų Įstatymo 86 straipsnio prasme prizmę</w:t>
      </w:r>
      <w:r w:rsidRPr="007D3F98">
        <w:rPr>
          <w:rFonts w:ascii="Calibri" w:eastAsia="Calibri" w:hAnsi="Calibri" w:cs="Calibri"/>
          <w:color w:val="000000"/>
          <w:sz w:val="22"/>
          <w:szCs w:val="22"/>
          <w:shd w:val="clear" w:color="auto" w:fill="FFFFFF"/>
          <w:lang w:eastAsia="en-US"/>
        </w:rPr>
        <w:t xml:space="preserve">. Tačiau teisėjų kolegija prieglobsčio byloje neturi jurisdikcijos spręsti dėl tam tikrų procedūrinių pažeidimų konkrečioje baudžiamojoje byloje ir minėtus </w:t>
      </w:r>
      <w:r w:rsidRPr="007D3F98">
        <w:rPr>
          <w:rFonts w:ascii="Calibri" w:eastAsia="Calibri" w:hAnsi="Calibri" w:cs="Calibri"/>
          <w:color w:val="000000"/>
          <w:sz w:val="22"/>
          <w:szCs w:val="22"/>
          <w:u w:val="single"/>
          <w:shd w:val="clear" w:color="auto" w:fill="FFFFFF"/>
          <w:lang w:eastAsia="en-US"/>
        </w:rPr>
        <w:t>procedūrinius pažeidimus gali vertinti tik tiek, kiek jie gali sustiprinti argumentus dėl asmens persekiojimo</w:t>
      </w:r>
      <w:r w:rsidRPr="007D3F98">
        <w:rPr>
          <w:rFonts w:ascii="Calibri" w:eastAsia="Calibri" w:hAnsi="Calibri" w:cs="Calibri"/>
          <w:color w:val="000000"/>
          <w:sz w:val="22"/>
          <w:szCs w:val="22"/>
          <w:shd w:val="clear" w:color="auto" w:fill="FFFFFF"/>
          <w:lang w:eastAsia="en-US"/>
        </w:rPr>
        <w:t>. Todėl teisėjų kolegija konstatavo, kad nėra teisinių pagrindų pareiškėjo baudžiamąjį persekiojimą pripažinti atitin</w:t>
      </w:r>
      <w:r w:rsidR="00B42F74" w:rsidRPr="007D3F98">
        <w:rPr>
          <w:rFonts w:ascii="Calibri" w:eastAsia="Calibri" w:hAnsi="Calibri" w:cs="Calibri"/>
          <w:color w:val="000000"/>
          <w:sz w:val="22"/>
          <w:szCs w:val="22"/>
          <w:shd w:val="clear" w:color="auto" w:fill="FFFFFF"/>
          <w:lang w:eastAsia="en-US"/>
        </w:rPr>
        <w:t>kančiu Įstatymo 86 straipsnio 1 </w:t>
      </w:r>
      <w:r w:rsidRPr="007D3F98">
        <w:rPr>
          <w:rFonts w:ascii="Calibri" w:eastAsia="Calibri" w:hAnsi="Calibri" w:cs="Calibri"/>
          <w:color w:val="000000"/>
          <w:sz w:val="22"/>
          <w:szCs w:val="22"/>
          <w:shd w:val="clear" w:color="auto" w:fill="FFFFFF"/>
          <w:lang w:eastAsia="en-US"/>
        </w:rPr>
        <w:t xml:space="preserve">dalies sąlygas. </w:t>
      </w:r>
    </w:p>
    <w:p w14:paraId="6FEA8FE7"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Pasisakydama dėl kalinimo sąlygų kilmės valstybėje, teisėjų kolegija pažymėjo, kad atsakovas nurodė, jog, įvertinus kalėjimų sąlygas kilmės valstybėje bei EŽTT praktiką, bausmių atlikimo ir sulaikymo įstaigos yra perpildytos, sanitarinės ir higienos sąlygos dažnai sąlygoja žmogaus orumo pažeidimą, </w:t>
      </w:r>
      <w:r w:rsidRPr="007D3F98">
        <w:rPr>
          <w:rFonts w:ascii="Calibri" w:eastAsia="Calibri" w:hAnsi="Calibri" w:cs="Calibri"/>
          <w:color w:val="000000"/>
          <w:sz w:val="22"/>
          <w:szCs w:val="22"/>
          <w:u w:val="single"/>
          <w:shd w:val="clear" w:color="auto" w:fill="FFFFFF"/>
          <w:lang w:eastAsia="en-US"/>
        </w:rPr>
        <w:t>EŽTT nuomone, tokios aplinkybės sudaro rimtą pagrindą svarstyti ar įkalinimo sąlygos nesąlygoja žeminančio elgesio</w:t>
      </w:r>
      <w:r w:rsidRPr="007D3F98">
        <w:rPr>
          <w:rFonts w:ascii="Calibri" w:eastAsia="Calibri" w:hAnsi="Calibri" w:cs="Calibri"/>
          <w:color w:val="000000"/>
          <w:sz w:val="22"/>
          <w:szCs w:val="22"/>
          <w:shd w:val="clear" w:color="auto" w:fill="FFFFFF"/>
          <w:lang w:eastAsia="en-US"/>
        </w:rPr>
        <w:t xml:space="preserve">. Tačiau EŽTT bylose formuojama praktika, kad </w:t>
      </w:r>
      <w:r w:rsidRPr="007D3F98">
        <w:rPr>
          <w:rFonts w:ascii="Calibri" w:eastAsia="Calibri" w:hAnsi="Calibri" w:cs="Calibri"/>
          <w:color w:val="000000"/>
          <w:sz w:val="22"/>
          <w:szCs w:val="22"/>
          <w:u w:val="single"/>
          <w:shd w:val="clear" w:color="auto" w:fill="FFFFFF"/>
          <w:lang w:eastAsia="en-US"/>
        </w:rPr>
        <w:t>vien blogų kalinimo sąlygų neužtenka, asmuo turi įrodyti, kad jis negali būti išsiųstas dėl individualių aplinkybių</w:t>
      </w:r>
      <w:r w:rsidRPr="007D3F98">
        <w:rPr>
          <w:rFonts w:ascii="Calibri" w:eastAsia="Calibri" w:hAnsi="Calibri" w:cs="Calibri"/>
          <w:color w:val="000000"/>
          <w:sz w:val="22"/>
          <w:szCs w:val="22"/>
          <w:shd w:val="clear" w:color="auto" w:fill="FFFFFF"/>
          <w:lang w:eastAsia="en-US"/>
        </w:rPr>
        <w:t xml:space="preserve">. Byloje nebuvo nustatyta individualių pareiškėjo aplinkybių, kurios, jam grįžus į kilmės valstybę, lemtų netinkamą elgesį prieš jį kilmės valstybės kalinimo įstaigose. </w:t>
      </w:r>
    </w:p>
    <w:p w14:paraId="149F7181"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Pasisakant dėl papildomos apsaugos taip pat nurodyta, kad be aplinkybių, kurios buvo nagrinėjamos sprendžiant dėl pabėgėlio statuso pareiškėjui suteikimo, pareiškėjas nenurodė kitų kilmės valstybėje jam kylančių grėsmių. Todėl LVAT sutiko su atsakovu, jog pareiškėjo baimė patirti netinkamą elgesį kilmės valstybės įkalinimo įstaigose yra paremta bendro pobūdžio situacija, o ne individualiomis su pareiškėju susijusiomis aplinkybėmis.</w:t>
      </w:r>
    </w:p>
    <w:p w14:paraId="43D21A96"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LVAT nutartimi pareiškėjo apeliacinis skundas atmestas, pirmosios instancijos teismo sprendimas paliktas nepakeistas.</w:t>
      </w:r>
    </w:p>
    <w:p w14:paraId="6E52B339"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75B27D87" w14:textId="77777777" w:rsidR="003D1DEB" w:rsidRPr="007D3F98" w:rsidRDefault="003D1DEB" w:rsidP="003D1DEB">
      <w:pPr>
        <w:jc w:val="both"/>
        <w:rPr>
          <w:rFonts w:ascii="Calibri" w:hAnsi="Calibri"/>
          <w:sz w:val="22"/>
          <w:szCs w:val="22"/>
        </w:rPr>
      </w:pPr>
      <w:r w:rsidRPr="007D3F98">
        <w:rPr>
          <w:rFonts w:ascii="Calibri" w:hAnsi="Calibri"/>
          <w:sz w:val="22"/>
          <w:szCs w:val="22"/>
        </w:rPr>
        <w:t xml:space="preserve">2019 m. lapkričio 28 d. nutartis administracinėje byloje Nr. eA-5474-822/2019 </w:t>
      </w:r>
    </w:p>
    <w:p w14:paraId="5B868C91" w14:textId="77777777" w:rsidR="003D1DEB" w:rsidRPr="007D3F98" w:rsidRDefault="003D1DEB" w:rsidP="003D1DEB">
      <w:pPr>
        <w:jc w:val="both"/>
        <w:rPr>
          <w:rFonts w:ascii="Calibri" w:hAnsi="Calibri"/>
          <w:sz w:val="22"/>
          <w:szCs w:val="22"/>
        </w:rPr>
      </w:pPr>
      <w:r w:rsidRPr="007D3F98">
        <w:rPr>
          <w:rFonts w:ascii="Calibri" w:hAnsi="Calibri"/>
          <w:sz w:val="22"/>
          <w:szCs w:val="22"/>
        </w:rPr>
        <w:t>Teisminio proceso Nr. 3-61-3-02443-2019-8</w:t>
      </w:r>
    </w:p>
    <w:p w14:paraId="53CB7F80" w14:textId="77777777" w:rsidR="003D1DEB" w:rsidRPr="007D3F98" w:rsidRDefault="003D1DEB" w:rsidP="003D1DEB">
      <w:pPr>
        <w:jc w:val="both"/>
        <w:rPr>
          <w:rFonts w:ascii="Calibri" w:hAnsi="Calibri"/>
          <w:sz w:val="22"/>
          <w:szCs w:val="22"/>
        </w:rPr>
      </w:pPr>
      <w:r w:rsidRPr="007D3F98">
        <w:rPr>
          <w:rFonts w:ascii="Calibri" w:hAnsi="Calibri"/>
          <w:sz w:val="22"/>
          <w:szCs w:val="22"/>
        </w:rPr>
        <w:t>Procesinio sprendimo kategorijos: 9.2; 9.3</w:t>
      </w:r>
    </w:p>
    <w:p w14:paraId="40E72FC3" w14:textId="77777777" w:rsidR="003D1DEB" w:rsidRPr="007D3F98" w:rsidRDefault="00854B2C" w:rsidP="003D1DEB">
      <w:pPr>
        <w:jc w:val="both"/>
        <w:rPr>
          <w:rFonts w:ascii="Calibri" w:hAnsi="Calibri"/>
          <w:sz w:val="22"/>
          <w:szCs w:val="22"/>
        </w:rPr>
      </w:pPr>
      <w:hyperlink r:id="rId11" w:history="1">
        <w:r w:rsidR="003D1DEB" w:rsidRPr="007D3F98">
          <w:rPr>
            <w:rFonts w:ascii="Calibri" w:hAnsi="Calibri"/>
            <w:color w:val="0000FF"/>
            <w:sz w:val="22"/>
            <w:szCs w:val="22"/>
            <w:u w:val="single"/>
          </w:rPr>
          <w:t>Prieiga internete</w:t>
        </w:r>
      </w:hyperlink>
      <w:r w:rsidR="003D1DEB" w:rsidRPr="007D3F98">
        <w:rPr>
          <w:rFonts w:ascii="Calibri" w:hAnsi="Calibri"/>
          <w:sz w:val="22"/>
          <w:szCs w:val="22"/>
        </w:rPr>
        <w:t xml:space="preserve"> </w:t>
      </w:r>
    </w:p>
    <w:p w14:paraId="6021A39B" w14:textId="77777777" w:rsidR="00B42F74" w:rsidRPr="007D3F98" w:rsidRDefault="00B42F74" w:rsidP="003D1DEB">
      <w:pPr>
        <w:jc w:val="both"/>
        <w:rPr>
          <w:rFonts w:ascii="Calibri" w:hAnsi="Calibri"/>
          <w:sz w:val="22"/>
          <w:szCs w:val="22"/>
        </w:rPr>
      </w:pPr>
    </w:p>
    <w:p w14:paraId="38A6221D" w14:textId="77777777" w:rsidR="000B07AF" w:rsidRPr="007D3F98" w:rsidRDefault="000B07AF" w:rsidP="00496E0E">
      <w:pPr>
        <w:jc w:val="both"/>
        <w:outlineLvl w:val="0"/>
        <w:rPr>
          <w:rFonts w:ascii="Calibri" w:hAnsi="Calibri"/>
          <w:b/>
          <w:sz w:val="22"/>
          <w:szCs w:val="22"/>
          <w:u w:val="single"/>
        </w:rPr>
      </w:pPr>
      <w:bookmarkStart w:id="28" w:name="_Toc29392692"/>
      <w:bookmarkStart w:id="29" w:name="_Toc774936"/>
      <w:bookmarkStart w:id="30" w:name="_Toc462150005"/>
      <w:bookmarkEnd w:id="13"/>
      <w:bookmarkEnd w:id="14"/>
      <w:bookmarkEnd w:id="15"/>
      <w:bookmarkEnd w:id="16"/>
      <w:r w:rsidRPr="007D3F98">
        <w:rPr>
          <w:rFonts w:ascii="Calibri" w:hAnsi="Calibri"/>
          <w:b/>
          <w:sz w:val="22"/>
          <w:szCs w:val="22"/>
          <w:u w:val="single"/>
        </w:rPr>
        <w:t>12. Mokesčiai, įmokos ir kiti privalomieji mokėjimai</w:t>
      </w:r>
      <w:bookmarkEnd w:id="28"/>
    </w:p>
    <w:p w14:paraId="08902D13" w14:textId="77777777" w:rsidR="000E2EAC" w:rsidRPr="007D3F98" w:rsidRDefault="000E2EAC" w:rsidP="000E2EAC">
      <w:pPr>
        <w:ind w:firstLine="567"/>
        <w:rPr>
          <w:rFonts w:asciiTheme="minorHAnsi" w:hAnsiTheme="minorHAnsi" w:cstheme="minorHAnsi"/>
          <w:b/>
          <w:sz w:val="22"/>
          <w:szCs w:val="22"/>
          <w:u w:val="single"/>
        </w:rPr>
      </w:pPr>
      <w:r w:rsidRPr="007D3F98">
        <w:rPr>
          <w:rFonts w:asciiTheme="minorHAnsi" w:hAnsiTheme="minorHAnsi" w:cstheme="minorHAnsi"/>
          <w:b/>
          <w:sz w:val="22"/>
          <w:szCs w:val="22"/>
          <w:u w:val="single"/>
        </w:rPr>
        <w:t>12.1. Apmokestinimo teisinio reglamentavimo taikymo principai</w:t>
      </w:r>
    </w:p>
    <w:p w14:paraId="1E1DED8C" w14:textId="77777777" w:rsidR="000E2EAC" w:rsidRPr="007D3F98" w:rsidRDefault="000E2EAC" w:rsidP="000E2EAC">
      <w:pPr>
        <w:ind w:firstLine="567"/>
        <w:jc w:val="both"/>
        <w:rPr>
          <w:rFonts w:asciiTheme="minorHAnsi" w:hAnsiTheme="minorHAnsi" w:cstheme="minorHAnsi"/>
          <w:sz w:val="22"/>
          <w:szCs w:val="22"/>
        </w:rPr>
      </w:pPr>
    </w:p>
    <w:p w14:paraId="7D2EDDCF" w14:textId="77777777" w:rsidR="000E2EAC" w:rsidRPr="007D3F98" w:rsidRDefault="000E2EAC" w:rsidP="000E2EAC">
      <w:pPr>
        <w:pStyle w:val="Antrat2"/>
        <w:rPr>
          <w:i w:val="0"/>
        </w:rPr>
      </w:pPr>
      <w:bookmarkStart w:id="31" w:name="_Toc29392693"/>
      <w:r w:rsidRPr="007D3F98">
        <w:t>Dėl pripažinimo, kad tiekimo sandoriai buvo sudaryti piktnaudžiaujant teise, kaip pagrindo paneigti apmokestinamojo asmens teisę į pirkimo PVM atskaitą</w:t>
      </w:r>
      <w:bookmarkEnd w:id="31"/>
    </w:p>
    <w:p w14:paraId="0A00591F" w14:textId="77777777" w:rsidR="000E2EAC" w:rsidRPr="007D3F98" w:rsidRDefault="000E2EAC" w:rsidP="000E2EAC">
      <w:pPr>
        <w:ind w:firstLine="567"/>
        <w:jc w:val="both"/>
        <w:rPr>
          <w:rFonts w:asciiTheme="minorHAnsi" w:hAnsiTheme="minorHAnsi" w:cstheme="minorHAnsi"/>
          <w:sz w:val="22"/>
          <w:szCs w:val="22"/>
        </w:rPr>
      </w:pPr>
    </w:p>
    <w:p w14:paraId="4A67A4BF" w14:textId="1213D32B"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Apžvelgiamoje byloje buvo nagrinėjamas mokestinis ginčas dėl pareiškėjo teisės atskaityti pirkimo PVM už įsigytą 81 nekilnojamojo turto objektą už 5 628 444,75 Eur, iš jų 781 537,52 Eur PVM, mokesčių administratoriui konstatavus, kad šie sandoriai buvo sudaryti siekiant vienintelio tikslo – gauti mokestinę naudą pasididinant grąžintiną iš biudžeto PVM sumą,</w:t>
      </w:r>
      <w:r w:rsidR="000626F5" w:rsidRPr="007D3F98">
        <w:rPr>
          <w:rFonts w:asciiTheme="minorHAnsi" w:hAnsiTheme="minorHAnsi" w:cstheme="minorHAnsi"/>
          <w:sz w:val="22"/>
          <w:szCs w:val="22"/>
        </w:rPr>
        <w:t xml:space="preserve"> t. y. konstatuotas pareiškėjo </w:t>
      </w:r>
      <w:r w:rsidRPr="007D3F98">
        <w:rPr>
          <w:rFonts w:asciiTheme="minorHAnsi" w:hAnsiTheme="minorHAnsi" w:cstheme="minorHAnsi"/>
          <w:sz w:val="22"/>
          <w:szCs w:val="22"/>
        </w:rPr>
        <w:t>piktnaudžiavimas teise į PVM atskaitą.</w:t>
      </w:r>
    </w:p>
    <w:p w14:paraId="05280CDB" w14:textId="3CAEF774"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Šiuo klausimu LVAT pirmiausia priminė, kad</w:t>
      </w:r>
      <w:r w:rsidR="000626F5" w:rsidRPr="007D3F98">
        <w:rPr>
          <w:rFonts w:asciiTheme="minorHAnsi" w:hAnsiTheme="minorHAnsi" w:cstheme="minorHAnsi"/>
          <w:sz w:val="22"/>
          <w:szCs w:val="22"/>
        </w:rPr>
        <w:t xml:space="preserve"> Europos</w:t>
      </w:r>
      <w:r w:rsidRPr="007D3F98">
        <w:rPr>
          <w:rFonts w:asciiTheme="minorHAnsi" w:hAnsiTheme="minorHAnsi" w:cstheme="minorHAnsi"/>
          <w:sz w:val="22"/>
          <w:szCs w:val="22"/>
        </w:rPr>
        <w:t xml:space="preserve"> Sąjungos</w:t>
      </w:r>
      <w:r w:rsidR="002D2176" w:rsidRPr="007D3F98">
        <w:rPr>
          <w:rFonts w:asciiTheme="minorHAnsi" w:hAnsiTheme="minorHAnsi" w:cstheme="minorHAnsi"/>
          <w:sz w:val="22"/>
          <w:szCs w:val="22"/>
        </w:rPr>
        <w:t xml:space="preserve"> (toliau – Sąjunga)</w:t>
      </w:r>
      <w:r w:rsidRPr="007D3F98">
        <w:rPr>
          <w:rFonts w:asciiTheme="minorHAnsi" w:hAnsiTheme="minorHAnsi" w:cstheme="minorHAnsi"/>
          <w:sz w:val="22"/>
          <w:szCs w:val="22"/>
        </w:rPr>
        <w:t xml:space="preserve"> teisės aktų taikymas neturėtų būti išplėstas tiek, kad apimtų ūkio subjektų piktnaudžiavimą, t. y. sandorius, kurie sudaromi ne įprastinėje komercinėje veikloje, bet dėl vienintelio tikslo – įgyti su Sąjungos teise nesuderinamą naudą. Šis draudimo piktnaudžiauti principas taikomas ir PVM sričiai, įskaitant teisę į PVM atskaitą –</w:t>
      </w:r>
      <w:r w:rsidR="002D2176" w:rsidRPr="007D3F98">
        <w:rPr>
          <w:rFonts w:asciiTheme="minorHAnsi" w:hAnsiTheme="minorHAnsi" w:cstheme="minorHAnsi"/>
          <w:sz w:val="22"/>
          <w:szCs w:val="22"/>
        </w:rPr>
        <w:t xml:space="preserve"> </w:t>
      </w:r>
      <w:r w:rsidRPr="007D3F98">
        <w:rPr>
          <w:rFonts w:asciiTheme="minorHAnsi" w:hAnsiTheme="minorHAnsi" w:cstheme="minorHAnsi"/>
          <w:sz w:val="22"/>
          <w:szCs w:val="22"/>
          <w:u w:val="single"/>
        </w:rPr>
        <w:t>Sąjungos teisė draudžia apmokestinamojo asmens teisę atskaityti perkant sumokėtą PVM, jei sandoriai, kuriais grindžiama ši teisė, sudaryti piktnaudžiaujant</w:t>
      </w:r>
      <w:r w:rsidRPr="007D3F98">
        <w:rPr>
          <w:rStyle w:val="Puslapioinaosnuoroda"/>
          <w:rFonts w:asciiTheme="minorHAnsi" w:hAnsiTheme="minorHAnsi" w:cstheme="minorHAnsi"/>
          <w:sz w:val="22"/>
          <w:szCs w:val="22"/>
        </w:rPr>
        <w:footnoteReference w:id="1"/>
      </w:r>
      <w:r w:rsidRPr="007D3F98">
        <w:rPr>
          <w:rFonts w:asciiTheme="minorHAnsi" w:hAnsiTheme="minorHAnsi" w:cstheme="minorHAnsi"/>
          <w:sz w:val="22"/>
          <w:szCs w:val="22"/>
        </w:rPr>
        <w:t xml:space="preserve">. Atsisakymas suteikti teisę arba lengvatą dėl su piktnaudžiavimu arba sukčiavimu susijusių aplinkybių tėra paprasta konstatavimo, kad sukčiavimo arba piktnaudžiavimo teise atveju objektyvios sąlygos, kurios būtinos, kad būtų suteikta siekiama teisė ar lengvata, faktiškai nėra įvykdytos, </w:t>
      </w:r>
      <w:r w:rsidRPr="007D3F98">
        <w:rPr>
          <w:rFonts w:asciiTheme="minorHAnsi" w:hAnsiTheme="minorHAnsi" w:cstheme="minorHAnsi"/>
          <w:sz w:val="22"/>
          <w:szCs w:val="22"/>
          <w:u w:val="single"/>
        </w:rPr>
        <w:t>todėl tokiam atsisakymui nereikia konkretaus teisinio pagrindo.</w:t>
      </w:r>
      <w:r w:rsidRPr="007D3F98">
        <w:rPr>
          <w:rFonts w:asciiTheme="minorHAnsi" w:hAnsiTheme="minorHAnsi" w:cstheme="minorHAnsi"/>
          <w:sz w:val="22"/>
          <w:szCs w:val="22"/>
        </w:rPr>
        <w:t xml:space="preserve"> </w:t>
      </w:r>
      <w:r w:rsidRPr="007D3F98">
        <w:rPr>
          <w:rFonts w:asciiTheme="minorHAnsi" w:hAnsiTheme="minorHAnsi" w:cstheme="minorHAnsi"/>
          <w:sz w:val="22"/>
          <w:szCs w:val="22"/>
          <w:u w:val="single"/>
        </w:rPr>
        <w:t>Draudimo piktnaudžiauti principu gali būti remiamasi prieš apmokestinamąjį asmenį siekiant atsisakyti jam suteikti, be kita ko, teisę į PVM atskaitą, net jeigu nėra tokį atsisakymą numatančių nacionalinės teisės nuostatų</w:t>
      </w:r>
      <w:r w:rsidRPr="007D3F98">
        <w:rPr>
          <w:rStyle w:val="Puslapioinaosnuoroda"/>
          <w:rFonts w:asciiTheme="minorHAnsi" w:hAnsiTheme="minorHAnsi" w:cstheme="minorHAnsi"/>
          <w:sz w:val="22"/>
          <w:szCs w:val="22"/>
          <w:u w:val="single"/>
        </w:rPr>
        <w:footnoteReference w:id="2"/>
      </w:r>
      <w:r w:rsidRPr="007D3F98">
        <w:rPr>
          <w:rFonts w:asciiTheme="minorHAnsi" w:hAnsiTheme="minorHAnsi" w:cstheme="minorHAnsi"/>
          <w:sz w:val="22"/>
          <w:szCs w:val="22"/>
        </w:rPr>
        <w:t>. Be to, piktnaudžiavimo teise atveju (apmokestinamasis) asmuo negali remtis teisinio saugumo ir teisėtų lūkesčių apsaugos principais</w:t>
      </w:r>
      <w:r w:rsidR="002D2176" w:rsidRPr="007D3F98">
        <w:rPr>
          <w:rFonts w:asciiTheme="minorHAnsi" w:hAnsiTheme="minorHAnsi" w:cstheme="minorHAnsi"/>
          <w:sz w:val="22"/>
          <w:szCs w:val="22"/>
        </w:rPr>
        <w:t>,</w:t>
      </w:r>
      <w:r w:rsidRPr="007D3F98">
        <w:rPr>
          <w:rFonts w:asciiTheme="minorHAnsi" w:hAnsiTheme="minorHAnsi" w:cstheme="minorHAnsi"/>
          <w:sz w:val="22"/>
          <w:szCs w:val="22"/>
        </w:rPr>
        <w:t xml:space="preserve"> ginčydamas atsisakymą s</w:t>
      </w:r>
      <w:r w:rsidR="000626F5" w:rsidRPr="007D3F98">
        <w:rPr>
          <w:rFonts w:asciiTheme="minorHAnsi" w:hAnsiTheme="minorHAnsi" w:cstheme="minorHAnsi"/>
          <w:sz w:val="22"/>
          <w:szCs w:val="22"/>
        </w:rPr>
        <w:t>uteikti teisę į PVM atskaitą</w:t>
      </w:r>
      <w:r w:rsidR="002D2176" w:rsidRPr="007D3F98">
        <w:rPr>
          <w:rFonts w:asciiTheme="minorHAnsi" w:hAnsiTheme="minorHAnsi" w:cstheme="minorHAnsi"/>
          <w:sz w:val="22"/>
          <w:szCs w:val="22"/>
        </w:rPr>
        <w:t>,</w:t>
      </w:r>
      <w:r w:rsidR="000626F5" w:rsidRPr="007D3F98">
        <w:rPr>
          <w:rFonts w:asciiTheme="minorHAnsi" w:hAnsiTheme="minorHAnsi" w:cstheme="minorHAnsi"/>
          <w:sz w:val="22"/>
          <w:szCs w:val="22"/>
        </w:rPr>
        <w:t xml:space="preserve"> – </w:t>
      </w:r>
      <w:r w:rsidRPr="007D3F98">
        <w:rPr>
          <w:rFonts w:asciiTheme="minorHAnsi" w:hAnsiTheme="minorHAnsi" w:cstheme="minorHAnsi"/>
          <w:sz w:val="22"/>
          <w:szCs w:val="22"/>
        </w:rPr>
        <w:t>asmuo, kuris susikūrė sąlygas teisei įgyti piktnaudžiaudamas arba sukčiaudamas, negali remtis šiais principais</w:t>
      </w:r>
      <w:r w:rsidR="002D2176" w:rsidRPr="007D3F98">
        <w:rPr>
          <w:rFonts w:asciiTheme="minorHAnsi" w:hAnsiTheme="minorHAnsi" w:cstheme="minorHAnsi"/>
          <w:sz w:val="22"/>
          <w:szCs w:val="22"/>
        </w:rPr>
        <w:t>,</w:t>
      </w:r>
      <w:r w:rsidRPr="007D3F98">
        <w:rPr>
          <w:rFonts w:asciiTheme="minorHAnsi" w:hAnsiTheme="minorHAnsi" w:cstheme="minorHAnsi"/>
          <w:sz w:val="22"/>
          <w:szCs w:val="22"/>
        </w:rPr>
        <w:t xml:space="preserve"> siekdamas ginčyti atsisakymą suteikti atitinkamą teisę</w:t>
      </w:r>
      <w:r w:rsidRPr="007D3F98">
        <w:rPr>
          <w:rStyle w:val="Puslapioinaosnuoroda"/>
          <w:rFonts w:asciiTheme="minorHAnsi" w:hAnsiTheme="minorHAnsi" w:cstheme="minorHAnsi"/>
          <w:sz w:val="22"/>
          <w:szCs w:val="22"/>
        </w:rPr>
        <w:footnoteReference w:id="3"/>
      </w:r>
      <w:r w:rsidRPr="007D3F98">
        <w:rPr>
          <w:rFonts w:asciiTheme="minorHAnsi" w:hAnsiTheme="minorHAnsi" w:cstheme="minorHAnsi"/>
          <w:sz w:val="22"/>
          <w:szCs w:val="22"/>
        </w:rPr>
        <w:t>.</w:t>
      </w:r>
    </w:p>
    <w:p w14:paraId="6C81DC63" w14:textId="6A32637E"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Remdamasis </w:t>
      </w:r>
      <w:r w:rsidR="002D2176" w:rsidRPr="007D3F98">
        <w:rPr>
          <w:rFonts w:asciiTheme="minorHAnsi" w:hAnsiTheme="minorHAnsi" w:cstheme="minorHAnsi"/>
          <w:sz w:val="22"/>
          <w:szCs w:val="22"/>
        </w:rPr>
        <w:t>ESTT</w:t>
      </w:r>
      <w:r w:rsidRPr="007D3F98">
        <w:rPr>
          <w:rFonts w:asciiTheme="minorHAnsi" w:hAnsiTheme="minorHAnsi" w:cstheme="minorHAnsi"/>
          <w:sz w:val="22"/>
          <w:szCs w:val="22"/>
        </w:rPr>
        <w:t xml:space="preserve"> praktika, LVAT nurodė, kad, </w:t>
      </w:r>
      <w:r w:rsidRPr="007D3F98">
        <w:rPr>
          <w:rFonts w:asciiTheme="minorHAnsi" w:hAnsiTheme="minorHAnsi" w:cstheme="minorHAnsi"/>
          <w:sz w:val="22"/>
          <w:szCs w:val="22"/>
          <w:u w:val="single"/>
        </w:rPr>
        <w:t>siekiant įrodyti piktnaudžiavimą būtinas, pirma, objektyvių aplinkybių, iš kurių matyti, kad nors formaliai Sąjungos teisės akte numatytos sąlygos įvykdytos, šio akto tikslas nepasiektas, visetas ir, antra, subjektyvus elementas, kurį sudaro siekis gauti naudos iš Sąjungos teisės akto, dirbtinai sukuriant sąlygas, būtinas šiai naudai gauti</w:t>
      </w:r>
      <w:r w:rsidRPr="007D3F98">
        <w:rPr>
          <w:rFonts w:asciiTheme="minorHAnsi" w:hAnsiTheme="minorHAnsi" w:cstheme="minorHAnsi"/>
          <w:sz w:val="22"/>
          <w:szCs w:val="22"/>
        </w:rPr>
        <w:t>.</w:t>
      </w:r>
    </w:p>
    <w:p w14:paraId="4CF0AFF6" w14:textId="77777777"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Pats piktnaudžiavimas konstatuojamas remiantis ne komercinės veiklos, kuria nagrinėjamus sandorius sudarantis asmuo paprastai užsiima, pobūdžiu, o šių sandorių turiniu, tikslu ir pasekmėmis</w:t>
      </w:r>
      <w:r w:rsidRPr="007D3F98">
        <w:rPr>
          <w:rStyle w:val="Puslapioinaosnuoroda"/>
          <w:rFonts w:asciiTheme="minorHAnsi" w:hAnsiTheme="minorHAnsi" w:cstheme="minorHAnsi"/>
          <w:sz w:val="22"/>
          <w:szCs w:val="22"/>
        </w:rPr>
        <w:footnoteReference w:id="4"/>
      </w:r>
      <w:r w:rsidRPr="007D3F98">
        <w:rPr>
          <w:rFonts w:asciiTheme="minorHAnsi" w:hAnsiTheme="minorHAnsi" w:cstheme="minorHAnsi"/>
          <w:sz w:val="22"/>
          <w:szCs w:val="22"/>
        </w:rPr>
        <w:t xml:space="preserve">. Todėl </w:t>
      </w:r>
      <w:r w:rsidRPr="007D3F98">
        <w:rPr>
          <w:rFonts w:asciiTheme="minorHAnsi" w:hAnsiTheme="minorHAnsi" w:cstheme="minorHAnsi"/>
          <w:sz w:val="22"/>
          <w:szCs w:val="22"/>
          <w:u w:val="single"/>
        </w:rPr>
        <w:t>sprendžiant, ar atitinkamų sandorių pagrindinis tikslas yra mokestinio pranašumo įgijimas, būtina nustatyti realų nagrinėjamų sandorių turinį ir paskirtį</w:t>
      </w:r>
      <w:r w:rsidRPr="007D3F98">
        <w:rPr>
          <w:rFonts w:asciiTheme="minorHAnsi" w:hAnsiTheme="minorHAnsi" w:cstheme="minorHAnsi"/>
          <w:sz w:val="22"/>
          <w:szCs w:val="22"/>
        </w:rPr>
        <w:t xml:space="preserve">. Tai darant galima atsižvelgti į visiškai dirbtinį šių sandorių pobūdį bei, be kita ko, į teisinius, ekonominius ir (arba) asmeninius mokestinės naštos sumažinimo plane dalyvaujančių subjektų ryšius. Be to, </w:t>
      </w:r>
      <w:r w:rsidRPr="007D3F98">
        <w:rPr>
          <w:rFonts w:asciiTheme="minorHAnsi" w:hAnsiTheme="minorHAnsi" w:cstheme="minorHAnsi"/>
          <w:sz w:val="22"/>
          <w:szCs w:val="22"/>
          <w:u w:val="single"/>
        </w:rPr>
        <w:t>tikrinant, ar yra pirmiau paminėtų piktnaudžiavimo požymių, vadovaujamasi nacionalinės teisės įrodymų vertinimo taisyklėmis, kiek jos nepažeidžia Sąjungos teisės veiksmingumo</w:t>
      </w:r>
      <w:r w:rsidRPr="007D3F98">
        <w:rPr>
          <w:rStyle w:val="Puslapioinaosnuoroda"/>
          <w:rFonts w:asciiTheme="minorHAnsi" w:hAnsiTheme="minorHAnsi" w:cstheme="minorHAnsi"/>
          <w:sz w:val="22"/>
          <w:szCs w:val="22"/>
        </w:rPr>
        <w:footnoteReference w:id="5"/>
      </w:r>
      <w:r w:rsidRPr="007D3F98">
        <w:rPr>
          <w:rFonts w:asciiTheme="minorHAnsi" w:hAnsiTheme="minorHAnsi" w:cstheme="minorHAnsi"/>
          <w:sz w:val="22"/>
          <w:szCs w:val="22"/>
        </w:rPr>
        <w:t>.</w:t>
      </w:r>
    </w:p>
    <w:p w14:paraId="489B3CB8" w14:textId="0A0A2B1F"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LVAT taip pat atkreipė dėmesį į tai, kad </w:t>
      </w:r>
      <w:r w:rsidRPr="007D3F98">
        <w:rPr>
          <w:rFonts w:asciiTheme="minorHAnsi" w:hAnsiTheme="minorHAnsi" w:cstheme="minorHAnsi"/>
          <w:sz w:val="22"/>
          <w:szCs w:val="22"/>
          <w:u w:val="single"/>
        </w:rPr>
        <w:t>turėdamas galimybę rinktis iš dviejų sandorių apmokestinamasis asmuo neprivalo pasirinkti didžiausią PVM sumą lemiančio sandorio; atvirkščiai</w:t>
      </w:r>
      <w:r w:rsidR="002D2176" w:rsidRPr="007D3F98">
        <w:rPr>
          <w:rFonts w:asciiTheme="minorHAnsi" w:hAnsiTheme="minorHAnsi" w:cstheme="minorHAnsi"/>
          <w:sz w:val="22"/>
          <w:szCs w:val="22"/>
          <w:u w:val="single"/>
        </w:rPr>
        <w:t xml:space="preserve"> –</w:t>
      </w:r>
      <w:r w:rsidRPr="007D3F98">
        <w:rPr>
          <w:rFonts w:asciiTheme="minorHAnsi" w:hAnsiTheme="minorHAnsi" w:cstheme="minorHAnsi"/>
          <w:sz w:val="22"/>
          <w:szCs w:val="22"/>
          <w:u w:val="single"/>
        </w:rPr>
        <w:t xml:space="preserve"> jis turi teisę rinktis tokį savo veiklos planą, kad sumažintų mokesčio skolą. Apmokestinamieji asmenys, siekdami apriboti jiems tenkančią mokesčių naštą, paprastai gali laisvai pasirinkti organizacines struktūras ir sandorių formas, kurios atrodo tinkamiausios jų ekonominei veiklai</w:t>
      </w:r>
      <w:r w:rsidRPr="007D3F98">
        <w:rPr>
          <w:rStyle w:val="Puslapioinaosnuoroda"/>
          <w:rFonts w:asciiTheme="minorHAnsi" w:hAnsiTheme="minorHAnsi" w:cstheme="minorHAnsi"/>
          <w:sz w:val="22"/>
          <w:szCs w:val="22"/>
        </w:rPr>
        <w:footnoteReference w:id="6"/>
      </w:r>
      <w:r w:rsidRPr="007D3F98">
        <w:rPr>
          <w:rFonts w:asciiTheme="minorHAnsi" w:hAnsiTheme="minorHAnsi" w:cstheme="minorHAnsi"/>
          <w:sz w:val="22"/>
          <w:szCs w:val="22"/>
        </w:rPr>
        <w:t xml:space="preserve">. Be to, verslininko </w:t>
      </w:r>
      <w:r w:rsidRPr="007D3F98">
        <w:rPr>
          <w:rFonts w:asciiTheme="minorHAnsi" w:hAnsiTheme="minorHAnsi" w:cstheme="minorHAnsi"/>
          <w:sz w:val="22"/>
          <w:szCs w:val="22"/>
          <w:u w:val="single"/>
        </w:rPr>
        <w:t>rinkimasis iš atleisto nuo mokesčio sandorio ir apmokestinamojo sandorio</w:t>
      </w:r>
      <w:r w:rsidRPr="007D3F98">
        <w:rPr>
          <w:rFonts w:asciiTheme="minorHAnsi" w:hAnsiTheme="minorHAnsi" w:cstheme="minorHAnsi"/>
          <w:sz w:val="22"/>
          <w:szCs w:val="22"/>
        </w:rPr>
        <w:t xml:space="preserve"> gali būti pagrįstas keliais veiksniais ir, be kita ko, su objektyvia PVM sistema susijusiais mokestinio pobūdžio sumetimais</w:t>
      </w:r>
      <w:r w:rsidRPr="007D3F98">
        <w:rPr>
          <w:rStyle w:val="Puslapioinaosnuoroda"/>
          <w:rFonts w:asciiTheme="minorHAnsi" w:hAnsiTheme="minorHAnsi" w:cstheme="minorHAnsi"/>
          <w:sz w:val="22"/>
          <w:szCs w:val="22"/>
        </w:rPr>
        <w:footnoteReference w:id="7"/>
      </w:r>
      <w:r w:rsidRPr="007D3F98">
        <w:rPr>
          <w:rFonts w:asciiTheme="minorHAnsi" w:hAnsiTheme="minorHAnsi" w:cstheme="minorHAnsi"/>
          <w:sz w:val="22"/>
          <w:szCs w:val="22"/>
        </w:rPr>
        <w:t>.</w:t>
      </w:r>
    </w:p>
    <w:p w14:paraId="06753C35" w14:textId="77777777"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Tačiau, nors </w:t>
      </w:r>
      <w:r w:rsidRPr="007D3F98">
        <w:rPr>
          <w:rFonts w:asciiTheme="minorHAnsi" w:hAnsiTheme="minorHAnsi" w:cstheme="minorHAnsi"/>
          <w:sz w:val="22"/>
          <w:szCs w:val="22"/>
          <w:u w:val="single"/>
        </w:rPr>
        <w:t xml:space="preserve">tai, jog mokesčių mokėtojas ieško palankiausios jam apmokestinimo schemos ar (ir) kitos ekonominės baudos, neturėtų pagrįsti bendrosios piktnaudžiavimo prezumpcijos, vis dėlto toks mokesčių </w:t>
      </w:r>
      <w:r w:rsidRPr="007D3F98">
        <w:rPr>
          <w:rFonts w:asciiTheme="minorHAnsi" w:hAnsiTheme="minorHAnsi" w:cstheme="minorHAnsi"/>
          <w:sz w:val="22"/>
          <w:szCs w:val="22"/>
          <w:u w:val="single"/>
        </w:rPr>
        <w:lastRenderedPageBreak/>
        <w:t>mokėtojas neturėtų pasinaudoti teise ar nauda, kylančia iš Sąjungos teisės, jei aptariamas sandoris ekonominiu aspektu yra visiškai apsimestinis ir juo siekiama išvengti atitinkamos valstybės narės teisės aktų taikymo</w:t>
      </w:r>
      <w:r w:rsidRPr="007D3F98">
        <w:rPr>
          <w:rStyle w:val="Puslapioinaosnuoroda"/>
          <w:rFonts w:asciiTheme="minorHAnsi" w:hAnsiTheme="minorHAnsi" w:cstheme="minorHAnsi"/>
          <w:sz w:val="22"/>
          <w:szCs w:val="22"/>
        </w:rPr>
        <w:footnoteReference w:id="8"/>
      </w:r>
      <w:r w:rsidRPr="007D3F98">
        <w:rPr>
          <w:rFonts w:asciiTheme="minorHAnsi" w:hAnsiTheme="minorHAnsi" w:cstheme="minorHAnsi"/>
          <w:sz w:val="22"/>
          <w:szCs w:val="22"/>
        </w:rPr>
        <w:t>.</w:t>
      </w:r>
    </w:p>
    <w:p w14:paraId="5A937D2B" w14:textId="58F0978D"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Šiuo klausimu LVAT pirmiausia pastebėjo, kad, mokesčių administratoriui neneigiant paties ginčo nekilnojamojo turto perleidimo pareiškėjui disponuoti kaip savo nuosavybe fak</w:t>
      </w:r>
      <w:r w:rsidR="00F13F23" w:rsidRPr="007D3F98">
        <w:rPr>
          <w:rFonts w:asciiTheme="minorHAnsi" w:hAnsiTheme="minorHAnsi" w:cstheme="minorHAnsi"/>
          <w:sz w:val="22"/>
          <w:szCs w:val="22"/>
        </w:rPr>
        <w:t>to, šioje konkrečioje byloje ta</w:t>
      </w:r>
      <w:r w:rsidRPr="007D3F98">
        <w:rPr>
          <w:rFonts w:asciiTheme="minorHAnsi" w:hAnsiTheme="minorHAnsi" w:cstheme="minorHAnsi"/>
          <w:sz w:val="22"/>
          <w:szCs w:val="22"/>
        </w:rPr>
        <w:t xml:space="preserve">po svarbios nustatytos faktinės aplinkybės, susijusios </w:t>
      </w:r>
      <w:r w:rsidRPr="007D3F98">
        <w:rPr>
          <w:rFonts w:asciiTheme="minorHAnsi" w:hAnsiTheme="minorHAnsi" w:cstheme="minorHAnsi"/>
          <w:sz w:val="22"/>
          <w:szCs w:val="22"/>
          <w:u w:val="single"/>
        </w:rPr>
        <w:t>su pareiškėjo (ne)atsiskaitymu už jam patiektą turtą</w:t>
      </w:r>
      <w:r w:rsidRPr="007D3F98">
        <w:rPr>
          <w:rFonts w:asciiTheme="minorHAnsi" w:hAnsiTheme="minorHAnsi" w:cstheme="minorHAnsi"/>
          <w:sz w:val="22"/>
          <w:szCs w:val="22"/>
        </w:rPr>
        <w:t xml:space="preserve">. Iš tiesų PVM apmokestinamos ūkinės operacijos reiškia, kad egzistuoja sandoris tarp šalių, kuriame numatyta kaina ar atlygis – jei tiekėjo veiklą sudaro tik prekių tiekimas (paslaugos teikimas) be tiesioginio atlygio, neegzistuoja apmokestinamoji vertė ir šis prekių tiekimas (paslaugų teikimas) neapmokestinamas PVM. </w:t>
      </w:r>
    </w:p>
    <w:p w14:paraId="6735B223" w14:textId="77777777"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Atitinkamai teisėjų kolegija pažymėjo, kad tokiomis aplinkybėmis, kokios susiklostė apžvelgiamoje byloje, siekiant konstatuoti, kad nekilnojamojo turto pirkimo–pardavimo sandoriai buvo sudaryti piktnaudžiaujant, norint pasinaudoti teise į PVM atskaitą, </w:t>
      </w:r>
      <w:r w:rsidRPr="007D3F98">
        <w:rPr>
          <w:rFonts w:asciiTheme="minorHAnsi" w:hAnsiTheme="minorHAnsi" w:cstheme="minorHAnsi"/>
          <w:sz w:val="22"/>
          <w:szCs w:val="22"/>
          <w:u w:val="single"/>
        </w:rPr>
        <w:t>reikia nustatyti, kad šios sutartys yra fiktyvūs susitarimai, nuslepiantys faktą, kad „tiekimas už atlygį“ realiai neįvyko</w:t>
      </w:r>
      <w:r w:rsidRPr="007D3F98">
        <w:rPr>
          <w:rFonts w:asciiTheme="minorHAnsi" w:hAnsiTheme="minorHAnsi" w:cstheme="minorHAnsi"/>
          <w:sz w:val="22"/>
          <w:szCs w:val="22"/>
        </w:rPr>
        <w:t>.</w:t>
      </w:r>
    </w:p>
    <w:p w14:paraId="11FFC88D" w14:textId="77777777"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Šiuo klausimu byloje nustatytos šios aplinkybės: pareiškėjas už jam patiektą turtą su tiekėjais neatsiskaitė; ginčo tiekimo metu pareiškėjas neturėjo lėšų atsiskaityti su tiekėjais, o pirkimo–pardavimo sutartyse numatytais atsiskaitymo laikotarpiais nesiėmė jokių veiksmų, kad būtų atsiskaityta; nėra duomenų, kad tiekėjai būtų atlikę veiksmus skolai atgauti. Pareiškėjo gebėjimo atsiskaityti aspektu svarbi ir aplinkybė, kad per trumpą laikotarpį jis įgijo didelį kiekį nevienodos paskirties, įvairiose vietovėse ir skirtingo pritaikomumo ekonominėje veikloje turto. O tai taip pat akivaizdžiai parodo, kad ginčo sandorių sudarymo momentu buvo aišku, jog šis turtas (didžioji jo dalis) praktiškai negalėjo būti panaudotas pajamoms uždirbti ar kitaip joms gauti per pirkimo–pardavimo sutartyse nurodytą (pradinį) atsiskaitymo su tiekėjais laikotarpį.</w:t>
      </w:r>
    </w:p>
    <w:p w14:paraId="1CBD88EA" w14:textId="20F2F4DD"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Be to, nepaisant to, kad pareiškėjas ginčo tiekimų metu buvo savarankiška nuo ginčo nekilnojamojo turto tiekėjų bendrovė, ji nebuvo jų filialas, dukterinė bendrovė ar atstovybė, mokesčių administratorius surinko pakankamai įrodymų, leidžiančių pagrįsti šių įmonių (tiekėjų ir pareiškėjo) tarpusavio ryšius. Glaudžių ryšių buvimą tokiomis aplinkybėmis, kokios susiklostė šioje byloje, pagrindžia ir tai, kad patys ginčo tiekimo sandoriai sudaryti ir vykdyti tokiomis sąlygomis, kurios nėra būdingos įprastinėje (komercinėje) praktikoje ir nėra jokių kitų galinčių pagrįsti tokių sandorių ekonominę logiką objektyvių aplinkybių, kaip tik glaudūs, įskaitant veiklos kontrolės aspektais, tiekėjų ir pareiškėjo tarpusavio ryšiai. Pareiškėjas savo ruožtu nepateikė jokių duomenų, kurie galėtų paneigti minėtą vertinimą.</w:t>
      </w:r>
    </w:p>
    <w:p w14:paraId="2E3A3B9F" w14:textId="6B4DA9AE"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Kaip sprendė LVAT, šių aplinkybių visetas, jas pagal </w:t>
      </w:r>
      <w:r w:rsidR="00F13F23" w:rsidRPr="007D3F98">
        <w:rPr>
          <w:rFonts w:asciiTheme="minorHAnsi" w:hAnsiTheme="minorHAnsi" w:cstheme="minorHAnsi"/>
          <w:sz w:val="22"/>
          <w:szCs w:val="22"/>
        </w:rPr>
        <w:t>ABTĮ</w:t>
      </w:r>
      <w:r w:rsidRPr="007D3F98">
        <w:rPr>
          <w:rFonts w:asciiTheme="minorHAnsi" w:hAnsiTheme="minorHAnsi" w:cstheme="minorHAnsi"/>
          <w:sz w:val="22"/>
          <w:szCs w:val="22"/>
        </w:rPr>
        <w:t xml:space="preserve"> 56 straipsnio 6 dalyje nustatytas proceso taisykles įvertinus proceso šalių argumentų bei kitų byloje nustatytų aplinkybių kontekste, leido (1) objektyviai pripažinti, kad ginčo nekilnojamojo turto tiekimas nebuvo „tiekimas už atlygį“ apmokestinimo PVM tikslais bei (2) konstatuoti, kad sudarant ginčo nekilnojamojo turto pirkimo–pardavimo sutartis buvo siekiama dirbtinai sukurti sąlygas, būtinas teisei į pirkimo PVM atskaitą atsirasti. Tokiu būdu akivaizdžiai buvo siekiama įgyti su Sąjungos teise nesuderinamą mokestinį pranašumą.</w:t>
      </w:r>
    </w:p>
    <w:p w14:paraId="0B0E0899" w14:textId="714F92B8"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u w:val="single"/>
        </w:rPr>
        <w:t>Konstatavus piktnaudžiavimą teise, apmokestinimo PVM tikslais, piktnaudžiavimui panaudoti sandoriai turi būti apibrėžti iš naujo taip, kad atstatytų situaciją, kuri būtų egzistavusi nesant piktnaudžiaujant sudarytų sandorių</w:t>
      </w:r>
      <w:r w:rsidRPr="007D3F98">
        <w:rPr>
          <w:rStyle w:val="Puslapioinaosnuoroda"/>
          <w:rFonts w:asciiTheme="minorHAnsi" w:hAnsiTheme="minorHAnsi" w:cstheme="minorHAnsi"/>
          <w:sz w:val="22"/>
          <w:szCs w:val="22"/>
          <w:u w:val="single"/>
        </w:rPr>
        <w:footnoteReference w:id="9"/>
      </w:r>
      <w:r w:rsidRPr="007D3F98">
        <w:rPr>
          <w:rFonts w:asciiTheme="minorHAnsi" w:hAnsiTheme="minorHAnsi" w:cstheme="minorHAnsi"/>
          <w:sz w:val="22"/>
          <w:szCs w:val="22"/>
        </w:rPr>
        <w:t>. Kitaip tariant, reikia nustatyti situaciją, kokia būtų egzistavusi nesant piktnaudžiaujant sudarytų sandorių, ir tada įvertinti šią iš naujo apibrėžtą situaciją</w:t>
      </w:r>
      <w:r w:rsidR="00F13F23" w:rsidRPr="007D3F98">
        <w:rPr>
          <w:rFonts w:asciiTheme="minorHAnsi" w:hAnsiTheme="minorHAnsi" w:cstheme="minorHAnsi"/>
          <w:sz w:val="22"/>
          <w:szCs w:val="22"/>
        </w:rPr>
        <w:t>,</w:t>
      </w:r>
      <w:r w:rsidRPr="007D3F98">
        <w:rPr>
          <w:rFonts w:asciiTheme="minorHAnsi" w:hAnsiTheme="minorHAnsi" w:cstheme="minorHAnsi"/>
          <w:sz w:val="22"/>
          <w:szCs w:val="22"/>
        </w:rPr>
        <w:t xml:space="preserve"> atsižvelgiant į reikšmingas nacionalinės teisės ir PVM direktyvos nuostatas</w:t>
      </w:r>
      <w:r w:rsidRPr="007D3F98">
        <w:rPr>
          <w:rStyle w:val="Puslapioinaosnuoroda"/>
          <w:rFonts w:asciiTheme="minorHAnsi" w:hAnsiTheme="minorHAnsi" w:cstheme="minorHAnsi"/>
          <w:sz w:val="22"/>
          <w:szCs w:val="22"/>
        </w:rPr>
        <w:footnoteReference w:id="10"/>
      </w:r>
      <w:r w:rsidRPr="007D3F98">
        <w:rPr>
          <w:rFonts w:asciiTheme="minorHAnsi" w:hAnsiTheme="minorHAnsi" w:cstheme="minorHAnsi"/>
          <w:sz w:val="22"/>
          <w:szCs w:val="22"/>
        </w:rPr>
        <w:t>.</w:t>
      </w:r>
    </w:p>
    <w:p w14:paraId="346C9426" w14:textId="77777777"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Ir nors mokesčių administratorius šios pareigos neįvykdė, vis dėlto nagrinėtu atveju pripažinus, kad ginčo nekilnojamojo turto tiekimai realiai nebuvo PVM apmokestinami tiekimai, ši aplinkybė savaime paneigia pareiškėjo teisę į ginčo PVM atskaitą.</w:t>
      </w:r>
    </w:p>
    <w:p w14:paraId="447C42FB" w14:textId="77777777" w:rsidR="000E2EAC" w:rsidRPr="007D3F98" w:rsidRDefault="000E2EAC" w:rsidP="000E2EAC">
      <w:pPr>
        <w:ind w:firstLine="567"/>
        <w:jc w:val="both"/>
        <w:rPr>
          <w:rFonts w:asciiTheme="minorHAnsi" w:hAnsiTheme="minorHAnsi" w:cstheme="minorHAnsi"/>
          <w:sz w:val="22"/>
          <w:szCs w:val="22"/>
        </w:rPr>
      </w:pPr>
      <w:r w:rsidRPr="007D3F98">
        <w:rPr>
          <w:rFonts w:asciiTheme="minorHAnsi" w:hAnsiTheme="minorHAnsi" w:cstheme="minorHAnsi"/>
          <w:sz w:val="22"/>
          <w:szCs w:val="22"/>
        </w:rPr>
        <w:t>LVAT netenkino pareiškėjo apeliacinio skundo ir paliko galioti pirmosios instancijos teismo sprendimą, kuriuo patvirtintas mokesčių administratoriaus sprendimo teisėtumas ir pagrįstumas.</w:t>
      </w:r>
    </w:p>
    <w:p w14:paraId="6E227478" w14:textId="77777777" w:rsidR="000E2EAC" w:rsidRPr="007D3F98" w:rsidRDefault="000E2EAC" w:rsidP="000E2EAC">
      <w:pPr>
        <w:ind w:firstLine="567"/>
        <w:jc w:val="both"/>
        <w:rPr>
          <w:rFonts w:asciiTheme="minorHAnsi" w:hAnsiTheme="minorHAnsi" w:cstheme="minorHAnsi"/>
          <w:sz w:val="22"/>
          <w:szCs w:val="22"/>
        </w:rPr>
      </w:pPr>
    </w:p>
    <w:p w14:paraId="3ADAFEE7" w14:textId="77777777" w:rsidR="000E2EAC" w:rsidRPr="007D3F98" w:rsidRDefault="000E2EAC" w:rsidP="000E2EAC">
      <w:pPr>
        <w:jc w:val="both"/>
        <w:rPr>
          <w:rFonts w:asciiTheme="minorHAnsi" w:hAnsiTheme="minorHAnsi" w:cstheme="minorHAnsi"/>
          <w:sz w:val="22"/>
          <w:szCs w:val="22"/>
        </w:rPr>
      </w:pPr>
      <w:r w:rsidRPr="007D3F98">
        <w:rPr>
          <w:rFonts w:asciiTheme="minorHAnsi" w:hAnsiTheme="minorHAnsi" w:cstheme="minorHAnsi"/>
          <w:sz w:val="22"/>
          <w:szCs w:val="22"/>
        </w:rPr>
        <w:t>2019 m. lapkričio 20 d. nutartis administracinėje byloje Nr. eA-1726-602/2019</w:t>
      </w:r>
    </w:p>
    <w:p w14:paraId="7E71BF8D" w14:textId="77777777" w:rsidR="000E2EAC" w:rsidRPr="007D3F98" w:rsidRDefault="000E2EAC" w:rsidP="000E2EAC">
      <w:pPr>
        <w:jc w:val="both"/>
        <w:rPr>
          <w:rFonts w:asciiTheme="minorHAnsi" w:hAnsiTheme="minorHAnsi" w:cstheme="minorHAnsi"/>
          <w:sz w:val="22"/>
          <w:szCs w:val="22"/>
        </w:rPr>
      </w:pPr>
      <w:r w:rsidRPr="007D3F98">
        <w:rPr>
          <w:rFonts w:asciiTheme="minorHAnsi" w:hAnsiTheme="minorHAnsi" w:cstheme="minorHAnsi"/>
          <w:sz w:val="22"/>
          <w:szCs w:val="22"/>
        </w:rPr>
        <w:t>Teisminio proceso Nr. 3-61-3-03840-2017-8</w:t>
      </w:r>
    </w:p>
    <w:p w14:paraId="6CCE8A0B" w14:textId="77777777" w:rsidR="000E2EAC" w:rsidRPr="007D3F98" w:rsidRDefault="000E2EAC" w:rsidP="000E2EAC">
      <w:pPr>
        <w:jc w:val="both"/>
        <w:rPr>
          <w:rFonts w:asciiTheme="minorHAnsi" w:hAnsiTheme="minorHAnsi" w:cstheme="minorHAnsi"/>
          <w:sz w:val="22"/>
          <w:szCs w:val="22"/>
        </w:rPr>
      </w:pPr>
      <w:r w:rsidRPr="007D3F98">
        <w:rPr>
          <w:rFonts w:asciiTheme="minorHAnsi" w:hAnsiTheme="minorHAnsi" w:cstheme="minorHAnsi"/>
          <w:sz w:val="22"/>
          <w:szCs w:val="22"/>
        </w:rPr>
        <w:t>Procesinio sprendimo kategorija 12.15.5.3</w:t>
      </w:r>
    </w:p>
    <w:p w14:paraId="6E5469CE" w14:textId="2F5F01B2" w:rsidR="000E2EAC" w:rsidRPr="00EA636A" w:rsidRDefault="00854B2C" w:rsidP="00EA636A">
      <w:pPr>
        <w:jc w:val="both"/>
        <w:rPr>
          <w:rFonts w:asciiTheme="minorHAnsi" w:hAnsiTheme="minorHAnsi" w:cstheme="minorHAnsi"/>
          <w:sz w:val="22"/>
          <w:szCs w:val="22"/>
        </w:rPr>
      </w:pPr>
      <w:hyperlink r:id="rId12" w:history="1">
        <w:r w:rsidR="000E2EAC" w:rsidRPr="007D3F98">
          <w:rPr>
            <w:rStyle w:val="Hipersaitas"/>
            <w:rFonts w:asciiTheme="minorHAnsi" w:hAnsiTheme="minorHAnsi" w:cstheme="minorHAnsi"/>
            <w:sz w:val="22"/>
            <w:szCs w:val="22"/>
          </w:rPr>
          <w:t>Prieiga internete</w:t>
        </w:r>
      </w:hyperlink>
      <w:bookmarkStart w:id="32" w:name="_Hlk29381010"/>
    </w:p>
    <w:p w14:paraId="376BF295" w14:textId="77777777" w:rsidR="000E2EAC" w:rsidRPr="007D3F98" w:rsidRDefault="000E2EAC" w:rsidP="000E2EAC">
      <w:pPr>
        <w:jc w:val="both"/>
        <w:rPr>
          <w:rFonts w:asciiTheme="minorHAnsi" w:hAnsiTheme="minorHAnsi" w:cstheme="minorHAnsi"/>
          <w:i/>
          <w:sz w:val="22"/>
          <w:szCs w:val="22"/>
        </w:rPr>
      </w:pPr>
    </w:p>
    <w:p w14:paraId="3D6FF194" w14:textId="77777777" w:rsidR="00E30177" w:rsidRPr="007D3F98" w:rsidRDefault="00E30177" w:rsidP="00E30177">
      <w:pPr>
        <w:pStyle w:val="Antrat1"/>
        <w:rPr>
          <w:rFonts w:asciiTheme="minorHAnsi" w:hAnsiTheme="minorHAnsi" w:cstheme="minorHAnsi"/>
          <w:b w:val="0"/>
        </w:rPr>
      </w:pPr>
      <w:bookmarkStart w:id="33" w:name="_Toc29392694"/>
      <w:bookmarkEnd w:id="32"/>
      <w:r w:rsidRPr="007D3F98">
        <w:rPr>
          <w:rFonts w:asciiTheme="minorHAnsi" w:hAnsiTheme="minorHAnsi" w:cstheme="minorHAnsi"/>
        </w:rPr>
        <w:t>16. Teritorijų planavimas</w:t>
      </w:r>
      <w:bookmarkEnd w:id="33"/>
    </w:p>
    <w:p w14:paraId="0A938A7E" w14:textId="77777777" w:rsidR="00E30177" w:rsidRPr="007D3F98" w:rsidRDefault="00E30177" w:rsidP="00E30177">
      <w:pPr>
        <w:ind w:firstLine="567"/>
        <w:rPr>
          <w:rFonts w:asciiTheme="minorHAnsi" w:hAnsiTheme="minorHAnsi" w:cstheme="minorHAnsi"/>
          <w:b/>
          <w:bCs/>
          <w:sz w:val="22"/>
          <w:szCs w:val="22"/>
          <w:u w:val="single"/>
        </w:rPr>
      </w:pPr>
      <w:r w:rsidRPr="007D3F98">
        <w:rPr>
          <w:rFonts w:asciiTheme="minorHAnsi" w:hAnsiTheme="minorHAnsi" w:cstheme="minorHAnsi"/>
          <w:b/>
          <w:bCs/>
          <w:sz w:val="22"/>
          <w:szCs w:val="22"/>
          <w:u w:val="single"/>
        </w:rPr>
        <w:t xml:space="preserve">16.1. </w:t>
      </w:r>
      <w:r w:rsidRPr="007D3F98">
        <w:rPr>
          <w:rFonts w:asciiTheme="minorHAnsi" w:hAnsiTheme="minorHAnsi" w:cstheme="minorHAnsi"/>
          <w:b/>
          <w:sz w:val="22"/>
          <w:szCs w:val="22"/>
          <w:u w:val="single"/>
        </w:rPr>
        <w:t>Teritorijų planavimo organizatoriai ir iniciatyvos teisė</w:t>
      </w:r>
    </w:p>
    <w:p w14:paraId="5934C170" w14:textId="77777777" w:rsidR="00E30177" w:rsidRPr="007D3F98" w:rsidRDefault="00E30177" w:rsidP="00E30177">
      <w:pPr>
        <w:rPr>
          <w:rFonts w:asciiTheme="minorHAnsi" w:hAnsiTheme="minorHAnsi" w:cstheme="minorHAnsi"/>
          <w:bCs/>
          <w:sz w:val="22"/>
          <w:szCs w:val="22"/>
        </w:rPr>
      </w:pPr>
    </w:p>
    <w:p w14:paraId="57EDD255" w14:textId="77777777" w:rsidR="00E30177" w:rsidRPr="007D3F98" w:rsidRDefault="00E30177" w:rsidP="00E30177">
      <w:pPr>
        <w:pStyle w:val="Antrat2"/>
        <w:rPr>
          <w:bCs w:val="0"/>
          <w:i w:val="0"/>
        </w:rPr>
      </w:pPr>
      <w:bookmarkStart w:id="34" w:name="_Toc29392695"/>
      <w:r w:rsidRPr="007D3F98">
        <w:t>Dėl subjektų, turinčių teisę inicijuoti sodininkų bendrijų teritorijose esančių bendro naudojimo žemės sklypų projektų rengimą</w:t>
      </w:r>
      <w:bookmarkEnd w:id="34"/>
    </w:p>
    <w:p w14:paraId="59AAEF41" w14:textId="77777777" w:rsidR="00E30177" w:rsidRPr="007D3F98" w:rsidRDefault="00E30177" w:rsidP="00E30177">
      <w:pPr>
        <w:rPr>
          <w:rFonts w:asciiTheme="minorHAnsi" w:hAnsiTheme="minorHAnsi" w:cstheme="minorHAnsi"/>
          <w:bCs/>
          <w:sz w:val="22"/>
          <w:szCs w:val="22"/>
        </w:rPr>
      </w:pPr>
    </w:p>
    <w:p w14:paraId="0DA96B6E" w14:textId="1554C72B"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 xml:space="preserve">Šioje byloje ginčas, be kita ko, kilo dėl pareiškėjų siekio, kad būtų suformuotas atitinkamas valstybinės žemės sklypas sodininkų bendrijos </w:t>
      </w:r>
      <w:r w:rsidR="00077FD1" w:rsidRPr="007D3F98">
        <w:rPr>
          <w:rFonts w:asciiTheme="minorHAnsi" w:hAnsiTheme="minorHAnsi" w:cstheme="minorHAnsi"/>
          <w:bCs/>
          <w:sz w:val="22"/>
          <w:szCs w:val="22"/>
        </w:rPr>
        <w:t xml:space="preserve">(toliau – SB) </w:t>
      </w:r>
      <w:r w:rsidRPr="007D3F98">
        <w:rPr>
          <w:rFonts w:asciiTheme="minorHAnsi" w:hAnsiTheme="minorHAnsi" w:cstheme="minorHAnsi"/>
          <w:bCs/>
          <w:sz w:val="22"/>
          <w:szCs w:val="22"/>
        </w:rPr>
        <w:t>„Ąžuolas“ teritorijoje esančios Lelijų 2-osios gatvės eksploatavimui ir nustatytas servitutas, suteikiantis teisę pareiškėjams šia gatve privažiuoti prie jų žemės sklypo, kuris nepatenka į šios sodininkų bendrijos teritoriją.</w:t>
      </w:r>
    </w:p>
    <w:p w14:paraId="378B1422" w14:textId="2FF99905"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 xml:space="preserve">Pirmosios instancijos teismas pareiškėjų skundą tenkino iš dalies ir, be kita ko, įpareigojo </w:t>
      </w:r>
      <w:r w:rsidR="00077FD1" w:rsidRPr="007D3F98">
        <w:rPr>
          <w:rFonts w:asciiTheme="minorHAnsi" w:hAnsiTheme="minorHAnsi" w:cstheme="minorHAnsi"/>
          <w:bCs/>
          <w:sz w:val="22"/>
          <w:szCs w:val="22"/>
        </w:rPr>
        <w:t>Nacionalinę žemės tarnybą (toliau – NŽT)</w:t>
      </w:r>
      <w:r w:rsidRPr="007D3F98">
        <w:rPr>
          <w:rFonts w:asciiTheme="minorHAnsi" w:hAnsiTheme="minorHAnsi" w:cstheme="minorHAnsi"/>
          <w:bCs/>
          <w:sz w:val="22"/>
          <w:szCs w:val="22"/>
        </w:rPr>
        <w:t xml:space="preserve"> teisės aktų nustatyta tvarka išspręsti klausimą dėl valstybinės žemės sklypo suformavimo teritorijoje, kuri priskirta SB „Ąžuolas“, bei išspręsti servituto nustatymo klausimą. Teismas nurodė, kad pagal Projektų ir pertvarkymo projektų rengimo ir įgyvendinimo taisyklių, patvirtintų </w:t>
      </w:r>
      <w:r w:rsidR="00077FD1" w:rsidRPr="007D3F98">
        <w:rPr>
          <w:rFonts w:asciiTheme="minorHAnsi" w:hAnsiTheme="minorHAnsi" w:cstheme="minorHAnsi"/>
          <w:bCs/>
          <w:sz w:val="22"/>
          <w:szCs w:val="22"/>
        </w:rPr>
        <w:t>žemės ūkio ministro ir a</w:t>
      </w:r>
      <w:r w:rsidRPr="007D3F98">
        <w:rPr>
          <w:rFonts w:asciiTheme="minorHAnsi" w:hAnsiTheme="minorHAnsi" w:cstheme="minorHAnsi"/>
          <w:bCs/>
          <w:sz w:val="22"/>
          <w:szCs w:val="22"/>
        </w:rPr>
        <w:t>plinkos ministro 2004 m. spalio 4 d. įsakymu Nr. 3D-54</w:t>
      </w:r>
      <w:r w:rsidR="00077FD1" w:rsidRPr="007D3F98">
        <w:rPr>
          <w:rFonts w:asciiTheme="minorHAnsi" w:hAnsiTheme="minorHAnsi" w:cstheme="minorHAnsi"/>
          <w:bCs/>
          <w:sz w:val="22"/>
          <w:szCs w:val="22"/>
        </w:rPr>
        <w:t xml:space="preserve">2/D1-513, (toliau – </w:t>
      </w:r>
      <w:r w:rsidRPr="007D3F98">
        <w:rPr>
          <w:rFonts w:asciiTheme="minorHAnsi" w:hAnsiTheme="minorHAnsi" w:cstheme="minorHAnsi"/>
          <w:bCs/>
          <w:sz w:val="22"/>
          <w:szCs w:val="22"/>
        </w:rPr>
        <w:t>Projektų rengimo taisyklės) 13 punktą žemės sklypų formavimo projektų rengimo inicijavimo teisę turi NŽT (Projekt</w:t>
      </w:r>
      <w:r w:rsidR="00077FD1" w:rsidRPr="007D3F98">
        <w:rPr>
          <w:rFonts w:asciiTheme="minorHAnsi" w:hAnsiTheme="minorHAnsi" w:cstheme="minorHAnsi"/>
          <w:bCs/>
          <w:sz w:val="22"/>
          <w:szCs w:val="22"/>
        </w:rPr>
        <w:t>ų rengimo taisyklių 13.1 p.</w:t>
      </w:r>
      <w:r w:rsidRPr="007D3F98">
        <w:rPr>
          <w:rFonts w:asciiTheme="minorHAnsi" w:hAnsiTheme="minorHAnsi" w:cstheme="minorHAnsi"/>
          <w:bCs/>
          <w:sz w:val="22"/>
          <w:szCs w:val="22"/>
        </w:rPr>
        <w:t>), SB „Ąžuolas“ (Projektų reng</w:t>
      </w:r>
      <w:r w:rsidR="00077FD1" w:rsidRPr="007D3F98">
        <w:rPr>
          <w:rFonts w:asciiTheme="minorHAnsi" w:hAnsiTheme="minorHAnsi" w:cstheme="minorHAnsi"/>
          <w:bCs/>
          <w:sz w:val="22"/>
          <w:szCs w:val="22"/>
        </w:rPr>
        <w:t>imo taisyklių 13.7, 13.8 p.</w:t>
      </w:r>
      <w:r w:rsidRPr="007D3F98">
        <w:rPr>
          <w:rFonts w:asciiTheme="minorHAnsi" w:hAnsiTheme="minorHAnsi" w:cstheme="minorHAnsi"/>
          <w:bCs/>
          <w:sz w:val="22"/>
          <w:szCs w:val="22"/>
        </w:rPr>
        <w:t>) bei pareiškėjai (Projekt</w:t>
      </w:r>
      <w:r w:rsidR="00077FD1" w:rsidRPr="007D3F98">
        <w:rPr>
          <w:rFonts w:asciiTheme="minorHAnsi" w:hAnsiTheme="minorHAnsi" w:cstheme="minorHAnsi"/>
          <w:bCs/>
          <w:sz w:val="22"/>
          <w:szCs w:val="22"/>
        </w:rPr>
        <w:t>ų rengimo taisyklių 13.4 p.</w:t>
      </w:r>
      <w:r w:rsidRPr="007D3F98">
        <w:rPr>
          <w:rFonts w:asciiTheme="minorHAnsi" w:hAnsiTheme="minorHAnsi" w:cstheme="minorHAnsi"/>
          <w:bCs/>
          <w:sz w:val="22"/>
          <w:szCs w:val="22"/>
        </w:rPr>
        <w:t>), siekdami užtikrinti savo sklypo tinkamą naudojimą.</w:t>
      </w:r>
    </w:p>
    <w:p w14:paraId="6D902687" w14:textId="77777777"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 xml:space="preserve">Tačiau teisėjų kolegija, nagrinėdama atsakovo NŽT apeliacinį skundą ir vertindama šią pirmosios instancijos teismo sprendimo dalį, pažymėjo, kad teismas, padarydamas išvadą, jog teisę inicijuoti žemės sklypo, skirto gatvės naudojimui sodininkų bendrijų teritorijoje, suformavimą turi bet kurie suinteresuoti asmenys, ir tai sudaro pagrindą atsakovą NŽT įpareigoti formuoti žemės sklypą pareiškėjams aktualaus servituto nustatymui, netinkamai aiškino Projektų rengimo taisyklių 13.1 ir 13.4 punktus, neatsižvelgė į kitų teisės aktų nuostatas. Teisėjų kolegija pabrėžė, kad </w:t>
      </w:r>
      <w:r w:rsidRPr="007D3F98">
        <w:rPr>
          <w:rFonts w:asciiTheme="minorHAnsi" w:hAnsiTheme="minorHAnsi" w:cstheme="minorHAnsi"/>
          <w:bCs/>
          <w:sz w:val="22"/>
          <w:szCs w:val="22"/>
          <w:u w:val="single"/>
        </w:rPr>
        <w:t>SB „Ąžuolas“ yra teisėtas jai skirto valstybinės žemės sklypo naudotojas ir valdytojas, todėl atsakovas NŽT Projektų rengimo taisyklių 13.1 punkte numatytu pagrindu negali inicijuoti žemės valdos projekto rengimo; pareiškėjai neturi jokių teisių į žemės sklypą, kuriam siekia inicijuoti žemės valdos projekto rengimą, taigi Projektų rengimo taisyklių 13.4 punktas taip pat negali būti taikomas</w:t>
      </w:r>
      <w:r w:rsidRPr="007D3F98">
        <w:rPr>
          <w:rFonts w:asciiTheme="minorHAnsi" w:hAnsiTheme="minorHAnsi" w:cstheme="minorHAnsi"/>
          <w:bCs/>
          <w:sz w:val="22"/>
          <w:szCs w:val="22"/>
        </w:rPr>
        <w:t>.</w:t>
      </w:r>
    </w:p>
    <w:p w14:paraId="4E230280" w14:textId="55DA730D"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Sodininkų bendrijų įstatymo 6 straipsnis nustato, kad bendrojo naudojimo žemę bendrijos gali nuomoti ar išsipirkti iš valstybės. Bendrijos prašymu sodininkų bendrijų bendrojo naudojimo žemės sklypus, naudojamus keliams (gatvėms) eksploatuoti ar tiesti, ar žemės sklypus su juose esančiais keliais (gatvėmis), atlikus jų kadastrinius matavimus ir nerengiant naujo teritorijų planavimo dokumento, Lietuvos Respublikos Vyriausybės ar jos įgaliotos institucijos nustatyta tvarka perima ar patikėjimo teise valdo ir tvarko savivaldybė, išskyrus atvejus, kai sodininkų bendrija šią bendrojo naudojimo teritorijos dalį išsiperka. NŽT net ir parengus žemės sklypo, reikalingo Lelijų 2-ajai gatvei eksploatuoti, projektą bei jį patvirtintus, perduodant minėtą žemės sklypą savivaldybei, būtų reikalingas ne tik šios savivaldybės, bet ir SB „Ąžuolas“ prašymas dėl gatvės sklypo perdavimo savivaldybei patikėjimo teise pagal Valstybinės žemės sklypų perdavimo valdyti, naudoti ir disponuoti jais patikėjimo teise savivaldybėms taisykles, patvirtintas Lietuvos Respublikos Vyriausybės 2002 m. rugsėjo 10 d. nutarimu Nr. 1418 (6 p</w:t>
      </w:r>
      <w:r w:rsidR="00BD1803" w:rsidRPr="007D3F98">
        <w:rPr>
          <w:rFonts w:asciiTheme="minorHAnsi" w:hAnsiTheme="minorHAnsi" w:cstheme="minorHAnsi"/>
          <w:bCs/>
          <w:sz w:val="22"/>
          <w:szCs w:val="22"/>
        </w:rPr>
        <w:t>.</w:t>
      </w:r>
      <w:r w:rsidRPr="007D3F98">
        <w:rPr>
          <w:rFonts w:asciiTheme="minorHAnsi" w:hAnsiTheme="minorHAnsi" w:cstheme="minorHAnsi"/>
          <w:bCs/>
          <w:sz w:val="22"/>
          <w:szCs w:val="22"/>
        </w:rPr>
        <w:t xml:space="preserve">). Be to, jei NŽT inicijuotų ir organizuotų žemės sklypo, esančio SB „Ąžuolas“ teritorijoje, suformavimą, būtų pažeista Sodininkų bendrijų </w:t>
      </w:r>
      <w:r w:rsidR="00BD1803" w:rsidRPr="007D3F98">
        <w:rPr>
          <w:rFonts w:asciiTheme="minorHAnsi" w:hAnsiTheme="minorHAnsi" w:cstheme="minorHAnsi"/>
          <w:bCs/>
          <w:sz w:val="22"/>
          <w:szCs w:val="22"/>
        </w:rPr>
        <w:t xml:space="preserve">įstatymo </w:t>
      </w:r>
      <w:r w:rsidRPr="007D3F98">
        <w:rPr>
          <w:rFonts w:asciiTheme="minorHAnsi" w:hAnsiTheme="minorHAnsi" w:cstheme="minorHAnsi"/>
          <w:bCs/>
          <w:sz w:val="22"/>
          <w:szCs w:val="22"/>
        </w:rPr>
        <w:t>6 straipsnyje įtvirtinta SB „Ąžuolas“ narių teisė priimti sprendimą dėl šiai bendrijai priskirtos bendro naudojimo žemės išsipirkimo arba nuomos.</w:t>
      </w:r>
    </w:p>
    <w:p w14:paraId="3023D346" w14:textId="0D383E9F"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Teisėjų kolegija, vertindama pirmosios instancijos teismo argumentą, kad SB „Ąžuolas“ negali riboti pareiškėjų teisės naudotis ginčo gatve (Lelijų 2-ąja), atsižvelgdama į Kelių įstatymo 17 straipsnį, nustatantį, kad teisę naudotis keliais (taip pat ir gatvėmis) turi visi juridiniai ir fiziniai asmenys, taigi ir pareiškėjai, atkreipė dėmesį, kad tokia teisė negali būti įgyvendinama kitokia apimtimi, negu numatyta, nagrinė</w:t>
      </w:r>
      <w:r w:rsidR="00BD1803" w:rsidRPr="007D3F98">
        <w:rPr>
          <w:rFonts w:asciiTheme="minorHAnsi" w:hAnsiTheme="minorHAnsi" w:cstheme="minorHAnsi"/>
          <w:bCs/>
          <w:sz w:val="22"/>
          <w:szCs w:val="22"/>
        </w:rPr>
        <w:t>t</w:t>
      </w:r>
      <w:r w:rsidR="00CE0643" w:rsidRPr="007D3F98">
        <w:rPr>
          <w:rFonts w:asciiTheme="minorHAnsi" w:hAnsiTheme="minorHAnsi" w:cstheme="minorHAnsi"/>
          <w:bCs/>
          <w:sz w:val="22"/>
          <w:szCs w:val="22"/>
        </w:rPr>
        <w:t>o ginčo atveju</w:t>
      </w:r>
      <w:r w:rsidRPr="007D3F98">
        <w:rPr>
          <w:rFonts w:asciiTheme="minorHAnsi" w:hAnsiTheme="minorHAnsi" w:cstheme="minorHAnsi"/>
          <w:bCs/>
          <w:sz w:val="22"/>
          <w:szCs w:val="22"/>
        </w:rPr>
        <w:t xml:space="preserve"> gatvės paskirtis – t. y. D kategorijos, skirta privažiuoti prie sodininkų bendrijos pastatų ir šios bendrijos ribose. Pirmosios instancijos teismo teiginiai dėl pareiškėjų teisės naudotis ginčo gatve neturėtų būti suprantami kaip pagrindžiantys pareiškėjų teises naudotis ginčo gatve savo poreikiams neatsižvelgiant į jos paskirtį, tenkinti bendrijos reikmes ir priešingai bendrijos interesams.</w:t>
      </w:r>
    </w:p>
    <w:p w14:paraId="696CF80C" w14:textId="77777777"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Atsižvelgiant į tai, pirmosios instancijos teismo sprendimo dalis, kuria pareiškėjų skundai tenkinti, buvo panaikinta ir šioje dalyje priimtas naujas sprendimas – pareiškėjų skundą atmesti. Likusi pirmosios instancijos teismo sprendimo dalis palikta nepakeista.</w:t>
      </w:r>
    </w:p>
    <w:p w14:paraId="1474D97A" w14:textId="77777777" w:rsidR="00E30177" w:rsidRPr="007D3F98" w:rsidRDefault="00E30177" w:rsidP="00E30177">
      <w:pPr>
        <w:ind w:firstLine="567"/>
        <w:jc w:val="both"/>
        <w:rPr>
          <w:rFonts w:asciiTheme="minorHAnsi" w:hAnsiTheme="minorHAnsi" w:cstheme="minorHAnsi"/>
          <w:bCs/>
          <w:sz w:val="22"/>
          <w:szCs w:val="22"/>
        </w:rPr>
      </w:pPr>
    </w:p>
    <w:p w14:paraId="61C7CD1F" w14:textId="77777777" w:rsidR="00E30177" w:rsidRPr="007D3F98" w:rsidRDefault="00E30177" w:rsidP="00E30177">
      <w:pPr>
        <w:rPr>
          <w:rFonts w:asciiTheme="minorHAnsi" w:hAnsiTheme="minorHAnsi" w:cstheme="minorHAnsi"/>
          <w:sz w:val="22"/>
          <w:szCs w:val="22"/>
        </w:rPr>
      </w:pPr>
      <w:r w:rsidRPr="007D3F98">
        <w:rPr>
          <w:rFonts w:asciiTheme="minorHAnsi" w:hAnsiTheme="minorHAnsi" w:cstheme="minorHAnsi"/>
          <w:sz w:val="22"/>
          <w:szCs w:val="22"/>
        </w:rPr>
        <w:t xml:space="preserve">2019 m. lapkričio 6 d. nutartis administracinėje byloje Nr. </w:t>
      </w:r>
      <w:r w:rsidRPr="007D3F98">
        <w:rPr>
          <w:rFonts w:asciiTheme="minorHAnsi" w:hAnsiTheme="minorHAnsi" w:cstheme="minorHAnsi"/>
          <w:sz w:val="22"/>
          <w:szCs w:val="22"/>
          <w:lang w:eastAsia="en-US"/>
        </w:rPr>
        <w:t>A-1172-492/2019</w:t>
      </w:r>
    </w:p>
    <w:p w14:paraId="49151A1E" w14:textId="77777777" w:rsidR="00E30177" w:rsidRPr="007D3F98" w:rsidRDefault="00E30177" w:rsidP="00E30177">
      <w:pPr>
        <w:rPr>
          <w:rFonts w:asciiTheme="minorHAnsi" w:hAnsiTheme="minorHAnsi" w:cstheme="minorHAnsi"/>
          <w:sz w:val="22"/>
          <w:szCs w:val="22"/>
        </w:rPr>
      </w:pPr>
      <w:r w:rsidRPr="007D3F98">
        <w:rPr>
          <w:rFonts w:asciiTheme="minorHAnsi" w:hAnsiTheme="minorHAnsi" w:cstheme="minorHAnsi"/>
          <w:sz w:val="22"/>
          <w:szCs w:val="22"/>
        </w:rPr>
        <w:lastRenderedPageBreak/>
        <w:t xml:space="preserve">Teisminio proceso Nr. </w:t>
      </w:r>
      <w:r w:rsidRPr="007D3F98">
        <w:rPr>
          <w:rFonts w:asciiTheme="minorHAnsi" w:hAnsiTheme="minorHAnsi" w:cstheme="minorHAnsi"/>
          <w:bCs/>
          <w:sz w:val="22"/>
          <w:szCs w:val="22"/>
          <w:lang w:eastAsia="en-US"/>
        </w:rPr>
        <w:t>3-63-3-00149-2016-8</w:t>
      </w:r>
    </w:p>
    <w:p w14:paraId="4997D467" w14:textId="77777777" w:rsidR="00E30177" w:rsidRPr="007D3F98" w:rsidRDefault="00E30177" w:rsidP="00E30177">
      <w:pPr>
        <w:rPr>
          <w:rFonts w:asciiTheme="minorHAnsi" w:hAnsiTheme="minorHAnsi" w:cstheme="minorHAnsi"/>
          <w:sz w:val="22"/>
          <w:szCs w:val="22"/>
          <w:lang w:eastAsia="en-US"/>
        </w:rPr>
      </w:pPr>
      <w:r w:rsidRPr="007D3F98">
        <w:rPr>
          <w:rFonts w:asciiTheme="minorHAnsi" w:hAnsiTheme="minorHAnsi" w:cstheme="minorHAnsi"/>
          <w:sz w:val="22"/>
          <w:szCs w:val="22"/>
        </w:rPr>
        <w:t xml:space="preserve">Procesinio sprendimo </w:t>
      </w:r>
      <w:r w:rsidRPr="007D3F98">
        <w:rPr>
          <w:rFonts w:asciiTheme="minorHAnsi" w:hAnsiTheme="minorHAnsi" w:cstheme="minorHAnsi"/>
          <w:sz w:val="22"/>
          <w:szCs w:val="22"/>
          <w:lang w:eastAsia="en-US"/>
        </w:rPr>
        <w:t>kategorija 15.1.2</w:t>
      </w:r>
    </w:p>
    <w:p w14:paraId="60BC55A6" w14:textId="77777777" w:rsidR="00E30177" w:rsidRPr="007D3F98" w:rsidRDefault="00854B2C" w:rsidP="00E30177">
      <w:pPr>
        <w:rPr>
          <w:rFonts w:asciiTheme="minorHAnsi" w:hAnsiTheme="minorHAnsi" w:cstheme="minorHAnsi"/>
          <w:sz w:val="22"/>
          <w:szCs w:val="22"/>
          <w:u w:val="single"/>
        </w:rPr>
      </w:pPr>
      <w:hyperlink r:id="rId13" w:history="1">
        <w:r w:rsidR="00E30177" w:rsidRPr="007D3F98">
          <w:rPr>
            <w:rStyle w:val="Hipersaitas"/>
            <w:rFonts w:asciiTheme="minorHAnsi" w:hAnsiTheme="minorHAnsi" w:cstheme="minorHAnsi"/>
            <w:sz w:val="22"/>
            <w:szCs w:val="22"/>
          </w:rPr>
          <w:t>Prieiga internete</w:t>
        </w:r>
      </w:hyperlink>
    </w:p>
    <w:p w14:paraId="7BC34372" w14:textId="77777777" w:rsidR="00E30177" w:rsidRPr="007D3F98" w:rsidRDefault="00E30177" w:rsidP="00E30177">
      <w:pPr>
        <w:ind w:firstLine="567"/>
        <w:jc w:val="both"/>
        <w:rPr>
          <w:rFonts w:asciiTheme="minorHAnsi" w:hAnsiTheme="minorHAnsi" w:cstheme="minorHAnsi"/>
          <w:bCs/>
          <w:sz w:val="22"/>
          <w:szCs w:val="22"/>
        </w:rPr>
      </w:pPr>
    </w:p>
    <w:p w14:paraId="0CFF649A" w14:textId="77777777" w:rsidR="00E30177" w:rsidRPr="007D3F98" w:rsidRDefault="00E30177" w:rsidP="00E30177">
      <w:pPr>
        <w:pStyle w:val="Antrat1"/>
        <w:rPr>
          <w:rFonts w:asciiTheme="minorHAnsi" w:hAnsiTheme="minorHAnsi" w:cstheme="minorHAnsi"/>
          <w:b w:val="0"/>
        </w:rPr>
      </w:pPr>
      <w:bookmarkStart w:id="35" w:name="_Toc29392696"/>
      <w:r w:rsidRPr="007D3F98">
        <w:rPr>
          <w:rFonts w:asciiTheme="minorHAnsi" w:hAnsiTheme="minorHAnsi" w:cstheme="minorHAnsi"/>
        </w:rPr>
        <w:t>17. Statyba</w:t>
      </w:r>
      <w:bookmarkEnd w:id="35"/>
    </w:p>
    <w:p w14:paraId="3CC328E9" w14:textId="77777777" w:rsidR="00E30177" w:rsidRPr="007D3F98" w:rsidRDefault="00E30177" w:rsidP="00E30177">
      <w:pPr>
        <w:ind w:firstLine="567"/>
        <w:rPr>
          <w:rFonts w:asciiTheme="minorHAnsi" w:hAnsiTheme="minorHAnsi" w:cstheme="minorHAnsi"/>
          <w:b/>
          <w:bCs/>
          <w:sz w:val="22"/>
          <w:szCs w:val="22"/>
          <w:u w:val="single"/>
        </w:rPr>
      </w:pPr>
      <w:r w:rsidRPr="007D3F98">
        <w:rPr>
          <w:rFonts w:asciiTheme="minorHAnsi" w:hAnsiTheme="minorHAnsi" w:cstheme="minorHAnsi"/>
          <w:b/>
          <w:bCs/>
          <w:sz w:val="22"/>
          <w:szCs w:val="22"/>
          <w:u w:val="single"/>
        </w:rPr>
        <w:t>17.2. Statinio projektas, prisijungimo sąlygos ir specialieji reikalavimai</w:t>
      </w:r>
    </w:p>
    <w:p w14:paraId="260538A1" w14:textId="77777777" w:rsidR="00E30177" w:rsidRPr="007D3F98" w:rsidRDefault="00E30177" w:rsidP="00E30177">
      <w:pPr>
        <w:ind w:firstLine="567"/>
        <w:jc w:val="both"/>
        <w:rPr>
          <w:rFonts w:asciiTheme="minorHAnsi" w:hAnsiTheme="minorHAnsi" w:cstheme="minorHAnsi"/>
          <w:bCs/>
          <w:sz w:val="22"/>
          <w:szCs w:val="22"/>
        </w:rPr>
      </w:pPr>
    </w:p>
    <w:p w14:paraId="315A44FE" w14:textId="77777777" w:rsidR="00E30177" w:rsidRPr="007D3F98" w:rsidRDefault="00E30177" w:rsidP="00E30177">
      <w:pPr>
        <w:pStyle w:val="Antrat2"/>
        <w:rPr>
          <w:bCs w:val="0"/>
          <w:i w:val="0"/>
        </w:rPr>
      </w:pPr>
      <w:bookmarkStart w:id="36" w:name="_Toc29392697"/>
      <w:r w:rsidRPr="007D3F98">
        <w:t>Dėl minimalios vertingųjų savybių požymių turinčio nekilnojamojo objekto apsaugos statybų projektavimo stadijoje</w:t>
      </w:r>
      <w:bookmarkEnd w:id="36"/>
    </w:p>
    <w:p w14:paraId="6F158934" w14:textId="77777777" w:rsidR="00E30177" w:rsidRPr="007D3F98" w:rsidRDefault="00E30177" w:rsidP="00E30177">
      <w:pPr>
        <w:ind w:firstLine="567"/>
        <w:jc w:val="both"/>
        <w:rPr>
          <w:rFonts w:asciiTheme="minorHAnsi" w:hAnsiTheme="minorHAnsi" w:cstheme="minorHAnsi"/>
          <w:bCs/>
          <w:sz w:val="22"/>
          <w:szCs w:val="22"/>
        </w:rPr>
      </w:pPr>
    </w:p>
    <w:p w14:paraId="283D944A" w14:textId="599E7E64"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Apžvelgiamoje byloje ginčas kilo dėl Kultūros paveldo departamento prie Ku</w:t>
      </w:r>
      <w:r w:rsidR="009573D8" w:rsidRPr="007D3F98">
        <w:rPr>
          <w:rFonts w:asciiTheme="minorHAnsi" w:hAnsiTheme="minorHAnsi" w:cstheme="minorHAnsi"/>
          <w:bCs/>
          <w:sz w:val="22"/>
          <w:szCs w:val="22"/>
        </w:rPr>
        <w:t>ltūros ministerijos (toliau –</w:t>
      </w:r>
      <w:r w:rsidRPr="007D3F98">
        <w:rPr>
          <w:rFonts w:asciiTheme="minorHAnsi" w:hAnsiTheme="minorHAnsi" w:cstheme="minorHAnsi"/>
          <w:bCs/>
          <w:sz w:val="22"/>
          <w:szCs w:val="22"/>
        </w:rPr>
        <w:t xml:space="preserve"> Departamentas) 2017 m. rugpjūčio 3 d.</w:t>
      </w:r>
      <w:r w:rsidR="009573D8" w:rsidRPr="007D3F98">
        <w:rPr>
          <w:rFonts w:asciiTheme="minorHAnsi" w:hAnsiTheme="minorHAnsi" w:cstheme="minorHAnsi"/>
          <w:bCs/>
          <w:sz w:val="22"/>
          <w:szCs w:val="22"/>
        </w:rPr>
        <w:t xml:space="preserve"> įsakymo (toliau – </w:t>
      </w:r>
      <w:r w:rsidRPr="007D3F98">
        <w:rPr>
          <w:rFonts w:asciiTheme="minorHAnsi" w:hAnsiTheme="minorHAnsi" w:cstheme="minorHAnsi"/>
          <w:bCs/>
          <w:sz w:val="22"/>
          <w:szCs w:val="22"/>
        </w:rPr>
        <w:t>Įsakymas) 1.2 punkto, kuriuo pareiškėjui anksčiau išduoti Departamento 2016 m. lapkričio 25 d. patvirtinti specialieji paveldosaugos reikalavimai instituto pastato paskirties keitimo į viešbutį rekonstravimo projektui buvo pripažinti netekusiais galios, teisėtumo ir pagrįstumo.</w:t>
      </w:r>
    </w:p>
    <w:p w14:paraId="5D6EB339" w14:textId="77A86BB0"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Pirmosios instancijos teismas pareiškėjo skundą tenkino ir panaikino skundžiamo Įsakymo 1.2 punktą, konstatavęs, kad nei Įsakyme, nei Departamento direktoriaus įsakymu sudarytos Laikinosios komisijos išvadoje nebuvo nurodyta, dėl kokių priežasčių yra panaikinami specialieji paveldosaugos re</w:t>
      </w:r>
      <w:r w:rsidR="009573D8" w:rsidRPr="007D3F98">
        <w:rPr>
          <w:rFonts w:asciiTheme="minorHAnsi" w:hAnsiTheme="minorHAnsi" w:cstheme="minorHAnsi"/>
          <w:bCs/>
          <w:sz w:val="22"/>
          <w:szCs w:val="22"/>
        </w:rPr>
        <w:t>ikalavimai, kaip to reikalauja k</w:t>
      </w:r>
      <w:r w:rsidRPr="007D3F98">
        <w:rPr>
          <w:rFonts w:asciiTheme="minorHAnsi" w:hAnsiTheme="minorHAnsi" w:cstheme="minorHAnsi"/>
          <w:bCs/>
          <w:sz w:val="22"/>
          <w:szCs w:val="22"/>
        </w:rPr>
        <w:t>ultūros ministro 2014 m. gruodžio 18 d. įsakymu Nr. ĮV-975 patvirtinto Specialiųjų paveldosaugos reikalavimų turinio ir išda</w:t>
      </w:r>
      <w:r w:rsidR="009573D8" w:rsidRPr="007D3F98">
        <w:rPr>
          <w:rFonts w:asciiTheme="minorHAnsi" w:hAnsiTheme="minorHAnsi" w:cstheme="minorHAnsi"/>
          <w:bCs/>
          <w:sz w:val="22"/>
          <w:szCs w:val="22"/>
        </w:rPr>
        <w:t xml:space="preserve">vimo tvarkos aprašo (toliau – </w:t>
      </w:r>
      <w:r w:rsidRPr="007D3F98">
        <w:rPr>
          <w:rFonts w:asciiTheme="minorHAnsi" w:hAnsiTheme="minorHAnsi" w:cstheme="minorHAnsi"/>
          <w:bCs/>
          <w:sz w:val="22"/>
          <w:szCs w:val="22"/>
        </w:rPr>
        <w:t>Tvarkos aprašas) 17 punktas (redakcija nuo 2017 m. liepos 29 d.). Be to, Įsakymas grindžiamas Departamento 2011 m. rugpjūčio 11 d. įsakymu Nr. Į-230 patvirtinto Nekilnojamojo kultūros paveldo vertinimo tarybos akto fo</w:t>
      </w:r>
      <w:r w:rsidR="009573D8" w:rsidRPr="007D3F98">
        <w:rPr>
          <w:rFonts w:asciiTheme="minorHAnsi" w:hAnsiTheme="minorHAnsi" w:cstheme="minorHAnsi"/>
          <w:bCs/>
          <w:sz w:val="22"/>
          <w:szCs w:val="22"/>
        </w:rPr>
        <w:t>rmos pildymo aprašo (toliau – Paveldo vertinimo aprašas) 21.4 </w:t>
      </w:r>
      <w:r w:rsidRPr="007D3F98">
        <w:rPr>
          <w:rFonts w:asciiTheme="minorHAnsi" w:hAnsiTheme="minorHAnsi" w:cstheme="minorHAnsi"/>
          <w:bCs/>
          <w:sz w:val="22"/>
          <w:szCs w:val="22"/>
        </w:rPr>
        <w:t xml:space="preserve">punkto redakcija, įsigaliojusia nuo 2017 m. sausio 18 d., numatančia, kad prieš išduodant specialiuosius paveldosaugos reikalavimus pastatui turi būti rengiamas atskiras akto projektas ir teikiamas Tarybai svarstyti, tačiau, remiantis principu </w:t>
      </w:r>
      <w:r w:rsidRPr="007D3F98">
        <w:rPr>
          <w:rFonts w:asciiTheme="minorHAnsi" w:hAnsiTheme="minorHAnsi" w:cstheme="minorHAnsi"/>
          <w:bCs/>
          <w:i/>
          <w:sz w:val="22"/>
          <w:szCs w:val="22"/>
        </w:rPr>
        <w:t>lex retro non agit</w:t>
      </w:r>
      <w:r w:rsidRPr="007D3F98">
        <w:rPr>
          <w:rFonts w:asciiTheme="minorHAnsi" w:hAnsiTheme="minorHAnsi" w:cstheme="minorHAnsi"/>
          <w:bCs/>
          <w:sz w:val="22"/>
          <w:szCs w:val="22"/>
        </w:rPr>
        <w:t xml:space="preserve"> (įstatymas atgal negalioja), ši nuostata negalėjo būti taikoma Įsakymo priėmimo metu. Atsakovas Departamentas su tokiu pirmosios instancijos teismo sprendimu nesutiko, todėl pateikė apeliacinį skundą.</w:t>
      </w:r>
    </w:p>
    <w:p w14:paraId="7ADE7176" w14:textId="77777777"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Teisėjų kolegija atkreipė dėmesį, kad pirmosios instancijos teismas nevertino Departamento 2017 m. rugpjūčio 10 d. rašte Nr. (11.13)2-1876, kuriuo pareiškėjui buvo pranešta apie specialiųjų paveldosaugos reikalavimų pripažinimą netekusiais galios, nurodytų argumentų dėl ginčo pastato pripažinimo kaip vertingųjų savybių požymių turinčio objekto Departamento nekilnojamojo kultūros paveldo vertinimo tarybos 2013 m. rugsėjo 24 d. aktu Nr. KPD-RM-2014, kuriuo Kultūros registre patikslintos Vilniaus senamiesčio vertingosios savybės.</w:t>
      </w:r>
      <w:r w:rsidRPr="007D3F98">
        <w:rPr>
          <w:lang w:eastAsia="en-US"/>
        </w:rPr>
        <w:t xml:space="preserve"> </w:t>
      </w:r>
      <w:r w:rsidRPr="007D3F98">
        <w:rPr>
          <w:rFonts w:asciiTheme="minorHAnsi" w:hAnsiTheme="minorHAnsi" w:cstheme="minorHAnsi"/>
          <w:bCs/>
          <w:sz w:val="22"/>
          <w:szCs w:val="22"/>
        </w:rPr>
        <w:t>Pirmosios instancijos teismas netyrė, ar išduodant specialiuosius paveldosaugos reikalavimus ginčo objektui, nebuvo pažeisti Nekilnojamojo kultūros paveldo apsaugos įstatymo reikalavimai, buvo apsiribota tik poįstatyminių teisės aktų nuostatų aiškinimu, kurios skirtos minėto įstatymo įgyvendinimui ir negali turėti esminės reikšmės priimto Įsakymo teisėtumui materialiųjų teisės nuostatų taikymo prasme.</w:t>
      </w:r>
    </w:p>
    <w:p w14:paraId="42B3C151" w14:textId="133C8E30"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 xml:space="preserve">Pagal </w:t>
      </w:r>
      <w:bookmarkStart w:id="37" w:name="n90b194a4-f64f-48fa-892e-cfb9ae0f6d70"/>
      <w:r w:rsidRPr="007D3F98">
        <w:rPr>
          <w:rFonts w:asciiTheme="minorHAnsi" w:hAnsiTheme="minorHAnsi" w:cstheme="minorHAnsi"/>
          <w:bCs/>
          <w:sz w:val="22"/>
          <w:szCs w:val="22"/>
        </w:rPr>
        <w:t xml:space="preserve">Nekilnojamojo kultūros paveldo apsaugos </w:t>
      </w:r>
      <w:bookmarkEnd w:id="37"/>
      <w:r w:rsidRPr="007D3F98">
        <w:rPr>
          <w:rFonts w:asciiTheme="minorHAnsi" w:hAnsiTheme="minorHAnsi" w:cstheme="minorHAnsi"/>
          <w:bCs/>
          <w:sz w:val="22"/>
          <w:szCs w:val="22"/>
        </w:rPr>
        <w:t xml:space="preserve">įstatymo 8 straipsnio 2 dalį nekilnojamasis kultūros paveldas inventorizuojamas surašant visus galimus jam priskirti kūrinius ir kitus daiktus, šie duomenys nuolat tikslinami, kaupiami ir sisteminami. Taigi </w:t>
      </w:r>
      <w:r w:rsidRPr="007D3F98">
        <w:rPr>
          <w:rFonts w:asciiTheme="minorHAnsi" w:hAnsiTheme="minorHAnsi" w:cstheme="minorHAnsi"/>
          <w:bCs/>
          <w:sz w:val="22"/>
          <w:szCs w:val="22"/>
          <w:u w:val="single"/>
        </w:rPr>
        <w:t>kultūros paveldo apsauga įtraukimo į apskaitą būdu įstatyme numatyta ne tik kūriniams bei daiktams, pripažintiems kultūros paveldo objektais, bet ir galimiems kultūros paveldui priskirti kūriniams bei kitiems daiktams</w:t>
      </w:r>
      <w:r w:rsidRPr="007D3F98">
        <w:rPr>
          <w:rFonts w:asciiTheme="minorHAnsi" w:hAnsiTheme="minorHAnsi" w:cstheme="minorHAnsi"/>
          <w:bCs/>
          <w:sz w:val="22"/>
          <w:szCs w:val="22"/>
        </w:rPr>
        <w:t xml:space="preserve">. </w:t>
      </w:r>
      <w:r w:rsidR="009573D8" w:rsidRPr="007D3F98">
        <w:rPr>
          <w:rFonts w:asciiTheme="minorHAnsi" w:hAnsiTheme="minorHAnsi" w:cstheme="minorHAnsi"/>
          <w:bCs/>
          <w:sz w:val="22"/>
          <w:szCs w:val="22"/>
        </w:rPr>
        <w:t>LVAT</w:t>
      </w:r>
      <w:r w:rsidRPr="007D3F98">
        <w:rPr>
          <w:rFonts w:asciiTheme="minorHAnsi" w:hAnsiTheme="minorHAnsi" w:cstheme="minorHAnsi"/>
          <w:bCs/>
          <w:sz w:val="22"/>
          <w:szCs w:val="22"/>
        </w:rPr>
        <w:t xml:space="preserve"> išplėstinė teisėjų kolegija 2018 m. gegužės 11 d. sprendime administracinėje byloje Nr. I-3-502/2018 pažymėjo, kad </w:t>
      </w:r>
      <w:r w:rsidRPr="007D3F98">
        <w:rPr>
          <w:rFonts w:asciiTheme="minorHAnsi" w:hAnsiTheme="minorHAnsi" w:cstheme="minorHAnsi"/>
          <w:bCs/>
          <w:sz w:val="22"/>
          <w:szCs w:val="22"/>
          <w:u w:val="single"/>
        </w:rPr>
        <w:t>tokios minimalios daikto, dar nepripažinto kultūros paveldo objektu, apsaugos, sukuriamos vien jo įtraukimu į apskaitą, nėra pagrindo prilyginti apsaugai, kuri taikoma kultūros paveldo objektams</w:t>
      </w:r>
      <w:r w:rsidRPr="007D3F98">
        <w:rPr>
          <w:rFonts w:asciiTheme="minorHAnsi" w:hAnsiTheme="minorHAnsi" w:cstheme="minorHAnsi"/>
          <w:bCs/>
          <w:sz w:val="22"/>
          <w:szCs w:val="22"/>
        </w:rPr>
        <w:t>. Kol konkretus daiktas įtrauktas į apskaitą tik kaip turintis vertingųjų savybių požymių, o konkrečių jo savybių vertingumas teisės aktų nustatyta tvarka dar nėra nustatytas, dar nėra žinoma, ar, atlikus vertinimą, jam bus taikoma kultūros paveldo objektui būdinga apsauga – dėl jos reikalingumo sprendžia vertinimo tarybos. Taigi nagrinė</w:t>
      </w:r>
      <w:r w:rsidR="009573D8" w:rsidRPr="007D3F98">
        <w:rPr>
          <w:rFonts w:asciiTheme="minorHAnsi" w:hAnsiTheme="minorHAnsi" w:cstheme="minorHAnsi"/>
          <w:bCs/>
          <w:sz w:val="22"/>
          <w:szCs w:val="22"/>
        </w:rPr>
        <w:t>t</w:t>
      </w:r>
      <w:r w:rsidRPr="007D3F98">
        <w:rPr>
          <w:rFonts w:asciiTheme="minorHAnsi" w:hAnsiTheme="minorHAnsi" w:cstheme="minorHAnsi"/>
          <w:bCs/>
          <w:sz w:val="22"/>
          <w:szCs w:val="22"/>
        </w:rPr>
        <w:t xml:space="preserve">u atveju </w:t>
      </w:r>
      <w:r w:rsidRPr="007D3F98">
        <w:rPr>
          <w:rFonts w:asciiTheme="minorHAnsi" w:hAnsiTheme="minorHAnsi" w:cstheme="minorHAnsi"/>
          <w:bCs/>
          <w:sz w:val="22"/>
          <w:szCs w:val="22"/>
          <w:u w:val="single"/>
        </w:rPr>
        <w:t>tvarkomųjų paveldosaugos darbų projektavimo sąlygų (laikinųjų apsaugos reglamentų) ir / ar leidimų atlikti darbus išdavimas nesant vertinimo tarybos akto, gali kelti grėsmę, kad objekto vertingosios savybės gali būti pažeistos, ir tai sumenkintų kultūros paveldo objekto ar vietovės reikšmingumą</w:t>
      </w:r>
      <w:r w:rsidRPr="007D3F98">
        <w:rPr>
          <w:rFonts w:asciiTheme="minorHAnsi" w:hAnsiTheme="minorHAnsi" w:cstheme="minorHAnsi"/>
          <w:bCs/>
          <w:sz w:val="22"/>
          <w:szCs w:val="22"/>
        </w:rPr>
        <w:t>. Teisėjų kolegija akcentavo, kad Tvarkos aprašo ir Paveldo vertinimo aprašo nuostatos iš esmės nenustato naujų materialiųjų normų, jos skirtos įgyvendinti Nekilnojamojo kultūros paveldo apsaugos įstatyme, Statybos bei kituose įstatymuose įtvirtintas nuostatas.</w:t>
      </w:r>
    </w:p>
    <w:p w14:paraId="050C073D" w14:textId="77777777" w:rsidR="00E30177" w:rsidRPr="007D3F98" w:rsidRDefault="00E30177" w:rsidP="00E3017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 xml:space="preserve">Atsižvelgus į tai, kad pirmosios instancijos teismas nenagrinėjo reikšmingų faktinių aplinkybių, pagrindžiančių ginčo pastato priskirtinumą vertingųjų savybių požymių turinčiam objektui, su tuo susijusios būtinos apsaugos reikalavimų šiam objektui taikymo, taip pat nevertino, ar specialiųjų paveldosaugos </w:t>
      </w:r>
      <w:r w:rsidRPr="007D3F98">
        <w:rPr>
          <w:rFonts w:asciiTheme="minorHAnsi" w:hAnsiTheme="minorHAnsi" w:cstheme="minorHAnsi"/>
          <w:bCs/>
          <w:sz w:val="22"/>
          <w:szCs w:val="22"/>
        </w:rPr>
        <w:lastRenderedPageBreak/>
        <w:t xml:space="preserve">reikalavimų išdavimas tokiam objektui nepažeidė Nekilnojamojo kultūros paveldo apsaugos įstatymo reikalavimų, jame įtvirtinto būtinos minimalios vertingųjų savybių požymių turinčio objekto apsaugos principo, </w:t>
      </w:r>
      <w:r w:rsidRPr="007D3F98">
        <w:rPr>
          <w:rFonts w:asciiTheme="minorHAnsi" w:hAnsiTheme="minorHAnsi" w:cstheme="minorHAnsi"/>
          <w:bCs/>
          <w:sz w:val="22"/>
          <w:szCs w:val="22"/>
          <w:lang w:bidi="lt-LT"/>
        </w:rPr>
        <w:t>pirmosios instancijos teismo sprendimas panaikintas ir byla grąžinta nagrinėti iš naujo.</w:t>
      </w:r>
    </w:p>
    <w:p w14:paraId="397E5539" w14:textId="77777777" w:rsidR="00E30177" w:rsidRPr="007D3F98" w:rsidRDefault="00E30177" w:rsidP="00E30177">
      <w:pPr>
        <w:ind w:firstLine="567"/>
        <w:jc w:val="both"/>
        <w:rPr>
          <w:rFonts w:asciiTheme="minorHAnsi" w:hAnsiTheme="minorHAnsi" w:cstheme="minorHAnsi"/>
          <w:bCs/>
          <w:sz w:val="22"/>
          <w:szCs w:val="22"/>
        </w:rPr>
      </w:pPr>
    </w:p>
    <w:p w14:paraId="3E985009" w14:textId="77777777" w:rsidR="00E30177" w:rsidRPr="007D3F98" w:rsidRDefault="00E30177" w:rsidP="00E30177">
      <w:pPr>
        <w:rPr>
          <w:rFonts w:asciiTheme="minorHAnsi" w:hAnsiTheme="minorHAnsi" w:cstheme="minorHAnsi"/>
          <w:sz w:val="22"/>
          <w:szCs w:val="22"/>
        </w:rPr>
      </w:pPr>
      <w:r w:rsidRPr="007D3F98">
        <w:rPr>
          <w:rFonts w:asciiTheme="minorHAnsi" w:hAnsiTheme="minorHAnsi" w:cstheme="minorHAnsi"/>
          <w:sz w:val="22"/>
          <w:szCs w:val="22"/>
        </w:rPr>
        <w:t xml:space="preserve">2019 m. lapkričio 13 d. nutartis administracinėje byloje Nr. </w:t>
      </w:r>
      <w:r w:rsidRPr="007D3F98">
        <w:rPr>
          <w:rFonts w:asciiTheme="minorHAnsi" w:hAnsiTheme="minorHAnsi" w:cstheme="minorHAnsi"/>
          <w:sz w:val="22"/>
          <w:szCs w:val="22"/>
          <w:lang w:eastAsia="en-US"/>
        </w:rPr>
        <w:t>eA-1157-492/2019</w:t>
      </w:r>
    </w:p>
    <w:p w14:paraId="74434B6C" w14:textId="77777777" w:rsidR="00E30177" w:rsidRPr="007D3F98" w:rsidRDefault="00E30177" w:rsidP="00E30177">
      <w:pPr>
        <w:rPr>
          <w:rFonts w:asciiTheme="minorHAnsi" w:hAnsiTheme="minorHAnsi" w:cstheme="minorHAnsi"/>
          <w:sz w:val="22"/>
          <w:szCs w:val="22"/>
        </w:rPr>
      </w:pPr>
      <w:r w:rsidRPr="007D3F98">
        <w:rPr>
          <w:rFonts w:asciiTheme="minorHAnsi" w:hAnsiTheme="minorHAnsi" w:cstheme="minorHAnsi"/>
          <w:sz w:val="22"/>
          <w:szCs w:val="22"/>
        </w:rPr>
        <w:t xml:space="preserve">Teisminio proceso Nr. </w:t>
      </w:r>
      <w:r w:rsidRPr="007D3F98">
        <w:rPr>
          <w:rFonts w:asciiTheme="minorHAnsi" w:hAnsiTheme="minorHAnsi" w:cstheme="minorHAnsi"/>
          <w:bCs/>
          <w:sz w:val="22"/>
          <w:szCs w:val="22"/>
          <w:lang w:eastAsia="en-US"/>
        </w:rPr>
        <w:t>3-61-3-03067-2017-9</w:t>
      </w:r>
    </w:p>
    <w:p w14:paraId="54B16C7D" w14:textId="77777777" w:rsidR="00E30177" w:rsidRPr="007D3F98" w:rsidRDefault="00E30177" w:rsidP="00E30177">
      <w:pPr>
        <w:rPr>
          <w:rFonts w:asciiTheme="minorHAnsi" w:hAnsiTheme="minorHAnsi" w:cstheme="minorHAnsi"/>
          <w:sz w:val="22"/>
          <w:szCs w:val="22"/>
          <w:lang w:eastAsia="en-US"/>
        </w:rPr>
      </w:pPr>
      <w:r w:rsidRPr="007D3F98">
        <w:rPr>
          <w:rFonts w:asciiTheme="minorHAnsi" w:hAnsiTheme="minorHAnsi" w:cstheme="minorHAnsi"/>
          <w:sz w:val="22"/>
          <w:szCs w:val="22"/>
        </w:rPr>
        <w:t xml:space="preserve">Procesinio sprendimo </w:t>
      </w:r>
      <w:r w:rsidRPr="007D3F98">
        <w:rPr>
          <w:rFonts w:asciiTheme="minorHAnsi" w:hAnsiTheme="minorHAnsi" w:cstheme="minorHAnsi"/>
          <w:sz w:val="22"/>
          <w:szCs w:val="22"/>
          <w:lang w:eastAsia="en-US"/>
        </w:rPr>
        <w:t>kategorija 17.1</w:t>
      </w:r>
    </w:p>
    <w:p w14:paraId="359BD3CC" w14:textId="77777777" w:rsidR="00E30177" w:rsidRPr="007D3F98" w:rsidRDefault="00854B2C" w:rsidP="00E30177">
      <w:pPr>
        <w:rPr>
          <w:rFonts w:asciiTheme="minorHAnsi" w:hAnsiTheme="minorHAnsi" w:cstheme="minorHAnsi"/>
          <w:sz w:val="22"/>
          <w:szCs w:val="22"/>
          <w:u w:val="single"/>
        </w:rPr>
      </w:pPr>
      <w:hyperlink r:id="rId14" w:history="1">
        <w:r w:rsidR="00E30177" w:rsidRPr="007D3F98">
          <w:rPr>
            <w:rStyle w:val="Hipersaitas"/>
            <w:rFonts w:asciiTheme="minorHAnsi" w:hAnsiTheme="minorHAnsi" w:cstheme="minorHAnsi"/>
            <w:sz w:val="22"/>
            <w:szCs w:val="22"/>
          </w:rPr>
          <w:t>Prieiga internete</w:t>
        </w:r>
      </w:hyperlink>
    </w:p>
    <w:p w14:paraId="7AC22867" w14:textId="77777777" w:rsidR="00E30177" w:rsidRPr="007D3F98" w:rsidRDefault="00E30177" w:rsidP="00E30177">
      <w:pPr>
        <w:ind w:firstLine="567"/>
        <w:jc w:val="both"/>
        <w:rPr>
          <w:rFonts w:asciiTheme="minorHAnsi" w:hAnsiTheme="minorHAnsi" w:cstheme="minorHAnsi"/>
          <w:bCs/>
          <w:sz w:val="22"/>
          <w:szCs w:val="22"/>
        </w:rPr>
      </w:pPr>
    </w:p>
    <w:p w14:paraId="31CA79D9" w14:textId="77777777" w:rsidR="00E66022" w:rsidRPr="007D3F98" w:rsidRDefault="00E66022" w:rsidP="00496E0E">
      <w:pPr>
        <w:pStyle w:val="Apzvalgai1"/>
        <w:rPr>
          <w:rFonts w:asciiTheme="minorHAnsi" w:hAnsiTheme="minorHAnsi" w:cstheme="minorHAnsi"/>
        </w:rPr>
      </w:pPr>
      <w:bookmarkStart w:id="38" w:name="_Toc29392698"/>
      <w:r w:rsidRPr="007D3F98">
        <w:rPr>
          <w:rFonts w:asciiTheme="minorHAnsi" w:hAnsiTheme="minorHAnsi" w:cstheme="minorHAnsi"/>
        </w:rPr>
        <w:t>20. Civilinė atsakomybė už žalą, atsiradusią dėl valdžios institucijų neteisėtų veiksmų</w:t>
      </w:r>
      <w:bookmarkEnd w:id="38"/>
    </w:p>
    <w:p w14:paraId="68B33C9C" w14:textId="77777777" w:rsidR="008707ED" w:rsidRPr="007D3F98" w:rsidRDefault="008707ED" w:rsidP="008707ED">
      <w:pPr>
        <w:ind w:firstLine="567"/>
        <w:jc w:val="both"/>
        <w:rPr>
          <w:rFonts w:asciiTheme="minorHAnsi" w:hAnsiTheme="minorHAnsi" w:cstheme="minorHAnsi"/>
          <w:b/>
          <w:sz w:val="22"/>
          <w:szCs w:val="22"/>
          <w:u w:val="single"/>
        </w:rPr>
      </w:pPr>
      <w:r w:rsidRPr="007D3F98">
        <w:rPr>
          <w:rFonts w:asciiTheme="minorHAnsi" w:hAnsiTheme="minorHAnsi" w:cstheme="minorHAnsi"/>
          <w:b/>
          <w:sz w:val="22"/>
          <w:szCs w:val="22"/>
          <w:u w:val="single"/>
        </w:rPr>
        <w:t>20.2. Civilinės atsakomybės sąlygos</w:t>
      </w:r>
    </w:p>
    <w:p w14:paraId="3F2921EF" w14:textId="77777777" w:rsidR="008707ED" w:rsidRPr="007D3F98" w:rsidRDefault="008707ED" w:rsidP="008707ED">
      <w:pPr>
        <w:ind w:firstLine="1134"/>
        <w:jc w:val="both"/>
        <w:rPr>
          <w:rFonts w:asciiTheme="minorHAnsi" w:hAnsiTheme="minorHAnsi" w:cstheme="minorHAnsi"/>
          <w:b/>
          <w:sz w:val="22"/>
          <w:szCs w:val="22"/>
          <w:u w:val="single"/>
        </w:rPr>
      </w:pPr>
      <w:r w:rsidRPr="007D3F98">
        <w:rPr>
          <w:rFonts w:asciiTheme="minorHAnsi" w:hAnsiTheme="minorHAnsi" w:cstheme="minorHAnsi"/>
          <w:b/>
          <w:sz w:val="22"/>
          <w:szCs w:val="22"/>
          <w:u w:val="single"/>
        </w:rPr>
        <w:t>20.2.3. Žala</w:t>
      </w:r>
    </w:p>
    <w:p w14:paraId="2807B1EE" w14:textId="77777777" w:rsidR="008707ED" w:rsidRPr="007D3F98" w:rsidRDefault="008707ED" w:rsidP="008707ED">
      <w:pPr>
        <w:ind w:firstLine="1701"/>
        <w:jc w:val="both"/>
        <w:rPr>
          <w:rFonts w:asciiTheme="minorHAnsi" w:hAnsiTheme="minorHAnsi" w:cstheme="minorHAnsi"/>
          <w:b/>
          <w:sz w:val="22"/>
          <w:szCs w:val="22"/>
          <w:u w:val="single"/>
        </w:rPr>
      </w:pPr>
      <w:r w:rsidRPr="007D3F98">
        <w:rPr>
          <w:rFonts w:asciiTheme="minorHAnsi" w:hAnsiTheme="minorHAnsi" w:cstheme="minorHAnsi"/>
          <w:b/>
          <w:sz w:val="22"/>
          <w:szCs w:val="22"/>
          <w:u w:val="single"/>
        </w:rPr>
        <w:t>20.2.3.1. Turtinė žala</w:t>
      </w:r>
    </w:p>
    <w:p w14:paraId="4A41C4B6" w14:textId="77777777" w:rsidR="008707ED" w:rsidRPr="007D3F98" w:rsidRDefault="008707ED" w:rsidP="008707ED">
      <w:pPr>
        <w:ind w:firstLine="567"/>
        <w:jc w:val="both"/>
        <w:rPr>
          <w:rFonts w:asciiTheme="minorHAnsi" w:hAnsiTheme="minorHAnsi" w:cstheme="minorHAnsi"/>
          <w:i/>
          <w:sz w:val="22"/>
          <w:szCs w:val="22"/>
        </w:rPr>
      </w:pPr>
    </w:p>
    <w:p w14:paraId="58245E5F" w14:textId="77777777" w:rsidR="008707ED" w:rsidRPr="007D3F98" w:rsidRDefault="008707ED" w:rsidP="008707ED">
      <w:pPr>
        <w:pStyle w:val="Antrat2"/>
      </w:pPr>
      <w:bookmarkStart w:id="39" w:name="_Toc29392699"/>
      <w:r w:rsidRPr="007D3F98">
        <w:t>Dėl skundo pagrindo identifikavimo byloje dėl žalos atlyginimo</w:t>
      </w:r>
      <w:bookmarkEnd w:id="39"/>
    </w:p>
    <w:p w14:paraId="06453DB4" w14:textId="77777777" w:rsidR="008707ED" w:rsidRPr="007D3F98" w:rsidRDefault="008707ED" w:rsidP="008707ED">
      <w:pPr>
        <w:jc w:val="both"/>
        <w:rPr>
          <w:rFonts w:asciiTheme="minorHAnsi" w:hAnsiTheme="minorHAnsi" w:cstheme="minorHAnsi"/>
          <w:i/>
          <w:sz w:val="22"/>
          <w:szCs w:val="22"/>
        </w:rPr>
      </w:pPr>
    </w:p>
    <w:p w14:paraId="295CD80A" w14:textId="78DF111A" w:rsidR="008707ED" w:rsidRPr="007D3F98" w:rsidRDefault="008707ED" w:rsidP="008707ED">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Pareiškėjas bankrutuojanti </w:t>
      </w:r>
      <w:r w:rsidR="00262DBB" w:rsidRPr="007D3F98">
        <w:rPr>
          <w:rFonts w:asciiTheme="minorHAnsi" w:hAnsiTheme="minorHAnsi" w:cstheme="minorHAnsi"/>
          <w:sz w:val="22"/>
          <w:szCs w:val="22"/>
        </w:rPr>
        <w:t>UAB</w:t>
      </w:r>
      <w:r w:rsidRPr="007D3F98">
        <w:rPr>
          <w:rFonts w:asciiTheme="minorHAnsi" w:hAnsiTheme="minorHAnsi" w:cstheme="minorHAnsi"/>
          <w:sz w:val="22"/>
          <w:szCs w:val="22"/>
        </w:rPr>
        <w:t xml:space="preserve"> „VIPC Vilnius“ nurodė, kad dėl neteisėtų Vilniaus miesto savivaldybės </w:t>
      </w:r>
      <w:r w:rsidR="00262DBB" w:rsidRPr="007D3F98">
        <w:rPr>
          <w:rFonts w:asciiTheme="minorHAnsi" w:hAnsiTheme="minorHAnsi" w:cstheme="minorHAnsi"/>
          <w:sz w:val="22"/>
          <w:szCs w:val="22"/>
        </w:rPr>
        <w:t xml:space="preserve">(toliau – Savivaldybė) </w:t>
      </w:r>
      <w:r w:rsidRPr="007D3F98">
        <w:rPr>
          <w:rFonts w:asciiTheme="minorHAnsi" w:hAnsiTheme="minorHAnsi" w:cstheme="minorHAnsi"/>
          <w:sz w:val="22"/>
          <w:szCs w:val="22"/>
        </w:rPr>
        <w:t xml:space="preserve">ir Lietuvos Respublikos veiksmų, t. y. nesąžiningai vykdytų ir vilkintų derybų bei administracine tvarka priimtų sprendimų dėl pareiškėjo nekilnojamojo turto – kultūros rūmų – perėmimo visuomenės poreikių tenkinimui, patyrė 302 996,45 Eur žalą. Kadangi pareiškėjui priklausantis turtas buvo įtrauktas į apleistų ir neprižiūrimų objektų sąrašus, jam taikytas padidintas nekilnojamojo turto mokesčio ir valstybinės žemės nuomos mokesčio tarifas, dėl ko pareiškėjas 2012–2016 m. laikotarpiu sumokėjo (arba jam atsirado pareiga sumokėti) 302 996,45 Eur nekilnojamojo turto mokesčio ir valstybinės žemės nuomos mokesčio daugiau nei būtų sumokėjęs, jei turto sutvarkymo ir naudojimo apribojimai nebūtų taikomi. Padidinti mokesčių tarifai buvo nustatyti dėl pareiškėjui priklausančio pastato būklės, kurios jis neturėjo galimybės tinkamai sutvarkyti dėl </w:t>
      </w:r>
      <w:r w:rsidR="00CD68C8" w:rsidRPr="007D3F98">
        <w:rPr>
          <w:rFonts w:asciiTheme="minorHAnsi" w:hAnsiTheme="minorHAnsi" w:cstheme="minorHAnsi"/>
          <w:sz w:val="22"/>
          <w:szCs w:val="22"/>
        </w:rPr>
        <w:t>S</w:t>
      </w:r>
      <w:r w:rsidR="00262DBB" w:rsidRPr="007D3F98">
        <w:rPr>
          <w:rFonts w:asciiTheme="minorHAnsi" w:hAnsiTheme="minorHAnsi" w:cstheme="minorHAnsi"/>
          <w:sz w:val="22"/>
          <w:szCs w:val="22"/>
        </w:rPr>
        <w:t xml:space="preserve">avivaldybės </w:t>
      </w:r>
      <w:r w:rsidRPr="007D3F98">
        <w:rPr>
          <w:rFonts w:asciiTheme="minorHAnsi" w:hAnsiTheme="minorHAnsi" w:cstheme="minorHAnsi"/>
          <w:sz w:val="22"/>
          <w:szCs w:val="22"/>
        </w:rPr>
        <w:t>ir Lietuvos valstybės nesąžiningų veiksmų. Pirmosios instancijos teismas pareiškėjo skundą atmetė.</w:t>
      </w:r>
    </w:p>
    <w:p w14:paraId="69D8D391" w14:textId="26F3F403" w:rsidR="008707ED" w:rsidRPr="007D3F98" w:rsidRDefault="008707ED" w:rsidP="008707ED">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LVAT teisėjų kolegija nusprendė, </w:t>
      </w:r>
      <w:r w:rsidR="00262DBB" w:rsidRPr="007D3F98">
        <w:rPr>
          <w:rFonts w:asciiTheme="minorHAnsi" w:hAnsiTheme="minorHAnsi" w:cstheme="minorHAnsi"/>
          <w:sz w:val="22"/>
          <w:szCs w:val="22"/>
        </w:rPr>
        <w:t>jog</w:t>
      </w:r>
      <w:r w:rsidRPr="007D3F98">
        <w:rPr>
          <w:rFonts w:asciiTheme="minorHAnsi" w:hAnsiTheme="minorHAnsi" w:cstheme="minorHAnsi"/>
          <w:sz w:val="22"/>
          <w:szCs w:val="22"/>
        </w:rPr>
        <w:t xml:space="preserve"> pirmosios instancijos teismas teisingai nurodė, kad pareiškėjo reikalavimas yra priteisti turtinę žalą, tačiau skundo pagrindas vis dėlto identifikuotas netinkamai. Padidinti tarifai, o vėliau ir sumokėti mokesčiai, būtų pasekmė galimų veiksmų (neveikimo) iš Savivaldybės ir (ar) Lietuvos valstybės pusės, galbūt netinkamai sprendžiant klausimą dėl pastato perėmimo visuomenės poreikių tenkinimui. Teisinis reguliavimas dėl padidintų tarifų pritaikymo yra/buvo nukreiptas ne vien tik į pareiškėją, bet ir į kitus asmenis, kurie disponuoja turtu, priskirtinu apleisto turto sąvokai. Pareiškėjas iš esmės ir neprieštaravo, kad pastatas yra prastos būklės, bet tokios pastato fizinės būklės būtų buvę išvengta, o taip pat nepatirta ir papildomų neturėjusių atsirasti išlaidų jei, jo nuomone, tiek Savivaldybė, tiek Lietuvos valstybė, būtų neuždelsę su pastato perėmimu visuomenės poreikių tenkinimui. Taigi skundo pagrindas pirmosios instancijos teismo buvo nustatytas visai ne toks, iš kurio kildinta žala, ir tai nulėmė nepagrįstas Vilniaus apygardos administracinio teismo išvadas.</w:t>
      </w:r>
    </w:p>
    <w:p w14:paraId="3E395D02" w14:textId="77777777" w:rsidR="008707ED" w:rsidRPr="007D3F98" w:rsidRDefault="008707ED" w:rsidP="008707ED">
      <w:pPr>
        <w:ind w:firstLine="567"/>
        <w:jc w:val="both"/>
        <w:rPr>
          <w:rFonts w:asciiTheme="minorHAnsi" w:hAnsiTheme="minorHAnsi" w:cstheme="minorHAnsi"/>
          <w:sz w:val="22"/>
          <w:szCs w:val="22"/>
        </w:rPr>
      </w:pPr>
      <w:r w:rsidRPr="007D3F98">
        <w:rPr>
          <w:rFonts w:asciiTheme="minorHAnsi" w:hAnsiTheme="minorHAnsi" w:cstheme="minorHAnsi"/>
          <w:sz w:val="22"/>
          <w:szCs w:val="22"/>
        </w:rPr>
        <w:t>LVAT pabrėžė, kad žala buvo kildinta iš neva nesąžiningai vykdytų ir vilkintų derybų, tačiau šių veiksmų pirmosios instancijos teismas nevertino ir netyrė, o pasisakė tik dėl apleisto pastato bei pareigos jį prižiūrėti, kai tarp šalių net nebuvo disputo dėl to. Šalys taip pat sutiko, kad derybos dėl pastato perėmimo visuomenės poreikiams vyko ir jos nutrūko (taigi pareiškėjo įvardytos aplinkybės, kaip skundo tenkinimo pagrindas, iš tikro buvo), dėl ko pirmosios instancijos teismas turėjo nustatinėti, kada tokios derybos prasidėjo, kas jas vykdė, kokie veiksmai derybų metu buvo atlikti, kiek laiko jos tęsėsi ir kodėl, ar tos derybos iš tikro nutrūko, jei taip, kieno iniciatyva tai padaryta, ar derybų metu veikta sąžiningai bei kitas teisiškai reikšmingas aplinkybes, tačiau apskųstame pirmosios instancijos teismo sprendime tai visiškai neatsispindi.</w:t>
      </w:r>
    </w:p>
    <w:p w14:paraId="39B1EED1" w14:textId="2FE94465" w:rsidR="008707ED" w:rsidRPr="007D3F98" w:rsidRDefault="008707ED" w:rsidP="008707ED">
      <w:pPr>
        <w:ind w:firstLine="567"/>
        <w:jc w:val="both"/>
        <w:rPr>
          <w:rFonts w:asciiTheme="minorHAnsi" w:hAnsiTheme="minorHAnsi" w:cstheme="minorHAnsi"/>
          <w:sz w:val="22"/>
          <w:szCs w:val="22"/>
        </w:rPr>
      </w:pPr>
      <w:r w:rsidRPr="007D3F98">
        <w:rPr>
          <w:rFonts w:asciiTheme="minorHAnsi" w:hAnsiTheme="minorHAnsi" w:cstheme="minorHAnsi"/>
          <w:sz w:val="22"/>
          <w:szCs w:val="22"/>
          <w:u w:val="single"/>
        </w:rPr>
        <w:t>LVAT vertinimu, pirmosios instancijos teismas tyrė ne tai, ko prašyta ištirti, nors iš turimos bylos medžiagos pakankamai akivaizdu, kad ginčo visuomeniniai santykiai tarp pareiškėjo ir atsakovų buvo (derybos vyko), tęsėsi atitinkamą laiko tarpą, nutrūko, o po to pareiškėjui kilo mokestin</w:t>
      </w:r>
      <w:r w:rsidR="007D3F98">
        <w:rPr>
          <w:rFonts w:asciiTheme="minorHAnsi" w:hAnsiTheme="minorHAnsi" w:cstheme="minorHAnsi"/>
          <w:sz w:val="22"/>
          <w:szCs w:val="22"/>
          <w:u w:val="single"/>
        </w:rPr>
        <w:t>ė pareiga, kuri galbūt CK 6.271 </w:t>
      </w:r>
      <w:r w:rsidRPr="007D3F98">
        <w:rPr>
          <w:rFonts w:asciiTheme="minorHAnsi" w:hAnsiTheme="minorHAnsi" w:cstheme="minorHAnsi"/>
          <w:sz w:val="22"/>
          <w:szCs w:val="22"/>
          <w:u w:val="single"/>
        </w:rPr>
        <w:t>straipsnio prasme patenka į padarytos žalos sąvoką – vienas iš privalomų elementų civilinės atsakomybės atsiradimui</w:t>
      </w:r>
      <w:r w:rsidRPr="007D3F98">
        <w:rPr>
          <w:rFonts w:asciiTheme="minorHAnsi" w:hAnsiTheme="minorHAnsi" w:cstheme="minorHAnsi"/>
          <w:sz w:val="22"/>
          <w:szCs w:val="22"/>
        </w:rPr>
        <w:t>.</w:t>
      </w:r>
    </w:p>
    <w:p w14:paraId="7A23A0A3" w14:textId="77777777" w:rsidR="008707ED" w:rsidRPr="007D3F98" w:rsidRDefault="008707ED" w:rsidP="008707ED">
      <w:pPr>
        <w:ind w:firstLine="567"/>
        <w:jc w:val="both"/>
        <w:rPr>
          <w:rFonts w:asciiTheme="minorHAnsi" w:hAnsiTheme="minorHAnsi" w:cstheme="minorHAnsi"/>
          <w:sz w:val="22"/>
          <w:szCs w:val="22"/>
        </w:rPr>
      </w:pPr>
      <w:r w:rsidRPr="007D3F98">
        <w:rPr>
          <w:rFonts w:asciiTheme="minorHAnsi" w:hAnsiTheme="minorHAnsi" w:cstheme="minorHAnsi"/>
          <w:sz w:val="22"/>
          <w:szCs w:val="22"/>
        </w:rPr>
        <w:t>Pareiškėjo apeliacinis skundas patenkintas, o pirmosios instancijos teismo sprendimas panaikintas ir byla perduota pirmosios instancijos teismui nagrinėti iš naujo.</w:t>
      </w:r>
    </w:p>
    <w:p w14:paraId="43D68FD1" w14:textId="77777777" w:rsidR="008707ED" w:rsidRPr="007D3F98" w:rsidRDefault="008707ED" w:rsidP="008707ED">
      <w:pPr>
        <w:ind w:firstLine="567"/>
        <w:jc w:val="both"/>
        <w:rPr>
          <w:rFonts w:asciiTheme="minorHAnsi" w:hAnsiTheme="minorHAnsi" w:cstheme="minorHAnsi"/>
          <w:sz w:val="22"/>
          <w:szCs w:val="22"/>
        </w:rPr>
      </w:pPr>
    </w:p>
    <w:p w14:paraId="19580F7B" w14:textId="77777777" w:rsidR="008707ED" w:rsidRPr="007D3F98" w:rsidRDefault="008707ED" w:rsidP="008707ED">
      <w:pPr>
        <w:jc w:val="both"/>
        <w:rPr>
          <w:rFonts w:asciiTheme="minorHAnsi" w:hAnsiTheme="minorHAnsi" w:cstheme="minorHAnsi"/>
          <w:sz w:val="22"/>
          <w:szCs w:val="22"/>
        </w:rPr>
      </w:pPr>
      <w:r w:rsidRPr="007D3F98">
        <w:rPr>
          <w:rFonts w:asciiTheme="minorHAnsi" w:hAnsiTheme="minorHAnsi" w:cstheme="minorHAnsi"/>
          <w:sz w:val="22"/>
          <w:szCs w:val="22"/>
        </w:rPr>
        <w:lastRenderedPageBreak/>
        <w:t>2019 m. lapkričio 6 d. nutartis administracinėje byloje Nr. eA-669-556/2019</w:t>
      </w:r>
    </w:p>
    <w:p w14:paraId="6256B141" w14:textId="77777777" w:rsidR="008707ED" w:rsidRPr="007D3F98" w:rsidRDefault="008707ED" w:rsidP="008707ED">
      <w:pPr>
        <w:jc w:val="both"/>
        <w:rPr>
          <w:rFonts w:asciiTheme="minorHAnsi" w:hAnsiTheme="minorHAnsi" w:cstheme="minorHAnsi"/>
          <w:sz w:val="22"/>
          <w:szCs w:val="22"/>
        </w:rPr>
      </w:pPr>
      <w:r w:rsidRPr="007D3F98">
        <w:rPr>
          <w:rFonts w:asciiTheme="minorHAnsi" w:hAnsiTheme="minorHAnsi" w:cstheme="minorHAnsi"/>
          <w:sz w:val="22"/>
          <w:szCs w:val="22"/>
        </w:rPr>
        <w:t>Teisminio proceso Nr. 3-61-3-00971-2017-0</w:t>
      </w:r>
    </w:p>
    <w:p w14:paraId="32DB0712" w14:textId="46AF9B99" w:rsidR="008707ED" w:rsidRPr="007D3F98" w:rsidRDefault="008707ED" w:rsidP="008707ED">
      <w:pPr>
        <w:jc w:val="both"/>
        <w:rPr>
          <w:rFonts w:asciiTheme="minorHAnsi" w:hAnsiTheme="minorHAnsi" w:cstheme="minorHAnsi"/>
          <w:sz w:val="22"/>
          <w:szCs w:val="22"/>
        </w:rPr>
      </w:pPr>
      <w:r w:rsidRPr="007D3F98">
        <w:rPr>
          <w:rFonts w:asciiTheme="minorHAnsi" w:hAnsiTheme="minorHAnsi" w:cstheme="minorHAnsi"/>
          <w:sz w:val="22"/>
          <w:szCs w:val="22"/>
        </w:rPr>
        <w:t>Procesinio sprendimo kategorija 20.2.3.1</w:t>
      </w:r>
    </w:p>
    <w:p w14:paraId="17AB0C11" w14:textId="77777777" w:rsidR="008707ED" w:rsidRPr="007D3F98" w:rsidRDefault="00854B2C" w:rsidP="008707ED">
      <w:pPr>
        <w:jc w:val="both"/>
        <w:rPr>
          <w:rStyle w:val="Hipersaitas"/>
          <w:rFonts w:asciiTheme="minorHAnsi" w:hAnsiTheme="minorHAnsi" w:cstheme="minorHAnsi"/>
          <w:sz w:val="22"/>
          <w:szCs w:val="22"/>
        </w:rPr>
      </w:pPr>
      <w:hyperlink r:id="rId15" w:history="1">
        <w:r w:rsidR="008707ED" w:rsidRPr="007D3F98">
          <w:rPr>
            <w:rStyle w:val="Hipersaitas"/>
            <w:rFonts w:asciiTheme="minorHAnsi" w:hAnsiTheme="minorHAnsi" w:cstheme="minorHAnsi"/>
            <w:sz w:val="22"/>
            <w:szCs w:val="22"/>
          </w:rPr>
          <w:t>Prieiga internete</w:t>
        </w:r>
      </w:hyperlink>
    </w:p>
    <w:p w14:paraId="17FAA971" w14:textId="77777777" w:rsidR="008707ED" w:rsidRPr="007D3F98" w:rsidRDefault="008707ED" w:rsidP="008707ED">
      <w:pPr>
        <w:ind w:firstLine="567"/>
        <w:jc w:val="both"/>
        <w:rPr>
          <w:rFonts w:asciiTheme="minorHAnsi" w:hAnsiTheme="minorHAnsi" w:cstheme="minorHAnsi"/>
          <w:i/>
          <w:sz w:val="22"/>
          <w:szCs w:val="22"/>
        </w:rPr>
      </w:pPr>
    </w:p>
    <w:p w14:paraId="786D5470" w14:textId="77777777" w:rsidR="003D1DEB" w:rsidRPr="007D3F98" w:rsidRDefault="003D1DEB" w:rsidP="003D1DEB">
      <w:pPr>
        <w:pStyle w:val="Antrat1"/>
        <w:rPr>
          <w:rFonts w:ascii="Calibri" w:hAnsi="Calibri"/>
        </w:rPr>
      </w:pPr>
      <w:bookmarkStart w:id="40" w:name="_Toc774929"/>
      <w:bookmarkStart w:id="41" w:name="_Toc29392700"/>
      <w:r w:rsidRPr="007D3F98">
        <w:rPr>
          <w:rFonts w:ascii="Calibri" w:hAnsi="Calibri"/>
        </w:rPr>
        <w:t>21. Valstybės tarnautojo statuso įgijimas, pasikeitimas, praradimas ir atsakomybė</w:t>
      </w:r>
      <w:bookmarkEnd w:id="40"/>
      <w:bookmarkEnd w:id="41"/>
    </w:p>
    <w:p w14:paraId="154D4660" w14:textId="77777777" w:rsidR="003D1DEB" w:rsidRPr="007D3F98" w:rsidRDefault="003D1DEB" w:rsidP="003D1DEB">
      <w:pPr>
        <w:ind w:firstLine="567"/>
        <w:jc w:val="both"/>
        <w:rPr>
          <w:rFonts w:ascii="Calibri" w:hAnsi="Calibri"/>
          <w:b/>
          <w:sz w:val="22"/>
          <w:szCs w:val="22"/>
          <w:u w:val="single"/>
        </w:rPr>
      </w:pPr>
      <w:r w:rsidRPr="007D3F98">
        <w:rPr>
          <w:rFonts w:ascii="Calibri" w:hAnsi="Calibri"/>
          <w:b/>
          <w:sz w:val="22"/>
          <w:szCs w:val="22"/>
          <w:u w:val="single"/>
        </w:rPr>
        <w:t>21.3. Valstybės tarnautojų atleidimas iš pareigų</w:t>
      </w:r>
    </w:p>
    <w:p w14:paraId="509183C0" w14:textId="77777777" w:rsidR="003D1DEB" w:rsidRPr="007D3F98" w:rsidRDefault="003D1DEB" w:rsidP="003D1DEB">
      <w:pPr>
        <w:ind w:firstLine="1134"/>
        <w:jc w:val="both"/>
        <w:rPr>
          <w:rFonts w:ascii="Calibri" w:hAnsi="Calibri"/>
          <w:b/>
          <w:sz w:val="22"/>
          <w:szCs w:val="22"/>
          <w:u w:val="single"/>
        </w:rPr>
      </w:pPr>
      <w:r w:rsidRPr="007D3F98">
        <w:rPr>
          <w:rFonts w:ascii="Calibri" w:hAnsi="Calibri"/>
          <w:b/>
          <w:sz w:val="22"/>
          <w:szCs w:val="22"/>
          <w:u w:val="single"/>
        </w:rPr>
        <w:t>21.3.2. Atleidimas, pritaikius tarnybinę atsakomybę</w:t>
      </w:r>
    </w:p>
    <w:p w14:paraId="79784366"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15BE9A6A" w14:textId="77777777" w:rsidR="003D1DEB" w:rsidRPr="007D3F98" w:rsidRDefault="003D1DEB" w:rsidP="003D1DEB">
      <w:pPr>
        <w:pStyle w:val="Antrat2"/>
        <w:rPr>
          <w:rFonts w:ascii="Calibri" w:hAnsi="Calibri"/>
        </w:rPr>
      </w:pPr>
      <w:bookmarkStart w:id="42" w:name="_Toc29392701"/>
      <w:r w:rsidRPr="007D3F98">
        <w:rPr>
          <w:rFonts w:ascii="Calibri" w:hAnsi="Calibri"/>
        </w:rPr>
        <w:t>Dėl draudimo statutiniams pareigūnams dalyvauti politinėje veikloje pažeidimo</w:t>
      </w:r>
      <w:bookmarkEnd w:id="42"/>
      <w:r w:rsidRPr="007D3F98">
        <w:rPr>
          <w:rFonts w:ascii="Calibri" w:hAnsi="Calibri"/>
        </w:rPr>
        <w:t xml:space="preserve"> </w:t>
      </w:r>
    </w:p>
    <w:p w14:paraId="4C369FCF"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669DB717" w14:textId="0C2344DD"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Nagrinėtoje byloje ginčas kilo dėl atsakovo įsakymų, kuriais </w:t>
      </w:r>
      <w:bookmarkStart w:id="43" w:name="Buk_90"/>
      <w:r w:rsidRPr="007D3F98">
        <w:rPr>
          <w:rFonts w:ascii="Calibri" w:eastAsia="Calibri" w:hAnsi="Calibri" w:cs="Calibri"/>
          <w:color w:val="000000"/>
          <w:sz w:val="22"/>
          <w:szCs w:val="22"/>
          <w:shd w:val="clear" w:color="auto" w:fill="FFFFFF"/>
          <w:lang w:eastAsia="en-US"/>
        </w:rPr>
        <w:t xml:space="preserve">pareiškėjui </w:t>
      </w:r>
      <w:bookmarkEnd w:id="43"/>
      <w:r w:rsidRPr="007D3F98">
        <w:rPr>
          <w:rFonts w:ascii="Calibri" w:eastAsia="Calibri" w:hAnsi="Calibri" w:cs="Calibri"/>
          <w:color w:val="000000"/>
          <w:sz w:val="22"/>
          <w:szCs w:val="22"/>
          <w:shd w:val="clear" w:color="auto" w:fill="FFFFFF"/>
          <w:lang w:eastAsia="en-US"/>
        </w:rPr>
        <w:t xml:space="preserve">paskirta tarnybinė nuobauda – atleidimas iš tarnybos, bei pareiškėjas atleistas iš tarnybos pagal </w:t>
      </w:r>
      <w:r w:rsidR="00CD68C8" w:rsidRPr="007D3F98">
        <w:rPr>
          <w:rFonts w:ascii="Calibri" w:eastAsia="Calibri" w:hAnsi="Calibri" w:cs="Calibri"/>
          <w:color w:val="000000"/>
          <w:sz w:val="22"/>
          <w:szCs w:val="22"/>
          <w:shd w:val="clear" w:color="auto" w:fill="FFFFFF"/>
          <w:lang w:eastAsia="en-US"/>
        </w:rPr>
        <w:t>Vidaus tarnybos statuto (toliau – Statutas) 39 </w:t>
      </w:r>
      <w:r w:rsidRPr="007D3F98">
        <w:rPr>
          <w:rFonts w:ascii="Calibri" w:eastAsia="Calibri" w:hAnsi="Calibri" w:cs="Calibri"/>
          <w:color w:val="000000"/>
          <w:sz w:val="22"/>
          <w:szCs w:val="22"/>
          <w:shd w:val="clear" w:color="auto" w:fill="FFFFFF"/>
          <w:lang w:eastAsia="en-US"/>
        </w:rPr>
        <w:t xml:space="preserve">straipsnio 3 dalies 1 punktą, t. y. dėl Statuto 24 straipsnyje nustatytų pareigūnams taikomų apribojimų pažeidimo, teisėtumo ir pagrįstumo, paskirtos nuobaudos sušvelninimo, grąžinimo į pareigas ir kompensacijos už priverstinę pravaikštą priteisimo. </w:t>
      </w:r>
    </w:p>
    <w:p w14:paraId="4B85E6F7" w14:textId="193CA5E2"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Byloje nustatyta, kad visuomeninis rinkimų komitetas buvo registruotas kaip subjektas, turintis teisę kelti kandidatų sąrašą bei kandidatą į nario – mero pareigas, o visuotiniame susirinkime buvo patvirtintas kandidatų sąrašas. Pareiškėjas, būdamas statutiniu pareigūnu, buvo visuomeninio rinkimų komiteto narys, ir šio komiteto buvo iškeltas kandidatu į Vilniaus miesto savivaldybės tarybos narius. Vyriausioji rinkimų komisija sprendimu panaikino pareiškėjo registravimą nustatęs, kad pareiškėjas yra statutinis pareigūnas, kuris pagal </w:t>
      </w:r>
      <w:r w:rsidR="00CD68C8" w:rsidRPr="007D3F98">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avivaldybių tarybų rinkimų įstatymo 2 straipsnio 5 dalį, negali būti renkamas savivaldybės tarybos nariu ir kuriam pagal </w:t>
      </w:r>
      <w:r w:rsidR="00CD68C8" w:rsidRPr="007D3F98">
        <w:rPr>
          <w:rFonts w:ascii="Calibri" w:eastAsia="Calibri" w:hAnsi="Calibri" w:cs="Calibri"/>
          <w:color w:val="000000"/>
          <w:sz w:val="22"/>
          <w:szCs w:val="22"/>
          <w:shd w:val="clear" w:color="auto" w:fill="FFFFFF"/>
          <w:lang w:eastAsia="en-US"/>
        </w:rPr>
        <w:t xml:space="preserve">Statuto </w:t>
      </w:r>
      <w:r w:rsidRPr="007D3F98">
        <w:rPr>
          <w:rFonts w:ascii="Calibri" w:eastAsia="Calibri" w:hAnsi="Calibri" w:cs="Calibri"/>
          <w:color w:val="000000"/>
          <w:sz w:val="22"/>
          <w:szCs w:val="22"/>
          <w:shd w:val="clear" w:color="auto" w:fill="FFFFFF"/>
          <w:lang w:eastAsia="en-US"/>
        </w:rPr>
        <w:t xml:space="preserve">24 straipsnio 6 punktą, draudžiama dalyvauti politinėje veikloje. Atsakovas, atlikęs patikrinimą, Tarnybinio patikrinimo išvadoje konstatavo, kad pareiškėjas padarė tarnybinį nusižengimą, t. y. būdamas </w:t>
      </w:r>
      <w:r w:rsidR="00CD68C8" w:rsidRPr="007D3F98">
        <w:rPr>
          <w:rFonts w:ascii="Calibri" w:eastAsia="Calibri" w:hAnsi="Calibri" w:cs="Calibri"/>
          <w:color w:val="000000"/>
          <w:sz w:val="22"/>
          <w:szCs w:val="22"/>
          <w:shd w:val="clear" w:color="auto" w:fill="FFFFFF"/>
          <w:lang w:eastAsia="en-US"/>
        </w:rPr>
        <w:t xml:space="preserve">statutiniu </w:t>
      </w:r>
      <w:r w:rsidR="004710EA" w:rsidRPr="007D3F98">
        <w:rPr>
          <w:rFonts w:ascii="Calibri" w:eastAsia="Calibri" w:hAnsi="Calibri" w:cs="Calibri"/>
          <w:color w:val="000000"/>
          <w:sz w:val="22"/>
          <w:szCs w:val="22"/>
          <w:shd w:val="clear" w:color="auto" w:fill="FFFFFF"/>
          <w:lang w:eastAsia="en-US"/>
        </w:rPr>
        <w:t>pareigūnu</w:t>
      </w:r>
      <w:r w:rsidRPr="007D3F98">
        <w:rPr>
          <w:rFonts w:ascii="Calibri" w:eastAsia="Calibri" w:hAnsi="Calibri" w:cs="Calibri"/>
          <w:color w:val="000000"/>
          <w:sz w:val="22"/>
          <w:szCs w:val="22"/>
          <w:shd w:val="clear" w:color="auto" w:fill="FFFFFF"/>
          <w:lang w:eastAsia="en-US"/>
        </w:rPr>
        <w:t xml:space="preserve">, kandidatavo į savivaldybės tarybos narius, dalyvavo politinėje veikloje ir tokiu būdu pažeidė </w:t>
      </w:r>
      <w:r w:rsidR="00CD68C8" w:rsidRPr="007D3F98">
        <w:rPr>
          <w:rFonts w:ascii="Calibri" w:eastAsia="Calibri" w:hAnsi="Calibri" w:cs="Calibri"/>
          <w:color w:val="000000"/>
          <w:sz w:val="22"/>
          <w:szCs w:val="22"/>
          <w:shd w:val="clear" w:color="auto" w:fill="FFFFFF"/>
          <w:lang w:eastAsia="en-US"/>
        </w:rPr>
        <w:t>Statuto 3 straipsnio 1 dalies 3 </w:t>
      </w:r>
      <w:r w:rsidRPr="007D3F98">
        <w:rPr>
          <w:rFonts w:ascii="Calibri" w:eastAsia="Calibri" w:hAnsi="Calibri" w:cs="Calibri"/>
          <w:color w:val="000000"/>
          <w:sz w:val="22"/>
          <w:szCs w:val="22"/>
          <w:shd w:val="clear" w:color="auto" w:fill="FFFFFF"/>
          <w:lang w:eastAsia="en-US"/>
        </w:rPr>
        <w:t>punkte įtvirtintą politinio neutralumo princ</w:t>
      </w:r>
      <w:r w:rsidR="004710EA" w:rsidRPr="007D3F98">
        <w:rPr>
          <w:rFonts w:ascii="Calibri" w:eastAsia="Calibri" w:hAnsi="Calibri" w:cs="Calibri"/>
          <w:color w:val="000000"/>
          <w:sz w:val="22"/>
          <w:szCs w:val="22"/>
          <w:shd w:val="clear" w:color="auto" w:fill="FFFFFF"/>
          <w:lang w:eastAsia="en-US"/>
        </w:rPr>
        <w:t>ipą, ir Statuto 24 straipsnio 6 </w:t>
      </w:r>
      <w:r w:rsidRPr="007D3F98">
        <w:rPr>
          <w:rFonts w:ascii="Calibri" w:eastAsia="Calibri" w:hAnsi="Calibri" w:cs="Calibri"/>
          <w:color w:val="000000"/>
          <w:sz w:val="22"/>
          <w:szCs w:val="22"/>
          <w:shd w:val="clear" w:color="auto" w:fill="FFFFFF"/>
          <w:lang w:eastAsia="en-US"/>
        </w:rPr>
        <w:t xml:space="preserve">punkte nustatytą apribojimą dalyvauti politinėje veikloje. Padarytas pažeidimas buvo įvertintas kaip šiurkštus tarnybinis nusižengimas ir atsakovo įsakymais pareiškėjui paskirta tarnybinė nuobauda – atleidimas iš tarnybos, ir pareiškėjas atleistas. </w:t>
      </w:r>
    </w:p>
    <w:p w14:paraId="6AFA6400"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Pareiškėjas savo apeliaciniame skunde teigė, kad įstatymai nedraudžia bet kokia forma dalyvauti politinėje veikloje. Pasak pareiškėjo, nors Statute iki šiol yra išlikęs draudimas dalyvauti politinės organizacijos veikloje, tačiau jokiame įstatyme nėra pateikta politinės organizacijos samprata (priėmus naują Politinių partijų įstatymą, politinių organizacijų veikla jame jau nereguliuojama). Kartu pabrėžė, kad Statute nėra draudimo bet kokia forma dalyvauti politinėje veikloje, ar draudimo dalyvauti visuomeninių komitetų veikloje.</w:t>
      </w:r>
    </w:p>
    <w:p w14:paraId="22DB3EC6" w14:textId="15B03EBF"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Įvertinęs nurodytus pareiškėjo teiginius, LVAT pažymėjo, kad draudimas policijos pareigūnams dalyvauti politinių partijų ir politinių organizacijų veikloje yra įtvirtintas Lietuvos Respublikos Konstitucijos 141 straipsnyje. Statuto 3 straipsnio 1 dalyje nustatyti pagrindiniai vidaus tarnybos principai, iš kurių vienas – politinio neutralumo principas, kuris reiškia, kad pareigūnas privalo, nepaisydamas asmeninių politinių pažiūrų, nešališkai tarnauti žmonėms ir teisėtai valstybės valdžiai, nedalyvauti politinių partijų ar politinių organizacijų veikloje. Statuto 24 straipsnio, nustatančio pareigūnams taikomus apribojimus, 6 punkte nustatyta, kad pareigūnui draudžiama būti politinių partijų ar politinių organizacijų nariu, dalyvauti jų veikloje. Taigi abiejuose aktuose yra įtvirtintas draudimas dalyvauti, be kita ko, politinių organizacijų veikloje. Todėl </w:t>
      </w:r>
      <w:r w:rsidRPr="007D3F98">
        <w:rPr>
          <w:rFonts w:ascii="Calibri" w:eastAsia="Calibri" w:hAnsi="Calibri" w:cs="Calibri"/>
          <w:color w:val="000000"/>
          <w:sz w:val="22"/>
          <w:szCs w:val="22"/>
          <w:u w:val="single"/>
          <w:shd w:val="clear" w:color="auto" w:fill="FFFFFF"/>
          <w:lang w:eastAsia="en-US"/>
        </w:rPr>
        <w:t xml:space="preserve">vien tai, kad Politinių partijų ar kitame įstatyme nėra pateikta politinės organizacijos samprata, kas laikytina atitinkama teisinio reguliavimo spraga, tačiau tai nėra toks pagrindas, kuris panaikintų draudimą, įtvirtintą </w:t>
      </w:r>
      <w:r w:rsidRPr="007D3F98">
        <w:rPr>
          <w:rFonts w:ascii="Calibri" w:eastAsia="Calibri" w:hAnsi="Calibri" w:cs="Calibri"/>
          <w:i/>
          <w:iCs/>
          <w:color w:val="000000"/>
          <w:sz w:val="22"/>
          <w:szCs w:val="22"/>
          <w:u w:val="single"/>
          <w:shd w:val="clear" w:color="auto" w:fill="FFFFFF"/>
          <w:lang w:eastAsia="en-US"/>
        </w:rPr>
        <w:t>expressis verbis</w:t>
      </w:r>
      <w:r w:rsidRPr="007D3F98">
        <w:rPr>
          <w:rFonts w:ascii="Calibri" w:eastAsia="Calibri" w:hAnsi="Calibri" w:cs="Calibri"/>
          <w:color w:val="000000"/>
          <w:sz w:val="22"/>
          <w:szCs w:val="22"/>
          <w:u w:val="single"/>
          <w:shd w:val="clear" w:color="auto" w:fill="FFFFFF"/>
          <w:lang w:eastAsia="en-US"/>
        </w:rPr>
        <w:t xml:space="preserve"> (tiesiogiai) Konstitucijoje – dalyvauti policijos pareigūnams politinių organizacijų veikloje</w:t>
      </w:r>
      <w:r w:rsidRPr="007D3F98">
        <w:rPr>
          <w:rFonts w:ascii="Calibri" w:eastAsia="Calibri" w:hAnsi="Calibri" w:cs="Calibri"/>
          <w:color w:val="000000"/>
          <w:sz w:val="22"/>
          <w:szCs w:val="22"/>
          <w:shd w:val="clear" w:color="auto" w:fill="FFFFFF"/>
          <w:lang w:eastAsia="en-US"/>
        </w:rPr>
        <w:t xml:space="preserve">. Kartu pažymėta, kad </w:t>
      </w:r>
      <w:r w:rsidR="008821C6" w:rsidRPr="007D3F98">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avivaldybių tarybų rinkimų įstatymo 2 straipsnio 5 dalyje nustatyta, </w:t>
      </w:r>
      <w:r w:rsidR="008821C6" w:rsidRPr="007D3F98">
        <w:rPr>
          <w:rFonts w:ascii="Calibri" w:eastAsia="Calibri" w:hAnsi="Calibri" w:cs="Calibri"/>
          <w:color w:val="000000"/>
          <w:sz w:val="22"/>
          <w:szCs w:val="22"/>
          <w:shd w:val="clear" w:color="auto" w:fill="FFFFFF"/>
          <w:lang w:eastAsia="en-US"/>
        </w:rPr>
        <w:t>jog</w:t>
      </w:r>
      <w:r w:rsidRPr="007D3F98">
        <w:rPr>
          <w:rFonts w:ascii="Calibri" w:eastAsia="Calibri" w:hAnsi="Calibri" w:cs="Calibri"/>
          <w:color w:val="000000"/>
          <w:sz w:val="22"/>
          <w:szCs w:val="22"/>
          <w:shd w:val="clear" w:color="auto" w:fill="FFFFFF"/>
          <w:lang w:eastAsia="en-US"/>
        </w:rPr>
        <w:t xml:space="preserve"> savivaldybės tarybos nariu negali būti renkamas asmuo, kuris yra statutinės institucijos ir įstaigos pareigūnas, kuriam pagal specialius įstatymus ar statutus yra apribotas dalyvavimas politinėje veikloje. Šioje normoje ne tik, kad neleidžiama būti savivaldos tarybos nariu, bet draudžiama būti ir renkamu asmeniu į savivaldybės tarybą. Teisėjų kolegijos vertinimu, pareiškėjo dalyvavimas rinkimuose, jo buvimas politinės kampanijos dalyvio – visuomeninio rinkimų komiteto – nariu, laikytinas dalyvavimu politinės organizacijos veikloje, kuris pagal Statutą yra draudžiamas, nors jame ar kituose įstatymuose ir nepateiktas politinės organizacijos apibrėžimas. Kartu atmestas pareiškėjo teiginys, kad politinių organizacijų sąvokos įstatymuose, pakeitus Politinių partijų ir politinių organizacijų įstatymą, neliko. </w:t>
      </w:r>
      <w:r w:rsidRPr="007D3F98">
        <w:rPr>
          <w:rFonts w:ascii="Calibri" w:eastAsia="Calibri" w:hAnsi="Calibri" w:cs="Calibri"/>
          <w:color w:val="000000"/>
          <w:sz w:val="22"/>
          <w:szCs w:val="22"/>
          <w:shd w:val="clear" w:color="auto" w:fill="FFFFFF"/>
          <w:lang w:eastAsia="en-US"/>
        </w:rPr>
        <w:lastRenderedPageBreak/>
        <w:t>Politinių partijų įstatymo keliuose straipsniuose, kaip antai 3, 4, 5 straipsniuose politinės organizacijos yra nurodytos.</w:t>
      </w:r>
    </w:p>
    <w:p w14:paraId="500405A0"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Teisėjų kolegijos vertinimu, šioje byloje atsakovas įrodė, kad buvo faktinis ir teisinis pagrindas pareiškėjui skirti tarnybinę nuobaudą. Tačiau LVAT vertinimu, pareiškėjui paskira nuobauda – per griežta. </w:t>
      </w:r>
    </w:p>
    <w:p w14:paraId="4558A0D8" w14:textId="263C9AF0"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Įvertinęs </w:t>
      </w:r>
      <w:r w:rsidR="00456DA1" w:rsidRPr="007D3F98">
        <w:rPr>
          <w:rFonts w:ascii="Calibri" w:eastAsia="Calibri" w:hAnsi="Calibri" w:cs="Calibri"/>
          <w:color w:val="000000"/>
          <w:sz w:val="22"/>
          <w:szCs w:val="22"/>
          <w:shd w:val="clear" w:color="auto" w:fill="FFFFFF"/>
          <w:lang w:eastAsia="en-US"/>
        </w:rPr>
        <w:t xml:space="preserve">LVAT </w:t>
      </w:r>
      <w:r w:rsidRPr="007D3F98">
        <w:rPr>
          <w:rFonts w:ascii="Calibri" w:eastAsia="Calibri" w:hAnsi="Calibri" w:cs="Calibri"/>
          <w:color w:val="000000"/>
          <w:sz w:val="22"/>
          <w:szCs w:val="22"/>
          <w:shd w:val="clear" w:color="auto" w:fill="FFFFFF"/>
          <w:lang w:eastAsia="en-US"/>
        </w:rPr>
        <w:t xml:space="preserve">praktiką, susijusią su valstybės tarnautojų padarytų pažeidimų ir nuobaudų už juos skyrimu, ir atsižvelgęs į tai, kad teisės normos, reglamentuojančios nuobaudos (atleidimą iš tarnybos) skyrimą valstybės tarnautojams ir policijos pareigūnams yra analogiškos, LVAT konstatavo, kad teismo praktikoje suformuoti kriterijai skiriant griežčiausią nuobaudą – atleidimą iš tarnybos, taikomi ir skiriant griežčiausią nuobaudą policijos pareigūnams pagal </w:t>
      </w:r>
      <w:r w:rsidR="00456DA1" w:rsidRPr="007D3F98">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tatutą. Kartu pažymėta, kad nagrinėjant administracines bylas dėl tarnybinių (drausminių) nuobaudų paskyrimo pagrįstumo ir teisėtumo, teismine tvarka kiekvienu konkrečiu atveju yra būtina patikrinti ir įvertinti paskirtos tarnybinės nuobaudos atitikimą bendriesiems tarnybinių (drausminių) nuobaudų skyrimo principams (įskaitant nuobaudos tikslingumo ir veiksmingumo) bei teisingumo ir protingumo kriterijams. </w:t>
      </w:r>
    </w:p>
    <w:p w14:paraId="7060ADD1" w14:textId="3FB2A2C3" w:rsidR="003D1DEB" w:rsidRPr="007D3F98" w:rsidRDefault="003D1DEB" w:rsidP="00EA636A">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Byloje nenustatyta, kad padarytas nusižengimas sukėlė kokius nors objektyvius neigiamus padarinius (pareiškėjas buvo pašalintas iš rinkimų proceso jo pradžioje, jis netapo savivaldybės tarybos nariu, t. y. vienu metu nevykdė pareigų savivaldoje ir policijos struktūroje). Be to, iki padaryto nusižengimo pareigūno veikla vertinta teigiamai. Todėl</w:t>
      </w:r>
      <w:r w:rsidR="00456DA1" w:rsidRPr="007D3F98">
        <w:rPr>
          <w:rFonts w:ascii="Calibri" w:eastAsia="Calibri" w:hAnsi="Calibri" w:cs="Calibri"/>
          <w:color w:val="000000"/>
          <w:sz w:val="22"/>
          <w:szCs w:val="22"/>
          <w:shd w:val="clear" w:color="auto" w:fill="FFFFFF"/>
          <w:lang w:eastAsia="en-US"/>
        </w:rPr>
        <w:t>,</w:t>
      </w:r>
      <w:r w:rsidRPr="007D3F98">
        <w:rPr>
          <w:rFonts w:ascii="Calibri" w:eastAsia="Calibri" w:hAnsi="Calibri" w:cs="Calibri"/>
          <w:color w:val="000000"/>
          <w:sz w:val="22"/>
          <w:szCs w:val="22"/>
          <w:shd w:val="clear" w:color="auto" w:fill="FFFFFF"/>
          <w:lang w:eastAsia="en-US"/>
        </w:rPr>
        <w:t xml:space="preserve"> teisėjų kolegijos vertinimu, pareiškėjui paskirta nuobauda – atleidimas iš tarnybos – per griežta, neproporcinga padarytam nusižengimui, neatitinka protingumo ir teisingumo kriterijų.</w:t>
      </w:r>
      <w:r w:rsidR="00EA636A">
        <w:rPr>
          <w:rFonts w:ascii="Calibri" w:eastAsia="Calibri" w:hAnsi="Calibri" w:cs="Calibri"/>
          <w:color w:val="000000"/>
          <w:sz w:val="22"/>
          <w:szCs w:val="22"/>
          <w:shd w:val="clear" w:color="auto" w:fill="FFFFFF"/>
          <w:lang w:eastAsia="en-US"/>
        </w:rPr>
        <w:t xml:space="preserve"> </w:t>
      </w:r>
      <w:r w:rsidRPr="007D3F98">
        <w:rPr>
          <w:rFonts w:ascii="Calibri" w:eastAsia="Calibri" w:hAnsi="Calibri" w:cs="Calibri"/>
          <w:color w:val="000000"/>
          <w:sz w:val="22"/>
          <w:szCs w:val="22"/>
          <w:shd w:val="clear" w:color="auto" w:fill="FFFFFF"/>
          <w:lang w:eastAsia="en-US"/>
        </w:rPr>
        <w:t>Atsižvelgęs į a</w:t>
      </w:r>
      <w:r w:rsidR="00456DA1" w:rsidRPr="007D3F98">
        <w:rPr>
          <w:rFonts w:ascii="Calibri" w:eastAsia="Calibri" w:hAnsi="Calibri" w:cs="Calibri"/>
          <w:color w:val="000000"/>
          <w:sz w:val="22"/>
          <w:szCs w:val="22"/>
          <w:shd w:val="clear" w:color="auto" w:fill="FFFFFF"/>
          <w:lang w:eastAsia="en-US"/>
        </w:rPr>
        <w:t>n</w:t>
      </w:r>
      <w:r w:rsidRPr="007D3F98">
        <w:rPr>
          <w:rFonts w:ascii="Calibri" w:eastAsia="Calibri" w:hAnsi="Calibri" w:cs="Calibri"/>
          <w:color w:val="000000"/>
          <w:sz w:val="22"/>
          <w:szCs w:val="22"/>
          <w:shd w:val="clear" w:color="auto" w:fill="FFFFFF"/>
          <w:lang w:eastAsia="en-US"/>
        </w:rPr>
        <w:t>kščiau nurodytus argumentus, LVAT pareiškėjui paskirtą tarnybinę nuobaudą – atleidimą iš pareigų – pakeitė į švelnesnę – griežtą papeikimą.</w:t>
      </w:r>
    </w:p>
    <w:p w14:paraId="47F9316C"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LVAT sprendimu pareiškėjo apeliacinis skundas tenkintas iš dalies, pirmosios instancijos teismo sprendimas panaikintas ir priimtas naujas sprendimas, kuriuo pareiškėjo skundas tenkintas iš dalies. </w:t>
      </w:r>
    </w:p>
    <w:p w14:paraId="3DE9D7DF"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4F0B6578" w14:textId="77777777" w:rsidR="003D1DEB" w:rsidRPr="007D3F98" w:rsidRDefault="003D1DEB" w:rsidP="003D1DEB">
      <w:pPr>
        <w:jc w:val="both"/>
        <w:rPr>
          <w:rFonts w:ascii="Calibri" w:hAnsi="Calibri"/>
          <w:sz w:val="22"/>
          <w:szCs w:val="22"/>
        </w:rPr>
      </w:pPr>
      <w:r w:rsidRPr="007D3F98">
        <w:rPr>
          <w:rFonts w:ascii="Calibri" w:hAnsi="Calibri"/>
          <w:sz w:val="22"/>
          <w:szCs w:val="22"/>
        </w:rPr>
        <w:t xml:space="preserve">2019 m. lapkričio 6 d. sprendimas administracinėje byloje Nr. A-5367-1062/2019 </w:t>
      </w:r>
    </w:p>
    <w:p w14:paraId="0340962C" w14:textId="77777777" w:rsidR="003D1DEB" w:rsidRPr="007D3F98" w:rsidRDefault="003D1DEB" w:rsidP="003D1DEB">
      <w:pPr>
        <w:jc w:val="both"/>
        <w:rPr>
          <w:rFonts w:ascii="Calibri" w:hAnsi="Calibri"/>
          <w:sz w:val="22"/>
          <w:szCs w:val="22"/>
        </w:rPr>
      </w:pPr>
      <w:r w:rsidRPr="007D3F98">
        <w:rPr>
          <w:rFonts w:ascii="Calibri" w:hAnsi="Calibri"/>
          <w:sz w:val="22"/>
          <w:szCs w:val="22"/>
        </w:rPr>
        <w:t xml:space="preserve">Teisminio proceso Nr. </w:t>
      </w:r>
      <w:r w:rsidRPr="007D3F98">
        <w:rPr>
          <w:rFonts w:ascii="Calibri" w:eastAsia="Calibri" w:hAnsi="Calibri"/>
          <w:color w:val="000000"/>
          <w:sz w:val="22"/>
          <w:lang w:eastAsia="en-US"/>
        </w:rPr>
        <w:t>3-61-3-01665-2019-3</w:t>
      </w:r>
    </w:p>
    <w:p w14:paraId="5FCDC6D6" w14:textId="77777777" w:rsidR="003D1DEB" w:rsidRPr="007D3F98" w:rsidRDefault="003D1DEB" w:rsidP="003D1DEB">
      <w:pPr>
        <w:jc w:val="both"/>
        <w:rPr>
          <w:rFonts w:ascii="Calibri" w:hAnsi="Calibri"/>
          <w:sz w:val="22"/>
          <w:szCs w:val="22"/>
        </w:rPr>
      </w:pPr>
      <w:r w:rsidRPr="007D3F98">
        <w:rPr>
          <w:rFonts w:ascii="Calibri" w:hAnsi="Calibri"/>
          <w:sz w:val="22"/>
          <w:szCs w:val="22"/>
        </w:rPr>
        <w:t xml:space="preserve">Procesinio sprendimo kategorija 21.3.2 </w:t>
      </w:r>
    </w:p>
    <w:p w14:paraId="7451EA11" w14:textId="77777777" w:rsidR="003D1DEB" w:rsidRPr="007D3F98" w:rsidRDefault="00854B2C" w:rsidP="003D1DEB">
      <w:pPr>
        <w:jc w:val="both"/>
        <w:rPr>
          <w:rFonts w:ascii="Calibri" w:hAnsi="Calibri"/>
          <w:sz w:val="22"/>
          <w:szCs w:val="22"/>
        </w:rPr>
      </w:pPr>
      <w:hyperlink r:id="rId16" w:history="1">
        <w:r w:rsidR="003D1DEB" w:rsidRPr="007D3F98">
          <w:rPr>
            <w:rFonts w:ascii="Calibri" w:hAnsi="Calibri"/>
            <w:color w:val="0000FF"/>
            <w:sz w:val="22"/>
            <w:szCs w:val="22"/>
            <w:u w:val="single"/>
          </w:rPr>
          <w:t>Prieiga internete</w:t>
        </w:r>
      </w:hyperlink>
      <w:r w:rsidR="003D1DEB" w:rsidRPr="007D3F98">
        <w:rPr>
          <w:rFonts w:ascii="Calibri" w:hAnsi="Calibri"/>
          <w:sz w:val="22"/>
          <w:szCs w:val="22"/>
        </w:rPr>
        <w:t xml:space="preserve"> </w:t>
      </w:r>
    </w:p>
    <w:p w14:paraId="058D755B"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739AAC6C" w14:textId="77777777" w:rsidR="003D1DEB" w:rsidRPr="007D3F98" w:rsidRDefault="003D1DEB" w:rsidP="003D1DEB">
      <w:pPr>
        <w:pStyle w:val="Antrat1"/>
        <w:rPr>
          <w:rFonts w:ascii="Calibri" w:hAnsi="Calibri"/>
        </w:rPr>
      </w:pPr>
      <w:bookmarkStart w:id="44" w:name="_Toc774930"/>
      <w:bookmarkStart w:id="45" w:name="_Toc29392702"/>
      <w:r w:rsidRPr="007D3F98">
        <w:rPr>
          <w:rFonts w:ascii="Calibri" w:hAnsi="Calibri"/>
        </w:rPr>
        <w:t>22. Kiti su valstybės tarnyba</w:t>
      </w:r>
      <w:r w:rsidRPr="007D3F98" w:rsidDel="00E3531F">
        <w:rPr>
          <w:rFonts w:ascii="Calibri" w:hAnsi="Calibri"/>
        </w:rPr>
        <w:t xml:space="preserve"> </w:t>
      </w:r>
      <w:r w:rsidRPr="007D3F98">
        <w:rPr>
          <w:rFonts w:ascii="Calibri" w:hAnsi="Calibri"/>
        </w:rPr>
        <w:t>susiję klausimai</w:t>
      </w:r>
      <w:bookmarkEnd w:id="44"/>
      <w:bookmarkEnd w:id="45"/>
    </w:p>
    <w:p w14:paraId="0FD591AA" w14:textId="77777777" w:rsidR="003D1DEB" w:rsidRPr="007D3F98" w:rsidRDefault="003D1DEB" w:rsidP="003D1DEB">
      <w:pPr>
        <w:ind w:firstLine="567"/>
        <w:jc w:val="both"/>
        <w:rPr>
          <w:rFonts w:ascii="Calibri" w:hAnsi="Calibri"/>
          <w:b/>
          <w:sz w:val="22"/>
          <w:szCs w:val="22"/>
          <w:u w:val="single"/>
        </w:rPr>
      </w:pPr>
      <w:r w:rsidRPr="007D3F98">
        <w:rPr>
          <w:rFonts w:ascii="Calibri" w:hAnsi="Calibri"/>
          <w:b/>
          <w:sz w:val="22"/>
          <w:szCs w:val="22"/>
          <w:u w:val="single"/>
        </w:rPr>
        <w:t>22.2. Valstybės tarnautojų tarnybinės veiklos vertinimas</w:t>
      </w:r>
    </w:p>
    <w:p w14:paraId="0F41E5ED"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6E1E6D4B" w14:textId="507354A7" w:rsidR="003D1DEB" w:rsidRPr="007D3F98" w:rsidRDefault="003D1DEB" w:rsidP="003D1DEB">
      <w:pPr>
        <w:pStyle w:val="Antrat2"/>
        <w:rPr>
          <w:rFonts w:ascii="Calibri" w:hAnsi="Calibri"/>
        </w:rPr>
      </w:pPr>
      <w:bookmarkStart w:id="46" w:name="_Toc29392703"/>
      <w:r w:rsidRPr="007D3F98">
        <w:rPr>
          <w:rFonts w:ascii="Calibri" w:hAnsi="Calibri"/>
        </w:rPr>
        <w:t xml:space="preserve">Dėl tarnybinės veiklos vertinimo komisijos posėdžio </w:t>
      </w:r>
      <w:r w:rsidR="00163E6A" w:rsidRPr="007D3F98">
        <w:rPr>
          <w:rFonts w:ascii="Calibri" w:hAnsi="Calibri"/>
        </w:rPr>
        <w:t xml:space="preserve">garso </w:t>
      </w:r>
      <w:r w:rsidRPr="007D3F98">
        <w:rPr>
          <w:rFonts w:ascii="Calibri" w:hAnsi="Calibri"/>
        </w:rPr>
        <w:t>įrašo reikšmės</w:t>
      </w:r>
      <w:bookmarkEnd w:id="46"/>
    </w:p>
    <w:p w14:paraId="2053B8EE"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46EA3E7A" w14:textId="37E96281"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Nagrinėtoje byloje ginčas kilo dėl pareiškėjo tarnybinės veiklos 2017 m. įvertinimo bei </w:t>
      </w:r>
      <w:r w:rsidR="00163E6A" w:rsidRPr="007D3F98">
        <w:rPr>
          <w:rFonts w:ascii="Calibri" w:eastAsia="Calibri" w:hAnsi="Calibri" w:cs="Calibri"/>
          <w:color w:val="000000"/>
          <w:sz w:val="22"/>
          <w:szCs w:val="22"/>
          <w:shd w:val="clear" w:color="auto" w:fill="FFFFFF"/>
          <w:lang w:eastAsia="en-US"/>
        </w:rPr>
        <w:t>į</w:t>
      </w:r>
      <w:r w:rsidRPr="007D3F98">
        <w:rPr>
          <w:rFonts w:ascii="Calibri" w:eastAsia="Calibri" w:hAnsi="Calibri" w:cs="Calibri"/>
          <w:color w:val="000000"/>
          <w:sz w:val="22"/>
          <w:szCs w:val="22"/>
          <w:shd w:val="clear" w:color="auto" w:fill="FFFFFF"/>
          <w:lang w:eastAsia="en-US"/>
        </w:rPr>
        <w:t>sakymo, kuriuo panaikinta pareiškėjo turėta antra kvalifikacinė klasė, teisėtumo ir pagrįstumo.</w:t>
      </w:r>
    </w:p>
    <w:p w14:paraId="236BBB1E" w14:textId="09CCA3F2"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Teisėjų kolegija, įvertinusi </w:t>
      </w:r>
      <w:r w:rsidR="00163E6A" w:rsidRPr="007D3F98">
        <w:rPr>
          <w:rFonts w:ascii="Calibri" w:eastAsia="Calibri" w:hAnsi="Calibri" w:cs="Calibri"/>
          <w:color w:val="000000"/>
          <w:sz w:val="22"/>
          <w:szCs w:val="22"/>
          <w:shd w:val="clear" w:color="auto" w:fill="FFFFFF"/>
          <w:lang w:eastAsia="en-US"/>
        </w:rPr>
        <w:t>V</w:t>
      </w:r>
      <w:r w:rsidRPr="007D3F98">
        <w:rPr>
          <w:rFonts w:ascii="Calibri" w:eastAsia="Calibri" w:hAnsi="Calibri" w:cs="Calibri"/>
          <w:color w:val="000000"/>
          <w:sz w:val="22"/>
          <w:szCs w:val="22"/>
          <w:shd w:val="clear" w:color="auto" w:fill="FFFFFF"/>
          <w:lang w:eastAsia="en-US"/>
        </w:rPr>
        <w:t>alstybės tarnybos įstatymo (2017 m</w:t>
      </w:r>
      <w:r w:rsidR="00405361">
        <w:rPr>
          <w:rFonts w:ascii="Calibri" w:eastAsia="Calibri" w:hAnsi="Calibri" w:cs="Calibri"/>
          <w:color w:val="000000"/>
          <w:sz w:val="22"/>
          <w:szCs w:val="22"/>
          <w:shd w:val="clear" w:color="auto" w:fill="FFFFFF"/>
          <w:lang w:eastAsia="en-US"/>
        </w:rPr>
        <w:t>.</w:t>
      </w:r>
      <w:r w:rsidRPr="007D3F98">
        <w:rPr>
          <w:rFonts w:ascii="Calibri" w:eastAsia="Calibri" w:hAnsi="Calibri" w:cs="Calibri"/>
          <w:color w:val="000000"/>
          <w:sz w:val="22"/>
          <w:szCs w:val="22"/>
          <w:shd w:val="clear" w:color="auto" w:fill="FFFFFF"/>
          <w:lang w:eastAsia="en-US"/>
        </w:rPr>
        <w:t xml:space="preserve"> liepos 11 d. įstatymo Nr. </w:t>
      </w:r>
      <w:r w:rsidR="00163E6A" w:rsidRPr="007D3F98">
        <w:rPr>
          <w:rFonts w:ascii="Calibri" w:eastAsia="Calibri" w:hAnsi="Calibri" w:cs="Calibri"/>
          <w:color w:val="000000"/>
          <w:sz w:val="22"/>
          <w:szCs w:val="22"/>
          <w:shd w:val="clear" w:color="auto" w:fill="FFFFFF"/>
          <w:lang w:eastAsia="en-US"/>
        </w:rPr>
        <w:t xml:space="preserve">XIII-622 redakcija; toliau – </w:t>
      </w:r>
      <w:r w:rsidRPr="007D3F98">
        <w:rPr>
          <w:rFonts w:ascii="Calibri" w:eastAsia="Calibri" w:hAnsi="Calibri" w:cs="Calibri"/>
          <w:color w:val="000000"/>
          <w:sz w:val="22"/>
          <w:szCs w:val="22"/>
          <w:shd w:val="clear" w:color="auto" w:fill="FFFFFF"/>
          <w:lang w:eastAsia="en-US"/>
        </w:rPr>
        <w:t xml:space="preserve">VTĮ) 22 straipsnio, Lietuvos Respublikos Vyriausybės 2002 m. birželio 17 d. nutarimu Nr. 909 patvirtintų Valstybės tarnautojų kvalifikacinių klasių suteikimo ir valstybės tarnautojų tarnybinės veiklos vertinimo taisyklių (2012 m. gruodžio 12 d. nutarimo </w:t>
      </w:r>
      <w:r w:rsidR="00163E6A" w:rsidRPr="007D3F98">
        <w:rPr>
          <w:rFonts w:ascii="Calibri" w:eastAsia="Calibri" w:hAnsi="Calibri" w:cs="Calibri"/>
          <w:color w:val="000000"/>
          <w:sz w:val="22"/>
          <w:szCs w:val="22"/>
          <w:shd w:val="clear" w:color="auto" w:fill="FFFFFF"/>
          <w:lang w:eastAsia="en-US"/>
        </w:rPr>
        <w:t xml:space="preserve">Nr. 1514 redakcija; toliau – </w:t>
      </w:r>
      <w:r w:rsidRPr="007D3F98">
        <w:rPr>
          <w:rFonts w:ascii="Calibri" w:eastAsia="Calibri" w:hAnsi="Calibri" w:cs="Calibri"/>
          <w:color w:val="000000"/>
          <w:sz w:val="22"/>
          <w:szCs w:val="22"/>
          <w:shd w:val="clear" w:color="auto" w:fill="FFFFFF"/>
          <w:lang w:eastAsia="en-US"/>
        </w:rPr>
        <w:t xml:space="preserve">Vertinimo taisyklės) 10, 18, 19, 20, 22, 23 punktus, konstatavo, jog VTĮ ir Vertinimo taisyklėse įtvirtintos procedūros ABTĮ taikymo prasme laikytinos pagrindinėmis taisyklėmis, kurios turi užtikrinti objektyvų visų aplinkybių įvertinimą ir sprendimo, kuriuo įvertinama valstybės tarnautojo tarnybinė veikla, pagrįstumą. Šių procedūrų nesilaikymas gali būti pagrindu pripažinti administravimo subjekto priimtą sprendimą neteisėtu ir jį panaikinti (ABTĮ 91 str. 1 d. 3 p.). </w:t>
      </w:r>
    </w:p>
    <w:p w14:paraId="76F63DD8" w14:textId="0ABA216E" w:rsidR="003D1DEB" w:rsidRPr="007D3F98" w:rsidRDefault="00163E6A"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LVAT</w:t>
      </w:r>
      <w:r w:rsidR="003D1DEB" w:rsidRPr="007D3F98">
        <w:rPr>
          <w:rFonts w:ascii="Calibri" w:eastAsia="Calibri" w:hAnsi="Calibri" w:cs="Calibri"/>
          <w:color w:val="000000"/>
          <w:sz w:val="22"/>
          <w:szCs w:val="22"/>
          <w:shd w:val="clear" w:color="auto" w:fill="FFFFFF"/>
          <w:lang w:eastAsia="en-US"/>
        </w:rPr>
        <w:t xml:space="preserve">, formuodamas VTĮ 22 straipsnio ir su jo įgyvendinimu susijusių </w:t>
      </w:r>
      <w:r w:rsidRPr="007D3F98">
        <w:rPr>
          <w:rFonts w:ascii="Calibri" w:eastAsia="Calibri" w:hAnsi="Calibri" w:cs="Calibri"/>
          <w:color w:val="000000"/>
          <w:sz w:val="22"/>
          <w:szCs w:val="22"/>
          <w:shd w:val="clear" w:color="auto" w:fill="FFFFFF"/>
          <w:lang w:eastAsia="en-US"/>
        </w:rPr>
        <w:t>Vertinimo t</w:t>
      </w:r>
      <w:r w:rsidR="003D1DEB" w:rsidRPr="007D3F98">
        <w:rPr>
          <w:rFonts w:ascii="Calibri" w:eastAsia="Calibri" w:hAnsi="Calibri" w:cs="Calibri"/>
          <w:color w:val="000000"/>
          <w:sz w:val="22"/>
          <w:szCs w:val="22"/>
          <w:shd w:val="clear" w:color="auto" w:fill="FFFFFF"/>
          <w:lang w:eastAsia="en-US"/>
        </w:rPr>
        <w:t>aisyklių taikymo praktiką, laikosi pozicijos, kad valstybės tarnautojo tarnybinės veiklos vertinimas yra šio tarnautojo tiesioginio vadovo bei vertinimo komisijos kompetencija, tačiau ji nėra išimtinė kompetencija; tai reiškia, kad atitinkama valstybės tarnautojo tarnybinės veiklos vertinimo išvada turi būti pagrįsta faktinėmis vertinamo asmens tarnybinę veiklą charakterizuojančiomis aplinkybėmis (žr. 2014 m. sausio 6 d. nutartį administracinėje byloje Nr. A</w:t>
      </w:r>
      <w:r w:rsidR="003D1DEB" w:rsidRPr="007D3F98">
        <w:rPr>
          <w:rFonts w:ascii="Calibri" w:eastAsia="Calibri" w:hAnsi="Calibri" w:cs="Calibri"/>
          <w:color w:val="000000"/>
          <w:sz w:val="22"/>
          <w:szCs w:val="22"/>
          <w:shd w:val="clear" w:color="auto" w:fill="FFFFFF"/>
          <w:vertAlign w:val="superscript"/>
          <w:lang w:eastAsia="en-US"/>
        </w:rPr>
        <w:t>492</w:t>
      </w:r>
      <w:r w:rsidR="003D1DEB" w:rsidRPr="007D3F98">
        <w:rPr>
          <w:rFonts w:ascii="Calibri" w:eastAsia="Calibri" w:hAnsi="Calibri" w:cs="Calibri"/>
          <w:color w:val="000000"/>
          <w:sz w:val="22"/>
          <w:szCs w:val="22"/>
          <w:shd w:val="clear" w:color="auto" w:fill="FFFFFF"/>
          <w:lang w:eastAsia="en-US"/>
        </w:rPr>
        <w:t xml:space="preserve">-2466/2013). </w:t>
      </w:r>
      <w:r w:rsidRPr="007D3F98">
        <w:rPr>
          <w:rFonts w:ascii="Calibri" w:eastAsia="Calibri" w:hAnsi="Calibri" w:cs="Calibri"/>
          <w:color w:val="000000"/>
          <w:sz w:val="22"/>
          <w:szCs w:val="22"/>
          <w:shd w:val="clear" w:color="auto" w:fill="FFFFFF"/>
          <w:lang w:eastAsia="en-US"/>
        </w:rPr>
        <w:t>LVAT</w:t>
      </w:r>
      <w:r w:rsidR="003D1DEB" w:rsidRPr="007D3F98">
        <w:rPr>
          <w:rFonts w:ascii="Calibri" w:eastAsia="Calibri" w:hAnsi="Calibri" w:cs="Calibri"/>
          <w:color w:val="000000"/>
          <w:sz w:val="22"/>
          <w:szCs w:val="22"/>
          <w:shd w:val="clear" w:color="auto" w:fill="FFFFFF"/>
          <w:lang w:eastAsia="en-US"/>
        </w:rPr>
        <w:t xml:space="preserve"> yra konstatavęs, kad vertinimo komisijos nagrinėjimo dalykas yra tiesioginio vadovo išvada, kurioje valstybės tarnautojo tarnybinė veikla įvertinta labai gerai, patenkinamai ar nepatenkinamai. Vertinimo komisijos pareiga yra patikrinti, ar valstybės tarnautojo tiesioginio vadovo surašyta tarnybinės veiklos vertinimo išvada yra pagrįsta, įsitikinti, ar tiesioginis vadovas, vertindamas valstybės tarnautojo gebėjimus atlikti pareigybės aprašyme nustatytas funkcijas ir jo kvalifikaciją, laikėsi </w:t>
      </w:r>
      <w:r w:rsidRPr="007D3F98">
        <w:rPr>
          <w:rFonts w:ascii="Calibri" w:eastAsia="Calibri" w:hAnsi="Calibri" w:cs="Calibri"/>
          <w:color w:val="000000"/>
          <w:sz w:val="22"/>
          <w:szCs w:val="22"/>
          <w:shd w:val="clear" w:color="auto" w:fill="FFFFFF"/>
          <w:lang w:eastAsia="en-US"/>
        </w:rPr>
        <w:t>Vertinimo t</w:t>
      </w:r>
      <w:r w:rsidR="003D1DEB" w:rsidRPr="007D3F98">
        <w:rPr>
          <w:rFonts w:ascii="Calibri" w:eastAsia="Calibri" w:hAnsi="Calibri" w:cs="Calibri"/>
          <w:color w:val="000000"/>
          <w:sz w:val="22"/>
          <w:szCs w:val="22"/>
          <w:shd w:val="clear" w:color="auto" w:fill="FFFFFF"/>
          <w:lang w:eastAsia="en-US"/>
        </w:rPr>
        <w:t xml:space="preserve">aisyklėse pateiktų rekomendacijų (žr., pvz., 2017 m. kovo 23 d. nutartį administracinėje byloje Nr. A-110-438/2017). Todėl teismas, nagrinėdamas </w:t>
      </w:r>
      <w:r w:rsidR="003D1DEB" w:rsidRPr="007D3F98">
        <w:rPr>
          <w:rFonts w:ascii="Calibri" w:eastAsia="Calibri" w:hAnsi="Calibri" w:cs="Calibri"/>
          <w:color w:val="000000"/>
          <w:sz w:val="22"/>
          <w:szCs w:val="22"/>
          <w:shd w:val="clear" w:color="auto" w:fill="FFFFFF"/>
          <w:lang w:eastAsia="en-US"/>
        </w:rPr>
        <w:lastRenderedPageBreak/>
        <w:t>ginčą dėl valstybės tarnautoją į pareigas priėmusio vadovo sprendimo, priimto įgyvendinant vertinimo komisijos pasiūlymus, susijusius su patenkinamu arba nepatenkinamu valstybės tarnautojo</w:t>
      </w:r>
      <w:r w:rsidRPr="007D3F98">
        <w:rPr>
          <w:rFonts w:ascii="Calibri" w:eastAsia="Calibri" w:hAnsi="Calibri" w:cs="Calibri"/>
          <w:color w:val="000000"/>
          <w:sz w:val="22"/>
          <w:szCs w:val="22"/>
          <w:shd w:val="clear" w:color="auto" w:fill="FFFFFF"/>
          <w:lang w:eastAsia="en-US"/>
        </w:rPr>
        <w:t xml:space="preserve"> tarnybinės veiklos vertinimu (Vertinimo t</w:t>
      </w:r>
      <w:r w:rsidR="003D1DEB" w:rsidRPr="007D3F98">
        <w:rPr>
          <w:rFonts w:ascii="Calibri" w:eastAsia="Calibri" w:hAnsi="Calibri" w:cs="Calibri"/>
          <w:color w:val="000000"/>
          <w:sz w:val="22"/>
          <w:szCs w:val="22"/>
          <w:shd w:val="clear" w:color="auto" w:fill="FFFFFF"/>
          <w:lang w:eastAsia="en-US"/>
        </w:rPr>
        <w:t xml:space="preserve">aisyklių 17, 18 ir 19 p.), pagrįstumo bei teisėtumo, turi nustatyti, ar vertinimo komisija laikėsi teisės aktų nustatytos vertinimo ir sprendimų priėmimo procedūros, ir ar vertinimo komisija tinkamai atliko tarnybinės veiklos vertinimo išvados, kurią pateikė valstybės tarnautojo tiesioginis vadovas, pagrįstumo patikrinimo funkciją (žr. </w:t>
      </w:r>
      <w:r w:rsidRPr="007D3F98">
        <w:rPr>
          <w:rFonts w:ascii="Calibri" w:eastAsia="Calibri" w:hAnsi="Calibri" w:cs="Calibri"/>
          <w:color w:val="000000"/>
          <w:sz w:val="22"/>
          <w:szCs w:val="22"/>
          <w:shd w:val="clear" w:color="auto" w:fill="FFFFFF"/>
          <w:lang w:eastAsia="en-US"/>
        </w:rPr>
        <w:t>LVAT</w:t>
      </w:r>
      <w:r w:rsidR="003D1DEB" w:rsidRPr="007D3F98">
        <w:rPr>
          <w:rFonts w:ascii="Calibri" w:eastAsia="Calibri" w:hAnsi="Calibri" w:cs="Calibri"/>
          <w:color w:val="000000"/>
          <w:sz w:val="22"/>
          <w:szCs w:val="22"/>
          <w:shd w:val="clear" w:color="auto" w:fill="FFFFFF"/>
          <w:lang w:eastAsia="en-US"/>
        </w:rPr>
        <w:t xml:space="preserve"> 2009 m. lapkričio 6 d. nutartį administracinėje byloje Nr. A</w:t>
      </w:r>
      <w:r w:rsidR="003D1DEB" w:rsidRPr="007D3F98">
        <w:rPr>
          <w:rFonts w:ascii="Calibri" w:eastAsia="Calibri" w:hAnsi="Calibri" w:cs="Calibri"/>
          <w:color w:val="000000"/>
          <w:sz w:val="22"/>
          <w:szCs w:val="22"/>
          <w:shd w:val="clear" w:color="auto" w:fill="FFFFFF"/>
          <w:vertAlign w:val="superscript"/>
          <w:lang w:eastAsia="en-US"/>
        </w:rPr>
        <w:t>146</w:t>
      </w:r>
      <w:r w:rsidRPr="007D3F98">
        <w:rPr>
          <w:rFonts w:ascii="Calibri" w:eastAsia="Calibri" w:hAnsi="Calibri" w:cs="Calibri"/>
          <w:color w:val="000000"/>
          <w:sz w:val="22"/>
          <w:szCs w:val="22"/>
          <w:shd w:val="clear" w:color="auto" w:fill="FFFFFF"/>
          <w:lang w:eastAsia="en-US"/>
        </w:rPr>
        <w:t>-1271/2009; 2010 m. vasario 8 </w:t>
      </w:r>
      <w:r w:rsidR="003D1DEB" w:rsidRPr="007D3F98">
        <w:rPr>
          <w:rFonts w:ascii="Calibri" w:eastAsia="Calibri" w:hAnsi="Calibri" w:cs="Calibri"/>
          <w:color w:val="000000"/>
          <w:sz w:val="22"/>
          <w:szCs w:val="22"/>
          <w:shd w:val="clear" w:color="auto" w:fill="FFFFFF"/>
          <w:lang w:eastAsia="en-US"/>
        </w:rPr>
        <w:t>d. nutartį administracinėje byloje Nr. A</w:t>
      </w:r>
      <w:r w:rsidR="003D1DEB" w:rsidRPr="007D3F98">
        <w:rPr>
          <w:rFonts w:ascii="Calibri" w:eastAsia="Calibri" w:hAnsi="Calibri" w:cs="Calibri"/>
          <w:color w:val="000000"/>
          <w:sz w:val="22"/>
          <w:szCs w:val="22"/>
          <w:shd w:val="clear" w:color="auto" w:fill="FFFFFF"/>
          <w:vertAlign w:val="superscript"/>
          <w:lang w:eastAsia="en-US"/>
        </w:rPr>
        <w:t>756</w:t>
      </w:r>
      <w:r w:rsidR="003D1DEB" w:rsidRPr="007D3F98">
        <w:rPr>
          <w:rFonts w:ascii="Calibri" w:eastAsia="Calibri" w:hAnsi="Calibri" w:cs="Calibri"/>
          <w:color w:val="000000"/>
          <w:sz w:val="22"/>
          <w:szCs w:val="22"/>
          <w:shd w:val="clear" w:color="auto" w:fill="FFFFFF"/>
          <w:lang w:eastAsia="en-US"/>
        </w:rPr>
        <w:t>-146/2010; 2010 m. gegužės 24 d. nutartį admi</w:t>
      </w:r>
      <w:r w:rsidRPr="007D3F98">
        <w:rPr>
          <w:rFonts w:ascii="Calibri" w:eastAsia="Calibri" w:hAnsi="Calibri" w:cs="Calibri"/>
          <w:color w:val="000000"/>
          <w:sz w:val="22"/>
          <w:szCs w:val="22"/>
          <w:shd w:val="clear" w:color="auto" w:fill="FFFFFF"/>
          <w:lang w:eastAsia="en-US"/>
        </w:rPr>
        <w:t>nistracinėje byloje Nr. </w:t>
      </w:r>
      <w:r w:rsidR="003D1DEB" w:rsidRPr="007D3F98">
        <w:rPr>
          <w:rFonts w:ascii="Calibri" w:eastAsia="Calibri" w:hAnsi="Calibri" w:cs="Calibri"/>
          <w:color w:val="000000"/>
          <w:sz w:val="22"/>
          <w:szCs w:val="22"/>
          <w:shd w:val="clear" w:color="auto" w:fill="FFFFFF"/>
          <w:lang w:eastAsia="en-US"/>
        </w:rPr>
        <w:t>A</w:t>
      </w:r>
      <w:r w:rsidR="003D1DEB" w:rsidRPr="007D3F98">
        <w:rPr>
          <w:rFonts w:ascii="Calibri" w:eastAsia="Calibri" w:hAnsi="Calibri" w:cs="Calibri"/>
          <w:color w:val="000000"/>
          <w:sz w:val="22"/>
          <w:szCs w:val="22"/>
          <w:shd w:val="clear" w:color="auto" w:fill="FFFFFF"/>
          <w:vertAlign w:val="superscript"/>
          <w:lang w:eastAsia="en-US"/>
        </w:rPr>
        <w:t>146</w:t>
      </w:r>
      <w:r w:rsidR="003D1DEB" w:rsidRPr="007D3F98">
        <w:rPr>
          <w:rFonts w:ascii="Calibri" w:eastAsia="Calibri" w:hAnsi="Calibri" w:cs="Calibri"/>
          <w:color w:val="000000"/>
          <w:sz w:val="22"/>
          <w:szCs w:val="22"/>
          <w:shd w:val="clear" w:color="auto" w:fill="FFFFFF"/>
          <w:lang w:eastAsia="en-US"/>
        </w:rPr>
        <w:t xml:space="preserve">-702/2010 ir kt.). </w:t>
      </w:r>
      <w:r w:rsidRPr="007D3F98">
        <w:rPr>
          <w:rFonts w:ascii="Calibri" w:eastAsia="Calibri" w:hAnsi="Calibri" w:cs="Calibri"/>
          <w:color w:val="000000"/>
          <w:sz w:val="22"/>
          <w:szCs w:val="22"/>
          <w:shd w:val="clear" w:color="auto" w:fill="FFFFFF"/>
          <w:lang w:eastAsia="en-US"/>
        </w:rPr>
        <w:t>LVAT</w:t>
      </w:r>
      <w:r w:rsidR="003D1DEB" w:rsidRPr="007D3F98">
        <w:rPr>
          <w:rFonts w:ascii="Calibri" w:eastAsia="Calibri" w:hAnsi="Calibri" w:cs="Calibri"/>
          <w:color w:val="000000"/>
          <w:sz w:val="22"/>
          <w:szCs w:val="22"/>
          <w:shd w:val="clear" w:color="auto" w:fill="FFFFFF"/>
          <w:lang w:eastAsia="en-US"/>
        </w:rPr>
        <w:t xml:space="preserve"> taip pat yra išaiškinęs, kad vertinimo komisijai, kuri tikrina valstybės tarnautojo tarnybinės veiklos vertinimo išvados pagrįstumą, o kilus ginčui – teismui turi būti pateikti įrodymai, kurių pagrindu padarytos atitinkamos išvados (žr.</w:t>
      </w:r>
      <w:r w:rsidR="00405361">
        <w:rPr>
          <w:rFonts w:ascii="Calibri" w:eastAsia="Calibri" w:hAnsi="Calibri" w:cs="Calibri"/>
          <w:color w:val="000000"/>
          <w:sz w:val="22"/>
          <w:szCs w:val="22"/>
          <w:shd w:val="clear" w:color="auto" w:fill="FFFFFF"/>
          <w:lang w:eastAsia="en-US"/>
        </w:rPr>
        <w:t>,</w:t>
      </w:r>
      <w:r w:rsidR="003D1DEB" w:rsidRPr="007D3F98">
        <w:rPr>
          <w:rFonts w:ascii="Calibri" w:eastAsia="Calibri" w:hAnsi="Calibri" w:cs="Calibri"/>
          <w:color w:val="000000"/>
          <w:sz w:val="22"/>
          <w:szCs w:val="22"/>
          <w:shd w:val="clear" w:color="auto" w:fill="FFFFFF"/>
          <w:lang w:eastAsia="en-US"/>
        </w:rPr>
        <w:t xml:space="preserve"> pvz., 2009 m. gegužės 19 d. nutartį administracinėje byloje Nr. A</w:t>
      </w:r>
      <w:r w:rsidR="003D1DEB" w:rsidRPr="007D3F98">
        <w:rPr>
          <w:rFonts w:ascii="Calibri" w:eastAsia="Calibri" w:hAnsi="Calibri" w:cs="Calibri"/>
          <w:color w:val="000000"/>
          <w:sz w:val="22"/>
          <w:szCs w:val="22"/>
          <w:shd w:val="clear" w:color="auto" w:fill="FFFFFF"/>
          <w:vertAlign w:val="superscript"/>
          <w:lang w:eastAsia="en-US"/>
        </w:rPr>
        <w:t>143</w:t>
      </w:r>
      <w:r w:rsidR="003D1DEB" w:rsidRPr="007D3F98">
        <w:rPr>
          <w:rFonts w:ascii="Calibri" w:eastAsia="Calibri" w:hAnsi="Calibri" w:cs="Calibri"/>
          <w:color w:val="000000"/>
          <w:sz w:val="22"/>
          <w:szCs w:val="22"/>
          <w:shd w:val="clear" w:color="auto" w:fill="FFFFFF"/>
          <w:lang w:eastAsia="en-US"/>
        </w:rPr>
        <w:t>-646/2009; 2008 m. spalio 8 d. nutartį administracinėje byloje Nr. A</w:t>
      </w:r>
      <w:r w:rsidR="003D1DEB" w:rsidRPr="007D3F98">
        <w:rPr>
          <w:rFonts w:ascii="Calibri" w:eastAsia="Calibri" w:hAnsi="Calibri" w:cs="Calibri"/>
          <w:color w:val="000000"/>
          <w:sz w:val="22"/>
          <w:szCs w:val="22"/>
          <w:shd w:val="clear" w:color="auto" w:fill="FFFFFF"/>
          <w:vertAlign w:val="superscript"/>
          <w:lang w:eastAsia="en-US"/>
        </w:rPr>
        <w:t>556</w:t>
      </w:r>
      <w:r w:rsidR="003D1DEB" w:rsidRPr="007D3F98">
        <w:rPr>
          <w:rFonts w:ascii="Calibri" w:eastAsia="Calibri" w:hAnsi="Calibri" w:cs="Calibri"/>
          <w:color w:val="000000"/>
          <w:sz w:val="22"/>
          <w:szCs w:val="22"/>
          <w:shd w:val="clear" w:color="auto" w:fill="FFFFFF"/>
          <w:lang w:eastAsia="en-US"/>
        </w:rPr>
        <w:t xml:space="preserve">-1727/2008 ir kt.). </w:t>
      </w:r>
    </w:p>
    <w:p w14:paraId="5FAF8067" w14:textId="66AB4149"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LVAT pažymėjo, kad </w:t>
      </w:r>
      <w:r w:rsidRPr="007D3F98">
        <w:rPr>
          <w:rFonts w:ascii="Calibri" w:eastAsia="Calibri" w:hAnsi="Calibri" w:cs="Calibri"/>
          <w:color w:val="000000"/>
          <w:sz w:val="22"/>
          <w:szCs w:val="22"/>
          <w:u w:val="single"/>
          <w:shd w:val="clear" w:color="auto" w:fill="FFFFFF"/>
          <w:lang w:eastAsia="en-US"/>
        </w:rPr>
        <w:t>nors vertinimo komisijos išvada neprivalo būti detaliai motyvuota, vienas iš pagrindinių įrodymų, turinčių atskleisti išvados motyvaciją, yra skaitmeninis vertinimo komisijos posėdžio garso įrašas, kuriame turi būti įrašytas visas vertinimo komisijos posėdžio garso įrašas, t. y. ne tik pareigūno tarnybinės veiklos nagrinėjimas, kuris susideda iš pokalbio su pareigūnu ir tiesioginio vadovo išvados nagrinėjimo, bet ir vertinimo komisijos posėdžio stadija, kurios metu komisijos nariai aptaria valstybės tarnautojo tarnybinės veiklos vertinimą ir nutaria pareigūno tarnybinę veiklą įvertinti vienu iš įstatyme numatytų būdų</w:t>
      </w:r>
      <w:r w:rsidRPr="007D3F98">
        <w:rPr>
          <w:rFonts w:ascii="Calibri" w:eastAsia="Calibri" w:hAnsi="Calibri" w:cs="Calibri"/>
          <w:color w:val="000000"/>
          <w:sz w:val="22"/>
          <w:szCs w:val="22"/>
          <w:shd w:val="clear" w:color="auto" w:fill="FFFFFF"/>
          <w:lang w:eastAsia="en-US"/>
        </w:rPr>
        <w:t xml:space="preserve"> (žr., pvz., </w:t>
      </w:r>
      <w:r w:rsidR="00163E6A" w:rsidRPr="007D3F98">
        <w:rPr>
          <w:rFonts w:ascii="Calibri" w:eastAsia="Calibri" w:hAnsi="Calibri" w:cs="Calibri"/>
          <w:color w:val="000000"/>
          <w:sz w:val="22"/>
          <w:szCs w:val="22"/>
          <w:shd w:val="clear" w:color="auto" w:fill="FFFFFF"/>
          <w:lang w:eastAsia="en-US"/>
        </w:rPr>
        <w:t>LVAT</w:t>
      </w:r>
      <w:r w:rsidRPr="007D3F98">
        <w:rPr>
          <w:rFonts w:ascii="Calibri" w:eastAsia="Calibri" w:hAnsi="Calibri" w:cs="Calibri"/>
          <w:color w:val="000000"/>
          <w:sz w:val="22"/>
          <w:szCs w:val="22"/>
          <w:shd w:val="clear" w:color="auto" w:fill="FFFFFF"/>
          <w:lang w:eastAsia="en-US"/>
        </w:rPr>
        <w:t xml:space="preserve"> 2019 m. spalio 16 d. nutartį administracinėje byloje Nr. A-843-438/2019). </w:t>
      </w:r>
    </w:p>
    <w:p w14:paraId="6ADDCFD9"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LVAT nutartimi pareiškėjo apeliacinis skundas tenkintas iš dalies. Pirmosios instancijos teismo sprendimas panaikintas ir byla perduota pirmosios instancijos teismui nagrinėti iš naujo.</w:t>
      </w:r>
    </w:p>
    <w:p w14:paraId="5A7BAF44" w14:textId="77777777" w:rsidR="003D1DEB" w:rsidRPr="007D3F98" w:rsidRDefault="003D1DEB" w:rsidP="003D1DEB">
      <w:pPr>
        <w:jc w:val="both"/>
        <w:rPr>
          <w:rFonts w:ascii="Calibri" w:eastAsia="Calibri" w:hAnsi="Calibri" w:cs="Calibri"/>
          <w:color w:val="000000"/>
          <w:sz w:val="22"/>
          <w:szCs w:val="22"/>
          <w:shd w:val="clear" w:color="auto" w:fill="FFFFFF"/>
          <w:lang w:eastAsia="en-US"/>
        </w:rPr>
      </w:pPr>
    </w:p>
    <w:p w14:paraId="55FFB239" w14:textId="77777777" w:rsidR="003D1DEB" w:rsidRPr="007D3F98" w:rsidRDefault="003D1DEB" w:rsidP="003D1DEB">
      <w:pPr>
        <w:jc w:val="both"/>
        <w:rPr>
          <w:rFonts w:ascii="Calibri" w:hAnsi="Calibri"/>
          <w:sz w:val="22"/>
          <w:szCs w:val="22"/>
        </w:rPr>
      </w:pPr>
      <w:r w:rsidRPr="007D3F98">
        <w:rPr>
          <w:rFonts w:ascii="Calibri" w:hAnsi="Calibri"/>
          <w:sz w:val="22"/>
          <w:szCs w:val="22"/>
        </w:rPr>
        <w:t xml:space="preserve">2019 m. lapkričio 6 d. nutartis administracinėje byloje Nr. A-2415-629/2019 </w:t>
      </w:r>
    </w:p>
    <w:p w14:paraId="4D650B79" w14:textId="77777777" w:rsidR="003D1DEB" w:rsidRPr="007D3F98" w:rsidRDefault="003D1DEB" w:rsidP="003D1DEB">
      <w:pPr>
        <w:jc w:val="both"/>
        <w:rPr>
          <w:rFonts w:ascii="Calibri" w:hAnsi="Calibri"/>
          <w:sz w:val="22"/>
          <w:szCs w:val="22"/>
        </w:rPr>
      </w:pPr>
      <w:r w:rsidRPr="007D3F98">
        <w:rPr>
          <w:rFonts w:ascii="Calibri" w:hAnsi="Calibri"/>
          <w:sz w:val="22"/>
          <w:szCs w:val="22"/>
        </w:rPr>
        <w:t>Teisminio proceso Nr. 3-61-3-00910-2018-4</w:t>
      </w:r>
    </w:p>
    <w:p w14:paraId="387607D6" w14:textId="77777777" w:rsidR="003D1DEB" w:rsidRPr="007D3F98" w:rsidRDefault="003D1DEB" w:rsidP="003D1DEB">
      <w:pPr>
        <w:jc w:val="both"/>
        <w:rPr>
          <w:rFonts w:ascii="Calibri" w:hAnsi="Calibri"/>
          <w:sz w:val="22"/>
          <w:szCs w:val="22"/>
        </w:rPr>
      </w:pPr>
      <w:r w:rsidRPr="007D3F98">
        <w:rPr>
          <w:rFonts w:ascii="Calibri" w:hAnsi="Calibri"/>
          <w:sz w:val="22"/>
          <w:szCs w:val="22"/>
        </w:rPr>
        <w:t xml:space="preserve">Procesinio sprendimo kategorija 22.2 </w:t>
      </w:r>
    </w:p>
    <w:p w14:paraId="23175F48" w14:textId="77777777" w:rsidR="003D1DEB" w:rsidRPr="007D3F98" w:rsidRDefault="00854B2C" w:rsidP="003D1DEB">
      <w:pPr>
        <w:jc w:val="both"/>
        <w:rPr>
          <w:rFonts w:ascii="Calibri" w:hAnsi="Calibri"/>
          <w:sz w:val="22"/>
          <w:szCs w:val="22"/>
        </w:rPr>
      </w:pPr>
      <w:hyperlink r:id="rId17" w:history="1">
        <w:r w:rsidR="003D1DEB" w:rsidRPr="007D3F98">
          <w:rPr>
            <w:rFonts w:ascii="Calibri" w:hAnsi="Calibri"/>
            <w:color w:val="0000FF"/>
            <w:sz w:val="22"/>
            <w:szCs w:val="22"/>
            <w:u w:val="single"/>
          </w:rPr>
          <w:t>Prieiga internete</w:t>
        </w:r>
      </w:hyperlink>
      <w:r w:rsidR="003D1DEB" w:rsidRPr="007D3F98">
        <w:rPr>
          <w:rFonts w:ascii="Calibri" w:hAnsi="Calibri"/>
          <w:sz w:val="22"/>
          <w:szCs w:val="22"/>
        </w:rPr>
        <w:t xml:space="preserve"> </w:t>
      </w:r>
    </w:p>
    <w:p w14:paraId="11608574"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7AAA3CC2" w14:textId="77777777" w:rsidR="003D1DEB" w:rsidRPr="007D3F98" w:rsidRDefault="003D1DEB" w:rsidP="003D1DEB">
      <w:pPr>
        <w:ind w:firstLine="567"/>
        <w:jc w:val="both"/>
        <w:rPr>
          <w:rFonts w:ascii="Calibri" w:hAnsi="Calibri"/>
          <w:b/>
          <w:sz w:val="22"/>
          <w:szCs w:val="22"/>
          <w:u w:val="single"/>
        </w:rPr>
      </w:pPr>
      <w:r w:rsidRPr="007D3F98">
        <w:rPr>
          <w:rFonts w:ascii="Calibri" w:hAnsi="Calibri"/>
          <w:b/>
          <w:sz w:val="22"/>
          <w:szCs w:val="22"/>
          <w:u w:val="single"/>
        </w:rPr>
        <w:t>22.7. Kiti su valstybės tarnyba susiję klausimai</w:t>
      </w:r>
    </w:p>
    <w:p w14:paraId="6FE9CF8A"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77CBE514" w14:textId="77777777" w:rsidR="003D1DEB" w:rsidRPr="007D3F98" w:rsidRDefault="003D1DEB" w:rsidP="003D1DEB">
      <w:pPr>
        <w:pStyle w:val="Antrat2"/>
        <w:rPr>
          <w:rFonts w:ascii="Calibri" w:hAnsi="Calibri"/>
        </w:rPr>
      </w:pPr>
      <w:bookmarkStart w:id="47" w:name="_Toc29392704"/>
      <w:r w:rsidRPr="007D3F98">
        <w:rPr>
          <w:rFonts w:ascii="Calibri" w:hAnsi="Calibri"/>
        </w:rPr>
        <w:t>Dėl vidaus tarnybos pareigūnų laipsnių suteikimo tvarkos</w:t>
      </w:r>
      <w:bookmarkEnd w:id="47"/>
      <w:r w:rsidRPr="007D3F98">
        <w:rPr>
          <w:rFonts w:ascii="Calibri" w:hAnsi="Calibri"/>
        </w:rPr>
        <w:t xml:space="preserve"> </w:t>
      </w:r>
    </w:p>
    <w:p w14:paraId="64202B85"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413285E0"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Byloje kilo ginčas dėl aukštesnio laipsnio vidaus tarnybos pareigūnui suteikimo. Pareiškėjas reikalavimą suteikti jam vyresniojo inspektoriaus laipsnį grindė tuo, kad jis buvo ištarnavęs 2 metus vidaus tarnybos inspektoriumi, buvo reikiamos kvalifikacijos, sudarančios prielaidas aukštesniam vidurinės grandies pareigūnų laipsniui suteikti, </w:t>
      </w:r>
      <w:bookmarkStart w:id="48" w:name="_Hlk25063628"/>
      <w:r w:rsidRPr="007D3F98">
        <w:rPr>
          <w:rFonts w:ascii="Calibri" w:eastAsia="Calibri" w:hAnsi="Calibri" w:cs="Calibri"/>
          <w:color w:val="000000"/>
          <w:sz w:val="22"/>
          <w:szCs w:val="22"/>
          <w:shd w:val="clear" w:color="auto" w:fill="FFFFFF"/>
          <w:lang w:eastAsia="en-US"/>
        </w:rPr>
        <w:t xml:space="preserve">tyrėjo </w:t>
      </w:r>
      <w:bookmarkEnd w:id="48"/>
      <w:r w:rsidRPr="007D3F98">
        <w:rPr>
          <w:rFonts w:ascii="Calibri" w:eastAsia="Calibri" w:hAnsi="Calibri" w:cs="Calibri"/>
          <w:color w:val="000000"/>
          <w:sz w:val="22"/>
          <w:szCs w:val="22"/>
          <w:shd w:val="clear" w:color="auto" w:fill="FFFFFF"/>
          <w:lang w:eastAsia="en-US"/>
        </w:rPr>
        <w:t xml:space="preserve">pareigybė, į kurią pareiškėjas esant tarnybiniam būtinumui buvo perkeltas, atitiko vyresniojo inspektoriaus laipsnį. </w:t>
      </w:r>
    </w:p>
    <w:p w14:paraId="4A46C62E" w14:textId="75314430"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Bylą nagrinėjusi LVAT teisėjų kolegija, įvertinusi Vidaus tarnybos statuto (redakcija, galiojusi nuo 2013 m. gruodžio 30 d. iki 2016 m. sausio 1 d.) </w:t>
      </w:r>
      <w:bookmarkStart w:id="49" w:name="_Hlk25052754"/>
      <w:r w:rsidRPr="007D3F98">
        <w:rPr>
          <w:rFonts w:ascii="Calibri" w:eastAsia="Calibri" w:hAnsi="Calibri" w:cs="Calibri"/>
          <w:color w:val="000000"/>
          <w:sz w:val="22"/>
          <w:szCs w:val="22"/>
          <w:shd w:val="clear" w:color="auto" w:fill="FFFFFF"/>
          <w:lang w:eastAsia="en-US"/>
        </w:rPr>
        <w:t xml:space="preserve">13 ir 14 straipsnius, konstatavo, jog </w:t>
      </w:r>
      <w:r w:rsidRPr="007D3F98">
        <w:rPr>
          <w:rFonts w:ascii="Calibri" w:eastAsia="Calibri" w:hAnsi="Calibri" w:cs="Calibri"/>
          <w:color w:val="000000"/>
          <w:sz w:val="22"/>
          <w:szCs w:val="22"/>
          <w:u w:val="single"/>
          <w:shd w:val="clear" w:color="auto" w:fill="FFFFFF"/>
          <w:lang w:eastAsia="en-US"/>
        </w:rPr>
        <w:t xml:space="preserve">pareigūnui suteikiamo laipsnio </w:t>
      </w:r>
      <w:bookmarkStart w:id="50" w:name="_Hlk25065581"/>
      <w:r w:rsidRPr="007D3F98">
        <w:rPr>
          <w:rFonts w:ascii="Calibri" w:eastAsia="Calibri" w:hAnsi="Calibri" w:cs="Calibri"/>
          <w:color w:val="000000"/>
          <w:sz w:val="22"/>
          <w:szCs w:val="22"/>
          <w:u w:val="single"/>
          <w:shd w:val="clear" w:color="auto" w:fill="FFFFFF"/>
          <w:lang w:eastAsia="en-US"/>
        </w:rPr>
        <w:t xml:space="preserve">paskirtis yra parodyti, kokia yra šio pareigūno kvalifikacija, patirtis, įgaliojimai bei stažas vidaus tarnybos srityje. </w:t>
      </w:r>
      <w:bookmarkEnd w:id="50"/>
      <w:r w:rsidRPr="007D3F98">
        <w:rPr>
          <w:rFonts w:ascii="Calibri" w:eastAsia="Calibri" w:hAnsi="Calibri" w:cs="Calibri"/>
          <w:color w:val="000000"/>
          <w:sz w:val="22"/>
          <w:szCs w:val="22"/>
          <w:u w:val="single"/>
          <w:shd w:val="clear" w:color="auto" w:fill="FFFFFF"/>
          <w:lang w:eastAsia="en-US"/>
        </w:rPr>
        <w:t>Pradinis inspektoriaus laipsnio suteikimas yra tiesiogiai siejamas su atitinkamų pareigų užėmimu, o aukštesnio – vyresniojo inspektoriaus – laipsnio suteikimo atveju, sąlyga užimti aukštesnes pareigas, atitinkančias šį laipsnį, tiesiogiai nėra nurodyta</w:t>
      </w:r>
      <w:r w:rsidRPr="007D3F98">
        <w:rPr>
          <w:rFonts w:ascii="Calibri" w:eastAsia="Calibri" w:hAnsi="Calibri" w:cs="Calibri"/>
          <w:color w:val="000000"/>
          <w:sz w:val="22"/>
          <w:szCs w:val="22"/>
          <w:shd w:val="clear" w:color="auto" w:fill="FFFFFF"/>
          <w:lang w:eastAsia="en-US"/>
        </w:rPr>
        <w:t>. Tačiau pagal Vidaus tarnybos statuto 14 straipsnio 6 dalies ir jį įgyvendinančių Lietuvos Respublikos vidaus reikalų ministro 2004 m. kovo 2 d. įsakymu Nr. 1V-52 patvirtintų Vidaus tarnybos sistemos pareigūnų specialių nekarinių laipsnių priklausomybės nuo pareigūno einamų atitinkamų pareigų ir vidaus tarnybos sistemos pareigūnų specialių nekarinių laipsnių suteikimo ir pervardijimo taisyklių (tol</w:t>
      </w:r>
      <w:r w:rsidR="002C4B0A" w:rsidRPr="007D3F98">
        <w:rPr>
          <w:rFonts w:ascii="Calibri" w:eastAsia="Calibri" w:hAnsi="Calibri" w:cs="Calibri"/>
          <w:color w:val="000000"/>
          <w:sz w:val="22"/>
          <w:szCs w:val="22"/>
          <w:shd w:val="clear" w:color="auto" w:fill="FFFFFF"/>
          <w:lang w:eastAsia="en-US"/>
        </w:rPr>
        <w:t xml:space="preserve">iau – </w:t>
      </w:r>
      <w:r w:rsidRPr="007D3F98">
        <w:rPr>
          <w:rFonts w:ascii="Calibri" w:eastAsia="Calibri" w:hAnsi="Calibri" w:cs="Calibri"/>
          <w:color w:val="000000"/>
          <w:sz w:val="22"/>
          <w:szCs w:val="22"/>
          <w:shd w:val="clear" w:color="auto" w:fill="FFFFFF"/>
          <w:lang w:eastAsia="en-US"/>
        </w:rPr>
        <w:t xml:space="preserve">Taisyklės) nuostatas, </w:t>
      </w:r>
      <w:r w:rsidRPr="007D3F98">
        <w:rPr>
          <w:rFonts w:ascii="Calibri" w:eastAsia="Calibri" w:hAnsi="Calibri" w:cs="Calibri"/>
          <w:color w:val="000000"/>
          <w:sz w:val="22"/>
          <w:szCs w:val="22"/>
          <w:u w:val="single"/>
          <w:shd w:val="clear" w:color="auto" w:fill="FFFFFF"/>
          <w:lang w:eastAsia="en-US"/>
        </w:rPr>
        <w:t>aukštesnio policijos laipsnio suteikimas yra tiesiogiai siejamas su pareigomis, kurias tuo metu eina pareigūnas</w:t>
      </w:r>
      <w:r w:rsidRPr="007D3F98">
        <w:rPr>
          <w:rFonts w:ascii="Calibri" w:eastAsia="Calibri" w:hAnsi="Calibri" w:cs="Calibri"/>
          <w:color w:val="000000"/>
          <w:sz w:val="22"/>
          <w:szCs w:val="22"/>
          <w:shd w:val="clear" w:color="auto" w:fill="FFFFFF"/>
          <w:lang w:eastAsia="en-US"/>
        </w:rPr>
        <w:t xml:space="preserve"> (žr. Taisyklių 5 p. ir laipsnių priklausomybės nuo pareigūnų einamų atitinkamų pareigų sąrašą). </w:t>
      </w:r>
    </w:p>
    <w:p w14:paraId="182DAA74" w14:textId="2CD4A5AB"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Taip pat teisėjų kolegija atkreipė dėmesį, jog aiškinant Vidaus tarnybos statuto 14 straipsnio 6 dalies nuostatas, reglamentuojančias aukštesnio laipsnio suteikimo sąlygas, aktuali yr</w:t>
      </w:r>
      <w:r w:rsidR="007D3F98">
        <w:rPr>
          <w:rFonts w:ascii="Calibri" w:eastAsia="Calibri" w:hAnsi="Calibri" w:cs="Calibri"/>
          <w:color w:val="000000"/>
          <w:sz w:val="22"/>
          <w:szCs w:val="22"/>
          <w:shd w:val="clear" w:color="auto" w:fill="FFFFFF"/>
          <w:lang w:eastAsia="en-US"/>
        </w:rPr>
        <w:t>a ir Vidaus tarnybos statuto 14 </w:t>
      </w:r>
      <w:r w:rsidRPr="007D3F98">
        <w:rPr>
          <w:rFonts w:ascii="Calibri" w:eastAsia="Calibri" w:hAnsi="Calibri" w:cs="Calibri"/>
          <w:color w:val="000000"/>
          <w:sz w:val="22"/>
          <w:szCs w:val="22"/>
          <w:shd w:val="clear" w:color="auto" w:fill="FFFFFF"/>
          <w:lang w:eastAsia="en-US"/>
        </w:rPr>
        <w:t xml:space="preserve">straipsnio 13 dalis, kurioje nustatyta, kad „už ypač didelius nuopelnus tarnyboje aukštesnis laipsnis anksčiau už nustatytą terminą arba </w:t>
      </w:r>
      <w:bookmarkStart w:id="51" w:name="_Hlk25060321"/>
      <w:r w:rsidRPr="007D3F98">
        <w:rPr>
          <w:rFonts w:ascii="Calibri" w:eastAsia="Calibri" w:hAnsi="Calibri" w:cs="Calibri"/>
          <w:color w:val="000000"/>
          <w:sz w:val="22"/>
          <w:szCs w:val="22"/>
          <w:shd w:val="clear" w:color="auto" w:fill="FFFFFF"/>
          <w:lang w:eastAsia="en-US"/>
        </w:rPr>
        <w:t xml:space="preserve">viena pakopa aukštesnis (negu priklausytų pagal einamas pareigas) </w:t>
      </w:r>
      <w:bookmarkEnd w:id="51"/>
      <w:r w:rsidRPr="007D3F98">
        <w:rPr>
          <w:rFonts w:ascii="Calibri" w:eastAsia="Calibri" w:hAnsi="Calibri" w:cs="Calibri"/>
          <w:color w:val="000000"/>
          <w:sz w:val="22"/>
          <w:szCs w:val="22"/>
          <w:shd w:val="clear" w:color="auto" w:fill="FFFFFF"/>
          <w:lang w:eastAsia="en-US"/>
        </w:rPr>
        <w:t xml:space="preserve">laipsnis suteikiamas </w:t>
      </w:r>
      <w:bookmarkStart w:id="52" w:name="_Hlk25060413"/>
      <w:r w:rsidRPr="007D3F98">
        <w:rPr>
          <w:rFonts w:ascii="Calibri" w:eastAsia="Calibri" w:hAnsi="Calibri" w:cs="Calibri"/>
          <w:color w:val="000000"/>
          <w:sz w:val="22"/>
          <w:szCs w:val="22"/>
          <w:shd w:val="clear" w:color="auto" w:fill="FFFFFF"/>
          <w:lang w:eastAsia="en-US"/>
        </w:rPr>
        <w:t>tik vieną kartą per pareigūno tarnybą</w:t>
      </w:r>
      <w:bookmarkEnd w:id="52"/>
      <w:r w:rsidRPr="007D3F98">
        <w:rPr>
          <w:rFonts w:ascii="Calibri" w:eastAsia="Calibri" w:hAnsi="Calibri" w:cs="Calibri"/>
          <w:color w:val="000000"/>
          <w:sz w:val="22"/>
          <w:szCs w:val="22"/>
          <w:shd w:val="clear" w:color="auto" w:fill="FFFFFF"/>
          <w:lang w:eastAsia="en-US"/>
        </w:rPr>
        <w:t xml:space="preserve">“. </w:t>
      </w:r>
      <w:r w:rsidRPr="007D3F98">
        <w:rPr>
          <w:rFonts w:ascii="Calibri" w:eastAsia="Calibri" w:hAnsi="Calibri" w:cs="Calibri"/>
          <w:color w:val="000000"/>
          <w:sz w:val="22"/>
          <w:szCs w:val="22"/>
          <w:u w:val="single"/>
          <w:shd w:val="clear" w:color="auto" w:fill="FFFFFF"/>
          <w:lang w:eastAsia="en-US"/>
        </w:rPr>
        <w:t>Taigi viena pakopa aukštesnio, negu priklausytų pagal einamas pareigas, laipsnio suteikimas yra galimas tik kaip išimtis, „už ypač didelius nuopelnus“ ir tik vieną kartą per pareigūno tarnybą</w:t>
      </w:r>
      <w:r w:rsidRPr="007D3F98">
        <w:rPr>
          <w:rFonts w:ascii="Calibri" w:eastAsia="Calibri" w:hAnsi="Calibri" w:cs="Calibri"/>
          <w:color w:val="000000"/>
          <w:sz w:val="22"/>
          <w:szCs w:val="22"/>
          <w:shd w:val="clear" w:color="auto" w:fill="FFFFFF"/>
          <w:lang w:eastAsia="en-US"/>
        </w:rPr>
        <w:t>.</w:t>
      </w:r>
    </w:p>
    <w:p w14:paraId="2AF0F284"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lastRenderedPageBreak/>
        <w:t xml:space="preserve">LVAT pažymėjo, kad pagal Vidaus tarnybos statuto 3 ir 15 straipsnių nuostatas vidaus tarnyba yra grindžiama karjeros principu, žemesnes pareigas einančius pareigūnus į aukštesnes pareigas skiriant atrankos (konkurso) būdu, įvertinant pretendentų profesionalumą, tarnybinę veiklą, tinkamumą pretenduojamoms pareigoms, vidaus tarnybos trukmę einant konkrečias pareigas, turimą kvalifikaciją, būtiną naujoms pareigoms eiti. Sistemiškai aiškindama minėtų teisės normų nuostatas, teisėjų kolegija padarė išvadą, kad </w:t>
      </w:r>
      <w:r w:rsidRPr="007D3F98">
        <w:rPr>
          <w:rFonts w:ascii="Calibri" w:eastAsia="Calibri" w:hAnsi="Calibri" w:cs="Calibri"/>
          <w:color w:val="000000"/>
          <w:sz w:val="22"/>
          <w:szCs w:val="22"/>
          <w:u w:val="single"/>
          <w:shd w:val="clear" w:color="auto" w:fill="FFFFFF"/>
          <w:lang w:eastAsia="en-US"/>
        </w:rPr>
        <w:t>viena iš būtinų sąlygų pareigūnui suteikti aukštesnį laipsnį yra tai, jog pareigūnas turi eiti ir tam tikras pareigas, atitinkančias aukštesnio laipsnio rangą</w:t>
      </w:r>
      <w:r w:rsidRPr="007D3F98">
        <w:rPr>
          <w:rFonts w:ascii="Calibri" w:eastAsia="Calibri" w:hAnsi="Calibri" w:cs="Calibri"/>
          <w:color w:val="000000"/>
          <w:sz w:val="22"/>
          <w:szCs w:val="22"/>
          <w:shd w:val="clear" w:color="auto" w:fill="FFFFFF"/>
          <w:lang w:eastAsia="en-US"/>
        </w:rPr>
        <w:t xml:space="preserve">. </w:t>
      </w:r>
    </w:p>
    <w:p w14:paraId="78948BA4"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LVAT pažymėjo, kad </w:t>
      </w:r>
      <w:bookmarkStart w:id="53" w:name="_Hlk25066908"/>
      <w:r w:rsidRPr="007D3F98">
        <w:rPr>
          <w:rFonts w:ascii="Calibri" w:eastAsia="Calibri" w:hAnsi="Calibri" w:cs="Calibri"/>
          <w:color w:val="000000"/>
          <w:sz w:val="22"/>
          <w:szCs w:val="22"/>
          <w:shd w:val="clear" w:color="auto" w:fill="FFFFFF"/>
          <w:lang w:eastAsia="en-US"/>
        </w:rPr>
        <w:t>Vidaus tarnybos statuto normos</w:t>
      </w:r>
      <w:bookmarkEnd w:id="53"/>
      <w:r w:rsidRPr="007D3F98">
        <w:rPr>
          <w:rFonts w:ascii="Calibri" w:eastAsia="Calibri" w:hAnsi="Calibri" w:cs="Calibri"/>
          <w:color w:val="000000"/>
          <w:sz w:val="22"/>
          <w:szCs w:val="22"/>
          <w:shd w:val="clear" w:color="auto" w:fill="FFFFFF"/>
          <w:lang w:eastAsia="en-US"/>
        </w:rPr>
        <w:t xml:space="preserve">, reglamentuojančios aukštesnio laipsnio suteikimo (14 str.) ir tarnybinio kaitumo (16 str.) klausimus, reguliuoja skirtingus teisinius santykius, tuo pačiu nustato ir skirtingas prielaidas bei sąlygas šiems santykiams atsirasti ar pasibaigti. </w:t>
      </w:r>
    </w:p>
    <w:p w14:paraId="75BDFCAC"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Teisėjų kolegijos vertinimu, </w:t>
      </w:r>
      <w:r w:rsidRPr="007D3F98">
        <w:rPr>
          <w:rFonts w:ascii="Calibri" w:eastAsia="Calibri" w:hAnsi="Calibri" w:cs="Calibri"/>
          <w:color w:val="000000"/>
          <w:sz w:val="22"/>
          <w:szCs w:val="22"/>
          <w:u w:val="single"/>
          <w:shd w:val="clear" w:color="auto" w:fill="FFFFFF"/>
          <w:lang w:eastAsia="en-US"/>
        </w:rPr>
        <w:t>pareigūnas subjektinę teisę į konkretaus rango laipsnį įgyja, kai jis atrankos (konkurso) būdu užima atitinkamas pareigas, kurioms pažymėti ir yra priskirtas šis konkretus laipsnis</w:t>
      </w:r>
      <w:r w:rsidRPr="007D3F98">
        <w:rPr>
          <w:rFonts w:ascii="Calibri" w:eastAsia="Calibri" w:hAnsi="Calibri" w:cs="Calibri"/>
          <w:color w:val="000000"/>
          <w:sz w:val="22"/>
          <w:szCs w:val="22"/>
          <w:shd w:val="clear" w:color="auto" w:fill="FFFFFF"/>
          <w:lang w:eastAsia="en-US"/>
        </w:rPr>
        <w:t xml:space="preserve">. Tarnybinio kaitumo teisinių santykių paskirtis yra spręsti laikino pobūdžio problemas, susijusias su vidaus tarnybos funkcijų ir uždavinių vykdymu, laikinai perkeliant pareigūnus į kitas lygiavertes ar aukštesnes pareigas. Tarnybinio kaitumo atveju, laikinai į kitas pareigas perkeltam pareigūnui yra garantuojama teisė sugrįžti į ankstesnes pareigas, užtikrinamas perkėlimo į kitas pareigas ribotos trukmės laikas bei atitinkamas darbo užmokesčio dydis (ne mažesnis už iki perkėlimo eitų pareigų darbo užmokesčio dydį). Kitų garantijų vidaus tarnybos srityje, perkėlimo metu Vidaus tarnybos statuto normos nenumato. Be to, tarnybinio kaitumo atveju, pareigūnas į aukštesnes pareigas perkeliamas be atrankos (ne konkurso būdu) ir teisės nuolat dirbti šiose pareigose pareigūnas neįgyja. </w:t>
      </w:r>
    </w:p>
    <w:p w14:paraId="14935A7B" w14:textId="08C596DB"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Apibendrinusi šių dviejų teisinių santykių požymius ir skirtumus teisės į aukštesnį laipsnį aspektu, teisėjų kolegija padarė išvadą, kad </w:t>
      </w:r>
      <w:r w:rsidRPr="007D3F98">
        <w:rPr>
          <w:rFonts w:ascii="Calibri" w:eastAsia="Calibri" w:hAnsi="Calibri" w:cs="Calibri"/>
          <w:color w:val="000000"/>
          <w:sz w:val="22"/>
          <w:szCs w:val="22"/>
          <w:u w:val="single"/>
          <w:shd w:val="clear" w:color="auto" w:fill="FFFFFF"/>
          <w:lang w:eastAsia="en-US"/>
        </w:rPr>
        <w:t>tarnybinio kaitumo atveju, kai pareigūnas yra perkeliamas į aukštesnes pareigas, už darbo laiką šiose pareigose jis neįgyja teisės į aukštesnį laipsnį, atitinkantį šias laikinas pareigas, nes jis jas (laikinas pareigas) užima be atrankos (ne konkurso būdu)</w:t>
      </w:r>
      <w:r w:rsidRPr="007D3F98">
        <w:rPr>
          <w:rFonts w:ascii="Calibri" w:eastAsia="Calibri" w:hAnsi="Calibri" w:cs="Calibri"/>
          <w:color w:val="000000"/>
          <w:sz w:val="22"/>
          <w:szCs w:val="22"/>
          <w:shd w:val="clear" w:color="auto" w:fill="FFFFFF"/>
          <w:lang w:eastAsia="en-US"/>
        </w:rPr>
        <w:t>.</w:t>
      </w:r>
    </w:p>
    <w:p w14:paraId="7402EE3B"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LVAT sprendimu pirmosios instancijos teismo sprendimas panaikintas ir priimtas naujas sprendimas, kuriuo pareiškėjo skundas atmestas.</w:t>
      </w:r>
      <w:bookmarkEnd w:id="49"/>
    </w:p>
    <w:p w14:paraId="2F7A4D90" w14:textId="77777777" w:rsidR="003D1DEB" w:rsidRPr="007D3F98" w:rsidRDefault="003D1DEB" w:rsidP="003D1DEB">
      <w:pPr>
        <w:ind w:firstLine="567"/>
        <w:jc w:val="both"/>
        <w:rPr>
          <w:rFonts w:ascii="Calibri" w:eastAsia="Calibri" w:hAnsi="Calibri" w:cs="Calibri"/>
          <w:color w:val="000000"/>
          <w:sz w:val="22"/>
          <w:szCs w:val="22"/>
          <w:shd w:val="clear" w:color="auto" w:fill="FFFFFF"/>
          <w:lang w:eastAsia="en-US"/>
        </w:rPr>
      </w:pPr>
    </w:p>
    <w:p w14:paraId="01FE582C" w14:textId="77777777" w:rsidR="003D1DEB" w:rsidRPr="007D3F98" w:rsidRDefault="003D1DEB" w:rsidP="003D1DEB">
      <w:pPr>
        <w:jc w:val="both"/>
        <w:rPr>
          <w:rFonts w:ascii="Calibri" w:hAnsi="Calibri"/>
          <w:sz w:val="22"/>
          <w:szCs w:val="22"/>
        </w:rPr>
      </w:pPr>
      <w:r w:rsidRPr="007D3F98">
        <w:rPr>
          <w:rFonts w:ascii="Calibri" w:hAnsi="Calibri"/>
          <w:sz w:val="22"/>
          <w:szCs w:val="22"/>
        </w:rPr>
        <w:t xml:space="preserve">2019 m. lapkričio 27 d. sprendimas administracinėje byloje Nr. A-1187-438/2019 </w:t>
      </w:r>
    </w:p>
    <w:p w14:paraId="15892EB5" w14:textId="77777777" w:rsidR="003D1DEB" w:rsidRPr="007D3F98" w:rsidRDefault="003D1DEB" w:rsidP="003D1DEB">
      <w:pPr>
        <w:jc w:val="both"/>
        <w:rPr>
          <w:rFonts w:ascii="Calibri" w:hAnsi="Calibri"/>
          <w:sz w:val="22"/>
          <w:szCs w:val="22"/>
        </w:rPr>
      </w:pPr>
      <w:r w:rsidRPr="007D3F98">
        <w:rPr>
          <w:rFonts w:ascii="Calibri" w:hAnsi="Calibri"/>
          <w:sz w:val="22"/>
          <w:szCs w:val="22"/>
        </w:rPr>
        <w:t>Teisminio proceso Nr. 3-61-3-02914-2017-9</w:t>
      </w:r>
    </w:p>
    <w:p w14:paraId="4AD19B5D" w14:textId="77777777" w:rsidR="003D1DEB" w:rsidRPr="007D3F98" w:rsidRDefault="003D1DEB" w:rsidP="003D1DEB">
      <w:pPr>
        <w:jc w:val="both"/>
        <w:rPr>
          <w:rFonts w:ascii="Calibri" w:hAnsi="Calibri"/>
          <w:sz w:val="22"/>
          <w:szCs w:val="22"/>
        </w:rPr>
      </w:pPr>
      <w:r w:rsidRPr="007D3F98">
        <w:rPr>
          <w:rFonts w:ascii="Calibri" w:hAnsi="Calibri"/>
          <w:sz w:val="22"/>
          <w:szCs w:val="22"/>
        </w:rPr>
        <w:t>Procesinio sprendimo kategorija 22.7</w:t>
      </w:r>
    </w:p>
    <w:p w14:paraId="664225CF" w14:textId="77777777" w:rsidR="003D1DEB" w:rsidRPr="007D3F98" w:rsidRDefault="00854B2C" w:rsidP="003D1DEB">
      <w:pPr>
        <w:jc w:val="both"/>
        <w:rPr>
          <w:rFonts w:ascii="Calibri" w:hAnsi="Calibri"/>
          <w:sz w:val="22"/>
          <w:szCs w:val="22"/>
        </w:rPr>
      </w:pPr>
      <w:hyperlink r:id="rId18" w:history="1">
        <w:r w:rsidR="003D1DEB" w:rsidRPr="007D3F98">
          <w:rPr>
            <w:rFonts w:ascii="Calibri" w:hAnsi="Calibri"/>
            <w:color w:val="0000FF"/>
            <w:sz w:val="22"/>
            <w:szCs w:val="22"/>
            <w:u w:val="single"/>
          </w:rPr>
          <w:t xml:space="preserve">Prieiga internete </w:t>
        </w:r>
      </w:hyperlink>
      <w:r w:rsidR="003D1DEB" w:rsidRPr="007D3F98">
        <w:rPr>
          <w:rFonts w:ascii="Calibri" w:hAnsi="Calibri"/>
          <w:sz w:val="22"/>
          <w:szCs w:val="22"/>
        </w:rPr>
        <w:t xml:space="preserve"> </w:t>
      </w:r>
    </w:p>
    <w:p w14:paraId="5C20FBEB" w14:textId="77777777" w:rsidR="003D1DEB" w:rsidRPr="007D3F98" w:rsidRDefault="003D1DEB" w:rsidP="00496E0E">
      <w:pPr>
        <w:rPr>
          <w:rFonts w:ascii="Calibri" w:hAnsi="Calibri"/>
        </w:rPr>
      </w:pPr>
    </w:p>
    <w:p w14:paraId="29EC2145" w14:textId="77777777" w:rsidR="00A94894" w:rsidRPr="007D3F98" w:rsidRDefault="00A94894" w:rsidP="00A94894">
      <w:pPr>
        <w:pStyle w:val="Antrat1"/>
        <w:rPr>
          <w:rFonts w:asciiTheme="minorHAnsi" w:hAnsiTheme="minorHAnsi" w:cstheme="minorHAnsi"/>
          <w:bCs/>
        </w:rPr>
      </w:pPr>
      <w:bookmarkStart w:id="54" w:name="_Toc774934"/>
      <w:bookmarkStart w:id="55" w:name="_Toc29392705"/>
      <w:bookmarkEnd w:id="29"/>
      <w:r w:rsidRPr="007D3F98">
        <w:rPr>
          <w:rFonts w:asciiTheme="minorHAnsi" w:hAnsiTheme="minorHAnsi" w:cstheme="minorHAnsi"/>
          <w:bCs/>
        </w:rPr>
        <w:t>26. Asmens duomenų teisinė apsauga</w:t>
      </w:r>
      <w:bookmarkEnd w:id="54"/>
      <w:bookmarkEnd w:id="55"/>
    </w:p>
    <w:p w14:paraId="7C1A4D4D" w14:textId="77777777" w:rsidR="009A5ABF" w:rsidRPr="007D3F98" w:rsidRDefault="009A5ABF" w:rsidP="00496E0E">
      <w:pPr>
        <w:rPr>
          <w:rFonts w:asciiTheme="minorHAnsi" w:hAnsiTheme="minorHAnsi" w:cstheme="minorHAnsi"/>
        </w:rPr>
      </w:pPr>
    </w:p>
    <w:p w14:paraId="370DE89D" w14:textId="3A463D05" w:rsidR="009A5ABF" w:rsidRPr="007D3F98" w:rsidRDefault="009A5ABF" w:rsidP="007E7F95">
      <w:pPr>
        <w:pStyle w:val="Antrat2"/>
      </w:pPr>
      <w:bookmarkStart w:id="56" w:name="_Toc29392706"/>
      <w:r w:rsidRPr="007D3F98">
        <w:t>Dėl</w:t>
      </w:r>
      <w:r w:rsidR="00021C5E" w:rsidRPr="007D3F98">
        <w:t xml:space="preserve"> </w:t>
      </w:r>
      <w:r w:rsidR="00E72409" w:rsidRPr="007D3F98">
        <w:t>tarnybiniuose automobiliuose sumontuotos geografinės padėties nustatymo įrangos užfiksuotos informacijos tvarkymo darbo organizavimo tikslais vertinimo</w:t>
      </w:r>
      <w:bookmarkEnd w:id="56"/>
    </w:p>
    <w:p w14:paraId="158FCB0A" w14:textId="77777777" w:rsidR="007E7F95" w:rsidRPr="007D3F98" w:rsidRDefault="007E7F95" w:rsidP="007E7F95">
      <w:pPr>
        <w:rPr>
          <w:lang w:eastAsia="en-US"/>
        </w:rPr>
      </w:pPr>
    </w:p>
    <w:p w14:paraId="720C58DE" w14:textId="77777777" w:rsidR="00573863" w:rsidRPr="007D3F98" w:rsidRDefault="009A5ABF" w:rsidP="00573863">
      <w:pPr>
        <w:ind w:firstLine="567"/>
        <w:jc w:val="both"/>
        <w:rPr>
          <w:rFonts w:asciiTheme="minorHAnsi" w:hAnsiTheme="minorHAnsi" w:cstheme="minorHAnsi"/>
          <w:bCs/>
          <w:sz w:val="22"/>
          <w:szCs w:val="22"/>
        </w:rPr>
      </w:pPr>
      <w:r w:rsidRPr="007D3F98">
        <w:rPr>
          <w:rFonts w:asciiTheme="minorHAnsi" w:hAnsiTheme="minorHAnsi" w:cstheme="minorHAnsi"/>
          <w:sz w:val="22"/>
          <w:szCs w:val="22"/>
        </w:rPr>
        <w:t xml:space="preserve">Apžvelgiamoje byloje </w:t>
      </w:r>
      <w:r w:rsidR="00045020" w:rsidRPr="007D3F98">
        <w:rPr>
          <w:rFonts w:asciiTheme="minorHAnsi" w:hAnsiTheme="minorHAnsi" w:cstheme="minorHAnsi"/>
          <w:iCs/>
          <w:sz w:val="22"/>
          <w:szCs w:val="22"/>
        </w:rPr>
        <w:t>ginčas kilo dėl pareiškėjo asmens duomenų, surinktų</w:t>
      </w:r>
      <w:r w:rsidR="00045020" w:rsidRPr="007D3F98">
        <w:rPr>
          <w:rFonts w:asciiTheme="minorHAnsi" w:hAnsiTheme="minorHAnsi" w:cstheme="minorHAnsi"/>
          <w:bCs/>
          <w:sz w:val="22"/>
          <w:szCs w:val="22"/>
        </w:rPr>
        <w:t xml:space="preserve"> naudojant tarnybiniuose automobiliuose sumontuotą geografinės padėties nustatymo įrangą, rinkimo ir tvarkymo 2015 m. gruodžio 1–19 d. laikotarpiu teisėtumo ir pagrįstumo</w:t>
      </w:r>
      <w:r w:rsidR="00573863" w:rsidRPr="007D3F98">
        <w:rPr>
          <w:rFonts w:asciiTheme="minorHAnsi" w:hAnsiTheme="minorHAnsi" w:cstheme="minorHAnsi"/>
          <w:bCs/>
          <w:sz w:val="22"/>
          <w:szCs w:val="22"/>
        </w:rPr>
        <w:t>.</w:t>
      </w:r>
    </w:p>
    <w:p w14:paraId="21CA29AD" w14:textId="7E11CAF6" w:rsidR="00A13A5A" w:rsidRPr="007D3F98" w:rsidRDefault="00573863" w:rsidP="00A13A5A">
      <w:pPr>
        <w:ind w:firstLine="567"/>
        <w:jc w:val="both"/>
        <w:rPr>
          <w:rFonts w:asciiTheme="minorHAnsi" w:hAnsiTheme="minorHAnsi" w:cstheme="minorHAnsi"/>
          <w:bCs/>
          <w:sz w:val="22"/>
          <w:szCs w:val="22"/>
        </w:rPr>
      </w:pPr>
      <w:r w:rsidRPr="007D3F98">
        <w:rPr>
          <w:rFonts w:asciiTheme="minorHAnsi" w:hAnsiTheme="minorHAnsi" w:cstheme="minorHAnsi"/>
          <w:iCs/>
          <w:sz w:val="22"/>
          <w:szCs w:val="22"/>
        </w:rPr>
        <w:t>Teisėjų kolegija</w:t>
      </w:r>
      <w:r w:rsidR="00B96D01" w:rsidRPr="007D3F98">
        <w:rPr>
          <w:rFonts w:asciiTheme="minorHAnsi" w:hAnsiTheme="minorHAnsi" w:cstheme="minorHAnsi"/>
          <w:iCs/>
          <w:sz w:val="22"/>
          <w:szCs w:val="22"/>
        </w:rPr>
        <w:t>, nagrinėdama pareiškėjo</w:t>
      </w:r>
      <w:r w:rsidRPr="007D3F98">
        <w:rPr>
          <w:rFonts w:asciiTheme="minorHAnsi" w:hAnsiTheme="minorHAnsi" w:cstheme="minorHAnsi"/>
          <w:iCs/>
          <w:sz w:val="22"/>
          <w:szCs w:val="22"/>
        </w:rPr>
        <w:t xml:space="preserve"> apeliacinį skundą, suti</w:t>
      </w:r>
      <w:r w:rsidR="00B96D01" w:rsidRPr="007D3F98">
        <w:rPr>
          <w:rFonts w:asciiTheme="minorHAnsi" w:hAnsiTheme="minorHAnsi" w:cstheme="minorHAnsi"/>
          <w:iCs/>
          <w:sz w:val="22"/>
          <w:szCs w:val="22"/>
        </w:rPr>
        <w:t>ko</w:t>
      </w:r>
      <w:r w:rsidRPr="007D3F98">
        <w:rPr>
          <w:rFonts w:asciiTheme="minorHAnsi" w:hAnsiTheme="minorHAnsi" w:cstheme="minorHAnsi"/>
          <w:iCs/>
          <w:sz w:val="22"/>
          <w:szCs w:val="22"/>
        </w:rPr>
        <w:t xml:space="preserve"> su pirmosios instancijos teismo išvadomis ir motyvais, kad </w:t>
      </w:r>
      <w:r w:rsidRPr="007D3F98">
        <w:rPr>
          <w:rFonts w:asciiTheme="minorHAnsi" w:hAnsiTheme="minorHAnsi" w:cstheme="minorHAnsi"/>
          <w:bCs/>
          <w:sz w:val="22"/>
          <w:szCs w:val="22"/>
          <w:u w:val="single"/>
        </w:rPr>
        <w:t>tarnybiniuose automobiliuose sumontuota geografinės padėties nustatymo įranga užfiksuotos informacijos tvarkymas darbo organizavimo tikslais gali būt</w:t>
      </w:r>
      <w:r w:rsidR="00405361">
        <w:rPr>
          <w:rFonts w:asciiTheme="minorHAnsi" w:hAnsiTheme="minorHAnsi" w:cstheme="minorHAnsi"/>
          <w:bCs/>
          <w:sz w:val="22"/>
          <w:szCs w:val="22"/>
          <w:u w:val="single"/>
        </w:rPr>
        <w:t>i</w:t>
      </w:r>
      <w:r w:rsidRPr="007D3F98">
        <w:rPr>
          <w:rFonts w:asciiTheme="minorHAnsi" w:hAnsiTheme="minorHAnsi" w:cstheme="minorHAnsi"/>
          <w:bCs/>
          <w:sz w:val="22"/>
          <w:szCs w:val="22"/>
          <w:u w:val="single"/>
        </w:rPr>
        <w:t xml:space="preserve"> pateisinamas</w:t>
      </w:r>
      <w:r w:rsidRPr="007D3F98">
        <w:rPr>
          <w:bCs/>
          <w:u w:val="single"/>
          <w:lang w:eastAsia="en-US"/>
        </w:rPr>
        <w:t xml:space="preserve"> </w:t>
      </w:r>
      <w:r w:rsidRPr="007D3F98">
        <w:rPr>
          <w:rFonts w:asciiTheme="minorHAnsi" w:hAnsiTheme="minorHAnsi" w:cstheme="minorHAnsi"/>
          <w:bCs/>
          <w:sz w:val="22"/>
          <w:szCs w:val="22"/>
          <w:u w:val="single"/>
        </w:rPr>
        <w:t>Asmens duomenų teisinės apsaugos įstatymo (toliau – ADTAĮ) 5 straipsnio 1 dalies 6 punkte nustatytu teisėto asmens duomenų tvarkymo kriterijumi (dėl teisėto intereso), o byloje nėra duomenų, jog pareiškėjas buvo persekiojamas dėl duomenų, surinktų naudojant tarnybiniuose automobiliuose sumontuotą geografinės padėties nustatymo įrangą, prieš jį panaudojimo</w:t>
      </w:r>
      <w:r w:rsidR="00B96D01" w:rsidRPr="007D3F98">
        <w:rPr>
          <w:rFonts w:asciiTheme="minorHAnsi" w:hAnsiTheme="minorHAnsi" w:cstheme="minorHAnsi"/>
          <w:bCs/>
          <w:sz w:val="22"/>
          <w:szCs w:val="22"/>
        </w:rPr>
        <w:t>. Konstatuota, jog</w:t>
      </w:r>
      <w:r w:rsidRPr="007D3F98">
        <w:rPr>
          <w:rFonts w:asciiTheme="minorHAnsi" w:hAnsiTheme="minorHAnsi" w:cstheme="minorHAnsi"/>
          <w:bCs/>
          <w:sz w:val="22"/>
          <w:szCs w:val="22"/>
        </w:rPr>
        <w:t xml:space="preserve"> nėra pagrindo panaikinti Valstybinės duomenų apsaugos inspekcijos sprendimo</w:t>
      </w:r>
      <w:r w:rsidR="00B96D01" w:rsidRPr="007D3F98">
        <w:rPr>
          <w:rFonts w:asciiTheme="minorHAnsi" w:hAnsiTheme="minorHAnsi" w:cstheme="minorHAnsi"/>
          <w:bCs/>
          <w:sz w:val="22"/>
          <w:szCs w:val="22"/>
        </w:rPr>
        <w:t xml:space="preserve"> </w:t>
      </w:r>
      <w:r w:rsidRPr="007D3F98">
        <w:rPr>
          <w:rFonts w:asciiTheme="minorHAnsi" w:hAnsiTheme="minorHAnsi" w:cstheme="minorHAnsi"/>
          <w:bCs/>
          <w:sz w:val="22"/>
          <w:szCs w:val="22"/>
        </w:rPr>
        <w:t xml:space="preserve">dalį. </w:t>
      </w:r>
    </w:p>
    <w:p w14:paraId="3B03F969" w14:textId="5E4DDBD8" w:rsidR="00A13A5A" w:rsidRPr="007D3F98" w:rsidRDefault="00A13A5A" w:rsidP="00A13A5A">
      <w:pPr>
        <w:ind w:firstLine="567"/>
        <w:jc w:val="both"/>
        <w:rPr>
          <w:rFonts w:asciiTheme="minorHAnsi" w:hAnsiTheme="minorHAnsi" w:cstheme="minorHAnsi"/>
          <w:bCs/>
          <w:sz w:val="22"/>
          <w:szCs w:val="22"/>
        </w:rPr>
      </w:pPr>
      <w:r w:rsidRPr="007D3F98">
        <w:rPr>
          <w:rFonts w:asciiTheme="minorHAnsi" w:hAnsiTheme="minorHAnsi" w:cstheme="minorHAnsi"/>
          <w:sz w:val="22"/>
          <w:szCs w:val="22"/>
        </w:rPr>
        <w:t xml:space="preserve">Teisėto asmens duomenų tvarkymo kriterijai įtvirtinti ADTAĮ 5 straipsnio (2008 m. vasario 1 d. įstatymo Nr. X-1444 redakcija, galiojusi ginčo laikotarpiu) 1 ir 2 dalyse. Atsakovas asmens duomenų, gautų </w:t>
      </w:r>
      <w:r w:rsidRPr="007D3F98">
        <w:rPr>
          <w:rFonts w:asciiTheme="minorHAnsi" w:hAnsiTheme="minorHAnsi" w:cstheme="minorHAnsi"/>
          <w:bCs/>
          <w:sz w:val="22"/>
          <w:szCs w:val="22"/>
        </w:rPr>
        <w:t>naudojant tarnybiniuose automobiliuose sumontuotą geografinės padėties nustatymo įrangą,</w:t>
      </w:r>
      <w:r w:rsidRPr="007D3F98">
        <w:rPr>
          <w:rFonts w:asciiTheme="minorHAnsi" w:hAnsiTheme="minorHAnsi" w:cstheme="minorHAnsi"/>
          <w:sz w:val="22"/>
          <w:szCs w:val="22"/>
        </w:rPr>
        <w:t xml:space="preserve"> rinkimo ir tvarkymo </w:t>
      </w:r>
      <w:r w:rsidRPr="007D3F98">
        <w:rPr>
          <w:rFonts w:asciiTheme="minorHAnsi" w:hAnsiTheme="minorHAnsi" w:cstheme="minorHAnsi"/>
          <w:bCs/>
          <w:sz w:val="22"/>
          <w:szCs w:val="22"/>
        </w:rPr>
        <w:t>2015 m. gruodžio 1–19 d. laikotarpiu</w:t>
      </w:r>
      <w:r w:rsidRPr="007D3F98">
        <w:rPr>
          <w:rFonts w:asciiTheme="minorHAnsi" w:hAnsiTheme="minorHAnsi" w:cstheme="minorHAnsi"/>
          <w:sz w:val="22"/>
          <w:szCs w:val="22"/>
        </w:rPr>
        <w:t xml:space="preserve"> teisėtumą </w:t>
      </w:r>
      <w:r w:rsidRPr="007D3F98">
        <w:rPr>
          <w:rFonts w:asciiTheme="minorHAnsi" w:hAnsiTheme="minorHAnsi" w:cstheme="minorHAnsi"/>
          <w:bCs/>
          <w:sz w:val="22"/>
          <w:szCs w:val="22"/>
        </w:rPr>
        <w:t xml:space="preserve">grindė ADTAĮ 5 straipsnio 1 dalies 6 punktu – reikia tvarkyti dėl teisėto intereso, kurio siekia duomenų valdytojas arba trečiasis asmuo, kuriam teikiami asmens duomenys, ir jei duomenų subjekto interesai nėra svarbesni. Atkreiptas dėmesys į tai, kad </w:t>
      </w:r>
      <w:r w:rsidRPr="007D3F98">
        <w:rPr>
          <w:rFonts w:asciiTheme="minorHAnsi" w:hAnsiTheme="minorHAnsi" w:cstheme="minorHAnsi"/>
          <w:sz w:val="22"/>
          <w:szCs w:val="22"/>
        </w:rPr>
        <w:t xml:space="preserve">1995 m. spalio 24 d. Europos </w:t>
      </w:r>
      <w:r w:rsidRPr="007D3F98">
        <w:rPr>
          <w:rFonts w:asciiTheme="minorHAnsi" w:hAnsiTheme="minorHAnsi" w:cstheme="minorHAnsi"/>
          <w:sz w:val="22"/>
          <w:szCs w:val="22"/>
        </w:rPr>
        <w:lastRenderedPageBreak/>
        <w:t xml:space="preserve">Parlamento ir Tarybos direktyvos 95/46/EB dėl asmenų apsaugos tvarkant asmens duomenis ir dėl laisvo tokių duomenų judėjimo 7 straipsnio f punkte įtvirtintas analogiškas numatytajam ADTAĮ 5 straipsnio 1 dalie 6 </w:t>
      </w:r>
      <w:r w:rsidRPr="007D3F98">
        <w:rPr>
          <w:rFonts w:asciiTheme="minorHAnsi" w:hAnsiTheme="minorHAnsi" w:cstheme="minorHAnsi"/>
          <w:bCs/>
          <w:sz w:val="22"/>
          <w:szCs w:val="22"/>
        </w:rPr>
        <w:t>punkte asmens duomenų tvarkymo pagrindas – tvarkyti reikia dėl teisėtų interesų, kurių siekia duomenų valdytojas arba trečioji šalis (šalys), kurioms atskleidžiami duomenys, išskyrus atvejus, kai duomenų subjekto, kuriam pagal 1 straipsnio 1 dalį reikalinga apsauga, teisės ir laisvės yra viršesnės nei šie interesai.</w:t>
      </w:r>
    </w:p>
    <w:p w14:paraId="31AA7777" w14:textId="0BA4445E" w:rsidR="00AB6C8A" w:rsidRPr="007D3F98" w:rsidRDefault="00AB6C8A" w:rsidP="00AB6C8A">
      <w:pPr>
        <w:ind w:firstLine="567"/>
        <w:jc w:val="both"/>
        <w:rPr>
          <w:rFonts w:asciiTheme="minorHAnsi" w:hAnsiTheme="minorHAnsi" w:cstheme="minorHAnsi"/>
          <w:bCs/>
          <w:sz w:val="22"/>
          <w:szCs w:val="22"/>
        </w:rPr>
      </w:pPr>
      <w:r w:rsidRPr="007D3F98">
        <w:rPr>
          <w:rFonts w:asciiTheme="minorHAnsi" w:hAnsiTheme="minorHAnsi" w:cstheme="minorHAnsi"/>
          <w:sz w:val="22"/>
          <w:szCs w:val="22"/>
        </w:rPr>
        <w:t xml:space="preserve">Pareiškėjas nenurodė jokių priežasčių, dėl kurių </w:t>
      </w:r>
      <w:r w:rsidR="00084279" w:rsidRPr="007D3F98">
        <w:rPr>
          <w:rFonts w:asciiTheme="minorHAnsi" w:hAnsiTheme="minorHAnsi" w:cstheme="minorHAnsi"/>
          <w:bCs/>
          <w:sz w:val="22"/>
          <w:szCs w:val="22"/>
        </w:rPr>
        <w:t xml:space="preserve">Vilniaus miesto savivaldybės administracijos (toliau – Administracija) </w:t>
      </w:r>
      <w:r w:rsidRPr="007D3F98">
        <w:rPr>
          <w:rFonts w:asciiTheme="minorHAnsi" w:hAnsiTheme="minorHAnsi" w:cstheme="minorHAnsi"/>
          <w:sz w:val="22"/>
          <w:szCs w:val="22"/>
        </w:rPr>
        <w:t xml:space="preserve">nurodyti duomenų tvarkymo tikslai – viešosios tvarkos užtikrinimas, darbo organizavimo ir pajėgų valdymo efektyvumas, </w:t>
      </w:r>
      <w:r w:rsidR="00084279" w:rsidRPr="007D3F98">
        <w:rPr>
          <w:rFonts w:asciiTheme="minorHAnsi" w:hAnsiTheme="minorHAnsi" w:cstheme="minorHAnsi"/>
          <w:sz w:val="22"/>
          <w:szCs w:val="22"/>
        </w:rPr>
        <w:t xml:space="preserve">neatidėliotinos pagalbos Administracijos </w:t>
      </w:r>
      <w:r w:rsidRPr="007D3F98">
        <w:rPr>
          <w:rFonts w:asciiTheme="minorHAnsi" w:hAnsiTheme="minorHAnsi" w:cstheme="minorHAnsi"/>
          <w:sz w:val="22"/>
          <w:szCs w:val="22"/>
        </w:rPr>
        <w:t>darbuotojams kilus grėsmei suteikimas – negalėtų būti prilyginti teisėtam interesui, taip pat aplinkybių, sudarančių pagrindą manyti, jog šiuo konkrečiu atveju pareiškėjo kaip duomenų subjekto interesai yra svar</w:t>
      </w:r>
      <w:r w:rsidR="00084279" w:rsidRPr="007D3F98">
        <w:rPr>
          <w:rFonts w:asciiTheme="minorHAnsi" w:hAnsiTheme="minorHAnsi" w:cstheme="minorHAnsi"/>
          <w:sz w:val="22"/>
          <w:szCs w:val="22"/>
        </w:rPr>
        <w:t>besni. Nors pareiškėjas tvirtino</w:t>
      </w:r>
      <w:r w:rsidRPr="007D3F98">
        <w:rPr>
          <w:rFonts w:asciiTheme="minorHAnsi" w:hAnsiTheme="minorHAnsi" w:cstheme="minorHAnsi"/>
          <w:sz w:val="22"/>
          <w:szCs w:val="22"/>
        </w:rPr>
        <w:t>, kad jo asmens duomenys yra tvarkomi ne tuo tikslu, kurį deklaruoja Administracija, o siekiant jį persekioti ir kontroliuoti</w:t>
      </w:r>
      <w:r w:rsidR="00084279" w:rsidRPr="007D3F98">
        <w:rPr>
          <w:rFonts w:asciiTheme="minorHAnsi" w:hAnsiTheme="minorHAnsi" w:cstheme="minorHAnsi"/>
          <w:sz w:val="22"/>
          <w:szCs w:val="22"/>
        </w:rPr>
        <w:t>, pastebėt</w:t>
      </w:r>
      <w:r w:rsidRPr="007D3F98">
        <w:rPr>
          <w:rFonts w:asciiTheme="minorHAnsi" w:hAnsiTheme="minorHAnsi" w:cstheme="minorHAnsi"/>
          <w:sz w:val="22"/>
          <w:szCs w:val="22"/>
        </w:rPr>
        <w:t xml:space="preserve">a, kad, kaip teisingai nurodė pirmosios instancijos teismas ir patvirtino pats pareiškėjas, byloje nėra duomenų, </w:t>
      </w:r>
      <w:r w:rsidR="00084279" w:rsidRPr="007D3F98">
        <w:rPr>
          <w:rFonts w:asciiTheme="minorHAnsi" w:hAnsiTheme="minorHAnsi" w:cstheme="minorHAnsi"/>
          <w:sz w:val="22"/>
          <w:szCs w:val="22"/>
        </w:rPr>
        <w:t>jog</w:t>
      </w:r>
      <w:r w:rsidRPr="007D3F98">
        <w:rPr>
          <w:rFonts w:asciiTheme="minorHAnsi" w:hAnsiTheme="minorHAnsi" w:cstheme="minorHAnsi"/>
          <w:sz w:val="22"/>
          <w:szCs w:val="22"/>
        </w:rPr>
        <w:t xml:space="preserve"> tarnybiniuose automobiliuose sumontuot</w:t>
      </w:r>
      <w:r w:rsidR="00405361">
        <w:rPr>
          <w:rFonts w:asciiTheme="minorHAnsi" w:hAnsiTheme="minorHAnsi" w:cstheme="minorHAnsi"/>
          <w:sz w:val="22"/>
          <w:szCs w:val="22"/>
        </w:rPr>
        <w:t>a</w:t>
      </w:r>
      <w:r w:rsidRPr="007D3F98">
        <w:rPr>
          <w:rFonts w:asciiTheme="minorHAnsi" w:hAnsiTheme="minorHAnsi" w:cstheme="minorHAnsi"/>
          <w:sz w:val="22"/>
          <w:szCs w:val="22"/>
        </w:rPr>
        <w:t xml:space="preserve"> geografinės padėties nustatymo įranga užfiksuoti pareiškėjo asmens duomenys būtų buvę panaudoti prieš jį, pavyzdžiui, pradedant tarnybinio nusižengimo tyrimą. Pareiškėjo įsitikinimas, kad jo asmens duomenų (konkrečiai – jo naudojamo tarnybinio automobilio geografinės padėties, maršruto ir kt.) rinkimas ir tvarkymas, nesant pradėto ikiteisminio ar kitokio tyrimo arba kriminalinės žvalgybos, savaime neteisėtas, yra grindžiamas tik subjek</w:t>
      </w:r>
      <w:r w:rsidR="00084279" w:rsidRPr="007D3F98">
        <w:rPr>
          <w:rFonts w:asciiTheme="minorHAnsi" w:hAnsiTheme="minorHAnsi" w:cstheme="minorHAnsi"/>
          <w:sz w:val="22"/>
          <w:szCs w:val="22"/>
        </w:rPr>
        <w:t>tyvia jo nuomone, todėl laikyt</w:t>
      </w:r>
      <w:r w:rsidRPr="007D3F98">
        <w:rPr>
          <w:rFonts w:asciiTheme="minorHAnsi" w:hAnsiTheme="minorHAnsi" w:cstheme="minorHAnsi"/>
          <w:sz w:val="22"/>
          <w:szCs w:val="22"/>
        </w:rPr>
        <w:t>as nepagrįstu. Pareiškėjas nepateikė pakankamų argumentų ir įrodymų,</w:t>
      </w:r>
      <w:r w:rsidR="00084279" w:rsidRPr="007D3F98">
        <w:rPr>
          <w:rFonts w:asciiTheme="minorHAnsi" w:hAnsiTheme="minorHAnsi" w:cstheme="minorHAnsi"/>
          <w:sz w:val="22"/>
          <w:szCs w:val="22"/>
        </w:rPr>
        <w:t xml:space="preserve"> patvirtinančių, kad ginčijama s</w:t>
      </w:r>
      <w:r w:rsidRPr="007D3F98">
        <w:rPr>
          <w:rFonts w:asciiTheme="minorHAnsi" w:hAnsiTheme="minorHAnsi" w:cstheme="minorHAnsi"/>
          <w:sz w:val="22"/>
          <w:szCs w:val="22"/>
        </w:rPr>
        <w:t>prendimo dalis neatitinka teisės aktų reikalavimų, todėl, teisėjų kolegijos vertinimu, pirmosios instancijos teismas pagrįstai atmetė jo skundą.</w:t>
      </w:r>
    </w:p>
    <w:p w14:paraId="43BB5989" w14:textId="77777777" w:rsidR="00B96D01" w:rsidRPr="007D3F98" w:rsidRDefault="00B96D01" w:rsidP="007E7F95">
      <w:pPr>
        <w:ind w:firstLine="567"/>
        <w:jc w:val="both"/>
        <w:rPr>
          <w:rFonts w:asciiTheme="minorHAnsi" w:hAnsiTheme="minorHAnsi" w:cstheme="minorHAnsi"/>
          <w:sz w:val="22"/>
          <w:szCs w:val="22"/>
        </w:rPr>
      </w:pPr>
    </w:p>
    <w:p w14:paraId="50FD9032" w14:textId="24DB47FA" w:rsidR="00A94894" w:rsidRPr="007D3F98" w:rsidRDefault="009A5ABF" w:rsidP="00A94894">
      <w:pPr>
        <w:jc w:val="both"/>
        <w:rPr>
          <w:rFonts w:asciiTheme="minorHAnsi" w:hAnsiTheme="minorHAnsi" w:cstheme="minorHAnsi"/>
          <w:sz w:val="22"/>
          <w:szCs w:val="22"/>
        </w:rPr>
      </w:pPr>
      <w:r w:rsidRPr="007D3F98">
        <w:rPr>
          <w:rFonts w:asciiTheme="minorHAnsi" w:hAnsiTheme="minorHAnsi" w:cstheme="minorHAnsi"/>
          <w:sz w:val="22"/>
          <w:szCs w:val="22"/>
        </w:rPr>
        <w:t xml:space="preserve">2019 m. </w:t>
      </w:r>
      <w:r w:rsidR="00045020" w:rsidRPr="007D3F98">
        <w:rPr>
          <w:rFonts w:asciiTheme="minorHAnsi" w:hAnsiTheme="minorHAnsi" w:cstheme="minorHAnsi"/>
          <w:sz w:val="22"/>
          <w:szCs w:val="22"/>
        </w:rPr>
        <w:t>lapkričio 27</w:t>
      </w:r>
      <w:r w:rsidRPr="007D3F98">
        <w:rPr>
          <w:rFonts w:asciiTheme="minorHAnsi" w:hAnsiTheme="minorHAnsi" w:cstheme="minorHAnsi"/>
          <w:sz w:val="22"/>
          <w:szCs w:val="22"/>
        </w:rPr>
        <w:t xml:space="preserve"> d. </w:t>
      </w:r>
      <w:r w:rsidR="0097316B" w:rsidRPr="007D3F98">
        <w:rPr>
          <w:rFonts w:asciiTheme="minorHAnsi" w:hAnsiTheme="minorHAnsi" w:cstheme="minorHAnsi"/>
          <w:sz w:val="22"/>
          <w:szCs w:val="22"/>
        </w:rPr>
        <w:t>nutartis</w:t>
      </w:r>
      <w:r w:rsidRPr="007D3F98">
        <w:rPr>
          <w:rFonts w:asciiTheme="minorHAnsi" w:hAnsiTheme="minorHAnsi" w:cstheme="minorHAnsi"/>
          <w:sz w:val="22"/>
          <w:szCs w:val="22"/>
        </w:rPr>
        <w:t xml:space="preserve"> administracinėje byloje </w:t>
      </w:r>
      <w:r w:rsidR="00A94894" w:rsidRPr="007D3F98">
        <w:rPr>
          <w:rFonts w:asciiTheme="minorHAnsi" w:hAnsiTheme="minorHAnsi" w:cstheme="minorHAnsi"/>
          <w:sz w:val="22"/>
          <w:szCs w:val="22"/>
        </w:rPr>
        <w:t>Nr. A-986-525/2019</w:t>
      </w:r>
    </w:p>
    <w:p w14:paraId="2A91A8D4" w14:textId="77777777" w:rsidR="00A94894" w:rsidRPr="007D3F98" w:rsidRDefault="00A94894" w:rsidP="00A94894">
      <w:pPr>
        <w:jc w:val="both"/>
        <w:rPr>
          <w:rFonts w:asciiTheme="minorHAnsi" w:hAnsiTheme="minorHAnsi" w:cstheme="minorHAnsi"/>
          <w:sz w:val="22"/>
          <w:szCs w:val="22"/>
        </w:rPr>
      </w:pPr>
      <w:r w:rsidRPr="007D3F98">
        <w:rPr>
          <w:rFonts w:asciiTheme="minorHAnsi" w:hAnsiTheme="minorHAnsi" w:cstheme="minorHAnsi"/>
          <w:sz w:val="22"/>
          <w:szCs w:val="22"/>
        </w:rPr>
        <w:t>Teisminio proceso Nr. 3-61-3-01346-2017-7</w:t>
      </w:r>
    </w:p>
    <w:p w14:paraId="31069E9D" w14:textId="77777777" w:rsidR="00A94894" w:rsidRPr="007D3F98" w:rsidRDefault="00A94894" w:rsidP="00A94894">
      <w:pPr>
        <w:jc w:val="both"/>
        <w:rPr>
          <w:rFonts w:asciiTheme="minorHAnsi" w:hAnsiTheme="minorHAnsi" w:cstheme="minorHAnsi"/>
          <w:sz w:val="22"/>
          <w:szCs w:val="22"/>
        </w:rPr>
      </w:pPr>
      <w:r w:rsidRPr="007D3F98">
        <w:rPr>
          <w:rFonts w:asciiTheme="minorHAnsi" w:hAnsiTheme="minorHAnsi" w:cstheme="minorHAnsi"/>
          <w:sz w:val="22"/>
          <w:szCs w:val="22"/>
        </w:rPr>
        <w:t>Procesinio sprendimo kategorija 26</w:t>
      </w:r>
    </w:p>
    <w:p w14:paraId="2DB660CA" w14:textId="783CEEA7" w:rsidR="009A5ABF" w:rsidRPr="007D3F98" w:rsidRDefault="00854B2C" w:rsidP="00A94894">
      <w:pPr>
        <w:jc w:val="both"/>
        <w:rPr>
          <w:rFonts w:asciiTheme="minorHAnsi" w:hAnsiTheme="minorHAnsi" w:cstheme="minorHAnsi"/>
          <w:sz w:val="22"/>
          <w:szCs w:val="22"/>
        </w:rPr>
      </w:pPr>
      <w:hyperlink r:id="rId19" w:history="1">
        <w:r w:rsidR="009A5ABF" w:rsidRPr="007D3F98">
          <w:rPr>
            <w:rStyle w:val="Hipersaitas"/>
            <w:rFonts w:asciiTheme="minorHAnsi" w:hAnsiTheme="minorHAnsi" w:cstheme="minorHAnsi"/>
            <w:sz w:val="22"/>
            <w:szCs w:val="22"/>
          </w:rPr>
          <w:t>Prieiga internete</w:t>
        </w:r>
      </w:hyperlink>
    </w:p>
    <w:p w14:paraId="364D3FD2" w14:textId="1C29BD8B" w:rsidR="009A5ABF" w:rsidRPr="007D3F98" w:rsidRDefault="009A5ABF" w:rsidP="00496E0E">
      <w:pPr>
        <w:rPr>
          <w:rFonts w:asciiTheme="minorHAnsi" w:hAnsiTheme="minorHAnsi" w:cstheme="minorHAnsi"/>
        </w:rPr>
      </w:pPr>
    </w:p>
    <w:p w14:paraId="3911A964" w14:textId="77777777" w:rsidR="00BC1C20" w:rsidRPr="007D3F98" w:rsidRDefault="00BC1C20" w:rsidP="00BC1C20">
      <w:pPr>
        <w:pStyle w:val="Apzvalgai1"/>
        <w:rPr>
          <w:rFonts w:asciiTheme="minorHAnsi" w:hAnsiTheme="minorHAnsi" w:cstheme="minorHAnsi"/>
        </w:rPr>
      </w:pPr>
      <w:bookmarkStart w:id="57" w:name="_Toc29392707"/>
      <w:r w:rsidRPr="007D3F98">
        <w:rPr>
          <w:rFonts w:asciiTheme="minorHAnsi" w:hAnsiTheme="minorHAnsi" w:cstheme="minorHAnsi"/>
        </w:rPr>
        <w:t>27. Visuomenės informavimas</w:t>
      </w:r>
      <w:bookmarkEnd w:id="57"/>
    </w:p>
    <w:p w14:paraId="759C38D7" w14:textId="77777777" w:rsidR="00BC1C20" w:rsidRPr="007D3F98" w:rsidRDefault="00BC1C20" w:rsidP="00BC1C20">
      <w:pPr>
        <w:ind w:firstLine="567"/>
        <w:jc w:val="both"/>
        <w:rPr>
          <w:rFonts w:asciiTheme="minorHAnsi" w:hAnsiTheme="minorHAnsi" w:cstheme="minorHAnsi"/>
          <w:i/>
          <w:sz w:val="22"/>
          <w:szCs w:val="22"/>
        </w:rPr>
      </w:pPr>
      <w:r w:rsidRPr="007D3F98">
        <w:rPr>
          <w:rFonts w:asciiTheme="minorHAnsi" w:hAnsiTheme="minorHAnsi" w:cstheme="minorHAnsi"/>
          <w:b/>
          <w:sz w:val="22"/>
          <w:szCs w:val="22"/>
          <w:u w:val="single"/>
        </w:rPr>
        <w:t>27.4. Kiti su visuomenės informavimu susiję klausimai</w:t>
      </w:r>
    </w:p>
    <w:p w14:paraId="053D964E" w14:textId="77777777" w:rsidR="00BC1C20" w:rsidRPr="007D3F98" w:rsidRDefault="00BC1C20" w:rsidP="00BC1C20">
      <w:pPr>
        <w:ind w:firstLine="567"/>
        <w:jc w:val="both"/>
        <w:rPr>
          <w:rFonts w:asciiTheme="minorHAnsi" w:hAnsiTheme="minorHAnsi" w:cstheme="minorHAnsi"/>
          <w:i/>
          <w:sz w:val="22"/>
          <w:szCs w:val="22"/>
        </w:rPr>
      </w:pPr>
    </w:p>
    <w:p w14:paraId="26BBEE1A" w14:textId="77777777" w:rsidR="00BC1C20" w:rsidRPr="007D3F98" w:rsidRDefault="00BC1C20" w:rsidP="00BC1C20">
      <w:pPr>
        <w:pStyle w:val="Antrat2"/>
      </w:pPr>
      <w:bookmarkStart w:id="58" w:name="_Toc524957047"/>
      <w:bookmarkStart w:id="59" w:name="_Toc29392708"/>
      <w:r w:rsidRPr="007D3F98">
        <w:t xml:space="preserve">Dėl straipsnio </w:t>
      </w:r>
      <w:bookmarkEnd w:id="58"/>
      <w:r w:rsidRPr="007D3F98">
        <w:t>antraštės ir iliustracijų sąsajumo</w:t>
      </w:r>
      <w:bookmarkEnd w:id="59"/>
    </w:p>
    <w:p w14:paraId="12AA2507" w14:textId="77777777" w:rsidR="00BC1C20" w:rsidRPr="007D3F98" w:rsidRDefault="00BC1C20" w:rsidP="00BC1C20">
      <w:pPr>
        <w:jc w:val="both"/>
        <w:rPr>
          <w:rFonts w:asciiTheme="minorHAnsi" w:hAnsiTheme="minorHAnsi" w:cstheme="minorHAnsi"/>
          <w:i/>
          <w:sz w:val="22"/>
          <w:szCs w:val="22"/>
        </w:rPr>
      </w:pPr>
    </w:p>
    <w:p w14:paraId="245B3F42" w14:textId="77777777" w:rsidR="00BC1C20" w:rsidRPr="007D3F98" w:rsidRDefault="00BC1C20" w:rsidP="00BC1C20">
      <w:pPr>
        <w:ind w:firstLine="567"/>
        <w:jc w:val="both"/>
        <w:rPr>
          <w:rFonts w:asciiTheme="minorHAnsi" w:hAnsiTheme="minorHAnsi" w:cstheme="minorHAnsi"/>
          <w:sz w:val="22"/>
          <w:szCs w:val="22"/>
        </w:rPr>
      </w:pPr>
      <w:r w:rsidRPr="007D3F98">
        <w:rPr>
          <w:rFonts w:asciiTheme="minorHAnsi" w:hAnsiTheme="minorHAnsi" w:cstheme="minorHAnsi"/>
          <w:sz w:val="22"/>
          <w:szCs w:val="22"/>
        </w:rPr>
        <w:t>Pareiškėjas UAB „Lietuvos žinios“ nurodė, jog Visuomenės informavimo etikos komisija priėmė sprendimą, kad pareiškėjo publikacijų antraštės klaidina visuomenę, tačiau sprendimas priimtas netinkamai įvertinus AB „Spauda“ ir VšĮ Vilniaus keistuolių teatras pateiktas aplinkybes, publikacijų pavadinime pavartotus bendrinius žodžius „spauda“ ir „keistuoliai“ nepagrįstai sutapatinus su AB „Spauda“ ir VšĮ Vilniaus keistuolių teatras ir dėl to padarius išvadą, kad publikacijų pavadinimas neturi nieko bendro su jų turiniu, kadangi jame nekalbama apie VšĮ Vilniaus keistuolių teatro ginčą su AB „Spauda“. Pareiškėjas nurodė neturėjęs tikslo žodžiu „spauda“ įvardyti konkrečiai AB „Spauda“, o žodžiu „keistuoliai“ – VšĮ Vilniaus keistuolių teatras. Pareiškėjas teigė, jog bendrinių žodžių „spauda“ ir „keistuoliai“ pavartojimas minėtose antraštėse turėjo tikslą apibūdinti publikacijų esmę bei sudominti visuomenę, bet ne perduoti jai žinią, kad AB „Spauda“ nesutaria su VšĮ Vilniaus keistuolių teatru. Pirmosios instancijos teismas pareiškėjo skundą atmetė.</w:t>
      </w:r>
    </w:p>
    <w:p w14:paraId="5B9685EA" w14:textId="74F1AA33" w:rsidR="00BC1C20" w:rsidRPr="007D3F98" w:rsidRDefault="00BC1C20" w:rsidP="00BC1C20">
      <w:pPr>
        <w:ind w:firstLine="567"/>
        <w:jc w:val="both"/>
        <w:rPr>
          <w:rFonts w:asciiTheme="minorHAnsi" w:hAnsiTheme="minorHAnsi" w:cstheme="minorHAnsi"/>
          <w:sz w:val="22"/>
          <w:szCs w:val="22"/>
        </w:rPr>
      </w:pPr>
      <w:r w:rsidRPr="007D3F98">
        <w:rPr>
          <w:rFonts w:asciiTheme="minorHAnsi" w:hAnsiTheme="minorHAnsi" w:cstheme="minorHAnsi"/>
          <w:sz w:val="22"/>
          <w:szCs w:val="22"/>
        </w:rPr>
        <w:t>LVAT konstatavo, kad byloje yra nustatyta, jog publikacijose pateikiama informacija apie AB „Spauda“ ir kitų valdytojų nesutarimus dėl nekilnojamųjų daiktų ir žemės sklypo valdymo. Publikacijose buvo minima</w:t>
      </w:r>
      <w:r w:rsidR="007D3F98">
        <w:rPr>
          <w:rFonts w:asciiTheme="minorHAnsi" w:hAnsiTheme="minorHAnsi" w:cstheme="minorHAnsi"/>
          <w:sz w:val="22"/>
          <w:szCs w:val="22"/>
        </w:rPr>
        <w:t>s VšĮ </w:t>
      </w:r>
      <w:r w:rsidRPr="007D3F98">
        <w:rPr>
          <w:rFonts w:asciiTheme="minorHAnsi" w:hAnsiTheme="minorHAnsi" w:cstheme="minorHAnsi"/>
          <w:sz w:val="22"/>
          <w:szCs w:val="22"/>
        </w:rPr>
        <w:t xml:space="preserve">Vilniaus keistuolių teatras ir nurodoma, jog jis yra vienas iš vadinamųjų mažųjų Spaudos rūmų bendraturčių, kuriam rūpi šalia pastato įrengtų automobilių stovėjimo aikštelių likimas. Publikacijos yra iliustruotos Spaudos rūmų nuotraukomis. Publikacijose jokių faktų apie galimus VšĮ Vilniaus keistuolių teatras ir AB „Spauda“ ginčus ir (ar) kokius nors kitus nesutarimus pateikta nebuvo. </w:t>
      </w:r>
      <w:r w:rsidRPr="007D3F98">
        <w:rPr>
          <w:rFonts w:asciiTheme="minorHAnsi" w:hAnsiTheme="minorHAnsi" w:cstheme="minorHAnsi"/>
          <w:sz w:val="22"/>
          <w:szCs w:val="22"/>
          <w:u w:val="single"/>
        </w:rPr>
        <w:t>Teisės aktai nenumato, jog antraštė yra atskiras publikacijos elementas, todėl vertinant jos išdėstymą, būtina ją sieti su viso teksto turiniu. Publikacijos antraštė yra įžanginė publikacijos dalis, skirta sudominti skaitytoją, patraukti jo dėmesį, tačiau ji turi kiek įmanoma geriau atspindėti publikacijoje pateikiamų faktų ir duomenų esmę</w:t>
      </w:r>
      <w:r w:rsidRPr="007D3F98">
        <w:rPr>
          <w:rFonts w:asciiTheme="minorHAnsi" w:hAnsiTheme="minorHAnsi" w:cstheme="minorHAnsi"/>
          <w:sz w:val="22"/>
          <w:szCs w:val="22"/>
        </w:rPr>
        <w:t>. Atsižvelgiant į tai, kad byloje nėra duomenų apie AB „Spauda“ ir VšĮ Vilniaus keistuolių teatras tarpusavio nesutarimus, šią faktinę aplinkybę neigia ir trečiasis suinteresuotas asmuo AB „Spauda“, teisėjų kolegijos vertinimu, publikacijų antraštėse pateikta neteisinga ir netiksli informacija, kuri neatspindi publikacijose pateikiamos informacijos turinio.</w:t>
      </w:r>
    </w:p>
    <w:p w14:paraId="389C5207" w14:textId="77777777" w:rsidR="00BC1C20" w:rsidRPr="007D3F98" w:rsidRDefault="00BC1C20" w:rsidP="00BC1C20">
      <w:pPr>
        <w:ind w:firstLine="567"/>
        <w:jc w:val="both"/>
        <w:rPr>
          <w:rFonts w:asciiTheme="minorHAnsi" w:hAnsiTheme="minorHAnsi" w:cstheme="minorHAnsi"/>
          <w:sz w:val="22"/>
          <w:szCs w:val="22"/>
        </w:rPr>
      </w:pPr>
      <w:r w:rsidRPr="007D3F98">
        <w:rPr>
          <w:rFonts w:asciiTheme="minorHAnsi" w:hAnsiTheme="minorHAnsi" w:cstheme="minorHAnsi"/>
          <w:sz w:val="22"/>
          <w:szCs w:val="22"/>
        </w:rPr>
        <w:lastRenderedPageBreak/>
        <w:t xml:space="preserve">Teisėjų kolegija, pasisakydama dėl pareiškėjo apeliacinio skundo argumentų, susijusių su publikacijas iliustruojančiomis nuotraukomis, bendrinių žodžių „spauda“ ir „keistuoliai“ vartojimu, pažymėjo, jog </w:t>
      </w:r>
      <w:r w:rsidRPr="007D3F98">
        <w:rPr>
          <w:rFonts w:asciiTheme="minorHAnsi" w:hAnsiTheme="minorHAnsi" w:cstheme="minorHAnsi"/>
          <w:sz w:val="22"/>
          <w:szCs w:val="22"/>
          <w:u w:val="single"/>
        </w:rPr>
        <w:t>konkrečių asmenų nustatymą (identifikavimą), gali lemti ir publikacijos turinio visuma: iliustracinė medžiaga, kontekstas, sakinių konstrukcijos. O asmenų, supratusių, kad pateiktos žinios yra dėl tam tikrų asmenų, skaičius visiškai nėra svarbus</w:t>
      </w:r>
      <w:r w:rsidRPr="007D3F98">
        <w:rPr>
          <w:rFonts w:asciiTheme="minorHAnsi" w:hAnsiTheme="minorHAnsi" w:cstheme="minorHAnsi"/>
          <w:sz w:val="22"/>
          <w:szCs w:val="22"/>
        </w:rPr>
        <w:t xml:space="preserve">. Publikacijų tekste AB „Spauda“ ir VšĮ Vilniaus keistuolių teatras minimi tiesiogiai, todėl pareiškėjo argumentas, kad bendriniai žodžiai „spauda“ ir „keistuoliai“ nebuvo siejami su jokiais juridiniais asmenimis, taip pat atmestas kaip nepagrįstas. </w:t>
      </w:r>
      <w:r w:rsidRPr="007D3F98">
        <w:rPr>
          <w:rFonts w:asciiTheme="minorHAnsi" w:hAnsiTheme="minorHAnsi" w:cstheme="minorHAnsi"/>
          <w:sz w:val="22"/>
          <w:szCs w:val="22"/>
          <w:u w:val="single"/>
        </w:rPr>
        <w:t>Publikacijos negali būti atsietai vertinamos nuo jų turinio, nepaisant to, koks pasirinktas informacijos pateikimo būdas (iliustracijos)</w:t>
      </w:r>
      <w:r w:rsidRPr="007D3F98">
        <w:rPr>
          <w:rFonts w:asciiTheme="minorHAnsi" w:hAnsiTheme="minorHAnsi" w:cstheme="minorHAnsi"/>
          <w:sz w:val="22"/>
          <w:szCs w:val="22"/>
        </w:rPr>
        <w:t>.</w:t>
      </w:r>
    </w:p>
    <w:p w14:paraId="60039F39" w14:textId="77777777" w:rsidR="00BC1C20" w:rsidRPr="007D3F98" w:rsidRDefault="00BC1C20" w:rsidP="00BC1C20">
      <w:pPr>
        <w:ind w:firstLine="567"/>
        <w:jc w:val="both"/>
        <w:rPr>
          <w:rFonts w:asciiTheme="minorHAnsi" w:hAnsiTheme="minorHAnsi" w:cstheme="minorHAnsi"/>
          <w:sz w:val="22"/>
          <w:szCs w:val="22"/>
        </w:rPr>
      </w:pPr>
      <w:r w:rsidRPr="007D3F98">
        <w:rPr>
          <w:rFonts w:asciiTheme="minorHAnsi" w:hAnsiTheme="minorHAnsi" w:cstheme="minorHAnsi"/>
          <w:sz w:val="22"/>
          <w:szCs w:val="22"/>
        </w:rPr>
        <w:t>Pirmosios instancijos teismo sprendimas paliktas nepakeistas.</w:t>
      </w:r>
    </w:p>
    <w:p w14:paraId="06002EE5" w14:textId="77777777" w:rsidR="00BC1C20" w:rsidRPr="007D3F98" w:rsidRDefault="00BC1C20" w:rsidP="00BC1C20">
      <w:pPr>
        <w:ind w:firstLine="567"/>
        <w:jc w:val="both"/>
        <w:rPr>
          <w:rFonts w:asciiTheme="minorHAnsi" w:hAnsiTheme="minorHAnsi" w:cstheme="minorHAnsi"/>
          <w:sz w:val="22"/>
          <w:szCs w:val="22"/>
        </w:rPr>
      </w:pPr>
    </w:p>
    <w:p w14:paraId="5013AADB" w14:textId="77777777" w:rsidR="00BC1C20" w:rsidRPr="007D3F98" w:rsidRDefault="00BC1C20" w:rsidP="00BC1C20">
      <w:pPr>
        <w:jc w:val="both"/>
        <w:rPr>
          <w:rFonts w:asciiTheme="minorHAnsi" w:hAnsiTheme="minorHAnsi" w:cstheme="minorHAnsi"/>
          <w:sz w:val="22"/>
          <w:szCs w:val="22"/>
        </w:rPr>
      </w:pPr>
      <w:r w:rsidRPr="007D3F98">
        <w:rPr>
          <w:rFonts w:asciiTheme="minorHAnsi" w:hAnsiTheme="minorHAnsi" w:cstheme="minorHAnsi"/>
          <w:sz w:val="22"/>
          <w:szCs w:val="22"/>
        </w:rPr>
        <w:t>2019 m. lapkričio 13 d. nutartis administracinėje byloje Nr. eA-990-556/2019</w:t>
      </w:r>
    </w:p>
    <w:p w14:paraId="1D8E7F15" w14:textId="77777777" w:rsidR="00BC1C20" w:rsidRPr="007D3F98" w:rsidRDefault="00BC1C20" w:rsidP="00BC1C20">
      <w:pPr>
        <w:jc w:val="both"/>
        <w:rPr>
          <w:rFonts w:asciiTheme="minorHAnsi" w:hAnsiTheme="minorHAnsi" w:cstheme="minorHAnsi"/>
          <w:sz w:val="22"/>
          <w:szCs w:val="22"/>
        </w:rPr>
      </w:pPr>
      <w:r w:rsidRPr="007D3F98">
        <w:rPr>
          <w:rFonts w:asciiTheme="minorHAnsi" w:hAnsiTheme="minorHAnsi" w:cstheme="minorHAnsi"/>
          <w:sz w:val="22"/>
          <w:szCs w:val="22"/>
        </w:rPr>
        <w:t>Teisminio proceso Nr. 3-61-3-03243-2017-5</w:t>
      </w:r>
    </w:p>
    <w:p w14:paraId="7EAE1534" w14:textId="15E47D12" w:rsidR="00BC1C20" w:rsidRPr="007D3F98" w:rsidRDefault="00BC1C20" w:rsidP="00BC1C20">
      <w:pPr>
        <w:jc w:val="both"/>
        <w:rPr>
          <w:rFonts w:asciiTheme="minorHAnsi" w:hAnsiTheme="minorHAnsi" w:cstheme="minorHAnsi"/>
          <w:sz w:val="22"/>
          <w:szCs w:val="22"/>
        </w:rPr>
      </w:pPr>
      <w:r w:rsidRPr="007D3F98">
        <w:rPr>
          <w:rFonts w:asciiTheme="minorHAnsi" w:hAnsiTheme="minorHAnsi" w:cstheme="minorHAnsi"/>
          <w:sz w:val="22"/>
          <w:szCs w:val="22"/>
        </w:rPr>
        <w:t xml:space="preserve">Procesinio sprendimo kategorija 27.4 </w:t>
      </w:r>
    </w:p>
    <w:p w14:paraId="77705E27" w14:textId="77777777" w:rsidR="00BC1C20" w:rsidRPr="007D3F98" w:rsidRDefault="00854B2C" w:rsidP="00BC1C20">
      <w:pPr>
        <w:jc w:val="both"/>
      </w:pPr>
      <w:hyperlink r:id="rId20" w:history="1">
        <w:r w:rsidR="00BC1C20" w:rsidRPr="007D3F98">
          <w:rPr>
            <w:rStyle w:val="Hipersaitas"/>
            <w:rFonts w:asciiTheme="minorHAnsi" w:hAnsiTheme="minorHAnsi" w:cstheme="minorHAnsi"/>
            <w:sz w:val="22"/>
            <w:szCs w:val="22"/>
          </w:rPr>
          <w:t>Prieiga internete</w:t>
        </w:r>
      </w:hyperlink>
    </w:p>
    <w:p w14:paraId="11AC447C" w14:textId="77777777" w:rsidR="004C7F67" w:rsidRPr="007D3F98" w:rsidRDefault="004C7F67" w:rsidP="00496E0E">
      <w:pPr>
        <w:rPr>
          <w:rFonts w:asciiTheme="minorHAnsi" w:hAnsiTheme="minorHAnsi" w:cstheme="minorHAnsi"/>
        </w:rPr>
      </w:pPr>
    </w:p>
    <w:p w14:paraId="632B35EF" w14:textId="77777777" w:rsidR="00FF07C3" w:rsidRPr="007D3F98" w:rsidRDefault="00FF07C3" w:rsidP="00FF07C3">
      <w:pPr>
        <w:pStyle w:val="Antrat1"/>
        <w:rPr>
          <w:rFonts w:asciiTheme="minorHAnsi" w:hAnsiTheme="minorHAnsi" w:cstheme="minorHAnsi"/>
        </w:rPr>
      </w:pPr>
      <w:bookmarkStart w:id="60" w:name="_Toc462149998"/>
      <w:bookmarkStart w:id="61" w:name="_Toc29392709"/>
      <w:r w:rsidRPr="007D3F98">
        <w:rPr>
          <w:rFonts w:asciiTheme="minorHAnsi" w:hAnsiTheme="minorHAnsi" w:cstheme="minorHAnsi"/>
        </w:rPr>
        <w:t>34. Tabako ir alkoholio kontrolė</w:t>
      </w:r>
      <w:bookmarkEnd w:id="60"/>
      <w:bookmarkEnd w:id="61"/>
    </w:p>
    <w:p w14:paraId="0BC1018C" w14:textId="77777777" w:rsidR="00FF07C3" w:rsidRPr="007D3F98" w:rsidRDefault="00FF07C3" w:rsidP="00FF07C3">
      <w:pPr>
        <w:ind w:left="851" w:hanging="284"/>
        <w:rPr>
          <w:rFonts w:asciiTheme="minorHAnsi" w:hAnsiTheme="minorHAnsi" w:cstheme="minorHAnsi"/>
          <w:b/>
          <w:sz w:val="22"/>
          <w:szCs w:val="22"/>
          <w:u w:val="single"/>
        </w:rPr>
      </w:pPr>
      <w:r w:rsidRPr="007D3F98">
        <w:rPr>
          <w:rFonts w:asciiTheme="minorHAnsi" w:hAnsiTheme="minorHAnsi" w:cstheme="minorHAnsi"/>
          <w:b/>
          <w:sz w:val="22"/>
          <w:szCs w:val="22"/>
          <w:u w:val="single"/>
        </w:rPr>
        <w:t>34.1. Tabako kontrolė</w:t>
      </w:r>
    </w:p>
    <w:p w14:paraId="066504AC" w14:textId="77777777" w:rsidR="00FF07C3" w:rsidRPr="007D3F98" w:rsidRDefault="00FF07C3" w:rsidP="00FF07C3">
      <w:pPr>
        <w:jc w:val="both"/>
        <w:rPr>
          <w:rFonts w:asciiTheme="minorHAnsi" w:hAnsiTheme="minorHAnsi" w:cstheme="minorHAnsi"/>
          <w:sz w:val="22"/>
          <w:szCs w:val="22"/>
        </w:rPr>
      </w:pPr>
    </w:p>
    <w:p w14:paraId="6C70DF6C" w14:textId="77777777" w:rsidR="00FF07C3" w:rsidRPr="007D3F98" w:rsidRDefault="00FF07C3" w:rsidP="00FF07C3">
      <w:pPr>
        <w:pStyle w:val="Antrat2"/>
        <w:rPr>
          <w:i w:val="0"/>
        </w:rPr>
      </w:pPr>
      <w:bookmarkStart w:id="62" w:name="_Toc29392710"/>
      <w:r w:rsidRPr="007D3F98">
        <w:t>Dėl draudimo įrengti rūkymo patalpą lošimo namuose (kazino)</w:t>
      </w:r>
      <w:bookmarkEnd w:id="62"/>
    </w:p>
    <w:p w14:paraId="41382121" w14:textId="77777777" w:rsidR="00FF07C3" w:rsidRPr="007D3F98" w:rsidRDefault="00FF07C3" w:rsidP="00FF07C3">
      <w:pPr>
        <w:jc w:val="both"/>
        <w:rPr>
          <w:rFonts w:asciiTheme="minorHAnsi" w:hAnsiTheme="minorHAnsi" w:cstheme="minorHAnsi"/>
          <w:sz w:val="22"/>
          <w:szCs w:val="22"/>
        </w:rPr>
      </w:pPr>
    </w:p>
    <w:p w14:paraId="215BC23C" w14:textId="21C6301D" w:rsidR="00FF07C3" w:rsidRPr="007D3F98" w:rsidRDefault="00FF07C3" w:rsidP="00FF07C3">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Apžvelgiamoje byloje nagrinėtas ginčas kilo dėl Narkotikų, tabako ir alkoholio kontrolės departamento nutarimo, kuriuo lošimų namus (kazino) valdančiai bendrovei paskirta 289 Eur bauda už Tabako, tabako gaminių ir su jais susijusių gaminių </w:t>
      </w:r>
      <w:r w:rsidR="00C07736" w:rsidRPr="007D3F98">
        <w:rPr>
          <w:rFonts w:asciiTheme="minorHAnsi" w:hAnsiTheme="minorHAnsi" w:cstheme="minorHAnsi"/>
          <w:sz w:val="22"/>
          <w:szCs w:val="22"/>
        </w:rPr>
        <w:t xml:space="preserve">kontrolės įstatymo (toliau – </w:t>
      </w:r>
      <w:r w:rsidRPr="007D3F98">
        <w:rPr>
          <w:rFonts w:asciiTheme="minorHAnsi" w:hAnsiTheme="minorHAnsi" w:cstheme="minorHAnsi"/>
          <w:sz w:val="22"/>
          <w:szCs w:val="22"/>
        </w:rPr>
        <w:t>Tabako kontrolės įsta</w:t>
      </w:r>
      <w:r w:rsidR="00C07736" w:rsidRPr="007D3F98">
        <w:rPr>
          <w:rFonts w:asciiTheme="minorHAnsi" w:hAnsiTheme="minorHAnsi" w:cstheme="minorHAnsi"/>
          <w:sz w:val="22"/>
          <w:szCs w:val="22"/>
        </w:rPr>
        <w:t>tymas) 19 straipsnio 1 dalies 5 </w:t>
      </w:r>
      <w:r w:rsidRPr="007D3F98">
        <w:rPr>
          <w:rFonts w:asciiTheme="minorHAnsi" w:hAnsiTheme="minorHAnsi" w:cstheme="minorHAnsi"/>
          <w:sz w:val="22"/>
          <w:szCs w:val="22"/>
        </w:rPr>
        <w:t>punkto pažeidimą. Konkrečiai pareiškėjui bauda buvo skirta už tai, kad lošimo namuose (kazino) buvo įrengta rūkymo patalpa.</w:t>
      </w:r>
    </w:p>
    <w:p w14:paraId="58374A11" w14:textId="77777777" w:rsidR="00FF07C3" w:rsidRPr="007D3F98" w:rsidRDefault="00FF07C3" w:rsidP="00FF07C3">
      <w:pPr>
        <w:ind w:firstLine="567"/>
        <w:jc w:val="both"/>
        <w:rPr>
          <w:rFonts w:asciiTheme="minorHAnsi" w:hAnsiTheme="minorHAnsi" w:cstheme="minorHAnsi"/>
          <w:sz w:val="22"/>
          <w:szCs w:val="22"/>
        </w:rPr>
      </w:pPr>
      <w:r w:rsidRPr="007D3F98">
        <w:rPr>
          <w:rFonts w:asciiTheme="minorHAnsi" w:hAnsiTheme="minorHAnsi" w:cstheme="minorHAnsi"/>
          <w:sz w:val="22"/>
          <w:szCs w:val="22"/>
        </w:rPr>
        <w:t>Šioje įstatymo nuostatoje, be kita ko, nustatyta, kad „&lt;...&gt; rūkyti (vartoti tabako gaminius ir elektronines cigaretes) draudžiama &lt;...&gt; lošimo namuose (kazino), automatų ar bingo salonuose, kitose laisvalaikio praleidimo įstaigose &lt;...&gt;, išskyrus specialiai įrengtus cigarų ir (ar) pypkių klubus &lt;...&gt;.“</w:t>
      </w:r>
    </w:p>
    <w:p w14:paraId="5C2158F2" w14:textId="77777777" w:rsidR="00FF07C3" w:rsidRPr="007D3F98" w:rsidRDefault="00FF07C3" w:rsidP="00FF07C3">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 Kaip pažymėjo LVAT teisėjų kolegija, šis </w:t>
      </w:r>
      <w:r w:rsidRPr="007D3F98">
        <w:rPr>
          <w:rFonts w:asciiTheme="minorHAnsi" w:hAnsiTheme="minorHAnsi" w:cstheme="minorHAnsi"/>
          <w:sz w:val="22"/>
          <w:szCs w:val="22"/>
          <w:u w:val="single"/>
        </w:rPr>
        <w:t>draudimas rūkyti (vartoti tabako gaminius), kuris nuo 2008 m. liepos 5 d. buvo papildytas ir lošimo namų (kazino) patalpomis, yra absoliutus</w:t>
      </w:r>
      <w:r w:rsidRPr="007D3F98">
        <w:rPr>
          <w:rFonts w:asciiTheme="minorHAnsi" w:hAnsiTheme="minorHAnsi" w:cstheme="minorHAnsi"/>
          <w:sz w:val="22"/>
          <w:szCs w:val="22"/>
        </w:rPr>
        <w:t xml:space="preserve">. </w:t>
      </w:r>
    </w:p>
    <w:p w14:paraId="065E35E7" w14:textId="7E95A50A" w:rsidR="00FF07C3" w:rsidRPr="007D3F98" w:rsidRDefault="00FF07C3" w:rsidP="00FF07C3">
      <w:pPr>
        <w:ind w:firstLine="567"/>
        <w:jc w:val="both"/>
        <w:rPr>
          <w:rFonts w:asciiTheme="minorHAnsi" w:hAnsiTheme="minorHAnsi" w:cstheme="minorHAnsi"/>
          <w:sz w:val="22"/>
          <w:szCs w:val="22"/>
        </w:rPr>
      </w:pPr>
      <w:r w:rsidRPr="007D3F98">
        <w:rPr>
          <w:rFonts w:asciiTheme="minorHAnsi" w:hAnsiTheme="minorHAnsi" w:cstheme="minorHAnsi"/>
          <w:sz w:val="22"/>
          <w:szCs w:val="22"/>
        </w:rPr>
        <w:t>Tokio vertinimo nepaneigia to paties įstatymo 19 straipsnio 4 dalis, be kita ko, nustatan</w:t>
      </w:r>
      <w:r w:rsidR="00C07736" w:rsidRPr="007D3F98">
        <w:rPr>
          <w:rFonts w:asciiTheme="minorHAnsi" w:hAnsiTheme="minorHAnsi" w:cstheme="minorHAnsi"/>
          <w:sz w:val="22"/>
          <w:szCs w:val="22"/>
        </w:rPr>
        <w:t>ti</w:t>
      </w:r>
      <w:r w:rsidRPr="007D3F98">
        <w:rPr>
          <w:rFonts w:asciiTheme="minorHAnsi" w:hAnsiTheme="minorHAnsi" w:cstheme="minorHAnsi"/>
          <w:sz w:val="22"/>
          <w:szCs w:val="22"/>
        </w:rPr>
        <w:t>, kad „juridinio asmens valdymo organai privalo užtikrinti, &lt;...&gt; kad matomose vietose būtų iškabinti įspėjamieji užrašai ar ženklai apie draudimą rūkyti, įrengtos specialios rūkymui skirtos patalpos (vietos) ir iškabinti jas n</w:t>
      </w:r>
      <w:r w:rsidR="009F2273" w:rsidRPr="007D3F98">
        <w:rPr>
          <w:rFonts w:asciiTheme="minorHAnsi" w:hAnsiTheme="minorHAnsi" w:cstheme="minorHAnsi"/>
          <w:sz w:val="22"/>
          <w:szCs w:val="22"/>
        </w:rPr>
        <w:t xml:space="preserve">urodantys užrašai ar ženklai.“ </w:t>
      </w:r>
      <w:r w:rsidRPr="007D3F98">
        <w:rPr>
          <w:rFonts w:asciiTheme="minorHAnsi" w:hAnsiTheme="minorHAnsi" w:cstheme="minorHAnsi"/>
          <w:sz w:val="22"/>
          <w:szCs w:val="22"/>
        </w:rPr>
        <w:t xml:space="preserve">Kaip pažymėjo teisėjų kolegija, aptariamo </w:t>
      </w:r>
      <w:r w:rsidRPr="007D3F98">
        <w:rPr>
          <w:rFonts w:asciiTheme="minorHAnsi" w:hAnsiTheme="minorHAnsi" w:cstheme="minorHAnsi"/>
          <w:sz w:val="22"/>
          <w:szCs w:val="22"/>
          <w:u w:val="single"/>
        </w:rPr>
        <w:t>įstatymo 19 straipsnio 4 dalies norma yra taikoma tiems atvejams, kurių specialiai nereglamentuoja 19 straipsnio 1 dalies nuostatos, todėl 19 straipsnio 1 dalyje įtvirtintų draudimų, jeigu šiems draudimams įstatymų leidėjas nėra specialiai nustatęs aiškios išimties, negalima nepaisyti</w:t>
      </w:r>
      <w:r w:rsidRPr="007D3F98">
        <w:rPr>
          <w:rFonts w:asciiTheme="minorHAnsi" w:hAnsiTheme="minorHAnsi" w:cstheme="minorHAnsi"/>
          <w:sz w:val="22"/>
          <w:szCs w:val="22"/>
        </w:rPr>
        <w:t xml:space="preserve">. Todėl </w:t>
      </w:r>
      <w:r w:rsidRPr="007D3F98">
        <w:rPr>
          <w:rFonts w:asciiTheme="minorHAnsi" w:hAnsiTheme="minorHAnsi" w:cstheme="minorHAnsi"/>
          <w:sz w:val="22"/>
          <w:szCs w:val="22"/>
          <w:u w:val="single"/>
        </w:rPr>
        <w:t>Tabako kontrolės įstatymo 19 straipsnio 4 dalies norma dėl specialios rūkymui skirtos patalpos (vietos) įrengimo lošimo namų (kazino) atveju netaikoma</w:t>
      </w:r>
      <w:r w:rsidRPr="007D3F98">
        <w:rPr>
          <w:rFonts w:asciiTheme="minorHAnsi" w:hAnsiTheme="minorHAnsi" w:cstheme="minorHAnsi"/>
          <w:sz w:val="22"/>
          <w:szCs w:val="22"/>
        </w:rPr>
        <w:t xml:space="preserve">. </w:t>
      </w:r>
    </w:p>
    <w:p w14:paraId="6746874D" w14:textId="77777777" w:rsidR="00FF07C3" w:rsidRPr="007D3F98" w:rsidRDefault="00FF07C3" w:rsidP="00FF07C3">
      <w:pPr>
        <w:ind w:firstLine="567"/>
        <w:jc w:val="both"/>
        <w:rPr>
          <w:rFonts w:asciiTheme="minorHAnsi" w:hAnsiTheme="minorHAnsi" w:cstheme="minorHAnsi"/>
          <w:sz w:val="22"/>
          <w:szCs w:val="22"/>
        </w:rPr>
      </w:pPr>
      <w:r w:rsidRPr="007D3F98">
        <w:rPr>
          <w:rFonts w:asciiTheme="minorHAnsi" w:hAnsiTheme="minorHAnsi" w:cstheme="minorHAnsi"/>
          <w:sz w:val="22"/>
          <w:szCs w:val="22"/>
        </w:rPr>
        <w:t>Pareiškėjas teigė, jog ginčo rūkymo patalpa įrengta ne lošimo namuose (kazino), t. y. kad patalpa nepatenka į Lošimų priežiūros tarnybos direktoriaus išduotame leidime atidaryti lošimo namus nurodytą patalpą, ir kad rūkymo patalpoje nevyksta lošimai.</w:t>
      </w:r>
    </w:p>
    <w:p w14:paraId="17C19182" w14:textId="40B2AA23" w:rsidR="00FF07C3" w:rsidRPr="007D3F98" w:rsidRDefault="00FF07C3" w:rsidP="00FF07C3">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Tačiau LVAT pirmiausia pažymėjo, kad Lošimų priežiūros tarnybos direktoriaus išduotame leidime nurodytos patalpos yra aktualios azartinių lošimų, o ne tabako gaminių vartojimo priežiūrai ir kontrolei vykdyti. Todėl </w:t>
      </w:r>
      <w:r w:rsidRPr="007D3F98">
        <w:rPr>
          <w:rFonts w:asciiTheme="minorHAnsi" w:hAnsiTheme="minorHAnsi" w:cstheme="minorHAnsi"/>
          <w:sz w:val="22"/>
          <w:szCs w:val="22"/>
          <w:u w:val="single"/>
        </w:rPr>
        <w:t>tai, kad ginčo rūkymo patalpos nepatenka į leidime atidaryti lošimo namus nurodytą patalpą, savaime nereiškia, kad jose netaikomas Tabako kontrolės įstatymo 19 straipsnio 1 dalies 5 punkte įtvirtintas draudimas</w:t>
      </w:r>
      <w:r w:rsidRPr="007D3F98">
        <w:rPr>
          <w:rFonts w:asciiTheme="minorHAnsi" w:hAnsiTheme="minorHAnsi" w:cstheme="minorHAnsi"/>
          <w:sz w:val="22"/>
          <w:szCs w:val="22"/>
        </w:rPr>
        <w:t>. Nagrinėtu atveju to paties pastato dalyje buvo įrengt</w:t>
      </w:r>
      <w:r w:rsidR="00C07736" w:rsidRPr="007D3F98">
        <w:rPr>
          <w:rFonts w:asciiTheme="minorHAnsi" w:hAnsiTheme="minorHAnsi" w:cstheme="minorHAnsi"/>
          <w:sz w:val="22"/>
          <w:szCs w:val="22"/>
        </w:rPr>
        <w:t>os</w:t>
      </w:r>
      <w:r w:rsidRPr="007D3F98">
        <w:rPr>
          <w:rFonts w:asciiTheme="minorHAnsi" w:hAnsiTheme="minorHAnsi" w:cstheme="minorHAnsi"/>
          <w:sz w:val="22"/>
          <w:szCs w:val="22"/>
        </w:rPr>
        <w:t xml:space="preserve"> ginčo rūkymo patalpos, į kurias galima patekti tik iš lošimo patalpų, todėl pašaliniams asmenims (ne lošimo namų lankytojams) jos nėra pasiekiamos. Be to</w:t>
      </w:r>
      <w:r w:rsidR="00C07736" w:rsidRPr="007D3F98">
        <w:rPr>
          <w:rFonts w:asciiTheme="minorHAnsi" w:hAnsiTheme="minorHAnsi" w:cstheme="minorHAnsi"/>
          <w:sz w:val="22"/>
          <w:szCs w:val="22"/>
        </w:rPr>
        <w:t>,</w:t>
      </w:r>
      <w:r w:rsidRPr="007D3F98">
        <w:rPr>
          <w:rFonts w:asciiTheme="minorHAnsi" w:hAnsiTheme="minorHAnsi" w:cstheme="minorHAnsi"/>
          <w:sz w:val="22"/>
          <w:szCs w:val="22"/>
        </w:rPr>
        <w:t xml:space="preserve"> rūkymo patalpos nuo lošimo patalpų nebuvo niekaip atribotos – vizualia ir funkcine prasme jos buvo lošimo patalpų tęsinys, o iš byloje pateiktų fotonuotraukų netgi matyti, kad patalpose buvo įrengtas lošimo stalas. Todėl LVAT sprendė, kad tokios rūkymo patalpos yra akivaizdžiai susijusios su lošimo namų patalpomis ir yra skirtos naudotis būtent lošimo namų klientams ir yra neatsiejama lošimo namų, kaip įstaigos, dalis. Kadangi, kaip minėta, galimybė lošimo namuose (kazino) įrengti specialias rūkymo patalpas neįtvirtinta, tokios patalpos įrengimas pagrįstai laikyta</w:t>
      </w:r>
      <w:r w:rsidR="00C07736" w:rsidRPr="007D3F98">
        <w:rPr>
          <w:rFonts w:asciiTheme="minorHAnsi" w:hAnsiTheme="minorHAnsi" w:cstheme="minorHAnsi"/>
          <w:sz w:val="22"/>
          <w:szCs w:val="22"/>
        </w:rPr>
        <w:t xml:space="preserve">s įstatymo nuostatų pažeidimu. </w:t>
      </w:r>
    </w:p>
    <w:p w14:paraId="77F7D75A" w14:textId="77777777" w:rsidR="00FF07C3" w:rsidRPr="007D3F98" w:rsidRDefault="00FF07C3" w:rsidP="00FF07C3">
      <w:pPr>
        <w:tabs>
          <w:tab w:val="left" w:pos="284"/>
        </w:tabs>
        <w:ind w:firstLine="567"/>
        <w:jc w:val="both"/>
        <w:rPr>
          <w:rFonts w:asciiTheme="minorHAnsi" w:hAnsiTheme="minorHAnsi" w:cstheme="minorHAnsi"/>
          <w:sz w:val="22"/>
          <w:szCs w:val="22"/>
        </w:rPr>
      </w:pPr>
      <w:r w:rsidRPr="007D3F98">
        <w:rPr>
          <w:rFonts w:asciiTheme="minorHAnsi" w:hAnsiTheme="minorHAnsi" w:cstheme="minorHAnsi"/>
          <w:sz w:val="22"/>
          <w:szCs w:val="22"/>
        </w:rPr>
        <w:lastRenderedPageBreak/>
        <w:t>LVAT pareiškėjo apeliacinį skundą atmetė ir paliko galioti pirmosios instancijos teismo sprendimą, kuriuo pripažinta, kad bauda buvo skirta pagrįstai.</w:t>
      </w:r>
    </w:p>
    <w:p w14:paraId="7A0DA18F" w14:textId="77777777" w:rsidR="00FF07C3" w:rsidRPr="007D3F98" w:rsidRDefault="00FF07C3" w:rsidP="00FF07C3">
      <w:pPr>
        <w:ind w:firstLine="567"/>
        <w:jc w:val="both"/>
        <w:rPr>
          <w:rFonts w:asciiTheme="minorHAnsi" w:hAnsiTheme="minorHAnsi" w:cstheme="minorHAnsi"/>
          <w:sz w:val="22"/>
          <w:szCs w:val="22"/>
        </w:rPr>
      </w:pPr>
    </w:p>
    <w:p w14:paraId="77FBF38A" w14:textId="77777777" w:rsidR="00FF07C3" w:rsidRPr="007D3F98" w:rsidRDefault="00FF07C3" w:rsidP="00FF07C3">
      <w:pPr>
        <w:jc w:val="both"/>
        <w:rPr>
          <w:rFonts w:asciiTheme="minorHAnsi" w:hAnsiTheme="minorHAnsi" w:cstheme="minorHAnsi"/>
          <w:sz w:val="22"/>
          <w:szCs w:val="22"/>
        </w:rPr>
      </w:pPr>
      <w:r w:rsidRPr="007D3F98">
        <w:rPr>
          <w:rFonts w:asciiTheme="minorHAnsi" w:hAnsiTheme="minorHAnsi" w:cstheme="minorHAnsi"/>
          <w:sz w:val="22"/>
          <w:szCs w:val="22"/>
        </w:rPr>
        <w:t>2019 m. lapkričio 5 d. nutartis administracinėje byloje Nr. A-1113-261/2019</w:t>
      </w:r>
    </w:p>
    <w:p w14:paraId="17BAFA6F" w14:textId="77777777" w:rsidR="00FF07C3" w:rsidRPr="007D3F98" w:rsidRDefault="00FF07C3" w:rsidP="00FF07C3">
      <w:pPr>
        <w:jc w:val="both"/>
        <w:rPr>
          <w:rFonts w:asciiTheme="minorHAnsi" w:hAnsiTheme="minorHAnsi" w:cstheme="minorHAnsi"/>
          <w:sz w:val="22"/>
          <w:szCs w:val="22"/>
        </w:rPr>
      </w:pPr>
      <w:r w:rsidRPr="007D3F98">
        <w:rPr>
          <w:rFonts w:asciiTheme="minorHAnsi" w:hAnsiTheme="minorHAnsi" w:cstheme="minorHAnsi"/>
          <w:sz w:val="22"/>
          <w:szCs w:val="22"/>
        </w:rPr>
        <w:t>Teisminio proceso Nr. 3-61-3-03017-2017-4</w:t>
      </w:r>
    </w:p>
    <w:p w14:paraId="7B262D31" w14:textId="77777777" w:rsidR="00FF07C3" w:rsidRPr="007D3F98" w:rsidRDefault="00FF07C3" w:rsidP="00FF07C3">
      <w:pPr>
        <w:jc w:val="both"/>
        <w:rPr>
          <w:rFonts w:asciiTheme="minorHAnsi" w:hAnsiTheme="minorHAnsi" w:cstheme="minorHAnsi"/>
          <w:sz w:val="22"/>
          <w:szCs w:val="22"/>
        </w:rPr>
      </w:pPr>
      <w:r w:rsidRPr="007D3F98">
        <w:rPr>
          <w:rFonts w:asciiTheme="minorHAnsi" w:hAnsiTheme="minorHAnsi" w:cstheme="minorHAnsi"/>
          <w:sz w:val="22"/>
          <w:szCs w:val="22"/>
        </w:rPr>
        <w:t>Procesinio sprendimo kategorija 34.1</w:t>
      </w:r>
    </w:p>
    <w:p w14:paraId="02A0ABD6" w14:textId="77777777" w:rsidR="00FF07C3" w:rsidRPr="007D3F98" w:rsidRDefault="00854B2C" w:rsidP="00FF07C3">
      <w:pPr>
        <w:jc w:val="both"/>
        <w:rPr>
          <w:rFonts w:asciiTheme="minorHAnsi" w:hAnsiTheme="minorHAnsi" w:cstheme="minorHAnsi"/>
          <w:sz w:val="22"/>
          <w:szCs w:val="22"/>
        </w:rPr>
      </w:pPr>
      <w:hyperlink r:id="rId21" w:history="1">
        <w:r w:rsidR="00FF07C3" w:rsidRPr="007D3F98">
          <w:rPr>
            <w:rStyle w:val="Hipersaitas"/>
            <w:rFonts w:asciiTheme="minorHAnsi" w:hAnsiTheme="minorHAnsi" w:cstheme="minorHAnsi"/>
            <w:sz w:val="22"/>
            <w:szCs w:val="22"/>
          </w:rPr>
          <w:t>Prieiga internete</w:t>
        </w:r>
      </w:hyperlink>
    </w:p>
    <w:p w14:paraId="0859414F" w14:textId="77777777" w:rsidR="00FF07C3" w:rsidRPr="007D3F98" w:rsidRDefault="00FF07C3" w:rsidP="00496E0E">
      <w:pPr>
        <w:rPr>
          <w:rFonts w:asciiTheme="minorHAnsi" w:hAnsiTheme="minorHAnsi" w:cstheme="minorHAnsi"/>
        </w:rPr>
      </w:pPr>
    </w:p>
    <w:p w14:paraId="2E05E254" w14:textId="77777777" w:rsidR="00C06D59" w:rsidRPr="007D3F98" w:rsidRDefault="00C06D59" w:rsidP="00C06D59">
      <w:pPr>
        <w:pStyle w:val="Antrat1"/>
        <w:rPr>
          <w:rFonts w:ascii="Calibri" w:eastAsia="Calibri" w:hAnsi="Calibri"/>
          <w:bCs/>
          <w:color w:val="000000"/>
          <w:lang w:eastAsia="en-US"/>
        </w:rPr>
      </w:pPr>
      <w:bookmarkStart w:id="63" w:name="_Toc774949"/>
      <w:bookmarkStart w:id="64" w:name="_Toc29392711"/>
      <w:r w:rsidRPr="007D3F98">
        <w:rPr>
          <w:rFonts w:ascii="Calibri" w:eastAsia="Calibri" w:hAnsi="Calibri"/>
          <w:bCs/>
          <w:color w:val="000000"/>
          <w:lang w:eastAsia="en-US"/>
        </w:rPr>
        <w:t>41. Kiti ginčai viešojo administravimo srityje</w:t>
      </w:r>
      <w:bookmarkEnd w:id="63"/>
      <w:bookmarkEnd w:id="64"/>
    </w:p>
    <w:p w14:paraId="32C88B68" w14:textId="77777777" w:rsidR="00C06D59" w:rsidRPr="007D3F98" w:rsidRDefault="00C06D59" w:rsidP="00C06D59">
      <w:pPr>
        <w:jc w:val="both"/>
        <w:rPr>
          <w:rFonts w:ascii="Calibri" w:eastAsia="Calibri" w:hAnsi="Calibri"/>
          <w:color w:val="000000"/>
          <w:sz w:val="22"/>
          <w:szCs w:val="22"/>
          <w:lang w:eastAsia="en-US"/>
        </w:rPr>
      </w:pPr>
    </w:p>
    <w:p w14:paraId="4C2D27CB" w14:textId="603A6689" w:rsidR="00C06D59" w:rsidRPr="00EA636A" w:rsidRDefault="00EA636A" w:rsidP="00EA636A">
      <w:pPr>
        <w:pStyle w:val="Antrat2"/>
      </w:pPr>
      <w:bookmarkStart w:id="65" w:name="_Toc29392712"/>
      <w:r w:rsidRPr="00EA636A">
        <w:t>Dėl galimos diskriminacijos politinių pažiūrų pagrindu teikiant kandidatūrą į Lietuvos kultūros tarybos narių susirinkimą</w:t>
      </w:r>
      <w:bookmarkEnd w:id="65"/>
    </w:p>
    <w:p w14:paraId="3B7C729B" w14:textId="77777777" w:rsidR="00EA636A" w:rsidRPr="007D3F98" w:rsidRDefault="00EA636A" w:rsidP="00EA636A">
      <w:pPr>
        <w:jc w:val="both"/>
        <w:rPr>
          <w:rFonts w:ascii="Calibri" w:eastAsia="Calibri" w:hAnsi="Calibri" w:cs="Calibri"/>
          <w:color w:val="000000"/>
          <w:sz w:val="22"/>
          <w:szCs w:val="22"/>
          <w:lang w:eastAsia="en-US"/>
        </w:rPr>
      </w:pPr>
    </w:p>
    <w:p w14:paraId="2363A729" w14:textId="0A72CB7E" w:rsidR="00C06D59" w:rsidRPr="007D3F98" w:rsidRDefault="00C06D59" w:rsidP="00C06D59">
      <w:pPr>
        <w:ind w:firstLine="567"/>
        <w:jc w:val="both"/>
        <w:rPr>
          <w:rFonts w:ascii="Calibri" w:eastAsia="Calibri" w:hAnsi="Calibri" w:cs="Calibri"/>
          <w:color w:val="000000"/>
          <w:sz w:val="22"/>
          <w:szCs w:val="22"/>
          <w:lang w:eastAsia="en-US"/>
        </w:rPr>
      </w:pPr>
      <w:r w:rsidRPr="007D3F98">
        <w:rPr>
          <w:rFonts w:ascii="Calibri" w:eastAsia="Calibri" w:hAnsi="Calibri" w:cs="Calibri"/>
          <w:color w:val="000000"/>
          <w:sz w:val="22"/>
          <w:szCs w:val="22"/>
          <w:lang w:eastAsia="en-US"/>
        </w:rPr>
        <w:t>Pareiškėjas kreipėsi į teismą, prašydamas panaikinti Lygių galimybių kontrolieriaus atsisakymą nagrinėti jo skundą</w:t>
      </w:r>
      <w:r w:rsidR="00947F6D">
        <w:rPr>
          <w:rFonts w:ascii="Calibri" w:eastAsia="Calibri" w:hAnsi="Calibri" w:cs="Calibri"/>
          <w:color w:val="000000"/>
          <w:sz w:val="22"/>
          <w:szCs w:val="22"/>
          <w:lang w:eastAsia="en-US"/>
        </w:rPr>
        <w:t xml:space="preserve"> bei</w:t>
      </w:r>
      <w:r w:rsidRPr="007D3F98">
        <w:rPr>
          <w:rFonts w:ascii="Calibri" w:eastAsia="Calibri" w:hAnsi="Calibri" w:cs="Calibri"/>
          <w:color w:val="000000"/>
          <w:sz w:val="22"/>
          <w:szCs w:val="22"/>
          <w:lang w:eastAsia="en-US"/>
        </w:rPr>
        <w:t xml:space="preserve"> įpareigoti atsakovą išnagrinėti </w:t>
      </w:r>
      <w:r w:rsidR="00947F6D">
        <w:rPr>
          <w:rFonts w:ascii="Calibri" w:eastAsia="Calibri" w:hAnsi="Calibri" w:cs="Calibri"/>
          <w:color w:val="000000"/>
          <w:sz w:val="22"/>
          <w:szCs w:val="22"/>
          <w:lang w:eastAsia="en-US"/>
        </w:rPr>
        <w:t>šį</w:t>
      </w:r>
      <w:r w:rsidR="00947F6D" w:rsidRPr="007D3F98">
        <w:rPr>
          <w:rFonts w:ascii="Calibri" w:eastAsia="Calibri" w:hAnsi="Calibri" w:cs="Calibri"/>
          <w:color w:val="000000"/>
          <w:sz w:val="22"/>
          <w:szCs w:val="22"/>
          <w:lang w:eastAsia="en-US"/>
        </w:rPr>
        <w:t xml:space="preserve"> </w:t>
      </w:r>
      <w:r w:rsidRPr="007D3F98">
        <w:rPr>
          <w:rFonts w:ascii="Calibri" w:eastAsia="Calibri" w:hAnsi="Calibri" w:cs="Calibri"/>
          <w:color w:val="000000"/>
          <w:sz w:val="22"/>
          <w:szCs w:val="22"/>
          <w:lang w:eastAsia="en-US"/>
        </w:rPr>
        <w:t xml:space="preserve">skundą. Pirmosios instancijos teismas sprendimu pareiškėjo skundą atmetė. Teismas nurodė, jog nagrinėtu atveju kilo klausimas, ar kultūros ministro priimamas sprendimas, kuriuo iš rinkėjų pasiūlytų 20 kandidatų atrenkami 10 kandidatų į Lietuvos kultūros tarybos sudėtį, patenka į </w:t>
      </w:r>
      <w:r w:rsidR="008A0BA2" w:rsidRPr="007D3F98">
        <w:rPr>
          <w:rFonts w:ascii="Calibri" w:eastAsia="Calibri" w:hAnsi="Calibri" w:cs="Calibri"/>
          <w:color w:val="000000"/>
          <w:sz w:val="22"/>
          <w:szCs w:val="22"/>
          <w:lang w:eastAsia="en-US"/>
        </w:rPr>
        <w:t xml:space="preserve">Lygių galimybių įstatymo </w:t>
      </w:r>
      <w:r w:rsidRPr="007D3F98">
        <w:rPr>
          <w:rFonts w:ascii="Calibri" w:eastAsia="Calibri" w:hAnsi="Calibri" w:cs="Calibri"/>
          <w:color w:val="000000"/>
          <w:sz w:val="22"/>
          <w:szCs w:val="22"/>
          <w:lang w:eastAsia="en-US"/>
        </w:rPr>
        <w:t>7 straipsnio (taip pat 2000 m. lapkričio 27 d. Tarybos di</w:t>
      </w:r>
      <w:r w:rsidR="008A0BA2" w:rsidRPr="007D3F98">
        <w:rPr>
          <w:rFonts w:ascii="Calibri" w:eastAsia="Calibri" w:hAnsi="Calibri" w:cs="Calibri"/>
          <w:color w:val="000000"/>
          <w:sz w:val="22"/>
          <w:szCs w:val="22"/>
          <w:lang w:eastAsia="en-US"/>
        </w:rPr>
        <w:t xml:space="preserve">rektyvos 2000/78/EB (toliau – </w:t>
      </w:r>
      <w:r w:rsidRPr="007D3F98">
        <w:rPr>
          <w:rFonts w:ascii="Calibri" w:eastAsia="Calibri" w:hAnsi="Calibri" w:cs="Calibri"/>
          <w:color w:val="000000"/>
          <w:sz w:val="22"/>
          <w:szCs w:val="22"/>
          <w:lang w:eastAsia="en-US"/>
        </w:rPr>
        <w:t xml:space="preserve">Direktyva 2000/78) 3 straipsnio 1 dalies) taikymo sritį, t. y. ar toks sprendimas gali būti prilyginamas asmens priėmimui į darbą ar valstybės tarnybą. Pirmosios instancijos teismo vertinimu, asmenys, siekiantys tapti susirinkimo nariais, nerealizuoja savo teisių užimtumo ar profesinėje srityje, ir jie negali būti prilyginami „darbo jėgai“ Direktyvos 2000/78 taikymo prasme, atitinkamai, jų rinkimo procedūra nepatenka į užimtumo ir profesinę sritį. </w:t>
      </w:r>
    </w:p>
    <w:p w14:paraId="41108804" w14:textId="0E23F322" w:rsidR="00C06D59" w:rsidRPr="007D3F98" w:rsidRDefault="00947F6D" w:rsidP="00C06D59">
      <w:pPr>
        <w:ind w:firstLine="567"/>
        <w:jc w:val="both"/>
        <w:rPr>
          <w:rFonts w:ascii="Calibri" w:eastAsia="Calibri" w:hAnsi="Calibri" w:cs="Calibri"/>
          <w:color w:val="000000"/>
          <w:sz w:val="22"/>
          <w:szCs w:val="22"/>
          <w:lang w:eastAsia="en-US"/>
        </w:rPr>
      </w:pPr>
      <w:r>
        <w:rPr>
          <w:rFonts w:ascii="Calibri" w:eastAsia="Calibri" w:hAnsi="Calibri" w:cs="Calibri"/>
          <w:color w:val="000000"/>
          <w:sz w:val="22"/>
          <w:szCs w:val="22"/>
          <w:lang w:eastAsia="en-US"/>
        </w:rPr>
        <w:t>Šiomis aplinkybėmis b</w:t>
      </w:r>
      <w:r w:rsidR="00C06D59" w:rsidRPr="007D3F98">
        <w:rPr>
          <w:rFonts w:ascii="Calibri" w:eastAsia="Calibri" w:hAnsi="Calibri" w:cs="Calibri"/>
          <w:color w:val="000000"/>
          <w:sz w:val="22"/>
          <w:szCs w:val="22"/>
          <w:lang w:eastAsia="en-US"/>
        </w:rPr>
        <w:t xml:space="preserve">ylą nagrinėjusi </w:t>
      </w:r>
      <w:r w:rsidR="008A0BA2" w:rsidRPr="007D3F98">
        <w:rPr>
          <w:rFonts w:ascii="Calibri" w:eastAsia="Calibri" w:hAnsi="Calibri" w:cs="Calibri"/>
          <w:color w:val="000000"/>
          <w:sz w:val="22"/>
          <w:szCs w:val="22"/>
          <w:lang w:eastAsia="en-US"/>
        </w:rPr>
        <w:t>LVAT</w:t>
      </w:r>
      <w:r w:rsidR="00C06D59" w:rsidRPr="007D3F98">
        <w:rPr>
          <w:rFonts w:ascii="Calibri" w:eastAsia="Calibri" w:hAnsi="Calibri" w:cs="Calibri"/>
          <w:color w:val="000000"/>
          <w:sz w:val="22"/>
          <w:szCs w:val="22"/>
          <w:lang w:eastAsia="en-US"/>
        </w:rPr>
        <w:t xml:space="preserve"> teisėjų kolegija sprendė, ar susiklosčiusi situacija patenka į Lygių galimybių įstatymo 7 straipsnio 1 punkto nuostat</w:t>
      </w:r>
      <w:r>
        <w:rPr>
          <w:rFonts w:ascii="Calibri" w:eastAsia="Calibri" w:hAnsi="Calibri" w:cs="Calibri"/>
          <w:color w:val="000000"/>
          <w:sz w:val="22"/>
          <w:szCs w:val="22"/>
          <w:lang w:eastAsia="en-US"/>
        </w:rPr>
        <w:t>os taikymo sritį</w:t>
      </w:r>
      <w:r w:rsidR="00C06D59" w:rsidRPr="007D3F98">
        <w:rPr>
          <w:rFonts w:ascii="Calibri" w:eastAsia="Calibri" w:hAnsi="Calibri" w:cs="Calibri"/>
          <w:color w:val="000000"/>
          <w:sz w:val="22"/>
          <w:szCs w:val="22"/>
          <w:lang w:eastAsia="en-US"/>
        </w:rPr>
        <w:t xml:space="preserve">, </w:t>
      </w:r>
      <w:r>
        <w:rPr>
          <w:rFonts w:ascii="Calibri" w:eastAsia="Calibri" w:hAnsi="Calibri" w:cs="Calibri"/>
          <w:color w:val="000000"/>
          <w:sz w:val="22"/>
          <w:szCs w:val="22"/>
          <w:lang w:eastAsia="en-US"/>
        </w:rPr>
        <w:t>įtvirtinusi</w:t>
      </w:r>
      <w:r w:rsidR="00EA636A">
        <w:rPr>
          <w:rFonts w:ascii="Calibri" w:eastAsia="Calibri" w:hAnsi="Calibri" w:cs="Calibri"/>
          <w:color w:val="000000"/>
          <w:sz w:val="22"/>
          <w:szCs w:val="22"/>
          <w:lang w:eastAsia="en-US"/>
        </w:rPr>
        <w:t>os</w:t>
      </w:r>
      <w:r>
        <w:rPr>
          <w:rFonts w:ascii="Calibri" w:eastAsia="Calibri" w:hAnsi="Calibri" w:cs="Calibri"/>
          <w:color w:val="000000"/>
          <w:sz w:val="22"/>
          <w:szCs w:val="22"/>
          <w:lang w:eastAsia="en-US"/>
        </w:rPr>
        <w:t xml:space="preserve">, </w:t>
      </w:r>
      <w:r w:rsidR="00C06D59" w:rsidRPr="007D3F98">
        <w:rPr>
          <w:rFonts w:ascii="Calibri" w:eastAsia="Calibri" w:hAnsi="Calibri" w:cs="Calibri"/>
          <w:color w:val="000000"/>
          <w:sz w:val="22"/>
          <w:szCs w:val="22"/>
          <w:lang w:eastAsia="en-US"/>
        </w:rPr>
        <w:t xml:space="preserve">kad įgyvendindamas lygias galimybes darbdavys privalo, neatsižvelgdamas, </w:t>
      </w:r>
      <w:r w:rsidR="00C06D59" w:rsidRPr="007D3F98">
        <w:rPr>
          <w:rFonts w:ascii="Calibri" w:eastAsia="Calibri" w:hAnsi="Calibri" w:cs="Calibri"/>
          <w:i/>
          <w:iCs/>
          <w:color w:val="000000"/>
          <w:sz w:val="22"/>
          <w:szCs w:val="22"/>
          <w:lang w:eastAsia="en-US"/>
        </w:rPr>
        <w:t>inter alia</w:t>
      </w:r>
      <w:r w:rsidR="00C06D59" w:rsidRPr="007D3F98">
        <w:rPr>
          <w:rFonts w:ascii="Calibri" w:eastAsia="Calibri" w:hAnsi="Calibri" w:cs="Calibri"/>
          <w:color w:val="000000"/>
          <w:sz w:val="22"/>
          <w:szCs w:val="22"/>
          <w:lang w:eastAsia="en-US"/>
        </w:rPr>
        <w:t xml:space="preserve"> (be kita ko), į įsitikinimus ir pažiūras, priimdamas į darbą, valstybės tarnybą, taikyti vienodus atrankos kriterijus ir sąlygas. </w:t>
      </w:r>
    </w:p>
    <w:p w14:paraId="323EDD2B" w14:textId="46401945" w:rsidR="00C06D59" w:rsidRPr="007D3F98" w:rsidRDefault="00C06D59" w:rsidP="00C06D59">
      <w:pPr>
        <w:ind w:firstLine="567"/>
        <w:jc w:val="both"/>
        <w:rPr>
          <w:rFonts w:ascii="Calibri" w:eastAsia="Calibri" w:hAnsi="Calibri" w:cs="Calibri"/>
          <w:color w:val="000000"/>
          <w:sz w:val="22"/>
          <w:szCs w:val="22"/>
          <w:lang w:eastAsia="en-US"/>
        </w:rPr>
      </w:pPr>
      <w:r w:rsidRPr="007D3F98">
        <w:rPr>
          <w:rFonts w:ascii="Calibri" w:eastAsia="Calibri" w:hAnsi="Calibri" w:cs="Calibri"/>
          <w:color w:val="000000"/>
          <w:sz w:val="22"/>
          <w:szCs w:val="22"/>
          <w:lang w:eastAsia="en-US"/>
        </w:rPr>
        <w:t xml:space="preserve">Teisėjų kolegija, vertindama Lygių galimybių įstatymo, juo įgyvendinamos Direktyvos 2000/78 nuostatas, atsižvelgė į jas aiškinančią </w:t>
      </w:r>
      <w:r w:rsidR="008A0BA2" w:rsidRPr="007D3F98">
        <w:rPr>
          <w:rFonts w:ascii="Calibri" w:eastAsia="Calibri" w:hAnsi="Calibri" w:cs="Calibri"/>
          <w:color w:val="000000"/>
          <w:sz w:val="22"/>
          <w:szCs w:val="22"/>
          <w:lang w:eastAsia="en-US"/>
        </w:rPr>
        <w:t>ESTT</w:t>
      </w:r>
      <w:r w:rsidRPr="007D3F98">
        <w:rPr>
          <w:rFonts w:ascii="Calibri" w:eastAsia="Calibri" w:hAnsi="Calibri" w:cs="Calibri"/>
          <w:color w:val="000000"/>
          <w:sz w:val="22"/>
          <w:szCs w:val="22"/>
          <w:lang w:eastAsia="en-US"/>
        </w:rPr>
        <w:t xml:space="preserve"> praktiką. LVAT pažymėjo, jog </w:t>
      </w:r>
      <w:r w:rsidR="008A0BA2" w:rsidRPr="007D3F98">
        <w:rPr>
          <w:rFonts w:ascii="Calibri" w:eastAsia="Calibri" w:hAnsi="Calibri" w:cs="Calibri"/>
          <w:color w:val="000000"/>
          <w:sz w:val="22"/>
          <w:szCs w:val="22"/>
          <w:lang w:eastAsia="en-US"/>
        </w:rPr>
        <w:t>ESTT</w:t>
      </w:r>
      <w:r w:rsidRPr="007D3F98">
        <w:rPr>
          <w:rFonts w:ascii="Calibri" w:eastAsia="Calibri" w:hAnsi="Calibri" w:cs="Calibri"/>
          <w:color w:val="000000"/>
          <w:sz w:val="22"/>
          <w:szCs w:val="22"/>
          <w:lang w:eastAsia="en-US"/>
        </w:rPr>
        <w:t xml:space="preserve"> yra nurodęs, kad iš </w:t>
      </w:r>
      <w:r w:rsidRPr="007D3F98">
        <w:rPr>
          <w:rFonts w:ascii="Calibri" w:eastAsia="Calibri" w:hAnsi="Calibri" w:cs="Calibri"/>
          <w:color w:val="000000"/>
          <w:sz w:val="22"/>
          <w:szCs w:val="22"/>
          <w:u w:val="single"/>
          <w:lang w:eastAsia="en-US"/>
        </w:rPr>
        <w:t>Direktyvos 2000/78</w:t>
      </w:r>
      <w:r w:rsidR="008A0BA2" w:rsidRPr="007D3F98">
        <w:rPr>
          <w:rFonts w:ascii="Calibri" w:eastAsia="Calibri" w:hAnsi="Calibri" w:cs="Calibri"/>
          <w:color w:val="000000"/>
          <w:sz w:val="22"/>
          <w:szCs w:val="22"/>
          <w:lang w:eastAsia="en-US"/>
        </w:rPr>
        <w:t xml:space="preserve"> 3 </w:t>
      </w:r>
      <w:r w:rsidRPr="007D3F98">
        <w:rPr>
          <w:rFonts w:ascii="Calibri" w:eastAsia="Calibri" w:hAnsi="Calibri" w:cs="Calibri"/>
          <w:color w:val="000000"/>
          <w:sz w:val="22"/>
          <w:szCs w:val="22"/>
          <w:lang w:eastAsia="en-US"/>
        </w:rPr>
        <w:t xml:space="preserve">straipsnio 1 dalies a punkto matyti, kad ji </w:t>
      </w:r>
      <w:r w:rsidRPr="007D3F98">
        <w:rPr>
          <w:rFonts w:ascii="Calibri" w:eastAsia="Calibri" w:hAnsi="Calibri" w:cs="Calibri"/>
          <w:color w:val="000000"/>
          <w:sz w:val="22"/>
          <w:szCs w:val="22"/>
          <w:u w:val="single"/>
          <w:lang w:eastAsia="en-US"/>
        </w:rPr>
        <w:t>taikoma visiems asmenims tiek valstybiniame, tiek privačiame sektoriuje, įskaitant valstybines įstaigas, įsidarbinant, savarankiškai įsidarbinant ar profesinėje srityje, kiek tai susiję, be kita ko, su atrankos kriterijais ir priėmimo į darbą sąlygomis</w:t>
      </w:r>
      <w:r w:rsidRPr="007D3F98">
        <w:rPr>
          <w:rFonts w:ascii="Calibri" w:eastAsia="Calibri" w:hAnsi="Calibri" w:cs="Calibri"/>
          <w:color w:val="000000"/>
          <w:sz w:val="22"/>
          <w:szCs w:val="22"/>
          <w:lang w:eastAsia="en-US"/>
        </w:rPr>
        <w:t xml:space="preserve">. Direktyva 2000/78 </w:t>
      </w:r>
      <w:r w:rsidRPr="007D3F98">
        <w:rPr>
          <w:rFonts w:ascii="Calibri" w:eastAsia="Calibri" w:hAnsi="Calibri" w:cs="Calibri"/>
          <w:color w:val="000000"/>
          <w:sz w:val="22"/>
          <w:szCs w:val="22"/>
          <w:u w:val="single"/>
          <w:lang w:eastAsia="en-US"/>
        </w:rPr>
        <w:t>gali būti taikoma ir tokioms situacijoms įsidarbinimo srityje, kurios susijusios su pareiškimais „dėl galimybės įsidarbinti“, net ir tais atvejais, kai pareiškimus padaro asmuo neturintis įgaliojimų lemti bendrovės įdarbinimo politiką arba įpareigoti atitinkamą įstaigą, ar jai atstovauti įdarbinimo procese</w:t>
      </w:r>
      <w:r w:rsidRPr="007D3F98">
        <w:rPr>
          <w:rFonts w:ascii="Calibri" w:eastAsia="Calibri" w:hAnsi="Calibri" w:cs="Calibri"/>
          <w:color w:val="000000"/>
          <w:sz w:val="22"/>
          <w:szCs w:val="22"/>
          <w:lang w:eastAsia="en-US"/>
        </w:rPr>
        <w:t xml:space="preserve">. </w:t>
      </w:r>
    </w:p>
    <w:p w14:paraId="30B77AB0" w14:textId="074096DD" w:rsidR="00C06D59" w:rsidRPr="00947F6D" w:rsidRDefault="00C06D59" w:rsidP="00947F6D">
      <w:pPr>
        <w:ind w:firstLine="567"/>
        <w:jc w:val="both"/>
        <w:rPr>
          <w:rFonts w:ascii="Calibri" w:eastAsia="Calibri" w:hAnsi="Calibri" w:cs="Calibri"/>
          <w:color w:val="000000"/>
          <w:sz w:val="22"/>
          <w:szCs w:val="22"/>
          <w:u w:val="single"/>
          <w:lang w:eastAsia="en-US"/>
        </w:rPr>
      </w:pPr>
      <w:r w:rsidRPr="007D3F98">
        <w:rPr>
          <w:rFonts w:ascii="Calibri" w:eastAsia="Calibri" w:hAnsi="Calibri" w:cs="Calibri"/>
          <w:color w:val="000000"/>
          <w:sz w:val="22"/>
          <w:szCs w:val="22"/>
          <w:lang w:eastAsia="en-US"/>
        </w:rPr>
        <w:t xml:space="preserve">LVAT teisėjų kolegija pažymėjo, jog </w:t>
      </w:r>
      <w:r w:rsidRPr="007D3F98">
        <w:rPr>
          <w:rFonts w:ascii="Calibri" w:eastAsia="Calibri" w:hAnsi="Calibri" w:cs="Calibri"/>
          <w:color w:val="000000"/>
          <w:sz w:val="22"/>
          <w:szCs w:val="22"/>
          <w:u w:val="single"/>
          <w:lang w:eastAsia="en-US"/>
        </w:rPr>
        <w:t>Lygių galimybių įstatymo 7 straipsnyje nėra nurodyta, kad sąvoka „darbas“ apima tik darbą pagal darbo sutartį</w:t>
      </w:r>
      <w:r w:rsidR="00947F6D">
        <w:rPr>
          <w:rFonts w:ascii="Calibri" w:eastAsia="Calibri" w:hAnsi="Calibri" w:cs="Calibri"/>
          <w:color w:val="000000"/>
          <w:sz w:val="22"/>
          <w:szCs w:val="22"/>
          <w:u w:val="single"/>
          <w:lang w:eastAsia="en-US"/>
        </w:rPr>
        <w:t>. J</w:t>
      </w:r>
      <w:r w:rsidRPr="007D3F98">
        <w:rPr>
          <w:rFonts w:ascii="Calibri" w:eastAsia="Calibri" w:hAnsi="Calibri" w:cs="Calibri"/>
          <w:color w:val="000000"/>
          <w:sz w:val="22"/>
          <w:szCs w:val="22"/>
          <w:u w:val="single"/>
          <w:lang w:eastAsia="en-US"/>
        </w:rPr>
        <w:t>i gali būti suprantama ir kaip apimanti įvairią veiklą, kuri savo esme nėra valstybės tarnyba</w:t>
      </w:r>
      <w:r w:rsidRPr="007D3F98">
        <w:rPr>
          <w:rFonts w:ascii="Calibri" w:eastAsia="Calibri" w:hAnsi="Calibri" w:cs="Calibri"/>
          <w:color w:val="000000"/>
          <w:sz w:val="22"/>
          <w:szCs w:val="22"/>
          <w:lang w:eastAsia="en-US"/>
        </w:rPr>
        <w:t>. Teisėjų kolegija</w:t>
      </w:r>
      <w:r w:rsidR="00947F6D">
        <w:rPr>
          <w:rFonts w:ascii="Calibri" w:eastAsia="Calibri" w:hAnsi="Calibri" w:cs="Calibri"/>
          <w:color w:val="000000"/>
          <w:sz w:val="22"/>
          <w:szCs w:val="22"/>
          <w:lang w:eastAsia="en-US"/>
        </w:rPr>
        <w:t>,</w:t>
      </w:r>
      <w:r w:rsidRPr="007D3F98">
        <w:rPr>
          <w:rFonts w:ascii="Calibri" w:eastAsia="Calibri" w:hAnsi="Calibri" w:cs="Calibri"/>
          <w:color w:val="000000"/>
          <w:sz w:val="22"/>
          <w:szCs w:val="22"/>
          <w:lang w:eastAsia="en-US"/>
        </w:rPr>
        <w:t xml:space="preserve"> </w:t>
      </w:r>
      <w:r w:rsidR="00947F6D" w:rsidRPr="00947F6D">
        <w:rPr>
          <w:rFonts w:ascii="Calibri" w:eastAsia="Calibri" w:hAnsi="Calibri" w:cs="Calibri"/>
          <w:color w:val="000000"/>
          <w:sz w:val="22"/>
          <w:szCs w:val="22"/>
          <w:lang w:eastAsia="en-US"/>
        </w:rPr>
        <w:t>pasiremdama Lietuvos Aukščiausiojo Teismo praktika dėl darbo santykių požymių</w:t>
      </w:r>
      <w:r w:rsidR="00947F6D">
        <w:rPr>
          <w:rFonts w:ascii="Calibri" w:eastAsia="Calibri" w:hAnsi="Calibri" w:cs="Calibri"/>
          <w:color w:val="000000"/>
          <w:sz w:val="22"/>
          <w:szCs w:val="22"/>
          <w:lang w:eastAsia="en-US"/>
        </w:rPr>
        <w:t>,</w:t>
      </w:r>
      <w:r w:rsidR="00947F6D" w:rsidRPr="00947F6D">
        <w:rPr>
          <w:rFonts w:ascii="Calibri" w:eastAsia="Calibri" w:hAnsi="Calibri" w:cs="Calibri"/>
          <w:color w:val="000000"/>
          <w:sz w:val="22"/>
          <w:szCs w:val="22"/>
          <w:lang w:eastAsia="en-US"/>
        </w:rPr>
        <w:t xml:space="preserve"> priėjo prie išvados</w:t>
      </w:r>
      <w:r w:rsidRPr="007D3F98">
        <w:rPr>
          <w:rFonts w:ascii="Calibri" w:eastAsia="Calibri" w:hAnsi="Calibri" w:cs="Calibri"/>
          <w:color w:val="000000"/>
          <w:sz w:val="22"/>
          <w:szCs w:val="22"/>
          <w:lang w:eastAsia="en-US"/>
        </w:rPr>
        <w:t xml:space="preserve">, kad teisiniai santykiai kvalifikuojami ne pagal jų išorinį įforminimą, tačiau pagal jų turinį. Taigi, siekiant įvertinti, ar Lietuvos kultūros tarybos nario veikla galėtų būti vertinama kaip darbas (užimtumas, profesinė veikla), tikslinga analizuoti Lietuvos kultūros tarybos nario veiklos požymių visumą. Teisėjų kolegijos vertinimu, </w:t>
      </w:r>
      <w:r w:rsidRPr="007D3F98">
        <w:rPr>
          <w:rFonts w:ascii="Calibri" w:eastAsia="Calibri" w:hAnsi="Calibri" w:cs="Calibri"/>
          <w:color w:val="000000"/>
          <w:sz w:val="22"/>
          <w:szCs w:val="22"/>
          <w:u w:val="single"/>
          <w:lang w:eastAsia="en-US"/>
        </w:rPr>
        <w:t>tarp Lietuvos kultūros tarybos nario jo įgaliojimų laikotarpiu ir Vyriausybės (kuri savo įgaliojimus atrankos procese realizuoja per Kultūros ministeriją) susiklosto nuolatinio pobūdžio, tęstiniai, pavaldumu grįsti santykiai savo esme atitinkantys darbo santykių požymius, todėl jie laikytini darbu (užimtumu, profesine veikla) Lygių galimybių įstatymo 7 straipsnio prasme</w:t>
      </w:r>
      <w:r w:rsidRPr="007D3F98">
        <w:rPr>
          <w:rFonts w:ascii="Calibri" w:eastAsia="Calibri" w:hAnsi="Calibri" w:cs="Calibri"/>
          <w:color w:val="000000"/>
          <w:sz w:val="22"/>
          <w:szCs w:val="22"/>
          <w:lang w:eastAsia="en-US"/>
        </w:rPr>
        <w:t xml:space="preserve">. </w:t>
      </w:r>
    </w:p>
    <w:p w14:paraId="09EA7108" w14:textId="30B82E54" w:rsidR="00C06D59" w:rsidRPr="007D3F98" w:rsidRDefault="00C06D59" w:rsidP="00C06D59">
      <w:pPr>
        <w:ind w:firstLine="567"/>
        <w:jc w:val="both"/>
        <w:rPr>
          <w:rFonts w:ascii="Calibri" w:eastAsia="Calibri" w:hAnsi="Calibri"/>
          <w:color w:val="000000"/>
          <w:sz w:val="22"/>
          <w:szCs w:val="22"/>
          <w:lang w:eastAsia="en-US"/>
        </w:rPr>
      </w:pPr>
      <w:r w:rsidRPr="007D3F98">
        <w:rPr>
          <w:rFonts w:ascii="Calibri" w:eastAsia="Calibri" w:hAnsi="Calibri"/>
          <w:color w:val="000000"/>
          <w:sz w:val="22"/>
          <w:szCs w:val="22"/>
          <w:lang w:eastAsia="en-US"/>
        </w:rPr>
        <w:t xml:space="preserve">LVAT sprendimu pirmosios instancijos teismo sprendimas panaikintas ir priimtas naujas sprendimas –Lygių galimybių kontrolieriaus atsisakymas nagrinėti pareiškėjo skundą </w:t>
      </w:r>
      <w:r w:rsidR="008A0BA2" w:rsidRPr="007D3F98">
        <w:rPr>
          <w:rFonts w:ascii="Calibri" w:eastAsia="Calibri" w:hAnsi="Calibri"/>
          <w:color w:val="000000"/>
          <w:sz w:val="22"/>
          <w:szCs w:val="22"/>
          <w:lang w:eastAsia="en-US"/>
        </w:rPr>
        <w:t xml:space="preserve">panaikintas </w:t>
      </w:r>
      <w:r w:rsidRPr="007D3F98">
        <w:rPr>
          <w:rFonts w:ascii="Calibri" w:eastAsia="Calibri" w:hAnsi="Calibri"/>
          <w:color w:val="000000"/>
          <w:sz w:val="22"/>
          <w:szCs w:val="22"/>
          <w:lang w:eastAsia="en-US"/>
        </w:rPr>
        <w:t>ir atsakovas įpareigotas išnagrinėti pareiškėjo skundą.</w:t>
      </w:r>
    </w:p>
    <w:p w14:paraId="01FEF123" w14:textId="77777777" w:rsidR="00C06D59" w:rsidRPr="007D3F98" w:rsidRDefault="00C06D59" w:rsidP="00C06D59">
      <w:pPr>
        <w:jc w:val="both"/>
        <w:rPr>
          <w:rFonts w:ascii="Calibri" w:eastAsia="Calibri" w:hAnsi="Calibri"/>
          <w:color w:val="000000"/>
          <w:sz w:val="22"/>
          <w:szCs w:val="22"/>
          <w:lang w:eastAsia="en-US"/>
        </w:rPr>
      </w:pPr>
    </w:p>
    <w:p w14:paraId="2C758C28" w14:textId="77777777" w:rsidR="00C06D59" w:rsidRPr="007D3F98" w:rsidRDefault="00C06D59" w:rsidP="00C06D59">
      <w:pPr>
        <w:jc w:val="both"/>
        <w:rPr>
          <w:rFonts w:ascii="Calibri" w:eastAsia="Calibri" w:hAnsi="Calibri"/>
          <w:color w:val="000000"/>
          <w:sz w:val="22"/>
          <w:szCs w:val="22"/>
          <w:lang w:eastAsia="en-US"/>
        </w:rPr>
      </w:pPr>
      <w:r w:rsidRPr="007D3F98">
        <w:rPr>
          <w:rFonts w:ascii="Calibri" w:eastAsia="Calibri" w:hAnsi="Calibri"/>
          <w:color w:val="000000"/>
          <w:sz w:val="22"/>
          <w:szCs w:val="22"/>
          <w:lang w:eastAsia="en-US"/>
        </w:rPr>
        <w:t>2019 m. lapkričio 5 d. sprendimas administracinėje byloje Nr. eA-949-415/2019</w:t>
      </w:r>
    </w:p>
    <w:p w14:paraId="348E961A" w14:textId="77777777" w:rsidR="00C06D59" w:rsidRPr="007D3F98" w:rsidRDefault="00C06D59" w:rsidP="00C06D59">
      <w:pPr>
        <w:jc w:val="both"/>
        <w:rPr>
          <w:rFonts w:ascii="Calibri" w:eastAsia="Calibri" w:hAnsi="Calibri"/>
          <w:color w:val="000000"/>
          <w:sz w:val="22"/>
          <w:szCs w:val="22"/>
          <w:lang w:eastAsia="en-US"/>
        </w:rPr>
      </w:pPr>
      <w:r w:rsidRPr="007D3F98">
        <w:rPr>
          <w:rFonts w:ascii="Calibri" w:eastAsia="Calibri" w:hAnsi="Calibri"/>
          <w:color w:val="000000"/>
          <w:sz w:val="22"/>
          <w:szCs w:val="22"/>
          <w:lang w:eastAsia="en-US"/>
        </w:rPr>
        <w:t>Teisminio proceso Nr. 3-61-3-02609-2017-0</w:t>
      </w:r>
    </w:p>
    <w:p w14:paraId="5D213D6F" w14:textId="77777777" w:rsidR="00C06D59" w:rsidRPr="007D3F98" w:rsidRDefault="00C06D59" w:rsidP="00C06D59">
      <w:pPr>
        <w:jc w:val="both"/>
        <w:rPr>
          <w:rFonts w:ascii="Calibri" w:eastAsia="Calibri" w:hAnsi="Calibri"/>
          <w:color w:val="000000"/>
          <w:sz w:val="22"/>
          <w:szCs w:val="22"/>
          <w:lang w:eastAsia="en-US"/>
        </w:rPr>
      </w:pPr>
      <w:r w:rsidRPr="007D3F98">
        <w:rPr>
          <w:rFonts w:ascii="Calibri" w:eastAsia="Calibri" w:hAnsi="Calibri"/>
          <w:color w:val="000000"/>
          <w:sz w:val="22"/>
          <w:szCs w:val="22"/>
          <w:lang w:eastAsia="en-US"/>
        </w:rPr>
        <w:t>Procesinio sprendimo kategorija 41</w:t>
      </w:r>
    </w:p>
    <w:p w14:paraId="5F3EAAEE" w14:textId="77777777" w:rsidR="00C06D59" w:rsidRPr="00FE7592" w:rsidRDefault="00854B2C" w:rsidP="00C06D59">
      <w:pPr>
        <w:jc w:val="both"/>
        <w:rPr>
          <w:rStyle w:val="Hipersaitas"/>
          <w:rFonts w:asciiTheme="minorHAnsi" w:hAnsiTheme="minorHAnsi" w:cstheme="minorHAnsi"/>
          <w:sz w:val="22"/>
          <w:szCs w:val="22"/>
        </w:rPr>
      </w:pPr>
      <w:hyperlink r:id="rId22" w:history="1">
        <w:r w:rsidR="00C06D59" w:rsidRPr="00FE7592">
          <w:rPr>
            <w:rStyle w:val="Hipersaitas"/>
            <w:rFonts w:asciiTheme="minorHAnsi" w:hAnsiTheme="minorHAnsi" w:cstheme="minorHAnsi"/>
            <w:sz w:val="22"/>
            <w:szCs w:val="22"/>
          </w:rPr>
          <w:t>Prieiga internete</w:t>
        </w:r>
      </w:hyperlink>
      <w:r w:rsidR="00C06D59" w:rsidRPr="00FE7592">
        <w:rPr>
          <w:rStyle w:val="Hipersaitas"/>
          <w:rFonts w:asciiTheme="minorHAnsi" w:hAnsiTheme="minorHAnsi" w:cstheme="minorHAnsi"/>
          <w:sz w:val="22"/>
          <w:szCs w:val="22"/>
        </w:rPr>
        <w:t xml:space="preserve"> </w:t>
      </w:r>
    </w:p>
    <w:p w14:paraId="5B3841BD" w14:textId="77777777" w:rsidR="00BC1C20" w:rsidRPr="007D3F98" w:rsidRDefault="00BC1C20" w:rsidP="00BC1C20">
      <w:pPr>
        <w:ind w:firstLine="567"/>
        <w:jc w:val="both"/>
        <w:rPr>
          <w:rFonts w:asciiTheme="minorHAnsi" w:hAnsiTheme="minorHAnsi" w:cstheme="minorHAnsi"/>
          <w:i/>
          <w:sz w:val="22"/>
          <w:szCs w:val="22"/>
        </w:rPr>
      </w:pPr>
    </w:p>
    <w:p w14:paraId="183ECC93" w14:textId="77777777" w:rsidR="00BC1C20" w:rsidRPr="007D3F98" w:rsidRDefault="00BC1C20" w:rsidP="00BC1C20">
      <w:pPr>
        <w:pStyle w:val="Antrat2"/>
      </w:pPr>
      <w:bookmarkStart w:id="66" w:name="_Toc29392713"/>
      <w:r w:rsidRPr="007D3F98">
        <w:lastRenderedPageBreak/>
        <w:t>Dėl oro vežėjo pareigos pateikti skrydžio keleivių duomenis</w:t>
      </w:r>
      <w:bookmarkEnd w:id="66"/>
    </w:p>
    <w:p w14:paraId="3C3ADFDF" w14:textId="77777777" w:rsidR="00BC1C20" w:rsidRPr="007D3F98" w:rsidRDefault="00BC1C20" w:rsidP="00BC1C20">
      <w:pPr>
        <w:jc w:val="both"/>
        <w:rPr>
          <w:rFonts w:asciiTheme="minorHAnsi" w:hAnsiTheme="minorHAnsi" w:cstheme="minorHAnsi"/>
          <w:sz w:val="22"/>
          <w:szCs w:val="22"/>
          <w:u w:val="single"/>
        </w:rPr>
      </w:pPr>
    </w:p>
    <w:p w14:paraId="39AB37E4" w14:textId="2EF0BFAB" w:rsidR="00BC1C20" w:rsidRPr="007D3F98" w:rsidRDefault="00BC1C20" w:rsidP="00BC1C20">
      <w:pPr>
        <w:ind w:firstLine="567"/>
        <w:jc w:val="both"/>
        <w:rPr>
          <w:rFonts w:asciiTheme="minorHAnsi" w:hAnsiTheme="minorHAnsi" w:cstheme="minorHAnsi"/>
          <w:sz w:val="22"/>
          <w:szCs w:val="22"/>
        </w:rPr>
      </w:pPr>
      <w:r w:rsidRPr="007D3F98">
        <w:rPr>
          <w:rFonts w:asciiTheme="minorHAnsi" w:hAnsiTheme="minorHAnsi" w:cstheme="minorHAnsi"/>
          <w:sz w:val="22"/>
          <w:szCs w:val="22"/>
        </w:rPr>
        <w:t>Byloje ginčas kilo dėl Policijos departamento Valdybos nutarimo, kuriuo pareiškėjui vežėjui Ryanair skirta bauda už tai, kad</w:t>
      </w:r>
      <w:r w:rsidR="00B61887" w:rsidRPr="007D3F98">
        <w:rPr>
          <w:rFonts w:asciiTheme="minorHAnsi" w:hAnsiTheme="minorHAnsi" w:cstheme="minorHAnsi"/>
          <w:sz w:val="22"/>
          <w:szCs w:val="22"/>
        </w:rPr>
        <w:t xml:space="preserve"> jis,</w:t>
      </w:r>
      <w:r w:rsidRPr="007D3F98">
        <w:rPr>
          <w:rFonts w:asciiTheme="minorHAnsi" w:hAnsiTheme="minorHAnsi" w:cstheme="minorHAnsi"/>
          <w:sz w:val="22"/>
          <w:szCs w:val="22"/>
        </w:rPr>
        <w:t xml:space="preserve"> nepateikdamas bilietų užsakymo ir išvykimo kontrolės, keleivių skrydžio duomenų apie atvykstančius į Lietuvos Respublikos teritoriją oro keliais keleivius, pažeidė Transporto veiklos pagrindų įstatymo 19</w:t>
      </w:r>
      <w:r w:rsidRPr="007D3F98">
        <w:rPr>
          <w:rFonts w:asciiTheme="minorHAnsi" w:hAnsiTheme="minorHAnsi" w:cstheme="minorHAnsi"/>
          <w:sz w:val="22"/>
          <w:szCs w:val="22"/>
          <w:vertAlign w:val="superscript"/>
        </w:rPr>
        <w:t>1</w:t>
      </w:r>
      <w:r w:rsidRPr="007D3F98">
        <w:rPr>
          <w:rFonts w:asciiTheme="minorHAnsi" w:hAnsiTheme="minorHAnsi" w:cstheme="minorHAnsi"/>
          <w:sz w:val="22"/>
          <w:szCs w:val="22"/>
        </w:rPr>
        <w:t xml:space="preserve"> straipsnio 1 dalies reikalavimus. Pirmosios instancijos teismas nusprendė, kad nutarimas yra pagrįstas, tačiau, įvertinęs pareiškėjo veiksmus šalinant teisės akto pažeidimus, vadovaudamasis teisingumo ir proporcingumo principais, baudą sumažino.</w:t>
      </w:r>
    </w:p>
    <w:p w14:paraId="788C0369" w14:textId="7759EAFA" w:rsidR="00BC1C20" w:rsidRPr="007D3F98" w:rsidRDefault="00BC1C20" w:rsidP="00BC1C20">
      <w:pPr>
        <w:ind w:firstLine="567"/>
        <w:jc w:val="both"/>
        <w:rPr>
          <w:rFonts w:asciiTheme="minorHAnsi" w:hAnsiTheme="minorHAnsi" w:cstheme="minorHAnsi"/>
          <w:sz w:val="22"/>
          <w:szCs w:val="22"/>
        </w:rPr>
      </w:pPr>
      <w:r w:rsidRPr="007D3F98">
        <w:rPr>
          <w:rFonts w:asciiTheme="minorHAnsi" w:hAnsiTheme="minorHAnsi" w:cstheme="minorHAnsi"/>
          <w:sz w:val="22"/>
          <w:szCs w:val="22"/>
        </w:rPr>
        <w:t>Išplėstinė teisėjų kolegija, įvertinusi Transporto veiklos pagrindų įstatymo 19</w:t>
      </w:r>
      <w:r w:rsidRPr="007D3F98">
        <w:rPr>
          <w:rFonts w:asciiTheme="minorHAnsi" w:hAnsiTheme="minorHAnsi" w:cstheme="minorHAnsi"/>
          <w:sz w:val="22"/>
          <w:szCs w:val="22"/>
          <w:vertAlign w:val="superscript"/>
        </w:rPr>
        <w:t>1</w:t>
      </w:r>
      <w:r w:rsidRPr="007D3F98">
        <w:rPr>
          <w:rFonts w:asciiTheme="minorHAnsi" w:hAnsiTheme="minorHAnsi" w:cstheme="minorHAnsi"/>
          <w:sz w:val="22"/>
          <w:szCs w:val="22"/>
        </w:rPr>
        <w:t xml:space="preserve"> straipsnio 1 dalies reikalavimus (t. y. vežėjo turimus pateikti duomenis, susijusius su keleivių, bilietų ir mokėjimo duomenimis) ir pareiškėjo nurodomą jų prieštaravimą ES teisiniam reguliavimui, nurodė, kad pareiškėjas Transporto veiklos pagrindų įstatymo 19</w:t>
      </w:r>
      <w:r w:rsidRPr="007D3F98">
        <w:rPr>
          <w:rFonts w:asciiTheme="minorHAnsi" w:hAnsiTheme="minorHAnsi" w:cstheme="minorHAnsi"/>
          <w:sz w:val="22"/>
          <w:szCs w:val="22"/>
          <w:vertAlign w:val="superscript"/>
        </w:rPr>
        <w:t>1</w:t>
      </w:r>
      <w:r w:rsidRPr="007D3F98">
        <w:rPr>
          <w:rFonts w:asciiTheme="minorHAnsi" w:hAnsiTheme="minorHAnsi" w:cstheme="minorHAnsi"/>
          <w:sz w:val="22"/>
          <w:szCs w:val="22"/>
        </w:rPr>
        <w:t xml:space="preserve"> straipsnio 1 dalies nuostatą bei įstatymo 1 priede nurodytą teiktiną informaciją vertina išimtinai vieno ES teisinio instrumento – API direktyvos – kontekste. Tačiau įstatymu ir atskirais jo straipsniais įgyvendinama ne tik 2004 m. balandžio 29 d. Tarybos direktyva 2004/82/EB dėl vežėjų įpareigojimo perduoti keleivių duomenis (</w:t>
      </w:r>
      <w:r w:rsidR="00C16210" w:rsidRPr="007D3F98">
        <w:rPr>
          <w:rFonts w:asciiTheme="minorHAnsi" w:hAnsiTheme="minorHAnsi" w:cstheme="minorHAnsi"/>
          <w:sz w:val="22"/>
          <w:szCs w:val="22"/>
        </w:rPr>
        <w:t xml:space="preserve">toliau – </w:t>
      </w:r>
      <w:r w:rsidRPr="007D3F98">
        <w:rPr>
          <w:rFonts w:asciiTheme="minorHAnsi" w:hAnsiTheme="minorHAnsi" w:cstheme="minorHAnsi"/>
          <w:sz w:val="22"/>
          <w:szCs w:val="22"/>
        </w:rPr>
        <w:t>API direktyva), bet ir kitos ES direktyvos (tarp jų – ir 2016 m. balandžio 27 d. Europos Parlamento ir Tarybos direktyva 2016/681 dėl keleivio duomenų įrašo (PNR) duomenų naudojimo teroristinių nusikaltimų ir sunkių nusikaltimų prevencijos, nustatymo, tyrimo ir patraukimo už juos baudžiamojon atsakomybėn tikslais (</w:t>
      </w:r>
      <w:r w:rsidR="00C16210" w:rsidRPr="007D3F98">
        <w:rPr>
          <w:rFonts w:asciiTheme="minorHAnsi" w:hAnsiTheme="minorHAnsi" w:cstheme="minorHAnsi"/>
          <w:sz w:val="22"/>
          <w:szCs w:val="22"/>
        </w:rPr>
        <w:t xml:space="preserve">toliau – </w:t>
      </w:r>
      <w:r w:rsidRPr="007D3F98">
        <w:rPr>
          <w:rFonts w:asciiTheme="minorHAnsi" w:hAnsiTheme="minorHAnsi" w:cstheme="minorHAnsi"/>
          <w:sz w:val="22"/>
          <w:szCs w:val="22"/>
        </w:rPr>
        <w:t>PNR direktyva).</w:t>
      </w:r>
    </w:p>
    <w:p w14:paraId="2E6BCE54" w14:textId="7FF06292" w:rsidR="00BC1C20" w:rsidRPr="007D3F98" w:rsidRDefault="00BC1C20" w:rsidP="00BC1C20">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Nurodžiusi aktualią </w:t>
      </w:r>
      <w:r w:rsidR="00B61887" w:rsidRPr="007D3F98">
        <w:rPr>
          <w:rFonts w:asciiTheme="minorHAnsi" w:hAnsiTheme="minorHAnsi" w:cstheme="minorHAnsi"/>
          <w:sz w:val="22"/>
          <w:szCs w:val="22"/>
        </w:rPr>
        <w:t>ESTT</w:t>
      </w:r>
      <w:r w:rsidRPr="007D3F98">
        <w:rPr>
          <w:rFonts w:asciiTheme="minorHAnsi" w:hAnsiTheme="minorHAnsi" w:cstheme="minorHAnsi"/>
          <w:sz w:val="22"/>
          <w:szCs w:val="22"/>
        </w:rPr>
        <w:t xml:space="preserve"> praktiką, išplėstinė teisėjų kolegija pabrėžė, kad PNR direktyva numato terminą, kurio pabaigoje ją įgyvendinantys įstatymai ir kiti teisės aktai jau turi būti įsigalioję valstybėse narėse, o ne terminą, nuo kurio valstybės narės turi teisę pradėti taikyti minėtuosius aktus. Taigi, valstybės narės gali prieš direktyvos įgyvendinimo terminą ją perkelti į nacionalinės teisės sistemą, tačiau bet kokiu atveju jos tai turi padaryti tinkamai. Be to, išplėstinė teisėjų kolegija akcentavo, kad pareiškėjas nenurodė jokių ES teisės nuostatų, eksplicitiškai ar implicitiškai draudžiančių valstybei narei priimti nacionalinės teisės normas, įpareigojančias vežėjus teikti bilietų užsakymo ir išvykimo kontrolės, keleivių skrydžio duomenis saugumo užtikrinimo, asmenų gyvybės gynybos bei saugos tikslais, </w:t>
      </w:r>
      <w:r w:rsidRPr="007D3F98">
        <w:rPr>
          <w:rFonts w:asciiTheme="minorHAnsi" w:hAnsiTheme="minorHAnsi" w:cstheme="minorHAnsi"/>
          <w:i/>
          <w:iCs/>
          <w:sz w:val="22"/>
          <w:szCs w:val="22"/>
        </w:rPr>
        <w:t>inter alia</w:t>
      </w:r>
      <w:r w:rsidRPr="007D3F98">
        <w:rPr>
          <w:rFonts w:asciiTheme="minorHAnsi" w:hAnsiTheme="minorHAnsi" w:cstheme="minorHAnsi"/>
          <w:sz w:val="22"/>
          <w:szCs w:val="22"/>
        </w:rPr>
        <w:t xml:space="preserve"> numatytais ir PNR direktyvoje, jei tokiu reguliavimu yra laikomasi ES duomenų apsaugos reikalavimų. Išplėstinė teisėjų kolegija, atsižvelgdama į PNR direktyvos 18 straipsnio 1 dalį bei </w:t>
      </w:r>
      <w:r w:rsidR="00B61887" w:rsidRPr="007D3F98">
        <w:rPr>
          <w:rFonts w:asciiTheme="minorHAnsi" w:hAnsiTheme="minorHAnsi" w:cstheme="minorHAnsi"/>
          <w:sz w:val="22"/>
          <w:szCs w:val="22"/>
        </w:rPr>
        <w:t>ESTT</w:t>
      </w:r>
      <w:r w:rsidRPr="007D3F98">
        <w:rPr>
          <w:rFonts w:asciiTheme="minorHAnsi" w:hAnsiTheme="minorHAnsi" w:cstheme="minorHAnsi"/>
          <w:sz w:val="22"/>
          <w:szCs w:val="22"/>
        </w:rPr>
        <w:t xml:space="preserve"> praktiką, konstatavo, kad </w:t>
      </w:r>
      <w:r w:rsidRPr="007D3F98">
        <w:rPr>
          <w:rFonts w:asciiTheme="minorHAnsi" w:hAnsiTheme="minorHAnsi" w:cstheme="minorHAnsi"/>
          <w:sz w:val="22"/>
          <w:szCs w:val="22"/>
          <w:u w:val="single"/>
        </w:rPr>
        <w:t>pareiškėjas nepagrįstai teigė, jog pareiškėjo pareiga įgaliotai institucijai teikti duomenis galėjo atsirasti tik nuo 2018 m. gegužės 25 d., t. y. galutinio termino, iki kurio valstybės narės turi užtikrinti, kad įsigaliotų įstatymai ir kiti teisės aktai, būtini garantuoti direktyvos laikymąsi</w:t>
      </w:r>
      <w:r w:rsidRPr="007D3F98">
        <w:rPr>
          <w:rFonts w:asciiTheme="minorHAnsi" w:hAnsiTheme="minorHAnsi" w:cstheme="minorHAnsi"/>
          <w:sz w:val="22"/>
          <w:szCs w:val="22"/>
        </w:rPr>
        <w:t>.</w:t>
      </w:r>
    </w:p>
    <w:p w14:paraId="78D737AA" w14:textId="77777777" w:rsidR="00BC1C20" w:rsidRPr="007D3F98" w:rsidRDefault="00BC1C20" w:rsidP="00BC1C20">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Išplėstinė teisėjų kolegija taip pat pažymėjo, kad įstatymų leidėjas, įgyvendindamas tiek API, tiek PNR direktyvas viename teisės akte, ir atsižvelgdamas į tai, kad pagal PNR direktyvą renkami duomenys yra didesnės apimties nei nurodytieji API direktyvoje ir apima API duomenis, numatė duomenų rinkimą vienoje duomenų įrašų sistemoje, technologinėmis priemonėmis atskiriant prieigą prie konkrečių duomenų, ir </w:t>
      </w:r>
      <w:r w:rsidRPr="007D3F98">
        <w:rPr>
          <w:rFonts w:asciiTheme="minorHAnsi" w:hAnsiTheme="minorHAnsi" w:cstheme="minorHAnsi"/>
          <w:sz w:val="22"/>
          <w:szCs w:val="22"/>
          <w:u w:val="single"/>
        </w:rPr>
        <w:t>nėra argumentuotų priežasčių sutikti su pareiškėjo teigimu, kad toks duomenų rinkimas bei tvarkymas vienoje sistemoje nėra galimas</w:t>
      </w:r>
      <w:r w:rsidRPr="007D3F98">
        <w:rPr>
          <w:rFonts w:asciiTheme="minorHAnsi" w:hAnsiTheme="minorHAnsi" w:cstheme="minorHAnsi"/>
          <w:sz w:val="22"/>
          <w:szCs w:val="22"/>
        </w:rPr>
        <w:t>. Be to, iš pareiškėjo prašomi pateikti duomenys apėmė ir API direktyvos 3 straipsnio 2 dalyje nurodytus duomenis (o fakto, jog pagal galiojančius teisės aktus turėjo pareigą teikti API duomenis, pareiškėjas neginčijo), tačiau jų pareiškėjas, nors ir vykdė išorės skrydį, taip pat neteikė.</w:t>
      </w:r>
    </w:p>
    <w:p w14:paraId="737F7C13" w14:textId="6E207EBF" w:rsidR="00BC1C20" w:rsidRPr="007D3F98" w:rsidRDefault="00BC1C20" w:rsidP="00BC1C20">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Vertindama duomenų saugojimo trukmę, išplėstinė teisėjų kolegija nusprendė, kad </w:t>
      </w:r>
      <w:r w:rsidRPr="007D3F98">
        <w:rPr>
          <w:rFonts w:asciiTheme="minorHAnsi" w:hAnsiTheme="minorHAnsi" w:cstheme="minorHAnsi"/>
          <w:sz w:val="22"/>
          <w:szCs w:val="22"/>
          <w:u w:val="single"/>
        </w:rPr>
        <w:t>API duomenys, būdami PNR duomenų, informacinėje sistemoje saugomų 5 metus, sudėtine dali</w:t>
      </w:r>
      <w:r w:rsidR="00A03934" w:rsidRPr="007D3F98">
        <w:rPr>
          <w:rFonts w:asciiTheme="minorHAnsi" w:hAnsiTheme="minorHAnsi" w:cstheme="minorHAnsi"/>
          <w:sz w:val="22"/>
          <w:szCs w:val="22"/>
          <w:u w:val="single"/>
        </w:rPr>
        <w:t>mi, negali būti ištrinami po 24 </w:t>
      </w:r>
      <w:r w:rsidRPr="007D3F98">
        <w:rPr>
          <w:rFonts w:asciiTheme="minorHAnsi" w:hAnsiTheme="minorHAnsi" w:cstheme="minorHAnsi"/>
          <w:sz w:val="22"/>
          <w:szCs w:val="22"/>
          <w:u w:val="single"/>
        </w:rPr>
        <w:t>valandų ir yra nuasmeninami ir užmaskuojami</w:t>
      </w:r>
      <w:r w:rsidR="00A03934" w:rsidRPr="007D3F98">
        <w:rPr>
          <w:rFonts w:asciiTheme="minorHAnsi" w:hAnsiTheme="minorHAnsi" w:cstheme="minorHAnsi"/>
          <w:sz w:val="22"/>
          <w:szCs w:val="22"/>
          <w:u w:val="single"/>
        </w:rPr>
        <w:t xml:space="preserve"> Transporto veiklos pagrindų į</w:t>
      </w:r>
      <w:r w:rsidRPr="007D3F98">
        <w:rPr>
          <w:rFonts w:asciiTheme="minorHAnsi" w:hAnsiTheme="minorHAnsi" w:cstheme="minorHAnsi"/>
          <w:sz w:val="22"/>
          <w:szCs w:val="22"/>
          <w:u w:val="single"/>
        </w:rPr>
        <w:t>statyme numatytais terminais bei tvarka. Be to, pačia API direktyva buvo padaryta išlyga institucijų pare</w:t>
      </w:r>
      <w:r w:rsidR="00C16210" w:rsidRPr="007D3F98">
        <w:rPr>
          <w:rFonts w:asciiTheme="minorHAnsi" w:hAnsiTheme="minorHAnsi" w:cstheme="minorHAnsi"/>
          <w:sz w:val="22"/>
          <w:szCs w:val="22"/>
          <w:u w:val="single"/>
        </w:rPr>
        <w:t>igai panaikinti duomenis per 24 </w:t>
      </w:r>
      <w:r w:rsidRPr="007D3F98">
        <w:rPr>
          <w:rFonts w:asciiTheme="minorHAnsi" w:hAnsiTheme="minorHAnsi" w:cstheme="minorHAnsi"/>
          <w:sz w:val="22"/>
          <w:szCs w:val="22"/>
          <w:u w:val="single"/>
        </w:rPr>
        <w:t>valandas, jei jie reikalingi vėlesnėms už asmenų ties išorinėmis sienomis patikrinimą atsakingų institucijų teisės aktuose nustatytoms funkcijoms atlikti pagal nacionalinius teisės aktus</w:t>
      </w:r>
      <w:r w:rsidRPr="007D3F98">
        <w:rPr>
          <w:rFonts w:asciiTheme="minorHAnsi" w:hAnsiTheme="minorHAnsi" w:cstheme="minorHAnsi"/>
          <w:sz w:val="22"/>
          <w:szCs w:val="22"/>
        </w:rPr>
        <w:t>.</w:t>
      </w:r>
    </w:p>
    <w:p w14:paraId="7CC7E6E6" w14:textId="77777777" w:rsidR="00BC1C20" w:rsidRPr="007D3F98" w:rsidRDefault="00BC1C20" w:rsidP="00BC1C20">
      <w:pPr>
        <w:ind w:firstLine="567"/>
        <w:jc w:val="both"/>
        <w:rPr>
          <w:rFonts w:asciiTheme="minorHAnsi" w:hAnsiTheme="minorHAnsi" w:cstheme="minorHAnsi"/>
          <w:sz w:val="22"/>
          <w:szCs w:val="22"/>
        </w:rPr>
      </w:pPr>
      <w:r w:rsidRPr="007D3F98">
        <w:rPr>
          <w:rFonts w:asciiTheme="minorHAnsi" w:hAnsiTheme="minorHAnsi" w:cstheme="minorHAnsi"/>
          <w:sz w:val="22"/>
          <w:szCs w:val="22"/>
        </w:rPr>
        <w:t>Pareiškėjo apeliacinis skundas atmestas, o pirmosios instancijos teismo sprendimas paliktas nepakeistas.</w:t>
      </w:r>
    </w:p>
    <w:p w14:paraId="1BF20B74" w14:textId="77777777" w:rsidR="00BC1C20" w:rsidRPr="007D3F98" w:rsidRDefault="00BC1C20" w:rsidP="00BC1C20">
      <w:pPr>
        <w:ind w:firstLine="567"/>
        <w:jc w:val="both"/>
        <w:rPr>
          <w:rFonts w:asciiTheme="minorHAnsi" w:hAnsiTheme="minorHAnsi" w:cstheme="minorHAnsi"/>
          <w:color w:val="000000"/>
          <w:sz w:val="22"/>
          <w:szCs w:val="22"/>
          <w:shd w:val="clear" w:color="auto" w:fill="FFFFFF"/>
        </w:rPr>
      </w:pPr>
    </w:p>
    <w:p w14:paraId="2FAE2B65" w14:textId="77777777" w:rsidR="00BC1C20" w:rsidRPr="007D3F98" w:rsidRDefault="00BC1C20" w:rsidP="00BC1C20">
      <w:pPr>
        <w:jc w:val="both"/>
        <w:rPr>
          <w:rFonts w:asciiTheme="minorHAnsi" w:hAnsiTheme="minorHAnsi" w:cstheme="minorHAnsi"/>
          <w:sz w:val="22"/>
          <w:szCs w:val="22"/>
        </w:rPr>
      </w:pPr>
      <w:r w:rsidRPr="007D3F98">
        <w:rPr>
          <w:rFonts w:asciiTheme="minorHAnsi" w:hAnsiTheme="minorHAnsi" w:cstheme="minorHAnsi"/>
          <w:sz w:val="22"/>
          <w:szCs w:val="22"/>
        </w:rPr>
        <w:t>Išplėstinės teisėjų kolegijos 2019 m. lapkričio 25 d. nutartis administracinėje byloje Nr. eA-1724-624/2019</w:t>
      </w:r>
    </w:p>
    <w:p w14:paraId="47C39BC1" w14:textId="77777777" w:rsidR="00BC1C20" w:rsidRPr="007D3F98" w:rsidRDefault="00BC1C20" w:rsidP="00BC1C20">
      <w:pPr>
        <w:jc w:val="both"/>
        <w:rPr>
          <w:rFonts w:asciiTheme="minorHAnsi" w:hAnsiTheme="minorHAnsi" w:cstheme="minorHAnsi"/>
          <w:sz w:val="22"/>
          <w:szCs w:val="22"/>
        </w:rPr>
      </w:pPr>
      <w:r w:rsidRPr="007D3F98">
        <w:rPr>
          <w:rFonts w:asciiTheme="minorHAnsi" w:hAnsiTheme="minorHAnsi" w:cstheme="minorHAnsi"/>
          <w:sz w:val="22"/>
          <w:szCs w:val="22"/>
        </w:rPr>
        <w:t>Teisminio proceso Nr. 3-61-3-00382-2018-7</w:t>
      </w:r>
    </w:p>
    <w:p w14:paraId="363B21B1" w14:textId="0B4D9AA2" w:rsidR="00BC1C20" w:rsidRPr="007D3F98" w:rsidRDefault="00BC1C20" w:rsidP="00BC1C20">
      <w:pPr>
        <w:jc w:val="both"/>
        <w:rPr>
          <w:rFonts w:asciiTheme="minorHAnsi" w:hAnsiTheme="minorHAnsi" w:cstheme="minorHAnsi"/>
          <w:sz w:val="22"/>
          <w:szCs w:val="22"/>
        </w:rPr>
      </w:pPr>
      <w:r w:rsidRPr="007D3F98">
        <w:rPr>
          <w:rFonts w:asciiTheme="minorHAnsi" w:hAnsiTheme="minorHAnsi" w:cstheme="minorHAnsi"/>
          <w:sz w:val="22"/>
          <w:szCs w:val="22"/>
        </w:rPr>
        <w:t xml:space="preserve">Procesinio sprendimo kategorija 41 </w:t>
      </w:r>
    </w:p>
    <w:p w14:paraId="15885054" w14:textId="77777777" w:rsidR="00BC1C20" w:rsidRPr="007D3F98" w:rsidRDefault="00854B2C" w:rsidP="00BC1C20">
      <w:pPr>
        <w:jc w:val="both"/>
        <w:rPr>
          <w:rStyle w:val="Hipersaitas"/>
          <w:rFonts w:asciiTheme="minorHAnsi" w:hAnsiTheme="minorHAnsi" w:cstheme="minorHAnsi"/>
          <w:sz w:val="22"/>
          <w:szCs w:val="22"/>
        </w:rPr>
      </w:pPr>
      <w:hyperlink r:id="rId23" w:history="1">
        <w:r w:rsidR="00BC1C20" w:rsidRPr="007D3F98">
          <w:rPr>
            <w:rStyle w:val="Hipersaitas"/>
            <w:rFonts w:asciiTheme="minorHAnsi" w:hAnsiTheme="minorHAnsi" w:cstheme="minorHAnsi"/>
            <w:sz w:val="22"/>
            <w:szCs w:val="22"/>
          </w:rPr>
          <w:t>Prieiga internete</w:t>
        </w:r>
      </w:hyperlink>
    </w:p>
    <w:p w14:paraId="1FEC9A2D" w14:textId="77777777" w:rsidR="00BC1C20" w:rsidRPr="007D3F98" w:rsidRDefault="00BC1C20" w:rsidP="00496E0E">
      <w:pPr>
        <w:rPr>
          <w:rFonts w:asciiTheme="minorHAnsi" w:hAnsiTheme="minorHAnsi" w:cstheme="minorHAnsi"/>
        </w:rPr>
      </w:pPr>
    </w:p>
    <w:p w14:paraId="15AF86F6" w14:textId="77777777" w:rsidR="00A84D45" w:rsidRPr="007D3F98" w:rsidRDefault="00A84D45" w:rsidP="00496E0E">
      <w:pPr>
        <w:pStyle w:val="Apzvalgai1"/>
        <w:rPr>
          <w:rFonts w:asciiTheme="minorHAnsi" w:hAnsiTheme="minorHAnsi" w:cstheme="minorHAnsi"/>
        </w:rPr>
      </w:pPr>
      <w:bookmarkStart w:id="67" w:name="_Toc519600876"/>
      <w:bookmarkStart w:id="68" w:name="_Toc29392714"/>
      <w:bookmarkEnd w:id="30"/>
      <w:r w:rsidRPr="007D3F98">
        <w:rPr>
          <w:rFonts w:asciiTheme="minorHAnsi" w:hAnsiTheme="minorHAnsi" w:cstheme="minorHAnsi"/>
        </w:rPr>
        <w:t>II. Administracinių bylų teisena</w:t>
      </w:r>
      <w:bookmarkEnd w:id="67"/>
      <w:bookmarkEnd w:id="68"/>
    </w:p>
    <w:p w14:paraId="09D93B8D" w14:textId="77777777" w:rsidR="00D41361" w:rsidRPr="007D3F98" w:rsidRDefault="00D41361" w:rsidP="00496E0E">
      <w:pPr>
        <w:pStyle w:val="Apzvalgai1"/>
        <w:outlineLvl w:val="9"/>
        <w:rPr>
          <w:rFonts w:asciiTheme="minorHAnsi" w:hAnsiTheme="minorHAnsi" w:cstheme="minorHAnsi"/>
        </w:rPr>
      </w:pPr>
    </w:p>
    <w:p w14:paraId="2CCF2B64" w14:textId="7A3E9F6F" w:rsidR="00DA1F5B" w:rsidRPr="007D3F98" w:rsidRDefault="00D41361" w:rsidP="00496E0E">
      <w:pPr>
        <w:pStyle w:val="Antrat1"/>
        <w:rPr>
          <w:rFonts w:asciiTheme="minorHAnsi" w:hAnsiTheme="minorHAnsi" w:cstheme="minorHAnsi"/>
        </w:rPr>
      </w:pPr>
      <w:bookmarkStart w:id="69" w:name="_Toc462150008"/>
      <w:bookmarkStart w:id="70" w:name="_Toc29392715"/>
      <w:r w:rsidRPr="007D3F98">
        <w:rPr>
          <w:rFonts w:asciiTheme="minorHAnsi" w:hAnsiTheme="minorHAnsi" w:cstheme="minorHAnsi"/>
        </w:rPr>
        <w:lastRenderedPageBreak/>
        <w:t>43. Teisė kreiptis į teismą ir jos realizavimas</w:t>
      </w:r>
      <w:bookmarkEnd w:id="9"/>
      <w:bookmarkEnd w:id="10"/>
      <w:bookmarkEnd w:id="69"/>
      <w:bookmarkEnd w:id="70"/>
    </w:p>
    <w:p w14:paraId="0FB95C96" w14:textId="77777777" w:rsidR="004F2950" w:rsidRPr="007D3F98" w:rsidRDefault="004F2950" w:rsidP="004F2950">
      <w:pPr>
        <w:ind w:firstLine="567"/>
        <w:rPr>
          <w:rFonts w:asciiTheme="minorHAnsi" w:hAnsiTheme="minorHAnsi" w:cstheme="minorHAnsi"/>
          <w:b/>
          <w:bCs/>
          <w:sz w:val="22"/>
          <w:szCs w:val="22"/>
          <w:u w:val="single"/>
        </w:rPr>
      </w:pPr>
      <w:r w:rsidRPr="007D3F98">
        <w:rPr>
          <w:rFonts w:asciiTheme="minorHAnsi" w:hAnsiTheme="minorHAnsi" w:cstheme="minorHAnsi"/>
          <w:b/>
          <w:bCs/>
          <w:sz w:val="22"/>
          <w:szCs w:val="22"/>
          <w:u w:val="single"/>
        </w:rPr>
        <w:t>43.5. Atsisakymas priimti skundą</w:t>
      </w:r>
    </w:p>
    <w:p w14:paraId="37A9A457" w14:textId="77777777" w:rsidR="004F2950" w:rsidRPr="007D3F98" w:rsidRDefault="004F2950" w:rsidP="004F2950">
      <w:pPr>
        <w:tabs>
          <w:tab w:val="left" w:pos="1134"/>
        </w:tabs>
        <w:ind w:left="1134"/>
        <w:jc w:val="both"/>
        <w:rPr>
          <w:rFonts w:asciiTheme="minorHAnsi" w:hAnsiTheme="minorHAnsi" w:cstheme="minorHAnsi"/>
          <w:b/>
          <w:bCs/>
          <w:sz w:val="22"/>
          <w:szCs w:val="22"/>
          <w:u w:val="single"/>
        </w:rPr>
      </w:pPr>
      <w:r w:rsidRPr="007D3F98">
        <w:rPr>
          <w:rFonts w:asciiTheme="minorHAnsi" w:hAnsiTheme="minorHAnsi" w:cstheme="minorHAnsi"/>
          <w:b/>
          <w:bCs/>
          <w:sz w:val="22"/>
          <w:szCs w:val="22"/>
          <w:u w:val="single"/>
        </w:rPr>
        <w:t>43.5.2</w:t>
      </w:r>
      <w:r w:rsidR="00EB51BA" w:rsidRPr="007D3F98">
        <w:rPr>
          <w:rFonts w:asciiTheme="minorHAnsi" w:hAnsiTheme="minorHAnsi" w:cstheme="minorHAnsi"/>
          <w:b/>
          <w:bCs/>
          <w:sz w:val="22"/>
          <w:szCs w:val="22"/>
          <w:u w:val="single"/>
        </w:rPr>
        <w:t xml:space="preserve">. </w:t>
      </w:r>
      <w:r w:rsidRPr="007D3F98">
        <w:rPr>
          <w:rFonts w:asciiTheme="minorHAnsi" w:hAnsiTheme="minorHAnsi" w:cstheme="minorHAnsi"/>
          <w:b/>
          <w:bCs/>
          <w:sz w:val="22"/>
          <w:szCs w:val="22"/>
          <w:u w:val="single"/>
        </w:rPr>
        <w:t>Kai byla nepriskirtina tam teismui</w:t>
      </w:r>
    </w:p>
    <w:p w14:paraId="04BB0D69" w14:textId="594498E0" w:rsidR="00EB51BA" w:rsidRPr="007D3F98" w:rsidRDefault="00EB51BA" w:rsidP="00496E0E">
      <w:pPr>
        <w:ind w:left="1560" w:hanging="709"/>
        <w:jc w:val="both"/>
        <w:rPr>
          <w:rFonts w:asciiTheme="minorHAnsi" w:hAnsiTheme="minorHAnsi" w:cstheme="minorHAnsi"/>
          <w:b/>
          <w:bCs/>
          <w:sz w:val="22"/>
          <w:szCs w:val="22"/>
          <w:u w:val="single"/>
        </w:rPr>
      </w:pPr>
    </w:p>
    <w:p w14:paraId="1E961E59" w14:textId="53E84904" w:rsidR="00EB51BA" w:rsidRPr="007D3F98" w:rsidRDefault="00EB51BA" w:rsidP="00496E0E">
      <w:pPr>
        <w:pStyle w:val="Antrat2"/>
      </w:pPr>
      <w:bookmarkStart w:id="71" w:name="_Toc29392716"/>
      <w:r w:rsidRPr="007D3F98">
        <w:t xml:space="preserve">Dėl </w:t>
      </w:r>
      <w:r w:rsidR="009D470B" w:rsidRPr="007D3F98">
        <w:t xml:space="preserve">elektroniniu paštu gauto viešojo administravimo subjekto </w:t>
      </w:r>
      <w:r w:rsidR="002101EB">
        <w:t>pranešimo</w:t>
      </w:r>
      <w:r w:rsidR="009D470B" w:rsidRPr="007D3F98">
        <w:t xml:space="preserve"> apskundimo</w:t>
      </w:r>
      <w:bookmarkEnd w:id="71"/>
    </w:p>
    <w:p w14:paraId="00170BC3" w14:textId="77777777" w:rsidR="00EB51BA" w:rsidRPr="007D3F98" w:rsidRDefault="00EB51BA" w:rsidP="00496E0E">
      <w:pPr>
        <w:jc w:val="both"/>
        <w:rPr>
          <w:rFonts w:asciiTheme="minorHAnsi" w:hAnsiTheme="minorHAnsi" w:cstheme="minorHAnsi"/>
          <w:bCs/>
          <w:sz w:val="22"/>
          <w:szCs w:val="22"/>
        </w:rPr>
      </w:pPr>
    </w:p>
    <w:p w14:paraId="3424530E" w14:textId="11460927" w:rsidR="00F2523D" w:rsidRPr="007D3F98" w:rsidRDefault="00F2523D" w:rsidP="00F2523D">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 xml:space="preserve">Pirmosios instancijos teismas nutarė atsisakyti priimti pareiškėjos skundą kaip nepriskirtiną administracinių teismų kompetencijai, pripažinęs, jog skundžiamas administracinis aktas – Valstybės tarnybos departamento Atrankų skyriaus personalo atrankos specialistės pranešimas apie pasikeitusią prašymo dalyvauti konkurse būseną, t. y. neatitikimą reikalavimų ir neleidimą dalyvauti konkurse, nesukelia pareiškėjai teisinių pasekmių, kadangi elektroniniu paštu siųstas </w:t>
      </w:r>
      <w:r w:rsidRPr="00082855">
        <w:rPr>
          <w:rFonts w:ascii="Calibri" w:eastAsia="Calibri" w:hAnsi="Calibri" w:cs="Calibri"/>
          <w:color w:val="000000"/>
          <w:sz w:val="22"/>
          <w:szCs w:val="22"/>
          <w:shd w:val="clear" w:color="auto" w:fill="FFFFFF"/>
          <w:lang w:eastAsia="en-US"/>
        </w:rPr>
        <w:t>pranešimas</w:t>
      </w:r>
      <w:r w:rsidRPr="007D3F98">
        <w:rPr>
          <w:rFonts w:asciiTheme="minorHAnsi" w:hAnsiTheme="minorHAnsi" w:cstheme="minorHAnsi"/>
          <w:bCs/>
          <w:sz w:val="22"/>
          <w:szCs w:val="22"/>
        </w:rPr>
        <w:t xml:space="preserve"> nei forma, nei turiniu iš esmės neatitinka viešojo administravimo subjekto priimamų sprendimų turinio ir formos, todėl vertintinas kaip informacinio pobūdžio pranešimas. </w:t>
      </w:r>
    </w:p>
    <w:p w14:paraId="43963F25" w14:textId="66692AAF" w:rsidR="00F2523D" w:rsidRPr="007D3F98" w:rsidRDefault="00F2523D" w:rsidP="00927037">
      <w:pPr>
        <w:ind w:firstLine="567"/>
        <w:jc w:val="both"/>
        <w:rPr>
          <w:rFonts w:asciiTheme="minorHAnsi" w:hAnsiTheme="minorHAnsi" w:cstheme="minorHAnsi"/>
          <w:bCs/>
          <w:sz w:val="22"/>
          <w:szCs w:val="22"/>
          <w:u w:val="single"/>
        </w:rPr>
      </w:pPr>
      <w:r w:rsidRPr="007D3F98">
        <w:rPr>
          <w:rFonts w:asciiTheme="minorHAnsi" w:hAnsiTheme="minorHAnsi" w:cstheme="minorHAnsi"/>
          <w:bCs/>
          <w:sz w:val="22"/>
          <w:szCs w:val="22"/>
        </w:rPr>
        <w:t>Teisėjų kolegija, nagrinėdama pareiškėjos atskirąjį skundą, su pirmosios instancijos teismo pozicija nesutiko ir vertino, jog pareiškėjai, pranešus apie tai, jog ji neatitinka keliamų reikalavimų ir negali dalyvauti konkurse, buvo sukeltos teisinės pasekmės – ji prarado teisę dalyvauti konkurse pageidaujamai pozicijai užimti.</w:t>
      </w:r>
      <w:r w:rsidR="00927037" w:rsidRPr="007D3F98">
        <w:rPr>
          <w:rFonts w:asciiTheme="minorHAnsi" w:hAnsiTheme="minorHAnsi" w:cstheme="minorHAnsi"/>
          <w:bCs/>
          <w:sz w:val="22"/>
          <w:szCs w:val="22"/>
        </w:rPr>
        <w:t xml:space="preserve"> </w:t>
      </w:r>
      <w:r w:rsidRPr="007D3F98">
        <w:rPr>
          <w:rFonts w:asciiTheme="minorHAnsi" w:hAnsiTheme="minorHAnsi" w:cstheme="minorHAnsi"/>
          <w:bCs/>
          <w:sz w:val="22"/>
          <w:szCs w:val="22"/>
        </w:rPr>
        <w:t xml:space="preserve">Teisėjų kolegijos vertinimu, </w:t>
      </w:r>
      <w:r w:rsidRPr="007D3F98">
        <w:rPr>
          <w:rFonts w:asciiTheme="minorHAnsi" w:hAnsiTheme="minorHAnsi" w:cstheme="minorHAnsi"/>
          <w:bCs/>
          <w:sz w:val="22"/>
          <w:szCs w:val="22"/>
          <w:u w:val="single"/>
        </w:rPr>
        <w:t>pranešimas apie tai, kad pareiškėja neatitinka reikalavimų ir jai neleidžiama dalyvauti konkurse, yra laikomas teisės aktu Viešojo administravimo įstatymo prasme, nes jame nurodoma, jog pareiškėja negali dalyvauti konkurse, toks sprendimas daro įtaką pareiškėjos teisei dalyvauti konkurse. Taigi tokiam pranešimui nagrinėti taikomas tiek Viešojo administravimo įstatymas, tiek ir ABTĮ.</w:t>
      </w:r>
    </w:p>
    <w:p w14:paraId="41750C59" w14:textId="3EFE448D" w:rsidR="00927037" w:rsidRPr="007D3F98" w:rsidRDefault="00927037" w:rsidP="00927037">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Teisėjų kolegija, atsižvelgdama į tai, kas išdėstyta, konstatavo, kad pirmosios instancijos teismas, priimdamas ginčijamą nutartį, neteisingai aiškino ir taikė proceso teisės normas, reglamentuojančias skundo priėmimą, todėl pareiškėjos atskirasis skundas tenkintas iš dalies, pirmosios instancijos teismo nutartis panaikinta ir pareiškėjos skundo priėmimo klausimas perduotas pirmosios instancijos teismui nagrinėti iš naujo.</w:t>
      </w:r>
    </w:p>
    <w:p w14:paraId="12903605" w14:textId="77777777" w:rsidR="00927037" w:rsidRPr="007D3F98" w:rsidRDefault="00927037" w:rsidP="00927037">
      <w:pPr>
        <w:ind w:firstLine="567"/>
        <w:jc w:val="both"/>
        <w:rPr>
          <w:rFonts w:asciiTheme="minorHAnsi" w:hAnsiTheme="minorHAnsi" w:cstheme="minorHAnsi"/>
          <w:bCs/>
          <w:sz w:val="22"/>
          <w:szCs w:val="22"/>
        </w:rPr>
      </w:pPr>
    </w:p>
    <w:p w14:paraId="1C8BD40E" w14:textId="477F0E20" w:rsidR="00F2523D" w:rsidRPr="007D3F98" w:rsidRDefault="00EB51BA" w:rsidP="00F2523D">
      <w:pPr>
        <w:jc w:val="both"/>
        <w:rPr>
          <w:rFonts w:asciiTheme="minorHAnsi" w:hAnsiTheme="minorHAnsi" w:cstheme="minorHAnsi"/>
          <w:sz w:val="22"/>
          <w:szCs w:val="22"/>
        </w:rPr>
      </w:pPr>
      <w:r w:rsidRPr="007D3F98">
        <w:rPr>
          <w:rFonts w:asciiTheme="minorHAnsi" w:hAnsiTheme="minorHAnsi" w:cstheme="minorHAnsi"/>
          <w:sz w:val="22"/>
          <w:szCs w:val="22"/>
        </w:rPr>
        <w:t xml:space="preserve">2019 m. </w:t>
      </w:r>
      <w:r w:rsidR="00F2523D" w:rsidRPr="007D3F98">
        <w:rPr>
          <w:rFonts w:asciiTheme="minorHAnsi" w:hAnsiTheme="minorHAnsi" w:cstheme="minorHAnsi"/>
          <w:sz w:val="22"/>
          <w:szCs w:val="22"/>
        </w:rPr>
        <w:t>lapkričio 6</w:t>
      </w:r>
      <w:r w:rsidRPr="007D3F98">
        <w:rPr>
          <w:rFonts w:asciiTheme="minorHAnsi" w:hAnsiTheme="minorHAnsi" w:cstheme="minorHAnsi"/>
          <w:sz w:val="22"/>
          <w:szCs w:val="22"/>
        </w:rPr>
        <w:t xml:space="preserve"> d. nutartis administracinėje byloje </w:t>
      </w:r>
      <w:r w:rsidR="00F2523D" w:rsidRPr="007D3F98">
        <w:rPr>
          <w:rFonts w:asciiTheme="minorHAnsi" w:hAnsiTheme="minorHAnsi" w:cstheme="minorHAnsi"/>
          <w:sz w:val="22"/>
          <w:szCs w:val="22"/>
        </w:rPr>
        <w:t>Nr. eAS-687-629/2019</w:t>
      </w:r>
    </w:p>
    <w:p w14:paraId="3B52CF10" w14:textId="77777777" w:rsidR="00F2523D" w:rsidRPr="007D3F98" w:rsidRDefault="00F2523D" w:rsidP="00F2523D">
      <w:pPr>
        <w:jc w:val="both"/>
        <w:rPr>
          <w:rFonts w:asciiTheme="minorHAnsi" w:hAnsiTheme="minorHAnsi" w:cstheme="minorHAnsi"/>
          <w:sz w:val="22"/>
          <w:szCs w:val="22"/>
        </w:rPr>
      </w:pPr>
      <w:r w:rsidRPr="007D3F98">
        <w:rPr>
          <w:rFonts w:asciiTheme="minorHAnsi" w:hAnsiTheme="minorHAnsi" w:cstheme="minorHAnsi"/>
          <w:sz w:val="22"/>
          <w:szCs w:val="22"/>
        </w:rPr>
        <w:t>Teisminio proceso Nr. 3-61-3-03181-2019-8</w:t>
      </w:r>
    </w:p>
    <w:p w14:paraId="72DE7891" w14:textId="7637EE06" w:rsidR="00F2523D" w:rsidRPr="007D3F98" w:rsidRDefault="00F2523D" w:rsidP="00F2523D">
      <w:pPr>
        <w:jc w:val="both"/>
        <w:rPr>
          <w:rFonts w:asciiTheme="minorHAnsi" w:hAnsiTheme="minorHAnsi" w:cstheme="minorHAnsi"/>
          <w:sz w:val="22"/>
          <w:szCs w:val="22"/>
        </w:rPr>
      </w:pPr>
      <w:r w:rsidRPr="007D3F98">
        <w:rPr>
          <w:rFonts w:asciiTheme="minorHAnsi" w:hAnsiTheme="minorHAnsi" w:cstheme="minorHAnsi"/>
          <w:sz w:val="22"/>
          <w:szCs w:val="22"/>
        </w:rPr>
        <w:t>Procesinio sprendimo kategorij</w:t>
      </w:r>
      <w:r w:rsidR="001B216E" w:rsidRPr="007D3F98">
        <w:rPr>
          <w:rFonts w:asciiTheme="minorHAnsi" w:hAnsiTheme="minorHAnsi" w:cstheme="minorHAnsi"/>
          <w:sz w:val="22"/>
          <w:szCs w:val="22"/>
        </w:rPr>
        <w:t>os:</w:t>
      </w:r>
      <w:r w:rsidRPr="007D3F98">
        <w:rPr>
          <w:rFonts w:asciiTheme="minorHAnsi" w:hAnsiTheme="minorHAnsi" w:cstheme="minorHAnsi"/>
          <w:sz w:val="22"/>
          <w:szCs w:val="22"/>
        </w:rPr>
        <w:t xml:space="preserve"> 43.5.2; 49</w:t>
      </w:r>
    </w:p>
    <w:p w14:paraId="6AC1CF34" w14:textId="21EDB4BB" w:rsidR="00EB51BA" w:rsidRPr="007D3F98" w:rsidRDefault="00854B2C" w:rsidP="00F2523D">
      <w:pPr>
        <w:jc w:val="both"/>
        <w:rPr>
          <w:rStyle w:val="Hipersaitas"/>
          <w:rFonts w:asciiTheme="minorHAnsi" w:hAnsiTheme="minorHAnsi" w:cstheme="minorHAnsi"/>
          <w:sz w:val="22"/>
          <w:szCs w:val="22"/>
        </w:rPr>
      </w:pPr>
      <w:hyperlink r:id="rId24" w:history="1">
        <w:r w:rsidR="00EB51BA" w:rsidRPr="007D3F98">
          <w:rPr>
            <w:rStyle w:val="Hipersaitas"/>
            <w:rFonts w:asciiTheme="minorHAnsi" w:hAnsiTheme="minorHAnsi" w:cstheme="minorHAnsi"/>
            <w:sz w:val="22"/>
            <w:szCs w:val="22"/>
          </w:rPr>
          <w:t>Prieiga internete</w:t>
        </w:r>
      </w:hyperlink>
      <w:r w:rsidR="00EB51BA" w:rsidRPr="007D3F98">
        <w:rPr>
          <w:rStyle w:val="Hipersaitas"/>
          <w:rFonts w:asciiTheme="minorHAnsi" w:hAnsiTheme="minorHAnsi" w:cstheme="minorHAnsi"/>
          <w:sz w:val="22"/>
          <w:szCs w:val="22"/>
        </w:rPr>
        <w:t xml:space="preserve"> </w:t>
      </w:r>
    </w:p>
    <w:p w14:paraId="42B3C949" w14:textId="030DF3C4" w:rsidR="007D6493" w:rsidRPr="007D3F98" w:rsidRDefault="007D6493" w:rsidP="00496E0E">
      <w:pPr>
        <w:rPr>
          <w:rFonts w:asciiTheme="minorHAnsi" w:hAnsiTheme="minorHAnsi" w:cstheme="minorHAnsi"/>
          <w:b/>
          <w:sz w:val="22"/>
          <w:szCs w:val="22"/>
        </w:rPr>
      </w:pPr>
    </w:p>
    <w:p w14:paraId="567D9E06" w14:textId="77777777" w:rsidR="00BA46C8" w:rsidRPr="007D3F98" w:rsidRDefault="00BA46C8" w:rsidP="00BA46C8">
      <w:pPr>
        <w:tabs>
          <w:tab w:val="left" w:pos="567"/>
        </w:tabs>
        <w:ind w:firstLine="1134"/>
        <w:jc w:val="both"/>
        <w:rPr>
          <w:rFonts w:ascii="Calibri" w:hAnsi="Calibri"/>
          <w:b/>
          <w:sz w:val="22"/>
          <w:szCs w:val="22"/>
          <w:u w:val="single"/>
        </w:rPr>
      </w:pPr>
      <w:r w:rsidRPr="007D3F98">
        <w:rPr>
          <w:rFonts w:ascii="Calibri" w:hAnsi="Calibri"/>
          <w:b/>
          <w:sz w:val="22"/>
          <w:szCs w:val="22"/>
          <w:u w:val="single"/>
        </w:rPr>
        <w:t>43.5.9. Kai skundas paduotas praleidus nustatytą skundo padavimo terminą ir šis terminas neatnaujinamas</w:t>
      </w:r>
    </w:p>
    <w:p w14:paraId="2C243D9F" w14:textId="23E73906" w:rsidR="00BA46C8" w:rsidRDefault="00BA46C8" w:rsidP="00BA46C8">
      <w:pPr>
        <w:ind w:firstLine="567"/>
        <w:jc w:val="both"/>
        <w:rPr>
          <w:rFonts w:ascii="Calibri" w:eastAsia="Calibri" w:hAnsi="Calibri" w:cs="Calibri"/>
          <w:color w:val="000000"/>
          <w:sz w:val="22"/>
          <w:szCs w:val="22"/>
          <w:shd w:val="clear" w:color="auto" w:fill="FFFFFF"/>
          <w:lang w:eastAsia="en-US"/>
        </w:rPr>
      </w:pPr>
    </w:p>
    <w:p w14:paraId="209DE162" w14:textId="5075E5CC" w:rsidR="002101EB" w:rsidRDefault="002101EB" w:rsidP="002101EB">
      <w:pPr>
        <w:pStyle w:val="Antrat2"/>
      </w:pPr>
      <w:bookmarkStart w:id="72" w:name="_Toc29392717"/>
      <w:r w:rsidRPr="002101EB">
        <w:t>Dėl informavimo apie žemėtvarkos planavimo veiksmus tvarkos reikšmės</w:t>
      </w:r>
      <w:r>
        <w:t>, sprendžiant</w:t>
      </w:r>
      <w:r w:rsidR="00947F6D">
        <w:t xml:space="preserve"> skundo padavimo</w:t>
      </w:r>
      <w:r w:rsidRPr="002101EB">
        <w:t xml:space="preserve"> termino atnaujinimo </w:t>
      </w:r>
      <w:r>
        <w:t>klausimą</w:t>
      </w:r>
      <w:bookmarkEnd w:id="72"/>
    </w:p>
    <w:p w14:paraId="66CEBAF5" w14:textId="77777777" w:rsidR="002101EB" w:rsidRDefault="002101EB" w:rsidP="002101EB">
      <w:pPr>
        <w:jc w:val="both"/>
        <w:rPr>
          <w:rFonts w:ascii="Calibri" w:eastAsia="Calibri" w:hAnsi="Calibri" w:cs="Calibri"/>
          <w:color w:val="000000"/>
          <w:sz w:val="22"/>
          <w:szCs w:val="22"/>
          <w:shd w:val="clear" w:color="auto" w:fill="FFFFFF"/>
          <w:lang w:eastAsia="en-US"/>
        </w:rPr>
      </w:pPr>
      <w:bookmarkStart w:id="73" w:name="p5"/>
    </w:p>
    <w:p w14:paraId="055CD6C1" w14:textId="169B81C9"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Byloje buvo ginčyta pirmosios instancijos teismo nutartis, kuria</w:t>
      </w:r>
      <w:bookmarkEnd w:id="73"/>
      <w:r w:rsidRPr="007D3F98">
        <w:rPr>
          <w:rFonts w:ascii="Calibri" w:eastAsia="Calibri" w:hAnsi="Calibri" w:cs="Calibri"/>
          <w:color w:val="000000"/>
          <w:sz w:val="22"/>
          <w:szCs w:val="22"/>
          <w:shd w:val="clear" w:color="auto" w:fill="FFFFFF"/>
          <w:lang w:eastAsia="en-US"/>
        </w:rPr>
        <w:t xml:space="preserve"> netenkintas pareiškėjos prašymas atnaujinti praleistą skundo padavimo terminą ir atsisakyta priimti pareiškėjos skundą. </w:t>
      </w:r>
    </w:p>
    <w:p w14:paraId="55A7635C" w14:textId="7154A74E"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Byloje nustatyta, kad </w:t>
      </w:r>
      <w:r w:rsidR="009F2273" w:rsidRPr="007D3F98">
        <w:rPr>
          <w:rFonts w:ascii="Calibri" w:eastAsia="Calibri" w:hAnsi="Calibri" w:cs="Calibri"/>
          <w:color w:val="000000"/>
          <w:sz w:val="22"/>
          <w:szCs w:val="22"/>
          <w:shd w:val="clear" w:color="auto" w:fill="FFFFFF"/>
          <w:lang w:eastAsia="en-US"/>
        </w:rPr>
        <w:t>Vilniaus</w:t>
      </w:r>
      <w:r w:rsidR="007C00F0" w:rsidRPr="007D3F98">
        <w:rPr>
          <w:rFonts w:ascii="Calibri" w:eastAsia="Calibri" w:hAnsi="Calibri" w:cs="Calibri"/>
          <w:color w:val="000000"/>
          <w:sz w:val="22"/>
          <w:szCs w:val="22"/>
          <w:shd w:val="clear" w:color="auto" w:fill="FFFFFF"/>
          <w:lang w:eastAsia="en-US"/>
        </w:rPr>
        <w:t xml:space="preserve"> miesto savivaldybės administracijos (toliau – Administracija) </w:t>
      </w:r>
      <w:r w:rsidRPr="007D3F98">
        <w:rPr>
          <w:rFonts w:ascii="Calibri" w:eastAsia="Calibri" w:hAnsi="Calibri" w:cs="Calibri"/>
          <w:color w:val="000000"/>
          <w:sz w:val="22"/>
          <w:szCs w:val="22"/>
          <w:shd w:val="clear" w:color="auto" w:fill="FFFFFF"/>
          <w:lang w:eastAsia="en-US"/>
        </w:rPr>
        <w:t xml:space="preserve">skyrius parengė ir pareiškėjai registruotu laišku išsiuntė 2018 m. rugpjūčio 9 d. raštą, kuriuo informavo apie planuojamą rengti žemės sklypo formavimo ir pertvarkymo projektą, siūlė pareiškėjai pirkti įsiterpusį laisvos valstybinės žemės plotą ir prašė savo valią dėl to pareikšti raštu per 20 darbo dienų nuo šio pranešimo išsiuntimo, taip pat nurodė, kad pareiškėjai nepareiškus dėl to valios bus laikoma, jog siūlymo ji atsisakė. Minėtame rašte Administracija pareiškėją taip pat informavo apie tai, kad visi su žemėtvarkos planavimu susiję veiksmai bus atliekami per </w:t>
      </w:r>
      <w:r w:rsidRPr="007D3F98">
        <w:rPr>
          <w:rFonts w:ascii="Calibri" w:eastAsia="Calibri" w:hAnsi="Calibri"/>
          <w:color w:val="000000"/>
          <w:sz w:val="22"/>
          <w:szCs w:val="22"/>
          <w:lang w:eastAsia="en-US"/>
        </w:rPr>
        <w:t>Žemėtvarkos planavimo dokumentų rengimo i</w:t>
      </w:r>
      <w:r w:rsidR="007C00F0" w:rsidRPr="007D3F98">
        <w:rPr>
          <w:rFonts w:ascii="Calibri" w:eastAsia="Calibri" w:hAnsi="Calibri"/>
          <w:color w:val="000000"/>
          <w:sz w:val="22"/>
          <w:szCs w:val="22"/>
          <w:lang w:eastAsia="en-US"/>
        </w:rPr>
        <w:t xml:space="preserve">nformacinę sistemą (toliau – </w:t>
      </w:r>
      <w:r w:rsidRPr="007D3F98">
        <w:rPr>
          <w:rFonts w:ascii="Calibri" w:eastAsia="Calibri" w:hAnsi="Calibri"/>
          <w:color w:val="000000"/>
          <w:sz w:val="22"/>
          <w:szCs w:val="22"/>
          <w:lang w:eastAsia="en-US"/>
        </w:rPr>
        <w:t>ŽPDRIS)</w:t>
      </w:r>
      <w:r w:rsidRPr="007D3F98">
        <w:rPr>
          <w:rFonts w:ascii="Calibri" w:eastAsia="Calibri" w:hAnsi="Calibri" w:cs="Calibri"/>
          <w:color w:val="000000"/>
          <w:sz w:val="22"/>
          <w:szCs w:val="22"/>
          <w:shd w:val="clear" w:color="auto" w:fill="FFFFFF"/>
          <w:lang w:eastAsia="en-US"/>
        </w:rPr>
        <w:t>. Minėtas raštas pareiškėjai nebuvo įteiktas. Duomenys apie planuojamą rengti žemės sklypo formavimo ir pertvarkymo projektą 2018 m. spalio 5 d. paskelbti Vilniaus miesto savivaldybės internetiniame puslapyje, taip pat 2018 m. rugpjūčio 8 d. perduoti paskelbti Nacionalinės žemės tarnybos prie Žemės ūkio ministerijos interneto puslapyje. Administracijos direktoriaus pavaduotojas 2018 m. lapkričio 19 d. įsakymu nustatė, kad pradedamas rengti teritorijos formavimo ir pertvarkymo projektas. Pareiškėjai 2019 m. rugpjūčio 23 d. įteiktas kvietimas į žemės sklypo ribų ženklinimą. Pareiškėja į teismą kreipėsi siekdama nuginčyti Administracijos direktoriaus pavad</w:t>
      </w:r>
      <w:r w:rsidR="007C00F0" w:rsidRPr="007D3F98">
        <w:rPr>
          <w:rFonts w:ascii="Calibri" w:eastAsia="Calibri" w:hAnsi="Calibri" w:cs="Calibri"/>
          <w:color w:val="000000"/>
          <w:sz w:val="22"/>
          <w:szCs w:val="22"/>
          <w:shd w:val="clear" w:color="auto" w:fill="FFFFFF"/>
          <w:lang w:eastAsia="en-US"/>
        </w:rPr>
        <w:t>uotojo 2018 m. lapkričio 19 d. į</w:t>
      </w:r>
      <w:r w:rsidRPr="007D3F98">
        <w:rPr>
          <w:rFonts w:ascii="Calibri" w:eastAsia="Calibri" w:hAnsi="Calibri" w:cs="Calibri"/>
          <w:color w:val="000000"/>
          <w:sz w:val="22"/>
          <w:szCs w:val="22"/>
          <w:shd w:val="clear" w:color="auto" w:fill="FFFFFF"/>
          <w:lang w:eastAsia="en-US"/>
        </w:rPr>
        <w:t xml:space="preserve">sakymą dėl žemės sklypo ir laisvos valstybinės žemės ploto formavimo ir pertvarkymo projekto rengimo. </w:t>
      </w:r>
    </w:p>
    <w:p w14:paraId="119B9193" w14:textId="5FACF9A6" w:rsidR="00BA46C8" w:rsidRPr="007D3F98" w:rsidRDefault="007C00F0" w:rsidP="00BA46C8">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lastRenderedPageBreak/>
        <w:t>LVAT</w:t>
      </w:r>
      <w:r w:rsidR="00BA46C8" w:rsidRPr="007D3F98">
        <w:rPr>
          <w:rFonts w:ascii="Calibri" w:eastAsia="Calibri" w:hAnsi="Calibri" w:cs="Calibri"/>
          <w:color w:val="000000"/>
          <w:sz w:val="22"/>
          <w:szCs w:val="22"/>
          <w:shd w:val="clear" w:color="auto" w:fill="FFFFFF"/>
          <w:lang w:eastAsia="en-US"/>
        </w:rPr>
        <w:t xml:space="preserve"> teisėjų kolegija, įvertinusi </w:t>
      </w:r>
      <w:r w:rsidR="00BA46C8" w:rsidRPr="007D3F98">
        <w:rPr>
          <w:rFonts w:ascii="Calibri" w:eastAsia="Calibri" w:hAnsi="Calibri"/>
          <w:sz w:val="22"/>
          <w:szCs w:val="22"/>
          <w:lang w:eastAsia="en-US"/>
        </w:rPr>
        <w:t>Lietuvos Respublikos žemės ūkio ministro ir Lietuvos Respublikos aplinkos ministro 2004 m. spalio 4 d. įsakymu Nr. 3D-452/D1-513 patvirtintų Žemės sklypų formavimo ir pertvarkymo projektų rengimo ir įgy</w:t>
      </w:r>
      <w:r w:rsidR="003B1C0B" w:rsidRPr="007D3F98">
        <w:rPr>
          <w:rFonts w:ascii="Calibri" w:eastAsia="Calibri" w:hAnsi="Calibri"/>
          <w:sz w:val="22"/>
          <w:szCs w:val="22"/>
          <w:lang w:eastAsia="en-US"/>
        </w:rPr>
        <w:t xml:space="preserve">vendinimo taisyklių (toliau – </w:t>
      </w:r>
      <w:r w:rsidR="00BA46C8" w:rsidRPr="007D3F98">
        <w:rPr>
          <w:rFonts w:ascii="Calibri" w:eastAsia="Calibri" w:hAnsi="Calibri"/>
          <w:sz w:val="22"/>
          <w:szCs w:val="22"/>
          <w:lang w:eastAsia="en-US"/>
        </w:rPr>
        <w:t>Taisyklės)</w:t>
      </w:r>
      <w:r w:rsidR="00BA46C8" w:rsidRPr="007D3F98">
        <w:rPr>
          <w:rFonts w:ascii="Calibri" w:eastAsia="Calibri" w:hAnsi="Calibri" w:cs="Calibri"/>
          <w:color w:val="000000"/>
          <w:sz w:val="22"/>
          <w:szCs w:val="22"/>
          <w:shd w:val="clear" w:color="auto" w:fill="FFFFFF"/>
          <w:lang w:eastAsia="en-US"/>
        </w:rPr>
        <w:t xml:space="preserve"> (redakcija, galiojusi nuo 2018 m. sausio 1 d. iki 2018 m. gruodžio 6 d.) 17, 20, 21, 56 punktų, Lietuvos Respublikos Vyriausybės 1999 m. birželio 2 d. nutarimo Nr. 692 „Dėl naujų kitos paskirties valstybinės žemės sklypų pardavimo ir nuomos“ 2.15 punkto nuostatas byloje nustatytų aplinkybių kontekste, padarė išvadą, kad </w:t>
      </w:r>
      <w:r w:rsidR="00BA46C8" w:rsidRPr="007D3F98">
        <w:rPr>
          <w:rFonts w:ascii="Calibri" w:eastAsia="Calibri" w:hAnsi="Calibri" w:cs="Calibri"/>
          <w:color w:val="000000"/>
          <w:sz w:val="22"/>
          <w:szCs w:val="22"/>
          <w:u w:val="single"/>
          <w:shd w:val="clear" w:color="auto" w:fill="FFFFFF"/>
          <w:lang w:eastAsia="en-US"/>
        </w:rPr>
        <w:t>su įsiterpusiu laisvu valstybinės žemės sklypu besiribojančių sklypų valdytojus ir naudotojus žemės sklypo formavimo ir pertvarkymo projekto organizatorius (šiuo atveju Administracija) privalo raštu informuoti tik apie planuojamą rengti projektą bei galimybę tapti tokio projekto iniciatoriais, kartu nurodant, kad tolesnės procedūros bus vykdomos per ŽPDRIS bei paaiškinant apie galimybę sekti elektroninių paslaugų, teikiamų ŽPDRIS priemonėmis, būsenų pasikeitimą, gauti šių elektroninių paslaugų rezultatus. Atitinkamai – visi kiti su tokio projekto rengimo, viešinimo, derinimo, tikrinimo ir tvirtinimo procedūromis susiję duomenys yra skelbiami ŽPDRIS</w:t>
      </w:r>
      <w:r w:rsidR="00BA46C8" w:rsidRPr="007D3F98">
        <w:rPr>
          <w:rFonts w:ascii="Calibri" w:eastAsia="Calibri" w:hAnsi="Calibri" w:cs="Calibri"/>
          <w:color w:val="000000"/>
          <w:sz w:val="22"/>
          <w:szCs w:val="22"/>
          <w:shd w:val="clear" w:color="auto" w:fill="FFFFFF"/>
          <w:lang w:eastAsia="en-US"/>
        </w:rPr>
        <w:t xml:space="preserve">. Vadinasi, apie galutinius dėl prašymų parengti žemės sklypų formavimo ir pertvarkymo projektus priimtus sprendimus projekto organizatorius skelbia tik per ŽPDRIS. </w:t>
      </w:r>
    </w:p>
    <w:p w14:paraId="182C5D04" w14:textId="6B977AF3"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Tam, kad iš būsimų ir esamų žemės sklypų formavimo ir pertvarkymo projektų iniciatorių būtų galima reikalauti, kad jie visas su projektu susijusias procedūras stebėtų ŽPDRIS, jie apie tokią galimybę iš anksto turi būti informuoti raštu. </w:t>
      </w:r>
      <w:r w:rsidRPr="007D3F98">
        <w:rPr>
          <w:rFonts w:ascii="Calibri" w:eastAsia="Calibri" w:hAnsi="Calibri" w:cs="Calibri"/>
          <w:color w:val="000000"/>
          <w:sz w:val="22"/>
          <w:szCs w:val="22"/>
          <w:u w:val="single"/>
          <w:shd w:val="clear" w:color="auto" w:fill="FFFFFF"/>
          <w:lang w:eastAsia="en-US"/>
        </w:rPr>
        <w:t>Tik teisės aktais nustatyta tvarka suteikus asmeniui informaciją apie tai, kad nuspręsta rengti tam tikrą žemės sklypo formavimo ir pertvarkymo projektą, kad asmuo gali būti tokio projekto iniciatoriumi ir kad su visomis su projekto rengimu ir tvirtinimu susijusiomis procedūromis bei dėl jo priimtais sprendimais asmuo gali susipažinti ŽPDRIS, tokiam asmeniui atsiranda pareiga būti rūpestingu ir ŽP</w:t>
      </w:r>
      <w:r w:rsidR="002F057A">
        <w:rPr>
          <w:rFonts w:ascii="Calibri" w:eastAsia="Calibri" w:hAnsi="Calibri" w:cs="Calibri"/>
          <w:color w:val="000000"/>
          <w:sz w:val="22"/>
          <w:szCs w:val="22"/>
          <w:u w:val="single"/>
          <w:shd w:val="clear" w:color="auto" w:fill="FFFFFF"/>
          <w:lang w:eastAsia="en-US"/>
        </w:rPr>
        <w:t>D</w:t>
      </w:r>
      <w:r w:rsidRPr="007D3F98">
        <w:rPr>
          <w:rFonts w:ascii="Calibri" w:eastAsia="Calibri" w:hAnsi="Calibri" w:cs="Calibri"/>
          <w:color w:val="000000"/>
          <w:sz w:val="22"/>
          <w:szCs w:val="22"/>
          <w:u w:val="single"/>
          <w:shd w:val="clear" w:color="auto" w:fill="FFFFFF"/>
          <w:lang w:eastAsia="en-US"/>
        </w:rPr>
        <w:t>RIS domėtis žemės sklypo formavimo ir pertvarkymo projekto rengimo eiga</w:t>
      </w:r>
      <w:r w:rsidRPr="007D3F98">
        <w:rPr>
          <w:rFonts w:ascii="Calibri" w:eastAsia="Calibri" w:hAnsi="Calibri" w:cs="Calibri"/>
          <w:color w:val="000000"/>
          <w:sz w:val="22"/>
          <w:szCs w:val="22"/>
          <w:shd w:val="clear" w:color="auto" w:fill="FFFFFF"/>
          <w:lang w:eastAsia="en-US"/>
        </w:rPr>
        <w:t xml:space="preserve">. </w:t>
      </w:r>
    </w:p>
    <w:p w14:paraId="78F92729" w14:textId="77777777"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Teisėjų kolegija įvertinusi tai, jog pareiškėja neturėjo prisijungimo prie ŽPDRIS duomenų bei iš Administracijos negavo informacijos apie įsiterpusio žemės sklypo formavimo ir pertvarkymo projekto rengimo būklę, konstatavo, jog nėra pagrindo laikyti nepagrįstais pareiškėjos argumentus, kad apie priimtą Įsakymą ji sužinojo tik gavusi kvietimą dalyvauti suformuoto žemės sklypo ženklinime. </w:t>
      </w:r>
    </w:p>
    <w:p w14:paraId="09603F64" w14:textId="7D968C20"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LVAT nutartimi pirmosios instancijos teismo nutartis panaikinta, o pareiškėjos prašymas atnaujinti praleistą skundo padavimo terminą tenkintas. </w:t>
      </w:r>
    </w:p>
    <w:p w14:paraId="4C6C9D98" w14:textId="77777777"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p>
    <w:p w14:paraId="7DE6A7E2" w14:textId="77777777" w:rsidR="00BA46C8" w:rsidRPr="007D3F98" w:rsidRDefault="00BA46C8" w:rsidP="00BA46C8">
      <w:pPr>
        <w:jc w:val="both"/>
        <w:rPr>
          <w:rFonts w:ascii="Calibri" w:hAnsi="Calibri"/>
          <w:sz w:val="22"/>
          <w:szCs w:val="22"/>
        </w:rPr>
      </w:pPr>
      <w:r w:rsidRPr="007D3F98">
        <w:rPr>
          <w:rFonts w:ascii="Calibri" w:hAnsi="Calibri"/>
          <w:sz w:val="22"/>
          <w:szCs w:val="22"/>
        </w:rPr>
        <w:t xml:space="preserve">2019 m. lapkričio 20 d. nutartis administracinėje byloje Nr. eAS-741-552/2019 </w:t>
      </w:r>
    </w:p>
    <w:p w14:paraId="14C376E0" w14:textId="77777777" w:rsidR="00BA46C8" w:rsidRPr="007D3F98" w:rsidRDefault="00BA46C8" w:rsidP="00BA46C8">
      <w:pPr>
        <w:jc w:val="both"/>
        <w:rPr>
          <w:rFonts w:ascii="Calibri" w:hAnsi="Calibri"/>
          <w:sz w:val="22"/>
          <w:szCs w:val="22"/>
        </w:rPr>
      </w:pPr>
      <w:r w:rsidRPr="007D3F98">
        <w:rPr>
          <w:rFonts w:ascii="Calibri" w:hAnsi="Calibri"/>
          <w:sz w:val="22"/>
          <w:szCs w:val="22"/>
        </w:rPr>
        <w:t>Teisminio proceso Nr. 3-61-3-03253-2019-8</w:t>
      </w:r>
    </w:p>
    <w:p w14:paraId="29B426E6" w14:textId="77777777" w:rsidR="00BA46C8" w:rsidRPr="007D3F98" w:rsidRDefault="00BA46C8" w:rsidP="00BA46C8">
      <w:pPr>
        <w:jc w:val="both"/>
        <w:rPr>
          <w:rFonts w:ascii="Calibri" w:hAnsi="Calibri"/>
          <w:sz w:val="22"/>
          <w:szCs w:val="22"/>
        </w:rPr>
      </w:pPr>
      <w:r w:rsidRPr="007D3F98">
        <w:rPr>
          <w:rFonts w:ascii="Calibri" w:hAnsi="Calibri"/>
          <w:sz w:val="22"/>
          <w:szCs w:val="22"/>
        </w:rPr>
        <w:t>Procesinio sprendimo kategorijos: 43.5.9; 59.2</w:t>
      </w:r>
    </w:p>
    <w:p w14:paraId="7F450FE1" w14:textId="77777777" w:rsidR="00BA46C8" w:rsidRPr="007D3F98" w:rsidRDefault="00854B2C" w:rsidP="00BA46C8">
      <w:pPr>
        <w:jc w:val="both"/>
        <w:rPr>
          <w:rFonts w:ascii="Calibri" w:hAnsi="Calibri"/>
          <w:sz w:val="22"/>
          <w:szCs w:val="22"/>
        </w:rPr>
      </w:pPr>
      <w:hyperlink r:id="rId25" w:history="1">
        <w:r w:rsidR="00BA46C8" w:rsidRPr="007D3F98">
          <w:rPr>
            <w:rFonts w:ascii="Calibri" w:hAnsi="Calibri"/>
            <w:color w:val="0000FF"/>
            <w:sz w:val="22"/>
            <w:szCs w:val="22"/>
            <w:u w:val="single"/>
          </w:rPr>
          <w:t>Prieiga internete</w:t>
        </w:r>
      </w:hyperlink>
      <w:r w:rsidR="00BA46C8" w:rsidRPr="007D3F98">
        <w:rPr>
          <w:rFonts w:ascii="Calibri" w:hAnsi="Calibri"/>
          <w:sz w:val="22"/>
          <w:szCs w:val="22"/>
        </w:rPr>
        <w:t xml:space="preserve"> </w:t>
      </w:r>
    </w:p>
    <w:p w14:paraId="240E5FCA" w14:textId="77777777" w:rsidR="00BA46C8" w:rsidRPr="007D3F98" w:rsidRDefault="00BA46C8" w:rsidP="00496E0E">
      <w:pPr>
        <w:rPr>
          <w:rFonts w:asciiTheme="minorHAnsi" w:hAnsiTheme="minorHAnsi" w:cstheme="minorHAnsi"/>
          <w:b/>
          <w:sz w:val="22"/>
          <w:szCs w:val="22"/>
        </w:rPr>
      </w:pPr>
    </w:p>
    <w:p w14:paraId="420A445B" w14:textId="77777777" w:rsidR="00EA636A" w:rsidRPr="007D3F98" w:rsidRDefault="00EA636A" w:rsidP="00EA636A">
      <w:pPr>
        <w:pStyle w:val="Antrat2"/>
        <w:rPr>
          <w:i w:val="0"/>
        </w:rPr>
      </w:pPr>
      <w:bookmarkStart w:id="74" w:name="_Toc29392718"/>
      <w:r w:rsidRPr="007D3F98">
        <w:t>Dėl muitinės įstaigos atsisakymo suteikti informaciją Sąjungos muitinės kodekso 22 straipsnio 6 dalyje numatytos procedūros metu (kai, nustačius galimus muitinės teisės pažeidimus, prieš priimant sprendimą pasiūloma už prievoles muitinei atsakingam asmeniui pateikti paaiškinimus)</w:t>
      </w:r>
      <w:bookmarkEnd w:id="74"/>
    </w:p>
    <w:p w14:paraId="1EED262F" w14:textId="77777777" w:rsidR="00EA636A" w:rsidRPr="007D3F98" w:rsidRDefault="00EA636A" w:rsidP="00EA636A">
      <w:pPr>
        <w:ind w:firstLine="567"/>
        <w:jc w:val="both"/>
        <w:rPr>
          <w:rFonts w:asciiTheme="minorHAnsi" w:hAnsiTheme="minorHAnsi" w:cstheme="minorHAnsi"/>
          <w:sz w:val="22"/>
          <w:szCs w:val="22"/>
        </w:rPr>
      </w:pPr>
    </w:p>
    <w:p w14:paraId="0ADEABB9" w14:textId="77777777" w:rsidR="00EA636A" w:rsidRPr="007D3F98" w:rsidRDefault="00EA636A" w:rsidP="00EA636A">
      <w:pPr>
        <w:ind w:firstLine="567"/>
        <w:jc w:val="both"/>
        <w:rPr>
          <w:rFonts w:asciiTheme="minorHAnsi" w:hAnsiTheme="minorHAnsi" w:cstheme="minorHAnsi"/>
          <w:sz w:val="22"/>
          <w:szCs w:val="22"/>
        </w:rPr>
      </w:pPr>
      <w:r w:rsidRPr="007D3F98">
        <w:rPr>
          <w:rFonts w:asciiTheme="minorHAnsi" w:hAnsiTheme="minorHAnsi" w:cstheme="minorHAnsi"/>
          <w:sz w:val="22"/>
          <w:szCs w:val="22"/>
        </w:rPr>
        <w:t>Apžvelgiamoje byloje ginčas kilo dėl Klaipėdos teritorinės muitinės 2017 m. spalio 12 d. sprendimo atsisakyti suteikti pareiškėjo atstovo prašytą informaciją.</w:t>
      </w:r>
    </w:p>
    <w:p w14:paraId="1B6E9919" w14:textId="77777777" w:rsidR="00EA636A" w:rsidRPr="007D3F98" w:rsidRDefault="00EA636A" w:rsidP="00EA636A">
      <w:pPr>
        <w:ind w:firstLine="567"/>
        <w:jc w:val="both"/>
        <w:rPr>
          <w:rFonts w:asciiTheme="minorHAnsi" w:hAnsiTheme="minorHAnsi" w:cstheme="minorHAnsi"/>
          <w:sz w:val="22"/>
          <w:szCs w:val="22"/>
        </w:rPr>
      </w:pPr>
      <w:r w:rsidRPr="007D3F98">
        <w:rPr>
          <w:rFonts w:asciiTheme="minorHAnsi" w:hAnsiTheme="minorHAnsi" w:cstheme="minorHAnsi"/>
          <w:sz w:val="22"/>
          <w:szCs w:val="22"/>
        </w:rPr>
        <w:t>Byloje nustatyta, kad muitinė 2017 m. liepos 5 d. raštu informavo pareiškėją, jog, gavusi informaciją iš Vengrijos muitinės apie neteisėtą eksporto gabenimų užbaigimą Muitinės deklaracijų apdorojimo sistemoje, atlieka tyrimą dėl prekių, deklaruotų eksporto deklaracijose, išgabenimo iš Sąjungos muitų teritorijos ir, vadovaudamasi 2013 m. spalio 9 d. Europos Parlamento ir Tarybos reglamento (ES) Nr. 952/2013, kuriuo nustatomas Sąjungos muitinės kodeksas (toliau – Sąjungos muitinės kodeksas), 22 straipsnio 6 dalimi, informuoja apie numatomo sprendimo priėmimą pripažinti minėtas eksporto deklaracijas negaliojančiomis. Muitinė taip pat paprašė pareiškėjo per 30 dienų nuo šio pranešimo gavimo dienos pateikti įrodymą, kad prekės išgabentos iš Bendrijos muitų teritorijos</w:t>
      </w:r>
      <w:r>
        <w:rPr>
          <w:rFonts w:asciiTheme="minorHAnsi" w:hAnsiTheme="minorHAnsi" w:cstheme="minorHAnsi"/>
          <w:sz w:val="22"/>
          <w:szCs w:val="22"/>
        </w:rPr>
        <w:t>,</w:t>
      </w:r>
      <w:r w:rsidRPr="007D3F98">
        <w:rPr>
          <w:rFonts w:asciiTheme="minorHAnsi" w:hAnsiTheme="minorHAnsi" w:cstheme="minorHAnsi"/>
          <w:sz w:val="22"/>
          <w:szCs w:val="22"/>
        </w:rPr>
        <w:t xml:space="preserve"> bei pareikšti savo nuomonę dėl numatomo priimti sprendimo.</w:t>
      </w:r>
    </w:p>
    <w:p w14:paraId="7CF41318" w14:textId="77777777" w:rsidR="00EA636A" w:rsidRPr="007D3F98" w:rsidRDefault="00EA636A" w:rsidP="00EA636A">
      <w:pPr>
        <w:ind w:firstLine="567"/>
        <w:jc w:val="both"/>
        <w:rPr>
          <w:rFonts w:asciiTheme="minorHAnsi" w:hAnsiTheme="minorHAnsi" w:cstheme="minorHAnsi"/>
          <w:sz w:val="22"/>
          <w:szCs w:val="22"/>
        </w:rPr>
      </w:pPr>
      <w:r w:rsidRPr="007D3F98">
        <w:rPr>
          <w:rFonts w:asciiTheme="minorHAnsi" w:hAnsiTheme="minorHAnsi" w:cstheme="minorHAnsi"/>
          <w:sz w:val="22"/>
          <w:szCs w:val="22"/>
        </w:rPr>
        <w:t>Gavęs šį raštą pareiškėjo atstovas muitinei pateikė prašymą dėl informacijos, gautos iš Vengrijos muitinės</w:t>
      </w:r>
      <w:r>
        <w:rPr>
          <w:rFonts w:asciiTheme="minorHAnsi" w:hAnsiTheme="minorHAnsi" w:cstheme="minorHAnsi"/>
          <w:sz w:val="22"/>
          <w:szCs w:val="22"/>
        </w:rPr>
        <w:t>,</w:t>
      </w:r>
      <w:r w:rsidRPr="007D3F98">
        <w:rPr>
          <w:rFonts w:asciiTheme="minorHAnsi" w:hAnsiTheme="minorHAnsi" w:cstheme="minorHAnsi"/>
          <w:sz w:val="22"/>
          <w:szCs w:val="22"/>
        </w:rPr>
        <w:t xml:space="preserve"> pateikimo pareiškėjui rašytine arba elektronine forma. Klaipėdos teritorinė muitinė byloje ginčytu sprendimu nusprendė Vengrijos institucijų rašto kopijos neteikti.</w:t>
      </w:r>
    </w:p>
    <w:p w14:paraId="3A8D76B5" w14:textId="77777777" w:rsidR="00EA636A" w:rsidRPr="007D3F98" w:rsidRDefault="00EA636A" w:rsidP="00EA636A">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Vertindamas dėl pareiškėjo teisės administraciniame teisme ginčyti šį sprendimą, LVAT pirmiausia pastebėjo, kad, kaip buvo matyti iš Klaipėdos teritorinės muitinės 2017 m. liepos 5 d. rašto turinio, muitinė, vadovaudamasi Sąjungos muitinės kodekso 22 straipsnio 6 dalimi, pareiškėją informavo apie tai, jog rengiasi priimti sprendimą pripažinti šiame rašte nurodytas eksporto deklaracijas negaliojančiomis. Ši 22 straipsnio 6 dalis nustato, jog, prieš priimdama sprendimą, kuris galėtų būti nepalankus pareiškėjui, muitinė praneša </w:t>
      </w:r>
      <w:r w:rsidRPr="007D3F98">
        <w:rPr>
          <w:rFonts w:asciiTheme="minorHAnsi" w:hAnsiTheme="minorHAnsi" w:cstheme="minorHAnsi"/>
          <w:sz w:val="22"/>
          <w:szCs w:val="22"/>
        </w:rPr>
        <w:lastRenderedPageBreak/>
        <w:t>pareiškėjui priežastis, kuriomis ji ketina pagrįsti savo sprendimą, ir suteikia jam galimybę per nustatytą laikotarpį, skaičiuojamą nuo tos dienos, kurią jis gauna tokį pranešimą arba laikomas jį gavusiu, pareikšti savo nuomonę. Pasibaigus šiam laikotarpiui, pareiškėjui pranešama apie sprendimą.</w:t>
      </w:r>
    </w:p>
    <w:p w14:paraId="600FC250" w14:textId="77777777" w:rsidR="00EA636A" w:rsidRPr="007D3F98" w:rsidRDefault="00EA636A" w:rsidP="00EA636A">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Kaip vertino teisėjų kolegija, minėtas pareiškėjo atstovo kreipimasis į Klaipėdos teritorinę muitinę dėl informacijos gavimo yra susijęs su jo teisės būti išklausytam užtikrinimu muitinei vykdant konkrečią priežiūros procedūrą (veiksmus, kurių paprastai imasi muitinė siekdama užtikrinti, kad būtų laikomasi muitų teisės aktų), reglamentuojamą Sąjungos muitinės kodekso, Muitinės įstatymo bei kitų teisės aktų, reguliuojančių muitinės veiklą, nuostatomis, kuri bus baigiama muitinei priimant sprendimą dėl eksporto deklaracijų galiojimo. </w:t>
      </w:r>
      <w:r w:rsidRPr="007D3F98">
        <w:rPr>
          <w:rFonts w:asciiTheme="minorHAnsi" w:hAnsiTheme="minorHAnsi" w:cstheme="minorHAnsi"/>
          <w:sz w:val="22"/>
          <w:szCs w:val="22"/>
          <w:u w:val="single"/>
        </w:rPr>
        <w:t>Taigi ginčytas atsakovo sprendimas yra tarpinis sprendimas, kuriuo išspręstas procedūrinis klausimas, nesukeliantis pareiškėjui materialinio teisinio pobūdžio pasekmių ir tiesiogiai nesusijęs su materialinių pareiškėjo teisių ar pareigų atsiradimu, pasikeitimu ar pasibaigimu</w:t>
      </w:r>
      <w:r w:rsidRPr="007D3F98">
        <w:rPr>
          <w:rFonts w:asciiTheme="minorHAnsi" w:hAnsiTheme="minorHAnsi" w:cstheme="minorHAnsi"/>
          <w:sz w:val="22"/>
          <w:szCs w:val="22"/>
        </w:rPr>
        <w:t xml:space="preserve">. </w:t>
      </w:r>
    </w:p>
    <w:p w14:paraId="579E589E" w14:textId="77777777" w:rsidR="00EA636A" w:rsidRPr="007D3F98" w:rsidRDefault="00EA636A" w:rsidP="00EA636A">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LVAT taip pat pabrėžė, kad prašymas pateikti informaciją, susijusią su muitinės vykdoma priežiūros procedūra, turi būti nagrinėjamas pagal šią procedūrą reguliuojančius teisės aktus, todėl sprendžiant šį </w:t>
      </w:r>
      <w:r w:rsidRPr="00947F6D">
        <w:rPr>
          <w:rFonts w:asciiTheme="minorHAnsi" w:hAnsiTheme="minorHAnsi" w:cstheme="minorHAnsi"/>
          <w:sz w:val="22"/>
          <w:szCs w:val="22"/>
        </w:rPr>
        <w:t>pareiškėjo prašymą Teisės gauti informaciją iš valstybės ir savivaldybės įstaigų įstatymas netaikytas.</w:t>
      </w:r>
    </w:p>
    <w:p w14:paraId="70BA9244" w14:textId="77777777" w:rsidR="00EA636A" w:rsidRPr="007D3F98" w:rsidRDefault="00EA636A" w:rsidP="00EA636A">
      <w:pPr>
        <w:ind w:firstLine="567"/>
        <w:jc w:val="both"/>
        <w:rPr>
          <w:rFonts w:asciiTheme="minorHAnsi" w:hAnsiTheme="minorHAnsi" w:cstheme="minorHAnsi"/>
          <w:sz w:val="22"/>
          <w:szCs w:val="22"/>
        </w:rPr>
      </w:pPr>
      <w:r w:rsidRPr="007D3F98">
        <w:rPr>
          <w:rFonts w:asciiTheme="minorHAnsi" w:hAnsiTheme="minorHAnsi" w:cstheme="minorHAnsi"/>
          <w:sz w:val="22"/>
          <w:szCs w:val="22"/>
        </w:rPr>
        <w:t>Kadangi ginčytas muitinės sprendimas buvo tik tarpinis procedūrinis aktas, neturintis įtakos pareiškėjo materialiosioms teisėms ir pareigoms, LVAT sprendė, kad reikalavimas panaikinti atsisakymą bei neatsiejamai su šiuo reikalavimu susijęs reikalavimas įpareigoti atsakovą pateikti pareiškėjo atstovui Vengrijos muitinės rašto kopiją, negalėjo būti savarankišku administracinės bylos dalyku. Todėl pirmosios instancijos teismo sprendimas buvo panaikintas ir administracinė byla nutraukta.</w:t>
      </w:r>
    </w:p>
    <w:p w14:paraId="408A37FC" w14:textId="77777777" w:rsidR="00EA636A" w:rsidRPr="007D3F98" w:rsidRDefault="00EA636A" w:rsidP="00EA636A">
      <w:pPr>
        <w:ind w:firstLine="567"/>
        <w:jc w:val="both"/>
        <w:rPr>
          <w:rFonts w:asciiTheme="minorHAnsi" w:hAnsiTheme="minorHAnsi" w:cstheme="minorHAnsi"/>
          <w:sz w:val="22"/>
          <w:szCs w:val="22"/>
        </w:rPr>
      </w:pPr>
    </w:p>
    <w:p w14:paraId="11928D00" w14:textId="138A95FF" w:rsidR="00EA636A" w:rsidRPr="007D3F98" w:rsidRDefault="00EA636A" w:rsidP="00EA636A">
      <w:pPr>
        <w:jc w:val="both"/>
        <w:rPr>
          <w:rFonts w:asciiTheme="minorHAnsi" w:hAnsiTheme="minorHAnsi" w:cstheme="minorHAnsi"/>
          <w:sz w:val="22"/>
          <w:szCs w:val="22"/>
        </w:rPr>
      </w:pPr>
      <w:r w:rsidRPr="007D3F98">
        <w:rPr>
          <w:rFonts w:asciiTheme="minorHAnsi" w:hAnsiTheme="minorHAnsi" w:cstheme="minorHAnsi"/>
          <w:sz w:val="22"/>
          <w:szCs w:val="22"/>
        </w:rPr>
        <w:t>2019 m. lapkričio 13 d. nutart</w:t>
      </w:r>
      <w:r>
        <w:rPr>
          <w:rFonts w:asciiTheme="minorHAnsi" w:hAnsiTheme="minorHAnsi" w:cstheme="minorHAnsi"/>
          <w:sz w:val="22"/>
          <w:szCs w:val="22"/>
        </w:rPr>
        <w:t>i</w:t>
      </w:r>
      <w:r w:rsidRPr="007D3F98">
        <w:rPr>
          <w:rFonts w:asciiTheme="minorHAnsi" w:hAnsiTheme="minorHAnsi" w:cstheme="minorHAnsi"/>
          <w:sz w:val="22"/>
          <w:szCs w:val="22"/>
        </w:rPr>
        <w:t>s administracinėje byloje Nr. eA-1577-442/2019</w:t>
      </w:r>
    </w:p>
    <w:p w14:paraId="3E37F34B" w14:textId="77777777" w:rsidR="00EA636A" w:rsidRPr="007D3F98" w:rsidRDefault="00EA636A" w:rsidP="00EA636A">
      <w:pPr>
        <w:jc w:val="both"/>
        <w:rPr>
          <w:rFonts w:asciiTheme="minorHAnsi" w:hAnsiTheme="minorHAnsi" w:cstheme="minorHAnsi"/>
          <w:sz w:val="22"/>
          <w:szCs w:val="22"/>
        </w:rPr>
      </w:pPr>
      <w:r w:rsidRPr="007D3F98">
        <w:rPr>
          <w:rFonts w:asciiTheme="minorHAnsi" w:hAnsiTheme="minorHAnsi" w:cstheme="minorHAnsi"/>
          <w:sz w:val="22"/>
          <w:szCs w:val="22"/>
        </w:rPr>
        <w:t>Teisminio proceso Nr. 3-63-3-01398-2017-6</w:t>
      </w:r>
    </w:p>
    <w:p w14:paraId="037D6A3A" w14:textId="77777777" w:rsidR="00EA636A" w:rsidRPr="007D3F98" w:rsidRDefault="00EA636A" w:rsidP="00EA636A">
      <w:pPr>
        <w:jc w:val="both"/>
        <w:rPr>
          <w:rFonts w:asciiTheme="minorHAnsi" w:hAnsiTheme="minorHAnsi" w:cstheme="minorHAnsi"/>
          <w:sz w:val="22"/>
          <w:szCs w:val="22"/>
        </w:rPr>
      </w:pPr>
      <w:r w:rsidRPr="007D3F98">
        <w:rPr>
          <w:rFonts w:asciiTheme="minorHAnsi" w:hAnsiTheme="minorHAnsi" w:cstheme="minorHAnsi"/>
          <w:sz w:val="22"/>
          <w:szCs w:val="22"/>
        </w:rPr>
        <w:t>Procesinio sprendimo kategorijos: 13.1; 13.8</w:t>
      </w:r>
    </w:p>
    <w:p w14:paraId="7D60EEB6" w14:textId="77777777" w:rsidR="00EA636A" w:rsidRPr="007D3F98" w:rsidRDefault="00854B2C" w:rsidP="00EA636A">
      <w:pPr>
        <w:jc w:val="both"/>
        <w:rPr>
          <w:rFonts w:asciiTheme="minorHAnsi" w:hAnsiTheme="minorHAnsi" w:cstheme="minorHAnsi"/>
          <w:sz w:val="22"/>
          <w:szCs w:val="22"/>
        </w:rPr>
      </w:pPr>
      <w:hyperlink r:id="rId26" w:history="1">
        <w:r w:rsidR="00EA636A" w:rsidRPr="007D3F98">
          <w:rPr>
            <w:rStyle w:val="Hipersaitas"/>
            <w:rFonts w:asciiTheme="minorHAnsi" w:hAnsiTheme="minorHAnsi" w:cstheme="minorHAnsi"/>
            <w:sz w:val="22"/>
            <w:szCs w:val="22"/>
          </w:rPr>
          <w:t>Prieiga internete</w:t>
        </w:r>
      </w:hyperlink>
    </w:p>
    <w:p w14:paraId="0AB2AC70" w14:textId="77777777" w:rsidR="00EA636A" w:rsidRPr="007D3F98" w:rsidRDefault="00EA636A" w:rsidP="00EA636A">
      <w:pPr>
        <w:rPr>
          <w:rFonts w:ascii="Calibri" w:hAnsi="Calibri"/>
        </w:rPr>
      </w:pPr>
    </w:p>
    <w:p w14:paraId="7BD2E2F0" w14:textId="77777777" w:rsidR="0036486B" w:rsidRPr="007D3F98" w:rsidRDefault="0036486B" w:rsidP="0036486B">
      <w:pPr>
        <w:jc w:val="both"/>
        <w:outlineLvl w:val="0"/>
        <w:rPr>
          <w:rFonts w:ascii="Calibri" w:hAnsi="Calibri"/>
          <w:sz w:val="22"/>
          <w:szCs w:val="22"/>
          <w:u w:val="single"/>
        </w:rPr>
      </w:pPr>
      <w:bookmarkStart w:id="75" w:name="_Toc29392719"/>
      <w:r w:rsidRPr="007D3F98">
        <w:rPr>
          <w:rFonts w:ascii="Calibri" w:hAnsi="Calibri"/>
          <w:b/>
          <w:sz w:val="22"/>
          <w:szCs w:val="22"/>
          <w:u w:val="single"/>
        </w:rPr>
        <w:t>49. Reikalavimo užtikrinimo priemonių taikymas</w:t>
      </w:r>
      <w:bookmarkEnd w:id="75"/>
    </w:p>
    <w:p w14:paraId="64590C4B" w14:textId="77777777" w:rsidR="0036486B" w:rsidRPr="007D3F98" w:rsidRDefault="0036486B" w:rsidP="0036486B">
      <w:pPr>
        <w:ind w:firstLine="567"/>
        <w:jc w:val="both"/>
        <w:rPr>
          <w:rFonts w:ascii="Calibri" w:eastAsia="Calibri" w:hAnsi="Calibri"/>
          <w:sz w:val="22"/>
          <w:szCs w:val="22"/>
          <w:lang w:eastAsia="en-US"/>
        </w:rPr>
      </w:pPr>
    </w:p>
    <w:p w14:paraId="473983DE" w14:textId="690C9D72" w:rsidR="0036486B" w:rsidRPr="007D3F98" w:rsidRDefault="0036486B" w:rsidP="0036486B">
      <w:pPr>
        <w:jc w:val="both"/>
        <w:outlineLvl w:val="1"/>
        <w:rPr>
          <w:rFonts w:ascii="Calibri" w:eastAsia="Calibri" w:hAnsi="Calibri"/>
          <w:i/>
          <w:sz w:val="22"/>
          <w:szCs w:val="22"/>
        </w:rPr>
      </w:pPr>
      <w:bookmarkStart w:id="76" w:name="_Toc29392720"/>
      <w:r w:rsidRPr="007D3F98">
        <w:rPr>
          <w:rFonts w:ascii="Calibri" w:eastAsia="Calibri" w:hAnsi="Calibri"/>
          <w:i/>
          <w:sz w:val="22"/>
          <w:szCs w:val="22"/>
        </w:rPr>
        <w:t xml:space="preserve">Dėl Migracijos departamento sprendimo, kuriuo atsisakyta </w:t>
      </w:r>
      <w:r w:rsidRPr="007D3F98">
        <w:rPr>
          <w:rFonts w:ascii="Calibri" w:eastAsia="Calibri" w:hAnsi="Calibri"/>
          <w:bCs/>
          <w:i/>
          <w:sz w:val="22"/>
          <w:szCs w:val="22"/>
        </w:rPr>
        <w:t>pakeisti leidimą laikinai gyventi Lietuvos Respublikoje</w:t>
      </w:r>
      <w:r w:rsidR="00897035" w:rsidRPr="007D3F98">
        <w:rPr>
          <w:rFonts w:ascii="Calibri" w:eastAsia="Calibri" w:hAnsi="Calibri"/>
          <w:bCs/>
          <w:i/>
          <w:sz w:val="22"/>
          <w:szCs w:val="22"/>
        </w:rPr>
        <w:t>,</w:t>
      </w:r>
      <w:r w:rsidRPr="007D3F98">
        <w:rPr>
          <w:rFonts w:ascii="Calibri" w:eastAsia="Calibri" w:hAnsi="Calibri"/>
          <w:bCs/>
          <w:i/>
          <w:sz w:val="22"/>
          <w:szCs w:val="22"/>
        </w:rPr>
        <w:t xml:space="preserve"> galiojimo laikino sustabdymo</w:t>
      </w:r>
      <w:bookmarkEnd w:id="76"/>
    </w:p>
    <w:p w14:paraId="0484C7B3" w14:textId="77777777" w:rsidR="0036486B" w:rsidRPr="007D3F98" w:rsidRDefault="0036486B" w:rsidP="0036486B">
      <w:pPr>
        <w:ind w:firstLine="567"/>
        <w:jc w:val="both"/>
        <w:rPr>
          <w:rFonts w:ascii="Calibri" w:hAnsi="Calibri"/>
          <w:sz w:val="22"/>
          <w:szCs w:val="22"/>
        </w:rPr>
      </w:pPr>
    </w:p>
    <w:p w14:paraId="74EDCEA7" w14:textId="3C8D7C31" w:rsidR="0036486B" w:rsidRPr="007D3F98" w:rsidRDefault="0036486B" w:rsidP="0036486B">
      <w:pPr>
        <w:ind w:firstLine="567"/>
        <w:jc w:val="both"/>
        <w:rPr>
          <w:rFonts w:ascii="Calibri" w:eastAsia="Calibri" w:hAnsi="Calibri"/>
          <w:sz w:val="22"/>
          <w:szCs w:val="22"/>
          <w:lang w:eastAsia="en-US"/>
        </w:rPr>
      </w:pPr>
      <w:r w:rsidRPr="007D3F98">
        <w:rPr>
          <w:rFonts w:ascii="Calibri" w:eastAsia="Calibri" w:hAnsi="Calibri"/>
          <w:sz w:val="22"/>
          <w:szCs w:val="22"/>
          <w:lang w:eastAsia="en-US"/>
        </w:rPr>
        <w:t xml:space="preserve">Pareiškėjas </w:t>
      </w:r>
      <w:bookmarkStart w:id="77" w:name="Buk_6"/>
      <w:r w:rsidRPr="007D3F98">
        <w:rPr>
          <w:rFonts w:ascii="Calibri" w:eastAsia="Calibri" w:hAnsi="Calibri"/>
          <w:sz w:val="22"/>
          <w:szCs w:val="22"/>
          <w:lang w:eastAsia="en-US"/>
        </w:rPr>
        <w:t xml:space="preserve">šioje byloje </w:t>
      </w:r>
      <w:bookmarkEnd w:id="77"/>
      <w:r w:rsidRPr="007D3F98">
        <w:rPr>
          <w:rFonts w:ascii="Calibri" w:eastAsia="Calibri" w:hAnsi="Calibri"/>
          <w:sz w:val="22"/>
          <w:szCs w:val="22"/>
          <w:lang w:eastAsia="en-US"/>
        </w:rPr>
        <w:t xml:space="preserve">atskiruoju skundu prašė panaikinti </w:t>
      </w:r>
      <w:r w:rsidR="00897035" w:rsidRPr="007D3F98">
        <w:rPr>
          <w:rFonts w:ascii="Calibri" w:eastAsia="Calibri" w:hAnsi="Calibri"/>
          <w:sz w:val="22"/>
          <w:szCs w:val="22"/>
          <w:lang w:eastAsia="en-US"/>
        </w:rPr>
        <w:t>pirmosios instancijos teismo</w:t>
      </w:r>
      <w:r w:rsidRPr="007D3F98">
        <w:rPr>
          <w:rFonts w:ascii="Calibri" w:eastAsia="Calibri" w:hAnsi="Calibri"/>
          <w:sz w:val="22"/>
          <w:szCs w:val="22"/>
          <w:lang w:eastAsia="en-US"/>
        </w:rPr>
        <w:t xml:space="preserve"> nutarties dalį, kuria atsisakyta tenkinti prašymą taikyti reikalavimo užtikrinimo priemonę ir šioje dalyje klausimą išspręsti iš esmės – laikinai sustabdyti Migracijos departamento sprendimo </w:t>
      </w:r>
      <w:r w:rsidR="00897035" w:rsidRPr="007D3F98">
        <w:rPr>
          <w:rFonts w:ascii="Calibri" w:eastAsia="Calibri" w:hAnsi="Calibri"/>
          <w:bCs/>
          <w:sz w:val="22"/>
          <w:szCs w:val="22"/>
          <w:lang w:eastAsia="en-US"/>
        </w:rPr>
        <w:t>d</w:t>
      </w:r>
      <w:r w:rsidRPr="007D3F98">
        <w:rPr>
          <w:rFonts w:ascii="Calibri" w:eastAsia="Calibri" w:hAnsi="Calibri"/>
          <w:bCs/>
          <w:sz w:val="22"/>
          <w:szCs w:val="22"/>
          <w:lang w:eastAsia="en-US"/>
        </w:rPr>
        <w:t xml:space="preserve">ėl atsisakymo pakeisti leidimą laikinai gyventi Lietuvos Respublikoje, daugkartinės nacionalinės vizos panaikinimo ir draudimo atvykti į Lietuvos Respubliką Rusijos Federacijos piliečiui </w:t>
      </w:r>
      <w:r w:rsidRPr="007D3F98">
        <w:rPr>
          <w:rFonts w:ascii="Calibri" w:eastAsia="Calibri" w:hAnsi="Calibri"/>
          <w:sz w:val="22"/>
          <w:szCs w:val="22"/>
          <w:lang w:eastAsia="en-US"/>
        </w:rPr>
        <w:t xml:space="preserve">galiojimą. </w:t>
      </w:r>
    </w:p>
    <w:p w14:paraId="621DD873" w14:textId="230FCC3F" w:rsidR="0036486B" w:rsidRPr="007D3F98" w:rsidRDefault="0036486B" w:rsidP="0036486B">
      <w:pPr>
        <w:ind w:firstLine="567"/>
        <w:jc w:val="both"/>
        <w:rPr>
          <w:rFonts w:ascii="Calibri" w:eastAsia="Calibri" w:hAnsi="Calibri"/>
          <w:sz w:val="22"/>
          <w:szCs w:val="22"/>
          <w:lang w:eastAsia="en-US"/>
        </w:rPr>
      </w:pPr>
      <w:r w:rsidRPr="007D3F98">
        <w:rPr>
          <w:rFonts w:ascii="Calibri" w:eastAsia="Calibri" w:hAnsi="Calibri"/>
          <w:sz w:val="22"/>
          <w:szCs w:val="22"/>
          <w:lang w:eastAsia="en-US"/>
        </w:rPr>
        <w:t xml:space="preserve">Pareiškėjas </w:t>
      </w:r>
      <w:r w:rsidR="00897035" w:rsidRPr="007D3F98">
        <w:rPr>
          <w:rFonts w:ascii="Calibri" w:eastAsia="Calibri" w:hAnsi="Calibri"/>
          <w:sz w:val="22"/>
          <w:szCs w:val="22"/>
          <w:lang w:eastAsia="en-US"/>
        </w:rPr>
        <w:t>nurodė</w:t>
      </w:r>
      <w:r w:rsidRPr="007D3F98">
        <w:rPr>
          <w:rFonts w:ascii="Calibri" w:eastAsia="Calibri" w:hAnsi="Calibri"/>
          <w:sz w:val="22"/>
          <w:szCs w:val="22"/>
          <w:lang w:eastAsia="en-US"/>
        </w:rPr>
        <w:t xml:space="preserve">, jog </w:t>
      </w:r>
      <w:r w:rsidR="00897035" w:rsidRPr="007D3F98">
        <w:rPr>
          <w:rFonts w:ascii="Calibri" w:eastAsia="Calibri" w:hAnsi="Calibri"/>
          <w:sz w:val="22"/>
          <w:szCs w:val="22"/>
          <w:lang w:eastAsia="en-US"/>
        </w:rPr>
        <w:t>Į</w:t>
      </w:r>
      <w:r w:rsidRPr="007D3F98">
        <w:rPr>
          <w:rFonts w:ascii="Calibri" w:eastAsia="Calibri" w:hAnsi="Calibri"/>
          <w:sz w:val="22"/>
          <w:szCs w:val="22"/>
          <w:lang w:eastAsia="en-US"/>
        </w:rPr>
        <w:t xml:space="preserve">statymo dėl užsieniečių teisinės padėties 127 straipsnio 2 dalis numato, kad sprendimas dėl užsieniečio išsiuntimo iš Lietuvos Respublikos privalo būti įvykdytas nedelsiant, jeigu nėra aplinkybių, dėl kurių sprendimo dėl užsieniečio išsiuntimo iš Lietuvos Respublikos vykdymas gali būti sustabdytas. Pasak pareiškėjo, aplinkybės, dėl kurių sprendimo išsiųsti užsienietį iš Lietuvos Respublikos vykdymas sustabdomas, nustatomos Įstatymo dėl užsieniečių teisinės padėties 128 straipsnio 2 dalyje 1 punkte, kuriame numatyta, kad sprendimo dėl užsieniečio išsiuntimo iš Lietuvos Respublikos vykdymas sustabdomas atitinkamam administraciniam teismui priėmus nutartį dėl reikalavimo užtikrinimo priemonių taikymo, kai sprendimas dėl užsieniečio išsiuntimo iš Lietuvos Respublikos apskundžiamas teismui, išskyrus atvejus, kai užsienietis turi būti išsiųstas dėl jo keliamos grėsmės valstybės saugumui ar viešajai tvarkai. </w:t>
      </w:r>
    </w:p>
    <w:p w14:paraId="2E059051" w14:textId="041CD4FB" w:rsidR="0036486B" w:rsidRPr="007D3F98" w:rsidRDefault="0036486B" w:rsidP="0036486B">
      <w:pPr>
        <w:ind w:firstLine="567"/>
        <w:jc w:val="both"/>
        <w:rPr>
          <w:rFonts w:ascii="Calibri" w:eastAsia="Calibri" w:hAnsi="Calibri"/>
          <w:bCs/>
          <w:sz w:val="22"/>
          <w:szCs w:val="22"/>
          <w:lang w:eastAsia="en-US"/>
        </w:rPr>
      </w:pPr>
      <w:r w:rsidRPr="007D3F98">
        <w:rPr>
          <w:rFonts w:ascii="Calibri" w:eastAsia="Calibri" w:hAnsi="Calibri"/>
          <w:sz w:val="22"/>
          <w:szCs w:val="22"/>
          <w:lang w:eastAsia="en-US"/>
        </w:rPr>
        <w:t xml:space="preserve">Teisėjų kolegija nustatė, kad </w:t>
      </w:r>
      <w:r w:rsidRPr="007D3F98">
        <w:rPr>
          <w:rFonts w:ascii="Calibri" w:eastAsia="Calibri" w:hAnsi="Calibri"/>
          <w:bCs/>
          <w:sz w:val="22"/>
          <w:szCs w:val="22"/>
          <w:lang w:eastAsia="en-US"/>
        </w:rPr>
        <w:t xml:space="preserve">pareiškėją su Lietuva sieja šeiminiai santykiai, iš bylos duomenų matyti, kad pareiškėjas jau 10 metų yra vedęs Lietuvos Respublikos pilietę. Pareiškėjas yra neįgalus, todėl jo judėjimas erdvėje yra apsunkintas. Migracijos departamento sprendime, kuriame atsisakoma pakeisti pareiškėjui leidimą laikinai gyventi, nėra pateikta jokių konkrečių duomenų, kokiu pagrindu pareiškėjas pripažintas galintis kelti grėsmę valstybės saugumui. </w:t>
      </w:r>
      <w:r w:rsidR="00897035" w:rsidRPr="007D3F98">
        <w:rPr>
          <w:rFonts w:ascii="Calibri" w:eastAsia="Calibri" w:hAnsi="Calibri"/>
          <w:bCs/>
          <w:sz w:val="22"/>
          <w:szCs w:val="22"/>
          <w:lang w:eastAsia="en-US"/>
        </w:rPr>
        <w:t>T</w:t>
      </w:r>
      <w:r w:rsidRPr="007D3F98">
        <w:rPr>
          <w:rFonts w:ascii="Calibri" w:eastAsia="Calibri" w:hAnsi="Calibri"/>
          <w:bCs/>
          <w:sz w:val="22"/>
          <w:szCs w:val="22"/>
          <w:lang w:eastAsia="en-US"/>
        </w:rPr>
        <w:t xml:space="preserve">eisėjų kolegija, atsižvelgusi į nurodytus argumentus, teismų praktiką, formuojamą sprendžiant tokio pobūdžio klausimus, į tai, kad pareiškėjui neįvykdžius ginčijamo sprendimo dėl įpareigojimo išvykti iš šalies, jam kils reali pasekmė ir bus priimtas sprendimas dėl jo išsiuntimo, o tai darys įtaką jo teisinei padėčiai ir galimybei realizuoti savo teises, į tai, kad taikius prašomą reikalavimo užtikrinimo priemonę pareiškėjui bus suteikta galimybė pačiam dalyvauti administraciniame procese skundžiant priimtą administracinį sprendimą, nusprendė, jog šiuo atveju tikslinga taikyti ABTĮ 70 straipsnio 3 dalyje numatytą </w:t>
      </w:r>
      <w:r w:rsidRPr="007D3F98">
        <w:rPr>
          <w:rFonts w:ascii="Calibri" w:eastAsia="Calibri" w:hAnsi="Calibri"/>
          <w:bCs/>
          <w:sz w:val="22"/>
          <w:szCs w:val="22"/>
          <w:lang w:eastAsia="en-US"/>
        </w:rPr>
        <w:lastRenderedPageBreak/>
        <w:t xml:space="preserve">reikalavimo užtikrinimo priemonę ir laikinai, iki teismo sprendimo įsiteisėjimo, sustabdyti pareiškėjo šioje byloje skundžiamo atsakovo sprendimo, kuriuo jis įpareigojamas išvykti iš Lietuvos, galiojimą. Šiuo atveju pagal byloje pateiktus duomenis nebuvo pagrindo teigti, kad laikinai sustabdžius nurodytą ginčijamą sprendimą bus pažeistas proporcingumo principas, proceso šalių interesų pusiausvyra ar viešasis interesas. </w:t>
      </w:r>
    </w:p>
    <w:p w14:paraId="267E336B" w14:textId="282B0601" w:rsidR="0036486B" w:rsidRPr="007D3F98" w:rsidRDefault="0036486B" w:rsidP="0036486B">
      <w:pPr>
        <w:ind w:firstLine="567"/>
        <w:jc w:val="both"/>
        <w:rPr>
          <w:rFonts w:ascii="Calibri" w:eastAsia="Calibri" w:hAnsi="Calibri"/>
          <w:bCs/>
          <w:sz w:val="22"/>
          <w:szCs w:val="22"/>
          <w:lang w:eastAsia="en-US"/>
        </w:rPr>
      </w:pPr>
      <w:r w:rsidRPr="007D3F98">
        <w:rPr>
          <w:rFonts w:ascii="Calibri" w:eastAsia="Calibri" w:hAnsi="Calibri"/>
          <w:bCs/>
          <w:sz w:val="22"/>
          <w:szCs w:val="22"/>
          <w:lang w:eastAsia="en-US"/>
        </w:rPr>
        <w:t>Pareiškėjo atskirasis skundas patenkintas, skundžiama pirmosios instancijos teismo nutarti</w:t>
      </w:r>
      <w:r w:rsidR="003B1C0B" w:rsidRPr="007D3F98">
        <w:rPr>
          <w:rFonts w:ascii="Calibri" w:eastAsia="Calibri" w:hAnsi="Calibri"/>
          <w:bCs/>
          <w:sz w:val="22"/>
          <w:szCs w:val="22"/>
          <w:lang w:eastAsia="en-US"/>
        </w:rPr>
        <w:t>e</w:t>
      </w:r>
      <w:r w:rsidRPr="007D3F98">
        <w:rPr>
          <w:rFonts w:ascii="Calibri" w:eastAsia="Calibri" w:hAnsi="Calibri"/>
          <w:bCs/>
          <w:sz w:val="22"/>
          <w:szCs w:val="22"/>
          <w:lang w:eastAsia="en-US"/>
        </w:rPr>
        <w:t>s dalis dėl atsisakymo taikyti reikalavimo užtikrinimo priemonę pakeista, pareiškėjo pateiktas prašymas dėl reikalavimo užtikrinimo priemonių taikymo patenkintas – laikinai, iki teismo sprendimo įsiteisėjimo, sustabdytas Migracijos departamento sprendimo galiojimas.</w:t>
      </w:r>
    </w:p>
    <w:p w14:paraId="528747FE" w14:textId="77777777" w:rsidR="0036486B" w:rsidRPr="007D3F98" w:rsidRDefault="0036486B" w:rsidP="0036486B">
      <w:pPr>
        <w:ind w:firstLine="567"/>
        <w:jc w:val="both"/>
        <w:rPr>
          <w:rFonts w:ascii="Calibri" w:eastAsia="Calibri" w:hAnsi="Calibri"/>
          <w:sz w:val="22"/>
          <w:szCs w:val="22"/>
          <w:lang w:eastAsia="en-US"/>
        </w:rPr>
      </w:pPr>
    </w:p>
    <w:p w14:paraId="2AE1B6FD" w14:textId="77777777" w:rsidR="0036486B" w:rsidRPr="007D3F98" w:rsidRDefault="0036486B" w:rsidP="0036486B">
      <w:pPr>
        <w:tabs>
          <w:tab w:val="left" w:pos="142"/>
        </w:tabs>
        <w:ind w:right="38"/>
        <w:jc w:val="both"/>
        <w:rPr>
          <w:rFonts w:ascii="Calibri" w:eastAsia="Calibri" w:hAnsi="Calibri"/>
          <w:sz w:val="22"/>
          <w:szCs w:val="22"/>
          <w:lang w:eastAsia="en-US"/>
        </w:rPr>
      </w:pPr>
      <w:r w:rsidRPr="007D3F98">
        <w:rPr>
          <w:rFonts w:ascii="Calibri" w:eastAsia="Calibri" w:hAnsi="Calibri"/>
          <w:bCs/>
          <w:sz w:val="22"/>
          <w:szCs w:val="22"/>
          <w:lang w:eastAsia="en-US"/>
        </w:rPr>
        <w:t xml:space="preserve">2019 m. </w:t>
      </w:r>
      <w:r w:rsidRPr="007D3F98">
        <w:rPr>
          <w:rFonts w:ascii="Calibri" w:eastAsia="Calibri" w:hAnsi="Calibri"/>
          <w:sz w:val="22"/>
          <w:szCs w:val="22"/>
          <w:lang w:eastAsia="en-US"/>
        </w:rPr>
        <w:t xml:space="preserve">lapkričio 14 </w:t>
      </w:r>
      <w:r w:rsidRPr="007D3F98">
        <w:rPr>
          <w:rFonts w:ascii="Calibri" w:eastAsia="Calibri" w:hAnsi="Calibri"/>
          <w:bCs/>
          <w:sz w:val="22"/>
          <w:szCs w:val="22"/>
          <w:lang w:eastAsia="en-US"/>
        </w:rPr>
        <w:t>d. nutartis administracinėje byloje Nr. eAS-731-756/2019</w:t>
      </w:r>
    </w:p>
    <w:p w14:paraId="3035C7FA" w14:textId="77777777" w:rsidR="0036486B" w:rsidRPr="007D3F98" w:rsidRDefault="0036486B" w:rsidP="0036486B">
      <w:pPr>
        <w:tabs>
          <w:tab w:val="left" w:pos="142"/>
        </w:tabs>
        <w:ind w:right="38"/>
        <w:jc w:val="both"/>
        <w:rPr>
          <w:rFonts w:ascii="Calibri" w:eastAsia="Calibri" w:hAnsi="Calibri"/>
          <w:sz w:val="22"/>
          <w:szCs w:val="22"/>
          <w:lang w:eastAsia="en-US"/>
        </w:rPr>
      </w:pPr>
      <w:r w:rsidRPr="007D3F98">
        <w:rPr>
          <w:rFonts w:ascii="Calibri" w:eastAsia="Calibri" w:hAnsi="Calibri"/>
          <w:sz w:val="22"/>
          <w:szCs w:val="22"/>
          <w:lang w:eastAsia="en-US"/>
        </w:rPr>
        <w:t>Teisminio proceso Nr. 3</w:t>
      </w:r>
      <w:r w:rsidRPr="007D3F98">
        <w:rPr>
          <w:rFonts w:ascii="Calibri" w:eastAsia="Calibri" w:hAnsi="Calibri"/>
          <w:bCs/>
          <w:sz w:val="22"/>
          <w:szCs w:val="22"/>
          <w:lang w:eastAsia="en-US"/>
        </w:rPr>
        <w:t>-61-3-03344-2019-9</w:t>
      </w:r>
    </w:p>
    <w:p w14:paraId="1A4580EA" w14:textId="77777777" w:rsidR="0036486B" w:rsidRPr="007D3F98" w:rsidRDefault="0036486B" w:rsidP="0036486B">
      <w:pPr>
        <w:tabs>
          <w:tab w:val="left" w:pos="142"/>
        </w:tabs>
        <w:ind w:right="38"/>
        <w:jc w:val="both"/>
        <w:rPr>
          <w:rFonts w:ascii="Calibri" w:eastAsia="Calibri" w:hAnsi="Calibri"/>
          <w:bCs/>
          <w:sz w:val="22"/>
          <w:szCs w:val="22"/>
          <w:lang w:eastAsia="en-US"/>
        </w:rPr>
      </w:pPr>
      <w:r w:rsidRPr="007D3F98">
        <w:rPr>
          <w:rFonts w:ascii="Calibri" w:eastAsia="Calibri" w:hAnsi="Calibri"/>
          <w:bCs/>
          <w:sz w:val="22"/>
          <w:szCs w:val="22"/>
          <w:lang w:eastAsia="en-US"/>
        </w:rPr>
        <w:t>Procesinio sprendimo kategorija 49</w:t>
      </w:r>
    </w:p>
    <w:p w14:paraId="776F423C" w14:textId="77777777" w:rsidR="0036486B" w:rsidRPr="007D3F98" w:rsidRDefault="00854B2C" w:rsidP="0036486B">
      <w:pPr>
        <w:tabs>
          <w:tab w:val="left" w:pos="142"/>
        </w:tabs>
        <w:ind w:right="38"/>
        <w:jc w:val="both"/>
        <w:rPr>
          <w:rFonts w:ascii="Calibri" w:eastAsia="Calibri" w:hAnsi="Calibri"/>
          <w:sz w:val="22"/>
          <w:szCs w:val="22"/>
          <w:lang w:eastAsia="en-US"/>
        </w:rPr>
      </w:pPr>
      <w:hyperlink r:id="rId27" w:history="1">
        <w:r w:rsidR="0036486B" w:rsidRPr="007D3F98">
          <w:rPr>
            <w:rFonts w:ascii="Calibri" w:eastAsia="Calibri" w:hAnsi="Calibri"/>
            <w:color w:val="0000FF"/>
            <w:sz w:val="22"/>
            <w:szCs w:val="22"/>
            <w:u w:val="single"/>
            <w:lang w:eastAsia="en-US"/>
          </w:rPr>
          <w:t>Prieiga internete</w:t>
        </w:r>
      </w:hyperlink>
    </w:p>
    <w:p w14:paraId="024CDE9A" w14:textId="77777777" w:rsidR="0036486B" w:rsidRPr="007D3F98" w:rsidRDefault="0036486B" w:rsidP="0036486B">
      <w:pPr>
        <w:tabs>
          <w:tab w:val="left" w:pos="142"/>
        </w:tabs>
        <w:ind w:right="38"/>
        <w:jc w:val="both"/>
        <w:rPr>
          <w:rFonts w:ascii="Calibri" w:eastAsia="Calibri" w:hAnsi="Calibri"/>
          <w:sz w:val="22"/>
          <w:szCs w:val="22"/>
          <w:lang w:eastAsia="en-US"/>
        </w:rPr>
      </w:pPr>
    </w:p>
    <w:p w14:paraId="1BFD8DE6" w14:textId="77777777" w:rsidR="007B5870" w:rsidRPr="007D3F98" w:rsidRDefault="007B5870" w:rsidP="00496E0E">
      <w:pPr>
        <w:pStyle w:val="Antrat1"/>
        <w:rPr>
          <w:rFonts w:ascii="Calibri" w:eastAsiaTheme="minorEastAsia" w:hAnsi="Calibri" w:cs="Calibri"/>
        </w:rPr>
      </w:pPr>
      <w:bookmarkStart w:id="78" w:name="_Toc462150022"/>
      <w:bookmarkStart w:id="79" w:name="_Toc29392721"/>
      <w:r w:rsidRPr="007D3F98">
        <w:rPr>
          <w:rFonts w:ascii="Calibri" w:eastAsiaTheme="minorEastAsia" w:hAnsi="Calibri" w:cs="Calibri"/>
        </w:rPr>
        <w:t>57. Bylos nagrinėjimo išlaidos</w:t>
      </w:r>
      <w:bookmarkEnd w:id="78"/>
      <w:bookmarkEnd w:id="79"/>
    </w:p>
    <w:p w14:paraId="22231212" w14:textId="5D904217" w:rsidR="005D59A4" w:rsidRPr="007D3F98" w:rsidRDefault="005D59A4" w:rsidP="00496E0E">
      <w:pPr>
        <w:ind w:firstLine="567"/>
        <w:rPr>
          <w:rFonts w:ascii="Calibri" w:eastAsiaTheme="minorEastAsia" w:hAnsi="Calibri" w:cs="Calibri"/>
          <w:b/>
          <w:sz w:val="22"/>
          <w:szCs w:val="22"/>
          <w:u w:val="single"/>
        </w:rPr>
      </w:pPr>
      <w:r w:rsidRPr="007D3F98">
        <w:rPr>
          <w:rFonts w:ascii="Calibri" w:eastAsiaTheme="minorEastAsia" w:hAnsi="Calibri" w:cs="Calibri"/>
          <w:b/>
          <w:sz w:val="22"/>
          <w:szCs w:val="22"/>
          <w:u w:val="single"/>
        </w:rPr>
        <w:t>57.3. Atstovavimo išlaidos ir jų paskirstymas</w:t>
      </w:r>
    </w:p>
    <w:p w14:paraId="6F4553F2" w14:textId="685397A0" w:rsidR="003C6914" w:rsidRPr="007D3F98" w:rsidRDefault="003C6914" w:rsidP="00496E0E">
      <w:pPr>
        <w:ind w:firstLine="567"/>
        <w:rPr>
          <w:rFonts w:ascii="Calibri" w:eastAsiaTheme="minorEastAsia" w:hAnsi="Calibri" w:cs="Calibri"/>
          <w:b/>
          <w:sz w:val="22"/>
          <w:szCs w:val="22"/>
          <w:u w:val="single"/>
        </w:rPr>
      </w:pPr>
    </w:p>
    <w:p w14:paraId="7479902A" w14:textId="178DE61A" w:rsidR="003C6914" w:rsidRPr="007D3F98" w:rsidRDefault="00793668" w:rsidP="00496E0E">
      <w:pPr>
        <w:pStyle w:val="Antrat2"/>
      </w:pPr>
      <w:bookmarkStart w:id="80" w:name="_Toc29392722"/>
      <w:r w:rsidRPr="007D3F98">
        <w:t xml:space="preserve">Dėl </w:t>
      </w:r>
      <w:r w:rsidR="00D913EE" w:rsidRPr="007D3F98">
        <w:t>termino prašymui</w:t>
      </w:r>
      <w:r w:rsidR="00E604AE" w:rsidRPr="007D3F98">
        <w:t xml:space="preserve"> dėl bylinėjimosi išlaidų atlyginimo pateik</w:t>
      </w:r>
      <w:r w:rsidR="00D913EE" w:rsidRPr="007D3F98">
        <w:t>ti</w:t>
      </w:r>
      <w:r w:rsidR="00E604AE" w:rsidRPr="007D3F98">
        <w:t xml:space="preserve"> vertinimo</w:t>
      </w:r>
      <w:bookmarkEnd w:id="80"/>
    </w:p>
    <w:p w14:paraId="769C989C" w14:textId="77777777" w:rsidR="003C6914" w:rsidRPr="007D3F98" w:rsidRDefault="003C6914" w:rsidP="00496E0E">
      <w:pPr>
        <w:rPr>
          <w:rFonts w:asciiTheme="minorHAnsi" w:hAnsiTheme="minorHAnsi" w:cstheme="minorHAnsi"/>
          <w:bCs/>
          <w:sz w:val="22"/>
          <w:szCs w:val="22"/>
        </w:rPr>
      </w:pPr>
    </w:p>
    <w:p w14:paraId="043FC769" w14:textId="171BAEC9" w:rsidR="007E7F95" w:rsidRPr="007D3F98" w:rsidRDefault="00BF1CFC" w:rsidP="007E7F95">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LVAT nagrinėjo pareiškėjo prašymą dėl bylinėjimosi išlaidų, patirtų nagrinėjant administracinę bylą apeliacinės instancijos teisme, priteisimo.</w:t>
      </w:r>
    </w:p>
    <w:p w14:paraId="28F64E21" w14:textId="1AFCFBC3" w:rsidR="00BF1CFC" w:rsidRPr="007D3F98" w:rsidRDefault="00BF1CFC" w:rsidP="00BF1CFC">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Vadovaujantis ABTĮ 40 straipsnio 1 dalimi, proceso šalis, kurios naudai priimtas sprendimas, turi teisę gauti iš kitos proceso šalies savo išlaidų atlyginimą. ABTĮ 41 straipsnio 1 dalyje (2018 m. gruodžio 20 d. įstatymo Nr. XIII-1833 redakcija) numatyta, jog dėl išlaidų atlyginimo suinteresuota proceso šalis iki bylos nagrinėjimo iš esmės pabaigos teismui pateikia prašymą raštu su išlaidų apskaičiavimu ir pagrindimu; prašymus dėl išlaidų atlyginimo teismas išnagrinėja priimdamas sprendimą dėl administracinės bylos.</w:t>
      </w:r>
    </w:p>
    <w:p w14:paraId="698D0DBA" w14:textId="77777777" w:rsidR="00BF1CFC" w:rsidRPr="007D3F98" w:rsidRDefault="00BF1CFC" w:rsidP="00BF1CFC">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 xml:space="preserve">Pareiškėjas papildomą prašymą dėl bylinėjimosi išlaidų atlyginimo raštu su išlaidų apskaičiavimu ir pagrindimu pateikė 2019 m. spalio 2 d., po bylos nagrinėjimo iš esmės pabaigos (teismo sprendimo priėmimo ir paskelbimo 2019 m. rugsėjo 25 d.), t. y. praleidęs terminą tokiam prašymui paduoti. </w:t>
      </w:r>
    </w:p>
    <w:p w14:paraId="6354934D" w14:textId="39C11ED4" w:rsidR="00BF1CFC" w:rsidRPr="007D3F98" w:rsidRDefault="00AF096E" w:rsidP="00BF1CFC">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LVAT</w:t>
      </w:r>
      <w:r w:rsidR="00BF1CFC" w:rsidRPr="007D3F98">
        <w:rPr>
          <w:rFonts w:asciiTheme="minorHAnsi" w:hAnsiTheme="minorHAnsi" w:cstheme="minorHAnsi"/>
          <w:bCs/>
          <w:sz w:val="22"/>
          <w:szCs w:val="22"/>
        </w:rPr>
        <w:t xml:space="preserve"> yra ėmęsis formuoti teisės aiškinimo praktiką, kad terminas, ABTĮ 41 straipsnio 1 dalyje nustatytas prašymui dėl bylinėjimosi išlaidų priteisimo su išlaidų apskaičiavimu ir pagrindimu paduoti, yra naikinamasis, todėl prašymo nagrinėjimas nutraukiamas (žr., pvz., 2019 m. gegužės 8 d. nuta</w:t>
      </w:r>
      <w:r w:rsidRPr="007D3F98">
        <w:rPr>
          <w:rFonts w:asciiTheme="minorHAnsi" w:hAnsiTheme="minorHAnsi" w:cstheme="minorHAnsi"/>
          <w:bCs/>
          <w:sz w:val="22"/>
          <w:szCs w:val="22"/>
        </w:rPr>
        <w:t>rtį administracinėje byloje Nr. </w:t>
      </w:r>
      <w:r w:rsidR="00BF1CFC" w:rsidRPr="007D3F98">
        <w:rPr>
          <w:rFonts w:asciiTheme="minorHAnsi" w:hAnsiTheme="minorHAnsi" w:cstheme="minorHAnsi"/>
          <w:bCs/>
          <w:sz w:val="22"/>
          <w:szCs w:val="22"/>
        </w:rPr>
        <w:t xml:space="preserve">eA-769-624/2019, 2019 m. gegužės 15 d. nutartį administracinėje byloje Nr. eA-51-624/2019). </w:t>
      </w:r>
    </w:p>
    <w:p w14:paraId="3EA3DF0B" w14:textId="33AF5AA9" w:rsidR="00BF1CFC" w:rsidRPr="007D3F98" w:rsidRDefault="00AF096E" w:rsidP="00BF1CFC">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 xml:space="preserve">Teisėjų kolegija pastebėjo, kad ABTĮ 41 straipsnio 1 dalies </w:t>
      </w:r>
      <w:r w:rsidR="00BF1CFC" w:rsidRPr="007D3F98">
        <w:rPr>
          <w:rFonts w:asciiTheme="minorHAnsi" w:hAnsiTheme="minorHAnsi" w:cstheme="minorHAnsi"/>
          <w:bCs/>
          <w:sz w:val="22"/>
          <w:szCs w:val="22"/>
        </w:rPr>
        <w:t>procesinė teisės norma, siekiant unifikuoti tapačių procesinių santykių teisinį reglamentavimą, buvo pakeista ir pakartoja CPK 98 straipsnio 1 dalies nuostatas.</w:t>
      </w:r>
    </w:p>
    <w:p w14:paraId="2FB07C51" w14:textId="62DF21ED" w:rsidR="00BF1CFC" w:rsidRPr="007D3F98" w:rsidRDefault="00AF096E" w:rsidP="00BF1CFC">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LAT</w:t>
      </w:r>
      <w:r w:rsidR="00BF1CFC" w:rsidRPr="007D3F98">
        <w:rPr>
          <w:rFonts w:asciiTheme="minorHAnsi" w:hAnsiTheme="minorHAnsi" w:cstheme="minorHAnsi"/>
          <w:bCs/>
          <w:sz w:val="22"/>
          <w:szCs w:val="22"/>
        </w:rPr>
        <w:t xml:space="preserve"> praktikoje aiškinant CPK 98 straipsnio 1 dalies taikymą nurodoma, kad dėl išlaidų advokato (advokato padėjėjo) pagalbai apmokėti priteisimo šalis turi teismui raštu pateikti prašymą su išlaidų apskaičiavimu ir pagrindimu. Pagal bendrąją taisyklę šios išlaidos negali būti priteisiamos, jeigu prašymas dėl jų priteisimo ir išlaidų dydį patvirtinantys įrodymai nepateikti iki bylos išnagrinėjimo iš esmės pabaigos. Prašymą dėl išlaidų atlyginimo ir atitinkamus įrodymus šalys gali pateikti bet kuriuo proceso metu, iš karto dėl visų išlaidų ar dalimis, svarbu, kad kiekvienoje instancijoje tai būtų padaryta iki bylos išnagrinėjimo iš esmės pabaigos (žr., pvz., </w:t>
      </w:r>
      <w:r w:rsidRPr="007D3F98">
        <w:rPr>
          <w:rFonts w:asciiTheme="minorHAnsi" w:hAnsiTheme="minorHAnsi" w:cstheme="minorHAnsi"/>
          <w:bCs/>
          <w:sz w:val="22"/>
          <w:szCs w:val="22"/>
        </w:rPr>
        <w:t>LAT</w:t>
      </w:r>
      <w:r w:rsidR="00BF1CFC" w:rsidRPr="007D3F98">
        <w:rPr>
          <w:rFonts w:asciiTheme="minorHAnsi" w:hAnsiTheme="minorHAnsi" w:cstheme="minorHAnsi"/>
          <w:bCs/>
          <w:sz w:val="22"/>
          <w:szCs w:val="22"/>
        </w:rPr>
        <w:t xml:space="preserve"> 2016 m. vasario 3 d. nutartį civilinėje byloje</w:t>
      </w:r>
      <w:r w:rsidR="00825A38" w:rsidRPr="007D3F98">
        <w:rPr>
          <w:rFonts w:asciiTheme="minorHAnsi" w:hAnsiTheme="minorHAnsi" w:cstheme="minorHAnsi"/>
          <w:bCs/>
          <w:sz w:val="22"/>
          <w:szCs w:val="22"/>
        </w:rPr>
        <w:t xml:space="preserve"> Nr. 3K-3-35-248/2016, 20 punktą</w:t>
      </w:r>
      <w:r w:rsidR="00BF1CFC" w:rsidRPr="007D3F98">
        <w:rPr>
          <w:rFonts w:asciiTheme="minorHAnsi" w:hAnsiTheme="minorHAnsi" w:cstheme="minorHAnsi"/>
          <w:bCs/>
          <w:sz w:val="22"/>
          <w:szCs w:val="22"/>
        </w:rPr>
        <w:t>).</w:t>
      </w:r>
    </w:p>
    <w:p w14:paraId="0ADFE739" w14:textId="71700AAA" w:rsidR="00AF096E" w:rsidRPr="007D3F98" w:rsidRDefault="00AF096E" w:rsidP="00AF096E">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Kasacinio teismo praktikoje taip pat pripažįstama, jog CPK 98 straipsnio 1 dalyje nustatytas teisinis reguliavimas negali būti aiškinamas ir taikomas taip, kad būtų paneigta asmens, kurio naudai priimtas sprendimas, teisė gauti jo patirtų bylinėjimosi išlaidų, be kita ko, išlaidų advokato pagalbai, atlyginimą. Dėl to CPK 98 straipsnio 1 dalies nuostatos, kad advokato ar advokato padėjėjo pagalbos išlaidos negali būti priteisiamos, jeigu prašymas jas priteisti ir išlaidų dydį patvirtinantys įrodymai nepateikti iki bylos nagrinėjimo iš esmės pabaigos, gali būti netaikomos, nustačius reikšmingas aplinkybes, įrodančias, kad asmuo neturėjo galimybės pateikti prašymo dėl atstovavimo išlaidų ir jų dydį pagrindžiančių įrodymų iki bylos nagrinėjimo iš esmės pabaigos (žr., pvz., LAT 2015 m. balandžio 15 d. nutartį civilinėje byloje Nr. 3K-3-207-313/2015; 2016 m. vasario 3 d. nutartį civilinėje byloje</w:t>
      </w:r>
      <w:r w:rsidR="00825A38" w:rsidRPr="007D3F98">
        <w:rPr>
          <w:rFonts w:asciiTheme="minorHAnsi" w:hAnsiTheme="minorHAnsi" w:cstheme="minorHAnsi"/>
          <w:bCs/>
          <w:sz w:val="22"/>
          <w:szCs w:val="22"/>
        </w:rPr>
        <w:t xml:space="preserve"> Nr. 3K-3-35-248/2016, 22 punktą</w:t>
      </w:r>
      <w:r w:rsidRPr="007D3F98">
        <w:rPr>
          <w:rFonts w:asciiTheme="minorHAnsi" w:hAnsiTheme="minorHAnsi" w:cstheme="minorHAnsi"/>
          <w:bCs/>
          <w:sz w:val="22"/>
          <w:szCs w:val="22"/>
        </w:rPr>
        <w:t>).</w:t>
      </w:r>
    </w:p>
    <w:p w14:paraId="4AB62D3B" w14:textId="5673FEB2" w:rsidR="00AF096E" w:rsidRPr="007D3F98" w:rsidRDefault="00AF096E" w:rsidP="00AF096E">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 xml:space="preserve">Taigi </w:t>
      </w:r>
      <w:r w:rsidRPr="007D3F98">
        <w:rPr>
          <w:rFonts w:asciiTheme="minorHAnsi" w:hAnsiTheme="minorHAnsi" w:cstheme="minorHAnsi"/>
          <w:bCs/>
          <w:sz w:val="22"/>
          <w:szCs w:val="22"/>
          <w:u w:val="single"/>
        </w:rPr>
        <w:t xml:space="preserve">turi būti nustatomos reikšmingos aplinkybės, įrodančios, kad asmuo neturėjo galimybės pateikti prašymo dėl atstovavimo išlaidų ir jų dydį pagrindžiančių įrodymų iki bylos nagrinėjimo iš esmės pabaigos, o </w:t>
      </w:r>
      <w:r w:rsidRPr="007D3F98">
        <w:rPr>
          <w:rFonts w:asciiTheme="minorHAnsi" w:hAnsiTheme="minorHAnsi" w:cstheme="minorHAnsi"/>
          <w:bCs/>
          <w:sz w:val="22"/>
          <w:szCs w:val="22"/>
          <w:u w:val="single"/>
        </w:rPr>
        <w:lastRenderedPageBreak/>
        <w:t xml:space="preserve">jeigu tokių nenustatoma, pripažįstama, kad asmuo prašymo dėl atstovavimo išlaidų ir jų dydį pagrindžiančių įrodymų iki bylos nagrinėjimo iš esmės pabaigos nepateikė dėl neatidumo ir nerūpestingumo, </w:t>
      </w:r>
      <w:r w:rsidR="00AA3A9D">
        <w:rPr>
          <w:rFonts w:asciiTheme="minorHAnsi" w:hAnsiTheme="minorHAnsi" w:cstheme="minorHAnsi"/>
          <w:bCs/>
          <w:sz w:val="22"/>
          <w:szCs w:val="22"/>
          <w:u w:val="single"/>
        </w:rPr>
        <w:t xml:space="preserve">ir </w:t>
      </w:r>
      <w:r w:rsidRPr="007D3F98">
        <w:rPr>
          <w:rFonts w:asciiTheme="minorHAnsi" w:hAnsiTheme="minorHAnsi" w:cstheme="minorHAnsi"/>
          <w:bCs/>
          <w:sz w:val="22"/>
          <w:szCs w:val="22"/>
          <w:u w:val="single"/>
        </w:rPr>
        <w:t>tai nulemia tokio prašymo netenkinimą</w:t>
      </w:r>
      <w:r w:rsidRPr="007D3F98">
        <w:rPr>
          <w:rFonts w:asciiTheme="minorHAnsi" w:hAnsiTheme="minorHAnsi" w:cstheme="minorHAnsi"/>
          <w:bCs/>
          <w:sz w:val="22"/>
          <w:szCs w:val="22"/>
        </w:rPr>
        <w:t xml:space="preserve"> (žr., pvz., </w:t>
      </w:r>
      <w:r w:rsidR="00825A38" w:rsidRPr="007D3F98">
        <w:rPr>
          <w:rFonts w:asciiTheme="minorHAnsi" w:hAnsiTheme="minorHAnsi" w:cstheme="minorHAnsi"/>
          <w:bCs/>
          <w:sz w:val="22"/>
          <w:szCs w:val="22"/>
        </w:rPr>
        <w:t>LAT</w:t>
      </w:r>
      <w:r w:rsidRPr="007D3F98">
        <w:rPr>
          <w:rFonts w:asciiTheme="minorHAnsi" w:hAnsiTheme="minorHAnsi" w:cstheme="minorHAnsi"/>
          <w:bCs/>
          <w:sz w:val="22"/>
          <w:szCs w:val="22"/>
        </w:rPr>
        <w:t xml:space="preserve"> 2017 m. lapkričio 2 d. nutart</w:t>
      </w:r>
      <w:r w:rsidR="002F057A">
        <w:rPr>
          <w:rFonts w:asciiTheme="minorHAnsi" w:hAnsiTheme="minorHAnsi" w:cstheme="minorHAnsi"/>
          <w:bCs/>
          <w:sz w:val="22"/>
          <w:szCs w:val="22"/>
        </w:rPr>
        <w:t>į</w:t>
      </w:r>
      <w:r w:rsidRPr="007D3F98">
        <w:rPr>
          <w:rFonts w:asciiTheme="minorHAnsi" w:hAnsiTheme="minorHAnsi" w:cstheme="minorHAnsi"/>
          <w:bCs/>
          <w:sz w:val="22"/>
          <w:szCs w:val="22"/>
        </w:rPr>
        <w:t xml:space="preserve"> civilinėje b</w:t>
      </w:r>
      <w:r w:rsidR="00825A38" w:rsidRPr="007D3F98">
        <w:rPr>
          <w:rFonts w:asciiTheme="minorHAnsi" w:hAnsiTheme="minorHAnsi" w:cstheme="minorHAnsi"/>
          <w:bCs/>
          <w:sz w:val="22"/>
          <w:szCs w:val="22"/>
        </w:rPr>
        <w:t>yloje Nr. 3K-3-378-701/2017, 29 punktą</w:t>
      </w:r>
      <w:r w:rsidRPr="007D3F98">
        <w:rPr>
          <w:rFonts w:asciiTheme="minorHAnsi" w:hAnsiTheme="minorHAnsi" w:cstheme="minorHAnsi"/>
          <w:bCs/>
          <w:sz w:val="22"/>
          <w:szCs w:val="22"/>
        </w:rPr>
        <w:t>).</w:t>
      </w:r>
    </w:p>
    <w:p w14:paraId="49F1FAC3" w14:textId="3AFEE6A7" w:rsidR="00AF096E" w:rsidRPr="007D3F98" w:rsidRDefault="00AF096E" w:rsidP="00AF096E">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 xml:space="preserve">Tapačių proceso teisės normų aiškinimas negali priklausyti nuo to, kokios jurisdikcijos teismas ją taiko. Tai niekaip nesuderinama su konstituciniu teisinio tikrumo ir teisinio apibrėžtumo principo įgyvendinimu. Šiuo klausimu oficialiojoje konstitucinėje jurisprudencijoje pažymima, jog įstatymų leidėjas turi nustatyti tokį teisinį reguliavimą, kuris ne tik užtikrintų vienodos teismų praktikos formavimą kurioje nors atskiroje tam tikros kategorijos byloms nagrinėti skirtų specializuotų teismų sistemoje, bet ir neleistų atsirasti teismų praktikos nenuoseklumams, prieštaringumams tarp specializuotų teismų ir bendrosios kompetencijos teismų (Konstitucinio Teismo 2006 m. kovo 28 d. nutarimas). Reikalavimas taikyti vienodą praktiką užtikrinančius mechanizmus kyla ir iš </w:t>
      </w:r>
      <w:r w:rsidR="00D913EE" w:rsidRPr="007D3F98">
        <w:rPr>
          <w:rFonts w:asciiTheme="minorHAnsi" w:hAnsiTheme="minorHAnsi" w:cstheme="minorHAnsi"/>
          <w:bCs/>
          <w:sz w:val="22"/>
          <w:szCs w:val="22"/>
        </w:rPr>
        <w:t>K</w:t>
      </w:r>
      <w:r w:rsidRPr="007D3F98">
        <w:rPr>
          <w:rFonts w:asciiTheme="minorHAnsi" w:hAnsiTheme="minorHAnsi" w:cstheme="minorHAnsi"/>
          <w:bCs/>
          <w:sz w:val="22"/>
          <w:szCs w:val="22"/>
        </w:rPr>
        <w:t xml:space="preserve">onvencijos 6 straipsnio 1 dalies nuostatų (išsamiau žr. </w:t>
      </w:r>
      <w:r w:rsidR="00E604AE" w:rsidRPr="007D3F98">
        <w:rPr>
          <w:rFonts w:asciiTheme="minorHAnsi" w:hAnsiTheme="minorHAnsi" w:cstheme="minorHAnsi"/>
          <w:bCs/>
          <w:sz w:val="22"/>
          <w:szCs w:val="22"/>
        </w:rPr>
        <w:t>EŽTT</w:t>
      </w:r>
      <w:r w:rsidRPr="007D3F98">
        <w:rPr>
          <w:rFonts w:asciiTheme="minorHAnsi" w:hAnsiTheme="minorHAnsi" w:cstheme="minorHAnsi"/>
          <w:bCs/>
          <w:sz w:val="22"/>
          <w:szCs w:val="22"/>
        </w:rPr>
        <w:t xml:space="preserve"> 2019 m. gegužės 23 d. sprendimą byloje </w:t>
      </w:r>
      <w:r w:rsidRPr="007D3F98">
        <w:rPr>
          <w:rFonts w:asciiTheme="minorHAnsi" w:hAnsiTheme="minorHAnsi" w:cstheme="minorHAnsi"/>
          <w:bCs/>
          <w:i/>
          <w:iCs/>
          <w:sz w:val="22"/>
          <w:szCs w:val="22"/>
        </w:rPr>
        <w:t>Affaire Sine Tsaggarakis A.E.E prieš Graikiją</w:t>
      </w:r>
      <w:r w:rsidRPr="007D3F98">
        <w:rPr>
          <w:rFonts w:asciiTheme="minorHAnsi" w:hAnsiTheme="minorHAnsi" w:cstheme="minorHAnsi"/>
          <w:bCs/>
          <w:sz w:val="22"/>
          <w:szCs w:val="22"/>
        </w:rPr>
        <w:t> (pareiškimo Nr. 17257/13) ir jame nurodytą teismo praktiką). </w:t>
      </w:r>
      <w:r w:rsidRPr="007D3F98">
        <w:rPr>
          <w:rFonts w:asciiTheme="minorHAnsi" w:hAnsiTheme="minorHAnsi" w:cstheme="minorHAnsi"/>
          <w:bCs/>
          <w:sz w:val="22"/>
          <w:szCs w:val="22"/>
          <w:u w:val="single"/>
        </w:rPr>
        <w:t>Atsižvelgus į tai, kad, kaip minėta, ABTĮ 41 strai</w:t>
      </w:r>
      <w:r w:rsidR="009F2273" w:rsidRPr="007D3F98">
        <w:rPr>
          <w:rFonts w:asciiTheme="minorHAnsi" w:hAnsiTheme="minorHAnsi" w:cstheme="minorHAnsi"/>
          <w:bCs/>
          <w:sz w:val="22"/>
          <w:szCs w:val="22"/>
          <w:u w:val="single"/>
        </w:rPr>
        <w:t>psnio 1 dalies nuostata priimta</w:t>
      </w:r>
      <w:r w:rsidRPr="007D3F98">
        <w:rPr>
          <w:rFonts w:asciiTheme="minorHAnsi" w:hAnsiTheme="minorHAnsi" w:cstheme="minorHAnsi"/>
          <w:bCs/>
          <w:sz w:val="22"/>
          <w:szCs w:val="22"/>
          <w:u w:val="single"/>
        </w:rPr>
        <w:t xml:space="preserve"> siekiant unifikuoti tapačių procesinių santykių teisinį reglamentavimą</w:t>
      </w:r>
      <w:bookmarkStart w:id="81" w:name="_GoBack"/>
      <w:bookmarkEnd w:id="81"/>
      <w:r w:rsidRPr="007D3F98">
        <w:rPr>
          <w:rFonts w:asciiTheme="minorHAnsi" w:hAnsiTheme="minorHAnsi" w:cstheme="minorHAnsi"/>
          <w:bCs/>
          <w:sz w:val="22"/>
          <w:szCs w:val="22"/>
          <w:u w:val="single"/>
        </w:rPr>
        <w:t xml:space="preserve"> bei siekiant užtikrinti vienodą teismų praktiką, šioje byloje taikytinas teisės aiškinimas, suformuotas </w:t>
      </w:r>
      <w:r w:rsidR="00D913EE" w:rsidRPr="007D3F98">
        <w:rPr>
          <w:rFonts w:asciiTheme="minorHAnsi" w:hAnsiTheme="minorHAnsi" w:cstheme="minorHAnsi"/>
          <w:bCs/>
          <w:sz w:val="22"/>
          <w:szCs w:val="22"/>
          <w:u w:val="single"/>
        </w:rPr>
        <w:t>LAT</w:t>
      </w:r>
      <w:r w:rsidRPr="007D3F98">
        <w:rPr>
          <w:rFonts w:asciiTheme="minorHAnsi" w:hAnsiTheme="minorHAnsi" w:cstheme="minorHAnsi"/>
          <w:bCs/>
          <w:sz w:val="22"/>
          <w:szCs w:val="22"/>
          <w:u w:val="single"/>
        </w:rPr>
        <w:t xml:space="preserve"> praktikoje, taikant CPK 98 straipsnio 1 dalies nuostatas.</w:t>
      </w:r>
    </w:p>
    <w:p w14:paraId="632DEBDF" w14:textId="4125A00A" w:rsidR="00AF096E" w:rsidRPr="007D3F98" w:rsidRDefault="004710EA" w:rsidP="00AF096E">
      <w:pPr>
        <w:ind w:firstLine="567"/>
        <w:jc w:val="both"/>
        <w:rPr>
          <w:rFonts w:asciiTheme="minorHAnsi" w:hAnsiTheme="minorHAnsi" w:cstheme="minorHAnsi"/>
          <w:bCs/>
          <w:sz w:val="22"/>
          <w:szCs w:val="22"/>
        </w:rPr>
      </w:pPr>
      <w:r w:rsidRPr="007D3F98">
        <w:rPr>
          <w:rFonts w:asciiTheme="minorHAnsi" w:hAnsiTheme="minorHAnsi" w:cstheme="minorHAnsi"/>
          <w:bCs/>
          <w:sz w:val="22"/>
          <w:szCs w:val="22"/>
        </w:rPr>
        <w:t>Pareiškėjas nurodė</w:t>
      </w:r>
      <w:r w:rsidR="00AF096E" w:rsidRPr="007D3F98">
        <w:rPr>
          <w:rFonts w:asciiTheme="minorHAnsi" w:hAnsiTheme="minorHAnsi" w:cstheme="minorHAnsi"/>
          <w:bCs/>
          <w:sz w:val="22"/>
          <w:szCs w:val="22"/>
        </w:rPr>
        <w:t xml:space="preserve">, kad </w:t>
      </w:r>
      <w:r w:rsidR="00D913EE" w:rsidRPr="007D3F98">
        <w:rPr>
          <w:rFonts w:asciiTheme="minorHAnsi" w:hAnsiTheme="minorHAnsi" w:cstheme="minorHAnsi"/>
          <w:bCs/>
          <w:sz w:val="22"/>
          <w:szCs w:val="22"/>
        </w:rPr>
        <w:t>LVAT</w:t>
      </w:r>
      <w:r w:rsidR="00AF096E" w:rsidRPr="007D3F98">
        <w:rPr>
          <w:rFonts w:asciiTheme="minorHAnsi" w:hAnsiTheme="minorHAnsi" w:cstheme="minorHAnsi"/>
          <w:bCs/>
          <w:sz w:val="22"/>
          <w:szCs w:val="22"/>
        </w:rPr>
        <w:t xml:space="preserve"> priėmė nutartį, kuria bylą paskyrė nagrinėti žodinio proceso tvarka 2019 d. rugsėjo 18 d.</w:t>
      </w:r>
      <w:r w:rsidR="00D913EE" w:rsidRPr="007D3F98">
        <w:rPr>
          <w:rFonts w:asciiTheme="minorHAnsi" w:hAnsiTheme="minorHAnsi" w:cstheme="minorHAnsi"/>
          <w:bCs/>
          <w:sz w:val="22"/>
          <w:szCs w:val="22"/>
        </w:rPr>
        <w:t>,</w:t>
      </w:r>
      <w:r w:rsidR="00AF096E" w:rsidRPr="007D3F98">
        <w:rPr>
          <w:rFonts w:asciiTheme="minorHAnsi" w:hAnsiTheme="minorHAnsi" w:cstheme="minorHAnsi"/>
          <w:bCs/>
          <w:sz w:val="22"/>
          <w:szCs w:val="22"/>
        </w:rPr>
        <w:t xml:space="preserve"> ir dėl to jam susidarė papildomos bylinėjimosi išlaidos, kurios sudaro 300 Eur. Byloje jokių argumentų, kodėl pareiškėjas negalėjo pateikti prašymo iki bylos nagrinėjimo iš esmės apeliacinės instancijos teisme pabaigos, nepateikta, todėl </w:t>
      </w:r>
      <w:r w:rsidR="00D913EE" w:rsidRPr="007D3F98">
        <w:rPr>
          <w:rFonts w:asciiTheme="minorHAnsi" w:hAnsiTheme="minorHAnsi" w:cstheme="minorHAnsi"/>
          <w:bCs/>
          <w:sz w:val="22"/>
          <w:szCs w:val="22"/>
        </w:rPr>
        <w:t>pareiškėjo prašymas netenkint</w:t>
      </w:r>
      <w:r w:rsidR="00AF096E" w:rsidRPr="007D3F98">
        <w:rPr>
          <w:rFonts w:asciiTheme="minorHAnsi" w:hAnsiTheme="minorHAnsi" w:cstheme="minorHAnsi"/>
          <w:bCs/>
          <w:sz w:val="22"/>
          <w:szCs w:val="22"/>
        </w:rPr>
        <w:t>as.</w:t>
      </w:r>
    </w:p>
    <w:p w14:paraId="16174E18" w14:textId="77777777" w:rsidR="00BF1CFC" w:rsidRPr="007D3F98" w:rsidRDefault="00BF1CFC" w:rsidP="007E7F95">
      <w:pPr>
        <w:ind w:firstLine="567"/>
        <w:jc w:val="both"/>
        <w:rPr>
          <w:rFonts w:asciiTheme="minorHAnsi" w:hAnsiTheme="minorHAnsi" w:cstheme="minorHAnsi"/>
          <w:bCs/>
          <w:sz w:val="22"/>
          <w:szCs w:val="22"/>
        </w:rPr>
      </w:pPr>
    </w:p>
    <w:p w14:paraId="714A0479" w14:textId="11D2DE15" w:rsidR="00BF1CFC" w:rsidRPr="007D3F98" w:rsidRDefault="00254EF7" w:rsidP="00BF1CFC">
      <w:pPr>
        <w:jc w:val="both"/>
        <w:rPr>
          <w:rFonts w:asciiTheme="minorHAnsi" w:hAnsiTheme="minorHAnsi" w:cstheme="minorHAnsi"/>
          <w:bCs/>
          <w:sz w:val="22"/>
          <w:szCs w:val="22"/>
        </w:rPr>
      </w:pPr>
      <w:r w:rsidRPr="007D3F98">
        <w:rPr>
          <w:rFonts w:asciiTheme="minorHAnsi" w:hAnsiTheme="minorHAnsi" w:cstheme="minorHAnsi"/>
          <w:sz w:val="22"/>
          <w:szCs w:val="22"/>
        </w:rPr>
        <w:t xml:space="preserve">2019 m. </w:t>
      </w:r>
      <w:r w:rsidR="00BF1CFC" w:rsidRPr="007D3F98">
        <w:rPr>
          <w:rFonts w:asciiTheme="minorHAnsi" w:hAnsiTheme="minorHAnsi" w:cstheme="minorHAnsi"/>
          <w:sz w:val="22"/>
          <w:szCs w:val="22"/>
        </w:rPr>
        <w:t>lapkričio 13</w:t>
      </w:r>
      <w:r w:rsidRPr="007D3F98">
        <w:rPr>
          <w:rFonts w:asciiTheme="minorHAnsi" w:hAnsiTheme="minorHAnsi" w:cstheme="minorHAnsi"/>
          <w:bCs/>
          <w:sz w:val="22"/>
          <w:szCs w:val="22"/>
        </w:rPr>
        <w:t xml:space="preserve"> d. nutartis administracinėje byloje </w:t>
      </w:r>
      <w:r w:rsidR="00BF1CFC" w:rsidRPr="007D3F98">
        <w:rPr>
          <w:rFonts w:asciiTheme="minorHAnsi" w:hAnsiTheme="minorHAnsi" w:cstheme="minorHAnsi"/>
          <w:bCs/>
          <w:sz w:val="22"/>
          <w:szCs w:val="22"/>
        </w:rPr>
        <w:t>Nr. eA-804-415/2019</w:t>
      </w:r>
    </w:p>
    <w:p w14:paraId="3F9A9530" w14:textId="77777777" w:rsidR="00BF1CFC" w:rsidRPr="007D3F98" w:rsidRDefault="00BF1CFC" w:rsidP="00BF1CFC">
      <w:pPr>
        <w:jc w:val="both"/>
        <w:rPr>
          <w:rFonts w:asciiTheme="minorHAnsi" w:hAnsiTheme="minorHAnsi" w:cstheme="minorHAnsi"/>
          <w:bCs/>
          <w:sz w:val="22"/>
          <w:szCs w:val="22"/>
        </w:rPr>
      </w:pPr>
      <w:r w:rsidRPr="007D3F98">
        <w:rPr>
          <w:rFonts w:asciiTheme="minorHAnsi" w:hAnsiTheme="minorHAnsi" w:cstheme="minorHAnsi"/>
          <w:bCs/>
          <w:sz w:val="22"/>
          <w:szCs w:val="22"/>
        </w:rPr>
        <w:t>Teisminio proceso Nr. 3-61-3-02858-2017-6</w:t>
      </w:r>
    </w:p>
    <w:p w14:paraId="285A1666" w14:textId="77777777" w:rsidR="00BF1CFC" w:rsidRPr="007D3F98" w:rsidRDefault="00BF1CFC" w:rsidP="00BF1CFC">
      <w:pPr>
        <w:jc w:val="both"/>
        <w:rPr>
          <w:rFonts w:asciiTheme="minorHAnsi" w:hAnsiTheme="minorHAnsi" w:cstheme="minorHAnsi"/>
          <w:bCs/>
          <w:sz w:val="22"/>
          <w:szCs w:val="22"/>
        </w:rPr>
      </w:pPr>
      <w:r w:rsidRPr="007D3F98">
        <w:rPr>
          <w:rFonts w:asciiTheme="minorHAnsi" w:hAnsiTheme="minorHAnsi" w:cstheme="minorHAnsi"/>
          <w:bCs/>
          <w:sz w:val="22"/>
          <w:szCs w:val="22"/>
        </w:rPr>
        <w:t>Procesinio sprendimo kategorijos: 53.8; 57.3</w:t>
      </w:r>
    </w:p>
    <w:p w14:paraId="00530074" w14:textId="37F15F5E" w:rsidR="00254EF7" w:rsidRPr="007D3F98" w:rsidRDefault="00854B2C" w:rsidP="00BF1CFC">
      <w:pPr>
        <w:jc w:val="both"/>
        <w:rPr>
          <w:rStyle w:val="Hipersaitas"/>
          <w:rFonts w:asciiTheme="minorHAnsi" w:hAnsiTheme="minorHAnsi" w:cstheme="minorHAnsi"/>
          <w:sz w:val="22"/>
          <w:szCs w:val="22"/>
        </w:rPr>
      </w:pPr>
      <w:hyperlink r:id="rId28" w:history="1">
        <w:r w:rsidR="00254EF7" w:rsidRPr="007D3F98">
          <w:rPr>
            <w:rStyle w:val="Hipersaitas"/>
            <w:rFonts w:asciiTheme="minorHAnsi" w:hAnsiTheme="minorHAnsi" w:cstheme="minorHAnsi"/>
            <w:sz w:val="22"/>
            <w:szCs w:val="22"/>
          </w:rPr>
          <w:t>Prieiga internete</w:t>
        </w:r>
      </w:hyperlink>
    </w:p>
    <w:p w14:paraId="45C5A38E" w14:textId="77777777" w:rsidR="00072C40" w:rsidRPr="007D3F98" w:rsidRDefault="00072C40" w:rsidP="00496E0E">
      <w:pPr>
        <w:jc w:val="center"/>
        <w:rPr>
          <w:rFonts w:asciiTheme="minorHAnsi" w:hAnsiTheme="minorHAnsi" w:cstheme="minorHAnsi"/>
          <w:sz w:val="22"/>
          <w:szCs w:val="22"/>
        </w:rPr>
      </w:pPr>
    </w:p>
    <w:p w14:paraId="7944FA90" w14:textId="77777777" w:rsidR="00BA46C8" w:rsidRPr="007D3F98" w:rsidRDefault="00BA46C8" w:rsidP="00BA46C8">
      <w:pPr>
        <w:pStyle w:val="Antrat1"/>
        <w:rPr>
          <w:rFonts w:ascii="Calibri" w:hAnsi="Calibri"/>
        </w:rPr>
      </w:pPr>
      <w:bookmarkStart w:id="82" w:name="_Toc196533666"/>
      <w:bookmarkStart w:id="83" w:name="_Toc774968"/>
      <w:bookmarkStart w:id="84" w:name="_Toc29392723"/>
      <w:r w:rsidRPr="007D3F98">
        <w:rPr>
          <w:rFonts w:ascii="Calibri" w:hAnsi="Calibri"/>
        </w:rPr>
        <w:t>59. Apeliacinis procesas</w:t>
      </w:r>
      <w:bookmarkEnd w:id="82"/>
      <w:bookmarkEnd w:id="83"/>
      <w:bookmarkEnd w:id="84"/>
    </w:p>
    <w:p w14:paraId="664D6550" w14:textId="77777777" w:rsidR="00BA46C8" w:rsidRPr="007D3F98" w:rsidRDefault="00BA46C8" w:rsidP="00BA46C8">
      <w:pPr>
        <w:ind w:firstLine="567"/>
        <w:jc w:val="both"/>
        <w:rPr>
          <w:rFonts w:ascii="Calibri" w:hAnsi="Calibri"/>
          <w:b/>
          <w:sz w:val="22"/>
          <w:szCs w:val="22"/>
          <w:u w:val="single"/>
        </w:rPr>
      </w:pPr>
      <w:r w:rsidRPr="007D3F98">
        <w:rPr>
          <w:rFonts w:ascii="Calibri" w:hAnsi="Calibri"/>
          <w:b/>
          <w:sz w:val="22"/>
          <w:szCs w:val="22"/>
          <w:u w:val="single"/>
        </w:rPr>
        <w:t>59.1. Bylų pagal apeliacinius skundus procesas</w:t>
      </w:r>
    </w:p>
    <w:p w14:paraId="4234A9C5" w14:textId="77777777" w:rsidR="00BA46C8" w:rsidRPr="007D3F98" w:rsidRDefault="00BA46C8" w:rsidP="00BA46C8">
      <w:pPr>
        <w:ind w:firstLine="1134"/>
        <w:jc w:val="both"/>
        <w:rPr>
          <w:rFonts w:ascii="Calibri" w:hAnsi="Calibri"/>
          <w:b/>
          <w:sz w:val="22"/>
          <w:szCs w:val="22"/>
          <w:u w:val="single"/>
        </w:rPr>
      </w:pPr>
      <w:r w:rsidRPr="007D3F98">
        <w:rPr>
          <w:rFonts w:ascii="Calibri" w:hAnsi="Calibri"/>
          <w:b/>
          <w:sz w:val="22"/>
          <w:szCs w:val="22"/>
          <w:u w:val="single"/>
        </w:rPr>
        <w:t xml:space="preserve">59.1.5. Sprendimo negaliojimo pagrindai </w:t>
      </w:r>
    </w:p>
    <w:p w14:paraId="7961C022" w14:textId="77777777"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p>
    <w:p w14:paraId="3614C2D3" w14:textId="77777777" w:rsidR="00BA46C8" w:rsidRPr="007D3F98" w:rsidRDefault="00BA46C8" w:rsidP="00BA46C8">
      <w:pPr>
        <w:pStyle w:val="Antrat2"/>
        <w:rPr>
          <w:rFonts w:ascii="Calibri" w:hAnsi="Calibri"/>
        </w:rPr>
      </w:pPr>
      <w:bookmarkStart w:id="85" w:name="_Toc29392724"/>
      <w:r w:rsidRPr="007D3F98">
        <w:rPr>
          <w:rFonts w:ascii="Calibri" w:hAnsi="Calibri"/>
        </w:rPr>
        <w:t>Dėl teismo sudėties keitimo tvarkos</w:t>
      </w:r>
      <w:bookmarkEnd w:id="85"/>
      <w:r w:rsidRPr="007D3F98">
        <w:rPr>
          <w:rFonts w:ascii="Calibri" w:hAnsi="Calibri"/>
        </w:rPr>
        <w:t xml:space="preserve"> </w:t>
      </w:r>
    </w:p>
    <w:p w14:paraId="5582F6D6" w14:textId="77777777"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p>
    <w:p w14:paraId="1C4455F2" w14:textId="37B74459"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Byloje kilo ginčas dėl Valstybinės duomenų apsaugos inspekcijos direktoriaus įsakymo, kuriuo pareiškėjai skirta tarnybinė nuobauda – papeikimas, už tarnybinį nusižengimą</w:t>
      </w:r>
      <w:r w:rsidR="002101EB">
        <w:rPr>
          <w:rFonts w:ascii="Calibri" w:eastAsia="Calibri" w:hAnsi="Calibri" w:cs="Calibri"/>
          <w:color w:val="000000"/>
          <w:sz w:val="22"/>
          <w:szCs w:val="22"/>
          <w:shd w:val="clear" w:color="auto" w:fill="FFFFFF"/>
          <w:lang w:eastAsia="en-US"/>
        </w:rPr>
        <w:t>,</w:t>
      </w:r>
      <w:r w:rsidRPr="007D3F98">
        <w:rPr>
          <w:rFonts w:ascii="Calibri" w:eastAsia="Calibri" w:hAnsi="Calibri" w:cs="Calibri"/>
          <w:color w:val="000000"/>
          <w:sz w:val="22"/>
          <w:szCs w:val="22"/>
          <w:shd w:val="clear" w:color="auto" w:fill="FFFFFF"/>
          <w:lang w:eastAsia="en-US"/>
        </w:rPr>
        <w:t xml:space="preserve"> teisėtumo ir pagrįstumo. Pirmosios instancijos teismas pareiškėjos skundą patenkino iš dalies ir jai skirtą tarnybinę nuobaudą pakeitė švelnesne – pastaba. Apeliacinį skundą, nesutikdama su pirmosios instancijos teismo sprendimu, padavė pareiškėja, motyvuodama tuo, kad teismas netinkamai taikė materialines ir procesines teisės normas, netinkamai vertino įrodymus, nukrypo nuo </w:t>
      </w:r>
      <w:r w:rsidR="002D5E50" w:rsidRPr="007D3F98">
        <w:rPr>
          <w:rFonts w:ascii="Calibri" w:eastAsia="Calibri" w:hAnsi="Calibri" w:cs="Calibri"/>
          <w:color w:val="000000"/>
          <w:sz w:val="22"/>
          <w:szCs w:val="22"/>
          <w:shd w:val="clear" w:color="auto" w:fill="FFFFFF"/>
          <w:lang w:eastAsia="en-US"/>
        </w:rPr>
        <w:t>LVAT</w:t>
      </w:r>
      <w:r w:rsidRPr="007D3F98">
        <w:rPr>
          <w:rFonts w:ascii="Calibri" w:eastAsia="Calibri" w:hAnsi="Calibri" w:cs="Calibri"/>
          <w:color w:val="000000"/>
          <w:sz w:val="22"/>
          <w:szCs w:val="22"/>
          <w:shd w:val="clear" w:color="auto" w:fill="FFFFFF"/>
          <w:lang w:eastAsia="en-US"/>
        </w:rPr>
        <w:t xml:space="preserve"> praktikos panašaus pobūdžio bylose.</w:t>
      </w:r>
    </w:p>
    <w:p w14:paraId="04A1F577" w14:textId="2BED1A14"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Bylą nagrinėjusi </w:t>
      </w:r>
      <w:r w:rsidR="002D5E50" w:rsidRPr="007D3F98">
        <w:rPr>
          <w:rFonts w:ascii="Calibri" w:eastAsia="Calibri" w:hAnsi="Calibri" w:cs="Calibri"/>
          <w:color w:val="000000"/>
          <w:sz w:val="22"/>
          <w:szCs w:val="22"/>
          <w:shd w:val="clear" w:color="auto" w:fill="FFFFFF"/>
          <w:lang w:eastAsia="en-US"/>
        </w:rPr>
        <w:t>LVAT</w:t>
      </w:r>
      <w:r w:rsidRPr="007D3F98">
        <w:rPr>
          <w:rFonts w:ascii="Calibri" w:eastAsia="Calibri" w:hAnsi="Calibri" w:cs="Calibri"/>
          <w:color w:val="000000"/>
          <w:sz w:val="22"/>
          <w:szCs w:val="22"/>
          <w:shd w:val="clear" w:color="auto" w:fill="FFFFFF"/>
          <w:lang w:eastAsia="en-US"/>
        </w:rPr>
        <w:t xml:space="preserve"> teisėjų kolegija nustatė, jog pirmosios instancijos teismo teisėja</w:t>
      </w:r>
      <w:r w:rsidR="002101EB">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 </w:t>
      </w:r>
      <w:r w:rsidR="002101EB" w:rsidRPr="007D3F98">
        <w:rPr>
          <w:rFonts w:ascii="Calibri" w:eastAsia="Calibri" w:hAnsi="Calibri" w:cs="Calibri"/>
          <w:color w:val="000000"/>
          <w:sz w:val="22"/>
          <w:szCs w:val="22"/>
          <w:shd w:val="clear" w:color="auto" w:fill="FFFFFF"/>
          <w:lang w:eastAsia="en-US"/>
        </w:rPr>
        <w:t>susipažin</w:t>
      </w:r>
      <w:r w:rsidR="002101EB">
        <w:rPr>
          <w:rFonts w:ascii="Calibri" w:eastAsia="Calibri" w:hAnsi="Calibri" w:cs="Calibri"/>
          <w:color w:val="000000"/>
          <w:sz w:val="22"/>
          <w:szCs w:val="22"/>
          <w:shd w:val="clear" w:color="auto" w:fill="FFFFFF"/>
          <w:lang w:eastAsia="en-US"/>
        </w:rPr>
        <w:t>ęs</w:t>
      </w:r>
      <w:r w:rsidR="002101EB" w:rsidRPr="007D3F98">
        <w:rPr>
          <w:rFonts w:ascii="Calibri" w:eastAsia="Calibri" w:hAnsi="Calibri" w:cs="Calibri"/>
          <w:color w:val="000000"/>
          <w:sz w:val="22"/>
          <w:szCs w:val="22"/>
          <w:shd w:val="clear" w:color="auto" w:fill="FFFFFF"/>
          <w:lang w:eastAsia="en-US"/>
        </w:rPr>
        <w:t xml:space="preserve"> </w:t>
      </w:r>
      <w:r w:rsidRPr="007D3F98">
        <w:rPr>
          <w:rFonts w:ascii="Calibri" w:eastAsia="Calibri" w:hAnsi="Calibri" w:cs="Calibri"/>
          <w:color w:val="000000"/>
          <w:sz w:val="22"/>
          <w:szCs w:val="22"/>
          <w:shd w:val="clear" w:color="auto" w:fill="FFFFFF"/>
          <w:lang w:eastAsia="en-US"/>
        </w:rPr>
        <w:t>su administracine byla pagal pareiškėjos skundą</w:t>
      </w:r>
      <w:r w:rsidR="002808D0">
        <w:rPr>
          <w:rFonts w:ascii="Calibri" w:eastAsia="Calibri" w:hAnsi="Calibri" w:cs="Calibri"/>
          <w:color w:val="000000"/>
          <w:sz w:val="22"/>
          <w:szCs w:val="22"/>
          <w:shd w:val="clear" w:color="auto" w:fill="FFFFFF"/>
          <w:lang w:eastAsia="en-US"/>
        </w:rPr>
        <w:t>,</w:t>
      </w:r>
      <w:r w:rsidRPr="007D3F98">
        <w:rPr>
          <w:rFonts w:ascii="Calibri" w:eastAsia="Calibri" w:hAnsi="Calibri" w:cs="Calibri"/>
          <w:color w:val="000000"/>
          <w:sz w:val="22"/>
          <w:szCs w:val="22"/>
          <w:shd w:val="clear" w:color="auto" w:fill="FFFFFF"/>
          <w:lang w:eastAsia="en-US"/>
        </w:rPr>
        <w:t xml:space="preserve"> nustatė, jog nėra kliūčių nagrin</w:t>
      </w:r>
      <w:r w:rsidR="002D5E50" w:rsidRPr="007D3F98">
        <w:rPr>
          <w:rFonts w:ascii="Calibri" w:eastAsia="Calibri" w:hAnsi="Calibri" w:cs="Calibri"/>
          <w:color w:val="000000"/>
          <w:sz w:val="22"/>
          <w:szCs w:val="22"/>
          <w:shd w:val="clear" w:color="auto" w:fill="FFFFFF"/>
          <w:lang w:eastAsia="en-US"/>
        </w:rPr>
        <w:t>ėti bylą. Vadovaudamasi ABTĮ 64 </w:t>
      </w:r>
      <w:r w:rsidRPr="007D3F98">
        <w:rPr>
          <w:rFonts w:ascii="Calibri" w:eastAsia="Calibri" w:hAnsi="Calibri" w:cs="Calibri"/>
          <w:color w:val="000000"/>
          <w:sz w:val="22"/>
          <w:szCs w:val="22"/>
          <w:shd w:val="clear" w:color="auto" w:fill="FFFFFF"/>
          <w:lang w:eastAsia="en-US"/>
        </w:rPr>
        <w:t>straipsniu, 67 straipsnio 2, 4 ir 5 dalimis bei 71 straipsniu nutarė baigti pasiruošimą nagrinėti administracinę bylą</w:t>
      </w:r>
      <w:r w:rsidR="002101EB">
        <w:rPr>
          <w:rFonts w:ascii="Calibri" w:eastAsia="Calibri" w:hAnsi="Calibri" w:cs="Calibri"/>
          <w:color w:val="000000"/>
          <w:sz w:val="22"/>
          <w:szCs w:val="22"/>
          <w:shd w:val="clear" w:color="auto" w:fill="FFFFFF"/>
          <w:lang w:eastAsia="en-US"/>
        </w:rPr>
        <w:t>,</w:t>
      </w:r>
      <w:r w:rsidRPr="007D3F98">
        <w:rPr>
          <w:rFonts w:ascii="Calibri" w:eastAsia="Calibri" w:hAnsi="Calibri" w:cs="Calibri"/>
          <w:color w:val="000000"/>
          <w:sz w:val="22"/>
          <w:szCs w:val="22"/>
          <w:shd w:val="clear" w:color="auto" w:fill="FFFFFF"/>
          <w:lang w:eastAsia="en-US"/>
        </w:rPr>
        <w:t xml:space="preserve"> siūlyti teismo pirmininkui skirti bylą nagrinėti teismo posėdyje. Pirmosios instancijos teismo pirminink</w:t>
      </w:r>
      <w:r w:rsidR="002101EB">
        <w:rPr>
          <w:rFonts w:ascii="Calibri" w:eastAsia="Calibri" w:hAnsi="Calibri" w:cs="Calibri"/>
          <w:color w:val="000000"/>
          <w:sz w:val="22"/>
          <w:szCs w:val="22"/>
          <w:shd w:val="clear" w:color="auto" w:fill="FFFFFF"/>
          <w:lang w:eastAsia="en-US"/>
        </w:rPr>
        <w:t>as</w:t>
      </w:r>
      <w:r w:rsidRPr="007D3F98">
        <w:rPr>
          <w:rFonts w:ascii="Calibri" w:eastAsia="Calibri" w:hAnsi="Calibri" w:cs="Calibri"/>
          <w:color w:val="000000"/>
          <w:sz w:val="22"/>
          <w:szCs w:val="22"/>
          <w:shd w:val="clear" w:color="auto" w:fill="FFFFFF"/>
          <w:lang w:eastAsia="en-US"/>
        </w:rPr>
        <w:t xml:space="preserve"> nutartimi nutarė sudaryti šią kolegiją minėtai bylai nagrinėti ir bylą skyrė nagrinėti teismo posėdyje. Tačiau vienasmeniška nutartimi šioje byloje paskirta</w:t>
      </w:r>
      <w:r w:rsidR="002101EB">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 teisėjų kolegijos pirminink</w:t>
      </w:r>
      <w:r w:rsidR="002101EB">
        <w:rPr>
          <w:rFonts w:ascii="Calibri" w:eastAsia="Calibri" w:hAnsi="Calibri" w:cs="Calibri"/>
          <w:color w:val="000000"/>
          <w:sz w:val="22"/>
          <w:szCs w:val="22"/>
          <w:shd w:val="clear" w:color="auto" w:fill="FFFFFF"/>
          <w:lang w:eastAsia="en-US"/>
        </w:rPr>
        <w:t>as</w:t>
      </w:r>
      <w:r w:rsidRPr="007D3F98">
        <w:rPr>
          <w:rFonts w:ascii="Calibri" w:eastAsia="Calibri" w:hAnsi="Calibri" w:cs="Calibri"/>
          <w:color w:val="000000"/>
          <w:sz w:val="22"/>
          <w:szCs w:val="22"/>
          <w:shd w:val="clear" w:color="auto" w:fill="FFFFFF"/>
          <w:lang w:eastAsia="en-US"/>
        </w:rPr>
        <w:t xml:space="preserve"> ir pranešėja</w:t>
      </w:r>
      <w:bookmarkStart w:id="86" w:name="Buk_24"/>
      <w:r w:rsidR="002101EB">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 </w:t>
      </w:r>
      <w:bookmarkEnd w:id="86"/>
      <w:r w:rsidRPr="007D3F98">
        <w:rPr>
          <w:rFonts w:ascii="Calibri" w:eastAsia="Calibri" w:hAnsi="Calibri" w:cs="Calibri"/>
          <w:color w:val="000000"/>
          <w:sz w:val="22"/>
          <w:szCs w:val="22"/>
          <w:shd w:val="clear" w:color="auto" w:fill="FFFFFF"/>
          <w:lang w:eastAsia="en-US"/>
        </w:rPr>
        <w:t>nutarė bylą nagrinėti vienasmeniškai ir teismo posėdį perkelti į kitą dieną, atsižvelgdama</w:t>
      </w:r>
      <w:r w:rsidR="002101EB">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 į pareiškėjos atstovo prašymą. Priimdama</w:t>
      </w:r>
      <w:r w:rsidR="002101EB">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 ir pasirašydama</w:t>
      </w:r>
      <w:r w:rsidR="002101EB">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 šią nutartį, teisėja</w:t>
      </w:r>
      <w:r w:rsidR="002101EB">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 nurodė, kad vadovaujasi </w:t>
      </w:r>
      <w:r w:rsidR="002D5E50" w:rsidRPr="007D3F98">
        <w:rPr>
          <w:rFonts w:ascii="Calibri" w:eastAsia="Calibri" w:hAnsi="Calibri" w:cs="Calibri"/>
          <w:color w:val="000000"/>
          <w:sz w:val="22"/>
          <w:szCs w:val="22"/>
          <w:shd w:val="clear" w:color="auto" w:fill="FFFFFF"/>
          <w:lang w:eastAsia="en-US"/>
        </w:rPr>
        <w:t>ABTĮ</w:t>
      </w:r>
      <w:r w:rsidRPr="007D3F98">
        <w:rPr>
          <w:rFonts w:ascii="Calibri" w:eastAsia="Calibri" w:hAnsi="Calibri" w:cs="Calibri"/>
          <w:color w:val="000000"/>
          <w:sz w:val="22"/>
          <w:szCs w:val="22"/>
          <w:shd w:val="clear" w:color="auto" w:fill="FFFFFF"/>
          <w:lang w:eastAsia="en-US"/>
        </w:rPr>
        <w:t xml:space="preserve"> 43 straipsnio 1 dalimi, 67, 107 ir 108 straipsniais.</w:t>
      </w:r>
    </w:p>
    <w:p w14:paraId="545293D2" w14:textId="510BBC5C"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 xml:space="preserve">LVAT, įvertinęs ABTĮ 43 straipsnio 1 dalies, 67, 107 ir 108 straipsnių nuostatas, konstatavo, kad pirmosios instancijos teismo </w:t>
      </w:r>
      <w:r w:rsidR="002101EB" w:rsidRPr="007D3F98">
        <w:rPr>
          <w:rFonts w:ascii="Calibri" w:eastAsia="Calibri" w:hAnsi="Calibri" w:cs="Calibri"/>
          <w:color w:val="000000"/>
          <w:sz w:val="22"/>
          <w:szCs w:val="22"/>
          <w:shd w:val="clear" w:color="auto" w:fill="FFFFFF"/>
          <w:lang w:eastAsia="en-US"/>
        </w:rPr>
        <w:t>pirminink</w:t>
      </w:r>
      <w:r w:rsidR="002101EB">
        <w:rPr>
          <w:rFonts w:ascii="Calibri" w:eastAsia="Calibri" w:hAnsi="Calibri" w:cs="Calibri"/>
          <w:color w:val="000000"/>
          <w:sz w:val="22"/>
          <w:szCs w:val="22"/>
          <w:shd w:val="clear" w:color="auto" w:fill="FFFFFF"/>
          <w:lang w:eastAsia="en-US"/>
        </w:rPr>
        <w:t xml:space="preserve">as </w:t>
      </w:r>
      <w:r w:rsidRPr="007D3F98">
        <w:rPr>
          <w:rFonts w:ascii="Calibri" w:eastAsia="Calibri" w:hAnsi="Calibri" w:cs="Calibri"/>
          <w:color w:val="000000"/>
          <w:sz w:val="22"/>
          <w:szCs w:val="22"/>
          <w:shd w:val="clear" w:color="auto" w:fill="FFFFFF"/>
          <w:lang w:eastAsia="en-US"/>
        </w:rPr>
        <w:t>nutartimi turėjo teisę sudaryti trijų teisėjų kolegiją tarnybiniam ginčui, kai viena ginčo šalis yra valstybės tarnautojas (ABTĮ 17 str. 1 d. 5 p.)</w:t>
      </w:r>
      <w:r w:rsidR="002101EB">
        <w:rPr>
          <w:rFonts w:ascii="Calibri" w:eastAsia="Calibri" w:hAnsi="Calibri" w:cs="Calibri"/>
          <w:color w:val="000000"/>
          <w:sz w:val="22"/>
          <w:szCs w:val="22"/>
          <w:shd w:val="clear" w:color="auto" w:fill="FFFFFF"/>
          <w:lang w:eastAsia="en-US"/>
        </w:rPr>
        <w:t>,</w:t>
      </w:r>
      <w:r w:rsidRPr="007D3F98">
        <w:rPr>
          <w:rFonts w:ascii="Calibri" w:eastAsia="Calibri" w:hAnsi="Calibri" w:cs="Calibri"/>
          <w:color w:val="000000"/>
          <w:sz w:val="22"/>
          <w:szCs w:val="22"/>
          <w:shd w:val="clear" w:color="auto" w:fill="FFFFFF"/>
          <w:lang w:eastAsia="en-US"/>
        </w:rPr>
        <w:t xml:space="preserve"> nagrinėti (ABTĮ 43 str. 1 d.). Pasiruošimas nagrinėti šią administracinę bylą buvo baigtas teisėj</w:t>
      </w:r>
      <w:r w:rsidR="002101EB">
        <w:rPr>
          <w:rFonts w:ascii="Calibri" w:eastAsia="Calibri" w:hAnsi="Calibri" w:cs="Calibri"/>
          <w:color w:val="000000"/>
          <w:sz w:val="22"/>
          <w:szCs w:val="22"/>
          <w:shd w:val="clear" w:color="auto" w:fill="FFFFFF"/>
          <w:lang w:eastAsia="en-US"/>
        </w:rPr>
        <w:t>ui</w:t>
      </w:r>
      <w:r w:rsidRPr="007D3F98">
        <w:rPr>
          <w:rFonts w:ascii="Calibri" w:eastAsia="Calibri" w:hAnsi="Calibri" w:cs="Calibri"/>
          <w:color w:val="000000"/>
          <w:sz w:val="22"/>
          <w:szCs w:val="22"/>
          <w:shd w:val="clear" w:color="auto" w:fill="FFFFFF"/>
          <w:lang w:eastAsia="en-US"/>
        </w:rPr>
        <w:t xml:space="preserve"> priėmus nutartį. </w:t>
      </w:r>
      <w:r w:rsidRPr="007D3F98">
        <w:rPr>
          <w:rFonts w:ascii="Calibri" w:eastAsia="Calibri" w:hAnsi="Calibri" w:cs="Calibri"/>
          <w:color w:val="000000"/>
          <w:sz w:val="22"/>
          <w:szCs w:val="22"/>
          <w:u w:val="single"/>
          <w:shd w:val="clear" w:color="auto" w:fill="FFFFFF"/>
          <w:lang w:eastAsia="en-US"/>
        </w:rPr>
        <w:t>Teismo pirminink</w:t>
      </w:r>
      <w:r w:rsidR="002101EB">
        <w:rPr>
          <w:rFonts w:ascii="Calibri" w:eastAsia="Calibri" w:hAnsi="Calibri" w:cs="Calibri"/>
          <w:color w:val="000000"/>
          <w:sz w:val="22"/>
          <w:szCs w:val="22"/>
          <w:u w:val="single"/>
          <w:shd w:val="clear" w:color="auto" w:fill="FFFFFF"/>
          <w:lang w:eastAsia="en-US"/>
        </w:rPr>
        <w:t>ui</w:t>
      </w:r>
      <w:r w:rsidRPr="007D3F98">
        <w:rPr>
          <w:rFonts w:ascii="Calibri" w:eastAsia="Calibri" w:hAnsi="Calibri" w:cs="Calibri"/>
          <w:color w:val="000000"/>
          <w:sz w:val="22"/>
          <w:szCs w:val="22"/>
          <w:u w:val="single"/>
          <w:shd w:val="clear" w:color="auto" w:fill="FFFFFF"/>
          <w:lang w:eastAsia="en-US"/>
        </w:rPr>
        <w:t xml:space="preserve"> sudarius teisėjų kolegiją bylai nagrinėti, bet kokias nutartis (išskyrus pakeisti teismo pirminink</w:t>
      </w:r>
      <w:r w:rsidR="002101EB">
        <w:rPr>
          <w:rFonts w:ascii="Calibri" w:eastAsia="Calibri" w:hAnsi="Calibri" w:cs="Calibri"/>
          <w:color w:val="000000"/>
          <w:sz w:val="22"/>
          <w:szCs w:val="22"/>
          <w:u w:val="single"/>
          <w:shd w:val="clear" w:color="auto" w:fill="FFFFFF"/>
          <w:lang w:eastAsia="en-US"/>
        </w:rPr>
        <w:t>o</w:t>
      </w:r>
      <w:r w:rsidRPr="007D3F98">
        <w:rPr>
          <w:rFonts w:ascii="Calibri" w:eastAsia="Calibri" w:hAnsi="Calibri" w:cs="Calibri"/>
          <w:color w:val="000000"/>
          <w:sz w:val="22"/>
          <w:szCs w:val="22"/>
          <w:u w:val="single"/>
          <w:shd w:val="clear" w:color="auto" w:fill="FFFFFF"/>
          <w:lang w:eastAsia="en-US"/>
        </w:rPr>
        <w:t xml:space="preserve"> nutartį) pagal ABTĮ 107 ir 108 straipsnius priimti ir pasirašyti byloje gali (galėjo) tik teisėjų kolegija, tačiau ne teisėja</w:t>
      </w:r>
      <w:r w:rsidR="002101EB">
        <w:rPr>
          <w:rFonts w:ascii="Calibri" w:eastAsia="Calibri" w:hAnsi="Calibri" w:cs="Calibri"/>
          <w:color w:val="000000"/>
          <w:sz w:val="22"/>
          <w:szCs w:val="22"/>
          <w:u w:val="single"/>
          <w:shd w:val="clear" w:color="auto" w:fill="FFFFFF"/>
          <w:lang w:eastAsia="en-US"/>
        </w:rPr>
        <w:t>s</w:t>
      </w:r>
      <w:r w:rsidRPr="007D3F98">
        <w:rPr>
          <w:rFonts w:ascii="Calibri" w:eastAsia="Calibri" w:hAnsi="Calibri" w:cs="Calibri"/>
          <w:color w:val="000000"/>
          <w:sz w:val="22"/>
          <w:szCs w:val="22"/>
          <w:u w:val="single"/>
          <w:shd w:val="clear" w:color="auto" w:fill="FFFFFF"/>
          <w:lang w:eastAsia="en-US"/>
        </w:rPr>
        <w:t xml:space="preserve"> (kolegijos pirminink</w:t>
      </w:r>
      <w:r w:rsidR="002101EB">
        <w:rPr>
          <w:rFonts w:ascii="Calibri" w:eastAsia="Calibri" w:hAnsi="Calibri" w:cs="Calibri"/>
          <w:color w:val="000000"/>
          <w:sz w:val="22"/>
          <w:szCs w:val="22"/>
          <w:u w:val="single"/>
          <w:shd w:val="clear" w:color="auto" w:fill="FFFFFF"/>
          <w:lang w:eastAsia="en-US"/>
        </w:rPr>
        <w:t>as</w:t>
      </w:r>
      <w:r w:rsidRPr="007D3F98">
        <w:rPr>
          <w:rFonts w:ascii="Calibri" w:eastAsia="Calibri" w:hAnsi="Calibri" w:cs="Calibri"/>
          <w:color w:val="000000"/>
          <w:sz w:val="22"/>
          <w:szCs w:val="22"/>
          <w:u w:val="single"/>
          <w:shd w:val="clear" w:color="auto" w:fill="FFFFFF"/>
          <w:lang w:eastAsia="en-US"/>
        </w:rPr>
        <w:t xml:space="preserve"> ir pranešėja</w:t>
      </w:r>
      <w:r w:rsidR="002101EB">
        <w:rPr>
          <w:rFonts w:ascii="Calibri" w:eastAsia="Calibri" w:hAnsi="Calibri" w:cs="Calibri"/>
          <w:color w:val="000000"/>
          <w:sz w:val="22"/>
          <w:szCs w:val="22"/>
          <w:u w:val="single"/>
          <w:shd w:val="clear" w:color="auto" w:fill="FFFFFF"/>
          <w:lang w:eastAsia="en-US"/>
        </w:rPr>
        <w:t>s</w:t>
      </w:r>
      <w:r w:rsidRPr="007D3F98">
        <w:rPr>
          <w:rFonts w:ascii="Calibri" w:eastAsia="Calibri" w:hAnsi="Calibri" w:cs="Calibri"/>
          <w:color w:val="000000"/>
          <w:sz w:val="22"/>
          <w:szCs w:val="22"/>
          <w:u w:val="single"/>
          <w:shd w:val="clear" w:color="auto" w:fill="FFFFFF"/>
          <w:lang w:eastAsia="en-US"/>
        </w:rPr>
        <w:t xml:space="preserve">) </w:t>
      </w:r>
      <w:r w:rsidRPr="007D3F98">
        <w:rPr>
          <w:rFonts w:ascii="Calibri" w:eastAsia="Calibri" w:hAnsi="Calibri" w:cs="Calibri"/>
          <w:color w:val="000000"/>
          <w:sz w:val="22"/>
          <w:szCs w:val="22"/>
          <w:u w:val="single"/>
          <w:shd w:val="clear" w:color="auto" w:fill="FFFFFF"/>
          <w:lang w:eastAsia="en-US"/>
        </w:rPr>
        <w:lastRenderedPageBreak/>
        <w:t>vienasmeniškai. LVAT vertinimu, teisėjų kolegijos pirminink</w:t>
      </w:r>
      <w:r w:rsidR="002101EB">
        <w:rPr>
          <w:rFonts w:ascii="Calibri" w:eastAsia="Calibri" w:hAnsi="Calibri" w:cs="Calibri"/>
          <w:color w:val="000000"/>
          <w:sz w:val="22"/>
          <w:szCs w:val="22"/>
          <w:u w:val="single"/>
          <w:shd w:val="clear" w:color="auto" w:fill="FFFFFF"/>
          <w:lang w:eastAsia="en-US"/>
        </w:rPr>
        <w:t>ui</w:t>
      </w:r>
      <w:r w:rsidRPr="007D3F98">
        <w:rPr>
          <w:rFonts w:ascii="Calibri" w:eastAsia="Calibri" w:hAnsi="Calibri" w:cs="Calibri"/>
          <w:color w:val="000000"/>
          <w:sz w:val="22"/>
          <w:szCs w:val="22"/>
          <w:u w:val="single"/>
          <w:shd w:val="clear" w:color="auto" w:fill="FFFFFF"/>
          <w:lang w:eastAsia="en-US"/>
        </w:rPr>
        <w:t xml:space="preserve"> ir pranešėj</w:t>
      </w:r>
      <w:r w:rsidR="002101EB">
        <w:rPr>
          <w:rFonts w:ascii="Calibri" w:eastAsia="Calibri" w:hAnsi="Calibri" w:cs="Calibri"/>
          <w:color w:val="000000"/>
          <w:sz w:val="22"/>
          <w:szCs w:val="22"/>
          <w:u w:val="single"/>
          <w:shd w:val="clear" w:color="auto" w:fill="FFFFFF"/>
          <w:lang w:eastAsia="en-US"/>
        </w:rPr>
        <w:t>ui</w:t>
      </w:r>
      <w:r w:rsidRPr="007D3F98">
        <w:rPr>
          <w:rFonts w:ascii="Calibri" w:eastAsia="Calibri" w:hAnsi="Calibri" w:cs="Calibri"/>
          <w:color w:val="000000"/>
          <w:sz w:val="22"/>
          <w:szCs w:val="22"/>
          <w:u w:val="single"/>
          <w:shd w:val="clear" w:color="auto" w:fill="FFFFFF"/>
          <w:lang w:eastAsia="en-US"/>
        </w:rPr>
        <w:t xml:space="preserve"> ABTĮ nuostatos nesuteikia teisės pakeisti teisėjų kolegijos sudėtį ar dalį jos pašalinti iš bylos nagrinėjimo</w:t>
      </w:r>
      <w:r w:rsidRPr="007D3F98">
        <w:rPr>
          <w:rFonts w:ascii="Calibri" w:eastAsia="Calibri" w:hAnsi="Calibri" w:cs="Calibri"/>
          <w:color w:val="000000"/>
          <w:sz w:val="22"/>
          <w:szCs w:val="22"/>
          <w:shd w:val="clear" w:color="auto" w:fill="FFFFFF"/>
          <w:lang w:eastAsia="en-US"/>
        </w:rPr>
        <w:t>. Atsižvelgiant į tai, kad bylą išnagrinėjo ir sprendimą priėmė viena</w:t>
      </w:r>
      <w:r w:rsidR="002101EB">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 teisėja</w:t>
      </w:r>
      <w:r w:rsidR="002101EB">
        <w:rPr>
          <w:rFonts w:ascii="Calibri" w:eastAsia="Calibri" w:hAnsi="Calibri" w:cs="Calibri"/>
          <w:color w:val="000000"/>
          <w:sz w:val="22"/>
          <w:szCs w:val="22"/>
          <w:shd w:val="clear" w:color="auto" w:fill="FFFFFF"/>
          <w:lang w:eastAsia="en-US"/>
        </w:rPr>
        <w:t>s</w:t>
      </w:r>
      <w:r w:rsidRPr="007D3F98">
        <w:rPr>
          <w:rFonts w:ascii="Calibri" w:eastAsia="Calibri" w:hAnsi="Calibri" w:cs="Calibri"/>
          <w:color w:val="000000"/>
          <w:sz w:val="22"/>
          <w:szCs w:val="22"/>
          <w:shd w:val="clear" w:color="auto" w:fill="FFFFFF"/>
          <w:lang w:eastAsia="en-US"/>
        </w:rPr>
        <w:t xml:space="preserve">, LVAT konstatavo, jog byla išnagrinėta neteisėtos sudėties teismo, kas pagal ABTĮ 146 straipsnio 2 dalies 1 punktą pripažįstama sprendimo negaliojimo pagrindu. </w:t>
      </w:r>
    </w:p>
    <w:p w14:paraId="7EFDC4F7" w14:textId="77777777"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r w:rsidRPr="007D3F98">
        <w:rPr>
          <w:rFonts w:ascii="Calibri" w:eastAsia="Calibri" w:hAnsi="Calibri" w:cs="Calibri"/>
          <w:color w:val="000000"/>
          <w:sz w:val="22"/>
          <w:szCs w:val="22"/>
          <w:shd w:val="clear" w:color="auto" w:fill="FFFFFF"/>
          <w:lang w:eastAsia="en-US"/>
        </w:rPr>
        <w:t>LVAT nutartimi pirmosios instancijos teismo sprendimas panaikintas ir byla perduota pirmosios instancijos teismui nagrinėti iš naujo.</w:t>
      </w:r>
    </w:p>
    <w:p w14:paraId="687A2439" w14:textId="77777777" w:rsidR="00BA46C8" w:rsidRPr="007D3F98" w:rsidRDefault="00BA46C8" w:rsidP="00BA46C8">
      <w:pPr>
        <w:ind w:firstLine="567"/>
        <w:jc w:val="both"/>
        <w:rPr>
          <w:rFonts w:ascii="Calibri" w:eastAsia="Calibri" w:hAnsi="Calibri" w:cs="Calibri"/>
          <w:color w:val="000000"/>
          <w:sz w:val="22"/>
          <w:szCs w:val="22"/>
          <w:shd w:val="clear" w:color="auto" w:fill="FFFFFF"/>
          <w:lang w:eastAsia="en-US"/>
        </w:rPr>
      </w:pPr>
    </w:p>
    <w:p w14:paraId="30CC9F83" w14:textId="77777777" w:rsidR="00BA46C8" w:rsidRPr="007D3F98" w:rsidRDefault="00BA46C8" w:rsidP="00BA46C8">
      <w:pPr>
        <w:jc w:val="both"/>
        <w:rPr>
          <w:rFonts w:ascii="Calibri" w:hAnsi="Calibri"/>
          <w:sz w:val="22"/>
          <w:szCs w:val="22"/>
        </w:rPr>
      </w:pPr>
      <w:r w:rsidRPr="007D3F98">
        <w:rPr>
          <w:rFonts w:ascii="Calibri" w:hAnsi="Calibri"/>
          <w:sz w:val="22"/>
          <w:szCs w:val="22"/>
        </w:rPr>
        <w:t xml:space="preserve">2019 m. lapkričio 6 d. nutartis administracinėje byloje Nr. eA-1877-756/2019 </w:t>
      </w:r>
    </w:p>
    <w:p w14:paraId="35102148" w14:textId="77777777" w:rsidR="00BA46C8" w:rsidRPr="007D3F98" w:rsidRDefault="00BA46C8" w:rsidP="00BA46C8">
      <w:pPr>
        <w:jc w:val="both"/>
        <w:rPr>
          <w:rFonts w:ascii="Calibri" w:hAnsi="Calibri"/>
          <w:sz w:val="22"/>
          <w:szCs w:val="22"/>
        </w:rPr>
      </w:pPr>
      <w:r w:rsidRPr="007D3F98">
        <w:rPr>
          <w:rFonts w:ascii="Calibri" w:hAnsi="Calibri"/>
          <w:sz w:val="22"/>
          <w:szCs w:val="22"/>
        </w:rPr>
        <w:t>Teisminio proceso Nr. 3-61-3-03635-2017-0</w:t>
      </w:r>
    </w:p>
    <w:p w14:paraId="46D9A5F1" w14:textId="77777777" w:rsidR="00BA46C8" w:rsidRPr="007D3F98" w:rsidRDefault="00BA46C8" w:rsidP="00BA46C8">
      <w:pPr>
        <w:jc w:val="both"/>
        <w:rPr>
          <w:rFonts w:ascii="Calibri" w:hAnsi="Calibri"/>
          <w:sz w:val="22"/>
          <w:szCs w:val="22"/>
        </w:rPr>
      </w:pPr>
      <w:r w:rsidRPr="007D3F98">
        <w:rPr>
          <w:rFonts w:ascii="Calibri" w:hAnsi="Calibri"/>
          <w:sz w:val="22"/>
          <w:szCs w:val="22"/>
        </w:rPr>
        <w:t xml:space="preserve">Procesinio sprendimo kategorija 21.2 </w:t>
      </w:r>
    </w:p>
    <w:p w14:paraId="26BFDFC6" w14:textId="77777777" w:rsidR="00BA46C8" w:rsidRPr="007D3F98" w:rsidRDefault="00854B2C" w:rsidP="00BA46C8">
      <w:pPr>
        <w:jc w:val="both"/>
        <w:rPr>
          <w:rFonts w:ascii="Calibri" w:hAnsi="Calibri"/>
          <w:sz w:val="22"/>
          <w:szCs w:val="22"/>
        </w:rPr>
      </w:pPr>
      <w:hyperlink r:id="rId29" w:history="1">
        <w:r w:rsidR="00BA46C8" w:rsidRPr="007D3F98">
          <w:rPr>
            <w:rFonts w:ascii="Calibri" w:hAnsi="Calibri"/>
            <w:color w:val="0000FF"/>
            <w:sz w:val="22"/>
            <w:szCs w:val="22"/>
            <w:u w:val="single"/>
          </w:rPr>
          <w:t>Prieiga internete</w:t>
        </w:r>
      </w:hyperlink>
      <w:r w:rsidR="00BA46C8" w:rsidRPr="007D3F98">
        <w:rPr>
          <w:rFonts w:ascii="Calibri" w:hAnsi="Calibri"/>
          <w:sz w:val="22"/>
          <w:szCs w:val="22"/>
        </w:rPr>
        <w:t xml:space="preserve"> </w:t>
      </w:r>
    </w:p>
    <w:p w14:paraId="328214DD" w14:textId="77777777" w:rsidR="00BF6A0D" w:rsidRPr="007D3F98" w:rsidRDefault="00BF6A0D" w:rsidP="00496E0E">
      <w:pPr>
        <w:jc w:val="center"/>
        <w:rPr>
          <w:rFonts w:asciiTheme="minorHAnsi" w:hAnsiTheme="minorHAnsi" w:cstheme="minorHAnsi"/>
          <w:sz w:val="22"/>
          <w:szCs w:val="22"/>
        </w:rPr>
      </w:pPr>
    </w:p>
    <w:p w14:paraId="19C1D35A" w14:textId="77777777" w:rsidR="00BF6A0D" w:rsidRPr="007D3F98" w:rsidRDefault="00BF6A0D" w:rsidP="00BF6A0D">
      <w:pPr>
        <w:pStyle w:val="Apzvalgai1"/>
        <w:rPr>
          <w:rFonts w:asciiTheme="minorHAnsi" w:hAnsiTheme="minorHAnsi" w:cstheme="minorHAnsi"/>
          <w:sz w:val="32"/>
          <w:szCs w:val="32"/>
        </w:rPr>
      </w:pPr>
      <w:bookmarkStart w:id="87" w:name="_Toc29392725"/>
      <w:r w:rsidRPr="007D3F98">
        <w:rPr>
          <w:rFonts w:asciiTheme="minorHAnsi" w:hAnsiTheme="minorHAnsi" w:cstheme="minorHAnsi"/>
        </w:rPr>
        <w:t>60. Proceso atnaujinimas</w:t>
      </w:r>
      <w:bookmarkEnd w:id="87"/>
    </w:p>
    <w:p w14:paraId="3BD5F30C" w14:textId="77777777" w:rsidR="00BF6A0D" w:rsidRPr="007D3F98" w:rsidRDefault="00BF6A0D" w:rsidP="00BF6A0D">
      <w:pPr>
        <w:ind w:firstLine="567"/>
        <w:jc w:val="both"/>
        <w:rPr>
          <w:rFonts w:asciiTheme="minorHAnsi" w:hAnsiTheme="minorHAnsi" w:cstheme="minorHAnsi"/>
          <w:b/>
          <w:sz w:val="22"/>
          <w:szCs w:val="22"/>
          <w:u w:val="single"/>
        </w:rPr>
      </w:pPr>
      <w:r w:rsidRPr="007D3F98">
        <w:rPr>
          <w:rFonts w:asciiTheme="minorHAnsi" w:hAnsiTheme="minorHAnsi" w:cstheme="minorHAnsi"/>
          <w:b/>
          <w:sz w:val="22"/>
          <w:szCs w:val="22"/>
          <w:u w:val="single"/>
        </w:rPr>
        <w:t>60.1. Prašymo atnaujinti procesą padavimas, priėmimas ir nagrinėjimo tvarka</w:t>
      </w:r>
    </w:p>
    <w:p w14:paraId="19D9E00D" w14:textId="77777777" w:rsidR="00BF6A0D" w:rsidRPr="007D3F98" w:rsidRDefault="00BF6A0D" w:rsidP="00BF6A0D">
      <w:pPr>
        <w:ind w:firstLine="567"/>
        <w:jc w:val="both"/>
        <w:rPr>
          <w:rFonts w:asciiTheme="minorHAnsi" w:hAnsiTheme="minorHAnsi" w:cstheme="minorHAnsi"/>
          <w:i/>
          <w:sz w:val="22"/>
          <w:szCs w:val="22"/>
        </w:rPr>
      </w:pPr>
    </w:p>
    <w:p w14:paraId="567515DB" w14:textId="77777777" w:rsidR="00BF6A0D" w:rsidRPr="007D3F98" w:rsidRDefault="00BF6A0D" w:rsidP="00BF6A0D">
      <w:pPr>
        <w:pStyle w:val="Antrat2"/>
      </w:pPr>
      <w:bookmarkStart w:id="88" w:name="_Toc29392726"/>
      <w:r w:rsidRPr="007D3F98">
        <w:t>Dėl proceso atnaujinimo instituto nuostatų netaikymo LVAT nutarčiai, kuria pirmosios instancijos teismo nutartis laikyti skundą nepaduotu nepašalinus skundo trūkumų palikta nepakeista</w:t>
      </w:r>
      <w:bookmarkEnd w:id="88"/>
      <w:r w:rsidRPr="007D3F98">
        <w:t xml:space="preserve"> </w:t>
      </w:r>
    </w:p>
    <w:p w14:paraId="64D4692B" w14:textId="77777777" w:rsidR="00BF6A0D" w:rsidRPr="007D3F98" w:rsidRDefault="00BF6A0D" w:rsidP="00BF6A0D">
      <w:pPr>
        <w:jc w:val="both"/>
        <w:rPr>
          <w:rFonts w:asciiTheme="minorHAnsi" w:hAnsiTheme="minorHAnsi" w:cstheme="minorHAnsi"/>
          <w:sz w:val="22"/>
          <w:szCs w:val="22"/>
          <w:u w:val="single"/>
        </w:rPr>
      </w:pPr>
    </w:p>
    <w:p w14:paraId="43D38511" w14:textId="77777777" w:rsidR="00BF6A0D" w:rsidRPr="007D3F98" w:rsidRDefault="00BF6A0D" w:rsidP="00BF6A0D">
      <w:pPr>
        <w:ind w:firstLine="567"/>
        <w:jc w:val="both"/>
        <w:rPr>
          <w:rFonts w:asciiTheme="minorHAnsi" w:hAnsiTheme="minorHAnsi" w:cstheme="minorHAnsi"/>
          <w:sz w:val="22"/>
          <w:szCs w:val="22"/>
        </w:rPr>
      </w:pPr>
      <w:r w:rsidRPr="007D3F98">
        <w:rPr>
          <w:rFonts w:asciiTheme="minorHAnsi" w:hAnsiTheme="minorHAnsi" w:cstheme="minorHAnsi"/>
          <w:sz w:val="22"/>
          <w:szCs w:val="22"/>
        </w:rPr>
        <w:t>Byloje teisėjų kolegija sprendė prašymo atnaujinti procesą priėmimo klausimą. Pareiškėjas procesą atnaujinti prašė ABTĮ 156 straipsnio 2 dalies 2, 10 ir 12 punktuose nurodytais pagrindais.</w:t>
      </w:r>
    </w:p>
    <w:p w14:paraId="24A4ACFA" w14:textId="77777777" w:rsidR="00BF6A0D" w:rsidRPr="00082855" w:rsidRDefault="00BF6A0D" w:rsidP="00BF6A0D">
      <w:pPr>
        <w:ind w:firstLine="567"/>
        <w:jc w:val="both"/>
        <w:rPr>
          <w:rFonts w:asciiTheme="minorHAnsi" w:hAnsiTheme="minorHAnsi" w:cstheme="minorHAnsi"/>
          <w:sz w:val="22"/>
          <w:szCs w:val="22"/>
          <w:u w:val="single"/>
        </w:rPr>
      </w:pPr>
      <w:r w:rsidRPr="007D3F98">
        <w:rPr>
          <w:rFonts w:asciiTheme="minorHAnsi" w:hAnsiTheme="minorHAnsi" w:cstheme="minorHAnsi"/>
          <w:sz w:val="22"/>
          <w:szCs w:val="22"/>
        </w:rPr>
        <w:t xml:space="preserve">Aiškindama ABTĮ 156 straipsnio 1 dalyje įtvirtintą taisyklę, teisėjų kolegija priminė, kad šioje ABTĮ normoje vartojama sąvoka „užbaigta“ reiškia, jog administracinė byla baigta įsiteisėjusiu teismo baigiamuoju aktu nepriklausomai nuo to, ar šalių ginčas išspręstas iš esmės, ar ne. Kita vertus, ABTĮ vartojamas žodžių junginys užbaigtos bylos, kas reiškia, kad </w:t>
      </w:r>
      <w:r w:rsidRPr="00082855">
        <w:rPr>
          <w:rFonts w:asciiTheme="minorHAnsi" w:hAnsiTheme="minorHAnsi" w:cstheme="minorHAnsi"/>
          <w:sz w:val="22"/>
          <w:szCs w:val="22"/>
          <w:u w:val="single"/>
        </w:rPr>
        <w:t>galutinis teismo procesinis sprendimas turi būti priimtas bylos teisminio nagrinėjimo metu.</w:t>
      </w:r>
    </w:p>
    <w:p w14:paraId="5C8CB774" w14:textId="2A623C77" w:rsidR="00BF6A0D" w:rsidRPr="007D3F98" w:rsidRDefault="00BF6A0D" w:rsidP="00BF6A0D">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Vilniaus apygardos administracinio teismo nutartimi pareiškėjo skundas laikytas nepaduotu netenkinus pareiškėjo prašymo pratęsti terminą nustatytiems skundo trūkumams pašalinti. </w:t>
      </w:r>
      <w:r w:rsidR="00F2076A" w:rsidRPr="007D3F98">
        <w:rPr>
          <w:rFonts w:asciiTheme="minorHAnsi" w:hAnsiTheme="minorHAnsi" w:cstheme="minorHAnsi"/>
          <w:sz w:val="22"/>
          <w:szCs w:val="22"/>
        </w:rPr>
        <w:t>LVAT</w:t>
      </w:r>
      <w:r w:rsidRPr="007D3F98">
        <w:rPr>
          <w:rFonts w:asciiTheme="minorHAnsi" w:hAnsiTheme="minorHAnsi" w:cstheme="minorHAnsi"/>
          <w:sz w:val="22"/>
          <w:szCs w:val="22"/>
        </w:rPr>
        <w:t xml:space="preserve">, išnagrinėjęs pareiškėjo atskirąjį skundą, minėtą pirmosios instancijos teismo nutartį paliko nepakeistą. Taigi </w:t>
      </w:r>
      <w:r w:rsidRPr="007D3F98">
        <w:rPr>
          <w:rFonts w:asciiTheme="minorHAnsi" w:hAnsiTheme="minorHAnsi" w:cstheme="minorHAnsi"/>
          <w:sz w:val="22"/>
          <w:szCs w:val="22"/>
          <w:u w:val="single"/>
        </w:rPr>
        <w:t>įsiteisėjusia teismo nutartimi pareiškėjo atskirasis skundas buvo atmestas, t. y. pareiškėjo siektas inicijuoti teisme ginčas nebuvo nagrinėtas iš esmės, o byla pagal pareiškėjo skundą net nebuvo pradėta, todėl ši situacija negali būti prilyginama užbaigtai bylai.</w:t>
      </w:r>
      <w:r w:rsidRPr="007D3F98">
        <w:rPr>
          <w:rFonts w:asciiTheme="minorHAnsi" w:hAnsiTheme="minorHAnsi" w:cstheme="minorHAnsi"/>
          <w:sz w:val="22"/>
          <w:szCs w:val="22"/>
        </w:rPr>
        <w:t xml:space="preserve"> Pab</w:t>
      </w:r>
      <w:r w:rsidR="00F2076A" w:rsidRPr="007D3F98">
        <w:rPr>
          <w:rFonts w:asciiTheme="minorHAnsi" w:hAnsiTheme="minorHAnsi" w:cstheme="minorHAnsi"/>
          <w:sz w:val="22"/>
          <w:szCs w:val="22"/>
        </w:rPr>
        <w:t>rėžt</w:t>
      </w:r>
      <w:r w:rsidRPr="007D3F98">
        <w:rPr>
          <w:rFonts w:asciiTheme="minorHAnsi" w:hAnsiTheme="minorHAnsi" w:cstheme="minorHAnsi"/>
          <w:sz w:val="22"/>
          <w:szCs w:val="22"/>
        </w:rPr>
        <w:t>a, jog priešingas teisės aiškinimas neatitiktų proceso atnaujinimo instituto esmės, jo tikslų bei paskirties, užkirstų kelią administracinių bylų operatyviam nagrinėjimui.</w:t>
      </w:r>
    </w:p>
    <w:p w14:paraId="1D66C5AB" w14:textId="2F7B88F6" w:rsidR="00BF6A0D" w:rsidRPr="007D3F98" w:rsidRDefault="00BF6A0D" w:rsidP="00BF6A0D">
      <w:pPr>
        <w:ind w:firstLine="567"/>
        <w:jc w:val="both"/>
        <w:rPr>
          <w:rFonts w:asciiTheme="minorHAnsi" w:hAnsiTheme="minorHAnsi" w:cstheme="minorHAnsi"/>
          <w:sz w:val="22"/>
          <w:szCs w:val="22"/>
        </w:rPr>
      </w:pPr>
      <w:r w:rsidRPr="007D3F98">
        <w:rPr>
          <w:rFonts w:asciiTheme="minorHAnsi" w:hAnsiTheme="minorHAnsi" w:cstheme="minorHAnsi"/>
          <w:sz w:val="22"/>
          <w:szCs w:val="22"/>
        </w:rPr>
        <w:t xml:space="preserve">Padaryta išvada, jog </w:t>
      </w:r>
      <w:r w:rsidR="00F2076A" w:rsidRPr="007D3F98">
        <w:rPr>
          <w:rFonts w:asciiTheme="minorHAnsi" w:hAnsiTheme="minorHAnsi" w:cstheme="minorHAnsi"/>
          <w:sz w:val="22"/>
          <w:szCs w:val="22"/>
        </w:rPr>
        <w:t>LVAT</w:t>
      </w:r>
      <w:r w:rsidRPr="007D3F98">
        <w:rPr>
          <w:rFonts w:asciiTheme="minorHAnsi" w:hAnsiTheme="minorHAnsi" w:cstheme="minorHAnsi"/>
          <w:sz w:val="22"/>
          <w:szCs w:val="22"/>
        </w:rPr>
        <w:t xml:space="preserve"> nutartis, kuria pirmosios instancijos </w:t>
      </w:r>
      <w:r w:rsidRPr="007D3F98">
        <w:rPr>
          <w:rFonts w:asciiTheme="minorHAnsi" w:hAnsiTheme="minorHAnsi" w:cstheme="minorHAnsi"/>
          <w:sz w:val="22"/>
          <w:szCs w:val="22"/>
          <w:u w:val="single"/>
        </w:rPr>
        <w:t xml:space="preserve">teismo nutartis laikyti skundą nepaduotu laiku nepašalinus skundo trūkumų palikta nepakeista, negali būti pripažinta galutiniu ir neskundžiamu teismo procesiniu sprendimu, kuriuo buvo užbaigtas atitinkamos administracinės bylos nagrinėjimas, todėl </w:t>
      </w:r>
      <w:r w:rsidR="00780457">
        <w:rPr>
          <w:rFonts w:asciiTheme="minorHAnsi" w:hAnsiTheme="minorHAnsi" w:cstheme="minorHAnsi"/>
          <w:sz w:val="22"/>
          <w:szCs w:val="22"/>
          <w:u w:val="single"/>
        </w:rPr>
        <w:t>šiuo atveju</w:t>
      </w:r>
      <w:r w:rsidRPr="007D3F98">
        <w:rPr>
          <w:rFonts w:asciiTheme="minorHAnsi" w:hAnsiTheme="minorHAnsi" w:cstheme="minorHAnsi"/>
          <w:sz w:val="22"/>
          <w:szCs w:val="22"/>
          <w:u w:val="single"/>
        </w:rPr>
        <w:t xml:space="preserve"> proceso atnaujinimo instituto nuostatos negali būti taikomos</w:t>
      </w:r>
      <w:r w:rsidRPr="007D3F98">
        <w:rPr>
          <w:rFonts w:asciiTheme="minorHAnsi" w:hAnsiTheme="minorHAnsi" w:cstheme="minorHAnsi"/>
          <w:sz w:val="22"/>
          <w:szCs w:val="22"/>
        </w:rPr>
        <w:t xml:space="preserve">. </w:t>
      </w:r>
    </w:p>
    <w:p w14:paraId="0AB9F383" w14:textId="0D391050" w:rsidR="00BF6A0D" w:rsidRPr="007D3F98" w:rsidRDefault="00BF6A0D" w:rsidP="00BF6A0D">
      <w:pPr>
        <w:ind w:firstLine="567"/>
        <w:jc w:val="both"/>
        <w:rPr>
          <w:rFonts w:asciiTheme="minorHAnsi" w:hAnsiTheme="minorHAnsi" w:cstheme="minorHAnsi"/>
          <w:sz w:val="22"/>
          <w:szCs w:val="22"/>
        </w:rPr>
      </w:pPr>
      <w:r w:rsidRPr="007D3F98">
        <w:rPr>
          <w:rFonts w:asciiTheme="minorHAnsi" w:hAnsiTheme="minorHAnsi" w:cstheme="minorHAnsi"/>
          <w:sz w:val="22"/>
          <w:szCs w:val="22"/>
        </w:rPr>
        <w:t>Pareiškėjo prašym</w:t>
      </w:r>
      <w:r w:rsidR="00F2076A" w:rsidRPr="007D3F98">
        <w:rPr>
          <w:rFonts w:asciiTheme="minorHAnsi" w:hAnsiTheme="minorHAnsi" w:cstheme="minorHAnsi"/>
          <w:sz w:val="22"/>
          <w:szCs w:val="22"/>
        </w:rPr>
        <w:t>ą</w:t>
      </w:r>
      <w:r w:rsidRPr="007D3F98">
        <w:rPr>
          <w:rFonts w:asciiTheme="minorHAnsi" w:hAnsiTheme="minorHAnsi" w:cstheme="minorHAnsi"/>
          <w:sz w:val="22"/>
          <w:szCs w:val="22"/>
        </w:rPr>
        <w:t xml:space="preserve"> atsisakyta priimti.</w:t>
      </w:r>
    </w:p>
    <w:p w14:paraId="1ABF9985" w14:textId="77777777" w:rsidR="00BF6A0D" w:rsidRPr="007D3F98" w:rsidRDefault="00BF6A0D" w:rsidP="00BF6A0D">
      <w:pPr>
        <w:ind w:firstLine="567"/>
        <w:jc w:val="both"/>
        <w:rPr>
          <w:rFonts w:asciiTheme="minorHAnsi" w:hAnsiTheme="minorHAnsi" w:cstheme="minorHAnsi"/>
          <w:color w:val="000000"/>
          <w:sz w:val="22"/>
          <w:szCs w:val="22"/>
          <w:shd w:val="clear" w:color="auto" w:fill="FFFFFF"/>
        </w:rPr>
      </w:pPr>
    </w:p>
    <w:p w14:paraId="43714E3F" w14:textId="77777777" w:rsidR="00BF6A0D" w:rsidRPr="007D3F98" w:rsidRDefault="00BF6A0D" w:rsidP="00BF6A0D">
      <w:pPr>
        <w:jc w:val="both"/>
        <w:rPr>
          <w:rFonts w:asciiTheme="minorHAnsi" w:hAnsiTheme="minorHAnsi" w:cstheme="minorHAnsi"/>
          <w:sz w:val="22"/>
          <w:szCs w:val="22"/>
        </w:rPr>
      </w:pPr>
      <w:r w:rsidRPr="007D3F98">
        <w:rPr>
          <w:rFonts w:asciiTheme="minorHAnsi" w:hAnsiTheme="minorHAnsi" w:cstheme="minorHAnsi"/>
          <w:sz w:val="22"/>
          <w:szCs w:val="22"/>
        </w:rPr>
        <w:t>2019 m. lapkričio 27 d. nutartis administracinėje byloje Nr. P-97-575/2019</w:t>
      </w:r>
    </w:p>
    <w:p w14:paraId="6CD392F0" w14:textId="77777777" w:rsidR="00BF6A0D" w:rsidRPr="007D3F98" w:rsidRDefault="00BF6A0D" w:rsidP="00BF6A0D">
      <w:pPr>
        <w:jc w:val="both"/>
        <w:rPr>
          <w:rFonts w:asciiTheme="minorHAnsi" w:hAnsiTheme="minorHAnsi" w:cstheme="minorHAnsi"/>
          <w:sz w:val="22"/>
          <w:szCs w:val="22"/>
        </w:rPr>
      </w:pPr>
      <w:r w:rsidRPr="007D3F98">
        <w:rPr>
          <w:rFonts w:asciiTheme="minorHAnsi" w:hAnsiTheme="minorHAnsi" w:cstheme="minorHAnsi"/>
          <w:sz w:val="22"/>
          <w:szCs w:val="22"/>
        </w:rPr>
        <w:t>Teisminio proceso Nr. 3-61-3-01689-2019-9</w:t>
      </w:r>
    </w:p>
    <w:p w14:paraId="0BB8E90B" w14:textId="0E0E6CBB" w:rsidR="00BF6A0D" w:rsidRPr="007D3F98" w:rsidRDefault="00BF6A0D" w:rsidP="00BF6A0D">
      <w:pPr>
        <w:jc w:val="both"/>
        <w:rPr>
          <w:rFonts w:asciiTheme="minorHAnsi" w:hAnsiTheme="minorHAnsi" w:cstheme="minorHAnsi"/>
          <w:sz w:val="22"/>
          <w:szCs w:val="22"/>
        </w:rPr>
      </w:pPr>
      <w:r w:rsidRPr="007D3F98">
        <w:rPr>
          <w:rFonts w:asciiTheme="minorHAnsi" w:hAnsiTheme="minorHAnsi" w:cstheme="minorHAnsi"/>
          <w:sz w:val="22"/>
          <w:szCs w:val="22"/>
        </w:rPr>
        <w:t xml:space="preserve">Procesinio sprendimo kategorija 60.1 </w:t>
      </w:r>
    </w:p>
    <w:p w14:paraId="4FD0F52E" w14:textId="77602ED2" w:rsidR="00BF6A0D" w:rsidRPr="007D3F98" w:rsidRDefault="00854B2C" w:rsidP="00BF6A0D">
      <w:pPr>
        <w:jc w:val="both"/>
        <w:rPr>
          <w:rFonts w:asciiTheme="minorHAnsi" w:hAnsiTheme="minorHAnsi" w:cstheme="minorHAnsi"/>
          <w:sz w:val="22"/>
          <w:szCs w:val="22"/>
        </w:rPr>
      </w:pPr>
      <w:hyperlink r:id="rId30" w:history="1">
        <w:r w:rsidR="00BF6A0D" w:rsidRPr="00082855">
          <w:rPr>
            <w:rStyle w:val="Hipersaitas"/>
            <w:rFonts w:asciiTheme="minorHAnsi" w:hAnsiTheme="minorHAnsi" w:cstheme="minorHAnsi"/>
            <w:sz w:val="22"/>
            <w:szCs w:val="22"/>
          </w:rPr>
          <w:t>Prieiga internete</w:t>
        </w:r>
      </w:hyperlink>
      <w:r w:rsidR="00F2076A" w:rsidRPr="00082855">
        <w:rPr>
          <w:rFonts w:asciiTheme="minorHAnsi" w:hAnsiTheme="minorHAnsi" w:cstheme="minorHAnsi"/>
          <w:sz w:val="22"/>
          <w:szCs w:val="22"/>
        </w:rPr>
        <w:t xml:space="preserve"> </w:t>
      </w:r>
    </w:p>
    <w:p w14:paraId="1E5AC9AB" w14:textId="77777777" w:rsidR="00BF6A0D" w:rsidRPr="007D3F98" w:rsidRDefault="00BF6A0D" w:rsidP="00BF6A0D">
      <w:pPr>
        <w:jc w:val="both"/>
      </w:pPr>
    </w:p>
    <w:p w14:paraId="32BB9F01" w14:textId="35DB6CAD" w:rsidR="000664DB" w:rsidRPr="007D3F98" w:rsidRDefault="000664DB" w:rsidP="00496E0E">
      <w:pPr>
        <w:jc w:val="center"/>
        <w:rPr>
          <w:rFonts w:asciiTheme="minorHAnsi" w:hAnsiTheme="minorHAnsi" w:cstheme="minorHAnsi"/>
          <w:sz w:val="22"/>
          <w:szCs w:val="22"/>
        </w:rPr>
      </w:pPr>
      <w:r w:rsidRPr="007D3F98">
        <w:rPr>
          <w:rFonts w:asciiTheme="minorHAnsi" w:hAnsiTheme="minorHAnsi" w:cstheme="minorHAnsi"/>
          <w:sz w:val="22"/>
          <w:szCs w:val="22"/>
        </w:rPr>
        <w:t>__________</w:t>
      </w:r>
    </w:p>
    <w:p w14:paraId="62CFBB68" w14:textId="77777777" w:rsidR="000664DB" w:rsidRPr="007D3F98" w:rsidRDefault="000664DB" w:rsidP="00496E0E">
      <w:pPr>
        <w:ind w:left="851" w:firstLine="283"/>
        <w:jc w:val="both"/>
        <w:rPr>
          <w:rFonts w:asciiTheme="minorHAnsi" w:hAnsiTheme="minorHAnsi" w:cstheme="minorHAnsi"/>
          <w:b/>
          <w:sz w:val="22"/>
          <w:szCs w:val="22"/>
          <w:u w:val="single"/>
        </w:rPr>
      </w:pPr>
    </w:p>
    <w:sectPr w:rsidR="000664DB" w:rsidRPr="007D3F98" w:rsidSect="00EF63E3">
      <w:headerReference w:type="default" r:id="rId31"/>
      <w:footerReference w:type="even" r:id="rId32"/>
      <w:footerReference w:type="default" r:id="rId33"/>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7E098" w14:textId="77777777" w:rsidR="00854B2C" w:rsidRDefault="00854B2C" w:rsidP="003D4C15">
      <w:r>
        <w:separator/>
      </w:r>
    </w:p>
  </w:endnote>
  <w:endnote w:type="continuationSeparator" w:id="0">
    <w:p w14:paraId="11A5024D" w14:textId="77777777" w:rsidR="00854B2C" w:rsidRDefault="00854B2C"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730A6" w14:textId="77777777" w:rsidR="002101EB" w:rsidRDefault="002101EB">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2101EB" w:rsidRDefault="002101E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015" w14:textId="77777777" w:rsidR="002101EB" w:rsidRPr="00386C1C" w:rsidRDefault="002101EB">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35</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35</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18127" w14:textId="77777777" w:rsidR="00854B2C" w:rsidRDefault="00854B2C" w:rsidP="003D4C15">
      <w:r>
        <w:separator/>
      </w:r>
    </w:p>
  </w:footnote>
  <w:footnote w:type="continuationSeparator" w:id="0">
    <w:p w14:paraId="0BE58996" w14:textId="77777777" w:rsidR="00854B2C" w:rsidRDefault="00854B2C" w:rsidP="003D4C15">
      <w:r>
        <w:continuationSeparator/>
      </w:r>
    </w:p>
  </w:footnote>
  <w:footnote w:id="1">
    <w:p w14:paraId="52D92736" w14:textId="77777777" w:rsidR="002101EB" w:rsidRPr="009112AC" w:rsidRDefault="002101EB" w:rsidP="002D2176">
      <w:pPr>
        <w:pStyle w:val="Puslapioinaostekstas"/>
        <w:jc w:val="both"/>
        <w:rPr>
          <w:rFonts w:asciiTheme="minorHAnsi" w:hAnsiTheme="minorHAnsi" w:cstheme="minorHAnsi"/>
        </w:rPr>
      </w:pPr>
      <w:r w:rsidRPr="009112AC">
        <w:rPr>
          <w:rStyle w:val="Puslapioinaosnuoroda"/>
          <w:rFonts w:asciiTheme="minorHAnsi" w:hAnsiTheme="minorHAnsi" w:cstheme="minorHAnsi"/>
        </w:rPr>
        <w:footnoteRef/>
      </w:r>
      <w:r w:rsidRPr="009112AC">
        <w:rPr>
          <w:rFonts w:asciiTheme="minorHAnsi" w:hAnsiTheme="minorHAnsi" w:cstheme="minorHAnsi"/>
        </w:rPr>
        <w:t xml:space="preserve"> Teisingumo Teismo 2006 m. vasario 21 d. didžiosios kolegijos sprendimo byloje </w:t>
      </w:r>
      <w:r w:rsidRPr="009112AC">
        <w:rPr>
          <w:rFonts w:asciiTheme="minorHAnsi" w:hAnsiTheme="minorHAnsi" w:cstheme="minorHAnsi"/>
          <w:i/>
        </w:rPr>
        <w:t>Halifax ir kt.</w:t>
      </w:r>
      <w:r w:rsidRPr="009112AC">
        <w:rPr>
          <w:rFonts w:asciiTheme="minorHAnsi" w:hAnsiTheme="minorHAnsi" w:cstheme="minorHAnsi"/>
        </w:rPr>
        <w:t>, C 255/02, 85 p.</w:t>
      </w:r>
    </w:p>
  </w:footnote>
  <w:footnote w:id="2">
    <w:p w14:paraId="6FC223B9" w14:textId="7517736B" w:rsidR="002101EB" w:rsidRPr="009112AC" w:rsidRDefault="002101EB" w:rsidP="002D2176">
      <w:pPr>
        <w:pStyle w:val="Puslapioinaostekstas"/>
        <w:jc w:val="both"/>
        <w:rPr>
          <w:rFonts w:asciiTheme="minorHAnsi" w:hAnsiTheme="minorHAnsi" w:cstheme="minorHAnsi"/>
        </w:rPr>
      </w:pPr>
      <w:r w:rsidRPr="009112AC">
        <w:rPr>
          <w:rStyle w:val="Puslapioinaosnuoroda"/>
          <w:rFonts w:asciiTheme="minorHAnsi" w:hAnsiTheme="minorHAnsi" w:cstheme="minorHAnsi"/>
        </w:rPr>
        <w:footnoteRef/>
      </w:r>
      <w:r w:rsidRPr="009112AC">
        <w:rPr>
          <w:rFonts w:asciiTheme="minorHAnsi" w:hAnsiTheme="minorHAnsi" w:cstheme="minorHAnsi"/>
        </w:rPr>
        <w:t xml:space="preserve"> šiuo klausimu žr. Teisingumo Teismo 2017 m. lapkričio 22 d. sprendimo byloje </w:t>
      </w:r>
      <w:r w:rsidRPr="009112AC">
        <w:rPr>
          <w:rFonts w:asciiTheme="minorHAnsi" w:hAnsiTheme="minorHAnsi" w:cstheme="minorHAnsi"/>
          <w:i/>
        </w:rPr>
        <w:t>Cussens ir kt.</w:t>
      </w:r>
      <w:r w:rsidRPr="009112AC">
        <w:rPr>
          <w:rFonts w:asciiTheme="minorHAnsi" w:hAnsiTheme="minorHAnsi" w:cstheme="minorHAnsi"/>
        </w:rPr>
        <w:t>, C-251/16, 41 ir 42 p. bei juose nurodytą šio teismo praktiką</w:t>
      </w:r>
      <w:r>
        <w:rPr>
          <w:rFonts w:asciiTheme="minorHAnsi" w:hAnsiTheme="minorHAnsi" w:cstheme="minorHAnsi"/>
        </w:rPr>
        <w:t>.</w:t>
      </w:r>
    </w:p>
  </w:footnote>
  <w:footnote w:id="3">
    <w:p w14:paraId="05E159A3" w14:textId="1FB3CE81" w:rsidR="002101EB" w:rsidRPr="009112AC" w:rsidRDefault="002101EB" w:rsidP="002D2176">
      <w:pPr>
        <w:pStyle w:val="Puslapioinaostekstas"/>
        <w:jc w:val="both"/>
        <w:rPr>
          <w:rFonts w:asciiTheme="minorHAnsi" w:hAnsiTheme="minorHAnsi" w:cstheme="minorHAnsi"/>
        </w:rPr>
      </w:pPr>
      <w:r w:rsidRPr="009112AC">
        <w:rPr>
          <w:rStyle w:val="Puslapioinaosnuoroda"/>
          <w:rFonts w:asciiTheme="minorHAnsi" w:hAnsiTheme="minorHAnsi" w:cstheme="minorHAnsi"/>
        </w:rPr>
        <w:footnoteRef/>
      </w:r>
      <w:r w:rsidRPr="009112AC">
        <w:rPr>
          <w:rFonts w:asciiTheme="minorHAnsi" w:hAnsiTheme="minorHAnsi" w:cstheme="minorHAnsi"/>
        </w:rPr>
        <w:t xml:space="preserve"> šiuo klausimu žr. Teisingumo Teismo 2017 m. lapkričio 22 d. sprendimo byloje </w:t>
      </w:r>
      <w:r w:rsidRPr="009112AC">
        <w:rPr>
          <w:rFonts w:asciiTheme="minorHAnsi" w:hAnsiTheme="minorHAnsi" w:cstheme="minorHAnsi"/>
          <w:i/>
        </w:rPr>
        <w:t>Cussens ir kt.</w:t>
      </w:r>
      <w:r w:rsidRPr="009112AC">
        <w:rPr>
          <w:rFonts w:asciiTheme="minorHAnsi" w:hAnsiTheme="minorHAnsi" w:cstheme="minorHAnsi"/>
        </w:rPr>
        <w:t>, C-251/16, 43 p. ir jame nurodytą šio teismo praktiką</w:t>
      </w:r>
      <w:r>
        <w:rPr>
          <w:rFonts w:asciiTheme="minorHAnsi" w:hAnsiTheme="minorHAnsi" w:cstheme="minorHAnsi"/>
        </w:rPr>
        <w:t>.</w:t>
      </w:r>
    </w:p>
  </w:footnote>
  <w:footnote w:id="4">
    <w:p w14:paraId="31386535" w14:textId="4CC7FD93" w:rsidR="002101EB" w:rsidRPr="009112AC" w:rsidRDefault="002101EB" w:rsidP="002D2176">
      <w:pPr>
        <w:pStyle w:val="Puslapioinaostekstas"/>
        <w:jc w:val="both"/>
        <w:rPr>
          <w:rFonts w:asciiTheme="minorHAnsi" w:hAnsiTheme="minorHAnsi" w:cstheme="minorHAnsi"/>
        </w:rPr>
      </w:pPr>
      <w:r w:rsidRPr="009112AC">
        <w:rPr>
          <w:rStyle w:val="Puslapioinaosnuoroda"/>
          <w:rFonts w:asciiTheme="minorHAnsi" w:hAnsiTheme="minorHAnsi" w:cstheme="minorHAnsi"/>
        </w:rPr>
        <w:footnoteRef/>
      </w:r>
      <w:r>
        <w:rPr>
          <w:rFonts w:asciiTheme="minorHAnsi" w:hAnsiTheme="minorHAnsi" w:cstheme="minorHAnsi"/>
        </w:rPr>
        <w:t xml:space="preserve"> </w:t>
      </w:r>
      <w:r w:rsidRPr="009112AC">
        <w:rPr>
          <w:rFonts w:asciiTheme="minorHAnsi" w:hAnsiTheme="minorHAnsi" w:cstheme="minorHAnsi"/>
        </w:rPr>
        <w:t xml:space="preserve">Teisingumo Teismo 2010 m. gruodžio 22 d. sprendimo byloje </w:t>
      </w:r>
      <w:r w:rsidRPr="009112AC">
        <w:rPr>
          <w:rFonts w:asciiTheme="minorHAnsi" w:hAnsiTheme="minorHAnsi" w:cstheme="minorHAnsi"/>
          <w:i/>
        </w:rPr>
        <w:t>Weald Leasing</w:t>
      </w:r>
      <w:r w:rsidRPr="009112AC">
        <w:rPr>
          <w:rFonts w:asciiTheme="minorHAnsi" w:hAnsiTheme="minorHAnsi" w:cstheme="minorHAnsi"/>
        </w:rPr>
        <w:t>, C 103/09, 44 p.</w:t>
      </w:r>
    </w:p>
  </w:footnote>
  <w:footnote w:id="5">
    <w:p w14:paraId="5B8F756C" w14:textId="2F57C7FF" w:rsidR="002101EB" w:rsidRPr="009112AC" w:rsidRDefault="002101EB" w:rsidP="002D2176">
      <w:pPr>
        <w:pStyle w:val="Puslapioinaostekstas"/>
        <w:jc w:val="both"/>
        <w:rPr>
          <w:rFonts w:asciiTheme="minorHAnsi" w:hAnsiTheme="minorHAnsi" w:cstheme="minorHAnsi"/>
        </w:rPr>
      </w:pPr>
      <w:r w:rsidRPr="009112AC">
        <w:rPr>
          <w:rStyle w:val="Puslapioinaosnuoroda"/>
          <w:rFonts w:asciiTheme="minorHAnsi" w:hAnsiTheme="minorHAnsi" w:cstheme="minorHAnsi"/>
        </w:rPr>
        <w:footnoteRef/>
      </w:r>
      <w:r w:rsidRPr="009112AC">
        <w:rPr>
          <w:rFonts w:asciiTheme="minorHAnsi" w:hAnsiTheme="minorHAnsi" w:cstheme="minorHAnsi"/>
        </w:rPr>
        <w:t xml:space="preserve"> žr. Teisingumo Teismo 2006 m. vasario 21 d. didžiosios kolegijos sprendimo byloje </w:t>
      </w:r>
      <w:r w:rsidRPr="009112AC">
        <w:rPr>
          <w:rFonts w:asciiTheme="minorHAnsi" w:hAnsiTheme="minorHAnsi" w:cstheme="minorHAnsi"/>
          <w:i/>
        </w:rPr>
        <w:t>Halifax ir kt.</w:t>
      </w:r>
      <w:r w:rsidRPr="009112AC">
        <w:rPr>
          <w:rFonts w:asciiTheme="minorHAnsi" w:hAnsiTheme="minorHAnsi" w:cstheme="minorHAnsi"/>
        </w:rPr>
        <w:t>, C-255/02, 76 ir 81 p.</w:t>
      </w:r>
    </w:p>
  </w:footnote>
  <w:footnote w:id="6">
    <w:p w14:paraId="2998A1E7" w14:textId="403A8948" w:rsidR="002101EB" w:rsidRPr="009112AC" w:rsidRDefault="002101EB" w:rsidP="000E2EAC">
      <w:pPr>
        <w:pStyle w:val="Puslapioinaostekstas"/>
        <w:rPr>
          <w:rFonts w:asciiTheme="minorHAnsi" w:hAnsiTheme="minorHAnsi" w:cstheme="minorHAnsi"/>
        </w:rPr>
      </w:pPr>
      <w:r w:rsidRPr="009112AC">
        <w:rPr>
          <w:rStyle w:val="Puslapioinaosnuoroda"/>
          <w:rFonts w:asciiTheme="minorHAnsi" w:hAnsiTheme="minorHAnsi" w:cstheme="minorHAnsi"/>
        </w:rPr>
        <w:footnoteRef/>
      </w:r>
      <w:r>
        <w:rPr>
          <w:rFonts w:asciiTheme="minorHAnsi" w:hAnsiTheme="minorHAnsi" w:cstheme="minorHAnsi"/>
        </w:rPr>
        <w:t xml:space="preserve"> </w:t>
      </w:r>
      <w:r w:rsidRPr="009112AC">
        <w:rPr>
          <w:rFonts w:asciiTheme="minorHAnsi" w:hAnsiTheme="minorHAnsi" w:cstheme="minorHAnsi"/>
        </w:rPr>
        <w:t xml:space="preserve">žr. Teisingumo Teismo 2015 m. gruodžio 17 d. sprendimo byloje </w:t>
      </w:r>
      <w:r w:rsidRPr="009112AC">
        <w:rPr>
          <w:rFonts w:asciiTheme="minorHAnsi" w:hAnsiTheme="minorHAnsi" w:cstheme="minorHAnsi"/>
          <w:i/>
        </w:rPr>
        <w:t>WebMindLicenses</w:t>
      </w:r>
      <w:r w:rsidRPr="009112AC">
        <w:rPr>
          <w:rFonts w:asciiTheme="minorHAnsi" w:hAnsiTheme="minorHAnsi" w:cstheme="minorHAnsi"/>
        </w:rPr>
        <w:t>, C</w:t>
      </w:r>
      <w:r w:rsidRPr="009112AC">
        <w:rPr>
          <w:rFonts w:ascii="Cambria Math" w:hAnsi="Cambria Math" w:cs="Cambria Math"/>
        </w:rPr>
        <w:t>‑</w:t>
      </w:r>
      <w:r w:rsidRPr="009112AC">
        <w:rPr>
          <w:rFonts w:asciiTheme="minorHAnsi" w:hAnsiTheme="minorHAnsi" w:cstheme="minorHAnsi"/>
        </w:rPr>
        <w:t>419/14, 42 punkt</w:t>
      </w:r>
      <w:r w:rsidRPr="009112AC">
        <w:rPr>
          <w:rFonts w:ascii="Calibri" w:hAnsi="Calibri" w:cs="Calibri"/>
        </w:rPr>
        <w:t>ą</w:t>
      </w:r>
      <w:r w:rsidRPr="009112AC">
        <w:rPr>
          <w:rFonts w:asciiTheme="minorHAnsi" w:hAnsiTheme="minorHAnsi" w:cstheme="minorHAnsi"/>
        </w:rPr>
        <w:t xml:space="preserve"> ir jame nurodyt</w:t>
      </w:r>
      <w:r w:rsidRPr="009112AC">
        <w:rPr>
          <w:rFonts w:ascii="Calibri" w:hAnsi="Calibri" w:cs="Calibri"/>
        </w:rPr>
        <w:t>ą</w:t>
      </w:r>
      <w:r w:rsidRPr="009112AC">
        <w:rPr>
          <w:rFonts w:asciiTheme="minorHAnsi" w:hAnsiTheme="minorHAnsi" w:cstheme="minorHAnsi"/>
        </w:rPr>
        <w:t xml:space="preserve"> </w:t>
      </w:r>
      <w:r w:rsidRPr="009112AC">
        <w:rPr>
          <w:rFonts w:ascii="Calibri" w:hAnsi="Calibri" w:cs="Calibri"/>
        </w:rPr>
        <w:t>š</w:t>
      </w:r>
      <w:r w:rsidRPr="009112AC">
        <w:rPr>
          <w:rFonts w:asciiTheme="minorHAnsi" w:hAnsiTheme="minorHAnsi" w:cstheme="minorHAnsi"/>
        </w:rPr>
        <w:t>io teismo praktik</w:t>
      </w:r>
      <w:r w:rsidRPr="009112AC">
        <w:rPr>
          <w:rFonts w:ascii="Calibri" w:hAnsi="Calibri" w:cs="Calibri"/>
        </w:rPr>
        <w:t>ą</w:t>
      </w:r>
    </w:p>
  </w:footnote>
  <w:footnote w:id="7">
    <w:p w14:paraId="5F87E372" w14:textId="531E18E6" w:rsidR="002101EB" w:rsidRPr="009112AC" w:rsidRDefault="002101EB" w:rsidP="000E2EAC">
      <w:pPr>
        <w:pStyle w:val="Puslapioinaostekstas"/>
        <w:rPr>
          <w:rFonts w:asciiTheme="minorHAnsi" w:hAnsiTheme="minorHAnsi" w:cstheme="minorHAnsi"/>
        </w:rPr>
      </w:pPr>
      <w:r w:rsidRPr="009112AC">
        <w:rPr>
          <w:rStyle w:val="Puslapioinaosnuoroda"/>
          <w:rFonts w:asciiTheme="minorHAnsi" w:hAnsiTheme="minorHAnsi" w:cstheme="minorHAnsi"/>
        </w:rPr>
        <w:footnoteRef/>
      </w:r>
      <w:r>
        <w:rPr>
          <w:rFonts w:asciiTheme="minorHAnsi" w:hAnsiTheme="minorHAnsi" w:cstheme="minorHAnsi"/>
        </w:rPr>
        <w:t xml:space="preserve"> </w:t>
      </w:r>
      <w:r w:rsidRPr="009112AC">
        <w:rPr>
          <w:rFonts w:asciiTheme="minorHAnsi" w:hAnsiTheme="minorHAnsi" w:cstheme="minorHAnsi"/>
        </w:rPr>
        <w:t xml:space="preserve">Teisingumo Teismo 2014 m. rugsėjo 3 d. sprendimo byloje </w:t>
      </w:r>
      <w:r w:rsidRPr="009112AC">
        <w:rPr>
          <w:rFonts w:asciiTheme="minorHAnsi" w:hAnsiTheme="minorHAnsi" w:cstheme="minorHAnsi"/>
          <w:i/>
        </w:rPr>
        <w:t>GMAC</w:t>
      </w:r>
      <w:r w:rsidRPr="009112AC">
        <w:rPr>
          <w:rFonts w:asciiTheme="minorHAnsi" w:hAnsiTheme="minorHAnsi" w:cstheme="minorHAnsi"/>
        </w:rPr>
        <w:t>, C-589/12, 48 p.</w:t>
      </w:r>
    </w:p>
  </w:footnote>
  <w:footnote w:id="8">
    <w:p w14:paraId="7B2D8605" w14:textId="0FFAF338" w:rsidR="002101EB" w:rsidRPr="009112AC" w:rsidRDefault="002101EB" w:rsidP="000E2EAC">
      <w:pPr>
        <w:pStyle w:val="Puslapioinaostekstas"/>
        <w:rPr>
          <w:rFonts w:asciiTheme="minorHAnsi" w:hAnsiTheme="minorHAnsi" w:cstheme="minorHAnsi"/>
        </w:rPr>
      </w:pPr>
      <w:r w:rsidRPr="009112AC">
        <w:rPr>
          <w:rStyle w:val="Puslapioinaosnuoroda"/>
          <w:rFonts w:asciiTheme="minorHAnsi" w:hAnsiTheme="minorHAnsi" w:cstheme="minorHAnsi"/>
        </w:rPr>
        <w:footnoteRef/>
      </w:r>
      <w:r>
        <w:rPr>
          <w:rFonts w:asciiTheme="minorHAnsi" w:hAnsiTheme="minorHAnsi" w:cstheme="minorHAnsi"/>
        </w:rPr>
        <w:t xml:space="preserve"> </w:t>
      </w:r>
      <w:r w:rsidRPr="009112AC">
        <w:rPr>
          <w:rFonts w:asciiTheme="minorHAnsi" w:hAnsiTheme="minorHAnsi" w:cstheme="minorHAnsi"/>
        </w:rPr>
        <w:t xml:space="preserve">pagal analogiją žr. Teisingumo Teismo 2019 m. vasario 26 d. didžiosios kolegijos sprendimo sujungtose bylose </w:t>
      </w:r>
      <w:r w:rsidRPr="009112AC">
        <w:rPr>
          <w:rFonts w:asciiTheme="minorHAnsi" w:hAnsiTheme="minorHAnsi" w:cstheme="minorHAnsi"/>
          <w:i/>
        </w:rPr>
        <w:t>N ir kt.</w:t>
      </w:r>
      <w:r w:rsidRPr="009112AC">
        <w:rPr>
          <w:rFonts w:asciiTheme="minorHAnsi" w:hAnsiTheme="minorHAnsi" w:cstheme="minorHAnsi"/>
        </w:rPr>
        <w:t>, C</w:t>
      </w:r>
      <w:r w:rsidRPr="009112AC">
        <w:rPr>
          <w:rFonts w:ascii="Cambria Math" w:hAnsi="Cambria Math" w:cs="Cambria Math"/>
        </w:rPr>
        <w:t>‑</w:t>
      </w:r>
      <w:r w:rsidRPr="009112AC">
        <w:rPr>
          <w:rFonts w:asciiTheme="minorHAnsi" w:hAnsiTheme="minorHAnsi" w:cstheme="minorHAnsi"/>
        </w:rPr>
        <w:t>115/16, C</w:t>
      </w:r>
      <w:r w:rsidRPr="009112AC">
        <w:rPr>
          <w:rFonts w:ascii="Cambria Math" w:hAnsi="Cambria Math" w:cs="Cambria Math"/>
        </w:rPr>
        <w:t>‑</w:t>
      </w:r>
      <w:r w:rsidRPr="009112AC">
        <w:rPr>
          <w:rFonts w:asciiTheme="minorHAnsi" w:hAnsiTheme="minorHAnsi" w:cstheme="minorHAnsi"/>
        </w:rPr>
        <w:t>118/16, C</w:t>
      </w:r>
      <w:r w:rsidRPr="009112AC">
        <w:rPr>
          <w:rFonts w:ascii="Cambria Math" w:hAnsi="Cambria Math" w:cs="Cambria Math"/>
        </w:rPr>
        <w:t>‑</w:t>
      </w:r>
      <w:r w:rsidRPr="009112AC">
        <w:rPr>
          <w:rFonts w:asciiTheme="minorHAnsi" w:hAnsiTheme="minorHAnsi" w:cstheme="minorHAnsi"/>
        </w:rPr>
        <w:t>119/16 ir C</w:t>
      </w:r>
      <w:r w:rsidRPr="009112AC">
        <w:rPr>
          <w:rFonts w:ascii="Cambria Math" w:hAnsi="Cambria Math" w:cs="Cambria Math"/>
        </w:rPr>
        <w:t>‑</w:t>
      </w:r>
      <w:r w:rsidRPr="009112AC">
        <w:rPr>
          <w:rFonts w:asciiTheme="minorHAnsi" w:hAnsiTheme="minorHAnsi" w:cstheme="minorHAnsi"/>
        </w:rPr>
        <w:t>299/16, 109 p. ir jame nurodyt</w:t>
      </w:r>
      <w:r w:rsidRPr="009112AC">
        <w:rPr>
          <w:rFonts w:ascii="Calibri" w:hAnsi="Calibri" w:cs="Calibri"/>
        </w:rPr>
        <w:t>ą</w:t>
      </w:r>
      <w:r w:rsidRPr="009112AC">
        <w:rPr>
          <w:rFonts w:asciiTheme="minorHAnsi" w:hAnsiTheme="minorHAnsi" w:cstheme="minorHAnsi"/>
        </w:rPr>
        <w:t xml:space="preserve"> </w:t>
      </w:r>
      <w:r w:rsidRPr="009112AC">
        <w:rPr>
          <w:rFonts w:ascii="Calibri" w:hAnsi="Calibri" w:cs="Calibri"/>
        </w:rPr>
        <w:t>š</w:t>
      </w:r>
      <w:r w:rsidRPr="009112AC">
        <w:rPr>
          <w:rFonts w:asciiTheme="minorHAnsi" w:hAnsiTheme="minorHAnsi" w:cstheme="minorHAnsi"/>
        </w:rPr>
        <w:t>io teismo praktik</w:t>
      </w:r>
      <w:r w:rsidRPr="009112AC">
        <w:rPr>
          <w:rFonts w:ascii="Calibri" w:hAnsi="Calibri" w:cs="Calibri"/>
        </w:rPr>
        <w:t>ą</w:t>
      </w:r>
    </w:p>
  </w:footnote>
  <w:footnote w:id="9">
    <w:p w14:paraId="1C7B6674" w14:textId="3754BB25" w:rsidR="002101EB" w:rsidRPr="009112AC" w:rsidRDefault="002101EB" w:rsidP="000E2EAC">
      <w:pPr>
        <w:pStyle w:val="Puslapioinaostekstas"/>
        <w:rPr>
          <w:rFonts w:asciiTheme="minorHAnsi" w:hAnsiTheme="minorHAnsi" w:cstheme="minorHAnsi"/>
        </w:rPr>
      </w:pPr>
      <w:r w:rsidRPr="009112AC">
        <w:rPr>
          <w:rStyle w:val="Puslapioinaosnuoroda"/>
          <w:rFonts w:asciiTheme="minorHAnsi" w:hAnsiTheme="minorHAnsi" w:cstheme="minorHAnsi"/>
        </w:rPr>
        <w:footnoteRef/>
      </w:r>
      <w:r>
        <w:rPr>
          <w:rFonts w:asciiTheme="minorHAnsi" w:hAnsiTheme="minorHAnsi" w:cstheme="minorHAnsi"/>
        </w:rPr>
        <w:t xml:space="preserve"> </w:t>
      </w:r>
      <w:r w:rsidRPr="009112AC">
        <w:rPr>
          <w:rFonts w:asciiTheme="minorHAnsi" w:hAnsiTheme="minorHAnsi" w:cstheme="minorHAnsi"/>
        </w:rPr>
        <w:t xml:space="preserve">Teisingumo Teismo 2006 m. vasario 21 d. didžiosios kolegijos sprendimo byloje </w:t>
      </w:r>
      <w:r w:rsidRPr="009112AC">
        <w:rPr>
          <w:rFonts w:asciiTheme="minorHAnsi" w:hAnsiTheme="minorHAnsi" w:cstheme="minorHAnsi"/>
          <w:i/>
        </w:rPr>
        <w:t>Halifax ir kt</w:t>
      </w:r>
      <w:r w:rsidRPr="009112AC">
        <w:rPr>
          <w:rFonts w:asciiTheme="minorHAnsi" w:hAnsiTheme="minorHAnsi" w:cstheme="minorHAnsi"/>
        </w:rPr>
        <w:t>., C 255/02, 94 p.</w:t>
      </w:r>
    </w:p>
  </w:footnote>
  <w:footnote w:id="10">
    <w:p w14:paraId="451634B3" w14:textId="66CD3547" w:rsidR="002101EB" w:rsidRPr="009112AC" w:rsidRDefault="002101EB" w:rsidP="000E2EAC">
      <w:pPr>
        <w:pStyle w:val="Puslapioinaostekstas"/>
        <w:rPr>
          <w:rFonts w:asciiTheme="minorHAnsi" w:hAnsiTheme="minorHAnsi" w:cstheme="minorHAnsi"/>
        </w:rPr>
      </w:pPr>
      <w:r w:rsidRPr="009112AC">
        <w:rPr>
          <w:rStyle w:val="Puslapioinaosnuoroda"/>
          <w:rFonts w:asciiTheme="minorHAnsi" w:hAnsiTheme="minorHAnsi" w:cstheme="minorHAnsi"/>
        </w:rPr>
        <w:footnoteRef/>
      </w:r>
      <w:r>
        <w:rPr>
          <w:rFonts w:asciiTheme="minorHAnsi" w:hAnsiTheme="minorHAnsi" w:cstheme="minorHAnsi"/>
        </w:rPr>
        <w:t xml:space="preserve"> </w:t>
      </w:r>
      <w:r w:rsidRPr="009112AC">
        <w:rPr>
          <w:rFonts w:asciiTheme="minorHAnsi" w:hAnsiTheme="minorHAnsi" w:cstheme="minorHAnsi"/>
        </w:rPr>
        <w:t xml:space="preserve">Teisingumo Teismo 2017 m. lapkričio 22 d. sprendimo byloje </w:t>
      </w:r>
      <w:r w:rsidRPr="009112AC">
        <w:rPr>
          <w:rFonts w:asciiTheme="minorHAnsi" w:hAnsiTheme="minorHAnsi" w:cstheme="minorHAnsi"/>
          <w:i/>
        </w:rPr>
        <w:t>Cussens ir kt</w:t>
      </w:r>
      <w:r w:rsidRPr="009112AC">
        <w:rPr>
          <w:rFonts w:asciiTheme="minorHAnsi" w:hAnsiTheme="minorHAnsi" w:cstheme="minorHAnsi"/>
        </w:rPr>
        <w:t>., C-251/16, 47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2101EB" w:rsidRPr="000967FF" w14:paraId="1A3B950A" w14:textId="77777777" w:rsidTr="00125BDC">
      <w:tc>
        <w:tcPr>
          <w:tcW w:w="7230" w:type="dxa"/>
        </w:tcPr>
        <w:p w14:paraId="2A61BEB6" w14:textId="77777777" w:rsidR="002101EB" w:rsidRPr="0021377E" w:rsidRDefault="002101EB"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3AF91017" w:rsidR="002101EB" w:rsidRPr="0021377E" w:rsidRDefault="002101EB" w:rsidP="005E7FEB">
          <w:pPr>
            <w:rPr>
              <w:rFonts w:ascii="Calibri" w:hAnsi="Calibri"/>
              <w:color w:val="323E4F" w:themeColor="text2" w:themeShade="BF"/>
              <w:sz w:val="20"/>
              <w:szCs w:val="20"/>
            </w:rPr>
          </w:pPr>
          <w:r>
            <w:rPr>
              <w:rFonts w:ascii="Calibri" w:hAnsi="Calibri"/>
              <w:color w:val="323E4F" w:themeColor="text2" w:themeShade="BF"/>
              <w:sz w:val="20"/>
              <w:szCs w:val="20"/>
            </w:rPr>
            <w:t xml:space="preserve">      2019 11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9 11 30 </w:t>
          </w:r>
        </w:p>
      </w:tc>
    </w:tr>
  </w:tbl>
  <w:p w14:paraId="7AD15F6C" w14:textId="77777777" w:rsidR="002101EB" w:rsidRPr="008A0597" w:rsidRDefault="002101EB">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83068C"/>
    <w:multiLevelType w:val="hybridMultilevel"/>
    <w:tmpl w:val="AE8A69AC"/>
    <w:numStyleLink w:val="ImportedStyle1"/>
  </w:abstractNum>
  <w:abstractNum w:abstractNumId="3"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2EB21AFB"/>
    <w:multiLevelType w:val="multilevel"/>
    <w:tmpl w:val="0427001F"/>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abstractNumId w:val="6"/>
  </w:num>
  <w:num w:numId="2">
    <w:abstractNumId w:val="4"/>
  </w:num>
  <w:num w:numId="3">
    <w:abstractNumId w:val="3"/>
  </w:num>
  <w:num w:numId="4">
    <w:abstractNumId w:val="1"/>
  </w:num>
  <w:num w:numId="5">
    <w:abstractNumId w:val="5"/>
  </w:num>
  <w:num w:numId="6">
    <w:abstractNumId w:val="2"/>
    <w:lvlOverride w:ilvl="0">
      <w:lvl w:ilvl="0" w:tplc="BF68AC42">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9C6DA0C">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0704F52">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C524F76">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1C2BAEA">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6A48B1E">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3446D16">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DF0911E">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32CEDB2">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num>
  <w:num w:numId="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hideSpellingErrors/>
  <w:hideGrammaticalErrors/>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46DE"/>
    <w:rsid w:val="00005391"/>
    <w:rsid w:val="00005A36"/>
    <w:rsid w:val="000064C2"/>
    <w:rsid w:val="00006E86"/>
    <w:rsid w:val="000075AF"/>
    <w:rsid w:val="00007A79"/>
    <w:rsid w:val="00007AE0"/>
    <w:rsid w:val="00010516"/>
    <w:rsid w:val="0001086D"/>
    <w:rsid w:val="000113E1"/>
    <w:rsid w:val="000130FA"/>
    <w:rsid w:val="0001338B"/>
    <w:rsid w:val="0001374D"/>
    <w:rsid w:val="00013D25"/>
    <w:rsid w:val="00014130"/>
    <w:rsid w:val="00014148"/>
    <w:rsid w:val="00014C00"/>
    <w:rsid w:val="0001541F"/>
    <w:rsid w:val="00016443"/>
    <w:rsid w:val="00017230"/>
    <w:rsid w:val="0001760A"/>
    <w:rsid w:val="00017C67"/>
    <w:rsid w:val="00017F45"/>
    <w:rsid w:val="00020BE8"/>
    <w:rsid w:val="00021869"/>
    <w:rsid w:val="00021C5E"/>
    <w:rsid w:val="000232BE"/>
    <w:rsid w:val="000238BA"/>
    <w:rsid w:val="00024FF5"/>
    <w:rsid w:val="00025504"/>
    <w:rsid w:val="000256A0"/>
    <w:rsid w:val="00025BA1"/>
    <w:rsid w:val="000262CF"/>
    <w:rsid w:val="00026349"/>
    <w:rsid w:val="00027DF8"/>
    <w:rsid w:val="00030179"/>
    <w:rsid w:val="00030614"/>
    <w:rsid w:val="0003198A"/>
    <w:rsid w:val="00031F67"/>
    <w:rsid w:val="00033126"/>
    <w:rsid w:val="00033C55"/>
    <w:rsid w:val="00034291"/>
    <w:rsid w:val="00034C6D"/>
    <w:rsid w:val="00034F46"/>
    <w:rsid w:val="00035916"/>
    <w:rsid w:val="00035BB7"/>
    <w:rsid w:val="00035E28"/>
    <w:rsid w:val="000361AE"/>
    <w:rsid w:val="00036B29"/>
    <w:rsid w:val="00037C27"/>
    <w:rsid w:val="00037D5F"/>
    <w:rsid w:val="00040EBD"/>
    <w:rsid w:val="0004105D"/>
    <w:rsid w:val="0004324F"/>
    <w:rsid w:val="000437A2"/>
    <w:rsid w:val="00043CD9"/>
    <w:rsid w:val="00043FA6"/>
    <w:rsid w:val="000446AC"/>
    <w:rsid w:val="00044F1B"/>
    <w:rsid w:val="00045020"/>
    <w:rsid w:val="000458C0"/>
    <w:rsid w:val="00045B8E"/>
    <w:rsid w:val="00045C20"/>
    <w:rsid w:val="00046189"/>
    <w:rsid w:val="00046B5B"/>
    <w:rsid w:val="00046E01"/>
    <w:rsid w:val="00047043"/>
    <w:rsid w:val="00047F10"/>
    <w:rsid w:val="00050321"/>
    <w:rsid w:val="00050657"/>
    <w:rsid w:val="00050891"/>
    <w:rsid w:val="00050B91"/>
    <w:rsid w:val="00050CE1"/>
    <w:rsid w:val="00051F4C"/>
    <w:rsid w:val="00051FCA"/>
    <w:rsid w:val="00052995"/>
    <w:rsid w:val="00052FC4"/>
    <w:rsid w:val="000532AC"/>
    <w:rsid w:val="000536F6"/>
    <w:rsid w:val="000545FE"/>
    <w:rsid w:val="000546B9"/>
    <w:rsid w:val="000546D1"/>
    <w:rsid w:val="0005480A"/>
    <w:rsid w:val="0005601D"/>
    <w:rsid w:val="0005610D"/>
    <w:rsid w:val="00057DF4"/>
    <w:rsid w:val="000608A3"/>
    <w:rsid w:val="000611FF"/>
    <w:rsid w:val="0006157E"/>
    <w:rsid w:val="0006163D"/>
    <w:rsid w:val="0006177A"/>
    <w:rsid w:val="00061B35"/>
    <w:rsid w:val="00061D97"/>
    <w:rsid w:val="000626F5"/>
    <w:rsid w:val="000641D7"/>
    <w:rsid w:val="000641F6"/>
    <w:rsid w:val="00064654"/>
    <w:rsid w:val="00064CB1"/>
    <w:rsid w:val="000650DE"/>
    <w:rsid w:val="000660B9"/>
    <w:rsid w:val="000664DB"/>
    <w:rsid w:val="00066917"/>
    <w:rsid w:val="00066F18"/>
    <w:rsid w:val="0006729D"/>
    <w:rsid w:val="0006745F"/>
    <w:rsid w:val="000674B2"/>
    <w:rsid w:val="0006759B"/>
    <w:rsid w:val="00067FB8"/>
    <w:rsid w:val="0007050C"/>
    <w:rsid w:val="00070B4D"/>
    <w:rsid w:val="00070F1E"/>
    <w:rsid w:val="00071022"/>
    <w:rsid w:val="00072C40"/>
    <w:rsid w:val="000738BB"/>
    <w:rsid w:val="00073B21"/>
    <w:rsid w:val="00073B99"/>
    <w:rsid w:val="00073F44"/>
    <w:rsid w:val="000744E9"/>
    <w:rsid w:val="00074E76"/>
    <w:rsid w:val="00075247"/>
    <w:rsid w:val="000752AE"/>
    <w:rsid w:val="0007560C"/>
    <w:rsid w:val="00075877"/>
    <w:rsid w:val="000763FB"/>
    <w:rsid w:val="00076920"/>
    <w:rsid w:val="00076972"/>
    <w:rsid w:val="00076BBD"/>
    <w:rsid w:val="00076D36"/>
    <w:rsid w:val="0007786B"/>
    <w:rsid w:val="000779F9"/>
    <w:rsid w:val="00077FD1"/>
    <w:rsid w:val="00080B12"/>
    <w:rsid w:val="00080C5A"/>
    <w:rsid w:val="00081450"/>
    <w:rsid w:val="00081734"/>
    <w:rsid w:val="00082855"/>
    <w:rsid w:val="00082913"/>
    <w:rsid w:val="00082A2D"/>
    <w:rsid w:val="0008302F"/>
    <w:rsid w:val="00083E78"/>
    <w:rsid w:val="00084172"/>
    <w:rsid w:val="00084279"/>
    <w:rsid w:val="00084D99"/>
    <w:rsid w:val="000853D2"/>
    <w:rsid w:val="0008597D"/>
    <w:rsid w:val="00085E0F"/>
    <w:rsid w:val="00086F37"/>
    <w:rsid w:val="00087DA3"/>
    <w:rsid w:val="00087F0A"/>
    <w:rsid w:val="0009023A"/>
    <w:rsid w:val="000903B8"/>
    <w:rsid w:val="000904B8"/>
    <w:rsid w:val="00091B33"/>
    <w:rsid w:val="00091EE2"/>
    <w:rsid w:val="00092976"/>
    <w:rsid w:val="00092E83"/>
    <w:rsid w:val="0009591E"/>
    <w:rsid w:val="00095E50"/>
    <w:rsid w:val="00096A7B"/>
    <w:rsid w:val="000977FE"/>
    <w:rsid w:val="000A1143"/>
    <w:rsid w:val="000A2ACD"/>
    <w:rsid w:val="000A39F4"/>
    <w:rsid w:val="000A3A7B"/>
    <w:rsid w:val="000A48C7"/>
    <w:rsid w:val="000A533A"/>
    <w:rsid w:val="000A5DF8"/>
    <w:rsid w:val="000A6981"/>
    <w:rsid w:val="000A7295"/>
    <w:rsid w:val="000A7A94"/>
    <w:rsid w:val="000B07AF"/>
    <w:rsid w:val="000B0DB3"/>
    <w:rsid w:val="000B0F24"/>
    <w:rsid w:val="000B0F96"/>
    <w:rsid w:val="000B15D3"/>
    <w:rsid w:val="000B1AF3"/>
    <w:rsid w:val="000B1B87"/>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B87"/>
    <w:rsid w:val="000B7E29"/>
    <w:rsid w:val="000C0EFB"/>
    <w:rsid w:val="000C0FC4"/>
    <w:rsid w:val="000C3304"/>
    <w:rsid w:val="000C3364"/>
    <w:rsid w:val="000C338C"/>
    <w:rsid w:val="000C45A4"/>
    <w:rsid w:val="000C45FB"/>
    <w:rsid w:val="000C46F2"/>
    <w:rsid w:val="000C523F"/>
    <w:rsid w:val="000C5D18"/>
    <w:rsid w:val="000C6090"/>
    <w:rsid w:val="000C66E5"/>
    <w:rsid w:val="000C6BFD"/>
    <w:rsid w:val="000C7D39"/>
    <w:rsid w:val="000C7EA9"/>
    <w:rsid w:val="000D0F76"/>
    <w:rsid w:val="000D24DC"/>
    <w:rsid w:val="000D282A"/>
    <w:rsid w:val="000D42DA"/>
    <w:rsid w:val="000D607E"/>
    <w:rsid w:val="000D613F"/>
    <w:rsid w:val="000D6259"/>
    <w:rsid w:val="000D641E"/>
    <w:rsid w:val="000D6B6F"/>
    <w:rsid w:val="000D6D2E"/>
    <w:rsid w:val="000D7545"/>
    <w:rsid w:val="000D7B2B"/>
    <w:rsid w:val="000D7E2A"/>
    <w:rsid w:val="000E00E4"/>
    <w:rsid w:val="000E05F1"/>
    <w:rsid w:val="000E06F6"/>
    <w:rsid w:val="000E0A69"/>
    <w:rsid w:val="000E1021"/>
    <w:rsid w:val="000E124F"/>
    <w:rsid w:val="000E171C"/>
    <w:rsid w:val="000E1F23"/>
    <w:rsid w:val="000E1FB4"/>
    <w:rsid w:val="000E20F4"/>
    <w:rsid w:val="000E2EAC"/>
    <w:rsid w:val="000E3BCE"/>
    <w:rsid w:val="000E4080"/>
    <w:rsid w:val="000E43AC"/>
    <w:rsid w:val="000E4B13"/>
    <w:rsid w:val="000E4D96"/>
    <w:rsid w:val="000E52D8"/>
    <w:rsid w:val="000E5B1F"/>
    <w:rsid w:val="000E733A"/>
    <w:rsid w:val="000F0AC2"/>
    <w:rsid w:val="000F0DB2"/>
    <w:rsid w:val="000F10B9"/>
    <w:rsid w:val="000F12B8"/>
    <w:rsid w:val="000F1C77"/>
    <w:rsid w:val="000F2745"/>
    <w:rsid w:val="000F27F0"/>
    <w:rsid w:val="000F2CE7"/>
    <w:rsid w:val="000F32EB"/>
    <w:rsid w:val="000F3F88"/>
    <w:rsid w:val="000F4990"/>
    <w:rsid w:val="000F4F25"/>
    <w:rsid w:val="000F51E8"/>
    <w:rsid w:val="000F5D10"/>
    <w:rsid w:val="000F6C25"/>
    <w:rsid w:val="000F6E87"/>
    <w:rsid w:val="000F7F53"/>
    <w:rsid w:val="001002EB"/>
    <w:rsid w:val="00100755"/>
    <w:rsid w:val="001014A9"/>
    <w:rsid w:val="001018C5"/>
    <w:rsid w:val="00101B47"/>
    <w:rsid w:val="00101C1A"/>
    <w:rsid w:val="00101C75"/>
    <w:rsid w:val="001025CD"/>
    <w:rsid w:val="001029F4"/>
    <w:rsid w:val="00102FB6"/>
    <w:rsid w:val="001035B6"/>
    <w:rsid w:val="001044C5"/>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3E"/>
    <w:rsid w:val="001224BE"/>
    <w:rsid w:val="00122887"/>
    <w:rsid w:val="001242A9"/>
    <w:rsid w:val="0012444E"/>
    <w:rsid w:val="0012446E"/>
    <w:rsid w:val="00125287"/>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64B3"/>
    <w:rsid w:val="00137586"/>
    <w:rsid w:val="00137D41"/>
    <w:rsid w:val="00137FBD"/>
    <w:rsid w:val="00140059"/>
    <w:rsid w:val="00140D6D"/>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502B3"/>
    <w:rsid w:val="00150B38"/>
    <w:rsid w:val="00151D5D"/>
    <w:rsid w:val="001521A0"/>
    <w:rsid w:val="00152840"/>
    <w:rsid w:val="00152D73"/>
    <w:rsid w:val="00152FD9"/>
    <w:rsid w:val="0015377A"/>
    <w:rsid w:val="00154014"/>
    <w:rsid w:val="001544D2"/>
    <w:rsid w:val="001556AC"/>
    <w:rsid w:val="00155EAA"/>
    <w:rsid w:val="00156AFE"/>
    <w:rsid w:val="00157368"/>
    <w:rsid w:val="00160700"/>
    <w:rsid w:val="00161759"/>
    <w:rsid w:val="00162692"/>
    <w:rsid w:val="00162DD2"/>
    <w:rsid w:val="00162DE5"/>
    <w:rsid w:val="00163E6A"/>
    <w:rsid w:val="00163F5B"/>
    <w:rsid w:val="0016628D"/>
    <w:rsid w:val="00166EB9"/>
    <w:rsid w:val="001671AE"/>
    <w:rsid w:val="0016762E"/>
    <w:rsid w:val="0017058A"/>
    <w:rsid w:val="001707A2"/>
    <w:rsid w:val="00170ABD"/>
    <w:rsid w:val="00170CDB"/>
    <w:rsid w:val="00171042"/>
    <w:rsid w:val="001719D0"/>
    <w:rsid w:val="00171DCE"/>
    <w:rsid w:val="00172A8F"/>
    <w:rsid w:val="00172B21"/>
    <w:rsid w:val="00172D2B"/>
    <w:rsid w:val="00173611"/>
    <w:rsid w:val="001738F3"/>
    <w:rsid w:val="0017480C"/>
    <w:rsid w:val="00175455"/>
    <w:rsid w:val="001756EA"/>
    <w:rsid w:val="0018007F"/>
    <w:rsid w:val="00180278"/>
    <w:rsid w:val="00181674"/>
    <w:rsid w:val="00181CED"/>
    <w:rsid w:val="00181E4B"/>
    <w:rsid w:val="00182145"/>
    <w:rsid w:val="00182789"/>
    <w:rsid w:val="001828DD"/>
    <w:rsid w:val="00182986"/>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21AE"/>
    <w:rsid w:val="00192542"/>
    <w:rsid w:val="001927BE"/>
    <w:rsid w:val="00193329"/>
    <w:rsid w:val="00193907"/>
    <w:rsid w:val="001942E9"/>
    <w:rsid w:val="00195E5C"/>
    <w:rsid w:val="001964BA"/>
    <w:rsid w:val="00196BE4"/>
    <w:rsid w:val="001979F8"/>
    <w:rsid w:val="001A0189"/>
    <w:rsid w:val="001A01BD"/>
    <w:rsid w:val="001A0565"/>
    <w:rsid w:val="001A0A78"/>
    <w:rsid w:val="001A0B5D"/>
    <w:rsid w:val="001A0CA7"/>
    <w:rsid w:val="001A1122"/>
    <w:rsid w:val="001A14C1"/>
    <w:rsid w:val="001A1FA5"/>
    <w:rsid w:val="001A2AFB"/>
    <w:rsid w:val="001A5310"/>
    <w:rsid w:val="001A59DF"/>
    <w:rsid w:val="001A6208"/>
    <w:rsid w:val="001A6277"/>
    <w:rsid w:val="001A6C29"/>
    <w:rsid w:val="001A7289"/>
    <w:rsid w:val="001B04D7"/>
    <w:rsid w:val="001B1824"/>
    <w:rsid w:val="001B1CF4"/>
    <w:rsid w:val="001B216E"/>
    <w:rsid w:val="001B22F3"/>
    <w:rsid w:val="001B27E9"/>
    <w:rsid w:val="001B2CA1"/>
    <w:rsid w:val="001B3153"/>
    <w:rsid w:val="001B3AE0"/>
    <w:rsid w:val="001B3DC8"/>
    <w:rsid w:val="001B4548"/>
    <w:rsid w:val="001B5075"/>
    <w:rsid w:val="001B5307"/>
    <w:rsid w:val="001B5FBA"/>
    <w:rsid w:val="001B6E68"/>
    <w:rsid w:val="001B7187"/>
    <w:rsid w:val="001B7319"/>
    <w:rsid w:val="001B7697"/>
    <w:rsid w:val="001C0AF1"/>
    <w:rsid w:val="001C1E42"/>
    <w:rsid w:val="001C296B"/>
    <w:rsid w:val="001C2CF1"/>
    <w:rsid w:val="001C36A5"/>
    <w:rsid w:val="001C3F98"/>
    <w:rsid w:val="001C40C6"/>
    <w:rsid w:val="001C482B"/>
    <w:rsid w:val="001C5364"/>
    <w:rsid w:val="001C55DF"/>
    <w:rsid w:val="001C5A1C"/>
    <w:rsid w:val="001C5B3C"/>
    <w:rsid w:val="001C5B7F"/>
    <w:rsid w:val="001C656F"/>
    <w:rsid w:val="001C6C69"/>
    <w:rsid w:val="001C6DCE"/>
    <w:rsid w:val="001C73D1"/>
    <w:rsid w:val="001C7EF0"/>
    <w:rsid w:val="001D0441"/>
    <w:rsid w:val="001D1087"/>
    <w:rsid w:val="001D12CB"/>
    <w:rsid w:val="001D134A"/>
    <w:rsid w:val="001D1734"/>
    <w:rsid w:val="001D19F6"/>
    <w:rsid w:val="001D1B05"/>
    <w:rsid w:val="001D1D4D"/>
    <w:rsid w:val="001D2019"/>
    <w:rsid w:val="001D2D45"/>
    <w:rsid w:val="001D32CA"/>
    <w:rsid w:val="001D3FB2"/>
    <w:rsid w:val="001D4040"/>
    <w:rsid w:val="001D540C"/>
    <w:rsid w:val="001D6103"/>
    <w:rsid w:val="001D636C"/>
    <w:rsid w:val="001D6386"/>
    <w:rsid w:val="001D64D2"/>
    <w:rsid w:val="001D7408"/>
    <w:rsid w:val="001E0CA3"/>
    <w:rsid w:val="001E11D8"/>
    <w:rsid w:val="001E13E4"/>
    <w:rsid w:val="001E15E7"/>
    <w:rsid w:val="001E27E5"/>
    <w:rsid w:val="001E3F5A"/>
    <w:rsid w:val="001E4460"/>
    <w:rsid w:val="001E44D3"/>
    <w:rsid w:val="001E45B4"/>
    <w:rsid w:val="001E549C"/>
    <w:rsid w:val="001E57E3"/>
    <w:rsid w:val="001E6108"/>
    <w:rsid w:val="001E64EE"/>
    <w:rsid w:val="001E69FA"/>
    <w:rsid w:val="001E6B93"/>
    <w:rsid w:val="001F0A80"/>
    <w:rsid w:val="001F122F"/>
    <w:rsid w:val="001F14F6"/>
    <w:rsid w:val="001F207C"/>
    <w:rsid w:val="001F2A6C"/>
    <w:rsid w:val="001F2C3C"/>
    <w:rsid w:val="001F2E5F"/>
    <w:rsid w:val="001F3487"/>
    <w:rsid w:val="001F35CD"/>
    <w:rsid w:val="001F376B"/>
    <w:rsid w:val="001F3775"/>
    <w:rsid w:val="001F382F"/>
    <w:rsid w:val="001F4C1C"/>
    <w:rsid w:val="001F5959"/>
    <w:rsid w:val="001F5990"/>
    <w:rsid w:val="001F5B62"/>
    <w:rsid w:val="001F6068"/>
    <w:rsid w:val="001F7D80"/>
    <w:rsid w:val="0020035C"/>
    <w:rsid w:val="002003FC"/>
    <w:rsid w:val="0020061B"/>
    <w:rsid w:val="00203A1F"/>
    <w:rsid w:val="00203B59"/>
    <w:rsid w:val="0020434C"/>
    <w:rsid w:val="00205621"/>
    <w:rsid w:val="00207EE9"/>
    <w:rsid w:val="00210172"/>
    <w:rsid w:val="002101EB"/>
    <w:rsid w:val="002114C4"/>
    <w:rsid w:val="00211A1D"/>
    <w:rsid w:val="00212775"/>
    <w:rsid w:val="00212E45"/>
    <w:rsid w:val="002134F3"/>
    <w:rsid w:val="002139E6"/>
    <w:rsid w:val="00213D20"/>
    <w:rsid w:val="00214621"/>
    <w:rsid w:val="0021479A"/>
    <w:rsid w:val="00215358"/>
    <w:rsid w:val="00217251"/>
    <w:rsid w:val="00217AFE"/>
    <w:rsid w:val="00220323"/>
    <w:rsid w:val="002205E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30824"/>
    <w:rsid w:val="0023091E"/>
    <w:rsid w:val="00231026"/>
    <w:rsid w:val="00231487"/>
    <w:rsid w:val="0023257B"/>
    <w:rsid w:val="00232754"/>
    <w:rsid w:val="002328D5"/>
    <w:rsid w:val="002328FF"/>
    <w:rsid w:val="00232BAE"/>
    <w:rsid w:val="00232F4C"/>
    <w:rsid w:val="00233FF0"/>
    <w:rsid w:val="00234560"/>
    <w:rsid w:val="00234D25"/>
    <w:rsid w:val="00234DF2"/>
    <w:rsid w:val="002351C2"/>
    <w:rsid w:val="00235502"/>
    <w:rsid w:val="00235C9E"/>
    <w:rsid w:val="002360DF"/>
    <w:rsid w:val="00236946"/>
    <w:rsid w:val="00236B93"/>
    <w:rsid w:val="002375C1"/>
    <w:rsid w:val="00237873"/>
    <w:rsid w:val="002378C2"/>
    <w:rsid w:val="00237FCA"/>
    <w:rsid w:val="00240307"/>
    <w:rsid w:val="00240690"/>
    <w:rsid w:val="0024110E"/>
    <w:rsid w:val="0024119E"/>
    <w:rsid w:val="002417A7"/>
    <w:rsid w:val="002425B8"/>
    <w:rsid w:val="002427B8"/>
    <w:rsid w:val="00242839"/>
    <w:rsid w:val="00242DA7"/>
    <w:rsid w:val="00243C8E"/>
    <w:rsid w:val="00244840"/>
    <w:rsid w:val="002450A6"/>
    <w:rsid w:val="00245F2C"/>
    <w:rsid w:val="0024642C"/>
    <w:rsid w:val="00246AAC"/>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EFF"/>
    <w:rsid w:val="00256F1C"/>
    <w:rsid w:val="002571EB"/>
    <w:rsid w:val="00257271"/>
    <w:rsid w:val="002574C5"/>
    <w:rsid w:val="00260C34"/>
    <w:rsid w:val="002617EB"/>
    <w:rsid w:val="002618A4"/>
    <w:rsid w:val="002620FA"/>
    <w:rsid w:val="00262DBB"/>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14CD"/>
    <w:rsid w:val="002719FB"/>
    <w:rsid w:val="00271EA9"/>
    <w:rsid w:val="002725C1"/>
    <w:rsid w:val="00272D4C"/>
    <w:rsid w:val="00272F51"/>
    <w:rsid w:val="00273165"/>
    <w:rsid w:val="00273253"/>
    <w:rsid w:val="00273C06"/>
    <w:rsid w:val="002746AF"/>
    <w:rsid w:val="002748FE"/>
    <w:rsid w:val="00274DA5"/>
    <w:rsid w:val="00274E29"/>
    <w:rsid w:val="00275812"/>
    <w:rsid w:val="00275BF6"/>
    <w:rsid w:val="00275C6A"/>
    <w:rsid w:val="002775AC"/>
    <w:rsid w:val="00277E58"/>
    <w:rsid w:val="00277F81"/>
    <w:rsid w:val="00280046"/>
    <w:rsid w:val="002808D0"/>
    <w:rsid w:val="00280957"/>
    <w:rsid w:val="0028146D"/>
    <w:rsid w:val="0028287C"/>
    <w:rsid w:val="00282A32"/>
    <w:rsid w:val="00283A96"/>
    <w:rsid w:val="00283C1E"/>
    <w:rsid w:val="00283F23"/>
    <w:rsid w:val="002844FB"/>
    <w:rsid w:val="00284B9B"/>
    <w:rsid w:val="00284E43"/>
    <w:rsid w:val="0028506A"/>
    <w:rsid w:val="00285459"/>
    <w:rsid w:val="0028546B"/>
    <w:rsid w:val="002855BC"/>
    <w:rsid w:val="00286051"/>
    <w:rsid w:val="00286052"/>
    <w:rsid w:val="00286145"/>
    <w:rsid w:val="002878C3"/>
    <w:rsid w:val="00287F4E"/>
    <w:rsid w:val="00290408"/>
    <w:rsid w:val="00291483"/>
    <w:rsid w:val="00291B20"/>
    <w:rsid w:val="00291F5F"/>
    <w:rsid w:val="00292002"/>
    <w:rsid w:val="00292619"/>
    <w:rsid w:val="002926CC"/>
    <w:rsid w:val="00293CF6"/>
    <w:rsid w:val="002941F8"/>
    <w:rsid w:val="00294EF5"/>
    <w:rsid w:val="002950FA"/>
    <w:rsid w:val="0029551E"/>
    <w:rsid w:val="002961C0"/>
    <w:rsid w:val="00296428"/>
    <w:rsid w:val="00296792"/>
    <w:rsid w:val="00297968"/>
    <w:rsid w:val="002A042D"/>
    <w:rsid w:val="002A1172"/>
    <w:rsid w:val="002A18B0"/>
    <w:rsid w:val="002A3987"/>
    <w:rsid w:val="002A5132"/>
    <w:rsid w:val="002A5297"/>
    <w:rsid w:val="002A62C6"/>
    <w:rsid w:val="002A7AD6"/>
    <w:rsid w:val="002A7B7C"/>
    <w:rsid w:val="002A7FDC"/>
    <w:rsid w:val="002B01D5"/>
    <w:rsid w:val="002B0665"/>
    <w:rsid w:val="002B11A7"/>
    <w:rsid w:val="002B1C54"/>
    <w:rsid w:val="002B4371"/>
    <w:rsid w:val="002B498D"/>
    <w:rsid w:val="002B49B9"/>
    <w:rsid w:val="002B4AE4"/>
    <w:rsid w:val="002B4BAE"/>
    <w:rsid w:val="002B4E18"/>
    <w:rsid w:val="002B52C9"/>
    <w:rsid w:val="002B52FE"/>
    <w:rsid w:val="002B57B3"/>
    <w:rsid w:val="002B62EC"/>
    <w:rsid w:val="002B6379"/>
    <w:rsid w:val="002B672A"/>
    <w:rsid w:val="002B6AEA"/>
    <w:rsid w:val="002B6D23"/>
    <w:rsid w:val="002B6DAA"/>
    <w:rsid w:val="002B75FF"/>
    <w:rsid w:val="002C01C9"/>
    <w:rsid w:val="002C10EB"/>
    <w:rsid w:val="002C1E20"/>
    <w:rsid w:val="002C2502"/>
    <w:rsid w:val="002C2CAA"/>
    <w:rsid w:val="002C37D9"/>
    <w:rsid w:val="002C413A"/>
    <w:rsid w:val="002C44ED"/>
    <w:rsid w:val="002C4B0A"/>
    <w:rsid w:val="002C556C"/>
    <w:rsid w:val="002C55C3"/>
    <w:rsid w:val="002C5898"/>
    <w:rsid w:val="002C6581"/>
    <w:rsid w:val="002C6696"/>
    <w:rsid w:val="002C6F4A"/>
    <w:rsid w:val="002C78B1"/>
    <w:rsid w:val="002D027C"/>
    <w:rsid w:val="002D03ED"/>
    <w:rsid w:val="002D06D3"/>
    <w:rsid w:val="002D1129"/>
    <w:rsid w:val="002D14DB"/>
    <w:rsid w:val="002D1804"/>
    <w:rsid w:val="002D2176"/>
    <w:rsid w:val="002D2319"/>
    <w:rsid w:val="002D2404"/>
    <w:rsid w:val="002D25E7"/>
    <w:rsid w:val="002D298C"/>
    <w:rsid w:val="002D31DA"/>
    <w:rsid w:val="002D3B15"/>
    <w:rsid w:val="002D3B9A"/>
    <w:rsid w:val="002D3D65"/>
    <w:rsid w:val="002D47EA"/>
    <w:rsid w:val="002D59B6"/>
    <w:rsid w:val="002D5E50"/>
    <w:rsid w:val="002D65CE"/>
    <w:rsid w:val="002D67E5"/>
    <w:rsid w:val="002D690D"/>
    <w:rsid w:val="002D6A59"/>
    <w:rsid w:val="002D7086"/>
    <w:rsid w:val="002E0E0E"/>
    <w:rsid w:val="002E180F"/>
    <w:rsid w:val="002E1CD9"/>
    <w:rsid w:val="002E1D17"/>
    <w:rsid w:val="002E2EB2"/>
    <w:rsid w:val="002E55E3"/>
    <w:rsid w:val="002E67D9"/>
    <w:rsid w:val="002E688F"/>
    <w:rsid w:val="002E704F"/>
    <w:rsid w:val="002F057A"/>
    <w:rsid w:val="002F0DB5"/>
    <w:rsid w:val="002F14AC"/>
    <w:rsid w:val="002F182D"/>
    <w:rsid w:val="002F1872"/>
    <w:rsid w:val="002F1C5B"/>
    <w:rsid w:val="002F1CF6"/>
    <w:rsid w:val="002F1FCF"/>
    <w:rsid w:val="002F353F"/>
    <w:rsid w:val="002F3CC8"/>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89B"/>
    <w:rsid w:val="00305485"/>
    <w:rsid w:val="00306897"/>
    <w:rsid w:val="00306A83"/>
    <w:rsid w:val="00306B3B"/>
    <w:rsid w:val="0030703C"/>
    <w:rsid w:val="00307269"/>
    <w:rsid w:val="003072D1"/>
    <w:rsid w:val="00307874"/>
    <w:rsid w:val="00307B39"/>
    <w:rsid w:val="003106C2"/>
    <w:rsid w:val="00310F4E"/>
    <w:rsid w:val="0031142B"/>
    <w:rsid w:val="003116B7"/>
    <w:rsid w:val="0031264E"/>
    <w:rsid w:val="00312D45"/>
    <w:rsid w:val="0031324D"/>
    <w:rsid w:val="003133B6"/>
    <w:rsid w:val="0031386F"/>
    <w:rsid w:val="00313ED0"/>
    <w:rsid w:val="003142CA"/>
    <w:rsid w:val="00314DA3"/>
    <w:rsid w:val="00315DE0"/>
    <w:rsid w:val="003168E9"/>
    <w:rsid w:val="00317609"/>
    <w:rsid w:val="00317842"/>
    <w:rsid w:val="00317AB4"/>
    <w:rsid w:val="00317E27"/>
    <w:rsid w:val="003203BE"/>
    <w:rsid w:val="00320907"/>
    <w:rsid w:val="00321763"/>
    <w:rsid w:val="003219B7"/>
    <w:rsid w:val="003228AD"/>
    <w:rsid w:val="003230E8"/>
    <w:rsid w:val="00323412"/>
    <w:rsid w:val="003234CC"/>
    <w:rsid w:val="0032355E"/>
    <w:rsid w:val="003235B6"/>
    <w:rsid w:val="00323CE7"/>
    <w:rsid w:val="00323DD6"/>
    <w:rsid w:val="00323FF6"/>
    <w:rsid w:val="00324135"/>
    <w:rsid w:val="003241B0"/>
    <w:rsid w:val="00324717"/>
    <w:rsid w:val="003247F9"/>
    <w:rsid w:val="003249BA"/>
    <w:rsid w:val="003263AE"/>
    <w:rsid w:val="00326CC4"/>
    <w:rsid w:val="0032755B"/>
    <w:rsid w:val="00330290"/>
    <w:rsid w:val="00330656"/>
    <w:rsid w:val="00330ACD"/>
    <w:rsid w:val="00331929"/>
    <w:rsid w:val="00331E71"/>
    <w:rsid w:val="00333C7E"/>
    <w:rsid w:val="00333D04"/>
    <w:rsid w:val="00334367"/>
    <w:rsid w:val="00334499"/>
    <w:rsid w:val="00335240"/>
    <w:rsid w:val="00336149"/>
    <w:rsid w:val="003365EF"/>
    <w:rsid w:val="003375D7"/>
    <w:rsid w:val="00337EAA"/>
    <w:rsid w:val="003408B3"/>
    <w:rsid w:val="00341159"/>
    <w:rsid w:val="0034154C"/>
    <w:rsid w:val="00341604"/>
    <w:rsid w:val="00341709"/>
    <w:rsid w:val="00341A92"/>
    <w:rsid w:val="00341D6D"/>
    <w:rsid w:val="00342FB8"/>
    <w:rsid w:val="0034305E"/>
    <w:rsid w:val="00344227"/>
    <w:rsid w:val="00347E25"/>
    <w:rsid w:val="00347F37"/>
    <w:rsid w:val="00347FEC"/>
    <w:rsid w:val="0035019E"/>
    <w:rsid w:val="00351125"/>
    <w:rsid w:val="003517E0"/>
    <w:rsid w:val="00351BAB"/>
    <w:rsid w:val="00351C84"/>
    <w:rsid w:val="00352140"/>
    <w:rsid w:val="00352309"/>
    <w:rsid w:val="00352362"/>
    <w:rsid w:val="003531F4"/>
    <w:rsid w:val="00353876"/>
    <w:rsid w:val="00353DA0"/>
    <w:rsid w:val="00354FA7"/>
    <w:rsid w:val="003560F2"/>
    <w:rsid w:val="00356741"/>
    <w:rsid w:val="00357B24"/>
    <w:rsid w:val="00360377"/>
    <w:rsid w:val="0036064D"/>
    <w:rsid w:val="00360CBB"/>
    <w:rsid w:val="00361B99"/>
    <w:rsid w:val="00361E20"/>
    <w:rsid w:val="00362B25"/>
    <w:rsid w:val="00363C0B"/>
    <w:rsid w:val="00363DFB"/>
    <w:rsid w:val="0036486B"/>
    <w:rsid w:val="003648AD"/>
    <w:rsid w:val="00364B72"/>
    <w:rsid w:val="00365626"/>
    <w:rsid w:val="0036616A"/>
    <w:rsid w:val="00367460"/>
    <w:rsid w:val="0036749C"/>
    <w:rsid w:val="0036752C"/>
    <w:rsid w:val="00367712"/>
    <w:rsid w:val="00367B9A"/>
    <w:rsid w:val="00367FE7"/>
    <w:rsid w:val="00371002"/>
    <w:rsid w:val="00371890"/>
    <w:rsid w:val="003719D4"/>
    <w:rsid w:val="00371C07"/>
    <w:rsid w:val="00372164"/>
    <w:rsid w:val="0037284B"/>
    <w:rsid w:val="003747B8"/>
    <w:rsid w:val="00374FE2"/>
    <w:rsid w:val="00375DFD"/>
    <w:rsid w:val="003763C2"/>
    <w:rsid w:val="0037652F"/>
    <w:rsid w:val="0037703D"/>
    <w:rsid w:val="00377725"/>
    <w:rsid w:val="00377E40"/>
    <w:rsid w:val="003805A7"/>
    <w:rsid w:val="003808A3"/>
    <w:rsid w:val="003808A7"/>
    <w:rsid w:val="00381376"/>
    <w:rsid w:val="003813D4"/>
    <w:rsid w:val="00381934"/>
    <w:rsid w:val="00382AED"/>
    <w:rsid w:val="00383C62"/>
    <w:rsid w:val="00383C95"/>
    <w:rsid w:val="0038475E"/>
    <w:rsid w:val="00384FD2"/>
    <w:rsid w:val="003851CC"/>
    <w:rsid w:val="00385D9C"/>
    <w:rsid w:val="003864BE"/>
    <w:rsid w:val="00386896"/>
    <w:rsid w:val="00386EB6"/>
    <w:rsid w:val="003877F6"/>
    <w:rsid w:val="00387860"/>
    <w:rsid w:val="003904A9"/>
    <w:rsid w:val="00390826"/>
    <w:rsid w:val="00390AFC"/>
    <w:rsid w:val="00390FDB"/>
    <w:rsid w:val="00391519"/>
    <w:rsid w:val="0039197D"/>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E7E"/>
    <w:rsid w:val="003A013A"/>
    <w:rsid w:val="003A0965"/>
    <w:rsid w:val="003A1185"/>
    <w:rsid w:val="003A1300"/>
    <w:rsid w:val="003A1342"/>
    <w:rsid w:val="003A1351"/>
    <w:rsid w:val="003A15BC"/>
    <w:rsid w:val="003A1A4F"/>
    <w:rsid w:val="003A1CD4"/>
    <w:rsid w:val="003A31D9"/>
    <w:rsid w:val="003A4135"/>
    <w:rsid w:val="003A49A2"/>
    <w:rsid w:val="003A4C9C"/>
    <w:rsid w:val="003A53BD"/>
    <w:rsid w:val="003A5401"/>
    <w:rsid w:val="003A5671"/>
    <w:rsid w:val="003A5FA5"/>
    <w:rsid w:val="003A7312"/>
    <w:rsid w:val="003B1C0B"/>
    <w:rsid w:val="003B2ADF"/>
    <w:rsid w:val="003B2EED"/>
    <w:rsid w:val="003B2FB5"/>
    <w:rsid w:val="003B3040"/>
    <w:rsid w:val="003B3330"/>
    <w:rsid w:val="003B3516"/>
    <w:rsid w:val="003B38A2"/>
    <w:rsid w:val="003B4244"/>
    <w:rsid w:val="003B4855"/>
    <w:rsid w:val="003B4A3F"/>
    <w:rsid w:val="003B542C"/>
    <w:rsid w:val="003B560D"/>
    <w:rsid w:val="003B5C0F"/>
    <w:rsid w:val="003B5D78"/>
    <w:rsid w:val="003B5E15"/>
    <w:rsid w:val="003B6690"/>
    <w:rsid w:val="003B6E9B"/>
    <w:rsid w:val="003B6F45"/>
    <w:rsid w:val="003B6F81"/>
    <w:rsid w:val="003B72D1"/>
    <w:rsid w:val="003B78D9"/>
    <w:rsid w:val="003C099F"/>
    <w:rsid w:val="003C0A06"/>
    <w:rsid w:val="003C0C16"/>
    <w:rsid w:val="003C0DAE"/>
    <w:rsid w:val="003C0DEF"/>
    <w:rsid w:val="003C0E70"/>
    <w:rsid w:val="003C12A9"/>
    <w:rsid w:val="003C1C50"/>
    <w:rsid w:val="003C1CF6"/>
    <w:rsid w:val="003C27DA"/>
    <w:rsid w:val="003C2BBC"/>
    <w:rsid w:val="003C2FC8"/>
    <w:rsid w:val="003C3338"/>
    <w:rsid w:val="003C3A92"/>
    <w:rsid w:val="003C434C"/>
    <w:rsid w:val="003C4F1D"/>
    <w:rsid w:val="003C519C"/>
    <w:rsid w:val="003C5B50"/>
    <w:rsid w:val="003C5DED"/>
    <w:rsid w:val="003C6914"/>
    <w:rsid w:val="003C7A86"/>
    <w:rsid w:val="003C7ABB"/>
    <w:rsid w:val="003C7B94"/>
    <w:rsid w:val="003D0906"/>
    <w:rsid w:val="003D0F12"/>
    <w:rsid w:val="003D1AFE"/>
    <w:rsid w:val="003D1DEB"/>
    <w:rsid w:val="003D1FFC"/>
    <w:rsid w:val="003D22DF"/>
    <w:rsid w:val="003D22F4"/>
    <w:rsid w:val="003D2333"/>
    <w:rsid w:val="003D3366"/>
    <w:rsid w:val="003D409B"/>
    <w:rsid w:val="003D4945"/>
    <w:rsid w:val="003D4C15"/>
    <w:rsid w:val="003D57E0"/>
    <w:rsid w:val="003D58F9"/>
    <w:rsid w:val="003D751E"/>
    <w:rsid w:val="003D7F25"/>
    <w:rsid w:val="003D7FDE"/>
    <w:rsid w:val="003E16F4"/>
    <w:rsid w:val="003E18A8"/>
    <w:rsid w:val="003E2306"/>
    <w:rsid w:val="003E42E1"/>
    <w:rsid w:val="003E462E"/>
    <w:rsid w:val="003E4B77"/>
    <w:rsid w:val="003E5ACE"/>
    <w:rsid w:val="003E5D16"/>
    <w:rsid w:val="003E65D0"/>
    <w:rsid w:val="003E67EE"/>
    <w:rsid w:val="003E7945"/>
    <w:rsid w:val="003F0005"/>
    <w:rsid w:val="003F07D0"/>
    <w:rsid w:val="003F177F"/>
    <w:rsid w:val="003F1D00"/>
    <w:rsid w:val="003F1E23"/>
    <w:rsid w:val="003F2776"/>
    <w:rsid w:val="003F2CE4"/>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4002E2"/>
    <w:rsid w:val="00400C83"/>
    <w:rsid w:val="00400E3E"/>
    <w:rsid w:val="0040129C"/>
    <w:rsid w:val="004014F0"/>
    <w:rsid w:val="0040196F"/>
    <w:rsid w:val="004019A5"/>
    <w:rsid w:val="00402145"/>
    <w:rsid w:val="004021A1"/>
    <w:rsid w:val="0040227C"/>
    <w:rsid w:val="00402CA9"/>
    <w:rsid w:val="00402E1A"/>
    <w:rsid w:val="00402F04"/>
    <w:rsid w:val="00403102"/>
    <w:rsid w:val="00403775"/>
    <w:rsid w:val="00403923"/>
    <w:rsid w:val="00403A62"/>
    <w:rsid w:val="0040441F"/>
    <w:rsid w:val="00404769"/>
    <w:rsid w:val="0040484E"/>
    <w:rsid w:val="00404995"/>
    <w:rsid w:val="0040499B"/>
    <w:rsid w:val="00405361"/>
    <w:rsid w:val="0040543F"/>
    <w:rsid w:val="0040586F"/>
    <w:rsid w:val="00405B3B"/>
    <w:rsid w:val="00406A4D"/>
    <w:rsid w:val="00407195"/>
    <w:rsid w:val="004072D6"/>
    <w:rsid w:val="00407451"/>
    <w:rsid w:val="0041054B"/>
    <w:rsid w:val="00410BC0"/>
    <w:rsid w:val="00410BEF"/>
    <w:rsid w:val="00411379"/>
    <w:rsid w:val="004113A8"/>
    <w:rsid w:val="00411E38"/>
    <w:rsid w:val="00411EE2"/>
    <w:rsid w:val="00412280"/>
    <w:rsid w:val="0041249C"/>
    <w:rsid w:val="00412F8F"/>
    <w:rsid w:val="0041300A"/>
    <w:rsid w:val="004130E1"/>
    <w:rsid w:val="004137C5"/>
    <w:rsid w:val="00413C16"/>
    <w:rsid w:val="00414C9A"/>
    <w:rsid w:val="00415054"/>
    <w:rsid w:val="004157F5"/>
    <w:rsid w:val="00415F2B"/>
    <w:rsid w:val="00417C69"/>
    <w:rsid w:val="004206A7"/>
    <w:rsid w:val="00420D11"/>
    <w:rsid w:val="00420FBE"/>
    <w:rsid w:val="00421A43"/>
    <w:rsid w:val="00421AC2"/>
    <w:rsid w:val="00422599"/>
    <w:rsid w:val="0042294F"/>
    <w:rsid w:val="0042457A"/>
    <w:rsid w:val="0042457D"/>
    <w:rsid w:val="00424F97"/>
    <w:rsid w:val="004251BE"/>
    <w:rsid w:val="00425FD2"/>
    <w:rsid w:val="00427118"/>
    <w:rsid w:val="00430459"/>
    <w:rsid w:val="00430A8A"/>
    <w:rsid w:val="00430E9D"/>
    <w:rsid w:val="00431037"/>
    <w:rsid w:val="004319CA"/>
    <w:rsid w:val="00432416"/>
    <w:rsid w:val="00432B47"/>
    <w:rsid w:val="00432F65"/>
    <w:rsid w:val="00434B6D"/>
    <w:rsid w:val="00434E04"/>
    <w:rsid w:val="00434FDF"/>
    <w:rsid w:val="0043583D"/>
    <w:rsid w:val="00435E75"/>
    <w:rsid w:val="00435ECC"/>
    <w:rsid w:val="0043602E"/>
    <w:rsid w:val="00436C8F"/>
    <w:rsid w:val="0043755D"/>
    <w:rsid w:val="00437F89"/>
    <w:rsid w:val="00440BB0"/>
    <w:rsid w:val="0044110A"/>
    <w:rsid w:val="004413F3"/>
    <w:rsid w:val="0044153D"/>
    <w:rsid w:val="0044161E"/>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E42"/>
    <w:rsid w:val="0045043D"/>
    <w:rsid w:val="0045045E"/>
    <w:rsid w:val="00450E9E"/>
    <w:rsid w:val="00450FD2"/>
    <w:rsid w:val="0045102F"/>
    <w:rsid w:val="00451D32"/>
    <w:rsid w:val="0045229B"/>
    <w:rsid w:val="00452BFB"/>
    <w:rsid w:val="00452BFE"/>
    <w:rsid w:val="0045327E"/>
    <w:rsid w:val="00453353"/>
    <w:rsid w:val="0045349D"/>
    <w:rsid w:val="004534B5"/>
    <w:rsid w:val="00453996"/>
    <w:rsid w:val="00453BF7"/>
    <w:rsid w:val="0045437E"/>
    <w:rsid w:val="0045484A"/>
    <w:rsid w:val="00454BCB"/>
    <w:rsid w:val="00455127"/>
    <w:rsid w:val="00455EDE"/>
    <w:rsid w:val="00456C71"/>
    <w:rsid w:val="00456DA1"/>
    <w:rsid w:val="00456EA3"/>
    <w:rsid w:val="00457216"/>
    <w:rsid w:val="0046020B"/>
    <w:rsid w:val="004602FF"/>
    <w:rsid w:val="004605D0"/>
    <w:rsid w:val="00462757"/>
    <w:rsid w:val="00463ABF"/>
    <w:rsid w:val="00463F44"/>
    <w:rsid w:val="00464585"/>
    <w:rsid w:val="00464780"/>
    <w:rsid w:val="004658A0"/>
    <w:rsid w:val="00465FE2"/>
    <w:rsid w:val="00466CDA"/>
    <w:rsid w:val="004671D5"/>
    <w:rsid w:val="00467BA9"/>
    <w:rsid w:val="004701DC"/>
    <w:rsid w:val="00470ACA"/>
    <w:rsid w:val="00470BA4"/>
    <w:rsid w:val="00470EAF"/>
    <w:rsid w:val="004710EA"/>
    <w:rsid w:val="0047110E"/>
    <w:rsid w:val="00471156"/>
    <w:rsid w:val="004712E6"/>
    <w:rsid w:val="00471B05"/>
    <w:rsid w:val="004739B7"/>
    <w:rsid w:val="00474B7C"/>
    <w:rsid w:val="00474FE7"/>
    <w:rsid w:val="004752AE"/>
    <w:rsid w:val="00475DDF"/>
    <w:rsid w:val="00476323"/>
    <w:rsid w:val="0047662E"/>
    <w:rsid w:val="00476995"/>
    <w:rsid w:val="0047768F"/>
    <w:rsid w:val="00477D6B"/>
    <w:rsid w:val="00480B1D"/>
    <w:rsid w:val="00481622"/>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F8E"/>
    <w:rsid w:val="0049074B"/>
    <w:rsid w:val="00490E4C"/>
    <w:rsid w:val="00490F4A"/>
    <w:rsid w:val="00490FF4"/>
    <w:rsid w:val="004912CF"/>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E0E"/>
    <w:rsid w:val="004A01E0"/>
    <w:rsid w:val="004A10F4"/>
    <w:rsid w:val="004A2AC7"/>
    <w:rsid w:val="004A40C5"/>
    <w:rsid w:val="004A4731"/>
    <w:rsid w:val="004A4F5F"/>
    <w:rsid w:val="004A4FC9"/>
    <w:rsid w:val="004A52B7"/>
    <w:rsid w:val="004A57ED"/>
    <w:rsid w:val="004A5D53"/>
    <w:rsid w:val="004A6016"/>
    <w:rsid w:val="004A7AEF"/>
    <w:rsid w:val="004B0180"/>
    <w:rsid w:val="004B04DE"/>
    <w:rsid w:val="004B07F1"/>
    <w:rsid w:val="004B0ACF"/>
    <w:rsid w:val="004B1006"/>
    <w:rsid w:val="004B146A"/>
    <w:rsid w:val="004B17C7"/>
    <w:rsid w:val="004B1E83"/>
    <w:rsid w:val="004B219C"/>
    <w:rsid w:val="004B2D88"/>
    <w:rsid w:val="004B3C37"/>
    <w:rsid w:val="004B5190"/>
    <w:rsid w:val="004B591E"/>
    <w:rsid w:val="004B5E60"/>
    <w:rsid w:val="004B76A5"/>
    <w:rsid w:val="004C0F1A"/>
    <w:rsid w:val="004C0F42"/>
    <w:rsid w:val="004C2038"/>
    <w:rsid w:val="004C24BB"/>
    <w:rsid w:val="004C353A"/>
    <w:rsid w:val="004C384F"/>
    <w:rsid w:val="004C3C90"/>
    <w:rsid w:val="004C429F"/>
    <w:rsid w:val="004C4CD4"/>
    <w:rsid w:val="004C554E"/>
    <w:rsid w:val="004C5570"/>
    <w:rsid w:val="004C55DC"/>
    <w:rsid w:val="004C67BA"/>
    <w:rsid w:val="004C7840"/>
    <w:rsid w:val="004C7CC1"/>
    <w:rsid w:val="004C7F67"/>
    <w:rsid w:val="004D01A7"/>
    <w:rsid w:val="004D0362"/>
    <w:rsid w:val="004D0642"/>
    <w:rsid w:val="004D09C5"/>
    <w:rsid w:val="004D0F2D"/>
    <w:rsid w:val="004D1BBF"/>
    <w:rsid w:val="004D1CE4"/>
    <w:rsid w:val="004D1E09"/>
    <w:rsid w:val="004D23E0"/>
    <w:rsid w:val="004D31C5"/>
    <w:rsid w:val="004D3596"/>
    <w:rsid w:val="004D3AEE"/>
    <w:rsid w:val="004D3CE0"/>
    <w:rsid w:val="004D425C"/>
    <w:rsid w:val="004D55E5"/>
    <w:rsid w:val="004D5E41"/>
    <w:rsid w:val="004E00D2"/>
    <w:rsid w:val="004E016F"/>
    <w:rsid w:val="004E052B"/>
    <w:rsid w:val="004E06C1"/>
    <w:rsid w:val="004E15A8"/>
    <w:rsid w:val="004E15E4"/>
    <w:rsid w:val="004E193F"/>
    <w:rsid w:val="004E19C8"/>
    <w:rsid w:val="004E285C"/>
    <w:rsid w:val="004E3502"/>
    <w:rsid w:val="004E3CF0"/>
    <w:rsid w:val="004E4993"/>
    <w:rsid w:val="004E65D3"/>
    <w:rsid w:val="004E6606"/>
    <w:rsid w:val="004E7998"/>
    <w:rsid w:val="004E7B84"/>
    <w:rsid w:val="004E7ED8"/>
    <w:rsid w:val="004F197F"/>
    <w:rsid w:val="004F1F20"/>
    <w:rsid w:val="004F2902"/>
    <w:rsid w:val="004F2950"/>
    <w:rsid w:val="004F3D95"/>
    <w:rsid w:val="004F4A2E"/>
    <w:rsid w:val="004F5DE7"/>
    <w:rsid w:val="004F7233"/>
    <w:rsid w:val="004F7D37"/>
    <w:rsid w:val="005008C6"/>
    <w:rsid w:val="00500916"/>
    <w:rsid w:val="00501257"/>
    <w:rsid w:val="0050189E"/>
    <w:rsid w:val="00501B2C"/>
    <w:rsid w:val="00501F18"/>
    <w:rsid w:val="00503093"/>
    <w:rsid w:val="00504E8E"/>
    <w:rsid w:val="005067A5"/>
    <w:rsid w:val="005068C3"/>
    <w:rsid w:val="00506B5A"/>
    <w:rsid w:val="00506E99"/>
    <w:rsid w:val="005076B4"/>
    <w:rsid w:val="005102A1"/>
    <w:rsid w:val="00510377"/>
    <w:rsid w:val="005107AE"/>
    <w:rsid w:val="00510A5D"/>
    <w:rsid w:val="0051130E"/>
    <w:rsid w:val="0051135B"/>
    <w:rsid w:val="00511755"/>
    <w:rsid w:val="00511ABE"/>
    <w:rsid w:val="00512C11"/>
    <w:rsid w:val="00513529"/>
    <w:rsid w:val="00514605"/>
    <w:rsid w:val="005149FA"/>
    <w:rsid w:val="0051512E"/>
    <w:rsid w:val="0051527A"/>
    <w:rsid w:val="00516B1F"/>
    <w:rsid w:val="00517D30"/>
    <w:rsid w:val="00520005"/>
    <w:rsid w:val="00520245"/>
    <w:rsid w:val="005202B9"/>
    <w:rsid w:val="0052069E"/>
    <w:rsid w:val="005236C0"/>
    <w:rsid w:val="005248C4"/>
    <w:rsid w:val="00525772"/>
    <w:rsid w:val="005261D2"/>
    <w:rsid w:val="00526C8F"/>
    <w:rsid w:val="005273A6"/>
    <w:rsid w:val="00527CAF"/>
    <w:rsid w:val="00527E81"/>
    <w:rsid w:val="00530A65"/>
    <w:rsid w:val="00530E00"/>
    <w:rsid w:val="005312AA"/>
    <w:rsid w:val="0053170A"/>
    <w:rsid w:val="00531A9A"/>
    <w:rsid w:val="005325F6"/>
    <w:rsid w:val="00532991"/>
    <w:rsid w:val="005330CB"/>
    <w:rsid w:val="005336CE"/>
    <w:rsid w:val="00533DEA"/>
    <w:rsid w:val="00534BEF"/>
    <w:rsid w:val="00536427"/>
    <w:rsid w:val="00536C11"/>
    <w:rsid w:val="00536CB0"/>
    <w:rsid w:val="00536F9F"/>
    <w:rsid w:val="00537C96"/>
    <w:rsid w:val="005401AA"/>
    <w:rsid w:val="005405F3"/>
    <w:rsid w:val="00540695"/>
    <w:rsid w:val="00540775"/>
    <w:rsid w:val="00540B88"/>
    <w:rsid w:val="00540D00"/>
    <w:rsid w:val="00540EB7"/>
    <w:rsid w:val="0054125B"/>
    <w:rsid w:val="00541934"/>
    <w:rsid w:val="00541BEC"/>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FE3"/>
    <w:rsid w:val="005516CE"/>
    <w:rsid w:val="00551AB7"/>
    <w:rsid w:val="005522F1"/>
    <w:rsid w:val="00552CA9"/>
    <w:rsid w:val="00552D3B"/>
    <w:rsid w:val="0055435B"/>
    <w:rsid w:val="0055483C"/>
    <w:rsid w:val="00555969"/>
    <w:rsid w:val="00555D66"/>
    <w:rsid w:val="005560AA"/>
    <w:rsid w:val="00556774"/>
    <w:rsid w:val="005567C3"/>
    <w:rsid w:val="005578C6"/>
    <w:rsid w:val="00560AD2"/>
    <w:rsid w:val="00560F15"/>
    <w:rsid w:val="00561570"/>
    <w:rsid w:val="00561F60"/>
    <w:rsid w:val="005627EB"/>
    <w:rsid w:val="00562972"/>
    <w:rsid w:val="00562D1C"/>
    <w:rsid w:val="0056396E"/>
    <w:rsid w:val="00564490"/>
    <w:rsid w:val="005648CB"/>
    <w:rsid w:val="00564DB6"/>
    <w:rsid w:val="005656A9"/>
    <w:rsid w:val="005657D8"/>
    <w:rsid w:val="00566828"/>
    <w:rsid w:val="00566D2D"/>
    <w:rsid w:val="00566FAB"/>
    <w:rsid w:val="00570196"/>
    <w:rsid w:val="0057099E"/>
    <w:rsid w:val="00570A01"/>
    <w:rsid w:val="0057108C"/>
    <w:rsid w:val="005717DE"/>
    <w:rsid w:val="00571CA9"/>
    <w:rsid w:val="005720C2"/>
    <w:rsid w:val="005722C1"/>
    <w:rsid w:val="00572687"/>
    <w:rsid w:val="00572974"/>
    <w:rsid w:val="00572CC6"/>
    <w:rsid w:val="005730E3"/>
    <w:rsid w:val="00573771"/>
    <w:rsid w:val="00573863"/>
    <w:rsid w:val="0057451B"/>
    <w:rsid w:val="005759A2"/>
    <w:rsid w:val="005769C7"/>
    <w:rsid w:val="00576AEE"/>
    <w:rsid w:val="00576C74"/>
    <w:rsid w:val="00576CE3"/>
    <w:rsid w:val="00576EC2"/>
    <w:rsid w:val="00577D3D"/>
    <w:rsid w:val="005802C7"/>
    <w:rsid w:val="00581021"/>
    <w:rsid w:val="00582222"/>
    <w:rsid w:val="005825DF"/>
    <w:rsid w:val="00583182"/>
    <w:rsid w:val="005831CC"/>
    <w:rsid w:val="005835CE"/>
    <w:rsid w:val="005853AC"/>
    <w:rsid w:val="00585749"/>
    <w:rsid w:val="00585963"/>
    <w:rsid w:val="00585D53"/>
    <w:rsid w:val="00585EAE"/>
    <w:rsid w:val="0058699F"/>
    <w:rsid w:val="0058740D"/>
    <w:rsid w:val="00587617"/>
    <w:rsid w:val="00587725"/>
    <w:rsid w:val="00587897"/>
    <w:rsid w:val="00587A7D"/>
    <w:rsid w:val="005926E1"/>
    <w:rsid w:val="00592AF2"/>
    <w:rsid w:val="00592D6F"/>
    <w:rsid w:val="00593161"/>
    <w:rsid w:val="005937CA"/>
    <w:rsid w:val="00593A4A"/>
    <w:rsid w:val="00594017"/>
    <w:rsid w:val="00594BC7"/>
    <w:rsid w:val="00594DA1"/>
    <w:rsid w:val="00595C1F"/>
    <w:rsid w:val="0059624E"/>
    <w:rsid w:val="00596D9C"/>
    <w:rsid w:val="0059787E"/>
    <w:rsid w:val="00597CF4"/>
    <w:rsid w:val="005A0793"/>
    <w:rsid w:val="005A100B"/>
    <w:rsid w:val="005A10C4"/>
    <w:rsid w:val="005A23E7"/>
    <w:rsid w:val="005A2A38"/>
    <w:rsid w:val="005A2E58"/>
    <w:rsid w:val="005A48D2"/>
    <w:rsid w:val="005A5097"/>
    <w:rsid w:val="005A6118"/>
    <w:rsid w:val="005A645A"/>
    <w:rsid w:val="005A6F02"/>
    <w:rsid w:val="005A6F71"/>
    <w:rsid w:val="005A7B9B"/>
    <w:rsid w:val="005B008D"/>
    <w:rsid w:val="005B0561"/>
    <w:rsid w:val="005B05D5"/>
    <w:rsid w:val="005B1796"/>
    <w:rsid w:val="005B327C"/>
    <w:rsid w:val="005B3785"/>
    <w:rsid w:val="005B466F"/>
    <w:rsid w:val="005B4CA6"/>
    <w:rsid w:val="005B5CD9"/>
    <w:rsid w:val="005B6DEA"/>
    <w:rsid w:val="005B7840"/>
    <w:rsid w:val="005B7AE8"/>
    <w:rsid w:val="005C0A8B"/>
    <w:rsid w:val="005C0F8E"/>
    <w:rsid w:val="005C199E"/>
    <w:rsid w:val="005C2ED2"/>
    <w:rsid w:val="005C2FF9"/>
    <w:rsid w:val="005C4299"/>
    <w:rsid w:val="005C4442"/>
    <w:rsid w:val="005C50DA"/>
    <w:rsid w:val="005C58A5"/>
    <w:rsid w:val="005C618A"/>
    <w:rsid w:val="005C632B"/>
    <w:rsid w:val="005C67E3"/>
    <w:rsid w:val="005C6B95"/>
    <w:rsid w:val="005C6CDA"/>
    <w:rsid w:val="005C6E10"/>
    <w:rsid w:val="005C6F62"/>
    <w:rsid w:val="005C6FFB"/>
    <w:rsid w:val="005C7A09"/>
    <w:rsid w:val="005C7E1E"/>
    <w:rsid w:val="005C7FA2"/>
    <w:rsid w:val="005D013B"/>
    <w:rsid w:val="005D01B3"/>
    <w:rsid w:val="005D08D3"/>
    <w:rsid w:val="005D1203"/>
    <w:rsid w:val="005D166D"/>
    <w:rsid w:val="005D1675"/>
    <w:rsid w:val="005D3205"/>
    <w:rsid w:val="005D337D"/>
    <w:rsid w:val="005D3C8D"/>
    <w:rsid w:val="005D4770"/>
    <w:rsid w:val="005D53CE"/>
    <w:rsid w:val="005D5947"/>
    <w:rsid w:val="005D59A4"/>
    <w:rsid w:val="005D5EF9"/>
    <w:rsid w:val="005D6986"/>
    <w:rsid w:val="005D6F64"/>
    <w:rsid w:val="005D7148"/>
    <w:rsid w:val="005D75FE"/>
    <w:rsid w:val="005D76E1"/>
    <w:rsid w:val="005D7AAE"/>
    <w:rsid w:val="005E043F"/>
    <w:rsid w:val="005E05ED"/>
    <w:rsid w:val="005E063D"/>
    <w:rsid w:val="005E1269"/>
    <w:rsid w:val="005E1A50"/>
    <w:rsid w:val="005E2549"/>
    <w:rsid w:val="005E2F2D"/>
    <w:rsid w:val="005E31F4"/>
    <w:rsid w:val="005E3315"/>
    <w:rsid w:val="005E3EFB"/>
    <w:rsid w:val="005E4055"/>
    <w:rsid w:val="005E4471"/>
    <w:rsid w:val="005E4499"/>
    <w:rsid w:val="005E5E42"/>
    <w:rsid w:val="005E6140"/>
    <w:rsid w:val="005E65A7"/>
    <w:rsid w:val="005E70ED"/>
    <w:rsid w:val="005E7647"/>
    <w:rsid w:val="005E7A8F"/>
    <w:rsid w:val="005E7EFC"/>
    <w:rsid w:val="005E7FEB"/>
    <w:rsid w:val="005F2673"/>
    <w:rsid w:val="005F2E3D"/>
    <w:rsid w:val="005F2F6A"/>
    <w:rsid w:val="005F310D"/>
    <w:rsid w:val="005F32CB"/>
    <w:rsid w:val="005F47C0"/>
    <w:rsid w:val="005F4BD8"/>
    <w:rsid w:val="005F4E01"/>
    <w:rsid w:val="005F52A0"/>
    <w:rsid w:val="005F5326"/>
    <w:rsid w:val="005F539A"/>
    <w:rsid w:val="005F5BBA"/>
    <w:rsid w:val="005F63E4"/>
    <w:rsid w:val="005F64C2"/>
    <w:rsid w:val="005F675D"/>
    <w:rsid w:val="005F6B6F"/>
    <w:rsid w:val="005F6B9A"/>
    <w:rsid w:val="005F6D3C"/>
    <w:rsid w:val="005F7412"/>
    <w:rsid w:val="006004F5"/>
    <w:rsid w:val="00600B6A"/>
    <w:rsid w:val="00601146"/>
    <w:rsid w:val="0060196B"/>
    <w:rsid w:val="0060279A"/>
    <w:rsid w:val="006028A1"/>
    <w:rsid w:val="006029D3"/>
    <w:rsid w:val="00603233"/>
    <w:rsid w:val="006035A8"/>
    <w:rsid w:val="0060409F"/>
    <w:rsid w:val="0060460A"/>
    <w:rsid w:val="0060506E"/>
    <w:rsid w:val="00605186"/>
    <w:rsid w:val="006054C7"/>
    <w:rsid w:val="00605679"/>
    <w:rsid w:val="00606901"/>
    <w:rsid w:val="00606AC1"/>
    <w:rsid w:val="00606C38"/>
    <w:rsid w:val="006071FA"/>
    <w:rsid w:val="00607B01"/>
    <w:rsid w:val="00607CB5"/>
    <w:rsid w:val="0061062F"/>
    <w:rsid w:val="00610857"/>
    <w:rsid w:val="006109A4"/>
    <w:rsid w:val="00610A09"/>
    <w:rsid w:val="00610D74"/>
    <w:rsid w:val="00611A59"/>
    <w:rsid w:val="006121C6"/>
    <w:rsid w:val="00612749"/>
    <w:rsid w:val="00612FD4"/>
    <w:rsid w:val="006134AE"/>
    <w:rsid w:val="00614489"/>
    <w:rsid w:val="00614B0B"/>
    <w:rsid w:val="00615651"/>
    <w:rsid w:val="00615CF7"/>
    <w:rsid w:val="006161E3"/>
    <w:rsid w:val="0061681C"/>
    <w:rsid w:val="0061708C"/>
    <w:rsid w:val="00617685"/>
    <w:rsid w:val="006179A3"/>
    <w:rsid w:val="00617A2E"/>
    <w:rsid w:val="00617F13"/>
    <w:rsid w:val="006201D8"/>
    <w:rsid w:val="00620636"/>
    <w:rsid w:val="00620826"/>
    <w:rsid w:val="00620D58"/>
    <w:rsid w:val="0062190D"/>
    <w:rsid w:val="006225A0"/>
    <w:rsid w:val="006228B1"/>
    <w:rsid w:val="00622BC8"/>
    <w:rsid w:val="0062311B"/>
    <w:rsid w:val="0062369B"/>
    <w:rsid w:val="00624D4B"/>
    <w:rsid w:val="00624DBA"/>
    <w:rsid w:val="00625DDD"/>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5BF9"/>
    <w:rsid w:val="0063601D"/>
    <w:rsid w:val="006362EE"/>
    <w:rsid w:val="00636372"/>
    <w:rsid w:val="00636A8E"/>
    <w:rsid w:val="006376CD"/>
    <w:rsid w:val="0063791D"/>
    <w:rsid w:val="00640635"/>
    <w:rsid w:val="0064067E"/>
    <w:rsid w:val="00640DB0"/>
    <w:rsid w:val="00641620"/>
    <w:rsid w:val="0064186E"/>
    <w:rsid w:val="006419CF"/>
    <w:rsid w:val="00641C8C"/>
    <w:rsid w:val="006421FB"/>
    <w:rsid w:val="006426CA"/>
    <w:rsid w:val="006438B0"/>
    <w:rsid w:val="00643F43"/>
    <w:rsid w:val="006448A6"/>
    <w:rsid w:val="00644B78"/>
    <w:rsid w:val="00644D0B"/>
    <w:rsid w:val="00646C8B"/>
    <w:rsid w:val="00650140"/>
    <w:rsid w:val="006507CC"/>
    <w:rsid w:val="00650AAB"/>
    <w:rsid w:val="00650B01"/>
    <w:rsid w:val="00651196"/>
    <w:rsid w:val="0065155B"/>
    <w:rsid w:val="0065190B"/>
    <w:rsid w:val="006520CB"/>
    <w:rsid w:val="00652555"/>
    <w:rsid w:val="00652AF6"/>
    <w:rsid w:val="0065381F"/>
    <w:rsid w:val="006538B4"/>
    <w:rsid w:val="006540E2"/>
    <w:rsid w:val="00655886"/>
    <w:rsid w:val="00657160"/>
    <w:rsid w:val="006579B5"/>
    <w:rsid w:val="00660B0B"/>
    <w:rsid w:val="00660E1D"/>
    <w:rsid w:val="00661021"/>
    <w:rsid w:val="006610D6"/>
    <w:rsid w:val="00661189"/>
    <w:rsid w:val="00661B6C"/>
    <w:rsid w:val="0066248C"/>
    <w:rsid w:val="0066463D"/>
    <w:rsid w:val="00664AC9"/>
    <w:rsid w:val="00664BDE"/>
    <w:rsid w:val="00664D37"/>
    <w:rsid w:val="0066500F"/>
    <w:rsid w:val="00665170"/>
    <w:rsid w:val="006655D7"/>
    <w:rsid w:val="006656FE"/>
    <w:rsid w:val="00665E1F"/>
    <w:rsid w:val="00666C88"/>
    <w:rsid w:val="0066736F"/>
    <w:rsid w:val="00667C13"/>
    <w:rsid w:val="00667F8A"/>
    <w:rsid w:val="006703B4"/>
    <w:rsid w:val="00670E4D"/>
    <w:rsid w:val="00672609"/>
    <w:rsid w:val="006734AC"/>
    <w:rsid w:val="00674C50"/>
    <w:rsid w:val="0067530C"/>
    <w:rsid w:val="00676076"/>
    <w:rsid w:val="00676716"/>
    <w:rsid w:val="006767D9"/>
    <w:rsid w:val="00676877"/>
    <w:rsid w:val="00676F65"/>
    <w:rsid w:val="006770E7"/>
    <w:rsid w:val="00677510"/>
    <w:rsid w:val="00677BEF"/>
    <w:rsid w:val="0068158A"/>
    <w:rsid w:val="006817AB"/>
    <w:rsid w:val="006826CC"/>
    <w:rsid w:val="00682D30"/>
    <w:rsid w:val="00682DE5"/>
    <w:rsid w:val="00684D91"/>
    <w:rsid w:val="00685897"/>
    <w:rsid w:val="00687564"/>
    <w:rsid w:val="00690728"/>
    <w:rsid w:val="006909CF"/>
    <w:rsid w:val="00690A09"/>
    <w:rsid w:val="006915E9"/>
    <w:rsid w:val="0069190D"/>
    <w:rsid w:val="00693148"/>
    <w:rsid w:val="006944E7"/>
    <w:rsid w:val="0069463E"/>
    <w:rsid w:val="0069541C"/>
    <w:rsid w:val="0069785F"/>
    <w:rsid w:val="006A09BC"/>
    <w:rsid w:val="006A0CF1"/>
    <w:rsid w:val="006A1069"/>
    <w:rsid w:val="006A1802"/>
    <w:rsid w:val="006A2576"/>
    <w:rsid w:val="006A4809"/>
    <w:rsid w:val="006A4C3B"/>
    <w:rsid w:val="006A4D40"/>
    <w:rsid w:val="006A648B"/>
    <w:rsid w:val="006A6949"/>
    <w:rsid w:val="006A7017"/>
    <w:rsid w:val="006B0592"/>
    <w:rsid w:val="006B11F1"/>
    <w:rsid w:val="006B3F4C"/>
    <w:rsid w:val="006B423B"/>
    <w:rsid w:val="006B44B9"/>
    <w:rsid w:val="006B4E65"/>
    <w:rsid w:val="006B6FEA"/>
    <w:rsid w:val="006B74FC"/>
    <w:rsid w:val="006B772F"/>
    <w:rsid w:val="006B7D8C"/>
    <w:rsid w:val="006B7D97"/>
    <w:rsid w:val="006B7FBE"/>
    <w:rsid w:val="006C0EDA"/>
    <w:rsid w:val="006C12A4"/>
    <w:rsid w:val="006C1C1A"/>
    <w:rsid w:val="006C1FC9"/>
    <w:rsid w:val="006C29E3"/>
    <w:rsid w:val="006C2ED4"/>
    <w:rsid w:val="006C3031"/>
    <w:rsid w:val="006C3C83"/>
    <w:rsid w:val="006C3DFF"/>
    <w:rsid w:val="006C3E63"/>
    <w:rsid w:val="006C46E6"/>
    <w:rsid w:val="006C4886"/>
    <w:rsid w:val="006C492D"/>
    <w:rsid w:val="006C59C5"/>
    <w:rsid w:val="006C7064"/>
    <w:rsid w:val="006C7ECD"/>
    <w:rsid w:val="006C7F26"/>
    <w:rsid w:val="006D0061"/>
    <w:rsid w:val="006D0697"/>
    <w:rsid w:val="006D0C77"/>
    <w:rsid w:val="006D1747"/>
    <w:rsid w:val="006D1B8A"/>
    <w:rsid w:val="006D20C2"/>
    <w:rsid w:val="006D235E"/>
    <w:rsid w:val="006D2858"/>
    <w:rsid w:val="006D323D"/>
    <w:rsid w:val="006D36D2"/>
    <w:rsid w:val="006D4687"/>
    <w:rsid w:val="006D5E0E"/>
    <w:rsid w:val="006D5E90"/>
    <w:rsid w:val="006D63B3"/>
    <w:rsid w:val="006D6E91"/>
    <w:rsid w:val="006D75D8"/>
    <w:rsid w:val="006E038A"/>
    <w:rsid w:val="006E0DFB"/>
    <w:rsid w:val="006E15AD"/>
    <w:rsid w:val="006E1992"/>
    <w:rsid w:val="006E1E44"/>
    <w:rsid w:val="006E2475"/>
    <w:rsid w:val="006E29A8"/>
    <w:rsid w:val="006E2CF0"/>
    <w:rsid w:val="006E3339"/>
    <w:rsid w:val="006E3C94"/>
    <w:rsid w:val="006E4371"/>
    <w:rsid w:val="006E4563"/>
    <w:rsid w:val="006E4A43"/>
    <w:rsid w:val="006E63E3"/>
    <w:rsid w:val="006E6F4A"/>
    <w:rsid w:val="006E74CA"/>
    <w:rsid w:val="006F005D"/>
    <w:rsid w:val="006F0AD2"/>
    <w:rsid w:val="006F0BF6"/>
    <w:rsid w:val="006F0DEB"/>
    <w:rsid w:val="006F1327"/>
    <w:rsid w:val="006F2E74"/>
    <w:rsid w:val="006F39C3"/>
    <w:rsid w:val="006F4129"/>
    <w:rsid w:val="006F4692"/>
    <w:rsid w:val="006F48DF"/>
    <w:rsid w:val="006F4E6C"/>
    <w:rsid w:val="006F4FF9"/>
    <w:rsid w:val="006F5096"/>
    <w:rsid w:val="006F58AD"/>
    <w:rsid w:val="006F6629"/>
    <w:rsid w:val="006F694B"/>
    <w:rsid w:val="006F6F12"/>
    <w:rsid w:val="006F71CA"/>
    <w:rsid w:val="006F7CA8"/>
    <w:rsid w:val="00700E79"/>
    <w:rsid w:val="00702761"/>
    <w:rsid w:val="00704596"/>
    <w:rsid w:val="007048B9"/>
    <w:rsid w:val="00704DE4"/>
    <w:rsid w:val="00705529"/>
    <w:rsid w:val="007056D6"/>
    <w:rsid w:val="00705711"/>
    <w:rsid w:val="00705AD1"/>
    <w:rsid w:val="00706CB1"/>
    <w:rsid w:val="007070B2"/>
    <w:rsid w:val="00707427"/>
    <w:rsid w:val="00707C49"/>
    <w:rsid w:val="007110B4"/>
    <w:rsid w:val="007118EF"/>
    <w:rsid w:val="00711A2D"/>
    <w:rsid w:val="007129A3"/>
    <w:rsid w:val="00713110"/>
    <w:rsid w:val="00713111"/>
    <w:rsid w:val="0071336D"/>
    <w:rsid w:val="00713552"/>
    <w:rsid w:val="0071366B"/>
    <w:rsid w:val="007136DE"/>
    <w:rsid w:val="0071533A"/>
    <w:rsid w:val="00715AA9"/>
    <w:rsid w:val="00715D91"/>
    <w:rsid w:val="00715E86"/>
    <w:rsid w:val="007164BA"/>
    <w:rsid w:val="00716975"/>
    <w:rsid w:val="007177DA"/>
    <w:rsid w:val="007178B2"/>
    <w:rsid w:val="00720086"/>
    <w:rsid w:val="00720C1F"/>
    <w:rsid w:val="00720E4D"/>
    <w:rsid w:val="007211AA"/>
    <w:rsid w:val="007214FF"/>
    <w:rsid w:val="00722089"/>
    <w:rsid w:val="00722D86"/>
    <w:rsid w:val="0072316B"/>
    <w:rsid w:val="0072329A"/>
    <w:rsid w:val="00723A88"/>
    <w:rsid w:val="00723B4D"/>
    <w:rsid w:val="00723CC9"/>
    <w:rsid w:val="007240BC"/>
    <w:rsid w:val="00724A4E"/>
    <w:rsid w:val="00724D69"/>
    <w:rsid w:val="0072610B"/>
    <w:rsid w:val="00727F44"/>
    <w:rsid w:val="00730837"/>
    <w:rsid w:val="00730DF9"/>
    <w:rsid w:val="007310B1"/>
    <w:rsid w:val="0073242E"/>
    <w:rsid w:val="0073289D"/>
    <w:rsid w:val="00732958"/>
    <w:rsid w:val="0073317B"/>
    <w:rsid w:val="0073374A"/>
    <w:rsid w:val="00733FC4"/>
    <w:rsid w:val="00734C84"/>
    <w:rsid w:val="0073514D"/>
    <w:rsid w:val="0073527E"/>
    <w:rsid w:val="0073556B"/>
    <w:rsid w:val="007357D8"/>
    <w:rsid w:val="00735B38"/>
    <w:rsid w:val="0073646B"/>
    <w:rsid w:val="00737455"/>
    <w:rsid w:val="00737964"/>
    <w:rsid w:val="00737BEC"/>
    <w:rsid w:val="00740B8D"/>
    <w:rsid w:val="007413C3"/>
    <w:rsid w:val="00742D58"/>
    <w:rsid w:val="00742FC7"/>
    <w:rsid w:val="00743130"/>
    <w:rsid w:val="007434CB"/>
    <w:rsid w:val="00743A86"/>
    <w:rsid w:val="00743B19"/>
    <w:rsid w:val="007450AE"/>
    <w:rsid w:val="0074510A"/>
    <w:rsid w:val="00745112"/>
    <w:rsid w:val="007460A5"/>
    <w:rsid w:val="007463FF"/>
    <w:rsid w:val="007471EA"/>
    <w:rsid w:val="0074746E"/>
    <w:rsid w:val="007476CD"/>
    <w:rsid w:val="007477E3"/>
    <w:rsid w:val="00750110"/>
    <w:rsid w:val="007505EE"/>
    <w:rsid w:val="00750BEF"/>
    <w:rsid w:val="00750E90"/>
    <w:rsid w:val="007512D7"/>
    <w:rsid w:val="00751D8C"/>
    <w:rsid w:val="007528D1"/>
    <w:rsid w:val="00752C0C"/>
    <w:rsid w:val="00752E09"/>
    <w:rsid w:val="007539DC"/>
    <w:rsid w:val="00753A9F"/>
    <w:rsid w:val="007545F0"/>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DF3"/>
    <w:rsid w:val="00764F58"/>
    <w:rsid w:val="00764FC9"/>
    <w:rsid w:val="007651ED"/>
    <w:rsid w:val="00765CDE"/>
    <w:rsid w:val="00765DB8"/>
    <w:rsid w:val="00766ECE"/>
    <w:rsid w:val="00766FF2"/>
    <w:rsid w:val="00767155"/>
    <w:rsid w:val="00767171"/>
    <w:rsid w:val="0077118A"/>
    <w:rsid w:val="00771D70"/>
    <w:rsid w:val="00772561"/>
    <w:rsid w:val="007728B6"/>
    <w:rsid w:val="0077300D"/>
    <w:rsid w:val="0077364E"/>
    <w:rsid w:val="00773B26"/>
    <w:rsid w:val="00773B4A"/>
    <w:rsid w:val="007740E5"/>
    <w:rsid w:val="00776134"/>
    <w:rsid w:val="00776542"/>
    <w:rsid w:val="00776752"/>
    <w:rsid w:val="00777349"/>
    <w:rsid w:val="0077757C"/>
    <w:rsid w:val="00777FDE"/>
    <w:rsid w:val="00780457"/>
    <w:rsid w:val="00780481"/>
    <w:rsid w:val="00780792"/>
    <w:rsid w:val="00780F7C"/>
    <w:rsid w:val="00780FF2"/>
    <w:rsid w:val="00782294"/>
    <w:rsid w:val="0078338D"/>
    <w:rsid w:val="00783C8F"/>
    <w:rsid w:val="00784780"/>
    <w:rsid w:val="0078578C"/>
    <w:rsid w:val="007858EB"/>
    <w:rsid w:val="0078594A"/>
    <w:rsid w:val="0078625E"/>
    <w:rsid w:val="00786A02"/>
    <w:rsid w:val="00787462"/>
    <w:rsid w:val="00787614"/>
    <w:rsid w:val="00787756"/>
    <w:rsid w:val="0078783D"/>
    <w:rsid w:val="00790DA3"/>
    <w:rsid w:val="00791116"/>
    <w:rsid w:val="00791B5D"/>
    <w:rsid w:val="0079287A"/>
    <w:rsid w:val="00793129"/>
    <w:rsid w:val="00793668"/>
    <w:rsid w:val="00793AAE"/>
    <w:rsid w:val="00794030"/>
    <w:rsid w:val="007944F5"/>
    <w:rsid w:val="00794D8F"/>
    <w:rsid w:val="00794FF5"/>
    <w:rsid w:val="0079503B"/>
    <w:rsid w:val="00795175"/>
    <w:rsid w:val="00795366"/>
    <w:rsid w:val="0079572E"/>
    <w:rsid w:val="007958FA"/>
    <w:rsid w:val="00796B08"/>
    <w:rsid w:val="007972F0"/>
    <w:rsid w:val="0079761E"/>
    <w:rsid w:val="00797651"/>
    <w:rsid w:val="007A0356"/>
    <w:rsid w:val="007A1688"/>
    <w:rsid w:val="007A234C"/>
    <w:rsid w:val="007A25C9"/>
    <w:rsid w:val="007A2631"/>
    <w:rsid w:val="007A2828"/>
    <w:rsid w:val="007A283A"/>
    <w:rsid w:val="007A331D"/>
    <w:rsid w:val="007A3895"/>
    <w:rsid w:val="007A3F12"/>
    <w:rsid w:val="007A4063"/>
    <w:rsid w:val="007A46EF"/>
    <w:rsid w:val="007A5D5F"/>
    <w:rsid w:val="007A689D"/>
    <w:rsid w:val="007A68C3"/>
    <w:rsid w:val="007B0044"/>
    <w:rsid w:val="007B082A"/>
    <w:rsid w:val="007B0833"/>
    <w:rsid w:val="007B1789"/>
    <w:rsid w:val="007B1A08"/>
    <w:rsid w:val="007B1D07"/>
    <w:rsid w:val="007B2720"/>
    <w:rsid w:val="007B358C"/>
    <w:rsid w:val="007B3793"/>
    <w:rsid w:val="007B3BBC"/>
    <w:rsid w:val="007B3F67"/>
    <w:rsid w:val="007B4D12"/>
    <w:rsid w:val="007B5870"/>
    <w:rsid w:val="007B659E"/>
    <w:rsid w:val="007B667D"/>
    <w:rsid w:val="007B6731"/>
    <w:rsid w:val="007B6F7C"/>
    <w:rsid w:val="007B7031"/>
    <w:rsid w:val="007B72E5"/>
    <w:rsid w:val="007B7591"/>
    <w:rsid w:val="007B772C"/>
    <w:rsid w:val="007C00F0"/>
    <w:rsid w:val="007C065A"/>
    <w:rsid w:val="007C1709"/>
    <w:rsid w:val="007C1FFB"/>
    <w:rsid w:val="007C2717"/>
    <w:rsid w:val="007C2F22"/>
    <w:rsid w:val="007C3224"/>
    <w:rsid w:val="007C3F4A"/>
    <w:rsid w:val="007C3F6E"/>
    <w:rsid w:val="007C4A7F"/>
    <w:rsid w:val="007C4AC7"/>
    <w:rsid w:val="007C4D8C"/>
    <w:rsid w:val="007C5699"/>
    <w:rsid w:val="007C6259"/>
    <w:rsid w:val="007C62E9"/>
    <w:rsid w:val="007C70CA"/>
    <w:rsid w:val="007C77D8"/>
    <w:rsid w:val="007C7BF4"/>
    <w:rsid w:val="007D1CA6"/>
    <w:rsid w:val="007D1CF5"/>
    <w:rsid w:val="007D350C"/>
    <w:rsid w:val="007D3596"/>
    <w:rsid w:val="007D3F98"/>
    <w:rsid w:val="007D4816"/>
    <w:rsid w:val="007D52BE"/>
    <w:rsid w:val="007D59DA"/>
    <w:rsid w:val="007D62BB"/>
    <w:rsid w:val="007D6493"/>
    <w:rsid w:val="007D6F58"/>
    <w:rsid w:val="007E04A1"/>
    <w:rsid w:val="007E0BAB"/>
    <w:rsid w:val="007E1059"/>
    <w:rsid w:val="007E11B4"/>
    <w:rsid w:val="007E14BA"/>
    <w:rsid w:val="007E1F71"/>
    <w:rsid w:val="007E2BEA"/>
    <w:rsid w:val="007E2C1B"/>
    <w:rsid w:val="007E3D25"/>
    <w:rsid w:val="007E4613"/>
    <w:rsid w:val="007E4D69"/>
    <w:rsid w:val="007E6068"/>
    <w:rsid w:val="007E66A8"/>
    <w:rsid w:val="007E688F"/>
    <w:rsid w:val="007E6C35"/>
    <w:rsid w:val="007E71FD"/>
    <w:rsid w:val="007E7F95"/>
    <w:rsid w:val="007F0351"/>
    <w:rsid w:val="007F0FCD"/>
    <w:rsid w:val="007F3058"/>
    <w:rsid w:val="007F3134"/>
    <w:rsid w:val="007F3163"/>
    <w:rsid w:val="007F3C1E"/>
    <w:rsid w:val="007F4230"/>
    <w:rsid w:val="007F6D13"/>
    <w:rsid w:val="00800B88"/>
    <w:rsid w:val="00800E30"/>
    <w:rsid w:val="008015F8"/>
    <w:rsid w:val="008017E8"/>
    <w:rsid w:val="008024B7"/>
    <w:rsid w:val="00802F26"/>
    <w:rsid w:val="0080333D"/>
    <w:rsid w:val="00803CC8"/>
    <w:rsid w:val="00804507"/>
    <w:rsid w:val="008058C0"/>
    <w:rsid w:val="00805EF4"/>
    <w:rsid w:val="00806202"/>
    <w:rsid w:val="008062F1"/>
    <w:rsid w:val="0080761B"/>
    <w:rsid w:val="00807E53"/>
    <w:rsid w:val="00810067"/>
    <w:rsid w:val="008101E6"/>
    <w:rsid w:val="00811541"/>
    <w:rsid w:val="008120BF"/>
    <w:rsid w:val="00812422"/>
    <w:rsid w:val="00812654"/>
    <w:rsid w:val="00812C7B"/>
    <w:rsid w:val="00813258"/>
    <w:rsid w:val="00813512"/>
    <w:rsid w:val="00813E7C"/>
    <w:rsid w:val="0081470A"/>
    <w:rsid w:val="00814EBD"/>
    <w:rsid w:val="0081523C"/>
    <w:rsid w:val="00815672"/>
    <w:rsid w:val="00816216"/>
    <w:rsid w:val="00816C5A"/>
    <w:rsid w:val="00817DDC"/>
    <w:rsid w:val="00820A62"/>
    <w:rsid w:val="0082193D"/>
    <w:rsid w:val="00822B4B"/>
    <w:rsid w:val="00822D2A"/>
    <w:rsid w:val="0082325B"/>
    <w:rsid w:val="008241F7"/>
    <w:rsid w:val="00825A1D"/>
    <w:rsid w:val="00825A38"/>
    <w:rsid w:val="00825E39"/>
    <w:rsid w:val="008263C9"/>
    <w:rsid w:val="008266B5"/>
    <w:rsid w:val="00826BD9"/>
    <w:rsid w:val="0082782E"/>
    <w:rsid w:val="0083042E"/>
    <w:rsid w:val="00830785"/>
    <w:rsid w:val="0083103A"/>
    <w:rsid w:val="00831B96"/>
    <w:rsid w:val="0083223A"/>
    <w:rsid w:val="008322C9"/>
    <w:rsid w:val="0083272A"/>
    <w:rsid w:val="00833160"/>
    <w:rsid w:val="00833983"/>
    <w:rsid w:val="00833F78"/>
    <w:rsid w:val="00834E84"/>
    <w:rsid w:val="008355B3"/>
    <w:rsid w:val="00835612"/>
    <w:rsid w:val="008374FB"/>
    <w:rsid w:val="00837545"/>
    <w:rsid w:val="0084001D"/>
    <w:rsid w:val="00840EEF"/>
    <w:rsid w:val="0084131F"/>
    <w:rsid w:val="00841505"/>
    <w:rsid w:val="008416FE"/>
    <w:rsid w:val="00841BF3"/>
    <w:rsid w:val="00841EE9"/>
    <w:rsid w:val="00842A91"/>
    <w:rsid w:val="0084316C"/>
    <w:rsid w:val="008432F7"/>
    <w:rsid w:val="00844975"/>
    <w:rsid w:val="00844A42"/>
    <w:rsid w:val="00844BC8"/>
    <w:rsid w:val="00845FF8"/>
    <w:rsid w:val="0084619F"/>
    <w:rsid w:val="00846ABF"/>
    <w:rsid w:val="00846FDF"/>
    <w:rsid w:val="00850130"/>
    <w:rsid w:val="00850367"/>
    <w:rsid w:val="008505EC"/>
    <w:rsid w:val="00851655"/>
    <w:rsid w:val="00851BA1"/>
    <w:rsid w:val="008527CD"/>
    <w:rsid w:val="00852DE1"/>
    <w:rsid w:val="00853CE9"/>
    <w:rsid w:val="00854373"/>
    <w:rsid w:val="00854B2C"/>
    <w:rsid w:val="00854B62"/>
    <w:rsid w:val="00854FD3"/>
    <w:rsid w:val="008550C9"/>
    <w:rsid w:val="00855411"/>
    <w:rsid w:val="00855443"/>
    <w:rsid w:val="00855502"/>
    <w:rsid w:val="00855BC8"/>
    <w:rsid w:val="00860921"/>
    <w:rsid w:val="00861DA7"/>
    <w:rsid w:val="00862555"/>
    <w:rsid w:val="0086255B"/>
    <w:rsid w:val="008625E8"/>
    <w:rsid w:val="0086364E"/>
    <w:rsid w:val="008646D8"/>
    <w:rsid w:val="0086480D"/>
    <w:rsid w:val="008653D7"/>
    <w:rsid w:val="00865513"/>
    <w:rsid w:val="00866061"/>
    <w:rsid w:val="0086625E"/>
    <w:rsid w:val="008662C6"/>
    <w:rsid w:val="00866596"/>
    <w:rsid w:val="00866860"/>
    <w:rsid w:val="008707ED"/>
    <w:rsid w:val="008713AC"/>
    <w:rsid w:val="008714D9"/>
    <w:rsid w:val="00871E43"/>
    <w:rsid w:val="008722D9"/>
    <w:rsid w:val="00872AEA"/>
    <w:rsid w:val="00872AED"/>
    <w:rsid w:val="00872C99"/>
    <w:rsid w:val="008730B0"/>
    <w:rsid w:val="008734AF"/>
    <w:rsid w:val="008745C7"/>
    <w:rsid w:val="0087490B"/>
    <w:rsid w:val="00875992"/>
    <w:rsid w:val="00875F4E"/>
    <w:rsid w:val="008772AD"/>
    <w:rsid w:val="00877D02"/>
    <w:rsid w:val="008812DE"/>
    <w:rsid w:val="00881A27"/>
    <w:rsid w:val="008821C6"/>
    <w:rsid w:val="008826CF"/>
    <w:rsid w:val="008828CF"/>
    <w:rsid w:val="008831FC"/>
    <w:rsid w:val="00883A14"/>
    <w:rsid w:val="00884619"/>
    <w:rsid w:val="008849FF"/>
    <w:rsid w:val="008855AD"/>
    <w:rsid w:val="00886320"/>
    <w:rsid w:val="00887183"/>
    <w:rsid w:val="00887ACA"/>
    <w:rsid w:val="00887CCE"/>
    <w:rsid w:val="00887DE5"/>
    <w:rsid w:val="00890514"/>
    <w:rsid w:val="0089166D"/>
    <w:rsid w:val="008919D9"/>
    <w:rsid w:val="00891BAC"/>
    <w:rsid w:val="00892DFB"/>
    <w:rsid w:val="00892E2E"/>
    <w:rsid w:val="00893884"/>
    <w:rsid w:val="00893A9E"/>
    <w:rsid w:val="00893E6F"/>
    <w:rsid w:val="0089418C"/>
    <w:rsid w:val="00894B1D"/>
    <w:rsid w:val="00894BCC"/>
    <w:rsid w:val="008952FB"/>
    <w:rsid w:val="00895B50"/>
    <w:rsid w:val="00896642"/>
    <w:rsid w:val="00897035"/>
    <w:rsid w:val="00897A3C"/>
    <w:rsid w:val="00897B86"/>
    <w:rsid w:val="00897C7E"/>
    <w:rsid w:val="008A014F"/>
    <w:rsid w:val="008A0601"/>
    <w:rsid w:val="008A087E"/>
    <w:rsid w:val="008A0BA2"/>
    <w:rsid w:val="008A14FE"/>
    <w:rsid w:val="008A1597"/>
    <w:rsid w:val="008A1B44"/>
    <w:rsid w:val="008A28FA"/>
    <w:rsid w:val="008A2BA1"/>
    <w:rsid w:val="008A2FA6"/>
    <w:rsid w:val="008A3337"/>
    <w:rsid w:val="008A4348"/>
    <w:rsid w:val="008A4843"/>
    <w:rsid w:val="008A4D55"/>
    <w:rsid w:val="008A55DD"/>
    <w:rsid w:val="008A5947"/>
    <w:rsid w:val="008A5AC8"/>
    <w:rsid w:val="008A5B90"/>
    <w:rsid w:val="008A657C"/>
    <w:rsid w:val="008A6C85"/>
    <w:rsid w:val="008B020D"/>
    <w:rsid w:val="008B0289"/>
    <w:rsid w:val="008B122E"/>
    <w:rsid w:val="008B1601"/>
    <w:rsid w:val="008B223F"/>
    <w:rsid w:val="008B2D4D"/>
    <w:rsid w:val="008B2FD0"/>
    <w:rsid w:val="008B3C63"/>
    <w:rsid w:val="008B410D"/>
    <w:rsid w:val="008B4335"/>
    <w:rsid w:val="008B469E"/>
    <w:rsid w:val="008B6221"/>
    <w:rsid w:val="008B65A5"/>
    <w:rsid w:val="008B6D0A"/>
    <w:rsid w:val="008B6D39"/>
    <w:rsid w:val="008B6D51"/>
    <w:rsid w:val="008B729D"/>
    <w:rsid w:val="008B76BA"/>
    <w:rsid w:val="008C111C"/>
    <w:rsid w:val="008C2E16"/>
    <w:rsid w:val="008C37F0"/>
    <w:rsid w:val="008C556C"/>
    <w:rsid w:val="008C5E2F"/>
    <w:rsid w:val="008C6E48"/>
    <w:rsid w:val="008C6FE9"/>
    <w:rsid w:val="008D0379"/>
    <w:rsid w:val="008D0662"/>
    <w:rsid w:val="008D091B"/>
    <w:rsid w:val="008D13E6"/>
    <w:rsid w:val="008D18F4"/>
    <w:rsid w:val="008D1E89"/>
    <w:rsid w:val="008D2A6C"/>
    <w:rsid w:val="008D2DD7"/>
    <w:rsid w:val="008D3A99"/>
    <w:rsid w:val="008D3C7D"/>
    <w:rsid w:val="008D4115"/>
    <w:rsid w:val="008D5679"/>
    <w:rsid w:val="008D58A3"/>
    <w:rsid w:val="008D5A54"/>
    <w:rsid w:val="008D5BD2"/>
    <w:rsid w:val="008D64E5"/>
    <w:rsid w:val="008D724C"/>
    <w:rsid w:val="008D7C97"/>
    <w:rsid w:val="008D7DA8"/>
    <w:rsid w:val="008E03B4"/>
    <w:rsid w:val="008E24CC"/>
    <w:rsid w:val="008E263D"/>
    <w:rsid w:val="008E3062"/>
    <w:rsid w:val="008E344F"/>
    <w:rsid w:val="008E347E"/>
    <w:rsid w:val="008E3815"/>
    <w:rsid w:val="008E3F3E"/>
    <w:rsid w:val="008E4BBE"/>
    <w:rsid w:val="008E4F26"/>
    <w:rsid w:val="008E544D"/>
    <w:rsid w:val="008E5502"/>
    <w:rsid w:val="008E5F7B"/>
    <w:rsid w:val="008E7AD6"/>
    <w:rsid w:val="008F00AF"/>
    <w:rsid w:val="008F0744"/>
    <w:rsid w:val="008F23BF"/>
    <w:rsid w:val="008F2C31"/>
    <w:rsid w:val="008F2CD5"/>
    <w:rsid w:val="008F32BE"/>
    <w:rsid w:val="008F345C"/>
    <w:rsid w:val="008F5ACD"/>
    <w:rsid w:val="008F5F0D"/>
    <w:rsid w:val="008F6262"/>
    <w:rsid w:val="008F7A6B"/>
    <w:rsid w:val="008F7F33"/>
    <w:rsid w:val="0090104F"/>
    <w:rsid w:val="00901142"/>
    <w:rsid w:val="009011D8"/>
    <w:rsid w:val="00901393"/>
    <w:rsid w:val="00901D29"/>
    <w:rsid w:val="00902046"/>
    <w:rsid w:val="00903819"/>
    <w:rsid w:val="00903F2E"/>
    <w:rsid w:val="0090420E"/>
    <w:rsid w:val="00904419"/>
    <w:rsid w:val="009045BF"/>
    <w:rsid w:val="0090486F"/>
    <w:rsid w:val="0090542A"/>
    <w:rsid w:val="00905525"/>
    <w:rsid w:val="00905616"/>
    <w:rsid w:val="00905F4D"/>
    <w:rsid w:val="009062D3"/>
    <w:rsid w:val="009067F7"/>
    <w:rsid w:val="0090683E"/>
    <w:rsid w:val="00906A56"/>
    <w:rsid w:val="009074F0"/>
    <w:rsid w:val="009108DD"/>
    <w:rsid w:val="00910DC3"/>
    <w:rsid w:val="00912168"/>
    <w:rsid w:val="00912C14"/>
    <w:rsid w:val="0091339B"/>
    <w:rsid w:val="0091385F"/>
    <w:rsid w:val="0091405D"/>
    <w:rsid w:val="00914CD9"/>
    <w:rsid w:val="00915C00"/>
    <w:rsid w:val="0091614D"/>
    <w:rsid w:val="00916D1A"/>
    <w:rsid w:val="00916FB6"/>
    <w:rsid w:val="0091705E"/>
    <w:rsid w:val="009170D4"/>
    <w:rsid w:val="00917400"/>
    <w:rsid w:val="009177AD"/>
    <w:rsid w:val="009202C7"/>
    <w:rsid w:val="009212CD"/>
    <w:rsid w:val="00921BFB"/>
    <w:rsid w:val="00921DAD"/>
    <w:rsid w:val="00922A23"/>
    <w:rsid w:val="00922F25"/>
    <w:rsid w:val="00923FAE"/>
    <w:rsid w:val="00924260"/>
    <w:rsid w:val="00924502"/>
    <w:rsid w:val="009267A6"/>
    <w:rsid w:val="00927037"/>
    <w:rsid w:val="00927230"/>
    <w:rsid w:val="00930430"/>
    <w:rsid w:val="00930748"/>
    <w:rsid w:val="00932778"/>
    <w:rsid w:val="00933030"/>
    <w:rsid w:val="00934914"/>
    <w:rsid w:val="00935A38"/>
    <w:rsid w:val="00935B9F"/>
    <w:rsid w:val="0093657E"/>
    <w:rsid w:val="00937647"/>
    <w:rsid w:val="009402A5"/>
    <w:rsid w:val="00940631"/>
    <w:rsid w:val="0094180C"/>
    <w:rsid w:val="00942091"/>
    <w:rsid w:val="009425EE"/>
    <w:rsid w:val="00944928"/>
    <w:rsid w:val="00944A9B"/>
    <w:rsid w:val="0094516F"/>
    <w:rsid w:val="009451DE"/>
    <w:rsid w:val="00945315"/>
    <w:rsid w:val="00946009"/>
    <w:rsid w:val="00946506"/>
    <w:rsid w:val="00947F6D"/>
    <w:rsid w:val="0095060C"/>
    <w:rsid w:val="00950C74"/>
    <w:rsid w:val="009511A9"/>
    <w:rsid w:val="009512A0"/>
    <w:rsid w:val="0095161C"/>
    <w:rsid w:val="00951E8F"/>
    <w:rsid w:val="00952D82"/>
    <w:rsid w:val="00952E84"/>
    <w:rsid w:val="00953036"/>
    <w:rsid w:val="00953268"/>
    <w:rsid w:val="00953460"/>
    <w:rsid w:val="00953D58"/>
    <w:rsid w:val="00955079"/>
    <w:rsid w:val="00955481"/>
    <w:rsid w:val="009554C7"/>
    <w:rsid w:val="009557EE"/>
    <w:rsid w:val="00955EC5"/>
    <w:rsid w:val="009561DC"/>
    <w:rsid w:val="009566DE"/>
    <w:rsid w:val="009573D8"/>
    <w:rsid w:val="00957756"/>
    <w:rsid w:val="0095778B"/>
    <w:rsid w:val="009614DF"/>
    <w:rsid w:val="00961D41"/>
    <w:rsid w:val="009623D0"/>
    <w:rsid w:val="009626E1"/>
    <w:rsid w:val="00962AF9"/>
    <w:rsid w:val="009632A4"/>
    <w:rsid w:val="00963A33"/>
    <w:rsid w:val="009642AC"/>
    <w:rsid w:val="0096448F"/>
    <w:rsid w:val="00964782"/>
    <w:rsid w:val="00965993"/>
    <w:rsid w:val="00965BD9"/>
    <w:rsid w:val="0096669C"/>
    <w:rsid w:val="00966905"/>
    <w:rsid w:val="00966BE3"/>
    <w:rsid w:val="0096707E"/>
    <w:rsid w:val="0096751F"/>
    <w:rsid w:val="00970648"/>
    <w:rsid w:val="00970A28"/>
    <w:rsid w:val="009716DD"/>
    <w:rsid w:val="0097190C"/>
    <w:rsid w:val="00972224"/>
    <w:rsid w:val="00972721"/>
    <w:rsid w:val="009730C2"/>
    <w:rsid w:val="0097316B"/>
    <w:rsid w:val="00973B64"/>
    <w:rsid w:val="00973C43"/>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365"/>
    <w:rsid w:val="009833C9"/>
    <w:rsid w:val="009863C6"/>
    <w:rsid w:val="009865B4"/>
    <w:rsid w:val="00986C49"/>
    <w:rsid w:val="00986CD7"/>
    <w:rsid w:val="009877FB"/>
    <w:rsid w:val="009907E2"/>
    <w:rsid w:val="00991012"/>
    <w:rsid w:val="00991022"/>
    <w:rsid w:val="009913A2"/>
    <w:rsid w:val="00991B71"/>
    <w:rsid w:val="00992AC4"/>
    <w:rsid w:val="00993FE7"/>
    <w:rsid w:val="00994350"/>
    <w:rsid w:val="00994CF8"/>
    <w:rsid w:val="009950CE"/>
    <w:rsid w:val="00995485"/>
    <w:rsid w:val="00995B17"/>
    <w:rsid w:val="00995C6B"/>
    <w:rsid w:val="00995F45"/>
    <w:rsid w:val="009964F2"/>
    <w:rsid w:val="009968CF"/>
    <w:rsid w:val="00996A2A"/>
    <w:rsid w:val="009A17DF"/>
    <w:rsid w:val="009A1FBA"/>
    <w:rsid w:val="009A2DC7"/>
    <w:rsid w:val="009A3486"/>
    <w:rsid w:val="009A5ABF"/>
    <w:rsid w:val="009A5B39"/>
    <w:rsid w:val="009A6362"/>
    <w:rsid w:val="009A7664"/>
    <w:rsid w:val="009A77F4"/>
    <w:rsid w:val="009A7F41"/>
    <w:rsid w:val="009A7FC5"/>
    <w:rsid w:val="009B03E7"/>
    <w:rsid w:val="009B0627"/>
    <w:rsid w:val="009B09C2"/>
    <w:rsid w:val="009B156B"/>
    <w:rsid w:val="009B1B09"/>
    <w:rsid w:val="009B1F90"/>
    <w:rsid w:val="009B22C9"/>
    <w:rsid w:val="009B379A"/>
    <w:rsid w:val="009B3943"/>
    <w:rsid w:val="009B40C4"/>
    <w:rsid w:val="009B4173"/>
    <w:rsid w:val="009B474C"/>
    <w:rsid w:val="009B4C40"/>
    <w:rsid w:val="009B4D84"/>
    <w:rsid w:val="009B5DC2"/>
    <w:rsid w:val="009B5E37"/>
    <w:rsid w:val="009B60B3"/>
    <w:rsid w:val="009B6192"/>
    <w:rsid w:val="009B6E8F"/>
    <w:rsid w:val="009B6E96"/>
    <w:rsid w:val="009B724B"/>
    <w:rsid w:val="009C078B"/>
    <w:rsid w:val="009C0D58"/>
    <w:rsid w:val="009C115C"/>
    <w:rsid w:val="009C1A62"/>
    <w:rsid w:val="009C1DFA"/>
    <w:rsid w:val="009C23B7"/>
    <w:rsid w:val="009C3697"/>
    <w:rsid w:val="009C3FE7"/>
    <w:rsid w:val="009C51CF"/>
    <w:rsid w:val="009C5585"/>
    <w:rsid w:val="009C6FEA"/>
    <w:rsid w:val="009C78AD"/>
    <w:rsid w:val="009D16B9"/>
    <w:rsid w:val="009D1F1A"/>
    <w:rsid w:val="009D240E"/>
    <w:rsid w:val="009D31F2"/>
    <w:rsid w:val="009D374E"/>
    <w:rsid w:val="009D456D"/>
    <w:rsid w:val="009D470B"/>
    <w:rsid w:val="009D4957"/>
    <w:rsid w:val="009D52E5"/>
    <w:rsid w:val="009D5583"/>
    <w:rsid w:val="009D5905"/>
    <w:rsid w:val="009D5F0D"/>
    <w:rsid w:val="009D63C1"/>
    <w:rsid w:val="009D648F"/>
    <w:rsid w:val="009D66B0"/>
    <w:rsid w:val="009D67FF"/>
    <w:rsid w:val="009D7876"/>
    <w:rsid w:val="009D7BBA"/>
    <w:rsid w:val="009D7D11"/>
    <w:rsid w:val="009E068E"/>
    <w:rsid w:val="009E0BB8"/>
    <w:rsid w:val="009E0D53"/>
    <w:rsid w:val="009E1F7F"/>
    <w:rsid w:val="009E3164"/>
    <w:rsid w:val="009E3FA0"/>
    <w:rsid w:val="009E559A"/>
    <w:rsid w:val="009E5B2C"/>
    <w:rsid w:val="009E6C8D"/>
    <w:rsid w:val="009E7097"/>
    <w:rsid w:val="009F010A"/>
    <w:rsid w:val="009F0309"/>
    <w:rsid w:val="009F0988"/>
    <w:rsid w:val="009F0A7F"/>
    <w:rsid w:val="009F10AC"/>
    <w:rsid w:val="009F192E"/>
    <w:rsid w:val="009F2191"/>
    <w:rsid w:val="009F2273"/>
    <w:rsid w:val="009F2AC4"/>
    <w:rsid w:val="009F3012"/>
    <w:rsid w:val="009F32FF"/>
    <w:rsid w:val="009F3765"/>
    <w:rsid w:val="009F48C5"/>
    <w:rsid w:val="009F535A"/>
    <w:rsid w:val="009F584F"/>
    <w:rsid w:val="009F7441"/>
    <w:rsid w:val="009F7A29"/>
    <w:rsid w:val="009F7B35"/>
    <w:rsid w:val="00A00CE8"/>
    <w:rsid w:val="00A00FBF"/>
    <w:rsid w:val="00A0112F"/>
    <w:rsid w:val="00A013A2"/>
    <w:rsid w:val="00A01F93"/>
    <w:rsid w:val="00A01FE0"/>
    <w:rsid w:val="00A022DC"/>
    <w:rsid w:val="00A02537"/>
    <w:rsid w:val="00A02825"/>
    <w:rsid w:val="00A02C47"/>
    <w:rsid w:val="00A031FA"/>
    <w:rsid w:val="00A03934"/>
    <w:rsid w:val="00A04299"/>
    <w:rsid w:val="00A042E3"/>
    <w:rsid w:val="00A04812"/>
    <w:rsid w:val="00A05CE0"/>
    <w:rsid w:val="00A05D2B"/>
    <w:rsid w:val="00A05DAA"/>
    <w:rsid w:val="00A064C9"/>
    <w:rsid w:val="00A066F9"/>
    <w:rsid w:val="00A07044"/>
    <w:rsid w:val="00A101CE"/>
    <w:rsid w:val="00A102A0"/>
    <w:rsid w:val="00A1040F"/>
    <w:rsid w:val="00A10A36"/>
    <w:rsid w:val="00A11463"/>
    <w:rsid w:val="00A11E24"/>
    <w:rsid w:val="00A12493"/>
    <w:rsid w:val="00A1362D"/>
    <w:rsid w:val="00A136F5"/>
    <w:rsid w:val="00A13A5A"/>
    <w:rsid w:val="00A13D37"/>
    <w:rsid w:val="00A1543D"/>
    <w:rsid w:val="00A154EE"/>
    <w:rsid w:val="00A155E8"/>
    <w:rsid w:val="00A1594F"/>
    <w:rsid w:val="00A15C6D"/>
    <w:rsid w:val="00A16894"/>
    <w:rsid w:val="00A171EC"/>
    <w:rsid w:val="00A172B7"/>
    <w:rsid w:val="00A17393"/>
    <w:rsid w:val="00A213E6"/>
    <w:rsid w:val="00A21992"/>
    <w:rsid w:val="00A21AE4"/>
    <w:rsid w:val="00A21C17"/>
    <w:rsid w:val="00A21CC6"/>
    <w:rsid w:val="00A22BCB"/>
    <w:rsid w:val="00A22CF7"/>
    <w:rsid w:val="00A2477C"/>
    <w:rsid w:val="00A256B2"/>
    <w:rsid w:val="00A26201"/>
    <w:rsid w:val="00A26CE2"/>
    <w:rsid w:val="00A26EB1"/>
    <w:rsid w:val="00A2717F"/>
    <w:rsid w:val="00A274A8"/>
    <w:rsid w:val="00A27A86"/>
    <w:rsid w:val="00A30126"/>
    <w:rsid w:val="00A302F9"/>
    <w:rsid w:val="00A30627"/>
    <w:rsid w:val="00A3068E"/>
    <w:rsid w:val="00A30F77"/>
    <w:rsid w:val="00A3119B"/>
    <w:rsid w:val="00A31966"/>
    <w:rsid w:val="00A32A2B"/>
    <w:rsid w:val="00A3312A"/>
    <w:rsid w:val="00A331AA"/>
    <w:rsid w:val="00A334BF"/>
    <w:rsid w:val="00A336E2"/>
    <w:rsid w:val="00A33852"/>
    <w:rsid w:val="00A34114"/>
    <w:rsid w:val="00A3477B"/>
    <w:rsid w:val="00A34A59"/>
    <w:rsid w:val="00A364C6"/>
    <w:rsid w:val="00A368A9"/>
    <w:rsid w:val="00A36E61"/>
    <w:rsid w:val="00A36E93"/>
    <w:rsid w:val="00A37551"/>
    <w:rsid w:val="00A40C78"/>
    <w:rsid w:val="00A40E5D"/>
    <w:rsid w:val="00A4107C"/>
    <w:rsid w:val="00A41945"/>
    <w:rsid w:val="00A41DB2"/>
    <w:rsid w:val="00A43051"/>
    <w:rsid w:val="00A43EC3"/>
    <w:rsid w:val="00A448C8"/>
    <w:rsid w:val="00A44A05"/>
    <w:rsid w:val="00A45076"/>
    <w:rsid w:val="00A457FF"/>
    <w:rsid w:val="00A45854"/>
    <w:rsid w:val="00A45997"/>
    <w:rsid w:val="00A45E00"/>
    <w:rsid w:val="00A4650D"/>
    <w:rsid w:val="00A4671F"/>
    <w:rsid w:val="00A46B66"/>
    <w:rsid w:val="00A46F67"/>
    <w:rsid w:val="00A47A42"/>
    <w:rsid w:val="00A501D1"/>
    <w:rsid w:val="00A5082B"/>
    <w:rsid w:val="00A5163A"/>
    <w:rsid w:val="00A51E35"/>
    <w:rsid w:val="00A52170"/>
    <w:rsid w:val="00A53138"/>
    <w:rsid w:val="00A5327A"/>
    <w:rsid w:val="00A53B57"/>
    <w:rsid w:val="00A5434C"/>
    <w:rsid w:val="00A54F96"/>
    <w:rsid w:val="00A55307"/>
    <w:rsid w:val="00A555D1"/>
    <w:rsid w:val="00A57B45"/>
    <w:rsid w:val="00A57CAD"/>
    <w:rsid w:val="00A60E22"/>
    <w:rsid w:val="00A616AA"/>
    <w:rsid w:val="00A62E16"/>
    <w:rsid w:val="00A630DB"/>
    <w:rsid w:val="00A63467"/>
    <w:rsid w:val="00A63693"/>
    <w:rsid w:val="00A636F2"/>
    <w:rsid w:val="00A639EC"/>
    <w:rsid w:val="00A643C1"/>
    <w:rsid w:val="00A645B2"/>
    <w:rsid w:val="00A6501C"/>
    <w:rsid w:val="00A65089"/>
    <w:rsid w:val="00A65138"/>
    <w:rsid w:val="00A652E8"/>
    <w:rsid w:val="00A658CE"/>
    <w:rsid w:val="00A65DD7"/>
    <w:rsid w:val="00A66184"/>
    <w:rsid w:val="00A67124"/>
    <w:rsid w:val="00A67CB1"/>
    <w:rsid w:val="00A67EAB"/>
    <w:rsid w:val="00A67EBF"/>
    <w:rsid w:val="00A7000C"/>
    <w:rsid w:val="00A71B28"/>
    <w:rsid w:val="00A72307"/>
    <w:rsid w:val="00A72C40"/>
    <w:rsid w:val="00A7332D"/>
    <w:rsid w:val="00A73C68"/>
    <w:rsid w:val="00A74218"/>
    <w:rsid w:val="00A74B97"/>
    <w:rsid w:val="00A74F89"/>
    <w:rsid w:val="00A76848"/>
    <w:rsid w:val="00A76A4F"/>
    <w:rsid w:val="00A76C01"/>
    <w:rsid w:val="00A77B15"/>
    <w:rsid w:val="00A77E0B"/>
    <w:rsid w:val="00A80936"/>
    <w:rsid w:val="00A80DB0"/>
    <w:rsid w:val="00A81244"/>
    <w:rsid w:val="00A81458"/>
    <w:rsid w:val="00A81501"/>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71A4"/>
    <w:rsid w:val="00A8767B"/>
    <w:rsid w:val="00A903FB"/>
    <w:rsid w:val="00A90540"/>
    <w:rsid w:val="00A91A45"/>
    <w:rsid w:val="00A924D2"/>
    <w:rsid w:val="00A93804"/>
    <w:rsid w:val="00A94378"/>
    <w:rsid w:val="00A947AD"/>
    <w:rsid w:val="00A94894"/>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AF9"/>
    <w:rsid w:val="00AA2F8E"/>
    <w:rsid w:val="00AA3A9D"/>
    <w:rsid w:val="00AA4297"/>
    <w:rsid w:val="00AA4724"/>
    <w:rsid w:val="00AA4A36"/>
    <w:rsid w:val="00AA510F"/>
    <w:rsid w:val="00AA5192"/>
    <w:rsid w:val="00AA52DD"/>
    <w:rsid w:val="00AA52FB"/>
    <w:rsid w:val="00AA5AC2"/>
    <w:rsid w:val="00AA6CF5"/>
    <w:rsid w:val="00AA7610"/>
    <w:rsid w:val="00AB0867"/>
    <w:rsid w:val="00AB10E8"/>
    <w:rsid w:val="00AB1D0C"/>
    <w:rsid w:val="00AB2449"/>
    <w:rsid w:val="00AB2C01"/>
    <w:rsid w:val="00AB2DB1"/>
    <w:rsid w:val="00AB362A"/>
    <w:rsid w:val="00AB444C"/>
    <w:rsid w:val="00AB4B64"/>
    <w:rsid w:val="00AB5B26"/>
    <w:rsid w:val="00AB647E"/>
    <w:rsid w:val="00AB6A10"/>
    <w:rsid w:val="00AB6AC5"/>
    <w:rsid w:val="00AB6C8A"/>
    <w:rsid w:val="00AB73D0"/>
    <w:rsid w:val="00AB7A45"/>
    <w:rsid w:val="00AC011D"/>
    <w:rsid w:val="00AC0408"/>
    <w:rsid w:val="00AC0F10"/>
    <w:rsid w:val="00AC112C"/>
    <w:rsid w:val="00AC1639"/>
    <w:rsid w:val="00AC27E2"/>
    <w:rsid w:val="00AC2BC0"/>
    <w:rsid w:val="00AC3611"/>
    <w:rsid w:val="00AC3A8C"/>
    <w:rsid w:val="00AC51FC"/>
    <w:rsid w:val="00AC60A6"/>
    <w:rsid w:val="00AC65E7"/>
    <w:rsid w:val="00AC6CD5"/>
    <w:rsid w:val="00AC6D80"/>
    <w:rsid w:val="00AC73BF"/>
    <w:rsid w:val="00AC74D0"/>
    <w:rsid w:val="00AC7E2D"/>
    <w:rsid w:val="00AD0068"/>
    <w:rsid w:val="00AD01EE"/>
    <w:rsid w:val="00AD0374"/>
    <w:rsid w:val="00AD0483"/>
    <w:rsid w:val="00AD05D3"/>
    <w:rsid w:val="00AD0758"/>
    <w:rsid w:val="00AD0C32"/>
    <w:rsid w:val="00AD0EB1"/>
    <w:rsid w:val="00AD161A"/>
    <w:rsid w:val="00AD1EB2"/>
    <w:rsid w:val="00AD358D"/>
    <w:rsid w:val="00AD382E"/>
    <w:rsid w:val="00AD3B4D"/>
    <w:rsid w:val="00AD406C"/>
    <w:rsid w:val="00AD44A7"/>
    <w:rsid w:val="00AD45A9"/>
    <w:rsid w:val="00AD4F42"/>
    <w:rsid w:val="00AD6CAB"/>
    <w:rsid w:val="00AD6CFC"/>
    <w:rsid w:val="00AD779D"/>
    <w:rsid w:val="00AD7FF1"/>
    <w:rsid w:val="00AE0793"/>
    <w:rsid w:val="00AE0896"/>
    <w:rsid w:val="00AE1712"/>
    <w:rsid w:val="00AE245D"/>
    <w:rsid w:val="00AE251D"/>
    <w:rsid w:val="00AE2B40"/>
    <w:rsid w:val="00AE3076"/>
    <w:rsid w:val="00AE38AA"/>
    <w:rsid w:val="00AE391A"/>
    <w:rsid w:val="00AE3F2E"/>
    <w:rsid w:val="00AE3F5C"/>
    <w:rsid w:val="00AE41C4"/>
    <w:rsid w:val="00AE4D0A"/>
    <w:rsid w:val="00AE4EF0"/>
    <w:rsid w:val="00AE519F"/>
    <w:rsid w:val="00AE56F6"/>
    <w:rsid w:val="00AE6124"/>
    <w:rsid w:val="00AE6B4D"/>
    <w:rsid w:val="00AE73FF"/>
    <w:rsid w:val="00AE7684"/>
    <w:rsid w:val="00AE7F93"/>
    <w:rsid w:val="00AF096E"/>
    <w:rsid w:val="00AF1033"/>
    <w:rsid w:val="00AF13E5"/>
    <w:rsid w:val="00AF1D2A"/>
    <w:rsid w:val="00AF1D30"/>
    <w:rsid w:val="00AF1F76"/>
    <w:rsid w:val="00AF30A5"/>
    <w:rsid w:val="00AF3610"/>
    <w:rsid w:val="00AF4396"/>
    <w:rsid w:val="00AF50C1"/>
    <w:rsid w:val="00AF54CE"/>
    <w:rsid w:val="00AF5EF2"/>
    <w:rsid w:val="00AF61E9"/>
    <w:rsid w:val="00AF659D"/>
    <w:rsid w:val="00AF6666"/>
    <w:rsid w:val="00B00D0F"/>
    <w:rsid w:val="00B028AE"/>
    <w:rsid w:val="00B03B53"/>
    <w:rsid w:val="00B03C68"/>
    <w:rsid w:val="00B03D12"/>
    <w:rsid w:val="00B03F73"/>
    <w:rsid w:val="00B051BF"/>
    <w:rsid w:val="00B057CE"/>
    <w:rsid w:val="00B059CC"/>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F7"/>
    <w:rsid w:val="00B143AF"/>
    <w:rsid w:val="00B14AE2"/>
    <w:rsid w:val="00B14B01"/>
    <w:rsid w:val="00B14D80"/>
    <w:rsid w:val="00B159DE"/>
    <w:rsid w:val="00B15A49"/>
    <w:rsid w:val="00B15DBA"/>
    <w:rsid w:val="00B15E9C"/>
    <w:rsid w:val="00B16455"/>
    <w:rsid w:val="00B16AB6"/>
    <w:rsid w:val="00B16FFA"/>
    <w:rsid w:val="00B1704B"/>
    <w:rsid w:val="00B22F87"/>
    <w:rsid w:val="00B234F5"/>
    <w:rsid w:val="00B23DEC"/>
    <w:rsid w:val="00B240C0"/>
    <w:rsid w:val="00B242A0"/>
    <w:rsid w:val="00B243FF"/>
    <w:rsid w:val="00B254C2"/>
    <w:rsid w:val="00B260E2"/>
    <w:rsid w:val="00B27BDF"/>
    <w:rsid w:val="00B30249"/>
    <w:rsid w:val="00B30355"/>
    <w:rsid w:val="00B30460"/>
    <w:rsid w:val="00B30A5A"/>
    <w:rsid w:val="00B31023"/>
    <w:rsid w:val="00B32ECC"/>
    <w:rsid w:val="00B3323B"/>
    <w:rsid w:val="00B34102"/>
    <w:rsid w:val="00B348B8"/>
    <w:rsid w:val="00B3715A"/>
    <w:rsid w:val="00B377FF"/>
    <w:rsid w:val="00B407D7"/>
    <w:rsid w:val="00B40843"/>
    <w:rsid w:val="00B40ECE"/>
    <w:rsid w:val="00B42053"/>
    <w:rsid w:val="00B420CC"/>
    <w:rsid w:val="00B42228"/>
    <w:rsid w:val="00B42721"/>
    <w:rsid w:val="00B4287A"/>
    <w:rsid w:val="00B42A6F"/>
    <w:rsid w:val="00B42F74"/>
    <w:rsid w:val="00B43164"/>
    <w:rsid w:val="00B433AD"/>
    <w:rsid w:val="00B43649"/>
    <w:rsid w:val="00B43ED0"/>
    <w:rsid w:val="00B461A1"/>
    <w:rsid w:val="00B46D95"/>
    <w:rsid w:val="00B47785"/>
    <w:rsid w:val="00B47A65"/>
    <w:rsid w:val="00B47ECB"/>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B3F"/>
    <w:rsid w:val="00B56D8A"/>
    <w:rsid w:val="00B57A81"/>
    <w:rsid w:val="00B61887"/>
    <w:rsid w:val="00B618E7"/>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00C"/>
    <w:rsid w:val="00B70A99"/>
    <w:rsid w:val="00B71781"/>
    <w:rsid w:val="00B718DE"/>
    <w:rsid w:val="00B72C63"/>
    <w:rsid w:val="00B7368F"/>
    <w:rsid w:val="00B73CBD"/>
    <w:rsid w:val="00B74584"/>
    <w:rsid w:val="00B755AC"/>
    <w:rsid w:val="00B75A1D"/>
    <w:rsid w:val="00B75BCC"/>
    <w:rsid w:val="00B75F30"/>
    <w:rsid w:val="00B75F79"/>
    <w:rsid w:val="00B76ED1"/>
    <w:rsid w:val="00B77B13"/>
    <w:rsid w:val="00B80206"/>
    <w:rsid w:val="00B832D8"/>
    <w:rsid w:val="00B8381C"/>
    <w:rsid w:val="00B840AA"/>
    <w:rsid w:val="00B84558"/>
    <w:rsid w:val="00B84777"/>
    <w:rsid w:val="00B8498F"/>
    <w:rsid w:val="00B86858"/>
    <w:rsid w:val="00B875E7"/>
    <w:rsid w:val="00B90026"/>
    <w:rsid w:val="00B90269"/>
    <w:rsid w:val="00B91115"/>
    <w:rsid w:val="00B913B5"/>
    <w:rsid w:val="00B91508"/>
    <w:rsid w:val="00B9170D"/>
    <w:rsid w:val="00B919A0"/>
    <w:rsid w:val="00B91DB9"/>
    <w:rsid w:val="00B922D4"/>
    <w:rsid w:val="00B93817"/>
    <w:rsid w:val="00B93B1E"/>
    <w:rsid w:val="00B93EC9"/>
    <w:rsid w:val="00B940D4"/>
    <w:rsid w:val="00B942C7"/>
    <w:rsid w:val="00B942FC"/>
    <w:rsid w:val="00B94A2C"/>
    <w:rsid w:val="00B956B4"/>
    <w:rsid w:val="00B95A6A"/>
    <w:rsid w:val="00B96D01"/>
    <w:rsid w:val="00B96D6C"/>
    <w:rsid w:val="00B96DEB"/>
    <w:rsid w:val="00B96F42"/>
    <w:rsid w:val="00B9755D"/>
    <w:rsid w:val="00B97E85"/>
    <w:rsid w:val="00BA04BF"/>
    <w:rsid w:val="00BA0C07"/>
    <w:rsid w:val="00BA0EFB"/>
    <w:rsid w:val="00BA1614"/>
    <w:rsid w:val="00BA21D1"/>
    <w:rsid w:val="00BA354A"/>
    <w:rsid w:val="00BA370C"/>
    <w:rsid w:val="00BA3763"/>
    <w:rsid w:val="00BA3E9E"/>
    <w:rsid w:val="00BA4429"/>
    <w:rsid w:val="00BA45C1"/>
    <w:rsid w:val="00BA46C8"/>
    <w:rsid w:val="00BA49AF"/>
    <w:rsid w:val="00BA4A6D"/>
    <w:rsid w:val="00BA5085"/>
    <w:rsid w:val="00BA5DFC"/>
    <w:rsid w:val="00BA6350"/>
    <w:rsid w:val="00BA63A1"/>
    <w:rsid w:val="00BA7254"/>
    <w:rsid w:val="00BA772A"/>
    <w:rsid w:val="00BA7EED"/>
    <w:rsid w:val="00BB0887"/>
    <w:rsid w:val="00BB1281"/>
    <w:rsid w:val="00BB153B"/>
    <w:rsid w:val="00BB1F2A"/>
    <w:rsid w:val="00BB20C7"/>
    <w:rsid w:val="00BB2972"/>
    <w:rsid w:val="00BB29D1"/>
    <w:rsid w:val="00BB314A"/>
    <w:rsid w:val="00BB3BBF"/>
    <w:rsid w:val="00BB3C87"/>
    <w:rsid w:val="00BB5098"/>
    <w:rsid w:val="00BB64AC"/>
    <w:rsid w:val="00BB6893"/>
    <w:rsid w:val="00BB6D22"/>
    <w:rsid w:val="00BC042A"/>
    <w:rsid w:val="00BC0598"/>
    <w:rsid w:val="00BC0C3E"/>
    <w:rsid w:val="00BC1012"/>
    <w:rsid w:val="00BC1BCD"/>
    <w:rsid w:val="00BC1C20"/>
    <w:rsid w:val="00BC22F0"/>
    <w:rsid w:val="00BC2921"/>
    <w:rsid w:val="00BC29CD"/>
    <w:rsid w:val="00BC29EA"/>
    <w:rsid w:val="00BC34EB"/>
    <w:rsid w:val="00BC4323"/>
    <w:rsid w:val="00BC44C4"/>
    <w:rsid w:val="00BC4DF5"/>
    <w:rsid w:val="00BC5CFC"/>
    <w:rsid w:val="00BC7953"/>
    <w:rsid w:val="00BD0B7D"/>
    <w:rsid w:val="00BD12E7"/>
    <w:rsid w:val="00BD1803"/>
    <w:rsid w:val="00BD1C50"/>
    <w:rsid w:val="00BD2078"/>
    <w:rsid w:val="00BD3925"/>
    <w:rsid w:val="00BD3A86"/>
    <w:rsid w:val="00BD4542"/>
    <w:rsid w:val="00BD466F"/>
    <w:rsid w:val="00BD5AD0"/>
    <w:rsid w:val="00BD5DA9"/>
    <w:rsid w:val="00BD6B2D"/>
    <w:rsid w:val="00BD6F78"/>
    <w:rsid w:val="00BD70BD"/>
    <w:rsid w:val="00BD719D"/>
    <w:rsid w:val="00BE00E9"/>
    <w:rsid w:val="00BE0172"/>
    <w:rsid w:val="00BE0258"/>
    <w:rsid w:val="00BE0271"/>
    <w:rsid w:val="00BE0B02"/>
    <w:rsid w:val="00BE0EA6"/>
    <w:rsid w:val="00BE1447"/>
    <w:rsid w:val="00BE2148"/>
    <w:rsid w:val="00BE215D"/>
    <w:rsid w:val="00BE37E5"/>
    <w:rsid w:val="00BE3C1E"/>
    <w:rsid w:val="00BE3C71"/>
    <w:rsid w:val="00BE4DE1"/>
    <w:rsid w:val="00BE4E01"/>
    <w:rsid w:val="00BE5587"/>
    <w:rsid w:val="00BE57DD"/>
    <w:rsid w:val="00BE611E"/>
    <w:rsid w:val="00BE76CB"/>
    <w:rsid w:val="00BE7A15"/>
    <w:rsid w:val="00BE7A59"/>
    <w:rsid w:val="00BF0A1F"/>
    <w:rsid w:val="00BF0AF1"/>
    <w:rsid w:val="00BF0D0D"/>
    <w:rsid w:val="00BF1809"/>
    <w:rsid w:val="00BF182B"/>
    <w:rsid w:val="00BF1A41"/>
    <w:rsid w:val="00BF1CFC"/>
    <w:rsid w:val="00BF2190"/>
    <w:rsid w:val="00BF2598"/>
    <w:rsid w:val="00BF2F22"/>
    <w:rsid w:val="00BF3432"/>
    <w:rsid w:val="00BF39F9"/>
    <w:rsid w:val="00BF3A58"/>
    <w:rsid w:val="00BF3C0D"/>
    <w:rsid w:val="00BF3FDF"/>
    <w:rsid w:val="00BF4F68"/>
    <w:rsid w:val="00BF50B5"/>
    <w:rsid w:val="00BF5F22"/>
    <w:rsid w:val="00BF685D"/>
    <w:rsid w:val="00BF6A0D"/>
    <w:rsid w:val="00BF71C6"/>
    <w:rsid w:val="00BF72CA"/>
    <w:rsid w:val="00BF7CD8"/>
    <w:rsid w:val="00C00849"/>
    <w:rsid w:val="00C0119B"/>
    <w:rsid w:val="00C02A11"/>
    <w:rsid w:val="00C02BE9"/>
    <w:rsid w:val="00C02CE1"/>
    <w:rsid w:val="00C0309A"/>
    <w:rsid w:val="00C03141"/>
    <w:rsid w:val="00C035B9"/>
    <w:rsid w:val="00C036F3"/>
    <w:rsid w:val="00C03923"/>
    <w:rsid w:val="00C04B21"/>
    <w:rsid w:val="00C04C7E"/>
    <w:rsid w:val="00C0563C"/>
    <w:rsid w:val="00C058DD"/>
    <w:rsid w:val="00C06136"/>
    <w:rsid w:val="00C069D8"/>
    <w:rsid w:val="00C06D59"/>
    <w:rsid w:val="00C06DC5"/>
    <w:rsid w:val="00C07736"/>
    <w:rsid w:val="00C07BAE"/>
    <w:rsid w:val="00C07C15"/>
    <w:rsid w:val="00C07D28"/>
    <w:rsid w:val="00C1064A"/>
    <w:rsid w:val="00C13270"/>
    <w:rsid w:val="00C1346A"/>
    <w:rsid w:val="00C13818"/>
    <w:rsid w:val="00C14BA3"/>
    <w:rsid w:val="00C150AD"/>
    <w:rsid w:val="00C156BF"/>
    <w:rsid w:val="00C16210"/>
    <w:rsid w:val="00C166C1"/>
    <w:rsid w:val="00C16FFA"/>
    <w:rsid w:val="00C17602"/>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52B"/>
    <w:rsid w:val="00C25765"/>
    <w:rsid w:val="00C25DC1"/>
    <w:rsid w:val="00C25ECF"/>
    <w:rsid w:val="00C25FA6"/>
    <w:rsid w:val="00C2601D"/>
    <w:rsid w:val="00C2685E"/>
    <w:rsid w:val="00C2687B"/>
    <w:rsid w:val="00C26B59"/>
    <w:rsid w:val="00C26F08"/>
    <w:rsid w:val="00C27CB3"/>
    <w:rsid w:val="00C27E89"/>
    <w:rsid w:val="00C30485"/>
    <w:rsid w:val="00C309E1"/>
    <w:rsid w:val="00C30A95"/>
    <w:rsid w:val="00C31397"/>
    <w:rsid w:val="00C3180A"/>
    <w:rsid w:val="00C325C9"/>
    <w:rsid w:val="00C33493"/>
    <w:rsid w:val="00C34B06"/>
    <w:rsid w:val="00C35384"/>
    <w:rsid w:val="00C35CA3"/>
    <w:rsid w:val="00C35DDE"/>
    <w:rsid w:val="00C36039"/>
    <w:rsid w:val="00C36163"/>
    <w:rsid w:val="00C36180"/>
    <w:rsid w:val="00C40212"/>
    <w:rsid w:val="00C41071"/>
    <w:rsid w:val="00C41B9B"/>
    <w:rsid w:val="00C42B7B"/>
    <w:rsid w:val="00C43145"/>
    <w:rsid w:val="00C43441"/>
    <w:rsid w:val="00C450C9"/>
    <w:rsid w:val="00C45DB2"/>
    <w:rsid w:val="00C46745"/>
    <w:rsid w:val="00C46F16"/>
    <w:rsid w:val="00C47C07"/>
    <w:rsid w:val="00C47D1C"/>
    <w:rsid w:val="00C501AA"/>
    <w:rsid w:val="00C50961"/>
    <w:rsid w:val="00C50979"/>
    <w:rsid w:val="00C512B1"/>
    <w:rsid w:val="00C517BE"/>
    <w:rsid w:val="00C5294A"/>
    <w:rsid w:val="00C53CF7"/>
    <w:rsid w:val="00C53E92"/>
    <w:rsid w:val="00C54128"/>
    <w:rsid w:val="00C5419F"/>
    <w:rsid w:val="00C55F0D"/>
    <w:rsid w:val="00C56336"/>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AC2"/>
    <w:rsid w:val="00C660A2"/>
    <w:rsid w:val="00C66219"/>
    <w:rsid w:val="00C66531"/>
    <w:rsid w:val="00C66E8D"/>
    <w:rsid w:val="00C66FD2"/>
    <w:rsid w:val="00C67306"/>
    <w:rsid w:val="00C6770E"/>
    <w:rsid w:val="00C67A04"/>
    <w:rsid w:val="00C67D84"/>
    <w:rsid w:val="00C71F7B"/>
    <w:rsid w:val="00C7255D"/>
    <w:rsid w:val="00C7322E"/>
    <w:rsid w:val="00C73777"/>
    <w:rsid w:val="00C73E3E"/>
    <w:rsid w:val="00C74DE6"/>
    <w:rsid w:val="00C74EAD"/>
    <w:rsid w:val="00C75933"/>
    <w:rsid w:val="00C75D0A"/>
    <w:rsid w:val="00C76680"/>
    <w:rsid w:val="00C77C8A"/>
    <w:rsid w:val="00C77D06"/>
    <w:rsid w:val="00C80FC3"/>
    <w:rsid w:val="00C81881"/>
    <w:rsid w:val="00C81927"/>
    <w:rsid w:val="00C8194F"/>
    <w:rsid w:val="00C81E36"/>
    <w:rsid w:val="00C82331"/>
    <w:rsid w:val="00C84711"/>
    <w:rsid w:val="00C84A03"/>
    <w:rsid w:val="00C85723"/>
    <w:rsid w:val="00C85E07"/>
    <w:rsid w:val="00C8628F"/>
    <w:rsid w:val="00C86604"/>
    <w:rsid w:val="00C867BB"/>
    <w:rsid w:val="00C90597"/>
    <w:rsid w:val="00C90AD6"/>
    <w:rsid w:val="00C90BF4"/>
    <w:rsid w:val="00C90E41"/>
    <w:rsid w:val="00C91632"/>
    <w:rsid w:val="00C9277D"/>
    <w:rsid w:val="00C92B09"/>
    <w:rsid w:val="00C92FAE"/>
    <w:rsid w:val="00C93A35"/>
    <w:rsid w:val="00C9486A"/>
    <w:rsid w:val="00C963EA"/>
    <w:rsid w:val="00C969EE"/>
    <w:rsid w:val="00C96A1F"/>
    <w:rsid w:val="00C96E2E"/>
    <w:rsid w:val="00C977E1"/>
    <w:rsid w:val="00CA1649"/>
    <w:rsid w:val="00CA2193"/>
    <w:rsid w:val="00CA38F0"/>
    <w:rsid w:val="00CA3D0A"/>
    <w:rsid w:val="00CA46C8"/>
    <w:rsid w:val="00CA4840"/>
    <w:rsid w:val="00CA52AB"/>
    <w:rsid w:val="00CA564E"/>
    <w:rsid w:val="00CA56A3"/>
    <w:rsid w:val="00CA5AD0"/>
    <w:rsid w:val="00CA64CD"/>
    <w:rsid w:val="00CA6571"/>
    <w:rsid w:val="00CA65D3"/>
    <w:rsid w:val="00CB040A"/>
    <w:rsid w:val="00CB0E29"/>
    <w:rsid w:val="00CB17FA"/>
    <w:rsid w:val="00CB1902"/>
    <w:rsid w:val="00CB1AED"/>
    <w:rsid w:val="00CB2E57"/>
    <w:rsid w:val="00CB2F1E"/>
    <w:rsid w:val="00CB46BE"/>
    <w:rsid w:val="00CB5662"/>
    <w:rsid w:val="00CB67F0"/>
    <w:rsid w:val="00CC0C38"/>
    <w:rsid w:val="00CC1259"/>
    <w:rsid w:val="00CC153F"/>
    <w:rsid w:val="00CC197F"/>
    <w:rsid w:val="00CC210C"/>
    <w:rsid w:val="00CC2999"/>
    <w:rsid w:val="00CC39E2"/>
    <w:rsid w:val="00CC3E85"/>
    <w:rsid w:val="00CC5129"/>
    <w:rsid w:val="00CC577A"/>
    <w:rsid w:val="00CC5DE5"/>
    <w:rsid w:val="00CC5F29"/>
    <w:rsid w:val="00CC6707"/>
    <w:rsid w:val="00CC729E"/>
    <w:rsid w:val="00CC7E42"/>
    <w:rsid w:val="00CD0B56"/>
    <w:rsid w:val="00CD0D8B"/>
    <w:rsid w:val="00CD1301"/>
    <w:rsid w:val="00CD1CFE"/>
    <w:rsid w:val="00CD1E63"/>
    <w:rsid w:val="00CD2007"/>
    <w:rsid w:val="00CD2BAD"/>
    <w:rsid w:val="00CD31FF"/>
    <w:rsid w:val="00CD368F"/>
    <w:rsid w:val="00CD3729"/>
    <w:rsid w:val="00CD3BF2"/>
    <w:rsid w:val="00CD403A"/>
    <w:rsid w:val="00CD4573"/>
    <w:rsid w:val="00CD508E"/>
    <w:rsid w:val="00CD5846"/>
    <w:rsid w:val="00CD59C8"/>
    <w:rsid w:val="00CD5E7B"/>
    <w:rsid w:val="00CD68C8"/>
    <w:rsid w:val="00CD6A47"/>
    <w:rsid w:val="00CD6A87"/>
    <w:rsid w:val="00CD6F6F"/>
    <w:rsid w:val="00CD7749"/>
    <w:rsid w:val="00CD7B9A"/>
    <w:rsid w:val="00CE0340"/>
    <w:rsid w:val="00CE0643"/>
    <w:rsid w:val="00CE1C25"/>
    <w:rsid w:val="00CE2293"/>
    <w:rsid w:val="00CE2DE3"/>
    <w:rsid w:val="00CE3448"/>
    <w:rsid w:val="00CE34D2"/>
    <w:rsid w:val="00CE35C0"/>
    <w:rsid w:val="00CE4852"/>
    <w:rsid w:val="00CE656C"/>
    <w:rsid w:val="00CE7702"/>
    <w:rsid w:val="00CF1386"/>
    <w:rsid w:val="00CF1C54"/>
    <w:rsid w:val="00CF1F53"/>
    <w:rsid w:val="00CF2169"/>
    <w:rsid w:val="00CF2A56"/>
    <w:rsid w:val="00CF2BD1"/>
    <w:rsid w:val="00CF33D0"/>
    <w:rsid w:val="00CF388F"/>
    <w:rsid w:val="00CF3D3C"/>
    <w:rsid w:val="00CF4F89"/>
    <w:rsid w:val="00CF5BB1"/>
    <w:rsid w:val="00CF6239"/>
    <w:rsid w:val="00CF64EB"/>
    <w:rsid w:val="00CF67D9"/>
    <w:rsid w:val="00CF758B"/>
    <w:rsid w:val="00D020F2"/>
    <w:rsid w:val="00D021A3"/>
    <w:rsid w:val="00D02863"/>
    <w:rsid w:val="00D028F2"/>
    <w:rsid w:val="00D03772"/>
    <w:rsid w:val="00D03AD3"/>
    <w:rsid w:val="00D03F6B"/>
    <w:rsid w:val="00D04F40"/>
    <w:rsid w:val="00D05B72"/>
    <w:rsid w:val="00D05BF3"/>
    <w:rsid w:val="00D06E3C"/>
    <w:rsid w:val="00D102D5"/>
    <w:rsid w:val="00D10CBA"/>
    <w:rsid w:val="00D1108C"/>
    <w:rsid w:val="00D11159"/>
    <w:rsid w:val="00D11AB2"/>
    <w:rsid w:val="00D1245B"/>
    <w:rsid w:val="00D128DB"/>
    <w:rsid w:val="00D1293C"/>
    <w:rsid w:val="00D12F96"/>
    <w:rsid w:val="00D13DC5"/>
    <w:rsid w:val="00D16124"/>
    <w:rsid w:val="00D1709C"/>
    <w:rsid w:val="00D17AEB"/>
    <w:rsid w:val="00D2083A"/>
    <w:rsid w:val="00D226BA"/>
    <w:rsid w:val="00D22D42"/>
    <w:rsid w:val="00D23ABD"/>
    <w:rsid w:val="00D23CBA"/>
    <w:rsid w:val="00D24B5E"/>
    <w:rsid w:val="00D25E98"/>
    <w:rsid w:val="00D27023"/>
    <w:rsid w:val="00D27330"/>
    <w:rsid w:val="00D31576"/>
    <w:rsid w:val="00D316C0"/>
    <w:rsid w:val="00D319C5"/>
    <w:rsid w:val="00D31AC9"/>
    <w:rsid w:val="00D328BD"/>
    <w:rsid w:val="00D33058"/>
    <w:rsid w:val="00D3309C"/>
    <w:rsid w:val="00D34E98"/>
    <w:rsid w:val="00D35C5E"/>
    <w:rsid w:val="00D3685D"/>
    <w:rsid w:val="00D3763B"/>
    <w:rsid w:val="00D37ACD"/>
    <w:rsid w:val="00D404CF"/>
    <w:rsid w:val="00D40A4C"/>
    <w:rsid w:val="00D41361"/>
    <w:rsid w:val="00D41511"/>
    <w:rsid w:val="00D41693"/>
    <w:rsid w:val="00D416F4"/>
    <w:rsid w:val="00D427CB"/>
    <w:rsid w:val="00D42BC1"/>
    <w:rsid w:val="00D44AD8"/>
    <w:rsid w:val="00D451B2"/>
    <w:rsid w:val="00D451FA"/>
    <w:rsid w:val="00D45229"/>
    <w:rsid w:val="00D4582D"/>
    <w:rsid w:val="00D464FD"/>
    <w:rsid w:val="00D4790F"/>
    <w:rsid w:val="00D47DB5"/>
    <w:rsid w:val="00D47DCF"/>
    <w:rsid w:val="00D50361"/>
    <w:rsid w:val="00D512CF"/>
    <w:rsid w:val="00D513B7"/>
    <w:rsid w:val="00D51A5C"/>
    <w:rsid w:val="00D51EB4"/>
    <w:rsid w:val="00D52663"/>
    <w:rsid w:val="00D52DC7"/>
    <w:rsid w:val="00D52E26"/>
    <w:rsid w:val="00D539E3"/>
    <w:rsid w:val="00D53C40"/>
    <w:rsid w:val="00D53ED2"/>
    <w:rsid w:val="00D540A5"/>
    <w:rsid w:val="00D542B6"/>
    <w:rsid w:val="00D54673"/>
    <w:rsid w:val="00D5481B"/>
    <w:rsid w:val="00D54C7D"/>
    <w:rsid w:val="00D556AE"/>
    <w:rsid w:val="00D55F63"/>
    <w:rsid w:val="00D567E2"/>
    <w:rsid w:val="00D56F2D"/>
    <w:rsid w:val="00D57186"/>
    <w:rsid w:val="00D579A7"/>
    <w:rsid w:val="00D6054D"/>
    <w:rsid w:val="00D60993"/>
    <w:rsid w:val="00D60C79"/>
    <w:rsid w:val="00D60C9C"/>
    <w:rsid w:val="00D61381"/>
    <w:rsid w:val="00D61BC0"/>
    <w:rsid w:val="00D62E2C"/>
    <w:rsid w:val="00D63174"/>
    <w:rsid w:val="00D631D5"/>
    <w:rsid w:val="00D637D5"/>
    <w:rsid w:val="00D63D79"/>
    <w:rsid w:val="00D63E56"/>
    <w:rsid w:val="00D63F70"/>
    <w:rsid w:val="00D642D5"/>
    <w:rsid w:val="00D6443A"/>
    <w:rsid w:val="00D66C52"/>
    <w:rsid w:val="00D6753D"/>
    <w:rsid w:val="00D6758D"/>
    <w:rsid w:val="00D67A83"/>
    <w:rsid w:val="00D703F9"/>
    <w:rsid w:val="00D70815"/>
    <w:rsid w:val="00D70848"/>
    <w:rsid w:val="00D70C5F"/>
    <w:rsid w:val="00D70D39"/>
    <w:rsid w:val="00D70DBA"/>
    <w:rsid w:val="00D738EE"/>
    <w:rsid w:val="00D73AB5"/>
    <w:rsid w:val="00D73D6D"/>
    <w:rsid w:val="00D74C28"/>
    <w:rsid w:val="00D74EFC"/>
    <w:rsid w:val="00D74F57"/>
    <w:rsid w:val="00D750DE"/>
    <w:rsid w:val="00D7528E"/>
    <w:rsid w:val="00D75AC1"/>
    <w:rsid w:val="00D75D5A"/>
    <w:rsid w:val="00D766C3"/>
    <w:rsid w:val="00D76C9B"/>
    <w:rsid w:val="00D7768A"/>
    <w:rsid w:val="00D77910"/>
    <w:rsid w:val="00D77EB8"/>
    <w:rsid w:val="00D80F83"/>
    <w:rsid w:val="00D812E2"/>
    <w:rsid w:val="00D81358"/>
    <w:rsid w:val="00D8184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7BB"/>
    <w:rsid w:val="00D92232"/>
    <w:rsid w:val="00D92E25"/>
    <w:rsid w:val="00D93252"/>
    <w:rsid w:val="00D9396A"/>
    <w:rsid w:val="00D94756"/>
    <w:rsid w:val="00D94DF5"/>
    <w:rsid w:val="00D96119"/>
    <w:rsid w:val="00D963BB"/>
    <w:rsid w:val="00D9695F"/>
    <w:rsid w:val="00D97A83"/>
    <w:rsid w:val="00D97C27"/>
    <w:rsid w:val="00D97F80"/>
    <w:rsid w:val="00D97FAD"/>
    <w:rsid w:val="00DA01C5"/>
    <w:rsid w:val="00DA09DD"/>
    <w:rsid w:val="00DA1670"/>
    <w:rsid w:val="00DA1F5B"/>
    <w:rsid w:val="00DA2462"/>
    <w:rsid w:val="00DA25D8"/>
    <w:rsid w:val="00DA278E"/>
    <w:rsid w:val="00DA2B0B"/>
    <w:rsid w:val="00DA2E17"/>
    <w:rsid w:val="00DA390A"/>
    <w:rsid w:val="00DA638C"/>
    <w:rsid w:val="00DA70D4"/>
    <w:rsid w:val="00DA7213"/>
    <w:rsid w:val="00DA7694"/>
    <w:rsid w:val="00DA78A6"/>
    <w:rsid w:val="00DB010F"/>
    <w:rsid w:val="00DB01DF"/>
    <w:rsid w:val="00DB0C69"/>
    <w:rsid w:val="00DB1089"/>
    <w:rsid w:val="00DB10DC"/>
    <w:rsid w:val="00DB2689"/>
    <w:rsid w:val="00DB2807"/>
    <w:rsid w:val="00DB2A1B"/>
    <w:rsid w:val="00DB2E4D"/>
    <w:rsid w:val="00DB438F"/>
    <w:rsid w:val="00DB5238"/>
    <w:rsid w:val="00DB55E9"/>
    <w:rsid w:val="00DB57DD"/>
    <w:rsid w:val="00DB5859"/>
    <w:rsid w:val="00DB5B21"/>
    <w:rsid w:val="00DB5FF2"/>
    <w:rsid w:val="00DB70E7"/>
    <w:rsid w:val="00DC0D99"/>
    <w:rsid w:val="00DC10DE"/>
    <w:rsid w:val="00DC15A3"/>
    <w:rsid w:val="00DC163C"/>
    <w:rsid w:val="00DC1ED0"/>
    <w:rsid w:val="00DC246C"/>
    <w:rsid w:val="00DC273C"/>
    <w:rsid w:val="00DC2E82"/>
    <w:rsid w:val="00DC2FEB"/>
    <w:rsid w:val="00DC3301"/>
    <w:rsid w:val="00DC37CA"/>
    <w:rsid w:val="00DC3C20"/>
    <w:rsid w:val="00DC48F0"/>
    <w:rsid w:val="00DC49E4"/>
    <w:rsid w:val="00DC4FAA"/>
    <w:rsid w:val="00DC59EB"/>
    <w:rsid w:val="00DC5F6A"/>
    <w:rsid w:val="00DC608A"/>
    <w:rsid w:val="00DC613E"/>
    <w:rsid w:val="00DC65F1"/>
    <w:rsid w:val="00DC7172"/>
    <w:rsid w:val="00DC73A3"/>
    <w:rsid w:val="00DC757A"/>
    <w:rsid w:val="00DD0562"/>
    <w:rsid w:val="00DD0886"/>
    <w:rsid w:val="00DD1B1C"/>
    <w:rsid w:val="00DD2475"/>
    <w:rsid w:val="00DD2781"/>
    <w:rsid w:val="00DD2F75"/>
    <w:rsid w:val="00DD2F9E"/>
    <w:rsid w:val="00DD3B2F"/>
    <w:rsid w:val="00DD46BE"/>
    <w:rsid w:val="00DD47A3"/>
    <w:rsid w:val="00DD499D"/>
    <w:rsid w:val="00DD4C66"/>
    <w:rsid w:val="00DD4F0A"/>
    <w:rsid w:val="00DD511E"/>
    <w:rsid w:val="00DD57D9"/>
    <w:rsid w:val="00DD6033"/>
    <w:rsid w:val="00DD6275"/>
    <w:rsid w:val="00DD64EF"/>
    <w:rsid w:val="00DD6D01"/>
    <w:rsid w:val="00DD7504"/>
    <w:rsid w:val="00DD7684"/>
    <w:rsid w:val="00DD7941"/>
    <w:rsid w:val="00DE03A8"/>
    <w:rsid w:val="00DE12C2"/>
    <w:rsid w:val="00DE2395"/>
    <w:rsid w:val="00DE24D9"/>
    <w:rsid w:val="00DE2BAA"/>
    <w:rsid w:val="00DE3996"/>
    <w:rsid w:val="00DE47DA"/>
    <w:rsid w:val="00DE4890"/>
    <w:rsid w:val="00DE50DD"/>
    <w:rsid w:val="00DE54DE"/>
    <w:rsid w:val="00DE5907"/>
    <w:rsid w:val="00DE6794"/>
    <w:rsid w:val="00DE6C14"/>
    <w:rsid w:val="00DE6FE1"/>
    <w:rsid w:val="00DE74F5"/>
    <w:rsid w:val="00DE7745"/>
    <w:rsid w:val="00DF07E8"/>
    <w:rsid w:val="00DF0D25"/>
    <w:rsid w:val="00DF1291"/>
    <w:rsid w:val="00DF1492"/>
    <w:rsid w:val="00DF1B50"/>
    <w:rsid w:val="00DF1B61"/>
    <w:rsid w:val="00DF3048"/>
    <w:rsid w:val="00DF343E"/>
    <w:rsid w:val="00DF36BF"/>
    <w:rsid w:val="00DF3FC2"/>
    <w:rsid w:val="00DF3FFA"/>
    <w:rsid w:val="00DF42A7"/>
    <w:rsid w:val="00DF4391"/>
    <w:rsid w:val="00DF4985"/>
    <w:rsid w:val="00DF4BD2"/>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6190"/>
    <w:rsid w:val="00E06330"/>
    <w:rsid w:val="00E0689B"/>
    <w:rsid w:val="00E06ABC"/>
    <w:rsid w:val="00E06DB2"/>
    <w:rsid w:val="00E0734A"/>
    <w:rsid w:val="00E078AA"/>
    <w:rsid w:val="00E10CE7"/>
    <w:rsid w:val="00E11E0F"/>
    <w:rsid w:val="00E1216F"/>
    <w:rsid w:val="00E12921"/>
    <w:rsid w:val="00E134EE"/>
    <w:rsid w:val="00E13649"/>
    <w:rsid w:val="00E14714"/>
    <w:rsid w:val="00E150FD"/>
    <w:rsid w:val="00E158DB"/>
    <w:rsid w:val="00E1591F"/>
    <w:rsid w:val="00E16377"/>
    <w:rsid w:val="00E1700C"/>
    <w:rsid w:val="00E17934"/>
    <w:rsid w:val="00E17AD2"/>
    <w:rsid w:val="00E17DF9"/>
    <w:rsid w:val="00E2075F"/>
    <w:rsid w:val="00E20A94"/>
    <w:rsid w:val="00E22755"/>
    <w:rsid w:val="00E227FE"/>
    <w:rsid w:val="00E2368D"/>
    <w:rsid w:val="00E238A7"/>
    <w:rsid w:val="00E23D8B"/>
    <w:rsid w:val="00E246AA"/>
    <w:rsid w:val="00E2509C"/>
    <w:rsid w:val="00E26014"/>
    <w:rsid w:val="00E26150"/>
    <w:rsid w:val="00E279A9"/>
    <w:rsid w:val="00E300B7"/>
    <w:rsid w:val="00E30177"/>
    <w:rsid w:val="00E32DE0"/>
    <w:rsid w:val="00E32E5D"/>
    <w:rsid w:val="00E32F37"/>
    <w:rsid w:val="00E33007"/>
    <w:rsid w:val="00E34122"/>
    <w:rsid w:val="00E34AC0"/>
    <w:rsid w:val="00E34F2E"/>
    <w:rsid w:val="00E37096"/>
    <w:rsid w:val="00E37A7E"/>
    <w:rsid w:val="00E37CAE"/>
    <w:rsid w:val="00E37EEE"/>
    <w:rsid w:val="00E40323"/>
    <w:rsid w:val="00E4197C"/>
    <w:rsid w:val="00E43089"/>
    <w:rsid w:val="00E4420E"/>
    <w:rsid w:val="00E443CE"/>
    <w:rsid w:val="00E44F10"/>
    <w:rsid w:val="00E45477"/>
    <w:rsid w:val="00E456B4"/>
    <w:rsid w:val="00E4582D"/>
    <w:rsid w:val="00E45A08"/>
    <w:rsid w:val="00E46A4F"/>
    <w:rsid w:val="00E471B8"/>
    <w:rsid w:val="00E50323"/>
    <w:rsid w:val="00E50882"/>
    <w:rsid w:val="00E50C75"/>
    <w:rsid w:val="00E50D5A"/>
    <w:rsid w:val="00E51895"/>
    <w:rsid w:val="00E51B4D"/>
    <w:rsid w:val="00E51F04"/>
    <w:rsid w:val="00E52A25"/>
    <w:rsid w:val="00E52CB9"/>
    <w:rsid w:val="00E52F40"/>
    <w:rsid w:val="00E53088"/>
    <w:rsid w:val="00E548EA"/>
    <w:rsid w:val="00E55045"/>
    <w:rsid w:val="00E55966"/>
    <w:rsid w:val="00E55C07"/>
    <w:rsid w:val="00E55CD5"/>
    <w:rsid w:val="00E56970"/>
    <w:rsid w:val="00E577F5"/>
    <w:rsid w:val="00E57B51"/>
    <w:rsid w:val="00E57E79"/>
    <w:rsid w:val="00E600B9"/>
    <w:rsid w:val="00E604AE"/>
    <w:rsid w:val="00E60AD6"/>
    <w:rsid w:val="00E612ED"/>
    <w:rsid w:val="00E61B05"/>
    <w:rsid w:val="00E620F2"/>
    <w:rsid w:val="00E6347B"/>
    <w:rsid w:val="00E63CA9"/>
    <w:rsid w:val="00E64075"/>
    <w:rsid w:val="00E654DC"/>
    <w:rsid w:val="00E65B8E"/>
    <w:rsid w:val="00E66022"/>
    <w:rsid w:val="00E66B52"/>
    <w:rsid w:val="00E67128"/>
    <w:rsid w:val="00E70676"/>
    <w:rsid w:val="00E70CE3"/>
    <w:rsid w:val="00E70FA5"/>
    <w:rsid w:val="00E72409"/>
    <w:rsid w:val="00E735DD"/>
    <w:rsid w:val="00E7393B"/>
    <w:rsid w:val="00E73A85"/>
    <w:rsid w:val="00E73EA5"/>
    <w:rsid w:val="00E74650"/>
    <w:rsid w:val="00E74A2F"/>
    <w:rsid w:val="00E74EE3"/>
    <w:rsid w:val="00E751E5"/>
    <w:rsid w:val="00E7680C"/>
    <w:rsid w:val="00E768C5"/>
    <w:rsid w:val="00E77259"/>
    <w:rsid w:val="00E77D6C"/>
    <w:rsid w:val="00E8082F"/>
    <w:rsid w:val="00E80DE4"/>
    <w:rsid w:val="00E80E8B"/>
    <w:rsid w:val="00E82BB6"/>
    <w:rsid w:val="00E8394A"/>
    <w:rsid w:val="00E83AC5"/>
    <w:rsid w:val="00E909E8"/>
    <w:rsid w:val="00E91A95"/>
    <w:rsid w:val="00E91D12"/>
    <w:rsid w:val="00E93001"/>
    <w:rsid w:val="00E931F6"/>
    <w:rsid w:val="00E9375C"/>
    <w:rsid w:val="00E93BFF"/>
    <w:rsid w:val="00E941C0"/>
    <w:rsid w:val="00E9429D"/>
    <w:rsid w:val="00E9466D"/>
    <w:rsid w:val="00E94829"/>
    <w:rsid w:val="00E94EE3"/>
    <w:rsid w:val="00E950C5"/>
    <w:rsid w:val="00E9535B"/>
    <w:rsid w:val="00E95406"/>
    <w:rsid w:val="00E96936"/>
    <w:rsid w:val="00E96B4D"/>
    <w:rsid w:val="00E970F6"/>
    <w:rsid w:val="00E975C6"/>
    <w:rsid w:val="00EA11CA"/>
    <w:rsid w:val="00EA1774"/>
    <w:rsid w:val="00EA1878"/>
    <w:rsid w:val="00EA1DD3"/>
    <w:rsid w:val="00EA31F2"/>
    <w:rsid w:val="00EA36B6"/>
    <w:rsid w:val="00EA388C"/>
    <w:rsid w:val="00EA4781"/>
    <w:rsid w:val="00EA58E4"/>
    <w:rsid w:val="00EA6080"/>
    <w:rsid w:val="00EA636A"/>
    <w:rsid w:val="00EA6760"/>
    <w:rsid w:val="00EA6CE0"/>
    <w:rsid w:val="00EB0434"/>
    <w:rsid w:val="00EB11F9"/>
    <w:rsid w:val="00EB19B5"/>
    <w:rsid w:val="00EB1D30"/>
    <w:rsid w:val="00EB1F2A"/>
    <w:rsid w:val="00EB26BA"/>
    <w:rsid w:val="00EB2BFC"/>
    <w:rsid w:val="00EB2EE8"/>
    <w:rsid w:val="00EB3C7A"/>
    <w:rsid w:val="00EB4060"/>
    <w:rsid w:val="00EB4769"/>
    <w:rsid w:val="00EB51BA"/>
    <w:rsid w:val="00EB5578"/>
    <w:rsid w:val="00EB6EDD"/>
    <w:rsid w:val="00EB73CF"/>
    <w:rsid w:val="00EB76DB"/>
    <w:rsid w:val="00EB7759"/>
    <w:rsid w:val="00EC0773"/>
    <w:rsid w:val="00EC0941"/>
    <w:rsid w:val="00EC0BA7"/>
    <w:rsid w:val="00EC0C40"/>
    <w:rsid w:val="00EC0D17"/>
    <w:rsid w:val="00EC0FA6"/>
    <w:rsid w:val="00EC0FDC"/>
    <w:rsid w:val="00EC1039"/>
    <w:rsid w:val="00EC2144"/>
    <w:rsid w:val="00EC21F3"/>
    <w:rsid w:val="00EC4063"/>
    <w:rsid w:val="00EC46F7"/>
    <w:rsid w:val="00EC59F7"/>
    <w:rsid w:val="00EC7243"/>
    <w:rsid w:val="00EC794D"/>
    <w:rsid w:val="00ED2167"/>
    <w:rsid w:val="00ED3419"/>
    <w:rsid w:val="00ED381B"/>
    <w:rsid w:val="00ED3984"/>
    <w:rsid w:val="00ED5228"/>
    <w:rsid w:val="00ED5CB8"/>
    <w:rsid w:val="00ED6F19"/>
    <w:rsid w:val="00ED75A9"/>
    <w:rsid w:val="00ED75F1"/>
    <w:rsid w:val="00EE0351"/>
    <w:rsid w:val="00EE1237"/>
    <w:rsid w:val="00EE1F10"/>
    <w:rsid w:val="00EE292E"/>
    <w:rsid w:val="00EE3234"/>
    <w:rsid w:val="00EE38C2"/>
    <w:rsid w:val="00EE3F29"/>
    <w:rsid w:val="00EE4195"/>
    <w:rsid w:val="00EE4387"/>
    <w:rsid w:val="00EE4556"/>
    <w:rsid w:val="00EE47E6"/>
    <w:rsid w:val="00EE5C15"/>
    <w:rsid w:val="00EE5E1B"/>
    <w:rsid w:val="00EE5ED4"/>
    <w:rsid w:val="00EF000F"/>
    <w:rsid w:val="00EF105A"/>
    <w:rsid w:val="00EF10CD"/>
    <w:rsid w:val="00EF1271"/>
    <w:rsid w:val="00EF13E6"/>
    <w:rsid w:val="00EF1E9D"/>
    <w:rsid w:val="00EF29E5"/>
    <w:rsid w:val="00EF37F5"/>
    <w:rsid w:val="00EF48A5"/>
    <w:rsid w:val="00EF4FA5"/>
    <w:rsid w:val="00EF56A5"/>
    <w:rsid w:val="00EF56C4"/>
    <w:rsid w:val="00EF63E3"/>
    <w:rsid w:val="00EF6ADC"/>
    <w:rsid w:val="00EF6C67"/>
    <w:rsid w:val="00EF79EE"/>
    <w:rsid w:val="00F00AA5"/>
    <w:rsid w:val="00F01286"/>
    <w:rsid w:val="00F012C9"/>
    <w:rsid w:val="00F0142B"/>
    <w:rsid w:val="00F01700"/>
    <w:rsid w:val="00F037E0"/>
    <w:rsid w:val="00F03DA0"/>
    <w:rsid w:val="00F0462D"/>
    <w:rsid w:val="00F048E8"/>
    <w:rsid w:val="00F049AA"/>
    <w:rsid w:val="00F06377"/>
    <w:rsid w:val="00F06EB8"/>
    <w:rsid w:val="00F07245"/>
    <w:rsid w:val="00F076D9"/>
    <w:rsid w:val="00F10015"/>
    <w:rsid w:val="00F10509"/>
    <w:rsid w:val="00F110A5"/>
    <w:rsid w:val="00F11D6A"/>
    <w:rsid w:val="00F11F6C"/>
    <w:rsid w:val="00F124E5"/>
    <w:rsid w:val="00F12EEB"/>
    <w:rsid w:val="00F134C1"/>
    <w:rsid w:val="00F13586"/>
    <w:rsid w:val="00F13630"/>
    <w:rsid w:val="00F13F23"/>
    <w:rsid w:val="00F143CD"/>
    <w:rsid w:val="00F1524A"/>
    <w:rsid w:val="00F16342"/>
    <w:rsid w:val="00F16B34"/>
    <w:rsid w:val="00F173FA"/>
    <w:rsid w:val="00F17769"/>
    <w:rsid w:val="00F179DA"/>
    <w:rsid w:val="00F17C01"/>
    <w:rsid w:val="00F20464"/>
    <w:rsid w:val="00F2076A"/>
    <w:rsid w:val="00F207BE"/>
    <w:rsid w:val="00F20BF9"/>
    <w:rsid w:val="00F2130B"/>
    <w:rsid w:val="00F21D76"/>
    <w:rsid w:val="00F22641"/>
    <w:rsid w:val="00F2341C"/>
    <w:rsid w:val="00F2370E"/>
    <w:rsid w:val="00F239F8"/>
    <w:rsid w:val="00F23A3E"/>
    <w:rsid w:val="00F24296"/>
    <w:rsid w:val="00F24442"/>
    <w:rsid w:val="00F247B2"/>
    <w:rsid w:val="00F249B6"/>
    <w:rsid w:val="00F24D03"/>
    <w:rsid w:val="00F2523D"/>
    <w:rsid w:val="00F26326"/>
    <w:rsid w:val="00F2633B"/>
    <w:rsid w:val="00F26E25"/>
    <w:rsid w:val="00F27758"/>
    <w:rsid w:val="00F27B0E"/>
    <w:rsid w:val="00F27D63"/>
    <w:rsid w:val="00F30185"/>
    <w:rsid w:val="00F30C27"/>
    <w:rsid w:val="00F31A52"/>
    <w:rsid w:val="00F32196"/>
    <w:rsid w:val="00F3260A"/>
    <w:rsid w:val="00F33832"/>
    <w:rsid w:val="00F33882"/>
    <w:rsid w:val="00F33D1D"/>
    <w:rsid w:val="00F33F81"/>
    <w:rsid w:val="00F34212"/>
    <w:rsid w:val="00F35D89"/>
    <w:rsid w:val="00F35F8B"/>
    <w:rsid w:val="00F3676F"/>
    <w:rsid w:val="00F36ABF"/>
    <w:rsid w:val="00F36CE1"/>
    <w:rsid w:val="00F37DA5"/>
    <w:rsid w:val="00F40974"/>
    <w:rsid w:val="00F40C34"/>
    <w:rsid w:val="00F4115B"/>
    <w:rsid w:val="00F415E9"/>
    <w:rsid w:val="00F41E76"/>
    <w:rsid w:val="00F4206B"/>
    <w:rsid w:val="00F4254B"/>
    <w:rsid w:val="00F4290E"/>
    <w:rsid w:val="00F43108"/>
    <w:rsid w:val="00F4547B"/>
    <w:rsid w:val="00F456CE"/>
    <w:rsid w:val="00F45B45"/>
    <w:rsid w:val="00F468EC"/>
    <w:rsid w:val="00F47242"/>
    <w:rsid w:val="00F500DF"/>
    <w:rsid w:val="00F508F7"/>
    <w:rsid w:val="00F51852"/>
    <w:rsid w:val="00F518BE"/>
    <w:rsid w:val="00F51AAE"/>
    <w:rsid w:val="00F51FF4"/>
    <w:rsid w:val="00F5330C"/>
    <w:rsid w:val="00F541F6"/>
    <w:rsid w:val="00F54B42"/>
    <w:rsid w:val="00F54D75"/>
    <w:rsid w:val="00F5508A"/>
    <w:rsid w:val="00F551E8"/>
    <w:rsid w:val="00F56C76"/>
    <w:rsid w:val="00F56FEA"/>
    <w:rsid w:val="00F57624"/>
    <w:rsid w:val="00F60F57"/>
    <w:rsid w:val="00F6150D"/>
    <w:rsid w:val="00F61692"/>
    <w:rsid w:val="00F616AB"/>
    <w:rsid w:val="00F61AFD"/>
    <w:rsid w:val="00F61B87"/>
    <w:rsid w:val="00F6208A"/>
    <w:rsid w:val="00F620E1"/>
    <w:rsid w:val="00F62B55"/>
    <w:rsid w:val="00F62EAE"/>
    <w:rsid w:val="00F637F1"/>
    <w:rsid w:val="00F63C51"/>
    <w:rsid w:val="00F64403"/>
    <w:rsid w:val="00F64759"/>
    <w:rsid w:val="00F64927"/>
    <w:rsid w:val="00F64F25"/>
    <w:rsid w:val="00F65246"/>
    <w:rsid w:val="00F6570B"/>
    <w:rsid w:val="00F70297"/>
    <w:rsid w:val="00F702BE"/>
    <w:rsid w:val="00F70E08"/>
    <w:rsid w:val="00F718A9"/>
    <w:rsid w:val="00F71FC0"/>
    <w:rsid w:val="00F72E06"/>
    <w:rsid w:val="00F73A4E"/>
    <w:rsid w:val="00F73B7F"/>
    <w:rsid w:val="00F73D6C"/>
    <w:rsid w:val="00F74210"/>
    <w:rsid w:val="00F74B75"/>
    <w:rsid w:val="00F75829"/>
    <w:rsid w:val="00F762E0"/>
    <w:rsid w:val="00F769DB"/>
    <w:rsid w:val="00F76B31"/>
    <w:rsid w:val="00F76CB6"/>
    <w:rsid w:val="00F777B5"/>
    <w:rsid w:val="00F77968"/>
    <w:rsid w:val="00F80139"/>
    <w:rsid w:val="00F80372"/>
    <w:rsid w:val="00F824DF"/>
    <w:rsid w:val="00F824FE"/>
    <w:rsid w:val="00F83201"/>
    <w:rsid w:val="00F842B8"/>
    <w:rsid w:val="00F8506D"/>
    <w:rsid w:val="00F850E5"/>
    <w:rsid w:val="00F85151"/>
    <w:rsid w:val="00F855AC"/>
    <w:rsid w:val="00F858F5"/>
    <w:rsid w:val="00F87488"/>
    <w:rsid w:val="00F87BA1"/>
    <w:rsid w:val="00F87CE6"/>
    <w:rsid w:val="00F87F56"/>
    <w:rsid w:val="00F904EC"/>
    <w:rsid w:val="00F91103"/>
    <w:rsid w:val="00F9130B"/>
    <w:rsid w:val="00F91483"/>
    <w:rsid w:val="00F91E56"/>
    <w:rsid w:val="00F9202F"/>
    <w:rsid w:val="00F923D1"/>
    <w:rsid w:val="00F934DD"/>
    <w:rsid w:val="00F93DF3"/>
    <w:rsid w:val="00F94FD7"/>
    <w:rsid w:val="00F95170"/>
    <w:rsid w:val="00F95E16"/>
    <w:rsid w:val="00F963E6"/>
    <w:rsid w:val="00F96912"/>
    <w:rsid w:val="00F97730"/>
    <w:rsid w:val="00F9790B"/>
    <w:rsid w:val="00FA0393"/>
    <w:rsid w:val="00FA07DB"/>
    <w:rsid w:val="00FA0F03"/>
    <w:rsid w:val="00FA115C"/>
    <w:rsid w:val="00FA1392"/>
    <w:rsid w:val="00FA1A02"/>
    <w:rsid w:val="00FA1D37"/>
    <w:rsid w:val="00FA3839"/>
    <w:rsid w:val="00FA4F3D"/>
    <w:rsid w:val="00FA52DE"/>
    <w:rsid w:val="00FA6C0A"/>
    <w:rsid w:val="00FA73BF"/>
    <w:rsid w:val="00FA7897"/>
    <w:rsid w:val="00FA7B2D"/>
    <w:rsid w:val="00FB0A21"/>
    <w:rsid w:val="00FB0BF3"/>
    <w:rsid w:val="00FB1DF6"/>
    <w:rsid w:val="00FB1EE0"/>
    <w:rsid w:val="00FB2144"/>
    <w:rsid w:val="00FB2CF2"/>
    <w:rsid w:val="00FB305C"/>
    <w:rsid w:val="00FB308C"/>
    <w:rsid w:val="00FB319A"/>
    <w:rsid w:val="00FB34E9"/>
    <w:rsid w:val="00FB4300"/>
    <w:rsid w:val="00FB56C0"/>
    <w:rsid w:val="00FB57DD"/>
    <w:rsid w:val="00FB5836"/>
    <w:rsid w:val="00FB595F"/>
    <w:rsid w:val="00FB5B90"/>
    <w:rsid w:val="00FB6271"/>
    <w:rsid w:val="00FB6415"/>
    <w:rsid w:val="00FB68B7"/>
    <w:rsid w:val="00FB7462"/>
    <w:rsid w:val="00FC0125"/>
    <w:rsid w:val="00FC0FE2"/>
    <w:rsid w:val="00FC117D"/>
    <w:rsid w:val="00FC2177"/>
    <w:rsid w:val="00FC231D"/>
    <w:rsid w:val="00FC2474"/>
    <w:rsid w:val="00FC2920"/>
    <w:rsid w:val="00FC3A54"/>
    <w:rsid w:val="00FC4303"/>
    <w:rsid w:val="00FC588D"/>
    <w:rsid w:val="00FC6564"/>
    <w:rsid w:val="00FC6E1C"/>
    <w:rsid w:val="00FD0166"/>
    <w:rsid w:val="00FD07AB"/>
    <w:rsid w:val="00FD0DB1"/>
    <w:rsid w:val="00FD196F"/>
    <w:rsid w:val="00FD1FF0"/>
    <w:rsid w:val="00FD30BE"/>
    <w:rsid w:val="00FD3BE0"/>
    <w:rsid w:val="00FD432F"/>
    <w:rsid w:val="00FD4395"/>
    <w:rsid w:val="00FD4AE4"/>
    <w:rsid w:val="00FD4CA0"/>
    <w:rsid w:val="00FD55FB"/>
    <w:rsid w:val="00FD5C04"/>
    <w:rsid w:val="00FD5D3C"/>
    <w:rsid w:val="00FD62EA"/>
    <w:rsid w:val="00FD694E"/>
    <w:rsid w:val="00FD6CB3"/>
    <w:rsid w:val="00FD6CE2"/>
    <w:rsid w:val="00FD6E3E"/>
    <w:rsid w:val="00FD7C6B"/>
    <w:rsid w:val="00FE088E"/>
    <w:rsid w:val="00FE0B81"/>
    <w:rsid w:val="00FE0D3E"/>
    <w:rsid w:val="00FE10A1"/>
    <w:rsid w:val="00FE10F6"/>
    <w:rsid w:val="00FE180F"/>
    <w:rsid w:val="00FE209B"/>
    <w:rsid w:val="00FE2667"/>
    <w:rsid w:val="00FE306F"/>
    <w:rsid w:val="00FE316C"/>
    <w:rsid w:val="00FE495D"/>
    <w:rsid w:val="00FE4C64"/>
    <w:rsid w:val="00FE5244"/>
    <w:rsid w:val="00FE5578"/>
    <w:rsid w:val="00FE5FD7"/>
    <w:rsid w:val="00FE5FED"/>
    <w:rsid w:val="00FE6B6C"/>
    <w:rsid w:val="00FE7592"/>
    <w:rsid w:val="00FE7FA5"/>
    <w:rsid w:val="00FF07C3"/>
    <w:rsid w:val="00FF0B2E"/>
    <w:rsid w:val="00FF25F8"/>
    <w:rsid w:val="00FF35AF"/>
    <w:rsid w:val="00FF3AD8"/>
    <w:rsid w:val="00FF4B0D"/>
    <w:rsid w:val="00FF5DE5"/>
    <w:rsid w:val="00FF619B"/>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0F4F2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D66C52"/>
    <w:pPr>
      <w:shd w:val="clear" w:color="auto" w:fill="FFFFFF"/>
      <w:tabs>
        <w:tab w:val="left" w:pos="567"/>
      </w:tabs>
      <w:jc w:val="both"/>
      <w:outlineLvl w:val="1"/>
    </w:pPr>
    <w:rPr>
      <w:rFonts w:asciiTheme="minorHAnsi" w:eastAsia="Calibri" w:hAnsiTheme="minorHAnsi" w:cstheme="minorHAnsi"/>
      <w:bCs/>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D66C52"/>
    <w:rPr>
      <w:rFonts w:eastAsia="Calibri" w:cstheme="minorHAnsi"/>
      <w:bCs/>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99"/>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Neapdorotaspaminjimas4">
    <w:name w:val="Neapdorotas paminėjimas4"/>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styleId="Neapdorotaspaminjimas">
    <w:name w:val="Unresolved Mention"/>
    <w:basedOn w:val="Numatytasispastraiposriftas"/>
    <w:uiPriority w:val="99"/>
    <w:semiHidden/>
    <w:unhideWhenUsed/>
    <w:rsid w:val="00454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1074791">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29e6a210063711ea9d279ea27696ab7b" TargetMode="External"/><Relationship Id="rId18" Type="http://schemas.openxmlformats.org/officeDocument/2006/relationships/hyperlink" Target="https://www.e-tar.lt/portal/lt/legalAct/d003d60016b711ea9d279ea27696ab7b" TargetMode="External"/><Relationship Id="rId26" Type="http://schemas.openxmlformats.org/officeDocument/2006/relationships/hyperlink" Target="https://www.e-tar.lt/portal/lt/legalAct/914c86000c8011ea9d279ea27696ab7b" TargetMode="External"/><Relationship Id="rId3" Type="http://schemas.openxmlformats.org/officeDocument/2006/relationships/styles" Target="styles.xml"/><Relationship Id="rId21" Type="http://schemas.openxmlformats.org/officeDocument/2006/relationships/hyperlink" Target="https://www.e-tar.lt/portal/lt/legalAct/4cf6ebc0063711ea9d279ea27696ab7b"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tar.lt/portal/lt/legalAct/875bb830113711ea9d279ea27696ab7b" TargetMode="External"/><Relationship Id="rId17" Type="http://schemas.openxmlformats.org/officeDocument/2006/relationships/hyperlink" Target="https://www.e-tar.lt/portal/lt/legalAct/5a570bf0070011ea9d279ea27696ab7b" TargetMode="External"/><Relationship Id="rId25" Type="http://schemas.openxmlformats.org/officeDocument/2006/relationships/hyperlink" Target="https://www.e-tar.lt/portal/lt/legalAct/d1149b30120011ea9d279ea27696ab7b"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tar.lt/portal/lt/legalAct/6a7ddf90070011ea9d279ea27696ab7b" TargetMode="External"/><Relationship Id="rId20" Type="http://schemas.openxmlformats.org/officeDocument/2006/relationships/hyperlink" Target="https://www.e-tar.lt/portal/lt/legalAct/9b76a8800d4911ea9d279ea27696ab7b" TargetMode="External"/><Relationship Id="rId29" Type="http://schemas.openxmlformats.org/officeDocument/2006/relationships/hyperlink" Target="https://www.e-tar.lt/portal/lt/legalAct/51547980063711ea9d279ea27696ab7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afb098001b6e11eabe008ea93139d588" TargetMode="External"/><Relationship Id="rId24" Type="http://schemas.openxmlformats.org/officeDocument/2006/relationships/hyperlink" Target="https://www.e-tar.lt/portal/lt/legalAct/82a5b42007c911ea9d279ea27696ab7b"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tar.lt/portal/lt/legalAct/440f1af0063711ea9d279ea27696ab7b" TargetMode="External"/><Relationship Id="rId23" Type="http://schemas.openxmlformats.org/officeDocument/2006/relationships/hyperlink" Target="https://www.e-tar.lt/portal/lt/legalAct/66faff00152511ea9d279ea27696ab7b" TargetMode="External"/><Relationship Id="rId28" Type="http://schemas.openxmlformats.org/officeDocument/2006/relationships/hyperlink" Target="https://www.e-tar.lt/portal/lt/legalAct/b59305c00c8011ea9d279ea27696ab7b" TargetMode="External"/><Relationship Id="rId10" Type="http://schemas.openxmlformats.org/officeDocument/2006/relationships/hyperlink" Target="https://www.e-tar.lt/portal/lt/legalAct/bf952ec0113711ea9d279ea27696ab7b" TargetMode="External"/><Relationship Id="rId19" Type="http://schemas.openxmlformats.org/officeDocument/2006/relationships/hyperlink" Target="https://www.e-tar.lt/portal/lt/legalAct/1706c0c0178111ea9d279ea27696ab7b"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tar.lt/portal/lt/legalAct/722e4590113711ea9d279ea27696ab7b" TargetMode="External"/><Relationship Id="rId14" Type="http://schemas.openxmlformats.org/officeDocument/2006/relationships/hyperlink" Target="https://www.e-tar.lt/portal/lt/legalAct/582f0b400fa511ea9d279ea27696ab7b" TargetMode="External"/><Relationship Id="rId22" Type="http://schemas.openxmlformats.org/officeDocument/2006/relationships/hyperlink" Target="https://www.e-tar.lt/portal/lt/legalAct/708a2ec0070011ea9d279ea27696ab7b" TargetMode="External"/><Relationship Id="rId27" Type="http://schemas.openxmlformats.org/officeDocument/2006/relationships/hyperlink" Target="https://www.e-tar.lt/portal/lt/legalAct/bcbc1e20113711ea9d279ea27696ab7b" TargetMode="External"/><Relationship Id="rId30" Type="http://schemas.openxmlformats.org/officeDocument/2006/relationships/hyperlink" Target="https://www.e-tar.lt/portal/lt/legalAct/291b104021b811eabe008ea93139d588" TargetMode="External"/><Relationship Id="rId35"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3BDF60-728F-440B-800F-C9CB8D481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25</Pages>
  <Words>16270</Words>
  <Characters>92744</Characters>
  <Application>Microsoft Office Word</Application>
  <DocSecurity>0</DocSecurity>
  <Lines>772</Lines>
  <Paragraphs>217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108797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4</cp:revision>
  <cp:lastPrinted>2018-07-19T07:34:00Z</cp:lastPrinted>
  <dcterms:created xsi:type="dcterms:W3CDTF">2020-01-13T08:36:00Z</dcterms:created>
  <dcterms:modified xsi:type="dcterms:W3CDTF">2020-01-13T10:14:00Z</dcterms:modified>
</cp:coreProperties>
</file>