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023140" w14:textId="77777777" w:rsidR="003D4C15" w:rsidRPr="00F56F28" w:rsidRDefault="003D4C15" w:rsidP="003724AC">
      <w:pPr>
        <w:pStyle w:val="NoSpacing"/>
        <w:spacing w:after="240"/>
        <w:jc w:val="both"/>
        <w:rPr>
          <w:rFonts w:asciiTheme="minorHAnsi" w:hAnsiTheme="minorHAnsi" w:cstheme="minorHAnsi"/>
        </w:rPr>
      </w:pPr>
    </w:p>
    <w:p w14:paraId="07286714" w14:textId="77777777" w:rsidR="003D4C15" w:rsidRPr="00F56F28" w:rsidRDefault="003D4C15" w:rsidP="003724AC">
      <w:pPr>
        <w:pStyle w:val="NoSpacing"/>
        <w:spacing w:after="240"/>
        <w:jc w:val="both"/>
        <w:rPr>
          <w:rFonts w:asciiTheme="minorHAnsi" w:hAnsiTheme="minorHAnsi" w:cstheme="minorHAnsi"/>
        </w:rPr>
      </w:pPr>
    </w:p>
    <w:p w14:paraId="34072370" w14:textId="77777777" w:rsidR="00A4671F" w:rsidRPr="00F56F28" w:rsidRDefault="00A4671F" w:rsidP="003724AC">
      <w:pPr>
        <w:pStyle w:val="NoSpacing"/>
        <w:spacing w:after="1440"/>
        <w:ind w:left="1296" w:hanging="1296"/>
        <w:jc w:val="both"/>
        <w:rPr>
          <w:rFonts w:asciiTheme="minorHAnsi" w:hAnsiTheme="minorHAnsi" w:cstheme="minorHAnsi"/>
          <w:lang w:eastAsia="lt-LT"/>
        </w:rPr>
      </w:pPr>
    </w:p>
    <w:p w14:paraId="10E749DF" w14:textId="77777777" w:rsidR="003D4C15" w:rsidRPr="00F56F28" w:rsidRDefault="003D4C15" w:rsidP="006711FB">
      <w:pPr>
        <w:pStyle w:val="NoSpacing"/>
        <w:spacing w:after="1440"/>
        <w:ind w:left="1296" w:hanging="1296"/>
        <w:jc w:val="center"/>
        <w:rPr>
          <w:rFonts w:asciiTheme="minorHAnsi" w:hAnsiTheme="minorHAnsi" w:cstheme="minorHAnsi"/>
        </w:rPr>
      </w:pPr>
      <w:r w:rsidRPr="00F56F28">
        <w:rPr>
          <w:rFonts w:asciiTheme="minorHAnsi" w:hAnsiTheme="minorHAnsi" w:cstheme="minorHAnsi"/>
          <w:noProof/>
          <w:lang w:eastAsia="lt-LT"/>
        </w:rPr>
        <w:drawing>
          <wp:inline distT="0" distB="0" distL="0" distR="0" wp14:anchorId="5D66A75C" wp14:editId="462F6DBB">
            <wp:extent cx="3084830" cy="2106930"/>
            <wp:effectExtent l="1905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3084830" cy="2106930"/>
                    </a:xfrm>
                    <a:prstGeom prst="rect">
                      <a:avLst/>
                    </a:prstGeom>
                    <a:noFill/>
                    <a:ln w="9525">
                      <a:noFill/>
                      <a:miter lim="800000"/>
                      <a:headEnd/>
                      <a:tailEnd/>
                    </a:ln>
                  </pic:spPr>
                </pic:pic>
              </a:graphicData>
            </a:graphic>
          </wp:inline>
        </w:drawing>
      </w:r>
      <w:r w:rsidR="00614B0B" w:rsidRPr="00F56F28">
        <w:rPr>
          <w:rFonts w:asciiTheme="minorHAnsi" w:hAnsiTheme="minorHAnsi" w:cstheme="minorHAnsi"/>
          <w:noProof/>
          <w:lang w:eastAsia="lt-LT"/>
        </w:rPr>
        <mc:AlternateContent>
          <mc:Choice Requires="wps">
            <w:drawing>
              <wp:anchor distT="0" distB="0" distL="114300" distR="114300" simplePos="0" relativeHeight="251660288" behindDoc="0" locked="0" layoutInCell="0" allowOverlap="1" wp14:anchorId="24917BB2" wp14:editId="7C43308E">
                <wp:simplePos x="0" y="0"/>
                <wp:positionH relativeFrom="page">
                  <wp:posOffset>-302895</wp:posOffset>
                </wp:positionH>
                <wp:positionV relativeFrom="page">
                  <wp:posOffset>10160</wp:posOffset>
                </wp:positionV>
                <wp:extent cx="7921625" cy="625475"/>
                <wp:effectExtent l="0" t="0" r="5715" b="0"/>
                <wp:wrapNone/>
                <wp:docPr id="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pic="http://schemas.openxmlformats.org/drawingml/2006/picture" xmlns:a="http://schemas.openxmlformats.org/drawingml/2006/main">
            <w:pict w14:anchorId="691E640A">
              <v:rect id="Rectangle 7" style="position:absolute;margin-left:-23.85pt;margin-top:.8pt;width:623.75pt;height:49.25pt;z-index:251660288;visibility:visible;mso-wrap-style:square;mso-width-percent:1050;mso-height-percent:900;mso-wrap-distance-left:9pt;mso-wrap-distance-top:0;mso-wrap-distance-right:9pt;mso-wrap-distance-bottom:0;mso-position-horizontal:absolute;mso-position-horizontal-relative:page;mso-position-vertical:absolute;mso-position-vertical-relative:page;mso-width-percent:1050;mso-height-percent:900;mso-width-relative:page;mso-height-relative:top-margin-area;v-text-anchor:top" o:spid="_x0000_s1026" o:allowincell="f" fillcolor="#365f91" strokecolor="#31849b" w14:anchorId="1334F1D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">
                <w10:wrap anchorx="page" anchory="page"/>
              </v:rect>
            </w:pict>
          </mc:Fallback>
        </mc:AlternateContent>
      </w:r>
      <w:r w:rsidR="00614B0B" w:rsidRPr="00F56F28">
        <w:rPr>
          <w:rFonts w:asciiTheme="minorHAnsi" w:hAnsiTheme="minorHAnsi" w:cstheme="minorHAnsi"/>
          <w:noProof/>
          <w:lang w:eastAsia="lt-LT"/>
        </w:rPr>
        <mc:AlternateContent>
          <mc:Choice Requires="wps">
            <w:drawing>
              <wp:anchor distT="0" distB="0" distL="114300" distR="114300" simplePos="0" relativeHeight="251659264" behindDoc="0" locked="0" layoutInCell="0" allowOverlap="1" wp14:anchorId="38AAB012" wp14:editId="07317F61">
                <wp:simplePos x="0" y="0"/>
                <wp:positionH relativeFrom="page">
                  <wp:align>center</wp:align>
                </wp:positionH>
                <wp:positionV relativeFrom="page">
                  <wp:align>bottom</wp:align>
                </wp:positionV>
                <wp:extent cx="7921625" cy="625475"/>
                <wp:effectExtent l="0" t="0" r="5715" b="0"/>
                <wp:wrapNone/>
                <wp:docPr id="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pic="http://schemas.openxmlformats.org/drawingml/2006/picture" xmlns:a="http://schemas.openxmlformats.org/drawingml/2006/main">
            <w:pict w14:anchorId="5632CA95">
              <v:rect id="Rectangle 6" style="position:absolute;margin-left:0;margin-top:0;width:623.75pt;height:49.25pt;z-index:251659264;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spid="_x0000_s1026" o:allowincell="f" fillcolor="#365f91" strokecolor="#17365d" w14:anchorId="77672A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">
                <w10:wrap anchorx="page" anchory="page"/>
              </v:rect>
            </w:pict>
          </mc:Fallback>
        </mc:AlternateContent>
      </w:r>
      <w:r w:rsidR="00614B0B" w:rsidRPr="00F56F28">
        <w:rPr>
          <w:rFonts w:asciiTheme="minorHAnsi" w:hAnsiTheme="minorHAnsi" w:cstheme="minorHAnsi"/>
          <w:noProof/>
          <w:lang w:eastAsia="lt-LT"/>
        </w:rPr>
        <mc:AlternateContent>
          <mc:Choice Requires="wps">
            <w:drawing>
              <wp:anchor distT="0" distB="0" distL="114300" distR="114300" simplePos="0" relativeHeight="251662336" behindDoc="0" locked="0" layoutInCell="0" allowOverlap="1" wp14:anchorId="10F061BE" wp14:editId="70E25DA8">
                <wp:simplePos x="0" y="0"/>
                <wp:positionH relativeFrom="page">
                  <wp:posOffset>494665</wp:posOffset>
                </wp:positionH>
                <wp:positionV relativeFrom="page">
                  <wp:posOffset>-262255</wp:posOffset>
                </wp:positionV>
                <wp:extent cx="90805" cy="11199495"/>
                <wp:effectExtent l="0" t="0" r="4445" b="0"/>
                <wp:wrapNone/>
                <wp:docPr id="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pic="http://schemas.openxmlformats.org/drawingml/2006/picture" xmlns:a="http://schemas.openxmlformats.org/drawingml/2006/main">
            <w:pict w14:anchorId="573B1B96">
              <v:rect id="Rectangle 9" style="position:absolute;margin-left:38.95pt;margin-top:-20.65pt;width:7.15pt;height:881.85pt;z-index:251662336;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spid="_x0000_s1026" o:allowincell="f" strokecolor="#17365d" w14:anchorId="5532EE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">
                <w10:wrap anchorx="page" anchory="page"/>
              </v:rect>
            </w:pict>
          </mc:Fallback>
        </mc:AlternateContent>
      </w:r>
      <w:r w:rsidR="00614B0B" w:rsidRPr="00F56F28">
        <w:rPr>
          <w:rFonts w:asciiTheme="minorHAnsi" w:hAnsiTheme="minorHAnsi" w:cstheme="minorHAnsi"/>
          <w:noProof/>
          <w:lang w:eastAsia="lt-LT"/>
        </w:rPr>
        <mc:AlternateContent>
          <mc:Choice Requires="wps">
            <w:drawing>
              <wp:anchor distT="0" distB="0" distL="114300" distR="114300" simplePos="0" relativeHeight="251661312" behindDoc="0" locked="0" layoutInCell="0" allowOverlap="1" wp14:anchorId="372FF99B" wp14:editId="468787A6">
                <wp:simplePos x="0" y="0"/>
                <wp:positionH relativeFrom="page">
                  <wp:posOffset>7244715</wp:posOffset>
                </wp:positionH>
                <wp:positionV relativeFrom="page">
                  <wp:posOffset>-262255</wp:posOffset>
                </wp:positionV>
                <wp:extent cx="90805" cy="11199495"/>
                <wp:effectExtent l="0" t="0" r="4445" b="0"/>
                <wp:wrapNone/>
                <wp:docPr id="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pic="http://schemas.openxmlformats.org/drawingml/2006/picture" xmlns:a="http://schemas.openxmlformats.org/drawingml/2006/main">
            <w:pict w14:anchorId="3BF5977A">
              <v:rect id="Rectangle 8" style="position:absolute;margin-left:570.45pt;margin-top:-20.65pt;width:7.15pt;height:881.85pt;z-index:251661312;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spid="_x0000_s1026" o:allowincell="f" strokecolor="#17365d" w14:anchorId="0865179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">
                <w10:wrap anchorx="page" anchory="page"/>
              </v:rect>
            </w:pict>
          </mc:Fallback>
        </mc:AlternateContent>
      </w:r>
    </w:p>
    <w:p w14:paraId="14099CBF" w14:textId="77777777" w:rsidR="003D4C15" w:rsidRPr="006839D0" w:rsidRDefault="003D4C15" w:rsidP="006711FB">
      <w:pPr>
        <w:pStyle w:val="NoSpacing"/>
        <w:jc w:val="center"/>
        <w:rPr>
          <w:rFonts w:asciiTheme="minorHAnsi" w:hAnsiTheme="minorHAnsi" w:cstheme="minorHAnsi"/>
          <w:smallCaps/>
          <w:sz w:val="52"/>
          <w:szCs w:val="52"/>
        </w:rPr>
      </w:pPr>
      <w:r w:rsidRPr="006839D0">
        <w:rPr>
          <w:rFonts w:asciiTheme="minorHAnsi" w:hAnsiTheme="minorHAnsi" w:cstheme="minorHAnsi"/>
          <w:smallCaps/>
          <w:sz w:val="52"/>
          <w:szCs w:val="52"/>
        </w:rPr>
        <w:t>Lietuvos vyriausiojo administracinio teismo praktikos apžvalga</w:t>
      </w:r>
    </w:p>
    <w:p w14:paraId="4FCF0FB8" w14:textId="664A1D10" w:rsidR="003D4C15" w:rsidRPr="006839D0" w:rsidRDefault="003D4C15" w:rsidP="006711FB">
      <w:pPr>
        <w:pStyle w:val="NoSpacing"/>
        <w:jc w:val="center"/>
        <w:rPr>
          <w:rFonts w:asciiTheme="minorHAnsi" w:hAnsiTheme="minorHAnsi" w:cstheme="minorHAnsi"/>
          <w:b/>
          <w:smallCaps/>
          <w:sz w:val="32"/>
          <w:szCs w:val="32"/>
          <w:u w:val="double"/>
        </w:rPr>
      </w:pPr>
      <w:bookmarkStart w:id="0" w:name="_Toc328035733"/>
      <w:bookmarkStart w:id="1" w:name="_Toc329780677"/>
      <w:bookmarkStart w:id="2" w:name="_Toc329787755"/>
      <w:bookmarkStart w:id="3" w:name="_Toc329790165"/>
      <w:bookmarkStart w:id="4" w:name="_Toc330304784"/>
      <w:bookmarkStart w:id="5" w:name="_Toc331487542"/>
      <w:r w:rsidRPr="006839D0">
        <w:rPr>
          <w:rFonts w:asciiTheme="minorHAnsi" w:hAnsiTheme="minorHAnsi" w:cstheme="minorHAnsi"/>
          <w:b/>
          <w:smallCaps/>
          <w:sz w:val="32"/>
          <w:szCs w:val="32"/>
          <w:u w:val="double"/>
        </w:rPr>
        <w:t>20</w:t>
      </w:r>
      <w:r w:rsidR="007E55E3" w:rsidRPr="006839D0">
        <w:rPr>
          <w:rFonts w:asciiTheme="minorHAnsi" w:hAnsiTheme="minorHAnsi" w:cstheme="minorHAnsi"/>
          <w:b/>
          <w:smallCaps/>
          <w:sz w:val="32"/>
          <w:szCs w:val="32"/>
          <w:u w:val="double"/>
        </w:rPr>
        <w:t>2</w:t>
      </w:r>
      <w:r w:rsidR="00F24989" w:rsidRPr="006839D0">
        <w:rPr>
          <w:rFonts w:asciiTheme="minorHAnsi" w:hAnsiTheme="minorHAnsi" w:cstheme="minorHAnsi"/>
          <w:b/>
          <w:smallCaps/>
          <w:sz w:val="32"/>
          <w:szCs w:val="32"/>
          <w:u w:val="double"/>
        </w:rPr>
        <w:t>3</w:t>
      </w:r>
      <w:r w:rsidRPr="006839D0">
        <w:rPr>
          <w:rFonts w:asciiTheme="minorHAnsi" w:hAnsiTheme="minorHAnsi" w:cstheme="minorHAnsi"/>
          <w:b/>
          <w:smallCaps/>
          <w:sz w:val="32"/>
          <w:szCs w:val="32"/>
          <w:u w:val="double"/>
        </w:rPr>
        <w:t xml:space="preserve"> m. </w:t>
      </w:r>
      <w:r w:rsidR="00DF3915" w:rsidRPr="006839D0">
        <w:rPr>
          <w:rFonts w:asciiTheme="minorHAnsi" w:hAnsiTheme="minorHAnsi" w:cstheme="minorHAnsi"/>
          <w:b/>
          <w:smallCaps/>
          <w:sz w:val="32"/>
          <w:szCs w:val="32"/>
          <w:u w:val="double"/>
        </w:rPr>
        <w:t>lapkrič</w:t>
      </w:r>
      <w:r w:rsidR="00F24989" w:rsidRPr="006839D0">
        <w:rPr>
          <w:rFonts w:asciiTheme="minorHAnsi" w:hAnsiTheme="minorHAnsi" w:cstheme="minorHAnsi"/>
          <w:b/>
          <w:smallCaps/>
          <w:sz w:val="32"/>
          <w:szCs w:val="32"/>
          <w:u w:val="double"/>
        </w:rPr>
        <w:t>io</w:t>
      </w:r>
      <w:r w:rsidR="00572EBC" w:rsidRPr="006839D0">
        <w:rPr>
          <w:rFonts w:asciiTheme="minorHAnsi" w:hAnsiTheme="minorHAnsi" w:cstheme="minorHAnsi"/>
          <w:b/>
          <w:smallCaps/>
          <w:sz w:val="32"/>
          <w:szCs w:val="32"/>
          <w:u w:val="double"/>
        </w:rPr>
        <w:t xml:space="preserve"> </w:t>
      </w:r>
      <w:r w:rsidRPr="006839D0">
        <w:rPr>
          <w:rFonts w:asciiTheme="minorHAnsi" w:hAnsiTheme="minorHAnsi" w:cstheme="minorHAnsi"/>
          <w:b/>
          <w:smallCaps/>
          <w:sz w:val="32"/>
          <w:szCs w:val="32"/>
          <w:u w:val="double"/>
        </w:rPr>
        <w:t>1 d.–20</w:t>
      </w:r>
      <w:r w:rsidR="007E55E3" w:rsidRPr="006839D0">
        <w:rPr>
          <w:rFonts w:asciiTheme="minorHAnsi" w:hAnsiTheme="minorHAnsi" w:cstheme="minorHAnsi"/>
          <w:b/>
          <w:smallCaps/>
          <w:sz w:val="32"/>
          <w:szCs w:val="32"/>
          <w:u w:val="double"/>
        </w:rPr>
        <w:t>2</w:t>
      </w:r>
      <w:r w:rsidR="00F24989" w:rsidRPr="006839D0">
        <w:rPr>
          <w:rFonts w:asciiTheme="minorHAnsi" w:hAnsiTheme="minorHAnsi" w:cstheme="minorHAnsi"/>
          <w:b/>
          <w:smallCaps/>
          <w:sz w:val="32"/>
          <w:szCs w:val="32"/>
          <w:u w:val="double"/>
        </w:rPr>
        <w:t>3</w:t>
      </w:r>
      <w:r w:rsidRPr="006839D0">
        <w:rPr>
          <w:rFonts w:asciiTheme="minorHAnsi" w:hAnsiTheme="minorHAnsi" w:cstheme="minorHAnsi"/>
          <w:b/>
          <w:smallCaps/>
          <w:sz w:val="32"/>
          <w:szCs w:val="32"/>
          <w:u w:val="double"/>
        </w:rPr>
        <w:t xml:space="preserve"> m.</w:t>
      </w:r>
      <w:r w:rsidR="000F1C77" w:rsidRPr="006839D0">
        <w:rPr>
          <w:rFonts w:asciiTheme="minorHAnsi" w:hAnsiTheme="minorHAnsi" w:cstheme="minorHAnsi"/>
          <w:b/>
          <w:smallCaps/>
          <w:sz w:val="32"/>
          <w:szCs w:val="32"/>
          <w:u w:val="double"/>
        </w:rPr>
        <w:t xml:space="preserve"> </w:t>
      </w:r>
      <w:r w:rsidR="00DF3915" w:rsidRPr="006839D0">
        <w:rPr>
          <w:rFonts w:asciiTheme="minorHAnsi" w:hAnsiTheme="minorHAnsi" w:cstheme="minorHAnsi"/>
          <w:b/>
          <w:smallCaps/>
          <w:sz w:val="32"/>
          <w:szCs w:val="32"/>
          <w:u w:val="double"/>
        </w:rPr>
        <w:t>lapkrič</w:t>
      </w:r>
      <w:r w:rsidR="007D4FB2" w:rsidRPr="006839D0">
        <w:rPr>
          <w:rFonts w:asciiTheme="minorHAnsi" w:hAnsiTheme="minorHAnsi" w:cstheme="minorHAnsi"/>
          <w:b/>
          <w:smallCaps/>
          <w:sz w:val="32"/>
          <w:szCs w:val="32"/>
          <w:u w:val="double"/>
        </w:rPr>
        <w:t>i</w:t>
      </w:r>
      <w:r w:rsidR="007E1CF6" w:rsidRPr="006839D0">
        <w:rPr>
          <w:rFonts w:asciiTheme="minorHAnsi" w:hAnsiTheme="minorHAnsi" w:cstheme="minorHAnsi"/>
          <w:b/>
          <w:smallCaps/>
          <w:sz w:val="32"/>
          <w:szCs w:val="32"/>
          <w:u w:val="double"/>
        </w:rPr>
        <w:t xml:space="preserve">o </w:t>
      </w:r>
      <w:r w:rsidR="00DF3915" w:rsidRPr="006839D0">
        <w:rPr>
          <w:rFonts w:asciiTheme="minorHAnsi" w:hAnsiTheme="minorHAnsi" w:cstheme="minorHAnsi"/>
          <w:b/>
          <w:smallCaps/>
          <w:sz w:val="32"/>
          <w:szCs w:val="32"/>
          <w:u w:val="double"/>
        </w:rPr>
        <w:t>30</w:t>
      </w:r>
      <w:r w:rsidR="007F7CA4" w:rsidRPr="006839D0">
        <w:rPr>
          <w:rFonts w:asciiTheme="minorHAnsi" w:hAnsiTheme="minorHAnsi" w:cstheme="minorHAnsi"/>
          <w:b/>
          <w:smallCaps/>
          <w:sz w:val="32"/>
          <w:szCs w:val="32"/>
          <w:u w:val="double"/>
        </w:rPr>
        <w:t xml:space="preserve"> </w:t>
      </w:r>
      <w:r w:rsidRPr="006839D0">
        <w:rPr>
          <w:rFonts w:asciiTheme="minorHAnsi" w:hAnsiTheme="minorHAnsi" w:cstheme="minorHAnsi"/>
          <w:b/>
          <w:smallCaps/>
          <w:sz w:val="32"/>
          <w:szCs w:val="32"/>
          <w:u w:val="double"/>
        </w:rPr>
        <w:t>d.</w:t>
      </w:r>
      <w:bookmarkEnd w:id="0"/>
      <w:bookmarkEnd w:id="1"/>
      <w:bookmarkEnd w:id="2"/>
      <w:bookmarkEnd w:id="3"/>
      <w:bookmarkEnd w:id="4"/>
      <w:bookmarkEnd w:id="5"/>
    </w:p>
    <w:p w14:paraId="559AF8DC" w14:textId="77777777" w:rsidR="003D4C15" w:rsidRPr="00F56F28" w:rsidRDefault="003D4C15" w:rsidP="003724AC">
      <w:pPr>
        <w:jc w:val="both"/>
        <w:rPr>
          <w:rFonts w:asciiTheme="minorHAnsi" w:hAnsiTheme="minorHAnsi" w:cstheme="minorHAnsi"/>
          <w:b/>
          <w:smallCaps/>
          <w:sz w:val="22"/>
          <w:szCs w:val="22"/>
        </w:rPr>
      </w:pPr>
    </w:p>
    <w:p w14:paraId="3549E2CB" w14:textId="77777777" w:rsidR="003D4C15" w:rsidRPr="00F56F28" w:rsidRDefault="003D4C15" w:rsidP="003724AC">
      <w:pPr>
        <w:jc w:val="both"/>
        <w:rPr>
          <w:rFonts w:asciiTheme="minorHAnsi" w:hAnsiTheme="minorHAnsi" w:cstheme="minorHAnsi"/>
          <w:b/>
          <w:smallCaps/>
          <w:sz w:val="22"/>
          <w:szCs w:val="22"/>
        </w:rPr>
      </w:pPr>
    </w:p>
    <w:p w14:paraId="6E8E5B89" w14:textId="77777777" w:rsidR="003D4C15" w:rsidRPr="00F56F28" w:rsidRDefault="003D4C15" w:rsidP="003724AC">
      <w:pPr>
        <w:jc w:val="both"/>
        <w:rPr>
          <w:rFonts w:asciiTheme="minorHAnsi" w:hAnsiTheme="minorHAnsi" w:cstheme="minorHAnsi"/>
          <w:b/>
          <w:smallCaps/>
          <w:sz w:val="22"/>
          <w:szCs w:val="22"/>
        </w:rPr>
      </w:pPr>
    </w:p>
    <w:p w14:paraId="665A9625" w14:textId="77777777" w:rsidR="003D4C15" w:rsidRPr="00F56F28" w:rsidRDefault="003D4C15" w:rsidP="003724AC">
      <w:pPr>
        <w:jc w:val="both"/>
        <w:rPr>
          <w:rFonts w:asciiTheme="minorHAnsi" w:hAnsiTheme="minorHAnsi" w:cstheme="minorHAnsi"/>
          <w:b/>
          <w:smallCaps/>
          <w:sz w:val="22"/>
          <w:szCs w:val="22"/>
        </w:rPr>
      </w:pPr>
    </w:p>
    <w:p w14:paraId="3C3F018D" w14:textId="77777777" w:rsidR="003D4C15" w:rsidRPr="00F56F28" w:rsidRDefault="003D4C15" w:rsidP="003724AC">
      <w:pPr>
        <w:jc w:val="both"/>
        <w:rPr>
          <w:rFonts w:asciiTheme="minorHAnsi" w:hAnsiTheme="minorHAnsi" w:cstheme="minorHAnsi"/>
          <w:b/>
          <w:smallCaps/>
          <w:sz w:val="22"/>
          <w:szCs w:val="22"/>
        </w:rPr>
      </w:pPr>
    </w:p>
    <w:p w14:paraId="582B5E94" w14:textId="77777777" w:rsidR="003D4C15" w:rsidRPr="00F56F28" w:rsidRDefault="003D4C15" w:rsidP="003724AC">
      <w:pPr>
        <w:jc w:val="both"/>
        <w:rPr>
          <w:rFonts w:asciiTheme="minorHAnsi" w:hAnsiTheme="minorHAnsi" w:cstheme="minorHAnsi"/>
          <w:b/>
          <w:smallCaps/>
          <w:sz w:val="22"/>
          <w:szCs w:val="22"/>
        </w:rPr>
      </w:pPr>
    </w:p>
    <w:p w14:paraId="12D8443C" w14:textId="77777777" w:rsidR="003D4C15" w:rsidRPr="00F56F28" w:rsidRDefault="003D4C15" w:rsidP="003724AC">
      <w:pPr>
        <w:jc w:val="both"/>
        <w:rPr>
          <w:rFonts w:asciiTheme="minorHAnsi" w:hAnsiTheme="minorHAnsi" w:cstheme="minorHAnsi"/>
          <w:b/>
          <w:smallCaps/>
          <w:sz w:val="22"/>
          <w:szCs w:val="22"/>
        </w:rPr>
      </w:pPr>
    </w:p>
    <w:p w14:paraId="0DBE7DED" w14:textId="77777777" w:rsidR="003D4C15" w:rsidRPr="00F56F28" w:rsidRDefault="003D4C15" w:rsidP="003724AC">
      <w:pPr>
        <w:jc w:val="both"/>
        <w:rPr>
          <w:rFonts w:asciiTheme="minorHAnsi" w:hAnsiTheme="minorHAnsi" w:cstheme="minorHAnsi"/>
          <w:b/>
          <w:smallCaps/>
          <w:sz w:val="22"/>
          <w:szCs w:val="22"/>
        </w:rPr>
      </w:pPr>
    </w:p>
    <w:p w14:paraId="5FF1B58D" w14:textId="77777777" w:rsidR="003D4C15" w:rsidRPr="00F56F28" w:rsidRDefault="003D4C15" w:rsidP="003724AC">
      <w:pPr>
        <w:jc w:val="both"/>
        <w:rPr>
          <w:rFonts w:asciiTheme="minorHAnsi" w:hAnsiTheme="minorHAnsi" w:cstheme="minorHAnsi"/>
          <w:b/>
          <w:smallCaps/>
          <w:sz w:val="22"/>
          <w:szCs w:val="22"/>
        </w:rPr>
      </w:pPr>
    </w:p>
    <w:p w14:paraId="56CED4DD" w14:textId="77777777" w:rsidR="003D4C15" w:rsidRPr="00F56F28" w:rsidRDefault="003D4C15" w:rsidP="003724AC">
      <w:pPr>
        <w:jc w:val="both"/>
        <w:rPr>
          <w:rFonts w:asciiTheme="minorHAnsi" w:hAnsiTheme="minorHAnsi" w:cstheme="minorHAnsi"/>
          <w:b/>
          <w:smallCaps/>
          <w:sz w:val="22"/>
          <w:szCs w:val="22"/>
        </w:rPr>
      </w:pPr>
    </w:p>
    <w:p w14:paraId="57C8F8AD" w14:textId="77777777" w:rsidR="003D4C15" w:rsidRPr="00F56F28" w:rsidRDefault="003D4C15" w:rsidP="003724AC">
      <w:pPr>
        <w:jc w:val="both"/>
        <w:rPr>
          <w:rFonts w:asciiTheme="minorHAnsi" w:hAnsiTheme="minorHAnsi" w:cstheme="minorHAnsi"/>
          <w:b/>
          <w:smallCaps/>
          <w:sz w:val="22"/>
          <w:szCs w:val="22"/>
        </w:rPr>
      </w:pPr>
    </w:p>
    <w:p w14:paraId="53F8EF3F" w14:textId="77777777" w:rsidR="003D4C15" w:rsidRPr="00F56F28" w:rsidRDefault="003D4C15" w:rsidP="003724AC">
      <w:pPr>
        <w:jc w:val="both"/>
        <w:rPr>
          <w:rFonts w:asciiTheme="minorHAnsi" w:hAnsiTheme="minorHAnsi" w:cstheme="minorHAnsi"/>
          <w:b/>
          <w:smallCaps/>
          <w:sz w:val="22"/>
          <w:szCs w:val="22"/>
        </w:rPr>
      </w:pPr>
    </w:p>
    <w:p w14:paraId="0FFF1B08" w14:textId="77777777" w:rsidR="003D4C15" w:rsidRPr="00F56F28" w:rsidRDefault="003D4C15" w:rsidP="003724AC">
      <w:pPr>
        <w:jc w:val="both"/>
        <w:rPr>
          <w:rFonts w:asciiTheme="minorHAnsi" w:hAnsiTheme="minorHAnsi" w:cstheme="minorHAnsi"/>
          <w:b/>
          <w:smallCaps/>
          <w:sz w:val="22"/>
          <w:szCs w:val="22"/>
        </w:rPr>
      </w:pPr>
    </w:p>
    <w:p w14:paraId="48BCBEE6" w14:textId="77777777" w:rsidR="003D4C15" w:rsidRPr="00F56F28" w:rsidRDefault="003D4C15" w:rsidP="003724AC">
      <w:pPr>
        <w:jc w:val="both"/>
        <w:rPr>
          <w:rFonts w:asciiTheme="minorHAnsi" w:hAnsiTheme="minorHAnsi" w:cstheme="minorHAnsi"/>
          <w:b/>
          <w:smallCaps/>
          <w:sz w:val="22"/>
          <w:szCs w:val="22"/>
        </w:rPr>
      </w:pPr>
    </w:p>
    <w:p w14:paraId="0BF451DA" w14:textId="77777777" w:rsidR="003D4C15" w:rsidRPr="00F56F28" w:rsidRDefault="003D4C15" w:rsidP="003724AC">
      <w:pPr>
        <w:jc w:val="both"/>
        <w:rPr>
          <w:rFonts w:asciiTheme="minorHAnsi" w:hAnsiTheme="minorHAnsi" w:cstheme="minorHAnsi"/>
          <w:b/>
          <w:smallCaps/>
          <w:sz w:val="22"/>
          <w:szCs w:val="22"/>
        </w:rPr>
      </w:pPr>
    </w:p>
    <w:p w14:paraId="36F4D8EF" w14:textId="77777777" w:rsidR="003D4C15" w:rsidRPr="006839D0" w:rsidRDefault="003D4C15" w:rsidP="006711FB">
      <w:pPr>
        <w:jc w:val="center"/>
        <w:rPr>
          <w:rFonts w:asciiTheme="minorHAnsi" w:hAnsiTheme="minorHAnsi" w:cstheme="minorHAnsi"/>
          <w:b/>
          <w:smallCaps/>
          <w:sz w:val="28"/>
          <w:szCs w:val="28"/>
        </w:rPr>
      </w:pPr>
      <w:r w:rsidRPr="006839D0">
        <w:rPr>
          <w:rFonts w:asciiTheme="minorHAnsi" w:hAnsiTheme="minorHAnsi" w:cstheme="minorHAnsi"/>
          <w:b/>
          <w:smallCaps/>
          <w:sz w:val="28"/>
          <w:szCs w:val="28"/>
        </w:rPr>
        <w:t>Apžvalgą parengė Lietuvos vyriausiojo administracinio teismo</w:t>
      </w:r>
    </w:p>
    <w:p w14:paraId="6A332043" w14:textId="77777777" w:rsidR="003D4C15" w:rsidRPr="00F56F28" w:rsidRDefault="003D4C15" w:rsidP="006711FB">
      <w:pPr>
        <w:jc w:val="center"/>
        <w:rPr>
          <w:rFonts w:asciiTheme="minorHAnsi" w:hAnsiTheme="minorHAnsi" w:cstheme="minorHAnsi"/>
          <w:sz w:val="22"/>
          <w:szCs w:val="22"/>
        </w:rPr>
      </w:pPr>
      <w:r w:rsidRPr="006839D0">
        <w:rPr>
          <w:rFonts w:asciiTheme="minorHAnsi" w:hAnsiTheme="minorHAnsi" w:cstheme="minorHAnsi"/>
          <w:b/>
          <w:smallCaps/>
          <w:sz w:val="28"/>
          <w:szCs w:val="28"/>
        </w:rPr>
        <w:t>T</w:t>
      </w:r>
      <w:r w:rsidR="0016762E" w:rsidRPr="006839D0">
        <w:rPr>
          <w:rFonts w:asciiTheme="minorHAnsi" w:hAnsiTheme="minorHAnsi" w:cstheme="minorHAnsi"/>
          <w:b/>
          <w:smallCaps/>
          <w:sz w:val="28"/>
          <w:szCs w:val="28"/>
        </w:rPr>
        <w:t xml:space="preserve">eismų praktikos </w:t>
      </w:r>
      <w:r w:rsidRPr="006839D0">
        <w:rPr>
          <w:rFonts w:asciiTheme="minorHAnsi" w:hAnsiTheme="minorHAnsi" w:cstheme="minorHAnsi"/>
          <w:b/>
          <w:smallCaps/>
          <w:sz w:val="28"/>
          <w:szCs w:val="28"/>
        </w:rPr>
        <w:t>departamentas</w:t>
      </w:r>
      <w:r w:rsidRPr="00F56F28">
        <w:rPr>
          <w:rFonts w:asciiTheme="minorHAnsi" w:hAnsiTheme="minorHAnsi" w:cstheme="minorHAnsi"/>
          <w:smallCaps/>
          <w:sz w:val="22"/>
          <w:szCs w:val="22"/>
        </w:rPr>
        <w:br w:type="page"/>
      </w:r>
      <w:bookmarkStart w:id="6" w:name="_Hlk529270320"/>
      <w:bookmarkStart w:id="7" w:name="_Toc120597382"/>
      <w:r w:rsidRPr="00F56F28">
        <w:rPr>
          <w:rFonts w:asciiTheme="minorHAnsi" w:hAnsiTheme="minorHAnsi" w:cstheme="minorHAnsi"/>
          <w:b/>
          <w:sz w:val="22"/>
          <w:szCs w:val="22"/>
        </w:rPr>
        <w:lastRenderedPageBreak/>
        <w:t>TURINY</w:t>
      </w:r>
      <w:r w:rsidR="00AA4BED" w:rsidRPr="00F56F28">
        <w:rPr>
          <w:rFonts w:asciiTheme="minorHAnsi" w:hAnsiTheme="minorHAnsi" w:cstheme="minorHAnsi"/>
          <w:b/>
          <w:sz w:val="22"/>
          <w:szCs w:val="22"/>
        </w:rPr>
        <w:t>S</w:t>
      </w:r>
    </w:p>
    <w:bookmarkStart w:id="8" w:name="_Hlk78967306"/>
    <w:p w14:paraId="3435C284" w14:textId="5EF67F67" w:rsidR="0034620D" w:rsidRDefault="00A364C6">
      <w:pPr>
        <w:pStyle w:val="TOC1"/>
        <w:rPr>
          <w:rFonts w:eastAsiaTheme="minorEastAsia" w:cstheme="minorBidi"/>
          <w:b w:val="0"/>
          <w:bCs w:val="0"/>
          <w:caps w:val="0"/>
          <w:noProof/>
          <w:kern w:val="2"/>
          <w:szCs w:val="22"/>
          <w:lang w:val="en-US" w:eastAsia="en-US"/>
          <w14:ligatures w14:val="standardContextual"/>
        </w:rPr>
      </w:pPr>
      <w:r w:rsidRPr="00F56F28">
        <w:rPr>
          <w:rFonts w:cstheme="minorHAnsi"/>
          <w:szCs w:val="22"/>
        </w:rPr>
        <w:fldChar w:fldCharType="begin"/>
      </w:r>
      <w:r w:rsidR="003D4C15" w:rsidRPr="003550A8">
        <w:rPr>
          <w:rFonts w:cstheme="minorHAnsi"/>
          <w:szCs w:val="22"/>
        </w:rPr>
        <w:instrText xml:space="preserve"> TOC \o "1-3" \h \z \u </w:instrText>
      </w:r>
      <w:r w:rsidRPr="00F56F28">
        <w:rPr>
          <w:rFonts w:cstheme="minorHAnsi"/>
          <w:szCs w:val="22"/>
        </w:rPr>
        <w:fldChar w:fldCharType="separate"/>
      </w:r>
      <w:hyperlink w:anchor="_Toc159340647" w:history="1">
        <w:r w:rsidR="0034620D" w:rsidRPr="00A93C3C">
          <w:rPr>
            <w:rStyle w:val="Hyperlink"/>
            <w:rFonts w:cstheme="minorHAnsi"/>
            <w:noProof/>
          </w:rPr>
          <w:t>I. Administracinės bylos, kylančios iš ginčų dėl teisės viešojo administravimo srityje</w:t>
        </w:r>
        <w:r w:rsidR="0034620D">
          <w:rPr>
            <w:noProof/>
            <w:webHidden/>
          </w:rPr>
          <w:tab/>
        </w:r>
        <w:r w:rsidR="0034620D">
          <w:rPr>
            <w:noProof/>
            <w:webHidden/>
          </w:rPr>
          <w:fldChar w:fldCharType="begin"/>
        </w:r>
        <w:r w:rsidR="0034620D">
          <w:rPr>
            <w:noProof/>
            <w:webHidden/>
          </w:rPr>
          <w:instrText xml:space="preserve"> PAGEREF _Toc159340647 \h </w:instrText>
        </w:r>
        <w:r w:rsidR="0034620D">
          <w:rPr>
            <w:noProof/>
            <w:webHidden/>
          </w:rPr>
        </w:r>
        <w:r w:rsidR="0034620D">
          <w:rPr>
            <w:noProof/>
            <w:webHidden/>
          </w:rPr>
          <w:fldChar w:fldCharType="separate"/>
        </w:r>
        <w:r w:rsidR="0034620D">
          <w:rPr>
            <w:noProof/>
            <w:webHidden/>
          </w:rPr>
          <w:t>4</w:t>
        </w:r>
        <w:r w:rsidR="0034620D">
          <w:rPr>
            <w:noProof/>
            <w:webHidden/>
          </w:rPr>
          <w:fldChar w:fldCharType="end"/>
        </w:r>
      </w:hyperlink>
    </w:p>
    <w:p w14:paraId="0D74180D" w14:textId="3730C7C9" w:rsidR="0034620D" w:rsidRDefault="00000000">
      <w:pPr>
        <w:pStyle w:val="TOC1"/>
        <w:rPr>
          <w:rFonts w:eastAsiaTheme="minorEastAsia" w:cstheme="minorBidi"/>
          <w:b w:val="0"/>
          <w:bCs w:val="0"/>
          <w:caps w:val="0"/>
          <w:noProof/>
          <w:kern w:val="2"/>
          <w:szCs w:val="22"/>
          <w:lang w:val="en-US" w:eastAsia="en-US"/>
          <w14:ligatures w14:val="standardContextual"/>
        </w:rPr>
      </w:pPr>
      <w:hyperlink w:anchor="_Toc159340648" w:history="1">
        <w:r w:rsidR="0034620D" w:rsidRPr="00A93C3C">
          <w:rPr>
            <w:rStyle w:val="Hyperlink"/>
            <w:rFonts w:cstheme="minorHAnsi"/>
            <w:noProof/>
          </w:rPr>
          <w:t>4. Norminių administracinių aktų teisėtumo patikra</w:t>
        </w:r>
        <w:r w:rsidR="0034620D">
          <w:rPr>
            <w:noProof/>
            <w:webHidden/>
          </w:rPr>
          <w:tab/>
        </w:r>
        <w:r w:rsidR="0034620D">
          <w:rPr>
            <w:noProof/>
            <w:webHidden/>
          </w:rPr>
          <w:fldChar w:fldCharType="begin"/>
        </w:r>
        <w:r w:rsidR="0034620D">
          <w:rPr>
            <w:noProof/>
            <w:webHidden/>
          </w:rPr>
          <w:instrText xml:space="preserve"> PAGEREF _Toc159340648 \h </w:instrText>
        </w:r>
        <w:r w:rsidR="0034620D">
          <w:rPr>
            <w:noProof/>
            <w:webHidden/>
          </w:rPr>
        </w:r>
        <w:r w:rsidR="0034620D">
          <w:rPr>
            <w:noProof/>
            <w:webHidden/>
          </w:rPr>
          <w:fldChar w:fldCharType="separate"/>
        </w:r>
        <w:r w:rsidR="0034620D">
          <w:rPr>
            <w:noProof/>
            <w:webHidden/>
          </w:rPr>
          <w:t>4</w:t>
        </w:r>
        <w:r w:rsidR="0034620D">
          <w:rPr>
            <w:noProof/>
            <w:webHidden/>
          </w:rPr>
          <w:fldChar w:fldCharType="end"/>
        </w:r>
      </w:hyperlink>
    </w:p>
    <w:p w14:paraId="39CB52E3" w14:textId="4E4024BA" w:rsidR="0034620D" w:rsidRDefault="00000000">
      <w:pPr>
        <w:pStyle w:val="TOC2"/>
        <w:rPr>
          <w:rFonts w:eastAsiaTheme="minorEastAsia" w:cstheme="minorBidi"/>
          <w:i w:val="0"/>
          <w:noProof/>
          <w:kern w:val="2"/>
          <w:szCs w:val="22"/>
          <w:lang w:val="en-US" w:eastAsia="en-US"/>
          <w14:ligatures w14:val="standardContextual"/>
        </w:rPr>
      </w:pPr>
      <w:hyperlink w:anchor="_Toc159340649" w:history="1">
        <w:r w:rsidR="0034620D" w:rsidRPr="00A93C3C">
          <w:rPr>
            <w:rStyle w:val="Hyperlink"/>
            <w:rFonts w:eastAsia="Calibri" w:cstheme="minorHAnsi"/>
            <w:noProof/>
          </w:rPr>
          <w:t>Dėl Nacionalinės mokėjimo agentūros įgaliojimų priimti sprendimą dėl neteisėtai išmokėtų ir (arba) panaudotų Europos Sąjungos paramos lėšų susigrąžinimo</w:t>
        </w:r>
        <w:r w:rsidR="0034620D">
          <w:rPr>
            <w:noProof/>
            <w:webHidden/>
          </w:rPr>
          <w:tab/>
        </w:r>
        <w:r w:rsidR="0034620D">
          <w:rPr>
            <w:noProof/>
            <w:webHidden/>
          </w:rPr>
          <w:fldChar w:fldCharType="begin"/>
        </w:r>
        <w:r w:rsidR="0034620D">
          <w:rPr>
            <w:noProof/>
            <w:webHidden/>
          </w:rPr>
          <w:instrText xml:space="preserve"> PAGEREF _Toc159340649 \h </w:instrText>
        </w:r>
        <w:r w:rsidR="0034620D">
          <w:rPr>
            <w:noProof/>
            <w:webHidden/>
          </w:rPr>
        </w:r>
        <w:r w:rsidR="0034620D">
          <w:rPr>
            <w:noProof/>
            <w:webHidden/>
          </w:rPr>
          <w:fldChar w:fldCharType="separate"/>
        </w:r>
        <w:r w:rsidR="0034620D">
          <w:rPr>
            <w:noProof/>
            <w:webHidden/>
          </w:rPr>
          <w:t>4</w:t>
        </w:r>
        <w:r w:rsidR="0034620D">
          <w:rPr>
            <w:noProof/>
            <w:webHidden/>
          </w:rPr>
          <w:fldChar w:fldCharType="end"/>
        </w:r>
      </w:hyperlink>
    </w:p>
    <w:p w14:paraId="48378FBA" w14:textId="736140E3" w:rsidR="0034620D" w:rsidRDefault="00000000">
      <w:pPr>
        <w:pStyle w:val="TOC2"/>
        <w:rPr>
          <w:rFonts w:eastAsiaTheme="minorEastAsia" w:cstheme="minorBidi"/>
          <w:i w:val="0"/>
          <w:noProof/>
          <w:kern w:val="2"/>
          <w:szCs w:val="22"/>
          <w:lang w:val="en-US" w:eastAsia="en-US"/>
          <w14:ligatures w14:val="standardContextual"/>
        </w:rPr>
      </w:pPr>
      <w:hyperlink w:anchor="_Toc159340650" w:history="1">
        <w:r w:rsidR="0034620D" w:rsidRPr="00A93C3C">
          <w:rPr>
            <w:rStyle w:val="Hyperlink"/>
            <w:rFonts w:eastAsia="Calibri" w:cstheme="minorHAnsi"/>
            <w:noProof/>
          </w:rPr>
          <w:t>Dėl išimties, leidžiančios neinventorizuoti ir neįtraukti į miško apskaitą medžių savaiminukais, kurių vidutinis amžius ne mažesnis kaip 20 metų, apaugusios žemės, teisėtumo</w:t>
        </w:r>
        <w:r w:rsidR="0034620D">
          <w:rPr>
            <w:noProof/>
            <w:webHidden/>
          </w:rPr>
          <w:tab/>
        </w:r>
        <w:r w:rsidR="0034620D">
          <w:rPr>
            <w:noProof/>
            <w:webHidden/>
          </w:rPr>
          <w:fldChar w:fldCharType="begin"/>
        </w:r>
        <w:r w:rsidR="0034620D">
          <w:rPr>
            <w:noProof/>
            <w:webHidden/>
          </w:rPr>
          <w:instrText xml:space="preserve"> PAGEREF _Toc159340650 \h </w:instrText>
        </w:r>
        <w:r w:rsidR="0034620D">
          <w:rPr>
            <w:noProof/>
            <w:webHidden/>
          </w:rPr>
        </w:r>
        <w:r w:rsidR="0034620D">
          <w:rPr>
            <w:noProof/>
            <w:webHidden/>
          </w:rPr>
          <w:fldChar w:fldCharType="separate"/>
        </w:r>
        <w:r w:rsidR="0034620D">
          <w:rPr>
            <w:noProof/>
            <w:webHidden/>
          </w:rPr>
          <w:t>5</w:t>
        </w:r>
        <w:r w:rsidR="0034620D">
          <w:rPr>
            <w:noProof/>
            <w:webHidden/>
          </w:rPr>
          <w:fldChar w:fldCharType="end"/>
        </w:r>
      </w:hyperlink>
    </w:p>
    <w:p w14:paraId="1691B46E" w14:textId="21BDC6EE" w:rsidR="0034620D" w:rsidRDefault="00000000">
      <w:pPr>
        <w:pStyle w:val="TOC2"/>
        <w:rPr>
          <w:rFonts w:eastAsiaTheme="minorEastAsia" w:cstheme="minorBidi"/>
          <w:i w:val="0"/>
          <w:noProof/>
          <w:kern w:val="2"/>
          <w:szCs w:val="22"/>
          <w:lang w:val="en-US" w:eastAsia="en-US"/>
          <w14:ligatures w14:val="standardContextual"/>
        </w:rPr>
      </w:pPr>
      <w:hyperlink w:anchor="_Toc159340651" w:history="1">
        <w:r w:rsidR="0034620D" w:rsidRPr="00A93C3C">
          <w:rPr>
            <w:rStyle w:val="Hyperlink"/>
            <w:rFonts w:eastAsia="Calibri" w:cstheme="minorHAnsi"/>
            <w:noProof/>
          </w:rPr>
          <w:t>Dėl savivaldybių tarybų sprendimų projektų išviešinimo</w:t>
        </w:r>
        <w:r w:rsidR="0034620D">
          <w:rPr>
            <w:noProof/>
            <w:webHidden/>
          </w:rPr>
          <w:tab/>
        </w:r>
        <w:r w:rsidR="0034620D">
          <w:rPr>
            <w:noProof/>
            <w:webHidden/>
          </w:rPr>
          <w:fldChar w:fldCharType="begin"/>
        </w:r>
        <w:r w:rsidR="0034620D">
          <w:rPr>
            <w:noProof/>
            <w:webHidden/>
          </w:rPr>
          <w:instrText xml:space="preserve"> PAGEREF _Toc159340651 \h </w:instrText>
        </w:r>
        <w:r w:rsidR="0034620D">
          <w:rPr>
            <w:noProof/>
            <w:webHidden/>
          </w:rPr>
        </w:r>
        <w:r w:rsidR="0034620D">
          <w:rPr>
            <w:noProof/>
            <w:webHidden/>
          </w:rPr>
          <w:fldChar w:fldCharType="separate"/>
        </w:r>
        <w:r w:rsidR="0034620D">
          <w:rPr>
            <w:noProof/>
            <w:webHidden/>
          </w:rPr>
          <w:t>6</w:t>
        </w:r>
        <w:r w:rsidR="0034620D">
          <w:rPr>
            <w:noProof/>
            <w:webHidden/>
          </w:rPr>
          <w:fldChar w:fldCharType="end"/>
        </w:r>
      </w:hyperlink>
    </w:p>
    <w:p w14:paraId="6EC39BFA" w14:textId="11B5EB58" w:rsidR="0034620D" w:rsidRDefault="00000000">
      <w:pPr>
        <w:pStyle w:val="TOC2"/>
        <w:rPr>
          <w:rFonts w:eastAsiaTheme="minorEastAsia" w:cstheme="minorBidi"/>
          <w:i w:val="0"/>
          <w:noProof/>
          <w:kern w:val="2"/>
          <w:szCs w:val="22"/>
          <w:lang w:val="en-US" w:eastAsia="en-US"/>
          <w14:ligatures w14:val="standardContextual"/>
        </w:rPr>
      </w:pPr>
      <w:hyperlink w:anchor="_Toc159340652" w:history="1">
        <w:r w:rsidR="0034620D" w:rsidRPr="00A93C3C">
          <w:rPr>
            <w:rStyle w:val="Hyperlink"/>
            <w:rFonts w:eastAsia="Calibri" w:cstheme="minorHAnsi"/>
            <w:noProof/>
          </w:rPr>
          <w:t>Dėl nekilnojamojo turto naudojimo ir tokio turto pastatymo bei įregistravimo momento, kaip nekilnojamojo turto mokesčio tarifo diferencijavimo kriterijų</w:t>
        </w:r>
        <w:r w:rsidR="0034620D">
          <w:rPr>
            <w:noProof/>
            <w:webHidden/>
          </w:rPr>
          <w:tab/>
        </w:r>
        <w:r w:rsidR="0034620D">
          <w:rPr>
            <w:noProof/>
            <w:webHidden/>
          </w:rPr>
          <w:fldChar w:fldCharType="begin"/>
        </w:r>
        <w:r w:rsidR="0034620D">
          <w:rPr>
            <w:noProof/>
            <w:webHidden/>
          </w:rPr>
          <w:instrText xml:space="preserve"> PAGEREF _Toc159340652 \h </w:instrText>
        </w:r>
        <w:r w:rsidR="0034620D">
          <w:rPr>
            <w:noProof/>
            <w:webHidden/>
          </w:rPr>
        </w:r>
        <w:r w:rsidR="0034620D">
          <w:rPr>
            <w:noProof/>
            <w:webHidden/>
          </w:rPr>
          <w:fldChar w:fldCharType="separate"/>
        </w:r>
        <w:r w:rsidR="0034620D">
          <w:rPr>
            <w:noProof/>
            <w:webHidden/>
          </w:rPr>
          <w:t>6</w:t>
        </w:r>
        <w:r w:rsidR="0034620D">
          <w:rPr>
            <w:noProof/>
            <w:webHidden/>
          </w:rPr>
          <w:fldChar w:fldCharType="end"/>
        </w:r>
      </w:hyperlink>
    </w:p>
    <w:p w14:paraId="6143B29D" w14:textId="585D7492" w:rsidR="0034620D" w:rsidRDefault="00000000">
      <w:pPr>
        <w:pStyle w:val="TOC1"/>
        <w:rPr>
          <w:rFonts w:eastAsiaTheme="minorEastAsia" w:cstheme="minorBidi"/>
          <w:b w:val="0"/>
          <w:bCs w:val="0"/>
          <w:caps w:val="0"/>
          <w:noProof/>
          <w:kern w:val="2"/>
          <w:szCs w:val="22"/>
          <w:lang w:val="en-US" w:eastAsia="en-US"/>
          <w14:ligatures w14:val="standardContextual"/>
        </w:rPr>
      </w:pPr>
      <w:hyperlink w:anchor="_Toc159340653" w:history="1">
        <w:r w:rsidR="0034620D" w:rsidRPr="00A93C3C">
          <w:rPr>
            <w:rStyle w:val="Hyperlink"/>
            <w:rFonts w:cstheme="minorHAnsi"/>
            <w:noProof/>
          </w:rPr>
          <w:t>8. Užsieniečių teisinė padėtis</w:t>
        </w:r>
        <w:r w:rsidR="0034620D">
          <w:rPr>
            <w:noProof/>
            <w:webHidden/>
          </w:rPr>
          <w:tab/>
        </w:r>
        <w:r w:rsidR="0034620D">
          <w:rPr>
            <w:noProof/>
            <w:webHidden/>
          </w:rPr>
          <w:fldChar w:fldCharType="begin"/>
        </w:r>
        <w:r w:rsidR="0034620D">
          <w:rPr>
            <w:noProof/>
            <w:webHidden/>
          </w:rPr>
          <w:instrText xml:space="preserve"> PAGEREF _Toc159340653 \h </w:instrText>
        </w:r>
        <w:r w:rsidR="0034620D">
          <w:rPr>
            <w:noProof/>
            <w:webHidden/>
          </w:rPr>
        </w:r>
        <w:r w:rsidR="0034620D">
          <w:rPr>
            <w:noProof/>
            <w:webHidden/>
          </w:rPr>
          <w:fldChar w:fldCharType="separate"/>
        </w:r>
        <w:r w:rsidR="0034620D">
          <w:rPr>
            <w:noProof/>
            <w:webHidden/>
          </w:rPr>
          <w:t>8</w:t>
        </w:r>
        <w:r w:rsidR="0034620D">
          <w:rPr>
            <w:noProof/>
            <w:webHidden/>
          </w:rPr>
          <w:fldChar w:fldCharType="end"/>
        </w:r>
      </w:hyperlink>
    </w:p>
    <w:p w14:paraId="7D282758" w14:textId="4F9324FE" w:rsidR="0034620D" w:rsidRDefault="00000000">
      <w:pPr>
        <w:pStyle w:val="TOC2"/>
        <w:rPr>
          <w:rFonts w:eastAsiaTheme="minorEastAsia" w:cstheme="minorBidi"/>
          <w:i w:val="0"/>
          <w:noProof/>
          <w:kern w:val="2"/>
          <w:szCs w:val="22"/>
          <w:lang w:val="en-US" w:eastAsia="en-US"/>
          <w14:ligatures w14:val="standardContextual"/>
        </w:rPr>
      </w:pPr>
      <w:hyperlink w:anchor="_Toc159340654" w:history="1">
        <w:r w:rsidR="0034620D" w:rsidRPr="00A93C3C">
          <w:rPr>
            <w:rStyle w:val="Hyperlink"/>
            <w:rFonts w:eastAsia="Calibri" w:cstheme="minorHAnsi"/>
            <w:noProof/>
          </w:rPr>
          <w:t>Dėl pareigos motyvuoti sprendimą atsisakyti išduoti nacionalinę vizą</w:t>
        </w:r>
        <w:r w:rsidR="0034620D">
          <w:rPr>
            <w:noProof/>
            <w:webHidden/>
          </w:rPr>
          <w:tab/>
        </w:r>
        <w:r w:rsidR="0034620D">
          <w:rPr>
            <w:noProof/>
            <w:webHidden/>
          </w:rPr>
          <w:fldChar w:fldCharType="begin"/>
        </w:r>
        <w:r w:rsidR="0034620D">
          <w:rPr>
            <w:noProof/>
            <w:webHidden/>
          </w:rPr>
          <w:instrText xml:space="preserve"> PAGEREF _Toc159340654 \h </w:instrText>
        </w:r>
        <w:r w:rsidR="0034620D">
          <w:rPr>
            <w:noProof/>
            <w:webHidden/>
          </w:rPr>
        </w:r>
        <w:r w:rsidR="0034620D">
          <w:rPr>
            <w:noProof/>
            <w:webHidden/>
          </w:rPr>
          <w:fldChar w:fldCharType="separate"/>
        </w:r>
        <w:r w:rsidR="0034620D">
          <w:rPr>
            <w:noProof/>
            <w:webHidden/>
          </w:rPr>
          <w:t>8</w:t>
        </w:r>
        <w:r w:rsidR="0034620D">
          <w:rPr>
            <w:noProof/>
            <w:webHidden/>
          </w:rPr>
          <w:fldChar w:fldCharType="end"/>
        </w:r>
      </w:hyperlink>
    </w:p>
    <w:p w14:paraId="087A53E8" w14:textId="2DC003E0" w:rsidR="0034620D" w:rsidRDefault="00000000">
      <w:pPr>
        <w:pStyle w:val="TOC2"/>
        <w:rPr>
          <w:rFonts w:eastAsiaTheme="minorEastAsia" w:cstheme="minorBidi"/>
          <w:i w:val="0"/>
          <w:noProof/>
          <w:kern w:val="2"/>
          <w:szCs w:val="22"/>
          <w:lang w:val="en-US" w:eastAsia="en-US"/>
          <w14:ligatures w14:val="standardContextual"/>
        </w:rPr>
      </w:pPr>
      <w:hyperlink w:anchor="_Toc159340655" w:history="1">
        <w:r w:rsidR="0034620D" w:rsidRPr="00A93C3C">
          <w:rPr>
            <w:rStyle w:val="Hyperlink"/>
            <w:rFonts w:eastAsia="Calibri" w:cstheme="minorHAnsi"/>
            <w:noProof/>
          </w:rPr>
          <w:t>Dėl Migracijos departamentui tenkančios pareigos motyvuoti sprendimą uždrausti užsieniečiui atvykti ilgesniam laikotarpiui, nei yra pasiūlęs Valstybės saugumo departamentas</w:t>
        </w:r>
        <w:r w:rsidR="0034620D">
          <w:rPr>
            <w:noProof/>
            <w:webHidden/>
          </w:rPr>
          <w:tab/>
        </w:r>
        <w:r w:rsidR="0034620D">
          <w:rPr>
            <w:noProof/>
            <w:webHidden/>
          </w:rPr>
          <w:fldChar w:fldCharType="begin"/>
        </w:r>
        <w:r w:rsidR="0034620D">
          <w:rPr>
            <w:noProof/>
            <w:webHidden/>
          </w:rPr>
          <w:instrText xml:space="preserve"> PAGEREF _Toc159340655 \h </w:instrText>
        </w:r>
        <w:r w:rsidR="0034620D">
          <w:rPr>
            <w:noProof/>
            <w:webHidden/>
          </w:rPr>
        </w:r>
        <w:r w:rsidR="0034620D">
          <w:rPr>
            <w:noProof/>
            <w:webHidden/>
          </w:rPr>
          <w:fldChar w:fldCharType="separate"/>
        </w:r>
        <w:r w:rsidR="0034620D">
          <w:rPr>
            <w:noProof/>
            <w:webHidden/>
          </w:rPr>
          <w:t>9</w:t>
        </w:r>
        <w:r w:rsidR="0034620D">
          <w:rPr>
            <w:noProof/>
            <w:webHidden/>
          </w:rPr>
          <w:fldChar w:fldCharType="end"/>
        </w:r>
      </w:hyperlink>
    </w:p>
    <w:p w14:paraId="57F1A559" w14:textId="61C79E19" w:rsidR="0034620D" w:rsidRDefault="00000000">
      <w:pPr>
        <w:pStyle w:val="TOC2"/>
        <w:rPr>
          <w:rFonts w:eastAsiaTheme="minorEastAsia" w:cstheme="minorBidi"/>
          <w:i w:val="0"/>
          <w:noProof/>
          <w:kern w:val="2"/>
          <w:szCs w:val="22"/>
          <w:lang w:val="en-US" w:eastAsia="en-US"/>
          <w14:ligatures w14:val="standardContextual"/>
        </w:rPr>
      </w:pPr>
      <w:hyperlink w:anchor="_Toc159340656" w:history="1">
        <w:r w:rsidR="0034620D" w:rsidRPr="00A93C3C">
          <w:rPr>
            <w:rStyle w:val="Hyperlink"/>
            <w:rFonts w:eastAsia="Calibri" w:cstheme="minorHAnsi"/>
            <w:noProof/>
          </w:rPr>
          <w:t>Dėl pareigos motyvuoti sprendimą įtraukti į Šengeno informacinę sistemą perspėjimą apie draudimą užsieniečiui atvykti ir apsigyventi</w:t>
        </w:r>
        <w:r w:rsidR="0034620D">
          <w:rPr>
            <w:noProof/>
            <w:webHidden/>
          </w:rPr>
          <w:tab/>
        </w:r>
        <w:r w:rsidR="0034620D">
          <w:rPr>
            <w:noProof/>
            <w:webHidden/>
          </w:rPr>
          <w:fldChar w:fldCharType="begin"/>
        </w:r>
        <w:r w:rsidR="0034620D">
          <w:rPr>
            <w:noProof/>
            <w:webHidden/>
          </w:rPr>
          <w:instrText xml:space="preserve"> PAGEREF _Toc159340656 \h </w:instrText>
        </w:r>
        <w:r w:rsidR="0034620D">
          <w:rPr>
            <w:noProof/>
            <w:webHidden/>
          </w:rPr>
        </w:r>
        <w:r w:rsidR="0034620D">
          <w:rPr>
            <w:noProof/>
            <w:webHidden/>
          </w:rPr>
          <w:fldChar w:fldCharType="separate"/>
        </w:r>
        <w:r w:rsidR="0034620D">
          <w:rPr>
            <w:noProof/>
            <w:webHidden/>
          </w:rPr>
          <w:t>9</w:t>
        </w:r>
        <w:r w:rsidR="0034620D">
          <w:rPr>
            <w:noProof/>
            <w:webHidden/>
          </w:rPr>
          <w:fldChar w:fldCharType="end"/>
        </w:r>
      </w:hyperlink>
    </w:p>
    <w:p w14:paraId="6C613EC4" w14:textId="6D4B805F" w:rsidR="0034620D" w:rsidRDefault="00000000">
      <w:pPr>
        <w:pStyle w:val="TOC2"/>
        <w:rPr>
          <w:rFonts w:eastAsiaTheme="minorEastAsia" w:cstheme="minorBidi"/>
          <w:i w:val="0"/>
          <w:noProof/>
          <w:kern w:val="2"/>
          <w:szCs w:val="22"/>
          <w:lang w:val="en-US" w:eastAsia="en-US"/>
          <w14:ligatures w14:val="standardContextual"/>
        </w:rPr>
      </w:pPr>
      <w:hyperlink w:anchor="_Toc159340657" w:history="1">
        <w:r w:rsidR="0034620D" w:rsidRPr="00A93C3C">
          <w:rPr>
            <w:rStyle w:val="Hyperlink"/>
            <w:rFonts w:eastAsia="Calibri" w:cstheme="minorHAnsi"/>
            <w:noProof/>
          </w:rPr>
          <w:t>Dėl užsieniečio keliamos grėsmės nacionaliniam saugumui kaip pagrindo į Šengeno informacinę sistemą įvesti perspėjimą dėl draudimo tokiam užsieniečiui atvykti ir apsigyventi</w:t>
        </w:r>
        <w:r w:rsidR="0034620D">
          <w:rPr>
            <w:noProof/>
            <w:webHidden/>
          </w:rPr>
          <w:tab/>
        </w:r>
        <w:r w:rsidR="0034620D">
          <w:rPr>
            <w:noProof/>
            <w:webHidden/>
          </w:rPr>
          <w:fldChar w:fldCharType="begin"/>
        </w:r>
        <w:r w:rsidR="0034620D">
          <w:rPr>
            <w:noProof/>
            <w:webHidden/>
          </w:rPr>
          <w:instrText xml:space="preserve"> PAGEREF _Toc159340657 \h </w:instrText>
        </w:r>
        <w:r w:rsidR="0034620D">
          <w:rPr>
            <w:noProof/>
            <w:webHidden/>
          </w:rPr>
        </w:r>
        <w:r w:rsidR="0034620D">
          <w:rPr>
            <w:noProof/>
            <w:webHidden/>
          </w:rPr>
          <w:fldChar w:fldCharType="separate"/>
        </w:r>
        <w:r w:rsidR="0034620D">
          <w:rPr>
            <w:noProof/>
            <w:webHidden/>
          </w:rPr>
          <w:t>10</w:t>
        </w:r>
        <w:r w:rsidR="0034620D">
          <w:rPr>
            <w:noProof/>
            <w:webHidden/>
          </w:rPr>
          <w:fldChar w:fldCharType="end"/>
        </w:r>
      </w:hyperlink>
    </w:p>
    <w:p w14:paraId="69B1D392" w14:textId="2AFDB132" w:rsidR="0034620D" w:rsidRDefault="00000000">
      <w:pPr>
        <w:pStyle w:val="TOC1"/>
        <w:rPr>
          <w:rFonts w:eastAsiaTheme="minorEastAsia" w:cstheme="minorBidi"/>
          <w:b w:val="0"/>
          <w:bCs w:val="0"/>
          <w:caps w:val="0"/>
          <w:noProof/>
          <w:kern w:val="2"/>
          <w:szCs w:val="22"/>
          <w:lang w:val="en-US" w:eastAsia="en-US"/>
          <w14:ligatures w14:val="standardContextual"/>
        </w:rPr>
      </w:pPr>
      <w:hyperlink w:anchor="_Toc159340658" w:history="1">
        <w:r w:rsidR="0034620D" w:rsidRPr="00A93C3C">
          <w:rPr>
            <w:rStyle w:val="Hyperlink"/>
            <w:rFonts w:cstheme="minorHAnsi"/>
            <w:noProof/>
          </w:rPr>
          <w:t>12. Mokesčiai, įmokos ir kiti privalomieji mokėjimai</w:t>
        </w:r>
        <w:r w:rsidR="0034620D">
          <w:rPr>
            <w:noProof/>
            <w:webHidden/>
          </w:rPr>
          <w:tab/>
        </w:r>
        <w:r w:rsidR="0034620D">
          <w:rPr>
            <w:noProof/>
            <w:webHidden/>
          </w:rPr>
          <w:fldChar w:fldCharType="begin"/>
        </w:r>
        <w:r w:rsidR="0034620D">
          <w:rPr>
            <w:noProof/>
            <w:webHidden/>
          </w:rPr>
          <w:instrText xml:space="preserve"> PAGEREF _Toc159340658 \h </w:instrText>
        </w:r>
        <w:r w:rsidR="0034620D">
          <w:rPr>
            <w:noProof/>
            <w:webHidden/>
          </w:rPr>
        </w:r>
        <w:r w:rsidR="0034620D">
          <w:rPr>
            <w:noProof/>
            <w:webHidden/>
          </w:rPr>
          <w:fldChar w:fldCharType="separate"/>
        </w:r>
        <w:r w:rsidR="0034620D">
          <w:rPr>
            <w:noProof/>
            <w:webHidden/>
          </w:rPr>
          <w:t>11</w:t>
        </w:r>
        <w:r w:rsidR="0034620D">
          <w:rPr>
            <w:noProof/>
            <w:webHidden/>
          </w:rPr>
          <w:fldChar w:fldCharType="end"/>
        </w:r>
      </w:hyperlink>
    </w:p>
    <w:p w14:paraId="660E774E" w14:textId="33F40F88" w:rsidR="0034620D" w:rsidRDefault="00000000">
      <w:pPr>
        <w:pStyle w:val="TOC2"/>
        <w:rPr>
          <w:rFonts w:eastAsiaTheme="minorEastAsia" w:cstheme="minorBidi"/>
          <w:i w:val="0"/>
          <w:noProof/>
          <w:kern w:val="2"/>
          <w:szCs w:val="22"/>
          <w:lang w:val="en-US" w:eastAsia="en-US"/>
          <w14:ligatures w14:val="standardContextual"/>
        </w:rPr>
      </w:pPr>
      <w:hyperlink w:anchor="_Toc159340659" w:history="1">
        <w:r w:rsidR="0034620D" w:rsidRPr="00A93C3C">
          <w:rPr>
            <w:rStyle w:val="Hyperlink"/>
            <w:rFonts w:eastAsia="Calibri" w:cstheme="minorHAnsi"/>
            <w:noProof/>
          </w:rPr>
          <w:t>Dėl nuo 2020 m. sausio 1 d. įsigaliojusių mokesčių apskaičiavimo ir perskaičiavimo senaties terminų taikymo muitinės administruojamiems importo PVM ir akcizams, kai skola muitinei atsirado iki minėtos datos, tačiau administravimo procedūros pradėtos vėliau</w:t>
        </w:r>
        <w:r w:rsidR="0034620D">
          <w:rPr>
            <w:noProof/>
            <w:webHidden/>
          </w:rPr>
          <w:tab/>
        </w:r>
        <w:r w:rsidR="0034620D">
          <w:rPr>
            <w:noProof/>
            <w:webHidden/>
          </w:rPr>
          <w:fldChar w:fldCharType="begin"/>
        </w:r>
        <w:r w:rsidR="0034620D">
          <w:rPr>
            <w:noProof/>
            <w:webHidden/>
          </w:rPr>
          <w:instrText xml:space="preserve"> PAGEREF _Toc159340659 \h </w:instrText>
        </w:r>
        <w:r w:rsidR="0034620D">
          <w:rPr>
            <w:noProof/>
            <w:webHidden/>
          </w:rPr>
        </w:r>
        <w:r w:rsidR="0034620D">
          <w:rPr>
            <w:noProof/>
            <w:webHidden/>
          </w:rPr>
          <w:fldChar w:fldCharType="separate"/>
        </w:r>
        <w:r w:rsidR="0034620D">
          <w:rPr>
            <w:noProof/>
            <w:webHidden/>
          </w:rPr>
          <w:t>11</w:t>
        </w:r>
        <w:r w:rsidR="0034620D">
          <w:rPr>
            <w:noProof/>
            <w:webHidden/>
          </w:rPr>
          <w:fldChar w:fldCharType="end"/>
        </w:r>
      </w:hyperlink>
    </w:p>
    <w:p w14:paraId="5403E16C" w14:textId="5C53A1AA" w:rsidR="0034620D" w:rsidRDefault="00000000">
      <w:pPr>
        <w:pStyle w:val="TOC2"/>
        <w:rPr>
          <w:rFonts w:eastAsiaTheme="minorEastAsia" w:cstheme="minorBidi"/>
          <w:i w:val="0"/>
          <w:noProof/>
          <w:kern w:val="2"/>
          <w:szCs w:val="22"/>
          <w:lang w:val="en-US" w:eastAsia="en-US"/>
          <w14:ligatures w14:val="standardContextual"/>
        </w:rPr>
      </w:pPr>
      <w:hyperlink w:anchor="_Toc159340660" w:history="1">
        <w:r w:rsidR="0034620D" w:rsidRPr="00A93C3C">
          <w:rPr>
            <w:rStyle w:val="Hyperlink"/>
            <w:rFonts w:eastAsia="Calibri" w:cstheme="minorHAnsi"/>
            <w:noProof/>
          </w:rPr>
          <w:t>Dėl gyvybės draudimo išmokos pripažinimo neapmokestinamosiomis pajamomis pagal Gyventojų pajamų mokesčio įstatymo 17 straipsnio 1 dalies 10 punktą, kai išmokos gavėjas šią išmoką pervedė 26 metų amžiaus neturinčiam šeimos nariui</w:t>
        </w:r>
        <w:r w:rsidR="0034620D">
          <w:rPr>
            <w:noProof/>
            <w:webHidden/>
          </w:rPr>
          <w:tab/>
        </w:r>
        <w:r w:rsidR="0034620D">
          <w:rPr>
            <w:noProof/>
            <w:webHidden/>
          </w:rPr>
          <w:fldChar w:fldCharType="begin"/>
        </w:r>
        <w:r w:rsidR="0034620D">
          <w:rPr>
            <w:noProof/>
            <w:webHidden/>
          </w:rPr>
          <w:instrText xml:space="preserve"> PAGEREF _Toc159340660 \h </w:instrText>
        </w:r>
        <w:r w:rsidR="0034620D">
          <w:rPr>
            <w:noProof/>
            <w:webHidden/>
          </w:rPr>
        </w:r>
        <w:r w:rsidR="0034620D">
          <w:rPr>
            <w:noProof/>
            <w:webHidden/>
          </w:rPr>
          <w:fldChar w:fldCharType="separate"/>
        </w:r>
        <w:r w:rsidR="0034620D">
          <w:rPr>
            <w:noProof/>
            <w:webHidden/>
          </w:rPr>
          <w:t>11</w:t>
        </w:r>
        <w:r w:rsidR="0034620D">
          <w:rPr>
            <w:noProof/>
            <w:webHidden/>
          </w:rPr>
          <w:fldChar w:fldCharType="end"/>
        </w:r>
      </w:hyperlink>
    </w:p>
    <w:p w14:paraId="33EBD044" w14:textId="7746C09B" w:rsidR="0034620D" w:rsidRDefault="00000000">
      <w:pPr>
        <w:pStyle w:val="TOC1"/>
        <w:rPr>
          <w:rFonts w:eastAsiaTheme="minorEastAsia" w:cstheme="minorBidi"/>
          <w:b w:val="0"/>
          <w:bCs w:val="0"/>
          <w:caps w:val="0"/>
          <w:noProof/>
          <w:kern w:val="2"/>
          <w:szCs w:val="22"/>
          <w:lang w:val="en-US" w:eastAsia="en-US"/>
          <w14:ligatures w14:val="standardContextual"/>
        </w:rPr>
      </w:pPr>
      <w:hyperlink w:anchor="_Toc159340661" w:history="1">
        <w:r w:rsidR="0034620D" w:rsidRPr="00A93C3C">
          <w:rPr>
            <w:rStyle w:val="Hyperlink"/>
            <w:rFonts w:cstheme="minorHAnsi"/>
            <w:noProof/>
          </w:rPr>
          <w:t>18. Nuosavybės teisių atkūrimas</w:t>
        </w:r>
        <w:r w:rsidR="0034620D">
          <w:rPr>
            <w:noProof/>
            <w:webHidden/>
          </w:rPr>
          <w:tab/>
        </w:r>
        <w:r w:rsidR="0034620D">
          <w:rPr>
            <w:noProof/>
            <w:webHidden/>
          </w:rPr>
          <w:fldChar w:fldCharType="begin"/>
        </w:r>
        <w:r w:rsidR="0034620D">
          <w:rPr>
            <w:noProof/>
            <w:webHidden/>
          </w:rPr>
          <w:instrText xml:space="preserve"> PAGEREF _Toc159340661 \h </w:instrText>
        </w:r>
        <w:r w:rsidR="0034620D">
          <w:rPr>
            <w:noProof/>
            <w:webHidden/>
          </w:rPr>
        </w:r>
        <w:r w:rsidR="0034620D">
          <w:rPr>
            <w:noProof/>
            <w:webHidden/>
          </w:rPr>
          <w:fldChar w:fldCharType="separate"/>
        </w:r>
        <w:r w:rsidR="0034620D">
          <w:rPr>
            <w:noProof/>
            <w:webHidden/>
          </w:rPr>
          <w:t>12</w:t>
        </w:r>
        <w:r w:rsidR="0034620D">
          <w:rPr>
            <w:noProof/>
            <w:webHidden/>
          </w:rPr>
          <w:fldChar w:fldCharType="end"/>
        </w:r>
      </w:hyperlink>
    </w:p>
    <w:p w14:paraId="78A186FC" w14:textId="24D79078" w:rsidR="0034620D" w:rsidRDefault="00000000">
      <w:pPr>
        <w:pStyle w:val="TOC2"/>
        <w:rPr>
          <w:rFonts w:eastAsiaTheme="minorEastAsia" w:cstheme="minorBidi"/>
          <w:i w:val="0"/>
          <w:noProof/>
          <w:kern w:val="2"/>
          <w:szCs w:val="22"/>
          <w:lang w:val="en-US" w:eastAsia="en-US"/>
          <w14:ligatures w14:val="standardContextual"/>
        </w:rPr>
      </w:pPr>
      <w:hyperlink w:anchor="_Toc159340662" w:history="1">
        <w:r w:rsidR="0034620D" w:rsidRPr="00A93C3C">
          <w:rPr>
            <w:rStyle w:val="Hyperlink"/>
            <w:rFonts w:eastAsia="Calibri" w:cstheme="minorHAnsi"/>
            <w:noProof/>
          </w:rPr>
          <w:t>Dėl činšo teisės paveldėjimo</w:t>
        </w:r>
        <w:r w:rsidR="0034620D">
          <w:rPr>
            <w:noProof/>
            <w:webHidden/>
          </w:rPr>
          <w:tab/>
        </w:r>
        <w:r w:rsidR="0034620D">
          <w:rPr>
            <w:noProof/>
            <w:webHidden/>
          </w:rPr>
          <w:fldChar w:fldCharType="begin"/>
        </w:r>
        <w:r w:rsidR="0034620D">
          <w:rPr>
            <w:noProof/>
            <w:webHidden/>
          </w:rPr>
          <w:instrText xml:space="preserve"> PAGEREF _Toc159340662 \h </w:instrText>
        </w:r>
        <w:r w:rsidR="0034620D">
          <w:rPr>
            <w:noProof/>
            <w:webHidden/>
          </w:rPr>
        </w:r>
        <w:r w:rsidR="0034620D">
          <w:rPr>
            <w:noProof/>
            <w:webHidden/>
          </w:rPr>
          <w:fldChar w:fldCharType="separate"/>
        </w:r>
        <w:r w:rsidR="0034620D">
          <w:rPr>
            <w:noProof/>
            <w:webHidden/>
          </w:rPr>
          <w:t>12</w:t>
        </w:r>
        <w:r w:rsidR="0034620D">
          <w:rPr>
            <w:noProof/>
            <w:webHidden/>
          </w:rPr>
          <w:fldChar w:fldCharType="end"/>
        </w:r>
      </w:hyperlink>
    </w:p>
    <w:p w14:paraId="67C459EB" w14:textId="613C747C" w:rsidR="0034620D" w:rsidRDefault="00000000">
      <w:pPr>
        <w:pStyle w:val="TOC1"/>
        <w:rPr>
          <w:rFonts w:eastAsiaTheme="minorEastAsia" w:cstheme="minorBidi"/>
          <w:b w:val="0"/>
          <w:bCs w:val="0"/>
          <w:caps w:val="0"/>
          <w:noProof/>
          <w:kern w:val="2"/>
          <w:szCs w:val="22"/>
          <w:lang w:val="en-US" w:eastAsia="en-US"/>
          <w14:ligatures w14:val="standardContextual"/>
        </w:rPr>
      </w:pPr>
      <w:hyperlink w:anchor="_Toc159340663" w:history="1">
        <w:r w:rsidR="0034620D" w:rsidRPr="00A93C3C">
          <w:rPr>
            <w:rStyle w:val="Hyperlink"/>
            <w:rFonts w:cstheme="minorHAnsi"/>
            <w:noProof/>
          </w:rPr>
          <w:t>22. Kiti su valstybės tarnyba susiję klausimai</w:t>
        </w:r>
        <w:r w:rsidR="0034620D">
          <w:rPr>
            <w:noProof/>
            <w:webHidden/>
          </w:rPr>
          <w:tab/>
        </w:r>
        <w:r w:rsidR="0034620D">
          <w:rPr>
            <w:noProof/>
            <w:webHidden/>
          </w:rPr>
          <w:fldChar w:fldCharType="begin"/>
        </w:r>
        <w:r w:rsidR="0034620D">
          <w:rPr>
            <w:noProof/>
            <w:webHidden/>
          </w:rPr>
          <w:instrText xml:space="preserve"> PAGEREF _Toc159340663 \h </w:instrText>
        </w:r>
        <w:r w:rsidR="0034620D">
          <w:rPr>
            <w:noProof/>
            <w:webHidden/>
          </w:rPr>
        </w:r>
        <w:r w:rsidR="0034620D">
          <w:rPr>
            <w:noProof/>
            <w:webHidden/>
          </w:rPr>
          <w:fldChar w:fldCharType="separate"/>
        </w:r>
        <w:r w:rsidR="0034620D">
          <w:rPr>
            <w:noProof/>
            <w:webHidden/>
          </w:rPr>
          <w:t>13</w:t>
        </w:r>
        <w:r w:rsidR="0034620D">
          <w:rPr>
            <w:noProof/>
            <w:webHidden/>
          </w:rPr>
          <w:fldChar w:fldCharType="end"/>
        </w:r>
      </w:hyperlink>
    </w:p>
    <w:p w14:paraId="72BA8D9F" w14:textId="7460E448" w:rsidR="0034620D" w:rsidRDefault="00000000">
      <w:pPr>
        <w:pStyle w:val="TOC2"/>
        <w:rPr>
          <w:rFonts w:eastAsiaTheme="minorEastAsia" w:cstheme="minorBidi"/>
          <w:i w:val="0"/>
          <w:noProof/>
          <w:kern w:val="2"/>
          <w:szCs w:val="22"/>
          <w:lang w:val="en-US" w:eastAsia="en-US"/>
          <w14:ligatures w14:val="standardContextual"/>
        </w:rPr>
      </w:pPr>
      <w:hyperlink w:anchor="_Toc159340664" w:history="1">
        <w:r w:rsidR="0034620D" w:rsidRPr="00A93C3C">
          <w:rPr>
            <w:rStyle w:val="Hyperlink"/>
            <w:rFonts w:eastAsia="Calibri" w:cstheme="minorHAnsi"/>
            <w:noProof/>
          </w:rPr>
          <w:t>Dėl tarnautojo nušalinimo nuo pareigų, jam nesutikus pasitikrinti, ar neserga Covid-19 liga</w:t>
        </w:r>
        <w:r w:rsidR="0034620D">
          <w:rPr>
            <w:noProof/>
            <w:webHidden/>
          </w:rPr>
          <w:tab/>
        </w:r>
        <w:r w:rsidR="0034620D">
          <w:rPr>
            <w:noProof/>
            <w:webHidden/>
          </w:rPr>
          <w:fldChar w:fldCharType="begin"/>
        </w:r>
        <w:r w:rsidR="0034620D">
          <w:rPr>
            <w:noProof/>
            <w:webHidden/>
          </w:rPr>
          <w:instrText xml:space="preserve"> PAGEREF _Toc159340664 \h </w:instrText>
        </w:r>
        <w:r w:rsidR="0034620D">
          <w:rPr>
            <w:noProof/>
            <w:webHidden/>
          </w:rPr>
        </w:r>
        <w:r w:rsidR="0034620D">
          <w:rPr>
            <w:noProof/>
            <w:webHidden/>
          </w:rPr>
          <w:fldChar w:fldCharType="separate"/>
        </w:r>
        <w:r w:rsidR="0034620D">
          <w:rPr>
            <w:noProof/>
            <w:webHidden/>
          </w:rPr>
          <w:t>13</w:t>
        </w:r>
        <w:r w:rsidR="0034620D">
          <w:rPr>
            <w:noProof/>
            <w:webHidden/>
          </w:rPr>
          <w:fldChar w:fldCharType="end"/>
        </w:r>
      </w:hyperlink>
    </w:p>
    <w:p w14:paraId="79D7F343" w14:textId="0A751EC8" w:rsidR="0034620D" w:rsidRDefault="00000000">
      <w:pPr>
        <w:pStyle w:val="TOC1"/>
        <w:rPr>
          <w:rFonts w:eastAsiaTheme="minorEastAsia" w:cstheme="minorBidi"/>
          <w:b w:val="0"/>
          <w:bCs w:val="0"/>
          <w:caps w:val="0"/>
          <w:noProof/>
          <w:kern w:val="2"/>
          <w:szCs w:val="22"/>
          <w:lang w:val="en-US" w:eastAsia="en-US"/>
          <w14:ligatures w14:val="standardContextual"/>
        </w:rPr>
      </w:pPr>
      <w:hyperlink w:anchor="_Toc159340665" w:history="1">
        <w:r w:rsidR="0034620D" w:rsidRPr="00A93C3C">
          <w:rPr>
            <w:rStyle w:val="Hyperlink"/>
            <w:rFonts w:cstheme="minorHAnsi"/>
            <w:noProof/>
          </w:rPr>
          <w:t>26. Asmens duomenų teisinė apsauga</w:t>
        </w:r>
        <w:r w:rsidR="0034620D">
          <w:rPr>
            <w:noProof/>
            <w:webHidden/>
          </w:rPr>
          <w:tab/>
        </w:r>
        <w:r w:rsidR="0034620D">
          <w:rPr>
            <w:noProof/>
            <w:webHidden/>
          </w:rPr>
          <w:fldChar w:fldCharType="begin"/>
        </w:r>
        <w:r w:rsidR="0034620D">
          <w:rPr>
            <w:noProof/>
            <w:webHidden/>
          </w:rPr>
          <w:instrText xml:space="preserve"> PAGEREF _Toc159340665 \h </w:instrText>
        </w:r>
        <w:r w:rsidR="0034620D">
          <w:rPr>
            <w:noProof/>
            <w:webHidden/>
          </w:rPr>
        </w:r>
        <w:r w:rsidR="0034620D">
          <w:rPr>
            <w:noProof/>
            <w:webHidden/>
          </w:rPr>
          <w:fldChar w:fldCharType="separate"/>
        </w:r>
        <w:r w:rsidR="0034620D">
          <w:rPr>
            <w:noProof/>
            <w:webHidden/>
          </w:rPr>
          <w:t>13</w:t>
        </w:r>
        <w:r w:rsidR="0034620D">
          <w:rPr>
            <w:noProof/>
            <w:webHidden/>
          </w:rPr>
          <w:fldChar w:fldCharType="end"/>
        </w:r>
      </w:hyperlink>
    </w:p>
    <w:p w14:paraId="6C9C3DC2" w14:textId="4E02A962" w:rsidR="0034620D" w:rsidRDefault="00000000">
      <w:pPr>
        <w:pStyle w:val="TOC2"/>
        <w:rPr>
          <w:rFonts w:eastAsiaTheme="minorEastAsia" w:cstheme="minorBidi"/>
          <w:i w:val="0"/>
          <w:noProof/>
          <w:kern w:val="2"/>
          <w:szCs w:val="22"/>
          <w:lang w:val="en-US" w:eastAsia="en-US"/>
          <w14:ligatures w14:val="standardContextual"/>
        </w:rPr>
      </w:pPr>
      <w:hyperlink w:anchor="_Toc159340666" w:history="1">
        <w:r w:rsidR="0034620D" w:rsidRPr="00A93C3C">
          <w:rPr>
            <w:rStyle w:val="Hyperlink"/>
            <w:rFonts w:eastAsia="Calibri" w:cstheme="minorHAnsi"/>
            <w:noProof/>
          </w:rPr>
          <w:t>Dėl advokato prašymo pateikti informaciją apie asmens administracine tvarka gautas nuobaudas ir leisti susipažinti su administracinių nusižengimų bylomis pagrįstumo vertinimo</w:t>
        </w:r>
        <w:r w:rsidR="0034620D">
          <w:rPr>
            <w:noProof/>
            <w:webHidden/>
          </w:rPr>
          <w:tab/>
        </w:r>
        <w:r w:rsidR="0034620D">
          <w:rPr>
            <w:noProof/>
            <w:webHidden/>
          </w:rPr>
          <w:fldChar w:fldCharType="begin"/>
        </w:r>
        <w:r w:rsidR="0034620D">
          <w:rPr>
            <w:noProof/>
            <w:webHidden/>
          </w:rPr>
          <w:instrText xml:space="preserve"> PAGEREF _Toc159340666 \h </w:instrText>
        </w:r>
        <w:r w:rsidR="0034620D">
          <w:rPr>
            <w:noProof/>
            <w:webHidden/>
          </w:rPr>
        </w:r>
        <w:r w:rsidR="0034620D">
          <w:rPr>
            <w:noProof/>
            <w:webHidden/>
          </w:rPr>
          <w:fldChar w:fldCharType="separate"/>
        </w:r>
        <w:r w:rsidR="0034620D">
          <w:rPr>
            <w:noProof/>
            <w:webHidden/>
          </w:rPr>
          <w:t>13</w:t>
        </w:r>
        <w:r w:rsidR="0034620D">
          <w:rPr>
            <w:noProof/>
            <w:webHidden/>
          </w:rPr>
          <w:fldChar w:fldCharType="end"/>
        </w:r>
      </w:hyperlink>
    </w:p>
    <w:p w14:paraId="40FA3563" w14:textId="672F709C" w:rsidR="0034620D" w:rsidRDefault="00000000">
      <w:pPr>
        <w:pStyle w:val="TOC2"/>
        <w:rPr>
          <w:rFonts w:eastAsiaTheme="minorEastAsia" w:cstheme="minorBidi"/>
          <w:i w:val="0"/>
          <w:noProof/>
          <w:kern w:val="2"/>
          <w:szCs w:val="22"/>
          <w:lang w:val="en-US" w:eastAsia="en-US"/>
          <w14:ligatures w14:val="standardContextual"/>
        </w:rPr>
      </w:pPr>
      <w:hyperlink w:anchor="_Toc159340667" w:history="1">
        <w:r w:rsidR="0034620D" w:rsidRPr="00A93C3C">
          <w:rPr>
            <w:rStyle w:val="Hyperlink"/>
            <w:rFonts w:eastAsia="Calibri" w:cstheme="minorHAnsi"/>
            <w:noProof/>
          </w:rPr>
          <w:t>Dėl subjekto, kompetentingo spręsti dėl byloje dalyvaujančių asmenų asmens duomenų viešinimo Lietuvos teismų informacinės sistemos LITEKO viešoje tvarkaraščių paieškoje</w:t>
        </w:r>
        <w:r w:rsidR="0034620D">
          <w:rPr>
            <w:noProof/>
            <w:webHidden/>
          </w:rPr>
          <w:tab/>
        </w:r>
        <w:r w:rsidR="0034620D">
          <w:rPr>
            <w:noProof/>
            <w:webHidden/>
          </w:rPr>
          <w:fldChar w:fldCharType="begin"/>
        </w:r>
        <w:r w:rsidR="0034620D">
          <w:rPr>
            <w:noProof/>
            <w:webHidden/>
          </w:rPr>
          <w:instrText xml:space="preserve"> PAGEREF _Toc159340667 \h </w:instrText>
        </w:r>
        <w:r w:rsidR="0034620D">
          <w:rPr>
            <w:noProof/>
            <w:webHidden/>
          </w:rPr>
        </w:r>
        <w:r w:rsidR="0034620D">
          <w:rPr>
            <w:noProof/>
            <w:webHidden/>
          </w:rPr>
          <w:fldChar w:fldCharType="separate"/>
        </w:r>
        <w:r w:rsidR="0034620D">
          <w:rPr>
            <w:noProof/>
            <w:webHidden/>
          </w:rPr>
          <w:t>15</w:t>
        </w:r>
        <w:r w:rsidR="0034620D">
          <w:rPr>
            <w:noProof/>
            <w:webHidden/>
          </w:rPr>
          <w:fldChar w:fldCharType="end"/>
        </w:r>
      </w:hyperlink>
    </w:p>
    <w:p w14:paraId="59DEDED2" w14:textId="51314FC3" w:rsidR="0034620D" w:rsidRDefault="00000000">
      <w:pPr>
        <w:pStyle w:val="TOC1"/>
        <w:rPr>
          <w:rFonts w:eastAsiaTheme="minorEastAsia" w:cstheme="minorBidi"/>
          <w:b w:val="0"/>
          <w:bCs w:val="0"/>
          <w:caps w:val="0"/>
          <w:noProof/>
          <w:kern w:val="2"/>
          <w:szCs w:val="22"/>
          <w:lang w:val="en-US" w:eastAsia="en-US"/>
          <w14:ligatures w14:val="standardContextual"/>
        </w:rPr>
      </w:pPr>
      <w:hyperlink w:anchor="_Toc159340668" w:history="1">
        <w:r w:rsidR="0034620D" w:rsidRPr="00A93C3C">
          <w:rPr>
            <w:rStyle w:val="Hyperlink"/>
            <w:rFonts w:cstheme="minorHAnsi"/>
            <w:noProof/>
          </w:rPr>
          <w:t>29. Nacionalinių, Europos Sąjungos ir užsienio institucijų finansinė parama</w:t>
        </w:r>
        <w:r w:rsidR="0034620D">
          <w:rPr>
            <w:noProof/>
            <w:webHidden/>
          </w:rPr>
          <w:tab/>
        </w:r>
        <w:r w:rsidR="0034620D">
          <w:rPr>
            <w:noProof/>
            <w:webHidden/>
          </w:rPr>
          <w:fldChar w:fldCharType="begin"/>
        </w:r>
        <w:r w:rsidR="0034620D">
          <w:rPr>
            <w:noProof/>
            <w:webHidden/>
          </w:rPr>
          <w:instrText xml:space="preserve"> PAGEREF _Toc159340668 \h </w:instrText>
        </w:r>
        <w:r w:rsidR="0034620D">
          <w:rPr>
            <w:noProof/>
            <w:webHidden/>
          </w:rPr>
        </w:r>
        <w:r w:rsidR="0034620D">
          <w:rPr>
            <w:noProof/>
            <w:webHidden/>
          </w:rPr>
          <w:fldChar w:fldCharType="separate"/>
        </w:r>
        <w:r w:rsidR="0034620D">
          <w:rPr>
            <w:noProof/>
            <w:webHidden/>
          </w:rPr>
          <w:t>15</w:t>
        </w:r>
        <w:r w:rsidR="0034620D">
          <w:rPr>
            <w:noProof/>
            <w:webHidden/>
          </w:rPr>
          <w:fldChar w:fldCharType="end"/>
        </w:r>
      </w:hyperlink>
    </w:p>
    <w:p w14:paraId="5616FF8C" w14:textId="0E921CA7" w:rsidR="0034620D" w:rsidRDefault="00000000">
      <w:pPr>
        <w:pStyle w:val="TOC2"/>
        <w:rPr>
          <w:rFonts w:eastAsiaTheme="minorEastAsia" w:cstheme="minorBidi"/>
          <w:i w:val="0"/>
          <w:noProof/>
          <w:kern w:val="2"/>
          <w:szCs w:val="22"/>
          <w:lang w:val="en-US" w:eastAsia="en-US"/>
          <w14:ligatures w14:val="standardContextual"/>
        </w:rPr>
      </w:pPr>
      <w:hyperlink w:anchor="_Toc159340669" w:history="1">
        <w:r w:rsidR="0034620D" w:rsidRPr="00A93C3C">
          <w:rPr>
            <w:rStyle w:val="Hyperlink"/>
            <w:rFonts w:eastAsia="Calibri" w:cstheme="minorHAnsi"/>
            <w:noProof/>
          </w:rPr>
          <w:t>Dėl paramos teisiniams santykiams taikomos teisės akto redakcijos</w:t>
        </w:r>
        <w:r w:rsidR="0034620D">
          <w:rPr>
            <w:noProof/>
            <w:webHidden/>
          </w:rPr>
          <w:tab/>
        </w:r>
        <w:r w:rsidR="0034620D">
          <w:rPr>
            <w:noProof/>
            <w:webHidden/>
          </w:rPr>
          <w:fldChar w:fldCharType="begin"/>
        </w:r>
        <w:r w:rsidR="0034620D">
          <w:rPr>
            <w:noProof/>
            <w:webHidden/>
          </w:rPr>
          <w:instrText xml:space="preserve"> PAGEREF _Toc159340669 \h </w:instrText>
        </w:r>
        <w:r w:rsidR="0034620D">
          <w:rPr>
            <w:noProof/>
            <w:webHidden/>
          </w:rPr>
        </w:r>
        <w:r w:rsidR="0034620D">
          <w:rPr>
            <w:noProof/>
            <w:webHidden/>
          </w:rPr>
          <w:fldChar w:fldCharType="separate"/>
        </w:r>
        <w:r w:rsidR="0034620D">
          <w:rPr>
            <w:noProof/>
            <w:webHidden/>
          </w:rPr>
          <w:t>15</w:t>
        </w:r>
        <w:r w:rsidR="0034620D">
          <w:rPr>
            <w:noProof/>
            <w:webHidden/>
          </w:rPr>
          <w:fldChar w:fldCharType="end"/>
        </w:r>
      </w:hyperlink>
    </w:p>
    <w:p w14:paraId="4B566EDB" w14:textId="3F27478C" w:rsidR="0034620D" w:rsidRDefault="00000000">
      <w:pPr>
        <w:pStyle w:val="TOC2"/>
        <w:rPr>
          <w:rFonts w:eastAsiaTheme="minorEastAsia" w:cstheme="minorBidi"/>
          <w:i w:val="0"/>
          <w:noProof/>
          <w:kern w:val="2"/>
          <w:szCs w:val="22"/>
          <w:lang w:val="en-US" w:eastAsia="en-US"/>
          <w14:ligatures w14:val="standardContextual"/>
        </w:rPr>
      </w:pPr>
      <w:hyperlink w:anchor="_Toc159340670" w:history="1">
        <w:r w:rsidR="0034620D" w:rsidRPr="00A93C3C">
          <w:rPr>
            <w:rStyle w:val="Hyperlink"/>
            <w:rFonts w:eastAsia="Calibri" w:cstheme="minorHAnsi"/>
            <w:noProof/>
          </w:rPr>
          <w:t>Dėl galbūt neteisėtų sąlygų gauti paramą nustatymo</w:t>
        </w:r>
        <w:r w:rsidR="0034620D">
          <w:rPr>
            <w:noProof/>
            <w:webHidden/>
          </w:rPr>
          <w:tab/>
        </w:r>
        <w:r w:rsidR="0034620D">
          <w:rPr>
            <w:noProof/>
            <w:webHidden/>
          </w:rPr>
          <w:fldChar w:fldCharType="begin"/>
        </w:r>
        <w:r w:rsidR="0034620D">
          <w:rPr>
            <w:noProof/>
            <w:webHidden/>
          </w:rPr>
          <w:instrText xml:space="preserve"> PAGEREF _Toc159340670 \h </w:instrText>
        </w:r>
        <w:r w:rsidR="0034620D">
          <w:rPr>
            <w:noProof/>
            <w:webHidden/>
          </w:rPr>
        </w:r>
        <w:r w:rsidR="0034620D">
          <w:rPr>
            <w:noProof/>
            <w:webHidden/>
          </w:rPr>
          <w:fldChar w:fldCharType="separate"/>
        </w:r>
        <w:r w:rsidR="0034620D">
          <w:rPr>
            <w:noProof/>
            <w:webHidden/>
          </w:rPr>
          <w:t>16</w:t>
        </w:r>
        <w:r w:rsidR="0034620D">
          <w:rPr>
            <w:noProof/>
            <w:webHidden/>
          </w:rPr>
          <w:fldChar w:fldCharType="end"/>
        </w:r>
      </w:hyperlink>
    </w:p>
    <w:p w14:paraId="4DE7AEF6" w14:textId="77CC3367" w:rsidR="0034620D" w:rsidRDefault="00000000">
      <w:pPr>
        <w:pStyle w:val="TOC2"/>
        <w:rPr>
          <w:rFonts w:eastAsiaTheme="minorEastAsia" w:cstheme="minorBidi"/>
          <w:i w:val="0"/>
          <w:noProof/>
          <w:kern w:val="2"/>
          <w:szCs w:val="22"/>
          <w:lang w:val="en-US" w:eastAsia="en-US"/>
          <w14:ligatures w14:val="standardContextual"/>
        </w:rPr>
      </w:pPr>
      <w:hyperlink w:anchor="_Toc159340671" w:history="1">
        <w:r w:rsidR="0034620D" w:rsidRPr="00A93C3C">
          <w:rPr>
            <w:rStyle w:val="Hyperlink"/>
            <w:rFonts w:eastAsia="Calibri" w:cstheme="minorHAnsi"/>
            <w:noProof/>
          </w:rPr>
          <w:t>Dėl paramos sutarties keitimo termino ir formos</w:t>
        </w:r>
        <w:r w:rsidR="0034620D">
          <w:rPr>
            <w:noProof/>
            <w:webHidden/>
          </w:rPr>
          <w:tab/>
        </w:r>
        <w:r w:rsidR="0034620D">
          <w:rPr>
            <w:noProof/>
            <w:webHidden/>
          </w:rPr>
          <w:fldChar w:fldCharType="begin"/>
        </w:r>
        <w:r w:rsidR="0034620D">
          <w:rPr>
            <w:noProof/>
            <w:webHidden/>
          </w:rPr>
          <w:instrText xml:space="preserve"> PAGEREF _Toc159340671 \h </w:instrText>
        </w:r>
        <w:r w:rsidR="0034620D">
          <w:rPr>
            <w:noProof/>
            <w:webHidden/>
          </w:rPr>
        </w:r>
        <w:r w:rsidR="0034620D">
          <w:rPr>
            <w:noProof/>
            <w:webHidden/>
          </w:rPr>
          <w:fldChar w:fldCharType="separate"/>
        </w:r>
        <w:r w:rsidR="0034620D">
          <w:rPr>
            <w:noProof/>
            <w:webHidden/>
          </w:rPr>
          <w:t>17</w:t>
        </w:r>
        <w:r w:rsidR="0034620D">
          <w:rPr>
            <w:noProof/>
            <w:webHidden/>
          </w:rPr>
          <w:fldChar w:fldCharType="end"/>
        </w:r>
      </w:hyperlink>
    </w:p>
    <w:p w14:paraId="4C2FE051" w14:textId="69CE59BE" w:rsidR="0034620D" w:rsidRDefault="00000000">
      <w:pPr>
        <w:pStyle w:val="TOC1"/>
        <w:rPr>
          <w:rFonts w:eastAsiaTheme="minorEastAsia" w:cstheme="minorBidi"/>
          <w:b w:val="0"/>
          <w:bCs w:val="0"/>
          <w:caps w:val="0"/>
          <w:noProof/>
          <w:kern w:val="2"/>
          <w:szCs w:val="22"/>
          <w:lang w:val="en-US" w:eastAsia="en-US"/>
          <w14:ligatures w14:val="standardContextual"/>
        </w:rPr>
      </w:pPr>
      <w:hyperlink w:anchor="_Toc159340672" w:history="1">
        <w:r w:rsidR="0034620D" w:rsidRPr="00A93C3C">
          <w:rPr>
            <w:rStyle w:val="Hyperlink"/>
            <w:rFonts w:cstheme="minorHAnsi"/>
            <w:noProof/>
          </w:rPr>
          <w:t>33. Finansų rinkų priežiūra</w:t>
        </w:r>
        <w:r w:rsidR="0034620D">
          <w:rPr>
            <w:noProof/>
            <w:webHidden/>
          </w:rPr>
          <w:tab/>
        </w:r>
        <w:r w:rsidR="0034620D">
          <w:rPr>
            <w:noProof/>
            <w:webHidden/>
          </w:rPr>
          <w:fldChar w:fldCharType="begin"/>
        </w:r>
        <w:r w:rsidR="0034620D">
          <w:rPr>
            <w:noProof/>
            <w:webHidden/>
          </w:rPr>
          <w:instrText xml:space="preserve"> PAGEREF _Toc159340672 \h </w:instrText>
        </w:r>
        <w:r w:rsidR="0034620D">
          <w:rPr>
            <w:noProof/>
            <w:webHidden/>
          </w:rPr>
        </w:r>
        <w:r w:rsidR="0034620D">
          <w:rPr>
            <w:noProof/>
            <w:webHidden/>
          </w:rPr>
          <w:fldChar w:fldCharType="separate"/>
        </w:r>
        <w:r w:rsidR="0034620D">
          <w:rPr>
            <w:noProof/>
            <w:webHidden/>
          </w:rPr>
          <w:t>18</w:t>
        </w:r>
        <w:r w:rsidR="0034620D">
          <w:rPr>
            <w:noProof/>
            <w:webHidden/>
          </w:rPr>
          <w:fldChar w:fldCharType="end"/>
        </w:r>
      </w:hyperlink>
    </w:p>
    <w:p w14:paraId="63BD722B" w14:textId="44BFBFF5" w:rsidR="0034620D" w:rsidRDefault="00000000">
      <w:pPr>
        <w:pStyle w:val="TOC2"/>
        <w:rPr>
          <w:rFonts w:eastAsiaTheme="minorEastAsia" w:cstheme="minorBidi"/>
          <w:i w:val="0"/>
          <w:noProof/>
          <w:kern w:val="2"/>
          <w:szCs w:val="22"/>
          <w:lang w:val="en-US" w:eastAsia="en-US"/>
          <w14:ligatures w14:val="standardContextual"/>
        </w:rPr>
      </w:pPr>
      <w:hyperlink w:anchor="_Toc159340673" w:history="1">
        <w:r w:rsidR="0034620D" w:rsidRPr="00A93C3C">
          <w:rPr>
            <w:rStyle w:val="Hyperlink"/>
            <w:rFonts w:eastAsia="Calibri" w:cstheme="minorHAnsi"/>
            <w:noProof/>
          </w:rPr>
          <w:t>Dėl Eurų banknotų tinkamumo apyvartai automatizuoto tikrinimo banknotų tvarkymo aparatais minimalių standartų netaikymo grynųjų pinigų tvarkytojams</w:t>
        </w:r>
        <w:r w:rsidR="0034620D">
          <w:rPr>
            <w:noProof/>
            <w:webHidden/>
          </w:rPr>
          <w:tab/>
        </w:r>
        <w:r w:rsidR="0034620D">
          <w:rPr>
            <w:noProof/>
            <w:webHidden/>
          </w:rPr>
          <w:fldChar w:fldCharType="begin"/>
        </w:r>
        <w:r w:rsidR="0034620D">
          <w:rPr>
            <w:noProof/>
            <w:webHidden/>
          </w:rPr>
          <w:instrText xml:space="preserve"> PAGEREF _Toc159340673 \h </w:instrText>
        </w:r>
        <w:r w:rsidR="0034620D">
          <w:rPr>
            <w:noProof/>
            <w:webHidden/>
          </w:rPr>
        </w:r>
        <w:r w:rsidR="0034620D">
          <w:rPr>
            <w:noProof/>
            <w:webHidden/>
          </w:rPr>
          <w:fldChar w:fldCharType="separate"/>
        </w:r>
        <w:r w:rsidR="0034620D">
          <w:rPr>
            <w:noProof/>
            <w:webHidden/>
          </w:rPr>
          <w:t>18</w:t>
        </w:r>
        <w:r w:rsidR="0034620D">
          <w:rPr>
            <w:noProof/>
            <w:webHidden/>
          </w:rPr>
          <w:fldChar w:fldCharType="end"/>
        </w:r>
      </w:hyperlink>
    </w:p>
    <w:p w14:paraId="75D1C74A" w14:textId="4E1A7028" w:rsidR="0034620D" w:rsidRDefault="00000000">
      <w:pPr>
        <w:pStyle w:val="TOC1"/>
        <w:rPr>
          <w:rFonts w:eastAsiaTheme="minorEastAsia" w:cstheme="minorBidi"/>
          <w:b w:val="0"/>
          <w:bCs w:val="0"/>
          <w:caps w:val="0"/>
          <w:noProof/>
          <w:kern w:val="2"/>
          <w:szCs w:val="22"/>
          <w:lang w:val="en-US" w:eastAsia="en-US"/>
          <w14:ligatures w14:val="standardContextual"/>
        </w:rPr>
      </w:pPr>
      <w:hyperlink w:anchor="_Toc159340674" w:history="1">
        <w:r w:rsidR="0034620D" w:rsidRPr="00A93C3C">
          <w:rPr>
            <w:rStyle w:val="Hyperlink"/>
            <w:rFonts w:cstheme="minorHAnsi"/>
            <w:noProof/>
          </w:rPr>
          <w:t>35. Lošimų ir loterijų priežiūra bei kontrolė</w:t>
        </w:r>
        <w:r w:rsidR="0034620D">
          <w:rPr>
            <w:noProof/>
            <w:webHidden/>
          </w:rPr>
          <w:tab/>
        </w:r>
        <w:r w:rsidR="0034620D">
          <w:rPr>
            <w:noProof/>
            <w:webHidden/>
          </w:rPr>
          <w:fldChar w:fldCharType="begin"/>
        </w:r>
        <w:r w:rsidR="0034620D">
          <w:rPr>
            <w:noProof/>
            <w:webHidden/>
          </w:rPr>
          <w:instrText xml:space="preserve"> PAGEREF _Toc159340674 \h </w:instrText>
        </w:r>
        <w:r w:rsidR="0034620D">
          <w:rPr>
            <w:noProof/>
            <w:webHidden/>
          </w:rPr>
        </w:r>
        <w:r w:rsidR="0034620D">
          <w:rPr>
            <w:noProof/>
            <w:webHidden/>
          </w:rPr>
          <w:fldChar w:fldCharType="separate"/>
        </w:r>
        <w:r w:rsidR="0034620D">
          <w:rPr>
            <w:noProof/>
            <w:webHidden/>
          </w:rPr>
          <w:t>19</w:t>
        </w:r>
        <w:r w:rsidR="0034620D">
          <w:rPr>
            <w:noProof/>
            <w:webHidden/>
          </w:rPr>
          <w:fldChar w:fldCharType="end"/>
        </w:r>
      </w:hyperlink>
    </w:p>
    <w:p w14:paraId="0BD762C3" w14:textId="5D2276D9" w:rsidR="0034620D" w:rsidRDefault="00000000">
      <w:pPr>
        <w:pStyle w:val="TOC2"/>
        <w:rPr>
          <w:rFonts w:eastAsiaTheme="minorEastAsia" w:cstheme="minorBidi"/>
          <w:i w:val="0"/>
          <w:noProof/>
          <w:kern w:val="2"/>
          <w:szCs w:val="22"/>
          <w:lang w:val="en-US" w:eastAsia="en-US"/>
          <w14:ligatures w14:val="standardContextual"/>
        </w:rPr>
      </w:pPr>
      <w:hyperlink w:anchor="_Toc159340675" w:history="1">
        <w:r w:rsidR="0034620D" w:rsidRPr="00A93C3C">
          <w:rPr>
            <w:rStyle w:val="Hyperlink"/>
            <w:rFonts w:eastAsia="Calibri" w:cstheme="minorHAnsi"/>
            <w:noProof/>
          </w:rPr>
          <w:t>Dėl lošimų bendrovės nustatyto ribojimo lošėjo maksimaliai statymų sumai</w:t>
        </w:r>
        <w:r w:rsidR="0034620D">
          <w:rPr>
            <w:noProof/>
            <w:webHidden/>
          </w:rPr>
          <w:tab/>
        </w:r>
        <w:r w:rsidR="0034620D">
          <w:rPr>
            <w:noProof/>
            <w:webHidden/>
          </w:rPr>
          <w:fldChar w:fldCharType="begin"/>
        </w:r>
        <w:r w:rsidR="0034620D">
          <w:rPr>
            <w:noProof/>
            <w:webHidden/>
          </w:rPr>
          <w:instrText xml:space="preserve"> PAGEREF _Toc159340675 \h </w:instrText>
        </w:r>
        <w:r w:rsidR="0034620D">
          <w:rPr>
            <w:noProof/>
            <w:webHidden/>
          </w:rPr>
        </w:r>
        <w:r w:rsidR="0034620D">
          <w:rPr>
            <w:noProof/>
            <w:webHidden/>
          </w:rPr>
          <w:fldChar w:fldCharType="separate"/>
        </w:r>
        <w:r w:rsidR="0034620D">
          <w:rPr>
            <w:noProof/>
            <w:webHidden/>
          </w:rPr>
          <w:t>19</w:t>
        </w:r>
        <w:r w:rsidR="0034620D">
          <w:rPr>
            <w:noProof/>
            <w:webHidden/>
          </w:rPr>
          <w:fldChar w:fldCharType="end"/>
        </w:r>
      </w:hyperlink>
    </w:p>
    <w:p w14:paraId="60F49680" w14:textId="61E824D7" w:rsidR="0034620D" w:rsidRDefault="00000000">
      <w:pPr>
        <w:pStyle w:val="TOC1"/>
        <w:rPr>
          <w:rFonts w:eastAsiaTheme="minorEastAsia" w:cstheme="minorBidi"/>
          <w:b w:val="0"/>
          <w:bCs w:val="0"/>
          <w:caps w:val="0"/>
          <w:noProof/>
          <w:kern w:val="2"/>
          <w:szCs w:val="22"/>
          <w:lang w:val="en-US" w:eastAsia="en-US"/>
          <w14:ligatures w14:val="standardContextual"/>
        </w:rPr>
      </w:pPr>
      <w:hyperlink w:anchor="_Toc159340676" w:history="1">
        <w:r w:rsidR="0034620D" w:rsidRPr="00A93C3C">
          <w:rPr>
            <w:rStyle w:val="Hyperlink"/>
            <w:rFonts w:cstheme="minorHAnsi"/>
            <w:noProof/>
          </w:rPr>
          <w:t>41. Kiti ginčai viešojo administravimo srityje</w:t>
        </w:r>
        <w:r w:rsidR="0034620D">
          <w:rPr>
            <w:noProof/>
            <w:webHidden/>
          </w:rPr>
          <w:tab/>
        </w:r>
        <w:r w:rsidR="0034620D">
          <w:rPr>
            <w:noProof/>
            <w:webHidden/>
          </w:rPr>
          <w:fldChar w:fldCharType="begin"/>
        </w:r>
        <w:r w:rsidR="0034620D">
          <w:rPr>
            <w:noProof/>
            <w:webHidden/>
          </w:rPr>
          <w:instrText xml:space="preserve"> PAGEREF _Toc159340676 \h </w:instrText>
        </w:r>
        <w:r w:rsidR="0034620D">
          <w:rPr>
            <w:noProof/>
            <w:webHidden/>
          </w:rPr>
        </w:r>
        <w:r w:rsidR="0034620D">
          <w:rPr>
            <w:noProof/>
            <w:webHidden/>
          </w:rPr>
          <w:fldChar w:fldCharType="separate"/>
        </w:r>
        <w:r w:rsidR="0034620D">
          <w:rPr>
            <w:noProof/>
            <w:webHidden/>
          </w:rPr>
          <w:t>20</w:t>
        </w:r>
        <w:r w:rsidR="0034620D">
          <w:rPr>
            <w:noProof/>
            <w:webHidden/>
          </w:rPr>
          <w:fldChar w:fldCharType="end"/>
        </w:r>
      </w:hyperlink>
    </w:p>
    <w:p w14:paraId="223E872A" w14:textId="306B6961" w:rsidR="0034620D" w:rsidRDefault="00000000">
      <w:pPr>
        <w:pStyle w:val="TOC2"/>
        <w:rPr>
          <w:rFonts w:eastAsiaTheme="minorEastAsia" w:cstheme="minorBidi"/>
          <w:i w:val="0"/>
          <w:noProof/>
          <w:kern w:val="2"/>
          <w:szCs w:val="22"/>
          <w:lang w:val="en-US" w:eastAsia="en-US"/>
          <w14:ligatures w14:val="standardContextual"/>
        </w:rPr>
      </w:pPr>
      <w:hyperlink w:anchor="_Toc159340677" w:history="1">
        <w:r w:rsidR="0034620D" w:rsidRPr="00A93C3C">
          <w:rPr>
            <w:rStyle w:val="Hyperlink"/>
            <w:rFonts w:eastAsia="Calibri" w:cstheme="minorHAnsi"/>
            <w:noProof/>
          </w:rPr>
          <w:t>Dėl nacionaliniam saugumui grėsmę keliančių investuotojo ryšių vertinimo ir įslaptintos informacijos naudojimo byloje sprendžiant dėl investuotojo atitikties nacionalinio saugumo interesams</w:t>
        </w:r>
        <w:r w:rsidR="0034620D">
          <w:rPr>
            <w:noProof/>
            <w:webHidden/>
          </w:rPr>
          <w:tab/>
        </w:r>
        <w:r w:rsidR="0034620D">
          <w:rPr>
            <w:noProof/>
            <w:webHidden/>
          </w:rPr>
          <w:fldChar w:fldCharType="begin"/>
        </w:r>
        <w:r w:rsidR="0034620D">
          <w:rPr>
            <w:noProof/>
            <w:webHidden/>
          </w:rPr>
          <w:instrText xml:space="preserve"> PAGEREF _Toc159340677 \h </w:instrText>
        </w:r>
        <w:r w:rsidR="0034620D">
          <w:rPr>
            <w:noProof/>
            <w:webHidden/>
          </w:rPr>
        </w:r>
        <w:r w:rsidR="0034620D">
          <w:rPr>
            <w:noProof/>
            <w:webHidden/>
          </w:rPr>
          <w:fldChar w:fldCharType="separate"/>
        </w:r>
        <w:r w:rsidR="0034620D">
          <w:rPr>
            <w:noProof/>
            <w:webHidden/>
          </w:rPr>
          <w:t>20</w:t>
        </w:r>
        <w:r w:rsidR="0034620D">
          <w:rPr>
            <w:noProof/>
            <w:webHidden/>
          </w:rPr>
          <w:fldChar w:fldCharType="end"/>
        </w:r>
      </w:hyperlink>
    </w:p>
    <w:p w14:paraId="53D427DB" w14:textId="0C1DB8F2" w:rsidR="0034620D" w:rsidRDefault="00000000">
      <w:pPr>
        <w:pStyle w:val="TOC2"/>
        <w:rPr>
          <w:rFonts w:eastAsiaTheme="minorEastAsia" w:cstheme="minorBidi"/>
          <w:i w:val="0"/>
          <w:noProof/>
          <w:kern w:val="2"/>
          <w:szCs w:val="22"/>
          <w:lang w:val="en-US" w:eastAsia="en-US"/>
          <w14:ligatures w14:val="standardContextual"/>
        </w:rPr>
      </w:pPr>
      <w:hyperlink w:anchor="_Toc159340678" w:history="1">
        <w:r w:rsidR="0034620D" w:rsidRPr="00A93C3C">
          <w:rPr>
            <w:rStyle w:val="Hyperlink"/>
            <w:rFonts w:eastAsia="Calibri" w:cstheme="minorHAnsi"/>
            <w:noProof/>
          </w:rPr>
          <w:t>Dėl atsisakymo išduoti leidimą atvykti piketo dalyviams iš visų Lietuvos savivaldybių dėl karantino</w:t>
        </w:r>
        <w:r w:rsidR="0034620D">
          <w:rPr>
            <w:noProof/>
            <w:webHidden/>
          </w:rPr>
          <w:tab/>
        </w:r>
        <w:r w:rsidR="0034620D">
          <w:rPr>
            <w:noProof/>
            <w:webHidden/>
          </w:rPr>
          <w:fldChar w:fldCharType="begin"/>
        </w:r>
        <w:r w:rsidR="0034620D">
          <w:rPr>
            <w:noProof/>
            <w:webHidden/>
          </w:rPr>
          <w:instrText xml:space="preserve"> PAGEREF _Toc159340678 \h </w:instrText>
        </w:r>
        <w:r w:rsidR="0034620D">
          <w:rPr>
            <w:noProof/>
            <w:webHidden/>
          </w:rPr>
        </w:r>
        <w:r w:rsidR="0034620D">
          <w:rPr>
            <w:noProof/>
            <w:webHidden/>
          </w:rPr>
          <w:fldChar w:fldCharType="separate"/>
        </w:r>
        <w:r w:rsidR="0034620D">
          <w:rPr>
            <w:noProof/>
            <w:webHidden/>
          </w:rPr>
          <w:t>22</w:t>
        </w:r>
        <w:r w:rsidR="0034620D">
          <w:rPr>
            <w:noProof/>
            <w:webHidden/>
          </w:rPr>
          <w:fldChar w:fldCharType="end"/>
        </w:r>
      </w:hyperlink>
    </w:p>
    <w:p w14:paraId="0D09CEFC" w14:textId="54A1434A" w:rsidR="0034620D" w:rsidRDefault="00000000">
      <w:pPr>
        <w:pStyle w:val="TOC1"/>
        <w:rPr>
          <w:rFonts w:eastAsiaTheme="minorEastAsia" w:cstheme="minorBidi"/>
          <w:b w:val="0"/>
          <w:bCs w:val="0"/>
          <w:caps w:val="0"/>
          <w:noProof/>
          <w:kern w:val="2"/>
          <w:szCs w:val="22"/>
          <w:lang w:val="en-US" w:eastAsia="en-US"/>
          <w14:ligatures w14:val="standardContextual"/>
        </w:rPr>
      </w:pPr>
      <w:hyperlink w:anchor="_Toc159340679" w:history="1">
        <w:r w:rsidR="0034620D" w:rsidRPr="00A93C3C">
          <w:rPr>
            <w:rStyle w:val="Hyperlink"/>
            <w:rFonts w:cstheme="minorHAnsi"/>
            <w:noProof/>
          </w:rPr>
          <w:t>II. Administracinių bylų teisena</w:t>
        </w:r>
        <w:r w:rsidR="0034620D">
          <w:rPr>
            <w:noProof/>
            <w:webHidden/>
          </w:rPr>
          <w:tab/>
        </w:r>
        <w:r w:rsidR="0034620D">
          <w:rPr>
            <w:noProof/>
            <w:webHidden/>
          </w:rPr>
          <w:fldChar w:fldCharType="begin"/>
        </w:r>
        <w:r w:rsidR="0034620D">
          <w:rPr>
            <w:noProof/>
            <w:webHidden/>
          </w:rPr>
          <w:instrText xml:space="preserve"> PAGEREF _Toc159340679 \h </w:instrText>
        </w:r>
        <w:r w:rsidR="0034620D">
          <w:rPr>
            <w:noProof/>
            <w:webHidden/>
          </w:rPr>
        </w:r>
        <w:r w:rsidR="0034620D">
          <w:rPr>
            <w:noProof/>
            <w:webHidden/>
          </w:rPr>
          <w:fldChar w:fldCharType="separate"/>
        </w:r>
        <w:r w:rsidR="0034620D">
          <w:rPr>
            <w:noProof/>
            <w:webHidden/>
          </w:rPr>
          <w:t>23</w:t>
        </w:r>
        <w:r w:rsidR="0034620D">
          <w:rPr>
            <w:noProof/>
            <w:webHidden/>
          </w:rPr>
          <w:fldChar w:fldCharType="end"/>
        </w:r>
      </w:hyperlink>
    </w:p>
    <w:p w14:paraId="4C564588" w14:textId="67C43EF0" w:rsidR="0034620D" w:rsidRDefault="00000000">
      <w:pPr>
        <w:pStyle w:val="TOC1"/>
        <w:rPr>
          <w:rFonts w:eastAsiaTheme="minorEastAsia" w:cstheme="minorBidi"/>
          <w:b w:val="0"/>
          <w:bCs w:val="0"/>
          <w:caps w:val="0"/>
          <w:noProof/>
          <w:kern w:val="2"/>
          <w:szCs w:val="22"/>
          <w:lang w:val="en-US" w:eastAsia="en-US"/>
          <w14:ligatures w14:val="standardContextual"/>
        </w:rPr>
      </w:pPr>
      <w:hyperlink w:anchor="_Toc159340680" w:history="1">
        <w:r w:rsidR="0034620D" w:rsidRPr="00A93C3C">
          <w:rPr>
            <w:rStyle w:val="Hyperlink"/>
            <w:rFonts w:cstheme="minorHAnsi"/>
            <w:noProof/>
          </w:rPr>
          <w:t>43. Teisė kreiptis į teismą ir jos realizavimas</w:t>
        </w:r>
        <w:r w:rsidR="0034620D">
          <w:rPr>
            <w:noProof/>
            <w:webHidden/>
          </w:rPr>
          <w:tab/>
        </w:r>
        <w:r w:rsidR="0034620D">
          <w:rPr>
            <w:noProof/>
            <w:webHidden/>
          </w:rPr>
          <w:fldChar w:fldCharType="begin"/>
        </w:r>
        <w:r w:rsidR="0034620D">
          <w:rPr>
            <w:noProof/>
            <w:webHidden/>
          </w:rPr>
          <w:instrText xml:space="preserve"> PAGEREF _Toc159340680 \h </w:instrText>
        </w:r>
        <w:r w:rsidR="0034620D">
          <w:rPr>
            <w:noProof/>
            <w:webHidden/>
          </w:rPr>
        </w:r>
        <w:r w:rsidR="0034620D">
          <w:rPr>
            <w:noProof/>
            <w:webHidden/>
          </w:rPr>
          <w:fldChar w:fldCharType="separate"/>
        </w:r>
        <w:r w:rsidR="0034620D">
          <w:rPr>
            <w:noProof/>
            <w:webHidden/>
          </w:rPr>
          <w:t>23</w:t>
        </w:r>
        <w:r w:rsidR="0034620D">
          <w:rPr>
            <w:noProof/>
            <w:webHidden/>
          </w:rPr>
          <w:fldChar w:fldCharType="end"/>
        </w:r>
      </w:hyperlink>
    </w:p>
    <w:p w14:paraId="24B63DC9" w14:textId="33EE2148" w:rsidR="0034620D" w:rsidRDefault="00000000">
      <w:pPr>
        <w:pStyle w:val="TOC2"/>
        <w:rPr>
          <w:rFonts w:eastAsiaTheme="minorEastAsia" w:cstheme="minorBidi"/>
          <w:i w:val="0"/>
          <w:noProof/>
          <w:kern w:val="2"/>
          <w:szCs w:val="22"/>
          <w:lang w:val="en-US" w:eastAsia="en-US"/>
          <w14:ligatures w14:val="standardContextual"/>
        </w:rPr>
      </w:pPr>
      <w:hyperlink w:anchor="_Toc159340681" w:history="1">
        <w:r w:rsidR="0034620D" w:rsidRPr="00A93C3C">
          <w:rPr>
            <w:rStyle w:val="Hyperlink"/>
            <w:rFonts w:eastAsia="Calibri" w:cstheme="minorHAnsi"/>
            <w:noProof/>
          </w:rPr>
          <w:t>Dėl neteisingo skundo dalyko nustatymo, dėl kurio ginčo šalims nėra suprantama nagrinėjamos bylos esmė</w:t>
        </w:r>
        <w:r w:rsidR="0034620D">
          <w:rPr>
            <w:noProof/>
            <w:webHidden/>
          </w:rPr>
          <w:tab/>
        </w:r>
        <w:r w:rsidR="0034620D">
          <w:rPr>
            <w:noProof/>
            <w:webHidden/>
          </w:rPr>
          <w:fldChar w:fldCharType="begin"/>
        </w:r>
        <w:r w:rsidR="0034620D">
          <w:rPr>
            <w:noProof/>
            <w:webHidden/>
          </w:rPr>
          <w:instrText xml:space="preserve"> PAGEREF _Toc159340681 \h </w:instrText>
        </w:r>
        <w:r w:rsidR="0034620D">
          <w:rPr>
            <w:noProof/>
            <w:webHidden/>
          </w:rPr>
        </w:r>
        <w:r w:rsidR="0034620D">
          <w:rPr>
            <w:noProof/>
            <w:webHidden/>
          </w:rPr>
          <w:fldChar w:fldCharType="separate"/>
        </w:r>
        <w:r w:rsidR="0034620D">
          <w:rPr>
            <w:noProof/>
            <w:webHidden/>
          </w:rPr>
          <w:t>23</w:t>
        </w:r>
        <w:r w:rsidR="0034620D">
          <w:rPr>
            <w:noProof/>
            <w:webHidden/>
          </w:rPr>
          <w:fldChar w:fldCharType="end"/>
        </w:r>
      </w:hyperlink>
    </w:p>
    <w:p w14:paraId="7E6D1784" w14:textId="0E7ABB94" w:rsidR="0034620D" w:rsidRDefault="00000000">
      <w:pPr>
        <w:pStyle w:val="TOC2"/>
        <w:rPr>
          <w:rFonts w:eastAsiaTheme="minorEastAsia" w:cstheme="minorBidi"/>
          <w:i w:val="0"/>
          <w:noProof/>
          <w:kern w:val="2"/>
          <w:szCs w:val="22"/>
          <w:lang w:val="en-US" w:eastAsia="en-US"/>
          <w14:ligatures w14:val="standardContextual"/>
        </w:rPr>
      </w:pPr>
      <w:hyperlink w:anchor="_Toc159340682" w:history="1">
        <w:r w:rsidR="0034620D" w:rsidRPr="00A93C3C">
          <w:rPr>
            <w:rStyle w:val="Hyperlink"/>
            <w:rFonts w:eastAsia="Calibri" w:cstheme="minorHAnsi"/>
            <w:noProof/>
          </w:rPr>
          <w:t>Dėl ministerijos vilkinimo pateikti nenuasmenintą administracinį sprendimą, kuris reikalingas pareiškėjui kitoje teismo nagrinėjamoje byloje, kaip savarankiško skundo objekto</w:t>
        </w:r>
        <w:r w:rsidR="0034620D">
          <w:rPr>
            <w:noProof/>
            <w:webHidden/>
          </w:rPr>
          <w:tab/>
        </w:r>
        <w:r w:rsidR="0034620D">
          <w:rPr>
            <w:noProof/>
            <w:webHidden/>
          </w:rPr>
          <w:fldChar w:fldCharType="begin"/>
        </w:r>
        <w:r w:rsidR="0034620D">
          <w:rPr>
            <w:noProof/>
            <w:webHidden/>
          </w:rPr>
          <w:instrText xml:space="preserve"> PAGEREF _Toc159340682 \h </w:instrText>
        </w:r>
        <w:r w:rsidR="0034620D">
          <w:rPr>
            <w:noProof/>
            <w:webHidden/>
          </w:rPr>
        </w:r>
        <w:r w:rsidR="0034620D">
          <w:rPr>
            <w:noProof/>
            <w:webHidden/>
          </w:rPr>
          <w:fldChar w:fldCharType="separate"/>
        </w:r>
        <w:r w:rsidR="0034620D">
          <w:rPr>
            <w:noProof/>
            <w:webHidden/>
          </w:rPr>
          <w:t>24</w:t>
        </w:r>
        <w:r w:rsidR="0034620D">
          <w:rPr>
            <w:noProof/>
            <w:webHidden/>
          </w:rPr>
          <w:fldChar w:fldCharType="end"/>
        </w:r>
      </w:hyperlink>
    </w:p>
    <w:p w14:paraId="3A2C1871" w14:textId="384147EE" w:rsidR="0034620D" w:rsidRDefault="00000000">
      <w:pPr>
        <w:pStyle w:val="TOC2"/>
        <w:rPr>
          <w:rFonts w:eastAsiaTheme="minorEastAsia" w:cstheme="minorBidi"/>
          <w:i w:val="0"/>
          <w:noProof/>
          <w:kern w:val="2"/>
          <w:szCs w:val="22"/>
          <w:lang w:val="en-US" w:eastAsia="en-US"/>
          <w14:ligatures w14:val="standardContextual"/>
        </w:rPr>
      </w:pPr>
      <w:hyperlink w:anchor="_Toc159340683" w:history="1">
        <w:r w:rsidR="0034620D" w:rsidRPr="00A93C3C">
          <w:rPr>
            <w:rStyle w:val="Hyperlink"/>
            <w:rFonts w:eastAsia="Calibri" w:cstheme="minorHAnsi"/>
            <w:noProof/>
          </w:rPr>
          <w:t>Dėl prašymo ištirti norminio administracinio akto teisėtumą, kai tai susiję su individualiąja byla, vertinimo pagal ABTĮ 113 straipsnio taisykles, o ne kaip savarankiško skundo reikalavimo</w:t>
        </w:r>
        <w:r w:rsidR="0034620D">
          <w:rPr>
            <w:noProof/>
            <w:webHidden/>
          </w:rPr>
          <w:tab/>
        </w:r>
        <w:r w:rsidR="0034620D">
          <w:rPr>
            <w:noProof/>
            <w:webHidden/>
          </w:rPr>
          <w:fldChar w:fldCharType="begin"/>
        </w:r>
        <w:r w:rsidR="0034620D">
          <w:rPr>
            <w:noProof/>
            <w:webHidden/>
          </w:rPr>
          <w:instrText xml:space="preserve"> PAGEREF _Toc159340683 \h </w:instrText>
        </w:r>
        <w:r w:rsidR="0034620D">
          <w:rPr>
            <w:noProof/>
            <w:webHidden/>
          </w:rPr>
        </w:r>
        <w:r w:rsidR="0034620D">
          <w:rPr>
            <w:noProof/>
            <w:webHidden/>
          </w:rPr>
          <w:fldChar w:fldCharType="separate"/>
        </w:r>
        <w:r w:rsidR="0034620D">
          <w:rPr>
            <w:noProof/>
            <w:webHidden/>
          </w:rPr>
          <w:t>25</w:t>
        </w:r>
        <w:r w:rsidR="0034620D">
          <w:rPr>
            <w:noProof/>
            <w:webHidden/>
          </w:rPr>
          <w:fldChar w:fldCharType="end"/>
        </w:r>
      </w:hyperlink>
    </w:p>
    <w:p w14:paraId="48B279B2" w14:textId="6925D225" w:rsidR="0034620D" w:rsidRDefault="00000000">
      <w:pPr>
        <w:pStyle w:val="TOC2"/>
        <w:rPr>
          <w:rFonts w:eastAsiaTheme="minorEastAsia" w:cstheme="minorBidi"/>
          <w:i w:val="0"/>
          <w:noProof/>
          <w:kern w:val="2"/>
          <w:szCs w:val="22"/>
          <w:lang w:val="en-US" w:eastAsia="en-US"/>
          <w14:ligatures w14:val="standardContextual"/>
        </w:rPr>
      </w:pPr>
      <w:hyperlink w:anchor="_Toc159340684" w:history="1">
        <w:r w:rsidR="0034620D" w:rsidRPr="00A93C3C">
          <w:rPr>
            <w:rStyle w:val="Hyperlink"/>
            <w:rFonts w:eastAsia="Calibri" w:cstheme="minorHAnsi"/>
            <w:noProof/>
          </w:rPr>
          <w:t>Dėl administracinio sprendimo siuntimo būdo, kai asmuo nėra išreiškęs pageidavimo sprendimą gauti elektroniniu paštu</w:t>
        </w:r>
        <w:r w:rsidR="0034620D">
          <w:rPr>
            <w:noProof/>
            <w:webHidden/>
          </w:rPr>
          <w:tab/>
        </w:r>
        <w:r w:rsidR="0034620D">
          <w:rPr>
            <w:noProof/>
            <w:webHidden/>
          </w:rPr>
          <w:fldChar w:fldCharType="begin"/>
        </w:r>
        <w:r w:rsidR="0034620D">
          <w:rPr>
            <w:noProof/>
            <w:webHidden/>
          </w:rPr>
          <w:instrText xml:space="preserve"> PAGEREF _Toc159340684 \h </w:instrText>
        </w:r>
        <w:r w:rsidR="0034620D">
          <w:rPr>
            <w:noProof/>
            <w:webHidden/>
          </w:rPr>
        </w:r>
        <w:r w:rsidR="0034620D">
          <w:rPr>
            <w:noProof/>
            <w:webHidden/>
          </w:rPr>
          <w:fldChar w:fldCharType="separate"/>
        </w:r>
        <w:r w:rsidR="0034620D">
          <w:rPr>
            <w:noProof/>
            <w:webHidden/>
          </w:rPr>
          <w:t>25</w:t>
        </w:r>
        <w:r w:rsidR="0034620D">
          <w:rPr>
            <w:noProof/>
            <w:webHidden/>
          </w:rPr>
          <w:fldChar w:fldCharType="end"/>
        </w:r>
      </w:hyperlink>
    </w:p>
    <w:p w14:paraId="2A3B6F45" w14:textId="01F388EB" w:rsidR="0088425C" w:rsidRPr="00F56F28" w:rsidRDefault="00A364C6" w:rsidP="009514BA">
      <w:pPr>
        <w:tabs>
          <w:tab w:val="right" w:leader="dot" w:pos="9921"/>
        </w:tabs>
        <w:jc w:val="both"/>
        <w:rPr>
          <w:rFonts w:asciiTheme="minorHAnsi" w:hAnsiTheme="minorHAnsi" w:cstheme="minorHAnsi"/>
          <w:sz w:val="22"/>
          <w:szCs w:val="22"/>
        </w:rPr>
      </w:pPr>
      <w:r w:rsidRPr="00F56F28">
        <w:rPr>
          <w:rFonts w:asciiTheme="minorHAnsi" w:hAnsiTheme="minorHAnsi" w:cstheme="minorHAnsi"/>
          <w:sz w:val="22"/>
          <w:szCs w:val="22"/>
        </w:rPr>
        <w:fldChar w:fldCharType="end"/>
      </w:r>
      <w:bookmarkEnd w:id="6"/>
      <w:bookmarkEnd w:id="8"/>
    </w:p>
    <w:p w14:paraId="2BA3859C" w14:textId="725B2D10" w:rsidR="00070655" w:rsidRPr="00F56F28" w:rsidRDefault="00070655" w:rsidP="00E65949">
      <w:pPr>
        <w:tabs>
          <w:tab w:val="right" w:leader="dot" w:pos="9921"/>
        </w:tabs>
        <w:jc w:val="both"/>
        <w:rPr>
          <w:rFonts w:asciiTheme="minorHAnsi" w:hAnsiTheme="minorHAnsi" w:cstheme="minorHAnsi"/>
          <w:sz w:val="22"/>
          <w:szCs w:val="22"/>
        </w:rPr>
      </w:pPr>
    </w:p>
    <w:p w14:paraId="38319F38" w14:textId="62B5EB74" w:rsidR="000363AC" w:rsidRPr="00F56F28" w:rsidRDefault="000363AC" w:rsidP="00E65949">
      <w:pPr>
        <w:tabs>
          <w:tab w:val="right" w:leader="dot" w:pos="9921"/>
        </w:tabs>
        <w:jc w:val="both"/>
        <w:rPr>
          <w:rFonts w:asciiTheme="minorHAnsi" w:hAnsiTheme="minorHAnsi" w:cstheme="minorHAnsi"/>
          <w:sz w:val="22"/>
          <w:szCs w:val="22"/>
        </w:rPr>
      </w:pPr>
    </w:p>
    <w:p w14:paraId="38C35903" w14:textId="77777777" w:rsidR="00E63919" w:rsidRPr="00F56F28" w:rsidRDefault="00E63919" w:rsidP="00E65949">
      <w:pPr>
        <w:tabs>
          <w:tab w:val="right" w:leader="dot" w:pos="9921"/>
        </w:tabs>
        <w:jc w:val="both"/>
        <w:rPr>
          <w:rFonts w:asciiTheme="minorHAnsi" w:hAnsiTheme="minorHAnsi" w:cstheme="minorHAnsi"/>
          <w:sz w:val="22"/>
          <w:szCs w:val="22"/>
        </w:rPr>
      </w:pPr>
    </w:p>
    <w:p w14:paraId="57229744" w14:textId="093DAD6C" w:rsidR="004701D7" w:rsidRPr="00F56F28" w:rsidRDefault="004701D7" w:rsidP="00E65949">
      <w:pPr>
        <w:tabs>
          <w:tab w:val="right" w:leader="dot" w:pos="9921"/>
        </w:tabs>
        <w:jc w:val="both"/>
        <w:rPr>
          <w:rFonts w:asciiTheme="minorHAnsi" w:hAnsiTheme="minorHAnsi" w:cstheme="minorHAnsi"/>
          <w:sz w:val="22"/>
          <w:szCs w:val="22"/>
        </w:rPr>
      </w:pPr>
    </w:p>
    <w:p w14:paraId="1E32BE7C" w14:textId="1BC26202" w:rsidR="00E65949" w:rsidRPr="00F56F28" w:rsidRDefault="00E65949" w:rsidP="00E65949">
      <w:pPr>
        <w:tabs>
          <w:tab w:val="right" w:leader="dot" w:pos="9921"/>
        </w:tabs>
        <w:jc w:val="both"/>
        <w:rPr>
          <w:rFonts w:asciiTheme="minorHAnsi" w:hAnsiTheme="minorHAnsi" w:cstheme="minorHAnsi"/>
          <w:sz w:val="22"/>
          <w:szCs w:val="22"/>
        </w:rPr>
      </w:pPr>
    </w:p>
    <w:p w14:paraId="0B369ABB" w14:textId="48DAADA8" w:rsidR="00E65949" w:rsidRPr="00F56F28" w:rsidRDefault="00E65949" w:rsidP="00E65949">
      <w:pPr>
        <w:tabs>
          <w:tab w:val="right" w:leader="dot" w:pos="9921"/>
        </w:tabs>
        <w:jc w:val="both"/>
        <w:rPr>
          <w:rFonts w:asciiTheme="minorHAnsi" w:hAnsiTheme="minorHAnsi" w:cstheme="minorHAnsi"/>
          <w:sz w:val="22"/>
          <w:szCs w:val="22"/>
        </w:rPr>
      </w:pPr>
    </w:p>
    <w:p w14:paraId="0844E8F1" w14:textId="56A91009" w:rsidR="00E65949" w:rsidRPr="00F56F28" w:rsidRDefault="00E65949" w:rsidP="00E65949">
      <w:pPr>
        <w:tabs>
          <w:tab w:val="right" w:leader="dot" w:pos="9921"/>
        </w:tabs>
        <w:jc w:val="both"/>
        <w:rPr>
          <w:rFonts w:asciiTheme="minorHAnsi" w:hAnsiTheme="minorHAnsi" w:cstheme="minorHAnsi"/>
          <w:sz w:val="22"/>
          <w:szCs w:val="22"/>
        </w:rPr>
      </w:pPr>
    </w:p>
    <w:p w14:paraId="2ED902BC" w14:textId="564ABB7D" w:rsidR="00E65949" w:rsidRPr="00F56F28" w:rsidRDefault="00E65949" w:rsidP="00E65949">
      <w:pPr>
        <w:tabs>
          <w:tab w:val="right" w:leader="dot" w:pos="9921"/>
        </w:tabs>
        <w:jc w:val="both"/>
        <w:rPr>
          <w:rFonts w:asciiTheme="minorHAnsi" w:hAnsiTheme="minorHAnsi" w:cstheme="minorHAnsi"/>
          <w:sz w:val="22"/>
          <w:szCs w:val="22"/>
        </w:rPr>
      </w:pPr>
    </w:p>
    <w:p w14:paraId="201BE7B7" w14:textId="69951764" w:rsidR="00E65949" w:rsidRPr="00F56F28" w:rsidRDefault="00E65949" w:rsidP="00E65949">
      <w:pPr>
        <w:tabs>
          <w:tab w:val="right" w:leader="dot" w:pos="9921"/>
        </w:tabs>
        <w:jc w:val="both"/>
        <w:rPr>
          <w:rFonts w:asciiTheme="minorHAnsi" w:hAnsiTheme="minorHAnsi" w:cstheme="minorHAnsi"/>
          <w:sz w:val="22"/>
          <w:szCs w:val="22"/>
        </w:rPr>
      </w:pPr>
    </w:p>
    <w:p w14:paraId="781C112A" w14:textId="3B49807F" w:rsidR="00293CF6" w:rsidRPr="00F56F28" w:rsidRDefault="00A4795D" w:rsidP="0088425C">
      <w:pPr>
        <w:tabs>
          <w:tab w:val="right" w:leader="dot" w:pos="9921"/>
        </w:tabs>
        <w:spacing w:before="240" w:after="240"/>
        <w:jc w:val="both"/>
        <w:rPr>
          <w:rFonts w:asciiTheme="minorHAnsi" w:hAnsiTheme="minorHAnsi" w:cstheme="minorHAnsi"/>
          <w:sz w:val="22"/>
          <w:szCs w:val="22"/>
        </w:rPr>
      </w:pPr>
      <w:r w:rsidRPr="00F56F28">
        <w:rPr>
          <w:rFonts w:asciiTheme="minorHAnsi" w:hAnsiTheme="minorHAnsi" w:cstheme="minorHAnsi"/>
          <w:sz w:val="22"/>
          <w:szCs w:val="22"/>
        </w:rPr>
        <w:t>Š</w:t>
      </w:r>
      <w:r w:rsidR="00293CF6" w:rsidRPr="00F56F28">
        <w:rPr>
          <w:rFonts w:asciiTheme="minorHAnsi" w:hAnsiTheme="minorHAnsi" w:cstheme="minorHAnsi"/>
          <w:sz w:val="22"/>
          <w:szCs w:val="22"/>
        </w:rPr>
        <w:t>ioje apžvalgoje vartojam</w:t>
      </w:r>
      <w:r w:rsidR="00BF0C24" w:rsidRPr="00F56F28">
        <w:rPr>
          <w:rFonts w:asciiTheme="minorHAnsi" w:hAnsiTheme="minorHAnsi" w:cstheme="minorHAnsi"/>
          <w:sz w:val="22"/>
          <w:szCs w:val="22"/>
        </w:rPr>
        <w:t>os</w:t>
      </w:r>
      <w:r w:rsidR="00293CF6" w:rsidRPr="00F56F28">
        <w:rPr>
          <w:rFonts w:asciiTheme="minorHAnsi" w:hAnsiTheme="minorHAnsi" w:cstheme="minorHAnsi"/>
          <w:sz w:val="22"/>
          <w:szCs w:val="22"/>
        </w:rPr>
        <w:t xml:space="preserve"> </w:t>
      </w:r>
      <w:r w:rsidR="00293CF6" w:rsidRPr="00F56F28">
        <w:rPr>
          <w:rFonts w:asciiTheme="minorHAnsi" w:hAnsiTheme="minorHAnsi" w:cstheme="minorHAnsi"/>
          <w:b/>
          <w:sz w:val="22"/>
          <w:szCs w:val="22"/>
        </w:rPr>
        <w:t>s</w:t>
      </w:r>
      <w:r w:rsidR="00BF0C24" w:rsidRPr="00F56F28">
        <w:rPr>
          <w:rFonts w:asciiTheme="minorHAnsi" w:hAnsiTheme="minorHAnsi" w:cstheme="minorHAnsi"/>
          <w:b/>
          <w:sz w:val="22"/>
          <w:szCs w:val="22"/>
        </w:rPr>
        <w:t>antrumpos</w:t>
      </w:r>
      <w:r w:rsidR="00293CF6" w:rsidRPr="00F56F28">
        <w:rPr>
          <w:rFonts w:asciiTheme="minorHAnsi" w:hAnsiTheme="minorHAnsi" w:cstheme="minorHAnsi"/>
          <w:sz w:val="22"/>
          <w:szCs w:val="22"/>
        </w:rPr>
        <w:t>:</w:t>
      </w:r>
    </w:p>
    <w:p w14:paraId="040998EB" w14:textId="003452D1" w:rsidR="00AE0292" w:rsidRPr="00DA4556" w:rsidRDefault="00AE0292" w:rsidP="00F63421">
      <w:pPr>
        <w:tabs>
          <w:tab w:val="left" w:pos="1701"/>
        </w:tabs>
        <w:jc w:val="both"/>
        <w:rPr>
          <w:rFonts w:asciiTheme="minorHAnsi" w:hAnsiTheme="minorHAnsi" w:cstheme="minorHAnsi"/>
          <w:sz w:val="22"/>
          <w:szCs w:val="22"/>
        </w:rPr>
      </w:pPr>
      <w:r w:rsidRPr="00DA4556">
        <w:rPr>
          <w:rFonts w:asciiTheme="minorHAnsi" w:hAnsiTheme="minorHAnsi" w:cstheme="minorHAnsi"/>
          <w:b/>
          <w:bCs/>
          <w:sz w:val="22"/>
          <w:szCs w:val="22"/>
        </w:rPr>
        <w:t>ABTĮ</w:t>
      </w:r>
      <w:r w:rsidRPr="00DA4556">
        <w:rPr>
          <w:rFonts w:asciiTheme="minorHAnsi" w:hAnsiTheme="minorHAnsi" w:cstheme="minorHAnsi"/>
          <w:bCs/>
          <w:sz w:val="22"/>
          <w:szCs w:val="22"/>
        </w:rPr>
        <w:tab/>
      </w:r>
      <w:r w:rsidRPr="00DA4556">
        <w:rPr>
          <w:rFonts w:asciiTheme="minorHAnsi" w:hAnsiTheme="minorHAnsi" w:cstheme="minorHAnsi"/>
          <w:sz w:val="22"/>
          <w:szCs w:val="22"/>
        </w:rPr>
        <w:t>Lietuvos Respublikos administracinių bylų teisenos įstatymas</w:t>
      </w:r>
    </w:p>
    <w:p w14:paraId="7BF12393" w14:textId="77777777" w:rsidR="008B04BB" w:rsidRPr="00F56F28" w:rsidRDefault="008B04BB" w:rsidP="00F63421">
      <w:pPr>
        <w:tabs>
          <w:tab w:val="left" w:pos="1701"/>
        </w:tabs>
        <w:ind w:left="1701" w:hanging="1701"/>
        <w:jc w:val="both"/>
        <w:rPr>
          <w:rFonts w:asciiTheme="minorHAnsi" w:hAnsiTheme="minorHAnsi" w:cstheme="minorHAnsi"/>
          <w:sz w:val="22"/>
          <w:szCs w:val="22"/>
        </w:rPr>
      </w:pPr>
      <w:r w:rsidRPr="00F56F28">
        <w:rPr>
          <w:rFonts w:asciiTheme="minorHAnsi" w:hAnsiTheme="minorHAnsi" w:cstheme="minorHAnsi"/>
          <w:b/>
          <w:bCs/>
          <w:sz w:val="22"/>
          <w:szCs w:val="22"/>
        </w:rPr>
        <w:t>BDAR</w:t>
      </w:r>
      <w:r w:rsidRPr="00F56F28">
        <w:rPr>
          <w:rFonts w:asciiTheme="minorHAnsi" w:hAnsiTheme="minorHAnsi" w:cstheme="minorHAnsi"/>
          <w:bCs/>
          <w:sz w:val="22"/>
          <w:szCs w:val="22"/>
        </w:rPr>
        <w:tab/>
      </w:r>
      <w:r w:rsidRPr="00F56F28">
        <w:rPr>
          <w:rFonts w:asciiTheme="minorHAnsi" w:hAnsiTheme="minorHAnsi" w:cstheme="minorHAnsi"/>
          <w:sz w:val="22"/>
          <w:szCs w:val="22"/>
        </w:rPr>
        <w:t>2016 m. balandžio 27 d. Europos Parlamento ir Tarybos reglamentas (ES) 2016/679 dėl fizinių asmenų apsaugos tvarkant asmens duomenis ir dėl laisvo tokių duomenų judėjimo ir kuriuo panaikinama Direktyva 95/46/EB (Bendrasis duomenų apsaugos reglamentas)</w:t>
      </w:r>
    </w:p>
    <w:p w14:paraId="04C9F0D1" w14:textId="01BB438F" w:rsidR="003515B5" w:rsidRPr="00C35D69" w:rsidRDefault="003515B5" w:rsidP="00F63421">
      <w:pPr>
        <w:tabs>
          <w:tab w:val="left" w:pos="1701"/>
        </w:tabs>
        <w:jc w:val="both"/>
        <w:rPr>
          <w:rFonts w:asciiTheme="minorHAnsi" w:hAnsiTheme="minorHAnsi" w:cstheme="minorHAnsi"/>
          <w:sz w:val="22"/>
          <w:szCs w:val="22"/>
        </w:rPr>
      </w:pPr>
      <w:r w:rsidRPr="00C35D69">
        <w:rPr>
          <w:rFonts w:asciiTheme="minorHAnsi" w:hAnsiTheme="minorHAnsi" w:cstheme="minorHAnsi"/>
          <w:b/>
          <w:bCs/>
          <w:sz w:val="22"/>
          <w:szCs w:val="22"/>
        </w:rPr>
        <w:t>CK</w:t>
      </w:r>
      <w:r w:rsidRPr="00C35D69">
        <w:rPr>
          <w:rFonts w:asciiTheme="minorHAnsi" w:hAnsiTheme="minorHAnsi" w:cstheme="minorHAnsi"/>
          <w:bCs/>
          <w:sz w:val="22"/>
          <w:szCs w:val="22"/>
        </w:rPr>
        <w:tab/>
        <w:t xml:space="preserve">Lietuvos Respublikos </w:t>
      </w:r>
      <w:r w:rsidRPr="00C35D69">
        <w:rPr>
          <w:rFonts w:asciiTheme="minorHAnsi" w:hAnsiTheme="minorHAnsi" w:cstheme="minorHAnsi"/>
          <w:sz w:val="22"/>
          <w:szCs w:val="22"/>
        </w:rPr>
        <w:t>civilinis kodeksas</w:t>
      </w:r>
    </w:p>
    <w:p w14:paraId="68708775" w14:textId="66BC5206" w:rsidR="006417BE" w:rsidRPr="00F56F28" w:rsidRDefault="006417BE" w:rsidP="00F63421">
      <w:pPr>
        <w:tabs>
          <w:tab w:val="left" w:pos="1701"/>
        </w:tabs>
        <w:jc w:val="both"/>
        <w:rPr>
          <w:rFonts w:asciiTheme="minorHAnsi" w:hAnsiTheme="minorHAnsi" w:cstheme="minorHAnsi"/>
          <w:b/>
          <w:sz w:val="22"/>
          <w:szCs w:val="22"/>
        </w:rPr>
      </w:pPr>
      <w:r w:rsidRPr="00F56F28">
        <w:rPr>
          <w:rFonts w:asciiTheme="minorHAnsi" w:hAnsiTheme="minorHAnsi" w:cstheme="minorHAnsi"/>
          <w:b/>
          <w:sz w:val="22"/>
          <w:szCs w:val="22"/>
        </w:rPr>
        <w:t>ESTT</w:t>
      </w:r>
      <w:r w:rsidRPr="00F56F28">
        <w:rPr>
          <w:rFonts w:asciiTheme="minorHAnsi" w:hAnsiTheme="minorHAnsi" w:cstheme="minorHAnsi"/>
          <w:b/>
          <w:sz w:val="22"/>
          <w:szCs w:val="22"/>
        </w:rPr>
        <w:tab/>
      </w:r>
      <w:r w:rsidRPr="00F56F28">
        <w:rPr>
          <w:rFonts w:asciiTheme="minorHAnsi" w:hAnsiTheme="minorHAnsi" w:cstheme="minorHAnsi"/>
          <w:bCs/>
          <w:sz w:val="22"/>
          <w:szCs w:val="22"/>
        </w:rPr>
        <w:t>Europos Sąjungos Teisingumo Teismas</w:t>
      </w:r>
    </w:p>
    <w:p w14:paraId="2ADEE548" w14:textId="0736787C" w:rsidR="00135115" w:rsidRPr="00F56F28" w:rsidRDefault="00135115" w:rsidP="00F63421">
      <w:pPr>
        <w:tabs>
          <w:tab w:val="left" w:pos="1701"/>
        </w:tabs>
        <w:jc w:val="both"/>
        <w:rPr>
          <w:rFonts w:asciiTheme="minorHAnsi" w:hAnsiTheme="minorHAnsi" w:cstheme="minorHAnsi"/>
          <w:bCs/>
          <w:sz w:val="22"/>
          <w:szCs w:val="22"/>
        </w:rPr>
      </w:pPr>
      <w:r w:rsidRPr="00F56F28">
        <w:rPr>
          <w:rFonts w:asciiTheme="minorHAnsi" w:hAnsiTheme="minorHAnsi" w:cstheme="minorHAnsi"/>
          <w:b/>
          <w:sz w:val="22"/>
          <w:szCs w:val="22"/>
        </w:rPr>
        <w:t>EŽTT</w:t>
      </w:r>
      <w:r w:rsidRPr="00F56F28">
        <w:rPr>
          <w:rFonts w:asciiTheme="minorHAnsi" w:hAnsiTheme="minorHAnsi" w:cstheme="minorHAnsi"/>
          <w:bCs/>
          <w:sz w:val="22"/>
          <w:szCs w:val="22"/>
        </w:rPr>
        <w:tab/>
        <w:t>Europos Žmogaus Teisių Teismas</w:t>
      </w:r>
    </w:p>
    <w:p w14:paraId="4FB8D788" w14:textId="2CD1DCED" w:rsidR="004524BD" w:rsidRPr="00D93639" w:rsidRDefault="004524BD" w:rsidP="00F63421">
      <w:pPr>
        <w:tabs>
          <w:tab w:val="left" w:pos="1701"/>
        </w:tabs>
        <w:jc w:val="both"/>
        <w:rPr>
          <w:rFonts w:asciiTheme="minorHAnsi" w:hAnsiTheme="minorHAnsi" w:cstheme="minorHAnsi"/>
          <w:bCs/>
          <w:sz w:val="22"/>
          <w:szCs w:val="22"/>
        </w:rPr>
      </w:pPr>
      <w:r w:rsidRPr="00D93639">
        <w:rPr>
          <w:rFonts w:asciiTheme="minorHAnsi" w:hAnsiTheme="minorHAnsi" w:cstheme="minorHAnsi"/>
          <w:b/>
          <w:bCs/>
          <w:sz w:val="22"/>
          <w:szCs w:val="22"/>
        </w:rPr>
        <w:t>GPM</w:t>
      </w:r>
      <w:r w:rsidRPr="00D93639">
        <w:rPr>
          <w:rFonts w:asciiTheme="minorHAnsi" w:hAnsiTheme="minorHAnsi" w:cstheme="minorHAnsi"/>
          <w:b/>
          <w:bCs/>
          <w:sz w:val="22"/>
          <w:szCs w:val="22"/>
        </w:rPr>
        <w:tab/>
      </w:r>
      <w:r w:rsidRPr="00D93639">
        <w:rPr>
          <w:rFonts w:asciiTheme="minorHAnsi" w:hAnsiTheme="minorHAnsi" w:cstheme="minorHAnsi"/>
          <w:sz w:val="22"/>
          <w:szCs w:val="22"/>
        </w:rPr>
        <w:t>gyventojų pajamų mokestis</w:t>
      </w:r>
    </w:p>
    <w:p w14:paraId="4C6B083B" w14:textId="4A2AD66A" w:rsidR="00AE0292" w:rsidRPr="00F56F28" w:rsidRDefault="00AE0292" w:rsidP="00F63421">
      <w:pPr>
        <w:tabs>
          <w:tab w:val="left" w:pos="1701"/>
        </w:tabs>
        <w:jc w:val="both"/>
        <w:rPr>
          <w:rFonts w:asciiTheme="minorHAnsi" w:hAnsiTheme="minorHAnsi" w:cstheme="minorHAnsi"/>
          <w:sz w:val="22"/>
          <w:szCs w:val="22"/>
        </w:rPr>
      </w:pPr>
      <w:r w:rsidRPr="00F56F28">
        <w:rPr>
          <w:rFonts w:asciiTheme="minorHAnsi" w:hAnsiTheme="minorHAnsi" w:cstheme="minorHAnsi"/>
          <w:b/>
          <w:sz w:val="22"/>
          <w:szCs w:val="22"/>
        </w:rPr>
        <w:t>LVAT</w:t>
      </w:r>
      <w:r w:rsidRPr="00F56F28">
        <w:rPr>
          <w:rFonts w:asciiTheme="minorHAnsi" w:hAnsiTheme="minorHAnsi" w:cstheme="minorHAnsi"/>
          <w:bCs/>
          <w:sz w:val="22"/>
          <w:szCs w:val="22"/>
        </w:rPr>
        <w:tab/>
      </w:r>
      <w:r w:rsidRPr="00F56F28">
        <w:rPr>
          <w:rFonts w:asciiTheme="minorHAnsi" w:hAnsiTheme="minorHAnsi" w:cstheme="minorHAnsi"/>
          <w:sz w:val="22"/>
          <w:szCs w:val="22"/>
        </w:rPr>
        <w:t>Lietuvos vyriausiasis administracinis teismas</w:t>
      </w:r>
    </w:p>
    <w:p w14:paraId="3774FDB5" w14:textId="75D31051" w:rsidR="00321928" w:rsidRPr="00283F3D" w:rsidRDefault="00321928" w:rsidP="00AB42AB">
      <w:pPr>
        <w:tabs>
          <w:tab w:val="left" w:pos="1701"/>
        </w:tabs>
        <w:jc w:val="both"/>
        <w:rPr>
          <w:rFonts w:asciiTheme="minorHAnsi" w:hAnsiTheme="minorHAnsi" w:cstheme="minorHAnsi"/>
          <w:b/>
          <w:sz w:val="22"/>
          <w:szCs w:val="22"/>
        </w:rPr>
      </w:pPr>
      <w:r w:rsidRPr="00283F3D">
        <w:rPr>
          <w:rFonts w:asciiTheme="minorHAnsi" w:hAnsiTheme="minorHAnsi" w:cstheme="minorHAnsi"/>
          <w:b/>
          <w:bCs/>
          <w:sz w:val="22"/>
          <w:szCs w:val="22"/>
        </w:rPr>
        <w:t>PVM</w:t>
      </w:r>
      <w:r w:rsidRPr="00283F3D">
        <w:rPr>
          <w:rFonts w:asciiTheme="minorHAnsi" w:hAnsiTheme="minorHAnsi" w:cstheme="minorHAnsi"/>
          <w:sz w:val="22"/>
          <w:szCs w:val="22"/>
        </w:rPr>
        <w:tab/>
        <w:t>pridėtinės vertės mokestis</w:t>
      </w:r>
    </w:p>
    <w:p w14:paraId="785A0AF8" w14:textId="477E3F76" w:rsidR="00137A24" w:rsidRPr="00F56F28" w:rsidRDefault="00137A24" w:rsidP="00F63421">
      <w:pPr>
        <w:tabs>
          <w:tab w:val="left" w:pos="1701"/>
        </w:tabs>
        <w:jc w:val="both"/>
        <w:rPr>
          <w:rFonts w:asciiTheme="minorHAnsi" w:hAnsiTheme="minorHAnsi" w:cstheme="minorHAnsi"/>
          <w:sz w:val="22"/>
          <w:szCs w:val="22"/>
        </w:rPr>
      </w:pPr>
      <w:r w:rsidRPr="00F56F28">
        <w:rPr>
          <w:rFonts w:asciiTheme="minorHAnsi" w:hAnsiTheme="minorHAnsi" w:cstheme="minorHAnsi"/>
          <w:b/>
          <w:bCs/>
          <w:sz w:val="22"/>
          <w:szCs w:val="22"/>
        </w:rPr>
        <w:t>UAB</w:t>
      </w:r>
      <w:r w:rsidRPr="00F56F28">
        <w:rPr>
          <w:rFonts w:asciiTheme="minorHAnsi" w:hAnsiTheme="minorHAnsi" w:cstheme="minorHAnsi"/>
          <w:bCs/>
          <w:sz w:val="22"/>
          <w:szCs w:val="22"/>
        </w:rPr>
        <w:tab/>
        <w:t xml:space="preserve">uždaroji </w:t>
      </w:r>
      <w:r w:rsidRPr="00F56F28">
        <w:rPr>
          <w:rFonts w:asciiTheme="minorHAnsi" w:hAnsiTheme="minorHAnsi" w:cstheme="minorHAnsi"/>
          <w:sz w:val="22"/>
          <w:szCs w:val="22"/>
        </w:rPr>
        <w:t>akcinė bendrovė</w:t>
      </w:r>
    </w:p>
    <w:p w14:paraId="482E0434" w14:textId="41BC4923" w:rsidR="002A113F" w:rsidRPr="00E8518A" w:rsidRDefault="002A113F" w:rsidP="002A113F">
      <w:pPr>
        <w:tabs>
          <w:tab w:val="left" w:pos="1701"/>
        </w:tabs>
        <w:jc w:val="both"/>
        <w:rPr>
          <w:rFonts w:asciiTheme="minorHAnsi" w:hAnsiTheme="minorHAnsi" w:cstheme="minorHAnsi"/>
          <w:sz w:val="22"/>
          <w:szCs w:val="22"/>
        </w:rPr>
      </w:pPr>
      <w:r w:rsidRPr="00E8518A">
        <w:rPr>
          <w:rFonts w:asciiTheme="minorHAnsi" w:hAnsiTheme="minorHAnsi" w:cstheme="minorHAnsi"/>
          <w:b/>
          <w:bCs/>
          <w:sz w:val="22"/>
          <w:szCs w:val="22"/>
        </w:rPr>
        <w:t>UTPĮ</w:t>
      </w:r>
      <w:r w:rsidRPr="00E8518A">
        <w:rPr>
          <w:rFonts w:asciiTheme="minorHAnsi" w:hAnsiTheme="minorHAnsi" w:cstheme="minorHAnsi"/>
          <w:bCs/>
          <w:sz w:val="22"/>
          <w:szCs w:val="22"/>
        </w:rPr>
        <w:tab/>
      </w:r>
      <w:r w:rsidR="00E8518A" w:rsidRPr="00F56F28">
        <w:rPr>
          <w:rFonts w:asciiTheme="minorHAnsi" w:hAnsiTheme="minorHAnsi" w:cstheme="minorHAnsi"/>
          <w:sz w:val="22"/>
          <w:szCs w:val="22"/>
        </w:rPr>
        <w:t xml:space="preserve">Lietuvos Respublikos </w:t>
      </w:r>
      <w:r w:rsidRPr="00E8518A">
        <w:rPr>
          <w:rStyle w:val="normaltextrun"/>
          <w:rFonts w:asciiTheme="minorHAnsi" w:hAnsiTheme="minorHAnsi" w:cstheme="minorHAnsi"/>
          <w:sz w:val="22"/>
          <w:szCs w:val="22"/>
          <w:shd w:val="clear" w:color="auto" w:fill="FFFFFF"/>
        </w:rPr>
        <w:t>įstatymas „Dėl užsieniečių teisinės padėties“</w:t>
      </w:r>
    </w:p>
    <w:p w14:paraId="2546418B" w14:textId="2359DAB3" w:rsidR="001D44F1" w:rsidRPr="00F56F28" w:rsidRDefault="001D44F1" w:rsidP="00F63421">
      <w:pPr>
        <w:tabs>
          <w:tab w:val="left" w:pos="1701"/>
        </w:tabs>
        <w:jc w:val="both"/>
        <w:rPr>
          <w:rFonts w:asciiTheme="minorHAnsi" w:hAnsiTheme="minorHAnsi" w:cstheme="minorHAnsi"/>
          <w:b/>
          <w:sz w:val="22"/>
          <w:szCs w:val="22"/>
        </w:rPr>
      </w:pPr>
      <w:r w:rsidRPr="00F56F28">
        <w:rPr>
          <w:rFonts w:asciiTheme="minorHAnsi" w:hAnsiTheme="minorHAnsi" w:cstheme="minorHAnsi"/>
          <w:b/>
          <w:bCs/>
          <w:sz w:val="22"/>
          <w:szCs w:val="22"/>
        </w:rPr>
        <w:t>VAĮ</w:t>
      </w:r>
      <w:r w:rsidRPr="00F56F28">
        <w:rPr>
          <w:rFonts w:asciiTheme="minorHAnsi" w:hAnsiTheme="minorHAnsi" w:cstheme="minorHAnsi"/>
          <w:sz w:val="22"/>
          <w:szCs w:val="22"/>
        </w:rPr>
        <w:tab/>
        <w:t>Lietuvos Respublikos viešojo administravimo įstatymas</w:t>
      </w:r>
    </w:p>
    <w:p w14:paraId="7BCF88B4" w14:textId="323D9835" w:rsidR="005033BB" w:rsidRPr="00F56F28" w:rsidRDefault="005033BB" w:rsidP="005033BB">
      <w:pPr>
        <w:tabs>
          <w:tab w:val="left" w:pos="1701"/>
        </w:tabs>
        <w:jc w:val="both"/>
        <w:rPr>
          <w:rFonts w:asciiTheme="minorHAnsi" w:hAnsiTheme="minorHAnsi" w:cstheme="minorHAnsi"/>
          <w:sz w:val="22"/>
          <w:szCs w:val="22"/>
        </w:rPr>
      </w:pPr>
      <w:r w:rsidRPr="00B75F95">
        <w:rPr>
          <w:rFonts w:asciiTheme="minorHAnsi" w:hAnsiTheme="minorHAnsi" w:cstheme="minorHAnsi"/>
          <w:b/>
          <w:bCs/>
          <w:sz w:val="22"/>
          <w:szCs w:val="22"/>
        </w:rPr>
        <w:t>VĮ</w:t>
      </w:r>
      <w:r w:rsidRPr="00B75F95">
        <w:rPr>
          <w:rFonts w:asciiTheme="minorHAnsi" w:hAnsiTheme="minorHAnsi" w:cstheme="minorHAnsi"/>
          <w:bCs/>
          <w:sz w:val="22"/>
          <w:szCs w:val="22"/>
        </w:rPr>
        <w:tab/>
      </w:r>
      <w:r w:rsidR="0034620D">
        <w:rPr>
          <w:rFonts w:asciiTheme="minorHAnsi" w:hAnsiTheme="minorHAnsi" w:cstheme="minorHAnsi"/>
          <w:bCs/>
          <w:sz w:val="22"/>
          <w:szCs w:val="22"/>
        </w:rPr>
        <w:t>valstybės įmonė</w:t>
      </w:r>
    </w:p>
    <w:p w14:paraId="2CA688DD" w14:textId="77777777" w:rsidR="002F08EB" w:rsidRPr="00F56F28" w:rsidRDefault="002F08EB" w:rsidP="00751F3D">
      <w:pPr>
        <w:spacing w:before="240"/>
        <w:jc w:val="both"/>
        <w:rPr>
          <w:rFonts w:asciiTheme="minorHAnsi" w:hAnsiTheme="minorHAnsi" w:cstheme="minorHAnsi"/>
          <w:b/>
          <w:sz w:val="22"/>
          <w:szCs w:val="22"/>
        </w:rPr>
      </w:pPr>
    </w:p>
    <w:p w14:paraId="6E6F07C4" w14:textId="3CEEB48C" w:rsidR="0007050C" w:rsidRPr="00F56F28" w:rsidRDefault="00E227FE" w:rsidP="004701D7">
      <w:pPr>
        <w:spacing w:before="240"/>
        <w:jc w:val="both"/>
        <w:rPr>
          <w:rFonts w:asciiTheme="minorHAnsi" w:hAnsiTheme="minorHAnsi" w:cstheme="minorHAnsi"/>
          <w:sz w:val="22"/>
          <w:szCs w:val="22"/>
        </w:rPr>
      </w:pPr>
      <w:r w:rsidRPr="00F56F28">
        <w:rPr>
          <w:rFonts w:asciiTheme="minorHAnsi" w:hAnsiTheme="minorHAnsi" w:cstheme="minorHAnsi"/>
          <w:b/>
          <w:sz w:val="22"/>
          <w:szCs w:val="22"/>
        </w:rPr>
        <w:t>P</w:t>
      </w:r>
      <w:r w:rsidR="003D4C15" w:rsidRPr="00F56F28">
        <w:rPr>
          <w:rFonts w:asciiTheme="minorHAnsi" w:hAnsiTheme="minorHAnsi" w:cstheme="minorHAnsi"/>
          <w:b/>
          <w:sz w:val="22"/>
          <w:szCs w:val="22"/>
        </w:rPr>
        <w:t>astaba.</w:t>
      </w:r>
      <w:r w:rsidR="003D4C15" w:rsidRPr="00F56F28">
        <w:rPr>
          <w:rFonts w:asciiTheme="minorHAnsi" w:hAnsiTheme="minorHAnsi" w:cstheme="minorHAnsi"/>
          <w:sz w:val="22"/>
          <w:szCs w:val="22"/>
        </w:rPr>
        <w:t xml:space="preserve"> Šioje apžvalgoje pateikiamos neoficialios </w:t>
      </w:r>
      <w:r w:rsidR="0028287C" w:rsidRPr="00F56F28">
        <w:rPr>
          <w:rFonts w:asciiTheme="minorHAnsi" w:hAnsiTheme="minorHAnsi" w:cstheme="minorHAnsi"/>
          <w:sz w:val="22"/>
          <w:szCs w:val="22"/>
        </w:rPr>
        <w:t>LVAT</w:t>
      </w:r>
      <w:r w:rsidR="003D4C15" w:rsidRPr="00F56F28">
        <w:rPr>
          <w:rFonts w:asciiTheme="minorHAnsi" w:hAnsiTheme="minorHAnsi" w:cstheme="minorHAnsi"/>
          <w:sz w:val="22"/>
          <w:szCs w:val="22"/>
        </w:rPr>
        <w:t xml:space="preserve"> procesinių sprendimų santraukos, kurios LVAT nesaisto. Šis dokumentas yra skirtas tik info</w:t>
      </w:r>
      <w:r w:rsidR="009E6C8D" w:rsidRPr="00F56F28">
        <w:rPr>
          <w:rFonts w:asciiTheme="minorHAnsi" w:hAnsiTheme="minorHAnsi" w:cstheme="minorHAnsi"/>
          <w:sz w:val="22"/>
          <w:szCs w:val="22"/>
        </w:rPr>
        <w:t>rm</w:t>
      </w:r>
      <w:r w:rsidR="0001474E" w:rsidRPr="00F56F28">
        <w:rPr>
          <w:rFonts w:asciiTheme="minorHAnsi" w:hAnsiTheme="minorHAnsi" w:cstheme="minorHAnsi"/>
          <w:sz w:val="22"/>
          <w:szCs w:val="22"/>
        </w:rPr>
        <w:t>uoti</w:t>
      </w:r>
      <w:r w:rsidR="003D4C15" w:rsidRPr="00F56F28">
        <w:rPr>
          <w:rFonts w:asciiTheme="minorHAnsi" w:hAnsiTheme="minorHAnsi" w:cstheme="minorHAnsi"/>
          <w:sz w:val="22"/>
          <w:szCs w:val="22"/>
        </w:rPr>
        <w:t>. Oficialius nutarčių bei sprendimų tekstus galite rasti pasinaudoję interaktyviomis nuorodomis. Informacija dėstoma remiantis Teisėjų tarybos 20</w:t>
      </w:r>
      <w:r w:rsidR="0045102F" w:rsidRPr="00F56F28">
        <w:rPr>
          <w:rFonts w:asciiTheme="minorHAnsi" w:hAnsiTheme="minorHAnsi" w:cstheme="minorHAnsi"/>
          <w:sz w:val="22"/>
          <w:szCs w:val="22"/>
        </w:rPr>
        <w:t>16</w:t>
      </w:r>
      <w:r w:rsidR="00F1556D" w:rsidRPr="00F56F28">
        <w:rPr>
          <w:rFonts w:asciiTheme="minorHAnsi" w:hAnsiTheme="minorHAnsi" w:cstheme="minorHAnsi"/>
          <w:sz w:val="22"/>
          <w:szCs w:val="22"/>
        </w:rPr>
        <w:t xml:space="preserve"> </w:t>
      </w:r>
      <w:r w:rsidR="003D4C15" w:rsidRPr="00F56F28">
        <w:rPr>
          <w:rFonts w:asciiTheme="minorHAnsi" w:hAnsiTheme="minorHAnsi" w:cstheme="minorHAnsi"/>
          <w:sz w:val="22"/>
          <w:szCs w:val="22"/>
        </w:rPr>
        <w:t xml:space="preserve">m. </w:t>
      </w:r>
      <w:r w:rsidR="0045102F" w:rsidRPr="00F56F28">
        <w:rPr>
          <w:rFonts w:asciiTheme="minorHAnsi" w:hAnsiTheme="minorHAnsi" w:cstheme="minorHAnsi"/>
          <w:sz w:val="22"/>
          <w:szCs w:val="22"/>
        </w:rPr>
        <w:t>rugsėjo 30</w:t>
      </w:r>
      <w:r w:rsidR="00F1556D" w:rsidRPr="00F56F28">
        <w:rPr>
          <w:rFonts w:asciiTheme="minorHAnsi" w:hAnsiTheme="minorHAnsi" w:cstheme="minorHAnsi"/>
          <w:sz w:val="22"/>
          <w:szCs w:val="22"/>
        </w:rPr>
        <w:t xml:space="preserve"> </w:t>
      </w:r>
      <w:r w:rsidR="00291483" w:rsidRPr="00F56F28">
        <w:rPr>
          <w:rFonts w:asciiTheme="minorHAnsi" w:hAnsiTheme="minorHAnsi" w:cstheme="minorHAnsi"/>
          <w:sz w:val="22"/>
          <w:szCs w:val="22"/>
        </w:rPr>
        <w:t>d. nutarimu Nr. </w:t>
      </w:r>
      <w:r w:rsidR="003D4C15" w:rsidRPr="00F56F28">
        <w:rPr>
          <w:rFonts w:asciiTheme="minorHAnsi" w:hAnsiTheme="minorHAnsi" w:cstheme="minorHAnsi"/>
          <w:sz w:val="22"/>
          <w:szCs w:val="22"/>
        </w:rPr>
        <w:t>13P-</w:t>
      </w:r>
      <w:r w:rsidR="0045102F" w:rsidRPr="00F56F28">
        <w:rPr>
          <w:rFonts w:asciiTheme="minorHAnsi" w:hAnsiTheme="minorHAnsi" w:cstheme="minorHAnsi"/>
          <w:sz w:val="22"/>
          <w:szCs w:val="22"/>
        </w:rPr>
        <w:t>102</w:t>
      </w:r>
      <w:r w:rsidR="003D4C15" w:rsidRPr="00F56F28">
        <w:rPr>
          <w:rFonts w:asciiTheme="minorHAnsi" w:hAnsiTheme="minorHAnsi" w:cstheme="minorHAnsi"/>
          <w:sz w:val="22"/>
          <w:szCs w:val="22"/>
        </w:rPr>
        <w:t>-(7.1.2) patvirtintu Teismų procesinių sprendimų administracinėse bylose kategorijų klasifikatoriumi</w:t>
      </w:r>
      <w:r w:rsidR="0038475E" w:rsidRPr="00F56F28">
        <w:rPr>
          <w:rFonts w:asciiTheme="minorHAnsi" w:hAnsiTheme="minorHAnsi" w:cstheme="minorHAnsi"/>
          <w:sz w:val="22"/>
          <w:szCs w:val="22"/>
        </w:rPr>
        <w:t xml:space="preserve"> (nuo 2019 m. vasario 1 d. galiojanti redakcija)</w:t>
      </w:r>
      <w:r w:rsidR="003D4C15" w:rsidRPr="00F56F28">
        <w:rPr>
          <w:rFonts w:asciiTheme="minorHAnsi" w:hAnsiTheme="minorHAnsi" w:cstheme="minorHAnsi"/>
          <w:sz w:val="22"/>
          <w:szCs w:val="22"/>
        </w:rPr>
        <w:t>.</w:t>
      </w:r>
      <w:bookmarkStart w:id="9" w:name="_Toc410389752"/>
      <w:bookmarkStart w:id="10" w:name="_Toc361146890"/>
      <w:bookmarkEnd w:id="7"/>
      <w:r w:rsidR="0007050C" w:rsidRPr="00F56F28">
        <w:rPr>
          <w:rFonts w:asciiTheme="minorHAnsi" w:hAnsiTheme="minorHAnsi" w:cstheme="minorHAnsi"/>
          <w:sz w:val="22"/>
          <w:szCs w:val="22"/>
        </w:rPr>
        <w:br w:type="page"/>
      </w:r>
    </w:p>
    <w:p w14:paraId="26C4EE0E" w14:textId="0E6E1B55" w:rsidR="007C61EC" w:rsidRPr="00F56F28" w:rsidRDefault="00A84D45" w:rsidP="001B5CE0">
      <w:pPr>
        <w:pStyle w:val="Apzvalgai1"/>
        <w:rPr>
          <w:rFonts w:asciiTheme="minorHAnsi" w:hAnsiTheme="minorHAnsi" w:cstheme="minorHAnsi"/>
        </w:rPr>
      </w:pPr>
      <w:bookmarkStart w:id="11" w:name="_Toc519600852"/>
      <w:bookmarkStart w:id="12" w:name="_Toc159340647"/>
      <w:r w:rsidRPr="00F56F28">
        <w:rPr>
          <w:rFonts w:asciiTheme="minorHAnsi" w:hAnsiTheme="minorHAnsi" w:cstheme="minorHAnsi"/>
        </w:rPr>
        <w:lastRenderedPageBreak/>
        <w:t>I. Administracinės bylos, kylančios iš ginčų dėl teisės viešojo administravimo srityje</w:t>
      </w:r>
      <w:bookmarkEnd w:id="11"/>
      <w:bookmarkEnd w:id="12"/>
    </w:p>
    <w:p w14:paraId="311B5742" w14:textId="0BFC5C46" w:rsidR="00D84197" w:rsidRPr="00F56F28" w:rsidRDefault="00D84197" w:rsidP="00431059">
      <w:pPr>
        <w:rPr>
          <w:rFonts w:asciiTheme="minorHAnsi" w:hAnsiTheme="minorHAnsi" w:cstheme="minorHAnsi"/>
          <w:sz w:val="22"/>
          <w:szCs w:val="22"/>
        </w:rPr>
      </w:pPr>
    </w:p>
    <w:p w14:paraId="487ACE71" w14:textId="77777777" w:rsidR="00C70AA8" w:rsidRPr="00C70AA8" w:rsidRDefault="00C70AA8" w:rsidP="00C70AA8">
      <w:pPr>
        <w:pStyle w:val="Apzvalgai1"/>
        <w:rPr>
          <w:rFonts w:asciiTheme="minorHAnsi" w:hAnsiTheme="minorHAnsi" w:cstheme="minorHAnsi"/>
        </w:rPr>
      </w:pPr>
      <w:bookmarkStart w:id="13" w:name="_Toc774912"/>
      <w:bookmarkStart w:id="14" w:name="_Toc159340648"/>
      <w:r w:rsidRPr="00C70AA8">
        <w:rPr>
          <w:rFonts w:asciiTheme="minorHAnsi" w:hAnsiTheme="minorHAnsi" w:cstheme="minorHAnsi"/>
        </w:rPr>
        <w:t>4. Norminių administracinių aktų teisėtumo patikra</w:t>
      </w:r>
      <w:bookmarkEnd w:id="13"/>
      <w:bookmarkEnd w:id="14"/>
    </w:p>
    <w:p w14:paraId="2A4E92AE" w14:textId="77777777" w:rsidR="00C70AA8" w:rsidRPr="00C70AA8" w:rsidRDefault="00C70AA8" w:rsidP="00C70AA8">
      <w:pPr>
        <w:ind w:firstLine="567"/>
        <w:rPr>
          <w:rFonts w:asciiTheme="minorHAnsi" w:hAnsiTheme="minorHAnsi" w:cstheme="minorHAnsi"/>
          <w:b/>
          <w:bCs/>
          <w:sz w:val="22"/>
          <w:szCs w:val="22"/>
          <w:u w:val="single"/>
        </w:rPr>
      </w:pPr>
      <w:r w:rsidRPr="00C70AA8">
        <w:rPr>
          <w:rFonts w:asciiTheme="minorHAnsi" w:hAnsiTheme="minorHAnsi" w:cstheme="minorHAnsi"/>
          <w:b/>
          <w:bCs/>
          <w:sz w:val="22"/>
          <w:szCs w:val="22"/>
          <w:u w:val="single"/>
        </w:rPr>
        <w:t>4.1. Centrinių valstybinio administravimo subjektų norminių administracinių aktų teisėtumas</w:t>
      </w:r>
    </w:p>
    <w:p w14:paraId="235DD795" w14:textId="77777777" w:rsidR="00C70AA8" w:rsidRPr="00C70AA8" w:rsidRDefault="00C70AA8" w:rsidP="00C70AA8">
      <w:pPr>
        <w:jc w:val="center"/>
        <w:rPr>
          <w:rFonts w:asciiTheme="minorHAnsi" w:hAnsiTheme="minorHAnsi" w:cstheme="minorHAnsi"/>
          <w:sz w:val="22"/>
          <w:szCs w:val="22"/>
        </w:rPr>
      </w:pPr>
    </w:p>
    <w:p w14:paraId="622435B6" w14:textId="77777777" w:rsidR="00C70AA8" w:rsidRPr="00C70AA8" w:rsidRDefault="00C70AA8" w:rsidP="00C70AA8">
      <w:pPr>
        <w:jc w:val="both"/>
        <w:outlineLvl w:val="1"/>
        <w:rPr>
          <w:rFonts w:asciiTheme="minorHAnsi" w:eastAsia="Calibri" w:hAnsiTheme="minorHAnsi" w:cstheme="minorHAnsi"/>
          <w:i/>
          <w:sz w:val="22"/>
          <w:szCs w:val="22"/>
        </w:rPr>
      </w:pPr>
      <w:bookmarkStart w:id="15" w:name="_Toc159340649"/>
      <w:r w:rsidRPr="00C70AA8">
        <w:rPr>
          <w:rFonts w:asciiTheme="minorHAnsi" w:eastAsia="Calibri" w:hAnsiTheme="minorHAnsi" w:cstheme="minorHAnsi"/>
          <w:i/>
          <w:sz w:val="22"/>
          <w:szCs w:val="22"/>
        </w:rPr>
        <w:t>Dėl Nacionalinės mokėjimo agentūros įgaliojimų priimti sprendimą dėl neteisėtai išmokėtų ir (arba) panaudotų Europos Sąjungos paramos lėšų susigrąžinimo</w:t>
      </w:r>
      <w:bookmarkEnd w:id="15"/>
    </w:p>
    <w:p w14:paraId="222D6501" w14:textId="77777777" w:rsidR="00C70AA8" w:rsidRPr="00C70AA8" w:rsidRDefault="00C70AA8" w:rsidP="00C70AA8">
      <w:pPr>
        <w:ind w:firstLine="567"/>
        <w:jc w:val="both"/>
        <w:rPr>
          <w:rFonts w:asciiTheme="minorHAnsi" w:hAnsiTheme="minorHAnsi" w:cstheme="minorHAnsi"/>
          <w:bCs/>
          <w:i/>
          <w:iCs/>
          <w:sz w:val="22"/>
          <w:szCs w:val="22"/>
        </w:rPr>
      </w:pPr>
    </w:p>
    <w:p w14:paraId="4288A1B1" w14:textId="74630010" w:rsidR="00C70AA8" w:rsidRPr="00C70AA8" w:rsidRDefault="00C70AA8" w:rsidP="00C70AA8">
      <w:pPr>
        <w:ind w:firstLine="567"/>
        <w:jc w:val="both"/>
        <w:rPr>
          <w:rFonts w:asciiTheme="minorHAnsi" w:hAnsiTheme="minorHAnsi" w:cstheme="minorHAnsi"/>
          <w:sz w:val="22"/>
          <w:szCs w:val="22"/>
        </w:rPr>
      </w:pPr>
      <w:r w:rsidRPr="00C70AA8">
        <w:rPr>
          <w:rFonts w:asciiTheme="minorHAnsi" w:hAnsiTheme="minorHAnsi" w:cstheme="minorHAnsi"/>
          <w:sz w:val="22"/>
          <w:szCs w:val="22"/>
        </w:rPr>
        <w:t>Apžvelgiamoje byloje buvo tiriama, ar žemės ūkio ministro 2012 m. liepos 12 d. įsakymu Nr. 3D-585 (2021</w:t>
      </w:r>
      <w:r>
        <w:rPr>
          <w:rFonts w:asciiTheme="minorHAnsi" w:hAnsiTheme="minorHAnsi" w:cstheme="minorHAnsi"/>
          <w:sz w:val="22"/>
          <w:szCs w:val="22"/>
        </w:rPr>
        <w:t> </w:t>
      </w:r>
      <w:r w:rsidRPr="00C70AA8">
        <w:rPr>
          <w:rFonts w:asciiTheme="minorHAnsi" w:hAnsiTheme="minorHAnsi" w:cstheme="minorHAnsi"/>
          <w:sz w:val="22"/>
          <w:szCs w:val="22"/>
        </w:rPr>
        <w:t>m. rugpjūčio 26 d. įsakymo Nr. 3D-527 redakcija, galiojanti nuo 2021 m. rugsėjo 1 d.) patvirtintų Informavimo apie žemės ūkio produktus ir jų pardavimų skatinimo vidaus rinkoje ir trečiosiose šalyse programų administravimo taisyklių (toliau – Taisyklės) 44</w:t>
      </w:r>
      <w:r w:rsidRPr="00C70AA8">
        <w:rPr>
          <w:rFonts w:asciiTheme="minorHAnsi" w:hAnsiTheme="minorHAnsi" w:cstheme="minorHAnsi"/>
          <w:sz w:val="22"/>
          <w:szCs w:val="22"/>
          <w:vertAlign w:val="superscript"/>
        </w:rPr>
        <w:t>2</w:t>
      </w:r>
      <w:r>
        <w:rPr>
          <w:rFonts w:asciiTheme="minorHAnsi" w:hAnsiTheme="minorHAnsi" w:cstheme="minorHAnsi"/>
          <w:sz w:val="22"/>
          <w:szCs w:val="22"/>
        </w:rPr>
        <w:t xml:space="preserve"> </w:t>
      </w:r>
      <w:r w:rsidRPr="00C70AA8">
        <w:rPr>
          <w:rFonts w:asciiTheme="minorHAnsi" w:hAnsiTheme="minorHAnsi" w:cstheme="minorHAnsi"/>
          <w:sz w:val="22"/>
          <w:szCs w:val="22"/>
        </w:rPr>
        <w:t>punktas neprieštarauja konstituciniam teisinės valstybės principui ir VAĮ 5 straipsnio 1 dalies 1 punktui.</w:t>
      </w:r>
    </w:p>
    <w:p w14:paraId="0EAFE456" w14:textId="376093AD" w:rsidR="00C70AA8" w:rsidRPr="00C70AA8" w:rsidRDefault="00C70AA8" w:rsidP="00C70AA8">
      <w:pPr>
        <w:ind w:firstLine="567"/>
        <w:jc w:val="both"/>
        <w:rPr>
          <w:rFonts w:asciiTheme="minorHAnsi" w:hAnsiTheme="minorHAnsi" w:cstheme="minorHAnsi"/>
          <w:bCs/>
          <w:sz w:val="22"/>
          <w:szCs w:val="22"/>
        </w:rPr>
      </w:pPr>
      <w:r w:rsidRPr="00C70AA8">
        <w:rPr>
          <w:rFonts w:asciiTheme="minorHAnsi" w:hAnsiTheme="minorHAnsi" w:cstheme="minorHAnsi"/>
          <w:bCs/>
          <w:sz w:val="22"/>
          <w:szCs w:val="22"/>
        </w:rPr>
        <w:t>Kvestionuotame Taisyklių 44</w:t>
      </w:r>
      <w:r w:rsidRPr="00C70AA8">
        <w:rPr>
          <w:rFonts w:asciiTheme="minorHAnsi" w:hAnsiTheme="minorHAnsi" w:cstheme="minorHAnsi"/>
          <w:bCs/>
          <w:sz w:val="22"/>
          <w:szCs w:val="22"/>
          <w:vertAlign w:val="superscript"/>
        </w:rPr>
        <w:t>2</w:t>
      </w:r>
      <w:r w:rsidRPr="00C70AA8">
        <w:rPr>
          <w:rFonts w:asciiTheme="minorHAnsi" w:hAnsiTheme="minorHAnsi" w:cstheme="minorHAnsi"/>
          <w:bCs/>
          <w:sz w:val="22"/>
          <w:szCs w:val="22"/>
        </w:rPr>
        <w:t xml:space="preserve"> punkte įtvirtinta, </w:t>
      </w:r>
      <w:r>
        <w:rPr>
          <w:rFonts w:asciiTheme="minorHAnsi" w:hAnsiTheme="minorHAnsi" w:cstheme="minorHAnsi"/>
          <w:bCs/>
          <w:sz w:val="22"/>
          <w:szCs w:val="22"/>
        </w:rPr>
        <w:t>jog</w:t>
      </w:r>
      <w:r w:rsidRPr="00C70AA8">
        <w:rPr>
          <w:rFonts w:asciiTheme="minorHAnsi" w:hAnsiTheme="minorHAnsi" w:cstheme="minorHAnsi"/>
          <w:bCs/>
          <w:sz w:val="22"/>
          <w:szCs w:val="22"/>
        </w:rPr>
        <w:t xml:space="preserve"> Nacionalinė mokėjimo agentūra (toliau – NMA), turėdama pagrįstos informacijos, kad Kaimo verslo ir rinkų plėtros agentūra neturi įgaliojimų imtis reikiamų veiksmų ar nesiėmė veiksmų, kurių reikia imtis pagal teisės aktus, priima sprendimus dėl neteisėtai išmokėtų ir (arba) panaudotų lėšų sugrąžinimo bei kitų pagal teisės aktus ir (ar) paramos sutartis reikalaujamų grąžinti lėšų sugrąžinimo.</w:t>
      </w:r>
    </w:p>
    <w:p w14:paraId="0CD77357" w14:textId="77777777" w:rsidR="00C70AA8" w:rsidRPr="00C70AA8" w:rsidRDefault="00C70AA8" w:rsidP="00C70AA8">
      <w:pPr>
        <w:ind w:firstLine="567"/>
        <w:jc w:val="both"/>
        <w:rPr>
          <w:rFonts w:asciiTheme="minorHAnsi" w:hAnsiTheme="minorHAnsi" w:cstheme="minorHAnsi"/>
          <w:sz w:val="22"/>
          <w:szCs w:val="22"/>
        </w:rPr>
      </w:pPr>
      <w:r w:rsidRPr="00C70AA8">
        <w:rPr>
          <w:rFonts w:asciiTheme="minorHAnsi" w:hAnsiTheme="minorHAnsi" w:cstheme="minorHAnsi"/>
          <w:bCs/>
          <w:sz w:val="22"/>
          <w:szCs w:val="22"/>
        </w:rPr>
        <w:t>Šios administracinės bylos dalykas – Taisyklių 44</w:t>
      </w:r>
      <w:r w:rsidRPr="00C70AA8">
        <w:rPr>
          <w:rFonts w:asciiTheme="minorHAnsi" w:hAnsiTheme="minorHAnsi" w:cstheme="minorHAnsi"/>
          <w:bCs/>
          <w:sz w:val="22"/>
          <w:szCs w:val="22"/>
          <w:vertAlign w:val="superscript"/>
        </w:rPr>
        <w:t>2</w:t>
      </w:r>
      <w:r w:rsidRPr="00C70AA8">
        <w:rPr>
          <w:rFonts w:asciiTheme="minorHAnsi" w:hAnsiTheme="minorHAnsi" w:cstheme="minorHAnsi"/>
          <w:bCs/>
          <w:sz w:val="22"/>
          <w:szCs w:val="22"/>
        </w:rPr>
        <w:t xml:space="preserve"> punkto atitiktis konstituciniam teisinės valstybės principui ir VAĮ 5 straipsnio 1 dalies 1 punktui </w:t>
      </w:r>
      <w:bookmarkStart w:id="16" w:name="_Hlk151469632"/>
      <w:r w:rsidRPr="00C70AA8">
        <w:rPr>
          <w:rFonts w:asciiTheme="minorHAnsi" w:hAnsiTheme="minorHAnsi" w:cstheme="minorHAnsi"/>
          <w:bCs/>
          <w:sz w:val="22"/>
          <w:szCs w:val="22"/>
        </w:rPr>
        <w:t xml:space="preserve">tuo aspektu, kiek tai susiję su NMA teise </w:t>
      </w:r>
      <w:r w:rsidRPr="00C70AA8">
        <w:rPr>
          <w:rFonts w:asciiTheme="minorHAnsi" w:hAnsiTheme="minorHAnsi" w:cstheme="minorHAnsi"/>
          <w:bCs/>
          <w:iCs/>
          <w:sz w:val="22"/>
          <w:szCs w:val="22"/>
        </w:rPr>
        <w:t>priimti sprendimą dėl neteisėtai išmokėtų ir (arba) panaudotų Europos Sąjungos paramos lėšų susigrąžinimo</w:t>
      </w:r>
      <w:bookmarkEnd w:id="16"/>
      <w:r w:rsidRPr="00C70AA8">
        <w:rPr>
          <w:rFonts w:asciiTheme="minorHAnsi" w:hAnsiTheme="minorHAnsi" w:cstheme="minorHAnsi"/>
          <w:bCs/>
          <w:iCs/>
          <w:sz w:val="22"/>
          <w:szCs w:val="22"/>
        </w:rPr>
        <w:t>.</w:t>
      </w:r>
    </w:p>
    <w:p w14:paraId="407077A5" w14:textId="7F42BA24" w:rsidR="00C70AA8" w:rsidRPr="00C70AA8" w:rsidRDefault="00C70AA8" w:rsidP="00C70AA8">
      <w:pPr>
        <w:ind w:firstLine="567"/>
        <w:jc w:val="both"/>
        <w:rPr>
          <w:rFonts w:asciiTheme="minorHAnsi" w:hAnsiTheme="minorHAnsi" w:cstheme="minorHAnsi"/>
          <w:sz w:val="22"/>
          <w:szCs w:val="22"/>
        </w:rPr>
      </w:pPr>
      <w:r>
        <w:rPr>
          <w:rFonts w:asciiTheme="minorHAnsi" w:hAnsiTheme="minorHAnsi" w:cstheme="minorHAnsi"/>
          <w:bCs/>
          <w:sz w:val="22"/>
          <w:szCs w:val="22"/>
        </w:rPr>
        <w:t>LVAT i</w:t>
      </w:r>
      <w:r w:rsidRPr="00C70AA8">
        <w:rPr>
          <w:rFonts w:asciiTheme="minorHAnsi" w:hAnsiTheme="minorHAnsi" w:cstheme="minorHAnsi"/>
          <w:bCs/>
          <w:sz w:val="22"/>
          <w:szCs w:val="22"/>
        </w:rPr>
        <w:t>šplėstinė teisėjų kolegija nustatė</w:t>
      </w:r>
      <w:r w:rsidRPr="00C70AA8">
        <w:rPr>
          <w:rFonts w:asciiTheme="minorHAnsi" w:hAnsiTheme="minorHAnsi" w:cstheme="minorHAnsi"/>
          <w:sz w:val="22"/>
          <w:szCs w:val="22"/>
        </w:rPr>
        <w:t xml:space="preserve">, kad </w:t>
      </w:r>
      <w:bookmarkStart w:id="17" w:name="_Hlk151469984"/>
      <w:r w:rsidRPr="00C70AA8">
        <w:rPr>
          <w:rFonts w:asciiTheme="minorHAnsi" w:hAnsiTheme="minorHAnsi" w:cstheme="minorHAnsi"/>
          <w:sz w:val="22"/>
          <w:szCs w:val="22"/>
        </w:rPr>
        <w:t xml:space="preserve">Žemės ūkio, maisto ūkio ir kaimo plėtros įstatymo </w:t>
      </w:r>
      <w:bookmarkEnd w:id="17"/>
      <w:r w:rsidRPr="00C70AA8">
        <w:rPr>
          <w:rFonts w:asciiTheme="minorHAnsi" w:hAnsiTheme="minorHAnsi" w:cstheme="minorHAnsi"/>
          <w:sz w:val="22"/>
          <w:szCs w:val="22"/>
        </w:rPr>
        <w:t xml:space="preserve">(toliau – ŽŪMŪKPĮ) 8 straipsnio 2 dalis suponuoja, </w:t>
      </w:r>
      <w:r>
        <w:rPr>
          <w:rFonts w:asciiTheme="minorHAnsi" w:hAnsiTheme="minorHAnsi" w:cstheme="minorHAnsi"/>
          <w:sz w:val="22"/>
          <w:szCs w:val="22"/>
        </w:rPr>
        <w:t>jog</w:t>
      </w:r>
      <w:r w:rsidRPr="00C70AA8">
        <w:rPr>
          <w:rFonts w:asciiTheme="minorHAnsi" w:hAnsiTheme="minorHAnsi" w:cstheme="minorHAnsi"/>
          <w:sz w:val="22"/>
          <w:szCs w:val="22"/>
        </w:rPr>
        <w:t xml:space="preserve"> </w:t>
      </w:r>
      <w:bookmarkStart w:id="18" w:name="_Hlk151470074"/>
      <w:r w:rsidRPr="00C70AA8">
        <w:rPr>
          <w:rFonts w:asciiTheme="minorHAnsi" w:hAnsiTheme="minorHAnsi" w:cstheme="minorHAnsi"/>
          <w:sz w:val="22"/>
          <w:szCs w:val="22"/>
        </w:rPr>
        <w:t xml:space="preserve">Vyriausybė turi teisę įgalioti institucijas atlikti </w:t>
      </w:r>
      <w:r w:rsidRPr="00C70AA8">
        <w:rPr>
          <w:rFonts w:asciiTheme="minorHAnsi" w:hAnsiTheme="minorHAnsi" w:cstheme="minorHAnsi"/>
          <w:bCs/>
          <w:sz w:val="22"/>
          <w:szCs w:val="22"/>
        </w:rPr>
        <w:t>Europos Sąjungos paramos lėšų mokėjimo, apskaitos ir kontrolės funkcijas.</w:t>
      </w:r>
      <w:bookmarkEnd w:id="18"/>
    </w:p>
    <w:p w14:paraId="35AAC0C5" w14:textId="62A27BE7" w:rsidR="00C70AA8" w:rsidRPr="00C70AA8" w:rsidRDefault="00C70AA8" w:rsidP="00C70AA8">
      <w:pPr>
        <w:ind w:firstLine="567"/>
        <w:jc w:val="both"/>
        <w:rPr>
          <w:rFonts w:asciiTheme="minorHAnsi" w:hAnsiTheme="minorHAnsi" w:cstheme="minorHAnsi"/>
          <w:bCs/>
          <w:sz w:val="22"/>
          <w:szCs w:val="22"/>
        </w:rPr>
      </w:pPr>
      <w:bookmarkStart w:id="19" w:name="_Hlk151470002"/>
      <w:r w:rsidRPr="00C70AA8">
        <w:rPr>
          <w:rFonts w:asciiTheme="minorHAnsi" w:hAnsiTheme="minorHAnsi" w:cstheme="minorHAnsi"/>
          <w:bCs/>
          <w:sz w:val="22"/>
          <w:szCs w:val="22"/>
        </w:rPr>
        <w:t xml:space="preserve">Vyriausybė 2006 m. spalio 11 d. nutarime Nr. 987 „Dėl valstybės institucijų, savivaldybių ir kitų juridinių asmenų, atsakingų už Europos žemės ūkio garantijų fondo priemonių įgyvendinimą, paskyrimo“ </w:t>
      </w:r>
      <w:bookmarkEnd w:id="19"/>
      <w:r w:rsidRPr="00C70AA8">
        <w:rPr>
          <w:rFonts w:asciiTheme="minorHAnsi" w:hAnsiTheme="minorHAnsi" w:cstheme="minorHAnsi"/>
          <w:bCs/>
          <w:sz w:val="22"/>
          <w:szCs w:val="22"/>
        </w:rPr>
        <w:t>(toliau – Nutarimas Nr. 987) įgyvendino ŽŪMŪKPĮ (konkrečiai – 8 str. 2 d.) jai suteiktą teisę įgalioti instituciją (šiuo atveju – NMA) atlikti Europos Sąjungos paramos lėšų mokėjimo, apskaitos ir kontrolės funkcijas ir nustatė, kad NMA yra atsakinga už Europos žemės ūkio garantijų fondo (toliau – EŽŪGF)</w:t>
      </w:r>
      <w:r w:rsidR="00283F3D">
        <w:rPr>
          <w:rFonts w:asciiTheme="minorHAnsi" w:hAnsiTheme="minorHAnsi" w:cstheme="minorHAnsi"/>
          <w:bCs/>
          <w:sz w:val="22"/>
          <w:szCs w:val="22"/>
        </w:rPr>
        <w:t xml:space="preserve"> </w:t>
      </w:r>
      <w:r w:rsidRPr="00C70AA8">
        <w:rPr>
          <w:rFonts w:asciiTheme="minorHAnsi" w:hAnsiTheme="minorHAnsi" w:cstheme="minorHAnsi"/>
          <w:bCs/>
          <w:sz w:val="22"/>
          <w:szCs w:val="22"/>
        </w:rPr>
        <w:t>priemonių administravimą, lėšų mokėjimą, apskaitą ir kontrolę, sumų, laikomų EŽŪGF priskirtosiomis įplaukomis, valdymą ir kt.</w:t>
      </w:r>
    </w:p>
    <w:p w14:paraId="72B21882" w14:textId="77777777" w:rsidR="00C70AA8" w:rsidRPr="00C70AA8" w:rsidRDefault="00C70AA8" w:rsidP="00C70AA8">
      <w:pPr>
        <w:ind w:firstLine="567"/>
        <w:jc w:val="both"/>
        <w:rPr>
          <w:rFonts w:asciiTheme="minorHAnsi" w:hAnsiTheme="minorHAnsi" w:cstheme="minorHAnsi"/>
          <w:bCs/>
          <w:sz w:val="22"/>
          <w:szCs w:val="22"/>
        </w:rPr>
      </w:pPr>
      <w:r w:rsidRPr="00C70AA8">
        <w:rPr>
          <w:rFonts w:asciiTheme="minorHAnsi" w:hAnsiTheme="minorHAnsi" w:cstheme="minorHAnsi"/>
          <w:bCs/>
          <w:iCs/>
          <w:sz w:val="22"/>
          <w:szCs w:val="22"/>
        </w:rPr>
        <w:t xml:space="preserve">Išplėstinės teisėjų kolegijos vertinimu, Vyriausybės Nutarimo Nr. 987, priimto vadovaujantis, be kita ko, </w:t>
      </w:r>
      <w:r w:rsidRPr="00C70AA8">
        <w:rPr>
          <w:rFonts w:asciiTheme="minorHAnsi" w:hAnsiTheme="minorHAnsi" w:cstheme="minorHAnsi"/>
          <w:bCs/>
          <w:sz w:val="22"/>
          <w:szCs w:val="22"/>
        </w:rPr>
        <w:t>ŽŪMŪKPĮ,</w:t>
      </w:r>
      <w:r w:rsidRPr="00C70AA8">
        <w:rPr>
          <w:rFonts w:asciiTheme="minorHAnsi" w:hAnsiTheme="minorHAnsi" w:cstheme="minorHAnsi"/>
          <w:bCs/>
          <w:iCs/>
          <w:sz w:val="22"/>
          <w:szCs w:val="22"/>
        </w:rPr>
        <w:t xml:space="preserve"> 2 punkte </w:t>
      </w:r>
      <w:bookmarkStart w:id="20" w:name="_Hlk151470454"/>
      <w:r w:rsidRPr="00C70AA8">
        <w:rPr>
          <w:rFonts w:asciiTheme="minorHAnsi" w:hAnsiTheme="minorHAnsi" w:cstheme="minorHAnsi"/>
          <w:bCs/>
          <w:iCs/>
          <w:sz w:val="22"/>
          <w:szCs w:val="22"/>
        </w:rPr>
        <w:t xml:space="preserve">nustatyti NMA įgaliojimai </w:t>
      </w:r>
      <w:r w:rsidRPr="00C70AA8">
        <w:rPr>
          <w:rFonts w:asciiTheme="minorHAnsi" w:hAnsiTheme="minorHAnsi" w:cstheme="minorHAnsi"/>
          <w:bCs/>
          <w:sz w:val="22"/>
          <w:szCs w:val="22"/>
        </w:rPr>
        <w:t xml:space="preserve">atsakyti </w:t>
      </w:r>
      <w:bookmarkEnd w:id="20"/>
      <w:r w:rsidRPr="00C70AA8">
        <w:rPr>
          <w:rFonts w:asciiTheme="minorHAnsi" w:hAnsiTheme="minorHAnsi" w:cstheme="minorHAnsi"/>
          <w:bCs/>
          <w:sz w:val="22"/>
          <w:szCs w:val="22"/>
        </w:rPr>
        <w:t>už EŽŪGF priemonių administravimą, lėšų mokėjimą, apskaitą ir kontrolę, sumų, laikomų EŽŪGF priskirtosiomis įplaukomis, valdymą,</w:t>
      </w:r>
      <w:r w:rsidRPr="00C70AA8">
        <w:rPr>
          <w:rFonts w:asciiTheme="minorHAnsi" w:hAnsiTheme="minorHAnsi" w:cstheme="minorHAnsi"/>
          <w:bCs/>
          <w:iCs/>
          <w:sz w:val="22"/>
          <w:szCs w:val="22"/>
        </w:rPr>
        <w:t xml:space="preserve"> kitaip tariant – </w:t>
      </w:r>
      <w:r w:rsidRPr="00C70AA8">
        <w:rPr>
          <w:rFonts w:asciiTheme="minorHAnsi" w:hAnsiTheme="minorHAnsi" w:cstheme="minorHAnsi"/>
          <w:bCs/>
          <w:sz w:val="22"/>
          <w:szCs w:val="22"/>
        </w:rPr>
        <w:t>atlikti Europos Sąjungos paramos lėšų mokėjimo, apskaitos ir kontrolės funkcijas,</w:t>
      </w:r>
      <w:r w:rsidRPr="00C70AA8">
        <w:rPr>
          <w:rFonts w:asciiTheme="minorHAnsi" w:hAnsiTheme="minorHAnsi" w:cstheme="minorHAnsi"/>
          <w:bCs/>
          <w:iCs/>
          <w:sz w:val="22"/>
          <w:szCs w:val="22"/>
        </w:rPr>
        <w:t xml:space="preserve"> įgyvendina VAĮ 5 straipsnio 1 dalies 1 punkte numatytą </w:t>
      </w:r>
      <w:r w:rsidRPr="00C70AA8">
        <w:rPr>
          <w:rFonts w:asciiTheme="minorHAnsi" w:hAnsiTheme="minorHAnsi" w:cstheme="minorHAnsi"/>
          <w:bCs/>
          <w:sz w:val="22"/>
          <w:szCs w:val="22"/>
        </w:rPr>
        <w:t>viešojo administravimo įgaliojimų</w:t>
      </w:r>
      <w:r w:rsidRPr="00C70AA8">
        <w:rPr>
          <w:rFonts w:asciiTheme="minorHAnsi" w:hAnsiTheme="minorHAnsi" w:cstheme="minorHAnsi"/>
          <w:bCs/>
          <w:iCs/>
          <w:sz w:val="22"/>
          <w:szCs w:val="22"/>
        </w:rPr>
        <w:t xml:space="preserve"> suteikimo formą – įstatymų įgaliotos valstybės &lt;...&gt; institucijos priimtu teisės aktu, kai tame teisės akte ši institucija, vadovaudamasi įstatymu, reglamentuojančiu bendrą tam tikros visuomenės gyvenimo srities viešojo administravimo subjektų sudarymo ir veiklos tvarką, nurodo veikiantį &lt;...&gt; viešojo administravimo</w:t>
      </w:r>
      <w:r w:rsidRPr="00C70AA8">
        <w:rPr>
          <w:rFonts w:asciiTheme="minorHAnsi" w:hAnsiTheme="minorHAnsi" w:cstheme="minorHAnsi"/>
          <w:b/>
          <w:bCs/>
          <w:iCs/>
          <w:sz w:val="22"/>
          <w:szCs w:val="22"/>
        </w:rPr>
        <w:t> </w:t>
      </w:r>
      <w:r w:rsidRPr="00C70AA8">
        <w:rPr>
          <w:rFonts w:asciiTheme="minorHAnsi" w:hAnsiTheme="minorHAnsi" w:cstheme="minorHAnsi"/>
          <w:bCs/>
          <w:iCs/>
          <w:sz w:val="22"/>
          <w:szCs w:val="22"/>
        </w:rPr>
        <w:t xml:space="preserve">subjektą (jo pavadinimą, paskirtį, teisinę formą, santykius su kitais viešojo administravimo subjektais) ir nustato šiam subjektui konkrečius viešojo administravimo įgaliojimus (b p.). Taigi </w:t>
      </w:r>
      <w:r w:rsidRPr="00C70AA8">
        <w:rPr>
          <w:rFonts w:asciiTheme="minorHAnsi" w:hAnsiTheme="minorHAnsi" w:cstheme="minorHAnsi"/>
          <w:bCs/>
          <w:iCs/>
          <w:sz w:val="22"/>
          <w:szCs w:val="22"/>
          <w:u w:val="single"/>
        </w:rPr>
        <w:t xml:space="preserve">NMA įgaliojimai </w:t>
      </w:r>
      <w:r w:rsidRPr="00C70AA8">
        <w:rPr>
          <w:rFonts w:asciiTheme="minorHAnsi" w:hAnsiTheme="minorHAnsi" w:cstheme="minorHAnsi"/>
          <w:bCs/>
          <w:sz w:val="22"/>
          <w:szCs w:val="22"/>
          <w:u w:val="single"/>
        </w:rPr>
        <w:t>atlikti Europos Sąjungos paramos lėšų mokėjimo, apskaitos ir kontrolės funkcijas yra nustatyti Vyriausybės Nutarimu Nr. 987, t. y. laikantis teisės aktuose nustatytų reikalavimų</w:t>
      </w:r>
      <w:r w:rsidRPr="00C70AA8">
        <w:rPr>
          <w:rFonts w:asciiTheme="minorHAnsi" w:hAnsiTheme="minorHAnsi" w:cstheme="minorHAnsi"/>
          <w:bCs/>
          <w:sz w:val="22"/>
          <w:szCs w:val="22"/>
        </w:rPr>
        <w:t>.</w:t>
      </w:r>
    </w:p>
    <w:p w14:paraId="3563365A" w14:textId="3E4A8310" w:rsidR="00C70AA8" w:rsidRPr="00C70AA8" w:rsidRDefault="00C70AA8" w:rsidP="00C70AA8">
      <w:pPr>
        <w:ind w:firstLine="567"/>
        <w:jc w:val="both"/>
        <w:rPr>
          <w:rFonts w:asciiTheme="minorHAnsi" w:hAnsiTheme="minorHAnsi" w:cstheme="minorHAnsi"/>
          <w:bCs/>
          <w:sz w:val="22"/>
          <w:szCs w:val="22"/>
        </w:rPr>
      </w:pPr>
      <w:r w:rsidRPr="00C70AA8">
        <w:rPr>
          <w:rFonts w:asciiTheme="minorHAnsi" w:hAnsiTheme="minorHAnsi" w:cstheme="minorHAnsi"/>
          <w:bCs/>
          <w:sz w:val="22"/>
          <w:szCs w:val="22"/>
        </w:rPr>
        <w:t xml:space="preserve">Sistemiškai aiškindama teisinio reguliavimo nuostatas, išplėstinė teisėjų kolegija sprendė, kad </w:t>
      </w:r>
      <w:r w:rsidRPr="00C70AA8">
        <w:rPr>
          <w:rFonts w:asciiTheme="minorHAnsi" w:hAnsiTheme="minorHAnsi" w:cstheme="minorHAnsi"/>
          <w:bCs/>
          <w:sz w:val="22"/>
          <w:szCs w:val="22"/>
          <w:u w:val="single"/>
        </w:rPr>
        <w:t xml:space="preserve">Vyriausybės Nutarimo Nr. 987 2 punkte </w:t>
      </w:r>
      <w:bookmarkStart w:id="21" w:name="_Hlk151470570"/>
      <w:r w:rsidRPr="00C70AA8">
        <w:rPr>
          <w:rFonts w:asciiTheme="minorHAnsi" w:hAnsiTheme="minorHAnsi" w:cstheme="minorHAnsi"/>
          <w:bCs/>
          <w:sz w:val="22"/>
          <w:szCs w:val="22"/>
          <w:u w:val="single"/>
        </w:rPr>
        <w:t>nustatyti NMA įgaliojimai atsakyti</w:t>
      </w:r>
      <w:bookmarkEnd w:id="21"/>
      <w:r w:rsidRPr="00C70AA8">
        <w:rPr>
          <w:rFonts w:asciiTheme="minorHAnsi" w:hAnsiTheme="minorHAnsi" w:cstheme="minorHAnsi"/>
          <w:bCs/>
          <w:sz w:val="22"/>
          <w:szCs w:val="22"/>
          <w:u w:val="single"/>
        </w:rPr>
        <w:t xml:space="preserve"> už EŽŪGF priemonių administravimą, lėšų mokėjimą, apskaitą ir kontrolę, sumų, laikomų EŽŪGF priskirtosiomis įplaukomis, valdymą suteikia jai tokius mokėjimo agentūros įgaliojimus, kokie yra įtvirtinti Europos Sąjungos teisiniame reguliavime, apibrėžiančiame mokėjimo agentūros kompetenciją EŽŪGF išlaidų valdymo ir kontrolės klausimais, konkrečiai – tiesiogiai taikomuose Reglamentuose Nr. 1306/2013</w:t>
      </w:r>
      <w:r w:rsidR="005746AD" w:rsidRPr="00C70AA8">
        <w:rPr>
          <w:rStyle w:val="FootnoteReference"/>
          <w:rFonts w:asciiTheme="minorHAnsi" w:hAnsiTheme="minorHAnsi" w:cstheme="minorHAnsi"/>
          <w:bCs/>
          <w:sz w:val="22"/>
          <w:szCs w:val="22"/>
          <w:u w:val="single"/>
        </w:rPr>
        <w:footnoteReference w:id="1"/>
      </w:r>
      <w:r w:rsidRPr="00C70AA8">
        <w:rPr>
          <w:rFonts w:asciiTheme="minorHAnsi" w:hAnsiTheme="minorHAnsi" w:cstheme="minorHAnsi"/>
          <w:bCs/>
          <w:sz w:val="22"/>
          <w:szCs w:val="22"/>
          <w:u w:val="single"/>
        </w:rPr>
        <w:t xml:space="preserve"> ir Nr. 907/2014</w:t>
      </w:r>
      <w:r w:rsidRPr="00C70AA8">
        <w:rPr>
          <w:rStyle w:val="FootnoteReference"/>
          <w:rFonts w:asciiTheme="minorHAnsi" w:hAnsiTheme="minorHAnsi" w:cstheme="minorHAnsi"/>
          <w:bCs/>
          <w:sz w:val="22"/>
          <w:szCs w:val="22"/>
          <w:u w:val="single"/>
        </w:rPr>
        <w:footnoteReference w:id="2"/>
      </w:r>
      <w:r w:rsidRPr="00C70AA8">
        <w:rPr>
          <w:rFonts w:asciiTheme="minorHAnsi" w:hAnsiTheme="minorHAnsi" w:cstheme="minorHAnsi"/>
          <w:bCs/>
          <w:sz w:val="22"/>
          <w:szCs w:val="22"/>
          <w:u w:val="single"/>
        </w:rPr>
        <w:t xml:space="preserve">. Tokie įgaliojimai, be kita ko, įgalina mokėjimo agentūrą imtis veiksmingų priemonių valdant Europos Sąjungos paramos fondo lėšas ir siekiant nustatyti, kad </w:t>
      </w:r>
      <w:r w:rsidRPr="00C70AA8">
        <w:rPr>
          <w:rFonts w:asciiTheme="minorHAnsi" w:hAnsiTheme="minorHAnsi" w:cstheme="minorHAnsi"/>
          <w:bCs/>
          <w:sz w:val="22"/>
          <w:szCs w:val="22"/>
          <w:u w:val="single"/>
        </w:rPr>
        <w:lastRenderedPageBreak/>
        <w:t>paramos gavėjui mokėtina suma atitinka Sąjungos taisykles, įskaitant ir sprendimo dėl neteisėtai išmokėtų ir (arba) panaudotų lėšų susigrąžinimo priėmimą.</w:t>
      </w:r>
      <w:r w:rsidRPr="00C70AA8">
        <w:rPr>
          <w:rFonts w:asciiTheme="minorHAnsi" w:hAnsiTheme="minorHAnsi" w:cstheme="minorHAnsi"/>
          <w:bCs/>
          <w:sz w:val="22"/>
          <w:szCs w:val="22"/>
        </w:rPr>
        <w:t xml:space="preserve"> Taip aiškinant NMA įgaliojimus atlikti Europos Sąjungos paramos lėšų mokėjimo, apskaitos ir kontrolės funkcijas yra užtikrinamas Europos Sąjungos teisės taikymas ir veiksmingumas.</w:t>
      </w:r>
    </w:p>
    <w:p w14:paraId="3A28EFBD" w14:textId="41949239" w:rsidR="00C70AA8" w:rsidRPr="00C70AA8" w:rsidRDefault="00C70AA8" w:rsidP="00C70AA8">
      <w:pPr>
        <w:ind w:firstLine="567"/>
        <w:jc w:val="both"/>
        <w:rPr>
          <w:rFonts w:asciiTheme="minorHAnsi" w:hAnsiTheme="minorHAnsi" w:cstheme="minorHAnsi"/>
          <w:bCs/>
          <w:iCs/>
          <w:sz w:val="22"/>
          <w:szCs w:val="22"/>
        </w:rPr>
      </w:pPr>
      <w:r w:rsidRPr="00C70AA8">
        <w:rPr>
          <w:rFonts w:asciiTheme="minorHAnsi" w:hAnsiTheme="minorHAnsi" w:cstheme="minorHAnsi"/>
          <w:bCs/>
          <w:iCs/>
          <w:sz w:val="22"/>
          <w:szCs w:val="22"/>
        </w:rPr>
        <w:t>Šiomis aplinkybėmis išplėstinė teisėtų kolegija vertino, kad Taisyklių 44</w:t>
      </w:r>
      <w:r w:rsidRPr="00C70AA8">
        <w:rPr>
          <w:rFonts w:asciiTheme="minorHAnsi" w:hAnsiTheme="minorHAnsi" w:cstheme="minorHAnsi"/>
          <w:bCs/>
          <w:iCs/>
          <w:sz w:val="22"/>
          <w:szCs w:val="22"/>
          <w:vertAlign w:val="superscript"/>
        </w:rPr>
        <w:t>2</w:t>
      </w:r>
      <w:r w:rsidR="00224E7B">
        <w:rPr>
          <w:rFonts w:asciiTheme="minorHAnsi" w:hAnsiTheme="minorHAnsi" w:cstheme="minorHAnsi"/>
          <w:bCs/>
          <w:iCs/>
          <w:sz w:val="22"/>
          <w:szCs w:val="22"/>
        </w:rPr>
        <w:t xml:space="preserve"> </w:t>
      </w:r>
      <w:r w:rsidRPr="00C70AA8">
        <w:rPr>
          <w:rFonts w:asciiTheme="minorHAnsi" w:hAnsiTheme="minorHAnsi" w:cstheme="minorHAnsi"/>
          <w:bCs/>
          <w:iCs/>
          <w:sz w:val="22"/>
          <w:szCs w:val="22"/>
        </w:rPr>
        <w:t>punkte įtvirtintas teisinis reguliavimas turi būti vertinamas kompleksiškai su kitu NMA įgaliojimus nustatančiu teisiniu reguliavimu, byloje nagrinėtu atveju – su Vyriausybės Nutarimu Nr. 987. Išplėstinė teisėjų kolegija sprendė, kad žemės ūkio ministras, nustatydamas Taisyklių 44</w:t>
      </w:r>
      <w:r w:rsidRPr="00C70AA8">
        <w:rPr>
          <w:rFonts w:asciiTheme="minorHAnsi" w:hAnsiTheme="minorHAnsi" w:cstheme="minorHAnsi"/>
          <w:bCs/>
          <w:iCs/>
          <w:sz w:val="22"/>
          <w:szCs w:val="22"/>
          <w:vertAlign w:val="superscript"/>
        </w:rPr>
        <w:t>2</w:t>
      </w:r>
      <w:r w:rsidRPr="00C70AA8">
        <w:rPr>
          <w:rFonts w:asciiTheme="minorHAnsi" w:hAnsiTheme="minorHAnsi" w:cstheme="minorHAnsi"/>
          <w:bCs/>
          <w:iCs/>
          <w:sz w:val="22"/>
          <w:szCs w:val="22"/>
        </w:rPr>
        <w:t xml:space="preserve"> punkto teisinį reguliavimą ir iš esmės nurodydamas, kad </w:t>
      </w:r>
      <w:r w:rsidRPr="00C70AA8">
        <w:rPr>
          <w:rFonts w:asciiTheme="minorHAnsi" w:hAnsiTheme="minorHAnsi" w:cstheme="minorHAnsi"/>
          <w:bCs/>
          <w:sz w:val="22"/>
          <w:szCs w:val="22"/>
        </w:rPr>
        <w:t xml:space="preserve">NMA turi teisę </w:t>
      </w:r>
      <w:r w:rsidRPr="00C70AA8">
        <w:rPr>
          <w:rFonts w:asciiTheme="minorHAnsi" w:hAnsiTheme="minorHAnsi" w:cstheme="minorHAnsi"/>
          <w:bCs/>
          <w:iCs/>
          <w:sz w:val="22"/>
          <w:szCs w:val="22"/>
        </w:rPr>
        <w:t xml:space="preserve">priimti sprendimą dėl neteisėtai išmokėtų ir (arba) panaudotų Europos Sąjungos paramos lėšų susigrąžinimo, detalizavo tuos NMA įgaliojimus, kuriuos Vyriausybė jai nustatė savo Nutarimo Nr. 987 2 punkte. </w:t>
      </w:r>
      <w:r w:rsidRPr="00C70AA8">
        <w:rPr>
          <w:rFonts w:asciiTheme="minorHAnsi" w:hAnsiTheme="minorHAnsi" w:cstheme="minorHAnsi"/>
          <w:bCs/>
          <w:sz w:val="22"/>
          <w:szCs w:val="22"/>
        </w:rPr>
        <w:t xml:space="preserve">Taisyklių I skyriaus „Bendrosios nuostatos“ 1 punkte yra </w:t>
      </w:r>
      <w:r w:rsidRPr="00C70AA8">
        <w:rPr>
          <w:rFonts w:asciiTheme="minorHAnsi" w:hAnsiTheme="minorHAnsi" w:cstheme="minorHAnsi"/>
          <w:bCs/>
          <w:i/>
          <w:sz w:val="22"/>
          <w:szCs w:val="22"/>
        </w:rPr>
        <w:t>expressis verbis</w:t>
      </w:r>
      <w:r w:rsidRPr="00C70AA8">
        <w:rPr>
          <w:rFonts w:asciiTheme="minorHAnsi" w:hAnsiTheme="minorHAnsi" w:cstheme="minorHAnsi"/>
          <w:bCs/>
          <w:sz w:val="22"/>
          <w:szCs w:val="22"/>
        </w:rPr>
        <w:t xml:space="preserve"> (aiškiais žodžiais, tiesiogiai) nurodyta, kad jos yra parengtos vadovaujantis Vyriausybės Nutarimu Nr. 987. </w:t>
      </w:r>
      <w:r w:rsidRPr="00C70AA8">
        <w:rPr>
          <w:rFonts w:asciiTheme="minorHAnsi" w:hAnsiTheme="minorHAnsi" w:cstheme="minorHAnsi"/>
          <w:bCs/>
          <w:iCs/>
          <w:sz w:val="22"/>
          <w:szCs w:val="22"/>
        </w:rPr>
        <w:t>Todėl Taisyklių 44</w:t>
      </w:r>
      <w:r w:rsidRPr="00C70AA8">
        <w:rPr>
          <w:rFonts w:asciiTheme="minorHAnsi" w:hAnsiTheme="minorHAnsi" w:cstheme="minorHAnsi"/>
          <w:bCs/>
          <w:iCs/>
          <w:sz w:val="22"/>
          <w:szCs w:val="22"/>
          <w:vertAlign w:val="superscript"/>
        </w:rPr>
        <w:t>2</w:t>
      </w:r>
      <w:r w:rsidRPr="00C70AA8">
        <w:rPr>
          <w:rFonts w:asciiTheme="minorHAnsi" w:hAnsiTheme="minorHAnsi" w:cstheme="minorHAnsi"/>
          <w:bCs/>
          <w:iCs/>
          <w:sz w:val="22"/>
          <w:szCs w:val="22"/>
        </w:rPr>
        <w:t xml:space="preserve"> punkte nustatytas teisinis reguliavimas,</w:t>
      </w:r>
      <w:r w:rsidRPr="00523B5E">
        <w:rPr>
          <w:rFonts w:asciiTheme="minorHAnsi" w:hAnsiTheme="minorHAnsi" w:cstheme="minorHAnsi"/>
          <w:bCs/>
          <w:sz w:val="22"/>
          <w:szCs w:val="22"/>
        </w:rPr>
        <w:t xml:space="preserve"> </w:t>
      </w:r>
      <w:r w:rsidRPr="00C70AA8">
        <w:rPr>
          <w:rFonts w:asciiTheme="minorHAnsi" w:hAnsiTheme="minorHAnsi" w:cstheme="minorHAnsi"/>
          <w:bCs/>
          <w:iCs/>
          <w:sz w:val="22"/>
          <w:szCs w:val="22"/>
        </w:rPr>
        <w:t xml:space="preserve">kiek tai susiję su NMA teise priimti sprendimą dėl neteisėtai išmokėtų ir (arba) panaudotų Europos Sąjungos paramos lėšų susigrąžinimo, </w:t>
      </w:r>
      <w:r w:rsidRPr="00C70AA8">
        <w:rPr>
          <w:rFonts w:asciiTheme="minorHAnsi" w:hAnsiTheme="minorHAnsi" w:cstheme="minorHAnsi"/>
          <w:bCs/>
          <w:sz w:val="22"/>
          <w:szCs w:val="22"/>
        </w:rPr>
        <w:t>negali būti vertinamas kaip</w:t>
      </w:r>
      <w:r w:rsidRPr="00C70AA8">
        <w:rPr>
          <w:rFonts w:asciiTheme="minorHAnsi" w:hAnsiTheme="minorHAnsi" w:cstheme="minorHAnsi"/>
          <w:bCs/>
          <w:iCs/>
          <w:sz w:val="22"/>
          <w:szCs w:val="22"/>
        </w:rPr>
        <w:t xml:space="preserve"> savarankiškų viešojo administravimo įgaliojimų suteikimas NMA. Šis teisinis reguliavimas yra susijęs su žemės ūkio ministro kompetencijai priskirtų teisės aktų įgyvendinimo funkcijomis, konkrečiai – su </w:t>
      </w:r>
      <w:r w:rsidRPr="00C70AA8">
        <w:rPr>
          <w:rFonts w:asciiTheme="minorHAnsi" w:hAnsiTheme="minorHAnsi" w:cstheme="minorHAnsi"/>
          <w:bCs/>
          <w:sz w:val="22"/>
          <w:szCs w:val="22"/>
        </w:rPr>
        <w:t>ŽUMŪKPĮ įgyvendinimu</w:t>
      </w:r>
      <w:r w:rsidRPr="00C70AA8">
        <w:rPr>
          <w:rFonts w:asciiTheme="minorHAnsi" w:hAnsiTheme="minorHAnsi" w:cstheme="minorHAnsi"/>
          <w:bCs/>
          <w:iCs/>
          <w:sz w:val="22"/>
          <w:szCs w:val="22"/>
        </w:rPr>
        <w:t>.</w:t>
      </w:r>
      <w:r w:rsidRPr="00C70AA8">
        <w:rPr>
          <w:rFonts w:asciiTheme="minorHAnsi" w:hAnsiTheme="minorHAnsi" w:cstheme="minorHAnsi"/>
          <w:bCs/>
          <w:sz w:val="22"/>
          <w:szCs w:val="22"/>
        </w:rPr>
        <w:t xml:space="preserve"> Išplėstinės teisėjų kolegijos vertinimu,</w:t>
      </w:r>
      <w:r w:rsidRPr="00224E7B">
        <w:rPr>
          <w:rFonts w:asciiTheme="minorHAnsi" w:hAnsiTheme="minorHAnsi" w:cstheme="minorHAnsi"/>
          <w:bCs/>
          <w:sz w:val="22"/>
          <w:szCs w:val="22"/>
        </w:rPr>
        <w:t xml:space="preserve"> </w:t>
      </w:r>
      <w:r w:rsidRPr="00C70AA8">
        <w:rPr>
          <w:rFonts w:asciiTheme="minorHAnsi" w:hAnsiTheme="minorHAnsi" w:cstheme="minorHAnsi"/>
          <w:bCs/>
          <w:sz w:val="22"/>
          <w:szCs w:val="22"/>
          <w:u w:val="single"/>
        </w:rPr>
        <w:t xml:space="preserve">žemės ūkio ministrui detalizavus teisinį reguliavimą Vyriausybės </w:t>
      </w:r>
      <w:r w:rsidRPr="00C70AA8">
        <w:rPr>
          <w:rFonts w:asciiTheme="minorHAnsi" w:hAnsiTheme="minorHAnsi" w:cstheme="minorHAnsi"/>
          <w:bCs/>
          <w:iCs/>
          <w:sz w:val="22"/>
          <w:szCs w:val="22"/>
          <w:u w:val="single"/>
        </w:rPr>
        <w:t xml:space="preserve">Nutarimo Nr. 987 </w:t>
      </w:r>
      <w:r w:rsidRPr="00C70AA8">
        <w:rPr>
          <w:rFonts w:asciiTheme="minorHAnsi" w:hAnsiTheme="minorHAnsi" w:cstheme="minorHAnsi"/>
          <w:bCs/>
          <w:sz w:val="22"/>
          <w:szCs w:val="22"/>
          <w:u w:val="single"/>
        </w:rPr>
        <w:t xml:space="preserve">pagrindu, nėra pagrindo spręsti, kad įgaliojimai NMA buvo suteikti netinkamai ar nesilaikant viešojo administravimo įgaliojimų suteikimo formos ir turinio reikalavimų, įtvirtintų VAĮ </w:t>
      </w:r>
      <w:r w:rsidRPr="00C70AA8">
        <w:rPr>
          <w:rFonts w:asciiTheme="minorHAnsi" w:hAnsiTheme="minorHAnsi" w:cstheme="minorHAnsi"/>
          <w:bCs/>
          <w:iCs/>
          <w:sz w:val="22"/>
          <w:szCs w:val="22"/>
          <w:u w:val="single"/>
        </w:rPr>
        <w:t>5 straipsnio 1 dalies 1 punkte, ar kad tokiu būdu buvo nepaisoma iš konstitucinio teisinės valstybės principo išplaukiančių įpareigojimų</w:t>
      </w:r>
      <w:r w:rsidRPr="00C70AA8">
        <w:rPr>
          <w:rFonts w:asciiTheme="minorHAnsi" w:hAnsiTheme="minorHAnsi" w:cstheme="minorHAnsi"/>
          <w:bCs/>
          <w:sz w:val="22"/>
          <w:szCs w:val="22"/>
        </w:rPr>
        <w:t>.</w:t>
      </w:r>
    </w:p>
    <w:p w14:paraId="4F8205B8" w14:textId="77777777" w:rsidR="00C70AA8" w:rsidRPr="00C70AA8" w:rsidRDefault="00C70AA8" w:rsidP="00C70AA8">
      <w:pPr>
        <w:ind w:firstLine="567"/>
        <w:jc w:val="both"/>
        <w:rPr>
          <w:rFonts w:asciiTheme="minorHAnsi" w:hAnsiTheme="minorHAnsi" w:cstheme="minorHAnsi"/>
          <w:bCs/>
          <w:sz w:val="22"/>
          <w:szCs w:val="22"/>
        </w:rPr>
      </w:pPr>
      <w:r w:rsidRPr="00C70AA8">
        <w:rPr>
          <w:rFonts w:asciiTheme="minorHAnsi" w:hAnsiTheme="minorHAnsi" w:cstheme="minorHAnsi"/>
          <w:bCs/>
          <w:iCs/>
          <w:sz w:val="22"/>
          <w:szCs w:val="22"/>
        </w:rPr>
        <w:t>Taisyklių 44</w:t>
      </w:r>
      <w:r w:rsidRPr="00C70AA8">
        <w:rPr>
          <w:rFonts w:asciiTheme="minorHAnsi" w:hAnsiTheme="minorHAnsi" w:cstheme="minorHAnsi"/>
          <w:bCs/>
          <w:iCs/>
          <w:sz w:val="22"/>
          <w:szCs w:val="22"/>
          <w:vertAlign w:val="superscript"/>
        </w:rPr>
        <w:t>2</w:t>
      </w:r>
      <w:r w:rsidRPr="00C70AA8">
        <w:rPr>
          <w:rFonts w:asciiTheme="minorHAnsi" w:hAnsiTheme="minorHAnsi" w:cstheme="minorHAnsi"/>
          <w:bCs/>
          <w:iCs/>
          <w:sz w:val="22"/>
          <w:szCs w:val="22"/>
        </w:rPr>
        <w:t xml:space="preserve"> punktas pripažintas teisėtu ir neprieštaraujančiu konstituciniam teisinės valstybės principui ir </w:t>
      </w:r>
      <w:bookmarkStart w:id="22" w:name="pnb0bb68be-4c04-447a-87b5-82688561242b"/>
      <w:bookmarkEnd w:id="22"/>
      <w:r w:rsidRPr="00C70AA8">
        <w:rPr>
          <w:rFonts w:asciiTheme="minorHAnsi" w:hAnsiTheme="minorHAnsi" w:cstheme="minorHAnsi"/>
          <w:bCs/>
          <w:iCs/>
          <w:sz w:val="22"/>
          <w:szCs w:val="22"/>
        </w:rPr>
        <w:t>VAĮ </w:t>
      </w:r>
      <w:bookmarkStart w:id="23" w:name="pnfc78f033-ca60-43a9-a84f-bf93128b39bb"/>
      <w:bookmarkEnd w:id="23"/>
      <w:r w:rsidRPr="00C70AA8">
        <w:rPr>
          <w:rFonts w:asciiTheme="minorHAnsi" w:hAnsiTheme="minorHAnsi" w:cstheme="minorHAnsi"/>
          <w:bCs/>
          <w:iCs/>
          <w:sz w:val="22"/>
          <w:szCs w:val="22"/>
        </w:rPr>
        <w:t>5 straipsnio 1 dalies 1 punktui.</w:t>
      </w:r>
    </w:p>
    <w:p w14:paraId="4A223870" w14:textId="77777777" w:rsidR="00C70AA8" w:rsidRPr="00C70AA8" w:rsidRDefault="00C70AA8" w:rsidP="00C70AA8">
      <w:pPr>
        <w:ind w:firstLine="567"/>
        <w:jc w:val="both"/>
        <w:rPr>
          <w:rFonts w:asciiTheme="minorHAnsi" w:hAnsiTheme="minorHAnsi" w:cstheme="minorHAnsi"/>
          <w:sz w:val="22"/>
          <w:szCs w:val="22"/>
        </w:rPr>
      </w:pPr>
    </w:p>
    <w:p w14:paraId="1DDBFD4D" w14:textId="7023785F" w:rsidR="00C70AA8" w:rsidRPr="00C70AA8" w:rsidRDefault="0012577A" w:rsidP="00C70AA8">
      <w:pPr>
        <w:jc w:val="both"/>
        <w:rPr>
          <w:rFonts w:asciiTheme="minorHAnsi" w:hAnsiTheme="minorHAnsi" w:cstheme="minorHAnsi"/>
          <w:bCs/>
          <w:sz w:val="22"/>
          <w:szCs w:val="22"/>
        </w:rPr>
      </w:pPr>
      <w:r>
        <w:rPr>
          <w:rFonts w:asciiTheme="minorHAnsi" w:hAnsiTheme="minorHAnsi" w:cstheme="minorHAnsi"/>
          <w:sz w:val="22"/>
          <w:szCs w:val="22"/>
        </w:rPr>
        <w:t xml:space="preserve">Išplėstinės teisėjų kolegijos </w:t>
      </w:r>
      <w:r w:rsidR="00C70AA8" w:rsidRPr="00C70AA8">
        <w:rPr>
          <w:rFonts w:asciiTheme="minorHAnsi" w:hAnsiTheme="minorHAnsi" w:cstheme="minorHAnsi"/>
          <w:sz w:val="22"/>
          <w:szCs w:val="22"/>
        </w:rPr>
        <w:t xml:space="preserve">2023 m. lapkričio 22 d. sprendimas administracinėje byloje </w:t>
      </w:r>
      <w:r w:rsidR="00C70AA8" w:rsidRPr="00C70AA8">
        <w:rPr>
          <w:rFonts w:asciiTheme="minorHAnsi" w:hAnsiTheme="minorHAnsi" w:cstheme="minorHAnsi"/>
          <w:bCs/>
          <w:sz w:val="22"/>
          <w:szCs w:val="22"/>
        </w:rPr>
        <w:t>Nr. eI-11-822/2023</w:t>
      </w:r>
    </w:p>
    <w:p w14:paraId="1B9139EF" w14:textId="77777777" w:rsidR="00C70AA8" w:rsidRPr="00C70AA8" w:rsidRDefault="00C70AA8" w:rsidP="00C70AA8">
      <w:pPr>
        <w:jc w:val="both"/>
        <w:rPr>
          <w:rFonts w:asciiTheme="minorHAnsi" w:hAnsiTheme="minorHAnsi" w:cstheme="minorHAnsi"/>
          <w:bCs/>
          <w:sz w:val="22"/>
          <w:szCs w:val="22"/>
        </w:rPr>
      </w:pPr>
      <w:r w:rsidRPr="00C70AA8">
        <w:rPr>
          <w:rFonts w:asciiTheme="minorHAnsi" w:hAnsiTheme="minorHAnsi" w:cstheme="minorHAnsi"/>
          <w:bCs/>
          <w:sz w:val="22"/>
          <w:szCs w:val="22"/>
        </w:rPr>
        <w:t>Teisminio proceso Nr. 3-66-3-00034-2023-2</w:t>
      </w:r>
    </w:p>
    <w:p w14:paraId="2D6839D3" w14:textId="77777777" w:rsidR="00C70AA8" w:rsidRPr="00C70AA8" w:rsidRDefault="00C70AA8" w:rsidP="00C70AA8">
      <w:pPr>
        <w:jc w:val="both"/>
        <w:rPr>
          <w:rFonts w:asciiTheme="minorHAnsi" w:hAnsiTheme="minorHAnsi" w:cstheme="minorHAnsi"/>
          <w:bCs/>
          <w:sz w:val="22"/>
          <w:szCs w:val="22"/>
        </w:rPr>
      </w:pPr>
      <w:r w:rsidRPr="00C70AA8">
        <w:rPr>
          <w:rFonts w:asciiTheme="minorHAnsi" w:hAnsiTheme="minorHAnsi" w:cstheme="minorHAnsi"/>
          <w:bCs/>
          <w:sz w:val="22"/>
          <w:szCs w:val="22"/>
        </w:rPr>
        <w:t>Procesinio sprendimo kategorijos: 4.1; 29.1.2; 29.3</w:t>
      </w:r>
    </w:p>
    <w:p w14:paraId="127F2FBE" w14:textId="77777777" w:rsidR="00C70AA8" w:rsidRPr="00C70AA8" w:rsidRDefault="00000000" w:rsidP="00C70AA8">
      <w:pPr>
        <w:jc w:val="both"/>
        <w:rPr>
          <w:rFonts w:asciiTheme="minorHAnsi" w:hAnsiTheme="minorHAnsi" w:cstheme="minorHAnsi"/>
          <w:sz w:val="22"/>
          <w:szCs w:val="22"/>
          <w:u w:val="single"/>
        </w:rPr>
      </w:pPr>
      <w:hyperlink r:id="rId9" w:history="1">
        <w:r w:rsidR="00C70AA8" w:rsidRPr="00C70AA8">
          <w:rPr>
            <w:rStyle w:val="Hyperlink"/>
            <w:rFonts w:asciiTheme="minorHAnsi" w:hAnsiTheme="minorHAnsi" w:cstheme="minorHAnsi"/>
            <w:sz w:val="22"/>
            <w:szCs w:val="22"/>
          </w:rPr>
          <w:t>Prieiga internete</w:t>
        </w:r>
      </w:hyperlink>
    </w:p>
    <w:p w14:paraId="7FBAED9E" w14:textId="6D7905FB" w:rsidR="00C70AA8" w:rsidRDefault="00C70AA8" w:rsidP="009F63F8">
      <w:pPr>
        <w:rPr>
          <w:rFonts w:asciiTheme="minorHAnsi" w:hAnsiTheme="minorHAnsi" w:cstheme="minorHAnsi"/>
          <w:sz w:val="22"/>
          <w:szCs w:val="22"/>
        </w:rPr>
      </w:pPr>
    </w:p>
    <w:p w14:paraId="481E9143" w14:textId="77777777" w:rsidR="00472E64" w:rsidRPr="00FE263D" w:rsidRDefault="00472E64" w:rsidP="00472E64">
      <w:pPr>
        <w:jc w:val="both"/>
        <w:outlineLvl w:val="1"/>
        <w:rPr>
          <w:rFonts w:asciiTheme="minorHAnsi" w:eastAsia="Calibri" w:hAnsiTheme="minorHAnsi" w:cstheme="minorHAnsi"/>
          <w:i/>
          <w:sz w:val="22"/>
          <w:szCs w:val="22"/>
        </w:rPr>
      </w:pPr>
      <w:bookmarkStart w:id="24" w:name="_Toc159340650"/>
      <w:r w:rsidRPr="00FE263D">
        <w:rPr>
          <w:rFonts w:asciiTheme="minorHAnsi" w:eastAsia="Calibri" w:hAnsiTheme="minorHAnsi" w:cstheme="minorHAnsi"/>
          <w:i/>
          <w:sz w:val="22"/>
          <w:szCs w:val="22"/>
        </w:rPr>
        <w:t xml:space="preserve">Dėl </w:t>
      </w:r>
      <w:r w:rsidRPr="00472E64">
        <w:rPr>
          <w:rFonts w:asciiTheme="minorHAnsi" w:eastAsia="Calibri" w:hAnsiTheme="minorHAnsi" w:cstheme="minorHAnsi"/>
          <w:i/>
          <w:sz w:val="22"/>
          <w:szCs w:val="22"/>
        </w:rPr>
        <w:t>išimties, leidžiančios neinventorizuoti ir neįtraukti į miško apskaitą medžių savaiminukais, kurių vidutinis amžius ne mažesnis kaip 20 metų, apaugusios žemės, teisėtumo</w:t>
      </w:r>
      <w:bookmarkEnd w:id="24"/>
    </w:p>
    <w:p w14:paraId="57B7887C" w14:textId="77777777" w:rsidR="00472E64" w:rsidRDefault="00472E64" w:rsidP="00472E64">
      <w:pPr>
        <w:ind w:firstLine="567"/>
        <w:rPr>
          <w:rFonts w:ascii="Calibri" w:hAnsi="Calibri"/>
          <w:b/>
          <w:sz w:val="22"/>
          <w:szCs w:val="22"/>
          <w:u w:val="single"/>
        </w:rPr>
      </w:pPr>
    </w:p>
    <w:p w14:paraId="36FBF263" w14:textId="77777777" w:rsidR="00472E64" w:rsidRDefault="00472E64" w:rsidP="00472E64">
      <w:pPr>
        <w:ind w:firstLine="567"/>
        <w:jc w:val="both"/>
        <w:rPr>
          <w:rFonts w:ascii="Calibri" w:hAnsi="Calibri"/>
          <w:bCs/>
          <w:sz w:val="22"/>
          <w:szCs w:val="22"/>
        </w:rPr>
      </w:pPr>
      <w:r w:rsidRPr="00882C66">
        <w:rPr>
          <w:rFonts w:ascii="Calibri" w:hAnsi="Calibri"/>
          <w:bCs/>
          <w:sz w:val="22"/>
          <w:szCs w:val="22"/>
        </w:rPr>
        <w:t xml:space="preserve">Byloje </w:t>
      </w:r>
      <w:r w:rsidRPr="008B0102">
        <w:rPr>
          <w:rFonts w:ascii="Calibri" w:hAnsi="Calibri"/>
          <w:bCs/>
          <w:sz w:val="22"/>
          <w:szCs w:val="22"/>
        </w:rPr>
        <w:t>pagal prokuroro, ginančio viešąjį interesą, pareiškimą t</w:t>
      </w:r>
      <w:r>
        <w:rPr>
          <w:rFonts w:ascii="Calibri" w:hAnsi="Calibri"/>
          <w:bCs/>
          <w:sz w:val="22"/>
          <w:szCs w:val="22"/>
        </w:rPr>
        <w:t>irtas</w:t>
      </w:r>
      <w:r w:rsidRPr="008B0102">
        <w:rPr>
          <w:rFonts w:ascii="Calibri" w:hAnsi="Calibri"/>
          <w:bCs/>
          <w:sz w:val="22"/>
          <w:szCs w:val="22"/>
        </w:rPr>
        <w:t xml:space="preserve"> aplinkos ministro ir žemės ūkio ministro įsakymu (2022</w:t>
      </w:r>
      <w:r>
        <w:rPr>
          <w:rFonts w:ascii="Calibri" w:hAnsi="Calibri"/>
          <w:bCs/>
          <w:sz w:val="22"/>
          <w:szCs w:val="22"/>
        </w:rPr>
        <w:t xml:space="preserve"> </w:t>
      </w:r>
      <w:r w:rsidRPr="008B0102">
        <w:rPr>
          <w:rFonts w:ascii="Calibri" w:hAnsi="Calibri"/>
          <w:bCs/>
          <w:sz w:val="22"/>
          <w:szCs w:val="22"/>
        </w:rPr>
        <w:t>m. vasario 1 d. įsakymo Nr.</w:t>
      </w:r>
      <w:r>
        <w:rPr>
          <w:rFonts w:ascii="Calibri" w:hAnsi="Calibri"/>
          <w:bCs/>
          <w:sz w:val="22"/>
          <w:szCs w:val="22"/>
        </w:rPr>
        <w:t xml:space="preserve"> </w:t>
      </w:r>
      <w:r w:rsidRPr="008B0102">
        <w:rPr>
          <w:rFonts w:ascii="Calibri" w:hAnsi="Calibri"/>
          <w:bCs/>
          <w:sz w:val="22"/>
          <w:szCs w:val="22"/>
        </w:rPr>
        <w:t>D1-29/3D-66 redakcija) patvirtinto Medžių savaiminukais apaugusios ne miško žemės inventorizacijos ir įtraukimo į apskaitą tvarkos aprašo (</w:t>
      </w:r>
      <w:r>
        <w:rPr>
          <w:rFonts w:ascii="Calibri" w:hAnsi="Calibri"/>
          <w:bCs/>
          <w:sz w:val="22"/>
          <w:szCs w:val="22"/>
        </w:rPr>
        <w:t xml:space="preserve">toliau – </w:t>
      </w:r>
      <w:r w:rsidRPr="008B0102">
        <w:rPr>
          <w:rFonts w:ascii="Calibri" w:hAnsi="Calibri"/>
          <w:bCs/>
          <w:sz w:val="22"/>
          <w:szCs w:val="22"/>
        </w:rPr>
        <w:t>Aprašas) 3 punkto</w:t>
      </w:r>
      <w:r>
        <w:rPr>
          <w:rFonts w:ascii="Calibri" w:hAnsi="Calibri"/>
          <w:bCs/>
          <w:sz w:val="22"/>
          <w:szCs w:val="22"/>
        </w:rPr>
        <w:t xml:space="preserve"> teisėtumas.</w:t>
      </w:r>
    </w:p>
    <w:p w14:paraId="7A8E84AC" w14:textId="77777777" w:rsidR="00472E64" w:rsidRDefault="00472E64" w:rsidP="00472E64">
      <w:pPr>
        <w:ind w:firstLine="567"/>
        <w:jc w:val="both"/>
        <w:rPr>
          <w:rFonts w:ascii="Calibri" w:hAnsi="Calibri"/>
          <w:bCs/>
          <w:sz w:val="22"/>
          <w:szCs w:val="22"/>
        </w:rPr>
      </w:pPr>
      <w:r>
        <w:rPr>
          <w:rFonts w:ascii="Calibri" w:hAnsi="Calibri"/>
          <w:bCs/>
          <w:sz w:val="22"/>
          <w:szCs w:val="22"/>
        </w:rPr>
        <w:t xml:space="preserve">Aprašo 3 punktas nustatė, kad </w:t>
      </w:r>
      <w:r w:rsidRPr="00707FFA">
        <w:rPr>
          <w:rFonts w:ascii="Calibri" w:hAnsi="Calibri"/>
          <w:bCs/>
          <w:sz w:val="22"/>
          <w:szCs w:val="22"/>
          <w:lang w:bidi="lt-LT"/>
        </w:rPr>
        <w:t>Aprašas netaikomas, kai medžių savaiminukai auga kitos paskirties arba konservacinės paskirties žemės kultūros paveldo objektų ar kultūros paveldo vietovių teritorijose, išskyrus atvejus, kai juos į miško žemės apskaitą prašo įtraukti privačios žemės savininkas arba bendraturčiai arba valstybinės žemės patikėtinis</w:t>
      </w:r>
      <w:r>
        <w:rPr>
          <w:rFonts w:ascii="Calibri" w:hAnsi="Calibri"/>
          <w:bCs/>
          <w:sz w:val="22"/>
          <w:szCs w:val="22"/>
          <w:lang w:bidi="lt-LT"/>
        </w:rPr>
        <w:t xml:space="preserve">, </w:t>
      </w:r>
      <w:r w:rsidRPr="008B0102">
        <w:rPr>
          <w:rFonts w:ascii="Calibri" w:hAnsi="Calibri"/>
          <w:bCs/>
          <w:sz w:val="22"/>
          <w:szCs w:val="22"/>
        </w:rPr>
        <w:t>teisėtum</w:t>
      </w:r>
      <w:r>
        <w:rPr>
          <w:rFonts w:ascii="Calibri" w:hAnsi="Calibri"/>
          <w:bCs/>
          <w:sz w:val="22"/>
          <w:szCs w:val="22"/>
        </w:rPr>
        <w:t>as</w:t>
      </w:r>
      <w:r w:rsidRPr="008B0102">
        <w:rPr>
          <w:rFonts w:ascii="Calibri" w:hAnsi="Calibri"/>
          <w:bCs/>
          <w:sz w:val="22"/>
          <w:szCs w:val="22"/>
        </w:rPr>
        <w:t xml:space="preserve">. Pareiškėjas šio punkto </w:t>
      </w:r>
      <w:r w:rsidRPr="008B0102">
        <w:rPr>
          <w:rFonts w:ascii="Calibri" w:hAnsi="Calibri"/>
          <w:bCs/>
          <w:sz w:val="22"/>
          <w:szCs w:val="22"/>
          <w:lang w:bidi="lt-LT"/>
        </w:rPr>
        <w:t>teisėtumu abejojo tuo aspektu, kad pagal jį medžių savaiminukais apaugusi kitos paskirties žemė arba konservacinės paskirties žemė kultūros paveldo objektų ar kultūros paveldo vietovių teritorijose į miško žemės apskaitą įtraukiama tik privačios žemės savininko arba valstybinės žemės patikėtinio prašymu, todėl miškus inventorizuojanti institucija</w:t>
      </w:r>
      <w:r>
        <w:rPr>
          <w:rFonts w:ascii="Calibri" w:hAnsi="Calibri"/>
          <w:bCs/>
          <w:sz w:val="22"/>
          <w:szCs w:val="22"/>
          <w:lang w:bidi="lt-LT"/>
        </w:rPr>
        <w:t xml:space="preserve"> – </w:t>
      </w:r>
      <w:r w:rsidRPr="00A873EB">
        <w:rPr>
          <w:rFonts w:ascii="Calibri" w:hAnsi="Calibri"/>
          <w:bCs/>
          <w:sz w:val="22"/>
          <w:szCs w:val="22"/>
          <w:lang w:bidi="lt-LT"/>
        </w:rPr>
        <w:t>Valstybinė miškų tarnyba</w:t>
      </w:r>
      <w:r w:rsidRPr="008B0102">
        <w:rPr>
          <w:rFonts w:ascii="Calibri" w:hAnsi="Calibri"/>
          <w:bCs/>
          <w:sz w:val="22"/>
          <w:szCs w:val="22"/>
          <w:lang w:bidi="lt-LT"/>
        </w:rPr>
        <w:t xml:space="preserve">, negavusi šių subjektų prašymo, neturi teisinio pagrindo inventorizuoti į nurodytas teritorijas patenkantį savaime užaugusį mišką ir įtraukti jį į apskaitą, net jei šios teritorijos </w:t>
      </w:r>
      <w:r w:rsidRPr="008B0102">
        <w:rPr>
          <w:rFonts w:ascii="Calibri" w:hAnsi="Calibri"/>
          <w:bCs/>
          <w:sz w:val="22"/>
          <w:szCs w:val="22"/>
        </w:rPr>
        <w:t>dėl savaiminukų dauginimosi ir augimo per tam tikrą laiką tampa visus miško požymius atitinkančia žeme</w:t>
      </w:r>
      <w:r>
        <w:rPr>
          <w:rFonts w:ascii="Calibri" w:hAnsi="Calibri"/>
          <w:bCs/>
          <w:sz w:val="22"/>
          <w:szCs w:val="22"/>
        </w:rPr>
        <w:t>.</w:t>
      </w:r>
    </w:p>
    <w:p w14:paraId="4884A9FA" w14:textId="77777777" w:rsidR="00472E64" w:rsidRPr="00DE2A8C" w:rsidRDefault="00472E64" w:rsidP="00472E64">
      <w:pPr>
        <w:ind w:firstLine="567"/>
        <w:jc w:val="both"/>
        <w:rPr>
          <w:rFonts w:ascii="Calibri" w:hAnsi="Calibri"/>
          <w:bCs/>
          <w:sz w:val="22"/>
          <w:szCs w:val="22"/>
        </w:rPr>
      </w:pPr>
      <w:r w:rsidRPr="00B26CB1">
        <w:rPr>
          <w:rFonts w:ascii="Calibri" w:hAnsi="Calibri"/>
          <w:bCs/>
          <w:sz w:val="22"/>
          <w:szCs w:val="22"/>
          <w:lang w:bidi="lt-LT"/>
        </w:rPr>
        <w:t xml:space="preserve">Bylą išnagrinėjusi LVAT </w:t>
      </w:r>
      <w:r>
        <w:rPr>
          <w:rFonts w:ascii="Calibri" w:hAnsi="Calibri"/>
          <w:bCs/>
          <w:sz w:val="22"/>
          <w:szCs w:val="22"/>
          <w:lang w:bidi="lt-LT"/>
        </w:rPr>
        <w:t xml:space="preserve">išplėstinė </w:t>
      </w:r>
      <w:r w:rsidRPr="00B26CB1">
        <w:rPr>
          <w:rFonts w:ascii="Calibri" w:hAnsi="Calibri"/>
          <w:bCs/>
          <w:sz w:val="22"/>
          <w:szCs w:val="22"/>
          <w:lang w:bidi="lt-LT"/>
        </w:rPr>
        <w:t xml:space="preserve">teisėjų kolegija nustatė, kad Miškų įstatyme įtvirtinti aiškūs ir objektyvūs kriterijai, kuriuos atitinkanti teritorija pripažįstama mišku, </w:t>
      </w:r>
      <w:r w:rsidRPr="00DE2A8C">
        <w:rPr>
          <w:rFonts w:ascii="Calibri" w:hAnsi="Calibri"/>
          <w:bCs/>
          <w:sz w:val="22"/>
          <w:lang w:bidi="lt-LT"/>
        </w:rPr>
        <w:t>tai – minimalus medžiais (neišskiriant savaiminukų) apaugusios žemės plotas, medžių skalsumas (tankumas) šioje teritorijoje ir jų aukštis brandos amžiuje, taip pat įstatymų leidėjo nustatytos konkrečios išimtys, kas nelaikoma mišku. Tam tikros teritorijos pripažinimas mišku lemia šios (mišku apaugusios) žemės priskyrimą miško žemei, taigi ir miško žemės teisinio režimo,</w:t>
      </w:r>
      <w:r>
        <w:rPr>
          <w:rFonts w:ascii="Calibri" w:hAnsi="Calibri"/>
          <w:bCs/>
          <w:sz w:val="22"/>
          <w:lang w:bidi="lt-LT"/>
        </w:rPr>
        <w:t xml:space="preserve"> be kita ko,</w:t>
      </w:r>
      <w:r w:rsidRPr="00DE2A8C">
        <w:rPr>
          <w:rFonts w:ascii="Calibri" w:hAnsi="Calibri"/>
          <w:bCs/>
          <w:sz w:val="22"/>
          <w:lang w:bidi="lt-LT"/>
        </w:rPr>
        <w:t xml:space="preserve"> miško apsaugą reglamentuojančių teisės normų</w:t>
      </w:r>
      <w:r>
        <w:rPr>
          <w:rFonts w:ascii="Calibri" w:hAnsi="Calibri"/>
          <w:bCs/>
          <w:sz w:val="22"/>
          <w:lang w:bidi="lt-LT"/>
        </w:rPr>
        <w:t>,</w:t>
      </w:r>
      <w:r w:rsidRPr="00DE2A8C">
        <w:rPr>
          <w:rFonts w:ascii="Calibri" w:hAnsi="Calibri"/>
          <w:bCs/>
          <w:sz w:val="22"/>
          <w:lang w:bidi="lt-LT"/>
        </w:rPr>
        <w:t xml:space="preserve"> taikymą tokiai teritorijai su visomis iš to kylančiomis teisinėmis pasekmėmis, įskaitant miško žemėje nustatytų specialiųjų žemės naudojimo sąlygų taikymą ir draudimą paversti miško žemę kitomis žemės naudmenomis, išskyrus Miškų įstatyme nustatytus atvejus. Taigi, valstybinė miškų inventorizacija ir miškų apskaita, be kita ko, neabejotinai yra susijusios su viešojo intereso užtikrinimu.</w:t>
      </w:r>
    </w:p>
    <w:p w14:paraId="2479C073" w14:textId="77777777" w:rsidR="00472E64" w:rsidRPr="00B26CB1" w:rsidRDefault="00472E64" w:rsidP="00472E64">
      <w:pPr>
        <w:ind w:firstLine="567"/>
        <w:jc w:val="both"/>
        <w:rPr>
          <w:rFonts w:ascii="Calibri" w:hAnsi="Calibri"/>
          <w:bCs/>
          <w:sz w:val="22"/>
          <w:szCs w:val="22"/>
          <w:lang w:bidi="lt-LT"/>
        </w:rPr>
      </w:pPr>
      <w:r w:rsidRPr="00B26CB1">
        <w:rPr>
          <w:rFonts w:ascii="Calibri" w:hAnsi="Calibri"/>
          <w:bCs/>
          <w:sz w:val="22"/>
          <w:szCs w:val="22"/>
          <w:lang w:bidi="lt-LT"/>
        </w:rPr>
        <w:lastRenderedPageBreak/>
        <w:t xml:space="preserve">Pagrindinės nuostatos dėl valstybinės miškų inventorizacijos ir miškų apskaitos įtvirtintos Miškų įstatymo 13 straipsnyje, kurio 1 dalis imperatyviai nustato, kad valstybinė miškų inventorizacija atliekama visuose miškuose, t. y. neišskiriant kitos paskirties ir konservacinės paskirties žemės kultūros paveldo objektų ar kultūros paveldo vietovių teritorijų. Miškų įstatymo 13 straipsnio 2 dalis nustato, kad medžių savaiminukais, kurių vidutinis amžius ne mažesnis kaip 20 metų, apaugusi ne miško žemė inventorizuojama ir įtraukiama į apskaitą kaip miškas aplinkos ministro (pagal anksčiau galiojusią šios nuostatos redakciją – Aplinkos ministerijos ir Žemės ūkio ministerijos) nustatyta tvarka. LVAT atkreipė dėmesį, kad ši norma ne tik suteikė įgaliojimus atsakovams patvirtinti </w:t>
      </w:r>
      <w:r w:rsidRPr="00B26CB1">
        <w:rPr>
          <w:rFonts w:ascii="Calibri" w:hAnsi="Calibri"/>
          <w:bCs/>
          <w:sz w:val="22"/>
          <w:szCs w:val="22"/>
        </w:rPr>
        <w:t>medžių savaiminukais apaugusios ne miško žemės inventorizacijos ir įtraukimo į miško apskaitą</w:t>
      </w:r>
      <w:r w:rsidRPr="00B26CB1">
        <w:rPr>
          <w:rFonts w:ascii="Calibri" w:hAnsi="Calibri"/>
          <w:bCs/>
          <w:sz w:val="22"/>
          <w:szCs w:val="22"/>
          <w:lang w:bidi="lt-LT"/>
        </w:rPr>
        <w:t xml:space="preserve"> tvarką, bet kartu nustatė ir papildomą kriterijų, kuomet būtent medžių savaiminukais apaugusi ne miško žemė (neišskiriant </w:t>
      </w:r>
      <w:r w:rsidRPr="00B26CB1">
        <w:rPr>
          <w:rFonts w:ascii="Calibri" w:hAnsi="Calibri"/>
          <w:bCs/>
          <w:sz w:val="22"/>
          <w:szCs w:val="22"/>
        </w:rPr>
        <w:t>kitos paskirties arba konservacinės paskirties žemės kultūros paveldo objektų ar kultūros paveldo vietovių teritorijų</w:t>
      </w:r>
      <w:r w:rsidRPr="00B26CB1">
        <w:rPr>
          <w:rFonts w:ascii="Calibri" w:hAnsi="Calibri"/>
          <w:bCs/>
          <w:sz w:val="22"/>
          <w:szCs w:val="22"/>
          <w:lang w:bidi="lt-LT"/>
        </w:rPr>
        <w:t xml:space="preserve">) pripažįstama mišku – kai savaiminukų vidutinis amžius ne mažesnis kaip 20 metų. Todėl būtent šiose įstatyme nustatytose ribose atsakovai, įgyvendindami jiems suteiktą kompetenciją, galėjo detalizuoti </w:t>
      </w:r>
      <w:r w:rsidRPr="00B26CB1">
        <w:rPr>
          <w:rFonts w:ascii="Calibri" w:hAnsi="Calibri"/>
          <w:bCs/>
          <w:sz w:val="22"/>
          <w:szCs w:val="22"/>
        </w:rPr>
        <w:t>medžių savaiminukais apaugusios ne miško žemės inventorizacijos ir įtraukimo į miško apskaitą</w:t>
      </w:r>
      <w:r w:rsidRPr="00B26CB1">
        <w:rPr>
          <w:rFonts w:ascii="Calibri" w:hAnsi="Calibri"/>
          <w:bCs/>
          <w:sz w:val="22"/>
          <w:szCs w:val="22"/>
          <w:lang w:bidi="lt-LT"/>
        </w:rPr>
        <w:t xml:space="preserve"> tvarką.</w:t>
      </w:r>
    </w:p>
    <w:p w14:paraId="6DD8D371" w14:textId="77777777" w:rsidR="00472E64" w:rsidRPr="00B26CB1" w:rsidRDefault="00472E64" w:rsidP="00472E64">
      <w:pPr>
        <w:ind w:firstLine="567"/>
        <w:jc w:val="both"/>
        <w:rPr>
          <w:rFonts w:ascii="Calibri" w:hAnsi="Calibri"/>
          <w:bCs/>
          <w:sz w:val="22"/>
          <w:szCs w:val="22"/>
          <w:lang w:bidi="lt-LT"/>
        </w:rPr>
      </w:pPr>
      <w:r w:rsidRPr="00B26CB1">
        <w:rPr>
          <w:rFonts w:ascii="Calibri" w:hAnsi="Calibri"/>
          <w:bCs/>
          <w:sz w:val="22"/>
          <w:szCs w:val="22"/>
          <w:lang w:bidi="lt-LT"/>
        </w:rPr>
        <w:t>Tačiau atsakovai Aprašo 3</w:t>
      </w:r>
      <w:r>
        <w:rPr>
          <w:rFonts w:ascii="Calibri" w:hAnsi="Calibri"/>
          <w:bCs/>
          <w:sz w:val="22"/>
          <w:szCs w:val="22"/>
          <w:lang w:bidi="lt-LT"/>
        </w:rPr>
        <w:t xml:space="preserve"> </w:t>
      </w:r>
      <w:r w:rsidRPr="00B26CB1">
        <w:rPr>
          <w:rFonts w:ascii="Calibri" w:hAnsi="Calibri"/>
          <w:bCs/>
          <w:sz w:val="22"/>
          <w:szCs w:val="22"/>
          <w:lang w:bidi="lt-LT"/>
        </w:rPr>
        <w:t xml:space="preserve">punkte įtvirtino teisinį reguliavimą, pagal kurį į kitos paskirties arba konservacinės paskirties žemės kultūros paveldo objektų ar kultūros paveldo vietovių teritorijas patenkančios medžių savaiminukais apaugusios ne miško žemės inventorizacija ir įtraukimas į miško apskaitą, visiškai neatsižvelgiant į vidutinį medžių savaiminukų amžių, priklauso išimtinai tik nuo subjektyvios šios žemės </w:t>
      </w:r>
      <w:r w:rsidRPr="00B26CB1">
        <w:rPr>
          <w:rFonts w:ascii="Calibri" w:hAnsi="Calibri"/>
          <w:bCs/>
          <w:sz w:val="22"/>
          <w:szCs w:val="22"/>
        </w:rPr>
        <w:t>savininkų ir (ar) valstybinės žemės patikėtinių</w:t>
      </w:r>
      <w:r w:rsidRPr="00B26CB1">
        <w:rPr>
          <w:rFonts w:ascii="Calibri" w:hAnsi="Calibri"/>
          <w:bCs/>
          <w:sz w:val="22"/>
          <w:szCs w:val="22"/>
          <w:lang w:bidi="lt-LT"/>
        </w:rPr>
        <w:t xml:space="preserve"> valios, nors Miškų įstatyme įtvirtintas teisinis reguliavimas to nesuponuoja. Miškų įstatymo 13 straipsnio 2 dalies nuostata dėl medžių savaiminukais, kurių vidutinis amžius ne mažesnis kaip 20 metų, apaugusios ne miško žemės inventorizacijos ir įtraukimo į miško apskaitą suformuluota imperatyviai ir iš jos nekyla atsakovų kompetencija nustatyti šios bendro pobūdžio taisyklės išimtis. Miškų įstatymo nuostatos nenumato galimybės </w:t>
      </w:r>
      <w:r w:rsidRPr="00B26CB1">
        <w:rPr>
          <w:rFonts w:ascii="Calibri" w:hAnsi="Calibri"/>
          <w:bCs/>
          <w:sz w:val="22"/>
          <w:szCs w:val="22"/>
        </w:rPr>
        <w:t>neinventorizuoti ir neįtraukti į miško</w:t>
      </w:r>
      <w:r w:rsidRPr="00B26CB1">
        <w:rPr>
          <w:rFonts w:ascii="Calibri" w:hAnsi="Calibri"/>
          <w:bCs/>
          <w:sz w:val="22"/>
          <w:szCs w:val="22"/>
          <w:lang w:bidi="lt-LT"/>
        </w:rPr>
        <w:t xml:space="preserve"> </w:t>
      </w:r>
      <w:r w:rsidRPr="00B26CB1">
        <w:rPr>
          <w:rFonts w:ascii="Calibri" w:hAnsi="Calibri"/>
          <w:bCs/>
          <w:sz w:val="22"/>
          <w:szCs w:val="22"/>
        </w:rPr>
        <w:t xml:space="preserve">apskaitą </w:t>
      </w:r>
      <w:r w:rsidRPr="00B26CB1">
        <w:rPr>
          <w:rFonts w:ascii="Calibri" w:hAnsi="Calibri"/>
          <w:bCs/>
          <w:sz w:val="22"/>
          <w:szCs w:val="22"/>
          <w:lang w:bidi="lt-LT"/>
        </w:rPr>
        <w:t xml:space="preserve">medžių savaiminukais, kurių vidutinis amžius ne mažesnis kaip 20 metų, apaugusios ir </w:t>
      </w:r>
      <w:r w:rsidRPr="00B26CB1">
        <w:rPr>
          <w:rFonts w:ascii="Calibri" w:hAnsi="Calibri"/>
          <w:bCs/>
          <w:sz w:val="22"/>
          <w:szCs w:val="22"/>
        </w:rPr>
        <w:t xml:space="preserve">pagal faktinę padėtį </w:t>
      </w:r>
      <w:r w:rsidRPr="00B26CB1">
        <w:rPr>
          <w:rFonts w:ascii="Calibri" w:hAnsi="Calibri"/>
          <w:bCs/>
          <w:sz w:val="22"/>
          <w:szCs w:val="22"/>
          <w:lang w:bidi="lt-LT"/>
        </w:rPr>
        <w:t xml:space="preserve">savo charakteristikomis </w:t>
      </w:r>
      <w:r w:rsidRPr="00B26CB1">
        <w:rPr>
          <w:rFonts w:ascii="Calibri" w:hAnsi="Calibri"/>
          <w:bCs/>
          <w:sz w:val="22"/>
          <w:szCs w:val="22"/>
        </w:rPr>
        <w:t>visus įstatyme nustatytus miško kriterijus atitinkančios</w:t>
      </w:r>
      <w:r w:rsidRPr="00B26CB1">
        <w:rPr>
          <w:rFonts w:ascii="Calibri" w:hAnsi="Calibri"/>
          <w:bCs/>
          <w:sz w:val="22"/>
          <w:szCs w:val="22"/>
          <w:lang w:bidi="lt-LT"/>
        </w:rPr>
        <w:t xml:space="preserve"> ne miško žemės</w:t>
      </w:r>
      <w:r w:rsidRPr="00B26CB1">
        <w:rPr>
          <w:rFonts w:ascii="Calibri" w:hAnsi="Calibri"/>
          <w:bCs/>
          <w:sz w:val="22"/>
          <w:szCs w:val="22"/>
        </w:rPr>
        <w:t xml:space="preserve"> vien dėl to, jog ji yra kitos paskirties arba konservacinės paskirties žemės kultūros paveldo objektų ar kultūros paveldo vietovių teritorijose, </w:t>
      </w:r>
      <w:r w:rsidRPr="00B26CB1">
        <w:rPr>
          <w:rFonts w:ascii="Calibri" w:hAnsi="Calibri"/>
          <w:bCs/>
          <w:sz w:val="22"/>
          <w:szCs w:val="22"/>
          <w:lang w:bidi="lt-LT"/>
        </w:rPr>
        <w:t xml:space="preserve">nepriklausomai nuo žemės </w:t>
      </w:r>
      <w:r w:rsidRPr="00B26CB1">
        <w:rPr>
          <w:rFonts w:ascii="Calibri" w:hAnsi="Calibri"/>
          <w:bCs/>
          <w:sz w:val="22"/>
          <w:szCs w:val="22"/>
        </w:rPr>
        <w:t>savininkų ir (ar) valstybinės žemės patikėtinių</w:t>
      </w:r>
      <w:r w:rsidRPr="00B26CB1">
        <w:rPr>
          <w:rFonts w:ascii="Calibri" w:hAnsi="Calibri"/>
          <w:bCs/>
          <w:sz w:val="22"/>
          <w:szCs w:val="22"/>
          <w:lang w:bidi="lt-LT"/>
        </w:rPr>
        <w:t xml:space="preserve"> valios.</w:t>
      </w:r>
    </w:p>
    <w:p w14:paraId="323483D2" w14:textId="77777777" w:rsidR="00472E64" w:rsidRPr="00B26CB1" w:rsidRDefault="00472E64" w:rsidP="00472E64">
      <w:pPr>
        <w:ind w:firstLine="567"/>
        <w:jc w:val="both"/>
        <w:rPr>
          <w:rFonts w:ascii="Calibri" w:hAnsi="Calibri"/>
          <w:bCs/>
          <w:sz w:val="22"/>
          <w:szCs w:val="22"/>
        </w:rPr>
      </w:pPr>
      <w:r w:rsidRPr="00B26CB1">
        <w:rPr>
          <w:rFonts w:ascii="Calibri" w:hAnsi="Calibri"/>
          <w:bCs/>
          <w:sz w:val="22"/>
          <w:szCs w:val="22"/>
          <w:lang w:bidi="lt-LT"/>
        </w:rPr>
        <w:t>Atsižvelg</w:t>
      </w:r>
      <w:r>
        <w:rPr>
          <w:rFonts w:ascii="Calibri" w:hAnsi="Calibri"/>
          <w:bCs/>
          <w:sz w:val="22"/>
          <w:szCs w:val="22"/>
          <w:lang w:bidi="lt-LT"/>
        </w:rPr>
        <w:t>us</w:t>
      </w:r>
      <w:r w:rsidRPr="00B26CB1">
        <w:rPr>
          <w:rFonts w:ascii="Calibri" w:hAnsi="Calibri"/>
          <w:bCs/>
          <w:sz w:val="22"/>
          <w:szCs w:val="22"/>
          <w:lang w:bidi="lt-LT"/>
        </w:rPr>
        <w:t xml:space="preserve">i į tai, LVAT </w:t>
      </w:r>
      <w:r>
        <w:rPr>
          <w:rFonts w:ascii="Calibri" w:hAnsi="Calibri"/>
          <w:bCs/>
          <w:sz w:val="22"/>
          <w:szCs w:val="22"/>
          <w:lang w:bidi="lt-LT"/>
        </w:rPr>
        <w:t xml:space="preserve">išplėstinė </w:t>
      </w:r>
      <w:r w:rsidRPr="00B26CB1">
        <w:rPr>
          <w:rFonts w:ascii="Calibri" w:hAnsi="Calibri"/>
          <w:bCs/>
          <w:sz w:val="22"/>
          <w:szCs w:val="22"/>
          <w:lang w:bidi="lt-LT"/>
        </w:rPr>
        <w:t>teisėjų kolegija konstata</w:t>
      </w:r>
      <w:r>
        <w:rPr>
          <w:rFonts w:ascii="Calibri" w:hAnsi="Calibri"/>
          <w:bCs/>
          <w:sz w:val="22"/>
          <w:szCs w:val="22"/>
          <w:lang w:bidi="lt-LT"/>
        </w:rPr>
        <w:t>vo</w:t>
      </w:r>
      <w:r w:rsidRPr="00B26CB1">
        <w:rPr>
          <w:rFonts w:ascii="Calibri" w:hAnsi="Calibri"/>
          <w:bCs/>
          <w:sz w:val="22"/>
          <w:szCs w:val="22"/>
          <w:lang w:bidi="lt-LT"/>
        </w:rPr>
        <w:t xml:space="preserve">, jog atsakovai, Aprašo 3 punkte įtvirtindami kvestionuotą teisinį reguliavimą, nepaisė iš konstitucinio teisinės valstybės principo išplaukiančio įpareigojimo teisėkūros subjektams leidžiant teisės aktus neviršyti savo įgaliojimų, nepažeisti teisės aktų hierarchijos, įstatymų viršenybės imperatyvų ir įstatymo įgyvendinamajame teisės akte nustatyti tokį teisinį reguliavimą, kuris būtų grindžiamas įstatymu ir jį detalizuotų tik įstatyme nustatytose ribose. Todėl byloje pripažinta, kad </w:t>
      </w:r>
      <w:r w:rsidRPr="00B26CB1">
        <w:rPr>
          <w:rFonts w:ascii="Calibri" w:hAnsi="Calibri"/>
          <w:bCs/>
          <w:sz w:val="22"/>
          <w:szCs w:val="22"/>
        </w:rPr>
        <w:t>Aprašo 3 punktas tiek, kiek jame nustatyta, kad A</w:t>
      </w:r>
      <w:r w:rsidRPr="00B26CB1">
        <w:rPr>
          <w:rFonts w:ascii="Calibri" w:hAnsi="Calibri"/>
          <w:bCs/>
          <w:sz w:val="22"/>
          <w:szCs w:val="22"/>
          <w:lang w:bidi="lt-LT"/>
        </w:rPr>
        <w:t xml:space="preserve">prašas netaikomas, kai medžių savaiminukai, kurių vidutinis amžius ne mažesnis kaip 20 metų, auga kitos paskirties arba konservacinės paskirties žemės kultūros paveldo objektų ar kultūros paveldo vietovių teritorijose, </w:t>
      </w:r>
      <w:r w:rsidRPr="00B26CB1">
        <w:rPr>
          <w:rFonts w:ascii="Calibri" w:hAnsi="Calibri"/>
          <w:bCs/>
          <w:sz w:val="22"/>
          <w:szCs w:val="22"/>
        </w:rPr>
        <w:t>prieštarauja konstituciniam teisinės valstybės principui.</w:t>
      </w:r>
    </w:p>
    <w:p w14:paraId="23B1ED2D" w14:textId="77777777" w:rsidR="00472E64" w:rsidRPr="008A124F" w:rsidRDefault="00472E64" w:rsidP="00472E64">
      <w:pPr>
        <w:ind w:firstLine="567"/>
        <w:jc w:val="both"/>
        <w:rPr>
          <w:rFonts w:ascii="Calibri" w:hAnsi="Calibri"/>
          <w:bCs/>
          <w:sz w:val="22"/>
          <w:szCs w:val="22"/>
          <w:lang w:bidi="lt-LT"/>
        </w:rPr>
      </w:pPr>
      <w:r>
        <w:rPr>
          <w:rFonts w:ascii="Calibri" w:hAnsi="Calibri"/>
          <w:bCs/>
          <w:sz w:val="22"/>
          <w:szCs w:val="22"/>
          <w:lang w:bidi="lt-LT"/>
        </w:rPr>
        <w:t xml:space="preserve">Įvertinus tai, kad </w:t>
      </w:r>
      <w:r w:rsidRPr="00594CA9">
        <w:rPr>
          <w:rFonts w:ascii="Calibri" w:hAnsi="Calibri"/>
          <w:bCs/>
          <w:sz w:val="22"/>
          <w:szCs w:val="22"/>
          <w:lang w:bidi="lt-LT"/>
        </w:rPr>
        <w:t>aukštesnės galios teisės aktui prieštaraujančia pripažintos Aprašo 3 punkto</w:t>
      </w:r>
      <w:r>
        <w:rPr>
          <w:rFonts w:ascii="Calibri" w:hAnsi="Calibri"/>
          <w:bCs/>
          <w:sz w:val="22"/>
          <w:szCs w:val="22"/>
          <w:lang w:bidi="lt-LT"/>
        </w:rPr>
        <w:t xml:space="preserve"> </w:t>
      </w:r>
      <w:r w:rsidRPr="00620229">
        <w:rPr>
          <w:rFonts w:ascii="Calibri" w:hAnsi="Calibri"/>
          <w:bCs/>
          <w:sz w:val="22"/>
          <w:szCs w:val="22"/>
          <w:lang w:bidi="lt-LT"/>
        </w:rPr>
        <w:t>nuostatos reglamentuojami teisiniai santykiai yra visuomeniškai svarbūs, nes susiję su miškų, kaip ypatingų nuosavybės teisės objektų, apsauga, kurios užtikrinimas – viešasis interesas, taip pat dėl miškų reikšmės kylančiais tam tikrais</w:t>
      </w:r>
      <w:r>
        <w:rPr>
          <w:rFonts w:ascii="Calibri" w:hAnsi="Calibri"/>
          <w:bCs/>
          <w:sz w:val="22"/>
          <w:szCs w:val="22"/>
          <w:lang w:bidi="lt-LT"/>
        </w:rPr>
        <w:t>, be kita ko,</w:t>
      </w:r>
      <w:r w:rsidRPr="00620229">
        <w:rPr>
          <w:rFonts w:ascii="Calibri" w:hAnsi="Calibri"/>
          <w:bCs/>
          <w:i/>
          <w:iCs/>
          <w:sz w:val="22"/>
          <w:szCs w:val="22"/>
          <w:lang w:bidi="lt-LT"/>
        </w:rPr>
        <w:t xml:space="preserve"> </w:t>
      </w:r>
      <w:r w:rsidRPr="00620229">
        <w:rPr>
          <w:rFonts w:ascii="Calibri" w:hAnsi="Calibri"/>
          <w:bCs/>
          <w:sz w:val="22"/>
          <w:szCs w:val="22"/>
          <w:lang w:bidi="lt-LT"/>
        </w:rPr>
        <w:t>Konstitucijos ginamos nuosavybės teisės ribojimais bei suvaržymais</w:t>
      </w:r>
      <w:r>
        <w:rPr>
          <w:rFonts w:ascii="Calibri" w:hAnsi="Calibri"/>
          <w:bCs/>
          <w:sz w:val="22"/>
          <w:szCs w:val="22"/>
          <w:lang w:bidi="lt-LT"/>
        </w:rPr>
        <w:t xml:space="preserve">, siekiant </w:t>
      </w:r>
      <w:r w:rsidRPr="00620229">
        <w:rPr>
          <w:rFonts w:ascii="Calibri" w:hAnsi="Calibri"/>
          <w:bCs/>
          <w:sz w:val="22"/>
          <w:szCs w:val="22"/>
          <w:lang w:bidi="lt-LT"/>
        </w:rPr>
        <w:t>užtikrinti teisinio reguliavimo tikrumą ir stabilumą, suteikiant galimybę pasiruošti kylantiems teisiniams padariniams</w:t>
      </w:r>
      <w:r>
        <w:rPr>
          <w:rFonts w:ascii="Calibri" w:hAnsi="Calibri"/>
          <w:bCs/>
          <w:sz w:val="22"/>
          <w:szCs w:val="22"/>
          <w:lang w:bidi="lt-LT"/>
        </w:rPr>
        <w:t xml:space="preserve">, </w:t>
      </w:r>
      <w:r w:rsidRPr="008A124F">
        <w:rPr>
          <w:rFonts w:ascii="Calibri" w:hAnsi="Calibri"/>
          <w:bCs/>
          <w:sz w:val="22"/>
          <w:szCs w:val="22"/>
          <w:lang w:bidi="lt-LT"/>
        </w:rPr>
        <w:t>sprendimo oficialus paskelbimas Teisės aktų registre atidėtas 2024 m. vasario 15 d.</w:t>
      </w:r>
    </w:p>
    <w:p w14:paraId="7BE4A1AC" w14:textId="77777777" w:rsidR="00472E64" w:rsidRDefault="00472E64" w:rsidP="00472E64">
      <w:pPr>
        <w:ind w:firstLine="567"/>
        <w:rPr>
          <w:rFonts w:ascii="Calibri" w:hAnsi="Calibri"/>
          <w:b/>
          <w:sz w:val="22"/>
          <w:szCs w:val="22"/>
          <w:u w:val="single"/>
        </w:rPr>
      </w:pPr>
    </w:p>
    <w:p w14:paraId="0D1B4AE2" w14:textId="77777777" w:rsidR="00472E64" w:rsidRPr="00E81924" w:rsidRDefault="00472E64" w:rsidP="00472E64">
      <w:pPr>
        <w:pStyle w:val="NoSpacing"/>
        <w:jc w:val="both"/>
        <w:rPr>
          <w:rFonts w:cstheme="minorHAnsi"/>
        </w:rPr>
      </w:pPr>
      <w:r>
        <w:rPr>
          <w:rFonts w:cstheme="minorHAnsi"/>
        </w:rPr>
        <w:t xml:space="preserve">Išplėstinės teisėjų kolegijos </w:t>
      </w:r>
      <w:r w:rsidRPr="00E81924">
        <w:rPr>
          <w:rFonts w:cstheme="minorHAnsi"/>
        </w:rPr>
        <w:t xml:space="preserve">2023 m. </w:t>
      </w:r>
      <w:r>
        <w:rPr>
          <w:rFonts w:cstheme="minorHAnsi"/>
        </w:rPr>
        <w:t>lapkričio 15</w:t>
      </w:r>
      <w:r w:rsidRPr="00E81924">
        <w:rPr>
          <w:rFonts w:cstheme="minorHAnsi"/>
        </w:rPr>
        <w:t xml:space="preserve"> d. </w:t>
      </w:r>
      <w:r>
        <w:rPr>
          <w:rFonts w:cstheme="minorHAnsi"/>
        </w:rPr>
        <w:t>sprendimas</w:t>
      </w:r>
      <w:r w:rsidRPr="00E81924">
        <w:rPr>
          <w:rFonts w:cstheme="minorHAnsi"/>
        </w:rPr>
        <w:t xml:space="preserve"> administracinėje byloje Nr. </w:t>
      </w:r>
      <w:r w:rsidRPr="00523B5E">
        <w:rPr>
          <w:szCs w:val="24"/>
        </w:rPr>
        <w:t>eI-15-556/2023</w:t>
      </w:r>
    </w:p>
    <w:p w14:paraId="6B147C44" w14:textId="77777777" w:rsidR="00472E64" w:rsidRPr="00E81924" w:rsidRDefault="00472E64" w:rsidP="00472E64">
      <w:pPr>
        <w:pStyle w:val="NoSpacing"/>
        <w:jc w:val="both"/>
        <w:rPr>
          <w:rFonts w:cstheme="minorHAnsi"/>
        </w:rPr>
      </w:pPr>
      <w:r w:rsidRPr="00E81924">
        <w:rPr>
          <w:rFonts w:cstheme="minorHAnsi"/>
        </w:rPr>
        <w:t xml:space="preserve">Teisminio proceso Nr. </w:t>
      </w:r>
      <w:r w:rsidRPr="00C340B7">
        <w:rPr>
          <w:lang w:eastAsia="lt-LT"/>
        </w:rPr>
        <w:t>3-66-3-00044-2023-3</w:t>
      </w:r>
    </w:p>
    <w:p w14:paraId="0BF03770" w14:textId="77777777" w:rsidR="00472E64" w:rsidRPr="00E81924" w:rsidRDefault="00472E64" w:rsidP="00472E64">
      <w:pPr>
        <w:pStyle w:val="NoSpacing"/>
        <w:jc w:val="both"/>
        <w:rPr>
          <w:rFonts w:cstheme="minorHAnsi"/>
        </w:rPr>
      </w:pPr>
      <w:r w:rsidRPr="00E81924">
        <w:rPr>
          <w:rFonts w:cstheme="minorHAnsi"/>
        </w:rPr>
        <w:t xml:space="preserve">Procesinio sprendimo </w:t>
      </w:r>
      <w:r w:rsidRPr="00DF675F">
        <w:rPr>
          <w:rFonts w:cstheme="minorHAnsi"/>
          <w:lang w:val="lt"/>
        </w:rPr>
        <w:t xml:space="preserve">kategorijos: </w:t>
      </w:r>
      <w:r w:rsidRPr="00077B60">
        <w:t>4.1; 14.4.</w:t>
      </w:r>
      <w:r>
        <w:t>3</w:t>
      </w:r>
    </w:p>
    <w:p w14:paraId="198B8B8C" w14:textId="74E982DD" w:rsidR="00472E64" w:rsidRDefault="00000000" w:rsidP="00472E64">
      <w:pPr>
        <w:pStyle w:val="NoSpacing"/>
        <w:jc w:val="both"/>
        <w:rPr>
          <w:rFonts w:cstheme="minorHAnsi"/>
        </w:rPr>
      </w:pPr>
      <w:hyperlink r:id="rId10" w:history="1">
        <w:r w:rsidR="636B6ABB" w:rsidRPr="00D860EB">
          <w:rPr>
            <w:rStyle w:val="Hyperlink"/>
            <w:rFonts w:cstheme="minorBidi"/>
          </w:rPr>
          <w:t>Prieiga internete</w:t>
        </w:r>
      </w:hyperlink>
      <w:r w:rsidR="00D860EB">
        <w:rPr>
          <w:rFonts w:cstheme="minorBidi"/>
        </w:rPr>
        <w:t xml:space="preserve"> </w:t>
      </w:r>
    </w:p>
    <w:p w14:paraId="0C6F85BF" w14:textId="1AB493EB" w:rsidR="636B6ABB" w:rsidRDefault="636B6ABB" w:rsidP="636B6ABB">
      <w:pPr>
        <w:pStyle w:val="NoSpacing"/>
        <w:jc w:val="both"/>
        <w:rPr>
          <w:rFonts w:cstheme="minorBidi"/>
          <w:color w:val="FF0000"/>
          <w:highlight w:val="yellow"/>
        </w:rPr>
      </w:pPr>
    </w:p>
    <w:p w14:paraId="6FA2FDA2" w14:textId="68ED7E73" w:rsidR="636B6ABB" w:rsidRDefault="636B6ABB" w:rsidP="636B6ABB">
      <w:pPr>
        <w:pStyle w:val="NoSpacing"/>
        <w:ind w:firstLine="567"/>
        <w:jc w:val="both"/>
      </w:pPr>
      <w:r w:rsidRPr="636B6ABB">
        <w:rPr>
          <w:rFonts w:eastAsia="Calibri" w:cs="Calibri"/>
          <w:b/>
          <w:bCs/>
          <w:u w:val="single"/>
          <w:lang w:val="lt"/>
        </w:rPr>
        <w:t>4.2. Teritorinių ar savivaldybių administravimo subjektų norminių administracinių aktų teisėtumas</w:t>
      </w:r>
    </w:p>
    <w:p w14:paraId="57202A51" w14:textId="7B07C7E7" w:rsidR="636B6ABB" w:rsidRDefault="636B6ABB" w:rsidP="636B6ABB">
      <w:pPr>
        <w:pStyle w:val="NoSpacing"/>
        <w:jc w:val="both"/>
        <w:rPr>
          <w:rFonts w:eastAsia="Calibri" w:cs="Calibri"/>
          <w:i/>
          <w:iCs/>
          <w:lang w:val="lt"/>
        </w:rPr>
      </w:pPr>
    </w:p>
    <w:p w14:paraId="072EAC76" w14:textId="41316FD8" w:rsidR="636B6ABB" w:rsidRPr="0034620D" w:rsidRDefault="636B6ABB" w:rsidP="0034620D">
      <w:pPr>
        <w:jc w:val="both"/>
        <w:outlineLvl w:val="1"/>
        <w:rPr>
          <w:rFonts w:asciiTheme="minorHAnsi" w:eastAsia="Calibri" w:hAnsiTheme="minorHAnsi" w:cstheme="minorHAnsi"/>
          <w:i/>
          <w:sz w:val="22"/>
          <w:szCs w:val="22"/>
        </w:rPr>
      </w:pPr>
      <w:bookmarkStart w:id="25" w:name="_Toc159340651"/>
      <w:r w:rsidRPr="0034620D">
        <w:rPr>
          <w:rFonts w:asciiTheme="minorHAnsi" w:eastAsia="Calibri" w:hAnsiTheme="minorHAnsi" w:cstheme="minorHAnsi"/>
          <w:i/>
          <w:sz w:val="22"/>
          <w:szCs w:val="22"/>
        </w:rPr>
        <w:t>Dėl savivaldybių tarybų sprendimų projektų išviešinimo</w:t>
      </w:r>
      <w:bookmarkEnd w:id="25"/>
      <w:r w:rsidRPr="0034620D">
        <w:rPr>
          <w:rFonts w:asciiTheme="minorHAnsi" w:eastAsia="Calibri" w:hAnsiTheme="minorHAnsi" w:cstheme="minorHAnsi"/>
          <w:i/>
          <w:sz w:val="22"/>
          <w:szCs w:val="22"/>
        </w:rPr>
        <w:t xml:space="preserve"> </w:t>
      </w:r>
    </w:p>
    <w:p w14:paraId="4E8E108D" w14:textId="41CBC907" w:rsidR="636B6ABB" w:rsidRPr="0034620D" w:rsidRDefault="636B6ABB" w:rsidP="0034620D">
      <w:pPr>
        <w:jc w:val="both"/>
        <w:outlineLvl w:val="1"/>
        <w:rPr>
          <w:rFonts w:asciiTheme="minorHAnsi" w:eastAsia="Calibri" w:hAnsiTheme="minorHAnsi" w:cstheme="minorHAnsi"/>
          <w:i/>
          <w:sz w:val="22"/>
          <w:szCs w:val="22"/>
        </w:rPr>
      </w:pPr>
      <w:bookmarkStart w:id="26" w:name="_Toc159340652"/>
      <w:r w:rsidRPr="0034620D">
        <w:rPr>
          <w:rFonts w:asciiTheme="minorHAnsi" w:eastAsia="Calibri" w:hAnsiTheme="minorHAnsi" w:cstheme="minorHAnsi"/>
          <w:i/>
          <w:sz w:val="22"/>
          <w:szCs w:val="22"/>
        </w:rPr>
        <w:t>Dėl nekilnojamojo turto naudojimo ir tokio turto pastatymo bei įregistravimo momento, kaip nekilnojamojo turto mokesčio tarifo diferencijavimo kriterijų</w:t>
      </w:r>
      <w:bookmarkEnd w:id="26"/>
    </w:p>
    <w:p w14:paraId="1EBD115E" w14:textId="53AADEF7" w:rsidR="636B6ABB" w:rsidRPr="0034620D" w:rsidRDefault="636B6ABB" w:rsidP="0034620D">
      <w:r w:rsidRPr="0034620D">
        <w:rPr>
          <w:rFonts w:asciiTheme="minorHAnsi" w:eastAsia="Calibri" w:hAnsiTheme="minorHAnsi" w:cstheme="minorHAnsi"/>
          <w:i/>
          <w:sz w:val="22"/>
          <w:szCs w:val="22"/>
        </w:rPr>
        <w:t xml:space="preserve"> </w:t>
      </w:r>
    </w:p>
    <w:p w14:paraId="19509F62" w14:textId="42F4F37A" w:rsidR="636B6ABB" w:rsidRDefault="636B6ABB" w:rsidP="636B6ABB">
      <w:pPr>
        <w:pStyle w:val="NoSpacing"/>
        <w:ind w:firstLine="567"/>
        <w:jc w:val="both"/>
      </w:pPr>
      <w:r w:rsidRPr="636B6ABB">
        <w:rPr>
          <w:rFonts w:eastAsia="Calibri" w:cs="Calibri"/>
          <w:lang w:val="lt"/>
        </w:rPr>
        <w:lastRenderedPageBreak/>
        <w:t>Byloje pagal Vyriausybės atstovo pareiškimą vertintas Vilniaus miesto savivaldybės tarybos 2021 m. birželio 23 d. sprendimo Nr. 1-1042 (toliau – Taryba) sprendimo „Dėl nekilnojamojo turto mokesčio tarifų 2022 metams nustatymo“ (toliau – Sprendimas</w:t>
      </w:r>
      <w:r w:rsidR="002602DF">
        <w:rPr>
          <w:rStyle w:val="FootnoteReference"/>
          <w:rFonts w:eastAsia="Calibri" w:cs="Calibri"/>
          <w:lang w:val="lt"/>
        </w:rPr>
        <w:footnoteReference w:id="3"/>
      </w:r>
      <w:r w:rsidRPr="636B6ABB">
        <w:rPr>
          <w:rFonts w:eastAsia="Calibri" w:cs="Calibri"/>
          <w:lang w:val="lt"/>
        </w:rPr>
        <w:t>) pagal jo priėmimo tvarką, taip pat jo 1.5, 1.6 ir 3.1 punktų  teisėtumas.</w:t>
      </w:r>
    </w:p>
    <w:p w14:paraId="217B520C" w14:textId="4F2A1CF3" w:rsidR="636B6ABB" w:rsidRDefault="636B6ABB" w:rsidP="636B6ABB">
      <w:pPr>
        <w:pStyle w:val="NoSpacing"/>
        <w:ind w:firstLine="567"/>
        <w:jc w:val="both"/>
      </w:pPr>
      <w:r w:rsidRPr="636B6ABB">
        <w:rPr>
          <w:rFonts w:eastAsia="Calibri" w:cs="Calibri"/>
          <w:lang w:val="lt"/>
        </w:rPr>
        <w:t xml:space="preserve">Pirmosios instancijos teismas pripažino, kad Sprendimo 1.5 bei 1.6 punktai prieštaravo teisėtumo principui, įstatymo viršenybės principui ir Nekilnojamojo turto mokesčio įstatymo (toliau – NTMĮ) 6 straipsnio 2 daliai, o Sprendimo 3.1 punkto nuostata „kuris buvo pastatytas ir įregistruotas Registrų centre iki 2019 m. birželio 1 d.“ – Konstitucijos 29 straipsnio 1 dalyje ir Viešojo administravimo įstatymo 3 straipsnio 6 punkte įtvirtintam lygiateisiškumo principui; kitą Vyriausybės atstovo pareiškimo dalį atmetė. </w:t>
      </w:r>
    </w:p>
    <w:p w14:paraId="5C17A205" w14:textId="7D1FA391" w:rsidR="636B6ABB" w:rsidRDefault="636B6ABB" w:rsidP="636B6ABB">
      <w:pPr>
        <w:pStyle w:val="NoSpacing"/>
        <w:ind w:firstLine="567"/>
        <w:jc w:val="both"/>
      </w:pPr>
      <w:r w:rsidRPr="636B6ABB">
        <w:rPr>
          <w:rFonts w:eastAsia="Calibri" w:cs="Calibri"/>
          <w:lang w:val="lt"/>
        </w:rPr>
        <w:t xml:space="preserve">Apeliaciniais skundais į LVAT kreipėsi tiek pareiškėjas, tiek atsakovas. </w:t>
      </w:r>
    </w:p>
    <w:p w14:paraId="4AFFE96E" w14:textId="0981C1FC" w:rsidR="636B6ABB" w:rsidRDefault="636B6ABB" w:rsidP="636B6ABB">
      <w:pPr>
        <w:pStyle w:val="NoSpacing"/>
        <w:ind w:firstLine="567"/>
        <w:jc w:val="both"/>
      </w:pPr>
      <w:r w:rsidRPr="636B6ABB">
        <w:rPr>
          <w:rFonts w:eastAsia="Calibri" w:cs="Calibri"/>
          <w:lang w:val="lt"/>
        </w:rPr>
        <w:t xml:space="preserve">Byloje nustatyta, kad Sprendimo projektas buvo viešinamas savivaldybės interneto svetainėje nuo jo įtraukimo į darbotvarkę, taip pat interneto svetainėje buvo viešinama visa projekto svarstymo procedūra, t. y. viešai skelbti tiek pagrindinio Ekonomikos ir finansų komiteto, tiek kitų komitetų sprendimai dėl projekto bei pateikti siūlymai. Be to, Tarybos posėdžiai transliuoti tiesiogiai, o svarstant klausimą „Dėl nekilnojamojo turto mokesčio tarifų 2022 metams nustatymo“ dar kartą buvo paviešinti konkretūs Sprendimo papildymai, kuriems pritarta komitetuose. Atsižvelgusi į šias aplinkybes bei ginčui aktualias Teisėkūros pagrindų įstatymo nuostatas, LVAT teisėjų kolegija konstatavo, jog Sprendimo projektas ir komitetų siūlymai nustatyta tvarka buvo paskelbti savivaldybės interneto svetainėje, savivaldybės gyventojai bei suinteresuoti asmenys galėjo stebėti Sprendimo projekto svarstymo eigą bei teikti siūlymus. Skundžiamo Sprendimo priėmimo procedūrą reglamentuojantys teisės aktai nenustatė reikalavimo pakoregavus pirminį projektą ir naujo skelbti „naujos redakcijos“ projektą. Nagrinėjamu atveju savivaldybės interneto svetainėje, nors ir ne viename dokumente, tačiau buvo paviešintas tiek Sprendimo projektas, tiek komitetų siūlymai. Dėl šių priežasčių LVAT pareiškėjo abejonių dėl Sprendimo atitikties Teisėkūros pagrindų įstatymo 3 straipsnio 2 dalies 4 punkto, Vietos savivaldos įstatymo 4 straipsnio 12 dalies bei 13 straipsnio 5 bei 8 dalių nuostatoms, nelaikė pagrįstomis. </w:t>
      </w:r>
    </w:p>
    <w:p w14:paraId="250C1CB7" w14:textId="54C86FBC" w:rsidR="636B6ABB" w:rsidRDefault="636B6ABB" w:rsidP="636B6ABB">
      <w:pPr>
        <w:pStyle w:val="NoSpacing"/>
        <w:ind w:firstLine="567"/>
        <w:jc w:val="both"/>
      </w:pPr>
      <w:r w:rsidRPr="636B6ABB">
        <w:rPr>
          <w:rFonts w:eastAsia="Calibri" w:cs="Calibri"/>
          <w:lang w:val="lt"/>
        </w:rPr>
        <w:t>LVAT teisėjų kolegija taip pat pažymėjo, jog Sprendimo 1.5 ir 1.6 punktuose</w:t>
      </w:r>
      <w:r w:rsidRPr="636B6ABB">
        <w:rPr>
          <w:rStyle w:val="FootnoteReference"/>
          <w:rFonts w:eastAsia="Calibri" w:cs="Calibri"/>
          <w:lang w:val="lt"/>
        </w:rPr>
        <w:footnoteReference w:id="4"/>
      </w:r>
      <w:r w:rsidRPr="636B6ABB">
        <w:rPr>
          <w:rFonts w:eastAsia="Calibri" w:cs="Calibri"/>
          <w:lang w:val="lt"/>
        </w:rPr>
        <w:t xml:space="preserve"> nustatytais atvejais mokesčio diferencijavimo kriterijumi buvo patalpų ir statinių naudojimas, pažeidžiant nustatytus teisės aktų reikalavimus, už kurių nevykdymą per mokestinį laikotarpį yra įsiteisėjęs administracinio nusižengimo nutarimas atitinkamoje administracinio nusižengimo byloje. NTMĮ 6 straipsnio 2 dalyje įtvirtinta, kad savivaldybės taryba gali nustatyti konkrečius mokesčio tarifus, kurie diferencijuojami atsižvelgiant į nekilnojamojo turto naudojimo kriterijų. Šiuo aspektu LVAT atkreipė dėmesį, kad NTMĮ nepateikia nekilnojamojo turto naudojimo apibūdinimo. Nustatydama konkrečius mokesčio tarifus Taryba pasirinko nekilnojamojo turto naudojimo pažeidžiant teisės aktų reikalavimus požymį – įsiteisėjusį nutarimą administracinio nusižengimo byloje. Tarybos pasirinktos nekilnojamojo turto mokesčio mokėjimo sąlygos yra konkrečios ir aiškios, nekilnojamojo turto naudojimas vertinamas pagal aiškų ir objektyvų kriterijų – nutarimo administracinio nusižengimo byloje įsiteisėjimą per mokestinį laikotarpį. Todėl LVAT darė išvadą, kad Sprendimo 1.5 ir 1.6 punktai neprieštaravo teisėtumo, įstatymo viršenybės ir NTMĮ 6 straipsnio 2 dalies nuostatoms.</w:t>
      </w:r>
    </w:p>
    <w:p w14:paraId="1CDB523D" w14:textId="741FBC52" w:rsidR="636B6ABB" w:rsidRDefault="636B6ABB" w:rsidP="636B6ABB">
      <w:pPr>
        <w:pStyle w:val="NoSpacing"/>
        <w:ind w:firstLine="567"/>
        <w:jc w:val="both"/>
      </w:pPr>
      <w:r w:rsidRPr="636B6ABB">
        <w:rPr>
          <w:rFonts w:eastAsia="Calibri" w:cs="Calibri"/>
          <w:lang w:val="lt"/>
        </w:rPr>
        <w:lastRenderedPageBreak/>
        <w:t xml:space="preserve"> Dėl Sprendimo 3.1 punkto</w:t>
      </w:r>
      <w:r w:rsidRPr="636B6ABB">
        <w:rPr>
          <w:rStyle w:val="FootnoteReference"/>
          <w:rFonts w:eastAsia="Calibri" w:cs="Calibri"/>
          <w:lang w:val="lt"/>
        </w:rPr>
        <w:footnoteReference w:id="5"/>
      </w:r>
      <w:r w:rsidRPr="636B6ABB">
        <w:rPr>
          <w:rFonts w:eastAsia="Calibri" w:cs="Calibri"/>
          <w:lang w:val="lt"/>
        </w:rPr>
        <w:t xml:space="preserve"> LVAT teisėjų kolegija pažymėjo, jog šia nuostata mokestinės lengvatos taikymą susiejus su turto pastatymo ir įregistravimo </w:t>
      </w:r>
      <w:r w:rsidRPr="008A606F">
        <w:rPr>
          <w:rFonts w:eastAsia="Calibri" w:cs="Calibri"/>
          <w:lang w:val="lt"/>
        </w:rPr>
        <w:t>VĮ Registrų centre data, įtvirtintas nevienodas teisinis reguliavimas tapačioje teisinėje padėtyje esantiems teisių į apmokestinamą</w:t>
      </w:r>
      <w:r w:rsidRPr="636B6ABB">
        <w:rPr>
          <w:rFonts w:eastAsia="Calibri" w:cs="Calibri"/>
          <w:lang w:val="lt"/>
        </w:rPr>
        <w:t xml:space="preserve"> objektą aspektu (turintiems negyvenamosios paskirties patalpas Vilniaus miesto savivaldybės teritorijoje), tačiau skirtingoms asmenų grupėms pagal turimo apmokestinamo nekilnojamojo turto pastatymo ir įregistravimo datą, asmenims. Šiuo aspektu LVAT nepagrįstais laikė Tarybos argumentus, susijusius su tikslu mažinti piktnaudžiavimą, vystant negyvenamosios paskirties statybos projektus, kadangi turto registracijos datos nustatymas, visų pirma, sukelia neigiamus padarinius mokesčio mokėtojams, o ne nekilnojamojo turto vystytojams, todėl siekis sumažinti riziką skatinti tolesnį piktnaudžiavimą vystant negyvenamosios paskirties statybos projektus, nėra niekuo objektyviai pateisinamas. </w:t>
      </w:r>
    </w:p>
    <w:p w14:paraId="345A447A" w14:textId="1EF822B3" w:rsidR="636B6ABB" w:rsidRDefault="636B6ABB" w:rsidP="636B6ABB">
      <w:pPr>
        <w:pStyle w:val="NoSpacing"/>
        <w:ind w:firstLine="567"/>
        <w:jc w:val="both"/>
      </w:pPr>
      <w:r w:rsidRPr="636B6ABB">
        <w:rPr>
          <w:rFonts w:eastAsia="Calibri" w:cs="Calibri"/>
          <w:lang w:val="lt"/>
        </w:rPr>
        <w:t xml:space="preserve">LVAT nesutiko ir su Tarybos argumentais, kad aptariamos lengvatos taikymo priklausymas nuo turto registravimo VĮ Registrų centre momento grindžiamas nusistovėjusia praktika, </w:t>
      </w:r>
      <w:r w:rsidRPr="636B6ABB">
        <w:rPr>
          <w:rFonts w:eastAsia="Calibri" w:cs="Calibri"/>
          <w:i/>
          <w:iCs/>
          <w:lang w:val="lt"/>
        </w:rPr>
        <w:t>de facto</w:t>
      </w:r>
      <w:r w:rsidRPr="636B6ABB">
        <w:rPr>
          <w:rFonts w:eastAsia="Calibri" w:cs="Calibri"/>
          <w:lang w:val="lt"/>
        </w:rPr>
        <w:t xml:space="preserve"> (faktiškai) taikyta Valstybinės mokesčių inspekcijos iki 2019 metų mokestinio laikotarpio pradžios. LVAT atkreipė dėmesį, jog Valstybinė mokesčių inspekcija taikė praktiką suteikti mokestinę lengvatą gyventojams, turintiems negyvenamosios paskirties patalpas ir pateikusiems visumą duomenų, pagrindžiančių, jog tos patalpos yra faktiškai gyvenamos, bei dėjusiems visas pastangas pakeisti kitos paskirties nekilnojamojo turto paskirtį į gyvenamąją. Valstybinės mokesčių inspekcijos taikyta lengvata asmenys buvo skatinami pakeisti patalpų paskirtį į gyvenamąją (asmenims iki 2019 m. gruodžio 31 d. nepakeitusiems nekilnojamojo turto paskirties į gyvenamąją, nuo 2019 metų mokestinio laikotarpio pradžios nekilnojamasis turtas būtų apmokestinimas NTMĮ nustatyta tvarka), o Tarybai mokestinės lengvatos taikymą susiejus su nekilnojamojo turto pastatymo ir įregistravimo data nekilnojamojo turto paskirties keitimas neskatinamas.</w:t>
      </w:r>
    </w:p>
    <w:p w14:paraId="4AC9959A" w14:textId="782B4462" w:rsidR="636B6ABB" w:rsidRDefault="636B6ABB" w:rsidP="636B6ABB">
      <w:pPr>
        <w:pStyle w:val="NoSpacing"/>
        <w:ind w:firstLine="567"/>
        <w:jc w:val="both"/>
      </w:pPr>
      <w:r w:rsidRPr="636B6ABB">
        <w:rPr>
          <w:rFonts w:eastAsia="Calibri" w:cs="Calibri"/>
          <w:lang w:val="lt"/>
        </w:rPr>
        <w:t xml:space="preserve">LVAT atmetė Vyriausybės atstovo apeliacinį skundą, o Tarybos apeliacinį skundą tenkino iš dalies – pakeitė pirmosios instancijos teismo sprendimą, pripažindamas, kad Sprendimo 3.1 punkto nuostata „kuris buvo pastatytas ir įregistruotas valstybės įmonėje Registrų centre iki 2019 m. birželio 1 d.“ prieštarauja Konstitucijos 29 straipsnio 1 dalyje ir Viešojo administravimo įstatymo 3 straipsnio 6 punkte įtvirtintam lygiateisiškumo principui, o kitą Vyriausybės atstovo pareiškimo dalį atmesdamas. </w:t>
      </w:r>
    </w:p>
    <w:p w14:paraId="0EF6C564" w14:textId="298319A0" w:rsidR="636B6ABB" w:rsidRDefault="636B6ABB" w:rsidP="636B6ABB">
      <w:pPr>
        <w:pStyle w:val="NoSpacing"/>
        <w:ind w:firstLine="567"/>
        <w:jc w:val="both"/>
      </w:pPr>
      <w:r w:rsidRPr="636B6ABB">
        <w:rPr>
          <w:rFonts w:eastAsia="Calibri" w:cs="Calibri"/>
          <w:lang w:val="lt"/>
        </w:rPr>
        <w:t xml:space="preserve">LVAT taip pat sprendė, jog aptariamu atveju egzistavo teisinis pagrindas atidėti teismo sprendimo oficialų paskelbimą, sprendimą Teisės aktų registre paskelbiant 2024 m. sausio 1 d. </w:t>
      </w:r>
    </w:p>
    <w:p w14:paraId="32FF855A" w14:textId="3503E12A" w:rsidR="636B6ABB" w:rsidRDefault="636B6ABB" w:rsidP="636B6ABB">
      <w:pPr>
        <w:pStyle w:val="NoSpacing"/>
        <w:ind w:firstLine="567"/>
        <w:jc w:val="both"/>
      </w:pPr>
      <w:r w:rsidRPr="636B6ABB">
        <w:rPr>
          <w:rFonts w:eastAsia="Calibri" w:cs="Calibri"/>
          <w:lang w:val="lt"/>
        </w:rPr>
        <w:t xml:space="preserve"> </w:t>
      </w:r>
    </w:p>
    <w:p w14:paraId="2AA840E5" w14:textId="6DB63648" w:rsidR="636B6ABB" w:rsidRDefault="636B6ABB" w:rsidP="636B6ABB">
      <w:pPr>
        <w:pStyle w:val="NoSpacing"/>
        <w:jc w:val="both"/>
      </w:pPr>
      <w:r w:rsidRPr="636B6ABB">
        <w:rPr>
          <w:rFonts w:eastAsia="Calibri" w:cs="Calibri"/>
          <w:lang w:val="lt"/>
        </w:rPr>
        <w:t>2023 m. lapkričio 22 d. nutartis administracinėje byloje Nr. eA-1122-821/2023</w:t>
      </w:r>
    </w:p>
    <w:p w14:paraId="6444599E" w14:textId="55C5C49E" w:rsidR="636B6ABB" w:rsidRDefault="636B6ABB" w:rsidP="636B6ABB">
      <w:pPr>
        <w:pStyle w:val="NoSpacing"/>
        <w:jc w:val="both"/>
      </w:pPr>
      <w:r w:rsidRPr="636B6ABB">
        <w:rPr>
          <w:rFonts w:eastAsia="Calibri" w:cs="Calibri"/>
          <w:lang w:val="lt"/>
        </w:rPr>
        <w:t>Teisminio proceso Nr. 3-61-3-01025-2022-7</w:t>
      </w:r>
    </w:p>
    <w:p w14:paraId="271B95A5" w14:textId="746B322B" w:rsidR="636B6ABB" w:rsidRDefault="636B6ABB" w:rsidP="636B6ABB">
      <w:pPr>
        <w:pStyle w:val="NoSpacing"/>
        <w:jc w:val="both"/>
      </w:pPr>
      <w:r w:rsidRPr="636B6ABB">
        <w:rPr>
          <w:rFonts w:eastAsia="Calibri" w:cs="Calibri"/>
          <w:lang w:val="lt"/>
        </w:rPr>
        <w:t>Procesinio sprendimo kategorija 4.2</w:t>
      </w:r>
    </w:p>
    <w:p w14:paraId="6F9CE47B" w14:textId="13789B5E" w:rsidR="636B6ABB" w:rsidRDefault="00000000" w:rsidP="636B6ABB">
      <w:pPr>
        <w:pStyle w:val="NoSpacing"/>
        <w:jc w:val="both"/>
      </w:pPr>
      <w:hyperlink r:id="rId11">
        <w:r w:rsidR="636B6ABB" w:rsidRPr="636B6ABB">
          <w:rPr>
            <w:rStyle w:val="Hyperlink"/>
            <w:rFonts w:eastAsia="Calibri" w:cs="Calibri"/>
            <w:color w:val="0563C1"/>
            <w:lang w:val="lt"/>
          </w:rPr>
          <w:t xml:space="preserve">Prieiga internete </w:t>
        </w:r>
      </w:hyperlink>
    </w:p>
    <w:p w14:paraId="0D8D7DA0" w14:textId="24A02CE8" w:rsidR="636B6ABB" w:rsidRDefault="636B6ABB" w:rsidP="636B6ABB">
      <w:pPr>
        <w:pStyle w:val="NoSpacing"/>
        <w:jc w:val="both"/>
      </w:pPr>
      <w:r w:rsidRPr="636B6ABB">
        <w:rPr>
          <w:rFonts w:eastAsia="Calibri" w:cs="Calibri"/>
          <w:lang w:val="lt"/>
        </w:rPr>
        <w:t xml:space="preserve"> </w:t>
      </w:r>
    </w:p>
    <w:p w14:paraId="537B99AA" w14:textId="42B132E9" w:rsidR="00356685" w:rsidRPr="00F56F28" w:rsidRDefault="00356685" w:rsidP="00AB718F">
      <w:pPr>
        <w:pStyle w:val="Apzvalgai1"/>
        <w:rPr>
          <w:rFonts w:asciiTheme="minorHAnsi" w:hAnsiTheme="minorHAnsi" w:cstheme="minorHAnsi"/>
        </w:rPr>
      </w:pPr>
      <w:bookmarkStart w:id="27" w:name="_Toc159340653"/>
      <w:r w:rsidRPr="00F56F28">
        <w:rPr>
          <w:rFonts w:asciiTheme="minorHAnsi" w:hAnsiTheme="minorHAnsi" w:cstheme="minorHAnsi"/>
        </w:rPr>
        <w:t>8. Užsieniečių teisinė padėtis</w:t>
      </w:r>
      <w:bookmarkEnd w:id="27"/>
    </w:p>
    <w:p w14:paraId="55CFB1D5" w14:textId="77777777" w:rsidR="00DD3DE1" w:rsidRPr="00DD3DE1" w:rsidRDefault="00DD3DE1" w:rsidP="00DD3DE1">
      <w:pPr>
        <w:ind w:firstLine="567"/>
        <w:jc w:val="both"/>
        <w:rPr>
          <w:rFonts w:asciiTheme="minorHAnsi" w:hAnsiTheme="minorHAnsi" w:cstheme="minorHAnsi"/>
          <w:b/>
          <w:bCs/>
          <w:iCs/>
          <w:color w:val="000000"/>
          <w:sz w:val="22"/>
          <w:szCs w:val="22"/>
          <w:u w:val="single"/>
        </w:rPr>
      </w:pPr>
      <w:r w:rsidRPr="00DD3DE1">
        <w:rPr>
          <w:rFonts w:asciiTheme="minorHAnsi" w:hAnsiTheme="minorHAnsi" w:cstheme="minorHAnsi"/>
          <w:b/>
          <w:bCs/>
          <w:iCs/>
          <w:color w:val="000000"/>
          <w:sz w:val="22"/>
          <w:szCs w:val="22"/>
          <w:u w:val="single"/>
        </w:rPr>
        <w:t>8.1. Užsieniečių atvykimas į Lietuvos Respubliką</w:t>
      </w:r>
    </w:p>
    <w:p w14:paraId="1BE60DBA" w14:textId="77777777" w:rsidR="00DD3DE1" w:rsidRPr="00DD3DE1" w:rsidRDefault="00DD3DE1" w:rsidP="00DD3DE1">
      <w:pPr>
        <w:ind w:firstLine="567"/>
        <w:jc w:val="both"/>
        <w:rPr>
          <w:rFonts w:asciiTheme="minorHAnsi" w:hAnsiTheme="minorHAnsi" w:cstheme="minorHAnsi"/>
          <w:b/>
          <w:bCs/>
          <w:iCs/>
          <w:color w:val="000000"/>
          <w:sz w:val="22"/>
          <w:szCs w:val="22"/>
          <w:u w:val="single"/>
        </w:rPr>
      </w:pPr>
    </w:p>
    <w:p w14:paraId="63A947C6" w14:textId="77777777" w:rsidR="00DD3DE1" w:rsidRPr="00DD3DE1" w:rsidRDefault="00DD3DE1" w:rsidP="00DD3DE1">
      <w:pPr>
        <w:jc w:val="both"/>
        <w:outlineLvl w:val="1"/>
        <w:rPr>
          <w:rFonts w:asciiTheme="minorHAnsi" w:eastAsia="Calibri" w:hAnsiTheme="minorHAnsi" w:cstheme="minorHAnsi"/>
          <w:i/>
          <w:sz w:val="22"/>
          <w:szCs w:val="22"/>
        </w:rPr>
      </w:pPr>
      <w:bookmarkStart w:id="28" w:name="_Toc159340654"/>
      <w:r w:rsidRPr="00DD3DE1">
        <w:rPr>
          <w:rFonts w:asciiTheme="minorHAnsi" w:eastAsia="Calibri" w:hAnsiTheme="minorHAnsi" w:cstheme="minorHAnsi"/>
          <w:i/>
          <w:sz w:val="22"/>
          <w:szCs w:val="22"/>
        </w:rPr>
        <w:t>Dėl pareigos motyvuoti sprendimą atsisakyti išduoti nacionalinę vizą</w:t>
      </w:r>
      <w:bookmarkEnd w:id="28"/>
    </w:p>
    <w:p w14:paraId="70336166" w14:textId="77777777" w:rsidR="00DD3DE1" w:rsidRPr="00DD3DE1" w:rsidRDefault="00DD3DE1" w:rsidP="00DD3DE1">
      <w:pPr>
        <w:jc w:val="both"/>
        <w:rPr>
          <w:rFonts w:asciiTheme="minorHAnsi" w:hAnsiTheme="minorHAnsi" w:cstheme="minorHAnsi"/>
          <w:b/>
          <w:color w:val="000000"/>
          <w:sz w:val="22"/>
          <w:szCs w:val="22"/>
        </w:rPr>
      </w:pPr>
      <w:r w:rsidRPr="00DD3DE1">
        <w:rPr>
          <w:rFonts w:asciiTheme="minorHAnsi" w:hAnsiTheme="minorHAnsi" w:cstheme="minorHAnsi"/>
          <w:i/>
          <w:color w:val="000000"/>
          <w:sz w:val="22"/>
          <w:szCs w:val="22"/>
        </w:rPr>
        <w:t xml:space="preserve"> </w:t>
      </w:r>
    </w:p>
    <w:p w14:paraId="7E2C8A86" w14:textId="20ED6B77" w:rsidR="00DD3DE1" w:rsidRPr="00DD3DE1" w:rsidRDefault="00DD3DE1" w:rsidP="00DD3DE1">
      <w:pPr>
        <w:ind w:firstLine="567"/>
        <w:jc w:val="both"/>
        <w:rPr>
          <w:rStyle w:val="normaltextrun"/>
          <w:rFonts w:asciiTheme="minorHAnsi" w:hAnsiTheme="minorHAnsi" w:cstheme="minorHAnsi"/>
          <w:color w:val="000000"/>
          <w:sz w:val="22"/>
          <w:szCs w:val="22"/>
          <w:bdr w:val="none" w:sz="0" w:space="0" w:color="auto" w:frame="1"/>
        </w:rPr>
      </w:pPr>
      <w:r w:rsidRPr="00DD3DE1">
        <w:rPr>
          <w:rStyle w:val="normaltextrun"/>
          <w:rFonts w:asciiTheme="minorHAnsi" w:hAnsiTheme="minorHAnsi" w:cstheme="minorHAnsi"/>
          <w:color w:val="000000"/>
          <w:sz w:val="22"/>
          <w:szCs w:val="22"/>
          <w:bdr w:val="none" w:sz="0" w:space="0" w:color="auto" w:frame="1"/>
        </w:rPr>
        <w:t>Nagrinėtoje byloje iš esmės buvo keliamas klausimas dėl kompetentingų institucijų pareigos motyvuoti sprendimą atsisakyti išduoti nacionalinę vizą.</w:t>
      </w:r>
    </w:p>
    <w:p w14:paraId="0DCB3C48" w14:textId="78E22DDE" w:rsidR="00DD3DE1" w:rsidRPr="00DD3DE1" w:rsidRDefault="00DD3DE1" w:rsidP="00DD3DE1">
      <w:pPr>
        <w:ind w:firstLine="567"/>
        <w:jc w:val="both"/>
        <w:rPr>
          <w:rStyle w:val="normaltextrun"/>
          <w:rFonts w:asciiTheme="minorHAnsi" w:hAnsiTheme="minorHAnsi" w:cstheme="minorHAnsi"/>
          <w:color w:val="000000"/>
          <w:sz w:val="22"/>
          <w:szCs w:val="22"/>
          <w:bdr w:val="none" w:sz="0" w:space="0" w:color="auto" w:frame="1"/>
        </w:rPr>
      </w:pPr>
      <w:r w:rsidRPr="00DD3DE1">
        <w:rPr>
          <w:rStyle w:val="normaltextrun"/>
          <w:rFonts w:asciiTheme="minorHAnsi" w:hAnsiTheme="minorHAnsi" w:cstheme="minorHAnsi"/>
          <w:color w:val="000000"/>
          <w:sz w:val="22"/>
          <w:szCs w:val="22"/>
          <w:bdr w:val="none" w:sz="0" w:space="0" w:color="auto" w:frame="1"/>
        </w:rPr>
        <w:t>Pirmosios instancijos teismas pareiškėjo skundą atmetė, nusprendęs, kad ginčytame sprendime atsisakyti išduoti nacionalinę vizą tiksliai nurodytas jo priėmimo pagrindas, taip pat aiškiai įvardyti atsisakymo išduoti nacionalinę vizą pagrindai. Pareiškėjas apeliaciniame skunde pabrėžė, kad prieš kreipdamasis į teismą iš ambasados buvo gavęs tik standartinės formos sprendimą dėl atsisakymo išduoti vizą be jokių konkrečių motyvų ir argumentų.</w:t>
      </w:r>
    </w:p>
    <w:p w14:paraId="48D44489" w14:textId="796AB5EC" w:rsidR="00DD3DE1" w:rsidRPr="00DD3DE1" w:rsidRDefault="00DD3DE1" w:rsidP="00DD3DE1">
      <w:pPr>
        <w:ind w:firstLine="567"/>
        <w:jc w:val="both"/>
        <w:rPr>
          <w:rStyle w:val="normaltextrun"/>
          <w:rFonts w:asciiTheme="minorHAnsi" w:hAnsiTheme="minorHAnsi" w:cstheme="minorHAnsi"/>
          <w:color w:val="000000"/>
          <w:sz w:val="22"/>
          <w:szCs w:val="22"/>
          <w:bdr w:val="none" w:sz="0" w:space="0" w:color="auto" w:frame="1"/>
        </w:rPr>
      </w:pPr>
      <w:r w:rsidRPr="00DD3DE1">
        <w:rPr>
          <w:rStyle w:val="normaltextrun"/>
          <w:rFonts w:asciiTheme="minorHAnsi" w:hAnsiTheme="minorHAnsi" w:cstheme="minorHAnsi"/>
          <w:color w:val="000000"/>
          <w:sz w:val="22"/>
          <w:szCs w:val="22"/>
          <w:bdr w:val="none" w:sz="0" w:space="0" w:color="auto" w:frame="1"/>
        </w:rPr>
        <w:t xml:space="preserve">Administracinę bylą nagrinėjusi </w:t>
      </w:r>
      <w:r>
        <w:rPr>
          <w:rStyle w:val="normaltextrun"/>
          <w:rFonts w:asciiTheme="minorHAnsi" w:hAnsiTheme="minorHAnsi" w:cstheme="minorHAnsi"/>
          <w:color w:val="000000"/>
          <w:sz w:val="22"/>
          <w:szCs w:val="22"/>
          <w:bdr w:val="none" w:sz="0" w:space="0" w:color="auto" w:frame="1"/>
        </w:rPr>
        <w:t xml:space="preserve">LVAT </w:t>
      </w:r>
      <w:r w:rsidRPr="00DD3DE1">
        <w:rPr>
          <w:rStyle w:val="normaltextrun"/>
          <w:rFonts w:asciiTheme="minorHAnsi" w:hAnsiTheme="minorHAnsi" w:cstheme="minorHAnsi"/>
          <w:color w:val="000000"/>
          <w:sz w:val="22"/>
          <w:szCs w:val="22"/>
          <w:bdr w:val="none" w:sz="0" w:space="0" w:color="auto" w:frame="1"/>
        </w:rPr>
        <w:t xml:space="preserve">išplėstinė teisėjų kolegija </w:t>
      </w:r>
      <w:r>
        <w:rPr>
          <w:rStyle w:val="normaltextrun"/>
          <w:rFonts w:asciiTheme="minorHAnsi" w:hAnsiTheme="minorHAnsi" w:cstheme="minorHAnsi"/>
          <w:color w:val="000000"/>
          <w:sz w:val="22"/>
          <w:szCs w:val="22"/>
          <w:bdr w:val="none" w:sz="0" w:space="0" w:color="auto" w:frame="1"/>
        </w:rPr>
        <w:t>pradėjo tyrimą</w:t>
      </w:r>
      <w:r w:rsidRPr="00DD3DE1">
        <w:rPr>
          <w:rStyle w:val="normaltextrun"/>
          <w:rFonts w:asciiTheme="minorHAnsi" w:hAnsiTheme="minorHAnsi" w:cstheme="minorHAnsi"/>
          <w:color w:val="000000"/>
          <w:sz w:val="22"/>
          <w:szCs w:val="22"/>
          <w:bdr w:val="none" w:sz="0" w:space="0" w:color="auto" w:frame="1"/>
        </w:rPr>
        <w:t xml:space="preserve"> </w:t>
      </w:r>
      <w:r w:rsidRPr="00DD3DE1">
        <w:rPr>
          <w:rFonts w:asciiTheme="minorHAnsi" w:hAnsiTheme="minorHAnsi" w:cstheme="minorHAnsi"/>
          <w:sz w:val="22"/>
          <w:szCs w:val="22"/>
        </w:rPr>
        <w:t xml:space="preserve">dėl vizos išdavimo tvarką nustatančio teisės akto nuostatų teisėtumo tiek, kiek vadovaudamasis atitinkamu reglamentavimu vizų tarnybos </w:t>
      </w:r>
      <w:r w:rsidRPr="00DD3DE1">
        <w:rPr>
          <w:rFonts w:asciiTheme="minorHAnsi" w:hAnsiTheme="minorHAnsi" w:cstheme="minorHAnsi"/>
          <w:sz w:val="22"/>
          <w:szCs w:val="22"/>
        </w:rPr>
        <w:lastRenderedPageBreak/>
        <w:t xml:space="preserve">valstybės tarnautojas, nustatęs kurį nors iš atsisakymo išduoti nacionalinę vizą pagrindų, privalo priimti administracinį sprendimą dėl atsisakymo išduoti nacionalinę vizą pagal standartizuotą formą, kurioje nenustatyta galimybė išdėstyti administracinio sprendimo faktinį pagrindą ar kitas administraciniam sprendimui įtakos turėjusias aplinkybes, taip pat administracinio sprendimo motyvus. Norminę administracinę bylą Nr. eI-5-662/2023 išnagrinėjusi LVAT išplėstinė teisėjų kolegija kvestionuotą reglamentavimą pripažino </w:t>
      </w:r>
      <w:r>
        <w:rPr>
          <w:rFonts w:asciiTheme="minorHAnsi" w:hAnsiTheme="minorHAnsi" w:cstheme="minorHAnsi"/>
          <w:sz w:val="22"/>
          <w:szCs w:val="22"/>
        </w:rPr>
        <w:t>VAĮ</w:t>
      </w:r>
      <w:r w:rsidRPr="00DD3DE1">
        <w:rPr>
          <w:rFonts w:asciiTheme="minorHAnsi" w:hAnsiTheme="minorHAnsi" w:cstheme="minorHAnsi"/>
          <w:sz w:val="22"/>
          <w:szCs w:val="22"/>
        </w:rPr>
        <w:t xml:space="preserve"> 10 straipsnio 5 dalies 5 ir 6 punktams prieštaraujančia legislatyvine omisija</w:t>
      </w:r>
      <w:r w:rsidRPr="00DD3DE1">
        <w:rPr>
          <w:rStyle w:val="normaltextrun"/>
          <w:rFonts w:asciiTheme="minorHAnsi" w:hAnsiTheme="minorHAnsi" w:cstheme="minorHAnsi"/>
          <w:color w:val="000000"/>
          <w:sz w:val="22"/>
          <w:szCs w:val="22"/>
          <w:bdr w:val="none" w:sz="0" w:space="0" w:color="auto" w:frame="1"/>
        </w:rPr>
        <w:t>.</w:t>
      </w:r>
    </w:p>
    <w:p w14:paraId="12562652" w14:textId="3F2EAA1C" w:rsidR="00DD3DE1" w:rsidRPr="00DD3DE1" w:rsidRDefault="00DD3DE1" w:rsidP="00DD3DE1">
      <w:pPr>
        <w:ind w:firstLine="567"/>
        <w:jc w:val="both"/>
        <w:rPr>
          <w:rStyle w:val="normaltextrun"/>
          <w:rFonts w:asciiTheme="minorHAnsi" w:hAnsiTheme="minorHAnsi" w:cstheme="minorHAnsi"/>
          <w:color w:val="000000"/>
          <w:sz w:val="22"/>
          <w:szCs w:val="22"/>
          <w:bdr w:val="none" w:sz="0" w:space="0" w:color="auto" w:frame="1"/>
        </w:rPr>
      </w:pPr>
      <w:r w:rsidRPr="00DD3DE1">
        <w:rPr>
          <w:rStyle w:val="normaltextrun"/>
          <w:rFonts w:asciiTheme="minorHAnsi" w:hAnsiTheme="minorHAnsi" w:cstheme="minorHAnsi"/>
          <w:color w:val="000000"/>
          <w:sz w:val="22"/>
          <w:szCs w:val="22"/>
          <w:bdr w:val="none" w:sz="0" w:space="0" w:color="auto" w:frame="1"/>
        </w:rPr>
        <w:t>Atsižvelgusi į tai, kad, pareiškėjo atžvilgiu priimtame ginčytame sprendime atsisakyti išduoti nacionalinę vizą nebuvo nurodyti tokį sprendimą lėmę argumentai ar motyvai, o tokius motyvus atskleidęs atsakovo laisva forma surašytas sprendimas pareiškėjui nebuvo pateiktas susipažinti, išplėstinė teisėjų kolegija sprendė, kad byloje ginčytas sprendimas negali būti laikomas teisėtu ir pagrįstu, todėl jis panaikintas kaip neteisėtas iš esmės.</w:t>
      </w:r>
    </w:p>
    <w:p w14:paraId="0E08D682" w14:textId="5BD6B65D" w:rsidR="00DD3DE1" w:rsidRDefault="00DD3DE1" w:rsidP="00DD3DE1">
      <w:pPr>
        <w:ind w:firstLine="567"/>
        <w:jc w:val="both"/>
        <w:rPr>
          <w:rStyle w:val="normaltextrun"/>
          <w:rFonts w:asciiTheme="minorHAnsi" w:hAnsiTheme="minorHAnsi" w:cstheme="minorHAnsi"/>
          <w:color w:val="000000"/>
          <w:sz w:val="22"/>
          <w:szCs w:val="22"/>
          <w:bdr w:val="none" w:sz="0" w:space="0" w:color="auto" w:frame="1"/>
        </w:rPr>
      </w:pPr>
      <w:r w:rsidRPr="00DD3DE1">
        <w:rPr>
          <w:rStyle w:val="normaltextrun"/>
          <w:rFonts w:asciiTheme="minorHAnsi" w:hAnsiTheme="minorHAnsi" w:cstheme="minorHAnsi"/>
          <w:color w:val="000000"/>
          <w:sz w:val="22"/>
          <w:szCs w:val="22"/>
          <w:bdr w:val="none" w:sz="0" w:space="0" w:color="auto" w:frame="1"/>
        </w:rPr>
        <w:t xml:space="preserve">Be kita ko, nagrinėdama apžvelgiamą administracinę bylą išplėstinė teisėjų kolegija pažymėjo, kad </w:t>
      </w:r>
      <w:r w:rsidRPr="00DD3DE1">
        <w:rPr>
          <w:rStyle w:val="normaltextrun"/>
          <w:rFonts w:asciiTheme="minorHAnsi" w:hAnsiTheme="minorHAnsi" w:cstheme="minorHAnsi"/>
          <w:color w:val="000000"/>
          <w:sz w:val="22"/>
          <w:szCs w:val="22"/>
          <w:u w:val="single"/>
          <w:bdr w:val="none" w:sz="0" w:space="0" w:color="auto" w:frame="1"/>
        </w:rPr>
        <w:t xml:space="preserve">kompetentingos institucijos turimos diskrecijos išduoti Šengeno vizą apimties aspektu aktuali </w:t>
      </w:r>
      <w:r w:rsidR="00864D00">
        <w:rPr>
          <w:rStyle w:val="normaltextrun"/>
          <w:rFonts w:asciiTheme="minorHAnsi" w:hAnsiTheme="minorHAnsi" w:cstheme="minorHAnsi"/>
          <w:color w:val="000000"/>
          <w:sz w:val="22"/>
          <w:szCs w:val="22"/>
          <w:u w:val="single"/>
          <w:bdr w:val="none" w:sz="0" w:space="0" w:color="auto" w:frame="1"/>
        </w:rPr>
        <w:t>ESTT</w:t>
      </w:r>
      <w:r w:rsidRPr="00DD3DE1">
        <w:rPr>
          <w:rStyle w:val="normaltextrun"/>
          <w:rFonts w:asciiTheme="minorHAnsi" w:hAnsiTheme="minorHAnsi" w:cstheme="minorHAnsi"/>
          <w:color w:val="000000"/>
          <w:sz w:val="22"/>
          <w:szCs w:val="22"/>
          <w:u w:val="single"/>
          <w:bdr w:val="none" w:sz="0" w:space="0" w:color="auto" w:frame="1"/>
        </w:rPr>
        <w:t xml:space="preserve"> praktika </w:t>
      </w:r>
      <w:r w:rsidRPr="00DD3DE1">
        <w:rPr>
          <w:rStyle w:val="normaltextrun"/>
          <w:rFonts w:asciiTheme="minorHAnsi" w:hAnsiTheme="minorHAnsi" w:cstheme="minorHAnsi"/>
          <w:i/>
          <w:iCs/>
          <w:color w:val="000000"/>
          <w:sz w:val="22"/>
          <w:szCs w:val="22"/>
          <w:u w:val="single"/>
          <w:bdr w:val="none" w:sz="0" w:space="0" w:color="auto" w:frame="1"/>
        </w:rPr>
        <w:t>mutatis mutandis</w:t>
      </w:r>
      <w:r w:rsidRPr="00DD3DE1">
        <w:rPr>
          <w:rStyle w:val="normaltextrun"/>
          <w:rFonts w:asciiTheme="minorHAnsi" w:hAnsiTheme="minorHAnsi" w:cstheme="minorHAnsi"/>
          <w:color w:val="000000"/>
          <w:sz w:val="22"/>
          <w:szCs w:val="22"/>
          <w:u w:val="single"/>
          <w:bdr w:val="none" w:sz="0" w:space="0" w:color="auto" w:frame="1"/>
        </w:rPr>
        <w:t xml:space="preserve"> </w:t>
      </w:r>
      <w:r w:rsidR="00864D00">
        <w:rPr>
          <w:rStyle w:val="normaltextrun"/>
          <w:rFonts w:asciiTheme="minorHAnsi" w:hAnsiTheme="minorHAnsi" w:cstheme="minorHAnsi"/>
          <w:color w:val="000000"/>
          <w:sz w:val="22"/>
          <w:szCs w:val="22"/>
          <w:u w:val="single"/>
          <w:bdr w:val="none" w:sz="0" w:space="0" w:color="auto" w:frame="1"/>
        </w:rPr>
        <w:t xml:space="preserve">(su atitinkamais pakeitimais) </w:t>
      </w:r>
      <w:r w:rsidRPr="00DD3DE1">
        <w:rPr>
          <w:rStyle w:val="normaltextrun"/>
          <w:rFonts w:asciiTheme="minorHAnsi" w:hAnsiTheme="minorHAnsi" w:cstheme="minorHAnsi"/>
          <w:color w:val="000000"/>
          <w:sz w:val="22"/>
          <w:szCs w:val="22"/>
          <w:u w:val="single"/>
          <w:bdr w:val="none" w:sz="0" w:space="0" w:color="auto" w:frame="1"/>
        </w:rPr>
        <w:t>taikytina, siekiant įvertinti kompetentingų institucijų sprendimo atsisakyti išduoti nacionalinę vizą teisėtumą ir pagrįstumą</w:t>
      </w:r>
      <w:r w:rsidRPr="00DD3DE1">
        <w:rPr>
          <w:rStyle w:val="normaltextrun"/>
          <w:rFonts w:asciiTheme="minorHAnsi" w:hAnsiTheme="minorHAnsi" w:cstheme="minorHAnsi"/>
          <w:color w:val="000000"/>
          <w:sz w:val="22"/>
          <w:szCs w:val="22"/>
          <w:bdr w:val="none" w:sz="0" w:space="0" w:color="auto" w:frame="1"/>
        </w:rPr>
        <w:t xml:space="preserve">. Įvertinęs nagrinėtu atveju aktualią </w:t>
      </w:r>
      <w:r w:rsidR="006424A3">
        <w:rPr>
          <w:rStyle w:val="normaltextrun"/>
          <w:rFonts w:asciiTheme="minorHAnsi" w:hAnsiTheme="minorHAnsi" w:cstheme="minorHAnsi"/>
          <w:color w:val="000000"/>
          <w:sz w:val="22"/>
          <w:szCs w:val="22"/>
          <w:bdr w:val="none" w:sz="0" w:space="0" w:color="auto" w:frame="1"/>
        </w:rPr>
        <w:t>ESTT</w:t>
      </w:r>
      <w:r w:rsidRPr="00DD3DE1">
        <w:rPr>
          <w:rStyle w:val="normaltextrun"/>
          <w:rFonts w:asciiTheme="minorHAnsi" w:hAnsiTheme="minorHAnsi" w:cstheme="minorHAnsi"/>
          <w:color w:val="000000"/>
          <w:sz w:val="22"/>
          <w:szCs w:val="22"/>
          <w:bdr w:val="none" w:sz="0" w:space="0" w:color="auto" w:frame="1"/>
        </w:rPr>
        <w:t xml:space="preserve"> praktiką, LVAT darė išvadą, kad </w:t>
      </w:r>
      <w:r w:rsidRPr="00DD3DE1">
        <w:rPr>
          <w:rStyle w:val="normaltextrun"/>
          <w:rFonts w:asciiTheme="minorHAnsi" w:hAnsiTheme="minorHAnsi" w:cstheme="minorHAnsi"/>
          <w:color w:val="000000"/>
          <w:sz w:val="22"/>
          <w:szCs w:val="22"/>
          <w:u w:val="single"/>
          <w:bdr w:val="none" w:sz="0" w:space="0" w:color="auto" w:frame="1"/>
        </w:rPr>
        <w:t xml:space="preserve">plati kompetentingų institucijų diskrecija, joms nagrinėjant prašymus išduoti Šengeno vizą, nėra </w:t>
      </w:r>
      <w:r w:rsidRPr="00DD3DE1">
        <w:rPr>
          <w:rStyle w:val="normaltextrun"/>
          <w:rFonts w:asciiTheme="minorHAnsi" w:hAnsiTheme="minorHAnsi" w:cstheme="minorHAnsi"/>
          <w:i/>
          <w:iCs/>
          <w:color w:val="000000"/>
          <w:sz w:val="22"/>
          <w:szCs w:val="22"/>
          <w:u w:val="single"/>
          <w:bdr w:val="none" w:sz="0" w:space="0" w:color="auto" w:frame="1"/>
        </w:rPr>
        <w:t>causa sui</w:t>
      </w:r>
      <w:r w:rsidRPr="00DD3DE1">
        <w:rPr>
          <w:rStyle w:val="normaltextrun"/>
          <w:rFonts w:asciiTheme="minorHAnsi" w:hAnsiTheme="minorHAnsi" w:cstheme="minorHAnsi"/>
          <w:color w:val="000000"/>
          <w:sz w:val="22"/>
          <w:szCs w:val="22"/>
          <w:u w:val="single"/>
          <w:bdr w:val="none" w:sz="0" w:space="0" w:color="auto" w:frame="1"/>
        </w:rPr>
        <w:t xml:space="preserve"> (savo paties priežastis, savaime sukelta priežastis), o yra siejama </w:t>
      </w:r>
      <w:r w:rsidRPr="00DD3DE1">
        <w:rPr>
          <w:rStyle w:val="normaltextrun"/>
          <w:rFonts w:asciiTheme="minorHAnsi" w:hAnsiTheme="minorHAnsi" w:cstheme="minorHAnsi"/>
          <w:i/>
          <w:iCs/>
          <w:color w:val="000000"/>
          <w:sz w:val="22"/>
          <w:szCs w:val="22"/>
          <w:u w:val="single"/>
          <w:bdr w:val="none" w:sz="0" w:space="0" w:color="auto" w:frame="1"/>
        </w:rPr>
        <w:t>inter alia</w:t>
      </w:r>
      <w:r w:rsidRPr="00DD3DE1">
        <w:rPr>
          <w:rStyle w:val="normaltextrun"/>
          <w:rFonts w:asciiTheme="minorHAnsi" w:hAnsiTheme="minorHAnsi" w:cstheme="minorHAnsi"/>
          <w:color w:val="000000"/>
          <w:sz w:val="22"/>
          <w:szCs w:val="22"/>
          <w:u w:val="single"/>
          <w:bdr w:val="none" w:sz="0" w:space="0" w:color="auto" w:frame="1"/>
        </w:rPr>
        <w:t xml:space="preserve"> </w:t>
      </w:r>
      <w:r w:rsidR="004456B5">
        <w:rPr>
          <w:rStyle w:val="normaltextrun"/>
          <w:rFonts w:asciiTheme="minorHAnsi" w:hAnsiTheme="minorHAnsi" w:cstheme="minorHAnsi"/>
          <w:color w:val="000000"/>
          <w:sz w:val="22"/>
          <w:szCs w:val="22"/>
          <w:u w:val="single"/>
          <w:bdr w:val="none" w:sz="0" w:space="0" w:color="auto" w:frame="1"/>
        </w:rPr>
        <w:t xml:space="preserve">(be kita ko) </w:t>
      </w:r>
      <w:r w:rsidRPr="00DD3DE1">
        <w:rPr>
          <w:rStyle w:val="normaltextrun"/>
          <w:rFonts w:asciiTheme="minorHAnsi" w:hAnsiTheme="minorHAnsi" w:cstheme="minorHAnsi"/>
          <w:color w:val="000000"/>
          <w:sz w:val="22"/>
          <w:szCs w:val="22"/>
          <w:u w:val="single"/>
          <w:bdr w:val="none" w:sz="0" w:space="0" w:color="auto" w:frame="1"/>
        </w:rPr>
        <w:t>su atitinkamai institucijai tenkančia pareiga kruopščiai išnagrinėti kiekvieno užsieniečio, pateikusio prašymą išduoti Šengeno vizą, individualią situaciją ir atliekant išsamų įvairių konkrečiai situacijai reikšmingų aplinkybių vertinimą, nustatyti, ar tuo konkrečiu atveju egzistuoja Vizų kodekse įtvirtinti atsisakymo išduoti Šengeno vizą pagrindai</w:t>
      </w:r>
      <w:r w:rsidRPr="00DD3DE1">
        <w:rPr>
          <w:rStyle w:val="normaltextrun"/>
          <w:rFonts w:asciiTheme="minorHAnsi" w:hAnsiTheme="minorHAnsi" w:cstheme="minorHAnsi"/>
          <w:color w:val="000000"/>
          <w:sz w:val="22"/>
          <w:szCs w:val="22"/>
          <w:bdr w:val="none" w:sz="0" w:space="0" w:color="auto" w:frame="1"/>
        </w:rPr>
        <w:t xml:space="preserve">. Išplėstinės teisėjų kolegijos vertinimu, </w:t>
      </w:r>
      <w:r w:rsidR="004456B5">
        <w:rPr>
          <w:rStyle w:val="normaltextrun"/>
          <w:rFonts w:asciiTheme="minorHAnsi" w:hAnsiTheme="minorHAnsi" w:cstheme="minorHAnsi"/>
          <w:color w:val="000000"/>
          <w:sz w:val="22"/>
          <w:szCs w:val="22"/>
          <w:u w:val="single"/>
          <w:bdr w:val="none" w:sz="0" w:space="0" w:color="auto" w:frame="1"/>
        </w:rPr>
        <w:t>ESTT</w:t>
      </w:r>
      <w:r w:rsidRPr="00DD3DE1">
        <w:rPr>
          <w:rStyle w:val="normaltextrun"/>
          <w:rFonts w:asciiTheme="minorHAnsi" w:hAnsiTheme="minorHAnsi" w:cstheme="minorHAnsi"/>
          <w:color w:val="000000"/>
          <w:sz w:val="22"/>
          <w:szCs w:val="22"/>
          <w:u w:val="single"/>
          <w:bdr w:val="none" w:sz="0" w:space="0" w:color="auto" w:frame="1"/>
        </w:rPr>
        <w:t xml:space="preserve"> išskyrus, kokiais kompetentingų institucijų veiklos nagrinėjamoje srityje aspektais pripažįstama plačios apimties diskrecija, nėra teisinio pagrindo teigti, kad tokia diskrecija kompetentingos institucijos naudojasi bet kuriuo atsisakymo išduoti Šengeno vizą procedūros klausimu</w:t>
      </w:r>
      <w:r w:rsidRPr="00DD3DE1">
        <w:rPr>
          <w:rStyle w:val="normaltextrun"/>
          <w:rFonts w:asciiTheme="minorHAnsi" w:hAnsiTheme="minorHAnsi" w:cstheme="minorHAnsi"/>
          <w:color w:val="000000"/>
          <w:sz w:val="22"/>
          <w:szCs w:val="22"/>
          <w:bdr w:val="none" w:sz="0" w:space="0" w:color="auto" w:frame="1"/>
        </w:rPr>
        <w:t>.</w:t>
      </w:r>
    </w:p>
    <w:p w14:paraId="571EEC32" w14:textId="0733AA66" w:rsidR="00383111" w:rsidRPr="00DD3DE1" w:rsidRDefault="00383111" w:rsidP="00DD3DE1">
      <w:pPr>
        <w:ind w:firstLine="567"/>
        <w:jc w:val="both"/>
        <w:rPr>
          <w:rStyle w:val="normaltextrun"/>
          <w:rFonts w:asciiTheme="minorHAnsi" w:hAnsiTheme="minorHAnsi" w:cstheme="minorHAnsi"/>
          <w:color w:val="000000"/>
          <w:sz w:val="22"/>
          <w:szCs w:val="22"/>
          <w:bdr w:val="none" w:sz="0" w:space="0" w:color="auto" w:frame="1"/>
        </w:rPr>
      </w:pPr>
      <w:r>
        <w:rPr>
          <w:rStyle w:val="normaltextrun"/>
          <w:rFonts w:asciiTheme="minorHAnsi" w:hAnsiTheme="minorHAnsi" w:cstheme="minorHAnsi"/>
          <w:color w:val="000000"/>
          <w:sz w:val="22"/>
          <w:szCs w:val="22"/>
          <w:bdr w:val="none" w:sz="0" w:space="0" w:color="auto" w:frame="1"/>
        </w:rPr>
        <w:t xml:space="preserve">Pareiškėjo apeliacinis skundas tenkintas, pirmosios instancijos teismo sprendimas panaikintas ir priimtas naujas sprendimas – pareiškėjo skundą tenkinti ir panaikinti </w:t>
      </w:r>
      <w:r w:rsidRPr="00383111">
        <w:rPr>
          <w:rStyle w:val="normaltextrun"/>
          <w:rFonts w:asciiTheme="minorHAnsi" w:hAnsiTheme="minorHAnsi" w:cstheme="minorHAnsi"/>
          <w:color w:val="000000"/>
          <w:sz w:val="22"/>
          <w:szCs w:val="22"/>
          <w:bdr w:val="none" w:sz="0" w:space="0" w:color="auto" w:frame="1"/>
        </w:rPr>
        <w:t>sprendimą, kuriuo buvo atsisakyta išduoti pareiškėjui nacionalinę vizą.</w:t>
      </w:r>
    </w:p>
    <w:p w14:paraId="0419EDFB" w14:textId="77777777" w:rsidR="00DD3DE1" w:rsidRPr="00DD3DE1" w:rsidRDefault="00DD3DE1" w:rsidP="00DD3DE1">
      <w:pPr>
        <w:ind w:firstLine="567"/>
        <w:jc w:val="both"/>
        <w:rPr>
          <w:rStyle w:val="normaltextrun"/>
          <w:rFonts w:asciiTheme="minorHAnsi" w:hAnsiTheme="minorHAnsi" w:cstheme="minorHAnsi"/>
          <w:color w:val="000000"/>
          <w:sz w:val="22"/>
          <w:szCs w:val="22"/>
          <w:bdr w:val="none" w:sz="0" w:space="0" w:color="auto" w:frame="1"/>
        </w:rPr>
      </w:pPr>
    </w:p>
    <w:p w14:paraId="71CB64DC" w14:textId="77CFD14A" w:rsidR="00DD3DE1" w:rsidRPr="00DD3DE1" w:rsidRDefault="007026CF" w:rsidP="00DD3DE1">
      <w:pPr>
        <w:jc w:val="both"/>
        <w:rPr>
          <w:rFonts w:asciiTheme="minorHAnsi" w:hAnsiTheme="minorHAnsi" w:cstheme="minorHAnsi"/>
          <w:color w:val="000000"/>
          <w:sz w:val="22"/>
          <w:szCs w:val="22"/>
        </w:rPr>
      </w:pPr>
      <w:r>
        <w:rPr>
          <w:rFonts w:asciiTheme="minorHAnsi" w:hAnsiTheme="minorHAnsi" w:cstheme="minorHAnsi"/>
          <w:color w:val="000000"/>
          <w:sz w:val="22"/>
          <w:szCs w:val="22"/>
        </w:rPr>
        <w:t>I</w:t>
      </w:r>
      <w:r w:rsidRPr="00DD3DE1">
        <w:rPr>
          <w:rFonts w:asciiTheme="minorHAnsi" w:hAnsiTheme="minorHAnsi" w:cstheme="minorHAnsi"/>
          <w:color w:val="000000"/>
          <w:sz w:val="22"/>
          <w:szCs w:val="22"/>
        </w:rPr>
        <w:t xml:space="preserve">šplėstinės teisėjų kolegijos </w:t>
      </w:r>
      <w:r w:rsidR="00DD3DE1" w:rsidRPr="00DD3DE1">
        <w:rPr>
          <w:rFonts w:asciiTheme="minorHAnsi" w:hAnsiTheme="minorHAnsi" w:cstheme="minorHAnsi"/>
          <w:color w:val="000000"/>
          <w:sz w:val="22"/>
          <w:szCs w:val="22"/>
        </w:rPr>
        <w:t>2023 m. lapkričio 8</w:t>
      </w:r>
      <w:r>
        <w:rPr>
          <w:rFonts w:asciiTheme="minorHAnsi" w:hAnsiTheme="minorHAnsi" w:cstheme="minorHAnsi"/>
          <w:color w:val="000000"/>
          <w:sz w:val="22"/>
          <w:szCs w:val="22"/>
        </w:rPr>
        <w:t xml:space="preserve"> d</w:t>
      </w:r>
      <w:r w:rsidR="00DD3DE1" w:rsidRPr="00DD3DE1">
        <w:rPr>
          <w:rFonts w:asciiTheme="minorHAnsi" w:hAnsiTheme="minorHAnsi" w:cstheme="minorHAnsi"/>
          <w:color w:val="000000"/>
          <w:sz w:val="22"/>
          <w:szCs w:val="22"/>
        </w:rPr>
        <w:t>. sprendimas administracinėje byloje Nr. A-1249-968/2023</w:t>
      </w:r>
    </w:p>
    <w:p w14:paraId="22E95258" w14:textId="77777777" w:rsidR="00DD3DE1" w:rsidRPr="00DD3DE1" w:rsidRDefault="00DD3DE1" w:rsidP="00DD3DE1">
      <w:pPr>
        <w:jc w:val="both"/>
        <w:rPr>
          <w:rFonts w:asciiTheme="minorHAnsi" w:hAnsiTheme="minorHAnsi" w:cstheme="minorHAnsi"/>
          <w:color w:val="000000"/>
          <w:sz w:val="22"/>
          <w:szCs w:val="22"/>
        </w:rPr>
      </w:pPr>
      <w:r w:rsidRPr="00DD3DE1">
        <w:rPr>
          <w:rFonts w:asciiTheme="minorHAnsi" w:hAnsiTheme="minorHAnsi" w:cstheme="minorHAnsi"/>
          <w:color w:val="000000"/>
          <w:sz w:val="22"/>
          <w:szCs w:val="22"/>
        </w:rPr>
        <w:t>Teisminio proceso Nr. 3-61-3-03539-2021-8</w:t>
      </w:r>
    </w:p>
    <w:p w14:paraId="6C08CEB6" w14:textId="58511753" w:rsidR="00DD3DE1" w:rsidRPr="00DD3DE1" w:rsidRDefault="00DD3DE1" w:rsidP="00DD3DE1">
      <w:pPr>
        <w:jc w:val="both"/>
        <w:rPr>
          <w:rFonts w:asciiTheme="minorHAnsi" w:hAnsiTheme="minorHAnsi" w:cstheme="minorHAnsi"/>
          <w:color w:val="000000"/>
          <w:sz w:val="22"/>
          <w:szCs w:val="22"/>
        </w:rPr>
      </w:pPr>
      <w:r w:rsidRPr="00DD3DE1">
        <w:rPr>
          <w:rFonts w:asciiTheme="minorHAnsi" w:hAnsiTheme="minorHAnsi" w:cstheme="minorHAnsi"/>
          <w:color w:val="000000"/>
          <w:sz w:val="22"/>
          <w:szCs w:val="22"/>
        </w:rPr>
        <w:t>Procesinio sprendimo kategorij</w:t>
      </w:r>
      <w:r w:rsidR="007026CF">
        <w:rPr>
          <w:rFonts w:asciiTheme="minorHAnsi" w:hAnsiTheme="minorHAnsi" w:cstheme="minorHAnsi"/>
          <w:color w:val="000000"/>
          <w:sz w:val="22"/>
          <w:szCs w:val="22"/>
        </w:rPr>
        <w:t>a</w:t>
      </w:r>
      <w:r w:rsidRPr="00DD3DE1">
        <w:rPr>
          <w:rFonts w:asciiTheme="minorHAnsi" w:hAnsiTheme="minorHAnsi" w:cstheme="minorHAnsi"/>
          <w:color w:val="000000"/>
          <w:sz w:val="22"/>
          <w:szCs w:val="22"/>
        </w:rPr>
        <w:t xml:space="preserve"> 8.1</w:t>
      </w:r>
    </w:p>
    <w:p w14:paraId="28EF06AB" w14:textId="6BA6FF28" w:rsidR="00DD3DE1" w:rsidRPr="00DD3DE1" w:rsidRDefault="00DD3DE1" w:rsidP="00DD3DE1">
      <w:pPr>
        <w:jc w:val="both"/>
        <w:rPr>
          <w:rStyle w:val="Hyperlink"/>
          <w:rFonts w:asciiTheme="minorHAnsi" w:hAnsiTheme="minorHAnsi" w:cstheme="minorHAnsi"/>
          <w:sz w:val="22"/>
          <w:szCs w:val="22"/>
        </w:rPr>
      </w:pPr>
      <w:r w:rsidRPr="00DD3DE1">
        <w:rPr>
          <w:rFonts w:asciiTheme="minorHAnsi" w:hAnsiTheme="minorHAnsi" w:cstheme="minorHAnsi"/>
          <w:sz w:val="22"/>
          <w:szCs w:val="22"/>
        </w:rPr>
        <w:fldChar w:fldCharType="begin"/>
      </w:r>
      <w:r w:rsidRPr="00DD3DE1">
        <w:rPr>
          <w:rFonts w:asciiTheme="minorHAnsi" w:hAnsiTheme="minorHAnsi" w:cstheme="minorHAnsi"/>
          <w:sz w:val="22"/>
          <w:szCs w:val="22"/>
        </w:rPr>
        <w:instrText>HYPERLINK "https://www.e-tar.lt/portal/lt/legalAct/e6dc7820856a11eea5a28c81c82193a8"</w:instrText>
      </w:r>
      <w:r w:rsidRPr="00DD3DE1">
        <w:rPr>
          <w:rFonts w:asciiTheme="minorHAnsi" w:hAnsiTheme="minorHAnsi" w:cstheme="minorHAnsi"/>
          <w:sz w:val="22"/>
          <w:szCs w:val="22"/>
        </w:rPr>
      </w:r>
      <w:r w:rsidRPr="00DD3DE1">
        <w:rPr>
          <w:rFonts w:asciiTheme="minorHAnsi" w:hAnsiTheme="minorHAnsi" w:cstheme="minorHAnsi"/>
          <w:sz w:val="22"/>
          <w:szCs w:val="22"/>
        </w:rPr>
        <w:fldChar w:fldCharType="separate"/>
      </w:r>
      <w:r w:rsidRPr="00DD3DE1">
        <w:rPr>
          <w:rStyle w:val="Hyperlink"/>
          <w:rFonts w:asciiTheme="minorHAnsi" w:hAnsiTheme="minorHAnsi" w:cstheme="minorHAnsi"/>
          <w:sz w:val="22"/>
          <w:szCs w:val="22"/>
        </w:rPr>
        <w:t>Prieiga internete</w:t>
      </w:r>
    </w:p>
    <w:p w14:paraId="13DB112E" w14:textId="74DF8CFC" w:rsidR="00DD3DE1" w:rsidRDefault="00DD3DE1" w:rsidP="00DD3DE1">
      <w:pPr>
        <w:ind w:firstLine="567"/>
        <w:jc w:val="both"/>
        <w:rPr>
          <w:rFonts w:asciiTheme="minorHAnsi" w:hAnsiTheme="minorHAnsi" w:cstheme="minorHAnsi"/>
          <w:b/>
          <w:color w:val="000000"/>
          <w:sz w:val="22"/>
          <w:szCs w:val="22"/>
          <w:u w:val="single"/>
        </w:rPr>
      </w:pPr>
      <w:r w:rsidRPr="00DD3DE1">
        <w:rPr>
          <w:rFonts w:asciiTheme="minorHAnsi" w:hAnsiTheme="minorHAnsi" w:cstheme="minorHAnsi"/>
          <w:sz w:val="22"/>
          <w:szCs w:val="22"/>
        </w:rPr>
        <w:fldChar w:fldCharType="end"/>
      </w:r>
    </w:p>
    <w:p w14:paraId="3C5AC37C" w14:textId="77777777" w:rsidR="00B65CBA" w:rsidRPr="00B65CBA" w:rsidRDefault="00B65CBA" w:rsidP="00B65CBA">
      <w:pPr>
        <w:ind w:firstLine="567"/>
        <w:jc w:val="both"/>
        <w:rPr>
          <w:rFonts w:asciiTheme="minorHAnsi" w:hAnsiTheme="minorHAnsi" w:cstheme="minorHAnsi"/>
          <w:i/>
          <w:color w:val="000000"/>
          <w:sz w:val="22"/>
          <w:szCs w:val="22"/>
          <w:u w:val="single"/>
        </w:rPr>
      </w:pPr>
      <w:r w:rsidRPr="00B65CBA">
        <w:rPr>
          <w:rFonts w:asciiTheme="minorHAnsi" w:hAnsiTheme="minorHAnsi" w:cstheme="minorHAnsi"/>
          <w:b/>
          <w:bCs/>
          <w:iCs/>
          <w:color w:val="000000"/>
          <w:sz w:val="22"/>
          <w:szCs w:val="22"/>
          <w:u w:val="single"/>
        </w:rPr>
        <w:t>8.3. Trečiųjų šalių piliečių ir jų šeimos narių teisė apsigyventi Lietuvoje</w:t>
      </w:r>
    </w:p>
    <w:p w14:paraId="010A3209" w14:textId="77777777" w:rsidR="00B65CBA" w:rsidRPr="00B65CBA" w:rsidRDefault="00B65CBA" w:rsidP="00B65CBA">
      <w:pPr>
        <w:ind w:firstLine="1134"/>
        <w:jc w:val="both"/>
        <w:rPr>
          <w:rFonts w:asciiTheme="minorHAnsi" w:hAnsiTheme="minorHAnsi" w:cstheme="minorHAnsi"/>
          <w:b/>
          <w:bCs/>
          <w:iCs/>
          <w:color w:val="000000"/>
          <w:sz w:val="22"/>
          <w:szCs w:val="22"/>
          <w:u w:val="single"/>
        </w:rPr>
      </w:pPr>
      <w:r w:rsidRPr="00B65CBA">
        <w:rPr>
          <w:rFonts w:asciiTheme="minorHAnsi" w:hAnsiTheme="minorHAnsi" w:cstheme="minorHAnsi"/>
          <w:b/>
          <w:bCs/>
          <w:iCs/>
          <w:color w:val="000000"/>
          <w:sz w:val="22"/>
          <w:szCs w:val="22"/>
          <w:u w:val="single"/>
        </w:rPr>
        <w:t>8.3.1. Trečiųjų šalių piliečių ir jų šeimos narių teisė laikinai gyventi Lietuvoje</w:t>
      </w:r>
    </w:p>
    <w:p w14:paraId="7F2E2968" w14:textId="77777777" w:rsidR="00B65CBA" w:rsidRPr="00B65CBA" w:rsidRDefault="00B65CBA" w:rsidP="00B65CBA">
      <w:pPr>
        <w:ind w:firstLine="567"/>
        <w:jc w:val="both"/>
        <w:rPr>
          <w:rFonts w:asciiTheme="minorHAnsi" w:hAnsiTheme="minorHAnsi" w:cstheme="minorHAnsi"/>
          <w:b/>
          <w:bCs/>
          <w:iCs/>
          <w:color w:val="000000"/>
          <w:sz w:val="22"/>
          <w:szCs w:val="22"/>
          <w:u w:val="single"/>
        </w:rPr>
      </w:pPr>
    </w:p>
    <w:p w14:paraId="28F76615" w14:textId="7586F1BD" w:rsidR="00B65CBA" w:rsidRPr="00B65CBA" w:rsidRDefault="00B65CBA" w:rsidP="00B65CBA">
      <w:pPr>
        <w:jc w:val="both"/>
        <w:outlineLvl w:val="1"/>
        <w:rPr>
          <w:rFonts w:asciiTheme="minorHAnsi" w:eastAsia="Calibri" w:hAnsiTheme="minorHAnsi" w:cstheme="minorHAnsi"/>
          <w:i/>
          <w:sz w:val="22"/>
          <w:szCs w:val="22"/>
        </w:rPr>
      </w:pPr>
      <w:bookmarkStart w:id="29" w:name="_Toc159340655"/>
      <w:r w:rsidRPr="00B65CBA">
        <w:rPr>
          <w:rFonts w:asciiTheme="minorHAnsi" w:eastAsia="Calibri" w:hAnsiTheme="minorHAnsi" w:cstheme="minorHAnsi"/>
          <w:i/>
          <w:sz w:val="22"/>
          <w:szCs w:val="22"/>
        </w:rPr>
        <w:t>Dėl</w:t>
      </w:r>
      <w:r w:rsidR="008A606F">
        <w:rPr>
          <w:rFonts w:asciiTheme="minorHAnsi" w:eastAsia="Calibri" w:hAnsiTheme="minorHAnsi" w:cstheme="minorHAnsi"/>
          <w:i/>
          <w:sz w:val="22"/>
          <w:szCs w:val="22"/>
        </w:rPr>
        <w:t xml:space="preserve"> Migracijos departamentui tenkančios</w:t>
      </w:r>
      <w:r w:rsidRPr="00B65CBA">
        <w:rPr>
          <w:rFonts w:asciiTheme="minorHAnsi" w:eastAsia="Calibri" w:hAnsiTheme="minorHAnsi" w:cstheme="minorHAnsi"/>
          <w:i/>
          <w:sz w:val="22"/>
          <w:szCs w:val="22"/>
        </w:rPr>
        <w:t xml:space="preserve"> pareigos motyvuoti sprendimą uždrausti užsieniečiui atvykti ilgesniam laikotarpiui, nei yra pasiūl</w:t>
      </w:r>
      <w:r w:rsidR="008A606F">
        <w:rPr>
          <w:rFonts w:asciiTheme="minorHAnsi" w:eastAsia="Calibri" w:hAnsiTheme="minorHAnsi" w:cstheme="minorHAnsi"/>
          <w:i/>
          <w:sz w:val="22"/>
          <w:szCs w:val="22"/>
        </w:rPr>
        <w:t>ęs Valstybės saugumo departamentas</w:t>
      </w:r>
      <w:bookmarkEnd w:id="29"/>
    </w:p>
    <w:p w14:paraId="3613F6D7" w14:textId="77777777" w:rsidR="00B65CBA" w:rsidRPr="00B65CBA" w:rsidRDefault="00B65CBA" w:rsidP="00B65CBA">
      <w:pPr>
        <w:jc w:val="both"/>
        <w:outlineLvl w:val="1"/>
        <w:rPr>
          <w:rFonts w:asciiTheme="minorHAnsi" w:eastAsia="Calibri" w:hAnsiTheme="minorHAnsi" w:cstheme="minorHAnsi"/>
          <w:i/>
          <w:sz w:val="22"/>
          <w:szCs w:val="22"/>
        </w:rPr>
      </w:pPr>
      <w:bookmarkStart w:id="30" w:name="_Toc159340656"/>
      <w:r w:rsidRPr="00B65CBA">
        <w:rPr>
          <w:rFonts w:asciiTheme="minorHAnsi" w:eastAsia="Calibri" w:hAnsiTheme="minorHAnsi" w:cstheme="minorHAnsi"/>
          <w:i/>
          <w:sz w:val="22"/>
          <w:szCs w:val="22"/>
        </w:rPr>
        <w:t>Dėl pareigos motyvuoti sprendimą įtraukti į Šengeno informacinę sistemą perspėjimą apie draudimą užsieniečiui atvykti ir apsigyventi</w:t>
      </w:r>
      <w:bookmarkEnd w:id="30"/>
    </w:p>
    <w:p w14:paraId="36F16D53" w14:textId="77777777" w:rsidR="00B65CBA" w:rsidRPr="00B65CBA" w:rsidRDefault="00B65CBA" w:rsidP="00B65CBA">
      <w:pPr>
        <w:jc w:val="both"/>
        <w:rPr>
          <w:rFonts w:asciiTheme="minorHAnsi" w:hAnsiTheme="minorHAnsi" w:cstheme="minorHAnsi"/>
          <w:b/>
          <w:color w:val="000000"/>
          <w:sz w:val="22"/>
          <w:szCs w:val="22"/>
        </w:rPr>
      </w:pPr>
      <w:r w:rsidRPr="00B65CBA">
        <w:rPr>
          <w:rFonts w:asciiTheme="minorHAnsi" w:hAnsiTheme="minorHAnsi" w:cstheme="minorHAnsi"/>
          <w:i/>
          <w:color w:val="000000"/>
          <w:sz w:val="22"/>
          <w:szCs w:val="22"/>
        </w:rPr>
        <w:t xml:space="preserve"> </w:t>
      </w:r>
    </w:p>
    <w:p w14:paraId="66FBCD1C" w14:textId="0770C34B" w:rsidR="00B65CBA" w:rsidRPr="00B65CBA" w:rsidRDefault="00B65CBA" w:rsidP="00B65CBA">
      <w:pPr>
        <w:ind w:firstLine="567"/>
        <w:jc w:val="both"/>
        <w:rPr>
          <w:rFonts w:asciiTheme="minorHAnsi" w:hAnsiTheme="minorHAnsi" w:cstheme="minorHAnsi"/>
          <w:sz w:val="22"/>
          <w:szCs w:val="22"/>
        </w:rPr>
      </w:pPr>
      <w:r w:rsidRPr="00B65CBA">
        <w:rPr>
          <w:rStyle w:val="normaltextrun"/>
          <w:rFonts w:asciiTheme="minorHAnsi" w:hAnsiTheme="minorHAnsi" w:cstheme="minorHAnsi"/>
          <w:color w:val="000000"/>
          <w:sz w:val="22"/>
          <w:szCs w:val="22"/>
          <w:bdr w:val="none" w:sz="0" w:space="0" w:color="auto" w:frame="1"/>
        </w:rPr>
        <w:t>Apžvelgiamoje byloje nagrinėtas ginčas dėl Migracijos departamento prie Lietuvos Respublikos vidaus reikalų ministerijos (toliau – Departamentas, atsakovas) sprendimo (toliau – Sprendimas), kuriuo pareiškėjas išsiųstas iš Lietuvos Respublikos, jam uždrausta atvykti į Lietuvos Respubliką nuo sprendimo priėmimo 120</w:t>
      </w:r>
      <w:r w:rsidR="00297F16">
        <w:rPr>
          <w:rStyle w:val="normaltextrun"/>
          <w:rFonts w:asciiTheme="minorHAnsi" w:hAnsiTheme="minorHAnsi" w:cstheme="minorHAnsi"/>
          <w:color w:val="000000"/>
          <w:sz w:val="22"/>
          <w:szCs w:val="22"/>
          <w:bdr w:val="none" w:sz="0" w:space="0" w:color="auto" w:frame="1"/>
        </w:rPr>
        <w:t> </w:t>
      </w:r>
      <w:r w:rsidRPr="00B65CBA">
        <w:rPr>
          <w:rStyle w:val="normaltextrun"/>
          <w:rFonts w:asciiTheme="minorHAnsi" w:hAnsiTheme="minorHAnsi" w:cstheme="minorHAnsi"/>
          <w:color w:val="000000"/>
          <w:sz w:val="22"/>
          <w:szCs w:val="22"/>
          <w:bdr w:val="none" w:sz="0" w:space="0" w:color="auto" w:frame="1"/>
        </w:rPr>
        <w:t>mėnesių (10 metų), į Šengeno informacinę sistemą įtrauktas perspėjimas dėl draudimo atvykti ir apsigyventi nuo sprendimo priėmimo dienos 36 mėnesius (3 metus).</w:t>
      </w:r>
    </w:p>
    <w:p w14:paraId="64F8A1B5" w14:textId="0B0F0143" w:rsidR="00B65CBA" w:rsidRPr="00B65CBA" w:rsidRDefault="00B65CBA" w:rsidP="00B65CBA">
      <w:pPr>
        <w:ind w:firstLine="567"/>
        <w:jc w:val="both"/>
        <w:rPr>
          <w:rFonts w:asciiTheme="minorHAnsi" w:hAnsiTheme="minorHAnsi" w:cstheme="minorHAnsi"/>
          <w:sz w:val="22"/>
          <w:szCs w:val="22"/>
        </w:rPr>
      </w:pPr>
      <w:r w:rsidRPr="00B65CBA">
        <w:rPr>
          <w:rFonts w:asciiTheme="minorHAnsi" w:hAnsiTheme="minorHAnsi" w:cstheme="minorHAnsi"/>
          <w:sz w:val="22"/>
          <w:szCs w:val="22"/>
        </w:rPr>
        <w:t>Dėl draudimo atvykti laikotarpio pirmosios instancijos teismas sprendė, kad nustatytų faktinių aplinkybių pakanka konstatuoti pareiškėjo keliamą grėsmę valstybės saugumui, todėl pagrįstu laikė nustatytą 10 metų draudimo atvykti į Lietuvos Respubliką laikotarpį.</w:t>
      </w:r>
    </w:p>
    <w:p w14:paraId="3160843B" w14:textId="36BDC0BF" w:rsidR="00B65CBA" w:rsidRPr="00B65CBA" w:rsidRDefault="00B65CBA" w:rsidP="00B65CBA">
      <w:pPr>
        <w:ind w:firstLine="567"/>
        <w:jc w:val="both"/>
        <w:rPr>
          <w:rStyle w:val="normaltextrun"/>
          <w:rFonts w:asciiTheme="minorHAnsi" w:hAnsiTheme="minorHAnsi" w:cstheme="minorHAnsi"/>
          <w:color w:val="000000"/>
          <w:sz w:val="22"/>
          <w:szCs w:val="22"/>
          <w:bdr w:val="none" w:sz="0" w:space="0" w:color="auto" w:frame="1"/>
        </w:rPr>
      </w:pPr>
      <w:r w:rsidRPr="636B6ABB">
        <w:rPr>
          <w:rStyle w:val="normaltextrun"/>
          <w:rFonts w:asciiTheme="minorHAnsi" w:hAnsiTheme="minorHAnsi" w:cstheme="minorBidi"/>
          <w:color w:val="000000"/>
          <w:sz w:val="22"/>
          <w:szCs w:val="22"/>
          <w:bdr w:val="none" w:sz="0" w:space="0" w:color="auto" w:frame="1"/>
        </w:rPr>
        <w:t xml:space="preserve">LVAT atkreipė dėmesį, kad </w:t>
      </w:r>
      <w:r w:rsidR="00036672" w:rsidRPr="636B6ABB">
        <w:rPr>
          <w:rStyle w:val="normaltextrun"/>
          <w:rFonts w:asciiTheme="minorHAnsi" w:hAnsiTheme="minorHAnsi" w:cstheme="minorBidi"/>
          <w:color w:val="000000"/>
          <w:sz w:val="22"/>
          <w:szCs w:val="22"/>
          <w:bdr w:val="none" w:sz="0" w:space="0" w:color="auto" w:frame="1"/>
        </w:rPr>
        <w:t xml:space="preserve">Valstybės saugumo departamento (toliau – </w:t>
      </w:r>
      <w:r w:rsidRPr="636B6ABB">
        <w:rPr>
          <w:rStyle w:val="normaltextrun"/>
          <w:rFonts w:asciiTheme="minorHAnsi" w:hAnsiTheme="minorHAnsi" w:cstheme="minorBidi"/>
          <w:color w:val="000000"/>
          <w:sz w:val="22"/>
          <w:szCs w:val="22"/>
          <w:bdr w:val="none" w:sz="0" w:space="0" w:color="auto" w:frame="1"/>
        </w:rPr>
        <w:t>VSD</w:t>
      </w:r>
      <w:r w:rsidR="00036672" w:rsidRPr="636B6ABB">
        <w:rPr>
          <w:rStyle w:val="normaltextrun"/>
          <w:rFonts w:asciiTheme="minorHAnsi" w:hAnsiTheme="minorHAnsi" w:cstheme="minorBidi"/>
          <w:color w:val="000000"/>
          <w:sz w:val="22"/>
          <w:szCs w:val="22"/>
          <w:bdr w:val="none" w:sz="0" w:space="0" w:color="auto" w:frame="1"/>
        </w:rPr>
        <w:t>)</w:t>
      </w:r>
      <w:r w:rsidRPr="636B6ABB">
        <w:rPr>
          <w:rStyle w:val="normaltextrun"/>
          <w:rFonts w:asciiTheme="minorHAnsi" w:hAnsiTheme="minorHAnsi" w:cstheme="minorBidi"/>
          <w:color w:val="000000"/>
          <w:sz w:val="22"/>
          <w:szCs w:val="22"/>
          <w:bdr w:val="none" w:sz="0" w:space="0" w:color="auto" w:frame="1"/>
        </w:rPr>
        <w:t xml:space="preserve"> teiktame rašte prašyta pareiškėjui panaikinti leidimą laikinai gyventi ir išsiųsti jį iš šalies, taip pat uždrausti jam atvykti į Lietuvos Respubliką 5 metus ir įvesti į SIS II sistemą perspėjimą dėl draudimo atvykti ir apsigyventi 5 metus. Todėl nusprendęs pareiškėjui uždrausti atvykti ir apsigyventi ilgesnį laikotarpį, nei nurodytas minėtame VSD rašte, Departamentas, anot LVAT, turėjo aiškiai motyvuoti, kodėl nukrypo nuo kompetentingos valstybės institucijos siūlomo draudimo atvykti laikotarpio, kodėl būtent 10 metų laikotarpis nagrinėtu atveju buvo protinga ir </w:t>
      </w:r>
      <w:r w:rsidRPr="636B6ABB">
        <w:rPr>
          <w:rStyle w:val="normaltextrun"/>
          <w:rFonts w:asciiTheme="minorHAnsi" w:hAnsiTheme="minorHAnsi" w:cstheme="minorBidi"/>
          <w:color w:val="000000"/>
          <w:sz w:val="22"/>
          <w:szCs w:val="22"/>
          <w:bdr w:val="none" w:sz="0" w:space="0" w:color="auto" w:frame="1"/>
        </w:rPr>
        <w:lastRenderedPageBreak/>
        <w:t>proporcinga priemonė. Pastebėta, kad Sprendime tokie motyvai nenurodyti, o</w:t>
      </w:r>
      <w:r w:rsidR="00283F3D" w:rsidRPr="636B6ABB">
        <w:rPr>
          <w:rStyle w:val="normaltextrun"/>
          <w:rFonts w:asciiTheme="minorHAnsi" w:hAnsiTheme="minorHAnsi" w:cstheme="minorBidi"/>
          <w:color w:val="000000"/>
          <w:sz w:val="22"/>
          <w:szCs w:val="22"/>
          <w:bdr w:val="none" w:sz="0" w:space="0" w:color="auto" w:frame="1"/>
        </w:rPr>
        <w:t xml:space="preserve"> </w:t>
      </w:r>
      <w:r w:rsidRPr="636B6ABB">
        <w:rPr>
          <w:rStyle w:val="normaltextrun"/>
          <w:rFonts w:asciiTheme="minorHAnsi" w:hAnsiTheme="minorHAnsi" w:cstheme="minorBidi"/>
          <w:color w:val="000000"/>
          <w:sz w:val="22"/>
          <w:szCs w:val="22"/>
          <w:bdr w:val="none" w:sz="0" w:space="0" w:color="auto" w:frame="1"/>
        </w:rPr>
        <w:t>pateikta nuoroda į Kriterijų vertinimo tvarkos</w:t>
      </w:r>
      <w:r w:rsidRPr="636B6ABB">
        <w:rPr>
          <w:rStyle w:val="FootnoteReference"/>
          <w:rFonts w:asciiTheme="minorHAnsi" w:hAnsiTheme="minorHAnsi" w:cstheme="minorBidi"/>
          <w:color w:val="000000"/>
          <w:sz w:val="22"/>
          <w:szCs w:val="22"/>
          <w:bdr w:val="none" w:sz="0" w:space="0" w:color="auto" w:frame="1"/>
        </w:rPr>
        <w:footnoteReference w:id="6"/>
      </w:r>
      <w:r w:rsidRPr="636B6ABB">
        <w:rPr>
          <w:rStyle w:val="normaltextrun"/>
          <w:rFonts w:asciiTheme="minorHAnsi" w:hAnsiTheme="minorHAnsi" w:cstheme="minorBidi"/>
          <w:color w:val="000000"/>
          <w:sz w:val="22"/>
          <w:szCs w:val="22"/>
          <w:bdr w:val="none" w:sz="0" w:space="0" w:color="auto" w:frame="1"/>
        </w:rPr>
        <w:t xml:space="preserve"> 38.3 papunktį, LVAT vertinimu, nėra pakankamas pagrindas pripažinti 10 metų draudimo atvykti į Lietuvos Respubliką laikotarpį pagrįstu.</w:t>
      </w:r>
    </w:p>
    <w:p w14:paraId="5EBD9F5A" w14:textId="32731DAD" w:rsidR="00B65CBA" w:rsidRPr="00B65CBA" w:rsidRDefault="00B65CBA" w:rsidP="00B65CBA">
      <w:pPr>
        <w:ind w:firstLine="567"/>
        <w:jc w:val="both"/>
        <w:rPr>
          <w:rStyle w:val="normaltextrun"/>
          <w:rFonts w:asciiTheme="minorHAnsi" w:hAnsiTheme="minorHAnsi" w:cstheme="minorHAnsi"/>
          <w:color w:val="000000"/>
          <w:sz w:val="22"/>
          <w:szCs w:val="22"/>
          <w:bdr w:val="none" w:sz="0" w:space="0" w:color="auto" w:frame="1"/>
        </w:rPr>
      </w:pPr>
      <w:r w:rsidRPr="636B6ABB">
        <w:rPr>
          <w:rStyle w:val="normaltextrun"/>
          <w:rFonts w:asciiTheme="minorHAnsi" w:hAnsiTheme="minorHAnsi" w:cstheme="minorBidi"/>
          <w:color w:val="000000"/>
          <w:sz w:val="22"/>
          <w:szCs w:val="22"/>
          <w:bdr w:val="none" w:sz="0" w:space="0" w:color="auto" w:frame="1"/>
        </w:rPr>
        <w:t>Dėl perspėjimo į SIS II sistemą įvedimo LVAT atkreipė dėmesį, kad priimdamas ginčytą Sprendimą atsakovas grindė jį pareiškėjo keliama grėsme valstybės saugumui, tačiau nurodydamas teisinį pagrindą rėmėsi SIS II reglamento</w:t>
      </w:r>
      <w:r w:rsidRPr="636B6ABB">
        <w:rPr>
          <w:rStyle w:val="FootnoteReference"/>
          <w:rFonts w:asciiTheme="minorHAnsi" w:hAnsiTheme="minorHAnsi" w:cstheme="minorBidi"/>
          <w:color w:val="000000"/>
          <w:sz w:val="22"/>
          <w:szCs w:val="22"/>
          <w:bdr w:val="none" w:sz="0" w:space="0" w:color="auto" w:frame="1"/>
        </w:rPr>
        <w:footnoteReference w:id="7"/>
      </w:r>
      <w:r w:rsidRPr="636B6ABB">
        <w:rPr>
          <w:rStyle w:val="normaltextrun"/>
          <w:rFonts w:asciiTheme="minorHAnsi" w:hAnsiTheme="minorHAnsi" w:cstheme="minorBidi"/>
          <w:color w:val="000000"/>
          <w:sz w:val="22"/>
          <w:szCs w:val="22"/>
          <w:bdr w:val="none" w:sz="0" w:space="0" w:color="auto" w:frame="1"/>
        </w:rPr>
        <w:t xml:space="preserve"> 24 straipsnio 3 dalimi. Pastaroji norma įtvirtina, kad perspėjimas taip pat gali būti įvestas, kai asmens atžvilgiu priimtas sprendimas grindžiamas tuo, </w:t>
      </w:r>
      <w:r w:rsidR="0001254F" w:rsidRPr="636B6ABB">
        <w:rPr>
          <w:rStyle w:val="normaltextrun"/>
          <w:rFonts w:asciiTheme="minorHAnsi" w:hAnsiTheme="minorHAnsi" w:cstheme="minorBidi"/>
          <w:color w:val="000000"/>
          <w:sz w:val="22"/>
          <w:szCs w:val="22"/>
          <w:bdr w:val="none" w:sz="0" w:space="0" w:color="auto" w:frame="1"/>
        </w:rPr>
        <w:t>jog</w:t>
      </w:r>
      <w:r w:rsidRPr="636B6ABB">
        <w:rPr>
          <w:rStyle w:val="normaltextrun"/>
          <w:rFonts w:asciiTheme="minorHAnsi" w:hAnsiTheme="minorHAnsi" w:cstheme="minorBidi"/>
          <w:color w:val="000000"/>
          <w:sz w:val="22"/>
          <w:szCs w:val="22"/>
          <w:bdr w:val="none" w:sz="0" w:space="0" w:color="auto" w:frame="1"/>
        </w:rPr>
        <w:t xml:space="preserve"> trečiosios šalies piliečiui buvo taikyta tokia priemonė kaip išsiuntimas ar atsisakymas leisti atvykti, kuri nebuvo atšaukta ar sustabdyta ir apima arba taikoma kartu su neįleidimu atvykus, o atitinkamais atvejais – draudimu apsigyventi – remiantis tuo, kad buvo nesilaikoma nacionalinių teisės aktų, reglamentuojančių trečiųjų šalių piliečių atvykimą ar apsigyvenimą. Šiuo aspektu LVAT pažymėjo, kad Sprendime nenurodytos faktinės aplinkybės, sudarančios pagrindą nagrinėtu atveju taikyti SIS II reglamento 24 straipsnio 3 dalį, t. y. Sprendime nepagrindžiama, kad pareiškėjui buvo taikyta pastarojoje normoje nurodyta priemonė.</w:t>
      </w:r>
    </w:p>
    <w:p w14:paraId="2B972A52" w14:textId="2267FD97" w:rsidR="00B65CBA" w:rsidRPr="00B65CBA" w:rsidRDefault="00B65CBA" w:rsidP="00B65CBA">
      <w:pPr>
        <w:ind w:firstLine="567"/>
        <w:jc w:val="both"/>
        <w:rPr>
          <w:rStyle w:val="normaltextrun"/>
          <w:rFonts w:asciiTheme="minorHAnsi" w:hAnsiTheme="minorHAnsi" w:cstheme="minorHAnsi"/>
          <w:color w:val="000000"/>
          <w:sz w:val="22"/>
          <w:szCs w:val="22"/>
          <w:bdr w:val="none" w:sz="0" w:space="0" w:color="auto" w:frame="1"/>
        </w:rPr>
      </w:pPr>
      <w:r w:rsidRPr="00B65CBA">
        <w:rPr>
          <w:rStyle w:val="normaltextrun"/>
          <w:rFonts w:asciiTheme="minorHAnsi" w:hAnsiTheme="minorHAnsi" w:cstheme="minorHAnsi"/>
          <w:color w:val="000000"/>
          <w:sz w:val="22"/>
          <w:szCs w:val="22"/>
          <w:bdr w:val="none" w:sz="0" w:space="0" w:color="auto" w:frame="1"/>
        </w:rPr>
        <w:t>Apeliacinis skundas patenkintas iš dalies, pirmosios instancijos teismo sprendimas pakeistas, pareiškėjo skundas patenkintas iš dalies, Departamento Sprendimo dalis, kuria pareiškėjui nustatytas draudimo atvykti į Lietuvos Respubliką laikotarpis, pakeistas, uždraudžiant pareiškėjui atvykti į Lietuvos Respubliką nuo sprendimo priėmimo 60 mėnesių (5 metus), Departamento Sprendimo dalis, kuria į Šengeno informacinę sistemą pareiškėjui įtrauktas perspėjimas dėl draudimo atvykti ir apsigyventi nuo sprendimo priėmimo dienos 36</w:t>
      </w:r>
      <w:r w:rsidR="005F5083">
        <w:rPr>
          <w:rStyle w:val="normaltextrun"/>
          <w:rFonts w:asciiTheme="minorHAnsi" w:hAnsiTheme="minorHAnsi" w:cstheme="minorHAnsi"/>
          <w:color w:val="000000"/>
          <w:sz w:val="22"/>
          <w:szCs w:val="22"/>
          <w:bdr w:val="none" w:sz="0" w:space="0" w:color="auto" w:frame="1"/>
        </w:rPr>
        <w:t> </w:t>
      </w:r>
      <w:r w:rsidRPr="00B65CBA">
        <w:rPr>
          <w:rStyle w:val="normaltextrun"/>
          <w:rFonts w:asciiTheme="minorHAnsi" w:hAnsiTheme="minorHAnsi" w:cstheme="minorHAnsi"/>
          <w:color w:val="000000"/>
          <w:sz w:val="22"/>
          <w:szCs w:val="22"/>
          <w:bdr w:val="none" w:sz="0" w:space="0" w:color="auto" w:frame="1"/>
        </w:rPr>
        <w:t>mėnesius (3 metus), panaikintas.</w:t>
      </w:r>
    </w:p>
    <w:p w14:paraId="613F5178" w14:textId="77777777" w:rsidR="00B65CBA" w:rsidRPr="00B65CBA" w:rsidRDefault="00B65CBA" w:rsidP="00B65CBA">
      <w:pPr>
        <w:ind w:firstLine="567"/>
        <w:jc w:val="both"/>
        <w:rPr>
          <w:rStyle w:val="normaltextrun"/>
          <w:rFonts w:asciiTheme="minorHAnsi" w:hAnsiTheme="minorHAnsi" w:cstheme="minorHAnsi"/>
          <w:color w:val="000000"/>
          <w:sz w:val="22"/>
          <w:szCs w:val="22"/>
          <w:bdr w:val="none" w:sz="0" w:space="0" w:color="auto" w:frame="1"/>
        </w:rPr>
      </w:pPr>
    </w:p>
    <w:p w14:paraId="552565F3" w14:textId="77777777" w:rsidR="00B65CBA" w:rsidRPr="00B65CBA" w:rsidRDefault="00B65CBA" w:rsidP="00B65CBA">
      <w:pPr>
        <w:jc w:val="both"/>
        <w:rPr>
          <w:rFonts w:asciiTheme="minorHAnsi" w:hAnsiTheme="minorHAnsi" w:cstheme="minorHAnsi"/>
          <w:color w:val="000000"/>
          <w:sz w:val="22"/>
          <w:szCs w:val="22"/>
        </w:rPr>
      </w:pPr>
      <w:r w:rsidRPr="00B65CBA">
        <w:rPr>
          <w:rFonts w:asciiTheme="minorHAnsi" w:hAnsiTheme="minorHAnsi" w:cstheme="minorHAnsi"/>
          <w:color w:val="000000"/>
          <w:sz w:val="22"/>
          <w:szCs w:val="22"/>
        </w:rPr>
        <w:t>2023 m. lapkričio 29 d. nutartis administracinėje byloje Nr. eA-2433-442/2023</w:t>
      </w:r>
    </w:p>
    <w:p w14:paraId="16C4F0B3" w14:textId="77777777" w:rsidR="00B65CBA" w:rsidRPr="00B65CBA" w:rsidRDefault="00B65CBA" w:rsidP="00B65CBA">
      <w:pPr>
        <w:jc w:val="both"/>
        <w:rPr>
          <w:rFonts w:asciiTheme="minorHAnsi" w:hAnsiTheme="minorHAnsi" w:cstheme="minorHAnsi"/>
          <w:color w:val="000000"/>
          <w:sz w:val="22"/>
          <w:szCs w:val="22"/>
        </w:rPr>
      </w:pPr>
      <w:r w:rsidRPr="00B65CBA">
        <w:rPr>
          <w:rFonts w:asciiTheme="minorHAnsi" w:hAnsiTheme="minorHAnsi" w:cstheme="minorHAnsi"/>
          <w:color w:val="000000"/>
          <w:sz w:val="22"/>
          <w:szCs w:val="22"/>
        </w:rPr>
        <w:t>Teisminio proceso Nr. 3-61-3-00731-2023-1</w:t>
      </w:r>
    </w:p>
    <w:p w14:paraId="1C52B934" w14:textId="07E15D9F" w:rsidR="00B65CBA" w:rsidRPr="00B65CBA" w:rsidRDefault="00B65CBA" w:rsidP="00B65CBA">
      <w:pPr>
        <w:jc w:val="both"/>
        <w:rPr>
          <w:rFonts w:asciiTheme="minorHAnsi" w:hAnsiTheme="minorHAnsi" w:cstheme="minorHAnsi"/>
          <w:color w:val="000000"/>
          <w:sz w:val="22"/>
          <w:szCs w:val="22"/>
        </w:rPr>
      </w:pPr>
      <w:r w:rsidRPr="00B65CBA">
        <w:rPr>
          <w:rFonts w:asciiTheme="minorHAnsi" w:hAnsiTheme="minorHAnsi" w:cstheme="minorHAnsi"/>
          <w:color w:val="000000"/>
          <w:sz w:val="22"/>
          <w:szCs w:val="22"/>
        </w:rPr>
        <w:t>Procesinio sprendimo kategorij</w:t>
      </w:r>
      <w:r w:rsidR="005F5083">
        <w:rPr>
          <w:rFonts w:asciiTheme="minorHAnsi" w:hAnsiTheme="minorHAnsi" w:cstheme="minorHAnsi"/>
          <w:color w:val="000000"/>
          <w:sz w:val="22"/>
          <w:szCs w:val="22"/>
        </w:rPr>
        <w:t>a</w:t>
      </w:r>
      <w:r w:rsidRPr="00B65CBA">
        <w:rPr>
          <w:rFonts w:asciiTheme="minorHAnsi" w:hAnsiTheme="minorHAnsi" w:cstheme="minorHAnsi"/>
          <w:color w:val="000000"/>
          <w:sz w:val="22"/>
          <w:szCs w:val="22"/>
        </w:rPr>
        <w:t xml:space="preserve"> 8.3.1</w:t>
      </w:r>
    </w:p>
    <w:p w14:paraId="2C97BFE2" w14:textId="558A8227" w:rsidR="00B65CBA" w:rsidRPr="00B65CBA" w:rsidRDefault="00B65CBA" w:rsidP="00B65CBA">
      <w:pPr>
        <w:jc w:val="both"/>
        <w:rPr>
          <w:rStyle w:val="Hyperlink"/>
          <w:rFonts w:asciiTheme="minorHAnsi" w:hAnsiTheme="minorHAnsi" w:cstheme="minorHAnsi"/>
          <w:sz w:val="22"/>
          <w:szCs w:val="22"/>
        </w:rPr>
      </w:pPr>
      <w:r w:rsidRPr="00B65CBA">
        <w:rPr>
          <w:rFonts w:asciiTheme="minorHAnsi" w:hAnsiTheme="minorHAnsi" w:cstheme="minorHAnsi"/>
          <w:sz w:val="22"/>
          <w:szCs w:val="22"/>
        </w:rPr>
        <w:fldChar w:fldCharType="begin"/>
      </w:r>
      <w:r w:rsidRPr="00B65CBA">
        <w:rPr>
          <w:rFonts w:asciiTheme="minorHAnsi" w:hAnsiTheme="minorHAnsi" w:cstheme="minorHAnsi"/>
          <w:sz w:val="22"/>
          <w:szCs w:val="22"/>
        </w:rPr>
        <w:instrText>HYPERLINK "https://www.e-tar.lt/portal/lt/legalAct/94729dd0991011eea5a28c81c82193a8"</w:instrText>
      </w:r>
      <w:r w:rsidRPr="00B65CBA">
        <w:rPr>
          <w:rFonts w:asciiTheme="minorHAnsi" w:hAnsiTheme="minorHAnsi" w:cstheme="minorHAnsi"/>
          <w:sz w:val="22"/>
          <w:szCs w:val="22"/>
        </w:rPr>
      </w:r>
      <w:r w:rsidRPr="00B65CBA">
        <w:rPr>
          <w:rFonts w:asciiTheme="minorHAnsi" w:hAnsiTheme="minorHAnsi" w:cstheme="minorHAnsi"/>
          <w:sz w:val="22"/>
          <w:szCs w:val="22"/>
        </w:rPr>
        <w:fldChar w:fldCharType="separate"/>
      </w:r>
      <w:r w:rsidRPr="00B65CBA">
        <w:rPr>
          <w:rStyle w:val="Hyperlink"/>
          <w:rFonts w:asciiTheme="minorHAnsi" w:hAnsiTheme="minorHAnsi" w:cstheme="minorHAnsi"/>
          <w:sz w:val="22"/>
          <w:szCs w:val="22"/>
        </w:rPr>
        <w:t>Prieiga internete</w:t>
      </w:r>
    </w:p>
    <w:p w14:paraId="5C3419D4" w14:textId="54A8F939" w:rsidR="00DD3DE1" w:rsidRDefault="00B65CBA" w:rsidP="00B65CBA">
      <w:pPr>
        <w:ind w:firstLine="567"/>
        <w:jc w:val="both"/>
        <w:rPr>
          <w:rFonts w:asciiTheme="minorHAnsi" w:hAnsiTheme="minorHAnsi" w:cstheme="minorHAnsi"/>
          <w:b/>
          <w:color w:val="000000"/>
          <w:sz w:val="22"/>
          <w:szCs w:val="22"/>
          <w:u w:val="single"/>
        </w:rPr>
      </w:pPr>
      <w:r w:rsidRPr="00B65CBA">
        <w:rPr>
          <w:rFonts w:asciiTheme="minorHAnsi" w:hAnsiTheme="minorHAnsi" w:cstheme="minorHAnsi"/>
          <w:sz w:val="22"/>
          <w:szCs w:val="22"/>
        </w:rPr>
        <w:fldChar w:fldCharType="end"/>
      </w:r>
    </w:p>
    <w:p w14:paraId="32FD8C3C" w14:textId="77777777" w:rsidR="004D38B7" w:rsidRPr="004D38B7" w:rsidRDefault="004D38B7" w:rsidP="004D38B7">
      <w:pPr>
        <w:ind w:firstLine="567"/>
        <w:jc w:val="both"/>
        <w:rPr>
          <w:rFonts w:asciiTheme="minorHAnsi" w:hAnsiTheme="minorHAnsi" w:cstheme="minorHAnsi"/>
          <w:b/>
          <w:bCs/>
          <w:iCs/>
          <w:color w:val="000000"/>
          <w:sz w:val="22"/>
          <w:szCs w:val="22"/>
          <w:u w:val="single"/>
        </w:rPr>
      </w:pPr>
      <w:r w:rsidRPr="004D38B7">
        <w:rPr>
          <w:rFonts w:asciiTheme="minorHAnsi" w:hAnsiTheme="minorHAnsi" w:cstheme="minorHAnsi"/>
          <w:b/>
          <w:bCs/>
          <w:iCs/>
          <w:color w:val="000000"/>
          <w:sz w:val="22"/>
          <w:szCs w:val="22"/>
          <w:u w:val="single"/>
        </w:rPr>
        <w:t>8.6. Užsieniečių išvykimas iš Lietuvos Respublikos</w:t>
      </w:r>
    </w:p>
    <w:p w14:paraId="43F9A2DA" w14:textId="77777777" w:rsidR="004D38B7" w:rsidRPr="004D38B7" w:rsidRDefault="004D38B7" w:rsidP="004D38B7">
      <w:pPr>
        <w:ind w:firstLine="1134"/>
        <w:jc w:val="both"/>
        <w:rPr>
          <w:rFonts w:asciiTheme="minorHAnsi" w:hAnsiTheme="minorHAnsi" w:cstheme="minorHAnsi"/>
          <w:b/>
          <w:bCs/>
          <w:iCs/>
          <w:color w:val="000000"/>
          <w:sz w:val="22"/>
          <w:szCs w:val="22"/>
          <w:u w:val="single"/>
        </w:rPr>
      </w:pPr>
      <w:r w:rsidRPr="004D38B7">
        <w:rPr>
          <w:rFonts w:asciiTheme="minorHAnsi" w:hAnsiTheme="minorHAnsi" w:cstheme="minorHAnsi"/>
          <w:b/>
          <w:bCs/>
          <w:iCs/>
          <w:color w:val="000000"/>
          <w:sz w:val="22"/>
          <w:szCs w:val="22"/>
          <w:u w:val="single"/>
        </w:rPr>
        <w:t>8.6.4. Draudimas atvykti</w:t>
      </w:r>
    </w:p>
    <w:p w14:paraId="5AE962DB" w14:textId="77777777" w:rsidR="004D38B7" w:rsidRPr="004D38B7" w:rsidRDefault="004D38B7" w:rsidP="004D38B7">
      <w:pPr>
        <w:jc w:val="both"/>
        <w:rPr>
          <w:rFonts w:asciiTheme="minorHAnsi" w:hAnsiTheme="minorHAnsi" w:cstheme="minorHAnsi"/>
          <w:iCs/>
          <w:color w:val="000000"/>
          <w:sz w:val="22"/>
          <w:szCs w:val="22"/>
        </w:rPr>
      </w:pPr>
    </w:p>
    <w:p w14:paraId="46824758" w14:textId="77777777" w:rsidR="004D38B7" w:rsidRPr="004D38B7" w:rsidRDefault="004D38B7" w:rsidP="004D38B7">
      <w:pPr>
        <w:jc w:val="both"/>
        <w:outlineLvl w:val="1"/>
        <w:rPr>
          <w:rFonts w:asciiTheme="minorHAnsi" w:eastAsia="Calibri" w:hAnsiTheme="minorHAnsi" w:cstheme="minorHAnsi"/>
          <w:i/>
          <w:sz w:val="22"/>
          <w:szCs w:val="22"/>
        </w:rPr>
      </w:pPr>
      <w:bookmarkStart w:id="31" w:name="_Toc159340657"/>
      <w:r w:rsidRPr="004D38B7">
        <w:rPr>
          <w:rFonts w:asciiTheme="minorHAnsi" w:eastAsia="Calibri" w:hAnsiTheme="minorHAnsi" w:cstheme="minorHAnsi"/>
          <w:i/>
          <w:sz w:val="22"/>
          <w:szCs w:val="22"/>
        </w:rPr>
        <w:t>Dėl užsieniečio keliamos grėsmės nacionaliniam saugumui kaip pagrindo į Šengeno informacinę sistemą įvesti perspėjimą dėl draudimo tokiam užsieniečiui atvykti ir apsigyventi</w:t>
      </w:r>
      <w:bookmarkEnd w:id="31"/>
      <w:r w:rsidRPr="004D38B7">
        <w:rPr>
          <w:rFonts w:asciiTheme="minorHAnsi" w:eastAsia="Calibri" w:hAnsiTheme="minorHAnsi" w:cstheme="minorHAnsi"/>
          <w:i/>
          <w:sz w:val="22"/>
          <w:szCs w:val="22"/>
        </w:rPr>
        <w:t xml:space="preserve"> </w:t>
      </w:r>
    </w:p>
    <w:p w14:paraId="0EF7E85E" w14:textId="77777777" w:rsidR="004D38B7" w:rsidRPr="004D38B7" w:rsidRDefault="004D38B7" w:rsidP="004D38B7">
      <w:pPr>
        <w:ind w:firstLine="567"/>
        <w:jc w:val="both"/>
        <w:rPr>
          <w:rFonts w:asciiTheme="minorHAnsi" w:hAnsiTheme="minorHAnsi" w:cstheme="minorHAnsi"/>
          <w:b/>
          <w:color w:val="000000"/>
          <w:sz w:val="22"/>
          <w:szCs w:val="22"/>
        </w:rPr>
      </w:pPr>
    </w:p>
    <w:p w14:paraId="579A191E" w14:textId="377E8818" w:rsidR="004D38B7" w:rsidRPr="004D38B7" w:rsidRDefault="004D38B7" w:rsidP="004D38B7">
      <w:pPr>
        <w:ind w:firstLine="567"/>
        <w:jc w:val="both"/>
        <w:rPr>
          <w:rStyle w:val="normaltextrun"/>
          <w:rFonts w:asciiTheme="minorHAnsi" w:hAnsiTheme="minorHAnsi" w:cstheme="minorHAnsi"/>
          <w:color w:val="000000"/>
          <w:sz w:val="22"/>
          <w:szCs w:val="22"/>
          <w:bdr w:val="none" w:sz="0" w:space="0" w:color="auto" w:frame="1"/>
        </w:rPr>
      </w:pPr>
      <w:r w:rsidRPr="004D38B7">
        <w:rPr>
          <w:rStyle w:val="normaltextrun"/>
          <w:rFonts w:asciiTheme="minorHAnsi" w:hAnsiTheme="minorHAnsi" w:cstheme="minorHAnsi"/>
          <w:color w:val="000000"/>
          <w:sz w:val="22"/>
          <w:szCs w:val="22"/>
          <w:bdr w:val="none" w:sz="0" w:space="0" w:color="auto" w:frame="1"/>
        </w:rPr>
        <w:t>Apžvelgiamoje byloje nagrinėtas ginčas dėl Migracijos departamento prie Lietuvos Respublikos vidaus reikalų ministerijos (toliau – Departamentas, atsakovas) sprendimo dalių, kuriomis nuspręsta pareiškėjui Rusijos Federacijos piliečiui uždrausti 60 mėnesi</w:t>
      </w:r>
      <w:r w:rsidR="00215486">
        <w:rPr>
          <w:rStyle w:val="normaltextrun"/>
          <w:rFonts w:asciiTheme="minorHAnsi" w:hAnsiTheme="minorHAnsi" w:cstheme="minorHAnsi"/>
          <w:color w:val="000000"/>
          <w:sz w:val="22"/>
          <w:szCs w:val="22"/>
          <w:bdr w:val="none" w:sz="0" w:space="0" w:color="auto" w:frame="1"/>
        </w:rPr>
        <w:t>ų</w:t>
      </w:r>
      <w:r w:rsidRPr="004D38B7">
        <w:rPr>
          <w:rStyle w:val="normaltextrun"/>
          <w:rFonts w:asciiTheme="minorHAnsi" w:hAnsiTheme="minorHAnsi" w:cstheme="minorHAnsi"/>
          <w:color w:val="000000"/>
          <w:sz w:val="22"/>
          <w:szCs w:val="22"/>
          <w:bdr w:val="none" w:sz="0" w:space="0" w:color="auto" w:frame="1"/>
        </w:rPr>
        <w:t xml:space="preserve"> (5 metus) nuo išsiuntimo iš Lietuvos Respublikos dienos atvykti į Lietuvos Respubliką bei įtraukti į Šengeno informacinę sistemą perspėjimą apie draudimą jam atvykti ir apsigyventi nuo išsiuntimo iš Lietuvos Respublikos dienos 36 mėnesius, teisėtumo ir pagrįstumo.</w:t>
      </w:r>
    </w:p>
    <w:p w14:paraId="4DC26BDD" w14:textId="77777777" w:rsidR="004D38B7" w:rsidRPr="004D38B7" w:rsidRDefault="004D38B7" w:rsidP="004D38B7">
      <w:pPr>
        <w:ind w:firstLine="567"/>
        <w:jc w:val="both"/>
        <w:rPr>
          <w:rStyle w:val="normaltextrun"/>
          <w:rFonts w:asciiTheme="minorHAnsi" w:hAnsiTheme="minorHAnsi" w:cstheme="minorHAnsi"/>
          <w:color w:val="000000"/>
          <w:sz w:val="22"/>
          <w:szCs w:val="22"/>
          <w:bdr w:val="none" w:sz="0" w:space="0" w:color="auto" w:frame="1"/>
        </w:rPr>
      </w:pPr>
      <w:r w:rsidRPr="004D38B7">
        <w:rPr>
          <w:rStyle w:val="normaltextrun"/>
          <w:rFonts w:asciiTheme="minorHAnsi" w:hAnsiTheme="minorHAnsi" w:cstheme="minorHAnsi"/>
          <w:color w:val="000000"/>
          <w:sz w:val="22"/>
          <w:szCs w:val="22"/>
          <w:bdr w:val="none" w:sz="0" w:space="0" w:color="auto" w:frame="1"/>
        </w:rPr>
        <w:t>Pirmosios instancijos teismas, konstatavęs, kad ginčytos sprendimo dalys yra teisėtos ir pagrįstos, skundą atmetė.</w:t>
      </w:r>
    </w:p>
    <w:p w14:paraId="36B0E091" w14:textId="77777777" w:rsidR="004D38B7" w:rsidRPr="004D38B7" w:rsidRDefault="004D38B7" w:rsidP="004D38B7">
      <w:pPr>
        <w:ind w:firstLine="567"/>
        <w:jc w:val="both"/>
        <w:rPr>
          <w:rFonts w:asciiTheme="minorHAnsi" w:hAnsiTheme="minorHAnsi" w:cstheme="minorHAnsi"/>
          <w:color w:val="000000"/>
          <w:sz w:val="22"/>
          <w:szCs w:val="22"/>
          <w:bdr w:val="none" w:sz="0" w:space="0" w:color="auto" w:frame="1"/>
        </w:rPr>
      </w:pPr>
      <w:r w:rsidRPr="636B6ABB">
        <w:rPr>
          <w:rFonts w:asciiTheme="minorHAnsi" w:hAnsiTheme="minorHAnsi" w:cstheme="minorBidi"/>
          <w:color w:val="000000"/>
          <w:sz w:val="22"/>
          <w:szCs w:val="22"/>
          <w:bdr w:val="none" w:sz="0" w:space="0" w:color="auto" w:frame="1"/>
        </w:rPr>
        <w:t>LVAT nesutiko su pirmosios instancijos teismo sprendimo išvadomis dėl ginčytos sprendimo dalies įtraukti į Šengeno informacinę sistemą perspėjimą apie draudimą pareiškėjui atvykti ir apsigyventi nuo išsiuntimo iš Lietuvos Respublikos dienos 36 mėnesius. Reglamento (ES) 2018/1861</w:t>
      </w:r>
      <w:r w:rsidRPr="636B6ABB">
        <w:rPr>
          <w:rStyle w:val="FootnoteReference"/>
          <w:rFonts w:asciiTheme="minorHAnsi" w:hAnsiTheme="minorHAnsi" w:cstheme="minorBidi"/>
          <w:color w:val="000000"/>
          <w:sz w:val="22"/>
          <w:szCs w:val="22"/>
          <w:bdr w:val="none" w:sz="0" w:space="0" w:color="auto" w:frame="1"/>
        </w:rPr>
        <w:footnoteReference w:id="8"/>
      </w:r>
      <w:r w:rsidRPr="636B6ABB">
        <w:rPr>
          <w:rFonts w:asciiTheme="minorHAnsi" w:hAnsiTheme="minorHAnsi" w:cstheme="minorBidi"/>
          <w:color w:val="000000"/>
          <w:sz w:val="22"/>
          <w:szCs w:val="22"/>
          <w:bdr w:val="none" w:sz="0" w:space="0" w:color="auto" w:frame="1"/>
        </w:rPr>
        <w:t xml:space="preserve"> nuostatos, anot LVAT, suponuoja išvadą, kad </w:t>
      </w:r>
      <w:r w:rsidRPr="636B6ABB">
        <w:rPr>
          <w:rFonts w:asciiTheme="minorHAnsi" w:hAnsiTheme="minorHAnsi" w:cstheme="minorBidi"/>
          <w:color w:val="000000"/>
          <w:sz w:val="22"/>
          <w:szCs w:val="22"/>
          <w:u w:val="single"/>
          <w:bdr w:val="none" w:sz="0" w:space="0" w:color="auto" w:frame="1"/>
        </w:rPr>
        <w:t xml:space="preserve">aplinkybė, jog yra Reglamento (ES) 2018/1861 24 straipsnio 1 dalies a punkte numatyta sąlyga (trečiosios šalies piliečio buvimas jos teritorijoje kelia grėsmę viešajai tvarkai, visuomenės saugumui ar nacionaliniam saugumui), savaime nėra pagrindas įvesti perspėjimą dėl draudimo trečiosios šalies piliečiui atvykti ir apsigyventi į SIS, kadangi, prieš įvesdamos perspėjimą, valstybės narės įpareigotos nustatyti, ar atvejis yra pakankamai </w:t>
      </w:r>
      <w:r w:rsidRPr="636B6ABB">
        <w:rPr>
          <w:rFonts w:asciiTheme="minorHAnsi" w:hAnsiTheme="minorHAnsi" w:cstheme="minorBidi"/>
          <w:color w:val="000000"/>
          <w:sz w:val="22"/>
          <w:szCs w:val="22"/>
          <w:u w:val="single"/>
          <w:bdr w:val="none" w:sz="0" w:space="0" w:color="auto" w:frame="1"/>
        </w:rPr>
        <w:lastRenderedPageBreak/>
        <w:t>adekvatus, atitinkamas ir svarbus, kad perspėjimas būtų įvestas į SIS, pagal to reglamento nuostatose nurodytus kriterijus, ar nėra priežasčių neįvesti perspėjimo, ir motyvuoti tokį administracinį sprendimą, kuris gali būti skundžiamas</w:t>
      </w:r>
      <w:r w:rsidRPr="636B6ABB">
        <w:rPr>
          <w:rFonts w:asciiTheme="minorHAnsi" w:hAnsiTheme="minorHAnsi" w:cstheme="minorBidi"/>
          <w:color w:val="000000"/>
          <w:sz w:val="22"/>
          <w:szCs w:val="22"/>
          <w:bdr w:val="none" w:sz="0" w:space="0" w:color="auto" w:frame="1"/>
        </w:rPr>
        <w:t>. Nagrinėto ginčo atveju, LVAT vertinimu, sprendime nebuvo pateikti motyvai, kodėl atvejis yra pakankamai adekvatus, atitinkamas ir svarbus, kad perspėjimas būtų įvestas į SIS, todėl ši ginčyto sprendimo dalis negali būti laikoma teisėta.</w:t>
      </w:r>
    </w:p>
    <w:p w14:paraId="3AA3E801" w14:textId="77777777" w:rsidR="004D38B7" w:rsidRPr="004D38B7" w:rsidRDefault="004D38B7" w:rsidP="004D38B7">
      <w:pPr>
        <w:ind w:firstLine="567"/>
        <w:jc w:val="both"/>
        <w:rPr>
          <w:rFonts w:asciiTheme="minorHAnsi" w:hAnsiTheme="minorHAnsi" w:cstheme="minorHAnsi"/>
          <w:color w:val="000000"/>
          <w:sz w:val="22"/>
          <w:szCs w:val="22"/>
          <w:bdr w:val="none" w:sz="0" w:space="0" w:color="auto" w:frame="1"/>
        </w:rPr>
      </w:pPr>
      <w:r w:rsidRPr="004D38B7">
        <w:rPr>
          <w:rFonts w:asciiTheme="minorHAnsi" w:hAnsiTheme="minorHAnsi" w:cstheme="minorHAnsi"/>
          <w:color w:val="000000"/>
          <w:sz w:val="22"/>
          <w:szCs w:val="22"/>
          <w:bdr w:val="none" w:sz="0" w:space="0" w:color="auto" w:frame="1"/>
        </w:rPr>
        <w:t>Apeliacinis skundas patenkintas iš dalies, pirmosios instancijos teismo sprendimas pakeistas ir aptarta ginčyto sprendimo dalis panaikinta.</w:t>
      </w:r>
    </w:p>
    <w:p w14:paraId="3D083339" w14:textId="77777777" w:rsidR="004D38B7" w:rsidRPr="004D38B7" w:rsidRDefault="004D38B7" w:rsidP="004D38B7">
      <w:pPr>
        <w:ind w:firstLine="567"/>
        <w:jc w:val="both"/>
        <w:rPr>
          <w:rStyle w:val="normaltextrun"/>
          <w:rFonts w:asciiTheme="minorHAnsi" w:hAnsiTheme="minorHAnsi" w:cstheme="minorHAnsi"/>
          <w:color w:val="000000"/>
          <w:sz w:val="22"/>
          <w:szCs w:val="22"/>
          <w:bdr w:val="none" w:sz="0" w:space="0" w:color="auto" w:frame="1"/>
        </w:rPr>
      </w:pPr>
    </w:p>
    <w:p w14:paraId="7EA1E8C5" w14:textId="77777777" w:rsidR="004D38B7" w:rsidRPr="004D38B7" w:rsidRDefault="004D38B7" w:rsidP="004D38B7">
      <w:pPr>
        <w:jc w:val="both"/>
        <w:rPr>
          <w:rFonts w:asciiTheme="minorHAnsi" w:hAnsiTheme="minorHAnsi" w:cstheme="minorHAnsi"/>
          <w:color w:val="000000"/>
          <w:sz w:val="22"/>
          <w:szCs w:val="22"/>
        </w:rPr>
      </w:pPr>
      <w:r w:rsidRPr="004D38B7">
        <w:rPr>
          <w:rFonts w:asciiTheme="minorHAnsi" w:hAnsiTheme="minorHAnsi" w:cstheme="minorHAnsi"/>
          <w:color w:val="000000"/>
          <w:sz w:val="22"/>
          <w:szCs w:val="22"/>
        </w:rPr>
        <w:t>2023 m. lapkričio 15 d. nutartis administracinėje byloje Nr. eA-2450-624/2023</w:t>
      </w:r>
    </w:p>
    <w:p w14:paraId="246BD051" w14:textId="77777777" w:rsidR="004D38B7" w:rsidRPr="004D38B7" w:rsidRDefault="004D38B7" w:rsidP="004D38B7">
      <w:pPr>
        <w:jc w:val="both"/>
        <w:rPr>
          <w:rFonts w:asciiTheme="minorHAnsi" w:hAnsiTheme="minorHAnsi" w:cstheme="minorHAnsi"/>
          <w:color w:val="000000"/>
          <w:sz w:val="22"/>
          <w:szCs w:val="22"/>
        </w:rPr>
      </w:pPr>
      <w:r w:rsidRPr="004D38B7">
        <w:rPr>
          <w:rFonts w:asciiTheme="minorHAnsi" w:hAnsiTheme="minorHAnsi" w:cstheme="minorHAnsi"/>
          <w:color w:val="000000"/>
          <w:sz w:val="22"/>
          <w:szCs w:val="22"/>
        </w:rPr>
        <w:t>Teisminio proceso Nr. 3-61-3-07547-2023-3</w:t>
      </w:r>
    </w:p>
    <w:p w14:paraId="57238BEA" w14:textId="77777777" w:rsidR="004D38B7" w:rsidRPr="004D38B7" w:rsidRDefault="004D38B7" w:rsidP="004D38B7">
      <w:pPr>
        <w:jc w:val="both"/>
        <w:rPr>
          <w:rFonts w:asciiTheme="minorHAnsi" w:hAnsiTheme="minorHAnsi" w:cstheme="minorHAnsi"/>
          <w:color w:val="000000"/>
          <w:sz w:val="22"/>
          <w:szCs w:val="22"/>
        </w:rPr>
      </w:pPr>
      <w:r w:rsidRPr="004D38B7">
        <w:rPr>
          <w:rFonts w:asciiTheme="minorHAnsi" w:hAnsiTheme="minorHAnsi" w:cstheme="minorHAnsi"/>
          <w:color w:val="000000"/>
          <w:sz w:val="22"/>
          <w:szCs w:val="22"/>
        </w:rPr>
        <w:t>Procesinio sprendimo kategorijos: 8.6.4; 8.6.5</w:t>
      </w:r>
    </w:p>
    <w:p w14:paraId="09BB7DB5" w14:textId="6EA75E62" w:rsidR="004D38B7" w:rsidRPr="004D38B7" w:rsidRDefault="004D38B7" w:rsidP="004D38B7">
      <w:pPr>
        <w:jc w:val="both"/>
        <w:rPr>
          <w:rStyle w:val="Hyperlink"/>
          <w:rFonts w:asciiTheme="minorHAnsi" w:hAnsiTheme="minorHAnsi" w:cstheme="minorHAnsi"/>
          <w:sz w:val="22"/>
          <w:szCs w:val="22"/>
        </w:rPr>
      </w:pPr>
      <w:r w:rsidRPr="004D38B7">
        <w:rPr>
          <w:rFonts w:asciiTheme="minorHAnsi" w:hAnsiTheme="minorHAnsi" w:cstheme="minorHAnsi"/>
          <w:sz w:val="22"/>
          <w:szCs w:val="22"/>
        </w:rPr>
        <w:fldChar w:fldCharType="begin"/>
      </w:r>
      <w:r w:rsidRPr="004D38B7">
        <w:rPr>
          <w:rFonts w:asciiTheme="minorHAnsi" w:hAnsiTheme="minorHAnsi" w:cstheme="minorHAnsi"/>
          <w:sz w:val="22"/>
          <w:szCs w:val="22"/>
        </w:rPr>
        <w:instrText>HYPERLINK "https://www.e-tar.lt/portal/lt/legalAct/8f308380895911eea5a28c81c82193a8"</w:instrText>
      </w:r>
      <w:r w:rsidRPr="004D38B7">
        <w:rPr>
          <w:rFonts w:asciiTheme="minorHAnsi" w:hAnsiTheme="minorHAnsi" w:cstheme="minorHAnsi"/>
          <w:sz w:val="22"/>
          <w:szCs w:val="22"/>
        </w:rPr>
      </w:r>
      <w:r w:rsidRPr="004D38B7">
        <w:rPr>
          <w:rFonts w:asciiTheme="minorHAnsi" w:hAnsiTheme="minorHAnsi" w:cstheme="minorHAnsi"/>
          <w:sz w:val="22"/>
          <w:szCs w:val="22"/>
        </w:rPr>
        <w:fldChar w:fldCharType="separate"/>
      </w:r>
      <w:r w:rsidRPr="004D38B7">
        <w:rPr>
          <w:rStyle w:val="Hyperlink"/>
          <w:rFonts w:asciiTheme="minorHAnsi" w:hAnsiTheme="minorHAnsi" w:cstheme="minorHAnsi"/>
          <w:sz w:val="22"/>
          <w:szCs w:val="22"/>
        </w:rPr>
        <w:t>Prieiga internete</w:t>
      </w:r>
    </w:p>
    <w:p w14:paraId="53B673DD" w14:textId="48D0ED95" w:rsidR="00B932CF" w:rsidRPr="00F56F28" w:rsidRDefault="004D38B7" w:rsidP="004D38B7">
      <w:pPr>
        <w:ind w:firstLine="851"/>
        <w:jc w:val="both"/>
        <w:rPr>
          <w:rFonts w:asciiTheme="minorHAnsi" w:hAnsiTheme="minorHAnsi" w:cstheme="minorHAnsi"/>
          <w:sz w:val="22"/>
          <w:szCs w:val="22"/>
        </w:rPr>
      </w:pPr>
      <w:r w:rsidRPr="004D38B7">
        <w:rPr>
          <w:rFonts w:asciiTheme="minorHAnsi" w:hAnsiTheme="minorHAnsi" w:cstheme="minorHAnsi"/>
          <w:sz w:val="22"/>
          <w:szCs w:val="22"/>
        </w:rPr>
        <w:fldChar w:fldCharType="end"/>
      </w:r>
    </w:p>
    <w:p w14:paraId="5924D3D7" w14:textId="77777777" w:rsidR="005C4CED" w:rsidRPr="00F56F28" w:rsidRDefault="005C4CED" w:rsidP="005C4CED">
      <w:pPr>
        <w:pStyle w:val="Apzvalgai1"/>
        <w:rPr>
          <w:rFonts w:asciiTheme="minorHAnsi" w:hAnsiTheme="minorHAnsi" w:cstheme="minorHAnsi"/>
        </w:rPr>
      </w:pPr>
      <w:bookmarkStart w:id="32" w:name="_Toc462149976"/>
      <w:bookmarkStart w:id="33" w:name="_Toc159340658"/>
      <w:r w:rsidRPr="00F56F28">
        <w:rPr>
          <w:rFonts w:asciiTheme="minorHAnsi" w:hAnsiTheme="minorHAnsi" w:cstheme="minorHAnsi"/>
        </w:rPr>
        <w:t>12. Mokesčiai, įmokos ir kiti privalomieji mokėjimai</w:t>
      </w:r>
      <w:bookmarkEnd w:id="32"/>
      <w:bookmarkEnd w:id="33"/>
    </w:p>
    <w:p w14:paraId="1AAC9D9D" w14:textId="77777777" w:rsidR="00283F3D" w:rsidRPr="00283F3D" w:rsidRDefault="00283F3D" w:rsidP="00283F3D">
      <w:pPr>
        <w:ind w:firstLine="567"/>
        <w:jc w:val="both"/>
        <w:rPr>
          <w:rFonts w:asciiTheme="minorHAnsi" w:hAnsiTheme="minorHAnsi" w:cstheme="minorHAnsi"/>
          <w:b/>
          <w:sz w:val="22"/>
          <w:szCs w:val="22"/>
          <w:u w:val="single"/>
        </w:rPr>
      </w:pPr>
      <w:r w:rsidRPr="00283F3D">
        <w:rPr>
          <w:rFonts w:asciiTheme="minorHAnsi" w:hAnsiTheme="minorHAnsi" w:cstheme="minorHAnsi"/>
          <w:b/>
          <w:sz w:val="22"/>
          <w:szCs w:val="22"/>
          <w:u w:val="single"/>
        </w:rPr>
        <w:t>12.4. Mokesčio permokos (skirtumo) grąžinimas (įskaitymas)</w:t>
      </w:r>
    </w:p>
    <w:p w14:paraId="6B2745C2" w14:textId="77777777" w:rsidR="00283F3D" w:rsidRPr="00283F3D" w:rsidRDefault="00283F3D" w:rsidP="00283F3D">
      <w:pPr>
        <w:ind w:firstLine="1134"/>
        <w:jc w:val="both"/>
        <w:rPr>
          <w:rFonts w:asciiTheme="minorHAnsi" w:hAnsiTheme="minorHAnsi" w:cstheme="minorHAnsi"/>
          <w:b/>
          <w:sz w:val="22"/>
          <w:szCs w:val="22"/>
          <w:u w:val="single"/>
        </w:rPr>
      </w:pPr>
      <w:r w:rsidRPr="00283F3D">
        <w:rPr>
          <w:rFonts w:asciiTheme="minorHAnsi" w:hAnsiTheme="minorHAnsi" w:cstheme="minorHAnsi"/>
          <w:b/>
          <w:sz w:val="22"/>
          <w:szCs w:val="22"/>
          <w:u w:val="single"/>
        </w:rPr>
        <w:t>12.2.6. Mokesčio apskaičiavimo ir perskaičiavimo senatis</w:t>
      </w:r>
    </w:p>
    <w:p w14:paraId="5CAC0661" w14:textId="77777777" w:rsidR="00283F3D" w:rsidRPr="00283F3D" w:rsidRDefault="00283F3D" w:rsidP="00283F3D">
      <w:pPr>
        <w:ind w:firstLine="567"/>
        <w:jc w:val="both"/>
        <w:rPr>
          <w:rFonts w:asciiTheme="minorHAnsi" w:eastAsia="Calibri" w:hAnsiTheme="minorHAnsi" w:cstheme="minorHAnsi"/>
          <w:i/>
          <w:sz w:val="22"/>
          <w:szCs w:val="22"/>
        </w:rPr>
      </w:pPr>
    </w:p>
    <w:p w14:paraId="4E7DAE73" w14:textId="4445DB19" w:rsidR="00283F3D" w:rsidRPr="00283F3D" w:rsidRDefault="00283F3D" w:rsidP="00283F3D">
      <w:pPr>
        <w:jc w:val="both"/>
        <w:outlineLvl w:val="1"/>
        <w:rPr>
          <w:rFonts w:asciiTheme="minorHAnsi" w:eastAsia="Calibri" w:hAnsiTheme="minorHAnsi" w:cstheme="minorHAnsi"/>
          <w:i/>
          <w:sz w:val="22"/>
          <w:szCs w:val="22"/>
        </w:rPr>
      </w:pPr>
      <w:bookmarkStart w:id="34" w:name="_Toc159340659"/>
      <w:r w:rsidRPr="00283F3D">
        <w:rPr>
          <w:rFonts w:asciiTheme="minorHAnsi" w:eastAsia="Calibri" w:hAnsiTheme="minorHAnsi" w:cstheme="minorHAnsi"/>
          <w:i/>
          <w:sz w:val="22"/>
          <w:szCs w:val="22"/>
        </w:rPr>
        <w:t>Dėl nuo 2020 m. sausio 1 d. įsigaliojusių mokesčių</w:t>
      </w:r>
      <w:r>
        <w:rPr>
          <w:rFonts w:asciiTheme="minorHAnsi" w:eastAsia="Calibri" w:hAnsiTheme="minorHAnsi" w:cstheme="minorHAnsi"/>
          <w:i/>
          <w:sz w:val="22"/>
          <w:szCs w:val="22"/>
        </w:rPr>
        <w:t xml:space="preserve"> </w:t>
      </w:r>
      <w:r w:rsidRPr="00283F3D">
        <w:rPr>
          <w:rFonts w:asciiTheme="minorHAnsi" w:eastAsia="Calibri" w:hAnsiTheme="minorHAnsi" w:cstheme="minorHAnsi"/>
          <w:i/>
          <w:sz w:val="22"/>
          <w:szCs w:val="22"/>
        </w:rPr>
        <w:t>apskaičiavimo ir perskaičiavimo senaties terminų taikymo muitinės administruojamiems</w:t>
      </w:r>
      <w:r>
        <w:rPr>
          <w:rFonts w:asciiTheme="minorHAnsi" w:eastAsia="Calibri" w:hAnsiTheme="minorHAnsi" w:cstheme="minorHAnsi"/>
          <w:i/>
          <w:sz w:val="22"/>
          <w:szCs w:val="22"/>
        </w:rPr>
        <w:t xml:space="preserve"> </w:t>
      </w:r>
      <w:r w:rsidRPr="00283F3D">
        <w:rPr>
          <w:rFonts w:asciiTheme="minorHAnsi" w:eastAsia="Calibri" w:hAnsiTheme="minorHAnsi" w:cstheme="minorHAnsi"/>
          <w:i/>
          <w:sz w:val="22"/>
          <w:szCs w:val="22"/>
        </w:rPr>
        <w:t>importo PVM ir akcizams, kai skola muitinei atsirado iki minėtos datos, tačiau administravimo procedūros pradėtos vėliau</w:t>
      </w:r>
      <w:bookmarkEnd w:id="34"/>
    </w:p>
    <w:p w14:paraId="469A4B3E" w14:textId="77777777" w:rsidR="00283F3D" w:rsidRPr="00283F3D" w:rsidRDefault="00283F3D" w:rsidP="00283F3D">
      <w:pPr>
        <w:ind w:firstLine="567"/>
        <w:jc w:val="both"/>
        <w:rPr>
          <w:rFonts w:asciiTheme="minorHAnsi" w:hAnsiTheme="minorHAnsi" w:cstheme="minorHAnsi"/>
          <w:sz w:val="22"/>
          <w:szCs w:val="22"/>
        </w:rPr>
      </w:pPr>
    </w:p>
    <w:p w14:paraId="28455EB8" w14:textId="262AECE2" w:rsidR="00283F3D" w:rsidRPr="00283F3D" w:rsidRDefault="00283F3D" w:rsidP="00283F3D">
      <w:pPr>
        <w:ind w:firstLine="567"/>
        <w:jc w:val="both"/>
        <w:rPr>
          <w:rFonts w:asciiTheme="minorHAnsi" w:hAnsiTheme="minorHAnsi" w:cstheme="minorHAnsi"/>
          <w:sz w:val="22"/>
          <w:szCs w:val="22"/>
        </w:rPr>
      </w:pPr>
      <w:r w:rsidRPr="00283F3D">
        <w:rPr>
          <w:rFonts w:asciiTheme="minorHAnsi" w:hAnsiTheme="minorHAnsi" w:cstheme="minorHAnsi"/>
          <w:sz w:val="22"/>
          <w:szCs w:val="22"/>
        </w:rPr>
        <w:t>Apžvelgiamoje byloje nagrinėtas mokestinis ginčas kilo dėl teritorinės</w:t>
      </w:r>
      <w:r>
        <w:rPr>
          <w:rFonts w:asciiTheme="minorHAnsi" w:hAnsiTheme="minorHAnsi" w:cstheme="minorHAnsi"/>
          <w:sz w:val="22"/>
          <w:szCs w:val="22"/>
        </w:rPr>
        <w:t xml:space="preserve"> </w:t>
      </w:r>
      <w:r w:rsidRPr="00283F3D">
        <w:rPr>
          <w:rFonts w:asciiTheme="minorHAnsi" w:hAnsiTheme="minorHAnsi" w:cstheme="minorHAnsi"/>
          <w:sz w:val="22"/>
          <w:szCs w:val="22"/>
        </w:rPr>
        <w:t>muitinės 2021 m</w:t>
      </w:r>
      <w:r>
        <w:rPr>
          <w:rFonts w:asciiTheme="minorHAnsi" w:hAnsiTheme="minorHAnsi" w:cstheme="minorHAnsi"/>
          <w:sz w:val="22"/>
          <w:szCs w:val="22"/>
        </w:rPr>
        <w:t>etų</w:t>
      </w:r>
      <w:r w:rsidRPr="00283F3D">
        <w:rPr>
          <w:rFonts w:asciiTheme="minorHAnsi" w:hAnsiTheme="minorHAnsi" w:cstheme="minorHAnsi"/>
          <w:sz w:val="22"/>
          <w:szCs w:val="22"/>
        </w:rPr>
        <w:t xml:space="preserve"> sprendimo dalies, kuriuo pareiškėjui papildomai buvo apskaičiuoti 2016 m</w:t>
      </w:r>
      <w:r>
        <w:rPr>
          <w:rFonts w:asciiTheme="minorHAnsi" w:hAnsiTheme="minorHAnsi" w:cstheme="minorHAnsi"/>
          <w:sz w:val="22"/>
          <w:szCs w:val="22"/>
        </w:rPr>
        <w:t xml:space="preserve">etais </w:t>
      </w:r>
      <w:r w:rsidRPr="00283F3D">
        <w:rPr>
          <w:rFonts w:asciiTheme="minorHAnsi" w:hAnsiTheme="minorHAnsi" w:cstheme="minorHAnsi"/>
          <w:sz w:val="22"/>
          <w:szCs w:val="22"/>
        </w:rPr>
        <w:t>turėtas sumokėti importo PVM</w:t>
      </w:r>
      <w:r>
        <w:rPr>
          <w:rFonts w:asciiTheme="minorHAnsi" w:hAnsiTheme="minorHAnsi" w:cstheme="minorHAnsi"/>
          <w:sz w:val="22"/>
          <w:szCs w:val="22"/>
        </w:rPr>
        <w:t xml:space="preserve"> </w:t>
      </w:r>
      <w:r w:rsidRPr="00283F3D">
        <w:rPr>
          <w:rFonts w:asciiTheme="minorHAnsi" w:hAnsiTheme="minorHAnsi" w:cstheme="minorHAnsi"/>
          <w:sz w:val="22"/>
          <w:szCs w:val="22"/>
        </w:rPr>
        <w:t>ir akcizas bei</w:t>
      </w:r>
      <w:r>
        <w:rPr>
          <w:rFonts w:asciiTheme="minorHAnsi" w:hAnsiTheme="minorHAnsi" w:cstheme="minorHAnsi"/>
          <w:sz w:val="22"/>
          <w:szCs w:val="22"/>
        </w:rPr>
        <w:t xml:space="preserve"> </w:t>
      </w:r>
      <w:r w:rsidRPr="00283F3D">
        <w:rPr>
          <w:rFonts w:asciiTheme="minorHAnsi" w:hAnsiTheme="minorHAnsi" w:cstheme="minorHAnsi"/>
          <w:sz w:val="22"/>
          <w:szCs w:val="22"/>
        </w:rPr>
        <w:t xml:space="preserve">šių mokesčių delspinigiai. </w:t>
      </w:r>
      <w:r>
        <w:rPr>
          <w:rFonts w:asciiTheme="minorHAnsi" w:hAnsiTheme="minorHAnsi" w:cstheme="minorHAnsi"/>
          <w:sz w:val="22"/>
          <w:szCs w:val="22"/>
        </w:rPr>
        <w:t>G</w:t>
      </w:r>
      <w:r w:rsidRPr="00283F3D">
        <w:rPr>
          <w:rFonts w:asciiTheme="minorHAnsi" w:hAnsiTheme="minorHAnsi" w:cstheme="minorHAnsi"/>
          <w:sz w:val="22"/>
          <w:szCs w:val="22"/>
        </w:rPr>
        <w:t xml:space="preserve">inčą nagrinėjusi Mokestinių ginčų komisija </w:t>
      </w:r>
      <w:r>
        <w:rPr>
          <w:rFonts w:asciiTheme="minorHAnsi" w:hAnsiTheme="minorHAnsi" w:cstheme="minorHAnsi"/>
          <w:sz w:val="22"/>
          <w:szCs w:val="22"/>
        </w:rPr>
        <w:t xml:space="preserve">prie Lietuvos Respublikos Vyriausybės </w:t>
      </w:r>
      <w:r w:rsidRPr="00283F3D">
        <w:rPr>
          <w:rFonts w:asciiTheme="minorHAnsi" w:hAnsiTheme="minorHAnsi" w:cstheme="minorHAnsi"/>
          <w:sz w:val="22"/>
          <w:szCs w:val="22"/>
        </w:rPr>
        <w:t>šią sprendimo dalį panaikino, nustačiusi, jog buvo praleistas mokesčių apskaičiavimo ir perskaičiavimo senaties terminas, numatytas Mokesčių administravimo įstatymo 68 straipsnio 1</w:t>
      </w:r>
      <w:r>
        <w:rPr>
          <w:rFonts w:asciiTheme="minorHAnsi" w:hAnsiTheme="minorHAnsi" w:cstheme="minorHAnsi"/>
          <w:sz w:val="22"/>
          <w:szCs w:val="22"/>
        </w:rPr>
        <w:t xml:space="preserve"> </w:t>
      </w:r>
      <w:r w:rsidRPr="00283F3D">
        <w:rPr>
          <w:rFonts w:asciiTheme="minorHAnsi" w:hAnsiTheme="minorHAnsi" w:cstheme="minorHAnsi"/>
          <w:sz w:val="22"/>
          <w:szCs w:val="22"/>
        </w:rPr>
        <w:t>dalyje.</w:t>
      </w:r>
    </w:p>
    <w:p w14:paraId="084F807B" w14:textId="0F3F93F6" w:rsidR="00283F3D" w:rsidRPr="00283F3D" w:rsidRDefault="00283F3D" w:rsidP="00283F3D">
      <w:pPr>
        <w:ind w:firstLine="567"/>
        <w:jc w:val="both"/>
        <w:rPr>
          <w:rFonts w:asciiTheme="minorHAnsi" w:hAnsiTheme="minorHAnsi" w:cstheme="minorHAnsi"/>
          <w:sz w:val="22"/>
          <w:szCs w:val="22"/>
        </w:rPr>
      </w:pPr>
      <w:r w:rsidRPr="00283F3D">
        <w:rPr>
          <w:rFonts w:asciiTheme="minorHAnsi" w:hAnsiTheme="minorHAnsi" w:cstheme="minorHAnsi"/>
          <w:sz w:val="22"/>
          <w:szCs w:val="22"/>
        </w:rPr>
        <w:t>Mokesčių administratorius, nesutikdamas su tokiu Mokestinių ginčų komisijos mokesčių</w:t>
      </w:r>
      <w:r>
        <w:rPr>
          <w:rFonts w:asciiTheme="minorHAnsi" w:hAnsiTheme="minorHAnsi" w:cstheme="minorHAnsi"/>
          <w:sz w:val="22"/>
          <w:szCs w:val="22"/>
        </w:rPr>
        <w:t xml:space="preserve"> </w:t>
      </w:r>
      <w:r w:rsidRPr="00283F3D">
        <w:rPr>
          <w:rFonts w:asciiTheme="minorHAnsi" w:hAnsiTheme="minorHAnsi" w:cstheme="minorHAnsi"/>
          <w:sz w:val="22"/>
          <w:szCs w:val="22"/>
        </w:rPr>
        <w:t>įstatymo nuostatų taikymu, pateikė skundą</w:t>
      </w:r>
      <w:r>
        <w:rPr>
          <w:rFonts w:asciiTheme="minorHAnsi" w:hAnsiTheme="minorHAnsi" w:cstheme="minorHAnsi"/>
          <w:sz w:val="22"/>
          <w:szCs w:val="22"/>
        </w:rPr>
        <w:t xml:space="preserve"> </w:t>
      </w:r>
      <w:r w:rsidRPr="00283F3D">
        <w:rPr>
          <w:rFonts w:asciiTheme="minorHAnsi" w:hAnsiTheme="minorHAnsi" w:cstheme="minorHAnsi"/>
          <w:sz w:val="22"/>
          <w:szCs w:val="22"/>
        </w:rPr>
        <w:t>apygardos administraciniam teismui, be kita</w:t>
      </w:r>
      <w:r>
        <w:rPr>
          <w:rFonts w:asciiTheme="minorHAnsi" w:hAnsiTheme="minorHAnsi" w:cstheme="minorHAnsi"/>
          <w:sz w:val="22"/>
          <w:szCs w:val="22"/>
        </w:rPr>
        <w:t xml:space="preserve"> </w:t>
      </w:r>
      <w:r w:rsidRPr="00283F3D">
        <w:rPr>
          <w:rFonts w:asciiTheme="minorHAnsi" w:hAnsiTheme="minorHAnsi" w:cstheme="minorHAnsi"/>
          <w:sz w:val="22"/>
          <w:szCs w:val="22"/>
        </w:rPr>
        <w:t>ko, laikydamasis pozicijos, kad turėjo būti taikomas mokestinės prievolės atsiradimo, o ne patikrinimo procedūros pradžios</w:t>
      </w:r>
      <w:r>
        <w:rPr>
          <w:rFonts w:asciiTheme="minorHAnsi" w:hAnsiTheme="minorHAnsi" w:cstheme="minorHAnsi"/>
          <w:sz w:val="22"/>
          <w:szCs w:val="22"/>
        </w:rPr>
        <w:t xml:space="preserve"> </w:t>
      </w:r>
      <w:r w:rsidRPr="00283F3D">
        <w:rPr>
          <w:rFonts w:asciiTheme="minorHAnsi" w:hAnsiTheme="minorHAnsi" w:cstheme="minorHAnsi"/>
          <w:sz w:val="22"/>
          <w:szCs w:val="22"/>
        </w:rPr>
        <w:t>momentu galiojęs mokesčio apskaičiavimo ir perskaičiavimo senaties terminas. Pirmosios instancijos teismas atsakovo skundą atmetė kaip nepagrįstą.</w:t>
      </w:r>
    </w:p>
    <w:p w14:paraId="6D0094AB" w14:textId="55A312DD" w:rsidR="00283F3D" w:rsidRDefault="00283F3D" w:rsidP="00283F3D">
      <w:pPr>
        <w:ind w:firstLine="567"/>
        <w:jc w:val="both"/>
        <w:rPr>
          <w:rFonts w:asciiTheme="minorHAnsi" w:hAnsiTheme="minorHAnsi" w:cstheme="minorHAnsi"/>
          <w:sz w:val="22"/>
          <w:szCs w:val="22"/>
        </w:rPr>
      </w:pPr>
      <w:r w:rsidRPr="00283F3D">
        <w:rPr>
          <w:rFonts w:asciiTheme="minorHAnsi" w:hAnsiTheme="minorHAnsi" w:cstheme="minorHAnsi"/>
          <w:sz w:val="22"/>
          <w:szCs w:val="22"/>
        </w:rPr>
        <w:t>LVAT, pritardamas pirmosios instancijos teismo vertinimui, nurodė, kad</w:t>
      </w:r>
      <w:r>
        <w:rPr>
          <w:rFonts w:asciiTheme="minorHAnsi" w:hAnsiTheme="minorHAnsi" w:cstheme="minorHAnsi"/>
          <w:sz w:val="22"/>
          <w:szCs w:val="22"/>
        </w:rPr>
        <w:t xml:space="preserve"> atsižvelgiant į tai, jog</w:t>
      </w:r>
      <w:r w:rsidRPr="00283F3D">
        <w:rPr>
          <w:rFonts w:asciiTheme="minorHAnsi" w:hAnsiTheme="minorHAnsi" w:cstheme="minorHAnsi"/>
          <w:sz w:val="22"/>
          <w:szCs w:val="22"/>
        </w:rPr>
        <w:t xml:space="preserve"> </w:t>
      </w:r>
      <w:r w:rsidRPr="00283F3D">
        <w:rPr>
          <w:rFonts w:asciiTheme="minorHAnsi" w:hAnsiTheme="minorHAnsi" w:cstheme="minorHAnsi"/>
          <w:sz w:val="22"/>
          <w:szCs w:val="22"/>
          <w:u w:val="single"/>
        </w:rPr>
        <w:t>mokesčių apskaičiavimo procedūra pradėta 2021 metais, turėjo būti taikoma tuo metu galiojusi Mokesčių administravimo įstatymo 68 straipsnio 1 dalis</w:t>
      </w:r>
      <w:r w:rsidRPr="00283F3D">
        <w:rPr>
          <w:rFonts w:asciiTheme="minorHAnsi" w:hAnsiTheme="minorHAnsi" w:cstheme="minorHAnsi"/>
          <w:sz w:val="22"/>
          <w:szCs w:val="22"/>
        </w:rPr>
        <w:t>,</w:t>
      </w:r>
      <w:r>
        <w:rPr>
          <w:rFonts w:asciiTheme="minorHAnsi" w:hAnsiTheme="minorHAnsi" w:cstheme="minorHAnsi"/>
          <w:sz w:val="22"/>
          <w:szCs w:val="22"/>
        </w:rPr>
        <w:t xml:space="preserve"> </w:t>
      </w:r>
      <w:r w:rsidRPr="00283F3D">
        <w:rPr>
          <w:rFonts w:asciiTheme="minorHAnsi" w:hAnsiTheme="minorHAnsi" w:cstheme="minorHAnsi"/>
          <w:sz w:val="22"/>
          <w:szCs w:val="22"/>
        </w:rPr>
        <w:t>nustatanti, kad, jeigu kitaip nenustatyta šiame straipsnyje ar atitinkamo mokesčio įstatyme, mokesčių mokėtojas ar mokesčių administratorius mokestį apskaičiuoti arba perskaičiuoti gali ne daugiau kaip už einamuosius ir trejus praėjusius kalendorinius metus, skaičiuojamus atgal nuo tų metų, kuriais pradedama mokestį apskaičiuoti arba perskaičiuoti, sausio 1 dienos. Taigi, kaip pažymėjo</w:t>
      </w:r>
      <w:r>
        <w:rPr>
          <w:rFonts w:asciiTheme="minorHAnsi" w:hAnsiTheme="minorHAnsi" w:cstheme="minorHAnsi"/>
          <w:sz w:val="22"/>
          <w:szCs w:val="22"/>
        </w:rPr>
        <w:t xml:space="preserve"> LVAT</w:t>
      </w:r>
      <w:r w:rsidRPr="00283F3D">
        <w:rPr>
          <w:rFonts w:asciiTheme="minorHAnsi" w:hAnsiTheme="minorHAnsi" w:cstheme="minorHAnsi"/>
          <w:sz w:val="22"/>
          <w:szCs w:val="22"/>
        </w:rPr>
        <w:t xml:space="preserve"> teisėjų kolegija,</w:t>
      </w:r>
      <w:r>
        <w:rPr>
          <w:rFonts w:asciiTheme="minorHAnsi" w:hAnsiTheme="minorHAnsi" w:cstheme="minorHAnsi"/>
          <w:sz w:val="22"/>
          <w:szCs w:val="22"/>
        </w:rPr>
        <w:t xml:space="preserve"> </w:t>
      </w:r>
      <w:r w:rsidRPr="00283F3D">
        <w:rPr>
          <w:rFonts w:asciiTheme="minorHAnsi" w:hAnsiTheme="minorHAnsi" w:cstheme="minorHAnsi"/>
          <w:sz w:val="22"/>
          <w:szCs w:val="22"/>
        </w:rPr>
        <w:t>atsižvelgiant į tai, kad mokestinė prievolė atsirado 2016 m</w:t>
      </w:r>
      <w:r>
        <w:rPr>
          <w:rFonts w:asciiTheme="minorHAnsi" w:hAnsiTheme="minorHAnsi" w:cstheme="minorHAnsi"/>
          <w:sz w:val="22"/>
          <w:szCs w:val="22"/>
        </w:rPr>
        <w:t>etais</w:t>
      </w:r>
      <w:r w:rsidRPr="00283F3D">
        <w:rPr>
          <w:rFonts w:asciiTheme="minorHAnsi" w:hAnsiTheme="minorHAnsi" w:cstheme="minorHAnsi"/>
          <w:sz w:val="22"/>
          <w:szCs w:val="22"/>
        </w:rPr>
        <w:t xml:space="preserve">, darytina išvada, </w:t>
      </w:r>
      <w:r>
        <w:rPr>
          <w:rFonts w:asciiTheme="minorHAnsi" w:hAnsiTheme="minorHAnsi" w:cstheme="minorHAnsi"/>
          <w:sz w:val="22"/>
          <w:szCs w:val="22"/>
        </w:rPr>
        <w:t>jog</w:t>
      </w:r>
      <w:r w:rsidRPr="00283F3D">
        <w:rPr>
          <w:rFonts w:asciiTheme="minorHAnsi" w:hAnsiTheme="minorHAnsi" w:cstheme="minorHAnsi"/>
          <w:sz w:val="22"/>
          <w:szCs w:val="22"/>
        </w:rPr>
        <w:t xml:space="preserve"> Mokestinių ginčų komisija sprendime padarė pagrįstą išvadą, </w:t>
      </w:r>
      <w:r>
        <w:rPr>
          <w:rFonts w:asciiTheme="minorHAnsi" w:hAnsiTheme="minorHAnsi" w:cstheme="minorHAnsi"/>
          <w:sz w:val="22"/>
          <w:szCs w:val="22"/>
        </w:rPr>
        <w:t>kad</w:t>
      </w:r>
      <w:r w:rsidRPr="00283F3D">
        <w:rPr>
          <w:rFonts w:asciiTheme="minorHAnsi" w:hAnsiTheme="minorHAnsi" w:cstheme="minorHAnsi"/>
          <w:sz w:val="22"/>
          <w:szCs w:val="22"/>
        </w:rPr>
        <w:t xml:space="preserve"> teritorinė muitinė, apskaičiuodama PVM ir akcizo prievolę pareiškėjui, praleido</w:t>
      </w:r>
      <w:r>
        <w:rPr>
          <w:rFonts w:asciiTheme="minorHAnsi" w:hAnsiTheme="minorHAnsi" w:cstheme="minorHAnsi"/>
          <w:sz w:val="22"/>
          <w:szCs w:val="22"/>
        </w:rPr>
        <w:t xml:space="preserve"> </w:t>
      </w:r>
      <w:r w:rsidRPr="00283F3D">
        <w:rPr>
          <w:rFonts w:asciiTheme="minorHAnsi" w:hAnsiTheme="minorHAnsi" w:cstheme="minorHAnsi"/>
          <w:sz w:val="22"/>
          <w:szCs w:val="22"/>
        </w:rPr>
        <w:t>minėtoje įstatymo nuostatoje nustatytą terminą mokesčiams apskaičiuoti.</w:t>
      </w:r>
    </w:p>
    <w:p w14:paraId="5BEDC28C" w14:textId="58DF2B79" w:rsidR="00283F3D" w:rsidRPr="00283F3D" w:rsidRDefault="001C4418" w:rsidP="00283F3D">
      <w:pPr>
        <w:ind w:firstLine="567"/>
        <w:jc w:val="both"/>
        <w:rPr>
          <w:rFonts w:asciiTheme="minorHAnsi" w:hAnsiTheme="minorHAnsi" w:cstheme="minorHAnsi"/>
          <w:sz w:val="22"/>
          <w:szCs w:val="22"/>
        </w:rPr>
      </w:pPr>
      <w:r>
        <w:rPr>
          <w:rFonts w:asciiTheme="minorHAnsi" w:hAnsiTheme="minorHAnsi" w:cstheme="minorHAnsi"/>
          <w:sz w:val="22"/>
          <w:szCs w:val="22"/>
        </w:rPr>
        <w:t>Atsakovo apeliacinis skundas atmestas, p</w:t>
      </w:r>
      <w:r w:rsidRPr="00EA494F">
        <w:rPr>
          <w:rStyle w:val="normaltextrun"/>
          <w:rFonts w:asciiTheme="minorHAnsi" w:eastAsia="Calibri" w:hAnsiTheme="minorHAnsi"/>
          <w:sz w:val="22"/>
          <w:szCs w:val="22"/>
        </w:rPr>
        <w:t xml:space="preserve">irmosios instancijos teismo </w:t>
      </w:r>
      <w:r>
        <w:rPr>
          <w:rStyle w:val="normaltextrun"/>
          <w:rFonts w:asciiTheme="minorHAnsi" w:eastAsia="Calibri" w:hAnsiTheme="minorHAnsi"/>
          <w:sz w:val="22"/>
          <w:szCs w:val="22"/>
        </w:rPr>
        <w:t>sprendimas</w:t>
      </w:r>
      <w:r w:rsidRPr="00EA494F">
        <w:rPr>
          <w:rStyle w:val="normaltextrun"/>
          <w:rFonts w:asciiTheme="minorHAnsi" w:eastAsia="Calibri" w:hAnsiTheme="minorHAnsi"/>
          <w:sz w:val="22"/>
          <w:szCs w:val="22"/>
        </w:rPr>
        <w:t xml:space="preserve"> palikta</w:t>
      </w:r>
      <w:r>
        <w:rPr>
          <w:rStyle w:val="normaltextrun"/>
          <w:rFonts w:asciiTheme="minorHAnsi" w:eastAsia="Calibri" w:hAnsiTheme="minorHAnsi"/>
          <w:sz w:val="22"/>
          <w:szCs w:val="22"/>
        </w:rPr>
        <w:t>s</w:t>
      </w:r>
      <w:r w:rsidRPr="00EA494F">
        <w:rPr>
          <w:rStyle w:val="normaltextrun"/>
          <w:rFonts w:asciiTheme="minorHAnsi" w:eastAsia="Calibri" w:hAnsiTheme="minorHAnsi"/>
          <w:sz w:val="22"/>
          <w:szCs w:val="22"/>
        </w:rPr>
        <w:t xml:space="preserve"> nepakeista</w:t>
      </w:r>
      <w:r>
        <w:rPr>
          <w:rStyle w:val="normaltextrun"/>
          <w:rFonts w:asciiTheme="minorHAnsi" w:eastAsia="Calibri" w:hAnsiTheme="minorHAnsi"/>
          <w:sz w:val="22"/>
          <w:szCs w:val="22"/>
        </w:rPr>
        <w:t>s.</w:t>
      </w:r>
    </w:p>
    <w:p w14:paraId="4A5467D8" w14:textId="77777777" w:rsidR="00283F3D" w:rsidRPr="00283F3D" w:rsidRDefault="00283F3D" w:rsidP="00283F3D">
      <w:pPr>
        <w:jc w:val="both"/>
        <w:rPr>
          <w:rFonts w:asciiTheme="minorHAnsi" w:hAnsiTheme="minorHAnsi" w:cstheme="minorHAnsi"/>
          <w:sz w:val="22"/>
          <w:szCs w:val="22"/>
        </w:rPr>
      </w:pPr>
    </w:p>
    <w:p w14:paraId="2320AFE6" w14:textId="77777777" w:rsidR="00283F3D" w:rsidRPr="00283F3D" w:rsidRDefault="00283F3D" w:rsidP="00283F3D">
      <w:pPr>
        <w:jc w:val="both"/>
        <w:rPr>
          <w:rFonts w:asciiTheme="minorHAnsi" w:hAnsiTheme="minorHAnsi" w:cstheme="minorHAnsi"/>
          <w:sz w:val="22"/>
          <w:szCs w:val="22"/>
        </w:rPr>
      </w:pPr>
      <w:r w:rsidRPr="00283F3D">
        <w:rPr>
          <w:rFonts w:asciiTheme="minorHAnsi" w:hAnsiTheme="minorHAnsi" w:cstheme="minorHAnsi"/>
          <w:sz w:val="22"/>
          <w:szCs w:val="22"/>
        </w:rPr>
        <w:t>2023 m. lapkričio 29 d. nutartis administracinėje byloje Nr. eA-496-575/2023</w:t>
      </w:r>
    </w:p>
    <w:p w14:paraId="3808C9A5" w14:textId="77777777" w:rsidR="00283F3D" w:rsidRPr="00283F3D" w:rsidRDefault="00283F3D" w:rsidP="00283F3D">
      <w:pPr>
        <w:jc w:val="both"/>
        <w:rPr>
          <w:rFonts w:asciiTheme="minorHAnsi" w:hAnsiTheme="minorHAnsi" w:cstheme="minorHAnsi"/>
          <w:sz w:val="22"/>
          <w:szCs w:val="22"/>
        </w:rPr>
      </w:pPr>
      <w:r w:rsidRPr="00283F3D">
        <w:rPr>
          <w:rFonts w:asciiTheme="minorHAnsi" w:hAnsiTheme="minorHAnsi" w:cstheme="minorHAnsi"/>
          <w:sz w:val="22"/>
          <w:szCs w:val="22"/>
        </w:rPr>
        <w:t>Teisminio proceso Nr. 3-61-3-04429-2021-7</w:t>
      </w:r>
    </w:p>
    <w:p w14:paraId="442C9688" w14:textId="49DCF1B6" w:rsidR="00283F3D" w:rsidRPr="00283F3D" w:rsidRDefault="00283F3D" w:rsidP="00283F3D">
      <w:pPr>
        <w:jc w:val="both"/>
        <w:rPr>
          <w:rFonts w:asciiTheme="minorHAnsi" w:hAnsiTheme="minorHAnsi" w:cstheme="minorHAnsi"/>
          <w:sz w:val="22"/>
          <w:szCs w:val="22"/>
        </w:rPr>
      </w:pPr>
      <w:r w:rsidRPr="00283F3D">
        <w:rPr>
          <w:rFonts w:asciiTheme="minorHAnsi" w:hAnsiTheme="minorHAnsi" w:cstheme="minorHAnsi"/>
          <w:sz w:val="22"/>
          <w:szCs w:val="22"/>
        </w:rPr>
        <w:t>Procesinio sprendimo kategorijos: 12.2.6; 12.15.6; 12.16.3</w:t>
      </w:r>
    </w:p>
    <w:p w14:paraId="7D97C634" w14:textId="77777777" w:rsidR="00283F3D" w:rsidRPr="00283F3D" w:rsidRDefault="00000000" w:rsidP="00283F3D">
      <w:pPr>
        <w:jc w:val="both"/>
        <w:rPr>
          <w:rFonts w:asciiTheme="minorHAnsi" w:hAnsiTheme="minorHAnsi" w:cstheme="minorHAnsi"/>
          <w:sz w:val="22"/>
          <w:szCs w:val="22"/>
        </w:rPr>
      </w:pPr>
      <w:hyperlink r:id="rId12" w:history="1">
        <w:r w:rsidR="00283F3D" w:rsidRPr="00283F3D">
          <w:rPr>
            <w:rStyle w:val="Hyperlink"/>
            <w:rFonts w:asciiTheme="minorHAnsi" w:hAnsiTheme="minorHAnsi" w:cstheme="minorHAnsi"/>
            <w:sz w:val="22"/>
            <w:szCs w:val="22"/>
          </w:rPr>
          <w:t>Prieiga internete</w:t>
        </w:r>
      </w:hyperlink>
    </w:p>
    <w:p w14:paraId="48DB18C5" w14:textId="77777777" w:rsidR="00283F3D" w:rsidRDefault="00283F3D" w:rsidP="00264A41">
      <w:pPr>
        <w:ind w:firstLine="567"/>
        <w:rPr>
          <w:rFonts w:asciiTheme="minorHAnsi" w:hAnsiTheme="minorHAnsi" w:cstheme="minorHAnsi"/>
          <w:b/>
          <w:sz w:val="22"/>
          <w:szCs w:val="22"/>
          <w:u w:val="single"/>
        </w:rPr>
      </w:pPr>
    </w:p>
    <w:p w14:paraId="496BC574" w14:textId="7A9F35AD" w:rsidR="00264A41" w:rsidRPr="00F56F28" w:rsidRDefault="00264A41" w:rsidP="00264A41">
      <w:pPr>
        <w:ind w:firstLine="567"/>
        <w:rPr>
          <w:rFonts w:asciiTheme="minorHAnsi" w:hAnsiTheme="minorHAnsi" w:cstheme="minorHAnsi"/>
          <w:b/>
          <w:sz w:val="22"/>
          <w:szCs w:val="22"/>
          <w:u w:val="single"/>
        </w:rPr>
      </w:pPr>
      <w:r w:rsidRPr="00F56F28">
        <w:rPr>
          <w:rFonts w:asciiTheme="minorHAnsi" w:hAnsiTheme="minorHAnsi" w:cstheme="minorHAnsi"/>
          <w:b/>
          <w:sz w:val="22"/>
          <w:szCs w:val="22"/>
          <w:u w:val="single"/>
        </w:rPr>
        <w:t>12.13. Gyventojų pajamų mokestis</w:t>
      </w:r>
    </w:p>
    <w:p w14:paraId="4682D49F" w14:textId="77777777" w:rsidR="00264A41" w:rsidRPr="00F56F28" w:rsidRDefault="00264A41" w:rsidP="00264A41">
      <w:pPr>
        <w:ind w:firstLine="1134"/>
        <w:rPr>
          <w:rFonts w:asciiTheme="minorHAnsi" w:hAnsiTheme="minorHAnsi" w:cstheme="minorHAnsi"/>
          <w:b/>
          <w:sz w:val="22"/>
          <w:szCs w:val="22"/>
          <w:u w:val="single"/>
        </w:rPr>
      </w:pPr>
      <w:r w:rsidRPr="00F56F28">
        <w:rPr>
          <w:rFonts w:asciiTheme="minorHAnsi" w:hAnsiTheme="minorHAnsi" w:cstheme="minorHAnsi"/>
          <w:b/>
          <w:sz w:val="22"/>
          <w:szCs w:val="22"/>
          <w:u w:val="single"/>
        </w:rPr>
        <w:t>12.13.1. Gyventojų pajamų mokesčio objektas</w:t>
      </w:r>
    </w:p>
    <w:p w14:paraId="4911ECA4" w14:textId="77777777" w:rsidR="009B61A5" w:rsidRPr="009B61A5" w:rsidRDefault="009B61A5" w:rsidP="009B61A5">
      <w:pPr>
        <w:ind w:firstLine="1701"/>
        <w:jc w:val="both"/>
        <w:rPr>
          <w:rFonts w:asciiTheme="minorHAnsi" w:hAnsiTheme="minorHAnsi" w:cstheme="minorHAnsi"/>
          <w:b/>
          <w:bCs/>
          <w:sz w:val="22"/>
          <w:szCs w:val="22"/>
          <w:u w:val="single"/>
        </w:rPr>
      </w:pPr>
      <w:r w:rsidRPr="009B61A5">
        <w:rPr>
          <w:rFonts w:asciiTheme="minorHAnsi" w:hAnsiTheme="minorHAnsi" w:cstheme="minorHAnsi"/>
          <w:b/>
          <w:bCs/>
          <w:sz w:val="22"/>
          <w:szCs w:val="22"/>
          <w:u w:val="single"/>
        </w:rPr>
        <w:t>12.13.1.3. Neapmokestinamosios pajamos</w:t>
      </w:r>
    </w:p>
    <w:p w14:paraId="4FB03B53" w14:textId="77777777" w:rsidR="009B61A5" w:rsidRPr="009B61A5" w:rsidRDefault="009B61A5" w:rsidP="009B61A5">
      <w:pPr>
        <w:ind w:firstLine="567"/>
        <w:jc w:val="both"/>
        <w:rPr>
          <w:rFonts w:asciiTheme="minorHAnsi" w:hAnsiTheme="minorHAnsi" w:cstheme="minorHAnsi"/>
          <w:sz w:val="22"/>
          <w:szCs w:val="22"/>
        </w:rPr>
      </w:pPr>
    </w:p>
    <w:p w14:paraId="36E0C0A3" w14:textId="77777777" w:rsidR="009B61A5" w:rsidRPr="009B61A5" w:rsidRDefault="009B61A5" w:rsidP="009B61A5">
      <w:pPr>
        <w:jc w:val="both"/>
        <w:outlineLvl w:val="1"/>
        <w:rPr>
          <w:rFonts w:asciiTheme="minorHAnsi" w:eastAsia="Calibri" w:hAnsiTheme="minorHAnsi" w:cstheme="minorHAnsi"/>
          <w:i/>
          <w:sz w:val="22"/>
          <w:szCs w:val="22"/>
        </w:rPr>
      </w:pPr>
      <w:bookmarkStart w:id="35" w:name="_Toc159340660"/>
      <w:r w:rsidRPr="009B61A5">
        <w:rPr>
          <w:rFonts w:asciiTheme="minorHAnsi" w:eastAsia="Calibri" w:hAnsiTheme="minorHAnsi" w:cstheme="minorHAnsi"/>
          <w:i/>
          <w:sz w:val="22"/>
          <w:szCs w:val="22"/>
        </w:rPr>
        <w:t>Dėl gyvybės draudimo išmokos pripažinimo neapmokestinamosiomis pajamomis pagal Gyventojų pajamų mokesčio įstatymo 17 straipsnio 1 dalies 10 punktą, kai išmokos gavėjas šią išmoką pervedė 26 metų amžiaus neturinčiam šeimos nariui</w:t>
      </w:r>
      <w:bookmarkEnd w:id="35"/>
    </w:p>
    <w:p w14:paraId="674AECC1" w14:textId="77777777" w:rsidR="009B61A5" w:rsidRPr="009B61A5" w:rsidRDefault="009B61A5" w:rsidP="009B61A5">
      <w:pPr>
        <w:ind w:firstLine="567"/>
        <w:jc w:val="both"/>
        <w:rPr>
          <w:rFonts w:asciiTheme="minorHAnsi" w:hAnsiTheme="minorHAnsi" w:cstheme="minorHAnsi"/>
          <w:sz w:val="22"/>
          <w:szCs w:val="22"/>
        </w:rPr>
      </w:pPr>
    </w:p>
    <w:p w14:paraId="40698327" w14:textId="330A097E" w:rsidR="009B61A5" w:rsidRPr="009B61A5" w:rsidRDefault="009B61A5" w:rsidP="009B61A5">
      <w:pPr>
        <w:ind w:firstLine="567"/>
        <w:jc w:val="both"/>
        <w:rPr>
          <w:rFonts w:asciiTheme="minorHAnsi" w:hAnsiTheme="minorHAnsi" w:cstheme="minorHAnsi"/>
          <w:sz w:val="22"/>
          <w:szCs w:val="22"/>
        </w:rPr>
      </w:pPr>
      <w:r w:rsidRPr="009B61A5">
        <w:rPr>
          <w:rFonts w:asciiTheme="minorHAnsi" w:hAnsiTheme="minorHAnsi" w:cstheme="minorHAnsi"/>
          <w:sz w:val="22"/>
          <w:szCs w:val="22"/>
        </w:rPr>
        <w:t>Apžvelgiamoje byloje nagrinėtas ginčas tarp mokesčių administratoriaus ir pareiškėjo kilo dėl pasibaigus 2005 m</w:t>
      </w:r>
      <w:r w:rsidR="00DF3D4F">
        <w:rPr>
          <w:rFonts w:asciiTheme="minorHAnsi" w:hAnsiTheme="minorHAnsi" w:cstheme="minorHAnsi"/>
          <w:sz w:val="22"/>
          <w:szCs w:val="22"/>
        </w:rPr>
        <w:t>etais</w:t>
      </w:r>
      <w:r w:rsidRPr="009B61A5">
        <w:rPr>
          <w:rFonts w:asciiTheme="minorHAnsi" w:hAnsiTheme="minorHAnsi" w:cstheme="minorHAnsi"/>
          <w:sz w:val="22"/>
          <w:szCs w:val="22"/>
        </w:rPr>
        <w:t xml:space="preserve"> sudarytai kaupiamojo gyvybės draudimo</w:t>
      </w:r>
      <w:r w:rsidR="007C1632">
        <w:rPr>
          <w:rFonts w:asciiTheme="minorHAnsi" w:hAnsiTheme="minorHAnsi" w:cstheme="minorHAnsi"/>
          <w:sz w:val="22"/>
          <w:szCs w:val="22"/>
        </w:rPr>
        <w:t xml:space="preserve"> </w:t>
      </w:r>
      <w:r w:rsidRPr="009B61A5">
        <w:rPr>
          <w:rFonts w:asciiTheme="minorHAnsi" w:hAnsiTheme="minorHAnsi" w:cstheme="minorHAnsi"/>
          <w:sz w:val="22"/>
          <w:szCs w:val="22"/>
        </w:rPr>
        <w:t>sutar</w:t>
      </w:r>
      <w:r w:rsidR="00DF3D4F">
        <w:rPr>
          <w:rFonts w:asciiTheme="minorHAnsi" w:hAnsiTheme="minorHAnsi" w:cstheme="minorHAnsi"/>
          <w:sz w:val="22"/>
          <w:szCs w:val="22"/>
        </w:rPr>
        <w:t>čiai</w:t>
      </w:r>
      <w:r w:rsidRPr="009B61A5">
        <w:rPr>
          <w:rFonts w:asciiTheme="minorHAnsi" w:hAnsiTheme="minorHAnsi" w:cstheme="minorHAnsi"/>
          <w:sz w:val="22"/>
          <w:szCs w:val="22"/>
        </w:rPr>
        <w:t xml:space="preserve"> 2020 m</w:t>
      </w:r>
      <w:r w:rsidR="00DF3D4F">
        <w:rPr>
          <w:rFonts w:asciiTheme="minorHAnsi" w:hAnsiTheme="minorHAnsi" w:cstheme="minorHAnsi"/>
          <w:sz w:val="22"/>
          <w:szCs w:val="22"/>
        </w:rPr>
        <w:t>etais</w:t>
      </w:r>
      <w:r w:rsidRPr="009B61A5">
        <w:rPr>
          <w:rFonts w:asciiTheme="minorHAnsi" w:hAnsiTheme="minorHAnsi" w:cstheme="minorHAnsi"/>
          <w:sz w:val="22"/>
          <w:szCs w:val="22"/>
        </w:rPr>
        <w:t xml:space="preserve"> gautų draudimo išmokų pripažinimo (ne)apmokestinamosiomis pajamomis. Konkrečiai mokesčių administratorius apmokestinamosiomis pajamomis laikė</w:t>
      </w:r>
      <w:r w:rsidR="007C1632">
        <w:rPr>
          <w:rFonts w:asciiTheme="minorHAnsi" w:hAnsiTheme="minorHAnsi" w:cstheme="minorHAnsi"/>
          <w:sz w:val="22"/>
          <w:szCs w:val="22"/>
        </w:rPr>
        <w:t xml:space="preserve"> </w:t>
      </w:r>
      <w:r w:rsidRPr="009B61A5">
        <w:rPr>
          <w:rFonts w:asciiTheme="minorHAnsi" w:hAnsiTheme="minorHAnsi" w:cstheme="minorHAnsi"/>
          <w:sz w:val="22"/>
          <w:szCs w:val="22"/>
        </w:rPr>
        <w:t>tą išmokos dalį, kuri atitiko įmokų sumas,</w:t>
      </w:r>
      <w:r w:rsidR="007C1632">
        <w:rPr>
          <w:rFonts w:asciiTheme="minorHAnsi" w:hAnsiTheme="minorHAnsi" w:cstheme="minorHAnsi"/>
          <w:sz w:val="22"/>
          <w:szCs w:val="22"/>
        </w:rPr>
        <w:t xml:space="preserve"> </w:t>
      </w:r>
      <w:r w:rsidRPr="009B61A5">
        <w:rPr>
          <w:rFonts w:asciiTheme="minorHAnsi" w:hAnsiTheme="minorHAnsi" w:cstheme="minorHAnsi"/>
          <w:sz w:val="22"/>
          <w:szCs w:val="22"/>
        </w:rPr>
        <w:t>dėl kurių pareiškėjas ir jo sutuoktinė</w:t>
      </w:r>
      <w:r w:rsidR="007C1632">
        <w:rPr>
          <w:rFonts w:asciiTheme="minorHAnsi" w:hAnsiTheme="minorHAnsi" w:cstheme="minorHAnsi"/>
          <w:sz w:val="22"/>
          <w:szCs w:val="22"/>
        </w:rPr>
        <w:t xml:space="preserve"> </w:t>
      </w:r>
      <w:r w:rsidRPr="009B61A5">
        <w:rPr>
          <w:rFonts w:asciiTheme="minorHAnsi" w:hAnsiTheme="minorHAnsi" w:cstheme="minorHAnsi"/>
          <w:sz w:val="22"/>
          <w:szCs w:val="22"/>
        </w:rPr>
        <w:t>2005–2019 m</w:t>
      </w:r>
      <w:r w:rsidR="00DF3D4F">
        <w:rPr>
          <w:rFonts w:asciiTheme="minorHAnsi" w:hAnsiTheme="minorHAnsi" w:cstheme="minorHAnsi"/>
          <w:sz w:val="22"/>
          <w:szCs w:val="22"/>
        </w:rPr>
        <w:t>etais</w:t>
      </w:r>
      <w:r w:rsidRPr="009B61A5">
        <w:rPr>
          <w:rFonts w:asciiTheme="minorHAnsi" w:hAnsiTheme="minorHAnsi" w:cstheme="minorHAnsi"/>
          <w:sz w:val="22"/>
          <w:szCs w:val="22"/>
        </w:rPr>
        <w:t xml:space="preserve"> pasinaudojo Gyventojų pajamų mokesčio įstatymo (toliau – GPM įstatymas) numatyta lengvata, susigrąžindami dalį atitinkamais metais mokėtino GPM.</w:t>
      </w:r>
    </w:p>
    <w:p w14:paraId="2AD93D3F" w14:textId="0A35DFFA" w:rsidR="009B61A5" w:rsidRPr="009B61A5" w:rsidRDefault="009B61A5" w:rsidP="009B61A5">
      <w:pPr>
        <w:ind w:firstLine="567"/>
        <w:jc w:val="both"/>
        <w:rPr>
          <w:rFonts w:asciiTheme="minorHAnsi" w:hAnsiTheme="minorHAnsi" w:cstheme="minorHAnsi"/>
          <w:sz w:val="22"/>
          <w:szCs w:val="22"/>
        </w:rPr>
      </w:pPr>
      <w:r w:rsidRPr="009B61A5">
        <w:rPr>
          <w:rFonts w:asciiTheme="minorHAnsi" w:hAnsiTheme="minorHAnsi" w:cstheme="minorHAnsi"/>
          <w:sz w:val="22"/>
          <w:szCs w:val="22"/>
        </w:rPr>
        <w:t>Pareiškėjas su tokiu vertinimu nesutiko, nurodydamas, kad</w:t>
      </w:r>
      <w:r w:rsidR="007C1632">
        <w:rPr>
          <w:rFonts w:asciiTheme="minorHAnsi" w:hAnsiTheme="minorHAnsi" w:cstheme="minorHAnsi"/>
          <w:sz w:val="22"/>
          <w:szCs w:val="22"/>
        </w:rPr>
        <w:t xml:space="preserve"> </w:t>
      </w:r>
      <w:r w:rsidRPr="009B61A5">
        <w:rPr>
          <w:rFonts w:asciiTheme="minorHAnsi" w:hAnsiTheme="minorHAnsi" w:cstheme="minorHAnsi"/>
          <w:sz w:val="22"/>
          <w:szCs w:val="22"/>
        </w:rPr>
        <w:t>nors draudimo išmokos gavėjas buvo jis pats, tačiau faktiškai gautas sumas pervedė dukrai, kuri yra jaunesnė nei 26 metų amžiaus, dėl ko, vadovaujantis GPM įstatymo 17 straipsnio 1 dalies 10</w:t>
      </w:r>
      <w:r w:rsidR="007C1632">
        <w:rPr>
          <w:rFonts w:asciiTheme="minorHAnsi" w:hAnsiTheme="minorHAnsi" w:cstheme="minorHAnsi"/>
          <w:sz w:val="22"/>
          <w:szCs w:val="22"/>
        </w:rPr>
        <w:t xml:space="preserve"> </w:t>
      </w:r>
      <w:r w:rsidRPr="009B61A5">
        <w:rPr>
          <w:rFonts w:asciiTheme="minorHAnsi" w:hAnsiTheme="minorHAnsi" w:cstheme="minorHAnsi"/>
          <w:sz w:val="22"/>
          <w:szCs w:val="22"/>
        </w:rPr>
        <w:t>punktu, ši išmoka neturėjo būti apmokestinama.</w:t>
      </w:r>
    </w:p>
    <w:p w14:paraId="6B0F57B3" w14:textId="350565BF" w:rsidR="009B61A5" w:rsidRPr="009B61A5" w:rsidRDefault="009B61A5" w:rsidP="009B61A5">
      <w:pPr>
        <w:ind w:firstLine="567"/>
        <w:jc w:val="both"/>
        <w:rPr>
          <w:rFonts w:asciiTheme="minorHAnsi" w:hAnsiTheme="minorHAnsi" w:cstheme="minorHAnsi"/>
          <w:sz w:val="22"/>
          <w:szCs w:val="22"/>
        </w:rPr>
      </w:pPr>
      <w:r w:rsidRPr="009B61A5">
        <w:rPr>
          <w:rFonts w:asciiTheme="minorHAnsi" w:hAnsiTheme="minorHAnsi" w:cstheme="minorHAnsi"/>
          <w:sz w:val="22"/>
          <w:szCs w:val="22"/>
        </w:rPr>
        <w:t>Pagal GPM įstatymo 17 straipsnio 1 dalies 10 punktą</w:t>
      </w:r>
      <w:r w:rsidR="007C1632">
        <w:rPr>
          <w:rFonts w:asciiTheme="minorHAnsi" w:hAnsiTheme="minorHAnsi" w:cstheme="minorHAnsi"/>
          <w:sz w:val="22"/>
          <w:szCs w:val="22"/>
        </w:rPr>
        <w:t xml:space="preserve"> </w:t>
      </w:r>
      <w:r w:rsidRPr="009B61A5">
        <w:rPr>
          <w:rFonts w:asciiTheme="minorHAnsi" w:hAnsiTheme="minorHAnsi" w:cstheme="minorHAnsi"/>
          <w:sz w:val="22"/>
          <w:szCs w:val="22"/>
        </w:rPr>
        <w:t>neapmokestinamosiomis pajamomis pripažįstamos</w:t>
      </w:r>
      <w:r w:rsidR="007C1632">
        <w:rPr>
          <w:rFonts w:asciiTheme="minorHAnsi" w:hAnsiTheme="minorHAnsi" w:cstheme="minorHAnsi"/>
          <w:sz w:val="22"/>
          <w:szCs w:val="22"/>
        </w:rPr>
        <w:t xml:space="preserve"> </w:t>
      </w:r>
      <w:r w:rsidRPr="009B61A5">
        <w:rPr>
          <w:rFonts w:asciiTheme="minorHAnsi" w:hAnsiTheme="minorHAnsi" w:cstheme="minorHAnsi"/>
          <w:sz w:val="22"/>
          <w:szCs w:val="22"/>
        </w:rPr>
        <w:t>pasibaigus draudimo sutarties galiojimo terminui gauta gyvybės draudimo išmoka pagal gyvybės draudimo sutartį, sudarytą nuo 2003 m. sausio 1 d., kurioje numatyta, kad draudimo išmoka išmokama ne tik įvykus draudžiamajam įvykiui, bet ir pasibaigus draudimo sutarties galiojimo terminui, jeigu gyvybės draudimo sutarties terminas yra ne trumpesnis kaip 10 metų ir išmokos gavimo momentu išmokos gavėjas yra jaunesnis negu 26</w:t>
      </w:r>
      <w:r w:rsidR="00D93639">
        <w:rPr>
          <w:rFonts w:asciiTheme="minorHAnsi" w:hAnsiTheme="minorHAnsi" w:cstheme="minorHAnsi"/>
          <w:sz w:val="22"/>
          <w:szCs w:val="22"/>
        </w:rPr>
        <w:t> </w:t>
      </w:r>
      <w:r w:rsidRPr="009B61A5">
        <w:rPr>
          <w:rFonts w:asciiTheme="minorHAnsi" w:hAnsiTheme="minorHAnsi" w:cstheme="minorHAnsi"/>
          <w:sz w:val="22"/>
          <w:szCs w:val="22"/>
        </w:rPr>
        <w:t>metų, taip pat nutraukus tokią sutartį mokamos sumos, jeigu sutartis nutraukta ne anksčiau kaip praėjus 10</w:t>
      </w:r>
      <w:r w:rsidR="00D93639">
        <w:rPr>
          <w:rFonts w:asciiTheme="minorHAnsi" w:hAnsiTheme="minorHAnsi" w:cstheme="minorHAnsi"/>
          <w:sz w:val="22"/>
          <w:szCs w:val="22"/>
        </w:rPr>
        <w:t> </w:t>
      </w:r>
      <w:r w:rsidRPr="009B61A5">
        <w:rPr>
          <w:rFonts w:asciiTheme="minorHAnsi" w:hAnsiTheme="minorHAnsi" w:cstheme="minorHAnsi"/>
          <w:sz w:val="22"/>
          <w:szCs w:val="22"/>
        </w:rPr>
        <w:t>metų nuo jos sudarymo dienos ir išmokos gavėjas yra jaunesnis negu 26 metų</w:t>
      </w:r>
      <w:r w:rsidR="00D93639">
        <w:rPr>
          <w:rFonts w:asciiTheme="minorHAnsi" w:hAnsiTheme="minorHAnsi" w:cstheme="minorHAnsi"/>
          <w:sz w:val="22"/>
          <w:szCs w:val="22"/>
        </w:rPr>
        <w:t>.</w:t>
      </w:r>
    </w:p>
    <w:p w14:paraId="46A4689C" w14:textId="452DBB36" w:rsidR="009B61A5" w:rsidRDefault="009B61A5" w:rsidP="009B61A5">
      <w:pPr>
        <w:ind w:firstLine="567"/>
        <w:jc w:val="both"/>
        <w:rPr>
          <w:rFonts w:asciiTheme="minorHAnsi" w:hAnsiTheme="minorHAnsi" w:cstheme="minorHAnsi"/>
          <w:sz w:val="22"/>
          <w:szCs w:val="22"/>
        </w:rPr>
      </w:pPr>
      <w:r w:rsidRPr="009B61A5">
        <w:rPr>
          <w:rFonts w:asciiTheme="minorHAnsi" w:hAnsiTheme="minorHAnsi" w:cstheme="minorHAnsi"/>
          <w:sz w:val="22"/>
          <w:szCs w:val="22"/>
        </w:rPr>
        <w:t>LVAT teisėjų kolegija pritarė pirmosios instancijos teismo vertinimui, kad</w:t>
      </w:r>
      <w:r w:rsidR="007C1632">
        <w:rPr>
          <w:rFonts w:asciiTheme="minorHAnsi" w:hAnsiTheme="minorHAnsi" w:cstheme="minorHAnsi"/>
          <w:sz w:val="22"/>
          <w:szCs w:val="22"/>
        </w:rPr>
        <w:t xml:space="preserve"> </w:t>
      </w:r>
      <w:r w:rsidRPr="009B61A5">
        <w:rPr>
          <w:rFonts w:asciiTheme="minorHAnsi" w:hAnsiTheme="minorHAnsi" w:cstheme="minorHAnsi"/>
          <w:sz w:val="22"/>
          <w:szCs w:val="22"/>
        </w:rPr>
        <w:t xml:space="preserve">mokesčio </w:t>
      </w:r>
      <w:r w:rsidRPr="009B61A5">
        <w:rPr>
          <w:rFonts w:asciiTheme="minorHAnsi" w:hAnsiTheme="minorHAnsi" w:cstheme="minorHAnsi"/>
          <w:sz w:val="22"/>
          <w:szCs w:val="22"/>
          <w:u w:val="single"/>
        </w:rPr>
        <w:t>lengvata yra taikoma, kai tenkinamos visos GPM įstatymo</w:t>
      </w:r>
      <w:r w:rsidR="007C1632">
        <w:rPr>
          <w:rFonts w:asciiTheme="minorHAnsi" w:hAnsiTheme="minorHAnsi" w:cstheme="minorHAnsi"/>
          <w:sz w:val="22"/>
          <w:szCs w:val="22"/>
          <w:u w:val="single"/>
        </w:rPr>
        <w:t xml:space="preserve"> </w:t>
      </w:r>
      <w:r w:rsidRPr="009B61A5">
        <w:rPr>
          <w:rFonts w:asciiTheme="minorHAnsi" w:hAnsiTheme="minorHAnsi" w:cstheme="minorHAnsi"/>
          <w:sz w:val="22"/>
          <w:szCs w:val="22"/>
          <w:u w:val="single"/>
        </w:rPr>
        <w:t>17 straipsnio 1 dalies</w:t>
      </w:r>
      <w:r w:rsidR="007C1632">
        <w:rPr>
          <w:rFonts w:asciiTheme="minorHAnsi" w:hAnsiTheme="minorHAnsi" w:cstheme="minorHAnsi"/>
          <w:sz w:val="22"/>
          <w:szCs w:val="22"/>
          <w:u w:val="single"/>
        </w:rPr>
        <w:t xml:space="preserve"> </w:t>
      </w:r>
      <w:r w:rsidRPr="009B61A5">
        <w:rPr>
          <w:rFonts w:asciiTheme="minorHAnsi" w:hAnsiTheme="minorHAnsi" w:cstheme="minorHAnsi"/>
          <w:sz w:val="22"/>
          <w:szCs w:val="22"/>
          <w:u w:val="single"/>
        </w:rPr>
        <w:t xml:space="preserve">10 punkte nustatytos sąlygos. </w:t>
      </w:r>
      <w:r w:rsidR="005506D4">
        <w:rPr>
          <w:rFonts w:asciiTheme="minorHAnsi" w:hAnsiTheme="minorHAnsi" w:cstheme="minorHAnsi"/>
          <w:sz w:val="22"/>
          <w:szCs w:val="22"/>
          <w:u w:val="single"/>
        </w:rPr>
        <w:t>N</w:t>
      </w:r>
      <w:r w:rsidRPr="009B61A5">
        <w:rPr>
          <w:rFonts w:asciiTheme="minorHAnsi" w:hAnsiTheme="minorHAnsi" w:cstheme="minorHAnsi"/>
          <w:sz w:val="22"/>
          <w:szCs w:val="22"/>
          <w:u w:val="single"/>
        </w:rPr>
        <w:t>ors nagrinėtu atveju gyvybės draudimo sutartis buvo sudaryta ilgesniam nei 10 metų terminui, tačiau išmokos gavimo momentu pareiškėjui, kuris sudarė sutartį ir visą jos galiojimo laikotarpį buvo naudos gavėjas (būsimas išmokos gavėjas), buvo daugiau nei 26</w:t>
      </w:r>
      <w:r w:rsidR="009852C1">
        <w:rPr>
          <w:rFonts w:asciiTheme="minorHAnsi" w:hAnsiTheme="minorHAnsi" w:cstheme="minorHAnsi"/>
          <w:sz w:val="22"/>
          <w:szCs w:val="22"/>
          <w:u w:val="single"/>
        </w:rPr>
        <w:t xml:space="preserve"> </w:t>
      </w:r>
      <w:r w:rsidRPr="009B61A5">
        <w:rPr>
          <w:rFonts w:asciiTheme="minorHAnsi" w:hAnsiTheme="minorHAnsi" w:cstheme="minorHAnsi"/>
          <w:sz w:val="22"/>
          <w:szCs w:val="22"/>
          <w:u w:val="single"/>
        </w:rPr>
        <w:t>metai. Atsižvelgiant į tai, kad nebuvo tenkinama viena iš esminių lengvatos taikymo sąlygų,</w:t>
      </w:r>
      <w:r w:rsidRPr="009B61A5">
        <w:rPr>
          <w:rFonts w:asciiTheme="minorHAnsi" w:hAnsiTheme="minorHAnsi" w:cstheme="minorHAnsi"/>
          <w:sz w:val="22"/>
          <w:szCs w:val="22"/>
        </w:rPr>
        <w:t xml:space="preserve"> mokesčių administratorius pagrįstai pareiškėjo gautas pajamas dėl jų priskyrimo neapmokestinamosioms vertin</w:t>
      </w:r>
      <w:r w:rsidR="009852C1">
        <w:rPr>
          <w:rFonts w:asciiTheme="minorHAnsi" w:hAnsiTheme="minorHAnsi" w:cstheme="minorHAnsi"/>
          <w:sz w:val="22"/>
          <w:szCs w:val="22"/>
        </w:rPr>
        <w:t>o</w:t>
      </w:r>
      <w:r w:rsidRPr="009B61A5">
        <w:rPr>
          <w:rFonts w:asciiTheme="minorHAnsi" w:hAnsiTheme="minorHAnsi" w:cstheme="minorHAnsi"/>
          <w:sz w:val="22"/>
          <w:szCs w:val="22"/>
        </w:rPr>
        <w:t xml:space="preserve"> vadovaudamasi</w:t>
      </w:r>
      <w:r w:rsidR="009852C1">
        <w:rPr>
          <w:rFonts w:asciiTheme="minorHAnsi" w:hAnsiTheme="minorHAnsi" w:cstheme="minorHAnsi"/>
          <w:sz w:val="22"/>
          <w:szCs w:val="22"/>
        </w:rPr>
        <w:t>s</w:t>
      </w:r>
      <w:r w:rsidRPr="009B61A5">
        <w:rPr>
          <w:rFonts w:asciiTheme="minorHAnsi" w:hAnsiTheme="minorHAnsi" w:cstheme="minorHAnsi"/>
          <w:sz w:val="22"/>
          <w:szCs w:val="22"/>
        </w:rPr>
        <w:t xml:space="preserve"> GPM įstatymo 17 straipsnio 1 dalies 12 punktu, kuriame nustatyta, jog pasibaigus gyvybės draudimo sutarties, sudarytos nuo 2003 m. sausio 1 d., galiojimo terminui gautos gyvybės draudimo išmokos dalis, lygi pagal šią sutartį sumokėtoms įmokoms, kurias mokėjo gyventojai ir kurios nebuvo atimamos iš pajamų GPM</w:t>
      </w:r>
      <w:r w:rsidR="009852C1">
        <w:rPr>
          <w:rFonts w:asciiTheme="minorHAnsi" w:hAnsiTheme="minorHAnsi" w:cstheme="minorHAnsi"/>
          <w:sz w:val="22"/>
          <w:szCs w:val="22"/>
        </w:rPr>
        <w:t xml:space="preserve"> įstatymo</w:t>
      </w:r>
      <w:r w:rsidRPr="009B61A5">
        <w:rPr>
          <w:rFonts w:asciiTheme="minorHAnsi" w:hAnsiTheme="minorHAnsi" w:cstheme="minorHAnsi"/>
          <w:sz w:val="22"/>
          <w:szCs w:val="22"/>
        </w:rPr>
        <w:t xml:space="preserve"> nustatyta tvarka, taip pat nutraukus gyvybės draudimo sutartį, sudarytą nuo 2003 m. sausio 1 d., grąžinamos įmokos, kurias mokėjo gyventojai ir kurios nebuvo atimamos iš pajamų GPM</w:t>
      </w:r>
      <w:r w:rsidR="009852C1">
        <w:rPr>
          <w:rFonts w:asciiTheme="minorHAnsi" w:hAnsiTheme="minorHAnsi" w:cstheme="minorHAnsi"/>
          <w:sz w:val="22"/>
          <w:szCs w:val="22"/>
        </w:rPr>
        <w:t xml:space="preserve"> įstatymo</w:t>
      </w:r>
      <w:r w:rsidRPr="009B61A5">
        <w:rPr>
          <w:rFonts w:asciiTheme="minorHAnsi" w:hAnsiTheme="minorHAnsi" w:cstheme="minorHAnsi"/>
          <w:sz w:val="22"/>
          <w:szCs w:val="22"/>
        </w:rPr>
        <w:t xml:space="preserve"> nustatyta tvarka. Todėl buvo pripažinta, kad atsakovas, nustatęs, jog pagal gyvybės draudimo sutartį pareiškėjo mokamos įmokos buvo atimamos iš pajamų GPM įstatymo nustatyta tvarka, pagrįstai</w:t>
      </w:r>
      <w:r w:rsidR="007C1632">
        <w:rPr>
          <w:rFonts w:asciiTheme="minorHAnsi" w:hAnsiTheme="minorHAnsi" w:cstheme="minorHAnsi"/>
          <w:sz w:val="22"/>
          <w:szCs w:val="22"/>
        </w:rPr>
        <w:t xml:space="preserve"> </w:t>
      </w:r>
      <w:r w:rsidRPr="009B61A5">
        <w:rPr>
          <w:rFonts w:asciiTheme="minorHAnsi" w:hAnsiTheme="minorHAnsi" w:cstheme="minorHAnsi"/>
          <w:sz w:val="22"/>
          <w:szCs w:val="22"/>
        </w:rPr>
        <w:t>priskyrė ginčo pajamų dalį apmokestinamosioms pajamoms.</w:t>
      </w:r>
    </w:p>
    <w:p w14:paraId="3C8DA5EC" w14:textId="3656BC43" w:rsidR="00030ED6" w:rsidRPr="00283F3D" w:rsidRDefault="00030ED6" w:rsidP="00030ED6">
      <w:pPr>
        <w:ind w:firstLine="567"/>
        <w:jc w:val="both"/>
        <w:rPr>
          <w:rFonts w:asciiTheme="minorHAnsi" w:hAnsiTheme="minorHAnsi" w:cstheme="minorHAnsi"/>
          <w:sz w:val="22"/>
          <w:szCs w:val="22"/>
        </w:rPr>
      </w:pPr>
      <w:r>
        <w:rPr>
          <w:rFonts w:asciiTheme="minorHAnsi" w:hAnsiTheme="minorHAnsi" w:cstheme="minorHAnsi"/>
          <w:sz w:val="22"/>
          <w:szCs w:val="22"/>
        </w:rPr>
        <w:t>Pareiškėjo apeliacinis skundas atmestas, p</w:t>
      </w:r>
      <w:r w:rsidRPr="00EA494F">
        <w:rPr>
          <w:rStyle w:val="normaltextrun"/>
          <w:rFonts w:asciiTheme="minorHAnsi" w:eastAsia="Calibri" w:hAnsiTheme="minorHAnsi"/>
          <w:sz w:val="22"/>
          <w:szCs w:val="22"/>
        </w:rPr>
        <w:t xml:space="preserve">irmosios instancijos teismo </w:t>
      </w:r>
      <w:r>
        <w:rPr>
          <w:rStyle w:val="normaltextrun"/>
          <w:rFonts w:asciiTheme="minorHAnsi" w:eastAsia="Calibri" w:hAnsiTheme="minorHAnsi"/>
          <w:sz w:val="22"/>
          <w:szCs w:val="22"/>
        </w:rPr>
        <w:t>sprendimas</w:t>
      </w:r>
      <w:r w:rsidRPr="00EA494F">
        <w:rPr>
          <w:rStyle w:val="normaltextrun"/>
          <w:rFonts w:asciiTheme="minorHAnsi" w:eastAsia="Calibri" w:hAnsiTheme="minorHAnsi"/>
          <w:sz w:val="22"/>
          <w:szCs w:val="22"/>
        </w:rPr>
        <w:t xml:space="preserve"> palikta</w:t>
      </w:r>
      <w:r>
        <w:rPr>
          <w:rStyle w:val="normaltextrun"/>
          <w:rFonts w:asciiTheme="minorHAnsi" w:eastAsia="Calibri" w:hAnsiTheme="minorHAnsi"/>
          <w:sz w:val="22"/>
          <w:szCs w:val="22"/>
        </w:rPr>
        <w:t>s</w:t>
      </w:r>
      <w:r w:rsidRPr="00EA494F">
        <w:rPr>
          <w:rStyle w:val="normaltextrun"/>
          <w:rFonts w:asciiTheme="minorHAnsi" w:eastAsia="Calibri" w:hAnsiTheme="minorHAnsi"/>
          <w:sz w:val="22"/>
          <w:szCs w:val="22"/>
        </w:rPr>
        <w:t xml:space="preserve"> nepakeista</w:t>
      </w:r>
      <w:r>
        <w:rPr>
          <w:rStyle w:val="normaltextrun"/>
          <w:rFonts w:asciiTheme="minorHAnsi" w:eastAsia="Calibri" w:hAnsiTheme="minorHAnsi"/>
          <w:sz w:val="22"/>
          <w:szCs w:val="22"/>
        </w:rPr>
        <w:t>s.</w:t>
      </w:r>
    </w:p>
    <w:p w14:paraId="2C4E08CE" w14:textId="77777777" w:rsidR="009B61A5" w:rsidRPr="009B61A5" w:rsidRDefault="009B61A5" w:rsidP="009B61A5">
      <w:pPr>
        <w:jc w:val="both"/>
        <w:rPr>
          <w:rFonts w:asciiTheme="minorHAnsi" w:hAnsiTheme="minorHAnsi" w:cstheme="minorHAnsi"/>
          <w:sz w:val="22"/>
          <w:szCs w:val="22"/>
        </w:rPr>
      </w:pPr>
    </w:p>
    <w:p w14:paraId="48B4A266" w14:textId="77777777" w:rsidR="009B61A5" w:rsidRPr="009B61A5" w:rsidRDefault="009B61A5" w:rsidP="009B61A5">
      <w:pPr>
        <w:jc w:val="both"/>
        <w:rPr>
          <w:rFonts w:asciiTheme="minorHAnsi" w:hAnsiTheme="minorHAnsi" w:cstheme="minorHAnsi"/>
          <w:sz w:val="22"/>
          <w:szCs w:val="22"/>
        </w:rPr>
      </w:pPr>
      <w:r w:rsidRPr="009B61A5">
        <w:rPr>
          <w:rFonts w:asciiTheme="minorHAnsi" w:hAnsiTheme="minorHAnsi" w:cstheme="minorHAnsi"/>
          <w:sz w:val="22"/>
          <w:szCs w:val="22"/>
        </w:rPr>
        <w:t>2023 m. lapkričio 22 d. nutartis administracinėje byloje Nr. eA-849-556/2023</w:t>
      </w:r>
    </w:p>
    <w:p w14:paraId="54C6FB8B" w14:textId="77777777" w:rsidR="009B61A5" w:rsidRPr="009B61A5" w:rsidRDefault="009B61A5" w:rsidP="009B61A5">
      <w:pPr>
        <w:jc w:val="both"/>
        <w:rPr>
          <w:rFonts w:asciiTheme="minorHAnsi" w:hAnsiTheme="minorHAnsi" w:cstheme="minorHAnsi"/>
          <w:sz w:val="22"/>
          <w:szCs w:val="22"/>
        </w:rPr>
      </w:pPr>
      <w:r w:rsidRPr="009B61A5">
        <w:rPr>
          <w:rFonts w:asciiTheme="minorHAnsi" w:hAnsiTheme="minorHAnsi" w:cstheme="minorHAnsi"/>
          <w:sz w:val="22"/>
          <w:szCs w:val="22"/>
        </w:rPr>
        <w:t>Teisminio proceso Nr. 3-61-3-03109-2021-1</w:t>
      </w:r>
    </w:p>
    <w:p w14:paraId="70ACF130" w14:textId="77777777" w:rsidR="009B61A5" w:rsidRPr="009B61A5" w:rsidRDefault="009B61A5" w:rsidP="009B61A5">
      <w:pPr>
        <w:jc w:val="both"/>
        <w:rPr>
          <w:rFonts w:asciiTheme="minorHAnsi" w:hAnsiTheme="minorHAnsi" w:cstheme="minorHAnsi"/>
          <w:sz w:val="22"/>
          <w:szCs w:val="22"/>
        </w:rPr>
      </w:pPr>
      <w:r w:rsidRPr="009B61A5">
        <w:rPr>
          <w:rFonts w:asciiTheme="minorHAnsi" w:hAnsiTheme="minorHAnsi" w:cstheme="minorHAnsi"/>
          <w:sz w:val="22"/>
          <w:szCs w:val="22"/>
        </w:rPr>
        <w:t>Procesinio sprendimo kategorija 12.13.1.2</w:t>
      </w:r>
    </w:p>
    <w:p w14:paraId="35ADBBA5" w14:textId="77777777" w:rsidR="009B61A5" w:rsidRPr="009B61A5" w:rsidRDefault="00000000" w:rsidP="009B61A5">
      <w:pPr>
        <w:jc w:val="both"/>
        <w:rPr>
          <w:rFonts w:asciiTheme="minorHAnsi" w:hAnsiTheme="minorHAnsi" w:cstheme="minorHAnsi"/>
          <w:sz w:val="22"/>
          <w:szCs w:val="22"/>
        </w:rPr>
      </w:pPr>
      <w:hyperlink r:id="rId13" w:history="1">
        <w:r w:rsidR="009B61A5" w:rsidRPr="009B61A5">
          <w:rPr>
            <w:rStyle w:val="Hyperlink"/>
            <w:rFonts w:asciiTheme="minorHAnsi" w:hAnsiTheme="minorHAnsi" w:cstheme="minorHAnsi"/>
            <w:sz w:val="22"/>
            <w:szCs w:val="22"/>
          </w:rPr>
          <w:t>Prieiga internete</w:t>
        </w:r>
      </w:hyperlink>
    </w:p>
    <w:p w14:paraId="58E2879B" w14:textId="77777777" w:rsidR="00F24310" w:rsidRPr="00F56F28" w:rsidRDefault="00F24310" w:rsidP="00A32A5C">
      <w:pPr>
        <w:ind w:firstLine="567"/>
        <w:rPr>
          <w:rFonts w:asciiTheme="minorHAnsi" w:hAnsiTheme="minorHAnsi" w:cstheme="minorHAnsi"/>
          <w:sz w:val="22"/>
          <w:szCs w:val="22"/>
        </w:rPr>
      </w:pPr>
    </w:p>
    <w:p w14:paraId="2B27376F" w14:textId="77777777" w:rsidR="005817E4" w:rsidRPr="005817E4" w:rsidRDefault="005817E4" w:rsidP="005817E4">
      <w:pPr>
        <w:pStyle w:val="Apzvalgai1"/>
        <w:rPr>
          <w:rFonts w:asciiTheme="minorHAnsi" w:hAnsiTheme="minorHAnsi" w:cstheme="minorHAnsi"/>
        </w:rPr>
      </w:pPr>
      <w:bookmarkStart w:id="36" w:name="_Toc159340661"/>
      <w:r w:rsidRPr="005817E4">
        <w:rPr>
          <w:rFonts w:asciiTheme="minorHAnsi" w:hAnsiTheme="minorHAnsi" w:cstheme="minorHAnsi"/>
        </w:rPr>
        <w:t>18. Nuosavybės teisių atkūrimas</w:t>
      </w:r>
      <w:bookmarkEnd w:id="36"/>
    </w:p>
    <w:p w14:paraId="1A865795" w14:textId="77777777" w:rsidR="005817E4" w:rsidRDefault="005817E4" w:rsidP="005817E4">
      <w:pPr>
        <w:pStyle w:val="NoSpacing"/>
        <w:ind w:firstLine="567"/>
        <w:jc w:val="both"/>
        <w:rPr>
          <w:rFonts w:cstheme="minorHAnsi"/>
          <w:b/>
          <w:bCs/>
          <w:u w:val="single"/>
        </w:rPr>
      </w:pPr>
      <w:r w:rsidRPr="007029A7">
        <w:rPr>
          <w:rFonts w:cstheme="minorHAnsi"/>
          <w:b/>
          <w:bCs/>
          <w:u w:val="single"/>
        </w:rPr>
        <w:t>1</w:t>
      </w:r>
      <w:r>
        <w:rPr>
          <w:rFonts w:cstheme="minorHAnsi"/>
          <w:b/>
          <w:bCs/>
          <w:u w:val="single"/>
        </w:rPr>
        <w:t>8</w:t>
      </w:r>
      <w:r w:rsidRPr="007029A7">
        <w:rPr>
          <w:rFonts w:cstheme="minorHAnsi"/>
          <w:b/>
          <w:bCs/>
          <w:u w:val="single"/>
        </w:rPr>
        <w:t>.</w:t>
      </w:r>
      <w:r>
        <w:rPr>
          <w:rFonts w:cstheme="minorHAnsi"/>
          <w:b/>
          <w:bCs/>
          <w:u w:val="single"/>
        </w:rPr>
        <w:t xml:space="preserve">4. </w:t>
      </w:r>
      <w:r w:rsidRPr="00F169B0">
        <w:rPr>
          <w:rFonts w:cstheme="minorHAnsi"/>
          <w:b/>
          <w:bCs/>
          <w:u w:val="single"/>
        </w:rPr>
        <w:t>Nuosavybės teisių atkūrimas į žemę</w:t>
      </w:r>
    </w:p>
    <w:p w14:paraId="2EDABE71" w14:textId="77777777" w:rsidR="005817E4" w:rsidRPr="00316EEF" w:rsidRDefault="005817E4" w:rsidP="005817E4">
      <w:pPr>
        <w:pStyle w:val="NoSpacing"/>
        <w:ind w:firstLine="1134"/>
        <w:jc w:val="both"/>
        <w:rPr>
          <w:rFonts w:cstheme="minorHAnsi"/>
          <w:b/>
          <w:bCs/>
          <w:u w:val="single"/>
        </w:rPr>
      </w:pPr>
      <w:r>
        <w:rPr>
          <w:rFonts w:cstheme="minorHAnsi"/>
          <w:b/>
          <w:bCs/>
          <w:u w:val="single"/>
        </w:rPr>
        <w:t xml:space="preserve">18.4.2. </w:t>
      </w:r>
      <w:r w:rsidRPr="00F169B0">
        <w:rPr>
          <w:rFonts w:cstheme="minorHAnsi"/>
          <w:b/>
          <w:bCs/>
          <w:u w:val="single"/>
        </w:rPr>
        <w:t>Miesto žemė</w:t>
      </w:r>
    </w:p>
    <w:p w14:paraId="18C8C5F0" w14:textId="77777777" w:rsidR="005817E4" w:rsidRDefault="005817E4" w:rsidP="005817E4">
      <w:pPr>
        <w:pStyle w:val="NoSpacing"/>
        <w:jc w:val="both"/>
        <w:rPr>
          <w:rFonts w:cstheme="minorHAnsi"/>
        </w:rPr>
      </w:pPr>
    </w:p>
    <w:p w14:paraId="695E51F4" w14:textId="77777777" w:rsidR="005817E4" w:rsidRPr="005817E4" w:rsidRDefault="005817E4" w:rsidP="005817E4">
      <w:pPr>
        <w:jc w:val="both"/>
        <w:outlineLvl w:val="1"/>
        <w:rPr>
          <w:rFonts w:asciiTheme="minorHAnsi" w:eastAsia="Calibri" w:hAnsiTheme="minorHAnsi" w:cstheme="minorHAnsi"/>
          <w:i/>
          <w:sz w:val="22"/>
          <w:szCs w:val="22"/>
        </w:rPr>
      </w:pPr>
      <w:bookmarkStart w:id="37" w:name="_Toc159340662"/>
      <w:r w:rsidRPr="005817E4">
        <w:rPr>
          <w:rFonts w:asciiTheme="minorHAnsi" w:eastAsia="Calibri" w:hAnsiTheme="minorHAnsi" w:cstheme="minorHAnsi"/>
          <w:i/>
          <w:sz w:val="22"/>
          <w:szCs w:val="22"/>
        </w:rPr>
        <w:t>Dėl činšo teisės paveldėjimo</w:t>
      </w:r>
      <w:bookmarkEnd w:id="37"/>
    </w:p>
    <w:p w14:paraId="627AE3F4" w14:textId="77777777" w:rsidR="005817E4" w:rsidRDefault="005817E4" w:rsidP="005817E4">
      <w:pPr>
        <w:pStyle w:val="NoSpacing"/>
        <w:jc w:val="both"/>
        <w:rPr>
          <w:rFonts w:cstheme="minorHAnsi"/>
        </w:rPr>
      </w:pPr>
    </w:p>
    <w:p w14:paraId="1F87F5CA" w14:textId="77777777" w:rsidR="005817E4" w:rsidRDefault="005817E4" w:rsidP="005817E4">
      <w:pPr>
        <w:pStyle w:val="NoSpacing"/>
        <w:ind w:firstLine="567"/>
        <w:jc w:val="both"/>
        <w:rPr>
          <w:rFonts w:cstheme="minorHAnsi"/>
        </w:rPr>
      </w:pPr>
      <w:r>
        <w:rPr>
          <w:rFonts w:cstheme="minorHAnsi"/>
        </w:rPr>
        <w:t>Byloje nagrinėtas ginčas, kilęs dėl Nacionalinės žemės tarnybos</w:t>
      </w:r>
      <w:r w:rsidRPr="00BB1AB7">
        <w:rPr>
          <w:rFonts w:cstheme="minorHAnsi"/>
        </w:rPr>
        <w:t xml:space="preserve"> prie </w:t>
      </w:r>
      <w:r>
        <w:rPr>
          <w:rFonts w:cstheme="minorHAnsi"/>
        </w:rPr>
        <w:t>Žemės ūkio</w:t>
      </w:r>
      <w:r w:rsidRPr="00BB1AB7">
        <w:rPr>
          <w:rFonts w:cstheme="minorHAnsi"/>
        </w:rPr>
        <w:t xml:space="preserve"> ministerijos (toliau – </w:t>
      </w:r>
      <w:r>
        <w:rPr>
          <w:rFonts w:cstheme="minorHAnsi"/>
        </w:rPr>
        <w:t>Tarnyba</w:t>
      </w:r>
      <w:r w:rsidRPr="00BB1AB7">
        <w:rPr>
          <w:rFonts w:cstheme="minorHAnsi"/>
        </w:rPr>
        <w:t>)</w:t>
      </w:r>
      <w:r>
        <w:rPr>
          <w:rFonts w:cstheme="minorHAnsi"/>
        </w:rPr>
        <w:t xml:space="preserve"> </w:t>
      </w:r>
      <w:r w:rsidRPr="00BB1AB7">
        <w:rPr>
          <w:rFonts w:cstheme="minorHAnsi"/>
        </w:rPr>
        <w:t>sprendim</w:t>
      </w:r>
      <w:r>
        <w:rPr>
          <w:rFonts w:cstheme="minorHAnsi"/>
        </w:rPr>
        <w:t xml:space="preserve">o, kuriuo atsisakyta tenkinti pareiškėjo prašymą </w:t>
      </w:r>
      <w:r w:rsidRPr="001B4286">
        <w:rPr>
          <w:rFonts w:cstheme="minorHAnsi"/>
        </w:rPr>
        <w:t xml:space="preserve">suteikti neatlygintinai žemės Kauno mieste, vietoje iki 1940 m. birželio 15 d. </w:t>
      </w:r>
      <w:r>
        <w:rPr>
          <w:rFonts w:cstheme="minorHAnsi"/>
        </w:rPr>
        <w:t xml:space="preserve">M., kurios paveldėtojas yra pareiškėjas, </w:t>
      </w:r>
      <w:r w:rsidRPr="001B4286">
        <w:rPr>
          <w:rFonts w:cstheme="minorHAnsi"/>
        </w:rPr>
        <w:t>valdytos činšo teise</w:t>
      </w:r>
      <w:r w:rsidRPr="00BB1AB7">
        <w:rPr>
          <w:rFonts w:cstheme="minorHAnsi"/>
        </w:rPr>
        <w:t>, pagrįstumo ir teisėtumo.</w:t>
      </w:r>
    </w:p>
    <w:p w14:paraId="3DECFA4F" w14:textId="65766930" w:rsidR="005817E4" w:rsidRDefault="005817E4" w:rsidP="005817E4">
      <w:pPr>
        <w:pStyle w:val="NoSpacing"/>
        <w:ind w:firstLine="567"/>
        <w:jc w:val="both"/>
        <w:rPr>
          <w:rFonts w:cstheme="minorHAnsi"/>
        </w:rPr>
      </w:pPr>
      <w:r w:rsidRPr="00184BC2">
        <w:rPr>
          <w:rFonts w:cstheme="minorHAnsi"/>
        </w:rPr>
        <w:t>Pirmosios instancijos teismas</w:t>
      </w:r>
      <w:r>
        <w:rPr>
          <w:rFonts w:cstheme="minorHAnsi"/>
        </w:rPr>
        <w:t xml:space="preserve"> atmetė pareiškėjo skundą, konstatavęs, kad galiojantys teisės aktai činšo teisės nenustato, </w:t>
      </w:r>
      <w:r w:rsidRPr="00E608D3">
        <w:rPr>
          <w:rFonts w:cstheme="minorHAnsi"/>
        </w:rPr>
        <w:t>pareiškėjas činšo teise Kauno mieste iki 1940 m</w:t>
      </w:r>
      <w:r>
        <w:rPr>
          <w:rFonts w:cstheme="minorHAnsi"/>
        </w:rPr>
        <w:t>etų</w:t>
      </w:r>
      <w:r w:rsidRPr="00E608D3">
        <w:rPr>
          <w:rFonts w:cstheme="minorHAnsi"/>
        </w:rPr>
        <w:t xml:space="preserve"> žemės nenaudojo, </w:t>
      </w:r>
      <w:r>
        <w:rPr>
          <w:rFonts w:cstheme="minorHAnsi"/>
        </w:rPr>
        <w:t>bylos nagrinėjimo metu</w:t>
      </w:r>
      <w:r w:rsidRPr="00E608D3">
        <w:rPr>
          <w:rFonts w:cstheme="minorHAnsi"/>
        </w:rPr>
        <w:t xml:space="preserve"> tokių teisių netur</w:t>
      </w:r>
      <w:r>
        <w:rPr>
          <w:rFonts w:cstheme="minorHAnsi"/>
        </w:rPr>
        <w:t>ėjo</w:t>
      </w:r>
      <w:r w:rsidRPr="00E608D3">
        <w:rPr>
          <w:rFonts w:cstheme="minorHAnsi"/>
        </w:rPr>
        <w:t xml:space="preserve">, todėl </w:t>
      </w:r>
      <w:r>
        <w:rPr>
          <w:rFonts w:cstheme="minorHAnsi"/>
        </w:rPr>
        <w:t>nebuvo</w:t>
      </w:r>
      <w:r w:rsidRPr="00E608D3">
        <w:rPr>
          <w:rFonts w:cstheme="minorHAnsi"/>
        </w:rPr>
        <w:t xml:space="preserve"> teisinio pagrindo suteikti jam neatlygintinai nuosavybėn M. iki nacionalizacijos činšo teise valdytą žemės sklypą Kauno mieste.</w:t>
      </w:r>
    </w:p>
    <w:p w14:paraId="474B7DD1" w14:textId="77777777" w:rsidR="005817E4" w:rsidRDefault="005817E4" w:rsidP="005817E4">
      <w:pPr>
        <w:pStyle w:val="NoSpacing"/>
        <w:ind w:firstLine="567"/>
        <w:jc w:val="both"/>
        <w:rPr>
          <w:rFonts w:cstheme="minorHAnsi"/>
        </w:rPr>
      </w:pPr>
      <w:r w:rsidRPr="636B6ABB">
        <w:rPr>
          <w:rFonts w:cstheme="minorBidi"/>
        </w:rPr>
        <w:lastRenderedPageBreak/>
        <w:t>LVAT pritarė pirmosios instancijos teismo išvadoms, pažymėdamas, jog valstybinės žemės suteikimas neatlygintinai nuosavybėn pagal Žemės reformos įstatymo 7 straipsnio 1 dalies 3 punkto</w:t>
      </w:r>
      <w:r w:rsidRPr="636B6ABB">
        <w:rPr>
          <w:rStyle w:val="FootnoteReference"/>
          <w:rFonts w:cstheme="minorBidi"/>
        </w:rPr>
        <w:footnoteReference w:id="9"/>
      </w:r>
      <w:r w:rsidRPr="636B6ABB">
        <w:rPr>
          <w:rFonts w:cstheme="minorBidi"/>
        </w:rPr>
        <w:t xml:space="preserve"> nuostatas taikytinas tik iki 1940 metų činšo teisę turėjusiems asmenims, nesuteikiant tokios teisės šių asmenų turto ir teisių perėmėjams (paveldėtojams), t. y. pagal Žemės reformos įstatymo 7 straipsnio 1 dalies 3 punkto nuostatą, valstybinė žemė suteikiama nuosavybėn neatlygintinai tik tiems Lietuvos Respublikos piliečiams, kurie patys činšo teise naudojo žemės sklypą (-us) ir faktiškai naudojantiems tą sklypą šiuo metu.</w:t>
      </w:r>
    </w:p>
    <w:p w14:paraId="3626A1F4" w14:textId="77777777" w:rsidR="005817E4" w:rsidRDefault="005817E4" w:rsidP="005817E4">
      <w:pPr>
        <w:pStyle w:val="NoSpacing"/>
        <w:ind w:firstLine="567"/>
        <w:jc w:val="both"/>
        <w:rPr>
          <w:rFonts w:cstheme="minorHAnsi"/>
        </w:rPr>
      </w:pPr>
      <w:r>
        <w:rPr>
          <w:rFonts w:cstheme="minorHAnsi"/>
        </w:rPr>
        <w:t>LVAT atmetė pareiškėjo apeliacinį skundą.</w:t>
      </w:r>
    </w:p>
    <w:p w14:paraId="031FDE1E" w14:textId="77777777" w:rsidR="005817E4" w:rsidRDefault="005817E4" w:rsidP="005817E4">
      <w:pPr>
        <w:pStyle w:val="NoSpacing"/>
        <w:ind w:firstLine="567"/>
        <w:jc w:val="both"/>
        <w:rPr>
          <w:rFonts w:cstheme="minorHAnsi"/>
        </w:rPr>
      </w:pPr>
    </w:p>
    <w:p w14:paraId="7898DB85" w14:textId="77777777" w:rsidR="005817E4" w:rsidRPr="005C5D7C" w:rsidRDefault="005817E4" w:rsidP="005817E4">
      <w:pPr>
        <w:pStyle w:val="NoSpacing"/>
        <w:jc w:val="both"/>
        <w:rPr>
          <w:rFonts w:cstheme="minorHAnsi"/>
        </w:rPr>
      </w:pPr>
      <w:r w:rsidRPr="005C5D7C">
        <w:rPr>
          <w:rFonts w:cstheme="minorHAnsi"/>
        </w:rPr>
        <w:t xml:space="preserve">2023 m. </w:t>
      </w:r>
      <w:r w:rsidRPr="009B1328">
        <w:rPr>
          <w:rFonts w:cstheme="minorHAnsi"/>
        </w:rPr>
        <w:t>lapkričio 8</w:t>
      </w:r>
      <w:r>
        <w:rPr>
          <w:rFonts w:cstheme="minorHAnsi"/>
        </w:rPr>
        <w:t xml:space="preserve"> </w:t>
      </w:r>
      <w:r w:rsidRPr="005C5D7C">
        <w:rPr>
          <w:rFonts w:cstheme="minorHAnsi"/>
        </w:rPr>
        <w:t xml:space="preserve">d. </w:t>
      </w:r>
      <w:r>
        <w:rPr>
          <w:rFonts w:cstheme="minorHAnsi"/>
        </w:rPr>
        <w:t xml:space="preserve">nutartis </w:t>
      </w:r>
      <w:r w:rsidRPr="005C5D7C">
        <w:rPr>
          <w:rFonts w:cstheme="minorHAnsi"/>
        </w:rPr>
        <w:t xml:space="preserve">administracinėje byloje Nr. </w:t>
      </w:r>
      <w:r w:rsidRPr="009B1328">
        <w:rPr>
          <w:rFonts w:cstheme="minorHAnsi"/>
        </w:rPr>
        <w:t>eA-680-502/2023</w:t>
      </w:r>
    </w:p>
    <w:p w14:paraId="1B2A671F" w14:textId="77777777" w:rsidR="005817E4" w:rsidRPr="005C5D7C" w:rsidRDefault="005817E4" w:rsidP="005817E4">
      <w:pPr>
        <w:pStyle w:val="NoSpacing"/>
        <w:jc w:val="both"/>
        <w:rPr>
          <w:rFonts w:cstheme="minorHAnsi"/>
        </w:rPr>
      </w:pPr>
      <w:r w:rsidRPr="005C5D7C">
        <w:rPr>
          <w:rFonts w:cstheme="minorHAnsi"/>
        </w:rPr>
        <w:t xml:space="preserve">Teisminio proceso Nr. </w:t>
      </w:r>
      <w:r w:rsidRPr="009B1328">
        <w:rPr>
          <w:rFonts w:cstheme="minorHAnsi"/>
        </w:rPr>
        <w:t>3-62-3-00029-2022-1</w:t>
      </w:r>
    </w:p>
    <w:p w14:paraId="44C2C6BC" w14:textId="77777777" w:rsidR="005817E4" w:rsidRDefault="005817E4" w:rsidP="005817E4">
      <w:pPr>
        <w:pStyle w:val="NoSpacing"/>
        <w:jc w:val="both"/>
        <w:rPr>
          <w:rFonts w:cstheme="minorHAnsi"/>
        </w:rPr>
      </w:pPr>
      <w:r w:rsidRPr="00A032D3">
        <w:rPr>
          <w:rFonts w:cstheme="minorHAnsi"/>
        </w:rPr>
        <w:t xml:space="preserve">Procesinio sprendimo </w:t>
      </w:r>
      <w:r w:rsidRPr="00617626">
        <w:rPr>
          <w:rFonts w:cstheme="minorHAnsi"/>
        </w:rPr>
        <w:t>kategorij</w:t>
      </w:r>
      <w:r>
        <w:rPr>
          <w:rFonts w:cstheme="minorHAnsi"/>
        </w:rPr>
        <w:t>a</w:t>
      </w:r>
      <w:r w:rsidRPr="00617626">
        <w:rPr>
          <w:rFonts w:cstheme="minorHAnsi"/>
        </w:rPr>
        <w:t xml:space="preserve"> 18.4.2</w:t>
      </w:r>
    </w:p>
    <w:p w14:paraId="7F4EF628" w14:textId="6A009B5B" w:rsidR="005817E4" w:rsidRDefault="00000000" w:rsidP="005817E4">
      <w:pPr>
        <w:pStyle w:val="NoSpacing"/>
        <w:jc w:val="both"/>
        <w:rPr>
          <w:rFonts w:cstheme="minorHAnsi"/>
        </w:rPr>
      </w:pPr>
      <w:hyperlink r:id="rId14" w:history="1">
        <w:r w:rsidR="005817E4" w:rsidRPr="00CB13EB">
          <w:rPr>
            <w:rStyle w:val="Hyperlink"/>
            <w:rFonts w:cstheme="minorHAnsi"/>
          </w:rPr>
          <w:t>Prieiga internete</w:t>
        </w:r>
      </w:hyperlink>
    </w:p>
    <w:p w14:paraId="0BF327B1" w14:textId="77777777" w:rsidR="00C2617F" w:rsidRPr="00F56F28" w:rsidRDefault="00C2617F" w:rsidP="00A32A5C">
      <w:pPr>
        <w:ind w:firstLine="567"/>
        <w:rPr>
          <w:rFonts w:asciiTheme="minorHAnsi" w:hAnsiTheme="minorHAnsi" w:cstheme="minorHAnsi"/>
          <w:sz w:val="22"/>
          <w:szCs w:val="22"/>
        </w:rPr>
      </w:pPr>
    </w:p>
    <w:p w14:paraId="5A0D3686" w14:textId="77777777" w:rsidR="00EE3E88" w:rsidRPr="00EE3E88" w:rsidRDefault="00EE3E88" w:rsidP="00EE3E88">
      <w:pPr>
        <w:pStyle w:val="Apzvalgai1"/>
        <w:rPr>
          <w:rFonts w:asciiTheme="minorHAnsi" w:hAnsiTheme="minorHAnsi" w:cstheme="minorHAnsi"/>
        </w:rPr>
      </w:pPr>
      <w:bookmarkStart w:id="38" w:name="_Toc159340663"/>
      <w:r w:rsidRPr="00EE3E88">
        <w:rPr>
          <w:rFonts w:asciiTheme="minorHAnsi" w:hAnsiTheme="minorHAnsi" w:cstheme="minorHAnsi"/>
        </w:rPr>
        <w:t>22. Kiti su valstybės tarnyba susiję klausimai</w:t>
      </w:r>
      <w:bookmarkEnd w:id="38"/>
    </w:p>
    <w:p w14:paraId="47F19A3B" w14:textId="77777777" w:rsidR="00EE3E88" w:rsidRDefault="00EE3E88" w:rsidP="00EE3E88">
      <w:pPr>
        <w:pStyle w:val="NoSpacing"/>
        <w:ind w:firstLine="567"/>
        <w:jc w:val="both"/>
        <w:rPr>
          <w:rFonts w:cstheme="minorHAnsi"/>
        </w:rPr>
      </w:pPr>
      <w:r w:rsidRPr="00C55509">
        <w:rPr>
          <w:rFonts w:cstheme="minorHAnsi"/>
          <w:b/>
          <w:bCs/>
          <w:u w:val="single"/>
        </w:rPr>
        <w:t>22.7. Kiti su valstybės tarnyba susiję klausimai</w:t>
      </w:r>
    </w:p>
    <w:p w14:paraId="1AB6A453" w14:textId="77777777" w:rsidR="00EE3E88" w:rsidRDefault="00EE3E88" w:rsidP="00EE3E88">
      <w:pPr>
        <w:pStyle w:val="NoSpacing"/>
        <w:jc w:val="both"/>
        <w:rPr>
          <w:rFonts w:cstheme="minorHAnsi"/>
        </w:rPr>
      </w:pPr>
    </w:p>
    <w:p w14:paraId="6BCAC44A" w14:textId="7AAAD46D" w:rsidR="00EE3E88" w:rsidRPr="00EE3E88" w:rsidRDefault="00EE3E88" w:rsidP="00EE3E88">
      <w:pPr>
        <w:jc w:val="both"/>
        <w:outlineLvl w:val="1"/>
        <w:rPr>
          <w:rFonts w:asciiTheme="minorHAnsi" w:eastAsia="Calibri" w:hAnsiTheme="minorHAnsi" w:cstheme="minorHAnsi"/>
          <w:i/>
          <w:sz w:val="22"/>
          <w:szCs w:val="22"/>
        </w:rPr>
      </w:pPr>
      <w:bookmarkStart w:id="39" w:name="_Toc159340664"/>
      <w:r w:rsidRPr="00EE3E88">
        <w:rPr>
          <w:rFonts w:asciiTheme="minorHAnsi" w:eastAsia="Calibri" w:hAnsiTheme="minorHAnsi" w:cstheme="minorHAnsi"/>
          <w:i/>
          <w:sz w:val="22"/>
          <w:szCs w:val="22"/>
        </w:rPr>
        <w:t>Dėl tarnautojo nušalinimo nuo pareigų, jam nesutikus pasitikrinti, ar neserga C</w:t>
      </w:r>
      <w:r>
        <w:rPr>
          <w:rFonts w:asciiTheme="minorHAnsi" w:eastAsia="Calibri" w:hAnsiTheme="minorHAnsi" w:cstheme="minorHAnsi"/>
          <w:i/>
          <w:sz w:val="22"/>
          <w:szCs w:val="22"/>
        </w:rPr>
        <w:t>ovid</w:t>
      </w:r>
      <w:r w:rsidRPr="00EE3E88">
        <w:rPr>
          <w:rFonts w:asciiTheme="minorHAnsi" w:eastAsia="Calibri" w:hAnsiTheme="minorHAnsi" w:cstheme="minorHAnsi"/>
          <w:i/>
          <w:sz w:val="22"/>
          <w:szCs w:val="22"/>
        </w:rPr>
        <w:t>-19 liga</w:t>
      </w:r>
      <w:bookmarkEnd w:id="39"/>
    </w:p>
    <w:p w14:paraId="5CD9374D" w14:textId="77777777" w:rsidR="00EE3E88" w:rsidRDefault="00EE3E88" w:rsidP="00EE3E88">
      <w:pPr>
        <w:pStyle w:val="NoSpacing"/>
        <w:jc w:val="both"/>
        <w:rPr>
          <w:rFonts w:cstheme="minorHAnsi"/>
        </w:rPr>
      </w:pPr>
    </w:p>
    <w:p w14:paraId="142B7EE2" w14:textId="06A44E57" w:rsidR="00EE3E88" w:rsidRPr="00985417" w:rsidRDefault="00EE3E88" w:rsidP="00EE3E88">
      <w:pPr>
        <w:pStyle w:val="NoSpacing"/>
        <w:ind w:firstLine="567"/>
        <w:jc w:val="both"/>
        <w:rPr>
          <w:rFonts w:cstheme="minorHAnsi"/>
        </w:rPr>
      </w:pPr>
      <w:r w:rsidRPr="00985417">
        <w:rPr>
          <w:rFonts w:cstheme="minorHAnsi"/>
        </w:rPr>
        <w:t xml:space="preserve">Byloje nagrinėtas ginčas, kilęs dėl </w:t>
      </w:r>
      <w:r w:rsidRPr="00A93689">
        <w:rPr>
          <w:rFonts w:cstheme="minorHAnsi"/>
        </w:rPr>
        <w:t xml:space="preserve">Valstybės sienos apsaugos tarnybos prie Lietuvos Respublikos vidaus reikalų ministerijos </w:t>
      </w:r>
      <w:r w:rsidRPr="00985417">
        <w:rPr>
          <w:rFonts w:cstheme="minorHAnsi"/>
        </w:rPr>
        <w:t>(toliau –</w:t>
      </w:r>
      <w:r>
        <w:rPr>
          <w:rFonts w:cstheme="minorHAnsi"/>
        </w:rPr>
        <w:t xml:space="preserve"> </w:t>
      </w:r>
      <w:r w:rsidRPr="00985417">
        <w:rPr>
          <w:rFonts w:cstheme="minorHAnsi"/>
        </w:rPr>
        <w:t xml:space="preserve">Tarnyba) </w:t>
      </w:r>
      <w:r>
        <w:rPr>
          <w:rFonts w:cstheme="minorHAnsi"/>
        </w:rPr>
        <w:t>vado</w:t>
      </w:r>
      <w:r w:rsidRPr="00985417">
        <w:rPr>
          <w:rFonts w:cstheme="minorHAnsi"/>
        </w:rPr>
        <w:t xml:space="preserve"> </w:t>
      </w:r>
      <w:r>
        <w:rPr>
          <w:rFonts w:cstheme="minorHAnsi"/>
        </w:rPr>
        <w:t>įsakymo</w:t>
      </w:r>
      <w:r w:rsidRPr="00985417">
        <w:rPr>
          <w:rFonts w:cstheme="minorHAnsi"/>
        </w:rPr>
        <w:t>, kuriuo pareiškėja</w:t>
      </w:r>
      <w:r>
        <w:rPr>
          <w:rFonts w:cstheme="minorHAnsi"/>
        </w:rPr>
        <w:t>s nušalintas nuo pareigų,</w:t>
      </w:r>
      <w:r w:rsidRPr="00985417">
        <w:rPr>
          <w:rFonts w:cstheme="minorHAnsi"/>
        </w:rPr>
        <w:t xml:space="preserve"> pagrįstumo ir teisėtumo.</w:t>
      </w:r>
    </w:p>
    <w:p w14:paraId="63AF6BE2" w14:textId="685E1314" w:rsidR="00EE3E88" w:rsidRDefault="00EE3E88" w:rsidP="00EE3E88">
      <w:pPr>
        <w:pStyle w:val="NoSpacing"/>
        <w:ind w:firstLine="567"/>
        <w:jc w:val="both"/>
        <w:rPr>
          <w:rFonts w:cstheme="minorHAnsi"/>
        </w:rPr>
      </w:pPr>
      <w:r w:rsidRPr="00985417">
        <w:rPr>
          <w:rFonts w:cstheme="minorHAnsi"/>
        </w:rPr>
        <w:t>Pirmosios instancijos teismas atmetė pareiškėjo skundą, konstatavęs, kad</w:t>
      </w:r>
      <w:r>
        <w:rPr>
          <w:rFonts w:cstheme="minorHAnsi"/>
        </w:rPr>
        <w:t xml:space="preserve"> atsakovas pagrįstai </w:t>
      </w:r>
      <w:r w:rsidRPr="00A93689">
        <w:rPr>
          <w:rFonts w:cstheme="minorHAnsi"/>
        </w:rPr>
        <w:t>nušalin</w:t>
      </w:r>
      <w:r>
        <w:rPr>
          <w:rFonts w:cstheme="minorHAnsi"/>
        </w:rPr>
        <w:t>o pareiškėją</w:t>
      </w:r>
      <w:r w:rsidRPr="00A93689">
        <w:rPr>
          <w:rFonts w:cstheme="minorHAnsi"/>
        </w:rPr>
        <w:t xml:space="preserve"> nuo pasienio užkardos specialisto pareigų, nemokant jam darbo užmokesčio iki tos dienos, kol jis tiesioginiam vadovui pateiks sveikatos patikrinimo rezultatus, jog pasitikrino, ar neserga užkrečiamąja liga, dėl kurios yra paskelbta valstybės lygio ekstremalioji situacija ir (ar) karantinas, arba dokumentą, patvirtinantį, jog tyrimai jam neatliekami.</w:t>
      </w:r>
    </w:p>
    <w:p w14:paraId="5BCA9764" w14:textId="59FF6CD4" w:rsidR="00EE3E88" w:rsidRDefault="00EE3E88" w:rsidP="636B6ABB">
      <w:pPr>
        <w:pStyle w:val="NoSpacing"/>
        <w:ind w:firstLine="567"/>
        <w:jc w:val="both"/>
        <w:rPr>
          <w:rFonts w:cstheme="minorBidi"/>
        </w:rPr>
      </w:pPr>
      <w:r w:rsidRPr="636B6ABB">
        <w:rPr>
          <w:rFonts w:cstheme="minorBidi"/>
        </w:rPr>
        <w:t>Nustatęs, kad ginčo įsakymas buvo priimtas, pareiškėjui nevykdžius įpareigojimo tikrintis, ar neserga Covid-19 liga, vadovaudamasis ginčo įsakymo priėmimo metu galiojusiomis Žmonių užkrečiamųjų ligų profilaktikos ir kontrolės įstatymo bei Vyriausybės patvirtintų norminių teisės aktų</w:t>
      </w:r>
      <w:r w:rsidRPr="636B6ABB">
        <w:rPr>
          <w:rStyle w:val="FootnoteReference"/>
          <w:rFonts w:cstheme="minorBidi"/>
        </w:rPr>
        <w:footnoteReference w:id="10"/>
      </w:r>
      <w:r w:rsidRPr="636B6ABB">
        <w:rPr>
          <w:rFonts w:cstheme="minorBidi"/>
        </w:rPr>
        <w:t xml:space="preserve"> nuostatomis, taip pat Konstitucinio Teismo</w:t>
      </w:r>
      <w:r w:rsidRPr="00A34FF4">
        <w:t xml:space="preserve"> </w:t>
      </w:r>
      <w:r w:rsidRPr="636B6ABB">
        <w:rPr>
          <w:rFonts w:cstheme="minorBidi"/>
        </w:rPr>
        <w:t>2022 m. birželio 21 d. nutarime pateiktais išaiškinimais, LVAT darė išvadą, kad aptariamos bylos faktinės aplinkybės (visuotinai žinoma ir neįrodinėtina aplinkybė – Covid-19, pareiškėjo teisė rinktis pasitikrinti sveikatą ar būti perkeltam į kitą darbą, ar nušalintam (imperatyvo skiepytis nebuvo), suponuoja išvadą, kad pareiškėjo reikalavimai netenkinti pagrįstai – pilietinėje visuomenėje solidarumo principas nepaneigia asmeninės atsakomybės bei iš čia kylančių pasekmių.</w:t>
      </w:r>
    </w:p>
    <w:p w14:paraId="061EAC73" w14:textId="36FED5C3" w:rsidR="00EE3E88" w:rsidRPr="00985417" w:rsidRDefault="00EE3E88" w:rsidP="00EE3E88">
      <w:pPr>
        <w:pStyle w:val="NoSpacing"/>
        <w:ind w:firstLine="567"/>
        <w:jc w:val="both"/>
        <w:rPr>
          <w:rFonts w:cstheme="minorHAnsi"/>
        </w:rPr>
      </w:pPr>
      <w:r>
        <w:rPr>
          <w:rFonts w:cstheme="minorHAnsi"/>
        </w:rPr>
        <w:t>LVAT atmetė pareiškėjo apeliacinį skundą.</w:t>
      </w:r>
    </w:p>
    <w:p w14:paraId="61CA7870" w14:textId="77777777" w:rsidR="00EE3E88" w:rsidRDefault="00EE3E88" w:rsidP="00EE3E88">
      <w:pPr>
        <w:pStyle w:val="NoSpacing"/>
        <w:ind w:firstLine="567"/>
        <w:jc w:val="both"/>
        <w:rPr>
          <w:rFonts w:cstheme="minorHAnsi"/>
        </w:rPr>
      </w:pPr>
    </w:p>
    <w:p w14:paraId="2F7B5786" w14:textId="77777777" w:rsidR="00EE3E88" w:rsidRPr="005C5D7C" w:rsidRDefault="00EE3E88" w:rsidP="00EE3E88">
      <w:pPr>
        <w:pStyle w:val="NoSpacing"/>
        <w:jc w:val="both"/>
        <w:rPr>
          <w:rFonts w:cstheme="minorHAnsi"/>
        </w:rPr>
      </w:pPr>
      <w:r w:rsidRPr="00715BF3">
        <w:rPr>
          <w:rFonts w:cstheme="minorHAnsi"/>
        </w:rPr>
        <w:t>2023 m. lapkričio 1</w:t>
      </w:r>
      <w:r>
        <w:rPr>
          <w:rFonts w:cstheme="minorHAnsi"/>
        </w:rPr>
        <w:t>5</w:t>
      </w:r>
      <w:r w:rsidRPr="00715BF3">
        <w:rPr>
          <w:rFonts w:cstheme="minorHAnsi"/>
        </w:rPr>
        <w:t xml:space="preserve"> d.</w:t>
      </w:r>
      <w:r w:rsidRPr="005C5D7C">
        <w:rPr>
          <w:rFonts w:cstheme="minorHAnsi"/>
        </w:rPr>
        <w:t xml:space="preserve"> </w:t>
      </w:r>
      <w:r>
        <w:rPr>
          <w:rFonts w:cstheme="minorHAnsi"/>
        </w:rPr>
        <w:t xml:space="preserve">nutartis </w:t>
      </w:r>
      <w:r w:rsidRPr="005C5D7C">
        <w:rPr>
          <w:rFonts w:cstheme="minorHAnsi"/>
        </w:rPr>
        <w:t xml:space="preserve">administracinėje byloje Nr. </w:t>
      </w:r>
      <w:r w:rsidRPr="00347504">
        <w:rPr>
          <w:rFonts w:cstheme="minorHAnsi"/>
        </w:rPr>
        <w:t>A-798-556/2023</w:t>
      </w:r>
    </w:p>
    <w:p w14:paraId="29D98CAB" w14:textId="77777777" w:rsidR="00EE3E88" w:rsidRPr="005C5D7C" w:rsidRDefault="00EE3E88" w:rsidP="00EE3E88">
      <w:pPr>
        <w:pStyle w:val="NoSpacing"/>
        <w:jc w:val="both"/>
        <w:rPr>
          <w:rFonts w:cstheme="minorHAnsi"/>
        </w:rPr>
      </w:pPr>
      <w:r w:rsidRPr="005C5D7C">
        <w:rPr>
          <w:rFonts w:cstheme="minorHAnsi"/>
        </w:rPr>
        <w:t xml:space="preserve">Teisminio proceso Nr. </w:t>
      </w:r>
      <w:r w:rsidRPr="00347504">
        <w:rPr>
          <w:rFonts w:cstheme="minorHAnsi"/>
        </w:rPr>
        <w:t>3-62-3-02885-2021-2</w:t>
      </w:r>
    </w:p>
    <w:p w14:paraId="19F63F8F" w14:textId="77777777" w:rsidR="00EE3E88" w:rsidRDefault="00EE3E88" w:rsidP="00EE3E88">
      <w:pPr>
        <w:pStyle w:val="NoSpacing"/>
        <w:jc w:val="both"/>
        <w:rPr>
          <w:rFonts w:cstheme="minorHAnsi"/>
        </w:rPr>
      </w:pPr>
      <w:r w:rsidRPr="00A032D3">
        <w:rPr>
          <w:rFonts w:cstheme="minorHAnsi"/>
        </w:rPr>
        <w:t xml:space="preserve">Procesinio sprendimo </w:t>
      </w:r>
      <w:r w:rsidRPr="00C87F8E">
        <w:rPr>
          <w:rFonts w:cstheme="minorHAnsi"/>
        </w:rPr>
        <w:t xml:space="preserve">kategorijos: </w:t>
      </w:r>
      <w:r w:rsidRPr="00347504">
        <w:rPr>
          <w:rFonts w:cstheme="minorHAnsi"/>
        </w:rPr>
        <w:t>21.3.12; 22.3; 22.7</w:t>
      </w:r>
    </w:p>
    <w:p w14:paraId="16F116B6" w14:textId="695B6C69" w:rsidR="00EE3E88" w:rsidRPr="00D850EC" w:rsidRDefault="00EE3E88" w:rsidP="00EE3E88">
      <w:pPr>
        <w:pStyle w:val="NoSpacing"/>
        <w:jc w:val="both"/>
        <w:rPr>
          <w:rStyle w:val="Hyperlink"/>
          <w:rFonts w:cstheme="minorHAnsi"/>
        </w:rPr>
      </w:pPr>
      <w:r>
        <w:rPr>
          <w:rFonts w:cstheme="minorHAnsi"/>
        </w:rPr>
        <w:fldChar w:fldCharType="begin"/>
      </w:r>
      <w:r>
        <w:rPr>
          <w:rFonts w:cstheme="minorHAnsi"/>
        </w:rPr>
        <w:instrText>HYPERLINK "https://www.e-tar.lt/portal/lt/legalAct/478e0b10895911eea5a28c81c82193a8"</w:instrText>
      </w:r>
      <w:r>
        <w:rPr>
          <w:rFonts w:cstheme="minorHAnsi"/>
        </w:rPr>
      </w:r>
      <w:r>
        <w:rPr>
          <w:rFonts w:cstheme="minorHAnsi"/>
        </w:rPr>
        <w:fldChar w:fldCharType="separate"/>
      </w:r>
      <w:r w:rsidRPr="00D850EC">
        <w:rPr>
          <w:rStyle w:val="Hyperlink"/>
          <w:rFonts w:cstheme="minorHAnsi"/>
        </w:rPr>
        <w:t>Prieiga internete</w:t>
      </w:r>
    </w:p>
    <w:p w14:paraId="0602CEBD" w14:textId="1D97A8B8" w:rsidR="00756AF0" w:rsidRPr="00F56F28" w:rsidRDefault="00EE3E88" w:rsidP="00734799">
      <w:pPr>
        <w:pStyle w:val="NoSpacing"/>
        <w:ind w:firstLine="851"/>
        <w:jc w:val="both"/>
        <w:rPr>
          <w:rFonts w:asciiTheme="minorHAnsi" w:hAnsiTheme="minorHAnsi" w:cstheme="minorHAnsi"/>
        </w:rPr>
      </w:pPr>
      <w:r>
        <w:rPr>
          <w:rFonts w:cstheme="minorHAnsi"/>
        </w:rPr>
        <w:fldChar w:fldCharType="end"/>
      </w:r>
    </w:p>
    <w:p w14:paraId="4105F088" w14:textId="77777777" w:rsidR="006E6317" w:rsidRPr="00F56F28" w:rsidRDefault="006E6317" w:rsidP="006E6317">
      <w:pPr>
        <w:pStyle w:val="Apzvalgai1"/>
        <w:rPr>
          <w:rFonts w:asciiTheme="minorHAnsi" w:hAnsiTheme="minorHAnsi" w:cstheme="minorHAnsi"/>
        </w:rPr>
      </w:pPr>
      <w:bookmarkStart w:id="40" w:name="_Toc159340665"/>
      <w:r w:rsidRPr="00F56F28">
        <w:rPr>
          <w:rFonts w:asciiTheme="minorHAnsi" w:hAnsiTheme="minorHAnsi" w:cstheme="minorHAnsi"/>
        </w:rPr>
        <w:t>26. Asmens duomenų teisinė apsauga</w:t>
      </w:r>
      <w:bookmarkEnd w:id="40"/>
    </w:p>
    <w:p w14:paraId="1BE97B5B" w14:textId="77777777" w:rsidR="006E6317" w:rsidRPr="00F56F28" w:rsidRDefault="006E6317" w:rsidP="006E6317">
      <w:pPr>
        <w:ind w:firstLine="720"/>
        <w:jc w:val="both"/>
        <w:rPr>
          <w:rFonts w:asciiTheme="minorHAnsi" w:hAnsiTheme="minorHAnsi" w:cstheme="minorHAnsi"/>
          <w:sz w:val="22"/>
          <w:szCs w:val="22"/>
        </w:rPr>
      </w:pPr>
    </w:p>
    <w:p w14:paraId="672E25C0" w14:textId="77777777" w:rsidR="006E6317" w:rsidRPr="00F56F28" w:rsidRDefault="006E6317" w:rsidP="006E6317">
      <w:pPr>
        <w:jc w:val="both"/>
        <w:outlineLvl w:val="1"/>
        <w:rPr>
          <w:rFonts w:asciiTheme="minorHAnsi" w:eastAsia="Calibri" w:hAnsiTheme="minorHAnsi" w:cstheme="minorHAnsi"/>
          <w:i/>
          <w:sz w:val="22"/>
          <w:szCs w:val="22"/>
        </w:rPr>
      </w:pPr>
      <w:bookmarkStart w:id="41" w:name="_Toc159340666"/>
      <w:r w:rsidRPr="00F56F28">
        <w:rPr>
          <w:rFonts w:asciiTheme="minorHAnsi" w:eastAsia="Calibri" w:hAnsiTheme="minorHAnsi" w:cstheme="minorHAnsi"/>
          <w:i/>
          <w:sz w:val="22"/>
          <w:szCs w:val="22"/>
        </w:rPr>
        <w:t>Dėl advokato prašymo pateikti informaciją apie asmens administracine tvarka gautas nuobaudas ir leisti susipažinti su administracinių nusižengimų bylomis pagrįstumo vertinimo</w:t>
      </w:r>
      <w:bookmarkEnd w:id="41"/>
    </w:p>
    <w:p w14:paraId="706B32D4" w14:textId="77777777" w:rsidR="006E6317" w:rsidRPr="00F56F28" w:rsidRDefault="006E6317" w:rsidP="009A187C">
      <w:pPr>
        <w:jc w:val="both"/>
        <w:rPr>
          <w:rFonts w:asciiTheme="minorHAnsi" w:hAnsiTheme="minorHAnsi" w:cstheme="minorHAnsi"/>
          <w:sz w:val="22"/>
          <w:szCs w:val="22"/>
        </w:rPr>
      </w:pPr>
    </w:p>
    <w:p w14:paraId="5B89E76D" w14:textId="32C3016B" w:rsidR="006E6317" w:rsidRPr="00F56F28" w:rsidRDefault="006E6317" w:rsidP="006E6317">
      <w:pPr>
        <w:ind w:firstLine="567"/>
        <w:jc w:val="both"/>
        <w:rPr>
          <w:rFonts w:asciiTheme="minorHAnsi" w:hAnsiTheme="minorHAnsi" w:cstheme="minorHAnsi"/>
          <w:sz w:val="22"/>
          <w:szCs w:val="22"/>
        </w:rPr>
      </w:pPr>
      <w:r w:rsidRPr="00F56F28">
        <w:rPr>
          <w:rFonts w:asciiTheme="minorHAnsi" w:hAnsiTheme="minorHAnsi" w:cstheme="minorHAnsi"/>
          <w:sz w:val="22"/>
          <w:szCs w:val="22"/>
        </w:rPr>
        <w:lastRenderedPageBreak/>
        <w:t>Byloje nagrinė</w:t>
      </w:r>
      <w:r w:rsidR="00505674" w:rsidRPr="00F56F28">
        <w:rPr>
          <w:rFonts w:asciiTheme="minorHAnsi" w:hAnsiTheme="minorHAnsi" w:cstheme="minorHAnsi"/>
          <w:sz w:val="22"/>
          <w:szCs w:val="22"/>
        </w:rPr>
        <w:t>t</w:t>
      </w:r>
      <w:r w:rsidRPr="00F56F28">
        <w:rPr>
          <w:rFonts w:asciiTheme="minorHAnsi" w:hAnsiTheme="minorHAnsi" w:cstheme="minorHAnsi"/>
          <w:sz w:val="22"/>
          <w:szCs w:val="22"/>
        </w:rPr>
        <w:t>as ginčas kilo dėl Policijos departamento prie Lietuvos Respublikos vidaus reikalų ministerijos (toliau – atsakovas) 2022 m. sausio 10 d. sprendimo (toliau – Sprendimas) pagrįstumo ir teisėtumo.</w:t>
      </w:r>
    </w:p>
    <w:p w14:paraId="5480168A" w14:textId="77777777" w:rsidR="006E6317" w:rsidRPr="00F56F28" w:rsidRDefault="006E6317" w:rsidP="006E6317">
      <w:pPr>
        <w:ind w:firstLine="567"/>
        <w:jc w:val="both"/>
        <w:rPr>
          <w:rFonts w:asciiTheme="minorHAnsi" w:hAnsiTheme="minorHAnsi" w:cstheme="minorHAnsi"/>
          <w:sz w:val="22"/>
          <w:szCs w:val="22"/>
        </w:rPr>
      </w:pPr>
      <w:r w:rsidRPr="00F56F28">
        <w:rPr>
          <w:rFonts w:asciiTheme="minorHAnsi" w:hAnsiTheme="minorHAnsi" w:cstheme="minorHAnsi"/>
          <w:sz w:val="22"/>
          <w:szCs w:val="22"/>
        </w:rPr>
        <w:t>Byloje nustatyta, kad Sprendimas priimtas reaguojant į pareiškėjo (advokato), atstovaujančio kitą asmenį civilinėje byloje, prašymą pateikti duomenis apie L. N. administracine tvarka gautas nuobaudas bei duoti leidimą susipažinti su L. N. administracinių nusižengimų bylomis. Pareiškėjo prašymas buvo grindžiamas Advokatūros įstatymo 44 straipsniu, BDAR 6 straipsnio 1 dalimi bei nurodoma, jog prašomi pateikti duomenys reikalingi sprendžiant ieškinį dėl vaiko teisių gynimo.</w:t>
      </w:r>
    </w:p>
    <w:p w14:paraId="50ED9315" w14:textId="77777777" w:rsidR="006E6317" w:rsidRPr="00F56F28" w:rsidRDefault="006E6317" w:rsidP="006E6317">
      <w:pPr>
        <w:ind w:firstLine="567"/>
        <w:jc w:val="both"/>
        <w:rPr>
          <w:rFonts w:asciiTheme="minorHAnsi" w:hAnsiTheme="minorHAnsi" w:cstheme="minorHAnsi"/>
          <w:sz w:val="22"/>
          <w:szCs w:val="22"/>
        </w:rPr>
      </w:pPr>
      <w:r w:rsidRPr="00F56F28">
        <w:rPr>
          <w:rFonts w:asciiTheme="minorHAnsi" w:hAnsiTheme="minorHAnsi" w:cstheme="minorHAnsi"/>
          <w:sz w:val="22"/>
          <w:szCs w:val="22"/>
        </w:rPr>
        <w:t>LVAT pažymėjo, kad Advokatūros įstatymas advokatams suteikia teisę gauti asmens duomenis, tačiau ši teisė nėra absoliuti ir ji gali būti įgyvendinama tik laikantis Advokatūros įstatyme nustatytų sąlygų ir BDAR numatytų teisėto asmens duomenų tvarkymo sąlygų.</w:t>
      </w:r>
    </w:p>
    <w:p w14:paraId="45307C7F" w14:textId="39126494" w:rsidR="006E6317" w:rsidRPr="00F56F28" w:rsidRDefault="006E6317" w:rsidP="006E6317">
      <w:pPr>
        <w:ind w:firstLine="567"/>
        <w:jc w:val="both"/>
        <w:rPr>
          <w:rFonts w:asciiTheme="minorHAnsi" w:hAnsiTheme="minorHAnsi" w:cstheme="minorHAnsi"/>
          <w:sz w:val="22"/>
          <w:szCs w:val="22"/>
        </w:rPr>
      </w:pPr>
      <w:r w:rsidRPr="00F56F28">
        <w:rPr>
          <w:rFonts w:asciiTheme="minorHAnsi" w:hAnsiTheme="minorHAnsi" w:cstheme="minorHAnsi"/>
          <w:sz w:val="22"/>
          <w:szCs w:val="22"/>
        </w:rPr>
        <w:t xml:space="preserve">Konstitucinis Teismas, pasisakydamas dėl advokato teisės gauti informaciją, yra konstatavęs, jog advokato kreipimasis turi būti motyvuotas (2011 m. birželio 9 d. nutarimas). „Motyvuotas“ prašymas reiškia, kad abstraktus nurodymas, </w:t>
      </w:r>
      <w:r w:rsidR="00380F1D" w:rsidRPr="00F56F28">
        <w:rPr>
          <w:rFonts w:asciiTheme="minorHAnsi" w:hAnsiTheme="minorHAnsi" w:cstheme="minorHAnsi"/>
          <w:sz w:val="22"/>
          <w:szCs w:val="22"/>
        </w:rPr>
        <w:t>jog</w:t>
      </w:r>
      <w:r w:rsidRPr="00F56F28">
        <w:rPr>
          <w:rFonts w:asciiTheme="minorHAnsi" w:hAnsiTheme="minorHAnsi" w:cstheme="minorHAnsi"/>
          <w:sz w:val="22"/>
          <w:szCs w:val="22"/>
        </w:rPr>
        <w:t xml:space="preserve"> „duomenys reikalingi nagrinėjant civilinę bylą“ ar „duomenys reikalingi parengti bylą teisminiam nagrinėjimui“ nėra pakankamas, kadangi duomenų valdytojas, be kita ko, turi įvertinti ir prašomų pateikti duomenų būtinumą. Advokatui, kuris nepagrindžia, kad prašoma informacija, duomenys, dokumentai ar jų nuorašai yra reikalingi teisinėms paslaugoms teikti, motyvuotai atsisakoma juos pateikti.</w:t>
      </w:r>
    </w:p>
    <w:p w14:paraId="7024F53E" w14:textId="46E5DE67" w:rsidR="006E6317" w:rsidRPr="00F56F28" w:rsidRDefault="006E6317" w:rsidP="006E6317">
      <w:pPr>
        <w:ind w:firstLine="567"/>
        <w:jc w:val="both"/>
        <w:rPr>
          <w:rFonts w:asciiTheme="minorHAnsi" w:hAnsiTheme="minorHAnsi" w:cstheme="minorHAnsi"/>
          <w:sz w:val="22"/>
          <w:szCs w:val="22"/>
        </w:rPr>
      </w:pPr>
      <w:r w:rsidRPr="00F56F28">
        <w:rPr>
          <w:rFonts w:asciiTheme="minorHAnsi" w:hAnsiTheme="minorHAnsi" w:cstheme="minorHAnsi"/>
          <w:sz w:val="22"/>
          <w:szCs w:val="22"/>
        </w:rPr>
        <w:t>Nagrinė</w:t>
      </w:r>
      <w:r w:rsidR="00380F1D" w:rsidRPr="00F56F28">
        <w:rPr>
          <w:rFonts w:asciiTheme="minorHAnsi" w:hAnsiTheme="minorHAnsi" w:cstheme="minorHAnsi"/>
          <w:sz w:val="22"/>
          <w:szCs w:val="22"/>
        </w:rPr>
        <w:t>t</w:t>
      </w:r>
      <w:r w:rsidRPr="00F56F28">
        <w:rPr>
          <w:rFonts w:asciiTheme="minorHAnsi" w:hAnsiTheme="minorHAnsi" w:cstheme="minorHAnsi"/>
          <w:sz w:val="22"/>
          <w:szCs w:val="22"/>
        </w:rPr>
        <w:t>oje byloje pareiškėjo pateikto prašymo turinys patvirtino, kad motyvuodamas savo prašymą advokatas nurodė, jog duomenys yra būtini civilinėje byloje siekiant išspręsti ginčą dėl vaiko interesų gynimo. LVAT vertino, jog pareiškėjo pateikta prašymo motyvacija buvo pakankamai abstrakti, neinformatyvi ir nepaaiškino, kaip jo prašomi pateikti duomenys gali padėti išspręsti ginčą civilinėje byloje, tuo labiau, kad byloje nebuvo pateikta duomenų, jog pareiškėjas (advokatas) kokiu nors būdu atstovauja vaiko interesus civilinėje byloje. Todėl vien pakankamos ir pagrįstos motyvacijos nebuvimas prašyme suteikė pagrindą atsakovui atsisakyti tenkinti pareiškėjo prašymą.</w:t>
      </w:r>
    </w:p>
    <w:p w14:paraId="54E134F2" w14:textId="6293817B" w:rsidR="006E6317" w:rsidRPr="00F56F28" w:rsidRDefault="006E6317" w:rsidP="006E6317">
      <w:pPr>
        <w:ind w:firstLine="567"/>
        <w:jc w:val="both"/>
        <w:rPr>
          <w:rFonts w:asciiTheme="minorHAnsi" w:hAnsiTheme="minorHAnsi" w:cstheme="minorHAnsi"/>
          <w:sz w:val="22"/>
          <w:szCs w:val="22"/>
        </w:rPr>
      </w:pPr>
      <w:r w:rsidRPr="00F56F28">
        <w:rPr>
          <w:rFonts w:asciiTheme="minorHAnsi" w:hAnsiTheme="minorHAnsi" w:cstheme="minorHAnsi"/>
          <w:sz w:val="22"/>
          <w:szCs w:val="22"/>
        </w:rPr>
        <w:t>LVAT pažymėjo, kad byloje aktuali BDAR 6 straipsnio 1 dalies f punkte įtvirtinta teisės norma. E</w:t>
      </w:r>
      <w:r w:rsidR="00380F1D" w:rsidRPr="00F56F28">
        <w:rPr>
          <w:rFonts w:asciiTheme="minorHAnsi" w:hAnsiTheme="minorHAnsi" w:cstheme="minorHAnsi"/>
          <w:sz w:val="22"/>
          <w:szCs w:val="22"/>
        </w:rPr>
        <w:t>STT</w:t>
      </w:r>
      <w:r w:rsidRPr="00F56F28">
        <w:rPr>
          <w:rFonts w:asciiTheme="minorHAnsi" w:hAnsiTheme="minorHAnsi" w:cstheme="minorHAnsi"/>
          <w:sz w:val="22"/>
          <w:szCs w:val="22"/>
        </w:rPr>
        <w:t>, aiškindamas BDAR 6 straipsnio 1 dalies f punktą, yra konstatavęs, kad šios normos taikymui yra numatytos trys kumuliacinės asmens duomenų tvarkymo teisėtumo sąlygos: pirma, tvarkyti asmens duomenis reikia dėl teisėtų interesų, kurių siekia duomenų valdytojas arba trečiasis asmuo; antra, asmens duomenis tvarkyti būtina siekiant įgyvendinti nustatytą teisėtą interesą; ir, trečia, asmens, kurio duomenys turi būti apsaugoti, interesai ar laisvės bei pagrindinės teisės neturi būti viršesni (</w:t>
      </w:r>
      <w:r w:rsidR="00380F1D" w:rsidRPr="00F56F28">
        <w:rPr>
          <w:rFonts w:asciiTheme="minorHAnsi" w:hAnsiTheme="minorHAnsi" w:cstheme="minorHAnsi"/>
          <w:sz w:val="22"/>
          <w:szCs w:val="22"/>
        </w:rPr>
        <w:t xml:space="preserve">ESTT </w:t>
      </w:r>
      <w:r w:rsidRPr="00F56F28">
        <w:rPr>
          <w:rFonts w:asciiTheme="minorHAnsi" w:hAnsiTheme="minorHAnsi" w:cstheme="minorHAnsi"/>
          <w:sz w:val="22"/>
          <w:szCs w:val="22"/>
        </w:rPr>
        <w:t xml:space="preserve">2023 m. liepos 4 d. sprendimas </w:t>
      </w:r>
      <w:r w:rsidR="00380F1D" w:rsidRPr="00F56F28">
        <w:rPr>
          <w:rFonts w:asciiTheme="minorHAnsi" w:hAnsiTheme="minorHAnsi" w:cstheme="minorHAnsi"/>
          <w:sz w:val="22"/>
          <w:szCs w:val="22"/>
        </w:rPr>
        <w:t xml:space="preserve">byloje </w:t>
      </w:r>
      <w:r w:rsidRPr="00F56F28">
        <w:rPr>
          <w:rFonts w:asciiTheme="minorHAnsi" w:hAnsiTheme="minorHAnsi" w:cstheme="minorHAnsi"/>
          <w:i/>
          <w:iCs/>
          <w:sz w:val="22"/>
          <w:szCs w:val="22"/>
        </w:rPr>
        <w:t>Meta platforms ir kt.</w:t>
      </w:r>
      <w:r w:rsidR="00380F1D" w:rsidRPr="00F56F28">
        <w:rPr>
          <w:rFonts w:asciiTheme="minorHAnsi" w:hAnsiTheme="minorHAnsi" w:cstheme="minorHAnsi"/>
          <w:sz w:val="22"/>
          <w:szCs w:val="22"/>
        </w:rPr>
        <w:t>,</w:t>
      </w:r>
      <w:r w:rsidRPr="00F56F28">
        <w:rPr>
          <w:rFonts w:asciiTheme="minorHAnsi" w:hAnsiTheme="minorHAnsi" w:cstheme="minorHAnsi"/>
          <w:sz w:val="22"/>
          <w:szCs w:val="22"/>
        </w:rPr>
        <w:t xml:space="preserve"> C-252/21; 2021 m. birželio 17 d. sprendimas </w:t>
      </w:r>
      <w:r w:rsidR="007863B6" w:rsidRPr="00F56F28">
        <w:rPr>
          <w:rFonts w:asciiTheme="minorHAnsi" w:hAnsiTheme="minorHAnsi" w:cstheme="minorHAnsi"/>
          <w:sz w:val="22"/>
          <w:szCs w:val="22"/>
        </w:rPr>
        <w:t xml:space="preserve">byloje </w:t>
      </w:r>
      <w:r w:rsidRPr="00F56F28">
        <w:rPr>
          <w:rFonts w:asciiTheme="minorHAnsi" w:hAnsiTheme="minorHAnsi" w:cstheme="minorHAnsi"/>
          <w:i/>
          <w:iCs/>
          <w:sz w:val="22"/>
          <w:szCs w:val="22"/>
        </w:rPr>
        <w:t>Mircom International Content Management &amp; Consulting (M.I.C.M.) Limited prieš Telenet BVBA</w:t>
      </w:r>
      <w:r w:rsidR="007863B6" w:rsidRPr="00F56F28">
        <w:rPr>
          <w:rFonts w:asciiTheme="minorHAnsi" w:hAnsiTheme="minorHAnsi" w:cstheme="minorHAnsi"/>
          <w:sz w:val="22"/>
          <w:szCs w:val="22"/>
        </w:rPr>
        <w:t>,</w:t>
      </w:r>
      <w:r w:rsidRPr="00F56F28">
        <w:rPr>
          <w:rFonts w:asciiTheme="minorHAnsi" w:hAnsiTheme="minorHAnsi" w:cstheme="minorHAnsi"/>
          <w:sz w:val="22"/>
          <w:szCs w:val="22"/>
        </w:rPr>
        <w:t xml:space="preserve"> C-597/19).</w:t>
      </w:r>
    </w:p>
    <w:p w14:paraId="5EB917A1" w14:textId="472A911B" w:rsidR="006E6317" w:rsidRPr="00F56F28" w:rsidRDefault="006E6317" w:rsidP="006E6317">
      <w:pPr>
        <w:ind w:firstLine="567"/>
        <w:jc w:val="both"/>
        <w:rPr>
          <w:rFonts w:asciiTheme="minorHAnsi" w:hAnsiTheme="minorHAnsi" w:cstheme="minorHAnsi"/>
          <w:sz w:val="22"/>
          <w:szCs w:val="22"/>
        </w:rPr>
      </w:pPr>
      <w:r w:rsidRPr="00F56F28">
        <w:rPr>
          <w:rFonts w:asciiTheme="minorHAnsi" w:hAnsiTheme="minorHAnsi" w:cstheme="minorHAnsi"/>
          <w:sz w:val="22"/>
          <w:szCs w:val="22"/>
        </w:rPr>
        <w:t xml:space="preserve">Teisėjų kolegijos vertinimu, Sprendimo turinys patvirtino, jog atsakovas savo pareigą įvertinti, ar pareiškėjo prašymas bei jame pateikti duomenys atitinka BDAR 6 straipsnio 1 dalies f punkte įvirtintas kumuliacines sąlygas, įvykdė ir nustatė, kad pareiškėjo prašymas neatitinka trečiosios sąlygos, t. y. konstatavo, </w:t>
      </w:r>
      <w:r w:rsidR="00E04238" w:rsidRPr="00F56F28">
        <w:rPr>
          <w:rFonts w:asciiTheme="minorHAnsi" w:hAnsiTheme="minorHAnsi" w:cstheme="minorHAnsi"/>
          <w:sz w:val="22"/>
          <w:szCs w:val="22"/>
        </w:rPr>
        <w:t>jog</w:t>
      </w:r>
      <w:r w:rsidRPr="00F56F28">
        <w:rPr>
          <w:rFonts w:asciiTheme="minorHAnsi" w:hAnsiTheme="minorHAnsi" w:cstheme="minorHAnsi"/>
          <w:sz w:val="22"/>
          <w:szCs w:val="22"/>
        </w:rPr>
        <w:t xml:space="preserve"> pareiškėjo civilinėje byloje atstovaujamo asmens teisėti interesai neturi viršenybės lyginant su L. N. interesais.</w:t>
      </w:r>
    </w:p>
    <w:p w14:paraId="7DCC7505" w14:textId="77777777" w:rsidR="006E6317" w:rsidRPr="00F56F28" w:rsidRDefault="006E6317" w:rsidP="006E6317">
      <w:pPr>
        <w:ind w:firstLine="567"/>
        <w:jc w:val="both"/>
        <w:rPr>
          <w:rFonts w:asciiTheme="minorHAnsi" w:hAnsiTheme="minorHAnsi" w:cstheme="minorHAnsi"/>
          <w:sz w:val="22"/>
          <w:szCs w:val="22"/>
        </w:rPr>
      </w:pPr>
      <w:r w:rsidRPr="00F56F28">
        <w:rPr>
          <w:rFonts w:asciiTheme="minorHAnsi" w:hAnsiTheme="minorHAnsi" w:cstheme="minorHAnsi"/>
          <w:sz w:val="22"/>
          <w:szCs w:val="22"/>
        </w:rPr>
        <w:t>Teisėjų kolegija pažymėjo, kad BDAR 6 straipsnio 1 dalies f punkte yra įtvirtintos trys kumuliacinės sąlygos, todėl nustačius, jog pareiškėjo prašymas neatitinka vienos iš būtinų sąlygų, kitų dviejų sąlygų buvimas ar nebuvimas nebėra aktualus, nes bet kokiu atveju asmens duomenų tvarkymas būtų neteisėtas. Atsižvelgdama į tai, teisėjų kolegija nesutiko tiek su Lietuvos administracinių ginčų komisijos, tiek su pirmosios instancijos teismo argumentais, jog byloje ginčijamas atsakovo sprendimas buvo ydingas dėl to, jog atsakovas savo sprendime nepasisakė dėl visų BDAR 6 straipsnio 1 dalies f punkte įtvirtintų asmens duomenų tvarkymo teisėtumo sąlygų.</w:t>
      </w:r>
    </w:p>
    <w:p w14:paraId="27B2327C" w14:textId="77777777" w:rsidR="006E6317" w:rsidRPr="00F56F28" w:rsidRDefault="006E6317" w:rsidP="006E6317">
      <w:pPr>
        <w:ind w:firstLine="567"/>
        <w:jc w:val="both"/>
        <w:rPr>
          <w:rFonts w:asciiTheme="minorHAnsi" w:hAnsiTheme="minorHAnsi" w:cstheme="minorHAnsi"/>
          <w:sz w:val="22"/>
          <w:szCs w:val="22"/>
        </w:rPr>
      </w:pPr>
      <w:r w:rsidRPr="00F56F28">
        <w:rPr>
          <w:rFonts w:asciiTheme="minorHAnsi" w:hAnsiTheme="minorHAnsi" w:cstheme="minorHAnsi"/>
          <w:sz w:val="22"/>
          <w:szCs w:val="22"/>
        </w:rPr>
        <w:t>Įvertinusi pareiškėjo prašymo turinį, teisėjų kolegija sutiko su atsakovo argumentais, jog pareiškėjo, atstovaujančio klientą civilinėje byloje, prašymas pateikti informaciją apie atsakovės L. N. baustumą administracine tvarka už bet kokius administracinius nusižengimus ir leisti susipažinti su L. N. administracinių nusižengimų bylomis, nepateikiant pagrįstų argumentų kaip ši informacija gali būti susijusi su civilinės bylos dalyku, negali būti vertinamas proporcingu palyginti su žala, kuri dėl atskleistos informacijos būtų daroma L. N. reputacijai, jos interesams, teisėms ir laisvėms. Todėl konstatuota, jog pareiškėjo prašymas negalėjo būti patenkintas, nes nenustatytos visos būtinos BDAR 6 straipsnio 1 dalies f punkte įtvirtintos asmens duomenų tvarkymo teisėtumo sąlygos.</w:t>
      </w:r>
    </w:p>
    <w:p w14:paraId="7A4787A6" w14:textId="77777777" w:rsidR="006E6317" w:rsidRPr="00F56F28" w:rsidRDefault="006E6317" w:rsidP="006E6317">
      <w:pPr>
        <w:ind w:firstLine="567"/>
        <w:jc w:val="both"/>
        <w:rPr>
          <w:rFonts w:asciiTheme="minorHAnsi" w:hAnsiTheme="minorHAnsi" w:cstheme="minorHAnsi"/>
          <w:sz w:val="22"/>
          <w:szCs w:val="22"/>
        </w:rPr>
      </w:pPr>
      <w:r w:rsidRPr="00F56F28">
        <w:rPr>
          <w:rFonts w:asciiTheme="minorHAnsi" w:hAnsiTheme="minorHAnsi" w:cstheme="minorHAnsi"/>
          <w:sz w:val="22"/>
          <w:szCs w:val="22"/>
        </w:rPr>
        <w:t>Atsakovo apeliacinis skundas tenkintas iš dalies, pirmosios instancijos teismo sprendimas panaikintas ir priimtas naujas sprendimas. Lietuvos administracinių ginčų komisijos sprendimas pakeistas, panaikinant šio sprendimo dalį, kuria iš dalies buvo patenkintas pareiškėjo M. G. skundas ir panaikintas atsakovo 2022 m. sausio 10 d. sprendimas, ir šioje dalyje pareiškėjo M. G. skundas atmestas.</w:t>
      </w:r>
    </w:p>
    <w:p w14:paraId="252BEBE2" w14:textId="77777777" w:rsidR="006E6317" w:rsidRPr="00F56F28" w:rsidRDefault="006E6317" w:rsidP="006E6317">
      <w:pPr>
        <w:jc w:val="both"/>
        <w:rPr>
          <w:rFonts w:asciiTheme="minorHAnsi" w:hAnsiTheme="minorHAnsi" w:cstheme="minorHAnsi"/>
          <w:sz w:val="22"/>
          <w:szCs w:val="22"/>
        </w:rPr>
      </w:pPr>
    </w:p>
    <w:p w14:paraId="21050B41" w14:textId="77777777" w:rsidR="006E6317" w:rsidRPr="00F56F28" w:rsidRDefault="006E6317" w:rsidP="006E6317">
      <w:pPr>
        <w:jc w:val="both"/>
        <w:rPr>
          <w:rFonts w:asciiTheme="minorHAnsi" w:hAnsiTheme="minorHAnsi" w:cstheme="minorHAnsi"/>
          <w:sz w:val="22"/>
          <w:szCs w:val="22"/>
        </w:rPr>
      </w:pPr>
      <w:r w:rsidRPr="00F56F28">
        <w:rPr>
          <w:rFonts w:asciiTheme="minorHAnsi" w:hAnsiTheme="minorHAnsi" w:cstheme="minorHAnsi"/>
          <w:sz w:val="22"/>
          <w:szCs w:val="22"/>
        </w:rPr>
        <w:t>2023 m. lapkričio 29 d. sprendimas administracinėje byloje Nr. eA-831-525/2023</w:t>
      </w:r>
    </w:p>
    <w:p w14:paraId="598D8165" w14:textId="77777777" w:rsidR="006E6317" w:rsidRPr="00F56F28" w:rsidRDefault="006E6317" w:rsidP="006E6317">
      <w:pPr>
        <w:jc w:val="both"/>
        <w:rPr>
          <w:rFonts w:asciiTheme="minorHAnsi" w:hAnsiTheme="minorHAnsi" w:cstheme="minorHAnsi"/>
          <w:sz w:val="22"/>
          <w:szCs w:val="22"/>
        </w:rPr>
      </w:pPr>
      <w:r w:rsidRPr="00F56F28">
        <w:rPr>
          <w:rFonts w:asciiTheme="minorHAnsi" w:hAnsiTheme="minorHAnsi" w:cstheme="minorHAnsi"/>
          <w:sz w:val="22"/>
          <w:szCs w:val="22"/>
        </w:rPr>
        <w:t>Teisminio proceso Nr. 3-61-3-01502-2022-7</w:t>
      </w:r>
    </w:p>
    <w:p w14:paraId="24A9F628" w14:textId="77777777" w:rsidR="006E6317" w:rsidRPr="00F56F28" w:rsidRDefault="006E6317" w:rsidP="006E6317">
      <w:pPr>
        <w:jc w:val="both"/>
        <w:rPr>
          <w:rFonts w:asciiTheme="minorHAnsi" w:hAnsiTheme="minorHAnsi" w:cstheme="minorHAnsi"/>
          <w:sz w:val="22"/>
          <w:szCs w:val="22"/>
        </w:rPr>
      </w:pPr>
      <w:r w:rsidRPr="00F56F28">
        <w:rPr>
          <w:rFonts w:asciiTheme="minorHAnsi" w:hAnsiTheme="minorHAnsi" w:cstheme="minorHAnsi"/>
          <w:sz w:val="22"/>
          <w:szCs w:val="22"/>
        </w:rPr>
        <w:t>Procesinio sprendimo kategorija 26</w:t>
      </w:r>
    </w:p>
    <w:p w14:paraId="275516AD" w14:textId="77777777" w:rsidR="006E6317" w:rsidRPr="00F56F28" w:rsidRDefault="00000000" w:rsidP="006E6317">
      <w:pPr>
        <w:jc w:val="both"/>
        <w:rPr>
          <w:rFonts w:asciiTheme="minorHAnsi" w:hAnsiTheme="minorHAnsi" w:cstheme="minorHAnsi"/>
          <w:sz w:val="22"/>
          <w:szCs w:val="22"/>
        </w:rPr>
      </w:pPr>
      <w:hyperlink r:id="rId15" w:history="1">
        <w:r w:rsidR="006E6317" w:rsidRPr="00F56F28">
          <w:rPr>
            <w:rStyle w:val="Hyperlink"/>
            <w:rFonts w:asciiTheme="minorHAnsi" w:hAnsiTheme="minorHAnsi" w:cstheme="minorHAnsi"/>
            <w:sz w:val="22"/>
            <w:szCs w:val="22"/>
          </w:rPr>
          <w:t>Prieiga internete</w:t>
        </w:r>
      </w:hyperlink>
    </w:p>
    <w:p w14:paraId="0653C2E4" w14:textId="3EB3812A" w:rsidR="006E6317" w:rsidRPr="00F56F28" w:rsidRDefault="006E6317" w:rsidP="006E6317">
      <w:pPr>
        <w:jc w:val="both"/>
        <w:rPr>
          <w:rFonts w:asciiTheme="minorHAnsi" w:hAnsiTheme="minorHAnsi" w:cstheme="minorHAnsi"/>
          <w:sz w:val="22"/>
          <w:szCs w:val="22"/>
        </w:rPr>
      </w:pPr>
    </w:p>
    <w:p w14:paraId="566868B6" w14:textId="3A73DC99" w:rsidR="006E6317" w:rsidRPr="00F56F28" w:rsidRDefault="006E6317" w:rsidP="006E6317">
      <w:pPr>
        <w:jc w:val="both"/>
        <w:outlineLvl w:val="1"/>
        <w:rPr>
          <w:rFonts w:asciiTheme="minorHAnsi" w:eastAsia="Calibri" w:hAnsiTheme="minorHAnsi" w:cstheme="minorHAnsi"/>
          <w:i/>
          <w:sz w:val="22"/>
          <w:szCs w:val="22"/>
        </w:rPr>
      </w:pPr>
      <w:bookmarkStart w:id="42" w:name="_Toc159340667"/>
      <w:r w:rsidRPr="00F56F28">
        <w:rPr>
          <w:rFonts w:asciiTheme="minorHAnsi" w:eastAsia="Calibri" w:hAnsiTheme="minorHAnsi" w:cstheme="minorHAnsi"/>
          <w:i/>
          <w:sz w:val="22"/>
          <w:szCs w:val="22"/>
        </w:rPr>
        <w:t xml:space="preserve">Dėl subjekto, kompetentingo spręsti dėl byloje dalyvaujančių asmenų asmens duomenų viešinimo </w:t>
      </w:r>
      <w:r w:rsidR="00745CDE" w:rsidRPr="00F56F28">
        <w:rPr>
          <w:rFonts w:asciiTheme="minorHAnsi" w:eastAsia="Calibri" w:hAnsiTheme="minorHAnsi" w:cstheme="minorHAnsi"/>
          <w:i/>
          <w:sz w:val="22"/>
          <w:szCs w:val="22"/>
        </w:rPr>
        <w:t xml:space="preserve">Lietuvos teismų informacinės sistemos </w:t>
      </w:r>
      <w:r w:rsidRPr="00F56F28">
        <w:rPr>
          <w:rFonts w:asciiTheme="minorHAnsi" w:eastAsia="Calibri" w:hAnsiTheme="minorHAnsi" w:cstheme="minorHAnsi"/>
          <w:i/>
          <w:sz w:val="22"/>
          <w:szCs w:val="22"/>
        </w:rPr>
        <w:t>LITEKO viešoje tvarkaraščių paieškoje</w:t>
      </w:r>
      <w:bookmarkEnd w:id="42"/>
    </w:p>
    <w:p w14:paraId="7E85FDAF" w14:textId="77777777" w:rsidR="006E6317" w:rsidRPr="00F56F28" w:rsidRDefault="006E6317" w:rsidP="009A187C">
      <w:pPr>
        <w:jc w:val="both"/>
        <w:rPr>
          <w:rFonts w:asciiTheme="minorHAnsi" w:hAnsiTheme="minorHAnsi" w:cstheme="minorHAnsi"/>
          <w:sz w:val="22"/>
          <w:szCs w:val="22"/>
        </w:rPr>
      </w:pPr>
    </w:p>
    <w:p w14:paraId="75620E2B" w14:textId="1C747E25" w:rsidR="006E6317" w:rsidRPr="00F56F28" w:rsidRDefault="006E6317" w:rsidP="006E6317">
      <w:pPr>
        <w:ind w:firstLine="567"/>
        <w:jc w:val="both"/>
        <w:rPr>
          <w:rFonts w:asciiTheme="minorHAnsi" w:hAnsiTheme="minorHAnsi" w:cstheme="minorHAnsi"/>
          <w:sz w:val="22"/>
          <w:szCs w:val="22"/>
        </w:rPr>
      </w:pPr>
      <w:r w:rsidRPr="00F56F28">
        <w:rPr>
          <w:rFonts w:asciiTheme="minorHAnsi" w:hAnsiTheme="minorHAnsi" w:cstheme="minorHAnsi"/>
          <w:sz w:val="22"/>
          <w:szCs w:val="22"/>
        </w:rPr>
        <w:t xml:space="preserve">Byloje kilo ginčas dėl Nacionalinės teismų administracijos </w:t>
      </w:r>
      <w:r w:rsidR="00745CDE" w:rsidRPr="00F56F28">
        <w:rPr>
          <w:rFonts w:asciiTheme="minorHAnsi" w:hAnsiTheme="minorHAnsi" w:cstheme="minorHAnsi"/>
          <w:sz w:val="22"/>
          <w:szCs w:val="22"/>
        </w:rPr>
        <w:t xml:space="preserve">(toliau – NTA, atsakovas) </w:t>
      </w:r>
      <w:r w:rsidRPr="00F56F28">
        <w:rPr>
          <w:rFonts w:asciiTheme="minorHAnsi" w:hAnsiTheme="minorHAnsi" w:cstheme="minorHAnsi"/>
          <w:sz w:val="22"/>
          <w:szCs w:val="22"/>
        </w:rPr>
        <w:t>raštų teisėtumo ir pagrįstumo bei atsakovo įpareigojimo iš naujo išnagrinėti pareiškėjo skundus.</w:t>
      </w:r>
    </w:p>
    <w:p w14:paraId="4DC68187" w14:textId="170A82B0" w:rsidR="006E6317" w:rsidRPr="00F56F28" w:rsidRDefault="006E6317" w:rsidP="006E6317">
      <w:pPr>
        <w:ind w:firstLine="567"/>
        <w:jc w:val="both"/>
        <w:rPr>
          <w:rFonts w:asciiTheme="minorHAnsi" w:hAnsiTheme="minorHAnsi" w:cstheme="minorHAnsi"/>
          <w:sz w:val="22"/>
          <w:szCs w:val="22"/>
        </w:rPr>
      </w:pPr>
      <w:r w:rsidRPr="00F56F28">
        <w:rPr>
          <w:rFonts w:asciiTheme="minorHAnsi" w:hAnsiTheme="minorHAnsi" w:cstheme="minorHAnsi"/>
          <w:sz w:val="22"/>
          <w:szCs w:val="22"/>
        </w:rPr>
        <w:t xml:space="preserve">LVAT, atsakydamas į apeliacinio skundo argumentus, susijusius su NTA kompetencija, </w:t>
      </w:r>
      <w:bookmarkStart w:id="43" w:name="_Hlk155359597"/>
      <w:r w:rsidRPr="00F56F28">
        <w:rPr>
          <w:rFonts w:asciiTheme="minorHAnsi" w:hAnsiTheme="minorHAnsi" w:cstheme="minorHAnsi"/>
          <w:sz w:val="22"/>
          <w:szCs w:val="22"/>
        </w:rPr>
        <w:t xml:space="preserve">sprendžiant dėl proceso dalyvių asmens duomenų viešinimo </w:t>
      </w:r>
      <w:r w:rsidR="00745CDE" w:rsidRPr="00F56F28">
        <w:rPr>
          <w:rFonts w:asciiTheme="minorHAnsi" w:hAnsiTheme="minorHAnsi" w:cstheme="minorHAnsi"/>
          <w:sz w:val="22"/>
          <w:szCs w:val="22"/>
        </w:rPr>
        <w:t xml:space="preserve">Lietuvos teismų informacinės sistemos </w:t>
      </w:r>
      <w:r w:rsidRPr="00F56F28">
        <w:rPr>
          <w:rFonts w:asciiTheme="minorHAnsi" w:hAnsiTheme="minorHAnsi" w:cstheme="minorHAnsi"/>
          <w:sz w:val="22"/>
          <w:szCs w:val="22"/>
        </w:rPr>
        <w:t>LITEKO viešoje tvarkaraščių paieškoje,</w:t>
      </w:r>
      <w:bookmarkEnd w:id="43"/>
      <w:r w:rsidRPr="00F56F28">
        <w:rPr>
          <w:rFonts w:asciiTheme="minorHAnsi" w:hAnsiTheme="minorHAnsi" w:cstheme="minorHAnsi"/>
          <w:sz w:val="22"/>
          <w:szCs w:val="22"/>
        </w:rPr>
        <w:t xml:space="preserve"> pritarė motyvuotai pirmosios instancijos teismo išvadai, kad NTA neturi teisės spręsti pareiškėjo skunduose nurodytų klausimų, susijusių su pareiškėjo asmens duomenų viešinimu LITEKO viešoje tvarkaraščių paieškoje.</w:t>
      </w:r>
    </w:p>
    <w:p w14:paraId="53640643" w14:textId="1C470929" w:rsidR="006E6317" w:rsidRPr="00F56F28" w:rsidRDefault="006E6317" w:rsidP="006E6317">
      <w:pPr>
        <w:ind w:firstLine="567"/>
        <w:jc w:val="both"/>
        <w:rPr>
          <w:rFonts w:asciiTheme="minorHAnsi" w:hAnsiTheme="minorHAnsi" w:cstheme="minorHAnsi"/>
          <w:sz w:val="22"/>
          <w:szCs w:val="22"/>
        </w:rPr>
      </w:pPr>
      <w:r w:rsidRPr="00F56F28">
        <w:rPr>
          <w:rFonts w:asciiTheme="minorHAnsi" w:hAnsiTheme="minorHAnsi" w:cstheme="minorHAnsi"/>
          <w:sz w:val="22"/>
          <w:szCs w:val="22"/>
        </w:rPr>
        <w:t xml:space="preserve">Teisėjų kolegija nurodė, jog tai, kad </w:t>
      </w:r>
      <w:r w:rsidRPr="00F56F28">
        <w:rPr>
          <w:rFonts w:asciiTheme="minorHAnsi" w:hAnsiTheme="minorHAnsi" w:cstheme="minorHAnsi"/>
          <w:sz w:val="22"/>
          <w:szCs w:val="22"/>
          <w:u w:val="single"/>
        </w:rPr>
        <w:t xml:space="preserve">ne NTA, o konkrečią bylą nagrinėjantis teismas yra kompetentingas nuspręsti, kokie konkretūs byloje dalyvaujančių asmenų asmens duomenys ir kokia apimtimi privalo būti naudojami </w:t>
      </w:r>
      <w:bookmarkStart w:id="44" w:name="_Hlk155703777"/>
      <w:r w:rsidR="008A51C8" w:rsidRPr="00F56F28">
        <w:rPr>
          <w:rFonts w:asciiTheme="minorHAnsi" w:hAnsiTheme="minorHAnsi" w:cstheme="minorHAnsi"/>
          <w:sz w:val="22"/>
          <w:szCs w:val="22"/>
          <w:u w:val="single"/>
        </w:rPr>
        <w:t>v</w:t>
      </w:r>
      <w:r w:rsidRPr="00F56F28">
        <w:rPr>
          <w:rFonts w:asciiTheme="minorHAnsi" w:hAnsiTheme="minorHAnsi" w:cstheme="minorHAnsi"/>
          <w:sz w:val="22"/>
          <w:szCs w:val="22"/>
          <w:u w:val="single"/>
        </w:rPr>
        <w:t>iešoje teismo posėdžių tvarkaraščių paieškoje</w:t>
      </w:r>
      <w:bookmarkEnd w:id="44"/>
      <w:r w:rsidRPr="00F56F28">
        <w:rPr>
          <w:rFonts w:asciiTheme="minorHAnsi" w:hAnsiTheme="minorHAnsi" w:cstheme="minorHAnsi"/>
          <w:sz w:val="22"/>
          <w:szCs w:val="22"/>
        </w:rPr>
        <w:t>, seka iš šiuo aspektu aktualaus teisinio reg</w:t>
      </w:r>
      <w:r w:rsidR="008A51C8" w:rsidRPr="00F56F28">
        <w:rPr>
          <w:rFonts w:asciiTheme="minorHAnsi" w:hAnsiTheme="minorHAnsi" w:cstheme="minorHAnsi"/>
          <w:sz w:val="22"/>
          <w:szCs w:val="22"/>
        </w:rPr>
        <w:t>u</w:t>
      </w:r>
      <w:r w:rsidRPr="00F56F28">
        <w:rPr>
          <w:rFonts w:asciiTheme="minorHAnsi" w:hAnsiTheme="minorHAnsi" w:cstheme="minorHAnsi"/>
          <w:sz w:val="22"/>
          <w:szCs w:val="22"/>
        </w:rPr>
        <w:t>l</w:t>
      </w:r>
      <w:r w:rsidR="008A51C8" w:rsidRPr="00F56F28">
        <w:rPr>
          <w:rFonts w:asciiTheme="minorHAnsi" w:hAnsiTheme="minorHAnsi" w:cstheme="minorHAnsi"/>
          <w:sz w:val="22"/>
          <w:szCs w:val="22"/>
        </w:rPr>
        <w:t>i</w:t>
      </w:r>
      <w:r w:rsidRPr="00F56F28">
        <w:rPr>
          <w:rFonts w:asciiTheme="minorHAnsi" w:hAnsiTheme="minorHAnsi" w:cstheme="minorHAnsi"/>
          <w:sz w:val="22"/>
          <w:szCs w:val="22"/>
        </w:rPr>
        <w:t xml:space="preserve">avimo, kuriuo, be kita ko, rėmėsi ir pirmosios instancijos teismas. Šiame kontekste priminta, kad vienas pagrindinių NTA uždavinių – padėti užtikrinti teismų ir teisėjų nepriklausomumą, teismų organizacinį savarankiškumą (Teismų įstatymo 124 str. 2 d. 1 p.), NTA, įgyvendindama Teismų įstatyme nustatytus uždavinius, „sudaro ir tvarko su NTA veikla susijusias duomenų bazes, organizuoja informacinių sistemų kūrimą ir diegimą teismuose, administruoja teismų informacines sistemas ir jas tobulina“ (NTA įstatymo 2 str. 22 p.). NTA direktorius 2011 m. lapkričio 28 d. įsakymu Nr. 6P-112-(1.1) patvirtino LITEKO nuostatus, kurie </w:t>
      </w:r>
      <w:r w:rsidRPr="00F56F28">
        <w:rPr>
          <w:rFonts w:asciiTheme="minorHAnsi" w:hAnsiTheme="minorHAnsi" w:cstheme="minorHAnsi"/>
          <w:i/>
          <w:iCs/>
          <w:sz w:val="22"/>
          <w:szCs w:val="22"/>
        </w:rPr>
        <w:t>inter alia</w:t>
      </w:r>
      <w:r w:rsidRPr="00F56F28">
        <w:rPr>
          <w:rFonts w:asciiTheme="minorHAnsi" w:hAnsiTheme="minorHAnsi" w:cstheme="minorHAnsi"/>
          <w:sz w:val="22"/>
          <w:szCs w:val="22"/>
        </w:rPr>
        <w:t xml:space="preserve"> (be kita ko) reglamentuoja duomenų teikimo ir naudojimo tvarką, duomenų saugos reikalavimus. LITEKO nuostatų 6 punkte įtvirtinta, kad „asmens duomenų tvarkymo LITEKO tikslas – rinkti, kaupti, apdoroti, sisteminti, saugoti ir teikti asmens duomenis, naudojamus teisingumo vykdymo funkcijų įgyvendinimo procese, ir (ar) susijusius su taikinamuoju tarpininkavimu ir viešųjų teismų elektroninių paslaugų teikimu“. Pagal LITEKO nuostatus teismai kaip LITEKO tvarkytojai atlieka šias funkcijas: „atlieka Valstybės informacinių išteklių valdymo įstatyme valstybės informacinės sistemos tvarkytojui nustatytas funkcijas ir turi šiame įstatyme nurodytas teises ir pareigas“ (17.1</w:t>
      </w:r>
      <w:r w:rsidR="00790F8C" w:rsidRPr="00F56F28">
        <w:rPr>
          <w:rFonts w:asciiTheme="minorHAnsi" w:hAnsiTheme="minorHAnsi" w:cstheme="minorHAnsi"/>
          <w:sz w:val="22"/>
          <w:szCs w:val="22"/>
        </w:rPr>
        <w:t> </w:t>
      </w:r>
      <w:r w:rsidRPr="00F56F28">
        <w:rPr>
          <w:rFonts w:asciiTheme="minorHAnsi" w:hAnsiTheme="minorHAnsi" w:cstheme="minorHAnsi"/>
          <w:sz w:val="22"/>
          <w:szCs w:val="22"/>
        </w:rPr>
        <w:t>p.); „tvarko LITEKO duomenis, įskaitant asmens duomenis, vadovaudamiesi teisės aktais ir šiais nuostatais“ (17.2 p.). LVAT sprendė, jog atsakovas ir pirmosios instancijos teismas visiškai pagrįstai nurodė, kad pareiškėjas dėl jo asmens duomenų pripažinimo neviešais ir šių duomenų tvarkymo turi teisę kreiptis į konkrečią bylą nagrinėjantį teismą.</w:t>
      </w:r>
    </w:p>
    <w:p w14:paraId="3F511999" w14:textId="77777777" w:rsidR="006E6317" w:rsidRPr="00F56F28" w:rsidRDefault="006E6317" w:rsidP="006E6317">
      <w:pPr>
        <w:ind w:firstLine="567"/>
        <w:jc w:val="both"/>
        <w:rPr>
          <w:rFonts w:asciiTheme="minorHAnsi" w:hAnsiTheme="minorHAnsi" w:cstheme="minorHAnsi"/>
          <w:sz w:val="22"/>
          <w:szCs w:val="22"/>
        </w:rPr>
      </w:pPr>
      <w:r w:rsidRPr="00F56F28">
        <w:rPr>
          <w:rFonts w:asciiTheme="minorHAnsi" w:hAnsiTheme="minorHAnsi" w:cstheme="minorHAnsi"/>
          <w:sz w:val="22"/>
          <w:szCs w:val="22"/>
        </w:rPr>
        <w:t>Apeliacinis skundas atmestas, o pirmosios instancijos teismo sprendimas paliktas nepakeistas.</w:t>
      </w:r>
    </w:p>
    <w:p w14:paraId="254FD395" w14:textId="77777777" w:rsidR="006E6317" w:rsidRPr="00F56F28" w:rsidRDefault="006E6317" w:rsidP="006E6317">
      <w:pPr>
        <w:jc w:val="both"/>
        <w:rPr>
          <w:rFonts w:asciiTheme="minorHAnsi" w:hAnsiTheme="minorHAnsi" w:cstheme="minorHAnsi"/>
          <w:sz w:val="22"/>
          <w:szCs w:val="22"/>
        </w:rPr>
      </w:pPr>
    </w:p>
    <w:p w14:paraId="0274BC2C" w14:textId="77777777" w:rsidR="006E6317" w:rsidRPr="00F56F28" w:rsidRDefault="006E6317" w:rsidP="006E6317">
      <w:pPr>
        <w:jc w:val="both"/>
        <w:rPr>
          <w:rFonts w:asciiTheme="minorHAnsi" w:hAnsiTheme="minorHAnsi" w:cstheme="minorHAnsi"/>
          <w:sz w:val="22"/>
          <w:szCs w:val="22"/>
        </w:rPr>
      </w:pPr>
      <w:r w:rsidRPr="00F56F28">
        <w:rPr>
          <w:rFonts w:asciiTheme="minorHAnsi" w:hAnsiTheme="minorHAnsi" w:cstheme="minorHAnsi"/>
          <w:sz w:val="22"/>
          <w:szCs w:val="22"/>
        </w:rPr>
        <w:t>2023 m. lapkričio 22 d. nutartis administracinėje byloje Nr. eA-1146-968/2023</w:t>
      </w:r>
    </w:p>
    <w:p w14:paraId="53638A92" w14:textId="77777777" w:rsidR="006E6317" w:rsidRPr="00F56F28" w:rsidRDefault="006E6317" w:rsidP="006E6317">
      <w:pPr>
        <w:jc w:val="both"/>
        <w:rPr>
          <w:rFonts w:asciiTheme="minorHAnsi" w:hAnsiTheme="minorHAnsi" w:cstheme="minorHAnsi"/>
          <w:sz w:val="22"/>
          <w:szCs w:val="22"/>
        </w:rPr>
      </w:pPr>
      <w:r w:rsidRPr="00F56F28">
        <w:rPr>
          <w:rFonts w:asciiTheme="minorHAnsi" w:hAnsiTheme="minorHAnsi" w:cstheme="minorHAnsi"/>
          <w:sz w:val="22"/>
          <w:szCs w:val="22"/>
        </w:rPr>
        <w:t>Teisminio proceso Nr. 3-61-3-02711-2022-0</w:t>
      </w:r>
    </w:p>
    <w:p w14:paraId="2CC7F1C9" w14:textId="77777777" w:rsidR="006E6317" w:rsidRPr="00F56F28" w:rsidRDefault="006E6317" w:rsidP="006E6317">
      <w:pPr>
        <w:jc w:val="both"/>
        <w:rPr>
          <w:rFonts w:asciiTheme="minorHAnsi" w:hAnsiTheme="minorHAnsi" w:cstheme="minorHAnsi"/>
          <w:sz w:val="22"/>
          <w:szCs w:val="22"/>
        </w:rPr>
      </w:pPr>
      <w:r w:rsidRPr="00F56F28">
        <w:rPr>
          <w:rFonts w:asciiTheme="minorHAnsi" w:hAnsiTheme="minorHAnsi" w:cstheme="minorHAnsi"/>
          <w:sz w:val="22"/>
          <w:szCs w:val="22"/>
        </w:rPr>
        <w:t>Procesinio sprendimo kategorija 26</w:t>
      </w:r>
    </w:p>
    <w:p w14:paraId="0D938856" w14:textId="77777777" w:rsidR="006E6317" w:rsidRPr="00F56F28" w:rsidRDefault="00000000" w:rsidP="006E6317">
      <w:pPr>
        <w:jc w:val="both"/>
        <w:rPr>
          <w:rFonts w:asciiTheme="minorHAnsi" w:hAnsiTheme="minorHAnsi" w:cstheme="minorHAnsi"/>
          <w:sz w:val="22"/>
          <w:szCs w:val="22"/>
        </w:rPr>
      </w:pPr>
      <w:hyperlink r:id="rId16" w:history="1">
        <w:r w:rsidR="006E6317" w:rsidRPr="00F56F28">
          <w:rPr>
            <w:rStyle w:val="Hyperlink"/>
            <w:rFonts w:asciiTheme="minorHAnsi" w:hAnsiTheme="minorHAnsi" w:cstheme="minorHAnsi"/>
            <w:sz w:val="22"/>
            <w:szCs w:val="22"/>
          </w:rPr>
          <w:t>Prieiga internete</w:t>
        </w:r>
      </w:hyperlink>
    </w:p>
    <w:p w14:paraId="659CD514" w14:textId="5B90C689" w:rsidR="00B14D2F" w:rsidRPr="00F56F28" w:rsidRDefault="00B14D2F" w:rsidP="00A32A5C">
      <w:pPr>
        <w:ind w:firstLine="567"/>
        <w:rPr>
          <w:rFonts w:asciiTheme="minorHAnsi" w:hAnsiTheme="minorHAnsi" w:cstheme="minorHAnsi"/>
          <w:sz w:val="22"/>
          <w:szCs w:val="22"/>
        </w:rPr>
      </w:pPr>
    </w:p>
    <w:p w14:paraId="37B2E84E" w14:textId="77777777" w:rsidR="00BF6DCC" w:rsidRPr="00F56F28" w:rsidRDefault="00BF6DCC" w:rsidP="00BF6DCC">
      <w:pPr>
        <w:pStyle w:val="Apzvalgai1"/>
        <w:rPr>
          <w:rFonts w:asciiTheme="minorHAnsi" w:hAnsiTheme="minorHAnsi" w:cstheme="minorHAnsi"/>
        </w:rPr>
      </w:pPr>
      <w:bookmarkStart w:id="45" w:name="_Toc159340668"/>
      <w:r w:rsidRPr="00F56F28">
        <w:rPr>
          <w:rFonts w:asciiTheme="minorHAnsi" w:hAnsiTheme="minorHAnsi" w:cstheme="minorHAnsi"/>
        </w:rPr>
        <w:t>29. Nacionalinių, Europos Sąjungos ir užsienio institucijų finansinė parama</w:t>
      </w:r>
      <w:bookmarkEnd w:id="45"/>
    </w:p>
    <w:p w14:paraId="6586D4CC" w14:textId="77777777" w:rsidR="00BF6DCC" w:rsidRPr="00F56F28" w:rsidRDefault="00BF6DCC" w:rsidP="00175490">
      <w:pPr>
        <w:pStyle w:val="NoSpacing"/>
        <w:ind w:firstLine="567"/>
        <w:jc w:val="both"/>
        <w:rPr>
          <w:rFonts w:asciiTheme="minorHAnsi" w:hAnsiTheme="minorHAnsi" w:cstheme="minorHAnsi"/>
          <w:b/>
          <w:bCs/>
          <w:u w:val="single"/>
        </w:rPr>
      </w:pPr>
      <w:r w:rsidRPr="00F56F28">
        <w:rPr>
          <w:rFonts w:asciiTheme="minorHAnsi" w:hAnsiTheme="minorHAnsi" w:cstheme="minorHAnsi"/>
          <w:b/>
          <w:bCs/>
          <w:u w:val="single"/>
        </w:rPr>
        <w:t>29.1. Paraiškų administravimas</w:t>
      </w:r>
    </w:p>
    <w:p w14:paraId="009E757F" w14:textId="7B184FEA" w:rsidR="00BF6DCC" w:rsidRPr="00F56F28" w:rsidRDefault="00BF6DCC" w:rsidP="00175490">
      <w:pPr>
        <w:pStyle w:val="NoSpacing"/>
        <w:ind w:firstLine="1134"/>
        <w:jc w:val="both"/>
        <w:rPr>
          <w:rFonts w:asciiTheme="minorHAnsi" w:hAnsiTheme="minorHAnsi" w:cstheme="minorHAnsi"/>
          <w:b/>
          <w:bCs/>
          <w:u w:val="single"/>
        </w:rPr>
      </w:pPr>
      <w:r w:rsidRPr="00F56F28">
        <w:rPr>
          <w:rFonts w:asciiTheme="minorHAnsi" w:hAnsiTheme="minorHAnsi" w:cstheme="minorHAnsi"/>
          <w:b/>
          <w:bCs/>
          <w:u w:val="single"/>
        </w:rPr>
        <w:t>29.1.2.</w:t>
      </w:r>
      <w:r w:rsidRPr="00F56F28">
        <w:rPr>
          <w:rFonts w:asciiTheme="minorHAnsi" w:hAnsiTheme="minorHAnsi" w:cstheme="minorHAnsi"/>
          <w:u w:val="single"/>
        </w:rPr>
        <w:t xml:space="preserve"> </w:t>
      </w:r>
      <w:r w:rsidRPr="00F56F28">
        <w:rPr>
          <w:rFonts w:asciiTheme="minorHAnsi" w:hAnsiTheme="minorHAnsi" w:cstheme="minorHAnsi"/>
          <w:b/>
          <w:bCs/>
          <w:u w:val="single"/>
        </w:rPr>
        <w:t>Išmokų sumažinimas arba neskyrimas, kai nesilaikoma teisės aktų reikalavimų</w:t>
      </w:r>
    </w:p>
    <w:p w14:paraId="70887593" w14:textId="77777777" w:rsidR="00BF6DCC" w:rsidRPr="00F56F28" w:rsidRDefault="00BF6DCC" w:rsidP="00BF6DCC">
      <w:pPr>
        <w:pStyle w:val="NoSpacing"/>
        <w:jc w:val="both"/>
        <w:rPr>
          <w:rFonts w:asciiTheme="minorHAnsi" w:hAnsiTheme="minorHAnsi" w:cstheme="minorHAnsi"/>
          <w:bCs/>
        </w:rPr>
      </w:pPr>
    </w:p>
    <w:p w14:paraId="32B14424" w14:textId="77777777" w:rsidR="006A6D1C" w:rsidRPr="006A6D1C" w:rsidRDefault="006A6D1C" w:rsidP="006A6D1C">
      <w:pPr>
        <w:jc w:val="both"/>
        <w:outlineLvl w:val="1"/>
        <w:rPr>
          <w:rFonts w:asciiTheme="minorHAnsi" w:eastAsia="Calibri" w:hAnsiTheme="minorHAnsi" w:cstheme="minorHAnsi"/>
          <w:i/>
          <w:sz w:val="22"/>
          <w:szCs w:val="22"/>
        </w:rPr>
      </w:pPr>
      <w:bookmarkStart w:id="46" w:name="_Toc159340669"/>
      <w:r w:rsidRPr="006A6D1C">
        <w:rPr>
          <w:rFonts w:asciiTheme="minorHAnsi" w:eastAsia="Calibri" w:hAnsiTheme="minorHAnsi" w:cstheme="minorHAnsi"/>
          <w:i/>
          <w:sz w:val="22"/>
          <w:szCs w:val="22"/>
        </w:rPr>
        <w:t>Dėl paramos teisiniams santykiams taikomos teisės akto redakcijos</w:t>
      </w:r>
      <w:bookmarkEnd w:id="46"/>
    </w:p>
    <w:p w14:paraId="558FEEF2" w14:textId="77777777" w:rsidR="006A6D1C" w:rsidRDefault="006A6D1C" w:rsidP="006A6D1C">
      <w:pPr>
        <w:pStyle w:val="NoSpacing"/>
        <w:jc w:val="both"/>
        <w:rPr>
          <w:rFonts w:cstheme="minorHAnsi"/>
        </w:rPr>
      </w:pPr>
    </w:p>
    <w:p w14:paraId="0DCE99E7" w14:textId="2C91486E" w:rsidR="006A6D1C" w:rsidRPr="00932285" w:rsidRDefault="006A6D1C" w:rsidP="006A6D1C">
      <w:pPr>
        <w:pStyle w:val="NoSpacing"/>
        <w:ind w:firstLine="567"/>
        <w:jc w:val="both"/>
        <w:rPr>
          <w:rFonts w:cstheme="minorHAnsi"/>
        </w:rPr>
      </w:pPr>
      <w:r w:rsidRPr="00932285">
        <w:rPr>
          <w:rFonts w:cstheme="minorHAnsi"/>
        </w:rPr>
        <w:t xml:space="preserve">Byloje nagrinėtas ginčas, kilęs dėl Nacionalinės mokėjimo agentūros prie Žemės ūkio ministerijos (toliau – </w:t>
      </w:r>
      <w:r>
        <w:rPr>
          <w:rFonts w:cstheme="minorHAnsi"/>
        </w:rPr>
        <w:t>Agentūra</w:t>
      </w:r>
      <w:r w:rsidRPr="00932285">
        <w:rPr>
          <w:rFonts w:cstheme="minorHAnsi"/>
        </w:rPr>
        <w:t xml:space="preserve">) </w:t>
      </w:r>
      <w:r>
        <w:rPr>
          <w:rFonts w:cstheme="minorHAnsi"/>
        </w:rPr>
        <w:t>sprendimo</w:t>
      </w:r>
      <w:r w:rsidRPr="00932285">
        <w:rPr>
          <w:rFonts w:cstheme="minorHAnsi"/>
        </w:rPr>
        <w:t xml:space="preserve">, kuriuo </w:t>
      </w:r>
      <w:r>
        <w:rPr>
          <w:rFonts w:cstheme="minorHAnsi"/>
        </w:rPr>
        <w:t xml:space="preserve">pareiškėjui neskirta parama už dalį paraiškoje deklaruotų žemės ūkio naudmenų, </w:t>
      </w:r>
      <w:r w:rsidRPr="00932285">
        <w:rPr>
          <w:rFonts w:cstheme="minorHAnsi"/>
        </w:rPr>
        <w:t>pagrįstumo ir teisėtumo.</w:t>
      </w:r>
    </w:p>
    <w:p w14:paraId="49F2DA2E" w14:textId="77777777" w:rsidR="006A6D1C" w:rsidRDefault="006A6D1C" w:rsidP="006A6D1C">
      <w:pPr>
        <w:pStyle w:val="NoSpacing"/>
        <w:ind w:firstLine="567"/>
        <w:jc w:val="both"/>
        <w:rPr>
          <w:rFonts w:cstheme="minorHAnsi"/>
        </w:rPr>
      </w:pPr>
      <w:r w:rsidRPr="00932285">
        <w:rPr>
          <w:rFonts w:cstheme="minorHAnsi"/>
        </w:rPr>
        <w:t>Pirmosios instancijos teismas atmetė pareiškėjo skundą, konstatavęs, kad</w:t>
      </w:r>
      <w:r w:rsidRPr="00A717ED">
        <w:t xml:space="preserve"> </w:t>
      </w:r>
      <w:r>
        <w:t xml:space="preserve">Agentūra </w:t>
      </w:r>
      <w:r w:rsidRPr="00A717ED">
        <w:rPr>
          <w:rFonts w:cstheme="minorHAnsi"/>
        </w:rPr>
        <w:t xml:space="preserve">pagrįstai už plotus, kuriuose nevykdyti </w:t>
      </w:r>
      <w:r>
        <w:rPr>
          <w:rFonts w:cstheme="minorHAnsi"/>
        </w:rPr>
        <w:t>pareiškėjo prisiimti</w:t>
      </w:r>
      <w:r w:rsidRPr="00A717ED">
        <w:rPr>
          <w:rFonts w:cstheme="minorHAnsi"/>
        </w:rPr>
        <w:t xml:space="preserve"> įsipareigojimai, neskyrė kompensacinės išmokos.</w:t>
      </w:r>
    </w:p>
    <w:p w14:paraId="04A8F773" w14:textId="44ECB5A6" w:rsidR="006A6D1C" w:rsidRDefault="006A6D1C" w:rsidP="636B6ABB">
      <w:pPr>
        <w:pStyle w:val="NoSpacing"/>
        <w:ind w:firstLine="567"/>
        <w:jc w:val="both"/>
        <w:rPr>
          <w:rFonts w:cstheme="minorBidi"/>
        </w:rPr>
      </w:pPr>
      <w:r w:rsidRPr="636B6ABB">
        <w:rPr>
          <w:rFonts w:cstheme="minorBidi"/>
        </w:rPr>
        <w:lastRenderedPageBreak/>
        <w:t>Apeliaciniame skunde pareiškėjas, be kita ko, remdamasis LVAT išaiškinimais administracinėje byloje Nr.</w:t>
      </w:r>
      <w:r w:rsidR="00564E3B" w:rsidRPr="636B6ABB">
        <w:rPr>
          <w:rFonts w:cstheme="minorBidi"/>
        </w:rPr>
        <w:t> </w:t>
      </w:r>
      <w:r w:rsidRPr="636B6ABB">
        <w:rPr>
          <w:rFonts w:cstheme="minorBidi"/>
        </w:rPr>
        <w:t>A</w:t>
      </w:r>
      <w:r w:rsidRPr="636B6ABB">
        <w:rPr>
          <w:rFonts w:cstheme="minorBidi"/>
          <w:vertAlign w:val="superscript"/>
        </w:rPr>
        <w:t>858</w:t>
      </w:r>
      <w:r w:rsidRPr="636B6ABB">
        <w:rPr>
          <w:rFonts w:cstheme="minorBidi"/>
        </w:rPr>
        <w:t>-611/2011, laikėsi pozicijos, kad pirmosios instancijos teismas padarė šiurkščias teisės aktų galiojimo laike klaidas – taikė netekusiomis galios pripažintas Įgyvendinimo taisyklių</w:t>
      </w:r>
      <w:r w:rsidRPr="636B6ABB">
        <w:rPr>
          <w:rStyle w:val="FootnoteReference"/>
          <w:rFonts w:cstheme="minorBidi"/>
        </w:rPr>
        <w:footnoteReference w:id="11"/>
      </w:r>
      <w:r w:rsidRPr="636B6ABB">
        <w:rPr>
          <w:rFonts w:cstheme="minorBidi"/>
        </w:rPr>
        <w:t xml:space="preserve"> nuostatas, t. y. teismas nepaisė taisyklės, jog administracinis aktas turi būti priimamas remiantis jo priėmimo metu galiojančiomis teisės normomis. Vertindamas šiuos apeliacinio skundo argumentus, LVAT pažymėjo, jog vėlesnė nusistovėjusi dominuojanti teismų praktika panašiose kaip ši bylose formuluoja tokią teisės aiškinimo taisyklę, pagal kurią </w:t>
      </w:r>
      <w:r w:rsidRPr="636B6ABB">
        <w:rPr>
          <w:rFonts w:cstheme="minorBidi"/>
          <w:u w:val="single"/>
        </w:rPr>
        <w:t>taikomos tos teisės normos, kurios galiojo paramos prievolinių teisinių santykių susiformavimo ir jų įgyvendinimo metu</w:t>
      </w:r>
      <w:r w:rsidRPr="636B6ABB">
        <w:rPr>
          <w:rFonts w:cstheme="minorBidi"/>
        </w:rPr>
        <w:t>. Taigi, jeigu prievolės buvo pažeistos ir dėl to asmenims, siekiantiems gauti paramą, kyla neigiami teisiniai padariniai, dėl jų taikymo sprendžiama pagal teisę, reglamentavusią teisinius santykius prievolių pažeidimo metu. Išimtys iš šios taisyklės galimos, tačiau jos turi būti aptartos teisės aktuose. L</w:t>
      </w:r>
      <w:r w:rsidR="00564E3B" w:rsidRPr="636B6ABB">
        <w:rPr>
          <w:rFonts w:cstheme="minorBidi"/>
        </w:rPr>
        <w:t>VAT</w:t>
      </w:r>
      <w:r w:rsidRPr="636B6ABB">
        <w:rPr>
          <w:rFonts w:cstheme="minorBidi"/>
        </w:rPr>
        <w:t xml:space="preserve"> praktikoje ne kartą pabrėžta, kad subjektai turi žinoti, kokio elgesio iš jų yra tikimasi, reikalaujama, ir turi būti tikri, kad už teisės aktus atitinkantį elgesį jiems nebus taikomos teisinės poveikio priemonės vėliau pasikeitusio teisinio reguliavimo pagrindu. Šis teisės principas taikytinas ir tiems atvejams, kai juridiniams faktams ar sandoriams siekiama taikyti teisinį reg</w:t>
      </w:r>
      <w:r w:rsidR="00564E3B" w:rsidRPr="636B6ABB">
        <w:rPr>
          <w:rFonts w:cstheme="minorBidi"/>
        </w:rPr>
        <w:t>u</w:t>
      </w:r>
      <w:r w:rsidRPr="636B6ABB">
        <w:rPr>
          <w:rFonts w:cstheme="minorBidi"/>
        </w:rPr>
        <w:t>l</w:t>
      </w:r>
      <w:r w:rsidR="00564E3B" w:rsidRPr="636B6ABB">
        <w:rPr>
          <w:rFonts w:cstheme="minorBidi"/>
        </w:rPr>
        <w:t>i</w:t>
      </w:r>
      <w:r w:rsidRPr="636B6ABB">
        <w:rPr>
          <w:rFonts w:cstheme="minorBidi"/>
        </w:rPr>
        <w:t xml:space="preserve">avimą, kuris nebuvo numatytas taikyti tų juridinių faktų atsiradimo bei sandorių sudarymo metu. Teisinių santykių subjektams už pažeidimus turėtų būti taikomos tik tokios poveikio priemonės ar sankcijos, kurias numatė teisės aktai, reglamentavę sandorio sudarymo ir vykdymo sąlygas. Vadinasi, </w:t>
      </w:r>
      <w:r w:rsidRPr="636B6ABB">
        <w:rPr>
          <w:rFonts w:cstheme="minorBidi"/>
          <w:u w:val="single"/>
        </w:rPr>
        <w:t>nėra pagrindo pripažinti, jog vėliau įvykę teisės aktų pakeitimai, padarę įtaką poveikio priemonei, turėtų būti taikomi tiems paramos gavėjams, kurių paraiškų teikimo metu teisės aktais buvo numatyta kitokia galima taikyti poveikio priemonė</w:t>
      </w:r>
      <w:r w:rsidRPr="636B6ABB">
        <w:rPr>
          <w:rFonts w:cstheme="minorBidi"/>
        </w:rPr>
        <w:t>.</w:t>
      </w:r>
    </w:p>
    <w:p w14:paraId="612996FF" w14:textId="26AA192C" w:rsidR="006A6D1C" w:rsidRDefault="006A6D1C" w:rsidP="006A6D1C">
      <w:pPr>
        <w:pStyle w:val="NoSpacing"/>
        <w:ind w:firstLine="567"/>
        <w:jc w:val="both"/>
        <w:rPr>
          <w:rFonts w:cstheme="minorHAnsi"/>
        </w:rPr>
      </w:pPr>
      <w:r>
        <w:rPr>
          <w:rFonts w:cstheme="minorHAnsi"/>
        </w:rPr>
        <w:t>LVAT taip pat sutiko su p</w:t>
      </w:r>
      <w:r w:rsidRPr="003E2A54">
        <w:rPr>
          <w:rFonts w:cstheme="minorHAnsi"/>
        </w:rPr>
        <w:t>irmosios instancijos teism</w:t>
      </w:r>
      <w:r>
        <w:rPr>
          <w:rFonts w:cstheme="minorHAnsi"/>
        </w:rPr>
        <w:t>o išvada</w:t>
      </w:r>
      <w:r w:rsidRPr="003E2A54">
        <w:rPr>
          <w:rFonts w:cstheme="minorHAnsi"/>
        </w:rPr>
        <w:t xml:space="preserve">, jog ginčui yra neaktualus </w:t>
      </w:r>
      <w:r w:rsidRPr="003E2A54">
        <w:rPr>
          <w:rFonts w:cstheme="minorHAnsi"/>
          <w:i/>
          <w:iCs/>
        </w:rPr>
        <w:t>lex benignior retro agit</w:t>
      </w:r>
      <w:r w:rsidRPr="003E2A54">
        <w:rPr>
          <w:rFonts w:cstheme="minorHAnsi"/>
        </w:rPr>
        <w:t xml:space="preserve"> </w:t>
      </w:r>
      <w:r w:rsidRPr="00EE27EF">
        <w:rPr>
          <w:rFonts w:cstheme="minorHAnsi"/>
        </w:rPr>
        <w:t>(įstatymas, pagerinantis subjektų padėtį, turi grįžtamąją galią)</w:t>
      </w:r>
      <w:r w:rsidRPr="003E2A54">
        <w:rPr>
          <w:rFonts w:cstheme="minorHAnsi"/>
        </w:rPr>
        <w:t xml:space="preserve"> principas. Ginčo teisiniai santykiai kvalifikuotini kaip paramos prievoliniai teisiniai santykiai, todėl jiems taikytina šių santykių susiformavimo ir prievolių vykdymo metu galiojusi teisė. </w:t>
      </w:r>
      <w:r w:rsidRPr="003E2A54">
        <w:rPr>
          <w:rFonts w:cstheme="minorHAnsi"/>
          <w:u w:val="single"/>
        </w:rPr>
        <w:t xml:space="preserve">Palankesnio teisinio reguliavimo, pagerinančio subjekto teisinę padėtį, taikymas tokioje kaip </w:t>
      </w:r>
      <w:r w:rsidR="00564E3B">
        <w:rPr>
          <w:rFonts w:cstheme="minorHAnsi"/>
          <w:u w:val="single"/>
        </w:rPr>
        <w:t xml:space="preserve">susiklostė </w:t>
      </w:r>
      <w:r w:rsidRPr="003E2A54">
        <w:rPr>
          <w:rFonts w:cstheme="minorHAnsi"/>
          <w:u w:val="single"/>
        </w:rPr>
        <w:t xml:space="preserve">šioje byloje teisinėje situacijoje reikštų dalies prievolių, prisiimtų teikiant </w:t>
      </w:r>
      <w:r>
        <w:rPr>
          <w:rFonts w:cstheme="minorHAnsi"/>
          <w:u w:val="single"/>
        </w:rPr>
        <w:t>p</w:t>
      </w:r>
      <w:r w:rsidRPr="003E2A54">
        <w:rPr>
          <w:rFonts w:cstheme="minorHAnsi"/>
          <w:u w:val="single"/>
        </w:rPr>
        <w:t>araišką, neįvykdymo teisinį toleravimą, o tai ne tik pažeidžia sąžiningumo imperatyvus, bet ir sukuria akivaizdaus skirtingo vienodoje padėtyje esančių paramos siekiančių subjektų vertinimo kylančių teisinių padarinių požiūriu teisinę padėtį, kas nedera su teisėtumu. Vėlesnio palankesnio teisinio reguliavimo taikymas šiais atvejais yra teisėtas ir galimas tik tada, kai tai yra tiesiogiai reglamentuojama</w:t>
      </w:r>
      <w:r w:rsidRPr="003E2A54">
        <w:rPr>
          <w:rFonts w:cstheme="minorHAnsi"/>
        </w:rPr>
        <w:t>.</w:t>
      </w:r>
    </w:p>
    <w:p w14:paraId="13929286" w14:textId="30DC8004" w:rsidR="006A6D1C" w:rsidRDefault="006A6D1C" w:rsidP="006A6D1C">
      <w:pPr>
        <w:pStyle w:val="NoSpacing"/>
        <w:ind w:firstLine="567"/>
        <w:jc w:val="both"/>
        <w:rPr>
          <w:rFonts w:cstheme="minorHAnsi"/>
        </w:rPr>
      </w:pPr>
      <w:r>
        <w:rPr>
          <w:rFonts w:cstheme="minorHAnsi"/>
        </w:rPr>
        <w:t>LVAT atmetė pareiškėjo apeliacinį skundą.</w:t>
      </w:r>
    </w:p>
    <w:p w14:paraId="790BE901" w14:textId="77777777" w:rsidR="006A6D1C" w:rsidRDefault="006A6D1C" w:rsidP="006A6D1C">
      <w:pPr>
        <w:pStyle w:val="NoSpacing"/>
        <w:jc w:val="both"/>
        <w:rPr>
          <w:rFonts w:cstheme="minorHAnsi"/>
        </w:rPr>
      </w:pPr>
    </w:p>
    <w:p w14:paraId="58F6D2C2" w14:textId="77777777" w:rsidR="006A6D1C" w:rsidRPr="002B3367" w:rsidRDefault="006A6D1C" w:rsidP="006A6D1C">
      <w:pPr>
        <w:pStyle w:val="NoSpacing"/>
        <w:jc w:val="both"/>
        <w:rPr>
          <w:rFonts w:cstheme="minorHAnsi"/>
        </w:rPr>
      </w:pPr>
      <w:r w:rsidRPr="003D3474">
        <w:rPr>
          <w:rFonts w:cstheme="minorHAnsi"/>
        </w:rPr>
        <w:t xml:space="preserve">2023 m. </w:t>
      </w:r>
      <w:r>
        <w:rPr>
          <w:rFonts w:cstheme="minorHAnsi"/>
        </w:rPr>
        <w:t xml:space="preserve">lapkričio 22 </w:t>
      </w:r>
      <w:r w:rsidRPr="003D3474">
        <w:rPr>
          <w:rFonts w:cstheme="minorHAnsi"/>
        </w:rPr>
        <w:t>d</w:t>
      </w:r>
      <w:r>
        <w:rPr>
          <w:rFonts w:cstheme="minorHAnsi"/>
        </w:rPr>
        <w:t>.</w:t>
      </w:r>
      <w:r w:rsidRPr="003D3474">
        <w:rPr>
          <w:rFonts w:cstheme="minorHAnsi"/>
        </w:rPr>
        <w:t xml:space="preserve"> </w:t>
      </w:r>
      <w:r>
        <w:rPr>
          <w:rFonts w:cstheme="minorHAnsi"/>
        </w:rPr>
        <w:t>nutartis</w:t>
      </w:r>
      <w:r w:rsidRPr="002B3367">
        <w:rPr>
          <w:rFonts w:cstheme="minorHAnsi"/>
        </w:rPr>
        <w:t xml:space="preserve"> administracinėje byloje Nr. </w:t>
      </w:r>
      <w:r w:rsidRPr="002565A4">
        <w:rPr>
          <w:rFonts w:cstheme="minorHAnsi"/>
        </w:rPr>
        <w:t>eA-1357-415/2023</w:t>
      </w:r>
    </w:p>
    <w:p w14:paraId="10003F03" w14:textId="77777777" w:rsidR="006A6D1C" w:rsidRPr="002B3367" w:rsidRDefault="006A6D1C" w:rsidP="006A6D1C">
      <w:pPr>
        <w:pStyle w:val="NoSpacing"/>
        <w:jc w:val="both"/>
        <w:rPr>
          <w:rFonts w:cstheme="minorHAnsi"/>
        </w:rPr>
      </w:pPr>
      <w:r w:rsidRPr="002B3367">
        <w:rPr>
          <w:rFonts w:cstheme="minorHAnsi"/>
        </w:rPr>
        <w:t xml:space="preserve">Teisminio proceso Nr. </w:t>
      </w:r>
      <w:r w:rsidRPr="002565A4">
        <w:rPr>
          <w:rFonts w:cstheme="minorHAnsi"/>
        </w:rPr>
        <w:t>3-61-3-01609-2022-5</w:t>
      </w:r>
    </w:p>
    <w:p w14:paraId="747E0418" w14:textId="77777777" w:rsidR="006A6D1C" w:rsidRDefault="006A6D1C" w:rsidP="006A6D1C">
      <w:pPr>
        <w:pStyle w:val="NoSpacing"/>
        <w:jc w:val="both"/>
        <w:rPr>
          <w:rFonts w:cstheme="minorHAnsi"/>
        </w:rPr>
      </w:pPr>
      <w:r w:rsidRPr="002B3367">
        <w:rPr>
          <w:rFonts w:cstheme="minorHAnsi"/>
        </w:rPr>
        <w:t xml:space="preserve">Procesinio sprendimo </w:t>
      </w:r>
      <w:r w:rsidRPr="00FA0055">
        <w:rPr>
          <w:rFonts w:cstheme="minorHAnsi"/>
        </w:rPr>
        <w:t>kategorij</w:t>
      </w:r>
      <w:r>
        <w:rPr>
          <w:rFonts w:cstheme="minorHAnsi"/>
        </w:rPr>
        <w:t>a</w:t>
      </w:r>
      <w:r w:rsidRPr="00FA0055">
        <w:rPr>
          <w:rFonts w:cstheme="minorHAnsi"/>
        </w:rPr>
        <w:t xml:space="preserve"> 29.1.</w:t>
      </w:r>
      <w:r>
        <w:rPr>
          <w:rFonts w:cstheme="minorHAnsi"/>
        </w:rPr>
        <w:t>2</w:t>
      </w:r>
    </w:p>
    <w:p w14:paraId="216FFACA" w14:textId="77777777" w:rsidR="006A6D1C" w:rsidRPr="00E6598E" w:rsidRDefault="006A6D1C" w:rsidP="006A6D1C">
      <w:pPr>
        <w:pStyle w:val="NoSpacing"/>
        <w:jc w:val="both"/>
        <w:rPr>
          <w:rStyle w:val="Hyperlink"/>
          <w:rFonts w:cstheme="minorHAnsi"/>
        </w:rPr>
      </w:pPr>
      <w:r>
        <w:rPr>
          <w:rFonts w:cstheme="minorHAnsi"/>
        </w:rPr>
        <w:fldChar w:fldCharType="begin"/>
      </w:r>
      <w:r>
        <w:rPr>
          <w:rFonts w:cstheme="minorHAnsi"/>
        </w:rPr>
        <w:instrText>HYPERLINK "https://www.e-tar.lt/portal/lt/legalAct/dab9fd008fa211eea5a28c81c82193a8"</w:instrText>
      </w:r>
      <w:r>
        <w:rPr>
          <w:rFonts w:cstheme="minorHAnsi"/>
        </w:rPr>
      </w:r>
      <w:r>
        <w:rPr>
          <w:rFonts w:cstheme="minorHAnsi"/>
        </w:rPr>
        <w:fldChar w:fldCharType="separate"/>
      </w:r>
      <w:r w:rsidRPr="00E6598E">
        <w:rPr>
          <w:rStyle w:val="Hyperlink"/>
          <w:rFonts w:cstheme="minorHAnsi"/>
        </w:rPr>
        <w:t>Prieiga internete</w:t>
      </w:r>
    </w:p>
    <w:p w14:paraId="5FF4EAC7" w14:textId="77777777" w:rsidR="006A6D1C" w:rsidRDefault="006A6D1C" w:rsidP="006A6D1C">
      <w:pPr>
        <w:pStyle w:val="NoSpacing"/>
        <w:jc w:val="both"/>
        <w:rPr>
          <w:rFonts w:cstheme="minorHAnsi"/>
        </w:rPr>
      </w:pPr>
      <w:r>
        <w:rPr>
          <w:rFonts w:cstheme="minorHAnsi"/>
        </w:rPr>
        <w:fldChar w:fldCharType="end"/>
      </w:r>
    </w:p>
    <w:p w14:paraId="57C3626C" w14:textId="77777777" w:rsidR="001F7F48" w:rsidRDefault="001F7F48" w:rsidP="001F7F48">
      <w:pPr>
        <w:pStyle w:val="NoSpacing"/>
        <w:ind w:firstLine="1134"/>
        <w:jc w:val="both"/>
        <w:rPr>
          <w:rFonts w:cstheme="minorHAnsi"/>
          <w:b/>
          <w:bCs/>
          <w:u w:val="single"/>
        </w:rPr>
      </w:pPr>
      <w:r>
        <w:rPr>
          <w:rFonts w:cstheme="minorHAnsi"/>
          <w:b/>
          <w:bCs/>
          <w:u w:val="single"/>
        </w:rPr>
        <w:t>29.1.3. Išmokų, išmokėtų ir (arba) panaudų pažeidžiant teisės aktus, grąžinimas ir išieškojimas</w:t>
      </w:r>
    </w:p>
    <w:p w14:paraId="7DA39B5A" w14:textId="77777777" w:rsidR="001F7F48" w:rsidRDefault="001F7F48" w:rsidP="001F7F48">
      <w:pPr>
        <w:pStyle w:val="NoSpacing"/>
        <w:jc w:val="both"/>
        <w:rPr>
          <w:rFonts w:cstheme="minorHAnsi"/>
        </w:rPr>
      </w:pPr>
    </w:p>
    <w:p w14:paraId="088BCEE6" w14:textId="383A638B" w:rsidR="001F7F48" w:rsidRPr="001F7F48" w:rsidRDefault="001F7F48" w:rsidP="001F7F48">
      <w:pPr>
        <w:jc w:val="both"/>
        <w:outlineLvl w:val="1"/>
        <w:rPr>
          <w:rFonts w:asciiTheme="minorHAnsi" w:eastAsia="Calibri" w:hAnsiTheme="minorHAnsi" w:cstheme="minorHAnsi"/>
          <w:i/>
          <w:sz w:val="22"/>
          <w:szCs w:val="22"/>
        </w:rPr>
      </w:pPr>
      <w:bookmarkStart w:id="47" w:name="_Toc159340670"/>
      <w:r w:rsidRPr="001F7F48">
        <w:rPr>
          <w:rFonts w:asciiTheme="minorHAnsi" w:eastAsia="Calibri" w:hAnsiTheme="minorHAnsi" w:cstheme="minorHAnsi"/>
          <w:i/>
          <w:sz w:val="22"/>
          <w:szCs w:val="22"/>
        </w:rPr>
        <w:t>Dėl galbūt neteisėtų sąlygų gauti paramą nustatymo</w:t>
      </w:r>
      <w:bookmarkEnd w:id="47"/>
    </w:p>
    <w:p w14:paraId="768D0320" w14:textId="77777777" w:rsidR="001F7F48" w:rsidRDefault="001F7F48" w:rsidP="001F7F48">
      <w:pPr>
        <w:pStyle w:val="NoSpacing"/>
        <w:jc w:val="both"/>
        <w:rPr>
          <w:rFonts w:cstheme="minorHAnsi"/>
        </w:rPr>
      </w:pPr>
    </w:p>
    <w:p w14:paraId="1ABDDDF6" w14:textId="52E4A682" w:rsidR="001F7F48" w:rsidRPr="00932285" w:rsidRDefault="001F7F48" w:rsidP="001F7F48">
      <w:pPr>
        <w:pStyle w:val="NoSpacing"/>
        <w:ind w:firstLine="567"/>
        <w:jc w:val="both"/>
        <w:rPr>
          <w:rFonts w:cstheme="minorHAnsi"/>
        </w:rPr>
      </w:pPr>
      <w:r w:rsidRPr="00932285">
        <w:rPr>
          <w:rFonts w:cstheme="minorHAnsi"/>
        </w:rPr>
        <w:t xml:space="preserve">Byloje nagrinėtas ginčas, kilęs dėl Nacionalinės mokėjimo agentūros prie Žemės ūkio ministerijos (toliau – </w:t>
      </w:r>
      <w:r>
        <w:rPr>
          <w:rFonts w:cstheme="minorHAnsi"/>
        </w:rPr>
        <w:t>Agentūra</w:t>
      </w:r>
      <w:r w:rsidRPr="00932285">
        <w:rPr>
          <w:rFonts w:cstheme="minorHAnsi"/>
        </w:rPr>
        <w:t xml:space="preserve">) </w:t>
      </w:r>
      <w:r>
        <w:rPr>
          <w:rFonts w:cstheme="minorHAnsi"/>
        </w:rPr>
        <w:t>sprendimo</w:t>
      </w:r>
      <w:r w:rsidRPr="00932285">
        <w:rPr>
          <w:rFonts w:cstheme="minorHAnsi"/>
        </w:rPr>
        <w:t xml:space="preserve">, kuriuo </w:t>
      </w:r>
      <w:r w:rsidRPr="00206298">
        <w:rPr>
          <w:rFonts w:cstheme="minorHAnsi"/>
        </w:rPr>
        <w:t xml:space="preserve">nuspręsta susigrąžinti </w:t>
      </w:r>
      <w:r>
        <w:rPr>
          <w:rFonts w:cstheme="minorHAnsi"/>
        </w:rPr>
        <w:t xml:space="preserve">pareiškėjai </w:t>
      </w:r>
      <w:r w:rsidRPr="00206298">
        <w:rPr>
          <w:rFonts w:cstheme="minorHAnsi"/>
        </w:rPr>
        <w:t>išmokėtą paramos sumą ir neskirti prašomos paramos</w:t>
      </w:r>
      <w:r>
        <w:rPr>
          <w:rFonts w:cstheme="minorHAnsi"/>
        </w:rPr>
        <w:t xml:space="preserve">, </w:t>
      </w:r>
      <w:r w:rsidRPr="00932285">
        <w:rPr>
          <w:rFonts w:cstheme="minorHAnsi"/>
        </w:rPr>
        <w:t>pagrįstumo ir teisėtumo.</w:t>
      </w:r>
    </w:p>
    <w:p w14:paraId="00F8D93F" w14:textId="77777777" w:rsidR="001F7F48" w:rsidRDefault="001F7F48" w:rsidP="001F7F48">
      <w:pPr>
        <w:pStyle w:val="NoSpacing"/>
        <w:ind w:firstLine="567"/>
        <w:jc w:val="both"/>
        <w:rPr>
          <w:rFonts w:cstheme="minorHAnsi"/>
        </w:rPr>
      </w:pPr>
      <w:r w:rsidRPr="00932285">
        <w:rPr>
          <w:rFonts w:cstheme="minorHAnsi"/>
        </w:rPr>
        <w:t>Pirmosios instancijos teismas atmetė pareiškėjo</w:t>
      </w:r>
      <w:r>
        <w:rPr>
          <w:rFonts w:cstheme="minorHAnsi"/>
        </w:rPr>
        <w:t>s</w:t>
      </w:r>
      <w:r w:rsidRPr="00932285">
        <w:rPr>
          <w:rFonts w:cstheme="minorHAnsi"/>
        </w:rPr>
        <w:t xml:space="preserve"> skundą, konstatavęs, kad</w:t>
      </w:r>
      <w:r>
        <w:rPr>
          <w:rFonts w:cstheme="minorHAnsi"/>
        </w:rPr>
        <w:t xml:space="preserve"> </w:t>
      </w:r>
      <w:r w:rsidRPr="007A2898">
        <w:rPr>
          <w:rFonts w:cstheme="minorHAnsi"/>
        </w:rPr>
        <w:t>pareiškėja prisidėjo prie naudos gavimo trečiajam asmeniui, dirbtinai sukurdama sąlygas paramai gauti (pareiškėja, siekdama gauti paramą, sąmoningai derino veiksmus su kitomis paramos gavėjomis ir kitais asmenimis).</w:t>
      </w:r>
    </w:p>
    <w:p w14:paraId="65B3062C" w14:textId="790C459E" w:rsidR="001F7F48" w:rsidRDefault="001F7F48" w:rsidP="001F7F48">
      <w:pPr>
        <w:pStyle w:val="NoSpacing"/>
        <w:ind w:firstLine="567"/>
        <w:jc w:val="both"/>
        <w:rPr>
          <w:rFonts w:cstheme="minorHAnsi"/>
        </w:rPr>
      </w:pPr>
      <w:r w:rsidRPr="636B6ABB">
        <w:rPr>
          <w:rFonts w:cstheme="minorBidi"/>
        </w:rPr>
        <w:t xml:space="preserve">Sistemiškai aiškindamas žemės ūkio ministro 2014 m. lapkričio 27 d. įsakymu Nr. 3D-889 patvirtintos Galimai neteisėtų sąlygų gauti paramą nustatymo metodikos (toliau – Metodika) nuostatas, LVAT darė išvadą, kad pagal Metodikos 7 punktą Agentūra, nustatydama galimai neteisėtas sąlygas paramai gauti, privalo įvertinti ne tik pagrindinius rizikos kriterijus (geografiniai, ekonominiai, funkciniai ir teisiniai ir (arba) asmeniniai su panašiais projektais susijusių asmenų ryšiai), bet gali remtis ir kitais požymiais, kuriais įrodoma, kad būta </w:t>
      </w:r>
      <w:r w:rsidRPr="636B6ABB">
        <w:rPr>
          <w:rFonts w:cstheme="minorBidi"/>
        </w:rPr>
        <w:lastRenderedPageBreak/>
        <w:t>sąmoningo asmenų veiksmų derinimo. Metodikos 15 punkto</w:t>
      </w:r>
      <w:r w:rsidRPr="636B6ABB">
        <w:rPr>
          <w:rStyle w:val="FootnoteReference"/>
          <w:rFonts w:cstheme="minorBidi"/>
        </w:rPr>
        <w:footnoteReference w:id="12"/>
      </w:r>
      <w:r w:rsidRPr="636B6ABB">
        <w:rPr>
          <w:rFonts w:cstheme="minorBidi"/>
        </w:rPr>
        <w:t xml:space="preserve"> taikymas kiekvienu atveju nustačius du pagrindinius rizikos kriterijus, tačiau nevertinant kitų aplinkybių (požymių), patvirtinančių sąmoningą asmenų veiksmų derinimą, nepagrįstai apribotų Metodikos 7 punkto taikymą bei Agentūros galimybes įrodyti, jog buvo sukurtos galimai neteisėtos sąlygos paramai gauti. LVAT taip pat pažymėjo, jog Metodikos III </w:t>
      </w:r>
      <w:r w:rsidRPr="008A606F">
        <w:rPr>
          <w:rFonts w:cstheme="minorBidi"/>
        </w:rPr>
        <w:t>skyriaus [, kuriame yra 15 punktas,] pavadinimas yra „Kriterijų dėl galimai neteisėtų sąlygų gauti paramą nustatymo principai, administruojant projektą ir vykdant jo priežiūrą“, t. y. tam tikros gairės.</w:t>
      </w:r>
      <w:r w:rsidRPr="008A606F">
        <w:t xml:space="preserve"> Be to, </w:t>
      </w:r>
      <w:r w:rsidRPr="008A606F">
        <w:rPr>
          <w:rFonts w:cstheme="minorBidi"/>
        </w:rPr>
        <w:t>Agentūra gali atlikti kri</w:t>
      </w:r>
      <w:r w:rsidRPr="636B6ABB">
        <w:rPr>
          <w:rFonts w:cstheme="minorBidi"/>
        </w:rPr>
        <w:t>terijų dėl galimai neteisėtų sąlygų gauti paramą vertinimą ne tik paraiškos teikimo metu, bet ir administruojant projektą bei vykdant jo priežiūrą.</w:t>
      </w:r>
    </w:p>
    <w:p w14:paraId="2000C059" w14:textId="0AC809B8" w:rsidR="001F7F48" w:rsidRDefault="001F7F48" w:rsidP="001F7F48">
      <w:pPr>
        <w:pStyle w:val="NoSpacing"/>
        <w:ind w:firstLine="567"/>
        <w:jc w:val="both"/>
        <w:rPr>
          <w:rFonts w:cstheme="minorHAnsi"/>
        </w:rPr>
      </w:pPr>
      <w:r>
        <w:rPr>
          <w:rFonts w:cstheme="minorHAnsi"/>
        </w:rPr>
        <w:t xml:space="preserve">LVAT vertinimu, Agentūra </w:t>
      </w:r>
      <w:r w:rsidRPr="00EF5B1F">
        <w:rPr>
          <w:rFonts w:cstheme="minorHAnsi"/>
        </w:rPr>
        <w:t>pagrįstai, nustačiusi du rizikos kriterijus, vertino kitus elementus ir bylai reikšmingas aplinkybes</w:t>
      </w:r>
      <w:r>
        <w:rPr>
          <w:rFonts w:cstheme="minorHAnsi"/>
        </w:rPr>
        <w:t xml:space="preserve">. </w:t>
      </w:r>
      <w:r w:rsidR="00A828B9">
        <w:rPr>
          <w:rFonts w:cstheme="minorHAnsi"/>
        </w:rPr>
        <w:t>Ginčytame</w:t>
      </w:r>
      <w:r>
        <w:rPr>
          <w:rFonts w:cstheme="minorHAnsi"/>
        </w:rPr>
        <w:t xml:space="preserve"> sprendime </w:t>
      </w:r>
      <w:r w:rsidRPr="00335DB1">
        <w:rPr>
          <w:rFonts w:cstheme="minorHAnsi"/>
        </w:rPr>
        <w:t>įvertinti visi pagrindiniai rizikos kriterijai, objektyvūs ir subjektyvūs elementai, be kita ko, nurodytos faktinės aplinkybės, kurios patvirtin</w:t>
      </w:r>
      <w:r>
        <w:rPr>
          <w:rFonts w:cstheme="minorHAnsi"/>
        </w:rPr>
        <w:t>o</w:t>
      </w:r>
      <w:r w:rsidRPr="00335DB1">
        <w:rPr>
          <w:rFonts w:cstheme="minorHAnsi"/>
        </w:rPr>
        <w:t xml:space="preserve">, kad </w:t>
      </w:r>
      <w:r>
        <w:rPr>
          <w:rFonts w:cstheme="minorHAnsi"/>
        </w:rPr>
        <w:t xml:space="preserve">aptariamu </w:t>
      </w:r>
      <w:r w:rsidRPr="00335DB1">
        <w:rPr>
          <w:rFonts w:cstheme="minorHAnsi"/>
        </w:rPr>
        <w:t>atveju būta ir sąmoningo veiksmų derinimo (sąmoningas veiksmų derinimas pasireiškė geografiniu, ekonominiu, teisiniu ir kitais ryšiais)</w:t>
      </w:r>
      <w:r>
        <w:rPr>
          <w:rFonts w:cstheme="minorHAnsi"/>
        </w:rPr>
        <w:t xml:space="preserve">, t. y. kad pareiškėjos veikla </w:t>
      </w:r>
      <w:r w:rsidRPr="000A78CE">
        <w:rPr>
          <w:rFonts w:cstheme="minorHAnsi"/>
        </w:rPr>
        <w:t>susijusi su kitų paramos gavėjų veiklomis, suta</w:t>
      </w:r>
      <w:r>
        <w:rPr>
          <w:rFonts w:cstheme="minorHAnsi"/>
        </w:rPr>
        <w:t>po jų</w:t>
      </w:r>
      <w:r w:rsidRPr="000A78CE">
        <w:rPr>
          <w:rFonts w:cstheme="minorHAnsi"/>
        </w:rPr>
        <w:t xml:space="preserve"> </w:t>
      </w:r>
      <w:r>
        <w:rPr>
          <w:rFonts w:cstheme="minorHAnsi"/>
        </w:rPr>
        <w:t>Ekonominės veiklos klasifikatoriaus kodai</w:t>
      </w:r>
      <w:r w:rsidRPr="000A78CE">
        <w:rPr>
          <w:rFonts w:cstheme="minorHAnsi"/>
        </w:rPr>
        <w:t xml:space="preserve"> bei veiklos</w:t>
      </w:r>
      <w:r>
        <w:rPr>
          <w:rFonts w:cstheme="minorHAnsi"/>
        </w:rPr>
        <w:t xml:space="preserve">; paraiškos teiktos tuo pačiu metu, </w:t>
      </w:r>
      <w:r w:rsidRPr="000A78CE">
        <w:rPr>
          <w:rFonts w:cstheme="minorHAnsi"/>
        </w:rPr>
        <w:t>siek</w:t>
      </w:r>
      <w:r>
        <w:rPr>
          <w:rFonts w:cstheme="minorHAnsi"/>
        </w:rPr>
        <w:t>iant</w:t>
      </w:r>
      <w:r w:rsidRPr="000A78CE">
        <w:rPr>
          <w:rFonts w:cstheme="minorHAnsi"/>
        </w:rPr>
        <w:t xml:space="preserve"> per tą patį kvietimą gauti didesnę paramos sumą, negu gali gauti vienas paramos gavėjas per vieną kvietimą</w:t>
      </w:r>
      <w:r>
        <w:rPr>
          <w:rFonts w:cstheme="minorHAnsi"/>
        </w:rPr>
        <w:t xml:space="preserve">; </w:t>
      </w:r>
      <w:r w:rsidRPr="000A78CE">
        <w:rPr>
          <w:rFonts w:cstheme="minorHAnsi"/>
        </w:rPr>
        <w:t>projekt</w:t>
      </w:r>
      <w:r>
        <w:rPr>
          <w:rFonts w:cstheme="minorHAnsi"/>
        </w:rPr>
        <w:t>ai</w:t>
      </w:r>
      <w:r w:rsidRPr="000A78CE">
        <w:rPr>
          <w:rFonts w:cstheme="minorHAnsi"/>
        </w:rPr>
        <w:t xml:space="preserve"> įgyvendina</w:t>
      </w:r>
      <w:r>
        <w:rPr>
          <w:rFonts w:cstheme="minorHAnsi"/>
        </w:rPr>
        <w:t>mi</w:t>
      </w:r>
      <w:r w:rsidRPr="000A78CE">
        <w:rPr>
          <w:rFonts w:cstheme="minorHAnsi"/>
        </w:rPr>
        <w:t xml:space="preserve"> bei veikl</w:t>
      </w:r>
      <w:r>
        <w:rPr>
          <w:rFonts w:cstheme="minorHAnsi"/>
        </w:rPr>
        <w:t>os</w:t>
      </w:r>
      <w:r w:rsidRPr="000A78CE">
        <w:rPr>
          <w:rFonts w:cstheme="minorHAnsi"/>
        </w:rPr>
        <w:t xml:space="preserve"> vykdo</w:t>
      </w:r>
      <w:r>
        <w:rPr>
          <w:rFonts w:cstheme="minorHAnsi"/>
        </w:rPr>
        <w:t>mos</w:t>
      </w:r>
      <w:r w:rsidRPr="000A78CE">
        <w:rPr>
          <w:rFonts w:cstheme="minorHAnsi"/>
        </w:rPr>
        <w:t xml:space="preserve"> toje pačioje vietoje, tuo pačiu adresu, investicijos papildo vien</w:t>
      </w:r>
      <w:r>
        <w:rPr>
          <w:rFonts w:cstheme="minorHAnsi"/>
        </w:rPr>
        <w:t>a kitą</w:t>
      </w:r>
      <w:r w:rsidRPr="000A78CE">
        <w:rPr>
          <w:rFonts w:cstheme="minorHAnsi"/>
        </w:rPr>
        <w:t>.</w:t>
      </w:r>
    </w:p>
    <w:p w14:paraId="57DFC6A9" w14:textId="3524E2F2" w:rsidR="001F7F48" w:rsidRDefault="001F7F48" w:rsidP="001F7F48">
      <w:pPr>
        <w:pStyle w:val="NoSpacing"/>
        <w:ind w:firstLine="567"/>
        <w:jc w:val="both"/>
        <w:rPr>
          <w:rFonts w:cstheme="minorHAnsi"/>
        </w:rPr>
      </w:pPr>
      <w:r>
        <w:rPr>
          <w:rFonts w:cstheme="minorHAnsi"/>
        </w:rPr>
        <w:t>Atsižvelgęs į byloje nustatytas aplinkybes, LVAT</w:t>
      </w:r>
      <w:r w:rsidRPr="000A78CE">
        <w:rPr>
          <w:rFonts w:cstheme="minorHAnsi"/>
        </w:rPr>
        <w:t xml:space="preserve"> dar</w:t>
      </w:r>
      <w:r>
        <w:rPr>
          <w:rFonts w:cstheme="minorHAnsi"/>
        </w:rPr>
        <w:t>ė</w:t>
      </w:r>
      <w:r w:rsidRPr="000A78CE">
        <w:rPr>
          <w:rFonts w:cstheme="minorHAnsi"/>
        </w:rPr>
        <w:t xml:space="preserve"> išvadą, kad tiek pareiškėja, tiek kitos paramos gavėjos sukūrė vieną ekonominį vienetą, kuris buvo išskaidytas į atskirus projektus, siekiant gauti daugiau paramos.</w:t>
      </w:r>
      <w:r w:rsidRPr="008776AC">
        <w:t xml:space="preserve"> </w:t>
      </w:r>
      <w:r>
        <w:rPr>
          <w:rFonts w:cstheme="minorHAnsi"/>
        </w:rPr>
        <w:t xml:space="preserve">Veiksmai buvo derinami </w:t>
      </w:r>
      <w:r w:rsidRPr="008776AC">
        <w:rPr>
          <w:rFonts w:cstheme="minorHAnsi"/>
        </w:rPr>
        <w:t>sąmoningai tam, kad būtų įgytas paramos schemos tikslams prieštaraujantis pranašumas, t. y. jog vienas ekonominis vienetas gautų aštuoniems projektams skirtą paramą, kurios jis nebūtų galėjęs gauti, nesukurdamas dirbtinių sąlygų</w:t>
      </w:r>
      <w:r>
        <w:rPr>
          <w:rFonts w:cstheme="minorHAnsi"/>
        </w:rPr>
        <w:t>.</w:t>
      </w:r>
    </w:p>
    <w:p w14:paraId="3ED5214E" w14:textId="682A9D77" w:rsidR="001F7F48" w:rsidRDefault="001F7F48" w:rsidP="001F7F48">
      <w:pPr>
        <w:pStyle w:val="NoSpacing"/>
        <w:ind w:firstLine="567"/>
        <w:jc w:val="both"/>
        <w:rPr>
          <w:rFonts w:cstheme="minorHAnsi"/>
        </w:rPr>
      </w:pPr>
      <w:r>
        <w:rPr>
          <w:rFonts w:cstheme="minorHAnsi"/>
        </w:rPr>
        <w:t xml:space="preserve">LVAT atmetė pareiškėjos </w:t>
      </w:r>
      <w:r w:rsidR="00CF47F8">
        <w:rPr>
          <w:rFonts w:cstheme="minorHAnsi"/>
        </w:rPr>
        <w:t xml:space="preserve">apeliacinį </w:t>
      </w:r>
      <w:r>
        <w:rPr>
          <w:rFonts w:cstheme="minorHAnsi"/>
        </w:rPr>
        <w:t>skundą.</w:t>
      </w:r>
    </w:p>
    <w:p w14:paraId="116B73FF" w14:textId="77777777" w:rsidR="001F7F48" w:rsidRDefault="001F7F48" w:rsidP="001F7F48">
      <w:pPr>
        <w:pStyle w:val="NoSpacing"/>
        <w:jc w:val="both"/>
        <w:rPr>
          <w:rFonts w:cstheme="minorHAnsi"/>
        </w:rPr>
      </w:pPr>
    </w:p>
    <w:p w14:paraId="624DBC20" w14:textId="77777777" w:rsidR="001F7F48" w:rsidRPr="002B3367" w:rsidRDefault="001F7F48" w:rsidP="001F7F48">
      <w:pPr>
        <w:pStyle w:val="NoSpacing"/>
        <w:jc w:val="both"/>
        <w:rPr>
          <w:rFonts w:cstheme="minorHAnsi"/>
        </w:rPr>
      </w:pPr>
      <w:r w:rsidRPr="003D3474">
        <w:rPr>
          <w:rFonts w:cstheme="minorHAnsi"/>
        </w:rPr>
        <w:t xml:space="preserve">2023 m. </w:t>
      </w:r>
      <w:r>
        <w:rPr>
          <w:rFonts w:cstheme="minorHAnsi"/>
        </w:rPr>
        <w:t xml:space="preserve">lapkričio 15 </w:t>
      </w:r>
      <w:r w:rsidRPr="003D3474">
        <w:rPr>
          <w:rFonts w:cstheme="minorHAnsi"/>
        </w:rPr>
        <w:t>d</w:t>
      </w:r>
      <w:r>
        <w:rPr>
          <w:rFonts w:cstheme="minorHAnsi"/>
        </w:rPr>
        <w:t>.</w:t>
      </w:r>
      <w:r w:rsidRPr="003D3474">
        <w:rPr>
          <w:rFonts w:cstheme="minorHAnsi"/>
        </w:rPr>
        <w:t xml:space="preserve"> </w:t>
      </w:r>
      <w:r>
        <w:rPr>
          <w:rFonts w:cstheme="minorHAnsi"/>
        </w:rPr>
        <w:t>nutartis</w:t>
      </w:r>
      <w:r w:rsidRPr="002B3367">
        <w:rPr>
          <w:rFonts w:cstheme="minorHAnsi"/>
        </w:rPr>
        <w:t xml:space="preserve"> administracinėje byloje Nr. </w:t>
      </w:r>
      <w:r w:rsidRPr="000B2427">
        <w:rPr>
          <w:rFonts w:cstheme="minorHAnsi"/>
        </w:rPr>
        <w:t>eA-2077-575/2023</w:t>
      </w:r>
    </w:p>
    <w:p w14:paraId="5B370432" w14:textId="77777777" w:rsidR="001F7F48" w:rsidRPr="002B3367" w:rsidRDefault="001F7F48" w:rsidP="001F7F48">
      <w:pPr>
        <w:pStyle w:val="NoSpacing"/>
        <w:jc w:val="both"/>
        <w:rPr>
          <w:rFonts w:cstheme="minorHAnsi"/>
        </w:rPr>
      </w:pPr>
      <w:r w:rsidRPr="002B3367">
        <w:rPr>
          <w:rFonts w:cstheme="minorHAnsi"/>
        </w:rPr>
        <w:t xml:space="preserve">Teisminio proceso Nr. </w:t>
      </w:r>
      <w:r w:rsidRPr="000B2427">
        <w:rPr>
          <w:rFonts w:cstheme="minorHAnsi"/>
        </w:rPr>
        <w:t>3-61-3-09122-2022-3</w:t>
      </w:r>
    </w:p>
    <w:p w14:paraId="68A8D392" w14:textId="77777777" w:rsidR="001F7F48" w:rsidRDefault="001F7F48" w:rsidP="001F7F48">
      <w:pPr>
        <w:pStyle w:val="NoSpacing"/>
        <w:jc w:val="both"/>
        <w:rPr>
          <w:rFonts w:cstheme="minorHAnsi"/>
        </w:rPr>
      </w:pPr>
      <w:r w:rsidRPr="002B3367">
        <w:rPr>
          <w:rFonts w:cstheme="minorHAnsi"/>
        </w:rPr>
        <w:t xml:space="preserve">Procesinio sprendimo </w:t>
      </w:r>
      <w:r w:rsidRPr="00FA0055">
        <w:rPr>
          <w:rFonts w:cstheme="minorHAnsi"/>
        </w:rPr>
        <w:t>kategorij</w:t>
      </w:r>
      <w:r>
        <w:rPr>
          <w:rFonts w:cstheme="minorHAnsi"/>
        </w:rPr>
        <w:t>a</w:t>
      </w:r>
      <w:r w:rsidRPr="00FA0055">
        <w:rPr>
          <w:rFonts w:cstheme="minorHAnsi"/>
        </w:rPr>
        <w:t xml:space="preserve"> 29.1.</w:t>
      </w:r>
      <w:r>
        <w:rPr>
          <w:rFonts w:cstheme="minorHAnsi"/>
        </w:rPr>
        <w:t>3</w:t>
      </w:r>
    </w:p>
    <w:p w14:paraId="2FC966F9" w14:textId="77777777" w:rsidR="001F7F48" w:rsidRPr="00E6598E" w:rsidRDefault="001F7F48" w:rsidP="001F7F48">
      <w:pPr>
        <w:pStyle w:val="NoSpacing"/>
        <w:jc w:val="both"/>
        <w:rPr>
          <w:rStyle w:val="Hyperlink"/>
          <w:rFonts w:cstheme="minorHAnsi"/>
        </w:rPr>
      </w:pPr>
      <w:r>
        <w:rPr>
          <w:rFonts w:cstheme="minorHAnsi"/>
        </w:rPr>
        <w:fldChar w:fldCharType="begin"/>
      </w:r>
      <w:r>
        <w:rPr>
          <w:rFonts w:cstheme="minorHAnsi"/>
        </w:rPr>
        <w:instrText>HYPERLINK "https://www.e-tar.lt/portal/lt/legalAct/58f0e120895911eea5a28c81c82193a8"</w:instrText>
      </w:r>
      <w:r>
        <w:rPr>
          <w:rFonts w:cstheme="minorHAnsi"/>
        </w:rPr>
      </w:r>
      <w:r>
        <w:rPr>
          <w:rFonts w:cstheme="minorHAnsi"/>
        </w:rPr>
        <w:fldChar w:fldCharType="separate"/>
      </w:r>
      <w:r w:rsidRPr="00E6598E">
        <w:rPr>
          <w:rStyle w:val="Hyperlink"/>
          <w:rFonts w:cstheme="minorHAnsi"/>
        </w:rPr>
        <w:t>Prieiga internete</w:t>
      </w:r>
    </w:p>
    <w:p w14:paraId="5C803D9D" w14:textId="77777777" w:rsidR="001F7F48" w:rsidRDefault="001F7F48" w:rsidP="001F7F48">
      <w:pPr>
        <w:pStyle w:val="NoSpacing"/>
        <w:jc w:val="both"/>
        <w:rPr>
          <w:rFonts w:cstheme="minorHAnsi"/>
        </w:rPr>
      </w:pPr>
      <w:r>
        <w:rPr>
          <w:rFonts w:cstheme="minorHAnsi"/>
        </w:rPr>
        <w:fldChar w:fldCharType="end"/>
      </w:r>
    </w:p>
    <w:p w14:paraId="1C9C8F21" w14:textId="77777777" w:rsidR="001F7F48" w:rsidRDefault="001F7F48" w:rsidP="001F7F48">
      <w:pPr>
        <w:pStyle w:val="NoSpacing"/>
        <w:ind w:firstLine="1134"/>
        <w:jc w:val="both"/>
        <w:rPr>
          <w:rFonts w:cstheme="minorHAnsi"/>
          <w:b/>
          <w:bCs/>
          <w:u w:val="single"/>
        </w:rPr>
      </w:pPr>
      <w:r>
        <w:rPr>
          <w:rFonts w:cstheme="minorHAnsi"/>
          <w:b/>
          <w:bCs/>
          <w:u w:val="single"/>
        </w:rPr>
        <w:t>29.1.4. Kiti su paraiškų administravimu susiję klausimai</w:t>
      </w:r>
    </w:p>
    <w:p w14:paraId="3D2B953E" w14:textId="77777777" w:rsidR="001F7F48" w:rsidRDefault="001F7F48" w:rsidP="001F7F48">
      <w:pPr>
        <w:pStyle w:val="NoSpacing"/>
        <w:jc w:val="both"/>
        <w:rPr>
          <w:rFonts w:cstheme="minorHAnsi"/>
        </w:rPr>
      </w:pPr>
    </w:p>
    <w:p w14:paraId="4C094477" w14:textId="1CC246EB" w:rsidR="001F7F48" w:rsidRPr="001F7F48" w:rsidRDefault="001F7F48" w:rsidP="001F7F48">
      <w:pPr>
        <w:jc w:val="both"/>
        <w:outlineLvl w:val="1"/>
        <w:rPr>
          <w:rFonts w:asciiTheme="minorHAnsi" w:eastAsia="Calibri" w:hAnsiTheme="minorHAnsi" w:cstheme="minorHAnsi"/>
          <w:i/>
          <w:sz w:val="22"/>
          <w:szCs w:val="22"/>
        </w:rPr>
      </w:pPr>
      <w:bookmarkStart w:id="48" w:name="_Toc159340671"/>
      <w:r w:rsidRPr="001F7F48">
        <w:rPr>
          <w:rFonts w:asciiTheme="minorHAnsi" w:eastAsia="Calibri" w:hAnsiTheme="minorHAnsi" w:cstheme="minorHAnsi"/>
          <w:i/>
          <w:sz w:val="22"/>
          <w:szCs w:val="22"/>
        </w:rPr>
        <w:t>Dėl paramos sutarties keitimo termino ir formos</w:t>
      </w:r>
      <w:bookmarkEnd w:id="48"/>
    </w:p>
    <w:p w14:paraId="1A945403" w14:textId="77777777" w:rsidR="001F7F48" w:rsidRDefault="001F7F48" w:rsidP="001F7F48">
      <w:pPr>
        <w:pStyle w:val="NoSpacing"/>
        <w:jc w:val="both"/>
        <w:rPr>
          <w:rFonts w:cstheme="minorHAnsi"/>
        </w:rPr>
      </w:pPr>
    </w:p>
    <w:p w14:paraId="4767B535" w14:textId="2D01EE8C" w:rsidR="001F7F48" w:rsidRPr="00932285" w:rsidRDefault="001F7F48" w:rsidP="001F7F48">
      <w:pPr>
        <w:pStyle w:val="NoSpacing"/>
        <w:ind w:firstLine="567"/>
        <w:jc w:val="both"/>
        <w:rPr>
          <w:rFonts w:cstheme="minorHAnsi"/>
        </w:rPr>
      </w:pPr>
      <w:r w:rsidRPr="00932285">
        <w:rPr>
          <w:rFonts w:cstheme="minorHAnsi"/>
        </w:rPr>
        <w:t xml:space="preserve">Byloje nagrinėtas ginčas, kilęs dėl Nacionalinės mokėjimo agentūros prie Žemės ūkio ministerijos (toliau – </w:t>
      </w:r>
      <w:r>
        <w:rPr>
          <w:rFonts w:cstheme="minorHAnsi"/>
        </w:rPr>
        <w:t>Agentūra</w:t>
      </w:r>
      <w:r w:rsidRPr="00932285">
        <w:rPr>
          <w:rFonts w:cstheme="minorHAnsi"/>
        </w:rPr>
        <w:t xml:space="preserve">) </w:t>
      </w:r>
      <w:r>
        <w:rPr>
          <w:rFonts w:cstheme="minorHAnsi"/>
        </w:rPr>
        <w:t>sprendimo</w:t>
      </w:r>
      <w:r w:rsidRPr="00932285">
        <w:rPr>
          <w:rFonts w:cstheme="minorHAnsi"/>
        </w:rPr>
        <w:t xml:space="preserve">, kuriuo </w:t>
      </w:r>
      <w:r>
        <w:rPr>
          <w:rFonts w:cstheme="minorHAnsi"/>
        </w:rPr>
        <w:t xml:space="preserve">netenkintas pareiškėjo prašymas pakeisti paramos sutarties sąlygas, </w:t>
      </w:r>
      <w:r w:rsidRPr="00932285">
        <w:rPr>
          <w:rFonts w:cstheme="minorHAnsi"/>
        </w:rPr>
        <w:t>pagrįstumo ir teisėtumo.</w:t>
      </w:r>
    </w:p>
    <w:p w14:paraId="709F7BFB" w14:textId="3E293D83" w:rsidR="001F7F48" w:rsidRDefault="001F7F48" w:rsidP="001F7F48">
      <w:pPr>
        <w:pStyle w:val="NoSpacing"/>
        <w:ind w:firstLine="567"/>
        <w:jc w:val="both"/>
        <w:rPr>
          <w:rFonts w:cstheme="minorHAnsi"/>
        </w:rPr>
      </w:pPr>
      <w:r w:rsidRPr="00932285">
        <w:rPr>
          <w:rFonts w:cstheme="minorHAnsi"/>
        </w:rPr>
        <w:t>Pirmosios instancijos teismas atmetė pareiškėjo skundą, konstatavęs, kad</w:t>
      </w:r>
      <w:r>
        <w:rPr>
          <w:rFonts w:cstheme="minorHAnsi"/>
        </w:rPr>
        <w:t xml:space="preserve"> </w:t>
      </w:r>
      <w:r w:rsidRPr="001B55F8">
        <w:rPr>
          <w:rFonts w:cstheme="minorHAnsi"/>
        </w:rPr>
        <w:t xml:space="preserve">pareiškėjas su prašymu pakeisti </w:t>
      </w:r>
      <w:r>
        <w:rPr>
          <w:rFonts w:cstheme="minorHAnsi"/>
        </w:rPr>
        <w:t>p</w:t>
      </w:r>
      <w:r w:rsidRPr="001B55F8">
        <w:rPr>
          <w:rFonts w:cstheme="minorHAnsi"/>
        </w:rPr>
        <w:t>aramos sutartį</w:t>
      </w:r>
      <w:r>
        <w:rPr>
          <w:rFonts w:cstheme="minorHAnsi"/>
        </w:rPr>
        <w:t xml:space="preserve"> į Agentūrą kreipėsi pasibaigus p</w:t>
      </w:r>
      <w:r w:rsidRPr="001B55F8">
        <w:rPr>
          <w:rFonts w:cstheme="minorHAnsi"/>
        </w:rPr>
        <w:t>rojekto įgyvendinimo laikotarpiu</w:t>
      </w:r>
      <w:r>
        <w:rPr>
          <w:rFonts w:cstheme="minorHAnsi"/>
        </w:rPr>
        <w:t>i</w:t>
      </w:r>
      <w:r w:rsidRPr="001B55F8">
        <w:rPr>
          <w:rFonts w:cstheme="minorHAnsi"/>
        </w:rPr>
        <w:t>.</w:t>
      </w:r>
    </w:p>
    <w:p w14:paraId="31644232" w14:textId="068B64C4" w:rsidR="001F7F48" w:rsidRDefault="001F7F48" w:rsidP="001F7F48">
      <w:pPr>
        <w:pStyle w:val="NoSpacing"/>
        <w:ind w:firstLine="567"/>
        <w:jc w:val="both"/>
        <w:rPr>
          <w:rFonts w:cstheme="minorHAnsi"/>
        </w:rPr>
      </w:pPr>
      <w:r w:rsidRPr="636B6ABB">
        <w:rPr>
          <w:rFonts w:cstheme="minorBidi"/>
        </w:rPr>
        <w:t>LVAT pažymėjo, jog pagal Administravimo taisyklių</w:t>
      </w:r>
      <w:r w:rsidRPr="636B6ABB">
        <w:rPr>
          <w:rStyle w:val="FootnoteReference"/>
          <w:rFonts w:cstheme="minorBidi"/>
        </w:rPr>
        <w:footnoteReference w:id="13"/>
      </w:r>
      <w:r w:rsidRPr="636B6ABB">
        <w:rPr>
          <w:rFonts w:cstheme="minorBidi"/>
        </w:rPr>
        <w:t xml:space="preserve"> 174 punktą (2016 m. rugpjūčio 3 d. įsakymo Nr. 3D-452 redakcija), nukrypimai nuo planuoto projekto įgyvendinimo, keičiantys projekto apimtį, keičiantys projekto tinkamas finansuoti išlaidas (išskyrus atvejus, kai keičiasi investicijos techniniai parametrai &lt;...&gt;), pratęsiantys projekto įgyvendinimo laikotarpį ar kitaip keičiantys projektą ar paramos sutartyje ir (arba) paraiškoje bei sprendime skirti paramą nustatytus paramos gavėjo įsipareigojimus, nėra leidžiami. Paramos gavėjas privalo raštu informuoti Agentūrą apie visus numatomus pakeitimus, susijusius su projekto įgyvendinimu; Administravimo taisyklių 175 punkte nustatyta, kad Agentūra, įvertinusi paramos gavėjo prašymą leisti keisti projektą ir (arba) paramos sutartį, gali tokį prašymą: atmesti; patenkinti; patenkinti iš dalies; pagal Paramos sutarties 4.1.2 punktą sutartis gali būti pakeista ar papildyta tik rašytiniu šalių susitarimu; remiantis CK 6.183</w:t>
      </w:r>
      <w:r w:rsidR="00C35D69" w:rsidRPr="636B6ABB">
        <w:rPr>
          <w:rFonts w:cstheme="minorBidi"/>
        </w:rPr>
        <w:t> </w:t>
      </w:r>
      <w:r w:rsidRPr="636B6ABB">
        <w:rPr>
          <w:rFonts w:cstheme="minorBidi"/>
        </w:rPr>
        <w:t xml:space="preserve">straipsnio 1 dalimi, rašytinė sutartis, kurioje yra išlyga, kad sutartį pakeisti ar papildyti ar ją nutraukti </w:t>
      </w:r>
      <w:r w:rsidRPr="636B6ABB">
        <w:rPr>
          <w:rFonts w:cstheme="minorBidi"/>
        </w:rPr>
        <w:lastRenderedPageBreak/>
        <w:t>galima tik raštu, negali būti pakeista, papildyta ar nutraukta kitokiu būdu, be to, CK 6.189 straipsnio 1 dalyje nustatyta, kad teisėtai sudaryta ir galiojanti sutartis jos šalims turi įstatymo galią.</w:t>
      </w:r>
    </w:p>
    <w:p w14:paraId="6E4C554C" w14:textId="5DC33104" w:rsidR="001F7F48" w:rsidRDefault="001F7F48" w:rsidP="001F7F48">
      <w:pPr>
        <w:pStyle w:val="NoSpacing"/>
        <w:ind w:firstLine="567"/>
        <w:jc w:val="both"/>
        <w:rPr>
          <w:rFonts w:cstheme="minorHAnsi"/>
        </w:rPr>
      </w:pPr>
      <w:r>
        <w:rPr>
          <w:rFonts w:cstheme="minorHAnsi"/>
        </w:rPr>
        <w:t>LVAT vertinimu, p</w:t>
      </w:r>
      <w:r w:rsidRPr="00FE3F08">
        <w:rPr>
          <w:rFonts w:cstheme="minorHAnsi"/>
        </w:rPr>
        <w:t xml:space="preserve">aminėtas teisinis reguliavimas ir sutarties sąlygos suponuoja, kad </w:t>
      </w:r>
      <w:r w:rsidRPr="007E51CE">
        <w:rPr>
          <w:rFonts w:cstheme="minorHAnsi"/>
          <w:u w:val="single"/>
        </w:rPr>
        <w:t>rašytinis šalių susitarimas dėl sutarties pakeitimo turi būti sudarytas per protingą įmanomai trumpiausią laiką pasikeitus sutarties vykdymo sąlygoms. Be to, pažymėta, kad pareiškėjas, kaip projektą vykdantis subjektas, tęsiantis darbus žinodamas apie projekto vykdymo sąlygų pasikeitimą, nesudaręs rašytinio susitarimo su atsakovu dėl sutarties pakeitimo, tuo pačiu prisiėmė visas rizikas dėl jam galimai kilsiančių neigiamų teisinių padarinių. Paramos sutarties pakeitimai, kurie pakeistų pareiškėjo teises bei pareigas projekto įgyvendinimo stadijoje, kai projekto įgyvendinimo terminas jau pasibaigęs, iš esmės paneigtų viso pirmiau nurodyto teisinio reguliavimo bei sutarties sąlygų laikymosi privalomumą, o tai nesuderinama su sutarčių vykdymo principais</w:t>
      </w:r>
      <w:r>
        <w:rPr>
          <w:rFonts w:cstheme="minorHAnsi"/>
        </w:rPr>
        <w:t>.</w:t>
      </w:r>
    </w:p>
    <w:p w14:paraId="01713C59" w14:textId="09F1D3B7" w:rsidR="001F7F48" w:rsidRDefault="001F7F48" w:rsidP="001F7F48">
      <w:pPr>
        <w:pStyle w:val="NoSpacing"/>
        <w:ind w:firstLine="567"/>
        <w:jc w:val="both"/>
        <w:rPr>
          <w:rFonts w:cstheme="minorHAnsi"/>
        </w:rPr>
      </w:pPr>
      <w:r>
        <w:rPr>
          <w:rFonts w:cstheme="minorHAnsi"/>
        </w:rPr>
        <w:t>LVAT atmetė pareiškėjo apeliacinį skundą.</w:t>
      </w:r>
    </w:p>
    <w:p w14:paraId="7024DFFF" w14:textId="77777777" w:rsidR="001F7F48" w:rsidRDefault="001F7F48" w:rsidP="001F7F48">
      <w:pPr>
        <w:pStyle w:val="NoSpacing"/>
        <w:jc w:val="both"/>
        <w:rPr>
          <w:rFonts w:cstheme="minorHAnsi"/>
        </w:rPr>
      </w:pPr>
    </w:p>
    <w:p w14:paraId="51B22648" w14:textId="77777777" w:rsidR="001F7F48" w:rsidRPr="002B3367" w:rsidRDefault="001F7F48" w:rsidP="001F7F48">
      <w:pPr>
        <w:pStyle w:val="NoSpacing"/>
        <w:jc w:val="both"/>
        <w:rPr>
          <w:rFonts w:cstheme="minorHAnsi"/>
        </w:rPr>
      </w:pPr>
      <w:r w:rsidRPr="003D3474">
        <w:rPr>
          <w:rFonts w:cstheme="minorHAnsi"/>
        </w:rPr>
        <w:t xml:space="preserve">2023 m. </w:t>
      </w:r>
      <w:r>
        <w:rPr>
          <w:rFonts w:cstheme="minorHAnsi"/>
        </w:rPr>
        <w:t xml:space="preserve">lapkričio 29 </w:t>
      </w:r>
      <w:r w:rsidRPr="003D3474">
        <w:rPr>
          <w:rFonts w:cstheme="minorHAnsi"/>
        </w:rPr>
        <w:t>d</w:t>
      </w:r>
      <w:r>
        <w:rPr>
          <w:rFonts w:cstheme="minorHAnsi"/>
        </w:rPr>
        <w:t>.</w:t>
      </w:r>
      <w:r w:rsidRPr="003D3474">
        <w:rPr>
          <w:rFonts w:cstheme="minorHAnsi"/>
        </w:rPr>
        <w:t xml:space="preserve"> </w:t>
      </w:r>
      <w:r>
        <w:rPr>
          <w:rFonts w:cstheme="minorHAnsi"/>
        </w:rPr>
        <w:t>nutartis</w:t>
      </w:r>
      <w:r w:rsidRPr="002B3367">
        <w:rPr>
          <w:rFonts w:cstheme="minorHAnsi"/>
        </w:rPr>
        <w:t xml:space="preserve"> administracinėje byloje Nr. </w:t>
      </w:r>
      <w:r w:rsidRPr="007208B2">
        <w:rPr>
          <w:rFonts w:cstheme="minorHAnsi"/>
        </w:rPr>
        <w:t>eA-1360-415/2023</w:t>
      </w:r>
    </w:p>
    <w:p w14:paraId="3A738C12" w14:textId="77777777" w:rsidR="001F7F48" w:rsidRPr="002B3367" w:rsidRDefault="001F7F48" w:rsidP="001F7F48">
      <w:pPr>
        <w:pStyle w:val="NoSpacing"/>
        <w:jc w:val="both"/>
        <w:rPr>
          <w:rFonts w:cstheme="minorHAnsi"/>
        </w:rPr>
      </w:pPr>
      <w:r w:rsidRPr="002B3367">
        <w:rPr>
          <w:rFonts w:cstheme="minorHAnsi"/>
        </w:rPr>
        <w:t xml:space="preserve">Teisminio proceso Nr. </w:t>
      </w:r>
      <w:r w:rsidRPr="007208B2">
        <w:rPr>
          <w:rFonts w:cstheme="minorHAnsi"/>
        </w:rPr>
        <w:t>3-61-3-02784-2022-0</w:t>
      </w:r>
    </w:p>
    <w:p w14:paraId="7DD1684D" w14:textId="77777777" w:rsidR="001F7F48" w:rsidRDefault="001F7F48" w:rsidP="001F7F48">
      <w:pPr>
        <w:pStyle w:val="NoSpacing"/>
        <w:jc w:val="both"/>
        <w:rPr>
          <w:rFonts w:cstheme="minorHAnsi"/>
        </w:rPr>
      </w:pPr>
      <w:r w:rsidRPr="002B3367">
        <w:rPr>
          <w:rFonts w:cstheme="minorHAnsi"/>
        </w:rPr>
        <w:t xml:space="preserve">Procesinio sprendimo </w:t>
      </w:r>
      <w:r w:rsidRPr="00FA0055">
        <w:rPr>
          <w:rFonts w:cstheme="minorHAnsi"/>
        </w:rPr>
        <w:t>kategorij</w:t>
      </w:r>
      <w:r>
        <w:rPr>
          <w:rFonts w:cstheme="minorHAnsi"/>
        </w:rPr>
        <w:t>a</w:t>
      </w:r>
      <w:r w:rsidRPr="00FA0055">
        <w:rPr>
          <w:rFonts w:cstheme="minorHAnsi"/>
        </w:rPr>
        <w:t xml:space="preserve"> 29.1.</w:t>
      </w:r>
      <w:r>
        <w:rPr>
          <w:rFonts w:cstheme="minorHAnsi"/>
        </w:rPr>
        <w:t>2</w:t>
      </w:r>
    </w:p>
    <w:p w14:paraId="659B430A" w14:textId="77777777" w:rsidR="001F7F48" w:rsidRPr="00E6598E" w:rsidRDefault="001F7F48" w:rsidP="001F7F48">
      <w:pPr>
        <w:pStyle w:val="NoSpacing"/>
        <w:jc w:val="both"/>
        <w:rPr>
          <w:rStyle w:val="Hyperlink"/>
          <w:rFonts w:cstheme="minorHAnsi"/>
        </w:rPr>
      </w:pPr>
      <w:r>
        <w:rPr>
          <w:rFonts w:cstheme="minorHAnsi"/>
        </w:rPr>
        <w:fldChar w:fldCharType="begin"/>
      </w:r>
      <w:r>
        <w:rPr>
          <w:rFonts w:cstheme="minorHAnsi"/>
        </w:rPr>
        <w:instrText>HYPERLINK "https://www.e-tar.lt/portal/lt/legalAct/bb3a62b0945911eea5a28c81c82193a8"</w:instrText>
      </w:r>
      <w:r>
        <w:rPr>
          <w:rFonts w:cstheme="minorHAnsi"/>
        </w:rPr>
      </w:r>
      <w:r>
        <w:rPr>
          <w:rFonts w:cstheme="minorHAnsi"/>
        </w:rPr>
        <w:fldChar w:fldCharType="separate"/>
      </w:r>
      <w:r w:rsidRPr="00E6598E">
        <w:rPr>
          <w:rStyle w:val="Hyperlink"/>
          <w:rFonts w:cstheme="minorHAnsi"/>
        </w:rPr>
        <w:t>Prieiga internete</w:t>
      </w:r>
    </w:p>
    <w:p w14:paraId="69C35F88" w14:textId="1067B439" w:rsidR="00BF6DCC" w:rsidRPr="00F56F28" w:rsidRDefault="001F7F48" w:rsidP="001F7F48">
      <w:pPr>
        <w:pStyle w:val="NoSpacing"/>
        <w:jc w:val="both"/>
        <w:rPr>
          <w:rFonts w:asciiTheme="minorHAnsi" w:hAnsiTheme="minorHAnsi" w:cstheme="minorHAnsi"/>
          <w:b/>
          <w:bCs/>
          <w:u w:val="single"/>
        </w:rPr>
      </w:pPr>
      <w:r>
        <w:rPr>
          <w:rFonts w:cstheme="minorHAnsi"/>
        </w:rPr>
        <w:fldChar w:fldCharType="end"/>
      </w:r>
    </w:p>
    <w:p w14:paraId="5D5AA9E7" w14:textId="77777777" w:rsidR="00B1604A" w:rsidRPr="00F56F28" w:rsidRDefault="00B1604A" w:rsidP="00B1604A">
      <w:pPr>
        <w:pStyle w:val="Heading1"/>
        <w:rPr>
          <w:rFonts w:asciiTheme="minorHAnsi" w:hAnsiTheme="minorHAnsi" w:cstheme="minorHAnsi"/>
        </w:rPr>
      </w:pPr>
      <w:bookmarkStart w:id="49" w:name="_Toc462149997"/>
      <w:bookmarkStart w:id="50" w:name="_Toc159340672"/>
      <w:r w:rsidRPr="00F56F28">
        <w:rPr>
          <w:rFonts w:asciiTheme="minorHAnsi" w:hAnsiTheme="minorHAnsi" w:cstheme="minorHAnsi"/>
        </w:rPr>
        <w:t>33. Finansų rinkų priežiūra</w:t>
      </w:r>
      <w:bookmarkEnd w:id="49"/>
      <w:bookmarkEnd w:id="50"/>
    </w:p>
    <w:p w14:paraId="7A34E8E4" w14:textId="77777777" w:rsidR="00B1604A" w:rsidRPr="00F56F28" w:rsidRDefault="00B1604A" w:rsidP="00B1604A">
      <w:pPr>
        <w:tabs>
          <w:tab w:val="left" w:pos="8931"/>
          <w:tab w:val="left" w:pos="9356"/>
        </w:tabs>
        <w:ind w:firstLine="567"/>
        <w:jc w:val="both"/>
        <w:rPr>
          <w:rFonts w:asciiTheme="minorHAnsi" w:hAnsiTheme="minorHAnsi" w:cstheme="minorHAnsi"/>
          <w:sz w:val="22"/>
          <w:szCs w:val="22"/>
        </w:rPr>
      </w:pPr>
    </w:p>
    <w:p w14:paraId="7DF972BE" w14:textId="129B5D7E" w:rsidR="0038321D" w:rsidRPr="00F56F28" w:rsidRDefault="0038321D" w:rsidP="0038321D">
      <w:pPr>
        <w:jc w:val="both"/>
        <w:outlineLvl w:val="1"/>
        <w:rPr>
          <w:rFonts w:asciiTheme="minorHAnsi" w:eastAsia="Calibri" w:hAnsiTheme="minorHAnsi" w:cstheme="minorHAnsi"/>
          <w:i/>
          <w:sz w:val="22"/>
          <w:szCs w:val="22"/>
        </w:rPr>
      </w:pPr>
      <w:bookmarkStart w:id="51" w:name="_Toc159340673"/>
      <w:r w:rsidRPr="00F56F28">
        <w:rPr>
          <w:rFonts w:asciiTheme="minorHAnsi" w:eastAsia="Calibri" w:hAnsiTheme="minorHAnsi" w:cstheme="minorHAnsi"/>
          <w:i/>
          <w:sz w:val="22"/>
          <w:szCs w:val="22"/>
        </w:rPr>
        <w:t xml:space="preserve">Dėl </w:t>
      </w:r>
      <w:r w:rsidR="00254588" w:rsidRPr="00F56F28">
        <w:rPr>
          <w:rFonts w:asciiTheme="minorHAnsi" w:eastAsia="Calibri" w:hAnsiTheme="minorHAnsi" w:cstheme="minorHAnsi"/>
          <w:i/>
          <w:sz w:val="22"/>
          <w:szCs w:val="22"/>
        </w:rPr>
        <w:t>E</w:t>
      </w:r>
      <w:r w:rsidRPr="00F56F28">
        <w:rPr>
          <w:rFonts w:asciiTheme="minorHAnsi" w:eastAsia="Calibri" w:hAnsiTheme="minorHAnsi" w:cstheme="minorHAnsi"/>
          <w:i/>
          <w:sz w:val="22"/>
          <w:szCs w:val="22"/>
        </w:rPr>
        <w:t>urų banknotų tinkamumo apyvartai automatizuoto tikrinimo banknotų tvarkymo aparatais minimalių standartų netaikymo grynųjų pinigų tvarkytojams</w:t>
      </w:r>
      <w:bookmarkEnd w:id="51"/>
    </w:p>
    <w:p w14:paraId="65B3D091" w14:textId="77777777" w:rsidR="0038321D" w:rsidRPr="00F56F28" w:rsidRDefault="0038321D" w:rsidP="0038321D">
      <w:pPr>
        <w:jc w:val="both"/>
        <w:rPr>
          <w:rFonts w:asciiTheme="minorHAnsi" w:hAnsiTheme="minorHAnsi" w:cstheme="minorHAnsi"/>
          <w:sz w:val="22"/>
          <w:szCs w:val="22"/>
        </w:rPr>
      </w:pPr>
    </w:p>
    <w:p w14:paraId="3E553A18" w14:textId="5F1230E8" w:rsidR="0038321D" w:rsidRPr="00F56F28" w:rsidRDefault="0038321D" w:rsidP="0038321D">
      <w:pPr>
        <w:ind w:firstLine="567"/>
        <w:jc w:val="both"/>
        <w:rPr>
          <w:rFonts w:asciiTheme="minorHAnsi" w:hAnsiTheme="minorHAnsi" w:cstheme="minorHAnsi"/>
          <w:sz w:val="22"/>
          <w:szCs w:val="22"/>
        </w:rPr>
      </w:pPr>
      <w:r w:rsidRPr="636B6ABB">
        <w:rPr>
          <w:rFonts w:asciiTheme="minorHAnsi" w:hAnsiTheme="minorHAnsi" w:cstheme="minorBidi"/>
          <w:sz w:val="22"/>
          <w:szCs w:val="22"/>
        </w:rPr>
        <w:t xml:space="preserve">Byloje ginčas kilo dėl Lietuvos banko Grynųjų pinigų departamento direktoriaus sprendimo (toliau – Sprendimas) teisėtumo ir pagrįstumo. Sprendime konstatuota, kad pareiškėjas, grynųjų pinigų tvarkytojas, pažeidė </w:t>
      </w:r>
      <w:bookmarkStart w:id="52" w:name="_Hlk155709493"/>
      <w:r w:rsidRPr="636B6ABB">
        <w:rPr>
          <w:rFonts w:asciiTheme="minorHAnsi" w:hAnsiTheme="minorHAnsi" w:cstheme="minorBidi"/>
          <w:sz w:val="22"/>
          <w:szCs w:val="22"/>
        </w:rPr>
        <w:t xml:space="preserve">Eurų banknotų tinkamumo apyvartai automatizuoto tikrinimo banknotų tvarkymo aparatais minimalius standartus </w:t>
      </w:r>
      <w:bookmarkEnd w:id="52"/>
      <w:r w:rsidRPr="636B6ABB">
        <w:rPr>
          <w:rFonts w:asciiTheme="minorHAnsi" w:hAnsiTheme="minorHAnsi" w:cstheme="minorBidi"/>
          <w:sz w:val="22"/>
          <w:szCs w:val="22"/>
        </w:rPr>
        <w:t>(toliau – Minimalūs standartai) (juose nustatytą reikalavimą, kad banknotų tvarkymo aparatai neteisingai priskirtų tinkamiems apyvartai ne daugiau kaip 5</w:t>
      </w:r>
      <w:r w:rsidR="00254588" w:rsidRPr="636B6ABB">
        <w:rPr>
          <w:rFonts w:asciiTheme="minorHAnsi" w:hAnsiTheme="minorHAnsi" w:cstheme="minorBidi"/>
          <w:sz w:val="22"/>
          <w:szCs w:val="22"/>
        </w:rPr>
        <w:t xml:space="preserve"> proc.</w:t>
      </w:r>
      <w:r w:rsidRPr="636B6ABB">
        <w:rPr>
          <w:rFonts w:asciiTheme="minorHAnsi" w:hAnsiTheme="minorHAnsi" w:cstheme="minorBidi"/>
          <w:sz w:val="22"/>
          <w:szCs w:val="22"/>
        </w:rPr>
        <w:t xml:space="preserve"> tinkamumo apyvartai kriterijų neatitinkančių eurų banknotų) ir Sprendimo ECB/2010/14</w:t>
      </w:r>
      <w:r w:rsidRPr="636B6ABB">
        <w:rPr>
          <w:rStyle w:val="FootnoteReference"/>
          <w:rFonts w:asciiTheme="minorHAnsi" w:hAnsiTheme="minorHAnsi" w:cstheme="minorBidi"/>
          <w:sz w:val="22"/>
          <w:szCs w:val="22"/>
        </w:rPr>
        <w:footnoteReference w:id="14"/>
      </w:r>
      <w:r w:rsidRPr="636B6ABB">
        <w:rPr>
          <w:rFonts w:asciiTheme="minorHAnsi" w:hAnsiTheme="minorHAnsi" w:cstheme="minorBidi"/>
          <w:sz w:val="22"/>
          <w:szCs w:val="22"/>
        </w:rPr>
        <w:t xml:space="preserve"> 6 straipsnio 2 dalį. Sprendime pareiškėjui duotas privalomas nurodymas pašalinti pažeidimą, t. y. užtikrinti, kad pareiškėjo Panevėžio skyriaus naudojamais aparatais automatizuotai tikrinant eurų banknotų, skirtų pakartotinai išleisti į apyvartą, tinkamumą apyvartai, tinkamumo apyvartai tolerancijos lygis neviršytų Europos </w:t>
      </w:r>
      <w:r w:rsidR="00101BFA" w:rsidRPr="636B6ABB">
        <w:rPr>
          <w:rFonts w:asciiTheme="minorHAnsi" w:hAnsiTheme="minorHAnsi" w:cstheme="minorBidi"/>
          <w:sz w:val="22"/>
          <w:szCs w:val="22"/>
        </w:rPr>
        <w:t>C</w:t>
      </w:r>
      <w:r w:rsidRPr="636B6ABB">
        <w:rPr>
          <w:rFonts w:asciiTheme="minorHAnsi" w:hAnsiTheme="minorHAnsi" w:cstheme="minorBidi"/>
          <w:sz w:val="22"/>
          <w:szCs w:val="22"/>
        </w:rPr>
        <w:t xml:space="preserve">entrinio </w:t>
      </w:r>
      <w:r w:rsidR="00101BFA" w:rsidRPr="636B6ABB">
        <w:rPr>
          <w:rFonts w:asciiTheme="minorHAnsi" w:hAnsiTheme="minorHAnsi" w:cstheme="minorBidi"/>
          <w:sz w:val="22"/>
          <w:szCs w:val="22"/>
        </w:rPr>
        <w:t>B</w:t>
      </w:r>
      <w:r w:rsidRPr="636B6ABB">
        <w:rPr>
          <w:rFonts w:asciiTheme="minorHAnsi" w:hAnsiTheme="minorHAnsi" w:cstheme="minorBidi"/>
          <w:sz w:val="22"/>
          <w:szCs w:val="22"/>
        </w:rPr>
        <w:t>anko nustatyto 5 proc. tolerancijos lygio, t. y. kad aparatai neteisingai priskirtų tinkamiems apyvartai ne daugiau kaip 5 proc. netinkamų apyvartai (tinkamumo apyvartai kriterijų neatitinkančių) eurų banknotų.</w:t>
      </w:r>
    </w:p>
    <w:p w14:paraId="66A28861" w14:textId="476DF0A7" w:rsidR="0038321D" w:rsidRPr="00F56F28" w:rsidRDefault="0038321D" w:rsidP="0038321D">
      <w:pPr>
        <w:ind w:firstLine="567"/>
        <w:jc w:val="both"/>
        <w:rPr>
          <w:rFonts w:asciiTheme="minorHAnsi" w:hAnsiTheme="minorHAnsi" w:cstheme="minorHAnsi"/>
          <w:sz w:val="22"/>
          <w:szCs w:val="22"/>
        </w:rPr>
      </w:pPr>
      <w:r w:rsidRPr="00F56F28">
        <w:rPr>
          <w:rFonts w:asciiTheme="minorHAnsi" w:hAnsiTheme="minorHAnsi" w:cstheme="minorHAnsi"/>
          <w:sz w:val="22"/>
          <w:szCs w:val="22"/>
        </w:rPr>
        <w:t>Pirmosios instancijos teismas pareiškėjo skundą atmetė kaip nepagrįstą.</w:t>
      </w:r>
    </w:p>
    <w:p w14:paraId="0456CD08" w14:textId="5014D518" w:rsidR="0038321D" w:rsidRPr="00F56F28" w:rsidRDefault="0038321D" w:rsidP="0038321D">
      <w:pPr>
        <w:ind w:firstLine="567"/>
        <w:jc w:val="both"/>
        <w:rPr>
          <w:rFonts w:asciiTheme="minorHAnsi" w:hAnsiTheme="minorHAnsi" w:cstheme="minorHAnsi"/>
          <w:sz w:val="22"/>
          <w:szCs w:val="22"/>
        </w:rPr>
      </w:pPr>
      <w:r w:rsidRPr="00F56F28">
        <w:rPr>
          <w:rFonts w:asciiTheme="minorHAnsi" w:hAnsiTheme="minorHAnsi" w:cstheme="minorHAnsi"/>
          <w:sz w:val="22"/>
          <w:szCs w:val="22"/>
        </w:rPr>
        <w:t>Apžvelgiamoje byloje LVAT kreipėsi į ESTT, siekdamas išsiaiškinti, ar grynųjų pinigų tvarkytojai privalo laikytis Minimalių standartų ir ar valstybės narės gali įpareigoti grynųjų pinigų tvarkytojus laikytis Minimalių standartų.</w:t>
      </w:r>
    </w:p>
    <w:p w14:paraId="11044C94" w14:textId="7A07B1C3" w:rsidR="0038321D" w:rsidRPr="00F56F28" w:rsidRDefault="0038321D" w:rsidP="00417263">
      <w:pPr>
        <w:ind w:firstLine="567"/>
        <w:jc w:val="both"/>
        <w:rPr>
          <w:rFonts w:asciiTheme="minorHAnsi" w:hAnsiTheme="minorHAnsi" w:cstheme="minorHAnsi"/>
          <w:sz w:val="22"/>
          <w:szCs w:val="22"/>
        </w:rPr>
      </w:pPr>
      <w:r w:rsidRPr="636B6ABB">
        <w:rPr>
          <w:rFonts w:asciiTheme="minorHAnsi" w:hAnsiTheme="minorHAnsi" w:cstheme="minorBidi"/>
          <w:sz w:val="22"/>
          <w:szCs w:val="22"/>
        </w:rPr>
        <w:t>E</w:t>
      </w:r>
      <w:r w:rsidR="0091270E" w:rsidRPr="636B6ABB">
        <w:rPr>
          <w:rFonts w:asciiTheme="minorHAnsi" w:hAnsiTheme="minorHAnsi" w:cstheme="minorBidi"/>
          <w:sz w:val="22"/>
          <w:szCs w:val="22"/>
        </w:rPr>
        <w:t>STT</w:t>
      </w:r>
      <w:r w:rsidRPr="636B6ABB">
        <w:rPr>
          <w:rFonts w:asciiTheme="minorHAnsi" w:hAnsiTheme="minorHAnsi" w:cstheme="minorBidi"/>
          <w:sz w:val="22"/>
          <w:szCs w:val="22"/>
        </w:rPr>
        <w:t xml:space="preserve"> 2023 m. balandžio 20 d. sprendime byloje C</w:t>
      </w:r>
      <w:r w:rsidRPr="636B6ABB">
        <w:rPr>
          <w:rFonts w:asciiTheme="minorHAnsi" w:hAnsiTheme="minorHAnsi" w:cstheme="minorBidi"/>
          <w:sz w:val="22"/>
          <w:szCs w:val="22"/>
        </w:rPr>
        <w:noBreakHyphen/>
        <w:t>772/21 nusprendė, kad Minimalūs standartai netaikomi grynųjų pinigų tvarkytojams, kai jie atlieka automatizuotą eurų banknotų tinkamumo apyvartai tikrinimą, ir valstybei narei draudžiama įpareigoti grynųjų pinigų tvarkytojus, kai jie atlieka automatizuotą eurų banknotų tinkamumo apyvartai tikrinimą, laikytis Minimalių standartų. Tačiau pagal Sprendimo ECB/2010/14 3 straipsnio 1 dalį ir 10 straipsnio 1 dalį, siejamas su Reglamento Nr. 1338/2001</w:t>
      </w:r>
      <w:r w:rsidR="00791714" w:rsidRPr="636B6ABB">
        <w:rPr>
          <w:rStyle w:val="FootnoteReference"/>
          <w:rFonts w:asciiTheme="minorHAnsi" w:hAnsiTheme="minorHAnsi" w:cstheme="minorBidi"/>
          <w:sz w:val="22"/>
          <w:szCs w:val="22"/>
        </w:rPr>
        <w:footnoteReference w:id="15"/>
      </w:r>
      <w:r w:rsidRPr="636B6ABB">
        <w:rPr>
          <w:rFonts w:asciiTheme="minorHAnsi" w:hAnsiTheme="minorHAnsi" w:cstheme="minorBidi"/>
          <w:sz w:val="22"/>
          <w:szCs w:val="22"/>
        </w:rPr>
        <w:t xml:space="preserve"> 6 straipsnio 1 dalimi, grynųjų pinigų tvarkytojai turi imtis būtinų priemonių, kad ištaisytų padėtį, kai per valstybės narės, kurios valiuta yra euras, nacionalinio centrinio banko atliktą patikrinimą nustatoma, kad jų banknotų tvarkymo aparatai negali, neviršydami 5 </w:t>
      </w:r>
      <w:r w:rsidR="00417263" w:rsidRPr="636B6ABB">
        <w:rPr>
          <w:rFonts w:asciiTheme="minorHAnsi" w:hAnsiTheme="minorHAnsi" w:cstheme="minorBidi"/>
          <w:sz w:val="22"/>
          <w:szCs w:val="22"/>
        </w:rPr>
        <w:t>proc.</w:t>
      </w:r>
      <w:r w:rsidRPr="636B6ABB">
        <w:rPr>
          <w:rFonts w:asciiTheme="minorHAnsi" w:hAnsiTheme="minorHAnsi" w:cstheme="minorBidi"/>
          <w:sz w:val="22"/>
          <w:szCs w:val="22"/>
        </w:rPr>
        <w:t xml:space="preserve"> tolerancijos lygio, aptikti netinkamos būklės pakartotinai į apyvartą išleistinų eurų banknotų.</w:t>
      </w:r>
    </w:p>
    <w:p w14:paraId="6CFA84BB" w14:textId="12209273" w:rsidR="0038321D" w:rsidRPr="00F56F28" w:rsidRDefault="0038321D" w:rsidP="0038321D">
      <w:pPr>
        <w:ind w:firstLine="567"/>
        <w:jc w:val="both"/>
        <w:rPr>
          <w:rFonts w:asciiTheme="minorHAnsi" w:hAnsiTheme="minorHAnsi" w:cstheme="minorHAnsi"/>
          <w:sz w:val="22"/>
          <w:szCs w:val="22"/>
        </w:rPr>
      </w:pPr>
      <w:r w:rsidRPr="00F56F28">
        <w:rPr>
          <w:rFonts w:asciiTheme="minorHAnsi" w:hAnsiTheme="minorHAnsi" w:cstheme="minorHAnsi"/>
          <w:sz w:val="22"/>
          <w:szCs w:val="22"/>
        </w:rPr>
        <w:t>Atsižvelgdamas į ESTT prejudiciniame sprendime pateiktus išaiškinimus, LVAT konstatavo, kad Minimalūs standartai nėra taikytini pareiškėjui, todėl Lietuvos bankas ginč</w:t>
      </w:r>
      <w:r w:rsidR="00417263" w:rsidRPr="00F56F28">
        <w:rPr>
          <w:rFonts w:asciiTheme="minorHAnsi" w:hAnsiTheme="minorHAnsi" w:cstheme="minorHAnsi"/>
          <w:sz w:val="22"/>
          <w:szCs w:val="22"/>
        </w:rPr>
        <w:t>ytame</w:t>
      </w:r>
      <w:r w:rsidRPr="00F56F28">
        <w:rPr>
          <w:rFonts w:asciiTheme="minorHAnsi" w:hAnsiTheme="minorHAnsi" w:cstheme="minorHAnsi"/>
          <w:sz w:val="22"/>
          <w:szCs w:val="22"/>
        </w:rPr>
        <w:t xml:space="preserve"> Sprendime nepagrįstai nusprendė, </w:t>
      </w:r>
      <w:r w:rsidR="00417263" w:rsidRPr="00F56F28">
        <w:rPr>
          <w:rFonts w:asciiTheme="minorHAnsi" w:hAnsiTheme="minorHAnsi" w:cstheme="minorHAnsi"/>
          <w:sz w:val="22"/>
          <w:szCs w:val="22"/>
        </w:rPr>
        <w:t>jog</w:t>
      </w:r>
      <w:r w:rsidRPr="00F56F28">
        <w:rPr>
          <w:rFonts w:asciiTheme="minorHAnsi" w:hAnsiTheme="minorHAnsi" w:cstheme="minorHAnsi"/>
          <w:sz w:val="22"/>
          <w:szCs w:val="22"/>
        </w:rPr>
        <w:t xml:space="preserve"> pareiškėjas pažeidė Minimalius standartus ir Sprendimo ECB/2010/14 6 straipsnio 2 dalį. Teisėjų kolegijos </w:t>
      </w:r>
      <w:r w:rsidRPr="00F56F28">
        <w:rPr>
          <w:rFonts w:asciiTheme="minorHAnsi" w:hAnsiTheme="minorHAnsi" w:cstheme="minorHAnsi"/>
          <w:sz w:val="22"/>
          <w:szCs w:val="22"/>
        </w:rPr>
        <w:lastRenderedPageBreak/>
        <w:t>vertinimu, šis Sprendimo trūkumas buvo esminis, kadangi Sprendime nebuvo nurodyta, kad pareiškėjas pažeidė kitas teisės normas. Atsižvelgiant į tai, kad ginč</w:t>
      </w:r>
      <w:r w:rsidR="00417263" w:rsidRPr="00F56F28">
        <w:rPr>
          <w:rFonts w:asciiTheme="minorHAnsi" w:hAnsiTheme="minorHAnsi" w:cstheme="minorHAnsi"/>
          <w:sz w:val="22"/>
          <w:szCs w:val="22"/>
        </w:rPr>
        <w:t>yt</w:t>
      </w:r>
      <w:r w:rsidRPr="00F56F28">
        <w:rPr>
          <w:rFonts w:asciiTheme="minorHAnsi" w:hAnsiTheme="minorHAnsi" w:cstheme="minorHAnsi"/>
          <w:sz w:val="22"/>
          <w:szCs w:val="22"/>
        </w:rPr>
        <w:t>ame Sprendime nebuvo nurodytas tinkamas teisinis pagrindas, Sprendimas panaikintas kaip prieštaraujantis V</w:t>
      </w:r>
      <w:r w:rsidR="00417263" w:rsidRPr="00F56F28">
        <w:rPr>
          <w:rFonts w:asciiTheme="minorHAnsi" w:hAnsiTheme="minorHAnsi" w:cstheme="minorHAnsi"/>
          <w:sz w:val="22"/>
          <w:szCs w:val="22"/>
        </w:rPr>
        <w:t>AĮ</w:t>
      </w:r>
      <w:r w:rsidRPr="00F56F28">
        <w:rPr>
          <w:rFonts w:asciiTheme="minorHAnsi" w:hAnsiTheme="minorHAnsi" w:cstheme="minorHAnsi"/>
          <w:sz w:val="22"/>
          <w:szCs w:val="22"/>
        </w:rPr>
        <w:t xml:space="preserve"> 3 straipsnio 1 punkte įtvirtintam įstatymo viršenybės principui, pagal kurį administraciniai aktai, susiję su asmenų teisių ir pareigų įgyvendinimu, visais atvejais turi būti pagrįsti įstatymais, ir V</w:t>
      </w:r>
      <w:r w:rsidR="00417263" w:rsidRPr="00F56F28">
        <w:rPr>
          <w:rFonts w:asciiTheme="minorHAnsi" w:hAnsiTheme="minorHAnsi" w:cstheme="minorHAnsi"/>
          <w:sz w:val="22"/>
          <w:szCs w:val="22"/>
        </w:rPr>
        <w:t>AĮ</w:t>
      </w:r>
      <w:r w:rsidRPr="00F56F28">
        <w:rPr>
          <w:rFonts w:asciiTheme="minorHAnsi" w:hAnsiTheme="minorHAnsi" w:cstheme="minorHAnsi"/>
          <w:sz w:val="22"/>
          <w:szCs w:val="22"/>
        </w:rPr>
        <w:t xml:space="preserve"> 8 straipsnio 1 daliai, kurioje nurodyta, jog individualus administracinis aktas turi būti pagrįstas objektyviais duomenimis (faktais) ir teisės aktų normomis, o taikomos poveikio priemonės (licencijos ar leidimo galiojimo panaikinimas, laikinas uždraudimas verstis tam tikra veikla ar teikti paslaugas, bauda ir kt.) turi būti motyvuotos.</w:t>
      </w:r>
    </w:p>
    <w:p w14:paraId="61C2F843" w14:textId="77777777" w:rsidR="0038321D" w:rsidRPr="00F56F28" w:rsidRDefault="0038321D" w:rsidP="0038321D">
      <w:pPr>
        <w:ind w:firstLine="567"/>
        <w:jc w:val="both"/>
        <w:rPr>
          <w:rFonts w:asciiTheme="minorHAnsi" w:hAnsiTheme="minorHAnsi" w:cstheme="minorHAnsi"/>
          <w:sz w:val="22"/>
          <w:szCs w:val="22"/>
        </w:rPr>
      </w:pPr>
      <w:r w:rsidRPr="00F56F28">
        <w:rPr>
          <w:rFonts w:asciiTheme="minorHAnsi" w:hAnsiTheme="minorHAnsi" w:cstheme="minorHAnsi"/>
          <w:sz w:val="22"/>
          <w:szCs w:val="22"/>
        </w:rPr>
        <w:t>Pareiškėjo apeliacinis skundas tenkintas, pirmosios instancijos teismo sprendimas panaikintas ir priimtas naujas sprendimas – pareiškėjo skundas tenkintas, ginčytas Sprendimas panaikintas.</w:t>
      </w:r>
    </w:p>
    <w:p w14:paraId="0FBB05C6" w14:textId="77777777" w:rsidR="0038321D" w:rsidRPr="00F56F28" w:rsidRDefault="0038321D" w:rsidP="0038321D">
      <w:pPr>
        <w:jc w:val="both"/>
        <w:rPr>
          <w:rFonts w:asciiTheme="minorHAnsi" w:hAnsiTheme="minorHAnsi" w:cstheme="minorHAnsi"/>
          <w:sz w:val="22"/>
          <w:szCs w:val="22"/>
        </w:rPr>
      </w:pPr>
    </w:p>
    <w:p w14:paraId="14D931D5" w14:textId="77777777" w:rsidR="0038321D" w:rsidRPr="00F56F28" w:rsidRDefault="0038321D" w:rsidP="0038321D">
      <w:pPr>
        <w:jc w:val="both"/>
        <w:rPr>
          <w:rFonts w:asciiTheme="minorHAnsi" w:hAnsiTheme="minorHAnsi" w:cstheme="minorHAnsi"/>
          <w:sz w:val="22"/>
          <w:szCs w:val="22"/>
        </w:rPr>
      </w:pPr>
      <w:r w:rsidRPr="00F56F28">
        <w:rPr>
          <w:rFonts w:asciiTheme="minorHAnsi" w:hAnsiTheme="minorHAnsi" w:cstheme="minorHAnsi"/>
          <w:sz w:val="22"/>
          <w:szCs w:val="22"/>
        </w:rPr>
        <w:t>2023 m. lapkričio 16 d. sprendimas administracinėje byloje Nr. A-1204-822/2023</w:t>
      </w:r>
    </w:p>
    <w:p w14:paraId="6B5974FE" w14:textId="77777777" w:rsidR="0038321D" w:rsidRPr="00F56F28" w:rsidRDefault="0038321D" w:rsidP="0038321D">
      <w:pPr>
        <w:jc w:val="both"/>
        <w:rPr>
          <w:rFonts w:asciiTheme="minorHAnsi" w:hAnsiTheme="minorHAnsi" w:cstheme="minorHAnsi"/>
          <w:sz w:val="22"/>
          <w:szCs w:val="22"/>
        </w:rPr>
      </w:pPr>
      <w:r w:rsidRPr="00F56F28">
        <w:rPr>
          <w:rFonts w:asciiTheme="minorHAnsi" w:hAnsiTheme="minorHAnsi" w:cstheme="minorHAnsi"/>
          <w:sz w:val="22"/>
          <w:szCs w:val="22"/>
        </w:rPr>
        <w:t>Teisminio proceso Nr. 3-61-3-01213-2019-2</w:t>
      </w:r>
    </w:p>
    <w:p w14:paraId="61EA3273" w14:textId="77777777" w:rsidR="0038321D" w:rsidRPr="00F56F28" w:rsidRDefault="0038321D" w:rsidP="0038321D">
      <w:pPr>
        <w:jc w:val="both"/>
        <w:rPr>
          <w:rFonts w:asciiTheme="minorHAnsi" w:hAnsiTheme="minorHAnsi" w:cstheme="minorHAnsi"/>
          <w:sz w:val="22"/>
          <w:szCs w:val="22"/>
        </w:rPr>
      </w:pPr>
      <w:r w:rsidRPr="00F56F28">
        <w:rPr>
          <w:rFonts w:asciiTheme="minorHAnsi" w:hAnsiTheme="minorHAnsi" w:cstheme="minorHAnsi"/>
          <w:sz w:val="22"/>
          <w:szCs w:val="22"/>
        </w:rPr>
        <w:t>Procesinio sprendimo kategorija 33</w:t>
      </w:r>
    </w:p>
    <w:p w14:paraId="709E617B" w14:textId="77777777" w:rsidR="0038321D" w:rsidRPr="00F56F28" w:rsidRDefault="00000000" w:rsidP="0038321D">
      <w:pPr>
        <w:jc w:val="both"/>
        <w:rPr>
          <w:rFonts w:asciiTheme="minorHAnsi" w:hAnsiTheme="minorHAnsi" w:cstheme="minorHAnsi"/>
          <w:sz w:val="22"/>
          <w:szCs w:val="22"/>
        </w:rPr>
      </w:pPr>
      <w:hyperlink r:id="rId17" w:history="1">
        <w:r w:rsidR="0038321D" w:rsidRPr="00F56F28">
          <w:rPr>
            <w:rStyle w:val="Hyperlink"/>
            <w:rFonts w:asciiTheme="minorHAnsi" w:hAnsiTheme="minorHAnsi" w:cstheme="minorHAnsi"/>
            <w:sz w:val="22"/>
            <w:szCs w:val="22"/>
          </w:rPr>
          <w:t>Prieiga internete</w:t>
        </w:r>
      </w:hyperlink>
    </w:p>
    <w:p w14:paraId="179E1D7C" w14:textId="27B0409B" w:rsidR="00B1604A" w:rsidRDefault="00B1604A" w:rsidP="00DE6602">
      <w:pPr>
        <w:ind w:firstLine="567"/>
        <w:jc w:val="both"/>
        <w:rPr>
          <w:rFonts w:asciiTheme="minorHAnsi" w:hAnsiTheme="minorHAnsi" w:cstheme="minorHAnsi"/>
          <w:sz w:val="22"/>
          <w:szCs w:val="22"/>
        </w:rPr>
      </w:pPr>
    </w:p>
    <w:p w14:paraId="20C4DE2D" w14:textId="77777777" w:rsidR="00CD68FB" w:rsidRPr="00CD68FB" w:rsidRDefault="00CD68FB" w:rsidP="00CD68FB">
      <w:pPr>
        <w:pStyle w:val="Heading1"/>
        <w:rPr>
          <w:rFonts w:asciiTheme="minorHAnsi" w:hAnsiTheme="minorHAnsi" w:cstheme="minorHAnsi"/>
        </w:rPr>
      </w:pPr>
      <w:bookmarkStart w:id="53" w:name="_Toc159340674"/>
      <w:r w:rsidRPr="00CD68FB">
        <w:rPr>
          <w:rFonts w:asciiTheme="minorHAnsi" w:hAnsiTheme="minorHAnsi" w:cstheme="minorHAnsi"/>
        </w:rPr>
        <w:t>35. Lošimų ir loterijų priežiūra bei kontrolė</w:t>
      </w:r>
      <w:bookmarkEnd w:id="53"/>
    </w:p>
    <w:p w14:paraId="3B8C31AD" w14:textId="77777777" w:rsidR="00CD68FB" w:rsidRPr="00CD68FB" w:rsidRDefault="00CD68FB" w:rsidP="00CD68FB">
      <w:pPr>
        <w:jc w:val="center"/>
        <w:rPr>
          <w:rFonts w:asciiTheme="minorHAnsi" w:hAnsiTheme="minorHAnsi" w:cstheme="minorHAnsi"/>
          <w:sz w:val="22"/>
          <w:szCs w:val="22"/>
        </w:rPr>
      </w:pPr>
    </w:p>
    <w:p w14:paraId="0C5A7EB6" w14:textId="77777777" w:rsidR="00CD68FB" w:rsidRPr="00CD68FB" w:rsidRDefault="00CD68FB" w:rsidP="00CD68FB">
      <w:pPr>
        <w:jc w:val="both"/>
        <w:outlineLvl w:val="1"/>
        <w:rPr>
          <w:rFonts w:asciiTheme="minorHAnsi" w:eastAsia="Calibri" w:hAnsiTheme="minorHAnsi" w:cstheme="minorHAnsi"/>
          <w:i/>
          <w:sz w:val="22"/>
          <w:szCs w:val="22"/>
        </w:rPr>
      </w:pPr>
      <w:bookmarkStart w:id="54" w:name="_Toc159340675"/>
      <w:r w:rsidRPr="00CD68FB">
        <w:rPr>
          <w:rFonts w:asciiTheme="minorHAnsi" w:eastAsia="Calibri" w:hAnsiTheme="minorHAnsi" w:cstheme="minorHAnsi"/>
          <w:i/>
          <w:sz w:val="22"/>
          <w:szCs w:val="22"/>
        </w:rPr>
        <w:t>Dėl lošimų bendrovės nustatyto ribojimo lošėjo maksimaliai statymų sumai</w:t>
      </w:r>
      <w:bookmarkEnd w:id="54"/>
    </w:p>
    <w:p w14:paraId="06BBBCD3" w14:textId="77777777" w:rsidR="00CD68FB" w:rsidRPr="00CD68FB" w:rsidRDefault="00CD68FB" w:rsidP="00CD68FB">
      <w:pPr>
        <w:ind w:firstLine="720"/>
        <w:jc w:val="both"/>
        <w:rPr>
          <w:rFonts w:asciiTheme="minorHAnsi" w:hAnsiTheme="minorHAnsi" w:cstheme="minorHAnsi"/>
          <w:sz w:val="22"/>
          <w:szCs w:val="22"/>
        </w:rPr>
      </w:pPr>
    </w:p>
    <w:p w14:paraId="6B47A0AC" w14:textId="0BB0B748" w:rsidR="00CD68FB" w:rsidRPr="00CD68FB" w:rsidRDefault="00CD68FB" w:rsidP="00CD68FB">
      <w:pPr>
        <w:ind w:firstLine="567"/>
        <w:jc w:val="both"/>
        <w:rPr>
          <w:rFonts w:asciiTheme="minorHAnsi" w:hAnsiTheme="minorHAnsi" w:cstheme="minorHAnsi"/>
          <w:sz w:val="22"/>
          <w:szCs w:val="22"/>
        </w:rPr>
      </w:pPr>
      <w:r w:rsidRPr="00CD68FB">
        <w:rPr>
          <w:rFonts w:asciiTheme="minorHAnsi" w:hAnsiTheme="minorHAnsi" w:cstheme="minorHAnsi"/>
          <w:sz w:val="22"/>
          <w:szCs w:val="22"/>
        </w:rPr>
        <w:t xml:space="preserve">Apžvelgiamoje byloje ginčas kilo dėl Lošimų priežiūros tarnybos (toliau – Tarnyba) direktoriaus įsakymo </w:t>
      </w:r>
      <w:r w:rsidR="001A7802">
        <w:rPr>
          <w:rFonts w:asciiTheme="minorHAnsi" w:hAnsiTheme="minorHAnsi" w:cstheme="minorHAnsi"/>
          <w:sz w:val="22"/>
          <w:szCs w:val="22"/>
        </w:rPr>
        <w:t>d</w:t>
      </w:r>
      <w:r w:rsidRPr="00CD68FB">
        <w:rPr>
          <w:rFonts w:asciiTheme="minorHAnsi" w:hAnsiTheme="minorHAnsi" w:cstheme="minorHAnsi"/>
          <w:sz w:val="22"/>
          <w:szCs w:val="22"/>
        </w:rPr>
        <w:t xml:space="preserve">ėl atlikto UAB „Olympic Casino Group Baltija“ (toliau – Bendrovė) </w:t>
      </w:r>
      <w:r w:rsidR="001A7802">
        <w:rPr>
          <w:rFonts w:asciiTheme="minorHAnsi" w:hAnsiTheme="minorHAnsi" w:cstheme="minorHAnsi"/>
          <w:sz w:val="22"/>
          <w:szCs w:val="22"/>
        </w:rPr>
        <w:t xml:space="preserve">neplaninio patikrinimo </w:t>
      </w:r>
      <w:r w:rsidRPr="00CD68FB">
        <w:rPr>
          <w:rFonts w:asciiTheme="minorHAnsi" w:hAnsiTheme="minorHAnsi" w:cstheme="minorHAnsi"/>
          <w:sz w:val="22"/>
          <w:szCs w:val="22"/>
        </w:rPr>
        <w:t>dalies teisėtumo ir pagrįstumo.</w:t>
      </w:r>
    </w:p>
    <w:p w14:paraId="35EBE544" w14:textId="77777777" w:rsidR="00CD68FB" w:rsidRPr="00CD68FB" w:rsidRDefault="00CD68FB" w:rsidP="00CD68FB">
      <w:pPr>
        <w:ind w:firstLine="567"/>
        <w:jc w:val="both"/>
        <w:rPr>
          <w:rFonts w:asciiTheme="minorHAnsi" w:hAnsiTheme="minorHAnsi" w:cstheme="minorHAnsi"/>
          <w:sz w:val="22"/>
          <w:szCs w:val="22"/>
        </w:rPr>
      </w:pPr>
      <w:r w:rsidRPr="00CD68FB">
        <w:rPr>
          <w:rFonts w:asciiTheme="minorHAnsi" w:hAnsiTheme="minorHAnsi" w:cstheme="minorHAnsi"/>
          <w:sz w:val="22"/>
          <w:szCs w:val="22"/>
        </w:rPr>
        <w:t>Pirmosios instancijos teismas pareiškėjo skundo reikalavimus panaikinti įsakymo punktus ir jų motyvus atmetė. Pareiškėjas apeliaciniame skunde su pirmosios instancijos teismo sprendimu nesutiko.</w:t>
      </w:r>
    </w:p>
    <w:p w14:paraId="35C72211" w14:textId="46E8C4E1" w:rsidR="00CD68FB" w:rsidRPr="00CD68FB" w:rsidRDefault="00CD68FB" w:rsidP="00CD68FB">
      <w:pPr>
        <w:ind w:firstLine="567"/>
        <w:jc w:val="both"/>
        <w:rPr>
          <w:rFonts w:asciiTheme="minorHAnsi" w:hAnsiTheme="minorHAnsi" w:cstheme="minorHAnsi"/>
          <w:sz w:val="22"/>
          <w:szCs w:val="22"/>
        </w:rPr>
      </w:pPr>
      <w:r w:rsidRPr="00CD68FB">
        <w:rPr>
          <w:rFonts w:asciiTheme="minorHAnsi" w:hAnsiTheme="minorHAnsi" w:cstheme="minorHAnsi"/>
          <w:sz w:val="22"/>
          <w:szCs w:val="22"/>
        </w:rPr>
        <w:t>Byloje nustatyta, kad pareiškėjas yra lošimų bendrovė, veikianti pagal Tarnybos patvirtintą Bendrovės nuotolinio lošimo organizavimo reglamentą (toliau – Reglamentas). Bendrovė 2020 m. spalio 12 d. priėmė sprendimą trečiojo suinteresuoto asmens statymams taikyti limitą. 2021 m. gegužės 20 d. Bendrovė nuotolinio lošimo sutartį su trečiuoju suinteresuotu asmeniu nutraukė, vadovaudamasi Azartinių lošimų įstatymo (toliau – Įstatymas) 20² straipsnio 3 dalimi. Trečiasis suinteresuotas asmuo su skundu kreipėsi į Tarnybą, kuri atliko tyrimą ir įsakyme pripažino, jog Bendrovė, priėmusi sprendimą nustatyti ribojimus pareiškėjo maksimaliai statymų sumai ir atsakyme į pareiškėjo pretenziją nenurodydama pareiškėjui tokio ribojimo priežasčių, pažeidė Įstatymo 18 straipsnio 1 dalį, ir skyrė Bendrovei 15</w:t>
      </w:r>
      <w:r w:rsidR="00FC037C">
        <w:rPr>
          <w:rFonts w:asciiTheme="minorHAnsi" w:hAnsiTheme="minorHAnsi" w:cstheme="minorHAnsi"/>
          <w:sz w:val="22"/>
          <w:szCs w:val="22"/>
        </w:rPr>
        <w:t> </w:t>
      </w:r>
      <w:r w:rsidRPr="00CD68FB">
        <w:rPr>
          <w:rFonts w:asciiTheme="minorHAnsi" w:hAnsiTheme="minorHAnsi" w:cstheme="minorHAnsi"/>
          <w:sz w:val="22"/>
          <w:szCs w:val="22"/>
        </w:rPr>
        <w:t>000 Eur baudą.</w:t>
      </w:r>
    </w:p>
    <w:p w14:paraId="3372C124" w14:textId="6AD5D29D" w:rsidR="00CD68FB" w:rsidRPr="00CD68FB" w:rsidRDefault="00CD68FB" w:rsidP="00CD68FB">
      <w:pPr>
        <w:ind w:firstLine="567"/>
        <w:jc w:val="both"/>
        <w:rPr>
          <w:rFonts w:asciiTheme="minorHAnsi" w:hAnsiTheme="minorHAnsi" w:cstheme="minorHAnsi"/>
          <w:sz w:val="22"/>
          <w:szCs w:val="22"/>
        </w:rPr>
      </w:pPr>
      <w:r w:rsidRPr="00CD68FB">
        <w:rPr>
          <w:rFonts w:asciiTheme="minorHAnsi" w:hAnsiTheme="minorHAnsi" w:cstheme="minorHAnsi"/>
          <w:sz w:val="22"/>
          <w:szCs w:val="22"/>
        </w:rPr>
        <w:t>Įstatymo 18 straipsnio 1 dalis nustato, kad lošimai organizuojami pagal lošimo reglamentą, kuriame turi būti nurodyti šiame straipsnyje nurodyti elementai.</w:t>
      </w:r>
      <w:bookmarkStart w:id="55" w:name="part_38f46327243f41bd97016896bc33314d"/>
      <w:bookmarkEnd w:id="55"/>
      <w:r w:rsidRPr="00CD68FB">
        <w:rPr>
          <w:rFonts w:asciiTheme="minorHAnsi" w:hAnsiTheme="minorHAnsi" w:cstheme="minorHAnsi"/>
          <w:sz w:val="22"/>
          <w:szCs w:val="22"/>
        </w:rPr>
        <w:t xml:space="preserve"> Lošimo reglamentą, jo pakeitimus ir papildymus tvirtina Tarnyba (Įstatymo 18 str. 2 d.)</w:t>
      </w:r>
      <w:bookmarkStart w:id="56" w:name="part_637374ab1a8c415caac3cb95085b6246"/>
      <w:bookmarkEnd w:id="56"/>
      <w:r w:rsidRPr="00CD68FB">
        <w:rPr>
          <w:rFonts w:asciiTheme="minorHAnsi" w:hAnsiTheme="minorHAnsi" w:cstheme="minorHAnsi"/>
          <w:sz w:val="22"/>
          <w:szCs w:val="22"/>
        </w:rPr>
        <w:t>.</w:t>
      </w:r>
    </w:p>
    <w:p w14:paraId="5468492F" w14:textId="4C13B9D9" w:rsidR="00CD68FB" w:rsidRPr="00CD68FB" w:rsidRDefault="00CD68FB" w:rsidP="00CD68FB">
      <w:pPr>
        <w:ind w:firstLine="567"/>
        <w:jc w:val="both"/>
        <w:rPr>
          <w:rFonts w:asciiTheme="minorHAnsi" w:hAnsiTheme="minorHAnsi" w:cstheme="minorHAnsi"/>
          <w:sz w:val="22"/>
          <w:szCs w:val="22"/>
        </w:rPr>
      </w:pPr>
      <w:r w:rsidRPr="00CD68FB">
        <w:rPr>
          <w:rFonts w:asciiTheme="minorHAnsi" w:hAnsiTheme="minorHAnsi" w:cstheme="minorHAnsi"/>
          <w:sz w:val="22"/>
          <w:szCs w:val="22"/>
        </w:rPr>
        <w:t xml:space="preserve">Reglamento I skyriaus </w:t>
      </w:r>
      <w:r w:rsidR="00390486">
        <w:rPr>
          <w:rFonts w:asciiTheme="minorHAnsi" w:hAnsiTheme="minorHAnsi" w:cstheme="minorHAnsi"/>
          <w:sz w:val="22"/>
          <w:szCs w:val="22"/>
        </w:rPr>
        <w:t>„</w:t>
      </w:r>
      <w:r w:rsidRPr="00CD68FB">
        <w:rPr>
          <w:rFonts w:asciiTheme="minorHAnsi" w:hAnsiTheme="minorHAnsi" w:cstheme="minorHAnsi"/>
          <w:sz w:val="22"/>
          <w:szCs w:val="22"/>
        </w:rPr>
        <w:t>Bendrosios nuostatos“ 6 punkte nustatyta, kad lošimų organizatorius savo nuožiūra turi teisę riboti dalyvavimą nuotoliniuose lošimuose asmenims, kurie, įskaitant, bet tuo neapsiribojant, kėsinasi pažeisti ir (arba) pažeidinėja Reglamento nuostatas, lošia nesąžiningai arba atlieka kitus veiksmus, nesuderinamus su lošimų organizatoriaus organizuojamų nuotolinių lošimų organizavimo tvarka. Tokiems lošėjams lošimų organizatorius vienašališkai be papildomo perspėjimo turi teisę riboti maksimalaus statymo sumą arba atsisakyti priimti atskirą statymą. Bedrovės sprendimo motyvai kildinti iš trečiojo suinteresuoto asmens elgesio vertinimo, kaip neatitinkančio Reglamento 6 punkto.</w:t>
      </w:r>
    </w:p>
    <w:p w14:paraId="3FCC7860" w14:textId="09A0A2E7" w:rsidR="00CD68FB" w:rsidRPr="00CD68FB" w:rsidRDefault="00CD68FB" w:rsidP="00CD68FB">
      <w:pPr>
        <w:ind w:firstLine="567"/>
        <w:jc w:val="both"/>
        <w:rPr>
          <w:rFonts w:asciiTheme="minorHAnsi" w:hAnsiTheme="minorHAnsi" w:cstheme="minorHAnsi"/>
          <w:sz w:val="22"/>
          <w:szCs w:val="22"/>
        </w:rPr>
      </w:pPr>
      <w:r w:rsidRPr="00CD68FB">
        <w:rPr>
          <w:rFonts w:asciiTheme="minorHAnsi" w:hAnsiTheme="minorHAnsi" w:cstheme="minorHAnsi"/>
          <w:sz w:val="22"/>
          <w:szCs w:val="22"/>
        </w:rPr>
        <w:t xml:space="preserve">Teisėjų kolegija sprendė, kad pareiškėjas neįrodė, jog trečiasis suinteresuotas asmuo 2020 m. spalio 12 d. sprendimo priėmimo metu elgėsi nesąžiningai ar kėsinosi pažeisti įstatymus. Pareiškėjo nurodytos trečiojo suinteresuoto asmens elgesio charakteristikos (atlieka statymus tik dėl tų sporto įvykių, kurie galimai yra iš anksto sutarti, niekada neatlieka statymų aukštesnės lygos varžybose, stato sumomis, kurios yra 20–30 kartų didesnės nei įprasta tokiose varžybose, statymus atlieka už tuos įvykius, kuriuose koeficientai keičiasi drastiškai), vertinant jas atsižvelgiant į šios bylos įrodymų visumą, neįrodė, kad trečiasis suinteresuotas asmuo elgėsi nesąžiningai ar kėsinosi pažeisti įstatymus. Taip pat nesutapo pareiškėjo įtarta trečiojo suinteresuoto asmens elgesio priežastis (statymai dėl tų sporto įvykių, kurie galimai yra iš anksto sutarti) ir vėliau trečiojo suinteresuoto asmens atliktas pažeidimas (dalyvavimas nuotoliniuose lošimuose prisijungus ne prie savo vardu sukurtos paskyros) bei tai, kad pareiškėjas, įtaręs trečiojo suinteresuoto asmens nesąžiningą elgesį, nesikreipė į kompetentingas institucijas dėl tyrimų jo atžvilgiu. Teikdamas paaiškinimus Tarnybai, pareiškėjas pripažino, kad </w:t>
      </w:r>
      <w:r w:rsidRPr="00CD68FB">
        <w:rPr>
          <w:rFonts w:asciiTheme="minorHAnsi" w:hAnsiTheme="minorHAnsi" w:cstheme="minorHAnsi"/>
          <w:sz w:val="22"/>
          <w:szCs w:val="22"/>
        </w:rPr>
        <w:lastRenderedPageBreak/>
        <w:t xml:space="preserve">nors Bendrovei ir buvo kilusios abejonės, </w:t>
      </w:r>
      <w:r w:rsidR="00206447">
        <w:rPr>
          <w:rFonts w:asciiTheme="minorHAnsi" w:hAnsiTheme="minorHAnsi" w:cstheme="minorHAnsi"/>
          <w:sz w:val="22"/>
          <w:szCs w:val="22"/>
        </w:rPr>
        <w:t>jog</w:t>
      </w:r>
      <w:r w:rsidRPr="00CD68FB">
        <w:rPr>
          <w:rFonts w:asciiTheme="minorHAnsi" w:hAnsiTheme="minorHAnsi" w:cstheme="minorHAnsi"/>
          <w:sz w:val="22"/>
          <w:szCs w:val="22"/>
        </w:rPr>
        <w:t xml:space="preserve"> konkrečios sporto varžybos gali būti sutartos, nebuvo gauta pakankamai informacijos, sudarančios pagrindą stabdyti laimėjimų išmokėjimus visiems lažybose dalyvavusiems ir laimėjusiems lošėjams.</w:t>
      </w:r>
    </w:p>
    <w:p w14:paraId="2232CEB9" w14:textId="729634E8" w:rsidR="00CD68FB" w:rsidRPr="00CD68FB" w:rsidRDefault="00CD68FB" w:rsidP="00CD68FB">
      <w:pPr>
        <w:ind w:firstLine="567"/>
        <w:jc w:val="both"/>
        <w:rPr>
          <w:rFonts w:asciiTheme="minorHAnsi" w:hAnsiTheme="minorHAnsi" w:cstheme="minorHAnsi"/>
          <w:sz w:val="22"/>
          <w:szCs w:val="22"/>
        </w:rPr>
      </w:pPr>
      <w:r w:rsidRPr="00CD68FB">
        <w:rPr>
          <w:rFonts w:asciiTheme="minorHAnsi" w:hAnsiTheme="minorHAnsi" w:cstheme="minorHAnsi"/>
          <w:sz w:val="22"/>
          <w:szCs w:val="22"/>
        </w:rPr>
        <w:t>Teisėjų kolegijos vertinimu, pareiškėjas neįrodė, kad 2020 m. spalio 12 d. sprendimo priėmimo metu trečiojo suinteresuoto asmens elgesys sudarė pagrindą taikyti Reglamento 6 punkto nuostatas. Todėl Tarnyba pagrįstai konstatavo, kad pareiškėjas 2020 m. spalio 12 d. priėmęs sprendimą nustatyti ribojimus trečiojo suinteresuoto asmens maksimaliai statymų sumai pažeidė Įstatymo 18 straipsnio 1 dalį (lošimai organizuojami pagal lošimo reglamentą).</w:t>
      </w:r>
    </w:p>
    <w:p w14:paraId="12314C80" w14:textId="05B58720" w:rsidR="00CD68FB" w:rsidRPr="00CD68FB" w:rsidRDefault="00CD68FB" w:rsidP="00CD68FB">
      <w:pPr>
        <w:ind w:firstLine="567"/>
        <w:jc w:val="both"/>
        <w:rPr>
          <w:rFonts w:asciiTheme="minorHAnsi" w:hAnsiTheme="minorHAnsi" w:cstheme="minorHAnsi"/>
          <w:sz w:val="22"/>
          <w:szCs w:val="22"/>
        </w:rPr>
      </w:pPr>
      <w:r w:rsidRPr="00CD68FB">
        <w:rPr>
          <w:rFonts w:asciiTheme="minorHAnsi" w:hAnsiTheme="minorHAnsi" w:cstheme="minorHAnsi"/>
          <w:sz w:val="22"/>
          <w:szCs w:val="22"/>
        </w:rPr>
        <w:t>Teisėjų kolegija pritarė Tarnybos išvadai, kad nors Bendrovės atsakyme į trečiojo suinteresuoto asmens laišką buvo nurodyta Reglamento nuostata, tačiau konkrečiai šiam asmeniui taikytų ribojimų priežastis nebuvo nurodyta. Todėl Tarnyba pagrįstai konstatavo Įstatymo 18 straipsnio 1 dal</w:t>
      </w:r>
      <w:r w:rsidR="0010256B">
        <w:rPr>
          <w:rFonts w:asciiTheme="minorHAnsi" w:hAnsiTheme="minorHAnsi" w:cstheme="minorHAnsi"/>
          <w:sz w:val="22"/>
          <w:szCs w:val="22"/>
        </w:rPr>
        <w:t>ies</w:t>
      </w:r>
      <w:r w:rsidRPr="00CD68FB">
        <w:rPr>
          <w:rFonts w:asciiTheme="minorHAnsi" w:hAnsiTheme="minorHAnsi" w:cstheme="minorHAnsi"/>
          <w:sz w:val="22"/>
          <w:szCs w:val="22"/>
        </w:rPr>
        <w:t xml:space="preserve"> pažeidimą.</w:t>
      </w:r>
    </w:p>
    <w:p w14:paraId="0850944F" w14:textId="77777777" w:rsidR="00CD68FB" w:rsidRPr="00CD68FB" w:rsidRDefault="00CD68FB" w:rsidP="00CD68FB">
      <w:pPr>
        <w:ind w:firstLine="567"/>
        <w:jc w:val="both"/>
        <w:rPr>
          <w:rFonts w:asciiTheme="minorHAnsi" w:hAnsiTheme="minorHAnsi" w:cstheme="minorHAnsi"/>
          <w:bCs/>
          <w:sz w:val="22"/>
          <w:szCs w:val="22"/>
        </w:rPr>
      </w:pPr>
      <w:r w:rsidRPr="00CD68FB">
        <w:rPr>
          <w:rFonts w:asciiTheme="minorHAnsi" w:hAnsiTheme="minorHAnsi" w:cstheme="minorHAnsi"/>
          <w:sz w:val="22"/>
          <w:szCs w:val="22"/>
        </w:rPr>
        <w:t>Apeliacinis skundas atmestas, o pirmosios instancijos teismo sprendimas paliktas nepakeistas.</w:t>
      </w:r>
    </w:p>
    <w:p w14:paraId="16564AF5" w14:textId="77777777" w:rsidR="00CD68FB" w:rsidRPr="00CD68FB" w:rsidRDefault="00CD68FB" w:rsidP="00CD68FB">
      <w:pPr>
        <w:ind w:firstLine="567"/>
        <w:jc w:val="both"/>
        <w:rPr>
          <w:rFonts w:asciiTheme="minorHAnsi" w:hAnsiTheme="minorHAnsi" w:cstheme="minorHAnsi"/>
          <w:bCs/>
          <w:sz w:val="22"/>
          <w:szCs w:val="22"/>
        </w:rPr>
      </w:pPr>
    </w:p>
    <w:p w14:paraId="07864B96" w14:textId="77777777" w:rsidR="00CD68FB" w:rsidRPr="00CD68FB" w:rsidRDefault="00CD68FB" w:rsidP="00CD68FB">
      <w:pPr>
        <w:jc w:val="both"/>
        <w:rPr>
          <w:rFonts w:asciiTheme="minorHAnsi" w:hAnsiTheme="minorHAnsi" w:cstheme="minorHAnsi"/>
          <w:bCs/>
          <w:sz w:val="22"/>
          <w:szCs w:val="22"/>
        </w:rPr>
      </w:pPr>
      <w:r w:rsidRPr="00CD68FB">
        <w:rPr>
          <w:rFonts w:asciiTheme="minorHAnsi" w:hAnsiTheme="minorHAnsi" w:cstheme="minorHAnsi"/>
          <w:sz w:val="22"/>
          <w:szCs w:val="22"/>
        </w:rPr>
        <w:t xml:space="preserve">2023 m. lapkričio 14 d. nutartis administracinėje byloje </w:t>
      </w:r>
      <w:r w:rsidRPr="00CD68FB">
        <w:rPr>
          <w:rFonts w:asciiTheme="minorHAnsi" w:hAnsiTheme="minorHAnsi" w:cstheme="minorHAnsi"/>
          <w:bCs/>
          <w:sz w:val="22"/>
          <w:szCs w:val="22"/>
        </w:rPr>
        <w:t>Nr. eA-1577-1047/2023</w:t>
      </w:r>
    </w:p>
    <w:p w14:paraId="460E5DE8" w14:textId="77777777" w:rsidR="00CD68FB" w:rsidRPr="00CD68FB" w:rsidRDefault="00CD68FB" w:rsidP="00CD68FB">
      <w:pPr>
        <w:jc w:val="both"/>
        <w:rPr>
          <w:rFonts w:asciiTheme="minorHAnsi" w:hAnsiTheme="minorHAnsi" w:cstheme="minorHAnsi"/>
          <w:bCs/>
          <w:sz w:val="22"/>
          <w:szCs w:val="22"/>
        </w:rPr>
      </w:pPr>
      <w:r w:rsidRPr="00CD68FB">
        <w:rPr>
          <w:rFonts w:asciiTheme="minorHAnsi" w:hAnsiTheme="minorHAnsi" w:cstheme="minorHAnsi"/>
          <w:bCs/>
          <w:sz w:val="22"/>
          <w:szCs w:val="22"/>
        </w:rPr>
        <w:t>Teisminio proceso Nr. 3-61-3-00265-2022-2</w:t>
      </w:r>
    </w:p>
    <w:p w14:paraId="303571C3" w14:textId="3DFE0517" w:rsidR="00CD68FB" w:rsidRPr="00CD68FB" w:rsidRDefault="00CD68FB" w:rsidP="00CD68FB">
      <w:pPr>
        <w:jc w:val="both"/>
        <w:rPr>
          <w:rFonts w:asciiTheme="minorHAnsi" w:hAnsiTheme="minorHAnsi" w:cstheme="minorHAnsi"/>
          <w:bCs/>
          <w:sz w:val="22"/>
          <w:szCs w:val="22"/>
        </w:rPr>
      </w:pPr>
      <w:r w:rsidRPr="00CD68FB">
        <w:rPr>
          <w:rFonts w:asciiTheme="minorHAnsi" w:hAnsiTheme="minorHAnsi" w:cstheme="minorHAnsi"/>
          <w:bCs/>
          <w:sz w:val="22"/>
          <w:szCs w:val="22"/>
        </w:rPr>
        <w:t>Procesinio sprendimo kategorija 35</w:t>
      </w:r>
    </w:p>
    <w:p w14:paraId="0D5A0F93" w14:textId="77777777" w:rsidR="00CD68FB" w:rsidRPr="00CD68FB" w:rsidRDefault="00000000" w:rsidP="00CD68FB">
      <w:pPr>
        <w:jc w:val="both"/>
        <w:rPr>
          <w:rFonts w:asciiTheme="minorHAnsi" w:hAnsiTheme="minorHAnsi" w:cstheme="minorHAnsi"/>
          <w:sz w:val="22"/>
          <w:szCs w:val="22"/>
          <w:u w:val="single"/>
        </w:rPr>
      </w:pPr>
      <w:hyperlink r:id="rId18" w:history="1">
        <w:r w:rsidR="00CD68FB" w:rsidRPr="00CD68FB">
          <w:rPr>
            <w:rStyle w:val="Hyperlink"/>
            <w:rFonts w:asciiTheme="minorHAnsi" w:hAnsiTheme="minorHAnsi" w:cstheme="minorHAnsi"/>
            <w:sz w:val="22"/>
            <w:szCs w:val="22"/>
          </w:rPr>
          <w:t>Prieiga internete</w:t>
        </w:r>
      </w:hyperlink>
    </w:p>
    <w:p w14:paraId="788FFE3A" w14:textId="77777777" w:rsidR="00CD68FB" w:rsidRPr="00F56F28" w:rsidRDefault="00CD68FB" w:rsidP="00DE6602">
      <w:pPr>
        <w:ind w:firstLine="567"/>
        <w:jc w:val="both"/>
        <w:rPr>
          <w:rFonts w:asciiTheme="minorHAnsi" w:hAnsiTheme="minorHAnsi" w:cstheme="minorHAnsi"/>
          <w:sz w:val="22"/>
          <w:szCs w:val="22"/>
        </w:rPr>
      </w:pPr>
    </w:p>
    <w:p w14:paraId="7042DABF" w14:textId="77777777" w:rsidR="00890327" w:rsidRDefault="00890327" w:rsidP="00890327">
      <w:pPr>
        <w:pStyle w:val="Apzvalgai1"/>
        <w:rPr>
          <w:rFonts w:asciiTheme="minorHAnsi" w:hAnsiTheme="minorHAnsi" w:cstheme="minorHAnsi"/>
        </w:rPr>
      </w:pPr>
      <w:bookmarkStart w:id="57" w:name="_Toc774949"/>
      <w:bookmarkStart w:id="58" w:name="_Toc159340676"/>
      <w:r w:rsidRPr="00F56F28">
        <w:rPr>
          <w:rFonts w:asciiTheme="minorHAnsi" w:hAnsiTheme="minorHAnsi" w:cstheme="minorHAnsi"/>
        </w:rPr>
        <w:t>41. Kiti ginčai viešojo administravimo srityje</w:t>
      </w:r>
      <w:bookmarkEnd w:id="57"/>
      <w:bookmarkEnd w:id="58"/>
    </w:p>
    <w:p w14:paraId="5F1403BE" w14:textId="77777777" w:rsidR="00905337" w:rsidRPr="00905337" w:rsidRDefault="00905337" w:rsidP="00905337"/>
    <w:p w14:paraId="4D8A2559" w14:textId="77777777" w:rsidR="00905337" w:rsidRPr="00F56F28" w:rsidRDefault="00905337" w:rsidP="00905337">
      <w:pPr>
        <w:jc w:val="both"/>
        <w:outlineLvl w:val="1"/>
        <w:rPr>
          <w:rFonts w:asciiTheme="minorHAnsi" w:eastAsia="Calibri" w:hAnsiTheme="minorHAnsi" w:cstheme="minorHAnsi"/>
          <w:i/>
          <w:sz w:val="22"/>
          <w:szCs w:val="22"/>
        </w:rPr>
      </w:pPr>
      <w:bookmarkStart w:id="59" w:name="_Toc159340677"/>
      <w:r w:rsidRPr="00F56F28">
        <w:rPr>
          <w:rFonts w:asciiTheme="minorHAnsi" w:eastAsia="Calibri" w:hAnsiTheme="minorHAnsi" w:cstheme="minorHAnsi"/>
          <w:i/>
          <w:sz w:val="22"/>
          <w:szCs w:val="22"/>
        </w:rPr>
        <w:t>Dėl nacionaliniam saugumui grėsmę keliančių investuotojo ryšių vertinimo ir įslaptintos informacijos naudojimo byloje sprendžiant dėl investuotojo atitikties nacionalinio saugumo interesams</w:t>
      </w:r>
      <w:bookmarkEnd w:id="59"/>
    </w:p>
    <w:p w14:paraId="47C7A24B" w14:textId="77777777" w:rsidR="00905337" w:rsidRPr="00F56F28" w:rsidRDefault="00905337" w:rsidP="00905337">
      <w:pPr>
        <w:jc w:val="both"/>
        <w:rPr>
          <w:rFonts w:asciiTheme="minorHAnsi" w:hAnsiTheme="minorHAnsi" w:cstheme="minorHAnsi"/>
          <w:b/>
          <w:bCs/>
          <w:i/>
          <w:iCs/>
          <w:sz w:val="22"/>
          <w:szCs w:val="22"/>
          <w:highlight w:val="yellow"/>
        </w:rPr>
      </w:pPr>
    </w:p>
    <w:p w14:paraId="50AA04B7" w14:textId="77777777" w:rsidR="00905337" w:rsidRPr="00F56F28" w:rsidRDefault="00905337" w:rsidP="00905337">
      <w:pPr>
        <w:ind w:firstLine="567"/>
        <w:jc w:val="both"/>
        <w:rPr>
          <w:rFonts w:asciiTheme="minorHAnsi" w:hAnsiTheme="minorHAnsi" w:cstheme="minorHAnsi"/>
          <w:sz w:val="22"/>
          <w:szCs w:val="22"/>
        </w:rPr>
      </w:pPr>
      <w:r w:rsidRPr="00F56F28">
        <w:rPr>
          <w:rFonts w:asciiTheme="minorHAnsi" w:hAnsiTheme="minorHAnsi" w:cstheme="minorHAnsi"/>
          <w:sz w:val="22"/>
          <w:szCs w:val="22"/>
        </w:rPr>
        <w:t>Apžvelgiamoje byloje nagrinėtas ginčas kilo dėl Vyriausybės nutarimo „Dėl investuotojo pripažinimo neatitinkančiu nacionalinio saugumo interesų“ (toliau – Nutarimas) ir Nacionaliniam saugumui užtikrinti svarbių objektų apsaugos koordinavimo komisijos sprendimo (toliau – Sprendimas) pagrįstumo ir teisėtumo. Komisija sprendime, vadovaudamasi Nacionaliniam saugumui užtikrinti svarbių objektų apsaugos įstatymu (toliau – Įstatymas), konstatavo, jog pareiškėjas (UAB) neatitinka nacionalinio saugumo interesų, todėl negali vykdyti (plėsti) veiklos ginčo apsaugos zonos (toliau – Apsaugos zona) teritorijoje pagal ketinamą pasirašyti susitarimą. Komisijos išvada grįsta nustatytais pareiškėjo turimais ar praeityje turėtais grėsmę nacionaliniam saugumui turinčiais ryšiais su užsienio valstybių institucijomis ar tų valstybių fiziniais arba juridiniais asmenimis ir turimų ar praeityje turėtų grėsmę nacionaliniam saugumui turinčių sąsajų su užsienio valstybių specialiosiomis tarnybomis, taip pat tuo, jog pareiškėjas plėstų savo veiklą Apsaugos zonos teritorijoje, t. y. statytų infrastruktūrą, leidžiančią didinti savo veiklos apimtį, o (</w:t>
      </w:r>
      <w:r w:rsidRPr="00F56F28">
        <w:rPr>
          <w:rFonts w:asciiTheme="minorHAnsi" w:hAnsiTheme="minorHAnsi" w:cstheme="minorHAnsi"/>
          <w:i/>
          <w:iCs/>
          <w:sz w:val="22"/>
          <w:szCs w:val="22"/>
        </w:rPr>
        <w:t>duomenys neskelbtini</w:t>
      </w:r>
      <w:r w:rsidRPr="00F56F28">
        <w:rPr>
          <w:rFonts w:asciiTheme="minorHAnsi" w:hAnsiTheme="minorHAnsi" w:cstheme="minorHAnsi"/>
          <w:sz w:val="22"/>
          <w:szCs w:val="22"/>
        </w:rPr>
        <w:t>) yra nacionaliniam saugumui užtikrinti svarbios infrastruktūros objektas, svarbus ne tik susisiekimui, prekybai, komerciniams santykiams su kitomis šalimis plėtoti, bet ir krašto gynybai karinės agresijos ir kitais atvejais. Veiklą gali vykdyti tik patikimi, su Lietuvai priešiškomis šalimis riziką ar grėsmę keliančių ryšių neturintys asmenys. Sprendžiant klausimą dėl mažiau ribojančių priemonių, nustatytų Įstatyme, pritaikymo, aktualus yra ir turimų ryšių turinys, ryšius palaikančių asmenų sąsajos su valstybinėmis bendrovėmis, jų einamos vadovaujamos pareigos bei ryšiai su saugumo ir žvalgybos tarnybomis bei karinės pramonės subjektais, todėl nebuvo galimybės mažiau ribojančiomis priemonėmis suvaldyti tokio turinio ryšius, kad jie nekeltų grėsmės nacionalinio saugumo interesams.</w:t>
      </w:r>
    </w:p>
    <w:p w14:paraId="2583C8C8" w14:textId="77777777" w:rsidR="00905337" w:rsidRPr="00F56F28" w:rsidRDefault="00905337" w:rsidP="00905337">
      <w:pPr>
        <w:ind w:firstLine="567"/>
        <w:jc w:val="both"/>
        <w:rPr>
          <w:rFonts w:asciiTheme="minorHAnsi" w:hAnsiTheme="minorHAnsi" w:cstheme="minorHAnsi"/>
          <w:sz w:val="22"/>
          <w:szCs w:val="22"/>
        </w:rPr>
      </w:pPr>
      <w:r w:rsidRPr="00F56F28">
        <w:rPr>
          <w:rFonts w:asciiTheme="minorHAnsi" w:hAnsiTheme="minorHAnsi" w:cstheme="minorHAnsi"/>
          <w:sz w:val="22"/>
          <w:szCs w:val="22"/>
        </w:rPr>
        <w:t>Nutarimu, atsižvelgiant į Komisijos Sprendime nurodytas pareiškėjo neatitikties nacionalinio saugumo interesams faktines aplinkybes, pareiškėjas (investuotojas) pripažintas neatitinkančiu nacionalinio saugumo interesų; nustatyta, kad dėl grėsmės nacionalinio saugumo interesams negalimas pareiškėjo ketinimas plėsti veiklą Apsaugos zonos teritorijoje pagal susitarimą, kuriuo būtų papildoma ir patikslinama žemės nuomos sutartis. Pirmosios instancijos teismas pareiškėjo skundą atmetė.</w:t>
      </w:r>
    </w:p>
    <w:p w14:paraId="4BBA7480" w14:textId="77777777" w:rsidR="00905337" w:rsidRPr="00F56F28" w:rsidRDefault="00905337" w:rsidP="00905337">
      <w:pPr>
        <w:ind w:firstLine="567"/>
        <w:jc w:val="both"/>
        <w:rPr>
          <w:rFonts w:asciiTheme="minorHAnsi" w:hAnsiTheme="minorHAnsi" w:cstheme="minorHAnsi"/>
          <w:sz w:val="22"/>
          <w:szCs w:val="22"/>
        </w:rPr>
      </w:pPr>
      <w:r w:rsidRPr="00F56F28">
        <w:rPr>
          <w:rFonts w:asciiTheme="minorHAnsi" w:hAnsiTheme="minorHAnsi" w:cstheme="minorHAnsi"/>
          <w:sz w:val="22"/>
          <w:szCs w:val="22"/>
        </w:rPr>
        <w:t xml:space="preserve">LVAT nutartyje pažymėta, kad Sprendimu ir Nutarimu pareiškėjui (investuotojui) buvo užkirstas kelias plėsti ūkinę veiklą dėl jo turimų ar praeityje turėtų riziką ar grėsmę nacionalinio saugumo interesams keliančių ryšių, todėl teisiškai svarbūs Konstitucinio Teismo išaiškinimai, kad atsižvelgiant į Įstatymo paskirtį apsaugoti nacionalinio saugumo, </w:t>
      </w:r>
      <w:r w:rsidRPr="00F56F28">
        <w:rPr>
          <w:rFonts w:asciiTheme="minorHAnsi" w:hAnsiTheme="minorHAnsi" w:cstheme="minorHAnsi"/>
          <w:i/>
          <w:iCs/>
          <w:sz w:val="22"/>
          <w:szCs w:val="22"/>
        </w:rPr>
        <w:t>inter alia</w:t>
      </w:r>
      <w:r w:rsidRPr="00F56F28">
        <w:rPr>
          <w:rFonts w:asciiTheme="minorHAnsi" w:hAnsiTheme="minorHAnsi" w:cstheme="minorHAnsi"/>
          <w:sz w:val="22"/>
          <w:szCs w:val="22"/>
        </w:rPr>
        <w:t xml:space="preserve"> (be kita ko) valstybės ir visuomenės saugumo, interesus, užtikrinant nacionaliniam saugumui svarbių objektų, </w:t>
      </w:r>
      <w:r w:rsidRPr="00F56F28">
        <w:rPr>
          <w:rFonts w:asciiTheme="minorHAnsi" w:hAnsiTheme="minorHAnsi" w:cstheme="minorHAnsi"/>
          <w:i/>
          <w:iCs/>
          <w:sz w:val="22"/>
          <w:szCs w:val="22"/>
        </w:rPr>
        <w:t>inter alia</w:t>
      </w:r>
      <w:r w:rsidRPr="00F56F28">
        <w:rPr>
          <w:rFonts w:asciiTheme="minorHAnsi" w:hAnsiTheme="minorHAnsi" w:cstheme="minorHAnsi"/>
          <w:sz w:val="22"/>
          <w:szCs w:val="22"/>
        </w:rPr>
        <w:t xml:space="preserve"> ūkio sektorių ir įmonių, apsaugą nuo visų rizikos veiksnių, galinčių kelti grėsmę valstybės gyvybiniams ir pirmaeiliams nacionalinio saugumo interesams, transeuropinės infrastruktūros plėtrai bei Lietuvos Respublikos įstatymuose įtvirtintiems esminiams visuomenės interesams, įskaitant svarbiausių bendrus interesus atitinkančių paslaugų teikimą, Įstatymo 11 straipsnio (2018 m. sausio </w:t>
      </w:r>
      <w:r w:rsidRPr="00F56F28">
        <w:rPr>
          <w:rFonts w:asciiTheme="minorHAnsi" w:hAnsiTheme="minorHAnsi" w:cstheme="minorHAnsi"/>
          <w:sz w:val="22"/>
          <w:szCs w:val="22"/>
        </w:rPr>
        <w:lastRenderedPageBreak/>
        <w:t xml:space="preserve">12 d. redakcija) 2 punkte yra nustatytas kriterijus (nurodyta grėsmę nacionalinio saugumo interesams kelianti priežastis), pagal kurį vertinama investuotojo atitiktis nacionalinio saugumo interesams, t. y. vertinama, ar investuotojas kreipimosi į Komisiją metu turi ar praeityje turėjo didinančių riziką ar keliančių grėsmę nacionaliniam saugumui ryšių su užsienio valstybių institucijomis ar tų valstybių fiziniais arba juridiniais asmenimis. Nors grėsmės nacionaliniam saugumui visada bus laikomos išliekančiomis, jeigu, pagal Įstatymo 11 straipsnio 2 punktą, asmuo turi ar praeityje turėjo riziką ar grėsmę nacionalinio saugumo interesams keliančių ryšių, ginčijamoje nuostatoje įtvirtintas teisinis </w:t>
      </w:r>
      <w:r w:rsidRPr="00F56F28">
        <w:rPr>
          <w:rFonts w:asciiTheme="minorHAnsi" w:hAnsiTheme="minorHAnsi" w:cstheme="minorHAnsi"/>
          <w:sz w:val="22"/>
          <w:szCs w:val="22"/>
          <w:u w:val="single"/>
        </w:rPr>
        <w:t>reguliavimas, sistemiškai aiškinamas su kitomis šio Įstatymo nuostatomis (</w:t>
      </w:r>
      <w:r w:rsidRPr="00F56F28">
        <w:rPr>
          <w:rFonts w:asciiTheme="minorHAnsi" w:hAnsiTheme="minorHAnsi" w:cstheme="minorHAnsi"/>
          <w:i/>
          <w:iCs/>
          <w:sz w:val="22"/>
          <w:szCs w:val="22"/>
          <w:u w:val="single"/>
        </w:rPr>
        <w:t>inter alia</w:t>
      </w:r>
      <w:r w:rsidRPr="00F56F28">
        <w:rPr>
          <w:rFonts w:asciiTheme="minorHAnsi" w:hAnsiTheme="minorHAnsi" w:cstheme="minorHAnsi"/>
          <w:sz w:val="22"/>
          <w:szCs w:val="22"/>
          <w:u w:val="single"/>
        </w:rPr>
        <w:t xml:space="preserve"> Įstatymo 12 str. 12 d.), nepaneigia galimybės įvertinti individualią kiekvieno investuotojo situaciją ir, atsižvelgiant į visas svarbias aplinkybes, konkrečiu atveju atitinkamai individualizuoti jam taikytinas ribojančias jo teises priemones, </w:t>
      </w:r>
      <w:r w:rsidRPr="00F56F28">
        <w:rPr>
          <w:rFonts w:asciiTheme="minorHAnsi" w:hAnsiTheme="minorHAnsi" w:cstheme="minorHAnsi"/>
          <w:i/>
          <w:iCs/>
          <w:sz w:val="22"/>
          <w:szCs w:val="22"/>
          <w:u w:val="single"/>
        </w:rPr>
        <w:t>inter alia</w:t>
      </w:r>
      <w:r w:rsidRPr="00F56F28">
        <w:rPr>
          <w:rFonts w:asciiTheme="minorHAnsi" w:hAnsiTheme="minorHAnsi" w:cstheme="minorHAnsi"/>
          <w:sz w:val="22"/>
          <w:szCs w:val="22"/>
          <w:u w:val="single"/>
        </w:rPr>
        <w:t>, įvertinus investuotojo turimų ar praeityje turėtų ryšių su užsienio valstybių institucijomis ar tų valstybių fiziniais arba juridiniais asmenimis pobūdį ir galimą įtaką nacionalinio saugumo interesams konkrečios planuojamos investicijos kontekste, pateikti rekomendacijas dėl nustatytinų privalomų reikalavimų ar sąlygų, kurių laikantis investicija (jos dalis) galėtų būti vykdoma ir nekeltų grėsmės nacionalinio saugumo interesams. Taigi ir tokiam investuotojui gali būti leidžiama investuoti, valdant minėtas rizikas ir įvertinus grėsmes konkrečiu atveju. Asmens, siekiančio vykdyti ūkinę veiklą valstybės ir visuomenės saugumui svarbiame ūkio sektoriuje, ryšiai su užsienio valstybių institucijomis, tų valstybių fiziniais arba juridiniais asmenimis, keliantys grėsmę nacionaliniam saugumui, gali būti laikomi aplinkybe, suponuojančia tokio asmens pažeidžiamumą, taigi kartu galinčia kelti grėsmę valstybės ar visuomenės saugumo interesams tam tikrame ūkio sektoriuje</w:t>
      </w:r>
      <w:r w:rsidRPr="00F56F28">
        <w:rPr>
          <w:rFonts w:asciiTheme="minorHAnsi" w:hAnsiTheme="minorHAnsi" w:cstheme="minorHAnsi"/>
          <w:sz w:val="22"/>
          <w:szCs w:val="22"/>
        </w:rPr>
        <w:t>.</w:t>
      </w:r>
    </w:p>
    <w:p w14:paraId="4B143627" w14:textId="77777777" w:rsidR="00905337" w:rsidRPr="00F56F28" w:rsidRDefault="00905337" w:rsidP="00905337">
      <w:pPr>
        <w:ind w:firstLine="567"/>
        <w:jc w:val="both"/>
        <w:rPr>
          <w:rFonts w:asciiTheme="minorHAnsi" w:hAnsiTheme="minorHAnsi" w:cstheme="minorHAnsi"/>
          <w:sz w:val="22"/>
          <w:szCs w:val="22"/>
        </w:rPr>
      </w:pPr>
      <w:r w:rsidRPr="00F56F28">
        <w:rPr>
          <w:rFonts w:asciiTheme="minorHAnsi" w:hAnsiTheme="minorHAnsi" w:cstheme="minorHAnsi"/>
          <w:sz w:val="22"/>
          <w:szCs w:val="22"/>
        </w:rPr>
        <w:t xml:space="preserve">LVAT teisėjų kolegija, atsižvelgusi į Įstatymo nuostatas ir įvertinusi tai, kad pareiškėjas veiklos plėtimą planavo Apsaugos zonoje, kuri pagal ūkinių veiklos sričių, kurios laikomos nacionaliniam saugumui užtikrinti strategiškai svarbių ūkio sektorių dalimi, priskiriama prie veiklos, kuri laikoma nacionaliniam saugumui užtikrinti strategiškai svarbaus transporto sektoriaus dalimi, konstatavo, kad </w:t>
      </w:r>
      <w:r w:rsidRPr="00F56F28">
        <w:rPr>
          <w:rFonts w:asciiTheme="minorHAnsi" w:hAnsiTheme="minorHAnsi" w:cstheme="minorHAnsi"/>
          <w:sz w:val="22"/>
          <w:szCs w:val="22"/>
          <w:u w:val="single"/>
        </w:rPr>
        <w:t>pagrįstai ir teisėtai priimant Sprendimą ir Nutarimą buvo vertinami pareiškėjo (investuotojo) ryšiai, o ne rekonstrukcijos projektiniai sprendimai, nebuvo vertinama, ar pareiškėjo veiklos plėtimas kelia grėsmę nacionaliniam saugumui, nes investuotojo veiklos pobūdis ar apimtis šiuo atveju nėra reikšmingi atliekant jo patikrą Įstatymo 11 straipsnio 1 dalies kriterijams. (</w:t>
      </w:r>
      <w:r w:rsidRPr="00F56F28">
        <w:rPr>
          <w:rFonts w:asciiTheme="minorHAnsi" w:hAnsiTheme="minorHAnsi" w:cstheme="minorHAnsi"/>
          <w:i/>
          <w:iCs/>
          <w:sz w:val="22"/>
          <w:szCs w:val="22"/>
          <w:u w:val="single"/>
        </w:rPr>
        <w:t>duomenys neskelbtini</w:t>
      </w:r>
      <w:r w:rsidRPr="00F56F28">
        <w:rPr>
          <w:rFonts w:asciiTheme="minorHAnsi" w:hAnsiTheme="minorHAnsi" w:cstheme="minorHAnsi"/>
          <w:sz w:val="22"/>
          <w:szCs w:val="22"/>
          <w:u w:val="single"/>
        </w:rPr>
        <w:t>) yra nacionaliniam saugumui užtikrinti svarbios infrastruktūros objektas ir yra svarbus ne tik susisiekimui, bet ir krašto gynybai karinės agresijos ir kitais atvejais</w:t>
      </w:r>
      <w:r w:rsidRPr="00F56F28">
        <w:rPr>
          <w:rFonts w:asciiTheme="minorHAnsi" w:hAnsiTheme="minorHAnsi" w:cstheme="minorHAnsi"/>
          <w:sz w:val="22"/>
          <w:szCs w:val="22"/>
        </w:rPr>
        <w:t>.</w:t>
      </w:r>
    </w:p>
    <w:p w14:paraId="616E6655" w14:textId="77777777" w:rsidR="00905337" w:rsidRPr="00F56F28" w:rsidRDefault="00905337" w:rsidP="00905337">
      <w:pPr>
        <w:ind w:firstLine="567"/>
        <w:jc w:val="both"/>
        <w:rPr>
          <w:rFonts w:asciiTheme="minorHAnsi" w:hAnsiTheme="minorHAnsi" w:cstheme="minorHAnsi"/>
          <w:sz w:val="22"/>
          <w:szCs w:val="22"/>
        </w:rPr>
      </w:pPr>
      <w:r w:rsidRPr="00F56F28">
        <w:rPr>
          <w:rFonts w:asciiTheme="minorHAnsi" w:hAnsiTheme="minorHAnsi" w:cstheme="minorHAnsi"/>
          <w:sz w:val="22"/>
          <w:szCs w:val="22"/>
        </w:rPr>
        <w:t xml:space="preserve">Pagrįstai buvo vertinama pareiškėjo (investuotojo) atitiktis nacionaliniam saugumui, t. y. buvo vertinamas tiek pats pareiškėjas, kaip juridinis asmuo, tiek ir jį kontroliuojantys asmenys, jų ryšiai su užsienio valstybių institucijomis, tų valstybių fiziniais arba juridiniais asmenimis, keliantys grėsmę nacionaliniam saugumui, nes </w:t>
      </w:r>
      <w:r w:rsidRPr="00F56F28">
        <w:rPr>
          <w:rFonts w:asciiTheme="minorHAnsi" w:hAnsiTheme="minorHAnsi" w:cstheme="minorHAnsi"/>
          <w:sz w:val="22"/>
          <w:szCs w:val="22"/>
          <w:u w:val="single"/>
        </w:rPr>
        <w:t>tokių ryšių turėjimas kreipimosi į Komisiją metu ir / arba praeityje gali būti laikomi aplinkybe, suponuojančia investuotojo pažeidžiamumą, t. y. galinčia kelti grėsmę valstybės ar visuomenės saugumo interesams tam tikrame ūkio sektoriuje</w:t>
      </w:r>
      <w:r w:rsidRPr="00F56F28">
        <w:rPr>
          <w:rFonts w:asciiTheme="minorHAnsi" w:hAnsiTheme="minorHAnsi" w:cstheme="minorHAnsi"/>
          <w:sz w:val="22"/>
          <w:szCs w:val="22"/>
        </w:rPr>
        <w:t xml:space="preserve"> (apžvelgiamu atveju – transporto sektoriaus dalyje). Tiek Komisijos, tiek pirmosios instancijos teismo nurodyti pareiškėjo grėsmę nacionalinio saugumo interesams keliantys ryšiai per galutinį pareiškėjo naudos gavėją (</w:t>
      </w:r>
      <w:r w:rsidRPr="00F56F28">
        <w:rPr>
          <w:rFonts w:asciiTheme="minorHAnsi" w:hAnsiTheme="minorHAnsi" w:cstheme="minorHAnsi"/>
          <w:i/>
          <w:iCs/>
          <w:sz w:val="22"/>
          <w:szCs w:val="22"/>
        </w:rPr>
        <w:t>duomenys neskelbtini</w:t>
      </w:r>
      <w:r w:rsidRPr="00F56F28">
        <w:rPr>
          <w:rFonts w:asciiTheme="minorHAnsi" w:hAnsiTheme="minorHAnsi" w:cstheme="minorHAnsi"/>
          <w:sz w:val="22"/>
          <w:szCs w:val="22"/>
        </w:rPr>
        <w:t>) ir pareiškėjo valdomo (</w:t>
      </w:r>
      <w:r w:rsidRPr="00F56F28">
        <w:rPr>
          <w:rFonts w:asciiTheme="minorHAnsi" w:hAnsiTheme="minorHAnsi" w:cstheme="minorHAnsi"/>
          <w:i/>
          <w:iCs/>
          <w:sz w:val="22"/>
          <w:szCs w:val="22"/>
        </w:rPr>
        <w:t>duomenys neskelbtini</w:t>
      </w:r>
      <w:r w:rsidRPr="00F56F28">
        <w:rPr>
          <w:rFonts w:asciiTheme="minorHAnsi" w:hAnsiTheme="minorHAnsi" w:cstheme="minorHAnsi"/>
          <w:sz w:val="22"/>
          <w:szCs w:val="22"/>
        </w:rPr>
        <w:t>) nuomininką ir faktinį (</w:t>
      </w:r>
      <w:r w:rsidRPr="00F56F28">
        <w:rPr>
          <w:rFonts w:asciiTheme="minorHAnsi" w:hAnsiTheme="minorHAnsi" w:cstheme="minorHAnsi"/>
          <w:i/>
          <w:iCs/>
          <w:sz w:val="22"/>
          <w:szCs w:val="22"/>
        </w:rPr>
        <w:t>duomenys neskelbtini</w:t>
      </w:r>
      <w:r w:rsidRPr="00F56F28">
        <w:rPr>
          <w:rFonts w:asciiTheme="minorHAnsi" w:hAnsiTheme="minorHAnsi" w:cstheme="minorHAnsi"/>
          <w:sz w:val="22"/>
          <w:szCs w:val="22"/>
        </w:rPr>
        <w:t>) naudotoją savo veiklai vykdyti – (</w:t>
      </w:r>
      <w:r w:rsidRPr="00F56F28">
        <w:rPr>
          <w:rFonts w:asciiTheme="minorHAnsi" w:hAnsiTheme="minorHAnsi" w:cstheme="minorHAnsi"/>
          <w:i/>
          <w:iCs/>
          <w:sz w:val="22"/>
          <w:szCs w:val="22"/>
        </w:rPr>
        <w:t>duomenys neskelbtini</w:t>
      </w:r>
      <w:r w:rsidRPr="00F56F28">
        <w:rPr>
          <w:rFonts w:asciiTheme="minorHAnsi" w:hAnsiTheme="minorHAnsi" w:cstheme="minorHAnsi"/>
          <w:sz w:val="22"/>
          <w:szCs w:val="22"/>
        </w:rPr>
        <w:t>) pripažinti aplinkybe, suponuojančia pareiškėjo pažeidžiamumą ir kartu keliančia ir galinčia kelti grėsmę valstybės ar visuomenės saugumo interesams valstybės ir visuomenės saugumui svarbiame ūkio sektoriuje.</w:t>
      </w:r>
    </w:p>
    <w:p w14:paraId="6358C7DC" w14:textId="77777777" w:rsidR="00905337" w:rsidRPr="00F56F28" w:rsidRDefault="00905337" w:rsidP="00905337">
      <w:pPr>
        <w:ind w:firstLine="567"/>
        <w:jc w:val="both"/>
        <w:rPr>
          <w:rFonts w:asciiTheme="minorHAnsi" w:hAnsiTheme="minorHAnsi" w:cstheme="minorHAnsi"/>
          <w:sz w:val="22"/>
          <w:szCs w:val="22"/>
        </w:rPr>
      </w:pPr>
      <w:r w:rsidRPr="00F56F28">
        <w:rPr>
          <w:rFonts w:asciiTheme="minorHAnsi" w:hAnsiTheme="minorHAnsi" w:cstheme="minorHAnsi"/>
          <w:sz w:val="22"/>
          <w:szCs w:val="22"/>
        </w:rPr>
        <w:t>Teisėjų kolegija konstatavo, kad tiek Komisija, tiek pirmosios instancijos teismas pagrįstai rėmėsi Valstybės saugumo departamento (toliau – VSD) ir Specialiųjų tyrimų tarnybos išvadomis, viešai skelbtomis publikacijomis, nes pagal ABTĮ 56 straipsnio 1 dalį įrodymai administracinėje byloje yra visi faktiniai duomenys, kurie priimti bylą nagrinėjančio teismo ir kuriais remdamasis teismas įstatymų nustatyta tvarka konstatuoja, kad yra aplinkybių, pagrindžiančių proceso šalių reikalavimus bei atsikirtimus, ir kitokių aplinkybių, turinčių reikšmės bylai teisingai išspęsti, arba kad jų nėra.</w:t>
      </w:r>
    </w:p>
    <w:p w14:paraId="5FF81BDC" w14:textId="77777777" w:rsidR="00905337" w:rsidRPr="00F56F28" w:rsidRDefault="00905337" w:rsidP="00905337">
      <w:pPr>
        <w:ind w:firstLine="567"/>
        <w:jc w:val="both"/>
        <w:rPr>
          <w:rFonts w:asciiTheme="minorHAnsi" w:hAnsiTheme="minorHAnsi" w:cstheme="minorHAnsi"/>
          <w:sz w:val="22"/>
          <w:szCs w:val="22"/>
        </w:rPr>
      </w:pPr>
      <w:r w:rsidRPr="00F56F28">
        <w:rPr>
          <w:rFonts w:asciiTheme="minorHAnsi" w:hAnsiTheme="minorHAnsi" w:cstheme="minorHAnsi"/>
          <w:sz w:val="22"/>
          <w:szCs w:val="22"/>
          <w:u w:val="single"/>
        </w:rPr>
        <w:t>Teisiškai reikšmingomis nelaikytos aplinkybės, atsiradusios po kreipimosi į Komisiją, nes byloje vertinta, ar pagrįstai ir teisėtai, remiantis iki kreipimosi į Komisiją ir praeityje pareiškėjo turėtais ryšiais bei sąsajomis su Sprendime įvardytais asmenimis, padaryta išvada, kad pareiškėjas neatitinka nacionalinio saugumo interesų</w:t>
      </w:r>
      <w:r w:rsidRPr="00F56F28">
        <w:rPr>
          <w:rFonts w:asciiTheme="minorHAnsi" w:hAnsiTheme="minorHAnsi" w:cstheme="minorHAnsi"/>
          <w:sz w:val="22"/>
          <w:szCs w:val="22"/>
        </w:rPr>
        <w:t>. Komisija tyrimo metu vertino kompetentingų institucijų 2020 metų pabaigoje–2021 metų pradžioje atliktus pareiškėjo ryšių vertinimus. Sudarius galimybę atsakovams ir VSD pateikti paaiškinimus dėl pareiškėjo nurodomų naujų aplinkybių, nebuvo pateikti jokie įrodymai, kad kompetentingos institucijos yra įvertinusios pareiškėjo nurodomas naujas aplinkybes. Pažymėta, kad pareiškėjui neužkirstas kelias imtis priemonių, jog jo atitiktis nacionalinio saugumo interesams būtų vertinama iš naujo dėl jo nurodomų naujų aplinkybių.</w:t>
      </w:r>
    </w:p>
    <w:p w14:paraId="4C51B810" w14:textId="77777777" w:rsidR="00905337" w:rsidRPr="00F56F28" w:rsidRDefault="00905337" w:rsidP="00905337">
      <w:pPr>
        <w:ind w:firstLine="567"/>
        <w:jc w:val="both"/>
        <w:rPr>
          <w:rFonts w:asciiTheme="minorHAnsi" w:hAnsiTheme="minorHAnsi" w:cstheme="minorHAnsi"/>
          <w:sz w:val="22"/>
          <w:szCs w:val="22"/>
        </w:rPr>
      </w:pPr>
      <w:r w:rsidRPr="00F56F28">
        <w:rPr>
          <w:rFonts w:asciiTheme="minorHAnsi" w:hAnsiTheme="minorHAnsi" w:cstheme="minorHAnsi"/>
          <w:sz w:val="22"/>
          <w:szCs w:val="22"/>
        </w:rPr>
        <w:lastRenderedPageBreak/>
        <w:t xml:space="preserve">Kadangi pareiškėjas apeliaciniame skunde akcentavo ir tai, kad pirmosios instancijos teismas sprendimą motyvavo įslaptinta informacija, nepagrįstai nesudarė galimybės pareiškėjui susipažinti su šia informacija ir dėl to pažeidė šalių lygybės principą bei rungtyniškumo principą, apribojo jo (pareiškėjo) procesines teises, LVAT teisėjų kolegija vertindama, ar pagrįstai buvo naudojama įslaptinta informacija, su kuria neleista susipažinti pareiškėjui, pažymėjo, kad </w:t>
      </w:r>
      <w:r w:rsidRPr="00F56F28">
        <w:rPr>
          <w:rFonts w:asciiTheme="minorHAnsi" w:hAnsiTheme="minorHAnsi" w:cstheme="minorHAnsi"/>
          <w:sz w:val="22"/>
          <w:szCs w:val="22"/>
          <w:u w:val="single"/>
        </w:rPr>
        <w:t>Komisijos Sprendime iš esmės buvo atskleisti esminiai duomenys, kuriais remiantis pripažinta, jog pareiškėjas neatitinka nacionalinio saugumo interesų, t. y. buvo nurodyti konkrečių asmenų ryšiai, kurie suponuoja pareiškėjo keliamą ir galinčią kelti grėsmę valstybės ar visuomenės saugumo interesams valstybės ir visuomenės saugumui svarbiame ūkio sektoriuje, todėl pareiškėjas turėjo visas galimybes įrodinėti Sprendimo nepagrįstumą ir neteisėtumą. Sprendimas nėra grindžiamas su Sprendime nenurodytomis aplinkybėmis susijusia įslaptinta informacija, kuri būtų atskiras pagrindas konstatuoti pareiškėjo keliamą ir galinčią kelti grėsmę valstybės nacionaliniam saugumui. Byloje buvo pateikta pakankamai neįslaptintų ir pareiškėjui atskleistų duomenų, pagrindžiančių Komisijos Sprendimo išvadą. Įslaptinta informacija įvertinta kartu su kitais (neįslaptintais) byloje esančiais įrodymais, todėl nenukrypta nuo nustatytų įrodymų įvertinimo taisyklių, pirmosios instancijos teismo sprendimas nėra grindžiamas pareiškėjui nežinoma vien valstybės paslaptį sudarančia (ar kita įslaptinta) informacija</w:t>
      </w:r>
      <w:r w:rsidRPr="00F56F28">
        <w:rPr>
          <w:rFonts w:asciiTheme="minorHAnsi" w:hAnsiTheme="minorHAnsi" w:cstheme="minorHAnsi"/>
          <w:sz w:val="22"/>
          <w:szCs w:val="22"/>
        </w:rPr>
        <w:t>.</w:t>
      </w:r>
    </w:p>
    <w:p w14:paraId="760F224A" w14:textId="77777777" w:rsidR="00905337" w:rsidRPr="00F56F28" w:rsidRDefault="00905337" w:rsidP="00905337">
      <w:pPr>
        <w:ind w:firstLine="567"/>
        <w:jc w:val="both"/>
        <w:rPr>
          <w:rFonts w:asciiTheme="minorHAnsi" w:hAnsiTheme="minorHAnsi" w:cstheme="minorHAnsi"/>
          <w:sz w:val="22"/>
          <w:szCs w:val="22"/>
        </w:rPr>
      </w:pPr>
      <w:r w:rsidRPr="00F56F28">
        <w:rPr>
          <w:rFonts w:asciiTheme="minorHAnsi" w:hAnsiTheme="minorHAnsi" w:cstheme="minorHAnsi"/>
          <w:sz w:val="22"/>
          <w:szCs w:val="22"/>
        </w:rPr>
        <w:t>Atsižvelgusi į naujausius EŽTT išaiškinimus dėl įslaptintos informacijos naudojimo bylose, kuriose buvo sprendžiami ginčai dėl juridinių asmenų (investuotojų) atitikties nacionalinio saugumo interesams, LVAT teisėjų kolegija pažymėjo, kad Komisija aiškiai motyvavo savo sprendimą ir jau priėmus šį Sprendimą pareiškėjas žinojo, dėl kokių priežasčių jis yra pripažintas neatitinkančiu nacionalinio saugumo interesų, ir šias priežastis nulėmė ne įslaptintos informacijos turinys. Sprendimas buvo grindžiamas viešai prieinamais dokumentais bei dokumentais, kurių turinys buvo žinomas (atskleistas) pareiškėjui, taip pat pirmosios instancijos teismas sprendimo negrindė išimtinai įslaptintais įrodymais, t. y. visas pirmosios instancijos teismo sprendimas iš esmės grįstas pareiškėjui žinomais įrodymais, pareiškėjas dalyvavo teismo procese ir turėjo galimybę užduoti klausimus atsakovų ir trečiojo suinteresuoto asmens atstovams. Konstatuota, kad pareiškėjo nesupažindinimas su įslaptinta informacija nepažeidė rungimosi ir proceso šalių lygybės principų, pareiškėjo teisės į teisingą bylos nagrinėjimą.</w:t>
      </w:r>
    </w:p>
    <w:p w14:paraId="3DA360FA" w14:textId="77777777" w:rsidR="00905337" w:rsidRPr="00F56F28" w:rsidRDefault="00905337" w:rsidP="00905337">
      <w:pPr>
        <w:ind w:firstLine="567"/>
        <w:jc w:val="both"/>
        <w:rPr>
          <w:rFonts w:asciiTheme="minorHAnsi" w:hAnsiTheme="minorHAnsi" w:cstheme="minorHAnsi"/>
          <w:sz w:val="22"/>
          <w:szCs w:val="22"/>
        </w:rPr>
      </w:pPr>
      <w:r w:rsidRPr="00F56F28">
        <w:rPr>
          <w:rFonts w:asciiTheme="minorHAnsi" w:hAnsiTheme="minorHAnsi" w:cstheme="minorHAnsi"/>
          <w:sz w:val="22"/>
          <w:szCs w:val="22"/>
        </w:rPr>
        <w:t>LVAT teisėjų kolegija taip pat netenkino pareiškėjo prašymų kreiptis į Konstitucinį Teismą ir ESTT, pareiškėjo apeliacinis skundas atmestas, o pirmosios instancijos teismo sprendimas paliktas nepakeistas.</w:t>
      </w:r>
    </w:p>
    <w:p w14:paraId="3FCC2678" w14:textId="77777777" w:rsidR="00905337" w:rsidRPr="00F56F28" w:rsidRDefault="00905337" w:rsidP="00905337">
      <w:pPr>
        <w:jc w:val="both"/>
        <w:rPr>
          <w:rFonts w:asciiTheme="minorHAnsi" w:hAnsiTheme="minorHAnsi" w:cstheme="minorHAnsi"/>
          <w:sz w:val="22"/>
          <w:szCs w:val="22"/>
        </w:rPr>
      </w:pPr>
    </w:p>
    <w:p w14:paraId="15ECA6A8" w14:textId="77777777" w:rsidR="00905337" w:rsidRPr="00F56F28" w:rsidRDefault="00905337" w:rsidP="00905337">
      <w:pPr>
        <w:jc w:val="both"/>
        <w:rPr>
          <w:rFonts w:asciiTheme="minorHAnsi" w:eastAsia="Calibri" w:hAnsiTheme="minorHAnsi" w:cstheme="minorHAnsi"/>
          <w:sz w:val="22"/>
          <w:szCs w:val="22"/>
          <w:lang w:eastAsia="en-US"/>
        </w:rPr>
      </w:pPr>
      <w:r w:rsidRPr="00F56F28">
        <w:rPr>
          <w:rFonts w:asciiTheme="minorHAnsi" w:eastAsia="Calibri" w:hAnsiTheme="minorHAnsi" w:cstheme="minorHAnsi"/>
          <w:sz w:val="22"/>
          <w:szCs w:val="22"/>
          <w:lang w:eastAsia="en-US"/>
        </w:rPr>
        <w:t>2023 m. lapkričio 8 d. nutartis administracinėje byloje Nr. eA-393-520/2023</w:t>
      </w:r>
    </w:p>
    <w:p w14:paraId="32C24570" w14:textId="77777777" w:rsidR="00905337" w:rsidRPr="00F56F28" w:rsidRDefault="00905337" w:rsidP="00905337">
      <w:pPr>
        <w:jc w:val="both"/>
        <w:rPr>
          <w:rFonts w:asciiTheme="minorHAnsi" w:eastAsia="Calibri" w:hAnsiTheme="minorHAnsi" w:cstheme="minorHAnsi"/>
          <w:sz w:val="22"/>
          <w:szCs w:val="22"/>
          <w:lang w:eastAsia="en-US"/>
        </w:rPr>
      </w:pPr>
      <w:r w:rsidRPr="00F56F28">
        <w:rPr>
          <w:rFonts w:asciiTheme="minorHAnsi" w:eastAsia="Calibri" w:hAnsiTheme="minorHAnsi" w:cstheme="minorHAnsi"/>
          <w:sz w:val="22"/>
          <w:szCs w:val="22"/>
          <w:lang w:eastAsia="en-US"/>
        </w:rPr>
        <w:t>Teisminio proceso Nr.</w:t>
      </w:r>
      <w:r w:rsidRPr="00F56F28">
        <w:rPr>
          <w:rFonts w:asciiTheme="minorHAnsi" w:hAnsiTheme="minorHAnsi" w:cstheme="minorHAnsi"/>
          <w:sz w:val="22"/>
          <w:szCs w:val="22"/>
        </w:rPr>
        <w:t xml:space="preserve"> </w:t>
      </w:r>
      <w:r w:rsidRPr="00F56F28">
        <w:rPr>
          <w:rFonts w:asciiTheme="minorHAnsi" w:eastAsia="Calibri" w:hAnsiTheme="minorHAnsi" w:cstheme="minorHAnsi"/>
          <w:sz w:val="22"/>
          <w:szCs w:val="22"/>
          <w:lang w:eastAsia="en-US"/>
        </w:rPr>
        <w:t>3-61-3-01473-2021-3</w:t>
      </w:r>
    </w:p>
    <w:p w14:paraId="61EE9B53" w14:textId="77777777" w:rsidR="00905337" w:rsidRPr="00F56F28" w:rsidRDefault="00905337" w:rsidP="00905337">
      <w:pPr>
        <w:jc w:val="both"/>
        <w:rPr>
          <w:rFonts w:asciiTheme="minorHAnsi" w:eastAsia="Calibri" w:hAnsiTheme="minorHAnsi" w:cstheme="minorHAnsi"/>
          <w:sz w:val="22"/>
          <w:szCs w:val="22"/>
          <w:lang w:eastAsia="en-US"/>
        </w:rPr>
      </w:pPr>
      <w:r w:rsidRPr="00F56F28">
        <w:rPr>
          <w:rFonts w:asciiTheme="minorHAnsi" w:eastAsia="Calibri" w:hAnsiTheme="minorHAnsi" w:cstheme="minorHAnsi"/>
          <w:sz w:val="22"/>
          <w:szCs w:val="22"/>
          <w:lang w:eastAsia="en-US"/>
        </w:rPr>
        <w:t>Procesinio sprendimo kategorijos 2.2.6, 41</w:t>
      </w:r>
    </w:p>
    <w:p w14:paraId="19C99D7D" w14:textId="77777777" w:rsidR="00905337" w:rsidRPr="00F56F28" w:rsidRDefault="00000000" w:rsidP="00905337">
      <w:pPr>
        <w:jc w:val="both"/>
        <w:rPr>
          <w:rStyle w:val="Hyperlink"/>
          <w:rFonts w:asciiTheme="minorHAnsi" w:eastAsia="Calibri" w:hAnsiTheme="minorHAnsi" w:cstheme="minorHAnsi"/>
          <w:sz w:val="22"/>
          <w:szCs w:val="22"/>
          <w:lang w:eastAsia="en-US"/>
        </w:rPr>
      </w:pPr>
      <w:hyperlink r:id="rId19" w:history="1">
        <w:r w:rsidR="00905337" w:rsidRPr="00F56F28">
          <w:rPr>
            <w:rStyle w:val="Hyperlink"/>
            <w:rFonts w:asciiTheme="minorHAnsi" w:eastAsia="Calibri" w:hAnsiTheme="minorHAnsi" w:cstheme="minorHAnsi"/>
            <w:sz w:val="22"/>
            <w:szCs w:val="22"/>
            <w:lang w:eastAsia="en-US"/>
          </w:rPr>
          <w:t>Prieiga internete</w:t>
        </w:r>
      </w:hyperlink>
    </w:p>
    <w:p w14:paraId="4FCED4CF" w14:textId="77777777" w:rsidR="00890327" w:rsidRPr="00F56F28" w:rsidRDefault="00890327" w:rsidP="00890327">
      <w:pPr>
        <w:ind w:firstLine="567"/>
        <w:jc w:val="both"/>
        <w:rPr>
          <w:rFonts w:asciiTheme="minorHAnsi" w:hAnsiTheme="minorHAnsi" w:cstheme="minorHAnsi"/>
          <w:sz w:val="22"/>
          <w:szCs w:val="22"/>
        </w:rPr>
      </w:pPr>
    </w:p>
    <w:p w14:paraId="0DCD1A7C" w14:textId="77777777" w:rsidR="007C707D" w:rsidRPr="007C707D" w:rsidRDefault="007C707D" w:rsidP="007C707D">
      <w:pPr>
        <w:jc w:val="both"/>
        <w:outlineLvl w:val="1"/>
        <w:rPr>
          <w:rFonts w:asciiTheme="minorHAnsi" w:eastAsia="Calibri" w:hAnsiTheme="minorHAnsi" w:cstheme="minorHAnsi"/>
          <w:i/>
          <w:sz w:val="22"/>
          <w:szCs w:val="22"/>
        </w:rPr>
      </w:pPr>
      <w:bookmarkStart w:id="60" w:name="_Toc145597234"/>
      <w:bookmarkStart w:id="61" w:name="_Toc159340678"/>
      <w:r w:rsidRPr="007C707D">
        <w:rPr>
          <w:rFonts w:asciiTheme="minorHAnsi" w:eastAsia="Calibri" w:hAnsiTheme="minorHAnsi" w:cstheme="minorHAnsi"/>
          <w:i/>
          <w:sz w:val="22"/>
          <w:szCs w:val="22"/>
        </w:rPr>
        <w:t xml:space="preserve">Dėl </w:t>
      </w:r>
      <w:bookmarkEnd w:id="60"/>
      <w:r w:rsidRPr="007C707D">
        <w:rPr>
          <w:rFonts w:asciiTheme="minorHAnsi" w:eastAsia="Calibri" w:hAnsiTheme="minorHAnsi" w:cstheme="minorHAnsi"/>
          <w:i/>
          <w:sz w:val="22"/>
          <w:szCs w:val="22"/>
        </w:rPr>
        <w:t>atsisakymo išduoti leidimą atvykti piketo dalyviams iš visų Lietuvos savivaldybių dėl karantino</w:t>
      </w:r>
      <w:bookmarkEnd w:id="61"/>
    </w:p>
    <w:p w14:paraId="107DC9F6" w14:textId="77777777" w:rsidR="007C707D" w:rsidRPr="007C707D" w:rsidRDefault="007C707D" w:rsidP="007C707D">
      <w:pPr>
        <w:ind w:firstLine="567"/>
        <w:jc w:val="both"/>
        <w:rPr>
          <w:rFonts w:asciiTheme="minorHAnsi" w:hAnsiTheme="minorHAnsi" w:cstheme="minorHAnsi"/>
          <w:bCs/>
          <w:i/>
          <w:iCs/>
          <w:sz w:val="22"/>
          <w:szCs w:val="22"/>
        </w:rPr>
      </w:pPr>
    </w:p>
    <w:p w14:paraId="44B99DB6" w14:textId="408A8887" w:rsidR="007C707D" w:rsidRPr="007C707D" w:rsidRDefault="007C707D" w:rsidP="007C707D">
      <w:pPr>
        <w:ind w:firstLine="567"/>
        <w:jc w:val="both"/>
        <w:rPr>
          <w:rFonts w:asciiTheme="minorHAnsi" w:hAnsiTheme="minorHAnsi" w:cstheme="minorHAnsi"/>
          <w:sz w:val="22"/>
          <w:szCs w:val="22"/>
        </w:rPr>
      </w:pPr>
      <w:r w:rsidRPr="007C707D">
        <w:rPr>
          <w:rFonts w:asciiTheme="minorHAnsi" w:hAnsiTheme="minorHAnsi" w:cstheme="minorHAnsi"/>
          <w:sz w:val="22"/>
          <w:szCs w:val="22"/>
        </w:rPr>
        <w:t>Apžvelgiamoje byloje ginčas kilo dėl Policijos departamento sprendimo teisėtumo. Sprendime nurodyta, kad pareiškėjo prašymas išduoti leidimą atvykti piketo dalyviams iš visų Lietuvos savivaldybių netenkintas, kadangi neatitinka Vyriausybės 2020 m. lapkričio 4 d. nutarime Nr. 1226 „Dėl karantino Lietuvos Respublikos teritorijoje paskelbimo“ (toliau – Nutarimas Nr. 1226) nustatytų judėjimo tarp savivaldybių ribojimų išimčių.</w:t>
      </w:r>
    </w:p>
    <w:p w14:paraId="1FE42390" w14:textId="77777777" w:rsidR="007C707D" w:rsidRPr="007C707D" w:rsidRDefault="007C707D" w:rsidP="007C707D">
      <w:pPr>
        <w:ind w:firstLine="567"/>
        <w:jc w:val="both"/>
        <w:rPr>
          <w:rFonts w:asciiTheme="minorHAnsi" w:hAnsiTheme="minorHAnsi" w:cstheme="minorHAnsi"/>
          <w:sz w:val="22"/>
          <w:szCs w:val="22"/>
        </w:rPr>
      </w:pPr>
      <w:r w:rsidRPr="007C707D">
        <w:rPr>
          <w:rFonts w:asciiTheme="minorHAnsi" w:hAnsiTheme="minorHAnsi" w:cstheme="minorHAnsi"/>
          <w:sz w:val="22"/>
          <w:szCs w:val="22"/>
        </w:rPr>
        <w:t>Pirmosios instancijos teismas pareiškėjo skundą dėl Policijos departamento sprendimo panaikinimo atmetė, todėl pareiškėjas padavė apeliacinį skundą.</w:t>
      </w:r>
    </w:p>
    <w:p w14:paraId="0E3519FE" w14:textId="433D392F" w:rsidR="007C707D" w:rsidRPr="007C707D" w:rsidRDefault="007C707D" w:rsidP="007C707D">
      <w:pPr>
        <w:ind w:firstLine="567"/>
        <w:jc w:val="both"/>
        <w:rPr>
          <w:rFonts w:asciiTheme="minorHAnsi" w:hAnsiTheme="minorHAnsi" w:cstheme="minorHAnsi"/>
          <w:sz w:val="22"/>
          <w:szCs w:val="22"/>
        </w:rPr>
      </w:pPr>
      <w:r w:rsidRPr="007C707D">
        <w:rPr>
          <w:rFonts w:asciiTheme="minorHAnsi" w:hAnsiTheme="minorHAnsi" w:cstheme="minorHAnsi"/>
          <w:sz w:val="22"/>
          <w:szCs w:val="22"/>
        </w:rPr>
        <w:t xml:space="preserve">Teisėjų kolegija pažymėjo, kad Vyriausybės Nutarimo Nr. 1226 </w:t>
      </w:r>
      <w:r w:rsidRPr="007C707D">
        <w:rPr>
          <w:rFonts w:asciiTheme="minorHAnsi" w:hAnsiTheme="minorHAnsi" w:cstheme="minorHAnsi"/>
          <w:sz w:val="22"/>
          <w:szCs w:val="22"/>
          <w:lang w:bidi="lt-LT"/>
        </w:rPr>
        <w:t xml:space="preserve">2.1.7 papunktyje nustatyta, </w:t>
      </w:r>
      <w:r w:rsidR="00773A67">
        <w:rPr>
          <w:rFonts w:asciiTheme="minorHAnsi" w:hAnsiTheme="minorHAnsi" w:cstheme="minorHAnsi"/>
          <w:sz w:val="22"/>
          <w:szCs w:val="22"/>
          <w:lang w:bidi="lt-LT"/>
        </w:rPr>
        <w:t>jog</w:t>
      </w:r>
      <w:r w:rsidRPr="007C707D">
        <w:rPr>
          <w:rFonts w:asciiTheme="minorHAnsi" w:hAnsiTheme="minorHAnsi" w:cstheme="minorHAnsi"/>
          <w:sz w:val="22"/>
          <w:szCs w:val="22"/>
          <w:lang w:bidi="lt-LT"/>
        </w:rPr>
        <w:t xml:space="preserve"> </w:t>
      </w:r>
      <w:r w:rsidRPr="007C707D">
        <w:rPr>
          <w:rFonts w:asciiTheme="minorHAnsi" w:hAnsiTheme="minorHAnsi" w:cstheme="minorHAnsi"/>
          <w:sz w:val="22"/>
          <w:szCs w:val="22"/>
        </w:rPr>
        <w:t>nuo 2020 m. gruodžio 16 d. 00:00 val. iki 2021 m. kovo 15 d. 24:00 val. Lietuvos Respublikos teritorijoje ribojamas asmenų judėjimas tarp savivaldybių, išskyrus atvejus, kai vykstama: į savo gyvenamosios vietos savivaldybę; į kitą nei savo gyvenamosios vietos savivaldybę dėl artimųjų giminaičių mirties; į darbą (darbo reikalais), kai darbo vieta yra kitoje savivaldybėje ir kt.</w:t>
      </w:r>
    </w:p>
    <w:p w14:paraId="2632CE1C" w14:textId="02FEACEA" w:rsidR="007C707D" w:rsidRPr="007C707D" w:rsidRDefault="007C707D" w:rsidP="007C707D">
      <w:pPr>
        <w:ind w:firstLine="567"/>
        <w:jc w:val="both"/>
        <w:rPr>
          <w:rFonts w:asciiTheme="minorHAnsi" w:hAnsiTheme="minorHAnsi" w:cstheme="minorHAnsi"/>
          <w:sz w:val="22"/>
          <w:szCs w:val="22"/>
        </w:rPr>
      </w:pPr>
      <w:r w:rsidRPr="007C707D">
        <w:rPr>
          <w:rFonts w:asciiTheme="minorHAnsi" w:hAnsiTheme="minorHAnsi" w:cstheme="minorHAnsi"/>
          <w:sz w:val="22"/>
          <w:szCs w:val="22"/>
          <w:lang w:bidi="lt-LT"/>
        </w:rPr>
        <w:t>Vertindama, ar ginč</w:t>
      </w:r>
      <w:r w:rsidR="00467994">
        <w:rPr>
          <w:rFonts w:asciiTheme="minorHAnsi" w:hAnsiTheme="minorHAnsi" w:cstheme="minorHAnsi"/>
          <w:sz w:val="22"/>
          <w:szCs w:val="22"/>
          <w:lang w:bidi="lt-LT"/>
        </w:rPr>
        <w:t>yt</w:t>
      </w:r>
      <w:r w:rsidRPr="007C707D">
        <w:rPr>
          <w:rFonts w:asciiTheme="minorHAnsi" w:hAnsiTheme="minorHAnsi" w:cstheme="minorHAnsi"/>
          <w:sz w:val="22"/>
          <w:szCs w:val="22"/>
          <w:lang w:bidi="lt-LT"/>
        </w:rPr>
        <w:t>ame Vyriausybės 2020 m. vasario 26 d. nutarimo 3.1.1 papunktyje, 3</w:t>
      </w:r>
      <w:r w:rsidRPr="007C707D">
        <w:rPr>
          <w:rFonts w:asciiTheme="minorHAnsi" w:hAnsiTheme="minorHAnsi" w:cstheme="minorHAnsi"/>
          <w:sz w:val="22"/>
          <w:szCs w:val="22"/>
          <w:vertAlign w:val="superscript"/>
          <w:lang w:bidi="lt-LT"/>
        </w:rPr>
        <w:t>1</w:t>
      </w:r>
      <w:r w:rsidRPr="007C707D">
        <w:rPr>
          <w:rFonts w:asciiTheme="minorHAnsi" w:hAnsiTheme="minorHAnsi" w:cstheme="minorHAnsi"/>
          <w:sz w:val="22"/>
          <w:szCs w:val="22"/>
          <w:lang w:bidi="lt-LT"/>
        </w:rPr>
        <w:t xml:space="preserve"> punkte įtvirtinti asmens teisių ir laisvių ribojimai buvo nustatyti įstatyme, teisėjų kolegija nurodė, kad </w:t>
      </w:r>
      <w:r w:rsidRPr="007C707D">
        <w:rPr>
          <w:rFonts w:asciiTheme="minorHAnsi" w:hAnsiTheme="minorHAnsi" w:cstheme="minorHAnsi"/>
          <w:sz w:val="22"/>
          <w:szCs w:val="22"/>
        </w:rPr>
        <w:t>pagal Civilinės saugos įstatymo 8</w:t>
      </w:r>
      <w:r w:rsidR="00EF643D">
        <w:rPr>
          <w:rFonts w:asciiTheme="minorHAnsi" w:hAnsiTheme="minorHAnsi" w:cstheme="minorHAnsi"/>
          <w:sz w:val="22"/>
          <w:szCs w:val="22"/>
        </w:rPr>
        <w:t xml:space="preserve"> </w:t>
      </w:r>
      <w:r w:rsidRPr="007C707D">
        <w:rPr>
          <w:rFonts w:asciiTheme="minorHAnsi" w:hAnsiTheme="minorHAnsi" w:cstheme="minorHAnsi"/>
          <w:sz w:val="22"/>
          <w:szCs w:val="22"/>
        </w:rPr>
        <w:t xml:space="preserve">straipsnį, paskelbus valstybės lygio ekstremaliąją situaciją dėl, be kita ko, nustatytus medicininius, socialinius ar kitus kriterijus atitinkančio, pasiekusio ar viršijusio įvykio susidariusios padėties, kuri kelia ar gali sukelti staigų didelį pavojų </w:t>
      </w:r>
      <w:r w:rsidRPr="007C707D">
        <w:rPr>
          <w:rFonts w:asciiTheme="minorHAnsi" w:hAnsiTheme="minorHAnsi" w:cstheme="minorHAnsi"/>
          <w:i/>
          <w:iCs/>
          <w:sz w:val="22"/>
          <w:szCs w:val="22"/>
        </w:rPr>
        <w:t xml:space="preserve">inter alia </w:t>
      </w:r>
      <w:r w:rsidRPr="007C707D">
        <w:rPr>
          <w:rFonts w:asciiTheme="minorHAnsi" w:hAnsiTheme="minorHAnsi" w:cstheme="minorHAnsi"/>
          <w:sz w:val="22"/>
          <w:szCs w:val="22"/>
        </w:rPr>
        <w:t xml:space="preserve">(be kita ko) gyventojų gyvybei, sveikatai ir (ar) aplinkai, laikinai galėjo būti apribojamas, be kita ko, naudojimasis ūkinės veiklos laisve; </w:t>
      </w:r>
      <w:r w:rsidRPr="007C707D">
        <w:rPr>
          <w:rFonts w:asciiTheme="minorHAnsi" w:hAnsiTheme="minorHAnsi" w:cstheme="minorHAnsi"/>
          <w:bCs/>
          <w:sz w:val="22"/>
          <w:szCs w:val="22"/>
        </w:rPr>
        <w:t xml:space="preserve">laikinai apribojus ūkinės veiklos laisvę, tam tikrų suvaržymų gali patirti ne tik ūkinės veiklos subjektai, </w:t>
      </w:r>
      <w:r w:rsidRPr="007C707D">
        <w:rPr>
          <w:rFonts w:asciiTheme="minorHAnsi" w:hAnsiTheme="minorHAnsi" w:cstheme="minorHAnsi"/>
          <w:bCs/>
          <w:i/>
          <w:iCs/>
          <w:sz w:val="22"/>
          <w:szCs w:val="22"/>
        </w:rPr>
        <w:t xml:space="preserve">inter alia </w:t>
      </w:r>
      <w:r w:rsidRPr="007C707D">
        <w:rPr>
          <w:rFonts w:asciiTheme="minorHAnsi" w:hAnsiTheme="minorHAnsi" w:cstheme="minorHAnsi"/>
          <w:bCs/>
          <w:sz w:val="22"/>
          <w:szCs w:val="22"/>
        </w:rPr>
        <w:t xml:space="preserve">paslaugų teikėjai, renginių organizatoriai, bet ir tomis paslaugomis siekiantys pasinaudoti ar būti aptarnaujami vykdant ūkinę veiklą ar </w:t>
      </w:r>
      <w:r w:rsidRPr="007C707D">
        <w:rPr>
          <w:rFonts w:asciiTheme="minorHAnsi" w:hAnsiTheme="minorHAnsi" w:cstheme="minorHAnsi"/>
          <w:bCs/>
          <w:sz w:val="22"/>
          <w:szCs w:val="22"/>
        </w:rPr>
        <w:lastRenderedPageBreak/>
        <w:t xml:space="preserve">dalyvauti renginiuose asmenys (35.2 p.). </w:t>
      </w:r>
      <w:r w:rsidRPr="007C707D">
        <w:rPr>
          <w:rFonts w:asciiTheme="minorHAnsi" w:hAnsiTheme="minorHAnsi" w:cstheme="minorHAnsi"/>
          <w:sz w:val="22"/>
          <w:szCs w:val="22"/>
        </w:rPr>
        <w:t>Vadinasi, nėra pagrindo teigti, kad Vyriausybės 2020 m. vasario 26 d. nutarimo 3.1.1 papunktyje, 3</w:t>
      </w:r>
      <w:r w:rsidRPr="007C707D">
        <w:rPr>
          <w:rFonts w:asciiTheme="minorHAnsi" w:hAnsiTheme="minorHAnsi" w:cstheme="minorHAnsi"/>
          <w:sz w:val="22"/>
          <w:szCs w:val="22"/>
          <w:vertAlign w:val="superscript"/>
        </w:rPr>
        <w:t>1</w:t>
      </w:r>
      <w:r w:rsidRPr="007C707D">
        <w:rPr>
          <w:rFonts w:asciiTheme="minorHAnsi" w:hAnsiTheme="minorHAnsi" w:cstheme="minorHAnsi"/>
          <w:sz w:val="22"/>
          <w:szCs w:val="22"/>
        </w:rPr>
        <w:t xml:space="preserve"> punkte įtvirtintu teisiniu reguliavimu buvo nustatyti tokie asmenų teisių ir laisvių ribojimai, kurių nebuvo numatyta įstatyme, ar kad toks teisinis reguliavimas konkuruoja su nustatytuoju įstatyme (žr. Konstitucinio Teismo 2023 m. spalio 4 d. nutarimą)</w:t>
      </w:r>
      <w:r w:rsidRPr="007C707D">
        <w:rPr>
          <w:rFonts w:asciiTheme="minorHAnsi" w:hAnsiTheme="minorHAnsi" w:cstheme="minorHAnsi"/>
          <w:sz w:val="22"/>
          <w:szCs w:val="22"/>
          <w:lang w:bidi="lt-LT"/>
        </w:rPr>
        <w:t>.</w:t>
      </w:r>
    </w:p>
    <w:p w14:paraId="0619E1CA" w14:textId="77777777" w:rsidR="007C707D" w:rsidRPr="007C707D" w:rsidRDefault="007C707D" w:rsidP="007C707D">
      <w:pPr>
        <w:ind w:firstLine="567"/>
        <w:jc w:val="both"/>
        <w:rPr>
          <w:rFonts w:asciiTheme="minorHAnsi" w:hAnsiTheme="minorHAnsi" w:cstheme="minorHAnsi"/>
          <w:sz w:val="22"/>
          <w:szCs w:val="22"/>
        </w:rPr>
      </w:pPr>
      <w:r w:rsidRPr="007C707D">
        <w:rPr>
          <w:rFonts w:asciiTheme="minorHAnsi" w:hAnsiTheme="minorHAnsi" w:cstheme="minorHAnsi"/>
          <w:sz w:val="22"/>
          <w:szCs w:val="22"/>
        </w:rPr>
        <w:t xml:space="preserve">Konstitucinis Teismas, pasisakydamas dėl </w:t>
      </w:r>
      <w:bookmarkStart w:id="62" w:name="_Hlk151481087"/>
      <w:r w:rsidRPr="007C707D">
        <w:rPr>
          <w:rFonts w:asciiTheme="minorHAnsi" w:hAnsiTheme="minorHAnsi" w:cstheme="minorHAnsi"/>
          <w:sz w:val="22"/>
          <w:szCs w:val="22"/>
        </w:rPr>
        <w:t xml:space="preserve">Nutarime Nr. 1226 </w:t>
      </w:r>
      <w:bookmarkEnd w:id="62"/>
      <w:r w:rsidRPr="007C707D">
        <w:rPr>
          <w:rFonts w:asciiTheme="minorHAnsi" w:hAnsiTheme="minorHAnsi" w:cstheme="minorHAnsi"/>
          <w:sz w:val="22"/>
          <w:szCs w:val="22"/>
        </w:rPr>
        <w:t xml:space="preserve">nustatytų ūkinės veiklos ribojimų, yra pažymėjęs, kad </w:t>
      </w:r>
      <w:r w:rsidRPr="007C707D">
        <w:rPr>
          <w:rFonts w:asciiTheme="minorHAnsi" w:hAnsiTheme="minorHAnsi" w:cstheme="minorHAnsi"/>
          <w:sz w:val="22"/>
          <w:szCs w:val="22"/>
          <w:lang w:bidi="lt-LT"/>
        </w:rPr>
        <w:t>valstybėje susidarius ypatingai situacijai, kuri nulemta žmonių užkrečiamųjų ligų plitimo visuomenėje ir dėl kurios kyla grėsmė žmonių sveikatai ir gyvybei,</w:t>
      </w:r>
      <w:r w:rsidRPr="007C707D">
        <w:rPr>
          <w:rFonts w:asciiTheme="minorHAnsi" w:hAnsiTheme="minorHAnsi" w:cstheme="minorHAnsi"/>
          <w:sz w:val="22"/>
          <w:szCs w:val="22"/>
        </w:rPr>
        <w:t xml:space="preserve"> tais atvejais, kai, vadovaujantis tuo metu turima specialia informacija, yra pagrindas manyti, kad</w:t>
      </w:r>
      <w:r w:rsidRPr="007C707D">
        <w:rPr>
          <w:rFonts w:asciiTheme="minorHAnsi" w:hAnsiTheme="minorHAnsi" w:cstheme="minorHAnsi"/>
          <w:sz w:val="22"/>
          <w:szCs w:val="22"/>
          <w:lang w:bidi="lt-LT"/>
        </w:rPr>
        <w:t xml:space="preserve"> </w:t>
      </w:r>
      <w:r w:rsidRPr="007C707D">
        <w:rPr>
          <w:rFonts w:asciiTheme="minorHAnsi" w:hAnsiTheme="minorHAnsi" w:cstheme="minorHAnsi"/>
          <w:sz w:val="22"/>
          <w:szCs w:val="22"/>
        </w:rPr>
        <w:t xml:space="preserve">laiku nesiėmus veiksmingų priemonių bus padaryta nepataisoma žala Konstitucijoje įtvirtintoms vertybėms, be kita ko, žmonių sveikatai ir gyvybei, siekiant įgyvendinti </w:t>
      </w:r>
      <w:r w:rsidRPr="007C707D">
        <w:rPr>
          <w:rFonts w:asciiTheme="minorHAnsi" w:hAnsiTheme="minorHAnsi" w:cstheme="minorHAnsi"/>
          <w:sz w:val="22"/>
          <w:szCs w:val="22"/>
          <w:lang w:bidi="lt-LT"/>
        </w:rPr>
        <w:t>iš Konstitucijos</w:t>
      </w:r>
      <w:r w:rsidRPr="007C707D">
        <w:rPr>
          <w:rFonts w:asciiTheme="minorHAnsi" w:hAnsiTheme="minorHAnsi" w:cstheme="minorHAnsi"/>
          <w:sz w:val="22"/>
          <w:szCs w:val="22"/>
        </w:rPr>
        <w:t xml:space="preserve"> </w:t>
      </w:r>
      <w:r w:rsidRPr="007C707D">
        <w:rPr>
          <w:rFonts w:asciiTheme="minorHAnsi" w:hAnsiTheme="minorHAnsi" w:cstheme="minorHAnsi"/>
          <w:sz w:val="22"/>
          <w:szCs w:val="22"/>
          <w:lang w:bidi="lt-LT"/>
        </w:rPr>
        <w:t xml:space="preserve">kylančią pareigą saugoti asmenis nuo grėsmių sveikatai ir atsižvelgus į ligos plitimo dinamiką, </w:t>
      </w:r>
      <w:r w:rsidRPr="007C707D">
        <w:rPr>
          <w:rFonts w:asciiTheme="minorHAnsi" w:hAnsiTheme="minorHAnsi" w:cstheme="minorHAnsi"/>
          <w:i/>
          <w:iCs/>
          <w:sz w:val="22"/>
          <w:szCs w:val="22"/>
          <w:lang w:bidi="lt-LT"/>
        </w:rPr>
        <w:t xml:space="preserve">inter alia </w:t>
      </w:r>
      <w:r w:rsidRPr="007C707D">
        <w:rPr>
          <w:rFonts w:asciiTheme="minorHAnsi" w:hAnsiTheme="minorHAnsi" w:cstheme="minorHAnsi"/>
          <w:sz w:val="22"/>
          <w:szCs w:val="22"/>
          <w:lang w:bidi="lt-LT"/>
        </w:rPr>
        <w:t xml:space="preserve">naujų pavojingesnių ir labiau užkrečiamų ligos atmainų atsiradimą, gali būti nustatytas ir toks teisinis reguliavimas, kuriuo įtvirtintomis priemonėmis, skirtomis užkirsti kelią žmonių užkrečiamųjų ligų plitimui visuomenėje ar šių ligų plitimui suvaldyti, laikinai gali būti apribota ne tik ūkinės veiklos laisvė, bet ir kitos asmens teisės ir laisvės, kaip antai Konstitucijos 20 straipsnio 1 dalyje garantuojama asmens laisvė, 21 straipsnio 1 dalyje įtvirtintas asmens neliečiamumas ar 22 straipsnyje įtvirtintas asmens privataus gyvenimo neliečiamumas; nustatant tokį teisinį reguliavimą turi būti paisoma iš Konstitucijos kylančių reikalavimų </w:t>
      </w:r>
      <w:r w:rsidRPr="007C707D">
        <w:rPr>
          <w:rFonts w:asciiTheme="minorHAnsi" w:hAnsiTheme="minorHAnsi" w:cstheme="minorHAnsi"/>
          <w:sz w:val="22"/>
          <w:szCs w:val="22"/>
        </w:rPr>
        <w:t>(Konstitucinio Teismo 2023 m. spalio 4 d. nutarimas)</w:t>
      </w:r>
      <w:r w:rsidRPr="007C707D">
        <w:rPr>
          <w:rFonts w:asciiTheme="minorHAnsi" w:hAnsiTheme="minorHAnsi" w:cstheme="minorHAnsi"/>
          <w:sz w:val="22"/>
          <w:szCs w:val="22"/>
          <w:lang w:bidi="lt-LT"/>
        </w:rPr>
        <w:t>.</w:t>
      </w:r>
    </w:p>
    <w:p w14:paraId="29F7BF27" w14:textId="77777777" w:rsidR="007C707D" w:rsidRPr="007C707D" w:rsidRDefault="007C707D" w:rsidP="007C707D">
      <w:pPr>
        <w:ind w:firstLine="567"/>
        <w:jc w:val="both"/>
        <w:rPr>
          <w:rFonts w:asciiTheme="minorHAnsi" w:hAnsiTheme="minorHAnsi" w:cstheme="minorHAnsi"/>
          <w:sz w:val="22"/>
          <w:szCs w:val="22"/>
        </w:rPr>
      </w:pPr>
      <w:r w:rsidRPr="007C707D">
        <w:rPr>
          <w:rFonts w:asciiTheme="minorHAnsi" w:hAnsiTheme="minorHAnsi" w:cstheme="minorHAnsi"/>
          <w:sz w:val="22"/>
          <w:szCs w:val="22"/>
        </w:rPr>
        <w:t>Teisėjų kolegijos vertinimu, ši konstitucinė doktrina patvirtina, kad Nutarime Nr. 1226 galėjo būti laikinai nustatyti asmenų teisių ribojimai. Konstitucinis Teismas pripažino, kad šis reguliavimas neprieštaravo Konstitucijai, Civilinės saugos įstatymui.</w:t>
      </w:r>
    </w:p>
    <w:p w14:paraId="206CFA8F" w14:textId="667EEE0E" w:rsidR="007C707D" w:rsidRPr="007C707D" w:rsidRDefault="007C707D" w:rsidP="007C707D">
      <w:pPr>
        <w:ind w:firstLine="567"/>
        <w:jc w:val="both"/>
        <w:rPr>
          <w:rFonts w:asciiTheme="minorHAnsi" w:hAnsiTheme="minorHAnsi" w:cstheme="minorHAnsi"/>
          <w:sz w:val="22"/>
          <w:szCs w:val="22"/>
        </w:rPr>
      </w:pPr>
      <w:r w:rsidRPr="007C707D">
        <w:rPr>
          <w:rFonts w:asciiTheme="minorHAnsi" w:hAnsiTheme="minorHAnsi" w:cstheme="minorHAnsi"/>
          <w:sz w:val="22"/>
          <w:szCs w:val="22"/>
        </w:rPr>
        <w:t xml:space="preserve">Teisėjų kolegija sprendė, kad apeliacinio skundo argumentai, jog Nutarime Nr. 1226 </w:t>
      </w:r>
      <w:r w:rsidRPr="007C707D">
        <w:rPr>
          <w:rFonts w:asciiTheme="minorHAnsi" w:hAnsiTheme="minorHAnsi" w:cstheme="minorHAnsi"/>
          <w:sz w:val="22"/>
          <w:szCs w:val="22"/>
          <w:lang w:bidi="lt-LT"/>
        </w:rPr>
        <w:t xml:space="preserve">nustatytos konkrečios, aiškiai apibrėžtos </w:t>
      </w:r>
      <w:r w:rsidRPr="007C707D">
        <w:rPr>
          <w:rFonts w:asciiTheme="minorHAnsi" w:hAnsiTheme="minorHAnsi" w:cstheme="minorHAnsi"/>
          <w:sz w:val="22"/>
          <w:szCs w:val="22"/>
        </w:rPr>
        <w:t>judėjimo šalies viduje sąlygos, dėl kurių buvo apribotas asmenų judėjimas tarp savivaldybių, nepagrįstai ribojo asmenų iš kitų savivaldybių konstitucinę susirinkimų laisvę, yra nepagrįsti.</w:t>
      </w:r>
    </w:p>
    <w:p w14:paraId="0FD50D0E" w14:textId="49C622D3" w:rsidR="007C707D" w:rsidRPr="007C707D" w:rsidRDefault="007C707D" w:rsidP="007C707D">
      <w:pPr>
        <w:ind w:firstLine="567"/>
        <w:jc w:val="both"/>
        <w:rPr>
          <w:rFonts w:asciiTheme="minorHAnsi" w:hAnsiTheme="minorHAnsi" w:cstheme="minorHAnsi"/>
          <w:sz w:val="22"/>
          <w:szCs w:val="22"/>
        </w:rPr>
      </w:pPr>
      <w:r w:rsidRPr="007C707D">
        <w:rPr>
          <w:rFonts w:asciiTheme="minorHAnsi" w:hAnsiTheme="minorHAnsi" w:cstheme="minorHAnsi"/>
          <w:sz w:val="22"/>
          <w:szCs w:val="22"/>
        </w:rPr>
        <w:t>Apibendrinus, kad susirinkimų laisvės</w:t>
      </w:r>
      <w:r w:rsidR="00911DD2">
        <w:rPr>
          <w:rFonts w:asciiTheme="minorHAnsi" w:hAnsiTheme="minorHAnsi" w:cstheme="minorHAnsi"/>
          <w:sz w:val="22"/>
          <w:szCs w:val="22"/>
        </w:rPr>
        <w:t xml:space="preserve"> </w:t>
      </w:r>
      <w:r w:rsidRPr="007C707D">
        <w:rPr>
          <w:rFonts w:asciiTheme="minorHAnsi" w:hAnsiTheme="minorHAnsi" w:cstheme="minorHAnsi"/>
          <w:sz w:val="22"/>
          <w:szCs w:val="22"/>
        </w:rPr>
        <w:t>ribojimas atitiko įstatymų reikalavimus, buvo būtinas demokratinėje</w:t>
      </w:r>
      <w:r w:rsidR="00911DD2">
        <w:rPr>
          <w:rFonts w:asciiTheme="minorHAnsi" w:hAnsiTheme="minorHAnsi" w:cstheme="minorHAnsi"/>
          <w:sz w:val="22"/>
          <w:szCs w:val="22"/>
        </w:rPr>
        <w:t xml:space="preserve"> </w:t>
      </w:r>
      <w:r w:rsidRPr="007C707D">
        <w:rPr>
          <w:rFonts w:asciiTheme="minorHAnsi" w:hAnsiTheme="minorHAnsi" w:cstheme="minorHAnsi"/>
          <w:sz w:val="22"/>
          <w:szCs w:val="22"/>
        </w:rPr>
        <w:t>visuomenėje ir proporcingas, pareiškėjo apeliacinis skundas atmestas, o pirmosios instancijos teismo sprendimas paliktas nepakeistas.</w:t>
      </w:r>
    </w:p>
    <w:p w14:paraId="7B628209" w14:textId="77777777" w:rsidR="007C707D" w:rsidRPr="007C707D" w:rsidRDefault="007C707D" w:rsidP="007C707D">
      <w:pPr>
        <w:ind w:firstLine="567"/>
        <w:jc w:val="both"/>
        <w:rPr>
          <w:rFonts w:asciiTheme="minorHAnsi" w:hAnsiTheme="minorHAnsi" w:cstheme="minorHAnsi"/>
          <w:sz w:val="22"/>
          <w:szCs w:val="22"/>
        </w:rPr>
      </w:pPr>
    </w:p>
    <w:p w14:paraId="0D239D11" w14:textId="77777777" w:rsidR="007C707D" w:rsidRPr="007C707D" w:rsidRDefault="007C707D" w:rsidP="007C707D">
      <w:pPr>
        <w:jc w:val="both"/>
        <w:rPr>
          <w:rFonts w:asciiTheme="minorHAnsi" w:hAnsiTheme="minorHAnsi" w:cstheme="minorHAnsi"/>
          <w:bCs/>
          <w:sz w:val="22"/>
          <w:szCs w:val="22"/>
        </w:rPr>
      </w:pPr>
      <w:r w:rsidRPr="007C707D">
        <w:rPr>
          <w:rFonts w:asciiTheme="minorHAnsi" w:hAnsiTheme="minorHAnsi" w:cstheme="minorHAnsi"/>
          <w:sz w:val="22"/>
          <w:szCs w:val="22"/>
        </w:rPr>
        <w:t xml:space="preserve">2023 m. lapkričio 22 d. nutartis administracinėje byloje </w:t>
      </w:r>
      <w:r w:rsidRPr="007C707D">
        <w:rPr>
          <w:rFonts w:asciiTheme="minorHAnsi" w:hAnsiTheme="minorHAnsi" w:cstheme="minorHAnsi"/>
          <w:bCs/>
          <w:sz w:val="22"/>
          <w:szCs w:val="22"/>
        </w:rPr>
        <w:t>Nr. eA-721-602/2023</w:t>
      </w:r>
    </w:p>
    <w:p w14:paraId="2A4D4A27" w14:textId="77777777" w:rsidR="007C707D" w:rsidRPr="007C707D" w:rsidRDefault="007C707D" w:rsidP="007C707D">
      <w:pPr>
        <w:jc w:val="both"/>
        <w:rPr>
          <w:rFonts w:asciiTheme="minorHAnsi" w:hAnsiTheme="minorHAnsi" w:cstheme="minorHAnsi"/>
          <w:bCs/>
          <w:sz w:val="22"/>
          <w:szCs w:val="22"/>
        </w:rPr>
      </w:pPr>
      <w:r w:rsidRPr="007C707D">
        <w:rPr>
          <w:rFonts w:asciiTheme="minorHAnsi" w:hAnsiTheme="minorHAnsi" w:cstheme="minorHAnsi"/>
          <w:bCs/>
          <w:sz w:val="22"/>
          <w:szCs w:val="22"/>
        </w:rPr>
        <w:t>Teisminio proceso Nr. 3-61-3-01066-2021-1</w:t>
      </w:r>
    </w:p>
    <w:p w14:paraId="72227DC0" w14:textId="77777777" w:rsidR="007C707D" w:rsidRPr="007C707D" w:rsidRDefault="007C707D" w:rsidP="007C707D">
      <w:pPr>
        <w:jc w:val="both"/>
        <w:rPr>
          <w:rFonts w:asciiTheme="minorHAnsi" w:hAnsiTheme="minorHAnsi" w:cstheme="minorHAnsi"/>
          <w:bCs/>
          <w:sz w:val="22"/>
          <w:szCs w:val="22"/>
        </w:rPr>
      </w:pPr>
      <w:r w:rsidRPr="007C707D">
        <w:rPr>
          <w:rFonts w:asciiTheme="minorHAnsi" w:hAnsiTheme="minorHAnsi" w:cstheme="minorHAnsi"/>
          <w:bCs/>
          <w:sz w:val="22"/>
          <w:szCs w:val="22"/>
        </w:rPr>
        <w:t>Procesinio sprendimo kategorija 41</w:t>
      </w:r>
    </w:p>
    <w:p w14:paraId="303F28CF" w14:textId="77777777" w:rsidR="007C707D" w:rsidRPr="007C707D" w:rsidRDefault="00000000" w:rsidP="007C707D">
      <w:pPr>
        <w:jc w:val="both"/>
        <w:rPr>
          <w:rFonts w:asciiTheme="minorHAnsi" w:hAnsiTheme="minorHAnsi" w:cstheme="minorHAnsi"/>
          <w:sz w:val="22"/>
          <w:szCs w:val="22"/>
          <w:u w:val="single"/>
        </w:rPr>
      </w:pPr>
      <w:hyperlink r:id="rId20" w:history="1">
        <w:r w:rsidR="007C707D" w:rsidRPr="007C707D">
          <w:rPr>
            <w:rStyle w:val="Hyperlink"/>
            <w:rFonts w:asciiTheme="minorHAnsi" w:hAnsiTheme="minorHAnsi" w:cstheme="minorHAnsi"/>
            <w:sz w:val="22"/>
            <w:szCs w:val="22"/>
          </w:rPr>
          <w:t>Prieiga internete</w:t>
        </w:r>
      </w:hyperlink>
    </w:p>
    <w:p w14:paraId="65A9CB79" w14:textId="77777777" w:rsidR="006D494A" w:rsidRPr="00F56F28" w:rsidRDefault="006D494A" w:rsidP="00A32A5C">
      <w:pPr>
        <w:ind w:firstLine="567"/>
        <w:rPr>
          <w:rFonts w:asciiTheme="minorHAnsi" w:hAnsiTheme="minorHAnsi" w:cstheme="minorHAnsi"/>
          <w:sz w:val="22"/>
          <w:szCs w:val="22"/>
        </w:rPr>
      </w:pPr>
    </w:p>
    <w:p w14:paraId="0B1DA189" w14:textId="77777777" w:rsidR="00046428" w:rsidRPr="00F56F28" w:rsidRDefault="00046428" w:rsidP="00046428">
      <w:pPr>
        <w:pStyle w:val="Apzvalgai1"/>
        <w:rPr>
          <w:rFonts w:asciiTheme="minorHAnsi" w:hAnsiTheme="minorHAnsi" w:cstheme="minorHAnsi"/>
        </w:rPr>
      </w:pPr>
      <w:bookmarkStart w:id="63" w:name="_Toc159340679"/>
      <w:r w:rsidRPr="00F56F28">
        <w:rPr>
          <w:rFonts w:asciiTheme="minorHAnsi" w:hAnsiTheme="minorHAnsi" w:cstheme="minorHAnsi"/>
        </w:rPr>
        <w:t>II. Administracinių bylų teisena</w:t>
      </w:r>
      <w:bookmarkEnd w:id="63"/>
    </w:p>
    <w:p w14:paraId="58CB5235" w14:textId="1C44C3E3" w:rsidR="00046428" w:rsidRPr="00F56F28" w:rsidRDefault="00046428" w:rsidP="00A32A5C">
      <w:pPr>
        <w:ind w:firstLine="567"/>
        <w:rPr>
          <w:rFonts w:asciiTheme="minorHAnsi" w:hAnsiTheme="minorHAnsi" w:cstheme="minorHAnsi"/>
          <w:sz w:val="22"/>
          <w:szCs w:val="22"/>
        </w:rPr>
      </w:pPr>
    </w:p>
    <w:p w14:paraId="76D82CA6" w14:textId="77777777" w:rsidR="00A10C18" w:rsidRPr="00F56F28" w:rsidRDefault="00A10C18" w:rsidP="00A10C18">
      <w:pPr>
        <w:pStyle w:val="Apzvalgai1"/>
        <w:rPr>
          <w:rFonts w:asciiTheme="minorHAnsi" w:hAnsiTheme="minorHAnsi" w:cstheme="minorHAnsi"/>
        </w:rPr>
      </w:pPr>
      <w:bookmarkStart w:id="64" w:name="_Toc159340680"/>
      <w:r w:rsidRPr="00F56F28">
        <w:rPr>
          <w:rFonts w:asciiTheme="minorHAnsi" w:hAnsiTheme="minorHAnsi" w:cstheme="minorHAnsi"/>
        </w:rPr>
        <w:t>43. Teisė kreiptis į teismą ir jos realizavimas</w:t>
      </w:r>
      <w:bookmarkEnd w:id="64"/>
    </w:p>
    <w:p w14:paraId="2F0A73BB" w14:textId="77777777" w:rsidR="00103184" w:rsidRPr="00F56F28" w:rsidRDefault="00103184" w:rsidP="00103184">
      <w:pPr>
        <w:ind w:firstLine="567"/>
        <w:jc w:val="both"/>
        <w:rPr>
          <w:rFonts w:asciiTheme="minorHAnsi" w:hAnsiTheme="minorHAnsi" w:cstheme="minorHAnsi"/>
          <w:b/>
          <w:bCs/>
          <w:color w:val="000000"/>
          <w:sz w:val="22"/>
          <w:szCs w:val="22"/>
          <w:u w:val="single"/>
          <w:shd w:val="clear" w:color="auto" w:fill="FFFFFF"/>
        </w:rPr>
      </w:pPr>
      <w:r w:rsidRPr="00F56F28">
        <w:rPr>
          <w:rFonts w:asciiTheme="minorHAnsi" w:hAnsiTheme="minorHAnsi" w:cstheme="minorHAnsi"/>
          <w:b/>
          <w:bCs/>
          <w:color w:val="000000"/>
          <w:sz w:val="22"/>
          <w:szCs w:val="22"/>
          <w:u w:val="single"/>
          <w:shd w:val="clear" w:color="auto" w:fill="FFFFFF"/>
        </w:rPr>
        <w:t>43.1. Skundo samprata, skundo elementai (pagrindas ir dalykas)</w:t>
      </w:r>
    </w:p>
    <w:p w14:paraId="3F069025" w14:textId="77777777" w:rsidR="00103184" w:rsidRPr="00F56F28" w:rsidRDefault="00103184" w:rsidP="00103184">
      <w:pPr>
        <w:ind w:firstLine="567"/>
        <w:jc w:val="both"/>
        <w:rPr>
          <w:rFonts w:asciiTheme="minorHAnsi" w:hAnsiTheme="minorHAnsi" w:cstheme="minorHAnsi"/>
          <w:i/>
          <w:iCs/>
          <w:color w:val="000000"/>
          <w:sz w:val="22"/>
          <w:szCs w:val="22"/>
          <w:shd w:val="clear" w:color="auto" w:fill="FFFFFF"/>
        </w:rPr>
      </w:pPr>
    </w:p>
    <w:p w14:paraId="79D4B2A8" w14:textId="77777777" w:rsidR="00103184" w:rsidRPr="00F56F28" w:rsidRDefault="00103184" w:rsidP="00B5418D">
      <w:pPr>
        <w:jc w:val="both"/>
        <w:outlineLvl w:val="1"/>
        <w:rPr>
          <w:rFonts w:asciiTheme="minorHAnsi" w:eastAsia="Calibri" w:hAnsiTheme="minorHAnsi" w:cstheme="minorHAnsi"/>
          <w:i/>
          <w:sz w:val="22"/>
          <w:szCs w:val="22"/>
        </w:rPr>
      </w:pPr>
      <w:bookmarkStart w:id="65" w:name="_Toc159340681"/>
      <w:r w:rsidRPr="00F56F28">
        <w:rPr>
          <w:rFonts w:asciiTheme="minorHAnsi" w:eastAsia="Calibri" w:hAnsiTheme="minorHAnsi" w:cstheme="minorHAnsi"/>
          <w:i/>
          <w:sz w:val="22"/>
          <w:szCs w:val="22"/>
        </w:rPr>
        <w:t>Dėl neteisingo skundo dalyko nustatymo, dėl kurio ginčo šalims nėra suprantama nagrinėjamos bylos esmė</w:t>
      </w:r>
      <w:bookmarkEnd w:id="65"/>
    </w:p>
    <w:p w14:paraId="6FD6C15A" w14:textId="77777777" w:rsidR="00103184" w:rsidRPr="00F56F28" w:rsidRDefault="00103184" w:rsidP="00103184">
      <w:pPr>
        <w:ind w:firstLine="567"/>
        <w:jc w:val="both"/>
        <w:rPr>
          <w:rFonts w:asciiTheme="minorHAnsi" w:hAnsiTheme="minorHAnsi" w:cstheme="minorHAnsi"/>
          <w:color w:val="000000"/>
          <w:sz w:val="22"/>
          <w:szCs w:val="22"/>
          <w:shd w:val="clear" w:color="auto" w:fill="FFFFFF"/>
        </w:rPr>
      </w:pPr>
    </w:p>
    <w:p w14:paraId="1CC4904F" w14:textId="77777777" w:rsidR="00103184" w:rsidRPr="00F56F28" w:rsidRDefault="00103184" w:rsidP="00103184">
      <w:pPr>
        <w:ind w:firstLine="567"/>
        <w:jc w:val="both"/>
        <w:rPr>
          <w:rFonts w:asciiTheme="minorHAnsi" w:hAnsiTheme="minorHAnsi" w:cstheme="minorHAnsi"/>
          <w:color w:val="000000"/>
          <w:sz w:val="22"/>
          <w:szCs w:val="22"/>
          <w:shd w:val="clear" w:color="auto" w:fill="FFFFFF"/>
        </w:rPr>
      </w:pPr>
      <w:r w:rsidRPr="00F56F28">
        <w:rPr>
          <w:rFonts w:asciiTheme="minorHAnsi" w:hAnsiTheme="minorHAnsi" w:cstheme="minorHAnsi"/>
          <w:color w:val="000000"/>
          <w:sz w:val="22"/>
          <w:szCs w:val="22"/>
          <w:shd w:val="clear" w:color="auto" w:fill="FFFFFF"/>
        </w:rPr>
        <w:t>Pareiškėjas kreipėsi į teismą su skundu, prašydamas panaikinti Migracijos departamento prie Lietuvos Respublikos vidaus reikalų ministerijos (toliau – Migracijos departamentas) sprendimą ir įpareigoti atsakovą iš naujo išnagrinėti pareiškėjo prašymą.</w:t>
      </w:r>
    </w:p>
    <w:p w14:paraId="3BE0EEDB" w14:textId="77777777" w:rsidR="00103184" w:rsidRPr="00F56F28" w:rsidRDefault="00103184" w:rsidP="00103184">
      <w:pPr>
        <w:ind w:firstLine="567"/>
        <w:jc w:val="both"/>
        <w:rPr>
          <w:rFonts w:asciiTheme="minorHAnsi" w:hAnsiTheme="minorHAnsi" w:cstheme="minorHAnsi"/>
          <w:color w:val="000000"/>
          <w:sz w:val="22"/>
          <w:szCs w:val="22"/>
          <w:shd w:val="clear" w:color="auto" w:fill="FFFFFF"/>
        </w:rPr>
      </w:pPr>
      <w:r w:rsidRPr="00F56F28">
        <w:rPr>
          <w:rFonts w:asciiTheme="minorHAnsi" w:hAnsiTheme="minorHAnsi" w:cstheme="minorHAnsi"/>
          <w:color w:val="000000"/>
          <w:sz w:val="22"/>
          <w:szCs w:val="22"/>
          <w:shd w:val="clear" w:color="auto" w:fill="FFFFFF"/>
        </w:rPr>
        <w:t>Pirmosios instancijos teismas pareiškėjo skundą tenkino – panaikino Migracijos departamento 2023 m. birželio 22 d. sprendimą ir įpareigojo atsakovą iš naujo išnagrinėti pareiškėjo prašymą išduoti leidimą laikinai gyventi Lietuvos Respublikoje.</w:t>
      </w:r>
    </w:p>
    <w:p w14:paraId="3F381E53" w14:textId="77777777" w:rsidR="00103184" w:rsidRPr="00F56F28" w:rsidRDefault="00103184" w:rsidP="00103184">
      <w:pPr>
        <w:ind w:firstLine="567"/>
        <w:jc w:val="both"/>
        <w:rPr>
          <w:rFonts w:asciiTheme="minorHAnsi" w:hAnsiTheme="minorHAnsi" w:cstheme="minorHAnsi"/>
          <w:color w:val="000000"/>
          <w:sz w:val="22"/>
          <w:szCs w:val="22"/>
          <w:shd w:val="clear" w:color="auto" w:fill="FFFFFF"/>
        </w:rPr>
      </w:pPr>
      <w:r w:rsidRPr="00F56F28">
        <w:rPr>
          <w:rFonts w:asciiTheme="minorHAnsi" w:hAnsiTheme="minorHAnsi" w:cstheme="minorHAnsi"/>
          <w:color w:val="000000"/>
          <w:sz w:val="22"/>
          <w:szCs w:val="22"/>
          <w:shd w:val="clear" w:color="auto" w:fill="FFFFFF"/>
        </w:rPr>
        <w:t xml:space="preserve">LVAT teisėjų kolegija, pasisakydama dėl šios bylos nagrinėjimo dalyko, pažymėjo, kad iš pareiškėjo pirmosios instancijos teismui paduoto skundo turinio matyti, jog jis ginčija Migracijos departamento sprendimą, kuriuo atsisakyta jam išduoti leidimą laikinai gyventi Lietuvos Respublikoje. Pagal byloje pateiktus duomenis šis Migracijos departamento sprendimas buvo priimtas 2023 m. birželio 19 d., o ne 2023 m. birželio 22 d., kaip skundo reikalavimuose nurodė pareiškėjas (Migracijos departamentas 2023 m. birželio 22 d. priėmė sprendimą uždrausti pareiškėjui 5 metus atvykti į Lietuvos Respubliką). Pareiškėjas, šalindamas pirmosios instancijos teismo 2023 m. liepos 10 d. nutartimi nustatytus skundo trūkumus (pateikti teismui skundžiamą sprendimą), pateikė teismui Migracijos departamento sprendimą, kuriuo atsisakyta jam išduoti leidimą laikinai gyventi. Pareiškėjas nepateikė šio sprendimo metaduomenų, todėl teismas neturėjo galimybės patikslinti šio sprendimo priėmimo </w:t>
      </w:r>
      <w:r w:rsidRPr="00F56F28">
        <w:rPr>
          <w:rFonts w:asciiTheme="minorHAnsi" w:hAnsiTheme="minorHAnsi" w:cstheme="minorHAnsi"/>
          <w:color w:val="000000"/>
          <w:sz w:val="22"/>
          <w:szCs w:val="22"/>
          <w:shd w:val="clear" w:color="auto" w:fill="FFFFFF"/>
        </w:rPr>
        <w:lastRenderedPageBreak/>
        <w:t>datos ir numerio. Pirmosios instancijos teismas 2023 m. liepos 12 d. nutartimi, po pareiškėjo skundo trūkumų šalinimo, priėmė nagrinėti pareiškėjo skundą dėl Migracijos departamento 2023 m. birželio 22 d. sprendimo, nenurodydamas nutartyje šio sprendimo pavadinimo.</w:t>
      </w:r>
    </w:p>
    <w:p w14:paraId="66F03D07" w14:textId="77777777" w:rsidR="00103184" w:rsidRPr="00F56F28" w:rsidRDefault="00103184" w:rsidP="00103184">
      <w:pPr>
        <w:ind w:firstLine="567"/>
        <w:jc w:val="both"/>
        <w:rPr>
          <w:rFonts w:asciiTheme="minorHAnsi" w:hAnsiTheme="minorHAnsi" w:cstheme="minorHAnsi"/>
          <w:color w:val="000000"/>
          <w:sz w:val="22"/>
          <w:szCs w:val="22"/>
          <w:shd w:val="clear" w:color="auto" w:fill="FFFFFF"/>
        </w:rPr>
      </w:pPr>
      <w:r w:rsidRPr="00F56F28">
        <w:rPr>
          <w:rFonts w:asciiTheme="minorHAnsi" w:hAnsiTheme="minorHAnsi" w:cstheme="minorHAnsi"/>
          <w:color w:val="000000"/>
          <w:sz w:val="22"/>
          <w:szCs w:val="22"/>
          <w:shd w:val="clear" w:color="auto" w:fill="FFFFFF"/>
        </w:rPr>
        <w:t>Migracijos departamentas, teikdamas atsiliepimą į skundą, akcentavo, kad pareiškėjas skundžia 2023 m. birželio 22 d. sprendimą uždrausti pareiškėjui 5 metus atvykti į Lietuvos Respubliką, ir pateikė su šiuo sprendimu susijusius argumentus.</w:t>
      </w:r>
    </w:p>
    <w:p w14:paraId="29621E72" w14:textId="3CA06E30" w:rsidR="00103184" w:rsidRPr="00F56F28" w:rsidRDefault="00103184" w:rsidP="00103184">
      <w:pPr>
        <w:ind w:firstLine="567"/>
        <w:jc w:val="both"/>
        <w:rPr>
          <w:rFonts w:asciiTheme="minorHAnsi" w:hAnsiTheme="minorHAnsi" w:cstheme="minorHAnsi"/>
          <w:color w:val="000000"/>
          <w:sz w:val="22"/>
          <w:szCs w:val="22"/>
          <w:shd w:val="clear" w:color="auto" w:fill="FFFFFF"/>
        </w:rPr>
      </w:pPr>
      <w:r w:rsidRPr="00F56F28">
        <w:rPr>
          <w:rFonts w:asciiTheme="minorHAnsi" w:hAnsiTheme="minorHAnsi" w:cstheme="minorHAnsi"/>
          <w:color w:val="000000"/>
          <w:sz w:val="22"/>
          <w:szCs w:val="22"/>
          <w:shd w:val="clear" w:color="auto" w:fill="FFFFFF"/>
        </w:rPr>
        <w:t xml:space="preserve">LVAT akcentavo, kad pirmosios instancijos teismas skundo priėmimo </w:t>
      </w:r>
      <w:r w:rsidR="00B5418D" w:rsidRPr="00F56F28">
        <w:rPr>
          <w:rFonts w:asciiTheme="minorHAnsi" w:hAnsiTheme="minorHAnsi" w:cstheme="minorHAnsi"/>
          <w:color w:val="000000"/>
          <w:sz w:val="22"/>
          <w:szCs w:val="22"/>
          <w:shd w:val="clear" w:color="auto" w:fill="FFFFFF"/>
        </w:rPr>
        <w:t xml:space="preserve">stadijoje </w:t>
      </w:r>
      <w:r w:rsidRPr="00F56F28">
        <w:rPr>
          <w:rFonts w:asciiTheme="minorHAnsi" w:hAnsiTheme="minorHAnsi" w:cstheme="minorHAnsi"/>
          <w:color w:val="000000"/>
          <w:sz w:val="22"/>
          <w:szCs w:val="22"/>
          <w:shd w:val="clear" w:color="auto" w:fill="FFFFFF"/>
        </w:rPr>
        <w:t xml:space="preserve">ir pasiruošimo nagrinėti </w:t>
      </w:r>
      <w:r w:rsidR="00B5418D" w:rsidRPr="00F56F28">
        <w:rPr>
          <w:rFonts w:asciiTheme="minorHAnsi" w:hAnsiTheme="minorHAnsi" w:cstheme="minorHAnsi"/>
          <w:color w:val="000000"/>
          <w:sz w:val="22"/>
          <w:szCs w:val="22"/>
          <w:shd w:val="clear" w:color="auto" w:fill="FFFFFF"/>
        </w:rPr>
        <w:t xml:space="preserve">bylą </w:t>
      </w:r>
      <w:r w:rsidRPr="00F56F28">
        <w:rPr>
          <w:rFonts w:asciiTheme="minorHAnsi" w:hAnsiTheme="minorHAnsi" w:cstheme="minorHAnsi"/>
          <w:color w:val="000000"/>
          <w:sz w:val="22"/>
          <w:szCs w:val="22"/>
          <w:shd w:val="clear" w:color="auto" w:fill="FFFFFF"/>
        </w:rPr>
        <w:t xml:space="preserve">stadijoje padarė klaidas, dėl kurių negalima pripažinti, kad byla yra išnagrinėta tinkamai. </w:t>
      </w:r>
      <w:r w:rsidRPr="00F56F28">
        <w:rPr>
          <w:rFonts w:asciiTheme="minorHAnsi" w:hAnsiTheme="minorHAnsi" w:cstheme="minorHAnsi"/>
          <w:color w:val="000000"/>
          <w:sz w:val="22"/>
          <w:szCs w:val="22"/>
          <w:u w:val="single"/>
          <w:shd w:val="clear" w:color="auto" w:fill="FFFFFF"/>
        </w:rPr>
        <w:t>Teismas priėmė pareiškėjo pateiktą skundžiamo sprendimo kopiją, kurioje nėra duomenų apie sprendimo priėmimo datą ir numerį (be metaduomenų), dėl to procesiniuose dokumentuose neteisingai įvardi</w:t>
      </w:r>
      <w:r w:rsidR="00B5418D" w:rsidRPr="00F56F28">
        <w:rPr>
          <w:rFonts w:asciiTheme="minorHAnsi" w:hAnsiTheme="minorHAnsi" w:cstheme="minorHAnsi"/>
          <w:color w:val="000000"/>
          <w:sz w:val="22"/>
          <w:szCs w:val="22"/>
          <w:u w:val="single"/>
          <w:shd w:val="clear" w:color="auto" w:fill="FFFFFF"/>
        </w:rPr>
        <w:t>j</w:t>
      </w:r>
      <w:r w:rsidRPr="00F56F28">
        <w:rPr>
          <w:rFonts w:asciiTheme="minorHAnsi" w:hAnsiTheme="minorHAnsi" w:cstheme="minorHAnsi"/>
          <w:color w:val="000000"/>
          <w:sz w:val="22"/>
          <w:szCs w:val="22"/>
          <w:u w:val="single"/>
          <w:shd w:val="clear" w:color="auto" w:fill="FFFFFF"/>
        </w:rPr>
        <w:t>o skundžiamo sprendimo datą ir numerį</w:t>
      </w:r>
      <w:r w:rsidRPr="00F56F28">
        <w:rPr>
          <w:rFonts w:asciiTheme="minorHAnsi" w:hAnsiTheme="minorHAnsi" w:cstheme="minorHAnsi"/>
          <w:color w:val="000000"/>
          <w:sz w:val="22"/>
          <w:szCs w:val="22"/>
          <w:shd w:val="clear" w:color="auto" w:fill="FFFFFF"/>
        </w:rPr>
        <w:t xml:space="preserve">. Pasiruošimo nagrinėti </w:t>
      </w:r>
      <w:r w:rsidR="00B5418D" w:rsidRPr="00F56F28">
        <w:rPr>
          <w:rFonts w:asciiTheme="minorHAnsi" w:hAnsiTheme="minorHAnsi" w:cstheme="minorHAnsi"/>
          <w:color w:val="000000"/>
          <w:sz w:val="22"/>
          <w:szCs w:val="22"/>
          <w:shd w:val="clear" w:color="auto" w:fill="FFFFFF"/>
        </w:rPr>
        <w:t xml:space="preserve">bylą </w:t>
      </w:r>
      <w:r w:rsidRPr="00F56F28">
        <w:rPr>
          <w:rFonts w:asciiTheme="minorHAnsi" w:hAnsiTheme="minorHAnsi" w:cstheme="minorHAnsi"/>
          <w:color w:val="000000"/>
          <w:sz w:val="22"/>
          <w:szCs w:val="22"/>
          <w:shd w:val="clear" w:color="auto" w:fill="FFFFFF"/>
        </w:rPr>
        <w:t>stadijoje teismas nepatikrino minėtų duomenų su atsakovo pateiktais dokumentais, neįvertino</w:t>
      </w:r>
      <w:r w:rsidR="00B5418D" w:rsidRPr="00F56F28">
        <w:rPr>
          <w:rFonts w:asciiTheme="minorHAnsi" w:hAnsiTheme="minorHAnsi" w:cstheme="minorHAnsi"/>
          <w:color w:val="000000"/>
          <w:sz w:val="22"/>
          <w:szCs w:val="22"/>
          <w:shd w:val="clear" w:color="auto" w:fill="FFFFFF"/>
        </w:rPr>
        <w:t xml:space="preserve"> </w:t>
      </w:r>
      <w:r w:rsidRPr="00F56F28">
        <w:rPr>
          <w:rFonts w:asciiTheme="minorHAnsi" w:hAnsiTheme="minorHAnsi" w:cstheme="minorHAnsi"/>
          <w:color w:val="000000"/>
          <w:sz w:val="22"/>
          <w:szCs w:val="22"/>
          <w:shd w:val="clear" w:color="auto" w:fill="FFFFFF"/>
        </w:rPr>
        <w:t>aplinkybės, kad atsakovas suprato, jog pareiškėjas skundžia sprendimą uždrausti pareiškėjui atvykti į Lietuvos Respubliką, o ne sprendimą dėl atsisakymo išduoti leidimą laikinai gyventi Lietuvos Respublikoje. Taigi pareiškėjas ir atsakovas skirtingai suprato, kas yra nagrinėjamos bylos dalykas.</w:t>
      </w:r>
    </w:p>
    <w:p w14:paraId="23BADEB7" w14:textId="77777777" w:rsidR="00B5418D" w:rsidRPr="00F56F28" w:rsidRDefault="00103184" w:rsidP="00103184">
      <w:pPr>
        <w:ind w:firstLine="567"/>
        <w:jc w:val="both"/>
        <w:rPr>
          <w:rFonts w:asciiTheme="minorHAnsi" w:hAnsiTheme="minorHAnsi" w:cstheme="minorHAnsi"/>
          <w:color w:val="000000"/>
          <w:sz w:val="22"/>
          <w:szCs w:val="22"/>
          <w:shd w:val="clear" w:color="auto" w:fill="FFFFFF"/>
        </w:rPr>
      </w:pPr>
      <w:r w:rsidRPr="00F56F28">
        <w:rPr>
          <w:rFonts w:asciiTheme="minorHAnsi" w:hAnsiTheme="minorHAnsi" w:cstheme="minorHAnsi"/>
          <w:color w:val="000000"/>
          <w:sz w:val="22"/>
          <w:szCs w:val="22"/>
          <w:shd w:val="clear" w:color="auto" w:fill="FFFFFF"/>
        </w:rPr>
        <w:t xml:space="preserve">Teisėjų kolegija konstatavo, kad </w:t>
      </w:r>
      <w:r w:rsidRPr="00F56F28">
        <w:rPr>
          <w:rFonts w:asciiTheme="minorHAnsi" w:hAnsiTheme="minorHAnsi" w:cstheme="minorHAnsi"/>
          <w:color w:val="000000"/>
          <w:sz w:val="22"/>
          <w:szCs w:val="22"/>
          <w:u w:val="single"/>
          <w:shd w:val="clear" w:color="auto" w:fill="FFFFFF"/>
        </w:rPr>
        <w:t>skundo dalyko neteisingas nustatymas, dėl kurio bylos šalims nėra suprantama nagrinėjamos bylos esmė, pripažintinas proceso teisės normų pažeidimu, dėl kurio neteisingai išsprendžiama byla</w:t>
      </w:r>
      <w:r w:rsidRPr="00F56F28">
        <w:rPr>
          <w:rFonts w:asciiTheme="minorHAnsi" w:hAnsiTheme="minorHAnsi" w:cstheme="minorHAnsi"/>
          <w:color w:val="000000"/>
          <w:sz w:val="22"/>
          <w:szCs w:val="22"/>
          <w:shd w:val="clear" w:color="auto" w:fill="FFFFFF"/>
        </w:rPr>
        <w:t xml:space="preserve"> (ABTĮ 24 str</w:t>
      </w:r>
      <w:r w:rsidR="00B5418D" w:rsidRPr="00F56F28">
        <w:rPr>
          <w:rFonts w:asciiTheme="minorHAnsi" w:hAnsiTheme="minorHAnsi" w:cstheme="minorHAnsi"/>
          <w:color w:val="000000"/>
          <w:sz w:val="22"/>
          <w:szCs w:val="22"/>
          <w:shd w:val="clear" w:color="auto" w:fill="FFFFFF"/>
        </w:rPr>
        <w:t>.</w:t>
      </w:r>
      <w:r w:rsidRPr="00F56F28">
        <w:rPr>
          <w:rFonts w:asciiTheme="minorHAnsi" w:hAnsiTheme="minorHAnsi" w:cstheme="minorHAnsi"/>
          <w:color w:val="000000"/>
          <w:sz w:val="22"/>
          <w:szCs w:val="22"/>
          <w:shd w:val="clear" w:color="auto" w:fill="FFFFFF"/>
        </w:rPr>
        <w:t xml:space="preserve"> 2 d</w:t>
      </w:r>
      <w:r w:rsidR="00B5418D" w:rsidRPr="00F56F28">
        <w:rPr>
          <w:rFonts w:asciiTheme="minorHAnsi" w:hAnsiTheme="minorHAnsi" w:cstheme="minorHAnsi"/>
          <w:color w:val="000000"/>
          <w:sz w:val="22"/>
          <w:szCs w:val="22"/>
          <w:shd w:val="clear" w:color="auto" w:fill="FFFFFF"/>
        </w:rPr>
        <w:t>.</w:t>
      </w:r>
      <w:r w:rsidRPr="00F56F28">
        <w:rPr>
          <w:rFonts w:asciiTheme="minorHAnsi" w:hAnsiTheme="minorHAnsi" w:cstheme="minorHAnsi"/>
          <w:color w:val="000000"/>
          <w:sz w:val="22"/>
          <w:szCs w:val="22"/>
          <w:shd w:val="clear" w:color="auto" w:fill="FFFFFF"/>
        </w:rPr>
        <w:t xml:space="preserve">). </w:t>
      </w:r>
      <w:r w:rsidRPr="00F56F28">
        <w:rPr>
          <w:rFonts w:asciiTheme="minorHAnsi" w:hAnsiTheme="minorHAnsi" w:cstheme="minorHAnsi"/>
          <w:color w:val="000000"/>
          <w:sz w:val="22"/>
          <w:szCs w:val="22"/>
          <w:u w:val="single"/>
          <w:shd w:val="clear" w:color="auto" w:fill="FFFFFF"/>
        </w:rPr>
        <w:t>Šio vertinimo nekeičia aplinkybė, kad skundo pagrindas buvo iš dalies apibrėžtas tinkamai</w:t>
      </w:r>
      <w:r w:rsidRPr="00F56F28">
        <w:rPr>
          <w:rFonts w:asciiTheme="minorHAnsi" w:hAnsiTheme="minorHAnsi" w:cstheme="minorHAnsi"/>
          <w:color w:val="000000"/>
          <w:sz w:val="22"/>
          <w:szCs w:val="22"/>
          <w:shd w:val="clear" w:color="auto" w:fill="FFFFFF"/>
        </w:rPr>
        <w:t>.</w:t>
      </w:r>
    </w:p>
    <w:p w14:paraId="3436BA48" w14:textId="52FED398" w:rsidR="00103184" w:rsidRPr="00F56F28" w:rsidRDefault="00103184" w:rsidP="00103184">
      <w:pPr>
        <w:ind w:firstLine="567"/>
        <w:jc w:val="both"/>
        <w:rPr>
          <w:rFonts w:asciiTheme="minorHAnsi" w:hAnsiTheme="minorHAnsi" w:cstheme="minorHAnsi"/>
          <w:color w:val="000000"/>
          <w:sz w:val="22"/>
          <w:szCs w:val="22"/>
          <w:shd w:val="clear" w:color="auto" w:fill="FFFFFF"/>
        </w:rPr>
      </w:pPr>
      <w:r w:rsidRPr="00F56F28">
        <w:rPr>
          <w:rFonts w:asciiTheme="minorHAnsi" w:hAnsiTheme="minorHAnsi" w:cstheme="minorHAnsi"/>
          <w:color w:val="000000"/>
          <w:sz w:val="22"/>
          <w:szCs w:val="22"/>
          <w:shd w:val="clear" w:color="auto" w:fill="FFFFFF"/>
        </w:rPr>
        <w:t>Dėl nurodytų motyvų, pirmosios instancijos teismo sprendimas panaikintas ir byla perduota pirmosios instancijos teismui nagrinėti iš naujo.</w:t>
      </w:r>
    </w:p>
    <w:p w14:paraId="32951ED8" w14:textId="77777777" w:rsidR="00103184" w:rsidRPr="00F56F28" w:rsidRDefault="00103184" w:rsidP="00103184">
      <w:pPr>
        <w:ind w:firstLine="567"/>
        <w:jc w:val="both"/>
        <w:rPr>
          <w:rFonts w:asciiTheme="minorHAnsi" w:hAnsiTheme="minorHAnsi" w:cstheme="minorHAnsi"/>
          <w:color w:val="000000"/>
          <w:sz w:val="22"/>
          <w:szCs w:val="22"/>
          <w:shd w:val="clear" w:color="auto" w:fill="FFFFFF"/>
        </w:rPr>
      </w:pPr>
    </w:p>
    <w:p w14:paraId="1DCD1146" w14:textId="77777777" w:rsidR="00103184" w:rsidRPr="00F56F28" w:rsidRDefault="00103184" w:rsidP="00103184">
      <w:pPr>
        <w:jc w:val="both"/>
        <w:rPr>
          <w:rFonts w:asciiTheme="minorHAnsi" w:hAnsiTheme="minorHAnsi" w:cstheme="minorHAnsi"/>
          <w:color w:val="000000"/>
          <w:sz w:val="22"/>
          <w:szCs w:val="22"/>
          <w:shd w:val="clear" w:color="auto" w:fill="FFFFFF"/>
        </w:rPr>
      </w:pPr>
      <w:r w:rsidRPr="00F56F28">
        <w:rPr>
          <w:rFonts w:asciiTheme="minorHAnsi" w:hAnsiTheme="minorHAnsi" w:cstheme="minorHAnsi"/>
          <w:color w:val="000000"/>
          <w:sz w:val="22"/>
          <w:szCs w:val="22"/>
          <w:shd w:val="clear" w:color="auto" w:fill="FFFFFF"/>
        </w:rPr>
        <w:t>2023 m. lapkričio 15 d. nutartis administracinėje byloje Nr. eA-2408-602/2023</w:t>
      </w:r>
    </w:p>
    <w:p w14:paraId="5F1C64DF" w14:textId="77777777" w:rsidR="00103184" w:rsidRPr="00F56F28" w:rsidRDefault="00103184" w:rsidP="00103184">
      <w:pPr>
        <w:jc w:val="both"/>
        <w:rPr>
          <w:rFonts w:asciiTheme="minorHAnsi" w:hAnsiTheme="minorHAnsi" w:cstheme="minorHAnsi"/>
          <w:sz w:val="22"/>
          <w:szCs w:val="22"/>
        </w:rPr>
      </w:pPr>
      <w:r w:rsidRPr="00F56F28">
        <w:rPr>
          <w:rFonts w:asciiTheme="minorHAnsi" w:hAnsiTheme="minorHAnsi" w:cstheme="minorHAnsi"/>
          <w:color w:val="000000"/>
          <w:sz w:val="22"/>
          <w:szCs w:val="22"/>
          <w:shd w:val="clear" w:color="auto" w:fill="FFFFFF"/>
        </w:rPr>
        <w:t xml:space="preserve">Teisminio proceso Nr. </w:t>
      </w:r>
      <w:r w:rsidRPr="00F56F28">
        <w:rPr>
          <w:rFonts w:asciiTheme="minorHAnsi" w:hAnsiTheme="minorHAnsi" w:cstheme="minorHAnsi"/>
          <w:sz w:val="22"/>
          <w:szCs w:val="22"/>
        </w:rPr>
        <w:t>3-61-3-07511-2023-4</w:t>
      </w:r>
    </w:p>
    <w:p w14:paraId="5F56B2ED" w14:textId="48F04B49" w:rsidR="00103184" w:rsidRPr="00F56F28" w:rsidRDefault="00103184" w:rsidP="00103184">
      <w:pPr>
        <w:jc w:val="both"/>
        <w:rPr>
          <w:rFonts w:asciiTheme="minorHAnsi" w:hAnsiTheme="minorHAnsi" w:cstheme="minorHAnsi"/>
          <w:color w:val="000000"/>
          <w:sz w:val="22"/>
          <w:szCs w:val="22"/>
          <w:shd w:val="clear" w:color="auto" w:fill="FFFFFF"/>
        </w:rPr>
      </w:pPr>
      <w:r w:rsidRPr="00F56F28">
        <w:rPr>
          <w:rFonts w:asciiTheme="minorHAnsi" w:hAnsiTheme="minorHAnsi" w:cstheme="minorHAnsi"/>
          <w:color w:val="000000"/>
          <w:sz w:val="22"/>
          <w:szCs w:val="22"/>
          <w:shd w:val="clear" w:color="auto" w:fill="FFFFFF"/>
        </w:rPr>
        <w:t>Procesinio sprendimo kategorijos: 8.3.1; 8.6.4</w:t>
      </w:r>
    </w:p>
    <w:p w14:paraId="1C1B07DD" w14:textId="77777777" w:rsidR="00103184" w:rsidRPr="00F56F28" w:rsidRDefault="00000000" w:rsidP="00103184">
      <w:pPr>
        <w:jc w:val="both"/>
        <w:rPr>
          <w:rStyle w:val="Hyperlink"/>
          <w:rFonts w:asciiTheme="minorHAnsi" w:hAnsiTheme="minorHAnsi" w:cstheme="minorHAnsi"/>
          <w:sz w:val="22"/>
          <w:szCs w:val="22"/>
          <w:shd w:val="clear" w:color="auto" w:fill="FFFFFF"/>
        </w:rPr>
      </w:pPr>
      <w:hyperlink r:id="rId21" w:history="1">
        <w:r w:rsidR="00103184" w:rsidRPr="00F56F28">
          <w:rPr>
            <w:rStyle w:val="Hyperlink"/>
            <w:rFonts w:asciiTheme="minorHAnsi" w:hAnsiTheme="minorHAnsi" w:cstheme="minorHAnsi"/>
            <w:sz w:val="22"/>
            <w:szCs w:val="22"/>
            <w:shd w:val="clear" w:color="auto" w:fill="FFFFFF"/>
          </w:rPr>
          <w:t>Prieiga internete</w:t>
        </w:r>
      </w:hyperlink>
    </w:p>
    <w:p w14:paraId="24AF7A07" w14:textId="77777777" w:rsidR="00103184" w:rsidRPr="00F56F28" w:rsidRDefault="00103184" w:rsidP="00A10C18">
      <w:pPr>
        <w:ind w:firstLine="567"/>
        <w:jc w:val="both"/>
        <w:rPr>
          <w:rFonts w:asciiTheme="minorHAnsi" w:hAnsiTheme="minorHAnsi" w:cstheme="minorHAnsi"/>
          <w:b/>
          <w:bCs/>
          <w:color w:val="000000"/>
          <w:sz w:val="22"/>
          <w:szCs w:val="22"/>
          <w:u w:val="single"/>
          <w:shd w:val="clear" w:color="auto" w:fill="FFFFFF"/>
        </w:rPr>
      </w:pPr>
    </w:p>
    <w:p w14:paraId="4AFCBBB9" w14:textId="77777777" w:rsidR="00A10C18" w:rsidRPr="00F56F28" w:rsidRDefault="00A10C18" w:rsidP="00A10C18">
      <w:pPr>
        <w:ind w:firstLine="567"/>
        <w:jc w:val="both"/>
        <w:rPr>
          <w:rFonts w:asciiTheme="minorHAnsi" w:hAnsiTheme="minorHAnsi" w:cstheme="minorHAnsi"/>
          <w:b/>
          <w:bCs/>
          <w:color w:val="000000"/>
          <w:sz w:val="22"/>
          <w:szCs w:val="22"/>
          <w:u w:val="single"/>
          <w:shd w:val="clear" w:color="auto" w:fill="FFFFFF"/>
        </w:rPr>
      </w:pPr>
      <w:r w:rsidRPr="00F56F28">
        <w:rPr>
          <w:rFonts w:asciiTheme="minorHAnsi" w:hAnsiTheme="minorHAnsi" w:cstheme="minorHAnsi"/>
          <w:b/>
          <w:bCs/>
          <w:color w:val="000000"/>
          <w:sz w:val="22"/>
          <w:szCs w:val="22"/>
          <w:u w:val="single"/>
          <w:shd w:val="clear" w:color="auto" w:fill="FFFFFF"/>
        </w:rPr>
        <w:t>43.5. Atsisakymas priimti skundą</w:t>
      </w:r>
    </w:p>
    <w:p w14:paraId="5CBA95E7" w14:textId="77777777" w:rsidR="00A10C18" w:rsidRPr="00F56F28" w:rsidRDefault="00A10C18" w:rsidP="00A10C18">
      <w:pPr>
        <w:ind w:firstLine="1134"/>
        <w:jc w:val="both"/>
        <w:rPr>
          <w:rFonts w:asciiTheme="minorHAnsi" w:hAnsiTheme="minorHAnsi" w:cstheme="minorHAnsi"/>
          <w:color w:val="000000"/>
          <w:sz w:val="22"/>
          <w:szCs w:val="22"/>
          <w:shd w:val="clear" w:color="auto" w:fill="FFFFFF"/>
        </w:rPr>
      </w:pPr>
      <w:r w:rsidRPr="00F56F28">
        <w:rPr>
          <w:rFonts w:asciiTheme="minorHAnsi" w:hAnsiTheme="minorHAnsi" w:cstheme="minorHAnsi"/>
          <w:b/>
          <w:bCs/>
          <w:color w:val="000000"/>
          <w:sz w:val="22"/>
          <w:szCs w:val="22"/>
          <w:u w:val="single"/>
          <w:shd w:val="clear" w:color="auto" w:fill="FFFFFF"/>
        </w:rPr>
        <w:t>43.5.1. Kai skundas nenagrinėtinas ABTĮ nustatyta tvarka</w:t>
      </w:r>
    </w:p>
    <w:p w14:paraId="35FE6ECE" w14:textId="77777777" w:rsidR="00AC2555" w:rsidRPr="00F56F28" w:rsidRDefault="00AC2555" w:rsidP="00AC2555">
      <w:pPr>
        <w:ind w:firstLine="1701"/>
        <w:jc w:val="both"/>
        <w:rPr>
          <w:rFonts w:asciiTheme="minorHAnsi" w:hAnsiTheme="minorHAnsi" w:cstheme="minorHAnsi"/>
          <w:b/>
          <w:bCs/>
          <w:color w:val="000000"/>
          <w:sz w:val="22"/>
          <w:szCs w:val="22"/>
          <w:u w:val="single"/>
          <w:shd w:val="clear" w:color="auto" w:fill="FFFFFF"/>
        </w:rPr>
      </w:pPr>
      <w:r w:rsidRPr="00F56F28">
        <w:rPr>
          <w:rFonts w:asciiTheme="minorHAnsi" w:hAnsiTheme="minorHAnsi" w:cstheme="minorHAnsi"/>
          <w:b/>
          <w:bCs/>
          <w:color w:val="000000"/>
          <w:sz w:val="22"/>
          <w:szCs w:val="22"/>
          <w:u w:val="single"/>
          <w:shd w:val="clear" w:color="auto" w:fill="FFFFFF"/>
        </w:rPr>
        <w:t>43.5.1.1. Aktai ar veiksmai, dėl kurių negalima pateikti skundo administraciniam teismui</w:t>
      </w:r>
    </w:p>
    <w:p w14:paraId="7CED9652" w14:textId="77777777" w:rsidR="00AC2555" w:rsidRPr="00F56F28" w:rsidRDefault="00AC2555" w:rsidP="00AC2555">
      <w:pPr>
        <w:ind w:left="2552" w:hanging="850"/>
        <w:jc w:val="both"/>
        <w:rPr>
          <w:rFonts w:asciiTheme="minorHAnsi" w:hAnsiTheme="minorHAnsi" w:cstheme="minorHAnsi"/>
          <w:b/>
          <w:bCs/>
          <w:color w:val="000000"/>
          <w:sz w:val="22"/>
          <w:szCs w:val="22"/>
          <w:u w:val="single"/>
          <w:shd w:val="clear" w:color="auto" w:fill="FFFFFF"/>
        </w:rPr>
      </w:pPr>
    </w:p>
    <w:p w14:paraId="41ACBE8D" w14:textId="77777777" w:rsidR="00AC2555" w:rsidRPr="00F56F28" w:rsidRDefault="00AC2555" w:rsidP="00AC2555">
      <w:pPr>
        <w:jc w:val="both"/>
        <w:outlineLvl w:val="1"/>
        <w:rPr>
          <w:rFonts w:asciiTheme="minorHAnsi" w:eastAsia="Calibri" w:hAnsiTheme="minorHAnsi" w:cstheme="minorHAnsi"/>
          <w:i/>
          <w:sz w:val="22"/>
          <w:szCs w:val="22"/>
        </w:rPr>
      </w:pPr>
      <w:bookmarkStart w:id="66" w:name="_Toc149644770"/>
      <w:bookmarkStart w:id="67" w:name="_Toc159340682"/>
      <w:r w:rsidRPr="00F56F28">
        <w:rPr>
          <w:rFonts w:asciiTheme="minorHAnsi" w:eastAsia="Calibri" w:hAnsiTheme="minorHAnsi" w:cstheme="minorHAnsi"/>
          <w:i/>
          <w:sz w:val="22"/>
          <w:szCs w:val="22"/>
        </w:rPr>
        <w:t xml:space="preserve">Dėl ministerijos </w:t>
      </w:r>
      <w:bookmarkEnd w:id="66"/>
      <w:r w:rsidRPr="00F56F28">
        <w:rPr>
          <w:rFonts w:asciiTheme="minorHAnsi" w:eastAsia="Calibri" w:hAnsiTheme="minorHAnsi" w:cstheme="minorHAnsi"/>
          <w:i/>
          <w:sz w:val="22"/>
          <w:szCs w:val="22"/>
        </w:rPr>
        <w:t>vilkinimo pateikti nenuasmenintą administracinį sprendimą, kuris reikalingas pareiškėjui kitoje teismo nagrinėjamoje byloje, kaip savarankiško skundo objekto</w:t>
      </w:r>
      <w:bookmarkEnd w:id="67"/>
    </w:p>
    <w:p w14:paraId="1B16FD51" w14:textId="77777777" w:rsidR="00AC2555" w:rsidRPr="00F56F28" w:rsidRDefault="00AC2555" w:rsidP="00AC2555">
      <w:pPr>
        <w:jc w:val="both"/>
        <w:rPr>
          <w:rFonts w:asciiTheme="minorHAnsi" w:hAnsiTheme="minorHAnsi" w:cstheme="minorHAnsi"/>
          <w:i/>
          <w:iCs/>
          <w:color w:val="000000"/>
          <w:sz w:val="22"/>
          <w:szCs w:val="22"/>
          <w:shd w:val="clear" w:color="auto" w:fill="FFFFFF"/>
        </w:rPr>
      </w:pPr>
    </w:p>
    <w:p w14:paraId="5C00DAF3" w14:textId="77777777" w:rsidR="00AC2555" w:rsidRPr="00F56F28" w:rsidRDefault="00AC2555" w:rsidP="00AC2555">
      <w:pPr>
        <w:ind w:firstLine="567"/>
        <w:jc w:val="both"/>
        <w:rPr>
          <w:rFonts w:asciiTheme="minorHAnsi" w:hAnsiTheme="minorHAnsi" w:cstheme="minorHAnsi"/>
          <w:color w:val="000000"/>
          <w:sz w:val="22"/>
          <w:szCs w:val="22"/>
          <w:shd w:val="clear" w:color="auto" w:fill="FFFFFF"/>
        </w:rPr>
      </w:pPr>
      <w:r w:rsidRPr="00F56F28">
        <w:rPr>
          <w:rFonts w:asciiTheme="minorHAnsi" w:hAnsiTheme="minorHAnsi" w:cstheme="minorHAnsi"/>
          <w:color w:val="000000"/>
          <w:sz w:val="22"/>
          <w:szCs w:val="22"/>
          <w:shd w:val="clear" w:color="auto" w:fill="FFFFFF"/>
        </w:rPr>
        <w:t>Pirmosios instancijos teismas atsisakė priimti pareiškėjo skundą atsakovui Aplinkos ministerijai (toliau – Ministerija), kuriame buvo prašoma įpareigoti Ministeriją teisės aktų nustatytais terminais ir tvarka išnagrinėti pareiškėjo prašymą ir pateikti jam teisės aktų reikalavimus atitinkantį atsakymą.</w:t>
      </w:r>
    </w:p>
    <w:p w14:paraId="27DC83E8" w14:textId="77777777" w:rsidR="00AC2555" w:rsidRPr="00F56F28" w:rsidRDefault="00AC2555" w:rsidP="00AC2555">
      <w:pPr>
        <w:ind w:firstLine="567"/>
        <w:jc w:val="both"/>
        <w:rPr>
          <w:rFonts w:asciiTheme="minorHAnsi" w:hAnsiTheme="minorHAnsi" w:cstheme="minorHAnsi"/>
          <w:color w:val="000000"/>
          <w:sz w:val="22"/>
          <w:szCs w:val="22"/>
          <w:shd w:val="clear" w:color="auto" w:fill="FFFFFF"/>
        </w:rPr>
      </w:pPr>
      <w:r w:rsidRPr="00F56F28">
        <w:rPr>
          <w:rFonts w:asciiTheme="minorHAnsi" w:hAnsiTheme="minorHAnsi" w:cstheme="minorHAnsi"/>
          <w:color w:val="000000"/>
          <w:sz w:val="22"/>
          <w:szCs w:val="22"/>
          <w:shd w:val="clear" w:color="auto" w:fill="FFFFFF"/>
        </w:rPr>
        <w:t>Byloje nustatyta, kad pareiškėjas 2023 m. rugpjūčio 30 d. pateikė prašymą Ministerijai pateikti jam nenuasmenintą aplinkos ministro įsakymą, tačiau iki kreipimosi į teismą su skundu (2023 m. spalio 3 d.) pareiškėjas iš atsakovo jokio atsakymo ir / ar administracinio sprendimo negavo. Pareiškėjas nurodė, jog jam yra būtina gauti nenuasmenintą įsakymą, iš kurio matytųsi, kas iki 2023 m. birželio 26 d. vykdė Nacionalinės žemės tarnybos prie Žemės ūkio ministerijos (toliau – NŽT) direktoriaus funkcijas. Įsakymas jam reikalingas norint galbūt tikslinti skundą kitoje administracinėje byloje.</w:t>
      </w:r>
    </w:p>
    <w:p w14:paraId="51BD16C6" w14:textId="77777777" w:rsidR="00AC2555" w:rsidRPr="00F56F28" w:rsidRDefault="00AC2555" w:rsidP="00AC2555">
      <w:pPr>
        <w:ind w:firstLine="567"/>
        <w:jc w:val="both"/>
        <w:rPr>
          <w:rFonts w:asciiTheme="minorHAnsi" w:hAnsiTheme="minorHAnsi" w:cstheme="minorHAnsi"/>
          <w:color w:val="000000"/>
          <w:sz w:val="22"/>
          <w:szCs w:val="22"/>
          <w:shd w:val="clear" w:color="auto" w:fill="FFFFFF"/>
        </w:rPr>
      </w:pPr>
      <w:r w:rsidRPr="00F56F28">
        <w:rPr>
          <w:rFonts w:asciiTheme="minorHAnsi" w:hAnsiTheme="minorHAnsi" w:cstheme="minorHAnsi"/>
          <w:color w:val="000000"/>
          <w:sz w:val="22"/>
          <w:szCs w:val="22"/>
          <w:shd w:val="clear" w:color="auto" w:fill="FFFFFF"/>
        </w:rPr>
        <w:t>Pirmosios instancijos teismas atsisakymą priimti skundą argumentavo tuo, kad pareiškėjo reikalavimas yra betarpiškai susijęs su kita administracine byla. Teismas akcentavo, kad faktinių aplinkybių nustatymas, aiškinimasis, surinktų įrodymų vertinimas atliekamas priėmus skundą teisminio nagrinėjimo metu, todėl pareiškėjo nurodyto pobūdžio reikalavimas negali sudaryti savarankiško administracinės bylos nagrinėjimo dalyko, nes tokio pobūdžio reikalavimas gali būti formuluojamas tik kaip procesinis prašymas dėl įrodymų išreikalavimo pradėtoje administracinėje byloje.</w:t>
      </w:r>
    </w:p>
    <w:p w14:paraId="3486AEA9" w14:textId="77777777" w:rsidR="00B47652" w:rsidRPr="00F56F28" w:rsidRDefault="00AC2555" w:rsidP="00AC2555">
      <w:pPr>
        <w:ind w:firstLine="567"/>
        <w:jc w:val="both"/>
        <w:rPr>
          <w:rFonts w:asciiTheme="minorHAnsi" w:hAnsiTheme="minorHAnsi" w:cstheme="minorHAnsi"/>
          <w:color w:val="000000"/>
          <w:sz w:val="22"/>
          <w:szCs w:val="22"/>
          <w:shd w:val="clear" w:color="auto" w:fill="FFFFFF"/>
        </w:rPr>
      </w:pPr>
      <w:r w:rsidRPr="00F56F28">
        <w:rPr>
          <w:rFonts w:asciiTheme="minorHAnsi" w:hAnsiTheme="minorHAnsi" w:cstheme="minorHAnsi"/>
          <w:color w:val="000000"/>
          <w:sz w:val="22"/>
          <w:szCs w:val="22"/>
          <w:shd w:val="clear" w:color="auto" w:fill="FFFFFF"/>
        </w:rPr>
        <w:t xml:space="preserve">LVAT teisėjų kolegija su tokiu vertinimu nesutiko, pažymėdama, kad iš pareiškėjo skundo ir atskirojo skundo matyti, </w:t>
      </w:r>
      <w:r w:rsidR="005821E1" w:rsidRPr="00F56F28">
        <w:rPr>
          <w:rFonts w:asciiTheme="minorHAnsi" w:hAnsiTheme="minorHAnsi" w:cstheme="minorHAnsi"/>
          <w:color w:val="000000"/>
          <w:sz w:val="22"/>
          <w:szCs w:val="22"/>
          <w:shd w:val="clear" w:color="auto" w:fill="FFFFFF"/>
        </w:rPr>
        <w:t>jog</w:t>
      </w:r>
      <w:r w:rsidRPr="00F56F28">
        <w:rPr>
          <w:rFonts w:asciiTheme="minorHAnsi" w:hAnsiTheme="minorHAnsi" w:cstheme="minorHAnsi"/>
          <w:color w:val="000000"/>
          <w:sz w:val="22"/>
          <w:szCs w:val="22"/>
          <w:shd w:val="clear" w:color="auto" w:fill="FFFFFF"/>
        </w:rPr>
        <w:t xml:space="preserve"> pareiškėjas atsakovo vilkinimą atlikti veiksmus grindžia tuo, kad pareiškėjui nebuvo atsakyta į jo 2023 m. rugpjūčio 30 d. prašymą pateikti nenuasmenintą įsakymo kopiją. Teisėjų kolegijos vertinimu,</w:t>
      </w:r>
      <w:r w:rsidRPr="00F56F28">
        <w:rPr>
          <w:rFonts w:asciiTheme="minorHAnsi" w:hAnsiTheme="minorHAnsi" w:cstheme="minorHAnsi"/>
          <w:color w:val="000000"/>
          <w:sz w:val="22"/>
          <w:szCs w:val="22"/>
          <w:u w:val="single"/>
          <w:shd w:val="clear" w:color="auto" w:fill="FFFFFF"/>
        </w:rPr>
        <w:t xml:space="preserve"> pareiškėjui skunde aiškiai nurodžius, kokių veiksmų Ministerija neatliko, pirmosios instancijos teismas nepagrįstai skundžiama nutartimi atsisakė priimti nagrinėti pareiškėjo skundą ABTĮ 33 straipsnio 2 dalies 1</w:t>
      </w:r>
      <w:r w:rsidR="00B47652" w:rsidRPr="00F56F28">
        <w:rPr>
          <w:rFonts w:asciiTheme="minorHAnsi" w:hAnsiTheme="minorHAnsi" w:cstheme="minorHAnsi"/>
          <w:color w:val="000000"/>
          <w:sz w:val="22"/>
          <w:szCs w:val="22"/>
          <w:u w:val="single"/>
          <w:shd w:val="clear" w:color="auto" w:fill="FFFFFF"/>
        </w:rPr>
        <w:t> </w:t>
      </w:r>
      <w:r w:rsidRPr="00F56F28">
        <w:rPr>
          <w:rFonts w:asciiTheme="minorHAnsi" w:hAnsiTheme="minorHAnsi" w:cstheme="minorHAnsi"/>
          <w:color w:val="000000"/>
          <w:sz w:val="22"/>
          <w:szCs w:val="22"/>
          <w:u w:val="single"/>
          <w:shd w:val="clear" w:color="auto" w:fill="FFFFFF"/>
        </w:rPr>
        <w:t>punkte nurodytu pagrindu</w:t>
      </w:r>
      <w:r w:rsidRPr="00F56F28">
        <w:rPr>
          <w:rFonts w:asciiTheme="minorHAnsi" w:hAnsiTheme="minorHAnsi" w:cstheme="minorHAnsi"/>
          <w:color w:val="000000"/>
          <w:sz w:val="22"/>
          <w:szCs w:val="22"/>
          <w:shd w:val="clear" w:color="auto" w:fill="FFFFFF"/>
        </w:rPr>
        <w:t>.</w:t>
      </w:r>
    </w:p>
    <w:p w14:paraId="5E1F8C4F" w14:textId="5AEC4101" w:rsidR="00AC2555" w:rsidRPr="00F56F28" w:rsidRDefault="00AC2555" w:rsidP="00AC2555">
      <w:pPr>
        <w:ind w:firstLine="567"/>
        <w:jc w:val="both"/>
        <w:rPr>
          <w:rFonts w:asciiTheme="minorHAnsi" w:hAnsiTheme="minorHAnsi" w:cstheme="minorHAnsi"/>
          <w:color w:val="000000"/>
          <w:sz w:val="22"/>
          <w:szCs w:val="22"/>
          <w:shd w:val="clear" w:color="auto" w:fill="FFFFFF"/>
        </w:rPr>
      </w:pPr>
      <w:r w:rsidRPr="00F56F28">
        <w:rPr>
          <w:rFonts w:asciiTheme="minorHAnsi" w:hAnsiTheme="minorHAnsi" w:cstheme="minorHAnsi"/>
          <w:color w:val="000000"/>
          <w:sz w:val="22"/>
          <w:szCs w:val="22"/>
          <w:shd w:val="clear" w:color="auto" w:fill="FFFFFF"/>
        </w:rPr>
        <w:lastRenderedPageBreak/>
        <w:t>Atsižvelgiant į tai, kas išdėstyta, skundžiama pirmosios instancijos teismo nutartis panaikinta, o pareiškėjo skundo priėmimo klausimas perduotas pirmosios instancijos teismui nagrinėti iš naujo.</w:t>
      </w:r>
    </w:p>
    <w:p w14:paraId="7B569F7E" w14:textId="77777777" w:rsidR="00AC2555" w:rsidRPr="00F56F28" w:rsidRDefault="00AC2555" w:rsidP="00AC2555">
      <w:pPr>
        <w:jc w:val="both"/>
        <w:rPr>
          <w:rFonts w:asciiTheme="minorHAnsi" w:hAnsiTheme="minorHAnsi" w:cstheme="minorHAnsi"/>
          <w:color w:val="000000"/>
          <w:sz w:val="22"/>
          <w:szCs w:val="22"/>
          <w:shd w:val="clear" w:color="auto" w:fill="FFFFFF"/>
        </w:rPr>
      </w:pPr>
    </w:p>
    <w:p w14:paraId="45319B16" w14:textId="77777777" w:rsidR="00AC2555" w:rsidRPr="00F56F28" w:rsidRDefault="00AC2555" w:rsidP="00AC2555">
      <w:pPr>
        <w:jc w:val="both"/>
        <w:rPr>
          <w:rFonts w:asciiTheme="minorHAnsi" w:hAnsiTheme="minorHAnsi" w:cstheme="minorHAnsi"/>
          <w:color w:val="000000"/>
          <w:sz w:val="22"/>
          <w:szCs w:val="22"/>
          <w:shd w:val="clear" w:color="auto" w:fill="FFFFFF"/>
        </w:rPr>
      </w:pPr>
      <w:r w:rsidRPr="00F56F28">
        <w:rPr>
          <w:rFonts w:asciiTheme="minorHAnsi" w:hAnsiTheme="minorHAnsi" w:cstheme="minorHAnsi"/>
          <w:color w:val="000000"/>
          <w:sz w:val="22"/>
          <w:szCs w:val="22"/>
          <w:shd w:val="clear" w:color="auto" w:fill="FFFFFF"/>
        </w:rPr>
        <w:t>2023 m. lapkričio 22 d. nutartis administracinėje byloje Nr. eAS-671-815/2023</w:t>
      </w:r>
    </w:p>
    <w:p w14:paraId="1B176DA4" w14:textId="77777777" w:rsidR="00AC2555" w:rsidRPr="00F56F28" w:rsidRDefault="00AC2555" w:rsidP="00AC2555">
      <w:pPr>
        <w:jc w:val="both"/>
        <w:rPr>
          <w:rFonts w:asciiTheme="minorHAnsi" w:hAnsiTheme="minorHAnsi" w:cstheme="minorHAnsi"/>
          <w:color w:val="000000"/>
          <w:sz w:val="22"/>
          <w:szCs w:val="22"/>
          <w:shd w:val="clear" w:color="auto" w:fill="FFFFFF"/>
        </w:rPr>
      </w:pPr>
      <w:r w:rsidRPr="00F56F28">
        <w:rPr>
          <w:rFonts w:asciiTheme="minorHAnsi" w:hAnsiTheme="minorHAnsi" w:cstheme="minorHAnsi"/>
          <w:color w:val="000000"/>
          <w:sz w:val="22"/>
          <w:szCs w:val="22"/>
          <w:shd w:val="clear" w:color="auto" w:fill="FFFFFF"/>
        </w:rPr>
        <w:t xml:space="preserve">Teisminio proceso Nr. </w:t>
      </w:r>
      <w:r w:rsidRPr="00F56F28">
        <w:rPr>
          <w:rFonts w:asciiTheme="minorHAnsi" w:hAnsiTheme="minorHAnsi" w:cstheme="minorHAnsi"/>
          <w:sz w:val="22"/>
          <w:szCs w:val="22"/>
        </w:rPr>
        <w:t>3-61-3-08492-2023-3</w:t>
      </w:r>
    </w:p>
    <w:p w14:paraId="6CD5ED77" w14:textId="77777777" w:rsidR="00AC2555" w:rsidRPr="00F56F28" w:rsidRDefault="00AC2555" w:rsidP="00AC2555">
      <w:pPr>
        <w:jc w:val="both"/>
        <w:rPr>
          <w:rFonts w:asciiTheme="minorHAnsi" w:hAnsiTheme="minorHAnsi" w:cstheme="minorHAnsi"/>
          <w:color w:val="000000"/>
          <w:sz w:val="22"/>
          <w:szCs w:val="22"/>
          <w:shd w:val="clear" w:color="auto" w:fill="FFFFFF"/>
        </w:rPr>
      </w:pPr>
      <w:r w:rsidRPr="00F56F28">
        <w:rPr>
          <w:rFonts w:asciiTheme="minorHAnsi" w:hAnsiTheme="minorHAnsi" w:cstheme="minorHAnsi"/>
          <w:color w:val="000000"/>
          <w:sz w:val="22"/>
          <w:szCs w:val="22"/>
          <w:shd w:val="clear" w:color="auto" w:fill="FFFFFF"/>
        </w:rPr>
        <w:t>Procesinio sprendimo kategorija 43.5.1.1</w:t>
      </w:r>
    </w:p>
    <w:p w14:paraId="6603D39B" w14:textId="77777777" w:rsidR="00AC2555" w:rsidRPr="00F56F28" w:rsidRDefault="00000000" w:rsidP="00AC2555">
      <w:pPr>
        <w:jc w:val="both"/>
        <w:rPr>
          <w:rStyle w:val="Hyperlink"/>
          <w:rFonts w:asciiTheme="minorHAnsi" w:hAnsiTheme="minorHAnsi" w:cstheme="minorHAnsi"/>
          <w:sz w:val="22"/>
          <w:szCs w:val="22"/>
          <w:shd w:val="clear" w:color="auto" w:fill="FFFFFF"/>
        </w:rPr>
      </w:pPr>
      <w:hyperlink r:id="rId22" w:history="1">
        <w:r w:rsidR="00AC2555" w:rsidRPr="00F56F28">
          <w:rPr>
            <w:rStyle w:val="Hyperlink"/>
            <w:rFonts w:asciiTheme="minorHAnsi" w:hAnsiTheme="minorHAnsi" w:cstheme="minorHAnsi"/>
            <w:sz w:val="22"/>
            <w:szCs w:val="22"/>
            <w:shd w:val="clear" w:color="auto" w:fill="FFFFFF"/>
          </w:rPr>
          <w:t>Prieiga internete</w:t>
        </w:r>
      </w:hyperlink>
    </w:p>
    <w:p w14:paraId="3BD9D85F" w14:textId="77777777" w:rsidR="00AC2555" w:rsidRPr="00F56F28" w:rsidRDefault="00AC2555" w:rsidP="00AC2555">
      <w:pPr>
        <w:jc w:val="both"/>
        <w:rPr>
          <w:rStyle w:val="Hyperlink"/>
          <w:rFonts w:asciiTheme="minorHAnsi" w:hAnsiTheme="minorHAnsi" w:cstheme="minorHAnsi"/>
          <w:sz w:val="22"/>
          <w:szCs w:val="22"/>
          <w:shd w:val="clear" w:color="auto" w:fill="FFFFFF"/>
        </w:rPr>
      </w:pPr>
    </w:p>
    <w:p w14:paraId="54132349" w14:textId="77777777" w:rsidR="00F7302C" w:rsidRPr="003756A5" w:rsidRDefault="00F7302C" w:rsidP="00F7302C">
      <w:pPr>
        <w:ind w:firstLine="1134"/>
        <w:jc w:val="both"/>
        <w:rPr>
          <w:rFonts w:asciiTheme="minorHAnsi" w:hAnsiTheme="minorHAnsi" w:cstheme="minorHAnsi"/>
          <w:color w:val="000000"/>
          <w:sz w:val="22"/>
          <w:szCs w:val="22"/>
          <w:shd w:val="clear" w:color="auto" w:fill="FFFFFF"/>
        </w:rPr>
      </w:pPr>
      <w:r w:rsidRPr="003756A5">
        <w:rPr>
          <w:rFonts w:asciiTheme="minorHAnsi" w:hAnsiTheme="minorHAnsi" w:cstheme="minorHAnsi"/>
          <w:b/>
          <w:bCs/>
          <w:color w:val="000000"/>
          <w:sz w:val="22"/>
          <w:szCs w:val="22"/>
          <w:u w:val="single"/>
          <w:shd w:val="clear" w:color="auto" w:fill="FFFFFF"/>
        </w:rPr>
        <w:t>43.5.</w:t>
      </w:r>
      <w:r>
        <w:rPr>
          <w:rFonts w:asciiTheme="minorHAnsi" w:hAnsiTheme="minorHAnsi" w:cstheme="minorHAnsi"/>
          <w:b/>
          <w:bCs/>
          <w:color w:val="000000"/>
          <w:sz w:val="22"/>
          <w:szCs w:val="22"/>
          <w:u w:val="single"/>
          <w:shd w:val="clear" w:color="auto" w:fill="FFFFFF"/>
        </w:rPr>
        <w:t>2</w:t>
      </w:r>
      <w:r w:rsidRPr="003756A5">
        <w:rPr>
          <w:rFonts w:asciiTheme="minorHAnsi" w:hAnsiTheme="minorHAnsi" w:cstheme="minorHAnsi"/>
          <w:b/>
          <w:bCs/>
          <w:color w:val="000000"/>
          <w:sz w:val="22"/>
          <w:szCs w:val="22"/>
          <w:u w:val="single"/>
          <w:shd w:val="clear" w:color="auto" w:fill="FFFFFF"/>
        </w:rPr>
        <w:t xml:space="preserve">. </w:t>
      </w:r>
      <w:r w:rsidRPr="00AC6E75">
        <w:rPr>
          <w:rFonts w:asciiTheme="minorHAnsi" w:hAnsiTheme="minorHAnsi" w:cstheme="minorHAnsi"/>
          <w:b/>
          <w:bCs/>
          <w:color w:val="000000"/>
          <w:sz w:val="22"/>
          <w:szCs w:val="22"/>
          <w:u w:val="single"/>
          <w:shd w:val="clear" w:color="auto" w:fill="FFFFFF"/>
        </w:rPr>
        <w:t>Kai byla nepriskirtina tam teismui</w:t>
      </w:r>
    </w:p>
    <w:p w14:paraId="7D3D8A32" w14:textId="77777777" w:rsidR="00F7302C" w:rsidRDefault="00F7302C" w:rsidP="00F7302C">
      <w:pPr>
        <w:ind w:left="2552" w:hanging="850"/>
        <w:jc w:val="both"/>
        <w:rPr>
          <w:rFonts w:asciiTheme="minorHAnsi" w:hAnsiTheme="minorHAnsi" w:cstheme="minorHAnsi"/>
          <w:b/>
          <w:bCs/>
          <w:color w:val="000000"/>
          <w:sz w:val="22"/>
          <w:szCs w:val="22"/>
          <w:u w:val="single"/>
          <w:shd w:val="clear" w:color="auto" w:fill="FFFFFF"/>
        </w:rPr>
      </w:pPr>
    </w:p>
    <w:p w14:paraId="3CEBA8D5" w14:textId="77777777" w:rsidR="00F7302C" w:rsidRPr="007B01D3" w:rsidRDefault="00F7302C" w:rsidP="00F7302C">
      <w:pPr>
        <w:jc w:val="both"/>
        <w:outlineLvl w:val="1"/>
        <w:rPr>
          <w:rFonts w:asciiTheme="minorHAnsi" w:eastAsia="Calibri" w:hAnsiTheme="minorHAnsi" w:cstheme="minorHAnsi"/>
          <w:i/>
          <w:sz w:val="22"/>
          <w:szCs w:val="22"/>
        </w:rPr>
      </w:pPr>
      <w:bookmarkStart w:id="68" w:name="_Toc159340683"/>
      <w:r w:rsidRPr="002914C5">
        <w:rPr>
          <w:rFonts w:asciiTheme="minorHAnsi" w:eastAsia="Calibri" w:hAnsiTheme="minorHAnsi" w:cstheme="minorHAnsi"/>
          <w:i/>
          <w:sz w:val="22"/>
          <w:szCs w:val="22"/>
        </w:rPr>
        <w:t xml:space="preserve">Dėl prašymo </w:t>
      </w:r>
      <w:r w:rsidRPr="008B2644">
        <w:rPr>
          <w:rFonts w:asciiTheme="minorHAnsi" w:eastAsia="Calibri" w:hAnsiTheme="minorHAnsi" w:cstheme="minorHAnsi"/>
          <w:i/>
          <w:sz w:val="22"/>
          <w:szCs w:val="22"/>
        </w:rPr>
        <w:t>ištirti norminio administracinio akto teisėtumą, kai tai susiję su individualiąja byla</w:t>
      </w:r>
      <w:r w:rsidRPr="002914C5">
        <w:rPr>
          <w:rFonts w:asciiTheme="minorHAnsi" w:eastAsia="Calibri" w:hAnsiTheme="minorHAnsi" w:cstheme="minorHAnsi"/>
          <w:i/>
          <w:sz w:val="22"/>
          <w:szCs w:val="22"/>
        </w:rPr>
        <w:t>, vertinimo pagal ABTĮ 113 straipsnio taisykles, o ne kaip savarankiško skundo reikalavimo</w:t>
      </w:r>
      <w:bookmarkEnd w:id="68"/>
    </w:p>
    <w:p w14:paraId="37B8D935" w14:textId="77777777" w:rsidR="00F7302C" w:rsidRPr="007B01D3" w:rsidRDefault="00F7302C" w:rsidP="00F7302C">
      <w:pPr>
        <w:jc w:val="both"/>
        <w:rPr>
          <w:rFonts w:asciiTheme="minorHAnsi" w:hAnsiTheme="minorHAnsi" w:cstheme="minorHAnsi"/>
          <w:i/>
          <w:iCs/>
          <w:color w:val="000000"/>
          <w:sz w:val="22"/>
          <w:szCs w:val="22"/>
          <w:shd w:val="clear" w:color="auto" w:fill="FFFFFF"/>
        </w:rPr>
      </w:pPr>
    </w:p>
    <w:p w14:paraId="49719A53" w14:textId="5B94FAAD" w:rsidR="00F7302C" w:rsidRDefault="00F7302C" w:rsidP="00F7302C">
      <w:pPr>
        <w:ind w:firstLine="567"/>
        <w:jc w:val="both"/>
        <w:rPr>
          <w:rFonts w:asciiTheme="minorHAnsi" w:hAnsiTheme="minorHAnsi" w:cstheme="minorHAnsi"/>
          <w:color w:val="000000"/>
          <w:sz w:val="22"/>
          <w:szCs w:val="22"/>
          <w:shd w:val="clear" w:color="auto" w:fill="FFFFFF"/>
        </w:rPr>
      </w:pPr>
      <w:r w:rsidRPr="007B01D3">
        <w:rPr>
          <w:rFonts w:asciiTheme="minorHAnsi" w:hAnsiTheme="minorHAnsi" w:cstheme="minorHAnsi"/>
          <w:color w:val="000000"/>
          <w:sz w:val="22"/>
          <w:szCs w:val="22"/>
          <w:shd w:val="clear" w:color="auto" w:fill="FFFFFF"/>
        </w:rPr>
        <w:t xml:space="preserve">Pirmosios instancijos teismas </w:t>
      </w:r>
      <w:r>
        <w:rPr>
          <w:rFonts w:asciiTheme="minorHAnsi" w:hAnsiTheme="minorHAnsi" w:cstheme="minorHAnsi"/>
          <w:color w:val="000000"/>
          <w:sz w:val="22"/>
          <w:szCs w:val="22"/>
          <w:shd w:val="clear" w:color="auto" w:fill="FFFFFF"/>
        </w:rPr>
        <w:t xml:space="preserve">priėmė pareiškėjo skundą, kartu </w:t>
      </w:r>
      <w:r w:rsidRPr="007B01D3">
        <w:rPr>
          <w:rFonts w:asciiTheme="minorHAnsi" w:hAnsiTheme="minorHAnsi" w:cstheme="minorHAnsi"/>
          <w:color w:val="000000"/>
          <w:sz w:val="22"/>
          <w:szCs w:val="22"/>
          <w:shd w:val="clear" w:color="auto" w:fill="FFFFFF"/>
        </w:rPr>
        <w:t>atsisak</w:t>
      </w:r>
      <w:r>
        <w:rPr>
          <w:rFonts w:asciiTheme="minorHAnsi" w:hAnsiTheme="minorHAnsi" w:cstheme="minorHAnsi"/>
          <w:color w:val="000000"/>
          <w:sz w:val="22"/>
          <w:szCs w:val="22"/>
          <w:shd w:val="clear" w:color="auto" w:fill="FFFFFF"/>
        </w:rPr>
        <w:t>ydamas</w:t>
      </w:r>
      <w:r w:rsidRPr="007B01D3">
        <w:rPr>
          <w:rFonts w:asciiTheme="minorHAnsi" w:hAnsiTheme="minorHAnsi" w:cstheme="minorHAnsi"/>
          <w:color w:val="000000"/>
          <w:sz w:val="22"/>
          <w:szCs w:val="22"/>
          <w:shd w:val="clear" w:color="auto" w:fill="FFFFFF"/>
        </w:rPr>
        <w:t xml:space="preserve"> priimti pareiškėjo skund</w:t>
      </w:r>
      <w:r>
        <w:rPr>
          <w:rFonts w:asciiTheme="minorHAnsi" w:hAnsiTheme="minorHAnsi" w:cstheme="minorHAnsi"/>
          <w:color w:val="000000"/>
          <w:sz w:val="22"/>
          <w:szCs w:val="22"/>
          <w:shd w:val="clear" w:color="auto" w:fill="FFFFFF"/>
        </w:rPr>
        <w:t xml:space="preserve">o </w:t>
      </w:r>
      <w:r w:rsidRPr="007B01D3">
        <w:rPr>
          <w:rFonts w:asciiTheme="minorHAnsi" w:hAnsiTheme="minorHAnsi" w:cstheme="minorHAnsi"/>
          <w:color w:val="000000"/>
          <w:sz w:val="22"/>
          <w:szCs w:val="22"/>
          <w:shd w:val="clear" w:color="auto" w:fill="FFFFFF"/>
        </w:rPr>
        <w:t xml:space="preserve">atsakovui </w:t>
      </w:r>
      <w:r w:rsidRPr="00AC6E75">
        <w:rPr>
          <w:rFonts w:asciiTheme="minorHAnsi" w:hAnsiTheme="minorHAnsi" w:cstheme="minorHAnsi"/>
          <w:color w:val="000000"/>
          <w:sz w:val="22"/>
          <w:szCs w:val="22"/>
          <w:shd w:val="clear" w:color="auto" w:fill="FFFFFF"/>
        </w:rPr>
        <w:t xml:space="preserve">Lietuvos transporto saugos administracijai </w:t>
      </w:r>
      <w:r>
        <w:rPr>
          <w:rFonts w:asciiTheme="minorHAnsi" w:hAnsiTheme="minorHAnsi" w:cstheme="minorHAnsi"/>
          <w:color w:val="000000"/>
          <w:sz w:val="22"/>
          <w:szCs w:val="22"/>
          <w:shd w:val="clear" w:color="auto" w:fill="FFFFFF"/>
        </w:rPr>
        <w:t>dalį (antrąjį reikalavimą), kuriuo buvo prašoma</w:t>
      </w:r>
      <w:r w:rsidRPr="007B01D3">
        <w:rPr>
          <w:rFonts w:asciiTheme="minorHAnsi" w:hAnsiTheme="minorHAnsi" w:cstheme="minorHAnsi"/>
          <w:color w:val="000000"/>
          <w:sz w:val="22"/>
          <w:szCs w:val="22"/>
          <w:shd w:val="clear" w:color="auto" w:fill="FFFFFF"/>
        </w:rPr>
        <w:t xml:space="preserve"> </w:t>
      </w:r>
      <w:r w:rsidRPr="00AC6E75">
        <w:rPr>
          <w:rFonts w:asciiTheme="minorHAnsi" w:hAnsiTheme="minorHAnsi" w:cstheme="minorHAnsi"/>
          <w:color w:val="000000"/>
          <w:sz w:val="22"/>
          <w:szCs w:val="22"/>
          <w:shd w:val="clear" w:color="auto" w:fill="FFFFFF"/>
        </w:rPr>
        <w:t xml:space="preserve">panaikinti atsakovo </w:t>
      </w:r>
      <w:r>
        <w:rPr>
          <w:rFonts w:asciiTheme="minorHAnsi" w:hAnsiTheme="minorHAnsi" w:cstheme="minorHAnsi"/>
          <w:color w:val="000000"/>
          <w:sz w:val="22"/>
          <w:szCs w:val="22"/>
          <w:shd w:val="clear" w:color="auto" w:fill="FFFFFF"/>
        </w:rPr>
        <w:t>į</w:t>
      </w:r>
      <w:r w:rsidRPr="00AC6E75">
        <w:rPr>
          <w:rFonts w:asciiTheme="minorHAnsi" w:hAnsiTheme="minorHAnsi" w:cstheme="minorHAnsi"/>
          <w:color w:val="000000"/>
          <w:sz w:val="22"/>
          <w:szCs w:val="22"/>
          <w:shd w:val="clear" w:color="auto" w:fill="FFFFFF"/>
        </w:rPr>
        <w:t xml:space="preserve">sakymu patvirtinto </w:t>
      </w:r>
      <w:r w:rsidRPr="008064B6">
        <w:rPr>
          <w:rFonts w:asciiTheme="minorHAnsi" w:hAnsiTheme="minorHAnsi" w:cstheme="minorHAnsi"/>
          <w:color w:val="000000"/>
          <w:sz w:val="22"/>
          <w:szCs w:val="22"/>
          <w:shd w:val="clear" w:color="auto" w:fill="FFFFFF"/>
        </w:rPr>
        <w:t>Techninių motorinių transporto priemonių ir jų priekabų tikrinimo pozicijų ir trūkumų vertinimo kriterijų sąraš</w:t>
      </w:r>
      <w:r>
        <w:rPr>
          <w:rFonts w:asciiTheme="minorHAnsi" w:hAnsiTheme="minorHAnsi" w:cstheme="minorHAnsi"/>
          <w:color w:val="000000"/>
          <w:sz w:val="22"/>
          <w:szCs w:val="22"/>
          <w:shd w:val="clear" w:color="auto" w:fill="FFFFFF"/>
        </w:rPr>
        <w:t xml:space="preserve">o (toliau – Sąrašas) </w:t>
      </w:r>
      <w:r w:rsidRPr="00AC6E75">
        <w:rPr>
          <w:rFonts w:asciiTheme="minorHAnsi" w:hAnsiTheme="minorHAnsi" w:cstheme="minorHAnsi"/>
          <w:color w:val="000000"/>
          <w:sz w:val="22"/>
          <w:szCs w:val="22"/>
          <w:shd w:val="clear" w:color="auto" w:fill="FFFFFF"/>
        </w:rPr>
        <w:t>8.2.2.1 punkto a papunkčio nuostatą</w:t>
      </w:r>
      <w:r w:rsidRPr="007B01D3">
        <w:rPr>
          <w:rFonts w:asciiTheme="minorHAnsi" w:hAnsiTheme="minorHAnsi" w:cstheme="minorHAnsi"/>
          <w:color w:val="000000"/>
          <w:sz w:val="22"/>
          <w:szCs w:val="22"/>
          <w:shd w:val="clear" w:color="auto" w:fill="FFFFFF"/>
        </w:rPr>
        <w:t>.</w:t>
      </w:r>
    </w:p>
    <w:p w14:paraId="263A345A" w14:textId="03B020CD" w:rsidR="00F7302C" w:rsidRDefault="00F7302C" w:rsidP="00F7302C">
      <w:pPr>
        <w:ind w:firstLine="567"/>
        <w:jc w:val="both"/>
        <w:rPr>
          <w:rFonts w:asciiTheme="minorHAnsi" w:hAnsiTheme="minorHAnsi" w:cstheme="minorHAnsi"/>
          <w:color w:val="000000"/>
          <w:sz w:val="22"/>
          <w:szCs w:val="22"/>
          <w:shd w:val="clear" w:color="auto" w:fill="FFFFFF"/>
        </w:rPr>
      </w:pPr>
      <w:r>
        <w:rPr>
          <w:rFonts w:asciiTheme="minorHAnsi" w:hAnsiTheme="minorHAnsi" w:cstheme="minorHAnsi"/>
          <w:color w:val="000000"/>
          <w:sz w:val="22"/>
          <w:szCs w:val="22"/>
          <w:shd w:val="clear" w:color="auto" w:fill="FFFFFF"/>
        </w:rPr>
        <w:t>T</w:t>
      </w:r>
      <w:r w:rsidRPr="00AC6E75">
        <w:rPr>
          <w:rFonts w:asciiTheme="minorHAnsi" w:hAnsiTheme="minorHAnsi" w:cstheme="minorHAnsi"/>
          <w:color w:val="000000"/>
          <w:sz w:val="22"/>
          <w:szCs w:val="22"/>
          <w:shd w:val="clear" w:color="auto" w:fill="FFFFFF"/>
        </w:rPr>
        <w:t>eismas konstatavo, kad pareiškėjo skundžiamas teisės aktas laikytinas norminiu administraciniu aktu ir dėl jo teisėtumo ištyrimo yra kompetentingas spręsti L</w:t>
      </w:r>
      <w:r w:rsidR="00CF38B8">
        <w:rPr>
          <w:rFonts w:asciiTheme="minorHAnsi" w:hAnsiTheme="minorHAnsi" w:cstheme="minorHAnsi"/>
          <w:color w:val="000000"/>
          <w:sz w:val="22"/>
          <w:szCs w:val="22"/>
          <w:shd w:val="clear" w:color="auto" w:fill="FFFFFF"/>
        </w:rPr>
        <w:t>VAT</w:t>
      </w:r>
      <w:r w:rsidRPr="00AC6E75">
        <w:rPr>
          <w:rFonts w:asciiTheme="minorHAnsi" w:hAnsiTheme="minorHAnsi" w:cstheme="minorHAnsi"/>
          <w:color w:val="000000"/>
          <w:sz w:val="22"/>
          <w:szCs w:val="22"/>
          <w:shd w:val="clear" w:color="auto" w:fill="FFFFFF"/>
        </w:rPr>
        <w:t>, todėl atsisakė priimti patikslinto skundo dalį kaip nepriskirtiną Vilniaus apygardos administracinio teismo kompetencijai</w:t>
      </w:r>
      <w:r>
        <w:rPr>
          <w:rFonts w:asciiTheme="minorHAnsi" w:hAnsiTheme="minorHAnsi" w:cstheme="minorHAnsi"/>
          <w:color w:val="000000"/>
          <w:sz w:val="22"/>
          <w:szCs w:val="22"/>
          <w:shd w:val="clear" w:color="auto" w:fill="FFFFFF"/>
        </w:rPr>
        <w:t>.</w:t>
      </w:r>
    </w:p>
    <w:p w14:paraId="21F71E24" w14:textId="037A49A2" w:rsidR="00F7302C" w:rsidRDefault="00F7302C" w:rsidP="00F7302C">
      <w:pPr>
        <w:ind w:firstLine="567"/>
        <w:jc w:val="both"/>
        <w:rPr>
          <w:rFonts w:asciiTheme="minorHAnsi" w:hAnsiTheme="minorHAnsi" w:cstheme="minorHAnsi"/>
          <w:color w:val="000000"/>
          <w:sz w:val="22"/>
          <w:szCs w:val="22"/>
          <w:shd w:val="clear" w:color="auto" w:fill="FFFFFF"/>
        </w:rPr>
      </w:pPr>
      <w:r>
        <w:rPr>
          <w:rFonts w:asciiTheme="minorHAnsi" w:hAnsiTheme="minorHAnsi" w:cstheme="minorHAnsi"/>
          <w:color w:val="000000"/>
          <w:sz w:val="22"/>
          <w:szCs w:val="22"/>
          <w:shd w:val="clear" w:color="auto" w:fill="FFFFFF"/>
        </w:rPr>
        <w:t>LVAT pažymėjo, kad b</w:t>
      </w:r>
      <w:r w:rsidRPr="001D1055">
        <w:rPr>
          <w:rFonts w:asciiTheme="minorHAnsi" w:hAnsiTheme="minorHAnsi" w:cstheme="minorHAnsi"/>
          <w:color w:val="000000"/>
          <w:sz w:val="22"/>
          <w:szCs w:val="22"/>
          <w:shd w:val="clear" w:color="auto" w:fill="FFFFFF"/>
        </w:rPr>
        <w:t>yloje nustatyta, jog pareiškėjas į teismą kreipėsi, prašydamas</w:t>
      </w:r>
      <w:r>
        <w:rPr>
          <w:rFonts w:asciiTheme="minorHAnsi" w:hAnsiTheme="minorHAnsi" w:cstheme="minorHAnsi"/>
          <w:color w:val="000000"/>
          <w:sz w:val="22"/>
          <w:szCs w:val="22"/>
          <w:shd w:val="clear" w:color="auto" w:fill="FFFFFF"/>
        </w:rPr>
        <w:t>, be kita ko,</w:t>
      </w:r>
      <w:r w:rsidRPr="001D1055">
        <w:rPr>
          <w:rFonts w:asciiTheme="minorHAnsi" w:hAnsiTheme="minorHAnsi" w:cstheme="minorHAnsi"/>
          <w:color w:val="000000"/>
          <w:sz w:val="22"/>
          <w:szCs w:val="22"/>
          <w:shd w:val="clear" w:color="auto" w:fill="FFFFFF"/>
        </w:rPr>
        <w:t xml:space="preserve"> panaikinti </w:t>
      </w:r>
      <w:r w:rsidR="00250327">
        <w:rPr>
          <w:rFonts w:asciiTheme="minorHAnsi" w:hAnsiTheme="minorHAnsi" w:cstheme="minorHAnsi"/>
          <w:color w:val="000000"/>
          <w:sz w:val="22"/>
          <w:szCs w:val="22"/>
          <w:shd w:val="clear" w:color="auto" w:fill="FFFFFF"/>
        </w:rPr>
        <w:t>atsakovo į</w:t>
      </w:r>
      <w:r w:rsidRPr="001D1055">
        <w:rPr>
          <w:rFonts w:asciiTheme="minorHAnsi" w:hAnsiTheme="minorHAnsi" w:cstheme="minorHAnsi"/>
          <w:color w:val="000000"/>
          <w:sz w:val="22"/>
          <w:szCs w:val="22"/>
          <w:shd w:val="clear" w:color="auto" w:fill="FFFFFF"/>
        </w:rPr>
        <w:t xml:space="preserve">sakymu patvirtinto </w:t>
      </w:r>
      <w:r>
        <w:rPr>
          <w:rFonts w:asciiTheme="minorHAnsi" w:hAnsiTheme="minorHAnsi" w:cstheme="minorHAnsi"/>
          <w:color w:val="000000"/>
          <w:sz w:val="22"/>
          <w:szCs w:val="22"/>
          <w:shd w:val="clear" w:color="auto" w:fill="FFFFFF"/>
        </w:rPr>
        <w:t>S</w:t>
      </w:r>
      <w:r w:rsidRPr="001D1055">
        <w:rPr>
          <w:rFonts w:asciiTheme="minorHAnsi" w:hAnsiTheme="minorHAnsi" w:cstheme="minorHAnsi"/>
          <w:color w:val="000000"/>
          <w:sz w:val="22"/>
          <w:szCs w:val="22"/>
          <w:shd w:val="clear" w:color="auto" w:fill="FFFFFF"/>
        </w:rPr>
        <w:t>ąrašo 8.2.2.1 punkto a papunkčio nuostatą, leidžiančią išmetamųjų dujų neutralizavimo įrangą vertinti vien vizualia apžiūra</w:t>
      </w:r>
      <w:r w:rsidR="00B71799">
        <w:rPr>
          <w:rFonts w:asciiTheme="minorHAnsi" w:hAnsiTheme="minorHAnsi" w:cstheme="minorHAnsi"/>
          <w:color w:val="000000"/>
          <w:sz w:val="22"/>
          <w:szCs w:val="22"/>
          <w:shd w:val="clear" w:color="auto" w:fill="FFFFFF"/>
        </w:rPr>
        <w:t>,</w:t>
      </w:r>
      <w:r w:rsidRPr="001D1055">
        <w:rPr>
          <w:rFonts w:asciiTheme="minorHAnsi" w:hAnsiTheme="minorHAnsi" w:cstheme="minorHAnsi"/>
          <w:color w:val="000000"/>
          <w:sz w:val="22"/>
          <w:szCs w:val="22"/>
          <w:shd w:val="clear" w:color="auto" w:fill="FFFFFF"/>
        </w:rPr>
        <w:t xml:space="preserve"> ir jo 3 pastabos (c) nuostatą dėl šio punkto reikalavimų taikymo pradžios datos, siejamos su pirmąja automobilio techninės apžiūros data (po 2013 m. kovo 1 d.)</w:t>
      </w:r>
      <w:r w:rsidRPr="008064B6">
        <w:rPr>
          <w:rFonts w:asciiTheme="minorHAnsi" w:hAnsiTheme="minorHAnsi" w:cstheme="minorHAnsi"/>
          <w:color w:val="000000"/>
          <w:sz w:val="22"/>
          <w:szCs w:val="22"/>
          <w:shd w:val="clear" w:color="auto" w:fill="FFFFFF"/>
        </w:rPr>
        <w:t>. Įvertinus</w:t>
      </w:r>
      <w:r>
        <w:rPr>
          <w:rFonts w:asciiTheme="minorHAnsi" w:hAnsiTheme="minorHAnsi" w:cstheme="minorHAnsi"/>
          <w:color w:val="000000"/>
          <w:sz w:val="22"/>
          <w:szCs w:val="22"/>
          <w:shd w:val="clear" w:color="auto" w:fill="FFFFFF"/>
        </w:rPr>
        <w:t>i</w:t>
      </w:r>
      <w:r w:rsidRPr="008064B6">
        <w:rPr>
          <w:rFonts w:asciiTheme="minorHAnsi" w:hAnsiTheme="minorHAnsi" w:cstheme="minorHAnsi"/>
          <w:color w:val="000000"/>
          <w:sz w:val="22"/>
          <w:szCs w:val="22"/>
          <w:shd w:val="clear" w:color="auto" w:fill="FFFFFF"/>
        </w:rPr>
        <w:t xml:space="preserve"> </w:t>
      </w:r>
      <w:r>
        <w:rPr>
          <w:rFonts w:asciiTheme="minorHAnsi" w:hAnsiTheme="minorHAnsi" w:cstheme="minorHAnsi"/>
          <w:color w:val="000000"/>
          <w:sz w:val="22"/>
          <w:szCs w:val="22"/>
          <w:shd w:val="clear" w:color="auto" w:fill="FFFFFF"/>
        </w:rPr>
        <w:t>į</w:t>
      </w:r>
      <w:r w:rsidRPr="008064B6">
        <w:rPr>
          <w:rFonts w:asciiTheme="minorHAnsi" w:hAnsiTheme="minorHAnsi" w:cstheme="minorHAnsi"/>
          <w:color w:val="000000"/>
          <w:sz w:val="22"/>
          <w:szCs w:val="22"/>
          <w:shd w:val="clear" w:color="auto" w:fill="FFFFFF"/>
        </w:rPr>
        <w:t>sakymo pobūdį, teisėjų kolegija sprend</w:t>
      </w:r>
      <w:r>
        <w:rPr>
          <w:rFonts w:asciiTheme="minorHAnsi" w:hAnsiTheme="minorHAnsi" w:cstheme="minorHAnsi"/>
          <w:color w:val="000000"/>
          <w:sz w:val="22"/>
          <w:szCs w:val="22"/>
          <w:shd w:val="clear" w:color="auto" w:fill="FFFFFF"/>
        </w:rPr>
        <w:t>ė</w:t>
      </w:r>
      <w:r w:rsidRPr="008064B6">
        <w:rPr>
          <w:rFonts w:asciiTheme="minorHAnsi" w:hAnsiTheme="minorHAnsi" w:cstheme="minorHAnsi"/>
          <w:color w:val="000000"/>
          <w:sz w:val="22"/>
          <w:szCs w:val="22"/>
          <w:shd w:val="clear" w:color="auto" w:fill="FFFFFF"/>
        </w:rPr>
        <w:t>, jog šiuo atveju pirmosios instancijos teismas pagrįstai ir teisėtai konstatavo, kad pareiškėjo skundžiamas aktas yra norminis aktas, kadangi juo sukuriama elgesio taisyklė, orientuota į ateitį, taip pat skirta taikyti daug kart</w:t>
      </w:r>
      <w:r>
        <w:rPr>
          <w:rFonts w:asciiTheme="minorHAnsi" w:hAnsiTheme="minorHAnsi" w:cstheme="minorHAnsi"/>
          <w:color w:val="000000"/>
          <w:sz w:val="22"/>
          <w:szCs w:val="22"/>
          <w:shd w:val="clear" w:color="auto" w:fill="FFFFFF"/>
        </w:rPr>
        <w:t>ų</w:t>
      </w:r>
      <w:r w:rsidRPr="008064B6">
        <w:rPr>
          <w:rFonts w:asciiTheme="minorHAnsi" w:hAnsiTheme="minorHAnsi" w:cstheme="minorHAnsi"/>
          <w:color w:val="000000"/>
          <w:sz w:val="22"/>
          <w:szCs w:val="22"/>
          <w:shd w:val="clear" w:color="auto" w:fill="FFFFFF"/>
        </w:rPr>
        <w:t xml:space="preserve"> ir visuotinai privaloma.</w:t>
      </w:r>
    </w:p>
    <w:p w14:paraId="204BFC75" w14:textId="1CB68FFB" w:rsidR="00F7302C" w:rsidRPr="00392286" w:rsidRDefault="00F7302C" w:rsidP="00F7302C">
      <w:pPr>
        <w:ind w:firstLine="567"/>
        <w:jc w:val="both"/>
        <w:rPr>
          <w:rFonts w:asciiTheme="minorHAnsi" w:hAnsiTheme="minorHAnsi" w:cstheme="minorHAnsi"/>
          <w:color w:val="000000"/>
          <w:sz w:val="22"/>
          <w:szCs w:val="22"/>
          <w:u w:val="single"/>
          <w:shd w:val="clear" w:color="auto" w:fill="FFFFFF"/>
        </w:rPr>
      </w:pPr>
      <w:r>
        <w:rPr>
          <w:rFonts w:asciiTheme="minorHAnsi" w:hAnsiTheme="minorHAnsi" w:cstheme="minorHAnsi"/>
          <w:color w:val="000000"/>
          <w:sz w:val="22"/>
          <w:szCs w:val="22"/>
          <w:shd w:val="clear" w:color="auto" w:fill="FFFFFF"/>
        </w:rPr>
        <w:t xml:space="preserve">LVAT vertino, kad </w:t>
      </w:r>
      <w:r w:rsidRPr="008064B6">
        <w:rPr>
          <w:rFonts w:asciiTheme="minorHAnsi" w:hAnsiTheme="minorHAnsi" w:cstheme="minorHAnsi"/>
          <w:color w:val="000000"/>
          <w:sz w:val="22"/>
          <w:szCs w:val="22"/>
          <w:shd w:val="clear" w:color="auto" w:fill="FFFFFF"/>
        </w:rPr>
        <w:t xml:space="preserve">pareiškėjas siekia inicijuoti norminę bylą dėl </w:t>
      </w:r>
      <w:r>
        <w:rPr>
          <w:rFonts w:asciiTheme="minorHAnsi" w:hAnsiTheme="minorHAnsi" w:cstheme="minorHAnsi"/>
          <w:color w:val="000000"/>
          <w:sz w:val="22"/>
          <w:szCs w:val="22"/>
          <w:shd w:val="clear" w:color="auto" w:fill="FFFFFF"/>
        </w:rPr>
        <w:t>į</w:t>
      </w:r>
      <w:r w:rsidRPr="008064B6">
        <w:rPr>
          <w:rFonts w:asciiTheme="minorHAnsi" w:hAnsiTheme="minorHAnsi" w:cstheme="minorHAnsi"/>
          <w:color w:val="000000"/>
          <w:sz w:val="22"/>
          <w:szCs w:val="22"/>
          <w:shd w:val="clear" w:color="auto" w:fill="FFFFFF"/>
        </w:rPr>
        <w:t xml:space="preserve">sakymu </w:t>
      </w:r>
      <w:r w:rsidRPr="007B0FC1">
        <w:rPr>
          <w:rFonts w:asciiTheme="minorHAnsi" w:hAnsiTheme="minorHAnsi" w:cstheme="minorHAnsi"/>
          <w:color w:val="000000"/>
          <w:sz w:val="22"/>
          <w:szCs w:val="22"/>
          <w:shd w:val="clear" w:color="auto" w:fill="FFFFFF"/>
        </w:rPr>
        <w:t xml:space="preserve">patvirtinto Sąrašo 8.2.2.1 punkto a papunkčio teisėtumo, kartu reikšdamas reikalavimą panaikinti </w:t>
      </w:r>
      <w:r w:rsidR="00B71799">
        <w:rPr>
          <w:rFonts w:asciiTheme="minorHAnsi" w:hAnsiTheme="minorHAnsi" w:cstheme="minorHAnsi"/>
          <w:color w:val="000000"/>
          <w:sz w:val="22"/>
          <w:szCs w:val="22"/>
          <w:shd w:val="clear" w:color="auto" w:fill="FFFFFF"/>
        </w:rPr>
        <w:t>atsakovo</w:t>
      </w:r>
      <w:r w:rsidRPr="007B0FC1">
        <w:rPr>
          <w:rFonts w:asciiTheme="minorHAnsi" w:hAnsiTheme="minorHAnsi" w:cstheme="minorHAnsi"/>
          <w:color w:val="000000"/>
          <w:sz w:val="22"/>
          <w:szCs w:val="22"/>
          <w:shd w:val="clear" w:color="auto" w:fill="FFFFFF"/>
        </w:rPr>
        <w:t xml:space="preserve"> </w:t>
      </w:r>
      <w:r w:rsidRPr="008064B6">
        <w:rPr>
          <w:rFonts w:asciiTheme="minorHAnsi" w:hAnsiTheme="minorHAnsi" w:cstheme="minorHAnsi"/>
          <w:color w:val="000000"/>
          <w:sz w:val="22"/>
          <w:szCs w:val="22"/>
          <w:shd w:val="clear" w:color="auto" w:fill="FFFFFF"/>
        </w:rPr>
        <w:t xml:space="preserve">raštą bei įpareigoti </w:t>
      </w:r>
      <w:r w:rsidR="00B71799">
        <w:rPr>
          <w:rFonts w:asciiTheme="minorHAnsi" w:hAnsiTheme="minorHAnsi" w:cstheme="minorHAnsi"/>
          <w:color w:val="000000"/>
          <w:sz w:val="22"/>
          <w:szCs w:val="22"/>
          <w:shd w:val="clear" w:color="auto" w:fill="FFFFFF"/>
        </w:rPr>
        <w:t>jį</w:t>
      </w:r>
      <w:r w:rsidRPr="008064B6">
        <w:rPr>
          <w:rFonts w:asciiTheme="minorHAnsi" w:hAnsiTheme="minorHAnsi" w:cstheme="minorHAnsi"/>
          <w:color w:val="000000"/>
          <w:sz w:val="22"/>
          <w:szCs w:val="22"/>
          <w:shd w:val="clear" w:color="auto" w:fill="FFFFFF"/>
        </w:rPr>
        <w:t xml:space="preserve"> iš naujo išnagrinėti pareiškėjo prašymą.</w:t>
      </w:r>
      <w:r>
        <w:rPr>
          <w:rFonts w:asciiTheme="minorHAnsi" w:hAnsiTheme="minorHAnsi" w:cstheme="minorHAnsi"/>
          <w:color w:val="000000"/>
          <w:sz w:val="22"/>
          <w:szCs w:val="22"/>
          <w:shd w:val="clear" w:color="auto" w:fill="FFFFFF"/>
        </w:rPr>
        <w:t xml:space="preserve"> </w:t>
      </w:r>
      <w:r w:rsidRPr="00392286">
        <w:rPr>
          <w:rFonts w:asciiTheme="minorHAnsi" w:hAnsiTheme="minorHAnsi" w:cstheme="minorHAnsi"/>
          <w:color w:val="000000"/>
          <w:sz w:val="22"/>
          <w:szCs w:val="22"/>
          <w:shd w:val="clear" w:color="auto" w:fill="FFFFFF"/>
        </w:rPr>
        <w:t>Įvertinus</w:t>
      </w:r>
      <w:r>
        <w:rPr>
          <w:rFonts w:asciiTheme="minorHAnsi" w:hAnsiTheme="minorHAnsi" w:cstheme="minorHAnsi"/>
          <w:color w:val="000000"/>
          <w:sz w:val="22"/>
          <w:szCs w:val="22"/>
          <w:shd w:val="clear" w:color="auto" w:fill="FFFFFF"/>
        </w:rPr>
        <w:t>i</w:t>
      </w:r>
      <w:r w:rsidRPr="00392286">
        <w:rPr>
          <w:rFonts w:asciiTheme="minorHAnsi" w:hAnsiTheme="minorHAnsi" w:cstheme="minorHAnsi"/>
          <w:color w:val="000000"/>
          <w:sz w:val="22"/>
          <w:szCs w:val="22"/>
          <w:shd w:val="clear" w:color="auto" w:fill="FFFFFF"/>
        </w:rPr>
        <w:t xml:space="preserve"> nurodytas aplinkybes bei aktualų teisinį reguliavimą, </w:t>
      </w:r>
      <w:r>
        <w:rPr>
          <w:rFonts w:asciiTheme="minorHAnsi" w:hAnsiTheme="minorHAnsi" w:cstheme="minorHAnsi"/>
          <w:color w:val="000000"/>
          <w:sz w:val="22"/>
          <w:szCs w:val="22"/>
          <w:shd w:val="clear" w:color="auto" w:fill="FFFFFF"/>
        </w:rPr>
        <w:t xml:space="preserve">teisėjų kolegija </w:t>
      </w:r>
      <w:r w:rsidRPr="00392286">
        <w:rPr>
          <w:rFonts w:asciiTheme="minorHAnsi" w:hAnsiTheme="minorHAnsi" w:cstheme="minorHAnsi"/>
          <w:color w:val="000000"/>
          <w:sz w:val="22"/>
          <w:szCs w:val="22"/>
          <w:shd w:val="clear" w:color="auto" w:fill="FFFFFF"/>
        </w:rPr>
        <w:t>dar</w:t>
      </w:r>
      <w:r>
        <w:rPr>
          <w:rFonts w:asciiTheme="minorHAnsi" w:hAnsiTheme="minorHAnsi" w:cstheme="minorHAnsi"/>
          <w:color w:val="000000"/>
          <w:sz w:val="22"/>
          <w:szCs w:val="22"/>
          <w:shd w:val="clear" w:color="auto" w:fill="FFFFFF"/>
        </w:rPr>
        <w:t>ė</w:t>
      </w:r>
      <w:r w:rsidRPr="00392286">
        <w:rPr>
          <w:rFonts w:asciiTheme="minorHAnsi" w:hAnsiTheme="minorHAnsi" w:cstheme="minorHAnsi"/>
          <w:color w:val="000000"/>
          <w:sz w:val="22"/>
          <w:szCs w:val="22"/>
          <w:shd w:val="clear" w:color="auto" w:fill="FFFFFF"/>
        </w:rPr>
        <w:t xml:space="preserve"> išvad</w:t>
      </w:r>
      <w:r>
        <w:rPr>
          <w:rFonts w:asciiTheme="minorHAnsi" w:hAnsiTheme="minorHAnsi" w:cstheme="minorHAnsi"/>
          <w:color w:val="000000"/>
          <w:sz w:val="22"/>
          <w:szCs w:val="22"/>
          <w:shd w:val="clear" w:color="auto" w:fill="FFFFFF"/>
        </w:rPr>
        <w:t>ą</w:t>
      </w:r>
      <w:r w:rsidRPr="00392286">
        <w:rPr>
          <w:rFonts w:asciiTheme="minorHAnsi" w:hAnsiTheme="minorHAnsi" w:cstheme="minorHAnsi"/>
          <w:color w:val="000000"/>
          <w:sz w:val="22"/>
          <w:szCs w:val="22"/>
          <w:shd w:val="clear" w:color="auto" w:fill="FFFFFF"/>
        </w:rPr>
        <w:t xml:space="preserve">, kad </w:t>
      </w:r>
      <w:r w:rsidR="00B71799">
        <w:rPr>
          <w:rFonts w:asciiTheme="minorHAnsi" w:hAnsiTheme="minorHAnsi" w:cstheme="minorHAnsi"/>
          <w:color w:val="000000"/>
          <w:sz w:val="22"/>
          <w:szCs w:val="22"/>
          <w:u w:val="single"/>
          <w:shd w:val="clear" w:color="auto" w:fill="FFFFFF"/>
        </w:rPr>
        <w:t>šiuo</w:t>
      </w:r>
      <w:r w:rsidRPr="00392286">
        <w:rPr>
          <w:rFonts w:asciiTheme="minorHAnsi" w:hAnsiTheme="minorHAnsi" w:cstheme="minorHAnsi"/>
          <w:color w:val="000000"/>
          <w:sz w:val="22"/>
          <w:szCs w:val="22"/>
          <w:u w:val="single"/>
          <w:shd w:val="clear" w:color="auto" w:fill="FFFFFF"/>
        </w:rPr>
        <w:t xml:space="preserve"> atveju pirmosios instancijos teismas turėjo priimti pareiškėjo skundą, nurodydamas teisinius argumentus dėl antrojo reikalavimo vertinimo kaip pareiškėjo prašymo pradėti tyrimą dėl norminio akto teisėtumo, o ne atsisakyti priimti pareiškėjo patikslinto skundo antrąjį reikalavimą.</w:t>
      </w:r>
      <w:r w:rsidRPr="00392286">
        <w:rPr>
          <w:rFonts w:asciiTheme="minorHAnsi" w:hAnsiTheme="minorHAnsi" w:cstheme="minorHAnsi"/>
          <w:color w:val="000000"/>
          <w:sz w:val="22"/>
          <w:szCs w:val="22"/>
          <w:shd w:val="clear" w:color="auto" w:fill="FFFFFF"/>
        </w:rPr>
        <w:t xml:space="preserve"> </w:t>
      </w:r>
      <w:r>
        <w:rPr>
          <w:rFonts w:asciiTheme="minorHAnsi" w:hAnsiTheme="minorHAnsi" w:cstheme="minorHAnsi"/>
          <w:color w:val="000000"/>
          <w:sz w:val="22"/>
          <w:szCs w:val="22"/>
          <w:shd w:val="clear" w:color="auto" w:fill="FFFFFF"/>
        </w:rPr>
        <w:t xml:space="preserve">Teisėjų kolegija paaiškino, kad </w:t>
      </w:r>
      <w:r>
        <w:rPr>
          <w:rFonts w:asciiTheme="minorHAnsi" w:hAnsiTheme="minorHAnsi" w:cstheme="minorHAnsi"/>
          <w:color w:val="000000"/>
          <w:sz w:val="22"/>
          <w:szCs w:val="22"/>
          <w:u w:val="single"/>
          <w:shd w:val="clear" w:color="auto" w:fill="FFFFFF"/>
        </w:rPr>
        <w:t>p</w:t>
      </w:r>
      <w:r w:rsidRPr="00392286">
        <w:rPr>
          <w:rFonts w:asciiTheme="minorHAnsi" w:hAnsiTheme="minorHAnsi" w:cstheme="minorHAnsi"/>
          <w:color w:val="000000"/>
          <w:sz w:val="22"/>
          <w:szCs w:val="22"/>
          <w:u w:val="single"/>
          <w:shd w:val="clear" w:color="auto" w:fill="FFFFFF"/>
        </w:rPr>
        <w:t>areiškėjo prašymas pradėti tyrimą dėl norminio akto teisėtumo turi būti sprendžiamas ABTĮ 113</w:t>
      </w:r>
      <w:r w:rsidR="00B71799">
        <w:rPr>
          <w:rFonts w:asciiTheme="minorHAnsi" w:hAnsiTheme="minorHAnsi" w:cstheme="minorHAnsi"/>
          <w:color w:val="000000"/>
          <w:sz w:val="22"/>
          <w:szCs w:val="22"/>
          <w:u w:val="single"/>
          <w:shd w:val="clear" w:color="auto" w:fill="FFFFFF"/>
        </w:rPr>
        <w:t> </w:t>
      </w:r>
      <w:r w:rsidRPr="00392286">
        <w:rPr>
          <w:rFonts w:asciiTheme="minorHAnsi" w:hAnsiTheme="minorHAnsi" w:cstheme="minorHAnsi"/>
          <w:color w:val="000000"/>
          <w:sz w:val="22"/>
          <w:szCs w:val="22"/>
          <w:u w:val="single"/>
          <w:shd w:val="clear" w:color="auto" w:fill="FFFFFF"/>
        </w:rPr>
        <w:t>straipsnyje nustatyta tvarka.</w:t>
      </w:r>
    </w:p>
    <w:p w14:paraId="1E20E2E2" w14:textId="77777777" w:rsidR="00F7302C" w:rsidRPr="00F47DE7" w:rsidRDefault="00F7302C" w:rsidP="00F7302C">
      <w:pPr>
        <w:ind w:firstLine="567"/>
        <w:jc w:val="both"/>
        <w:rPr>
          <w:rFonts w:asciiTheme="minorHAnsi" w:hAnsiTheme="minorHAnsi" w:cstheme="minorHAnsi"/>
          <w:color w:val="000000"/>
          <w:sz w:val="22"/>
          <w:szCs w:val="22"/>
          <w:shd w:val="clear" w:color="auto" w:fill="FFFFFF"/>
        </w:rPr>
      </w:pPr>
      <w:r>
        <w:rPr>
          <w:rFonts w:asciiTheme="minorHAnsi" w:hAnsiTheme="minorHAnsi" w:cstheme="minorHAnsi"/>
          <w:color w:val="000000"/>
          <w:sz w:val="22"/>
          <w:szCs w:val="22"/>
          <w:shd w:val="clear" w:color="auto" w:fill="FFFFFF"/>
        </w:rPr>
        <w:t>S</w:t>
      </w:r>
      <w:r w:rsidRPr="00083DF9">
        <w:rPr>
          <w:rFonts w:asciiTheme="minorHAnsi" w:hAnsiTheme="minorHAnsi" w:cstheme="minorHAnsi"/>
          <w:color w:val="000000"/>
          <w:sz w:val="22"/>
          <w:szCs w:val="22"/>
          <w:shd w:val="clear" w:color="auto" w:fill="FFFFFF"/>
        </w:rPr>
        <w:t>kundžiam</w:t>
      </w:r>
      <w:r>
        <w:rPr>
          <w:rFonts w:asciiTheme="minorHAnsi" w:hAnsiTheme="minorHAnsi" w:cstheme="minorHAnsi"/>
          <w:color w:val="000000"/>
          <w:sz w:val="22"/>
          <w:szCs w:val="22"/>
          <w:shd w:val="clear" w:color="auto" w:fill="FFFFFF"/>
        </w:rPr>
        <w:t>os</w:t>
      </w:r>
      <w:r w:rsidRPr="00083DF9">
        <w:rPr>
          <w:rFonts w:asciiTheme="minorHAnsi" w:hAnsiTheme="minorHAnsi" w:cstheme="minorHAnsi"/>
          <w:color w:val="000000"/>
          <w:sz w:val="22"/>
          <w:szCs w:val="22"/>
          <w:shd w:val="clear" w:color="auto" w:fill="FFFFFF"/>
        </w:rPr>
        <w:t xml:space="preserve"> pirmosios instancijos teismo nutarti</w:t>
      </w:r>
      <w:r>
        <w:rPr>
          <w:rFonts w:asciiTheme="minorHAnsi" w:hAnsiTheme="minorHAnsi" w:cstheme="minorHAnsi"/>
          <w:color w:val="000000"/>
          <w:sz w:val="22"/>
          <w:szCs w:val="22"/>
          <w:shd w:val="clear" w:color="auto" w:fill="FFFFFF"/>
        </w:rPr>
        <w:t>e</w:t>
      </w:r>
      <w:r w:rsidRPr="00083DF9">
        <w:rPr>
          <w:rFonts w:asciiTheme="minorHAnsi" w:hAnsiTheme="minorHAnsi" w:cstheme="minorHAnsi"/>
          <w:color w:val="000000"/>
          <w:sz w:val="22"/>
          <w:szCs w:val="22"/>
          <w:shd w:val="clear" w:color="auto" w:fill="FFFFFF"/>
        </w:rPr>
        <w:t xml:space="preserve">s </w:t>
      </w:r>
      <w:r>
        <w:rPr>
          <w:rFonts w:asciiTheme="minorHAnsi" w:hAnsiTheme="minorHAnsi" w:cstheme="minorHAnsi"/>
          <w:color w:val="000000"/>
          <w:sz w:val="22"/>
          <w:szCs w:val="22"/>
          <w:shd w:val="clear" w:color="auto" w:fill="FFFFFF"/>
        </w:rPr>
        <w:t xml:space="preserve">dalis, kuria </w:t>
      </w:r>
      <w:r w:rsidRPr="00392286">
        <w:rPr>
          <w:rFonts w:asciiTheme="minorHAnsi" w:hAnsiTheme="minorHAnsi" w:cstheme="minorHAnsi"/>
          <w:color w:val="000000"/>
          <w:sz w:val="22"/>
          <w:szCs w:val="22"/>
          <w:shd w:val="clear" w:color="auto" w:fill="FFFFFF"/>
        </w:rPr>
        <w:t>atsisakyta priimti pareiškėjo patikslinto skundo dalį dėl antrojo reikalavimo, panaikint</w:t>
      </w:r>
      <w:r>
        <w:rPr>
          <w:rFonts w:asciiTheme="minorHAnsi" w:hAnsiTheme="minorHAnsi" w:cstheme="minorHAnsi"/>
          <w:color w:val="000000"/>
          <w:sz w:val="22"/>
          <w:szCs w:val="22"/>
          <w:shd w:val="clear" w:color="auto" w:fill="FFFFFF"/>
        </w:rPr>
        <w:t>a.</w:t>
      </w:r>
    </w:p>
    <w:p w14:paraId="6EACAB6D" w14:textId="77777777" w:rsidR="00F7302C" w:rsidRPr="00F47DE7" w:rsidRDefault="00F7302C" w:rsidP="00F7302C">
      <w:pPr>
        <w:jc w:val="both"/>
        <w:rPr>
          <w:rFonts w:asciiTheme="minorHAnsi" w:hAnsiTheme="minorHAnsi" w:cstheme="minorHAnsi"/>
          <w:color w:val="000000"/>
          <w:sz w:val="22"/>
          <w:szCs w:val="22"/>
          <w:shd w:val="clear" w:color="auto" w:fill="FFFFFF"/>
        </w:rPr>
      </w:pPr>
    </w:p>
    <w:p w14:paraId="71395EB2" w14:textId="77777777" w:rsidR="00F7302C" w:rsidRPr="00F47DE7" w:rsidRDefault="00F7302C" w:rsidP="00F7302C">
      <w:pPr>
        <w:jc w:val="both"/>
        <w:rPr>
          <w:rFonts w:asciiTheme="minorHAnsi" w:hAnsiTheme="minorHAnsi" w:cstheme="minorHAnsi"/>
          <w:color w:val="000000"/>
          <w:sz w:val="22"/>
          <w:szCs w:val="22"/>
          <w:shd w:val="clear" w:color="auto" w:fill="FFFFFF"/>
        </w:rPr>
      </w:pPr>
      <w:r w:rsidRPr="00341A5C">
        <w:rPr>
          <w:rFonts w:asciiTheme="minorHAnsi" w:hAnsiTheme="minorHAnsi" w:cstheme="minorHAnsi"/>
          <w:color w:val="000000"/>
          <w:sz w:val="22"/>
          <w:szCs w:val="22"/>
          <w:shd w:val="clear" w:color="auto" w:fill="FFFFFF"/>
        </w:rPr>
        <w:t>2023 m. lapkričio 22 d.</w:t>
      </w:r>
      <w:r>
        <w:rPr>
          <w:rFonts w:asciiTheme="minorHAnsi" w:hAnsiTheme="minorHAnsi" w:cstheme="minorHAnsi"/>
          <w:color w:val="000000"/>
          <w:sz w:val="22"/>
          <w:szCs w:val="22"/>
          <w:shd w:val="clear" w:color="auto" w:fill="FFFFFF"/>
        </w:rPr>
        <w:t xml:space="preserve"> </w:t>
      </w:r>
      <w:r w:rsidRPr="00F47DE7">
        <w:rPr>
          <w:rFonts w:asciiTheme="minorHAnsi" w:hAnsiTheme="minorHAnsi" w:cstheme="minorHAnsi"/>
          <w:color w:val="000000"/>
          <w:sz w:val="22"/>
          <w:szCs w:val="22"/>
          <w:shd w:val="clear" w:color="auto" w:fill="FFFFFF"/>
        </w:rPr>
        <w:t xml:space="preserve">nutartis administracinėje byloje Nr. </w:t>
      </w:r>
      <w:r w:rsidRPr="00341A5C">
        <w:rPr>
          <w:rFonts w:asciiTheme="minorHAnsi" w:hAnsiTheme="minorHAnsi" w:cstheme="minorHAnsi"/>
          <w:color w:val="000000"/>
          <w:sz w:val="22"/>
          <w:szCs w:val="22"/>
          <w:shd w:val="clear" w:color="auto" w:fill="FFFFFF"/>
        </w:rPr>
        <w:t>eAS-657-415/2023</w:t>
      </w:r>
    </w:p>
    <w:p w14:paraId="40F2B44C" w14:textId="77777777" w:rsidR="00F7302C" w:rsidRPr="00F47DE7" w:rsidRDefault="00F7302C" w:rsidP="00F7302C">
      <w:pPr>
        <w:jc w:val="both"/>
        <w:rPr>
          <w:rFonts w:asciiTheme="minorHAnsi" w:hAnsiTheme="minorHAnsi" w:cstheme="minorHAnsi"/>
          <w:color w:val="000000"/>
          <w:sz w:val="22"/>
          <w:szCs w:val="22"/>
          <w:shd w:val="clear" w:color="auto" w:fill="FFFFFF"/>
        </w:rPr>
      </w:pPr>
      <w:r w:rsidRPr="00F47DE7">
        <w:rPr>
          <w:rFonts w:asciiTheme="minorHAnsi" w:hAnsiTheme="minorHAnsi" w:cstheme="minorHAnsi"/>
          <w:color w:val="000000"/>
          <w:sz w:val="22"/>
          <w:szCs w:val="22"/>
          <w:shd w:val="clear" w:color="auto" w:fill="FFFFFF"/>
        </w:rPr>
        <w:t xml:space="preserve">Teisminio proceso Nr. </w:t>
      </w:r>
      <w:r w:rsidRPr="00341A5C">
        <w:rPr>
          <w:rFonts w:asciiTheme="minorHAnsi" w:hAnsiTheme="minorHAnsi" w:cstheme="minorHAnsi"/>
          <w:sz w:val="22"/>
          <w:szCs w:val="22"/>
        </w:rPr>
        <w:t>3-61-3-08233-2023-6</w:t>
      </w:r>
    </w:p>
    <w:p w14:paraId="39FB9529" w14:textId="77777777" w:rsidR="00F7302C" w:rsidRPr="006A12CE" w:rsidRDefault="00F7302C" w:rsidP="00F7302C">
      <w:pPr>
        <w:jc w:val="both"/>
        <w:rPr>
          <w:rFonts w:asciiTheme="minorHAnsi" w:hAnsiTheme="minorHAnsi" w:cstheme="minorHAnsi"/>
          <w:color w:val="000000"/>
          <w:sz w:val="22"/>
          <w:szCs w:val="22"/>
          <w:shd w:val="clear" w:color="auto" w:fill="FFFFFF"/>
        </w:rPr>
      </w:pPr>
      <w:r w:rsidRPr="006A12CE">
        <w:rPr>
          <w:rFonts w:asciiTheme="minorHAnsi" w:hAnsiTheme="minorHAnsi" w:cstheme="minorHAnsi"/>
          <w:color w:val="000000"/>
          <w:sz w:val="22"/>
          <w:szCs w:val="22"/>
          <w:shd w:val="clear" w:color="auto" w:fill="FFFFFF"/>
        </w:rPr>
        <w:t>Procesinio sprendimo kategorija 43.5.2</w:t>
      </w:r>
    </w:p>
    <w:p w14:paraId="03961FAA" w14:textId="77777777" w:rsidR="00F7302C" w:rsidRPr="007B01D3" w:rsidRDefault="00000000" w:rsidP="00F7302C">
      <w:pPr>
        <w:jc w:val="both"/>
        <w:rPr>
          <w:rFonts w:asciiTheme="minorHAnsi" w:hAnsiTheme="minorHAnsi" w:cstheme="minorHAnsi"/>
          <w:color w:val="000000"/>
          <w:sz w:val="22"/>
          <w:szCs w:val="22"/>
          <w:shd w:val="clear" w:color="auto" w:fill="FFFFFF"/>
        </w:rPr>
      </w:pPr>
      <w:hyperlink r:id="rId23" w:history="1">
        <w:r w:rsidR="00F7302C" w:rsidRPr="006A12CE">
          <w:rPr>
            <w:rStyle w:val="Hyperlink"/>
            <w:rFonts w:asciiTheme="minorHAnsi" w:hAnsiTheme="minorHAnsi" w:cstheme="minorHAnsi"/>
            <w:sz w:val="22"/>
            <w:szCs w:val="22"/>
            <w:shd w:val="clear" w:color="auto" w:fill="FFFFFF"/>
          </w:rPr>
          <w:t>Prieiga internete</w:t>
        </w:r>
      </w:hyperlink>
    </w:p>
    <w:p w14:paraId="68182A77" w14:textId="77777777" w:rsidR="00AC2555" w:rsidRPr="00F56F28" w:rsidRDefault="00AC2555" w:rsidP="00A10C18">
      <w:pPr>
        <w:ind w:left="2552" w:hanging="850"/>
        <w:jc w:val="both"/>
        <w:rPr>
          <w:rFonts w:asciiTheme="minorHAnsi" w:hAnsiTheme="minorHAnsi" w:cstheme="minorHAnsi"/>
          <w:b/>
          <w:bCs/>
          <w:color w:val="000000"/>
          <w:sz w:val="22"/>
          <w:szCs w:val="22"/>
          <w:u w:val="single"/>
          <w:shd w:val="clear" w:color="auto" w:fill="FFFFFF"/>
        </w:rPr>
      </w:pPr>
    </w:p>
    <w:p w14:paraId="57ADF8FB" w14:textId="77777777" w:rsidR="00620493" w:rsidRPr="00E418EE" w:rsidRDefault="00620493" w:rsidP="00620493">
      <w:pPr>
        <w:ind w:left="1843" w:hanging="709"/>
        <w:jc w:val="both"/>
        <w:rPr>
          <w:rFonts w:asciiTheme="minorHAnsi" w:hAnsiTheme="minorHAnsi" w:cstheme="minorHAnsi"/>
          <w:b/>
          <w:bCs/>
          <w:color w:val="000000"/>
          <w:sz w:val="22"/>
          <w:szCs w:val="22"/>
          <w:u w:val="single"/>
          <w:shd w:val="clear" w:color="auto" w:fill="FFFFFF"/>
        </w:rPr>
      </w:pPr>
      <w:r w:rsidRPr="00E418EE">
        <w:rPr>
          <w:rFonts w:asciiTheme="minorHAnsi" w:hAnsiTheme="minorHAnsi" w:cstheme="minorHAnsi"/>
          <w:b/>
          <w:bCs/>
          <w:color w:val="000000"/>
          <w:sz w:val="22"/>
          <w:szCs w:val="22"/>
          <w:u w:val="single"/>
          <w:shd w:val="clear" w:color="auto" w:fill="FFFFFF"/>
        </w:rPr>
        <w:t>43.5.9. Kai skundas paduotas praleidus nustatytą skundo padavimo terminą ir šis terminas neatnaujinamas</w:t>
      </w:r>
    </w:p>
    <w:p w14:paraId="48359970" w14:textId="77777777" w:rsidR="00620493" w:rsidRPr="00F25AED" w:rsidRDefault="00620493" w:rsidP="00620493">
      <w:pPr>
        <w:jc w:val="both"/>
        <w:rPr>
          <w:rFonts w:asciiTheme="minorHAnsi" w:hAnsiTheme="minorHAnsi" w:cstheme="minorHAnsi"/>
          <w:b/>
          <w:bCs/>
          <w:color w:val="000000"/>
          <w:sz w:val="22"/>
          <w:szCs w:val="22"/>
          <w:highlight w:val="yellow"/>
          <w:u w:val="single"/>
          <w:shd w:val="clear" w:color="auto" w:fill="FFFFFF"/>
        </w:rPr>
      </w:pPr>
    </w:p>
    <w:p w14:paraId="4B4C38E0" w14:textId="77777777" w:rsidR="00620493" w:rsidRPr="00952A64" w:rsidRDefault="00620493" w:rsidP="00620493">
      <w:pPr>
        <w:jc w:val="both"/>
        <w:outlineLvl w:val="1"/>
        <w:rPr>
          <w:rFonts w:asciiTheme="minorHAnsi" w:eastAsia="Calibri" w:hAnsiTheme="minorHAnsi" w:cstheme="minorHAnsi"/>
          <w:i/>
          <w:sz w:val="22"/>
          <w:szCs w:val="22"/>
        </w:rPr>
      </w:pPr>
      <w:bookmarkStart w:id="69" w:name="_Toc149644772"/>
      <w:bookmarkStart w:id="70" w:name="_Toc159340684"/>
      <w:r w:rsidRPr="00952A64">
        <w:rPr>
          <w:rFonts w:asciiTheme="minorHAnsi" w:eastAsia="Calibri" w:hAnsiTheme="minorHAnsi" w:cstheme="minorHAnsi"/>
          <w:i/>
          <w:sz w:val="22"/>
          <w:szCs w:val="22"/>
        </w:rPr>
        <w:t xml:space="preserve">Dėl </w:t>
      </w:r>
      <w:bookmarkEnd w:id="69"/>
      <w:r w:rsidRPr="00952A64">
        <w:rPr>
          <w:rFonts w:asciiTheme="minorHAnsi" w:eastAsia="Calibri" w:hAnsiTheme="minorHAnsi" w:cstheme="minorHAnsi"/>
          <w:i/>
          <w:sz w:val="22"/>
          <w:szCs w:val="22"/>
        </w:rPr>
        <w:t>administracinio sprendimo siuntimo būdo, kai asmuo nėra išreiškęs pageidavimo sprendimą gauti elektroniniu paštu</w:t>
      </w:r>
      <w:bookmarkEnd w:id="70"/>
    </w:p>
    <w:p w14:paraId="462EC563" w14:textId="77777777" w:rsidR="00620493" w:rsidRPr="00F25AED" w:rsidRDefault="00620493" w:rsidP="00620493">
      <w:pPr>
        <w:jc w:val="both"/>
        <w:rPr>
          <w:rFonts w:asciiTheme="minorHAnsi" w:hAnsiTheme="minorHAnsi" w:cstheme="minorBidi"/>
          <w:b/>
          <w:bCs/>
          <w:color w:val="000000"/>
          <w:sz w:val="22"/>
          <w:szCs w:val="22"/>
          <w:highlight w:val="yellow"/>
          <w:u w:val="single"/>
          <w:shd w:val="clear" w:color="auto" w:fill="FFFFFF"/>
        </w:rPr>
      </w:pPr>
    </w:p>
    <w:p w14:paraId="0B5742E8" w14:textId="3076C5EE" w:rsidR="00620493" w:rsidRDefault="00620493" w:rsidP="00620493">
      <w:pPr>
        <w:ind w:firstLine="567"/>
        <w:jc w:val="both"/>
        <w:rPr>
          <w:rFonts w:asciiTheme="minorHAnsi" w:hAnsiTheme="minorHAnsi" w:cstheme="minorHAnsi"/>
          <w:color w:val="000000"/>
          <w:sz w:val="22"/>
          <w:szCs w:val="22"/>
          <w:shd w:val="clear" w:color="auto" w:fill="FFFFFF"/>
        </w:rPr>
      </w:pPr>
      <w:r w:rsidRPr="00E418EE">
        <w:rPr>
          <w:rFonts w:asciiTheme="minorHAnsi" w:hAnsiTheme="minorHAnsi" w:cstheme="minorHAnsi"/>
          <w:color w:val="000000"/>
          <w:sz w:val="22"/>
          <w:szCs w:val="22"/>
          <w:shd w:val="clear" w:color="auto" w:fill="FFFFFF"/>
        </w:rPr>
        <w:t>Pareiškėjai kreipėsi į teismą</w:t>
      </w:r>
      <w:r>
        <w:rPr>
          <w:rFonts w:asciiTheme="minorHAnsi" w:hAnsiTheme="minorHAnsi" w:cstheme="minorHAnsi"/>
          <w:color w:val="000000"/>
          <w:sz w:val="22"/>
          <w:szCs w:val="22"/>
          <w:shd w:val="clear" w:color="auto" w:fill="FFFFFF"/>
        </w:rPr>
        <w:t xml:space="preserve">, prašydami panaikinti </w:t>
      </w:r>
      <w:r w:rsidRPr="00E418EE">
        <w:rPr>
          <w:rFonts w:asciiTheme="minorHAnsi" w:hAnsiTheme="minorHAnsi" w:cstheme="minorHAnsi"/>
          <w:color w:val="000000"/>
          <w:sz w:val="22"/>
          <w:szCs w:val="22"/>
          <w:shd w:val="clear" w:color="auto" w:fill="FFFFFF"/>
        </w:rPr>
        <w:t>Kauno rajono savivaldybės administracijos (toliau – Administracija) sprendimą „Dėl skundo“ (toliau – Sprendimas) ir įpareigoti Kauno rajono savivaldybę perkelti nuo pareiškėjų gyvenamosios namų valdos ribų laikinus vaikų žaidimo įrenginius (aikštelę) į kitą parko vietą.</w:t>
      </w:r>
    </w:p>
    <w:p w14:paraId="2DAE6CE3" w14:textId="791DA7EE" w:rsidR="00620493" w:rsidRPr="00952A64" w:rsidRDefault="00620493" w:rsidP="00620493">
      <w:pPr>
        <w:ind w:firstLine="567"/>
        <w:jc w:val="both"/>
        <w:rPr>
          <w:rFonts w:asciiTheme="minorHAnsi" w:hAnsiTheme="minorHAnsi" w:cstheme="minorHAnsi"/>
          <w:color w:val="000000"/>
          <w:sz w:val="22"/>
          <w:szCs w:val="22"/>
          <w:shd w:val="clear" w:color="auto" w:fill="FFFFFF"/>
        </w:rPr>
      </w:pPr>
      <w:r w:rsidRPr="00E418EE">
        <w:rPr>
          <w:rFonts w:asciiTheme="minorHAnsi" w:hAnsiTheme="minorHAnsi" w:cstheme="minorHAnsi"/>
          <w:sz w:val="22"/>
          <w:szCs w:val="22"/>
        </w:rPr>
        <w:t>Pirmosios instancijos teismas atsisakė priimti pareiškėjų skundą, nustatęs, kad pareiškėjai praleido terminą skundui paduoti ir nėra objektyvių priežasčių jį atnaujinti</w:t>
      </w:r>
      <w:r w:rsidRPr="00E418EE">
        <w:rPr>
          <w:rFonts w:asciiTheme="minorHAnsi" w:hAnsiTheme="minorHAnsi" w:cstheme="minorHAnsi"/>
          <w:color w:val="000000"/>
          <w:sz w:val="22"/>
          <w:szCs w:val="22"/>
          <w:shd w:val="clear" w:color="auto" w:fill="FFFFFF"/>
        </w:rPr>
        <w:t>.</w:t>
      </w:r>
      <w:r>
        <w:rPr>
          <w:rFonts w:asciiTheme="minorHAnsi" w:hAnsiTheme="minorHAnsi" w:cstheme="minorHAnsi"/>
          <w:color w:val="000000"/>
          <w:sz w:val="22"/>
          <w:szCs w:val="22"/>
          <w:shd w:val="clear" w:color="auto" w:fill="FFFFFF"/>
        </w:rPr>
        <w:t xml:space="preserve"> </w:t>
      </w:r>
      <w:r w:rsidRPr="00952A64">
        <w:rPr>
          <w:rFonts w:asciiTheme="minorHAnsi" w:hAnsiTheme="minorHAnsi" w:cstheme="minorHAnsi"/>
          <w:color w:val="000000"/>
          <w:sz w:val="22"/>
          <w:szCs w:val="22"/>
          <w:shd w:val="clear" w:color="auto" w:fill="FFFFFF"/>
        </w:rPr>
        <w:t>Teism</w:t>
      </w:r>
      <w:r>
        <w:rPr>
          <w:rFonts w:asciiTheme="minorHAnsi" w:hAnsiTheme="minorHAnsi" w:cstheme="minorHAnsi"/>
          <w:color w:val="000000"/>
          <w:sz w:val="22"/>
          <w:szCs w:val="22"/>
          <w:shd w:val="clear" w:color="auto" w:fill="FFFFFF"/>
        </w:rPr>
        <w:t xml:space="preserve">as pažymėjo, kad </w:t>
      </w:r>
      <w:r w:rsidRPr="00952A64">
        <w:rPr>
          <w:rFonts w:asciiTheme="minorHAnsi" w:hAnsiTheme="minorHAnsi" w:cstheme="minorHAnsi"/>
          <w:color w:val="000000"/>
          <w:sz w:val="22"/>
          <w:szCs w:val="22"/>
          <w:shd w:val="clear" w:color="auto" w:fill="FFFFFF"/>
        </w:rPr>
        <w:t xml:space="preserve">atsakovas pateikė </w:t>
      </w:r>
      <w:r w:rsidRPr="00952A64">
        <w:rPr>
          <w:rFonts w:asciiTheme="minorHAnsi" w:hAnsiTheme="minorHAnsi" w:cstheme="minorHAnsi"/>
          <w:color w:val="000000"/>
          <w:sz w:val="22"/>
          <w:szCs w:val="22"/>
          <w:shd w:val="clear" w:color="auto" w:fill="FFFFFF"/>
        </w:rPr>
        <w:lastRenderedPageBreak/>
        <w:t>rašytinius įrodymus, kurie patvirtin</w:t>
      </w:r>
      <w:r>
        <w:rPr>
          <w:rFonts w:asciiTheme="minorHAnsi" w:hAnsiTheme="minorHAnsi" w:cstheme="minorHAnsi"/>
          <w:color w:val="000000"/>
          <w:sz w:val="22"/>
          <w:szCs w:val="22"/>
          <w:shd w:val="clear" w:color="auto" w:fill="FFFFFF"/>
        </w:rPr>
        <w:t>o</w:t>
      </w:r>
      <w:r w:rsidRPr="00952A64">
        <w:rPr>
          <w:rFonts w:asciiTheme="minorHAnsi" w:hAnsiTheme="minorHAnsi" w:cstheme="minorHAnsi"/>
          <w:color w:val="000000"/>
          <w:sz w:val="22"/>
          <w:szCs w:val="22"/>
          <w:shd w:val="clear" w:color="auto" w:fill="FFFFFF"/>
        </w:rPr>
        <w:t xml:space="preserve">, </w:t>
      </w:r>
      <w:r>
        <w:rPr>
          <w:rFonts w:asciiTheme="minorHAnsi" w:hAnsiTheme="minorHAnsi" w:cstheme="minorHAnsi"/>
          <w:color w:val="000000"/>
          <w:sz w:val="22"/>
          <w:szCs w:val="22"/>
          <w:shd w:val="clear" w:color="auto" w:fill="FFFFFF"/>
        </w:rPr>
        <w:t>jog</w:t>
      </w:r>
      <w:r w:rsidRPr="00952A64">
        <w:rPr>
          <w:rFonts w:asciiTheme="minorHAnsi" w:hAnsiTheme="minorHAnsi" w:cstheme="minorHAnsi"/>
          <w:color w:val="000000"/>
          <w:sz w:val="22"/>
          <w:szCs w:val="22"/>
          <w:shd w:val="clear" w:color="auto" w:fill="FFFFFF"/>
        </w:rPr>
        <w:t xml:space="preserve"> Sprendimas</w:t>
      </w:r>
      <w:r>
        <w:rPr>
          <w:rFonts w:asciiTheme="minorHAnsi" w:hAnsiTheme="minorHAnsi" w:cstheme="minorHAnsi"/>
          <w:color w:val="000000"/>
          <w:sz w:val="22"/>
          <w:szCs w:val="22"/>
          <w:shd w:val="clear" w:color="auto" w:fill="FFFFFF"/>
        </w:rPr>
        <w:t xml:space="preserve"> </w:t>
      </w:r>
      <w:r w:rsidRPr="00952A64">
        <w:rPr>
          <w:rFonts w:asciiTheme="minorHAnsi" w:hAnsiTheme="minorHAnsi" w:cstheme="minorHAnsi"/>
          <w:color w:val="000000"/>
          <w:sz w:val="22"/>
          <w:szCs w:val="22"/>
          <w:shd w:val="clear" w:color="auto" w:fill="FFFFFF"/>
        </w:rPr>
        <w:t xml:space="preserve">buvo išsiųstas pareiškėjui elektroniniu paštu 2023 m. gegužės 31 d. </w:t>
      </w:r>
      <w:r w:rsidR="00871B04">
        <w:rPr>
          <w:rFonts w:asciiTheme="minorHAnsi" w:hAnsiTheme="minorHAnsi" w:cstheme="minorHAnsi"/>
          <w:color w:val="000000"/>
          <w:sz w:val="22"/>
          <w:szCs w:val="22"/>
          <w:shd w:val="clear" w:color="auto" w:fill="FFFFFF"/>
        </w:rPr>
        <w:t>Į</w:t>
      </w:r>
      <w:r w:rsidRPr="00952A64">
        <w:rPr>
          <w:rFonts w:asciiTheme="minorHAnsi" w:hAnsiTheme="minorHAnsi" w:cstheme="minorHAnsi"/>
          <w:color w:val="000000"/>
          <w:sz w:val="22"/>
          <w:szCs w:val="22"/>
          <w:shd w:val="clear" w:color="auto" w:fill="FFFFFF"/>
        </w:rPr>
        <w:t xml:space="preserve">vertinęs atsakovo pateiktus įrodymus, </w:t>
      </w:r>
      <w:r w:rsidR="00871B04">
        <w:rPr>
          <w:rFonts w:asciiTheme="minorHAnsi" w:hAnsiTheme="minorHAnsi" w:cstheme="minorHAnsi"/>
          <w:color w:val="000000"/>
          <w:sz w:val="22"/>
          <w:szCs w:val="22"/>
          <w:shd w:val="clear" w:color="auto" w:fill="FFFFFF"/>
        </w:rPr>
        <w:t xml:space="preserve">teismas </w:t>
      </w:r>
      <w:r w:rsidRPr="00952A64">
        <w:rPr>
          <w:rFonts w:asciiTheme="minorHAnsi" w:hAnsiTheme="minorHAnsi" w:cstheme="minorHAnsi"/>
          <w:color w:val="000000"/>
          <w:sz w:val="22"/>
          <w:szCs w:val="22"/>
          <w:shd w:val="clear" w:color="auto" w:fill="FFFFFF"/>
        </w:rPr>
        <w:t>nurodė, jog Sprendimą pareiškėjai gavo 2023 m. birželio 1 d., o terminas pateikti teismui skundą dėl šio Sprendimo suėjo 2023 m. liepos 3 d</w:t>
      </w:r>
      <w:r>
        <w:rPr>
          <w:rFonts w:asciiTheme="minorHAnsi" w:hAnsiTheme="minorHAnsi" w:cstheme="minorHAnsi"/>
          <w:color w:val="000000"/>
          <w:sz w:val="22"/>
          <w:szCs w:val="22"/>
          <w:shd w:val="clear" w:color="auto" w:fill="FFFFFF"/>
        </w:rPr>
        <w:t>.</w:t>
      </w:r>
      <w:r w:rsidRPr="00952A64">
        <w:rPr>
          <w:rFonts w:asciiTheme="minorHAnsi" w:hAnsiTheme="minorHAnsi" w:cstheme="minorHAnsi"/>
          <w:color w:val="000000"/>
          <w:sz w:val="22"/>
          <w:szCs w:val="22"/>
          <w:shd w:val="clear" w:color="auto" w:fill="FFFFFF"/>
        </w:rPr>
        <w:t xml:space="preserve"> </w:t>
      </w:r>
      <w:r>
        <w:rPr>
          <w:rFonts w:asciiTheme="minorHAnsi" w:hAnsiTheme="minorHAnsi" w:cstheme="minorHAnsi"/>
          <w:color w:val="000000"/>
          <w:sz w:val="22"/>
          <w:szCs w:val="22"/>
          <w:shd w:val="clear" w:color="auto" w:fill="FFFFFF"/>
        </w:rPr>
        <w:t>B</w:t>
      </w:r>
      <w:r w:rsidRPr="00952A64">
        <w:rPr>
          <w:rFonts w:asciiTheme="minorHAnsi" w:hAnsiTheme="minorHAnsi" w:cstheme="minorHAnsi"/>
          <w:color w:val="000000"/>
          <w:sz w:val="22"/>
          <w:szCs w:val="22"/>
          <w:shd w:val="clear" w:color="auto" w:fill="FFFFFF"/>
        </w:rPr>
        <w:t xml:space="preserve">esikreipdami tiek į Administraciją, tiek į Lietuvos administracinių ginčų komisiją, tiek į teismą, savo pateiktuose procesiniuose dokumentuose </w:t>
      </w:r>
      <w:r>
        <w:rPr>
          <w:rFonts w:asciiTheme="minorHAnsi" w:hAnsiTheme="minorHAnsi" w:cstheme="minorHAnsi"/>
          <w:color w:val="000000"/>
          <w:sz w:val="22"/>
          <w:szCs w:val="22"/>
          <w:shd w:val="clear" w:color="auto" w:fill="FFFFFF"/>
        </w:rPr>
        <w:t xml:space="preserve">pareiškėjai </w:t>
      </w:r>
      <w:r w:rsidRPr="00952A64">
        <w:rPr>
          <w:rFonts w:asciiTheme="minorHAnsi" w:hAnsiTheme="minorHAnsi" w:cstheme="minorHAnsi"/>
          <w:color w:val="000000"/>
          <w:sz w:val="22"/>
          <w:szCs w:val="22"/>
          <w:shd w:val="clear" w:color="auto" w:fill="FFFFFF"/>
        </w:rPr>
        <w:t>nurodė abiejų kontaktinius duomenis, be kita ko – savo elektroninio pašto adresus.</w:t>
      </w:r>
    </w:p>
    <w:p w14:paraId="1794198F" w14:textId="762C88E7" w:rsidR="00620493" w:rsidRDefault="00620493" w:rsidP="00620493">
      <w:pPr>
        <w:ind w:firstLine="567"/>
        <w:jc w:val="both"/>
        <w:rPr>
          <w:rFonts w:asciiTheme="minorHAnsi" w:hAnsiTheme="minorHAnsi" w:cstheme="minorHAnsi"/>
          <w:color w:val="000000"/>
          <w:sz w:val="22"/>
          <w:szCs w:val="22"/>
          <w:shd w:val="clear" w:color="auto" w:fill="FFFFFF"/>
        </w:rPr>
      </w:pPr>
      <w:r w:rsidRPr="00952A64">
        <w:rPr>
          <w:rFonts w:asciiTheme="minorHAnsi" w:hAnsiTheme="minorHAnsi" w:cstheme="minorHAnsi"/>
          <w:color w:val="000000"/>
          <w:sz w:val="22"/>
          <w:szCs w:val="22"/>
          <w:shd w:val="clear" w:color="auto" w:fill="FFFFFF"/>
        </w:rPr>
        <w:t>LVAT teisėjų kolegija, įvertinusi</w:t>
      </w:r>
      <w:r>
        <w:rPr>
          <w:rFonts w:asciiTheme="minorHAnsi" w:hAnsiTheme="minorHAnsi" w:cstheme="minorHAnsi"/>
          <w:color w:val="000000"/>
          <w:sz w:val="22"/>
          <w:szCs w:val="22"/>
          <w:shd w:val="clear" w:color="auto" w:fill="FFFFFF"/>
        </w:rPr>
        <w:t xml:space="preserve"> V</w:t>
      </w:r>
      <w:r w:rsidR="00031C18">
        <w:rPr>
          <w:rFonts w:asciiTheme="minorHAnsi" w:hAnsiTheme="minorHAnsi" w:cstheme="minorHAnsi"/>
          <w:color w:val="000000"/>
          <w:sz w:val="22"/>
          <w:szCs w:val="22"/>
          <w:shd w:val="clear" w:color="auto" w:fill="FFFFFF"/>
        </w:rPr>
        <w:t>AĮ</w:t>
      </w:r>
      <w:r w:rsidRPr="00952A64">
        <w:rPr>
          <w:rFonts w:asciiTheme="minorHAnsi" w:hAnsiTheme="minorHAnsi" w:cstheme="minorHAnsi"/>
          <w:color w:val="000000"/>
          <w:sz w:val="22"/>
          <w:szCs w:val="22"/>
          <w:shd w:val="clear" w:color="auto" w:fill="FFFFFF"/>
        </w:rPr>
        <w:t xml:space="preserve"> 13 straipsnio 1 dalyje įtvirtint</w:t>
      </w:r>
      <w:r>
        <w:rPr>
          <w:rFonts w:asciiTheme="minorHAnsi" w:hAnsiTheme="minorHAnsi" w:cstheme="minorHAnsi"/>
          <w:color w:val="000000"/>
          <w:sz w:val="22"/>
          <w:szCs w:val="22"/>
          <w:shd w:val="clear" w:color="auto" w:fill="FFFFFF"/>
        </w:rPr>
        <w:t>ą reguliavimą, pagal kurį, j</w:t>
      </w:r>
      <w:r w:rsidRPr="00952A64">
        <w:rPr>
          <w:rFonts w:asciiTheme="minorHAnsi" w:hAnsiTheme="minorHAnsi" w:cstheme="minorHAnsi"/>
          <w:color w:val="000000"/>
          <w:sz w:val="22"/>
          <w:szCs w:val="22"/>
          <w:shd w:val="clear" w:color="auto" w:fill="FFFFFF"/>
        </w:rPr>
        <w:t>eigu asmuo nėra nurodęs pageidaujamo administracinio sprendimo ar kitos informacijos gavimo būdo, jie pateikiami tokiu būdu, kokiu buvo gautas prašymas ar skundas</w:t>
      </w:r>
      <w:r>
        <w:rPr>
          <w:rFonts w:asciiTheme="minorHAnsi" w:hAnsiTheme="minorHAnsi" w:cstheme="minorHAnsi"/>
          <w:color w:val="000000"/>
          <w:sz w:val="22"/>
          <w:szCs w:val="22"/>
          <w:shd w:val="clear" w:color="auto" w:fill="FFFFFF"/>
        </w:rPr>
        <w:t>, pažymėjo, kad b</w:t>
      </w:r>
      <w:r w:rsidRPr="00952A64">
        <w:rPr>
          <w:rFonts w:asciiTheme="minorHAnsi" w:hAnsiTheme="minorHAnsi" w:cstheme="minorHAnsi"/>
          <w:color w:val="000000"/>
          <w:sz w:val="22"/>
          <w:szCs w:val="22"/>
          <w:shd w:val="clear" w:color="auto" w:fill="FFFFFF"/>
        </w:rPr>
        <w:t xml:space="preserve">yloje nėra ginčo, </w:t>
      </w:r>
      <w:r>
        <w:rPr>
          <w:rFonts w:asciiTheme="minorHAnsi" w:hAnsiTheme="minorHAnsi" w:cstheme="minorHAnsi"/>
          <w:color w:val="000000"/>
          <w:sz w:val="22"/>
          <w:szCs w:val="22"/>
          <w:shd w:val="clear" w:color="auto" w:fill="FFFFFF"/>
        </w:rPr>
        <w:t>jog</w:t>
      </w:r>
      <w:r w:rsidRPr="00952A64">
        <w:rPr>
          <w:rFonts w:asciiTheme="minorHAnsi" w:hAnsiTheme="minorHAnsi" w:cstheme="minorHAnsi"/>
          <w:color w:val="000000"/>
          <w:sz w:val="22"/>
          <w:szCs w:val="22"/>
          <w:shd w:val="clear" w:color="auto" w:fill="FFFFFF"/>
        </w:rPr>
        <w:t xml:space="preserve"> pareiškėjai 2023 m. balandžio 25 d. skundą Administracijai pateikė registruota pašto siunta, skunde buvo nurodyti ne tik pareiškėjų elektroninių paštų, tačiau ir gyvenamosios vietos adresai. </w:t>
      </w:r>
      <w:r w:rsidR="00031C18">
        <w:rPr>
          <w:rFonts w:asciiTheme="minorHAnsi" w:hAnsiTheme="minorHAnsi" w:cstheme="minorHAnsi"/>
          <w:color w:val="000000"/>
          <w:sz w:val="22"/>
          <w:szCs w:val="22"/>
          <w:u w:val="single"/>
          <w:shd w:val="clear" w:color="auto" w:fill="FFFFFF"/>
        </w:rPr>
        <w:t>Šiuo</w:t>
      </w:r>
      <w:r w:rsidRPr="00952A64">
        <w:rPr>
          <w:rFonts w:asciiTheme="minorHAnsi" w:hAnsiTheme="minorHAnsi" w:cstheme="minorHAnsi"/>
          <w:color w:val="000000"/>
          <w:sz w:val="22"/>
          <w:szCs w:val="22"/>
          <w:u w:val="single"/>
          <w:shd w:val="clear" w:color="auto" w:fill="FFFFFF"/>
        </w:rPr>
        <w:t xml:space="preserve"> atveju bylos medžiaga nepatvirtino, kad pareiškėjai buvo aiškiai išreiškę pageidavimą gauti atsakovo sprendimą, priimtą išnagrinėjus minėtą jų skundą, elektroniniu paštu, todėl, vadovaudamasi anksčiau nurodytu teisiniu reguliavimu, teisėjų kolegija konstatavo, kad pareiškėjams Sprendimas turėjo būti išsiųstas paštu, o ne elektroniniu paštu.</w:t>
      </w:r>
    </w:p>
    <w:p w14:paraId="27A5354E" w14:textId="611BB9E7" w:rsidR="00620493" w:rsidRPr="005D637A" w:rsidRDefault="00620493" w:rsidP="00620493">
      <w:pPr>
        <w:ind w:firstLine="567"/>
        <w:jc w:val="both"/>
        <w:rPr>
          <w:rFonts w:asciiTheme="minorHAnsi" w:hAnsiTheme="minorHAnsi" w:cstheme="minorHAnsi"/>
          <w:color w:val="000000"/>
          <w:sz w:val="22"/>
          <w:szCs w:val="22"/>
          <w:shd w:val="clear" w:color="auto" w:fill="FFFFFF"/>
        </w:rPr>
      </w:pPr>
      <w:r>
        <w:rPr>
          <w:rFonts w:asciiTheme="minorHAnsi" w:hAnsiTheme="minorHAnsi" w:cstheme="minorHAnsi"/>
          <w:color w:val="000000"/>
          <w:sz w:val="22"/>
          <w:szCs w:val="22"/>
          <w:shd w:val="clear" w:color="auto" w:fill="FFFFFF"/>
        </w:rPr>
        <w:t xml:space="preserve">Be </w:t>
      </w:r>
      <w:r w:rsidRPr="005D637A">
        <w:rPr>
          <w:rFonts w:asciiTheme="minorHAnsi" w:hAnsiTheme="minorHAnsi" w:cstheme="minorHAnsi"/>
          <w:color w:val="000000"/>
          <w:sz w:val="22"/>
          <w:szCs w:val="22"/>
          <w:shd w:val="clear" w:color="auto" w:fill="FFFFFF"/>
        </w:rPr>
        <w:t>to, tuo metu, kai pareiškėja kreipėsi į Administraciją, Sprendimas jau buvo priimtas, tačiau pareiškėjai</w:t>
      </w:r>
      <w:r w:rsidR="00283F3D">
        <w:rPr>
          <w:rFonts w:asciiTheme="minorHAnsi" w:hAnsiTheme="minorHAnsi" w:cstheme="minorHAnsi"/>
          <w:color w:val="000000"/>
          <w:sz w:val="22"/>
          <w:szCs w:val="22"/>
          <w:shd w:val="clear" w:color="auto" w:fill="FFFFFF"/>
        </w:rPr>
        <w:t xml:space="preserve"> </w:t>
      </w:r>
      <w:r w:rsidRPr="005D637A">
        <w:rPr>
          <w:rFonts w:asciiTheme="minorHAnsi" w:hAnsiTheme="minorHAnsi" w:cstheme="minorHAnsi"/>
          <w:color w:val="000000"/>
          <w:sz w:val="22"/>
          <w:szCs w:val="22"/>
          <w:shd w:val="clear" w:color="auto" w:fill="FFFFFF"/>
        </w:rPr>
        <w:t xml:space="preserve">buvo klaidingai nurodyta, kad skundas vis dar yra nagrinėjamas. </w:t>
      </w:r>
      <w:r w:rsidR="0016000B">
        <w:rPr>
          <w:rFonts w:asciiTheme="minorHAnsi" w:hAnsiTheme="minorHAnsi" w:cstheme="minorHAnsi"/>
          <w:color w:val="000000"/>
          <w:sz w:val="22"/>
          <w:szCs w:val="22"/>
          <w:u w:val="single"/>
          <w:shd w:val="clear" w:color="auto" w:fill="FFFFFF"/>
        </w:rPr>
        <w:t>Šiuo</w:t>
      </w:r>
      <w:r w:rsidRPr="009F181F">
        <w:rPr>
          <w:rFonts w:asciiTheme="minorHAnsi" w:hAnsiTheme="minorHAnsi" w:cstheme="minorHAnsi"/>
          <w:color w:val="000000"/>
          <w:sz w:val="22"/>
          <w:szCs w:val="22"/>
          <w:u w:val="single"/>
          <w:shd w:val="clear" w:color="auto" w:fill="FFFFFF"/>
        </w:rPr>
        <w:t xml:space="preserve"> atveju būtent Administracija, kaip viešojo administravimo subjektas, priėmęs administracinį sprendimą, turėjo pasirūpinti tinkamu jo įteikimu pareiškėjams teisės aktų nustatyta tvarka</w:t>
      </w:r>
      <w:r w:rsidRPr="005D637A">
        <w:rPr>
          <w:rFonts w:asciiTheme="minorHAnsi" w:hAnsiTheme="minorHAnsi" w:cstheme="minorHAnsi"/>
          <w:color w:val="000000"/>
          <w:sz w:val="22"/>
          <w:szCs w:val="22"/>
          <w:shd w:val="clear" w:color="auto" w:fill="FFFFFF"/>
        </w:rPr>
        <w:t>, tačiau to neįvykdė, priešingai, suklaidino pareiškėjus.</w:t>
      </w:r>
    </w:p>
    <w:p w14:paraId="07FAA737" w14:textId="77777777" w:rsidR="00620493" w:rsidRPr="005D637A" w:rsidRDefault="00620493" w:rsidP="00620493">
      <w:pPr>
        <w:ind w:firstLine="567"/>
        <w:jc w:val="both"/>
        <w:rPr>
          <w:rFonts w:asciiTheme="minorHAnsi" w:hAnsiTheme="minorHAnsi" w:cstheme="minorHAnsi"/>
          <w:color w:val="000000"/>
          <w:sz w:val="22"/>
          <w:szCs w:val="22"/>
          <w:shd w:val="clear" w:color="auto" w:fill="FFFFFF"/>
        </w:rPr>
      </w:pPr>
      <w:r w:rsidRPr="005D637A">
        <w:rPr>
          <w:rFonts w:asciiTheme="minorHAnsi" w:hAnsiTheme="minorHAnsi" w:cstheme="minorHAnsi"/>
          <w:color w:val="000000"/>
          <w:sz w:val="22"/>
          <w:szCs w:val="22"/>
          <w:shd w:val="clear" w:color="auto" w:fill="FFFFFF"/>
        </w:rPr>
        <w:t>Atsižvelgiant į tai, kas išdėstyta, pareiškėjų prašymas atnaujinti praleistą skundo padavimo terminą tenkintas, o skundo priėmimo klausimas perduotas pirmosios instancijos teismui nagrinėti iš naujo.</w:t>
      </w:r>
    </w:p>
    <w:p w14:paraId="35ED8D19" w14:textId="77777777" w:rsidR="00620493" w:rsidRPr="00F25AED" w:rsidRDefault="00620493" w:rsidP="00620493">
      <w:pPr>
        <w:jc w:val="both"/>
        <w:rPr>
          <w:rFonts w:asciiTheme="minorHAnsi" w:hAnsiTheme="minorHAnsi" w:cstheme="minorHAnsi"/>
          <w:color w:val="000000"/>
          <w:sz w:val="22"/>
          <w:szCs w:val="22"/>
          <w:highlight w:val="yellow"/>
          <w:shd w:val="clear" w:color="auto" w:fill="FFFFFF"/>
        </w:rPr>
      </w:pPr>
    </w:p>
    <w:p w14:paraId="754AC0AF" w14:textId="77777777" w:rsidR="00620493" w:rsidRPr="005D637A" w:rsidRDefault="00620493" w:rsidP="00620493">
      <w:pPr>
        <w:jc w:val="both"/>
        <w:rPr>
          <w:rFonts w:asciiTheme="minorHAnsi" w:hAnsiTheme="minorHAnsi" w:cstheme="minorHAnsi"/>
          <w:color w:val="000000"/>
          <w:sz w:val="22"/>
          <w:szCs w:val="22"/>
          <w:shd w:val="clear" w:color="auto" w:fill="FFFFFF"/>
        </w:rPr>
      </w:pPr>
      <w:r w:rsidRPr="005D637A">
        <w:rPr>
          <w:rFonts w:asciiTheme="minorHAnsi" w:hAnsiTheme="minorHAnsi" w:cstheme="minorHAnsi"/>
          <w:color w:val="000000"/>
          <w:sz w:val="22"/>
          <w:szCs w:val="22"/>
          <w:shd w:val="clear" w:color="auto" w:fill="FFFFFF"/>
        </w:rPr>
        <w:t>2023 m. lapkričio 8 d. nutartis administracinėje byloje Nr.</w:t>
      </w:r>
      <w:r w:rsidRPr="005D637A">
        <w:t xml:space="preserve"> </w:t>
      </w:r>
      <w:r w:rsidRPr="005D637A">
        <w:rPr>
          <w:rFonts w:asciiTheme="minorHAnsi" w:hAnsiTheme="minorHAnsi" w:cstheme="minorHAnsi"/>
          <w:color w:val="000000"/>
          <w:sz w:val="22"/>
          <w:szCs w:val="22"/>
          <w:shd w:val="clear" w:color="auto" w:fill="FFFFFF"/>
        </w:rPr>
        <w:t>AS-588-552/2023</w:t>
      </w:r>
    </w:p>
    <w:p w14:paraId="4FCEFA27" w14:textId="77777777" w:rsidR="00620493" w:rsidRPr="006A12CE" w:rsidRDefault="00620493" w:rsidP="00620493">
      <w:pPr>
        <w:jc w:val="both"/>
        <w:rPr>
          <w:rFonts w:asciiTheme="minorHAnsi" w:hAnsiTheme="minorHAnsi" w:cstheme="minorHAnsi"/>
          <w:color w:val="000000"/>
          <w:sz w:val="22"/>
          <w:szCs w:val="22"/>
          <w:shd w:val="clear" w:color="auto" w:fill="FFFFFF"/>
        </w:rPr>
      </w:pPr>
      <w:r w:rsidRPr="006A12CE">
        <w:rPr>
          <w:rFonts w:asciiTheme="minorHAnsi" w:hAnsiTheme="minorHAnsi" w:cstheme="minorHAnsi"/>
          <w:color w:val="000000"/>
          <w:sz w:val="22"/>
          <w:szCs w:val="22"/>
          <w:shd w:val="clear" w:color="auto" w:fill="FFFFFF"/>
        </w:rPr>
        <w:t>Teisminio proceso Nr. 3-62-3-02122-2023-8</w:t>
      </w:r>
    </w:p>
    <w:p w14:paraId="525F7851" w14:textId="77777777" w:rsidR="00620493" w:rsidRPr="006A12CE" w:rsidRDefault="00620493" w:rsidP="00620493">
      <w:pPr>
        <w:jc w:val="both"/>
        <w:rPr>
          <w:rFonts w:asciiTheme="minorHAnsi" w:hAnsiTheme="minorHAnsi" w:cstheme="minorHAnsi"/>
          <w:color w:val="000000"/>
          <w:sz w:val="22"/>
          <w:szCs w:val="22"/>
          <w:shd w:val="clear" w:color="auto" w:fill="FFFFFF"/>
        </w:rPr>
      </w:pPr>
      <w:r w:rsidRPr="006A12CE">
        <w:rPr>
          <w:rFonts w:asciiTheme="minorHAnsi" w:hAnsiTheme="minorHAnsi" w:cstheme="minorHAnsi"/>
          <w:color w:val="000000"/>
          <w:sz w:val="22"/>
          <w:szCs w:val="22"/>
          <w:shd w:val="clear" w:color="auto" w:fill="FFFFFF"/>
        </w:rPr>
        <w:t>Procesinio sprendimo kategorija 43.5.9</w:t>
      </w:r>
    </w:p>
    <w:p w14:paraId="3397A693" w14:textId="77777777" w:rsidR="00620493" w:rsidRDefault="00000000" w:rsidP="00620493">
      <w:pPr>
        <w:jc w:val="both"/>
        <w:rPr>
          <w:rFonts w:asciiTheme="minorHAnsi" w:hAnsiTheme="minorHAnsi" w:cstheme="minorHAnsi"/>
          <w:color w:val="000000"/>
          <w:sz w:val="22"/>
          <w:szCs w:val="22"/>
          <w:shd w:val="clear" w:color="auto" w:fill="FFFFFF"/>
        </w:rPr>
      </w:pPr>
      <w:hyperlink r:id="rId24" w:history="1">
        <w:r w:rsidR="00620493" w:rsidRPr="006A12CE">
          <w:rPr>
            <w:rStyle w:val="Hyperlink"/>
            <w:rFonts w:asciiTheme="minorHAnsi" w:hAnsiTheme="minorHAnsi" w:cstheme="minorHAnsi"/>
            <w:sz w:val="22"/>
            <w:szCs w:val="22"/>
            <w:shd w:val="clear" w:color="auto" w:fill="FFFFFF"/>
          </w:rPr>
          <w:t>Prieiga internete</w:t>
        </w:r>
      </w:hyperlink>
    </w:p>
    <w:p w14:paraId="5BDE2580" w14:textId="77777777" w:rsidR="00620493" w:rsidRDefault="00620493" w:rsidP="00620493">
      <w:pPr>
        <w:jc w:val="both"/>
        <w:rPr>
          <w:rFonts w:asciiTheme="minorHAnsi" w:hAnsiTheme="minorHAnsi" w:cstheme="minorHAnsi"/>
          <w:color w:val="000000"/>
          <w:sz w:val="22"/>
          <w:szCs w:val="22"/>
        </w:rPr>
      </w:pPr>
    </w:p>
    <w:p w14:paraId="3D7BC9B4" w14:textId="63CE0B9F" w:rsidR="0002557A" w:rsidRPr="00905337" w:rsidRDefault="002C270B" w:rsidP="00C67F0E">
      <w:pPr>
        <w:jc w:val="center"/>
        <w:rPr>
          <w:rFonts w:asciiTheme="minorHAnsi" w:hAnsiTheme="minorHAnsi" w:cstheme="minorHAnsi"/>
          <w:bCs/>
          <w:sz w:val="22"/>
          <w:szCs w:val="22"/>
          <w:u w:val="single"/>
        </w:rPr>
      </w:pPr>
      <w:r w:rsidRPr="00905337">
        <w:rPr>
          <w:rFonts w:asciiTheme="minorHAnsi" w:hAnsiTheme="minorHAnsi" w:cstheme="minorHAnsi"/>
          <w:bCs/>
          <w:sz w:val="22"/>
          <w:szCs w:val="22"/>
          <w:u w:val="single"/>
        </w:rPr>
        <w:t>_________________</w:t>
      </w:r>
      <w:bookmarkEnd w:id="9"/>
      <w:bookmarkEnd w:id="10"/>
    </w:p>
    <w:sectPr w:rsidR="0002557A" w:rsidRPr="00905337" w:rsidSect="00602B86">
      <w:headerReference w:type="default" r:id="rId25"/>
      <w:footerReference w:type="even" r:id="rId26"/>
      <w:footerReference w:type="default" r:id="rId27"/>
      <w:pgSz w:w="11906" w:h="16838"/>
      <w:pgMar w:top="1134" w:right="567" w:bottom="1134" w:left="1418"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8A3872" w14:textId="77777777" w:rsidR="00602B86" w:rsidRDefault="00602B86" w:rsidP="003D4C15">
      <w:r>
        <w:separator/>
      </w:r>
    </w:p>
  </w:endnote>
  <w:endnote w:type="continuationSeparator" w:id="0">
    <w:p w14:paraId="2E17BCBE" w14:textId="77777777" w:rsidR="00602B86" w:rsidRDefault="00602B86" w:rsidP="003D4C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Microsoft Sans Serif">
    <w:panose1 w:val="020B0604020202020204"/>
    <w:charset w:val="BA"/>
    <w:family w:val="swiss"/>
    <w:pitch w:val="variable"/>
    <w:sig w:usb0="E5002EFF" w:usb1="C000605B" w:usb2="00000029" w:usb3="00000000" w:csb0="000101FF" w:csb1="00000000"/>
  </w:font>
  <w:font w:name="TimesLT">
    <w:altName w:val="Times New Roman"/>
    <w:charset w:val="01"/>
    <w:family w:val="roman"/>
    <w:pitch w:val="default"/>
  </w:font>
  <w:font w:name="Arial Narrow">
    <w:panose1 w:val="020B0606020202030204"/>
    <w:charset w:val="BA"/>
    <w:family w:val="swiss"/>
    <w:pitch w:val="variable"/>
    <w:sig w:usb0="00000287" w:usb1="00000800" w:usb2="00000000" w:usb3="00000000" w:csb0="0000009F" w:csb1="00000000"/>
  </w:font>
  <w:font w:name="Palatino Linotype">
    <w:panose1 w:val="02040502050505030304"/>
    <w:charset w:val="BA"/>
    <w:family w:val="roman"/>
    <w:pitch w:val="variable"/>
    <w:sig w:usb0="E0000287" w:usb1="40000013" w:usb2="00000000" w:usb3="00000000" w:csb0="0000019F" w:csb1="00000000"/>
  </w:font>
  <w:font w:name="MS Reference Sans Serif">
    <w:panose1 w:val="020B0604030504040204"/>
    <w:charset w:val="BA"/>
    <w:family w:val="swiss"/>
    <w:pitch w:val="variable"/>
    <w:sig w:usb0="20000287" w:usb1="00000000" w:usb2="00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31EA27" w14:textId="77777777" w:rsidR="00831521" w:rsidRDefault="0083152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7F0AADE" w14:textId="77777777" w:rsidR="00831521" w:rsidRDefault="0083152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A6E5C9" w14:textId="77777777" w:rsidR="00831521" w:rsidRPr="00386C1C" w:rsidRDefault="00831521">
    <w:pPr>
      <w:pStyle w:val="Footer"/>
      <w:jc w:val="center"/>
      <w:rPr>
        <w:rFonts w:asciiTheme="minorHAnsi" w:hAnsiTheme="minorHAnsi"/>
        <w:sz w:val="20"/>
        <w:szCs w:val="20"/>
      </w:rPr>
    </w:pPr>
    <w:r w:rsidRPr="00386C1C">
      <w:rPr>
        <w:rStyle w:val="PageNumber"/>
        <w:rFonts w:asciiTheme="minorHAnsi" w:hAnsiTheme="minorHAnsi"/>
        <w:sz w:val="20"/>
        <w:szCs w:val="20"/>
      </w:rPr>
      <w:fldChar w:fldCharType="begin"/>
    </w:r>
    <w:r w:rsidRPr="00386C1C">
      <w:rPr>
        <w:rStyle w:val="PageNumber"/>
        <w:rFonts w:asciiTheme="minorHAnsi" w:hAnsiTheme="minorHAnsi"/>
        <w:sz w:val="20"/>
        <w:szCs w:val="20"/>
      </w:rPr>
      <w:instrText xml:space="preserve"> PAGE </w:instrText>
    </w:r>
    <w:r w:rsidRPr="00386C1C">
      <w:rPr>
        <w:rStyle w:val="PageNumber"/>
        <w:rFonts w:asciiTheme="minorHAnsi" w:hAnsiTheme="minorHAnsi"/>
        <w:sz w:val="20"/>
        <w:szCs w:val="20"/>
      </w:rPr>
      <w:fldChar w:fldCharType="separate"/>
    </w:r>
    <w:r>
      <w:rPr>
        <w:rStyle w:val="PageNumber"/>
        <w:rFonts w:asciiTheme="minorHAnsi" w:hAnsiTheme="minorHAnsi"/>
        <w:noProof/>
        <w:sz w:val="20"/>
        <w:szCs w:val="20"/>
      </w:rPr>
      <w:t>6</w:t>
    </w:r>
    <w:r w:rsidRPr="00386C1C">
      <w:rPr>
        <w:rStyle w:val="PageNumber"/>
        <w:rFonts w:asciiTheme="minorHAnsi" w:hAnsiTheme="minorHAnsi"/>
        <w:sz w:val="20"/>
        <w:szCs w:val="20"/>
      </w:rPr>
      <w:fldChar w:fldCharType="end"/>
    </w:r>
    <w:r w:rsidRPr="00386C1C">
      <w:rPr>
        <w:rStyle w:val="PageNumber"/>
        <w:rFonts w:asciiTheme="minorHAnsi" w:hAnsiTheme="minorHAnsi"/>
        <w:sz w:val="20"/>
        <w:szCs w:val="20"/>
      </w:rPr>
      <w:t xml:space="preserve"> / </w:t>
    </w:r>
    <w:r w:rsidRPr="00386C1C">
      <w:rPr>
        <w:rStyle w:val="PageNumber"/>
        <w:rFonts w:asciiTheme="minorHAnsi" w:hAnsiTheme="minorHAnsi"/>
        <w:sz w:val="20"/>
        <w:szCs w:val="20"/>
      </w:rPr>
      <w:fldChar w:fldCharType="begin"/>
    </w:r>
    <w:r w:rsidRPr="00386C1C">
      <w:rPr>
        <w:rStyle w:val="PageNumber"/>
        <w:rFonts w:asciiTheme="minorHAnsi" w:hAnsiTheme="minorHAnsi"/>
        <w:sz w:val="20"/>
        <w:szCs w:val="20"/>
      </w:rPr>
      <w:instrText xml:space="preserve"> NUMPAGES </w:instrText>
    </w:r>
    <w:r w:rsidRPr="00386C1C">
      <w:rPr>
        <w:rStyle w:val="PageNumber"/>
        <w:rFonts w:asciiTheme="minorHAnsi" w:hAnsiTheme="minorHAnsi"/>
        <w:sz w:val="20"/>
        <w:szCs w:val="20"/>
      </w:rPr>
      <w:fldChar w:fldCharType="separate"/>
    </w:r>
    <w:r>
      <w:rPr>
        <w:rStyle w:val="PageNumber"/>
        <w:rFonts w:asciiTheme="minorHAnsi" w:hAnsiTheme="minorHAnsi"/>
        <w:noProof/>
        <w:sz w:val="20"/>
        <w:szCs w:val="20"/>
      </w:rPr>
      <w:t>24</w:t>
    </w:r>
    <w:r w:rsidRPr="00386C1C">
      <w:rPr>
        <w:rStyle w:val="PageNumber"/>
        <w:rFonts w:asciiTheme="minorHAnsi" w:hAnsiTheme="minorHAnsi"/>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AE4EF2" w14:textId="77777777" w:rsidR="00602B86" w:rsidRDefault="00602B86" w:rsidP="003D4C15">
      <w:r>
        <w:separator/>
      </w:r>
    </w:p>
  </w:footnote>
  <w:footnote w:type="continuationSeparator" w:id="0">
    <w:p w14:paraId="11BFD6D3" w14:textId="77777777" w:rsidR="00602B86" w:rsidRDefault="00602B86" w:rsidP="003D4C15">
      <w:r>
        <w:continuationSeparator/>
      </w:r>
    </w:p>
  </w:footnote>
  <w:footnote w:id="1">
    <w:p w14:paraId="2E7DF650" w14:textId="69175731" w:rsidR="00831521" w:rsidRPr="004D38B7" w:rsidRDefault="00831521" w:rsidP="005746AD">
      <w:pPr>
        <w:pStyle w:val="FootnoteText"/>
        <w:jc w:val="both"/>
        <w:rPr>
          <w:rFonts w:asciiTheme="minorHAnsi" w:hAnsiTheme="minorHAnsi" w:cstheme="minorHAnsi"/>
        </w:rPr>
      </w:pPr>
      <w:r w:rsidRPr="004D38B7">
        <w:rPr>
          <w:rStyle w:val="FootnoteReference"/>
          <w:rFonts w:asciiTheme="minorHAnsi" w:hAnsiTheme="minorHAnsi" w:cstheme="minorHAnsi"/>
        </w:rPr>
        <w:footnoteRef/>
      </w:r>
      <w:r w:rsidRPr="004D38B7">
        <w:rPr>
          <w:rFonts w:asciiTheme="minorHAnsi" w:hAnsiTheme="minorHAnsi" w:cstheme="minorHAnsi"/>
        </w:rPr>
        <w:t xml:space="preserve"> 2013 m. gruodžio 17 d. Europos Parlamento ir Tarybos reglamentas (ES) Nr. 1306/2013 dėl bendros žemės ūkio politikos finansavimo, valdymo ir stebėsenos, kuriuo panaikinami Tarybos reglamentai (EEB) Nr. 352/78, (EB) Nr. 165/94, (EB) Nr. 2799/98, (EB) Nr. 814/2000, (EB) Nr. 1290/2005 ir (EB) Nr. 485/2008.</w:t>
      </w:r>
    </w:p>
  </w:footnote>
  <w:footnote w:id="2">
    <w:p w14:paraId="34574891" w14:textId="0A3E59A1" w:rsidR="00831521" w:rsidRPr="004D38B7" w:rsidRDefault="00831521" w:rsidP="00C70AA8">
      <w:pPr>
        <w:pStyle w:val="FootnoteText"/>
        <w:jc w:val="both"/>
        <w:rPr>
          <w:rFonts w:asciiTheme="minorHAnsi" w:hAnsiTheme="minorHAnsi" w:cstheme="minorHAnsi"/>
        </w:rPr>
      </w:pPr>
      <w:r w:rsidRPr="004D38B7">
        <w:rPr>
          <w:rStyle w:val="FootnoteReference"/>
          <w:rFonts w:asciiTheme="minorHAnsi" w:hAnsiTheme="minorHAnsi" w:cstheme="minorHAnsi"/>
        </w:rPr>
        <w:footnoteRef/>
      </w:r>
      <w:r w:rsidRPr="004D38B7">
        <w:rPr>
          <w:rFonts w:asciiTheme="minorHAnsi" w:hAnsiTheme="minorHAnsi" w:cstheme="minorHAnsi"/>
        </w:rPr>
        <w:t xml:space="preserve"> 2014 m. kovo 11 d. Komisijos deleguotasis reglamentas (ES) Nr. 907/2014, kuriuo papildomos Reglamento Nr. 1306/2013 nuostatos dėl mokėjimo agentūrų ir kitų įstaigų, finansų valdymo, sąskaitų patvirtinimo, užstatų ir dėl euro naudojimo.</w:t>
      </w:r>
    </w:p>
  </w:footnote>
  <w:footnote w:id="3">
    <w:p w14:paraId="4A2D5C20" w14:textId="5F477E62" w:rsidR="002602DF" w:rsidRDefault="002602DF" w:rsidP="002602DF">
      <w:pPr>
        <w:pStyle w:val="FootnoteText"/>
        <w:jc w:val="both"/>
      </w:pPr>
      <w:r>
        <w:rPr>
          <w:rStyle w:val="FootnoteReference"/>
        </w:rPr>
        <w:footnoteRef/>
      </w:r>
      <w:r>
        <w:t xml:space="preserve"> </w:t>
      </w:r>
      <w:r w:rsidRPr="002602DF">
        <w:rPr>
          <w:rFonts w:ascii="Calibri" w:eastAsia="Calibri" w:hAnsi="Calibri" w:cs="Calibri"/>
          <w:lang w:val="lt" w:eastAsia="en-US"/>
        </w:rPr>
        <w:t>Pagal Lietuvos Respublikos nekilnojamojo turto mokesčio įstatymo 6 straipsnio 2 dalį, jeigu savivaldybės taryba per šioje dalyje nurodytus terminus nenustato naujų konkrečių mokesčio tarifų, kitą mokestinį laikotarpį galioja paskutiniai nustatyti konkretūs mokesčio tarifai.</w:t>
      </w:r>
      <w:r w:rsidR="008A606F">
        <w:rPr>
          <w:rFonts w:ascii="Calibri" w:eastAsia="Calibri" w:hAnsi="Calibri" w:cs="Calibri"/>
          <w:lang w:val="lt" w:eastAsia="en-US"/>
        </w:rPr>
        <w:t xml:space="preserve"> </w:t>
      </w:r>
      <w:r w:rsidR="008A606F" w:rsidRPr="008A606F">
        <w:rPr>
          <w:rFonts w:ascii="Calibri" w:eastAsia="Calibri" w:hAnsi="Calibri" w:cs="Calibri"/>
          <w:lang w:val="lt" w:eastAsia="en-US"/>
        </w:rPr>
        <w:t>Vilniaus miesto savivaldybės taryba 2021</w:t>
      </w:r>
      <w:r w:rsidR="008A606F">
        <w:rPr>
          <w:rFonts w:ascii="Calibri" w:eastAsia="Calibri" w:hAnsi="Calibri" w:cs="Calibri"/>
          <w:lang w:val="lt" w:eastAsia="en-US"/>
        </w:rPr>
        <w:t xml:space="preserve"> m. birželio </w:t>
      </w:r>
      <w:r w:rsidR="008A606F" w:rsidRPr="008A606F">
        <w:rPr>
          <w:rFonts w:ascii="Calibri" w:eastAsia="Calibri" w:hAnsi="Calibri" w:cs="Calibri"/>
          <w:lang w:val="lt" w:eastAsia="en-US"/>
        </w:rPr>
        <w:t xml:space="preserve">23 </w:t>
      </w:r>
      <w:r w:rsidR="008A606F">
        <w:rPr>
          <w:rFonts w:ascii="Calibri" w:eastAsia="Calibri" w:hAnsi="Calibri" w:cs="Calibri"/>
          <w:lang w:val="lt" w:eastAsia="en-US"/>
        </w:rPr>
        <w:t xml:space="preserve">d. </w:t>
      </w:r>
      <w:r w:rsidR="008A606F" w:rsidRPr="008A606F">
        <w:rPr>
          <w:rFonts w:ascii="Calibri" w:eastAsia="Calibri" w:hAnsi="Calibri" w:cs="Calibri"/>
          <w:lang w:val="lt" w:eastAsia="en-US"/>
        </w:rPr>
        <w:t>sprendimu Nr. 1-1042 nustatyti nekilnojamojo turto mokesčio tarifai galioja 2023 bei 2024 metų mokestiniams laikotarpiams</w:t>
      </w:r>
      <w:r w:rsidR="008A606F">
        <w:rPr>
          <w:rFonts w:ascii="Calibri" w:eastAsia="Calibri" w:hAnsi="Calibri" w:cs="Calibri"/>
          <w:lang w:val="lt" w:eastAsia="en-US"/>
        </w:rPr>
        <w:t xml:space="preserve">. </w:t>
      </w:r>
    </w:p>
  </w:footnote>
  <w:footnote w:id="4">
    <w:p w14:paraId="6F4B53CC" w14:textId="240F23FF" w:rsidR="636B6ABB" w:rsidRDefault="636B6ABB" w:rsidP="636B6ABB">
      <w:pPr>
        <w:pStyle w:val="NoSpacing"/>
        <w:jc w:val="both"/>
      </w:pPr>
      <w:r w:rsidRPr="636B6ABB">
        <w:rPr>
          <w:rStyle w:val="FootnoteReference"/>
        </w:rPr>
        <w:footnoteRef/>
      </w:r>
      <w:r>
        <w:t xml:space="preserve"> </w:t>
      </w:r>
      <w:r w:rsidRPr="636B6ABB">
        <w:rPr>
          <w:rFonts w:eastAsia="Calibri" w:cs="Calibri"/>
          <w:sz w:val="20"/>
          <w:szCs w:val="20"/>
          <w:lang w:val="lt"/>
        </w:rPr>
        <w:t xml:space="preserve">Nustatyti nekilnojamajam turtui, esančiam Vilniaus miesto savivaldybės teritorijoje, 2022 metams šiuos nekilnojamojo turto mokesčio tarifus: &lt;...&gt; </w:t>
      </w:r>
    </w:p>
    <w:p w14:paraId="5B270D6F" w14:textId="67A75D7A" w:rsidR="636B6ABB" w:rsidRDefault="636B6ABB" w:rsidP="636B6ABB">
      <w:pPr>
        <w:pStyle w:val="NoSpacing"/>
        <w:jc w:val="both"/>
      </w:pPr>
      <w:r w:rsidRPr="636B6ABB">
        <w:rPr>
          <w:rFonts w:eastAsia="Calibri" w:cs="Calibri"/>
          <w:sz w:val="20"/>
          <w:szCs w:val="20"/>
          <w:lang w:val="lt"/>
        </w:rPr>
        <w:t>1.5. 1 proc. didesnį, nei 1.1 ir 1.2 papunkčiuose nustatyti, tarifą patalpoms ir statiniams, kai juose vykdant veiklą nesilaikoma Vilniaus miesto savivaldybės tarybos 2007 m. rugsėjo 12 d. sprendimu Nr. 1-211 „Dėl Triukšmo prevencijos viešosiose vietose taisyklių tvirtinimo“ patvirtintose Triukšmo prevencijos viešosiose vietose taisyklėse nustatytų reikalavimų ir kai už šių reikalavimų nevykdymą per atitinkamą mokestinį laikotarpį yra įsiteisėjęs nutarimas administracinio nusižengimo byloje dėl gamybinio-komercinio triukšmo šaltinio valdytojo nubaudimo;</w:t>
      </w:r>
    </w:p>
    <w:p w14:paraId="4FF420C2" w14:textId="12692AE9" w:rsidR="636B6ABB" w:rsidRDefault="636B6ABB" w:rsidP="636B6ABB">
      <w:pPr>
        <w:pStyle w:val="NoSpacing"/>
        <w:jc w:val="both"/>
      </w:pPr>
      <w:r w:rsidRPr="636B6ABB">
        <w:rPr>
          <w:rFonts w:eastAsia="Calibri" w:cs="Calibri"/>
          <w:sz w:val="20"/>
          <w:szCs w:val="20"/>
          <w:lang w:val="lt"/>
        </w:rPr>
        <w:t>1.6. 3 proc. tarifą patalpoms ir statiniams, ant kurių įrengiama reklama, nesilaikant Lietuvos Respublikos reklamos įstatymo nustatytų draudimų ir reikalavimų, ir kai už šių draudimų bei reikalavimų  nevykdymą per atitinkamą mokestinį laikotarpį yra įsiteisėjęs nutarimas administracinio nusižengimo byloje dėl išorinės reklamos įrengimo draudimų ir reikalavimų nevykdymo.</w:t>
      </w:r>
    </w:p>
  </w:footnote>
  <w:footnote w:id="5">
    <w:p w14:paraId="5E5DC421" w14:textId="61074736" w:rsidR="636B6ABB" w:rsidRDefault="636B6ABB" w:rsidP="636B6ABB">
      <w:pPr>
        <w:pStyle w:val="NoSpacing"/>
        <w:jc w:val="both"/>
      </w:pPr>
      <w:r w:rsidRPr="636B6ABB">
        <w:rPr>
          <w:rStyle w:val="FootnoteReference"/>
        </w:rPr>
        <w:footnoteRef/>
      </w:r>
      <w:r>
        <w:t xml:space="preserve"> </w:t>
      </w:r>
      <w:r w:rsidRPr="636B6ABB">
        <w:rPr>
          <w:rFonts w:eastAsia="Calibri" w:cs="Calibri"/>
          <w:sz w:val="20"/>
          <w:szCs w:val="20"/>
          <w:lang w:val="lt"/>
        </w:rPr>
        <w:t>Atleisti nuo nekilnojamojo turto mokesčio asmenis, kurie įsigijo apmokestinamą nekilnojamąjį turtą (negyvenamosios paskirties patalpas), kuris buvo pastatytas ir įregistruotas valstybės įmonėje Registrų centre iki 2019 m. birželio 1 d. Lengvata taikoma esant šioms sąlygoms: patalpos yra naudojamos gyvenamajai paskirčiai, mokesčio mokėtojas (turto savininkas) ir jo šeimos nariai tose patalpose deklaruoja gyvenamąją vietą bei tai yra vienintelis mokesčio mokėtojo ir jo šeimos narių nuosavybės teise valdomas nekilnojamasis turtas (išskyrus garažų, fermų, šiltnamių, ūkio, pagalbinio ūkio ar inžinerinių statinių paskirties / naudojimo būdo statinius (patalpas).</w:t>
      </w:r>
    </w:p>
  </w:footnote>
  <w:footnote w:id="6">
    <w:p w14:paraId="716DDB6B" w14:textId="1BD6496D" w:rsidR="00831521" w:rsidRPr="004D38B7" w:rsidRDefault="00831521" w:rsidP="00B65CBA">
      <w:pPr>
        <w:pStyle w:val="FootnoteText"/>
        <w:jc w:val="both"/>
        <w:rPr>
          <w:rFonts w:asciiTheme="minorHAnsi" w:hAnsiTheme="minorHAnsi" w:cstheme="minorHAnsi"/>
        </w:rPr>
      </w:pPr>
      <w:r w:rsidRPr="004D38B7">
        <w:rPr>
          <w:rStyle w:val="FootnoteReference"/>
          <w:rFonts w:asciiTheme="minorHAnsi" w:hAnsiTheme="minorHAnsi" w:cstheme="minorHAnsi"/>
        </w:rPr>
        <w:footnoteRef/>
      </w:r>
      <w:r w:rsidRPr="004D38B7">
        <w:rPr>
          <w:rFonts w:asciiTheme="minorHAnsi" w:hAnsiTheme="minorHAnsi" w:cstheme="minorHAnsi"/>
        </w:rPr>
        <w:t xml:space="preserve"> Migracijos departamento direktoriaus 2014 m. balandžio 14 d. įsakymu Nr. </w:t>
      </w:r>
      <w:r w:rsidRPr="004D38B7">
        <w:rPr>
          <w:rFonts w:asciiTheme="minorHAnsi" w:hAnsiTheme="minorHAnsi" w:cstheme="minorHAnsi"/>
        </w:rPr>
        <w:t>3K-33 patvirtinta Kriterijų, kuriais vadovaujamasi nustatant ar sutrumpinant draudimo užsieniečiui atvykti į Lietuvos Respubliką laikotarpį arba išbraukiant duomenis apie užsienietį iš Užsieniečių, kuriems draudžiama atvykti į Lietuvos Respubliką, nacionalinio sąrašo, vertinimo tvarka.</w:t>
      </w:r>
    </w:p>
  </w:footnote>
  <w:footnote w:id="7">
    <w:p w14:paraId="1E877E4D" w14:textId="06CB9FFC" w:rsidR="00831521" w:rsidRPr="004D38B7" w:rsidRDefault="00831521" w:rsidP="00B65CBA">
      <w:pPr>
        <w:pStyle w:val="FootnoteText"/>
        <w:jc w:val="both"/>
        <w:rPr>
          <w:rFonts w:asciiTheme="minorHAnsi" w:hAnsiTheme="minorHAnsi" w:cstheme="minorHAnsi"/>
        </w:rPr>
      </w:pPr>
      <w:r w:rsidRPr="004D38B7">
        <w:rPr>
          <w:rStyle w:val="FootnoteReference"/>
          <w:rFonts w:asciiTheme="minorHAnsi" w:hAnsiTheme="minorHAnsi" w:cstheme="minorHAnsi"/>
        </w:rPr>
        <w:footnoteRef/>
      </w:r>
      <w:r w:rsidRPr="004D38B7">
        <w:rPr>
          <w:rFonts w:asciiTheme="minorHAnsi" w:hAnsiTheme="minorHAnsi" w:cstheme="minorHAnsi"/>
        </w:rPr>
        <w:t xml:space="preserve"> 2006 m. gruodžio 20 d. Europos Parlamento ir Tarybos reglamentas (EB) Nr. 1987/2006 dėl antrosios kartos Šengeno informacinės sistemos (SIS II sistema) sukūrimo, veikimo ir naudojimo.</w:t>
      </w:r>
    </w:p>
  </w:footnote>
  <w:footnote w:id="8">
    <w:p w14:paraId="33EA7A48" w14:textId="4270B77B" w:rsidR="004D38B7" w:rsidRPr="004D38B7" w:rsidRDefault="004D38B7" w:rsidP="004D38B7">
      <w:pPr>
        <w:pStyle w:val="FootnoteText"/>
        <w:jc w:val="both"/>
        <w:rPr>
          <w:rFonts w:asciiTheme="minorHAnsi" w:hAnsiTheme="minorHAnsi" w:cstheme="minorHAnsi"/>
        </w:rPr>
      </w:pPr>
      <w:r w:rsidRPr="004D38B7">
        <w:rPr>
          <w:rStyle w:val="FootnoteReference"/>
          <w:rFonts w:asciiTheme="minorHAnsi" w:hAnsiTheme="minorHAnsi" w:cstheme="minorHAnsi"/>
        </w:rPr>
        <w:footnoteRef/>
      </w:r>
      <w:r w:rsidRPr="004D38B7">
        <w:rPr>
          <w:rFonts w:asciiTheme="minorHAnsi" w:hAnsiTheme="minorHAnsi" w:cstheme="minorHAnsi"/>
        </w:rPr>
        <w:t xml:space="preserve"> 2018 m. lapkričio 28 d. Europos Parlamento ir Tarybos reglamentas (ES) 2018/1861 dėl Šengeno informacinės sistemos (SIS) sukūrimo, eksploatavimo ir naudojimo patikrinimams kertant sieną, kuriuo iš dalies keičiama Konvencija dėl Šengeno susitarimo įgyvendinimo ir iš dalies keičiamas bei panaikinamas Reglamentas (EB) Nr. 1987/2006</w:t>
      </w:r>
      <w:r>
        <w:rPr>
          <w:rFonts w:asciiTheme="minorHAnsi" w:hAnsiTheme="minorHAnsi" w:cstheme="minorHAnsi"/>
        </w:rPr>
        <w:t>.</w:t>
      </w:r>
    </w:p>
  </w:footnote>
  <w:footnote w:id="9">
    <w:p w14:paraId="134650E6" w14:textId="133D4F98" w:rsidR="00831521" w:rsidRPr="004D38B7" w:rsidRDefault="00831521" w:rsidP="005817E4">
      <w:pPr>
        <w:pStyle w:val="FootnoteText"/>
        <w:jc w:val="both"/>
        <w:rPr>
          <w:rFonts w:asciiTheme="minorHAnsi" w:hAnsiTheme="minorHAnsi" w:cstheme="minorHAnsi"/>
        </w:rPr>
      </w:pPr>
      <w:r w:rsidRPr="004D38B7">
        <w:rPr>
          <w:rStyle w:val="FootnoteReference"/>
          <w:rFonts w:asciiTheme="minorHAnsi" w:hAnsiTheme="minorHAnsi" w:cstheme="minorHAnsi"/>
        </w:rPr>
        <w:footnoteRef/>
      </w:r>
      <w:r w:rsidRPr="004D38B7">
        <w:rPr>
          <w:rFonts w:asciiTheme="minorHAnsi" w:hAnsiTheme="minorHAnsi" w:cstheme="minorHAnsi"/>
        </w:rPr>
        <w:t xml:space="preserve"> Žemė Vyriausybės nustatyta tvarka suteikiama nuosavybėn neatlygintinai Lietuvos Respublikos piliečiams, činšo teise naudojantiems žemę miestuose.</w:t>
      </w:r>
    </w:p>
  </w:footnote>
  <w:footnote w:id="10">
    <w:p w14:paraId="52C56CC7" w14:textId="6F815B09" w:rsidR="00831521" w:rsidRPr="004D38B7" w:rsidRDefault="00831521" w:rsidP="00EE3E88">
      <w:pPr>
        <w:pStyle w:val="FootnoteText"/>
        <w:jc w:val="both"/>
        <w:rPr>
          <w:rFonts w:asciiTheme="minorHAnsi" w:hAnsiTheme="minorHAnsi" w:cstheme="minorHAnsi"/>
        </w:rPr>
      </w:pPr>
      <w:r w:rsidRPr="004D38B7">
        <w:rPr>
          <w:rStyle w:val="FootnoteReference"/>
          <w:rFonts w:asciiTheme="minorHAnsi" w:hAnsiTheme="minorHAnsi" w:cstheme="minorHAnsi"/>
        </w:rPr>
        <w:footnoteRef/>
      </w:r>
      <w:r w:rsidRPr="004D38B7">
        <w:rPr>
          <w:rFonts w:asciiTheme="minorHAnsi" w:hAnsiTheme="minorHAnsi" w:cstheme="minorHAnsi"/>
        </w:rPr>
        <w:t xml:space="preserve"> Vyriausybės 1999 m. gegužės 7 d. nutarimu Nr. </w:t>
      </w:r>
      <w:r w:rsidRPr="004D38B7">
        <w:rPr>
          <w:rFonts w:asciiTheme="minorHAnsi" w:hAnsiTheme="minorHAnsi" w:cstheme="minorHAnsi"/>
        </w:rPr>
        <w:t xml:space="preserve">544 patvirtinti Darbų ir veiklos sričių, kuriose leidžiama dirbti darbuotojams, pasitikrinusiems ir (ar) periodiškai besitikrinantiems, ar neserga užkrečiamąja liga, dėl kurios yra paskelbta valstybės lygio ekstremalioji situacija ir (ar) karantinas, sąrašas bei Darbuotojų, kuriems leidžiama dirbti pasitikrinusiems ir (ar) periodiškai besitikrinantiems, ar neserga užkrečiamąja liga, dėl kurios yra paskelbta valstybės lygio ekstremalioji situacija ir </w:t>
      </w:r>
      <w:r w:rsidRPr="004D38B7">
        <w:rPr>
          <w:rFonts w:asciiTheme="minorHAnsi" w:hAnsiTheme="minorHAnsi" w:cstheme="minorHAnsi"/>
        </w:rPr>
        <w:t>(ar) karantinas, sveikatos tikrinimosi tvarka.</w:t>
      </w:r>
    </w:p>
  </w:footnote>
  <w:footnote w:id="11">
    <w:p w14:paraId="74C28846" w14:textId="784AC167" w:rsidR="00831521" w:rsidRPr="004D38B7" w:rsidRDefault="00831521" w:rsidP="006A6D1C">
      <w:pPr>
        <w:pStyle w:val="FootnoteText"/>
        <w:jc w:val="both"/>
        <w:rPr>
          <w:rFonts w:asciiTheme="minorHAnsi" w:hAnsiTheme="minorHAnsi" w:cstheme="minorHAnsi"/>
        </w:rPr>
      </w:pPr>
      <w:r w:rsidRPr="004D38B7">
        <w:rPr>
          <w:rStyle w:val="FootnoteReference"/>
          <w:rFonts w:asciiTheme="minorHAnsi" w:hAnsiTheme="minorHAnsi" w:cstheme="minorHAnsi"/>
        </w:rPr>
        <w:footnoteRef/>
      </w:r>
      <w:r w:rsidRPr="004D38B7">
        <w:rPr>
          <w:rFonts w:asciiTheme="minorHAnsi" w:hAnsiTheme="minorHAnsi" w:cstheme="minorHAnsi"/>
        </w:rPr>
        <w:t xml:space="preserve"> Žemės ūkio ministro 2015 m. balandžio 20 d. įsakymu Nr. </w:t>
      </w:r>
      <w:r w:rsidRPr="004D38B7">
        <w:rPr>
          <w:rFonts w:asciiTheme="minorHAnsi" w:hAnsiTheme="minorHAnsi" w:cstheme="minorHAnsi"/>
        </w:rPr>
        <w:t>3D-286 patvirtintos Lietuvos kaimo plėtros 2014–2020 metų programos priemonės „Ekologinis ūkininkavimas“ įgyvendinimo taisyklės.</w:t>
      </w:r>
    </w:p>
  </w:footnote>
  <w:footnote w:id="12">
    <w:p w14:paraId="75799D29" w14:textId="645BFE5F" w:rsidR="00831521" w:rsidRPr="004D38B7" w:rsidRDefault="00831521" w:rsidP="001F7F48">
      <w:pPr>
        <w:pStyle w:val="FootnoteText"/>
        <w:jc w:val="both"/>
        <w:rPr>
          <w:rFonts w:asciiTheme="minorHAnsi" w:hAnsiTheme="minorHAnsi" w:cstheme="minorHAnsi"/>
        </w:rPr>
      </w:pPr>
      <w:r w:rsidRPr="004D38B7">
        <w:rPr>
          <w:rStyle w:val="FootnoteReference"/>
          <w:rFonts w:asciiTheme="minorHAnsi" w:hAnsiTheme="minorHAnsi" w:cstheme="minorHAnsi"/>
        </w:rPr>
        <w:footnoteRef/>
      </w:r>
      <w:r w:rsidRPr="004D38B7">
        <w:rPr>
          <w:rFonts w:asciiTheme="minorHAnsi" w:hAnsiTheme="minorHAnsi" w:cstheme="minorHAnsi"/>
        </w:rPr>
        <w:t xml:space="preserve"> Tais atvejais, kai projektas atitinka 2 pagrindinius rizikos kriterijus arba kai projektas atitinka 3 ir daugiau pagrindinius rizikos kriterijus, tačiau pritrūksta įrodymų konstatuojant galimai neteisėtas sąlygas paramai gauti, Agentūros informacinėse sistemose toks projektas pažymimas ir administruojamas kaip rizikingas dėl galimai neteisėtų sąlygų paramai gauti.</w:t>
      </w:r>
    </w:p>
  </w:footnote>
  <w:footnote w:id="13">
    <w:p w14:paraId="6EB4E02D" w14:textId="00864B72" w:rsidR="00831521" w:rsidRPr="004D38B7" w:rsidRDefault="00831521" w:rsidP="001F7F48">
      <w:pPr>
        <w:pStyle w:val="FootnoteText"/>
        <w:jc w:val="both"/>
        <w:rPr>
          <w:rFonts w:asciiTheme="minorHAnsi" w:hAnsiTheme="minorHAnsi" w:cstheme="minorHAnsi"/>
        </w:rPr>
      </w:pPr>
      <w:r w:rsidRPr="004D38B7">
        <w:rPr>
          <w:rStyle w:val="FootnoteReference"/>
          <w:rFonts w:asciiTheme="minorHAnsi" w:hAnsiTheme="minorHAnsi" w:cstheme="minorHAnsi"/>
        </w:rPr>
        <w:footnoteRef/>
      </w:r>
      <w:r w:rsidRPr="004D38B7">
        <w:rPr>
          <w:rFonts w:asciiTheme="minorHAnsi" w:hAnsiTheme="minorHAnsi" w:cstheme="minorHAnsi"/>
        </w:rPr>
        <w:t xml:space="preserve"> Žemės ūkio ministro 2014 m. rugpjūčio 26 d. įsakymu Nr. </w:t>
      </w:r>
      <w:r w:rsidRPr="004D38B7">
        <w:rPr>
          <w:rFonts w:asciiTheme="minorHAnsi" w:hAnsiTheme="minorHAnsi" w:cstheme="minorHAnsi"/>
        </w:rPr>
        <w:t>3D-507 patvirtintos Lietuvos kaimo plėtros 2014–2020 metų programos administravimo taisyklės.</w:t>
      </w:r>
    </w:p>
  </w:footnote>
  <w:footnote w:id="14">
    <w:p w14:paraId="070EA79E" w14:textId="3DDCF3EF" w:rsidR="00831521" w:rsidRPr="004D38B7" w:rsidRDefault="00831521" w:rsidP="0038321D">
      <w:pPr>
        <w:pStyle w:val="FootnoteText"/>
        <w:jc w:val="both"/>
        <w:rPr>
          <w:rFonts w:asciiTheme="minorHAnsi" w:hAnsiTheme="minorHAnsi" w:cstheme="minorHAnsi"/>
        </w:rPr>
      </w:pPr>
      <w:r w:rsidRPr="004D38B7">
        <w:rPr>
          <w:rStyle w:val="FootnoteReference"/>
          <w:rFonts w:asciiTheme="minorHAnsi" w:hAnsiTheme="minorHAnsi" w:cstheme="minorHAnsi"/>
        </w:rPr>
        <w:footnoteRef/>
      </w:r>
      <w:r w:rsidRPr="004D38B7">
        <w:rPr>
          <w:rFonts w:asciiTheme="minorHAnsi" w:hAnsiTheme="minorHAnsi" w:cstheme="minorHAnsi"/>
        </w:rPr>
        <w:t xml:space="preserve"> 2010 m. rugsėjo 16 d. </w:t>
      </w:r>
      <w:r w:rsidRPr="004D38B7">
        <w:rPr>
          <w:rFonts w:asciiTheme="minorHAnsi" w:hAnsiTheme="minorHAnsi" w:cstheme="minorHAnsi"/>
        </w:rPr>
        <w:t xml:space="preserve">Europos Centrinio Banko sprendimas dėl eurų banknotų autentiškumo ir tinkamumo apyvartai tikrinimo bei pakartotinio išleidimo </w:t>
      </w:r>
      <w:r w:rsidRPr="004D38B7">
        <w:rPr>
          <w:rFonts w:asciiTheme="minorHAnsi" w:hAnsiTheme="minorHAnsi" w:cstheme="minorHAnsi"/>
        </w:rPr>
        <w:t>į apyvartą (ECB/2010/14) (2010/597/ES), iš dalies pakeistas 2012 m. rugsėjo 7 d. Europos Centrinio Banko sprendimu (ECB/2012/19) (2012/507/ES).</w:t>
      </w:r>
    </w:p>
  </w:footnote>
  <w:footnote w:id="15">
    <w:p w14:paraId="728F03C1" w14:textId="4A4939AB" w:rsidR="00831521" w:rsidRPr="004D38B7" w:rsidRDefault="00831521" w:rsidP="00791714">
      <w:pPr>
        <w:pStyle w:val="FootnoteText"/>
        <w:jc w:val="both"/>
        <w:rPr>
          <w:rFonts w:asciiTheme="minorHAnsi" w:hAnsiTheme="minorHAnsi" w:cstheme="minorHAnsi"/>
        </w:rPr>
      </w:pPr>
      <w:r w:rsidRPr="004D38B7">
        <w:rPr>
          <w:rStyle w:val="FootnoteReference"/>
          <w:rFonts w:asciiTheme="minorHAnsi" w:hAnsiTheme="minorHAnsi" w:cstheme="minorHAnsi"/>
        </w:rPr>
        <w:footnoteRef/>
      </w:r>
      <w:r w:rsidRPr="004D38B7">
        <w:rPr>
          <w:rFonts w:asciiTheme="minorHAnsi" w:hAnsiTheme="minorHAnsi" w:cstheme="minorHAnsi"/>
        </w:rPr>
        <w:t xml:space="preserve"> 2001 m. birželio 28 d. Tarybos reglamentas (EB) Nr. 1338/2001 nustatantis priemones, būtinas euro apsaugai nuo padirbinėjimo.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08" w:type="dxa"/>
      <w:tblBorders>
        <w:bottom w:val="single" w:sz="4" w:space="0" w:color="44546A" w:themeColor="text2"/>
      </w:tblBorders>
      <w:tblLook w:val="04A0" w:firstRow="1" w:lastRow="0" w:firstColumn="1" w:lastColumn="0" w:noHBand="0" w:noVBand="1"/>
    </w:tblPr>
    <w:tblGrid>
      <w:gridCol w:w="7230"/>
      <w:gridCol w:w="2409"/>
    </w:tblGrid>
    <w:tr w:rsidR="00831521" w:rsidRPr="000967FF" w14:paraId="7F6B4457" w14:textId="77777777" w:rsidTr="00125BDC">
      <w:tc>
        <w:tcPr>
          <w:tcW w:w="7230" w:type="dxa"/>
        </w:tcPr>
        <w:p w14:paraId="36804DBB" w14:textId="77777777" w:rsidR="00831521" w:rsidRPr="0021377E" w:rsidRDefault="00831521" w:rsidP="0016762E">
          <w:pPr>
            <w:rPr>
              <w:rFonts w:ascii="Calibri" w:hAnsi="Calibri"/>
              <w:i/>
              <w:color w:val="323E4F" w:themeColor="text2" w:themeShade="BF"/>
              <w:sz w:val="20"/>
              <w:szCs w:val="20"/>
            </w:rPr>
          </w:pPr>
          <w:r w:rsidRPr="0021377E">
            <w:rPr>
              <w:rFonts w:ascii="Calibri" w:hAnsi="Calibri"/>
              <w:i/>
              <w:color w:val="323E4F" w:themeColor="text2" w:themeShade="BF"/>
              <w:sz w:val="20"/>
              <w:szCs w:val="20"/>
            </w:rPr>
            <w:t>Teis</w:t>
          </w:r>
          <w:r>
            <w:rPr>
              <w:rFonts w:ascii="Calibri" w:hAnsi="Calibri"/>
              <w:i/>
              <w:color w:val="323E4F" w:themeColor="text2" w:themeShade="BF"/>
              <w:sz w:val="20"/>
              <w:szCs w:val="20"/>
            </w:rPr>
            <w:t xml:space="preserve">mų praktikos </w:t>
          </w:r>
          <w:r w:rsidRPr="0021377E">
            <w:rPr>
              <w:rFonts w:ascii="Calibri" w:hAnsi="Calibri"/>
              <w:i/>
              <w:color w:val="323E4F" w:themeColor="text2" w:themeShade="BF"/>
              <w:sz w:val="20"/>
              <w:szCs w:val="20"/>
            </w:rPr>
            <w:t>departamentas</w:t>
          </w:r>
        </w:p>
      </w:tc>
      <w:tc>
        <w:tcPr>
          <w:tcW w:w="2409" w:type="dxa"/>
        </w:tcPr>
        <w:p w14:paraId="7332D03A" w14:textId="46D9FC0B" w:rsidR="00831521" w:rsidRPr="0021377E" w:rsidRDefault="00831521" w:rsidP="00CF4CD9">
          <w:pPr>
            <w:jc w:val="right"/>
            <w:rPr>
              <w:rFonts w:ascii="Calibri" w:hAnsi="Calibri"/>
              <w:color w:val="323E4F" w:themeColor="text2" w:themeShade="BF"/>
              <w:sz w:val="20"/>
              <w:szCs w:val="20"/>
            </w:rPr>
          </w:pPr>
          <w:r>
            <w:rPr>
              <w:rFonts w:ascii="Calibri" w:hAnsi="Calibri"/>
              <w:color w:val="323E4F" w:themeColor="text2" w:themeShade="BF"/>
              <w:sz w:val="20"/>
              <w:szCs w:val="20"/>
            </w:rPr>
            <w:t xml:space="preserve">2023 11 </w:t>
          </w:r>
          <w:r w:rsidRPr="0021377E">
            <w:rPr>
              <w:rFonts w:ascii="Calibri" w:hAnsi="Calibri"/>
              <w:color w:val="323E4F" w:themeColor="text2" w:themeShade="BF"/>
              <w:sz w:val="20"/>
              <w:szCs w:val="20"/>
            </w:rPr>
            <w:t>01–20</w:t>
          </w:r>
          <w:r>
            <w:rPr>
              <w:rFonts w:ascii="Calibri" w:hAnsi="Calibri"/>
              <w:color w:val="323E4F" w:themeColor="text2" w:themeShade="BF"/>
              <w:sz w:val="20"/>
              <w:szCs w:val="20"/>
            </w:rPr>
            <w:t>23 11 30</w:t>
          </w:r>
        </w:p>
      </w:tc>
    </w:tr>
  </w:tbl>
  <w:p w14:paraId="5129C6CC" w14:textId="77777777" w:rsidR="00831521" w:rsidRPr="008A0597" w:rsidRDefault="00831521">
    <w:pPr>
      <w:pStyle w:val="Header"/>
      <w:rPr>
        <w:sz w:val="20"/>
        <w:szCs w:val="20"/>
        <w:lang w:val="lt-L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D59E9"/>
    <w:multiLevelType w:val="hybridMultilevel"/>
    <w:tmpl w:val="86F02870"/>
    <w:lvl w:ilvl="0" w:tplc="0427000F">
      <w:start w:val="1"/>
      <w:numFmt w:val="decimal"/>
      <w:lvlText w:val="%1."/>
      <w:lvlJc w:val="left"/>
      <w:pPr>
        <w:ind w:left="1778"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1" w15:restartNumberingAfterBreak="0">
    <w:nsid w:val="07D0602A"/>
    <w:multiLevelType w:val="hybridMultilevel"/>
    <w:tmpl w:val="C7EC575E"/>
    <w:lvl w:ilvl="0" w:tplc="0809000F">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 w15:restartNumberingAfterBreak="0">
    <w:nsid w:val="0A5D48FF"/>
    <w:multiLevelType w:val="multilevel"/>
    <w:tmpl w:val="4F0AC94E"/>
    <w:lvl w:ilvl="0">
      <w:start w:val="1"/>
      <w:numFmt w:val="decimal"/>
      <w:lvlText w:val="%1."/>
      <w:lvlJc w:val="left"/>
      <w:pPr>
        <w:ind w:left="360" w:hanging="360"/>
      </w:pPr>
      <w:rPr>
        <w:b w:val="0"/>
        <w:lang w:val="lt-LT"/>
      </w:r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A83068C"/>
    <w:multiLevelType w:val="hybridMultilevel"/>
    <w:tmpl w:val="AE8A69AC"/>
    <w:numStyleLink w:val="ImportedStyle1"/>
  </w:abstractNum>
  <w:abstractNum w:abstractNumId="4" w15:restartNumberingAfterBreak="0">
    <w:nsid w:val="0C8322CB"/>
    <w:multiLevelType w:val="hybridMultilevel"/>
    <w:tmpl w:val="11D6A416"/>
    <w:lvl w:ilvl="0" w:tplc="5792F5D4">
      <w:start w:val="1"/>
      <w:numFmt w:val="decimal"/>
      <w:suff w:val="space"/>
      <w:lvlText w:val="%1."/>
      <w:lvlJc w:val="left"/>
      <w:pPr>
        <w:ind w:left="1072" w:hanging="363"/>
      </w:pPr>
      <w:rPr>
        <w:rFonts w:ascii="Times New Roman" w:hAnsi="Times New Roman"/>
        <w:sz w:val="24"/>
      </w:rPr>
    </w:lvl>
    <w:lvl w:ilvl="1" w:tplc="4BBA91EE">
      <w:start w:val="1"/>
      <w:numFmt w:val="lowerLetter"/>
      <w:lvlText w:val="%2."/>
      <w:lvlJc w:val="left"/>
      <w:pPr>
        <w:ind w:left="2149" w:hanging="360"/>
      </w:pPr>
    </w:lvl>
    <w:lvl w:ilvl="2" w:tplc="D7D45C26">
      <w:start w:val="1"/>
      <w:numFmt w:val="lowerRoman"/>
      <w:lvlText w:val="%3."/>
      <w:lvlJc w:val="right"/>
      <w:pPr>
        <w:ind w:left="2869" w:hanging="180"/>
      </w:pPr>
    </w:lvl>
    <w:lvl w:ilvl="3" w:tplc="952EB476">
      <w:start w:val="1"/>
      <w:numFmt w:val="decimal"/>
      <w:lvlText w:val="%4."/>
      <w:lvlJc w:val="left"/>
      <w:pPr>
        <w:ind w:left="3589" w:hanging="360"/>
      </w:pPr>
    </w:lvl>
    <w:lvl w:ilvl="4" w:tplc="9274DEC6">
      <w:start w:val="1"/>
      <w:numFmt w:val="lowerLetter"/>
      <w:lvlText w:val="%5."/>
      <w:lvlJc w:val="left"/>
      <w:pPr>
        <w:ind w:left="4309" w:hanging="360"/>
      </w:pPr>
    </w:lvl>
    <w:lvl w:ilvl="5" w:tplc="D7C05E68">
      <w:start w:val="1"/>
      <w:numFmt w:val="lowerRoman"/>
      <w:lvlText w:val="%6."/>
      <w:lvlJc w:val="right"/>
      <w:pPr>
        <w:ind w:left="5029" w:hanging="180"/>
      </w:pPr>
    </w:lvl>
    <w:lvl w:ilvl="6" w:tplc="4DBA542C">
      <w:start w:val="1"/>
      <w:numFmt w:val="decimal"/>
      <w:lvlText w:val="%7."/>
      <w:lvlJc w:val="left"/>
      <w:pPr>
        <w:ind w:left="5749" w:hanging="360"/>
      </w:pPr>
    </w:lvl>
    <w:lvl w:ilvl="7" w:tplc="785271E8">
      <w:start w:val="1"/>
      <w:numFmt w:val="lowerLetter"/>
      <w:lvlText w:val="%8."/>
      <w:lvlJc w:val="left"/>
      <w:pPr>
        <w:ind w:left="6469" w:hanging="360"/>
      </w:pPr>
    </w:lvl>
    <w:lvl w:ilvl="8" w:tplc="32DEBEF4">
      <w:start w:val="1"/>
      <w:numFmt w:val="lowerRoman"/>
      <w:lvlText w:val="%9."/>
      <w:lvlJc w:val="right"/>
      <w:pPr>
        <w:ind w:left="7189" w:hanging="180"/>
      </w:pPr>
    </w:lvl>
  </w:abstractNum>
  <w:abstractNum w:abstractNumId="5" w15:restartNumberingAfterBreak="0">
    <w:nsid w:val="0EB4371A"/>
    <w:multiLevelType w:val="hybridMultilevel"/>
    <w:tmpl w:val="6A04A6BA"/>
    <w:lvl w:ilvl="0" w:tplc="0C6E25AA">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6" w15:restartNumberingAfterBreak="0">
    <w:nsid w:val="0EE9356F"/>
    <w:multiLevelType w:val="multilevel"/>
    <w:tmpl w:val="27DECC46"/>
    <w:lvl w:ilvl="0">
      <w:start w:val="1"/>
      <w:numFmt w:val="decimal"/>
      <w:lvlText w:val="%1."/>
      <w:lvlJc w:val="left"/>
      <w:pPr>
        <w:ind w:left="5322" w:hanging="360"/>
      </w:pPr>
      <w:rPr>
        <w:rFonts w:hint="default"/>
        <w:sz w:val="24"/>
        <w:szCs w:val="24"/>
      </w:rPr>
    </w:lvl>
    <w:lvl w:ilvl="1">
      <w:start w:val="1"/>
      <w:numFmt w:val="decimal"/>
      <w:lvlText w:val="%1.%2."/>
      <w:lvlJc w:val="left"/>
      <w:pPr>
        <w:ind w:left="3268" w:hanging="432"/>
      </w:pPr>
      <w:rPr>
        <w:rFonts w:hint="default"/>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1785FCC"/>
    <w:multiLevelType w:val="hybridMultilevel"/>
    <w:tmpl w:val="864C7DEC"/>
    <w:lvl w:ilvl="0" w:tplc="E1D08E6A">
      <w:start w:val="36"/>
      <w:numFmt w:val="decimal"/>
      <w:lvlText w:val="%1."/>
      <w:lvlJc w:val="left"/>
      <w:pPr>
        <w:ind w:left="106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46B78E0"/>
    <w:multiLevelType w:val="hybridMultilevel"/>
    <w:tmpl w:val="EE48EA3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14861C35"/>
    <w:multiLevelType w:val="hybridMultilevel"/>
    <w:tmpl w:val="B98A62C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15674BD9"/>
    <w:multiLevelType w:val="hybridMultilevel"/>
    <w:tmpl w:val="7D6E55D2"/>
    <w:lvl w:ilvl="0" w:tplc="4C0CC98C">
      <w:start w:val="31"/>
      <w:numFmt w:val="bullet"/>
      <w:lvlText w:val="–"/>
      <w:lvlJc w:val="left"/>
      <w:pPr>
        <w:ind w:left="927" w:hanging="360"/>
      </w:pPr>
      <w:rPr>
        <w:rFonts w:ascii="Calibri" w:eastAsia="Times New Roman" w:hAnsi="Calibri" w:cs="Calibri"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11" w15:restartNumberingAfterBreak="0">
    <w:nsid w:val="19FC1CFB"/>
    <w:multiLevelType w:val="multilevel"/>
    <w:tmpl w:val="3F24DBB4"/>
    <w:lvl w:ilvl="0">
      <w:start w:val="1"/>
      <w:numFmt w:val="decimal"/>
      <w:lvlText w:val="%1."/>
      <w:lvlJc w:val="left"/>
      <w:pPr>
        <w:ind w:left="360" w:hanging="360"/>
      </w:pPr>
      <w:rPr>
        <w:rFonts w:hint="default"/>
        <w:sz w:val="24"/>
        <w:szCs w:val="24"/>
      </w:rPr>
    </w:lvl>
    <w:lvl w:ilvl="1">
      <w:start w:val="1"/>
      <w:numFmt w:val="decimal"/>
      <w:lvlText w:val="%1.%2."/>
      <w:lvlJc w:val="left"/>
      <w:pPr>
        <w:ind w:left="1283" w:hanging="432"/>
      </w:pPr>
      <w:rPr>
        <w:rFonts w:hint="default"/>
        <w:b w:val="0"/>
        <w:bCs w:val="0"/>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D811F29"/>
    <w:multiLevelType w:val="multilevel"/>
    <w:tmpl w:val="368ABD7C"/>
    <w:lvl w:ilvl="0">
      <w:start w:val="1"/>
      <w:numFmt w:val="decimal"/>
      <w:lvlText w:val="%1."/>
      <w:lvlJc w:val="left"/>
      <w:pPr>
        <w:ind w:left="1778" w:hanging="360"/>
      </w:pPr>
      <w:rPr>
        <w:rFonts w:hint="default"/>
        <w:sz w:val="24"/>
        <w:szCs w:val="24"/>
      </w:rPr>
    </w:lvl>
    <w:lvl w:ilvl="1">
      <w:start w:val="1"/>
      <w:numFmt w:val="decimal"/>
      <w:lvlText w:val="%1.%2."/>
      <w:lvlJc w:val="left"/>
      <w:pPr>
        <w:ind w:left="2417"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14F1C96"/>
    <w:multiLevelType w:val="multilevel"/>
    <w:tmpl w:val="B830C30A"/>
    <w:lvl w:ilvl="0">
      <w:start w:val="1"/>
      <w:numFmt w:val="decimal"/>
      <w:pStyle w:val="Pagrindini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2C6B484C"/>
    <w:multiLevelType w:val="hybridMultilevel"/>
    <w:tmpl w:val="BEAED27A"/>
    <w:lvl w:ilvl="0" w:tplc="7A44F820">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5" w15:restartNumberingAfterBreak="0">
    <w:nsid w:val="2CE17594"/>
    <w:multiLevelType w:val="hybridMultilevel"/>
    <w:tmpl w:val="38821B40"/>
    <w:lvl w:ilvl="0" w:tplc="CBCE2470">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6" w15:restartNumberingAfterBreak="0">
    <w:nsid w:val="2E5F3180"/>
    <w:multiLevelType w:val="multilevel"/>
    <w:tmpl w:val="A3EAF280"/>
    <w:lvl w:ilvl="0">
      <w:start w:val="1"/>
      <w:numFmt w:val="decimal"/>
      <w:lvlText w:val="%1."/>
      <w:lvlJc w:val="left"/>
      <w:pPr>
        <w:ind w:left="2629" w:hanging="360"/>
      </w:pPr>
      <w:rPr>
        <w:rFonts w:ascii="Times New Roman" w:hAnsi="Times New Roman" w:cs="Times New Roman" w:hint="default"/>
        <w:b w:val="0"/>
        <w:i w:val="0"/>
        <w:color w:val="000000"/>
        <w:sz w:val="24"/>
        <w:szCs w:val="24"/>
      </w:rPr>
    </w:lvl>
    <w:lvl w:ilvl="1">
      <w:start w:val="1"/>
      <w:numFmt w:val="decimal"/>
      <w:lvlText w:val="%1.%2."/>
      <w:lvlJc w:val="left"/>
      <w:pPr>
        <w:ind w:left="5962" w:hanging="432"/>
      </w:pPr>
    </w:lvl>
    <w:lvl w:ilvl="2">
      <w:start w:val="1"/>
      <w:numFmt w:val="decimal"/>
      <w:lvlText w:val="%1.%2.%3."/>
      <w:lvlJc w:val="left"/>
      <w:pPr>
        <w:ind w:left="6044" w:hanging="504"/>
      </w:pPr>
    </w:lvl>
    <w:lvl w:ilvl="3">
      <w:start w:val="1"/>
      <w:numFmt w:val="decimal"/>
      <w:lvlText w:val="%1.%2.%3.%4."/>
      <w:lvlJc w:val="left"/>
      <w:pPr>
        <w:ind w:left="6548" w:hanging="648"/>
      </w:pPr>
    </w:lvl>
    <w:lvl w:ilvl="4">
      <w:start w:val="1"/>
      <w:numFmt w:val="decimal"/>
      <w:lvlText w:val="%1.%2.%3.%4.%5."/>
      <w:lvlJc w:val="left"/>
      <w:pPr>
        <w:ind w:left="7052" w:hanging="792"/>
      </w:pPr>
    </w:lvl>
    <w:lvl w:ilvl="5">
      <w:start w:val="1"/>
      <w:numFmt w:val="decimal"/>
      <w:lvlText w:val="%1.%2.%3.%4.%5.%6."/>
      <w:lvlJc w:val="left"/>
      <w:pPr>
        <w:ind w:left="7556" w:hanging="936"/>
      </w:pPr>
    </w:lvl>
    <w:lvl w:ilvl="6">
      <w:start w:val="1"/>
      <w:numFmt w:val="decimal"/>
      <w:lvlText w:val="%1.%2.%3.%4.%5.%6.%7."/>
      <w:lvlJc w:val="left"/>
      <w:pPr>
        <w:ind w:left="8060" w:hanging="1080"/>
      </w:pPr>
    </w:lvl>
    <w:lvl w:ilvl="7">
      <w:start w:val="1"/>
      <w:numFmt w:val="decimal"/>
      <w:lvlText w:val="%1.%2.%3.%4.%5.%6.%7.%8."/>
      <w:lvlJc w:val="left"/>
      <w:pPr>
        <w:ind w:left="8564" w:hanging="1224"/>
      </w:pPr>
    </w:lvl>
    <w:lvl w:ilvl="8">
      <w:start w:val="1"/>
      <w:numFmt w:val="decimal"/>
      <w:lvlText w:val="%1.%2.%3.%4.%5.%6.%7.%8.%9."/>
      <w:lvlJc w:val="left"/>
      <w:pPr>
        <w:ind w:left="9140" w:hanging="1440"/>
      </w:pPr>
    </w:lvl>
  </w:abstractNum>
  <w:abstractNum w:abstractNumId="17" w15:restartNumberingAfterBreak="0">
    <w:nsid w:val="2EB21AFB"/>
    <w:multiLevelType w:val="multilevel"/>
    <w:tmpl w:val="C1B26CB0"/>
    <w:lvl w:ilvl="0">
      <w:start w:val="1"/>
      <w:numFmt w:val="decimal"/>
      <w:lvlText w:val="%1."/>
      <w:lvlJc w:val="left"/>
      <w:pPr>
        <w:ind w:left="6598"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0DD47FC"/>
    <w:multiLevelType w:val="multilevel"/>
    <w:tmpl w:val="E21C0B60"/>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9" w15:restartNumberingAfterBreak="0">
    <w:nsid w:val="356C34FE"/>
    <w:multiLevelType w:val="multilevel"/>
    <w:tmpl w:val="67160C44"/>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0" w15:restartNumberingAfterBreak="0">
    <w:nsid w:val="41482C5F"/>
    <w:multiLevelType w:val="multilevel"/>
    <w:tmpl w:val="233614D6"/>
    <w:lvl w:ilvl="0">
      <w:start w:val="1"/>
      <w:numFmt w:val="decimal"/>
      <w:lvlText w:val="%1."/>
      <w:lvlJc w:val="left"/>
      <w:pPr>
        <w:ind w:left="7470" w:hanging="360"/>
      </w:pPr>
      <w:rPr>
        <w:i w:val="0"/>
        <w:sz w:val="24"/>
        <w:szCs w:val="24"/>
      </w:rPr>
    </w:lvl>
    <w:lvl w:ilvl="1">
      <w:start w:val="1"/>
      <w:numFmt w:val="decimal"/>
      <w:isLgl/>
      <w:lvlText w:val="%1.%2."/>
      <w:lvlJc w:val="left"/>
      <w:pPr>
        <w:ind w:left="1331" w:hanging="480"/>
      </w:pPr>
      <w:rPr>
        <w:b w:val="0"/>
        <w:i w:val="0"/>
        <w:iCs w:val="0"/>
      </w:rPr>
    </w:lvl>
    <w:lvl w:ilvl="2">
      <w:start w:val="1"/>
      <w:numFmt w:val="decimal"/>
      <w:isLgl/>
      <w:lvlText w:val="%1.%2.%3."/>
      <w:lvlJc w:val="left"/>
      <w:pPr>
        <w:ind w:left="1571" w:hanging="720"/>
      </w:pPr>
    </w:lvl>
    <w:lvl w:ilvl="3">
      <w:start w:val="1"/>
      <w:numFmt w:val="decimal"/>
      <w:isLgl/>
      <w:lvlText w:val="%1.%2.%3.%4."/>
      <w:lvlJc w:val="left"/>
      <w:pPr>
        <w:ind w:left="1571" w:hanging="720"/>
      </w:pPr>
    </w:lvl>
    <w:lvl w:ilvl="4">
      <w:start w:val="1"/>
      <w:numFmt w:val="decimal"/>
      <w:isLgl/>
      <w:lvlText w:val="%1.%2.%3.%4.%5."/>
      <w:lvlJc w:val="left"/>
      <w:pPr>
        <w:ind w:left="1931" w:hanging="1080"/>
      </w:pPr>
    </w:lvl>
    <w:lvl w:ilvl="5">
      <w:start w:val="1"/>
      <w:numFmt w:val="decimal"/>
      <w:isLgl/>
      <w:lvlText w:val="%1.%2.%3.%4.%5.%6."/>
      <w:lvlJc w:val="left"/>
      <w:pPr>
        <w:ind w:left="1931" w:hanging="1080"/>
      </w:pPr>
    </w:lvl>
    <w:lvl w:ilvl="6">
      <w:start w:val="1"/>
      <w:numFmt w:val="decimal"/>
      <w:isLgl/>
      <w:lvlText w:val="%1.%2.%3.%4.%5.%6.%7."/>
      <w:lvlJc w:val="left"/>
      <w:pPr>
        <w:ind w:left="2291" w:hanging="1440"/>
      </w:pPr>
    </w:lvl>
    <w:lvl w:ilvl="7">
      <w:start w:val="1"/>
      <w:numFmt w:val="decimal"/>
      <w:isLgl/>
      <w:lvlText w:val="%1.%2.%3.%4.%5.%6.%7.%8."/>
      <w:lvlJc w:val="left"/>
      <w:pPr>
        <w:ind w:left="2291" w:hanging="1440"/>
      </w:pPr>
    </w:lvl>
    <w:lvl w:ilvl="8">
      <w:start w:val="1"/>
      <w:numFmt w:val="decimal"/>
      <w:isLgl/>
      <w:lvlText w:val="%1.%2.%3.%4.%5.%6.%7.%8.%9."/>
      <w:lvlJc w:val="left"/>
      <w:pPr>
        <w:ind w:left="2651" w:hanging="1800"/>
      </w:pPr>
    </w:lvl>
  </w:abstractNum>
  <w:abstractNum w:abstractNumId="21" w15:restartNumberingAfterBreak="0">
    <w:nsid w:val="42370261"/>
    <w:multiLevelType w:val="hybridMultilevel"/>
    <w:tmpl w:val="088C5F2C"/>
    <w:lvl w:ilvl="0" w:tplc="76F88FFA">
      <w:start w:val="2021"/>
      <w:numFmt w:val="bullet"/>
      <w:lvlText w:val="-"/>
      <w:lvlJc w:val="left"/>
      <w:pPr>
        <w:ind w:left="720" w:hanging="360"/>
      </w:pPr>
      <w:rPr>
        <w:rFonts w:ascii="Calibri" w:eastAsia="Times New Roman" w:hAnsi="Calibri" w:cs="Calibri"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2" w15:restartNumberingAfterBreak="0">
    <w:nsid w:val="436834F0"/>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79A3357"/>
    <w:multiLevelType w:val="hybridMultilevel"/>
    <w:tmpl w:val="831E7F9A"/>
    <w:lvl w:ilvl="0" w:tplc="8B5CE292">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4" w15:restartNumberingAfterBreak="0">
    <w:nsid w:val="4AB67B8E"/>
    <w:multiLevelType w:val="multilevel"/>
    <w:tmpl w:val="DB28180A"/>
    <w:lvl w:ilvl="0">
      <w:start w:val="1"/>
      <w:numFmt w:val="decimal"/>
      <w:lvlText w:val="%1."/>
      <w:lvlJc w:val="left"/>
      <w:pPr>
        <w:ind w:left="1070" w:hanging="360"/>
      </w:pPr>
      <w:rPr>
        <w:sz w:val="24"/>
        <w:szCs w:val="24"/>
      </w:rPr>
    </w:lvl>
    <w:lvl w:ilvl="1">
      <w:start w:val="1"/>
      <w:numFmt w:val="decimal"/>
      <w:isLgl/>
      <w:lvlText w:val="%1.%2."/>
      <w:lvlJc w:val="left"/>
      <w:pPr>
        <w:ind w:left="1200" w:hanging="480"/>
      </w:pPr>
      <w:rPr>
        <w:sz w:val="24"/>
        <w:szCs w:val="24"/>
      </w:rPr>
    </w:lvl>
    <w:lvl w:ilvl="2">
      <w:start w:val="1"/>
      <w:numFmt w:val="decimal"/>
      <w:isLgl/>
      <w:lvlText w:val="%1.%2.%3."/>
      <w:lvlJc w:val="left"/>
      <w:pPr>
        <w:ind w:left="1450" w:hanging="720"/>
      </w:pPr>
    </w:lvl>
    <w:lvl w:ilvl="3">
      <w:start w:val="1"/>
      <w:numFmt w:val="decimal"/>
      <w:isLgl/>
      <w:lvlText w:val="%1.%2.%3.%4."/>
      <w:lvlJc w:val="left"/>
      <w:pPr>
        <w:ind w:left="1460" w:hanging="720"/>
      </w:pPr>
    </w:lvl>
    <w:lvl w:ilvl="4">
      <w:start w:val="1"/>
      <w:numFmt w:val="decimal"/>
      <w:isLgl/>
      <w:lvlText w:val="%1.%2.%3.%4.%5."/>
      <w:lvlJc w:val="left"/>
      <w:pPr>
        <w:ind w:left="1830" w:hanging="1080"/>
      </w:pPr>
    </w:lvl>
    <w:lvl w:ilvl="5">
      <w:start w:val="1"/>
      <w:numFmt w:val="decimal"/>
      <w:isLgl/>
      <w:lvlText w:val="%1.%2.%3.%4.%5.%6."/>
      <w:lvlJc w:val="left"/>
      <w:pPr>
        <w:ind w:left="1840" w:hanging="1080"/>
      </w:pPr>
    </w:lvl>
    <w:lvl w:ilvl="6">
      <w:start w:val="1"/>
      <w:numFmt w:val="decimal"/>
      <w:isLgl/>
      <w:lvlText w:val="%1.%2.%3.%4.%5.%6.%7."/>
      <w:lvlJc w:val="left"/>
      <w:pPr>
        <w:ind w:left="2210" w:hanging="1440"/>
      </w:pPr>
    </w:lvl>
    <w:lvl w:ilvl="7">
      <w:start w:val="1"/>
      <w:numFmt w:val="decimal"/>
      <w:isLgl/>
      <w:lvlText w:val="%1.%2.%3.%4.%5.%6.%7.%8."/>
      <w:lvlJc w:val="left"/>
      <w:pPr>
        <w:ind w:left="2220" w:hanging="1440"/>
      </w:pPr>
    </w:lvl>
    <w:lvl w:ilvl="8">
      <w:start w:val="1"/>
      <w:numFmt w:val="decimal"/>
      <w:isLgl/>
      <w:lvlText w:val="%1.%2.%3.%4.%5.%6.%7.%8.%9."/>
      <w:lvlJc w:val="left"/>
      <w:pPr>
        <w:ind w:left="2590" w:hanging="1800"/>
      </w:pPr>
    </w:lvl>
  </w:abstractNum>
  <w:abstractNum w:abstractNumId="25" w15:restartNumberingAfterBreak="0">
    <w:nsid w:val="4FC4595A"/>
    <w:multiLevelType w:val="multilevel"/>
    <w:tmpl w:val="415CC40A"/>
    <w:lvl w:ilvl="0">
      <w:start w:val="1"/>
      <w:numFmt w:val="decimal"/>
      <w:lvlText w:val="%1."/>
      <w:lvlJc w:val="left"/>
      <w:pPr>
        <w:ind w:left="3905" w:hanging="360"/>
      </w:pPr>
      <w:rPr>
        <w:sz w:val="24"/>
        <w:szCs w:val="24"/>
      </w:rPr>
    </w:lvl>
    <w:lvl w:ilvl="1">
      <w:start w:val="1"/>
      <w:numFmt w:val="decimal"/>
      <w:lvlText w:val="%1.%2."/>
      <w:lvlJc w:val="left"/>
      <w:pPr>
        <w:ind w:left="858"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2026ACC"/>
    <w:multiLevelType w:val="multilevel"/>
    <w:tmpl w:val="BD1A0B74"/>
    <w:lvl w:ilvl="0">
      <w:start w:val="1"/>
      <w:numFmt w:val="decimal"/>
      <w:lvlText w:val="%1."/>
      <w:lvlJc w:val="left"/>
      <w:pPr>
        <w:ind w:left="5606" w:hanging="360"/>
      </w:pPr>
      <w:rPr>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24B4031"/>
    <w:multiLevelType w:val="hybridMultilevel"/>
    <w:tmpl w:val="DBD2899A"/>
    <w:lvl w:ilvl="0" w:tplc="11289078">
      <w:start w:val="29"/>
      <w:numFmt w:val="bullet"/>
      <w:lvlText w:val="-"/>
      <w:lvlJc w:val="left"/>
      <w:pPr>
        <w:ind w:left="927" w:hanging="360"/>
      </w:pPr>
      <w:rPr>
        <w:rFonts w:ascii="Calibri" w:eastAsia="Times New Roman" w:hAnsi="Calibri" w:cs="Calibri"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28" w15:restartNumberingAfterBreak="0">
    <w:nsid w:val="5C2305E2"/>
    <w:multiLevelType w:val="hybridMultilevel"/>
    <w:tmpl w:val="AE8A69AC"/>
    <w:styleLink w:val="ImportedStyle1"/>
    <w:lvl w:ilvl="0" w:tplc="72CA3B14">
      <w:start w:val="1"/>
      <w:numFmt w:val="decimal"/>
      <w:lvlText w:val="%1."/>
      <w:lvlJc w:val="left"/>
      <w:pPr>
        <w:tabs>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 w:ilvl="1" w:tplc="CFDCDE0A">
      <w:start w:val="1"/>
      <w:numFmt w:val="lowerLetter"/>
      <w:lvlText w:val="%2."/>
      <w:lvlJc w:val="left"/>
      <w:pPr>
        <w:tabs>
          <w:tab w:val="num" w:pos="1331"/>
        </w:tabs>
        <w:ind w:left="622" w:firstLine="87"/>
      </w:pPr>
      <w:rPr>
        <w:rFonts w:hAnsi="Arial Unicode MS"/>
        <w:caps w:val="0"/>
        <w:smallCaps w:val="0"/>
        <w:strike w:val="0"/>
        <w:dstrike w:val="0"/>
        <w:outline w:val="0"/>
        <w:emboss w:val="0"/>
        <w:imprint w:val="0"/>
        <w:spacing w:val="0"/>
        <w:w w:val="100"/>
        <w:kern w:val="0"/>
        <w:position w:val="0"/>
        <w:highlight w:val="none"/>
        <w:vertAlign w:val="baseline"/>
      </w:rPr>
    </w:lvl>
    <w:lvl w:ilvl="2" w:tplc="E68C4DE2">
      <w:start w:val="1"/>
      <w:numFmt w:val="lowerRoman"/>
      <w:suff w:val="nothing"/>
      <w:lvlText w:val="%3."/>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3" w:tplc="70025BA6">
      <w:start w:val="1"/>
      <w:numFmt w:val="decimal"/>
      <w:lvlText w:val="%4."/>
      <w:lvlJc w:val="left"/>
      <w:pPr>
        <w:tabs>
          <w:tab w:val="num" w:pos="1349"/>
        </w:tabs>
        <w:ind w:left="640" w:firstLine="69"/>
      </w:pPr>
      <w:rPr>
        <w:rFonts w:hAnsi="Arial Unicode MS"/>
        <w:caps w:val="0"/>
        <w:smallCaps w:val="0"/>
        <w:strike w:val="0"/>
        <w:dstrike w:val="0"/>
        <w:outline w:val="0"/>
        <w:emboss w:val="0"/>
        <w:imprint w:val="0"/>
        <w:spacing w:val="0"/>
        <w:w w:val="100"/>
        <w:kern w:val="0"/>
        <w:position w:val="0"/>
        <w:highlight w:val="none"/>
        <w:vertAlign w:val="baseline"/>
      </w:rPr>
    </w:lvl>
    <w:lvl w:ilvl="4" w:tplc="748EF882">
      <w:start w:val="1"/>
      <w:numFmt w:val="lowerLetter"/>
      <w:suff w:val="nothing"/>
      <w:lvlText w:val="%5."/>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5" w:tplc="30FC9D0C">
      <w:start w:val="1"/>
      <w:numFmt w:val="lowerRoman"/>
      <w:lvlText w:val="%6."/>
      <w:lvlJc w:val="left"/>
      <w:pPr>
        <w:tabs>
          <w:tab w:val="num" w:pos="1130"/>
          <w:tab w:val="left" w:pos="1134"/>
        </w:tabs>
        <w:ind w:left="421" w:firstLine="288"/>
      </w:pPr>
      <w:rPr>
        <w:rFonts w:hAnsi="Arial Unicode MS"/>
        <w:caps w:val="0"/>
        <w:smallCaps w:val="0"/>
        <w:strike w:val="0"/>
        <w:dstrike w:val="0"/>
        <w:outline w:val="0"/>
        <w:emboss w:val="0"/>
        <w:imprint w:val="0"/>
        <w:spacing w:val="0"/>
        <w:w w:val="100"/>
        <w:kern w:val="0"/>
        <w:position w:val="0"/>
        <w:highlight w:val="none"/>
        <w:vertAlign w:val="baseline"/>
      </w:rPr>
    </w:lvl>
    <w:lvl w:ilvl="6" w:tplc="7AC6704C">
      <w:start w:val="1"/>
      <w:numFmt w:val="decimal"/>
      <w:lvlText w:val="%7."/>
      <w:lvlJc w:val="left"/>
      <w:pPr>
        <w:tabs>
          <w:tab w:val="num" w:pos="1557"/>
        </w:tabs>
        <w:ind w:left="848" w:hanging="139"/>
      </w:pPr>
      <w:rPr>
        <w:rFonts w:hAnsi="Arial Unicode MS"/>
        <w:caps w:val="0"/>
        <w:smallCaps w:val="0"/>
        <w:strike w:val="0"/>
        <w:dstrike w:val="0"/>
        <w:outline w:val="0"/>
        <w:emboss w:val="0"/>
        <w:imprint w:val="0"/>
        <w:spacing w:val="0"/>
        <w:w w:val="100"/>
        <w:kern w:val="0"/>
        <w:position w:val="0"/>
        <w:highlight w:val="none"/>
        <w:vertAlign w:val="baseline"/>
      </w:rPr>
    </w:lvl>
    <w:lvl w:ilvl="7" w:tplc="8ED0693C">
      <w:start w:val="1"/>
      <w:numFmt w:val="lowerLetter"/>
      <w:lvlText w:val="%8."/>
      <w:lvlJc w:val="left"/>
      <w:pPr>
        <w:tabs>
          <w:tab w:val="left" w:pos="1134"/>
          <w:tab w:val="num" w:pos="1857"/>
        </w:tabs>
        <w:ind w:left="1148" w:firstLine="357"/>
      </w:pPr>
      <w:rPr>
        <w:rFonts w:hAnsi="Arial Unicode MS"/>
        <w:caps w:val="0"/>
        <w:smallCaps w:val="0"/>
        <w:strike w:val="0"/>
        <w:dstrike w:val="0"/>
        <w:outline w:val="0"/>
        <w:emboss w:val="0"/>
        <w:imprint w:val="0"/>
        <w:spacing w:val="0"/>
        <w:w w:val="100"/>
        <w:kern w:val="0"/>
        <w:position w:val="0"/>
        <w:highlight w:val="none"/>
        <w:vertAlign w:val="baseline"/>
      </w:rPr>
    </w:lvl>
    <w:lvl w:ilvl="8" w:tplc="A5F2E4A8">
      <w:start w:val="1"/>
      <w:numFmt w:val="lowerRoman"/>
      <w:lvlText w:val="%9."/>
      <w:lvlJc w:val="left"/>
      <w:pPr>
        <w:tabs>
          <w:tab w:val="left" w:pos="1134"/>
          <w:tab w:val="num" w:pos="2577"/>
        </w:tabs>
        <w:ind w:left="1868" w:firstLine="22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9" w15:restartNumberingAfterBreak="0">
    <w:nsid w:val="5E262C66"/>
    <w:multiLevelType w:val="hybridMultilevel"/>
    <w:tmpl w:val="DDA20F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1A419E3"/>
    <w:multiLevelType w:val="multilevel"/>
    <w:tmpl w:val="9FD4F912"/>
    <w:lvl w:ilvl="0">
      <w:start w:val="1"/>
      <w:numFmt w:val="decimal"/>
      <w:lvlText w:val="%1."/>
      <w:lvlJc w:val="left"/>
      <w:pPr>
        <w:ind w:left="1353" w:hanging="360"/>
      </w:pPr>
      <w:rPr>
        <w:b w:val="0"/>
        <w:sz w:val="24"/>
        <w:szCs w:val="24"/>
      </w:r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rPr>
        <w:b/>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2E94BD0"/>
    <w:multiLevelType w:val="hybridMultilevel"/>
    <w:tmpl w:val="40A0A22A"/>
    <w:lvl w:ilvl="0" w:tplc="88AE034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2" w15:restartNumberingAfterBreak="0">
    <w:nsid w:val="665D5C80"/>
    <w:multiLevelType w:val="hybridMultilevel"/>
    <w:tmpl w:val="37BA38EA"/>
    <w:lvl w:ilvl="0" w:tplc="EC94A78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8CE725D"/>
    <w:multiLevelType w:val="hybridMultilevel"/>
    <w:tmpl w:val="7A4ADCD2"/>
    <w:lvl w:ilvl="0" w:tplc="6C32277C">
      <w:start w:val="1"/>
      <w:numFmt w:val="decimal"/>
      <w:lvlText w:val="%1."/>
      <w:lvlJc w:val="left"/>
      <w:pPr>
        <w:ind w:left="502" w:hanging="360"/>
      </w:pPr>
      <w:rPr>
        <w:rFonts w:hint="default"/>
        <w:b w:val="0"/>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4" w15:restartNumberingAfterBreak="0">
    <w:nsid w:val="69007084"/>
    <w:multiLevelType w:val="hybridMultilevel"/>
    <w:tmpl w:val="C84C9FF6"/>
    <w:lvl w:ilvl="0" w:tplc="296C7BF8">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35" w15:restartNumberingAfterBreak="0">
    <w:nsid w:val="6C55393C"/>
    <w:multiLevelType w:val="hybridMultilevel"/>
    <w:tmpl w:val="6E2CF6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CA83ACE"/>
    <w:multiLevelType w:val="hybridMultilevel"/>
    <w:tmpl w:val="4B1C0664"/>
    <w:lvl w:ilvl="0" w:tplc="04270001">
      <w:start w:val="1"/>
      <w:numFmt w:val="bullet"/>
      <w:lvlText w:val=""/>
      <w:lvlJc w:val="left"/>
      <w:pPr>
        <w:ind w:left="1031" w:hanging="360"/>
      </w:pPr>
      <w:rPr>
        <w:rFonts w:ascii="Symbol" w:hAnsi="Symbol" w:hint="default"/>
      </w:rPr>
    </w:lvl>
    <w:lvl w:ilvl="1" w:tplc="04270003" w:tentative="1">
      <w:start w:val="1"/>
      <w:numFmt w:val="bullet"/>
      <w:lvlText w:val="o"/>
      <w:lvlJc w:val="left"/>
      <w:pPr>
        <w:ind w:left="1751" w:hanging="360"/>
      </w:pPr>
      <w:rPr>
        <w:rFonts w:ascii="Courier New" w:hAnsi="Courier New" w:cs="Courier New" w:hint="default"/>
      </w:rPr>
    </w:lvl>
    <w:lvl w:ilvl="2" w:tplc="04270005" w:tentative="1">
      <w:start w:val="1"/>
      <w:numFmt w:val="bullet"/>
      <w:lvlText w:val=""/>
      <w:lvlJc w:val="left"/>
      <w:pPr>
        <w:ind w:left="2471" w:hanging="360"/>
      </w:pPr>
      <w:rPr>
        <w:rFonts w:ascii="Wingdings" w:hAnsi="Wingdings" w:hint="default"/>
      </w:rPr>
    </w:lvl>
    <w:lvl w:ilvl="3" w:tplc="04270001" w:tentative="1">
      <w:start w:val="1"/>
      <w:numFmt w:val="bullet"/>
      <w:lvlText w:val=""/>
      <w:lvlJc w:val="left"/>
      <w:pPr>
        <w:ind w:left="3191" w:hanging="360"/>
      </w:pPr>
      <w:rPr>
        <w:rFonts w:ascii="Symbol" w:hAnsi="Symbol" w:hint="default"/>
      </w:rPr>
    </w:lvl>
    <w:lvl w:ilvl="4" w:tplc="04270003" w:tentative="1">
      <w:start w:val="1"/>
      <w:numFmt w:val="bullet"/>
      <w:lvlText w:val="o"/>
      <w:lvlJc w:val="left"/>
      <w:pPr>
        <w:ind w:left="3911" w:hanging="360"/>
      </w:pPr>
      <w:rPr>
        <w:rFonts w:ascii="Courier New" w:hAnsi="Courier New" w:cs="Courier New" w:hint="default"/>
      </w:rPr>
    </w:lvl>
    <w:lvl w:ilvl="5" w:tplc="04270005" w:tentative="1">
      <w:start w:val="1"/>
      <w:numFmt w:val="bullet"/>
      <w:lvlText w:val=""/>
      <w:lvlJc w:val="left"/>
      <w:pPr>
        <w:ind w:left="4631" w:hanging="360"/>
      </w:pPr>
      <w:rPr>
        <w:rFonts w:ascii="Wingdings" w:hAnsi="Wingdings" w:hint="default"/>
      </w:rPr>
    </w:lvl>
    <w:lvl w:ilvl="6" w:tplc="04270001" w:tentative="1">
      <w:start w:val="1"/>
      <w:numFmt w:val="bullet"/>
      <w:lvlText w:val=""/>
      <w:lvlJc w:val="left"/>
      <w:pPr>
        <w:ind w:left="5351" w:hanging="360"/>
      </w:pPr>
      <w:rPr>
        <w:rFonts w:ascii="Symbol" w:hAnsi="Symbol" w:hint="default"/>
      </w:rPr>
    </w:lvl>
    <w:lvl w:ilvl="7" w:tplc="04270003" w:tentative="1">
      <w:start w:val="1"/>
      <w:numFmt w:val="bullet"/>
      <w:lvlText w:val="o"/>
      <w:lvlJc w:val="left"/>
      <w:pPr>
        <w:ind w:left="6071" w:hanging="360"/>
      </w:pPr>
      <w:rPr>
        <w:rFonts w:ascii="Courier New" w:hAnsi="Courier New" w:cs="Courier New" w:hint="default"/>
      </w:rPr>
    </w:lvl>
    <w:lvl w:ilvl="8" w:tplc="04270005" w:tentative="1">
      <w:start w:val="1"/>
      <w:numFmt w:val="bullet"/>
      <w:lvlText w:val=""/>
      <w:lvlJc w:val="left"/>
      <w:pPr>
        <w:ind w:left="6791" w:hanging="360"/>
      </w:pPr>
      <w:rPr>
        <w:rFonts w:ascii="Wingdings" w:hAnsi="Wingdings" w:hint="default"/>
      </w:rPr>
    </w:lvl>
  </w:abstractNum>
  <w:abstractNum w:abstractNumId="37" w15:restartNumberingAfterBreak="0">
    <w:nsid w:val="70D73920"/>
    <w:multiLevelType w:val="multilevel"/>
    <w:tmpl w:val="10E6AD38"/>
    <w:styleLink w:val="WWNum17"/>
    <w:lvl w:ilvl="0">
      <w:start w:val="1"/>
      <w:numFmt w:val="decimal"/>
      <w:lvlText w:val="%1."/>
      <w:lvlJc w:val="left"/>
      <w:pPr>
        <w:ind w:left="1211" w:hanging="360"/>
      </w:pPr>
      <w:rPr>
        <w:i w:val="0"/>
        <w:sz w:val="24"/>
        <w:szCs w:val="24"/>
      </w:rPr>
    </w:lvl>
    <w:lvl w:ilvl="1">
      <w:start w:val="1"/>
      <w:numFmt w:val="decimal"/>
      <w:lvlText w:val="%1.%2."/>
      <w:lvlJc w:val="left"/>
      <w:pPr>
        <w:ind w:left="1211" w:hanging="360"/>
      </w:pPr>
      <w:rPr>
        <w:i w:val="0"/>
        <w:sz w:val="24"/>
        <w:szCs w:val="24"/>
      </w:rPr>
    </w:lvl>
    <w:lvl w:ilvl="2">
      <w:start w:val="1"/>
      <w:numFmt w:val="decimal"/>
      <w:lvlText w:val="%1.%2.%3."/>
      <w:lvlJc w:val="left"/>
      <w:pPr>
        <w:ind w:left="1571" w:hanging="720"/>
      </w:pPr>
    </w:lvl>
    <w:lvl w:ilvl="3">
      <w:start w:val="1"/>
      <w:numFmt w:val="decimal"/>
      <w:lvlText w:val="%1.%2.%3.%4."/>
      <w:lvlJc w:val="left"/>
      <w:pPr>
        <w:ind w:left="1571" w:hanging="720"/>
      </w:pPr>
    </w:lvl>
    <w:lvl w:ilvl="4">
      <w:start w:val="1"/>
      <w:numFmt w:val="decimal"/>
      <w:lvlText w:val="%1.%2.%3.%4.%5."/>
      <w:lvlJc w:val="left"/>
      <w:pPr>
        <w:ind w:left="1931" w:hanging="1080"/>
      </w:pPr>
    </w:lvl>
    <w:lvl w:ilvl="5">
      <w:start w:val="1"/>
      <w:numFmt w:val="decimal"/>
      <w:lvlText w:val="%1.%2.%3.%4.%5.%6."/>
      <w:lvlJc w:val="left"/>
      <w:pPr>
        <w:ind w:left="1931" w:hanging="1080"/>
      </w:pPr>
    </w:lvl>
    <w:lvl w:ilvl="6">
      <w:start w:val="1"/>
      <w:numFmt w:val="decimal"/>
      <w:lvlText w:val="%1.%2.%3.%4.%5.%6.%7."/>
      <w:lvlJc w:val="left"/>
      <w:pPr>
        <w:ind w:left="2291" w:hanging="1440"/>
      </w:pPr>
    </w:lvl>
    <w:lvl w:ilvl="7">
      <w:start w:val="1"/>
      <w:numFmt w:val="decimal"/>
      <w:lvlText w:val="%1.%2.%3.%4.%5.%6.%7.%8."/>
      <w:lvlJc w:val="left"/>
      <w:pPr>
        <w:ind w:left="2291" w:hanging="1440"/>
      </w:pPr>
    </w:lvl>
    <w:lvl w:ilvl="8">
      <w:start w:val="1"/>
      <w:numFmt w:val="decimal"/>
      <w:lvlText w:val="%1.%2.%3.%4.%5.%6.%7.%8.%9."/>
      <w:lvlJc w:val="left"/>
      <w:pPr>
        <w:ind w:left="2651" w:hanging="1800"/>
      </w:pPr>
    </w:lvl>
  </w:abstractNum>
  <w:abstractNum w:abstractNumId="38" w15:restartNumberingAfterBreak="0">
    <w:nsid w:val="75772430"/>
    <w:multiLevelType w:val="multilevel"/>
    <w:tmpl w:val="DAD8533C"/>
    <w:lvl w:ilvl="0">
      <w:start w:val="2"/>
      <w:numFmt w:val="decimal"/>
      <w:lvlText w:val="%1."/>
      <w:lvlJc w:val="left"/>
      <w:pPr>
        <w:ind w:left="360" w:hanging="360"/>
      </w:pPr>
      <w:rPr>
        <w:rFonts w:hint="default"/>
      </w:rPr>
    </w:lvl>
    <w:lvl w:ilvl="1">
      <w:start w:val="1"/>
      <w:numFmt w:val="decimal"/>
      <w:lvlText w:val="%1.%2."/>
      <w:lvlJc w:val="left"/>
      <w:pPr>
        <w:ind w:left="2214" w:hanging="3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9" w15:restartNumberingAfterBreak="0">
    <w:nsid w:val="76612B45"/>
    <w:multiLevelType w:val="hybridMultilevel"/>
    <w:tmpl w:val="3F40006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0" w15:restartNumberingAfterBreak="0">
    <w:nsid w:val="76F90BD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7734EAC"/>
    <w:multiLevelType w:val="hybridMultilevel"/>
    <w:tmpl w:val="E5DE044A"/>
    <w:lvl w:ilvl="0" w:tplc="BEE4A6A2">
      <w:start w:val="1"/>
      <w:numFmt w:val="decimal"/>
      <w:lvlText w:val="%1."/>
      <w:lvlJc w:val="left"/>
      <w:pPr>
        <w:ind w:left="2345" w:hanging="360"/>
      </w:pPr>
    </w:lvl>
    <w:lvl w:ilvl="1" w:tplc="2B803766">
      <w:start w:val="1"/>
      <w:numFmt w:val="lowerLetter"/>
      <w:lvlText w:val="%2."/>
      <w:lvlJc w:val="left"/>
      <w:pPr>
        <w:ind w:left="1440" w:hanging="360"/>
      </w:pPr>
    </w:lvl>
    <w:lvl w:ilvl="2" w:tplc="8B3A967E">
      <w:start w:val="1"/>
      <w:numFmt w:val="lowerRoman"/>
      <w:lvlText w:val="%3."/>
      <w:lvlJc w:val="right"/>
      <w:pPr>
        <w:ind w:left="2160" w:hanging="180"/>
      </w:pPr>
    </w:lvl>
    <w:lvl w:ilvl="3" w:tplc="C3FC0D9A">
      <w:start w:val="1"/>
      <w:numFmt w:val="decimal"/>
      <w:lvlText w:val="%4."/>
      <w:lvlJc w:val="left"/>
      <w:pPr>
        <w:ind w:left="2880" w:hanging="360"/>
      </w:pPr>
    </w:lvl>
    <w:lvl w:ilvl="4" w:tplc="2CA648FE">
      <w:start w:val="1"/>
      <w:numFmt w:val="lowerLetter"/>
      <w:lvlText w:val="%5."/>
      <w:lvlJc w:val="left"/>
      <w:pPr>
        <w:ind w:left="3600" w:hanging="360"/>
      </w:pPr>
    </w:lvl>
    <w:lvl w:ilvl="5" w:tplc="880E2AB6">
      <w:start w:val="1"/>
      <w:numFmt w:val="lowerRoman"/>
      <w:lvlText w:val="%6."/>
      <w:lvlJc w:val="right"/>
      <w:pPr>
        <w:ind w:left="4320" w:hanging="180"/>
      </w:pPr>
    </w:lvl>
    <w:lvl w:ilvl="6" w:tplc="D4A69280">
      <w:start w:val="1"/>
      <w:numFmt w:val="decimal"/>
      <w:lvlText w:val="%7."/>
      <w:lvlJc w:val="left"/>
      <w:pPr>
        <w:ind w:left="5040" w:hanging="360"/>
      </w:pPr>
    </w:lvl>
    <w:lvl w:ilvl="7" w:tplc="B7C23420">
      <w:start w:val="1"/>
      <w:numFmt w:val="lowerLetter"/>
      <w:lvlText w:val="%8."/>
      <w:lvlJc w:val="left"/>
      <w:pPr>
        <w:ind w:left="5760" w:hanging="360"/>
      </w:pPr>
    </w:lvl>
    <w:lvl w:ilvl="8" w:tplc="315CF0CC">
      <w:start w:val="1"/>
      <w:numFmt w:val="lowerRoman"/>
      <w:lvlText w:val="%9."/>
      <w:lvlJc w:val="right"/>
      <w:pPr>
        <w:ind w:left="6480" w:hanging="180"/>
      </w:pPr>
    </w:lvl>
  </w:abstractNum>
  <w:abstractNum w:abstractNumId="42" w15:restartNumberingAfterBreak="0">
    <w:nsid w:val="7B9010E5"/>
    <w:multiLevelType w:val="hybridMultilevel"/>
    <w:tmpl w:val="6E008B32"/>
    <w:lvl w:ilvl="0" w:tplc="0427000F">
      <w:start w:val="1"/>
      <w:numFmt w:val="decimal"/>
      <w:lvlText w:val="%1."/>
      <w:lvlJc w:val="left"/>
      <w:pPr>
        <w:ind w:left="2629"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num w:numId="1" w16cid:durableId="1538935360">
    <w:abstractNumId w:val="37"/>
  </w:num>
  <w:num w:numId="2" w16cid:durableId="215240319">
    <w:abstractNumId w:val="17"/>
  </w:num>
  <w:num w:numId="3" w16cid:durableId="1705128637">
    <w:abstractNumId w:val="5"/>
  </w:num>
  <w:num w:numId="4" w16cid:durableId="1181623898">
    <w:abstractNumId w:val="2"/>
  </w:num>
  <w:num w:numId="5" w16cid:durableId="1174145846">
    <w:abstractNumId w:val="28"/>
  </w:num>
  <w:num w:numId="6" w16cid:durableId="934897506">
    <w:abstractNumId w:val="3"/>
    <w:lvlOverride w:ilvl="0">
      <w:lvl w:ilvl="0" w:tplc="46E63CE8">
        <w:start w:val="1"/>
        <w:numFmt w:val="decimal"/>
        <w:lvlText w:val="%1."/>
        <w:lvlJc w:val="left"/>
        <w:pPr>
          <w:tabs>
            <w:tab w:val="left" w:pos="710"/>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DDCA07A0">
        <w:start w:val="1"/>
        <w:numFmt w:val="lowerLetter"/>
        <w:lvlText w:val="%2."/>
        <w:lvlJc w:val="left"/>
        <w:pPr>
          <w:tabs>
            <w:tab w:val="left" w:pos="710"/>
            <w:tab w:val="num" w:pos="907"/>
            <w:tab w:val="left" w:pos="1134"/>
          </w:tabs>
          <w:ind w:left="198" w:firstLine="5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F6549A32">
        <w:start w:val="1"/>
        <w:numFmt w:val="lowerRoman"/>
        <w:suff w:val="nothing"/>
        <w:lvlText w:val="%3."/>
        <w:lvlJc w:val="left"/>
        <w:pPr>
          <w:tabs>
            <w:tab w:val="left" w:pos="710"/>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155E194A">
        <w:start w:val="1"/>
        <w:numFmt w:val="decimal"/>
        <w:lvlText w:val="%4."/>
        <w:lvlJc w:val="left"/>
        <w:pPr>
          <w:tabs>
            <w:tab w:val="left" w:pos="710"/>
            <w:tab w:val="num" w:pos="1349"/>
          </w:tabs>
          <w:ind w:left="640" w:firstLine="6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749AD82C">
        <w:start w:val="1"/>
        <w:numFmt w:val="lowerLetter"/>
        <w:suff w:val="nothing"/>
        <w:lvlText w:val="%5."/>
        <w:lvlJc w:val="left"/>
        <w:pPr>
          <w:tabs>
            <w:tab w:val="left" w:pos="710"/>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8D522946">
        <w:start w:val="1"/>
        <w:numFmt w:val="lowerRoman"/>
        <w:lvlText w:val="%6."/>
        <w:lvlJc w:val="left"/>
        <w:pPr>
          <w:tabs>
            <w:tab w:val="left" w:pos="710"/>
            <w:tab w:val="num" w:pos="1130"/>
            <w:tab w:val="left" w:pos="1134"/>
          </w:tabs>
          <w:ind w:left="421" w:firstLine="28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E2267610">
        <w:start w:val="1"/>
        <w:numFmt w:val="decimal"/>
        <w:lvlText w:val="%7."/>
        <w:lvlJc w:val="left"/>
        <w:pPr>
          <w:tabs>
            <w:tab w:val="left" w:pos="710"/>
            <w:tab w:val="num" w:pos="1557"/>
          </w:tabs>
          <w:ind w:left="848" w:hanging="13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A5B6CF5E">
        <w:start w:val="1"/>
        <w:numFmt w:val="lowerLetter"/>
        <w:lvlText w:val="%8."/>
        <w:lvlJc w:val="left"/>
        <w:pPr>
          <w:tabs>
            <w:tab w:val="left" w:pos="710"/>
            <w:tab w:val="left" w:pos="1134"/>
            <w:tab w:val="num" w:pos="1857"/>
          </w:tabs>
          <w:ind w:left="1148" w:firstLine="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0398541C">
        <w:start w:val="1"/>
        <w:numFmt w:val="lowerRoman"/>
        <w:lvlText w:val="%9."/>
        <w:lvlJc w:val="left"/>
        <w:pPr>
          <w:tabs>
            <w:tab w:val="left" w:pos="710"/>
            <w:tab w:val="left" w:pos="1134"/>
            <w:tab w:val="num" w:pos="2577"/>
          </w:tabs>
          <w:ind w:left="1868" w:firstLine="22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7" w16cid:durableId="1277102463">
    <w:abstractNumId w:val="3"/>
  </w:num>
  <w:num w:numId="8" w16cid:durableId="468473268">
    <w:abstractNumId w:val="1"/>
  </w:num>
  <w:num w:numId="9" w16cid:durableId="1090660816">
    <w:abstractNumId w:val="31"/>
  </w:num>
  <w:num w:numId="10" w16cid:durableId="2124692362">
    <w:abstractNumId w:val="29"/>
  </w:num>
  <w:num w:numId="11" w16cid:durableId="854852738">
    <w:abstractNumId w:val="35"/>
  </w:num>
  <w:num w:numId="12" w16cid:durableId="776028409">
    <w:abstractNumId w:val="14"/>
  </w:num>
  <w:num w:numId="13" w16cid:durableId="156795115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88592934">
    <w:abstractNumId w:val="11"/>
  </w:num>
  <w:num w:numId="15" w16cid:durableId="554513908">
    <w:abstractNumId w:val="10"/>
  </w:num>
  <w:num w:numId="16" w16cid:durableId="1444499452">
    <w:abstractNumId w:val="26"/>
  </w:num>
  <w:num w:numId="17" w16cid:durableId="139658826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90458394">
    <w:abstractNumId w:val="12"/>
  </w:num>
  <w:num w:numId="19" w16cid:durableId="1960531480">
    <w:abstractNumId w:val="38"/>
  </w:num>
  <w:num w:numId="20" w16cid:durableId="1999729256">
    <w:abstractNumId w:val="7"/>
  </w:num>
  <w:num w:numId="21" w16cid:durableId="130753911">
    <w:abstractNumId w:val="33"/>
  </w:num>
  <w:num w:numId="22" w16cid:durableId="2084448206">
    <w:abstractNumId w:val="25"/>
  </w:num>
  <w:num w:numId="23" w16cid:durableId="1830092874">
    <w:abstractNumId w:val="0"/>
  </w:num>
  <w:num w:numId="24" w16cid:durableId="1321805977">
    <w:abstractNumId w:val="41"/>
  </w:num>
  <w:num w:numId="25" w16cid:durableId="1689714770">
    <w:abstractNumId w:val="6"/>
  </w:num>
  <w:num w:numId="26" w16cid:durableId="1524593507">
    <w:abstractNumId w:val="34"/>
  </w:num>
  <w:num w:numId="27" w16cid:durableId="30227410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8787495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4034987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5477618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9377193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34420773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068896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819451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42002293">
    <w:abstractNumId w:val="27"/>
  </w:num>
  <w:num w:numId="36" w16cid:durableId="1434089905">
    <w:abstractNumId w:val="21"/>
  </w:num>
  <w:num w:numId="37" w16cid:durableId="1216431042">
    <w:abstractNumId w:val="32"/>
  </w:num>
  <w:num w:numId="38" w16cid:durableId="1815636995">
    <w:abstractNumId w:val="13"/>
  </w:num>
  <w:num w:numId="39" w16cid:durableId="86390975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14206765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770351510">
    <w:abstractNumId w:val="23"/>
  </w:num>
  <w:num w:numId="42" w16cid:durableId="16022249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301079932">
    <w:abstractNumId w:val="18"/>
  </w:num>
  <w:num w:numId="44" w16cid:durableId="162256850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402558818">
    <w:abstractNumId w:val="19"/>
  </w:num>
  <w:num w:numId="46" w16cid:durableId="1867404227">
    <w:abstractNumId w:val="30"/>
  </w:num>
  <w:num w:numId="47" w16cid:durableId="617688276">
    <w:abstractNumId w:val="8"/>
  </w:num>
  <w:num w:numId="48" w16cid:durableId="947542249">
    <w:abstractNumId w:val="9"/>
  </w:num>
  <w:num w:numId="49" w16cid:durableId="581524744">
    <w:abstractNumId w:val="39"/>
  </w:num>
  <w:num w:numId="50" w16cid:durableId="1434016198">
    <w:abstractNumId w:val="3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4C15"/>
    <w:rsid w:val="00000CF1"/>
    <w:rsid w:val="00001614"/>
    <w:rsid w:val="0000181D"/>
    <w:rsid w:val="00001B52"/>
    <w:rsid w:val="00001F07"/>
    <w:rsid w:val="00002966"/>
    <w:rsid w:val="00002A22"/>
    <w:rsid w:val="00002CB5"/>
    <w:rsid w:val="00002F90"/>
    <w:rsid w:val="00003009"/>
    <w:rsid w:val="00003D7F"/>
    <w:rsid w:val="000046DE"/>
    <w:rsid w:val="00004777"/>
    <w:rsid w:val="00005391"/>
    <w:rsid w:val="00005618"/>
    <w:rsid w:val="00005A31"/>
    <w:rsid w:val="00005A32"/>
    <w:rsid w:val="00005A36"/>
    <w:rsid w:val="000064C2"/>
    <w:rsid w:val="000067FD"/>
    <w:rsid w:val="00006E86"/>
    <w:rsid w:val="000075AF"/>
    <w:rsid w:val="00007A79"/>
    <w:rsid w:val="00007AE0"/>
    <w:rsid w:val="000102D2"/>
    <w:rsid w:val="00010516"/>
    <w:rsid w:val="0001086D"/>
    <w:rsid w:val="000112F0"/>
    <w:rsid w:val="000113E1"/>
    <w:rsid w:val="00011BE2"/>
    <w:rsid w:val="00011C12"/>
    <w:rsid w:val="00011DAF"/>
    <w:rsid w:val="0001254F"/>
    <w:rsid w:val="000130FA"/>
    <w:rsid w:val="0001338B"/>
    <w:rsid w:val="0001374D"/>
    <w:rsid w:val="00013D25"/>
    <w:rsid w:val="00014130"/>
    <w:rsid w:val="00014148"/>
    <w:rsid w:val="0001474E"/>
    <w:rsid w:val="00014865"/>
    <w:rsid w:val="0001491A"/>
    <w:rsid w:val="00014C00"/>
    <w:rsid w:val="00015268"/>
    <w:rsid w:val="0001541F"/>
    <w:rsid w:val="00015DA3"/>
    <w:rsid w:val="00016022"/>
    <w:rsid w:val="00016129"/>
    <w:rsid w:val="0001636D"/>
    <w:rsid w:val="00016443"/>
    <w:rsid w:val="00017230"/>
    <w:rsid w:val="0001725D"/>
    <w:rsid w:val="0001760A"/>
    <w:rsid w:val="0001772A"/>
    <w:rsid w:val="00017BCD"/>
    <w:rsid w:val="00017C67"/>
    <w:rsid w:val="00017F45"/>
    <w:rsid w:val="00020610"/>
    <w:rsid w:val="00020A68"/>
    <w:rsid w:val="00020B66"/>
    <w:rsid w:val="00020BE8"/>
    <w:rsid w:val="00021869"/>
    <w:rsid w:val="00021C5E"/>
    <w:rsid w:val="000232BE"/>
    <w:rsid w:val="000238BA"/>
    <w:rsid w:val="000239AB"/>
    <w:rsid w:val="00024FF5"/>
    <w:rsid w:val="00025504"/>
    <w:rsid w:val="0002557A"/>
    <w:rsid w:val="000256A0"/>
    <w:rsid w:val="00025B99"/>
    <w:rsid w:val="00025BA1"/>
    <w:rsid w:val="000262CF"/>
    <w:rsid w:val="00026349"/>
    <w:rsid w:val="00026E6D"/>
    <w:rsid w:val="00027B00"/>
    <w:rsid w:val="00027D76"/>
    <w:rsid w:val="00027DF8"/>
    <w:rsid w:val="00027E9E"/>
    <w:rsid w:val="000300BD"/>
    <w:rsid w:val="00030179"/>
    <w:rsid w:val="00030614"/>
    <w:rsid w:val="00030ED6"/>
    <w:rsid w:val="0003198A"/>
    <w:rsid w:val="00031C18"/>
    <w:rsid w:val="00031F67"/>
    <w:rsid w:val="00032160"/>
    <w:rsid w:val="00032657"/>
    <w:rsid w:val="000326C5"/>
    <w:rsid w:val="00033126"/>
    <w:rsid w:val="00033C55"/>
    <w:rsid w:val="00034291"/>
    <w:rsid w:val="00034C6D"/>
    <w:rsid w:val="00034F46"/>
    <w:rsid w:val="000353C2"/>
    <w:rsid w:val="00035916"/>
    <w:rsid w:val="00035BB7"/>
    <w:rsid w:val="00035E28"/>
    <w:rsid w:val="000361AE"/>
    <w:rsid w:val="000362A4"/>
    <w:rsid w:val="000363AC"/>
    <w:rsid w:val="00036672"/>
    <w:rsid w:val="000368F0"/>
    <w:rsid w:val="00036B29"/>
    <w:rsid w:val="00036CBE"/>
    <w:rsid w:val="00037C27"/>
    <w:rsid w:val="00037D5F"/>
    <w:rsid w:val="00040EBD"/>
    <w:rsid w:val="0004105D"/>
    <w:rsid w:val="00041849"/>
    <w:rsid w:val="00043033"/>
    <w:rsid w:val="0004324F"/>
    <w:rsid w:val="000437A2"/>
    <w:rsid w:val="000439D5"/>
    <w:rsid w:val="00043C66"/>
    <w:rsid w:val="00043CD9"/>
    <w:rsid w:val="00043D7F"/>
    <w:rsid w:val="00043FA6"/>
    <w:rsid w:val="00044680"/>
    <w:rsid w:val="000446AC"/>
    <w:rsid w:val="00044F1B"/>
    <w:rsid w:val="00045020"/>
    <w:rsid w:val="00045822"/>
    <w:rsid w:val="000458C0"/>
    <w:rsid w:val="00045B27"/>
    <w:rsid w:val="00045B8E"/>
    <w:rsid w:val="00045C20"/>
    <w:rsid w:val="00046189"/>
    <w:rsid w:val="00046428"/>
    <w:rsid w:val="0004676B"/>
    <w:rsid w:val="00046B5B"/>
    <w:rsid w:val="00046E01"/>
    <w:rsid w:val="00047043"/>
    <w:rsid w:val="0004733D"/>
    <w:rsid w:val="00047F10"/>
    <w:rsid w:val="00050321"/>
    <w:rsid w:val="0005045D"/>
    <w:rsid w:val="00050657"/>
    <w:rsid w:val="00050891"/>
    <w:rsid w:val="00050B91"/>
    <w:rsid w:val="00050CE1"/>
    <w:rsid w:val="0005139C"/>
    <w:rsid w:val="000518C1"/>
    <w:rsid w:val="00051F4C"/>
    <w:rsid w:val="00051FCA"/>
    <w:rsid w:val="00052441"/>
    <w:rsid w:val="00052995"/>
    <w:rsid w:val="00052AE5"/>
    <w:rsid w:val="00052C7F"/>
    <w:rsid w:val="00052D19"/>
    <w:rsid w:val="00052FC4"/>
    <w:rsid w:val="000532AC"/>
    <w:rsid w:val="00053362"/>
    <w:rsid w:val="000536F6"/>
    <w:rsid w:val="000541A7"/>
    <w:rsid w:val="00054560"/>
    <w:rsid w:val="000545FE"/>
    <w:rsid w:val="000546B9"/>
    <w:rsid w:val="000546D1"/>
    <w:rsid w:val="0005480A"/>
    <w:rsid w:val="00055759"/>
    <w:rsid w:val="00055AFB"/>
    <w:rsid w:val="00055F3F"/>
    <w:rsid w:val="0005601D"/>
    <w:rsid w:val="0005610D"/>
    <w:rsid w:val="000574B4"/>
    <w:rsid w:val="00057AAA"/>
    <w:rsid w:val="00057B3C"/>
    <w:rsid w:val="00057DF4"/>
    <w:rsid w:val="000608A3"/>
    <w:rsid w:val="000611FF"/>
    <w:rsid w:val="0006157E"/>
    <w:rsid w:val="0006163D"/>
    <w:rsid w:val="0006177A"/>
    <w:rsid w:val="00061B35"/>
    <w:rsid w:val="00061D97"/>
    <w:rsid w:val="000624EE"/>
    <w:rsid w:val="00063470"/>
    <w:rsid w:val="000641D7"/>
    <w:rsid w:val="000641F6"/>
    <w:rsid w:val="00064654"/>
    <w:rsid w:val="00064CB1"/>
    <w:rsid w:val="000650DE"/>
    <w:rsid w:val="000660B9"/>
    <w:rsid w:val="000664DB"/>
    <w:rsid w:val="00066917"/>
    <w:rsid w:val="00066F18"/>
    <w:rsid w:val="0006729D"/>
    <w:rsid w:val="0006731B"/>
    <w:rsid w:val="0006745F"/>
    <w:rsid w:val="000674B2"/>
    <w:rsid w:val="0006759B"/>
    <w:rsid w:val="000679DD"/>
    <w:rsid w:val="00067F91"/>
    <w:rsid w:val="00067FB8"/>
    <w:rsid w:val="0007050C"/>
    <w:rsid w:val="00070614"/>
    <w:rsid w:val="00070655"/>
    <w:rsid w:val="00070B4D"/>
    <w:rsid w:val="00070F1E"/>
    <w:rsid w:val="00071022"/>
    <w:rsid w:val="0007142F"/>
    <w:rsid w:val="000714F2"/>
    <w:rsid w:val="00071C23"/>
    <w:rsid w:val="00071E33"/>
    <w:rsid w:val="00071F84"/>
    <w:rsid w:val="00072C40"/>
    <w:rsid w:val="00072F6D"/>
    <w:rsid w:val="00073036"/>
    <w:rsid w:val="00073161"/>
    <w:rsid w:val="0007355B"/>
    <w:rsid w:val="000736C7"/>
    <w:rsid w:val="000738BB"/>
    <w:rsid w:val="00073A45"/>
    <w:rsid w:val="00073B21"/>
    <w:rsid w:val="00073B99"/>
    <w:rsid w:val="00073F44"/>
    <w:rsid w:val="000744E9"/>
    <w:rsid w:val="00074617"/>
    <w:rsid w:val="00074E76"/>
    <w:rsid w:val="000751CF"/>
    <w:rsid w:val="00075230"/>
    <w:rsid w:val="00075247"/>
    <w:rsid w:val="000752AE"/>
    <w:rsid w:val="0007560C"/>
    <w:rsid w:val="00075877"/>
    <w:rsid w:val="00075B28"/>
    <w:rsid w:val="00075B43"/>
    <w:rsid w:val="000763FB"/>
    <w:rsid w:val="00076882"/>
    <w:rsid w:val="0007691E"/>
    <w:rsid w:val="00076920"/>
    <w:rsid w:val="00076972"/>
    <w:rsid w:val="00076B6D"/>
    <w:rsid w:val="00076BBD"/>
    <w:rsid w:val="00076D36"/>
    <w:rsid w:val="00077641"/>
    <w:rsid w:val="0007786B"/>
    <w:rsid w:val="000779F9"/>
    <w:rsid w:val="00077CAE"/>
    <w:rsid w:val="00080B12"/>
    <w:rsid w:val="00080C5A"/>
    <w:rsid w:val="00081450"/>
    <w:rsid w:val="00081734"/>
    <w:rsid w:val="00081819"/>
    <w:rsid w:val="00081851"/>
    <w:rsid w:val="00082131"/>
    <w:rsid w:val="00082913"/>
    <w:rsid w:val="00082A2D"/>
    <w:rsid w:val="0008302F"/>
    <w:rsid w:val="000838C6"/>
    <w:rsid w:val="00083E78"/>
    <w:rsid w:val="000840B3"/>
    <w:rsid w:val="00084172"/>
    <w:rsid w:val="00084279"/>
    <w:rsid w:val="000846CB"/>
    <w:rsid w:val="00084D69"/>
    <w:rsid w:val="00084D99"/>
    <w:rsid w:val="000853D2"/>
    <w:rsid w:val="000858B0"/>
    <w:rsid w:val="0008597D"/>
    <w:rsid w:val="00085E0F"/>
    <w:rsid w:val="00085FBE"/>
    <w:rsid w:val="0008644C"/>
    <w:rsid w:val="00086F37"/>
    <w:rsid w:val="00087DA3"/>
    <w:rsid w:val="00087F0A"/>
    <w:rsid w:val="0009023A"/>
    <w:rsid w:val="000903B8"/>
    <w:rsid w:val="000904B8"/>
    <w:rsid w:val="00090C7B"/>
    <w:rsid w:val="00091B33"/>
    <w:rsid w:val="00091CC7"/>
    <w:rsid w:val="00091EE2"/>
    <w:rsid w:val="00092011"/>
    <w:rsid w:val="00092976"/>
    <w:rsid w:val="00092A26"/>
    <w:rsid w:val="00092CD0"/>
    <w:rsid w:val="00092E83"/>
    <w:rsid w:val="00094290"/>
    <w:rsid w:val="00094683"/>
    <w:rsid w:val="00094E8E"/>
    <w:rsid w:val="00095035"/>
    <w:rsid w:val="0009591E"/>
    <w:rsid w:val="00095E50"/>
    <w:rsid w:val="00095FE8"/>
    <w:rsid w:val="00096099"/>
    <w:rsid w:val="000962ED"/>
    <w:rsid w:val="00096A7B"/>
    <w:rsid w:val="000977FE"/>
    <w:rsid w:val="00097AC0"/>
    <w:rsid w:val="00097D04"/>
    <w:rsid w:val="000A0563"/>
    <w:rsid w:val="000A095D"/>
    <w:rsid w:val="000A0D6F"/>
    <w:rsid w:val="000A1143"/>
    <w:rsid w:val="000A1463"/>
    <w:rsid w:val="000A2786"/>
    <w:rsid w:val="000A2ACD"/>
    <w:rsid w:val="000A39F4"/>
    <w:rsid w:val="000A3A7B"/>
    <w:rsid w:val="000A48C7"/>
    <w:rsid w:val="000A4AAE"/>
    <w:rsid w:val="000A533A"/>
    <w:rsid w:val="000A5DF8"/>
    <w:rsid w:val="000A6981"/>
    <w:rsid w:val="000A7295"/>
    <w:rsid w:val="000A75A3"/>
    <w:rsid w:val="000A77DB"/>
    <w:rsid w:val="000A7A94"/>
    <w:rsid w:val="000A7C1C"/>
    <w:rsid w:val="000A7F80"/>
    <w:rsid w:val="000B00CC"/>
    <w:rsid w:val="000B035F"/>
    <w:rsid w:val="000B07AF"/>
    <w:rsid w:val="000B0AA3"/>
    <w:rsid w:val="000B0DB3"/>
    <w:rsid w:val="000B0F24"/>
    <w:rsid w:val="000B0F96"/>
    <w:rsid w:val="000B15D3"/>
    <w:rsid w:val="000B189F"/>
    <w:rsid w:val="000B1AF3"/>
    <w:rsid w:val="000B1B87"/>
    <w:rsid w:val="000B200F"/>
    <w:rsid w:val="000B29D3"/>
    <w:rsid w:val="000B2B07"/>
    <w:rsid w:val="000B2D36"/>
    <w:rsid w:val="000B2EF7"/>
    <w:rsid w:val="000B3154"/>
    <w:rsid w:val="000B3BA2"/>
    <w:rsid w:val="000B466D"/>
    <w:rsid w:val="000B47F1"/>
    <w:rsid w:val="000B4BA2"/>
    <w:rsid w:val="000B4F48"/>
    <w:rsid w:val="000B53F8"/>
    <w:rsid w:val="000B5CA5"/>
    <w:rsid w:val="000B5DCC"/>
    <w:rsid w:val="000B5E58"/>
    <w:rsid w:val="000B5E9B"/>
    <w:rsid w:val="000B5F7A"/>
    <w:rsid w:val="000B6099"/>
    <w:rsid w:val="000B630C"/>
    <w:rsid w:val="000B6917"/>
    <w:rsid w:val="000B6970"/>
    <w:rsid w:val="000B6B58"/>
    <w:rsid w:val="000B7172"/>
    <w:rsid w:val="000B75DC"/>
    <w:rsid w:val="000B7B4F"/>
    <w:rsid w:val="000B7B87"/>
    <w:rsid w:val="000B7E29"/>
    <w:rsid w:val="000B7F87"/>
    <w:rsid w:val="000C04C8"/>
    <w:rsid w:val="000C05E3"/>
    <w:rsid w:val="000C083C"/>
    <w:rsid w:val="000C0EFB"/>
    <w:rsid w:val="000C0FC4"/>
    <w:rsid w:val="000C32A6"/>
    <w:rsid w:val="000C3304"/>
    <w:rsid w:val="000C3364"/>
    <w:rsid w:val="000C338C"/>
    <w:rsid w:val="000C45A4"/>
    <w:rsid w:val="000C45FB"/>
    <w:rsid w:val="000C46F2"/>
    <w:rsid w:val="000C4FCE"/>
    <w:rsid w:val="000C5021"/>
    <w:rsid w:val="000C523F"/>
    <w:rsid w:val="000C53DF"/>
    <w:rsid w:val="000C5D18"/>
    <w:rsid w:val="000C6090"/>
    <w:rsid w:val="000C6222"/>
    <w:rsid w:val="000C66E5"/>
    <w:rsid w:val="000C6BFD"/>
    <w:rsid w:val="000C7962"/>
    <w:rsid w:val="000C7D39"/>
    <w:rsid w:val="000C7D92"/>
    <w:rsid w:val="000C7EA9"/>
    <w:rsid w:val="000D09A2"/>
    <w:rsid w:val="000D0AFB"/>
    <w:rsid w:val="000D0F76"/>
    <w:rsid w:val="000D1A74"/>
    <w:rsid w:val="000D1BD3"/>
    <w:rsid w:val="000D2227"/>
    <w:rsid w:val="000D24DC"/>
    <w:rsid w:val="000D25D3"/>
    <w:rsid w:val="000D26FC"/>
    <w:rsid w:val="000D282A"/>
    <w:rsid w:val="000D2AD8"/>
    <w:rsid w:val="000D2C1C"/>
    <w:rsid w:val="000D2F33"/>
    <w:rsid w:val="000D42DA"/>
    <w:rsid w:val="000D4571"/>
    <w:rsid w:val="000D48CC"/>
    <w:rsid w:val="000D4AA6"/>
    <w:rsid w:val="000D4DFF"/>
    <w:rsid w:val="000D5FF2"/>
    <w:rsid w:val="000D607E"/>
    <w:rsid w:val="000D613F"/>
    <w:rsid w:val="000D6259"/>
    <w:rsid w:val="000D641E"/>
    <w:rsid w:val="000D669F"/>
    <w:rsid w:val="000D672F"/>
    <w:rsid w:val="000D6B6F"/>
    <w:rsid w:val="000D6D2E"/>
    <w:rsid w:val="000D7545"/>
    <w:rsid w:val="000D75DC"/>
    <w:rsid w:val="000D7B2B"/>
    <w:rsid w:val="000D7E2A"/>
    <w:rsid w:val="000D7EEA"/>
    <w:rsid w:val="000E00E4"/>
    <w:rsid w:val="000E05F1"/>
    <w:rsid w:val="000E06F6"/>
    <w:rsid w:val="000E0A69"/>
    <w:rsid w:val="000E0E17"/>
    <w:rsid w:val="000E1004"/>
    <w:rsid w:val="000E1021"/>
    <w:rsid w:val="000E124F"/>
    <w:rsid w:val="000E171C"/>
    <w:rsid w:val="000E1BD9"/>
    <w:rsid w:val="000E1DEF"/>
    <w:rsid w:val="000E1F23"/>
    <w:rsid w:val="000E1FB4"/>
    <w:rsid w:val="000E25B0"/>
    <w:rsid w:val="000E2A1F"/>
    <w:rsid w:val="000E2D3D"/>
    <w:rsid w:val="000E33CD"/>
    <w:rsid w:val="000E3617"/>
    <w:rsid w:val="000E3BCE"/>
    <w:rsid w:val="000E3F0A"/>
    <w:rsid w:val="000E4080"/>
    <w:rsid w:val="000E43AC"/>
    <w:rsid w:val="000E4B13"/>
    <w:rsid w:val="000E4D96"/>
    <w:rsid w:val="000E52D8"/>
    <w:rsid w:val="000E5309"/>
    <w:rsid w:val="000E5B1F"/>
    <w:rsid w:val="000E5D34"/>
    <w:rsid w:val="000E6038"/>
    <w:rsid w:val="000E733A"/>
    <w:rsid w:val="000E7415"/>
    <w:rsid w:val="000E7A91"/>
    <w:rsid w:val="000E7ECE"/>
    <w:rsid w:val="000F0591"/>
    <w:rsid w:val="000F0900"/>
    <w:rsid w:val="000F0AC2"/>
    <w:rsid w:val="000F0C34"/>
    <w:rsid w:val="000F0DB2"/>
    <w:rsid w:val="000F0EEC"/>
    <w:rsid w:val="000F10B9"/>
    <w:rsid w:val="000F12B8"/>
    <w:rsid w:val="000F1523"/>
    <w:rsid w:val="000F1736"/>
    <w:rsid w:val="000F1C77"/>
    <w:rsid w:val="000F1FA1"/>
    <w:rsid w:val="000F222F"/>
    <w:rsid w:val="000F2317"/>
    <w:rsid w:val="000F2745"/>
    <w:rsid w:val="000F27F0"/>
    <w:rsid w:val="000F2CE7"/>
    <w:rsid w:val="000F2CEC"/>
    <w:rsid w:val="000F32EB"/>
    <w:rsid w:val="000F3938"/>
    <w:rsid w:val="000F3F88"/>
    <w:rsid w:val="000F4990"/>
    <w:rsid w:val="000F51E8"/>
    <w:rsid w:val="000F5D10"/>
    <w:rsid w:val="000F6854"/>
    <w:rsid w:val="000F6C25"/>
    <w:rsid w:val="000F6C98"/>
    <w:rsid w:val="000F6E87"/>
    <w:rsid w:val="000F7500"/>
    <w:rsid w:val="000F7ECB"/>
    <w:rsid w:val="000F7F53"/>
    <w:rsid w:val="001002EB"/>
    <w:rsid w:val="00100755"/>
    <w:rsid w:val="001014A9"/>
    <w:rsid w:val="00101821"/>
    <w:rsid w:val="001018C5"/>
    <w:rsid w:val="00101B47"/>
    <w:rsid w:val="00101BFA"/>
    <w:rsid w:val="00101C1A"/>
    <w:rsid w:val="00101C75"/>
    <w:rsid w:val="0010256B"/>
    <w:rsid w:val="001025CD"/>
    <w:rsid w:val="0010266D"/>
    <w:rsid w:val="001028C7"/>
    <w:rsid w:val="001028D3"/>
    <w:rsid w:val="001029EC"/>
    <w:rsid w:val="001029F4"/>
    <w:rsid w:val="00102FB6"/>
    <w:rsid w:val="00103184"/>
    <w:rsid w:val="001031D7"/>
    <w:rsid w:val="001035B6"/>
    <w:rsid w:val="001044C5"/>
    <w:rsid w:val="001060AB"/>
    <w:rsid w:val="001063A0"/>
    <w:rsid w:val="00106A7D"/>
    <w:rsid w:val="00106D83"/>
    <w:rsid w:val="0010733D"/>
    <w:rsid w:val="00107B96"/>
    <w:rsid w:val="00107C3F"/>
    <w:rsid w:val="00110509"/>
    <w:rsid w:val="00110772"/>
    <w:rsid w:val="00110B80"/>
    <w:rsid w:val="0011130F"/>
    <w:rsid w:val="00111713"/>
    <w:rsid w:val="0011182C"/>
    <w:rsid w:val="00111EA7"/>
    <w:rsid w:val="00112122"/>
    <w:rsid w:val="001122B8"/>
    <w:rsid w:val="0011266F"/>
    <w:rsid w:val="00112888"/>
    <w:rsid w:val="00112960"/>
    <w:rsid w:val="00112D29"/>
    <w:rsid w:val="001132D8"/>
    <w:rsid w:val="00113435"/>
    <w:rsid w:val="001135A4"/>
    <w:rsid w:val="001137FD"/>
    <w:rsid w:val="00113802"/>
    <w:rsid w:val="00113E12"/>
    <w:rsid w:val="00114A19"/>
    <w:rsid w:val="00114CBE"/>
    <w:rsid w:val="001156F8"/>
    <w:rsid w:val="0011594A"/>
    <w:rsid w:val="00115A7B"/>
    <w:rsid w:val="0011613B"/>
    <w:rsid w:val="0011627C"/>
    <w:rsid w:val="0011655D"/>
    <w:rsid w:val="0011695D"/>
    <w:rsid w:val="00116A6F"/>
    <w:rsid w:val="00117529"/>
    <w:rsid w:val="00117BD5"/>
    <w:rsid w:val="00117D56"/>
    <w:rsid w:val="0011DA06"/>
    <w:rsid w:val="001200FC"/>
    <w:rsid w:val="001206C8"/>
    <w:rsid w:val="001206FB"/>
    <w:rsid w:val="00121181"/>
    <w:rsid w:val="0012141D"/>
    <w:rsid w:val="0012143E"/>
    <w:rsid w:val="001221FE"/>
    <w:rsid w:val="0012227D"/>
    <w:rsid w:val="001224BE"/>
    <w:rsid w:val="00122887"/>
    <w:rsid w:val="00122A1C"/>
    <w:rsid w:val="0012368B"/>
    <w:rsid w:val="00123774"/>
    <w:rsid w:val="001242A9"/>
    <w:rsid w:val="0012444E"/>
    <w:rsid w:val="0012446E"/>
    <w:rsid w:val="001247E7"/>
    <w:rsid w:val="00125287"/>
    <w:rsid w:val="001252D0"/>
    <w:rsid w:val="0012577A"/>
    <w:rsid w:val="00125A02"/>
    <w:rsid w:val="00125BDC"/>
    <w:rsid w:val="00125FC8"/>
    <w:rsid w:val="00126AFD"/>
    <w:rsid w:val="00126DDF"/>
    <w:rsid w:val="00127240"/>
    <w:rsid w:val="001276F1"/>
    <w:rsid w:val="00127767"/>
    <w:rsid w:val="00127D7A"/>
    <w:rsid w:val="001302A3"/>
    <w:rsid w:val="001304C9"/>
    <w:rsid w:val="001305A8"/>
    <w:rsid w:val="00131194"/>
    <w:rsid w:val="00131290"/>
    <w:rsid w:val="001315C0"/>
    <w:rsid w:val="00132328"/>
    <w:rsid w:val="001324EF"/>
    <w:rsid w:val="00132904"/>
    <w:rsid w:val="00132B36"/>
    <w:rsid w:val="00132ED5"/>
    <w:rsid w:val="0013389B"/>
    <w:rsid w:val="00134825"/>
    <w:rsid w:val="00134881"/>
    <w:rsid w:val="00134F11"/>
    <w:rsid w:val="00135115"/>
    <w:rsid w:val="0013541C"/>
    <w:rsid w:val="001364B3"/>
    <w:rsid w:val="00137089"/>
    <w:rsid w:val="001371D9"/>
    <w:rsid w:val="00137794"/>
    <w:rsid w:val="00137A24"/>
    <w:rsid w:val="00137A55"/>
    <w:rsid w:val="00137D41"/>
    <w:rsid w:val="00137E2B"/>
    <w:rsid w:val="00137FBD"/>
    <w:rsid w:val="00140059"/>
    <w:rsid w:val="0014011D"/>
    <w:rsid w:val="0014071C"/>
    <w:rsid w:val="00140D6D"/>
    <w:rsid w:val="00141524"/>
    <w:rsid w:val="00141536"/>
    <w:rsid w:val="00141DE3"/>
    <w:rsid w:val="00141E16"/>
    <w:rsid w:val="00141ED3"/>
    <w:rsid w:val="001420CC"/>
    <w:rsid w:val="00142479"/>
    <w:rsid w:val="00142B27"/>
    <w:rsid w:val="00143256"/>
    <w:rsid w:val="0014360F"/>
    <w:rsid w:val="00143A9B"/>
    <w:rsid w:val="00143D30"/>
    <w:rsid w:val="00144240"/>
    <w:rsid w:val="00144803"/>
    <w:rsid w:val="001448A8"/>
    <w:rsid w:val="00144C08"/>
    <w:rsid w:val="00144CAC"/>
    <w:rsid w:val="00144EAC"/>
    <w:rsid w:val="001450EC"/>
    <w:rsid w:val="001454BB"/>
    <w:rsid w:val="001454BF"/>
    <w:rsid w:val="00145540"/>
    <w:rsid w:val="00145AF2"/>
    <w:rsid w:val="00145B0E"/>
    <w:rsid w:val="00145BCF"/>
    <w:rsid w:val="00145DB6"/>
    <w:rsid w:val="00147A06"/>
    <w:rsid w:val="00147DF2"/>
    <w:rsid w:val="001502B3"/>
    <w:rsid w:val="0015086B"/>
    <w:rsid w:val="00150B38"/>
    <w:rsid w:val="00151D5D"/>
    <w:rsid w:val="001521A0"/>
    <w:rsid w:val="0015234F"/>
    <w:rsid w:val="00152840"/>
    <w:rsid w:val="00152D73"/>
    <w:rsid w:val="00152F38"/>
    <w:rsid w:val="00152FD9"/>
    <w:rsid w:val="00153283"/>
    <w:rsid w:val="00153593"/>
    <w:rsid w:val="0015377A"/>
    <w:rsid w:val="00154014"/>
    <w:rsid w:val="001544D2"/>
    <w:rsid w:val="001547FD"/>
    <w:rsid w:val="00154A67"/>
    <w:rsid w:val="00154CBC"/>
    <w:rsid w:val="001556AC"/>
    <w:rsid w:val="00155B90"/>
    <w:rsid w:val="00155EAA"/>
    <w:rsid w:val="001566B7"/>
    <w:rsid w:val="00156748"/>
    <w:rsid w:val="00156AFE"/>
    <w:rsid w:val="00157368"/>
    <w:rsid w:val="00157E05"/>
    <w:rsid w:val="0016000B"/>
    <w:rsid w:val="00160700"/>
    <w:rsid w:val="00161604"/>
    <w:rsid w:val="00161759"/>
    <w:rsid w:val="00161F73"/>
    <w:rsid w:val="00162692"/>
    <w:rsid w:val="00162DD2"/>
    <w:rsid w:val="00162DE5"/>
    <w:rsid w:val="00163F5B"/>
    <w:rsid w:val="00163FA0"/>
    <w:rsid w:val="00165571"/>
    <w:rsid w:val="00165829"/>
    <w:rsid w:val="0016628D"/>
    <w:rsid w:val="00166357"/>
    <w:rsid w:val="00166E4F"/>
    <w:rsid w:val="00166EB9"/>
    <w:rsid w:val="00167007"/>
    <w:rsid w:val="001671AE"/>
    <w:rsid w:val="0016762E"/>
    <w:rsid w:val="00167E83"/>
    <w:rsid w:val="0017058A"/>
    <w:rsid w:val="001707A2"/>
    <w:rsid w:val="00170ABD"/>
    <w:rsid w:val="00170CDB"/>
    <w:rsid w:val="00170D65"/>
    <w:rsid w:val="00171009"/>
    <w:rsid w:val="00171042"/>
    <w:rsid w:val="00171453"/>
    <w:rsid w:val="001719D0"/>
    <w:rsid w:val="00172181"/>
    <w:rsid w:val="00172A8F"/>
    <w:rsid w:val="00172D2B"/>
    <w:rsid w:val="00172DF9"/>
    <w:rsid w:val="00173496"/>
    <w:rsid w:val="001734EC"/>
    <w:rsid w:val="00173611"/>
    <w:rsid w:val="001738F3"/>
    <w:rsid w:val="00174761"/>
    <w:rsid w:val="0017480C"/>
    <w:rsid w:val="001752B0"/>
    <w:rsid w:val="00175490"/>
    <w:rsid w:val="001756EA"/>
    <w:rsid w:val="00175BDA"/>
    <w:rsid w:val="00176433"/>
    <w:rsid w:val="00177740"/>
    <w:rsid w:val="00177CBE"/>
    <w:rsid w:val="00177FED"/>
    <w:rsid w:val="0018007F"/>
    <w:rsid w:val="00180278"/>
    <w:rsid w:val="00180348"/>
    <w:rsid w:val="0018071E"/>
    <w:rsid w:val="00180865"/>
    <w:rsid w:val="00181674"/>
    <w:rsid w:val="00181CED"/>
    <w:rsid w:val="00181DB4"/>
    <w:rsid w:val="00181E4B"/>
    <w:rsid w:val="00182145"/>
    <w:rsid w:val="00182789"/>
    <w:rsid w:val="001828DD"/>
    <w:rsid w:val="00182986"/>
    <w:rsid w:val="00182DD8"/>
    <w:rsid w:val="00182EC7"/>
    <w:rsid w:val="001839DE"/>
    <w:rsid w:val="0018428A"/>
    <w:rsid w:val="0018451A"/>
    <w:rsid w:val="0018481C"/>
    <w:rsid w:val="00184EE7"/>
    <w:rsid w:val="001853A2"/>
    <w:rsid w:val="001853F7"/>
    <w:rsid w:val="001857DA"/>
    <w:rsid w:val="001857E1"/>
    <w:rsid w:val="00185D79"/>
    <w:rsid w:val="001867B8"/>
    <w:rsid w:val="0018693C"/>
    <w:rsid w:val="0018716C"/>
    <w:rsid w:val="00187B29"/>
    <w:rsid w:val="00187E5E"/>
    <w:rsid w:val="00190358"/>
    <w:rsid w:val="001905B8"/>
    <w:rsid w:val="00190668"/>
    <w:rsid w:val="00190D8E"/>
    <w:rsid w:val="0019118E"/>
    <w:rsid w:val="00191649"/>
    <w:rsid w:val="00191ADC"/>
    <w:rsid w:val="001921AE"/>
    <w:rsid w:val="00192542"/>
    <w:rsid w:val="001927BE"/>
    <w:rsid w:val="00193329"/>
    <w:rsid w:val="00193436"/>
    <w:rsid w:val="00193907"/>
    <w:rsid w:val="001942E9"/>
    <w:rsid w:val="001946F1"/>
    <w:rsid w:val="001947F5"/>
    <w:rsid w:val="00195140"/>
    <w:rsid w:val="00195E5C"/>
    <w:rsid w:val="00196078"/>
    <w:rsid w:val="00196372"/>
    <w:rsid w:val="001964BA"/>
    <w:rsid w:val="00196BE4"/>
    <w:rsid w:val="001979F8"/>
    <w:rsid w:val="001A0189"/>
    <w:rsid w:val="001A01BD"/>
    <w:rsid w:val="001A02EA"/>
    <w:rsid w:val="001A036A"/>
    <w:rsid w:val="001A0565"/>
    <w:rsid w:val="001A0A78"/>
    <w:rsid w:val="001A0B5D"/>
    <w:rsid w:val="001A0CA7"/>
    <w:rsid w:val="001A0E8E"/>
    <w:rsid w:val="001A1122"/>
    <w:rsid w:val="001A12C4"/>
    <w:rsid w:val="001A13F9"/>
    <w:rsid w:val="001A14C1"/>
    <w:rsid w:val="001A18EC"/>
    <w:rsid w:val="001A1FA5"/>
    <w:rsid w:val="001A2031"/>
    <w:rsid w:val="001A2401"/>
    <w:rsid w:val="001A2AFB"/>
    <w:rsid w:val="001A2D36"/>
    <w:rsid w:val="001A327C"/>
    <w:rsid w:val="001A3472"/>
    <w:rsid w:val="001A3CA6"/>
    <w:rsid w:val="001A45CF"/>
    <w:rsid w:val="001A4A43"/>
    <w:rsid w:val="001A4AFC"/>
    <w:rsid w:val="001A5310"/>
    <w:rsid w:val="001A59DF"/>
    <w:rsid w:val="001A6208"/>
    <w:rsid w:val="001A6277"/>
    <w:rsid w:val="001A68BC"/>
    <w:rsid w:val="001A6C29"/>
    <w:rsid w:val="001A7289"/>
    <w:rsid w:val="001A72D2"/>
    <w:rsid w:val="001A7802"/>
    <w:rsid w:val="001A7A31"/>
    <w:rsid w:val="001B016E"/>
    <w:rsid w:val="001B04D7"/>
    <w:rsid w:val="001B119C"/>
    <w:rsid w:val="001B16D2"/>
    <w:rsid w:val="001B1824"/>
    <w:rsid w:val="001B1869"/>
    <w:rsid w:val="001B1CF4"/>
    <w:rsid w:val="001B22F3"/>
    <w:rsid w:val="001B23D1"/>
    <w:rsid w:val="001B27E9"/>
    <w:rsid w:val="001B2AAB"/>
    <w:rsid w:val="001B2CA1"/>
    <w:rsid w:val="001B2F3C"/>
    <w:rsid w:val="001B3153"/>
    <w:rsid w:val="001B35A1"/>
    <w:rsid w:val="001B35E6"/>
    <w:rsid w:val="001B3AE0"/>
    <w:rsid w:val="001B3AEF"/>
    <w:rsid w:val="001B3DC8"/>
    <w:rsid w:val="001B4548"/>
    <w:rsid w:val="001B4672"/>
    <w:rsid w:val="001B4734"/>
    <w:rsid w:val="001B4DCD"/>
    <w:rsid w:val="001B5075"/>
    <w:rsid w:val="001B5307"/>
    <w:rsid w:val="001B53C1"/>
    <w:rsid w:val="001B5CE0"/>
    <w:rsid w:val="001B5F42"/>
    <w:rsid w:val="001B5FBA"/>
    <w:rsid w:val="001B675B"/>
    <w:rsid w:val="001B690E"/>
    <w:rsid w:val="001B6E68"/>
    <w:rsid w:val="001B7187"/>
    <w:rsid w:val="001B7319"/>
    <w:rsid w:val="001B7697"/>
    <w:rsid w:val="001B7B88"/>
    <w:rsid w:val="001C0177"/>
    <w:rsid w:val="001C0AF1"/>
    <w:rsid w:val="001C120B"/>
    <w:rsid w:val="001C1445"/>
    <w:rsid w:val="001C17A2"/>
    <w:rsid w:val="001C1D5B"/>
    <w:rsid w:val="001C1E42"/>
    <w:rsid w:val="001C21B7"/>
    <w:rsid w:val="001C25E9"/>
    <w:rsid w:val="001C27AA"/>
    <w:rsid w:val="001C28DD"/>
    <w:rsid w:val="001C296B"/>
    <w:rsid w:val="001C2CF1"/>
    <w:rsid w:val="001C36A5"/>
    <w:rsid w:val="001C386F"/>
    <w:rsid w:val="001C3944"/>
    <w:rsid w:val="001C3F98"/>
    <w:rsid w:val="001C40C6"/>
    <w:rsid w:val="001C40E4"/>
    <w:rsid w:val="001C41A3"/>
    <w:rsid w:val="001C4418"/>
    <w:rsid w:val="001C482B"/>
    <w:rsid w:val="001C5364"/>
    <w:rsid w:val="001C55DF"/>
    <w:rsid w:val="001C597B"/>
    <w:rsid w:val="001C5A1C"/>
    <w:rsid w:val="001C5B3C"/>
    <w:rsid w:val="001C5B7F"/>
    <w:rsid w:val="001C656F"/>
    <w:rsid w:val="001C65C6"/>
    <w:rsid w:val="001C6731"/>
    <w:rsid w:val="001C6A9B"/>
    <w:rsid w:val="001C6C69"/>
    <w:rsid w:val="001C6DCE"/>
    <w:rsid w:val="001C71DE"/>
    <w:rsid w:val="001C7EF0"/>
    <w:rsid w:val="001D0441"/>
    <w:rsid w:val="001D04E1"/>
    <w:rsid w:val="001D1087"/>
    <w:rsid w:val="001D12CB"/>
    <w:rsid w:val="001D134A"/>
    <w:rsid w:val="001D1687"/>
    <w:rsid w:val="001D1734"/>
    <w:rsid w:val="001D1784"/>
    <w:rsid w:val="001D19F6"/>
    <w:rsid w:val="001D1B05"/>
    <w:rsid w:val="001D1D4D"/>
    <w:rsid w:val="001D2019"/>
    <w:rsid w:val="001D21BD"/>
    <w:rsid w:val="001D2291"/>
    <w:rsid w:val="001D2365"/>
    <w:rsid w:val="001D286F"/>
    <w:rsid w:val="001D2D45"/>
    <w:rsid w:val="001D30B4"/>
    <w:rsid w:val="001D32CA"/>
    <w:rsid w:val="001D3FB2"/>
    <w:rsid w:val="001D4040"/>
    <w:rsid w:val="001D40A4"/>
    <w:rsid w:val="001D432C"/>
    <w:rsid w:val="001D44F1"/>
    <w:rsid w:val="001D540C"/>
    <w:rsid w:val="001D6103"/>
    <w:rsid w:val="001D6202"/>
    <w:rsid w:val="001D636C"/>
    <w:rsid w:val="001D6386"/>
    <w:rsid w:val="001D64D2"/>
    <w:rsid w:val="001D67F4"/>
    <w:rsid w:val="001D7408"/>
    <w:rsid w:val="001D7992"/>
    <w:rsid w:val="001E0069"/>
    <w:rsid w:val="001E01FF"/>
    <w:rsid w:val="001E0A9B"/>
    <w:rsid w:val="001E0CA3"/>
    <w:rsid w:val="001E11D8"/>
    <w:rsid w:val="001E13E4"/>
    <w:rsid w:val="001E15E7"/>
    <w:rsid w:val="001E19F6"/>
    <w:rsid w:val="001E2613"/>
    <w:rsid w:val="001E27E5"/>
    <w:rsid w:val="001E2A1F"/>
    <w:rsid w:val="001E2A2D"/>
    <w:rsid w:val="001E2A3E"/>
    <w:rsid w:val="001E310A"/>
    <w:rsid w:val="001E3F5A"/>
    <w:rsid w:val="001E4460"/>
    <w:rsid w:val="001E44D3"/>
    <w:rsid w:val="001E45B4"/>
    <w:rsid w:val="001E4D6E"/>
    <w:rsid w:val="001E549C"/>
    <w:rsid w:val="001E57E3"/>
    <w:rsid w:val="001E588F"/>
    <w:rsid w:val="001E5AAE"/>
    <w:rsid w:val="001E6054"/>
    <w:rsid w:val="001E6108"/>
    <w:rsid w:val="001E64EE"/>
    <w:rsid w:val="001E6848"/>
    <w:rsid w:val="001E69FA"/>
    <w:rsid w:val="001E6B93"/>
    <w:rsid w:val="001F0834"/>
    <w:rsid w:val="001F0A80"/>
    <w:rsid w:val="001F122F"/>
    <w:rsid w:val="001F12D6"/>
    <w:rsid w:val="001F14F6"/>
    <w:rsid w:val="001F1B19"/>
    <w:rsid w:val="001F1EF0"/>
    <w:rsid w:val="001F1FA1"/>
    <w:rsid w:val="001F207C"/>
    <w:rsid w:val="001F233F"/>
    <w:rsid w:val="001F2A6C"/>
    <w:rsid w:val="001F2C3C"/>
    <w:rsid w:val="001F2E5F"/>
    <w:rsid w:val="001F3487"/>
    <w:rsid w:val="001F35CD"/>
    <w:rsid w:val="001F376B"/>
    <w:rsid w:val="001F3775"/>
    <w:rsid w:val="001F382F"/>
    <w:rsid w:val="001F38D9"/>
    <w:rsid w:val="001F3A46"/>
    <w:rsid w:val="001F4C1C"/>
    <w:rsid w:val="001F4C87"/>
    <w:rsid w:val="001F4E65"/>
    <w:rsid w:val="001F5959"/>
    <w:rsid w:val="001F5990"/>
    <w:rsid w:val="001F5B62"/>
    <w:rsid w:val="001F6068"/>
    <w:rsid w:val="001F6EA2"/>
    <w:rsid w:val="001F708A"/>
    <w:rsid w:val="001F7206"/>
    <w:rsid w:val="001F7509"/>
    <w:rsid w:val="001F770E"/>
    <w:rsid w:val="001F7D80"/>
    <w:rsid w:val="001F7F48"/>
    <w:rsid w:val="0020035C"/>
    <w:rsid w:val="002003FC"/>
    <w:rsid w:val="0020061B"/>
    <w:rsid w:val="002009FF"/>
    <w:rsid w:val="00201ADE"/>
    <w:rsid w:val="00201C51"/>
    <w:rsid w:val="002025A7"/>
    <w:rsid w:val="00203062"/>
    <w:rsid w:val="00203176"/>
    <w:rsid w:val="0020373E"/>
    <w:rsid w:val="00203A1F"/>
    <w:rsid w:val="00203B59"/>
    <w:rsid w:val="0020434C"/>
    <w:rsid w:val="00204FDF"/>
    <w:rsid w:val="0020556B"/>
    <w:rsid w:val="00205621"/>
    <w:rsid w:val="00205FC2"/>
    <w:rsid w:val="00206447"/>
    <w:rsid w:val="002065B6"/>
    <w:rsid w:val="00206A2A"/>
    <w:rsid w:val="00207EE9"/>
    <w:rsid w:val="00210172"/>
    <w:rsid w:val="002114C4"/>
    <w:rsid w:val="00211A1D"/>
    <w:rsid w:val="0021226D"/>
    <w:rsid w:val="00212775"/>
    <w:rsid w:val="0021292D"/>
    <w:rsid w:val="00212E45"/>
    <w:rsid w:val="002134F3"/>
    <w:rsid w:val="002139E6"/>
    <w:rsid w:val="00213D20"/>
    <w:rsid w:val="002140D0"/>
    <w:rsid w:val="002141BF"/>
    <w:rsid w:val="00214621"/>
    <w:rsid w:val="0021479A"/>
    <w:rsid w:val="0021481A"/>
    <w:rsid w:val="00214B03"/>
    <w:rsid w:val="00214B65"/>
    <w:rsid w:val="00215358"/>
    <w:rsid w:val="00215486"/>
    <w:rsid w:val="00217251"/>
    <w:rsid w:val="00217AFE"/>
    <w:rsid w:val="00217BFD"/>
    <w:rsid w:val="00220323"/>
    <w:rsid w:val="002205E6"/>
    <w:rsid w:val="00220926"/>
    <w:rsid w:val="0022124C"/>
    <w:rsid w:val="002212C4"/>
    <w:rsid w:val="0022178B"/>
    <w:rsid w:val="002217CE"/>
    <w:rsid w:val="002219EE"/>
    <w:rsid w:val="0022247A"/>
    <w:rsid w:val="002226E8"/>
    <w:rsid w:val="00222F3F"/>
    <w:rsid w:val="002231BF"/>
    <w:rsid w:val="0022338C"/>
    <w:rsid w:val="0022366F"/>
    <w:rsid w:val="00223858"/>
    <w:rsid w:val="00223EF4"/>
    <w:rsid w:val="00223FBB"/>
    <w:rsid w:val="00224E7B"/>
    <w:rsid w:val="002253D7"/>
    <w:rsid w:val="00225711"/>
    <w:rsid w:val="002257F8"/>
    <w:rsid w:val="00225AF5"/>
    <w:rsid w:val="00225B22"/>
    <w:rsid w:val="00225FA1"/>
    <w:rsid w:val="00226E38"/>
    <w:rsid w:val="002274C0"/>
    <w:rsid w:val="0022758F"/>
    <w:rsid w:val="002276A5"/>
    <w:rsid w:val="0022777A"/>
    <w:rsid w:val="00227AAC"/>
    <w:rsid w:val="00227C5E"/>
    <w:rsid w:val="00230824"/>
    <w:rsid w:val="00231026"/>
    <w:rsid w:val="00231487"/>
    <w:rsid w:val="00231E57"/>
    <w:rsid w:val="00232024"/>
    <w:rsid w:val="0023257B"/>
    <w:rsid w:val="00232754"/>
    <w:rsid w:val="002328D5"/>
    <w:rsid w:val="002328FF"/>
    <w:rsid w:val="002329B7"/>
    <w:rsid w:val="00232BAE"/>
    <w:rsid w:val="00232F4C"/>
    <w:rsid w:val="00233224"/>
    <w:rsid w:val="00233956"/>
    <w:rsid w:val="00233E98"/>
    <w:rsid w:val="00233FF0"/>
    <w:rsid w:val="00234560"/>
    <w:rsid w:val="00234DF2"/>
    <w:rsid w:val="002351C2"/>
    <w:rsid w:val="00235502"/>
    <w:rsid w:val="00235C9E"/>
    <w:rsid w:val="002360DF"/>
    <w:rsid w:val="00236301"/>
    <w:rsid w:val="00236946"/>
    <w:rsid w:val="00236B93"/>
    <w:rsid w:val="00236D1C"/>
    <w:rsid w:val="00236EF5"/>
    <w:rsid w:val="00236FF9"/>
    <w:rsid w:val="002375C1"/>
    <w:rsid w:val="00237731"/>
    <w:rsid w:val="0023780D"/>
    <w:rsid w:val="00237873"/>
    <w:rsid w:val="002378C2"/>
    <w:rsid w:val="00237F93"/>
    <w:rsid w:val="00237FCA"/>
    <w:rsid w:val="00240307"/>
    <w:rsid w:val="00240690"/>
    <w:rsid w:val="0024110E"/>
    <w:rsid w:val="0024119E"/>
    <w:rsid w:val="00241329"/>
    <w:rsid w:val="002417A7"/>
    <w:rsid w:val="002425B8"/>
    <w:rsid w:val="00242649"/>
    <w:rsid w:val="002427B8"/>
    <w:rsid w:val="00242839"/>
    <w:rsid w:val="00242DA7"/>
    <w:rsid w:val="002433B6"/>
    <w:rsid w:val="00243C8E"/>
    <w:rsid w:val="00243EBD"/>
    <w:rsid w:val="00244840"/>
    <w:rsid w:val="002450A6"/>
    <w:rsid w:val="002451F7"/>
    <w:rsid w:val="00245F2C"/>
    <w:rsid w:val="00245FFC"/>
    <w:rsid w:val="0024604C"/>
    <w:rsid w:val="0024642C"/>
    <w:rsid w:val="0024661D"/>
    <w:rsid w:val="00246AAC"/>
    <w:rsid w:val="00246E35"/>
    <w:rsid w:val="00247C38"/>
    <w:rsid w:val="00247CF6"/>
    <w:rsid w:val="002501A6"/>
    <w:rsid w:val="00250327"/>
    <w:rsid w:val="002505CB"/>
    <w:rsid w:val="002507A6"/>
    <w:rsid w:val="0025160A"/>
    <w:rsid w:val="00251688"/>
    <w:rsid w:val="00251841"/>
    <w:rsid w:val="00251873"/>
    <w:rsid w:val="00251889"/>
    <w:rsid w:val="002522BC"/>
    <w:rsid w:val="00252880"/>
    <w:rsid w:val="0025298A"/>
    <w:rsid w:val="00252FDB"/>
    <w:rsid w:val="00252FE9"/>
    <w:rsid w:val="002534DF"/>
    <w:rsid w:val="00253D0F"/>
    <w:rsid w:val="00254588"/>
    <w:rsid w:val="00254CF3"/>
    <w:rsid w:val="00254EF7"/>
    <w:rsid w:val="0025500B"/>
    <w:rsid w:val="00255A8F"/>
    <w:rsid w:val="00255CED"/>
    <w:rsid w:val="002563FE"/>
    <w:rsid w:val="00256465"/>
    <w:rsid w:val="00256E93"/>
    <w:rsid w:val="00256EFF"/>
    <w:rsid w:val="00256F1C"/>
    <w:rsid w:val="002570F7"/>
    <w:rsid w:val="002571EB"/>
    <w:rsid w:val="00257271"/>
    <w:rsid w:val="00257297"/>
    <w:rsid w:val="002573EE"/>
    <w:rsid w:val="002574C5"/>
    <w:rsid w:val="002602DF"/>
    <w:rsid w:val="00260C34"/>
    <w:rsid w:val="002617EB"/>
    <w:rsid w:val="002618A4"/>
    <w:rsid w:val="002620FA"/>
    <w:rsid w:val="00262421"/>
    <w:rsid w:val="00263184"/>
    <w:rsid w:val="002631BB"/>
    <w:rsid w:val="00263369"/>
    <w:rsid w:val="00263735"/>
    <w:rsid w:val="002638B5"/>
    <w:rsid w:val="00264394"/>
    <w:rsid w:val="002643FA"/>
    <w:rsid w:val="002645CF"/>
    <w:rsid w:val="002647B9"/>
    <w:rsid w:val="002649B3"/>
    <w:rsid w:val="00264A41"/>
    <w:rsid w:val="00264D05"/>
    <w:rsid w:val="0026538B"/>
    <w:rsid w:val="00266B8C"/>
    <w:rsid w:val="00266BE3"/>
    <w:rsid w:val="00267131"/>
    <w:rsid w:val="002678BE"/>
    <w:rsid w:val="00267A2E"/>
    <w:rsid w:val="00267F26"/>
    <w:rsid w:val="0027063B"/>
    <w:rsid w:val="0027071A"/>
    <w:rsid w:val="00270E53"/>
    <w:rsid w:val="00270F50"/>
    <w:rsid w:val="002712B9"/>
    <w:rsid w:val="002714CD"/>
    <w:rsid w:val="002719FB"/>
    <w:rsid w:val="00271EA9"/>
    <w:rsid w:val="002721CB"/>
    <w:rsid w:val="002725C1"/>
    <w:rsid w:val="0027292D"/>
    <w:rsid w:val="00272B3B"/>
    <w:rsid w:val="00272BE3"/>
    <w:rsid w:val="00272D4C"/>
    <w:rsid w:val="00272F51"/>
    <w:rsid w:val="00273165"/>
    <w:rsid w:val="00273253"/>
    <w:rsid w:val="00273C06"/>
    <w:rsid w:val="002746AF"/>
    <w:rsid w:val="002748FE"/>
    <w:rsid w:val="00274DA5"/>
    <w:rsid w:val="00274E29"/>
    <w:rsid w:val="00275812"/>
    <w:rsid w:val="00275BF6"/>
    <w:rsid w:val="00275C6A"/>
    <w:rsid w:val="00276A81"/>
    <w:rsid w:val="002775AC"/>
    <w:rsid w:val="0027767C"/>
    <w:rsid w:val="00277E58"/>
    <w:rsid w:val="00277F81"/>
    <w:rsid w:val="00280046"/>
    <w:rsid w:val="00280957"/>
    <w:rsid w:val="00280970"/>
    <w:rsid w:val="00280CA2"/>
    <w:rsid w:val="0028111D"/>
    <w:rsid w:val="0028146D"/>
    <w:rsid w:val="00281527"/>
    <w:rsid w:val="002817DE"/>
    <w:rsid w:val="0028287C"/>
    <w:rsid w:val="00282A32"/>
    <w:rsid w:val="00282A44"/>
    <w:rsid w:val="00283359"/>
    <w:rsid w:val="00283A96"/>
    <w:rsid w:val="00283B4B"/>
    <w:rsid w:val="00283C1E"/>
    <w:rsid w:val="00283F23"/>
    <w:rsid w:val="00283F3D"/>
    <w:rsid w:val="00284255"/>
    <w:rsid w:val="002844FB"/>
    <w:rsid w:val="0028490F"/>
    <w:rsid w:val="00284990"/>
    <w:rsid w:val="00284B9B"/>
    <w:rsid w:val="00284C3B"/>
    <w:rsid w:val="00284E43"/>
    <w:rsid w:val="0028506A"/>
    <w:rsid w:val="00285459"/>
    <w:rsid w:val="0028546B"/>
    <w:rsid w:val="002855BC"/>
    <w:rsid w:val="00286051"/>
    <w:rsid w:val="00286052"/>
    <w:rsid w:val="00286145"/>
    <w:rsid w:val="0028637D"/>
    <w:rsid w:val="002863FF"/>
    <w:rsid w:val="00286864"/>
    <w:rsid w:val="00286BFA"/>
    <w:rsid w:val="00286C64"/>
    <w:rsid w:val="00287563"/>
    <w:rsid w:val="002878C3"/>
    <w:rsid w:val="00287962"/>
    <w:rsid w:val="00290408"/>
    <w:rsid w:val="00291483"/>
    <w:rsid w:val="00291B20"/>
    <w:rsid w:val="00291F5F"/>
    <w:rsid w:val="00292002"/>
    <w:rsid w:val="00292182"/>
    <w:rsid w:val="00292619"/>
    <w:rsid w:val="002926CC"/>
    <w:rsid w:val="00293CF6"/>
    <w:rsid w:val="002941F8"/>
    <w:rsid w:val="00294B1E"/>
    <w:rsid w:val="00294B54"/>
    <w:rsid w:val="00294EF5"/>
    <w:rsid w:val="002950FA"/>
    <w:rsid w:val="0029521B"/>
    <w:rsid w:val="0029551E"/>
    <w:rsid w:val="00295711"/>
    <w:rsid w:val="00296143"/>
    <w:rsid w:val="002961C0"/>
    <w:rsid w:val="00296428"/>
    <w:rsid w:val="00296792"/>
    <w:rsid w:val="00297968"/>
    <w:rsid w:val="00297D6A"/>
    <w:rsid w:val="00297F16"/>
    <w:rsid w:val="002A042D"/>
    <w:rsid w:val="002A0568"/>
    <w:rsid w:val="002A0F65"/>
    <w:rsid w:val="002A113F"/>
    <w:rsid w:val="002A1172"/>
    <w:rsid w:val="002A17F8"/>
    <w:rsid w:val="002A18B0"/>
    <w:rsid w:val="002A1C2F"/>
    <w:rsid w:val="002A2154"/>
    <w:rsid w:val="002A23E7"/>
    <w:rsid w:val="002A2FB3"/>
    <w:rsid w:val="002A3987"/>
    <w:rsid w:val="002A3B24"/>
    <w:rsid w:val="002A4563"/>
    <w:rsid w:val="002A4809"/>
    <w:rsid w:val="002A5132"/>
    <w:rsid w:val="002A5297"/>
    <w:rsid w:val="002A575A"/>
    <w:rsid w:val="002A57BB"/>
    <w:rsid w:val="002A62C6"/>
    <w:rsid w:val="002A6316"/>
    <w:rsid w:val="002A6429"/>
    <w:rsid w:val="002A64AC"/>
    <w:rsid w:val="002A76AB"/>
    <w:rsid w:val="002A7AD6"/>
    <w:rsid w:val="002A7B7C"/>
    <w:rsid w:val="002A7F25"/>
    <w:rsid w:val="002A7FDC"/>
    <w:rsid w:val="002B008E"/>
    <w:rsid w:val="002B01D5"/>
    <w:rsid w:val="002B0665"/>
    <w:rsid w:val="002B06CF"/>
    <w:rsid w:val="002B07E2"/>
    <w:rsid w:val="002B0854"/>
    <w:rsid w:val="002B0E53"/>
    <w:rsid w:val="002B11A7"/>
    <w:rsid w:val="002B11FD"/>
    <w:rsid w:val="002B12A8"/>
    <w:rsid w:val="002B1C54"/>
    <w:rsid w:val="002B2083"/>
    <w:rsid w:val="002B2967"/>
    <w:rsid w:val="002B2FF5"/>
    <w:rsid w:val="002B3FA3"/>
    <w:rsid w:val="002B4371"/>
    <w:rsid w:val="002B498D"/>
    <w:rsid w:val="002B49B9"/>
    <w:rsid w:val="002B4AE4"/>
    <w:rsid w:val="002B4BAE"/>
    <w:rsid w:val="002B4E18"/>
    <w:rsid w:val="002B52C9"/>
    <w:rsid w:val="002B52FE"/>
    <w:rsid w:val="002B577E"/>
    <w:rsid w:val="002B57B3"/>
    <w:rsid w:val="002B57EB"/>
    <w:rsid w:val="002B5B05"/>
    <w:rsid w:val="002B5CEA"/>
    <w:rsid w:val="002B62EC"/>
    <w:rsid w:val="002B6379"/>
    <w:rsid w:val="002B63A6"/>
    <w:rsid w:val="002B672A"/>
    <w:rsid w:val="002B67E6"/>
    <w:rsid w:val="002B6AEA"/>
    <w:rsid w:val="002B6D23"/>
    <w:rsid w:val="002B6DAA"/>
    <w:rsid w:val="002B715E"/>
    <w:rsid w:val="002B75FF"/>
    <w:rsid w:val="002B76AD"/>
    <w:rsid w:val="002B777F"/>
    <w:rsid w:val="002B7ED4"/>
    <w:rsid w:val="002C01C9"/>
    <w:rsid w:val="002C10EB"/>
    <w:rsid w:val="002C1E20"/>
    <w:rsid w:val="002C2502"/>
    <w:rsid w:val="002C270B"/>
    <w:rsid w:val="002C2954"/>
    <w:rsid w:val="002C2C37"/>
    <w:rsid w:val="002C2CAA"/>
    <w:rsid w:val="002C37D9"/>
    <w:rsid w:val="002C37E7"/>
    <w:rsid w:val="002C3A5E"/>
    <w:rsid w:val="002C413A"/>
    <w:rsid w:val="002C44ED"/>
    <w:rsid w:val="002C494B"/>
    <w:rsid w:val="002C556C"/>
    <w:rsid w:val="002C55C3"/>
    <w:rsid w:val="002C55D3"/>
    <w:rsid w:val="002C5843"/>
    <w:rsid w:val="002C5898"/>
    <w:rsid w:val="002C60B6"/>
    <w:rsid w:val="002C6581"/>
    <w:rsid w:val="002C6696"/>
    <w:rsid w:val="002C6F4A"/>
    <w:rsid w:val="002C724F"/>
    <w:rsid w:val="002C76DE"/>
    <w:rsid w:val="002C78B1"/>
    <w:rsid w:val="002C7DFA"/>
    <w:rsid w:val="002D027C"/>
    <w:rsid w:val="002D03ED"/>
    <w:rsid w:val="002D06D3"/>
    <w:rsid w:val="002D0DDB"/>
    <w:rsid w:val="002D1129"/>
    <w:rsid w:val="002D14DB"/>
    <w:rsid w:val="002D1804"/>
    <w:rsid w:val="002D2319"/>
    <w:rsid w:val="002D2404"/>
    <w:rsid w:val="002D2513"/>
    <w:rsid w:val="002D25E7"/>
    <w:rsid w:val="002D298C"/>
    <w:rsid w:val="002D31DA"/>
    <w:rsid w:val="002D3B15"/>
    <w:rsid w:val="002D3B9A"/>
    <w:rsid w:val="002D3D65"/>
    <w:rsid w:val="002D4654"/>
    <w:rsid w:val="002D47DE"/>
    <w:rsid w:val="002D47EA"/>
    <w:rsid w:val="002D59B6"/>
    <w:rsid w:val="002D5B3B"/>
    <w:rsid w:val="002D65CE"/>
    <w:rsid w:val="002D67E5"/>
    <w:rsid w:val="002D690D"/>
    <w:rsid w:val="002D6A59"/>
    <w:rsid w:val="002D6B31"/>
    <w:rsid w:val="002D6C5C"/>
    <w:rsid w:val="002D7086"/>
    <w:rsid w:val="002D7C19"/>
    <w:rsid w:val="002E0E0E"/>
    <w:rsid w:val="002E12D2"/>
    <w:rsid w:val="002E14B8"/>
    <w:rsid w:val="002E180F"/>
    <w:rsid w:val="002E1CD9"/>
    <w:rsid w:val="002E1D17"/>
    <w:rsid w:val="002E1F4B"/>
    <w:rsid w:val="002E2EB2"/>
    <w:rsid w:val="002E3657"/>
    <w:rsid w:val="002E43B5"/>
    <w:rsid w:val="002E467D"/>
    <w:rsid w:val="002E47CD"/>
    <w:rsid w:val="002E4E93"/>
    <w:rsid w:val="002E5130"/>
    <w:rsid w:val="002E55E3"/>
    <w:rsid w:val="002E63B6"/>
    <w:rsid w:val="002E67D9"/>
    <w:rsid w:val="002E688F"/>
    <w:rsid w:val="002E6A16"/>
    <w:rsid w:val="002E6E15"/>
    <w:rsid w:val="002E704F"/>
    <w:rsid w:val="002E79EA"/>
    <w:rsid w:val="002F07C8"/>
    <w:rsid w:val="002F08EB"/>
    <w:rsid w:val="002F09DE"/>
    <w:rsid w:val="002F0DB5"/>
    <w:rsid w:val="002F0DC8"/>
    <w:rsid w:val="002F0EBF"/>
    <w:rsid w:val="002F108F"/>
    <w:rsid w:val="002F1446"/>
    <w:rsid w:val="002F14AC"/>
    <w:rsid w:val="002F14DB"/>
    <w:rsid w:val="002F1785"/>
    <w:rsid w:val="002F182D"/>
    <w:rsid w:val="002F1872"/>
    <w:rsid w:val="002F1C5B"/>
    <w:rsid w:val="002F1CF6"/>
    <w:rsid w:val="002F1FCF"/>
    <w:rsid w:val="002F28A2"/>
    <w:rsid w:val="002F2E36"/>
    <w:rsid w:val="002F33A3"/>
    <w:rsid w:val="002F353F"/>
    <w:rsid w:val="002F3CC8"/>
    <w:rsid w:val="002F47D1"/>
    <w:rsid w:val="002F47F1"/>
    <w:rsid w:val="002F48AD"/>
    <w:rsid w:val="002F4BCE"/>
    <w:rsid w:val="002F4CE9"/>
    <w:rsid w:val="002F5053"/>
    <w:rsid w:val="002F56D1"/>
    <w:rsid w:val="002F5D43"/>
    <w:rsid w:val="002F5D51"/>
    <w:rsid w:val="002F64B9"/>
    <w:rsid w:val="002F6524"/>
    <w:rsid w:val="002F65DB"/>
    <w:rsid w:val="002F7489"/>
    <w:rsid w:val="002F7E38"/>
    <w:rsid w:val="0030011E"/>
    <w:rsid w:val="00300253"/>
    <w:rsid w:val="003002D9"/>
    <w:rsid w:val="00301AFF"/>
    <w:rsid w:val="00301E35"/>
    <w:rsid w:val="00302F03"/>
    <w:rsid w:val="003034A4"/>
    <w:rsid w:val="003037F3"/>
    <w:rsid w:val="00303D8F"/>
    <w:rsid w:val="00303FD9"/>
    <w:rsid w:val="003041B4"/>
    <w:rsid w:val="0030435E"/>
    <w:rsid w:val="0030464E"/>
    <w:rsid w:val="0030478F"/>
    <w:rsid w:val="0030489B"/>
    <w:rsid w:val="00305323"/>
    <w:rsid w:val="00305485"/>
    <w:rsid w:val="00305D98"/>
    <w:rsid w:val="003060ED"/>
    <w:rsid w:val="00306897"/>
    <w:rsid w:val="003069D9"/>
    <w:rsid w:val="00306A83"/>
    <w:rsid w:val="00306B3B"/>
    <w:rsid w:val="00306E5E"/>
    <w:rsid w:val="0030703C"/>
    <w:rsid w:val="00307269"/>
    <w:rsid w:val="003072D1"/>
    <w:rsid w:val="0030742F"/>
    <w:rsid w:val="00307874"/>
    <w:rsid w:val="00307B39"/>
    <w:rsid w:val="00307D80"/>
    <w:rsid w:val="003103BB"/>
    <w:rsid w:val="003106B5"/>
    <w:rsid w:val="003106C2"/>
    <w:rsid w:val="00310F4E"/>
    <w:rsid w:val="0031142B"/>
    <w:rsid w:val="003116B7"/>
    <w:rsid w:val="0031264E"/>
    <w:rsid w:val="00312C95"/>
    <w:rsid w:val="00312CC4"/>
    <w:rsid w:val="00312D45"/>
    <w:rsid w:val="00312FE8"/>
    <w:rsid w:val="0031324D"/>
    <w:rsid w:val="003133B6"/>
    <w:rsid w:val="00313430"/>
    <w:rsid w:val="0031386F"/>
    <w:rsid w:val="00313AD6"/>
    <w:rsid w:val="00313DAD"/>
    <w:rsid w:val="00313ED0"/>
    <w:rsid w:val="003142CA"/>
    <w:rsid w:val="00314C65"/>
    <w:rsid w:val="00314DA3"/>
    <w:rsid w:val="00315B0B"/>
    <w:rsid w:val="00315DC2"/>
    <w:rsid w:val="00315DE0"/>
    <w:rsid w:val="003168E9"/>
    <w:rsid w:val="00316E5F"/>
    <w:rsid w:val="00317220"/>
    <w:rsid w:val="00317609"/>
    <w:rsid w:val="00317842"/>
    <w:rsid w:val="0031795C"/>
    <w:rsid w:val="00317AB4"/>
    <w:rsid w:val="00317E27"/>
    <w:rsid w:val="003203BE"/>
    <w:rsid w:val="00320907"/>
    <w:rsid w:val="00320F65"/>
    <w:rsid w:val="00321243"/>
    <w:rsid w:val="003213C1"/>
    <w:rsid w:val="00321763"/>
    <w:rsid w:val="00321928"/>
    <w:rsid w:val="003228AD"/>
    <w:rsid w:val="00322BD8"/>
    <w:rsid w:val="003230E8"/>
    <w:rsid w:val="00323412"/>
    <w:rsid w:val="00323421"/>
    <w:rsid w:val="003234CC"/>
    <w:rsid w:val="0032355E"/>
    <w:rsid w:val="003235B6"/>
    <w:rsid w:val="00323CE7"/>
    <w:rsid w:val="00323DD6"/>
    <w:rsid w:val="00323FF6"/>
    <w:rsid w:val="003240EB"/>
    <w:rsid w:val="00324135"/>
    <w:rsid w:val="003241B0"/>
    <w:rsid w:val="00324717"/>
    <w:rsid w:val="003247F9"/>
    <w:rsid w:val="003249BA"/>
    <w:rsid w:val="003257D1"/>
    <w:rsid w:val="00326246"/>
    <w:rsid w:val="003263AE"/>
    <w:rsid w:val="00326706"/>
    <w:rsid w:val="003269BD"/>
    <w:rsid w:val="00326CC4"/>
    <w:rsid w:val="00326E93"/>
    <w:rsid w:val="0032755B"/>
    <w:rsid w:val="00327989"/>
    <w:rsid w:val="00327AE1"/>
    <w:rsid w:val="00327DE4"/>
    <w:rsid w:val="00330290"/>
    <w:rsid w:val="0033056A"/>
    <w:rsid w:val="00330656"/>
    <w:rsid w:val="00330ACD"/>
    <w:rsid w:val="00331929"/>
    <w:rsid w:val="00331A2C"/>
    <w:rsid w:val="00331A54"/>
    <w:rsid w:val="00331E71"/>
    <w:rsid w:val="00333C7E"/>
    <w:rsid w:val="00333D04"/>
    <w:rsid w:val="003342E1"/>
    <w:rsid w:val="00334367"/>
    <w:rsid w:val="00334499"/>
    <w:rsid w:val="0033486B"/>
    <w:rsid w:val="00335240"/>
    <w:rsid w:val="00336149"/>
    <w:rsid w:val="003365EF"/>
    <w:rsid w:val="00336982"/>
    <w:rsid w:val="003373E2"/>
    <w:rsid w:val="003375D7"/>
    <w:rsid w:val="00337EAA"/>
    <w:rsid w:val="003408B3"/>
    <w:rsid w:val="00341159"/>
    <w:rsid w:val="0034154C"/>
    <w:rsid w:val="00341604"/>
    <w:rsid w:val="00341709"/>
    <w:rsid w:val="00341A92"/>
    <w:rsid w:val="00341D6D"/>
    <w:rsid w:val="00342809"/>
    <w:rsid w:val="00342DC1"/>
    <w:rsid w:val="00342F97"/>
    <w:rsid w:val="00342FB8"/>
    <w:rsid w:val="0034305E"/>
    <w:rsid w:val="003431AF"/>
    <w:rsid w:val="0034347C"/>
    <w:rsid w:val="00343D48"/>
    <w:rsid w:val="00344227"/>
    <w:rsid w:val="0034535D"/>
    <w:rsid w:val="00345B94"/>
    <w:rsid w:val="00345F2E"/>
    <w:rsid w:val="00345F63"/>
    <w:rsid w:val="0034620D"/>
    <w:rsid w:val="003469A0"/>
    <w:rsid w:val="00346C5D"/>
    <w:rsid w:val="0034713B"/>
    <w:rsid w:val="00347E25"/>
    <w:rsid w:val="00347F37"/>
    <w:rsid w:val="00347FEC"/>
    <w:rsid w:val="003500F5"/>
    <w:rsid w:val="0035019E"/>
    <w:rsid w:val="0035076B"/>
    <w:rsid w:val="00351125"/>
    <w:rsid w:val="003515B5"/>
    <w:rsid w:val="003515B6"/>
    <w:rsid w:val="003517E0"/>
    <w:rsid w:val="00351BAB"/>
    <w:rsid w:val="00351C84"/>
    <w:rsid w:val="00352140"/>
    <w:rsid w:val="00352309"/>
    <w:rsid w:val="00352362"/>
    <w:rsid w:val="00352934"/>
    <w:rsid w:val="00352953"/>
    <w:rsid w:val="0035299B"/>
    <w:rsid w:val="00352C42"/>
    <w:rsid w:val="003531F4"/>
    <w:rsid w:val="003534DE"/>
    <w:rsid w:val="00353876"/>
    <w:rsid w:val="00353DA0"/>
    <w:rsid w:val="0035406E"/>
    <w:rsid w:val="003542B1"/>
    <w:rsid w:val="00354FA7"/>
    <w:rsid w:val="003550A8"/>
    <w:rsid w:val="003559C6"/>
    <w:rsid w:val="00355E7E"/>
    <w:rsid w:val="003560F2"/>
    <w:rsid w:val="00356685"/>
    <w:rsid w:val="00356741"/>
    <w:rsid w:val="0035790E"/>
    <w:rsid w:val="00357B24"/>
    <w:rsid w:val="00360377"/>
    <w:rsid w:val="00360428"/>
    <w:rsid w:val="0036064D"/>
    <w:rsid w:val="00360CBB"/>
    <w:rsid w:val="00361B99"/>
    <w:rsid w:val="00361E20"/>
    <w:rsid w:val="00362B25"/>
    <w:rsid w:val="0036375D"/>
    <w:rsid w:val="003638CA"/>
    <w:rsid w:val="00363C0B"/>
    <w:rsid w:val="00363DFB"/>
    <w:rsid w:val="003645D5"/>
    <w:rsid w:val="0036486B"/>
    <w:rsid w:val="003648AD"/>
    <w:rsid w:val="00364A22"/>
    <w:rsid w:val="00364B2B"/>
    <w:rsid w:val="00364B72"/>
    <w:rsid w:val="00365626"/>
    <w:rsid w:val="0036616A"/>
    <w:rsid w:val="003664F6"/>
    <w:rsid w:val="00366978"/>
    <w:rsid w:val="00366A5E"/>
    <w:rsid w:val="00366B21"/>
    <w:rsid w:val="00367460"/>
    <w:rsid w:val="0036749C"/>
    <w:rsid w:val="0036752C"/>
    <w:rsid w:val="00367712"/>
    <w:rsid w:val="00367B9A"/>
    <w:rsid w:val="00367FE7"/>
    <w:rsid w:val="00371002"/>
    <w:rsid w:val="003716CB"/>
    <w:rsid w:val="00371890"/>
    <w:rsid w:val="003719D4"/>
    <w:rsid w:val="00371C07"/>
    <w:rsid w:val="00372164"/>
    <w:rsid w:val="003724AC"/>
    <w:rsid w:val="003727C0"/>
    <w:rsid w:val="0037284B"/>
    <w:rsid w:val="003728A1"/>
    <w:rsid w:val="00372E74"/>
    <w:rsid w:val="00373AAC"/>
    <w:rsid w:val="00373AF6"/>
    <w:rsid w:val="00373E58"/>
    <w:rsid w:val="00374771"/>
    <w:rsid w:val="003747B8"/>
    <w:rsid w:val="00374FE2"/>
    <w:rsid w:val="00375235"/>
    <w:rsid w:val="003756A5"/>
    <w:rsid w:val="00375DFD"/>
    <w:rsid w:val="003763C2"/>
    <w:rsid w:val="0037652F"/>
    <w:rsid w:val="0037703D"/>
    <w:rsid w:val="00377725"/>
    <w:rsid w:val="00377E40"/>
    <w:rsid w:val="003805A7"/>
    <w:rsid w:val="003808A3"/>
    <w:rsid w:val="003808A7"/>
    <w:rsid w:val="0038099D"/>
    <w:rsid w:val="00380C65"/>
    <w:rsid w:val="00380F1D"/>
    <w:rsid w:val="00380FCC"/>
    <w:rsid w:val="003811C0"/>
    <w:rsid w:val="00381376"/>
    <w:rsid w:val="003813D4"/>
    <w:rsid w:val="003818F2"/>
    <w:rsid w:val="00381934"/>
    <w:rsid w:val="00381BFC"/>
    <w:rsid w:val="00382AED"/>
    <w:rsid w:val="00383111"/>
    <w:rsid w:val="0038321D"/>
    <w:rsid w:val="00383C62"/>
    <w:rsid w:val="00383C95"/>
    <w:rsid w:val="0038475E"/>
    <w:rsid w:val="00384810"/>
    <w:rsid w:val="003851CC"/>
    <w:rsid w:val="00385251"/>
    <w:rsid w:val="003856E7"/>
    <w:rsid w:val="00385D9C"/>
    <w:rsid w:val="003864BE"/>
    <w:rsid w:val="00386896"/>
    <w:rsid w:val="00386EB6"/>
    <w:rsid w:val="00387033"/>
    <w:rsid w:val="0038714C"/>
    <w:rsid w:val="003877F6"/>
    <w:rsid w:val="00387860"/>
    <w:rsid w:val="003901DE"/>
    <w:rsid w:val="00390486"/>
    <w:rsid w:val="003904A9"/>
    <w:rsid w:val="00390826"/>
    <w:rsid w:val="00390AFC"/>
    <w:rsid w:val="00390DF4"/>
    <w:rsid w:val="00390FDB"/>
    <w:rsid w:val="00391072"/>
    <w:rsid w:val="00391131"/>
    <w:rsid w:val="00391519"/>
    <w:rsid w:val="0039197D"/>
    <w:rsid w:val="00391A6A"/>
    <w:rsid w:val="00391CE9"/>
    <w:rsid w:val="00391FFB"/>
    <w:rsid w:val="00392335"/>
    <w:rsid w:val="003923B3"/>
    <w:rsid w:val="003929F4"/>
    <w:rsid w:val="00392A1B"/>
    <w:rsid w:val="00393747"/>
    <w:rsid w:val="00393CDC"/>
    <w:rsid w:val="0039476B"/>
    <w:rsid w:val="00394918"/>
    <w:rsid w:val="0039493F"/>
    <w:rsid w:val="00394B29"/>
    <w:rsid w:val="00394F07"/>
    <w:rsid w:val="0039508B"/>
    <w:rsid w:val="003955C7"/>
    <w:rsid w:val="00395AFB"/>
    <w:rsid w:val="00395CBF"/>
    <w:rsid w:val="00395E3C"/>
    <w:rsid w:val="00396123"/>
    <w:rsid w:val="00396183"/>
    <w:rsid w:val="00396D07"/>
    <w:rsid w:val="00397572"/>
    <w:rsid w:val="003975B3"/>
    <w:rsid w:val="003978C0"/>
    <w:rsid w:val="00397E7E"/>
    <w:rsid w:val="003A0061"/>
    <w:rsid w:val="003A013A"/>
    <w:rsid w:val="003A037F"/>
    <w:rsid w:val="003A0965"/>
    <w:rsid w:val="003A1185"/>
    <w:rsid w:val="003A1300"/>
    <w:rsid w:val="003A1342"/>
    <w:rsid w:val="003A1351"/>
    <w:rsid w:val="003A15BC"/>
    <w:rsid w:val="003A16AC"/>
    <w:rsid w:val="003A1A4F"/>
    <w:rsid w:val="003A1CD4"/>
    <w:rsid w:val="003A249D"/>
    <w:rsid w:val="003A2CC1"/>
    <w:rsid w:val="003A31D9"/>
    <w:rsid w:val="003A3D44"/>
    <w:rsid w:val="003A4135"/>
    <w:rsid w:val="003A46DE"/>
    <w:rsid w:val="003A49A2"/>
    <w:rsid w:val="003A4C9C"/>
    <w:rsid w:val="003A5338"/>
    <w:rsid w:val="003A53BD"/>
    <w:rsid w:val="003A5401"/>
    <w:rsid w:val="003A5671"/>
    <w:rsid w:val="003A5681"/>
    <w:rsid w:val="003A56B9"/>
    <w:rsid w:val="003A5988"/>
    <w:rsid w:val="003A5FA5"/>
    <w:rsid w:val="003A6164"/>
    <w:rsid w:val="003A7312"/>
    <w:rsid w:val="003B0565"/>
    <w:rsid w:val="003B0D51"/>
    <w:rsid w:val="003B1850"/>
    <w:rsid w:val="003B1DC7"/>
    <w:rsid w:val="003B271B"/>
    <w:rsid w:val="003B2ADF"/>
    <w:rsid w:val="003B2D2E"/>
    <w:rsid w:val="003B2EED"/>
    <w:rsid w:val="003B2FB5"/>
    <w:rsid w:val="003B3040"/>
    <w:rsid w:val="003B3330"/>
    <w:rsid w:val="003B3516"/>
    <w:rsid w:val="003B38A2"/>
    <w:rsid w:val="003B3D0A"/>
    <w:rsid w:val="003B4244"/>
    <w:rsid w:val="003B44CB"/>
    <w:rsid w:val="003B4855"/>
    <w:rsid w:val="003B4A3F"/>
    <w:rsid w:val="003B5269"/>
    <w:rsid w:val="003B542C"/>
    <w:rsid w:val="003B560D"/>
    <w:rsid w:val="003B5C0F"/>
    <w:rsid w:val="003B5D78"/>
    <w:rsid w:val="003B5E15"/>
    <w:rsid w:val="003B5EDB"/>
    <w:rsid w:val="003B634F"/>
    <w:rsid w:val="003B6690"/>
    <w:rsid w:val="003B6E9B"/>
    <w:rsid w:val="003B6F45"/>
    <w:rsid w:val="003B6F81"/>
    <w:rsid w:val="003B72D1"/>
    <w:rsid w:val="003B76EC"/>
    <w:rsid w:val="003B78D9"/>
    <w:rsid w:val="003C00E0"/>
    <w:rsid w:val="003C099F"/>
    <w:rsid w:val="003C0A06"/>
    <w:rsid w:val="003C0C16"/>
    <w:rsid w:val="003C0DAE"/>
    <w:rsid w:val="003C0DEF"/>
    <w:rsid w:val="003C0E70"/>
    <w:rsid w:val="003C12A9"/>
    <w:rsid w:val="003C1794"/>
    <w:rsid w:val="003C1C50"/>
    <w:rsid w:val="003C1CF6"/>
    <w:rsid w:val="003C22EF"/>
    <w:rsid w:val="003C23CD"/>
    <w:rsid w:val="003C2589"/>
    <w:rsid w:val="003C27DA"/>
    <w:rsid w:val="003C2943"/>
    <w:rsid w:val="003C2BBC"/>
    <w:rsid w:val="003C2FC8"/>
    <w:rsid w:val="003C3338"/>
    <w:rsid w:val="003C380C"/>
    <w:rsid w:val="003C3A92"/>
    <w:rsid w:val="003C3D64"/>
    <w:rsid w:val="003C42D3"/>
    <w:rsid w:val="003C434C"/>
    <w:rsid w:val="003C4F1D"/>
    <w:rsid w:val="003C519C"/>
    <w:rsid w:val="003C5B50"/>
    <w:rsid w:val="003C5DED"/>
    <w:rsid w:val="003C6914"/>
    <w:rsid w:val="003C6E28"/>
    <w:rsid w:val="003C7A86"/>
    <w:rsid w:val="003C7ABB"/>
    <w:rsid w:val="003C7B94"/>
    <w:rsid w:val="003C7F18"/>
    <w:rsid w:val="003D0906"/>
    <w:rsid w:val="003D0F12"/>
    <w:rsid w:val="003D0F79"/>
    <w:rsid w:val="003D175E"/>
    <w:rsid w:val="003D1A0A"/>
    <w:rsid w:val="003D1AFE"/>
    <w:rsid w:val="003D1BC1"/>
    <w:rsid w:val="003D1CF5"/>
    <w:rsid w:val="003D1FE2"/>
    <w:rsid w:val="003D1FFC"/>
    <w:rsid w:val="003D21D6"/>
    <w:rsid w:val="003D22DF"/>
    <w:rsid w:val="003D22F4"/>
    <w:rsid w:val="003D2333"/>
    <w:rsid w:val="003D3366"/>
    <w:rsid w:val="003D3997"/>
    <w:rsid w:val="003D3A0E"/>
    <w:rsid w:val="003D3C59"/>
    <w:rsid w:val="003D409B"/>
    <w:rsid w:val="003D4277"/>
    <w:rsid w:val="003D42CE"/>
    <w:rsid w:val="003D4821"/>
    <w:rsid w:val="003D4945"/>
    <w:rsid w:val="003D4A69"/>
    <w:rsid w:val="003D4C15"/>
    <w:rsid w:val="003D4C38"/>
    <w:rsid w:val="003D53FE"/>
    <w:rsid w:val="003D57E0"/>
    <w:rsid w:val="003D58F9"/>
    <w:rsid w:val="003D6170"/>
    <w:rsid w:val="003D695B"/>
    <w:rsid w:val="003D7053"/>
    <w:rsid w:val="003D751E"/>
    <w:rsid w:val="003D7559"/>
    <w:rsid w:val="003D76F9"/>
    <w:rsid w:val="003D7A35"/>
    <w:rsid w:val="003D7F25"/>
    <w:rsid w:val="003D7FDE"/>
    <w:rsid w:val="003E0328"/>
    <w:rsid w:val="003E08ED"/>
    <w:rsid w:val="003E0DC3"/>
    <w:rsid w:val="003E1649"/>
    <w:rsid w:val="003E16F4"/>
    <w:rsid w:val="003E18A8"/>
    <w:rsid w:val="003E2306"/>
    <w:rsid w:val="003E3220"/>
    <w:rsid w:val="003E3488"/>
    <w:rsid w:val="003E39E4"/>
    <w:rsid w:val="003E3F20"/>
    <w:rsid w:val="003E4130"/>
    <w:rsid w:val="003E4159"/>
    <w:rsid w:val="003E42E1"/>
    <w:rsid w:val="003E4627"/>
    <w:rsid w:val="003E462E"/>
    <w:rsid w:val="003E4B77"/>
    <w:rsid w:val="003E4F34"/>
    <w:rsid w:val="003E5ACE"/>
    <w:rsid w:val="003E5D16"/>
    <w:rsid w:val="003E5E95"/>
    <w:rsid w:val="003E5FE5"/>
    <w:rsid w:val="003E604E"/>
    <w:rsid w:val="003E6372"/>
    <w:rsid w:val="003E6481"/>
    <w:rsid w:val="003E65D0"/>
    <w:rsid w:val="003E67EE"/>
    <w:rsid w:val="003E6E36"/>
    <w:rsid w:val="003E6F34"/>
    <w:rsid w:val="003E7845"/>
    <w:rsid w:val="003E7945"/>
    <w:rsid w:val="003F0005"/>
    <w:rsid w:val="003F0364"/>
    <w:rsid w:val="003F05FE"/>
    <w:rsid w:val="003F07D0"/>
    <w:rsid w:val="003F093E"/>
    <w:rsid w:val="003F0E41"/>
    <w:rsid w:val="003F177F"/>
    <w:rsid w:val="003F1D00"/>
    <w:rsid w:val="003F1E23"/>
    <w:rsid w:val="003F2776"/>
    <w:rsid w:val="003F2CE4"/>
    <w:rsid w:val="003F2D16"/>
    <w:rsid w:val="003F349F"/>
    <w:rsid w:val="003F34D4"/>
    <w:rsid w:val="003F386E"/>
    <w:rsid w:val="003F3BCE"/>
    <w:rsid w:val="003F3C0E"/>
    <w:rsid w:val="003F3DDD"/>
    <w:rsid w:val="003F4E0C"/>
    <w:rsid w:val="003F567A"/>
    <w:rsid w:val="003F61A6"/>
    <w:rsid w:val="003F6A67"/>
    <w:rsid w:val="003F6B62"/>
    <w:rsid w:val="003F6CCE"/>
    <w:rsid w:val="003F6EF4"/>
    <w:rsid w:val="003F7108"/>
    <w:rsid w:val="003F72E7"/>
    <w:rsid w:val="003F737D"/>
    <w:rsid w:val="003F73AD"/>
    <w:rsid w:val="003F754A"/>
    <w:rsid w:val="003F7679"/>
    <w:rsid w:val="003F7CB6"/>
    <w:rsid w:val="004002E2"/>
    <w:rsid w:val="004003DF"/>
    <w:rsid w:val="00400C83"/>
    <w:rsid w:val="00400E3E"/>
    <w:rsid w:val="0040129C"/>
    <w:rsid w:val="004014F0"/>
    <w:rsid w:val="0040196F"/>
    <w:rsid w:val="004019A5"/>
    <w:rsid w:val="00402145"/>
    <w:rsid w:val="004021A1"/>
    <w:rsid w:val="0040227C"/>
    <w:rsid w:val="00402428"/>
    <w:rsid w:val="004027D2"/>
    <w:rsid w:val="00402CA9"/>
    <w:rsid w:val="00402E1A"/>
    <w:rsid w:val="00402F04"/>
    <w:rsid w:val="00403102"/>
    <w:rsid w:val="004036A6"/>
    <w:rsid w:val="00403775"/>
    <w:rsid w:val="00403923"/>
    <w:rsid w:val="004039C7"/>
    <w:rsid w:val="00403A62"/>
    <w:rsid w:val="00403DC4"/>
    <w:rsid w:val="0040441F"/>
    <w:rsid w:val="004044D9"/>
    <w:rsid w:val="00404769"/>
    <w:rsid w:val="0040484E"/>
    <w:rsid w:val="00404995"/>
    <w:rsid w:val="0040499B"/>
    <w:rsid w:val="0040543F"/>
    <w:rsid w:val="0040586F"/>
    <w:rsid w:val="00405B0A"/>
    <w:rsid w:val="00405B3B"/>
    <w:rsid w:val="00406360"/>
    <w:rsid w:val="00406A4D"/>
    <w:rsid w:val="00407195"/>
    <w:rsid w:val="004072D6"/>
    <w:rsid w:val="00407451"/>
    <w:rsid w:val="0041054B"/>
    <w:rsid w:val="00410574"/>
    <w:rsid w:val="00410974"/>
    <w:rsid w:val="00410BC0"/>
    <w:rsid w:val="00410BEF"/>
    <w:rsid w:val="00411379"/>
    <w:rsid w:val="0041137C"/>
    <w:rsid w:val="004113A8"/>
    <w:rsid w:val="004113D9"/>
    <w:rsid w:val="00411845"/>
    <w:rsid w:val="00411E38"/>
    <w:rsid w:val="00411EE2"/>
    <w:rsid w:val="00412280"/>
    <w:rsid w:val="004123CF"/>
    <w:rsid w:val="0041249C"/>
    <w:rsid w:val="00412F8F"/>
    <w:rsid w:val="0041300A"/>
    <w:rsid w:val="004130E1"/>
    <w:rsid w:val="004133E7"/>
    <w:rsid w:val="00413C16"/>
    <w:rsid w:val="00414C9A"/>
    <w:rsid w:val="00415054"/>
    <w:rsid w:val="004157F5"/>
    <w:rsid w:val="00415F2B"/>
    <w:rsid w:val="00417263"/>
    <w:rsid w:val="00417367"/>
    <w:rsid w:val="00417383"/>
    <w:rsid w:val="004177CC"/>
    <w:rsid w:val="00417A1E"/>
    <w:rsid w:val="00417C69"/>
    <w:rsid w:val="004206A7"/>
    <w:rsid w:val="00420D11"/>
    <w:rsid w:val="00420FBE"/>
    <w:rsid w:val="004211A5"/>
    <w:rsid w:val="00421A43"/>
    <w:rsid w:val="00421AC2"/>
    <w:rsid w:val="00421F4E"/>
    <w:rsid w:val="004224DE"/>
    <w:rsid w:val="00422538"/>
    <w:rsid w:val="00422599"/>
    <w:rsid w:val="004228BF"/>
    <w:rsid w:val="0042294F"/>
    <w:rsid w:val="00422A69"/>
    <w:rsid w:val="0042457A"/>
    <w:rsid w:val="0042457D"/>
    <w:rsid w:val="00424F97"/>
    <w:rsid w:val="004251BE"/>
    <w:rsid w:val="00425FD2"/>
    <w:rsid w:val="004260DC"/>
    <w:rsid w:val="004261B7"/>
    <w:rsid w:val="00427118"/>
    <w:rsid w:val="00427469"/>
    <w:rsid w:val="0042749A"/>
    <w:rsid w:val="0042763A"/>
    <w:rsid w:val="004278D5"/>
    <w:rsid w:val="00430459"/>
    <w:rsid w:val="00430A8A"/>
    <w:rsid w:val="00430C0C"/>
    <w:rsid w:val="00430E9D"/>
    <w:rsid w:val="00431037"/>
    <w:rsid w:val="00431059"/>
    <w:rsid w:val="00431518"/>
    <w:rsid w:val="004315CA"/>
    <w:rsid w:val="00431683"/>
    <w:rsid w:val="004319CA"/>
    <w:rsid w:val="00432416"/>
    <w:rsid w:val="004329FC"/>
    <w:rsid w:val="00432B47"/>
    <w:rsid w:val="00432F65"/>
    <w:rsid w:val="0043318C"/>
    <w:rsid w:val="004339FA"/>
    <w:rsid w:val="00433BD2"/>
    <w:rsid w:val="00433E7A"/>
    <w:rsid w:val="00434B34"/>
    <w:rsid w:val="00434B6D"/>
    <w:rsid w:val="00434E04"/>
    <w:rsid w:val="00434FDF"/>
    <w:rsid w:val="00435516"/>
    <w:rsid w:val="004356E9"/>
    <w:rsid w:val="0043583D"/>
    <w:rsid w:val="00435E75"/>
    <w:rsid w:val="00435ECC"/>
    <w:rsid w:val="00435FC6"/>
    <w:rsid w:val="0043602E"/>
    <w:rsid w:val="00436982"/>
    <w:rsid w:val="00436C8F"/>
    <w:rsid w:val="00436E18"/>
    <w:rsid w:val="0043755D"/>
    <w:rsid w:val="0043769C"/>
    <w:rsid w:val="004376D4"/>
    <w:rsid w:val="00437753"/>
    <w:rsid w:val="00437F89"/>
    <w:rsid w:val="00437FB4"/>
    <w:rsid w:val="00440BB0"/>
    <w:rsid w:val="0044110A"/>
    <w:rsid w:val="004413F3"/>
    <w:rsid w:val="0044153D"/>
    <w:rsid w:val="0044161E"/>
    <w:rsid w:val="00441C5A"/>
    <w:rsid w:val="004425F2"/>
    <w:rsid w:val="00443675"/>
    <w:rsid w:val="00443D50"/>
    <w:rsid w:val="00443E65"/>
    <w:rsid w:val="0044401C"/>
    <w:rsid w:val="00444182"/>
    <w:rsid w:val="004442AB"/>
    <w:rsid w:val="004445E5"/>
    <w:rsid w:val="00444BF0"/>
    <w:rsid w:val="00444DF8"/>
    <w:rsid w:val="0044508C"/>
    <w:rsid w:val="00445177"/>
    <w:rsid w:val="00445487"/>
    <w:rsid w:val="00445591"/>
    <w:rsid w:val="004456B5"/>
    <w:rsid w:val="0044575E"/>
    <w:rsid w:val="0044587B"/>
    <w:rsid w:val="004459C2"/>
    <w:rsid w:val="00445E84"/>
    <w:rsid w:val="00445FE3"/>
    <w:rsid w:val="00446B3B"/>
    <w:rsid w:val="00446FEF"/>
    <w:rsid w:val="00447437"/>
    <w:rsid w:val="00447710"/>
    <w:rsid w:val="00447A0A"/>
    <w:rsid w:val="00447E42"/>
    <w:rsid w:val="0045043D"/>
    <w:rsid w:val="0045045E"/>
    <w:rsid w:val="00450800"/>
    <w:rsid w:val="00450E9E"/>
    <w:rsid w:val="00450FD2"/>
    <w:rsid w:val="00450FF8"/>
    <w:rsid w:val="0045102F"/>
    <w:rsid w:val="0045133D"/>
    <w:rsid w:val="00451D32"/>
    <w:rsid w:val="0045229B"/>
    <w:rsid w:val="004524BD"/>
    <w:rsid w:val="0045267F"/>
    <w:rsid w:val="00452BFB"/>
    <w:rsid w:val="00452BFE"/>
    <w:rsid w:val="0045326F"/>
    <w:rsid w:val="0045327E"/>
    <w:rsid w:val="00453353"/>
    <w:rsid w:val="0045349D"/>
    <w:rsid w:val="004534B5"/>
    <w:rsid w:val="00453996"/>
    <w:rsid w:val="004539F6"/>
    <w:rsid w:val="00453BF7"/>
    <w:rsid w:val="00453F7F"/>
    <w:rsid w:val="0045437E"/>
    <w:rsid w:val="0045484A"/>
    <w:rsid w:val="00454E35"/>
    <w:rsid w:val="00455127"/>
    <w:rsid w:val="00455DCB"/>
    <w:rsid w:val="00455EDE"/>
    <w:rsid w:val="00456C71"/>
    <w:rsid w:val="00456EA3"/>
    <w:rsid w:val="00457216"/>
    <w:rsid w:val="0046020B"/>
    <w:rsid w:val="004602FF"/>
    <w:rsid w:val="00460328"/>
    <w:rsid w:val="004605D0"/>
    <w:rsid w:val="00461365"/>
    <w:rsid w:val="00461B2C"/>
    <w:rsid w:val="00461C95"/>
    <w:rsid w:val="00462322"/>
    <w:rsid w:val="00462757"/>
    <w:rsid w:val="00463080"/>
    <w:rsid w:val="0046385D"/>
    <w:rsid w:val="00463ABF"/>
    <w:rsid w:val="00463F44"/>
    <w:rsid w:val="00464585"/>
    <w:rsid w:val="0046473F"/>
    <w:rsid w:val="00464780"/>
    <w:rsid w:val="00464826"/>
    <w:rsid w:val="00464C42"/>
    <w:rsid w:val="0046537C"/>
    <w:rsid w:val="004658A0"/>
    <w:rsid w:val="00465A81"/>
    <w:rsid w:val="00465FE2"/>
    <w:rsid w:val="0046625E"/>
    <w:rsid w:val="00466CDA"/>
    <w:rsid w:val="004671D5"/>
    <w:rsid w:val="00467320"/>
    <w:rsid w:val="004676F9"/>
    <w:rsid w:val="00467994"/>
    <w:rsid w:val="00467BA9"/>
    <w:rsid w:val="00467F7F"/>
    <w:rsid w:val="004701D7"/>
    <w:rsid w:val="004701DC"/>
    <w:rsid w:val="0047049E"/>
    <w:rsid w:val="00470ACA"/>
    <w:rsid w:val="00470BA4"/>
    <w:rsid w:val="00470D83"/>
    <w:rsid w:val="00470EAF"/>
    <w:rsid w:val="00470F10"/>
    <w:rsid w:val="0047110E"/>
    <w:rsid w:val="00471156"/>
    <w:rsid w:val="004712E6"/>
    <w:rsid w:val="0047162E"/>
    <w:rsid w:val="00471673"/>
    <w:rsid w:val="00471B05"/>
    <w:rsid w:val="004722F0"/>
    <w:rsid w:val="004728AF"/>
    <w:rsid w:val="00472E64"/>
    <w:rsid w:val="00473573"/>
    <w:rsid w:val="00473662"/>
    <w:rsid w:val="004739B7"/>
    <w:rsid w:val="00473FCC"/>
    <w:rsid w:val="004740D2"/>
    <w:rsid w:val="00474B7C"/>
    <w:rsid w:val="00474FE7"/>
    <w:rsid w:val="004752AE"/>
    <w:rsid w:val="0047537E"/>
    <w:rsid w:val="004758B6"/>
    <w:rsid w:val="00475ACF"/>
    <w:rsid w:val="00475DDF"/>
    <w:rsid w:val="004760CB"/>
    <w:rsid w:val="00476323"/>
    <w:rsid w:val="0047662E"/>
    <w:rsid w:val="00476680"/>
    <w:rsid w:val="0047670F"/>
    <w:rsid w:val="00476995"/>
    <w:rsid w:val="00477623"/>
    <w:rsid w:val="0047768F"/>
    <w:rsid w:val="00477D6B"/>
    <w:rsid w:val="00480042"/>
    <w:rsid w:val="004802FD"/>
    <w:rsid w:val="00480B1D"/>
    <w:rsid w:val="00481622"/>
    <w:rsid w:val="00481AF1"/>
    <w:rsid w:val="00481B96"/>
    <w:rsid w:val="00481C2B"/>
    <w:rsid w:val="00481D41"/>
    <w:rsid w:val="0048200F"/>
    <w:rsid w:val="00482228"/>
    <w:rsid w:val="0048238C"/>
    <w:rsid w:val="00482C1C"/>
    <w:rsid w:val="00483247"/>
    <w:rsid w:val="00483875"/>
    <w:rsid w:val="004838FD"/>
    <w:rsid w:val="00483BE4"/>
    <w:rsid w:val="00484004"/>
    <w:rsid w:val="0048426B"/>
    <w:rsid w:val="00484568"/>
    <w:rsid w:val="00484A6A"/>
    <w:rsid w:val="00484A6D"/>
    <w:rsid w:val="0048517A"/>
    <w:rsid w:val="00485831"/>
    <w:rsid w:val="0048588F"/>
    <w:rsid w:val="004865DC"/>
    <w:rsid w:val="004866A9"/>
    <w:rsid w:val="004866E0"/>
    <w:rsid w:val="00486914"/>
    <w:rsid w:val="00486A13"/>
    <w:rsid w:val="00486C3D"/>
    <w:rsid w:val="0048798F"/>
    <w:rsid w:val="00487F8E"/>
    <w:rsid w:val="00490289"/>
    <w:rsid w:val="004903E4"/>
    <w:rsid w:val="0049074B"/>
    <w:rsid w:val="00490E4C"/>
    <w:rsid w:val="00490F4A"/>
    <w:rsid w:val="00490FF4"/>
    <w:rsid w:val="004912CF"/>
    <w:rsid w:val="00491591"/>
    <w:rsid w:val="00491974"/>
    <w:rsid w:val="00492166"/>
    <w:rsid w:val="00492369"/>
    <w:rsid w:val="004926E5"/>
    <w:rsid w:val="00492DAB"/>
    <w:rsid w:val="00492F28"/>
    <w:rsid w:val="00493101"/>
    <w:rsid w:val="004933C1"/>
    <w:rsid w:val="00493777"/>
    <w:rsid w:val="00493CBB"/>
    <w:rsid w:val="00493D19"/>
    <w:rsid w:val="00493E17"/>
    <w:rsid w:val="00494E0C"/>
    <w:rsid w:val="0049521F"/>
    <w:rsid w:val="0049523D"/>
    <w:rsid w:val="00495317"/>
    <w:rsid w:val="00495F18"/>
    <w:rsid w:val="00496C0B"/>
    <w:rsid w:val="00496C59"/>
    <w:rsid w:val="00496D59"/>
    <w:rsid w:val="00496E0E"/>
    <w:rsid w:val="00497633"/>
    <w:rsid w:val="004978B0"/>
    <w:rsid w:val="004A01E0"/>
    <w:rsid w:val="004A0200"/>
    <w:rsid w:val="004A0ABF"/>
    <w:rsid w:val="004A0D21"/>
    <w:rsid w:val="004A10F4"/>
    <w:rsid w:val="004A1DC7"/>
    <w:rsid w:val="004A1ECC"/>
    <w:rsid w:val="004A2AC7"/>
    <w:rsid w:val="004A32C9"/>
    <w:rsid w:val="004A40C5"/>
    <w:rsid w:val="004A4731"/>
    <w:rsid w:val="004A4B91"/>
    <w:rsid w:val="004A4F5F"/>
    <w:rsid w:val="004A4FC9"/>
    <w:rsid w:val="004A52B7"/>
    <w:rsid w:val="004A57ED"/>
    <w:rsid w:val="004A5D53"/>
    <w:rsid w:val="004A6082"/>
    <w:rsid w:val="004A63CE"/>
    <w:rsid w:val="004A699B"/>
    <w:rsid w:val="004A6B77"/>
    <w:rsid w:val="004A6DB0"/>
    <w:rsid w:val="004A7AEF"/>
    <w:rsid w:val="004B0180"/>
    <w:rsid w:val="004B04DE"/>
    <w:rsid w:val="004B07F1"/>
    <w:rsid w:val="004B0ACF"/>
    <w:rsid w:val="004B0B4D"/>
    <w:rsid w:val="004B0BC5"/>
    <w:rsid w:val="004B1006"/>
    <w:rsid w:val="004B146A"/>
    <w:rsid w:val="004B17C7"/>
    <w:rsid w:val="004B1E83"/>
    <w:rsid w:val="004B219C"/>
    <w:rsid w:val="004B2D88"/>
    <w:rsid w:val="004B376E"/>
    <w:rsid w:val="004B3C37"/>
    <w:rsid w:val="004B4987"/>
    <w:rsid w:val="004B4BEE"/>
    <w:rsid w:val="004B5190"/>
    <w:rsid w:val="004B591E"/>
    <w:rsid w:val="004B5A73"/>
    <w:rsid w:val="004B5E60"/>
    <w:rsid w:val="004B6201"/>
    <w:rsid w:val="004B6273"/>
    <w:rsid w:val="004B76A5"/>
    <w:rsid w:val="004C00F2"/>
    <w:rsid w:val="004C02FD"/>
    <w:rsid w:val="004C0A35"/>
    <w:rsid w:val="004C0B1F"/>
    <w:rsid w:val="004C0B54"/>
    <w:rsid w:val="004C0B61"/>
    <w:rsid w:val="004C0CFF"/>
    <w:rsid w:val="004C0F1A"/>
    <w:rsid w:val="004C0F42"/>
    <w:rsid w:val="004C172C"/>
    <w:rsid w:val="004C1E57"/>
    <w:rsid w:val="004C2038"/>
    <w:rsid w:val="004C22C7"/>
    <w:rsid w:val="004C24A9"/>
    <w:rsid w:val="004C24BB"/>
    <w:rsid w:val="004C353A"/>
    <w:rsid w:val="004C3709"/>
    <w:rsid w:val="004C384F"/>
    <w:rsid w:val="004C3C90"/>
    <w:rsid w:val="004C429F"/>
    <w:rsid w:val="004C4CD4"/>
    <w:rsid w:val="004C554E"/>
    <w:rsid w:val="004C5570"/>
    <w:rsid w:val="004C55DC"/>
    <w:rsid w:val="004C6189"/>
    <w:rsid w:val="004C6667"/>
    <w:rsid w:val="004C67BA"/>
    <w:rsid w:val="004C6BFE"/>
    <w:rsid w:val="004C70A5"/>
    <w:rsid w:val="004C7840"/>
    <w:rsid w:val="004C7CC1"/>
    <w:rsid w:val="004D01A7"/>
    <w:rsid w:val="004D0362"/>
    <w:rsid w:val="004D0642"/>
    <w:rsid w:val="004D09C5"/>
    <w:rsid w:val="004D0D46"/>
    <w:rsid w:val="004D0F2D"/>
    <w:rsid w:val="004D12AD"/>
    <w:rsid w:val="004D1BBF"/>
    <w:rsid w:val="004D1CE4"/>
    <w:rsid w:val="004D1E09"/>
    <w:rsid w:val="004D23E0"/>
    <w:rsid w:val="004D29C4"/>
    <w:rsid w:val="004D31C5"/>
    <w:rsid w:val="004D3431"/>
    <w:rsid w:val="004D34E3"/>
    <w:rsid w:val="004D34F7"/>
    <w:rsid w:val="004D3596"/>
    <w:rsid w:val="004D38B7"/>
    <w:rsid w:val="004D39FB"/>
    <w:rsid w:val="004D3AEE"/>
    <w:rsid w:val="004D3CE0"/>
    <w:rsid w:val="004D3D3A"/>
    <w:rsid w:val="004D425C"/>
    <w:rsid w:val="004D55E5"/>
    <w:rsid w:val="004D5E41"/>
    <w:rsid w:val="004D5FD5"/>
    <w:rsid w:val="004D728C"/>
    <w:rsid w:val="004E00D2"/>
    <w:rsid w:val="004E016F"/>
    <w:rsid w:val="004E04B6"/>
    <w:rsid w:val="004E052B"/>
    <w:rsid w:val="004E06C1"/>
    <w:rsid w:val="004E12AE"/>
    <w:rsid w:val="004E15A8"/>
    <w:rsid w:val="004E15E4"/>
    <w:rsid w:val="004E193F"/>
    <w:rsid w:val="004E19C8"/>
    <w:rsid w:val="004E26F0"/>
    <w:rsid w:val="004E285C"/>
    <w:rsid w:val="004E3502"/>
    <w:rsid w:val="004E3CB0"/>
    <w:rsid w:val="004E3CF0"/>
    <w:rsid w:val="004E3DAA"/>
    <w:rsid w:val="004E4993"/>
    <w:rsid w:val="004E4E80"/>
    <w:rsid w:val="004E555B"/>
    <w:rsid w:val="004E5E6D"/>
    <w:rsid w:val="004E65D3"/>
    <w:rsid w:val="004E6606"/>
    <w:rsid w:val="004E68E5"/>
    <w:rsid w:val="004E709D"/>
    <w:rsid w:val="004E764F"/>
    <w:rsid w:val="004E7998"/>
    <w:rsid w:val="004E7B84"/>
    <w:rsid w:val="004E7C5C"/>
    <w:rsid w:val="004E7EC7"/>
    <w:rsid w:val="004E7ED8"/>
    <w:rsid w:val="004F030C"/>
    <w:rsid w:val="004F0665"/>
    <w:rsid w:val="004F166D"/>
    <w:rsid w:val="004F197F"/>
    <w:rsid w:val="004F1D78"/>
    <w:rsid w:val="004F1F20"/>
    <w:rsid w:val="004F26AA"/>
    <w:rsid w:val="004F2902"/>
    <w:rsid w:val="004F2950"/>
    <w:rsid w:val="004F2CEA"/>
    <w:rsid w:val="004F30CD"/>
    <w:rsid w:val="004F3D95"/>
    <w:rsid w:val="004F3F6D"/>
    <w:rsid w:val="004F4195"/>
    <w:rsid w:val="004F4A2E"/>
    <w:rsid w:val="004F54AC"/>
    <w:rsid w:val="004F56CB"/>
    <w:rsid w:val="004F5DE7"/>
    <w:rsid w:val="004F6EE4"/>
    <w:rsid w:val="004F71C8"/>
    <w:rsid w:val="004F7233"/>
    <w:rsid w:val="004F747F"/>
    <w:rsid w:val="004F7D37"/>
    <w:rsid w:val="00500427"/>
    <w:rsid w:val="005008C6"/>
    <w:rsid w:val="00500916"/>
    <w:rsid w:val="00501097"/>
    <w:rsid w:val="00501257"/>
    <w:rsid w:val="0050189E"/>
    <w:rsid w:val="00501B2C"/>
    <w:rsid w:val="00501B5B"/>
    <w:rsid w:val="00501F18"/>
    <w:rsid w:val="00503093"/>
    <w:rsid w:val="00503378"/>
    <w:rsid w:val="005033BB"/>
    <w:rsid w:val="0050498C"/>
    <w:rsid w:val="00504E8E"/>
    <w:rsid w:val="00505674"/>
    <w:rsid w:val="00506204"/>
    <w:rsid w:val="005065C1"/>
    <w:rsid w:val="005067A5"/>
    <w:rsid w:val="005068C3"/>
    <w:rsid w:val="00506B5A"/>
    <w:rsid w:val="00506C20"/>
    <w:rsid w:val="00506CB7"/>
    <w:rsid w:val="00506E99"/>
    <w:rsid w:val="005076B4"/>
    <w:rsid w:val="00507A23"/>
    <w:rsid w:val="00507ABF"/>
    <w:rsid w:val="005102A1"/>
    <w:rsid w:val="00510377"/>
    <w:rsid w:val="005107AE"/>
    <w:rsid w:val="00510A5D"/>
    <w:rsid w:val="00510A74"/>
    <w:rsid w:val="00510AAC"/>
    <w:rsid w:val="0051130E"/>
    <w:rsid w:val="0051135B"/>
    <w:rsid w:val="005113DA"/>
    <w:rsid w:val="00511755"/>
    <w:rsid w:val="00511ABE"/>
    <w:rsid w:val="00512C11"/>
    <w:rsid w:val="00512EDD"/>
    <w:rsid w:val="00512F77"/>
    <w:rsid w:val="00513529"/>
    <w:rsid w:val="005136CA"/>
    <w:rsid w:val="00513E8A"/>
    <w:rsid w:val="00514605"/>
    <w:rsid w:val="005149FA"/>
    <w:rsid w:val="0051512E"/>
    <w:rsid w:val="00515193"/>
    <w:rsid w:val="0051527A"/>
    <w:rsid w:val="00516770"/>
    <w:rsid w:val="00516A7B"/>
    <w:rsid w:val="00516B1F"/>
    <w:rsid w:val="00517D30"/>
    <w:rsid w:val="00520005"/>
    <w:rsid w:val="00520141"/>
    <w:rsid w:val="00520245"/>
    <w:rsid w:val="005202B9"/>
    <w:rsid w:val="00520655"/>
    <w:rsid w:val="0052069E"/>
    <w:rsid w:val="005209BC"/>
    <w:rsid w:val="00521CE9"/>
    <w:rsid w:val="00522C15"/>
    <w:rsid w:val="005230B1"/>
    <w:rsid w:val="00523691"/>
    <w:rsid w:val="005236C0"/>
    <w:rsid w:val="00523B5E"/>
    <w:rsid w:val="005248C4"/>
    <w:rsid w:val="00525772"/>
    <w:rsid w:val="005261C7"/>
    <w:rsid w:val="005261D2"/>
    <w:rsid w:val="00526C8F"/>
    <w:rsid w:val="005273A6"/>
    <w:rsid w:val="005275CB"/>
    <w:rsid w:val="00527CAF"/>
    <w:rsid w:val="00527E81"/>
    <w:rsid w:val="0052933F"/>
    <w:rsid w:val="00530A65"/>
    <w:rsid w:val="00530E00"/>
    <w:rsid w:val="00530F37"/>
    <w:rsid w:val="005312AA"/>
    <w:rsid w:val="0053170A"/>
    <w:rsid w:val="005317A2"/>
    <w:rsid w:val="00531900"/>
    <w:rsid w:val="00531A9A"/>
    <w:rsid w:val="00531FB4"/>
    <w:rsid w:val="005325F6"/>
    <w:rsid w:val="00532991"/>
    <w:rsid w:val="005330CB"/>
    <w:rsid w:val="005336CE"/>
    <w:rsid w:val="00533DEA"/>
    <w:rsid w:val="00534367"/>
    <w:rsid w:val="0053495B"/>
    <w:rsid w:val="00534BEF"/>
    <w:rsid w:val="00535768"/>
    <w:rsid w:val="00535F8B"/>
    <w:rsid w:val="00536427"/>
    <w:rsid w:val="005364A9"/>
    <w:rsid w:val="00536C11"/>
    <w:rsid w:val="00536CB0"/>
    <w:rsid w:val="00536E1C"/>
    <w:rsid w:val="00536F9F"/>
    <w:rsid w:val="00537155"/>
    <w:rsid w:val="00537C96"/>
    <w:rsid w:val="005401AA"/>
    <w:rsid w:val="0054020C"/>
    <w:rsid w:val="005402FC"/>
    <w:rsid w:val="005405F3"/>
    <w:rsid w:val="00540695"/>
    <w:rsid w:val="00540775"/>
    <w:rsid w:val="00540B88"/>
    <w:rsid w:val="00540D00"/>
    <w:rsid w:val="00540D98"/>
    <w:rsid w:val="00540EB7"/>
    <w:rsid w:val="0054125B"/>
    <w:rsid w:val="00541934"/>
    <w:rsid w:val="00541BEC"/>
    <w:rsid w:val="00541C6A"/>
    <w:rsid w:val="00541D56"/>
    <w:rsid w:val="00542220"/>
    <w:rsid w:val="005427EA"/>
    <w:rsid w:val="00542D1B"/>
    <w:rsid w:val="005430ED"/>
    <w:rsid w:val="005433B2"/>
    <w:rsid w:val="0054357F"/>
    <w:rsid w:val="0054439E"/>
    <w:rsid w:val="00544D5F"/>
    <w:rsid w:val="00545753"/>
    <w:rsid w:val="00545936"/>
    <w:rsid w:val="00545D98"/>
    <w:rsid w:val="00546158"/>
    <w:rsid w:val="00546207"/>
    <w:rsid w:val="005463A5"/>
    <w:rsid w:val="00546D79"/>
    <w:rsid w:val="00547494"/>
    <w:rsid w:val="0054767E"/>
    <w:rsid w:val="005477D7"/>
    <w:rsid w:val="00547B0C"/>
    <w:rsid w:val="00547BEA"/>
    <w:rsid w:val="005505E4"/>
    <w:rsid w:val="005506D4"/>
    <w:rsid w:val="00550D88"/>
    <w:rsid w:val="00550FE3"/>
    <w:rsid w:val="00551636"/>
    <w:rsid w:val="005516CE"/>
    <w:rsid w:val="005519EC"/>
    <w:rsid w:val="00551AB7"/>
    <w:rsid w:val="005522F1"/>
    <w:rsid w:val="00552CA9"/>
    <w:rsid w:val="00552D3B"/>
    <w:rsid w:val="005532C3"/>
    <w:rsid w:val="00553AC7"/>
    <w:rsid w:val="00553BFF"/>
    <w:rsid w:val="0055435B"/>
    <w:rsid w:val="0055483C"/>
    <w:rsid w:val="00554841"/>
    <w:rsid w:val="0055489D"/>
    <w:rsid w:val="005548A3"/>
    <w:rsid w:val="0055576E"/>
    <w:rsid w:val="0055577D"/>
    <w:rsid w:val="00555D66"/>
    <w:rsid w:val="00555EBB"/>
    <w:rsid w:val="005560AA"/>
    <w:rsid w:val="00556774"/>
    <w:rsid w:val="005567C3"/>
    <w:rsid w:val="0055683F"/>
    <w:rsid w:val="00556B14"/>
    <w:rsid w:val="005575B8"/>
    <w:rsid w:val="005578C6"/>
    <w:rsid w:val="00560AD2"/>
    <w:rsid w:val="00560C67"/>
    <w:rsid w:val="00560F15"/>
    <w:rsid w:val="00561570"/>
    <w:rsid w:val="005618D0"/>
    <w:rsid w:val="00561F60"/>
    <w:rsid w:val="005625B8"/>
    <w:rsid w:val="00562657"/>
    <w:rsid w:val="005627EB"/>
    <w:rsid w:val="00562927"/>
    <w:rsid w:val="005629F8"/>
    <w:rsid w:val="00562AF5"/>
    <w:rsid w:val="00562D1C"/>
    <w:rsid w:val="00562EE8"/>
    <w:rsid w:val="005634BE"/>
    <w:rsid w:val="0056396E"/>
    <w:rsid w:val="00563B08"/>
    <w:rsid w:val="00563B50"/>
    <w:rsid w:val="00564490"/>
    <w:rsid w:val="005648CB"/>
    <w:rsid w:val="00564D15"/>
    <w:rsid w:val="00564DB6"/>
    <w:rsid w:val="00564E3B"/>
    <w:rsid w:val="00564EE5"/>
    <w:rsid w:val="005656A9"/>
    <w:rsid w:val="005657D8"/>
    <w:rsid w:val="005660B3"/>
    <w:rsid w:val="005667FF"/>
    <w:rsid w:val="00566828"/>
    <w:rsid w:val="00566D2D"/>
    <w:rsid w:val="00566FAB"/>
    <w:rsid w:val="00567EB7"/>
    <w:rsid w:val="00570030"/>
    <w:rsid w:val="00570196"/>
    <w:rsid w:val="005701FA"/>
    <w:rsid w:val="005704B6"/>
    <w:rsid w:val="0057099E"/>
    <w:rsid w:val="00570A01"/>
    <w:rsid w:val="00570B1A"/>
    <w:rsid w:val="00570CC9"/>
    <w:rsid w:val="0057108C"/>
    <w:rsid w:val="005716C2"/>
    <w:rsid w:val="005717DE"/>
    <w:rsid w:val="00571AF0"/>
    <w:rsid w:val="00571CA9"/>
    <w:rsid w:val="005720C2"/>
    <w:rsid w:val="005722C1"/>
    <w:rsid w:val="00572687"/>
    <w:rsid w:val="00572974"/>
    <w:rsid w:val="00572B09"/>
    <w:rsid w:val="00572CC6"/>
    <w:rsid w:val="00572CE2"/>
    <w:rsid w:val="00572EBC"/>
    <w:rsid w:val="00572F6F"/>
    <w:rsid w:val="005730E3"/>
    <w:rsid w:val="0057356B"/>
    <w:rsid w:val="00573731"/>
    <w:rsid w:val="00573771"/>
    <w:rsid w:val="00573863"/>
    <w:rsid w:val="00573929"/>
    <w:rsid w:val="00573981"/>
    <w:rsid w:val="005740D4"/>
    <w:rsid w:val="005742A3"/>
    <w:rsid w:val="0057451B"/>
    <w:rsid w:val="005746AD"/>
    <w:rsid w:val="00575060"/>
    <w:rsid w:val="005759A2"/>
    <w:rsid w:val="00576124"/>
    <w:rsid w:val="005769C7"/>
    <w:rsid w:val="00576AEE"/>
    <w:rsid w:val="00576C74"/>
    <w:rsid w:val="00576CE3"/>
    <w:rsid w:val="00576EC2"/>
    <w:rsid w:val="005775EF"/>
    <w:rsid w:val="005778FA"/>
    <w:rsid w:val="00577A16"/>
    <w:rsid w:val="00577D3D"/>
    <w:rsid w:val="005802C7"/>
    <w:rsid w:val="0058047F"/>
    <w:rsid w:val="005808E9"/>
    <w:rsid w:val="00581021"/>
    <w:rsid w:val="005817E4"/>
    <w:rsid w:val="005821E1"/>
    <w:rsid w:val="00582222"/>
    <w:rsid w:val="005825DF"/>
    <w:rsid w:val="00582897"/>
    <w:rsid w:val="00582DAE"/>
    <w:rsid w:val="00582E43"/>
    <w:rsid w:val="00583182"/>
    <w:rsid w:val="005831CC"/>
    <w:rsid w:val="005835CE"/>
    <w:rsid w:val="005839BA"/>
    <w:rsid w:val="005839DC"/>
    <w:rsid w:val="005853AC"/>
    <w:rsid w:val="0058565E"/>
    <w:rsid w:val="00585749"/>
    <w:rsid w:val="00585963"/>
    <w:rsid w:val="00585D53"/>
    <w:rsid w:val="00585E93"/>
    <w:rsid w:val="00585EAE"/>
    <w:rsid w:val="0058660A"/>
    <w:rsid w:val="00586871"/>
    <w:rsid w:val="0058699F"/>
    <w:rsid w:val="00586CA4"/>
    <w:rsid w:val="0058740D"/>
    <w:rsid w:val="00587617"/>
    <w:rsid w:val="00587725"/>
    <w:rsid w:val="00587897"/>
    <w:rsid w:val="00587A7D"/>
    <w:rsid w:val="00587DB3"/>
    <w:rsid w:val="0059030E"/>
    <w:rsid w:val="005926E1"/>
    <w:rsid w:val="00592A27"/>
    <w:rsid w:val="00592AA8"/>
    <w:rsid w:val="00592AF2"/>
    <w:rsid w:val="00592D6F"/>
    <w:rsid w:val="005930B1"/>
    <w:rsid w:val="00593161"/>
    <w:rsid w:val="005937CA"/>
    <w:rsid w:val="00593A4A"/>
    <w:rsid w:val="00594017"/>
    <w:rsid w:val="00594302"/>
    <w:rsid w:val="00594BC7"/>
    <w:rsid w:val="00594DA1"/>
    <w:rsid w:val="00595A6E"/>
    <w:rsid w:val="00595C1F"/>
    <w:rsid w:val="0059624E"/>
    <w:rsid w:val="0059625C"/>
    <w:rsid w:val="005968F4"/>
    <w:rsid w:val="00596D9C"/>
    <w:rsid w:val="00597394"/>
    <w:rsid w:val="005976CC"/>
    <w:rsid w:val="0059787E"/>
    <w:rsid w:val="00597CF4"/>
    <w:rsid w:val="005A011D"/>
    <w:rsid w:val="005A01C4"/>
    <w:rsid w:val="005A04D0"/>
    <w:rsid w:val="005A0774"/>
    <w:rsid w:val="005A0793"/>
    <w:rsid w:val="005A0FFB"/>
    <w:rsid w:val="005A100B"/>
    <w:rsid w:val="005A10C4"/>
    <w:rsid w:val="005A1EE8"/>
    <w:rsid w:val="005A23E7"/>
    <w:rsid w:val="005A2A38"/>
    <w:rsid w:val="005A2E58"/>
    <w:rsid w:val="005A3755"/>
    <w:rsid w:val="005A48D2"/>
    <w:rsid w:val="005A5097"/>
    <w:rsid w:val="005A51A0"/>
    <w:rsid w:val="005A58FA"/>
    <w:rsid w:val="005A5C38"/>
    <w:rsid w:val="005A6118"/>
    <w:rsid w:val="005A645A"/>
    <w:rsid w:val="005A6F02"/>
    <w:rsid w:val="005A6F71"/>
    <w:rsid w:val="005A70EC"/>
    <w:rsid w:val="005A785D"/>
    <w:rsid w:val="005A7B9B"/>
    <w:rsid w:val="005B002B"/>
    <w:rsid w:val="005B008D"/>
    <w:rsid w:val="005B013F"/>
    <w:rsid w:val="005B0561"/>
    <w:rsid w:val="005B05D5"/>
    <w:rsid w:val="005B1796"/>
    <w:rsid w:val="005B2F8C"/>
    <w:rsid w:val="005B327C"/>
    <w:rsid w:val="005B363F"/>
    <w:rsid w:val="005B36DD"/>
    <w:rsid w:val="005B3785"/>
    <w:rsid w:val="005B37A0"/>
    <w:rsid w:val="005B3B07"/>
    <w:rsid w:val="005B4508"/>
    <w:rsid w:val="005B466F"/>
    <w:rsid w:val="005B49D5"/>
    <w:rsid w:val="005B4A8E"/>
    <w:rsid w:val="005B4CA6"/>
    <w:rsid w:val="005B539C"/>
    <w:rsid w:val="005B56A3"/>
    <w:rsid w:val="005B5CD9"/>
    <w:rsid w:val="005B5D50"/>
    <w:rsid w:val="005B6195"/>
    <w:rsid w:val="005B6521"/>
    <w:rsid w:val="005B6D8C"/>
    <w:rsid w:val="005B6DEA"/>
    <w:rsid w:val="005B76AD"/>
    <w:rsid w:val="005B77CC"/>
    <w:rsid w:val="005B7840"/>
    <w:rsid w:val="005B7AE8"/>
    <w:rsid w:val="005C0A8B"/>
    <w:rsid w:val="005C0F8E"/>
    <w:rsid w:val="005C1937"/>
    <w:rsid w:val="005C2ED2"/>
    <w:rsid w:val="005C2FF9"/>
    <w:rsid w:val="005C3FED"/>
    <w:rsid w:val="005C4299"/>
    <w:rsid w:val="005C4442"/>
    <w:rsid w:val="005C48FE"/>
    <w:rsid w:val="005C4CED"/>
    <w:rsid w:val="005C50DA"/>
    <w:rsid w:val="005C50F1"/>
    <w:rsid w:val="005C58A5"/>
    <w:rsid w:val="005C5AF1"/>
    <w:rsid w:val="005C5DEE"/>
    <w:rsid w:val="005C618A"/>
    <w:rsid w:val="005C632B"/>
    <w:rsid w:val="005C67E3"/>
    <w:rsid w:val="005C6816"/>
    <w:rsid w:val="005C6B95"/>
    <w:rsid w:val="005C6CDA"/>
    <w:rsid w:val="005C6E10"/>
    <w:rsid w:val="005C6E95"/>
    <w:rsid w:val="005C6EB4"/>
    <w:rsid w:val="005C6F62"/>
    <w:rsid w:val="005C6FFB"/>
    <w:rsid w:val="005C7A09"/>
    <w:rsid w:val="005C7D9F"/>
    <w:rsid w:val="005C7E1E"/>
    <w:rsid w:val="005C7E4E"/>
    <w:rsid w:val="005C7FA2"/>
    <w:rsid w:val="005D013B"/>
    <w:rsid w:val="005D01B3"/>
    <w:rsid w:val="005D03A7"/>
    <w:rsid w:val="005D045D"/>
    <w:rsid w:val="005D0834"/>
    <w:rsid w:val="005D08D3"/>
    <w:rsid w:val="005D0D34"/>
    <w:rsid w:val="005D1203"/>
    <w:rsid w:val="005D166D"/>
    <w:rsid w:val="005D1675"/>
    <w:rsid w:val="005D230E"/>
    <w:rsid w:val="005D29D9"/>
    <w:rsid w:val="005D2E67"/>
    <w:rsid w:val="005D3205"/>
    <w:rsid w:val="005D337D"/>
    <w:rsid w:val="005D38FA"/>
    <w:rsid w:val="005D3C8D"/>
    <w:rsid w:val="005D4770"/>
    <w:rsid w:val="005D4807"/>
    <w:rsid w:val="005D4A45"/>
    <w:rsid w:val="005D53CE"/>
    <w:rsid w:val="005D5947"/>
    <w:rsid w:val="005D59A4"/>
    <w:rsid w:val="005D5EF9"/>
    <w:rsid w:val="005D646B"/>
    <w:rsid w:val="005D6986"/>
    <w:rsid w:val="005D6F64"/>
    <w:rsid w:val="005D7148"/>
    <w:rsid w:val="005D75B7"/>
    <w:rsid w:val="005D75FE"/>
    <w:rsid w:val="005D76AF"/>
    <w:rsid w:val="005D76E1"/>
    <w:rsid w:val="005D7AAE"/>
    <w:rsid w:val="005D7AD9"/>
    <w:rsid w:val="005E043F"/>
    <w:rsid w:val="005E05ED"/>
    <w:rsid w:val="005E0636"/>
    <w:rsid w:val="005E063D"/>
    <w:rsid w:val="005E1269"/>
    <w:rsid w:val="005E1A50"/>
    <w:rsid w:val="005E2134"/>
    <w:rsid w:val="005E2549"/>
    <w:rsid w:val="005E2678"/>
    <w:rsid w:val="005E2912"/>
    <w:rsid w:val="005E2F2D"/>
    <w:rsid w:val="005E31F4"/>
    <w:rsid w:val="005E3315"/>
    <w:rsid w:val="005E3BDE"/>
    <w:rsid w:val="005E3EFB"/>
    <w:rsid w:val="005E4055"/>
    <w:rsid w:val="005E43DA"/>
    <w:rsid w:val="005E4471"/>
    <w:rsid w:val="005E4499"/>
    <w:rsid w:val="005E5326"/>
    <w:rsid w:val="005E5E42"/>
    <w:rsid w:val="005E6140"/>
    <w:rsid w:val="005E65A7"/>
    <w:rsid w:val="005E65E5"/>
    <w:rsid w:val="005E6E60"/>
    <w:rsid w:val="005E70ED"/>
    <w:rsid w:val="005E7647"/>
    <w:rsid w:val="005E7A49"/>
    <w:rsid w:val="005E7A8F"/>
    <w:rsid w:val="005E7EFC"/>
    <w:rsid w:val="005E7FEB"/>
    <w:rsid w:val="005F2043"/>
    <w:rsid w:val="005F2673"/>
    <w:rsid w:val="005F27B4"/>
    <w:rsid w:val="005F2E3D"/>
    <w:rsid w:val="005F2F6A"/>
    <w:rsid w:val="005F310D"/>
    <w:rsid w:val="005F32CB"/>
    <w:rsid w:val="005F3A1F"/>
    <w:rsid w:val="005F43CF"/>
    <w:rsid w:val="005F47C0"/>
    <w:rsid w:val="005F4BD8"/>
    <w:rsid w:val="005F4E01"/>
    <w:rsid w:val="005F5083"/>
    <w:rsid w:val="005F52A0"/>
    <w:rsid w:val="005F5326"/>
    <w:rsid w:val="005F539A"/>
    <w:rsid w:val="005F5BBA"/>
    <w:rsid w:val="005F6259"/>
    <w:rsid w:val="005F62EE"/>
    <w:rsid w:val="005F63E4"/>
    <w:rsid w:val="005F64C2"/>
    <w:rsid w:val="005F675D"/>
    <w:rsid w:val="005F69B9"/>
    <w:rsid w:val="005F6B6F"/>
    <w:rsid w:val="005F6B9A"/>
    <w:rsid w:val="005F6D3C"/>
    <w:rsid w:val="005F7412"/>
    <w:rsid w:val="005F74C7"/>
    <w:rsid w:val="0060034F"/>
    <w:rsid w:val="006003B1"/>
    <w:rsid w:val="006004F5"/>
    <w:rsid w:val="00600B6A"/>
    <w:rsid w:val="00601146"/>
    <w:rsid w:val="0060196B"/>
    <w:rsid w:val="0060250D"/>
    <w:rsid w:val="0060279A"/>
    <w:rsid w:val="006028A1"/>
    <w:rsid w:val="006029D3"/>
    <w:rsid w:val="00602A7D"/>
    <w:rsid w:val="00602B86"/>
    <w:rsid w:val="00603233"/>
    <w:rsid w:val="006035A8"/>
    <w:rsid w:val="006038A5"/>
    <w:rsid w:val="00603E85"/>
    <w:rsid w:val="0060409F"/>
    <w:rsid w:val="0060460A"/>
    <w:rsid w:val="0060506E"/>
    <w:rsid w:val="00605186"/>
    <w:rsid w:val="006054C7"/>
    <w:rsid w:val="00605679"/>
    <w:rsid w:val="00605B19"/>
    <w:rsid w:val="00606901"/>
    <w:rsid w:val="00606AC1"/>
    <w:rsid w:val="00606C38"/>
    <w:rsid w:val="006071FA"/>
    <w:rsid w:val="00607B01"/>
    <w:rsid w:val="00607CB5"/>
    <w:rsid w:val="0061062F"/>
    <w:rsid w:val="00610857"/>
    <w:rsid w:val="006109A4"/>
    <w:rsid w:val="00610A09"/>
    <w:rsid w:val="00610D74"/>
    <w:rsid w:val="0061134D"/>
    <w:rsid w:val="006117AA"/>
    <w:rsid w:val="00611A59"/>
    <w:rsid w:val="006121C6"/>
    <w:rsid w:val="00612589"/>
    <w:rsid w:val="00612749"/>
    <w:rsid w:val="00612FD4"/>
    <w:rsid w:val="006134AE"/>
    <w:rsid w:val="00614489"/>
    <w:rsid w:val="00614B0B"/>
    <w:rsid w:val="00615CF7"/>
    <w:rsid w:val="006161E3"/>
    <w:rsid w:val="0061681C"/>
    <w:rsid w:val="0061707E"/>
    <w:rsid w:val="0061708C"/>
    <w:rsid w:val="00617685"/>
    <w:rsid w:val="006176B0"/>
    <w:rsid w:val="006179A3"/>
    <w:rsid w:val="00617A2E"/>
    <w:rsid w:val="00617F13"/>
    <w:rsid w:val="006201D8"/>
    <w:rsid w:val="00620493"/>
    <w:rsid w:val="00620636"/>
    <w:rsid w:val="00620668"/>
    <w:rsid w:val="00620826"/>
    <w:rsid w:val="00620D58"/>
    <w:rsid w:val="00621402"/>
    <w:rsid w:val="006218CE"/>
    <w:rsid w:val="0062190D"/>
    <w:rsid w:val="00621F2C"/>
    <w:rsid w:val="00621F73"/>
    <w:rsid w:val="006225A0"/>
    <w:rsid w:val="006228B1"/>
    <w:rsid w:val="00622BC8"/>
    <w:rsid w:val="0062311B"/>
    <w:rsid w:val="00623672"/>
    <w:rsid w:val="0062369B"/>
    <w:rsid w:val="00623DF9"/>
    <w:rsid w:val="00624B69"/>
    <w:rsid w:val="00624CC6"/>
    <w:rsid w:val="00624D4B"/>
    <w:rsid w:val="00624DBA"/>
    <w:rsid w:val="00625B71"/>
    <w:rsid w:val="00625DDD"/>
    <w:rsid w:val="00625F57"/>
    <w:rsid w:val="00626313"/>
    <w:rsid w:val="00626D2F"/>
    <w:rsid w:val="0062709E"/>
    <w:rsid w:val="0062768A"/>
    <w:rsid w:val="00627953"/>
    <w:rsid w:val="00627D18"/>
    <w:rsid w:val="00630268"/>
    <w:rsid w:val="00630467"/>
    <w:rsid w:val="0063065E"/>
    <w:rsid w:val="006310B1"/>
    <w:rsid w:val="00631657"/>
    <w:rsid w:val="00631B63"/>
    <w:rsid w:val="00631C54"/>
    <w:rsid w:val="00631DF1"/>
    <w:rsid w:val="006324ED"/>
    <w:rsid w:val="006328BA"/>
    <w:rsid w:val="0063312D"/>
    <w:rsid w:val="00633160"/>
    <w:rsid w:val="0063347C"/>
    <w:rsid w:val="00633EBE"/>
    <w:rsid w:val="00633F25"/>
    <w:rsid w:val="00633FB9"/>
    <w:rsid w:val="006357A7"/>
    <w:rsid w:val="00635BF9"/>
    <w:rsid w:val="0063601D"/>
    <w:rsid w:val="006362EE"/>
    <w:rsid w:val="00636372"/>
    <w:rsid w:val="00636650"/>
    <w:rsid w:val="00636A8E"/>
    <w:rsid w:val="006376CD"/>
    <w:rsid w:val="0063791D"/>
    <w:rsid w:val="00640635"/>
    <w:rsid w:val="0064067E"/>
    <w:rsid w:val="00640DB0"/>
    <w:rsid w:val="00640DE5"/>
    <w:rsid w:val="00641620"/>
    <w:rsid w:val="006417BE"/>
    <w:rsid w:val="0064181F"/>
    <w:rsid w:val="0064186E"/>
    <w:rsid w:val="006419CF"/>
    <w:rsid w:val="00641C8C"/>
    <w:rsid w:val="00641F08"/>
    <w:rsid w:val="006421FB"/>
    <w:rsid w:val="006424A3"/>
    <w:rsid w:val="006426CA"/>
    <w:rsid w:val="006427AA"/>
    <w:rsid w:val="00642845"/>
    <w:rsid w:val="00642B18"/>
    <w:rsid w:val="00642D78"/>
    <w:rsid w:val="006438B0"/>
    <w:rsid w:val="00643F43"/>
    <w:rsid w:val="006448A6"/>
    <w:rsid w:val="00644B78"/>
    <w:rsid w:val="00644C31"/>
    <w:rsid w:val="00644D0B"/>
    <w:rsid w:val="00645739"/>
    <w:rsid w:val="00646C8B"/>
    <w:rsid w:val="00647605"/>
    <w:rsid w:val="00650140"/>
    <w:rsid w:val="00650383"/>
    <w:rsid w:val="006507CC"/>
    <w:rsid w:val="0065091F"/>
    <w:rsid w:val="00650A67"/>
    <w:rsid w:val="00650AAB"/>
    <w:rsid w:val="0065103A"/>
    <w:rsid w:val="00651196"/>
    <w:rsid w:val="00651328"/>
    <w:rsid w:val="0065155B"/>
    <w:rsid w:val="0065173E"/>
    <w:rsid w:val="0065190B"/>
    <w:rsid w:val="006519DF"/>
    <w:rsid w:val="006520CB"/>
    <w:rsid w:val="00652555"/>
    <w:rsid w:val="00652AF6"/>
    <w:rsid w:val="00652EF1"/>
    <w:rsid w:val="0065381F"/>
    <w:rsid w:val="006538B4"/>
    <w:rsid w:val="00653F3D"/>
    <w:rsid w:val="006540E2"/>
    <w:rsid w:val="0065410F"/>
    <w:rsid w:val="00654BD4"/>
    <w:rsid w:val="0065541D"/>
    <w:rsid w:val="00655886"/>
    <w:rsid w:val="00655FDF"/>
    <w:rsid w:val="0065671D"/>
    <w:rsid w:val="00657160"/>
    <w:rsid w:val="00657500"/>
    <w:rsid w:val="006575C8"/>
    <w:rsid w:val="006579B5"/>
    <w:rsid w:val="00657F7D"/>
    <w:rsid w:val="00660292"/>
    <w:rsid w:val="0066032B"/>
    <w:rsid w:val="006609E4"/>
    <w:rsid w:val="00660B0B"/>
    <w:rsid w:val="00660DDB"/>
    <w:rsid w:val="00660E1D"/>
    <w:rsid w:val="00660E79"/>
    <w:rsid w:val="00661021"/>
    <w:rsid w:val="006610D6"/>
    <w:rsid w:val="00661189"/>
    <w:rsid w:val="006616F9"/>
    <w:rsid w:val="00661B6C"/>
    <w:rsid w:val="0066248C"/>
    <w:rsid w:val="006625E3"/>
    <w:rsid w:val="00663C04"/>
    <w:rsid w:val="0066463D"/>
    <w:rsid w:val="0066467A"/>
    <w:rsid w:val="00664AC9"/>
    <w:rsid w:val="00664BDE"/>
    <w:rsid w:val="00664D37"/>
    <w:rsid w:val="00664DEB"/>
    <w:rsid w:val="0066500F"/>
    <w:rsid w:val="00665170"/>
    <w:rsid w:val="006655D7"/>
    <w:rsid w:val="006656FE"/>
    <w:rsid w:val="00665E1F"/>
    <w:rsid w:val="00666C88"/>
    <w:rsid w:val="0066736F"/>
    <w:rsid w:val="00667C13"/>
    <w:rsid w:val="00667F8A"/>
    <w:rsid w:val="006703B4"/>
    <w:rsid w:val="006704A0"/>
    <w:rsid w:val="0067069D"/>
    <w:rsid w:val="00670B08"/>
    <w:rsid w:val="00670E4D"/>
    <w:rsid w:val="006711FB"/>
    <w:rsid w:val="006720B7"/>
    <w:rsid w:val="00672609"/>
    <w:rsid w:val="006734AC"/>
    <w:rsid w:val="00673C61"/>
    <w:rsid w:val="00673C7E"/>
    <w:rsid w:val="00674697"/>
    <w:rsid w:val="0067487C"/>
    <w:rsid w:val="00674984"/>
    <w:rsid w:val="00674C50"/>
    <w:rsid w:val="00675035"/>
    <w:rsid w:val="0067530C"/>
    <w:rsid w:val="006753DF"/>
    <w:rsid w:val="00676076"/>
    <w:rsid w:val="006762D4"/>
    <w:rsid w:val="00676716"/>
    <w:rsid w:val="006767D9"/>
    <w:rsid w:val="00676F65"/>
    <w:rsid w:val="006770C5"/>
    <w:rsid w:val="006770E7"/>
    <w:rsid w:val="0067724A"/>
    <w:rsid w:val="00677510"/>
    <w:rsid w:val="00677527"/>
    <w:rsid w:val="00677BEF"/>
    <w:rsid w:val="00677D18"/>
    <w:rsid w:val="00680F67"/>
    <w:rsid w:val="0068158A"/>
    <w:rsid w:val="006817AB"/>
    <w:rsid w:val="00682383"/>
    <w:rsid w:val="006826CC"/>
    <w:rsid w:val="00682D30"/>
    <w:rsid w:val="00682DE5"/>
    <w:rsid w:val="006839D0"/>
    <w:rsid w:val="00684D91"/>
    <w:rsid w:val="006855C8"/>
    <w:rsid w:val="00685897"/>
    <w:rsid w:val="00686C54"/>
    <w:rsid w:val="00686C8D"/>
    <w:rsid w:val="00687564"/>
    <w:rsid w:val="00690728"/>
    <w:rsid w:val="006909CF"/>
    <w:rsid w:val="00690A09"/>
    <w:rsid w:val="006912AE"/>
    <w:rsid w:val="006915E9"/>
    <w:rsid w:val="0069190D"/>
    <w:rsid w:val="00691C58"/>
    <w:rsid w:val="00691D9B"/>
    <w:rsid w:val="0069234E"/>
    <w:rsid w:val="00692BCC"/>
    <w:rsid w:val="00693148"/>
    <w:rsid w:val="006932C4"/>
    <w:rsid w:val="00694192"/>
    <w:rsid w:val="00694247"/>
    <w:rsid w:val="006944E6"/>
    <w:rsid w:val="006944E7"/>
    <w:rsid w:val="0069463E"/>
    <w:rsid w:val="006953F8"/>
    <w:rsid w:val="0069541C"/>
    <w:rsid w:val="00696578"/>
    <w:rsid w:val="00696E78"/>
    <w:rsid w:val="00696F00"/>
    <w:rsid w:val="00696FD2"/>
    <w:rsid w:val="0069711D"/>
    <w:rsid w:val="006975B9"/>
    <w:rsid w:val="0069768B"/>
    <w:rsid w:val="006977D9"/>
    <w:rsid w:val="0069785F"/>
    <w:rsid w:val="00697EE3"/>
    <w:rsid w:val="006A0729"/>
    <w:rsid w:val="006A09BC"/>
    <w:rsid w:val="006A0CF1"/>
    <w:rsid w:val="006A1069"/>
    <w:rsid w:val="006A1802"/>
    <w:rsid w:val="006A2576"/>
    <w:rsid w:val="006A29CA"/>
    <w:rsid w:val="006A29F3"/>
    <w:rsid w:val="006A2BDE"/>
    <w:rsid w:val="006A4794"/>
    <w:rsid w:val="006A4809"/>
    <w:rsid w:val="006A4C3B"/>
    <w:rsid w:val="006A4D40"/>
    <w:rsid w:val="006A648B"/>
    <w:rsid w:val="006A6949"/>
    <w:rsid w:val="006A6D1C"/>
    <w:rsid w:val="006A7017"/>
    <w:rsid w:val="006A7136"/>
    <w:rsid w:val="006A72A7"/>
    <w:rsid w:val="006B04C5"/>
    <w:rsid w:val="006B0A2A"/>
    <w:rsid w:val="006B0BF0"/>
    <w:rsid w:val="006B11F1"/>
    <w:rsid w:val="006B1898"/>
    <w:rsid w:val="006B1EAB"/>
    <w:rsid w:val="006B247E"/>
    <w:rsid w:val="006B297F"/>
    <w:rsid w:val="006B2E4A"/>
    <w:rsid w:val="006B3F4C"/>
    <w:rsid w:val="006B423B"/>
    <w:rsid w:val="006B44B9"/>
    <w:rsid w:val="006B44EB"/>
    <w:rsid w:val="006B4D20"/>
    <w:rsid w:val="006B4E65"/>
    <w:rsid w:val="006B6853"/>
    <w:rsid w:val="006B6A18"/>
    <w:rsid w:val="006B6FEA"/>
    <w:rsid w:val="006B74FC"/>
    <w:rsid w:val="006B772F"/>
    <w:rsid w:val="006B7D8C"/>
    <w:rsid w:val="006B7D97"/>
    <w:rsid w:val="006B7FBE"/>
    <w:rsid w:val="006C01EB"/>
    <w:rsid w:val="006C0680"/>
    <w:rsid w:val="006C0EDA"/>
    <w:rsid w:val="006C0F8D"/>
    <w:rsid w:val="006C1096"/>
    <w:rsid w:val="006C10A6"/>
    <w:rsid w:val="006C12A4"/>
    <w:rsid w:val="006C1C1A"/>
    <w:rsid w:val="006C1FC9"/>
    <w:rsid w:val="006C29E3"/>
    <w:rsid w:val="006C2ED4"/>
    <w:rsid w:val="006C3031"/>
    <w:rsid w:val="006C3C83"/>
    <w:rsid w:val="006C3D47"/>
    <w:rsid w:val="006C3DFF"/>
    <w:rsid w:val="006C3E63"/>
    <w:rsid w:val="006C44AD"/>
    <w:rsid w:val="006C46E6"/>
    <w:rsid w:val="006C4886"/>
    <w:rsid w:val="006C492D"/>
    <w:rsid w:val="006C59C5"/>
    <w:rsid w:val="006C5FD1"/>
    <w:rsid w:val="006C7064"/>
    <w:rsid w:val="006C7ECD"/>
    <w:rsid w:val="006C7F26"/>
    <w:rsid w:val="006D0061"/>
    <w:rsid w:val="006D0697"/>
    <w:rsid w:val="006D0C77"/>
    <w:rsid w:val="006D1124"/>
    <w:rsid w:val="006D1237"/>
    <w:rsid w:val="006D1629"/>
    <w:rsid w:val="006D1747"/>
    <w:rsid w:val="006D1B2A"/>
    <w:rsid w:val="006D1B8A"/>
    <w:rsid w:val="006D20C2"/>
    <w:rsid w:val="006D235E"/>
    <w:rsid w:val="006D24D4"/>
    <w:rsid w:val="006D26A4"/>
    <w:rsid w:val="006D2858"/>
    <w:rsid w:val="006D2B74"/>
    <w:rsid w:val="006D2C59"/>
    <w:rsid w:val="006D323D"/>
    <w:rsid w:val="006D36D2"/>
    <w:rsid w:val="006D3E5B"/>
    <w:rsid w:val="006D4687"/>
    <w:rsid w:val="006D494A"/>
    <w:rsid w:val="006D5E04"/>
    <w:rsid w:val="006D5E0E"/>
    <w:rsid w:val="006D5E90"/>
    <w:rsid w:val="006D5FC8"/>
    <w:rsid w:val="006D63B3"/>
    <w:rsid w:val="006D6E91"/>
    <w:rsid w:val="006D75D8"/>
    <w:rsid w:val="006E038A"/>
    <w:rsid w:val="006E0DFB"/>
    <w:rsid w:val="006E140D"/>
    <w:rsid w:val="006E1426"/>
    <w:rsid w:val="006E15AD"/>
    <w:rsid w:val="006E1992"/>
    <w:rsid w:val="006E1E44"/>
    <w:rsid w:val="006E21B8"/>
    <w:rsid w:val="006E2475"/>
    <w:rsid w:val="006E274C"/>
    <w:rsid w:val="006E29A8"/>
    <w:rsid w:val="006E2CF0"/>
    <w:rsid w:val="006E2DCB"/>
    <w:rsid w:val="006E2F4C"/>
    <w:rsid w:val="006E3339"/>
    <w:rsid w:val="006E3C94"/>
    <w:rsid w:val="006E3D19"/>
    <w:rsid w:val="006E4371"/>
    <w:rsid w:val="006E4444"/>
    <w:rsid w:val="006E4563"/>
    <w:rsid w:val="006E4A43"/>
    <w:rsid w:val="006E5826"/>
    <w:rsid w:val="006E5997"/>
    <w:rsid w:val="006E5F3C"/>
    <w:rsid w:val="006E62E9"/>
    <w:rsid w:val="006E6317"/>
    <w:rsid w:val="006E6F4A"/>
    <w:rsid w:val="006E74CA"/>
    <w:rsid w:val="006E768D"/>
    <w:rsid w:val="006E789A"/>
    <w:rsid w:val="006E7ACD"/>
    <w:rsid w:val="006F005D"/>
    <w:rsid w:val="006F07B4"/>
    <w:rsid w:val="006F0AD2"/>
    <w:rsid w:val="006F0BF6"/>
    <w:rsid w:val="006F0DEB"/>
    <w:rsid w:val="006F0F54"/>
    <w:rsid w:val="006F100A"/>
    <w:rsid w:val="006F1327"/>
    <w:rsid w:val="006F1757"/>
    <w:rsid w:val="006F1B4D"/>
    <w:rsid w:val="006F1F36"/>
    <w:rsid w:val="006F2E74"/>
    <w:rsid w:val="006F39C3"/>
    <w:rsid w:val="006F4129"/>
    <w:rsid w:val="006F43CE"/>
    <w:rsid w:val="006F4692"/>
    <w:rsid w:val="006F48DF"/>
    <w:rsid w:val="006F4A95"/>
    <w:rsid w:val="006F4E6C"/>
    <w:rsid w:val="006F4FB8"/>
    <w:rsid w:val="006F4FF9"/>
    <w:rsid w:val="006F5096"/>
    <w:rsid w:val="006F58AD"/>
    <w:rsid w:val="006F629B"/>
    <w:rsid w:val="006F6629"/>
    <w:rsid w:val="006F694B"/>
    <w:rsid w:val="006F6F12"/>
    <w:rsid w:val="006F71CA"/>
    <w:rsid w:val="006F78A5"/>
    <w:rsid w:val="006F7B6D"/>
    <w:rsid w:val="006F7CA8"/>
    <w:rsid w:val="006F7F3A"/>
    <w:rsid w:val="0070040A"/>
    <w:rsid w:val="00700E79"/>
    <w:rsid w:val="0070208C"/>
    <w:rsid w:val="007026CF"/>
    <w:rsid w:val="00702761"/>
    <w:rsid w:val="00702E87"/>
    <w:rsid w:val="00703A9F"/>
    <w:rsid w:val="00704596"/>
    <w:rsid w:val="007048B9"/>
    <w:rsid w:val="00704DE4"/>
    <w:rsid w:val="00704F48"/>
    <w:rsid w:val="007054B1"/>
    <w:rsid w:val="00705529"/>
    <w:rsid w:val="00705545"/>
    <w:rsid w:val="007056D6"/>
    <w:rsid w:val="00705711"/>
    <w:rsid w:val="00705AD1"/>
    <w:rsid w:val="00705C54"/>
    <w:rsid w:val="00706CB1"/>
    <w:rsid w:val="007070B2"/>
    <w:rsid w:val="00707427"/>
    <w:rsid w:val="007078D0"/>
    <w:rsid w:val="007078EA"/>
    <w:rsid w:val="00707C49"/>
    <w:rsid w:val="007105AB"/>
    <w:rsid w:val="007110B4"/>
    <w:rsid w:val="0071124C"/>
    <w:rsid w:val="007118EF"/>
    <w:rsid w:val="0071195D"/>
    <w:rsid w:val="00711A2D"/>
    <w:rsid w:val="00711CDE"/>
    <w:rsid w:val="00712449"/>
    <w:rsid w:val="00712503"/>
    <w:rsid w:val="007129A3"/>
    <w:rsid w:val="00713110"/>
    <w:rsid w:val="00713111"/>
    <w:rsid w:val="0071336D"/>
    <w:rsid w:val="00713552"/>
    <w:rsid w:val="0071366B"/>
    <w:rsid w:val="007136DE"/>
    <w:rsid w:val="00713FBC"/>
    <w:rsid w:val="00714C73"/>
    <w:rsid w:val="0071533A"/>
    <w:rsid w:val="00715AA9"/>
    <w:rsid w:val="00715D91"/>
    <w:rsid w:val="00715E86"/>
    <w:rsid w:val="00715FA9"/>
    <w:rsid w:val="007160C4"/>
    <w:rsid w:val="007164BA"/>
    <w:rsid w:val="00716975"/>
    <w:rsid w:val="00716F0A"/>
    <w:rsid w:val="007177DA"/>
    <w:rsid w:val="007178B2"/>
    <w:rsid w:val="00720086"/>
    <w:rsid w:val="00720C1F"/>
    <w:rsid w:val="00720E4D"/>
    <w:rsid w:val="00721073"/>
    <w:rsid w:val="007211AA"/>
    <w:rsid w:val="007214FF"/>
    <w:rsid w:val="00722089"/>
    <w:rsid w:val="0072219A"/>
    <w:rsid w:val="00722D86"/>
    <w:rsid w:val="0072316B"/>
    <w:rsid w:val="0072329A"/>
    <w:rsid w:val="007239A3"/>
    <w:rsid w:val="00723A88"/>
    <w:rsid w:val="00723B4D"/>
    <w:rsid w:val="00723CC9"/>
    <w:rsid w:val="007240BC"/>
    <w:rsid w:val="00724A4E"/>
    <w:rsid w:val="00724D69"/>
    <w:rsid w:val="00724E0D"/>
    <w:rsid w:val="0072581C"/>
    <w:rsid w:val="00725F3D"/>
    <w:rsid w:val="0072610B"/>
    <w:rsid w:val="00726E9A"/>
    <w:rsid w:val="00727933"/>
    <w:rsid w:val="00727BCB"/>
    <w:rsid w:val="00727F44"/>
    <w:rsid w:val="00730837"/>
    <w:rsid w:val="00730DF9"/>
    <w:rsid w:val="007310B1"/>
    <w:rsid w:val="0073166D"/>
    <w:rsid w:val="00731905"/>
    <w:rsid w:val="00731F37"/>
    <w:rsid w:val="00731F97"/>
    <w:rsid w:val="0073242E"/>
    <w:rsid w:val="00732636"/>
    <w:rsid w:val="0073266A"/>
    <w:rsid w:val="0073289D"/>
    <w:rsid w:val="00732958"/>
    <w:rsid w:val="0073317B"/>
    <w:rsid w:val="0073374A"/>
    <w:rsid w:val="00733A96"/>
    <w:rsid w:val="00733FC4"/>
    <w:rsid w:val="00734107"/>
    <w:rsid w:val="00734323"/>
    <w:rsid w:val="00734652"/>
    <w:rsid w:val="007346A8"/>
    <w:rsid w:val="00734799"/>
    <w:rsid w:val="00734C84"/>
    <w:rsid w:val="00734EDE"/>
    <w:rsid w:val="007350FE"/>
    <w:rsid w:val="0073514D"/>
    <w:rsid w:val="0073527E"/>
    <w:rsid w:val="0073556B"/>
    <w:rsid w:val="007357D8"/>
    <w:rsid w:val="00735B38"/>
    <w:rsid w:val="0073646B"/>
    <w:rsid w:val="00736726"/>
    <w:rsid w:val="00737455"/>
    <w:rsid w:val="0073766A"/>
    <w:rsid w:val="00737964"/>
    <w:rsid w:val="00737BEC"/>
    <w:rsid w:val="007407A8"/>
    <w:rsid w:val="00740B8D"/>
    <w:rsid w:val="007412F7"/>
    <w:rsid w:val="007413C3"/>
    <w:rsid w:val="00742D58"/>
    <w:rsid w:val="00742FC7"/>
    <w:rsid w:val="00743130"/>
    <w:rsid w:val="007434CB"/>
    <w:rsid w:val="00743911"/>
    <w:rsid w:val="00743A86"/>
    <w:rsid w:val="00743B19"/>
    <w:rsid w:val="007449AA"/>
    <w:rsid w:val="007450AE"/>
    <w:rsid w:val="0074510A"/>
    <w:rsid w:val="00745112"/>
    <w:rsid w:val="00745578"/>
    <w:rsid w:val="0074579F"/>
    <w:rsid w:val="00745C49"/>
    <w:rsid w:val="00745CDE"/>
    <w:rsid w:val="007460A5"/>
    <w:rsid w:val="007463FF"/>
    <w:rsid w:val="00746FFB"/>
    <w:rsid w:val="00747034"/>
    <w:rsid w:val="00747113"/>
    <w:rsid w:val="007471EA"/>
    <w:rsid w:val="007471F6"/>
    <w:rsid w:val="0074746E"/>
    <w:rsid w:val="007476CD"/>
    <w:rsid w:val="007477E3"/>
    <w:rsid w:val="00747C3A"/>
    <w:rsid w:val="00750110"/>
    <w:rsid w:val="007505EE"/>
    <w:rsid w:val="00750BEF"/>
    <w:rsid w:val="00750E90"/>
    <w:rsid w:val="00750F85"/>
    <w:rsid w:val="007512D7"/>
    <w:rsid w:val="00751324"/>
    <w:rsid w:val="00751A55"/>
    <w:rsid w:val="00751D8C"/>
    <w:rsid w:val="00751ED3"/>
    <w:rsid w:val="00751F3D"/>
    <w:rsid w:val="00751F3E"/>
    <w:rsid w:val="0075263F"/>
    <w:rsid w:val="007528D1"/>
    <w:rsid w:val="00752C0C"/>
    <w:rsid w:val="00752C24"/>
    <w:rsid w:val="00752E09"/>
    <w:rsid w:val="00753101"/>
    <w:rsid w:val="0075368E"/>
    <w:rsid w:val="007539DC"/>
    <w:rsid w:val="00753A18"/>
    <w:rsid w:val="00753A9F"/>
    <w:rsid w:val="007544B0"/>
    <w:rsid w:val="007545F0"/>
    <w:rsid w:val="00754DA7"/>
    <w:rsid w:val="00755366"/>
    <w:rsid w:val="007554B0"/>
    <w:rsid w:val="0075550B"/>
    <w:rsid w:val="00755582"/>
    <w:rsid w:val="007556B2"/>
    <w:rsid w:val="00756500"/>
    <w:rsid w:val="0075672D"/>
    <w:rsid w:val="007568D1"/>
    <w:rsid w:val="00756AF0"/>
    <w:rsid w:val="00756B09"/>
    <w:rsid w:val="00756EFA"/>
    <w:rsid w:val="00756F92"/>
    <w:rsid w:val="00757161"/>
    <w:rsid w:val="00757C14"/>
    <w:rsid w:val="00760314"/>
    <w:rsid w:val="00760523"/>
    <w:rsid w:val="007610C7"/>
    <w:rsid w:val="007611A3"/>
    <w:rsid w:val="0076163A"/>
    <w:rsid w:val="00762606"/>
    <w:rsid w:val="007632E1"/>
    <w:rsid w:val="007637D7"/>
    <w:rsid w:val="00763846"/>
    <w:rsid w:val="00764A71"/>
    <w:rsid w:val="00764DF3"/>
    <w:rsid w:val="00764F58"/>
    <w:rsid w:val="00764FC9"/>
    <w:rsid w:val="007651ED"/>
    <w:rsid w:val="00765CDE"/>
    <w:rsid w:val="00765DB8"/>
    <w:rsid w:val="0076627A"/>
    <w:rsid w:val="007665D9"/>
    <w:rsid w:val="00766ECE"/>
    <w:rsid w:val="00766FF2"/>
    <w:rsid w:val="00767155"/>
    <w:rsid w:val="00767171"/>
    <w:rsid w:val="0077118A"/>
    <w:rsid w:val="007712EA"/>
    <w:rsid w:val="007719C8"/>
    <w:rsid w:val="00771D70"/>
    <w:rsid w:val="00771F81"/>
    <w:rsid w:val="00772561"/>
    <w:rsid w:val="007726B2"/>
    <w:rsid w:val="007728B6"/>
    <w:rsid w:val="00772B68"/>
    <w:rsid w:val="00772C68"/>
    <w:rsid w:val="00772D81"/>
    <w:rsid w:val="0077300D"/>
    <w:rsid w:val="0077364E"/>
    <w:rsid w:val="007738BE"/>
    <w:rsid w:val="00773A67"/>
    <w:rsid w:val="00773B26"/>
    <w:rsid w:val="00773B4A"/>
    <w:rsid w:val="00773B69"/>
    <w:rsid w:val="00773BC2"/>
    <w:rsid w:val="007740E5"/>
    <w:rsid w:val="007748A9"/>
    <w:rsid w:val="00774B5A"/>
    <w:rsid w:val="00776134"/>
    <w:rsid w:val="00776542"/>
    <w:rsid w:val="00776752"/>
    <w:rsid w:val="00776768"/>
    <w:rsid w:val="0077677B"/>
    <w:rsid w:val="00776B06"/>
    <w:rsid w:val="00777349"/>
    <w:rsid w:val="0077757C"/>
    <w:rsid w:val="007775F9"/>
    <w:rsid w:val="00777FDE"/>
    <w:rsid w:val="00780388"/>
    <w:rsid w:val="00780481"/>
    <w:rsid w:val="00780792"/>
    <w:rsid w:val="00780E85"/>
    <w:rsid w:val="00780F4C"/>
    <w:rsid w:val="00780F7C"/>
    <w:rsid w:val="00780FF2"/>
    <w:rsid w:val="007812FF"/>
    <w:rsid w:val="007814B0"/>
    <w:rsid w:val="0078219E"/>
    <w:rsid w:val="00782294"/>
    <w:rsid w:val="007823EE"/>
    <w:rsid w:val="0078254C"/>
    <w:rsid w:val="007825BC"/>
    <w:rsid w:val="0078338D"/>
    <w:rsid w:val="007833BD"/>
    <w:rsid w:val="00783C8F"/>
    <w:rsid w:val="00784427"/>
    <w:rsid w:val="00784780"/>
    <w:rsid w:val="00785131"/>
    <w:rsid w:val="00785192"/>
    <w:rsid w:val="0078578C"/>
    <w:rsid w:val="007858EB"/>
    <w:rsid w:val="0078594A"/>
    <w:rsid w:val="00785AA5"/>
    <w:rsid w:val="00785C7B"/>
    <w:rsid w:val="00785D66"/>
    <w:rsid w:val="0078625E"/>
    <w:rsid w:val="007863B6"/>
    <w:rsid w:val="00786A02"/>
    <w:rsid w:val="00787462"/>
    <w:rsid w:val="00787614"/>
    <w:rsid w:val="00787756"/>
    <w:rsid w:val="0078783D"/>
    <w:rsid w:val="00787C19"/>
    <w:rsid w:val="00790DA3"/>
    <w:rsid w:val="00790F58"/>
    <w:rsid w:val="00790F8C"/>
    <w:rsid w:val="00791116"/>
    <w:rsid w:val="007913BD"/>
    <w:rsid w:val="00791714"/>
    <w:rsid w:val="00791B5D"/>
    <w:rsid w:val="0079287A"/>
    <w:rsid w:val="00793129"/>
    <w:rsid w:val="0079330A"/>
    <w:rsid w:val="00793668"/>
    <w:rsid w:val="00793AAE"/>
    <w:rsid w:val="00794030"/>
    <w:rsid w:val="007944F5"/>
    <w:rsid w:val="00794D8F"/>
    <w:rsid w:val="00794FF5"/>
    <w:rsid w:val="0079503B"/>
    <w:rsid w:val="00795175"/>
    <w:rsid w:val="00795366"/>
    <w:rsid w:val="0079572E"/>
    <w:rsid w:val="007958FA"/>
    <w:rsid w:val="007960FE"/>
    <w:rsid w:val="0079639F"/>
    <w:rsid w:val="007964C4"/>
    <w:rsid w:val="00796B08"/>
    <w:rsid w:val="00796C1E"/>
    <w:rsid w:val="00796C27"/>
    <w:rsid w:val="00796FCD"/>
    <w:rsid w:val="00796FEF"/>
    <w:rsid w:val="0079761E"/>
    <w:rsid w:val="00797651"/>
    <w:rsid w:val="007A01BA"/>
    <w:rsid w:val="007A0356"/>
    <w:rsid w:val="007A0D8E"/>
    <w:rsid w:val="007A1688"/>
    <w:rsid w:val="007A1996"/>
    <w:rsid w:val="007A234C"/>
    <w:rsid w:val="007A25C9"/>
    <w:rsid w:val="007A2631"/>
    <w:rsid w:val="007A2828"/>
    <w:rsid w:val="007A283A"/>
    <w:rsid w:val="007A2BA0"/>
    <w:rsid w:val="007A2C4A"/>
    <w:rsid w:val="007A2EBF"/>
    <w:rsid w:val="007A317F"/>
    <w:rsid w:val="007A331D"/>
    <w:rsid w:val="007A35C3"/>
    <w:rsid w:val="007A3895"/>
    <w:rsid w:val="007A3C48"/>
    <w:rsid w:val="007A3F12"/>
    <w:rsid w:val="007A4063"/>
    <w:rsid w:val="007A45C8"/>
    <w:rsid w:val="007A46EF"/>
    <w:rsid w:val="007A4A55"/>
    <w:rsid w:val="007A4D4A"/>
    <w:rsid w:val="007A5D5F"/>
    <w:rsid w:val="007A6022"/>
    <w:rsid w:val="007A63F8"/>
    <w:rsid w:val="007A6528"/>
    <w:rsid w:val="007A689D"/>
    <w:rsid w:val="007A68C3"/>
    <w:rsid w:val="007A700C"/>
    <w:rsid w:val="007B0044"/>
    <w:rsid w:val="007B082A"/>
    <w:rsid w:val="007B0833"/>
    <w:rsid w:val="007B10BF"/>
    <w:rsid w:val="007B1789"/>
    <w:rsid w:val="007B1840"/>
    <w:rsid w:val="007B1A08"/>
    <w:rsid w:val="007B1D07"/>
    <w:rsid w:val="007B268E"/>
    <w:rsid w:val="007B2720"/>
    <w:rsid w:val="007B30E4"/>
    <w:rsid w:val="007B339D"/>
    <w:rsid w:val="007B358C"/>
    <w:rsid w:val="007B3793"/>
    <w:rsid w:val="007B3BBC"/>
    <w:rsid w:val="007B3F67"/>
    <w:rsid w:val="007B4D12"/>
    <w:rsid w:val="007B55D2"/>
    <w:rsid w:val="007B5870"/>
    <w:rsid w:val="007B5B56"/>
    <w:rsid w:val="007B6067"/>
    <w:rsid w:val="007B659E"/>
    <w:rsid w:val="007B667D"/>
    <w:rsid w:val="007B6731"/>
    <w:rsid w:val="007B6A8D"/>
    <w:rsid w:val="007B6E3E"/>
    <w:rsid w:val="007B6F7C"/>
    <w:rsid w:val="007B7031"/>
    <w:rsid w:val="007B72C9"/>
    <w:rsid w:val="007B72E5"/>
    <w:rsid w:val="007B7591"/>
    <w:rsid w:val="007B772C"/>
    <w:rsid w:val="007B7DBA"/>
    <w:rsid w:val="007C0178"/>
    <w:rsid w:val="007C065A"/>
    <w:rsid w:val="007C07AC"/>
    <w:rsid w:val="007C08A9"/>
    <w:rsid w:val="007C0F67"/>
    <w:rsid w:val="007C1632"/>
    <w:rsid w:val="007C1709"/>
    <w:rsid w:val="007C18B2"/>
    <w:rsid w:val="007C1E6B"/>
    <w:rsid w:val="007C1FFB"/>
    <w:rsid w:val="007C2717"/>
    <w:rsid w:val="007C2F22"/>
    <w:rsid w:val="007C3224"/>
    <w:rsid w:val="007C3F4A"/>
    <w:rsid w:val="007C3F6E"/>
    <w:rsid w:val="007C416A"/>
    <w:rsid w:val="007C454B"/>
    <w:rsid w:val="007C45E9"/>
    <w:rsid w:val="007C4A7F"/>
    <w:rsid w:val="007C4AC7"/>
    <w:rsid w:val="007C4D8C"/>
    <w:rsid w:val="007C5699"/>
    <w:rsid w:val="007C5D05"/>
    <w:rsid w:val="007C61EC"/>
    <w:rsid w:val="007C6259"/>
    <w:rsid w:val="007C62CB"/>
    <w:rsid w:val="007C62E9"/>
    <w:rsid w:val="007C66E5"/>
    <w:rsid w:val="007C6DE8"/>
    <w:rsid w:val="007C7009"/>
    <w:rsid w:val="007C707D"/>
    <w:rsid w:val="007C70CA"/>
    <w:rsid w:val="007C779B"/>
    <w:rsid w:val="007C77D8"/>
    <w:rsid w:val="007C7BF4"/>
    <w:rsid w:val="007C7C70"/>
    <w:rsid w:val="007D0917"/>
    <w:rsid w:val="007D096E"/>
    <w:rsid w:val="007D1025"/>
    <w:rsid w:val="007D1CA6"/>
    <w:rsid w:val="007D1CF5"/>
    <w:rsid w:val="007D2F16"/>
    <w:rsid w:val="007D350C"/>
    <w:rsid w:val="007D357B"/>
    <w:rsid w:val="007D3596"/>
    <w:rsid w:val="007D4816"/>
    <w:rsid w:val="007D4F3F"/>
    <w:rsid w:val="007D4FB2"/>
    <w:rsid w:val="007D5166"/>
    <w:rsid w:val="007D52BE"/>
    <w:rsid w:val="007D5640"/>
    <w:rsid w:val="007D5725"/>
    <w:rsid w:val="007D59DA"/>
    <w:rsid w:val="007D5B80"/>
    <w:rsid w:val="007D5CF2"/>
    <w:rsid w:val="007D62BB"/>
    <w:rsid w:val="007D6493"/>
    <w:rsid w:val="007D6F58"/>
    <w:rsid w:val="007E04A1"/>
    <w:rsid w:val="007E0BAB"/>
    <w:rsid w:val="007E0EA9"/>
    <w:rsid w:val="007E1059"/>
    <w:rsid w:val="007E11B4"/>
    <w:rsid w:val="007E14BA"/>
    <w:rsid w:val="007E15CE"/>
    <w:rsid w:val="007E1C9B"/>
    <w:rsid w:val="007E1CF6"/>
    <w:rsid w:val="007E1F71"/>
    <w:rsid w:val="007E1FC1"/>
    <w:rsid w:val="007E26E1"/>
    <w:rsid w:val="007E28A2"/>
    <w:rsid w:val="007E2BEA"/>
    <w:rsid w:val="007E2C1B"/>
    <w:rsid w:val="007E2F93"/>
    <w:rsid w:val="007E3531"/>
    <w:rsid w:val="007E3D25"/>
    <w:rsid w:val="007E3DBD"/>
    <w:rsid w:val="007E4613"/>
    <w:rsid w:val="007E4C42"/>
    <w:rsid w:val="007E4D69"/>
    <w:rsid w:val="007E50F3"/>
    <w:rsid w:val="007E55E3"/>
    <w:rsid w:val="007E6068"/>
    <w:rsid w:val="007E66A8"/>
    <w:rsid w:val="007E688F"/>
    <w:rsid w:val="007E6C35"/>
    <w:rsid w:val="007E71FD"/>
    <w:rsid w:val="007E7F1F"/>
    <w:rsid w:val="007E7F95"/>
    <w:rsid w:val="007F0351"/>
    <w:rsid w:val="007F0D5A"/>
    <w:rsid w:val="007F0FCD"/>
    <w:rsid w:val="007F212F"/>
    <w:rsid w:val="007F2ED6"/>
    <w:rsid w:val="007F3058"/>
    <w:rsid w:val="007F3134"/>
    <w:rsid w:val="007F3163"/>
    <w:rsid w:val="007F3234"/>
    <w:rsid w:val="007F3537"/>
    <w:rsid w:val="007F3C1E"/>
    <w:rsid w:val="007F4147"/>
    <w:rsid w:val="007F4230"/>
    <w:rsid w:val="007F5841"/>
    <w:rsid w:val="007F5C34"/>
    <w:rsid w:val="007F5D34"/>
    <w:rsid w:val="007F6D13"/>
    <w:rsid w:val="007F7CA4"/>
    <w:rsid w:val="00800B88"/>
    <w:rsid w:val="00800E30"/>
    <w:rsid w:val="008015F8"/>
    <w:rsid w:val="008017E8"/>
    <w:rsid w:val="00801DEB"/>
    <w:rsid w:val="008024B7"/>
    <w:rsid w:val="00802F26"/>
    <w:rsid w:val="0080300A"/>
    <w:rsid w:val="0080333D"/>
    <w:rsid w:val="0080345A"/>
    <w:rsid w:val="0080362E"/>
    <w:rsid w:val="0080365F"/>
    <w:rsid w:val="00803CC8"/>
    <w:rsid w:val="00804507"/>
    <w:rsid w:val="00804826"/>
    <w:rsid w:val="00804DC8"/>
    <w:rsid w:val="008058C0"/>
    <w:rsid w:val="00805EF4"/>
    <w:rsid w:val="00806202"/>
    <w:rsid w:val="008062F1"/>
    <w:rsid w:val="00806954"/>
    <w:rsid w:val="00806D42"/>
    <w:rsid w:val="00806FCB"/>
    <w:rsid w:val="0080761B"/>
    <w:rsid w:val="008076A7"/>
    <w:rsid w:val="00807720"/>
    <w:rsid w:val="00807B2B"/>
    <w:rsid w:val="00807E53"/>
    <w:rsid w:val="00810067"/>
    <w:rsid w:val="008101E6"/>
    <w:rsid w:val="0081050E"/>
    <w:rsid w:val="00811541"/>
    <w:rsid w:val="008116D5"/>
    <w:rsid w:val="008120BF"/>
    <w:rsid w:val="00812422"/>
    <w:rsid w:val="00812654"/>
    <w:rsid w:val="00812C7B"/>
    <w:rsid w:val="00813258"/>
    <w:rsid w:val="00813512"/>
    <w:rsid w:val="00813964"/>
    <w:rsid w:val="00813E7C"/>
    <w:rsid w:val="008142C1"/>
    <w:rsid w:val="008144B6"/>
    <w:rsid w:val="0081470A"/>
    <w:rsid w:val="00814EBD"/>
    <w:rsid w:val="008150BD"/>
    <w:rsid w:val="0081523C"/>
    <w:rsid w:val="00815672"/>
    <w:rsid w:val="00815D5B"/>
    <w:rsid w:val="00816216"/>
    <w:rsid w:val="008168A4"/>
    <w:rsid w:val="00816C5A"/>
    <w:rsid w:val="00817611"/>
    <w:rsid w:val="00817645"/>
    <w:rsid w:val="00817DDC"/>
    <w:rsid w:val="0082057E"/>
    <w:rsid w:val="00820A62"/>
    <w:rsid w:val="0082128F"/>
    <w:rsid w:val="0082193D"/>
    <w:rsid w:val="00822015"/>
    <w:rsid w:val="00822490"/>
    <w:rsid w:val="00822B4B"/>
    <w:rsid w:val="00822B9A"/>
    <w:rsid w:val="00822D2A"/>
    <w:rsid w:val="0082325B"/>
    <w:rsid w:val="00823CFC"/>
    <w:rsid w:val="00823F73"/>
    <w:rsid w:val="008241F7"/>
    <w:rsid w:val="00825928"/>
    <w:rsid w:val="00825A1D"/>
    <w:rsid w:val="00825A38"/>
    <w:rsid w:val="00825E39"/>
    <w:rsid w:val="00825E4E"/>
    <w:rsid w:val="008263A9"/>
    <w:rsid w:val="008263C9"/>
    <w:rsid w:val="008266B5"/>
    <w:rsid w:val="00826BD9"/>
    <w:rsid w:val="008272DB"/>
    <w:rsid w:val="0082782E"/>
    <w:rsid w:val="00827E70"/>
    <w:rsid w:val="00827F72"/>
    <w:rsid w:val="0083042E"/>
    <w:rsid w:val="00830785"/>
    <w:rsid w:val="0083103A"/>
    <w:rsid w:val="0083103B"/>
    <w:rsid w:val="00831288"/>
    <w:rsid w:val="00831521"/>
    <w:rsid w:val="00831B96"/>
    <w:rsid w:val="00831D65"/>
    <w:rsid w:val="0083223A"/>
    <w:rsid w:val="008322C9"/>
    <w:rsid w:val="0083272A"/>
    <w:rsid w:val="00833160"/>
    <w:rsid w:val="00833983"/>
    <w:rsid w:val="00833E38"/>
    <w:rsid w:val="00833F78"/>
    <w:rsid w:val="00834E84"/>
    <w:rsid w:val="00835048"/>
    <w:rsid w:val="008355B3"/>
    <w:rsid w:val="00835612"/>
    <w:rsid w:val="0083597C"/>
    <w:rsid w:val="00836407"/>
    <w:rsid w:val="008371B9"/>
    <w:rsid w:val="008374FB"/>
    <w:rsid w:val="00837545"/>
    <w:rsid w:val="00837F7D"/>
    <w:rsid w:val="0084001D"/>
    <w:rsid w:val="0084078A"/>
    <w:rsid w:val="00840EEF"/>
    <w:rsid w:val="0084131F"/>
    <w:rsid w:val="0084146F"/>
    <w:rsid w:val="00841505"/>
    <w:rsid w:val="008416FE"/>
    <w:rsid w:val="00841AE9"/>
    <w:rsid w:val="00841BF3"/>
    <w:rsid w:val="00841EE9"/>
    <w:rsid w:val="00842A91"/>
    <w:rsid w:val="0084316C"/>
    <w:rsid w:val="008432F7"/>
    <w:rsid w:val="00843D54"/>
    <w:rsid w:val="00843DCA"/>
    <w:rsid w:val="00844586"/>
    <w:rsid w:val="00844975"/>
    <w:rsid w:val="00844A42"/>
    <w:rsid w:val="00844B2F"/>
    <w:rsid w:val="00844BC8"/>
    <w:rsid w:val="0084503F"/>
    <w:rsid w:val="00845C28"/>
    <w:rsid w:val="00845CD4"/>
    <w:rsid w:val="00845FF8"/>
    <w:rsid w:val="0084619F"/>
    <w:rsid w:val="008466E1"/>
    <w:rsid w:val="00846ABF"/>
    <w:rsid w:val="00846FDF"/>
    <w:rsid w:val="00847678"/>
    <w:rsid w:val="00847CEA"/>
    <w:rsid w:val="00850130"/>
    <w:rsid w:val="008501CD"/>
    <w:rsid w:val="008502FD"/>
    <w:rsid w:val="00850367"/>
    <w:rsid w:val="008505EC"/>
    <w:rsid w:val="0085060C"/>
    <w:rsid w:val="008508F4"/>
    <w:rsid w:val="00850A47"/>
    <w:rsid w:val="00851655"/>
    <w:rsid w:val="00851BA1"/>
    <w:rsid w:val="00852700"/>
    <w:rsid w:val="008527CD"/>
    <w:rsid w:val="00852880"/>
    <w:rsid w:val="00852902"/>
    <w:rsid w:val="00852DE1"/>
    <w:rsid w:val="00853383"/>
    <w:rsid w:val="00853CE9"/>
    <w:rsid w:val="0085413B"/>
    <w:rsid w:val="0085423C"/>
    <w:rsid w:val="00854326"/>
    <w:rsid w:val="00854373"/>
    <w:rsid w:val="00854B62"/>
    <w:rsid w:val="00854BC9"/>
    <w:rsid w:val="00854FD3"/>
    <w:rsid w:val="008550C9"/>
    <w:rsid w:val="00855411"/>
    <w:rsid w:val="00855443"/>
    <w:rsid w:val="00855502"/>
    <w:rsid w:val="00855635"/>
    <w:rsid w:val="00855985"/>
    <w:rsid w:val="00855BC8"/>
    <w:rsid w:val="008566EF"/>
    <w:rsid w:val="0085798F"/>
    <w:rsid w:val="00860059"/>
    <w:rsid w:val="008601A7"/>
    <w:rsid w:val="00860921"/>
    <w:rsid w:val="008612D8"/>
    <w:rsid w:val="00861DA7"/>
    <w:rsid w:val="00861F88"/>
    <w:rsid w:val="008623D7"/>
    <w:rsid w:val="00862436"/>
    <w:rsid w:val="00862555"/>
    <w:rsid w:val="0086255B"/>
    <w:rsid w:val="008625E8"/>
    <w:rsid w:val="008627BF"/>
    <w:rsid w:val="00862C9B"/>
    <w:rsid w:val="0086364E"/>
    <w:rsid w:val="0086403D"/>
    <w:rsid w:val="008646D8"/>
    <w:rsid w:val="008647F6"/>
    <w:rsid w:val="0086480D"/>
    <w:rsid w:val="00864D00"/>
    <w:rsid w:val="008653C9"/>
    <w:rsid w:val="008653D7"/>
    <w:rsid w:val="00865513"/>
    <w:rsid w:val="0086583D"/>
    <w:rsid w:val="00865997"/>
    <w:rsid w:val="00866061"/>
    <w:rsid w:val="0086625E"/>
    <w:rsid w:val="008662C6"/>
    <w:rsid w:val="008662DB"/>
    <w:rsid w:val="00866555"/>
    <w:rsid w:val="00866596"/>
    <w:rsid w:val="00866860"/>
    <w:rsid w:val="008669E3"/>
    <w:rsid w:val="008669E8"/>
    <w:rsid w:val="00866B76"/>
    <w:rsid w:val="0087087A"/>
    <w:rsid w:val="008713AC"/>
    <w:rsid w:val="008714D9"/>
    <w:rsid w:val="0087192A"/>
    <w:rsid w:val="00871B04"/>
    <w:rsid w:val="00871E43"/>
    <w:rsid w:val="008721DC"/>
    <w:rsid w:val="008722D9"/>
    <w:rsid w:val="0087242D"/>
    <w:rsid w:val="008724BA"/>
    <w:rsid w:val="00872AEA"/>
    <w:rsid w:val="00872AED"/>
    <w:rsid w:val="00872C99"/>
    <w:rsid w:val="008730B0"/>
    <w:rsid w:val="008733A0"/>
    <w:rsid w:val="008734AF"/>
    <w:rsid w:val="008745C7"/>
    <w:rsid w:val="0087490B"/>
    <w:rsid w:val="00874FD9"/>
    <w:rsid w:val="008751A7"/>
    <w:rsid w:val="008751BC"/>
    <w:rsid w:val="00875992"/>
    <w:rsid w:val="00875CFA"/>
    <w:rsid w:val="00875F4E"/>
    <w:rsid w:val="00876C99"/>
    <w:rsid w:val="008772AD"/>
    <w:rsid w:val="00877657"/>
    <w:rsid w:val="00877D02"/>
    <w:rsid w:val="00877E1C"/>
    <w:rsid w:val="008812DE"/>
    <w:rsid w:val="00881A27"/>
    <w:rsid w:val="00881E68"/>
    <w:rsid w:val="0088252F"/>
    <w:rsid w:val="008826CF"/>
    <w:rsid w:val="008828CF"/>
    <w:rsid w:val="00882DFD"/>
    <w:rsid w:val="0088307D"/>
    <w:rsid w:val="008831FC"/>
    <w:rsid w:val="00883A14"/>
    <w:rsid w:val="0088425C"/>
    <w:rsid w:val="00884280"/>
    <w:rsid w:val="00884619"/>
    <w:rsid w:val="008849FF"/>
    <w:rsid w:val="00884DD2"/>
    <w:rsid w:val="008855AD"/>
    <w:rsid w:val="0088578C"/>
    <w:rsid w:val="00886320"/>
    <w:rsid w:val="00886AA1"/>
    <w:rsid w:val="00887183"/>
    <w:rsid w:val="00887ACA"/>
    <w:rsid w:val="00887CCE"/>
    <w:rsid w:val="00887DE5"/>
    <w:rsid w:val="00887FAE"/>
    <w:rsid w:val="00890327"/>
    <w:rsid w:val="00890514"/>
    <w:rsid w:val="00890786"/>
    <w:rsid w:val="008908A0"/>
    <w:rsid w:val="0089166D"/>
    <w:rsid w:val="008919D9"/>
    <w:rsid w:val="00891BAC"/>
    <w:rsid w:val="00892DFB"/>
    <w:rsid w:val="00892E2E"/>
    <w:rsid w:val="00892FB9"/>
    <w:rsid w:val="00893884"/>
    <w:rsid w:val="00893A9E"/>
    <w:rsid w:val="00893C6C"/>
    <w:rsid w:val="00893E6F"/>
    <w:rsid w:val="0089418C"/>
    <w:rsid w:val="00894903"/>
    <w:rsid w:val="00894B1D"/>
    <w:rsid w:val="00894BCC"/>
    <w:rsid w:val="00895720"/>
    <w:rsid w:val="008964F3"/>
    <w:rsid w:val="00896642"/>
    <w:rsid w:val="00897035"/>
    <w:rsid w:val="00897A3C"/>
    <w:rsid w:val="00897B86"/>
    <w:rsid w:val="00897C7E"/>
    <w:rsid w:val="008A014F"/>
    <w:rsid w:val="008A0601"/>
    <w:rsid w:val="008A087E"/>
    <w:rsid w:val="008A0A8B"/>
    <w:rsid w:val="008A0DF1"/>
    <w:rsid w:val="008A1113"/>
    <w:rsid w:val="008A11C9"/>
    <w:rsid w:val="008A14FE"/>
    <w:rsid w:val="008A1597"/>
    <w:rsid w:val="008A1B44"/>
    <w:rsid w:val="008A1C02"/>
    <w:rsid w:val="008A2213"/>
    <w:rsid w:val="008A22CC"/>
    <w:rsid w:val="008A28FA"/>
    <w:rsid w:val="008A2BA1"/>
    <w:rsid w:val="008A2BC5"/>
    <w:rsid w:val="008A2FA6"/>
    <w:rsid w:val="008A3337"/>
    <w:rsid w:val="008A3997"/>
    <w:rsid w:val="008A4348"/>
    <w:rsid w:val="008A4843"/>
    <w:rsid w:val="008A4D55"/>
    <w:rsid w:val="008A51C8"/>
    <w:rsid w:val="008A55DD"/>
    <w:rsid w:val="008A5947"/>
    <w:rsid w:val="008A5AC8"/>
    <w:rsid w:val="008A5B52"/>
    <w:rsid w:val="008A5B90"/>
    <w:rsid w:val="008A606F"/>
    <w:rsid w:val="008A63FD"/>
    <w:rsid w:val="008A6458"/>
    <w:rsid w:val="008A657C"/>
    <w:rsid w:val="008A6752"/>
    <w:rsid w:val="008A6C85"/>
    <w:rsid w:val="008A6E97"/>
    <w:rsid w:val="008A7532"/>
    <w:rsid w:val="008A7561"/>
    <w:rsid w:val="008A7A22"/>
    <w:rsid w:val="008B01F0"/>
    <w:rsid w:val="008B020D"/>
    <w:rsid w:val="008B0289"/>
    <w:rsid w:val="008B04BB"/>
    <w:rsid w:val="008B05DC"/>
    <w:rsid w:val="008B07CF"/>
    <w:rsid w:val="008B0B37"/>
    <w:rsid w:val="008B0DC8"/>
    <w:rsid w:val="008B0E18"/>
    <w:rsid w:val="008B121E"/>
    <w:rsid w:val="008B122E"/>
    <w:rsid w:val="008B15BA"/>
    <w:rsid w:val="008B1601"/>
    <w:rsid w:val="008B164D"/>
    <w:rsid w:val="008B18A3"/>
    <w:rsid w:val="008B223F"/>
    <w:rsid w:val="008B2850"/>
    <w:rsid w:val="008B28AC"/>
    <w:rsid w:val="008B2D4D"/>
    <w:rsid w:val="008B2FD0"/>
    <w:rsid w:val="008B32EF"/>
    <w:rsid w:val="008B346D"/>
    <w:rsid w:val="008B3A1B"/>
    <w:rsid w:val="008B3BB2"/>
    <w:rsid w:val="008B3C63"/>
    <w:rsid w:val="008B410D"/>
    <w:rsid w:val="008B4335"/>
    <w:rsid w:val="008B4472"/>
    <w:rsid w:val="008B469E"/>
    <w:rsid w:val="008B495E"/>
    <w:rsid w:val="008B54D7"/>
    <w:rsid w:val="008B6221"/>
    <w:rsid w:val="008B6546"/>
    <w:rsid w:val="008B65A5"/>
    <w:rsid w:val="008B6D0A"/>
    <w:rsid w:val="008B6D39"/>
    <w:rsid w:val="008B6D51"/>
    <w:rsid w:val="008B70A0"/>
    <w:rsid w:val="008B718B"/>
    <w:rsid w:val="008B729D"/>
    <w:rsid w:val="008B76BA"/>
    <w:rsid w:val="008B7896"/>
    <w:rsid w:val="008C0651"/>
    <w:rsid w:val="008C0A1A"/>
    <w:rsid w:val="008C111C"/>
    <w:rsid w:val="008C14D0"/>
    <w:rsid w:val="008C2E16"/>
    <w:rsid w:val="008C37F0"/>
    <w:rsid w:val="008C4EEC"/>
    <w:rsid w:val="008C556C"/>
    <w:rsid w:val="008C570F"/>
    <w:rsid w:val="008C5E2F"/>
    <w:rsid w:val="008C68CA"/>
    <w:rsid w:val="008C6D2B"/>
    <w:rsid w:val="008C6E48"/>
    <w:rsid w:val="008C6FE9"/>
    <w:rsid w:val="008C7D5B"/>
    <w:rsid w:val="008D00EA"/>
    <w:rsid w:val="008D0379"/>
    <w:rsid w:val="008D0662"/>
    <w:rsid w:val="008D091B"/>
    <w:rsid w:val="008D1273"/>
    <w:rsid w:val="008D13E6"/>
    <w:rsid w:val="008D1521"/>
    <w:rsid w:val="008D18F4"/>
    <w:rsid w:val="008D1E89"/>
    <w:rsid w:val="008D22B8"/>
    <w:rsid w:val="008D2A54"/>
    <w:rsid w:val="008D2A6C"/>
    <w:rsid w:val="008D2DD7"/>
    <w:rsid w:val="008D3A99"/>
    <w:rsid w:val="008D3C7D"/>
    <w:rsid w:val="008D4115"/>
    <w:rsid w:val="008D4923"/>
    <w:rsid w:val="008D53C9"/>
    <w:rsid w:val="008D562A"/>
    <w:rsid w:val="008D5679"/>
    <w:rsid w:val="008D5725"/>
    <w:rsid w:val="008D58A3"/>
    <w:rsid w:val="008D5A54"/>
    <w:rsid w:val="008D5BD2"/>
    <w:rsid w:val="008D64E5"/>
    <w:rsid w:val="008D724C"/>
    <w:rsid w:val="008D7845"/>
    <w:rsid w:val="008D7C97"/>
    <w:rsid w:val="008D7DA8"/>
    <w:rsid w:val="008E03B4"/>
    <w:rsid w:val="008E0DED"/>
    <w:rsid w:val="008E0E5A"/>
    <w:rsid w:val="008E1397"/>
    <w:rsid w:val="008E24CC"/>
    <w:rsid w:val="008E263D"/>
    <w:rsid w:val="008E2C1B"/>
    <w:rsid w:val="008E2CBC"/>
    <w:rsid w:val="008E3062"/>
    <w:rsid w:val="008E344F"/>
    <w:rsid w:val="008E347E"/>
    <w:rsid w:val="008E372F"/>
    <w:rsid w:val="008E3815"/>
    <w:rsid w:val="008E3F3E"/>
    <w:rsid w:val="008E49C2"/>
    <w:rsid w:val="008E4A6E"/>
    <w:rsid w:val="008E4BBE"/>
    <w:rsid w:val="008E4F26"/>
    <w:rsid w:val="008E503C"/>
    <w:rsid w:val="008E544D"/>
    <w:rsid w:val="008E5502"/>
    <w:rsid w:val="008E5F7B"/>
    <w:rsid w:val="008E70B9"/>
    <w:rsid w:val="008E7687"/>
    <w:rsid w:val="008E7AD6"/>
    <w:rsid w:val="008F00AF"/>
    <w:rsid w:val="008F0744"/>
    <w:rsid w:val="008F1057"/>
    <w:rsid w:val="008F13EB"/>
    <w:rsid w:val="008F1BE4"/>
    <w:rsid w:val="008F1F54"/>
    <w:rsid w:val="008F23BF"/>
    <w:rsid w:val="008F27D1"/>
    <w:rsid w:val="008F2C31"/>
    <w:rsid w:val="008F2CD5"/>
    <w:rsid w:val="008F32BE"/>
    <w:rsid w:val="008F345C"/>
    <w:rsid w:val="008F4437"/>
    <w:rsid w:val="008F47B7"/>
    <w:rsid w:val="008F577B"/>
    <w:rsid w:val="008F59F1"/>
    <w:rsid w:val="008F5ACD"/>
    <w:rsid w:val="008F5F0D"/>
    <w:rsid w:val="008F6262"/>
    <w:rsid w:val="008F6371"/>
    <w:rsid w:val="008F6D9B"/>
    <w:rsid w:val="008F7A6B"/>
    <w:rsid w:val="008F7B5F"/>
    <w:rsid w:val="008F7BCD"/>
    <w:rsid w:val="008F7F33"/>
    <w:rsid w:val="009000DA"/>
    <w:rsid w:val="00900EB8"/>
    <w:rsid w:val="0090104F"/>
    <w:rsid w:val="00901142"/>
    <w:rsid w:val="009011D8"/>
    <w:rsid w:val="00901393"/>
    <w:rsid w:val="00901AE2"/>
    <w:rsid w:val="00901D29"/>
    <w:rsid w:val="00901E18"/>
    <w:rsid w:val="00902046"/>
    <w:rsid w:val="0090248A"/>
    <w:rsid w:val="00902CDB"/>
    <w:rsid w:val="00902EE8"/>
    <w:rsid w:val="00902F84"/>
    <w:rsid w:val="00903819"/>
    <w:rsid w:val="00903F2E"/>
    <w:rsid w:val="009040EC"/>
    <w:rsid w:val="0090420E"/>
    <w:rsid w:val="009043F6"/>
    <w:rsid w:val="00904419"/>
    <w:rsid w:val="009045BF"/>
    <w:rsid w:val="0090486F"/>
    <w:rsid w:val="00904A26"/>
    <w:rsid w:val="00904E71"/>
    <w:rsid w:val="00905337"/>
    <w:rsid w:val="0090542A"/>
    <w:rsid w:val="00905525"/>
    <w:rsid w:val="00905616"/>
    <w:rsid w:val="009058BA"/>
    <w:rsid w:val="0090599A"/>
    <w:rsid w:val="00905F4D"/>
    <w:rsid w:val="009062D3"/>
    <w:rsid w:val="009067F7"/>
    <w:rsid w:val="0090683E"/>
    <w:rsid w:val="00906A56"/>
    <w:rsid w:val="009074F0"/>
    <w:rsid w:val="00907ADE"/>
    <w:rsid w:val="00907FEE"/>
    <w:rsid w:val="009108DD"/>
    <w:rsid w:val="00910931"/>
    <w:rsid w:val="00910DC3"/>
    <w:rsid w:val="00911621"/>
    <w:rsid w:val="0091199C"/>
    <w:rsid w:val="00911BC6"/>
    <w:rsid w:val="00911DD2"/>
    <w:rsid w:val="00912012"/>
    <w:rsid w:val="00912168"/>
    <w:rsid w:val="0091270E"/>
    <w:rsid w:val="00912C14"/>
    <w:rsid w:val="00912F57"/>
    <w:rsid w:val="00913326"/>
    <w:rsid w:val="00913354"/>
    <w:rsid w:val="0091339B"/>
    <w:rsid w:val="00913578"/>
    <w:rsid w:val="0091385F"/>
    <w:rsid w:val="00913F3E"/>
    <w:rsid w:val="0091405D"/>
    <w:rsid w:val="009145C5"/>
    <w:rsid w:val="00914742"/>
    <w:rsid w:val="00914CD9"/>
    <w:rsid w:val="0091575E"/>
    <w:rsid w:val="009158BE"/>
    <w:rsid w:val="00915C00"/>
    <w:rsid w:val="0091614D"/>
    <w:rsid w:val="009166CB"/>
    <w:rsid w:val="00916D1A"/>
    <w:rsid w:val="00916FB6"/>
    <w:rsid w:val="0091705E"/>
    <w:rsid w:val="009170D4"/>
    <w:rsid w:val="00917400"/>
    <w:rsid w:val="009177AD"/>
    <w:rsid w:val="00917999"/>
    <w:rsid w:val="00917AB2"/>
    <w:rsid w:val="009202C7"/>
    <w:rsid w:val="0092104A"/>
    <w:rsid w:val="009212CD"/>
    <w:rsid w:val="00921DAD"/>
    <w:rsid w:val="00921FE8"/>
    <w:rsid w:val="00922005"/>
    <w:rsid w:val="009220DB"/>
    <w:rsid w:val="0092243E"/>
    <w:rsid w:val="00922622"/>
    <w:rsid w:val="00922A23"/>
    <w:rsid w:val="00922B7C"/>
    <w:rsid w:val="00922F25"/>
    <w:rsid w:val="0092385C"/>
    <w:rsid w:val="00923FAE"/>
    <w:rsid w:val="009241B5"/>
    <w:rsid w:val="00924260"/>
    <w:rsid w:val="00924502"/>
    <w:rsid w:val="009245D3"/>
    <w:rsid w:val="009254AB"/>
    <w:rsid w:val="009255CE"/>
    <w:rsid w:val="009260CA"/>
    <w:rsid w:val="009267A6"/>
    <w:rsid w:val="00927037"/>
    <w:rsid w:val="00927190"/>
    <w:rsid w:val="00927230"/>
    <w:rsid w:val="00927673"/>
    <w:rsid w:val="00927904"/>
    <w:rsid w:val="00930430"/>
    <w:rsid w:val="00930748"/>
    <w:rsid w:val="00930841"/>
    <w:rsid w:val="00931E92"/>
    <w:rsid w:val="00932778"/>
    <w:rsid w:val="00933030"/>
    <w:rsid w:val="009330C1"/>
    <w:rsid w:val="0093348B"/>
    <w:rsid w:val="00933889"/>
    <w:rsid w:val="00933CFF"/>
    <w:rsid w:val="00934914"/>
    <w:rsid w:val="00934A4C"/>
    <w:rsid w:val="00935A1B"/>
    <w:rsid w:val="00935A1F"/>
    <w:rsid w:val="00935A38"/>
    <w:rsid w:val="00935B9F"/>
    <w:rsid w:val="00935E3D"/>
    <w:rsid w:val="0093616C"/>
    <w:rsid w:val="0093657E"/>
    <w:rsid w:val="0093696D"/>
    <w:rsid w:val="00937358"/>
    <w:rsid w:val="00937647"/>
    <w:rsid w:val="0093787B"/>
    <w:rsid w:val="00940631"/>
    <w:rsid w:val="00940788"/>
    <w:rsid w:val="00940FCA"/>
    <w:rsid w:val="00941216"/>
    <w:rsid w:val="009413BE"/>
    <w:rsid w:val="0094180C"/>
    <w:rsid w:val="00942091"/>
    <w:rsid w:val="00942356"/>
    <w:rsid w:val="009425EE"/>
    <w:rsid w:val="00943629"/>
    <w:rsid w:val="00944184"/>
    <w:rsid w:val="00944928"/>
    <w:rsid w:val="00944A9B"/>
    <w:rsid w:val="00944F9B"/>
    <w:rsid w:val="0094516F"/>
    <w:rsid w:val="009451DE"/>
    <w:rsid w:val="00945315"/>
    <w:rsid w:val="00945712"/>
    <w:rsid w:val="00945C61"/>
    <w:rsid w:val="00945FE7"/>
    <w:rsid w:val="00946009"/>
    <w:rsid w:val="00946506"/>
    <w:rsid w:val="0095060C"/>
    <w:rsid w:val="009508DD"/>
    <w:rsid w:val="00950C74"/>
    <w:rsid w:val="00950E99"/>
    <w:rsid w:val="009511A9"/>
    <w:rsid w:val="009512A0"/>
    <w:rsid w:val="009514BA"/>
    <w:rsid w:val="0095161C"/>
    <w:rsid w:val="00951E8F"/>
    <w:rsid w:val="00952926"/>
    <w:rsid w:val="00952D82"/>
    <w:rsid w:val="00952E84"/>
    <w:rsid w:val="00953036"/>
    <w:rsid w:val="00953268"/>
    <w:rsid w:val="00953460"/>
    <w:rsid w:val="00953D58"/>
    <w:rsid w:val="00955079"/>
    <w:rsid w:val="00955458"/>
    <w:rsid w:val="00955481"/>
    <w:rsid w:val="009554C7"/>
    <w:rsid w:val="009557EE"/>
    <w:rsid w:val="00955EC5"/>
    <w:rsid w:val="009561DC"/>
    <w:rsid w:val="009564DE"/>
    <w:rsid w:val="009566DE"/>
    <w:rsid w:val="00956D19"/>
    <w:rsid w:val="00957756"/>
    <w:rsid w:val="0095778B"/>
    <w:rsid w:val="009612A1"/>
    <w:rsid w:val="009614DF"/>
    <w:rsid w:val="00961D41"/>
    <w:rsid w:val="009623D0"/>
    <w:rsid w:val="009626E1"/>
    <w:rsid w:val="00962AF9"/>
    <w:rsid w:val="00962D0A"/>
    <w:rsid w:val="009632A4"/>
    <w:rsid w:val="00963A33"/>
    <w:rsid w:val="00963F73"/>
    <w:rsid w:val="009642AC"/>
    <w:rsid w:val="0096448F"/>
    <w:rsid w:val="00964564"/>
    <w:rsid w:val="00964782"/>
    <w:rsid w:val="00965993"/>
    <w:rsid w:val="009661D2"/>
    <w:rsid w:val="0096654A"/>
    <w:rsid w:val="0096669C"/>
    <w:rsid w:val="009667B5"/>
    <w:rsid w:val="00966905"/>
    <w:rsid w:val="00966BE3"/>
    <w:rsid w:val="0096707E"/>
    <w:rsid w:val="0096751F"/>
    <w:rsid w:val="00967B25"/>
    <w:rsid w:val="00970648"/>
    <w:rsid w:val="00970A28"/>
    <w:rsid w:val="009716DD"/>
    <w:rsid w:val="0097190C"/>
    <w:rsid w:val="00972224"/>
    <w:rsid w:val="00972721"/>
    <w:rsid w:val="009730C2"/>
    <w:rsid w:val="0097316B"/>
    <w:rsid w:val="00973191"/>
    <w:rsid w:val="00973B64"/>
    <w:rsid w:val="00973C43"/>
    <w:rsid w:val="00974928"/>
    <w:rsid w:val="00974B1F"/>
    <w:rsid w:val="009752C9"/>
    <w:rsid w:val="009752DB"/>
    <w:rsid w:val="0097605E"/>
    <w:rsid w:val="00976D96"/>
    <w:rsid w:val="009774F2"/>
    <w:rsid w:val="0097775B"/>
    <w:rsid w:val="00977B74"/>
    <w:rsid w:val="00977E36"/>
    <w:rsid w:val="00980750"/>
    <w:rsid w:val="0098087E"/>
    <w:rsid w:val="00980B8B"/>
    <w:rsid w:val="00980BD0"/>
    <w:rsid w:val="00981821"/>
    <w:rsid w:val="009818B8"/>
    <w:rsid w:val="009825C4"/>
    <w:rsid w:val="00983072"/>
    <w:rsid w:val="00983365"/>
    <w:rsid w:val="009833C9"/>
    <w:rsid w:val="0098369D"/>
    <w:rsid w:val="00984230"/>
    <w:rsid w:val="00984283"/>
    <w:rsid w:val="009842F2"/>
    <w:rsid w:val="009852C1"/>
    <w:rsid w:val="00985925"/>
    <w:rsid w:val="009863C6"/>
    <w:rsid w:val="009863FA"/>
    <w:rsid w:val="009865B4"/>
    <w:rsid w:val="00986BCE"/>
    <w:rsid w:val="00986C49"/>
    <w:rsid w:val="00986CD7"/>
    <w:rsid w:val="009877FB"/>
    <w:rsid w:val="00987BCF"/>
    <w:rsid w:val="00990887"/>
    <w:rsid w:val="00991012"/>
    <w:rsid w:val="00991022"/>
    <w:rsid w:val="009913A2"/>
    <w:rsid w:val="00991597"/>
    <w:rsid w:val="00991B71"/>
    <w:rsid w:val="0099212F"/>
    <w:rsid w:val="00992AC4"/>
    <w:rsid w:val="00992ED0"/>
    <w:rsid w:val="0099370E"/>
    <w:rsid w:val="00993858"/>
    <w:rsid w:val="00993B8A"/>
    <w:rsid w:val="00993C3B"/>
    <w:rsid w:val="00993FE7"/>
    <w:rsid w:val="00994350"/>
    <w:rsid w:val="00994C94"/>
    <w:rsid w:val="00994CF8"/>
    <w:rsid w:val="00994FF0"/>
    <w:rsid w:val="0099506A"/>
    <w:rsid w:val="009950CE"/>
    <w:rsid w:val="00995485"/>
    <w:rsid w:val="009958F4"/>
    <w:rsid w:val="00995B17"/>
    <w:rsid w:val="00995C6B"/>
    <w:rsid w:val="00995F45"/>
    <w:rsid w:val="009964F2"/>
    <w:rsid w:val="00996564"/>
    <w:rsid w:val="009968CF"/>
    <w:rsid w:val="00996A2A"/>
    <w:rsid w:val="009A0016"/>
    <w:rsid w:val="009A0126"/>
    <w:rsid w:val="009A055F"/>
    <w:rsid w:val="009A1004"/>
    <w:rsid w:val="009A17DF"/>
    <w:rsid w:val="009A187C"/>
    <w:rsid w:val="009A1B1F"/>
    <w:rsid w:val="009A1EDF"/>
    <w:rsid w:val="009A1FBA"/>
    <w:rsid w:val="009A1FCF"/>
    <w:rsid w:val="009A2076"/>
    <w:rsid w:val="009A2DC7"/>
    <w:rsid w:val="009A3021"/>
    <w:rsid w:val="009A3486"/>
    <w:rsid w:val="009A34F1"/>
    <w:rsid w:val="009A374E"/>
    <w:rsid w:val="009A4045"/>
    <w:rsid w:val="009A486B"/>
    <w:rsid w:val="009A48E2"/>
    <w:rsid w:val="009A5075"/>
    <w:rsid w:val="009A54A5"/>
    <w:rsid w:val="009A58F8"/>
    <w:rsid w:val="009A5ABF"/>
    <w:rsid w:val="009A5B39"/>
    <w:rsid w:val="009A5E8F"/>
    <w:rsid w:val="009A6083"/>
    <w:rsid w:val="009A6362"/>
    <w:rsid w:val="009A6AF0"/>
    <w:rsid w:val="009A7664"/>
    <w:rsid w:val="009A77F4"/>
    <w:rsid w:val="009A7F41"/>
    <w:rsid w:val="009A7FC5"/>
    <w:rsid w:val="009B03E7"/>
    <w:rsid w:val="009B0627"/>
    <w:rsid w:val="009B09C2"/>
    <w:rsid w:val="009B0AE0"/>
    <w:rsid w:val="009B156B"/>
    <w:rsid w:val="009B16CA"/>
    <w:rsid w:val="009B1B09"/>
    <w:rsid w:val="009B1F90"/>
    <w:rsid w:val="009B22C9"/>
    <w:rsid w:val="009B36AF"/>
    <w:rsid w:val="009B379A"/>
    <w:rsid w:val="009B4072"/>
    <w:rsid w:val="009B40C4"/>
    <w:rsid w:val="009B4173"/>
    <w:rsid w:val="009B4C40"/>
    <w:rsid w:val="009B4D84"/>
    <w:rsid w:val="009B51D8"/>
    <w:rsid w:val="009B5682"/>
    <w:rsid w:val="009B5E37"/>
    <w:rsid w:val="009B5F09"/>
    <w:rsid w:val="009B5F6B"/>
    <w:rsid w:val="009B60B3"/>
    <w:rsid w:val="009B6192"/>
    <w:rsid w:val="009B61A5"/>
    <w:rsid w:val="009B68A6"/>
    <w:rsid w:val="009B6E8F"/>
    <w:rsid w:val="009B6E96"/>
    <w:rsid w:val="009B708B"/>
    <w:rsid w:val="009B724B"/>
    <w:rsid w:val="009B779B"/>
    <w:rsid w:val="009C04B9"/>
    <w:rsid w:val="009C078B"/>
    <w:rsid w:val="009C0D58"/>
    <w:rsid w:val="009C115C"/>
    <w:rsid w:val="009C1A62"/>
    <w:rsid w:val="009C1DFA"/>
    <w:rsid w:val="009C23B7"/>
    <w:rsid w:val="009C3697"/>
    <w:rsid w:val="009C3FE7"/>
    <w:rsid w:val="009C43B8"/>
    <w:rsid w:val="009C4663"/>
    <w:rsid w:val="009C51CF"/>
    <w:rsid w:val="009C5585"/>
    <w:rsid w:val="009C6ED6"/>
    <w:rsid w:val="009C6FEA"/>
    <w:rsid w:val="009C7312"/>
    <w:rsid w:val="009C7492"/>
    <w:rsid w:val="009C7715"/>
    <w:rsid w:val="009C78AD"/>
    <w:rsid w:val="009C7C27"/>
    <w:rsid w:val="009D14AA"/>
    <w:rsid w:val="009D16B9"/>
    <w:rsid w:val="009D1F1A"/>
    <w:rsid w:val="009D23EC"/>
    <w:rsid w:val="009D240E"/>
    <w:rsid w:val="009D2BAA"/>
    <w:rsid w:val="009D2C5B"/>
    <w:rsid w:val="009D2D55"/>
    <w:rsid w:val="009D31F2"/>
    <w:rsid w:val="009D3306"/>
    <w:rsid w:val="009D374E"/>
    <w:rsid w:val="009D456D"/>
    <w:rsid w:val="009D470B"/>
    <w:rsid w:val="009D48D3"/>
    <w:rsid w:val="009D4957"/>
    <w:rsid w:val="009D52E5"/>
    <w:rsid w:val="009D5583"/>
    <w:rsid w:val="009D5905"/>
    <w:rsid w:val="009D5F0D"/>
    <w:rsid w:val="009D5F32"/>
    <w:rsid w:val="009D6161"/>
    <w:rsid w:val="009D63C1"/>
    <w:rsid w:val="009D648F"/>
    <w:rsid w:val="009D66B0"/>
    <w:rsid w:val="009D67FF"/>
    <w:rsid w:val="009D6BF3"/>
    <w:rsid w:val="009D7876"/>
    <w:rsid w:val="009D78E7"/>
    <w:rsid w:val="009D7BBA"/>
    <w:rsid w:val="009D7D11"/>
    <w:rsid w:val="009E068E"/>
    <w:rsid w:val="009E0BB8"/>
    <w:rsid w:val="009E0D53"/>
    <w:rsid w:val="009E13A2"/>
    <w:rsid w:val="009E1F7F"/>
    <w:rsid w:val="009E24E9"/>
    <w:rsid w:val="009E3164"/>
    <w:rsid w:val="009E33CD"/>
    <w:rsid w:val="009E3A3D"/>
    <w:rsid w:val="009E3FA0"/>
    <w:rsid w:val="009E559A"/>
    <w:rsid w:val="009E5B2C"/>
    <w:rsid w:val="009E5F7E"/>
    <w:rsid w:val="009E6C8D"/>
    <w:rsid w:val="009E7097"/>
    <w:rsid w:val="009E7311"/>
    <w:rsid w:val="009E7F56"/>
    <w:rsid w:val="009F010A"/>
    <w:rsid w:val="009F0309"/>
    <w:rsid w:val="009F0988"/>
    <w:rsid w:val="009F0A7F"/>
    <w:rsid w:val="009F0E53"/>
    <w:rsid w:val="009F10AC"/>
    <w:rsid w:val="009F192E"/>
    <w:rsid w:val="009F2191"/>
    <w:rsid w:val="009F2265"/>
    <w:rsid w:val="009F2422"/>
    <w:rsid w:val="009F2AC4"/>
    <w:rsid w:val="009F3012"/>
    <w:rsid w:val="009F32FF"/>
    <w:rsid w:val="009F3301"/>
    <w:rsid w:val="009F341F"/>
    <w:rsid w:val="009F3765"/>
    <w:rsid w:val="009F4875"/>
    <w:rsid w:val="009F48C5"/>
    <w:rsid w:val="009F4C00"/>
    <w:rsid w:val="009F535A"/>
    <w:rsid w:val="009F584F"/>
    <w:rsid w:val="009F63F8"/>
    <w:rsid w:val="009F70D0"/>
    <w:rsid w:val="009F7441"/>
    <w:rsid w:val="009F7475"/>
    <w:rsid w:val="009F75D7"/>
    <w:rsid w:val="009F7A29"/>
    <w:rsid w:val="009F7B35"/>
    <w:rsid w:val="00A0003F"/>
    <w:rsid w:val="00A0059E"/>
    <w:rsid w:val="00A005A5"/>
    <w:rsid w:val="00A00CE8"/>
    <w:rsid w:val="00A00FBF"/>
    <w:rsid w:val="00A0112F"/>
    <w:rsid w:val="00A01255"/>
    <w:rsid w:val="00A013A2"/>
    <w:rsid w:val="00A0154A"/>
    <w:rsid w:val="00A01F93"/>
    <w:rsid w:val="00A01FE0"/>
    <w:rsid w:val="00A01FE2"/>
    <w:rsid w:val="00A022DC"/>
    <w:rsid w:val="00A02537"/>
    <w:rsid w:val="00A0267E"/>
    <w:rsid w:val="00A02825"/>
    <w:rsid w:val="00A02C47"/>
    <w:rsid w:val="00A02F2C"/>
    <w:rsid w:val="00A0305B"/>
    <w:rsid w:val="00A031FA"/>
    <w:rsid w:val="00A03923"/>
    <w:rsid w:val="00A040C4"/>
    <w:rsid w:val="00A0417E"/>
    <w:rsid w:val="00A04299"/>
    <w:rsid w:val="00A042E3"/>
    <w:rsid w:val="00A04812"/>
    <w:rsid w:val="00A04E49"/>
    <w:rsid w:val="00A056EE"/>
    <w:rsid w:val="00A05C28"/>
    <w:rsid w:val="00A05CE0"/>
    <w:rsid w:val="00A05D2B"/>
    <w:rsid w:val="00A05DAA"/>
    <w:rsid w:val="00A06000"/>
    <w:rsid w:val="00A064C9"/>
    <w:rsid w:val="00A066F9"/>
    <w:rsid w:val="00A07044"/>
    <w:rsid w:val="00A075B3"/>
    <w:rsid w:val="00A0799D"/>
    <w:rsid w:val="00A101CE"/>
    <w:rsid w:val="00A102A0"/>
    <w:rsid w:val="00A1040F"/>
    <w:rsid w:val="00A10468"/>
    <w:rsid w:val="00A108BB"/>
    <w:rsid w:val="00A10A36"/>
    <w:rsid w:val="00A10A5F"/>
    <w:rsid w:val="00A10C18"/>
    <w:rsid w:val="00A1111A"/>
    <w:rsid w:val="00A1141F"/>
    <w:rsid w:val="00A11426"/>
    <w:rsid w:val="00A11463"/>
    <w:rsid w:val="00A118D2"/>
    <w:rsid w:val="00A11930"/>
    <w:rsid w:val="00A11AD5"/>
    <w:rsid w:val="00A11E24"/>
    <w:rsid w:val="00A12493"/>
    <w:rsid w:val="00A12CF6"/>
    <w:rsid w:val="00A1362D"/>
    <w:rsid w:val="00A136F5"/>
    <w:rsid w:val="00A13A5A"/>
    <w:rsid w:val="00A13D37"/>
    <w:rsid w:val="00A1543D"/>
    <w:rsid w:val="00A154EE"/>
    <w:rsid w:val="00A155D4"/>
    <w:rsid w:val="00A155E8"/>
    <w:rsid w:val="00A1594F"/>
    <w:rsid w:val="00A15C6D"/>
    <w:rsid w:val="00A16894"/>
    <w:rsid w:val="00A171EC"/>
    <w:rsid w:val="00A172B7"/>
    <w:rsid w:val="00A17393"/>
    <w:rsid w:val="00A1762D"/>
    <w:rsid w:val="00A17718"/>
    <w:rsid w:val="00A208D6"/>
    <w:rsid w:val="00A213E6"/>
    <w:rsid w:val="00A218EC"/>
    <w:rsid w:val="00A21992"/>
    <w:rsid w:val="00A21AE4"/>
    <w:rsid w:val="00A21C17"/>
    <w:rsid w:val="00A21CC6"/>
    <w:rsid w:val="00A227D1"/>
    <w:rsid w:val="00A22BCB"/>
    <w:rsid w:val="00A22CF7"/>
    <w:rsid w:val="00A22D0E"/>
    <w:rsid w:val="00A22E6B"/>
    <w:rsid w:val="00A235E2"/>
    <w:rsid w:val="00A23698"/>
    <w:rsid w:val="00A23FDC"/>
    <w:rsid w:val="00A2477C"/>
    <w:rsid w:val="00A24BAF"/>
    <w:rsid w:val="00A24DE4"/>
    <w:rsid w:val="00A24EFE"/>
    <w:rsid w:val="00A24F9A"/>
    <w:rsid w:val="00A25626"/>
    <w:rsid w:val="00A256B2"/>
    <w:rsid w:val="00A25C32"/>
    <w:rsid w:val="00A26201"/>
    <w:rsid w:val="00A26CE2"/>
    <w:rsid w:val="00A26EB1"/>
    <w:rsid w:val="00A2717F"/>
    <w:rsid w:val="00A2720A"/>
    <w:rsid w:val="00A274A8"/>
    <w:rsid w:val="00A2751D"/>
    <w:rsid w:val="00A27A86"/>
    <w:rsid w:val="00A30126"/>
    <w:rsid w:val="00A302F9"/>
    <w:rsid w:val="00A304C0"/>
    <w:rsid w:val="00A30627"/>
    <w:rsid w:val="00A30B98"/>
    <w:rsid w:val="00A30F77"/>
    <w:rsid w:val="00A3119B"/>
    <w:rsid w:val="00A31966"/>
    <w:rsid w:val="00A31C04"/>
    <w:rsid w:val="00A32650"/>
    <w:rsid w:val="00A32932"/>
    <w:rsid w:val="00A32A5C"/>
    <w:rsid w:val="00A32AAB"/>
    <w:rsid w:val="00A3301E"/>
    <w:rsid w:val="00A3312A"/>
    <w:rsid w:val="00A331AA"/>
    <w:rsid w:val="00A334BF"/>
    <w:rsid w:val="00A336E2"/>
    <w:rsid w:val="00A33852"/>
    <w:rsid w:val="00A3403C"/>
    <w:rsid w:val="00A34114"/>
    <w:rsid w:val="00A342F7"/>
    <w:rsid w:val="00A3477B"/>
    <w:rsid w:val="00A34A59"/>
    <w:rsid w:val="00A35151"/>
    <w:rsid w:val="00A35756"/>
    <w:rsid w:val="00A35E40"/>
    <w:rsid w:val="00A364C6"/>
    <w:rsid w:val="00A368A9"/>
    <w:rsid w:val="00A36E61"/>
    <w:rsid w:val="00A36E93"/>
    <w:rsid w:val="00A370C0"/>
    <w:rsid w:val="00A37551"/>
    <w:rsid w:val="00A40A19"/>
    <w:rsid w:val="00A40C78"/>
    <w:rsid w:val="00A40E5D"/>
    <w:rsid w:val="00A4107C"/>
    <w:rsid w:val="00A418FB"/>
    <w:rsid w:val="00A41945"/>
    <w:rsid w:val="00A41DB2"/>
    <w:rsid w:val="00A42119"/>
    <w:rsid w:val="00A42A1A"/>
    <w:rsid w:val="00A43051"/>
    <w:rsid w:val="00A436AC"/>
    <w:rsid w:val="00A43EC3"/>
    <w:rsid w:val="00A448C8"/>
    <w:rsid w:val="00A44FC5"/>
    <w:rsid w:val="00A45076"/>
    <w:rsid w:val="00A45227"/>
    <w:rsid w:val="00A456B0"/>
    <w:rsid w:val="00A457FF"/>
    <w:rsid w:val="00A45854"/>
    <w:rsid w:val="00A45997"/>
    <w:rsid w:val="00A45C48"/>
    <w:rsid w:val="00A45CAF"/>
    <w:rsid w:val="00A45E00"/>
    <w:rsid w:val="00A4650D"/>
    <w:rsid w:val="00A4671F"/>
    <w:rsid w:val="00A46B66"/>
    <w:rsid w:val="00A46E4C"/>
    <w:rsid w:val="00A46F67"/>
    <w:rsid w:val="00A475E2"/>
    <w:rsid w:val="00A4795D"/>
    <w:rsid w:val="00A47A42"/>
    <w:rsid w:val="00A50151"/>
    <w:rsid w:val="00A501D1"/>
    <w:rsid w:val="00A5082B"/>
    <w:rsid w:val="00A50959"/>
    <w:rsid w:val="00A5148F"/>
    <w:rsid w:val="00A51504"/>
    <w:rsid w:val="00A5163A"/>
    <w:rsid w:val="00A51E35"/>
    <w:rsid w:val="00A52115"/>
    <w:rsid w:val="00A52170"/>
    <w:rsid w:val="00A53138"/>
    <w:rsid w:val="00A5327A"/>
    <w:rsid w:val="00A53B57"/>
    <w:rsid w:val="00A5434C"/>
    <w:rsid w:val="00A545E0"/>
    <w:rsid w:val="00A54E37"/>
    <w:rsid w:val="00A54F96"/>
    <w:rsid w:val="00A54FBF"/>
    <w:rsid w:val="00A55307"/>
    <w:rsid w:val="00A555D1"/>
    <w:rsid w:val="00A55780"/>
    <w:rsid w:val="00A55EA5"/>
    <w:rsid w:val="00A5602A"/>
    <w:rsid w:val="00A57171"/>
    <w:rsid w:val="00A575D1"/>
    <w:rsid w:val="00A57B45"/>
    <w:rsid w:val="00A57C22"/>
    <w:rsid w:val="00A57CAD"/>
    <w:rsid w:val="00A57DFA"/>
    <w:rsid w:val="00A60CBA"/>
    <w:rsid w:val="00A60E22"/>
    <w:rsid w:val="00A616AA"/>
    <w:rsid w:val="00A617AA"/>
    <w:rsid w:val="00A622F9"/>
    <w:rsid w:val="00A624B5"/>
    <w:rsid w:val="00A62E16"/>
    <w:rsid w:val="00A630DB"/>
    <w:rsid w:val="00A63467"/>
    <w:rsid w:val="00A63693"/>
    <w:rsid w:val="00A636F2"/>
    <w:rsid w:val="00A639EC"/>
    <w:rsid w:val="00A643C1"/>
    <w:rsid w:val="00A645B2"/>
    <w:rsid w:val="00A645C9"/>
    <w:rsid w:val="00A6501C"/>
    <w:rsid w:val="00A65089"/>
    <w:rsid w:val="00A650F3"/>
    <w:rsid w:val="00A65138"/>
    <w:rsid w:val="00A652E8"/>
    <w:rsid w:val="00A65DD7"/>
    <w:rsid w:val="00A66184"/>
    <w:rsid w:val="00A66C55"/>
    <w:rsid w:val="00A67044"/>
    <w:rsid w:val="00A67124"/>
    <w:rsid w:val="00A67CB1"/>
    <w:rsid w:val="00A67E88"/>
    <w:rsid w:val="00A67EAB"/>
    <w:rsid w:val="00A67EBF"/>
    <w:rsid w:val="00A7000C"/>
    <w:rsid w:val="00A70D95"/>
    <w:rsid w:val="00A70DFA"/>
    <w:rsid w:val="00A70E2E"/>
    <w:rsid w:val="00A71B28"/>
    <w:rsid w:val="00A72307"/>
    <w:rsid w:val="00A72C40"/>
    <w:rsid w:val="00A7332D"/>
    <w:rsid w:val="00A73C68"/>
    <w:rsid w:val="00A73F23"/>
    <w:rsid w:val="00A74123"/>
    <w:rsid w:val="00A7412A"/>
    <w:rsid w:val="00A74218"/>
    <w:rsid w:val="00A746BE"/>
    <w:rsid w:val="00A74B97"/>
    <w:rsid w:val="00A74F89"/>
    <w:rsid w:val="00A75421"/>
    <w:rsid w:val="00A760F7"/>
    <w:rsid w:val="00A76848"/>
    <w:rsid w:val="00A76A4F"/>
    <w:rsid w:val="00A76C01"/>
    <w:rsid w:val="00A77B15"/>
    <w:rsid w:val="00A77E0B"/>
    <w:rsid w:val="00A803A4"/>
    <w:rsid w:val="00A803F4"/>
    <w:rsid w:val="00A8057F"/>
    <w:rsid w:val="00A80936"/>
    <w:rsid w:val="00A80DB0"/>
    <w:rsid w:val="00A80E9D"/>
    <w:rsid w:val="00A81244"/>
    <w:rsid w:val="00A81458"/>
    <w:rsid w:val="00A81501"/>
    <w:rsid w:val="00A81B48"/>
    <w:rsid w:val="00A81BC3"/>
    <w:rsid w:val="00A8222D"/>
    <w:rsid w:val="00A82368"/>
    <w:rsid w:val="00A824CA"/>
    <w:rsid w:val="00A826F4"/>
    <w:rsid w:val="00A827BF"/>
    <w:rsid w:val="00A828B9"/>
    <w:rsid w:val="00A83114"/>
    <w:rsid w:val="00A83A21"/>
    <w:rsid w:val="00A83A24"/>
    <w:rsid w:val="00A83A66"/>
    <w:rsid w:val="00A83B60"/>
    <w:rsid w:val="00A84273"/>
    <w:rsid w:val="00A84761"/>
    <w:rsid w:val="00A849BC"/>
    <w:rsid w:val="00A84D45"/>
    <w:rsid w:val="00A85A60"/>
    <w:rsid w:val="00A85AC7"/>
    <w:rsid w:val="00A85AE2"/>
    <w:rsid w:val="00A85B7D"/>
    <w:rsid w:val="00A85DA0"/>
    <w:rsid w:val="00A861C5"/>
    <w:rsid w:val="00A861FF"/>
    <w:rsid w:val="00A86B0C"/>
    <w:rsid w:val="00A86C53"/>
    <w:rsid w:val="00A871A4"/>
    <w:rsid w:val="00A8767B"/>
    <w:rsid w:val="00A878D9"/>
    <w:rsid w:val="00A87E9C"/>
    <w:rsid w:val="00A903FB"/>
    <w:rsid w:val="00A90540"/>
    <w:rsid w:val="00A90678"/>
    <w:rsid w:val="00A9156A"/>
    <w:rsid w:val="00A91580"/>
    <w:rsid w:val="00A919D3"/>
    <w:rsid w:val="00A91A45"/>
    <w:rsid w:val="00A92384"/>
    <w:rsid w:val="00A924D2"/>
    <w:rsid w:val="00A92918"/>
    <w:rsid w:val="00A92BA0"/>
    <w:rsid w:val="00A92D03"/>
    <w:rsid w:val="00A93804"/>
    <w:rsid w:val="00A93CAA"/>
    <w:rsid w:val="00A93FA3"/>
    <w:rsid w:val="00A94378"/>
    <w:rsid w:val="00A947AD"/>
    <w:rsid w:val="00A94894"/>
    <w:rsid w:val="00A95072"/>
    <w:rsid w:val="00A95457"/>
    <w:rsid w:val="00A958C6"/>
    <w:rsid w:val="00A95BBE"/>
    <w:rsid w:val="00A95D50"/>
    <w:rsid w:val="00A96789"/>
    <w:rsid w:val="00A9685F"/>
    <w:rsid w:val="00A96883"/>
    <w:rsid w:val="00A9710E"/>
    <w:rsid w:val="00A9725F"/>
    <w:rsid w:val="00A974F8"/>
    <w:rsid w:val="00A9796C"/>
    <w:rsid w:val="00A97B5D"/>
    <w:rsid w:val="00A97BC1"/>
    <w:rsid w:val="00A97D41"/>
    <w:rsid w:val="00AA0284"/>
    <w:rsid w:val="00AA0443"/>
    <w:rsid w:val="00AA0B23"/>
    <w:rsid w:val="00AA0D52"/>
    <w:rsid w:val="00AA189A"/>
    <w:rsid w:val="00AA2082"/>
    <w:rsid w:val="00AA21AA"/>
    <w:rsid w:val="00AA2310"/>
    <w:rsid w:val="00AA2AF9"/>
    <w:rsid w:val="00AA2F8E"/>
    <w:rsid w:val="00AA3874"/>
    <w:rsid w:val="00AA3C57"/>
    <w:rsid w:val="00AA4297"/>
    <w:rsid w:val="00AA4519"/>
    <w:rsid w:val="00AA4724"/>
    <w:rsid w:val="00AA4A36"/>
    <w:rsid w:val="00AA4BED"/>
    <w:rsid w:val="00AA4F63"/>
    <w:rsid w:val="00AA4FBD"/>
    <w:rsid w:val="00AA510F"/>
    <w:rsid w:val="00AA5192"/>
    <w:rsid w:val="00AA52DD"/>
    <w:rsid w:val="00AA52FB"/>
    <w:rsid w:val="00AA5AC2"/>
    <w:rsid w:val="00AA5AF2"/>
    <w:rsid w:val="00AA6CF5"/>
    <w:rsid w:val="00AA7610"/>
    <w:rsid w:val="00AA77E8"/>
    <w:rsid w:val="00AB047D"/>
    <w:rsid w:val="00AB0867"/>
    <w:rsid w:val="00AB08F9"/>
    <w:rsid w:val="00AB0C44"/>
    <w:rsid w:val="00AB10E8"/>
    <w:rsid w:val="00AB126D"/>
    <w:rsid w:val="00AB1D0C"/>
    <w:rsid w:val="00AB23E5"/>
    <w:rsid w:val="00AB2449"/>
    <w:rsid w:val="00AB2C01"/>
    <w:rsid w:val="00AB2DB1"/>
    <w:rsid w:val="00AB362A"/>
    <w:rsid w:val="00AB42AB"/>
    <w:rsid w:val="00AB444C"/>
    <w:rsid w:val="00AB4B64"/>
    <w:rsid w:val="00AB4BDF"/>
    <w:rsid w:val="00AB5B26"/>
    <w:rsid w:val="00AB647E"/>
    <w:rsid w:val="00AB69F4"/>
    <w:rsid w:val="00AB6A10"/>
    <w:rsid w:val="00AB6AC5"/>
    <w:rsid w:val="00AB6C8A"/>
    <w:rsid w:val="00AB718F"/>
    <w:rsid w:val="00AB73D0"/>
    <w:rsid w:val="00AB7A45"/>
    <w:rsid w:val="00AC011D"/>
    <w:rsid w:val="00AC0408"/>
    <w:rsid w:val="00AC06BC"/>
    <w:rsid w:val="00AC0959"/>
    <w:rsid w:val="00AC09E2"/>
    <w:rsid w:val="00AC0F10"/>
    <w:rsid w:val="00AC112C"/>
    <w:rsid w:val="00AC1639"/>
    <w:rsid w:val="00AC1BCA"/>
    <w:rsid w:val="00AC2555"/>
    <w:rsid w:val="00AC27E2"/>
    <w:rsid w:val="00AC2BC0"/>
    <w:rsid w:val="00AC2E37"/>
    <w:rsid w:val="00AC314A"/>
    <w:rsid w:val="00AC3369"/>
    <w:rsid w:val="00AC3611"/>
    <w:rsid w:val="00AC3A8C"/>
    <w:rsid w:val="00AC3C18"/>
    <w:rsid w:val="00AC3F37"/>
    <w:rsid w:val="00AC432C"/>
    <w:rsid w:val="00AC484A"/>
    <w:rsid w:val="00AC4E14"/>
    <w:rsid w:val="00AC4E40"/>
    <w:rsid w:val="00AC508E"/>
    <w:rsid w:val="00AC5777"/>
    <w:rsid w:val="00AC60A6"/>
    <w:rsid w:val="00AC6343"/>
    <w:rsid w:val="00AC65E7"/>
    <w:rsid w:val="00AC6710"/>
    <w:rsid w:val="00AC68C9"/>
    <w:rsid w:val="00AC693F"/>
    <w:rsid w:val="00AC6CD5"/>
    <w:rsid w:val="00AC6D80"/>
    <w:rsid w:val="00AC6FE9"/>
    <w:rsid w:val="00AC7126"/>
    <w:rsid w:val="00AC71E0"/>
    <w:rsid w:val="00AC73BF"/>
    <w:rsid w:val="00AC74D0"/>
    <w:rsid w:val="00AC7E2D"/>
    <w:rsid w:val="00AD0068"/>
    <w:rsid w:val="00AD01EE"/>
    <w:rsid w:val="00AD0374"/>
    <w:rsid w:val="00AD0483"/>
    <w:rsid w:val="00AD05D3"/>
    <w:rsid w:val="00AD0758"/>
    <w:rsid w:val="00AD0C32"/>
    <w:rsid w:val="00AD0CA2"/>
    <w:rsid w:val="00AD0EB1"/>
    <w:rsid w:val="00AD161A"/>
    <w:rsid w:val="00AD1EAC"/>
    <w:rsid w:val="00AD1EB2"/>
    <w:rsid w:val="00AD23EA"/>
    <w:rsid w:val="00AD2928"/>
    <w:rsid w:val="00AD2ABC"/>
    <w:rsid w:val="00AD2E9F"/>
    <w:rsid w:val="00AD358D"/>
    <w:rsid w:val="00AD3709"/>
    <w:rsid w:val="00AD382E"/>
    <w:rsid w:val="00AD3B4D"/>
    <w:rsid w:val="00AD3C85"/>
    <w:rsid w:val="00AD3F6B"/>
    <w:rsid w:val="00AD406C"/>
    <w:rsid w:val="00AD44A7"/>
    <w:rsid w:val="00AD45A9"/>
    <w:rsid w:val="00AD4F42"/>
    <w:rsid w:val="00AD5359"/>
    <w:rsid w:val="00AD5746"/>
    <w:rsid w:val="00AD595E"/>
    <w:rsid w:val="00AD5BBD"/>
    <w:rsid w:val="00AD6CAB"/>
    <w:rsid w:val="00AD6CFC"/>
    <w:rsid w:val="00AD6F11"/>
    <w:rsid w:val="00AD779D"/>
    <w:rsid w:val="00AD794E"/>
    <w:rsid w:val="00AD7FF1"/>
    <w:rsid w:val="00AE0292"/>
    <w:rsid w:val="00AE0793"/>
    <w:rsid w:val="00AE07A1"/>
    <w:rsid w:val="00AE0896"/>
    <w:rsid w:val="00AE12B2"/>
    <w:rsid w:val="00AE1676"/>
    <w:rsid w:val="00AE1712"/>
    <w:rsid w:val="00AE1928"/>
    <w:rsid w:val="00AE1DCC"/>
    <w:rsid w:val="00AE245D"/>
    <w:rsid w:val="00AE2460"/>
    <w:rsid w:val="00AE251D"/>
    <w:rsid w:val="00AE2AD4"/>
    <w:rsid w:val="00AE2B40"/>
    <w:rsid w:val="00AE3076"/>
    <w:rsid w:val="00AE36DD"/>
    <w:rsid w:val="00AE3719"/>
    <w:rsid w:val="00AE38AA"/>
    <w:rsid w:val="00AE391A"/>
    <w:rsid w:val="00AE3EAF"/>
    <w:rsid w:val="00AE3F2E"/>
    <w:rsid w:val="00AE3F5C"/>
    <w:rsid w:val="00AE41C4"/>
    <w:rsid w:val="00AE4D0A"/>
    <w:rsid w:val="00AE4D57"/>
    <w:rsid w:val="00AE4EF0"/>
    <w:rsid w:val="00AE519F"/>
    <w:rsid w:val="00AE551A"/>
    <w:rsid w:val="00AE56F6"/>
    <w:rsid w:val="00AE6124"/>
    <w:rsid w:val="00AE6B4D"/>
    <w:rsid w:val="00AE73FF"/>
    <w:rsid w:val="00AE7684"/>
    <w:rsid w:val="00AE7E6E"/>
    <w:rsid w:val="00AE7F93"/>
    <w:rsid w:val="00AF0109"/>
    <w:rsid w:val="00AF0258"/>
    <w:rsid w:val="00AF096E"/>
    <w:rsid w:val="00AF1033"/>
    <w:rsid w:val="00AF13E5"/>
    <w:rsid w:val="00AF187B"/>
    <w:rsid w:val="00AF1D2A"/>
    <w:rsid w:val="00AF1F76"/>
    <w:rsid w:val="00AF30A5"/>
    <w:rsid w:val="00AF3610"/>
    <w:rsid w:val="00AF4396"/>
    <w:rsid w:val="00AF4B6B"/>
    <w:rsid w:val="00AF50C1"/>
    <w:rsid w:val="00AF53E8"/>
    <w:rsid w:val="00AF5451"/>
    <w:rsid w:val="00AF54CE"/>
    <w:rsid w:val="00AF5A02"/>
    <w:rsid w:val="00AF5EF2"/>
    <w:rsid w:val="00AF61E9"/>
    <w:rsid w:val="00AF627A"/>
    <w:rsid w:val="00AF659D"/>
    <w:rsid w:val="00AF6651"/>
    <w:rsid w:val="00AF6666"/>
    <w:rsid w:val="00B0080D"/>
    <w:rsid w:val="00B00898"/>
    <w:rsid w:val="00B00C5E"/>
    <w:rsid w:val="00B00D0F"/>
    <w:rsid w:val="00B011E8"/>
    <w:rsid w:val="00B01FF9"/>
    <w:rsid w:val="00B028AE"/>
    <w:rsid w:val="00B02D8C"/>
    <w:rsid w:val="00B034C2"/>
    <w:rsid w:val="00B03B53"/>
    <w:rsid w:val="00B03C68"/>
    <w:rsid w:val="00B03D12"/>
    <w:rsid w:val="00B03F73"/>
    <w:rsid w:val="00B04343"/>
    <w:rsid w:val="00B0514A"/>
    <w:rsid w:val="00B051BF"/>
    <w:rsid w:val="00B057CE"/>
    <w:rsid w:val="00B059CC"/>
    <w:rsid w:val="00B05D1A"/>
    <w:rsid w:val="00B06A97"/>
    <w:rsid w:val="00B06BB5"/>
    <w:rsid w:val="00B06D3A"/>
    <w:rsid w:val="00B07866"/>
    <w:rsid w:val="00B07A7B"/>
    <w:rsid w:val="00B07D7E"/>
    <w:rsid w:val="00B07E5C"/>
    <w:rsid w:val="00B1030A"/>
    <w:rsid w:val="00B10924"/>
    <w:rsid w:val="00B10A8C"/>
    <w:rsid w:val="00B10BC3"/>
    <w:rsid w:val="00B10CCE"/>
    <w:rsid w:val="00B10EDE"/>
    <w:rsid w:val="00B11033"/>
    <w:rsid w:val="00B11253"/>
    <w:rsid w:val="00B115BA"/>
    <w:rsid w:val="00B11899"/>
    <w:rsid w:val="00B118BB"/>
    <w:rsid w:val="00B118CB"/>
    <w:rsid w:val="00B118F7"/>
    <w:rsid w:val="00B11BA0"/>
    <w:rsid w:val="00B11FE2"/>
    <w:rsid w:val="00B12700"/>
    <w:rsid w:val="00B12F1A"/>
    <w:rsid w:val="00B14010"/>
    <w:rsid w:val="00B140F7"/>
    <w:rsid w:val="00B143AF"/>
    <w:rsid w:val="00B14AE2"/>
    <w:rsid w:val="00B14D2F"/>
    <w:rsid w:val="00B14E3C"/>
    <w:rsid w:val="00B15391"/>
    <w:rsid w:val="00B159DE"/>
    <w:rsid w:val="00B15A49"/>
    <w:rsid w:val="00B15BFC"/>
    <w:rsid w:val="00B15C5B"/>
    <w:rsid w:val="00B15DBA"/>
    <w:rsid w:val="00B15DF0"/>
    <w:rsid w:val="00B15E9C"/>
    <w:rsid w:val="00B1604A"/>
    <w:rsid w:val="00B1642B"/>
    <w:rsid w:val="00B16455"/>
    <w:rsid w:val="00B1689F"/>
    <w:rsid w:val="00B16AB6"/>
    <w:rsid w:val="00B16FFA"/>
    <w:rsid w:val="00B1704B"/>
    <w:rsid w:val="00B17704"/>
    <w:rsid w:val="00B178F3"/>
    <w:rsid w:val="00B203C8"/>
    <w:rsid w:val="00B20B9D"/>
    <w:rsid w:val="00B21028"/>
    <w:rsid w:val="00B21ED1"/>
    <w:rsid w:val="00B22A45"/>
    <w:rsid w:val="00B22F87"/>
    <w:rsid w:val="00B23172"/>
    <w:rsid w:val="00B232E1"/>
    <w:rsid w:val="00B234F5"/>
    <w:rsid w:val="00B23562"/>
    <w:rsid w:val="00B23DEC"/>
    <w:rsid w:val="00B240C0"/>
    <w:rsid w:val="00B242A0"/>
    <w:rsid w:val="00B243FF"/>
    <w:rsid w:val="00B254C2"/>
    <w:rsid w:val="00B25C63"/>
    <w:rsid w:val="00B260E2"/>
    <w:rsid w:val="00B264FA"/>
    <w:rsid w:val="00B27130"/>
    <w:rsid w:val="00B27BDF"/>
    <w:rsid w:val="00B30249"/>
    <w:rsid w:val="00B30355"/>
    <w:rsid w:val="00B30460"/>
    <w:rsid w:val="00B306F7"/>
    <w:rsid w:val="00B30951"/>
    <w:rsid w:val="00B30A5A"/>
    <w:rsid w:val="00B31023"/>
    <w:rsid w:val="00B314B3"/>
    <w:rsid w:val="00B3162D"/>
    <w:rsid w:val="00B3174A"/>
    <w:rsid w:val="00B3192C"/>
    <w:rsid w:val="00B3231D"/>
    <w:rsid w:val="00B32ECC"/>
    <w:rsid w:val="00B3323B"/>
    <w:rsid w:val="00B33902"/>
    <w:rsid w:val="00B34102"/>
    <w:rsid w:val="00B344C5"/>
    <w:rsid w:val="00B34507"/>
    <w:rsid w:val="00B348B8"/>
    <w:rsid w:val="00B34C99"/>
    <w:rsid w:val="00B35089"/>
    <w:rsid w:val="00B36927"/>
    <w:rsid w:val="00B3715A"/>
    <w:rsid w:val="00B3749D"/>
    <w:rsid w:val="00B377FF"/>
    <w:rsid w:val="00B37F49"/>
    <w:rsid w:val="00B407D7"/>
    <w:rsid w:val="00B40843"/>
    <w:rsid w:val="00B40ECE"/>
    <w:rsid w:val="00B41CA4"/>
    <w:rsid w:val="00B41E6C"/>
    <w:rsid w:val="00B41FC9"/>
    <w:rsid w:val="00B42053"/>
    <w:rsid w:val="00B420CC"/>
    <w:rsid w:val="00B42228"/>
    <w:rsid w:val="00B423FC"/>
    <w:rsid w:val="00B42721"/>
    <w:rsid w:val="00B4287A"/>
    <w:rsid w:val="00B42A6F"/>
    <w:rsid w:val="00B43164"/>
    <w:rsid w:val="00B4317A"/>
    <w:rsid w:val="00B4339E"/>
    <w:rsid w:val="00B433AD"/>
    <w:rsid w:val="00B434C1"/>
    <w:rsid w:val="00B43649"/>
    <w:rsid w:val="00B43CA5"/>
    <w:rsid w:val="00B43ED0"/>
    <w:rsid w:val="00B44563"/>
    <w:rsid w:val="00B44654"/>
    <w:rsid w:val="00B449B7"/>
    <w:rsid w:val="00B44F2E"/>
    <w:rsid w:val="00B45F49"/>
    <w:rsid w:val="00B45FA8"/>
    <w:rsid w:val="00B460B4"/>
    <w:rsid w:val="00B461A1"/>
    <w:rsid w:val="00B46D95"/>
    <w:rsid w:val="00B475D5"/>
    <w:rsid w:val="00B47652"/>
    <w:rsid w:val="00B47785"/>
    <w:rsid w:val="00B47A65"/>
    <w:rsid w:val="00B47ECB"/>
    <w:rsid w:val="00B5020C"/>
    <w:rsid w:val="00B50546"/>
    <w:rsid w:val="00B50A0C"/>
    <w:rsid w:val="00B50EB1"/>
    <w:rsid w:val="00B5103A"/>
    <w:rsid w:val="00B51157"/>
    <w:rsid w:val="00B512D4"/>
    <w:rsid w:val="00B51BEF"/>
    <w:rsid w:val="00B51D74"/>
    <w:rsid w:val="00B52102"/>
    <w:rsid w:val="00B52481"/>
    <w:rsid w:val="00B52916"/>
    <w:rsid w:val="00B52B38"/>
    <w:rsid w:val="00B52E28"/>
    <w:rsid w:val="00B5341D"/>
    <w:rsid w:val="00B534E1"/>
    <w:rsid w:val="00B53A5A"/>
    <w:rsid w:val="00B5418D"/>
    <w:rsid w:val="00B548AF"/>
    <w:rsid w:val="00B55123"/>
    <w:rsid w:val="00B552A7"/>
    <w:rsid w:val="00B552D3"/>
    <w:rsid w:val="00B5554F"/>
    <w:rsid w:val="00B55BB5"/>
    <w:rsid w:val="00B563D1"/>
    <w:rsid w:val="00B56611"/>
    <w:rsid w:val="00B56B3F"/>
    <w:rsid w:val="00B56D8A"/>
    <w:rsid w:val="00B56DB1"/>
    <w:rsid w:val="00B57A81"/>
    <w:rsid w:val="00B57EFD"/>
    <w:rsid w:val="00B60891"/>
    <w:rsid w:val="00B60F19"/>
    <w:rsid w:val="00B617B4"/>
    <w:rsid w:val="00B618E7"/>
    <w:rsid w:val="00B61A8A"/>
    <w:rsid w:val="00B62881"/>
    <w:rsid w:val="00B62B73"/>
    <w:rsid w:val="00B62DE8"/>
    <w:rsid w:val="00B63368"/>
    <w:rsid w:val="00B63E41"/>
    <w:rsid w:val="00B64450"/>
    <w:rsid w:val="00B649F0"/>
    <w:rsid w:val="00B651D1"/>
    <w:rsid w:val="00B65277"/>
    <w:rsid w:val="00B65B0E"/>
    <w:rsid w:val="00B65CBA"/>
    <w:rsid w:val="00B65F00"/>
    <w:rsid w:val="00B65F58"/>
    <w:rsid w:val="00B65FCB"/>
    <w:rsid w:val="00B6659A"/>
    <w:rsid w:val="00B669D0"/>
    <w:rsid w:val="00B66E8D"/>
    <w:rsid w:val="00B672BA"/>
    <w:rsid w:val="00B673D1"/>
    <w:rsid w:val="00B678B4"/>
    <w:rsid w:val="00B67E14"/>
    <w:rsid w:val="00B67E88"/>
    <w:rsid w:val="00B7000C"/>
    <w:rsid w:val="00B707D1"/>
    <w:rsid w:val="00B70A99"/>
    <w:rsid w:val="00B70DA2"/>
    <w:rsid w:val="00B7127A"/>
    <w:rsid w:val="00B71781"/>
    <w:rsid w:val="00B71799"/>
    <w:rsid w:val="00B718DE"/>
    <w:rsid w:val="00B722DE"/>
    <w:rsid w:val="00B7239A"/>
    <w:rsid w:val="00B7278F"/>
    <w:rsid w:val="00B72C63"/>
    <w:rsid w:val="00B7329F"/>
    <w:rsid w:val="00B7368F"/>
    <w:rsid w:val="00B7394D"/>
    <w:rsid w:val="00B73CBD"/>
    <w:rsid w:val="00B73FB3"/>
    <w:rsid w:val="00B7432A"/>
    <w:rsid w:val="00B74584"/>
    <w:rsid w:val="00B7467E"/>
    <w:rsid w:val="00B74AAD"/>
    <w:rsid w:val="00B753BF"/>
    <w:rsid w:val="00B755AC"/>
    <w:rsid w:val="00B75A1D"/>
    <w:rsid w:val="00B75B2A"/>
    <w:rsid w:val="00B75BCC"/>
    <w:rsid w:val="00B75C6C"/>
    <w:rsid w:val="00B75F30"/>
    <w:rsid w:val="00B75F79"/>
    <w:rsid w:val="00B75F95"/>
    <w:rsid w:val="00B76E53"/>
    <w:rsid w:val="00B76ED1"/>
    <w:rsid w:val="00B7764F"/>
    <w:rsid w:val="00B77B13"/>
    <w:rsid w:val="00B80206"/>
    <w:rsid w:val="00B80328"/>
    <w:rsid w:val="00B805FE"/>
    <w:rsid w:val="00B80726"/>
    <w:rsid w:val="00B8092C"/>
    <w:rsid w:val="00B80C11"/>
    <w:rsid w:val="00B82381"/>
    <w:rsid w:val="00B830BE"/>
    <w:rsid w:val="00B832D8"/>
    <w:rsid w:val="00B83533"/>
    <w:rsid w:val="00B8381C"/>
    <w:rsid w:val="00B83958"/>
    <w:rsid w:val="00B839D3"/>
    <w:rsid w:val="00B83DCE"/>
    <w:rsid w:val="00B840AA"/>
    <w:rsid w:val="00B843EE"/>
    <w:rsid w:val="00B84558"/>
    <w:rsid w:val="00B84596"/>
    <w:rsid w:val="00B84777"/>
    <w:rsid w:val="00B8498F"/>
    <w:rsid w:val="00B8523B"/>
    <w:rsid w:val="00B859CC"/>
    <w:rsid w:val="00B86858"/>
    <w:rsid w:val="00B87590"/>
    <w:rsid w:val="00B875E7"/>
    <w:rsid w:val="00B87E8D"/>
    <w:rsid w:val="00B90026"/>
    <w:rsid w:val="00B90269"/>
    <w:rsid w:val="00B90525"/>
    <w:rsid w:val="00B908EB"/>
    <w:rsid w:val="00B90D86"/>
    <w:rsid w:val="00B91115"/>
    <w:rsid w:val="00B913B5"/>
    <w:rsid w:val="00B91508"/>
    <w:rsid w:val="00B9170D"/>
    <w:rsid w:val="00B91964"/>
    <w:rsid w:val="00B919A0"/>
    <w:rsid w:val="00B91AA1"/>
    <w:rsid w:val="00B91DB9"/>
    <w:rsid w:val="00B91EC3"/>
    <w:rsid w:val="00B921E2"/>
    <w:rsid w:val="00B922D4"/>
    <w:rsid w:val="00B925B6"/>
    <w:rsid w:val="00B92C67"/>
    <w:rsid w:val="00B92E12"/>
    <w:rsid w:val="00B93284"/>
    <w:rsid w:val="00B932CF"/>
    <w:rsid w:val="00B93601"/>
    <w:rsid w:val="00B93817"/>
    <w:rsid w:val="00B93CB1"/>
    <w:rsid w:val="00B93EC9"/>
    <w:rsid w:val="00B940D4"/>
    <w:rsid w:val="00B942C7"/>
    <w:rsid w:val="00B942FC"/>
    <w:rsid w:val="00B9467D"/>
    <w:rsid w:val="00B94A2C"/>
    <w:rsid w:val="00B952BC"/>
    <w:rsid w:val="00B956B4"/>
    <w:rsid w:val="00B95906"/>
    <w:rsid w:val="00B95A6A"/>
    <w:rsid w:val="00B95E37"/>
    <w:rsid w:val="00B96176"/>
    <w:rsid w:val="00B96381"/>
    <w:rsid w:val="00B96908"/>
    <w:rsid w:val="00B96D01"/>
    <w:rsid w:val="00B96DEB"/>
    <w:rsid w:val="00B96F42"/>
    <w:rsid w:val="00B9755D"/>
    <w:rsid w:val="00B97D07"/>
    <w:rsid w:val="00B97DE6"/>
    <w:rsid w:val="00B97E85"/>
    <w:rsid w:val="00BA0134"/>
    <w:rsid w:val="00BA0495"/>
    <w:rsid w:val="00BA04BF"/>
    <w:rsid w:val="00BA08AA"/>
    <w:rsid w:val="00BA0C07"/>
    <w:rsid w:val="00BA0EFB"/>
    <w:rsid w:val="00BA11F3"/>
    <w:rsid w:val="00BA1614"/>
    <w:rsid w:val="00BA1AE5"/>
    <w:rsid w:val="00BA1DA0"/>
    <w:rsid w:val="00BA21D1"/>
    <w:rsid w:val="00BA27AE"/>
    <w:rsid w:val="00BA28F4"/>
    <w:rsid w:val="00BA2E4B"/>
    <w:rsid w:val="00BA3519"/>
    <w:rsid w:val="00BA354A"/>
    <w:rsid w:val="00BA370C"/>
    <w:rsid w:val="00BA3763"/>
    <w:rsid w:val="00BA3CA5"/>
    <w:rsid w:val="00BA3E9E"/>
    <w:rsid w:val="00BA4429"/>
    <w:rsid w:val="00BA45C1"/>
    <w:rsid w:val="00BA49AF"/>
    <w:rsid w:val="00BA4A6D"/>
    <w:rsid w:val="00BA4ADE"/>
    <w:rsid w:val="00BA5085"/>
    <w:rsid w:val="00BA51A4"/>
    <w:rsid w:val="00BA5DFC"/>
    <w:rsid w:val="00BA6350"/>
    <w:rsid w:val="00BA63A1"/>
    <w:rsid w:val="00BA6AB9"/>
    <w:rsid w:val="00BA6EC3"/>
    <w:rsid w:val="00BA7254"/>
    <w:rsid w:val="00BA7560"/>
    <w:rsid w:val="00BA772A"/>
    <w:rsid w:val="00BA79A0"/>
    <w:rsid w:val="00BA7EED"/>
    <w:rsid w:val="00BB0887"/>
    <w:rsid w:val="00BB0E73"/>
    <w:rsid w:val="00BB1387"/>
    <w:rsid w:val="00BB153B"/>
    <w:rsid w:val="00BB1D0F"/>
    <w:rsid w:val="00BB1F2A"/>
    <w:rsid w:val="00BB1FE1"/>
    <w:rsid w:val="00BB20C7"/>
    <w:rsid w:val="00BB2972"/>
    <w:rsid w:val="00BB29D1"/>
    <w:rsid w:val="00BB314A"/>
    <w:rsid w:val="00BB3671"/>
    <w:rsid w:val="00BB3727"/>
    <w:rsid w:val="00BB3BBF"/>
    <w:rsid w:val="00BB3C87"/>
    <w:rsid w:val="00BB4531"/>
    <w:rsid w:val="00BB4B42"/>
    <w:rsid w:val="00BB5098"/>
    <w:rsid w:val="00BB5404"/>
    <w:rsid w:val="00BB64AC"/>
    <w:rsid w:val="00BB677B"/>
    <w:rsid w:val="00BB6C3F"/>
    <w:rsid w:val="00BB6D22"/>
    <w:rsid w:val="00BB79E2"/>
    <w:rsid w:val="00BB7D64"/>
    <w:rsid w:val="00BC0171"/>
    <w:rsid w:val="00BC042A"/>
    <w:rsid w:val="00BC0598"/>
    <w:rsid w:val="00BC0C3E"/>
    <w:rsid w:val="00BC0E86"/>
    <w:rsid w:val="00BC1012"/>
    <w:rsid w:val="00BC1BCD"/>
    <w:rsid w:val="00BC1FDE"/>
    <w:rsid w:val="00BC2021"/>
    <w:rsid w:val="00BC22F0"/>
    <w:rsid w:val="00BC26D8"/>
    <w:rsid w:val="00BC2921"/>
    <w:rsid w:val="00BC29CD"/>
    <w:rsid w:val="00BC29EA"/>
    <w:rsid w:val="00BC2C0D"/>
    <w:rsid w:val="00BC2FFA"/>
    <w:rsid w:val="00BC34EB"/>
    <w:rsid w:val="00BC4323"/>
    <w:rsid w:val="00BC44C4"/>
    <w:rsid w:val="00BC4DF5"/>
    <w:rsid w:val="00BC5502"/>
    <w:rsid w:val="00BC5CFC"/>
    <w:rsid w:val="00BC5F59"/>
    <w:rsid w:val="00BC6F94"/>
    <w:rsid w:val="00BC7953"/>
    <w:rsid w:val="00BD0B7D"/>
    <w:rsid w:val="00BD0C20"/>
    <w:rsid w:val="00BD12E7"/>
    <w:rsid w:val="00BD1C50"/>
    <w:rsid w:val="00BD2078"/>
    <w:rsid w:val="00BD2EF2"/>
    <w:rsid w:val="00BD2FF1"/>
    <w:rsid w:val="00BD3925"/>
    <w:rsid w:val="00BD3A86"/>
    <w:rsid w:val="00BD4371"/>
    <w:rsid w:val="00BD4542"/>
    <w:rsid w:val="00BD466F"/>
    <w:rsid w:val="00BD5045"/>
    <w:rsid w:val="00BD5049"/>
    <w:rsid w:val="00BD5AD0"/>
    <w:rsid w:val="00BD5DA9"/>
    <w:rsid w:val="00BD5E81"/>
    <w:rsid w:val="00BD6B2D"/>
    <w:rsid w:val="00BD6F78"/>
    <w:rsid w:val="00BD70BD"/>
    <w:rsid w:val="00BD719D"/>
    <w:rsid w:val="00BD79AA"/>
    <w:rsid w:val="00BE00E9"/>
    <w:rsid w:val="00BE0172"/>
    <w:rsid w:val="00BE0258"/>
    <w:rsid w:val="00BE0271"/>
    <w:rsid w:val="00BE0B02"/>
    <w:rsid w:val="00BE0E2F"/>
    <w:rsid w:val="00BE0EA6"/>
    <w:rsid w:val="00BE1447"/>
    <w:rsid w:val="00BE1831"/>
    <w:rsid w:val="00BE1EC8"/>
    <w:rsid w:val="00BE2148"/>
    <w:rsid w:val="00BE215D"/>
    <w:rsid w:val="00BE27C1"/>
    <w:rsid w:val="00BE2A67"/>
    <w:rsid w:val="00BE2DB1"/>
    <w:rsid w:val="00BE31D2"/>
    <w:rsid w:val="00BE37E5"/>
    <w:rsid w:val="00BE3C1E"/>
    <w:rsid w:val="00BE3C71"/>
    <w:rsid w:val="00BE4DE1"/>
    <w:rsid w:val="00BE4E01"/>
    <w:rsid w:val="00BE51C4"/>
    <w:rsid w:val="00BE5587"/>
    <w:rsid w:val="00BE57DD"/>
    <w:rsid w:val="00BE611E"/>
    <w:rsid w:val="00BE748B"/>
    <w:rsid w:val="00BE74DA"/>
    <w:rsid w:val="00BE76CB"/>
    <w:rsid w:val="00BE774D"/>
    <w:rsid w:val="00BE7A15"/>
    <w:rsid w:val="00BE7A59"/>
    <w:rsid w:val="00BE8789"/>
    <w:rsid w:val="00BF0A1F"/>
    <w:rsid w:val="00BF0AE9"/>
    <w:rsid w:val="00BF0AF1"/>
    <w:rsid w:val="00BF0C24"/>
    <w:rsid w:val="00BF0D0D"/>
    <w:rsid w:val="00BF0FD7"/>
    <w:rsid w:val="00BF1209"/>
    <w:rsid w:val="00BF14A5"/>
    <w:rsid w:val="00BF1809"/>
    <w:rsid w:val="00BF182B"/>
    <w:rsid w:val="00BF19AA"/>
    <w:rsid w:val="00BF1A41"/>
    <w:rsid w:val="00BF1A9A"/>
    <w:rsid w:val="00BF1CFC"/>
    <w:rsid w:val="00BF207C"/>
    <w:rsid w:val="00BF2190"/>
    <w:rsid w:val="00BF2598"/>
    <w:rsid w:val="00BF2A14"/>
    <w:rsid w:val="00BF2D89"/>
    <w:rsid w:val="00BF2F22"/>
    <w:rsid w:val="00BF3432"/>
    <w:rsid w:val="00BF37DC"/>
    <w:rsid w:val="00BF39F9"/>
    <w:rsid w:val="00BF3A58"/>
    <w:rsid w:val="00BF3C0D"/>
    <w:rsid w:val="00BF3FDF"/>
    <w:rsid w:val="00BF4371"/>
    <w:rsid w:val="00BF4F68"/>
    <w:rsid w:val="00BF50B5"/>
    <w:rsid w:val="00BF5F22"/>
    <w:rsid w:val="00BF685D"/>
    <w:rsid w:val="00BF6BA9"/>
    <w:rsid w:val="00BF6DCC"/>
    <w:rsid w:val="00BF71C6"/>
    <w:rsid w:val="00BF72CA"/>
    <w:rsid w:val="00BF7C67"/>
    <w:rsid w:val="00BF7CD8"/>
    <w:rsid w:val="00BF7E2C"/>
    <w:rsid w:val="00BF7E96"/>
    <w:rsid w:val="00C00849"/>
    <w:rsid w:val="00C0119B"/>
    <w:rsid w:val="00C01460"/>
    <w:rsid w:val="00C018CC"/>
    <w:rsid w:val="00C0204F"/>
    <w:rsid w:val="00C023E4"/>
    <w:rsid w:val="00C028F5"/>
    <w:rsid w:val="00C02A11"/>
    <w:rsid w:val="00C02BE9"/>
    <w:rsid w:val="00C02CE1"/>
    <w:rsid w:val="00C0309A"/>
    <w:rsid w:val="00C03141"/>
    <w:rsid w:val="00C035B9"/>
    <w:rsid w:val="00C036F3"/>
    <w:rsid w:val="00C03923"/>
    <w:rsid w:val="00C03C66"/>
    <w:rsid w:val="00C04497"/>
    <w:rsid w:val="00C04B21"/>
    <w:rsid w:val="00C04C7E"/>
    <w:rsid w:val="00C04ED0"/>
    <w:rsid w:val="00C0563C"/>
    <w:rsid w:val="00C058DD"/>
    <w:rsid w:val="00C06136"/>
    <w:rsid w:val="00C069D8"/>
    <w:rsid w:val="00C06DC5"/>
    <w:rsid w:val="00C074F6"/>
    <w:rsid w:val="00C07586"/>
    <w:rsid w:val="00C07752"/>
    <w:rsid w:val="00C07BAE"/>
    <w:rsid w:val="00C07C15"/>
    <w:rsid w:val="00C07D28"/>
    <w:rsid w:val="00C1064A"/>
    <w:rsid w:val="00C11FBF"/>
    <w:rsid w:val="00C122D5"/>
    <w:rsid w:val="00C12A44"/>
    <w:rsid w:val="00C13270"/>
    <w:rsid w:val="00C1346A"/>
    <w:rsid w:val="00C13818"/>
    <w:rsid w:val="00C13F67"/>
    <w:rsid w:val="00C1406F"/>
    <w:rsid w:val="00C14712"/>
    <w:rsid w:val="00C14BA3"/>
    <w:rsid w:val="00C150AD"/>
    <w:rsid w:val="00C156BF"/>
    <w:rsid w:val="00C15F2A"/>
    <w:rsid w:val="00C166C1"/>
    <w:rsid w:val="00C16ED4"/>
    <w:rsid w:val="00C16FFA"/>
    <w:rsid w:val="00C17602"/>
    <w:rsid w:val="00C17BF3"/>
    <w:rsid w:val="00C17C27"/>
    <w:rsid w:val="00C17D89"/>
    <w:rsid w:val="00C20026"/>
    <w:rsid w:val="00C2023C"/>
    <w:rsid w:val="00C2023E"/>
    <w:rsid w:val="00C20277"/>
    <w:rsid w:val="00C206C7"/>
    <w:rsid w:val="00C208C0"/>
    <w:rsid w:val="00C21619"/>
    <w:rsid w:val="00C216C2"/>
    <w:rsid w:val="00C21899"/>
    <w:rsid w:val="00C21A66"/>
    <w:rsid w:val="00C21B4F"/>
    <w:rsid w:val="00C21E41"/>
    <w:rsid w:val="00C22CCF"/>
    <w:rsid w:val="00C235EA"/>
    <w:rsid w:val="00C23670"/>
    <w:rsid w:val="00C2371B"/>
    <w:rsid w:val="00C23B52"/>
    <w:rsid w:val="00C2415E"/>
    <w:rsid w:val="00C242D0"/>
    <w:rsid w:val="00C2431E"/>
    <w:rsid w:val="00C25198"/>
    <w:rsid w:val="00C25225"/>
    <w:rsid w:val="00C2552B"/>
    <w:rsid w:val="00C25765"/>
    <w:rsid w:val="00C25DC1"/>
    <w:rsid w:val="00C25ECF"/>
    <w:rsid w:val="00C25FA6"/>
    <w:rsid w:val="00C2601D"/>
    <w:rsid w:val="00C2617F"/>
    <w:rsid w:val="00C2636C"/>
    <w:rsid w:val="00C265CB"/>
    <w:rsid w:val="00C2685E"/>
    <w:rsid w:val="00C2687B"/>
    <w:rsid w:val="00C26B59"/>
    <w:rsid w:val="00C26DA4"/>
    <w:rsid w:val="00C26F08"/>
    <w:rsid w:val="00C27429"/>
    <w:rsid w:val="00C27ADE"/>
    <w:rsid w:val="00C27CB3"/>
    <w:rsid w:val="00C27E89"/>
    <w:rsid w:val="00C30422"/>
    <w:rsid w:val="00C3087E"/>
    <w:rsid w:val="00C309E1"/>
    <w:rsid w:val="00C30A95"/>
    <w:rsid w:val="00C30C59"/>
    <w:rsid w:val="00C31397"/>
    <w:rsid w:val="00C317E5"/>
    <w:rsid w:val="00C3180A"/>
    <w:rsid w:val="00C325C9"/>
    <w:rsid w:val="00C32F46"/>
    <w:rsid w:val="00C331CD"/>
    <w:rsid w:val="00C33493"/>
    <w:rsid w:val="00C3442A"/>
    <w:rsid w:val="00C3460E"/>
    <w:rsid w:val="00C34B06"/>
    <w:rsid w:val="00C34F77"/>
    <w:rsid w:val="00C3503E"/>
    <w:rsid w:val="00C35384"/>
    <w:rsid w:val="00C35AD3"/>
    <w:rsid w:val="00C35CA3"/>
    <w:rsid w:val="00C35CA5"/>
    <w:rsid w:val="00C35CCE"/>
    <w:rsid w:val="00C35D69"/>
    <w:rsid w:val="00C35DDE"/>
    <w:rsid w:val="00C35FE7"/>
    <w:rsid w:val="00C36039"/>
    <w:rsid w:val="00C36163"/>
    <w:rsid w:val="00C36180"/>
    <w:rsid w:val="00C36798"/>
    <w:rsid w:val="00C37006"/>
    <w:rsid w:val="00C37765"/>
    <w:rsid w:val="00C37CAC"/>
    <w:rsid w:val="00C40212"/>
    <w:rsid w:val="00C40777"/>
    <w:rsid w:val="00C40A17"/>
    <w:rsid w:val="00C40C55"/>
    <w:rsid w:val="00C40FF9"/>
    <w:rsid w:val="00C41071"/>
    <w:rsid w:val="00C41B9B"/>
    <w:rsid w:val="00C41BFF"/>
    <w:rsid w:val="00C42041"/>
    <w:rsid w:val="00C42B20"/>
    <w:rsid w:val="00C42B7B"/>
    <w:rsid w:val="00C4308E"/>
    <w:rsid w:val="00C43145"/>
    <w:rsid w:val="00C43441"/>
    <w:rsid w:val="00C43A4B"/>
    <w:rsid w:val="00C447EC"/>
    <w:rsid w:val="00C44DD6"/>
    <w:rsid w:val="00C450C9"/>
    <w:rsid w:val="00C45DB2"/>
    <w:rsid w:val="00C46096"/>
    <w:rsid w:val="00C46552"/>
    <w:rsid w:val="00C46745"/>
    <w:rsid w:val="00C46A36"/>
    <w:rsid w:val="00C46F16"/>
    <w:rsid w:val="00C4771E"/>
    <w:rsid w:val="00C47C07"/>
    <w:rsid w:val="00C47D1C"/>
    <w:rsid w:val="00C47E7A"/>
    <w:rsid w:val="00C501AA"/>
    <w:rsid w:val="00C50961"/>
    <w:rsid w:val="00C50979"/>
    <w:rsid w:val="00C512B1"/>
    <w:rsid w:val="00C517BE"/>
    <w:rsid w:val="00C51F98"/>
    <w:rsid w:val="00C51FE6"/>
    <w:rsid w:val="00C5294A"/>
    <w:rsid w:val="00C52976"/>
    <w:rsid w:val="00C52ADC"/>
    <w:rsid w:val="00C53386"/>
    <w:rsid w:val="00C535AB"/>
    <w:rsid w:val="00C53CF7"/>
    <w:rsid w:val="00C53E92"/>
    <w:rsid w:val="00C53F04"/>
    <w:rsid w:val="00C54128"/>
    <w:rsid w:val="00C5419F"/>
    <w:rsid w:val="00C54EA5"/>
    <w:rsid w:val="00C55206"/>
    <w:rsid w:val="00C55707"/>
    <w:rsid w:val="00C55F0D"/>
    <w:rsid w:val="00C56336"/>
    <w:rsid w:val="00C567D2"/>
    <w:rsid w:val="00C5688D"/>
    <w:rsid w:val="00C56914"/>
    <w:rsid w:val="00C569CE"/>
    <w:rsid w:val="00C56C93"/>
    <w:rsid w:val="00C56D9A"/>
    <w:rsid w:val="00C56E87"/>
    <w:rsid w:val="00C5754E"/>
    <w:rsid w:val="00C57F83"/>
    <w:rsid w:val="00C60F5B"/>
    <w:rsid w:val="00C612D7"/>
    <w:rsid w:val="00C61392"/>
    <w:rsid w:val="00C615E2"/>
    <w:rsid w:val="00C61B5E"/>
    <w:rsid w:val="00C61C8C"/>
    <w:rsid w:val="00C622DB"/>
    <w:rsid w:val="00C625A1"/>
    <w:rsid w:val="00C627A6"/>
    <w:rsid w:val="00C6283D"/>
    <w:rsid w:val="00C6295C"/>
    <w:rsid w:val="00C62A1B"/>
    <w:rsid w:val="00C62C1D"/>
    <w:rsid w:val="00C62CB5"/>
    <w:rsid w:val="00C62DD7"/>
    <w:rsid w:val="00C63381"/>
    <w:rsid w:val="00C63744"/>
    <w:rsid w:val="00C63E8B"/>
    <w:rsid w:val="00C63E90"/>
    <w:rsid w:val="00C648E1"/>
    <w:rsid w:val="00C64941"/>
    <w:rsid w:val="00C64A73"/>
    <w:rsid w:val="00C651D3"/>
    <w:rsid w:val="00C6567E"/>
    <w:rsid w:val="00C65AC2"/>
    <w:rsid w:val="00C65BAA"/>
    <w:rsid w:val="00C660A2"/>
    <w:rsid w:val="00C66219"/>
    <w:rsid w:val="00C66531"/>
    <w:rsid w:val="00C666C7"/>
    <w:rsid w:val="00C66E8D"/>
    <w:rsid w:val="00C66ECB"/>
    <w:rsid w:val="00C66FD2"/>
    <w:rsid w:val="00C67306"/>
    <w:rsid w:val="00C673A5"/>
    <w:rsid w:val="00C6770E"/>
    <w:rsid w:val="00C67A04"/>
    <w:rsid w:val="00C67D84"/>
    <w:rsid w:val="00C67F0E"/>
    <w:rsid w:val="00C70710"/>
    <w:rsid w:val="00C70AA8"/>
    <w:rsid w:val="00C716B0"/>
    <w:rsid w:val="00C71788"/>
    <w:rsid w:val="00C71ED9"/>
    <w:rsid w:val="00C71F7B"/>
    <w:rsid w:val="00C7255D"/>
    <w:rsid w:val="00C7287E"/>
    <w:rsid w:val="00C7322E"/>
    <w:rsid w:val="00C73777"/>
    <w:rsid w:val="00C73E3E"/>
    <w:rsid w:val="00C74D0B"/>
    <w:rsid w:val="00C74DE6"/>
    <w:rsid w:val="00C74EAD"/>
    <w:rsid w:val="00C75933"/>
    <w:rsid w:val="00C75CE4"/>
    <w:rsid w:val="00C75D0A"/>
    <w:rsid w:val="00C7653F"/>
    <w:rsid w:val="00C76680"/>
    <w:rsid w:val="00C77445"/>
    <w:rsid w:val="00C7746D"/>
    <w:rsid w:val="00C77C8A"/>
    <w:rsid w:val="00C77D06"/>
    <w:rsid w:val="00C77F25"/>
    <w:rsid w:val="00C80336"/>
    <w:rsid w:val="00C8067E"/>
    <w:rsid w:val="00C80FC3"/>
    <w:rsid w:val="00C81881"/>
    <w:rsid w:val="00C81927"/>
    <w:rsid w:val="00C8194F"/>
    <w:rsid w:val="00C81E36"/>
    <w:rsid w:val="00C821B9"/>
    <w:rsid w:val="00C82331"/>
    <w:rsid w:val="00C82C75"/>
    <w:rsid w:val="00C83745"/>
    <w:rsid w:val="00C841DD"/>
    <w:rsid w:val="00C84711"/>
    <w:rsid w:val="00C84A03"/>
    <w:rsid w:val="00C84AB7"/>
    <w:rsid w:val="00C85376"/>
    <w:rsid w:val="00C85723"/>
    <w:rsid w:val="00C858DB"/>
    <w:rsid w:val="00C85E07"/>
    <w:rsid w:val="00C86604"/>
    <w:rsid w:val="00C867BB"/>
    <w:rsid w:val="00C8768A"/>
    <w:rsid w:val="00C90396"/>
    <w:rsid w:val="00C90597"/>
    <w:rsid w:val="00C90AD6"/>
    <w:rsid w:val="00C90BF4"/>
    <w:rsid w:val="00C90DA8"/>
    <w:rsid w:val="00C90DC8"/>
    <w:rsid w:val="00C90E41"/>
    <w:rsid w:val="00C91345"/>
    <w:rsid w:val="00C91632"/>
    <w:rsid w:val="00C91E74"/>
    <w:rsid w:val="00C920B6"/>
    <w:rsid w:val="00C9277D"/>
    <w:rsid w:val="00C92B09"/>
    <w:rsid w:val="00C92FAE"/>
    <w:rsid w:val="00C93381"/>
    <w:rsid w:val="00C93A35"/>
    <w:rsid w:val="00C9414B"/>
    <w:rsid w:val="00C9486A"/>
    <w:rsid w:val="00C94B4D"/>
    <w:rsid w:val="00C94E0A"/>
    <w:rsid w:val="00C957CF"/>
    <w:rsid w:val="00C95C27"/>
    <w:rsid w:val="00C95C58"/>
    <w:rsid w:val="00C963EA"/>
    <w:rsid w:val="00C969EE"/>
    <w:rsid w:val="00C96A1F"/>
    <w:rsid w:val="00C96E2E"/>
    <w:rsid w:val="00C96EF8"/>
    <w:rsid w:val="00C970F6"/>
    <w:rsid w:val="00C975D8"/>
    <w:rsid w:val="00C977E1"/>
    <w:rsid w:val="00CA1166"/>
    <w:rsid w:val="00CA1649"/>
    <w:rsid w:val="00CA16C0"/>
    <w:rsid w:val="00CA2193"/>
    <w:rsid w:val="00CA348E"/>
    <w:rsid w:val="00CA370C"/>
    <w:rsid w:val="00CA38F0"/>
    <w:rsid w:val="00CA3D0A"/>
    <w:rsid w:val="00CA432B"/>
    <w:rsid w:val="00CA46C8"/>
    <w:rsid w:val="00CA4840"/>
    <w:rsid w:val="00CA52AB"/>
    <w:rsid w:val="00CA564E"/>
    <w:rsid w:val="00CA56A3"/>
    <w:rsid w:val="00CA5AD0"/>
    <w:rsid w:val="00CA64CD"/>
    <w:rsid w:val="00CA6571"/>
    <w:rsid w:val="00CA65D3"/>
    <w:rsid w:val="00CA702A"/>
    <w:rsid w:val="00CA7087"/>
    <w:rsid w:val="00CB019D"/>
    <w:rsid w:val="00CB02CD"/>
    <w:rsid w:val="00CB040A"/>
    <w:rsid w:val="00CB0507"/>
    <w:rsid w:val="00CB0D64"/>
    <w:rsid w:val="00CB0E29"/>
    <w:rsid w:val="00CB17FA"/>
    <w:rsid w:val="00CB1902"/>
    <w:rsid w:val="00CB1AED"/>
    <w:rsid w:val="00CB2E57"/>
    <w:rsid w:val="00CB2F1E"/>
    <w:rsid w:val="00CB3163"/>
    <w:rsid w:val="00CB3F5E"/>
    <w:rsid w:val="00CB46BE"/>
    <w:rsid w:val="00CB5662"/>
    <w:rsid w:val="00CB591E"/>
    <w:rsid w:val="00CB5F4B"/>
    <w:rsid w:val="00CB67F0"/>
    <w:rsid w:val="00CB68B4"/>
    <w:rsid w:val="00CB7927"/>
    <w:rsid w:val="00CC001B"/>
    <w:rsid w:val="00CC041D"/>
    <w:rsid w:val="00CC0C38"/>
    <w:rsid w:val="00CC1259"/>
    <w:rsid w:val="00CC14AC"/>
    <w:rsid w:val="00CC153F"/>
    <w:rsid w:val="00CC197F"/>
    <w:rsid w:val="00CC210C"/>
    <w:rsid w:val="00CC2999"/>
    <w:rsid w:val="00CC2AFF"/>
    <w:rsid w:val="00CC2C5B"/>
    <w:rsid w:val="00CC389D"/>
    <w:rsid w:val="00CC3933"/>
    <w:rsid w:val="00CC39E2"/>
    <w:rsid w:val="00CC3E85"/>
    <w:rsid w:val="00CC49D4"/>
    <w:rsid w:val="00CC5129"/>
    <w:rsid w:val="00CC577A"/>
    <w:rsid w:val="00CC5ADF"/>
    <w:rsid w:val="00CC5DE5"/>
    <w:rsid w:val="00CC5F29"/>
    <w:rsid w:val="00CC6707"/>
    <w:rsid w:val="00CC6CD9"/>
    <w:rsid w:val="00CC6D3B"/>
    <w:rsid w:val="00CC71EE"/>
    <w:rsid w:val="00CC729E"/>
    <w:rsid w:val="00CC79F7"/>
    <w:rsid w:val="00CC7A44"/>
    <w:rsid w:val="00CC7E42"/>
    <w:rsid w:val="00CD0B56"/>
    <w:rsid w:val="00CD0C19"/>
    <w:rsid w:val="00CD0D8B"/>
    <w:rsid w:val="00CD1301"/>
    <w:rsid w:val="00CD154C"/>
    <w:rsid w:val="00CD1698"/>
    <w:rsid w:val="00CD17FD"/>
    <w:rsid w:val="00CD1839"/>
    <w:rsid w:val="00CD1CFE"/>
    <w:rsid w:val="00CD1E63"/>
    <w:rsid w:val="00CD2007"/>
    <w:rsid w:val="00CD2BAD"/>
    <w:rsid w:val="00CD2FF1"/>
    <w:rsid w:val="00CD31FF"/>
    <w:rsid w:val="00CD368F"/>
    <w:rsid w:val="00CD3729"/>
    <w:rsid w:val="00CD3A13"/>
    <w:rsid w:val="00CD3ABA"/>
    <w:rsid w:val="00CD3BF2"/>
    <w:rsid w:val="00CD3ED4"/>
    <w:rsid w:val="00CD403A"/>
    <w:rsid w:val="00CD4573"/>
    <w:rsid w:val="00CD4E65"/>
    <w:rsid w:val="00CD4E8C"/>
    <w:rsid w:val="00CD508E"/>
    <w:rsid w:val="00CD577D"/>
    <w:rsid w:val="00CD5846"/>
    <w:rsid w:val="00CD59C8"/>
    <w:rsid w:val="00CD5E7B"/>
    <w:rsid w:val="00CD62A4"/>
    <w:rsid w:val="00CD68FB"/>
    <w:rsid w:val="00CD6A47"/>
    <w:rsid w:val="00CD6A87"/>
    <w:rsid w:val="00CD6F6F"/>
    <w:rsid w:val="00CD7749"/>
    <w:rsid w:val="00CD788A"/>
    <w:rsid w:val="00CD7B9A"/>
    <w:rsid w:val="00CE0340"/>
    <w:rsid w:val="00CE0C42"/>
    <w:rsid w:val="00CE0ED1"/>
    <w:rsid w:val="00CE1C25"/>
    <w:rsid w:val="00CE1FD2"/>
    <w:rsid w:val="00CE2293"/>
    <w:rsid w:val="00CE28B9"/>
    <w:rsid w:val="00CE2DE3"/>
    <w:rsid w:val="00CE3448"/>
    <w:rsid w:val="00CE34D2"/>
    <w:rsid w:val="00CE35C0"/>
    <w:rsid w:val="00CE3D25"/>
    <w:rsid w:val="00CE47D5"/>
    <w:rsid w:val="00CE4852"/>
    <w:rsid w:val="00CE5690"/>
    <w:rsid w:val="00CE61DC"/>
    <w:rsid w:val="00CE63A5"/>
    <w:rsid w:val="00CE651A"/>
    <w:rsid w:val="00CE656C"/>
    <w:rsid w:val="00CE6DDD"/>
    <w:rsid w:val="00CE74F9"/>
    <w:rsid w:val="00CE7702"/>
    <w:rsid w:val="00CF063F"/>
    <w:rsid w:val="00CF1205"/>
    <w:rsid w:val="00CF1386"/>
    <w:rsid w:val="00CF1C54"/>
    <w:rsid w:val="00CF1F53"/>
    <w:rsid w:val="00CF2169"/>
    <w:rsid w:val="00CF2281"/>
    <w:rsid w:val="00CF28AE"/>
    <w:rsid w:val="00CF2A56"/>
    <w:rsid w:val="00CF2BD1"/>
    <w:rsid w:val="00CF31D9"/>
    <w:rsid w:val="00CF32F3"/>
    <w:rsid w:val="00CF33D0"/>
    <w:rsid w:val="00CF34DA"/>
    <w:rsid w:val="00CF35AD"/>
    <w:rsid w:val="00CF388F"/>
    <w:rsid w:val="00CF38B8"/>
    <w:rsid w:val="00CF3D3C"/>
    <w:rsid w:val="00CF3D88"/>
    <w:rsid w:val="00CF435F"/>
    <w:rsid w:val="00CF468A"/>
    <w:rsid w:val="00CF475B"/>
    <w:rsid w:val="00CF476B"/>
    <w:rsid w:val="00CF4788"/>
    <w:rsid w:val="00CF47F8"/>
    <w:rsid w:val="00CF4CD9"/>
    <w:rsid w:val="00CF4F89"/>
    <w:rsid w:val="00CF53EC"/>
    <w:rsid w:val="00CF5BB1"/>
    <w:rsid w:val="00CF6239"/>
    <w:rsid w:val="00CF634E"/>
    <w:rsid w:val="00CF64EB"/>
    <w:rsid w:val="00CF67D9"/>
    <w:rsid w:val="00CF6C32"/>
    <w:rsid w:val="00CF72A9"/>
    <w:rsid w:val="00CF758B"/>
    <w:rsid w:val="00CF7D70"/>
    <w:rsid w:val="00D0060B"/>
    <w:rsid w:val="00D017FF"/>
    <w:rsid w:val="00D020F2"/>
    <w:rsid w:val="00D021A3"/>
    <w:rsid w:val="00D02863"/>
    <w:rsid w:val="00D028F2"/>
    <w:rsid w:val="00D0343F"/>
    <w:rsid w:val="00D03772"/>
    <w:rsid w:val="00D03AD3"/>
    <w:rsid w:val="00D03F6B"/>
    <w:rsid w:val="00D04AF8"/>
    <w:rsid w:val="00D04F40"/>
    <w:rsid w:val="00D052CD"/>
    <w:rsid w:val="00D05A9F"/>
    <w:rsid w:val="00D05B72"/>
    <w:rsid w:val="00D05BF3"/>
    <w:rsid w:val="00D0615C"/>
    <w:rsid w:val="00D06DF9"/>
    <w:rsid w:val="00D06E3C"/>
    <w:rsid w:val="00D0797B"/>
    <w:rsid w:val="00D100D3"/>
    <w:rsid w:val="00D102D5"/>
    <w:rsid w:val="00D10CBA"/>
    <w:rsid w:val="00D1108C"/>
    <w:rsid w:val="00D11159"/>
    <w:rsid w:val="00D11AB2"/>
    <w:rsid w:val="00D12323"/>
    <w:rsid w:val="00D1245B"/>
    <w:rsid w:val="00D128DB"/>
    <w:rsid w:val="00D1293C"/>
    <w:rsid w:val="00D12F96"/>
    <w:rsid w:val="00D13D83"/>
    <w:rsid w:val="00D13DC5"/>
    <w:rsid w:val="00D14339"/>
    <w:rsid w:val="00D145E2"/>
    <w:rsid w:val="00D153B8"/>
    <w:rsid w:val="00D1553C"/>
    <w:rsid w:val="00D15F40"/>
    <w:rsid w:val="00D16124"/>
    <w:rsid w:val="00D1709C"/>
    <w:rsid w:val="00D17AEB"/>
    <w:rsid w:val="00D206B5"/>
    <w:rsid w:val="00D2083A"/>
    <w:rsid w:val="00D20F4B"/>
    <w:rsid w:val="00D21615"/>
    <w:rsid w:val="00D21C3F"/>
    <w:rsid w:val="00D21E95"/>
    <w:rsid w:val="00D220D2"/>
    <w:rsid w:val="00D22142"/>
    <w:rsid w:val="00D226BA"/>
    <w:rsid w:val="00D22A31"/>
    <w:rsid w:val="00D22D42"/>
    <w:rsid w:val="00D23521"/>
    <w:rsid w:val="00D23ABD"/>
    <w:rsid w:val="00D23CBA"/>
    <w:rsid w:val="00D24B5E"/>
    <w:rsid w:val="00D24E54"/>
    <w:rsid w:val="00D2566A"/>
    <w:rsid w:val="00D25E98"/>
    <w:rsid w:val="00D27023"/>
    <w:rsid w:val="00D27330"/>
    <w:rsid w:val="00D30C54"/>
    <w:rsid w:val="00D311ED"/>
    <w:rsid w:val="00D31576"/>
    <w:rsid w:val="00D316C0"/>
    <w:rsid w:val="00D3187B"/>
    <w:rsid w:val="00D319C5"/>
    <w:rsid w:val="00D31AC9"/>
    <w:rsid w:val="00D328BD"/>
    <w:rsid w:val="00D329D4"/>
    <w:rsid w:val="00D32B60"/>
    <w:rsid w:val="00D33058"/>
    <w:rsid w:val="00D3309C"/>
    <w:rsid w:val="00D3378D"/>
    <w:rsid w:val="00D33CB7"/>
    <w:rsid w:val="00D34414"/>
    <w:rsid w:val="00D34E98"/>
    <w:rsid w:val="00D35A7D"/>
    <w:rsid w:val="00D35C5E"/>
    <w:rsid w:val="00D3605D"/>
    <w:rsid w:val="00D3685D"/>
    <w:rsid w:val="00D36FCA"/>
    <w:rsid w:val="00D37098"/>
    <w:rsid w:val="00D3763B"/>
    <w:rsid w:val="00D37ACD"/>
    <w:rsid w:val="00D37ECA"/>
    <w:rsid w:val="00D40213"/>
    <w:rsid w:val="00D404CF"/>
    <w:rsid w:val="00D40A4C"/>
    <w:rsid w:val="00D41361"/>
    <w:rsid w:val="00D41511"/>
    <w:rsid w:val="00D41693"/>
    <w:rsid w:val="00D416F4"/>
    <w:rsid w:val="00D41B23"/>
    <w:rsid w:val="00D42081"/>
    <w:rsid w:val="00D427CB"/>
    <w:rsid w:val="00D42BC1"/>
    <w:rsid w:val="00D42D8F"/>
    <w:rsid w:val="00D431EB"/>
    <w:rsid w:val="00D44AD8"/>
    <w:rsid w:val="00D44FC8"/>
    <w:rsid w:val="00D451B2"/>
    <w:rsid w:val="00D451FA"/>
    <w:rsid w:val="00D45229"/>
    <w:rsid w:val="00D45787"/>
    <w:rsid w:val="00D4582D"/>
    <w:rsid w:val="00D458E2"/>
    <w:rsid w:val="00D464FD"/>
    <w:rsid w:val="00D468E2"/>
    <w:rsid w:val="00D475D4"/>
    <w:rsid w:val="00D4790F"/>
    <w:rsid w:val="00D47DB5"/>
    <w:rsid w:val="00D47DCF"/>
    <w:rsid w:val="00D50361"/>
    <w:rsid w:val="00D512CF"/>
    <w:rsid w:val="00D513B7"/>
    <w:rsid w:val="00D5142D"/>
    <w:rsid w:val="00D51A5C"/>
    <w:rsid w:val="00D51BFA"/>
    <w:rsid w:val="00D51EB4"/>
    <w:rsid w:val="00D52404"/>
    <w:rsid w:val="00D52663"/>
    <w:rsid w:val="00D52DC7"/>
    <w:rsid w:val="00D52E26"/>
    <w:rsid w:val="00D5350F"/>
    <w:rsid w:val="00D53813"/>
    <w:rsid w:val="00D539E3"/>
    <w:rsid w:val="00D53C40"/>
    <w:rsid w:val="00D53ED2"/>
    <w:rsid w:val="00D540A5"/>
    <w:rsid w:val="00D542B6"/>
    <w:rsid w:val="00D544D5"/>
    <w:rsid w:val="00D54673"/>
    <w:rsid w:val="00D5481B"/>
    <w:rsid w:val="00D54C7D"/>
    <w:rsid w:val="00D55305"/>
    <w:rsid w:val="00D556AE"/>
    <w:rsid w:val="00D559F8"/>
    <w:rsid w:val="00D55B4C"/>
    <w:rsid w:val="00D55ED8"/>
    <w:rsid w:val="00D55F63"/>
    <w:rsid w:val="00D5617F"/>
    <w:rsid w:val="00D567A8"/>
    <w:rsid w:val="00D567E2"/>
    <w:rsid w:val="00D56F2B"/>
    <w:rsid w:val="00D56F2D"/>
    <w:rsid w:val="00D574A8"/>
    <w:rsid w:val="00D579A7"/>
    <w:rsid w:val="00D57BAE"/>
    <w:rsid w:val="00D604DD"/>
    <w:rsid w:val="00D6054D"/>
    <w:rsid w:val="00D60993"/>
    <w:rsid w:val="00D60C79"/>
    <w:rsid w:val="00D60C9C"/>
    <w:rsid w:val="00D60D35"/>
    <w:rsid w:val="00D61192"/>
    <w:rsid w:val="00D61381"/>
    <w:rsid w:val="00D61BC0"/>
    <w:rsid w:val="00D62E2C"/>
    <w:rsid w:val="00D62E68"/>
    <w:rsid w:val="00D63174"/>
    <w:rsid w:val="00D631D5"/>
    <w:rsid w:val="00D63230"/>
    <w:rsid w:val="00D637D5"/>
    <w:rsid w:val="00D63974"/>
    <w:rsid w:val="00D63D79"/>
    <w:rsid w:val="00D63E56"/>
    <w:rsid w:val="00D63F70"/>
    <w:rsid w:val="00D642D5"/>
    <w:rsid w:val="00D6443A"/>
    <w:rsid w:val="00D653BD"/>
    <w:rsid w:val="00D654C5"/>
    <w:rsid w:val="00D66AFC"/>
    <w:rsid w:val="00D66C52"/>
    <w:rsid w:val="00D66E28"/>
    <w:rsid w:val="00D6753D"/>
    <w:rsid w:val="00D6758D"/>
    <w:rsid w:val="00D67A83"/>
    <w:rsid w:val="00D703F9"/>
    <w:rsid w:val="00D70815"/>
    <w:rsid w:val="00D70848"/>
    <w:rsid w:val="00D70C5F"/>
    <w:rsid w:val="00D70D39"/>
    <w:rsid w:val="00D70DBA"/>
    <w:rsid w:val="00D70FD6"/>
    <w:rsid w:val="00D723F9"/>
    <w:rsid w:val="00D72EE4"/>
    <w:rsid w:val="00D738EE"/>
    <w:rsid w:val="00D73AB5"/>
    <w:rsid w:val="00D73D6D"/>
    <w:rsid w:val="00D74083"/>
    <w:rsid w:val="00D74C28"/>
    <w:rsid w:val="00D74EFC"/>
    <w:rsid w:val="00D74F57"/>
    <w:rsid w:val="00D750DE"/>
    <w:rsid w:val="00D7528E"/>
    <w:rsid w:val="00D7556B"/>
    <w:rsid w:val="00D75AC1"/>
    <w:rsid w:val="00D75D5A"/>
    <w:rsid w:val="00D75E49"/>
    <w:rsid w:val="00D76017"/>
    <w:rsid w:val="00D76666"/>
    <w:rsid w:val="00D766C3"/>
    <w:rsid w:val="00D768A4"/>
    <w:rsid w:val="00D76C9B"/>
    <w:rsid w:val="00D7768A"/>
    <w:rsid w:val="00D77910"/>
    <w:rsid w:val="00D77EB8"/>
    <w:rsid w:val="00D80E41"/>
    <w:rsid w:val="00D80F83"/>
    <w:rsid w:val="00D812E0"/>
    <w:rsid w:val="00D812E2"/>
    <w:rsid w:val="00D81358"/>
    <w:rsid w:val="00D813A2"/>
    <w:rsid w:val="00D8184B"/>
    <w:rsid w:val="00D8236B"/>
    <w:rsid w:val="00D82BE2"/>
    <w:rsid w:val="00D82CC3"/>
    <w:rsid w:val="00D82D3E"/>
    <w:rsid w:val="00D8338E"/>
    <w:rsid w:val="00D834F1"/>
    <w:rsid w:val="00D83538"/>
    <w:rsid w:val="00D83957"/>
    <w:rsid w:val="00D83AE2"/>
    <w:rsid w:val="00D83EFE"/>
    <w:rsid w:val="00D84197"/>
    <w:rsid w:val="00D84518"/>
    <w:rsid w:val="00D847CF"/>
    <w:rsid w:val="00D84EB3"/>
    <w:rsid w:val="00D859D6"/>
    <w:rsid w:val="00D85A0F"/>
    <w:rsid w:val="00D85B89"/>
    <w:rsid w:val="00D860E4"/>
    <w:rsid w:val="00D860EB"/>
    <w:rsid w:val="00D86106"/>
    <w:rsid w:val="00D86D37"/>
    <w:rsid w:val="00D86F4A"/>
    <w:rsid w:val="00D87081"/>
    <w:rsid w:val="00D871B9"/>
    <w:rsid w:val="00D8780E"/>
    <w:rsid w:val="00D8791F"/>
    <w:rsid w:val="00D90054"/>
    <w:rsid w:val="00D901DA"/>
    <w:rsid w:val="00D905A8"/>
    <w:rsid w:val="00D90765"/>
    <w:rsid w:val="00D90DC1"/>
    <w:rsid w:val="00D91044"/>
    <w:rsid w:val="00D911FD"/>
    <w:rsid w:val="00D913EE"/>
    <w:rsid w:val="00D913F3"/>
    <w:rsid w:val="00D91457"/>
    <w:rsid w:val="00D91493"/>
    <w:rsid w:val="00D917BB"/>
    <w:rsid w:val="00D9186E"/>
    <w:rsid w:val="00D92232"/>
    <w:rsid w:val="00D92E25"/>
    <w:rsid w:val="00D93252"/>
    <w:rsid w:val="00D93639"/>
    <w:rsid w:val="00D9396A"/>
    <w:rsid w:val="00D94285"/>
    <w:rsid w:val="00D9447B"/>
    <w:rsid w:val="00D94756"/>
    <w:rsid w:val="00D94DF5"/>
    <w:rsid w:val="00D954EE"/>
    <w:rsid w:val="00D95593"/>
    <w:rsid w:val="00D95636"/>
    <w:rsid w:val="00D95B81"/>
    <w:rsid w:val="00D96119"/>
    <w:rsid w:val="00D963BB"/>
    <w:rsid w:val="00D9695F"/>
    <w:rsid w:val="00D96D8A"/>
    <w:rsid w:val="00D9747A"/>
    <w:rsid w:val="00D97A83"/>
    <w:rsid w:val="00D97C27"/>
    <w:rsid w:val="00D97F80"/>
    <w:rsid w:val="00D97FAD"/>
    <w:rsid w:val="00DA01C5"/>
    <w:rsid w:val="00DA02AD"/>
    <w:rsid w:val="00DA0869"/>
    <w:rsid w:val="00DA09DD"/>
    <w:rsid w:val="00DA10BB"/>
    <w:rsid w:val="00DA1670"/>
    <w:rsid w:val="00DA1F5B"/>
    <w:rsid w:val="00DA2462"/>
    <w:rsid w:val="00DA278E"/>
    <w:rsid w:val="00DA2B0B"/>
    <w:rsid w:val="00DA2D48"/>
    <w:rsid w:val="00DA2E17"/>
    <w:rsid w:val="00DA2E6B"/>
    <w:rsid w:val="00DA355C"/>
    <w:rsid w:val="00DA390A"/>
    <w:rsid w:val="00DA3B74"/>
    <w:rsid w:val="00DA3DE7"/>
    <w:rsid w:val="00DA3ED2"/>
    <w:rsid w:val="00DA42A9"/>
    <w:rsid w:val="00DA4556"/>
    <w:rsid w:val="00DA57C5"/>
    <w:rsid w:val="00DA62AF"/>
    <w:rsid w:val="00DA638C"/>
    <w:rsid w:val="00DA6AB6"/>
    <w:rsid w:val="00DA6EF8"/>
    <w:rsid w:val="00DA70D4"/>
    <w:rsid w:val="00DA7213"/>
    <w:rsid w:val="00DA7694"/>
    <w:rsid w:val="00DA78A6"/>
    <w:rsid w:val="00DA7B7C"/>
    <w:rsid w:val="00DA7C42"/>
    <w:rsid w:val="00DA7FB3"/>
    <w:rsid w:val="00DB010F"/>
    <w:rsid w:val="00DB01DF"/>
    <w:rsid w:val="00DB04D7"/>
    <w:rsid w:val="00DB0C69"/>
    <w:rsid w:val="00DB1089"/>
    <w:rsid w:val="00DB10DC"/>
    <w:rsid w:val="00DB1515"/>
    <w:rsid w:val="00DB214C"/>
    <w:rsid w:val="00DB2275"/>
    <w:rsid w:val="00DB25DD"/>
    <w:rsid w:val="00DB2607"/>
    <w:rsid w:val="00DB2689"/>
    <w:rsid w:val="00DB26F0"/>
    <w:rsid w:val="00DB2807"/>
    <w:rsid w:val="00DB2A1B"/>
    <w:rsid w:val="00DB2BE7"/>
    <w:rsid w:val="00DB2E4D"/>
    <w:rsid w:val="00DB438F"/>
    <w:rsid w:val="00DB4FC2"/>
    <w:rsid w:val="00DB5238"/>
    <w:rsid w:val="00DB55E9"/>
    <w:rsid w:val="00DB57DD"/>
    <w:rsid w:val="00DB5859"/>
    <w:rsid w:val="00DB5B21"/>
    <w:rsid w:val="00DB5FF2"/>
    <w:rsid w:val="00DB6B65"/>
    <w:rsid w:val="00DB70E7"/>
    <w:rsid w:val="00DB7370"/>
    <w:rsid w:val="00DB7F1D"/>
    <w:rsid w:val="00DC05D7"/>
    <w:rsid w:val="00DC0C47"/>
    <w:rsid w:val="00DC0D99"/>
    <w:rsid w:val="00DC0E24"/>
    <w:rsid w:val="00DC10DE"/>
    <w:rsid w:val="00DC15A3"/>
    <w:rsid w:val="00DC163C"/>
    <w:rsid w:val="00DC1BFF"/>
    <w:rsid w:val="00DC1ED0"/>
    <w:rsid w:val="00DC246C"/>
    <w:rsid w:val="00DC273C"/>
    <w:rsid w:val="00DC292A"/>
    <w:rsid w:val="00DC2E82"/>
    <w:rsid w:val="00DC2FEB"/>
    <w:rsid w:val="00DC31D4"/>
    <w:rsid w:val="00DC3301"/>
    <w:rsid w:val="00DC37CA"/>
    <w:rsid w:val="00DC3B77"/>
    <w:rsid w:val="00DC3C20"/>
    <w:rsid w:val="00DC3E44"/>
    <w:rsid w:val="00DC450B"/>
    <w:rsid w:val="00DC48F0"/>
    <w:rsid w:val="00DC49E4"/>
    <w:rsid w:val="00DC49ED"/>
    <w:rsid w:val="00DC49FA"/>
    <w:rsid w:val="00DC4FAA"/>
    <w:rsid w:val="00DC59EB"/>
    <w:rsid w:val="00DC5F6A"/>
    <w:rsid w:val="00DC608A"/>
    <w:rsid w:val="00DC613E"/>
    <w:rsid w:val="00DC65F1"/>
    <w:rsid w:val="00DC66DB"/>
    <w:rsid w:val="00DC6C88"/>
    <w:rsid w:val="00DC7172"/>
    <w:rsid w:val="00DC73A3"/>
    <w:rsid w:val="00DC757A"/>
    <w:rsid w:val="00DD0562"/>
    <w:rsid w:val="00DD0886"/>
    <w:rsid w:val="00DD1B1C"/>
    <w:rsid w:val="00DD2024"/>
    <w:rsid w:val="00DD2475"/>
    <w:rsid w:val="00DD2781"/>
    <w:rsid w:val="00DD2F75"/>
    <w:rsid w:val="00DD2F9E"/>
    <w:rsid w:val="00DD3B2F"/>
    <w:rsid w:val="00DD3DE1"/>
    <w:rsid w:val="00DD46BE"/>
    <w:rsid w:val="00DD46C7"/>
    <w:rsid w:val="00DD47A3"/>
    <w:rsid w:val="00DD499D"/>
    <w:rsid w:val="00DD4C66"/>
    <w:rsid w:val="00DD4F0A"/>
    <w:rsid w:val="00DD511E"/>
    <w:rsid w:val="00DD5679"/>
    <w:rsid w:val="00DD57D9"/>
    <w:rsid w:val="00DD5E2A"/>
    <w:rsid w:val="00DD6033"/>
    <w:rsid w:val="00DD6275"/>
    <w:rsid w:val="00DD63EE"/>
    <w:rsid w:val="00DD64EF"/>
    <w:rsid w:val="00DD6D01"/>
    <w:rsid w:val="00DD7504"/>
    <w:rsid w:val="00DD7684"/>
    <w:rsid w:val="00DD7941"/>
    <w:rsid w:val="00DD7FB8"/>
    <w:rsid w:val="00DE011B"/>
    <w:rsid w:val="00DE0222"/>
    <w:rsid w:val="00DE03A8"/>
    <w:rsid w:val="00DE03FD"/>
    <w:rsid w:val="00DE10AC"/>
    <w:rsid w:val="00DE12C2"/>
    <w:rsid w:val="00DE1DC2"/>
    <w:rsid w:val="00DE2197"/>
    <w:rsid w:val="00DE2395"/>
    <w:rsid w:val="00DE24D9"/>
    <w:rsid w:val="00DE2BAA"/>
    <w:rsid w:val="00DE2BCD"/>
    <w:rsid w:val="00DE3996"/>
    <w:rsid w:val="00DE3A65"/>
    <w:rsid w:val="00DE446F"/>
    <w:rsid w:val="00DE47DA"/>
    <w:rsid w:val="00DE4890"/>
    <w:rsid w:val="00DE48A1"/>
    <w:rsid w:val="00DE48CA"/>
    <w:rsid w:val="00DE4C4E"/>
    <w:rsid w:val="00DE4FAB"/>
    <w:rsid w:val="00DE50DD"/>
    <w:rsid w:val="00DE5345"/>
    <w:rsid w:val="00DE54DE"/>
    <w:rsid w:val="00DE5907"/>
    <w:rsid w:val="00DE6602"/>
    <w:rsid w:val="00DE6794"/>
    <w:rsid w:val="00DE6C14"/>
    <w:rsid w:val="00DE6FE1"/>
    <w:rsid w:val="00DE74F5"/>
    <w:rsid w:val="00DE7745"/>
    <w:rsid w:val="00DE7BC3"/>
    <w:rsid w:val="00DE7BE8"/>
    <w:rsid w:val="00DF07E8"/>
    <w:rsid w:val="00DF0D25"/>
    <w:rsid w:val="00DF0FB1"/>
    <w:rsid w:val="00DF1291"/>
    <w:rsid w:val="00DF1492"/>
    <w:rsid w:val="00DF17BD"/>
    <w:rsid w:val="00DF19A2"/>
    <w:rsid w:val="00DF1B50"/>
    <w:rsid w:val="00DF1B61"/>
    <w:rsid w:val="00DF1CE4"/>
    <w:rsid w:val="00DF1D16"/>
    <w:rsid w:val="00DF3048"/>
    <w:rsid w:val="00DF3051"/>
    <w:rsid w:val="00DF343E"/>
    <w:rsid w:val="00DF36BF"/>
    <w:rsid w:val="00DF3915"/>
    <w:rsid w:val="00DF3B31"/>
    <w:rsid w:val="00DF3D4F"/>
    <w:rsid w:val="00DF3E28"/>
    <w:rsid w:val="00DF3FC2"/>
    <w:rsid w:val="00DF3FFA"/>
    <w:rsid w:val="00DF42A7"/>
    <w:rsid w:val="00DF4391"/>
    <w:rsid w:val="00DF4709"/>
    <w:rsid w:val="00DF4985"/>
    <w:rsid w:val="00DF4BD2"/>
    <w:rsid w:val="00DF565D"/>
    <w:rsid w:val="00DF5BB8"/>
    <w:rsid w:val="00DF6BD8"/>
    <w:rsid w:val="00DF6C8E"/>
    <w:rsid w:val="00DF6EA8"/>
    <w:rsid w:val="00DF7070"/>
    <w:rsid w:val="00DF7087"/>
    <w:rsid w:val="00DF7807"/>
    <w:rsid w:val="00DF7A97"/>
    <w:rsid w:val="00DF7B31"/>
    <w:rsid w:val="00DF7D88"/>
    <w:rsid w:val="00E0007B"/>
    <w:rsid w:val="00E0041A"/>
    <w:rsid w:val="00E005BB"/>
    <w:rsid w:val="00E0095E"/>
    <w:rsid w:val="00E015F4"/>
    <w:rsid w:val="00E019FE"/>
    <w:rsid w:val="00E02344"/>
    <w:rsid w:val="00E027E9"/>
    <w:rsid w:val="00E028EF"/>
    <w:rsid w:val="00E02A91"/>
    <w:rsid w:val="00E04238"/>
    <w:rsid w:val="00E04804"/>
    <w:rsid w:val="00E05499"/>
    <w:rsid w:val="00E05552"/>
    <w:rsid w:val="00E05A87"/>
    <w:rsid w:val="00E05E62"/>
    <w:rsid w:val="00E06190"/>
    <w:rsid w:val="00E06330"/>
    <w:rsid w:val="00E0689B"/>
    <w:rsid w:val="00E06ABC"/>
    <w:rsid w:val="00E06DB2"/>
    <w:rsid w:val="00E06EA6"/>
    <w:rsid w:val="00E0734A"/>
    <w:rsid w:val="00E076E9"/>
    <w:rsid w:val="00E078AA"/>
    <w:rsid w:val="00E1095B"/>
    <w:rsid w:val="00E10CE7"/>
    <w:rsid w:val="00E11E0F"/>
    <w:rsid w:val="00E1216F"/>
    <w:rsid w:val="00E12921"/>
    <w:rsid w:val="00E13023"/>
    <w:rsid w:val="00E134EE"/>
    <w:rsid w:val="00E13649"/>
    <w:rsid w:val="00E1447A"/>
    <w:rsid w:val="00E14685"/>
    <w:rsid w:val="00E14714"/>
    <w:rsid w:val="00E150C0"/>
    <w:rsid w:val="00E150FD"/>
    <w:rsid w:val="00E15388"/>
    <w:rsid w:val="00E158DB"/>
    <w:rsid w:val="00E1591F"/>
    <w:rsid w:val="00E16377"/>
    <w:rsid w:val="00E16A55"/>
    <w:rsid w:val="00E16FFD"/>
    <w:rsid w:val="00E1700C"/>
    <w:rsid w:val="00E17217"/>
    <w:rsid w:val="00E17425"/>
    <w:rsid w:val="00E17934"/>
    <w:rsid w:val="00E17AD2"/>
    <w:rsid w:val="00E17DF9"/>
    <w:rsid w:val="00E2075F"/>
    <w:rsid w:val="00E20A94"/>
    <w:rsid w:val="00E20D99"/>
    <w:rsid w:val="00E226A2"/>
    <w:rsid w:val="00E22755"/>
    <w:rsid w:val="00E227FE"/>
    <w:rsid w:val="00E2368D"/>
    <w:rsid w:val="00E238A7"/>
    <w:rsid w:val="00E23D8B"/>
    <w:rsid w:val="00E246A7"/>
    <w:rsid w:val="00E246AA"/>
    <w:rsid w:val="00E24CD5"/>
    <w:rsid w:val="00E2509C"/>
    <w:rsid w:val="00E259FF"/>
    <w:rsid w:val="00E25B82"/>
    <w:rsid w:val="00E26014"/>
    <w:rsid w:val="00E26150"/>
    <w:rsid w:val="00E279A9"/>
    <w:rsid w:val="00E279D1"/>
    <w:rsid w:val="00E27D37"/>
    <w:rsid w:val="00E300B7"/>
    <w:rsid w:val="00E30339"/>
    <w:rsid w:val="00E31447"/>
    <w:rsid w:val="00E3235B"/>
    <w:rsid w:val="00E32DE0"/>
    <w:rsid w:val="00E32E5D"/>
    <w:rsid w:val="00E32F37"/>
    <w:rsid w:val="00E33007"/>
    <w:rsid w:val="00E331A4"/>
    <w:rsid w:val="00E331B8"/>
    <w:rsid w:val="00E3377F"/>
    <w:rsid w:val="00E33990"/>
    <w:rsid w:val="00E34122"/>
    <w:rsid w:val="00E34AC0"/>
    <w:rsid w:val="00E34C6D"/>
    <w:rsid w:val="00E34F2E"/>
    <w:rsid w:val="00E35390"/>
    <w:rsid w:val="00E37096"/>
    <w:rsid w:val="00E37A7E"/>
    <w:rsid w:val="00E37CAE"/>
    <w:rsid w:val="00E37E47"/>
    <w:rsid w:val="00E37EEE"/>
    <w:rsid w:val="00E40323"/>
    <w:rsid w:val="00E40845"/>
    <w:rsid w:val="00E41196"/>
    <w:rsid w:val="00E4176B"/>
    <w:rsid w:val="00E4197C"/>
    <w:rsid w:val="00E43089"/>
    <w:rsid w:val="00E43DC5"/>
    <w:rsid w:val="00E4420E"/>
    <w:rsid w:val="00E443CE"/>
    <w:rsid w:val="00E44F10"/>
    <w:rsid w:val="00E45477"/>
    <w:rsid w:val="00E456B4"/>
    <w:rsid w:val="00E4582D"/>
    <w:rsid w:val="00E45A08"/>
    <w:rsid w:val="00E46363"/>
    <w:rsid w:val="00E46449"/>
    <w:rsid w:val="00E4686F"/>
    <w:rsid w:val="00E46A4F"/>
    <w:rsid w:val="00E471B8"/>
    <w:rsid w:val="00E47BDC"/>
    <w:rsid w:val="00E50149"/>
    <w:rsid w:val="00E50323"/>
    <w:rsid w:val="00E50882"/>
    <w:rsid w:val="00E50C75"/>
    <w:rsid w:val="00E50D5A"/>
    <w:rsid w:val="00E50DEF"/>
    <w:rsid w:val="00E5140F"/>
    <w:rsid w:val="00E51895"/>
    <w:rsid w:val="00E51B4D"/>
    <w:rsid w:val="00E51CF4"/>
    <w:rsid w:val="00E51D2C"/>
    <w:rsid w:val="00E51F04"/>
    <w:rsid w:val="00E51F26"/>
    <w:rsid w:val="00E52992"/>
    <w:rsid w:val="00E52A25"/>
    <w:rsid w:val="00E52B20"/>
    <w:rsid w:val="00E52CB9"/>
    <w:rsid w:val="00E52F40"/>
    <w:rsid w:val="00E53088"/>
    <w:rsid w:val="00E53A7C"/>
    <w:rsid w:val="00E548EA"/>
    <w:rsid w:val="00E55045"/>
    <w:rsid w:val="00E55616"/>
    <w:rsid w:val="00E557A5"/>
    <w:rsid w:val="00E558E2"/>
    <w:rsid w:val="00E55966"/>
    <w:rsid w:val="00E55A86"/>
    <w:rsid w:val="00E55C07"/>
    <w:rsid w:val="00E55CD5"/>
    <w:rsid w:val="00E55E84"/>
    <w:rsid w:val="00E55FC8"/>
    <w:rsid w:val="00E560AF"/>
    <w:rsid w:val="00E56970"/>
    <w:rsid w:val="00E56F8B"/>
    <w:rsid w:val="00E56FC4"/>
    <w:rsid w:val="00E577F5"/>
    <w:rsid w:val="00E57A5E"/>
    <w:rsid w:val="00E57B51"/>
    <w:rsid w:val="00E57E79"/>
    <w:rsid w:val="00E600B9"/>
    <w:rsid w:val="00E60318"/>
    <w:rsid w:val="00E604AE"/>
    <w:rsid w:val="00E60AD6"/>
    <w:rsid w:val="00E612C6"/>
    <w:rsid w:val="00E612ED"/>
    <w:rsid w:val="00E617A1"/>
    <w:rsid w:val="00E61B05"/>
    <w:rsid w:val="00E61F8E"/>
    <w:rsid w:val="00E620F2"/>
    <w:rsid w:val="00E630BE"/>
    <w:rsid w:val="00E6347B"/>
    <w:rsid w:val="00E6384D"/>
    <w:rsid w:val="00E63919"/>
    <w:rsid w:val="00E63CA9"/>
    <w:rsid w:val="00E64054"/>
    <w:rsid w:val="00E64075"/>
    <w:rsid w:val="00E6437E"/>
    <w:rsid w:val="00E644C9"/>
    <w:rsid w:val="00E64CE8"/>
    <w:rsid w:val="00E653C5"/>
    <w:rsid w:val="00E654DC"/>
    <w:rsid w:val="00E65949"/>
    <w:rsid w:val="00E65B8E"/>
    <w:rsid w:val="00E65C88"/>
    <w:rsid w:val="00E66022"/>
    <w:rsid w:val="00E66054"/>
    <w:rsid w:val="00E66470"/>
    <w:rsid w:val="00E666BD"/>
    <w:rsid w:val="00E66B52"/>
    <w:rsid w:val="00E66E5F"/>
    <w:rsid w:val="00E67128"/>
    <w:rsid w:val="00E676CF"/>
    <w:rsid w:val="00E679BB"/>
    <w:rsid w:val="00E67BAE"/>
    <w:rsid w:val="00E703F4"/>
    <w:rsid w:val="00E70676"/>
    <w:rsid w:val="00E70863"/>
    <w:rsid w:val="00E70CE3"/>
    <w:rsid w:val="00E70FA5"/>
    <w:rsid w:val="00E721BE"/>
    <w:rsid w:val="00E72409"/>
    <w:rsid w:val="00E7320E"/>
    <w:rsid w:val="00E735DD"/>
    <w:rsid w:val="00E738A3"/>
    <w:rsid w:val="00E7393B"/>
    <w:rsid w:val="00E73A85"/>
    <w:rsid w:val="00E73D76"/>
    <w:rsid w:val="00E73EA5"/>
    <w:rsid w:val="00E74650"/>
    <w:rsid w:val="00E74A2F"/>
    <w:rsid w:val="00E74E8D"/>
    <w:rsid w:val="00E74EE3"/>
    <w:rsid w:val="00E751E5"/>
    <w:rsid w:val="00E752FA"/>
    <w:rsid w:val="00E7680C"/>
    <w:rsid w:val="00E768C5"/>
    <w:rsid w:val="00E77099"/>
    <w:rsid w:val="00E7709C"/>
    <w:rsid w:val="00E771C0"/>
    <w:rsid w:val="00E77233"/>
    <w:rsid w:val="00E77259"/>
    <w:rsid w:val="00E77713"/>
    <w:rsid w:val="00E77801"/>
    <w:rsid w:val="00E77D6C"/>
    <w:rsid w:val="00E8082F"/>
    <w:rsid w:val="00E80DE4"/>
    <w:rsid w:val="00E80E8B"/>
    <w:rsid w:val="00E82BB6"/>
    <w:rsid w:val="00E82CE8"/>
    <w:rsid w:val="00E8394A"/>
    <w:rsid w:val="00E83AC5"/>
    <w:rsid w:val="00E842C1"/>
    <w:rsid w:val="00E8497C"/>
    <w:rsid w:val="00E84D57"/>
    <w:rsid w:val="00E85114"/>
    <w:rsid w:val="00E8518A"/>
    <w:rsid w:val="00E9000F"/>
    <w:rsid w:val="00E90362"/>
    <w:rsid w:val="00E909E8"/>
    <w:rsid w:val="00E9130E"/>
    <w:rsid w:val="00E913E4"/>
    <w:rsid w:val="00E914FB"/>
    <w:rsid w:val="00E91A95"/>
    <w:rsid w:val="00E91D12"/>
    <w:rsid w:val="00E93001"/>
    <w:rsid w:val="00E931F6"/>
    <w:rsid w:val="00E9350F"/>
    <w:rsid w:val="00E935BC"/>
    <w:rsid w:val="00E9375C"/>
    <w:rsid w:val="00E937B5"/>
    <w:rsid w:val="00E93BFF"/>
    <w:rsid w:val="00E941C0"/>
    <w:rsid w:val="00E9429D"/>
    <w:rsid w:val="00E94338"/>
    <w:rsid w:val="00E9466D"/>
    <w:rsid w:val="00E94829"/>
    <w:rsid w:val="00E94A1C"/>
    <w:rsid w:val="00E94D17"/>
    <w:rsid w:val="00E94EE3"/>
    <w:rsid w:val="00E950C5"/>
    <w:rsid w:val="00E9535B"/>
    <w:rsid w:val="00E95406"/>
    <w:rsid w:val="00E95C33"/>
    <w:rsid w:val="00E9648B"/>
    <w:rsid w:val="00E96936"/>
    <w:rsid w:val="00E96B4D"/>
    <w:rsid w:val="00E970F6"/>
    <w:rsid w:val="00E975C6"/>
    <w:rsid w:val="00E97B5C"/>
    <w:rsid w:val="00E97BE1"/>
    <w:rsid w:val="00EA0DC1"/>
    <w:rsid w:val="00EA11CA"/>
    <w:rsid w:val="00EA1878"/>
    <w:rsid w:val="00EA1A92"/>
    <w:rsid w:val="00EA1C51"/>
    <w:rsid w:val="00EA1DD3"/>
    <w:rsid w:val="00EA31F2"/>
    <w:rsid w:val="00EA34E7"/>
    <w:rsid w:val="00EA36B6"/>
    <w:rsid w:val="00EA388C"/>
    <w:rsid w:val="00EA4781"/>
    <w:rsid w:val="00EA4BEA"/>
    <w:rsid w:val="00EA5670"/>
    <w:rsid w:val="00EA58E4"/>
    <w:rsid w:val="00EA6080"/>
    <w:rsid w:val="00EA6760"/>
    <w:rsid w:val="00EA6CE0"/>
    <w:rsid w:val="00EA79AC"/>
    <w:rsid w:val="00EB0434"/>
    <w:rsid w:val="00EB0DC6"/>
    <w:rsid w:val="00EB11F9"/>
    <w:rsid w:val="00EB1237"/>
    <w:rsid w:val="00EB19B5"/>
    <w:rsid w:val="00EB1D30"/>
    <w:rsid w:val="00EB1F2A"/>
    <w:rsid w:val="00EB26BA"/>
    <w:rsid w:val="00EB28BD"/>
    <w:rsid w:val="00EB2BFC"/>
    <w:rsid w:val="00EB2EE8"/>
    <w:rsid w:val="00EB3C7A"/>
    <w:rsid w:val="00EB3D6C"/>
    <w:rsid w:val="00EB4060"/>
    <w:rsid w:val="00EB4769"/>
    <w:rsid w:val="00EB4887"/>
    <w:rsid w:val="00EB4EC2"/>
    <w:rsid w:val="00EB51BA"/>
    <w:rsid w:val="00EB5578"/>
    <w:rsid w:val="00EB56F7"/>
    <w:rsid w:val="00EB60DF"/>
    <w:rsid w:val="00EB6451"/>
    <w:rsid w:val="00EB6C73"/>
    <w:rsid w:val="00EB6EDD"/>
    <w:rsid w:val="00EB71A4"/>
    <w:rsid w:val="00EB73CF"/>
    <w:rsid w:val="00EB7508"/>
    <w:rsid w:val="00EB76DB"/>
    <w:rsid w:val="00EB7706"/>
    <w:rsid w:val="00EB7759"/>
    <w:rsid w:val="00EC03AA"/>
    <w:rsid w:val="00EC063A"/>
    <w:rsid w:val="00EC0773"/>
    <w:rsid w:val="00EC0941"/>
    <w:rsid w:val="00EC0B2D"/>
    <w:rsid w:val="00EC0B2F"/>
    <w:rsid w:val="00EC0BA7"/>
    <w:rsid w:val="00EC0C40"/>
    <w:rsid w:val="00EC0D17"/>
    <w:rsid w:val="00EC0FA6"/>
    <w:rsid w:val="00EC0FDC"/>
    <w:rsid w:val="00EC1039"/>
    <w:rsid w:val="00EC11C4"/>
    <w:rsid w:val="00EC18AA"/>
    <w:rsid w:val="00EC2144"/>
    <w:rsid w:val="00EC21F3"/>
    <w:rsid w:val="00EC4063"/>
    <w:rsid w:val="00EC460A"/>
    <w:rsid w:val="00EC46F7"/>
    <w:rsid w:val="00EC4820"/>
    <w:rsid w:val="00EC4CB3"/>
    <w:rsid w:val="00EC4F87"/>
    <w:rsid w:val="00EC59F7"/>
    <w:rsid w:val="00EC6286"/>
    <w:rsid w:val="00EC6B58"/>
    <w:rsid w:val="00EC7243"/>
    <w:rsid w:val="00EC7773"/>
    <w:rsid w:val="00EC794D"/>
    <w:rsid w:val="00ED025B"/>
    <w:rsid w:val="00ED0385"/>
    <w:rsid w:val="00ED1AD6"/>
    <w:rsid w:val="00ED1CE1"/>
    <w:rsid w:val="00ED2167"/>
    <w:rsid w:val="00ED26CA"/>
    <w:rsid w:val="00ED3419"/>
    <w:rsid w:val="00ED381B"/>
    <w:rsid w:val="00ED3984"/>
    <w:rsid w:val="00ED39C5"/>
    <w:rsid w:val="00ED4572"/>
    <w:rsid w:val="00ED5216"/>
    <w:rsid w:val="00ED5228"/>
    <w:rsid w:val="00ED5442"/>
    <w:rsid w:val="00ED5CB8"/>
    <w:rsid w:val="00ED688B"/>
    <w:rsid w:val="00ED69B9"/>
    <w:rsid w:val="00ED6F19"/>
    <w:rsid w:val="00ED75A9"/>
    <w:rsid w:val="00ED75F1"/>
    <w:rsid w:val="00EE01AC"/>
    <w:rsid w:val="00EE0351"/>
    <w:rsid w:val="00EE06CD"/>
    <w:rsid w:val="00EE0E00"/>
    <w:rsid w:val="00EE1237"/>
    <w:rsid w:val="00EE1287"/>
    <w:rsid w:val="00EE1F10"/>
    <w:rsid w:val="00EE2207"/>
    <w:rsid w:val="00EE27EF"/>
    <w:rsid w:val="00EE292E"/>
    <w:rsid w:val="00EE3234"/>
    <w:rsid w:val="00EE342F"/>
    <w:rsid w:val="00EE34BA"/>
    <w:rsid w:val="00EE38C2"/>
    <w:rsid w:val="00EE3D8A"/>
    <w:rsid w:val="00EE3E88"/>
    <w:rsid w:val="00EE4195"/>
    <w:rsid w:val="00EE4387"/>
    <w:rsid w:val="00EE4556"/>
    <w:rsid w:val="00EE47E6"/>
    <w:rsid w:val="00EE4F22"/>
    <w:rsid w:val="00EE559D"/>
    <w:rsid w:val="00EE560E"/>
    <w:rsid w:val="00EE5688"/>
    <w:rsid w:val="00EE5C15"/>
    <w:rsid w:val="00EE5C8A"/>
    <w:rsid w:val="00EE5E1B"/>
    <w:rsid w:val="00EE5ED4"/>
    <w:rsid w:val="00EE7050"/>
    <w:rsid w:val="00EE7D58"/>
    <w:rsid w:val="00EF000F"/>
    <w:rsid w:val="00EF0655"/>
    <w:rsid w:val="00EF105A"/>
    <w:rsid w:val="00EF10CD"/>
    <w:rsid w:val="00EF1271"/>
    <w:rsid w:val="00EF12C1"/>
    <w:rsid w:val="00EF13E6"/>
    <w:rsid w:val="00EF1E9D"/>
    <w:rsid w:val="00EF21F0"/>
    <w:rsid w:val="00EF29E5"/>
    <w:rsid w:val="00EF2ED1"/>
    <w:rsid w:val="00EF37F5"/>
    <w:rsid w:val="00EF3A31"/>
    <w:rsid w:val="00EF3B1C"/>
    <w:rsid w:val="00EF3BE8"/>
    <w:rsid w:val="00EF402E"/>
    <w:rsid w:val="00EF4363"/>
    <w:rsid w:val="00EF4421"/>
    <w:rsid w:val="00EF449C"/>
    <w:rsid w:val="00EF48A5"/>
    <w:rsid w:val="00EF4FA5"/>
    <w:rsid w:val="00EF5659"/>
    <w:rsid w:val="00EF56A5"/>
    <w:rsid w:val="00EF56C4"/>
    <w:rsid w:val="00EF5FA6"/>
    <w:rsid w:val="00EF5FE7"/>
    <w:rsid w:val="00EF63E3"/>
    <w:rsid w:val="00EF643D"/>
    <w:rsid w:val="00EF6ADC"/>
    <w:rsid w:val="00EF6C67"/>
    <w:rsid w:val="00EF7833"/>
    <w:rsid w:val="00EF79EE"/>
    <w:rsid w:val="00EF7A60"/>
    <w:rsid w:val="00EF7D4A"/>
    <w:rsid w:val="00F00252"/>
    <w:rsid w:val="00F00AA5"/>
    <w:rsid w:val="00F01286"/>
    <w:rsid w:val="00F012C9"/>
    <w:rsid w:val="00F0142B"/>
    <w:rsid w:val="00F01700"/>
    <w:rsid w:val="00F019D5"/>
    <w:rsid w:val="00F01CF7"/>
    <w:rsid w:val="00F0201C"/>
    <w:rsid w:val="00F02AE4"/>
    <w:rsid w:val="00F02F93"/>
    <w:rsid w:val="00F03516"/>
    <w:rsid w:val="00F036EF"/>
    <w:rsid w:val="00F037E0"/>
    <w:rsid w:val="00F03DA0"/>
    <w:rsid w:val="00F0462D"/>
    <w:rsid w:val="00F048E8"/>
    <w:rsid w:val="00F049AA"/>
    <w:rsid w:val="00F04A27"/>
    <w:rsid w:val="00F05088"/>
    <w:rsid w:val="00F06377"/>
    <w:rsid w:val="00F06EB8"/>
    <w:rsid w:val="00F07245"/>
    <w:rsid w:val="00F076D9"/>
    <w:rsid w:val="00F10015"/>
    <w:rsid w:val="00F100ED"/>
    <w:rsid w:val="00F10509"/>
    <w:rsid w:val="00F10F8E"/>
    <w:rsid w:val="00F110A5"/>
    <w:rsid w:val="00F1152B"/>
    <w:rsid w:val="00F118B4"/>
    <w:rsid w:val="00F11AD1"/>
    <w:rsid w:val="00F11D6A"/>
    <w:rsid w:val="00F11EE0"/>
    <w:rsid w:val="00F11F6C"/>
    <w:rsid w:val="00F11F81"/>
    <w:rsid w:val="00F12140"/>
    <w:rsid w:val="00F121F1"/>
    <w:rsid w:val="00F124CB"/>
    <w:rsid w:val="00F124E5"/>
    <w:rsid w:val="00F12EEB"/>
    <w:rsid w:val="00F133AE"/>
    <w:rsid w:val="00F134C1"/>
    <w:rsid w:val="00F13586"/>
    <w:rsid w:val="00F135A9"/>
    <w:rsid w:val="00F13630"/>
    <w:rsid w:val="00F137D9"/>
    <w:rsid w:val="00F143CD"/>
    <w:rsid w:val="00F146EE"/>
    <w:rsid w:val="00F14D63"/>
    <w:rsid w:val="00F1524A"/>
    <w:rsid w:val="00F1556D"/>
    <w:rsid w:val="00F16342"/>
    <w:rsid w:val="00F16B34"/>
    <w:rsid w:val="00F173FA"/>
    <w:rsid w:val="00F17769"/>
    <w:rsid w:val="00F1781E"/>
    <w:rsid w:val="00F179DA"/>
    <w:rsid w:val="00F17C01"/>
    <w:rsid w:val="00F17DDD"/>
    <w:rsid w:val="00F20464"/>
    <w:rsid w:val="00F2048B"/>
    <w:rsid w:val="00F207BE"/>
    <w:rsid w:val="00F20BF9"/>
    <w:rsid w:val="00F2130B"/>
    <w:rsid w:val="00F21D76"/>
    <w:rsid w:val="00F22641"/>
    <w:rsid w:val="00F22672"/>
    <w:rsid w:val="00F2341C"/>
    <w:rsid w:val="00F234FF"/>
    <w:rsid w:val="00F2370E"/>
    <w:rsid w:val="00F239F8"/>
    <w:rsid w:val="00F23A3E"/>
    <w:rsid w:val="00F24296"/>
    <w:rsid w:val="00F24310"/>
    <w:rsid w:val="00F24442"/>
    <w:rsid w:val="00F246C1"/>
    <w:rsid w:val="00F246CF"/>
    <w:rsid w:val="00F247B2"/>
    <w:rsid w:val="00F2495E"/>
    <w:rsid w:val="00F24989"/>
    <w:rsid w:val="00F249B6"/>
    <w:rsid w:val="00F249F6"/>
    <w:rsid w:val="00F24D03"/>
    <w:rsid w:val="00F24F32"/>
    <w:rsid w:val="00F24F96"/>
    <w:rsid w:val="00F2523D"/>
    <w:rsid w:val="00F2538B"/>
    <w:rsid w:val="00F25A3F"/>
    <w:rsid w:val="00F25B15"/>
    <w:rsid w:val="00F26326"/>
    <w:rsid w:val="00F2633B"/>
    <w:rsid w:val="00F26E25"/>
    <w:rsid w:val="00F27758"/>
    <w:rsid w:val="00F27B0E"/>
    <w:rsid w:val="00F27D63"/>
    <w:rsid w:val="00F30185"/>
    <w:rsid w:val="00F30C27"/>
    <w:rsid w:val="00F31673"/>
    <w:rsid w:val="00F316B6"/>
    <w:rsid w:val="00F3180F"/>
    <w:rsid w:val="00F318BD"/>
    <w:rsid w:val="00F31A52"/>
    <w:rsid w:val="00F31DA2"/>
    <w:rsid w:val="00F32196"/>
    <w:rsid w:val="00F322D8"/>
    <w:rsid w:val="00F3260A"/>
    <w:rsid w:val="00F32816"/>
    <w:rsid w:val="00F33832"/>
    <w:rsid w:val="00F33882"/>
    <w:rsid w:val="00F33B09"/>
    <w:rsid w:val="00F33D1D"/>
    <w:rsid w:val="00F33F81"/>
    <w:rsid w:val="00F34212"/>
    <w:rsid w:val="00F3421F"/>
    <w:rsid w:val="00F3424A"/>
    <w:rsid w:val="00F34766"/>
    <w:rsid w:val="00F34778"/>
    <w:rsid w:val="00F34B60"/>
    <w:rsid w:val="00F35D89"/>
    <w:rsid w:val="00F35DF5"/>
    <w:rsid w:val="00F35F8B"/>
    <w:rsid w:val="00F3676B"/>
    <w:rsid w:val="00F3676F"/>
    <w:rsid w:val="00F36ABF"/>
    <w:rsid w:val="00F36CE1"/>
    <w:rsid w:val="00F37455"/>
    <w:rsid w:val="00F37695"/>
    <w:rsid w:val="00F37DA5"/>
    <w:rsid w:val="00F3BE22"/>
    <w:rsid w:val="00F40146"/>
    <w:rsid w:val="00F408AE"/>
    <w:rsid w:val="00F40974"/>
    <w:rsid w:val="00F40C34"/>
    <w:rsid w:val="00F4115B"/>
    <w:rsid w:val="00F415E9"/>
    <w:rsid w:val="00F41C30"/>
    <w:rsid w:val="00F41E76"/>
    <w:rsid w:val="00F41F49"/>
    <w:rsid w:val="00F4206B"/>
    <w:rsid w:val="00F4250F"/>
    <w:rsid w:val="00F4254B"/>
    <w:rsid w:val="00F4290E"/>
    <w:rsid w:val="00F42B8E"/>
    <w:rsid w:val="00F43108"/>
    <w:rsid w:val="00F43EDD"/>
    <w:rsid w:val="00F44233"/>
    <w:rsid w:val="00F4547B"/>
    <w:rsid w:val="00F45492"/>
    <w:rsid w:val="00F456CE"/>
    <w:rsid w:val="00F45B45"/>
    <w:rsid w:val="00F468EC"/>
    <w:rsid w:val="00F47242"/>
    <w:rsid w:val="00F47413"/>
    <w:rsid w:val="00F47D3E"/>
    <w:rsid w:val="00F500DF"/>
    <w:rsid w:val="00F508F7"/>
    <w:rsid w:val="00F50F33"/>
    <w:rsid w:val="00F5135A"/>
    <w:rsid w:val="00F51852"/>
    <w:rsid w:val="00F518BE"/>
    <w:rsid w:val="00F51AAE"/>
    <w:rsid w:val="00F51C00"/>
    <w:rsid w:val="00F51FF4"/>
    <w:rsid w:val="00F520AC"/>
    <w:rsid w:val="00F5330C"/>
    <w:rsid w:val="00F533F0"/>
    <w:rsid w:val="00F5360E"/>
    <w:rsid w:val="00F541F6"/>
    <w:rsid w:val="00F54B42"/>
    <w:rsid w:val="00F54D75"/>
    <w:rsid w:val="00F5508A"/>
    <w:rsid w:val="00F551E8"/>
    <w:rsid w:val="00F55CDB"/>
    <w:rsid w:val="00F56C76"/>
    <w:rsid w:val="00F56EC3"/>
    <w:rsid w:val="00F56F28"/>
    <w:rsid w:val="00F56FEA"/>
    <w:rsid w:val="00F571D6"/>
    <w:rsid w:val="00F57624"/>
    <w:rsid w:val="00F57AE9"/>
    <w:rsid w:val="00F57E75"/>
    <w:rsid w:val="00F60213"/>
    <w:rsid w:val="00F606CD"/>
    <w:rsid w:val="00F6080F"/>
    <w:rsid w:val="00F60C7B"/>
    <w:rsid w:val="00F60F57"/>
    <w:rsid w:val="00F6150D"/>
    <w:rsid w:val="00F615E1"/>
    <w:rsid w:val="00F61692"/>
    <w:rsid w:val="00F616AB"/>
    <w:rsid w:val="00F619D4"/>
    <w:rsid w:val="00F61AFD"/>
    <w:rsid w:val="00F61B87"/>
    <w:rsid w:val="00F6208A"/>
    <w:rsid w:val="00F620E1"/>
    <w:rsid w:val="00F62A71"/>
    <w:rsid w:val="00F62B55"/>
    <w:rsid w:val="00F62BD9"/>
    <w:rsid w:val="00F62EAE"/>
    <w:rsid w:val="00F63421"/>
    <w:rsid w:val="00F63445"/>
    <w:rsid w:val="00F634E5"/>
    <w:rsid w:val="00F6362D"/>
    <w:rsid w:val="00F637F1"/>
    <w:rsid w:val="00F63C51"/>
    <w:rsid w:val="00F63D64"/>
    <w:rsid w:val="00F63F0D"/>
    <w:rsid w:val="00F64041"/>
    <w:rsid w:val="00F64403"/>
    <w:rsid w:val="00F64759"/>
    <w:rsid w:val="00F64927"/>
    <w:rsid w:val="00F64CA5"/>
    <w:rsid w:val="00F64F25"/>
    <w:rsid w:val="00F65246"/>
    <w:rsid w:val="00F6570B"/>
    <w:rsid w:val="00F65A6C"/>
    <w:rsid w:val="00F65B4C"/>
    <w:rsid w:val="00F671BD"/>
    <w:rsid w:val="00F67B8D"/>
    <w:rsid w:val="00F70297"/>
    <w:rsid w:val="00F702BE"/>
    <w:rsid w:val="00F70954"/>
    <w:rsid w:val="00F70E08"/>
    <w:rsid w:val="00F7111A"/>
    <w:rsid w:val="00F718A9"/>
    <w:rsid w:val="00F71930"/>
    <w:rsid w:val="00F71A2B"/>
    <w:rsid w:val="00F71B75"/>
    <w:rsid w:val="00F71E19"/>
    <w:rsid w:val="00F71FC0"/>
    <w:rsid w:val="00F720BB"/>
    <w:rsid w:val="00F72193"/>
    <w:rsid w:val="00F7222E"/>
    <w:rsid w:val="00F7224F"/>
    <w:rsid w:val="00F72E06"/>
    <w:rsid w:val="00F7302C"/>
    <w:rsid w:val="00F730C6"/>
    <w:rsid w:val="00F73391"/>
    <w:rsid w:val="00F73A4E"/>
    <w:rsid w:val="00F73B7F"/>
    <w:rsid w:val="00F73D6C"/>
    <w:rsid w:val="00F73F8E"/>
    <w:rsid w:val="00F74210"/>
    <w:rsid w:val="00F74B75"/>
    <w:rsid w:val="00F74B99"/>
    <w:rsid w:val="00F750E0"/>
    <w:rsid w:val="00F7518E"/>
    <w:rsid w:val="00F75829"/>
    <w:rsid w:val="00F762E0"/>
    <w:rsid w:val="00F769DB"/>
    <w:rsid w:val="00F76AA1"/>
    <w:rsid w:val="00F76B31"/>
    <w:rsid w:val="00F76CB6"/>
    <w:rsid w:val="00F777B5"/>
    <w:rsid w:val="00F77968"/>
    <w:rsid w:val="00F77EFD"/>
    <w:rsid w:val="00F80139"/>
    <w:rsid w:val="00F80275"/>
    <w:rsid w:val="00F80372"/>
    <w:rsid w:val="00F80E5D"/>
    <w:rsid w:val="00F80EE6"/>
    <w:rsid w:val="00F81D91"/>
    <w:rsid w:val="00F824FE"/>
    <w:rsid w:val="00F83201"/>
    <w:rsid w:val="00F83467"/>
    <w:rsid w:val="00F8383F"/>
    <w:rsid w:val="00F842B8"/>
    <w:rsid w:val="00F844E5"/>
    <w:rsid w:val="00F846FD"/>
    <w:rsid w:val="00F84C80"/>
    <w:rsid w:val="00F8506D"/>
    <w:rsid w:val="00F850E5"/>
    <w:rsid w:val="00F85151"/>
    <w:rsid w:val="00F85159"/>
    <w:rsid w:val="00F855AC"/>
    <w:rsid w:val="00F858F5"/>
    <w:rsid w:val="00F85C89"/>
    <w:rsid w:val="00F873B0"/>
    <w:rsid w:val="00F87488"/>
    <w:rsid w:val="00F87BA1"/>
    <w:rsid w:val="00F87CE6"/>
    <w:rsid w:val="00F87F56"/>
    <w:rsid w:val="00F90330"/>
    <w:rsid w:val="00F904EC"/>
    <w:rsid w:val="00F90FA1"/>
    <w:rsid w:val="00F91103"/>
    <w:rsid w:val="00F9130B"/>
    <w:rsid w:val="00F91483"/>
    <w:rsid w:val="00F91E56"/>
    <w:rsid w:val="00F9202F"/>
    <w:rsid w:val="00F923D1"/>
    <w:rsid w:val="00F933ED"/>
    <w:rsid w:val="00F934DD"/>
    <w:rsid w:val="00F9352E"/>
    <w:rsid w:val="00F93866"/>
    <w:rsid w:val="00F93876"/>
    <w:rsid w:val="00F93DF3"/>
    <w:rsid w:val="00F948CB"/>
    <w:rsid w:val="00F94F40"/>
    <w:rsid w:val="00F94FC9"/>
    <w:rsid w:val="00F94FD7"/>
    <w:rsid w:val="00F95170"/>
    <w:rsid w:val="00F95377"/>
    <w:rsid w:val="00F954A0"/>
    <w:rsid w:val="00F95E16"/>
    <w:rsid w:val="00F963E6"/>
    <w:rsid w:val="00F96613"/>
    <w:rsid w:val="00F96912"/>
    <w:rsid w:val="00F96CE3"/>
    <w:rsid w:val="00F97730"/>
    <w:rsid w:val="00F9790B"/>
    <w:rsid w:val="00FA00DC"/>
    <w:rsid w:val="00FA0393"/>
    <w:rsid w:val="00FA07DB"/>
    <w:rsid w:val="00FA0F03"/>
    <w:rsid w:val="00FA115C"/>
    <w:rsid w:val="00FA1392"/>
    <w:rsid w:val="00FA1A02"/>
    <w:rsid w:val="00FA1D37"/>
    <w:rsid w:val="00FA3839"/>
    <w:rsid w:val="00FA3958"/>
    <w:rsid w:val="00FA4071"/>
    <w:rsid w:val="00FA45BC"/>
    <w:rsid w:val="00FA4A76"/>
    <w:rsid w:val="00FA4D35"/>
    <w:rsid w:val="00FA4E03"/>
    <w:rsid w:val="00FA4F3D"/>
    <w:rsid w:val="00FA51BF"/>
    <w:rsid w:val="00FA52DE"/>
    <w:rsid w:val="00FA5463"/>
    <w:rsid w:val="00FA5CB1"/>
    <w:rsid w:val="00FA69D7"/>
    <w:rsid w:val="00FA6C0A"/>
    <w:rsid w:val="00FA73BF"/>
    <w:rsid w:val="00FA7897"/>
    <w:rsid w:val="00FA7B2D"/>
    <w:rsid w:val="00FB0593"/>
    <w:rsid w:val="00FB05DF"/>
    <w:rsid w:val="00FB09E1"/>
    <w:rsid w:val="00FB0A21"/>
    <w:rsid w:val="00FB0BF3"/>
    <w:rsid w:val="00FB1B3F"/>
    <w:rsid w:val="00FB1DF6"/>
    <w:rsid w:val="00FB1EE0"/>
    <w:rsid w:val="00FB2144"/>
    <w:rsid w:val="00FB2CF2"/>
    <w:rsid w:val="00FB305C"/>
    <w:rsid w:val="00FB308C"/>
    <w:rsid w:val="00FB319A"/>
    <w:rsid w:val="00FB34E9"/>
    <w:rsid w:val="00FB3DBD"/>
    <w:rsid w:val="00FB40BF"/>
    <w:rsid w:val="00FB4300"/>
    <w:rsid w:val="00FB460C"/>
    <w:rsid w:val="00FB51A4"/>
    <w:rsid w:val="00FB56C0"/>
    <w:rsid w:val="00FB57DD"/>
    <w:rsid w:val="00FB5836"/>
    <w:rsid w:val="00FB595F"/>
    <w:rsid w:val="00FB5B90"/>
    <w:rsid w:val="00FB5BAA"/>
    <w:rsid w:val="00FB5D08"/>
    <w:rsid w:val="00FB5F00"/>
    <w:rsid w:val="00FB6271"/>
    <w:rsid w:val="00FB6415"/>
    <w:rsid w:val="00FB68B7"/>
    <w:rsid w:val="00FB6FC2"/>
    <w:rsid w:val="00FB7462"/>
    <w:rsid w:val="00FC0125"/>
    <w:rsid w:val="00FC037C"/>
    <w:rsid w:val="00FC05F1"/>
    <w:rsid w:val="00FC0617"/>
    <w:rsid w:val="00FC0FE2"/>
    <w:rsid w:val="00FC117D"/>
    <w:rsid w:val="00FC119F"/>
    <w:rsid w:val="00FC1295"/>
    <w:rsid w:val="00FC1F58"/>
    <w:rsid w:val="00FC2177"/>
    <w:rsid w:val="00FC231D"/>
    <w:rsid w:val="00FC2355"/>
    <w:rsid w:val="00FC2474"/>
    <w:rsid w:val="00FC2816"/>
    <w:rsid w:val="00FC2920"/>
    <w:rsid w:val="00FC2DCA"/>
    <w:rsid w:val="00FC3A54"/>
    <w:rsid w:val="00FC3A6D"/>
    <w:rsid w:val="00FC4303"/>
    <w:rsid w:val="00FC4BD0"/>
    <w:rsid w:val="00FC588D"/>
    <w:rsid w:val="00FC5E3A"/>
    <w:rsid w:val="00FC5FD1"/>
    <w:rsid w:val="00FC6121"/>
    <w:rsid w:val="00FC61CC"/>
    <w:rsid w:val="00FC6233"/>
    <w:rsid w:val="00FC630D"/>
    <w:rsid w:val="00FC6564"/>
    <w:rsid w:val="00FC6E1C"/>
    <w:rsid w:val="00FC6E26"/>
    <w:rsid w:val="00FC7044"/>
    <w:rsid w:val="00FC7179"/>
    <w:rsid w:val="00FD0166"/>
    <w:rsid w:val="00FD07AB"/>
    <w:rsid w:val="00FD0DB1"/>
    <w:rsid w:val="00FD196F"/>
    <w:rsid w:val="00FD1A71"/>
    <w:rsid w:val="00FD1FF0"/>
    <w:rsid w:val="00FD23E8"/>
    <w:rsid w:val="00FD27DC"/>
    <w:rsid w:val="00FD2A7E"/>
    <w:rsid w:val="00FD30BE"/>
    <w:rsid w:val="00FD3BE0"/>
    <w:rsid w:val="00FD432F"/>
    <w:rsid w:val="00FD4330"/>
    <w:rsid w:val="00FD4395"/>
    <w:rsid w:val="00FD4AE4"/>
    <w:rsid w:val="00FD4CA0"/>
    <w:rsid w:val="00FD4DB5"/>
    <w:rsid w:val="00FD5195"/>
    <w:rsid w:val="00FD55FB"/>
    <w:rsid w:val="00FD5778"/>
    <w:rsid w:val="00FD5C04"/>
    <w:rsid w:val="00FD5D3C"/>
    <w:rsid w:val="00FD62EA"/>
    <w:rsid w:val="00FD6345"/>
    <w:rsid w:val="00FD67FE"/>
    <w:rsid w:val="00FD6800"/>
    <w:rsid w:val="00FD694E"/>
    <w:rsid w:val="00FD6B89"/>
    <w:rsid w:val="00FD6CB3"/>
    <w:rsid w:val="00FD6CE2"/>
    <w:rsid w:val="00FD6E3E"/>
    <w:rsid w:val="00FD6F64"/>
    <w:rsid w:val="00FD7359"/>
    <w:rsid w:val="00FD7395"/>
    <w:rsid w:val="00FD74AE"/>
    <w:rsid w:val="00FD7C6B"/>
    <w:rsid w:val="00FE088E"/>
    <w:rsid w:val="00FE0B81"/>
    <w:rsid w:val="00FE0D3E"/>
    <w:rsid w:val="00FE10A1"/>
    <w:rsid w:val="00FE10F6"/>
    <w:rsid w:val="00FE180F"/>
    <w:rsid w:val="00FE1DCD"/>
    <w:rsid w:val="00FE209B"/>
    <w:rsid w:val="00FE2499"/>
    <w:rsid w:val="00FE2667"/>
    <w:rsid w:val="00FE306F"/>
    <w:rsid w:val="00FE316C"/>
    <w:rsid w:val="00FE42D7"/>
    <w:rsid w:val="00FE495D"/>
    <w:rsid w:val="00FE4C64"/>
    <w:rsid w:val="00FE4E5E"/>
    <w:rsid w:val="00FE4F9A"/>
    <w:rsid w:val="00FE5244"/>
    <w:rsid w:val="00FE5404"/>
    <w:rsid w:val="00FE5578"/>
    <w:rsid w:val="00FE55CC"/>
    <w:rsid w:val="00FE5EF0"/>
    <w:rsid w:val="00FE5F5C"/>
    <w:rsid w:val="00FE5FD7"/>
    <w:rsid w:val="00FE5FED"/>
    <w:rsid w:val="00FE6B6C"/>
    <w:rsid w:val="00FE7FA5"/>
    <w:rsid w:val="00FF0308"/>
    <w:rsid w:val="00FF0931"/>
    <w:rsid w:val="00FF0AF2"/>
    <w:rsid w:val="00FF0B2E"/>
    <w:rsid w:val="00FF1271"/>
    <w:rsid w:val="00FF25F8"/>
    <w:rsid w:val="00FF2E39"/>
    <w:rsid w:val="00FF2F78"/>
    <w:rsid w:val="00FF35AF"/>
    <w:rsid w:val="00FF3AD8"/>
    <w:rsid w:val="00FF42A4"/>
    <w:rsid w:val="00FF4960"/>
    <w:rsid w:val="00FF4B0D"/>
    <w:rsid w:val="00FF571B"/>
    <w:rsid w:val="00FF5B21"/>
    <w:rsid w:val="00FF5DE5"/>
    <w:rsid w:val="00FF619B"/>
    <w:rsid w:val="00FF67D4"/>
    <w:rsid w:val="00FF6E30"/>
    <w:rsid w:val="00FF6ECF"/>
    <w:rsid w:val="00FF7326"/>
    <w:rsid w:val="00FF7705"/>
    <w:rsid w:val="00FF7D63"/>
    <w:rsid w:val="0112B36B"/>
    <w:rsid w:val="011AD61C"/>
    <w:rsid w:val="012E35E2"/>
    <w:rsid w:val="01431D79"/>
    <w:rsid w:val="01853811"/>
    <w:rsid w:val="018ABA0C"/>
    <w:rsid w:val="018DE506"/>
    <w:rsid w:val="01B0368A"/>
    <w:rsid w:val="01BAD758"/>
    <w:rsid w:val="01BD5EE0"/>
    <w:rsid w:val="01C07C0D"/>
    <w:rsid w:val="01CE10F4"/>
    <w:rsid w:val="01D90BF8"/>
    <w:rsid w:val="01EE63A0"/>
    <w:rsid w:val="01F7D837"/>
    <w:rsid w:val="02096160"/>
    <w:rsid w:val="02105BF4"/>
    <w:rsid w:val="0218BAED"/>
    <w:rsid w:val="0227C7AA"/>
    <w:rsid w:val="02339F3F"/>
    <w:rsid w:val="023A9138"/>
    <w:rsid w:val="024410CA"/>
    <w:rsid w:val="0257EF9A"/>
    <w:rsid w:val="028C23F1"/>
    <w:rsid w:val="0298CAD1"/>
    <w:rsid w:val="02A7F3A8"/>
    <w:rsid w:val="02B85873"/>
    <w:rsid w:val="02C07A33"/>
    <w:rsid w:val="02F3040A"/>
    <w:rsid w:val="03274923"/>
    <w:rsid w:val="032C03E8"/>
    <w:rsid w:val="03409E00"/>
    <w:rsid w:val="034A195F"/>
    <w:rsid w:val="035F2166"/>
    <w:rsid w:val="036B6A43"/>
    <w:rsid w:val="037AB41F"/>
    <w:rsid w:val="0384114A"/>
    <w:rsid w:val="038A0D09"/>
    <w:rsid w:val="038A3401"/>
    <w:rsid w:val="038A8ABF"/>
    <w:rsid w:val="03A535B4"/>
    <w:rsid w:val="03B48B4E"/>
    <w:rsid w:val="03BA6741"/>
    <w:rsid w:val="0400F0FB"/>
    <w:rsid w:val="0408D4B2"/>
    <w:rsid w:val="040E9C0C"/>
    <w:rsid w:val="0426601C"/>
    <w:rsid w:val="0431BB2B"/>
    <w:rsid w:val="04374B80"/>
    <w:rsid w:val="0439EE85"/>
    <w:rsid w:val="04562589"/>
    <w:rsid w:val="045714A5"/>
    <w:rsid w:val="046CF0DA"/>
    <w:rsid w:val="0481FC9E"/>
    <w:rsid w:val="048DB1C0"/>
    <w:rsid w:val="04924495"/>
    <w:rsid w:val="049F3041"/>
    <w:rsid w:val="04A30C4E"/>
    <w:rsid w:val="04B795ED"/>
    <w:rsid w:val="04DEB54D"/>
    <w:rsid w:val="04EB548D"/>
    <w:rsid w:val="04EF5FBA"/>
    <w:rsid w:val="04FAF281"/>
    <w:rsid w:val="0511E3E2"/>
    <w:rsid w:val="05158EA3"/>
    <w:rsid w:val="05183BFF"/>
    <w:rsid w:val="051B8C84"/>
    <w:rsid w:val="0532D4C5"/>
    <w:rsid w:val="053FDF4B"/>
    <w:rsid w:val="05445372"/>
    <w:rsid w:val="05471A73"/>
    <w:rsid w:val="05592D65"/>
    <w:rsid w:val="056C3CA8"/>
    <w:rsid w:val="057C1631"/>
    <w:rsid w:val="0590D941"/>
    <w:rsid w:val="05D0469A"/>
    <w:rsid w:val="05F43E48"/>
    <w:rsid w:val="05F5B3E8"/>
    <w:rsid w:val="06078965"/>
    <w:rsid w:val="061572A2"/>
    <w:rsid w:val="0628E2F6"/>
    <w:rsid w:val="06360A2C"/>
    <w:rsid w:val="0653664E"/>
    <w:rsid w:val="0655370B"/>
    <w:rsid w:val="0668A693"/>
    <w:rsid w:val="067839DC"/>
    <w:rsid w:val="06783EC2"/>
    <w:rsid w:val="06876261"/>
    <w:rsid w:val="06920EE8"/>
    <w:rsid w:val="0692B551"/>
    <w:rsid w:val="069DE97E"/>
    <w:rsid w:val="06AA6CB2"/>
    <w:rsid w:val="06AC851C"/>
    <w:rsid w:val="070A9D32"/>
    <w:rsid w:val="072084E3"/>
    <w:rsid w:val="07315D6B"/>
    <w:rsid w:val="07333542"/>
    <w:rsid w:val="073AF239"/>
    <w:rsid w:val="07431497"/>
    <w:rsid w:val="07470F23"/>
    <w:rsid w:val="0748B4EA"/>
    <w:rsid w:val="07490BF3"/>
    <w:rsid w:val="0762E9B8"/>
    <w:rsid w:val="0767C2FB"/>
    <w:rsid w:val="0770752C"/>
    <w:rsid w:val="07A359C8"/>
    <w:rsid w:val="07AE10FB"/>
    <w:rsid w:val="07BA7D3F"/>
    <w:rsid w:val="07C54D7F"/>
    <w:rsid w:val="07CB2517"/>
    <w:rsid w:val="07D308CD"/>
    <w:rsid w:val="07EF36AF"/>
    <w:rsid w:val="07F5FFDD"/>
    <w:rsid w:val="0817898F"/>
    <w:rsid w:val="08225566"/>
    <w:rsid w:val="08548C90"/>
    <w:rsid w:val="085547F8"/>
    <w:rsid w:val="08678212"/>
    <w:rsid w:val="089FF113"/>
    <w:rsid w:val="08A30066"/>
    <w:rsid w:val="08A37405"/>
    <w:rsid w:val="08AE7B80"/>
    <w:rsid w:val="08B12066"/>
    <w:rsid w:val="08D9B9AC"/>
    <w:rsid w:val="08F3651D"/>
    <w:rsid w:val="090456CB"/>
    <w:rsid w:val="0907A596"/>
    <w:rsid w:val="09123C08"/>
    <w:rsid w:val="0922A8A9"/>
    <w:rsid w:val="0934EC43"/>
    <w:rsid w:val="0942FE98"/>
    <w:rsid w:val="096A9074"/>
    <w:rsid w:val="097837A8"/>
    <w:rsid w:val="09791AA3"/>
    <w:rsid w:val="098A44D9"/>
    <w:rsid w:val="0994E7DF"/>
    <w:rsid w:val="09A4B7FE"/>
    <w:rsid w:val="09A59BAA"/>
    <w:rsid w:val="09AEF3F2"/>
    <w:rsid w:val="09AFDF84"/>
    <w:rsid w:val="09BEB24A"/>
    <w:rsid w:val="09DBD5F3"/>
    <w:rsid w:val="09F55D4A"/>
    <w:rsid w:val="09FB0EBA"/>
    <w:rsid w:val="0A0E1A1A"/>
    <w:rsid w:val="0A280A35"/>
    <w:rsid w:val="0A34D7E3"/>
    <w:rsid w:val="0A3F2F49"/>
    <w:rsid w:val="0A444DE8"/>
    <w:rsid w:val="0A54DA30"/>
    <w:rsid w:val="0A5C2858"/>
    <w:rsid w:val="0A8FB19F"/>
    <w:rsid w:val="0AC3DEAF"/>
    <w:rsid w:val="0AD8F12B"/>
    <w:rsid w:val="0ADB50A0"/>
    <w:rsid w:val="0AE0A9C5"/>
    <w:rsid w:val="0AE0BDA8"/>
    <w:rsid w:val="0AF0DDCC"/>
    <w:rsid w:val="0AFAF258"/>
    <w:rsid w:val="0B1A0A0D"/>
    <w:rsid w:val="0B1EACDE"/>
    <w:rsid w:val="0B479F80"/>
    <w:rsid w:val="0B56F613"/>
    <w:rsid w:val="0B57E92B"/>
    <w:rsid w:val="0B5BAFFB"/>
    <w:rsid w:val="0B873E40"/>
    <w:rsid w:val="0B90ECC0"/>
    <w:rsid w:val="0BB3738B"/>
    <w:rsid w:val="0BF50C7D"/>
    <w:rsid w:val="0C00BA6B"/>
    <w:rsid w:val="0C3E799F"/>
    <w:rsid w:val="0C6B4DED"/>
    <w:rsid w:val="0C7C50BF"/>
    <w:rsid w:val="0C8B0675"/>
    <w:rsid w:val="0C8BF29E"/>
    <w:rsid w:val="0C8CE4CF"/>
    <w:rsid w:val="0C9228C5"/>
    <w:rsid w:val="0CA3CC14"/>
    <w:rsid w:val="0CC57BC5"/>
    <w:rsid w:val="0CCBEFE3"/>
    <w:rsid w:val="0CCD27A4"/>
    <w:rsid w:val="0CCD3301"/>
    <w:rsid w:val="0CEE5C2A"/>
    <w:rsid w:val="0CF89181"/>
    <w:rsid w:val="0CFA559A"/>
    <w:rsid w:val="0CFEBCD0"/>
    <w:rsid w:val="0D00EDBD"/>
    <w:rsid w:val="0D1844A8"/>
    <w:rsid w:val="0D28CE70"/>
    <w:rsid w:val="0D4D1C89"/>
    <w:rsid w:val="0D4D3F04"/>
    <w:rsid w:val="0D89DF39"/>
    <w:rsid w:val="0D90AA51"/>
    <w:rsid w:val="0DA8ACDC"/>
    <w:rsid w:val="0DB07678"/>
    <w:rsid w:val="0DE77608"/>
    <w:rsid w:val="0E160D2F"/>
    <w:rsid w:val="0E80DBF4"/>
    <w:rsid w:val="0E85D6B8"/>
    <w:rsid w:val="0E8BD698"/>
    <w:rsid w:val="0E9B7E48"/>
    <w:rsid w:val="0E9EE95A"/>
    <w:rsid w:val="0EADA542"/>
    <w:rsid w:val="0EBBF120"/>
    <w:rsid w:val="0EC35CA7"/>
    <w:rsid w:val="0EC68000"/>
    <w:rsid w:val="0ED78422"/>
    <w:rsid w:val="0EE6FE15"/>
    <w:rsid w:val="0EF402E1"/>
    <w:rsid w:val="0F000FAB"/>
    <w:rsid w:val="0F02B581"/>
    <w:rsid w:val="0F0AB43E"/>
    <w:rsid w:val="0F244B5B"/>
    <w:rsid w:val="0F5CF672"/>
    <w:rsid w:val="0F62F4F3"/>
    <w:rsid w:val="0F74688D"/>
    <w:rsid w:val="0FB77BD7"/>
    <w:rsid w:val="0FE29884"/>
    <w:rsid w:val="0FE9B7A3"/>
    <w:rsid w:val="1005F8AB"/>
    <w:rsid w:val="10119190"/>
    <w:rsid w:val="10172BA7"/>
    <w:rsid w:val="1018704A"/>
    <w:rsid w:val="101F2108"/>
    <w:rsid w:val="103BD62D"/>
    <w:rsid w:val="105AE10F"/>
    <w:rsid w:val="10669648"/>
    <w:rsid w:val="107286AE"/>
    <w:rsid w:val="1085AD20"/>
    <w:rsid w:val="1087770E"/>
    <w:rsid w:val="10A91BDC"/>
    <w:rsid w:val="10B4A48D"/>
    <w:rsid w:val="10D9C40D"/>
    <w:rsid w:val="110A89C6"/>
    <w:rsid w:val="113794C7"/>
    <w:rsid w:val="1137C198"/>
    <w:rsid w:val="118C3ECF"/>
    <w:rsid w:val="1191EBA3"/>
    <w:rsid w:val="11A7BE5D"/>
    <w:rsid w:val="11A8228F"/>
    <w:rsid w:val="11A89498"/>
    <w:rsid w:val="11BE7EB2"/>
    <w:rsid w:val="11C5997A"/>
    <w:rsid w:val="12008067"/>
    <w:rsid w:val="122B4C16"/>
    <w:rsid w:val="124DF87A"/>
    <w:rsid w:val="1251B844"/>
    <w:rsid w:val="1283E79B"/>
    <w:rsid w:val="1289C372"/>
    <w:rsid w:val="129DE41E"/>
    <w:rsid w:val="12BBA59B"/>
    <w:rsid w:val="12BE9089"/>
    <w:rsid w:val="12E570FA"/>
    <w:rsid w:val="130639D9"/>
    <w:rsid w:val="130A93E7"/>
    <w:rsid w:val="13134E98"/>
    <w:rsid w:val="1327ACE8"/>
    <w:rsid w:val="1339DF40"/>
    <w:rsid w:val="133D996D"/>
    <w:rsid w:val="134EDCEB"/>
    <w:rsid w:val="135306B3"/>
    <w:rsid w:val="135F902C"/>
    <w:rsid w:val="13869E30"/>
    <w:rsid w:val="139DEAA0"/>
    <w:rsid w:val="13A45760"/>
    <w:rsid w:val="13A8C2AE"/>
    <w:rsid w:val="13A93004"/>
    <w:rsid w:val="13B18B55"/>
    <w:rsid w:val="13B39EE0"/>
    <w:rsid w:val="13BFC46F"/>
    <w:rsid w:val="13C3D2C6"/>
    <w:rsid w:val="13D36194"/>
    <w:rsid w:val="13D54110"/>
    <w:rsid w:val="13D77EF5"/>
    <w:rsid w:val="13DEFD66"/>
    <w:rsid w:val="13E45A1A"/>
    <w:rsid w:val="1401C7C8"/>
    <w:rsid w:val="142D3FC5"/>
    <w:rsid w:val="144DD8B5"/>
    <w:rsid w:val="1460D1F1"/>
    <w:rsid w:val="14750070"/>
    <w:rsid w:val="147AAC5B"/>
    <w:rsid w:val="1484A2A2"/>
    <w:rsid w:val="148BE8BD"/>
    <w:rsid w:val="148EEC6E"/>
    <w:rsid w:val="14C564FB"/>
    <w:rsid w:val="14CF954F"/>
    <w:rsid w:val="150FCD31"/>
    <w:rsid w:val="15665D0B"/>
    <w:rsid w:val="156B5179"/>
    <w:rsid w:val="157FFAE0"/>
    <w:rsid w:val="1588C00E"/>
    <w:rsid w:val="158FE4BC"/>
    <w:rsid w:val="15A6A7E0"/>
    <w:rsid w:val="15ACE330"/>
    <w:rsid w:val="15AFD3B3"/>
    <w:rsid w:val="15C7E875"/>
    <w:rsid w:val="15CB49EA"/>
    <w:rsid w:val="1616726E"/>
    <w:rsid w:val="161C493B"/>
    <w:rsid w:val="1623706B"/>
    <w:rsid w:val="162DCBE9"/>
    <w:rsid w:val="1637A476"/>
    <w:rsid w:val="164E3A2F"/>
    <w:rsid w:val="16523278"/>
    <w:rsid w:val="165D25B4"/>
    <w:rsid w:val="1686D173"/>
    <w:rsid w:val="1690E89D"/>
    <w:rsid w:val="16ABD122"/>
    <w:rsid w:val="16B287F1"/>
    <w:rsid w:val="16BC7A12"/>
    <w:rsid w:val="16C8AD1E"/>
    <w:rsid w:val="16CB1D63"/>
    <w:rsid w:val="16D5BE13"/>
    <w:rsid w:val="16D5D957"/>
    <w:rsid w:val="17352ACE"/>
    <w:rsid w:val="1735AD57"/>
    <w:rsid w:val="1743EE2E"/>
    <w:rsid w:val="176024C2"/>
    <w:rsid w:val="1762F9BB"/>
    <w:rsid w:val="1793C976"/>
    <w:rsid w:val="179BA9D7"/>
    <w:rsid w:val="17A713AC"/>
    <w:rsid w:val="17C40CA4"/>
    <w:rsid w:val="17C71A53"/>
    <w:rsid w:val="17FAF2B5"/>
    <w:rsid w:val="1825E36C"/>
    <w:rsid w:val="1833904A"/>
    <w:rsid w:val="1839CA53"/>
    <w:rsid w:val="18445C04"/>
    <w:rsid w:val="184ACBF7"/>
    <w:rsid w:val="18783541"/>
    <w:rsid w:val="1884B202"/>
    <w:rsid w:val="189C495A"/>
    <w:rsid w:val="18ABE3E4"/>
    <w:rsid w:val="18C5CC9E"/>
    <w:rsid w:val="18C8BFDD"/>
    <w:rsid w:val="192FA8B8"/>
    <w:rsid w:val="19416294"/>
    <w:rsid w:val="19500E43"/>
    <w:rsid w:val="1950A9A7"/>
    <w:rsid w:val="19656CAB"/>
    <w:rsid w:val="19861183"/>
    <w:rsid w:val="19868722"/>
    <w:rsid w:val="19C7349C"/>
    <w:rsid w:val="19CCB4BC"/>
    <w:rsid w:val="19FF7485"/>
    <w:rsid w:val="1A05D12C"/>
    <w:rsid w:val="1A21EE3F"/>
    <w:rsid w:val="1A398110"/>
    <w:rsid w:val="1A67FAE3"/>
    <w:rsid w:val="1A6DE720"/>
    <w:rsid w:val="1A6E8930"/>
    <w:rsid w:val="1A712C89"/>
    <w:rsid w:val="1A7BC570"/>
    <w:rsid w:val="1A7D43B2"/>
    <w:rsid w:val="1A87AE0A"/>
    <w:rsid w:val="1A93D6C4"/>
    <w:rsid w:val="1AA570EC"/>
    <w:rsid w:val="1AB02E05"/>
    <w:rsid w:val="1AB50EFA"/>
    <w:rsid w:val="1ACD2BCB"/>
    <w:rsid w:val="1AF9E25B"/>
    <w:rsid w:val="1B0BCDF9"/>
    <w:rsid w:val="1B10F3CA"/>
    <w:rsid w:val="1B1812D4"/>
    <w:rsid w:val="1B25A39B"/>
    <w:rsid w:val="1B27C101"/>
    <w:rsid w:val="1B2A4D34"/>
    <w:rsid w:val="1B434503"/>
    <w:rsid w:val="1B6CE490"/>
    <w:rsid w:val="1B716BA1"/>
    <w:rsid w:val="1B809BB9"/>
    <w:rsid w:val="1B83972D"/>
    <w:rsid w:val="1B943457"/>
    <w:rsid w:val="1B9F40B6"/>
    <w:rsid w:val="1BA0C9F5"/>
    <w:rsid w:val="1BECB248"/>
    <w:rsid w:val="1BED0BA2"/>
    <w:rsid w:val="1BEF1C7F"/>
    <w:rsid w:val="1C00D9F6"/>
    <w:rsid w:val="1C0984DF"/>
    <w:rsid w:val="1C0B5D7D"/>
    <w:rsid w:val="1C3456E9"/>
    <w:rsid w:val="1C78EDB7"/>
    <w:rsid w:val="1C892ECC"/>
    <w:rsid w:val="1C9EE69D"/>
    <w:rsid w:val="1CAB5346"/>
    <w:rsid w:val="1CD6F1BE"/>
    <w:rsid w:val="1CDAC2A1"/>
    <w:rsid w:val="1CE2EEC9"/>
    <w:rsid w:val="1CE5E52B"/>
    <w:rsid w:val="1CF60C52"/>
    <w:rsid w:val="1CF8E1C6"/>
    <w:rsid w:val="1CFB7F6A"/>
    <w:rsid w:val="1D060C4C"/>
    <w:rsid w:val="1D113077"/>
    <w:rsid w:val="1D1A7698"/>
    <w:rsid w:val="1D6CB6F6"/>
    <w:rsid w:val="1D718EC6"/>
    <w:rsid w:val="1D84FFAE"/>
    <w:rsid w:val="1DE3464B"/>
    <w:rsid w:val="1DE363A4"/>
    <w:rsid w:val="1DFC0F14"/>
    <w:rsid w:val="1E117777"/>
    <w:rsid w:val="1E149F3E"/>
    <w:rsid w:val="1E4E82E0"/>
    <w:rsid w:val="1E7EBF2A"/>
    <w:rsid w:val="1E95ED19"/>
    <w:rsid w:val="1EC2CB23"/>
    <w:rsid w:val="1EC7E3BB"/>
    <w:rsid w:val="1ED590CC"/>
    <w:rsid w:val="1EEC756C"/>
    <w:rsid w:val="1EF39967"/>
    <w:rsid w:val="1EF6DEFD"/>
    <w:rsid w:val="1F301B9F"/>
    <w:rsid w:val="1F30865F"/>
    <w:rsid w:val="1F37EADA"/>
    <w:rsid w:val="1F397650"/>
    <w:rsid w:val="1F7F3405"/>
    <w:rsid w:val="1F809D0A"/>
    <w:rsid w:val="1F923070"/>
    <w:rsid w:val="1FA4496C"/>
    <w:rsid w:val="1FA859E8"/>
    <w:rsid w:val="1FD3EEB2"/>
    <w:rsid w:val="1FD67005"/>
    <w:rsid w:val="1FF2FDB8"/>
    <w:rsid w:val="20157D3F"/>
    <w:rsid w:val="201F5ECD"/>
    <w:rsid w:val="205DDB45"/>
    <w:rsid w:val="206498D4"/>
    <w:rsid w:val="20807CE2"/>
    <w:rsid w:val="20816597"/>
    <w:rsid w:val="20A3653B"/>
    <w:rsid w:val="20A7539A"/>
    <w:rsid w:val="20CD978F"/>
    <w:rsid w:val="20DCF5E3"/>
    <w:rsid w:val="20ECD7B1"/>
    <w:rsid w:val="20ED78CB"/>
    <w:rsid w:val="20F88A55"/>
    <w:rsid w:val="20FAC6FD"/>
    <w:rsid w:val="2116BC62"/>
    <w:rsid w:val="21174E71"/>
    <w:rsid w:val="211DC504"/>
    <w:rsid w:val="212B8DD6"/>
    <w:rsid w:val="21420D58"/>
    <w:rsid w:val="21455D5F"/>
    <w:rsid w:val="214666C6"/>
    <w:rsid w:val="217479A4"/>
    <w:rsid w:val="2174EFB9"/>
    <w:rsid w:val="2189801B"/>
    <w:rsid w:val="21B71851"/>
    <w:rsid w:val="21BA26A0"/>
    <w:rsid w:val="21C8FE11"/>
    <w:rsid w:val="21E4A13D"/>
    <w:rsid w:val="21FB3756"/>
    <w:rsid w:val="2262A8D7"/>
    <w:rsid w:val="2278596A"/>
    <w:rsid w:val="22795468"/>
    <w:rsid w:val="2281DA86"/>
    <w:rsid w:val="228BB838"/>
    <w:rsid w:val="229FA131"/>
    <w:rsid w:val="22B2843B"/>
    <w:rsid w:val="22D9DE6C"/>
    <w:rsid w:val="22DE3733"/>
    <w:rsid w:val="22FFC1B7"/>
    <w:rsid w:val="2301C9E8"/>
    <w:rsid w:val="2303C1A0"/>
    <w:rsid w:val="231BCD60"/>
    <w:rsid w:val="231E457F"/>
    <w:rsid w:val="2335A610"/>
    <w:rsid w:val="23380D01"/>
    <w:rsid w:val="2342BAE3"/>
    <w:rsid w:val="234C5B4E"/>
    <w:rsid w:val="2372BC6F"/>
    <w:rsid w:val="237588FD"/>
    <w:rsid w:val="23773179"/>
    <w:rsid w:val="2379942B"/>
    <w:rsid w:val="239A2F3D"/>
    <w:rsid w:val="23C3AE33"/>
    <w:rsid w:val="23D1F00A"/>
    <w:rsid w:val="23E4B8C1"/>
    <w:rsid w:val="23ECCAE9"/>
    <w:rsid w:val="23FF2CF8"/>
    <w:rsid w:val="240980F3"/>
    <w:rsid w:val="241F50DE"/>
    <w:rsid w:val="2420FAFC"/>
    <w:rsid w:val="242E566A"/>
    <w:rsid w:val="24399C8F"/>
    <w:rsid w:val="243C58A4"/>
    <w:rsid w:val="2448444F"/>
    <w:rsid w:val="244CD6E0"/>
    <w:rsid w:val="2467EED4"/>
    <w:rsid w:val="246EFA66"/>
    <w:rsid w:val="2489DC2C"/>
    <w:rsid w:val="24A8F6F5"/>
    <w:rsid w:val="24A9E128"/>
    <w:rsid w:val="24AA0B5B"/>
    <w:rsid w:val="24BC9E27"/>
    <w:rsid w:val="24CE4276"/>
    <w:rsid w:val="24ED28B8"/>
    <w:rsid w:val="24F3C8FE"/>
    <w:rsid w:val="25040122"/>
    <w:rsid w:val="2506F201"/>
    <w:rsid w:val="2522F43A"/>
    <w:rsid w:val="254193FE"/>
    <w:rsid w:val="254ABFF5"/>
    <w:rsid w:val="25692400"/>
    <w:rsid w:val="25765524"/>
    <w:rsid w:val="2579E496"/>
    <w:rsid w:val="257DE09D"/>
    <w:rsid w:val="257F6462"/>
    <w:rsid w:val="259B69B8"/>
    <w:rsid w:val="25C10B29"/>
    <w:rsid w:val="25C86DA0"/>
    <w:rsid w:val="25CC65AD"/>
    <w:rsid w:val="25D1299C"/>
    <w:rsid w:val="25DA7467"/>
    <w:rsid w:val="25EA8332"/>
    <w:rsid w:val="25EB3E11"/>
    <w:rsid w:val="25F18FFD"/>
    <w:rsid w:val="2628186B"/>
    <w:rsid w:val="2635821C"/>
    <w:rsid w:val="268673BC"/>
    <w:rsid w:val="26C298CA"/>
    <w:rsid w:val="26C5668B"/>
    <w:rsid w:val="26CA4C5E"/>
    <w:rsid w:val="26DEE1C1"/>
    <w:rsid w:val="26EB5D50"/>
    <w:rsid w:val="27100A83"/>
    <w:rsid w:val="2717CCEC"/>
    <w:rsid w:val="2722C494"/>
    <w:rsid w:val="272443CB"/>
    <w:rsid w:val="272B5275"/>
    <w:rsid w:val="273D58AB"/>
    <w:rsid w:val="2747A42E"/>
    <w:rsid w:val="2754D44F"/>
    <w:rsid w:val="275904CE"/>
    <w:rsid w:val="27591634"/>
    <w:rsid w:val="275B4497"/>
    <w:rsid w:val="275D1C6B"/>
    <w:rsid w:val="2765F72C"/>
    <w:rsid w:val="276AFCFF"/>
    <w:rsid w:val="276B3C17"/>
    <w:rsid w:val="277F20EC"/>
    <w:rsid w:val="2784DE61"/>
    <w:rsid w:val="2786E1F2"/>
    <w:rsid w:val="278A5EC5"/>
    <w:rsid w:val="279FDC45"/>
    <w:rsid w:val="27A9085E"/>
    <w:rsid w:val="28025978"/>
    <w:rsid w:val="280549D5"/>
    <w:rsid w:val="28161E16"/>
    <w:rsid w:val="281B7649"/>
    <w:rsid w:val="28284DF9"/>
    <w:rsid w:val="282D19B0"/>
    <w:rsid w:val="282FE195"/>
    <w:rsid w:val="283D37B4"/>
    <w:rsid w:val="285BBD30"/>
    <w:rsid w:val="286360C8"/>
    <w:rsid w:val="2872DEF9"/>
    <w:rsid w:val="28771948"/>
    <w:rsid w:val="287DAECE"/>
    <w:rsid w:val="289FE8AA"/>
    <w:rsid w:val="28A42AE0"/>
    <w:rsid w:val="28C0C5D6"/>
    <w:rsid w:val="28CE92C1"/>
    <w:rsid w:val="2910C9BD"/>
    <w:rsid w:val="29576B24"/>
    <w:rsid w:val="2967F5FC"/>
    <w:rsid w:val="29782BDE"/>
    <w:rsid w:val="297B9C28"/>
    <w:rsid w:val="299A228A"/>
    <w:rsid w:val="29EF538B"/>
    <w:rsid w:val="29F0FA4A"/>
    <w:rsid w:val="2A054E6D"/>
    <w:rsid w:val="2A19A258"/>
    <w:rsid w:val="2A28B00D"/>
    <w:rsid w:val="2A3A5088"/>
    <w:rsid w:val="2A65EA78"/>
    <w:rsid w:val="2A666FB0"/>
    <w:rsid w:val="2A7F5025"/>
    <w:rsid w:val="2A9271CB"/>
    <w:rsid w:val="2A929621"/>
    <w:rsid w:val="2A99BCA2"/>
    <w:rsid w:val="2AB399BB"/>
    <w:rsid w:val="2AB947BF"/>
    <w:rsid w:val="2ABC84DF"/>
    <w:rsid w:val="2AC64AE5"/>
    <w:rsid w:val="2ACB065F"/>
    <w:rsid w:val="2AFE3879"/>
    <w:rsid w:val="2B0FB553"/>
    <w:rsid w:val="2B1409A2"/>
    <w:rsid w:val="2B40BC82"/>
    <w:rsid w:val="2B73BA46"/>
    <w:rsid w:val="2B9EA94A"/>
    <w:rsid w:val="2BA7CC20"/>
    <w:rsid w:val="2BB5D2AB"/>
    <w:rsid w:val="2BC9B642"/>
    <w:rsid w:val="2BE0029C"/>
    <w:rsid w:val="2BE6172F"/>
    <w:rsid w:val="2BEEEC52"/>
    <w:rsid w:val="2BF82B39"/>
    <w:rsid w:val="2C023AB6"/>
    <w:rsid w:val="2C1997DE"/>
    <w:rsid w:val="2C27A18D"/>
    <w:rsid w:val="2C2B28AC"/>
    <w:rsid w:val="2C2BC8A1"/>
    <w:rsid w:val="2C308D8E"/>
    <w:rsid w:val="2C39E983"/>
    <w:rsid w:val="2C3B4951"/>
    <w:rsid w:val="2C5D3A20"/>
    <w:rsid w:val="2C68CD18"/>
    <w:rsid w:val="2C888D03"/>
    <w:rsid w:val="2C9EE0B4"/>
    <w:rsid w:val="2CA7BAEA"/>
    <w:rsid w:val="2CBE97E5"/>
    <w:rsid w:val="2CDDD0D9"/>
    <w:rsid w:val="2D023135"/>
    <w:rsid w:val="2D0300BB"/>
    <w:rsid w:val="2D0EA84F"/>
    <w:rsid w:val="2D0F7CB0"/>
    <w:rsid w:val="2D250F61"/>
    <w:rsid w:val="2D2845BC"/>
    <w:rsid w:val="2D389626"/>
    <w:rsid w:val="2D417DAD"/>
    <w:rsid w:val="2D62E9A6"/>
    <w:rsid w:val="2D7D2315"/>
    <w:rsid w:val="2D995F9A"/>
    <w:rsid w:val="2DAE5878"/>
    <w:rsid w:val="2DBF2238"/>
    <w:rsid w:val="2DD7752E"/>
    <w:rsid w:val="2DE7D626"/>
    <w:rsid w:val="2E0B26EC"/>
    <w:rsid w:val="2E1F934B"/>
    <w:rsid w:val="2E608ACF"/>
    <w:rsid w:val="2E91B77B"/>
    <w:rsid w:val="2ED793EA"/>
    <w:rsid w:val="2EDF0CCD"/>
    <w:rsid w:val="2EE0A88F"/>
    <w:rsid w:val="2EECCD74"/>
    <w:rsid w:val="2F4FEB93"/>
    <w:rsid w:val="2F62B0F4"/>
    <w:rsid w:val="2F6CE985"/>
    <w:rsid w:val="2F72729A"/>
    <w:rsid w:val="2F74E596"/>
    <w:rsid w:val="2F7E1B0C"/>
    <w:rsid w:val="2F9E7A8E"/>
    <w:rsid w:val="2FB5CC86"/>
    <w:rsid w:val="30136967"/>
    <w:rsid w:val="3023E056"/>
    <w:rsid w:val="302B130B"/>
    <w:rsid w:val="3031FA2C"/>
    <w:rsid w:val="3041EED9"/>
    <w:rsid w:val="30493B98"/>
    <w:rsid w:val="30834C7A"/>
    <w:rsid w:val="308FCC8C"/>
    <w:rsid w:val="309775B9"/>
    <w:rsid w:val="30986C53"/>
    <w:rsid w:val="30BD440C"/>
    <w:rsid w:val="30EF8426"/>
    <w:rsid w:val="30F3B115"/>
    <w:rsid w:val="31350695"/>
    <w:rsid w:val="3142035C"/>
    <w:rsid w:val="314E9378"/>
    <w:rsid w:val="315E12C6"/>
    <w:rsid w:val="3160B8C7"/>
    <w:rsid w:val="3160C59E"/>
    <w:rsid w:val="31661F15"/>
    <w:rsid w:val="316C80A9"/>
    <w:rsid w:val="3195426A"/>
    <w:rsid w:val="31B536AE"/>
    <w:rsid w:val="31B9EF0A"/>
    <w:rsid w:val="31C55E5B"/>
    <w:rsid w:val="31CDCA8D"/>
    <w:rsid w:val="31EADB40"/>
    <w:rsid w:val="3221238B"/>
    <w:rsid w:val="3221EDEA"/>
    <w:rsid w:val="32349E0D"/>
    <w:rsid w:val="32382CCE"/>
    <w:rsid w:val="324FB2FE"/>
    <w:rsid w:val="325B6C4A"/>
    <w:rsid w:val="325EBAF9"/>
    <w:rsid w:val="328E1969"/>
    <w:rsid w:val="3296C3CD"/>
    <w:rsid w:val="3297A7A9"/>
    <w:rsid w:val="3298B051"/>
    <w:rsid w:val="329FCF12"/>
    <w:rsid w:val="32D4692A"/>
    <w:rsid w:val="330630D9"/>
    <w:rsid w:val="330B2519"/>
    <w:rsid w:val="3313571A"/>
    <w:rsid w:val="33265BDA"/>
    <w:rsid w:val="33358F61"/>
    <w:rsid w:val="3341B10F"/>
    <w:rsid w:val="3344E016"/>
    <w:rsid w:val="334A052F"/>
    <w:rsid w:val="334AB8BD"/>
    <w:rsid w:val="334EC6D0"/>
    <w:rsid w:val="33500EFB"/>
    <w:rsid w:val="337214C9"/>
    <w:rsid w:val="3372E1C4"/>
    <w:rsid w:val="33733EDC"/>
    <w:rsid w:val="3375BD87"/>
    <w:rsid w:val="337C6A17"/>
    <w:rsid w:val="33812B5A"/>
    <w:rsid w:val="338253E6"/>
    <w:rsid w:val="3386ABA1"/>
    <w:rsid w:val="33887D51"/>
    <w:rsid w:val="33A6554D"/>
    <w:rsid w:val="33E09D2D"/>
    <w:rsid w:val="33E1A052"/>
    <w:rsid w:val="3414F7AA"/>
    <w:rsid w:val="341D6580"/>
    <w:rsid w:val="3442EEAD"/>
    <w:rsid w:val="34495576"/>
    <w:rsid w:val="3453F7A4"/>
    <w:rsid w:val="345E4D33"/>
    <w:rsid w:val="348BB6D7"/>
    <w:rsid w:val="349AE4A7"/>
    <w:rsid w:val="349F7967"/>
    <w:rsid w:val="34A4BA75"/>
    <w:rsid w:val="34A5C46F"/>
    <w:rsid w:val="34BF4411"/>
    <w:rsid w:val="34D32BE1"/>
    <w:rsid w:val="34D5E760"/>
    <w:rsid w:val="34D62A5B"/>
    <w:rsid w:val="34E8D385"/>
    <w:rsid w:val="34EA3348"/>
    <w:rsid w:val="34F4F65C"/>
    <w:rsid w:val="34FB0802"/>
    <w:rsid w:val="3519C980"/>
    <w:rsid w:val="351AB4BD"/>
    <w:rsid w:val="352005B1"/>
    <w:rsid w:val="3528A65B"/>
    <w:rsid w:val="3530BC15"/>
    <w:rsid w:val="353B8234"/>
    <w:rsid w:val="3547E97A"/>
    <w:rsid w:val="354E89EE"/>
    <w:rsid w:val="358E51A5"/>
    <w:rsid w:val="358FC86C"/>
    <w:rsid w:val="35A3873F"/>
    <w:rsid w:val="35AE2D5C"/>
    <w:rsid w:val="35BAA41B"/>
    <w:rsid w:val="35C8863A"/>
    <w:rsid w:val="35E7F9B3"/>
    <w:rsid w:val="361B37D3"/>
    <w:rsid w:val="3625F55C"/>
    <w:rsid w:val="36394233"/>
    <w:rsid w:val="363CCC76"/>
    <w:rsid w:val="364933FE"/>
    <w:rsid w:val="364AE342"/>
    <w:rsid w:val="36850DBC"/>
    <w:rsid w:val="36A15827"/>
    <w:rsid w:val="36AED097"/>
    <w:rsid w:val="36B2BC43"/>
    <w:rsid w:val="36B4175A"/>
    <w:rsid w:val="36B42D6C"/>
    <w:rsid w:val="36B9ABEC"/>
    <w:rsid w:val="36BE9AB2"/>
    <w:rsid w:val="36BF2D06"/>
    <w:rsid w:val="36CB32C7"/>
    <w:rsid w:val="36D135A9"/>
    <w:rsid w:val="36E11AE1"/>
    <w:rsid w:val="36E96B93"/>
    <w:rsid w:val="371F0995"/>
    <w:rsid w:val="3729BFA1"/>
    <w:rsid w:val="376910E7"/>
    <w:rsid w:val="3769F64C"/>
    <w:rsid w:val="376C2BDE"/>
    <w:rsid w:val="376DF473"/>
    <w:rsid w:val="37790997"/>
    <w:rsid w:val="377A2A85"/>
    <w:rsid w:val="3789DFC7"/>
    <w:rsid w:val="3799A043"/>
    <w:rsid w:val="37D4DF61"/>
    <w:rsid w:val="37D9FCC0"/>
    <w:rsid w:val="38059819"/>
    <w:rsid w:val="38137D87"/>
    <w:rsid w:val="38212D30"/>
    <w:rsid w:val="383718BA"/>
    <w:rsid w:val="38378D3A"/>
    <w:rsid w:val="3847A345"/>
    <w:rsid w:val="384C5955"/>
    <w:rsid w:val="384FE7BB"/>
    <w:rsid w:val="385BF333"/>
    <w:rsid w:val="386AA178"/>
    <w:rsid w:val="38A0C324"/>
    <w:rsid w:val="38A7A469"/>
    <w:rsid w:val="38A8C75F"/>
    <w:rsid w:val="38BCD732"/>
    <w:rsid w:val="38BF131D"/>
    <w:rsid w:val="38C1296D"/>
    <w:rsid w:val="38E2DC80"/>
    <w:rsid w:val="38F9D593"/>
    <w:rsid w:val="3903802B"/>
    <w:rsid w:val="391349A4"/>
    <w:rsid w:val="3914D9F8"/>
    <w:rsid w:val="3938161D"/>
    <w:rsid w:val="39393BCF"/>
    <w:rsid w:val="395236D2"/>
    <w:rsid w:val="3974FBAA"/>
    <w:rsid w:val="398C77CE"/>
    <w:rsid w:val="398EDDD2"/>
    <w:rsid w:val="399EEBED"/>
    <w:rsid w:val="399F215C"/>
    <w:rsid w:val="39B0DA85"/>
    <w:rsid w:val="39CD04D5"/>
    <w:rsid w:val="39F544DD"/>
    <w:rsid w:val="39F9A92A"/>
    <w:rsid w:val="39FA774A"/>
    <w:rsid w:val="3A0BAAC7"/>
    <w:rsid w:val="3A18B882"/>
    <w:rsid w:val="3A35C984"/>
    <w:rsid w:val="3A3E9BB1"/>
    <w:rsid w:val="3A597154"/>
    <w:rsid w:val="3A8AA795"/>
    <w:rsid w:val="3A9B216C"/>
    <w:rsid w:val="3AAA995D"/>
    <w:rsid w:val="3AACA3B2"/>
    <w:rsid w:val="3AC2FE14"/>
    <w:rsid w:val="3AC9248A"/>
    <w:rsid w:val="3ACDED1D"/>
    <w:rsid w:val="3AD2199A"/>
    <w:rsid w:val="3B0AA95D"/>
    <w:rsid w:val="3B0F83D7"/>
    <w:rsid w:val="3B109305"/>
    <w:rsid w:val="3B15506B"/>
    <w:rsid w:val="3B25F7E4"/>
    <w:rsid w:val="3B28A79E"/>
    <w:rsid w:val="3B545BE5"/>
    <w:rsid w:val="3B69ED48"/>
    <w:rsid w:val="3B6A3D17"/>
    <w:rsid w:val="3B73A904"/>
    <w:rsid w:val="3B8A0840"/>
    <w:rsid w:val="3B8A7B02"/>
    <w:rsid w:val="3BC23085"/>
    <w:rsid w:val="3BC3FBE4"/>
    <w:rsid w:val="3BCEAF48"/>
    <w:rsid w:val="3BE42353"/>
    <w:rsid w:val="3BECA987"/>
    <w:rsid w:val="3C0F25CD"/>
    <w:rsid w:val="3C1A4378"/>
    <w:rsid w:val="3C29A70A"/>
    <w:rsid w:val="3C2C512A"/>
    <w:rsid w:val="3C35FF15"/>
    <w:rsid w:val="3C416596"/>
    <w:rsid w:val="3C4DD474"/>
    <w:rsid w:val="3C66F0BF"/>
    <w:rsid w:val="3C6BEC18"/>
    <w:rsid w:val="3C7E02B1"/>
    <w:rsid w:val="3CA5F137"/>
    <w:rsid w:val="3CB08250"/>
    <w:rsid w:val="3CB48478"/>
    <w:rsid w:val="3CBD2FBD"/>
    <w:rsid w:val="3CC841E2"/>
    <w:rsid w:val="3CD1AF4C"/>
    <w:rsid w:val="3CF1D78E"/>
    <w:rsid w:val="3D06D4F4"/>
    <w:rsid w:val="3D22DB4A"/>
    <w:rsid w:val="3D25C36A"/>
    <w:rsid w:val="3D5A0AEE"/>
    <w:rsid w:val="3D7F9732"/>
    <w:rsid w:val="3D8011AD"/>
    <w:rsid w:val="3D92053B"/>
    <w:rsid w:val="3DA47472"/>
    <w:rsid w:val="3DB14B2F"/>
    <w:rsid w:val="3DCD80E0"/>
    <w:rsid w:val="3E07953B"/>
    <w:rsid w:val="3E0B092A"/>
    <w:rsid w:val="3E1165C9"/>
    <w:rsid w:val="3E628680"/>
    <w:rsid w:val="3E6738B1"/>
    <w:rsid w:val="3E6FC560"/>
    <w:rsid w:val="3E8873B0"/>
    <w:rsid w:val="3E902DB4"/>
    <w:rsid w:val="3EAC6A0C"/>
    <w:rsid w:val="3EAEA03C"/>
    <w:rsid w:val="3EB58B5D"/>
    <w:rsid w:val="3EB91618"/>
    <w:rsid w:val="3ED93AA0"/>
    <w:rsid w:val="3EE8E6CC"/>
    <w:rsid w:val="3F21364A"/>
    <w:rsid w:val="3F660E38"/>
    <w:rsid w:val="3F6B1DD1"/>
    <w:rsid w:val="3F841B7C"/>
    <w:rsid w:val="3F931F64"/>
    <w:rsid w:val="3FA0CF0F"/>
    <w:rsid w:val="3FA38CDA"/>
    <w:rsid w:val="3FB51896"/>
    <w:rsid w:val="3FBD552C"/>
    <w:rsid w:val="3FBEF2EB"/>
    <w:rsid w:val="3FC34B94"/>
    <w:rsid w:val="3FC6FC1C"/>
    <w:rsid w:val="3FEF67DB"/>
    <w:rsid w:val="4005F1B2"/>
    <w:rsid w:val="4009EE1D"/>
    <w:rsid w:val="401A656C"/>
    <w:rsid w:val="401E5C8D"/>
    <w:rsid w:val="40203540"/>
    <w:rsid w:val="40250325"/>
    <w:rsid w:val="40262255"/>
    <w:rsid w:val="40312C90"/>
    <w:rsid w:val="404E67F7"/>
    <w:rsid w:val="404E7EFA"/>
    <w:rsid w:val="405077BC"/>
    <w:rsid w:val="406231B6"/>
    <w:rsid w:val="40A53215"/>
    <w:rsid w:val="40BF3636"/>
    <w:rsid w:val="40D51FD2"/>
    <w:rsid w:val="40DE13E2"/>
    <w:rsid w:val="411202A6"/>
    <w:rsid w:val="411E09CA"/>
    <w:rsid w:val="411E7C9B"/>
    <w:rsid w:val="413B7948"/>
    <w:rsid w:val="41411D0D"/>
    <w:rsid w:val="4145D9AB"/>
    <w:rsid w:val="4148AF77"/>
    <w:rsid w:val="414ED2A5"/>
    <w:rsid w:val="415A4B79"/>
    <w:rsid w:val="4164D50D"/>
    <w:rsid w:val="41662995"/>
    <w:rsid w:val="4166B231"/>
    <w:rsid w:val="4173BB63"/>
    <w:rsid w:val="418150BC"/>
    <w:rsid w:val="4190D6AD"/>
    <w:rsid w:val="41A4DAB4"/>
    <w:rsid w:val="41B44DC2"/>
    <w:rsid w:val="41BBA45D"/>
    <w:rsid w:val="41BBDC62"/>
    <w:rsid w:val="41CA3883"/>
    <w:rsid w:val="41D493D5"/>
    <w:rsid w:val="41DC5311"/>
    <w:rsid w:val="41E2DCD9"/>
    <w:rsid w:val="41E9E28B"/>
    <w:rsid w:val="41EC318E"/>
    <w:rsid w:val="41ED6A0D"/>
    <w:rsid w:val="41F280D6"/>
    <w:rsid w:val="4203E646"/>
    <w:rsid w:val="42152CE0"/>
    <w:rsid w:val="4221B2A5"/>
    <w:rsid w:val="422323C5"/>
    <w:rsid w:val="422FAAF1"/>
    <w:rsid w:val="423A18A7"/>
    <w:rsid w:val="424E5E65"/>
    <w:rsid w:val="427760BA"/>
    <w:rsid w:val="428CD5AC"/>
    <w:rsid w:val="42907DAE"/>
    <w:rsid w:val="42A84FDD"/>
    <w:rsid w:val="42B7D6A4"/>
    <w:rsid w:val="42D7CDC1"/>
    <w:rsid w:val="42DD3FF5"/>
    <w:rsid w:val="42F93090"/>
    <w:rsid w:val="43051469"/>
    <w:rsid w:val="430739F3"/>
    <w:rsid w:val="432E5B98"/>
    <w:rsid w:val="4335299B"/>
    <w:rsid w:val="4338F74F"/>
    <w:rsid w:val="4364C627"/>
    <w:rsid w:val="437BC70C"/>
    <w:rsid w:val="437EAD3A"/>
    <w:rsid w:val="4382EA49"/>
    <w:rsid w:val="43A65F4D"/>
    <w:rsid w:val="43ABCC64"/>
    <w:rsid w:val="43B02971"/>
    <w:rsid w:val="43B08AC1"/>
    <w:rsid w:val="43D46D62"/>
    <w:rsid w:val="43D5560C"/>
    <w:rsid w:val="43F477F5"/>
    <w:rsid w:val="43F62C52"/>
    <w:rsid w:val="44050EE7"/>
    <w:rsid w:val="441569D0"/>
    <w:rsid w:val="4426B361"/>
    <w:rsid w:val="4430CAFB"/>
    <w:rsid w:val="4439D874"/>
    <w:rsid w:val="443A6FEC"/>
    <w:rsid w:val="443FE9D7"/>
    <w:rsid w:val="44457682"/>
    <w:rsid w:val="44495FA4"/>
    <w:rsid w:val="44515A4A"/>
    <w:rsid w:val="449231E4"/>
    <w:rsid w:val="449AB94C"/>
    <w:rsid w:val="44B95664"/>
    <w:rsid w:val="44BEFF74"/>
    <w:rsid w:val="44D45BA3"/>
    <w:rsid w:val="44E0E31B"/>
    <w:rsid w:val="44E2997A"/>
    <w:rsid w:val="44E3507F"/>
    <w:rsid w:val="44E5FB72"/>
    <w:rsid w:val="44F47895"/>
    <w:rsid w:val="44F74D20"/>
    <w:rsid w:val="4505B018"/>
    <w:rsid w:val="450FFBA3"/>
    <w:rsid w:val="4529625F"/>
    <w:rsid w:val="45304B83"/>
    <w:rsid w:val="453B407C"/>
    <w:rsid w:val="4547C31E"/>
    <w:rsid w:val="455027C5"/>
    <w:rsid w:val="455E459A"/>
    <w:rsid w:val="455F1AB4"/>
    <w:rsid w:val="458AA02F"/>
    <w:rsid w:val="4592AA24"/>
    <w:rsid w:val="45988485"/>
    <w:rsid w:val="45A1D7FD"/>
    <w:rsid w:val="45AC1443"/>
    <w:rsid w:val="45AEB4BC"/>
    <w:rsid w:val="45D41273"/>
    <w:rsid w:val="45E893A2"/>
    <w:rsid w:val="4601297D"/>
    <w:rsid w:val="460B187B"/>
    <w:rsid w:val="461440B5"/>
    <w:rsid w:val="46212161"/>
    <w:rsid w:val="463DEF1D"/>
    <w:rsid w:val="4684818C"/>
    <w:rsid w:val="469930CE"/>
    <w:rsid w:val="46B57085"/>
    <w:rsid w:val="46B6FBDD"/>
    <w:rsid w:val="46BD65BF"/>
    <w:rsid w:val="46C1E497"/>
    <w:rsid w:val="46DDC3E8"/>
    <w:rsid w:val="46EA2C96"/>
    <w:rsid w:val="47069151"/>
    <w:rsid w:val="470DCEA9"/>
    <w:rsid w:val="4712BDE5"/>
    <w:rsid w:val="472C60FE"/>
    <w:rsid w:val="473EA001"/>
    <w:rsid w:val="474CA1A4"/>
    <w:rsid w:val="4762C7DD"/>
    <w:rsid w:val="4771A7A2"/>
    <w:rsid w:val="47733AEF"/>
    <w:rsid w:val="4775EA2D"/>
    <w:rsid w:val="4785DF9B"/>
    <w:rsid w:val="479244CD"/>
    <w:rsid w:val="479AAD7A"/>
    <w:rsid w:val="47C2ED6C"/>
    <w:rsid w:val="47C69EEA"/>
    <w:rsid w:val="47D264E9"/>
    <w:rsid w:val="47EF8CEC"/>
    <w:rsid w:val="47F84A0C"/>
    <w:rsid w:val="47FBA4E5"/>
    <w:rsid w:val="48059B5B"/>
    <w:rsid w:val="481691C1"/>
    <w:rsid w:val="4835AC61"/>
    <w:rsid w:val="483769DF"/>
    <w:rsid w:val="4838D3DE"/>
    <w:rsid w:val="48459DE7"/>
    <w:rsid w:val="48875DD6"/>
    <w:rsid w:val="488FF15A"/>
    <w:rsid w:val="48A565D5"/>
    <w:rsid w:val="48B6CED4"/>
    <w:rsid w:val="48B6D8C8"/>
    <w:rsid w:val="48D27B61"/>
    <w:rsid w:val="48F73E48"/>
    <w:rsid w:val="4901CE8F"/>
    <w:rsid w:val="49020D00"/>
    <w:rsid w:val="490994C0"/>
    <w:rsid w:val="490FF352"/>
    <w:rsid w:val="4927A353"/>
    <w:rsid w:val="4939CA75"/>
    <w:rsid w:val="49427661"/>
    <w:rsid w:val="4942F529"/>
    <w:rsid w:val="4943D9BA"/>
    <w:rsid w:val="495B5289"/>
    <w:rsid w:val="496234BA"/>
    <w:rsid w:val="4980CD04"/>
    <w:rsid w:val="498E0AF5"/>
    <w:rsid w:val="49AB2D1A"/>
    <w:rsid w:val="49E72144"/>
    <w:rsid w:val="49ED3137"/>
    <w:rsid w:val="49F34B93"/>
    <w:rsid w:val="4A0B0163"/>
    <w:rsid w:val="4A24410F"/>
    <w:rsid w:val="4A2719A0"/>
    <w:rsid w:val="4A3F368C"/>
    <w:rsid w:val="4A499195"/>
    <w:rsid w:val="4A591C03"/>
    <w:rsid w:val="4A6983D4"/>
    <w:rsid w:val="4A7B5E37"/>
    <w:rsid w:val="4A879478"/>
    <w:rsid w:val="4A8C21FB"/>
    <w:rsid w:val="4A9F7C3F"/>
    <w:rsid w:val="4AD2E4B7"/>
    <w:rsid w:val="4AF8915E"/>
    <w:rsid w:val="4B036F7B"/>
    <w:rsid w:val="4B385A83"/>
    <w:rsid w:val="4B41A036"/>
    <w:rsid w:val="4B42D6C4"/>
    <w:rsid w:val="4B485DD1"/>
    <w:rsid w:val="4B528B96"/>
    <w:rsid w:val="4B611D97"/>
    <w:rsid w:val="4B658215"/>
    <w:rsid w:val="4B78E869"/>
    <w:rsid w:val="4BA58D63"/>
    <w:rsid w:val="4BCA060B"/>
    <w:rsid w:val="4BD4FE2D"/>
    <w:rsid w:val="4BFE0D91"/>
    <w:rsid w:val="4C0F0067"/>
    <w:rsid w:val="4C47792B"/>
    <w:rsid w:val="4C49D98F"/>
    <w:rsid w:val="4C656B33"/>
    <w:rsid w:val="4C6D72A8"/>
    <w:rsid w:val="4C8D8A76"/>
    <w:rsid w:val="4C959711"/>
    <w:rsid w:val="4CAB537A"/>
    <w:rsid w:val="4CBCD387"/>
    <w:rsid w:val="4CCF3439"/>
    <w:rsid w:val="4CDA65CD"/>
    <w:rsid w:val="4CED5FD8"/>
    <w:rsid w:val="4CF49DFF"/>
    <w:rsid w:val="4D119A32"/>
    <w:rsid w:val="4D1322D5"/>
    <w:rsid w:val="4D3B6A1C"/>
    <w:rsid w:val="4D4563F5"/>
    <w:rsid w:val="4D5C2AB2"/>
    <w:rsid w:val="4D5DDE24"/>
    <w:rsid w:val="4D95F636"/>
    <w:rsid w:val="4DA1DF2C"/>
    <w:rsid w:val="4DA2C2E9"/>
    <w:rsid w:val="4DC6D87C"/>
    <w:rsid w:val="4DC946D0"/>
    <w:rsid w:val="4DE78935"/>
    <w:rsid w:val="4DF7E2FE"/>
    <w:rsid w:val="4E01938B"/>
    <w:rsid w:val="4E09D299"/>
    <w:rsid w:val="4E20248F"/>
    <w:rsid w:val="4E3B9550"/>
    <w:rsid w:val="4E416A6F"/>
    <w:rsid w:val="4E49DB21"/>
    <w:rsid w:val="4E6A1F12"/>
    <w:rsid w:val="4E8BE941"/>
    <w:rsid w:val="4E977FB9"/>
    <w:rsid w:val="4EB219C5"/>
    <w:rsid w:val="4EBFDC5D"/>
    <w:rsid w:val="4EC95E24"/>
    <w:rsid w:val="4ECBB77D"/>
    <w:rsid w:val="4ED4BCA8"/>
    <w:rsid w:val="4EEF7344"/>
    <w:rsid w:val="4EF35DA1"/>
    <w:rsid w:val="4F0DCBDA"/>
    <w:rsid w:val="4F22824A"/>
    <w:rsid w:val="4F2790D5"/>
    <w:rsid w:val="4F331EF9"/>
    <w:rsid w:val="4F3BBBD9"/>
    <w:rsid w:val="4F409088"/>
    <w:rsid w:val="4F498D25"/>
    <w:rsid w:val="4F4FAF28"/>
    <w:rsid w:val="4F556A90"/>
    <w:rsid w:val="4F754D7F"/>
    <w:rsid w:val="4F7F3320"/>
    <w:rsid w:val="4F8B5676"/>
    <w:rsid w:val="4F8E35F6"/>
    <w:rsid w:val="4F8F5490"/>
    <w:rsid w:val="4F92C708"/>
    <w:rsid w:val="4F935E40"/>
    <w:rsid w:val="4F98CA57"/>
    <w:rsid w:val="4FABB05F"/>
    <w:rsid w:val="4FCCC137"/>
    <w:rsid w:val="4FE4581A"/>
    <w:rsid w:val="4FF885D0"/>
    <w:rsid w:val="4FFDAE5F"/>
    <w:rsid w:val="50190A6E"/>
    <w:rsid w:val="501E8AAF"/>
    <w:rsid w:val="50307E58"/>
    <w:rsid w:val="5043F8A3"/>
    <w:rsid w:val="5079475E"/>
    <w:rsid w:val="50A921AC"/>
    <w:rsid w:val="50B6A376"/>
    <w:rsid w:val="50BC4FD4"/>
    <w:rsid w:val="50D40E6B"/>
    <w:rsid w:val="50F69D75"/>
    <w:rsid w:val="50FE8F47"/>
    <w:rsid w:val="5118A561"/>
    <w:rsid w:val="51249C36"/>
    <w:rsid w:val="51617922"/>
    <w:rsid w:val="5162DAE9"/>
    <w:rsid w:val="517DDB55"/>
    <w:rsid w:val="51B121C7"/>
    <w:rsid w:val="51C89B07"/>
    <w:rsid w:val="51DAC3E0"/>
    <w:rsid w:val="5202A227"/>
    <w:rsid w:val="521BAA85"/>
    <w:rsid w:val="5222ACD5"/>
    <w:rsid w:val="5234982F"/>
    <w:rsid w:val="52378D6D"/>
    <w:rsid w:val="524EE843"/>
    <w:rsid w:val="524FB12B"/>
    <w:rsid w:val="524FCD7F"/>
    <w:rsid w:val="52576BC7"/>
    <w:rsid w:val="5258313E"/>
    <w:rsid w:val="52659744"/>
    <w:rsid w:val="52B0BC93"/>
    <w:rsid w:val="52B191E6"/>
    <w:rsid w:val="52C5BF95"/>
    <w:rsid w:val="532621EF"/>
    <w:rsid w:val="533B8AB8"/>
    <w:rsid w:val="5351ED03"/>
    <w:rsid w:val="5369E0F0"/>
    <w:rsid w:val="537F309F"/>
    <w:rsid w:val="53847D9A"/>
    <w:rsid w:val="53889C8C"/>
    <w:rsid w:val="539390A5"/>
    <w:rsid w:val="53963C62"/>
    <w:rsid w:val="53AC7A9E"/>
    <w:rsid w:val="53B3B621"/>
    <w:rsid w:val="53B77AE6"/>
    <w:rsid w:val="53BBEE98"/>
    <w:rsid w:val="53BE79AC"/>
    <w:rsid w:val="53BE7D36"/>
    <w:rsid w:val="53CFA3B9"/>
    <w:rsid w:val="53F26A85"/>
    <w:rsid w:val="5408FF25"/>
    <w:rsid w:val="54162CEC"/>
    <w:rsid w:val="5421A4FC"/>
    <w:rsid w:val="5425CC1E"/>
    <w:rsid w:val="54590F32"/>
    <w:rsid w:val="545A9E17"/>
    <w:rsid w:val="5469E1F7"/>
    <w:rsid w:val="547B3358"/>
    <w:rsid w:val="547E0B3E"/>
    <w:rsid w:val="548F8463"/>
    <w:rsid w:val="54A21DB8"/>
    <w:rsid w:val="54D143AF"/>
    <w:rsid w:val="55038899"/>
    <w:rsid w:val="55187B69"/>
    <w:rsid w:val="55231A8C"/>
    <w:rsid w:val="5532136A"/>
    <w:rsid w:val="5549DB6F"/>
    <w:rsid w:val="558515B2"/>
    <w:rsid w:val="55A445FA"/>
    <w:rsid w:val="55B92D1B"/>
    <w:rsid w:val="55BCF204"/>
    <w:rsid w:val="55D0BE30"/>
    <w:rsid w:val="55E3F81B"/>
    <w:rsid w:val="55FC01DF"/>
    <w:rsid w:val="561F2923"/>
    <w:rsid w:val="56256AB4"/>
    <w:rsid w:val="564007E6"/>
    <w:rsid w:val="56466968"/>
    <w:rsid w:val="564BB682"/>
    <w:rsid w:val="56525DB3"/>
    <w:rsid w:val="5664576D"/>
    <w:rsid w:val="5695871A"/>
    <w:rsid w:val="569D56D0"/>
    <w:rsid w:val="56A7F546"/>
    <w:rsid w:val="56A8720D"/>
    <w:rsid w:val="56C30E37"/>
    <w:rsid w:val="56DD574A"/>
    <w:rsid w:val="56E3F422"/>
    <w:rsid w:val="56E41B60"/>
    <w:rsid w:val="57009EDB"/>
    <w:rsid w:val="570ACA16"/>
    <w:rsid w:val="571EF2CF"/>
    <w:rsid w:val="57240B29"/>
    <w:rsid w:val="573A44EC"/>
    <w:rsid w:val="573BEBE4"/>
    <w:rsid w:val="573CED56"/>
    <w:rsid w:val="575F9D7B"/>
    <w:rsid w:val="576642F9"/>
    <w:rsid w:val="57907F48"/>
    <w:rsid w:val="57B10D18"/>
    <w:rsid w:val="57C72525"/>
    <w:rsid w:val="57D64EF6"/>
    <w:rsid w:val="57E7E851"/>
    <w:rsid w:val="57F5312B"/>
    <w:rsid w:val="58007BA5"/>
    <w:rsid w:val="58135985"/>
    <w:rsid w:val="5819EA6A"/>
    <w:rsid w:val="58206180"/>
    <w:rsid w:val="58263831"/>
    <w:rsid w:val="582B534B"/>
    <w:rsid w:val="5868856C"/>
    <w:rsid w:val="587D71A5"/>
    <w:rsid w:val="58810CAF"/>
    <w:rsid w:val="5895941A"/>
    <w:rsid w:val="58A127D6"/>
    <w:rsid w:val="58A3C554"/>
    <w:rsid w:val="58B2F53F"/>
    <w:rsid w:val="58C43A25"/>
    <w:rsid w:val="58C81576"/>
    <w:rsid w:val="58D6154D"/>
    <w:rsid w:val="58D73B5B"/>
    <w:rsid w:val="58D94CDE"/>
    <w:rsid w:val="58DB43D3"/>
    <w:rsid w:val="58DE0A84"/>
    <w:rsid w:val="58F0AED3"/>
    <w:rsid w:val="591531D1"/>
    <w:rsid w:val="591958D8"/>
    <w:rsid w:val="591A47A5"/>
    <w:rsid w:val="593F2CDD"/>
    <w:rsid w:val="59669DBD"/>
    <w:rsid w:val="597A0EFC"/>
    <w:rsid w:val="5981910D"/>
    <w:rsid w:val="59A2CB42"/>
    <w:rsid w:val="59AFFA81"/>
    <w:rsid w:val="59B93C75"/>
    <w:rsid w:val="59C8B18A"/>
    <w:rsid w:val="59C93E6A"/>
    <w:rsid w:val="59F07806"/>
    <w:rsid w:val="5A01AE84"/>
    <w:rsid w:val="5A379118"/>
    <w:rsid w:val="5A393409"/>
    <w:rsid w:val="5A3FE4C7"/>
    <w:rsid w:val="5A58E7B5"/>
    <w:rsid w:val="5A691A2A"/>
    <w:rsid w:val="5A875B92"/>
    <w:rsid w:val="5A8A3888"/>
    <w:rsid w:val="5A94B72A"/>
    <w:rsid w:val="5A9D3150"/>
    <w:rsid w:val="5AB0E69A"/>
    <w:rsid w:val="5AC8A19A"/>
    <w:rsid w:val="5AD0785B"/>
    <w:rsid w:val="5AE2A841"/>
    <w:rsid w:val="5AE5D05B"/>
    <w:rsid w:val="5AEA9A74"/>
    <w:rsid w:val="5B01F8C8"/>
    <w:rsid w:val="5B10F66D"/>
    <w:rsid w:val="5B190C7B"/>
    <w:rsid w:val="5B202667"/>
    <w:rsid w:val="5B3AE282"/>
    <w:rsid w:val="5B3E9BA3"/>
    <w:rsid w:val="5B4EE5D5"/>
    <w:rsid w:val="5B650ECB"/>
    <w:rsid w:val="5B6D4C62"/>
    <w:rsid w:val="5B72C8AA"/>
    <w:rsid w:val="5B757D9C"/>
    <w:rsid w:val="5B7F52F3"/>
    <w:rsid w:val="5B900726"/>
    <w:rsid w:val="5B97BC46"/>
    <w:rsid w:val="5B9D03BC"/>
    <w:rsid w:val="5BB13465"/>
    <w:rsid w:val="5BD478E5"/>
    <w:rsid w:val="5BD6EE24"/>
    <w:rsid w:val="5BDE3B39"/>
    <w:rsid w:val="5BE4838A"/>
    <w:rsid w:val="5BFF0C3D"/>
    <w:rsid w:val="5C03F0CB"/>
    <w:rsid w:val="5C054008"/>
    <w:rsid w:val="5C07A0F9"/>
    <w:rsid w:val="5C30878B"/>
    <w:rsid w:val="5C3C8D27"/>
    <w:rsid w:val="5C60216C"/>
    <w:rsid w:val="5C65AFFC"/>
    <w:rsid w:val="5C6F7212"/>
    <w:rsid w:val="5C74F07D"/>
    <w:rsid w:val="5C7676D1"/>
    <w:rsid w:val="5CA972B9"/>
    <w:rsid w:val="5CAA6817"/>
    <w:rsid w:val="5CCA817F"/>
    <w:rsid w:val="5CCADB27"/>
    <w:rsid w:val="5CE0D8F7"/>
    <w:rsid w:val="5CE5B334"/>
    <w:rsid w:val="5CF1EB6E"/>
    <w:rsid w:val="5D0236A7"/>
    <w:rsid w:val="5D0B9CC9"/>
    <w:rsid w:val="5D1B6195"/>
    <w:rsid w:val="5D21FABB"/>
    <w:rsid w:val="5D233F65"/>
    <w:rsid w:val="5D272F84"/>
    <w:rsid w:val="5D2B17CE"/>
    <w:rsid w:val="5D5E5D2C"/>
    <w:rsid w:val="5D661E32"/>
    <w:rsid w:val="5D68F9F2"/>
    <w:rsid w:val="5D9E9A85"/>
    <w:rsid w:val="5D9F7DCE"/>
    <w:rsid w:val="5DA7764C"/>
    <w:rsid w:val="5DAA2B5A"/>
    <w:rsid w:val="5DAF9E4F"/>
    <w:rsid w:val="5DCB92B0"/>
    <w:rsid w:val="5DDAFA4D"/>
    <w:rsid w:val="5DDF876A"/>
    <w:rsid w:val="5DEAC927"/>
    <w:rsid w:val="5DF33540"/>
    <w:rsid w:val="5DF52FC3"/>
    <w:rsid w:val="5E203C1D"/>
    <w:rsid w:val="5E4AD17B"/>
    <w:rsid w:val="5E521B39"/>
    <w:rsid w:val="5E6B7BE4"/>
    <w:rsid w:val="5E6E0307"/>
    <w:rsid w:val="5E82FB99"/>
    <w:rsid w:val="5EA723C5"/>
    <w:rsid w:val="5EA9AFB3"/>
    <w:rsid w:val="5EC9DFED"/>
    <w:rsid w:val="5ED42D50"/>
    <w:rsid w:val="5EDD043E"/>
    <w:rsid w:val="5F0520B5"/>
    <w:rsid w:val="5F176E95"/>
    <w:rsid w:val="5F239619"/>
    <w:rsid w:val="5F54833F"/>
    <w:rsid w:val="5FAE9D2E"/>
    <w:rsid w:val="5FC8B225"/>
    <w:rsid w:val="5FF1A21D"/>
    <w:rsid w:val="60060D36"/>
    <w:rsid w:val="6007BAB7"/>
    <w:rsid w:val="601C9024"/>
    <w:rsid w:val="601EA46E"/>
    <w:rsid w:val="60567155"/>
    <w:rsid w:val="6057BEBD"/>
    <w:rsid w:val="6072F637"/>
    <w:rsid w:val="60817B6C"/>
    <w:rsid w:val="60A0A5FF"/>
    <w:rsid w:val="60A54BBE"/>
    <w:rsid w:val="60AD1291"/>
    <w:rsid w:val="60AEF568"/>
    <w:rsid w:val="60B9CE5C"/>
    <w:rsid w:val="60D18A60"/>
    <w:rsid w:val="60DD74B9"/>
    <w:rsid w:val="611DA718"/>
    <w:rsid w:val="61291E65"/>
    <w:rsid w:val="614D112B"/>
    <w:rsid w:val="614FB0A4"/>
    <w:rsid w:val="6154DF0E"/>
    <w:rsid w:val="617FFB77"/>
    <w:rsid w:val="61872EE3"/>
    <w:rsid w:val="6187BFFD"/>
    <w:rsid w:val="6196F76F"/>
    <w:rsid w:val="61A2E93E"/>
    <w:rsid w:val="61B71D34"/>
    <w:rsid w:val="61C6BFE7"/>
    <w:rsid w:val="61C9F3D6"/>
    <w:rsid w:val="61E40283"/>
    <w:rsid w:val="61F241B6"/>
    <w:rsid w:val="620B04E1"/>
    <w:rsid w:val="620BF21F"/>
    <w:rsid w:val="6219CB3F"/>
    <w:rsid w:val="621FA842"/>
    <w:rsid w:val="6225CAFD"/>
    <w:rsid w:val="622DCD58"/>
    <w:rsid w:val="6244EF95"/>
    <w:rsid w:val="624E9582"/>
    <w:rsid w:val="625E7A6E"/>
    <w:rsid w:val="62689A5E"/>
    <w:rsid w:val="629346B8"/>
    <w:rsid w:val="62AE6624"/>
    <w:rsid w:val="630C10B0"/>
    <w:rsid w:val="6319A99B"/>
    <w:rsid w:val="631E8A81"/>
    <w:rsid w:val="634ED497"/>
    <w:rsid w:val="636B6ABB"/>
    <w:rsid w:val="63882048"/>
    <w:rsid w:val="63B6E2D7"/>
    <w:rsid w:val="63C6EDF2"/>
    <w:rsid w:val="63CD9EB0"/>
    <w:rsid w:val="63DBD85E"/>
    <w:rsid w:val="63EEFFF7"/>
    <w:rsid w:val="63F7D0B0"/>
    <w:rsid w:val="641DC49E"/>
    <w:rsid w:val="642407C0"/>
    <w:rsid w:val="64423B36"/>
    <w:rsid w:val="644F6AEA"/>
    <w:rsid w:val="64742FE7"/>
    <w:rsid w:val="64C77FC7"/>
    <w:rsid w:val="64C95763"/>
    <w:rsid w:val="64D7EF56"/>
    <w:rsid w:val="651B7B3B"/>
    <w:rsid w:val="651F7ED4"/>
    <w:rsid w:val="6523C2A1"/>
    <w:rsid w:val="65323A5F"/>
    <w:rsid w:val="653F47E3"/>
    <w:rsid w:val="653FBF4B"/>
    <w:rsid w:val="6548454F"/>
    <w:rsid w:val="65621518"/>
    <w:rsid w:val="657874E0"/>
    <w:rsid w:val="658C3F87"/>
    <w:rsid w:val="65A4DA87"/>
    <w:rsid w:val="65D6FDC1"/>
    <w:rsid w:val="65E16ECB"/>
    <w:rsid w:val="65E20439"/>
    <w:rsid w:val="65E210BE"/>
    <w:rsid w:val="65EC606A"/>
    <w:rsid w:val="65EEE8EC"/>
    <w:rsid w:val="65F0A3F5"/>
    <w:rsid w:val="65F5C7C5"/>
    <w:rsid w:val="660081DE"/>
    <w:rsid w:val="661D1034"/>
    <w:rsid w:val="66345E0D"/>
    <w:rsid w:val="6646EBB8"/>
    <w:rsid w:val="6647D0B9"/>
    <w:rsid w:val="664F688C"/>
    <w:rsid w:val="6655EE07"/>
    <w:rsid w:val="665E6A80"/>
    <w:rsid w:val="66675DB9"/>
    <w:rsid w:val="66A0CD9C"/>
    <w:rsid w:val="66D4B1C3"/>
    <w:rsid w:val="66D996E5"/>
    <w:rsid w:val="66E6C90A"/>
    <w:rsid w:val="67053F72"/>
    <w:rsid w:val="670FCDE2"/>
    <w:rsid w:val="6723886E"/>
    <w:rsid w:val="672BC439"/>
    <w:rsid w:val="67308C3B"/>
    <w:rsid w:val="67422F8E"/>
    <w:rsid w:val="675A38A0"/>
    <w:rsid w:val="678DFC45"/>
    <w:rsid w:val="67A07F45"/>
    <w:rsid w:val="67A1CAF2"/>
    <w:rsid w:val="67A7AAEE"/>
    <w:rsid w:val="67D220CA"/>
    <w:rsid w:val="67D68EA6"/>
    <w:rsid w:val="67EE021D"/>
    <w:rsid w:val="6800C945"/>
    <w:rsid w:val="6805B97B"/>
    <w:rsid w:val="681DB398"/>
    <w:rsid w:val="681E0185"/>
    <w:rsid w:val="6824F8D4"/>
    <w:rsid w:val="6834574A"/>
    <w:rsid w:val="683581D7"/>
    <w:rsid w:val="684262B6"/>
    <w:rsid w:val="6844E8ED"/>
    <w:rsid w:val="6871CF9B"/>
    <w:rsid w:val="687356D8"/>
    <w:rsid w:val="6877FA95"/>
    <w:rsid w:val="6882AD0E"/>
    <w:rsid w:val="68EE6333"/>
    <w:rsid w:val="68FD68A4"/>
    <w:rsid w:val="697A7CCD"/>
    <w:rsid w:val="69952330"/>
    <w:rsid w:val="69A633A2"/>
    <w:rsid w:val="69A74A65"/>
    <w:rsid w:val="69CC3CF0"/>
    <w:rsid w:val="6A4765ED"/>
    <w:rsid w:val="6A4FBFE7"/>
    <w:rsid w:val="6A7D00E6"/>
    <w:rsid w:val="6A8D0930"/>
    <w:rsid w:val="6AA3FF48"/>
    <w:rsid w:val="6ABC34A5"/>
    <w:rsid w:val="6AD3E935"/>
    <w:rsid w:val="6ADAAD35"/>
    <w:rsid w:val="6AE029C0"/>
    <w:rsid w:val="6AE3CDF8"/>
    <w:rsid w:val="6AE84AC3"/>
    <w:rsid w:val="6AFE1268"/>
    <w:rsid w:val="6AFFDA29"/>
    <w:rsid w:val="6B14E62E"/>
    <w:rsid w:val="6B2C1132"/>
    <w:rsid w:val="6B2C240C"/>
    <w:rsid w:val="6B48D0C8"/>
    <w:rsid w:val="6B7B03BA"/>
    <w:rsid w:val="6B80721E"/>
    <w:rsid w:val="6B8370F5"/>
    <w:rsid w:val="6B9F103C"/>
    <w:rsid w:val="6BABDAED"/>
    <w:rsid w:val="6BBE0013"/>
    <w:rsid w:val="6BCB3225"/>
    <w:rsid w:val="6BEB9048"/>
    <w:rsid w:val="6BF2AB85"/>
    <w:rsid w:val="6C211B88"/>
    <w:rsid w:val="6C2A115A"/>
    <w:rsid w:val="6C512F68"/>
    <w:rsid w:val="6C58E69A"/>
    <w:rsid w:val="6C5B0348"/>
    <w:rsid w:val="6C77C7C4"/>
    <w:rsid w:val="6C7C112F"/>
    <w:rsid w:val="6C7ED57F"/>
    <w:rsid w:val="6C8A4751"/>
    <w:rsid w:val="6C9501FF"/>
    <w:rsid w:val="6CA3B7D1"/>
    <w:rsid w:val="6CBEF46B"/>
    <w:rsid w:val="6CC92D4C"/>
    <w:rsid w:val="6CCF386D"/>
    <w:rsid w:val="6CE20466"/>
    <w:rsid w:val="6CF24D46"/>
    <w:rsid w:val="6D026061"/>
    <w:rsid w:val="6D147928"/>
    <w:rsid w:val="6D43AA5C"/>
    <w:rsid w:val="6D691C07"/>
    <w:rsid w:val="6D76B1B7"/>
    <w:rsid w:val="6D8D0836"/>
    <w:rsid w:val="6D9F9D9E"/>
    <w:rsid w:val="6DAD2786"/>
    <w:rsid w:val="6DB7D917"/>
    <w:rsid w:val="6DB9A3B5"/>
    <w:rsid w:val="6DC6EA1D"/>
    <w:rsid w:val="6DCFF51F"/>
    <w:rsid w:val="6DE677DB"/>
    <w:rsid w:val="6DF6D4CE"/>
    <w:rsid w:val="6DFF6EE3"/>
    <w:rsid w:val="6E21FC3B"/>
    <w:rsid w:val="6E2DBFDC"/>
    <w:rsid w:val="6E601050"/>
    <w:rsid w:val="6E651150"/>
    <w:rsid w:val="6E6E0388"/>
    <w:rsid w:val="6E7089FD"/>
    <w:rsid w:val="6EA1D5B9"/>
    <w:rsid w:val="6EB0D8FA"/>
    <w:rsid w:val="6EB1629E"/>
    <w:rsid w:val="6EB433AD"/>
    <w:rsid w:val="6ECC5BFB"/>
    <w:rsid w:val="6ED48272"/>
    <w:rsid w:val="6EF23EBD"/>
    <w:rsid w:val="6EFCB2E5"/>
    <w:rsid w:val="6F04EC68"/>
    <w:rsid w:val="6F1A7B9A"/>
    <w:rsid w:val="6F1FE8BD"/>
    <w:rsid w:val="6F3594D9"/>
    <w:rsid w:val="6F3D3111"/>
    <w:rsid w:val="6F3EEE70"/>
    <w:rsid w:val="6F8FFEEC"/>
    <w:rsid w:val="6F948C37"/>
    <w:rsid w:val="6FAD2A8C"/>
    <w:rsid w:val="6FDBA46E"/>
    <w:rsid w:val="6FE70F3E"/>
    <w:rsid w:val="700486BD"/>
    <w:rsid w:val="70078FDB"/>
    <w:rsid w:val="705C7CDD"/>
    <w:rsid w:val="706351B1"/>
    <w:rsid w:val="706609CA"/>
    <w:rsid w:val="7074363F"/>
    <w:rsid w:val="70860E83"/>
    <w:rsid w:val="708ACCF8"/>
    <w:rsid w:val="708F1F2D"/>
    <w:rsid w:val="7092800C"/>
    <w:rsid w:val="709AE437"/>
    <w:rsid w:val="70AE6C51"/>
    <w:rsid w:val="70B83D72"/>
    <w:rsid w:val="70C3053D"/>
    <w:rsid w:val="70CC8EDA"/>
    <w:rsid w:val="70DA10CD"/>
    <w:rsid w:val="70EDB10C"/>
    <w:rsid w:val="70F4EFFB"/>
    <w:rsid w:val="71245C4B"/>
    <w:rsid w:val="71304979"/>
    <w:rsid w:val="71625F4B"/>
    <w:rsid w:val="7163589D"/>
    <w:rsid w:val="716B49BD"/>
    <w:rsid w:val="717F67FB"/>
    <w:rsid w:val="71955EB9"/>
    <w:rsid w:val="719E9B73"/>
    <w:rsid w:val="71A3D3AB"/>
    <w:rsid w:val="71A42ADC"/>
    <w:rsid w:val="71B46A5A"/>
    <w:rsid w:val="71C3AC60"/>
    <w:rsid w:val="72110321"/>
    <w:rsid w:val="7229D4E7"/>
    <w:rsid w:val="72310610"/>
    <w:rsid w:val="725A87B0"/>
    <w:rsid w:val="725E6622"/>
    <w:rsid w:val="726139C1"/>
    <w:rsid w:val="72963FD1"/>
    <w:rsid w:val="7297C021"/>
    <w:rsid w:val="72ACB012"/>
    <w:rsid w:val="72B8CD71"/>
    <w:rsid w:val="72E2C64E"/>
    <w:rsid w:val="72E5A972"/>
    <w:rsid w:val="73044383"/>
    <w:rsid w:val="730DE549"/>
    <w:rsid w:val="730E2934"/>
    <w:rsid w:val="7367F202"/>
    <w:rsid w:val="73687958"/>
    <w:rsid w:val="738D7209"/>
    <w:rsid w:val="7395CBB2"/>
    <w:rsid w:val="73B9BFE2"/>
    <w:rsid w:val="73BD0645"/>
    <w:rsid w:val="7403DDA1"/>
    <w:rsid w:val="740FE9A0"/>
    <w:rsid w:val="74477592"/>
    <w:rsid w:val="745551B6"/>
    <w:rsid w:val="745B77A3"/>
    <w:rsid w:val="7489B9A1"/>
    <w:rsid w:val="74933D3C"/>
    <w:rsid w:val="74A53350"/>
    <w:rsid w:val="74AD6280"/>
    <w:rsid w:val="74B96B4C"/>
    <w:rsid w:val="74BA5C15"/>
    <w:rsid w:val="74BBD1D3"/>
    <w:rsid w:val="74C46268"/>
    <w:rsid w:val="74CD5996"/>
    <w:rsid w:val="74DCB01F"/>
    <w:rsid w:val="74DD5457"/>
    <w:rsid w:val="74E54AC3"/>
    <w:rsid w:val="74EBF5BA"/>
    <w:rsid w:val="7503AC8C"/>
    <w:rsid w:val="7517FC5C"/>
    <w:rsid w:val="7524BA07"/>
    <w:rsid w:val="754088A5"/>
    <w:rsid w:val="75488ACA"/>
    <w:rsid w:val="754DF5BE"/>
    <w:rsid w:val="757BEC94"/>
    <w:rsid w:val="7583A58A"/>
    <w:rsid w:val="75906AAB"/>
    <w:rsid w:val="75B98148"/>
    <w:rsid w:val="75BA7955"/>
    <w:rsid w:val="75C19CDB"/>
    <w:rsid w:val="75C83E02"/>
    <w:rsid w:val="75ED6FD1"/>
    <w:rsid w:val="75F6FAC0"/>
    <w:rsid w:val="75FED067"/>
    <w:rsid w:val="75FFBF84"/>
    <w:rsid w:val="760DA87F"/>
    <w:rsid w:val="760FB011"/>
    <w:rsid w:val="7616394E"/>
    <w:rsid w:val="76180254"/>
    <w:rsid w:val="761E52F8"/>
    <w:rsid w:val="76212490"/>
    <w:rsid w:val="7622C7A5"/>
    <w:rsid w:val="76255034"/>
    <w:rsid w:val="762F5CEC"/>
    <w:rsid w:val="7674340C"/>
    <w:rsid w:val="767E1F9A"/>
    <w:rsid w:val="769B6F8E"/>
    <w:rsid w:val="769CA88D"/>
    <w:rsid w:val="76A2C35A"/>
    <w:rsid w:val="76A7C2FC"/>
    <w:rsid w:val="76B688B7"/>
    <w:rsid w:val="76C45702"/>
    <w:rsid w:val="76E346CA"/>
    <w:rsid w:val="76EBAB16"/>
    <w:rsid w:val="76EE780D"/>
    <w:rsid w:val="76F14B78"/>
    <w:rsid w:val="770DA5CE"/>
    <w:rsid w:val="7728B957"/>
    <w:rsid w:val="773684A7"/>
    <w:rsid w:val="773EE975"/>
    <w:rsid w:val="776EAC30"/>
    <w:rsid w:val="77965A77"/>
    <w:rsid w:val="779D6251"/>
    <w:rsid w:val="77B67139"/>
    <w:rsid w:val="77C14650"/>
    <w:rsid w:val="77CED40F"/>
    <w:rsid w:val="77CF78A4"/>
    <w:rsid w:val="77D9E809"/>
    <w:rsid w:val="77DD3E57"/>
    <w:rsid w:val="77EC8282"/>
    <w:rsid w:val="77F6B93D"/>
    <w:rsid w:val="7819E452"/>
    <w:rsid w:val="781DF487"/>
    <w:rsid w:val="7832F208"/>
    <w:rsid w:val="78374718"/>
    <w:rsid w:val="7841ED96"/>
    <w:rsid w:val="78439E03"/>
    <w:rsid w:val="78457F0B"/>
    <w:rsid w:val="78520354"/>
    <w:rsid w:val="785AB84D"/>
    <w:rsid w:val="78732FA1"/>
    <w:rsid w:val="789857B5"/>
    <w:rsid w:val="7899166B"/>
    <w:rsid w:val="789D1CA2"/>
    <w:rsid w:val="78B6A87A"/>
    <w:rsid w:val="78B70A01"/>
    <w:rsid w:val="78C84127"/>
    <w:rsid w:val="78D74EC4"/>
    <w:rsid w:val="790B9AF4"/>
    <w:rsid w:val="7938374A"/>
    <w:rsid w:val="79403A79"/>
    <w:rsid w:val="794282E0"/>
    <w:rsid w:val="7947DB2F"/>
    <w:rsid w:val="7957F7BA"/>
    <w:rsid w:val="795A5CAA"/>
    <w:rsid w:val="796608C5"/>
    <w:rsid w:val="796AC941"/>
    <w:rsid w:val="7972BB5D"/>
    <w:rsid w:val="7974BF98"/>
    <w:rsid w:val="79A112F3"/>
    <w:rsid w:val="79B4924C"/>
    <w:rsid w:val="79B88327"/>
    <w:rsid w:val="79BA0C0A"/>
    <w:rsid w:val="79D42A35"/>
    <w:rsid w:val="79EFD412"/>
    <w:rsid w:val="79F3170B"/>
    <w:rsid w:val="7A258DF3"/>
    <w:rsid w:val="7A34F164"/>
    <w:rsid w:val="7A43FA28"/>
    <w:rsid w:val="7A52B2BF"/>
    <w:rsid w:val="7A5FA08C"/>
    <w:rsid w:val="7A676DEB"/>
    <w:rsid w:val="7A78E5B2"/>
    <w:rsid w:val="7A7E8A65"/>
    <w:rsid w:val="7A81B477"/>
    <w:rsid w:val="7AB41846"/>
    <w:rsid w:val="7ACF2D5B"/>
    <w:rsid w:val="7ADBAFA5"/>
    <w:rsid w:val="7ADFAABE"/>
    <w:rsid w:val="7AE4EC58"/>
    <w:rsid w:val="7AE9228D"/>
    <w:rsid w:val="7AF1B34E"/>
    <w:rsid w:val="7AF62D0B"/>
    <w:rsid w:val="7B088794"/>
    <w:rsid w:val="7B16E2BB"/>
    <w:rsid w:val="7B2FDC48"/>
    <w:rsid w:val="7B382CD2"/>
    <w:rsid w:val="7B498632"/>
    <w:rsid w:val="7B54AF93"/>
    <w:rsid w:val="7B79EE64"/>
    <w:rsid w:val="7B931BF8"/>
    <w:rsid w:val="7C0169F6"/>
    <w:rsid w:val="7C0FC778"/>
    <w:rsid w:val="7C15A8D6"/>
    <w:rsid w:val="7C307A84"/>
    <w:rsid w:val="7C393BFD"/>
    <w:rsid w:val="7C6566CB"/>
    <w:rsid w:val="7C7B7B1F"/>
    <w:rsid w:val="7C93C0E0"/>
    <w:rsid w:val="7CA680D3"/>
    <w:rsid w:val="7CAA203F"/>
    <w:rsid w:val="7CB0B6E8"/>
    <w:rsid w:val="7CB6BF1B"/>
    <w:rsid w:val="7CD8EF96"/>
    <w:rsid w:val="7CE43D91"/>
    <w:rsid w:val="7CEDD110"/>
    <w:rsid w:val="7CF4366C"/>
    <w:rsid w:val="7CF578C1"/>
    <w:rsid w:val="7D05E426"/>
    <w:rsid w:val="7D13CA54"/>
    <w:rsid w:val="7D274F5C"/>
    <w:rsid w:val="7D341AD9"/>
    <w:rsid w:val="7D44AF2C"/>
    <w:rsid w:val="7D78688E"/>
    <w:rsid w:val="7D8BD238"/>
    <w:rsid w:val="7D94416D"/>
    <w:rsid w:val="7D9EF479"/>
    <w:rsid w:val="7DAF47C8"/>
    <w:rsid w:val="7DE6278A"/>
    <w:rsid w:val="7DF07E40"/>
    <w:rsid w:val="7DF139F5"/>
    <w:rsid w:val="7E01F9B6"/>
    <w:rsid w:val="7E056D5E"/>
    <w:rsid w:val="7E060887"/>
    <w:rsid w:val="7E1663B4"/>
    <w:rsid w:val="7E17738A"/>
    <w:rsid w:val="7E38C628"/>
    <w:rsid w:val="7E5A6B3A"/>
    <w:rsid w:val="7E839FBE"/>
    <w:rsid w:val="7E8F0BEF"/>
    <w:rsid w:val="7EA544C4"/>
    <w:rsid w:val="7F1FE25B"/>
    <w:rsid w:val="7F252786"/>
    <w:rsid w:val="7F2FA7AD"/>
    <w:rsid w:val="7F3259A4"/>
    <w:rsid w:val="7F448972"/>
    <w:rsid w:val="7F45BE57"/>
    <w:rsid w:val="7F4D0CA0"/>
    <w:rsid w:val="7F57EADE"/>
    <w:rsid w:val="7F5E84F0"/>
    <w:rsid w:val="7F78B783"/>
    <w:rsid w:val="7F89D865"/>
    <w:rsid w:val="7F8EF54C"/>
    <w:rsid w:val="7FD942A3"/>
    <w:rsid w:val="7FF9E458"/>
    <w:rsid w:val="7FFB899F"/>
  </w:rsids>
  <m:mathPr>
    <m:mathFont m:val="Cambria Math"/>
    <m:brkBin m:val="before"/>
    <m:brkBinSub m:val="--"/>
    <m:smallFrac/>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461B2"/>
  <w15:docId w15:val="{384DFA04-DEE4-405E-8771-126C56E23E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D4C15"/>
    <w:pPr>
      <w:spacing w:after="0" w:line="240" w:lineRule="auto"/>
    </w:pPr>
    <w:rPr>
      <w:rFonts w:ascii="Times New Roman" w:eastAsia="Times New Roman" w:hAnsi="Times New Roman" w:cs="Times New Roman"/>
      <w:sz w:val="24"/>
      <w:szCs w:val="24"/>
      <w:lang w:eastAsia="lt-LT"/>
    </w:rPr>
  </w:style>
  <w:style w:type="paragraph" w:styleId="Heading1">
    <w:name w:val="heading 1"/>
    <w:basedOn w:val="Normal"/>
    <w:next w:val="Normal"/>
    <w:link w:val="Heading1Char2"/>
    <w:qFormat/>
    <w:rsid w:val="003D4C15"/>
    <w:pPr>
      <w:jc w:val="both"/>
      <w:outlineLvl w:val="0"/>
    </w:pPr>
    <w:rPr>
      <w:b/>
      <w:sz w:val="22"/>
      <w:szCs w:val="22"/>
      <w:u w:val="single"/>
    </w:rPr>
  </w:style>
  <w:style w:type="paragraph" w:styleId="Heading2">
    <w:name w:val="heading 2"/>
    <w:basedOn w:val="Normal"/>
    <w:next w:val="Normal"/>
    <w:link w:val="Heading2Char"/>
    <w:autoRedefine/>
    <w:uiPriority w:val="9"/>
    <w:unhideWhenUsed/>
    <w:qFormat/>
    <w:rsid w:val="00E64054"/>
    <w:pPr>
      <w:shd w:val="clear" w:color="auto" w:fill="FFFFFF"/>
      <w:jc w:val="both"/>
      <w:outlineLvl w:val="1"/>
    </w:pPr>
    <w:rPr>
      <w:rFonts w:asciiTheme="minorHAnsi" w:eastAsia="Calibri" w:hAnsiTheme="minorHAnsi" w:cstheme="minorHAnsi"/>
      <w:i/>
      <w:iCs/>
      <w:sz w:val="22"/>
      <w:szCs w:val="22"/>
      <w:shd w:val="clear" w:color="auto" w:fill="FFFFFF"/>
      <w:lang w:eastAsia="en-US"/>
    </w:rPr>
  </w:style>
  <w:style w:type="paragraph" w:styleId="Heading3">
    <w:name w:val="heading 3"/>
    <w:basedOn w:val="Normal"/>
    <w:next w:val="Normal"/>
    <w:link w:val="Heading3Char"/>
    <w:uiPriority w:val="9"/>
    <w:unhideWhenUsed/>
    <w:rsid w:val="003D4C15"/>
    <w:pPr>
      <w:jc w:val="both"/>
      <w:outlineLvl w:val="2"/>
    </w:pPr>
    <w:rPr>
      <w:i/>
      <w:sz w:val="22"/>
      <w:szCs w:val="22"/>
    </w:rPr>
  </w:style>
  <w:style w:type="paragraph" w:styleId="Heading4">
    <w:name w:val="heading 4"/>
    <w:basedOn w:val="Normal"/>
    <w:next w:val="Normal"/>
    <w:link w:val="Heading4Char"/>
    <w:uiPriority w:val="9"/>
    <w:unhideWhenUsed/>
    <w:rsid w:val="003D4C15"/>
    <w:pPr>
      <w:keepNext/>
      <w:ind w:firstLine="720"/>
      <w:jc w:val="both"/>
      <w:outlineLvl w:val="3"/>
    </w:pPr>
    <w:rPr>
      <w:b/>
      <w:bCs/>
      <w:sz w:val="22"/>
      <w:szCs w:val="28"/>
      <w:u w:val="single"/>
    </w:rPr>
  </w:style>
  <w:style w:type="paragraph" w:styleId="Heading5">
    <w:name w:val="heading 5"/>
    <w:basedOn w:val="Normal"/>
    <w:next w:val="Normal"/>
    <w:link w:val="Heading5Char"/>
    <w:uiPriority w:val="9"/>
    <w:unhideWhenUsed/>
    <w:rsid w:val="003D4C15"/>
    <w:pPr>
      <w:jc w:val="both"/>
      <w:outlineLvl w:val="4"/>
    </w:pPr>
    <w:rPr>
      <w:bCs/>
      <w:i/>
      <w:iCs/>
      <w:sz w:val="22"/>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2">
    <w:name w:val="Heading 1 Char2"/>
    <w:basedOn w:val="DefaultParagraphFont"/>
    <w:link w:val="Heading1"/>
    <w:qFormat/>
    <w:rsid w:val="003D4C15"/>
    <w:rPr>
      <w:rFonts w:ascii="Times New Roman" w:eastAsia="Times New Roman" w:hAnsi="Times New Roman" w:cs="Times New Roman"/>
      <w:b/>
      <w:u w:val="single"/>
      <w:lang w:eastAsia="lt-LT"/>
    </w:rPr>
  </w:style>
  <w:style w:type="character" w:customStyle="1" w:styleId="Heading2Char">
    <w:name w:val="Heading 2 Char"/>
    <w:basedOn w:val="DefaultParagraphFont"/>
    <w:link w:val="Heading2"/>
    <w:uiPriority w:val="9"/>
    <w:rsid w:val="00E64054"/>
    <w:rPr>
      <w:rFonts w:eastAsia="Calibri" w:cstheme="minorHAnsi"/>
      <w:i/>
      <w:iCs/>
      <w:shd w:val="clear" w:color="auto" w:fill="FFFFFF"/>
    </w:rPr>
  </w:style>
  <w:style w:type="character" w:customStyle="1" w:styleId="Heading3Char">
    <w:name w:val="Heading 3 Char"/>
    <w:basedOn w:val="DefaultParagraphFont"/>
    <w:link w:val="Heading3"/>
    <w:uiPriority w:val="9"/>
    <w:rsid w:val="003D4C15"/>
    <w:rPr>
      <w:rFonts w:ascii="Times New Roman" w:eastAsia="Times New Roman" w:hAnsi="Times New Roman" w:cs="Times New Roman"/>
      <w:i/>
      <w:lang w:eastAsia="lt-LT"/>
    </w:rPr>
  </w:style>
  <w:style w:type="character" w:customStyle="1" w:styleId="Heading4Char">
    <w:name w:val="Heading 4 Char"/>
    <w:basedOn w:val="DefaultParagraphFont"/>
    <w:link w:val="Heading4"/>
    <w:uiPriority w:val="9"/>
    <w:rsid w:val="003D4C15"/>
    <w:rPr>
      <w:rFonts w:ascii="Times New Roman" w:eastAsia="Times New Roman" w:hAnsi="Times New Roman" w:cs="Times New Roman"/>
      <w:b/>
      <w:bCs/>
      <w:szCs w:val="28"/>
      <w:u w:val="single"/>
      <w:lang w:eastAsia="lt-LT"/>
    </w:rPr>
  </w:style>
  <w:style w:type="character" w:customStyle="1" w:styleId="Heading5Char">
    <w:name w:val="Heading 5 Char"/>
    <w:basedOn w:val="DefaultParagraphFont"/>
    <w:link w:val="Heading5"/>
    <w:uiPriority w:val="9"/>
    <w:rsid w:val="003D4C15"/>
    <w:rPr>
      <w:rFonts w:ascii="Times New Roman" w:eastAsia="Times New Roman" w:hAnsi="Times New Roman" w:cs="Times New Roman"/>
      <w:bCs/>
      <w:i/>
      <w:iCs/>
      <w:szCs w:val="26"/>
      <w:lang w:eastAsia="lt-LT"/>
    </w:rPr>
  </w:style>
  <w:style w:type="paragraph" w:styleId="Header">
    <w:name w:val="header"/>
    <w:basedOn w:val="Normal"/>
    <w:link w:val="HeaderChar"/>
    <w:uiPriority w:val="99"/>
    <w:rsid w:val="003D4C15"/>
    <w:pPr>
      <w:tabs>
        <w:tab w:val="center" w:pos="4153"/>
        <w:tab w:val="right" w:pos="8306"/>
      </w:tabs>
    </w:pPr>
    <w:rPr>
      <w:lang w:val="en-GB" w:eastAsia="en-US"/>
    </w:rPr>
  </w:style>
  <w:style w:type="character" w:customStyle="1" w:styleId="HeaderChar">
    <w:name w:val="Header Char"/>
    <w:basedOn w:val="DefaultParagraphFont"/>
    <w:link w:val="Header"/>
    <w:uiPriority w:val="99"/>
    <w:rsid w:val="003D4C15"/>
    <w:rPr>
      <w:rFonts w:ascii="Times New Roman" w:eastAsia="Times New Roman" w:hAnsi="Times New Roman" w:cs="Times New Roman"/>
      <w:sz w:val="24"/>
      <w:szCs w:val="24"/>
      <w:lang w:val="en-GB"/>
    </w:rPr>
  </w:style>
  <w:style w:type="paragraph" w:styleId="Footer">
    <w:name w:val="footer"/>
    <w:basedOn w:val="Normal"/>
    <w:link w:val="FooterChar"/>
    <w:rsid w:val="003D4C15"/>
    <w:pPr>
      <w:tabs>
        <w:tab w:val="center" w:pos="4153"/>
        <w:tab w:val="right" w:pos="8306"/>
      </w:tabs>
    </w:pPr>
  </w:style>
  <w:style w:type="character" w:customStyle="1" w:styleId="FooterChar">
    <w:name w:val="Footer Char"/>
    <w:basedOn w:val="DefaultParagraphFont"/>
    <w:link w:val="Footer"/>
    <w:rsid w:val="003D4C15"/>
    <w:rPr>
      <w:rFonts w:ascii="Times New Roman" w:eastAsia="Times New Roman" w:hAnsi="Times New Roman" w:cs="Times New Roman"/>
      <w:sz w:val="24"/>
      <w:szCs w:val="24"/>
      <w:lang w:eastAsia="lt-LT"/>
    </w:rPr>
  </w:style>
  <w:style w:type="character" w:styleId="PageNumber">
    <w:name w:val="page number"/>
    <w:basedOn w:val="DefaultParagraphFont"/>
    <w:rsid w:val="003D4C15"/>
  </w:style>
  <w:style w:type="paragraph" w:styleId="NormalWeb">
    <w:name w:val="Normal (Web)"/>
    <w:basedOn w:val="Normal"/>
    <w:link w:val="NormalWebChar"/>
    <w:uiPriority w:val="99"/>
    <w:qFormat/>
    <w:rsid w:val="003D4C15"/>
    <w:pPr>
      <w:spacing w:before="100" w:beforeAutospacing="1" w:after="100" w:afterAutospacing="1"/>
    </w:pPr>
    <w:rPr>
      <w:lang w:val="en-US" w:eastAsia="en-US"/>
    </w:rPr>
  </w:style>
  <w:style w:type="paragraph" w:customStyle="1" w:styleId="Style12">
    <w:name w:val="Style12"/>
    <w:basedOn w:val="Normal"/>
    <w:rsid w:val="003D4C15"/>
    <w:pPr>
      <w:widowControl w:val="0"/>
      <w:autoSpaceDE w:val="0"/>
      <w:autoSpaceDN w:val="0"/>
      <w:adjustRightInd w:val="0"/>
      <w:spacing w:line="276" w:lineRule="exact"/>
      <w:ind w:firstLine="1622"/>
      <w:jc w:val="both"/>
    </w:pPr>
  </w:style>
  <w:style w:type="character" w:styleId="Hyperlink">
    <w:name w:val="Hyperlink"/>
    <w:basedOn w:val="DefaultParagraphFont"/>
    <w:uiPriority w:val="99"/>
    <w:rsid w:val="003D4C15"/>
    <w:rPr>
      <w:color w:val="0000FF"/>
      <w:u w:val="single"/>
    </w:rPr>
  </w:style>
  <w:style w:type="paragraph" w:styleId="BodyTextIndent2">
    <w:name w:val="Body Text Indent 2"/>
    <w:basedOn w:val="Normal"/>
    <w:link w:val="BodyTextIndent2Char"/>
    <w:uiPriority w:val="99"/>
    <w:rsid w:val="003D4C15"/>
    <w:pPr>
      <w:ind w:firstLine="540"/>
      <w:jc w:val="both"/>
    </w:pPr>
    <w:rPr>
      <w:bCs/>
      <w:lang w:eastAsia="en-US"/>
    </w:rPr>
  </w:style>
  <w:style w:type="character" w:customStyle="1" w:styleId="BodyTextIndent2Char">
    <w:name w:val="Body Text Indent 2 Char"/>
    <w:basedOn w:val="DefaultParagraphFont"/>
    <w:link w:val="BodyTextIndent2"/>
    <w:uiPriority w:val="99"/>
    <w:rsid w:val="003D4C15"/>
    <w:rPr>
      <w:rFonts w:ascii="Times New Roman" w:eastAsia="Times New Roman" w:hAnsi="Times New Roman" w:cs="Times New Roman"/>
      <w:bCs/>
      <w:sz w:val="24"/>
      <w:szCs w:val="24"/>
    </w:rPr>
  </w:style>
  <w:style w:type="paragraph" w:styleId="BodyText">
    <w:name w:val="Body Text"/>
    <w:basedOn w:val="Normal"/>
    <w:link w:val="BodyTextChar"/>
    <w:unhideWhenUsed/>
    <w:rsid w:val="003D4C15"/>
    <w:pPr>
      <w:spacing w:after="120"/>
    </w:pPr>
  </w:style>
  <w:style w:type="character" w:customStyle="1" w:styleId="BodyTextChar">
    <w:name w:val="Body Text Char"/>
    <w:basedOn w:val="DefaultParagraphFont"/>
    <w:link w:val="BodyText"/>
    <w:uiPriority w:val="99"/>
    <w:rsid w:val="003D4C15"/>
    <w:rPr>
      <w:rFonts w:ascii="Times New Roman" w:eastAsia="Times New Roman" w:hAnsi="Times New Roman" w:cs="Times New Roman"/>
      <w:sz w:val="24"/>
      <w:szCs w:val="24"/>
      <w:lang w:eastAsia="lt-LT"/>
    </w:rPr>
  </w:style>
  <w:style w:type="paragraph" w:styleId="HTMLPreformatted">
    <w:name w:val="HTML Preformatted"/>
    <w:basedOn w:val="Normal"/>
    <w:link w:val="HTMLPreformattedChar"/>
    <w:uiPriority w:val="99"/>
    <w:rsid w:val="003D4C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sz w:val="20"/>
      <w:szCs w:val="20"/>
      <w:lang w:val="en-GB" w:eastAsia="en-US"/>
    </w:rPr>
  </w:style>
  <w:style w:type="character" w:customStyle="1" w:styleId="HTMLPreformattedChar">
    <w:name w:val="HTML Preformatted Char"/>
    <w:basedOn w:val="DefaultParagraphFont"/>
    <w:link w:val="HTMLPreformatted"/>
    <w:uiPriority w:val="99"/>
    <w:rsid w:val="003D4C15"/>
    <w:rPr>
      <w:rFonts w:ascii="Arial Unicode MS" w:eastAsia="Arial Unicode MS" w:hAnsi="Arial Unicode MS" w:cs="Times New Roman"/>
      <w:sz w:val="20"/>
      <w:szCs w:val="20"/>
      <w:lang w:val="en-GB"/>
    </w:rPr>
  </w:style>
  <w:style w:type="character" w:customStyle="1" w:styleId="FontStyle27">
    <w:name w:val="Font Style27"/>
    <w:basedOn w:val="DefaultParagraphFont"/>
    <w:rsid w:val="003D4C15"/>
    <w:rPr>
      <w:rFonts w:ascii="Times New Roman" w:hAnsi="Times New Roman" w:cs="Times New Roman"/>
      <w:sz w:val="20"/>
      <w:szCs w:val="20"/>
    </w:rPr>
  </w:style>
  <w:style w:type="character" w:customStyle="1" w:styleId="FontStyle31">
    <w:name w:val="Font Style31"/>
    <w:basedOn w:val="DefaultParagraphFont"/>
    <w:rsid w:val="003D4C15"/>
    <w:rPr>
      <w:rFonts w:ascii="Times New Roman" w:hAnsi="Times New Roman" w:cs="Times New Roman"/>
      <w:sz w:val="22"/>
      <w:szCs w:val="22"/>
    </w:rPr>
  </w:style>
  <w:style w:type="character" w:customStyle="1" w:styleId="FontStyle21">
    <w:name w:val="Font Style21"/>
    <w:basedOn w:val="DefaultParagraphFont"/>
    <w:uiPriority w:val="99"/>
    <w:rsid w:val="003D4C15"/>
    <w:rPr>
      <w:rFonts w:ascii="Times New Roman" w:hAnsi="Times New Roman" w:cs="Times New Roman"/>
      <w:sz w:val="20"/>
      <w:szCs w:val="20"/>
    </w:rPr>
  </w:style>
  <w:style w:type="paragraph" w:styleId="DocumentMap">
    <w:name w:val="Document Map"/>
    <w:basedOn w:val="Normal"/>
    <w:link w:val="DocumentMapChar"/>
    <w:uiPriority w:val="99"/>
    <w:semiHidden/>
    <w:unhideWhenUsed/>
    <w:rsid w:val="003D4C15"/>
    <w:rPr>
      <w:rFonts w:ascii="Tahoma" w:hAnsi="Tahoma" w:cs="Tahoma"/>
      <w:sz w:val="16"/>
      <w:szCs w:val="16"/>
    </w:rPr>
  </w:style>
  <w:style w:type="character" w:customStyle="1" w:styleId="DocumentMapChar">
    <w:name w:val="Document Map Char"/>
    <w:basedOn w:val="DefaultParagraphFont"/>
    <w:link w:val="DocumentMap"/>
    <w:uiPriority w:val="99"/>
    <w:semiHidden/>
    <w:rsid w:val="003D4C15"/>
    <w:rPr>
      <w:rFonts w:ascii="Tahoma" w:eastAsia="Times New Roman" w:hAnsi="Tahoma" w:cs="Tahoma"/>
      <w:sz w:val="16"/>
      <w:szCs w:val="16"/>
      <w:lang w:eastAsia="lt-LT"/>
    </w:rPr>
  </w:style>
  <w:style w:type="character" w:customStyle="1" w:styleId="FontStyle32">
    <w:name w:val="Font Style32"/>
    <w:basedOn w:val="DefaultParagraphFont"/>
    <w:rsid w:val="003D4C15"/>
    <w:rPr>
      <w:rFonts w:ascii="Times New Roman" w:hAnsi="Times New Roman" w:cs="Times New Roman"/>
      <w:sz w:val="20"/>
      <w:szCs w:val="20"/>
    </w:rPr>
  </w:style>
  <w:style w:type="paragraph" w:styleId="BodyTextIndent">
    <w:name w:val="Body Text Indent"/>
    <w:basedOn w:val="Normal"/>
    <w:link w:val="BodyTextIndentChar"/>
    <w:uiPriority w:val="99"/>
    <w:unhideWhenUsed/>
    <w:rsid w:val="003D4C15"/>
    <w:pPr>
      <w:spacing w:after="120"/>
      <w:ind w:left="283"/>
    </w:pPr>
  </w:style>
  <w:style w:type="character" w:customStyle="1" w:styleId="BodyTextIndentChar">
    <w:name w:val="Body Text Indent Char"/>
    <w:basedOn w:val="DefaultParagraphFont"/>
    <w:link w:val="BodyTextIndent"/>
    <w:uiPriority w:val="99"/>
    <w:rsid w:val="003D4C15"/>
    <w:rPr>
      <w:rFonts w:ascii="Times New Roman" w:eastAsia="Times New Roman" w:hAnsi="Times New Roman" w:cs="Times New Roman"/>
      <w:sz w:val="24"/>
      <w:szCs w:val="24"/>
      <w:lang w:eastAsia="lt-LT"/>
    </w:rPr>
  </w:style>
  <w:style w:type="paragraph" w:styleId="FootnoteText">
    <w:name w:val="footnote text"/>
    <w:basedOn w:val="Normal"/>
    <w:link w:val="FootnoteTextChar"/>
    <w:uiPriority w:val="99"/>
    <w:rsid w:val="003D4C15"/>
    <w:rPr>
      <w:sz w:val="20"/>
      <w:szCs w:val="20"/>
    </w:rPr>
  </w:style>
  <w:style w:type="character" w:customStyle="1" w:styleId="FootnoteTextChar">
    <w:name w:val="Footnote Text Char"/>
    <w:basedOn w:val="DefaultParagraphFont"/>
    <w:link w:val="FootnoteText"/>
    <w:uiPriority w:val="99"/>
    <w:rsid w:val="003D4C15"/>
    <w:rPr>
      <w:rFonts w:ascii="Times New Roman" w:eastAsia="Times New Roman" w:hAnsi="Times New Roman" w:cs="Times New Roman"/>
      <w:sz w:val="20"/>
      <w:szCs w:val="20"/>
      <w:lang w:eastAsia="lt-LT"/>
    </w:rPr>
  </w:style>
  <w:style w:type="character" w:styleId="FootnoteReference">
    <w:name w:val="footnote reference"/>
    <w:basedOn w:val="DefaultParagraphFont"/>
    <w:uiPriority w:val="99"/>
    <w:rsid w:val="003D4C15"/>
    <w:rPr>
      <w:vertAlign w:val="superscript"/>
    </w:rPr>
  </w:style>
  <w:style w:type="paragraph" w:styleId="TOC1">
    <w:name w:val="toc 1"/>
    <w:basedOn w:val="Normal"/>
    <w:next w:val="Normal"/>
    <w:autoRedefine/>
    <w:uiPriority w:val="39"/>
    <w:unhideWhenUsed/>
    <w:qFormat/>
    <w:rsid w:val="003D4C15"/>
    <w:pPr>
      <w:tabs>
        <w:tab w:val="right" w:leader="dot" w:pos="9639"/>
      </w:tabs>
      <w:spacing w:before="120" w:after="120"/>
      <w:jc w:val="both"/>
    </w:pPr>
    <w:rPr>
      <w:rFonts w:asciiTheme="minorHAnsi" w:hAnsiTheme="minorHAnsi"/>
      <w:b/>
      <w:bCs/>
      <w:caps/>
      <w:sz w:val="22"/>
      <w:szCs w:val="20"/>
    </w:rPr>
  </w:style>
  <w:style w:type="paragraph" w:styleId="TOC2">
    <w:name w:val="toc 2"/>
    <w:basedOn w:val="Normal"/>
    <w:next w:val="Normal"/>
    <w:autoRedefine/>
    <w:uiPriority w:val="39"/>
    <w:unhideWhenUsed/>
    <w:qFormat/>
    <w:rsid w:val="003D4C15"/>
    <w:pPr>
      <w:tabs>
        <w:tab w:val="right" w:leader="dot" w:pos="9639"/>
      </w:tabs>
      <w:ind w:left="240"/>
      <w:jc w:val="both"/>
    </w:pPr>
    <w:rPr>
      <w:rFonts w:asciiTheme="minorHAnsi" w:hAnsiTheme="minorHAnsi"/>
      <w:i/>
      <w:sz w:val="22"/>
      <w:szCs w:val="20"/>
    </w:rPr>
  </w:style>
  <w:style w:type="paragraph" w:styleId="TOC3">
    <w:name w:val="toc 3"/>
    <w:basedOn w:val="Normal"/>
    <w:next w:val="Normal"/>
    <w:autoRedefine/>
    <w:uiPriority w:val="39"/>
    <w:unhideWhenUsed/>
    <w:qFormat/>
    <w:rsid w:val="003D4C15"/>
    <w:pPr>
      <w:tabs>
        <w:tab w:val="right" w:leader="dot" w:pos="9628"/>
      </w:tabs>
      <w:ind w:left="480"/>
      <w:jc w:val="both"/>
    </w:pPr>
    <w:rPr>
      <w:rFonts w:asciiTheme="minorHAnsi" w:hAnsiTheme="minorHAnsi"/>
      <w:i/>
      <w:iCs/>
      <w:sz w:val="22"/>
      <w:szCs w:val="20"/>
    </w:rPr>
  </w:style>
  <w:style w:type="paragraph" w:styleId="TOC4">
    <w:name w:val="toc 4"/>
    <w:basedOn w:val="Normal"/>
    <w:next w:val="Normal"/>
    <w:autoRedefine/>
    <w:uiPriority w:val="39"/>
    <w:unhideWhenUsed/>
    <w:rsid w:val="003D4C15"/>
    <w:pPr>
      <w:ind w:left="720"/>
    </w:pPr>
    <w:rPr>
      <w:rFonts w:ascii="Calibri" w:hAnsi="Calibri"/>
      <w:sz w:val="18"/>
      <w:szCs w:val="18"/>
    </w:rPr>
  </w:style>
  <w:style w:type="paragraph" w:styleId="NoSpacing">
    <w:name w:val="No Spacing"/>
    <w:link w:val="NoSpacingChar"/>
    <w:uiPriority w:val="1"/>
    <w:qFormat/>
    <w:rsid w:val="003D4C15"/>
    <w:pPr>
      <w:spacing w:after="0" w:line="240" w:lineRule="auto"/>
    </w:pPr>
    <w:rPr>
      <w:rFonts w:ascii="Calibri" w:eastAsia="Times New Roman" w:hAnsi="Calibri" w:cs="Times New Roman"/>
    </w:rPr>
  </w:style>
  <w:style w:type="character" w:customStyle="1" w:styleId="NoSpacingChar">
    <w:name w:val="No Spacing Char"/>
    <w:basedOn w:val="DefaultParagraphFont"/>
    <w:link w:val="NoSpacing"/>
    <w:uiPriority w:val="1"/>
    <w:rsid w:val="003D4C15"/>
    <w:rPr>
      <w:rFonts w:ascii="Calibri" w:eastAsia="Times New Roman" w:hAnsi="Calibri" w:cs="Times New Roman"/>
    </w:rPr>
  </w:style>
  <w:style w:type="paragraph" w:styleId="BalloonText">
    <w:name w:val="Balloon Text"/>
    <w:basedOn w:val="Normal"/>
    <w:link w:val="BalloonTextChar"/>
    <w:uiPriority w:val="99"/>
    <w:semiHidden/>
    <w:unhideWhenUsed/>
    <w:rsid w:val="003D4C15"/>
    <w:rPr>
      <w:rFonts w:ascii="Tahoma" w:hAnsi="Tahoma" w:cs="Tahoma"/>
      <w:sz w:val="16"/>
      <w:szCs w:val="16"/>
    </w:rPr>
  </w:style>
  <w:style w:type="character" w:customStyle="1" w:styleId="BalloonTextChar">
    <w:name w:val="Balloon Text Char"/>
    <w:basedOn w:val="DefaultParagraphFont"/>
    <w:link w:val="BalloonText"/>
    <w:uiPriority w:val="99"/>
    <w:semiHidden/>
    <w:rsid w:val="003D4C15"/>
    <w:rPr>
      <w:rFonts w:ascii="Tahoma" w:eastAsia="Times New Roman" w:hAnsi="Tahoma" w:cs="Tahoma"/>
      <w:sz w:val="16"/>
      <w:szCs w:val="16"/>
      <w:lang w:eastAsia="lt-LT"/>
    </w:rPr>
  </w:style>
  <w:style w:type="character" w:styleId="FollowedHyperlink">
    <w:name w:val="FollowedHyperlink"/>
    <w:basedOn w:val="DefaultParagraphFont"/>
    <w:uiPriority w:val="99"/>
    <w:semiHidden/>
    <w:unhideWhenUsed/>
    <w:rsid w:val="003D4C15"/>
    <w:rPr>
      <w:color w:val="800080"/>
      <w:u w:val="single"/>
    </w:rPr>
  </w:style>
  <w:style w:type="paragraph" w:styleId="TOC5">
    <w:name w:val="toc 5"/>
    <w:basedOn w:val="Normal"/>
    <w:next w:val="Normal"/>
    <w:autoRedefine/>
    <w:uiPriority w:val="39"/>
    <w:unhideWhenUsed/>
    <w:rsid w:val="003D4C15"/>
    <w:pPr>
      <w:ind w:left="960"/>
    </w:pPr>
    <w:rPr>
      <w:rFonts w:ascii="Calibri" w:hAnsi="Calibri"/>
      <w:sz w:val="18"/>
      <w:szCs w:val="18"/>
    </w:rPr>
  </w:style>
  <w:style w:type="character" w:styleId="Emphasis">
    <w:name w:val="Emphasis"/>
    <w:basedOn w:val="DefaultParagraphFont"/>
    <w:qFormat/>
    <w:rsid w:val="003D4C15"/>
    <w:rPr>
      <w:rFonts w:ascii="Times New Roman" w:hAnsi="Times New Roman"/>
      <w:i/>
      <w:iCs/>
      <w:sz w:val="22"/>
    </w:rPr>
  </w:style>
  <w:style w:type="character" w:customStyle="1" w:styleId="Pagrindinistekstas11">
    <w:name w:val="Pagrindinis tekstas (11)_"/>
    <w:basedOn w:val="DefaultParagraphFont"/>
    <w:link w:val="Pagrindinistekstas110"/>
    <w:rsid w:val="003D4C15"/>
    <w:rPr>
      <w:sz w:val="23"/>
      <w:szCs w:val="23"/>
      <w:shd w:val="clear" w:color="auto" w:fill="FFFFFF"/>
    </w:rPr>
  </w:style>
  <w:style w:type="paragraph" w:customStyle="1" w:styleId="Pagrindinistekstas110">
    <w:name w:val="Pagrindinis tekstas (11)"/>
    <w:basedOn w:val="Normal"/>
    <w:link w:val="Pagrindinistekstas11"/>
    <w:rsid w:val="003D4C15"/>
    <w:pPr>
      <w:shd w:val="clear" w:color="auto" w:fill="FFFFFF"/>
      <w:spacing w:line="274" w:lineRule="exact"/>
      <w:jc w:val="both"/>
    </w:pPr>
    <w:rPr>
      <w:rFonts w:asciiTheme="minorHAnsi" w:eastAsiaTheme="minorHAnsi" w:hAnsiTheme="minorHAnsi" w:cstheme="minorBidi"/>
      <w:sz w:val="23"/>
      <w:szCs w:val="23"/>
      <w:shd w:val="clear" w:color="auto" w:fill="FFFFFF"/>
      <w:lang w:eastAsia="en-US"/>
    </w:rPr>
  </w:style>
  <w:style w:type="paragraph" w:styleId="CommentText">
    <w:name w:val="annotation text"/>
    <w:basedOn w:val="Normal"/>
    <w:link w:val="CommentTextChar"/>
    <w:uiPriority w:val="99"/>
    <w:unhideWhenUsed/>
    <w:rsid w:val="003D4C15"/>
    <w:pPr>
      <w:spacing w:after="200" w:line="276" w:lineRule="auto"/>
    </w:pPr>
    <w:rPr>
      <w:rFonts w:ascii="Calibri" w:eastAsia="Calibri" w:hAnsi="Calibri"/>
      <w:sz w:val="20"/>
      <w:szCs w:val="20"/>
      <w:lang w:eastAsia="en-US"/>
    </w:rPr>
  </w:style>
  <w:style w:type="character" w:customStyle="1" w:styleId="CommentTextChar">
    <w:name w:val="Comment Text Char"/>
    <w:basedOn w:val="DefaultParagraphFont"/>
    <w:link w:val="CommentText"/>
    <w:uiPriority w:val="99"/>
    <w:rsid w:val="003D4C15"/>
    <w:rPr>
      <w:rFonts w:ascii="Calibri" w:eastAsia="Calibri" w:hAnsi="Calibri" w:cs="Times New Roman"/>
      <w:sz w:val="20"/>
      <w:szCs w:val="20"/>
    </w:rPr>
  </w:style>
  <w:style w:type="paragraph" w:styleId="BodyTextIndent3">
    <w:name w:val="Body Text Indent 3"/>
    <w:basedOn w:val="Normal"/>
    <w:link w:val="BodyTextIndent3Char"/>
    <w:uiPriority w:val="99"/>
    <w:unhideWhenUsed/>
    <w:rsid w:val="003D4C15"/>
    <w:pPr>
      <w:spacing w:after="120"/>
      <w:ind w:left="283"/>
    </w:pPr>
    <w:rPr>
      <w:sz w:val="16"/>
      <w:szCs w:val="16"/>
    </w:rPr>
  </w:style>
  <w:style w:type="character" w:customStyle="1" w:styleId="BodyTextIndent3Char">
    <w:name w:val="Body Text Indent 3 Char"/>
    <w:basedOn w:val="DefaultParagraphFont"/>
    <w:link w:val="BodyTextIndent3"/>
    <w:uiPriority w:val="99"/>
    <w:rsid w:val="003D4C15"/>
    <w:rPr>
      <w:rFonts w:ascii="Times New Roman" w:eastAsia="Times New Roman" w:hAnsi="Times New Roman" w:cs="Times New Roman"/>
      <w:sz w:val="16"/>
      <w:szCs w:val="16"/>
      <w:lang w:eastAsia="lt-LT"/>
    </w:rPr>
  </w:style>
  <w:style w:type="character" w:customStyle="1" w:styleId="Pagrindinistekstas5">
    <w:name w:val="Pagrindinis tekstas5"/>
    <w:rsid w:val="003D4C15"/>
    <w:rPr>
      <w:rFonts w:ascii="Times New Roman" w:hAnsi="Times New Roman" w:cs="Times New Roman"/>
      <w:sz w:val="23"/>
      <w:szCs w:val="23"/>
      <w:u w:val="single"/>
      <w:shd w:val="clear" w:color="auto" w:fill="FFFFFF"/>
    </w:rPr>
  </w:style>
  <w:style w:type="paragraph" w:styleId="TOCHeading">
    <w:name w:val="TOC Heading"/>
    <w:basedOn w:val="Heading1"/>
    <w:next w:val="Normal"/>
    <w:uiPriority w:val="39"/>
    <w:semiHidden/>
    <w:unhideWhenUsed/>
    <w:qFormat/>
    <w:rsid w:val="003D4C15"/>
    <w:pPr>
      <w:keepLines/>
      <w:spacing w:before="480" w:line="276" w:lineRule="auto"/>
      <w:jc w:val="left"/>
      <w:outlineLvl w:val="9"/>
    </w:pPr>
    <w:rPr>
      <w:rFonts w:ascii="Cambria" w:hAnsi="Cambria"/>
      <w:color w:val="365F91"/>
      <w:sz w:val="28"/>
      <w:szCs w:val="28"/>
    </w:rPr>
  </w:style>
  <w:style w:type="character" w:customStyle="1" w:styleId="Pagrindinistekstas3">
    <w:name w:val="Pagrindinis tekstas3"/>
    <w:basedOn w:val="DefaultParagraphFont"/>
    <w:uiPriority w:val="99"/>
    <w:rsid w:val="003D4C15"/>
    <w:rPr>
      <w:rFonts w:ascii="Times New Roman" w:hAnsi="Times New Roman" w:cs="Times New Roman"/>
      <w:spacing w:val="0"/>
      <w:sz w:val="22"/>
      <w:szCs w:val="22"/>
      <w:u w:val="single"/>
    </w:rPr>
  </w:style>
  <w:style w:type="character" w:customStyle="1" w:styleId="statymonr">
    <w:name w:val="statymonr"/>
    <w:basedOn w:val="DefaultParagraphFont"/>
    <w:uiPriority w:val="99"/>
    <w:rsid w:val="003D4C15"/>
  </w:style>
  <w:style w:type="character" w:customStyle="1" w:styleId="typewriter">
    <w:name w:val="typewriter"/>
    <w:basedOn w:val="DefaultParagraphFont"/>
    <w:rsid w:val="003D4C15"/>
    <w:rPr>
      <w:rFonts w:ascii="Courier New" w:hAnsi="Courier New" w:cs="Courier New" w:hint="default"/>
    </w:rPr>
  </w:style>
  <w:style w:type="character" w:customStyle="1" w:styleId="Typewriter0">
    <w:name w:val="Typewriter"/>
    <w:rsid w:val="003D4C15"/>
    <w:rPr>
      <w:rFonts w:ascii="Courier New" w:hAnsi="Courier New" w:cs="Courier New"/>
      <w:sz w:val="20"/>
      <w:szCs w:val="20"/>
    </w:rPr>
  </w:style>
  <w:style w:type="character" w:customStyle="1" w:styleId="Heading1Char1">
    <w:name w:val="Heading 1 Char1"/>
    <w:rsid w:val="003D4C15"/>
    <w:rPr>
      <w:sz w:val="28"/>
      <w:lang w:eastAsia="en-US"/>
    </w:rPr>
  </w:style>
  <w:style w:type="paragraph" w:styleId="ListParagraph">
    <w:name w:val="List Paragraph"/>
    <w:aliases w:val="Table of contents numbered,List Paragraph21,Lentele,List Paragraph2,ERP-List Paragraph,List Paragraph11,Bullet EY,Buletai,lp1,Bullet 1,Use Case List Paragraph,Numbering,List Paragraph111,Paragraph,List Paragraph Red"/>
    <w:basedOn w:val="Normal"/>
    <w:link w:val="ListParagraphChar"/>
    <w:uiPriority w:val="34"/>
    <w:qFormat/>
    <w:rsid w:val="003D4C15"/>
    <w:pPr>
      <w:spacing w:after="200" w:line="276" w:lineRule="auto"/>
      <w:ind w:left="720"/>
      <w:contextualSpacing/>
    </w:pPr>
    <w:rPr>
      <w:rFonts w:eastAsia="Calibri"/>
      <w:szCs w:val="22"/>
      <w:lang w:eastAsia="en-US"/>
    </w:rPr>
  </w:style>
  <w:style w:type="character" w:customStyle="1" w:styleId="apple-converted-space">
    <w:name w:val="apple-converted-space"/>
    <w:basedOn w:val="DefaultParagraphFont"/>
    <w:rsid w:val="003D4C15"/>
  </w:style>
  <w:style w:type="character" w:customStyle="1" w:styleId="FontStyle61">
    <w:name w:val="Font Style61"/>
    <w:basedOn w:val="DefaultParagraphFont"/>
    <w:uiPriority w:val="99"/>
    <w:rsid w:val="003D4C15"/>
    <w:rPr>
      <w:rFonts w:ascii="Times New Roman" w:hAnsi="Times New Roman" w:cs="Times New Roman"/>
      <w:sz w:val="22"/>
      <w:szCs w:val="22"/>
    </w:rPr>
  </w:style>
  <w:style w:type="character" w:customStyle="1" w:styleId="FontStyle25">
    <w:name w:val="Font Style25"/>
    <w:rsid w:val="003D4C15"/>
    <w:rPr>
      <w:rFonts w:ascii="Times New Roman" w:hAnsi="Times New Roman" w:cs="Times New Roman"/>
      <w:sz w:val="22"/>
      <w:szCs w:val="22"/>
    </w:rPr>
  </w:style>
  <w:style w:type="character" w:customStyle="1" w:styleId="FontStyle58">
    <w:name w:val="Font Style58"/>
    <w:basedOn w:val="DefaultParagraphFont"/>
    <w:rsid w:val="003D4C15"/>
    <w:rPr>
      <w:rFonts w:ascii="Microsoft Sans Serif" w:hAnsi="Microsoft Sans Serif" w:cs="Microsoft Sans Serif" w:hint="default"/>
      <w:sz w:val="20"/>
      <w:szCs w:val="20"/>
    </w:rPr>
  </w:style>
  <w:style w:type="character" w:customStyle="1" w:styleId="FontStyle47">
    <w:name w:val="Font Style47"/>
    <w:basedOn w:val="DefaultParagraphFont"/>
    <w:uiPriority w:val="99"/>
    <w:rsid w:val="003D4C15"/>
    <w:rPr>
      <w:rFonts w:ascii="Times New Roman" w:hAnsi="Times New Roman" w:cs="Times New Roman"/>
      <w:sz w:val="22"/>
      <w:szCs w:val="22"/>
    </w:rPr>
  </w:style>
  <w:style w:type="character" w:customStyle="1" w:styleId="FontStyle26">
    <w:name w:val="Font Style26"/>
    <w:basedOn w:val="DefaultParagraphFont"/>
    <w:rsid w:val="003D4C15"/>
    <w:rPr>
      <w:rFonts w:ascii="Times New Roman" w:hAnsi="Times New Roman" w:cs="Times New Roman"/>
      <w:i/>
      <w:iCs/>
      <w:sz w:val="22"/>
      <w:szCs w:val="22"/>
    </w:rPr>
  </w:style>
  <w:style w:type="character" w:customStyle="1" w:styleId="FontStyle22">
    <w:name w:val="Font Style22"/>
    <w:basedOn w:val="DefaultParagraphFont"/>
    <w:uiPriority w:val="99"/>
    <w:rsid w:val="003D4C15"/>
    <w:rPr>
      <w:rFonts w:ascii="Times New Roman" w:hAnsi="Times New Roman" w:cs="Times New Roman"/>
      <w:i/>
      <w:iCs/>
      <w:sz w:val="20"/>
      <w:szCs w:val="20"/>
    </w:rPr>
  </w:style>
  <w:style w:type="character" w:customStyle="1" w:styleId="FontStyle23">
    <w:name w:val="Font Style23"/>
    <w:basedOn w:val="DefaultParagraphFont"/>
    <w:uiPriority w:val="99"/>
    <w:rsid w:val="003D4C15"/>
    <w:rPr>
      <w:rFonts w:ascii="Times New Roman" w:hAnsi="Times New Roman" w:cs="Times New Roman"/>
      <w:b/>
      <w:bCs/>
      <w:sz w:val="22"/>
      <w:szCs w:val="22"/>
    </w:rPr>
  </w:style>
  <w:style w:type="paragraph" w:customStyle="1" w:styleId="tajtip">
    <w:name w:val="tajtip"/>
    <w:basedOn w:val="Normal"/>
    <w:rsid w:val="003D4C15"/>
    <w:pPr>
      <w:spacing w:before="100" w:beforeAutospacing="1" w:after="100" w:afterAutospacing="1"/>
    </w:pPr>
  </w:style>
  <w:style w:type="character" w:styleId="Strong">
    <w:name w:val="Strong"/>
    <w:uiPriority w:val="22"/>
    <w:qFormat/>
    <w:rsid w:val="003D4C15"/>
    <w:rPr>
      <w:b/>
      <w:bCs/>
    </w:rPr>
  </w:style>
  <w:style w:type="character" w:customStyle="1" w:styleId="dnr">
    <w:name w:val="dnr"/>
    <w:basedOn w:val="DefaultParagraphFont"/>
    <w:rsid w:val="003D4C15"/>
  </w:style>
  <w:style w:type="character" w:customStyle="1" w:styleId="apple-style-span">
    <w:name w:val="apple-style-span"/>
    <w:basedOn w:val="DefaultParagraphFont"/>
    <w:rsid w:val="003D4C15"/>
  </w:style>
  <w:style w:type="paragraph" w:customStyle="1" w:styleId="bodytext0">
    <w:name w:val="bodytext"/>
    <w:basedOn w:val="Normal"/>
    <w:uiPriority w:val="99"/>
    <w:rsid w:val="003D4C15"/>
    <w:pPr>
      <w:spacing w:before="100" w:beforeAutospacing="1" w:after="100" w:afterAutospacing="1"/>
    </w:pPr>
  </w:style>
  <w:style w:type="character" w:customStyle="1" w:styleId="quatationtext">
    <w:name w:val="quatation_text"/>
    <w:basedOn w:val="DefaultParagraphFont"/>
    <w:rsid w:val="003D4C15"/>
    <w:rPr>
      <w:rFonts w:ascii="Arial" w:hAnsi="Arial" w:cs="Arial" w:hint="default"/>
      <w:b/>
      <w:bCs/>
      <w:vanish w:val="0"/>
      <w:webHidden w:val="0"/>
      <w:color w:val="4A473C"/>
      <w:sz w:val="11"/>
      <w:szCs w:val="11"/>
      <w:specVanish w:val="0"/>
    </w:rPr>
  </w:style>
  <w:style w:type="character" w:customStyle="1" w:styleId="FontStyle13">
    <w:name w:val="Font Style13"/>
    <w:basedOn w:val="DefaultParagraphFont"/>
    <w:rsid w:val="003D4C15"/>
    <w:rPr>
      <w:rFonts w:ascii="Times New Roman" w:hAnsi="Times New Roman" w:cs="Times New Roman"/>
      <w:sz w:val="20"/>
      <w:szCs w:val="20"/>
    </w:rPr>
  </w:style>
  <w:style w:type="character" w:customStyle="1" w:styleId="FontStyle11">
    <w:name w:val="Font Style11"/>
    <w:basedOn w:val="DefaultParagraphFont"/>
    <w:rsid w:val="003D4C15"/>
    <w:rPr>
      <w:rFonts w:ascii="Times New Roman" w:hAnsi="Times New Roman" w:cs="Times New Roman"/>
      <w:sz w:val="22"/>
      <w:szCs w:val="22"/>
    </w:rPr>
  </w:style>
  <w:style w:type="paragraph" w:customStyle="1" w:styleId="ListParagraph1">
    <w:name w:val="List Paragraph1"/>
    <w:basedOn w:val="Normal"/>
    <w:rsid w:val="003D4C15"/>
    <w:pPr>
      <w:spacing w:after="200" w:line="276" w:lineRule="auto"/>
      <w:ind w:left="720"/>
      <w:contextualSpacing/>
    </w:pPr>
    <w:rPr>
      <w:rFonts w:eastAsia="Calibri"/>
      <w:szCs w:val="22"/>
      <w:lang w:eastAsia="en-US"/>
    </w:rPr>
  </w:style>
  <w:style w:type="character" w:customStyle="1" w:styleId="FontStyle46">
    <w:name w:val="Font Style46"/>
    <w:basedOn w:val="DefaultParagraphFont"/>
    <w:rsid w:val="003D4C15"/>
    <w:rPr>
      <w:rFonts w:ascii="Times New Roman" w:hAnsi="Times New Roman" w:cs="Times New Roman"/>
      <w:b/>
      <w:bCs/>
      <w:sz w:val="20"/>
      <w:szCs w:val="20"/>
    </w:rPr>
  </w:style>
  <w:style w:type="character" w:customStyle="1" w:styleId="CharChar10">
    <w:name w:val="Char Char10"/>
    <w:basedOn w:val="DefaultParagraphFont"/>
    <w:rsid w:val="003D4C15"/>
    <w:rPr>
      <w:sz w:val="28"/>
      <w:lang w:eastAsia="en-US"/>
    </w:rPr>
  </w:style>
  <w:style w:type="character" w:customStyle="1" w:styleId="FontStyle12">
    <w:name w:val="Font Style12"/>
    <w:basedOn w:val="DefaultParagraphFont"/>
    <w:uiPriority w:val="99"/>
    <w:rsid w:val="003D4C15"/>
    <w:rPr>
      <w:rFonts w:ascii="Times New Roman" w:hAnsi="Times New Roman" w:cs="Times New Roman"/>
      <w:i/>
      <w:iCs/>
      <w:sz w:val="22"/>
      <w:szCs w:val="22"/>
    </w:rPr>
  </w:style>
  <w:style w:type="character" w:customStyle="1" w:styleId="FontStyle14">
    <w:name w:val="Font Style14"/>
    <w:basedOn w:val="DefaultParagraphFont"/>
    <w:rsid w:val="003D4C15"/>
    <w:rPr>
      <w:rFonts w:ascii="Times New Roman" w:hAnsi="Times New Roman" w:cs="Times New Roman"/>
      <w:b/>
      <w:bCs/>
      <w:sz w:val="22"/>
      <w:szCs w:val="22"/>
    </w:rPr>
  </w:style>
  <w:style w:type="paragraph" w:customStyle="1" w:styleId="DiagramaDiagramaDiagramaDiagramaDiagramaDiagrama1DiagramaDiagramaDiagrama">
    <w:name w:val="Diagrama Diagrama Diagrama Diagrama Diagrama Diagrama1 Diagrama Diagrama Diagrama"/>
    <w:basedOn w:val="Normal"/>
    <w:next w:val="Normal"/>
    <w:rsid w:val="003D4C15"/>
    <w:pPr>
      <w:spacing w:before="120" w:after="120"/>
      <w:jc w:val="center"/>
    </w:pPr>
    <w:rPr>
      <w:b/>
      <w:bCs/>
      <w:snapToGrid w:val="0"/>
      <w:u w:val="single"/>
      <w:lang w:eastAsia="en-GB"/>
    </w:rPr>
  </w:style>
  <w:style w:type="character" w:customStyle="1" w:styleId="PagrindinistekstasPusjuodis4">
    <w:name w:val="Pagrindinis tekstas + Pusjuodis4"/>
    <w:basedOn w:val="DefaultParagraphFont"/>
    <w:rsid w:val="003D4C15"/>
    <w:rPr>
      <w:rFonts w:ascii="Times New Roman" w:hAnsi="Times New Roman" w:cs="Times New Roman"/>
      <w:b/>
      <w:bCs/>
      <w:spacing w:val="0"/>
      <w:sz w:val="23"/>
      <w:szCs w:val="23"/>
    </w:rPr>
  </w:style>
  <w:style w:type="paragraph" w:styleId="TOC6">
    <w:name w:val="toc 6"/>
    <w:basedOn w:val="Normal"/>
    <w:next w:val="Normal"/>
    <w:autoRedefine/>
    <w:uiPriority w:val="39"/>
    <w:unhideWhenUsed/>
    <w:rsid w:val="003D4C15"/>
    <w:pPr>
      <w:ind w:left="1200"/>
    </w:pPr>
    <w:rPr>
      <w:rFonts w:ascii="Calibri" w:hAnsi="Calibri"/>
      <w:sz w:val="18"/>
      <w:szCs w:val="18"/>
    </w:rPr>
  </w:style>
  <w:style w:type="paragraph" w:styleId="TOC7">
    <w:name w:val="toc 7"/>
    <w:basedOn w:val="Normal"/>
    <w:next w:val="Normal"/>
    <w:autoRedefine/>
    <w:uiPriority w:val="39"/>
    <w:unhideWhenUsed/>
    <w:rsid w:val="003D4C15"/>
    <w:pPr>
      <w:ind w:left="1440"/>
    </w:pPr>
    <w:rPr>
      <w:rFonts w:ascii="Calibri" w:hAnsi="Calibri"/>
      <w:sz w:val="18"/>
      <w:szCs w:val="18"/>
    </w:rPr>
  </w:style>
  <w:style w:type="paragraph" w:styleId="TOC8">
    <w:name w:val="toc 8"/>
    <w:basedOn w:val="Normal"/>
    <w:next w:val="Normal"/>
    <w:autoRedefine/>
    <w:uiPriority w:val="39"/>
    <w:unhideWhenUsed/>
    <w:rsid w:val="003D4C15"/>
    <w:pPr>
      <w:ind w:left="1680"/>
    </w:pPr>
    <w:rPr>
      <w:rFonts w:ascii="Calibri" w:hAnsi="Calibri"/>
      <w:sz w:val="18"/>
      <w:szCs w:val="18"/>
    </w:rPr>
  </w:style>
  <w:style w:type="paragraph" w:styleId="TOC9">
    <w:name w:val="toc 9"/>
    <w:basedOn w:val="Normal"/>
    <w:next w:val="Normal"/>
    <w:autoRedefine/>
    <w:uiPriority w:val="39"/>
    <w:unhideWhenUsed/>
    <w:rsid w:val="003D4C15"/>
    <w:pPr>
      <w:ind w:left="1920"/>
    </w:pPr>
    <w:rPr>
      <w:rFonts w:ascii="Calibri" w:hAnsi="Calibri"/>
      <w:sz w:val="18"/>
      <w:szCs w:val="18"/>
    </w:rPr>
  </w:style>
  <w:style w:type="character" w:customStyle="1" w:styleId="FontStyle54">
    <w:name w:val="Font Style54"/>
    <w:basedOn w:val="DefaultParagraphFont"/>
    <w:uiPriority w:val="99"/>
    <w:rsid w:val="003D4C15"/>
    <w:rPr>
      <w:rFonts w:ascii="Courier New" w:hAnsi="Courier New" w:cs="Courier New"/>
      <w:sz w:val="22"/>
      <w:szCs w:val="22"/>
    </w:rPr>
  </w:style>
  <w:style w:type="character" w:customStyle="1" w:styleId="Pagrindinistekstas24">
    <w:name w:val="Pagrindinis tekstas (2)4"/>
    <w:basedOn w:val="DefaultParagraphFont"/>
    <w:uiPriority w:val="99"/>
    <w:rsid w:val="003D4C15"/>
    <w:rPr>
      <w:rFonts w:ascii="Calibri" w:hAnsi="Calibri" w:cs="Calibri"/>
      <w:b/>
      <w:bCs/>
      <w:spacing w:val="0"/>
      <w:sz w:val="22"/>
      <w:szCs w:val="22"/>
      <w:u w:val="single"/>
      <w:shd w:val="clear" w:color="auto" w:fill="FFFFFF"/>
    </w:rPr>
  </w:style>
  <w:style w:type="character" w:customStyle="1" w:styleId="Pagrindinistekstas2Kursyvas2">
    <w:name w:val="Pagrindinis tekstas (2) + Kursyvas2"/>
    <w:basedOn w:val="DefaultParagraphFont"/>
    <w:uiPriority w:val="99"/>
    <w:rsid w:val="003D4C15"/>
    <w:rPr>
      <w:rFonts w:ascii="Calibri" w:hAnsi="Calibri" w:cs="Calibri"/>
      <w:b/>
      <w:bCs/>
      <w:i/>
      <w:iCs/>
      <w:spacing w:val="0"/>
      <w:sz w:val="22"/>
      <w:szCs w:val="22"/>
      <w:shd w:val="clear" w:color="auto" w:fill="FFFFFF"/>
    </w:rPr>
  </w:style>
  <w:style w:type="character" w:customStyle="1" w:styleId="FontStyle17">
    <w:name w:val="Font Style17"/>
    <w:basedOn w:val="DefaultParagraphFont"/>
    <w:rsid w:val="003D4C15"/>
    <w:rPr>
      <w:rFonts w:ascii="Times New Roman" w:hAnsi="Times New Roman" w:cs="Times New Roman"/>
      <w:sz w:val="24"/>
      <w:szCs w:val="24"/>
    </w:rPr>
  </w:style>
  <w:style w:type="character" w:customStyle="1" w:styleId="Pagrindinistekstas711">
    <w:name w:val="Pagrindinis tekstas (7) + 11"/>
    <w:aliases w:val="5 tšk.6,Ne kursyvas,Pagrindinis tekstas (6) + 11,5 tšk.,Pagrindinis tekstas + 11,5 t_k."/>
    <w:uiPriority w:val="99"/>
    <w:rsid w:val="003D4C15"/>
    <w:rPr>
      <w:i/>
      <w:iCs/>
      <w:sz w:val="23"/>
      <w:szCs w:val="23"/>
      <w:shd w:val="clear" w:color="auto" w:fill="FFFFFF"/>
    </w:rPr>
  </w:style>
  <w:style w:type="character" w:customStyle="1" w:styleId="Pagrindinistekstas117">
    <w:name w:val="Pagrindinis tekstas + 117"/>
    <w:aliases w:val="5 t_k.9,Ne kursyvas7"/>
    <w:uiPriority w:val="99"/>
    <w:rsid w:val="003D4C15"/>
    <w:rPr>
      <w:i w:val="0"/>
      <w:iCs w:val="0"/>
      <w:sz w:val="23"/>
      <w:szCs w:val="23"/>
      <w:u w:val="single"/>
      <w:shd w:val="clear" w:color="auto" w:fill="FFFFFF"/>
    </w:rPr>
  </w:style>
  <w:style w:type="character" w:customStyle="1" w:styleId="FontStyle37">
    <w:name w:val="Font Style37"/>
    <w:basedOn w:val="DefaultParagraphFont"/>
    <w:rsid w:val="003D4C15"/>
    <w:rPr>
      <w:rFonts w:ascii="Times New Roman" w:hAnsi="Times New Roman" w:cs="Times New Roman"/>
      <w:sz w:val="22"/>
      <w:szCs w:val="22"/>
    </w:rPr>
  </w:style>
  <w:style w:type="paragraph" w:customStyle="1" w:styleId="ISTATYMAS">
    <w:name w:val="ISTATYMAS"/>
    <w:rsid w:val="003D4C15"/>
    <w:pPr>
      <w:autoSpaceDE w:val="0"/>
      <w:autoSpaceDN w:val="0"/>
      <w:adjustRightInd w:val="0"/>
      <w:spacing w:after="0" w:line="240" w:lineRule="auto"/>
      <w:jc w:val="center"/>
    </w:pPr>
    <w:rPr>
      <w:rFonts w:ascii="TimesLT" w:eastAsia="Times New Roman" w:hAnsi="TimesLT" w:cs="Times New Roman"/>
      <w:sz w:val="20"/>
      <w:szCs w:val="20"/>
      <w:lang w:val="en-US"/>
    </w:rPr>
  </w:style>
  <w:style w:type="character" w:customStyle="1" w:styleId="FontStyle30">
    <w:name w:val="Font Style30"/>
    <w:uiPriority w:val="99"/>
    <w:rsid w:val="003D4C15"/>
    <w:rPr>
      <w:rFonts w:ascii="Times New Roman" w:hAnsi="Times New Roman" w:cs="Times New Roman"/>
      <w:sz w:val="20"/>
      <w:szCs w:val="20"/>
    </w:rPr>
  </w:style>
  <w:style w:type="character" w:customStyle="1" w:styleId="FontStyle48">
    <w:name w:val="Font Style48"/>
    <w:basedOn w:val="DefaultParagraphFont"/>
    <w:rsid w:val="003D4C15"/>
    <w:rPr>
      <w:rFonts w:ascii="Arial Narrow" w:hAnsi="Arial Narrow" w:cs="Arial Narrow"/>
      <w:i/>
      <w:iCs/>
      <w:sz w:val="18"/>
      <w:szCs w:val="18"/>
    </w:rPr>
  </w:style>
  <w:style w:type="character" w:customStyle="1" w:styleId="FontStyle49">
    <w:name w:val="Font Style49"/>
    <w:basedOn w:val="DefaultParagraphFont"/>
    <w:rsid w:val="003D4C15"/>
    <w:rPr>
      <w:rFonts w:ascii="Times New Roman" w:hAnsi="Times New Roman" w:cs="Times New Roman"/>
      <w:sz w:val="20"/>
      <w:szCs w:val="20"/>
    </w:rPr>
  </w:style>
  <w:style w:type="paragraph" w:styleId="Subtitle">
    <w:name w:val="Subtitle"/>
    <w:basedOn w:val="Normal"/>
    <w:next w:val="Normal"/>
    <w:link w:val="SubtitleChar"/>
    <w:qFormat/>
    <w:rsid w:val="003D4C15"/>
    <w:pPr>
      <w:spacing w:after="60"/>
      <w:jc w:val="center"/>
      <w:outlineLvl w:val="1"/>
    </w:pPr>
    <w:rPr>
      <w:rFonts w:ascii="Cambria" w:hAnsi="Cambria"/>
    </w:rPr>
  </w:style>
  <w:style w:type="character" w:customStyle="1" w:styleId="SubtitleChar">
    <w:name w:val="Subtitle Char"/>
    <w:basedOn w:val="DefaultParagraphFont"/>
    <w:link w:val="Subtitle"/>
    <w:rsid w:val="003D4C15"/>
    <w:rPr>
      <w:rFonts w:ascii="Cambria" w:eastAsia="Times New Roman" w:hAnsi="Cambria" w:cs="Times New Roman"/>
      <w:sz w:val="24"/>
      <w:szCs w:val="24"/>
      <w:lang w:eastAsia="lt-LT"/>
    </w:rPr>
  </w:style>
  <w:style w:type="paragraph" w:styleId="Index1">
    <w:name w:val="index 1"/>
    <w:basedOn w:val="Normal"/>
    <w:next w:val="Normal"/>
    <w:autoRedefine/>
    <w:uiPriority w:val="99"/>
    <w:semiHidden/>
    <w:unhideWhenUsed/>
    <w:rsid w:val="003D4C15"/>
    <w:pPr>
      <w:ind w:left="240" w:hanging="240"/>
    </w:pPr>
  </w:style>
  <w:style w:type="character" w:customStyle="1" w:styleId="normal-h">
    <w:name w:val="normal-h"/>
    <w:basedOn w:val="DefaultParagraphFont"/>
    <w:rsid w:val="003D4C15"/>
  </w:style>
  <w:style w:type="paragraph" w:customStyle="1" w:styleId="Sraopastraipa1">
    <w:name w:val="Sąrašo pastraipa1"/>
    <w:basedOn w:val="Normal"/>
    <w:rsid w:val="003D4C15"/>
    <w:pPr>
      <w:ind w:left="720"/>
    </w:pPr>
    <w:rPr>
      <w:rFonts w:eastAsia="Calibri"/>
      <w:sz w:val="20"/>
      <w:szCs w:val="20"/>
      <w:lang w:eastAsia="en-US"/>
    </w:rPr>
  </w:style>
  <w:style w:type="paragraph" w:customStyle="1" w:styleId="tactin">
    <w:name w:val="tactin"/>
    <w:basedOn w:val="Normal"/>
    <w:rsid w:val="003D4C15"/>
    <w:pPr>
      <w:spacing w:before="100" w:beforeAutospacing="1" w:after="100" w:afterAutospacing="1"/>
    </w:pPr>
  </w:style>
  <w:style w:type="character" w:customStyle="1" w:styleId="Pagrindinistekstas7">
    <w:name w:val="Pagrindinis tekstas (7)_"/>
    <w:basedOn w:val="DefaultParagraphFont"/>
    <w:link w:val="Pagrindinistekstas71"/>
    <w:rsid w:val="003D4C15"/>
    <w:rPr>
      <w:shd w:val="clear" w:color="auto" w:fill="FFFFFF"/>
    </w:rPr>
  </w:style>
  <w:style w:type="paragraph" w:customStyle="1" w:styleId="Pagrindinistekstas71">
    <w:name w:val="Pagrindinis tekstas (7)1"/>
    <w:basedOn w:val="Normal"/>
    <w:link w:val="Pagrindinistekstas7"/>
    <w:rsid w:val="003D4C15"/>
    <w:pPr>
      <w:shd w:val="clear" w:color="auto" w:fill="FFFFFF"/>
      <w:spacing w:before="540" w:line="278" w:lineRule="exact"/>
    </w:pPr>
    <w:rPr>
      <w:rFonts w:asciiTheme="minorHAnsi" w:eastAsiaTheme="minorHAnsi" w:hAnsiTheme="minorHAnsi" w:cstheme="minorBidi"/>
      <w:sz w:val="22"/>
      <w:szCs w:val="22"/>
      <w:lang w:eastAsia="en-US"/>
    </w:rPr>
  </w:style>
  <w:style w:type="character" w:customStyle="1" w:styleId="CharChar7">
    <w:name w:val="Char Char7"/>
    <w:rsid w:val="003D4C15"/>
    <w:rPr>
      <w:sz w:val="28"/>
      <w:lang w:eastAsia="en-US"/>
    </w:rPr>
  </w:style>
  <w:style w:type="character" w:customStyle="1" w:styleId="CharChar4">
    <w:name w:val="Char Char4"/>
    <w:basedOn w:val="DefaultParagraphFont"/>
    <w:rsid w:val="003D4C15"/>
    <w:rPr>
      <w:rFonts w:ascii="Times New Roman" w:eastAsia="Times New Roman" w:hAnsi="Times New Roman" w:cs="Times New Roman"/>
      <w:sz w:val="28"/>
      <w:szCs w:val="20"/>
      <w:lang w:val="lt-LT"/>
    </w:rPr>
  </w:style>
  <w:style w:type="character" w:customStyle="1" w:styleId="CharChar12">
    <w:name w:val="Char Char12"/>
    <w:rsid w:val="003D4C15"/>
    <w:rPr>
      <w:sz w:val="28"/>
      <w:lang w:eastAsia="en-US"/>
    </w:rPr>
  </w:style>
  <w:style w:type="character" w:customStyle="1" w:styleId="CharChar8">
    <w:name w:val="Char Char8"/>
    <w:rsid w:val="003D4C15"/>
    <w:rPr>
      <w:sz w:val="28"/>
      <w:lang w:eastAsia="en-US"/>
    </w:rPr>
  </w:style>
  <w:style w:type="character" w:customStyle="1" w:styleId="FontStyle51">
    <w:name w:val="Font Style51"/>
    <w:basedOn w:val="DefaultParagraphFont"/>
    <w:rsid w:val="003D4C15"/>
    <w:rPr>
      <w:rFonts w:ascii="Times New Roman" w:hAnsi="Times New Roman" w:cs="Times New Roman"/>
      <w:i/>
      <w:iCs/>
      <w:sz w:val="20"/>
      <w:szCs w:val="20"/>
    </w:rPr>
  </w:style>
  <w:style w:type="character" w:customStyle="1" w:styleId="CharChar9">
    <w:name w:val="Char Char9"/>
    <w:rsid w:val="003D4C15"/>
    <w:rPr>
      <w:sz w:val="28"/>
      <w:lang w:eastAsia="en-US"/>
    </w:rPr>
  </w:style>
  <w:style w:type="character" w:customStyle="1" w:styleId="CharChar6">
    <w:name w:val="Char Char6"/>
    <w:rsid w:val="003D4C15"/>
    <w:rPr>
      <w:sz w:val="28"/>
      <w:lang w:eastAsia="en-US"/>
    </w:rPr>
  </w:style>
  <w:style w:type="character" w:customStyle="1" w:styleId="Pagrindinistekstas">
    <w:name w:val="Pagrindinis tekstas_"/>
    <w:basedOn w:val="DefaultParagraphFont"/>
    <w:link w:val="Pagrindinistekstas1"/>
    <w:locked/>
    <w:rsid w:val="003D4C15"/>
    <w:rPr>
      <w:spacing w:val="4"/>
      <w:sz w:val="21"/>
      <w:szCs w:val="21"/>
      <w:shd w:val="clear" w:color="auto" w:fill="FFFFFF"/>
    </w:rPr>
  </w:style>
  <w:style w:type="paragraph" w:customStyle="1" w:styleId="Pagrindinistekstas1">
    <w:name w:val="Pagrindinis tekstas1"/>
    <w:basedOn w:val="Normal"/>
    <w:link w:val="Pagrindinistekstas"/>
    <w:rsid w:val="003D4C15"/>
    <w:pPr>
      <w:shd w:val="clear" w:color="auto" w:fill="FFFFFF"/>
      <w:spacing w:line="274" w:lineRule="exact"/>
      <w:jc w:val="both"/>
    </w:pPr>
    <w:rPr>
      <w:rFonts w:asciiTheme="minorHAnsi" w:eastAsiaTheme="minorHAnsi" w:hAnsiTheme="minorHAnsi" w:cstheme="minorBidi"/>
      <w:spacing w:val="4"/>
      <w:sz w:val="21"/>
      <w:szCs w:val="21"/>
      <w:lang w:eastAsia="en-US"/>
    </w:rPr>
  </w:style>
  <w:style w:type="character" w:customStyle="1" w:styleId="Bodytext4NotBold">
    <w:name w:val="Body text (4) + Not Bold"/>
    <w:aliases w:val="Not Italic"/>
    <w:basedOn w:val="DefaultParagraphFont"/>
    <w:rsid w:val="003D4C15"/>
    <w:rPr>
      <w:rFonts w:ascii="Times New Roman" w:hAnsi="Times New Roman" w:cs="Times New Roman"/>
      <w:b/>
      <w:bCs/>
      <w:i/>
      <w:iCs/>
      <w:color w:val="000000"/>
      <w:spacing w:val="0"/>
      <w:w w:val="100"/>
      <w:position w:val="0"/>
      <w:shd w:val="clear" w:color="auto" w:fill="FFFFFF"/>
      <w:lang w:val="lt-LT" w:eastAsia="lt-LT"/>
    </w:rPr>
  </w:style>
  <w:style w:type="paragraph" w:customStyle="1" w:styleId="Default">
    <w:name w:val="Default"/>
    <w:rsid w:val="003D4C15"/>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character" w:styleId="CommentReference">
    <w:name w:val="annotation reference"/>
    <w:basedOn w:val="DefaultParagraphFont"/>
    <w:uiPriority w:val="99"/>
    <w:semiHidden/>
    <w:unhideWhenUsed/>
    <w:rsid w:val="003D4C15"/>
    <w:rPr>
      <w:sz w:val="16"/>
      <w:szCs w:val="16"/>
    </w:rPr>
  </w:style>
  <w:style w:type="paragraph" w:customStyle="1" w:styleId="Sraopastraipa2">
    <w:name w:val="Sąrašo pastraipa2"/>
    <w:basedOn w:val="Normal"/>
    <w:rsid w:val="003D4C15"/>
    <w:pPr>
      <w:ind w:left="720"/>
    </w:pPr>
    <w:rPr>
      <w:rFonts w:eastAsia="Calibri"/>
      <w:sz w:val="20"/>
      <w:szCs w:val="20"/>
      <w:lang w:eastAsia="en-US"/>
    </w:rPr>
  </w:style>
  <w:style w:type="character" w:customStyle="1" w:styleId="Heading1Char">
    <w:name w:val="Heading 1 Char"/>
    <w:locked/>
    <w:rsid w:val="003D4C15"/>
    <w:rPr>
      <w:sz w:val="28"/>
      <w:lang w:eastAsia="en-US"/>
    </w:rPr>
  </w:style>
  <w:style w:type="paragraph" w:customStyle="1" w:styleId="tajtipfb">
    <w:name w:val="tajtipfb"/>
    <w:basedOn w:val="Normal"/>
    <w:rsid w:val="003D4C15"/>
    <w:pPr>
      <w:spacing w:before="100" w:beforeAutospacing="1" w:after="100" w:afterAutospacing="1"/>
    </w:pPr>
  </w:style>
  <w:style w:type="character" w:customStyle="1" w:styleId="clear">
    <w:name w:val="clear"/>
    <w:basedOn w:val="DefaultParagraphFont"/>
    <w:rsid w:val="003D4C15"/>
  </w:style>
  <w:style w:type="paragraph" w:customStyle="1" w:styleId="Betarp1">
    <w:name w:val="Be tarpų1"/>
    <w:rsid w:val="003D4C15"/>
    <w:pPr>
      <w:spacing w:after="0" w:line="240" w:lineRule="auto"/>
    </w:pPr>
    <w:rPr>
      <w:rFonts w:ascii="Times New Roman" w:eastAsia="Times New Roman" w:hAnsi="Times New Roman" w:cs="Times New Roman"/>
      <w:sz w:val="24"/>
      <w:szCs w:val="20"/>
    </w:rPr>
  </w:style>
  <w:style w:type="character" w:styleId="SubtleEmphasis">
    <w:name w:val="Subtle Emphasis"/>
    <w:basedOn w:val="DefaultParagraphFont"/>
    <w:uiPriority w:val="19"/>
    <w:qFormat/>
    <w:rsid w:val="003D4C15"/>
    <w:rPr>
      <w:i/>
      <w:iCs/>
      <w:color w:val="808080" w:themeColor="text1" w:themeTint="7F"/>
    </w:rPr>
  </w:style>
  <w:style w:type="paragraph" w:customStyle="1" w:styleId="Apzvalgai1">
    <w:name w:val="Apzvalgai1"/>
    <w:basedOn w:val="Heading1"/>
    <w:link w:val="Apzvalgai1Char"/>
    <w:qFormat/>
    <w:rsid w:val="003D4C15"/>
  </w:style>
  <w:style w:type="paragraph" w:customStyle="1" w:styleId="ApzvalgaiItalikas">
    <w:name w:val="Apzvalgai_Italikas"/>
    <w:basedOn w:val="Heading2"/>
    <w:link w:val="ApzvalgaiItalikasChar"/>
    <w:rsid w:val="003D4C15"/>
  </w:style>
  <w:style w:type="character" w:customStyle="1" w:styleId="Apzvalgai1Char">
    <w:name w:val="Apzvalgai1 Char"/>
    <w:basedOn w:val="Heading1Char2"/>
    <w:link w:val="Apzvalgai1"/>
    <w:rsid w:val="003D4C15"/>
    <w:rPr>
      <w:rFonts w:ascii="Times New Roman" w:eastAsia="Times New Roman" w:hAnsi="Times New Roman" w:cs="Times New Roman"/>
      <w:b/>
      <w:u w:val="single"/>
      <w:lang w:eastAsia="lt-LT"/>
    </w:rPr>
  </w:style>
  <w:style w:type="character" w:customStyle="1" w:styleId="ApzvalgaiItalikasChar">
    <w:name w:val="Apzvalgai_Italikas Char"/>
    <w:basedOn w:val="Heading2Char"/>
    <w:link w:val="ApzvalgaiItalikas"/>
    <w:rsid w:val="003D4C15"/>
    <w:rPr>
      <w:rFonts w:ascii="Calibri" w:eastAsia="Arial Unicode MS" w:hAnsi="Calibri" w:cs="Times New Roman"/>
      <w:bCs w:val="0"/>
      <w:i/>
      <w:iCs/>
      <w:color w:val="000000"/>
      <w:szCs w:val="24"/>
      <w:shd w:val="clear" w:color="auto" w:fill="FFFFFF"/>
      <w:lang w:eastAsia="lt-LT"/>
    </w:rPr>
  </w:style>
  <w:style w:type="character" w:customStyle="1" w:styleId="FontStyle16">
    <w:name w:val="Font Style16"/>
    <w:uiPriority w:val="99"/>
    <w:rsid w:val="003D4C15"/>
    <w:rPr>
      <w:rFonts w:ascii="Palatino Linotype" w:hAnsi="Palatino Linotype" w:cs="Palatino Linotype"/>
      <w:sz w:val="20"/>
      <w:szCs w:val="20"/>
    </w:rPr>
  </w:style>
  <w:style w:type="character" w:customStyle="1" w:styleId="Pagrindinistekstas2">
    <w:name w:val="Pagrindinis tekstas2"/>
    <w:basedOn w:val="DefaultParagraphFont"/>
    <w:uiPriority w:val="99"/>
    <w:rsid w:val="003D4C15"/>
    <w:rPr>
      <w:rFonts w:ascii="Times New Roman" w:eastAsia="Times New Roman" w:hAnsi="Times New Roman" w:cs="Times New Roman"/>
      <w:b w:val="0"/>
      <w:bCs w:val="0"/>
      <w:i w:val="0"/>
      <w:iCs w:val="0"/>
      <w:smallCaps w:val="0"/>
      <w:strike w:val="0"/>
      <w:spacing w:val="3"/>
      <w:sz w:val="21"/>
      <w:szCs w:val="21"/>
      <w:u w:val="single"/>
    </w:rPr>
  </w:style>
  <w:style w:type="character" w:customStyle="1" w:styleId="HeaderChar1">
    <w:name w:val="Header Char1"/>
    <w:basedOn w:val="DefaultParagraphFont"/>
    <w:uiPriority w:val="99"/>
    <w:locked/>
    <w:rsid w:val="003D4C15"/>
    <w:rPr>
      <w:rFonts w:ascii="Calibri" w:eastAsia="Times New Roman" w:hAnsi="Calibri" w:cs="Calibri"/>
      <w:sz w:val="24"/>
      <w:szCs w:val="24"/>
      <w:lang w:val="en-GB" w:eastAsia="en-US"/>
    </w:rPr>
  </w:style>
  <w:style w:type="paragraph" w:customStyle="1" w:styleId="Betarp2">
    <w:name w:val="Be tarpų2"/>
    <w:rsid w:val="003D4C15"/>
    <w:pPr>
      <w:spacing w:after="0" w:line="240" w:lineRule="auto"/>
    </w:pPr>
    <w:rPr>
      <w:rFonts w:ascii="Times New Roman" w:eastAsia="Times New Roman" w:hAnsi="Times New Roman" w:cs="Times New Roman"/>
      <w:sz w:val="24"/>
      <w:szCs w:val="20"/>
    </w:rPr>
  </w:style>
  <w:style w:type="character" w:customStyle="1" w:styleId="NormalWebChar">
    <w:name w:val="Normal (Web) Char"/>
    <w:link w:val="NormalWeb"/>
    <w:uiPriority w:val="99"/>
    <w:rsid w:val="003D4C15"/>
    <w:rPr>
      <w:rFonts w:ascii="Times New Roman" w:eastAsia="Times New Roman" w:hAnsi="Times New Roman" w:cs="Times New Roman"/>
      <w:sz w:val="24"/>
      <w:szCs w:val="24"/>
      <w:lang w:val="en-US"/>
    </w:rPr>
  </w:style>
  <w:style w:type="character" w:customStyle="1" w:styleId="bold">
    <w:name w:val="bold"/>
    <w:uiPriority w:val="99"/>
    <w:rsid w:val="003D4C15"/>
  </w:style>
  <w:style w:type="paragraph" w:styleId="CommentSubject">
    <w:name w:val="annotation subject"/>
    <w:basedOn w:val="CommentText"/>
    <w:next w:val="CommentText"/>
    <w:link w:val="CommentSubjectChar"/>
    <w:uiPriority w:val="99"/>
    <w:semiHidden/>
    <w:unhideWhenUsed/>
    <w:rsid w:val="003D4C15"/>
    <w:pPr>
      <w:spacing w:after="0" w:line="240" w:lineRule="auto"/>
    </w:pPr>
    <w:rPr>
      <w:rFonts w:ascii="Times New Roman" w:eastAsia="Times New Roman" w:hAnsi="Times New Roman"/>
      <w:b/>
      <w:bCs/>
      <w:lang w:eastAsia="lt-LT"/>
    </w:rPr>
  </w:style>
  <w:style w:type="character" w:customStyle="1" w:styleId="CommentSubjectChar">
    <w:name w:val="Comment Subject Char"/>
    <w:basedOn w:val="CommentTextChar"/>
    <w:link w:val="CommentSubject"/>
    <w:uiPriority w:val="99"/>
    <w:semiHidden/>
    <w:rsid w:val="003D4C15"/>
    <w:rPr>
      <w:rFonts w:ascii="Times New Roman" w:eastAsia="Times New Roman" w:hAnsi="Times New Roman" w:cs="Times New Roman"/>
      <w:b/>
      <w:bCs/>
      <w:sz w:val="20"/>
      <w:szCs w:val="20"/>
      <w:lang w:eastAsia="lt-LT"/>
    </w:rPr>
  </w:style>
  <w:style w:type="paragraph" w:customStyle="1" w:styleId="taltipfb">
    <w:name w:val="taltipfb"/>
    <w:basedOn w:val="Normal"/>
    <w:rsid w:val="003D4C15"/>
    <w:pPr>
      <w:spacing w:before="100" w:beforeAutospacing="1" w:after="100" w:afterAutospacing="1"/>
    </w:pPr>
  </w:style>
  <w:style w:type="character" w:customStyle="1" w:styleId="FontStyle19">
    <w:name w:val="Font Style19"/>
    <w:basedOn w:val="DefaultParagraphFont"/>
    <w:rsid w:val="003D4C15"/>
    <w:rPr>
      <w:rFonts w:ascii="Times New Roman" w:hAnsi="Times New Roman" w:cs="Times New Roman"/>
      <w:sz w:val="20"/>
      <w:szCs w:val="20"/>
    </w:rPr>
  </w:style>
  <w:style w:type="character" w:customStyle="1" w:styleId="FontStyle20">
    <w:name w:val="Font Style20"/>
    <w:basedOn w:val="DefaultParagraphFont"/>
    <w:rsid w:val="003D4C15"/>
    <w:rPr>
      <w:rFonts w:ascii="Times New Roman" w:hAnsi="Times New Roman" w:cs="Times New Roman"/>
      <w:sz w:val="22"/>
      <w:szCs w:val="22"/>
    </w:rPr>
  </w:style>
  <w:style w:type="character" w:customStyle="1" w:styleId="sfbbfee58">
    <w:name w:val="sfbbfee58"/>
    <w:basedOn w:val="DefaultParagraphFont"/>
    <w:rsid w:val="003D4C15"/>
  </w:style>
  <w:style w:type="paragraph" w:customStyle="1" w:styleId="Style3">
    <w:name w:val="Style3"/>
    <w:basedOn w:val="Normal"/>
    <w:rsid w:val="003D4C15"/>
    <w:pPr>
      <w:widowControl w:val="0"/>
      <w:autoSpaceDE w:val="0"/>
      <w:autoSpaceDN w:val="0"/>
      <w:adjustRightInd w:val="0"/>
      <w:spacing w:line="274" w:lineRule="exact"/>
      <w:ind w:firstLine="442"/>
      <w:jc w:val="both"/>
    </w:pPr>
    <w:rPr>
      <w:rFonts w:ascii="Arial" w:hAnsi="Arial"/>
    </w:rPr>
  </w:style>
  <w:style w:type="character" w:customStyle="1" w:styleId="FontStyle15">
    <w:name w:val="Font Style15"/>
    <w:uiPriority w:val="99"/>
    <w:rsid w:val="007F3163"/>
    <w:rPr>
      <w:rFonts w:ascii="Times New Roman" w:hAnsi="Times New Roman" w:cs="Times New Roman"/>
      <w:b/>
      <w:bCs/>
      <w:sz w:val="20"/>
      <w:szCs w:val="20"/>
    </w:rPr>
  </w:style>
  <w:style w:type="paragraph" w:customStyle="1" w:styleId="tip">
    <w:name w:val="tip"/>
    <w:basedOn w:val="Normal"/>
    <w:rsid w:val="00F24296"/>
    <w:pPr>
      <w:spacing w:before="100" w:beforeAutospacing="1" w:after="100" w:afterAutospacing="1"/>
    </w:pPr>
  </w:style>
  <w:style w:type="character" w:customStyle="1" w:styleId="Neapdorotaspaminjimas1">
    <w:name w:val="Neapdorotas paminėjimas1"/>
    <w:basedOn w:val="DefaultParagraphFont"/>
    <w:uiPriority w:val="99"/>
    <w:semiHidden/>
    <w:unhideWhenUsed/>
    <w:rsid w:val="00AC73BF"/>
    <w:rPr>
      <w:color w:val="808080"/>
      <w:shd w:val="clear" w:color="auto" w:fill="E6E6E6"/>
    </w:rPr>
  </w:style>
  <w:style w:type="paragraph" w:customStyle="1" w:styleId="Style9">
    <w:name w:val="Style9"/>
    <w:basedOn w:val="Normal"/>
    <w:uiPriority w:val="99"/>
    <w:rsid w:val="00B64450"/>
    <w:pPr>
      <w:widowControl w:val="0"/>
      <w:autoSpaceDE w:val="0"/>
      <w:autoSpaceDN w:val="0"/>
      <w:adjustRightInd w:val="0"/>
      <w:spacing w:line="250" w:lineRule="exact"/>
      <w:ind w:hanging="346"/>
      <w:jc w:val="both"/>
    </w:pPr>
    <w:rPr>
      <w:rFonts w:eastAsiaTheme="minorEastAsia"/>
    </w:rPr>
  </w:style>
  <w:style w:type="paragraph" w:customStyle="1" w:styleId="Style22">
    <w:name w:val="Style22"/>
    <w:basedOn w:val="Normal"/>
    <w:rsid w:val="0045349D"/>
    <w:pPr>
      <w:widowControl w:val="0"/>
      <w:autoSpaceDE w:val="0"/>
      <w:autoSpaceDN w:val="0"/>
      <w:adjustRightInd w:val="0"/>
      <w:spacing w:line="274" w:lineRule="exact"/>
    </w:pPr>
    <w:rPr>
      <w:rFonts w:ascii="Arial" w:hAnsi="Arial" w:cs="Arial"/>
    </w:rPr>
  </w:style>
  <w:style w:type="character" w:customStyle="1" w:styleId="Neapdorotaspaminjimas2">
    <w:name w:val="Neapdorotas paminėjimas2"/>
    <w:basedOn w:val="DefaultParagraphFont"/>
    <w:uiPriority w:val="99"/>
    <w:semiHidden/>
    <w:unhideWhenUsed/>
    <w:rsid w:val="00715AA9"/>
    <w:rPr>
      <w:color w:val="808080"/>
      <w:shd w:val="clear" w:color="auto" w:fill="E6E6E6"/>
    </w:rPr>
  </w:style>
  <w:style w:type="character" w:customStyle="1" w:styleId="ListParagraphChar">
    <w:name w:val="List Paragraph Char"/>
    <w:aliases w:val="Table of contents numbered Char,List Paragraph21 Char,Lentele Char,List Paragraph2 Char,ERP-List Paragraph Char,List Paragraph11 Char,Bullet EY Char,Buletai Char,lp1 Char,Bullet 1 Char,Use Case List Paragraph Char,Numbering Char"/>
    <w:link w:val="ListParagraph"/>
    <w:uiPriority w:val="34"/>
    <w:qFormat/>
    <w:locked/>
    <w:rsid w:val="00B42228"/>
    <w:rPr>
      <w:rFonts w:ascii="Times New Roman" w:eastAsia="Calibri" w:hAnsi="Times New Roman" w:cs="Times New Roman"/>
      <w:sz w:val="24"/>
    </w:rPr>
  </w:style>
  <w:style w:type="character" w:customStyle="1" w:styleId="Bodytext2">
    <w:name w:val="Body text (2)"/>
    <w:basedOn w:val="DefaultParagraphFont"/>
    <w:uiPriority w:val="99"/>
    <w:rsid w:val="00B42228"/>
    <w:rPr>
      <w:rFonts w:ascii="Times New Roman" w:hAnsi="Times New Roman" w:cs="Times New Roman" w:hint="default"/>
      <w:shd w:val="clear" w:color="auto" w:fill="FFFFFF"/>
    </w:rPr>
  </w:style>
  <w:style w:type="character" w:customStyle="1" w:styleId="Bodytext2Bold">
    <w:name w:val="Body text (2) + Bold"/>
    <w:basedOn w:val="DefaultParagraphFont"/>
    <w:rsid w:val="00D61381"/>
    <w:rPr>
      <w:rFonts w:ascii="Times New Roman" w:eastAsia="Times New Roman" w:hAnsi="Times New Roman" w:cs="Times New Roman" w:hint="default"/>
      <w:b/>
      <w:bCs/>
      <w:color w:val="000000"/>
      <w:spacing w:val="0"/>
      <w:w w:val="100"/>
      <w:position w:val="0"/>
      <w:sz w:val="24"/>
      <w:szCs w:val="24"/>
      <w:shd w:val="clear" w:color="auto" w:fill="FFFFFF"/>
      <w:lang w:val="lt-LT" w:eastAsia="lt-LT" w:bidi="lt-LT"/>
    </w:rPr>
  </w:style>
  <w:style w:type="character" w:customStyle="1" w:styleId="Neapdorotaspaminjimas3">
    <w:name w:val="Neapdorotas paminėjimas3"/>
    <w:basedOn w:val="DefaultParagraphFont"/>
    <w:uiPriority w:val="99"/>
    <w:semiHidden/>
    <w:unhideWhenUsed/>
    <w:rsid w:val="00AD7FF1"/>
    <w:rPr>
      <w:color w:val="605E5C"/>
      <w:shd w:val="clear" w:color="auto" w:fill="E1DFDD"/>
    </w:rPr>
  </w:style>
  <w:style w:type="character" w:customStyle="1" w:styleId="Bodytext2115ptItalic">
    <w:name w:val="Body text (2) + 11;5 pt;Italic"/>
    <w:rsid w:val="00F26326"/>
    <w:rPr>
      <w:rFonts w:ascii="Times New Roman" w:eastAsia="Times New Roman" w:hAnsi="Times New Roman" w:cs="Times New Roman"/>
      <w:b w:val="0"/>
      <w:bCs w:val="0"/>
      <w:i/>
      <w:iCs/>
      <w:smallCaps w:val="0"/>
      <w:strike w:val="0"/>
      <w:color w:val="000000"/>
      <w:spacing w:val="0"/>
      <w:w w:val="100"/>
      <w:position w:val="0"/>
      <w:sz w:val="23"/>
      <w:szCs w:val="23"/>
      <w:u w:val="none"/>
      <w:lang w:val="lt-LT" w:eastAsia="lt-LT" w:bidi="lt-LT"/>
    </w:rPr>
  </w:style>
  <w:style w:type="character" w:customStyle="1" w:styleId="UnresolvedMention1">
    <w:name w:val="Unresolved Mention1"/>
    <w:basedOn w:val="DefaultParagraphFont"/>
    <w:uiPriority w:val="99"/>
    <w:semiHidden/>
    <w:unhideWhenUsed/>
    <w:rsid w:val="00A71B28"/>
    <w:rPr>
      <w:color w:val="605E5C"/>
      <w:shd w:val="clear" w:color="auto" w:fill="E1DFDD"/>
    </w:rPr>
  </w:style>
  <w:style w:type="character" w:customStyle="1" w:styleId="Bodytext20">
    <w:name w:val="Body text (2)_"/>
    <w:rsid w:val="00D512CF"/>
    <w:rPr>
      <w:shd w:val="clear" w:color="auto" w:fill="FFFFFF"/>
    </w:rPr>
  </w:style>
  <w:style w:type="character" w:customStyle="1" w:styleId="default-paragraph-fonthyperlink">
    <w:name w:val="default-paragraph-fonthyperlink"/>
    <w:basedOn w:val="DefaultParagraphFont"/>
    <w:rsid w:val="00DB1089"/>
  </w:style>
  <w:style w:type="numbering" w:customStyle="1" w:styleId="WWNum17">
    <w:name w:val="WWNum17"/>
    <w:basedOn w:val="NoList"/>
    <w:rsid w:val="00685897"/>
    <w:pPr>
      <w:numPr>
        <w:numId w:val="1"/>
      </w:numPr>
    </w:pPr>
  </w:style>
  <w:style w:type="character" w:customStyle="1" w:styleId="UnresolvedMention2">
    <w:name w:val="Unresolved Mention2"/>
    <w:basedOn w:val="DefaultParagraphFont"/>
    <w:uiPriority w:val="99"/>
    <w:semiHidden/>
    <w:unhideWhenUsed/>
    <w:rsid w:val="005E6140"/>
    <w:rPr>
      <w:color w:val="605E5C"/>
      <w:shd w:val="clear" w:color="auto" w:fill="E1DFDD"/>
    </w:rPr>
  </w:style>
  <w:style w:type="paragraph" w:customStyle="1" w:styleId="list-paragraph">
    <w:name w:val="list-paragraph"/>
    <w:basedOn w:val="Normal"/>
    <w:rsid w:val="00BE611E"/>
    <w:pPr>
      <w:spacing w:before="100" w:beforeAutospacing="1" w:after="100" w:afterAutospacing="1"/>
    </w:pPr>
    <w:rPr>
      <w:rFonts w:eastAsiaTheme="minorEastAsia"/>
    </w:rPr>
  </w:style>
  <w:style w:type="character" w:customStyle="1" w:styleId="UnresolvedMention3">
    <w:name w:val="Unresolved Mention3"/>
    <w:basedOn w:val="DefaultParagraphFont"/>
    <w:uiPriority w:val="99"/>
    <w:semiHidden/>
    <w:unhideWhenUsed/>
    <w:rsid w:val="00B234F5"/>
    <w:rPr>
      <w:color w:val="605E5C"/>
      <w:shd w:val="clear" w:color="auto" w:fill="E1DFDD"/>
    </w:rPr>
  </w:style>
  <w:style w:type="character" w:customStyle="1" w:styleId="UnresolvedMention4">
    <w:name w:val="Unresolved Mention4"/>
    <w:basedOn w:val="DefaultParagraphFont"/>
    <w:uiPriority w:val="99"/>
    <w:semiHidden/>
    <w:unhideWhenUsed/>
    <w:rsid w:val="008D7C97"/>
    <w:rPr>
      <w:color w:val="605E5C"/>
      <w:shd w:val="clear" w:color="auto" w:fill="E1DFDD"/>
    </w:rPr>
  </w:style>
  <w:style w:type="character" w:customStyle="1" w:styleId="UnresolvedMention5">
    <w:name w:val="Unresolved Mention5"/>
    <w:basedOn w:val="DefaultParagraphFont"/>
    <w:uiPriority w:val="99"/>
    <w:semiHidden/>
    <w:unhideWhenUsed/>
    <w:rsid w:val="00983365"/>
    <w:rPr>
      <w:color w:val="605E5C"/>
      <w:shd w:val="clear" w:color="auto" w:fill="E1DFDD"/>
    </w:rPr>
  </w:style>
  <w:style w:type="character" w:customStyle="1" w:styleId="UnresolvedMention6">
    <w:name w:val="Unresolved Mention6"/>
    <w:basedOn w:val="DefaultParagraphFont"/>
    <w:uiPriority w:val="99"/>
    <w:semiHidden/>
    <w:unhideWhenUsed/>
    <w:rsid w:val="00B07866"/>
    <w:rPr>
      <w:color w:val="605E5C"/>
      <w:shd w:val="clear" w:color="auto" w:fill="E1DFDD"/>
    </w:rPr>
  </w:style>
  <w:style w:type="character" w:customStyle="1" w:styleId="UnresolvedMention7">
    <w:name w:val="Unresolved Mention7"/>
    <w:basedOn w:val="DefaultParagraphFont"/>
    <w:uiPriority w:val="99"/>
    <w:semiHidden/>
    <w:unhideWhenUsed/>
    <w:rsid w:val="00AF1D2A"/>
    <w:rPr>
      <w:color w:val="605E5C"/>
      <w:shd w:val="clear" w:color="auto" w:fill="E1DFDD"/>
    </w:rPr>
  </w:style>
  <w:style w:type="character" w:customStyle="1" w:styleId="UnresolvedMention8">
    <w:name w:val="Unresolved Mention8"/>
    <w:basedOn w:val="DefaultParagraphFont"/>
    <w:uiPriority w:val="99"/>
    <w:semiHidden/>
    <w:unhideWhenUsed/>
    <w:rsid w:val="003813D4"/>
    <w:rPr>
      <w:color w:val="605E5C"/>
      <w:shd w:val="clear" w:color="auto" w:fill="E1DFDD"/>
    </w:rPr>
  </w:style>
  <w:style w:type="numbering" w:customStyle="1" w:styleId="ImportedStyle1">
    <w:name w:val="Imported Style 1"/>
    <w:rsid w:val="00CC5129"/>
    <w:pPr>
      <w:numPr>
        <w:numId w:val="5"/>
      </w:numPr>
    </w:pPr>
  </w:style>
  <w:style w:type="character" w:customStyle="1" w:styleId="UnresolvedMention9">
    <w:name w:val="Unresolved Mention9"/>
    <w:basedOn w:val="DefaultParagraphFont"/>
    <w:uiPriority w:val="99"/>
    <w:semiHidden/>
    <w:unhideWhenUsed/>
    <w:rsid w:val="00C40C55"/>
    <w:rPr>
      <w:color w:val="605E5C"/>
      <w:shd w:val="clear" w:color="auto" w:fill="E1DFDD"/>
    </w:rPr>
  </w:style>
  <w:style w:type="character" w:customStyle="1" w:styleId="UnresolvedMention10">
    <w:name w:val="Unresolved Mention10"/>
    <w:basedOn w:val="DefaultParagraphFont"/>
    <w:uiPriority w:val="99"/>
    <w:semiHidden/>
    <w:unhideWhenUsed/>
    <w:rsid w:val="003060ED"/>
    <w:rPr>
      <w:color w:val="605E5C"/>
      <w:shd w:val="clear" w:color="auto" w:fill="E1DFDD"/>
    </w:rPr>
  </w:style>
  <w:style w:type="character" w:customStyle="1" w:styleId="UnresolvedMention11">
    <w:name w:val="Unresolved Mention11"/>
    <w:basedOn w:val="DefaultParagraphFont"/>
    <w:uiPriority w:val="99"/>
    <w:semiHidden/>
    <w:unhideWhenUsed/>
    <w:rsid w:val="00DE4C4E"/>
    <w:rPr>
      <w:color w:val="605E5C"/>
      <w:shd w:val="clear" w:color="auto" w:fill="E1DFDD"/>
    </w:rPr>
  </w:style>
  <w:style w:type="character" w:customStyle="1" w:styleId="UnresolvedMention12">
    <w:name w:val="Unresolved Mention12"/>
    <w:basedOn w:val="DefaultParagraphFont"/>
    <w:uiPriority w:val="99"/>
    <w:semiHidden/>
    <w:unhideWhenUsed/>
    <w:rsid w:val="00F6362D"/>
    <w:rPr>
      <w:color w:val="605E5C"/>
      <w:shd w:val="clear" w:color="auto" w:fill="E1DFDD"/>
    </w:rPr>
  </w:style>
  <w:style w:type="character" w:customStyle="1" w:styleId="UnresolvedMention13">
    <w:name w:val="Unresolved Mention13"/>
    <w:basedOn w:val="DefaultParagraphFont"/>
    <w:uiPriority w:val="99"/>
    <w:semiHidden/>
    <w:unhideWhenUsed/>
    <w:rsid w:val="00DE7BE8"/>
    <w:rPr>
      <w:color w:val="605E5C"/>
      <w:shd w:val="clear" w:color="auto" w:fill="E1DFDD"/>
    </w:rPr>
  </w:style>
  <w:style w:type="paragraph" w:customStyle="1" w:styleId="s30eec3f8">
    <w:name w:val="s30eec3f8"/>
    <w:basedOn w:val="Normal"/>
    <w:rsid w:val="00DE2BCD"/>
    <w:pPr>
      <w:spacing w:before="100" w:beforeAutospacing="1" w:after="100" w:afterAutospacing="1"/>
    </w:pPr>
    <w:rPr>
      <w:lang w:val="en-US" w:eastAsia="en-US"/>
    </w:rPr>
  </w:style>
  <w:style w:type="character" w:customStyle="1" w:styleId="sb8d990e2">
    <w:name w:val="sb8d990e2"/>
    <w:basedOn w:val="DefaultParagraphFont"/>
    <w:rsid w:val="00DE2BCD"/>
  </w:style>
  <w:style w:type="character" w:customStyle="1" w:styleId="UnresolvedMention14">
    <w:name w:val="Unresolved Mention14"/>
    <w:basedOn w:val="DefaultParagraphFont"/>
    <w:uiPriority w:val="99"/>
    <w:semiHidden/>
    <w:unhideWhenUsed/>
    <w:rsid w:val="006B247E"/>
    <w:rPr>
      <w:color w:val="605E5C"/>
      <w:shd w:val="clear" w:color="auto" w:fill="E1DFDD"/>
    </w:rPr>
  </w:style>
  <w:style w:type="character" w:customStyle="1" w:styleId="UnresolvedMention15">
    <w:name w:val="Unresolved Mention15"/>
    <w:basedOn w:val="DefaultParagraphFont"/>
    <w:uiPriority w:val="99"/>
    <w:semiHidden/>
    <w:unhideWhenUsed/>
    <w:rsid w:val="00AF5451"/>
    <w:rPr>
      <w:color w:val="605E5C"/>
      <w:shd w:val="clear" w:color="auto" w:fill="E1DFDD"/>
    </w:rPr>
  </w:style>
  <w:style w:type="character" w:customStyle="1" w:styleId="UnresolvedMention16">
    <w:name w:val="Unresolved Mention16"/>
    <w:basedOn w:val="DefaultParagraphFont"/>
    <w:uiPriority w:val="99"/>
    <w:semiHidden/>
    <w:unhideWhenUsed/>
    <w:rsid w:val="00071C23"/>
    <w:rPr>
      <w:color w:val="605E5C"/>
      <w:shd w:val="clear" w:color="auto" w:fill="E1DFDD"/>
    </w:rPr>
  </w:style>
  <w:style w:type="character" w:customStyle="1" w:styleId="UnresolvedMention17">
    <w:name w:val="Unresolved Mention17"/>
    <w:basedOn w:val="DefaultParagraphFont"/>
    <w:uiPriority w:val="99"/>
    <w:semiHidden/>
    <w:unhideWhenUsed/>
    <w:rsid w:val="00AF53E8"/>
    <w:rPr>
      <w:color w:val="605E5C"/>
      <w:shd w:val="clear" w:color="auto" w:fill="E1DFDD"/>
    </w:rPr>
  </w:style>
  <w:style w:type="character" w:customStyle="1" w:styleId="UnresolvedMention18">
    <w:name w:val="Unresolved Mention18"/>
    <w:basedOn w:val="DefaultParagraphFont"/>
    <w:uiPriority w:val="99"/>
    <w:semiHidden/>
    <w:unhideWhenUsed/>
    <w:rsid w:val="00EB60DF"/>
    <w:rPr>
      <w:color w:val="605E5C"/>
      <w:shd w:val="clear" w:color="auto" w:fill="E1DFDD"/>
    </w:rPr>
  </w:style>
  <w:style w:type="character" w:customStyle="1" w:styleId="UnresolvedMention19">
    <w:name w:val="Unresolved Mention19"/>
    <w:basedOn w:val="DefaultParagraphFont"/>
    <w:uiPriority w:val="99"/>
    <w:semiHidden/>
    <w:unhideWhenUsed/>
    <w:rsid w:val="00623DF9"/>
    <w:rPr>
      <w:color w:val="605E5C"/>
      <w:shd w:val="clear" w:color="auto" w:fill="E1DFDD"/>
    </w:rPr>
  </w:style>
  <w:style w:type="paragraph" w:customStyle="1" w:styleId="prastasis1">
    <w:name w:val="Įprastasis1"/>
    <w:rsid w:val="008E7687"/>
    <w:pPr>
      <w:suppressAutoHyphens/>
      <w:autoSpaceDN w:val="0"/>
      <w:spacing w:after="0" w:line="240" w:lineRule="auto"/>
      <w:ind w:firstLine="851"/>
      <w:jc w:val="both"/>
    </w:pPr>
    <w:rPr>
      <w:rFonts w:ascii="Calibri" w:eastAsia="Calibri" w:hAnsi="Calibri" w:cs="Times New Roman"/>
    </w:rPr>
  </w:style>
  <w:style w:type="character" w:customStyle="1" w:styleId="Numatytasispastraiposriftas1">
    <w:name w:val="Numatytasis pastraipos šriftas1"/>
    <w:rsid w:val="008E7687"/>
  </w:style>
  <w:style w:type="character" w:customStyle="1" w:styleId="Bodytext211">
    <w:name w:val="Body text (2) + 11"/>
    <w:aliases w:val="5 pt,Italic"/>
    <w:basedOn w:val="DefaultParagraphFont"/>
    <w:rsid w:val="005D0834"/>
    <w:rPr>
      <w:rFonts w:ascii="Times New Roman" w:eastAsia="Times New Roman" w:hAnsi="Times New Roman" w:cs="Times New Roman" w:hint="default"/>
      <w:color w:val="000000"/>
      <w:spacing w:val="0"/>
      <w:w w:val="100"/>
      <w:position w:val="0"/>
      <w:sz w:val="23"/>
      <w:szCs w:val="23"/>
      <w:shd w:val="clear" w:color="auto" w:fill="FFFFFF"/>
      <w:lang w:val="lt-LT" w:eastAsia="lt-LT" w:bidi="lt-LT"/>
    </w:rPr>
  </w:style>
  <w:style w:type="character" w:customStyle="1" w:styleId="blackcaption">
    <w:name w:val="black_caption"/>
    <w:basedOn w:val="DefaultParagraphFont"/>
    <w:rsid w:val="003D7A35"/>
  </w:style>
  <w:style w:type="character" w:customStyle="1" w:styleId="normaltextrun">
    <w:name w:val="normaltextrun"/>
    <w:basedOn w:val="DefaultParagraphFont"/>
    <w:rsid w:val="00284990"/>
  </w:style>
  <w:style w:type="table" w:styleId="TableGrid">
    <w:name w:val="Table Grid"/>
    <w:basedOn w:val="TableNormal"/>
    <w:uiPriority w:val="59"/>
    <w:rsid w:val="009220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astasiniatinklio1">
    <w:name w:val="Įprastas (žiniatinklio)1"/>
    <w:basedOn w:val="Normal"/>
    <w:link w:val="prastasiniatinklioDiagrama"/>
    <w:uiPriority w:val="99"/>
    <w:unhideWhenUsed/>
    <w:rsid w:val="00B908EB"/>
    <w:pPr>
      <w:spacing w:before="100" w:beforeAutospacing="1" w:after="100" w:afterAutospacing="1"/>
    </w:pPr>
  </w:style>
  <w:style w:type="character" w:customStyle="1" w:styleId="prastasiniatinklioDiagrama">
    <w:name w:val="Įprastas (žiniatinklio) Diagrama"/>
    <w:link w:val="prastasiniatinklio1"/>
    <w:uiPriority w:val="99"/>
    <w:locked/>
    <w:rsid w:val="00B908EB"/>
    <w:rPr>
      <w:rFonts w:ascii="Times New Roman" w:eastAsia="Times New Roman" w:hAnsi="Times New Roman" w:cs="Times New Roman"/>
      <w:sz w:val="24"/>
      <w:szCs w:val="24"/>
      <w:lang w:eastAsia="lt-LT"/>
    </w:rPr>
  </w:style>
  <w:style w:type="character" w:customStyle="1" w:styleId="UnresolvedMention20">
    <w:name w:val="Unresolved Mention20"/>
    <w:basedOn w:val="DefaultParagraphFont"/>
    <w:uiPriority w:val="99"/>
    <w:semiHidden/>
    <w:unhideWhenUsed/>
    <w:rsid w:val="0072581C"/>
    <w:rPr>
      <w:color w:val="605E5C"/>
      <w:shd w:val="clear" w:color="auto" w:fill="E1DFDD"/>
    </w:rPr>
  </w:style>
  <w:style w:type="paragraph" w:customStyle="1" w:styleId="paragraph">
    <w:name w:val="paragraph"/>
    <w:basedOn w:val="Normal"/>
    <w:rsid w:val="00FD6B89"/>
    <w:pPr>
      <w:spacing w:before="100" w:beforeAutospacing="1" w:after="100" w:afterAutospacing="1"/>
    </w:pPr>
  </w:style>
  <w:style w:type="character" w:customStyle="1" w:styleId="findhit">
    <w:name w:val="findhit"/>
    <w:basedOn w:val="DefaultParagraphFont"/>
    <w:rsid w:val="00FD6B89"/>
  </w:style>
  <w:style w:type="character" w:customStyle="1" w:styleId="eop">
    <w:name w:val="eop"/>
    <w:basedOn w:val="DefaultParagraphFont"/>
    <w:rsid w:val="00FD6B89"/>
  </w:style>
  <w:style w:type="paragraph" w:customStyle="1" w:styleId="Pagrindinis">
    <w:name w:val="Pagrindinis"/>
    <w:basedOn w:val="ListParagraph"/>
    <w:link w:val="PagrindinisChar"/>
    <w:qFormat/>
    <w:rsid w:val="00057AAA"/>
    <w:pPr>
      <w:numPr>
        <w:numId w:val="38"/>
      </w:numPr>
      <w:tabs>
        <w:tab w:val="left" w:pos="360"/>
        <w:tab w:val="left" w:pos="1080"/>
      </w:tabs>
      <w:spacing w:after="0" w:line="240" w:lineRule="auto"/>
      <w:ind w:hanging="360"/>
      <w:jc w:val="both"/>
    </w:pPr>
    <w:rPr>
      <w:rFonts w:eastAsiaTheme="minorHAnsi"/>
      <w:b/>
      <w:color w:val="000000" w:themeColor="text1"/>
      <w:szCs w:val="24"/>
      <w:shd w:val="clear" w:color="auto" w:fill="FFFFFF"/>
      <w:lang w:val="en-GB"/>
    </w:rPr>
  </w:style>
  <w:style w:type="character" w:customStyle="1" w:styleId="PagrindinisChar">
    <w:name w:val="Pagrindinis Char"/>
    <w:basedOn w:val="DefaultParagraphFont"/>
    <w:link w:val="Pagrindinis"/>
    <w:rsid w:val="00057AAA"/>
    <w:rPr>
      <w:rFonts w:ascii="Times New Roman" w:hAnsi="Times New Roman" w:cs="Times New Roman"/>
      <w:b/>
      <w:color w:val="000000" w:themeColor="text1"/>
      <w:sz w:val="24"/>
      <w:szCs w:val="24"/>
      <w:lang w:val="en-GB"/>
    </w:rPr>
  </w:style>
  <w:style w:type="character" w:customStyle="1" w:styleId="plaintext">
    <w:name w:val="plain_text"/>
    <w:basedOn w:val="DefaultParagraphFont"/>
    <w:rsid w:val="00057AAA"/>
  </w:style>
  <w:style w:type="character" w:customStyle="1" w:styleId="BodyTextIndent2Char1">
    <w:name w:val="Body Text Indent 2 Char1"/>
    <w:basedOn w:val="DefaultParagraphFont"/>
    <w:uiPriority w:val="99"/>
    <w:semiHidden/>
    <w:locked/>
    <w:rsid w:val="00057AAA"/>
    <w:rPr>
      <w:rFonts w:ascii="Calibri" w:hAnsi="Calibri" w:cs="Times New Roman"/>
      <w:lang w:val="lt-LT" w:eastAsia="en-US"/>
    </w:rPr>
  </w:style>
  <w:style w:type="paragraph" w:customStyle="1" w:styleId="heading-1">
    <w:name w:val="heading-1"/>
    <w:basedOn w:val="Normal"/>
    <w:rsid w:val="00057AAA"/>
    <w:pPr>
      <w:spacing w:before="100" w:beforeAutospacing="1" w:after="100" w:afterAutospacing="1"/>
    </w:pPr>
    <w:rPr>
      <w:rFonts w:eastAsiaTheme="minorEastAsia"/>
    </w:rPr>
  </w:style>
  <w:style w:type="paragraph" w:customStyle="1" w:styleId="Normal1">
    <w:name w:val="Normal1"/>
    <w:basedOn w:val="Normal"/>
    <w:rsid w:val="00E46363"/>
    <w:pPr>
      <w:spacing w:before="100" w:beforeAutospacing="1" w:after="100" w:afterAutospacing="1"/>
    </w:pPr>
    <w:rPr>
      <w:rFonts w:eastAsiaTheme="minorEastAsia"/>
    </w:rPr>
  </w:style>
  <w:style w:type="paragraph" w:customStyle="1" w:styleId="body-text-indent-2">
    <w:name w:val="body-text-indent-2"/>
    <w:basedOn w:val="Normal"/>
    <w:rsid w:val="00E46363"/>
    <w:pPr>
      <w:spacing w:before="100" w:beforeAutospacing="1" w:after="100" w:afterAutospacing="1"/>
    </w:pPr>
    <w:rPr>
      <w:rFonts w:eastAsiaTheme="minorEastAsia"/>
    </w:rPr>
  </w:style>
  <w:style w:type="character" w:customStyle="1" w:styleId="Hyperlink1">
    <w:name w:val="Hyperlink1"/>
    <w:basedOn w:val="DefaultParagraphFont"/>
    <w:rsid w:val="00E46363"/>
  </w:style>
  <w:style w:type="character" w:customStyle="1" w:styleId="default-paragraph-font">
    <w:name w:val="default-paragraph-font"/>
    <w:basedOn w:val="DefaultParagraphFont"/>
    <w:rsid w:val="00E46363"/>
  </w:style>
  <w:style w:type="character" w:customStyle="1" w:styleId="Bodytext8MSReferenceSansSerifNotItalic">
    <w:name w:val="Body text (8) + MS Reference Sans Serif;Not Italic"/>
    <w:basedOn w:val="DefaultParagraphFont"/>
    <w:rsid w:val="00887FAE"/>
    <w:rPr>
      <w:rFonts w:ascii="MS Reference Sans Serif" w:eastAsia="MS Reference Sans Serif" w:hAnsi="MS Reference Sans Serif" w:cs="MS Reference Sans Serif"/>
      <w:i/>
      <w:iCs/>
      <w:color w:val="000000"/>
      <w:spacing w:val="0"/>
      <w:w w:val="100"/>
      <w:position w:val="0"/>
      <w:sz w:val="19"/>
      <w:szCs w:val="19"/>
      <w:shd w:val="clear" w:color="auto" w:fill="FFFFFF"/>
      <w:lang w:val="lt-LT" w:eastAsia="lt-LT" w:bidi="lt-LT"/>
    </w:rPr>
  </w:style>
  <w:style w:type="character" w:customStyle="1" w:styleId="Bodytext2Italic">
    <w:name w:val="Body text (2) + Italic"/>
    <w:basedOn w:val="DefaultParagraphFont"/>
    <w:rsid w:val="00887FAE"/>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lt-LT" w:eastAsia="lt-LT" w:bidi="lt-LT"/>
    </w:rPr>
  </w:style>
  <w:style w:type="character" w:styleId="UnresolvedMention">
    <w:name w:val="Unresolved Mention"/>
    <w:basedOn w:val="DefaultParagraphFont"/>
    <w:uiPriority w:val="99"/>
    <w:semiHidden/>
    <w:unhideWhenUsed/>
    <w:rsid w:val="00EF2E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2014">
      <w:bodyDiv w:val="1"/>
      <w:marLeft w:val="0"/>
      <w:marRight w:val="0"/>
      <w:marTop w:val="0"/>
      <w:marBottom w:val="0"/>
      <w:divBdr>
        <w:top w:val="none" w:sz="0" w:space="0" w:color="auto"/>
        <w:left w:val="none" w:sz="0" w:space="0" w:color="auto"/>
        <w:bottom w:val="none" w:sz="0" w:space="0" w:color="auto"/>
        <w:right w:val="none" w:sz="0" w:space="0" w:color="auto"/>
      </w:divBdr>
    </w:div>
    <w:div w:id="16082935">
      <w:bodyDiv w:val="1"/>
      <w:marLeft w:val="0"/>
      <w:marRight w:val="0"/>
      <w:marTop w:val="0"/>
      <w:marBottom w:val="0"/>
      <w:divBdr>
        <w:top w:val="none" w:sz="0" w:space="0" w:color="auto"/>
        <w:left w:val="none" w:sz="0" w:space="0" w:color="auto"/>
        <w:bottom w:val="none" w:sz="0" w:space="0" w:color="auto"/>
        <w:right w:val="none" w:sz="0" w:space="0" w:color="auto"/>
      </w:divBdr>
    </w:div>
    <w:div w:id="24067043">
      <w:bodyDiv w:val="1"/>
      <w:marLeft w:val="0"/>
      <w:marRight w:val="0"/>
      <w:marTop w:val="0"/>
      <w:marBottom w:val="0"/>
      <w:divBdr>
        <w:top w:val="none" w:sz="0" w:space="0" w:color="auto"/>
        <w:left w:val="none" w:sz="0" w:space="0" w:color="auto"/>
        <w:bottom w:val="none" w:sz="0" w:space="0" w:color="auto"/>
        <w:right w:val="none" w:sz="0" w:space="0" w:color="auto"/>
      </w:divBdr>
    </w:div>
    <w:div w:id="25179314">
      <w:bodyDiv w:val="1"/>
      <w:marLeft w:val="0"/>
      <w:marRight w:val="0"/>
      <w:marTop w:val="0"/>
      <w:marBottom w:val="0"/>
      <w:divBdr>
        <w:top w:val="none" w:sz="0" w:space="0" w:color="auto"/>
        <w:left w:val="none" w:sz="0" w:space="0" w:color="auto"/>
        <w:bottom w:val="none" w:sz="0" w:space="0" w:color="auto"/>
        <w:right w:val="none" w:sz="0" w:space="0" w:color="auto"/>
      </w:divBdr>
    </w:div>
    <w:div w:id="36391687">
      <w:bodyDiv w:val="1"/>
      <w:marLeft w:val="0"/>
      <w:marRight w:val="0"/>
      <w:marTop w:val="0"/>
      <w:marBottom w:val="0"/>
      <w:divBdr>
        <w:top w:val="none" w:sz="0" w:space="0" w:color="auto"/>
        <w:left w:val="none" w:sz="0" w:space="0" w:color="auto"/>
        <w:bottom w:val="none" w:sz="0" w:space="0" w:color="auto"/>
        <w:right w:val="none" w:sz="0" w:space="0" w:color="auto"/>
      </w:divBdr>
    </w:div>
    <w:div w:id="37049238">
      <w:bodyDiv w:val="1"/>
      <w:marLeft w:val="0"/>
      <w:marRight w:val="0"/>
      <w:marTop w:val="0"/>
      <w:marBottom w:val="0"/>
      <w:divBdr>
        <w:top w:val="none" w:sz="0" w:space="0" w:color="auto"/>
        <w:left w:val="none" w:sz="0" w:space="0" w:color="auto"/>
        <w:bottom w:val="none" w:sz="0" w:space="0" w:color="auto"/>
        <w:right w:val="none" w:sz="0" w:space="0" w:color="auto"/>
      </w:divBdr>
    </w:div>
    <w:div w:id="40714135">
      <w:bodyDiv w:val="1"/>
      <w:marLeft w:val="0"/>
      <w:marRight w:val="0"/>
      <w:marTop w:val="0"/>
      <w:marBottom w:val="0"/>
      <w:divBdr>
        <w:top w:val="none" w:sz="0" w:space="0" w:color="auto"/>
        <w:left w:val="none" w:sz="0" w:space="0" w:color="auto"/>
        <w:bottom w:val="none" w:sz="0" w:space="0" w:color="auto"/>
        <w:right w:val="none" w:sz="0" w:space="0" w:color="auto"/>
      </w:divBdr>
    </w:div>
    <w:div w:id="53313444">
      <w:bodyDiv w:val="1"/>
      <w:marLeft w:val="0"/>
      <w:marRight w:val="0"/>
      <w:marTop w:val="0"/>
      <w:marBottom w:val="0"/>
      <w:divBdr>
        <w:top w:val="none" w:sz="0" w:space="0" w:color="auto"/>
        <w:left w:val="none" w:sz="0" w:space="0" w:color="auto"/>
        <w:bottom w:val="none" w:sz="0" w:space="0" w:color="auto"/>
        <w:right w:val="none" w:sz="0" w:space="0" w:color="auto"/>
      </w:divBdr>
    </w:div>
    <w:div w:id="61880185">
      <w:bodyDiv w:val="1"/>
      <w:marLeft w:val="0"/>
      <w:marRight w:val="0"/>
      <w:marTop w:val="0"/>
      <w:marBottom w:val="0"/>
      <w:divBdr>
        <w:top w:val="none" w:sz="0" w:space="0" w:color="auto"/>
        <w:left w:val="none" w:sz="0" w:space="0" w:color="auto"/>
        <w:bottom w:val="none" w:sz="0" w:space="0" w:color="auto"/>
        <w:right w:val="none" w:sz="0" w:space="0" w:color="auto"/>
      </w:divBdr>
    </w:div>
    <w:div w:id="63453348">
      <w:bodyDiv w:val="1"/>
      <w:marLeft w:val="0"/>
      <w:marRight w:val="0"/>
      <w:marTop w:val="0"/>
      <w:marBottom w:val="0"/>
      <w:divBdr>
        <w:top w:val="none" w:sz="0" w:space="0" w:color="auto"/>
        <w:left w:val="none" w:sz="0" w:space="0" w:color="auto"/>
        <w:bottom w:val="none" w:sz="0" w:space="0" w:color="auto"/>
        <w:right w:val="none" w:sz="0" w:space="0" w:color="auto"/>
      </w:divBdr>
    </w:div>
    <w:div w:id="69351867">
      <w:bodyDiv w:val="1"/>
      <w:marLeft w:val="0"/>
      <w:marRight w:val="0"/>
      <w:marTop w:val="0"/>
      <w:marBottom w:val="0"/>
      <w:divBdr>
        <w:top w:val="none" w:sz="0" w:space="0" w:color="auto"/>
        <w:left w:val="none" w:sz="0" w:space="0" w:color="auto"/>
        <w:bottom w:val="none" w:sz="0" w:space="0" w:color="auto"/>
        <w:right w:val="none" w:sz="0" w:space="0" w:color="auto"/>
      </w:divBdr>
    </w:div>
    <w:div w:id="71894949">
      <w:bodyDiv w:val="1"/>
      <w:marLeft w:val="0"/>
      <w:marRight w:val="0"/>
      <w:marTop w:val="0"/>
      <w:marBottom w:val="0"/>
      <w:divBdr>
        <w:top w:val="none" w:sz="0" w:space="0" w:color="auto"/>
        <w:left w:val="none" w:sz="0" w:space="0" w:color="auto"/>
        <w:bottom w:val="none" w:sz="0" w:space="0" w:color="auto"/>
        <w:right w:val="none" w:sz="0" w:space="0" w:color="auto"/>
      </w:divBdr>
    </w:div>
    <w:div w:id="75249446">
      <w:bodyDiv w:val="1"/>
      <w:marLeft w:val="0"/>
      <w:marRight w:val="0"/>
      <w:marTop w:val="0"/>
      <w:marBottom w:val="0"/>
      <w:divBdr>
        <w:top w:val="none" w:sz="0" w:space="0" w:color="auto"/>
        <w:left w:val="none" w:sz="0" w:space="0" w:color="auto"/>
        <w:bottom w:val="none" w:sz="0" w:space="0" w:color="auto"/>
        <w:right w:val="none" w:sz="0" w:space="0" w:color="auto"/>
      </w:divBdr>
    </w:div>
    <w:div w:id="76289486">
      <w:bodyDiv w:val="1"/>
      <w:marLeft w:val="0"/>
      <w:marRight w:val="0"/>
      <w:marTop w:val="0"/>
      <w:marBottom w:val="0"/>
      <w:divBdr>
        <w:top w:val="none" w:sz="0" w:space="0" w:color="auto"/>
        <w:left w:val="none" w:sz="0" w:space="0" w:color="auto"/>
        <w:bottom w:val="none" w:sz="0" w:space="0" w:color="auto"/>
        <w:right w:val="none" w:sz="0" w:space="0" w:color="auto"/>
      </w:divBdr>
    </w:div>
    <w:div w:id="77144399">
      <w:bodyDiv w:val="1"/>
      <w:marLeft w:val="0"/>
      <w:marRight w:val="0"/>
      <w:marTop w:val="0"/>
      <w:marBottom w:val="0"/>
      <w:divBdr>
        <w:top w:val="none" w:sz="0" w:space="0" w:color="auto"/>
        <w:left w:val="none" w:sz="0" w:space="0" w:color="auto"/>
        <w:bottom w:val="none" w:sz="0" w:space="0" w:color="auto"/>
        <w:right w:val="none" w:sz="0" w:space="0" w:color="auto"/>
      </w:divBdr>
    </w:div>
    <w:div w:id="92165038">
      <w:bodyDiv w:val="1"/>
      <w:marLeft w:val="0"/>
      <w:marRight w:val="0"/>
      <w:marTop w:val="0"/>
      <w:marBottom w:val="0"/>
      <w:divBdr>
        <w:top w:val="none" w:sz="0" w:space="0" w:color="auto"/>
        <w:left w:val="none" w:sz="0" w:space="0" w:color="auto"/>
        <w:bottom w:val="none" w:sz="0" w:space="0" w:color="auto"/>
        <w:right w:val="none" w:sz="0" w:space="0" w:color="auto"/>
      </w:divBdr>
    </w:div>
    <w:div w:id="92940110">
      <w:bodyDiv w:val="1"/>
      <w:marLeft w:val="0"/>
      <w:marRight w:val="0"/>
      <w:marTop w:val="0"/>
      <w:marBottom w:val="0"/>
      <w:divBdr>
        <w:top w:val="none" w:sz="0" w:space="0" w:color="auto"/>
        <w:left w:val="none" w:sz="0" w:space="0" w:color="auto"/>
        <w:bottom w:val="none" w:sz="0" w:space="0" w:color="auto"/>
        <w:right w:val="none" w:sz="0" w:space="0" w:color="auto"/>
      </w:divBdr>
    </w:div>
    <w:div w:id="104466894">
      <w:bodyDiv w:val="1"/>
      <w:marLeft w:val="0"/>
      <w:marRight w:val="0"/>
      <w:marTop w:val="0"/>
      <w:marBottom w:val="0"/>
      <w:divBdr>
        <w:top w:val="none" w:sz="0" w:space="0" w:color="auto"/>
        <w:left w:val="none" w:sz="0" w:space="0" w:color="auto"/>
        <w:bottom w:val="none" w:sz="0" w:space="0" w:color="auto"/>
        <w:right w:val="none" w:sz="0" w:space="0" w:color="auto"/>
      </w:divBdr>
    </w:div>
    <w:div w:id="106655836">
      <w:bodyDiv w:val="1"/>
      <w:marLeft w:val="0"/>
      <w:marRight w:val="0"/>
      <w:marTop w:val="0"/>
      <w:marBottom w:val="0"/>
      <w:divBdr>
        <w:top w:val="none" w:sz="0" w:space="0" w:color="auto"/>
        <w:left w:val="none" w:sz="0" w:space="0" w:color="auto"/>
        <w:bottom w:val="none" w:sz="0" w:space="0" w:color="auto"/>
        <w:right w:val="none" w:sz="0" w:space="0" w:color="auto"/>
      </w:divBdr>
    </w:div>
    <w:div w:id="108475406">
      <w:bodyDiv w:val="1"/>
      <w:marLeft w:val="0"/>
      <w:marRight w:val="0"/>
      <w:marTop w:val="0"/>
      <w:marBottom w:val="0"/>
      <w:divBdr>
        <w:top w:val="none" w:sz="0" w:space="0" w:color="auto"/>
        <w:left w:val="none" w:sz="0" w:space="0" w:color="auto"/>
        <w:bottom w:val="none" w:sz="0" w:space="0" w:color="auto"/>
        <w:right w:val="none" w:sz="0" w:space="0" w:color="auto"/>
      </w:divBdr>
      <w:divsChild>
        <w:div w:id="650015789">
          <w:marLeft w:val="0"/>
          <w:marRight w:val="0"/>
          <w:marTop w:val="0"/>
          <w:marBottom w:val="0"/>
          <w:divBdr>
            <w:top w:val="none" w:sz="0" w:space="0" w:color="auto"/>
            <w:left w:val="none" w:sz="0" w:space="0" w:color="auto"/>
            <w:bottom w:val="none" w:sz="0" w:space="0" w:color="auto"/>
            <w:right w:val="none" w:sz="0" w:space="0" w:color="auto"/>
          </w:divBdr>
          <w:divsChild>
            <w:div w:id="214573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19656">
      <w:bodyDiv w:val="1"/>
      <w:marLeft w:val="0"/>
      <w:marRight w:val="0"/>
      <w:marTop w:val="0"/>
      <w:marBottom w:val="0"/>
      <w:divBdr>
        <w:top w:val="none" w:sz="0" w:space="0" w:color="auto"/>
        <w:left w:val="none" w:sz="0" w:space="0" w:color="auto"/>
        <w:bottom w:val="none" w:sz="0" w:space="0" w:color="auto"/>
        <w:right w:val="none" w:sz="0" w:space="0" w:color="auto"/>
      </w:divBdr>
    </w:div>
    <w:div w:id="112329805">
      <w:bodyDiv w:val="1"/>
      <w:marLeft w:val="0"/>
      <w:marRight w:val="0"/>
      <w:marTop w:val="0"/>
      <w:marBottom w:val="0"/>
      <w:divBdr>
        <w:top w:val="none" w:sz="0" w:space="0" w:color="auto"/>
        <w:left w:val="none" w:sz="0" w:space="0" w:color="auto"/>
        <w:bottom w:val="none" w:sz="0" w:space="0" w:color="auto"/>
        <w:right w:val="none" w:sz="0" w:space="0" w:color="auto"/>
      </w:divBdr>
    </w:div>
    <w:div w:id="117841610">
      <w:bodyDiv w:val="1"/>
      <w:marLeft w:val="0"/>
      <w:marRight w:val="0"/>
      <w:marTop w:val="0"/>
      <w:marBottom w:val="0"/>
      <w:divBdr>
        <w:top w:val="none" w:sz="0" w:space="0" w:color="auto"/>
        <w:left w:val="none" w:sz="0" w:space="0" w:color="auto"/>
        <w:bottom w:val="none" w:sz="0" w:space="0" w:color="auto"/>
        <w:right w:val="none" w:sz="0" w:space="0" w:color="auto"/>
      </w:divBdr>
    </w:div>
    <w:div w:id="126554837">
      <w:bodyDiv w:val="1"/>
      <w:marLeft w:val="0"/>
      <w:marRight w:val="0"/>
      <w:marTop w:val="0"/>
      <w:marBottom w:val="0"/>
      <w:divBdr>
        <w:top w:val="none" w:sz="0" w:space="0" w:color="auto"/>
        <w:left w:val="none" w:sz="0" w:space="0" w:color="auto"/>
        <w:bottom w:val="none" w:sz="0" w:space="0" w:color="auto"/>
        <w:right w:val="none" w:sz="0" w:space="0" w:color="auto"/>
      </w:divBdr>
    </w:div>
    <w:div w:id="126702315">
      <w:bodyDiv w:val="1"/>
      <w:marLeft w:val="0"/>
      <w:marRight w:val="0"/>
      <w:marTop w:val="0"/>
      <w:marBottom w:val="0"/>
      <w:divBdr>
        <w:top w:val="none" w:sz="0" w:space="0" w:color="auto"/>
        <w:left w:val="none" w:sz="0" w:space="0" w:color="auto"/>
        <w:bottom w:val="none" w:sz="0" w:space="0" w:color="auto"/>
        <w:right w:val="none" w:sz="0" w:space="0" w:color="auto"/>
      </w:divBdr>
    </w:div>
    <w:div w:id="126775741">
      <w:bodyDiv w:val="1"/>
      <w:marLeft w:val="0"/>
      <w:marRight w:val="0"/>
      <w:marTop w:val="0"/>
      <w:marBottom w:val="0"/>
      <w:divBdr>
        <w:top w:val="none" w:sz="0" w:space="0" w:color="auto"/>
        <w:left w:val="none" w:sz="0" w:space="0" w:color="auto"/>
        <w:bottom w:val="none" w:sz="0" w:space="0" w:color="auto"/>
        <w:right w:val="none" w:sz="0" w:space="0" w:color="auto"/>
      </w:divBdr>
    </w:div>
    <w:div w:id="132139601">
      <w:bodyDiv w:val="1"/>
      <w:marLeft w:val="0"/>
      <w:marRight w:val="0"/>
      <w:marTop w:val="0"/>
      <w:marBottom w:val="0"/>
      <w:divBdr>
        <w:top w:val="none" w:sz="0" w:space="0" w:color="auto"/>
        <w:left w:val="none" w:sz="0" w:space="0" w:color="auto"/>
        <w:bottom w:val="none" w:sz="0" w:space="0" w:color="auto"/>
        <w:right w:val="none" w:sz="0" w:space="0" w:color="auto"/>
      </w:divBdr>
    </w:div>
    <w:div w:id="134958088">
      <w:bodyDiv w:val="1"/>
      <w:marLeft w:val="0"/>
      <w:marRight w:val="0"/>
      <w:marTop w:val="0"/>
      <w:marBottom w:val="0"/>
      <w:divBdr>
        <w:top w:val="none" w:sz="0" w:space="0" w:color="auto"/>
        <w:left w:val="none" w:sz="0" w:space="0" w:color="auto"/>
        <w:bottom w:val="none" w:sz="0" w:space="0" w:color="auto"/>
        <w:right w:val="none" w:sz="0" w:space="0" w:color="auto"/>
      </w:divBdr>
      <w:divsChild>
        <w:div w:id="2034384347">
          <w:marLeft w:val="0"/>
          <w:marRight w:val="0"/>
          <w:marTop w:val="0"/>
          <w:marBottom w:val="0"/>
          <w:divBdr>
            <w:top w:val="none" w:sz="0" w:space="0" w:color="auto"/>
            <w:left w:val="none" w:sz="0" w:space="0" w:color="auto"/>
            <w:bottom w:val="none" w:sz="0" w:space="0" w:color="auto"/>
            <w:right w:val="none" w:sz="0" w:space="0" w:color="auto"/>
          </w:divBdr>
          <w:divsChild>
            <w:div w:id="169222983">
              <w:marLeft w:val="0"/>
              <w:marRight w:val="0"/>
              <w:marTop w:val="0"/>
              <w:marBottom w:val="0"/>
              <w:divBdr>
                <w:top w:val="none" w:sz="0" w:space="0" w:color="auto"/>
                <w:left w:val="none" w:sz="0" w:space="0" w:color="auto"/>
                <w:bottom w:val="none" w:sz="0" w:space="0" w:color="auto"/>
                <w:right w:val="none" w:sz="0" w:space="0" w:color="auto"/>
              </w:divBdr>
              <w:divsChild>
                <w:div w:id="1775049607">
                  <w:marLeft w:val="0"/>
                  <w:marRight w:val="0"/>
                  <w:marTop w:val="0"/>
                  <w:marBottom w:val="0"/>
                  <w:divBdr>
                    <w:top w:val="none" w:sz="0" w:space="0" w:color="auto"/>
                    <w:left w:val="none" w:sz="0" w:space="0" w:color="auto"/>
                    <w:bottom w:val="none" w:sz="0" w:space="0" w:color="auto"/>
                    <w:right w:val="none" w:sz="0" w:space="0" w:color="auto"/>
                  </w:divBdr>
                  <w:divsChild>
                    <w:div w:id="1450321575">
                      <w:marLeft w:val="0"/>
                      <w:marRight w:val="0"/>
                      <w:marTop w:val="0"/>
                      <w:marBottom w:val="0"/>
                      <w:divBdr>
                        <w:top w:val="none" w:sz="0" w:space="0" w:color="auto"/>
                        <w:left w:val="none" w:sz="0" w:space="0" w:color="auto"/>
                        <w:bottom w:val="none" w:sz="0" w:space="0" w:color="auto"/>
                        <w:right w:val="none" w:sz="0" w:space="0" w:color="auto"/>
                      </w:divBdr>
                      <w:divsChild>
                        <w:div w:id="205139563">
                          <w:marLeft w:val="0"/>
                          <w:marRight w:val="0"/>
                          <w:marTop w:val="0"/>
                          <w:marBottom w:val="0"/>
                          <w:divBdr>
                            <w:top w:val="none" w:sz="0" w:space="0" w:color="auto"/>
                            <w:left w:val="none" w:sz="0" w:space="0" w:color="auto"/>
                            <w:bottom w:val="none" w:sz="0" w:space="0" w:color="auto"/>
                            <w:right w:val="none" w:sz="0" w:space="0" w:color="auto"/>
                          </w:divBdr>
                          <w:divsChild>
                            <w:div w:id="61023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270368">
      <w:bodyDiv w:val="1"/>
      <w:marLeft w:val="0"/>
      <w:marRight w:val="0"/>
      <w:marTop w:val="0"/>
      <w:marBottom w:val="0"/>
      <w:divBdr>
        <w:top w:val="none" w:sz="0" w:space="0" w:color="auto"/>
        <w:left w:val="none" w:sz="0" w:space="0" w:color="auto"/>
        <w:bottom w:val="none" w:sz="0" w:space="0" w:color="auto"/>
        <w:right w:val="none" w:sz="0" w:space="0" w:color="auto"/>
      </w:divBdr>
    </w:div>
    <w:div w:id="140000386">
      <w:bodyDiv w:val="1"/>
      <w:marLeft w:val="0"/>
      <w:marRight w:val="0"/>
      <w:marTop w:val="0"/>
      <w:marBottom w:val="0"/>
      <w:divBdr>
        <w:top w:val="none" w:sz="0" w:space="0" w:color="auto"/>
        <w:left w:val="none" w:sz="0" w:space="0" w:color="auto"/>
        <w:bottom w:val="none" w:sz="0" w:space="0" w:color="auto"/>
        <w:right w:val="none" w:sz="0" w:space="0" w:color="auto"/>
      </w:divBdr>
    </w:div>
    <w:div w:id="152991608">
      <w:bodyDiv w:val="1"/>
      <w:marLeft w:val="0"/>
      <w:marRight w:val="0"/>
      <w:marTop w:val="0"/>
      <w:marBottom w:val="0"/>
      <w:divBdr>
        <w:top w:val="none" w:sz="0" w:space="0" w:color="auto"/>
        <w:left w:val="none" w:sz="0" w:space="0" w:color="auto"/>
        <w:bottom w:val="none" w:sz="0" w:space="0" w:color="auto"/>
        <w:right w:val="none" w:sz="0" w:space="0" w:color="auto"/>
      </w:divBdr>
    </w:div>
    <w:div w:id="153837528">
      <w:bodyDiv w:val="1"/>
      <w:marLeft w:val="0"/>
      <w:marRight w:val="0"/>
      <w:marTop w:val="0"/>
      <w:marBottom w:val="0"/>
      <w:divBdr>
        <w:top w:val="none" w:sz="0" w:space="0" w:color="auto"/>
        <w:left w:val="none" w:sz="0" w:space="0" w:color="auto"/>
        <w:bottom w:val="none" w:sz="0" w:space="0" w:color="auto"/>
        <w:right w:val="none" w:sz="0" w:space="0" w:color="auto"/>
      </w:divBdr>
    </w:div>
    <w:div w:id="155998113">
      <w:bodyDiv w:val="1"/>
      <w:marLeft w:val="0"/>
      <w:marRight w:val="0"/>
      <w:marTop w:val="0"/>
      <w:marBottom w:val="0"/>
      <w:divBdr>
        <w:top w:val="none" w:sz="0" w:space="0" w:color="auto"/>
        <w:left w:val="none" w:sz="0" w:space="0" w:color="auto"/>
        <w:bottom w:val="none" w:sz="0" w:space="0" w:color="auto"/>
        <w:right w:val="none" w:sz="0" w:space="0" w:color="auto"/>
      </w:divBdr>
    </w:div>
    <w:div w:id="164514539">
      <w:bodyDiv w:val="1"/>
      <w:marLeft w:val="0"/>
      <w:marRight w:val="0"/>
      <w:marTop w:val="0"/>
      <w:marBottom w:val="0"/>
      <w:divBdr>
        <w:top w:val="none" w:sz="0" w:space="0" w:color="auto"/>
        <w:left w:val="none" w:sz="0" w:space="0" w:color="auto"/>
        <w:bottom w:val="none" w:sz="0" w:space="0" w:color="auto"/>
        <w:right w:val="none" w:sz="0" w:space="0" w:color="auto"/>
      </w:divBdr>
    </w:div>
    <w:div w:id="170872991">
      <w:bodyDiv w:val="1"/>
      <w:marLeft w:val="0"/>
      <w:marRight w:val="0"/>
      <w:marTop w:val="0"/>
      <w:marBottom w:val="0"/>
      <w:divBdr>
        <w:top w:val="none" w:sz="0" w:space="0" w:color="auto"/>
        <w:left w:val="none" w:sz="0" w:space="0" w:color="auto"/>
        <w:bottom w:val="none" w:sz="0" w:space="0" w:color="auto"/>
        <w:right w:val="none" w:sz="0" w:space="0" w:color="auto"/>
      </w:divBdr>
    </w:div>
    <w:div w:id="175271084">
      <w:bodyDiv w:val="1"/>
      <w:marLeft w:val="0"/>
      <w:marRight w:val="0"/>
      <w:marTop w:val="0"/>
      <w:marBottom w:val="0"/>
      <w:divBdr>
        <w:top w:val="none" w:sz="0" w:space="0" w:color="auto"/>
        <w:left w:val="none" w:sz="0" w:space="0" w:color="auto"/>
        <w:bottom w:val="none" w:sz="0" w:space="0" w:color="auto"/>
        <w:right w:val="none" w:sz="0" w:space="0" w:color="auto"/>
      </w:divBdr>
    </w:div>
    <w:div w:id="177431403">
      <w:bodyDiv w:val="1"/>
      <w:marLeft w:val="0"/>
      <w:marRight w:val="0"/>
      <w:marTop w:val="0"/>
      <w:marBottom w:val="0"/>
      <w:divBdr>
        <w:top w:val="none" w:sz="0" w:space="0" w:color="auto"/>
        <w:left w:val="none" w:sz="0" w:space="0" w:color="auto"/>
        <w:bottom w:val="none" w:sz="0" w:space="0" w:color="auto"/>
        <w:right w:val="none" w:sz="0" w:space="0" w:color="auto"/>
      </w:divBdr>
    </w:div>
    <w:div w:id="184249174">
      <w:bodyDiv w:val="1"/>
      <w:marLeft w:val="0"/>
      <w:marRight w:val="0"/>
      <w:marTop w:val="0"/>
      <w:marBottom w:val="0"/>
      <w:divBdr>
        <w:top w:val="none" w:sz="0" w:space="0" w:color="auto"/>
        <w:left w:val="none" w:sz="0" w:space="0" w:color="auto"/>
        <w:bottom w:val="none" w:sz="0" w:space="0" w:color="auto"/>
        <w:right w:val="none" w:sz="0" w:space="0" w:color="auto"/>
      </w:divBdr>
    </w:div>
    <w:div w:id="186456767">
      <w:bodyDiv w:val="1"/>
      <w:marLeft w:val="0"/>
      <w:marRight w:val="0"/>
      <w:marTop w:val="0"/>
      <w:marBottom w:val="0"/>
      <w:divBdr>
        <w:top w:val="none" w:sz="0" w:space="0" w:color="auto"/>
        <w:left w:val="none" w:sz="0" w:space="0" w:color="auto"/>
        <w:bottom w:val="none" w:sz="0" w:space="0" w:color="auto"/>
        <w:right w:val="none" w:sz="0" w:space="0" w:color="auto"/>
      </w:divBdr>
    </w:div>
    <w:div w:id="186912018">
      <w:bodyDiv w:val="1"/>
      <w:marLeft w:val="0"/>
      <w:marRight w:val="0"/>
      <w:marTop w:val="0"/>
      <w:marBottom w:val="0"/>
      <w:divBdr>
        <w:top w:val="none" w:sz="0" w:space="0" w:color="auto"/>
        <w:left w:val="none" w:sz="0" w:space="0" w:color="auto"/>
        <w:bottom w:val="none" w:sz="0" w:space="0" w:color="auto"/>
        <w:right w:val="none" w:sz="0" w:space="0" w:color="auto"/>
      </w:divBdr>
    </w:div>
    <w:div w:id="190998239">
      <w:bodyDiv w:val="1"/>
      <w:marLeft w:val="0"/>
      <w:marRight w:val="0"/>
      <w:marTop w:val="0"/>
      <w:marBottom w:val="0"/>
      <w:divBdr>
        <w:top w:val="none" w:sz="0" w:space="0" w:color="auto"/>
        <w:left w:val="none" w:sz="0" w:space="0" w:color="auto"/>
        <w:bottom w:val="none" w:sz="0" w:space="0" w:color="auto"/>
        <w:right w:val="none" w:sz="0" w:space="0" w:color="auto"/>
      </w:divBdr>
    </w:div>
    <w:div w:id="193426692">
      <w:bodyDiv w:val="1"/>
      <w:marLeft w:val="0"/>
      <w:marRight w:val="0"/>
      <w:marTop w:val="0"/>
      <w:marBottom w:val="0"/>
      <w:divBdr>
        <w:top w:val="none" w:sz="0" w:space="0" w:color="auto"/>
        <w:left w:val="none" w:sz="0" w:space="0" w:color="auto"/>
        <w:bottom w:val="none" w:sz="0" w:space="0" w:color="auto"/>
        <w:right w:val="none" w:sz="0" w:space="0" w:color="auto"/>
      </w:divBdr>
    </w:div>
    <w:div w:id="199903159">
      <w:bodyDiv w:val="1"/>
      <w:marLeft w:val="0"/>
      <w:marRight w:val="0"/>
      <w:marTop w:val="0"/>
      <w:marBottom w:val="0"/>
      <w:divBdr>
        <w:top w:val="none" w:sz="0" w:space="0" w:color="auto"/>
        <w:left w:val="none" w:sz="0" w:space="0" w:color="auto"/>
        <w:bottom w:val="none" w:sz="0" w:space="0" w:color="auto"/>
        <w:right w:val="none" w:sz="0" w:space="0" w:color="auto"/>
      </w:divBdr>
    </w:div>
    <w:div w:id="205417135">
      <w:bodyDiv w:val="1"/>
      <w:marLeft w:val="0"/>
      <w:marRight w:val="0"/>
      <w:marTop w:val="0"/>
      <w:marBottom w:val="0"/>
      <w:divBdr>
        <w:top w:val="none" w:sz="0" w:space="0" w:color="auto"/>
        <w:left w:val="none" w:sz="0" w:space="0" w:color="auto"/>
        <w:bottom w:val="none" w:sz="0" w:space="0" w:color="auto"/>
        <w:right w:val="none" w:sz="0" w:space="0" w:color="auto"/>
      </w:divBdr>
    </w:div>
    <w:div w:id="210507255">
      <w:bodyDiv w:val="1"/>
      <w:marLeft w:val="0"/>
      <w:marRight w:val="0"/>
      <w:marTop w:val="0"/>
      <w:marBottom w:val="0"/>
      <w:divBdr>
        <w:top w:val="none" w:sz="0" w:space="0" w:color="auto"/>
        <w:left w:val="none" w:sz="0" w:space="0" w:color="auto"/>
        <w:bottom w:val="none" w:sz="0" w:space="0" w:color="auto"/>
        <w:right w:val="none" w:sz="0" w:space="0" w:color="auto"/>
      </w:divBdr>
    </w:div>
    <w:div w:id="210852490">
      <w:bodyDiv w:val="1"/>
      <w:marLeft w:val="0"/>
      <w:marRight w:val="0"/>
      <w:marTop w:val="0"/>
      <w:marBottom w:val="0"/>
      <w:divBdr>
        <w:top w:val="none" w:sz="0" w:space="0" w:color="auto"/>
        <w:left w:val="none" w:sz="0" w:space="0" w:color="auto"/>
        <w:bottom w:val="none" w:sz="0" w:space="0" w:color="auto"/>
        <w:right w:val="none" w:sz="0" w:space="0" w:color="auto"/>
      </w:divBdr>
    </w:div>
    <w:div w:id="217056121">
      <w:bodyDiv w:val="1"/>
      <w:marLeft w:val="0"/>
      <w:marRight w:val="0"/>
      <w:marTop w:val="0"/>
      <w:marBottom w:val="0"/>
      <w:divBdr>
        <w:top w:val="none" w:sz="0" w:space="0" w:color="auto"/>
        <w:left w:val="none" w:sz="0" w:space="0" w:color="auto"/>
        <w:bottom w:val="none" w:sz="0" w:space="0" w:color="auto"/>
        <w:right w:val="none" w:sz="0" w:space="0" w:color="auto"/>
      </w:divBdr>
    </w:div>
    <w:div w:id="232158704">
      <w:bodyDiv w:val="1"/>
      <w:marLeft w:val="0"/>
      <w:marRight w:val="0"/>
      <w:marTop w:val="0"/>
      <w:marBottom w:val="0"/>
      <w:divBdr>
        <w:top w:val="none" w:sz="0" w:space="0" w:color="auto"/>
        <w:left w:val="none" w:sz="0" w:space="0" w:color="auto"/>
        <w:bottom w:val="none" w:sz="0" w:space="0" w:color="auto"/>
        <w:right w:val="none" w:sz="0" w:space="0" w:color="auto"/>
      </w:divBdr>
    </w:div>
    <w:div w:id="244725114">
      <w:bodyDiv w:val="1"/>
      <w:marLeft w:val="0"/>
      <w:marRight w:val="0"/>
      <w:marTop w:val="0"/>
      <w:marBottom w:val="0"/>
      <w:divBdr>
        <w:top w:val="none" w:sz="0" w:space="0" w:color="auto"/>
        <w:left w:val="none" w:sz="0" w:space="0" w:color="auto"/>
        <w:bottom w:val="none" w:sz="0" w:space="0" w:color="auto"/>
        <w:right w:val="none" w:sz="0" w:space="0" w:color="auto"/>
      </w:divBdr>
    </w:div>
    <w:div w:id="246156365">
      <w:bodyDiv w:val="1"/>
      <w:marLeft w:val="0"/>
      <w:marRight w:val="0"/>
      <w:marTop w:val="0"/>
      <w:marBottom w:val="0"/>
      <w:divBdr>
        <w:top w:val="none" w:sz="0" w:space="0" w:color="auto"/>
        <w:left w:val="none" w:sz="0" w:space="0" w:color="auto"/>
        <w:bottom w:val="none" w:sz="0" w:space="0" w:color="auto"/>
        <w:right w:val="none" w:sz="0" w:space="0" w:color="auto"/>
      </w:divBdr>
    </w:div>
    <w:div w:id="248853669">
      <w:bodyDiv w:val="1"/>
      <w:marLeft w:val="0"/>
      <w:marRight w:val="0"/>
      <w:marTop w:val="0"/>
      <w:marBottom w:val="0"/>
      <w:divBdr>
        <w:top w:val="none" w:sz="0" w:space="0" w:color="auto"/>
        <w:left w:val="none" w:sz="0" w:space="0" w:color="auto"/>
        <w:bottom w:val="none" w:sz="0" w:space="0" w:color="auto"/>
        <w:right w:val="none" w:sz="0" w:space="0" w:color="auto"/>
      </w:divBdr>
    </w:div>
    <w:div w:id="249242670">
      <w:bodyDiv w:val="1"/>
      <w:marLeft w:val="0"/>
      <w:marRight w:val="0"/>
      <w:marTop w:val="0"/>
      <w:marBottom w:val="0"/>
      <w:divBdr>
        <w:top w:val="none" w:sz="0" w:space="0" w:color="auto"/>
        <w:left w:val="none" w:sz="0" w:space="0" w:color="auto"/>
        <w:bottom w:val="none" w:sz="0" w:space="0" w:color="auto"/>
        <w:right w:val="none" w:sz="0" w:space="0" w:color="auto"/>
      </w:divBdr>
    </w:div>
    <w:div w:id="250504867">
      <w:bodyDiv w:val="1"/>
      <w:marLeft w:val="0"/>
      <w:marRight w:val="0"/>
      <w:marTop w:val="0"/>
      <w:marBottom w:val="0"/>
      <w:divBdr>
        <w:top w:val="none" w:sz="0" w:space="0" w:color="auto"/>
        <w:left w:val="none" w:sz="0" w:space="0" w:color="auto"/>
        <w:bottom w:val="none" w:sz="0" w:space="0" w:color="auto"/>
        <w:right w:val="none" w:sz="0" w:space="0" w:color="auto"/>
      </w:divBdr>
    </w:div>
    <w:div w:id="256328547">
      <w:bodyDiv w:val="1"/>
      <w:marLeft w:val="0"/>
      <w:marRight w:val="0"/>
      <w:marTop w:val="0"/>
      <w:marBottom w:val="0"/>
      <w:divBdr>
        <w:top w:val="none" w:sz="0" w:space="0" w:color="auto"/>
        <w:left w:val="none" w:sz="0" w:space="0" w:color="auto"/>
        <w:bottom w:val="none" w:sz="0" w:space="0" w:color="auto"/>
        <w:right w:val="none" w:sz="0" w:space="0" w:color="auto"/>
      </w:divBdr>
    </w:div>
    <w:div w:id="256400924">
      <w:bodyDiv w:val="1"/>
      <w:marLeft w:val="0"/>
      <w:marRight w:val="0"/>
      <w:marTop w:val="0"/>
      <w:marBottom w:val="0"/>
      <w:divBdr>
        <w:top w:val="none" w:sz="0" w:space="0" w:color="auto"/>
        <w:left w:val="none" w:sz="0" w:space="0" w:color="auto"/>
        <w:bottom w:val="none" w:sz="0" w:space="0" w:color="auto"/>
        <w:right w:val="none" w:sz="0" w:space="0" w:color="auto"/>
      </w:divBdr>
    </w:div>
    <w:div w:id="258373143">
      <w:bodyDiv w:val="1"/>
      <w:marLeft w:val="0"/>
      <w:marRight w:val="0"/>
      <w:marTop w:val="0"/>
      <w:marBottom w:val="0"/>
      <w:divBdr>
        <w:top w:val="none" w:sz="0" w:space="0" w:color="auto"/>
        <w:left w:val="none" w:sz="0" w:space="0" w:color="auto"/>
        <w:bottom w:val="none" w:sz="0" w:space="0" w:color="auto"/>
        <w:right w:val="none" w:sz="0" w:space="0" w:color="auto"/>
      </w:divBdr>
    </w:div>
    <w:div w:id="260649560">
      <w:bodyDiv w:val="1"/>
      <w:marLeft w:val="0"/>
      <w:marRight w:val="0"/>
      <w:marTop w:val="0"/>
      <w:marBottom w:val="0"/>
      <w:divBdr>
        <w:top w:val="none" w:sz="0" w:space="0" w:color="auto"/>
        <w:left w:val="none" w:sz="0" w:space="0" w:color="auto"/>
        <w:bottom w:val="none" w:sz="0" w:space="0" w:color="auto"/>
        <w:right w:val="none" w:sz="0" w:space="0" w:color="auto"/>
      </w:divBdr>
    </w:div>
    <w:div w:id="267003668">
      <w:bodyDiv w:val="1"/>
      <w:marLeft w:val="0"/>
      <w:marRight w:val="0"/>
      <w:marTop w:val="0"/>
      <w:marBottom w:val="0"/>
      <w:divBdr>
        <w:top w:val="none" w:sz="0" w:space="0" w:color="auto"/>
        <w:left w:val="none" w:sz="0" w:space="0" w:color="auto"/>
        <w:bottom w:val="none" w:sz="0" w:space="0" w:color="auto"/>
        <w:right w:val="none" w:sz="0" w:space="0" w:color="auto"/>
      </w:divBdr>
    </w:div>
    <w:div w:id="272633961">
      <w:bodyDiv w:val="1"/>
      <w:marLeft w:val="0"/>
      <w:marRight w:val="0"/>
      <w:marTop w:val="0"/>
      <w:marBottom w:val="0"/>
      <w:divBdr>
        <w:top w:val="none" w:sz="0" w:space="0" w:color="auto"/>
        <w:left w:val="none" w:sz="0" w:space="0" w:color="auto"/>
        <w:bottom w:val="none" w:sz="0" w:space="0" w:color="auto"/>
        <w:right w:val="none" w:sz="0" w:space="0" w:color="auto"/>
      </w:divBdr>
    </w:div>
    <w:div w:id="278294194">
      <w:bodyDiv w:val="1"/>
      <w:marLeft w:val="0"/>
      <w:marRight w:val="0"/>
      <w:marTop w:val="0"/>
      <w:marBottom w:val="0"/>
      <w:divBdr>
        <w:top w:val="none" w:sz="0" w:space="0" w:color="auto"/>
        <w:left w:val="none" w:sz="0" w:space="0" w:color="auto"/>
        <w:bottom w:val="none" w:sz="0" w:space="0" w:color="auto"/>
        <w:right w:val="none" w:sz="0" w:space="0" w:color="auto"/>
      </w:divBdr>
    </w:div>
    <w:div w:id="278534154">
      <w:bodyDiv w:val="1"/>
      <w:marLeft w:val="0"/>
      <w:marRight w:val="0"/>
      <w:marTop w:val="0"/>
      <w:marBottom w:val="0"/>
      <w:divBdr>
        <w:top w:val="none" w:sz="0" w:space="0" w:color="auto"/>
        <w:left w:val="none" w:sz="0" w:space="0" w:color="auto"/>
        <w:bottom w:val="none" w:sz="0" w:space="0" w:color="auto"/>
        <w:right w:val="none" w:sz="0" w:space="0" w:color="auto"/>
      </w:divBdr>
    </w:div>
    <w:div w:id="282657013">
      <w:bodyDiv w:val="1"/>
      <w:marLeft w:val="0"/>
      <w:marRight w:val="0"/>
      <w:marTop w:val="0"/>
      <w:marBottom w:val="0"/>
      <w:divBdr>
        <w:top w:val="none" w:sz="0" w:space="0" w:color="auto"/>
        <w:left w:val="none" w:sz="0" w:space="0" w:color="auto"/>
        <w:bottom w:val="none" w:sz="0" w:space="0" w:color="auto"/>
        <w:right w:val="none" w:sz="0" w:space="0" w:color="auto"/>
      </w:divBdr>
    </w:div>
    <w:div w:id="294720192">
      <w:bodyDiv w:val="1"/>
      <w:marLeft w:val="0"/>
      <w:marRight w:val="0"/>
      <w:marTop w:val="0"/>
      <w:marBottom w:val="0"/>
      <w:divBdr>
        <w:top w:val="none" w:sz="0" w:space="0" w:color="auto"/>
        <w:left w:val="none" w:sz="0" w:space="0" w:color="auto"/>
        <w:bottom w:val="none" w:sz="0" w:space="0" w:color="auto"/>
        <w:right w:val="none" w:sz="0" w:space="0" w:color="auto"/>
      </w:divBdr>
    </w:div>
    <w:div w:id="295137788">
      <w:bodyDiv w:val="1"/>
      <w:marLeft w:val="0"/>
      <w:marRight w:val="0"/>
      <w:marTop w:val="0"/>
      <w:marBottom w:val="0"/>
      <w:divBdr>
        <w:top w:val="none" w:sz="0" w:space="0" w:color="auto"/>
        <w:left w:val="none" w:sz="0" w:space="0" w:color="auto"/>
        <w:bottom w:val="none" w:sz="0" w:space="0" w:color="auto"/>
        <w:right w:val="none" w:sz="0" w:space="0" w:color="auto"/>
      </w:divBdr>
    </w:div>
    <w:div w:id="296106721">
      <w:bodyDiv w:val="1"/>
      <w:marLeft w:val="0"/>
      <w:marRight w:val="0"/>
      <w:marTop w:val="0"/>
      <w:marBottom w:val="0"/>
      <w:divBdr>
        <w:top w:val="none" w:sz="0" w:space="0" w:color="auto"/>
        <w:left w:val="none" w:sz="0" w:space="0" w:color="auto"/>
        <w:bottom w:val="none" w:sz="0" w:space="0" w:color="auto"/>
        <w:right w:val="none" w:sz="0" w:space="0" w:color="auto"/>
      </w:divBdr>
    </w:div>
    <w:div w:id="296492661">
      <w:bodyDiv w:val="1"/>
      <w:marLeft w:val="0"/>
      <w:marRight w:val="0"/>
      <w:marTop w:val="0"/>
      <w:marBottom w:val="0"/>
      <w:divBdr>
        <w:top w:val="none" w:sz="0" w:space="0" w:color="auto"/>
        <w:left w:val="none" w:sz="0" w:space="0" w:color="auto"/>
        <w:bottom w:val="none" w:sz="0" w:space="0" w:color="auto"/>
        <w:right w:val="none" w:sz="0" w:space="0" w:color="auto"/>
      </w:divBdr>
    </w:div>
    <w:div w:id="304436823">
      <w:bodyDiv w:val="1"/>
      <w:marLeft w:val="0"/>
      <w:marRight w:val="0"/>
      <w:marTop w:val="0"/>
      <w:marBottom w:val="0"/>
      <w:divBdr>
        <w:top w:val="none" w:sz="0" w:space="0" w:color="auto"/>
        <w:left w:val="none" w:sz="0" w:space="0" w:color="auto"/>
        <w:bottom w:val="none" w:sz="0" w:space="0" w:color="auto"/>
        <w:right w:val="none" w:sz="0" w:space="0" w:color="auto"/>
      </w:divBdr>
    </w:div>
    <w:div w:id="306974681">
      <w:bodyDiv w:val="1"/>
      <w:marLeft w:val="0"/>
      <w:marRight w:val="0"/>
      <w:marTop w:val="0"/>
      <w:marBottom w:val="0"/>
      <w:divBdr>
        <w:top w:val="none" w:sz="0" w:space="0" w:color="auto"/>
        <w:left w:val="none" w:sz="0" w:space="0" w:color="auto"/>
        <w:bottom w:val="none" w:sz="0" w:space="0" w:color="auto"/>
        <w:right w:val="none" w:sz="0" w:space="0" w:color="auto"/>
      </w:divBdr>
    </w:div>
    <w:div w:id="311254923">
      <w:bodyDiv w:val="1"/>
      <w:marLeft w:val="0"/>
      <w:marRight w:val="0"/>
      <w:marTop w:val="0"/>
      <w:marBottom w:val="0"/>
      <w:divBdr>
        <w:top w:val="none" w:sz="0" w:space="0" w:color="auto"/>
        <w:left w:val="none" w:sz="0" w:space="0" w:color="auto"/>
        <w:bottom w:val="none" w:sz="0" w:space="0" w:color="auto"/>
        <w:right w:val="none" w:sz="0" w:space="0" w:color="auto"/>
      </w:divBdr>
    </w:div>
    <w:div w:id="313801799">
      <w:bodyDiv w:val="1"/>
      <w:marLeft w:val="0"/>
      <w:marRight w:val="0"/>
      <w:marTop w:val="0"/>
      <w:marBottom w:val="0"/>
      <w:divBdr>
        <w:top w:val="none" w:sz="0" w:space="0" w:color="auto"/>
        <w:left w:val="none" w:sz="0" w:space="0" w:color="auto"/>
        <w:bottom w:val="none" w:sz="0" w:space="0" w:color="auto"/>
        <w:right w:val="none" w:sz="0" w:space="0" w:color="auto"/>
      </w:divBdr>
    </w:div>
    <w:div w:id="318458432">
      <w:bodyDiv w:val="1"/>
      <w:marLeft w:val="0"/>
      <w:marRight w:val="0"/>
      <w:marTop w:val="0"/>
      <w:marBottom w:val="0"/>
      <w:divBdr>
        <w:top w:val="none" w:sz="0" w:space="0" w:color="auto"/>
        <w:left w:val="none" w:sz="0" w:space="0" w:color="auto"/>
        <w:bottom w:val="none" w:sz="0" w:space="0" w:color="auto"/>
        <w:right w:val="none" w:sz="0" w:space="0" w:color="auto"/>
      </w:divBdr>
    </w:div>
    <w:div w:id="325401687">
      <w:bodyDiv w:val="1"/>
      <w:marLeft w:val="0"/>
      <w:marRight w:val="0"/>
      <w:marTop w:val="0"/>
      <w:marBottom w:val="0"/>
      <w:divBdr>
        <w:top w:val="none" w:sz="0" w:space="0" w:color="auto"/>
        <w:left w:val="none" w:sz="0" w:space="0" w:color="auto"/>
        <w:bottom w:val="none" w:sz="0" w:space="0" w:color="auto"/>
        <w:right w:val="none" w:sz="0" w:space="0" w:color="auto"/>
      </w:divBdr>
    </w:div>
    <w:div w:id="331031355">
      <w:bodyDiv w:val="1"/>
      <w:marLeft w:val="0"/>
      <w:marRight w:val="0"/>
      <w:marTop w:val="0"/>
      <w:marBottom w:val="0"/>
      <w:divBdr>
        <w:top w:val="none" w:sz="0" w:space="0" w:color="auto"/>
        <w:left w:val="none" w:sz="0" w:space="0" w:color="auto"/>
        <w:bottom w:val="none" w:sz="0" w:space="0" w:color="auto"/>
        <w:right w:val="none" w:sz="0" w:space="0" w:color="auto"/>
      </w:divBdr>
    </w:div>
    <w:div w:id="338392993">
      <w:bodyDiv w:val="1"/>
      <w:marLeft w:val="0"/>
      <w:marRight w:val="0"/>
      <w:marTop w:val="0"/>
      <w:marBottom w:val="0"/>
      <w:divBdr>
        <w:top w:val="none" w:sz="0" w:space="0" w:color="auto"/>
        <w:left w:val="none" w:sz="0" w:space="0" w:color="auto"/>
        <w:bottom w:val="none" w:sz="0" w:space="0" w:color="auto"/>
        <w:right w:val="none" w:sz="0" w:space="0" w:color="auto"/>
      </w:divBdr>
    </w:div>
    <w:div w:id="343410130">
      <w:bodyDiv w:val="1"/>
      <w:marLeft w:val="0"/>
      <w:marRight w:val="0"/>
      <w:marTop w:val="0"/>
      <w:marBottom w:val="0"/>
      <w:divBdr>
        <w:top w:val="none" w:sz="0" w:space="0" w:color="auto"/>
        <w:left w:val="none" w:sz="0" w:space="0" w:color="auto"/>
        <w:bottom w:val="none" w:sz="0" w:space="0" w:color="auto"/>
        <w:right w:val="none" w:sz="0" w:space="0" w:color="auto"/>
      </w:divBdr>
    </w:div>
    <w:div w:id="355160457">
      <w:bodyDiv w:val="1"/>
      <w:marLeft w:val="0"/>
      <w:marRight w:val="0"/>
      <w:marTop w:val="0"/>
      <w:marBottom w:val="0"/>
      <w:divBdr>
        <w:top w:val="none" w:sz="0" w:space="0" w:color="auto"/>
        <w:left w:val="none" w:sz="0" w:space="0" w:color="auto"/>
        <w:bottom w:val="none" w:sz="0" w:space="0" w:color="auto"/>
        <w:right w:val="none" w:sz="0" w:space="0" w:color="auto"/>
      </w:divBdr>
    </w:div>
    <w:div w:id="357706183">
      <w:bodyDiv w:val="1"/>
      <w:marLeft w:val="0"/>
      <w:marRight w:val="0"/>
      <w:marTop w:val="0"/>
      <w:marBottom w:val="0"/>
      <w:divBdr>
        <w:top w:val="none" w:sz="0" w:space="0" w:color="auto"/>
        <w:left w:val="none" w:sz="0" w:space="0" w:color="auto"/>
        <w:bottom w:val="none" w:sz="0" w:space="0" w:color="auto"/>
        <w:right w:val="none" w:sz="0" w:space="0" w:color="auto"/>
      </w:divBdr>
    </w:div>
    <w:div w:id="361201336">
      <w:bodyDiv w:val="1"/>
      <w:marLeft w:val="0"/>
      <w:marRight w:val="0"/>
      <w:marTop w:val="0"/>
      <w:marBottom w:val="0"/>
      <w:divBdr>
        <w:top w:val="none" w:sz="0" w:space="0" w:color="auto"/>
        <w:left w:val="none" w:sz="0" w:space="0" w:color="auto"/>
        <w:bottom w:val="none" w:sz="0" w:space="0" w:color="auto"/>
        <w:right w:val="none" w:sz="0" w:space="0" w:color="auto"/>
      </w:divBdr>
    </w:div>
    <w:div w:id="362096018">
      <w:bodyDiv w:val="1"/>
      <w:marLeft w:val="0"/>
      <w:marRight w:val="0"/>
      <w:marTop w:val="0"/>
      <w:marBottom w:val="0"/>
      <w:divBdr>
        <w:top w:val="none" w:sz="0" w:space="0" w:color="auto"/>
        <w:left w:val="none" w:sz="0" w:space="0" w:color="auto"/>
        <w:bottom w:val="none" w:sz="0" w:space="0" w:color="auto"/>
        <w:right w:val="none" w:sz="0" w:space="0" w:color="auto"/>
      </w:divBdr>
    </w:div>
    <w:div w:id="364331494">
      <w:bodyDiv w:val="1"/>
      <w:marLeft w:val="0"/>
      <w:marRight w:val="0"/>
      <w:marTop w:val="0"/>
      <w:marBottom w:val="0"/>
      <w:divBdr>
        <w:top w:val="none" w:sz="0" w:space="0" w:color="auto"/>
        <w:left w:val="none" w:sz="0" w:space="0" w:color="auto"/>
        <w:bottom w:val="none" w:sz="0" w:space="0" w:color="auto"/>
        <w:right w:val="none" w:sz="0" w:space="0" w:color="auto"/>
      </w:divBdr>
      <w:divsChild>
        <w:div w:id="1815171205">
          <w:marLeft w:val="0"/>
          <w:marRight w:val="0"/>
          <w:marTop w:val="0"/>
          <w:marBottom w:val="0"/>
          <w:divBdr>
            <w:top w:val="none" w:sz="0" w:space="0" w:color="auto"/>
            <w:left w:val="none" w:sz="0" w:space="0" w:color="auto"/>
            <w:bottom w:val="none" w:sz="0" w:space="0" w:color="auto"/>
            <w:right w:val="none" w:sz="0" w:space="0" w:color="auto"/>
          </w:divBdr>
        </w:div>
        <w:div w:id="465515941">
          <w:marLeft w:val="0"/>
          <w:marRight w:val="0"/>
          <w:marTop w:val="0"/>
          <w:marBottom w:val="0"/>
          <w:divBdr>
            <w:top w:val="none" w:sz="0" w:space="0" w:color="auto"/>
            <w:left w:val="none" w:sz="0" w:space="0" w:color="auto"/>
            <w:bottom w:val="none" w:sz="0" w:space="0" w:color="auto"/>
            <w:right w:val="none" w:sz="0" w:space="0" w:color="auto"/>
          </w:divBdr>
        </w:div>
      </w:divsChild>
    </w:div>
    <w:div w:id="365184787">
      <w:bodyDiv w:val="1"/>
      <w:marLeft w:val="0"/>
      <w:marRight w:val="0"/>
      <w:marTop w:val="0"/>
      <w:marBottom w:val="0"/>
      <w:divBdr>
        <w:top w:val="none" w:sz="0" w:space="0" w:color="auto"/>
        <w:left w:val="none" w:sz="0" w:space="0" w:color="auto"/>
        <w:bottom w:val="none" w:sz="0" w:space="0" w:color="auto"/>
        <w:right w:val="none" w:sz="0" w:space="0" w:color="auto"/>
      </w:divBdr>
    </w:div>
    <w:div w:id="366370560">
      <w:bodyDiv w:val="1"/>
      <w:marLeft w:val="0"/>
      <w:marRight w:val="0"/>
      <w:marTop w:val="0"/>
      <w:marBottom w:val="0"/>
      <w:divBdr>
        <w:top w:val="none" w:sz="0" w:space="0" w:color="auto"/>
        <w:left w:val="none" w:sz="0" w:space="0" w:color="auto"/>
        <w:bottom w:val="none" w:sz="0" w:space="0" w:color="auto"/>
        <w:right w:val="none" w:sz="0" w:space="0" w:color="auto"/>
      </w:divBdr>
    </w:div>
    <w:div w:id="371031559">
      <w:bodyDiv w:val="1"/>
      <w:marLeft w:val="0"/>
      <w:marRight w:val="0"/>
      <w:marTop w:val="0"/>
      <w:marBottom w:val="0"/>
      <w:divBdr>
        <w:top w:val="none" w:sz="0" w:space="0" w:color="auto"/>
        <w:left w:val="none" w:sz="0" w:space="0" w:color="auto"/>
        <w:bottom w:val="none" w:sz="0" w:space="0" w:color="auto"/>
        <w:right w:val="none" w:sz="0" w:space="0" w:color="auto"/>
      </w:divBdr>
    </w:div>
    <w:div w:id="380398319">
      <w:bodyDiv w:val="1"/>
      <w:marLeft w:val="0"/>
      <w:marRight w:val="0"/>
      <w:marTop w:val="0"/>
      <w:marBottom w:val="0"/>
      <w:divBdr>
        <w:top w:val="none" w:sz="0" w:space="0" w:color="auto"/>
        <w:left w:val="none" w:sz="0" w:space="0" w:color="auto"/>
        <w:bottom w:val="none" w:sz="0" w:space="0" w:color="auto"/>
        <w:right w:val="none" w:sz="0" w:space="0" w:color="auto"/>
      </w:divBdr>
    </w:div>
    <w:div w:id="387611474">
      <w:bodyDiv w:val="1"/>
      <w:marLeft w:val="0"/>
      <w:marRight w:val="0"/>
      <w:marTop w:val="0"/>
      <w:marBottom w:val="0"/>
      <w:divBdr>
        <w:top w:val="none" w:sz="0" w:space="0" w:color="auto"/>
        <w:left w:val="none" w:sz="0" w:space="0" w:color="auto"/>
        <w:bottom w:val="none" w:sz="0" w:space="0" w:color="auto"/>
        <w:right w:val="none" w:sz="0" w:space="0" w:color="auto"/>
      </w:divBdr>
    </w:div>
    <w:div w:id="390926913">
      <w:bodyDiv w:val="1"/>
      <w:marLeft w:val="0"/>
      <w:marRight w:val="0"/>
      <w:marTop w:val="0"/>
      <w:marBottom w:val="0"/>
      <w:divBdr>
        <w:top w:val="none" w:sz="0" w:space="0" w:color="auto"/>
        <w:left w:val="none" w:sz="0" w:space="0" w:color="auto"/>
        <w:bottom w:val="none" w:sz="0" w:space="0" w:color="auto"/>
        <w:right w:val="none" w:sz="0" w:space="0" w:color="auto"/>
      </w:divBdr>
    </w:div>
    <w:div w:id="399056460">
      <w:bodyDiv w:val="1"/>
      <w:marLeft w:val="0"/>
      <w:marRight w:val="0"/>
      <w:marTop w:val="0"/>
      <w:marBottom w:val="0"/>
      <w:divBdr>
        <w:top w:val="none" w:sz="0" w:space="0" w:color="auto"/>
        <w:left w:val="none" w:sz="0" w:space="0" w:color="auto"/>
        <w:bottom w:val="none" w:sz="0" w:space="0" w:color="auto"/>
        <w:right w:val="none" w:sz="0" w:space="0" w:color="auto"/>
      </w:divBdr>
    </w:div>
    <w:div w:id="403070731">
      <w:bodyDiv w:val="1"/>
      <w:marLeft w:val="0"/>
      <w:marRight w:val="0"/>
      <w:marTop w:val="0"/>
      <w:marBottom w:val="0"/>
      <w:divBdr>
        <w:top w:val="none" w:sz="0" w:space="0" w:color="auto"/>
        <w:left w:val="none" w:sz="0" w:space="0" w:color="auto"/>
        <w:bottom w:val="none" w:sz="0" w:space="0" w:color="auto"/>
        <w:right w:val="none" w:sz="0" w:space="0" w:color="auto"/>
      </w:divBdr>
    </w:div>
    <w:div w:id="404496224">
      <w:bodyDiv w:val="1"/>
      <w:marLeft w:val="0"/>
      <w:marRight w:val="0"/>
      <w:marTop w:val="0"/>
      <w:marBottom w:val="0"/>
      <w:divBdr>
        <w:top w:val="none" w:sz="0" w:space="0" w:color="auto"/>
        <w:left w:val="none" w:sz="0" w:space="0" w:color="auto"/>
        <w:bottom w:val="none" w:sz="0" w:space="0" w:color="auto"/>
        <w:right w:val="none" w:sz="0" w:space="0" w:color="auto"/>
      </w:divBdr>
    </w:div>
    <w:div w:id="409350305">
      <w:bodyDiv w:val="1"/>
      <w:marLeft w:val="0"/>
      <w:marRight w:val="0"/>
      <w:marTop w:val="0"/>
      <w:marBottom w:val="0"/>
      <w:divBdr>
        <w:top w:val="none" w:sz="0" w:space="0" w:color="auto"/>
        <w:left w:val="none" w:sz="0" w:space="0" w:color="auto"/>
        <w:bottom w:val="none" w:sz="0" w:space="0" w:color="auto"/>
        <w:right w:val="none" w:sz="0" w:space="0" w:color="auto"/>
      </w:divBdr>
    </w:div>
    <w:div w:id="413362384">
      <w:bodyDiv w:val="1"/>
      <w:marLeft w:val="0"/>
      <w:marRight w:val="0"/>
      <w:marTop w:val="0"/>
      <w:marBottom w:val="0"/>
      <w:divBdr>
        <w:top w:val="none" w:sz="0" w:space="0" w:color="auto"/>
        <w:left w:val="none" w:sz="0" w:space="0" w:color="auto"/>
        <w:bottom w:val="none" w:sz="0" w:space="0" w:color="auto"/>
        <w:right w:val="none" w:sz="0" w:space="0" w:color="auto"/>
      </w:divBdr>
    </w:div>
    <w:div w:id="415783062">
      <w:bodyDiv w:val="1"/>
      <w:marLeft w:val="0"/>
      <w:marRight w:val="0"/>
      <w:marTop w:val="0"/>
      <w:marBottom w:val="0"/>
      <w:divBdr>
        <w:top w:val="none" w:sz="0" w:space="0" w:color="auto"/>
        <w:left w:val="none" w:sz="0" w:space="0" w:color="auto"/>
        <w:bottom w:val="none" w:sz="0" w:space="0" w:color="auto"/>
        <w:right w:val="none" w:sz="0" w:space="0" w:color="auto"/>
      </w:divBdr>
    </w:div>
    <w:div w:id="416555560">
      <w:bodyDiv w:val="1"/>
      <w:marLeft w:val="0"/>
      <w:marRight w:val="0"/>
      <w:marTop w:val="0"/>
      <w:marBottom w:val="0"/>
      <w:divBdr>
        <w:top w:val="none" w:sz="0" w:space="0" w:color="auto"/>
        <w:left w:val="none" w:sz="0" w:space="0" w:color="auto"/>
        <w:bottom w:val="none" w:sz="0" w:space="0" w:color="auto"/>
        <w:right w:val="none" w:sz="0" w:space="0" w:color="auto"/>
      </w:divBdr>
    </w:div>
    <w:div w:id="434906742">
      <w:bodyDiv w:val="1"/>
      <w:marLeft w:val="0"/>
      <w:marRight w:val="0"/>
      <w:marTop w:val="0"/>
      <w:marBottom w:val="0"/>
      <w:divBdr>
        <w:top w:val="none" w:sz="0" w:space="0" w:color="auto"/>
        <w:left w:val="none" w:sz="0" w:space="0" w:color="auto"/>
        <w:bottom w:val="none" w:sz="0" w:space="0" w:color="auto"/>
        <w:right w:val="none" w:sz="0" w:space="0" w:color="auto"/>
      </w:divBdr>
    </w:div>
    <w:div w:id="440413541">
      <w:bodyDiv w:val="1"/>
      <w:marLeft w:val="0"/>
      <w:marRight w:val="0"/>
      <w:marTop w:val="0"/>
      <w:marBottom w:val="0"/>
      <w:divBdr>
        <w:top w:val="none" w:sz="0" w:space="0" w:color="auto"/>
        <w:left w:val="none" w:sz="0" w:space="0" w:color="auto"/>
        <w:bottom w:val="none" w:sz="0" w:space="0" w:color="auto"/>
        <w:right w:val="none" w:sz="0" w:space="0" w:color="auto"/>
      </w:divBdr>
    </w:div>
    <w:div w:id="440995032">
      <w:bodyDiv w:val="1"/>
      <w:marLeft w:val="0"/>
      <w:marRight w:val="0"/>
      <w:marTop w:val="0"/>
      <w:marBottom w:val="0"/>
      <w:divBdr>
        <w:top w:val="none" w:sz="0" w:space="0" w:color="auto"/>
        <w:left w:val="none" w:sz="0" w:space="0" w:color="auto"/>
        <w:bottom w:val="none" w:sz="0" w:space="0" w:color="auto"/>
        <w:right w:val="none" w:sz="0" w:space="0" w:color="auto"/>
      </w:divBdr>
    </w:div>
    <w:div w:id="448283433">
      <w:bodyDiv w:val="1"/>
      <w:marLeft w:val="0"/>
      <w:marRight w:val="0"/>
      <w:marTop w:val="0"/>
      <w:marBottom w:val="0"/>
      <w:divBdr>
        <w:top w:val="none" w:sz="0" w:space="0" w:color="auto"/>
        <w:left w:val="none" w:sz="0" w:space="0" w:color="auto"/>
        <w:bottom w:val="none" w:sz="0" w:space="0" w:color="auto"/>
        <w:right w:val="none" w:sz="0" w:space="0" w:color="auto"/>
      </w:divBdr>
    </w:div>
    <w:div w:id="450322547">
      <w:bodyDiv w:val="1"/>
      <w:marLeft w:val="0"/>
      <w:marRight w:val="0"/>
      <w:marTop w:val="0"/>
      <w:marBottom w:val="0"/>
      <w:divBdr>
        <w:top w:val="none" w:sz="0" w:space="0" w:color="auto"/>
        <w:left w:val="none" w:sz="0" w:space="0" w:color="auto"/>
        <w:bottom w:val="none" w:sz="0" w:space="0" w:color="auto"/>
        <w:right w:val="none" w:sz="0" w:space="0" w:color="auto"/>
      </w:divBdr>
    </w:div>
    <w:div w:id="452099890">
      <w:bodyDiv w:val="1"/>
      <w:marLeft w:val="0"/>
      <w:marRight w:val="0"/>
      <w:marTop w:val="0"/>
      <w:marBottom w:val="0"/>
      <w:divBdr>
        <w:top w:val="none" w:sz="0" w:space="0" w:color="auto"/>
        <w:left w:val="none" w:sz="0" w:space="0" w:color="auto"/>
        <w:bottom w:val="none" w:sz="0" w:space="0" w:color="auto"/>
        <w:right w:val="none" w:sz="0" w:space="0" w:color="auto"/>
      </w:divBdr>
    </w:div>
    <w:div w:id="453646181">
      <w:bodyDiv w:val="1"/>
      <w:marLeft w:val="0"/>
      <w:marRight w:val="0"/>
      <w:marTop w:val="0"/>
      <w:marBottom w:val="0"/>
      <w:divBdr>
        <w:top w:val="none" w:sz="0" w:space="0" w:color="auto"/>
        <w:left w:val="none" w:sz="0" w:space="0" w:color="auto"/>
        <w:bottom w:val="none" w:sz="0" w:space="0" w:color="auto"/>
        <w:right w:val="none" w:sz="0" w:space="0" w:color="auto"/>
      </w:divBdr>
    </w:div>
    <w:div w:id="461660045">
      <w:bodyDiv w:val="1"/>
      <w:marLeft w:val="0"/>
      <w:marRight w:val="0"/>
      <w:marTop w:val="0"/>
      <w:marBottom w:val="0"/>
      <w:divBdr>
        <w:top w:val="none" w:sz="0" w:space="0" w:color="auto"/>
        <w:left w:val="none" w:sz="0" w:space="0" w:color="auto"/>
        <w:bottom w:val="none" w:sz="0" w:space="0" w:color="auto"/>
        <w:right w:val="none" w:sz="0" w:space="0" w:color="auto"/>
      </w:divBdr>
    </w:div>
    <w:div w:id="462504817">
      <w:bodyDiv w:val="1"/>
      <w:marLeft w:val="0"/>
      <w:marRight w:val="0"/>
      <w:marTop w:val="0"/>
      <w:marBottom w:val="0"/>
      <w:divBdr>
        <w:top w:val="none" w:sz="0" w:space="0" w:color="auto"/>
        <w:left w:val="none" w:sz="0" w:space="0" w:color="auto"/>
        <w:bottom w:val="none" w:sz="0" w:space="0" w:color="auto"/>
        <w:right w:val="none" w:sz="0" w:space="0" w:color="auto"/>
      </w:divBdr>
    </w:div>
    <w:div w:id="463038950">
      <w:bodyDiv w:val="1"/>
      <w:marLeft w:val="0"/>
      <w:marRight w:val="0"/>
      <w:marTop w:val="0"/>
      <w:marBottom w:val="0"/>
      <w:divBdr>
        <w:top w:val="none" w:sz="0" w:space="0" w:color="auto"/>
        <w:left w:val="none" w:sz="0" w:space="0" w:color="auto"/>
        <w:bottom w:val="none" w:sz="0" w:space="0" w:color="auto"/>
        <w:right w:val="none" w:sz="0" w:space="0" w:color="auto"/>
      </w:divBdr>
    </w:div>
    <w:div w:id="465467989">
      <w:bodyDiv w:val="1"/>
      <w:marLeft w:val="0"/>
      <w:marRight w:val="0"/>
      <w:marTop w:val="0"/>
      <w:marBottom w:val="0"/>
      <w:divBdr>
        <w:top w:val="none" w:sz="0" w:space="0" w:color="auto"/>
        <w:left w:val="none" w:sz="0" w:space="0" w:color="auto"/>
        <w:bottom w:val="none" w:sz="0" w:space="0" w:color="auto"/>
        <w:right w:val="none" w:sz="0" w:space="0" w:color="auto"/>
      </w:divBdr>
    </w:div>
    <w:div w:id="468593361">
      <w:bodyDiv w:val="1"/>
      <w:marLeft w:val="0"/>
      <w:marRight w:val="0"/>
      <w:marTop w:val="0"/>
      <w:marBottom w:val="0"/>
      <w:divBdr>
        <w:top w:val="none" w:sz="0" w:space="0" w:color="auto"/>
        <w:left w:val="none" w:sz="0" w:space="0" w:color="auto"/>
        <w:bottom w:val="none" w:sz="0" w:space="0" w:color="auto"/>
        <w:right w:val="none" w:sz="0" w:space="0" w:color="auto"/>
      </w:divBdr>
    </w:div>
    <w:div w:id="469713817">
      <w:bodyDiv w:val="1"/>
      <w:marLeft w:val="0"/>
      <w:marRight w:val="0"/>
      <w:marTop w:val="0"/>
      <w:marBottom w:val="0"/>
      <w:divBdr>
        <w:top w:val="none" w:sz="0" w:space="0" w:color="auto"/>
        <w:left w:val="none" w:sz="0" w:space="0" w:color="auto"/>
        <w:bottom w:val="none" w:sz="0" w:space="0" w:color="auto"/>
        <w:right w:val="none" w:sz="0" w:space="0" w:color="auto"/>
      </w:divBdr>
    </w:div>
    <w:div w:id="472407931">
      <w:bodyDiv w:val="1"/>
      <w:marLeft w:val="0"/>
      <w:marRight w:val="0"/>
      <w:marTop w:val="0"/>
      <w:marBottom w:val="0"/>
      <w:divBdr>
        <w:top w:val="none" w:sz="0" w:space="0" w:color="auto"/>
        <w:left w:val="none" w:sz="0" w:space="0" w:color="auto"/>
        <w:bottom w:val="none" w:sz="0" w:space="0" w:color="auto"/>
        <w:right w:val="none" w:sz="0" w:space="0" w:color="auto"/>
      </w:divBdr>
    </w:div>
    <w:div w:id="475492424">
      <w:bodyDiv w:val="1"/>
      <w:marLeft w:val="0"/>
      <w:marRight w:val="0"/>
      <w:marTop w:val="0"/>
      <w:marBottom w:val="0"/>
      <w:divBdr>
        <w:top w:val="none" w:sz="0" w:space="0" w:color="auto"/>
        <w:left w:val="none" w:sz="0" w:space="0" w:color="auto"/>
        <w:bottom w:val="none" w:sz="0" w:space="0" w:color="auto"/>
        <w:right w:val="none" w:sz="0" w:space="0" w:color="auto"/>
      </w:divBdr>
    </w:div>
    <w:div w:id="484394462">
      <w:bodyDiv w:val="1"/>
      <w:marLeft w:val="0"/>
      <w:marRight w:val="0"/>
      <w:marTop w:val="0"/>
      <w:marBottom w:val="0"/>
      <w:divBdr>
        <w:top w:val="none" w:sz="0" w:space="0" w:color="auto"/>
        <w:left w:val="none" w:sz="0" w:space="0" w:color="auto"/>
        <w:bottom w:val="none" w:sz="0" w:space="0" w:color="auto"/>
        <w:right w:val="none" w:sz="0" w:space="0" w:color="auto"/>
      </w:divBdr>
    </w:div>
    <w:div w:id="487094099">
      <w:bodyDiv w:val="1"/>
      <w:marLeft w:val="0"/>
      <w:marRight w:val="0"/>
      <w:marTop w:val="0"/>
      <w:marBottom w:val="0"/>
      <w:divBdr>
        <w:top w:val="none" w:sz="0" w:space="0" w:color="auto"/>
        <w:left w:val="none" w:sz="0" w:space="0" w:color="auto"/>
        <w:bottom w:val="none" w:sz="0" w:space="0" w:color="auto"/>
        <w:right w:val="none" w:sz="0" w:space="0" w:color="auto"/>
      </w:divBdr>
    </w:div>
    <w:div w:id="487402573">
      <w:bodyDiv w:val="1"/>
      <w:marLeft w:val="0"/>
      <w:marRight w:val="0"/>
      <w:marTop w:val="0"/>
      <w:marBottom w:val="0"/>
      <w:divBdr>
        <w:top w:val="none" w:sz="0" w:space="0" w:color="auto"/>
        <w:left w:val="none" w:sz="0" w:space="0" w:color="auto"/>
        <w:bottom w:val="none" w:sz="0" w:space="0" w:color="auto"/>
        <w:right w:val="none" w:sz="0" w:space="0" w:color="auto"/>
      </w:divBdr>
      <w:divsChild>
        <w:div w:id="650063282">
          <w:marLeft w:val="0"/>
          <w:marRight w:val="0"/>
          <w:marTop w:val="0"/>
          <w:marBottom w:val="0"/>
          <w:divBdr>
            <w:top w:val="none" w:sz="0" w:space="0" w:color="auto"/>
            <w:left w:val="none" w:sz="0" w:space="0" w:color="auto"/>
            <w:bottom w:val="none" w:sz="0" w:space="0" w:color="auto"/>
            <w:right w:val="none" w:sz="0" w:space="0" w:color="auto"/>
          </w:divBdr>
        </w:div>
        <w:div w:id="287056233">
          <w:marLeft w:val="0"/>
          <w:marRight w:val="0"/>
          <w:marTop w:val="0"/>
          <w:marBottom w:val="0"/>
          <w:divBdr>
            <w:top w:val="none" w:sz="0" w:space="0" w:color="auto"/>
            <w:left w:val="none" w:sz="0" w:space="0" w:color="auto"/>
            <w:bottom w:val="none" w:sz="0" w:space="0" w:color="auto"/>
            <w:right w:val="none" w:sz="0" w:space="0" w:color="auto"/>
          </w:divBdr>
        </w:div>
        <w:div w:id="1461459447">
          <w:marLeft w:val="0"/>
          <w:marRight w:val="0"/>
          <w:marTop w:val="0"/>
          <w:marBottom w:val="0"/>
          <w:divBdr>
            <w:top w:val="none" w:sz="0" w:space="0" w:color="auto"/>
            <w:left w:val="none" w:sz="0" w:space="0" w:color="auto"/>
            <w:bottom w:val="none" w:sz="0" w:space="0" w:color="auto"/>
            <w:right w:val="none" w:sz="0" w:space="0" w:color="auto"/>
          </w:divBdr>
        </w:div>
      </w:divsChild>
    </w:div>
    <w:div w:id="491529891">
      <w:bodyDiv w:val="1"/>
      <w:marLeft w:val="0"/>
      <w:marRight w:val="0"/>
      <w:marTop w:val="0"/>
      <w:marBottom w:val="0"/>
      <w:divBdr>
        <w:top w:val="none" w:sz="0" w:space="0" w:color="auto"/>
        <w:left w:val="none" w:sz="0" w:space="0" w:color="auto"/>
        <w:bottom w:val="none" w:sz="0" w:space="0" w:color="auto"/>
        <w:right w:val="none" w:sz="0" w:space="0" w:color="auto"/>
      </w:divBdr>
    </w:div>
    <w:div w:id="498274177">
      <w:bodyDiv w:val="1"/>
      <w:marLeft w:val="0"/>
      <w:marRight w:val="0"/>
      <w:marTop w:val="0"/>
      <w:marBottom w:val="0"/>
      <w:divBdr>
        <w:top w:val="none" w:sz="0" w:space="0" w:color="auto"/>
        <w:left w:val="none" w:sz="0" w:space="0" w:color="auto"/>
        <w:bottom w:val="none" w:sz="0" w:space="0" w:color="auto"/>
        <w:right w:val="none" w:sz="0" w:space="0" w:color="auto"/>
      </w:divBdr>
    </w:div>
    <w:div w:id="501699448">
      <w:bodyDiv w:val="1"/>
      <w:marLeft w:val="0"/>
      <w:marRight w:val="0"/>
      <w:marTop w:val="0"/>
      <w:marBottom w:val="0"/>
      <w:divBdr>
        <w:top w:val="none" w:sz="0" w:space="0" w:color="auto"/>
        <w:left w:val="none" w:sz="0" w:space="0" w:color="auto"/>
        <w:bottom w:val="none" w:sz="0" w:space="0" w:color="auto"/>
        <w:right w:val="none" w:sz="0" w:space="0" w:color="auto"/>
      </w:divBdr>
    </w:div>
    <w:div w:id="505022132">
      <w:bodyDiv w:val="1"/>
      <w:marLeft w:val="0"/>
      <w:marRight w:val="0"/>
      <w:marTop w:val="0"/>
      <w:marBottom w:val="0"/>
      <w:divBdr>
        <w:top w:val="none" w:sz="0" w:space="0" w:color="auto"/>
        <w:left w:val="none" w:sz="0" w:space="0" w:color="auto"/>
        <w:bottom w:val="none" w:sz="0" w:space="0" w:color="auto"/>
        <w:right w:val="none" w:sz="0" w:space="0" w:color="auto"/>
      </w:divBdr>
    </w:div>
    <w:div w:id="524826580">
      <w:bodyDiv w:val="1"/>
      <w:marLeft w:val="0"/>
      <w:marRight w:val="0"/>
      <w:marTop w:val="0"/>
      <w:marBottom w:val="0"/>
      <w:divBdr>
        <w:top w:val="none" w:sz="0" w:space="0" w:color="auto"/>
        <w:left w:val="none" w:sz="0" w:space="0" w:color="auto"/>
        <w:bottom w:val="none" w:sz="0" w:space="0" w:color="auto"/>
        <w:right w:val="none" w:sz="0" w:space="0" w:color="auto"/>
      </w:divBdr>
    </w:div>
    <w:div w:id="530537982">
      <w:bodyDiv w:val="1"/>
      <w:marLeft w:val="0"/>
      <w:marRight w:val="0"/>
      <w:marTop w:val="0"/>
      <w:marBottom w:val="0"/>
      <w:divBdr>
        <w:top w:val="none" w:sz="0" w:space="0" w:color="auto"/>
        <w:left w:val="none" w:sz="0" w:space="0" w:color="auto"/>
        <w:bottom w:val="none" w:sz="0" w:space="0" w:color="auto"/>
        <w:right w:val="none" w:sz="0" w:space="0" w:color="auto"/>
      </w:divBdr>
    </w:div>
    <w:div w:id="535315806">
      <w:bodyDiv w:val="1"/>
      <w:marLeft w:val="0"/>
      <w:marRight w:val="0"/>
      <w:marTop w:val="0"/>
      <w:marBottom w:val="0"/>
      <w:divBdr>
        <w:top w:val="none" w:sz="0" w:space="0" w:color="auto"/>
        <w:left w:val="none" w:sz="0" w:space="0" w:color="auto"/>
        <w:bottom w:val="none" w:sz="0" w:space="0" w:color="auto"/>
        <w:right w:val="none" w:sz="0" w:space="0" w:color="auto"/>
      </w:divBdr>
    </w:div>
    <w:div w:id="539320556">
      <w:bodyDiv w:val="1"/>
      <w:marLeft w:val="0"/>
      <w:marRight w:val="0"/>
      <w:marTop w:val="0"/>
      <w:marBottom w:val="0"/>
      <w:divBdr>
        <w:top w:val="none" w:sz="0" w:space="0" w:color="auto"/>
        <w:left w:val="none" w:sz="0" w:space="0" w:color="auto"/>
        <w:bottom w:val="none" w:sz="0" w:space="0" w:color="auto"/>
        <w:right w:val="none" w:sz="0" w:space="0" w:color="auto"/>
      </w:divBdr>
    </w:div>
    <w:div w:id="545529136">
      <w:bodyDiv w:val="1"/>
      <w:marLeft w:val="0"/>
      <w:marRight w:val="0"/>
      <w:marTop w:val="0"/>
      <w:marBottom w:val="0"/>
      <w:divBdr>
        <w:top w:val="none" w:sz="0" w:space="0" w:color="auto"/>
        <w:left w:val="none" w:sz="0" w:space="0" w:color="auto"/>
        <w:bottom w:val="none" w:sz="0" w:space="0" w:color="auto"/>
        <w:right w:val="none" w:sz="0" w:space="0" w:color="auto"/>
      </w:divBdr>
    </w:div>
    <w:div w:id="549607719">
      <w:bodyDiv w:val="1"/>
      <w:marLeft w:val="0"/>
      <w:marRight w:val="0"/>
      <w:marTop w:val="0"/>
      <w:marBottom w:val="0"/>
      <w:divBdr>
        <w:top w:val="none" w:sz="0" w:space="0" w:color="auto"/>
        <w:left w:val="none" w:sz="0" w:space="0" w:color="auto"/>
        <w:bottom w:val="none" w:sz="0" w:space="0" w:color="auto"/>
        <w:right w:val="none" w:sz="0" w:space="0" w:color="auto"/>
      </w:divBdr>
    </w:div>
    <w:div w:id="557012660">
      <w:bodyDiv w:val="1"/>
      <w:marLeft w:val="0"/>
      <w:marRight w:val="0"/>
      <w:marTop w:val="0"/>
      <w:marBottom w:val="0"/>
      <w:divBdr>
        <w:top w:val="none" w:sz="0" w:space="0" w:color="auto"/>
        <w:left w:val="none" w:sz="0" w:space="0" w:color="auto"/>
        <w:bottom w:val="none" w:sz="0" w:space="0" w:color="auto"/>
        <w:right w:val="none" w:sz="0" w:space="0" w:color="auto"/>
      </w:divBdr>
    </w:div>
    <w:div w:id="558371331">
      <w:bodyDiv w:val="1"/>
      <w:marLeft w:val="0"/>
      <w:marRight w:val="0"/>
      <w:marTop w:val="0"/>
      <w:marBottom w:val="0"/>
      <w:divBdr>
        <w:top w:val="none" w:sz="0" w:space="0" w:color="auto"/>
        <w:left w:val="none" w:sz="0" w:space="0" w:color="auto"/>
        <w:bottom w:val="none" w:sz="0" w:space="0" w:color="auto"/>
        <w:right w:val="none" w:sz="0" w:space="0" w:color="auto"/>
      </w:divBdr>
    </w:div>
    <w:div w:id="561674042">
      <w:bodyDiv w:val="1"/>
      <w:marLeft w:val="0"/>
      <w:marRight w:val="0"/>
      <w:marTop w:val="0"/>
      <w:marBottom w:val="0"/>
      <w:divBdr>
        <w:top w:val="none" w:sz="0" w:space="0" w:color="auto"/>
        <w:left w:val="none" w:sz="0" w:space="0" w:color="auto"/>
        <w:bottom w:val="none" w:sz="0" w:space="0" w:color="auto"/>
        <w:right w:val="none" w:sz="0" w:space="0" w:color="auto"/>
      </w:divBdr>
    </w:div>
    <w:div w:id="561715103">
      <w:bodyDiv w:val="1"/>
      <w:marLeft w:val="0"/>
      <w:marRight w:val="0"/>
      <w:marTop w:val="0"/>
      <w:marBottom w:val="0"/>
      <w:divBdr>
        <w:top w:val="none" w:sz="0" w:space="0" w:color="auto"/>
        <w:left w:val="none" w:sz="0" w:space="0" w:color="auto"/>
        <w:bottom w:val="none" w:sz="0" w:space="0" w:color="auto"/>
        <w:right w:val="none" w:sz="0" w:space="0" w:color="auto"/>
      </w:divBdr>
    </w:div>
    <w:div w:id="564878599">
      <w:bodyDiv w:val="1"/>
      <w:marLeft w:val="0"/>
      <w:marRight w:val="0"/>
      <w:marTop w:val="0"/>
      <w:marBottom w:val="0"/>
      <w:divBdr>
        <w:top w:val="none" w:sz="0" w:space="0" w:color="auto"/>
        <w:left w:val="none" w:sz="0" w:space="0" w:color="auto"/>
        <w:bottom w:val="none" w:sz="0" w:space="0" w:color="auto"/>
        <w:right w:val="none" w:sz="0" w:space="0" w:color="auto"/>
      </w:divBdr>
    </w:div>
    <w:div w:id="569119752">
      <w:bodyDiv w:val="1"/>
      <w:marLeft w:val="0"/>
      <w:marRight w:val="0"/>
      <w:marTop w:val="0"/>
      <w:marBottom w:val="0"/>
      <w:divBdr>
        <w:top w:val="none" w:sz="0" w:space="0" w:color="auto"/>
        <w:left w:val="none" w:sz="0" w:space="0" w:color="auto"/>
        <w:bottom w:val="none" w:sz="0" w:space="0" w:color="auto"/>
        <w:right w:val="none" w:sz="0" w:space="0" w:color="auto"/>
      </w:divBdr>
    </w:div>
    <w:div w:id="572198307">
      <w:bodyDiv w:val="1"/>
      <w:marLeft w:val="0"/>
      <w:marRight w:val="0"/>
      <w:marTop w:val="0"/>
      <w:marBottom w:val="0"/>
      <w:divBdr>
        <w:top w:val="none" w:sz="0" w:space="0" w:color="auto"/>
        <w:left w:val="none" w:sz="0" w:space="0" w:color="auto"/>
        <w:bottom w:val="none" w:sz="0" w:space="0" w:color="auto"/>
        <w:right w:val="none" w:sz="0" w:space="0" w:color="auto"/>
      </w:divBdr>
    </w:div>
    <w:div w:id="572473160">
      <w:bodyDiv w:val="1"/>
      <w:marLeft w:val="0"/>
      <w:marRight w:val="0"/>
      <w:marTop w:val="0"/>
      <w:marBottom w:val="0"/>
      <w:divBdr>
        <w:top w:val="none" w:sz="0" w:space="0" w:color="auto"/>
        <w:left w:val="none" w:sz="0" w:space="0" w:color="auto"/>
        <w:bottom w:val="none" w:sz="0" w:space="0" w:color="auto"/>
        <w:right w:val="none" w:sz="0" w:space="0" w:color="auto"/>
      </w:divBdr>
    </w:div>
    <w:div w:id="574360074">
      <w:bodyDiv w:val="1"/>
      <w:marLeft w:val="0"/>
      <w:marRight w:val="0"/>
      <w:marTop w:val="0"/>
      <w:marBottom w:val="0"/>
      <w:divBdr>
        <w:top w:val="none" w:sz="0" w:space="0" w:color="auto"/>
        <w:left w:val="none" w:sz="0" w:space="0" w:color="auto"/>
        <w:bottom w:val="none" w:sz="0" w:space="0" w:color="auto"/>
        <w:right w:val="none" w:sz="0" w:space="0" w:color="auto"/>
      </w:divBdr>
    </w:div>
    <w:div w:id="592711726">
      <w:bodyDiv w:val="1"/>
      <w:marLeft w:val="0"/>
      <w:marRight w:val="0"/>
      <w:marTop w:val="0"/>
      <w:marBottom w:val="0"/>
      <w:divBdr>
        <w:top w:val="none" w:sz="0" w:space="0" w:color="auto"/>
        <w:left w:val="none" w:sz="0" w:space="0" w:color="auto"/>
        <w:bottom w:val="none" w:sz="0" w:space="0" w:color="auto"/>
        <w:right w:val="none" w:sz="0" w:space="0" w:color="auto"/>
      </w:divBdr>
    </w:div>
    <w:div w:id="600837639">
      <w:bodyDiv w:val="1"/>
      <w:marLeft w:val="0"/>
      <w:marRight w:val="0"/>
      <w:marTop w:val="0"/>
      <w:marBottom w:val="0"/>
      <w:divBdr>
        <w:top w:val="none" w:sz="0" w:space="0" w:color="auto"/>
        <w:left w:val="none" w:sz="0" w:space="0" w:color="auto"/>
        <w:bottom w:val="none" w:sz="0" w:space="0" w:color="auto"/>
        <w:right w:val="none" w:sz="0" w:space="0" w:color="auto"/>
      </w:divBdr>
    </w:div>
    <w:div w:id="625507360">
      <w:bodyDiv w:val="1"/>
      <w:marLeft w:val="0"/>
      <w:marRight w:val="0"/>
      <w:marTop w:val="0"/>
      <w:marBottom w:val="0"/>
      <w:divBdr>
        <w:top w:val="none" w:sz="0" w:space="0" w:color="auto"/>
        <w:left w:val="none" w:sz="0" w:space="0" w:color="auto"/>
        <w:bottom w:val="none" w:sz="0" w:space="0" w:color="auto"/>
        <w:right w:val="none" w:sz="0" w:space="0" w:color="auto"/>
      </w:divBdr>
    </w:div>
    <w:div w:id="627665738">
      <w:bodyDiv w:val="1"/>
      <w:marLeft w:val="0"/>
      <w:marRight w:val="0"/>
      <w:marTop w:val="0"/>
      <w:marBottom w:val="0"/>
      <w:divBdr>
        <w:top w:val="none" w:sz="0" w:space="0" w:color="auto"/>
        <w:left w:val="none" w:sz="0" w:space="0" w:color="auto"/>
        <w:bottom w:val="none" w:sz="0" w:space="0" w:color="auto"/>
        <w:right w:val="none" w:sz="0" w:space="0" w:color="auto"/>
      </w:divBdr>
    </w:div>
    <w:div w:id="627709401">
      <w:bodyDiv w:val="1"/>
      <w:marLeft w:val="0"/>
      <w:marRight w:val="0"/>
      <w:marTop w:val="0"/>
      <w:marBottom w:val="0"/>
      <w:divBdr>
        <w:top w:val="none" w:sz="0" w:space="0" w:color="auto"/>
        <w:left w:val="none" w:sz="0" w:space="0" w:color="auto"/>
        <w:bottom w:val="none" w:sz="0" w:space="0" w:color="auto"/>
        <w:right w:val="none" w:sz="0" w:space="0" w:color="auto"/>
      </w:divBdr>
    </w:div>
    <w:div w:id="630479981">
      <w:bodyDiv w:val="1"/>
      <w:marLeft w:val="0"/>
      <w:marRight w:val="0"/>
      <w:marTop w:val="0"/>
      <w:marBottom w:val="0"/>
      <w:divBdr>
        <w:top w:val="none" w:sz="0" w:space="0" w:color="auto"/>
        <w:left w:val="none" w:sz="0" w:space="0" w:color="auto"/>
        <w:bottom w:val="none" w:sz="0" w:space="0" w:color="auto"/>
        <w:right w:val="none" w:sz="0" w:space="0" w:color="auto"/>
      </w:divBdr>
    </w:div>
    <w:div w:id="631138764">
      <w:bodyDiv w:val="1"/>
      <w:marLeft w:val="0"/>
      <w:marRight w:val="0"/>
      <w:marTop w:val="0"/>
      <w:marBottom w:val="0"/>
      <w:divBdr>
        <w:top w:val="none" w:sz="0" w:space="0" w:color="auto"/>
        <w:left w:val="none" w:sz="0" w:space="0" w:color="auto"/>
        <w:bottom w:val="none" w:sz="0" w:space="0" w:color="auto"/>
        <w:right w:val="none" w:sz="0" w:space="0" w:color="auto"/>
      </w:divBdr>
    </w:div>
    <w:div w:id="633289330">
      <w:bodyDiv w:val="1"/>
      <w:marLeft w:val="0"/>
      <w:marRight w:val="0"/>
      <w:marTop w:val="0"/>
      <w:marBottom w:val="0"/>
      <w:divBdr>
        <w:top w:val="none" w:sz="0" w:space="0" w:color="auto"/>
        <w:left w:val="none" w:sz="0" w:space="0" w:color="auto"/>
        <w:bottom w:val="none" w:sz="0" w:space="0" w:color="auto"/>
        <w:right w:val="none" w:sz="0" w:space="0" w:color="auto"/>
      </w:divBdr>
    </w:div>
    <w:div w:id="640040477">
      <w:bodyDiv w:val="1"/>
      <w:marLeft w:val="0"/>
      <w:marRight w:val="0"/>
      <w:marTop w:val="0"/>
      <w:marBottom w:val="0"/>
      <w:divBdr>
        <w:top w:val="none" w:sz="0" w:space="0" w:color="auto"/>
        <w:left w:val="none" w:sz="0" w:space="0" w:color="auto"/>
        <w:bottom w:val="none" w:sz="0" w:space="0" w:color="auto"/>
        <w:right w:val="none" w:sz="0" w:space="0" w:color="auto"/>
      </w:divBdr>
    </w:div>
    <w:div w:id="643391887">
      <w:bodyDiv w:val="1"/>
      <w:marLeft w:val="0"/>
      <w:marRight w:val="0"/>
      <w:marTop w:val="0"/>
      <w:marBottom w:val="0"/>
      <w:divBdr>
        <w:top w:val="none" w:sz="0" w:space="0" w:color="auto"/>
        <w:left w:val="none" w:sz="0" w:space="0" w:color="auto"/>
        <w:bottom w:val="none" w:sz="0" w:space="0" w:color="auto"/>
        <w:right w:val="none" w:sz="0" w:space="0" w:color="auto"/>
      </w:divBdr>
    </w:div>
    <w:div w:id="647787542">
      <w:bodyDiv w:val="1"/>
      <w:marLeft w:val="0"/>
      <w:marRight w:val="0"/>
      <w:marTop w:val="0"/>
      <w:marBottom w:val="0"/>
      <w:divBdr>
        <w:top w:val="none" w:sz="0" w:space="0" w:color="auto"/>
        <w:left w:val="none" w:sz="0" w:space="0" w:color="auto"/>
        <w:bottom w:val="none" w:sz="0" w:space="0" w:color="auto"/>
        <w:right w:val="none" w:sz="0" w:space="0" w:color="auto"/>
      </w:divBdr>
    </w:div>
    <w:div w:id="648553346">
      <w:bodyDiv w:val="1"/>
      <w:marLeft w:val="0"/>
      <w:marRight w:val="0"/>
      <w:marTop w:val="0"/>
      <w:marBottom w:val="0"/>
      <w:divBdr>
        <w:top w:val="none" w:sz="0" w:space="0" w:color="auto"/>
        <w:left w:val="none" w:sz="0" w:space="0" w:color="auto"/>
        <w:bottom w:val="none" w:sz="0" w:space="0" w:color="auto"/>
        <w:right w:val="none" w:sz="0" w:space="0" w:color="auto"/>
      </w:divBdr>
    </w:div>
    <w:div w:id="653678239">
      <w:bodyDiv w:val="1"/>
      <w:marLeft w:val="0"/>
      <w:marRight w:val="0"/>
      <w:marTop w:val="0"/>
      <w:marBottom w:val="0"/>
      <w:divBdr>
        <w:top w:val="none" w:sz="0" w:space="0" w:color="auto"/>
        <w:left w:val="none" w:sz="0" w:space="0" w:color="auto"/>
        <w:bottom w:val="none" w:sz="0" w:space="0" w:color="auto"/>
        <w:right w:val="none" w:sz="0" w:space="0" w:color="auto"/>
      </w:divBdr>
      <w:divsChild>
        <w:div w:id="129833366">
          <w:marLeft w:val="0"/>
          <w:marRight w:val="0"/>
          <w:marTop w:val="0"/>
          <w:marBottom w:val="0"/>
          <w:divBdr>
            <w:top w:val="none" w:sz="0" w:space="0" w:color="auto"/>
            <w:left w:val="none" w:sz="0" w:space="0" w:color="auto"/>
            <w:bottom w:val="none" w:sz="0" w:space="0" w:color="auto"/>
            <w:right w:val="none" w:sz="0" w:space="0" w:color="auto"/>
          </w:divBdr>
          <w:divsChild>
            <w:div w:id="72163350">
              <w:marLeft w:val="0"/>
              <w:marRight w:val="0"/>
              <w:marTop w:val="0"/>
              <w:marBottom w:val="0"/>
              <w:divBdr>
                <w:top w:val="none" w:sz="0" w:space="0" w:color="auto"/>
                <w:left w:val="none" w:sz="0" w:space="0" w:color="auto"/>
                <w:bottom w:val="none" w:sz="0" w:space="0" w:color="auto"/>
                <w:right w:val="none" w:sz="0" w:space="0" w:color="auto"/>
              </w:divBdr>
              <w:divsChild>
                <w:div w:id="1806700245">
                  <w:marLeft w:val="0"/>
                  <w:marRight w:val="0"/>
                  <w:marTop w:val="0"/>
                  <w:marBottom w:val="0"/>
                  <w:divBdr>
                    <w:top w:val="none" w:sz="0" w:space="0" w:color="auto"/>
                    <w:left w:val="none" w:sz="0" w:space="0" w:color="auto"/>
                    <w:bottom w:val="none" w:sz="0" w:space="0" w:color="auto"/>
                    <w:right w:val="none" w:sz="0" w:space="0" w:color="auto"/>
                  </w:divBdr>
                  <w:divsChild>
                    <w:div w:id="1700662412">
                      <w:marLeft w:val="0"/>
                      <w:marRight w:val="0"/>
                      <w:marTop w:val="0"/>
                      <w:marBottom w:val="0"/>
                      <w:divBdr>
                        <w:top w:val="none" w:sz="0" w:space="0" w:color="auto"/>
                        <w:left w:val="none" w:sz="0" w:space="0" w:color="auto"/>
                        <w:bottom w:val="none" w:sz="0" w:space="0" w:color="auto"/>
                        <w:right w:val="none" w:sz="0" w:space="0" w:color="auto"/>
                      </w:divBdr>
                      <w:divsChild>
                        <w:div w:id="179794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3514208">
      <w:bodyDiv w:val="1"/>
      <w:marLeft w:val="0"/>
      <w:marRight w:val="0"/>
      <w:marTop w:val="0"/>
      <w:marBottom w:val="0"/>
      <w:divBdr>
        <w:top w:val="none" w:sz="0" w:space="0" w:color="auto"/>
        <w:left w:val="none" w:sz="0" w:space="0" w:color="auto"/>
        <w:bottom w:val="none" w:sz="0" w:space="0" w:color="auto"/>
        <w:right w:val="none" w:sz="0" w:space="0" w:color="auto"/>
      </w:divBdr>
    </w:div>
    <w:div w:id="665209376">
      <w:bodyDiv w:val="1"/>
      <w:marLeft w:val="0"/>
      <w:marRight w:val="0"/>
      <w:marTop w:val="0"/>
      <w:marBottom w:val="0"/>
      <w:divBdr>
        <w:top w:val="none" w:sz="0" w:space="0" w:color="auto"/>
        <w:left w:val="none" w:sz="0" w:space="0" w:color="auto"/>
        <w:bottom w:val="none" w:sz="0" w:space="0" w:color="auto"/>
        <w:right w:val="none" w:sz="0" w:space="0" w:color="auto"/>
      </w:divBdr>
    </w:div>
    <w:div w:id="675571701">
      <w:bodyDiv w:val="1"/>
      <w:marLeft w:val="0"/>
      <w:marRight w:val="0"/>
      <w:marTop w:val="0"/>
      <w:marBottom w:val="0"/>
      <w:divBdr>
        <w:top w:val="none" w:sz="0" w:space="0" w:color="auto"/>
        <w:left w:val="none" w:sz="0" w:space="0" w:color="auto"/>
        <w:bottom w:val="none" w:sz="0" w:space="0" w:color="auto"/>
        <w:right w:val="none" w:sz="0" w:space="0" w:color="auto"/>
      </w:divBdr>
    </w:div>
    <w:div w:id="677654976">
      <w:bodyDiv w:val="1"/>
      <w:marLeft w:val="0"/>
      <w:marRight w:val="0"/>
      <w:marTop w:val="0"/>
      <w:marBottom w:val="0"/>
      <w:divBdr>
        <w:top w:val="none" w:sz="0" w:space="0" w:color="auto"/>
        <w:left w:val="none" w:sz="0" w:space="0" w:color="auto"/>
        <w:bottom w:val="none" w:sz="0" w:space="0" w:color="auto"/>
        <w:right w:val="none" w:sz="0" w:space="0" w:color="auto"/>
      </w:divBdr>
    </w:div>
    <w:div w:id="679351638">
      <w:bodyDiv w:val="1"/>
      <w:marLeft w:val="0"/>
      <w:marRight w:val="0"/>
      <w:marTop w:val="0"/>
      <w:marBottom w:val="0"/>
      <w:divBdr>
        <w:top w:val="none" w:sz="0" w:space="0" w:color="auto"/>
        <w:left w:val="none" w:sz="0" w:space="0" w:color="auto"/>
        <w:bottom w:val="none" w:sz="0" w:space="0" w:color="auto"/>
        <w:right w:val="none" w:sz="0" w:space="0" w:color="auto"/>
      </w:divBdr>
    </w:div>
    <w:div w:id="683821038">
      <w:bodyDiv w:val="1"/>
      <w:marLeft w:val="0"/>
      <w:marRight w:val="0"/>
      <w:marTop w:val="0"/>
      <w:marBottom w:val="0"/>
      <w:divBdr>
        <w:top w:val="none" w:sz="0" w:space="0" w:color="auto"/>
        <w:left w:val="none" w:sz="0" w:space="0" w:color="auto"/>
        <w:bottom w:val="none" w:sz="0" w:space="0" w:color="auto"/>
        <w:right w:val="none" w:sz="0" w:space="0" w:color="auto"/>
      </w:divBdr>
    </w:div>
    <w:div w:id="684019641">
      <w:bodyDiv w:val="1"/>
      <w:marLeft w:val="0"/>
      <w:marRight w:val="0"/>
      <w:marTop w:val="0"/>
      <w:marBottom w:val="0"/>
      <w:divBdr>
        <w:top w:val="none" w:sz="0" w:space="0" w:color="auto"/>
        <w:left w:val="none" w:sz="0" w:space="0" w:color="auto"/>
        <w:bottom w:val="none" w:sz="0" w:space="0" w:color="auto"/>
        <w:right w:val="none" w:sz="0" w:space="0" w:color="auto"/>
      </w:divBdr>
    </w:div>
    <w:div w:id="688259553">
      <w:bodyDiv w:val="1"/>
      <w:marLeft w:val="0"/>
      <w:marRight w:val="0"/>
      <w:marTop w:val="0"/>
      <w:marBottom w:val="0"/>
      <w:divBdr>
        <w:top w:val="none" w:sz="0" w:space="0" w:color="auto"/>
        <w:left w:val="none" w:sz="0" w:space="0" w:color="auto"/>
        <w:bottom w:val="none" w:sz="0" w:space="0" w:color="auto"/>
        <w:right w:val="none" w:sz="0" w:space="0" w:color="auto"/>
      </w:divBdr>
    </w:div>
    <w:div w:id="688603443">
      <w:bodyDiv w:val="1"/>
      <w:marLeft w:val="0"/>
      <w:marRight w:val="0"/>
      <w:marTop w:val="0"/>
      <w:marBottom w:val="0"/>
      <w:divBdr>
        <w:top w:val="none" w:sz="0" w:space="0" w:color="auto"/>
        <w:left w:val="none" w:sz="0" w:space="0" w:color="auto"/>
        <w:bottom w:val="none" w:sz="0" w:space="0" w:color="auto"/>
        <w:right w:val="none" w:sz="0" w:space="0" w:color="auto"/>
      </w:divBdr>
    </w:div>
    <w:div w:id="697582033">
      <w:bodyDiv w:val="1"/>
      <w:marLeft w:val="0"/>
      <w:marRight w:val="0"/>
      <w:marTop w:val="0"/>
      <w:marBottom w:val="0"/>
      <w:divBdr>
        <w:top w:val="none" w:sz="0" w:space="0" w:color="auto"/>
        <w:left w:val="none" w:sz="0" w:space="0" w:color="auto"/>
        <w:bottom w:val="none" w:sz="0" w:space="0" w:color="auto"/>
        <w:right w:val="none" w:sz="0" w:space="0" w:color="auto"/>
      </w:divBdr>
    </w:div>
    <w:div w:id="704018078">
      <w:bodyDiv w:val="1"/>
      <w:marLeft w:val="0"/>
      <w:marRight w:val="0"/>
      <w:marTop w:val="0"/>
      <w:marBottom w:val="0"/>
      <w:divBdr>
        <w:top w:val="none" w:sz="0" w:space="0" w:color="auto"/>
        <w:left w:val="none" w:sz="0" w:space="0" w:color="auto"/>
        <w:bottom w:val="none" w:sz="0" w:space="0" w:color="auto"/>
        <w:right w:val="none" w:sz="0" w:space="0" w:color="auto"/>
      </w:divBdr>
    </w:div>
    <w:div w:id="712777892">
      <w:bodyDiv w:val="1"/>
      <w:marLeft w:val="0"/>
      <w:marRight w:val="0"/>
      <w:marTop w:val="0"/>
      <w:marBottom w:val="0"/>
      <w:divBdr>
        <w:top w:val="none" w:sz="0" w:space="0" w:color="auto"/>
        <w:left w:val="none" w:sz="0" w:space="0" w:color="auto"/>
        <w:bottom w:val="none" w:sz="0" w:space="0" w:color="auto"/>
        <w:right w:val="none" w:sz="0" w:space="0" w:color="auto"/>
      </w:divBdr>
    </w:div>
    <w:div w:id="722215836">
      <w:bodyDiv w:val="1"/>
      <w:marLeft w:val="0"/>
      <w:marRight w:val="0"/>
      <w:marTop w:val="0"/>
      <w:marBottom w:val="0"/>
      <w:divBdr>
        <w:top w:val="none" w:sz="0" w:space="0" w:color="auto"/>
        <w:left w:val="none" w:sz="0" w:space="0" w:color="auto"/>
        <w:bottom w:val="none" w:sz="0" w:space="0" w:color="auto"/>
        <w:right w:val="none" w:sz="0" w:space="0" w:color="auto"/>
      </w:divBdr>
    </w:div>
    <w:div w:id="724185224">
      <w:bodyDiv w:val="1"/>
      <w:marLeft w:val="0"/>
      <w:marRight w:val="0"/>
      <w:marTop w:val="0"/>
      <w:marBottom w:val="0"/>
      <w:divBdr>
        <w:top w:val="none" w:sz="0" w:space="0" w:color="auto"/>
        <w:left w:val="none" w:sz="0" w:space="0" w:color="auto"/>
        <w:bottom w:val="none" w:sz="0" w:space="0" w:color="auto"/>
        <w:right w:val="none" w:sz="0" w:space="0" w:color="auto"/>
      </w:divBdr>
    </w:div>
    <w:div w:id="725027243">
      <w:bodyDiv w:val="1"/>
      <w:marLeft w:val="0"/>
      <w:marRight w:val="0"/>
      <w:marTop w:val="0"/>
      <w:marBottom w:val="0"/>
      <w:divBdr>
        <w:top w:val="none" w:sz="0" w:space="0" w:color="auto"/>
        <w:left w:val="none" w:sz="0" w:space="0" w:color="auto"/>
        <w:bottom w:val="none" w:sz="0" w:space="0" w:color="auto"/>
        <w:right w:val="none" w:sz="0" w:space="0" w:color="auto"/>
      </w:divBdr>
    </w:div>
    <w:div w:id="727608462">
      <w:bodyDiv w:val="1"/>
      <w:marLeft w:val="0"/>
      <w:marRight w:val="0"/>
      <w:marTop w:val="0"/>
      <w:marBottom w:val="0"/>
      <w:divBdr>
        <w:top w:val="none" w:sz="0" w:space="0" w:color="auto"/>
        <w:left w:val="none" w:sz="0" w:space="0" w:color="auto"/>
        <w:bottom w:val="none" w:sz="0" w:space="0" w:color="auto"/>
        <w:right w:val="none" w:sz="0" w:space="0" w:color="auto"/>
      </w:divBdr>
    </w:div>
    <w:div w:id="731584841">
      <w:bodyDiv w:val="1"/>
      <w:marLeft w:val="0"/>
      <w:marRight w:val="0"/>
      <w:marTop w:val="0"/>
      <w:marBottom w:val="0"/>
      <w:divBdr>
        <w:top w:val="none" w:sz="0" w:space="0" w:color="auto"/>
        <w:left w:val="none" w:sz="0" w:space="0" w:color="auto"/>
        <w:bottom w:val="none" w:sz="0" w:space="0" w:color="auto"/>
        <w:right w:val="none" w:sz="0" w:space="0" w:color="auto"/>
      </w:divBdr>
    </w:div>
    <w:div w:id="734623378">
      <w:bodyDiv w:val="1"/>
      <w:marLeft w:val="0"/>
      <w:marRight w:val="0"/>
      <w:marTop w:val="0"/>
      <w:marBottom w:val="0"/>
      <w:divBdr>
        <w:top w:val="none" w:sz="0" w:space="0" w:color="auto"/>
        <w:left w:val="none" w:sz="0" w:space="0" w:color="auto"/>
        <w:bottom w:val="none" w:sz="0" w:space="0" w:color="auto"/>
        <w:right w:val="none" w:sz="0" w:space="0" w:color="auto"/>
      </w:divBdr>
    </w:div>
    <w:div w:id="736510427">
      <w:bodyDiv w:val="1"/>
      <w:marLeft w:val="0"/>
      <w:marRight w:val="0"/>
      <w:marTop w:val="0"/>
      <w:marBottom w:val="0"/>
      <w:divBdr>
        <w:top w:val="none" w:sz="0" w:space="0" w:color="auto"/>
        <w:left w:val="none" w:sz="0" w:space="0" w:color="auto"/>
        <w:bottom w:val="none" w:sz="0" w:space="0" w:color="auto"/>
        <w:right w:val="none" w:sz="0" w:space="0" w:color="auto"/>
      </w:divBdr>
    </w:div>
    <w:div w:id="742219204">
      <w:bodyDiv w:val="1"/>
      <w:marLeft w:val="0"/>
      <w:marRight w:val="0"/>
      <w:marTop w:val="0"/>
      <w:marBottom w:val="0"/>
      <w:divBdr>
        <w:top w:val="none" w:sz="0" w:space="0" w:color="auto"/>
        <w:left w:val="none" w:sz="0" w:space="0" w:color="auto"/>
        <w:bottom w:val="none" w:sz="0" w:space="0" w:color="auto"/>
        <w:right w:val="none" w:sz="0" w:space="0" w:color="auto"/>
      </w:divBdr>
    </w:div>
    <w:div w:id="755979063">
      <w:bodyDiv w:val="1"/>
      <w:marLeft w:val="0"/>
      <w:marRight w:val="0"/>
      <w:marTop w:val="0"/>
      <w:marBottom w:val="0"/>
      <w:divBdr>
        <w:top w:val="none" w:sz="0" w:space="0" w:color="auto"/>
        <w:left w:val="none" w:sz="0" w:space="0" w:color="auto"/>
        <w:bottom w:val="none" w:sz="0" w:space="0" w:color="auto"/>
        <w:right w:val="none" w:sz="0" w:space="0" w:color="auto"/>
      </w:divBdr>
    </w:div>
    <w:div w:id="757748159">
      <w:bodyDiv w:val="1"/>
      <w:marLeft w:val="0"/>
      <w:marRight w:val="0"/>
      <w:marTop w:val="0"/>
      <w:marBottom w:val="0"/>
      <w:divBdr>
        <w:top w:val="none" w:sz="0" w:space="0" w:color="auto"/>
        <w:left w:val="none" w:sz="0" w:space="0" w:color="auto"/>
        <w:bottom w:val="none" w:sz="0" w:space="0" w:color="auto"/>
        <w:right w:val="none" w:sz="0" w:space="0" w:color="auto"/>
      </w:divBdr>
    </w:div>
    <w:div w:id="758060322">
      <w:bodyDiv w:val="1"/>
      <w:marLeft w:val="0"/>
      <w:marRight w:val="0"/>
      <w:marTop w:val="0"/>
      <w:marBottom w:val="0"/>
      <w:divBdr>
        <w:top w:val="none" w:sz="0" w:space="0" w:color="auto"/>
        <w:left w:val="none" w:sz="0" w:space="0" w:color="auto"/>
        <w:bottom w:val="none" w:sz="0" w:space="0" w:color="auto"/>
        <w:right w:val="none" w:sz="0" w:space="0" w:color="auto"/>
      </w:divBdr>
    </w:div>
    <w:div w:id="763191672">
      <w:bodyDiv w:val="1"/>
      <w:marLeft w:val="0"/>
      <w:marRight w:val="0"/>
      <w:marTop w:val="0"/>
      <w:marBottom w:val="0"/>
      <w:divBdr>
        <w:top w:val="none" w:sz="0" w:space="0" w:color="auto"/>
        <w:left w:val="none" w:sz="0" w:space="0" w:color="auto"/>
        <w:bottom w:val="none" w:sz="0" w:space="0" w:color="auto"/>
        <w:right w:val="none" w:sz="0" w:space="0" w:color="auto"/>
      </w:divBdr>
    </w:div>
    <w:div w:id="767774378">
      <w:bodyDiv w:val="1"/>
      <w:marLeft w:val="0"/>
      <w:marRight w:val="0"/>
      <w:marTop w:val="0"/>
      <w:marBottom w:val="0"/>
      <w:divBdr>
        <w:top w:val="none" w:sz="0" w:space="0" w:color="auto"/>
        <w:left w:val="none" w:sz="0" w:space="0" w:color="auto"/>
        <w:bottom w:val="none" w:sz="0" w:space="0" w:color="auto"/>
        <w:right w:val="none" w:sz="0" w:space="0" w:color="auto"/>
      </w:divBdr>
    </w:div>
    <w:div w:id="792791251">
      <w:bodyDiv w:val="1"/>
      <w:marLeft w:val="0"/>
      <w:marRight w:val="0"/>
      <w:marTop w:val="0"/>
      <w:marBottom w:val="0"/>
      <w:divBdr>
        <w:top w:val="none" w:sz="0" w:space="0" w:color="auto"/>
        <w:left w:val="none" w:sz="0" w:space="0" w:color="auto"/>
        <w:bottom w:val="none" w:sz="0" w:space="0" w:color="auto"/>
        <w:right w:val="none" w:sz="0" w:space="0" w:color="auto"/>
      </w:divBdr>
    </w:div>
    <w:div w:id="793257656">
      <w:bodyDiv w:val="1"/>
      <w:marLeft w:val="0"/>
      <w:marRight w:val="0"/>
      <w:marTop w:val="0"/>
      <w:marBottom w:val="0"/>
      <w:divBdr>
        <w:top w:val="none" w:sz="0" w:space="0" w:color="auto"/>
        <w:left w:val="none" w:sz="0" w:space="0" w:color="auto"/>
        <w:bottom w:val="none" w:sz="0" w:space="0" w:color="auto"/>
        <w:right w:val="none" w:sz="0" w:space="0" w:color="auto"/>
      </w:divBdr>
    </w:div>
    <w:div w:id="794325667">
      <w:bodyDiv w:val="1"/>
      <w:marLeft w:val="0"/>
      <w:marRight w:val="0"/>
      <w:marTop w:val="0"/>
      <w:marBottom w:val="0"/>
      <w:divBdr>
        <w:top w:val="none" w:sz="0" w:space="0" w:color="auto"/>
        <w:left w:val="none" w:sz="0" w:space="0" w:color="auto"/>
        <w:bottom w:val="none" w:sz="0" w:space="0" w:color="auto"/>
        <w:right w:val="none" w:sz="0" w:space="0" w:color="auto"/>
      </w:divBdr>
    </w:div>
    <w:div w:id="818495541">
      <w:bodyDiv w:val="1"/>
      <w:marLeft w:val="0"/>
      <w:marRight w:val="0"/>
      <w:marTop w:val="0"/>
      <w:marBottom w:val="0"/>
      <w:divBdr>
        <w:top w:val="none" w:sz="0" w:space="0" w:color="auto"/>
        <w:left w:val="none" w:sz="0" w:space="0" w:color="auto"/>
        <w:bottom w:val="none" w:sz="0" w:space="0" w:color="auto"/>
        <w:right w:val="none" w:sz="0" w:space="0" w:color="auto"/>
      </w:divBdr>
    </w:div>
    <w:div w:id="823164768">
      <w:bodyDiv w:val="1"/>
      <w:marLeft w:val="0"/>
      <w:marRight w:val="0"/>
      <w:marTop w:val="0"/>
      <w:marBottom w:val="0"/>
      <w:divBdr>
        <w:top w:val="none" w:sz="0" w:space="0" w:color="auto"/>
        <w:left w:val="none" w:sz="0" w:space="0" w:color="auto"/>
        <w:bottom w:val="none" w:sz="0" w:space="0" w:color="auto"/>
        <w:right w:val="none" w:sz="0" w:space="0" w:color="auto"/>
      </w:divBdr>
    </w:div>
    <w:div w:id="828406337">
      <w:bodyDiv w:val="1"/>
      <w:marLeft w:val="0"/>
      <w:marRight w:val="0"/>
      <w:marTop w:val="0"/>
      <w:marBottom w:val="0"/>
      <w:divBdr>
        <w:top w:val="none" w:sz="0" w:space="0" w:color="auto"/>
        <w:left w:val="none" w:sz="0" w:space="0" w:color="auto"/>
        <w:bottom w:val="none" w:sz="0" w:space="0" w:color="auto"/>
        <w:right w:val="none" w:sz="0" w:space="0" w:color="auto"/>
      </w:divBdr>
    </w:div>
    <w:div w:id="829255520">
      <w:bodyDiv w:val="1"/>
      <w:marLeft w:val="0"/>
      <w:marRight w:val="0"/>
      <w:marTop w:val="0"/>
      <w:marBottom w:val="0"/>
      <w:divBdr>
        <w:top w:val="none" w:sz="0" w:space="0" w:color="auto"/>
        <w:left w:val="none" w:sz="0" w:space="0" w:color="auto"/>
        <w:bottom w:val="none" w:sz="0" w:space="0" w:color="auto"/>
        <w:right w:val="none" w:sz="0" w:space="0" w:color="auto"/>
      </w:divBdr>
    </w:div>
    <w:div w:id="830680406">
      <w:bodyDiv w:val="1"/>
      <w:marLeft w:val="0"/>
      <w:marRight w:val="0"/>
      <w:marTop w:val="0"/>
      <w:marBottom w:val="0"/>
      <w:divBdr>
        <w:top w:val="none" w:sz="0" w:space="0" w:color="auto"/>
        <w:left w:val="none" w:sz="0" w:space="0" w:color="auto"/>
        <w:bottom w:val="none" w:sz="0" w:space="0" w:color="auto"/>
        <w:right w:val="none" w:sz="0" w:space="0" w:color="auto"/>
      </w:divBdr>
    </w:div>
    <w:div w:id="842010284">
      <w:bodyDiv w:val="1"/>
      <w:marLeft w:val="0"/>
      <w:marRight w:val="0"/>
      <w:marTop w:val="0"/>
      <w:marBottom w:val="0"/>
      <w:divBdr>
        <w:top w:val="none" w:sz="0" w:space="0" w:color="auto"/>
        <w:left w:val="none" w:sz="0" w:space="0" w:color="auto"/>
        <w:bottom w:val="none" w:sz="0" w:space="0" w:color="auto"/>
        <w:right w:val="none" w:sz="0" w:space="0" w:color="auto"/>
      </w:divBdr>
    </w:div>
    <w:div w:id="843280191">
      <w:bodyDiv w:val="1"/>
      <w:marLeft w:val="0"/>
      <w:marRight w:val="0"/>
      <w:marTop w:val="0"/>
      <w:marBottom w:val="0"/>
      <w:divBdr>
        <w:top w:val="none" w:sz="0" w:space="0" w:color="auto"/>
        <w:left w:val="none" w:sz="0" w:space="0" w:color="auto"/>
        <w:bottom w:val="none" w:sz="0" w:space="0" w:color="auto"/>
        <w:right w:val="none" w:sz="0" w:space="0" w:color="auto"/>
      </w:divBdr>
    </w:div>
    <w:div w:id="853610079">
      <w:bodyDiv w:val="1"/>
      <w:marLeft w:val="0"/>
      <w:marRight w:val="0"/>
      <w:marTop w:val="0"/>
      <w:marBottom w:val="0"/>
      <w:divBdr>
        <w:top w:val="none" w:sz="0" w:space="0" w:color="auto"/>
        <w:left w:val="none" w:sz="0" w:space="0" w:color="auto"/>
        <w:bottom w:val="none" w:sz="0" w:space="0" w:color="auto"/>
        <w:right w:val="none" w:sz="0" w:space="0" w:color="auto"/>
      </w:divBdr>
    </w:div>
    <w:div w:id="860628744">
      <w:bodyDiv w:val="1"/>
      <w:marLeft w:val="0"/>
      <w:marRight w:val="0"/>
      <w:marTop w:val="0"/>
      <w:marBottom w:val="0"/>
      <w:divBdr>
        <w:top w:val="none" w:sz="0" w:space="0" w:color="auto"/>
        <w:left w:val="none" w:sz="0" w:space="0" w:color="auto"/>
        <w:bottom w:val="none" w:sz="0" w:space="0" w:color="auto"/>
        <w:right w:val="none" w:sz="0" w:space="0" w:color="auto"/>
      </w:divBdr>
    </w:div>
    <w:div w:id="860701244">
      <w:bodyDiv w:val="1"/>
      <w:marLeft w:val="0"/>
      <w:marRight w:val="0"/>
      <w:marTop w:val="0"/>
      <w:marBottom w:val="0"/>
      <w:divBdr>
        <w:top w:val="none" w:sz="0" w:space="0" w:color="auto"/>
        <w:left w:val="none" w:sz="0" w:space="0" w:color="auto"/>
        <w:bottom w:val="none" w:sz="0" w:space="0" w:color="auto"/>
        <w:right w:val="none" w:sz="0" w:space="0" w:color="auto"/>
      </w:divBdr>
    </w:div>
    <w:div w:id="865868600">
      <w:bodyDiv w:val="1"/>
      <w:marLeft w:val="0"/>
      <w:marRight w:val="0"/>
      <w:marTop w:val="0"/>
      <w:marBottom w:val="0"/>
      <w:divBdr>
        <w:top w:val="none" w:sz="0" w:space="0" w:color="auto"/>
        <w:left w:val="none" w:sz="0" w:space="0" w:color="auto"/>
        <w:bottom w:val="none" w:sz="0" w:space="0" w:color="auto"/>
        <w:right w:val="none" w:sz="0" w:space="0" w:color="auto"/>
      </w:divBdr>
    </w:div>
    <w:div w:id="878514078">
      <w:bodyDiv w:val="1"/>
      <w:marLeft w:val="0"/>
      <w:marRight w:val="0"/>
      <w:marTop w:val="0"/>
      <w:marBottom w:val="0"/>
      <w:divBdr>
        <w:top w:val="none" w:sz="0" w:space="0" w:color="auto"/>
        <w:left w:val="none" w:sz="0" w:space="0" w:color="auto"/>
        <w:bottom w:val="none" w:sz="0" w:space="0" w:color="auto"/>
        <w:right w:val="none" w:sz="0" w:space="0" w:color="auto"/>
      </w:divBdr>
    </w:div>
    <w:div w:id="880821420">
      <w:bodyDiv w:val="1"/>
      <w:marLeft w:val="0"/>
      <w:marRight w:val="0"/>
      <w:marTop w:val="0"/>
      <w:marBottom w:val="0"/>
      <w:divBdr>
        <w:top w:val="none" w:sz="0" w:space="0" w:color="auto"/>
        <w:left w:val="none" w:sz="0" w:space="0" w:color="auto"/>
        <w:bottom w:val="none" w:sz="0" w:space="0" w:color="auto"/>
        <w:right w:val="none" w:sz="0" w:space="0" w:color="auto"/>
      </w:divBdr>
    </w:div>
    <w:div w:id="883296314">
      <w:bodyDiv w:val="1"/>
      <w:marLeft w:val="0"/>
      <w:marRight w:val="0"/>
      <w:marTop w:val="0"/>
      <w:marBottom w:val="0"/>
      <w:divBdr>
        <w:top w:val="none" w:sz="0" w:space="0" w:color="auto"/>
        <w:left w:val="none" w:sz="0" w:space="0" w:color="auto"/>
        <w:bottom w:val="none" w:sz="0" w:space="0" w:color="auto"/>
        <w:right w:val="none" w:sz="0" w:space="0" w:color="auto"/>
      </w:divBdr>
    </w:div>
    <w:div w:id="885145956">
      <w:bodyDiv w:val="1"/>
      <w:marLeft w:val="0"/>
      <w:marRight w:val="0"/>
      <w:marTop w:val="0"/>
      <w:marBottom w:val="0"/>
      <w:divBdr>
        <w:top w:val="none" w:sz="0" w:space="0" w:color="auto"/>
        <w:left w:val="none" w:sz="0" w:space="0" w:color="auto"/>
        <w:bottom w:val="none" w:sz="0" w:space="0" w:color="auto"/>
        <w:right w:val="none" w:sz="0" w:space="0" w:color="auto"/>
      </w:divBdr>
    </w:div>
    <w:div w:id="885526905">
      <w:bodyDiv w:val="1"/>
      <w:marLeft w:val="0"/>
      <w:marRight w:val="0"/>
      <w:marTop w:val="0"/>
      <w:marBottom w:val="0"/>
      <w:divBdr>
        <w:top w:val="none" w:sz="0" w:space="0" w:color="auto"/>
        <w:left w:val="none" w:sz="0" w:space="0" w:color="auto"/>
        <w:bottom w:val="none" w:sz="0" w:space="0" w:color="auto"/>
        <w:right w:val="none" w:sz="0" w:space="0" w:color="auto"/>
      </w:divBdr>
    </w:div>
    <w:div w:id="887187252">
      <w:bodyDiv w:val="1"/>
      <w:marLeft w:val="0"/>
      <w:marRight w:val="0"/>
      <w:marTop w:val="0"/>
      <w:marBottom w:val="0"/>
      <w:divBdr>
        <w:top w:val="none" w:sz="0" w:space="0" w:color="auto"/>
        <w:left w:val="none" w:sz="0" w:space="0" w:color="auto"/>
        <w:bottom w:val="none" w:sz="0" w:space="0" w:color="auto"/>
        <w:right w:val="none" w:sz="0" w:space="0" w:color="auto"/>
      </w:divBdr>
    </w:div>
    <w:div w:id="887257130">
      <w:bodyDiv w:val="1"/>
      <w:marLeft w:val="0"/>
      <w:marRight w:val="0"/>
      <w:marTop w:val="0"/>
      <w:marBottom w:val="0"/>
      <w:divBdr>
        <w:top w:val="none" w:sz="0" w:space="0" w:color="auto"/>
        <w:left w:val="none" w:sz="0" w:space="0" w:color="auto"/>
        <w:bottom w:val="none" w:sz="0" w:space="0" w:color="auto"/>
        <w:right w:val="none" w:sz="0" w:space="0" w:color="auto"/>
      </w:divBdr>
    </w:div>
    <w:div w:id="890074709">
      <w:bodyDiv w:val="1"/>
      <w:marLeft w:val="0"/>
      <w:marRight w:val="0"/>
      <w:marTop w:val="0"/>
      <w:marBottom w:val="0"/>
      <w:divBdr>
        <w:top w:val="none" w:sz="0" w:space="0" w:color="auto"/>
        <w:left w:val="none" w:sz="0" w:space="0" w:color="auto"/>
        <w:bottom w:val="none" w:sz="0" w:space="0" w:color="auto"/>
        <w:right w:val="none" w:sz="0" w:space="0" w:color="auto"/>
      </w:divBdr>
    </w:div>
    <w:div w:id="899094898">
      <w:bodyDiv w:val="1"/>
      <w:marLeft w:val="0"/>
      <w:marRight w:val="0"/>
      <w:marTop w:val="0"/>
      <w:marBottom w:val="0"/>
      <w:divBdr>
        <w:top w:val="none" w:sz="0" w:space="0" w:color="auto"/>
        <w:left w:val="none" w:sz="0" w:space="0" w:color="auto"/>
        <w:bottom w:val="none" w:sz="0" w:space="0" w:color="auto"/>
        <w:right w:val="none" w:sz="0" w:space="0" w:color="auto"/>
      </w:divBdr>
    </w:div>
    <w:div w:id="901259831">
      <w:bodyDiv w:val="1"/>
      <w:marLeft w:val="0"/>
      <w:marRight w:val="0"/>
      <w:marTop w:val="0"/>
      <w:marBottom w:val="0"/>
      <w:divBdr>
        <w:top w:val="none" w:sz="0" w:space="0" w:color="auto"/>
        <w:left w:val="none" w:sz="0" w:space="0" w:color="auto"/>
        <w:bottom w:val="none" w:sz="0" w:space="0" w:color="auto"/>
        <w:right w:val="none" w:sz="0" w:space="0" w:color="auto"/>
      </w:divBdr>
    </w:div>
    <w:div w:id="902132495">
      <w:bodyDiv w:val="1"/>
      <w:marLeft w:val="0"/>
      <w:marRight w:val="0"/>
      <w:marTop w:val="0"/>
      <w:marBottom w:val="0"/>
      <w:divBdr>
        <w:top w:val="none" w:sz="0" w:space="0" w:color="auto"/>
        <w:left w:val="none" w:sz="0" w:space="0" w:color="auto"/>
        <w:bottom w:val="none" w:sz="0" w:space="0" w:color="auto"/>
        <w:right w:val="none" w:sz="0" w:space="0" w:color="auto"/>
      </w:divBdr>
    </w:div>
    <w:div w:id="902719879">
      <w:bodyDiv w:val="1"/>
      <w:marLeft w:val="0"/>
      <w:marRight w:val="0"/>
      <w:marTop w:val="0"/>
      <w:marBottom w:val="0"/>
      <w:divBdr>
        <w:top w:val="none" w:sz="0" w:space="0" w:color="auto"/>
        <w:left w:val="none" w:sz="0" w:space="0" w:color="auto"/>
        <w:bottom w:val="none" w:sz="0" w:space="0" w:color="auto"/>
        <w:right w:val="none" w:sz="0" w:space="0" w:color="auto"/>
      </w:divBdr>
    </w:div>
    <w:div w:id="908423367">
      <w:bodyDiv w:val="1"/>
      <w:marLeft w:val="0"/>
      <w:marRight w:val="0"/>
      <w:marTop w:val="0"/>
      <w:marBottom w:val="0"/>
      <w:divBdr>
        <w:top w:val="none" w:sz="0" w:space="0" w:color="auto"/>
        <w:left w:val="none" w:sz="0" w:space="0" w:color="auto"/>
        <w:bottom w:val="none" w:sz="0" w:space="0" w:color="auto"/>
        <w:right w:val="none" w:sz="0" w:space="0" w:color="auto"/>
      </w:divBdr>
    </w:div>
    <w:div w:id="919948146">
      <w:bodyDiv w:val="1"/>
      <w:marLeft w:val="0"/>
      <w:marRight w:val="0"/>
      <w:marTop w:val="0"/>
      <w:marBottom w:val="0"/>
      <w:divBdr>
        <w:top w:val="none" w:sz="0" w:space="0" w:color="auto"/>
        <w:left w:val="none" w:sz="0" w:space="0" w:color="auto"/>
        <w:bottom w:val="none" w:sz="0" w:space="0" w:color="auto"/>
        <w:right w:val="none" w:sz="0" w:space="0" w:color="auto"/>
      </w:divBdr>
    </w:div>
    <w:div w:id="922103214">
      <w:bodyDiv w:val="1"/>
      <w:marLeft w:val="0"/>
      <w:marRight w:val="0"/>
      <w:marTop w:val="0"/>
      <w:marBottom w:val="0"/>
      <w:divBdr>
        <w:top w:val="none" w:sz="0" w:space="0" w:color="auto"/>
        <w:left w:val="none" w:sz="0" w:space="0" w:color="auto"/>
        <w:bottom w:val="none" w:sz="0" w:space="0" w:color="auto"/>
        <w:right w:val="none" w:sz="0" w:space="0" w:color="auto"/>
      </w:divBdr>
    </w:div>
    <w:div w:id="927227959">
      <w:bodyDiv w:val="1"/>
      <w:marLeft w:val="0"/>
      <w:marRight w:val="0"/>
      <w:marTop w:val="0"/>
      <w:marBottom w:val="0"/>
      <w:divBdr>
        <w:top w:val="none" w:sz="0" w:space="0" w:color="auto"/>
        <w:left w:val="none" w:sz="0" w:space="0" w:color="auto"/>
        <w:bottom w:val="none" w:sz="0" w:space="0" w:color="auto"/>
        <w:right w:val="none" w:sz="0" w:space="0" w:color="auto"/>
      </w:divBdr>
    </w:div>
    <w:div w:id="928851090">
      <w:bodyDiv w:val="1"/>
      <w:marLeft w:val="0"/>
      <w:marRight w:val="0"/>
      <w:marTop w:val="0"/>
      <w:marBottom w:val="0"/>
      <w:divBdr>
        <w:top w:val="none" w:sz="0" w:space="0" w:color="auto"/>
        <w:left w:val="none" w:sz="0" w:space="0" w:color="auto"/>
        <w:bottom w:val="none" w:sz="0" w:space="0" w:color="auto"/>
        <w:right w:val="none" w:sz="0" w:space="0" w:color="auto"/>
      </w:divBdr>
    </w:div>
    <w:div w:id="932978507">
      <w:bodyDiv w:val="1"/>
      <w:marLeft w:val="0"/>
      <w:marRight w:val="0"/>
      <w:marTop w:val="0"/>
      <w:marBottom w:val="0"/>
      <w:divBdr>
        <w:top w:val="none" w:sz="0" w:space="0" w:color="auto"/>
        <w:left w:val="none" w:sz="0" w:space="0" w:color="auto"/>
        <w:bottom w:val="none" w:sz="0" w:space="0" w:color="auto"/>
        <w:right w:val="none" w:sz="0" w:space="0" w:color="auto"/>
      </w:divBdr>
    </w:div>
    <w:div w:id="933710010">
      <w:bodyDiv w:val="1"/>
      <w:marLeft w:val="0"/>
      <w:marRight w:val="0"/>
      <w:marTop w:val="0"/>
      <w:marBottom w:val="0"/>
      <w:divBdr>
        <w:top w:val="none" w:sz="0" w:space="0" w:color="auto"/>
        <w:left w:val="none" w:sz="0" w:space="0" w:color="auto"/>
        <w:bottom w:val="none" w:sz="0" w:space="0" w:color="auto"/>
        <w:right w:val="none" w:sz="0" w:space="0" w:color="auto"/>
      </w:divBdr>
    </w:div>
    <w:div w:id="934561031">
      <w:bodyDiv w:val="1"/>
      <w:marLeft w:val="0"/>
      <w:marRight w:val="0"/>
      <w:marTop w:val="0"/>
      <w:marBottom w:val="0"/>
      <w:divBdr>
        <w:top w:val="none" w:sz="0" w:space="0" w:color="auto"/>
        <w:left w:val="none" w:sz="0" w:space="0" w:color="auto"/>
        <w:bottom w:val="none" w:sz="0" w:space="0" w:color="auto"/>
        <w:right w:val="none" w:sz="0" w:space="0" w:color="auto"/>
      </w:divBdr>
    </w:div>
    <w:div w:id="936909442">
      <w:bodyDiv w:val="1"/>
      <w:marLeft w:val="0"/>
      <w:marRight w:val="0"/>
      <w:marTop w:val="0"/>
      <w:marBottom w:val="0"/>
      <w:divBdr>
        <w:top w:val="none" w:sz="0" w:space="0" w:color="auto"/>
        <w:left w:val="none" w:sz="0" w:space="0" w:color="auto"/>
        <w:bottom w:val="none" w:sz="0" w:space="0" w:color="auto"/>
        <w:right w:val="none" w:sz="0" w:space="0" w:color="auto"/>
      </w:divBdr>
    </w:div>
    <w:div w:id="941374467">
      <w:bodyDiv w:val="1"/>
      <w:marLeft w:val="0"/>
      <w:marRight w:val="0"/>
      <w:marTop w:val="0"/>
      <w:marBottom w:val="0"/>
      <w:divBdr>
        <w:top w:val="none" w:sz="0" w:space="0" w:color="auto"/>
        <w:left w:val="none" w:sz="0" w:space="0" w:color="auto"/>
        <w:bottom w:val="none" w:sz="0" w:space="0" w:color="auto"/>
        <w:right w:val="none" w:sz="0" w:space="0" w:color="auto"/>
      </w:divBdr>
    </w:div>
    <w:div w:id="943876719">
      <w:bodyDiv w:val="1"/>
      <w:marLeft w:val="0"/>
      <w:marRight w:val="0"/>
      <w:marTop w:val="0"/>
      <w:marBottom w:val="0"/>
      <w:divBdr>
        <w:top w:val="none" w:sz="0" w:space="0" w:color="auto"/>
        <w:left w:val="none" w:sz="0" w:space="0" w:color="auto"/>
        <w:bottom w:val="none" w:sz="0" w:space="0" w:color="auto"/>
        <w:right w:val="none" w:sz="0" w:space="0" w:color="auto"/>
      </w:divBdr>
    </w:div>
    <w:div w:id="950744974">
      <w:bodyDiv w:val="1"/>
      <w:marLeft w:val="0"/>
      <w:marRight w:val="0"/>
      <w:marTop w:val="0"/>
      <w:marBottom w:val="0"/>
      <w:divBdr>
        <w:top w:val="none" w:sz="0" w:space="0" w:color="auto"/>
        <w:left w:val="none" w:sz="0" w:space="0" w:color="auto"/>
        <w:bottom w:val="none" w:sz="0" w:space="0" w:color="auto"/>
        <w:right w:val="none" w:sz="0" w:space="0" w:color="auto"/>
      </w:divBdr>
    </w:div>
    <w:div w:id="952908181">
      <w:bodyDiv w:val="1"/>
      <w:marLeft w:val="0"/>
      <w:marRight w:val="0"/>
      <w:marTop w:val="0"/>
      <w:marBottom w:val="0"/>
      <w:divBdr>
        <w:top w:val="none" w:sz="0" w:space="0" w:color="auto"/>
        <w:left w:val="none" w:sz="0" w:space="0" w:color="auto"/>
        <w:bottom w:val="none" w:sz="0" w:space="0" w:color="auto"/>
        <w:right w:val="none" w:sz="0" w:space="0" w:color="auto"/>
      </w:divBdr>
    </w:div>
    <w:div w:id="956370834">
      <w:bodyDiv w:val="1"/>
      <w:marLeft w:val="0"/>
      <w:marRight w:val="0"/>
      <w:marTop w:val="0"/>
      <w:marBottom w:val="0"/>
      <w:divBdr>
        <w:top w:val="none" w:sz="0" w:space="0" w:color="auto"/>
        <w:left w:val="none" w:sz="0" w:space="0" w:color="auto"/>
        <w:bottom w:val="none" w:sz="0" w:space="0" w:color="auto"/>
        <w:right w:val="none" w:sz="0" w:space="0" w:color="auto"/>
      </w:divBdr>
    </w:div>
    <w:div w:id="957681673">
      <w:bodyDiv w:val="1"/>
      <w:marLeft w:val="0"/>
      <w:marRight w:val="0"/>
      <w:marTop w:val="0"/>
      <w:marBottom w:val="0"/>
      <w:divBdr>
        <w:top w:val="none" w:sz="0" w:space="0" w:color="auto"/>
        <w:left w:val="none" w:sz="0" w:space="0" w:color="auto"/>
        <w:bottom w:val="none" w:sz="0" w:space="0" w:color="auto"/>
        <w:right w:val="none" w:sz="0" w:space="0" w:color="auto"/>
      </w:divBdr>
    </w:div>
    <w:div w:id="958879771">
      <w:bodyDiv w:val="1"/>
      <w:marLeft w:val="0"/>
      <w:marRight w:val="0"/>
      <w:marTop w:val="0"/>
      <w:marBottom w:val="0"/>
      <w:divBdr>
        <w:top w:val="none" w:sz="0" w:space="0" w:color="auto"/>
        <w:left w:val="none" w:sz="0" w:space="0" w:color="auto"/>
        <w:bottom w:val="none" w:sz="0" w:space="0" w:color="auto"/>
        <w:right w:val="none" w:sz="0" w:space="0" w:color="auto"/>
      </w:divBdr>
    </w:div>
    <w:div w:id="964307617">
      <w:bodyDiv w:val="1"/>
      <w:marLeft w:val="0"/>
      <w:marRight w:val="0"/>
      <w:marTop w:val="0"/>
      <w:marBottom w:val="0"/>
      <w:divBdr>
        <w:top w:val="none" w:sz="0" w:space="0" w:color="auto"/>
        <w:left w:val="none" w:sz="0" w:space="0" w:color="auto"/>
        <w:bottom w:val="none" w:sz="0" w:space="0" w:color="auto"/>
        <w:right w:val="none" w:sz="0" w:space="0" w:color="auto"/>
      </w:divBdr>
    </w:div>
    <w:div w:id="965770709">
      <w:bodyDiv w:val="1"/>
      <w:marLeft w:val="0"/>
      <w:marRight w:val="0"/>
      <w:marTop w:val="0"/>
      <w:marBottom w:val="0"/>
      <w:divBdr>
        <w:top w:val="none" w:sz="0" w:space="0" w:color="auto"/>
        <w:left w:val="none" w:sz="0" w:space="0" w:color="auto"/>
        <w:bottom w:val="none" w:sz="0" w:space="0" w:color="auto"/>
        <w:right w:val="none" w:sz="0" w:space="0" w:color="auto"/>
      </w:divBdr>
    </w:div>
    <w:div w:id="966398811">
      <w:bodyDiv w:val="1"/>
      <w:marLeft w:val="0"/>
      <w:marRight w:val="0"/>
      <w:marTop w:val="0"/>
      <w:marBottom w:val="0"/>
      <w:divBdr>
        <w:top w:val="none" w:sz="0" w:space="0" w:color="auto"/>
        <w:left w:val="none" w:sz="0" w:space="0" w:color="auto"/>
        <w:bottom w:val="none" w:sz="0" w:space="0" w:color="auto"/>
        <w:right w:val="none" w:sz="0" w:space="0" w:color="auto"/>
      </w:divBdr>
    </w:div>
    <w:div w:id="966468140">
      <w:bodyDiv w:val="1"/>
      <w:marLeft w:val="0"/>
      <w:marRight w:val="0"/>
      <w:marTop w:val="0"/>
      <w:marBottom w:val="0"/>
      <w:divBdr>
        <w:top w:val="none" w:sz="0" w:space="0" w:color="auto"/>
        <w:left w:val="none" w:sz="0" w:space="0" w:color="auto"/>
        <w:bottom w:val="none" w:sz="0" w:space="0" w:color="auto"/>
        <w:right w:val="none" w:sz="0" w:space="0" w:color="auto"/>
      </w:divBdr>
    </w:div>
    <w:div w:id="967198721">
      <w:bodyDiv w:val="1"/>
      <w:marLeft w:val="0"/>
      <w:marRight w:val="0"/>
      <w:marTop w:val="0"/>
      <w:marBottom w:val="0"/>
      <w:divBdr>
        <w:top w:val="none" w:sz="0" w:space="0" w:color="auto"/>
        <w:left w:val="none" w:sz="0" w:space="0" w:color="auto"/>
        <w:bottom w:val="none" w:sz="0" w:space="0" w:color="auto"/>
        <w:right w:val="none" w:sz="0" w:space="0" w:color="auto"/>
      </w:divBdr>
    </w:div>
    <w:div w:id="973293939">
      <w:bodyDiv w:val="1"/>
      <w:marLeft w:val="0"/>
      <w:marRight w:val="0"/>
      <w:marTop w:val="0"/>
      <w:marBottom w:val="0"/>
      <w:divBdr>
        <w:top w:val="none" w:sz="0" w:space="0" w:color="auto"/>
        <w:left w:val="none" w:sz="0" w:space="0" w:color="auto"/>
        <w:bottom w:val="none" w:sz="0" w:space="0" w:color="auto"/>
        <w:right w:val="none" w:sz="0" w:space="0" w:color="auto"/>
      </w:divBdr>
    </w:div>
    <w:div w:id="980617391">
      <w:bodyDiv w:val="1"/>
      <w:marLeft w:val="0"/>
      <w:marRight w:val="0"/>
      <w:marTop w:val="0"/>
      <w:marBottom w:val="0"/>
      <w:divBdr>
        <w:top w:val="none" w:sz="0" w:space="0" w:color="auto"/>
        <w:left w:val="none" w:sz="0" w:space="0" w:color="auto"/>
        <w:bottom w:val="none" w:sz="0" w:space="0" w:color="auto"/>
        <w:right w:val="none" w:sz="0" w:space="0" w:color="auto"/>
      </w:divBdr>
    </w:div>
    <w:div w:id="980694304">
      <w:bodyDiv w:val="1"/>
      <w:marLeft w:val="0"/>
      <w:marRight w:val="0"/>
      <w:marTop w:val="0"/>
      <w:marBottom w:val="0"/>
      <w:divBdr>
        <w:top w:val="none" w:sz="0" w:space="0" w:color="auto"/>
        <w:left w:val="none" w:sz="0" w:space="0" w:color="auto"/>
        <w:bottom w:val="none" w:sz="0" w:space="0" w:color="auto"/>
        <w:right w:val="none" w:sz="0" w:space="0" w:color="auto"/>
      </w:divBdr>
    </w:div>
    <w:div w:id="982851659">
      <w:bodyDiv w:val="1"/>
      <w:marLeft w:val="0"/>
      <w:marRight w:val="0"/>
      <w:marTop w:val="0"/>
      <w:marBottom w:val="0"/>
      <w:divBdr>
        <w:top w:val="none" w:sz="0" w:space="0" w:color="auto"/>
        <w:left w:val="none" w:sz="0" w:space="0" w:color="auto"/>
        <w:bottom w:val="none" w:sz="0" w:space="0" w:color="auto"/>
        <w:right w:val="none" w:sz="0" w:space="0" w:color="auto"/>
      </w:divBdr>
    </w:div>
    <w:div w:id="987131885">
      <w:bodyDiv w:val="1"/>
      <w:marLeft w:val="0"/>
      <w:marRight w:val="0"/>
      <w:marTop w:val="0"/>
      <w:marBottom w:val="0"/>
      <w:divBdr>
        <w:top w:val="none" w:sz="0" w:space="0" w:color="auto"/>
        <w:left w:val="none" w:sz="0" w:space="0" w:color="auto"/>
        <w:bottom w:val="none" w:sz="0" w:space="0" w:color="auto"/>
        <w:right w:val="none" w:sz="0" w:space="0" w:color="auto"/>
      </w:divBdr>
    </w:div>
    <w:div w:id="990257527">
      <w:bodyDiv w:val="1"/>
      <w:marLeft w:val="0"/>
      <w:marRight w:val="0"/>
      <w:marTop w:val="0"/>
      <w:marBottom w:val="0"/>
      <w:divBdr>
        <w:top w:val="none" w:sz="0" w:space="0" w:color="auto"/>
        <w:left w:val="none" w:sz="0" w:space="0" w:color="auto"/>
        <w:bottom w:val="none" w:sz="0" w:space="0" w:color="auto"/>
        <w:right w:val="none" w:sz="0" w:space="0" w:color="auto"/>
      </w:divBdr>
    </w:div>
    <w:div w:id="1000430172">
      <w:bodyDiv w:val="1"/>
      <w:marLeft w:val="0"/>
      <w:marRight w:val="0"/>
      <w:marTop w:val="0"/>
      <w:marBottom w:val="0"/>
      <w:divBdr>
        <w:top w:val="none" w:sz="0" w:space="0" w:color="auto"/>
        <w:left w:val="none" w:sz="0" w:space="0" w:color="auto"/>
        <w:bottom w:val="none" w:sz="0" w:space="0" w:color="auto"/>
        <w:right w:val="none" w:sz="0" w:space="0" w:color="auto"/>
      </w:divBdr>
    </w:div>
    <w:div w:id="1005279490">
      <w:bodyDiv w:val="1"/>
      <w:marLeft w:val="0"/>
      <w:marRight w:val="0"/>
      <w:marTop w:val="0"/>
      <w:marBottom w:val="0"/>
      <w:divBdr>
        <w:top w:val="none" w:sz="0" w:space="0" w:color="auto"/>
        <w:left w:val="none" w:sz="0" w:space="0" w:color="auto"/>
        <w:bottom w:val="none" w:sz="0" w:space="0" w:color="auto"/>
        <w:right w:val="none" w:sz="0" w:space="0" w:color="auto"/>
      </w:divBdr>
    </w:div>
    <w:div w:id="1005784547">
      <w:bodyDiv w:val="1"/>
      <w:marLeft w:val="0"/>
      <w:marRight w:val="0"/>
      <w:marTop w:val="0"/>
      <w:marBottom w:val="0"/>
      <w:divBdr>
        <w:top w:val="none" w:sz="0" w:space="0" w:color="auto"/>
        <w:left w:val="none" w:sz="0" w:space="0" w:color="auto"/>
        <w:bottom w:val="none" w:sz="0" w:space="0" w:color="auto"/>
        <w:right w:val="none" w:sz="0" w:space="0" w:color="auto"/>
      </w:divBdr>
    </w:div>
    <w:div w:id="1007711790">
      <w:bodyDiv w:val="1"/>
      <w:marLeft w:val="0"/>
      <w:marRight w:val="0"/>
      <w:marTop w:val="0"/>
      <w:marBottom w:val="0"/>
      <w:divBdr>
        <w:top w:val="none" w:sz="0" w:space="0" w:color="auto"/>
        <w:left w:val="none" w:sz="0" w:space="0" w:color="auto"/>
        <w:bottom w:val="none" w:sz="0" w:space="0" w:color="auto"/>
        <w:right w:val="none" w:sz="0" w:space="0" w:color="auto"/>
      </w:divBdr>
      <w:divsChild>
        <w:div w:id="1666669212">
          <w:marLeft w:val="0"/>
          <w:marRight w:val="0"/>
          <w:marTop w:val="0"/>
          <w:marBottom w:val="0"/>
          <w:divBdr>
            <w:top w:val="none" w:sz="0" w:space="0" w:color="auto"/>
            <w:left w:val="none" w:sz="0" w:space="0" w:color="auto"/>
            <w:bottom w:val="none" w:sz="0" w:space="0" w:color="auto"/>
            <w:right w:val="none" w:sz="0" w:space="0" w:color="auto"/>
          </w:divBdr>
          <w:divsChild>
            <w:div w:id="797991445">
              <w:marLeft w:val="0"/>
              <w:marRight w:val="0"/>
              <w:marTop w:val="0"/>
              <w:marBottom w:val="0"/>
              <w:divBdr>
                <w:top w:val="none" w:sz="0" w:space="0" w:color="auto"/>
                <w:left w:val="none" w:sz="0" w:space="0" w:color="auto"/>
                <w:bottom w:val="none" w:sz="0" w:space="0" w:color="auto"/>
                <w:right w:val="none" w:sz="0" w:space="0" w:color="auto"/>
              </w:divBdr>
              <w:divsChild>
                <w:div w:id="1581216654">
                  <w:marLeft w:val="0"/>
                  <w:marRight w:val="0"/>
                  <w:marTop w:val="0"/>
                  <w:marBottom w:val="0"/>
                  <w:divBdr>
                    <w:top w:val="none" w:sz="0" w:space="0" w:color="auto"/>
                    <w:left w:val="none" w:sz="0" w:space="0" w:color="auto"/>
                    <w:bottom w:val="none" w:sz="0" w:space="0" w:color="auto"/>
                    <w:right w:val="none" w:sz="0" w:space="0" w:color="auto"/>
                  </w:divBdr>
                  <w:divsChild>
                    <w:div w:id="924145969">
                      <w:marLeft w:val="0"/>
                      <w:marRight w:val="0"/>
                      <w:marTop w:val="0"/>
                      <w:marBottom w:val="0"/>
                      <w:divBdr>
                        <w:top w:val="none" w:sz="0" w:space="0" w:color="auto"/>
                        <w:left w:val="none" w:sz="0" w:space="0" w:color="auto"/>
                        <w:bottom w:val="none" w:sz="0" w:space="0" w:color="auto"/>
                        <w:right w:val="none" w:sz="0" w:space="0" w:color="auto"/>
                      </w:divBdr>
                      <w:divsChild>
                        <w:div w:id="724111409">
                          <w:marLeft w:val="0"/>
                          <w:marRight w:val="0"/>
                          <w:marTop w:val="0"/>
                          <w:marBottom w:val="0"/>
                          <w:divBdr>
                            <w:top w:val="none" w:sz="0" w:space="0" w:color="auto"/>
                            <w:left w:val="none" w:sz="0" w:space="0" w:color="auto"/>
                            <w:bottom w:val="none" w:sz="0" w:space="0" w:color="auto"/>
                            <w:right w:val="none" w:sz="0" w:space="0" w:color="auto"/>
                          </w:divBdr>
                          <w:divsChild>
                            <w:div w:id="4110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6807629">
      <w:bodyDiv w:val="1"/>
      <w:marLeft w:val="0"/>
      <w:marRight w:val="0"/>
      <w:marTop w:val="0"/>
      <w:marBottom w:val="0"/>
      <w:divBdr>
        <w:top w:val="none" w:sz="0" w:space="0" w:color="auto"/>
        <w:left w:val="none" w:sz="0" w:space="0" w:color="auto"/>
        <w:bottom w:val="none" w:sz="0" w:space="0" w:color="auto"/>
        <w:right w:val="none" w:sz="0" w:space="0" w:color="auto"/>
      </w:divBdr>
    </w:div>
    <w:div w:id="1017270533">
      <w:bodyDiv w:val="1"/>
      <w:marLeft w:val="0"/>
      <w:marRight w:val="0"/>
      <w:marTop w:val="0"/>
      <w:marBottom w:val="0"/>
      <w:divBdr>
        <w:top w:val="none" w:sz="0" w:space="0" w:color="auto"/>
        <w:left w:val="none" w:sz="0" w:space="0" w:color="auto"/>
        <w:bottom w:val="none" w:sz="0" w:space="0" w:color="auto"/>
        <w:right w:val="none" w:sz="0" w:space="0" w:color="auto"/>
      </w:divBdr>
    </w:div>
    <w:div w:id="1030033013">
      <w:bodyDiv w:val="1"/>
      <w:marLeft w:val="0"/>
      <w:marRight w:val="0"/>
      <w:marTop w:val="0"/>
      <w:marBottom w:val="0"/>
      <w:divBdr>
        <w:top w:val="none" w:sz="0" w:space="0" w:color="auto"/>
        <w:left w:val="none" w:sz="0" w:space="0" w:color="auto"/>
        <w:bottom w:val="none" w:sz="0" w:space="0" w:color="auto"/>
        <w:right w:val="none" w:sz="0" w:space="0" w:color="auto"/>
      </w:divBdr>
    </w:div>
    <w:div w:id="1031491181">
      <w:bodyDiv w:val="1"/>
      <w:marLeft w:val="0"/>
      <w:marRight w:val="0"/>
      <w:marTop w:val="0"/>
      <w:marBottom w:val="0"/>
      <w:divBdr>
        <w:top w:val="none" w:sz="0" w:space="0" w:color="auto"/>
        <w:left w:val="none" w:sz="0" w:space="0" w:color="auto"/>
        <w:bottom w:val="none" w:sz="0" w:space="0" w:color="auto"/>
        <w:right w:val="none" w:sz="0" w:space="0" w:color="auto"/>
      </w:divBdr>
    </w:div>
    <w:div w:id="1032192314">
      <w:bodyDiv w:val="1"/>
      <w:marLeft w:val="0"/>
      <w:marRight w:val="0"/>
      <w:marTop w:val="0"/>
      <w:marBottom w:val="0"/>
      <w:divBdr>
        <w:top w:val="none" w:sz="0" w:space="0" w:color="auto"/>
        <w:left w:val="none" w:sz="0" w:space="0" w:color="auto"/>
        <w:bottom w:val="none" w:sz="0" w:space="0" w:color="auto"/>
        <w:right w:val="none" w:sz="0" w:space="0" w:color="auto"/>
      </w:divBdr>
    </w:div>
    <w:div w:id="1036083421">
      <w:bodyDiv w:val="1"/>
      <w:marLeft w:val="0"/>
      <w:marRight w:val="0"/>
      <w:marTop w:val="0"/>
      <w:marBottom w:val="0"/>
      <w:divBdr>
        <w:top w:val="none" w:sz="0" w:space="0" w:color="auto"/>
        <w:left w:val="none" w:sz="0" w:space="0" w:color="auto"/>
        <w:bottom w:val="none" w:sz="0" w:space="0" w:color="auto"/>
        <w:right w:val="none" w:sz="0" w:space="0" w:color="auto"/>
      </w:divBdr>
    </w:div>
    <w:div w:id="1036852095">
      <w:bodyDiv w:val="1"/>
      <w:marLeft w:val="0"/>
      <w:marRight w:val="0"/>
      <w:marTop w:val="0"/>
      <w:marBottom w:val="0"/>
      <w:divBdr>
        <w:top w:val="none" w:sz="0" w:space="0" w:color="auto"/>
        <w:left w:val="none" w:sz="0" w:space="0" w:color="auto"/>
        <w:bottom w:val="none" w:sz="0" w:space="0" w:color="auto"/>
        <w:right w:val="none" w:sz="0" w:space="0" w:color="auto"/>
      </w:divBdr>
    </w:div>
    <w:div w:id="1038507128">
      <w:bodyDiv w:val="1"/>
      <w:marLeft w:val="0"/>
      <w:marRight w:val="0"/>
      <w:marTop w:val="0"/>
      <w:marBottom w:val="0"/>
      <w:divBdr>
        <w:top w:val="none" w:sz="0" w:space="0" w:color="auto"/>
        <w:left w:val="none" w:sz="0" w:space="0" w:color="auto"/>
        <w:bottom w:val="none" w:sz="0" w:space="0" w:color="auto"/>
        <w:right w:val="none" w:sz="0" w:space="0" w:color="auto"/>
      </w:divBdr>
    </w:div>
    <w:div w:id="1038697998">
      <w:bodyDiv w:val="1"/>
      <w:marLeft w:val="0"/>
      <w:marRight w:val="0"/>
      <w:marTop w:val="0"/>
      <w:marBottom w:val="0"/>
      <w:divBdr>
        <w:top w:val="none" w:sz="0" w:space="0" w:color="auto"/>
        <w:left w:val="none" w:sz="0" w:space="0" w:color="auto"/>
        <w:bottom w:val="none" w:sz="0" w:space="0" w:color="auto"/>
        <w:right w:val="none" w:sz="0" w:space="0" w:color="auto"/>
      </w:divBdr>
    </w:div>
    <w:div w:id="1040591063">
      <w:bodyDiv w:val="1"/>
      <w:marLeft w:val="0"/>
      <w:marRight w:val="0"/>
      <w:marTop w:val="0"/>
      <w:marBottom w:val="0"/>
      <w:divBdr>
        <w:top w:val="none" w:sz="0" w:space="0" w:color="auto"/>
        <w:left w:val="none" w:sz="0" w:space="0" w:color="auto"/>
        <w:bottom w:val="none" w:sz="0" w:space="0" w:color="auto"/>
        <w:right w:val="none" w:sz="0" w:space="0" w:color="auto"/>
      </w:divBdr>
    </w:div>
    <w:div w:id="1045063353">
      <w:bodyDiv w:val="1"/>
      <w:marLeft w:val="0"/>
      <w:marRight w:val="0"/>
      <w:marTop w:val="0"/>
      <w:marBottom w:val="0"/>
      <w:divBdr>
        <w:top w:val="none" w:sz="0" w:space="0" w:color="auto"/>
        <w:left w:val="none" w:sz="0" w:space="0" w:color="auto"/>
        <w:bottom w:val="none" w:sz="0" w:space="0" w:color="auto"/>
        <w:right w:val="none" w:sz="0" w:space="0" w:color="auto"/>
      </w:divBdr>
      <w:divsChild>
        <w:div w:id="1121538197">
          <w:marLeft w:val="0"/>
          <w:marRight w:val="0"/>
          <w:marTop w:val="0"/>
          <w:marBottom w:val="0"/>
          <w:divBdr>
            <w:top w:val="none" w:sz="0" w:space="0" w:color="auto"/>
            <w:left w:val="none" w:sz="0" w:space="0" w:color="auto"/>
            <w:bottom w:val="none" w:sz="0" w:space="0" w:color="auto"/>
            <w:right w:val="none" w:sz="0" w:space="0" w:color="auto"/>
          </w:divBdr>
        </w:div>
        <w:div w:id="364452631">
          <w:marLeft w:val="0"/>
          <w:marRight w:val="0"/>
          <w:marTop w:val="0"/>
          <w:marBottom w:val="0"/>
          <w:divBdr>
            <w:top w:val="none" w:sz="0" w:space="0" w:color="auto"/>
            <w:left w:val="none" w:sz="0" w:space="0" w:color="auto"/>
            <w:bottom w:val="none" w:sz="0" w:space="0" w:color="auto"/>
            <w:right w:val="none" w:sz="0" w:space="0" w:color="auto"/>
          </w:divBdr>
        </w:div>
        <w:div w:id="1110660965">
          <w:marLeft w:val="0"/>
          <w:marRight w:val="0"/>
          <w:marTop w:val="0"/>
          <w:marBottom w:val="0"/>
          <w:divBdr>
            <w:top w:val="none" w:sz="0" w:space="0" w:color="auto"/>
            <w:left w:val="none" w:sz="0" w:space="0" w:color="auto"/>
            <w:bottom w:val="none" w:sz="0" w:space="0" w:color="auto"/>
            <w:right w:val="none" w:sz="0" w:space="0" w:color="auto"/>
          </w:divBdr>
        </w:div>
        <w:div w:id="1391615181">
          <w:marLeft w:val="0"/>
          <w:marRight w:val="0"/>
          <w:marTop w:val="0"/>
          <w:marBottom w:val="0"/>
          <w:divBdr>
            <w:top w:val="none" w:sz="0" w:space="0" w:color="auto"/>
            <w:left w:val="none" w:sz="0" w:space="0" w:color="auto"/>
            <w:bottom w:val="none" w:sz="0" w:space="0" w:color="auto"/>
            <w:right w:val="none" w:sz="0" w:space="0" w:color="auto"/>
          </w:divBdr>
        </w:div>
        <w:div w:id="1247688289">
          <w:marLeft w:val="0"/>
          <w:marRight w:val="0"/>
          <w:marTop w:val="0"/>
          <w:marBottom w:val="0"/>
          <w:divBdr>
            <w:top w:val="none" w:sz="0" w:space="0" w:color="auto"/>
            <w:left w:val="none" w:sz="0" w:space="0" w:color="auto"/>
            <w:bottom w:val="none" w:sz="0" w:space="0" w:color="auto"/>
            <w:right w:val="none" w:sz="0" w:space="0" w:color="auto"/>
          </w:divBdr>
        </w:div>
        <w:div w:id="1139223510">
          <w:marLeft w:val="0"/>
          <w:marRight w:val="0"/>
          <w:marTop w:val="0"/>
          <w:marBottom w:val="0"/>
          <w:divBdr>
            <w:top w:val="none" w:sz="0" w:space="0" w:color="auto"/>
            <w:left w:val="none" w:sz="0" w:space="0" w:color="auto"/>
            <w:bottom w:val="none" w:sz="0" w:space="0" w:color="auto"/>
            <w:right w:val="none" w:sz="0" w:space="0" w:color="auto"/>
          </w:divBdr>
        </w:div>
      </w:divsChild>
    </w:div>
    <w:div w:id="1049692733">
      <w:bodyDiv w:val="1"/>
      <w:marLeft w:val="0"/>
      <w:marRight w:val="0"/>
      <w:marTop w:val="0"/>
      <w:marBottom w:val="0"/>
      <w:divBdr>
        <w:top w:val="none" w:sz="0" w:space="0" w:color="auto"/>
        <w:left w:val="none" w:sz="0" w:space="0" w:color="auto"/>
        <w:bottom w:val="none" w:sz="0" w:space="0" w:color="auto"/>
        <w:right w:val="none" w:sz="0" w:space="0" w:color="auto"/>
      </w:divBdr>
      <w:divsChild>
        <w:div w:id="2173106">
          <w:marLeft w:val="0"/>
          <w:marRight w:val="0"/>
          <w:marTop w:val="0"/>
          <w:marBottom w:val="0"/>
          <w:divBdr>
            <w:top w:val="none" w:sz="0" w:space="0" w:color="auto"/>
            <w:left w:val="none" w:sz="0" w:space="0" w:color="auto"/>
            <w:bottom w:val="none" w:sz="0" w:space="0" w:color="auto"/>
            <w:right w:val="none" w:sz="0" w:space="0" w:color="auto"/>
          </w:divBdr>
          <w:divsChild>
            <w:div w:id="203896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432086">
      <w:bodyDiv w:val="1"/>
      <w:marLeft w:val="0"/>
      <w:marRight w:val="0"/>
      <w:marTop w:val="0"/>
      <w:marBottom w:val="0"/>
      <w:divBdr>
        <w:top w:val="none" w:sz="0" w:space="0" w:color="auto"/>
        <w:left w:val="none" w:sz="0" w:space="0" w:color="auto"/>
        <w:bottom w:val="none" w:sz="0" w:space="0" w:color="auto"/>
        <w:right w:val="none" w:sz="0" w:space="0" w:color="auto"/>
      </w:divBdr>
    </w:div>
    <w:div w:id="1054545631">
      <w:bodyDiv w:val="1"/>
      <w:marLeft w:val="0"/>
      <w:marRight w:val="0"/>
      <w:marTop w:val="0"/>
      <w:marBottom w:val="0"/>
      <w:divBdr>
        <w:top w:val="none" w:sz="0" w:space="0" w:color="auto"/>
        <w:left w:val="none" w:sz="0" w:space="0" w:color="auto"/>
        <w:bottom w:val="none" w:sz="0" w:space="0" w:color="auto"/>
        <w:right w:val="none" w:sz="0" w:space="0" w:color="auto"/>
      </w:divBdr>
    </w:div>
    <w:div w:id="1058013449">
      <w:bodyDiv w:val="1"/>
      <w:marLeft w:val="0"/>
      <w:marRight w:val="0"/>
      <w:marTop w:val="0"/>
      <w:marBottom w:val="0"/>
      <w:divBdr>
        <w:top w:val="none" w:sz="0" w:space="0" w:color="auto"/>
        <w:left w:val="none" w:sz="0" w:space="0" w:color="auto"/>
        <w:bottom w:val="none" w:sz="0" w:space="0" w:color="auto"/>
        <w:right w:val="none" w:sz="0" w:space="0" w:color="auto"/>
      </w:divBdr>
    </w:div>
    <w:div w:id="1059282276">
      <w:bodyDiv w:val="1"/>
      <w:marLeft w:val="0"/>
      <w:marRight w:val="0"/>
      <w:marTop w:val="0"/>
      <w:marBottom w:val="0"/>
      <w:divBdr>
        <w:top w:val="none" w:sz="0" w:space="0" w:color="auto"/>
        <w:left w:val="none" w:sz="0" w:space="0" w:color="auto"/>
        <w:bottom w:val="none" w:sz="0" w:space="0" w:color="auto"/>
        <w:right w:val="none" w:sz="0" w:space="0" w:color="auto"/>
      </w:divBdr>
    </w:div>
    <w:div w:id="1070930780">
      <w:bodyDiv w:val="1"/>
      <w:marLeft w:val="0"/>
      <w:marRight w:val="0"/>
      <w:marTop w:val="0"/>
      <w:marBottom w:val="0"/>
      <w:divBdr>
        <w:top w:val="none" w:sz="0" w:space="0" w:color="auto"/>
        <w:left w:val="none" w:sz="0" w:space="0" w:color="auto"/>
        <w:bottom w:val="none" w:sz="0" w:space="0" w:color="auto"/>
        <w:right w:val="none" w:sz="0" w:space="0" w:color="auto"/>
      </w:divBdr>
    </w:div>
    <w:div w:id="1074740419">
      <w:bodyDiv w:val="1"/>
      <w:marLeft w:val="0"/>
      <w:marRight w:val="0"/>
      <w:marTop w:val="0"/>
      <w:marBottom w:val="0"/>
      <w:divBdr>
        <w:top w:val="none" w:sz="0" w:space="0" w:color="auto"/>
        <w:left w:val="none" w:sz="0" w:space="0" w:color="auto"/>
        <w:bottom w:val="none" w:sz="0" w:space="0" w:color="auto"/>
        <w:right w:val="none" w:sz="0" w:space="0" w:color="auto"/>
      </w:divBdr>
    </w:div>
    <w:div w:id="1079864182">
      <w:bodyDiv w:val="1"/>
      <w:marLeft w:val="0"/>
      <w:marRight w:val="0"/>
      <w:marTop w:val="0"/>
      <w:marBottom w:val="0"/>
      <w:divBdr>
        <w:top w:val="none" w:sz="0" w:space="0" w:color="auto"/>
        <w:left w:val="none" w:sz="0" w:space="0" w:color="auto"/>
        <w:bottom w:val="none" w:sz="0" w:space="0" w:color="auto"/>
        <w:right w:val="none" w:sz="0" w:space="0" w:color="auto"/>
      </w:divBdr>
    </w:div>
    <w:div w:id="1096512458">
      <w:bodyDiv w:val="1"/>
      <w:marLeft w:val="0"/>
      <w:marRight w:val="0"/>
      <w:marTop w:val="0"/>
      <w:marBottom w:val="0"/>
      <w:divBdr>
        <w:top w:val="none" w:sz="0" w:space="0" w:color="auto"/>
        <w:left w:val="none" w:sz="0" w:space="0" w:color="auto"/>
        <w:bottom w:val="none" w:sz="0" w:space="0" w:color="auto"/>
        <w:right w:val="none" w:sz="0" w:space="0" w:color="auto"/>
      </w:divBdr>
    </w:div>
    <w:div w:id="1098719545">
      <w:bodyDiv w:val="1"/>
      <w:marLeft w:val="0"/>
      <w:marRight w:val="0"/>
      <w:marTop w:val="0"/>
      <w:marBottom w:val="0"/>
      <w:divBdr>
        <w:top w:val="none" w:sz="0" w:space="0" w:color="auto"/>
        <w:left w:val="none" w:sz="0" w:space="0" w:color="auto"/>
        <w:bottom w:val="none" w:sz="0" w:space="0" w:color="auto"/>
        <w:right w:val="none" w:sz="0" w:space="0" w:color="auto"/>
      </w:divBdr>
    </w:div>
    <w:div w:id="1101028576">
      <w:bodyDiv w:val="1"/>
      <w:marLeft w:val="0"/>
      <w:marRight w:val="0"/>
      <w:marTop w:val="0"/>
      <w:marBottom w:val="0"/>
      <w:divBdr>
        <w:top w:val="none" w:sz="0" w:space="0" w:color="auto"/>
        <w:left w:val="none" w:sz="0" w:space="0" w:color="auto"/>
        <w:bottom w:val="none" w:sz="0" w:space="0" w:color="auto"/>
        <w:right w:val="none" w:sz="0" w:space="0" w:color="auto"/>
      </w:divBdr>
    </w:div>
    <w:div w:id="1106342702">
      <w:bodyDiv w:val="1"/>
      <w:marLeft w:val="0"/>
      <w:marRight w:val="0"/>
      <w:marTop w:val="0"/>
      <w:marBottom w:val="0"/>
      <w:divBdr>
        <w:top w:val="none" w:sz="0" w:space="0" w:color="auto"/>
        <w:left w:val="none" w:sz="0" w:space="0" w:color="auto"/>
        <w:bottom w:val="none" w:sz="0" w:space="0" w:color="auto"/>
        <w:right w:val="none" w:sz="0" w:space="0" w:color="auto"/>
      </w:divBdr>
    </w:div>
    <w:div w:id="1109080107">
      <w:bodyDiv w:val="1"/>
      <w:marLeft w:val="0"/>
      <w:marRight w:val="0"/>
      <w:marTop w:val="0"/>
      <w:marBottom w:val="0"/>
      <w:divBdr>
        <w:top w:val="none" w:sz="0" w:space="0" w:color="auto"/>
        <w:left w:val="none" w:sz="0" w:space="0" w:color="auto"/>
        <w:bottom w:val="none" w:sz="0" w:space="0" w:color="auto"/>
        <w:right w:val="none" w:sz="0" w:space="0" w:color="auto"/>
      </w:divBdr>
    </w:div>
    <w:div w:id="1112893672">
      <w:bodyDiv w:val="1"/>
      <w:marLeft w:val="0"/>
      <w:marRight w:val="0"/>
      <w:marTop w:val="0"/>
      <w:marBottom w:val="0"/>
      <w:divBdr>
        <w:top w:val="none" w:sz="0" w:space="0" w:color="auto"/>
        <w:left w:val="none" w:sz="0" w:space="0" w:color="auto"/>
        <w:bottom w:val="none" w:sz="0" w:space="0" w:color="auto"/>
        <w:right w:val="none" w:sz="0" w:space="0" w:color="auto"/>
      </w:divBdr>
    </w:div>
    <w:div w:id="1115563806">
      <w:bodyDiv w:val="1"/>
      <w:marLeft w:val="0"/>
      <w:marRight w:val="0"/>
      <w:marTop w:val="0"/>
      <w:marBottom w:val="0"/>
      <w:divBdr>
        <w:top w:val="none" w:sz="0" w:space="0" w:color="auto"/>
        <w:left w:val="none" w:sz="0" w:space="0" w:color="auto"/>
        <w:bottom w:val="none" w:sz="0" w:space="0" w:color="auto"/>
        <w:right w:val="none" w:sz="0" w:space="0" w:color="auto"/>
      </w:divBdr>
    </w:div>
    <w:div w:id="1118257030">
      <w:bodyDiv w:val="1"/>
      <w:marLeft w:val="0"/>
      <w:marRight w:val="0"/>
      <w:marTop w:val="0"/>
      <w:marBottom w:val="0"/>
      <w:divBdr>
        <w:top w:val="none" w:sz="0" w:space="0" w:color="auto"/>
        <w:left w:val="none" w:sz="0" w:space="0" w:color="auto"/>
        <w:bottom w:val="none" w:sz="0" w:space="0" w:color="auto"/>
        <w:right w:val="none" w:sz="0" w:space="0" w:color="auto"/>
      </w:divBdr>
    </w:div>
    <w:div w:id="1118984835">
      <w:bodyDiv w:val="1"/>
      <w:marLeft w:val="0"/>
      <w:marRight w:val="0"/>
      <w:marTop w:val="0"/>
      <w:marBottom w:val="0"/>
      <w:divBdr>
        <w:top w:val="none" w:sz="0" w:space="0" w:color="auto"/>
        <w:left w:val="none" w:sz="0" w:space="0" w:color="auto"/>
        <w:bottom w:val="none" w:sz="0" w:space="0" w:color="auto"/>
        <w:right w:val="none" w:sz="0" w:space="0" w:color="auto"/>
      </w:divBdr>
    </w:div>
    <w:div w:id="1123036690">
      <w:bodyDiv w:val="1"/>
      <w:marLeft w:val="0"/>
      <w:marRight w:val="0"/>
      <w:marTop w:val="0"/>
      <w:marBottom w:val="0"/>
      <w:divBdr>
        <w:top w:val="none" w:sz="0" w:space="0" w:color="auto"/>
        <w:left w:val="none" w:sz="0" w:space="0" w:color="auto"/>
        <w:bottom w:val="none" w:sz="0" w:space="0" w:color="auto"/>
        <w:right w:val="none" w:sz="0" w:space="0" w:color="auto"/>
      </w:divBdr>
    </w:div>
    <w:div w:id="1128014453">
      <w:bodyDiv w:val="1"/>
      <w:marLeft w:val="0"/>
      <w:marRight w:val="0"/>
      <w:marTop w:val="0"/>
      <w:marBottom w:val="0"/>
      <w:divBdr>
        <w:top w:val="none" w:sz="0" w:space="0" w:color="auto"/>
        <w:left w:val="none" w:sz="0" w:space="0" w:color="auto"/>
        <w:bottom w:val="none" w:sz="0" w:space="0" w:color="auto"/>
        <w:right w:val="none" w:sz="0" w:space="0" w:color="auto"/>
      </w:divBdr>
    </w:div>
    <w:div w:id="1131434612">
      <w:bodyDiv w:val="1"/>
      <w:marLeft w:val="0"/>
      <w:marRight w:val="0"/>
      <w:marTop w:val="0"/>
      <w:marBottom w:val="0"/>
      <w:divBdr>
        <w:top w:val="none" w:sz="0" w:space="0" w:color="auto"/>
        <w:left w:val="none" w:sz="0" w:space="0" w:color="auto"/>
        <w:bottom w:val="none" w:sz="0" w:space="0" w:color="auto"/>
        <w:right w:val="none" w:sz="0" w:space="0" w:color="auto"/>
      </w:divBdr>
    </w:div>
    <w:div w:id="1132795950">
      <w:bodyDiv w:val="1"/>
      <w:marLeft w:val="0"/>
      <w:marRight w:val="0"/>
      <w:marTop w:val="0"/>
      <w:marBottom w:val="0"/>
      <w:divBdr>
        <w:top w:val="none" w:sz="0" w:space="0" w:color="auto"/>
        <w:left w:val="none" w:sz="0" w:space="0" w:color="auto"/>
        <w:bottom w:val="none" w:sz="0" w:space="0" w:color="auto"/>
        <w:right w:val="none" w:sz="0" w:space="0" w:color="auto"/>
      </w:divBdr>
    </w:div>
    <w:div w:id="1137841366">
      <w:bodyDiv w:val="1"/>
      <w:marLeft w:val="0"/>
      <w:marRight w:val="0"/>
      <w:marTop w:val="0"/>
      <w:marBottom w:val="0"/>
      <w:divBdr>
        <w:top w:val="none" w:sz="0" w:space="0" w:color="auto"/>
        <w:left w:val="none" w:sz="0" w:space="0" w:color="auto"/>
        <w:bottom w:val="none" w:sz="0" w:space="0" w:color="auto"/>
        <w:right w:val="none" w:sz="0" w:space="0" w:color="auto"/>
      </w:divBdr>
    </w:div>
    <w:div w:id="1144002523">
      <w:bodyDiv w:val="1"/>
      <w:marLeft w:val="0"/>
      <w:marRight w:val="0"/>
      <w:marTop w:val="0"/>
      <w:marBottom w:val="0"/>
      <w:divBdr>
        <w:top w:val="none" w:sz="0" w:space="0" w:color="auto"/>
        <w:left w:val="none" w:sz="0" w:space="0" w:color="auto"/>
        <w:bottom w:val="none" w:sz="0" w:space="0" w:color="auto"/>
        <w:right w:val="none" w:sz="0" w:space="0" w:color="auto"/>
      </w:divBdr>
    </w:div>
    <w:div w:id="1147285703">
      <w:bodyDiv w:val="1"/>
      <w:marLeft w:val="0"/>
      <w:marRight w:val="0"/>
      <w:marTop w:val="0"/>
      <w:marBottom w:val="0"/>
      <w:divBdr>
        <w:top w:val="none" w:sz="0" w:space="0" w:color="auto"/>
        <w:left w:val="none" w:sz="0" w:space="0" w:color="auto"/>
        <w:bottom w:val="none" w:sz="0" w:space="0" w:color="auto"/>
        <w:right w:val="none" w:sz="0" w:space="0" w:color="auto"/>
      </w:divBdr>
    </w:div>
    <w:div w:id="1155411866">
      <w:bodyDiv w:val="1"/>
      <w:marLeft w:val="0"/>
      <w:marRight w:val="0"/>
      <w:marTop w:val="0"/>
      <w:marBottom w:val="0"/>
      <w:divBdr>
        <w:top w:val="none" w:sz="0" w:space="0" w:color="auto"/>
        <w:left w:val="none" w:sz="0" w:space="0" w:color="auto"/>
        <w:bottom w:val="none" w:sz="0" w:space="0" w:color="auto"/>
        <w:right w:val="none" w:sz="0" w:space="0" w:color="auto"/>
      </w:divBdr>
    </w:div>
    <w:div w:id="1160266439">
      <w:bodyDiv w:val="1"/>
      <w:marLeft w:val="0"/>
      <w:marRight w:val="0"/>
      <w:marTop w:val="0"/>
      <w:marBottom w:val="0"/>
      <w:divBdr>
        <w:top w:val="none" w:sz="0" w:space="0" w:color="auto"/>
        <w:left w:val="none" w:sz="0" w:space="0" w:color="auto"/>
        <w:bottom w:val="none" w:sz="0" w:space="0" w:color="auto"/>
        <w:right w:val="none" w:sz="0" w:space="0" w:color="auto"/>
      </w:divBdr>
    </w:div>
    <w:div w:id="1184709867">
      <w:bodyDiv w:val="1"/>
      <w:marLeft w:val="0"/>
      <w:marRight w:val="0"/>
      <w:marTop w:val="0"/>
      <w:marBottom w:val="0"/>
      <w:divBdr>
        <w:top w:val="none" w:sz="0" w:space="0" w:color="auto"/>
        <w:left w:val="none" w:sz="0" w:space="0" w:color="auto"/>
        <w:bottom w:val="none" w:sz="0" w:space="0" w:color="auto"/>
        <w:right w:val="none" w:sz="0" w:space="0" w:color="auto"/>
      </w:divBdr>
    </w:div>
    <w:div w:id="1188258423">
      <w:bodyDiv w:val="1"/>
      <w:marLeft w:val="0"/>
      <w:marRight w:val="0"/>
      <w:marTop w:val="0"/>
      <w:marBottom w:val="0"/>
      <w:divBdr>
        <w:top w:val="none" w:sz="0" w:space="0" w:color="auto"/>
        <w:left w:val="none" w:sz="0" w:space="0" w:color="auto"/>
        <w:bottom w:val="none" w:sz="0" w:space="0" w:color="auto"/>
        <w:right w:val="none" w:sz="0" w:space="0" w:color="auto"/>
      </w:divBdr>
    </w:div>
    <w:div w:id="1194804119">
      <w:bodyDiv w:val="1"/>
      <w:marLeft w:val="0"/>
      <w:marRight w:val="0"/>
      <w:marTop w:val="0"/>
      <w:marBottom w:val="0"/>
      <w:divBdr>
        <w:top w:val="none" w:sz="0" w:space="0" w:color="auto"/>
        <w:left w:val="none" w:sz="0" w:space="0" w:color="auto"/>
        <w:bottom w:val="none" w:sz="0" w:space="0" w:color="auto"/>
        <w:right w:val="none" w:sz="0" w:space="0" w:color="auto"/>
      </w:divBdr>
      <w:divsChild>
        <w:div w:id="547376040">
          <w:marLeft w:val="0"/>
          <w:marRight w:val="0"/>
          <w:marTop w:val="0"/>
          <w:marBottom w:val="0"/>
          <w:divBdr>
            <w:top w:val="none" w:sz="0" w:space="0" w:color="auto"/>
            <w:left w:val="none" w:sz="0" w:space="0" w:color="auto"/>
            <w:bottom w:val="none" w:sz="0" w:space="0" w:color="auto"/>
            <w:right w:val="none" w:sz="0" w:space="0" w:color="auto"/>
          </w:divBdr>
        </w:div>
        <w:div w:id="30351028">
          <w:marLeft w:val="0"/>
          <w:marRight w:val="0"/>
          <w:marTop w:val="0"/>
          <w:marBottom w:val="0"/>
          <w:divBdr>
            <w:top w:val="none" w:sz="0" w:space="0" w:color="auto"/>
            <w:left w:val="none" w:sz="0" w:space="0" w:color="auto"/>
            <w:bottom w:val="none" w:sz="0" w:space="0" w:color="auto"/>
            <w:right w:val="none" w:sz="0" w:space="0" w:color="auto"/>
          </w:divBdr>
        </w:div>
        <w:div w:id="1701198816">
          <w:marLeft w:val="0"/>
          <w:marRight w:val="0"/>
          <w:marTop w:val="0"/>
          <w:marBottom w:val="0"/>
          <w:divBdr>
            <w:top w:val="none" w:sz="0" w:space="0" w:color="auto"/>
            <w:left w:val="none" w:sz="0" w:space="0" w:color="auto"/>
            <w:bottom w:val="none" w:sz="0" w:space="0" w:color="auto"/>
            <w:right w:val="none" w:sz="0" w:space="0" w:color="auto"/>
          </w:divBdr>
        </w:div>
        <w:div w:id="392700046">
          <w:marLeft w:val="0"/>
          <w:marRight w:val="0"/>
          <w:marTop w:val="0"/>
          <w:marBottom w:val="0"/>
          <w:divBdr>
            <w:top w:val="none" w:sz="0" w:space="0" w:color="auto"/>
            <w:left w:val="none" w:sz="0" w:space="0" w:color="auto"/>
            <w:bottom w:val="none" w:sz="0" w:space="0" w:color="auto"/>
            <w:right w:val="none" w:sz="0" w:space="0" w:color="auto"/>
          </w:divBdr>
        </w:div>
        <w:div w:id="1937253925">
          <w:marLeft w:val="0"/>
          <w:marRight w:val="0"/>
          <w:marTop w:val="0"/>
          <w:marBottom w:val="0"/>
          <w:divBdr>
            <w:top w:val="none" w:sz="0" w:space="0" w:color="auto"/>
            <w:left w:val="none" w:sz="0" w:space="0" w:color="auto"/>
            <w:bottom w:val="none" w:sz="0" w:space="0" w:color="auto"/>
            <w:right w:val="none" w:sz="0" w:space="0" w:color="auto"/>
          </w:divBdr>
        </w:div>
        <w:div w:id="1964538938">
          <w:marLeft w:val="0"/>
          <w:marRight w:val="0"/>
          <w:marTop w:val="0"/>
          <w:marBottom w:val="0"/>
          <w:divBdr>
            <w:top w:val="none" w:sz="0" w:space="0" w:color="auto"/>
            <w:left w:val="none" w:sz="0" w:space="0" w:color="auto"/>
            <w:bottom w:val="none" w:sz="0" w:space="0" w:color="auto"/>
            <w:right w:val="none" w:sz="0" w:space="0" w:color="auto"/>
          </w:divBdr>
        </w:div>
        <w:div w:id="2021929122">
          <w:marLeft w:val="0"/>
          <w:marRight w:val="0"/>
          <w:marTop w:val="0"/>
          <w:marBottom w:val="0"/>
          <w:divBdr>
            <w:top w:val="none" w:sz="0" w:space="0" w:color="auto"/>
            <w:left w:val="none" w:sz="0" w:space="0" w:color="auto"/>
            <w:bottom w:val="none" w:sz="0" w:space="0" w:color="auto"/>
            <w:right w:val="none" w:sz="0" w:space="0" w:color="auto"/>
          </w:divBdr>
        </w:div>
        <w:div w:id="1065951893">
          <w:marLeft w:val="0"/>
          <w:marRight w:val="0"/>
          <w:marTop w:val="0"/>
          <w:marBottom w:val="0"/>
          <w:divBdr>
            <w:top w:val="none" w:sz="0" w:space="0" w:color="auto"/>
            <w:left w:val="none" w:sz="0" w:space="0" w:color="auto"/>
            <w:bottom w:val="none" w:sz="0" w:space="0" w:color="auto"/>
            <w:right w:val="none" w:sz="0" w:space="0" w:color="auto"/>
          </w:divBdr>
        </w:div>
      </w:divsChild>
    </w:div>
    <w:div w:id="1195121650">
      <w:bodyDiv w:val="1"/>
      <w:marLeft w:val="0"/>
      <w:marRight w:val="0"/>
      <w:marTop w:val="0"/>
      <w:marBottom w:val="0"/>
      <w:divBdr>
        <w:top w:val="none" w:sz="0" w:space="0" w:color="auto"/>
        <w:left w:val="none" w:sz="0" w:space="0" w:color="auto"/>
        <w:bottom w:val="none" w:sz="0" w:space="0" w:color="auto"/>
        <w:right w:val="none" w:sz="0" w:space="0" w:color="auto"/>
      </w:divBdr>
    </w:div>
    <w:div w:id="1206604130">
      <w:bodyDiv w:val="1"/>
      <w:marLeft w:val="0"/>
      <w:marRight w:val="0"/>
      <w:marTop w:val="0"/>
      <w:marBottom w:val="0"/>
      <w:divBdr>
        <w:top w:val="none" w:sz="0" w:space="0" w:color="auto"/>
        <w:left w:val="none" w:sz="0" w:space="0" w:color="auto"/>
        <w:bottom w:val="none" w:sz="0" w:space="0" w:color="auto"/>
        <w:right w:val="none" w:sz="0" w:space="0" w:color="auto"/>
      </w:divBdr>
    </w:div>
    <w:div w:id="1214466847">
      <w:bodyDiv w:val="1"/>
      <w:marLeft w:val="0"/>
      <w:marRight w:val="0"/>
      <w:marTop w:val="0"/>
      <w:marBottom w:val="0"/>
      <w:divBdr>
        <w:top w:val="none" w:sz="0" w:space="0" w:color="auto"/>
        <w:left w:val="none" w:sz="0" w:space="0" w:color="auto"/>
        <w:bottom w:val="none" w:sz="0" w:space="0" w:color="auto"/>
        <w:right w:val="none" w:sz="0" w:space="0" w:color="auto"/>
      </w:divBdr>
    </w:div>
    <w:div w:id="1221674761">
      <w:bodyDiv w:val="1"/>
      <w:marLeft w:val="0"/>
      <w:marRight w:val="0"/>
      <w:marTop w:val="0"/>
      <w:marBottom w:val="0"/>
      <w:divBdr>
        <w:top w:val="none" w:sz="0" w:space="0" w:color="auto"/>
        <w:left w:val="none" w:sz="0" w:space="0" w:color="auto"/>
        <w:bottom w:val="none" w:sz="0" w:space="0" w:color="auto"/>
        <w:right w:val="none" w:sz="0" w:space="0" w:color="auto"/>
      </w:divBdr>
    </w:div>
    <w:div w:id="1229420775">
      <w:bodyDiv w:val="1"/>
      <w:marLeft w:val="0"/>
      <w:marRight w:val="0"/>
      <w:marTop w:val="0"/>
      <w:marBottom w:val="0"/>
      <w:divBdr>
        <w:top w:val="none" w:sz="0" w:space="0" w:color="auto"/>
        <w:left w:val="none" w:sz="0" w:space="0" w:color="auto"/>
        <w:bottom w:val="none" w:sz="0" w:space="0" w:color="auto"/>
        <w:right w:val="none" w:sz="0" w:space="0" w:color="auto"/>
      </w:divBdr>
    </w:div>
    <w:div w:id="1230648822">
      <w:bodyDiv w:val="1"/>
      <w:marLeft w:val="0"/>
      <w:marRight w:val="0"/>
      <w:marTop w:val="0"/>
      <w:marBottom w:val="0"/>
      <w:divBdr>
        <w:top w:val="none" w:sz="0" w:space="0" w:color="auto"/>
        <w:left w:val="none" w:sz="0" w:space="0" w:color="auto"/>
        <w:bottom w:val="none" w:sz="0" w:space="0" w:color="auto"/>
        <w:right w:val="none" w:sz="0" w:space="0" w:color="auto"/>
      </w:divBdr>
    </w:div>
    <w:div w:id="1238007669">
      <w:bodyDiv w:val="1"/>
      <w:marLeft w:val="0"/>
      <w:marRight w:val="0"/>
      <w:marTop w:val="0"/>
      <w:marBottom w:val="0"/>
      <w:divBdr>
        <w:top w:val="none" w:sz="0" w:space="0" w:color="auto"/>
        <w:left w:val="none" w:sz="0" w:space="0" w:color="auto"/>
        <w:bottom w:val="none" w:sz="0" w:space="0" w:color="auto"/>
        <w:right w:val="none" w:sz="0" w:space="0" w:color="auto"/>
      </w:divBdr>
    </w:div>
    <w:div w:id="1239286336">
      <w:bodyDiv w:val="1"/>
      <w:marLeft w:val="0"/>
      <w:marRight w:val="0"/>
      <w:marTop w:val="0"/>
      <w:marBottom w:val="0"/>
      <w:divBdr>
        <w:top w:val="none" w:sz="0" w:space="0" w:color="auto"/>
        <w:left w:val="none" w:sz="0" w:space="0" w:color="auto"/>
        <w:bottom w:val="none" w:sz="0" w:space="0" w:color="auto"/>
        <w:right w:val="none" w:sz="0" w:space="0" w:color="auto"/>
      </w:divBdr>
    </w:div>
    <w:div w:id="1239749189">
      <w:bodyDiv w:val="1"/>
      <w:marLeft w:val="0"/>
      <w:marRight w:val="0"/>
      <w:marTop w:val="0"/>
      <w:marBottom w:val="0"/>
      <w:divBdr>
        <w:top w:val="none" w:sz="0" w:space="0" w:color="auto"/>
        <w:left w:val="none" w:sz="0" w:space="0" w:color="auto"/>
        <w:bottom w:val="none" w:sz="0" w:space="0" w:color="auto"/>
        <w:right w:val="none" w:sz="0" w:space="0" w:color="auto"/>
      </w:divBdr>
    </w:div>
    <w:div w:id="1244342018">
      <w:bodyDiv w:val="1"/>
      <w:marLeft w:val="0"/>
      <w:marRight w:val="0"/>
      <w:marTop w:val="0"/>
      <w:marBottom w:val="0"/>
      <w:divBdr>
        <w:top w:val="none" w:sz="0" w:space="0" w:color="auto"/>
        <w:left w:val="none" w:sz="0" w:space="0" w:color="auto"/>
        <w:bottom w:val="none" w:sz="0" w:space="0" w:color="auto"/>
        <w:right w:val="none" w:sz="0" w:space="0" w:color="auto"/>
      </w:divBdr>
    </w:div>
    <w:div w:id="1249385505">
      <w:bodyDiv w:val="1"/>
      <w:marLeft w:val="0"/>
      <w:marRight w:val="0"/>
      <w:marTop w:val="0"/>
      <w:marBottom w:val="0"/>
      <w:divBdr>
        <w:top w:val="none" w:sz="0" w:space="0" w:color="auto"/>
        <w:left w:val="none" w:sz="0" w:space="0" w:color="auto"/>
        <w:bottom w:val="none" w:sz="0" w:space="0" w:color="auto"/>
        <w:right w:val="none" w:sz="0" w:space="0" w:color="auto"/>
      </w:divBdr>
    </w:div>
    <w:div w:id="1250037923">
      <w:bodyDiv w:val="1"/>
      <w:marLeft w:val="0"/>
      <w:marRight w:val="0"/>
      <w:marTop w:val="0"/>
      <w:marBottom w:val="0"/>
      <w:divBdr>
        <w:top w:val="none" w:sz="0" w:space="0" w:color="auto"/>
        <w:left w:val="none" w:sz="0" w:space="0" w:color="auto"/>
        <w:bottom w:val="none" w:sz="0" w:space="0" w:color="auto"/>
        <w:right w:val="none" w:sz="0" w:space="0" w:color="auto"/>
      </w:divBdr>
    </w:div>
    <w:div w:id="1252814435">
      <w:bodyDiv w:val="1"/>
      <w:marLeft w:val="0"/>
      <w:marRight w:val="0"/>
      <w:marTop w:val="0"/>
      <w:marBottom w:val="0"/>
      <w:divBdr>
        <w:top w:val="none" w:sz="0" w:space="0" w:color="auto"/>
        <w:left w:val="none" w:sz="0" w:space="0" w:color="auto"/>
        <w:bottom w:val="none" w:sz="0" w:space="0" w:color="auto"/>
        <w:right w:val="none" w:sz="0" w:space="0" w:color="auto"/>
      </w:divBdr>
    </w:div>
    <w:div w:id="1260219529">
      <w:bodyDiv w:val="1"/>
      <w:marLeft w:val="0"/>
      <w:marRight w:val="0"/>
      <w:marTop w:val="0"/>
      <w:marBottom w:val="0"/>
      <w:divBdr>
        <w:top w:val="none" w:sz="0" w:space="0" w:color="auto"/>
        <w:left w:val="none" w:sz="0" w:space="0" w:color="auto"/>
        <w:bottom w:val="none" w:sz="0" w:space="0" w:color="auto"/>
        <w:right w:val="none" w:sz="0" w:space="0" w:color="auto"/>
      </w:divBdr>
    </w:div>
    <w:div w:id="1262371883">
      <w:bodyDiv w:val="1"/>
      <w:marLeft w:val="0"/>
      <w:marRight w:val="0"/>
      <w:marTop w:val="0"/>
      <w:marBottom w:val="0"/>
      <w:divBdr>
        <w:top w:val="none" w:sz="0" w:space="0" w:color="auto"/>
        <w:left w:val="none" w:sz="0" w:space="0" w:color="auto"/>
        <w:bottom w:val="none" w:sz="0" w:space="0" w:color="auto"/>
        <w:right w:val="none" w:sz="0" w:space="0" w:color="auto"/>
      </w:divBdr>
    </w:div>
    <w:div w:id="1282033063">
      <w:bodyDiv w:val="1"/>
      <w:marLeft w:val="0"/>
      <w:marRight w:val="0"/>
      <w:marTop w:val="0"/>
      <w:marBottom w:val="0"/>
      <w:divBdr>
        <w:top w:val="none" w:sz="0" w:space="0" w:color="auto"/>
        <w:left w:val="none" w:sz="0" w:space="0" w:color="auto"/>
        <w:bottom w:val="none" w:sz="0" w:space="0" w:color="auto"/>
        <w:right w:val="none" w:sz="0" w:space="0" w:color="auto"/>
      </w:divBdr>
    </w:div>
    <w:div w:id="1285118071">
      <w:bodyDiv w:val="1"/>
      <w:marLeft w:val="0"/>
      <w:marRight w:val="0"/>
      <w:marTop w:val="0"/>
      <w:marBottom w:val="0"/>
      <w:divBdr>
        <w:top w:val="none" w:sz="0" w:space="0" w:color="auto"/>
        <w:left w:val="none" w:sz="0" w:space="0" w:color="auto"/>
        <w:bottom w:val="none" w:sz="0" w:space="0" w:color="auto"/>
        <w:right w:val="none" w:sz="0" w:space="0" w:color="auto"/>
      </w:divBdr>
    </w:div>
    <w:div w:id="1291981414">
      <w:bodyDiv w:val="1"/>
      <w:marLeft w:val="0"/>
      <w:marRight w:val="0"/>
      <w:marTop w:val="0"/>
      <w:marBottom w:val="0"/>
      <w:divBdr>
        <w:top w:val="none" w:sz="0" w:space="0" w:color="auto"/>
        <w:left w:val="none" w:sz="0" w:space="0" w:color="auto"/>
        <w:bottom w:val="none" w:sz="0" w:space="0" w:color="auto"/>
        <w:right w:val="none" w:sz="0" w:space="0" w:color="auto"/>
      </w:divBdr>
    </w:div>
    <w:div w:id="1293436547">
      <w:bodyDiv w:val="1"/>
      <w:marLeft w:val="0"/>
      <w:marRight w:val="0"/>
      <w:marTop w:val="0"/>
      <w:marBottom w:val="0"/>
      <w:divBdr>
        <w:top w:val="none" w:sz="0" w:space="0" w:color="auto"/>
        <w:left w:val="none" w:sz="0" w:space="0" w:color="auto"/>
        <w:bottom w:val="none" w:sz="0" w:space="0" w:color="auto"/>
        <w:right w:val="none" w:sz="0" w:space="0" w:color="auto"/>
      </w:divBdr>
    </w:div>
    <w:div w:id="1294023434">
      <w:bodyDiv w:val="1"/>
      <w:marLeft w:val="0"/>
      <w:marRight w:val="0"/>
      <w:marTop w:val="0"/>
      <w:marBottom w:val="0"/>
      <w:divBdr>
        <w:top w:val="none" w:sz="0" w:space="0" w:color="auto"/>
        <w:left w:val="none" w:sz="0" w:space="0" w:color="auto"/>
        <w:bottom w:val="none" w:sz="0" w:space="0" w:color="auto"/>
        <w:right w:val="none" w:sz="0" w:space="0" w:color="auto"/>
      </w:divBdr>
    </w:div>
    <w:div w:id="1300451403">
      <w:bodyDiv w:val="1"/>
      <w:marLeft w:val="0"/>
      <w:marRight w:val="0"/>
      <w:marTop w:val="0"/>
      <w:marBottom w:val="0"/>
      <w:divBdr>
        <w:top w:val="none" w:sz="0" w:space="0" w:color="auto"/>
        <w:left w:val="none" w:sz="0" w:space="0" w:color="auto"/>
        <w:bottom w:val="none" w:sz="0" w:space="0" w:color="auto"/>
        <w:right w:val="none" w:sz="0" w:space="0" w:color="auto"/>
      </w:divBdr>
      <w:divsChild>
        <w:div w:id="2012756761">
          <w:marLeft w:val="0"/>
          <w:marRight w:val="0"/>
          <w:marTop w:val="0"/>
          <w:marBottom w:val="0"/>
          <w:divBdr>
            <w:top w:val="none" w:sz="0" w:space="0" w:color="auto"/>
            <w:left w:val="none" w:sz="0" w:space="0" w:color="auto"/>
            <w:bottom w:val="none" w:sz="0" w:space="0" w:color="auto"/>
            <w:right w:val="none" w:sz="0" w:space="0" w:color="auto"/>
          </w:divBdr>
        </w:div>
      </w:divsChild>
    </w:div>
    <w:div w:id="1303191185">
      <w:bodyDiv w:val="1"/>
      <w:marLeft w:val="0"/>
      <w:marRight w:val="0"/>
      <w:marTop w:val="0"/>
      <w:marBottom w:val="0"/>
      <w:divBdr>
        <w:top w:val="none" w:sz="0" w:space="0" w:color="auto"/>
        <w:left w:val="none" w:sz="0" w:space="0" w:color="auto"/>
        <w:bottom w:val="none" w:sz="0" w:space="0" w:color="auto"/>
        <w:right w:val="none" w:sz="0" w:space="0" w:color="auto"/>
      </w:divBdr>
    </w:div>
    <w:div w:id="1305966682">
      <w:bodyDiv w:val="1"/>
      <w:marLeft w:val="0"/>
      <w:marRight w:val="0"/>
      <w:marTop w:val="0"/>
      <w:marBottom w:val="0"/>
      <w:divBdr>
        <w:top w:val="none" w:sz="0" w:space="0" w:color="auto"/>
        <w:left w:val="none" w:sz="0" w:space="0" w:color="auto"/>
        <w:bottom w:val="none" w:sz="0" w:space="0" w:color="auto"/>
        <w:right w:val="none" w:sz="0" w:space="0" w:color="auto"/>
      </w:divBdr>
    </w:div>
    <w:div w:id="1306548505">
      <w:bodyDiv w:val="1"/>
      <w:marLeft w:val="0"/>
      <w:marRight w:val="0"/>
      <w:marTop w:val="0"/>
      <w:marBottom w:val="0"/>
      <w:divBdr>
        <w:top w:val="none" w:sz="0" w:space="0" w:color="auto"/>
        <w:left w:val="none" w:sz="0" w:space="0" w:color="auto"/>
        <w:bottom w:val="none" w:sz="0" w:space="0" w:color="auto"/>
        <w:right w:val="none" w:sz="0" w:space="0" w:color="auto"/>
      </w:divBdr>
    </w:div>
    <w:div w:id="1316181755">
      <w:bodyDiv w:val="1"/>
      <w:marLeft w:val="0"/>
      <w:marRight w:val="0"/>
      <w:marTop w:val="0"/>
      <w:marBottom w:val="0"/>
      <w:divBdr>
        <w:top w:val="none" w:sz="0" w:space="0" w:color="auto"/>
        <w:left w:val="none" w:sz="0" w:space="0" w:color="auto"/>
        <w:bottom w:val="none" w:sz="0" w:space="0" w:color="auto"/>
        <w:right w:val="none" w:sz="0" w:space="0" w:color="auto"/>
      </w:divBdr>
    </w:div>
    <w:div w:id="1317145764">
      <w:bodyDiv w:val="1"/>
      <w:marLeft w:val="0"/>
      <w:marRight w:val="0"/>
      <w:marTop w:val="0"/>
      <w:marBottom w:val="0"/>
      <w:divBdr>
        <w:top w:val="none" w:sz="0" w:space="0" w:color="auto"/>
        <w:left w:val="none" w:sz="0" w:space="0" w:color="auto"/>
        <w:bottom w:val="none" w:sz="0" w:space="0" w:color="auto"/>
        <w:right w:val="none" w:sz="0" w:space="0" w:color="auto"/>
      </w:divBdr>
    </w:div>
    <w:div w:id="1319068671">
      <w:bodyDiv w:val="1"/>
      <w:marLeft w:val="0"/>
      <w:marRight w:val="0"/>
      <w:marTop w:val="0"/>
      <w:marBottom w:val="0"/>
      <w:divBdr>
        <w:top w:val="none" w:sz="0" w:space="0" w:color="auto"/>
        <w:left w:val="none" w:sz="0" w:space="0" w:color="auto"/>
        <w:bottom w:val="none" w:sz="0" w:space="0" w:color="auto"/>
        <w:right w:val="none" w:sz="0" w:space="0" w:color="auto"/>
      </w:divBdr>
    </w:div>
    <w:div w:id="1327976888">
      <w:bodyDiv w:val="1"/>
      <w:marLeft w:val="0"/>
      <w:marRight w:val="0"/>
      <w:marTop w:val="0"/>
      <w:marBottom w:val="0"/>
      <w:divBdr>
        <w:top w:val="none" w:sz="0" w:space="0" w:color="auto"/>
        <w:left w:val="none" w:sz="0" w:space="0" w:color="auto"/>
        <w:bottom w:val="none" w:sz="0" w:space="0" w:color="auto"/>
        <w:right w:val="none" w:sz="0" w:space="0" w:color="auto"/>
      </w:divBdr>
    </w:div>
    <w:div w:id="1333558490">
      <w:bodyDiv w:val="1"/>
      <w:marLeft w:val="0"/>
      <w:marRight w:val="0"/>
      <w:marTop w:val="0"/>
      <w:marBottom w:val="0"/>
      <w:divBdr>
        <w:top w:val="none" w:sz="0" w:space="0" w:color="auto"/>
        <w:left w:val="none" w:sz="0" w:space="0" w:color="auto"/>
        <w:bottom w:val="none" w:sz="0" w:space="0" w:color="auto"/>
        <w:right w:val="none" w:sz="0" w:space="0" w:color="auto"/>
      </w:divBdr>
    </w:div>
    <w:div w:id="1337805030">
      <w:bodyDiv w:val="1"/>
      <w:marLeft w:val="0"/>
      <w:marRight w:val="0"/>
      <w:marTop w:val="0"/>
      <w:marBottom w:val="0"/>
      <w:divBdr>
        <w:top w:val="none" w:sz="0" w:space="0" w:color="auto"/>
        <w:left w:val="none" w:sz="0" w:space="0" w:color="auto"/>
        <w:bottom w:val="none" w:sz="0" w:space="0" w:color="auto"/>
        <w:right w:val="none" w:sz="0" w:space="0" w:color="auto"/>
      </w:divBdr>
    </w:div>
    <w:div w:id="1349214247">
      <w:bodyDiv w:val="1"/>
      <w:marLeft w:val="0"/>
      <w:marRight w:val="0"/>
      <w:marTop w:val="0"/>
      <w:marBottom w:val="0"/>
      <w:divBdr>
        <w:top w:val="none" w:sz="0" w:space="0" w:color="auto"/>
        <w:left w:val="none" w:sz="0" w:space="0" w:color="auto"/>
        <w:bottom w:val="none" w:sz="0" w:space="0" w:color="auto"/>
        <w:right w:val="none" w:sz="0" w:space="0" w:color="auto"/>
      </w:divBdr>
    </w:div>
    <w:div w:id="1353650934">
      <w:bodyDiv w:val="1"/>
      <w:marLeft w:val="0"/>
      <w:marRight w:val="0"/>
      <w:marTop w:val="0"/>
      <w:marBottom w:val="0"/>
      <w:divBdr>
        <w:top w:val="none" w:sz="0" w:space="0" w:color="auto"/>
        <w:left w:val="none" w:sz="0" w:space="0" w:color="auto"/>
        <w:bottom w:val="none" w:sz="0" w:space="0" w:color="auto"/>
        <w:right w:val="none" w:sz="0" w:space="0" w:color="auto"/>
      </w:divBdr>
    </w:div>
    <w:div w:id="1357737018">
      <w:bodyDiv w:val="1"/>
      <w:marLeft w:val="0"/>
      <w:marRight w:val="0"/>
      <w:marTop w:val="0"/>
      <w:marBottom w:val="0"/>
      <w:divBdr>
        <w:top w:val="none" w:sz="0" w:space="0" w:color="auto"/>
        <w:left w:val="none" w:sz="0" w:space="0" w:color="auto"/>
        <w:bottom w:val="none" w:sz="0" w:space="0" w:color="auto"/>
        <w:right w:val="none" w:sz="0" w:space="0" w:color="auto"/>
      </w:divBdr>
    </w:div>
    <w:div w:id="1359358464">
      <w:bodyDiv w:val="1"/>
      <w:marLeft w:val="0"/>
      <w:marRight w:val="0"/>
      <w:marTop w:val="0"/>
      <w:marBottom w:val="0"/>
      <w:divBdr>
        <w:top w:val="none" w:sz="0" w:space="0" w:color="auto"/>
        <w:left w:val="none" w:sz="0" w:space="0" w:color="auto"/>
        <w:bottom w:val="none" w:sz="0" w:space="0" w:color="auto"/>
        <w:right w:val="none" w:sz="0" w:space="0" w:color="auto"/>
      </w:divBdr>
    </w:div>
    <w:div w:id="1360820198">
      <w:bodyDiv w:val="1"/>
      <w:marLeft w:val="0"/>
      <w:marRight w:val="0"/>
      <w:marTop w:val="0"/>
      <w:marBottom w:val="0"/>
      <w:divBdr>
        <w:top w:val="none" w:sz="0" w:space="0" w:color="auto"/>
        <w:left w:val="none" w:sz="0" w:space="0" w:color="auto"/>
        <w:bottom w:val="none" w:sz="0" w:space="0" w:color="auto"/>
        <w:right w:val="none" w:sz="0" w:space="0" w:color="auto"/>
      </w:divBdr>
    </w:div>
    <w:div w:id="1368220679">
      <w:bodyDiv w:val="1"/>
      <w:marLeft w:val="0"/>
      <w:marRight w:val="0"/>
      <w:marTop w:val="0"/>
      <w:marBottom w:val="0"/>
      <w:divBdr>
        <w:top w:val="none" w:sz="0" w:space="0" w:color="auto"/>
        <w:left w:val="none" w:sz="0" w:space="0" w:color="auto"/>
        <w:bottom w:val="none" w:sz="0" w:space="0" w:color="auto"/>
        <w:right w:val="none" w:sz="0" w:space="0" w:color="auto"/>
      </w:divBdr>
    </w:div>
    <w:div w:id="1374495938">
      <w:bodyDiv w:val="1"/>
      <w:marLeft w:val="0"/>
      <w:marRight w:val="0"/>
      <w:marTop w:val="0"/>
      <w:marBottom w:val="0"/>
      <w:divBdr>
        <w:top w:val="none" w:sz="0" w:space="0" w:color="auto"/>
        <w:left w:val="none" w:sz="0" w:space="0" w:color="auto"/>
        <w:bottom w:val="none" w:sz="0" w:space="0" w:color="auto"/>
        <w:right w:val="none" w:sz="0" w:space="0" w:color="auto"/>
      </w:divBdr>
    </w:div>
    <w:div w:id="1391002612">
      <w:bodyDiv w:val="1"/>
      <w:marLeft w:val="0"/>
      <w:marRight w:val="0"/>
      <w:marTop w:val="0"/>
      <w:marBottom w:val="0"/>
      <w:divBdr>
        <w:top w:val="none" w:sz="0" w:space="0" w:color="auto"/>
        <w:left w:val="none" w:sz="0" w:space="0" w:color="auto"/>
        <w:bottom w:val="none" w:sz="0" w:space="0" w:color="auto"/>
        <w:right w:val="none" w:sz="0" w:space="0" w:color="auto"/>
      </w:divBdr>
    </w:div>
    <w:div w:id="1391804764">
      <w:bodyDiv w:val="1"/>
      <w:marLeft w:val="0"/>
      <w:marRight w:val="0"/>
      <w:marTop w:val="0"/>
      <w:marBottom w:val="0"/>
      <w:divBdr>
        <w:top w:val="none" w:sz="0" w:space="0" w:color="auto"/>
        <w:left w:val="none" w:sz="0" w:space="0" w:color="auto"/>
        <w:bottom w:val="none" w:sz="0" w:space="0" w:color="auto"/>
        <w:right w:val="none" w:sz="0" w:space="0" w:color="auto"/>
      </w:divBdr>
    </w:div>
    <w:div w:id="1398892175">
      <w:bodyDiv w:val="1"/>
      <w:marLeft w:val="0"/>
      <w:marRight w:val="0"/>
      <w:marTop w:val="0"/>
      <w:marBottom w:val="0"/>
      <w:divBdr>
        <w:top w:val="none" w:sz="0" w:space="0" w:color="auto"/>
        <w:left w:val="none" w:sz="0" w:space="0" w:color="auto"/>
        <w:bottom w:val="none" w:sz="0" w:space="0" w:color="auto"/>
        <w:right w:val="none" w:sz="0" w:space="0" w:color="auto"/>
      </w:divBdr>
    </w:div>
    <w:div w:id="1403411202">
      <w:bodyDiv w:val="1"/>
      <w:marLeft w:val="0"/>
      <w:marRight w:val="0"/>
      <w:marTop w:val="0"/>
      <w:marBottom w:val="0"/>
      <w:divBdr>
        <w:top w:val="none" w:sz="0" w:space="0" w:color="auto"/>
        <w:left w:val="none" w:sz="0" w:space="0" w:color="auto"/>
        <w:bottom w:val="none" w:sz="0" w:space="0" w:color="auto"/>
        <w:right w:val="none" w:sz="0" w:space="0" w:color="auto"/>
      </w:divBdr>
    </w:div>
    <w:div w:id="1405765131">
      <w:bodyDiv w:val="1"/>
      <w:marLeft w:val="0"/>
      <w:marRight w:val="0"/>
      <w:marTop w:val="0"/>
      <w:marBottom w:val="0"/>
      <w:divBdr>
        <w:top w:val="none" w:sz="0" w:space="0" w:color="auto"/>
        <w:left w:val="none" w:sz="0" w:space="0" w:color="auto"/>
        <w:bottom w:val="none" w:sz="0" w:space="0" w:color="auto"/>
        <w:right w:val="none" w:sz="0" w:space="0" w:color="auto"/>
      </w:divBdr>
    </w:div>
    <w:div w:id="1405833276">
      <w:bodyDiv w:val="1"/>
      <w:marLeft w:val="0"/>
      <w:marRight w:val="0"/>
      <w:marTop w:val="0"/>
      <w:marBottom w:val="0"/>
      <w:divBdr>
        <w:top w:val="none" w:sz="0" w:space="0" w:color="auto"/>
        <w:left w:val="none" w:sz="0" w:space="0" w:color="auto"/>
        <w:bottom w:val="none" w:sz="0" w:space="0" w:color="auto"/>
        <w:right w:val="none" w:sz="0" w:space="0" w:color="auto"/>
      </w:divBdr>
    </w:div>
    <w:div w:id="1409038596">
      <w:bodyDiv w:val="1"/>
      <w:marLeft w:val="0"/>
      <w:marRight w:val="0"/>
      <w:marTop w:val="0"/>
      <w:marBottom w:val="0"/>
      <w:divBdr>
        <w:top w:val="none" w:sz="0" w:space="0" w:color="auto"/>
        <w:left w:val="none" w:sz="0" w:space="0" w:color="auto"/>
        <w:bottom w:val="none" w:sz="0" w:space="0" w:color="auto"/>
        <w:right w:val="none" w:sz="0" w:space="0" w:color="auto"/>
      </w:divBdr>
    </w:div>
    <w:div w:id="1431319457">
      <w:bodyDiv w:val="1"/>
      <w:marLeft w:val="0"/>
      <w:marRight w:val="0"/>
      <w:marTop w:val="0"/>
      <w:marBottom w:val="0"/>
      <w:divBdr>
        <w:top w:val="none" w:sz="0" w:space="0" w:color="auto"/>
        <w:left w:val="none" w:sz="0" w:space="0" w:color="auto"/>
        <w:bottom w:val="none" w:sz="0" w:space="0" w:color="auto"/>
        <w:right w:val="none" w:sz="0" w:space="0" w:color="auto"/>
      </w:divBdr>
      <w:divsChild>
        <w:div w:id="486091764">
          <w:marLeft w:val="0"/>
          <w:marRight w:val="0"/>
          <w:marTop w:val="0"/>
          <w:marBottom w:val="0"/>
          <w:divBdr>
            <w:top w:val="none" w:sz="0" w:space="0" w:color="auto"/>
            <w:left w:val="none" w:sz="0" w:space="0" w:color="auto"/>
            <w:bottom w:val="none" w:sz="0" w:space="0" w:color="auto"/>
            <w:right w:val="none" w:sz="0" w:space="0" w:color="auto"/>
          </w:divBdr>
          <w:divsChild>
            <w:div w:id="1119447198">
              <w:marLeft w:val="0"/>
              <w:marRight w:val="0"/>
              <w:marTop w:val="0"/>
              <w:marBottom w:val="0"/>
              <w:divBdr>
                <w:top w:val="none" w:sz="0" w:space="0" w:color="auto"/>
                <w:left w:val="none" w:sz="0" w:space="0" w:color="auto"/>
                <w:bottom w:val="none" w:sz="0" w:space="0" w:color="auto"/>
                <w:right w:val="none" w:sz="0" w:space="0" w:color="auto"/>
              </w:divBdr>
              <w:divsChild>
                <w:div w:id="311524703">
                  <w:marLeft w:val="0"/>
                  <w:marRight w:val="0"/>
                  <w:marTop w:val="0"/>
                  <w:marBottom w:val="0"/>
                  <w:divBdr>
                    <w:top w:val="none" w:sz="0" w:space="0" w:color="auto"/>
                    <w:left w:val="none" w:sz="0" w:space="0" w:color="auto"/>
                    <w:bottom w:val="none" w:sz="0" w:space="0" w:color="auto"/>
                    <w:right w:val="none" w:sz="0" w:space="0" w:color="auto"/>
                  </w:divBdr>
                  <w:divsChild>
                    <w:div w:id="1636714518">
                      <w:marLeft w:val="0"/>
                      <w:marRight w:val="0"/>
                      <w:marTop w:val="0"/>
                      <w:marBottom w:val="0"/>
                      <w:divBdr>
                        <w:top w:val="none" w:sz="0" w:space="0" w:color="auto"/>
                        <w:left w:val="none" w:sz="0" w:space="0" w:color="auto"/>
                        <w:bottom w:val="none" w:sz="0" w:space="0" w:color="auto"/>
                        <w:right w:val="none" w:sz="0" w:space="0" w:color="auto"/>
                      </w:divBdr>
                      <w:divsChild>
                        <w:div w:id="93659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5396497">
      <w:bodyDiv w:val="1"/>
      <w:marLeft w:val="0"/>
      <w:marRight w:val="0"/>
      <w:marTop w:val="0"/>
      <w:marBottom w:val="0"/>
      <w:divBdr>
        <w:top w:val="none" w:sz="0" w:space="0" w:color="auto"/>
        <w:left w:val="none" w:sz="0" w:space="0" w:color="auto"/>
        <w:bottom w:val="none" w:sz="0" w:space="0" w:color="auto"/>
        <w:right w:val="none" w:sz="0" w:space="0" w:color="auto"/>
      </w:divBdr>
    </w:div>
    <w:div w:id="1443383014">
      <w:bodyDiv w:val="1"/>
      <w:marLeft w:val="0"/>
      <w:marRight w:val="0"/>
      <w:marTop w:val="0"/>
      <w:marBottom w:val="0"/>
      <w:divBdr>
        <w:top w:val="none" w:sz="0" w:space="0" w:color="auto"/>
        <w:left w:val="none" w:sz="0" w:space="0" w:color="auto"/>
        <w:bottom w:val="none" w:sz="0" w:space="0" w:color="auto"/>
        <w:right w:val="none" w:sz="0" w:space="0" w:color="auto"/>
      </w:divBdr>
    </w:div>
    <w:div w:id="1448237061">
      <w:bodyDiv w:val="1"/>
      <w:marLeft w:val="0"/>
      <w:marRight w:val="0"/>
      <w:marTop w:val="0"/>
      <w:marBottom w:val="0"/>
      <w:divBdr>
        <w:top w:val="none" w:sz="0" w:space="0" w:color="auto"/>
        <w:left w:val="none" w:sz="0" w:space="0" w:color="auto"/>
        <w:bottom w:val="none" w:sz="0" w:space="0" w:color="auto"/>
        <w:right w:val="none" w:sz="0" w:space="0" w:color="auto"/>
      </w:divBdr>
    </w:div>
    <w:div w:id="1449272423">
      <w:bodyDiv w:val="1"/>
      <w:marLeft w:val="0"/>
      <w:marRight w:val="0"/>
      <w:marTop w:val="0"/>
      <w:marBottom w:val="0"/>
      <w:divBdr>
        <w:top w:val="none" w:sz="0" w:space="0" w:color="auto"/>
        <w:left w:val="none" w:sz="0" w:space="0" w:color="auto"/>
        <w:bottom w:val="none" w:sz="0" w:space="0" w:color="auto"/>
        <w:right w:val="none" w:sz="0" w:space="0" w:color="auto"/>
      </w:divBdr>
    </w:div>
    <w:div w:id="1450665012">
      <w:bodyDiv w:val="1"/>
      <w:marLeft w:val="0"/>
      <w:marRight w:val="0"/>
      <w:marTop w:val="0"/>
      <w:marBottom w:val="0"/>
      <w:divBdr>
        <w:top w:val="none" w:sz="0" w:space="0" w:color="auto"/>
        <w:left w:val="none" w:sz="0" w:space="0" w:color="auto"/>
        <w:bottom w:val="none" w:sz="0" w:space="0" w:color="auto"/>
        <w:right w:val="none" w:sz="0" w:space="0" w:color="auto"/>
      </w:divBdr>
    </w:div>
    <w:div w:id="1458721591">
      <w:bodyDiv w:val="1"/>
      <w:marLeft w:val="0"/>
      <w:marRight w:val="0"/>
      <w:marTop w:val="0"/>
      <w:marBottom w:val="0"/>
      <w:divBdr>
        <w:top w:val="none" w:sz="0" w:space="0" w:color="auto"/>
        <w:left w:val="none" w:sz="0" w:space="0" w:color="auto"/>
        <w:bottom w:val="none" w:sz="0" w:space="0" w:color="auto"/>
        <w:right w:val="none" w:sz="0" w:space="0" w:color="auto"/>
      </w:divBdr>
    </w:div>
    <w:div w:id="1458988136">
      <w:bodyDiv w:val="1"/>
      <w:marLeft w:val="0"/>
      <w:marRight w:val="0"/>
      <w:marTop w:val="0"/>
      <w:marBottom w:val="0"/>
      <w:divBdr>
        <w:top w:val="none" w:sz="0" w:space="0" w:color="auto"/>
        <w:left w:val="none" w:sz="0" w:space="0" w:color="auto"/>
        <w:bottom w:val="none" w:sz="0" w:space="0" w:color="auto"/>
        <w:right w:val="none" w:sz="0" w:space="0" w:color="auto"/>
      </w:divBdr>
    </w:div>
    <w:div w:id="1466853561">
      <w:bodyDiv w:val="1"/>
      <w:marLeft w:val="0"/>
      <w:marRight w:val="0"/>
      <w:marTop w:val="0"/>
      <w:marBottom w:val="0"/>
      <w:divBdr>
        <w:top w:val="none" w:sz="0" w:space="0" w:color="auto"/>
        <w:left w:val="none" w:sz="0" w:space="0" w:color="auto"/>
        <w:bottom w:val="none" w:sz="0" w:space="0" w:color="auto"/>
        <w:right w:val="none" w:sz="0" w:space="0" w:color="auto"/>
      </w:divBdr>
    </w:div>
    <w:div w:id="1470049964">
      <w:bodyDiv w:val="1"/>
      <w:marLeft w:val="0"/>
      <w:marRight w:val="0"/>
      <w:marTop w:val="0"/>
      <w:marBottom w:val="0"/>
      <w:divBdr>
        <w:top w:val="none" w:sz="0" w:space="0" w:color="auto"/>
        <w:left w:val="none" w:sz="0" w:space="0" w:color="auto"/>
        <w:bottom w:val="none" w:sz="0" w:space="0" w:color="auto"/>
        <w:right w:val="none" w:sz="0" w:space="0" w:color="auto"/>
      </w:divBdr>
    </w:div>
    <w:div w:id="1470395224">
      <w:bodyDiv w:val="1"/>
      <w:marLeft w:val="0"/>
      <w:marRight w:val="0"/>
      <w:marTop w:val="0"/>
      <w:marBottom w:val="0"/>
      <w:divBdr>
        <w:top w:val="none" w:sz="0" w:space="0" w:color="auto"/>
        <w:left w:val="none" w:sz="0" w:space="0" w:color="auto"/>
        <w:bottom w:val="none" w:sz="0" w:space="0" w:color="auto"/>
        <w:right w:val="none" w:sz="0" w:space="0" w:color="auto"/>
      </w:divBdr>
    </w:div>
    <w:div w:id="1479035122">
      <w:bodyDiv w:val="1"/>
      <w:marLeft w:val="0"/>
      <w:marRight w:val="0"/>
      <w:marTop w:val="0"/>
      <w:marBottom w:val="0"/>
      <w:divBdr>
        <w:top w:val="none" w:sz="0" w:space="0" w:color="auto"/>
        <w:left w:val="none" w:sz="0" w:space="0" w:color="auto"/>
        <w:bottom w:val="none" w:sz="0" w:space="0" w:color="auto"/>
        <w:right w:val="none" w:sz="0" w:space="0" w:color="auto"/>
      </w:divBdr>
    </w:div>
    <w:div w:id="1479493890">
      <w:bodyDiv w:val="1"/>
      <w:marLeft w:val="0"/>
      <w:marRight w:val="0"/>
      <w:marTop w:val="0"/>
      <w:marBottom w:val="0"/>
      <w:divBdr>
        <w:top w:val="none" w:sz="0" w:space="0" w:color="auto"/>
        <w:left w:val="none" w:sz="0" w:space="0" w:color="auto"/>
        <w:bottom w:val="none" w:sz="0" w:space="0" w:color="auto"/>
        <w:right w:val="none" w:sz="0" w:space="0" w:color="auto"/>
      </w:divBdr>
    </w:div>
    <w:div w:id="1481268060">
      <w:bodyDiv w:val="1"/>
      <w:marLeft w:val="0"/>
      <w:marRight w:val="0"/>
      <w:marTop w:val="0"/>
      <w:marBottom w:val="0"/>
      <w:divBdr>
        <w:top w:val="none" w:sz="0" w:space="0" w:color="auto"/>
        <w:left w:val="none" w:sz="0" w:space="0" w:color="auto"/>
        <w:bottom w:val="none" w:sz="0" w:space="0" w:color="auto"/>
        <w:right w:val="none" w:sz="0" w:space="0" w:color="auto"/>
      </w:divBdr>
    </w:div>
    <w:div w:id="1481775025">
      <w:bodyDiv w:val="1"/>
      <w:marLeft w:val="0"/>
      <w:marRight w:val="0"/>
      <w:marTop w:val="0"/>
      <w:marBottom w:val="0"/>
      <w:divBdr>
        <w:top w:val="none" w:sz="0" w:space="0" w:color="auto"/>
        <w:left w:val="none" w:sz="0" w:space="0" w:color="auto"/>
        <w:bottom w:val="none" w:sz="0" w:space="0" w:color="auto"/>
        <w:right w:val="none" w:sz="0" w:space="0" w:color="auto"/>
      </w:divBdr>
    </w:div>
    <w:div w:id="1482231476">
      <w:bodyDiv w:val="1"/>
      <w:marLeft w:val="0"/>
      <w:marRight w:val="0"/>
      <w:marTop w:val="0"/>
      <w:marBottom w:val="0"/>
      <w:divBdr>
        <w:top w:val="none" w:sz="0" w:space="0" w:color="auto"/>
        <w:left w:val="none" w:sz="0" w:space="0" w:color="auto"/>
        <w:bottom w:val="none" w:sz="0" w:space="0" w:color="auto"/>
        <w:right w:val="none" w:sz="0" w:space="0" w:color="auto"/>
      </w:divBdr>
    </w:div>
    <w:div w:id="1488402824">
      <w:bodyDiv w:val="1"/>
      <w:marLeft w:val="0"/>
      <w:marRight w:val="0"/>
      <w:marTop w:val="0"/>
      <w:marBottom w:val="0"/>
      <w:divBdr>
        <w:top w:val="none" w:sz="0" w:space="0" w:color="auto"/>
        <w:left w:val="none" w:sz="0" w:space="0" w:color="auto"/>
        <w:bottom w:val="none" w:sz="0" w:space="0" w:color="auto"/>
        <w:right w:val="none" w:sz="0" w:space="0" w:color="auto"/>
      </w:divBdr>
    </w:div>
    <w:div w:id="1489442704">
      <w:bodyDiv w:val="1"/>
      <w:marLeft w:val="0"/>
      <w:marRight w:val="0"/>
      <w:marTop w:val="0"/>
      <w:marBottom w:val="0"/>
      <w:divBdr>
        <w:top w:val="none" w:sz="0" w:space="0" w:color="auto"/>
        <w:left w:val="none" w:sz="0" w:space="0" w:color="auto"/>
        <w:bottom w:val="none" w:sz="0" w:space="0" w:color="auto"/>
        <w:right w:val="none" w:sz="0" w:space="0" w:color="auto"/>
      </w:divBdr>
    </w:div>
    <w:div w:id="1489857615">
      <w:bodyDiv w:val="1"/>
      <w:marLeft w:val="0"/>
      <w:marRight w:val="0"/>
      <w:marTop w:val="0"/>
      <w:marBottom w:val="0"/>
      <w:divBdr>
        <w:top w:val="none" w:sz="0" w:space="0" w:color="auto"/>
        <w:left w:val="none" w:sz="0" w:space="0" w:color="auto"/>
        <w:bottom w:val="none" w:sz="0" w:space="0" w:color="auto"/>
        <w:right w:val="none" w:sz="0" w:space="0" w:color="auto"/>
      </w:divBdr>
    </w:div>
    <w:div w:id="1491169723">
      <w:bodyDiv w:val="1"/>
      <w:marLeft w:val="0"/>
      <w:marRight w:val="0"/>
      <w:marTop w:val="0"/>
      <w:marBottom w:val="0"/>
      <w:divBdr>
        <w:top w:val="none" w:sz="0" w:space="0" w:color="auto"/>
        <w:left w:val="none" w:sz="0" w:space="0" w:color="auto"/>
        <w:bottom w:val="none" w:sz="0" w:space="0" w:color="auto"/>
        <w:right w:val="none" w:sz="0" w:space="0" w:color="auto"/>
      </w:divBdr>
    </w:div>
    <w:div w:id="1496527081">
      <w:bodyDiv w:val="1"/>
      <w:marLeft w:val="0"/>
      <w:marRight w:val="0"/>
      <w:marTop w:val="0"/>
      <w:marBottom w:val="0"/>
      <w:divBdr>
        <w:top w:val="none" w:sz="0" w:space="0" w:color="auto"/>
        <w:left w:val="none" w:sz="0" w:space="0" w:color="auto"/>
        <w:bottom w:val="none" w:sz="0" w:space="0" w:color="auto"/>
        <w:right w:val="none" w:sz="0" w:space="0" w:color="auto"/>
      </w:divBdr>
    </w:div>
    <w:div w:id="1503741773">
      <w:bodyDiv w:val="1"/>
      <w:marLeft w:val="0"/>
      <w:marRight w:val="0"/>
      <w:marTop w:val="0"/>
      <w:marBottom w:val="0"/>
      <w:divBdr>
        <w:top w:val="none" w:sz="0" w:space="0" w:color="auto"/>
        <w:left w:val="none" w:sz="0" w:space="0" w:color="auto"/>
        <w:bottom w:val="none" w:sz="0" w:space="0" w:color="auto"/>
        <w:right w:val="none" w:sz="0" w:space="0" w:color="auto"/>
      </w:divBdr>
    </w:div>
    <w:div w:id="1511063930">
      <w:bodyDiv w:val="1"/>
      <w:marLeft w:val="0"/>
      <w:marRight w:val="0"/>
      <w:marTop w:val="0"/>
      <w:marBottom w:val="0"/>
      <w:divBdr>
        <w:top w:val="none" w:sz="0" w:space="0" w:color="auto"/>
        <w:left w:val="none" w:sz="0" w:space="0" w:color="auto"/>
        <w:bottom w:val="none" w:sz="0" w:space="0" w:color="auto"/>
        <w:right w:val="none" w:sz="0" w:space="0" w:color="auto"/>
      </w:divBdr>
    </w:div>
    <w:div w:id="1511329316">
      <w:bodyDiv w:val="1"/>
      <w:marLeft w:val="0"/>
      <w:marRight w:val="0"/>
      <w:marTop w:val="0"/>
      <w:marBottom w:val="0"/>
      <w:divBdr>
        <w:top w:val="none" w:sz="0" w:space="0" w:color="auto"/>
        <w:left w:val="none" w:sz="0" w:space="0" w:color="auto"/>
        <w:bottom w:val="none" w:sz="0" w:space="0" w:color="auto"/>
        <w:right w:val="none" w:sz="0" w:space="0" w:color="auto"/>
      </w:divBdr>
    </w:div>
    <w:div w:id="1521050105">
      <w:bodyDiv w:val="1"/>
      <w:marLeft w:val="0"/>
      <w:marRight w:val="0"/>
      <w:marTop w:val="0"/>
      <w:marBottom w:val="0"/>
      <w:divBdr>
        <w:top w:val="none" w:sz="0" w:space="0" w:color="auto"/>
        <w:left w:val="none" w:sz="0" w:space="0" w:color="auto"/>
        <w:bottom w:val="none" w:sz="0" w:space="0" w:color="auto"/>
        <w:right w:val="none" w:sz="0" w:space="0" w:color="auto"/>
      </w:divBdr>
    </w:div>
    <w:div w:id="1527985070">
      <w:bodyDiv w:val="1"/>
      <w:marLeft w:val="0"/>
      <w:marRight w:val="0"/>
      <w:marTop w:val="0"/>
      <w:marBottom w:val="0"/>
      <w:divBdr>
        <w:top w:val="none" w:sz="0" w:space="0" w:color="auto"/>
        <w:left w:val="none" w:sz="0" w:space="0" w:color="auto"/>
        <w:bottom w:val="none" w:sz="0" w:space="0" w:color="auto"/>
        <w:right w:val="none" w:sz="0" w:space="0" w:color="auto"/>
      </w:divBdr>
    </w:div>
    <w:div w:id="1531186382">
      <w:bodyDiv w:val="1"/>
      <w:marLeft w:val="0"/>
      <w:marRight w:val="0"/>
      <w:marTop w:val="0"/>
      <w:marBottom w:val="0"/>
      <w:divBdr>
        <w:top w:val="none" w:sz="0" w:space="0" w:color="auto"/>
        <w:left w:val="none" w:sz="0" w:space="0" w:color="auto"/>
        <w:bottom w:val="none" w:sz="0" w:space="0" w:color="auto"/>
        <w:right w:val="none" w:sz="0" w:space="0" w:color="auto"/>
      </w:divBdr>
    </w:div>
    <w:div w:id="1536888565">
      <w:bodyDiv w:val="1"/>
      <w:marLeft w:val="0"/>
      <w:marRight w:val="0"/>
      <w:marTop w:val="0"/>
      <w:marBottom w:val="0"/>
      <w:divBdr>
        <w:top w:val="none" w:sz="0" w:space="0" w:color="auto"/>
        <w:left w:val="none" w:sz="0" w:space="0" w:color="auto"/>
        <w:bottom w:val="none" w:sz="0" w:space="0" w:color="auto"/>
        <w:right w:val="none" w:sz="0" w:space="0" w:color="auto"/>
      </w:divBdr>
    </w:div>
    <w:div w:id="1544631234">
      <w:bodyDiv w:val="1"/>
      <w:marLeft w:val="0"/>
      <w:marRight w:val="0"/>
      <w:marTop w:val="0"/>
      <w:marBottom w:val="0"/>
      <w:divBdr>
        <w:top w:val="none" w:sz="0" w:space="0" w:color="auto"/>
        <w:left w:val="none" w:sz="0" w:space="0" w:color="auto"/>
        <w:bottom w:val="none" w:sz="0" w:space="0" w:color="auto"/>
        <w:right w:val="none" w:sz="0" w:space="0" w:color="auto"/>
      </w:divBdr>
    </w:div>
    <w:div w:id="1548104325">
      <w:bodyDiv w:val="1"/>
      <w:marLeft w:val="0"/>
      <w:marRight w:val="0"/>
      <w:marTop w:val="0"/>
      <w:marBottom w:val="0"/>
      <w:divBdr>
        <w:top w:val="none" w:sz="0" w:space="0" w:color="auto"/>
        <w:left w:val="none" w:sz="0" w:space="0" w:color="auto"/>
        <w:bottom w:val="none" w:sz="0" w:space="0" w:color="auto"/>
        <w:right w:val="none" w:sz="0" w:space="0" w:color="auto"/>
      </w:divBdr>
    </w:div>
    <w:div w:id="1548643504">
      <w:bodyDiv w:val="1"/>
      <w:marLeft w:val="0"/>
      <w:marRight w:val="0"/>
      <w:marTop w:val="0"/>
      <w:marBottom w:val="0"/>
      <w:divBdr>
        <w:top w:val="none" w:sz="0" w:space="0" w:color="auto"/>
        <w:left w:val="none" w:sz="0" w:space="0" w:color="auto"/>
        <w:bottom w:val="none" w:sz="0" w:space="0" w:color="auto"/>
        <w:right w:val="none" w:sz="0" w:space="0" w:color="auto"/>
      </w:divBdr>
    </w:div>
    <w:div w:id="1558123918">
      <w:bodyDiv w:val="1"/>
      <w:marLeft w:val="0"/>
      <w:marRight w:val="0"/>
      <w:marTop w:val="0"/>
      <w:marBottom w:val="0"/>
      <w:divBdr>
        <w:top w:val="none" w:sz="0" w:space="0" w:color="auto"/>
        <w:left w:val="none" w:sz="0" w:space="0" w:color="auto"/>
        <w:bottom w:val="none" w:sz="0" w:space="0" w:color="auto"/>
        <w:right w:val="none" w:sz="0" w:space="0" w:color="auto"/>
      </w:divBdr>
    </w:div>
    <w:div w:id="1559168613">
      <w:bodyDiv w:val="1"/>
      <w:marLeft w:val="0"/>
      <w:marRight w:val="0"/>
      <w:marTop w:val="0"/>
      <w:marBottom w:val="0"/>
      <w:divBdr>
        <w:top w:val="none" w:sz="0" w:space="0" w:color="auto"/>
        <w:left w:val="none" w:sz="0" w:space="0" w:color="auto"/>
        <w:bottom w:val="none" w:sz="0" w:space="0" w:color="auto"/>
        <w:right w:val="none" w:sz="0" w:space="0" w:color="auto"/>
      </w:divBdr>
    </w:div>
    <w:div w:id="1562903833">
      <w:bodyDiv w:val="1"/>
      <w:marLeft w:val="0"/>
      <w:marRight w:val="0"/>
      <w:marTop w:val="0"/>
      <w:marBottom w:val="0"/>
      <w:divBdr>
        <w:top w:val="none" w:sz="0" w:space="0" w:color="auto"/>
        <w:left w:val="none" w:sz="0" w:space="0" w:color="auto"/>
        <w:bottom w:val="none" w:sz="0" w:space="0" w:color="auto"/>
        <w:right w:val="none" w:sz="0" w:space="0" w:color="auto"/>
      </w:divBdr>
    </w:div>
    <w:div w:id="1567111560">
      <w:bodyDiv w:val="1"/>
      <w:marLeft w:val="0"/>
      <w:marRight w:val="0"/>
      <w:marTop w:val="0"/>
      <w:marBottom w:val="0"/>
      <w:divBdr>
        <w:top w:val="none" w:sz="0" w:space="0" w:color="auto"/>
        <w:left w:val="none" w:sz="0" w:space="0" w:color="auto"/>
        <w:bottom w:val="none" w:sz="0" w:space="0" w:color="auto"/>
        <w:right w:val="none" w:sz="0" w:space="0" w:color="auto"/>
      </w:divBdr>
    </w:div>
    <w:div w:id="1568028137">
      <w:bodyDiv w:val="1"/>
      <w:marLeft w:val="0"/>
      <w:marRight w:val="0"/>
      <w:marTop w:val="0"/>
      <w:marBottom w:val="0"/>
      <w:divBdr>
        <w:top w:val="none" w:sz="0" w:space="0" w:color="auto"/>
        <w:left w:val="none" w:sz="0" w:space="0" w:color="auto"/>
        <w:bottom w:val="none" w:sz="0" w:space="0" w:color="auto"/>
        <w:right w:val="none" w:sz="0" w:space="0" w:color="auto"/>
      </w:divBdr>
    </w:div>
    <w:div w:id="1577863394">
      <w:bodyDiv w:val="1"/>
      <w:marLeft w:val="0"/>
      <w:marRight w:val="0"/>
      <w:marTop w:val="0"/>
      <w:marBottom w:val="0"/>
      <w:divBdr>
        <w:top w:val="none" w:sz="0" w:space="0" w:color="auto"/>
        <w:left w:val="none" w:sz="0" w:space="0" w:color="auto"/>
        <w:bottom w:val="none" w:sz="0" w:space="0" w:color="auto"/>
        <w:right w:val="none" w:sz="0" w:space="0" w:color="auto"/>
      </w:divBdr>
    </w:div>
    <w:div w:id="1578052144">
      <w:bodyDiv w:val="1"/>
      <w:marLeft w:val="0"/>
      <w:marRight w:val="0"/>
      <w:marTop w:val="0"/>
      <w:marBottom w:val="0"/>
      <w:divBdr>
        <w:top w:val="none" w:sz="0" w:space="0" w:color="auto"/>
        <w:left w:val="none" w:sz="0" w:space="0" w:color="auto"/>
        <w:bottom w:val="none" w:sz="0" w:space="0" w:color="auto"/>
        <w:right w:val="none" w:sz="0" w:space="0" w:color="auto"/>
      </w:divBdr>
    </w:div>
    <w:div w:id="1583834929">
      <w:bodyDiv w:val="1"/>
      <w:marLeft w:val="0"/>
      <w:marRight w:val="0"/>
      <w:marTop w:val="0"/>
      <w:marBottom w:val="0"/>
      <w:divBdr>
        <w:top w:val="none" w:sz="0" w:space="0" w:color="auto"/>
        <w:left w:val="none" w:sz="0" w:space="0" w:color="auto"/>
        <w:bottom w:val="none" w:sz="0" w:space="0" w:color="auto"/>
        <w:right w:val="none" w:sz="0" w:space="0" w:color="auto"/>
      </w:divBdr>
    </w:div>
    <w:div w:id="1590043590">
      <w:bodyDiv w:val="1"/>
      <w:marLeft w:val="0"/>
      <w:marRight w:val="0"/>
      <w:marTop w:val="0"/>
      <w:marBottom w:val="0"/>
      <w:divBdr>
        <w:top w:val="none" w:sz="0" w:space="0" w:color="auto"/>
        <w:left w:val="none" w:sz="0" w:space="0" w:color="auto"/>
        <w:bottom w:val="none" w:sz="0" w:space="0" w:color="auto"/>
        <w:right w:val="none" w:sz="0" w:space="0" w:color="auto"/>
      </w:divBdr>
    </w:div>
    <w:div w:id="1602570195">
      <w:bodyDiv w:val="1"/>
      <w:marLeft w:val="0"/>
      <w:marRight w:val="0"/>
      <w:marTop w:val="0"/>
      <w:marBottom w:val="0"/>
      <w:divBdr>
        <w:top w:val="none" w:sz="0" w:space="0" w:color="auto"/>
        <w:left w:val="none" w:sz="0" w:space="0" w:color="auto"/>
        <w:bottom w:val="none" w:sz="0" w:space="0" w:color="auto"/>
        <w:right w:val="none" w:sz="0" w:space="0" w:color="auto"/>
      </w:divBdr>
    </w:div>
    <w:div w:id="1603027833">
      <w:bodyDiv w:val="1"/>
      <w:marLeft w:val="0"/>
      <w:marRight w:val="0"/>
      <w:marTop w:val="0"/>
      <w:marBottom w:val="0"/>
      <w:divBdr>
        <w:top w:val="none" w:sz="0" w:space="0" w:color="auto"/>
        <w:left w:val="none" w:sz="0" w:space="0" w:color="auto"/>
        <w:bottom w:val="none" w:sz="0" w:space="0" w:color="auto"/>
        <w:right w:val="none" w:sz="0" w:space="0" w:color="auto"/>
      </w:divBdr>
    </w:div>
    <w:div w:id="1607423412">
      <w:bodyDiv w:val="1"/>
      <w:marLeft w:val="0"/>
      <w:marRight w:val="0"/>
      <w:marTop w:val="0"/>
      <w:marBottom w:val="0"/>
      <w:divBdr>
        <w:top w:val="none" w:sz="0" w:space="0" w:color="auto"/>
        <w:left w:val="none" w:sz="0" w:space="0" w:color="auto"/>
        <w:bottom w:val="none" w:sz="0" w:space="0" w:color="auto"/>
        <w:right w:val="none" w:sz="0" w:space="0" w:color="auto"/>
      </w:divBdr>
    </w:div>
    <w:div w:id="1616214066">
      <w:bodyDiv w:val="1"/>
      <w:marLeft w:val="0"/>
      <w:marRight w:val="0"/>
      <w:marTop w:val="0"/>
      <w:marBottom w:val="0"/>
      <w:divBdr>
        <w:top w:val="none" w:sz="0" w:space="0" w:color="auto"/>
        <w:left w:val="none" w:sz="0" w:space="0" w:color="auto"/>
        <w:bottom w:val="none" w:sz="0" w:space="0" w:color="auto"/>
        <w:right w:val="none" w:sz="0" w:space="0" w:color="auto"/>
      </w:divBdr>
    </w:div>
    <w:div w:id="1617564900">
      <w:bodyDiv w:val="1"/>
      <w:marLeft w:val="0"/>
      <w:marRight w:val="0"/>
      <w:marTop w:val="0"/>
      <w:marBottom w:val="0"/>
      <w:divBdr>
        <w:top w:val="none" w:sz="0" w:space="0" w:color="auto"/>
        <w:left w:val="none" w:sz="0" w:space="0" w:color="auto"/>
        <w:bottom w:val="none" w:sz="0" w:space="0" w:color="auto"/>
        <w:right w:val="none" w:sz="0" w:space="0" w:color="auto"/>
      </w:divBdr>
    </w:div>
    <w:div w:id="1623226872">
      <w:bodyDiv w:val="1"/>
      <w:marLeft w:val="0"/>
      <w:marRight w:val="0"/>
      <w:marTop w:val="0"/>
      <w:marBottom w:val="0"/>
      <w:divBdr>
        <w:top w:val="none" w:sz="0" w:space="0" w:color="auto"/>
        <w:left w:val="none" w:sz="0" w:space="0" w:color="auto"/>
        <w:bottom w:val="none" w:sz="0" w:space="0" w:color="auto"/>
        <w:right w:val="none" w:sz="0" w:space="0" w:color="auto"/>
      </w:divBdr>
    </w:div>
    <w:div w:id="1624844852">
      <w:bodyDiv w:val="1"/>
      <w:marLeft w:val="0"/>
      <w:marRight w:val="0"/>
      <w:marTop w:val="0"/>
      <w:marBottom w:val="0"/>
      <w:divBdr>
        <w:top w:val="none" w:sz="0" w:space="0" w:color="auto"/>
        <w:left w:val="none" w:sz="0" w:space="0" w:color="auto"/>
        <w:bottom w:val="none" w:sz="0" w:space="0" w:color="auto"/>
        <w:right w:val="none" w:sz="0" w:space="0" w:color="auto"/>
      </w:divBdr>
    </w:div>
    <w:div w:id="1627464757">
      <w:bodyDiv w:val="1"/>
      <w:marLeft w:val="0"/>
      <w:marRight w:val="0"/>
      <w:marTop w:val="0"/>
      <w:marBottom w:val="0"/>
      <w:divBdr>
        <w:top w:val="none" w:sz="0" w:space="0" w:color="auto"/>
        <w:left w:val="none" w:sz="0" w:space="0" w:color="auto"/>
        <w:bottom w:val="none" w:sz="0" w:space="0" w:color="auto"/>
        <w:right w:val="none" w:sz="0" w:space="0" w:color="auto"/>
      </w:divBdr>
    </w:div>
    <w:div w:id="1627858580">
      <w:bodyDiv w:val="1"/>
      <w:marLeft w:val="0"/>
      <w:marRight w:val="0"/>
      <w:marTop w:val="0"/>
      <w:marBottom w:val="0"/>
      <w:divBdr>
        <w:top w:val="none" w:sz="0" w:space="0" w:color="auto"/>
        <w:left w:val="none" w:sz="0" w:space="0" w:color="auto"/>
        <w:bottom w:val="none" w:sz="0" w:space="0" w:color="auto"/>
        <w:right w:val="none" w:sz="0" w:space="0" w:color="auto"/>
      </w:divBdr>
    </w:div>
    <w:div w:id="1634866217">
      <w:bodyDiv w:val="1"/>
      <w:marLeft w:val="0"/>
      <w:marRight w:val="0"/>
      <w:marTop w:val="0"/>
      <w:marBottom w:val="0"/>
      <w:divBdr>
        <w:top w:val="none" w:sz="0" w:space="0" w:color="auto"/>
        <w:left w:val="none" w:sz="0" w:space="0" w:color="auto"/>
        <w:bottom w:val="none" w:sz="0" w:space="0" w:color="auto"/>
        <w:right w:val="none" w:sz="0" w:space="0" w:color="auto"/>
      </w:divBdr>
    </w:div>
    <w:div w:id="1635089931">
      <w:bodyDiv w:val="1"/>
      <w:marLeft w:val="0"/>
      <w:marRight w:val="0"/>
      <w:marTop w:val="0"/>
      <w:marBottom w:val="0"/>
      <w:divBdr>
        <w:top w:val="none" w:sz="0" w:space="0" w:color="auto"/>
        <w:left w:val="none" w:sz="0" w:space="0" w:color="auto"/>
        <w:bottom w:val="none" w:sz="0" w:space="0" w:color="auto"/>
        <w:right w:val="none" w:sz="0" w:space="0" w:color="auto"/>
      </w:divBdr>
    </w:div>
    <w:div w:id="1639258692">
      <w:bodyDiv w:val="1"/>
      <w:marLeft w:val="0"/>
      <w:marRight w:val="0"/>
      <w:marTop w:val="0"/>
      <w:marBottom w:val="0"/>
      <w:divBdr>
        <w:top w:val="none" w:sz="0" w:space="0" w:color="auto"/>
        <w:left w:val="none" w:sz="0" w:space="0" w:color="auto"/>
        <w:bottom w:val="none" w:sz="0" w:space="0" w:color="auto"/>
        <w:right w:val="none" w:sz="0" w:space="0" w:color="auto"/>
      </w:divBdr>
    </w:div>
    <w:div w:id="1647927773">
      <w:bodyDiv w:val="1"/>
      <w:marLeft w:val="0"/>
      <w:marRight w:val="0"/>
      <w:marTop w:val="0"/>
      <w:marBottom w:val="0"/>
      <w:divBdr>
        <w:top w:val="none" w:sz="0" w:space="0" w:color="auto"/>
        <w:left w:val="none" w:sz="0" w:space="0" w:color="auto"/>
        <w:bottom w:val="none" w:sz="0" w:space="0" w:color="auto"/>
        <w:right w:val="none" w:sz="0" w:space="0" w:color="auto"/>
      </w:divBdr>
    </w:div>
    <w:div w:id="1650397859">
      <w:bodyDiv w:val="1"/>
      <w:marLeft w:val="0"/>
      <w:marRight w:val="0"/>
      <w:marTop w:val="0"/>
      <w:marBottom w:val="0"/>
      <w:divBdr>
        <w:top w:val="none" w:sz="0" w:space="0" w:color="auto"/>
        <w:left w:val="none" w:sz="0" w:space="0" w:color="auto"/>
        <w:bottom w:val="none" w:sz="0" w:space="0" w:color="auto"/>
        <w:right w:val="none" w:sz="0" w:space="0" w:color="auto"/>
      </w:divBdr>
    </w:div>
    <w:div w:id="1662007774">
      <w:bodyDiv w:val="1"/>
      <w:marLeft w:val="0"/>
      <w:marRight w:val="0"/>
      <w:marTop w:val="0"/>
      <w:marBottom w:val="0"/>
      <w:divBdr>
        <w:top w:val="none" w:sz="0" w:space="0" w:color="auto"/>
        <w:left w:val="none" w:sz="0" w:space="0" w:color="auto"/>
        <w:bottom w:val="none" w:sz="0" w:space="0" w:color="auto"/>
        <w:right w:val="none" w:sz="0" w:space="0" w:color="auto"/>
      </w:divBdr>
    </w:div>
    <w:div w:id="1666975432">
      <w:bodyDiv w:val="1"/>
      <w:marLeft w:val="0"/>
      <w:marRight w:val="0"/>
      <w:marTop w:val="0"/>
      <w:marBottom w:val="0"/>
      <w:divBdr>
        <w:top w:val="none" w:sz="0" w:space="0" w:color="auto"/>
        <w:left w:val="none" w:sz="0" w:space="0" w:color="auto"/>
        <w:bottom w:val="none" w:sz="0" w:space="0" w:color="auto"/>
        <w:right w:val="none" w:sz="0" w:space="0" w:color="auto"/>
      </w:divBdr>
    </w:div>
    <w:div w:id="1675764069">
      <w:bodyDiv w:val="1"/>
      <w:marLeft w:val="0"/>
      <w:marRight w:val="0"/>
      <w:marTop w:val="0"/>
      <w:marBottom w:val="0"/>
      <w:divBdr>
        <w:top w:val="none" w:sz="0" w:space="0" w:color="auto"/>
        <w:left w:val="none" w:sz="0" w:space="0" w:color="auto"/>
        <w:bottom w:val="none" w:sz="0" w:space="0" w:color="auto"/>
        <w:right w:val="none" w:sz="0" w:space="0" w:color="auto"/>
      </w:divBdr>
    </w:div>
    <w:div w:id="1675916921">
      <w:bodyDiv w:val="1"/>
      <w:marLeft w:val="0"/>
      <w:marRight w:val="0"/>
      <w:marTop w:val="0"/>
      <w:marBottom w:val="0"/>
      <w:divBdr>
        <w:top w:val="none" w:sz="0" w:space="0" w:color="auto"/>
        <w:left w:val="none" w:sz="0" w:space="0" w:color="auto"/>
        <w:bottom w:val="none" w:sz="0" w:space="0" w:color="auto"/>
        <w:right w:val="none" w:sz="0" w:space="0" w:color="auto"/>
      </w:divBdr>
    </w:div>
    <w:div w:id="1694570805">
      <w:bodyDiv w:val="1"/>
      <w:marLeft w:val="0"/>
      <w:marRight w:val="0"/>
      <w:marTop w:val="0"/>
      <w:marBottom w:val="0"/>
      <w:divBdr>
        <w:top w:val="none" w:sz="0" w:space="0" w:color="auto"/>
        <w:left w:val="none" w:sz="0" w:space="0" w:color="auto"/>
        <w:bottom w:val="none" w:sz="0" w:space="0" w:color="auto"/>
        <w:right w:val="none" w:sz="0" w:space="0" w:color="auto"/>
      </w:divBdr>
    </w:div>
    <w:div w:id="1707681331">
      <w:bodyDiv w:val="1"/>
      <w:marLeft w:val="0"/>
      <w:marRight w:val="0"/>
      <w:marTop w:val="0"/>
      <w:marBottom w:val="0"/>
      <w:divBdr>
        <w:top w:val="none" w:sz="0" w:space="0" w:color="auto"/>
        <w:left w:val="none" w:sz="0" w:space="0" w:color="auto"/>
        <w:bottom w:val="none" w:sz="0" w:space="0" w:color="auto"/>
        <w:right w:val="none" w:sz="0" w:space="0" w:color="auto"/>
      </w:divBdr>
    </w:div>
    <w:div w:id="1708024804">
      <w:bodyDiv w:val="1"/>
      <w:marLeft w:val="0"/>
      <w:marRight w:val="0"/>
      <w:marTop w:val="0"/>
      <w:marBottom w:val="0"/>
      <w:divBdr>
        <w:top w:val="none" w:sz="0" w:space="0" w:color="auto"/>
        <w:left w:val="none" w:sz="0" w:space="0" w:color="auto"/>
        <w:bottom w:val="none" w:sz="0" w:space="0" w:color="auto"/>
        <w:right w:val="none" w:sz="0" w:space="0" w:color="auto"/>
      </w:divBdr>
    </w:div>
    <w:div w:id="1708722711">
      <w:bodyDiv w:val="1"/>
      <w:marLeft w:val="0"/>
      <w:marRight w:val="0"/>
      <w:marTop w:val="0"/>
      <w:marBottom w:val="0"/>
      <w:divBdr>
        <w:top w:val="none" w:sz="0" w:space="0" w:color="auto"/>
        <w:left w:val="none" w:sz="0" w:space="0" w:color="auto"/>
        <w:bottom w:val="none" w:sz="0" w:space="0" w:color="auto"/>
        <w:right w:val="none" w:sz="0" w:space="0" w:color="auto"/>
      </w:divBdr>
    </w:div>
    <w:div w:id="1716588210">
      <w:bodyDiv w:val="1"/>
      <w:marLeft w:val="0"/>
      <w:marRight w:val="0"/>
      <w:marTop w:val="0"/>
      <w:marBottom w:val="0"/>
      <w:divBdr>
        <w:top w:val="none" w:sz="0" w:space="0" w:color="auto"/>
        <w:left w:val="none" w:sz="0" w:space="0" w:color="auto"/>
        <w:bottom w:val="none" w:sz="0" w:space="0" w:color="auto"/>
        <w:right w:val="none" w:sz="0" w:space="0" w:color="auto"/>
      </w:divBdr>
    </w:div>
    <w:div w:id="1720588310">
      <w:bodyDiv w:val="1"/>
      <w:marLeft w:val="0"/>
      <w:marRight w:val="0"/>
      <w:marTop w:val="0"/>
      <w:marBottom w:val="0"/>
      <w:divBdr>
        <w:top w:val="none" w:sz="0" w:space="0" w:color="auto"/>
        <w:left w:val="none" w:sz="0" w:space="0" w:color="auto"/>
        <w:bottom w:val="none" w:sz="0" w:space="0" w:color="auto"/>
        <w:right w:val="none" w:sz="0" w:space="0" w:color="auto"/>
      </w:divBdr>
    </w:div>
    <w:div w:id="1723096442">
      <w:bodyDiv w:val="1"/>
      <w:marLeft w:val="0"/>
      <w:marRight w:val="0"/>
      <w:marTop w:val="0"/>
      <w:marBottom w:val="0"/>
      <w:divBdr>
        <w:top w:val="none" w:sz="0" w:space="0" w:color="auto"/>
        <w:left w:val="none" w:sz="0" w:space="0" w:color="auto"/>
        <w:bottom w:val="none" w:sz="0" w:space="0" w:color="auto"/>
        <w:right w:val="none" w:sz="0" w:space="0" w:color="auto"/>
      </w:divBdr>
    </w:div>
    <w:div w:id="1728718468">
      <w:bodyDiv w:val="1"/>
      <w:marLeft w:val="0"/>
      <w:marRight w:val="0"/>
      <w:marTop w:val="0"/>
      <w:marBottom w:val="0"/>
      <w:divBdr>
        <w:top w:val="none" w:sz="0" w:space="0" w:color="auto"/>
        <w:left w:val="none" w:sz="0" w:space="0" w:color="auto"/>
        <w:bottom w:val="none" w:sz="0" w:space="0" w:color="auto"/>
        <w:right w:val="none" w:sz="0" w:space="0" w:color="auto"/>
      </w:divBdr>
    </w:div>
    <w:div w:id="1731345894">
      <w:bodyDiv w:val="1"/>
      <w:marLeft w:val="0"/>
      <w:marRight w:val="0"/>
      <w:marTop w:val="0"/>
      <w:marBottom w:val="0"/>
      <w:divBdr>
        <w:top w:val="none" w:sz="0" w:space="0" w:color="auto"/>
        <w:left w:val="none" w:sz="0" w:space="0" w:color="auto"/>
        <w:bottom w:val="none" w:sz="0" w:space="0" w:color="auto"/>
        <w:right w:val="none" w:sz="0" w:space="0" w:color="auto"/>
      </w:divBdr>
    </w:div>
    <w:div w:id="1737631852">
      <w:bodyDiv w:val="1"/>
      <w:marLeft w:val="0"/>
      <w:marRight w:val="0"/>
      <w:marTop w:val="0"/>
      <w:marBottom w:val="0"/>
      <w:divBdr>
        <w:top w:val="none" w:sz="0" w:space="0" w:color="auto"/>
        <w:left w:val="none" w:sz="0" w:space="0" w:color="auto"/>
        <w:bottom w:val="none" w:sz="0" w:space="0" w:color="auto"/>
        <w:right w:val="none" w:sz="0" w:space="0" w:color="auto"/>
      </w:divBdr>
    </w:div>
    <w:div w:id="1738892214">
      <w:bodyDiv w:val="1"/>
      <w:marLeft w:val="0"/>
      <w:marRight w:val="0"/>
      <w:marTop w:val="0"/>
      <w:marBottom w:val="0"/>
      <w:divBdr>
        <w:top w:val="none" w:sz="0" w:space="0" w:color="auto"/>
        <w:left w:val="none" w:sz="0" w:space="0" w:color="auto"/>
        <w:bottom w:val="none" w:sz="0" w:space="0" w:color="auto"/>
        <w:right w:val="none" w:sz="0" w:space="0" w:color="auto"/>
      </w:divBdr>
    </w:div>
    <w:div w:id="1739088615">
      <w:bodyDiv w:val="1"/>
      <w:marLeft w:val="0"/>
      <w:marRight w:val="0"/>
      <w:marTop w:val="0"/>
      <w:marBottom w:val="0"/>
      <w:divBdr>
        <w:top w:val="none" w:sz="0" w:space="0" w:color="auto"/>
        <w:left w:val="none" w:sz="0" w:space="0" w:color="auto"/>
        <w:bottom w:val="none" w:sz="0" w:space="0" w:color="auto"/>
        <w:right w:val="none" w:sz="0" w:space="0" w:color="auto"/>
      </w:divBdr>
    </w:div>
    <w:div w:id="1751927574">
      <w:bodyDiv w:val="1"/>
      <w:marLeft w:val="0"/>
      <w:marRight w:val="0"/>
      <w:marTop w:val="0"/>
      <w:marBottom w:val="0"/>
      <w:divBdr>
        <w:top w:val="none" w:sz="0" w:space="0" w:color="auto"/>
        <w:left w:val="none" w:sz="0" w:space="0" w:color="auto"/>
        <w:bottom w:val="none" w:sz="0" w:space="0" w:color="auto"/>
        <w:right w:val="none" w:sz="0" w:space="0" w:color="auto"/>
      </w:divBdr>
    </w:div>
    <w:div w:id="1769351415">
      <w:bodyDiv w:val="1"/>
      <w:marLeft w:val="0"/>
      <w:marRight w:val="0"/>
      <w:marTop w:val="0"/>
      <w:marBottom w:val="0"/>
      <w:divBdr>
        <w:top w:val="none" w:sz="0" w:space="0" w:color="auto"/>
        <w:left w:val="none" w:sz="0" w:space="0" w:color="auto"/>
        <w:bottom w:val="none" w:sz="0" w:space="0" w:color="auto"/>
        <w:right w:val="none" w:sz="0" w:space="0" w:color="auto"/>
      </w:divBdr>
    </w:div>
    <w:div w:id="1773015464">
      <w:bodyDiv w:val="1"/>
      <w:marLeft w:val="0"/>
      <w:marRight w:val="0"/>
      <w:marTop w:val="0"/>
      <w:marBottom w:val="0"/>
      <w:divBdr>
        <w:top w:val="none" w:sz="0" w:space="0" w:color="auto"/>
        <w:left w:val="none" w:sz="0" w:space="0" w:color="auto"/>
        <w:bottom w:val="none" w:sz="0" w:space="0" w:color="auto"/>
        <w:right w:val="none" w:sz="0" w:space="0" w:color="auto"/>
      </w:divBdr>
    </w:div>
    <w:div w:id="1782069118">
      <w:bodyDiv w:val="1"/>
      <w:marLeft w:val="0"/>
      <w:marRight w:val="0"/>
      <w:marTop w:val="0"/>
      <w:marBottom w:val="0"/>
      <w:divBdr>
        <w:top w:val="none" w:sz="0" w:space="0" w:color="auto"/>
        <w:left w:val="none" w:sz="0" w:space="0" w:color="auto"/>
        <w:bottom w:val="none" w:sz="0" w:space="0" w:color="auto"/>
        <w:right w:val="none" w:sz="0" w:space="0" w:color="auto"/>
      </w:divBdr>
    </w:div>
    <w:div w:id="1790930100">
      <w:bodyDiv w:val="1"/>
      <w:marLeft w:val="0"/>
      <w:marRight w:val="0"/>
      <w:marTop w:val="0"/>
      <w:marBottom w:val="0"/>
      <w:divBdr>
        <w:top w:val="none" w:sz="0" w:space="0" w:color="auto"/>
        <w:left w:val="none" w:sz="0" w:space="0" w:color="auto"/>
        <w:bottom w:val="none" w:sz="0" w:space="0" w:color="auto"/>
        <w:right w:val="none" w:sz="0" w:space="0" w:color="auto"/>
      </w:divBdr>
    </w:div>
    <w:div w:id="1793162623">
      <w:bodyDiv w:val="1"/>
      <w:marLeft w:val="0"/>
      <w:marRight w:val="0"/>
      <w:marTop w:val="0"/>
      <w:marBottom w:val="0"/>
      <w:divBdr>
        <w:top w:val="none" w:sz="0" w:space="0" w:color="auto"/>
        <w:left w:val="none" w:sz="0" w:space="0" w:color="auto"/>
        <w:bottom w:val="none" w:sz="0" w:space="0" w:color="auto"/>
        <w:right w:val="none" w:sz="0" w:space="0" w:color="auto"/>
      </w:divBdr>
      <w:divsChild>
        <w:div w:id="260649293">
          <w:marLeft w:val="0"/>
          <w:marRight w:val="0"/>
          <w:marTop w:val="0"/>
          <w:marBottom w:val="0"/>
          <w:divBdr>
            <w:top w:val="none" w:sz="0" w:space="0" w:color="auto"/>
            <w:left w:val="none" w:sz="0" w:space="0" w:color="auto"/>
            <w:bottom w:val="none" w:sz="0" w:space="0" w:color="auto"/>
            <w:right w:val="none" w:sz="0" w:space="0" w:color="auto"/>
          </w:divBdr>
        </w:div>
        <w:div w:id="1587615141">
          <w:marLeft w:val="0"/>
          <w:marRight w:val="0"/>
          <w:marTop w:val="0"/>
          <w:marBottom w:val="0"/>
          <w:divBdr>
            <w:top w:val="none" w:sz="0" w:space="0" w:color="auto"/>
            <w:left w:val="none" w:sz="0" w:space="0" w:color="auto"/>
            <w:bottom w:val="none" w:sz="0" w:space="0" w:color="auto"/>
            <w:right w:val="none" w:sz="0" w:space="0" w:color="auto"/>
          </w:divBdr>
        </w:div>
      </w:divsChild>
    </w:div>
    <w:div w:id="1796562158">
      <w:bodyDiv w:val="1"/>
      <w:marLeft w:val="0"/>
      <w:marRight w:val="0"/>
      <w:marTop w:val="0"/>
      <w:marBottom w:val="0"/>
      <w:divBdr>
        <w:top w:val="none" w:sz="0" w:space="0" w:color="auto"/>
        <w:left w:val="none" w:sz="0" w:space="0" w:color="auto"/>
        <w:bottom w:val="none" w:sz="0" w:space="0" w:color="auto"/>
        <w:right w:val="none" w:sz="0" w:space="0" w:color="auto"/>
      </w:divBdr>
    </w:div>
    <w:div w:id="1797291986">
      <w:bodyDiv w:val="1"/>
      <w:marLeft w:val="0"/>
      <w:marRight w:val="0"/>
      <w:marTop w:val="0"/>
      <w:marBottom w:val="0"/>
      <w:divBdr>
        <w:top w:val="none" w:sz="0" w:space="0" w:color="auto"/>
        <w:left w:val="none" w:sz="0" w:space="0" w:color="auto"/>
        <w:bottom w:val="none" w:sz="0" w:space="0" w:color="auto"/>
        <w:right w:val="none" w:sz="0" w:space="0" w:color="auto"/>
      </w:divBdr>
    </w:div>
    <w:div w:id="1804612812">
      <w:bodyDiv w:val="1"/>
      <w:marLeft w:val="0"/>
      <w:marRight w:val="0"/>
      <w:marTop w:val="0"/>
      <w:marBottom w:val="0"/>
      <w:divBdr>
        <w:top w:val="none" w:sz="0" w:space="0" w:color="auto"/>
        <w:left w:val="none" w:sz="0" w:space="0" w:color="auto"/>
        <w:bottom w:val="none" w:sz="0" w:space="0" w:color="auto"/>
        <w:right w:val="none" w:sz="0" w:space="0" w:color="auto"/>
      </w:divBdr>
    </w:div>
    <w:div w:id="1806727860">
      <w:bodyDiv w:val="1"/>
      <w:marLeft w:val="0"/>
      <w:marRight w:val="0"/>
      <w:marTop w:val="0"/>
      <w:marBottom w:val="0"/>
      <w:divBdr>
        <w:top w:val="none" w:sz="0" w:space="0" w:color="auto"/>
        <w:left w:val="none" w:sz="0" w:space="0" w:color="auto"/>
        <w:bottom w:val="none" w:sz="0" w:space="0" w:color="auto"/>
        <w:right w:val="none" w:sz="0" w:space="0" w:color="auto"/>
      </w:divBdr>
    </w:div>
    <w:div w:id="1816146250">
      <w:bodyDiv w:val="1"/>
      <w:marLeft w:val="0"/>
      <w:marRight w:val="0"/>
      <w:marTop w:val="0"/>
      <w:marBottom w:val="0"/>
      <w:divBdr>
        <w:top w:val="none" w:sz="0" w:space="0" w:color="auto"/>
        <w:left w:val="none" w:sz="0" w:space="0" w:color="auto"/>
        <w:bottom w:val="none" w:sz="0" w:space="0" w:color="auto"/>
        <w:right w:val="none" w:sz="0" w:space="0" w:color="auto"/>
      </w:divBdr>
    </w:div>
    <w:div w:id="1817524639">
      <w:bodyDiv w:val="1"/>
      <w:marLeft w:val="0"/>
      <w:marRight w:val="0"/>
      <w:marTop w:val="0"/>
      <w:marBottom w:val="0"/>
      <w:divBdr>
        <w:top w:val="none" w:sz="0" w:space="0" w:color="auto"/>
        <w:left w:val="none" w:sz="0" w:space="0" w:color="auto"/>
        <w:bottom w:val="none" w:sz="0" w:space="0" w:color="auto"/>
        <w:right w:val="none" w:sz="0" w:space="0" w:color="auto"/>
      </w:divBdr>
    </w:div>
    <w:div w:id="1830556290">
      <w:bodyDiv w:val="1"/>
      <w:marLeft w:val="0"/>
      <w:marRight w:val="0"/>
      <w:marTop w:val="0"/>
      <w:marBottom w:val="0"/>
      <w:divBdr>
        <w:top w:val="none" w:sz="0" w:space="0" w:color="auto"/>
        <w:left w:val="none" w:sz="0" w:space="0" w:color="auto"/>
        <w:bottom w:val="none" w:sz="0" w:space="0" w:color="auto"/>
        <w:right w:val="none" w:sz="0" w:space="0" w:color="auto"/>
      </w:divBdr>
    </w:div>
    <w:div w:id="1830824006">
      <w:bodyDiv w:val="1"/>
      <w:marLeft w:val="0"/>
      <w:marRight w:val="0"/>
      <w:marTop w:val="0"/>
      <w:marBottom w:val="0"/>
      <w:divBdr>
        <w:top w:val="none" w:sz="0" w:space="0" w:color="auto"/>
        <w:left w:val="none" w:sz="0" w:space="0" w:color="auto"/>
        <w:bottom w:val="none" w:sz="0" w:space="0" w:color="auto"/>
        <w:right w:val="none" w:sz="0" w:space="0" w:color="auto"/>
      </w:divBdr>
    </w:div>
    <w:div w:id="1835216784">
      <w:bodyDiv w:val="1"/>
      <w:marLeft w:val="0"/>
      <w:marRight w:val="0"/>
      <w:marTop w:val="0"/>
      <w:marBottom w:val="0"/>
      <w:divBdr>
        <w:top w:val="none" w:sz="0" w:space="0" w:color="auto"/>
        <w:left w:val="none" w:sz="0" w:space="0" w:color="auto"/>
        <w:bottom w:val="none" w:sz="0" w:space="0" w:color="auto"/>
        <w:right w:val="none" w:sz="0" w:space="0" w:color="auto"/>
      </w:divBdr>
    </w:div>
    <w:div w:id="1839955549">
      <w:bodyDiv w:val="1"/>
      <w:marLeft w:val="0"/>
      <w:marRight w:val="0"/>
      <w:marTop w:val="0"/>
      <w:marBottom w:val="0"/>
      <w:divBdr>
        <w:top w:val="none" w:sz="0" w:space="0" w:color="auto"/>
        <w:left w:val="none" w:sz="0" w:space="0" w:color="auto"/>
        <w:bottom w:val="none" w:sz="0" w:space="0" w:color="auto"/>
        <w:right w:val="none" w:sz="0" w:space="0" w:color="auto"/>
      </w:divBdr>
    </w:div>
    <w:div w:id="1850871110">
      <w:bodyDiv w:val="1"/>
      <w:marLeft w:val="0"/>
      <w:marRight w:val="0"/>
      <w:marTop w:val="0"/>
      <w:marBottom w:val="0"/>
      <w:divBdr>
        <w:top w:val="none" w:sz="0" w:space="0" w:color="auto"/>
        <w:left w:val="none" w:sz="0" w:space="0" w:color="auto"/>
        <w:bottom w:val="none" w:sz="0" w:space="0" w:color="auto"/>
        <w:right w:val="none" w:sz="0" w:space="0" w:color="auto"/>
      </w:divBdr>
    </w:div>
    <w:div w:id="1870413879">
      <w:bodyDiv w:val="1"/>
      <w:marLeft w:val="0"/>
      <w:marRight w:val="0"/>
      <w:marTop w:val="0"/>
      <w:marBottom w:val="0"/>
      <w:divBdr>
        <w:top w:val="none" w:sz="0" w:space="0" w:color="auto"/>
        <w:left w:val="none" w:sz="0" w:space="0" w:color="auto"/>
        <w:bottom w:val="none" w:sz="0" w:space="0" w:color="auto"/>
        <w:right w:val="none" w:sz="0" w:space="0" w:color="auto"/>
      </w:divBdr>
    </w:div>
    <w:div w:id="1871141564">
      <w:bodyDiv w:val="1"/>
      <w:marLeft w:val="0"/>
      <w:marRight w:val="0"/>
      <w:marTop w:val="0"/>
      <w:marBottom w:val="0"/>
      <w:divBdr>
        <w:top w:val="none" w:sz="0" w:space="0" w:color="auto"/>
        <w:left w:val="none" w:sz="0" w:space="0" w:color="auto"/>
        <w:bottom w:val="none" w:sz="0" w:space="0" w:color="auto"/>
        <w:right w:val="none" w:sz="0" w:space="0" w:color="auto"/>
      </w:divBdr>
    </w:div>
    <w:div w:id="1876887311">
      <w:bodyDiv w:val="1"/>
      <w:marLeft w:val="0"/>
      <w:marRight w:val="0"/>
      <w:marTop w:val="0"/>
      <w:marBottom w:val="0"/>
      <w:divBdr>
        <w:top w:val="none" w:sz="0" w:space="0" w:color="auto"/>
        <w:left w:val="none" w:sz="0" w:space="0" w:color="auto"/>
        <w:bottom w:val="none" w:sz="0" w:space="0" w:color="auto"/>
        <w:right w:val="none" w:sz="0" w:space="0" w:color="auto"/>
      </w:divBdr>
    </w:div>
    <w:div w:id="1880244953">
      <w:bodyDiv w:val="1"/>
      <w:marLeft w:val="0"/>
      <w:marRight w:val="0"/>
      <w:marTop w:val="0"/>
      <w:marBottom w:val="0"/>
      <w:divBdr>
        <w:top w:val="none" w:sz="0" w:space="0" w:color="auto"/>
        <w:left w:val="none" w:sz="0" w:space="0" w:color="auto"/>
        <w:bottom w:val="none" w:sz="0" w:space="0" w:color="auto"/>
        <w:right w:val="none" w:sz="0" w:space="0" w:color="auto"/>
      </w:divBdr>
    </w:div>
    <w:div w:id="1887401502">
      <w:bodyDiv w:val="1"/>
      <w:marLeft w:val="0"/>
      <w:marRight w:val="0"/>
      <w:marTop w:val="0"/>
      <w:marBottom w:val="0"/>
      <w:divBdr>
        <w:top w:val="none" w:sz="0" w:space="0" w:color="auto"/>
        <w:left w:val="none" w:sz="0" w:space="0" w:color="auto"/>
        <w:bottom w:val="none" w:sz="0" w:space="0" w:color="auto"/>
        <w:right w:val="none" w:sz="0" w:space="0" w:color="auto"/>
      </w:divBdr>
    </w:div>
    <w:div w:id="1888444531">
      <w:bodyDiv w:val="1"/>
      <w:marLeft w:val="0"/>
      <w:marRight w:val="0"/>
      <w:marTop w:val="0"/>
      <w:marBottom w:val="0"/>
      <w:divBdr>
        <w:top w:val="none" w:sz="0" w:space="0" w:color="auto"/>
        <w:left w:val="none" w:sz="0" w:space="0" w:color="auto"/>
        <w:bottom w:val="none" w:sz="0" w:space="0" w:color="auto"/>
        <w:right w:val="none" w:sz="0" w:space="0" w:color="auto"/>
      </w:divBdr>
    </w:div>
    <w:div w:id="1896118777">
      <w:bodyDiv w:val="1"/>
      <w:marLeft w:val="0"/>
      <w:marRight w:val="0"/>
      <w:marTop w:val="0"/>
      <w:marBottom w:val="0"/>
      <w:divBdr>
        <w:top w:val="none" w:sz="0" w:space="0" w:color="auto"/>
        <w:left w:val="none" w:sz="0" w:space="0" w:color="auto"/>
        <w:bottom w:val="none" w:sz="0" w:space="0" w:color="auto"/>
        <w:right w:val="none" w:sz="0" w:space="0" w:color="auto"/>
      </w:divBdr>
    </w:div>
    <w:div w:id="1902516504">
      <w:bodyDiv w:val="1"/>
      <w:marLeft w:val="0"/>
      <w:marRight w:val="0"/>
      <w:marTop w:val="0"/>
      <w:marBottom w:val="0"/>
      <w:divBdr>
        <w:top w:val="none" w:sz="0" w:space="0" w:color="auto"/>
        <w:left w:val="none" w:sz="0" w:space="0" w:color="auto"/>
        <w:bottom w:val="none" w:sz="0" w:space="0" w:color="auto"/>
        <w:right w:val="none" w:sz="0" w:space="0" w:color="auto"/>
      </w:divBdr>
    </w:div>
    <w:div w:id="1904480775">
      <w:bodyDiv w:val="1"/>
      <w:marLeft w:val="0"/>
      <w:marRight w:val="0"/>
      <w:marTop w:val="0"/>
      <w:marBottom w:val="0"/>
      <w:divBdr>
        <w:top w:val="none" w:sz="0" w:space="0" w:color="auto"/>
        <w:left w:val="none" w:sz="0" w:space="0" w:color="auto"/>
        <w:bottom w:val="none" w:sz="0" w:space="0" w:color="auto"/>
        <w:right w:val="none" w:sz="0" w:space="0" w:color="auto"/>
      </w:divBdr>
    </w:div>
    <w:div w:id="1915314799">
      <w:bodyDiv w:val="1"/>
      <w:marLeft w:val="0"/>
      <w:marRight w:val="0"/>
      <w:marTop w:val="0"/>
      <w:marBottom w:val="0"/>
      <w:divBdr>
        <w:top w:val="none" w:sz="0" w:space="0" w:color="auto"/>
        <w:left w:val="none" w:sz="0" w:space="0" w:color="auto"/>
        <w:bottom w:val="none" w:sz="0" w:space="0" w:color="auto"/>
        <w:right w:val="none" w:sz="0" w:space="0" w:color="auto"/>
      </w:divBdr>
    </w:div>
    <w:div w:id="1923636231">
      <w:bodyDiv w:val="1"/>
      <w:marLeft w:val="0"/>
      <w:marRight w:val="0"/>
      <w:marTop w:val="0"/>
      <w:marBottom w:val="0"/>
      <w:divBdr>
        <w:top w:val="none" w:sz="0" w:space="0" w:color="auto"/>
        <w:left w:val="none" w:sz="0" w:space="0" w:color="auto"/>
        <w:bottom w:val="none" w:sz="0" w:space="0" w:color="auto"/>
        <w:right w:val="none" w:sz="0" w:space="0" w:color="auto"/>
      </w:divBdr>
    </w:div>
    <w:div w:id="1924365643">
      <w:bodyDiv w:val="1"/>
      <w:marLeft w:val="0"/>
      <w:marRight w:val="0"/>
      <w:marTop w:val="0"/>
      <w:marBottom w:val="0"/>
      <w:divBdr>
        <w:top w:val="none" w:sz="0" w:space="0" w:color="auto"/>
        <w:left w:val="none" w:sz="0" w:space="0" w:color="auto"/>
        <w:bottom w:val="none" w:sz="0" w:space="0" w:color="auto"/>
        <w:right w:val="none" w:sz="0" w:space="0" w:color="auto"/>
      </w:divBdr>
    </w:div>
    <w:div w:id="1928536465">
      <w:bodyDiv w:val="1"/>
      <w:marLeft w:val="0"/>
      <w:marRight w:val="0"/>
      <w:marTop w:val="0"/>
      <w:marBottom w:val="0"/>
      <w:divBdr>
        <w:top w:val="none" w:sz="0" w:space="0" w:color="auto"/>
        <w:left w:val="none" w:sz="0" w:space="0" w:color="auto"/>
        <w:bottom w:val="none" w:sz="0" w:space="0" w:color="auto"/>
        <w:right w:val="none" w:sz="0" w:space="0" w:color="auto"/>
      </w:divBdr>
    </w:div>
    <w:div w:id="1931888353">
      <w:bodyDiv w:val="1"/>
      <w:marLeft w:val="0"/>
      <w:marRight w:val="0"/>
      <w:marTop w:val="0"/>
      <w:marBottom w:val="0"/>
      <w:divBdr>
        <w:top w:val="none" w:sz="0" w:space="0" w:color="auto"/>
        <w:left w:val="none" w:sz="0" w:space="0" w:color="auto"/>
        <w:bottom w:val="none" w:sz="0" w:space="0" w:color="auto"/>
        <w:right w:val="none" w:sz="0" w:space="0" w:color="auto"/>
      </w:divBdr>
    </w:div>
    <w:div w:id="1937791146">
      <w:bodyDiv w:val="1"/>
      <w:marLeft w:val="0"/>
      <w:marRight w:val="0"/>
      <w:marTop w:val="0"/>
      <w:marBottom w:val="0"/>
      <w:divBdr>
        <w:top w:val="none" w:sz="0" w:space="0" w:color="auto"/>
        <w:left w:val="none" w:sz="0" w:space="0" w:color="auto"/>
        <w:bottom w:val="none" w:sz="0" w:space="0" w:color="auto"/>
        <w:right w:val="none" w:sz="0" w:space="0" w:color="auto"/>
      </w:divBdr>
    </w:div>
    <w:div w:id="1940336047">
      <w:bodyDiv w:val="1"/>
      <w:marLeft w:val="0"/>
      <w:marRight w:val="0"/>
      <w:marTop w:val="0"/>
      <w:marBottom w:val="0"/>
      <w:divBdr>
        <w:top w:val="none" w:sz="0" w:space="0" w:color="auto"/>
        <w:left w:val="none" w:sz="0" w:space="0" w:color="auto"/>
        <w:bottom w:val="none" w:sz="0" w:space="0" w:color="auto"/>
        <w:right w:val="none" w:sz="0" w:space="0" w:color="auto"/>
      </w:divBdr>
    </w:div>
    <w:div w:id="1941644815">
      <w:bodyDiv w:val="1"/>
      <w:marLeft w:val="0"/>
      <w:marRight w:val="0"/>
      <w:marTop w:val="0"/>
      <w:marBottom w:val="0"/>
      <w:divBdr>
        <w:top w:val="none" w:sz="0" w:space="0" w:color="auto"/>
        <w:left w:val="none" w:sz="0" w:space="0" w:color="auto"/>
        <w:bottom w:val="none" w:sz="0" w:space="0" w:color="auto"/>
        <w:right w:val="none" w:sz="0" w:space="0" w:color="auto"/>
      </w:divBdr>
      <w:divsChild>
        <w:div w:id="1639341512">
          <w:marLeft w:val="0"/>
          <w:marRight w:val="0"/>
          <w:marTop w:val="0"/>
          <w:marBottom w:val="0"/>
          <w:divBdr>
            <w:top w:val="none" w:sz="0" w:space="0" w:color="auto"/>
            <w:left w:val="none" w:sz="0" w:space="0" w:color="auto"/>
            <w:bottom w:val="none" w:sz="0" w:space="0" w:color="auto"/>
            <w:right w:val="none" w:sz="0" w:space="0" w:color="auto"/>
          </w:divBdr>
          <w:divsChild>
            <w:div w:id="1811628946">
              <w:marLeft w:val="0"/>
              <w:marRight w:val="0"/>
              <w:marTop w:val="0"/>
              <w:marBottom w:val="0"/>
              <w:divBdr>
                <w:top w:val="none" w:sz="0" w:space="0" w:color="auto"/>
                <w:left w:val="none" w:sz="0" w:space="0" w:color="auto"/>
                <w:bottom w:val="none" w:sz="0" w:space="0" w:color="auto"/>
                <w:right w:val="none" w:sz="0" w:space="0" w:color="auto"/>
              </w:divBdr>
              <w:divsChild>
                <w:div w:id="75592955">
                  <w:marLeft w:val="0"/>
                  <w:marRight w:val="0"/>
                  <w:marTop w:val="0"/>
                  <w:marBottom w:val="0"/>
                  <w:divBdr>
                    <w:top w:val="none" w:sz="0" w:space="0" w:color="auto"/>
                    <w:left w:val="none" w:sz="0" w:space="0" w:color="auto"/>
                    <w:bottom w:val="none" w:sz="0" w:space="0" w:color="auto"/>
                    <w:right w:val="none" w:sz="0" w:space="0" w:color="auto"/>
                  </w:divBdr>
                  <w:divsChild>
                    <w:div w:id="2097361747">
                      <w:marLeft w:val="0"/>
                      <w:marRight w:val="0"/>
                      <w:marTop w:val="0"/>
                      <w:marBottom w:val="0"/>
                      <w:divBdr>
                        <w:top w:val="none" w:sz="0" w:space="0" w:color="auto"/>
                        <w:left w:val="none" w:sz="0" w:space="0" w:color="auto"/>
                        <w:bottom w:val="none" w:sz="0" w:space="0" w:color="auto"/>
                        <w:right w:val="none" w:sz="0" w:space="0" w:color="auto"/>
                      </w:divBdr>
                      <w:divsChild>
                        <w:div w:id="43891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7808444">
      <w:bodyDiv w:val="1"/>
      <w:marLeft w:val="0"/>
      <w:marRight w:val="0"/>
      <w:marTop w:val="0"/>
      <w:marBottom w:val="0"/>
      <w:divBdr>
        <w:top w:val="none" w:sz="0" w:space="0" w:color="auto"/>
        <w:left w:val="none" w:sz="0" w:space="0" w:color="auto"/>
        <w:bottom w:val="none" w:sz="0" w:space="0" w:color="auto"/>
        <w:right w:val="none" w:sz="0" w:space="0" w:color="auto"/>
      </w:divBdr>
    </w:div>
    <w:div w:id="1956591972">
      <w:bodyDiv w:val="1"/>
      <w:marLeft w:val="0"/>
      <w:marRight w:val="0"/>
      <w:marTop w:val="0"/>
      <w:marBottom w:val="0"/>
      <w:divBdr>
        <w:top w:val="none" w:sz="0" w:space="0" w:color="auto"/>
        <w:left w:val="none" w:sz="0" w:space="0" w:color="auto"/>
        <w:bottom w:val="none" w:sz="0" w:space="0" w:color="auto"/>
        <w:right w:val="none" w:sz="0" w:space="0" w:color="auto"/>
      </w:divBdr>
    </w:div>
    <w:div w:id="1959945062">
      <w:bodyDiv w:val="1"/>
      <w:marLeft w:val="0"/>
      <w:marRight w:val="0"/>
      <w:marTop w:val="0"/>
      <w:marBottom w:val="0"/>
      <w:divBdr>
        <w:top w:val="none" w:sz="0" w:space="0" w:color="auto"/>
        <w:left w:val="none" w:sz="0" w:space="0" w:color="auto"/>
        <w:bottom w:val="none" w:sz="0" w:space="0" w:color="auto"/>
        <w:right w:val="none" w:sz="0" w:space="0" w:color="auto"/>
      </w:divBdr>
    </w:div>
    <w:div w:id="1963413237">
      <w:bodyDiv w:val="1"/>
      <w:marLeft w:val="0"/>
      <w:marRight w:val="0"/>
      <w:marTop w:val="0"/>
      <w:marBottom w:val="0"/>
      <w:divBdr>
        <w:top w:val="none" w:sz="0" w:space="0" w:color="auto"/>
        <w:left w:val="none" w:sz="0" w:space="0" w:color="auto"/>
        <w:bottom w:val="none" w:sz="0" w:space="0" w:color="auto"/>
        <w:right w:val="none" w:sz="0" w:space="0" w:color="auto"/>
      </w:divBdr>
    </w:div>
    <w:div w:id="1968464764">
      <w:bodyDiv w:val="1"/>
      <w:marLeft w:val="0"/>
      <w:marRight w:val="0"/>
      <w:marTop w:val="0"/>
      <w:marBottom w:val="0"/>
      <w:divBdr>
        <w:top w:val="none" w:sz="0" w:space="0" w:color="auto"/>
        <w:left w:val="none" w:sz="0" w:space="0" w:color="auto"/>
        <w:bottom w:val="none" w:sz="0" w:space="0" w:color="auto"/>
        <w:right w:val="none" w:sz="0" w:space="0" w:color="auto"/>
      </w:divBdr>
      <w:divsChild>
        <w:div w:id="1801265651">
          <w:marLeft w:val="0"/>
          <w:marRight w:val="0"/>
          <w:marTop w:val="0"/>
          <w:marBottom w:val="0"/>
          <w:divBdr>
            <w:top w:val="none" w:sz="0" w:space="0" w:color="auto"/>
            <w:left w:val="none" w:sz="0" w:space="0" w:color="auto"/>
            <w:bottom w:val="none" w:sz="0" w:space="0" w:color="auto"/>
            <w:right w:val="none" w:sz="0" w:space="0" w:color="auto"/>
          </w:divBdr>
          <w:divsChild>
            <w:div w:id="1630239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926448">
      <w:bodyDiv w:val="1"/>
      <w:marLeft w:val="0"/>
      <w:marRight w:val="0"/>
      <w:marTop w:val="0"/>
      <w:marBottom w:val="0"/>
      <w:divBdr>
        <w:top w:val="none" w:sz="0" w:space="0" w:color="auto"/>
        <w:left w:val="none" w:sz="0" w:space="0" w:color="auto"/>
        <w:bottom w:val="none" w:sz="0" w:space="0" w:color="auto"/>
        <w:right w:val="none" w:sz="0" w:space="0" w:color="auto"/>
      </w:divBdr>
    </w:div>
    <w:div w:id="1968966503">
      <w:bodyDiv w:val="1"/>
      <w:marLeft w:val="0"/>
      <w:marRight w:val="0"/>
      <w:marTop w:val="0"/>
      <w:marBottom w:val="0"/>
      <w:divBdr>
        <w:top w:val="none" w:sz="0" w:space="0" w:color="auto"/>
        <w:left w:val="none" w:sz="0" w:space="0" w:color="auto"/>
        <w:bottom w:val="none" w:sz="0" w:space="0" w:color="auto"/>
        <w:right w:val="none" w:sz="0" w:space="0" w:color="auto"/>
      </w:divBdr>
    </w:div>
    <w:div w:id="1969161943">
      <w:bodyDiv w:val="1"/>
      <w:marLeft w:val="0"/>
      <w:marRight w:val="0"/>
      <w:marTop w:val="0"/>
      <w:marBottom w:val="0"/>
      <w:divBdr>
        <w:top w:val="none" w:sz="0" w:space="0" w:color="auto"/>
        <w:left w:val="none" w:sz="0" w:space="0" w:color="auto"/>
        <w:bottom w:val="none" w:sz="0" w:space="0" w:color="auto"/>
        <w:right w:val="none" w:sz="0" w:space="0" w:color="auto"/>
      </w:divBdr>
    </w:div>
    <w:div w:id="1969357499">
      <w:bodyDiv w:val="1"/>
      <w:marLeft w:val="0"/>
      <w:marRight w:val="0"/>
      <w:marTop w:val="0"/>
      <w:marBottom w:val="0"/>
      <w:divBdr>
        <w:top w:val="none" w:sz="0" w:space="0" w:color="auto"/>
        <w:left w:val="none" w:sz="0" w:space="0" w:color="auto"/>
        <w:bottom w:val="none" w:sz="0" w:space="0" w:color="auto"/>
        <w:right w:val="none" w:sz="0" w:space="0" w:color="auto"/>
      </w:divBdr>
    </w:div>
    <w:div w:id="1976838082">
      <w:bodyDiv w:val="1"/>
      <w:marLeft w:val="0"/>
      <w:marRight w:val="0"/>
      <w:marTop w:val="0"/>
      <w:marBottom w:val="0"/>
      <w:divBdr>
        <w:top w:val="none" w:sz="0" w:space="0" w:color="auto"/>
        <w:left w:val="none" w:sz="0" w:space="0" w:color="auto"/>
        <w:bottom w:val="none" w:sz="0" w:space="0" w:color="auto"/>
        <w:right w:val="none" w:sz="0" w:space="0" w:color="auto"/>
      </w:divBdr>
    </w:div>
    <w:div w:id="1981880045">
      <w:bodyDiv w:val="1"/>
      <w:marLeft w:val="0"/>
      <w:marRight w:val="0"/>
      <w:marTop w:val="0"/>
      <w:marBottom w:val="0"/>
      <w:divBdr>
        <w:top w:val="none" w:sz="0" w:space="0" w:color="auto"/>
        <w:left w:val="none" w:sz="0" w:space="0" w:color="auto"/>
        <w:bottom w:val="none" w:sz="0" w:space="0" w:color="auto"/>
        <w:right w:val="none" w:sz="0" w:space="0" w:color="auto"/>
      </w:divBdr>
    </w:div>
    <w:div w:id="1982610408">
      <w:bodyDiv w:val="1"/>
      <w:marLeft w:val="0"/>
      <w:marRight w:val="0"/>
      <w:marTop w:val="0"/>
      <w:marBottom w:val="0"/>
      <w:divBdr>
        <w:top w:val="none" w:sz="0" w:space="0" w:color="auto"/>
        <w:left w:val="none" w:sz="0" w:space="0" w:color="auto"/>
        <w:bottom w:val="none" w:sz="0" w:space="0" w:color="auto"/>
        <w:right w:val="none" w:sz="0" w:space="0" w:color="auto"/>
      </w:divBdr>
    </w:div>
    <w:div w:id="1988127026">
      <w:bodyDiv w:val="1"/>
      <w:marLeft w:val="0"/>
      <w:marRight w:val="0"/>
      <w:marTop w:val="0"/>
      <w:marBottom w:val="0"/>
      <w:divBdr>
        <w:top w:val="none" w:sz="0" w:space="0" w:color="auto"/>
        <w:left w:val="none" w:sz="0" w:space="0" w:color="auto"/>
        <w:bottom w:val="none" w:sz="0" w:space="0" w:color="auto"/>
        <w:right w:val="none" w:sz="0" w:space="0" w:color="auto"/>
      </w:divBdr>
    </w:div>
    <w:div w:id="1995798111">
      <w:bodyDiv w:val="1"/>
      <w:marLeft w:val="0"/>
      <w:marRight w:val="0"/>
      <w:marTop w:val="0"/>
      <w:marBottom w:val="0"/>
      <w:divBdr>
        <w:top w:val="none" w:sz="0" w:space="0" w:color="auto"/>
        <w:left w:val="none" w:sz="0" w:space="0" w:color="auto"/>
        <w:bottom w:val="none" w:sz="0" w:space="0" w:color="auto"/>
        <w:right w:val="none" w:sz="0" w:space="0" w:color="auto"/>
      </w:divBdr>
    </w:div>
    <w:div w:id="2000383274">
      <w:bodyDiv w:val="1"/>
      <w:marLeft w:val="0"/>
      <w:marRight w:val="0"/>
      <w:marTop w:val="0"/>
      <w:marBottom w:val="0"/>
      <w:divBdr>
        <w:top w:val="none" w:sz="0" w:space="0" w:color="auto"/>
        <w:left w:val="none" w:sz="0" w:space="0" w:color="auto"/>
        <w:bottom w:val="none" w:sz="0" w:space="0" w:color="auto"/>
        <w:right w:val="none" w:sz="0" w:space="0" w:color="auto"/>
      </w:divBdr>
    </w:div>
    <w:div w:id="2013027005">
      <w:bodyDiv w:val="1"/>
      <w:marLeft w:val="0"/>
      <w:marRight w:val="0"/>
      <w:marTop w:val="0"/>
      <w:marBottom w:val="0"/>
      <w:divBdr>
        <w:top w:val="none" w:sz="0" w:space="0" w:color="auto"/>
        <w:left w:val="none" w:sz="0" w:space="0" w:color="auto"/>
        <w:bottom w:val="none" w:sz="0" w:space="0" w:color="auto"/>
        <w:right w:val="none" w:sz="0" w:space="0" w:color="auto"/>
      </w:divBdr>
    </w:div>
    <w:div w:id="2022201161">
      <w:bodyDiv w:val="1"/>
      <w:marLeft w:val="0"/>
      <w:marRight w:val="0"/>
      <w:marTop w:val="0"/>
      <w:marBottom w:val="0"/>
      <w:divBdr>
        <w:top w:val="none" w:sz="0" w:space="0" w:color="auto"/>
        <w:left w:val="none" w:sz="0" w:space="0" w:color="auto"/>
        <w:bottom w:val="none" w:sz="0" w:space="0" w:color="auto"/>
        <w:right w:val="none" w:sz="0" w:space="0" w:color="auto"/>
      </w:divBdr>
    </w:div>
    <w:div w:id="2025587761">
      <w:bodyDiv w:val="1"/>
      <w:marLeft w:val="0"/>
      <w:marRight w:val="0"/>
      <w:marTop w:val="0"/>
      <w:marBottom w:val="0"/>
      <w:divBdr>
        <w:top w:val="none" w:sz="0" w:space="0" w:color="auto"/>
        <w:left w:val="none" w:sz="0" w:space="0" w:color="auto"/>
        <w:bottom w:val="none" w:sz="0" w:space="0" w:color="auto"/>
        <w:right w:val="none" w:sz="0" w:space="0" w:color="auto"/>
      </w:divBdr>
    </w:div>
    <w:div w:id="2030830961">
      <w:bodyDiv w:val="1"/>
      <w:marLeft w:val="0"/>
      <w:marRight w:val="0"/>
      <w:marTop w:val="0"/>
      <w:marBottom w:val="0"/>
      <w:divBdr>
        <w:top w:val="none" w:sz="0" w:space="0" w:color="auto"/>
        <w:left w:val="none" w:sz="0" w:space="0" w:color="auto"/>
        <w:bottom w:val="none" w:sz="0" w:space="0" w:color="auto"/>
        <w:right w:val="none" w:sz="0" w:space="0" w:color="auto"/>
      </w:divBdr>
    </w:div>
    <w:div w:id="2050179240">
      <w:bodyDiv w:val="1"/>
      <w:marLeft w:val="0"/>
      <w:marRight w:val="0"/>
      <w:marTop w:val="0"/>
      <w:marBottom w:val="0"/>
      <w:divBdr>
        <w:top w:val="none" w:sz="0" w:space="0" w:color="auto"/>
        <w:left w:val="none" w:sz="0" w:space="0" w:color="auto"/>
        <w:bottom w:val="none" w:sz="0" w:space="0" w:color="auto"/>
        <w:right w:val="none" w:sz="0" w:space="0" w:color="auto"/>
      </w:divBdr>
    </w:div>
    <w:div w:id="2054306237">
      <w:bodyDiv w:val="1"/>
      <w:marLeft w:val="0"/>
      <w:marRight w:val="0"/>
      <w:marTop w:val="0"/>
      <w:marBottom w:val="0"/>
      <w:divBdr>
        <w:top w:val="none" w:sz="0" w:space="0" w:color="auto"/>
        <w:left w:val="none" w:sz="0" w:space="0" w:color="auto"/>
        <w:bottom w:val="none" w:sz="0" w:space="0" w:color="auto"/>
        <w:right w:val="none" w:sz="0" w:space="0" w:color="auto"/>
      </w:divBdr>
    </w:div>
    <w:div w:id="2056588086">
      <w:bodyDiv w:val="1"/>
      <w:marLeft w:val="0"/>
      <w:marRight w:val="0"/>
      <w:marTop w:val="0"/>
      <w:marBottom w:val="0"/>
      <w:divBdr>
        <w:top w:val="none" w:sz="0" w:space="0" w:color="auto"/>
        <w:left w:val="none" w:sz="0" w:space="0" w:color="auto"/>
        <w:bottom w:val="none" w:sz="0" w:space="0" w:color="auto"/>
        <w:right w:val="none" w:sz="0" w:space="0" w:color="auto"/>
      </w:divBdr>
    </w:div>
    <w:div w:id="2064283006">
      <w:bodyDiv w:val="1"/>
      <w:marLeft w:val="0"/>
      <w:marRight w:val="0"/>
      <w:marTop w:val="0"/>
      <w:marBottom w:val="0"/>
      <w:divBdr>
        <w:top w:val="none" w:sz="0" w:space="0" w:color="auto"/>
        <w:left w:val="none" w:sz="0" w:space="0" w:color="auto"/>
        <w:bottom w:val="none" w:sz="0" w:space="0" w:color="auto"/>
        <w:right w:val="none" w:sz="0" w:space="0" w:color="auto"/>
      </w:divBdr>
    </w:div>
    <w:div w:id="2069912423">
      <w:bodyDiv w:val="1"/>
      <w:marLeft w:val="0"/>
      <w:marRight w:val="0"/>
      <w:marTop w:val="0"/>
      <w:marBottom w:val="0"/>
      <w:divBdr>
        <w:top w:val="none" w:sz="0" w:space="0" w:color="auto"/>
        <w:left w:val="none" w:sz="0" w:space="0" w:color="auto"/>
        <w:bottom w:val="none" w:sz="0" w:space="0" w:color="auto"/>
        <w:right w:val="none" w:sz="0" w:space="0" w:color="auto"/>
      </w:divBdr>
    </w:div>
    <w:div w:id="2070809037">
      <w:bodyDiv w:val="1"/>
      <w:marLeft w:val="0"/>
      <w:marRight w:val="0"/>
      <w:marTop w:val="0"/>
      <w:marBottom w:val="0"/>
      <w:divBdr>
        <w:top w:val="none" w:sz="0" w:space="0" w:color="auto"/>
        <w:left w:val="none" w:sz="0" w:space="0" w:color="auto"/>
        <w:bottom w:val="none" w:sz="0" w:space="0" w:color="auto"/>
        <w:right w:val="none" w:sz="0" w:space="0" w:color="auto"/>
      </w:divBdr>
    </w:div>
    <w:div w:id="2071926504">
      <w:bodyDiv w:val="1"/>
      <w:marLeft w:val="0"/>
      <w:marRight w:val="0"/>
      <w:marTop w:val="0"/>
      <w:marBottom w:val="0"/>
      <w:divBdr>
        <w:top w:val="none" w:sz="0" w:space="0" w:color="auto"/>
        <w:left w:val="none" w:sz="0" w:space="0" w:color="auto"/>
        <w:bottom w:val="none" w:sz="0" w:space="0" w:color="auto"/>
        <w:right w:val="none" w:sz="0" w:space="0" w:color="auto"/>
      </w:divBdr>
    </w:div>
    <w:div w:id="2072192357">
      <w:bodyDiv w:val="1"/>
      <w:marLeft w:val="0"/>
      <w:marRight w:val="0"/>
      <w:marTop w:val="0"/>
      <w:marBottom w:val="0"/>
      <w:divBdr>
        <w:top w:val="none" w:sz="0" w:space="0" w:color="auto"/>
        <w:left w:val="none" w:sz="0" w:space="0" w:color="auto"/>
        <w:bottom w:val="none" w:sz="0" w:space="0" w:color="auto"/>
        <w:right w:val="none" w:sz="0" w:space="0" w:color="auto"/>
      </w:divBdr>
    </w:div>
    <w:div w:id="2075471534">
      <w:bodyDiv w:val="1"/>
      <w:marLeft w:val="0"/>
      <w:marRight w:val="0"/>
      <w:marTop w:val="0"/>
      <w:marBottom w:val="0"/>
      <w:divBdr>
        <w:top w:val="none" w:sz="0" w:space="0" w:color="auto"/>
        <w:left w:val="none" w:sz="0" w:space="0" w:color="auto"/>
        <w:bottom w:val="none" w:sz="0" w:space="0" w:color="auto"/>
        <w:right w:val="none" w:sz="0" w:space="0" w:color="auto"/>
      </w:divBdr>
    </w:div>
    <w:div w:id="2077512111">
      <w:bodyDiv w:val="1"/>
      <w:marLeft w:val="0"/>
      <w:marRight w:val="0"/>
      <w:marTop w:val="0"/>
      <w:marBottom w:val="0"/>
      <w:divBdr>
        <w:top w:val="none" w:sz="0" w:space="0" w:color="auto"/>
        <w:left w:val="none" w:sz="0" w:space="0" w:color="auto"/>
        <w:bottom w:val="none" w:sz="0" w:space="0" w:color="auto"/>
        <w:right w:val="none" w:sz="0" w:space="0" w:color="auto"/>
      </w:divBdr>
    </w:div>
    <w:div w:id="2078674129">
      <w:bodyDiv w:val="1"/>
      <w:marLeft w:val="0"/>
      <w:marRight w:val="0"/>
      <w:marTop w:val="0"/>
      <w:marBottom w:val="0"/>
      <w:divBdr>
        <w:top w:val="none" w:sz="0" w:space="0" w:color="auto"/>
        <w:left w:val="none" w:sz="0" w:space="0" w:color="auto"/>
        <w:bottom w:val="none" w:sz="0" w:space="0" w:color="auto"/>
        <w:right w:val="none" w:sz="0" w:space="0" w:color="auto"/>
      </w:divBdr>
    </w:div>
    <w:div w:id="2089575769">
      <w:bodyDiv w:val="1"/>
      <w:marLeft w:val="0"/>
      <w:marRight w:val="0"/>
      <w:marTop w:val="0"/>
      <w:marBottom w:val="0"/>
      <w:divBdr>
        <w:top w:val="none" w:sz="0" w:space="0" w:color="auto"/>
        <w:left w:val="none" w:sz="0" w:space="0" w:color="auto"/>
        <w:bottom w:val="none" w:sz="0" w:space="0" w:color="auto"/>
        <w:right w:val="none" w:sz="0" w:space="0" w:color="auto"/>
      </w:divBdr>
    </w:div>
    <w:div w:id="2099206950">
      <w:bodyDiv w:val="1"/>
      <w:marLeft w:val="0"/>
      <w:marRight w:val="0"/>
      <w:marTop w:val="0"/>
      <w:marBottom w:val="0"/>
      <w:divBdr>
        <w:top w:val="none" w:sz="0" w:space="0" w:color="auto"/>
        <w:left w:val="none" w:sz="0" w:space="0" w:color="auto"/>
        <w:bottom w:val="none" w:sz="0" w:space="0" w:color="auto"/>
        <w:right w:val="none" w:sz="0" w:space="0" w:color="auto"/>
      </w:divBdr>
    </w:div>
    <w:div w:id="2101640931">
      <w:bodyDiv w:val="1"/>
      <w:marLeft w:val="0"/>
      <w:marRight w:val="0"/>
      <w:marTop w:val="0"/>
      <w:marBottom w:val="0"/>
      <w:divBdr>
        <w:top w:val="none" w:sz="0" w:space="0" w:color="auto"/>
        <w:left w:val="none" w:sz="0" w:space="0" w:color="auto"/>
        <w:bottom w:val="none" w:sz="0" w:space="0" w:color="auto"/>
        <w:right w:val="none" w:sz="0" w:space="0" w:color="auto"/>
      </w:divBdr>
    </w:div>
    <w:div w:id="2108574609">
      <w:bodyDiv w:val="1"/>
      <w:marLeft w:val="0"/>
      <w:marRight w:val="0"/>
      <w:marTop w:val="0"/>
      <w:marBottom w:val="0"/>
      <w:divBdr>
        <w:top w:val="none" w:sz="0" w:space="0" w:color="auto"/>
        <w:left w:val="none" w:sz="0" w:space="0" w:color="auto"/>
        <w:bottom w:val="none" w:sz="0" w:space="0" w:color="auto"/>
        <w:right w:val="none" w:sz="0" w:space="0" w:color="auto"/>
      </w:divBdr>
    </w:div>
    <w:div w:id="2108691745">
      <w:bodyDiv w:val="1"/>
      <w:marLeft w:val="0"/>
      <w:marRight w:val="0"/>
      <w:marTop w:val="0"/>
      <w:marBottom w:val="0"/>
      <w:divBdr>
        <w:top w:val="none" w:sz="0" w:space="0" w:color="auto"/>
        <w:left w:val="none" w:sz="0" w:space="0" w:color="auto"/>
        <w:bottom w:val="none" w:sz="0" w:space="0" w:color="auto"/>
        <w:right w:val="none" w:sz="0" w:space="0" w:color="auto"/>
      </w:divBdr>
    </w:div>
    <w:div w:id="2108848155">
      <w:bodyDiv w:val="1"/>
      <w:marLeft w:val="0"/>
      <w:marRight w:val="0"/>
      <w:marTop w:val="0"/>
      <w:marBottom w:val="0"/>
      <w:divBdr>
        <w:top w:val="none" w:sz="0" w:space="0" w:color="auto"/>
        <w:left w:val="none" w:sz="0" w:space="0" w:color="auto"/>
        <w:bottom w:val="none" w:sz="0" w:space="0" w:color="auto"/>
        <w:right w:val="none" w:sz="0" w:space="0" w:color="auto"/>
      </w:divBdr>
    </w:div>
    <w:div w:id="2110272279">
      <w:bodyDiv w:val="1"/>
      <w:marLeft w:val="0"/>
      <w:marRight w:val="0"/>
      <w:marTop w:val="0"/>
      <w:marBottom w:val="0"/>
      <w:divBdr>
        <w:top w:val="none" w:sz="0" w:space="0" w:color="auto"/>
        <w:left w:val="none" w:sz="0" w:space="0" w:color="auto"/>
        <w:bottom w:val="none" w:sz="0" w:space="0" w:color="auto"/>
        <w:right w:val="none" w:sz="0" w:space="0" w:color="auto"/>
      </w:divBdr>
    </w:div>
    <w:div w:id="2115785843">
      <w:bodyDiv w:val="1"/>
      <w:marLeft w:val="0"/>
      <w:marRight w:val="0"/>
      <w:marTop w:val="0"/>
      <w:marBottom w:val="0"/>
      <w:divBdr>
        <w:top w:val="none" w:sz="0" w:space="0" w:color="auto"/>
        <w:left w:val="none" w:sz="0" w:space="0" w:color="auto"/>
        <w:bottom w:val="none" w:sz="0" w:space="0" w:color="auto"/>
        <w:right w:val="none" w:sz="0" w:space="0" w:color="auto"/>
      </w:divBdr>
    </w:div>
    <w:div w:id="2116779381">
      <w:bodyDiv w:val="1"/>
      <w:marLeft w:val="0"/>
      <w:marRight w:val="0"/>
      <w:marTop w:val="0"/>
      <w:marBottom w:val="0"/>
      <w:divBdr>
        <w:top w:val="none" w:sz="0" w:space="0" w:color="auto"/>
        <w:left w:val="none" w:sz="0" w:space="0" w:color="auto"/>
        <w:bottom w:val="none" w:sz="0" w:space="0" w:color="auto"/>
        <w:right w:val="none" w:sz="0" w:space="0" w:color="auto"/>
      </w:divBdr>
    </w:div>
    <w:div w:id="2120643909">
      <w:bodyDiv w:val="1"/>
      <w:marLeft w:val="0"/>
      <w:marRight w:val="0"/>
      <w:marTop w:val="0"/>
      <w:marBottom w:val="0"/>
      <w:divBdr>
        <w:top w:val="none" w:sz="0" w:space="0" w:color="auto"/>
        <w:left w:val="none" w:sz="0" w:space="0" w:color="auto"/>
        <w:bottom w:val="none" w:sz="0" w:space="0" w:color="auto"/>
        <w:right w:val="none" w:sz="0" w:space="0" w:color="auto"/>
      </w:divBdr>
    </w:div>
    <w:div w:id="2123382914">
      <w:bodyDiv w:val="1"/>
      <w:marLeft w:val="0"/>
      <w:marRight w:val="0"/>
      <w:marTop w:val="0"/>
      <w:marBottom w:val="0"/>
      <w:divBdr>
        <w:top w:val="none" w:sz="0" w:space="0" w:color="auto"/>
        <w:left w:val="none" w:sz="0" w:space="0" w:color="auto"/>
        <w:bottom w:val="none" w:sz="0" w:space="0" w:color="auto"/>
        <w:right w:val="none" w:sz="0" w:space="0" w:color="auto"/>
      </w:divBdr>
    </w:div>
    <w:div w:id="2145467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tar.lt/portal/lt/legalAct/3ac40790906b11eea5a28c81c82193a8" TargetMode="External"/><Relationship Id="rId18" Type="http://schemas.openxmlformats.org/officeDocument/2006/relationships/hyperlink" Target="https://www.e-tar.lt/portal/lt/legalAct/2d9c40408a2211eea5a28c81c82193a8"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e-tar.lt/portal/lt/legalAct/1df3ab008aeb11eea5a28c81c82193a8" TargetMode="External"/><Relationship Id="rId7" Type="http://schemas.openxmlformats.org/officeDocument/2006/relationships/endnotes" Target="endnotes.xml"/><Relationship Id="rId12" Type="http://schemas.openxmlformats.org/officeDocument/2006/relationships/hyperlink" Target="https://www.e-tar.lt/portal/lt/legalAct/1a62d930945911eea5a28c81c82193a8" TargetMode="External"/><Relationship Id="rId17" Type="http://schemas.openxmlformats.org/officeDocument/2006/relationships/hyperlink" Target="https://www.e-tar.lt/portal/lt/legalAct/1f77cd308e1011eea5a28c81c82193a8"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e-tar.lt/portal/lt/legalAct/ecdb4fe08ed811eea5a28c81c82193a8" TargetMode="External"/><Relationship Id="rId20" Type="http://schemas.openxmlformats.org/officeDocument/2006/relationships/hyperlink" Target="https://www.e-tar.lt/portal/lt/legalAct/e02e2ae08fa211eea5a28c81c82193a8"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tar.lt/portal/lt/legalAct/e2c75c0092c611eea5a28c81c82193a8" TargetMode="External"/><Relationship Id="rId24" Type="http://schemas.openxmlformats.org/officeDocument/2006/relationships/hyperlink" Target="https://www.e-tar.lt/portal/lt/legalAct/47fa79f084a211eea5a28c81c82193a8" TargetMode="External"/><Relationship Id="rId5" Type="http://schemas.openxmlformats.org/officeDocument/2006/relationships/webSettings" Target="webSettings.xml"/><Relationship Id="rId15" Type="http://schemas.openxmlformats.org/officeDocument/2006/relationships/hyperlink" Target="https://www.e-tar.lt/portal/lt/legalAct/f9963cd095eb11eea5a28c81c82193a8" TargetMode="External"/><Relationship Id="rId23" Type="http://schemas.openxmlformats.org/officeDocument/2006/relationships/hyperlink" Target="https://www.e-tar.lt/portal/lt/legalAct/69c053b08fa211eea5a28c81c82193a8" TargetMode="External"/><Relationship Id="rId28" Type="http://schemas.openxmlformats.org/officeDocument/2006/relationships/fontTable" Target="fontTable.xml"/><Relationship Id="rId10" Type="http://schemas.openxmlformats.org/officeDocument/2006/relationships/hyperlink" Target="https://www.e-tar.lt/portal/lt/legalAct/40c17600cced11eea5a28c81c82193a8" TargetMode="External"/><Relationship Id="rId19" Type="http://schemas.openxmlformats.org/officeDocument/2006/relationships/hyperlink" Target="https://www.e-tar.lt/portal/lt/legalAct/47b62ba0856b11eea5a28c81c82193a8" TargetMode="External"/><Relationship Id="rId4" Type="http://schemas.openxmlformats.org/officeDocument/2006/relationships/settings" Target="settings.xml"/><Relationship Id="rId9" Type="http://schemas.openxmlformats.org/officeDocument/2006/relationships/hyperlink" Target="https://www.e-tar.lt/portal/lt/legalAct/e96a1df08ed811eea5a28c81c82193a8" TargetMode="External"/><Relationship Id="rId14" Type="http://schemas.openxmlformats.org/officeDocument/2006/relationships/hyperlink" Target="https://www.e-tar.lt/portal/lt/legalAct/a35252c083d811eea5a28c81c82193a8" TargetMode="External"/><Relationship Id="rId22" Type="http://schemas.openxmlformats.org/officeDocument/2006/relationships/hyperlink" Target="https://www.e-tar.lt/portal/lt/legalAct/e1ba30e08ed811eea5a28c81c82193a8" TargetMode="External"/><Relationship Id="rId27"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3954F7B-8120-4E41-8110-3E5E7A91C9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68556</Words>
  <Characters>39078</Characters>
  <Application>Microsoft Office Word</Application>
  <DocSecurity>0</DocSecurity>
  <Lines>325</Lines>
  <Paragraphs>214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107420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Jurga Marcinkevičiūtė</dc:creator>
  <cp:keywords/>
  <dc:description/>
  <cp:lastModifiedBy>Jurga Marcinkevičiūtė</cp:lastModifiedBy>
  <cp:revision>2</cp:revision>
  <dcterms:created xsi:type="dcterms:W3CDTF">2024-02-21T06:33:00Z</dcterms:created>
  <dcterms:modified xsi:type="dcterms:W3CDTF">2024-02-21T06:33:00Z</dcterms:modified>
</cp:coreProperties>
</file>