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859E" w14:textId="57FCC17E" w:rsidR="00EE09AD" w:rsidRPr="00CC38E3" w:rsidRDefault="00EE09AD" w:rsidP="005C5A0E">
      <w:pPr>
        <w:pStyle w:val="NoSpacing1"/>
        <w:ind w:right="-1" w:firstLine="0"/>
        <w:jc w:val="center"/>
        <w:rPr>
          <w:rFonts w:asciiTheme="minorHAnsi" w:hAnsiTheme="minorHAnsi" w:cstheme="minorHAnsi"/>
        </w:rPr>
      </w:pPr>
    </w:p>
    <w:p w14:paraId="1697E115" w14:textId="5BA2A218" w:rsidR="00C629B9" w:rsidRPr="00CC38E3" w:rsidRDefault="00C629B9" w:rsidP="005C5A0E">
      <w:pPr>
        <w:pStyle w:val="NoSpacing1"/>
        <w:ind w:right="-1" w:firstLine="0"/>
        <w:jc w:val="center"/>
        <w:rPr>
          <w:rFonts w:asciiTheme="minorHAnsi" w:hAnsiTheme="minorHAnsi" w:cstheme="minorHAnsi"/>
        </w:rPr>
      </w:pPr>
    </w:p>
    <w:p w14:paraId="093146CB" w14:textId="42758594" w:rsidR="00C629B9" w:rsidRPr="00CC38E3" w:rsidRDefault="00C629B9" w:rsidP="005C5A0E">
      <w:pPr>
        <w:pStyle w:val="NoSpacing1"/>
        <w:ind w:right="-1" w:firstLine="0"/>
        <w:jc w:val="center"/>
        <w:rPr>
          <w:rFonts w:asciiTheme="minorHAnsi" w:hAnsiTheme="minorHAnsi" w:cstheme="minorHAnsi"/>
        </w:rPr>
      </w:pPr>
    </w:p>
    <w:p w14:paraId="31926292" w14:textId="57DC52C7" w:rsidR="00C629B9" w:rsidRPr="00CC38E3" w:rsidRDefault="00C629B9" w:rsidP="005C5A0E">
      <w:pPr>
        <w:pStyle w:val="NoSpacing1"/>
        <w:ind w:right="-1" w:firstLine="0"/>
        <w:jc w:val="center"/>
        <w:rPr>
          <w:rFonts w:asciiTheme="minorHAnsi" w:hAnsiTheme="minorHAnsi" w:cstheme="minorHAnsi"/>
        </w:rPr>
      </w:pPr>
    </w:p>
    <w:p w14:paraId="3A609108" w14:textId="25A8B999" w:rsidR="00C629B9" w:rsidRPr="00CC38E3" w:rsidRDefault="00C629B9" w:rsidP="005C5A0E">
      <w:pPr>
        <w:pStyle w:val="NoSpacing1"/>
        <w:ind w:right="-1" w:firstLine="0"/>
        <w:jc w:val="center"/>
        <w:rPr>
          <w:rFonts w:asciiTheme="minorHAnsi" w:hAnsiTheme="minorHAnsi" w:cstheme="minorHAnsi"/>
        </w:rPr>
      </w:pPr>
    </w:p>
    <w:p w14:paraId="54E4E651" w14:textId="6C64930E" w:rsidR="00C629B9" w:rsidRPr="00CC38E3" w:rsidRDefault="00C629B9" w:rsidP="005C5A0E">
      <w:pPr>
        <w:pStyle w:val="NoSpacing1"/>
        <w:ind w:right="-1" w:firstLine="0"/>
        <w:jc w:val="center"/>
        <w:rPr>
          <w:rFonts w:asciiTheme="minorHAnsi" w:hAnsiTheme="minorHAnsi" w:cstheme="minorHAnsi"/>
        </w:rPr>
      </w:pPr>
    </w:p>
    <w:p w14:paraId="696A73EC" w14:textId="77777777" w:rsidR="00C629B9" w:rsidRPr="00CC38E3" w:rsidRDefault="00C629B9" w:rsidP="005C5A0E">
      <w:pPr>
        <w:pStyle w:val="NoSpacing1"/>
        <w:ind w:right="-1" w:firstLine="0"/>
        <w:jc w:val="center"/>
        <w:rPr>
          <w:rFonts w:asciiTheme="minorHAnsi" w:hAnsiTheme="minorHAnsi" w:cstheme="minorHAnsi"/>
        </w:rPr>
      </w:pPr>
    </w:p>
    <w:p w14:paraId="145FE607" w14:textId="77777777" w:rsidR="00EE09AD" w:rsidRPr="00CC38E3" w:rsidRDefault="00EE09AD" w:rsidP="005C5A0E">
      <w:pPr>
        <w:pStyle w:val="NoSpacing1"/>
        <w:ind w:right="-1" w:firstLine="0"/>
        <w:jc w:val="center"/>
        <w:rPr>
          <w:rFonts w:asciiTheme="minorHAnsi" w:hAnsiTheme="minorHAnsi" w:cstheme="minorHAnsi"/>
        </w:rPr>
      </w:pPr>
      <w:r w:rsidRPr="00CC38E3">
        <w:rPr>
          <w:rFonts w:asciiTheme="minorHAnsi" w:hAnsiTheme="minorHAnsi" w:cstheme="minorHAnsi"/>
          <w:noProof/>
          <w:lang w:eastAsia="lt-LT"/>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CC38E3">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0F3F268B"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CC38E3">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65904F0B"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CC38E3">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2AD9BECF"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CC38E3">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ect w14:anchorId="23A6F054"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51EAE35" w14:textId="77777777" w:rsidR="00612945" w:rsidRPr="00CC38E3" w:rsidRDefault="00612945" w:rsidP="005C5A0E">
      <w:pPr>
        <w:pStyle w:val="NoSpacing1"/>
        <w:ind w:right="-1" w:firstLine="0"/>
        <w:jc w:val="center"/>
        <w:rPr>
          <w:rFonts w:asciiTheme="minorHAnsi" w:hAnsiTheme="minorHAnsi" w:cstheme="minorHAnsi"/>
          <w:smallCaps/>
        </w:rPr>
      </w:pPr>
    </w:p>
    <w:p w14:paraId="3327C018" w14:textId="77777777" w:rsidR="00612945" w:rsidRPr="00CC38E3" w:rsidRDefault="00612945" w:rsidP="005C5A0E">
      <w:pPr>
        <w:pStyle w:val="NoSpacing1"/>
        <w:ind w:right="-1" w:firstLine="0"/>
        <w:jc w:val="center"/>
        <w:rPr>
          <w:rFonts w:asciiTheme="minorHAnsi" w:hAnsiTheme="minorHAnsi" w:cstheme="minorHAnsi"/>
          <w:smallCaps/>
        </w:rPr>
      </w:pPr>
    </w:p>
    <w:p w14:paraId="21290A37" w14:textId="77777777" w:rsidR="00612945" w:rsidRPr="00CC38E3" w:rsidRDefault="00612945" w:rsidP="005C5A0E">
      <w:pPr>
        <w:pStyle w:val="NoSpacing1"/>
        <w:ind w:right="-1" w:firstLine="0"/>
        <w:jc w:val="center"/>
        <w:rPr>
          <w:rFonts w:asciiTheme="minorHAnsi" w:hAnsiTheme="minorHAnsi" w:cstheme="minorHAnsi"/>
          <w:smallCaps/>
        </w:rPr>
      </w:pPr>
    </w:p>
    <w:p w14:paraId="3E08561D" w14:textId="17011FAE" w:rsidR="00EE09AD" w:rsidRPr="000C1246" w:rsidRDefault="00EE09AD" w:rsidP="005C5A0E">
      <w:pPr>
        <w:pStyle w:val="NoSpacing1"/>
        <w:ind w:right="-1" w:firstLine="0"/>
        <w:jc w:val="center"/>
        <w:rPr>
          <w:rFonts w:asciiTheme="minorHAnsi" w:hAnsiTheme="minorHAnsi" w:cstheme="minorHAnsi"/>
          <w:smallCaps/>
          <w:sz w:val="52"/>
          <w:szCs w:val="52"/>
        </w:rPr>
      </w:pPr>
      <w:r w:rsidRPr="000C1246">
        <w:rPr>
          <w:rFonts w:asciiTheme="minorHAnsi" w:hAnsiTheme="minorHAnsi" w:cstheme="minorHAnsi"/>
          <w:smallCaps/>
          <w:sz w:val="52"/>
          <w:szCs w:val="52"/>
        </w:rPr>
        <w:t>Europos Žmogaus Teisių Teismo praktikos apžvalga</w:t>
      </w:r>
    </w:p>
    <w:p w14:paraId="60DC5985" w14:textId="7E5286ED" w:rsidR="00EE09AD" w:rsidRPr="000C1246" w:rsidRDefault="002F43A7" w:rsidP="005C5A0E">
      <w:pPr>
        <w:pStyle w:val="NoSpacing1"/>
        <w:ind w:right="-1" w:firstLine="0"/>
        <w:jc w:val="center"/>
        <w:rPr>
          <w:rFonts w:asciiTheme="minorHAnsi" w:hAnsiTheme="minorHAnsi" w:cstheme="minorHAnsi"/>
          <w:b/>
          <w:smallCaps/>
          <w:sz w:val="32"/>
          <w:szCs w:val="32"/>
          <w:u w:val="single"/>
        </w:rPr>
      </w:pPr>
      <w:r w:rsidRPr="000C1246">
        <w:rPr>
          <w:rFonts w:asciiTheme="minorHAnsi" w:hAnsiTheme="minorHAnsi" w:cstheme="minorHAnsi"/>
          <w:b/>
          <w:smallCaps/>
          <w:sz w:val="32"/>
          <w:szCs w:val="32"/>
          <w:u w:val="single"/>
        </w:rPr>
        <w:t>202</w:t>
      </w:r>
      <w:r w:rsidR="006021A9" w:rsidRPr="000C1246">
        <w:rPr>
          <w:rFonts w:asciiTheme="minorHAnsi" w:hAnsiTheme="minorHAnsi" w:cstheme="minorHAnsi"/>
          <w:b/>
          <w:smallCaps/>
          <w:sz w:val="32"/>
          <w:szCs w:val="32"/>
          <w:u w:val="single"/>
        </w:rPr>
        <w:t>1</w:t>
      </w:r>
      <w:r w:rsidR="00EE09AD" w:rsidRPr="000C1246">
        <w:rPr>
          <w:rFonts w:asciiTheme="minorHAnsi" w:hAnsiTheme="minorHAnsi" w:cstheme="minorHAnsi"/>
          <w:b/>
          <w:smallCaps/>
          <w:sz w:val="32"/>
          <w:szCs w:val="32"/>
          <w:u w:val="single"/>
        </w:rPr>
        <w:t xml:space="preserve"> m. </w:t>
      </w:r>
      <w:r w:rsidR="0087461F" w:rsidRPr="000C1246">
        <w:rPr>
          <w:rFonts w:asciiTheme="minorHAnsi" w:hAnsiTheme="minorHAnsi" w:cstheme="minorHAnsi"/>
          <w:b/>
          <w:smallCaps/>
          <w:sz w:val="32"/>
          <w:szCs w:val="32"/>
          <w:u w:val="single"/>
        </w:rPr>
        <w:t>liepos</w:t>
      </w:r>
      <w:r w:rsidR="006021A9" w:rsidRPr="000C1246">
        <w:rPr>
          <w:rFonts w:asciiTheme="minorHAnsi" w:hAnsiTheme="minorHAnsi" w:cstheme="minorHAnsi"/>
          <w:b/>
          <w:smallCaps/>
          <w:sz w:val="32"/>
          <w:szCs w:val="32"/>
          <w:u w:val="single"/>
        </w:rPr>
        <w:t xml:space="preserve"> </w:t>
      </w:r>
      <w:r w:rsidRPr="000C1246">
        <w:rPr>
          <w:rFonts w:asciiTheme="minorHAnsi" w:hAnsiTheme="minorHAnsi" w:cstheme="minorHAnsi"/>
          <w:b/>
          <w:smallCaps/>
          <w:sz w:val="32"/>
          <w:szCs w:val="32"/>
          <w:u w:val="single"/>
        </w:rPr>
        <w:t>1 d. – 202</w:t>
      </w:r>
      <w:r w:rsidR="006021A9" w:rsidRPr="000C1246">
        <w:rPr>
          <w:rFonts w:asciiTheme="minorHAnsi" w:hAnsiTheme="minorHAnsi" w:cstheme="minorHAnsi"/>
          <w:b/>
          <w:smallCaps/>
          <w:sz w:val="32"/>
          <w:szCs w:val="32"/>
          <w:u w:val="single"/>
        </w:rPr>
        <w:t>1</w:t>
      </w:r>
      <w:r w:rsidR="00EE09AD" w:rsidRPr="000C1246">
        <w:rPr>
          <w:rFonts w:asciiTheme="minorHAnsi" w:hAnsiTheme="minorHAnsi" w:cstheme="minorHAnsi"/>
          <w:b/>
          <w:smallCaps/>
          <w:sz w:val="32"/>
          <w:szCs w:val="32"/>
          <w:u w:val="single"/>
        </w:rPr>
        <w:t xml:space="preserve"> m. </w:t>
      </w:r>
      <w:r w:rsidR="0087461F" w:rsidRPr="000C1246">
        <w:rPr>
          <w:rFonts w:asciiTheme="minorHAnsi" w:hAnsiTheme="minorHAnsi" w:cstheme="minorHAnsi"/>
          <w:b/>
          <w:smallCaps/>
          <w:sz w:val="32"/>
          <w:szCs w:val="32"/>
          <w:u w:val="single"/>
        </w:rPr>
        <w:t xml:space="preserve">gruodžio </w:t>
      </w:r>
      <w:r w:rsidR="00EE09AD" w:rsidRPr="000C1246">
        <w:rPr>
          <w:rFonts w:asciiTheme="minorHAnsi" w:hAnsiTheme="minorHAnsi" w:cstheme="minorHAnsi"/>
          <w:b/>
          <w:smallCaps/>
          <w:sz w:val="32"/>
          <w:szCs w:val="32"/>
          <w:u w:val="single"/>
        </w:rPr>
        <w:t>3</w:t>
      </w:r>
      <w:r w:rsidR="0087461F" w:rsidRPr="000C1246">
        <w:rPr>
          <w:rFonts w:asciiTheme="minorHAnsi" w:hAnsiTheme="minorHAnsi" w:cstheme="minorHAnsi"/>
          <w:b/>
          <w:smallCaps/>
          <w:sz w:val="32"/>
          <w:szCs w:val="32"/>
          <w:u w:val="single"/>
        </w:rPr>
        <w:t>1</w:t>
      </w:r>
      <w:r w:rsidR="00EE09AD" w:rsidRPr="000C1246">
        <w:rPr>
          <w:rFonts w:asciiTheme="minorHAnsi" w:hAnsiTheme="minorHAnsi" w:cstheme="minorHAnsi"/>
          <w:b/>
          <w:smallCaps/>
          <w:sz w:val="32"/>
          <w:szCs w:val="32"/>
          <w:u w:val="single"/>
        </w:rPr>
        <w:t xml:space="preserve"> d.</w:t>
      </w:r>
    </w:p>
    <w:p w14:paraId="779B7F98" w14:textId="3E7995B4" w:rsidR="00EE09AD" w:rsidRPr="00CC38E3" w:rsidRDefault="00EE09AD" w:rsidP="005C5A0E">
      <w:pPr>
        <w:spacing w:after="0" w:line="240" w:lineRule="auto"/>
        <w:ind w:right="-1" w:firstLine="567"/>
        <w:jc w:val="both"/>
        <w:rPr>
          <w:rFonts w:cstheme="minorHAnsi"/>
        </w:rPr>
      </w:pPr>
      <w:r w:rsidRPr="00CC38E3">
        <w:rPr>
          <w:rFonts w:cstheme="minorHAnsi"/>
          <w:b/>
        </w:rPr>
        <w:br w:type="page"/>
      </w:r>
      <w:r w:rsidRPr="00CC38E3">
        <w:rPr>
          <w:rFonts w:cstheme="minorHAnsi"/>
          <w:b/>
        </w:rPr>
        <w:lastRenderedPageBreak/>
        <w:t>Svarbi pastaba</w:t>
      </w:r>
      <w:r w:rsidRPr="00CC38E3">
        <w:rPr>
          <w:rFonts w:cstheme="minorHAnsi"/>
        </w:rPr>
        <w:t xml:space="preserve">: </w:t>
      </w:r>
      <w:r w:rsidR="00FC2556" w:rsidRPr="00CC38E3">
        <w:rPr>
          <w:rFonts w:cstheme="minorHAnsi"/>
        </w:rPr>
        <w:t>p</w:t>
      </w:r>
      <w:r w:rsidRPr="00CC38E3">
        <w:rPr>
          <w:rFonts w:cstheme="minorHAnsi"/>
        </w:rPr>
        <w:t xml:space="preserve">rieš supažindindami su Lietuvos vyriausiojo administracinio teismo Teismų praktikos departamento parengta Europos Žmogaus Teisių Teismo </w:t>
      </w:r>
      <w:r w:rsidRPr="00CC38E3">
        <w:rPr>
          <w:rFonts w:cstheme="minorHAnsi"/>
          <w:bCs/>
        </w:rPr>
        <w:t>praktikos apžvalga</w:t>
      </w:r>
      <w:r w:rsidRPr="00CC38E3">
        <w:rPr>
          <w:rFonts w:cstheme="minorHAns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CC38E3" w:rsidRDefault="00EE09AD" w:rsidP="005C5A0E">
      <w:pPr>
        <w:spacing w:after="0" w:line="240" w:lineRule="auto"/>
        <w:ind w:right="-1" w:firstLine="540"/>
        <w:jc w:val="both"/>
        <w:rPr>
          <w:rFonts w:cstheme="minorHAnsi"/>
        </w:rPr>
      </w:pPr>
      <w:r w:rsidRPr="00CC38E3">
        <w:rPr>
          <w:rFonts w:cstheme="minorHAnsi"/>
        </w:rPr>
        <w:t xml:space="preserve">Atsižvelgiant į tai, kad oficialius ir nesutrumpintus sprendimų tekstus galite rasti Europos Žmogaus Teisių Teismo interneto svetainėje </w:t>
      </w:r>
      <w:hyperlink r:id="rId9" w:history="1">
        <w:r w:rsidRPr="00CC38E3">
          <w:rPr>
            <w:rStyle w:val="Hipersaitas"/>
            <w:rFonts w:cstheme="minorHAnsi"/>
          </w:rPr>
          <w:t>www.echr.coe.int</w:t>
        </w:r>
      </w:hyperlink>
      <w:r w:rsidRPr="00CC38E3">
        <w:rPr>
          <w:rFonts w:cstheme="minorHAnsi"/>
        </w:rPr>
        <w:t xml:space="preserve">, Lietuvos vyriausiasis administracinis teismas neprisiima atsakomybės už atliktą vertimą ir parengtos santraukos išsamumą. </w:t>
      </w:r>
    </w:p>
    <w:p w14:paraId="3BE223FE" w14:textId="77777777" w:rsidR="00EE09AD" w:rsidRPr="00CC38E3" w:rsidRDefault="00EE09AD" w:rsidP="005C5A0E">
      <w:pPr>
        <w:spacing w:after="0" w:line="240" w:lineRule="auto"/>
        <w:ind w:right="-1" w:firstLine="540"/>
        <w:jc w:val="both"/>
        <w:rPr>
          <w:rFonts w:cstheme="minorHAnsi"/>
        </w:rPr>
      </w:pPr>
    </w:p>
    <w:p w14:paraId="6D8B8E74" w14:textId="77777777" w:rsidR="00EE09AD" w:rsidRPr="00CC38E3" w:rsidRDefault="00EE09AD" w:rsidP="005C5A0E">
      <w:pPr>
        <w:spacing w:after="0" w:line="240" w:lineRule="auto"/>
        <w:ind w:right="-1"/>
        <w:jc w:val="both"/>
        <w:rPr>
          <w:rFonts w:cstheme="minorHAnsi"/>
        </w:rPr>
      </w:pPr>
      <w:r w:rsidRPr="00CC38E3">
        <w:rPr>
          <w:rFonts w:cstheme="minorHAnsi"/>
        </w:rPr>
        <w:t>Apžvalgoje naudojami pagrindiniai sutrumpinimai:</w:t>
      </w:r>
    </w:p>
    <w:p w14:paraId="1DE4E769" w14:textId="77777777" w:rsidR="00EE09AD" w:rsidRPr="00CC38E3" w:rsidRDefault="00EE09AD" w:rsidP="005C5A0E">
      <w:pPr>
        <w:spacing w:after="0" w:line="240" w:lineRule="auto"/>
        <w:ind w:right="-1"/>
        <w:jc w:val="both"/>
        <w:rPr>
          <w:rFonts w:cstheme="minorHAnsi"/>
        </w:rPr>
      </w:pPr>
      <w:r w:rsidRPr="00CC38E3">
        <w:rPr>
          <w:rFonts w:cstheme="minorHAnsi"/>
          <w:b/>
        </w:rPr>
        <w:t>EŽTT, Teismas</w:t>
      </w:r>
      <w:r w:rsidRPr="00CC38E3">
        <w:rPr>
          <w:rFonts w:cstheme="minorHAnsi"/>
        </w:rPr>
        <w:t xml:space="preserve"> – Europos Žmogaus Teisių Teismas</w:t>
      </w:r>
    </w:p>
    <w:p w14:paraId="718E76F1" w14:textId="0C7113E4" w:rsidR="00EE09AD" w:rsidRPr="00CC38E3" w:rsidRDefault="00EE09AD" w:rsidP="005C5A0E">
      <w:pPr>
        <w:spacing w:after="0" w:line="240" w:lineRule="auto"/>
        <w:ind w:right="-1"/>
        <w:jc w:val="both"/>
        <w:rPr>
          <w:rFonts w:cstheme="minorHAnsi"/>
        </w:rPr>
      </w:pPr>
      <w:r w:rsidRPr="00CC38E3">
        <w:rPr>
          <w:rFonts w:cstheme="minorHAnsi"/>
          <w:b/>
        </w:rPr>
        <w:t>Konvencija</w:t>
      </w:r>
      <w:r w:rsidRPr="00CC38E3">
        <w:rPr>
          <w:rFonts w:cstheme="minorHAnsi"/>
        </w:rPr>
        <w:t xml:space="preserve"> – Žmogaus teisių ir pagrindinių laisvių apsaugos konvencija</w:t>
      </w:r>
    </w:p>
    <w:p w14:paraId="6914CC32" w14:textId="27D1CCED" w:rsidR="006C3D4F" w:rsidRPr="00CC38E3" w:rsidRDefault="006C3D4F" w:rsidP="005C5A0E">
      <w:pPr>
        <w:spacing w:after="0" w:line="240" w:lineRule="auto"/>
        <w:ind w:right="-1"/>
        <w:jc w:val="both"/>
        <w:rPr>
          <w:rFonts w:cstheme="minorHAnsi"/>
        </w:rPr>
      </w:pPr>
      <w:r w:rsidRPr="00CC38E3">
        <w:rPr>
          <w:rFonts w:cstheme="minorHAnsi"/>
          <w:b/>
          <w:bCs/>
        </w:rPr>
        <w:t xml:space="preserve">ES </w:t>
      </w:r>
      <w:r w:rsidRPr="00CC38E3">
        <w:rPr>
          <w:rFonts w:cstheme="minorHAnsi"/>
        </w:rPr>
        <w:t>– Europos Sąjunga</w:t>
      </w:r>
    </w:p>
    <w:p w14:paraId="0175E68D" w14:textId="77777777" w:rsidR="00EE09AD" w:rsidRPr="00CC38E3" w:rsidRDefault="00EE09AD" w:rsidP="005C5A0E">
      <w:pPr>
        <w:spacing w:after="0" w:line="240" w:lineRule="auto"/>
        <w:ind w:right="-1"/>
        <w:jc w:val="both"/>
        <w:rPr>
          <w:rFonts w:cstheme="minorHAnsi"/>
        </w:rPr>
      </w:pPr>
      <w:r w:rsidRPr="00CC38E3">
        <w:rPr>
          <w:rFonts w:cstheme="minorHAnsi"/>
          <w:b/>
        </w:rPr>
        <w:t>Svarbos lygiai</w:t>
      </w:r>
      <w:r w:rsidRPr="00CC38E3">
        <w:rPr>
          <w:rFonts w:cstheme="minorHAnsi"/>
        </w:rPr>
        <w:t xml:space="preserve"> – Europos Žmogaus Teisių Teismo nagrinėjamos bylos yra skirstomos į keturias kategorijas:</w:t>
      </w:r>
    </w:p>
    <w:p w14:paraId="231A7163" w14:textId="6055A7D5" w:rsidR="00EE09AD" w:rsidRPr="00CC38E3" w:rsidRDefault="009B0BCB" w:rsidP="005C5A0E">
      <w:pPr>
        <w:tabs>
          <w:tab w:val="left" w:pos="567"/>
        </w:tabs>
        <w:spacing w:after="0" w:line="240" w:lineRule="auto"/>
        <w:ind w:left="539" w:right="-1"/>
        <w:jc w:val="both"/>
        <w:rPr>
          <w:rFonts w:cstheme="minorHAnsi"/>
        </w:rPr>
      </w:pPr>
      <w:r w:rsidRPr="00CC38E3">
        <w:rPr>
          <w:rFonts w:cstheme="minorHAnsi"/>
          <w:i/>
        </w:rPr>
        <w:t>Svarbiausios bylos (angl. key cases)</w:t>
      </w:r>
      <w:r w:rsidR="00EE09AD" w:rsidRPr="00CC38E3">
        <w:rPr>
          <w:rFonts w:cstheme="minorHAnsi"/>
        </w:rPr>
        <w:t xml:space="preserve"> – ypatingos svarbos sprendimai, kuri</w:t>
      </w:r>
      <w:r w:rsidRPr="00CC38E3">
        <w:rPr>
          <w:rFonts w:cstheme="minorHAnsi"/>
        </w:rPr>
        <w:t>uos atrenka specialus Teismo teisėjų biuras, sudarytas iš Teismo pirmininko, pirmininko pavaduotojų ir skyrių pirmininkų.</w:t>
      </w:r>
    </w:p>
    <w:p w14:paraId="487CA55A" w14:textId="77777777" w:rsidR="00EE09AD" w:rsidRPr="00CC38E3" w:rsidRDefault="00EE09AD" w:rsidP="005C5A0E">
      <w:pPr>
        <w:spacing w:after="0" w:line="240" w:lineRule="auto"/>
        <w:ind w:left="539" w:right="-1"/>
        <w:jc w:val="both"/>
        <w:rPr>
          <w:rFonts w:cstheme="minorHAnsi"/>
        </w:rPr>
      </w:pPr>
      <w:r w:rsidRPr="00CC38E3">
        <w:rPr>
          <w:rFonts w:cstheme="minorHAnsi"/>
          <w:i/>
        </w:rPr>
        <w:t>1 = Didelė svarba</w:t>
      </w:r>
      <w:r w:rsidRPr="00CC38E3">
        <w:rPr>
          <w:rFonts w:cstheme="minorHAnsi"/>
        </w:rPr>
        <w:t>: sprendimai, kurie reikšmingai prisideda prie Teismo praktikos plėtojimo, aiškinimo ar keitimo.</w:t>
      </w:r>
    </w:p>
    <w:p w14:paraId="70E0507C" w14:textId="77777777" w:rsidR="00EE09AD" w:rsidRPr="00CC38E3" w:rsidRDefault="00EE09AD" w:rsidP="005C5A0E">
      <w:pPr>
        <w:spacing w:after="0" w:line="240" w:lineRule="auto"/>
        <w:ind w:left="539" w:right="-1"/>
        <w:jc w:val="both"/>
        <w:rPr>
          <w:rFonts w:cstheme="minorHAnsi"/>
        </w:rPr>
      </w:pPr>
      <w:r w:rsidRPr="00CC38E3">
        <w:rPr>
          <w:rFonts w:cstheme="minorHAnsi"/>
          <w:i/>
        </w:rPr>
        <w:t>2 = Vidutinė svarba</w:t>
      </w:r>
      <w:r w:rsidRPr="00CC38E3">
        <w:rPr>
          <w:rFonts w:cstheme="minorHAnsi"/>
        </w:rPr>
        <w:t>: sprendimai, kurie nors ir reikšmingai praktikos nepakeičia, tačiau nėra susiję vien tik su nusistovėjusios praktikos laikymusi.</w:t>
      </w:r>
    </w:p>
    <w:p w14:paraId="687CA506" w14:textId="77777777" w:rsidR="00EE09AD" w:rsidRPr="00CC38E3" w:rsidRDefault="00EE09AD" w:rsidP="005C5A0E">
      <w:pPr>
        <w:spacing w:after="0" w:line="240" w:lineRule="auto"/>
        <w:ind w:left="539" w:right="-1"/>
        <w:jc w:val="both"/>
        <w:rPr>
          <w:rFonts w:cstheme="minorHAnsi"/>
        </w:rPr>
      </w:pPr>
      <w:r w:rsidRPr="00CC38E3">
        <w:rPr>
          <w:rFonts w:cstheme="minorHAnsi"/>
          <w:i/>
        </w:rPr>
        <w:t>3 = Mažesnė svarba</w:t>
      </w:r>
      <w:r w:rsidRPr="00CC38E3">
        <w:rPr>
          <w:rFonts w:cstheme="minorHAnsi"/>
        </w:rPr>
        <w:t>: sprendimai, pasižymintys mažu teisiniu interesu, t. y. sprendimai, kuriuose paprasčiausiai laikomasi nusistovėjusios teismo praktikos ir kt.</w:t>
      </w:r>
    </w:p>
    <w:p w14:paraId="10D3BA50" w14:textId="77777777" w:rsidR="00EE09AD" w:rsidRPr="00CC38E3" w:rsidRDefault="00EE09AD" w:rsidP="005C5A0E">
      <w:pPr>
        <w:spacing w:after="0" w:line="240" w:lineRule="auto"/>
        <w:ind w:right="-1"/>
        <w:jc w:val="both"/>
        <w:rPr>
          <w:rFonts w:cstheme="minorHAnsi"/>
          <w:b/>
        </w:rPr>
      </w:pPr>
      <w:r w:rsidRPr="00CC38E3">
        <w:rPr>
          <w:rFonts w:cstheme="minorHAnsi"/>
          <w:b/>
        </w:rPr>
        <w:br w:type="page"/>
      </w:r>
    </w:p>
    <w:sdt>
      <w:sdtPr>
        <w:rPr>
          <w:rFonts w:asciiTheme="minorHAnsi" w:eastAsiaTheme="minorHAnsi" w:hAnsiTheme="minorHAnsi" w:cstheme="minorHAnsi"/>
          <w:bCs w:val="0"/>
          <w:color w:val="auto"/>
          <w:sz w:val="22"/>
          <w:szCs w:val="22"/>
          <w:lang w:eastAsia="en-US"/>
        </w:rPr>
        <w:id w:val="654178032"/>
        <w:docPartObj>
          <w:docPartGallery w:val="Table of Contents"/>
          <w:docPartUnique/>
        </w:docPartObj>
      </w:sdtPr>
      <w:sdtEndPr>
        <w:rPr>
          <w:b/>
        </w:rPr>
      </w:sdtEndPr>
      <w:sdtContent>
        <w:p w14:paraId="259F4E74" w14:textId="77777777" w:rsidR="00EE09AD" w:rsidRPr="00CC38E3" w:rsidRDefault="00EE09AD" w:rsidP="005C5A0E">
          <w:pPr>
            <w:pStyle w:val="Turinioantrat"/>
            <w:spacing w:before="0" w:line="240" w:lineRule="auto"/>
            <w:ind w:right="-1"/>
            <w:rPr>
              <w:rFonts w:asciiTheme="minorHAnsi" w:hAnsiTheme="minorHAnsi" w:cstheme="minorHAnsi"/>
              <w:sz w:val="22"/>
              <w:szCs w:val="22"/>
            </w:rPr>
          </w:pPr>
        </w:p>
        <w:p w14:paraId="65B9CA42" w14:textId="108634A6" w:rsidR="001C38F6" w:rsidRDefault="00EE09AD">
          <w:pPr>
            <w:pStyle w:val="Turinys1"/>
            <w:rPr>
              <w:rFonts w:eastAsiaTheme="minorEastAsia"/>
              <w:color w:val="auto"/>
              <w:lang w:val="en-US"/>
            </w:rPr>
          </w:pPr>
          <w:r w:rsidRPr="00CC38E3">
            <w:rPr>
              <w:rFonts w:cstheme="minorHAnsi"/>
              <w:noProof w:val="0"/>
            </w:rPr>
            <w:fldChar w:fldCharType="begin"/>
          </w:r>
          <w:r w:rsidRPr="00CC38E3">
            <w:rPr>
              <w:rFonts w:cstheme="minorHAnsi"/>
              <w:noProof w:val="0"/>
            </w:rPr>
            <w:instrText xml:space="preserve"> TOC \o "1-3" \h \z \u </w:instrText>
          </w:r>
          <w:r w:rsidRPr="00CC38E3">
            <w:rPr>
              <w:rFonts w:cstheme="minorHAnsi"/>
              <w:noProof w:val="0"/>
            </w:rPr>
            <w:fldChar w:fldCharType="separate"/>
          </w:r>
          <w:hyperlink w:anchor="_Toc104379808" w:history="1">
            <w:r w:rsidR="001C38F6" w:rsidRPr="00F54E49">
              <w:rPr>
                <w:rStyle w:val="Hipersaitas"/>
                <w:rFonts w:eastAsia="Times New Roman" w:cstheme="minorHAnsi"/>
              </w:rPr>
              <w:t>KANKINIMO UŽDRAUDIMAS (3 straipsnis)</w:t>
            </w:r>
            <w:r w:rsidR="001C38F6">
              <w:rPr>
                <w:webHidden/>
              </w:rPr>
              <w:tab/>
            </w:r>
            <w:r w:rsidR="001C38F6">
              <w:rPr>
                <w:webHidden/>
              </w:rPr>
              <w:fldChar w:fldCharType="begin"/>
            </w:r>
            <w:r w:rsidR="001C38F6">
              <w:rPr>
                <w:webHidden/>
              </w:rPr>
              <w:instrText xml:space="preserve"> PAGEREF _Toc104379808 \h </w:instrText>
            </w:r>
            <w:r w:rsidR="001C38F6">
              <w:rPr>
                <w:webHidden/>
              </w:rPr>
            </w:r>
            <w:r w:rsidR="001C38F6">
              <w:rPr>
                <w:webHidden/>
              </w:rPr>
              <w:fldChar w:fldCharType="separate"/>
            </w:r>
            <w:r w:rsidR="001C38F6">
              <w:rPr>
                <w:webHidden/>
              </w:rPr>
              <w:t>5</w:t>
            </w:r>
            <w:r w:rsidR="001C38F6">
              <w:rPr>
                <w:webHidden/>
              </w:rPr>
              <w:fldChar w:fldCharType="end"/>
            </w:r>
          </w:hyperlink>
        </w:p>
        <w:p w14:paraId="23913BFE" w14:textId="2053CE4C" w:rsidR="001C38F6" w:rsidRDefault="00A1313E">
          <w:pPr>
            <w:pStyle w:val="Turinys2"/>
            <w:tabs>
              <w:tab w:val="right" w:leader="dot" w:pos="9769"/>
            </w:tabs>
            <w:rPr>
              <w:rFonts w:eastAsiaTheme="minorEastAsia"/>
              <w:noProof/>
              <w:lang w:val="en-US"/>
            </w:rPr>
          </w:pPr>
          <w:hyperlink w:anchor="_Toc104379809" w:history="1">
            <w:r w:rsidR="001C38F6" w:rsidRPr="00F54E49">
              <w:rPr>
                <w:rStyle w:val="Hipersaitas"/>
                <w:rFonts w:eastAsia="Times New Roman" w:cstheme="minorHAnsi"/>
                <w:b/>
                <w:bCs/>
                <w:i/>
                <w:iCs/>
                <w:noProof/>
              </w:rPr>
              <w:t>E. H. prieš Prancūziją</w:t>
            </w:r>
            <w:r w:rsidR="001C38F6">
              <w:rPr>
                <w:noProof/>
                <w:webHidden/>
              </w:rPr>
              <w:tab/>
            </w:r>
            <w:r w:rsidR="001C38F6">
              <w:rPr>
                <w:noProof/>
                <w:webHidden/>
              </w:rPr>
              <w:fldChar w:fldCharType="begin"/>
            </w:r>
            <w:r w:rsidR="001C38F6">
              <w:rPr>
                <w:noProof/>
                <w:webHidden/>
              </w:rPr>
              <w:instrText xml:space="preserve"> PAGEREF _Toc104379809 \h </w:instrText>
            </w:r>
            <w:r w:rsidR="001C38F6">
              <w:rPr>
                <w:noProof/>
                <w:webHidden/>
              </w:rPr>
            </w:r>
            <w:r w:rsidR="001C38F6">
              <w:rPr>
                <w:noProof/>
                <w:webHidden/>
              </w:rPr>
              <w:fldChar w:fldCharType="separate"/>
            </w:r>
            <w:r w:rsidR="001C38F6">
              <w:rPr>
                <w:noProof/>
                <w:webHidden/>
              </w:rPr>
              <w:t>5</w:t>
            </w:r>
            <w:r w:rsidR="001C38F6">
              <w:rPr>
                <w:noProof/>
                <w:webHidden/>
              </w:rPr>
              <w:fldChar w:fldCharType="end"/>
            </w:r>
          </w:hyperlink>
        </w:p>
        <w:p w14:paraId="15B735F9" w14:textId="0811B96B" w:rsidR="001C38F6" w:rsidRDefault="00A1313E">
          <w:pPr>
            <w:pStyle w:val="Turinys3"/>
            <w:rPr>
              <w:rFonts w:eastAsiaTheme="minorEastAsia" w:cstheme="minorBidi"/>
              <w:bCs w:val="0"/>
              <w:lang w:val="en-US"/>
            </w:rPr>
          </w:pPr>
          <w:hyperlink w:anchor="_Toc104379810" w:history="1">
            <w:r w:rsidR="001C38F6" w:rsidRPr="00F54E49">
              <w:rPr>
                <w:rStyle w:val="Hipersaitas"/>
                <w:rFonts w:eastAsia="Times New Roman"/>
                <w:i/>
              </w:rPr>
              <w:t>Dėl rizikos grupei priklausančio asmens sugrąžinimo į kilmės šalį tik individuliai įvertinus, ar jam kyla pavojus</w:t>
            </w:r>
            <w:r w:rsidR="001C38F6">
              <w:rPr>
                <w:webHidden/>
              </w:rPr>
              <w:tab/>
            </w:r>
            <w:r w:rsidR="001C38F6">
              <w:rPr>
                <w:webHidden/>
              </w:rPr>
              <w:fldChar w:fldCharType="begin"/>
            </w:r>
            <w:r w:rsidR="001C38F6">
              <w:rPr>
                <w:webHidden/>
              </w:rPr>
              <w:instrText xml:space="preserve"> PAGEREF _Toc104379810 \h </w:instrText>
            </w:r>
            <w:r w:rsidR="001C38F6">
              <w:rPr>
                <w:webHidden/>
              </w:rPr>
            </w:r>
            <w:r w:rsidR="001C38F6">
              <w:rPr>
                <w:webHidden/>
              </w:rPr>
              <w:fldChar w:fldCharType="separate"/>
            </w:r>
            <w:r w:rsidR="001C38F6">
              <w:rPr>
                <w:webHidden/>
              </w:rPr>
              <w:t>5</w:t>
            </w:r>
            <w:r w:rsidR="001C38F6">
              <w:rPr>
                <w:webHidden/>
              </w:rPr>
              <w:fldChar w:fldCharType="end"/>
            </w:r>
          </w:hyperlink>
        </w:p>
        <w:p w14:paraId="309E5BDD" w14:textId="53400FEB" w:rsidR="001C38F6" w:rsidRDefault="00A1313E">
          <w:pPr>
            <w:pStyle w:val="Turinys1"/>
            <w:rPr>
              <w:rFonts w:eastAsiaTheme="minorEastAsia"/>
              <w:color w:val="auto"/>
              <w:lang w:val="en-US"/>
            </w:rPr>
          </w:pPr>
          <w:hyperlink w:anchor="_Toc104379811" w:history="1">
            <w:r w:rsidR="001C38F6" w:rsidRPr="00F54E49">
              <w:rPr>
                <w:rStyle w:val="Hipersaitas"/>
                <w:rFonts w:cstheme="minorHAnsi"/>
              </w:rPr>
              <w:t>TEISĖ Į TEISINGĄ BYLOS NAGRINĖJIMĄ (6 straipsnis)</w:t>
            </w:r>
            <w:r w:rsidR="001C38F6">
              <w:rPr>
                <w:webHidden/>
              </w:rPr>
              <w:tab/>
            </w:r>
            <w:r w:rsidR="001C38F6">
              <w:rPr>
                <w:webHidden/>
              </w:rPr>
              <w:fldChar w:fldCharType="begin"/>
            </w:r>
            <w:r w:rsidR="001C38F6">
              <w:rPr>
                <w:webHidden/>
              </w:rPr>
              <w:instrText xml:space="preserve"> PAGEREF _Toc104379811 \h </w:instrText>
            </w:r>
            <w:r w:rsidR="001C38F6">
              <w:rPr>
                <w:webHidden/>
              </w:rPr>
            </w:r>
            <w:r w:rsidR="001C38F6">
              <w:rPr>
                <w:webHidden/>
              </w:rPr>
              <w:fldChar w:fldCharType="separate"/>
            </w:r>
            <w:r w:rsidR="001C38F6">
              <w:rPr>
                <w:webHidden/>
              </w:rPr>
              <w:t>6</w:t>
            </w:r>
            <w:r w:rsidR="001C38F6">
              <w:rPr>
                <w:webHidden/>
              </w:rPr>
              <w:fldChar w:fldCharType="end"/>
            </w:r>
          </w:hyperlink>
        </w:p>
        <w:p w14:paraId="4636EEEC" w14:textId="3E7DB73B" w:rsidR="001C38F6" w:rsidRDefault="00A1313E">
          <w:pPr>
            <w:pStyle w:val="Turinys2"/>
            <w:tabs>
              <w:tab w:val="right" w:leader="dot" w:pos="9769"/>
            </w:tabs>
            <w:rPr>
              <w:rFonts w:eastAsiaTheme="minorEastAsia"/>
              <w:noProof/>
              <w:lang w:val="en-US"/>
            </w:rPr>
          </w:pPr>
          <w:hyperlink w:anchor="_Toc104379812" w:history="1">
            <w:r w:rsidR="001C38F6" w:rsidRPr="00F54E49">
              <w:rPr>
                <w:rStyle w:val="Hipersaitas"/>
                <w:rFonts w:eastAsia="Times New Roman" w:cstheme="minorHAnsi"/>
                <w:b/>
                <w:bCs/>
                <w:i/>
                <w:iCs/>
                <w:noProof/>
              </w:rPr>
              <w:t>Tarvydas prieš Lietuvą</w:t>
            </w:r>
            <w:r w:rsidR="001C38F6">
              <w:rPr>
                <w:noProof/>
                <w:webHidden/>
              </w:rPr>
              <w:tab/>
            </w:r>
            <w:r w:rsidR="001C38F6">
              <w:rPr>
                <w:noProof/>
                <w:webHidden/>
              </w:rPr>
              <w:fldChar w:fldCharType="begin"/>
            </w:r>
            <w:r w:rsidR="001C38F6">
              <w:rPr>
                <w:noProof/>
                <w:webHidden/>
              </w:rPr>
              <w:instrText xml:space="preserve"> PAGEREF _Toc104379812 \h </w:instrText>
            </w:r>
            <w:r w:rsidR="001C38F6">
              <w:rPr>
                <w:noProof/>
                <w:webHidden/>
              </w:rPr>
            </w:r>
            <w:r w:rsidR="001C38F6">
              <w:rPr>
                <w:noProof/>
                <w:webHidden/>
              </w:rPr>
              <w:fldChar w:fldCharType="separate"/>
            </w:r>
            <w:r w:rsidR="001C38F6">
              <w:rPr>
                <w:noProof/>
                <w:webHidden/>
              </w:rPr>
              <w:t>6</w:t>
            </w:r>
            <w:r w:rsidR="001C38F6">
              <w:rPr>
                <w:noProof/>
                <w:webHidden/>
              </w:rPr>
              <w:fldChar w:fldCharType="end"/>
            </w:r>
          </w:hyperlink>
        </w:p>
        <w:p w14:paraId="4478B212" w14:textId="3F520895" w:rsidR="001C38F6" w:rsidRDefault="00A1313E">
          <w:pPr>
            <w:pStyle w:val="Turinys3"/>
            <w:rPr>
              <w:rFonts w:eastAsiaTheme="minorEastAsia" w:cstheme="minorBidi"/>
              <w:bCs w:val="0"/>
              <w:lang w:val="en-US"/>
            </w:rPr>
          </w:pPr>
          <w:hyperlink w:anchor="_Toc104379813" w:history="1">
            <w:r w:rsidR="001C38F6" w:rsidRPr="00F54E49">
              <w:rPr>
                <w:rStyle w:val="Hipersaitas"/>
                <w:rFonts w:eastAsia="Times New Roman"/>
                <w:i/>
              </w:rPr>
              <w:t>Dėl teismo pareigos tinkamai išnagrinėti pagrindinius šalių pateiktus argumentus</w:t>
            </w:r>
            <w:r w:rsidR="001C38F6">
              <w:rPr>
                <w:webHidden/>
              </w:rPr>
              <w:tab/>
            </w:r>
            <w:r w:rsidR="001C38F6">
              <w:rPr>
                <w:webHidden/>
              </w:rPr>
              <w:fldChar w:fldCharType="begin"/>
            </w:r>
            <w:r w:rsidR="001C38F6">
              <w:rPr>
                <w:webHidden/>
              </w:rPr>
              <w:instrText xml:space="preserve"> PAGEREF _Toc104379813 \h </w:instrText>
            </w:r>
            <w:r w:rsidR="001C38F6">
              <w:rPr>
                <w:webHidden/>
              </w:rPr>
            </w:r>
            <w:r w:rsidR="001C38F6">
              <w:rPr>
                <w:webHidden/>
              </w:rPr>
              <w:fldChar w:fldCharType="separate"/>
            </w:r>
            <w:r w:rsidR="001C38F6">
              <w:rPr>
                <w:webHidden/>
              </w:rPr>
              <w:t>6</w:t>
            </w:r>
            <w:r w:rsidR="001C38F6">
              <w:rPr>
                <w:webHidden/>
              </w:rPr>
              <w:fldChar w:fldCharType="end"/>
            </w:r>
          </w:hyperlink>
        </w:p>
        <w:p w14:paraId="65542A50" w14:textId="764309A9" w:rsidR="001C38F6" w:rsidRDefault="00A1313E">
          <w:pPr>
            <w:pStyle w:val="Turinys2"/>
            <w:tabs>
              <w:tab w:val="right" w:leader="dot" w:pos="9769"/>
            </w:tabs>
            <w:rPr>
              <w:rFonts w:eastAsiaTheme="minorEastAsia"/>
              <w:noProof/>
              <w:lang w:val="en-US"/>
            </w:rPr>
          </w:pPr>
          <w:hyperlink w:anchor="_Toc104379814" w:history="1">
            <w:r w:rsidR="001C38F6" w:rsidRPr="00F54E49">
              <w:rPr>
                <w:rStyle w:val="Hipersaitas"/>
                <w:rFonts w:eastAsia="Times New Roman" w:cstheme="minorHAnsi"/>
                <w:b/>
                <w:bCs/>
                <w:i/>
                <w:iCs/>
                <w:noProof/>
              </w:rPr>
              <w:t>Gražulevičiūtė prieš Lietuvą</w:t>
            </w:r>
            <w:r w:rsidR="001C38F6">
              <w:rPr>
                <w:noProof/>
                <w:webHidden/>
              </w:rPr>
              <w:tab/>
            </w:r>
            <w:r w:rsidR="001C38F6">
              <w:rPr>
                <w:noProof/>
                <w:webHidden/>
              </w:rPr>
              <w:fldChar w:fldCharType="begin"/>
            </w:r>
            <w:r w:rsidR="001C38F6">
              <w:rPr>
                <w:noProof/>
                <w:webHidden/>
              </w:rPr>
              <w:instrText xml:space="preserve"> PAGEREF _Toc104379814 \h </w:instrText>
            </w:r>
            <w:r w:rsidR="001C38F6">
              <w:rPr>
                <w:noProof/>
                <w:webHidden/>
              </w:rPr>
            </w:r>
            <w:r w:rsidR="001C38F6">
              <w:rPr>
                <w:noProof/>
                <w:webHidden/>
              </w:rPr>
              <w:fldChar w:fldCharType="separate"/>
            </w:r>
            <w:r w:rsidR="001C38F6">
              <w:rPr>
                <w:noProof/>
                <w:webHidden/>
              </w:rPr>
              <w:t>7</w:t>
            </w:r>
            <w:r w:rsidR="001C38F6">
              <w:rPr>
                <w:noProof/>
                <w:webHidden/>
              </w:rPr>
              <w:fldChar w:fldCharType="end"/>
            </w:r>
          </w:hyperlink>
        </w:p>
        <w:p w14:paraId="68E82DBB" w14:textId="4749CE1D" w:rsidR="001C38F6" w:rsidRDefault="00A1313E">
          <w:pPr>
            <w:pStyle w:val="Turinys3"/>
            <w:rPr>
              <w:rFonts w:eastAsiaTheme="minorEastAsia" w:cstheme="minorBidi"/>
              <w:bCs w:val="0"/>
              <w:lang w:val="en-US"/>
            </w:rPr>
          </w:pPr>
          <w:hyperlink w:anchor="_Toc104379815" w:history="1">
            <w:r w:rsidR="001C38F6" w:rsidRPr="00F54E49">
              <w:rPr>
                <w:rStyle w:val="Hipersaitas"/>
                <w:rFonts w:eastAsia="Times New Roman"/>
                <w:i/>
              </w:rPr>
              <w:t>Dėl neįvykdytos pareigos pripažinti įsiteisėjusio teismo sprendimo res judicata galią</w:t>
            </w:r>
            <w:r w:rsidR="001C38F6">
              <w:rPr>
                <w:webHidden/>
              </w:rPr>
              <w:tab/>
            </w:r>
            <w:r w:rsidR="001C38F6">
              <w:rPr>
                <w:webHidden/>
              </w:rPr>
              <w:fldChar w:fldCharType="begin"/>
            </w:r>
            <w:r w:rsidR="001C38F6">
              <w:rPr>
                <w:webHidden/>
              </w:rPr>
              <w:instrText xml:space="preserve"> PAGEREF _Toc104379815 \h </w:instrText>
            </w:r>
            <w:r w:rsidR="001C38F6">
              <w:rPr>
                <w:webHidden/>
              </w:rPr>
            </w:r>
            <w:r w:rsidR="001C38F6">
              <w:rPr>
                <w:webHidden/>
              </w:rPr>
              <w:fldChar w:fldCharType="separate"/>
            </w:r>
            <w:r w:rsidR="001C38F6">
              <w:rPr>
                <w:webHidden/>
              </w:rPr>
              <w:t>7</w:t>
            </w:r>
            <w:r w:rsidR="001C38F6">
              <w:rPr>
                <w:webHidden/>
              </w:rPr>
              <w:fldChar w:fldCharType="end"/>
            </w:r>
          </w:hyperlink>
        </w:p>
        <w:p w14:paraId="2E2F43A3" w14:textId="61A7C506" w:rsidR="001C38F6" w:rsidRDefault="00A1313E">
          <w:pPr>
            <w:pStyle w:val="Turinys1"/>
            <w:rPr>
              <w:rFonts w:eastAsiaTheme="minorEastAsia"/>
              <w:color w:val="auto"/>
              <w:lang w:val="en-US"/>
            </w:rPr>
          </w:pPr>
          <w:hyperlink w:anchor="_Toc104379816" w:history="1">
            <w:r w:rsidR="001C38F6" w:rsidRPr="00F54E49">
              <w:rPr>
                <w:rStyle w:val="Hipersaitas"/>
                <w:rFonts w:eastAsia="Times New Roman" w:cstheme="minorHAnsi"/>
              </w:rPr>
              <w:t>TEISĖ Į PRIVATAUS IR ŠEIMOS GYVENIMO GERBIMĄ (8 straipsnis)</w:t>
            </w:r>
            <w:r w:rsidR="001C38F6">
              <w:rPr>
                <w:webHidden/>
              </w:rPr>
              <w:tab/>
            </w:r>
            <w:r w:rsidR="001C38F6">
              <w:rPr>
                <w:webHidden/>
              </w:rPr>
              <w:fldChar w:fldCharType="begin"/>
            </w:r>
            <w:r w:rsidR="001C38F6">
              <w:rPr>
                <w:webHidden/>
              </w:rPr>
              <w:instrText xml:space="preserve"> PAGEREF _Toc104379816 \h </w:instrText>
            </w:r>
            <w:r w:rsidR="001C38F6">
              <w:rPr>
                <w:webHidden/>
              </w:rPr>
            </w:r>
            <w:r w:rsidR="001C38F6">
              <w:rPr>
                <w:webHidden/>
              </w:rPr>
              <w:fldChar w:fldCharType="separate"/>
            </w:r>
            <w:r w:rsidR="001C38F6">
              <w:rPr>
                <w:webHidden/>
              </w:rPr>
              <w:t>8</w:t>
            </w:r>
            <w:r w:rsidR="001C38F6">
              <w:rPr>
                <w:webHidden/>
              </w:rPr>
              <w:fldChar w:fldCharType="end"/>
            </w:r>
          </w:hyperlink>
        </w:p>
        <w:p w14:paraId="6642A2D9" w14:textId="09054AA8" w:rsidR="001C38F6" w:rsidRDefault="00A1313E">
          <w:pPr>
            <w:pStyle w:val="Turinys2"/>
            <w:tabs>
              <w:tab w:val="right" w:leader="dot" w:pos="9769"/>
            </w:tabs>
            <w:rPr>
              <w:rFonts w:eastAsiaTheme="minorEastAsia"/>
              <w:noProof/>
              <w:lang w:val="en-US"/>
            </w:rPr>
          </w:pPr>
          <w:hyperlink w:anchor="_Toc104379817" w:history="1">
            <w:r w:rsidR="001C38F6" w:rsidRPr="00F54E49">
              <w:rPr>
                <w:rStyle w:val="Hipersaitas"/>
                <w:rFonts w:eastAsia="Times New Roman" w:cstheme="minorHAnsi"/>
                <w:b/>
                <w:bCs/>
                <w:i/>
                <w:iCs/>
                <w:noProof/>
              </w:rPr>
              <w:t>Hájovský prieš Slovakiją</w:t>
            </w:r>
            <w:r w:rsidR="001C38F6">
              <w:rPr>
                <w:noProof/>
                <w:webHidden/>
              </w:rPr>
              <w:tab/>
            </w:r>
            <w:r w:rsidR="001C38F6">
              <w:rPr>
                <w:noProof/>
                <w:webHidden/>
              </w:rPr>
              <w:fldChar w:fldCharType="begin"/>
            </w:r>
            <w:r w:rsidR="001C38F6">
              <w:rPr>
                <w:noProof/>
                <w:webHidden/>
              </w:rPr>
              <w:instrText xml:space="preserve"> PAGEREF _Toc104379817 \h </w:instrText>
            </w:r>
            <w:r w:rsidR="001C38F6">
              <w:rPr>
                <w:noProof/>
                <w:webHidden/>
              </w:rPr>
            </w:r>
            <w:r w:rsidR="001C38F6">
              <w:rPr>
                <w:noProof/>
                <w:webHidden/>
              </w:rPr>
              <w:fldChar w:fldCharType="separate"/>
            </w:r>
            <w:r w:rsidR="001C38F6">
              <w:rPr>
                <w:noProof/>
                <w:webHidden/>
              </w:rPr>
              <w:t>8</w:t>
            </w:r>
            <w:r w:rsidR="001C38F6">
              <w:rPr>
                <w:noProof/>
                <w:webHidden/>
              </w:rPr>
              <w:fldChar w:fldCharType="end"/>
            </w:r>
          </w:hyperlink>
        </w:p>
        <w:p w14:paraId="256E487C" w14:textId="08014CA6" w:rsidR="001C38F6" w:rsidRDefault="00A1313E">
          <w:pPr>
            <w:pStyle w:val="Turinys3"/>
            <w:rPr>
              <w:rFonts w:eastAsiaTheme="minorEastAsia" w:cstheme="minorBidi"/>
              <w:bCs w:val="0"/>
              <w:lang w:val="en-US"/>
            </w:rPr>
          </w:pPr>
          <w:hyperlink w:anchor="_Toc104379818" w:history="1">
            <w:r w:rsidR="001C38F6" w:rsidRPr="00F54E49">
              <w:rPr>
                <w:rStyle w:val="Hipersaitas"/>
                <w:rFonts w:eastAsia="Times New Roman"/>
                <w:i/>
              </w:rPr>
              <w:t>Dėl slapčia įrašytų susitikimų pagrindu parengtos publikacijos, atskleidusios pareiškėjo privataus gyvenimo detales bei atvaizdą</w:t>
            </w:r>
            <w:r w:rsidR="001C38F6">
              <w:rPr>
                <w:webHidden/>
              </w:rPr>
              <w:tab/>
            </w:r>
            <w:r w:rsidR="001C38F6">
              <w:rPr>
                <w:webHidden/>
              </w:rPr>
              <w:fldChar w:fldCharType="begin"/>
            </w:r>
            <w:r w:rsidR="001C38F6">
              <w:rPr>
                <w:webHidden/>
              </w:rPr>
              <w:instrText xml:space="preserve"> PAGEREF _Toc104379818 \h </w:instrText>
            </w:r>
            <w:r w:rsidR="001C38F6">
              <w:rPr>
                <w:webHidden/>
              </w:rPr>
            </w:r>
            <w:r w:rsidR="001C38F6">
              <w:rPr>
                <w:webHidden/>
              </w:rPr>
              <w:fldChar w:fldCharType="separate"/>
            </w:r>
            <w:r w:rsidR="001C38F6">
              <w:rPr>
                <w:webHidden/>
              </w:rPr>
              <w:t>8</w:t>
            </w:r>
            <w:r w:rsidR="001C38F6">
              <w:rPr>
                <w:webHidden/>
              </w:rPr>
              <w:fldChar w:fldCharType="end"/>
            </w:r>
          </w:hyperlink>
        </w:p>
        <w:p w14:paraId="12DF74DF" w14:textId="1AAE1284" w:rsidR="001C38F6" w:rsidRDefault="00A1313E">
          <w:pPr>
            <w:pStyle w:val="Turinys2"/>
            <w:tabs>
              <w:tab w:val="right" w:leader="dot" w:pos="9769"/>
            </w:tabs>
            <w:rPr>
              <w:rFonts w:eastAsiaTheme="minorEastAsia"/>
              <w:noProof/>
              <w:lang w:val="en-US"/>
            </w:rPr>
          </w:pPr>
          <w:hyperlink w:anchor="_Toc104379819" w:history="1">
            <w:r w:rsidR="001C38F6" w:rsidRPr="00F54E49">
              <w:rPr>
                <w:rStyle w:val="Hipersaitas"/>
                <w:rFonts w:eastAsia="Times New Roman" w:cstheme="minorHAnsi"/>
                <w:b/>
                <w:bCs/>
                <w:i/>
                <w:iCs/>
                <w:noProof/>
              </w:rPr>
              <w:t>Makarčeva prieš Lietuvą</w:t>
            </w:r>
            <w:r w:rsidR="001C38F6">
              <w:rPr>
                <w:noProof/>
                <w:webHidden/>
              </w:rPr>
              <w:tab/>
            </w:r>
            <w:r w:rsidR="001C38F6">
              <w:rPr>
                <w:noProof/>
                <w:webHidden/>
              </w:rPr>
              <w:fldChar w:fldCharType="begin"/>
            </w:r>
            <w:r w:rsidR="001C38F6">
              <w:rPr>
                <w:noProof/>
                <w:webHidden/>
              </w:rPr>
              <w:instrText xml:space="preserve"> PAGEREF _Toc104379819 \h </w:instrText>
            </w:r>
            <w:r w:rsidR="001C38F6">
              <w:rPr>
                <w:noProof/>
                <w:webHidden/>
              </w:rPr>
            </w:r>
            <w:r w:rsidR="001C38F6">
              <w:rPr>
                <w:noProof/>
                <w:webHidden/>
              </w:rPr>
              <w:fldChar w:fldCharType="separate"/>
            </w:r>
            <w:r w:rsidR="001C38F6">
              <w:rPr>
                <w:noProof/>
                <w:webHidden/>
              </w:rPr>
              <w:t>9</w:t>
            </w:r>
            <w:r w:rsidR="001C38F6">
              <w:rPr>
                <w:noProof/>
                <w:webHidden/>
              </w:rPr>
              <w:fldChar w:fldCharType="end"/>
            </w:r>
          </w:hyperlink>
        </w:p>
        <w:p w14:paraId="21934EDA" w14:textId="6B5CC2C1" w:rsidR="001C38F6" w:rsidRDefault="00A1313E">
          <w:pPr>
            <w:pStyle w:val="Turinys3"/>
            <w:rPr>
              <w:rFonts w:eastAsiaTheme="minorEastAsia" w:cstheme="minorBidi"/>
              <w:bCs w:val="0"/>
              <w:lang w:val="en-US"/>
            </w:rPr>
          </w:pPr>
          <w:hyperlink w:anchor="_Toc104379820" w:history="1">
            <w:r w:rsidR="001C38F6" w:rsidRPr="00F54E49">
              <w:rPr>
                <w:rStyle w:val="Hipersaitas"/>
                <w:rFonts w:eastAsia="Times New Roman"/>
                <w:i/>
              </w:rPr>
              <w:t>Dėl teisės paveldėti savo mirusio partnerio turtą</w:t>
            </w:r>
            <w:r w:rsidR="001C38F6">
              <w:rPr>
                <w:webHidden/>
              </w:rPr>
              <w:tab/>
            </w:r>
            <w:r w:rsidR="001C38F6">
              <w:rPr>
                <w:webHidden/>
              </w:rPr>
              <w:fldChar w:fldCharType="begin"/>
            </w:r>
            <w:r w:rsidR="001C38F6">
              <w:rPr>
                <w:webHidden/>
              </w:rPr>
              <w:instrText xml:space="preserve"> PAGEREF _Toc104379820 \h </w:instrText>
            </w:r>
            <w:r w:rsidR="001C38F6">
              <w:rPr>
                <w:webHidden/>
              </w:rPr>
            </w:r>
            <w:r w:rsidR="001C38F6">
              <w:rPr>
                <w:webHidden/>
              </w:rPr>
              <w:fldChar w:fldCharType="separate"/>
            </w:r>
            <w:r w:rsidR="001C38F6">
              <w:rPr>
                <w:webHidden/>
              </w:rPr>
              <w:t>10</w:t>
            </w:r>
            <w:r w:rsidR="001C38F6">
              <w:rPr>
                <w:webHidden/>
              </w:rPr>
              <w:fldChar w:fldCharType="end"/>
            </w:r>
          </w:hyperlink>
        </w:p>
        <w:p w14:paraId="2B44D1BF" w14:textId="58B4E9FB" w:rsidR="001C38F6" w:rsidRDefault="00A1313E">
          <w:pPr>
            <w:pStyle w:val="Turinys2"/>
            <w:tabs>
              <w:tab w:val="right" w:leader="dot" w:pos="9769"/>
            </w:tabs>
            <w:rPr>
              <w:rFonts w:eastAsiaTheme="minorEastAsia"/>
              <w:noProof/>
              <w:lang w:val="en-US"/>
            </w:rPr>
          </w:pPr>
          <w:hyperlink w:anchor="_Toc104379821" w:history="1">
            <w:r w:rsidR="001C38F6" w:rsidRPr="00F54E49">
              <w:rPr>
                <w:rStyle w:val="Hipersaitas"/>
                <w:rFonts w:eastAsia="Times New Roman" w:cstheme="minorHAnsi"/>
                <w:b/>
                <w:bCs/>
                <w:i/>
                <w:iCs/>
                <w:noProof/>
              </w:rPr>
              <w:t>Särgava prieš Estiją</w:t>
            </w:r>
            <w:r w:rsidR="001C38F6">
              <w:rPr>
                <w:noProof/>
                <w:webHidden/>
              </w:rPr>
              <w:tab/>
            </w:r>
            <w:r w:rsidR="001C38F6">
              <w:rPr>
                <w:noProof/>
                <w:webHidden/>
              </w:rPr>
              <w:fldChar w:fldCharType="begin"/>
            </w:r>
            <w:r w:rsidR="001C38F6">
              <w:rPr>
                <w:noProof/>
                <w:webHidden/>
              </w:rPr>
              <w:instrText xml:space="preserve"> PAGEREF _Toc104379821 \h </w:instrText>
            </w:r>
            <w:r w:rsidR="001C38F6">
              <w:rPr>
                <w:noProof/>
                <w:webHidden/>
              </w:rPr>
            </w:r>
            <w:r w:rsidR="001C38F6">
              <w:rPr>
                <w:noProof/>
                <w:webHidden/>
              </w:rPr>
              <w:fldChar w:fldCharType="separate"/>
            </w:r>
            <w:r w:rsidR="001C38F6">
              <w:rPr>
                <w:noProof/>
                <w:webHidden/>
              </w:rPr>
              <w:t>11</w:t>
            </w:r>
            <w:r w:rsidR="001C38F6">
              <w:rPr>
                <w:noProof/>
                <w:webHidden/>
              </w:rPr>
              <w:fldChar w:fldCharType="end"/>
            </w:r>
          </w:hyperlink>
        </w:p>
        <w:p w14:paraId="0A2F49FB" w14:textId="2DCC921D" w:rsidR="001C38F6" w:rsidRDefault="00A1313E">
          <w:pPr>
            <w:pStyle w:val="Turinys3"/>
            <w:rPr>
              <w:rFonts w:eastAsiaTheme="minorEastAsia" w:cstheme="minorBidi"/>
              <w:bCs w:val="0"/>
              <w:lang w:val="en-US"/>
            </w:rPr>
          </w:pPr>
          <w:hyperlink w:anchor="_Toc104379822" w:history="1">
            <w:r w:rsidR="001C38F6" w:rsidRPr="00F54E49">
              <w:rPr>
                <w:rStyle w:val="Hipersaitas"/>
                <w:rFonts w:eastAsia="Times New Roman"/>
                <w:i/>
              </w:rPr>
              <w:t>Dėl advokato-kliento paslaptį sudarančios informacijos apsaugos atliekant baudžiamojo persekiojimo veiksmus</w:t>
            </w:r>
            <w:r w:rsidR="001C38F6">
              <w:rPr>
                <w:webHidden/>
              </w:rPr>
              <w:tab/>
            </w:r>
            <w:r w:rsidR="001C38F6">
              <w:rPr>
                <w:webHidden/>
              </w:rPr>
              <w:fldChar w:fldCharType="begin"/>
            </w:r>
            <w:r w:rsidR="001C38F6">
              <w:rPr>
                <w:webHidden/>
              </w:rPr>
              <w:instrText xml:space="preserve"> PAGEREF _Toc104379822 \h </w:instrText>
            </w:r>
            <w:r w:rsidR="001C38F6">
              <w:rPr>
                <w:webHidden/>
              </w:rPr>
            </w:r>
            <w:r w:rsidR="001C38F6">
              <w:rPr>
                <w:webHidden/>
              </w:rPr>
              <w:fldChar w:fldCharType="separate"/>
            </w:r>
            <w:r w:rsidR="001C38F6">
              <w:rPr>
                <w:webHidden/>
              </w:rPr>
              <w:t>11</w:t>
            </w:r>
            <w:r w:rsidR="001C38F6">
              <w:rPr>
                <w:webHidden/>
              </w:rPr>
              <w:fldChar w:fldCharType="end"/>
            </w:r>
          </w:hyperlink>
        </w:p>
        <w:p w14:paraId="5335E17F" w14:textId="105D9193" w:rsidR="001C38F6" w:rsidRDefault="00A1313E">
          <w:pPr>
            <w:pStyle w:val="Turinys1"/>
            <w:rPr>
              <w:rFonts w:eastAsiaTheme="minorEastAsia"/>
              <w:color w:val="auto"/>
              <w:lang w:val="en-US"/>
            </w:rPr>
          </w:pPr>
          <w:hyperlink w:anchor="_Toc104379823" w:history="1">
            <w:r w:rsidR="001C38F6" w:rsidRPr="00F54E49">
              <w:rPr>
                <w:rStyle w:val="Hipersaitas"/>
                <w:rFonts w:eastAsia="Times New Roman" w:cstheme="minorHAnsi"/>
              </w:rPr>
              <w:t>SAVIRAIŠKOS LAISVĖ (10 straipsnis)</w:t>
            </w:r>
            <w:r w:rsidR="001C38F6">
              <w:rPr>
                <w:webHidden/>
              </w:rPr>
              <w:tab/>
            </w:r>
            <w:r w:rsidR="001C38F6">
              <w:rPr>
                <w:webHidden/>
              </w:rPr>
              <w:fldChar w:fldCharType="begin"/>
            </w:r>
            <w:r w:rsidR="001C38F6">
              <w:rPr>
                <w:webHidden/>
              </w:rPr>
              <w:instrText xml:space="preserve"> PAGEREF _Toc104379823 \h </w:instrText>
            </w:r>
            <w:r w:rsidR="001C38F6">
              <w:rPr>
                <w:webHidden/>
              </w:rPr>
            </w:r>
            <w:r w:rsidR="001C38F6">
              <w:rPr>
                <w:webHidden/>
              </w:rPr>
              <w:fldChar w:fldCharType="separate"/>
            </w:r>
            <w:r w:rsidR="001C38F6">
              <w:rPr>
                <w:webHidden/>
              </w:rPr>
              <w:t>12</w:t>
            </w:r>
            <w:r w:rsidR="001C38F6">
              <w:rPr>
                <w:webHidden/>
              </w:rPr>
              <w:fldChar w:fldCharType="end"/>
            </w:r>
          </w:hyperlink>
        </w:p>
        <w:p w14:paraId="5518B1A2" w14:textId="016CE6D6" w:rsidR="001C38F6" w:rsidRDefault="00A1313E">
          <w:pPr>
            <w:pStyle w:val="Turinys2"/>
            <w:tabs>
              <w:tab w:val="right" w:leader="dot" w:pos="9769"/>
            </w:tabs>
            <w:rPr>
              <w:rFonts w:eastAsiaTheme="minorEastAsia"/>
              <w:noProof/>
              <w:lang w:val="en-US"/>
            </w:rPr>
          </w:pPr>
          <w:hyperlink w:anchor="_Toc104379824" w:history="1">
            <w:r w:rsidR="001C38F6" w:rsidRPr="00F54E49">
              <w:rPr>
                <w:rStyle w:val="Hipersaitas"/>
                <w:rFonts w:eastAsia="Calibri" w:cstheme="minorHAnsi"/>
                <w:b/>
                <w:bCs/>
                <w:i/>
                <w:iCs/>
                <w:noProof/>
              </w:rPr>
              <w:t>Gachechiladze prieš Gruziją</w:t>
            </w:r>
            <w:r w:rsidR="001C38F6">
              <w:rPr>
                <w:noProof/>
                <w:webHidden/>
              </w:rPr>
              <w:tab/>
            </w:r>
            <w:r w:rsidR="001C38F6">
              <w:rPr>
                <w:noProof/>
                <w:webHidden/>
              </w:rPr>
              <w:fldChar w:fldCharType="begin"/>
            </w:r>
            <w:r w:rsidR="001C38F6">
              <w:rPr>
                <w:noProof/>
                <w:webHidden/>
              </w:rPr>
              <w:instrText xml:space="preserve"> PAGEREF _Toc104379824 \h </w:instrText>
            </w:r>
            <w:r w:rsidR="001C38F6">
              <w:rPr>
                <w:noProof/>
                <w:webHidden/>
              </w:rPr>
            </w:r>
            <w:r w:rsidR="001C38F6">
              <w:rPr>
                <w:noProof/>
                <w:webHidden/>
              </w:rPr>
              <w:fldChar w:fldCharType="separate"/>
            </w:r>
            <w:r w:rsidR="001C38F6">
              <w:rPr>
                <w:noProof/>
                <w:webHidden/>
              </w:rPr>
              <w:t>12</w:t>
            </w:r>
            <w:r w:rsidR="001C38F6">
              <w:rPr>
                <w:noProof/>
                <w:webHidden/>
              </w:rPr>
              <w:fldChar w:fldCharType="end"/>
            </w:r>
          </w:hyperlink>
        </w:p>
        <w:p w14:paraId="2F636E4B" w14:textId="183FD79C" w:rsidR="001C38F6" w:rsidRDefault="00A1313E">
          <w:pPr>
            <w:pStyle w:val="Turinys3"/>
            <w:rPr>
              <w:rFonts w:eastAsiaTheme="minorEastAsia" w:cstheme="minorBidi"/>
              <w:bCs w:val="0"/>
              <w:lang w:val="en-US"/>
            </w:rPr>
          </w:pPr>
          <w:hyperlink w:anchor="_Toc104379825" w:history="1">
            <w:r w:rsidR="001C38F6" w:rsidRPr="00F54E49">
              <w:rPr>
                <w:rStyle w:val="Hipersaitas"/>
                <w:i/>
                <w:iCs/>
              </w:rPr>
              <w:t>Dėl esą nederamo prezervatyvų pakuočių, papuoštų istoriniais ar religiniais simboliais bei užrašais, dizaino ir saviraiškos laisvės</w:t>
            </w:r>
            <w:r w:rsidR="001C38F6">
              <w:rPr>
                <w:webHidden/>
              </w:rPr>
              <w:tab/>
            </w:r>
            <w:r w:rsidR="001C38F6">
              <w:rPr>
                <w:webHidden/>
              </w:rPr>
              <w:fldChar w:fldCharType="begin"/>
            </w:r>
            <w:r w:rsidR="001C38F6">
              <w:rPr>
                <w:webHidden/>
              </w:rPr>
              <w:instrText xml:space="preserve"> PAGEREF _Toc104379825 \h </w:instrText>
            </w:r>
            <w:r w:rsidR="001C38F6">
              <w:rPr>
                <w:webHidden/>
              </w:rPr>
            </w:r>
            <w:r w:rsidR="001C38F6">
              <w:rPr>
                <w:webHidden/>
              </w:rPr>
              <w:fldChar w:fldCharType="separate"/>
            </w:r>
            <w:r w:rsidR="001C38F6">
              <w:rPr>
                <w:webHidden/>
              </w:rPr>
              <w:t>12</w:t>
            </w:r>
            <w:r w:rsidR="001C38F6">
              <w:rPr>
                <w:webHidden/>
              </w:rPr>
              <w:fldChar w:fldCharType="end"/>
            </w:r>
          </w:hyperlink>
        </w:p>
        <w:p w14:paraId="148AEFF1" w14:textId="66C46CF5" w:rsidR="001C38F6" w:rsidRDefault="00A1313E">
          <w:pPr>
            <w:pStyle w:val="Turinys2"/>
            <w:tabs>
              <w:tab w:val="right" w:leader="dot" w:pos="9769"/>
            </w:tabs>
            <w:rPr>
              <w:rFonts w:eastAsiaTheme="minorEastAsia"/>
              <w:noProof/>
              <w:lang w:val="en-US"/>
            </w:rPr>
          </w:pPr>
          <w:hyperlink w:anchor="_Toc104379826" w:history="1">
            <w:r w:rsidR="001C38F6" w:rsidRPr="00F54E49">
              <w:rPr>
                <w:rStyle w:val="Hipersaitas"/>
                <w:rFonts w:eastAsia="Calibri" w:cstheme="minorHAnsi"/>
                <w:b/>
                <w:bCs/>
                <w:i/>
                <w:iCs/>
                <w:noProof/>
              </w:rPr>
              <w:t>Hans-Wilhelm Saure prieš Vokietiją</w:t>
            </w:r>
            <w:r w:rsidR="001C38F6">
              <w:rPr>
                <w:noProof/>
                <w:webHidden/>
              </w:rPr>
              <w:tab/>
            </w:r>
            <w:r w:rsidR="001C38F6">
              <w:rPr>
                <w:noProof/>
                <w:webHidden/>
              </w:rPr>
              <w:fldChar w:fldCharType="begin"/>
            </w:r>
            <w:r w:rsidR="001C38F6">
              <w:rPr>
                <w:noProof/>
                <w:webHidden/>
              </w:rPr>
              <w:instrText xml:space="preserve"> PAGEREF _Toc104379826 \h </w:instrText>
            </w:r>
            <w:r w:rsidR="001C38F6">
              <w:rPr>
                <w:noProof/>
                <w:webHidden/>
              </w:rPr>
            </w:r>
            <w:r w:rsidR="001C38F6">
              <w:rPr>
                <w:noProof/>
                <w:webHidden/>
              </w:rPr>
              <w:fldChar w:fldCharType="separate"/>
            </w:r>
            <w:r w:rsidR="001C38F6">
              <w:rPr>
                <w:noProof/>
                <w:webHidden/>
              </w:rPr>
              <w:t>13</w:t>
            </w:r>
            <w:r w:rsidR="001C38F6">
              <w:rPr>
                <w:noProof/>
                <w:webHidden/>
              </w:rPr>
              <w:fldChar w:fldCharType="end"/>
            </w:r>
          </w:hyperlink>
        </w:p>
        <w:p w14:paraId="3123A8F9" w14:textId="596E6C33" w:rsidR="001C38F6" w:rsidRDefault="00A1313E">
          <w:pPr>
            <w:pStyle w:val="Turinys3"/>
            <w:rPr>
              <w:rFonts w:eastAsiaTheme="minorEastAsia" w:cstheme="minorBidi"/>
              <w:bCs w:val="0"/>
              <w:lang w:val="en-US"/>
            </w:rPr>
          </w:pPr>
          <w:hyperlink w:anchor="_Toc104379827" w:history="1">
            <w:r w:rsidR="001C38F6" w:rsidRPr="00F54E49">
              <w:rPr>
                <w:rStyle w:val="Hipersaitas"/>
                <w:i/>
                <w:iCs/>
              </w:rPr>
              <w:t>Dėl atsisakymo pateikti žurnalistui neparengtą ir neprieinamą informaciją apie Užsienio žvalgybos tarnybos ir jos pirmtakės organizacijos darbuotojų ir bendradarbių, susijusių su nacių organizacijomis, skaičių</w:t>
            </w:r>
            <w:r w:rsidR="001C38F6">
              <w:rPr>
                <w:webHidden/>
              </w:rPr>
              <w:tab/>
            </w:r>
            <w:r w:rsidR="001C38F6">
              <w:rPr>
                <w:webHidden/>
              </w:rPr>
              <w:fldChar w:fldCharType="begin"/>
            </w:r>
            <w:r w:rsidR="001C38F6">
              <w:rPr>
                <w:webHidden/>
              </w:rPr>
              <w:instrText xml:space="preserve"> PAGEREF _Toc104379827 \h </w:instrText>
            </w:r>
            <w:r w:rsidR="001C38F6">
              <w:rPr>
                <w:webHidden/>
              </w:rPr>
            </w:r>
            <w:r w:rsidR="001C38F6">
              <w:rPr>
                <w:webHidden/>
              </w:rPr>
              <w:fldChar w:fldCharType="separate"/>
            </w:r>
            <w:r w:rsidR="001C38F6">
              <w:rPr>
                <w:webHidden/>
              </w:rPr>
              <w:t>13</w:t>
            </w:r>
            <w:r w:rsidR="001C38F6">
              <w:rPr>
                <w:webHidden/>
              </w:rPr>
              <w:fldChar w:fldCharType="end"/>
            </w:r>
          </w:hyperlink>
        </w:p>
        <w:p w14:paraId="401629AE" w14:textId="2DBF2BB8" w:rsidR="001C38F6" w:rsidRDefault="00A1313E">
          <w:pPr>
            <w:pStyle w:val="Turinys1"/>
            <w:rPr>
              <w:rFonts w:eastAsiaTheme="minorEastAsia"/>
              <w:color w:val="auto"/>
              <w:lang w:val="en-US"/>
            </w:rPr>
          </w:pPr>
          <w:hyperlink w:anchor="_Toc104379828" w:history="1">
            <w:r w:rsidR="001C38F6" w:rsidRPr="00F54E49">
              <w:rPr>
                <w:rStyle w:val="Hipersaitas"/>
              </w:rPr>
              <w:t>SUSIRINKIMŲ IR ASOCIACIJŲ LAISVĖ (11 straipsnis)</w:t>
            </w:r>
            <w:r w:rsidR="001C38F6">
              <w:rPr>
                <w:webHidden/>
              </w:rPr>
              <w:tab/>
            </w:r>
            <w:r w:rsidR="001C38F6">
              <w:rPr>
                <w:webHidden/>
              </w:rPr>
              <w:fldChar w:fldCharType="begin"/>
            </w:r>
            <w:r w:rsidR="001C38F6">
              <w:rPr>
                <w:webHidden/>
              </w:rPr>
              <w:instrText xml:space="preserve"> PAGEREF _Toc104379828 \h </w:instrText>
            </w:r>
            <w:r w:rsidR="001C38F6">
              <w:rPr>
                <w:webHidden/>
              </w:rPr>
            </w:r>
            <w:r w:rsidR="001C38F6">
              <w:rPr>
                <w:webHidden/>
              </w:rPr>
              <w:fldChar w:fldCharType="separate"/>
            </w:r>
            <w:r w:rsidR="001C38F6">
              <w:rPr>
                <w:webHidden/>
              </w:rPr>
              <w:t>14</w:t>
            </w:r>
            <w:r w:rsidR="001C38F6">
              <w:rPr>
                <w:webHidden/>
              </w:rPr>
              <w:fldChar w:fldCharType="end"/>
            </w:r>
          </w:hyperlink>
        </w:p>
        <w:p w14:paraId="2D49CE28" w14:textId="5FCBE757" w:rsidR="001C38F6" w:rsidRDefault="00A1313E">
          <w:pPr>
            <w:pStyle w:val="Turinys2"/>
            <w:tabs>
              <w:tab w:val="right" w:leader="dot" w:pos="9769"/>
            </w:tabs>
            <w:rPr>
              <w:rFonts w:eastAsiaTheme="minorEastAsia"/>
              <w:noProof/>
              <w:lang w:val="en-US"/>
            </w:rPr>
          </w:pPr>
          <w:hyperlink w:anchor="_Toc104379829" w:history="1">
            <w:r w:rsidR="001C38F6" w:rsidRPr="00F54E49">
              <w:rPr>
                <w:rStyle w:val="Hipersaitas"/>
                <w:rFonts w:eastAsia="Calibri" w:cstheme="minorHAnsi"/>
                <w:b/>
                <w:bCs/>
                <w:i/>
                <w:iCs/>
                <w:noProof/>
              </w:rPr>
              <w:t>Yakut Republican Trade-Union Federation prieš Rusiją</w:t>
            </w:r>
            <w:r w:rsidR="001C38F6">
              <w:rPr>
                <w:noProof/>
                <w:webHidden/>
              </w:rPr>
              <w:tab/>
            </w:r>
            <w:r w:rsidR="001C38F6">
              <w:rPr>
                <w:noProof/>
                <w:webHidden/>
              </w:rPr>
              <w:fldChar w:fldCharType="begin"/>
            </w:r>
            <w:r w:rsidR="001C38F6">
              <w:rPr>
                <w:noProof/>
                <w:webHidden/>
              </w:rPr>
              <w:instrText xml:space="preserve"> PAGEREF _Toc104379829 \h </w:instrText>
            </w:r>
            <w:r w:rsidR="001C38F6">
              <w:rPr>
                <w:noProof/>
                <w:webHidden/>
              </w:rPr>
            </w:r>
            <w:r w:rsidR="001C38F6">
              <w:rPr>
                <w:noProof/>
                <w:webHidden/>
              </w:rPr>
              <w:fldChar w:fldCharType="separate"/>
            </w:r>
            <w:r w:rsidR="001C38F6">
              <w:rPr>
                <w:noProof/>
                <w:webHidden/>
              </w:rPr>
              <w:t>14</w:t>
            </w:r>
            <w:r w:rsidR="001C38F6">
              <w:rPr>
                <w:noProof/>
                <w:webHidden/>
              </w:rPr>
              <w:fldChar w:fldCharType="end"/>
            </w:r>
          </w:hyperlink>
        </w:p>
        <w:p w14:paraId="03769520" w14:textId="265C9C57" w:rsidR="001C38F6" w:rsidRDefault="00A1313E">
          <w:pPr>
            <w:pStyle w:val="Turinys3"/>
            <w:rPr>
              <w:rFonts w:eastAsiaTheme="minorEastAsia" w:cstheme="minorBidi"/>
              <w:bCs w:val="0"/>
              <w:lang w:val="en-US"/>
            </w:rPr>
          </w:pPr>
          <w:hyperlink w:anchor="_Toc104379830" w:history="1">
            <w:r w:rsidR="001C38F6" w:rsidRPr="00F54E49">
              <w:rPr>
                <w:rStyle w:val="Hipersaitas"/>
                <w:i/>
                <w:iCs/>
              </w:rPr>
              <w:t>Dėl draudimo kaliniams steigti profesines sąjungas ir stoti į jas</w:t>
            </w:r>
            <w:r w:rsidR="001C38F6">
              <w:rPr>
                <w:webHidden/>
              </w:rPr>
              <w:tab/>
            </w:r>
            <w:r w:rsidR="001C38F6">
              <w:rPr>
                <w:webHidden/>
              </w:rPr>
              <w:fldChar w:fldCharType="begin"/>
            </w:r>
            <w:r w:rsidR="001C38F6">
              <w:rPr>
                <w:webHidden/>
              </w:rPr>
              <w:instrText xml:space="preserve"> PAGEREF _Toc104379830 \h </w:instrText>
            </w:r>
            <w:r w:rsidR="001C38F6">
              <w:rPr>
                <w:webHidden/>
              </w:rPr>
            </w:r>
            <w:r w:rsidR="001C38F6">
              <w:rPr>
                <w:webHidden/>
              </w:rPr>
              <w:fldChar w:fldCharType="separate"/>
            </w:r>
            <w:r w:rsidR="001C38F6">
              <w:rPr>
                <w:webHidden/>
              </w:rPr>
              <w:t>14</w:t>
            </w:r>
            <w:r w:rsidR="001C38F6">
              <w:rPr>
                <w:webHidden/>
              </w:rPr>
              <w:fldChar w:fldCharType="end"/>
            </w:r>
          </w:hyperlink>
        </w:p>
        <w:p w14:paraId="77438FC3" w14:textId="4C7AB179" w:rsidR="001C38F6" w:rsidRDefault="00A1313E">
          <w:pPr>
            <w:pStyle w:val="Turinys1"/>
            <w:rPr>
              <w:rFonts w:eastAsiaTheme="minorEastAsia"/>
              <w:color w:val="auto"/>
              <w:lang w:val="en-US"/>
            </w:rPr>
          </w:pPr>
          <w:hyperlink w:anchor="_Toc104379831" w:history="1">
            <w:r w:rsidR="001C38F6" w:rsidRPr="00F54E49">
              <w:rPr>
                <w:rStyle w:val="Hipersaitas"/>
                <w:rFonts w:eastAsia="Times New Roman" w:cstheme="minorHAnsi"/>
              </w:rPr>
              <w:t>TEISĖ Į VEIKMINGĄ TEISINĖS GYNYBOS PRIEMONĘ (13 straipsnis)</w:t>
            </w:r>
            <w:r w:rsidR="001C38F6">
              <w:rPr>
                <w:webHidden/>
              </w:rPr>
              <w:tab/>
            </w:r>
            <w:r w:rsidR="001C38F6">
              <w:rPr>
                <w:webHidden/>
              </w:rPr>
              <w:fldChar w:fldCharType="begin"/>
            </w:r>
            <w:r w:rsidR="001C38F6">
              <w:rPr>
                <w:webHidden/>
              </w:rPr>
              <w:instrText xml:space="preserve"> PAGEREF _Toc104379831 \h </w:instrText>
            </w:r>
            <w:r w:rsidR="001C38F6">
              <w:rPr>
                <w:webHidden/>
              </w:rPr>
            </w:r>
            <w:r w:rsidR="001C38F6">
              <w:rPr>
                <w:webHidden/>
              </w:rPr>
              <w:fldChar w:fldCharType="separate"/>
            </w:r>
            <w:r w:rsidR="001C38F6">
              <w:rPr>
                <w:webHidden/>
              </w:rPr>
              <w:t>16</w:t>
            </w:r>
            <w:r w:rsidR="001C38F6">
              <w:rPr>
                <w:webHidden/>
              </w:rPr>
              <w:fldChar w:fldCharType="end"/>
            </w:r>
          </w:hyperlink>
        </w:p>
        <w:p w14:paraId="75EF334F" w14:textId="647CC44A" w:rsidR="001C38F6" w:rsidRDefault="00A1313E">
          <w:pPr>
            <w:pStyle w:val="Turinys2"/>
            <w:tabs>
              <w:tab w:val="right" w:leader="dot" w:pos="9769"/>
            </w:tabs>
            <w:rPr>
              <w:rFonts w:eastAsiaTheme="minorEastAsia"/>
              <w:noProof/>
              <w:lang w:val="en-US"/>
            </w:rPr>
          </w:pPr>
          <w:hyperlink w:anchor="_Toc104379832" w:history="1">
            <w:r w:rsidR="001C38F6" w:rsidRPr="00F54E49">
              <w:rPr>
                <w:rStyle w:val="Hipersaitas"/>
                <w:rFonts w:eastAsia="Calibri" w:cstheme="minorHAnsi"/>
                <w:b/>
                <w:bCs/>
                <w:i/>
                <w:iCs/>
                <w:noProof/>
              </w:rPr>
              <w:t>Shahzad prieš Vengriją</w:t>
            </w:r>
            <w:r w:rsidR="001C38F6">
              <w:rPr>
                <w:noProof/>
                <w:webHidden/>
              </w:rPr>
              <w:tab/>
            </w:r>
            <w:r w:rsidR="001C38F6">
              <w:rPr>
                <w:noProof/>
                <w:webHidden/>
              </w:rPr>
              <w:fldChar w:fldCharType="begin"/>
            </w:r>
            <w:r w:rsidR="001C38F6">
              <w:rPr>
                <w:noProof/>
                <w:webHidden/>
              </w:rPr>
              <w:instrText xml:space="preserve"> PAGEREF _Toc104379832 \h </w:instrText>
            </w:r>
            <w:r w:rsidR="001C38F6">
              <w:rPr>
                <w:noProof/>
                <w:webHidden/>
              </w:rPr>
            </w:r>
            <w:r w:rsidR="001C38F6">
              <w:rPr>
                <w:noProof/>
                <w:webHidden/>
              </w:rPr>
              <w:fldChar w:fldCharType="separate"/>
            </w:r>
            <w:r w:rsidR="001C38F6">
              <w:rPr>
                <w:noProof/>
                <w:webHidden/>
              </w:rPr>
              <w:t>16</w:t>
            </w:r>
            <w:r w:rsidR="001C38F6">
              <w:rPr>
                <w:noProof/>
                <w:webHidden/>
              </w:rPr>
              <w:fldChar w:fldCharType="end"/>
            </w:r>
          </w:hyperlink>
        </w:p>
        <w:p w14:paraId="7490471F" w14:textId="046D3F96" w:rsidR="001C38F6" w:rsidRDefault="00A1313E">
          <w:pPr>
            <w:pStyle w:val="Turinys3"/>
            <w:rPr>
              <w:rFonts w:eastAsiaTheme="minorEastAsia" w:cstheme="minorBidi"/>
              <w:bCs w:val="0"/>
              <w:lang w:val="en-US"/>
            </w:rPr>
          </w:pPr>
          <w:hyperlink w:anchor="_Toc104379833" w:history="1">
            <w:r w:rsidR="001C38F6" w:rsidRPr="00F54E49">
              <w:rPr>
                <w:rStyle w:val="Hipersaitas"/>
                <w:i/>
                <w:iCs/>
              </w:rPr>
              <w:t>Dėl kolektyvinio asmenų išsiuntimo iš šalies juos paliekant žemės ruože, esančiame tarp valstybių sienas skiriančių tvorų</w:t>
            </w:r>
            <w:r w:rsidR="001C38F6">
              <w:rPr>
                <w:webHidden/>
              </w:rPr>
              <w:tab/>
            </w:r>
            <w:r w:rsidR="001C38F6">
              <w:rPr>
                <w:webHidden/>
              </w:rPr>
              <w:fldChar w:fldCharType="begin"/>
            </w:r>
            <w:r w:rsidR="001C38F6">
              <w:rPr>
                <w:webHidden/>
              </w:rPr>
              <w:instrText xml:space="preserve"> PAGEREF _Toc104379833 \h </w:instrText>
            </w:r>
            <w:r w:rsidR="001C38F6">
              <w:rPr>
                <w:webHidden/>
              </w:rPr>
            </w:r>
            <w:r w:rsidR="001C38F6">
              <w:rPr>
                <w:webHidden/>
              </w:rPr>
              <w:fldChar w:fldCharType="separate"/>
            </w:r>
            <w:r w:rsidR="001C38F6">
              <w:rPr>
                <w:webHidden/>
              </w:rPr>
              <w:t>16</w:t>
            </w:r>
            <w:r w:rsidR="001C38F6">
              <w:rPr>
                <w:webHidden/>
              </w:rPr>
              <w:fldChar w:fldCharType="end"/>
            </w:r>
          </w:hyperlink>
        </w:p>
        <w:p w14:paraId="5E055FFA" w14:textId="0BC7E02E" w:rsidR="001C38F6" w:rsidRDefault="00A1313E">
          <w:pPr>
            <w:pStyle w:val="Turinys1"/>
            <w:rPr>
              <w:rFonts w:eastAsiaTheme="minorEastAsia"/>
              <w:color w:val="auto"/>
              <w:lang w:val="en-US"/>
            </w:rPr>
          </w:pPr>
          <w:hyperlink w:anchor="_Toc104379834" w:history="1">
            <w:r w:rsidR="001C38F6" w:rsidRPr="00F54E49">
              <w:rPr>
                <w:rStyle w:val="Hipersaitas"/>
                <w:rFonts w:eastAsia="Times New Roman" w:cstheme="minorHAnsi"/>
              </w:rPr>
              <w:t>DISKRIMINACIJOS UŽDRAUDIMAS (14 straipsnis)</w:t>
            </w:r>
            <w:r w:rsidR="001C38F6">
              <w:rPr>
                <w:webHidden/>
              </w:rPr>
              <w:tab/>
            </w:r>
            <w:r w:rsidR="001C38F6">
              <w:rPr>
                <w:webHidden/>
              </w:rPr>
              <w:fldChar w:fldCharType="begin"/>
            </w:r>
            <w:r w:rsidR="001C38F6">
              <w:rPr>
                <w:webHidden/>
              </w:rPr>
              <w:instrText xml:space="preserve"> PAGEREF _Toc104379834 \h </w:instrText>
            </w:r>
            <w:r w:rsidR="001C38F6">
              <w:rPr>
                <w:webHidden/>
              </w:rPr>
            </w:r>
            <w:r w:rsidR="001C38F6">
              <w:rPr>
                <w:webHidden/>
              </w:rPr>
              <w:fldChar w:fldCharType="separate"/>
            </w:r>
            <w:r w:rsidR="001C38F6">
              <w:rPr>
                <w:webHidden/>
              </w:rPr>
              <w:t>17</w:t>
            </w:r>
            <w:r w:rsidR="001C38F6">
              <w:rPr>
                <w:webHidden/>
              </w:rPr>
              <w:fldChar w:fldCharType="end"/>
            </w:r>
          </w:hyperlink>
        </w:p>
        <w:p w14:paraId="0F3FF36F" w14:textId="5320A851" w:rsidR="001C38F6" w:rsidRDefault="00A1313E">
          <w:pPr>
            <w:pStyle w:val="Turinys2"/>
            <w:tabs>
              <w:tab w:val="right" w:leader="dot" w:pos="9769"/>
            </w:tabs>
            <w:rPr>
              <w:rFonts w:eastAsiaTheme="minorEastAsia"/>
              <w:noProof/>
              <w:lang w:val="en-US"/>
            </w:rPr>
          </w:pPr>
          <w:hyperlink w:anchor="_Toc104379835" w:history="1">
            <w:r w:rsidR="001C38F6" w:rsidRPr="00F54E49">
              <w:rPr>
                <w:rStyle w:val="Hipersaitas"/>
                <w:rFonts w:eastAsia="Calibri" w:cstheme="minorHAnsi"/>
                <w:b/>
                <w:bCs/>
                <w:i/>
                <w:iCs/>
                <w:noProof/>
              </w:rPr>
              <w:t>Šaltinytė prieš Lietuvą</w:t>
            </w:r>
            <w:r w:rsidR="001C38F6">
              <w:rPr>
                <w:noProof/>
                <w:webHidden/>
              </w:rPr>
              <w:tab/>
            </w:r>
            <w:r w:rsidR="001C38F6">
              <w:rPr>
                <w:noProof/>
                <w:webHidden/>
              </w:rPr>
              <w:fldChar w:fldCharType="begin"/>
            </w:r>
            <w:r w:rsidR="001C38F6">
              <w:rPr>
                <w:noProof/>
                <w:webHidden/>
              </w:rPr>
              <w:instrText xml:space="preserve"> PAGEREF _Toc104379835 \h </w:instrText>
            </w:r>
            <w:r w:rsidR="001C38F6">
              <w:rPr>
                <w:noProof/>
                <w:webHidden/>
              </w:rPr>
            </w:r>
            <w:r w:rsidR="001C38F6">
              <w:rPr>
                <w:noProof/>
                <w:webHidden/>
              </w:rPr>
              <w:fldChar w:fldCharType="separate"/>
            </w:r>
            <w:r w:rsidR="001C38F6">
              <w:rPr>
                <w:noProof/>
                <w:webHidden/>
              </w:rPr>
              <w:t>17</w:t>
            </w:r>
            <w:r w:rsidR="001C38F6">
              <w:rPr>
                <w:noProof/>
                <w:webHidden/>
              </w:rPr>
              <w:fldChar w:fldCharType="end"/>
            </w:r>
          </w:hyperlink>
        </w:p>
        <w:p w14:paraId="236A953C" w14:textId="62D4A575" w:rsidR="001C38F6" w:rsidRDefault="00A1313E">
          <w:pPr>
            <w:pStyle w:val="Turinys3"/>
            <w:rPr>
              <w:rFonts w:eastAsiaTheme="minorEastAsia" w:cstheme="minorBidi"/>
              <w:bCs w:val="0"/>
              <w:lang w:val="en-US"/>
            </w:rPr>
          </w:pPr>
          <w:hyperlink w:anchor="_Toc104379836" w:history="1">
            <w:r w:rsidR="001C38F6" w:rsidRPr="00F54E49">
              <w:rPr>
                <w:rStyle w:val="Hipersaitas"/>
                <w:i/>
                <w:iCs/>
              </w:rPr>
              <w:t>Dėl viršutinės amžiaus ribos (35 metų) norint gauti subsidiją jaunoms šeimoms būstui įsigyti</w:t>
            </w:r>
            <w:r w:rsidR="001C38F6">
              <w:rPr>
                <w:webHidden/>
              </w:rPr>
              <w:tab/>
            </w:r>
            <w:r w:rsidR="001C38F6">
              <w:rPr>
                <w:webHidden/>
              </w:rPr>
              <w:fldChar w:fldCharType="begin"/>
            </w:r>
            <w:r w:rsidR="001C38F6">
              <w:rPr>
                <w:webHidden/>
              </w:rPr>
              <w:instrText xml:space="preserve"> PAGEREF _Toc104379836 \h </w:instrText>
            </w:r>
            <w:r w:rsidR="001C38F6">
              <w:rPr>
                <w:webHidden/>
              </w:rPr>
            </w:r>
            <w:r w:rsidR="001C38F6">
              <w:rPr>
                <w:webHidden/>
              </w:rPr>
              <w:fldChar w:fldCharType="separate"/>
            </w:r>
            <w:r w:rsidR="001C38F6">
              <w:rPr>
                <w:webHidden/>
              </w:rPr>
              <w:t>17</w:t>
            </w:r>
            <w:r w:rsidR="001C38F6">
              <w:rPr>
                <w:webHidden/>
              </w:rPr>
              <w:fldChar w:fldCharType="end"/>
            </w:r>
          </w:hyperlink>
        </w:p>
        <w:p w14:paraId="4AEBE335" w14:textId="32043BEE" w:rsidR="001C38F6" w:rsidRDefault="00A1313E">
          <w:pPr>
            <w:pStyle w:val="Turinys1"/>
            <w:rPr>
              <w:rFonts w:eastAsiaTheme="minorEastAsia"/>
              <w:color w:val="auto"/>
              <w:lang w:val="en-US"/>
            </w:rPr>
          </w:pPr>
          <w:hyperlink w:anchor="_Toc104379837" w:history="1">
            <w:r w:rsidR="001C38F6" w:rsidRPr="00F54E49">
              <w:rPr>
                <w:rStyle w:val="Hipersaitas"/>
                <w:rFonts w:cstheme="minorHAnsi"/>
              </w:rPr>
              <w:t>NUOSAVYBĖS APSAUGA (Pirmojo protokolo 1 straipsnis)</w:t>
            </w:r>
            <w:r w:rsidR="001C38F6">
              <w:rPr>
                <w:webHidden/>
              </w:rPr>
              <w:tab/>
            </w:r>
            <w:r w:rsidR="001C38F6">
              <w:rPr>
                <w:webHidden/>
              </w:rPr>
              <w:fldChar w:fldCharType="begin"/>
            </w:r>
            <w:r w:rsidR="001C38F6">
              <w:rPr>
                <w:webHidden/>
              </w:rPr>
              <w:instrText xml:space="preserve"> PAGEREF _Toc104379837 \h </w:instrText>
            </w:r>
            <w:r w:rsidR="001C38F6">
              <w:rPr>
                <w:webHidden/>
              </w:rPr>
            </w:r>
            <w:r w:rsidR="001C38F6">
              <w:rPr>
                <w:webHidden/>
              </w:rPr>
              <w:fldChar w:fldCharType="separate"/>
            </w:r>
            <w:r w:rsidR="001C38F6">
              <w:rPr>
                <w:webHidden/>
              </w:rPr>
              <w:t>19</w:t>
            </w:r>
            <w:r w:rsidR="001C38F6">
              <w:rPr>
                <w:webHidden/>
              </w:rPr>
              <w:fldChar w:fldCharType="end"/>
            </w:r>
          </w:hyperlink>
        </w:p>
        <w:p w14:paraId="56783BDF" w14:textId="4B08884C" w:rsidR="001C38F6" w:rsidRDefault="00A1313E">
          <w:pPr>
            <w:pStyle w:val="Turinys2"/>
            <w:tabs>
              <w:tab w:val="right" w:leader="dot" w:pos="9769"/>
            </w:tabs>
            <w:rPr>
              <w:rFonts w:eastAsiaTheme="minorEastAsia"/>
              <w:noProof/>
              <w:lang w:val="en-US"/>
            </w:rPr>
          </w:pPr>
          <w:hyperlink w:anchor="_Toc104379838" w:history="1">
            <w:r w:rsidR="001C38F6" w:rsidRPr="00F54E49">
              <w:rPr>
                <w:rStyle w:val="Hipersaitas"/>
                <w:rFonts w:eastAsia="Calibri" w:cstheme="minorHAnsi"/>
                <w:b/>
                <w:bCs/>
                <w:i/>
                <w:iCs/>
                <w:noProof/>
              </w:rPr>
              <w:t>Aliyeva ir kiti prieš Azerbaidžaną</w:t>
            </w:r>
            <w:r w:rsidR="001C38F6">
              <w:rPr>
                <w:noProof/>
                <w:webHidden/>
              </w:rPr>
              <w:tab/>
            </w:r>
            <w:r w:rsidR="001C38F6">
              <w:rPr>
                <w:noProof/>
                <w:webHidden/>
              </w:rPr>
              <w:fldChar w:fldCharType="begin"/>
            </w:r>
            <w:r w:rsidR="001C38F6">
              <w:rPr>
                <w:noProof/>
                <w:webHidden/>
              </w:rPr>
              <w:instrText xml:space="preserve"> PAGEREF _Toc104379838 \h </w:instrText>
            </w:r>
            <w:r w:rsidR="001C38F6">
              <w:rPr>
                <w:noProof/>
                <w:webHidden/>
              </w:rPr>
            </w:r>
            <w:r w:rsidR="001C38F6">
              <w:rPr>
                <w:noProof/>
                <w:webHidden/>
              </w:rPr>
              <w:fldChar w:fldCharType="separate"/>
            </w:r>
            <w:r w:rsidR="001C38F6">
              <w:rPr>
                <w:noProof/>
                <w:webHidden/>
              </w:rPr>
              <w:t>19</w:t>
            </w:r>
            <w:r w:rsidR="001C38F6">
              <w:rPr>
                <w:noProof/>
                <w:webHidden/>
              </w:rPr>
              <w:fldChar w:fldCharType="end"/>
            </w:r>
          </w:hyperlink>
        </w:p>
        <w:p w14:paraId="5D9DCF20" w14:textId="46460365" w:rsidR="001C38F6" w:rsidRDefault="00A1313E">
          <w:pPr>
            <w:pStyle w:val="Turinys3"/>
            <w:rPr>
              <w:rFonts w:eastAsiaTheme="minorEastAsia" w:cstheme="minorBidi"/>
              <w:bCs w:val="0"/>
              <w:lang w:val="en-US"/>
            </w:rPr>
          </w:pPr>
          <w:hyperlink w:anchor="_Toc104379839" w:history="1">
            <w:r w:rsidR="001C38F6" w:rsidRPr="00F54E49">
              <w:rPr>
                <w:rStyle w:val="Hipersaitas"/>
                <w:i/>
                <w:iCs/>
              </w:rPr>
              <w:t>Dėl pažeidimo nesekant aiškia teismų praktika papildomų kompensacijų už nusavintą turtą priteisimo bylose</w:t>
            </w:r>
            <w:r w:rsidR="001C38F6">
              <w:rPr>
                <w:webHidden/>
              </w:rPr>
              <w:tab/>
            </w:r>
            <w:r w:rsidR="001C38F6">
              <w:rPr>
                <w:webHidden/>
              </w:rPr>
              <w:fldChar w:fldCharType="begin"/>
            </w:r>
            <w:r w:rsidR="001C38F6">
              <w:rPr>
                <w:webHidden/>
              </w:rPr>
              <w:instrText xml:space="preserve"> PAGEREF _Toc104379839 \h </w:instrText>
            </w:r>
            <w:r w:rsidR="001C38F6">
              <w:rPr>
                <w:webHidden/>
              </w:rPr>
            </w:r>
            <w:r w:rsidR="001C38F6">
              <w:rPr>
                <w:webHidden/>
              </w:rPr>
              <w:fldChar w:fldCharType="separate"/>
            </w:r>
            <w:r w:rsidR="001C38F6">
              <w:rPr>
                <w:webHidden/>
              </w:rPr>
              <w:t>19</w:t>
            </w:r>
            <w:r w:rsidR="001C38F6">
              <w:rPr>
                <w:webHidden/>
              </w:rPr>
              <w:fldChar w:fldCharType="end"/>
            </w:r>
          </w:hyperlink>
        </w:p>
        <w:p w14:paraId="0A1FD4CC" w14:textId="40E2C85E" w:rsidR="001C38F6" w:rsidRDefault="00A1313E">
          <w:pPr>
            <w:pStyle w:val="Turinys1"/>
            <w:rPr>
              <w:rFonts w:eastAsiaTheme="minorEastAsia"/>
              <w:color w:val="auto"/>
              <w:lang w:val="en-US"/>
            </w:rPr>
          </w:pPr>
          <w:hyperlink w:anchor="_Toc104379840" w:history="1">
            <w:r w:rsidR="001C38F6" w:rsidRPr="00F54E49">
              <w:rPr>
                <w:rStyle w:val="Hipersaitas"/>
                <w:rFonts w:eastAsia="Times New Roman"/>
              </w:rPr>
              <w:t xml:space="preserve">LAISVI </w:t>
            </w:r>
            <w:r w:rsidR="001C38F6" w:rsidRPr="00F54E49">
              <w:rPr>
                <w:rStyle w:val="Hipersaitas"/>
              </w:rPr>
              <w:t>RINKIMAI</w:t>
            </w:r>
            <w:r w:rsidR="001C38F6" w:rsidRPr="00F54E49">
              <w:rPr>
                <w:rStyle w:val="Hipersaitas"/>
                <w:rFonts w:eastAsia="Times New Roman"/>
              </w:rPr>
              <w:t xml:space="preserve"> (Pirmojo protokolo 3 straipsnis)</w:t>
            </w:r>
            <w:r w:rsidR="001C38F6">
              <w:rPr>
                <w:webHidden/>
              </w:rPr>
              <w:tab/>
            </w:r>
            <w:r w:rsidR="001C38F6">
              <w:rPr>
                <w:webHidden/>
              </w:rPr>
              <w:fldChar w:fldCharType="begin"/>
            </w:r>
            <w:r w:rsidR="001C38F6">
              <w:rPr>
                <w:webHidden/>
              </w:rPr>
              <w:instrText xml:space="preserve"> PAGEREF _Toc104379840 \h </w:instrText>
            </w:r>
            <w:r w:rsidR="001C38F6">
              <w:rPr>
                <w:webHidden/>
              </w:rPr>
            </w:r>
            <w:r w:rsidR="001C38F6">
              <w:rPr>
                <w:webHidden/>
              </w:rPr>
              <w:fldChar w:fldCharType="separate"/>
            </w:r>
            <w:r w:rsidR="001C38F6">
              <w:rPr>
                <w:webHidden/>
              </w:rPr>
              <w:t>20</w:t>
            </w:r>
            <w:r w:rsidR="001C38F6">
              <w:rPr>
                <w:webHidden/>
              </w:rPr>
              <w:fldChar w:fldCharType="end"/>
            </w:r>
          </w:hyperlink>
        </w:p>
        <w:p w14:paraId="0233453E" w14:textId="7055EDF1" w:rsidR="001C38F6" w:rsidRDefault="00A1313E">
          <w:pPr>
            <w:pStyle w:val="Turinys2"/>
            <w:tabs>
              <w:tab w:val="right" w:leader="dot" w:pos="9769"/>
            </w:tabs>
            <w:rPr>
              <w:rFonts w:eastAsiaTheme="minorEastAsia"/>
              <w:noProof/>
              <w:lang w:val="en-US"/>
            </w:rPr>
          </w:pPr>
          <w:hyperlink w:anchor="_Toc104379841" w:history="1">
            <w:r w:rsidR="001C38F6" w:rsidRPr="00F54E49">
              <w:rPr>
                <w:rStyle w:val="Hipersaitas"/>
                <w:rFonts w:eastAsia="Calibri" w:cstheme="minorHAnsi"/>
                <w:b/>
                <w:bCs/>
                <w:i/>
                <w:iCs/>
                <w:noProof/>
              </w:rPr>
              <w:t>Mironescu prieš Rumuniją</w:t>
            </w:r>
            <w:r w:rsidR="001C38F6">
              <w:rPr>
                <w:noProof/>
                <w:webHidden/>
              </w:rPr>
              <w:tab/>
            </w:r>
            <w:r w:rsidR="001C38F6">
              <w:rPr>
                <w:noProof/>
                <w:webHidden/>
              </w:rPr>
              <w:fldChar w:fldCharType="begin"/>
            </w:r>
            <w:r w:rsidR="001C38F6">
              <w:rPr>
                <w:noProof/>
                <w:webHidden/>
              </w:rPr>
              <w:instrText xml:space="preserve"> PAGEREF _Toc104379841 \h </w:instrText>
            </w:r>
            <w:r w:rsidR="001C38F6">
              <w:rPr>
                <w:noProof/>
                <w:webHidden/>
              </w:rPr>
            </w:r>
            <w:r w:rsidR="001C38F6">
              <w:rPr>
                <w:noProof/>
                <w:webHidden/>
              </w:rPr>
              <w:fldChar w:fldCharType="separate"/>
            </w:r>
            <w:r w:rsidR="001C38F6">
              <w:rPr>
                <w:noProof/>
                <w:webHidden/>
              </w:rPr>
              <w:t>20</w:t>
            </w:r>
            <w:r w:rsidR="001C38F6">
              <w:rPr>
                <w:noProof/>
                <w:webHidden/>
              </w:rPr>
              <w:fldChar w:fldCharType="end"/>
            </w:r>
          </w:hyperlink>
        </w:p>
        <w:p w14:paraId="03F418AB" w14:textId="4EB5A808" w:rsidR="001C38F6" w:rsidRDefault="00A1313E">
          <w:pPr>
            <w:pStyle w:val="Turinys3"/>
            <w:rPr>
              <w:rFonts w:eastAsiaTheme="minorEastAsia" w:cstheme="minorBidi"/>
              <w:bCs w:val="0"/>
              <w:lang w:val="en-US"/>
            </w:rPr>
          </w:pPr>
          <w:hyperlink w:anchor="_Toc104379842" w:history="1">
            <w:r w:rsidR="001C38F6" w:rsidRPr="00F54E49">
              <w:rPr>
                <w:rStyle w:val="Hipersaitas"/>
                <w:i/>
                <w:iCs/>
              </w:rPr>
              <w:t>Dėl laisvės atėmimo bausmę ne savo gyvenamosios vietos rinkimų apygardoje atliekančio asmens balsavimo teisių apribojimo</w:t>
            </w:r>
            <w:r w:rsidR="001C38F6">
              <w:rPr>
                <w:webHidden/>
              </w:rPr>
              <w:tab/>
            </w:r>
            <w:r w:rsidR="001C38F6">
              <w:rPr>
                <w:webHidden/>
              </w:rPr>
              <w:fldChar w:fldCharType="begin"/>
            </w:r>
            <w:r w:rsidR="001C38F6">
              <w:rPr>
                <w:webHidden/>
              </w:rPr>
              <w:instrText xml:space="preserve"> PAGEREF _Toc104379842 \h </w:instrText>
            </w:r>
            <w:r w:rsidR="001C38F6">
              <w:rPr>
                <w:webHidden/>
              </w:rPr>
            </w:r>
            <w:r w:rsidR="001C38F6">
              <w:rPr>
                <w:webHidden/>
              </w:rPr>
              <w:fldChar w:fldCharType="separate"/>
            </w:r>
            <w:r w:rsidR="001C38F6">
              <w:rPr>
                <w:webHidden/>
              </w:rPr>
              <w:t>20</w:t>
            </w:r>
            <w:r w:rsidR="001C38F6">
              <w:rPr>
                <w:webHidden/>
              </w:rPr>
              <w:fldChar w:fldCharType="end"/>
            </w:r>
          </w:hyperlink>
        </w:p>
        <w:p w14:paraId="5F55C1A6" w14:textId="466313FE" w:rsidR="00EE09AD" w:rsidRPr="00CC38E3" w:rsidRDefault="00EE09AD" w:rsidP="005C5A0E">
          <w:pPr>
            <w:spacing w:after="0" w:line="240" w:lineRule="auto"/>
            <w:ind w:right="-1"/>
            <w:rPr>
              <w:rFonts w:cstheme="minorHAnsi"/>
            </w:rPr>
          </w:pPr>
          <w:r w:rsidRPr="00CC38E3">
            <w:rPr>
              <w:rFonts w:cstheme="minorHAnsi"/>
              <w:b/>
              <w:bCs/>
            </w:rPr>
            <w:fldChar w:fldCharType="end"/>
          </w:r>
        </w:p>
      </w:sdtContent>
    </w:sdt>
    <w:p w14:paraId="77F2DB7D" w14:textId="5E0F1847" w:rsidR="00EE09AD" w:rsidRPr="00CC38E3" w:rsidRDefault="00EE09AD" w:rsidP="005C5A0E">
      <w:pPr>
        <w:spacing w:after="0" w:line="240" w:lineRule="auto"/>
        <w:ind w:right="-1"/>
        <w:jc w:val="both"/>
        <w:rPr>
          <w:rFonts w:eastAsia="Calibri" w:cstheme="minorHAnsi"/>
          <w:b/>
          <w:highlight w:val="yellow"/>
        </w:rPr>
      </w:pPr>
      <w:r w:rsidRPr="00CC38E3">
        <w:rPr>
          <w:rFonts w:eastAsia="Calibri" w:cstheme="minorHAnsi"/>
          <w:b/>
          <w:highlight w:val="yellow"/>
        </w:rPr>
        <w:br w:type="page"/>
      </w:r>
    </w:p>
    <w:p w14:paraId="3CA62BC1" w14:textId="443D4274" w:rsidR="00F21D3D" w:rsidRPr="00CC38E3" w:rsidRDefault="00F21D3D" w:rsidP="005C5A0E">
      <w:pPr>
        <w:pStyle w:val="Antrat1"/>
        <w:spacing w:before="0"/>
        <w:rPr>
          <w:rFonts w:eastAsia="Times New Roman" w:cstheme="minorHAnsi"/>
          <w:szCs w:val="22"/>
        </w:rPr>
      </w:pPr>
      <w:bookmarkStart w:id="0" w:name="_Toc104379808"/>
      <w:r w:rsidRPr="00CC38E3">
        <w:rPr>
          <w:rFonts w:eastAsia="Times New Roman" w:cstheme="minorHAnsi"/>
          <w:szCs w:val="22"/>
        </w:rPr>
        <w:lastRenderedPageBreak/>
        <w:t xml:space="preserve">KANKINIMO UŽDRAUDIMAS (3 </w:t>
      </w:r>
      <w:r w:rsidR="005123AF">
        <w:rPr>
          <w:rFonts w:eastAsia="Times New Roman" w:cstheme="minorHAnsi"/>
          <w:szCs w:val="22"/>
        </w:rPr>
        <w:t>straipsnis</w:t>
      </w:r>
      <w:r w:rsidRPr="00CC38E3">
        <w:rPr>
          <w:rFonts w:eastAsia="Times New Roman" w:cstheme="minorHAnsi"/>
          <w:szCs w:val="22"/>
        </w:rPr>
        <w:t>)</w:t>
      </w:r>
      <w:bookmarkEnd w:id="0"/>
    </w:p>
    <w:p w14:paraId="4FB75B0F" w14:textId="77777777" w:rsidR="003578B6" w:rsidRPr="00CC38E3" w:rsidRDefault="003578B6" w:rsidP="005C5A0E">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4D5AEC44" w14:textId="4777885E" w:rsidR="003578B6" w:rsidRPr="00CC38E3" w:rsidRDefault="003578B6" w:rsidP="005C5A0E">
      <w:pPr>
        <w:pBdr>
          <w:top w:val="nil"/>
          <w:left w:val="nil"/>
          <w:bottom w:val="nil"/>
          <w:right w:val="nil"/>
          <w:between w:val="nil"/>
        </w:pBdr>
        <w:tabs>
          <w:tab w:val="left" w:pos="851"/>
        </w:tabs>
        <w:spacing w:after="0" w:line="240" w:lineRule="auto"/>
        <w:ind w:right="-1"/>
        <w:jc w:val="center"/>
        <w:rPr>
          <w:rFonts w:eastAsia="Times New Roman" w:cstheme="minorHAnsi"/>
          <w:b/>
        </w:rPr>
      </w:pPr>
      <w:r w:rsidRPr="00CC38E3">
        <w:rPr>
          <w:rFonts w:eastAsia="Times New Roman" w:cstheme="minorHAnsi"/>
          <w:b/>
        </w:rPr>
        <w:t>Europos Žmogaus Teisių Teismo 2021 m. liepos 22 d. sprendimas byloje</w:t>
      </w:r>
    </w:p>
    <w:p w14:paraId="3426CB7D" w14:textId="77777777" w:rsidR="003578B6" w:rsidRPr="00CC38E3" w:rsidRDefault="003578B6" w:rsidP="005C5A0E">
      <w:pPr>
        <w:keepNext/>
        <w:keepLines/>
        <w:spacing w:after="0" w:line="240" w:lineRule="auto"/>
        <w:ind w:firstLine="720"/>
        <w:jc w:val="center"/>
        <w:outlineLvl w:val="1"/>
        <w:rPr>
          <w:rFonts w:eastAsia="Times New Roman" w:cstheme="minorHAnsi"/>
          <w:b/>
          <w:bCs/>
          <w:i/>
          <w:iCs/>
          <w:color w:val="2E74B5"/>
        </w:rPr>
      </w:pPr>
      <w:bookmarkStart w:id="1" w:name="_Toc104379809"/>
      <w:r w:rsidRPr="00CC38E3">
        <w:rPr>
          <w:rFonts w:eastAsia="Times New Roman" w:cstheme="minorHAnsi"/>
          <w:b/>
          <w:bCs/>
          <w:i/>
          <w:iCs/>
          <w:color w:val="2E74B5"/>
        </w:rPr>
        <w:t>E. H. prieš Prancūziją</w:t>
      </w:r>
      <w:bookmarkEnd w:id="1"/>
    </w:p>
    <w:p w14:paraId="4F594BA2" w14:textId="77777777" w:rsidR="003578B6" w:rsidRPr="00CC38E3" w:rsidRDefault="003578B6" w:rsidP="005C5A0E">
      <w:pPr>
        <w:pBdr>
          <w:top w:val="nil"/>
          <w:left w:val="nil"/>
          <w:bottom w:val="nil"/>
          <w:right w:val="nil"/>
          <w:between w:val="nil"/>
        </w:pBdr>
        <w:tabs>
          <w:tab w:val="left" w:pos="851"/>
        </w:tabs>
        <w:spacing w:after="0" w:line="240" w:lineRule="auto"/>
        <w:ind w:right="-1"/>
        <w:jc w:val="center"/>
        <w:rPr>
          <w:rFonts w:eastAsia="Times New Roman" w:cstheme="minorHAnsi"/>
          <w:b/>
        </w:rPr>
      </w:pPr>
      <w:r w:rsidRPr="00CC38E3">
        <w:rPr>
          <w:rFonts w:eastAsia="Times New Roman" w:cstheme="minorHAnsi"/>
          <w:b/>
        </w:rPr>
        <w:t>(pareiškimo Nr. 39126/18, svarbos lygis – 2)</w:t>
      </w:r>
    </w:p>
    <w:p w14:paraId="2FB75BCC" w14:textId="77777777" w:rsidR="003578B6" w:rsidRPr="00CC38E3" w:rsidRDefault="003578B6" w:rsidP="005C5A0E">
      <w:pPr>
        <w:pBdr>
          <w:top w:val="nil"/>
          <w:left w:val="nil"/>
          <w:bottom w:val="nil"/>
          <w:right w:val="nil"/>
          <w:between w:val="nil"/>
        </w:pBdr>
        <w:tabs>
          <w:tab w:val="left" w:pos="851"/>
        </w:tabs>
        <w:spacing w:after="0" w:line="240" w:lineRule="auto"/>
        <w:ind w:right="-1"/>
        <w:rPr>
          <w:rFonts w:eastAsia="Times New Roman" w:cstheme="minorHAnsi"/>
          <w:color w:val="000000"/>
        </w:rPr>
      </w:pPr>
    </w:p>
    <w:p w14:paraId="284961B3" w14:textId="77777777" w:rsidR="003578B6" w:rsidRPr="00CC38E3" w:rsidRDefault="003578B6" w:rsidP="00831905">
      <w:pPr>
        <w:keepNext/>
        <w:keepLines/>
        <w:spacing w:before="40" w:after="0" w:line="240" w:lineRule="auto"/>
        <w:ind w:firstLine="567"/>
        <w:outlineLvl w:val="2"/>
        <w:rPr>
          <w:rFonts w:eastAsia="Times New Roman" w:cstheme="minorHAnsi"/>
          <w:i/>
        </w:rPr>
      </w:pPr>
      <w:bookmarkStart w:id="2" w:name="_Toc104379810"/>
      <w:r w:rsidRPr="00CC38E3">
        <w:rPr>
          <w:rFonts w:eastAsia="Times New Roman" w:cstheme="minorHAnsi"/>
          <w:i/>
        </w:rPr>
        <w:t>Dėl rizikos grupei priklausančio asmens sugrąžinimo į kilmės šalį tik individuliai įvertinus, ar jam kyla pavojus</w:t>
      </w:r>
      <w:bookmarkEnd w:id="2"/>
    </w:p>
    <w:p w14:paraId="2235D989" w14:textId="77777777" w:rsidR="003578B6" w:rsidRPr="00CC38E3" w:rsidRDefault="003578B6" w:rsidP="005C5A0E">
      <w:pPr>
        <w:pBdr>
          <w:top w:val="nil"/>
          <w:left w:val="nil"/>
          <w:bottom w:val="nil"/>
          <w:right w:val="nil"/>
          <w:between w:val="nil"/>
        </w:pBdr>
        <w:tabs>
          <w:tab w:val="left" w:pos="851"/>
        </w:tabs>
        <w:spacing w:after="0" w:line="240" w:lineRule="auto"/>
        <w:ind w:right="-1" w:firstLine="567"/>
        <w:rPr>
          <w:rFonts w:eastAsia="Times New Roman" w:cstheme="minorHAnsi"/>
          <w:color w:val="000000"/>
        </w:rPr>
      </w:pPr>
    </w:p>
    <w:p w14:paraId="06E71784" w14:textId="77777777" w:rsidR="003578B6" w:rsidRPr="00CC38E3" w:rsidRDefault="003578B6" w:rsidP="005C5A0E">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CC38E3">
        <w:rPr>
          <w:rFonts w:eastAsia="Times New Roman" w:cstheme="minorHAnsi"/>
          <w:b/>
          <w:bCs/>
          <w:color w:val="000000"/>
        </w:rPr>
        <w:t>Faktinės aplinkybės</w:t>
      </w:r>
    </w:p>
    <w:p w14:paraId="6A7DE603" w14:textId="77777777" w:rsidR="003578B6" w:rsidRPr="00CC38E3" w:rsidRDefault="003578B6" w:rsidP="005C5A0E">
      <w:pPr>
        <w:pBdr>
          <w:top w:val="nil"/>
          <w:left w:val="nil"/>
          <w:bottom w:val="nil"/>
          <w:right w:val="nil"/>
          <w:between w:val="nil"/>
        </w:pBdr>
        <w:tabs>
          <w:tab w:val="left" w:pos="851"/>
        </w:tabs>
        <w:spacing w:after="0" w:line="240" w:lineRule="auto"/>
        <w:ind w:right="-1" w:firstLine="567"/>
        <w:rPr>
          <w:rFonts w:eastAsia="Times New Roman" w:cstheme="minorHAnsi"/>
          <w:color w:val="000000"/>
        </w:rPr>
      </w:pPr>
    </w:p>
    <w:p w14:paraId="7AEDF0BB" w14:textId="77777777" w:rsidR="003578B6" w:rsidRPr="00CC38E3" w:rsidRDefault="003578B6" w:rsidP="005C5A0E">
      <w:pPr>
        <w:spacing w:after="0" w:line="240" w:lineRule="auto"/>
        <w:ind w:firstLine="567"/>
        <w:jc w:val="both"/>
        <w:rPr>
          <w:rFonts w:eastAsia="Times New Roman" w:cstheme="minorHAnsi"/>
          <w:color w:val="000000"/>
        </w:rPr>
      </w:pPr>
      <w:r w:rsidRPr="00CC38E3">
        <w:rPr>
          <w:rFonts w:eastAsia="Times New Roman" w:cstheme="minorHAnsi"/>
          <w:color w:val="000000"/>
        </w:rPr>
        <w:t>Pareiškėjas – sahravių kilmės Maroko pilietis – nurodė esąs Vakarų Sacharos nepriklausomybės aktyvistas, keletą kartų areštuotas bei kankintas Maroko policijos. Sužinojęs, jog valdžios institucijos jam grasina, nusprendė palikti Maroką. Gavęs pasą ir „studento“ vizą Ukrainos konsulate, galiausiai nusileido oro uoste Prancūzijoje, kur jam, kaip neturinčiam Šengeno vizos ar leidimo gyventi, neleista patekti į Prancūziją. Nepaisant siekio čia gauti prieglobstį, nacionalinės institucijos atmetė pareiškėjo prašymus ir skundus, o po kurio laiko jis galiausiai buvo parsiųstas atgal į Maroką.</w:t>
      </w:r>
    </w:p>
    <w:p w14:paraId="15392880" w14:textId="77777777" w:rsidR="003578B6" w:rsidRPr="00CC38E3" w:rsidRDefault="003578B6" w:rsidP="005C5A0E">
      <w:pPr>
        <w:spacing w:after="0" w:line="240" w:lineRule="auto"/>
        <w:ind w:right="-1" w:firstLine="567"/>
        <w:jc w:val="both"/>
        <w:rPr>
          <w:rFonts w:eastAsia="Times New Roman" w:cstheme="minorHAnsi"/>
          <w:color w:val="000000"/>
        </w:rPr>
      </w:pPr>
      <w:r w:rsidRPr="00CC38E3">
        <w:rPr>
          <w:rFonts w:eastAsia="Times New Roman" w:cstheme="minorHAnsi"/>
          <w:color w:val="000000"/>
        </w:rPr>
        <w:t>Pareiškėjas, remdamasis Konvencijos 3 ir 13 straipsniais, kreipėsi į Teismą nurodęs, kad jo išsiuntimas atgal ne tik sukėlė riziką, jog valdžios institucijų elgesys jo atžvilgiu pasikartos, bet tas elgesys realiai pasikartojo jam sugrįžus. Be to, jam nebuvo sudarytos sąlygos efektyviai skųsti dėl jo priimtus sprendimus.</w:t>
      </w:r>
    </w:p>
    <w:p w14:paraId="4CD38600" w14:textId="77777777" w:rsidR="003578B6" w:rsidRPr="00CC38E3" w:rsidRDefault="003578B6" w:rsidP="005C5A0E">
      <w:pPr>
        <w:spacing w:after="0" w:line="240" w:lineRule="auto"/>
        <w:ind w:right="-1" w:firstLine="567"/>
        <w:rPr>
          <w:rFonts w:eastAsia="Calibri" w:cstheme="minorHAnsi"/>
        </w:rPr>
      </w:pPr>
    </w:p>
    <w:p w14:paraId="69C87D1F" w14:textId="77777777" w:rsidR="003578B6" w:rsidRPr="00CC38E3" w:rsidRDefault="003578B6"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Neoficiali Teismo sprendimo apžvalga</w:t>
      </w:r>
    </w:p>
    <w:p w14:paraId="4B750745" w14:textId="77777777" w:rsidR="003578B6" w:rsidRPr="00CC38E3" w:rsidRDefault="003578B6" w:rsidP="005C5A0E">
      <w:pPr>
        <w:spacing w:after="0" w:line="240" w:lineRule="auto"/>
        <w:ind w:right="-1" w:firstLine="567"/>
        <w:rPr>
          <w:rFonts w:eastAsia="Calibri" w:cstheme="minorHAnsi"/>
        </w:rPr>
      </w:pPr>
    </w:p>
    <w:p w14:paraId="63A4C951" w14:textId="332BCFAE" w:rsidR="003578B6" w:rsidRPr="00CC38E3" w:rsidRDefault="003578B6" w:rsidP="005C5A0E">
      <w:pPr>
        <w:spacing w:after="0" w:line="240" w:lineRule="auto"/>
        <w:ind w:firstLine="567"/>
        <w:jc w:val="both"/>
        <w:rPr>
          <w:rFonts w:eastAsia="Calibri" w:cstheme="minorHAnsi"/>
        </w:rPr>
      </w:pPr>
      <w:r w:rsidRPr="00CC38E3">
        <w:rPr>
          <w:rFonts w:eastAsia="Calibri" w:cstheme="minorHAnsi"/>
        </w:rPr>
        <w:t xml:space="preserve">Teismas atkreipė dėmesį, kad tai pirmasis su grąžinimu į Maroką susijęs atvejis, kai pareiškėjas teigė esąs pavojuje dėl etninės (sahravių) kilmės ir aktyvių Vakarų Sacharos nepriklausomybės palaikymo veiksmų. Sahravių kilmės marokiečiai aktyvistai gali </w:t>
      </w:r>
      <w:r w:rsidR="004076D8">
        <w:rPr>
          <w:rFonts w:eastAsia="Calibri" w:cstheme="minorHAnsi"/>
        </w:rPr>
        <w:t>priskiriami ypatingos rizikos grupėms</w:t>
      </w:r>
      <w:r w:rsidRPr="00CC38E3">
        <w:rPr>
          <w:rFonts w:eastAsia="Calibri" w:cstheme="minorHAnsi"/>
        </w:rPr>
        <w:t>, tad ir sprendimas pareiškėją parsiųsti į Maroką turėjo būti pagrįstas jo individualia situacija, atsižvelgiant į potencialų valdžios pareigūnų dėmesį. Konvencijos 3 straipsnio apsauga būtų taikoma tik tuomet, jei pareiškėjas galėtų nurodyti pakankamai svarias priežastis, kodėl, jo manymu, grįžimas į Maroką būtent jam asmeniškai keltų pavojų patirti šiuo straipsniu draudžiamą elgesį. Teismo vertinimu, pareiškėjas nei Prancūzijos valdžios organams, nei Teismui nepateikė įtikinamų, neprieštaringų duomenų apie jam gresiantį pavojų sugrįžus į Maroką, todėl Konvencijos 3 straipsnis nebuvo pažeistas.</w:t>
      </w:r>
    </w:p>
    <w:p w14:paraId="43CC0DCE" w14:textId="7E9D4AE4" w:rsidR="003578B6" w:rsidRPr="00CC38E3" w:rsidRDefault="003578B6" w:rsidP="005C5A0E">
      <w:pPr>
        <w:spacing w:after="0" w:line="240" w:lineRule="auto"/>
        <w:ind w:firstLine="567"/>
        <w:jc w:val="both"/>
        <w:rPr>
          <w:rFonts w:eastAsia="Calibri" w:cstheme="minorHAnsi"/>
        </w:rPr>
      </w:pPr>
      <w:r w:rsidRPr="00CC38E3">
        <w:rPr>
          <w:rFonts w:eastAsia="Calibri" w:cstheme="minorHAnsi"/>
        </w:rPr>
        <w:t>Nors Teismas nenuvertino galimų sunkumų, su kuriais susiduria laukimo zonoje laikomi prieglobsčio prašantys svetimšaliai, pažymėta, kad net pareiškėjui ir iškart negavus teisinės pagalbos, teisininkas dalyvavo administraciniame teisme vykusiame procese, kur pareiškėjas turėjo galimybę pristatyti visas jo sugrįžus į Maroką lauksiančias rizikas ir pateikti įrodymus</w:t>
      </w:r>
      <w:r w:rsidR="00C756CD">
        <w:rPr>
          <w:rFonts w:eastAsia="Calibri" w:cstheme="minorHAnsi"/>
        </w:rPr>
        <w:t>, pagrindžiančius jo argumentus</w:t>
      </w:r>
      <w:r w:rsidRPr="00CC38E3">
        <w:rPr>
          <w:rFonts w:eastAsia="Calibri" w:cstheme="minorHAnsi"/>
        </w:rPr>
        <w:t>.</w:t>
      </w:r>
    </w:p>
    <w:p w14:paraId="063A6876" w14:textId="77777777" w:rsidR="003578B6" w:rsidRPr="00CC38E3" w:rsidRDefault="003578B6" w:rsidP="005C5A0E">
      <w:pPr>
        <w:spacing w:after="0" w:line="240" w:lineRule="auto"/>
        <w:ind w:firstLine="567"/>
        <w:jc w:val="both"/>
        <w:rPr>
          <w:rFonts w:eastAsia="Calibri" w:cstheme="minorHAnsi"/>
        </w:rPr>
      </w:pPr>
      <w:r w:rsidRPr="00CC38E3">
        <w:rPr>
          <w:rFonts w:eastAsia="Calibri" w:cstheme="minorHAnsi"/>
        </w:rPr>
        <w:t>Teismas pabrėžė, kad svetimšalių laikymas tarptautinėje zonoje varžo tokių asmenų laisvę ir todėl neturėtų būti perdėtai pratęsiamas, o gynybos priemonių prieinamumas tokiose zonose turėtų pasižymėti punktualumu. Kol pareiškėjo prašymą panaikinti sprendimą, kuriuo jis turėjo būti išsiųstas iš Prancūzijos teritorijos, nagrinėjo administracinis teismas, sprendimas buvo sustabdytas ir nurodymas išsiųsti pareiškėją iš šalies galėjo būti įgyvendintas tik tuo atveju, jei prašymas teismo bus atmestas. Nors 48 valandų laiko tarpas pateikti tokį prašymą ir buvo trumpas, pareiškėjas jo parengimui naudojosi teisine pagalba ir turėjo galimybę – kuria pasinaudojo – tikslinti savo prašymą iki pat posėdžio teisme pabaigos. Pareiškėjas taip pat teikė įvairius dokumentus ir Teismui nepateikė nieko, ko nebūtų jau teikęs administracinės teisenos metu. Galiausiai, pareiškėjas dar kartą buvo išklausytas asmeniškai, o posėdžio metu jam padėjo vertėjas bei teisininkas.</w:t>
      </w:r>
    </w:p>
    <w:p w14:paraId="14E2A628" w14:textId="6BDCF0C8" w:rsidR="003578B6" w:rsidRPr="00CC38E3" w:rsidRDefault="003578B6" w:rsidP="005C5A0E">
      <w:pPr>
        <w:spacing w:after="0" w:line="240" w:lineRule="auto"/>
        <w:ind w:firstLine="567"/>
        <w:jc w:val="both"/>
        <w:rPr>
          <w:rFonts w:eastAsia="Calibri" w:cstheme="minorHAnsi"/>
        </w:rPr>
      </w:pPr>
      <w:r w:rsidRPr="00CC38E3">
        <w:rPr>
          <w:rFonts w:eastAsia="Calibri" w:cstheme="minorHAnsi"/>
        </w:rPr>
        <w:t xml:space="preserve">Po to, kai pareiškėjas buvo išsiųstas iš šalies, Nacionalinis prieglobsčio teismas nenustatė jokių pareiškėjui kylančių rizikų ir jo skundo netenkino. Nors belieka apgailestauti, jog šis teismas manė privaląs </w:t>
      </w:r>
      <w:r w:rsidR="001306E9">
        <w:rPr>
          <w:rFonts w:eastAsia="Calibri" w:cstheme="minorHAnsi"/>
        </w:rPr>
        <w:t>daryti</w:t>
      </w:r>
      <w:r w:rsidR="001306E9" w:rsidRPr="00CC38E3">
        <w:rPr>
          <w:rFonts w:eastAsia="Calibri" w:cstheme="minorHAnsi"/>
        </w:rPr>
        <w:t xml:space="preserve"> </w:t>
      </w:r>
      <w:r w:rsidRPr="00CC38E3">
        <w:rPr>
          <w:rFonts w:eastAsia="Calibri" w:cstheme="minorHAnsi"/>
        </w:rPr>
        <w:t xml:space="preserve">tam tikras išvadas </w:t>
      </w:r>
      <w:r w:rsidR="004076D8">
        <w:rPr>
          <w:rFonts w:eastAsia="Calibri" w:cstheme="minorHAnsi"/>
        </w:rPr>
        <w:t>dėl</w:t>
      </w:r>
      <w:r w:rsidR="004076D8" w:rsidRPr="00CC38E3">
        <w:rPr>
          <w:rFonts w:eastAsia="Calibri" w:cstheme="minorHAnsi"/>
        </w:rPr>
        <w:t xml:space="preserve"> </w:t>
      </w:r>
      <w:r w:rsidR="001306E9">
        <w:rPr>
          <w:rFonts w:eastAsia="Calibri" w:cstheme="minorHAnsi"/>
        </w:rPr>
        <w:t xml:space="preserve">to </w:t>
      </w:r>
      <w:r w:rsidRPr="00CC38E3">
        <w:rPr>
          <w:rFonts w:eastAsia="Calibri" w:cstheme="minorHAnsi"/>
        </w:rPr>
        <w:t xml:space="preserve">fakto, </w:t>
      </w:r>
      <w:r w:rsidR="005C2516">
        <w:rPr>
          <w:rFonts w:eastAsia="Calibri" w:cstheme="minorHAnsi"/>
        </w:rPr>
        <w:t>kad</w:t>
      </w:r>
      <w:r w:rsidR="005C2516" w:rsidRPr="00CC38E3">
        <w:rPr>
          <w:rFonts w:eastAsia="Calibri" w:cstheme="minorHAnsi"/>
        </w:rPr>
        <w:t xml:space="preserve"> </w:t>
      </w:r>
      <w:r w:rsidRPr="00CC38E3">
        <w:rPr>
          <w:rFonts w:eastAsia="Calibri" w:cstheme="minorHAnsi"/>
        </w:rPr>
        <w:t xml:space="preserve">pareiškėjas nedalyvavo posėdyje, tai nekeičia to, jog pareiškėjas nepateikė jokios naujos informacijos dėl jam neva kylančios rizikos nei Prancūzijoje, nei Teisme vykusio proceso metu. Galiausiai vien tai, jog pareiškėjo panaudota gynybos priemonė Nacionaliniame prieglobsčio teisme nestabdė skundžiamo sprendimo, visų kitų aplinkybių (o ypač visų pareiškėjui taikytų saugiklių prieš išsiunčiant jį atgal į Maroką) kontekste nepažeidė jo teisės į efektyvią gynybą. Pareiškėjui 4 kartus suteiktų progų </w:t>
      </w:r>
      <w:r w:rsidRPr="00CC38E3">
        <w:rPr>
          <w:rFonts w:eastAsia="Calibri" w:cstheme="minorHAnsi"/>
        </w:rPr>
        <w:lastRenderedPageBreak/>
        <w:t>pasinaudoti gynybos priemonėmis, kurios stabdė sprendimą grąžinti jį į Maroką, efektyvumą padėjo užtikrinti vertėjo dalyvavimas, patvirtintos asociacijos palaikymas bei teisininkas.</w:t>
      </w:r>
    </w:p>
    <w:p w14:paraId="48E92A03" w14:textId="77777777" w:rsidR="00721DA9" w:rsidRPr="00CC38E3" w:rsidRDefault="00721DA9" w:rsidP="005C5A0E">
      <w:pPr>
        <w:spacing w:after="0" w:line="240" w:lineRule="auto"/>
        <w:ind w:firstLine="567"/>
        <w:jc w:val="both"/>
        <w:rPr>
          <w:rFonts w:eastAsia="Times New Roman" w:cstheme="minorHAnsi"/>
          <w:color w:val="000000"/>
        </w:rPr>
      </w:pPr>
    </w:p>
    <w:p w14:paraId="560D130A" w14:textId="77777777" w:rsidR="003578B6" w:rsidRPr="00CC38E3" w:rsidRDefault="003578B6" w:rsidP="005C5A0E">
      <w:pPr>
        <w:spacing w:after="0" w:line="240" w:lineRule="auto"/>
        <w:ind w:firstLine="567"/>
        <w:rPr>
          <w:rFonts w:eastAsia="Calibri" w:cstheme="minorHAnsi"/>
        </w:rPr>
      </w:pPr>
      <w:r w:rsidRPr="00CC38E3">
        <w:rPr>
          <w:rFonts w:eastAsia="Calibri" w:cstheme="minorHAnsi"/>
        </w:rPr>
        <w:t>Išvada: Konvencijos 3 ir 13 straipsnių pažeidimas nenustatytas (vienbalsiai).</w:t>
      </w:r>
    </w:p>
    <w:p w14:paraId="4EA03D8D" w14:textId="77777777" w:rsidR="003578B6" w:rsidRPr="00CC38E3" w:rsidRDefault="00A1313E" w:rsidP="005C5A0E">
      <w:pPr>
        <w:spacing w:after="0" w:line="240" w:lineRule="auto"/>
        <w:ind w:firstLine="567"/>
        <w:rPr>
          <w:rFonts w:eastAsia="Calibri" w:cstheme="minorHAnsi"/>
          <w:color w:val="0000FF"/>
          <w:u w:val="single"/>
        </w:rPr>
      </w:pPr>
      <w:hyperlink r:id="rId10" w:history="1">
        <w:r w:rsidR="003578B6" w:rsidRPr="00CC38E3">
          <w:rPr>
            <w:rFonts w:eastAsia="Calibri" w:cstheme="minorHAnsi"/>
            <w:color w:val="0000FF"/>
            <w:u w:val="single"/>
          </w:rPr>
          <w:t>Prieiga internete</w:t>
        </w:r>
      </w:hyperlink>
    </w:p>
    <w:p w14:paraId="3B40AE31" w14:textId="60B70013" w:rsidR="00253D5B" w:rsidRPr="00CC38E3" w:rsidRDefault="00C54B35" w:rsidP="005C5A0E">
      <w:pPr>
        <w:pStyle w:val="Antrat1"/>
        <w:rPr>
          <w:rFonts w:cstheme="minorHAnsi"/>
          <w:szCs w:val="22"/>
        </w:rPr>
      </w:pPr>
      <w:bookmarkStart w:id="3" w:name="_Toc104379811"/>
      <w:r w:rsidRPr="00CC38E3">
        <w:rPr>
          <w:rFonts w:cstheme="minorHAnsi"/>
          <w:szCs w:val="22"/>
        </w:rPr>
        <w:t xml:space="preserve">TEISĖ Į TEISINGĄ BYLOS NAGRINĖJIMĄ (6 </w:t>
      </w:r>
      <w:r w:rsidR="00A93147" w:rsidRPr="00CC38E3">
        <w:rPr>
          <w:rFonts w:cstheme="minorHAnsi"/>
          <w:szCs w:val="22"/>
        </w:rPr>
        <w:t>straipsnis</w:t>
      </w:r>
      <w:r w:rsidRPr="00CC38E3">
        <w:rPr>
          <w:rFonts w:cstheme="minorHAnsi"/>
          <w:szCs w:val="22"/>
        </w:rPr>
        <w:t>)</w:t>
      </w:r>
      <w:bookmarkEnd w:id="3"/>
    </w:p>
    <w:p w14:paraId="0CD34036" w14:textId="77777777" w:rsidR="00721DA9" w:rsidRPr="00CC38E3" w:rsidRDefault="00721DA9" w:rsidP="005C5A0E">
      <w:pPr>
        <w:spacing w:after="0" w:line="240" w:lineRule="auto"/>
        <w:ind w:firstLine="567"/>
        <w:jc w:val="center"/>
        <w:rPr>
          <w:rFonts w:cstheme="minorHAnsi"/>
          <w:b/>
        </w:rPr>
      </w:pPr>
    </w:p>
    <w:p w14:paraId="6A5C177D" w14:textId="00BDCFA3" w:rsidR="00253D5B" w:rsidRPr="00CC38E3" w:rsidRDefault="00253D5B" w:rsidP="005C5A0E">
      <w:pPr>
        <w:spacing w:after="0" w:line="240" w:lineRule="auto"/>
        <w:ind w:firstLine="567"/>
        <w:jc w:val="center"/>
        <w:rPr>
          <w:rFonts w:cstheme="minorHAnsi"/>
          <w:b/>
        </w:rPr>
      </w:pPr>
      <w:r w:rsidRPr="00CC38E3">
        <w:rPr>
          <w:rFonts w:cstheme="minorHAnsi"/>
          <w:b/>
        </w:rPr>
        <w:t xml:space="preserve">Europos Žmogaus Teisių Teismo 2021 m. lapkričio 23 d. sprendimas byloje </w:t>
      </w:r>
    </w:p>
    <w:p w14:paraId="69FDFB7C" w14:textId="77777777" w:rsidR="00253D5B" w:rsidRPr="00CC38E3" w:rsidRDefault="00253D5B" w:rsidP="005C5A0E">
      <w:pPr>
        <w:keepNext/>
        <w:keepLines/>
        <w:spacing w:after="0" w:line="240" w:lineRule="auto"/>
        <w:ind w:firstLine="720"/>
        <w:jc w:val="center"/>
        <w:outlineLvl w:val="1"/>
        <w:rPr>
          <w:rFonts w:eastAsia="Times New Roman" w:cstheme="minorHAnsi"/>
          <w:b/>
          <w:bCs/>
          <w:i/>
          <w:iCs/>
          <w:color w:val="2E74B5"/>
        </w:rPr>
      </w:pPr>
      <w:bookmarkStart w:id="4" w:name="_Toc104379812"/>
      <w:r w:rsidRPr="00CC38E3">
        <w:rPr>
          <w:rFonts w:eastAsia="Times New Roman" w:cstheme="minorHAnsi"/>
          <w:b/>
          <w:bCs/>
          <w:i/>
          <w:iCs/>
          <w:color w:val="2E74B5"/>
        </w:rPr>
        <w:t>Tarvydas prieš Lietuvą</w:t>
      </w:r>
      <w:bookmarkEnd w:id="4"/>
    </w:p>
    <w:p w14:paraId="4FA5C586" w14:textId="77777777" w:rsidR="00253D5B" w:rsidRPr="00CC38E3" w:rsidRDefault="00253D5B" w:rsidP="005C5A0E">
      <w:pPr>
        <w:spacing w:after="0" w:line="240" w:lineRule="auto"/>
        <w:ind w:firstLine="567"/>
        <w:jc w:val="center"/>
        <w:rPr>
          <w:rFonts w:cstheme="minorHAnsi"/>
          <w:b/>
        </w:rPr>
      </w:pPr>
      <w:r w:rsidRPr="00CC38E3">
        <w:rPr>
          <w:rFonts w:cstheme="minorHAnsi"/>
          <w:b/>
        </w:rPr>
        <w:t xml:space="preserve">(pareiškimo Nr. </w:t>
      </w:r>
      <w:r w:rsidRPr="00CC38E3">
        <w:rPr>
          <w:rFonts w:cstheme="minorHAnsi"/>
          <w:b/>
          <w:bCs/>
        </w:rPr>
        <w:t>36098/19, svarbos lygis – 3</w:t>
      </w:r>
      <w:r w:rsidRPr="00CC38E3">
        <w:rPr>
          <w:rFonts w:cstheme="minorHAnsi"/>
          <w:b/>
        </w:rPr>
        <w:t>)</w:t>
      </w:r>
    </w:p>
    <w:p w14:paraId="25977ABA" w14:textId="77777777" w:rsidR="00253D5B" w:rsidRPr="00CC38E3" w:rsidRDefault="00253D5B" w:rsidP="005C5A0E">
      <w:pPr>
        <w:pStyle w:val="s6c429373"/>
        <w:spacing w:before="0" w:beforeAutospacing="0" w:after="0" w:afterAutospacing="0"/>
        <w:ind w:firstLine="567"/>
        <w:jc w:val="both"/>
        <w:rPr>
          <w:rStyle w:val="sfbbfee58"/>
          <w:rFonts w:asciiTheme="minorHAnsi" w:hAnsiTheme="minorHAnsi" w:cstheme="minorHAnsi"/>
          <w:i/>
          <w:sz w:val="22"/>
          <w:szCs w:val="22"/>
        </w:rPr>
      </w:pPr>
    </w:p>
    <w:p w14:paraId="3F4BEB44" w14:textId="1BFE9166" w:rsidR="00253D5B" w:rsidRPr="00CC38E3" w:rsidRDefault="00253D5B" w:rsidP="005C5A0E">
      <w:pPr>
        <w:keepNext/>
        <w:keepLines/>
        <w:spacing w:before="40" w:after="0" w:line="240" w:lineRule="auto"/>
        <w:ind w:firstLine="567"/>
        <w:outlineLvl w:val="2"/>
        <w:rPr>
          <w:rFonts w:eastAsia="Times New Roman" w:cstheme="minorHAnsi"/>
          <w:i/>
        </w:rPr>
      </w:pPr>
      <w:bookmarkStart w:id="5" w:name="_Toc104379813"/>
      <w:r w:rsidRPr="00CC38E3">
        <w:rPr>
          <w:rFonts w:eastAsia="Times New Roman" w:cstheme="minorHAnsi"/>
          <w:i/>
        </w:rPr>
        <w:t>Dėl teismo pareigos tinkamai išnagrinėti pagrindinius šalių pateiktus argumentus</w:t>
      </w:r>
      <w:bookmarkEnd w:id="5"/>
    </w:p>
    <w:p w14:paraId="5E8D644C" w14:textId="77777777" w:rsidR="00253D5B" w:rsidRPr="00CC38E3" w:rsidRDefault="00253D5B" w:rsidP="005C5A0E">
      <w:pPr>
        <w:spacing w:after="0" w:line="240" w:lineRule="auto"/>
        <w:ind w:firstLine="567"/>
        <w:rPr>
          <w:rFonts w:cstheme="minorHAnsi"/>
        </w:rPr>
      </w:pPr>
    </w:p>
    <w:p w14:paraId="714D9438" w14:textId="77777777" w:rsidR="00253D5B" w:rsidRPr="00CC38E3" w:rsidRDefault="00253D5B" w:rsidP="005C5A0E">
      <w:pPr>
        <w:spacing w:after="0" w:line="240" w:lineRule="auto"/>
        <w:jc w:val="center"/>
        <w:rPr>
          <w:rFonts w:cstheme="minorHAnsi"/>
          <w:b/>
        </w:rPr>
      </w:pPr>
      <w:r w:rsidRPr="00CC38E3">
        <w:rPr>
          <w:rFonts w:cstheme="minorHAnsi"/>
          <w:b/>
        </w:rPr>
        <w:t>Faktinės aplinkybės</w:t>
      </w:r>
    </w:p>
    <w:p w14:paraId="483C15AA" w14:textId="77777777" w:rsidR="00253D5B" w:rsidRPr="00CC38E3" w:rsidRDefault="00253D5B" w:rsidP="005C5A0E">
      <w:pPr>
        <w:spacing w:after="0" w:line="240" w:lineRule="auto"/>
        <w:ind w:left="113" w:firstLine="567"/>
        <w:jc w:val="both"/>
        <w:rPr>
          <w:rFonts w:cstheme="minorHAnsi"/>
        </w:rPr>
      </w:pPr>
      <w:r w:rsidRPr="00CC38E3">
        <w:rPr>
          <w:rFonts w:cstheme="minorHAnsi"/>
          <w:b/>
        </w:rPr>
        <w:t xml:space="preserve"> </w:t>
      </w:r>
    </w:p>
    <w:p w14:paraId="4417F532" w14:textId="20B98AB2" w:rsidR="00253D5B" w:rsidRPr="00CC38E3" w:rsidRDefault="00253D5B" w:rsidP="005C5A0E">
      <w:pPr>
        <w:spacing w:after="0" w:line="240" w:lineRule="auto"/>
        <w:ind w:firstLine="567"/>
        <w:jc w:val="both"/>
        <w:rPr>
          <w:rFonts w:cstheme="minorHAnsi"/>
        </w:rPr>
      </w:pPr>
      <w:r w:rsidRPr="00CC38E3">
        <w:rPr>
          <w:rFonts w:cstheme="minorHAnsi"/>
        </w:rPr>
        <w:t>Pareiškėjo motina nuosavybės teise valdė žemės sklypą Kretingos rajone, kuriame stovėjo medinis namas ir dar trys mediniai pastatai – saugomi kultūros paveldo objektai. 2009 m. valdžios institucijos patikrino pastatus ir namo būklę įvertino kaip blogą / avarinę. 2011 m. pareiškėjas tapo žemės ir pastatų savininku.</w:t>
      </w:r>
    </w:p>
    <w:p w14:paraId="66266238" w14:textId="77777777" w:rsidR="00253D5B" w:rsidRPr="00CC38E3" w:rsidRDefault="00253D5B" w:rsidP="005C5A0E">
      <w:pPr>
        <w:tabs>
          <w:tab w:val="left" w:pos="142"/>
        </w:tabs>
        <w:spacing w:after="0" w:line="240" w:lineRule="auto"/>
        <w:ind w:firstLine="567"/>
        <w:jc w:val="both"/>
        <w:rPr>
          <w:rFonts w:cstheme="minorHAnsi"/>
        </w:rPr>
      </w:pPr>
      <w:r w:rsidRPr="00CC38E3">
        <w:rPr>
          <w:rFonts w:cstheme="minorHAnsi"/>
        </w:rPr>
        <w:t>2016 m. kovo mėn. valdžios institucijos patikrino pastatus ir nustatė, kad medinis namas iš dalies nugriautas, o jo vietoje statomas naujas mūrinis namas. Pareiškėjas paaiškino, kad jo motina anksčiau gyveno avarinės būklės mediniame name ir kad jis pradėjo statyti naują namą, norėdamas pagerinti jos gyvenimo sąlygas. Jis teigė nežinojęs, kad namas yra saugomas paveldo objektas.</w:t>
      </w:r>
    </w:p>
    <w:p w14:paraId="6992DD20" w14:textId="77777777" w:rsidR="00253D5B" w:rsidRPr="00CC38E3" w:rsidRDefault="00253D5B" w:rsidP="005C5A0E">
      <w:pPr>
        <w:spacing w:after="0" w:line="240" w:lineRule="auto"/>
        <w:ind w:firstLine="567"/>
        <w:jc w:val="both"/>
        <w:rPr>
          <w:rFonts w:cstheme="minorHAnsi"/>
        </w:rPr>
      </w:pPr>
      <w:r w:rsidRPr="00CC38E3">
        <w:rPr>
          <w:rFonts w:cstheme="minorHAnsi"/>
        </w:rPr>
        <w:t xml:space="preserve">Tais pačiais metais Valstybinė teritorijų planavimo ir statybos inspekcija prie Aplinkos ministerijos (toliau – Inspekcija) nustatė, kad pareiškėjas rekonstravo saugomą pastatą negavęs atitinkamų leidimų. Ji nurodė pareiškėjui per šešis mėnesius atstatyti medinį namą tokios būklės, koks jis buvo iki nugriovimo. </w:t>
      </w:r>
    </w:p>
    <w:p w14:paraId="423A0C36" w14:textId="632D19E9" w:rsidR="00253D5B" w:rsidRPr="00CC38E3" w:rsidRDefault="00253D5B" w:rsidP="005C5A0E">
      <w:pPr>
        <w:spacing w:after="0" w:line="240" w:lineRule="auto"/>
        <w:ind w:firstLine="567"/>
        <w:jc w:val="both"/>
        <w:rPr>
          <w:rFonts w:cstheme="minorHAnsi"/>
        </w:rPr>
      </w:pPr>
      <w:r w:rsidRPr="00CC38E3">
        <w:rPr>
          <w:rFonts w:cstheme="minorHAnsi"/>
        </w:rPr>
        <w:t>Kadangi pareiškėjas šio nurodymo neįvykdė, Inspekcija kreipėsi į apylinkės teism</w:t>
      </w:r>
      <w:r w:rsidR="00C45B51" w:rsidRPr="00CC38E3">
        <w:rPr>
          <w:rFonts w:cstheme="minorHAnsi"/>
        </w:rPr>
        <w:t>ą</w:t>
      </w:r>
      <w:r w:rsidRPr="00CC38E3">
        <w:rPr>
          <w:rFonts w:cstheme="minorHAnsi"/>
        </w:rPr>
        <w:t>. Ji prašė įpareigoti pareiškėją: 1) gauti atitinkamus dokumentus ir retroaktyviai įteisinti savavališką namo rekonstrukciją</w:t>
      </w:r>
      <w:r w:rsidR="00C45B51" w:rsidRPr="00CC38E3">
        <w:rPr>
          <w:rFonts w:cstheme="minorHAnsi"/>
        </w:rPr>
        <w:t>;</w:t>
      </w:r>
      <w:r w:rsidRPr="00CC38E3">
        <w:rPr>
          <w:rFonts w:cstheme="minorHAnsi"/>
        </w:rPr>
        <w:t xml:space="preserve"> arba 2) atstatyti namą tokios būklės, koks jis buvo iki nugriovimo. Šioje byloje dalyvavęs trečiasis asmuo Kultūros paveldo departamentas prie Kultūros ministerijos</w:t>
      </w:r>
      <w:r w:rsidR="001306E9">
        <w:rPr>
          <w:rFonts w:cstheme="minorHAnsi"/>
        </w:rPr>
        <w:t xml:space="preserve"> </w:t>
      </w:r>
      <w:r w:rsidR="001306E9" w:rsidRPr="00CC38E3">
        <w:rPr>
          <w:rFonts w:cstheme="minorHAnsi"/>
        </w:rPr>
        <w:t>(toliau – Kultūros paveldo departamentas)</w:t>
      </w:r>
      <w:r w:rsidRPr="00CC38E3">
        <w:rPr>
          <w:rFonts w:cstheme="minorHAnsi"/>
        </w:rPr>
        <w:t xml:space="preserve"> teigė, kad savavališkos statybos įteisinimas retroaktyviai yra negalimas, todėl vienintelis galimas sprendimas – įpareigoti pareiškėją atstatyti namą. Kultūros paveldo departamentas pateikė teismui atitinkamos srities eksperto atliktą vertinimą. Remiantis šiuo vertinimu, namo atstatymo, t. y. statybinių medžiagų, darbo sąnaudų ir kitų susijusių išlaidų, kaina siektų apie 66 000 Eur.</w:t>
      </w:r>
    </w:p>
    <w:p w14:paraId="47F3498F" w14:textId="3D4DB13E" w:rsidR="00253D5B" w:rsidRPr="00CC38E3" w:rsidRDefault="00253D5B" w:rsidP="005C5A0E">
      <w:pPr>
        <w:spacing w:after="0" w:line="240" w:lineRule="auto"/>
        <w:ind w:firstLine="567"/>
        <w:jc w:val="both"/>
        <w:rPr>
          <w:rFonts w:cstheme="minorHAnsi"/>
        </w:rPr>
      </w:pPr>
      <w:r w:rsidRPr="00CC38E3">
        <w:rPr>
          <w:rFonts w:cstheme="minorHAnsi"/>
        </w:rPr>
        <w:t>Kretingos apylinkės teismas atmetė Inspekcijos ieškinį. Klaipėdos apygardos teismas, išnagrinėjęs apeliacinį skundą, panaikino pirmosios instancijos teismo sprendimo dalį, kuria atsisakyta tenkinti reikalavimą įpareigoti atstatyti nugriautą namą ir šią bylos dalį perdavė šiam teismui nagrinėti iš naujo. Tačiau ir pakartotinai nagrinėdami Inspekcijos ieškinį Plungės apylinkės teismo Kretingos rūmai jį atmetė.</w:t>
      </w:r>
    </w:p>
    <w:p w14:paraId="5B59D9E6" w14:textId="49E347C4" w:rsidR="00253D5B" w:rsidRPr="00CC38E3" w:rsidRDefault="00253D5B" w:rsidP="005C5A0E">
      <w:pPr>
        <w:spacing w:after="0" w:line="240" w:lineRule="auto"/>
        <w:ind w:firstLine="567"/>
        <w:jc w:val="both"/>
        <w:rPr>
          <w:rFonts w:cstheme="minorHAnsi"/>
        </w:rPr>
      </w:pPr>
      <w:r w:rsidRPr="00CC38E3">
        <w:rPr>
          <w:rFonts w:cstheme="minorHAnsi"/>
        </w:rPr>
        <w:t>Inspekcija ir Kultūros paveldo departamentas pateikė apeliacinį skundą. Kaip ir ki</w:t>
      </w:r>
      <w:r w:rsidR="000E5FE6" w:rsidRPr="00CC38E3">
        <w:rPr>
          <w:rFonts w:cstheme="minorHAnsi"/>
        </w:rPr>
        <w:t>t</w:t>
      </w:r>
      <w:r w:rsidRPr="00CC38E3">
        <w:rPr>
          <w:rFonts w:cstheme="minorHAnsi"/>
        </w:rPr>
        <w:t>uose teismams teiktuose atsiliepimuose į ieškinį, pareiškėjas, be kita ko, teigė, kad reikalavimo atstatyti nugriautą namą tokios būklės, koks jis buvo iki nugriovimo, neįmanoma įgyvendinti, nes iki nugriovimo namas buvo avarinės būklės; įrodinėdamas pareiškėjas rėmėsi 2009 m. ir 2018 m. atliktais namo būklės vertinimais. Jis taip pat rėmėsi Lietuvos Aukščiausiojo Teismo nutartimi, kurioje nagrinėjama galimybė atstatyti nugriautą avarinės būklės pastatą. Be to, jis teigė, kad naujo namo statyba neatkurs objekto ankstesnės kultūrinės reikšmės, o jam tai bus neproporcinga našta. Pareiškėjas teigė, kad vietoj to jam turėtų būti nurodyta atlyginti viešajam interesui padarytą žalą sumokant kompensaciją; jis nurodė nacionalinės teisės nuostatas, kuriose, jo nuomone, tokia galimybė numatyta.</w:t>
      </w:r>
    </w:p>
    <w:p w14:paraId="21093C6D" w14:textId="028BEB6A" w:rsidR="00253D5B" w:rsidRPr="00CC38E3" w:rsidRDefault="00253D5B" w:rsidP="005C5A0E">
      <w:pPr>
        <w:spacing w:after="0" w:line="240" w:lineRule="auto"/>
        <w:ind w:firstLine="567"/>
        <w:jc w:val="both"/>
        <w:rPr>
          <w:rFonts w:cstheme="minorHAnsi"/>
        </w:rPr>
      </w:pPr>
      <w:r w:rsidRPr="00CC38E3">
        <w:rPr>
          <w:rFonts w:cstheme="minorHAnsi"/>
        </w:rPr>
        <w:t>Klaipėdos apygardos teismas tenkino apeliacinį skundą – įpareigojo pareiškėją per dvejus metus atstatyti nugriautą namo dalį. Pareiškėjui neįvykdžius įpareigojimo, jam būtų skirta 5 Eur bauda už kiekvieną uždelstą dieną. Lietuvos Aukščiausiais Teismas atsisakė priimti kasacinį skundą dėl tokio apeliacinės instancijos teismo sprendimo.</w:t>
      </w:r>
    </w:p>
    <w:p w14:paraId="7A5FDC57" w14:textId="7C857810" w:rsidR="00253D5B" w:rsidRPr="00CC38E3" w:rsidRDefault="00253D5B" w:rsidP="005C5A0E">
      <w:pPr>
        <w:spacing w:after="0" w:line="240" w:lineRule="auto"/>
        <w:ind w:firstLine="567"/>
        <w:jc w:val="both"/>
        <w:rPr>
          <w:rFonts w:cstheme="minorHAnsi"/>
        </w:rPr>
      </w:pPr>
      <w:r w:rsidRPr="00CC38E3">
        <w:rPr>
          <w:rFonts w:cstheme="minorHAnsi"/>
        </w:rPr>
        <w:lastRenderedPageBreak/>
        <w:t>Šiomis aplinkybėmis pareiškėjas</w:t>
      </w:r>
      <w:r w:rsidR="00A07465" w:rsidRPr="00CC38E3">
        <w:rPr>
          <w:rFonts w:cstheme="minorHAnsi"/>
        </w:rPr>
        <w:t xml:space="preserve">, remdamasis Konvencijos 6 straipsnio 1 dalimi, </w:t>
      </w:r>
      <w:r w:rsidRPr="00CC38E3">
        <w:rPr>
          <w:rFonts w:cstheme="minorHAnsi"/>
        </w:rPr>
        <w:t>kreipėsi į Teismą</w:t>
      </w:r>
      <w:r w:rsidR="00A07465" w:rsidRPr="00CC38E3">
        <w:rPr>
          <w:rFonts w:cstheme="minorHAnsi"/>
        </w:rPr>
        <w:t xml:space="preserve"> ir </w:t>
      </w:r>
      <w:r w:rsidRPr="00CC38E3">
        <w:rPr>
          <w:rFonts w:cstheme="minorHAnsi"/>
        </w:rPr>
        <w:t>nurod</w:t>
      </w:r>
      <w:r w:rsidR="00A07465" w:rsidRPr="00CC38E3">
        <w:rPr>
          <w:rFonts w:cstheme="minorHAnsi"/>
        </w:rPr>
        <w:t>ė</w:t>
      </w:r>
      <w:r w:rsidRPr="00CC38E3">
        <w:rPr>
          <w:rFonts w:cstheme="minorHAnsi"/>
        </w:rPr>
        <w:t xml:space="preserve">, kad nacionaliniai teismai neišnagrinėjo jo argumentų, kad atstatyti pastatą tokios būklės, koks jis buvo iki nugriovimo, yra neįmanoma, ir įpareigojo jį padaryti tai, kas neįmanoma. </w:t>
      </w:r>
    </w:p>
    <w:p w14:paraId="4A94DF07" w14:textId="77777777" w:rsidR="00253D5B" w:rsidRPr="00CC38E3" w:rsidRDefault="00253D5B" w:rsidP="005C5A0E">
      <w:pPr>
        <w:spacing w:after="0" w:line="240" w:lineRule="auto"/>
        <w:ind w:firstLine="567"/>
        <w:jc w:val="both"/>
        <w:rPr>
          <w:rFonts w:cstheme="minorHAnsi"/>
        </w:rPr>
      </w:pPr>
    </w:p>
    <w:p w14:paraId="4C3CFF43" w14:textId="77777777" w:rsidR="00253D5B" w:rsidRPr="00CC38E3" w:rsidRDefault="00253D5B" w:rsidP="005C5A0E">
      <w:pPr>
        <w:spacing w:after="0" w:line="240" w:lineRule="auto"/>
        <w:jc w:val="center"/>
        <w:rPr>
          <w:rFonts w:cstheme="minorHAnsi"/>
          <w:b/>
          <w:bCs/>
        </w:rPr>
      </w:pPr>
      <w:r w:rsidRPr="00CC38E3">
        <w:rPr>
          <w:rFonts w:cstheme="minorHAnsi"/>
          <w:b/>
          <w:bCs/>
        </w:rPr>
        <w:t>Neoficiali Teismo sprendimo apžvalga</w:t>
      </w:r>
    </w:p>
    <w:p w14:paraId="5B198082" w14:textId="77777777" w:rsidR="00253D5B" w:rsidRPr="00CC38E3" w:rsidRDefault="00253D5B" w:rsidP="005C5A0E">
      <w:pPr>
        <w:spacing w:after="0" w:line="240" w:lineRule="auto"/>
        <w:ind w:firstLine="567"/>
        <w:jc w:val="both"/>
        <w:rPr>
          <w:rFonts w:cstheme="minorHAnsi"/>
        </w:rPr>
      </w:pPr>
    </w:p>
    <w:p w14:paraId="7C63ECE4" w14:textId="090A97F3" w:rsidR="00253D5B" w:rsidRPr="00CC38E3" w:rsidRDefault="00253D5B" w:rsidP="005C5A0E">
      <w:pPr>
        <w:spacing w:after="0" w:line="240" w:lineRule="auto"/>
        <w:ind w:firstLine="567"/>
        <w:jc w:val="both"/>
        <w:rPr>
          <w:rFonts w:cstheme="minorHAnsi"/>
        </w:rPr>
      </w:pPr>
      <w:r w:rsidRPr="00CC38E3">
        <w:rPr>
          <w:rFonts w:cstheme="minorHAnsi"/>
        </w:rPr>
        <w:t>Teismas pirmiausia pastebėjo, kad neginčijama, jog pareiškėjo veiksmai, t. y. medinio namo dalies nugriovimas ir naujo namo statyba jos vietoje, buvo neteisėti (šiuo klausimu Teismas pabrėžė, kad ne jis, o nacionaliniai teismai turi įvertinti pareiškėjo veiksmais padarytą žalą viešajam interesui ir nustatyti tinkamiausią būdą, kaip ją atlyginti).</w:t>
      </w:r>
    </w:p>
    <w:p w14:paraId="2083D5B9" w14:textId="5447F56E" w:rsidR="00253D5B" w:rsidRPr="00CC38E3" w:rsidRDefault="00253D5B" w:rsidP="005C5A0E">
      <w:pPr>
        <w:spacing w:after="0" w:line="240" w:lineRule="auto"/>
        <w:ind w:firstLine="567"/>
        <w:jc w:val="both"/>
        <w:rPr>
          <w:rFonts w:cstheme="minorHAnsi"/>
        </w:rPr>
      </w:pPr>
      <w:r w:rsidRPr="00CC38E3">
        <w:rPr>
          <w:rFonts w:cstheme="minorHAnsi"/>
        </w:rPr>
        <w:t xml:space="preserve">Savo ruožtu vertindamas tik tai, ar nacionaliniai teismai tinkamai motyvavo savo sprendimus, atsakydami į pareiškėjo iškeltus susijusius svarbius klausimus, Teismas pažymėjo, kad teismų pareiga tinkamai motyvuoti savo sprendimus taip pat nustatyta </w:t>
      </w:r>
      <w:r w:rsidR="000E5FE6" w:rsidRPr="00CC38E3">
        <w:rPr>
          <w:rFonts w:cstheme="minorHAnsi"/>
        </w:rPr>
        <w:t>Lietuvos Respublikos c</w:t>
      </w:r>
      <w:r w:rsidRPr="00CC38E3">
        <w:rPr>
          <w:rFonts w:cstheme="minorHAnsi"/>
        </w:rPr>
        <w:t>ivilinio proceso kodekse ir Lietuvos Respublikos Konstitucinio Teismo praktikoje. Šiuo aspektu paminėjęs pareiškėjo argumentus, kuriais jis rėmėsi nacionaliniuose teismuose, pažymėjo, kad Teismas neturi spręsti, kaip nacionaliniams teismams reikėjo išnagrinėti šiuos argumentus. Be to, Konvencijos 6 straipsnio 1 dalis negali būti aiškinama kaip reikalaujanti, kad teismai išsamiai atsakytų į kiekvieną šalių pateiktą argumentą. Vis dėlto teismai neatleidžiami nuo pareigos tinkamai išnagrinėti pagrindinius šalių pateiktus argumentus.</w:t>
      </w:r>
    </w:p>
    <w:p w14:paraId="7CAAED73" w14:textId="77777777" w:rsidR="00253D5B" w:rsidRPr="00CC38E3" w:rsidRDefault="00253D5B" w:rsidP="005C5A0E">
      <w:pPr>
        <w:spacing w:after="0" w:line="240" w:lineRule="auto"/>
        <w:ind w:firstLine="567"/>
        <w:jc w:val="both"/>
        <w:rPr>
          <w:rFonts w:cstheme="minorHAnsi"/>
        </w:rPr>
      </w:pPr>
      <w:r w:rsidRPr="00CC38E3">
        <w:rPr>
          <w:rFonts w:cstheme="minorHAnsi"/>
        </w:rPr>
        <w:t xml:space="preserve">Teismo nuomone, minėti pareiškėjo nacionaliniams teismams pateikti argumentai buvo konkretūs, susiję ir svarbūs. </w:t>
      </w:r>
      <w:r w:rsidRPr="00CC38E3">
        <w:rPr>
          <w:rFonts w:cstheme="minorHAnsi"/>
          <w:u w:val="single"/>
        </w:rPr>
        <w:t>Tačiau Klaipėdos apygardos teismas, kuris buvo paskutinis nacionalinis teismas nagrinėjęs bylą iš esmės ir pirmasis patenkinęs pareiškėjui pateiktą ieškinį, konkrečiai minėtų argumentų nevertino ir nepateikė jokių priežasčių, dėl kurių to daryti nebuvo reikalo, taip pat nepareiškė jokios pozicijos dėl teisės nuostatų ir teismų praktikos, kuriomis rėmėsi pareiškėjas</w:t>
      </w:r>
      <w:r w:rsidRPr="00CC38E3">
        <w:rPr>
          <w:rFonts w:cstheme="minorHAnsi"/>
        </w:rPr>
        <w:t>. Teismas pažymi, kad tuo metu, kai pareiškėjas tapo namo savininku, jo būklė jau buvo įvertinta kaip bloga / avarinė; tačiau nacionaliniai teismai nebandė nustatyti nugriautos namo dalies vertės, nevertino praktinių galimybių ją atstatyti ar atstatyto pastato autentiškumo ir kultūrinės reikšmės, taip pat nenagrinėjo, ar nurodymas pareiškėjui atstatyti namą proporcingas ir pagrįstas atsižvelgiant į bylos aplinkybes.</w:t>
      </w:r>
    </w:p>
    <w:p w14:paraId="44644D69" w14:textId="77777777" w:rsidR="00253D5B" w:rsidRPr="00CC38E3" w:rsidRDefault="00253D5B" w:rsidP="005C5A0E">
      <w:pPr>
        <w:spacing w:after="0" w:line="240" w:lineRule="auto"/>
        <w:ind w:firstLine="567"/>
        <w:jc w:val="both"/>
        <w:rPr>
          <w:rFonts w:cstheme="minorHAnsi"/>
        </w:rPr>
      </w:pPr>
    </w:p>
    <w:p w14:paraId="56FAA011" w14:textId="77777777" w:rsidR="00253D5B" w:rsidRPr="00CC38E3" w:rsidRDefault="00253D5B" w:rsidP="005C5A0E">
      <w:pPr>
        <w:spacing w:after="0" w:line="240" w:lineRule="auto"/>
        <w:ind w:firstLine="567"/>
        <w:jc w:val="both"/>
        <w:rPr>
          <w:rFonts w:cstheme="minorHAnsi"/>
        </w:rPr>
      </w:pPr>
      <w:r w:rsidRPr="00CC38E3">
        <w:rPr>
          <w:rFonts w:cstheme="minorHAnsi"/>
        </w:rPr>
        <w:t>Išvada: nustatytas Konvencijos 6 straipsnio 1 dalies pažeidimas (vienbalsiai).</w:t>
      </w:r>
    </w:p>
    <w:p w14:paraId="67DB8DBB" w14:textId="77777777" w:rsidR="00253D5B" w:rsidRPr="00CC38E3" w:rsidRDefault="00A1313E" w:rsidP="005C5A0E">
      <w:pPr>
        <w:spacing w:after="0" w:line="240" w:lineRule="auto"/>
        <w:ind w:firstLine="567"/>
        <w:jc w:val="both"/>
        <w:rPr>
          <w:rFonts w:cstheme="minorHAnsi"/>
        </w:rPr>
      </w:pPr>
      <w:hyperlink r:id="rId11" w:history="1">
        <w:r w:rsidR="00253D5B" w:rsidRPr="00CC38E3">
          <w:rPr>
            <w:rStyle w:val="Hipersaitas"/>
            <w:rFonts w:cstheme="minorHAnsi"/>
          </w:rPr>
          <w:t>Prieiga internete</w:t>
        </w:r>
      </w:hyperlink>
    </w:p>
    <w:p w14:paraId="2298470E" w14:textId="77777777" w:rsidR="00F23068" w:rsidRPr="00CC38E3" w:rsidRDefault="00F23068" w:rsidP="005C5A0E">
      <w:pPr>
        <w:pStyle w:val="Betarp"/>
        <w:jc w:val="center"/>
        <w:rPr>
          <w:rFonts w:cstheme="minorHAnsi"/>
          <w:b/>
          <w:bCs/>
        </w:rPr>
      </w:pPr>
    </w:p>
    <w:p w14:paraId="46EAA559" w14:textId="77777777" w:rsidR="00F23068" w:rsidRPr="00CC38E3" w:rsidRDefault="00F23068" w:rsidP="005C5A0E">
      <w:pPr>
        <w:pStyle w:val="Betarp"/>
        <w:jc w:val="center"/>
        <w:rPr>
          <w:rFonts w:cstheme="minorHAnsi"/>
          <w:b/>
          <w:bCs/>
        </w:rPr>
      </w:pPr>
      <w:bookmarkStart w:id="6" w:name="_Hlk100847088"/>
      <w:r w:rsidRPr="00CC38E3">
        <w:rPr>
          <w:rFonts w:cstheme="minorHAnsi"/>
          <w:b/>
          <w:bCs/>
        </w:rPr>
        <w:t>Europos Žmogaus Teisių Teismo 2021 m. gruodžio 14 d. sprendimas byloje</w:t>
      </w:r>
      <w:bookmarkStart w:id="7" w:name="_Toc52184418"/>
    </w:p>
    <w:p w14:paraId="32D62931" w14:textId="77777777" w:rsidR="00F23068" w:rsidRPr="00CC38E3" w:rsidRDefault="00F23068" w:rsidP="00836E24">
      <w:pPr>
        <w:keepNext/>
        <w:keepLines/>
        <w:spacing w:after="0" w:line="240" w:lineRule="auto"/>
        <w:ind w:firstLine="720"/>
        <w:jc w:val="center"/>
        <w:outlineLvl w:val="1"/>
        <w:rPr>
          <w:rFonts w:eastAsia="Times New Roman" w:cstheme="minorHAnsi"/>
          <w:b/>
          <w:bCs/>
          <w:i/>
          <w:iCs/>
          <w:color w:val="2E74B5"/>
        </w:rPr>
      </w:pPr>
      <w:bookmarkStart w:id="8" w:name="_Toc90304929"/>
      <w:bookmarkStart w:id="9" w:name="_Toc104379814"/>
      <w:r w:rsidRPr="00CC38E3">
        <w:rPr>
          <w:rFonts w:eastAsia="Times New Roman" w:cstheme="minorHAnsi"/>
          <w:b/>
          <w:bCs/>
          <w:i/>
          <w:iCs/>
          <w:color w:val="2E74B5"/>
        </w:rPr>
        <w:t xml:space="preserve">Gražulevičiūtė prieš </w:t>
      </w:r>
      <w:bookmarkEnd w:id="7"/>
      <w:bookmarkEnd w:id="8"/>
      <w:r w:rsidRPr="00CC38E3">
        <w:rPr>
          <w:rFonts w:eastAsia="Times New Roman" w:cstheme="minorHAnsi"/>
          <w:b/>
          <w:bCs/>
          <w:i/>
          <w:iCs/>
          <w:color w:val="2E74B5"/>
        </w:rPr>
        <w:t>Lietuvą</w:t>
      </w:r>
      <w:bookmarkEnd w:id="9"/>
    </w:p>
    <w:p w14:paraId="5CF6F8D1" w14:textId="77777777" w:rsidR="00F23068" w:rsidRPr="00CC38E3" w:rsidRDefault="00F23068" w:rsidP="005C5A0E">
      <w:pPr>
        <w:pStyle w:val="Betarp"/>
        <w:jc w:val="center"/>
        <w:rPr>
          <w:rFonts w:cstheme="minorHAnsi"/>
          <w:b/>
          <w:bCs/>
        </w:rPr>
      </w:pPr>
      <w:r w:rsidRPr="00CC38E3">
        <w:rPr>
          <w:rFonts w:cstheme="minorHAnsi"/>
          <w:b/>
          <w:bCs/>
        </w:rPr>
        <w:t>(pareiškimo Nr. 53176/17, svarbos lygis – 3)</w:t>
      </w:r>
    </w:p>
    <w:p w14:paraId="09B456BA" w14:textId="77777777" w:rsidR="00F23068" w:rsidRPr="00CC38E3" w:rsidRDefault="00F23068" w:rsidP="005C5A0E">
      <w:pPr>
        <w:pStyle w:val="Betarp"/>
        <w:rPr>
          <w:rFonts w:cstheme="minorHAnsi"/>
        </w:rPr>
      </w:pPr>
    </w:p>
    <w:p w14:paraId="666FC727" w14:textId="77777777" w:rsidR="00F23068" w:rsidRPr="00CC38E3" w:rsidRDefault="00F23068" w:rsidP="00836E24">
      <w:pPr>
        <w:keepNext/>
        <w:keepLines/>
        <w:spacing w:before="40" w:after="0" w:line="240" w:lineRule="auto"/>
        <w:ind w:firstLine="567"/>
        <w:outlineLvl w:val="2"/>
        <w:rPr>
          <w:rFonts w:eastAsia="Times New Roman" w:cstheme="minorHAnsi"/>
          <w:i/>
        </w:rPr>
      </w:pPr>
      <w:bookmarkStart w:id="10" w:name="_Toc104379815"/>
      <w:r w:rsidRPr="00CC38E3">
        <w:rPr>
          <w:rFonts w:eastAsia="Times New Roman" w:cstheme="minorHAnsi"/>
          <w:i/>
        </w:rPr>
        <w:t>Dėl neįvykdytos pareigos pripažinti įsiteisėjusio teismo sprendimo res judicata galią</w:t>
      </w:r>
      <w:bookmarkEnd w:id="10"/>
    </w:p>
    <w:bookmarkEnd w:id="6"/>
    <w:p w14:paraId="69381C1A" w14:textId="77777777" w:rsidR="00F23068" w:rsidRPr="00CC38E3" w:rsidRDefault="00F23068" w:rsidP="005C5A0E">
      <w:pPr>
        <w:pStyle w:val="Betarp"/>
        <w:jc w:val="both"/>
        <w:rPr>
          <w:rFonts w:cstheme="minorHAnsi"/>
        </w:rPr>
      </w:pPr>
    </w:p>
    <w:p w14:paraId="289AF1BB" w14:textId="77777777" w:rsidR="00F23068" w:rsidRPr="00CC38E3" w:rsidRDefault="00F23068" w:rsidP="005C5A0E">
      <w:pPr>
        <w:pStyle w:val="Betarp"/>
        <w:jc w:val="center"/>
        <w:rPr>
          <w:rFonts w:cstheme="minorHAnsi"/>
          <w:b/>
          <w:bCs/>
        </w:rPr>
      </w:pPr>
      <w:r w:rsidRPr="00CC38E3">
        <w:rPr>
          <w:rFonts w:cstheme="minorHAnsi"/>
          <w:b/>
          <w:bCs/>
        </w:rPr>
        <w:t>Faktinės aplinkybės</w:t>
      </w:r>
    </w:p>
    <w:p w14:paraId="5B385611" w14:textId="77777777" w:rsidR="00F23068" w:rsidRPr="00CC38E3" w:rsidRDefault="00F23068" w:rsidP="005C5A0E">
      <w:pPr>
        <w:pStyle w:val="Betarp"/>
        <w:jc w:val="both"/>
        <w:rPr>
          <w:rFonts w:cstheme="minorHAnsi"/>
        </w:rPr>
      </w:pPr>
    </w:p>
    <w:p w14:paraId="1B4AC0CA" w14:textId="5693B5F2" w:rsidR="00F23068" w:rsidRPr="00CC38E3" w:rsidRDefault="00F23068" w:rsidP="005C5A0E">
      <w:pPr>
        <w:pStyle w:val="Betarp"/>
        <w:ind w:firstLine="567"/>
        <w:jc w:val="both"/>
        <w:rPr>
          <w:rFonts w:cstheme="minorHAnsi"/>
        </w:rPr>
      </w:pPr>
      <w:r w:rsidRPr="00CC38E3">
        <w:rPr>
          <w:rFonts w:cstheme="minorHAnsi"/>
        </w:rPr>
        <w:t xml:space="preserve">Pareiškėja – gydytoja reumatologė, tyrėja, atlikusi klinikinius vaistinių preparatų tyrimus, buvo laikinai nušalinta nuo tyrėjos pareigų po to, kai klinikinio tyrimo metu mirė pacientas. Pareiškėja kreipėsi į nacionalinius teismus dėl neteisėto jos nušalinimo nuo tyrėjos pareigų, taip pat dėl su šiuo neteisėtu nušalinimu susijusios turtinės ir neturtinės žalos atlyginimo priteisimo. Galutiniu Vilniaus apygardos administracinio teismo sprendimu byloje dėl pareiškėjos nušalinimo nuo pareigų nustatyta, kad pareiškėja nuo pareigų buvo nušalinta neteisėtai, panaikinti su tuo susiję Valstybinės vaistų kontrolės tarnybos (toliau – Tarnyba) direktoriaus įsakymai. Tačiau Lietuvos vyriausiasis administracinis teismas byloje dėl žalos atlyginimo iš valstybės priteisimo atmetė pareiškėjos skundą, konstatavęs, kad pareiškėjos nušalinimas nuo tyrėjos pareigų buvo pagrįstas, </w:t>
      </w:r>
      <w:r w:rsidR="00961215" w:rsidRPr="00CC38E3">
        <w:rPr>
          <w:rFonts w:cstheme="minorHAnsi"/>
        </w:rPr>
        <w:t xml:space="preserve">bei </w:t>
      </w:r>
      <w:r w:rsidRPr="00CC38E3">
        <w:rPr>
          <w:rFonts w:cstheme="minorHAnsi"/>
        </w:rPr>
        <w:t xml:space="preserve">nenustatęs jokių neteisėtų Tarnybos veiksmų. </w:t>
      </w:r>
    </w:p>
    <w:p w14:paraId="3B211E08" w14:textId="5DE6A600" w:rsidR="00F23068" w:rsidRPr="00CC38E3" w:rsidRDefault="00F23068" w:rsidP="005C5A0E">
      <w:pPr>
        <w:pStyle w:val="Betarp"/>
        <w:ind w:firstLine="567"/>
        <w:jc w:val="both"/>
        <w:rPr>
          <w:rFonts w:cstheme="minorHAnsi"/>
        </w:rPr>
      </w:pPr>
      <w:r w:rsidRPr="00CC38E3">
        <w:rPr>
          <w:rFonts w:cstheme="minorHAnsi"/>
        </w:rPr>
        <w:t xml:space="preserve">Pareiškėja akcentavo, kad nacionaliniuose teismuose sprendžiant dėl žalos atlyginimo priteisimo nesivadovauta anksčiau priimtu galutiniu įsiteisėjusiu teismo sprendimu, kuriuo Tarnybos sprendimai dėl pareiškėjos nušalinimo nuo pareigų buvo pripažinti neteisėtais, bei šiame teismo procese tarp tų pačių šalių nustatytais faktais, tuo pažeidžiant teisinio tikrumo bei </w:t>
      </w:r>
      <w:r w:rsidRPr="00CC38E3">
        <w:rPr>
          <w:rFonts w:cstheme="minorHAnsi"/>
          <w:i/>
          <w:iCs/>
        </w:rPr>
        <w:t>res judicata</w:t>
      </w:r>
      <w:r w:rsidRPr="00CC38E3">
        <w:rPr>
          <w:rFonts w:cstheme="minorHAnsi"/>
        </w:rPr>
        <w:t xml:space="preserve"> principus ir Konvencijos 6 straipsnio 1 dalį. </w:t>
      </w:r>
      <w:r w:rsidRPr="00CC38E3">
        <w:rPr>
          <w:rFonts w:cstheme="minorHAnsi"/>
        </w:rPr>
        <w:lastRenderedPageBreak/>
        <w:t xml:space="preserve">Be to, nekompensuojant pareiškėjai dėl neteisėto jos nušalinimo padarytos žalos buvo pažeistas Konvencijos 8 straipsnis. </w:t>
      </w:r>
    </w:p>
    <w:p w14:paraId="0089DD8B" w14:textId="77777777" w:rsidR="00F23068" w:rsidRPr="00CC38E3" w:rsidRDefault="00F23068" w:rsidP="005C5A0E">
      <w:pPr>
        <w:shd w:val="clear" w:color="auto" w:fill="FFFFFF"/>
        <w:spacing w:after="0" w:line="240" w:lineRule="auto"/>
        <w:ind w:right="-1"/>
        <w:jc w:val="center"/>
        <w:rPr>
          <w:rFonts w:eastAsia="Times New Roman" w:cstheme="minorHAnsi"/>
          <w:b/>
          <w:bCs/>
          <w:color w:val="000000"/>
        </w:rPr>
      </w:pPr>
      <w:bookmarkStart w:id="11" w:name="_Hlk101347967"/>
      <w:r w:rsidRPr="00CC38E3">
        <w:rPr>
          <w:rFonts w:eastAsia="Times New Roman" w:cstheme="minorHAnsi"/>
          <w:b/>
          <w:bCs/>
          <w:color w:val="000000"/>
        </w:rPr>
        <w:t>Neoficiali Teismo sprendimo apžvalga</w:t>
      </w:r>
    </w:p>
    <w:bookmarkEnd w:id="11"/>
    <w:p w14:paraId="4404DFA8" w14:textId="77777777" w:rsidR="00F23068" w:rsidRPr="00CC38E3" w:rsidRDefault="00F23068" w:rsidP="005C5A0E">
      <w:pPr>
        <w:pStyle w:val="Betarp"/>
        <w:ind w:firstLine="567"/>
        <w:jc w:val="both"/>
        <w:rPr>
          <w:rFonts w:cstheme="minorHAnsi"/>
        </w:rPr>
      </w:pPr>
      <w:r w:rsidRPr="00CC38E3">
        <w:rPr>
          <w:rFonts w:cstheme="minorHAnsi"/>
        </w:rPr>
        <w:t xml:space="preserve">    </w:t>
      </w:r>
    </w:p>
    <w:p w14:paraId="0A0518C9" w14:textId="4FCAAD1E" w:rsidR="00F23068" w:rsidRPr="00CC38E3" w:rsidRDefault="00F23068" w:rsidP="005C5A0E">
      <w:pPr>
        <w:pStyle w:val="Betarp"/>
        <w:ind w:firstLine="567"/>
        <w:jc w:val="both"/>
        <w:rPr>
          <w:rFonts w:cstheme="minorHAnsi"/>
        </w:rPr>
      </w:pPr>
      <w:r w:rsidRPr="00CC38E3">
        <w:rPr>
          <w:rFonts w:cstheme="minorHAnsi"/>
        </w:rPr>
        <w:t>T</w:t>
      </w:r>
      <w:r w:rsidR="008F50BC" w:rsidRPr="00CC38E3">
        <w:rPr>
          <w:rFonts w:cstheme="minorHAnsi"/>
        </w:rPr>
        <w:t>eismas</w:t>
      </w:r>
      <w:r w:rsidRPr="00CC38E3">
        <w:rPr>
          <w:rFonts w:cstheme="minorHAnsi"/>
        </w:rPr>
        <w:t xml:space="preserve"> pažymėjo, kad abiejuose teismo procesuose, t. y. tiek dėl pareiškėjos nušalinimo nuo pareigų teisėtumo, tiek dėl žalos atlyginimo priteisimo, dalyvavo tos pačios proceso šalys</w:t>
      </w:r>
      <w:r w:rsidR="008F50BC" w:rsidRPr="00CC38E3">
        <w:rPr>
          <w:rFonts w:cstheme="minorHAnsi"/>
        </w:rPr>
        <w:t>. B</w:t>
      </w:r>
      <w:r w:rsidRPr="00CC38E3">
        <w:rPr>
          <w:rFonts w:cstheme="minorHAnsi"/>
        </w:rPr>
        <w:t>e to, šie teismo procesai buvo susiję su tais pačiais teisiniais santykiais ir tomis pačiomis faktinėmis aplinkybėmis, todėl abiejų teismo procesų materialioji taikymo sritis iš esmės buvo tokia pati. Nepaisant to, teismo procese dėl žalos atlyginimo priteisimo Lietuvos vyriausiojo administracinio teismo faktinės išvados skyrėsi nuo tų, kurios galutiniu teismo sprendimu jau buvo patvirtintos ankstesniame teismo procese dėl pareiškėjos nušalinimo nuo pareigų teisėtumo.</w:t>
      </w:r>
    </w:p>
    <w:p w14:paraId="0094936A" w14:textId="358E99E7" w:rsidR="00F23068" w:rsidRPr="00CC38E3" w:rsidRDefault="00F23068" w:rsidP="005C5A0E">
      <w:pPr>
        <w:pStyle w:val="Betarp"/>
        <w:ind w:firstLine="567"/>
        <w:jc w:val="both"/>
        <w:rPr>
          <w:rFonts w:cstheme="minorHAnsi"/>
        </w:rPr>
      </w:pPr>
      <w:r w:rsidRPr="00CC38E3">
        <w:rPr>
          <w:rFonts w:cstheme="minorHAnsi"/>
        </w:rPr>
        <w:t>Remdamasis savo suformuota praktika, T</w:t>
      </w:r>
      <w:r w:rsidR="008F50BC" w:rsidRPr="00CC38E3">
        <w:rPr>
          <w:rFonts w:cstheme="minorHAnsi"/>
        </w:rPr>
        <w:t xml:space="preserve">eismas </w:t>
      </w:r>
      <w:r w:rsidRPr="00CC38E3">
        <w:rPr>
          <w:rFonts w:cstheme="minorHAnsi"/>
        </w:rPr>
        <w:t>atkreipė dėmesį, jog teisė į teisingą bylos nagrinėjimą pagal Konvencijos 6 straipsnio 1 dalį aiškinama atsižvelgiant į teisinės valstybės ir teisinio tikrumo principus ir apima reikalavimą, kad teismams galutinai išsprendus klausimą, jų sprendimu neturėtų būti abejojama, jis neturėtų būti ginčijamas. Teisinio tikrumo principas reikalauja, kad tais atvejais, kai civilinis ginčas nagrinėjamas iš esmės teismuose, jis turėtų būti išsprendžiamas kartą ir visiems laikams. T</w:t>
      </w:r>
      <w:r w:rsidR="00721DA9" w:rsidRPr="00CC38E3">
        <w:rPr>
          <w:rFonts w:cstheme="minorHAnsi"/>
        </w:rPr>
        <w:t>eismas</w:t>
      </w:r>
      <w:r w:rsidRPr="00CC38E3">
        <w:rPr>
          <w:rFonts w:cstheme="minorHAnsi"/>
        </w:rPr>
        <w:t xml:space="preserve"> konstatavo, kad </w:t>
      </w:r>
      <w:r w:rsidRPr="00CC38E3">
        <w:rPr>
          <w:rFonts w:cstheme="minorHAnsi"/>
          <w:u w:val="single"/>
        </w:rPr>
        <w:t>šioje byloje Lietuvos vyriausiasis administracinis teismas, iš naujo išnagrinėjęs faktines aplinkybes, kurios jau buvo nustatytos įsiteisėjusiu teismo sprendimu, perkvalifikavęs pažeidimus bei darydamas priešingas išvadas, suteikė „antrą galimybę“ valstybei, atstovaujamai Tarnybos, nagrinėti ginčą, kuris jau buvo baigtas įsiteisėjusiu teismo sprendimu byloje tarp tų pačių proceso šalių (valstybės ir pareiškėjos), todėl pažeidė teisinio tikrumo principą</w:t>
      </w:r>
      <w:r w:rsidRPr="00CC38E3">
        <w:rPr>
          <w:rFonts w:cstheme="minorHAnsi"/>
        </w:rPr>
        <w:t>. T</w:t>
      </w:r>
      <w:r w:rsidR="00721DA9" w:rsidRPr="00CC38E3">
        <w:rPr>
          <w:rFonts w:cstheme="minorHAnsi"/>
        </w:rPr>
        <w:t>eismas</w:t>
      </w:r>
      <w:r w:rsidRPr="00CC38E3">
        <w:rPr>
          <w:rFonts w:cstheme="minorHAnsi"/>
        </w:rPr>
        <w:t xml:space="preserve"> pabrėžė, jog teisme nebuvo įrodinėjama, kad Tarnybai, kaip specializuotai valstybinei institucijai, atsakingai už vaistų kontrolę, nebuvo suteiktos procesinės priemonės ginti valstybės interesus teismo procese dėl Tarnybos direktoriaus įsakymų, kuriais pareiškėja buvo nušalinta nuo pareigų, teisėtumo. Todėl </w:t>
      </w:r>
      <w:r w:rsidRPr="00CC38E3">
        <w:rPr>
          <w:rFonts w:cstheme="minorHAnsi"/>
          <w:u w:val="single"/>
        </w:rPr>
        <w:t>nėra pagrindo teigti, kad šiuo konkrečiu atveju teisinio tikrumo principas buvo pažeistas siekiant ištaisyti „esminį trūkumą“ ar „teisingumo klaidą“</w:t>
      </w:r>
      <w:r w:rsidRPr="00CC38E3">
        <w:rPr>
          <w:rFonts w:cstheme="minorHAnsi"/>
        </w:rPr>
        <w:t xml:space="preserve">.  </w:t>
      </w:r>
    </w:p>
    <w:p w14:paraId="5EE80C6B" w14:textId="69EBE325" w:rsidR="00F23068" w:rsidRPr="00CC38E3" w:rsidRDefault="00F23068" w:rsidP="005C5A0E">
      <w:pPr>
        <w:pStyle w:val="Betarp"/>
        <w:ind w:firstLine="567"/>
        <w:jc w:val="both"/>
        <w:rPr>
          <w:rFonts w:cstheme="minorHAnsi"/>
        </w:rPr>
      </w:pPr>
      <w:r w:rsidRPr="00CC38E3">
        <w:rPr>
          <w:rFonts w:cstheme="minorHAnsi"/>
        </w:rPr>
        <w:t>Įvertinęs pareiškėjos argumentus dėl Konvencijos 8 straipsnio pažeidimo, T</w:t>
      </w:r>
      <w:r w:rsidR="00721DA9" w:rsidRPr="00CC38E3">
        <w:rPr>
          <w:rFonts w:cstheme="minorHAnsi"/>
        </w:rPr>
        <w:t>eismas</w:t>
      </w:r>
      <w:r w:rsidRPr="00CC38E3">
        <w:rPr>
          <w:rFonts w:cstheme="minorHAnsi"/>
        </w:rPr>
        <w:t xml:space="preserve"> darė išvadą, kad </w:t>
      </w:r>
      <w:r w:rsidRPr="00CC38E3">
        <w:rPr>
          <w:rFonts w:cstheme="minorHAnsi"/>
          <w:u w:val="single"/>
        </w:rPr>
        <w:t>nei pareiškėjos nušalinimo nuo pareigų priežastys, nei pasekmės nebuvo susijusios ir neturėjo įtakos pareiškėjos asmeniniam gyvenimui Konvencijos 8 straipsnio prasme</w:t>
      </w:r>
      <w:r w:rsidRPr="00CC38E3">
        <w:rPr>
          <w:rFonts w:cstheme="minorHAnsi"/>
        </w:rPr>
        <w:t xml:space="preserve"> (net ir būdama nušalinta nuo tyrėjos pareigų, pareiškėja galėjo toliau dirbti gydytoja reumatologe ar kitą gydytojo darbą, taip turėdama galimybę kelti savo kvalifikaciją šioje medicinos veiklos srityje, nebuvo keliama abejonių pareiškėjos moralinėmis vertybėmis, byloje nebuvo įrodymų, kad pareiškėjos pajamų sumažėjimas, nulemtas jos nušalinimo nuo tyrėjos pareigų, reikšmingai paveikė jos privatų gyvenimą), todėl atmetė šią pareiškėjos skundo dalį kaip </w:t>
      </w:r>
      <w:r w:rsidRPr="00CC38E3">
        <w:rPr>
          <w:rFonts w:cstheme="minorHAnsi"/>
          <w:i/>
          <w:iCs/>
        </w:rPr>
        <w:t>ratione materiae</w:t>
      </w:r>
      <w:r w:rsidRPr="00CC38E3">
        <w:rPr>
          <w:rFonts w:cstheme="minorHAnsi"/>
        </w:rPr>
        <w:t xml:space="preserve"> nesuderinamą su Konvencija.</w:t>
      </w:r>
    </w:p>
    <w:p w14:paraId="5DF75521" w14:textId="77777777" w:rsidR="00721DA9" w:rsidRPr="00CC38E3" w:rsidRDefault="00721DA9" w:rsidP="005C5A0E">
      <w:pPr>
        <w:pStyle w:val="Betarp"/>
        <w:ind w:firstLine="567"/>
        <w:jc w:val="both"/>
        <w:rPr>
          <w:rFonts w:cstheme="minorHAnsi"/>
        </w:rPr>
      </w:pPr>
    </w:p>
    <w:p w14:paraId="086D7BAD" w14:textId="7489CE8B" w:rsidR="00F23068" w:rsidRPr="00CC38E3" w:rsidRDefault="00F23068" w:rsidP="005C5A0E">
      <w:pPr>
        <w:pStyle w:val="Betarp"/>
        <w:ind w:firstLine="567"/>
        <w:jc w:val="both"/>
        <w:rPr>
          <w:rFonts w:cstheme="minorHAnsi"/>
        </w:rPr>
      </w:pPr>
      <w:r w:rsidRPr="00CC38E3">
        <w:rPr>
          <w:rFonts w:cstheme="minorHAnsi"/>
        </w:rPr>
        <w:t>Išvada: nustatytas Konvencijos 6 straipsnio 1 dalies pažeidimas (5 balsai prieš 2).</w:t>
      </w:r>
    </w:p>
    <w:p w14:paraId="6B2E6281" w14:textId="77777777" w:rsidR="00F23068" w:rsidRPr="00CC38E3" w:rsidRDefault="00F23068" w:rsidP="005C5A0E">
      <w:pPr>
        <w:pStyle w:val="Betarp"/>
        <w:ind w:firstLine="567"/>
        <w:jc w:val="both"/>
        <w:rPr>
          <w:rFonts w:cstheme="minorHAnsi"/>
        </w:rPr>
      </w:pPr>
      <w:r w:rsidRPr="00CC38E3">
        <w:rPr>
          <w:rFonts w:cstheme="minorHAnsi"/>
        </w:rPr>
        <w:t>41 straipsnis: priteista 10 000 Eur neturtinei žalai ir 2 086 Eur bylinėjimosi išlaidoms atlyginti.</w:t>
      </w:r>
    </w:p>
    <w:p w14:paraId="6D85D3B7" w14:textId="77777777" w:rsidR="00F23068" w:rsidRPr="00CC38E3" w:rsidRDefault="00F23068" w:rsidP="005C5A0E">
      <w:pPr>
        <w:pStyle w:val="Betarp"/>
        <w:ind w:firstLine="567"/>
        <w:jc w:val="both"/>
        <w:rPr>
          <w:rFonts w:cstheme="minorHAnsi"/>
        </w:rPr>
      </w:pPr>
      <w:r w:rsidRPr="00CC38E3">
        <w:rPr>
          <w:rFonts w:cstheme="minorHAnsi"/>
        </w:rPr>
        <w:t>Pateiktos atskirosios nuomonės.</w:t>
      </w:r>
    </w:p>
    <w:p w14:paraId="42180034" w14:textId="77777777" w:rsidR="00F23068" w:rsidRPr="00CC38E3" w:rsidRDefault="00A1313E" w:rsidP="005C5A0E">
      <w:pPr>
        <w:pStyle w:val="Betarp"/>
        <w:ind w:firstLine="567"/>
        <w:jc w:val="both"/>
        <w:rPr>
          <w:rFonts w:cstheme="minorHAnsi"/>
        </w:rPr>
      </w:pPr>
      <w:hyperlink r:id="rId12" w:anchor="{%22itemid%22:[%22001-213901%22]}" w:history="1">
        <w:r w:rsidR="00F23068" w:rsidRPr="00CC38E3">
          <w:rPr>
            <w:rStyle w:val="Hipersaitas"/>
            <w:rFonts w:cstheme="minorHAnsi"/>
          </w:rPr>
          <w:t>Prieiga internete</w:t>
        </w:r>
      </w:hyperlink>
    </w:p>
    <w:p w14:paraId="24A9C08A" w14:textId="77777777" w:rsidR="00AB1F7F" w:rsidRPr="00CC38E3" w:rsidRDefault="00AB1F7F" w:rsidP="005C5A0E">
      <w:pPr>
        <w:spacing w:after="0" w:line="240" w:lineRule="auto"/>
        <w:ind w:firstLine="567"/>
        <w:jc w:val="center"/>
        <w:rPr>
          <w:rFonts w:cstheme="minorHAnsi"/>
          <w:b/>
        </w:rPr>
      </w:pPr>
    </w:p>
    <w:p w14:paraId="119BF11B" w14:textId="27505D75" w:rsidR="00430029" w:rsidRPr="00CC38E3" w:rsidRDefault="00430029" w:rsidP="005C5A0E">
      <w:pPr>
        <w:pStyle w:val="Antrat1"/>
        <w:rPr>
          <w:rFonts w:eastAsia="Times New Roman" w:cstheme="minorHAnsi"/>
          <w:szCs w:val="22"/>
        </w:rPr>
      </w:pPr>
      <w:bookmarkStart w:id="12" w:name="_Toc52184430"/>
      <w:bookmarkStart w:id="13" w:name="_Toc104379816"/>
      <w:r w:rsidRPr="00CC38E3">
        <w:rPr>
          <w:rFonts w:eastAsia="Times New Roman" w:cstheme="minorHAnsi"/>
          <w:szCs w:val="22"/>
        </w:rPr>
        <w:t>TEISĖ Į PRIVATAUS IR ŠEIMOS GYVENIMO GERBIMĄ (8 straipsnis)</w:t>
      </w:r>
      <w:bookmarkEnd w:id="12"/>
      <w:bookmarkEnd w:id="13"/>
    </w:p>
    <w:p w14:paraId="511E0727" w14:textId="7CC62B2F" w:rsidR="00B10587" w:rsidRPr="00CC38E3" w:rsidRDefault="00B10587" w:rsidP="005C5A0E">
      <w:pPr>
        <w:spacing w:line="240" w:lineRule="auto"/>
        <w:rPr>
          <w:rFonts w:cstheme="minorHAnsi"/>
        </w:rPr>
      </w:pPr>
    </w:p>
    <w:p w14:paraId="46B12805" w14:textId="77777777" w:rsidR="00135E8A" w:rsidRPr="00CC38E3" w:rsidRDefault="00135E8A" w:rsidP="005C5A0E">
      <w:pPr>
        <w:pBdr>
          <w:top w:val="nil"/>
          <w:left w:val="nil"/>
          <w:bottom w:val="nil"/>
          <w:right w:val="nil"/>
          <w:between w:val="nil"/>
        </w:pBdr>
        <w:tabs>
          <w:tab w:val="left" w:pos="851"/>
        </w:tabs>
        <w:spacing w:after="0" w:line="240" w:lineRule="auto"/>
        <w:ind w:right="-1"/>
        <w:jc w:val="center"/>
        <w:rPr>
          <w:rFonts w:eastAsia="Times New Roman" w:cstheme="minorHAnsi"/>
          <w:b/>
        </w:rPr>
      </w:pPr>
      <w:r w:rsidRPr="00CC38E3">
        <w:rPr>
          <w:rFonts w:eastAsia="Times New Roman" w:cstheme="minorHAnsi"/>
          <w:b/>
        </w:rPr>
        <w:t>Europos Žmogaus Teisių Teismo 2021 m. liepos 1 d. sprendimas byloje</w:t>
      </w:r>
    </w:p>
    <w:p w14:paraId="15592C60" w14:textId="77777777" w:rsidR="00135E8A" w:rsidRPr="00CC38E3" w:rsidRDefault="00135E8A" w:rsidP="005C5A0E">
      <w:pPr>
        <w:keepNext/>
        <w:keepLines/>
        <w:spacing w:after="0" w:line="240" w:lineRule="auto"/>
        <w:ind w:firstLine="720"/>
        <w:jc w:val="center"/>
        <w:outlineLvl w:val="1"/>
        <w:rPr>
          <w:rFonts w:eastAsia="Times New Roman" w:cstheme="minorHAnsi"/>
          <w:b/>
          <w:bCs/>
          <w:i/>
          <w:iCs/>
          <w:color w:val="2E74B5"/>
        </w:rPr>
      </w:pPr>
      <w:bookmarkStart w:id="14" w:name="_Toc104379817"/>
      <w:r w:rsidRPr="00CC38E3">
        <w:rPr>
          <w:rFonts w:eastAsia="Times New Roman" w:cstheme="minorHAnsi"/>
          <w:b/>
          <w:bCs/>
          <w:i/>
          <w:iCs/>
          <w:color w:val="2E74B5"/>
        </w:rPr>
        <w:t>Hájovský prieš Slovakiją</w:t>
      </w:r>
      <w:bookmarkEnd w:id="14"/>
    </w:p>
    <w:p w14:paraId="19080936" w14:textId="77777777" w:rsidR="00135E8A" w:rsidRPr="00CC38E3" w:rsidRDefault="00135E8A" w:rsidP="005C5A0E">
      <w:pPr>
        <w:pBdr>
          <w:top w:val="nil"/>
          <w:left w:val="nil"/>
          <w:bottom w:val="nil"/>
          <w:right w:val="nil"/>
          <w:between w:val="nil"/>
        </w:pBdr>
        <w:tabs>
          <w:tab w:val="left" w:pos="851"/>
        </w:tabs>
        <w:spacing w:after="0" w:line="240" w:lineRule="auto"/>
        <w:ind w:right="-1"/>
        <w:jc w:val="center"/>
        <w:rPr>
          <w:rFonts w:eastAsia="Times New Roman" w:cstheme="minorHAnsi"/>
          <w:b/>
        </w:rPr>
      </w:pPr>
      <w:r w:rsidRPr="00CC38E3">
        <w:rPr>
          <w:rFonts w:eastAsia="Times New Roman" w:cstheme="minorHAnsi"/>
          <w:b/>
        </w:rPr>
        <w:t>(pareiškimo Nr. 7796/16, svarbos lygis – 2)</w:t>
      </w:r>
    </w:p>
    <w:p w14:paraId="64562825" w14:textId="77777777" w:rsidR="00135E8A" w:rsidRPr="00CC38E3" w:rsidRDefault="00135E8A" w:rsidP="005C5A0E">
      <w:pPr>
        <w:pBdr>
          <w:top w:val="nil"/>
          <w:left w:val="nil"/>
          <w:bottom w:val="nil"/>
          <w:right w:val="nil"/>
          <w:between w:val="nil"/>
        </w:pBdr>
        <w:tabs>
          <w:tab w:val="left" w:pos="851"/>
        </w:tabs>
        <w:spacing w:after="0" w:line="240" w:lineRule="auto"/>
        <w:ind w:right="-1"/>
        <w:rPr>
          <w:rFonts w:eastAsia="Times New Roman" w:cstheme="minorHAnsi"/>
          <w:color w:val="000000"/>
        </w:rPr>
      </w:pPr>
    </w:p>
    <w:p w14:paraId="584EF0E0" w14:textId="77777777" w:rsidR="00135E8A" w:rsidRPr="00CC38E3" w:rsidRDefault="00135E8A" w:rsidP="00831905">
      <w:pPr>
        <w:keepNext/>
        <w:keepLines/>
        <w:spacing w:before="40" w:after="0" w:line="240" w:lineRule="auto"/>
        <w:ind w:firstLine="567"/>
        <w:outlineLvl w:val="2"/>
        <w:rPr>
          <w:rFonts w:eastAsia="Times New Roman" w:cstheme="minorHAnsi"/>
          <w:i/>
        </w:rPr>
      </w:pPr>
      <w:bookmarkStart w:id="15" w:name="_Toc104379818"/>
      <w:r w:rsidRPr="00CC38E3">
        <w:rPr>
          <w:rFonts w:eastAsia="Times New Roman" w:cstheme="minorHAnsi"/>
          <w:i/>
        </w:rPr>
        <w:t>Dėl slapčia įrašytų susitikimų pagrindu parengtos publikacijos, atskleidusios pareiškėjo privataus gyvenimo detales bei atvaizdą</w:t>
      </w:r>
      <w:bookmarkEnd w:id="15"/>
    </w:p>
    <w:p w14:paraId="677BAE9E" w14:textId="77777777" w:rsidR="00135E8A" w:rsidRPr="00CC38E3" w:rsidRDefault="00135E8A" w:rsidP="005C5A0E">
      <w:pPr>
        <w:pBdr>
          <w:top w:val="nil"/>
          <w:left w:val="nil"/>
          <w:bottom w:val="nil"/>
          <w:right w:val="nil"/>
          <w:between w:val="nil"/>
        </w:pBdr>
        <w:tabs>
          <w:tab w:val="left" w:pos="851"/>
        </w:tabs>
        <w:spacing w:after="0" w:line="240" w:lineRule="auto"/>
        <w:ind w:right="-1" w:firstLine="567"/>
        <w:rPr>
          <w:rFonts w:eastAsia="Times New Roman" w:cstheme="minorHAnsi"/>
          <w:color w:val="000000"/>
        </w:rPr>
      </w:pPr>
    </w:p>
    <w:p w14:paraId="0EE6DD29" w14:textId="77777777" w:rsidR="00135E8A" w:rsidRPr="00CC38E3" w:rsidRDefault="00135E8A" w:rsidP="005C5A0E">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CC38E3">
        <w:rPr>
          <w:rFonts w:eastAsia="Times New Roman" w:cstheme="minorHAnsi"/>
          <w:b/>
          <w:bCs/>
          <w:color w:val="000000"/>
        </w:rPr>
        <w:t>Faktinės aplinkybės</w:t>
      </w:r>
    </w:p>
    <w:p w14:paraId="49BF27BD" w14:textId="77777777" w:rsidR="00135E8A" w:rsidRPr="00CC38E3" w:rsidRDefault="00135E8A" w:rsidP="005C5A0E">
      <w:pPr>
        <w:pBdr>
          <w:top w:val="nil"/>
          <w:left w:val="nil"/>
          <w:bottom w:val="nil"/>
          <w:right w:val="nil"/>
          <w:between w:val="nil"/>
        </w:pBdr>
        <w:tabs>
          <w:tab w:val="left" w:pos="851"/>
        </w:tabs>
        <w:spacing w:after="0" w:line="240" w:lineRule="auto"/>
        <w:ind w:right="-1" w:firstLine="567"/>
        <w:rPr>
          <w:rFonts w:eastAsia="Times New Roman" w:cstheme="minorHAnsi"/>
          <w:color w:val="000000"/>
        </w:rPr>
      </w:pPr>
    </w:p>
    <w:p w14:paraId="45646031" w14:textId="7F19551D" w:rsidR="00135E8A" w:rsidRPr="00CC38E3" w:rsidRDefault="00135E8A" w:rsidP="005C5A0E">
      <w:pPr>
        <w:spacing w:after="0" w:line="240" w:lineRule="auto"/>
        <w:ind w:firstLine="567"/>
        <w:jc w:val="both"/>
        <w:rPr>
          <w:rFonts w:eastAsia="Times New Roman" w:cstheme="minorHAnsi"/>
          <w:color w:val="000000"/>
        </w:rPr>
      </w:pPr>
      <w:r w:rsidRPr="00CC38E3">
        <w:rPr>
          <w:rFonts w:eastAsia="Times New Roman" w:cstheme="minorHAnsi"/>
          <w:color w:val="000000"/>
        </w:rPr>
        <w:lastRenderedPageBreak/>
        <w:t>Pareiškėjas kartu su partneriu norėjo tapti biologiniais tėvais pasinaudodami surogacija, tuo metu nereguliuota Slovakijos teisėje. Visoje šalyje spausdinamame dienraštyje</w:t>
      </w:r>
      <w:r w:rsidR="0094048E">
        <w:rPr>
          <w:rFonts w:eastAsia="Times New Roman" w:cstheme="minorHAnsi"/>
          <w:color w:val="000000"/>
        </w:rPr>
        <w:t xml:space="preserve"> jis</w:t>
      </w:r>
      <w:r w:rsidRPr="00CC38E3">
        <w:rPr>
          <w:rFonts w:eastAsia="Times New Roman" w:cstheme="minorHAnsi"/>
          <w:color w:val="000000"/>
        </w:rPr>
        <w:t xml:space="preserve"> patalpino skelbimą, jog ieško moters, kuri sutiktų išnešioti „jų“ kūdikį mainais į finansinę paramą. Reklamoje nebuvo atskleista pareiškėjo tapatybė ir žadėtas visiškas konfidencialumas. Tyrimų skyriaus žurnalistė atsiliepė į šį skelbimą ir, apsimesdama potencialia surogatine motina, slapta kamera nufilmavo susitikimus su pareiškėju. Jos reportažas apie pareiškėjo siekį „nusipirkti“ vaiką, papildytas vaizdo įrašais, buvo parodytas Slovakijos televizijoje. Netrukus populiarus dienraštis išspausdino publikaciją „Prekyba negimusiais vaikais“, kuriame televizijos reportažo pagrindu aprašė pareiškėjo istoriją ir be jo sutikimo paviešino privačias gyvenimo detales bei nuotraukas iš televizijos reportažo. Nors pareiškėjui pavyko sėkmingai apginti savo asmens neliečiamybę dėl parodyto televizijos reportažo, jo ieškinys laikraščiui buvo atmestas.</w:t>
      </w:r>
    </w:p>
    <w:p w14:paraId="36CB0C2C" w14:textId="77777777" w:rsidR="00135E8A" w:rsidRPr="00CC38E3" w:rsidRDefault="00135E8A" w:rsidP="005C5A0E">
      <w:pPr>
        <w:spacing w:after="0" w:line="240" w:lineRule="auto"/>
        <w:ind w:right="-1" w:firstLine="567"/>
        <w:jc w:val="both"/>
        <w:rPr>
          <w:rFonts w:eastAsia="Times New Roman" w:cstheme="minorHAnsi"/>
          <w:color w:val="000000"/>
        </w:rPr>
      </w:pPr>
      <w:r w:rsidRPr="00CC38E3">
        <w:rPr>
          <w:rFonts w:eastAsia="Times New Roman" w:cstheme="minorHAnsi"/>
          <w:color w:val="000000"/>
        </w:rPr>
        <w:t>Pareiškėjas, remdamasis Konvencijos 8 straipsniu, kreipėsi į Teismą, kadangi nacionaliniai teismai neužtikrino teisingos pusiausvyros tarp jo privataus gyvenimo ir atsakovo saviraiškos laisvės apsaugos.</w:t>
      </w:r>
    </w:p>
    <w:p w14:paraId="269EBBB1" w14:textId="77777777" w:rsidR="00135E8A" w:rsidRPr="00CC38E3" w:rsidRDefault="00135E8A" w:rsidP="005C5A0E">
      <w:pPr>
        <w:spacing w:after="0" w:line="240" w:lineRule="auto"/>
        <w:ind w:right="-1" w:firstLine="567"/>
        <w:rPr>
          <w:rFonts w:eastAsia="Calibri" w:cstheme="minorHAnsi"/>
        </w:rPr>
      </w:pPr>
    </w:p>
    <w:p w14:paraId="3293489F" w14:textId="77777777" w:rsidR="00135E8A" w:rsidRPr="00CC38E3" w:rsidRDefault="00135E8A"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Neoficiali Teismo sprendimo apžvalga</w:t>
      </w:r>
    </w:p>
    <w:p w14:paraId="5755D500" w14:textId="77777777" w:rsidR="00135E8A" w:rsidRPr="00CC38E3" w:rsidRDefault="00135E8A" w:rsidP="005C5A0E">
      <w:pPr>
        <w:spacing w:after="0" w:line="240" w:lineRule="auto"/>
        <w:ind w:right="-1" w:firstLine="567"/>
        <w:rPr>
          <w:rFonts w:eastAsia="Calibri" w:cstheme="minorHAnsi"/>
        </w:rPr>
      </w:pPr>
    </w:p>
    <w:p w14:paraId="12D947A8" w14:textId="36223632" w:rsidR="00135E8A" w:rsidRPr="00CC38E3" w:rsidRDefault="00135E8A" w:rsidP="005C5A0E">
      <w:pPr>
        <w:spacing w:after="0" w:line="240" w:lineRule="auto"/>
        <w:ind w:firstLine="567"/>
        <w:jc w:val="both"/>
        <w:rPr>
          <w:rFonts w:eastAsia="Calibri" w:cstheme="minorHAnsi"/>
        </w:rPr>
      </w:pPr>
      <w:r w:rsidRPr="00CC38E3">
        <w:rPr>
          <w:rFonts w:eastAsia="Calibri" w:cstheme="minorHAnsi"/>
        </w:rPr>
        <w:t xml:space="preserve">Teismas priminė savo ankstesniąją praktiką, kurioje išdėstyti principai, aktualūs sprendžiant privataus gyvenimo apsaugos ir saviraiškos laisvės balansavimo klausimą: asmens žinomumas; ankstesnis jo elgesys ir straipsnio tema; publikacijos forma, turinys ir sukeltos pasekmės; prisidėjimas prie viešojo intereso diskusijos; būdas, kuriuo gautos nuotraukos. Visų pirma, </w:t>
      </w:r>
      <w:r w:rsidRPr="00CC38E3">
        <w:rPr>
          <w:rFonts w:eastAsia="Calibri" w:cstheme="minorHAnsi"/>
          <w:u w:val="single"/>
        </w:rPr>
        <w:t>Teismas nesutiko su nacionalinių teismų vertinimu, jog pareiškėjo užsakytas skelbimas laikraštyje atvėrė platesnes ribas jo kritikai – vien tai, kad eilinis asmuo pasinaudojo galimybe paskelbti reklamą, nėra priežastis sumažinti jo apsaugos lygį pagal Konvencijos 8 straipsnį</w:t>
      </w:r>
      <w:r w:rsidRPr="00CC38E3">
        <w:rPr>
          <w:rFonts w:eastAsia="Calibri" w:cstheme="minorHAnsi"/>
        </w:rPr>
        <w:t xml:space="preserve">. Jis nebuvo viešas ar </w:t>
      </w:r>
      <w:r w:rsidR="0094048E">
        <w:rPr>
          <w:rFonts w:eastAsia="Calibri" w:cstheme="minorHAnsi"/>
        </w:rPr>
        <w:t>svarbus</w:t>
      </w:r>
      <w:r w:rsidRPr="00CC38E3">
        <w:rPr>
          <w:rFonts w:eastAsia="Calibri" w:cstheme="minorHAnsi"/>
        </w:rPr>
        <w:t xml:space="preserve"> asmuo Teismo praktikos prasme, skelbimu nesiekė viešumo ir susitikdamas aptarti potencialią surogaciją</w:t>
      </w:r>
      <w:r w:rsidR="002868A4" w:rsidRPr="00CC38E3">
        <w:rPr>
          <w:rFonts w:eastAsia="Calibri" w:cstheme="minorHAnsi"/>
        </w:rPr>
        <w:t xml:space="preserve">, </w:t>
      </w:r>
      <w:r w:rsidRPr="00CC38E3">
        <w:rPr>
          <w:rFonts w:eastAsia="Calibri" w:cstheme="minorHAnsi"/>
        </w:rPr>
        <w:t>negalėjo numatyti rizikos būti įrašyta</w:t>
      </w:r>
      <w:r w:rsidR="0094048E">
        <w:rPr>
          <w:rFonts w:eastAsia="Calibri" w:cstheme="minorHAnsi"/>
        </w:rPr>
        <w:t>m</w:t>
      </w:r>
      <w:r w:rsidRPr="00CC38E3">
        <w:rPr>
          <w:rFonts w:eastAsia="Calibri" w:cstheme="minorHAnsi"/>
        </w:rPr>
        <w:t xml:space="preserve"> ir paskelbta</w:t>
      </w:r>
      <w:r w:rsidR="0094048E">
        <w:rPr>
          <w:rFonts w:eastAsia="Calibri" w:cstheme="minorHAnsi"/>
        </w:rPr>
        <w:t>m</w:t>
      </w:r>
      <w:r w:rsidRPr="00CC38E3">
        <w:rPr>
          <w:rFonts w:eastAsia="Calibri" w:cstheme="minorHAnsi"/>
        </w:rPr>
        <w:t xml:space="preserve"> žiniasklaidoje. Vis dėlto </w:t>
      </w:r>
      <w:r w:rsidRPr="00CC38E3">
        <w:rPr>
          <w:rFonts w:eastAsia="Calibri" w:cstheme="minorHAnsi"/>
          <w:u w:val="single"/>
        </w:rPr>
        <w:t>Teismas sutiko su nacionalinių teismų vertinimu, jog publikacijos tikslas buvo informuoti visuomenę apie kontraversišką ir visuomenės dėmesio nusipelniusią temą, kadangi joje buvo paminėtas ir gydytojų įsitraukimas į šį procesą klastojant tam tikrus dokumentus bei aptarta teisinio reguliavimo stoka</w:t>
      </w:r>
      <w:r w:rsidRPr="00CC38E3">
        <w:rPr>
          <w:rFonts w:eastAsia="Calibri" w:cstheme="minorHAnsi"/>
        </w:rPr>
        <w:t>.</w:t>
      </w:r>
    </w:p>
    <w:p w14:paraId="349EA5AA" w14:textId="77777777" w:rsidR="00135E8A" w:rsidRPr="00CC38E3" w:rsidRDefault="00135E8A" w:rsidP="005C5A0E">
      <w:pPr>
        <w:spacing w:after="0" w:line="240" w:lineRule="auto"/>
        <w:ind w:firstLine="567"/>
        <w:jc w:val="both"/>
        <w:rPr>
          <w:rFonts w:eastAsia="Calibri" w:cstheme="minorHAnsi"/>
        </w:rPr>
      </w:pPr>
      <w:r w:rsidRPr="00CC38E3">
        <w:rPr>
          <w:rFonts w:eastAsia="Calibri" w:cstheme="minorHAnsi"/>
        </w:rPr>
        <w:t>Nors publikacijoje ir buvo nurodytos tam tikros pareiškėjo gyvenimo detalės, jo siekiai bei derybos su „potencialia“ surogatine motina, Teismas sutiko su nacionalinių teismų atliktu vertinimu, jog tai savaime nereiškia Konvencijos pažeidimo.</w:t>
      </w:r>
      <w:r w:rsidRPr="00CC38E3">
        <w:rPr>
          <w:rFonts w:eastAsia="Calibri" w:cstheme="minorHAnsi"/>
          <w:u w:val="single"/>
        </w:rPr>
        <w:t xml:space="preserve"> Nepaisant to, jog publikacija galėtų būti laikoma dalimi platesnių diskusijų, vykstančių su reikšmingu viešuoju interesu susijusiu klausimu, Teismas vis dėlto nerado paaiškinimo, kaip publikacijoje pridėtos pareiškėjo nuotraukos kaip nors prie tokio intereso prisideda</w:t>
      </w:r>
      <w:r w:rsidRPr="00CC38E3">
        <w:rPr>
          <w:rFonts w:eastAsia="Calibri" w:cstheme="minorHAnsi"/>
        </w:rPr>
        <w:t>.</w:t>
      </w:r>
    </w:p>
    <w:p w14:paraId="454635FC" w14:textId="77777777" w:rsidR="00135E8A" w:rsidRPr="00CC38E3" w:rsidRDefault="00135E8A" w:rsidP="005C5A0E">
      <w:pPr>
        <w:spacing w:after="0" w:line="240" w:lineRule="auto"/>
        <w:ind w:firstLine="567"/>
        <w:jc w:val="both"/>
        <w:rPr>
          <w:rFonts w:eastAsia="Calibri" w:cstheme="minorHAnsi"/>
        </w:rPr>
      </w:pPr>
      <w:r w:rsidRPr="00CC38E3">
        <w:rPr>
          <w:rFonts w:eastAsia="Calibri" w:cstheme="minorHAnsi"/>
        </w:rPr>
        <w:t>Iš televizijos reportažo buvo akivaizdu, kad įrašai su pareiškėju padaryti slapčia, apgaule suorganizavus susitikimą. Pareiškėjas taip pat nedavė sutikimo tokias nuotraukas publikuoti. Kadangi pareiškėjas negalėjo tikėtis, jog bus įrašinėjimas ar viešai aptarinėjimas ir savanoriškai nebendradarbiavo su žiniasklaida, jo pagrįsti privatumo lūkesčiai yra svarbus, nors ir nebūtinai lemiantis veiksnys. Nacionaliniai teismai neatsižvelgė į tai, kad su pareiškėju susiję duomenys buvo gauti ir publikuoti neteisėtai, be to, visiškai nevertino, ar žurnalistas, imdamas medžiagą iš kito reportažo, elgėsi sąžiningai ir ėmėsi visų reikalingų atsargos priemonių. Aplinkybės, kuriomis nuotraukos buvo padarytos, žurnalistą ir laikraščio leidėją turėjo įspėti, jog tokia medžiaga turėtų būti naudojama atsargiai ir neskleidžiama nepaslepiant pareiškėjo veido.</w:t>
      </w:r>
    </w:p>
    <w:p w14:paraId="3191EC79" w14:textId="77777777" w:rsidR="00135E8A" w:rsidRPr="00CC38E3" w:rsidRDefault="00135E8A" w:rsidP="005C5A0E">
      <w:pPr>
        <w:spacing w:after="0" w:line="240" w:lineRule="auto"/>
        <w:ind w:firstLine="567"/>
        <w:jc w:val="both"/>
        <w:rPr>
          <w:rFonts w:eastAsia="Times New Roman" w:cstheme="minorHAnsi"/>
          <w:color w:val="000000"/>
        </w:rPr>
      </w:pPr>
      <w:r w:rsidRPr="00CC38E3">
        <w:rPr>
          <w:rFonts w:eastAsia="Times New Roman" w:cstheme="minorHAnsi"/>
          <w:color w:val="000000"/>
        </w:rPr>
        <w:t>Įvertinęs tai, kas išdėstyta, o ypač netinkamą pareiškėjo ankstesnio elgesio įvertinimą, neatsižvelgimą į būdą, kuriuo nuotraukos buvo padarytos, ir, svarbiausia, neredaguotų nuotraukų rodymu padaryto prisidėjimo prie viešojo intereso diskurso stoką, Teismas pripažino nacionalinius teismus netinkamai įvertinus konkuruojančių vertybių balansą.</w:t>
      </w:r>
    </w:p>
    <w:p w14:paraId="4629B553" w14:textId="77777777" w:rsidR="00135E8A" w:rsidRPr="00CC38E3" w:rsidRDefault="00135E8A" w:rsidP="005C5A0E">
      <w:pPr>
        <w:spacing w:after="0" w:line="240" w:lineRule="auto"/>
        <w:ind w:firstLine="567"/>
        <w:rPr>
          <w:rFonts w:eastAsia="Times New Roman" w:cstheme="minorHAnsi"/>
          <w:color w:val="000000"/>
        </w:rPr>
      </w:pPr>
    </w:p>
    <w:p w14:paraId="491E030C" w14:textId="77777777" w:rsidR="00135E8A" w:rsidRPr="00CC38E3" w:rsidRDefault="00135E8A" w:rsidP="005C5A0E">
      <w:pPr>
        <w:spacing w:after="0" w:line="240" w:lineRule="auto"/>
        <w:ind w:firstLine="567"/>
        <w:rPr>
          <w:rFonts w:eastAsia="Calibri" w:cstheme="minorHAnsi"/>
        </w:rPr>
      </w:pPr>
      <w:r w:rsidRPr="00CC38E3">
        <w:rPr>
          <w:rFonts w:eastAsia="Calibri" w:cstheme="minorHAnsi"/>
        </w:rPr>
        <w:t>Išvada: nustatytas Konvencijos 8 straipsnio pažeidimas (vienbalsiai).</w:t>
      </w:r>
    </w:p>
    <w:p w14:paraId="1F67D1A8" w14:textId="77777777" w:rsidR="00135E8A" w:rsidRPr="00CC38E3" w:rsidRDefault="00135E8A" w:rsidP="005C5A0E">
      <w:pPr>
        <w:spacing w:after="0" w:line="240" w:lineRule="auto"/>
        <w:ind w:firstLine="567"/>
        <w:rPr>
          <w:rFonts w:eastAsia="Calibri" w:cstheme="minorHAnsi"/>
        </w:rPr>
      </w:pPr>
      <w:r w:rsidRPr="00CC38E3">
        <w:rPr>
          <w:rFonts w:eastAsia="Calibri" w:cstheme="minorHAnsi"/>
        </w:rPr>
        <w:t>41 straipsnis: pareiškėjui priteista 6 449 Eur patirtoms išlaidoms atlyginti.</w:t>
      </w:r>
    </w:p>
    <w:p w14:paraId="6CE2DBE4" w14:textId="77777777" w:rsidR="00135E8A" w:rsidRPr="00CC38E3" w:rsidRDefault="00A1313E" w:rsidP="005C5A0E">
      <w:pPr>
        <w:spacing w:after="0" w:line="240" w:lineRule="auto"/>
        <w:ind w:firstLine="567"/>
        <w:rPr>
          <w:rFonts w:eastAsia="Calibri" w:cstheme="minorHAnsi"/>
          <w:color w:val="0000FF"/>
          <w:u w:val="single"/>
        </w:rPr>
      </w:pPr>
      <w:hyperlink r:id="rId13" w:history="1">
        <w:r w:rsidR="00135E8A" w:rsidRPr="00CC38E3">
          <w:rPr>
            <w:rFonts w:eastAsia="Calibri" w:cstheme="minorHAnsi"/>
            <w:color w:val="0000FF"/>
            <w:u w:val="single"/>
          </w:rPr>
          <w:t>Prieiga internete</w:t>
        </w:r>
      </w:hyperlink>
    </w:p>
    <w:p w14:paraId="5973B344" w14:textId="77777777" w:rsidR="00135E8A" w:rsidRPr="00CC38E3" w:rsidRDefault="00135E8A" w:rsidP="005C5A0E">
      <w:pPr>
        <w:spacing w:line="240" w:lineRule="auto"/>
        <w:rPr>
          <w:rFonts w:cstheme="minorHAnsi"/>
        </w:rPr>
      </w:pPr>
    </w:p>
    <w:p w14:paraId="0489C565" w14:textId="77777777" w:rsidR="00B10587" w:rsidRPr="00CC38E3" w:rsidRDefault="00B10587" w:rsidP="005C5A0E">
      <w:pPr>
        <w:pStyle w:val="Betarp"/>
        <w:ind w:firstLine="567"/>
        <w:jc w:val="center"/>
        <w:rPr>
          <w:rFonts w:cstheme="minorHAnsi"/>
          <w:b/>
          <w:bCs/>
        </w:rPr>
      </w:pPr>
      <w:r w:rsidRPr="00CC38E3">
        <w:rPr>
          <w:rFonts w:cstheme="minorHAnsi"/>
          <w:b/>
          <w:bCs/>
        </w:rPr>
        <w:t>Europos Žmogaus Teisių Teismo 2021 m. rugsėjo 28 d. nutarimas byloje</w:t>
      </w:r>
    </w:p>
    <w:p w14:paraId="34667960" w14:textId="77777777" w:rsidR="00B10587" w:rsidRPr="00CC38E3" w:rsidRDefault="00B10587" w:rsidP="002A73CF">
      <w:pPr>
        <w:keepNext/>
        <w:keepLines/>
        <w:spacing w:after="0" w:line="240" w:lineRule="auto"/>
        <w:ind w:firstLine="720"/>
        <w:jc w:val="center"/>
        <w:outlineLvl w:val="1"/>
        <w:rPr>
          <w:rFonts w:eastAsia="Times New Roman" w:cstheme="minorHAnsi"/>
          <w:b/>
          <w:bCs/>
          <w:i/>
          <w:iCs/>
          <w:color w:val="2E74B5"/>
        </w:rPr>
      </w:pPr>
      <w:bookmarkStart w:id="16" w:name="_Toc104379819"/>
      <w:r w:rsidRPr="00CC38E3">
        <w:rPr>
          <w:rFonts w:eastAsia="Times New Roman" w:cstheme="minorHAnsi"/>
          <w:b/>
          <w:bCs/>
          <w:i/>
          <w:iCs/>
          <w:color w:val="2E74B5"/>
        </w:rPr>
        <w:t>Makarčeva prieš Lietuvą</w:t>
      </w:r>
      <w:bookmarkEnd w:id="16"/>
    </w:p>
    <w:p w14:paraId="5A4B2EDE" w14:textId="77777777" w:rsidR="00B10587" w:rsidRPr="00CC38E3" w:rsidRDefault="00B10587" w:rsidP="005C5A0E">
      <w:pPr>
        <w:pStyle w:val="Betarp"/>
        <w:ind w:firstLine="567"/>
        <w:jc w:val="center"/>
        <w:rPr>
          <w:rFonts w:cstheme="minorHAnsi"/>
          <w:b/>
          <w:bCs/>
        </w:rPr>
      </w:pPr>
      <w:r w:rsidRPr="00CC38E3">
        <w:rPr>
          <w:rFonts w:cstheme="minorHAnsi"/>
          <w:b/>
          <w:bCs/>
        </w:rPr>
        <w:t>(pareiškimo Nr. 31838/19, svarbos lygis – 3)</w:t>
      </w:r>
    </w:p>
    <w:p w14:paraId="1151D012" w14:textId="77777777" w:rsidR="00B10587" w:rsidRPr="00CC38E3" w:rsidRDefault="00B10587" w:rsidP="005C5A0E">
      <w:pPr>
        <w:pStyle w:val="Betarp"/>
        <w:ind w:firstLine="567"/>
        <w:jc w:val="both"/>
        <w:rPr>
          <w:rFonts w:cstheme="minorHAnsi"/>
        </w:rPr>
      </w:pPr>
    </w:p>
    <w:p w14:paraId="0AA7F8B7" w14:textId="77777777" w:rsidR="00B10587" w:rsidRPr="00CC38E3" w:rsidRDefault="00B10587" w:rsidP="002A73CF">
      <w:pPr>
        <w:keepNext/>
        <w:keepLines/>
        <w:spacing w:before="40" w:after="0" w:line="240" w:lineRule="auto"/>
        <w:ind w:firstLine="567"/>
        <w:outlineLvl w:val="2"/>
        <w:rPr>
          <w:rFonts w:eastAsia="Times New Roman" w:cstheme="minorHAnsi"/>
          <w:i/>
        </w:rPr>
      </w:pPr>
      <w:bookmarkStart w:id="17" w:name="_Toc104379820"/>
      <w:r w:rsidRPr="00CC38E3">
        <w:rPr>
          <w:rFonts w:eastAsia="Times New Roman" w:cstheme="minorHAnsi"/>
          <w:i/>
        </w:rPr>
        <w:t>Dėl teisės paveldėti savo mirusio partnerio turtą</w:t>
      </w:r>
      <w:bookmarkEnd w:id="17"/>
      <w:r w:rsidRPr="00CC38E3">
        <w:rPr>
          <w:rFonts w:eastAsia="Times New Roman" w:cstheme="minorHAnsi"/>
          <w:i/>
        </w:rPr>
        <w:t xml:space="preserve"> </w:t>
      </w:r>
    </w:p>
    <w:p w14:paraId="68FD4478" w14:textId="77777777" w:rsidR="00B10587" w:rsidRPr="00CC38E3" w:rsidRDefault="00B10587" w:rsidP="005C5A0E">
      <w:pPr>
        <w:pStyle w:val="Betarp"/>
        <w:ind w:firstLine="567"/>
        <w:jc w:val="both"/>
        <w:rPr>
          <w:rFonts w:cstheme="minorHAnsi"/>
        </w:rPr>
      </w:pPr>
    </w:p>
    <w:p w14:paraId="57388E14" w14:textId="77777777" w:rsidR="00B10587" w:rsidRPr="00CC38E3" w:rsidRDefault="00B10587" w:rsidP="005C5A0E">
      <w:pPr>
        <w:pStyle w:val="Betarp"/>
        <w:ind w:firstLine="567"/>
        <w:jc w:val="center"/>
        <w:rPr>
          <w:rFonts w:cstheme="minorHAnsi"/>
          <w:b/>
          <w:bCs/>
        </w:rPr>
      </w:pPr>
      <w:r w:rsidRPr="00CC38E3">
        <w:rPr>
          <w:rFonts w:cstheme="minorHAnsi"/>
          <w:b/>
          <w:bCs/>
        </w:rPr>
        <w:t>Faktinės aplinkybės</w:t>
      </w:r>
    </w:p>
    <w:p w14:paraId="2FAF70FB" w14:textId="77777777" w:rsidR="00B10587" w:rsidRPr="00CC38E3" w:rsidRDefault="00B10587" w:rsidP="005C5A0E">
      <w:pPr>
        <w:pStyle w:val="Betarp"/>
        <w:ind w:firstLine="567"/>
        <w:jc w:val="center"/>
        <w:rPr>
          <w:rFonts w:cstheme="minorHAnsi"/>
          <w:b/>
          <w:bCs/>
        </w:rPr>
      </w:pPr>
    </w:p>
    <w:p w14:paraId="788E0D3F" w14:textId="77777777" w:rsidR="00B10587" w:rsidRPr="00CC38E3" w:rsidRDefault="00B10587" w:rsidP="005C5A0E">
      <w:pPr>
        <w:pStyle w:val="Betarp"/>
        <w:ind w:firstLine="567"/>
        <w:jc w:val="both"/>
        <w:rPr>
          <w:rFonts w:cstheme="minorHAnsi"/>
        </w:rPr>
      </w:pPr>
      <w:r w:rsidRPr="00CC38E3">
        <w:rPr>
          <w:rFonts w:cstheme="minorHAnsi"/>
        </w:rPr>
        <w:t xml:space="preserve">Pareiškėja 1993 m. užmezgė santykius su J. B., jie gyveno kartu kaip pora iki J. B. mirties 2013 m., tačiau nebuvo susituokę. Mirusiajam priklausė du butai, kurie buvo oficialiai įregistruoti kaip jo nuosavybė. J. B. taip pat turėjo bendrovės akcijų. Visą savo santykių laikotarpį pareiškėja su partneriu gyveno viename iš jam priklausiusių butų. J. B. nepaliko testamento, neturėjo jokių įpėdinių pagal įstatymą, todėl jo turtą po mirties paveldėjo valstybė. </w:t>
      </w:r>
    </w:p>
    <w:p w14:paraId="7C9F0F56" w14:textId="77777777" w:rsidR="00B10587" w:rsidRPr="00CC38E3" w:rsidRDefault="00B10587" w:rsidP="005C5A0E">
      <w:pPr>
        <w:pStyle w:val="Betarp"/>
        <w:ind w:firstLine="567"/>
        <w:jc w:val="both"/>
        <w:rPr>
          <w:rFonts w:cstheme="minorHAnsi"/>
        </w:rPr>
      </w:pPr>
      <w:r w:rsidRPr="00CC38E3">
        <w:rPr>
          <w:rFonts w:cstheme="minorHAnsi"/>
        </w:rPr>
        <w:t xml:space="preserve">Pareiškėja 2013 m. kreipėsi į nacionalinius teismus su ieškiniu, siekdama oficialaus teisinio pripažinimo, kad du butai ir akcijos buvo jos ir jos mirusio partnerio bendra nuosavybė, tačiau nacionaliniai teismai atmetė šį pareiškėjos ieškinį. </w:t>
      </w:r>
    </w:p>
    <w:p w14:paraId="7D1C5458" w14:textId="27390A88" w:rsidR="00B10587" w:rsidRPr="00CC38E3" w:rsidRDefault="00B10587" w:rsidP="005C5A0E">
      <w:pPr>
        <w:pStyle w:val="Betarp"/>
        <w:ind w:firstLine="567"/>
        <w:jc w:val="both"/>
        <w:rPr>
          <w:rFonts w:cstheme="minorHAnsi"/>
        </w:rPr>
      </w:pPr>
      <w:r w:rsidRPr="00CC38E3">
        <w:rPr>
          <w:rFonts w:cstheme="minorHAnsi"/>
        </w:rPr>
        <w:t>Pareiškėja 2017 m. pradėjo naują teismo procesą, prašydama teismo nustatyti juridinį faktą, kad tarp jos ir J. B. buvo susiklostę faktiniai šeim</w:t>
      </w:r>
      <w:r w:rsidR="00B9626B" w:rsidRPr="00CC38E3">
        <w:rPr>
          <w:rFonts w:cstheme="minorHAnsi"/>
        </w:rPr>
        <w:t>i</w:t>
      </w:r>
      <w:r w:rsidRPr="00CC38E3">
        <w:rPr>
          <w:rFonts w:cstheme="minorHAnsi"/>
        </w:rPr>
        <w:t xml:space="preserve">niai teisiniai santykiai, taip pat pripažinti negaliojančiu valstybei išduotą paveldėjimo teisės liudijimą. Nacionaliniai teismai atsisakė priimti nagrinėti pareiškėjos ieškinio dalį dėl juridinio fakto nustatymo, motyvuodami tuo, kad jos ir mirusio partnerio faktinio šeimos gyvenimo pripažinimas nesukurs jokių teisinių padarinių, o pareiškėjos ieškinio dalį dėl paveldėjimo teisės liudijimo pripažinimo neteisėtu atmetė. </w:t>
      </w:r>
    </w:p>
    <w:p w14:paraId="42DCA8C8" w14:textId="5985DB07" w:rsidR="00B10587" w:rsidRPr="00CC38E3" w:rsidRDefault="00B10587" w:rsidP="005C5A0E">
      <w:pPr>
        <w:pStyle w:val="Betarp"/>
        <w:ind w:firstLine="567"/>
        <w:jc w:val="both"/>
        <w:rPr>
          <w:rFonts w:cstheme="minorHAnsi"/>
        </w:rPr>
      </w:pPr>
      <w:r w:rsidRPr="00CC38E3">
        <w:rPr>
          <w:rFonts w:cstheme="minorHAnsi"/>
        </w:rPr>
        <w:t>2017 m. buvo pradėtas teismo procesas dėl pareiškėjos iškeldinimo iš valstybei priklausančio buto. Tuo metu, kai T</w:t>
      </w:r>
      <w:r w:rsidR="00B9626B" w:rsidRPr="00CC38E3">
        <w:rPr>
          <w:rFonts w:cstheme="minorHAnsi"/>
        </w:rPr>
        <w:t>eismui</w:t>
      </w:r>
      <w:r w:rsidRPr="00CC38E3">
        <w:rPr>
          <w:rFonts w:cstheme="minorHAnsi"/>
        </w:rPr>
        <w:t xml:space="preserve"> paskutinį kartą buvo pateiktos šalių pastabos, byla dar </w:t>
      </w:r>
      <w:r w:rsidR="00B9626B" w:rsidRPr="00CC38E3">
        <w:rPr>
          <w:rFonts w:cstheme="minorHAnsi"/>
        </w:rPr>
        <w:t>ne</w:t>
      </w:r>
      <w:r w:rsidRPr="00CC38E3">
        <w:rPr>
          <w:rFonts w:cstheme="minorHAnsi"/>
        </w:rPr>
        <w:t>buv</w:t>
      </w:r>
      <w:r w:rsidR="00B9626B" w:rsidRPr="00CC38E3">
        <w:rPr>
          <w:rFonts w:cstheme="minorHAnsi"/>
        </w:rPr>
        <w:t xml:space="preserve">o </w:t>
      </w:r>
      <w:r w:rsidRPr="00CC38E3">
        <w:rPr>
          <w:rFonts w:cstheme="minorHAnsi"/>
        </w:rPr>
        <w:t xml:space="preserve">išnagrinėta. </w:t>
      </w:r>
    </w:p>
    <w:p w14:paraId="2643E164" w14:textId="77777777" w:rsidR="00B10587" w:rsidRPr="00CC38E3" w:rsidRDefault="00B10587" w:rsidP="005C5A0E">
      <w:pPr>
        <w:pStyle w:val="Betarp"/>
        <w:ind w:firstLine="567"/>
        <w:jc w:val="both"/>
        <w:rPr>
          <w:rFonts w:cstheme="minorHAnsi"/>
        </w:rPr>
      </w:pPr>
      <w:r w:rsidRPr="00CC38E3">
        <w:rPr>
          <w:rFonts w:cstheme="minorHAnsi"/>
        </w:rPr>
        <w:t>Pareiškėja 2018 m. kreipėsi į teismą, prašydama priteisti turtinės žalos, kurią kildino iš Seimo ir Vyriausybės neveikimo, nepriimant partnerystės įstatymo, pareiškėjos teigimu, užkirtusio kelią jai paveldėti J. B. turtą, atlyginimo. Nacionaliniai teismai atmetė šį pareiškėjos skundą.</w:t>
      </w:r>
    </w:p>
    <w:p w14:paraId="152A7FEA" w14:textId="068C0D11" w:rsidR="00B10587" w:rsidRPr="00CC38E3" w:rsidRDefault="00B10587" w:rsidP="005C5A0E">
      <w:pPr>
        <w:pStyle w:val="Betarp"/>
        <w:ind w:firstLine="567"/>
        <w:jc w:val="both"/>
        <w:rPr>
          <w:rFonts w:cstheme="minorHAnsi"/>
        </w:rPr>
      </w:pPr>
      <w:r w:rsidRPr="00CC38E3">
        <w:rPr>
          <w:rFonts w:cstheme="minorHAnsi"/>
        </w:rPr>
        <w:t>Pareiškėja 2020 m. pateikė naują ieškinį, kuriuo prašė teismo pripažinti, kad ji su J. B. buvo sudariusi žodinį susitarimą dėl išlaikymo iki gyvos galvos, t. y. kad jie susitarė, jog pareiškėja išlaikys J. B. iki jo mirties, o mainais jis paliks jai savo turtą. Tuo metu, kai T</w:t>
      </w:r>
      <w:r w:rsidR="00B9626B" w:rsidRPr="00CC38E3">
        <w:rPr>
          <w:rFonts w:cstheme="minorHAnsi"/>
        </w:rPr>
        <w:t>eismui</w:t>
      </w:r>
      <w:r w:rsidRPr="00CC38E3">
        <w:rPr>
          <w:rFonts w:cstheme="minorHAnsi"/>
        </w:rPr>
        <w:t xml:space="preserve"> paskutinį kartą buvo pateiktos šalių pastabos, byla dar </w:t>
      </w:r>
      <w:r w:rsidR="00B9626B" w:rsidRPr="00CC38E3">
        <w:rPr>
          <w:rFonts w:cstheme="minorHAnsi"/>
        </w:rPr>
        <w:t>ne</w:t>
      </w:r>
      <w:r w:rsidRPr="00CC38E3">
        <w:rPr>
          <w:rFonts w:cstheme="minorHAnsi"/>
        </w:rPr>
        <w:t>buvo išnagrinėta.</w:t>
      </w:r>
    </w:p>
    <w:p w14:paraId="1A79EB88" w14:textId="6CFFB09A" w:rsidR="00B10587" w:rsidRPr="00CC38E3" w:rsidRDefault="00B10587" w:rsidP="005C5A0E">
      <w:pPr>
        <w:pStyle w:val="Betarp"/>
        <w:ind w:firstLine="567"/>
        <w:jc w:val="both"/>
        <w:rPr>
          <w:rFonts w:cstheme="minorHAnsi"/>
        </w:rPr>
      </w:pPr>
      <w:r w:rsidRPr="00CC38E3">
        <w:rPr>
          <w:rFonts w:cstheme="minorHAnsi"/>
        </w:rPr>
        <w:t>Pareiškėja T</w:t>
      </w:r>
      <w:r w:rsidR="00B9626B" w:rsidRPr="00CC38E3">
        <w:rPr>
          <w:rFonts w:cstheme="minorHAnsi"/>
        </w:rPr>
        <w:t>eismui</w:t>
      </w:r>
      <w:r w:rsidRPr="00CC38E3">
        <w:rPr>
          <w:rFonts w:cstheme="minorHAnsi"/>
        </w:rPr>
        <w:t xml:space="preserve"> skundėsi, kad Lietuvos teisėje nebuvo tinkamai apsaugotos nesusituokusių partnerių nuosavybės teisės, valstybės institucijos nepriėmė partnerystės įstatymo, todėl ji negalėjo paveldėti mirusio partnerio turto. Savo peticijoje pareiškėja rėmėsi Konvencijos 8 ir 14 </w:t>
      </w:r>
      <w:r w:rsidR="000576BD" w:rsidRPr="00CC38E3">
        <w:rPr>
          <w:rFonts w:cstheme="minorHAnsi"/>
        </w:rPr>
        <w:t xml:space="preserve">(diskriminacijos uždraudimas) </w:t>
      </w:r>
      <w:r w:rsidRPr="00CC38E3">
        <w:rPr>
          <w:rFonts w:cstheme="minorHAnsi"/>
        </w:rPr>
        <w:t xml:space="preserve">straipsniais. </w:t>
      </w:r>
    </w:p>
    <w:p w14:paraId="524D8ABC" w14:textId="77777777" w:rsidR="00B10587" w:rsidRPr="00CC38E3" w:rsidRDefault="00B10587" w:rsidP="005C5A0E">
      <w:pPr>
        <w:pStyle w:val="Betarp"/>
        <w:ind w:firstLine="567"/>
        <w:jc w:val="both"/>
        <w:rPr>
          <w:rFonts w:cstheme="minorHAnsi"/>
        </w:rPr>
      </w:pPr>
    </w:p>
    <w:p w14:paraId="03D02F55" w14:textId="77777777" w:rsidR="00B10587" w:rsidRPr="00CC38E3" w:rsidRDefault="00B10587" w:rsidP="005C5A0E">
      <w:pPr>
        <w:pStyle w:val="Betarp"/>
        <w:ind w:firstLine="567"/>
        <w:jc w:val="center"/>
        <w:rPr>
          <w:rFonts w:cstheme="minorHAnsi"/>
          <w:b/>
          <w:bCs/>
        </w:rPr>
      </w:pPr>
      <w:r w:rsidRPr="00CC38E3">
        <w:rPr>
          <w:rFonts w:cstheme="minorHAnsi"/>
          <w:b/>
          <w:bCs/>
        </w:rPr>
        <w:t>Neoficiali Teismo sprendimo apžvalga</w:t>
      </w:r>
    </w:p>
    <w:p w14:paraId="64B48BF8" w14:textId="77777777" w:rsidR="00B10587" w:rsidRPr="00CC38E3" w:rsidRDefault="00B10587" w:rsidP="005C5A0E">
      <w:pPr>
        <w:pStyle w:val="Betarp"/>
        <w:ind w:firstLine="567"/>
        <w:jc w:val="both"/>
        <w:rPr>
          <w:rFonts w:cstheme="minorHAnsi"/>
        </w:rPr>
      </w:pPr>
    </w:p>
    <w:p w14:paraId="7D6A9CDB" w14:textId="475BBEA5" w:rsidR="00B10587" w:rsidRPr="00CC38E3" w:rsidRDefault="00B10587" w:rsidP="005C5A0E">
      <w:pPr>
        <w:pStyle w:val="Betarp"/>
        <w:ind w:firstLine="567"/>
        <w:jc w:val="both"/>
        <w:rPr>
          <w:rFonts w:cstheme="minorHAnsi"/>
        </w:rPr>
      </w:pPr>
      <w:r w:rsidRPr="00CC38E3">
        <w:rPr>
          <w:rFonts w:cstheme="minorHAnsi"/>
        </w:rPr>
        <w:t>Vertindamas peticijos pateikimo momentą, T</w:t>
      </w:r>
      <w:r w:rsidR="000576BD" w:rsidRPr="00CC38E3">
        <w:rPr>
          <w:rFonts w:cstheme="minorHAnsi"/>
        </w:rPr>
        <w:t>eismas</w:t>
      </w:r>
      <w:r w:rsidRPr="00CC38E3">
        <w:rPr>
          <w:rFonts w:cstheme="minorHAnsi"/>
        </w:rPr>
        <w:t xml:space="preserve"> pažymėjo, jog dar nebaigti du nacionaliniai procesai, tačiau minėtose bylose iškelti teisiniai klausimai nėra taip glaudžiai susiję su peticija, kad dėl to ją reikėtų vertinti kaip pateiktą per anksti; be to, bylos, kuriose pareiškėja pateikė tuos pačius reikalavimus, kuriuos vėliau ji pateikė T</w:t>
      </w:r>
      <w:r w:rsidR="000576BD" w:rsidRPr="00CC38E3">
        <w:rPr>
          <w:rFonts w:cstheme="minorHAnsi"/>
        </w:rPr>
        <w:t>eismui</w:t>
      </w:r>
      <w:r w:rsidRPr="00CC38E3">
        <w:rPr>
          <w:rFonts w:cstheme="minorHAnsi"/>
        </w:rPr>
        <w:t>, jau užbaigtos galutiniais sprendimais. Todėl T</w:t>
      </w:r>
      <w:r w:rsidR="000576BD" w:rsidRPr="00CC38E3">
        <w:rPr>
          <w:rFonts w:cstheme="minorHAnsi"/>
        </w:rPr>
        <w:t>eismas</w:t>
      </w:r>
      <w:r w:rsidRPr="00CC38E3">
        <w:rPr>
          <w:rFonts w:cstheme="minorHAnsi"/>
        </w:rPr>
        <w:t xml:space="preserve"> atmetė Vyriausybės prašymą atmesti peticiją kaip pateiktą per anksti.</w:t>
      </w:r>
    </w:p>
    <w:p w14:paraId="7E106FBF" w14:textId="1008DAF8" w:rsidR="00B10587" w:rsidRPr="00CC38E3" w:rsidRDefault="00B10587" w:rsidP="005C5A0E">
      <w:pPr>
        <w:pStyle w:val="Betarp"/>
        <w:ind w:firstLine="567"/>
        <w:jc w:val="both"/>
        <w:rPr>
          <w:rFonts w:cstheme="minorHAnsi"/>
        </w:rPr>
      </w:pPr>
      <w:r w:rsidRPr="00CC38E3">
        <w:rPr>
          <w:rFonts w:cstheme="minorHAnsi"/>
        </w:rPr>
        <w:t>Pasisakydamas dėl bylos dalyko, T</w:t>
      </w:r>
      <w:r w:rsidR="000576BD" w:rsidRPr="00CC38E3">
        <w:rPr>
          <w:rFonts w:cstheme="minorHAnsi"/>
        </w:rPr>
        <w:t>eismas</w:t>
      </w:r>
      <w:r w:rsidRPr="00CC38E3">
        <w:rPr>
          <w:rFonts w:cstheme="minorHAnsi"/>
        </w:rPr>
        <w:t xml:space="preserve"> akcentavo, kad nė viename iš penkių nacionalinių procesų pareiškėja nesirėmė teise į pagarbą būsto neliečiamybei, ji taip pat niekada neteigė, kad iškeldinta neturėtų kur apsigyventi. Todėl Teismas nemanė, kad šioje byloje reikia nagrinėti pareiškėjos teisę į pagarbą būsto neliečiamybei.</w:t>
      </w:r>
    </w:p>
    <w:p w14:paraId="579BEBB2" w14:textId="69756AD8" w:rsidR="00B10587" w:rsidRPr="00CC38E3" w:rsidRDefault="00B10587" w:rsidP="005C5A0E">
      <w:pPr>
        <w:pStyle w:val="Betarp"/>
        <w:ind w:firstLine="567"/>
        <w:jc w:val="both"/>
        <w:rPr>
          <w:rFonts w:cstheme="minorHAnsi"/>
        </w:rPr>
      </w:pPr>
      <w:r w:rsidRPr="00CC38E3">
        <w:rPr>
          <w:rFonts w:cstheme="minorHAnsi"/>
        </w:rPr>
        <w:t>Teismui nekilo abejonių, kad pareiškėjos ir J. B. santykiai buvo „šeimos gyvenimas“ Konvencijos 8 straipsnio požiūriu, nors jie ir nebuvo susituokę. Atsižvelgęs į tai, kad pareiškėja ir J. B. daugelį metų gyveno kaip pora, valstybei nesikišant į jų šeim</w:t>
      </w:r>
      <w:r w:rsidR="000576BD" w:rsidRPr="00CC38E3">
        <w:rPr>
          <w:rFonts w:cstheme="minorHAnsi"/>
        </w:rPr>
        <w:t>inį</w:t>
      </w:r>
      <w:r w:rsidRPr="00CC38E3">
        <w:rPr>
          <w:rFonts w:cstheme="minorHAnsi"/>
        </w:rPr>
        <w:t xml:space="preserve"> gyvenimą, T</w:t>
      </w:r>
      <w:r w:rsidR="0051363D" w:rsidRPr="00CC38E3">
        <w:rPr>
          <w:rFonts w:cstheme="minorHAnsi"/>
        </w:rPr>
        <w:t>eismas</w:t>
      </w:r>
      <w:r w:rsidRPr="00CC38E3">
        <w:rPr>
          <w:rFonts w:cstheme="minorHAnsi"/>
        </w:rPr>
        <w:t xml:space="preserve"> darė išvadą, kad būtų tikslingiau nagrinėti bylą iš valstybės pozityvių pareigų perspektyvos. Teismas pažymėjo, jog niekada nėra konstatavęs, kad Konvencijos 8 straipsniu </w:t>
      </w:r>
      <w:r w:rsidR="005123AF">
        <w:rPr>
          <w:rFonts w:cstheme="minorHAnsi"/>
        </w:rPr>
        <w:t>S</w:t>
      </w:r>
      <w:r w:rsidRPr="00CC38E3">
        <w:rPr>
          <w:rFonts w:cstheme="minorHAnsi"/>
        </w:rPr>
        <w:t>usitariančios</w:t>
      </w:r>
      <w:r w:rsidR="005123AF">
        <w:rPr>
          <w:rFonts w:cstheme="minorHAnsi"/>
        </w:rPr>
        <w:t>ios V</w:t>
      </w:r>
      <w:r w:rsidRPr="00CC38E3">
        <w:rPr>
          <w:rFonts w:cstheme="minorHAnsi"/>
        </w:rPr>
        <w:t xml:space="preserve">alstybės įpareigojamos nustatyti konkretų teisinį paveldėjimo teisių užtikrinimo režimą, </w:t>
      </w:r>
      <w:r w:rsidRPr="00CC38E3">
        <w:rPr>
          <w:rFonts w:cstheme="minorHAnsi"/>
          <w:u w:val="single"/>
        </w:rPr>
        <w:t xml:space="preserve">Konvencijos 8 straipsnis iš esmės leidžia </w:t>
      </w:r>
      <w:r w:rsidR="005123AF">
        <w:rPr>
          <w:rFonts w:cstheme="minorHAnsi"/>
          <w:u w:val="single"/>
        </w:rPr>
        <w:t>S</w:t>
      </w:r>
      <w:r w:rsidRPr="00CC38E3">
        <w:rPr>
          <w:rFonts w:cstheme="minorHAnsi"/>
          <w:u w:val="single"/>
        </w:rPr>
        <w:t>usitariančio</w:t>
      </w:r>
      <w:r w:rsidR="005123AF">
        <w:rPr>
          <w:rFonts w:cstheme="minorHAnsi"/>
          <w:u w:val="single"/>
        </w:rPr>
        <w:t>sioms V</w:t>
      </w:r>
      <w:r w:rsidRPr="00CC38E3">
        <w:rPr>
          <w:rFonts w:cstheme="minorHAnsi"/>
          <w:u w:val="single"/>
        </w:rPr>
        <w:t>alstybėms pačioms pasirinkti šios srities priemones</w:t>
      </w:r>
      <w:r w:rsidRPr="00CC38E3">
        <w:rPr>
          <w:rFonts w:cstheme="minorHAnsi"/>
        </w:rPr>
        <w:t xml:space="preserve">. </w:t>
      </w:r>
    </w:p>
    <w:p w14:paraId="13ADE881" w14:textId="7F308497" w:rsidR="00B10587" w:rsidRPr="00CC38E3" w:rsidRDefault="00B10587" w:rsidP="005C5A0E">
      <w:pPr>
        <w:pStyle w:val="Betarp"/>
        <w:ind w:firstLine="567"/>
        <w:jc w:val="both"/>
        <w:rPr>
          <w:rFonts w:cstheme="minorHAnsi"/>
        </w:rPr>
      </w:pPr>
      <w:r w:rsidRPr="00CC38E3">
        <w:rPr>
          <w:rFonts w:cstheme="minorHAnsi"/>
        </w:rPr>
        <w:t>T</w:t>
      </w:r>
      <w:r w:rsidR="0051363D" w:rsidRPr="00CC38E3">
        <w:rPr>
          <w:rFonts w:cstheme="minorHAnsi"/>
        </w:rPr>
        <w:t>eismas</w:t>
      </w:r>
      <w:r w:rsidRPr="00CC38E3">
        <w:rPr>
          <w:rFonts w:cstheme="minorHAnsi"/>
        </w:rPr>
        <w:t xml:space="preserve"> pabrėžė, kad testamento sudarymo procedūra negali būti laikoma pernelyg sudėtinga ar formalia. </w:t>
      </w:r>
      <w:r w:rsidRPr="00CC38E3">
        <w:rPr>
          <w:rFonts w:cstheme="minorHAnsi"/>
          <w:u w:val="single"/>
        </w:rPr>
        <w:t>Pareiškėja ir jos miręs partneris turėjo pakankamai galimybių užtikrinti savo paveldėjimo teises</w:t>
      </w:r>
      <w:r w:rsidRPr="00CC38E3">
        <w:rPr>
          <w:rFonts w:cstheme="minorHAnsi"/>
        </w:rPr>
        <w:t xml:space="preserve">. Be to, pareiškėja ir J. B. turėjo galimybę užsitikrinti savo santykių teisinį pripažinimą ir apsaugą sudarydami </w:t>
      </w:r>
      <w:r w:rsidRPr="00CC38E3">
        <w:rPr>
          <w:rFonts w:cstheme="minorHAnsi"/>
        </w:rPr>
        <w:lastRenderedPageBreak/>
        <w:t>santuoką. Nėra duomenų, kad per visą savo santykių laikotarpį pareiškėja ir J. B. kada nors būtų aptarę galimybę sudaryti partnerystę, kad jie teikė pirmenybę partnerystei, o ne santuokai, arba kad turėjo kokių nors prieštaravimų dėl santuokos sudarymo. T</w:t>
      </w:r>
      <w:r w:rsidR="0051363D" w:rsidRPr="00CC38E3">
        <w:rPr>
          <w:rFonts w:cstheme="minorHAnsi"/>
        </w:rPr>
        <w:t>eismas</w:t>
      </w:r>
      <w:r w:rsidRPr="00CC38E3">
        <w:rPr>
          <w:rFonts w:cstheme="minorHAnsi"/>
        </w:rPr>
        <w:t xml:space="preserve"> vertino, kad </w:t>
      </w:r>
      <w:r w:rsidRPr="00CC38E3">
        <w:rPr>
          <w:rFonts w:cstheme="minorHAnsi"/>
          <w:u w:val="single"/>
        </w:rPr>
        <w:t>partnerystės įstatymo priėmimas suteiktų išeitį asmenims, kurie dėl kokios nors priežasties nenori arba negali susituokti, tačiau vis dėlto siekia teisinio savo santykių pripažinimo ir apsaugos</w:t>
      </w:r>
      <w:r w:rsidRPr="00CC38E3">
        <w:rPr>
          <w:rFonts w:cstheme="minorHAnsi"/>
        </w:rPr>
        <w:t xml:space="preserve">. Pareiškėjos ir J. B. santykių laikotarpiu teisėkūros procesai šiuo klausimu nebuvo tiek pažengę, kad pareiškėja būtų galėjusi tikėtis galėsianti su J. B. įregistruoti partnerystę. Todėl </w:t>
      </w:r>
      <w:r w:rsidRPr="00CC38E3">
        <w:rPr>
          <w:rFonts w:cstheme="minorHAnsi"/>
          <w:u w:val="single"/>
        </w:rPr>
        <w:t>pareiškėjai ir J. B. turėjo būti aišku, kad jie neturi galimybės įregistruoti partnerystės ir užtikrinti pareiškėjai paveldėjimo teisių tokiu būdu</w:t>
      </w:r>
      <w:r w:rsidRPr="00CC38E3">
        <w:rPr>
          <w:rFonts w:cstheme="minorHAnsi"/>
        </w:rPr>
        <w:t xml:space="preserve">. Nėra jokių duomenų, kad šiuo pažiūriu valdžios institucijos būtų suklaidinusios pareiškėją. Teismas darė išvadą, kad </w:t>
      </w:r>
      <w:r w:rsidRPr="00CC38E3">
        <w:rPr>
          <w:rFonts w:cstheme="minorHAnsi"/>
          <w:u w:val="single"/>
        </w:rPr>
        <w:t>padėtis, kurioje atsidūrė pareiškėja, susidarė dėl jos ir J. B. pasirinkimo, o ne dėl valdžios institucijų kaltės</w:t>
      </w:r>
      <w:r w:rsidRPr="00CC38E3">
        <w:rPr>
          <w:rFonts w:cstheme="minorHAnsi"/>
        </w:rPr>
        <w:t>, todėl pareiškėjos skundą pagal Konvencijos 8 straipsnį vertino kaip aiškiai nepagrįstą ir nepriimtiną.</w:t>
      </w:r>
    </w:p>
    <w:p w14:paraId="11BD525E" w14:textId="3B442E37" w:rsidR="00B10587" w:rsidRPr="00CC38E3" w:rsidRDefault="00B10587" w:rsidP="005C5A0E">
      <w:pPr>
        <w:pStyle w:val="Betarp"/>
        <w:ind w:firstLine="567"/>
        <w:jc w:val="both"/>
        <w:rPr>
          <w:rFonts w:cstheme="minorHAnsi"/>
        </w:rPr>
      </w:pPr>
      <w:r w:rsidRPr="00CC38E3">
        <w:rPr>
          <w:rFonts w:cstheme="minorHAnsi"/>
        </w:rPr>
        <w:t>T</w:t>
      </w:r>
      <w:r w:rsidR="00093644" w:rsidRPr="00CC38E3">
        <w:rPr>
          <w:rFonts w:cstheme="minorHAnsi"/>
        </w:rPr>
        <w:t>eismas</w:t>
      </w:r>
      <w:r w:rsidRPr="00CC38E3">
        <w:rPr>
          <w:rFonts w:cstheme="minorHAnsi"/>
        </w:rPr>
        <w:t xml:space="preserve"> taip pat pažymėjo, kad nors pareiškėja rėmėsi Konvencijos 14 straipsniu, taikomu kartu su 8 straipsniu, ji nepagrindė šio skundo ir nepateikė jo nagrinėti, bent jau iš esmės, nacionaliniuose teismuose. Teismas sprendė, kad nėra jokių požymių, jog nurodytos nuostatos būtų pažeistos, todėl šią peticijos dalį taip pat atmetė, kaip aiškiai nepagrįstą.</w:t>
      </w:r>
    </w:p>
    <w:p w14:paraId="270D87CA" w14:textId="77777777" w:rsidR="00B10587" w:rsidRPr="00CC38E3" w:rsidRDefault="00B10587" w:rsidP="005C5A0E">
      <w:pPr>
        <w:pStyle w:val="Betarp"/>
        <w:ind w:firstLine="567"/>
        <w:jc w:val="both"/>
        <w:rPr>
          <w:rFonts w:cstheme="minorHAnsi"/>
        </w:rPr>
      </w:pPr>
    </w:p>
    <w:p w14:paraId="588C9DB0" w14:textId="767911D1" w:rsidR="00B10587" w:rsidRPr="00CC38E3" w:rsidRDefault="00B10587" w:rsidP="002A73CF">
      <w:pPr>
        <w:pStyle w:val="Betarp"/>
        <w:ind w:firstLine="567"/>
        <w:rPr>
          <w:rFonts w:cstheme="minorHAnsi"/>
        </w:rPr>
      </w:pPr>
      <w:r w:rsidRPr="00CC38E3">
        <w:rPr>
          <w:rFonts w:cstheme="minorHAnsi"/>
        </w:rPr>
        <w:t>Išvada: peticija pripažinta nepriimtina (vienbalsiai).</w:t>
      </w:r>
    </w:p>
    <w:p w14:paraId="258A4806" w14:textId="0F466955" w:rsidR="00B10587" w:rsidRPr="00CC38E3" w:rsidRDefault="00A1313E" w:rsidP="005C5A0E">
      <w:pPr>
        <w:pStyle w:val="Betarp"/>
        <w:ind w:firstLine="567"/>
        <w:jc w:val="both"/>
        <w:rPr>
          <w:rFonts w:cstheme="minorHAnsi"/>
        </w:rPr>
      </w:pPr>
      <w:hyperlink r:id="rId14" w:anchor="{%22appno%22:[%2231838/19%22],%22itemid%22:[%22001-215826%22]}" w:history="1">
        <w:r w:rsidR="00B10587" w:rsidRPr="00CC38E3">
          <w:rPr>
            <w:rStyle w:val="Hipersaitas"/>
            <w:rFonts w:cstheme="minorHAnsi"/>
          </w:rPr>
          <w:t>Prieiga internete</w:t>
        </w:r>
      </w:hyperlink>
    </w:p>
    <w:p w14:paraId="59EA1E8C" w14:textId="05A2D959" w:rsidR="00C57692" w:rsidRPr="00CC38E3" w:rsidRDefault="00C57692" w:rsidP="005C5A0E">
      <w:pPr>
        <w:spacing w:line="240" w:lineRule="auto"/>
        <w:rPr>
          <w:rFonts w:cstheme="minorHAnsi"/>
        </w:rPr>
      </w:pPr>
    </w:p>
    <w:p w14:paraId="5F7B77B2" w14:textId="662B7610" w:rsidR="00C57692" w:rsidRPr="00CC38E3" w:rsidRDefault="00C57692"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Europos Žmogaus Teisių Teismo 2021 m. lapkričio 16 d. sprendimas byloje</w:t>
      </w:r>
    </w:p>
    <w:p w14:paraId="1EABDC08" w14:textId="265B061A" w:rsidR="00C57692" w:rsidRPr="00CC38E3" w:rsidRDefault="00A35792" w:rsidP="005C5A0E">
      <w:pPr>
        <w:keepNext/>
        <w:keepLines/>
        <w:spacing w:after="0" w:line="240" w:lineRule="auto"/>
        <w:ind w:firstLine="720"/>
        <w:jc w:val="center"/>
        <w:outlineLvl w:val="1"/>
        <w:rPr>
          <w:rFonts w:eastAsia="Times New Roman" w:cstheme="minorHAnsi"/>
          <w:b/>
          <w:bCs/>
          <w:i/>
          <w:iCs/>
          <w:color w:val="2E74B5"/>
        </w:rPr>
      </w:pPr>
      <w:bookmarkStart w:id="18" w:name="_Toc104379821"/>
      <w:r w:rsidRPr="00CC38E3">
        <w:rPr>
          <w:rFonts w:eastAsia="Times New Roman" w:cstheme="minorHAnsi"/>
          <w:b/>
          <w:bCs/>
          <w:i/>
          <w:iCs/>
          <w:color w:val="2E74B5"/>
        </w:rPr>
        <w:t xml:space="preserve">Särgava </w:t>
      </w:r>
      <w:r w:rsidR="00C57692" w:rsidRPr="00CC38E3">
        <w:rPr>
          <w:rFonts w:eastAsia="Times New Roman" w:cstheme="minorHAnsi"/>
          <w:b/>
          <w:bCs/>
          <w:i/>
          <w:iCs/>
          <w:color w:val="2E74B5"/>
        </w:rPr>
        <w:t xml:space="preserve">prieš </w:t>
      </w:r>
      <w:r w:rsidRPr="00CC38E3">
        <w:rPr>
          <w:rFonts w:eastAsia="Times New Roman" w:cstheme="minorHAnsi"/>
          <w:b/>
          <w:bCs/>
          <w:i/>
          <w:iCs/>
          <w:color w:val="2E74B5"/>
        </w:rPr>
        <w:t>Estij</w:t>
      </w:r>
      <w:r w:rsidR="00253D5B" w:rsidRPr="00CC38E3">
        <w:rPr>
          <w:rFonts w:eastAsia="Times New Roman" w:cstheme="minorHAnsi"/>
          <w:b/>
          <w:bCs/>
          <w:i/>
          <w:iCs/>
          <w:color w:val="2E74B5"/>
        </w:rPr>
        <w:t>ą</w:t>
      </w:r>
      <w:bookmarkEnd w:id="18"/>
    </w:p>
    <w:p w14:paraId="4224D5C1" w14:textId="2BA7DEB1" w:rsidR="00C57692" w:rsidRPr="00CC38E3" w:rsidRDefault="00C57692"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 xml:space="preserve">(pareiškimo Nr. </w:t>
      </w:r>
      <w:r w:rsidR="00A35792" w:rsidRPr="00CC38E3">
        <w:rPr>
          <w:rFonts w:eastAsia="Times New Roman" w:cstheme="minorHAnsi"/>
          <w:b/>
        </w:rPr>
        <w:t>698</w:t>
      </w:r>
      <w:r w:rsidRPr="00CC38E3">
        <w:rPr>
          <w:rFonts w:eastAsia="Times New Roman" w:cstheme="minorHAnsi"/>
          <w:b/>
        </w:rPr>
        <w:t>/1</w:t>
      </w:r>
      <w:r w:rsidR="00A35792" w:rsidRPr="00CC38E3">
        <w:rPr>
          <w:rFonts w:eastAsia="Times New Roman" w:cstheme="minorHAnsi"/>
          <w:b/>
        </w:rPr>
        <w:t>9</w:t>
      </w:r>
      <w:r w:rsidRPr="00CC38E3">
        <w:rPr>
          <w:rFonts w:cstheme="minorHAnsi"/>
          <w:b/>
        </w:rPr>
        <w:t xml:space="preserve">, svarbos lygis – </w:t>
      </w:r>
      <w:r w:rsidR="00A35792" w:rsidRPr="00CC38E3">
        <w:rPr>
          <w:rFonts w:cstheme="minorHAnsi"/>
          <w:b/>
        </w:rPr>
        <w:t>2</w:t>
      </w:r>
      <w:r w:rsidRPr="00CC38E3">
        <w:rPr>
          <w:rFonts w:eastAsia="Times New Roman" w:cstheme="minorHAnsi"/>
          <w:b/>
        </w:rPr>
        <w:t>)</w:t>
      </w:r>
    </w:p>
    <w:p w14:paraId="1A292575" w14:textId="4C9F8748" w:rsidR="00C57692" w:rsidRPr="00CC38E3" w:rsidRDefault="00C57692" w:rsidP="005C5A0E">
      <w:pPr>
        <w:shd w:val="clear" w:color="auto" w:fill="FFFFFF"/>
        <w:spacing w:after="0" w:line="240" w:lineRule="auto"/>
        <w:ind w:right="-1" w:firstLine="567"/>
        <w:jc w:val="center"/>
        <w:rPr>
          <w:rFonts w:eastAsia="Times New Roman" w:cstheme="minorHAnsi"/>
          <w:b/>
          <w:bCs/>
          <w:color w:val="000000"/>
        </w:rPr>
      </w:pPr>
    </w:p>
    <w:p w14:paraId="0204B2F7" w14:textId="66A951B0" w:rsidR="003F0638" w:rsidRPr="00CC38E3" w:rsidRDefault="006C3A46" w:rsidP="00831905">
      <w:pPr>
        <w:keepNext/>
        <w:keepLines/>
        <w:spacing w:before="40" w:after="0" w:line="240" w:lineRule="auto"/>
        <w:ind w:firstLine="567"/>
        <w:outlineLvl w:val="2"/>
        <w:rPr>
          <w:rFonts w:eastAsia="Times New Roman" w:cstheme="minorHAnsi"/>
          <w:i/>
        </w:rPr>
      </w:pPr>
      <w:bookmarkStart w:id="19" w:name="_Toc104379822"/>
      <w:r w:rsidRPr="00CC38E3">
        <w:rPr>
          <w:rFonts w:eastAsia="Times New Roman" w:cstheme="minorHAnsi"/>
          <w:i/>
        </w:rPr>
        <w:t xml:space="preserve">Dėl </w:t>
      </w:r>
      <w:r w:rsidR="00F3077F" w:rsidRPr="00CC38E3">
        <w:rPr>
          <w:rFonts w:eastAsia="Times New Roman" w:cstheme="minorHAnsi"/>
          <w:i/>
        </w:rPr>
        <w:t>advokato-kliento paslaptį sudarančios informacijos apsaugos atliekant baudžiamojo persekiojimo veiksmus</w:t>
      </w:r>
      <w:bookmarkEnd w:id="19"/>
    </w:p>
    <w:p w14:paraId="760F7C92" w14:textId="77777777" w:rsidR="003F0638" w:rsidRPr="00CC38E3" w:rsidRDefault="003F0638" w:rsidP="005C5A0E">
      <w:pPr>
        <w:shd w:val="clear" w:color="auto" w:fill="FFFFFF"/>
        <w:spacing w:after="0" w:line="240" w:lineRule="auto"/>
        <w:ind w:right="-1" w:firstLine="567"/>
        <w:rPr>
          <w:rFonts w:eastAsia="Times New Roman" w:cstheme="minorHAnsi"/>
          <w:b/>
          <w:bCs/>
          <w:color w:val="000000"/>
        </w:rPr>
      </w:pPr>
    </w:p>
    <w:p w14:paraId="738F8BA4" w14:textId="77777777" w:rsidR="00A35792" w:rsidRPr="00CC38E3" w:rsidRDefault="00A35792" w:rsidP="005C5A0E">
      <w:pPr>
        <w:spacing w:after="0" w:line="240" w:lineRule="auto"/>
        <w:ind w:firstLine="567"/>
        <w:jc w:val="center"/>
        <w:rPr>
          <w:rFonts w:cstheme="minorHAnsi"/>
          <w:b/>
          <w:bCs/>
        </w:rPr>
      </w:pPr>
      <w:r w:rsidRPr="00CC38E3">
        <w:rPr>
          <w:rFonts w:cstheme="minorHAnsi"/>
          <w:b/>
          <w:bCs/>
        </w:rPr>
        <w:t>Faktinės aplinkybės</w:t>
      </w:r>
    </w:p>
    <w:p w14:paraId="4FBDA11E" w14:textId="77777777" w:rsidR="00A35792" w:rsidRPr="00CC38E3" w:rsidRDefault="00A35792" w:rsidP="005C5A0E">
      <w:pPr>
        <w:shd w:val="clear" w:color="auto" w:fill="FFFFFF"/>
        <w:spacing w:after="0" w:line="240" w:lineRule="auto"/>
        <w:ind w:right="-1"/>
        <w:jc w:val="center"/>
        <w:rPr>
          <w:rFonts w:cstheme="minorHAnsi"/>
        </w:rPr>
      </w:pPr>
    </w:p>
    <w:p w14:paraId="156846D0" w14:textId="2AA03015" w:rsidR="00AF2838" w:rsidRPr="00CC38E3" w:rsidRDefault="00A35792" w:rsidP="005C5A0E">
      <w:pPr>
        <w:shd w:val="clear" w:color="auto" w:fill="FFFFFF"/>
        <w:spacing w:after="0" w:line="240" w:lineRule="auto"/>
        <w:ind w:firstLine="567"/>
        <w:jc w:val="both"/>
        <w:rPr>
          <w:rFonts w:cstheme="minorHAnsi"/>
        </w:rPr>
      </w:pPr>
      <w:r w:rsidRPr="00CC38E3">
        <w:rPr>
          <w:rFonts w:cstheme="minorHAnsi"/>
        </w:rPr>
        <w:t>Pareiškėjas</w:t>
      </w:r>
      <w:r w:rsidR="00264CEE" w:rsidRPr="00CC38E3">
        <w:rPr>
          <w:rFonts w:cstheme="minorHAnsi"/>
        </w:rPr>
        <w:t xml:space="preserve"> – E</w:t>
      </w:r>
      <w:r w:rsidRPr="00CC38E3">
        <w:rPr>
          <w:rFonts w:cstheme="minorHAnsi"/>
        </w:rPr>
        <w:t xml:space="preserve">stijos pilietis, </w:t>
      </w:r>
      <w:r w:rsidR="00F3077F" w:rsidRPr="00CC38E3">
        <w:rPr>
          <w:rFonts w:cstheme="minorHAnsi"/>
        </w:rPr>
        <w:t>advokatas</w:t>
      </w:r>
      <w:r w:rsidR="00264CEE" w:rsidRPr="00CC38E3">
        <w:rPr>
          <w:rFonts w:cstheme="minorHAnsi"/>
        </w:rPr>
        <w:t xml:space="preserve">, kuriam </w:t>
      </w:r>
      <w:r w:rsidRPr="00CC38E3">
        <w:rPr>
          <w:rFonts w:cstheme="minorHAnsi"/>
        </w:rPr>
        <w:t xml:space="preserve">pareikšti įtarimai priklausius </w:t>
      </w:r>
      <w:r w:rsidR="0054219E" w:rsidRPr="00CC38E3">
        <w:rPr>
          <w:rFonts w:cstheme="minorHAnsi"/>
        </w:rPr>
        <w:t xml:space="preserve">nusikalstamai grupuotei; 2018 metais atlikta krata jo teisės firmoje, namuose bei automobilyje. </w:t>
      </w:r>
      <w:r w:rsidR="005B51AB" w:rsidRPr="00CC38E3">
        <w:rPr>
          <w:rFonts w:cstheme="minorHAnsi"/>
        </w:rPr>
        <w:t>B</w:t>
      </w:r>
      <w:r w:rsidR="0054219E" w:rsidRPr="00CC38E3">
        <w:rPr>
          <w:rFonts w:cstheme="minorHAnsi"/>
        </w:rPr>
        <w:t>audžiamojo persekiojimo metu pareiškėjui nepavyko įrodyti, kad pareigūnai kratos metu neteisėtai konfiskavo jo nešiojamąjį kompiuterį bei mobilųjį telefoną.</w:t>
      </w:r>
      <w:r w:rsidR="00AF2838" w:rsidRPr="00CC38E3">
        <w:rPr>
          <w:rFonts w:cstheme="minorHAnsi"/>
        </w:rPr>
        <w:t xml:space="preserve"> </w:t>
      </w:r>
      <w:r w:rsidR="005B51AB" w:rsidRPr="00CC38E3">
        <w:rPr>
          <w:rFonts w:cstheme="minorHAnsi"/>
        </w:rPr>
        <w:t>Baudžiamajam persekiojimui ne</w:t>
      </w:r>
      <w:r w:rsidR="00264CEE" w:rsidRPr="00CC38E3">
        <w:rPr>
          <w:rFonts w:cstheme="minorHAnsi"/>
        </w:rPr>
        <w:t>pa</w:t>
      </w:r>
      <w:r w:rsidR="005B51AB" w:rsidRPr="00CC38E3">
        <w:rPr>
          <w:rFonts w:cstheme="minorHAnsi"/>
        </w:rPr>
        <w:t xml:space="preserve">sibaigus, pareiškėjas kreipėsi į Teismą skųsdamasis Konvencijos 8 straipsnio pažeidimu dėl to, kad </w:t>
      </w:r>
      <w:r w:rsidR="003F0638" w:rsidRPr="00CC38E3">
        <w:rPr>
          <w:rFonts w:cstheme="minorHAnsi"/>
        </w:rPr>
        <w:t xml:space="preserve">kompiuteryje bei telefone esanti informacija sudaro profesinę </w:t>
      </w:r>
      <w:r w:rsidR="00F3077F" w:rsidRPr="00CC38E3">
        <w:rPr>
          <w:rFonts w:cstheme="minorHAnsi"/>
        </w:rPr>
        <w:t xml:space="preserve">jo </w:t>
      </w:r>
      <w:r w:rsidR="003F0638" w:rsidRPr="00CC38E3">
        <w:rPr>
          <w:rFonts w:cstheme="minorHAnsi"/>
        </w:rPr>
        <w:t>paslaptį</w:t>
      </w:r>
      <w:r w:rsidR="00F16994" w:rsidRPr="00CC38E3">
        <w:rPr>
          <w:rFonts w:cstheme="minorHAnsi"/>
        </w:rPr>
        <w:t>, todėl šios informacijos</w:t>
      </w:r>
      <w:r w:rsidR="00471132" w:rsidRPr="00CC38E3">
        <w:rPr>
          <w:rFonts w:cstheme="minorHAnsi"/>
        </w:rPr>
        <w:t>, kaip neliečiamos,</w:t>
      </w:r>
      <w:r w:rsidR="00F16994" w:rsidRPr="00CC38E3">
        <w:rPr>
          <w:rFonts w:cstheme="minorHAnsi"/>
        </w:rPr>
        <w:t xml:space="preserve"> paėmimas bei </w:t>
      </w:r>
      <w:r w:rsidR="007D1A6A" w:rsidRPr="00CC38E3">
        <w:rPr>
          <w:rFonts w:cstheme="minorHAnsi"/>
        </w:rPr>
        <w:t xml:space="preserve">tyrinėjimas </w:t>
      </w:r>
      <w:r w:rsidR="00F16994" w:rsidRPr="00CC38E3">
        <w:rPr>
          <w:rFonts w:cstheme="minorHAnsi"/>
        </w:rPr>
        <w:t>nėra teisėtas.</w:t>
      </w:r>
    </w:p>
    <w:p w14:paraId="255E384F" w14:textId="2AA2F3DC" w:rsidR="003F0638" w:rsidRPr="00CC38E3" w:rsidRDefault="003F0638" w:rsidP="005C5A0E">
      <w:pPr>
        <w:shd w:val="clear" w:color="auto" w:fill="FFFFFF"/>
        <w:spacing w:after="0" w:line="240" w:lineRule="auto"/>
        <w:ind w:right="-1" w:firstLine="709"/>
        <w:jc w:val="both"/>
        <w:rPr>
          <w:rFonts w:cstheme="minorHAnsi"/>
        </w:rPr>
      </w:pPr>
    </w:p>
    <w:p w14:paraId="5A2FF967" w14:textId="77777777" w:rsidR="003F0638" w:rsidRPr="00CC38E3" w:rsidRDefault="003F0638"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Neoficiali Teismo sprendimo apžvalga</w:t>
      </w:r>
    </w:p>
    <w:p w14:paraId="2DAA6A26" w14:textId="77777777" w:rsidR="007D1A6A" w:rsidRPr="00CC38E3" w:rsidRDefault="007D1A6A" w:rsidP="005C5A0E">
      <w:pPr>
        <w:shd w:val="clear" w:color="auto" w:fill="FFFFFF"/>
        <w:spacing w:after="0" w:line="240" w:lineRule="auto"/>
        <w:ind w:right="-1" w:firstLine="567"/>
        <w:jc w:val="both"/>
        <w:rPr>
          <w:rFonts w:cstheme="minorHAnsi"/>
        </w:rPr>
      </w:pPr>
    </w:p>
    <w:p w14:paraId="2CCA6977" w14:textId="430D5BFB" w:rsidR="00B66165" w:rsidRPr="00CC38E3" w:rsidRDefault="00471132" w:rsidP="005C5A0E">
      <w:pPr>
        <w:shd w:val="clear" w:color="auto" w:fill="FFFFFF"/>
        <w:spacing w:after="0" w:line="240" w:lineRule="auto"/>
        <w:ind w:firstLine="567"/>
        <w:jc w:val="both"/>
        <w:rPr>
          <w:rFonts w:cstheme="minorHAnsi"/>
        </w:rPr>
      </w:pPr>
      <w:r w:rsidRPr="00CC38E3">
        <w:rPr>
          <w:rFonts w:cstheme="minorHAnsi"/>
        </w:rPr>
        <w:t>Teismas</w:t>
      </w:r>
      <w:r w:rsidR="009C1FF0" w:rsidRPr="00CC38E3">
        <w:rPr>
          <w:rFonts w:cstheme="minorHAnsi"/>
        </w:rPr>
        <w:t xml:space="preserve"> pareiškėjo skųstus valdžios institucijų veiksmus konfiskuojant pareiškėjo įrenginius su juose esančiais duomenimis bei šių duomenų tyrinėjimu pripažino kaip pažeidžiančius pareiškėjo </w:t>
      </w:r>
      <w:r w:rsidR="00B04E9C" w:rsidRPr="00CC38E3">
        <w:rPr>
          <w:rFonts w:cstheme="minorHAnsi"/>
        </w:rPr>
        <w:t>teis</w:t>
      </w:r>
      <w:r w:rsidR="009C1FF0" w:rsidRPr="00CC38E3">
        <w:rPr>
          <w:rFonts w:cstheme="minorHAnsi"/>
        </w:rPr>
        <w:t xml:space="preserve">ę </w:t>
      </w:r>
      <w:r w:rsidR="00B04E9C" w:rsidRPr="00CC38E3">
        <w:rPr>
          <w:rFonts w:cstheme="minorHAnsi"/>
        </w:rPr>
        <w:t>į susirašinėjim</w:t>
      </w:r>
      <w:r w:rsidR="00717976" w:rsidRPr="00CC38E3">
        <w:rPr>
          <w:rFonts w:cstheme="minorHAnsi"/>
        </w:rPr>
        <w:t>o slaptumą</w:t>
      </w:r>
      <w:r w:rsidR="00B04E9C" w:rsidRPr="00CC38E3">
        <w:rPr>
          <w:rFonts w:cstheme="minorHAnsi"/>
        </w:rPr>
        <w:t xml:space="preserve">. </w:t>
      </w:r>
      <w:r w:rsidR="009C1FF0" w:rsidRPr="00CC38E3">
        <w:rPr>
          <w:rFonts w:cstheme="minorHAnsi"/>
        </w:rPr>
        <w:t>Šios išvados nekeitė tai, kad pareiškėjas iškart (per mėnesį) neapskundė šių veiksmų</w:t>
      </w:r>
      <w:r w:rsidR="00847BE9" w:rsidRPr="00CC38E3">
        <w:rPr>
          <w:rFonts w:cstheme="minorHAnsi"/>
        </w:rPr>
        <w:t xml:space="preserve">, o minėtą išvadą tik sustiprino aplinkybė, </w:t>
      </w:r>
      <w:r w:rsidR="00901E5A" w:rsidRPr="00CC38E3">
        <w:rPr>
          <w:rFonts w:cstheme="minorHAnsi"/>
        </w:rPr>
        <w:t xml:space="preserve">kad </w:t>
      </w:r>
      <w:r w:rsidR="00AC2FE0" w:rsidRPr="00CC38E3">
        <w:rPr>
          <w:rFonts w:cstheme="minorHAnsi"/>
        </w:rPr>
        <w:t>pareigūnams buvo žinoma</w:t>
      </w:r>
      <w:r w:rsidR="00901E5A" w:rsidRPr="00CC38E3">
        <w:rPr>
          <w:rFonts w:cstheme="minorHAnsi"/>
        </w:rPr>
        <w:t xml:space="preserve"> apie tai</w:t>
      </w:r>
      <w:r w:rsidR="00AC2FE0" w:rsidRPr="00CC38E3">
        <w:rPr>
          <w:rFonts w:cstheme="minorHAnsi"/>
        </w:rPr>
        <w:t>, kad pareiškėjas yra profesionalus teisininkas.</w:t>
      </w:r>
    </w:p>
    <w:p w14:paraId="3D7AFEF3" w14:textId="697E08B2" w:rsidR="008858E5" w:rsidRPr="00CC38E3" w:rsidRDefault="001F6604" w:rsidP="005C5A0E">
      <w:pPr>
        <w:shd w:val="clear" w:color="auto" w:fill="FFFFFF"/>
        <w:spacing w:after="0" w:line="240" w:lineRule="auto"/>
        <w:ind w:firstLine="567"/>
        <w:jc w:val="both"/>
        <w:rPr>
          <w:rFonts w:cstheme="minorHAnsi"/>
        </w:rPr>
      </w:pPr>
      <w:r w:rsidRPr="00CC38E3">
        <w:rPr>
          <w:rFonts w:cstheme="minorHAnsi"/>
        </w:rPr>
        <w:t xml:space="preserve">Priminęs savo </w:t>
      </w:r>
      <w:r w:rsidR="00901E5A" w:rsidRPr="00CC38E3">
        <w:rPr>
          <w:rFonts w:cstheme="minorHAnsi"/>
        </w:rPr>
        <w:t>ankstesn</w:t>
      </w:r>
      <w:r w:rsidR="004B3FBA" w:rsidRPr="00CC38E3">
        <w:rPr>
          <w:rFonts w:cstheme="minorHAnsi"/>
        </w:rPr>
        <w:t xml:space="preserve">ę </w:t>
      </w:r>
      <w:r w:rsidR="00901E5A" w:rsidRPr="00CC38E3">
        <w:rPr>
          <w:rFonts w:cstheme="minorHAnsi"/>
        </w:rPr>
        <w:t>praktiką</w:t>
      </w:r>
      <w:r w:rsidR="001461EA" w:rsidRPr="00CC38E3">
        <w:rPr>
          <w:rFonts w:cstheme="minorHAnsi"/>
        </w:rPr>
        <w:t xml:space="preserve">, pagal kurią, be kita ko, kratas bei konfiskavimą reglamentuojanti teisinė bazė turi apsaugoti asmenis nuo savavališko įsikišimo į 8 straipsniu </w:t>
      </w:r>
      <w:r w:rsidRPr="00CC38E3">
        <w:rPr>
          <w:rFonts w:cstheme="minorHAnsi"/>
        </w:rPr>
        <w:t>saugomas</w:t>
      </w:r>
      <w:r w:rsidR="001461EA" w:rsidRPr="00CC38E3">
        <w:rPr>
          <w:rFonts w:cstheme="minorHAnsi"/>
        </w:rPr>
        <w:t xml:space="preserve"> teises, taip pat turi būti aiškiai formuluojama, t. y. t</w:t>
      </w:r>
      <w:r w:rsidRPr="00CC38E3">
        <w:rPr>
          <w:rFonts w:cstheme="minorHAnsi"/>
        </w:rPr>
        <w:t>aip</w:t>
      </w:r>
      <w:r w:rsidR="001461EA" w:rsidRPr="00CC38E3">
        <w:rPr>
          <w:rFonts w:cstheme="minorHAnsi"/>
        </w:rPr>
        <w:t xml:space="preserve">, </w:t>
      </w:r>
      <w:r w:rsidRPr="00CC38E3">
        <w:rPr>
          <w:rFonts w:cstheme="minorHAnsi"/>
        </w:rPr>
        <w:t xml:space="preserve">kad iš teisės normų </w:t>
      </w:r>
      <w:r w:rsidR="001461EA" w:rsidRPr="00CC38E3">
        <w:rPr>
          <w:rFonts w:cstheme="minorHAnsi"/>
        </w:rPr>
        <w:t xml:space="preserve">būtų adekvačiai nustatomos </w:t>
      </w:r>
      <w:r w:rsidRPr="00CC38E3">
        <w:rPr>
          <w:rFonts w:cstheme="minorHAnsi"/>
        </w:rPr>
        <w:t xml:space="preserve">sąlygos bei aplinkybės, kurioms esant pareigūnai gali imtis tam tikrų veiksmų, </w:t>
      </w:r>
      <w:r w:rsidR="004B3FBA" w:rsidRPr="00CC38E3">
        <w:rPr>
          <w:rFonts w:cstheme="minorHAnsi"/>
        </w:rPr>
        <w:t xml:space="preserve">o tai ypatingai svarbu, kai kalbama apie konfidencialios informacijos, gaunamos advokatui bendraujant su klientu, apsaugą, </w:t>
      </w:r>
      <w:r w:rsidRPr="00CC38E3">
        <w:rPr>
          <w:rFonts w:cstheme="minorHAnsi"/>
        </w:rPr>
        <w:t xml:space="preserve">Teismas analizavo nacionalinės teisės aktus ir </w:t>
      </w:r>
      <w:r w:rsidR="009111BB" w:rsidRPr="00CC38E3">
        <w:rPr>
          <w:rFonts w:cstheme="minorHAnsi"/>
        </w:rPr>
        <w:t>pažymėjo, kad</w:t>
      </w:r>
      <w:r w:rsidRPr="00CC38E3">
        <w:rPr>
          <w:rFonts w:cstheme="minorHAnsi"/>
        </w:rPr>
        <w:t xml:space="preserve"> </w:t>
      </w:r>
      <w:r w:rsidRPr="00CC38E3">
        <w:rPr>
          <w:rFonts w:cstheme="minorHAnsi"/>
          <w:u w:val="single"/>
        </w:rPr>
        <w:t xml:space="preserve">konkrečiu atveju </w:t>
      </w:r>
      <w:r w:rsidR="009111BB" w:rsidRPr="00CC38E3">
        <w:rPr>
          <w:rFonts w:cstheme="minorHAnsi"/>
          <w:u w:val="single"/>
        </w:rPr>
        <w:t xml:space="preserve">nacionalinėje teisėje nebuvo numatyta jokia speciali procedūra ar įtvirtinti saugikliai, taikytini elektroninių duomenų ir susirašinėjimo, sudarančio profesinę teisininko </w:t>
      </w:r>
      <w:r w:rsidR="00264CEE" w:rsidRPr="00CC38E3">
        <w:rPr>
          <w:rFonts w:cstheme="minorHAnsi"/>
          <w:u w:val="single"/>
        </w:rPr>
        <w:t xml:space="preserve">(advokato) </w:t>
      </w:r>
      <w:r w:rsidR="000059D9" w:rsidRPr="00CC38E3">
        <w:rPr>
          <w:rFonts w:cstheme="minorHAnsi"/>
          <w:u w:val="single"/>
        </w:rPr>
        <w:t>paslaptį</w:t>
      </w:r>
      <w:r w:rsidR="007A38D0" w:rsidRPr="00CC38E3">
        <w:rPr>
          <w:rFonts w:cstheme="minorHAnsi"/>
          <w:u w:val="single"/>
        </w:rPr>
        <w:t>,</w:t>
      </w:r>
      <w:r w:rsidR="000059D9" w:rsidRPr="00CC38E3">
        <w:rPr>
          <w:rFonts w:cstheme="minorHAnsi"/>
          <w:u w:val="single"/>
        </w:rPr>
        <w:t xml:space="preserve"> </w:t>
      </w:r>
      <w:r w:rsidR="009111BB" w:rsidRPr="00CC38E3">
        <w:rPr>
          <w:rFonts w:cstheme="minorHAnsi"/>
          <w:u w:val="single"/>
        </w:rPr>
        <w:t>apsaugai</w:t>
      </w:r>
      <w:r w:rsidR="007A38D0" w:rsidRPr="00CC38E3">
        <w:rPr>
          <w:rFonts w:cstheme="minorHAnsi"/>
        </w:rPr>
        <w:t xml:space="preserve">. Kratos orderyje taip pat nebuvo nurodyta saugoti galimą profesinę paslaptį sudarančią medžiagą. Maža to, </w:t>
      </w:r>
      <w:r w:rsidR="00264CEE" w:rsidRPr="00CC38E3">
        <w:rPr>
          <w:rFonts w:cstheme="minorHAnsi"/>
        </w:rPr>
        <w:t xml:space="preserve">tyrėjams buvo suteikta visiška </w:t>
      </w:r>
      <w:r w:rsidR="00CF1398" w:rsidRPr="00CC38E3">
        <w:rPr>
          <w:rFonts w:cstheme="minorHAnsi"/>
        </w:rPr>
        <w:t>sprendimo, ar taikyti informacijos paiešką pagal raktinius žodžius</w:t>
      </w:r>
      <w:r w:rsidR="00264CEE" w:rsidRPr="00CC38E3">
        <w:rPr>
          <w:rFonts w:cstheme="minorHAnsi"/>
        </w:rPr>
        <w:t xml:space="preserve">, </w:t>
      </w:r>
      <w:r w:rsidR="00CF1398" w:rsidRPr="00CC38E3">
        <w:rPr>
          <w:rFonts w:cstheme="minorHAnsi"/>
        </w:rPr>
        <w:t>ar taikyti kitą informacijos atrankos metodą, laisvė</w:t>
      </w:r>
      <w:r w:rsidR="00264CEE" w:rsidRPr="00CC38E3">
        <w:rPr>
          <w:rFonts w:cstheme="minorHAnsi"/>
        </w:rPr>
        <w:t>, o n</w:t>
      </w:r>
      <w:r w:rsidR="00CF1398" w:rsidRPr="00CC38E3">
        <w:rPr>
          <w:rFonts w:cstheme="minorHAnsi"/>
        </w:rPr>
        <w:t xml:space="preserve">acionalinė teisė nesuteikė pareiškėjui teisės </w:t>
      </w:r>
      <w:r w:rsidR="00CF1398" w:rsidRPr="00CC38E3">
        <w:rPr>
          <w:rFonts w:cstheme="minorHAnsi"/>
        </w:rPr>
        <w:lastRenderedPageBreak/>
        <w:t>dalyvauti konfiskuotuose įrenginiuose esančios informacijos paieškos pagal raktinius žodžius procedūroje</w:t>
      </w:r>
      <w:r w:rsidRPr="00CC38E3">
        <w:rPr>
          <w:rFonts w:cstheme="minorHAnsi"/>
        </w:rPr>
        <w:t xml:space="preserve">, taip pat </w:t>
      </w:r>
      <w:r w:rsidR="00D31D42" w:rsidRPr="00CC38E3">
        <w:rPr>
          <w:rFonts w:cstheme="minorHAnsi"/>
        </w:rPr>
        <w:t>ne</w:t>
      </w:r>
      <w:r w:rsidR="00CF1398" w:rsidRPr="00CC38E3">
        <w:rPr>
          <w:rFonts w:cstheme="minorHAnsi"/>
        </w:rPr>
        <w:t xml:space="preserve">nustatė </w:t>
      </w:r>
      <w:r w:rsidR="00D31D42" w:rsidRPr="00CC38E3">
        <w:rPr>
          <w:rFonts w:cstheme="minorHAnsi"/>
        </w:rPr>
        <w:t xml:space="preserve">jokių kitų </w:t>
      </w:r>
      <w:r w:rsidR="00CF1398" w:rsidRPr="00CC38E3">
        <w:rPr>
          <w:rFonts w:cstheme="minorHAnsi"/>
        </w:rPr>
        <w:t>šios procedūros</w:t>
      </w:r>
      <w:r w:rsidR="00D31D42" w:rsidRPr="00CC38E3">
        <w:rPr>
          <w:rFonts w:cstheme="minorHAnsi"/>
        </w:rPr>
        <w:t xml:space="preserve">, įskaitant </w:t>
      </w:r>
      <w:r w:rsidR="00006AAC" w:rsidRPr="00CC38E3">
        <w:rPr>
          <w:rFonts w:cstheme="minorHAnsi"/>
        </w:rPr>
        <w:t>advokato-kliento paslaptį sudarančios informacijos tyrimo,</w:t>
      </w:r>
      <w:r w:rsidR="00D31D42" w:rsidRPr="00CC38E3">
        <w:rPr>
          <w:rFonts w:cstheme="minorHAnsi"/>
        </w:rPr>
        <w:t xml:space="preserve">  vykdymo procedūr</w:t>
      </w:r>
      <w:r w:rsidR="00006AAC" w:rsidRPr="00CC38E3">
        <w:rPr>
          <w:rFonts w:cstheme="minorHAnsi"/>
        </w:rPr>
        <w:t>ų taisyklių.</w:t>
      </w:r>
      <w:r w:rsidR="00AE0363" w:rsidRPr="00CC38E3">
        <w:rPr>
          <w:rFonts w:cstheme="minorHAnsi"/>
        </w:rPr>
        <w:t xml:space="preserve"> Iš nacionalinės teisės nuostatų </w:t>
      </w:r>
      <w:r w:rsidR="00AE0363" w:rsidRPr="00CC38E3">
        <w:rPr>
          <w:rFonts w:cstheme="minorHAnsi"/>
          <w:u w:val="single"/>
        </w:rPr>
        <w:t>net nebuvo aišku, kaip būtų spendžiami ginčai dėl tyrėjų veiksmų, atliekant konfiskuotos informacijos paiešką (atranką).</w:t>
      </w:r>
      <w:r w:rsidR="006C3A46" w:rsidRPr="00CC38E3">
        <w:rPr>
          <w:rFonts w:cstheme="minorHAnsi"/>
        </w:rPr>
        <w:t xml:space="preserve"> Atsižvelgęs į negausią teisinę bazę,</w:t>
      </w:r>
      <w:r w:rsidR="00FB6A30" w:rsidRPr="00CC38E3">
        <w:rPr>
          <w:rFonts w:cstheme="minorHAnsi"/>
        </w:rPr>
        <w:t xml:space="preserve"> pagal kurią </w:t>
      </w:r>
      <w:r w:rsidR="00253D5B" w:rsidRPr="00CC38E3">
        <w:rPr>
          <w:rFonts w:cstheme="minorHAnsi"/>
        </w:rPr>
        <w:t xml:space="preserve">atliekant duomenų paiešką ar net juos tiriant, </w:t>
      </w:r>
      <w:r w:rsidR="006C3A46" w:rsidRPr="00CC38E3">
        <w:rPr>
          <w:rFonts w:cstheme="minorHAnsi"/>
        </w:rPr>
        <w:t xml:space="preserve">turi būti atrenkama tik praktinę </w:t>
      </w:r>
      <w:r w:rsidR="00FB6A30" w:rsidRPr="00CC38E3">
        <w:rPr>
          <w:rFonts w:cstheme="minorHAnsi"/>
        </w:rPr>
        <w:t xml:space="preserve">baudžiamajam persekiojimui </w:t>
      </w:r>
      <w:r w:rsidR="006C3A46" w:rsidRPr="00CC38E3">
        <w:rPr>
          <w:rFonts w:cstheme="minorHAnsi"/>
        </w:rPr>
        <w:t xml:space="preserve">reikšmę turinti informacija, </w:t>
      </w:r>
      <w:r w:rsidR="00FB6A30" w:rsidRPr="00CC38E3">
        <w:rPr>
          <w:rFonts w:cstheme="minorHAnsi"/>
        </w:rPr>
        <w:t xml:space="preserve">Teismas vertino, kad tai </w:t>
      </w:r>
      <w:r w:rsidR="006C3A46" w:rsidRPr="00CC38E3">
        <w:rPr>
          <w:rFonts w:cstheme="minorHAnsi"/>
        </w:rPr>
        <w:t xml:space="preserve">turi tik ribotą apsaugos poveikį. </w:t>
      </w:r>
      <w:r w:rsidR="00D6124B" w:rsidRPr="00CC38E3">
        <w:rPr>
          <w:rFonts w:cstheme="minorHAnsi"/>
        </w:rPr>
        <w:t xml:space="preserve">Nors </w:t>
      </w:r>
      <w:r w:rsidR="00006AAC" w:rsidRPr="00CC38E3">
        <w:rPr>
          <w:rFonts w:cstheme="minorHAnsi"/>
        </w:rPr>
        <w:t xml:space="preserve">Teismas </w:t>
      </w:r>
      <w:r w:rsidR="00D6124B" w:rsidRPr="00CC38E3">
        <w:rPr>
          <w:rFonts w:cstheme="minorHAnsi"/>
        </w:rPr>
        <w:t xml:space="preserve">nevertino, ar pareiškėjo atveju advokato-kliento paslaptį sudarančios informacijos apsauga buvo pažeista, tačiau </w:t>
      </w:r>
      <w:r w:rsidR="00351BC2" w:rsidRPr="00CC38E3">
        <w:rPr>
          <w:rFonts w:cstheme="minorHAnsi"/>
        </w:rPr>
        <w:t xml:space="preserve">konstatavo, kad toks įsikišimas į pareiškėjo kaip advokato susirašinėjimą su klientu neatitiko Konvencijos 8 straipsnio 2 dalyje </w:t>
      </w:r>
      <w:r w:rsidR="00717976" w:rsidRPr="00CC38E3">
        <w:rPr>
          <w:rFonts w:cstheme="minorHAnsi"/>
        </w:rPr>
        <w:t>įtvirtinto kriterijaus ,,įstatymo nustatyt</w:t>
      </w:r>
      <w:r w:rsidR="00FB6A30" w:rsidRPr="00CC38E3">
        <w:rPr>
          <w:rFonts w:cstheme="minorHAnsi"/>
        </w:rPr>
        <w:t xml:space="preserve">i </w:t>
      </w:r>
      <w:r w:rsidR="00717976" w:rsidRPr="00CC38E3">
        <w:rPr>
          <w:rFonts w:cstheme="minorHAnsi"/>
        </w:rPr>
        <w:t>atvej</w:t>
      </w:r>
      <w:r w:rsidR="00FB6A30" w:rsidRPr="00CC38E3">
        <w:rPr>
          <w:rFonts w:cstheme="minorHAnsi"/>
        </w:rPr>
        <w:t>ai</w:t>
      </w:r>
      <w:r w:rsidR="00717976" w:rsidRPr="00CC38E3">
        <w:rPr>
          <w:rFonts w:cstheme="minorHAnsi"/>
        </w:rPr>
        <w:t>“.</w:t>
      </w:r>
      <w:r w:rsidR="00351BC2" w:rsidRPr="00CC38E3">
        <w:rPr>
          <w:rFonts w:cstheme="minorHAnsi"/>
        </w:rPr>
        <w:t xml:space="preserve">  </w:t>
      </w:r>
    </w:p>
    <w:p w14:paraId="24339929" w14:textId="77777777" w:rsidR="008858E5" w:rsidRPr="00CC38E3" w:rsidRDefault="008858E5" w:rsidP="005C5A0E">
      <w:pPr>
        <w:shd w:val="clear" w:color="auto" w:fill="FFFFFF"/>
        <w:spacing w:after="0" w:line="240" w:lineRule="auto"/>
        <w:ind w:right="-1" w:firstLine="567"/>
        <w:jc w:val="both"/>
        <w:rPr>
          <w:rFonts w:cstheme="minorHAnsi"/>
        </w:rPr>
      </w:pPr>
    </w:p>
    <w:p w14:paraId="44368458" w14:textId="783019C7" w:rsidR="00351BC2" w:rsidRPr="00CC38E3" w:rsidRDefault="008858E5" w:rsidP="005C5A0E">
      <w:pPr>
        <w:shd w:val="clear" w:color="auto" w:fill="FFFFFF"/>
        <w:spacing w:after="0" w:line="240" w:lineRule="auto"/>
        <w:ind w:right="-1" w:firstLine="567"/>
        <w:jc w:val="both"/>
        <w:rPr>
          <w:rFonts w:cstheme="minorHAnsi"/>
        </w:rPr>
      </w:pPr>
      <w:r w:rsidRPr="00CC38E3">
        <w:rPr>
          <w:rFonts w:cstheme="minorHAnsi"/>
        </w:rPr>
        <w:t xml:space="preserve">Išvada: </w:t>
      </w:r>
      <w:r w:rsidR="008E4C67" w:rsidRPr="00CC38E3">
        <w:rPr>
          <w:rFonts w:cstheme="minorHAnsi"/>
        </w:rPr>
        <w:t xml:space="preserve">nustatytas </w:t>
      </w:r>
      <w:r w:rsidRPr="00CC38E3">
        <w:rPr>
          <w:rFonts w:cstheme="minorHAnsi"/>
        </w:rPr>
        <w:t>Konvencijos 8 straipsnio pažeidimas (</w:t>
      </w:r>
      <w:r w:rsidR="00F3077F" w:rsidRPr="00CC38E3">
        <w:rPr>
          <w:rFonts w:cstheme="minorHAnsi"/>
        </w:rPr>
        <w:t xml:space="preserve">4 </w:t>
      </w:r>
      <w:r w:rsidRPr="00CC38E3">
        <w:rPr>
          <w:rFonts w:cstheme="minorHAnsi"/>
        </w:rPr>
        <w:t xml:space="preserve">balsai prieš </w:t>
      </w:r>
      <w:r w:rsidR="00F3077F" w:rsidRPr="00CC38E3">
        <w:rPr>
          <w:rFonts w:cstheme="minorHAnsi"/>
        </w:rPr>
        <w:t>3</w:t>
      </w:r>
      <w:r w:rsidRPr="00CC38E3">
        <w:rPr>
          <w:rFonts w:cstheme="minorHAnsi"/>
        </w:rPr>
        <w:t>).</w:t>
      </w:r>
    </w:p>
    <w:p w14:paraId="13F01273" w14:textId="24D2E99F" w:rsidR="008858E5" w:rsidRPr="00CC38E3" w:rsidRDefault="00A1313E" w:rsidP="005C5A0E">
      <w:pPr>
        <w:shd w:val="clear" w:color="auto" w:fill="FFFFFF"/>
        <w:spacing w:after="0" w:line="240" w:lineRule="auto"/>
        <w:ind w:right="-1" w:firstLine="567"/>
        <w:jc w:val="both"/>
        <w:rPr>
          <w:rFonts w:cstheme="minorHAnsi"/>
        </w:rPr>
      </w:pPr>
      <w:hyperlink r:id="rId15" w:anchor="{%22fulltext%22:[%22698/19%22],%22documentcollectionid2%22:[%22GRANDCHAMBER%22,%22CHAMBER%22],%22itemid%22:[%22001-213208%22]}" w:history="1">
        <w:r w:rsidR="008858E5" w:rsidRPr="00CC38E3">
          <w:rPr>
            <w:rStyle w:val="Hipersaitas"/>
            <w:rFonts w:cstheme="minorHAnsi"/>
          </w:rPr>
          <w:t>Prieiga internete</w:t>
        </w:r>
      </w:hyperlink>
    </w:p>
    <w:p w14:paraId="4589E210" w14:textId="1DD30A9D" w:rsidR="00430029" w:rsidRPr="00CC38E3" w:rsidRDefault="0054219E" w:rsidP="005C5A0E">
      <w:pPr>
        <w:shd w:val="clear" w:color="auto" w:fill="FFFFFF"/>
        <w:spacing w:after="0" w:line="240" w:lineRule="auto"/>
        <w:ind w:right="-1" w:firstLine="709"/>
        <w:jc w:val="both"/>
        <w:rPr>
          <w:rFonts w:cstheme="minorHAnsi"/>
        </w:rPr>
      </w:pPr>
      <w:r w:rsidRPr="00CC38E3">
        <w:rPr>
          <w:rFonts w:cstheme="minorHAnsi"/>
        </w:rPr>
        <w:t xml:space="preserve">  </w:t>
      </w:r>
    </w:p>
    <w:p w14:paraId="1CB90648" w14:textId="1A7C6EA4" w:rsidR="00F72540" w:rsidRPr="00CC38E3" w:rsidRDefault="00F72540" w:rsidP="005B4163">
      <w:pPr>
        <w:pStyle w:val="Antrat1"/>
        <w:spacing w:before="0"/>
        <w:rPr>
          <w:rFonts w:eastAsia="Times New Roman" w:cstheme="minorHAnsi"/>
          <w:szCs w:val="22"/>
        </w:rPr>
      </w:pPr>
      <w:bookmarkStart w:id="20" w:name="_Toc104379823"/>
      <w:r w:rsidRPr="00CC38E3">
        <w:rPr>
          <w:rFonts w:eastAsia="Times New Roman" w:cstheme="minorHAnsi"/>
          <w:szCs w:val="22"/>
        </w:rPr>
        <w:t>SAVIRAIŠKOS LAISVĖ (10 straipsnis)</w:t>
      </w:r>
      <w:bookmarkEnd w:id="20"/>
    </w:p>
    <w:p w14:paraId="32AD4E10" w14:textId="3D989667" w:rsidR="00A12305" w:rsidRPr="00CC38E3" w:rsidRDefault="00A12305" w:rsidP="005B4163">
      <w:pPr>
        <w:spacing w:after="0" w:line="240" w:lineRule="auto"/>
        <w:rPr>
          <w:rFonts w:eastAsia="Times New Roman" w:cstheme="minorHAnsi"/>
          <w:b/>
          <w:color w:val="323E4F"/>
        </w:rPr>
      </w:pPr>
    </w:p>
    <w:p w14:paraId="12777AE8" w14:textId="77777777" w:rsidR="00A12305" w:rsidRPr="00CC38E3" w:rsidRDefault="00A12305"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Europos Žmogaus Teisių Teismo 2021 m. liepos 22 d. sprendimas byloje</w:t>
      </w:r>
    </w:p>
    <w:p w14:paraId="0CB2C1E5" w14:textId="77777777" w:rsidR="00A12305" w:rsidRPr="00CC38E3" w:rsidRDefault="00A12305" w:rsidP="005C5A0E">
      <w:pPr>
        <w:keepNext/>
        <w:keepLines/>
        <w:spacing w:after="0" w:line="240" w:lineRule="auto"/>
        <w:ind w:right="-1"/>
        <w:jc w:val="center"/>
        <w:outlineLvl w:val="1"/>
        <w:rPr>
          <w:rFonts w:eastAsia="Calibri" w:cstheme="minorHAnsi"/>
          <w:b/>
          <w:bCs/>
          <w:i/>
          <w:iCs/>
          <w:color w:val="2E74B5"/>
        </w:rPr>
      </w:pPr>
      <w:bookmarkStart w:id="21" w:name="_Toc52184423"/>
      <w:bookmarkStart w:id="22" w:name="_Toc104379824"/>
      <w:r w:rsidRPr="00CC38E3">
        <w:rPr>
          <w:rFonts w:eastAsia="Calibri" w:cstheme="minorHAnsi"/>
          <w:b/>
          <w:bCs/>
          <w:i/>
          <w:iCs/>
          <w:color w:val="2E74B5"/>
        </w:rPr>
        <w:t>Gachechiladze prieš Gruziją</w:t>
      </w:r>
      <w:bookmarkEnd w:id="21"/>
      <w:bookmarkEnd w:id="22"/>
    </w:p>
    <w:p w14:paraId="40C516BA" w14:textId="77777777" w:rsidR="00A12305" w:rsidRPr="00CC38E3" w:rsidRDefault="00A12305"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(pareiškimo Nr. 2591/19</w:t>
      </w:r>
      <w:r w:rsidRPr="00CC38E3">
        <w:rPr>
          <w:rFonts w:eastAsia="Calibri" w:cstheme="minorHAnsi"/>
          <w:b/>
        </w:rPr>
        <w:t>, svarbos lygis – 2</w:t>
      </w:r>
      <w:r w:rsidRPr="00CC38E3">
        <w:rPr>
          <w:rFonts w:eastAsia="Times New Roman" w:cstheme="minorHAnsi"/>
          <w:b/>
        </w:rPr>
        <w:t>)</w:t>
      </w:r>
    </w:p>
    <w:p w14:paraId="6405C1AC" w14:textId="77777777" w:rsidR="00A12305" w:rsidRPr="00CC38E3" w:rsidRDefault="00A12305" w:rsidP="005C5A0E">
      <w:pPr>
        <w:shd w:val="clear" w:color="auto" w:fill="FFFFFF"/>
        <w:spacing w:after="0" w:line="240" w:lineRule="auto"/>
        <w:ind w:right="-1" w:firstLine="567"/>
        <w:jc w:val="center"/>
        <w:rPr>
          <w:rFonts w:eastAsia="Times New Roman" w:cstheme="minorHAnsi"/>
          <w:b/>
          <w:bCs/>
          <w:color w:val="000000"/>
        </w:rPr>
      </w:pPr>
    </w:p>
    <w:p w14:paraId="4BE3D719" w14:textId="77777777" w:rsidR="00A12305" w:rsidRPr="00CC38E3" w:rsidRDefault="00A12305" w:rsidP="00831905">
      <w:pPr>
        <w:keepNext/>
        <w:keepLines/>
        <w:spacing w:after="0" w:line="240" w:lineRule="auto"/>
        <w:ind w:right="-1" w:firstLine="567"/>
        <w:outlineLvl w:val="2"/>
        <w:rPr>
          <w:rFonts w:eastAsia="Calibri" w:cstheme="minorHAnsi"/>
          <w:bCs/>
          <w:i/>
          <w:iCs/>
        </w:rPr>
      </w:pPr>
      <w:bookmarkStart w:id="23" w:name="_Toc52184424"/>
      <w:bookmarkStart w:id="24" w:name="_Toc104379825"/>
      <w:r w:rsidRPr="00CC38E3">
        <w:rPr>
          <w:rFonts w:eastAsia="Calibri" w:cstheme="minorHAnsi"/>
          <w:bCs/>
          <w:i/>
          <w:iCs/>
        </w:rPr>
        <w:t xml:space="preserve">Dėl </w:t>
      </w:r>
      <w:bookmarkEnd w:id="23"/>
      <w:r w:rsidRPr="00CC38E3">
        <w:rPr>
          <w:rFonts w:eastAsia="Calibri" w:cstheme="minorHAnsi"/>
          <w:bCs/>
          <w:i/>
          <w:iCs/>
        </w:rPr>
        <w:t>esą nederamo prezervatyvų pakuočių, papuoštų istoriniais ar religiniais simboliais bei užrašais, dizaino ir saviraiškos laisvės</w:t>
      </w:r>
      <w:bookmarkEnd w:id="24"/>
    </w:p>
    <w:p w14:paraId="7EBFBE55" w14:textId="77777777" w:rsidR="00A12305" w:rsidRPr="00CC38E3" w:rsidRDefault="00A12305" w:rsidP="005C5A0E">
      <w:pPr>
        <w:spacing w:after="0" w:line="240" w:lineRule="auto"/>
        <w:ind w:right="-1" w:firstLine="567"/>
        <w:rPr>
          <w:rFonts w:eastAsia="Calibri" w:cstheme="minorHAnsi"/>
        </w:rPr>
      </w:pPr>
    </w:p>
    <w:p w14:paraId="1CF5C46F" w14:textId="77777777" w:rsidR="00A12305" w:rsidRPr="00CC38E3" w:rsidRDefault="00A12305"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Faktinės aplinkybės</w:t>
      </w:r>
    </w:p>
    <w:p w14:paraId="1B7D8C0D" w14:textId="77777777" w:rsidR="00A12305" w:rsidRPr="00CC38E3" w:rsidRDefault="00A12305" w:rsidP="005C5A0E">
      <w:pPr>
        <w:spacing w:after="0" w:line="240" w:lineRule="auto"/>
        <w:ind w:right="-1" w:firstLine="567"/>
        <w:rPr>
          <w:rFonts w:eastAsia="Calibri" w:cstheme="minorHAnsi"/>
        </w:rPr>
      </w:pPr>
    </w:p>
    <w:p w14:paraId="3A728B44" w14:textId="77777777" w:rsidR="00A12305" w:rsidRPr="00CC38E3" w:rsidRDefault="00A12305" w:rsidP="005C5A0E">
      <w:pPr>
        <w:spacing w:after="0" w:line="240" w:lineRule="auto"/>
        <w:ind w:firstLine="567"/>
        <w:jc w:val="both"/>
        <w:rPr>
          <w:rFonts w:eastAsia="Calibri" w:cstheme="minorHAnsi"/>
        </w:rPr>
      </w:pPr>
      <w:r w:rsidRPr="00CC38E3">
        <w:rPr>
          <w:rFonts w:eastAsia="Calibri" w:cstheme="minorHAnsi"/>
        </w:rPr>
        <w:t>Pareiškėjos įkurtas prekės ženklas gamino ir pardavinėjo prezervatyvus, kurių pakuotės buvo puoštos įvairiais ženklais bei šūkiais. Pasiskundus konservatyviam pilietiniam-politiniam judėjimui buvo pradėta administracinio nusižengimo procedūra ir 4 pareiškėjos sukurti dizainai (vaizdavę buvusią Gruzijos valdovę, vėliau paskelbtą šventąja; aliuzijas į istorinius Gruzijos įvykius; dviprasmišką citatą iš populiarios dainos; stilizuotą rankos gestą), buvę ant produkcijos bei prekės ženklo Facebook puslapyje, pripažinti etiką pažeidžiančia reklama, žeidusia religinius įsitikinimus ir / ar tautinį orumą. Ginčai Gruzijos teismuose baigėsi pareiškėjai paskirta 165 Eur bauda, įsakymu išimti prekes iš prekybos ir draudimu ateityje naudoti ginčytus dizainus.</w:t>
      </w:r>
    </w:p>
    <w:p w14:paraId="5755808D" w14:textId="77777777" w:rsidR="00A12305" w:rsidRPr="00CC38E3" w:rsidRDefault="00A12305" w:rsidP="005C5A0E">
      <w:pPr>
        <w:spacing w:after="0" w:line="240" w:lineRule="auto"/>
        <w:ind w:firstLine="567"/>
        <w:jc w:val="both"/>
        <w:rPr>
          <w:rFonts w:eastAsia="Calibri" w:cstheme="minorHAnsi"/>
        </w:rPr>
      </w:pPr>
      <w:r w:rsidRPr="00CC38E3">
        <w:rPr>
          <w:rFonts w:eastAsia="Calibri" w:cstheme="minorHAnsi"/>
        </w:rPr>
        <w:t>Pareiškėja, remdamasi Konvencijos 10 straipsniu, kreipėsi į Teismą, kadangi pradėta administracinio nusižengimo procedūra ir pritaikytomis sankcijomis už jos sukurtų produktų dizainą buvo pažeista jos saviraiškos laisvė.</w:t>
      </w:r>
    </w:p>
    <w:p w14:paraId="06317AB1" w14:textId="77777777" w:rsidR="00A12305" w:rsidRPr="00CC38E3" w:rsidRDefault="00A12305" w:rsidP="005C5A0E">
      <w:pPr>
        <w:pStyle w:val="s899b3e47"/>
        <w:shd w:val="clear" w:color="auto" w:fill="FFFFFF"/>
        <w:spacing w:before="0" w:beforeAutospacing="0" w:after="0" w:afterAutospacing="0"/>
        <w:ind w:firstLine="284"/>
        <w:jc w:val="both"/>
        <w:rPr>
          <w:rFonts w:asciiTheme="minorHAnsi" w:hAnsiTheme="minorHAnsi" w:cstheme="minorHAnsi"/>
          <w:color w:val="000000"/>
          <w:sz w:val="22"/>
          <w:szCs w:val="22"/>
        </w:rPr>
      </w:pPr>
    </w:p>
    <w:p w14:paraId="333C8722" w14:textId="77777777" w:rsidR="00A12305" w:rsidRPr="00CC38E3" w:rsidRDefault="00A12305"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Neoficiali Teismo sprendimo apžvalga</w:t>
      </w:r>
    </w:p>
    <w:p w14:paraId="3418EAFC" w14:textId="77777777" w:rsidR="00A12305" w:rsidRPr="00CC38E3" w:rsidRDefault="00A12305" w:rsidP="005C5A0E">
      <w:pPr>
        <w:spacing w:after="0" w:line="240" w:lineRule="auto"/>
        <w:ind w:right="-1" w:firstLine="567"/>
        <w:rPr>
          <w:rFonts w:eastAsia="Calibri" w:cstheme="minorHAnsi"/>
        </w:rPr>
      </w:pPr>
    </w:p>
    <w:p w14:paraId="3AFB91E6" w14:textId="77777777" w:rsidR="00A12305" w:rsidRPr="00CC38E3" w:rsidRDefault="00A12305" w:rsidP="005C5A0E">
      <w:pPr>
        <w:spacing w:after="0" w:line="240" w:lineRule="auto"/>
        <w:ind w:firstLine="567"/>
        <w:jc w:val="both"/>
        <w:rPr>
          <w:rFonts w:eastAsia="Calibri" w:cstheme="minorHAnsi"/>
        </w:rPr>
      </w:pPr>
      <w:r w:rsidRPr="00CC38E3">
        <w:rPr>
          <w:rFonts w:eastAsia="Calibri" w:cstheme="minorHAnsi"/>
        </w:rPr>
        <w:t>Paskirta bauda, įpareigojimas išimti tam tikro dizaino prekes iš prekybos ir draudimas jomis prekiauti ateityje ribojo pareiškėjos saviraiškos laisvę. Nepaisant to, jog nacionaliniai teismai nesirėmė kokia nors anksčiau plėtota praktika reklamų, naudojusių religinius simbolius, bylose, Teismas laikė, jog šiuo atveju ribojimu siekta teisėtų tikslų apsaugoti kitų asmenų religines teises ir / ar visuomenės moralę. Kadangi pareiškėjos kurti dizainai turėjo ne tik komercinę, bet ir viešojo intereso paskirtį (pvz., kai kurie dizainai buvo susiję su tos pačios lyties asmenų santykiais, kiti priminė politinių ar socialinių problemų komentarus), nacionalinių teismų manevro laisvė juos vertinant yra siauresnė nei situacijose, susijusiose su išimtinai komerciniu kontekstu.</w:t>
      </w:r>
    </w:p>
    <w:p w14:paraId="601901EA" w14:textId="23208F8C" w:rsidR="00A12305" w:rsidRPr="00CC38E3" w:rsidRDefault="00A12305" w:rsidP="005C5A0E">
      <w:pPr>
        <w:spacing w:after="0" w:line="240" w:lineRule="auto"/>
        <w:ind w:firstLine="567"/>
        <w:jc w:val="both"/>
        <w:rPr>
          <w:rFonts w:eastAsia="Calibri" w:cstheme="minorHAnsi"/>
        </w:rPr>
      </w:pPr>
      <w:r w:rsidRPr="00CC38E3">
        <w:rPr>
          <w:rFonts w:eastAsia="Calibri" w:cstheme="minorHAnsi"/>
        </w:rPr>
        <w:t>Vis dėlto Teismas netapačiai vertino visus 4 dizainus. Pavyzdžiui, Teismas nurodė, kad viešojo ar bet kurio kito asmens kanonizavimas savaime nereiškia, jog toks asmuo nebėra viešojo diskurso dalis. Be to, išraiškos priemonės – šiuo atveju prezervatyvų gamyba ir platinimas – savaime nelaikomos nederamomis, kai vertinama, ar tokia išraiška gali prisidėti prie viešojo diskurso visuomenei svarbiomis temomis. Vis dėlto pareiškėja nepaaiškino</w:t>
      </w:r>
      <w:r w:rsidR="00AE1B00">
        <w:rPr>
          <w:rFonts w:eastAsia="Calibri" w:cstheme="minorHAnsi"/>
        </w:rPr>
        <w:t>,</w:t>
      </w:r>
      <w:r w:rsidRPr="00CC38E3">
        <w:rPr>
          <w:rFonts w:eastAsia="Calibri" w:cstheme="minorHAnsi"/>
        </w:rPr>
        <w:t xml:space="preserve"> kodėl ar kaip konkrečios istorinės asmenybės panaudojimas inicijavo ar kitaip prisidėjo prie tokios diskusijos visuomenei reikšmingu klausimu. Apgailestaudamas, kad nacionaliniai teismai nemėgino </w:t>
      </w:r>
      <w:r w:rsidRPr="00CC38E3">
        <w:rPr>
          <w:rFonts w:eastAsia="Calibri" w:cstheme="minorHAnsi"/>
        </w:rPr>
        <w:lastRenderedPageBreak/>
        <w:t>susieti šalia nurodyto teksto su paveikslėliu, Teismas visgi nurodė, jog institucijos greičiausiai nesuklydo vertindamos dizainą kaip perdėtai įžeidų ortodoksišką krikščionybę išpažįstančių gruzinų gerbiamam asmeniui.</w:t>
      </w:r>
    </w:p>
    <w:p w14:paraId="3A6B5449" w14:textId="380FAC88" w:rsidR="00A12305" w:rsidRPr="00CC38E3" w:rsidRDefault="00A12305" w:rsidP="005C5A0E">
      <w:pPr>
        <w:spacing w:after="0" w:line="240" w:lineRule="auto"/>
        <w:ind w:firstLine="567"/>
        <w:jc w:val="both"/>
        <w:rPr>
          <w:rFonts w:eastAsia="Calibri" w:cstheme="minorHAnsi"/>
        </w:rPr>
      </w:pPr>
      <w:r w:rsidRPr="00CC38E3">
        <w:rPr>
          <w:rFonts w:eastAsia="Calibri" w:cstheme="minorHAnsi"/>
        </w:rPr>
        <w:t xml:space="preserve">Vis dėlto Teismas nesutiko su nacionalinių teismų atliktu kitų 3 dizainų vertinimu, </w:t>
      </w:r>
      <w:r w:rsidRPr="00CC38E3">
        <w:rPr>
          <w:rFonts w:eastAsia="Calibri" w:cstheme="minorHAnsi"/>
          <w:i/>
          <w:iCs/>
        </w:rPr>
        <w:t>inter alia</w:t>
      </w:r>
      <w:r w:rsidRPr="00CC38E3">
        <w:rPr>
          <w:rFonts w:eastAsia="Calibri" w:cstheme="minorHAnsi"/>
        </w:rPr>
        <w:t xml:space="preserve"> dėl to, jog nacionaliniai teismai neįvertino, ar buvo būtina riboti konkrečių dizainų sklaidą. Be to, Teismas nusprendė, kad ir negalint eliminuoti galimybės, jog net ir patys menkiausi vaizdai gali turėti elementų, provokuojančių itin specifines asociacijas su religiniu simboliu, būtent nacionaliniai teismai turėjo pademonstruoti, kodėl taip nutiko šiuo atveju, tačiau to nepadarė. Dėl dizaino, vaizdavusio istorinį įvykį, Teismas nurodė, jog nacionalinių procesų metu taip ir liko neaišku, kodėl teismai sprendė, jog toks dizainas gali būti laikomas patenkančiu į neetiškos reklamos apibrėžimą, nurodytą įstatyme. </w:t>
      </w:r>
      <w:r w:rsidR="002433E2" w:rsidRPr="00CC38E3">
        <w:rPr>
          <w:rFonts w:eastAsia="Calibri" w:cstheme="minorHAnsi"/>
        </w:rPr>
        <w:t>L</w:t>
      </w:r>
      <w:r w:rsidRPr="00CC38E3">
        <w:rPr>
          <w:rFonts w:eastAsia="Calibri" w:cstheme="minorHAnsi"/>
        </w:rPr>
        <w:t>iko nepaaiškinta</w:t>
      </w:r>
      <w:r w:rsidR="002433E2" w:rsidRPr="00CC38E3">
        <w:rPr>
          <w:rFonts w:eastAsia="Calibri" w:cstheme="minorHAnsi"/>
        </w:rPr>
        <w:t xml:space="preserve"> ir tai</w:t>
      </w:r>
      <w:r w:rsidRPr="00CC38E3">
        <w:rPr>
          <w:rFonts w:eastAsia="Calibri" w:cstheme="minorHAnsi"/>
        </w:rPr>
        <w:t>, ar buvo būtina (Teismo praktikos prasme) limituoti šių dizainų platinimą. Nė viena teismų nurodyta priežastis nelaikyta pakankama paaiškinti būtinybę ir proporcingumą riboti pareiškėjos saviraiškos laisvę.</w:t>
      </w:r>
    </w:p>
    <w:p w14:paraId="428D4C09" w14:textId="4EB64340" w:rsidR="00A12305" w:rsidRPr="00CC38E3" w:rsidRDefault="00A12305" w:rsidP="005C5A0E">
      <w:pPr>
        <w:spacing w:after="0" w:line="240" w:lineRule="auto"/>
        <w:ind w:firstLine="567"/>
        <w:jc w:val="both"/>
        <w:rPr>
          <w:rFonts w:eastAsia="Calibri" w:cstheme="minorHAnsi"/>
        </w:rPr>
      </w:pPr>
      <w:r w:rsidRPr="00CC38E3">
        <w:rPr>
          <w:rFonts w:eastAsia="Calibri" w:cstheme="minorHAnsi"/>
        </w:rPr>
        <w:t xml:space="preserve">Teismas kritiškai pažvelgė į nacionalinių teismų implikaciją, jog Gruzijos ortodoksų bažnyčios narių etikos nuostatos yra viršesnės balansuojant įvairias vertybes, saugomas Konvencijos ir Gruzijos </w:t>
      </w:r>
      <w:r w:rsidR="002433E2" w:rsidRPr="00CC38E3">
        <w:rPr>
          <w:rFonts w:eastAsia="Calibri" w:cstheme="minorHAnsi"/>
        </w:rPr>
        <w:t>K</w:t>
      </w:r>
      <w:r w:rsidRPr="00CC38E3">
        <w:rPr>
          <w:rFonts w:eastAsia="Calibri" w:cstheme="minorHAnsi"/>
        </w:rPr>
        <w:t xml:space="preserve">onstitucijos. </w:t>
      </w:r>
      <w:r w:rsidRPr="00CC38E3">
        <w:rPr>
          <w:rFonts w:eastAsia="Calibri" w:cstheme="minorHAnsi"/>
          <w:u w:val="single"/>
        </w:rPr>
        <w:t>Pliuralistinėje demokratinėje visuomenėje asmenys, pasirenkantys išpažinti savo religiją, turi toleruoti ir priimti kitų asmenų tokių religinių įsitikinimų atmetimą ir netgi propagavimą doktrinų, nepalankių jų religijai</w:t>
      </w:r>
      <w:r w:rsidRPr="00CC38E3">
        <w:rPr>
          <w:rFonts w:eastAsia="Calibri" w:cstheme="minorHAnsi"/>
        </w:rPr>
        <w:t>. Atitinkamai, bent jau 3 iš 4 dizainų atžvilgiu Teismas pripažino nacionalinius teismus netinkamai įvertinus Konvencijos nuostatas.</w:t>
      </w:r>
    </w:p>
    <w:p w14:paraId="41AAD51A" w14:textId="77777777" w:rsidR="00A12305" w:rsidRPr="00CC38E3" w:rsidRDefault="00A12305" w:rsidP="005C5A0E">
      <w:pPr>
        <w:spacing w:after="0" w:line="240" w:lineRule="auto"/>
        <w:ind w:right="-1" w:firstLine="567"/>
        <w:rPr>
          <w:rFonts w:eastAsia="Calibri" w:cstheme="minorHAnsi"/>
        </w:rPr>
      </w:pPr>
    </w:p>
    <w:p w14:paraId="51BE2C7F" w14:textId="77777777" w:rsidR="00A12305" w:rsidRPr="00CC38E3" w:rsidRDefault="00A12305" w:rsidP="005C5A0E">
      <w:pPr>
        <w:spacing w:after="0" w:line="240" w:lineRule="auto"/>
        <w:ind w:right="-1" w:firstLine="567"/>
        <w:rPr>
          <w:rFonts w:eastAsia="Calibri" w:cstheme="minorHAnsi"/>
        </w:rPr>
      </w:pPr>
      <w:r w:rsidRPr="00CC38E3">
        <w:rPr>
          <w:rFonts w:eastAsia="Calibri" w:cstheme="minorHAnsi"/>
        </w:rPr>
        <w:t xml:space="preserve">Išvada: nustatytas Konvencijos 10 straipsnio pažeidimas (vienbalsiai). </w:t>
      </w:r>
    </w:p>
    <w:p w14:paraId="21CEB80C" w14:textId="1A1F12D9" w:rsidR="00A12305" w:rsidRPr="005B4163" w:rsidRDefault="00A1313E" w:rsidP="005B4163">
      <w:pPr>
        <w:spacing w:after="0" w:line="240" w:lineRule="auto"/>
        <w:ind w:right="-1" w:firstLine="567"/>
        <w:rPr>
          <w:rFonts w:eastAsia="Calibri" w:cstheme="minorHAnsi"/>
          <w:color w:val="0000FF"/>
          <w:u w:val="single"/>
        </w:rPr>
      </w:pPr>
      <w:hyperlink r:id="rId16" w:history="1">
        <w:r w:rsidR="00A12305" w:rsidRPr="00CC38E3">
          <w:rPr>
            <w:rFonts w:eastAsia="Calibri" w:cstheme="minorHAnsi"/>
            <w:color w:val="0000FF"/>
            <w:u w:val="single"/>
          </w:rPr>
          <w:t>Prieiga internete</w:t>
        </w:r>
      </w:hyperlink>
    </w:p>
    <w:p w14:paraId="0132C2DD" w14:textId="77777777" w:rsidR="00F72540" w:rsidRPr="00CC38E3" w:rsidRDefault="00F72540" w:rsidP="005C5A0E">
      <w:pPr>
        <w:spacing w:after="0" w:line="240" w:lineRule="auto"/>
        <w:rPr>
          <w:rFonts w:cstheme="minorHAnsi"/>
        </w:rPr>
      </w:pPr>
    </w:p>
    <w:p w14:paraId="136A4F6F" w14:textId="77777777" w:rsidR="00F72540" w:rsidRPr="00CC38E3" w:rsidRDefault="00F72540"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Europos Žmogaus Teisių Teismo 2021 m. spalio 19 d. sprendimas byloje</w:t>
      </w:r>
    </w:p>
    <w:p w14:paraId="7076232C" w14:textId="77777777" w:rsidR="00F72540" w:rsidRPr="00CC38E3" w:rsidRDefault="00F72540" w:rsidP="002A73CF">
      <w:pPr>
        <w:keepNext/>
        <w:keepLines/>
        <w:spacing w:after="0" w:line="240" w:lineRule="auto"/>
        <w:ind w:right="-1"/>
        <w:jc w:val="center"/>
        <w:outlineLvl w:val="1"/>
        <w:rPr>
          <w:rFonts w:eastAsia="Calibri" w:cstheme="minorHAnsi"/>
          <w:b/>
          <w:bCs/>
          <w:i/>
          <w:iCs/>
          <w:color w:val="2E74B5"/>
        </w:rPr>
      </w:pPr>
      <w:bookmarkStart w:id="25" w:name="_Toc104379826"/>
      <w:r w:rsidRPr="00CC38E3">
        <w:rPr>
          <w:rFonts w:eastAsia="Calibri" w:cstheme="minorHAnsi"/>
          <w:b/>
          <w:bCs/>
          <w:i/>
          <w:iCs/>
          <w:color w:val="2E74B5"/>
        </w:rPr>
        <w:t>Hans-Wilhelm Saure prieš Vokietiją</w:t>
      </w:r>
      <w:bookmarkEnd w:id="25"/>
    </w:p>
    <w:p w14:paraId="7F30501F" w14:textId="77777777" w:rsidR="00F72540" w:rsidRPr="00CC38E3" w:rsidRDefault="00F72540"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(pareiškimo Nr. 6106/16</w:t>
      </w:r>
      <w:r w:rsidRPr="00CC38E3">
        <w:rPr>
          <w:rFonts w:cstheme="minorHAnsi"/>
          <w:b/>
        </w:rPr>
        <w:t>, svarbos lygis – 2</w:t>
      </w:r>
      <w:r w:rsidRPr="00CC38E3">
        <w:rPr>
          <w:rFonts w:eastAsia="Times New Roman" w:cstheme="minorHAnsi"/>
          <w:b/>
        </w:rPr>
        <w:t>)</w:t>
      </w:r>
    </w:p>
    <w:p w14:paraId="7B7EA487" w14:textId="77777777" w:rsidR="00F72540" w:rsidRPr="00CC38E3" w:rsidRDefault="00F72540" w:rsidP="005C5A0E">
      <w:pPr>
        <w:shd w:val="clear" w:color="auto" w:fill="FFFFFF"/>
        <w:spacing w:after="0" w:line="240" w:lineRule="auto"/>
        <w:ind w:right="-1" w:firstLine="567"/>
        <w:jc w:val="center"/>
        <w:rPr>
          <w:rFonts w:eastAsia="Times New Roman" w:cstheme="minorHAnsi"/>
          <w:b/>
          <w:bCs/>
          <w:color w:val="000000"/>
        </w:rPr>
      </w:pPr>
    </w:p>
    <w:p w14:paraId="447AC534" w14:textId="77777777" w:rsidR="00F72540" w:rsidRPr="00CC38E3" w:rsidRDefault="00F72540" w:rsidP="00045D7F">
      <w:pPr>
        <w:keepNext/>
        <w:keepLines/>
        <w:spacing w:after="0" w:line="240" w:lineRule="auto"/>
        <w:ind w:right="-1" w:firstLine="567"/>
        <w:jc w:val="both"/>
        <w:outlineLvl w:val="2"/>
        <w:rPr>
          <w:rFonts w:eastAsia="Calibri" w:cstheme="minorHAnsi"/>
          <w:bCs/>
          <w:iCs/>
        </w:rPr>
      </w:pPr>
      <w:bookmarkStart w:id="26" w:name="_Toc104379827"/>
      <w:r w:rsidRPr="00CC38E3">
        <w:rPr>
          <w:rFonts w:eastAsia="Calibri" w:cstheme="minorHAnsi"/>
          <w:bCs/>
          <w:i/>
          <w:iCs/>
        </w:rPr>
        <w:t>Dėl atsisakymo pateikti žurnalistui neparengtą ir neprieinamą informaciją apie Užsienio žvalgybos tarnybos ir jos pirmtakės organizacijos darbuotojų ir bendradarbių, susijusių su nacių organizacijomis, skaičių</w:t>
      </w:r>
      <w:bookmarkEnd w:id="26"/>
    </w:p>
    <w:p w14:paraId="34EC46F7" w14:textId="77777777" w:rsidR="00F72540" w:rsidRPr="00CC38E3" w:rsidRDefault="00F72540" w:rsidP="005C5A0E">
      <w:pPr>
        <w:spacing w:after="0" w:line="240" w:lineRule="auto"/>
        <w:ind w:right="-1" w:firstLine="567"/>
        <w:rPr>
          <w:rFonts w:cstheme="minorHAnsi"/>
        </w:rPr>
      </w:pPr>
    </w:p>
    <w:p w14:paraId="676B3ADC" w14:textId="77777777" w:rsidR="00F72540" w:rsidRPr="00CC38E3" w:rsidRDefault="00F72540"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Faktinės aplinkybės</w:t>
      </w:r>
    </w:p>
    <w:p w14:paraId="17BDEE8E" w14:textId="77777777" w:rsidR="00F72540" w:rsidRPr="00CC38E3" w:rsidRDefault="00F72540" w:rsidP="005C5A0E">
      <w:pPr>
        <w:spacing w:after="0" w:line="240" w:lineRule="auto"/>
        <w:ind w:right="-1" w:firstLine="567"/>
        <w:rPr>
          <w:rFonts w:cstheme="minorHAnsi"/>
        </w:rPr>
      </w:pPr>
    </w:p>
    <w:p w14:paraId="6C756EE3" w14:textId="536673B8" w:rsidR="00F72540" w:rsidRPr="00CC38E3" w:rsidRDefault="00F72540" w:rsidP="005C5A0E">
      <w:pPr>
        <w:spacing w:after="0" w:line="240" w:lineRule="auto"/>
        <w:ind w:firstLine="567"/>
        <w:jc w:val="both"/>
        <w:rPr>
          <w:rFonts w:cstheme="minorHAnsi"/>
        </w:rPr>
      </w:pPr>
      <w:r w:rsidRPr="00CC38E3">
        <w:rPr>
          <w:rFonts w:cstheme="minorHAnsi"/>
        </w:rPr>
        <w:t xml:space="preserve">Pareiškėjas, dienraščio žurnalistas, paprašė informacijos apie Užsienio žvalgybos tarnybos ir jos pirmtakės organizacijos darbuotojų ir bendradarbių, priklausiusių nacių partijai, SS, gestapui ar „Rytų užsienio armijai“, skaičių. Užsienio žvalgybos tarnyba negalėjo tenkinti jo prašymo, nes tuo metu neturėjo atitinkamos informacijos, kurią rinko nepriklausoma istorikų komisija, ir pranešė, kad pareiškėjo prašymo nagrinėjimas užtruks. </w:t>
      </w:r>
      <w:r w:rsidR="005A0C23">
        <w:rPr>
          <w:rFonts w:cstheme="minorHAnsi"/>
        </w:rPr>
        <w:t>Ginčui persikėlus į teismą, n</w:t>
      </w:r>
      <w:r w:rsidRPr="00CC38E3">
        <w:rPr>
          <w:rFonts w:cstheme="minorHAnsi"/>
        </w:rPr>
        <w:t>acionaliniai administraciniai teismai pareiškėjo skundo netenkino, o Federalinis Konstitucinis Teismas pareiškėjo skundą atsisakė priimti.</w:t>
      </w:r>
    </w:p>
    <w:p w14:paraId="702BE83B" w14:textId="4FE572B5" w:rsidR="00F72540" w:rsidRPr="00CC38E3" w:rsidRDefault="00F72540" w:rsidP="005C5A0E">
      <w:pPr>
        <w:spacing w:after="0" w:line="240" w:lineRule="auto"/>
        <w:ind w:firstLine="567"/>
        <w:jc w:val="both"/>
        <w:rPr>
          <w:rFonts w:cstheme="minorHAnsi"/>
        </w:rPr>
      </w:pPr>
      <w:r w:rsidRPr="00CC38E3">
        <w:rPr>
          <w:rFonts w:cstheme="minorHAnsi"/>
        </w:rPr>
        <w:t>Pareiškėjas, remdamasis Konvencijos 10 straipsniu, skunde T</w:t>
      </w:r>
      <w:r w:rsidR="002433E2" w:rsidRPr="00CC38E3">
        <w:rPr>
          <w:rFonts w:cstheme="minorHAnsi"/>
        </w:rPr>
        <w:t>eismui</w:t>
      </w:r>
      <w:r w:rsidRPr="00CC38E3">
        <w:rPr>
          <w:rFonts w:cstheme="minorHAnsi"/>
        </w:rPr>
        <w:t xml:space="preserve"> teigė, kad jo prašoma informacija jam </w:t>
      </w:r>
      <w:r w:rsidR="002433E2" w:rsidRPr="00CC38E3">
        <w:rPr>
          <w:rFonts w:cstheme="minorHAnsi"/>
        </w:rPr>
        <w:t xml:space="preserve">nepagrįstai </w:t>
      </w:r>
      <w:r w:rsidRPr="00CC38E3">
        <w:rPr>
          <w:rFonts w:cstheme="minorHAnsi"/>
        </w:rPr>
        <w:t>nebuvo suteikta. Be to, jo teigimu, procedūros dėl informacijos pateikimo reikalauja ypatingos skubos, o jo prašymo nagrinėjimo trukmė pažeidė Konvencijos 6 straipsnį. Galiausiai pareiškėjas teigė, kad Federalinis administracinis teismas buvo šališkas, kas taip pat neatitinka Konvencijos 6 straipsnio 1 dalies.</w:t>
      </w:r>
    </w:p>
    <w:p w14:paraId="5F7923AE" w14:textId="77777777" w:rsidR="00F72540" w:rsidRPr="00CC38E3" w:rsidRDefault="00F72540" w:rsidP="005C5A0E">
      <w:pPr>
        <w:spacing w:after="0" w:line="240" w:lineRule="auto"/>
        <w:ind w:right="-1" w:firstLine="567"/>
        <w:jc w:val="both"/>
        <w:rPr>
          <w:rFonts w:cstheme="minorHAnsi"/>
        </w:rPr>
      </w:pPr>
    </w:p>
    <w:p w14:paraId="455ABAFA" w14:textId="77777777" w:rsidR="00F72540" w:rsidRPr="00CC38E3" w:rsidRDefault="00F72540"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Neoficiali Teismo sprendimo apžvalga</w:t>
      </w:r>
    </w:p>
    <w:p w14:paraId="44C3F0D2" w14:textId="77777777" w:rsidR="00F72540" w:rsidRPr="00CC38E3" w:rsidRDefault="00F72540" w:rsidP="005C5A0E">
      <w:pPr>
        <w:spacing w:after="0" w:line="240" w:lineRule="auto"/>
        <w:ind w:right="-1" w:firstLine="567"/>
        <w:jc w:val="both"/>
        <w:rPr>
          <w:rFonts w:cstheme="minorHAnsi"/>
        </w:rPr>
      </w:pPr>
    </w:p>
    <w:p w14:paraId="2BFA86A0" w14:textId="3396AC4B" w:rsidR="00F72540" w:rsidRPr="00CC38E3" w:rsidRDefault="00F72540" w:rsidP="005C5A0E">
      <w:pPr>
        <w:spacing w:after="0" w:line="240" w:lineRule="auto"/>
        <w:ind w:firstLine="567"/>
        <w:jc w:val="both"/>
        <w:rPr>
          <w:rFonts w:cstheme="minorHAnsi"/>
        </w:rPr>
      </w:pPr>
      <w:r w:rsidRPr="00CC38E3">
        <w:rPr>
          <w:rFonts w:cstheme="minorHAnsi"/>
        </w:rPr>
        <w:t>T</w:t>
      </w:r>
      <w:r w:rsidR="002433E2" w:rsidRPr="00CC38E3">
        <w:rPr>
          <w:rFonts w:cstheme="minorHAnsi"/>
        </w:rPr>
        <w:t>eismas</w:t>
      </w:r>
      <w:r w:rsidRPr="00CC38E3">
        <w:rPr>
          <w:rFonts w:cstheme="minorHAnsi"/>
        </w:rPr>
        <w:t xml:space="preserve"> pažymėjo, kad Konvencijos 10 straipsnis nesuteikia asmeniui teisės susipažinti su valstybės valdžios institucijos turima informacija </w:t>
      </w:r>
      <w:r w:rsidR="005A0C23">
        <w:rPr>
          <w:rFonts w:cstheme="minorHAnsi"/>
        </w:rPr>
        <w:t>i</w:t>
      </w:r>
      <w:r w:rsidRPr="00CC38E3">
        <w:rPr>
          <w:rFonts w:cstheme="minorHAnsi"/>
        </w:rPr>
        <w:t xml:space="preserve">r neįpareigoja </w:t>
      </w:r>
      <w:r w:rsidR="005A0C23">
        <w:rPr>
          <w:rFonts w:cstheme="minorHAnsi"/>
        </w:rPr>
        <w:t>institucijos</w:t>
      </w:r>
      <w:r w:rsidR="005A0C23" w:rsidRPr="00CC38E3">
        <w:rPr>
          <w:rFonts w:cstheme="minorHAnsi"/>
        </w:rPr>
        <w:t xml:space="preserve"> </w:t>
      </w:r>
      <w:r w:rsidRPr="00CC38E3">
        <w:rPr>
          <w:rFonts w:cstheme="minorHAnsi"/>
        </w:rPr>
        <w:t>tokią informaciją asmeniui perduoti. Tačiau tokia teisė ar pareiga gali atsirasti, kai prieiga prie informacijos yra būtina asmeniui įgyvendinant savo teisę į saviraiškos laisvę, ypatingai laisvę gauti ir skleisti informaciją, ir kai tokios informacijos nesuteikimas trukdo šios laisvės įgyvendinimui. Teismas įvertino bylos situaciją atsižvelgdamas į konkrečias aplinkybes ir keturis kriterijus, nustatytus T</w:t>
      </w:r>
      <w:r w:rsidR="00885525" w:rsidRPr="00CC38E3">
        <w:rPr>
          <w:rFonts w:cstheme="minorHAnsi"/>
        </w:rPr>
        <w:t>eismo</w:t>
      </w:r>
      <w:r w:rsidRPr="00CC38E3">
        <w:rPr>
          <w:rFonts w:cstheme="minorHAnsi"/>
        </w:rPr>
        <w:t xml:space="preserve"> 2016 m. lapkričio 8 d. sprendime byloje </w:t>
      </w:r>
      <w:r w:rsidRPr="00CC38E3">
        <w:rPr>
          <w:rFonts w:cstheme="minorHAnsi"/>
          <w:i/>
        </w:rPr>
        <w:t>Magyar Helsinki Bizottság prieš Vengriją</w:t>
      </w:r>
      <w:r w:rsidRPr="00CC38E3">
        <w:rPr>
          <w:rFonts w:cstheme="minorHAnsi"/>
        </w:rPr>
        <w:t xml:space="preserve"> (pareiškimo Nr. 18030/11), taikomus kartu: 1) prašomos informacijos tikslas; 2) ieškomos informacijos pobūdis; 3) pareiškėjo vaidmuo; 4) ar informacija buvo parengta ir prieinama. </w:t>
      </w:r>
    </w:p>
    <w:p w14:paraId="450B75E7" w14:textId="77777777" w:rsidR="00F72540" w:rsidRPr="00CC38E3" w:rsidRDefault="00F72540" w:rsidP="005C5A0E">
      <w:pPr>
        <w:spacing w:after="0" w:line="240" w:lineRule="auto"/>
        <w:ind w:firstLine="567"/>
        <w:jc w:val="both"/>
        <w:rPr>
          <w:rFonts w:cstheme="minorHAnsi"/>
        </w:rPr>
      </w:pPr>
      <w:r w:rsidRPr="00CC38E3">
        <w:rPr>
          <w:rFonts w:cstheme="minorHAnsi"/>
        </w:rPr>
        <w:t>Pirma, pareiškėjo, kaip žurnalisto, vaidmuo buvo neabejotinai suderinamas su teisės prašyti susipažinti su valstybės turimos informacijos apimtimi.</w:t>
      </w:r>
    </w:p>
    <w:p w14:paraId="63B6E739" w14:textId="77777777" w:rsidR="00F72540" w:rsidRPr="00CC38E3" w:rsidRDefault="00F72540" w:rsidP="005C5A0E">
      <w:pPr>
        <w:spacing w:after="0" w:line="240" w:lineRule="auto"/>
        <w:ind w:firstLine="567"/>
        <w:jc w:val="both"/>
        <w:rPr>
          <w:rFonts w:cstheme="minorHAnsi"/>
        </w:rPr>
      </w:pPr>
      <w:r w:rsidRPr="00CC38E3">
        <w:rPr>
          <w:rFonts w:cstheme="minorHAnsi"/>
        </w:rPr>
        <w:lastRenderedPageBreak/>
        <w:t xml:space="preserve">Antra, prašomos informacijos pobūdis atitiko viešo intereso testą, nes prašymas suteikti informacijos buvo susijęs su visai visuomenei svarbiu klausimu – su naciais siejamų darbuotojų įsiskverbimu į Užsienio žvalgybos tarnybą, praėjus dešimtmečiams po Antrojo pasaulinio karo pabaigos. Toks pareiškėjo prašymas lietė svarbius ir jautrius klausimus, susijusius su valstybės istorija, kuri buvo ir tebėra viešųjų diskusijų objektu. Šią išvadą patvirtino ir tai, kad 2011 m. Užsienio žvalgybos tarnyba paskyrė istorikų komisiją, kuri per kelerius metus visapusiškai išnagrinėtų tarnybos istoriją, įskaitant ir klausimus, susijusius su pareiškėjo prašoma informacija. </w:t>
      </w:r>
    </w:p>
    <w:p w14:paraId="7AD15A68" w14:textId="1C53252C" w:rsidR="00F72540" w:rsidRPr="00CC38E3" w:rsidRDefault="00F72540" w:rsidP="005C5A0E">
      <w:pPr>
        <w:spacing w:after="0" w:line="240" w:lineRule="auto"/>
        <w:ind w:firstLine="567"/>
        <w:jc w:val="both"/>
        <w:rPr>
          <w:rFonts w:cstheme="minorHAnsi"/>
        </w:rPr>
      </w:pPr>
      <w:r w:rsidRPr="00CC38E3">
        <w:rPr>
          <w:rFonts w:cstheme="minorHAnsi"/>
        </w:rPr>
        <w:t xml:space="preserve">Tačiau šios komisijos sudarymas, kompetencija ir publikacijos vėlesniais metais parodė, kad pareiškėjo prašoma informacija nebuvo parengta ir prieinama. Kaip pažymėjo nacionaliniai teismai, nepriklausomų istorikų komisija buvo sudaryta, kadangi Užsienio žvalgybos tarnyboje pareiškėjo prašoma informacija nebuvo prieinama. Federalinis administracinis teismas nustatė, kad ankstesnė narystė nacių organizacijose nebuvo sistemingai registruojama. Nacionaliniai teismai laikėsi nuomonės, kad pareiškėjo prašymo pateikimo tikslas buvo, kad valstybės valdžios institucijos atliktų išsamų tyrimą ir analizę. Teismas, atsižvelgęs į nepriklausomų istorikų komisijos publikacijas, nematė pagrindo nukrypti nuo šių išvadų ir laikė, kad </w:t>
      </w:r>
      <w:r w:rsidRPr="00CC38E3">
        <w:rPr>
          <w:rFonts w:cstheme="minorHAnsi"/>
          <w:u w:val="single"/>
        </w:rPr>
        <w:t>situacija, kai žurnalistas siekia atskleisti informaciją, kuri pirmiausia turėtų būti sukurta, atliekant išsamų tyrimą ir analizę, ir kai institucijoje dėl įrašų trūkumo net nėra visų neapdorotų duomenų (iš kurių reikėtų gauti tokią informaciją), skiriasi nuo tos situacijos, kai prašoma informacija yra institucijoje ir kurią tereikia tik susisteminti siekiant atsakyti į prašymą</w:t>
      </w:r>
      <w:r w:rsidRPr="00CC38E3">
        <w:rPr>
          <w:rFonts w:cstheme="minorHAnsi"/>
        </w:rPr>
        <w:t xml:space="preserve"> (T</w:t>
      </w:r>
      <w:r w:rsidR="00885525" w:rsidRPr="00CC38E3">
        <w:rPr>
          <w:rFonts w:cstheme="minorHAnsi"/>
        </w:rPr>
        <w:t xml:space="preserve">eismo </w:t>
      </w:r>
      <w:r w:rsidRPr="00CC38E3">
        <w:rPr>
          <w:rFonts w:cstheme="minorHAnsi"/>
        </w:rPr>
        <w:t xml:space="preserve">2013 m. lapkričio 28 d. sprendimas byloje </w:t>
      </w:r>
      <w:r w:rsidRPr="00CC38E3">
        <w:rPr>
          <w:rFonts w:cstheme="minorHAnsi"/>
          <w:i/>
        </w:rPr>
        <w:t xml:space="preserve">Österreichische Vereinigung zur Erhaltung, Stärkung und Schaffung eines wirtschaftlich gesunden land- und forstwirtschaftlichen Grundbesitzes prieš Austriją </w:t>
      </w:r>
      <w:r w:rsidRPr="00CC38E3">
        <w:rPr>
          <w:rFonts w:cstheme="minorHAnsi"/>
        </w:rPr>
        <w:t xml:space="preserve">(pareiškimo Nr. 39534/07). Pakartodamas, kad Konvencijos 10 straipsnis nenustato pareigos rinkti informaciją pagal pareiškėjo prašymą, ypatingai, kai tai reikalauja reikšmingo papildomo darbo, Teismas nusprendė, kad tai </w:t>
      </w:r>
      <w:r w:rsidRPr="00CC38E3">
        <w:rPr>
          <w:rFonts w:cstheme="minorHAnsi"/>
          <w:i/>
        </w:rPr>
        <w:t>a fortioti</w:t>
      </w:r>
      <w:r w:rsidRPr="00CC38E3">
        <w:rPr>
          <w:rFonts w:cstheme="minorHAnsi"/>
        </w:rPr>
        <w:t xml:space="preserve"> (juo labiau) taikytina tada, kai prašomos informacijos institucijoje net nėra, kaip byloje nagrinėtu atveju.</w:t>
      </w:r>
    </w:p>
    <w:p w14:paraId="4C864CC7" w14:textId="77777777" w:rsidR="00F72540" w:rsidRPr="00CC38E3" w:rsidRDefault="00F72540" w:rsidP="005C5A0E">
      <w:pPr>
        <w:spacing w:after="0" w:line="240" w:lineRule="auto"/>
        <w:ind w:firstLine="567"/>
        <w:jc w:val="both"/>
        <w:rPr>
          <w:rFonts w:cstheme="minorHAnsi"/>
        </w:rPr>
      </w:pPr>
      <w:r w:rsidRPr="00CC38E3">
        <w:rPr>
          <w:rFonts w:cstheme="minorHAnsi"/>
        </w:rPr>
        <w:t xml:space="preserve">Todėl, Teismo vertinimu, valstybės valdžios institucijų atsisakymas pateikti pareiškėjui prašomą informaciją </w:t>
      </w:r>
      <w:r w:rsidRPr="00CC38E3">
        <w:rPr>
          <w:rFonts w:cstheme="minorHAnsi"/>
          <w:i/>
        </w:rPr>
        <w:t>de facto</w:t>
      </w:r>
      <w:r w:rsidRPr="00CC38E3">
        <w:rPr>
          <w:rFonts w:cstheme="minorHAnsi"/>
        </w:rPr>
        <w:t xml:space="preserve"> neprilygo cenzūrai ir nesutrukdė jam atlikti savo, kaip visuomenės sargo, funkcijos. Be to, kadangi personalo bylos buvo išnagrinėtos ir atitinkama informacija buvo viešai prieinama archyvuose, pareiškėjas galėjo susipažinti su dalimi informacijos, kurią jis siekė gauti. Teismo vertinimu, šiuo atveju nereikėjo nustatyti, ar pareiškėjas pakankamai pagrindė savo prašymo pateikti informaciją tikslą nacionaliniuose teismuose.</w:t>
      </w:r>
    </w:p>
    <w:p w14:paraId="573C5804" w14:textId="330228AF" w:rsidR="00F72540" w:rsidRPr="00CC38E3" w:rsidRDefault="00F72540" w:rsidP="005C5A0E">
      <w:pPr>
        <w:spacing w:after="0" w:line="240" w:lineRule="auto"/>
        <w:ind w:firstLine="567"/>
        <w:jc w:val="both"/>
        <w:rPr>
          <w:rFonts w:cstheme="minorHAnsi"/>
        </w:rPr>
      </w:pPr>
      <w:r w:rsidRPr="00CC38E3">
        <w:rPr>
          <w:rFonts w:cstheme="minorHAnsi"/>
        </w:rPr>
        <w:t>Atsižvelgdamas į tai, kas išdėstyta, T</w:t>
      </w:r>
      <w:r w:rsidR="00885525" w:rsidRPr="00CC38E3">
        <w:rPr>
          <w:rFonts w:cstheme="minorHAnsi"/>
        </w:rPr>
        <w:t>eismas</w:t>
      </w:r>
      <w:r w:rsidRPr="00CC38E3">
        <w:rPr>
          <w:rFonts w:cstheme="minorHAnsi"/>
        </w:rPr>
        <w:t xml:space="preserve"> įvertino, kad pareiškėjo skundas dėl jo prašymo pateikti informaciją atmetimo, taip pat ir dėl to, kad atitinkamas procesas nebuvo greitas, </w:t>
      </w:r>
      <w:r w:rsidRPr="00CC38E3">
        <w:rPr>
          <w:rFonts w:cstheme="minorHAnsi"/>
          <w:i/>
        </w:rPr>
        <w:t>ratione materiae</w:t>
      </w:r>
      <w:r w:rsidRPr="00CC38E3">
        <w:rPr>
          <w:rFonts w:cstheme="minorHAnsi"/>
        </w:rPr>
        <w:t xml:space="preserve"> nesuderinamas su Konvencijos 10 straipsniu.</w:t>
      </w:r>
    </w:p>
    <w:p w14:paraId="0D1861EB" w14:textId="01E7F430" w:rsidR="00016793" w:rsidRDefault="00F72540" w:rsidP="005C5A0E">
      <w:pPr>
        <w:spacing w:after="0" w:line="240" w:lineRule="auto"/>
        <w:ind w:firstLine="567"/>
        <w:jc w:val="both"/>
        <w:rPr>
          <w:rFonts w:cstheme="minorHAnsi"/>
        </w:rPr>
      </w:pPr>
      <w:r w:rsidRPr="00CC38E3">
        <w:rPr>
          <w:rFonts w:cstheme="minorHAnsi"/>
        </w:rPr>
        <w:t>Dėl pareiškėjo nurodomų Konvencijos 6 straipsnio pažeidimų teismas nurodė, kad pareiškėjas nesiskundė dėl proceso trukmės nacionaliniuose teismuose, taigi neišnaudojo vidaus teisėje numatytų gynybos priemonių. Pareiškėjas savo argumentus dėl nacionalinio teismo nešališkumo pirmą kartą nurodė savo pastabose, atsakydamas į Vyriausybės pateiktas pastabas, kas sudarė pagrindą vertinti, kad šis skundas nebuvo pateiktas per šešių mėnesių laikotarpį, kaip numatyta Konvencijos 35 straipsnio 1 dalyje.</w:t>
      </w:r>
    </w:p>
    <w:p w14:paraId="3A8F944E" w14:textId="77777777" w:rsidR="00F05ED0" w:rsidRPr="00CC38E3" w:rsidRDefault="00F05ED0" w:rsidP="005C5A0E">
      <w:pPr>
        <w:spacing w:after="0" w:line="240" w:lineRule="auto"/>
        <w:ind w:firstLine="567"/>
        <w:jc w:val="both"/>
        <w:rPr>
          <w:rFonts w:cstheme="minorHAnsi"/>
        </w:rPr>
      </w:pPr>
    </w:p>
    <w:p w14:paraId="1382BB03" w14:textId="77777777" w:rsidR="008E4C67" w:rsidRPr="00CC38E3" w:rsidRDefault="008E4C67" w:rsidP="005C5A0E">
      <w:pPr>
        <w:spacing w:after="0" w:line="240" w:lineRule="auto"/>
        <w:ind w:right="-15" w:firstLine="555"/>
        <w:jc w:val="both"/>
        <w:textAlignment w:val="baseline"/>
        <w:rPr>
          <w:rFonts w:eastAsia="Times New Roman" w:cstheme="minorHAnsi"/>
          <w:lang w:eastAsia="lt-LT"/>
        </w:rPr>
      </w:pPr>
      <w:r w:rsidRPr="00CC38E3">
        <w:rPr>
          <w:rFonts w:eastAsia="Times New Roman" w:cstheme="minorHAnsi"/>
          <w:lang w:eastAsia="lt-LT"/>
        </w:rPr>
        <w:t>Išvada: pareiškimas pripažintas nepriimtinu. </w:t>
      </w:r>
    </w:p>
    <w:p w14:paraId="194D28AD" w14:textId="77777777" w:rsidR="008E4C67" w:rsidRPr="00CC38E3" w:rsidRDefault="00A1313E" w:rsidP="005C5A0E">
      <w:pPr>
        <w:spacing w:after="0" w:line="240" w:lineRule="auto"/>
        <w:ind w:right="-15" w:firstLine="555"/>
        <w:jc w:val="both"/>
        <w:textAlignment w:val="baseline"/>
        <w:rPr>
          <w:rFonts w:eastAsia="Times New Roman" w:cstheme="minorHAnsi"/>
          <w:lang w:eastAsia="lt-LT"/>
        </w:rPr>
      </w:pPr>
      <w:hyperlink r:id="rId17" w:tgtFrame="_blank" w:history="1">
        <w:r w:rsidR="008E4C67" w:rsidRPr="00CC38E3">
          <w:rPr>
            <w:rFonts w:eastAsia="Times New Roman" w:cstheme="minorHAnsi"/>
            <w:color w:val="0000FF"/>
            <w:u w:val="single"/>
            <w:lang w:eastAsia="lt-LT"/>
          </w:rPr>
          <w:t>Prieiga internete</w:t>
        </w:r>
      </w:hyperlink>
      <w:r w:rsidR="008E4C67" w:rsidRPr="00CC38E3">
        <w:rPr>
          <w:rFonts w:eastAsia="Times New Roman" w:cstheme="minorHAnsi"/>
          <w:color w:val="0000FF"/>
          <w:lang w:eastAsia="lt-LT"/>
        </w:rPr>
        <w:t> </w:t>
      </w:r>
    </w:p>
    <w:p w14:paraId="401E2C5F" w14:textId="34203931" w:rsidR="008E4C67" w:rsidRDefault="008E4C67" w:rsidP="005C5A0E">
      <w:pPr>
        <w:spacing w:after="0" w:line="240" w:lineRule="auto"/>
        <w:ind w:right="-15" w:firstLine="555"/>
        <w:jc w:val="both"/>
        <w:textAlignment w:val="baseline"/>
        <w:rPr>
          <w:rFonts w:eastAsia="Times New Roman" w:cstheme="minorHAnsi"/>
          <w:lang w:eastAsia="lt-LT"/>
        </w:rPr>
      </w:pPr>
      <w:r w:rsidRPr="00CC38E3">
        <w:rPr>
          <w:rFonts w:eastAsia="Times New Roman" w:cstheme="minorHAnsi"/>
          <w:lang w:eastAsia="lt-LT"/>
        </w:rPr>
        <w:t> </w:t>
      </w:r>
    </w:p>
    <w:p w14:paraId="2E3A1DBA" w14:textId="6C3352C5" w:rsidR="009A78C8" w:rsidRPr="007B5EFE" w:rsidRDefault="009A78C8" w:rsidP="005123AF">
      <w:pPr>
        <w:pStyle w:val="Antrat1"/>
        <w:rPr>
          <w:rFonts w:cs="Arial"/>
        </w:rPr>
      </w:pPr>
      <w:bookmarkStart w:id="27" w:name="_Toc19877693"/>
      <w:bookmarkStart w:id="28" w:name="_Toc104379828"/>
      <w:r w:rsidRPr="007B5EFE">
        <w:t>S</w:t>
      </w:r>
      <w:r w:rsidR="00FC2524">
        <w:t xml:space="preserve">USIRINKIMŲ IR ASOCIACIJŲ </w:t>
      </w:r>
      <w:r w:rsidRPr="007B5EFE">
        <w:t>LAISVĖ (11 straipsnis)</w:t>
      </w:r>
      <w:bookmarkEnd w:id="27"/>
      <w:bookmarkEnd w:id="28"/>
    </w:p>
    <w:p w14:paraId="06933680" w14:textId="77777777" w:rsidR="009A78C8" w:rsidRPr="007B5EFE" w:rsidRDefault="009A78C8" w:rsidP="009A78C8">
      <w:pPr>
        <w:spacing w:after="0" w:line="240" w:lineRule="auto"/>
        <w:jc w:val="center"/>
        <w:rPr>
          <w:rFonts w:cs="Arial"/>
          <w:b/>
        </w:rPr>
      </w:pPr>
    </w:p>
    <w:p w14:paraId="589E7C61" w14:textId="77777777" w:rsidR="009A78C8" w:rsidRPr="007B5EFE" w:rsidRDefault="009A78C8" w:rsidP="009A78C8">
      <w:pPr>
        <w:spacing w:after="0" w:line="240" w:lineRule="auto"/>
        <w:jc w:val="center"/>
        <w:rPr>
          <w:rFonts w:cs="Arial"/>
          <w:b/>
        </w:rPr>
      </w:pPr>
      <w:r w:rsidRPr="007B5EFE">
        <w:rPr>
          <w:rFonts w:cs="Arial"/>
          <w:b/>
        </w:rPr>
        <w:t>Europos Žmogaus Teisių Teismo 2021 m. gruodžio 7 d. sprendimas byloje</w:t>
      </w:r>
    </w:p>
    <w:p w14:paraId="531671B3" w14:textId="77777777" w:rsidR="009A78C8" w:rsidRPr="00FC2524" w:rsidRDefault="009A78C8" w:rsidP="00FC2524">
      <w:pPr>
        <w:keepNext/>
        <w:keepLines/>
        <w:spacing w:after="0" w:line="240" w:lineRule="auto"/>
        <w:ind w:right="-1"/>
        <w:jc w:val="center"/>
        <w:outlineLvl w:val="1"/>
        <w:rPr>
          <w:rFonts w:eastAsia="Calibri" w:cstheme="minorHAnsi"/>
          <w:b/>
          <w:bCs/>
          <w:i/>
          <w:iCs/>
          <w:color w:val="2E74B5"/>
        </w:rPr>
      </w:pPr>
      <w:bookmarkStart w:id="29" w:name="_Toc104379829"/>
      <w:r w:rsidRPr="00FC2524">
        <w:rPr>
          <w:rFonts w:eastAsia="Calibri" w:cstheme="minorHAnsi"/>
          <w:b/>
          <w:bCs/>
          <w:i/>
          <w:iCs/>
          <w:color w:val="2E74B5"/>
        </w:rPr>
        <w:t>Yakut Republican Trade-Union Federation prieš Rusiją</w:t>
      </w:r>
      <w:bookmarkEnd w:id="29"/>
    </w:p>
    <w:p w14:paraId="1F14BF6A" w14:textId="77777777" w:rsidR="009A78C8" w:rsidRPr="007B5EFE" w:rsidRDefault="009A78C8" w:rsidP="009A78C8">
      <w:pPr>
        <w:spacing w:after="0" w:line="240" w:lineRule="auto"/>
        <w:jc w:val="center"/>
        <w:rPr>
          <w:rFonts w:cs="Arial"/>
          <w:b/>
        </w:rPr>
      </w:pPr>
      <w:r w:rsidRPr="007B5EFE">
        <w:rPr>
          <w:rFonts w:cs="Arial"/>
          <w:b/>
        </w:rPr>
        <w:t xml:space="preserve">(pareiškimo Nr. 29582/09, </w:t>
      </w:r>
      <w:r w:rsidRPr="006B2C96">
        <w:rPr>
          <w:rFonts w:cs="Arial"/>
          <w:b/>
        </w:rPr>
        <w:t xml:space="preserve">svarbos lygis – </w:t>
      </w:r>
      <w:r>
        <w:rPr>
          <w:rFonts w:cs="Arial"/>
          <w:b/>
        </w:rPr>
        <w:t>2</w:t>
      </w:r>
      <w:r w:rsidRPr="007B5EFE">
        <w:rPr>
          <w:rFonts w:cs="Arial"/>
          <w:b/>
        </w:rPr>
        <w:t>)</w:t>
      </w:r>
    </w:p>
    <w:p w14:paraId="7A0001BF" w14:textId="77777777" w:rsidR="009A78C8" w:rsidRPr="007B5EFE" w:rsidRDefault="009A78C8" w:rsidP="009A78C8">
      <w:pPr>
        <w:spacing w:after="0" w:line="240" w:lineRule="auto"/>
        <w:jc w:val="center"/>
        <w:rPr>
          <w:rFonts w:cs="Arial"/>
        </w:rPr>
      </w:pPr>
    </w:p>
    <w:p w14:paraId="6D4FFE16" w14:textId="77777777" w:rsidR="009A78C8" w:rsidRPr="00FC2524" w:rsidRDefault="009A78C8" w:rsidP="00FC2524">
      <w:pPr>
        <w:keepNext/>
        <w:keepLines/>
        <w:spacing w:after="0" w:line="240" w:lineRule="auto"/>
        <w:ind w:right="-1" w:firstLine="567"/>
        <w:outlineLvl w:val="2"/>
        <w:rPr>
          <w:rFonts w:eastAsia="Calibri" w:cstheme="minorHAnsi"/>
          <w:bCs/>
          <w:i/>
          <w:iCs/>
        </w:rPr>
      </w:pPr>
      <w:bookmarkStart w:id="30" w:name="_Toc104379830"/>
      <w:r w:rsidRPr="00FC2524">
        <w:rPr>
          <w:rFonts w:eastAsia="Calibri" w:cstheme="minorHAnsi"/>
          <w:bCs/>
          <w:i/>
          <w:iCs/>
        </w:rPr>
        <w:t>Dėl draudimo kaliniams steigti profesines sąjungas ir stoti į jas</w:t>
      </w:r>
      <w:bookmarkEnd w:id="30"/>
    </w:p>
    <w:p w14:paraId="30D37C04" w14:textId="77777777" w:rsidR="009A78C8" w:rsidRPr="007B5EFE" w:rsidRDefault="009A78C8" w:rsidP="009A78C8">
      <w:pPr>
        <w:spacing w:after="0" w:line="240" w:lineRule="auto"/>
        <w:jc w:val="center"/>
        <w:rPr>
          <w:rFonts w:cs="Arial"/>
          <w:b/>
        </w:rPr>
      </w:pPr>
    </w:p>
    <w:p w14:paraId="3C498031" w14:textId="77777777" w:rsidR="009A78C8" w:rsidRPr="007B5EFE" w:rsidRDefault="009A78C8" w:rsidP="009A78C8">
      <w:pPr>
        <w:spacing w:after="0" w:line="240" w:lineRule="auto"/>
        <w:jc w:val="center"/>
        <w:rPr>
          <w:rFonts w:cs="Arial"/>
          <w:b/>
        </w:rPr>
      </w:pPr>
      <w:r w:rsidRPr="007B5EFE">
        <w:rPr>
          <w:rFonts w:cs="Arial"/>
          <w:b/>
        </w:rPr>
        <w:t>Faktinės aplinkybės</w:t>
      </w:r>
    </w:p>
    <w:p w14:paraId="6AC7B05D" w14:textId="77777777" w:rsidR="009A78C8" w:rsidRPr="007B5EFE" w:rsidRDefault="009A78C8" w:rsidP="009A78C8">
      <w:pPr>
        <w:spacing w:after="0" w:line="240" w:lineRule="auto"/>
        <w:ind w:firstLine="540"/>
        <w:jc w:val="center"/>
        <w:rPr>
          <w:rFonts w:cs="Arial"/>
          <w:b/>
        </w:rPr>
      </w:pPr>
    </w:p>
    <w:p w14:paraId="09C5D474" w14:textId="77777777" w:rsidR="009A78C8" w:rsidRPr="007B5EFE" w:rsidRDefault="009A78C8" w:rsidP="009A78C8">
      <w:pPr>
        <w:spacing w:after="0" w:line="240" w:lineRule="auto"/>
        <w:ind w:firstLine="567"/>
        <w:jc w:val="both"/>
        <w:rPr>
          <w:rFonts w:cs="Arial"/>
        </w:rPr>
      </w:pPr>
      <w:r w:rsidRPr="007B5EFE">
        <w:rPr>
          <w:rFonts w:cs="Arial"/>
        </w:rPr>
        <w:lastRenderedPageBreak/>
        <w:t xml:space="preserve">Pareiškėjas </w:t>
      </w:r>
      <w:r w:rsidRPr="004656F4">
        <w:rPr>
          <w:rFonts w:cs="Arial"/>
          <w:i/>
          <w:iCs/>
        </w:rPr>
        <w:t>Yakut Republican Trade-Union Federation</w:t>
      </w:r>
      <w:r w:rsidRPr="007B5EFE">
        <w:rPr>
          <w:rFonts w:cs="Arial"/>
        </w:rPr>
        <w:t xml:space="preserve"> yra nevyriausybinė organizacija, įkurta 1991 metais Sachos Respublikoje, Jakutijoje (Rusija).</w:t>
      </w:r>
    </w:p>
    <w:p w14:paraId="05741294" w14:textId="77777777" w:rsidR="009A78C8" w:rsidRPr="007B5EFE" w:rsidRDefault="009A78C8" w:rsidP="009A78C8">
      <w:pPr>
        <w:spacing w:after="0" w:line="240" w:lineRule="auto"/>
        <w:ind w:firstLine="567"/>
        <w:jc w:val="both"/>
        <w:rPr>
          <w:rFonts w:cs="Arial"/>
        </w:rPr>
      </w:pPr>
      <w:r w:rsidRPr="007B5EFE">
        <w:rPr>
          <w:rFonts w:cs="Arial"/>
        </w:rPr>
        <w:t>Rusijoje 2006 m. sausio 10 d. buvo iš dalies pakeistos ne pelno siekiančių organizacijų valstybinės registracijos taisyklės, dėl ko nuteistieji negalėjo būti visuomeninių asociacijų steigėjais ar tapti jų nariais. Šie pakeitimai įsigaliojo 2006 m. balandžio 18 d.</w:t>
      </w:r>
    </w:p>
    <w:p w14:paraId="50F9603A" w14:textId="77777777" w:rsidR="009A78C8" w:rsidRPr="007B5EFE" w:rsidRDefault="009A78C8" w:rsidP="009A78C8">
      <w:pPr>
        <w:spacing w:after="0" w:line="240" w:lineRule="auto"/>
        <w:ind w:firstLine="567"/>
        <w:jc w:val="both"/>
        <w:rPr>
          <w:rFonts w:cs="Arial"/>
        </w:rPr>
      </w:pPr>
      <w:r w:rsidRPr="007B5EFE">
        <w:rPr>
          <w:rFonts w:cs="Arial"/>
        </w:rPr>
        <w:t xml:space="preserve">2006 m. vasario mėn. dvidešimt kalinių, laikomų griežto režimo Kolonijoje Nr. 7 (Jakutskas, Rusija), </w:t>
      </w:r>
      <w:r w:rsidRPr="00C20A59">
        <w:rPr>
          <w:rFonts w:cs="Arial"/>
        </w:rPr>
        <w:t>kurioje jie dirbo</w:t>
      </w:r>
      <w:r w:rsidRPr="007B5EFE">
        <w:rPr>
          <w:rFonts w:cs="Arial"/>
        </w:rPr>
        <w:t xml:space="preserve"> lentpjūvėje ir kalėjimo priežiūros darbus, susitiko slapta nuo administracijos ir balsavo už profesinės sąjungos steigimą bei jos prisijungimą prie pareiškėjo federacijos – </w:t>
      </w:r>
      <w:r w:rsidRPr="004656F4">
        <w:rPr>
          <w:rFonts w:cs="Arial"/>
          <w:i/>
          <w:iCs/>
        </w:rPr>
        <w:t>Yakut Republican Trade-Union Federation</w:t>
      </w:r>
      <w:r w:rsidRPr="007B5EFE">
        <w:rPr>
          <w:rFonts w:cs="Arial"/>
        </w:rPr>
        <w:t>. Pareiškėjas pripažino profesinę sąjungą savo nare.</w:t>
      </w:r>
    </w:p>
    <w:p w14:paraId="09ED6E36" w14:textId="6155E737" w:rsidR="009A78C8" w:rsidRPr="007B5EFE" w:rsidRDefault="009A78C8" w:rsidP="009A78C8">
      <w:pPr>
        <w:spacing w:after="0" w:line="240" w:lineRule="auto"/>
        <w:ind w:firstLine="567"/>
        <w:jc w:val="both"/>
        <w:rPr>
          <w:rFonts w:cs="Arial"/>
        </w:rPr>
      </w:pPr>
      <w:r w:rsidRPr="007B5EFE">
        <w:rPr>
          <w:rFonts w:cs="Arial"/>
        </w:rPr>
        <w:t>Po pranešimų žiniasklaidoje 2007 m. birželio mėn. prokuratūra patikrino profesinę sąjungą ir nustatė, kad ji yra neteisėta. Prokuratūros vertinimu, pagal Bausmių vykdymo kodeksą darbas kalėjime laikomas pataisos būdu, o ne profesine veikla, be to, pakeistas Visuomeninių asociacijų įstatymas draudžia nuteistiesiems steigti asociacijas ir stoti į jas. Dėl šių priežasčių prokuratūra įpareigojo pareiškėją pašalinti minėtą profesinę sąjungą</w:t>
      </w:r>
      <w:r w:rsidR="0019787C">
        <w:rPr>
          <w:rFonts w:cs="Arial"/>
        </w:rPr>
        <w:t xml:space="preserve"> iš federacijos</w:t>
      </w:r>
      <w:r w:rsidRPr="007B5EFE">
        <w:rPr>
          <w:rFonts w:cs="Arial"/>
        </w:rPr>
        <w:t>, tačiau pareiškėjas atsisakė</w:t>
      </w:r>
      <w:r w:rsidR="009249C9">
        <w:rPr>
          <w:rFonts w:cs="Arial"/>
        </w:rPr>
        <w:t xml:space="preserve"> tai padaryti</w:t>
      </w:r>
      <w:r w:rsidRPr="007B5EFE">
        <w:rPr>
          <w:rFonts w:cs="Arial"/>
        </w:rPr>
        <w:t>.</w:t>
      </w:r>
    </w:p>
    <w:p w14:paraId="74A9B8A0" w14:textId="77777777" w:rsidR="009A78C8" w:rsidRPr="007B5EFE" w:rsidRDefault="009A78C8" w:rsidP="009A78C8">
      <w:pPr>
        <w:spacing w:after="0" w:line="240" w:lineRule="auto"/>
        <w:ind w:firstLine="567"/>
        <w:jc w:val="both"/>
        <w:rPr>
          <w:rFonts w:cs="Arial"/>
        </w:rPr>
      </w:pPr>
      <w:r w:rsidRPr="007B5EFE">
        <w:rPr>
          <w:rFonts w:cs="Arial"/>
        </w:rPr>
        <w:t>Prokuratūra kreipėsi į teismą, prašydama pripažinti profesinę sąjungą negaliojančia, tačiau teismas atmetė šį prašymą, nes sąjunga buvo įkurta prieš įsigaliojant kalinių asociacijų apribojimui. 2008 m. rugpjūčio mėn. prokuratūra vėl kreipėsi į teismą, siekdama, kad profesinė sąjunga būtų pašalinta iš pareiškėjo federacijos. Šį kartą teismai tenkino prokuroro prašymą. Pareiškėjas 2008 m. gruodžio 10 d. įvykdė teismo sprendimą ir pašalino sąjungą iš savo gretų.</w:t>
      </w:r>
    </w:p>
    <w:p w14:paraId="2E1CB601" w14:textId="77777777" w:rsidR="009A78C8" w:rsidRPr="007B5EFE" w:rsidRDefault="009A78C8" w:rsidP="009A78C8">
      <w:pPr>
        <w:spacing w:after="0" w:line="240" w:lineRule="auto"/>
        <w:ind w:firstLine="567"/>
        <w:jc w:val="both"/>
        <w:rPr>
          <w:rFonts w:cs="Arial"/>
        </w:rPr>
      </w:pPr>
      <w:r w:rsidRPr="007B5EFE">
        <w:rPr>
          <w:rFonts w:cs="Arial"/>
        </w:rPr>
        <w:t>Remdamasis Konvencijos 6 ir 11 straipsniais, pareiškėjas skundėsi dėl įstatymų nustatyto apribojimo kaliniams jungtis į asociacijas. Teismas pareiškimą nusprendė nagrinėti tik pagal Konvencijos 11 straipsnį.</w:t>
      </w:r>
    </w:p>
    <w:p w14:paraId="1E7F2326" w14:textId="77777777" w:rsidR="009A78C8" w:rsidRPr="007B5EFE" w:rsidRDefault="009A78C8" w:rsidP="009A78C8">
      <w:pPr>
        <w:spacing w:after="0" w:line="240" w:lineRule="auto"/>
        <w:ind w:firstLine="567"/>
        <w:jc w:val="both"/>
        <w:rPr>
          <w:rStyle w:val="tlid-translation"/>
        </w:rPr>
      </w:pPr>
    </w:p>
    <w:p w14:paraId="0E743A08" w14:textId="77777777" w:rsidR="009A78C8" w:rsidRPr="007B5EFE" w:rsidRDefault="009A78C8" w:rsidP="009A78C8">
      <w:pPr>
        <w:spacing w:after="0" w:line="240" w:lineRule="auto"/>
        <w:jc w:val="center"/>
        <w:rPr>
          <w:rFonts w:cs="Arial"/>
        </w:rPr>
      </w:pPr>
      <w:r w:rsidRPr="007B5EFE">
        <w:rPr>
          <w:rFonts w:cs="Arial"/>
          <w:b/>
        </w:rPr>
        <w:t>Neoficiali Teismo sprendimo apžvalga</w:t>
      </w:r>
    </w:p>
    <w:p w14:paraId="1BE2F47D" w14:textId="77777777" w:rsidR="009A78C8" w:rsidRPr="007B5EFE" w:rsidRDefault="009A78C8" w:rsidP="009A78C8">
      <w:pPr>
        <w:spacing w:after="0" w:line="240" w:lineRule="auto"/>
        <w:ind w:firstLine="567"/>
        <w:jc w:val="both"/>
        <w:rPr>
          <w:rStyle w:val="tlid-translation"/>
        </w:rPr>
      </w:pPr>
    </w:p>
    <w:p w14:paraId="6CCA1FFF" w14:textId="1BFFE9F8" w:rsidR="009A78C8" w:rsidRPr="007B5EFE" w:rsidRDefault="009A78C8" w:rsidP="009A78C8">
      <w:pPr>
        <w:spacing w:after="0" w:line="240" w:lineRule="auto"/>
        <w:ind w:firstLine="567"/>
        <w:jc w:val="both"/>
        <w:rPr>
          <w:rStyle w:val="tlid-translation"/>
          <w:iCs/>
        </w:rPr>
      </w:pPr>
      <w:r w:rsidRPr="007B5EFE">
        <w:rPr>
          <w:rStyle w:val="tlid-translation"/>
        </w:rPr>
        <w:t xml:space="preserve">Kiek tai susiję su pareiškimo </w:t>
      </w:r>
      <w:r w:rsidRPr="007B5EFE">
        <w:rPr>
          <w:i/>
        </w:rPr>
        <w:t xml:space="preserve">ratione personae </w:t>
      </w:r>
      <w:r w:rsidRPr="007B5EFE">
        <w:rPr>
          <w:rStyle w:val="tlid-translation"/>
        </w:rPr>
        <w:t xml:space="preserve">suderinamumu </w:t>
      </w:r>
      <w:r w:rsidRPr="007B5EFE">
        <w:rPr>
          <w:iCs/>
        </w:rPr>
        <w:t xml:space="preserve">su Konvencija, Teismas </w:t>
      </w:r>
      <w:r w:rsidRPr="007B5EFE">
        <w:rPr>
          <w:rStyle w:val="tlid-translation"/>
          <w:iCs/>
        </w:rPr>
        <w:t xml:space="preserve">priminė, kad Konvencijos 11 straipsnis saugo tiek darbuotojus, tiek profesines sąjungas. </w:t>
      </w:r>
      <w:r w:rsidR="00EE2FA3">
        <w:rPr>
          <w:rStyle w:val="tlid-translation"/>
          <w:iCs/>
          <w:u w:val="single"/>
        </w:rPr>
        <w:t>D</w:t>
      </w:r>
      <w:r w:rsidRPr="007B5EFE">
        <w:rPr>
          <w:rStyle w:val="tlid-translation"/>
          <w:iCs/>
          <w:u w:val="single"/>
        </w:rPr>
        <w:t>arbuotojas turi turėti galimybę laisvai stoti į profesinę sąjungą, taip</w:t>
      </w:r>
      <w:r w:rsidR="00EE2FA3">
        <w:rPr>
          <w:rStyle w:val="tlid-translation"/>
          <w:iCs/>
          <w:u w:val="single"/>
        </w:rPr>
        <w:t xml:space="preserve"> pat</w:t>
      </w:r>
      <w:r w:rsidRPr="007B5EFE">
        <w:rPr>
          <w:rStyle w:val="tlid-translation"/>
          <w:iCs/>
          <w:u w:val="single"/>
        </w:rPr>
        <w:t xml:space="preserve"> ir profesinė sąjunga turėtų galėti laisvai pasirinkti savo narius. Be to,</w:t>
      </w:r>
      <w:r w:rsidR="00EE2FA3">
        <w:rPr>
          <w:rStyle w:val="tlid-translation"/>
          <w:iCs/>
          <w:u w:val="single"/>
        </w:rPr>
        <w:t xml:space="preserve"> </w:t>
      </w:r>
      <w:r w:rsidRPr="007B5EFE">
        <w:rPr>
          <w:rStyle w:val="tlid-translation"/>
          <w:iCs/>
          <w:u w:val="single"/>
        </w:rPr>
        <w:t>sąjunga turi turėti teisę laisvai prisijungti prie federacijos, taip</w:t>
      </w:r>
      <w:r w:rsidR="00EE2FA3">
        <w:rPr>
          <w:rStyle w:val="tlid-translation"/>
          <w:iCs/>
          <w:u w:val="single"/>
        </w:rPr>
        <w:t xml:space="preserve"> pat</w:t>
      </w:r>
      <w:r w:rsidRPr="007B5EFE">
        <w:rPr>
          <w:rStyle w:val="tlid-translation"/>
          <w:iCs/>
          <w:u w:val="single"/>
        </w:rPr>
        <w:t xml:space="preserve"> ir federacija turi turėti teisę laisvai priimti sąjungą</w:t>
      </w:r>
      <w:r w:rsidRPr="007B5EFE">
        <w:rPr>
          <w:rStyle w:val="tlid-translation"/>
          <w:iCs/>
        </w:rPr>
        <w:t>.</w:t>
      </w:r>
    </w:p>
    <w:p w14:paraId="213A6982" w14:textId="332FC381" w:rsidR="009A78C8" w:rsidRPr="007B5EFE" w:rsidRDefault="009A78C8" w:rsidP="009A78C8">
      <w:pPr>
        <w:spacing w:after="0" w:line="240" w:lineRule="auto"/>
        <w:ind w:firstLine="567"/>
        <w:jc w:val="both"/>
        <w:rPr>
          <w:rStyle w:val="tlid-translation"/>
          <w:rFonts w:cs="Arial"/>
        </w:rPr>
      </w:pPr>
      <w:r w:rsidRPr="007B5EFE">
        <w:rPr>
          <w:rStyle w:val="tlid-translation"/>
          <w:iCs/>
        </w:rPr>
        <w:t xml:space="preserve">Taigi teismo sprendimas, įpareigojęs pareiškėją pašalinti iš savo gretų profesinę sąjungą, apribojo pareiškėjo teises pagal </w:t>
      </w:r>
      <w:r w:rsidRPr="007B5EFE">
        <w:rPr>
          <w:rFonts w:cs="Arial"/>
        </w:rPr>
        <w:t xml:space="preserve">Konvencijos 11 straipsnį. Šis ribojimas </w:t>
      </w:r>
      <w:r w:rsidRPr="007B5EFE">
        <w:rPr>
          <w:rStyle w:val="tlid-translation"/>
          <w:iCs/>
        </w:rPr>
        <w:t xml:space="preserve">buvo nustatytas įstatymu. Kaip ir kitos kalinių teisės pagal Konvenciją, jų teisė steigti profesines sąjungas ir stoti į jas gali būti apribota saugumo, ypač nusikalstamumo </w:t>
      </w:r>
      <w:r w:rsidRPr="00C708C6">
        <w:rPr>
          <w:rStyle w:val="tlid-translation"/>
          <w:iCs/>
        </w:rPr>
        <w:t>prevencijos ir viešosios tvarkos</w:t>
      </w:r>
      <w:r w:rsidRPr="007B5EFE">
        <w:rPr>
          <w:rStyle w:val="tlid-translation"/>
          <w:iCs/>
        </w:rPr>
        <w:t xml:space="preserve"> tikslais.</w:t>
      </w:r>
    </w:p>
    <w:p w14:paraId="58EE5B0B" w14:textId="5AEFA9DD" w:rsidR="009A78C8" w:rsidRPr="009A78C8" w:rsidRDefault="009A78C8" w:rsidP="009A78C8">
      <w:pPr>
        <w:spacing w:after="0" w:line="240" w:lineRule="auto"/>
        <w:ind w:firstLine="567"/>
        <w:jc w:val="both"/>
        <w:rPr>
          <w:rStyle w:val="tlid-translation"/>
          <w:color w:val="000000" w:themeColor="text1"/>
        </w:rPr>
      </w:pPr>
      <w:r w:rsidRPr="007B5EFE">
        <w:rPr>
          <w:rStyle w:val="tlid-translation"/>
        </w:rPr>
        <w:t>Spręsdamas dėl apribojimų būtinumo demokratinėje visuomenėje, Teismas pabrėžė, kad profesinių sąjungų laisvė yra esminis darbuotojų ir darbdavių socialinio dialogo elementas, taigi svarbi priemonė siekiant socialinio teisingumo ir harmonijos</w:t>
      </w:r>
      <w:r w:rsidRPr="009A78C8">
        <w:rPr>
          <w:rStyle w:val="tlid-translation"/>
          <w:color w:val="000000" w:themeColor="text1"/>
        </w:rPr>
        <w:t>.</w:t>
      </w:r>
      <w:r w:rsidRPr="009A78C8">
        <w:rPr>
          <w:rStyle w:val="Hipersaitas"/>
          <w:rFonts w:cs="Arial"/>
          <w:color w:val="000000" w:themeColor="text1"/>
        </w:rPr>
        <w:t xml:space="preserve"> Demokratinėje visuomenėje apribojimai profesinėms sąjungoms gali būti taikomi tik dėl svarbių ir įtikinamų priežasčių. Atsižvelgiant į jautrų socialinių ir politinių klausimų, siekiant atitinkamų darbuotojų ir vadovybės interesų pusiausvyros, pobūdį ir į didelius nacionalinių teisinių sistemų skirtumus šioje srityje</w:t>
      </w:r>
      <w:r w:rsidRPr="009A78C8">
        <w:rPr>
          <w:rStyle w:val="Puslapioinaosnuoroda"/>
          <w:rFonts w:cs="Arial"/>
          <w:color w:val="000000" w:themeColor="text1"/>
        </w:rPr>
        <w:footnoteReference w:id="1"/>
      </w:r>
      <w:r w:rsidRPr="009A78C8">
        <w:rPr>
          <w:rStyle w:val="Hipersaitas"/>
          <w:rFonts w:cs="Arial"/>
          <w:color w:val="000000" w:themeColor="text1"/>
        </w:rPr>
        <w:t xml:space="preserve">, </w:t>
      </w:r>
      <w:r w:rsidR="005123AF" w:rsidRPr="0019787C">
        <w:rPr>
          <w:rStyle w:val="Hipersaitas"/>
          <w:rFonts w:cs="Arial"/>
          <w:color w:val="000000" w:themeColor="text1"/>
        </w:rPr>
        <w:t>S</w:t>
      </w:r>
      <w:r w:rsidRPr="0019787C">
        <w:rPr>
          <w:rStyle w:val="Hipersaitas"/>
          <w:rFonts w:cs="Arial"/>
          <w:color w:val="000000" w:themeColor="text1"/>
        </w:rPr>
        <w:t xml:space="preserve">usitariančiosios </w:t>
      </w:r>
      <w:r w:rsidR="005123AF" w:rsidRPr="0019787C">
        <w:rPr>
          <w:rStyle w:val="Hipersaitas"/>
          <w:rFonts w:cs="Arial"/>
          <w:color w:val="000000" w:themeColor="text1"/>
        </w:rPr>
        <w:t>V</w:t>
      </w:r>
      <w:r w:rsidRPr="0019787C">
        <w:rPr>
          <w:rStyle w:val="Hipersaitas"/>
          <w:rFonts w:cs="Arial"/>
          <w:color w:val="000000" w:themeColor="text1"/>
        </w:rPr>
        <w:t>alstybės</w:t>
      </w:r>
      <w:r w:rsidRPr="009A78C8">
        <w:rPr>
          <w:rStyle w:val="Hipersaitas"/>
          <w:rFonts w:cs="Arial"/>
          <w:color w:val="000000" w:themeColor="text1"/>
        </w:rPr>
        <w:t xml:space="preserve"> turi didelę vertinimo laisvę sprendžiant, kaip turėtų būti užtikrinta profesinių sąjungų laisvė ir profesinių sąjungos narių interesų apsauga.</w:t>
      </w:r>
    </w:p>
    <w:p w14:paraId="4B27A563" w14:textId="5528E3FF" w:rsidR="009A78C8" w:rsidRDefault="009A78C8" w:rsidP="009A78C8">
      <w:pPr>
        <w:pStyle w:val="ClinContent"/>
        <w:spacing w:before="0"/>
        <w:ind w:firstLine="567"/>
        <w:rPr>
          <w:rFonts w:asciiTheme="minorHAnsi" w:hAnsiTheme="minorHAnsi" w:cstheme="minorHAnsi"/>
          <w:sz w:val="22"/>
          <w:szCs w:val="22"/>
          <w:lang w:val="lt-LT"/>
        </w:rPr>
      </w:pPr>
      <w:r w:rsidRPr="00710D2B">
        <w:rPr>
          <w:rStyle w:val="tlid-translation"/>
          <w:rFonts w:asciiTheme="minorHAnsi" w:hAnsiTheme="minorHAnsi" w:cstheme="minorHAnsi"/>
          <w:sz w:val="22"/>
          <w:szCs w:val="22"/>
          <w:lang w:val="lt-LT"/>
        </w:rPr>
        <w:t xml:space="preserve">Nors Konvencija tiksliai neapibrėžia „profesinės sąjungos“ sąvokos, nurodant tik, kad tai yra asociacija, įkurta siekiant apginti savo narių interesus, dauguma Teismo nagrinėtų bylų buvo susijusios su darbuotojais, o plačiau – asmenimis, esančiais „darbo santykiuose“. Tačiau, </w:t>
      </w:r>
      <w:r>
        <w:rPr>
          <w:rStyle w:val="tlid-translation"/>
          <w:rFonts w:asciiTheme="minorHAnsi" w:hAnsiTheme="minorHAnsi" w:cstheme="minorHAnsi"/>
          <w:sz w:val="22"/>
          <w:szCs w:val="22"/>
          <w:lang w:val="lt-LT"/>
        </w:rPr>
        <w:t>T</w:t>
      </w:r>
      <w:r w:rsidRPr="00710D2B">
        <w:rPr>
          <w:rStyle w:val="tlid-translation"/>
          <w:rFonts w:asciiTheme="minorHAnsi" w:hAnsiTheme="minorHAnsi" w:cstheme="minorHAnsi"/>
          <w:sz w:val="22"/>
          <w:szCs w:val="22"/>
          <w:lang w:val="lt-LT"/>
        </w:rPr>
        <w:t xml:space="preserve">eismo vertinimu, </w:t>
      </w:r>
      <w:r w:rsidRPr="00710D2B">
        <w:rPr>
          <w:rStyle w:val="tlid-translation"/>
          <w:rFonts w:asciiTheme="minorHAnsi" w:hAnsiTheme="minorHAnsi" w:cstheme="minorHAnsi"/>
          <w:sz w:val="22"/>
          <w:szCs w:val="22"/>
          <w:u w:val="single"/>
          <w:lang w:val="lt-LT"/>
        </w:rPr>
        <w:t xml:space="preserve">darbas kalėjime </w:t>
      </w:r>
      <w:r w:rsidRPr="00710D2B">
        <w:rPr>
          <w:rFonts w:asciiTheme="minorHAnsi" w:hAnsiTheme="minorHAnsi" w:cstheme="minorHAnsi"/>
          <w:sz w:val="22"/>
          <w:szCs w:val="22"/>
          <w:u w:val="single"/>
          <w:lang w:val="lt-LT"/>
        </w:rPr>
        <w:t>negali būti prilyginamas profesin</w:t>
      </w:r>
      <w:r>
        <w:rPr>
          <w:rFonts w:asciiTheme="minorHAnsi" w:hAnsiTheme="minorHAnsi" w:cstheme="minorHAnsi"/>
          <w:sz w:val="22"/>
          <w:szCs w:val="22"/>
          <w:u w:val="single"/>
          <w:lang w:val="lt-LT"/>
        </w:rPr>
        <w:t>e</w:t>
      </w:r>
      <w:r w:rsidRPr="00710D2B">
        <w:rPr>
          <w:rFonts w:asciiTheme="minorHAnsi" w:hAnsiTheme="minorHAnsi" w:cstheme="minorHAnsi"/>
          <w:sz w:val="22"/>
          <w:szCs w:val="22"/>
          <w:u w:val="single"/>
          <w:lang w:val="lt-LT"/>
        </w:rPr>
        <w:t>i</w:t>
      </w:r>
      <w:r>
        <w:rPr>
          <w:rFonts w:asciiTheme="minorHAnsi" w:hAnsiTheme="minorHAnsi" w:cstheme="minorHAnsi"/>
          <w:sz w:val="22"/>
          <w:szCs w:val="22"/>
          <w:u w:val="single"/>
          <w:lang w:val="lt-LT"/>
        </w:rPr>
        <w:t xml:space="preserve"> veiklai</w:t>
      </w:r>
      <w:r w:rsidRPr="00710D2B">
        <w:rPr>
          <w:rFonts w:asciiTheme="minorHAnsi" w:hAnsiTheme="minorHAnsi" w:cstheme="minorHAnsi"/>
          <w:sz w:val="22"/>
          <w:szCs w:val="22"/>
          <w:u w:val="single"/>
          <w:lang w:val="lt-LT"/>
        </w:rPr>
        <w:t xml:space="preserve"> </w:t>
      </w:r>
      <w:r>
        <w:rPr>
          <w:rFonts w:asciiTheme="minorHAnsi" w:hAnsiTheme="minorHAnsi" w:cstheme="minorHAnsi"/>
          <w:sz w:val="22"/>
          <w:szCs w:val="22"/>
          <w:u w:val="single"/>
          <w:lang w:val="lt-LT"/>
        </w:rPr>
        <w:t>(</w:t>
      </w:r>
      <w:r w:rsidRPr="00710D2B">
        <w:rPr>
          <w:rFonts w:asciiTheme="minorHAnsi" w:hAnsiTheme="minorHAnsi" w:cstheme="minorHAnsi"/>
          <w:sz w:val="22"/>
          <w:szCs w:val="22"/>
          <w:u w:val="single"/>
          <w:lang w:val="lt-LT"/>
        </w:rPr>
        <w:t>užimtumui</w:t>
      </w:r>
      <w:r>
        <w:rPr>
          <w:rFonts w:asciiTheme="minorHAnsi" w:hAnsiTheme="minorHAnsi" w:cstheme="minorHAnsi"/>
          <w:sz w:val="22"/>
          <w:szCs w:val="22"/>
          <w:u w:val="single"/>
          <w:lang w:val="lt-LT"/>
        </w:rPr>
        <w:t>)</w:t>
      </w:r>
      <w:r w:rsidRPr="00710D2B">
        <w:rPr>
          <w:rFonts w:asciiTheme="minorHAnsi" w:hAnsiTheme="minorHAnsi" w:cstheme="minorHAnsi"/>
          <w:sz w:val="22"/>
          <w:szCs w:val="22"/>
          <w:lang w:val="lt-LT"/>
        </w:rPr>
        <w:t xml:space="preserve">. Iš tiesų darbas kalėjime nuo paprastų darbuotojų darbo skiriasi daugeliu aspektų. Juo pirmiausia siekiama reabilitacijos ir resocializacijos, jis </w:t>
      </w:r>
      <w:r>
        <w:rPr>
          <w:rFonts w:asciiTheme="minorHAnsi" w:hAnsiTheme="minorHAnsi" w:cstheme="minorHAnsi"/>
          <w:sz w:val="22"/>
          <w:szCs w:val="22"/>
          <w:lang w:val="lt-LT"/>
        </w:rPr>
        <w:t xml:space="preserve">yra </w:t>
      </w:r>
      <w:r w:rsidRPr="00710D2B">
        <w:rPr>
          <w:rFonts w:asciiTheme="minorHAnsi" w:hAnsiTheme="minorHAnsi" w:cstheme="minorHAnsi"/>
          <w:sz w:val="22"/>
          <w:szCs w:val="22"/>
          <w:lang w:val="lt-LT"/>
        </w:rPr>
        <w:t xml:space="preserve">nukreiptas į reintegraciją ir </w:t>
      </w:r>
      <w:r w:rsidR="0019787C">
        <w:rPr>
          <w:rFonts w:asciiTheme="minorHAnsi" w:hAnsiTheme="minorHAnsi" w:cstheme="minorHAnsi"/>
          <w:sz w:val="22"/>
          <w:szCs w:val="22"/>
          <w:lang w:val="lt-LT"/>
        </w:rPr>
        <w:t xml:space="preserve">yra </w:t>
      </w:r>
      <w:r w:rsidRPr="00710D2B">
        <w:rPr>
          <w:rFonts w:asciiTheme="minorHAnsi" w:hAnsiTheme="minorHAnsi" w:cstheme="minorHAnsi"/>
          <w:sz w:val="22"/>
          <w:szCs w:val="22"/>
          <w:lang w:val="lt-LT"/>
        </w:rPr>
        <w:t xml:space="preserve">privalomas. Panašią poziciją </w:t>
      </w:r>
      <w:r>
        <w:rPr>
          <w:rFonts w:asciiTheme="minorHAnsi" w:hAnsiTheme="minorHAnsi" w:cstheme="minorHAnsi"/>
          <w:sz w:val="22"/>
          <w:szCs w:val="22"/>
          <w:lang w:val="lt-LT"/>
        </w:rPr>
        <w:t>byloje dėl ribojimo kaliniams jungtis į profesines sąjungas</w:t>
      </w:r>
      <w:r w:rsidRPr="00710D2B">
        <w:rPr>
          <w:rFonts w:asciiTheme="minorHAnsi" w:hAnsiTheme="minorHAnsi" w:cstheme="minorHAnsi"/>
          <w:sz w:val="22"/>
          <w:szCs w:val="22"/>
          <w:lang w:val="lt-LT"/>
        </w:rPr>
        <w:t xml:space="preserve"> išsakė ir Rusijos Konstitucinis Teismas.</w:t>
      </w:r>
    </w:p>
    <w:p w14:paraId="4B00B27D" w14:textId="77777777" w:rsidR="009A78C8" w:rsidRDefault="009A78C8" w:rsidP="009A78C8">
      <w:pPr>
        <w:pStyle w:val="ClinContent"/>
        <w:spacing w:before="0"/>
        <w:ind w:firstLine="567"/>
        <w:rPr>
          <w:rFonts w:asciiTheme="minorHAnsi" w:hAnsiTheme="minorHAnsi" w:cstheme="minorHAnsi"/>
          <w:sz w:val="22"/>
          <w:szCs w:val="22"/>
          <w:lang w:val="lt-LT"/>
        </w:rPr>
      </w:pPr>
      <w:r w:rsidRPr="00942896">
        <w:rPr>
          <w:rFonts w:asciiTheme="minorHAnsi" w:hAnsiTheme="minorHAnsi" w:cstheme="minorHAnsi"/>
          <w:sz w:val="22"/>
          <w:szCs w:val="22"/>
          <w:lang w:val="lt-LT"/>
        </w:rPr>
        <w:t>Nepaisant to, Teismas pakartoj</w:t>
      </w:r>
      <w:r>
        <w:rPr>
          <w:rFonts w:asciiTheme="minorHAnsi" w:hAnsiTheme="minorHAnsi" w:cstheme="minorHAnsi"/>
          <w:sz w:val="22"/>
          <w:szCs w:val="22"/>
          <w:lang w:val="lt-LT"/>
        </w:rPr>
        <w:t>o</w:t>
      </w:r>
      <w:r w:rsidRPr="00942896">
        <w:rPr>
          <w:rFonts w:asciiTheme="minorHAnsi" w:hAnsiTheme="minorHAnsi" w:cstheme="minorHAnsi"/>
          <w:sz w:val="22"/>
          <w:szCs w:val="22"/>
          <w:lang w:val="lt-LT"/>
        </w:rPr>
        <w:t xml:space="preserve">, kad Konvencija yra „gyvas instrumentas“, todėl gali būti, kad dėl šios srities pokyčių kada nors ateityje gali prireikti išplėsti profesinių sąjungų laisvę ir dirbantiems kaliniams, ypač jei jie dirba privačiam darbdaviui. Iš tiesų, </w:t>
      </w:r>
      <w:r>
        <w:rPr>
          <w:rFonts w:asciiTheme="minorHAnsi" w:hAnsiTheme="minorHAnsi" w:cstheme="minorHAnsi"/>
          <w:sz w:val="22"/>
          <w:szCs w:val="22"/>
          <w:lang w:val="lt-LT"/>
        </w:rPr>
        <w:t xml:space="preserve">Konvencijos </w:t>
      </w:r>
      <w:r w:rsidRPr="00942896">
        <w:rPr>
          <w:rFonts w:asciiTheme="minorHAnsi" w:hAnsiTheme="minorHAnsi" w:cstheme="minorHAnsi"/>
          <w:sz w:val="22"/>
          <w:szCs w:val="22"/>
          <w:lang w:val="lt-LT"/>
        </w:rPr>
        <w:t>11 straipsnio 2 dalis ne</w:t>
      </w:r>
      <w:r>
        <w:rPr>
          <w:rFonts w:asciiTheme="minorHAnsi" w:hAnsiTheme="minorHAnsi" w:cstheme="minorHAnsi"/>
          <w:sz w:val="22"/>
          <w:szCs w:val="22"/>
          <w:lang w:val="lt-LT"/>
        </w:rPr>
        <w:t>eliminuoja</w:t>
      </w:r>
      <w:r w:rsidRPr="00942896">
        <w:rPr>
          <w:rFonts w:asciiTheme="minorHAnsi" w:hAnsiTheme="minorHAnsi" w:cstheme="minorHAnsi"/>
          <w:sz w:val="22"/>
          <w:szCs w:val="22"/>
          <w:lang w:val="lt-LT"/>
        </w:rPr>
        <w:t xml:space="preserve"> jokios profesijos </w:t>
      </w:r>
      <w:r w:rsidRPr="00942896">
        <w:rPr>
          <w:rFonts w:asciiTheme="minorHAnsi" w:hAnsiTheme="minorHAnsi" w:cstheme="minorHAnsi"/>
          <w:sz w:val="22"/>
          <w:szCs w:val="22"/>
          <w:lang w:val="lt-LT"/>
        </w:rPr>
        <w:lastRenderedPageBreak/>
        <w:t xml:space="preserve">grupės iš </w:t>
      </w:r>
      <w:r>
        <w:rPr>
          <w:rFonts w:asciiTheme="minorHAnsi" w:hAnsiTheme="minorHAnsi" w:cstheme="minorHAnsi"/>
          <w:sz w:val="22"/>
          <w:szCs w:val="22"/>
          <w:lang w:val="lt-LT"/>
        </w:rPr>
        <w:t>ši</w:t>
      </w:r>
      <w:r w:rsidRPr="00942896">
        <w:rPr>
          <w:rFonts w:asciiTheme="minorHAnsi" w:hAnsiTheme="minorHAnsi" w:cstheme="minorHAnsi"/>
          <w:sz w:val="22"/>
          <w:szCs w:val="22"/>
          <w:lang w:val="lt-LT"/>
        </w:rPr>
        <w:t xml:space="preserve">o straipsnio taikymo srities. </w:t>
      </w:r>
      <w:r>
        <w:rPr>
          <w:rFonts w:asciiTheme="minorHAnsi" w:hAnsiTheme="minorHAnsi" w:cstheme="minorHAnsi"/>
          <w:sz w:val="22"/>
          <w:szCs w:val="22"/>
          <w:lang w:val="lt-LT"/>
        </w:rPr>
        <w:t xml:space="preserve">Tačiau, atsižvelgiant į </w:t>
      </w:r>
      <w:r w:rsidRPr="00806C6B">
        <w:rPr>
          <w:rFonts w:asciiTheme="minorHAnsi" w:hAnsiTheme="minorHAnsi" w:cstheme="minorHAnsi"/>
          <w:sz w:val="22"/>
          <w:szCs w:val="22"/>
          <w:lang w:val="lt-LT"/>
        </w:rPr>
        <w:t xml:space="preserve">dabartinę Europos Tarybos valstybių narių praktiką, </w:t>
      </w:r>
      <w:r>
        <w:rPr>
          <w:rFonts w:asciiTheme="minorHAnsi" w:hAnsiTheme="minorHAnsi" w:cstheme="minorHAnsi"/>
          <w:sz w:val="22"/>
          <w:szCs w:val="22"/>
          <w:lang w:val="lt-LT"/>
        </w:rPr>
        <w:t xml:space="preserve">šiuo klausimu dar nėra </w:t>
      </w:r>
      <w:r w:rsidRPr="00806C6B">
        <w:rPr>
          <w:rFonts w:asciiTheme="minorHAnsi" w:hAnsiTheme="minorHAnsi" w:cstheme="minorHAnsi"/>
          <w:sz w:val="22"/>
          <w:szCs w:val="22"/>
          <w:lang w:val="lt-LT"/>
        </w:rPr>
        <w:t>pakankam</w:t>
      </w:r>
      <w:r>
        <w:rPr>
          <w:rFonts w:asciiTheme="minorHAnsi" w:hAnsiTheme="minorHAnsi" w:cstheme="minorHAnsi"/>
          <w:sz w:val="22"/>
          <w:szCs w:val="22"/>
          <w:lang w:val="lt-LT"/>
        </w:rPr>
        <w:t>o konsensuso</w:t>
      </w:r>
      <w:r w:rsidRPr="00806C6B">
        <w:rPr>
          <w:rFonts w:asciiTheme="minorHAnsi" w:hAnsiTheme="minorHAnsi" w:cstheme="minorHAnsi"/>
          <w:sz w:val="22"/>
          <w:szCs w:val="22"/>
          <w:lang w:val="lt-LT"/>
        </w:rPr>
        <w:t xml:space="preserve">, kad </w:t>
      </w:r>
      <w:r>
        <w:rPr>
          <w:rFonts w:asciiTheme="minorHAnsi" w:hAnsiTheme="minorHAnsi" w:cstheme="minorHAnsi"/>
          <w:sz w:val="22"/>
          <w:szCs w:val="22"/>
          <w:lang w:val="lt-LT"/>
        </w:rPr>
        <w:t xml:space="preserve">Konvencijos </w:t>
      </w:r>
      <w:r w:rsidRPr="00806C6B">
        <w:rPr>
          <w:rFonts w:asciiTheme="minorHAnsi" w:hAnsiTheme="minorHAnsi" w:cstheme="minorHAnsi"/>
          <w:sz w:val="22"/>
          <w:szCs w:val="22"/>
          <w:lang w:val="lt-LT"/>
        </w:rPr>
        <w:t xml:space="preserve">11 straipsnis būtų aiškinamas taip, kaip </w:t>
      </w:r>
      <w:r>
        <w:rPr>
          <w:rFonts w:asciiTheme="minorHAnsi" w:hAnsiTheme="minorHAnsi" w:cstheme="minorHAnsi"/>
          <w:sz w:val="22"/>
          <w:szCs w:val="22"/>
          <w:lang w:val="lt-LT"/>
        </w:rPr>
        <w:t>to pageidauja</w:t>
      </w:r>
      <w:r w:rsidRPr="00806C6B">
        <w:rPr>
          <w:rFonts w:asciiTheme="minorHAnsi" w:hAnsiTheme="minorHAnsi" w:cstheme="minorHAnsi"/>
          <w:sz w:val="22"/>
          <w:szCs w:val="22"/>
          <w:lang w:val="lt-LT"/>
        </w:rPr>
        <w:t xml:space="preserve"> pareiškėjas.</w:t>
      </w:r>
    </w:p>
    <w:p w14:paraId="74CC31FC" w14:textId="77777777" w:rsidR="009A78C8" w:rsidRDefault="009A78C8" w:rsidP="009A78C8">
      <w:pPr>
        <w:pStyle w:val="ClinContent"/>
        <w:spacing w:before="0"/>
        <w:ind w:firstLine="567"/>
        <w:rPr>
          <w:rStyle w:val="tlid-translation"/>
          <w:rFonts w:asciiTheme="minorHAnsi" w:hAnsiTheme="minorHAnsi" w:cstheme="minorHAnsi"/>
          <w:iCs/>
          <w:sz w:val="22"/>
          <w:szCs w:val="22"/>
          <w:lang w:val="lt-LT"/>
        </w:rPr>
      </w:pPr>
      <w:r w:rsidRPr="00CA3D78">
        <w:rPr>
          <w:rFonts w:asciiTheme="minorHAnsi" w:hAnsiTheme="minorHAnsi" w:cstheme="minorHAnsi"/>
          <w:sz w:val="22"/>
          <w:szCs w:val="22"/>
          <w:lang w:val="lt-LT"/>
        </w:rPr>
        <w:t>Atsižvelgęs į tai, Teismas konstatavo, kad nacionalini</w:t>
      </w:r>
      <w:r>
        <w:rPr>
          <w:rFonts w:asciiTheme="minorHAnsi" w:hAnsiTheme="minorHAnsi" w:cstheme="minorHAnsi"/>
          <w:sz w:val="22"/>
          <w:szCs w:val="22"/>
          <w:lang w:val="lt-LT"/>
        </w:rPr>
        <w:t>o</w:t>
      </w:r>
      <w:r w:rsidRPr="00CA3D78">
        <w:rPr>
          <w:rFonts w:asciiTheme="minorHAnsi" w:hAnsiTheme="minorHAnsi" w:cstheme="minorHAnsi"/>
          <w:sz w:val="22"/>
          <w:szCs w:val="22"/>
          <w:lang w:val="lt-LT"/>
        </w:rPr>
        <w:t xml:space="preserve"> teism</w:t>
      </w:r>
      <w:r>
        <w:rPr>
          <w:rFonts w:asciiTheme="minorHAnsi" w:hAnsiTheme="minorHAnsi" w:cstheme="minorHAnsi"/>
          <w:sz w:val="22"/>
          <w:szCs w:val="22"/>
          <w:lang w:val="lt-LT"/>
        </w:rPr>
        <w:t>o</w:t>
      </w:r>
      <w:r w:rsidRPr="00CA3D78">
        <w:rPr>
          <w:rFonts w:asciiTheme="minorHAnsi" w:hAnsiTheme="minorHAnsi" w:cstheme="minorHAnsi"/>
          <w:sz w:val="22"/>
          <w:szCs w:val="22"/>
          <w:lang w:val="lt-LT"/>
        </w:rPr>
        <w:t xml:space="preserve"> sprendimas </w:t>
      </w:r>
      <w:r w:rsidRPr="00CA3D78">
        <w:rPr>
          <w:rStyle w:val="tlid-translation"/>
          <w:rFonts w:asciiTheme="minorHAnsi" w:hAnsiTheme="minorHAnsi" w:cstheme="minorHAnsi"/>
          <w:iCs/>
          <w:sz w:val="22"/>
          <w:szCs w:val="22"/>
          <w:lang w:val="lt-LT"/>
        </w:rPr>
        <w:t xml:space="preserve">įpareigoti pareiškėją pašalinti iš savo gretų </w:t>
      </w:r>
      <w:r>
        <w:rPr>
          <w:rStyle w:val="tlid-translation"/>
          <w:rFonts w:asciiTheme="minorHAnsi" w:hAnsiTheme="minorHAnsi" w:cstheme="minorHAnsi"/>
          <w:iCs/>
          <w:sz w:val="22"/>
          <w:szCs w:val="22"/>
          <w:lang w:val="lt-LT"/>
        </w:rPr>
        <w:t xml:space="preserve">dirbančių kalinių </w:t>
      </w:r>
      <w:r w:rsidRPr="00CA3D78">
        <w:rPr>
          <w:rStyle w:val="tlid-translation"/>
          <w:rFonts w:asciiTheme="minorHAnsi" w:hAnsiTheme="minorHAnsi" w:cstheme="minorHAnsi"/>
          <w:iCs/>
          <w:sz w:val="22"/>
          <w:szCs w:val="22"/>
          <w:lang w:val="lt-LT"/>
        </w:rPr>
        <w:t>profesinę sąjungą</w:t>
      </w:r>
      <w:r>
        <w:rPr>
          <w:rStyle w:val="tlid-translation"/>
          <w:rFonts w:asciiTheme="minorHAnsi" w:hAnsiTheme="minorHAnsi" w:cstheme="minorHAnsi"/>
          <w:iCs/>
          <w:sz w:val="22"/>
          <w:szCs w:val="22"/>
          <w:lang w:val="lt-LT"/>
        </w:rPr>
        <w:t xml:space="preserve"> neperžengė plačių </w:t>
      </w:r>
      <w:r w:rsidRPr="00C708C6">
        <w:rPr>
          <w:rFonts w:asciiTheme="minorHAnsi" w:hAnsiTheme="minorHAnsi" w:cstheme="minorHAnsi"/>
          <w:iCs/>
          <w:sz w:val="22"/>
          <w:szCs w:val="22"/>
          <w:lang w:val="lt-LT"/>
        </w:rPr>
        <w:t>nacionalinės valdžios institucijų vertinimo laisvės šioje srityje</w:t>
      </w:r>
      <w:r>
        <w:rPr>
          <w:rFonts w:asciiTheme="minorHAnsi" w:hAnsiTheme="minorHAnsi" w:cstheme="minorHAnsi"/>
          <w:iCs/>
          <w:sz w:val="22"/>
          <w:szCs w:val="22"/>
          <w:lang w:val="lt-LT"/>
        </w:rPr>
        <w:t xml:space="preserve"> ribų, ir</w:t>
      </w:r>
      <w:r w:rsidRPr="00C708C6">
        <w:rPr>
          <w:rFonts w:ascii="Calibri" w:eastAsia="Calibri" w:hAnsi="Calibri"/>
          <w:sz w:val="22"/>
          <w:szCs w:val="22"/>
          <w:lang w:val="lt-LT" w:eastAsia="en-US"/>
        </w:rPr>
        <w:t xml:space="preserve"> </w:t>
      </w:r>
      <w:r w:rsidRPr="00C708C6">
        <w:rPr>
          <w:rFonts w:asciiTheme="minorHAnsi" w:hAnsiTheme="minorHAnsi" w:cstheme="minorHAnsi"/>
          <w:iCs/>
          <w:sz w:val="22"/>
          <w:szCs w:val="22"/>
          <w:lang w:val="lt-LT"/>
        </w:rPr>
        <w:t>skundžiamas apribojimas buvo būtinas demokratinėje visuomenėje.</w:t>
      </w:r>
    </w:p>
    <w:p w14:paraId="58A682D0" w14:textId="77777777" w:rsidR="009A78C8" w:rsidRPr="007B5EFE" w:rsidRDefault="009A78C8" w:rsidP="009A78C8">
      <w:pPr>
        <w:spacing w:after="0" w:line="240" w:lineRule="auto"/>
        <w:ind w:firstLine="567"/>
        <w:jc w:val="both"/>
        <w:rPr>
          <w:rStyle w:val="tlid-translation"/>
        </w:rPr>
      </w:pPr>
    </w:p>
    <w:p w14:paraId="06F53F8E" w14:textId="49BC5114" w:rsidR="009A78C8" w:rsidRPr="007B5EFE" w:rsidRDefault="009A78C8" w:rsidP="009A78C8">
      <w:pPr>
        <w:spacing w:after="0" w:line="240" w:lineRule="auto"/>
        <w:ind w:firstLine="567"/>
        <w:jc w:val="both"/>
        <w:rPr>
          <w:rFonts w:cstheme="minorHAnsi"/>
        </w:rPr>
      </w:pPr>
      <w:r w:rsidRPr="007B5EFE">
        <w:rPr>
          <w:rFonts w:cstheme="minorHAnsi"/>
        </w:rPr>
        <w:t>Išvada: Konvencijos 11 straipsnio pažeidimas nenustatytas (</w:t>
      </w:r>
      <w:r w:rsidR="00525BD1">
        <w:rPr>
          <w:rFonts w:cstheme="minorHAnsi"/>
        </w:rPr>
        <w:t xml:space="preserve">5 </w:t>
      </w:r>
      <w:r w:rsidRPr="007B5EFE">
        <w:rPr>
          <w:rFonts w:cstheme="minorHAnsi"/>
        </w:rPr>
        <w:t xml:space="preserve">balsai prieš </w:t>
      </w:r>
      <w:r w:rsidR="00525BD1">
        <w:rPr>
          <w:rFonts w:cstheme="minorHAnsi"/>
        </w:rPr>
        <w:t>2</w:t>
      </w:r>
      <w:r w:rsidRPr="007B5EFE">
        <w:rPr>
          <w:rFonts w:cstheme="minorHAnsi"/>
        </w:rPr>
        <w:t>).</w:t>
      </w:r>
    </w:p>
    <w:p w14:paraId="0993E3D6" w14:textId="77777777" w:rsidR="009A78C8" w:rsidRPr="007B5EFE" w:rsidRDefault="009A78C8" w:rsidP="009A78C8">
      <w:pPr>
        <w:spacing w:after="0" w:line="240" w:lineRule="auto"/>
        <w:ind w:firstLine="567"/>
        <w:jc w:val="both"/>
        <w:rPr>
          <w:rFonts w:cstheme="minorHAnsi"/>
        </w:rPr>
      </w:pPr>
      <w:r w:rsidRPr="007B5EFE">
        <w:rPr>
          <w:rFonts w:cstheme="minorHAnsi"/>
        </w:rPr>
        <w:t>Pateikta atskiroji nuomonė.</w:t>
      </w:r>
    </w:p>
    <w:p w14:paraId="09983388" w14:textId="54CCEDB8" w:rsidR="009A78C8" w:rsidRDefault="00A1313E" w:rsidP="009A78C8">
      <w:pPr>
        <w:spacing w:after="0" w:line="240" w:lineRule="auto"/>
        <w:ind w:firstLine="567"/>
        <w:rPr>
          <w:rStyle w:val="Hipersaitas"/>
          <w:rFonts w:cs="Arial"/>
        </w:rPr>
      </w:pPr>
      <w:hyperlink r:id="rId18" w:history="1">
        <w:r w:rsidR="009A78C8" w:rsidRPr="007B5EFE">
          <w:rPr>
            <w:rStyle w:val="Hipersaitas"/>
            <w:rFonts w:cs="Arial"/>
          </w:rPr>
          <w:t>Prieiga internete</w:t>
        </w:r>
      </w:hyperlink>
    </w:p>
    <w:p w14:paraId="22500569" w14:textId="6EDBABF0" w:rsidR="00016793" w:rsidRPr="00CC38E3" w:rsidRDefault="00016793" w:rsidP="005C5A0E">
      <w:pPr>
        <w:pStyle w:val="Antrat1"/>
        <w:rPr>
          <w:rFonts w:eastAsia="Times New Roman" w:cstheme="minorHAnsi"/>
          <w:szCs w:val="22"/>
        </w:rPr>
      </w:pPr>
      <w:bookmarkStart w:id="31" w:name="_Toc104379831"/>
      <w:r w:rsidRPr="00CC38E3">
        <w:rPr>
          <w:rFonts w:eastAsia="Times New Roman" w:cstheme="minorHAnsi"/>
          <w:szCs w:val="22"/>
        </w:rPr>
        <w:t>TEISĖ Į VEIKMINGĄ TEISINĖS GYNYBOS PRIEMONĘ (13 straipsnis)</w:t>
      </w:r>
      <w:bookmarkEnd w:id="31"/>
      <w:r w:rsidRPr="00CC38E3">
        <w:rPr>
          <w:rFonts w:eastAsia="Times New Roman" w:cstheme="minorHAnsi"/>
          <w:szCs w:val="22"/>
        </w:rPr>
        <w:t> </w:t>
      </w:r>
    </w:p>
    <w:p w14:paraId="18F4CD1B" w14:textId="77777777" w:rsidR="002433E2" w:rsidRPr="00CC38E3" w:rsidRDefault="002433E2" w:rsidP="005C5A0E">
      <w:pPr>
        <w:shd w:val="clear" w:color="auto" w:fill="FFFFFF"/>
        <w:spacing w:after="0" w:line="240" w:lineRule="auto"/>
        <w:ind w:right="-1"/>
        <w:jc w:val="center"/>
        <w:rPr>
          <w:rFonts w:eastAsia="Times New Roman" w:cstheme="minorHAnsi"/>
          <w:b/>
        </w:rPr>
      </w:pPr>
    </w:p>
    <w:p w14:paraId="7163A5ED" w14:textId="306E77C0" w:rsidR="00016793" w:rsidRPr="00CC38E3" w:rsidRDefault="00016793"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Europos Žmogaus Teisių Teismo 2021 m. liepos 8 d. sprendimas byloje</w:t>
      </w:r>
    </w:p>
    <w:p w14:paraId="16E173E1" w14:textId="77777777" w:rsidR="00016793" w:rsidRPr="00CC38E3" w:rsidRDefault="00016793" w:rsidP="005C5A0E">
      <w:pPr>
        <w:keepNext/>
        <w:keepLines/>
        <w:spacing w:after="0" w:line="240" w:lineRule="auto"/>
        <w:ind w:right="-1"/>
        <w:jc w:val="center"/>
        <w:outlineLvl w:val="1"/>
        <w:rPr>
          <w:rFonts w:eastAsia="Calibri" w:cstheme="minorHAnsi"/>
          <w:b/>
          <w:bCs/>
          <w:i/>
          <w:iCs/>
          <w:color w:val="2E74B5"/>
        </w:rPr>
      </w:pPr>
      <w:bookmarkStart w:id="32" w:name="_Toc104379832"/>
      <w:r w:rsidRPr="00CC38E3">
        <w:rPr>
          <w:rFonts w:eastAsia="Calibri" w:cstheme="minorHAnsi"/>
          <w:b/>
          <w:bCs/>
          <w:i/>
          <w:iCs/>
          <w:color w:val="2E74B5"/>
        </w:rPr>
        <w:t>Shahzad prieš Vengriją</w:t>
      </w:r>
      <w:bookmarkEnd w:id="32"/>
    </w:p>
    <w:p w14:paraId="62273F1A" w14:textId="77777777" w:rsidR="00016793" w:rsidRPr="00CC38E3" w:rsidRDefault="00016793"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(pareiškimo Nr. 12625/17</w:t>
      </w:r>
      <w:r w:rsidRPr="00CC38E3">
        <w:rPr>
          <w:rFonts w:eastAsia="Calibri" w:cstheme="minorHAnsi"/>
          <w:b/>
        </w:rPr>
        <w:t>, svarbos lygis – 2</w:t>
      </w:r>
      <w:r w:rsidRPr="00CC38E3">
        <w:rPr>
          <w:rFonts w:eastAsia="Times New Roman" w:cstheme="minorHAnsi"/>
          <w:b/>
        </w:rPr>
        <w:t>)</w:t>
      </w:r>
    </w:p>
    <w:p w14:paraId="16ACA369" w14:textId="77777777" w:rsidR="00016793" w:rsidRPr="00CC38E3" w:rsidRDefault="00016793" w:rsidP="005C5A0E">
      <w:pPr>
        <w:shd w:val="clear" w:color="auto" w:fill="FFFFFF"/>
        <w:spacing w:after="0" w:line="240" w:lineRule="auto"/>
        <w:ind w:right="-1" w:firstLine="567"/>
        <w:jc w:val="center"/>
        <w:rPr>
          <w:rFonts w:eastAsia="Times New Roman" w:cstheme="minorHAnsi"/>
          <w:b/>
          <w:bCs/>
          <w:color w:val="000000"/>
        </w:rPr>
      </w:pPr>
    </w:p>
    <w:p w14:paraId="7805BA40" w14:textId="77777777" w:rsidR="00016793" w:rsidRPr="00CC38E3" w:rsidRDefault="00016793" w:rsidP="005C5A0E">
      <w:pPr>
        <w:keepNext/>
        <w:keepLines/>
        <w:spacing w:after="0" w:line="240" w:lineRule="auto"/>
        <w:ind w:right="-1" w:firstLine="567"/>
        <w:outlineLvl w:val="2"/>
        <w:rPr>
          <w:rFonts w:eastAsia="Calibri" w:cstheme="minorHAnsi"/>
          <w:bCs/>
          <w:i/>
          <w:iCs/>
        </w:rPr>
      </w:pPr>
      <w:bookmarkStart w:id="33" w:name="_Toc104379833"/>
      <w:r w:rsidRPr="00CC38E3">
        <w:rPr>
          <w:rFonts w:eastAsia="Calibri" w:cstheme="minorHAnsi"/>
          <w:bCs/>
          <w:i/>
          <w:iCs/>
        </w:rPr>
        <w:t>Dėl kolektyvinio asmenų išsiuntimo iš šalies juos paliekant žemės ruože, esančiame tarp valstybių sienas skiriančių tvorų</w:t>
      </w:r>
      <w:bookmarkEnd w:id="33"/>
    </w:p>
    <w:p w14:paraId="0EC7118E" w14:textId="77777777" w:rsidR="00016793" w:rsidRPr="00CC38E3" w:rsidRDefault="00016793" w:rsidP="005C5A0E">
      <w:pPr>
        <w:spacing w:after="0" w:line="240" w:lineRule="auto"/>
        <w:ind w:right="-1" w:firstLine="567"/>
        <w:rPr>
          <w:rFonts w:eastAsia="Calibri" w:cstheme="minorHAnsi"/>
        </w:rPr>
      </w:pPr>
    </w:p>
    <w:p w14:paraId="05F92212" w14:textId="77777777" w:rsidR="00016793" w:rsidRPr="00CC38E3" w:rsidRDefault="00016793"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Faktinės aplinkybės</w:t>
      </w:r>
    </w:p>
    <w:p w14:paraId="419CC9D5" w14:textId="77777777" w:rsidR="00016793" w:rsidRPr="00CC38E3" w:rsidRDefault="00016793" w:rsidP="005C5A0E">
      <w:pPr>
        <w:spacing w:after="0" w:line="240" w:lineRule="auto"/>
        <w:ind w:right="-1" w:firstLine="567"/>
        <w:rPr>
          <w:rFonts w:eastAsia="Calibri" w:cstheme="minorHAnsi"/>
        </w:rPr>
      </w:pPr>
    </w:p>
    <w:p w14:paraId="36F7BA2F" w14:textId="77777777" w:rsidR="00016793" w:rsidRPr="00CC38E3" w:rsidRDefault="00016793" w:rsidP="005C5A0E">
      <w:pPr>
        <w:spacing w:after="0" w:line="240" w:lineRule="auto"/>
        <w:ind w:firstLine="567"/>
        <w:jc w:val="both"/>
        <w:rPr>
          <w:rFonts w:eastAsia="Calibri" w:cstheme="minorHAnsi"/>
        </w:rPr>
      </w:pPr>
      <w:r w:rsidRPr="00CC38E3">
        <w:rPr>
          <w:rFonts w:eastAsia="Calibri" w:cstheme="minorHAnsi"/>
        </w:rPr>
        <w:t>Pareiškėjas 2008-2009 m. paliko Pakistaną dėl esą netinkamo šalies kariuomenės elgesio ir nors atkeliavo į Graikiją, iš jos nepateko į kitas Europos šalis. Galiausiai 2016 m. per Šiaurės Makedoniją pasiekė Serbiją, kur nesėkmingai siekė gauti prieglobstį. Po kelių bandymų patekti į Vengriją ir prieglobsčio prašytis ten, pareiškėjas (kartu su grupe kitų svetimšalių) Vengriją ir Serbiją skiriančioje sienoje iškirpo skylę. Vėliau Vengrijos teritorijoje sulaikyta ši migrantų grupė pareigūnų buvo išvežta anapus šalį nuo Serbijos skiriančios tvoros. Nebuvo priimti jokie oficialūs sprendimai ar patikrinta pareiškėjo tapatybė, o vienintelis teisėtas būdas pareiškėjui patekti į Vengriją buvo dvi tranzitinės zonos, prie kurių priėjimas buvo apribotas. Nebuvo jokios oficialios procedūros užsirašyti į laukiančiųjų eilę ir tokiu būdu patekti į tranzito zoną. Negalėdamas patekti į Vengriją, pareiškėjas liko Serbijoje, o metų pabaigoje savanoriškai parvyko į Pakistaną.</w:t>
      </w:r>
    </w:p>
    <w:p w14:paraId="58AE73B1" w14:textId="77777777" w:rsidR="00016793" w:rsidRPr="00CC38E3" w:rsidRDefault="00016793" w:rsidP="005C5A0E">
      <w:pPr>
        <w:spacing w:after="0" w:line="240" w:lineRule="auto"/>
        <w:ind w:firstLine="567"/>
        <w:jc w:val="both"/>
        <w:rPr>
          <w:rFonts w:eastAsia="Calibri" w:cstheme="minorHAnsi"/>
        </w:rPr>
      </w:pPr>
      <w:r w:rsidRPr="00CC38E3">
        <w:rPr>
          <w:rFonts w:eastAsia="Calibri" w:cstheme="minorHAnsi"/>
        </w:rPr>
        <w:t>Pareiškėjas, remdamasis Konvencijos 4 ir 13 straipsniais, kreipėsi į Teismą, kadangi jo išsiuntimas iš Vengrijos buvo kolektyvinio išsiuntimo dalis ir jis neturėjo efektyvių gynybos priemonių.</w:t>
      </w:r>
    </w:p>
    <w:p w14:paraId="3799263E" w14:textId="77777777" w:rsidR="00016793" w:rsidRPr="00CC38E3" w:rsidRDefault="00016793" w:rsidP="005C5A0E">
      <w:pPr>
        <w:spacing w:after="0" w:line="240" w:lineRule="auto"/>
        <w:ind w:right="-1" w:firstLine="567"/>
        <w:rPr>
          <w:rFonts w:eastAsia="Calibri" w:cstheme="minorHAnsi"/>
        </w:rPr>
      </w:pPr>
    </w:p>
    <w:p w14:paraId="095CE34E" w14:textId="77777777" w:rsidR="00016793" w:rsidRPr="00CC38E3" w:rsidRDefault="00016793"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Neoficiali Teismo sprendimo apžvalga</w:t>
      </w:r>
    </w:p>
    <w:p w14:paraId="4B88E573" w14:textId="77777777" w:rsidR="00016793" w:rsidRPr="00CC38E3" w:rsidRDefault="00016793" w:rsidP="005C5A0E">
      <w:pPr>
        <w:spacing w:after="0" w:line="240" w:lineRule="auto"/>
        <w:ind w:right="-1" w:firstLine="567"/>
        <w:rPr>
          <w:rFonts w:eastAsia="Calibri" w:cstheme="minorHAnsi"/>
        </w:rPr>
      </w:pPr>
    </w:p>
    <w:p w14:paraId="5DD75CDE" w14:textId="06C68B2B" w:rsidR="00016793" w:rsidRPr="00CC38E3" w:rsidRDefault="00016793" w:rsidP="005C5A0E">
      <w:pPr>
        <w:spacing w:after="0" w:line="240" w:lineRule="auto"/>
        <w:ind w:firstLine="567"/>
        <w:jc w:val="both"/>
        <w:rPr>
          <w:rFonts w:eastAsia="Calibri" w:cstheme="minorHAnsi"/>
        </w:rPr>
      </w:pPr>
      <w:r w:rsidRPr="00CC38E3">
        <w:rPr>
          <w:rFonts w:eastAsia="Calibri" w:cstheme="minorHAnsi"/>
        </w:rPr>
        <w:t>Tai, jog pareiškėjas į Vengriją pateko neteisėtai ir buvo sulaikytas praėjus vos kelioms valandoms netoli sienos, nėra kliūtis taikyti Konvencijos 4 straipsnį</w:t>
      </w:r>
      <w:r w:rsidR="00F67B59" w:rsidRPr="00CC38E3">
        <w:rPr>
          <w:rFonts w:eastAsia="Calibri" w:cstheme="minorHAnsi"/>
        </w:rPr>
        <w:t xml:space="preserve"> (,,</w:t>
      </w:r>
      <w:r w:rsidR="00F67B59" w:rsidRPr="00CC38E3">
        <w:rPr>
          <w:rFonts w:cstheme="minorHAnsi"/>
          <w:color w:val="000000"/>
        </w:rPr>
        <w:t>Vergijos ir priverčiamojo darbo uždraudimas“).</w:t>
      </w:r>
      <w:r w:rsidRPr="00CC38E3">
        <w:rPr>
          <w:rFonts w:eastAsia="Calibri" w:cstheme="minorHAnsi"/>
        </w:rPr>
        <w:t xml:space="preserve"> Ši nuostata aktuali net ir tuo atveju, jeigu pareigūnų pritaikyta poveikio priemonė pagal nacionalinę teisę nėra laikoma asmens išsiuntimu. Teismas atkreipė dėmesį, jog tvora šalia sienos buvo pastatyta tam, kad užtikrintų sienos tarp dviejų šalių saugumą. Siauras žemės ruožas be jokios infrastruktūros išorinėje tvoros pusėje atliko išimtinai techninį vaidmenį, reikalingą sienos valdymui, ir į Vengriją norintys patekti migrantai turėjo tą padaryti per vieną iš tranzitinių zonų, dėl ko paprastai turėjo įžengti ir į Serbiją. Vien tai, jog techniškai žemė išorinėje sieną žyminčios tvoros pusėje priklauso Vengrijai, nepaneigia fakto, jog praktiškai asmens išsiuntimas į ją leidžia šaliai apeiti Konvencijos taikomus reikalavimus.</w:t>
      </w:r>
    </w:p>
    <w:p w14:paraId="2A12A6AA" w14:textId="627E3657" w:rsidR="00016793" w:rsidRPr="00CC38E3" w:rsidRDefault="00016793" w:rsidP="005C5A0E">
      <w:pPr>
        <w:spacing w:after="0" w:line="240" w:lineRule="auto"/>
        <w:ind w:firstLine="567"/>
        <w:jc w:val="both"/>
        <w:rPr>
          <w:rFonts w:eastAsia="Calibri" w:cstheme="minorHAnsi"/>
        </w:rPr>
      </w:pPr>
      <w:r w:rsidRPr="00CC38E3">
        <w:rPr>
          <w:rFonts w:eastAsia="Calibri" w:cstheme="minorHAnsi"/>
        </w:rPr>
        <w:t xml:space="preserve">Vertindamas, ar toks pareiškėjo išsiuntimas (nepriėmus individualus sprendimo) gali būti pateisintas pareiškėjo elgesiu, Teismas atkreipė dėmesį, jog nepaisant neteisėto pareiškėjo patekimo į šalies teritoriją, filmuotoje medžiagoje matyti, kad migrantai vykdė pareigūnų nurodymus. Nebuvo nė menkiausių priešinimosi ar jėgos naudojimo pareigūnų atžvilgiu apraiškų. Taip pat </w:t>
      </w:r>
      <w:r w:rsidR="00F67B59" w:rsidRPr="00CC38E3">
        <w:rPr>
          <w:rFonts w:eastAsia="Calibri" w:cstheme="minorHAnsi"/>
        </w:rPr>
        <w:t>V</w:t>
      </w:r>
      <w:r w:rsidRPr="00CC38E3">
        <w:rPr>
          <w:rFonts w:eastAsia="Calibri" w:cstheme="minorHAnsi"/>
        </w:rPr>
        <w:t>yriausybė nepateikė argumentų, jog sienos peržengimas būtų sukėlęs sunkiai sukontroliuojamą situaciją ar pavojų viešajai tvarkai.</w:t>
      </w:r>
    </w:p>
    <w:p w14:paraId="28907E75" w14:textId="77777777" w:rsidR="00016793" w:rsidRPr="00CC38E3" w:rsidRDefault="00016793" w:rsidP="005C5A0E">
      <w:pPr>
        <w:spacing w:after="0" w:line="240" w:lineRule="auto"/>
        <w:ind w:firstLine="567"/>
        <w:jc w:val="both"/>
        <w:rPr>
          <w:rFonts w:cstheme="minorHAnsi"/>
        </w:rPr>
      </w:pPr>
      <w:r w:rsidRPr="00CC38E3">
        <w:rPr>
          <w:rFonts w:eastAsia="Calibri" w:cstheme="minorHAnsi"/>
        </w:rPr>
        <w:t xml:space="preserve">Spręsdamas, ar pareiškėjas, per sieną patekęs neteisėtai, apėjo efektyvias teisėto patekimo taisykles, Teismas pažymėjo, jog abi tranzitinės zonos per dieną priimdavo labai mažą skaičių migrantų ir norintieji į jas įžengti pirmiausia turėjo užsiregistruoti bei laukti (potencialiai keletą mėnesių) Serbijos teritorijoje. Nors </w:t>
      </w:r>
      <w:r w:rsidRPr="00CC38E3">
        <w:rPr>
          <w:rFonts w:eastAsia="Calibri" w:cstheme="minorHAnsi"/>
        </w:rPr>
        <w:lastRenderedPageBreak/>
        <w:t>pareiškėjas ir nurodė paprašęs už sąrašą atsakingo asmens jį ten įtraukti, tai nebuvo padaryta. Teismas, atsižvelgęs į tai, jog patekimas į tranzito zonas buvo apribotas, o formalių procedūrų, lydimų atitinkamų saugiklių, kad migrantai būtų priimti, tokiose situacijose nėra, nusprendė, kad šalis neužtikrino pareiškėjui efektyvių teisėto patekimo į šalį būdų. Atitinkamai, individualaus sprendimo priėmimas negali būti pateisintas paties pareiškėjo elgesiu. Turint omenyje tokias aplinkybes, pareiškėjo išsiuntimas jo neidentifikavus ir neįvertinus jo konkrečios situacijos pripažintas kolektyviniu išsiuntimu. Teismas pripažino Vengriją pažeidus Konvencijos 4 straipsnį, o dėl efektyvios teisinės gynybos skųsti išsiuntimą priemonės nebuvimo pripažintas ir Konvencijos 13 straipsnio, vertinant jį kartu su Konvencijos 4 straipsniu, pažeidimas.</w:t>
      </w:r>
    </w:p>
    <w:p w14:paraId="4A5018E8" w14:textId="77777777" w:rsidR="00016793" w:rsidRPr="00CC38E3" w:rsidRDefault="00016793" w:rsidP="005C5A0E">
      <w:pPr>
        <w:spacing w:after="0" w:line="240" w:lineRule="auto"/>
        <w:ind w:right="-1" w:firstLine="567"/>
        <w:rPr>
          <w:rFonts w:eastAsia="Calibri" w:cstheme="minorHAnsi"/>
        </w:rPr>
      </w:pPr>
    </w:p>
    <w:p w14:paraId="7DD86447" w14:textId="77777777" w:rsidR="00016793" w:rsidRPr="00CC38E3" w:rsidRDefault="00016793" w:rsidP="005C5A0E">
      <w:pPr>
        <w:spacing w:after="0" w:line="240" w:lineRule="auto"/>
        <w:ind w:right="-1" w:firstLine="567"/>
        <w:rPr>
          <w:rFonts w:eastAsia="Calibri" w:cstheme="minorHAnsi"/>
        </w:rPr>
      </w:pPr>
      <w:r w:rsidRPr="00CC38E3">
        <w:rPr>
          <w:rFonts w:eastAsia="Calibri" w:cstheme="minorHAnsi"/>
        </w:rPr>
        <w:t xml:space="preserve">Išvada: nustatytas Konvencijos 4 ir 13 straipsnių pažeidimas (vienbalsiai). </w:t>
      </w:r>
    </w:p>
    <w:p w14:paraId="718BFC7D" w14:textId="77777777" w:rsidR="00016793" w:rsidRPr="00CC38E3" w:rsidRDefault="00016793" w:rsidP="005C5A0E">
      <w:pPr>
        <w:spacing w:after="0" w:line="240" w:lineRule="auto"/>
        <w:ind w:right="-1" w:firstLine="567"/>
        <w:rPr>
          <w:rFonts w:eastAsia="Calibri" w:cstheme="minorHAnsi"/>
        </w:rPr>
      </w:pPr>
      <w:r w:rsidRPr="00CC38E3">
        <w:rPr>
          <w:rFonts w:eastAsia="Calibri" w:cstheme="minorHAnsi"/>
        </w:rPr>
        <w:t>41 straipsnis: pareiškėjui priteista 5 000 Eur neturtinei žalai ir 5 000 Eur patirtoms išlaidoms atlyginti.</w:t>
      </w:r>
    </w:p>
    <w:p w14:paraId="22623BA0" w14:textId="77777777" w:rsidR="00016793" w:rsidRPr="00CC38E3" w:rsidRDefault="00A1313E" w:rsidP="005C5A0E">
      <w:pPr>
        <w:spacing w:after="0" w:line="240" w:lineRule="auto"/>
        <w:ind w:right="-1" w:firstLine="567"/>
        <w:rPr>
          <w:rFonts w:eastAsia="Calibri" w:cstheme="minorHAnsi"/>
          <w:color w:val="0000FF"/>
          <w:u w:val="single"/>
        </w:rPr>
      </w:pPr>
      <w:hyperlink r:id="rId19" w:history="1">
        <w:r w:rsidR="00016793" w:rsidRPr="00CC38E3">
          <w:rPr>
            <w:rFonts w:eastAsia="Calibri" w:cstheme="minorHAnsi"/>
            <w:color w:val="0000FF"/>
            <w:u w:val="single"/>
          </w:rPr>
          <w:t>Prieiga internete</w:t>
        </w:r>
      </w:hyperlink>
    </w:p>
    <w:p w14:paraId="3D9BDBB9" w14:textId="72EC4B2F" w:rsidR="00F72540" w:rsidRPr="00CC38E3" w:rsidRDefault="00430029" w:rsidP="005C5A0E">
      <w:pPr>
        <w:pStyle w:val="Antrat1"/>
        <w:rPr>
          <w:rFonts w:eastAsia="Times New Roman" w:cstheme="minorHAnsi"/>
          <w:szCs w:val="22"/>
        </w:rPr>
      </w:pPr>
      <w:bookmarkStart w:id="34" w:name="_Toc104379834"/>
      <w:r w:rsidRPr="00CC38E3">
        <w:rPr>
          <w:rFonts w:eastAsia="Times New Roman" w:cstheme="minorHAnsi"/>
          <w:szCs w:val="22"/>
        </w:rPr>
        <w:t>DISKRIMINACIJOS UŽDRAUDIMAS (14 straipsnis)</w:t>
      </w:r>
      <w:bookmarkEnd w:id="34"/>
    </w:p>
    <w:p w14:paraId="1A3BDCEF" w14:textId="77777777" w:rsidR="003B116D" w:rsidRPr="00CC38E3" w:rsidRDefault="003B116D" w:rsidP="005C5A0E">
      <w:pPr>
        <w:spacing w:line="240" w:lineRule="auto"/>
        <w:rPr>
          <w:rFonts w:cstheme="minorHAnsi"/>
        </w:rPr>
      </w:pPr>
    </w:p>
    <w:p w14:paraId="1F491336" w14:textId="77777777" w:rsidR="00F72540" w:rsidRPr="00CC38E3" w:rsidRDefault="00F72540"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Europos Žmogaus Teisių Teismo 2021 m. spalio 26 d. sprendimas byloje</w:t>
      </w:r>
    </w:p>
    <w:p w14:paraId="5172D1A3" w14:textId="77777777" w:rsidR="00F72540" w:rsidRPr="00CC38E3" w:rsidRDefault="00F72540" w:rsidP="00A06C73">
      <w:pPr>
        <w:keepNext/>
        <w:keepLines/>
        <w:spacing w:after="0" w:line="240" w:lineRule="auto"/>
        <w:ind w:right="-1"/>
        <w:jc w:val="center"/>
        <w:outlineLvl w:val="1"/>
        <w:rPr>
          <w:rFonts w:eastAsia="Calibri" w:cstheme="minorHAnsi"/>
          <w:b/>
          <w:bCs/>
          <w:i/>
          <w:iCs/>
          <w:color w:val="2E74B5"/>
        </w:rPr>
      </w:pPr>
      <w:bookmarkStart w:id="35" w:name="_Toc104379835"/>
      <w:r w:rsidRPr="00CC38E3">
        <w:rPr>
          <w:rFonts w:eastAsia="Calibri" w:cstheme="minorHAnsi"/>
          <w:b/>
          <w:bCs/>
          <w:i/>
          <w:iCs/>
          <w:color w:val="2E74B5"/>
        </w:rPr>
        <w:t>Šaltinytė prieš Lietuvą</w:t>
      </w:r>
      <w:bookmarkEnd w:id="35"/>
    </w:p>
    <w:p w14:paraId="3CE13DF2" w14:textId="77777777" w:rsidR="00F72540" w:rsidRPr="00CC38E3" w:rsidRDefault="00F72540" w:rsidP="005C5A0E">
      <w:pPr>
        <w:shd w:val="clear" w:color="auto" w:fill="FFFFFF"/>
        <w:spacing w:after="0" w:line="240" w:lineRule="auto"/>
        <w:ind w:right="-1"/>
        <w:jc w:val="center"/>
        <w:rPr>
          <w:rFonts w:eastAsia="Times New Roman" w:cstheme="minorHAnsi"/>
          <w:b/>
        </w:rPr>
      </w:pPr>
      <w:r w:rsidRPr="00CC38E3">
        <w:rPr>
          <w:rFonts w:eastAsia="Times New Roman" w:cstheme="minorHAnsi"/>
          <w:b/>
        </w:rPr>
        <w:t xml:space="preserve">(pareiškimo Nr. </w:t>
      </w:r>
      <w:r w:rsidRPr="00CC38E3">
        <w:rPr>
          <w:rFonts w:eastAsia="Times New Roman" w:cstheme="minorHAnsi"/>
          <w:b/>
          <w:bCs/>
        </w:rPr>
        <w:t>32934/19</w:t>
      </w:r>
      <w:r w:rsidRPr="00CC38E3">
        <w:rPr>
          <w:rFonts w:cstheme="minorHAnsi"/>
          <w:b/>
        </w:rPr>
        <w:t>, svarbos lygis – 2</w:t>
      </w:r>
      <w:r w:rsidRPr="00CC38E3">
        <w:rPr>
          <w:rFonts w:eastAsia="Times New Roman" w:cstheme="minorHAnsi"/>
          <w:b/>
        </w:rPr>
        <w:t>)</w:t>
      </w:r>
    </w:p>
    <w:p w14:paraId="28123DB0" w14:textId="77777777" w:rsidR="00F72540" w:rsidRPr="00CC38E3" w:rsidRDefault="00F72540" w:rsidP="005C5A0E">
      <w:pPr>
        <w:shd w:val="clear" w:color="auto" w:fill="FFFFFF"/>
        <w:spacing w:after="0" w:line="240" w:lineRule="auto"/>
        <w:ind w:right="-1" w:firstLine="567"/>
        <w:jc w:val="center"/>
        <w:rPr>
          <w:rFonts w:eastAsia="Times New Roman" w:cstheme="minorHAnsi"/>
          <w:b/>
          <w:bCs/>
          <w:color w:val="000000"/>
        </w:rPr>
      </w:pPr>
    </w:p>
    <w:p w14:paraId="5ED55B6F" w14:textId="77777777" w:rsidR="00F72540" w:rsidRPr="00CC38E3" w:rsidRDefault="00F72540" w:rsidP="00A06C73">
      <w:pPr>
        <w:keepNext/>
        <w:keepLines/>
        <w:spacing w:after="0" w:line="240" w:lineRule="auto"/>
        <w:ind w:right="-1" w:firstLine="567"/>
        <w:outlineLvl w:val="2"/>
        <w:rPr>
          <w:rFonts w:eastAsia="Calibri" w:cstheme="minorHAnsi"/>
          <w:bCs/>
          <w:i/>
          <w:iCs/>
        </w:rPr>
      </w:pPr>
      <w:bookmarkStart w:id="36" w:name="_Toc104379836"/>
      <w:r w:rsidRPr="00CC38E3">
        <w:rPr>
          <w:rFonts w:eastAsia="Calibri" w:cstheme="minorHAnsi"/>
          <w:bCs/>
          <w:i/>
          <w:iCs/>
        </w:rPr>
        <w:t>Dėl viršutinės amžiaus ribos (35 metų) norint gauti subsidiją jaunoms šeimoms būstui įsigyti</w:t>
      </w:r>
      <w:bookmarkEnd w:id="36"/>
      <w:r w:rsidRPr="00CC38E3">
        <w:rPr>
          <w:rFonts w:eastAsia="Calibri" w:cstheme="minorHAnsi"/>
          <w:bCs/>
          <w:i/>
          <w:iCs/>
        </w:rPr>
        <w:t xml:space="preserve"> </w:t>
      </w:r>
    </w:p>
    <w:p w14:paraId="3A218AA4" w14:textId="77777777" w:rsidR="00F72540" w:rsidRPr="00CC38E3" w:rsidRDefault="00F72540" w:rsidP="005C5A0E">
      <w:pPr>
        <w:spacing w:after="0" w:line="240" w:lineRule="auto"/>
        <w:ind w:right="-1" w:firstLine="567"/>
        <w:rPr>
          <w:rFonts w:cstheme="minorHAnsi"/>
        </w:rPr>
      </w:pPr>
    </w:p>
    <w:p w14:paraId="33D07CD6" w14:textId="77777777" w:rsidR="00F72540" w:rsidRPr="00CC38E3" w:rsidRDefault="00F72540"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Faktinės aplinkybės</w:t>
      </w:r>
    </w:p>
    <w:p w14:paraId="6051ED9D" w14:textId="77777777" w:rsidR="00F72540" w:rsidRPr="00CC38E3" w:rsidRDefault="00F72540" w:rsidP="005C5A0E">
      <w:pPr>
        <w:spacing w:after="0" w:line="240" w:lineRule="auto"/>
        <w:ind w:right="-1" w:firstLine="567"/>
        <w:rPr>
          <w:rFonts w:cstheme="minorHAnsi"/>
        </w:rPr>
      </w:pPr>
    </w:p>
    <w:p w14:paraId="42159200" w14:textId="77777777" w:rsidR="00F72540" w:rsidRPr="00CC38E3" w:rsidRDefault="00F72540" w:rsidP="005C5A0E">
      <w:pPr>
        <w:spacing w:after="0" w:line="240" w:lineRule="auto"/>
        <w:ind w:firstLine="567"/>
        <w:jc w:val="both"/>
        <w:rPr>
          <w:rFonts w:cstheme="minorHAnsi"/>
        </w:rPr>
      </w:pPr>
      <w:r w:rsidRPr="00CC38E3">
        <w:rPr>
          <w:rFonts w:cstheme="minorHAnsi"/>
        </w:rPr>
        <w:t>Pareiškėja skundėsi, kad jai diskriminaciniais pagrindais (dėl amžiaus) nebuvo suteikta subsidija būstui įsigyti, taip pat, kad administraciniai teismai, tinkamai neišnagrinėję jos argumentų, nepagrįstai atsisakė kreiptis į Konstitucinį Teismą.</w:t>
      </w:r>
    </w:p>
    <w:p w14:paraId="508EEE67" w14:textId="77777777" w:rsidR="00F72540" w:rsidRPr="00CC38E3" w:rsidRDefault="00F72540" w:rsidP="005C5A0E">
      <w:pPr>
        <w:spacing w:after="0" w:line="240" w:lineRule="auto"/>
        <w:ind w:firstLine="567"/>
        <w:jc w:val="both"/>
        <w:rPr>
          <w:rFonts w:cstheme="minorHAnsi"/>
        </w:rPr>
      </w:pPr>
      <w:r w:rsidRPr="00CC38E3">
        <w:rPr>
          <w:rFonts w:cstheme="minorHAnsi"/>
        </w:rPr>
        <w:t xml:space="preserve"> 2016 m. pareiškėja Loreta Šaltinytė kreipėsi į savivaldybės įmonę „Vilniaus miesto būstas“ su prašymu pripažinti jos šeimos (pareiškėjos ir jos mažametės dukters) teisę į subsidiją valstybės iš dalies kompensuojamo būsto kredito daliai apmokėti jaunai šeimai pagal Lietuvos Respublikos paramos būstui įsigyti ar išsinuomoti įstatymo (toliau – Įstatymas) 13 straipsnio 1 dalies 2 punktą. Savivaldybės įmonė atsisakė tenkinti pareiškėjos prašymą, nes pareiškėjos šeima nepateko į Įstatymo 2 straipsnio 6 dalyje įtvirtintos jaunos šeimos sąvoką, kadangi pareiškėja buvo vyresnė kaip 35 metų (pareiškėjai paraiškos teikimo metu buvo 37 metai), todėl pagal minėtą Įstatymą teisės į valstybės subsidiją būstui įsigyti jos šeima neturėjo. Pareiškėja apskundė savivaldybės įmonės sprendimą Lietuvos administraciniams teismams, nes, jos manymu, ji buvo diskriminuojama dėl amžiaus. Pareiškėja taip pat prašė administracinių teismų kreiptis į Konstitucinį Teismą su prašymu ištirti, ar skirtingas asmenų vertinimas amžiaus pagrindu neprieštarauja Konstitucijai. Administraciniai teismai atmetė pareiškėjos skundą, nes, jų vertinimu, valstybė turi diskreciją pasirinkti, kurios asmenų grupės turi teisę į subsidiją, ir pareiškėja nepateikė teisiškai pagrįstų argumentų šiuo požiūriu. Teismai taip pat netenkino pareiškėjos prašymo kreiptis į Konstitucinį Teismą.</w:t>
      </w:r>
    </w:p>
    <w:p w14:paraId="165CCE8C" w14:textId="77777777" w:rsidR="00F72540" w:rsidRPr="00CC38E3" w:rsidRDefault="00F72540" w:rsidP="005C5A0E">
      <w:pPr>
        <w:spacing w:after="0" w:line="240" w:lineRule="auto"/>
        <w:ind w:right="-1" w:firstLine="567"/>
        <w:jc w:val="both"/>
        <w:rPr>
          <w:rFonts w:cstheme="minorHAnsi"/>
        </w:rPr>
      </w:pPr>
    </w:p>
    <w:p w14:paraId="016C7E45" w14:textId="77777777" w:rsidR="00F72540" w:rsidRPr="00CC38E3" w:rsidRDefault="00F72540" w:rsidP="005C5A0E">
      <w:pPr>
        <w:shd w:val="clear" w:color="auto" w:fill="FFFFFF"/>
        <w:spacing w:after="0" w:line="240" w:lineRule="auto"/>
        <w:jc w:val="center"/>
        <w:rPr>
          <w:rFonts w:eastAsia="Times New Roman" w:cstheme="minorHAnsi"/>
          <w:b/>
          <w:bCs/>
          <w:color w:val="000000"/>
        </w:rPr>
      </w:pPr>
      <w:r w:rsidRPr="00CC38E3">
        <w:rPr>
          <w:rFonts w:eastAsia="Times New Roman" w:cstheme="minorHAnsi"/>
          <w:b/>
          <w:bCs/>
          <w:color w:val="000000"/>
        </w:rPr>
        <w:t>Neoficiali Teismo sprendimo apžvalga</w:t>
      </w:r>
    </w:p>
    <w:p w14:paraId="3A34D364" w14:textId="77777777" w:rsidR="00F72540" w:rsidRPr="00CC38E3" w:rsidRDefault="00F72540" w:rsidP="005C5A0E">
      <w:pPr>
        <w:spacing w:after="0" w:line="240" w:lineRule="auto"/>
        <w:ind w:firstLine="567"/>
        <w:jc w:val="both"/>
        <w:rPr>
          <w:rFonts w:cstheme="minorHAnsi"/>
        </w:rPr>
      </w:pPr>
    </w:p>
    <w:p w14:paraId="179E7142" w14:textId="0704D347" w:rsidR="00F72540" w:rsidRPr="00CC38E3" w:rsidRDefault="00F72540" w:rsidP="005C5A0E">
      <w:pPr>
        <w:spacing w:after="0" w:line="240" w:lineRule="auto"/>
        <w:ind w:firstLine="567"/>
        <w:jc w:val="both"/>
        <w:rPr>
          <w:rFonts w:cstheme="minorHAnsi"/>
        </w:rPr>
      </w:pPr>
      <w:r w:rsidRPr="00CC38E3">
        <w:rPr>
          <w:rFonts w:cstheme="minorHAnsi"/>
        </w:rPr>
        <w:t>Teismas pakartojo, kad Konvencijos Pirmojo protokolo 1 straipsnis neriboja Susitariančios Valstybės laisvės nuspręsti ar nustatyti tam tikros formos socialinės apsaugos sistemą, ar pasirinkti pagal tam tikrą sistemą teikiamą išmokų dydį ar rūšį. Tačiau jeigu Susitariančio</w:t>
      </w:r>
      <w:r w:rsidR="005123AF">
        <w:rPr>
          <w:rFonts w:cstheme="minorHAnsi"/>
        </w:rPr>
        <w:t>jo</w:t>
      </w:r>
      <w:r w:rsidRPr="00CC38E3">
        <w:rPr>
          <w:rFonts w:cstheme="minorHAnsi"/>
        </w:rPr>
        <w:t>je Valstybėje galioja teisės aktai, numatantys teisę į socialinės išmokos mokėjimą, šie teisės aktai turi būti laikomi sukuriančiais nuosavybės teisę, kuri patenka į Pirmojo protokolo 1 straipsnio taikymo sritį asmenims, kurie tenkina socialinės išmokos skyrimo reikalavimus.</w:t>
      </w:r>
    </w:p>
    <w:p w14:paraId="346BAC52" w14:textId="2F054E6D" w:rsidR="00F72540" w:rsidRPr="00CC38E3" w:rsidRDefault="00F72540" w:rsidP="005C5A0E">
      <w:pPr>
        <w:spacing w:after="0" w:line="240" w:lineRule="auto"/>
        <w:ind w:firstLine="567"/>
        <w:jc w:val="both"/>
        <w:rPr>
          <w:rFonts w:cstheme="minorHAnsi"/>
        </w:rPr>
      </w:pPr>
      <w:r w:rsidRPr="00CC38E3">
        <w:rPr>
          <w:rFonts w:cstheme="minorHAnsi"/>
        </w:rPr>
        <w:t>Be to, bylose, kuriose pareiškėj</w:t>
      </w:r>
      <w:r w:rsidR="00FB434B" w:rsidRPr="00CC38E3">
        <w:rPr>
          <w:rFonts w:cstheme="minorHAnsi"/>
        </w:rPr>
        <w:t>ams</w:t>
      </w:r>
      <w:r w:rsidRPr="00CC38E3">
        <w:rPr>
          <w:rFonts w:cstheme="minorHAnsi"/>
        </w:rPr>
        <w:t xml:space="preserve"> buvo atsisakyta suteikti visą ar dalį tam tikros išmokos dėl diskriminacinės priežasties, patenkančios į Konvencijos 14 straipsnio taikymo sritį, svarbus kriterijus yra tai, ar, išskyrus teisės į socialinę išmoką sąlygą, dėl kurios skundžiasi pareiškėjas, jis ar ji turėtų teisę, įgyvendinamą pagal vidaus teisę, gauti atitinkamą išmoką. Nors Pirmojo protokolo 1 straipsnis neapima teisės gauti bet kokios </w:t>
      </w:r>
      <w:r w:rsidRPr="00CC38E3">
        <w:rPr>
          <w:rFonts w:cstheme="minorHAnsi"/>
        </w:rPr>
        <w:lastRenderedPageBreak/>
        <w:t>rūšies socialinės apsaugos išmoką, jei valstybė nusprendžia sukurti socialinės apsaugos sistemą, ji turi daryti taip, kad tokia sistema būtų suderinama su Konvencijos 14 straipsniu.</w:t>
      </w:r>
    </w:p>
    <w:p w14:paraId="1BD89326" w14:textId="4A6BF6F1" w:rsidR="00F72540" w:rsidRPr="00CC38E3" w:rsidRDefault="00F72540" w:rsidP="005C5A0E">
      <w:pPr>
        <w:spacing w:after="0" w:line="240" w:lineRule="auto"/>
        <w:ind w:firstLine="567"/>
        <w:jc w:val="both"/>
        <w:rPr>
          <w:rFonts w:cstheme="minorHAnsi"/>
        </w:rPr>
      </w:pPr>
      <w:r w:rsidRPr="00CC38E3">
        <w:rPr>
          <w:rFonts w:cstheme="minorHAnsi"/>
        </w:rPr>
        <w:t>Atsižvelgdamas į pareiškėjos argumentą, kad visi tėvai, nepaisant jų amžiaus, augindami mažus vaikus gali turėti panašių poreikių, T</w:t>
      </w:r>
      <w:r w:rsidR="00FB434B" w:rsidRPr="00CC38E3">
        <w:rPr>
          <w:rFonts w:cstheme="minorHAnsi"/>
        </w:rPr>
        <w:t>eismas</w:t>
      </w:r>
      <w:r w:rsidRPr="00CC38E3">
        <w:rPr>
          <w:rFonts w:cstheme="minorHAnsi"/>
        </w:rPr>
        <w:t xml:space="preserve"> nustatė, kad pareiškėja buvo panašioje situacijoje palyginti su jaunesne motina, viena auginančia vieną ar daugiau vaikų, kuriai tokiomis pačiomis aplinkybėmis greičiausiai būtų suteikta aptariama valstybės subsidija būstui įsigyti. </w:t>
      </w:r>
      <w:r w:rsidR="00C16B95" w:rsidRPr="00CC38E3">
        <w:rPr>
          <w:rFonts w:cstheme="minorHAnsi"/>
        </w:rPr>
        <w:t>Pažymėta, kad į</w:t>
      </w:r>
      <w:r w:rsidRPr="00CC38E3">
        <w:rPr>
          <w:rFonts w:cstheme="minorHAnsi"/>
        </w:rPr>
        <w:t xml:space="preserve">statyme buvo numatytos skirtingos paramos būstui rūšys ir kitos įvairios socialinės išmokos, kuriomis galėjo naudotis tėvai ir šeimos. Kai kurios iš jų prieinamos labai mažas pajamas gaunantiems asmenims, nepaisant jų amžiaus ar kitų asmeninių aplinkybių. Kitos </w:t>
      </w:r>
      <w:r w:rsidR="00C16B95" w:rsidRPr="00CC38E3">
        <w:rPr>
          <w:rFonts w:cstheme="minorHAnsi"/>
        </w:rPr>
        <w:t xml:space="preserve">– </w:t>
      </w:r>
      <w:r w:rsidRPr="00CC38E3">
        <w:rPr>
          <w:rFonts w:cstheme="minorHAnsi"/>
        </w:rPr>
        <w:t>prieinamos asmenims, gaunantiems šiek tiek didesnes pajamas, tačiau vertinama, kad jiems reikia pagalbos būstui dėl jų asmeninių aplinkybių, tokių kaip negalia ar šeim</w:t>
      </w:r>
      <w:r w:rsidR="00C16B95" w:rsidRPr="00CC38E3">
        <w:rPr>
          <w:rFonts w:cstheme="minorHAnsi"/>
        </w:rPr>
        <w:t>inė</w:t>
      </w:r>
      <w:r w:rsidRPr="00CC38E3">
        <w:rPr>
          <w:rFonts w:cstheme="minorHAnsi"/>
        </w:rPr>
        <w:t xml:space="preserve"> padėtis. Nagrinėjama būsto subsidija jaunoms šeimoms patenka į pastarąją kategoriją. Byloje Teismui nebuvo pagrindo konstatuoti, kad pareiškėja buvo palikta be galimybės gauti socialinę išmoką, jei ji jos pareikalautų. </w:t>
      </w:r>
    </w:p>
    <w:p w14:paraId="5E91D592" w14:textId="69F5B730" w:rsidR="00F72540" w:rsidRPr="00CC38E3" w:rsidRDefault="00F72540" w:rsidP="005C5A0E">
      <w:pPr>
        <w:spacing w:after="0" w:line="240" w:lineRule="auto"/>
        <w:ind w:firstLine="567"/>
        <w:jc w:val="both"/>
        <w:rPr>
          <w:rFonts w:cstheme="minorHAnsi"/>
        </w:rPr>
      </w:pPr>
      <w:r w:rsidRPr="00CC38E3">
        <w:rPr>
          <w:rFonts w:cstheme="minorHAnsi"/>
        </w:rPr>
        <w:t>Teismas įvertino, kad ginčo subsidija buvo siekiama teisėto viešojo intereso tikslo – skirdamos subsidiją jaunesnio amžiaus žmonėms</w:t>
      </w:r>
      <w:r w:rsidR="00C16B95" w:rsidRPr="00CC38E3">
        <w:rPr>
          <w:rFonts w:cstheme="minorHAnsi"/>
        </w:rPr>
        <w:t>,</w:t>
      </w:r>
      <w:r w:rsidRPr="00CC38E3">
        <w:rPr>
          <w:rFonts w:cstheme="minorHAnsi"/>
        </w:rPr>
        <w:t xml:space="preserve"> nacionalinės valdžios institucijos siekė paskatinti juos turėti daugiau vaikų ir taip kompensuoti dėl emigracijos ir mažo gimstamumo sukeltą gyventojų skaičiaus mažėjimą. </w:t>
      </w:r>
    </w:p>
    <w:p w14:paraId="1BBB27CB" w14:textId="1C6B9B05" w:rsidR="00F72540" w:rsidRPr="00CC38E3" w:rsidRDefault="00F72540" w:rsidP="005C5A0E">
      <w:pPr>
        <w:spacing w:after="0" w:line="240" w:lineRule="auto"/>
        <w:ind w:firstLine="567"/>
        <w:jc w:val="both"/>
        <w:rPr>
          <w:rFonts w:cstheme="minorHAnsi"/>
        </w:rPr>
      </w:pPr>
      <w:r w:rsidRPr="00CC38E3">
        <w:rPr>
          <w:rFonts w:cstheme="minorHAnsi"/>
        </w:rPr>
        <w:t>T</w:t>
      </w:r>
      <w:r w:rsidR="00C16B95" w:rsidRPr="00CC38E3">
        <w:rPr>
          <w:rFonts w:cstheme="minorHAnsi"/>
        </w:rPr>
        <w:t>eismas</w:t>
      </w:r>
      <w:r w:rsidRPr="00CC38E3">
        <w:rPr>
          <w:rFonts w:cstheme="minorHAnsi"/>
        </w:rPr>
        <w:t xml:space="preserve"> pažymėjo, kad vertinant nacionalinių valdžios institucijų pasirinkimų socialinės apsaugos ir gerovės srityje proporcingumą, negalima nepaisyti specifinio nacionalinio konteksto. Nuo 1990-ųjų buvo stebimas nuolatinis Lietuvos gyventojų mažėjimas, kurį daugiausiai lėmė didelis emigracijos lygis (ypatingai jaunimo) ir mažas gimstamumas. Mažėjantis vaikų skaičius ir gyventojų senėjimas sukėlė pagrįstą susirūpinimą nacionalinės valdžios institucijoms, kurios turėjo ieškoti būdų, kaip pakeisti demografines tendencijas, pasitelkiant įvairias jų kompetencijai priskirtas priemones. Nors pareiškėja to neneigė, jos teigimu, amžius negali būti teisėtai naudojamas kaip vienintelis kriterijus, nustatant teisę gauti aptariamą subsidiją būstui įsigyti. </w:t>
      </w:r>
    </w:p>
    <w:p w14:paraId="75F263D8" w14:textId="6B1F9866" w:rsidR="00F72540" w:rsidRPr="00CC38E3" w:rsidRDefault="00F72540" w:rsidP="005C5A0E">
      <w:pPr>
        <w:spacing w:after="0" w:line="240" w:lineRule="auto"/>
        <w:ind w:firstLine="567"/>
        <w:jc w:val="both"/>
        <w:rPr>
          <w:rFonts w:cstheme="minorHAnsi"/>
        </w:rPr>
      </w:pPr>
      <w:r w:rsidRPr="00CC38E3">
        <w:rPr>
          <w:rFonts w:cstheme="minorHAnsi"/>
        </w:rPr>
        <w:t xml:space="preserve"> Teismas pripažino pagrįstu pareiškėjos argumentą, kad visi tėvai, auginantys mažus vaikus, gali turėti panašius socialinės paramos poreikius, nepaisant jų amžiaus. Tačiau Teismas atkreipė dėmesį į sudėtingą užduotį, su kuria susiduria nacionalinės valdžios institucijos, skirdamos ribotus finansinius išteklius, ir būtinybę nustatyti tam tikras teisės gauti konkrečias socialines išmokas priimtinumo ribas. T</w:t>
      </w:r>
      <w:r w:rsidR="00C16B95" w:rsidRPr="00CC38E3">
        <w:rPr>
          <w:rFonts w:cstheme="minorHAnsi"/>
        </w:rPr>
        <w:t>eismo</w:t>
      </w:r>
      <w:r w:rsidRPr="00CC38E3">
        <w:rPr>
          <w:rFonts w:cstheme="minorHAnsi"/>
        </w:rPr>
        <w:t xml:space="preserve"> vertinimu, nacionalinės valdžios institucijos gali geriau nei tarptautinis teismas įvertinti prioritetus skirstant ribotus valstybės išteklius. Valstybės turi plačią vertin</w:t>
      </w:r>
      <w:r w:rsidR="00C16B95" w:rsidRPr="00CC38E3">
        <w:rPr>
          <w:rFonts w:cstheme="minorHAnsi"/>
        </w:rPr>
        <w:t>im</w:t>
      </w:r>
      <w:r w:rsidRPr="00CC38E3">
        <w:rPr>
          <w:rFonts w:cstheme="minorHAnsi"/>
        </w:rPr>
        <w:t>o laisvę, kai kalbama apie bendrąsias ekonominės ar socialinės strategijos priemones, o Teismas gerbia įstatymų leidėjo pasirinkimą, jei jis yra pagrįstas ir tinkamas siekiamam teisėtam tikslui.</w:t>
      </w:r>
    </w:p>
    <w:p w14:paraId="6EED5226" w14:textId="6A5DC12B" w:rsidR="00F72540" w:rsidRPr="00CC38E3" w:rsidRDefault="00F72540" w:rsidP="005C5A0E">
      <w:pPr>
        <w:spacing w:after="0" w:line="240" w:lineRule="auto"/>
        <w:ind w:firstLine="567"/>
        <w:jc w:val="both"/>
        <w:rPr>
          <w:rFonts w:cstheme="minorHAnsi"/>
        </w:rPr>
      </w:pPr>
      <w:r w:rsidRPr="00CC38E3">
        <w:rPr>
          <w:rFonts w:cstheme="minorHAnsi"/>
        </w:rPr>
        <w:t xml:space="preserve"> T</w:t>
      </w:r>
      <w:r w:rsidR="00C16B95" w:rsidRPr="00CC38E3">
        <w:rPr>
          <w:rFonts w:cstheme="minorHAnsi"/>
        </w:rPr>
        <w:t>eismas</w:t>
      </w:r>
      <w:r w:rsidRPr="00CC38E3">
        <w:rPr>
          <w:rFonts w:cstheme="minorHAnsi"/>
        </w:rPr>
        <w:t xml:space="preserve"> atsižvelgė į Vyriausybės pateiktą informaciją apie įvairių Susitariančių</w:t>
      </w:r>
      <w:r w:rsidR="005123AF">
        <w:rPr>
          <w:rFonts w:cstheme="minorHAnsi"/>
        </w:rPr>
        <w:t>jų</w:t>
      </w:r>
      <w:r w:rsidR="00CC3A09">
        <w:rPr>
          <w:rFonts w:cstheme="minorHAnsi"/>
        </w:rPr>
        <w:t xml:space="preserve"> </w:t>
      </w:r>
      <w:r w:rsidRPr="00CC38E3">
        <w:rPr>
          <w:rFonts w:cstheme="minorHAnsi"/>
        </w:rPr>
        <w:t>Valstybių sutarimo nebuvimą sprendžiant, ar apskritai skirti paramą būstui įsigyti, o kai kuriais atvejais nustatant viršutines gavėjų amžiaus ribas. T</w:t>
      </w:r>
      <w:r w:rsidR="00273F4D" w:rsidRPr="00CC38E3">
        <w:rPr>
          <w:rFonts w:cstheme="minorHAnsi"/>
        </w:rPr>
        <w:t>eismo</w:t>
      </w:r>
      <w:r w:rsidRPr="00CC38E3">
        <w:rPr>
          <w:rFonts w:cstheme="minorHAnsi"/>
        </w:rPr>
        <w:t xml:space="preserve"> vertinimu, Lietuvos įstatymų leidėjo sprendimas teikti papildomą socialinę paramą jaunoms šeimoms pats savaime negali būti vertinamas kaip akivaizdžiai nepagrįstas, atsižvelgiant į tai, kad jaunų žmonių turtinė padėtis yra svarbus veiksnys, turintis įtakos jų sprendimams dėl emigracijos ir ar / kada turėti vaikų. </w:t>
      </w:r>
    </w:p>
    <w:p w14:paraId="21755F3D" w14:textId="21DEF648" w:rsidR="00F72540" w:rsidRPr="00CC38E3" w:rsidRDefault="00F72540" w:rsidP="005C5A0E">
      <w:pPr>
        <w:spacing w:after="0" w:line="240" w:lineRule="auto"/>
        <w:ind w:firstLine="567"/>
        <w:jc w:val="both"/>
        <w:rPr>
          <w:rFonts w:cstheme="minorHAnsi"/>
        </w:rPr>
      </w:pPr>
      <w:r w:rsidRPr="00CC38E3">
        <w:rPr>
          <w:rFonts w:cstheme="minorHAnsi"/>
        </w:rPr>
        <w:t>Teismas atsižvelgė į Vyriausybė</w:t>
      </w:r>
      <w:r w:rsidR="00273F4D" w:rsidRPr="00CC38E3">
        <w:rPr>
          <w:rFonts w:cstheme="minorHAnsi"/>
        </w:rPr>
        <w:t>s</w:t>
      </w:r>
      <w:r w:rsidRPr="00CC38E3">
        <w:rPr>
          <w:rFonts w:cstheme="minorHAnsi"/>
        </w:rPr>
        <w:t xml:space="preserve"> pateiktą statistiką, rodančią, kad Lietuvos gyventojai vidutiniškai tuokiasi, susilaukia pirmagimio ir gauna būsto paskolą nuo 28 iki 35 metų. Taigi 35 metų subsidijos būstui įsigyti riba buvo pagrįstai paremta objektyviais duomenimis, o ne bendromis prielaidomis ar dominuojančiomis socialinėmis nuostatomis, kaip teigė pareiškėja. Galiausiai, atsižvelgiant į naujesnius duomenis, ši amžiaus riba buvo patikslinta iki 36 metų. Iš tiesų yra svarbu, kad teisinis reguliavimas, net jei juo būtų siekiama skatinti jaunesnio amžiaus žmones susilaukti vaikų, tinkamai atspindėtų realią šalies demografinę situaciją. </w:t>
      </w:r>
    </w:p>
    <w:p w14:paraId="2ED35C23" w14:textId="6E9853FB" w:rsidR="00F72540" w:rsidRPr="00CC38E3" w:rsidRDefault="00F72540" w:rsidP="005C5A0E">
      <w:pPr>
        <w:spacing w:after="0" w:line="240" w:lineRule="auto"/>
        <w:ind w:firstLine="567"/>
        <w:jc w:val="both"/>
        <w:rPr>
          <w:rFonts w:cstheme="minorHAnsi"/>
        </w:rPr>
      </w:pPr>
      <w:r w:rsidRPr="00CC38E3">
        <w:rPr>
          <w:rFonts w:cstheme="minorHAnsi"/>
        </w:rPr>
        <w:t>T</w:t>
      </w:r>
      <w:r w:rsidR="00273F4D" w:rsidRPr="00CC38E3">
        <w:rPr>
          <w:rFonts w:cstheme="minorHAnsi"/>
        </w:rPr>
        <w:t>eismas</w:t>
      </w:r>
      <w:r w:rsidRPr="00CC38E3">
        <w:rPr>
          <w:rFonts w:cstheme="minorHAnsi"/>
        </w:rPr>
        <w:t xml:space="preserve"> padarė išvadą, kad </w:t>
      </w:r>
      <w:r w:rsidRPr="00CC38E3">
        <w:rPr>
          <w:rFonts w:cstheme="minorHAnsi"/>
          <w:u w:val="single"/>
        </w:rPr>
        <w:t>valstybė, nustatydama amžiaus ribas konkrečioms išmokoms, turi plačią vertinimo laisvę ir, atsižvelgiant į pareiškėjos bylos aplinkybes, Lietuva neperžengė vertinimo laisvės ribų. Todėl skirtingas elgesys buvo pateisinamas</w:t>
      </w:r>
      <w:r w:rsidR="00273F4D" w:rsidRPr="00CC38E3">
        <w:rPr>
          <w:rFonts w:cstheme="minorHAnsi"/>
          <w:u w:val="single"/>
        </w:rPr>
        <w:t>,</w:t>
      </w:r>
      <w:r w:rsidRPr="00CC38E3">
        <w:rPr>
          <w:rFonts w:cstheme="minorHAnsi"/>
          <w:u w:val="single"/>
        </w:rPr>
        <w:t xml:space="preserve"> ir Teismas nenustatė Konvencijos 14 straipsnio, taikomo kartu su Konvencijos Pirmojo protokolo 1 straipsniu, pažeidimo</w:t>
      </w:r>
      <w:r w:rsidRPr="00CC38E3">
        <w:rPr>
          <w:rFonts w:cstheme="minorHAnsi"/>
        </w:rPr>
        <w:t>.</w:t>
      </w:r>
    </w:p>
    <w:p w14:paraId="7D826E4C" w14:textId="76ED0A19" w:rsidR="00F72540" w:rsidRPr="00CC38E3" w:rsidRDefault="00F72540" w:rsidP="005C5A0E">
      <w:pPr>
        <w:spacing w:after="0" w:line="240" w:lineRule="auto"/>
        <w:ind w:firstLine="567"/>
        <w:jc w:val="both"/>
        <w:rPr>
          <w:rFonts w:cstheme="minorHAnsi"/>
        </w:rPr>
      </w:pPr>
      <w:r w:rsidRPr="00CC38E3">
        <w:rPr>
          <w:rFonts w:cstheme="minorHAnsi"/>
        </w:rPr>
        <w:t xml:space="preserve"> Teismas, vertindamas pareiškėjos argumentus dėl Konvencijos 6 straipsnio 1 dalies pažeidimo, nacionaliniams teismams atsisakius kreiptis į Konstitucinį Teismą, nustatė, kad Lietuvos vyriausiasis administracinis teismas padarė daug nuorodų į atitinkamą Konstitucinio Teismo praktiką, išnagrinėjo pareiškėjos skundą, atsižvelgdamas į Konstitucinio Teismo doktrinoje suformuluotus principus, ir pateikė išsamius argumentus dėl pareiškėjos prašymo atmetimo. Teismo vertinimu, minėti nacionalinio teismo motyvai buvo pakankami atskleisti, kad pareiškėjos argumentai buvo išklausyti, ir sudarė pagrindą jai suprasti, </w:t>
      </w:r>
      <w:r w:rsidRPr="00CC38E3">
        <w:rPr>
          <w:rFonts w:cstheme="minorHAnsi"/>
        </w:rPr>
        <w:lastRenderedPageBreak/>
        <w:t>dėl kokių priežasčių prašymas perduoti klausimą Konstituciniam Teismui buvo atmestas. Todėl T</w:t>
      </w:r>
      <w:r w:rsidR="00273F4D" w:rsidRPr="00CC38E3">
        <w:rPr>
          <w:rFonts w:cstheme="minorHAnsi"/>
        </w:rPr>
        <w:t>eismas</w:t>
      </w:r>
      <w:r w:rsidRPr="00CC38E3">
        <w:rPr>
          <w:rFonts w:cstheme="minorHAnsi"/>
        </w:rPr>
        <w:t xml:space="preserve"> Konvencijos 6 straipsnio 1 dalies pažeidimo nenustatė.</w:t>
      </w:r>
    </w:p>
    <w:p w14:paraId="0FCE53AC" w14:textId="77777777" w:rsidR="00F72540" w:rsidRPr="00CC38E3" w:rsidRDefault="00F72540" w:rsidP="005C5A0E">
      <w:pPr>
        <w:spacing w:after="0" w:line="240" w:lineRule="auto"/>
        <w:ind w:right="-1" w:firstLine="567"/>
        <w:jc w:val="both"/>
        <w:rPr>
          <w:rFonts w:cstheme="minorHAnsi"/>
        </w:rPr>
      </w:pPr>
    </w:p>
    <w:p w14:paraId="796C9CE9" w14:textId="77777777" w:rsidR="00F72540" w:rsidRPr="00CC38E3" w:rsidRDefault="00F72540" w:rsidP="005C5A0E">
      <w:pPr>
        <w:spacing w:after="0" w:line="240" w:lineRule="auto"/>
        <w:ind w:right="-1" w:firstLine="567"/>
        <w:jc w:val="both"/>
        <w:rPr>
          <w:rFonts w:cstheme="minorHAnsi"/>
        </w:rPr>
      </w:pPr>
      <w:r w:rsidRPr="00CC38E3">
        <w:rPr>
          <w:rFonts w:cstheme="minorHAnsi"/>
        </w:rPr>
        <w:t>Išvada: Konvencijos 14 straipsnio kartu su Pirmojo protokolo 1 straipsniu pažeidimas nenustatytas (vienbalsiai).</w:t>
      </w:r>
    </w:p>
    <w:p w14:paraId="56CC9606" w14:textId="77777777" w:rsidR="00F72540" w:rsidRPr="00CC38E3" w:rsidRDefault="00F72540" w:rsidP="005C5A0E">
      <w:pPr>
        <w:spacing w:after="0" w:line="240" w:lineRule="auto"/>
        <w:ind w:right="-1" w:firstLine="567"/>
        <w:jc w:val="both"/>
        <w:rPr>
          <w:rFonts w:cstheme="minorHAnsi"/>
        </w:rPr>
      </w:pPr>
      <w:r w:rsidRPr="00CC38E3">
        <w:rPr>
          <w:rFonts w:cstheme="minorHAnsi"/>
        </w:rPr>
        <w:t>Konvencijos 6 straipsnio 1 dalies pažeidimas nenustatytas (vienbalsiai).</w:t>
      </w:r>
    </w:p>
    <w:p w14:paraId="01A435EE" w14:textId="77777777" w:rsidR="00F72540" w:rsidRPr="00CC38E3" w:rsidRDefault="00A1313E" w:rsidP="005C5A0E">
      <w:pPr>
        <w:spacing w:after="0" w:line="240" w:lineRule="auto"/>
        <w:ind w:right="-1" w:firstLine="567"/>
        <w:jc w:val="both"/>
        <w:rPr>
          <w:rFonts w:cstheme="minorHAnsi"/>
        </w:rPr>
      </w:pPr>
      <w:hyperlink r:id="rId20" w:history="1">
        <w:r w:rsidR="00F72540" w:rsidRPr="00CC38E3">
          <w:rPr>
            <w:rStyle w:val="Hipersaitas"/>
            <w:rFonts w:cstheme="minorHAnsi"/>
          </w:rPr>
          <w:t>Prieiga internete</w:t>
        </w:r>
      </w:hyperlink>
    </w:p>
    <w:p w14:paraId="7F843C93" w14:textId="0F14E285" w:rsidR="00814DD5" w:rsidRPr="00CC38E3" w:rsidRDefault="00814DD5" w:rsidP="005C5A0E">
      <w:pPr>
        <w:pStyle w:val="prastasiniatinklio"/>
        <w:shd w:val="clear" w:color="auto" w:fill="FFFFFF"/>
        <w:spacing w:before="0" w:beforeAutospacing="0" w:after="0" w:afterAutospacing="0"/>
        <w:ind w:firstLine="567"/>
        <w:jc w:val="both"/>
        <w:rPr>
          <w:rStyle w:val="Hipersaitas"/>
          <w:rFonts w:asciiTheme="minorHAnsi" w:hAnsiTheme="minorHAnsi" w:cstheme="minorHAnsi"/>
          <w:sz w:val="22"/>
          <w:szCs w:val="22"/>
        </w:rPr>
      </w:pPr>
    </w:p>
    <w:p w14:paraId="2F42B965" w14:textId="3F3E7239" w:rsidR="00814DD5" w:rsidRPr="00CC38E3" w:rsidRDefault="00814DD5" w:rsidP="00A06C73">
      <w:pPr>
        <w:pStyle w:val="Antrat1"/>
        <w:rPr>
          <w:rFonts w:cstheme="minorHAnsi"/>
          <w:szCs w:val="22"/>
        </w:rPr>
      </w:pPr>
      <w:bookmarkStart w:id="37" w:name="_Toc104379837"/>
      <w:r w:rsidRPr="00CC38E3">
        <w:rPr>
          <w:rFonts w:cstheme="minorHAnsi"/>
          <w:szCs w:val="22"/>
        </w:rPr>
        <w:t>NUOSAVYBĖS APSAUGA (Pirmojo protokolo 1 straipsnis)</w:t>
      </w:r>
      <w:bookmarkEnd w:id="37"/>
    </w:p>
    <w:p w14:paraId="59B0D3F1" w14:textId="72D93301" w:rsidR="00814DD5" w:rsidRPr="00CC38E3" w:rsidRDefault="00814DD5" w:rsidP="005C5A0E">
      <w:pPr>
        <w:pStyle w:val="prastasiniatinklio"/>
        <w:shd w:val="clear" w:color="auto" w:fill="FFFFFF"/>
        <w:spacing w:before="0" w:beforeAutospacing="0" w:after="0" w:afterAutospacing="0"/>
        <w:ind w:firstLine="567"/>
        <w:jc w:val="center"/>
        <w:rPr>
          <w:rFonts w:asciiTheme="minorHAnsi" w:hAnsiTheme="minorHAnsi" w:cstheme="minorHAnsi"/>
          <w:b/>
          <w:color w:val="323E4F" w:themeColor="text2" w:themeShade="BF"/>
          <w:sz w:val="22"/>
          <w:szCs w:val="22"/>
          <w:lang w:eastAsia="en-US"/>
        </w:rPr>
      </w:pPr>
    </w:p>
    <w:p w14:paraId="1A37CCE0" w14:textId="721C1A93" w:rsidR="00814DD5" w:rsidRPr="00CC38E3" w:rsidRDefault="00814DD5" w:rsidP="005C5A0E">
      <w:pPr>
        <w:shd w:val="clear" w:color="auto" w:fill="FFFFFF"/>
        <w:spacing w:after="0" w:line="240" w:lineRule="auto"/>
        <w:jc w:val="center"/>
        <w:rPr>
          <w:rFonts w:eastAsia="Times New Roman" w:cstheme="minorHAnsi"/>
          <w:b/>
        </w:rPr>
      </w:pPr>
      <w:r w:rsidRPr="00CC38E3">
        <w:rPr>
          <w:rFonts w:eastAsia="Times New Roman" w:cstheme="minorHAnsi"/>
          <w:b/>
        </w:rPr>
        <w:t xml:space="preserve">Europos Žmogaus Teisių Teismo 2021 m. </w:t>
      </w:r>
      <w:r w:rsidR="006602CC" w:rsidRPr="00CC38E3">
        <w:rPr>
          <w:rFonts w:eastAsia="Times New Roman" w:cstheme="minorHAnsi"/>
          <w:b/>
        </w:rPr>
        <w:t xml:space="preserve">rugsėjo 21 </w:t>
      </w:r>
      <w:r w:rsidRPr="00CC38E3">
        <w:rPr>
          <w:rFonts w:eastAsia="Times New Roman" w:cstheme="minorHAnsi"/>
          <w:b/>
        </w:rPr>
        <w:t>d. sprendimas byloje</w:t>
      </w:r>
    </w:p>
    <w:p w14:paraId="37A685D6" w14:textId="6A43282D" w:rsidR="00DB6523" w:rsidRPr="00CC38E3" w:rsidRDefault="00DB6523" w:rsidP="00A06C73">
      <w:pPr>
        <w:keepNext/>
        <w:keepLines/>
        <w:spacing w:after="0" w:line="240" w:lineRule="auto"/>
        <w:ind w:right="-1"/>
        <w:jc w:val="center"/>
        <w:outlineLvl w:val="1"/>
        <w:rPr>
          <w:rFonts w:eastAsia="Calibri" w:cstheme="minorHAnsi"/>
          <w:b/>
          <w:bCs/>
          <w:i/>
          <w:iCs/>
          <w:color w:val="2E74B5"/>
        </w:rPr>
      </w:pPr>
      <w:bookmarkStart w:id="38" w:name="_Toc104379838"/>
      <w:r w:rsidRPr="00CC38E3">
        <w:rPr>
          <w:rFonts w:eastAsia="Calibri" w:cstheme="minorHAnsi"/>
          <w:b/>
          <w:bCs/>
          <w:i/>
          <w:iCs/>
          <w:color w:val="2E74B5"/>
        </w:rPr>
        <w:t>Aliyeva ir kiti prieš Azerbaidžaną</w:t>
      </w:r>
      <w:bookmarkEnd w:id="38"/>
    </w:p>
    <w:p w14:paraId="568D6533" w14:textId="500A5688" w:rsidR="00814DD5" w:rsidRPr="00CC38E3" w:rsidRDefault="00814DD5" w:rsidP="005C5A0E">
      <w:pPr>
        <w:spacing w:after="0" w:line="240" w:lineRule="auto"/>
        <w:jc w:val="center"/>
        <w:rPr>
          <w:rFonts w:eastAsia="Times New Roman" w:cstheme="minorHAnsi"/>
          <w:b/>
        </w:rPr>
      </w:pPr>
      <w:r w:rsidRPr="00CC38E3">
        <w:rPr>
          <w:rFonts w:eastAsia="Times New Roman" w:cstheme="minorHAnsi"/>
          <w:b/>
        </w:rPr>
        <w:t xml:space="preserve">(pareiškimo Nr. </w:t>
      </w:r>
      <w:r w:rsidR="00DB6523" w:rsidRPr="00CC38E3">
        <w:rPr>
          <w:rFonts w:eastAsia="Times New Roman" w:cstheme="minorHAnsi"/>
          <w:b/>
        </w:rPr>
        <w:t xml:space="preserve">66249/16, </w:t>
      </w:r>
      <w:r w:rsidRPr="00CC38E3">
        <w:rPr>
          <w:rFonts w:cstheme="minorHAnsi"/>
          <w:b/>
        </w:rPr>
        <w:t>svarbos lygis – 2</w:t>
      </w:r>
      <w:r w:rsidRPr="00CC38E3">
        <w:rPr>
          <w:rFonts w:eastAsia="Times New Roman" w:cstheme="minorHAnsi"/>
          <w:b/>
        </w:rPr>
        <w:t>)</w:t>
      </w:r>
    </w:p>
    <w:p w14:paraId="020DDE4F" w14:textId="77777777" w:rsidR="00A04F2F" w:rsidRPr="00CC38E3" w:rsidRDefault="00A04F2F" w:rsidP="005C5A0E">
      <w:pPr>
        <w:spacing w:line="240" w:lineRule="auto"/>
        <w:rPr>
          <w:rFonts w:cstheme="minorHAnsi"/>
        </w:rPr>
      </w:pPr>
    </w:p>
    <w:p w14:paraId="79043F78" w14:textId="6957ACFB" w:rsidR="006602CC" w:rsidRPr="00CC38E3" w:rsidRDefault="00A04F2F" w:rsidP="00A06C73">
      <w:pPr>
        <w:keepNext/>
        <w:keepLines/>
        <w:spacing w:after="0" w:line="240" w:lineRule="auto"/>
        <w:ind w:right="-1" w:firstLine="567"/>
        <w:outlineLvl w:val="2"/>
        <w:rPr>
          <w:rFonts w:eastAsia="Calibri" w:cstheme="minorHAnsi"/>
          <w:bCs/>
          <w:i/>
          <w:iCs/>
        </w:rPr>
      </w:pPr>
      <w:bookmarkStart w:id="39" w:name="_Toc104379839"/>
      <w:r w:rsidRPr="00CC38E3">
        <w:rPr>
          <w:rFonts w:eastAsia="Calibri" w:cstheme="minorHAnsi"/>
          <w:bCs/>
          <w:i/>
          <w:iCs/>
        </w:rPr>
        <w:t xml:space="preserve">Dėl </w:t>
      </w:r>
      <w:r w:rsidR="00A37DDD" w:rsidRPr="00CC38E3">
        <w:rPr>
          <w:rFonts w:eastAsia="Calibri" w:cstheme="minorHAnsi"/>
          <w:bCs/>
          <w:i/>
          <w:iCs/>
        </w:rPr>
        <w:t>pažeidimo nesekant aiškia teismų praktika papildomų kompensacijų už nusavintą turtą priteisimo bylose</w:t>
      </w:r>
      <w:bookmarkEnd w:id="39"/>
      <w:r w:rsidR="00A37DDD" w:rsidRPr="00CC38E3">
        <w:rPr>
          <w:rFonts w:eastAsia="Calibri" w:cstheme="minorHAnsi"/>
          <w:bCs/>
          <w:i/>
          <w:iCs/>
        </w:rPr>
        <w:t xml:space="preserve"> </w:t>
      </w:r>
    </w:p>
    <w:p w14:paraId="7DA015B7" w14:textId="77777777" w:rsidR="00A04F2F" w:rsidRPr="00CC38E3" w:rsidRDefault="00A04F2F"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Faktinės aplinkybės</w:t>
      </w:r>
    </w:p>
    <w:p w14:paraId="76A81D64" w14:textId="77777777" w:rsidR="00A04F2F" w:rsidRPr="00CC38E3" w:rsidRDefault="00A04F2F" w:rsidP="005C5A0E">
      <w:pPr>
        <w:shd w:val="clear" w:color="auto" w:fill="FFFFFF"/>
        <w:spacing w:after="0" w:line="240" w:lineRule="auto"/>
        <w:ind w:right="-1" w:firstLine="567"/>
        <w:jc w:val="both"/>
        <w:rPr>
          <w:rFonts w:cstheme="minorHAnsi"/>
        </w:rPr>
      </w:pPr>
    </w:p>
    <w:p w14:paraId="1AB06C29" w14:textId="2D693FF5" w:rsidR="00C65A7B" w:rsidRPr="00CC38E3" w:rsidRDefault="00DB6523" w:rsidP="005C5A0E">
      <w:pPr>
        <w:shd w:val="clear" w:color="auto" w:fill="FFFFFF"/>
        <w:spacing w:after="0" w:line="240" w:lineRule="auto"/>
        <w:ind w:firstLine="567"/>
        <w:jc w:val="both"/>
        <w:rPr>
          <w:rFonts w:cstheme="minorHAnsi"/>
        </w:rPr>
      </w:pPr>
      <w:r w:rsidRPr="00CC38E3">
        <w:rPr>
          <w:rFonts w:cstheme="minorHAnsi"/>
        </w:rPr>
        <w:t>Pareiškėjai, septyni Azerbaidžano Respublikos piliečiai, gyvenantys Baku mieste, skundėsi nete</w:t>
      </w:r>
      <w:r w:rsidR="00290ED6" w:rsidRPr="00CC38E3">
        <w:rPr>
          <w:rFonts w:cstheme="minorHAnsi"/>
        </w:rPr>
        <w:t>isėtais valstybės veiksmais, vietos teismams atsisakius priteisti jų naudai teisės aktuose numatytą papildomą kompensaciją už 2011 ir 2012 metais nusavintą turtą (jų butus Baku mieste) siekiant išplatinti greitkelį</w:t>
      </w:r>
      <w:r w:rsidRPr="00CC38E3">
        <w:rPr>
          <w:rFonts w:cstheme="minorHAnsi"/>
        </w:rPr>
        <w:t>.</w:t>
      </w:r>
      <w:r w:rsidR="00290ED6" w:rsidRPr="00CC38E3">
        <w:rPr>
          <w:rFonts w:cstheme="minorHAnsi"/>
        </w:rPr>
        <w:t xml:space="preserve"> Remdamiesi</w:t>
      </w:r>
      <w:r w:rsidR="006F2B91" w:rsidRPr="00CC38E3">
        <w:rPr>
          <w:rFonts w:cstheme="minorHAnsi"/>
        </w:rPr>
        <w:t>, be kita ko,</w:t>
      </w:r>
      <w:r w:rsidR="00290ED6" w:rsidRPr="00CC38E3">
        <w:rPr>
          <w:rFonts w:cstheme="minorHAnsi"/>
        </w:rPr>
        <w:t xml:space="preserve"> </w:t>
      </w:r>
      <w:r w:rsidR="00842B57" w:rsidRPr="00CC38E3">
        <w:rPr>
          <w:rFonts w:cstheme="minorHAnsi"/>
        </w:rPr>
        <w:t xml:space="preserve">Konvencijos </w:t>
      </w:r>
      <w:r w:rsidR="00290ED6" w:rsidRPr="00CC38E3">
        <w:rPr>
          <w:rFonts w:cstheme="minorHAnsi"/>
        </w:rPr>
        <w:t>Pirmojo protokolo 1 straipsniu</w:t>
      </w:r>
      <w:r w:rsidR="00273F4D" w:rsidRPr="00CC38E3">
        <w:rPr>
          <w:rFonts w:cstheme="minorHAnsi"/>
        </w:rPr>
        <w:t>, par</w:t>
      </w:r>
      <w:r w:rsidR="00C65A7B" w:rsidRPr="00CC38E3">
        <w:rPr>
          <w:rFonts w:cstheme="minorHAnsi"/>
        </w:rPr>
        <w:t xml:space="preserve">eiškėjai teigė valdžios institucijų buvę patikinti, kad papildoma kompensacija bus išmokėta po to, kai jie parduos butus valstybei; taip pat kaltino vietos teismus </w:t>
      </w:r>
      <w:r w:rsidR="00273F4D" w:rsidRPr="00CC38E3">
        <w:rPr>
          <w:rFonts w:cstheme="minorHAnsi"/>
        </w:rPr>
        <w:t xml:space="preserve">laikiusis </w:t>
      </w:r>
      <w:r w:rsidR="009E1916" w:rsidRPr="00CC38E3">
        <w:rPr>
          <w:rFonts w:cstheme="minorHAnsi"/>
        </w:rPr>
        <w:t xml:space="preserve">priešingos praktikos panašiose bylose, kuriose tokios kompensacijos jų kaimynams buvo priteistos. </w:t>
      </w:r>
      <w:r w:rsidR="00C65A7B" w:rsidRPr="00CC38E3">
        <w:rPr>
          <w:rFonts w:cstheme="minorHAnsi"/>
        </w:rPr>
        <w:t xml:space="preserve"> </w:t>
      </w:r>
    </w:p>
    <w:p w14:paraId="41CFACC0" w14:textId="572321CF" w:rsidR="00A04F2F" w:rsidRPr="00CC38E3" w:rsidRDefault="00A04F2F" w:rsidP="005C5A0E">
      <w:pPr>
        <w:shd w:val="clear" w:color="auto" w:fill="FFFFFF"/>
        <w:spacing w:after="0" w:line="240" w:lineRule="auto"/>
        <w:ind w:firstLine="567"/>
        <w:jc w:val="both"/>
        <w:rPr>
          <w:rFonts w:cstheme="minorHAnsi"/>
        </w:rPr>
      </w:pPr>
    </w:p>
    <w:p w14:paraId="709D69AD" w14:textId="77777777" w:rsidR="00A04F2F" w:rsidRPr="00CC38E3" w:rsidRDefault="00A04F2F" w:rsidP="005C5A0E">
      <w:pPr>
        <w:shd w:val="clear" w:color="auto" w:fill="FFFFFF"/>
        <w:spacing w:after="0" w:line="240" w:lineRule="auto"/>
        <w:ind w:right="-1"/>
        <w:jc w:val="center"/>
        <w:rPr>
          <w:rFonts w:eastAsia="Times New Roman" w:cstheme="minorHAnsi"/>
          <w:b/>
          <w:bCs/>
          <w:color w:val="000000"/>
        </w:rPr>
      </w:pPr>
      <w:r w:rsidRPr="00CC38E3">
        <w:rPr>
          <w:rFonts w:eastAsia="Times New Roman" w:cstheme="minorHAnsi"/>
          <w:b/>
          <w:bCs/>
          <w:color w:val="000000"/>
        </w:rPr>
        <w:t>Neoficiali Teismo sprendimo apžvalga</w:t>
      </w:r>
    </w:p>
    <w:p w14:paraId="79D4D6CA" w14:textId="639401F8" w:rsidR="00A04F2F" w:rsidRPr="00CC38E3" w:rsidRDefault="00A04F2F" w:rsidP="005C5A0E">
      <w:pPr>
        <w:shd w:val="clear" w:color="auto" w:fill="FFFFFF"/>
        <w:spacing w:after="0" w:line="240" w:lineRule="auto"/>
        <w:ind w:right="-1" w:firstLine="567"/>
        <w:jc w:val="both"/>
        <w:rPr>
          <w:rFonts w:cstheme="minorHAnsi"/>
        </w:rPr>
      </w:pPr>
    </w:p>
    <w:p w14:paraId="3764CCCA" w14:textId="6981E697" w:rsidR="0031042E" w:rsidRPr="00CC38E3" w:rsidRDefault="00A37DDD" w:rsidP="005C5A0E">
      <w:pPr>
        <w:spacing w:after="0" w:line="240" w:lineRule="auto"/>
        <w:ind w:firstLine="567"/>
        <w:jc w:val="both"/>
        <w:rPr>
          <w:rFonts w:cstheme="minorHAnsi"/>
        </w:rPr>
      </w:pPr>
      <w:r w:rsidRPr="00CC38E3">
        <w:rPr>
          <w:rFonts w:cstheme="minorHAnsi"/>
        </w:rPr>
        <w:t xml:space="preserve">Teismas pažymėjo, kad tuo metu, kai pareiškėjų skundai dėl papildomos kompensacijos </w:t>
      </w:r>
      <w:r w:rsidR="00FF6605" w:rsidRPr="00CC38E3">
        <w:rPr>
          <w:rFonts w:cstheme="minorHAnsi"/>
        </w:rPr>
        <w:t>Aukščiausiajame Teisme galutiniais sprendimais buvo atmesti, argumentuojant tuo, kad jų turtas nebuvo nusavintas valstybės poreikiams, kitose iš esmės tapačiose bylose tas pats teismas laikė pagrįstais žemesniųjų teismų sprendimus tokias kompensacijas</w:t>
      </w:r>
      <w:r w:rsidR="00366D1B" w:rsidRPr="00CC38E3">
        <w:rPr>
          <w:rFonts w:cstheme="minorHAnsi"/>
        </w:rPr>
        <w:t xml:space="preserve"> priteisti</w:t>
      </w:r>
      <w:r w:rsidR="00FF6605" w:rsidRPr="00CC38E3">
        <w:rPr>
          <w:rFonts w:cstheme="minorHAnsi"/>
        </w:rPr>
        <w:t>.</w:t>
      </w:r>
      <w:r w:rsidR="00831D44" w:rsidRPr="00CC38E3">
        <w:rPr>
          <w:rFonts w:cstheme="minorHAnsi"/>
        </w:rPr>
        <w:t xml:space="preserve"> Šiose kitose bylose Aukščiausiasis Teismas buvo konstatavęs, kad nepaisant tam tikrų klaidų, kurias darė valdžios institucijos vykdydamos nusavinimo procedūras, ir ypatingai to, kad nebuvo išleistas joks Ministrų Kabineto įsakas, turtas</w:t>
      </w:r>
      <w:r w:rsidR="0067501F" w:rsidRPr="00CC38E3">
        <w:rPr>
          <w:rFonts w:cstheme="minorHAnsi"/>
        </w:rPr>
        <w:t xml:space="preserve"> iš tiesų buvo nusavintas valstybės poreikiams įgyvendinti.</w:t>
      </w:r>
      <w:r w:rsidR="00F125AD" w:rsidRPr="00CC38E3">
        <w:rPr>
          <w:rFonts w:cstheme="minorHAnsi"/>
        </w:rPr>
        <w:t xml:space="preserve"> Dar daugiau, vienoje iš šių bylų Aukščiausiasis Teismas buvo pateikęs nuorodą į ankstesnes bylas, kuriose skundai dėl</w:t>
      </w:r>
      <w:r w:rsidR="002A6F70" w:rsidRPr="00CC38E3">
        <w:rPr>
          <w:rFonts w:cstheme="minorHAnsi"/>
        </w:rPr>
        <w:t xml:space="preserve"> kompensacijų buvo tenkinami.</w:t>
      </w:r>
      <w:r w:rsidR="00862B5D" w:rsidRPr="00CC38E3">
        <w:rPr>
          <w:rFonts w:cstheme="minorHAnsi"/>
        </w:rPr>
        <w:t xml:space="preserve"> </w:t>
      </w:r>
      <w:r w:rsidR="00F11A18" w:rsidRPr="00CC38E3">
        <w:rPr>
          <w:rFonts w:cstheme="minorHAnsi"/>
        </w:rPr>
        <w:t xml:space="preserve">Teismo taip pat pažymėta, kad </w:t>
      </w:r>
      <w:r w:rsidR="00F11A18" w:rsidRPr="00CC38E3">
        <w:rPr>
          <w:rFonts w:cstheme="minorHAnsi"/>
          <w:u w:val="single"/>
        </w:rPr>
        <w:t xml:space="preserve">atsisakymas priteisti kompensaciją </w:t>
      </w:r>
      <w:r w:rsidR="00862B5D" w:rsidRPr="00CC38E3">
        <w:rPr>
          <w:rFonts w:cstheme="minorHAnsi"/>
          <w:u w:val="single"/>
        </w:rPr>
        <w:t xml:space="preserve">pareiškėjams </w:t>
      </w:r>
      <w:r w:rsidR="00F11A18" w:rsidRPr="00CC38E3">
        <w:rPr>
          <w:rFonts w:cstheme="minorHAnsi"/>
          <w:u w:val="single"/>
        </w:rPr>
        <w:t>nebuvo nulemtas jokių ilgalaikių nacionalinės teismų praktikos skirtumų, kylančių dėl teisės nuostatų aiškinimo įvairovės</w:t>
      </w:r>
      <w:r w:rsidR="00366D1B" w:rsidRPr="00CC38E3">
        <w:rPr>
          <w:rFonts w:cstheme="minorHAnsi"/>
          <w:u w:val="single"/>
        </w:rPr>
        <w:t>,</w:t>
      </w:r>
      <w:r w:rsidR="003851ED" w:rsidRPr="00CC38E3">
        <w:rPr>
          <w:rFonts w:cstheme="minorHAnsi"/>
          <w:u w:val="single"/>
        </w:rPr>
        <w:t xml:space="preserve"> ar kad atsisakymą suponavo prieštaringos teisės normos interpretacijos</w:t>
      </w:r>
      <w:r w:rsidR="003851ED" w:rsidRPr="00CC38E3">
        <w:rPr>
          <w:rFonts w:cstheme="minorHAnsi"/>
        </w:rPr>
        <w:t>.</w:t>
      </w:r>
      <w:r w:rsidR="00432F79" w:rsidRPr="00CC38E3">
        <w:rPr>
          <w:rFonts w:cstheme="minorHAnsi"/>
        </w:rPr>
        <w:t xml:space="preserve"> </w:t>
      </w:r>
      <w:r w:rsidR="006D3BE2" w:rsidRPr="00CC38E3">
        <w:rPr>
          <w:rFonts w:cstheme="minorHAnsi"/>
        </w:rPr>
        <w:t xml:space="preserve">Itin svarbu, anot Teismo, buvo ir tai, kad nepaisant aiškių pareiškėjų iniciatyva pateiktų nuorodų į ankstesnius galutinius teismų sprendimus analogiškose bylose, </w:t>
      </w:r>
      <w:r w:rsidR="006D3BE2" w:rsidRPr="00CC38E3">
        <w:rPr>
          <w:rFonts w:cstheme="minorHAnsi"/>
          <w:u w:val="single"/>
        </w:rPr>
        <w:t>Aukščiausiasis Teismas nepaaiškino</w:t>
      </w:r>
      <w:r w:rsidR="00A74B32" w:rsidRPr="00CC38E3">
        <w:rPr>
          <w:rFonts w:cstheme="minorHAnsi"/>
          <w:u w:val="single"/>
        </w:rPr>
        <w:t>, kodėl jis padarė skirtingas išvadas pareiškėjų atveju</w:t>
      </w:r>
      <w:r w:rsidR="00A74B32" w:rsidRPr="00CC38E3">
        <w:rPr>
          <w:rFonts w:cstheme="minorHAnsi"/>
        </w:rPr>
        <w:t xml:space="preserve">. Teismas </w:t>
      </w:r>
      <w:r w:rsidR="00C57692" w:rsidRPr="00CC38E3">
        <w:rPr>
          <w:rFonts w:cstheme="minorHAnsi"/>
          <w:u w:val="single"/>
        </w:rPr>
        <w:t xml:space="preserve">priminė </w:t>
      </w:r>
      <w:r w:rsidR="00A74B32" w:rsidRPr="00CC38E3">
        <w:rPr>
          <w:rFonts w:cstheme="minorHAnsi"/>
          <w:u w:val="single"/>
        </w:rPr>
        <w:t xml:space="preserve">aukščiausios instancijos teismo vaidmenį atsakingai išspręsti teismų praktikos neatitikimo problemas, kadangi priešingu atveju būtent paties teismo jurisdikcinė veikla </w:t>
      </w:r>
      <w:r w:rsidR="009221C8" w:rsidRPr="00CC38E3">
        <w:rPr>
          <w:rFonts w:cstheme="minorHAnsi"/>
          <w:u w:val="single"/>
        </w:rPr>
        <w:t>tampa teisinio netikrumo šaltiniu, pažeidžia teisinio tikrumo principą bei silpnina visuomenės pasitikėjimą teismine valdžia</w:t>
      </w:r>
      <w:r w:rsidR="009221C8" w:rsidRPr="00CC38E3">
        <w:rPr>
          <w:rFonts w:cstheme="minorHAnsi"/>
        </w:rPr>
        <w:t>.</w:t>
      </w:r>
      <w:r w:rsidR="006B09B0" w:rsidRPr="00CC38E3">
        <w:rPr>
          <w:rFonts w:cstheme="minorHAnsi"/>
        </w:rPr>
        <w:t xml:space="preserve"> </w:t>
      </w:r>
      <w:r w:rsidR="00087629" w:rsidRPr="00CC38E3">
        <w:rPr>
          <w:rFonts w:cstheme="minorHAnsi"/>
          <w:u w:val="single"/>
        </w:rPr>
        <w:t>Priimant prieš</w:t>
      </w:r>
      <w:r w:rsidR="00F872B0" w:rsidRPr="00CC38E3">
        <w:rPr>
          <w:rFonts w:cstheme="minorHAnsi"/>
          <w:u w:val="single"/>
        </w:rPr>
        <w:t xml:space="preserve">taringus </w:t>
      </w:r>
      <w:r w:rsidR="00087629" w:rsidRPr="00CC38E3">
        <w:rPr>
          <w:rFonts w:cstheme="minorHAnsi"/>
          <w:u w:val="single"/>
        </w:rPr>
        <w:t xml:space="preserve">sprendimus, </w:t>
      </w:r>
      <w:r w:rsidR="00F872B0" w:rsidRPr="00CC38E3">
        <w:rPr>
          <w:rFonts w:cstheme="minorHAnsi"/>
          <w:u w:val="single"/>
        </w:rPr>
        <w:t xml:space="preserve">kurie gali </w:t>
      </w:r>
      <w:r w:rsidR="00087629" w:rsidRPr="00CC38E3">
        <w:rPr>
          <w:rFonts w:cstheme="minorHAnsi"/>
          <w:u w:val="single"/>
        </w:rPr>
        <w:t>paveik</w:t>
      </w:r>
      <w:r w:rsidR="00F872B0" w:rsidRPr="00CC38E3">
        <w:rPr>
          <w:rFonts w:cstheme="minorHAnsi"/>
          <w:u w:val="single"/>
        </w:rPr>
        <w:t>t</w:t>
      </w:r>
      <w:r w:rsidR="00087629" w:rsidRPr="00CC38E3">
        <w:rPr>
          <w:rFonts w:cstheme="minorHAnsi"/>
          <w:u w:val="single"/>
        </w:rPr>
        <w:t>i asmenų teises laisvai naudotis savo nuosavybės teisėmis, ir nepateikia</w:t>
      </w:r>
      <w:r w:rsidR="00F872B0" w:rsidRPr="00CC38E3">
        <w:rPr>
          <w:rFonts w:cstheme="minorHAnsi"/>
          <w:u w:val="single"/>
        </w:rPr>
        <w:t xml:space="preserve">nt </w:t>
      </w:r>
      <w:r w:rsidR="00087629" w:rsidRPr="00CC38E3">
        <w:rPr>
          <w:rFonts w:cstheme="minorHAnsi"/>
          <w:u w:val="single"/>
        </w:rPr>
        <w:t>argumentuot</w:t>
      </w:r>
      <w:r w:rsidR="00F872B0" w:rsidRPr="00CC38E3">
        <w:rPr>
          <w:rFonts w:cstheme="minorHAnsi"/>
          <w:u w:val="single"/>
        </w:rPr>
        <w:t xml:space="preserve">o </w:t>
      </w:r>
      <w:r w:rsidR="00087629" w:rsidRPr="00CC38E3">
        <w:rPr>
          <w:rFonts w:cstheme="minorHAnsi"/>
          <w:u w:val="single"/>
        </w:rPr>
        <w:t>paaiškinim</w:t>
      </w:r>
      <w:r w:rsidR="00F872B0" w:rsidRPr="00CC38E3">
        <w:rPr>
          <w:rFonts w:cstheme="minorHAnsi"/>
          <w:u w:val="single"/>
        </w:rPr>
        <w:t xml:space="preserve">o </w:t>
      </w:r>
      <w:r w:rsidR="00087629" w:rsidRPr="00CC38E3">
        <w:rPr>
          <w:rFonts w:cstheme="minorHAnsi"/>
          <w:u w:val="single"/>
        </w:rPr>
        <w:t xml:space="preserve">dėl padaryto nukrypimo nuo praktikos, </w:t>
      </w:r>
      <w:r w:rsidR="00246920" w:rsidRPr="00CC38E3">
        <w:rPr>
          <w:rFonts w:cstheme="minorHAnsi"/>
          <w:u w:val="single"/>
        </w:rPr>
        <w:t xml:space="preserve">anot Teismo, </w:t>
      </w:r>
      <w:r w:rsidR="00F872B0" w:rsidRPr="00CC38E3">
        <w:rPr>
          <w:rFonts w:cstheme="minorHAnsi"/>
          <w:u w:val="single"/>
        </w:rPr>
        <w:t>neteisėtai įsiterpiama</w:t>
      </w:r>
      <w:r w:rsidR="00246920" w:rsidRPr="00CC38E3">
        <w:rPr>
          <w:rFonts w:cstheme="minorHAnsi"/>
          <w:u w:val="single"/>
        </w:rPr>
        <w:t xml:space="preserve"> į Konvencijos Pirmojo protokolo 1 straipsnio ginamas vertybes</w:t>
      </w:r>
      <w:r w:rsidR="000146C4" w:rsidRPr="00CC38E3">
        <w:rPr>
          <w:rFonts w:cstheme="minorHAnsi"/>
        </w:rPr>
        <w:t>. Tokia situacija suponuoja nenuoseklią, tikslumo stokojančią teismų praktiką, kuri, priešingai, turi g</w:t>
      </w:r>
      <w:r w:rsidR="00366D1B" w:rsidRPr="00CC38E3">
        <w:rPr>
          <w:rFonts w:cstheme="minorHAnsi"/>
        </w:rPr>
        <w:t xml:space="preserve">ebėti </w:t>
      </w:r>
      <w:r w:rsidR="000146C4" w:rsidRPr="00CC38E3">
        <w:rPr>
          <w:rFonts w:cstheme="minorHAnsi"/>
        </w:rPr>
        <w:t xml:space="preserve">suteikti asmenims aiškumą numatant ir prognozuojant savo veiksmų </w:t>
      </w:r>
      <w:r w:rsidR="0031042E" w:rsidRPr="00CC38E3">
        <w:rPr>
          <w:rFonts w:cstheme="minorHAnsi"/>
        </w:rPr>
        <w:t>bei elgesio pasekmes.</w:t>
      </w:r>
      <w:r w:rsidR="000146C4" w:rsidRPr="00CC38E3">
        <w:rPr>
          <w:rFonts w:cstheme="minorHAnsi"/>
        </w:rPr>
        <w:t xml:space="preserve"> </w:t>
      </w:r>
    </w:p>
    <w:p w14:paraId="07C5462E" w14:textId="2AED558B" w:rsidR="0031042E" w:rsidRPr="00CC38E3" w:rsidRDefault="0031042E" w:rsidP="005C5A0E">
      <w:pPr>
        <w:shd w:val="clear" w:color="auto" w:fill="FFFFFF"/>
        <w:spacing w:after="0" w:line="240" w:lineRule="auto"/>
        <w:ind w:firstLine="567"/>
        <w:jc w:val="both"/>
        <w:rPr>
          <w:rFonts w:cstheme="minorHAnsi"/>
        </w:rPr>
      </w:pPr>
      <w:r w:rsidRPr="00CC38E3">
        <w:rPr>
          <w:rFonts w:cstheme="minorHAnsi"/>
        </w:rPr>
        <w:t xml:space="preserve">Tokiomis aplinkybėmis konstatuota, kad vietos teismų ir ypač Aukščiausiojo Teismo sprendimai, kuriais atmesti pareiškėjų skundai dėl papildomos kompensacijos priteisimo, </w:t>
      </w:r>
      <w:r w:rsidR="004C1277" w:rsidRPr="00CC38E3">
        <w:rPr>
          <w:rFonts w:cstheme="minorHAnsi"/>
        </w:rPr>
        <w:t xml:space="preserve">neteisėtai </w:t>
      </w:r>
      <w:r w:rsidRPr="00CC38E3">
        <w:rPr>
          <w:rFonts w:cstheme="minorHAnsi"/>
        </w:rPr>
        <w:t>sutrukdė jiems laisvai naudotis nuosavybės teise, kaip ji suprantama pagal Konvencijos Pirmojo protokolo 1 straipsnį</w:t>
      </w:r>
      <w:r w:rsidR="004C1277" w:rsidRPr="00CC38E3">
        <w:rPr>
          <w:rFonts w:cstheme="minorHAnsi"/>
        </w:rPr>
        <w:t xml:space="preserve">, ir todėl jį </w:t>
      </w:r>
      <w:r w:rsidRPr="00CC38E3">
        <w:rPr>
          <w:rFonts w:cstheme="minorHAnsi"/>
        </w:rPr>
        <w:t>pažeidė</w:t>
      </w:r>
      <w:r w:rsidR="004C1277" w:rsidRPr="00CC38E3">
        <w:rPr>
          <w:rFonts w:cstheme="minorHAnsi"/>
        </w:rPr>
        <w:t>.</w:t>
      </w:r>
    </w:p>
    <w:p w14:paraId="52E276FB" w14:textId="7CB96D67" w:rsidR="004C1277" w:rsidRPr="00CC38E3" w:rsidRDefault="004C1277" w:rsidP="005C5A0E">
      <w:pPr>
        <w:shd w:val="clear" w:color="auto" w:fill="FFFFFF"/>
        <w:spacing w:after="0" w:line="240" w:lineRule="auto"/>
        <w:ind w:right="-1" w:firstLine="567"/>
        <w:jc w:val="both"/>
        <w:rPr>
          <w:rFonts w:cstheme="minorHAnsi"/>
        </w:rPr>
      </w:pPr>
    </w:p>
    <w:p w14:paraId="51AC7CD3" w14:textId="052F0909" w:rsidR="004C1277" w:rsidRPr="00CC38E3" w:rsidRDefault="004C1277" w:rsidP="005C5A0E">
      <w:pPr>
        <w:pStyle w:val="prastasiniatinklio"/>
        <w:shd w:val="clear" w:color="auto" w:fill="FFFFFF"/>
        <w:spacing w:before="0" w:beforeAutospacing="0" w:after="0" w:afterAutospacing="0"/>
        <w:ind w:firstLine="567"/>
        <w:jc w:val="both"/>
        <w:rPr>
          <w:rFonts w:asciiTheme="minorHAnsi" w:eastAsiaTheme="minorHAnsi" w:hAnsiTheme="minorHAnsi" w:cstheme="minorHAnsi"/>
          <w:sz w:val="22"/>
          <w:szCs w:val="22"/>
          <w:lang w:eastAsia="en-US"/>
        </w:rPr>
      </w:pPr>
      <w:r w:rsidRPr="00CC38E3">
        <w:rPr>
          <w:rFonts w:asciiTheme="minorHAnsi" w:eastAsiaTheme="minorHAnsi" w:hAnsiTheme="minorHAnsi" w:cstheme="minorHAnsi"/>
          <w:sz w:val="22"/>
          <w:szCs w:val="22"/>
          <w:lang w:eastAsia="en-US"/>
        </w:rPr>
        <w:t>Išvada: nustatytas Konvencijos Pirmojo protokolo 1 straipsnio pažeidimas (vienbalsiai).</w:t>
      </w:r>
    </w:p>
    <w:p w14:paraId="787A3FC2" w14:textId="36302E4F" w:rsidR="004C1277" w:rsidRPr="00CC38E3" w:rsidRDefault="009E0E5D" w:rsidP="005C5A0E">
      <w:pPr>
        <w:pStyle w:val="prastasiniatinklio"/>
        <w:shd w:val="clear" w:color="auto" w:fill="FFFFFF"/>
        <w:spacing w:before="0" w:beforeAutospacing="0" w:after="0" w:afterAutospacing="0"/>
        <w:ind w:firstLine="567"/>
        <w:jc w:val="both"/>
        <w:rPr>
          <w:rFonts w:asciiTheme="minorHAnsi" w:eastAsiaTheme="minorHAnsi" w:hAnsiTheme="minorHAnsi" w:cstheme="minorHAnsi"/>
          <w:sz w:val="22"/>
          <w:szCs w:val="22"/>
          <w:lang w:eastAsia="en-US"/>
        </w:rPr>
      </w:pPr>
      <w:r w:rsidRPr="00CC38E3">
        <w:rPr>
          <w:rFonts w:asciiTheme="minorHAnsi" w:eastAsiaTheme="minorHAnsi" w:hAnsiTheme="minorHAnsi" w:cstheme="minorHAnsi"/>
          <w:sz w:val="22"/>
          <w:szCs w:val="22"/>
          <w:lang w:eastAsia="en-US"/>
        </w:rPr>
        <w:t>41 straipsni</w:t>
      </w:r>
      <w:r w:rsidR="00F05ED0">
        <w:rPr>
          <w:rFonts w:asciiTheme="minorHAnsi" w:eastAsiaTheme="minorHAnsi" w:hAnsiTheme="minorHAnsi" w:cstheme="minorHAnsi"/>
          <w:sz w:val="22"/>
          <w:szCs w:val="22"/>
          <w:lang w:eastAsia="en-US"/>
        </w:rPr>
        <w:t>s</w:t>
      </w:r>
      <w:r w:rsidRPr="00CC38E3">
        <w:rPr>
          <w:rFonts w:asciiTheme="minorHAnsi" w:eastAsiaTheme="minorHAnsi" w:hAnsiTheme="minorHAnsi" w:cstheme="minorHAnsi"/>
          <w:sz w:val="22"/>
          <w:szCs w:val="22"/>
          <w:lang w:eastAsia="en-US"/>
        </w:rPr>
        <w:t xml:space="preserve">: kiekvienam iš pareiškėjų priteista nuo </w:t>
      </w:r>
      <w:r w:rsidR="004C1277" w:rsidRPr="00CC38E3">
        <w:rPr>
          <w:rFonts w:asciiTheme="minorHAnsi" w:eastAsiaTheme="minorHAnsi" w:hAnsiTheme="minorHAnsi" w:cstheme="minorHAnsi"/>
          <w:sz w:val="22"/>
          <w:szCs w:val="22"/>
          <w:lang w:eastAsia="en-US"/>
        </w:rPr>
        <w:t>3</w:t>
      </w:r>
      <w:r w:rsidR="006969FB">
        <w:rPr>
          <w:rFonts w:asciiTheme="minorHAnsi" w:eastAsiaTheme="minorHAnsi" w:hAnsiTheme="minorHAnsi" w:cstheme="minorHAnsi"/>
          <w:sz w:val="22"/>
          <w:szCs w:val="22"/>
          <w:lang w:eastAsia="en-US"/>
        </w:rPr>
        <w:t xml:space="preserve"> </w:t>
      </w:r>
      <w:r w:rsidR="004C1277" w:rsidRPr="00CC38E3">
        <w:rPr>
          <w:rFonts w:asciiTheme="minorHAnsi" w:eastAsiaTheme="minorHAnsi" w:hAnsiTheme="minorHAnsi" w:cstheme="minorHAnsi"/>
          <w:sz w:val="22"/>
          <w:szCs w:val="22"/>
          <w:lang w:eastAsia="en-US"/>
        </w:rPr>
        <w:t>640</w:t>
      </w:r>
      <w:r w:rsidRPr="00CC38E3">
        <w:rPr>
          <w:rFonts w:asciiTheme="minorHAnsi" w:eastAsiaTheme="minorHAnsi" w:hAnsiTheme="minorHAnsi" w:cstheme="minorHAnsi"/>
          <w:sz w:val="22"/>
          <w:szCs w:val="22"/>
          <w:lang w:eastAsia="en-US"/>
        </w:rPr>
        <w:t xml:space="preserve"> iki </w:t>
      </w:r>
      <w:r w:rsidR="004C1277" w:rsidRPr="00CC38E3">
        <w:rPr>
          <w:rFonts w:asciiTheme="minorHAnsi" w:eastAsiaTheme="minorHAnsi" w:hAnsiTheme="minorHAnsi" w:cstheme="minorHAnsi"/>
          <w:sz w:val="22"/>
          <w:szCs w:val="22"/>
          <w:lang w:eastAsia="en-US"/>
        </w:rPr>
        <w:t>7</w:t>
      </w:r>
      <w:r w:rsidR="006969FB">
        <w:rPr>
          <w:rFonts w:asciiTheme="minorHAnsi" w:eastAsiaTheme="minorHAnsi" w:hAnsiTheme="minorHAnsi" w:cstheme="minorHAnsi"/>
          <w:sz w:val="22"/>
          <w:szCs w:val="22"/>
          <w:lang w:eastAsia="en-US"/>
        </w:rPr>
        <w:t xml:space="preserve"> </w:t>
      </w:r>
      <w:r w:rsidR="004C1277" w:rsidRPr="00CC38E3">
        <w:rPr>
          <w:rFonts w:asciiTheme="minorHAnsi" w:eastAsiaTheme="minorHAnsi" w:hAnsiTheme="minorHAnsi" w:cstheme="minorHAnsi"/>
          <w:sz w:val="22"/>
          <w:szCs w:val="22"/>
          <w:lang w:eastAsia="en-US"/>
        </w:rPr>
        <w:t xml:space="preserve">930 </w:t>
      </w:r>
      <w:r w:rsidRPr="00CC38E3">
        <w:rPr>
          <w:rFonts w:asciiTheme="minorHAnsi" w:eastAsiaTheme="minorHAnsi" w:hAnsiTheme="minorHAnsi" w:cstheme="minorHAnsi"/>
          <w:sz w:val="22"/>
          <w:szCs w:val="22"/>
          <w:lang w:eastAsia="en-US"/>
        </w:rPr>
        <w:t xml:space="preserve">Eur turtinės žalos; taip pat po </w:t>
      </w:r>
      <w:r w:rsidR="004C1277" w:rsidRPr="00CC38E3">
        <w:rPr>
          <w:rFonts w:asciiTheme="minorHAnsi" w:eastAsiaTheme="minorHAnsi" w:hAnsiTheme="minorHAnsi" w:cstheme="minorHAnsi"/>
          <w:sz w:val="22"/>
          <w:szCs w:val="22"/>
          <w:lang w:eastAsia="en-US"/>
        </w:rPr>
        <w:t>3</w:t>
      </w:r>
      <w:r w:rsidR="006969FB">
        <w:rPr>
          <w:rFonts w:asciiTheme="minorHAnsi" w:eastAsiaTheme="minorHAnsi" w:hAnsiTheme="minorHAnsi" w:cstheme="minorHAnsi"/>
          <w:sz w:val="22"/>
          <w:szCs w:val="22"/>
          <w:lang w:eastAsia="en-US"/>
        </w:rPr>
        <w:t xml:space="preserve"> </w:t>
      </w:r>
      <w:r w:rsidR="004C1277" w:rsidRPr="00CC38E3">
        <w:rPr>
          <w:rFonts w:asciiTheme="minorHAnsi" w:eastAsiaTheme="minorHAnsi" w:hAnsiTheme="minorHAnsi" w:cstheme="minorHAnsi"/>
          <w:sz w:val="22"/>
          <w:szCs w:val="22"/>
          <w:lang w:eastAsia="en-US"/>
        </w:rPr>
        <w:t xml:space="preserve">000 </w:t>
      </w:r>
      <w:r w:rsidRPr="00CC38E3">
        <w:rPr>
          <w:rFonts w:asciiTheme="minorHAnsi" w:eastAsiaTheme="minorHAnsi" w:hAnsiTheme="minorHAnsi" w:cstheme="minorHAnsi"/>
          <w:sz w:val="22"/>
          <w:szCs w:val="22"/>
          <w:lang w:eastAsia="en-US"/>
        </w:rPr>
        <w:t xml:space="preserve">Eur neturtinės žalos. </w:t>
      </w:r>
    </w:p>
    <w:p w14:paraId="2E186643" w14:textId="2F90A52B" w:rsidR="009E0E5D" w:rsidRPr="00CC38E3" w:rsidRDefault="00A1313E" w:rsidP="005C5A0E">
      <w:pPr>
        <w:pStyle w:val="prastasiniatinklio"/>
        <w:shd w:val="clear" w:color="auto" w:fill="FFFFFF"/>
        <w:spacing w:before="0" w:beforeAutospacing="0" w:after="0" w:afterAutospacing="0"/>
        <w:ind w:firstLine="567"/>
        <w:jc w:val="both"/>
        <w:rPr>
          <w:rFonts w:asciiTheme="minorHAnsi" w:eastAsiaTheme="minorHAnsi" w:hAnsiTheme="minorHAnsi" w:cstheme="minorHAnsi"/>
          <w:sz w:val="22"/>
          <w:szCs w:val="22"/>
          <w:lang w:eastAsia="en-US"/>
        </w:rPr>
      </w:pPr>
      <w:hyperlink r:id="rId21" w:anchor="{%22fulltext%22:[%2266249/16%22],%22documentcollectionid2%22:[%22GRANDCHAMBER%22,%22CHAMBER%22],%22itemid%22:[%22001-212011%22]}" w:history="1">
        <w:r w:rsidR="009E0E5D" w:rsidRPr="00CC38E3">
          <w:rPr>
            <w:rStyle w:val="Hipersaitas"/>
            <w:rFonts w:asciiTheme="minorHAnsi" w:eastAsiaTheme="minorHAnsi" w:hAnsiTheme="minorHAnsi" w:cstheme="minorHAnsi"/>
            <w:sz w:val="22"/>
            <w:szCs w:val="22"/>
            <w:lang w:eastAsia="en-US"/>
          </w:rPr>
          <w:t>Prieiga internete</w:t>
        </w:r>
      </w:hyperlink>
    </w:p>
    <w:p w14:paraId="70A6FFB3" w14:textId="77777777" w:rsidR="004C1277" w:rsidRPr="00CC38E3" w:rsidRDefault="004C1277" w:rsidP="005C5A0E">
      <w:pPr>
        <w:shd w:val="clear" w:color="auto" w:fill="FFFFFF"/>
        <w:spacing w:after="0" w:line="240" w:lineRule="auto"/>
        <w:ind w:right="-1" w:firstLine="567"/>
        <w:jc w:val="both"/>
        <w:rPr>
          <w:rFonts w:cstheme="minorHAnsi"/>
        </w:rPr>
      </w:pPr>
    </w:p>
    <w:p w14:paraId="2616D64F" w14:textId="464FC882" w:rsidR="00430029" w:rsidRPr="00CC38E3" w:rsidRDefault="00430029" w:rsidP="00FC2524">
      <w:pPr>
        <w:pStyle w:val="Antrat1"/>
        <w:rPr>
          <w:rFonts w:eastAsia="Times New Roman"/>
        </w:rPr>
      </w:pPr>
      <w:bookmarkStart w:id="40" w:name="_Toc52184463"/>
      <w:bookmarkStart w:id="41" w:name="_Toc104379840"/>
      <w:r w:rsidRPr="00CC38E3">
        <w:rPr>
          <w:rFonts w:eastAsia="Times New Roman"/>
        </w:rPr>
        <w:t xml:space="preserve">LAISVI </w:t>
      </w:r>
      <w:r w:rsidRPr="00FC2524">
        <w:t>RINKIMAI</w:t>
      </w:r>
      <w:r w:rsidRPr="00CC38E3">
        <w:rPr>
          <w:rFonts w:eastAsia="Times New Roman"/>
        </w:rPr>
        <w:t xml:space="preserve"> (Pirmojo protokolo 3 straipsnis)</w:t>
      </w:r>
      <w:bookmarkEnd w:id="40"/>
      <w:bookmarkEnd w:id="41"/>
    </w:p>
    <w:p w14:paraId="55284C25" w14:textId="77777777" w:rsidR="00430029" w:rsidRPr="00CC38E3" w:rsidRDefault="00430029" w:rsidP="005C5A0E">
      <w:pPr>
        <w:spacing w:after="0" w:line="240" w:lineRule="auto"/>
        <w:rPr>
          <w:rFonts w:cstheme="minorHAnsi"/>
        </w:rPr>
      </w:pPr>
    </w:p>
    <w:p w14:paraId="61B4242C" w14:textId="77777777" w:rsidR="00CC38E3" w:rsidRPr="00CC38E3" w:rsidRDefault="00CC38E3" w:rsidP="00CC38E3">
      <w:pPr>
        <w:spacing w:after="0" w:line="240" w:lineRule="auto"/>
        <w:jc w:val="center"/>
        <w:rPr>
          <w:rFonts w:cstheme="minorHAnsi"/>
          <w:b/>
        </w:rPr>
      </w:pPr>
      <w:r w:rsidRPr="00CC38E3">
        <w:rPr>
          <w:rFonts w:cstheme="minorHAnsi"/>
          <w:b/>
        </w:rPr>
        <w:t>Europos Žmogaus Teisių Teismo 2021 m. lapkričio 30 d. sprendimas byloje</w:t>
      </w:r>
    </w:p>
    <w:p w14:paraId="56DC885F" w14:textId="77777777" w:rsidR="00CC38E3" w:rsidRPr="00FC2524" w:rsidRDefault="00CC38E3" w:rsidP="00FC2524">
      <w:pPr>
        <w:keepNext/>
        <w:keepLines/>
        <w:spacing w:after="0" w:line="240" w:lineRule="auto"/>
        <w:ind w:right="-1"/>
        <w:jc w:val="center"/>
        <w:outlineLvl w:val="1"/>
        <w:rPr>
          <w:rFonts w:eastAsia="Calibri" w:cstheme="minorHAnsi"/>
          <w:b/>
          <w:bCs/>
          <w:i/>
          <w:iCs/>
          <w:color w:val="2E74B5"/>
        </w:rPr>
      </w:pPr>
      <w:bookmarkStart w:id="42" w:name="_Toc526931859"/>
      <w:bookmarkStart w:id="43" w:name="_Toc527116502"/>
      <w:bookmarkStart w:id="44" w:name="_Toc104379841"/>
      <w:r w:rsidRPr="00FC2524">
        <w:rPr>
          <w:rFonts w:eastAsia="Calibri" w:cstheme="minorHAnsi"/>
          <w:b/>
          <w:bCs/>
          <w:i/>
          <w:iCs/>
          <w:color w:val="2E74B5"/>
        </w:rPr>
        <w:t>Mironescu prieš Rumuniją</w:t>
      </w:r>
      <w:bookmarkEnd w:id="42"/>
      <w:bookmarkEnd w:id="43"/>
      <w:bookmarkEnd w:id="44"/>
    </w:p>
    <w:p w14:paraId="65687CED" w14:textId="77777777" w:rsidR="00CC38E3" w:rsidRPr="00CC38E3" w:rsidRDefault="00CC38E3" w:rsidP="00CC38E3">
      <w:pPr>
        <w:spacing w:after="0" w:line="240" w:lineRule="auto"/>
        <w:jc w:val="center"/>
        <w:rPr>
          <w:rFonts w:cstheme="minorHAnsi"/>
          <w:b/>
        </w:rPr>
      </w:pPr>
      <w:r w:rsidRPr="00CC38E3">
        <w:rPr>
          <w:rFonts w:cstheme="minorHAnsi"/>
          <w:b/>
        </w:rPr>
        <w:t xml:space="preserve">(pareiškimo Nr. </w:t>
      </w:r>
      <w:r w:rsidRPr="00CC38E3">
        <w:rPr>
          <w:rFonts w:cstheme="minorHAnsi"/>
          <w:b/>
          <w:lang w:val="en-GB"/>
        </w:rPr>
        <w:t>17504/18</w:t>
      </w:r>
      <w:r w:rsidRPr="00CC38E3">
        <w:rPr>
          <w:rFonts w:cstheme="minorHAnsi"/>
          <w:b/>
        </w:rPr>
        <w:t>, svarbos lygis – 2)</w:t>
      </w:r>
    </w:p>
    <w:p w14:paraId="748D76D2" w14:textId="77777777" w:rsidR="00CC38E3" w:rsidRPr="00CC38E3" w:rsidRDefault="00CC38E3" w:rsidP="00CC38E3">
      <w:pPr>
        <w:spacing w:after="0" w:line="240" w:lineRule="auto"/>
        <w:jc w:val="center"/>
        <w:rPr>
          <w:rFonts w:cstheme="minorHAnsi"/>
        </w:rPr>
      </w:pPr>
    </w:p>
    <w:p w14:paraId="7214579D" w14:textId="77777777" w:rsidR="00CC38E3" w:rsidRPr="00FC2524" w:rsidRDefault="00CC38E3" w:rsidP="00FC2524">
      <w:pPr>
        <w:keepNext/>
        <w:keepLines/>
        <w:spacing w:after="0" w:line="240" w:lineRule="auto"/>
        <w:ind w:right="-1" w:firstLine="567"/>
        <w:outlineLvl w:val="2"/>
        <w:rPr>
          <w:rFonts w:eastAsia="Calibri" w:cstheme="minorHAnsi"/>
          <w:bCs/>
          <w:i/>
          <w:iCs/>
        </w:rPr>
      </w:pPr>
      <w:bookmarkStart w:id="45" w:name="_Toc104379842"/>
      <w:r w:rsidRPr="00FC2524">
        <w:rPr>
          <w:rFonts w:eastAsia="Calibri" w:cstheme="minorHAnsi"/>
          <w:bCs/>
          <w:i/>
          <w:iCs/>
        </w:rPr>
        <w:t>Dėl laisvės atėmimo bausmę ne savo gyvenamosios vietos rinkimų apygardoje atliekančio asmens balsavimo teisių apribojimo</w:t>
      </w:r>
      <w:bookmarkEnd w:id="45"/>
    </w:p>
    <w:p w14:paraId="11720FA9" w14:textId="77777777" w:rsidR="00CC38E3" w:rsidRPr="00CC38E3" w:rsidRDefault="00CC38E3" w:rsidP="00CC38E3">
      <w:pPr>
        <w:spacing w:after="0" w:line="240" w:lineRule="auto"/>
        <w:jc w:val="center"/>
        <w:rPr>
          <w:rFonts w:cstheme="minorHAnsi"/>
          <w:b/>
        </w:rPr>
      </w:pPr>
    </w:p>
    <w:p w14:paraId="5FCF6FFA" w14:textId="77777777" w:rsidR="00CC38E3" w:rsidRPr="00CC38E3" w:rsidRDefault="00CC38E3" w:rsidP="00CC38E3">
      <w:pPr>
        <w:spacing w:after="0" w:line="240" w:lineRule="auto"/>
        <w:jc w:val="center"/>
        <w:rPr>
          <w:rFonts w:cstheme="minorHAnsi"/>
          <w:b/>
        </w:rPr>
      </w:pPr>
      <w:r w:rsidRPr="00CC38E3">
        <w:rPr>
          <w:rFonts w:cstheme="minorHAnsi"/>
          <w:b/>
        </w:rPr>
        <w:t>Faktinės aplinkybės</w:t>
      </w:r>
    </w:p>
    <w:p w14:paraId="3407C2C1" w14:textId="77777777" w:rsidR="00CC38E3" w:rsidRPr="00CC38E3" w:rsidRDefault="00CC38E3" w:rsidP="00CC38E3">
      <w:pPr>
        <w:spacing w:after="0" w:line="240" w:lineRule="auto"/>
        <w:ind w:firstLine="540"/>
        <w:jc w:val="center"/>
        <w:rPr>
          <w:rFonts w:cstheme="minorHAnsi"/>
          <w:b/>
        </w:rPr>
      </w:pPr>
    </w:p>
    <w:p w14:paraId="28C74666" w14:textId="77777777" w:rsidR="00CC38E3" w:rsidRPr="00CC38E3" w:rsidRDefault="00CC38E3" w:rsidP="00CC38E3">
      <w:pPr>
        <w:spacing w:after="0" w:line="240" w:lineRule="auto"/>
        <w:ind w:firstLine="567"/>
        <w:jc w:val="both"/>
        <w:rPr>
          <w:rFonts w:cstheme="minorHAnsi"/>
        </w:rPr>
      </w:pPr>
      <w:r w:rsidRPr="00CC38E3">
        <w:rPr>
          <w:rFonts w:cstheme="minorHAnsi"/>
        </w:rPr>
        <w:t>Pareiškėjui, Rumunijos piliečiui, buvo neleista balsuoti 2016 metais vykusiuose Rumunijos parlamento rinkimuose dėl to, kad jis rinkimų dieną atliko laisvės atėmimo bausmę Iaşi kalėjime (Rumunija), esančiame už jo gyvenamosios vietos rinkimų apygardos ribų, nepaisant to, kad teismai nebuvo priėmę jokio sprendimo, apribojančio jo teisę balsuoti. Pareiškėjas pateikė skundą dėl jo balsavimo teisės pažeidimo, tačiau prokuroras nusprendė nepradėti tyrimo, kadangi nebuvo nusikaltimo požymių, o nacionalinis teismas paliko galioti šį prokuroro nutarimą.</w:t>
      </w:r>
    </w:p>
    <w:p w14:paraId="7FE47A30" w14:textId="5CAC61A2" w:rsidR="00CC38E3" w:rsidRPr="00CC38E3" w:rsidRDefault="00CC38E3" w:rsidP="00CC38E3">
      <w:pPr>
        <w:spacing w:after="0" w:line="240" w:lineRule="auto"/>
        <w:ind w:firstLine="567"/>
        <w:jc w:val="both"/>
        <w:rPr>
          <w:rFonts w:cstheme="minorHAnsi"/>
        </w:rPr>
      </w:pPr>
      <w:r w:rsidRPr="00CC38E3">
        <w:rPr>
          <w:rFonts w:cstheme="minorHAnsi"/>
        </w:rPr>
        <w:t>Remdamasis Konvencijos 10 straipsniu, pareiškėjas skundėsi, kad jam buvo neteisėtai užkirstas kelias balsuoti 2016 metais vykusiuose parlamento rinkimuose. Įvertinęs faktines bylos aplinkybes, Teismas pareiškimą nusprendė nagrinėti pagal Konvencijos P</w:t>
      </w:r>
      <w:r>
        <w:rPr>
          <w:rFonts w:cstheme="minorHAnsi"/>
        </w:rPr>
        <w:t>irmojo p</w:t>
      </w:r>
      <w:r w:rsidRPr="00CC38E3">
        <w:rPr>
          <w:rFonts w:cstheme="minorHAnsi"/>
        </w:rPr>
        <w:t>rotokolo 3 straipsnį.</w:t>
      </w:r>
    </w:p>
    <w:p w14:paraId="7B307A0C" w14:textId="77777777" w:rsidR="00CC38E3" w:rsidRPr="00CC38E3" w:rsidRDefault="00CC38E3" w:rsidP="00CC38E3">
      <w:pPr>
        <w:spacing w:after="0" w:line="240" w:lineRule="auto"/>
        <w:ind w:firstLine="567"/>
        <w:jc w:val="both"/>
        <w:rPr>
          <w:rStyle w:val="tlid-translation"/>
          <w:rFonts w:cstheme="minorHAnsi"/>
        </w:rPr>
      </w:pPr>
    </w:p>
    <w:p w14:paraId="0DC70CE2" w14:textId="77777777" w:rsidR="00CC38E3" w:rsidRPr="00CC38E3" w:rsidRDefault="00CC38E3" w:rsidP="00CC38E3">
      <w:pPr>
        <w:spacing w:after="0" w:line="240" w:lineRule="auto"/>
        <w:jc w:val="center"/>
        <w:rPr>
          <w:rFonts w:cstheme="minorHAnsi"/>
        </w:rPr>
      </w:pPr>
      <w:r w:rsidRPr="00CC38E3">
        <w:rPr>
          <w:rFonts w:cstheme="minorHAnsi"/>
          <w:b/>
        </w:rPr>
        <w:t>Neoficiali Teismo sprendimo apžvalga</w:t>
      </w:r>
    </w:p>
    <w:p w14:paraId="2845EA95" w14:textId="77777777" w:rsidR="00CC38E3" w:rsidRPr="00CC38E3" w:rsidRDefault="00CC38E3" w:rsidP="00CC38E3">
      <w:pPr>
        <w:spacing w:after="0" w:line="240" w:lineRule="auto"/>
        <w:ind w:firstLine="567"/>
        <w:jc w:val="both"/>
        <w:rPr>
          <w:rStyle w:val="tlid-translation"/>
          <w:rFonts w:cstheme="minorHAnsi"/>
        </w:rPr>
      </w:pPr>
    </w:p>
    <w:p w14:paraId="1D451D9D" w14:textId="0DA0AC88" w:rsidR="00CC38E3" w:rsidRPr="00CC38E3" w:rsidRDefault="00CC38E3" w:rsidP="00CC38E3">
      <w:pPr>
        <w:spacing w:after="0" w:line="240" w:lineRule="auto"/>
        <w:ind w:firstLine="567"/>
        <w:jc w:val="both"/>
        <w:rPr>
          <w:rFonts w:cstheme="minorHAnsi"/>
        </w:rPr>
      </w:pPr>
      <w:r w:rsidRPr="00CC38E3">
        <w:rPr>
          <w:rFonts w:cstheme="minorHAnsi"/>
        </w:rPr>
        <w:t xml:space="preserve">Teismas priminė, kad Konvencijos </w:t>
      </w:r>
      <w:r>
        <w:rPr>
          <w:rFonts w:cstheme="minorHAnsi"/>
        </w:rPr>
        <w:t>Pirmojo p</w:t>
      </w:r>
      <w:r w:rsidRPr="00CC38E3">
        <w:rPr>
          <w:rFonts w:cstheme="minorHAnsi"/>
        </w:rPr>
        <w:t>rotokolo 3 straipsnyje garantuojamos teisės, tarp jų ir teisė balsuoti, yra labai svarbios siekiant sukurti ir išlaikyti veiksmingos bei prasmingos demokratijos, grindžiamos teisės viršenybe, pagrindus. Nepaisant to, šios teisės nėra absoliučios</w:t>
      </w:r>
      <w:r>
        <w:rPr>
          <w:rFonts w:cstheme="minorHAnsi"/>
        </w:rPr>
        <w:t xml:space="preserve">, todėl </w:t>
      </w:r>
      <w:r w:rsidRPr="00CC38E3">
        <w:rPr>
          <w:rFonts w:cstheme="minorHAnsi"/>
        </w:rPr>
        <w:t xml:space="preserve">galimi tam tikri jų ribojimai, o </w:t>
      </w:r>
      <w:r w:rsidR="00CC3A09" w:rsidRPr="00CC3A09">
        <w:rPr>
          <w:rFonts w:cstheme="minorHAnsi"/>
        </w:rPr>
        <w:t>S</w:t>
      </w:r>
      <w:r w:rsidRPr="00CC3A09">
        <w:rPr>
          <w:rFonts w:cstheme="minorHAnsi"/>
        </w:rPr>
        <w:t>usitariančio</w:t>
      </w:r>
      <w:r w:rsidR="005123AF">
        <w:rPr>
          <w:rFonts w:cstheme="minorHAnsi"/>
        </w:rPr>
        <w:t>sio</w:t>
      </w:r>
      <w:r w:rsidRPr="00CC3A09">
        <w:rPr>
          <w:rFonts w:cstheme="minorHAnsi"/>
        </w:rPr>
        <w:t xml:space="preserve">ms </w:t>
      </w:r>
      <w:r w:rsidR="00CC3A09" w:rsidRPr="00CC3A09">
        <w:rPr>
          <w:rFonts w:cstheme="minorHAnsi"/>
        </w:rPr>
        <w:t>Valstybėms</w:t>
      </w:r>
      <w:r w:rsidR="00CC3A09">
        <w:rPr>
          <w:rFonts w:cstheme="minorHAnsi"/>
        </w:rPr>
        <w:t xml:space="preserve"> </w:t>
      </w:r>
      <w:r w:rsidRPr="00CC38E3">
        <w:rPr>
          <w:rFonts w:cstheme="minorHAnsi"/>
        </w:rPr>
        <w:t>paliekama plati, nors ir ne visa apimanti, vertinimo laisvė šioje srityje.</w:t>
      </w:r>
    </w:p>
    <w:p w14:paraId="7F8DCE72" w14:textId="77777777" w:rsidR="00CC38E3" w:rsidRPr="00CC38E3" w:rsidRDefault="00CC38E3" w:rsidP="00CC38E3">
      <w:pPr>
        <w:spacing w:after="0" w:line="240" w:lineRule="auto"/>
        <w:ind w:firstLine="567"/>
        <w:jc w:val="both"/>
        <w:rPr>
          <w:rFonts w:cstheme="minorHAnsi"/>
        </w:rPr>
      </w:pPr>
      <w:r w:rsidRPr="00CC38E3">
        <w:rPr>
          <w:rFonts w:cstheme="minorHAnsi"/>
        </w:rPr>
        <w:t>Nors nagrinėtu atveju pareiškėjo teisė balsuoti nebuvo apribota teismo sprendimu, tačiau praktiškai ji buvo paneigta, kadangi vidaus įstatymai leido balsuoti tik toje rinkimų apygardoje, kurioje yra rinkėjo gyvenamoji vieta, o pareiškėjas rinkimų dieną atliko bausmę kalėjime, esančiame už jo rinkimų apygardos ribų. Taigi iš pareiškėjo buvo atimta galimybė balsuoti, todėl buvo apribota Konvencijos Protokolo Nr. 1 3 straipsnyje įtvirtinta jo teisė balsuoti.</w:t>
      </w:r>
    </w:p>
    <w:p w14:paraId="7E35F760" w14:textId="77777777" w:rsidR="00CC38E3" w:rsidRPr="00CC38E3" w:rsidRDefault="00CC38E3" w:rsidP="00CC38E3">
      <w:pPr>
        <w:spacing w:after="0" w:line="240" w:lineRule="auto"/>
        <w:ind w:firstLine="567"/>
        <w:jc w:val="both"/>
        <w:rPr>
          <w:rFonts w:cstheme="minorHAnsi"/>
        </w:rPr>
      </w:pPr>
      <w:r w:rsidRPr="00CC38E3">
        <w:rPr>
          <w:rFonts w:cstheme="minorHAnsi"/>
        </w:rPr>
        <w:t>Teismas pripažino, kad tokia rinkimų sistema, kuri, kaip Rumunijoje, nustato teritorinį ryšį tarp rinkėjų ir jų išrinktų atstovų, siekia teisėto tikslo, suderinamo su teisinės valstybės principu ir bendraisiais Konvencijos tikslais. Tačiau svarbu įvertinti, ar šiuo atveju buvo išvengta galimos savivalės ir ar taikomas apribojimas buvo proporcingas bei netrukdė laisvai reikšti žmonių valią.</w:t>
      </w:r>
    </w:p>
    <w:p w14:paraId="776029C3" w14:textId="77777777" w:rsidR="00CC38E3" w:rsidRPr="00CC38E3" w:rsidRDefault="00CC38E3" w:rsidP="00CC38E3">
      <w:pPr>
        <w:spacing w:after="0" w:line="240" w:lineRule="auto"/>
        <w:ind w:firstLine="567"/>
        <w:jc w:val="both"/>
        <w:rPr>
          <w:rFonts w:cstheme="minorHAnsi"/>
        </w:rPr>
      </w:pPr>
      <w:r w:rsidRPr="00CC38E3">
        <w:rPr>
          <w:rFonts w:cstheme="minorHAnsi"/>
        </w:rPr>
        <w:t xml:space="preserve">Šiuo klausimu Teismas pažymėjo, kad </w:t>
      </w:r>
      <w:r w:rsidRPr="00CC38E3">
        <w:rPr>
          <w:rFonts w:cstheme="minorHAnsi"/>
          <w:u w:val="single"/>
        </w:rPr>
        <w:t>nepaisant to, jog valstybėms suteikiama didelė vertinimo laisvė organizuojant ir valdant savo rinkimų sistemas, padėtis nėra tokia pati, kai iš asmens ar jų grupės atimama teisė balsuoti. Pastaruoju atveju turi būti taikomas griežtesnis proporcingumo testas</w:t>
      </w:r>
      <w:r w:rsidRPr="00CC38E3">
        <w:rPr>
          <w:rFonts w:cstheme="minorHAnsi"/>
        </w:rPr>
        <w:t>, kad būtų užtikrintas rinkimų procedūros, kuria siekiama nustatyti žmonių valią per visuotinę rinkimų teisę, vientisumas ir veiksmingumas. Šiuo aspektu bylos faktinių aplinkybių kontekste Teismas atkreipė dėmesį į tai, kad pareiškėjas dėl to, jog atliko laisvės atėmimo bausmę, nekontroliavo savo buvimo vietos ir negalėjo laisvai laikytis rinkimų įstatymo teritorinių reikalavimų.</w:t>
      </w:r>
    </w:p>
    <w:p w14:paraId="3F2F22D7" w14:textId="77777777" w:rsidR="00CC38E3" w:rsidRPr="00CC38E3" w:rsidRDefault="00CC38E3" w:rsidP="00CC38E3">
      <w:pPr>
        <w:spacing w:after="0" w:line="240" w:lineRule="auto"/>
        <w:ind w:firstLine="567"/>
        <w:jc w:val="both"/>
        <w:rPr>
          <w:rFonts w:cstheme="minorHAnsi"/>
        </w:rPr>
      </w:pPr>
      <w:r w:rsidRPr="00CC38E3">
        <w:rPr>
          <w:rFonts w:cstheme="minorHAnsi"/>
        </w:rPr>
        <w:lastRenderedPageBreak/>
        <w:t>Remdamasis lyginamąja analize dėl kalinamųjų teisės balsuoti, apimančia 31 valstybę</w:t>
      </w:r>
      <w:r w:rsidRPr="00CC38E3">
        <w:rPr>
          <w:rStyle w:val="Puslapioinaosnuoroda"/>
          <w:rFonts w:cstheme="minorHAnsi"/>
        </w:rPr>
        <w:footnoteReference w:id="2"/>
      </w:r>
      <w:r w:rsidRPr="00CC38E3">
        <w:rPr>
          <w:rFonts w:cstheme="minorHAnsi"/>
        </w:rPr>
        <w:t xml:space="preserve"> Konvencijos dalyvę, Teismas nustatė, kad apklaustos valstybės taiko skirtingas priemones, leidžiančias kaliniams pasinaudoti savo balsavimo teise, tačiau nei vienoje iš apklaustų valstybių kaliniui nebūtų užkirstas kelias balsuoti parlamento rinkimuose vien dėl to, kad jis atlieka bausmę kalėjime, esančiame už jo gyvenamosios vietos rinkimų apygardos ribų. Taigi Teismas sprendė, kad galima daryti išvadą, jog Europoje egzistuoja tvirtas konsensusas, kad pareiškėjo padėtyje esantiems kaliniams turėtų būti leista pasinaudoti savo balsavimo teise.</w:t>
      </w:r>
    </w:p>
    <w:p w14:paraId="0E585578" w14:textId="302C6EFF" w:rsidR="00CC38E3" w:rsidRPr="00CC38E3" w:rsidRDefault="00CC38E3" w:rsidP="00CC38E3">
      <w:pPr>
        <w:spacing w:after="0" w:line="240" w:lineRule="auto"/>
        <w:ind w:firstLine="567"/>
        <w:jc w:val="both"/>
        <w:rPr>
          <w:rFonts w:cstheme="minorHAnsi"/>
        </w:rPr>
      </w:pPr>
      <w:r w:rsidRPr="00CC38E3">
        <w:rPr>
          <w:rFonts w:cstheme="minorHAnsi"/>
        </w:rPr>
        <w:t>Teismas akcentavo, kad dvylikoje iš keturiasdešimt dviejų Rumunijos teritorijoje esančių rinkimų apygardų nėra kalinimo įstaigų, o kalinimo įstaiga rinkimų tikslais negali būti laikoma kalinio gyvenamąja vieta. Todėl kiekvienam kaliniui, kuris, kaip ir pareiškėjas, gyvena vienoje iš šių dvylikos rinkimų apygardų, automatiškai būtų uždrausta balsuoti kalinimo metu. Teismo vertinimu, tokia situacija negali būti suprantama kaip suderinama su Konvencijos nuostatomis. Šiuo aspektu Teismas pažymėjo, kad Konvencija siekiama garantuoti teises, kurios yra praktiškai įgyvendinamos ir veiksmingos, o ne teorinės ir iliuzinės, todėl valstybės turi užtikrinti, kad organizuojant rinkimų sistemą</w:t>
      </w:r>
      <w:r w:rsidR="00496D7D">
        <w:rPr>
          <w:rFonts w:cstheme="minorHAnsi"/>
        </w:rPr>
        <w:t>,</w:t>
      </w:r>
      <w:r w:rsidRPr="00CC38E3">
        <w:rPr>
          <w:rFonts w:cstheme="minorHAnsi"/>
        </w:rPr>
        <w:t xml:space="preserve"> būtų atsižvelgta į individualias rinkėjo aplinkybes. Tačiau nebuvo aišku, ar ir kaip tai buvo padaryta nagrinėtu atveju.</w:t>
      </w:r>
    </w:p>
    <w:p w14:paraId="6DD39B62" w14:textId="77777777" w:rsidR="00CC38E3" w:rsidRPr="00CC38E3" w:rsidRDefault="00CC38E3" w:rsidP="00CC38E3">
      <w:pPr>
        <w:spacing w:after="0" w:line="240" w:lineRule="auto"/>
        <w:ind w:firstLine="567"/>
        <w:jc w:val="both"/>
        <w:rPr>
          <w:rFonts w:cstheme="minorHAnsi"/>
        </w:rPr>
      </w:pPr>
      <w:r w:rsidRPr="00CC38E3">
        <w:rPr>
          <w:rFonts w:cstheme="minorHAnsi"/>
        </w:rPr>
        <w:t>Nors Rumunijos Vyriausybė teigė, kad pareiškėjas galėjo kreiptis dėl jo gyvenamosios vietos perkėlimo į miestą, kuriame jis atliko bausmę, tačiau ji nepateikė jokio įtikinamo paaiškinimo, kiek tokie veiksmai būtų buvę realūs. Šiame kontekste Teismas pabrėžė, kad pagal galiojančius įstatymus pareiškėjas turėjo pateikti nuomos sutartį, jį priimti norinčio būsto šeimininko pareiškimą arba policijos pareigūno pranešimą, patvirtinantį, kad jis iš tikrųjų gyveno tame mieste. Teismo neįtikino, kad pareiškėjo padėtyje esantis kalinys galėtų pateikti tokius dokumentus bet kuriuo adresu, esančiu už kalėjimo ribų, todėl sprendė, kad šiuo atveju pareiškėjui nustatyta našta buvo neproporcingai didelė.</w:t>
      </w:r>
    </w:p>
    <w:p w14:paraId="69FCE0AE" w14:textId="77777777" w:rsidR="00CC38E3" w:rsidRPr="00CC38E3" w:rsidRDefault="00CC38E3" w:rsidP="00CC38E3">
      <w:pPr>
        <w:spacing w:after="0" w:line="240" w:lineRule="auto"/>
        <w:ind w:firstLine="567"/>
        <w:jc w:val="both"/>
        <w:rPr>
          <w:rFonts w:cstheme="minorHAnsi"/>
        </w:rPr>
      </w:pPr>
      <w:r w:rsidRPr="00CC38E3">
        <w:rPr>
          <w:rFonts w:cstheme="minorHAnsi"/>
        </w:rPr>
        <w:t>Teismas taip pat tik kaip teorinę vertino galimybę kaliniams prašyti būti perkeltiems į kalinimo įstaigą, esančią jų gyvenamosios vietos rinkimų apygardoje, kadangi įstatymai to aiškiai nenustatė. Be to, dėl pareiškėjo individualios situacijos (prieš tai jis jau keletą kartų buvo perkeltas į kalinimo įstaigas, esančias skirtingose rinkimų apygardose) Teismas tokio prašymo tenkinimą vertino kaip sunkiai nuspėjamą ir pažymėjo, kad bet kuriuo atveju pareiškėjui, kurio gyvenamoji vieta buvo rinkimų apygardoje, kurioje nebuvo įkalinimo įstaigos, ši galimybė liko iliuzinė.</w:t>
      </w:r>
    </w:p>
    <w:p w14:paraId="25446A93" w14:textId="77777777" w:rsidR="00CC38E3" w:rsidRPr="00CC38E3" w:rsidRDefault="00CC38E3" w:rsidP="00CC38E3">
      <w:pPr>
        <w:spacing w:after="0" w:line="240" w:lineRule="auto"/>
        <w:ind w:firstLine="567"/>
        <w:jc w:val="both"/>
        <w:rPr>
          <w:rFonts w:cstheme="minorHAnsi"/>
        </w:rPr>
      </w:pPr>
      <w:r w:rsidRPr="00CC38E3">
        <w:rPr>
          <w:rFonts w:cstheme="minorHAnsi"/>
        </w:rPr>
        <w:t>Teismas pripažino, kad įstatymai negali atsižvelgti į kiekvieną individualų atvejį ir tam tikromis aplinkybėmis bendrosios taisyklės taikymas konkrečiam atvejui gali reikšti Konvencijos pažeidimą. Tačiau atkreipė dėmesį, kad šiuo atveju galimybė kaliniui naudotis teise balsuoti (kai šios teisės neapribojo teismas) tapo visiškai atsitiktine ir nepriklausančia nuo suinteresuoto asmens valios, o išimtinai kontroliuojama valdžios. Galiausiai Teismas pažymėjo, kad aplinkybė, jog buvo rasti sprendimai, kad nerezidentai ir užsienyje esantys kariškiai bei policijos darbuotojai galėtų balsuoti kitoje rinkimų apygardoje nei jų nuolatinė gyvenamoji vieta, rodo, jog gyvenamosios vietos reikalavimas dabartinėje rinkimų sistemoje nebuvo esminis.</w:t>
      </w:r>
    </w:p>
    <w:p w14:paraId="4CB94A71" w14:textId="77777777" w:rsidR="00CC38E3" w:rsidRPr="00CC38E3" w:rsidRDefault="00CC38E3" w:rsidP="00CC38E3">
      <w:pPr>
        <w:spacing w:after="0" w:line="240" w:lineRule="auto"/>
        <w:ind w:firstLine="567"/>
        <w:jc w:val="both"/>
        <w:rPr>
          <w:rFonts w:cstheme="minorHAnsi"/>
        </w:rPr>
      </w:pPr>
      <w:r w:rsidRPr="00CC38E3">
        <w:rPr>
          <w:rFonts w:cstheme="minorHAnsi"/>
        </w:rPr>
        <w:t>Teismas sutiko, kad jo vaidmuo nėra nurodyti, koks būtų geriausias sprendimas, leidžiantis kaliniams, esantiems pareiškėjo padėtyje, balsuoti, tačiau negalėjo nepastebėti, kad galimi net keli skirtingi sprendimai, kurie jau buvo taikomi 31 apklaustoje valstybėje. Vadinasi, valstybės užduotis užtikrinti, kad pareiškėjo situacijoje esantys kaliniai pasinaudotų balsavimo teise, neatrodo neįveikiama.</w:t>
      </w:r>
    </w:p>
    <w:p w14:paraId="7B699E00" w14:textId="2B04E1DD" w:rsidR="00CC38E3" w:rsidRPr="00CC38E3" w:rsidRDefault="00CC38E3" w:rsidP="00CC38E3">
      <w:pPr>
        <w:pStyle w:val="ClinContent"/>
        <w:spacing w:before="0"/>
        <w:ind w:firstLine="567"/>
        <w:rPr>
          <w:rFonts w:asciiTheme="minorHAnsi" w:hAnsiTheme="minorHAnsi" w:cstheme="minorHAnsi"/>
          <w:sz w:val="22"/>
          <w:szCs w:val="22"/>
          <w:lang w:val="lt-LT"/>
        </w:rPr>
      </w:pPr>
      <w:r w:rsidRPr="00CC38E3">
        <w:rPr>
          <w:rFonts w:asciiTheme="minorHAnsi" w:hAnsiTheme="minorHAnsi" w:cstheme="minorHAnsi"/>
          <w:sz w:val="22"/>
          <w:szCs w:val="22"/>
          <w:lang w:val="lt-LT"/>
        </w:rPr>
        <w:t xml:space="preserve">Šiomis aplinkybėmis Teismas konstatavo, kad Rumunijos Vyriausybė nepateikė svarbių ir pakankamų priežasčių, įrodančių, kad pareiškėjo balsavimo teisės apribojimas buvo proporcingas, todėl buvo pažeistas Konvencijos </w:t>
      </w:r>
      <w:r w:rsidR="00496D7D">
        <w:rPr>
          <w:rFonts w:asciiTheme="minorHAnsi" w:hAnsiTheme="minorHAnsi" w:cstheme="minorHAnsi"/>
          <w:sz w:val="22"/>
          <w:szCs w:val="22"/>
          <w:lang w:val="lt-LT"/>
        </w:rPr>
        <w:t>Pirmojo p</w:t>
      </w:r>
      <w:r w:rsidRPr="00CC38E3">
        <w:rPr>
          <w:rFonts w:asciiTheme="minorHAnsi" w:hAnsiTheme="minorHAnsi" w:cstheme="minorHAnsi"/>
          <w:sz w:val="22"/>
          <w:szCs w:val="22"/>
          <w:lang w:val="lt-LT"/>
        </w:rPr>
        <w:t>rotokolo</w:t>
      </w:r>
      <w:r w:rsidR="00496D7D">
        <w:rPr>
          <w:rFonts w:asciiTheme="minorHAnsi" w:hAnsiTheme="minorHAnsi" w:cstheme="minorHAnsi"/>
          <w:sz w:val="22"/>
          <w:szCs w:val="22"/>
          <w:lang w:val="lt-LT"/>
        </w:rPr>
        <w:t xml:space="preserve"> </w:t>
      </w:r>
      <w:r w:rsidRPr="00CC38E3">
        <w:rPr>
          <w:rFonts w:asciiTheme="minorHAnsi" w:hAnsiTheme="minorHAnsi" w:cstheme="minorHAnsi"/>
          <w:sz w:val="22"/>
          <w:szCs w:val="22"/>
          <w:lang w:val="lt-LT"/>
        </w:rPr>
        <w:t>3 straipsnis.</w:t>
      </w:r>
    </w:p>
    <w:p w14:paraId="1DDF54BF" w14:textId="77777777" w:rsidR="00CC38E3" w:rsidRPr="00CC38E3" w:rsidRDefault="00CC38E3" w:rsidP="00CC38E3">
      <w:pPr>
        <w:spacing w:after="0" w:line="240" w:lineRule="auto"/>
        <w:ind w:firstLine="567"/>
        <w:jc w:val="both"/>
        <w:rPr>
          <w:rStyle w:val="tlid-translation"/>
          <w:rFonts w:cstheme="minorHAnsi"/>
        </w:rPr>
      </w:pPr>
    </w:p>
    <w:p w14:paraId="1BC2E8D9" w14:textId="68C4C412" w:rsidR="00CC38E3" w:rsidRPr="00CC38E3" w:rsidRDefault="00CC38E3" w:rsidP="00CC38E3">
      <w:pPr>
        <w:spacing w:after="0" w:line="240" w:lineRule="auto"/>
        <w:ind w:firstLine="567"/>
        <w:jc w:val="both"/>
        <w:rPr>
          <w:rFonts w:cstheme="minorHAnsi"/>
        </w:rPr>
      </w:pPr>
      <w:r w:rsidRPr="00CC38E3">
        <w:rPr>
          <w:rFonts w:cstheme="minorHAnsi"/>
        </w:rPr>
        <w:t xml:space="preserve">Išvada: nustatytas Konvencijos </w:t>
      </w:r>
      <w:r w:rsidR="00496D7D">
        <w:rPr>
          <w:rFonts w:cstheme="minorHAnsi"/>
        </w:rPr>
        <w:t>Pirmojo p</w:t>
      </w:r>
      <w:r w:rsidRPr="00CC38E3">
        <w:rPr>
          <w:rFonts w:cstheme="minorHAnsi"/>
        </w:rPr>
        <w:t>rotokolo 3 straipsnio pažeidimas (vienbalsiai).</w:t>
      </w:r>
    </w:p>
    <w:p w14:paraId="1F6B8EEC" w14:textId="77777777" w:rsidR="00CC38E3" w:rsidRPr="00CC38E3" w:rsidRDefault="00CC38E3" w:rsidP="00CC38E3">
      <w:pPr>
        <w:spacing w:after="0" w:line="240" w:lineRule="auto"/>
        <w:ind w:right="-1" w:firstLine="567"/>
        <w:jc w:val="both"/>
        <w:rPr>
          <w:rFonts w:cstheme="minorHAnsi"/>
        </w:rPr>
      </w:pPr>
      <w:r w:rsidRPr="00CC38E3">
        <w:rPr>
          <w:rFonts w:cstheme="minorHAnsi"/>
        </w:rPr>
        <w:t>41 straipsnis: pažeidimo konstatavimas – pakankama satisfakcija neturtinės žalos atlyginimui.</w:t>
      </w:r>
    </w:p>
    <w:p w14:paraId="7C56AF26" w14:textId="6F97A9D8" w:rsidR="00CC38E3" w:rsidRPr="00CC38E3" w:rsidRDefault="00A1313E" w:rsidP="00CC38E3">
      <w:pPr>
        <w:ind w:firstLine="567"/>
        <w:rPr>
          <w:rStyle w:val="Hipersaitas"/>
          <w:rFonts w:cstheme="minorHAnsi"/>
        </w:rPr>
      </w:pPr>
      <w:hyperlink r:id="rId22" w:history="1">
        <w:r w:rsidR="00CC38E3" w:rsidRPr="00CC38E3">
          <w:rPr>
            <w:rStyle w:val="Hipersaitas"/>
            <w:rFonts w:cstheme="minorHAnsi"/>
          </w:rPr>
          <w:t>Prieiga internete</w:t>
        </w:r>
      </w:hyperlink>
    </w:p>
    <w:p w14:paraId="41790556" w14:textId="3B912FDA" w:rsidR="00571F6B" w:rsidRPr="00CC38E3" w:rsidRDefault="00571F6B" w:rsidP="005C5A0E">
      <w:pPr>
        <w:spacing w:after="0" w:line="240" w:lineRule="auto"/>
        <w:ind w:firstLine="567"/>
        <w:jc w:val="both"/>
        <w:rPr>
          <w:rFonts w:cstheme="minorHAnsi"/>
        </w:rPr>
      </w:pPr>
    </w:p>
    <w:sectPr w:rsidR="00571F6B" w:rsidRPr="00CC38E3" w:rsidSect="007D4315">
      <w:headerReference w:type="default" r:id="rId23"/>
      <w:footerReference w:type="default" r:id="rId24"/>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43E91" w14:textId="77777777" w:rsidR="00A1313E" w:rsidRDefault="00A1313E">
      <w:pPr>
        <w:spacing w:after="0" w:line="240" w:lineRule="auto"/>
      </w:pPr>
      <w:r>
        <w:separator/>
      </w:r>
    </w:p>
  </w:endnote>
  <w:endnote w:type="continuationSeparator" w:id="0">
    <w:p w14:paraId="1065947B" w14:textId="77777777" w:rsidR="00A1313E" w:rsidRDefault="00A13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852252299"/>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18730759" w14:textId="77777777" w:rsidR="005C2516" w:rsidRPr="00C95576" w:rsidRDefault="005C2516">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sidR="00C1400D">
              <w:rPr>
                <w:bCs/>
                <w:noProof/>
                <w:sz w:val="20"/>
                <w:szCs w:val="20"/>
              </w:rPr>
              <w:t>2</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sidR="00C1400D">
              <w:rPr>
                <w:bCs/>
                <w:noProof/>
                <w:sz w:val="20"/>
                <w:szCs w:val="20"/>
              </w:rPr>
              <w:t>21</w:t>
            </w:r>
            <w:r w:rsidRPr="00C95576">
              <w:rPr>
                <w:bCs/>
                <w:sz w:val="20"/>
                <w:szCs w:val="20"/>
              </w:rPr>
              <w:fldChar w:fldCharType="end"/>
            </w:r>
          </w:p>
        </w:sdtContent>
      </w:sdt>
    </w:sdtContent>
  </w:sdt>
  <w:p w14:paraId="0FEDAA04" w14:textId="77777777" w:rsidR="005C2516" w:rsidRDefault="005C251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313B6" w14:textId="77777777" w:rsidR="00A1313E" w:rsidRDefault="00A1313E">
      <w:pPr>
        <w:spacing w:after="0" w:line="240" w:lineRule="auto"/>
      </w:pPr>
      <w:r>
        <w:separator/>
      </w:r>
    </w:p>
  </w:footnote>
  <w:footnote w:type="continuationSeparator" w:id="0">
    <w:p w14:paraId="1E8ACA56" w14:textId="77777777" w:rsidR="00A1313E" w:rsidRDefault="00A1313E">
      <w:pPr>
        <w:spacing w:after="0" w:line="240" w:lineRule="auto"/>
      </w:pPr>
      <w:r>
        <w:continuationSeparator/>
      </w:r>
    </w:p>
  </w:footnote>
  <w:footnote w:id="1">
    <w:p w14:paraId="2EFD9105" w14:textId="77777777" w:rsidR="005C2516" w:rsidRPr="00F05ED0" w:rsidRDefault="005C2516" w:rsidP="009A78C8">
      <w:pPr>
        <w:pStyle w:val="Puslapioinaostekstas"/>
        <w:jc w:val="both"/>
        <w:rPr>
          <w:rFonts w:asciiTheme="minorHAnsi" w:hAnsiTheme="minorHAnsi" w:cstheme="minorHAnsi"/>
        </w:rPr>
      </w:pPr>
      <w:r w:rsidRPr="00F05ED0">
        <w:rPr>
          <w:rStyle w:val="Puslapioinaosnuoroda"/>
          <w:rFonts w:asciiTheme="minorHAnsi" w:hAnsiTheme="minorHAnsi" w:cstheme="minorHAnsi"/>
        </w:rPr>
        <w:footnoteRef/>
      </w:r>
      <w:r w:rsidRPr="00F05ED0">
        <w:rPr>
          <w:rFonts w:asciiTheme="minorHAnsi" w:hAnsiTheme="minorHAnsi" w:cstheme="minorHAnsi"/>
        </w:rPr>
        <w:t xml:space="preserve"> Įvertinti 36 valstybių Europos Tarybos narių atsakymai dėl nacionaliniuose teisės aktuose įtvirtintų nuostatų dėl kalinamųjų teisės steigti profesines sąjungas ir stoti į jas.</w:t>
      </w:r>
    </w:p>
  </w:footnote>
  <w:footnote w:id="2">
    <w:p w14:paraId="248A4695" w14:textId="77777777" w:rsidR="005C2516" w:rsidRDefault="005C2516" w:rsidP="00CC38E3">
      <w:pPr>
        <w:pStyle w:val="Puslapioinaostekstas"/>
        <w:jc w:val="both"/>
      </w:pPr>
      <w:r>
        <w:rPr>
          <w:rStyle w:val="Puslapioinaosnuoroda"/>
        </w:rPr>
        <w:footnoteRef/>
      </w:r>
      <w:r>
        <w:t xml:space="preserve"> </w:t>
      </w:r>
      <w:r w:rsidRPr="00412916">
        <w:t>Albanija, Austrija, Azerbaidžanas, Belgija, Bosnija ir Hercegovina, Kroatija, Čekija, Danija, Suomija, Prancūzija, Vokietija, Graikija, Islandija, Airija, Italija, Latvija, Lietuva, Liuksemburgas, Malta, Moldovos Respublika, Juodkalnija, Nyderlandai, Šiaurės Makedonija, Lenkija, Portugalija, Serbija, Slovakijos Respublika, Slovėnija, Ispanija, Šveicarija ir Ukraina</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5C2516" w:rsidRPr="000967FF" w14:paraId="363E1FB1" w14:textId="77777777" w:rsidTr="00C22527">
      <w:tc>
        <w:tcPr>
          <w:tcW w:w="7230" w:type="dxa"/>
        </w:tcPr>
        <w:p w14:paraId="5C87C8A7" w14:textId="77777777" w:rsidR="005C2516" w:rsidRPr="0021377E" w:rsidRDefault="005C2516"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15847117" w:rsidR="005C2516" w:rsidRPr="0021377E" w:rsidRDefault="005C2516" w:rsidP="0037620F">
          <w:pPr>
            <w:rPr>
              <w:rFonts w:ascii="Calibri" w:hAnsi="Calibri"/>
              <w:color w:val="323E4F" w:themeColor="text2" w:themeShade="BF"/>
              <w:sz w:val="20"/>
              <w:szCs w:val="20"/>
            </w:rPr>
          </w:pPr>
          <w:r>
            <w:rPr>
              <w:rFonts w:ascii="Calibri" w:hAnsi="Calibri"/>
              <w:color w:val="323E4F" w:themeColor="text2" w:themeShade="BF"/>
              <w:sz w:val="20"/>
              <w:szCs w:val="20"/>
            </w:rPr>
            <w:t>202</w:t>
          </w:r>
          <w:r>
            <w:rPr>
              <w:rFonts w:ascii="Calibri" w:hAnsi="Calibri"/>
              <w:color w:val="323E4F" w:themeColor="text2" w:themeShade="BF"/>
              <w:sz w:val="20"/>
              <w:szCs w:val="20"/>
              <w:lang w:val="en-US"/>
            </w:rPr>
            <w:t>1</w:t>
          </w:r>
          <w:r>
            <w:rPr>
              <w:rFonts w:ascii="Calibri" w:hAnsi="Calibri"/>
              <w:color w:val="323E4F" w:themeColor="text2" w:themeShade="BF"/>
              <w:sz w:val="20"/>
              <w:szCs w:val="20"/>
            </w:rPr>
            <w:t xml:space="preserve"> 07</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01–2021 12</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31</w:t>
          </w:r>
        </w:p>
      </w:tc>
    </w:tr>
  </w:tbl>
  <w:p w14:paraId="08528B04" w14:textId="77777777" w:rsidR="005C2516" w:rsidRDefault="005C251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5758"/>
    <w:multiLevelType w:val="hybridMultilevel"/>
    <w:tmpl w:val="82B85CAC"/>
    <w:lvl w:ilvl="0" w:tplc="6B6813F2">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79A8624E"/>
    <w:multiLevelType w:val="hybridMultilevel"/>
    <w:tmpl w:val="0D20F00E"/>
    <w:lvl w:ilvl="0" w:tplc="2A6CEDF2">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num w:numId="1" w16cid:durableId="507256873">
    <w:abstractNumId w:val="2"/>
  </w:num>
  <w:num w:numId="2" w16cid:durableId="1149596499">
    <w:abstractNumId w:val="1"/>
  </w:num>
  <w:num w:numId="3" w16cid:durableId="1384908651">
    <w:abstractNumId w:val="3"/>
  </w:num>
  <w:num w:numId="4" w16cid:durableId="1547525185">
    <w:abstractNumId w:val="0"/>
  </w:num>
  <w:num w:numId="5" w16cid:durableId="11139435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1422"/>
    <w:rsid w:val="000033CA"/>
    <w:rsid w:val="000059D9"/>
    <w:rsid w:val="00005CD9"/>
    <w:rsid w:val="00005ED2"/>
    <w:rsid w:val="00006AAC"/>
    <w:rsid w:val="00010266"/>
    <w:rsid w:val="000146C4"/>
    <w:rsid w:val="00016793"/>
    <w:rsid w:val="00022EBF"/>
    <w:rsid w:val="0002415A"/>
    <w:rsid w:val="00025264"/>
    <w:rsid w:val="00026AA9"/>
    <w:rsid w:val="0003146A"/>
    <w:rsid w:val="000317E5"/>
    <w:rsid w:val="000329DA"/>
    <w:rsid w:val="00032E09"/>
    <w:rsid w:val="00037B28"/>
    <w:rsid w:val="000441D4"/>
    <w:rsid w:val="00045D7F"/>
    <w:rsid w:val="00051D22"/>
    <w:rsid w:val="000576BD"/>
    <w:rsid w:val="000659D1"/>
    <w:rsid w:val="00080BFA"/>
    <w:rsid w:val="00085E79"/>
    <w:rsid w:val="00086AE2"/>
    <w:rsid w:val="00087629"/>
    <w:rsid w:val="00093644"/>
    <w:rsid w:val="0009454D"/>
    <w:rsid w:val="0009639F"/>
    <w:rsid w:val="000B0DBB"/>
    <w:rsid w:val="000B4C85"/>
    <w:rsid w:val="000C0E99"/>
    <w:rsid w:val="000C1246"/>
    <w:rsid w:val="000E3F53"/>
    <w:rsid w:val="000E5FE6"/>
    <w:rsid w:val="000F1AF5"/>
    <w:rsid w:val="000F3BDD"/>
    <w:rsid w:val="000F4873"/>
    <w:rsid w:val="000F4A37"/>
    <w:rsid w:val="00100409"/>
    <w:rsid w:val="001114D7"/>
    <w:rsid w:val="00111E5F"/>
    <w:rsid w:val="00115310"/>
    <w:rsid w:val="00115F8C"/>
    <w:rsid w:val="001205F1"/>
    <w:rsid w:val="001206B4"/>
    <w:rsid w:val="00124031"/>
    <w:rsid w:val="001306E9"/>
    <w:rsid w:val="00135E8A"/>
    <w:rsid w:val="00144C55"/>
    <w:rsid w:val="001461EA"/>
    <w:rsid w:val="00150619"/>
    <w:rsid w:val="00153F1B"/>
    <w:rsid w:val="0016312B"/>
    <w:rsid w:val="0017187A"/>
    <w:rsid w:val="00186CD8"/>
    <w:rsid w:val="00190411"/>
    <w:rsid w:val="001941A2"/>
    <w:rsid w:val="001974FE"/>
    <w:rsid w:val="0019787C"/>
    <w:rsid w:val="001A1FCE"/>
    <w:rsid w:val="001A29C4"/>
    <w:rsid w:val="001A2ADA"/>
    <w:rsid w:val="001A2B79"/>
    <w:rsid w:val="001A3F69"/>
    <w:rsid w:val="001A4611"/>
    <w:rsid w:val="001A5F5A"/>
    <w:rsid w:val="001A610F"/>
    <w:rsid w:val="001B1FF1"/>
    <w:rsid w:val="001C0508"/>
    <w:rsid w:val="001C1244"/>
    <w:rsid w:val="001C38F6"/>
    <w:rsid w:val="001C501B"/>
    <w:rsid w:val="001D13E2"/>
    <w:rsid w:val="001F1CF0"/>
    <w:rsid w:val="001F30CD"/>
    <w:rsid w:val="001F37D5"/>
    <w:rsid w:val="001F6604"/>
    <w:rsid w:val="00205BEB"/>
    <w:rsid w:val="00207F9B"/>
    <w:rsid w:val="00210C45"/>
    <w:rsid w:val="00214F38"/>
    <w:rsid w:val="00217357"/>
    <w:rsid w:val="00224044"/>
    <w:rsid w:val="00230FBA"/>
    <w:rsid w:val="00232F51"/>
    <w:rsid w:val="00234614"/>
    <w:rsid w:val="002433E2"/>
    <w:rsid w:val="00246920"/>
    <w:rsid w:val="00253D5B"/>
    <w:rsid w:val="002556E5"/>
    <w:rsid w:val="0025732F"/>
    <w:rsid w:val="00263E9F"/>
    <w:rsid w:val="00264CEE"/>
    <w:rsid w:val="00267716"/>
    <w:rsid w:val="00272B99"/>
    <w:rsid w:val="00273F4D"/>
    <w:rsid w:val="00277903"/>
    <w:rsid w:val="00281044"/>
    <w:rsid w:val="00284966"/>
    <w:rsid w:val="002853B9"/>
    <w:rsid w:val="002868A4"/>
    <w:rsid w:val="00290ED6"/>
    <w:rsid w:val="0029123E"/>
    <w:rsid w:val="002A5DE3"/>
    <w:rsid w:val="002A6F70"/>
    <w:rsid w:val="002A73CF"/>
    <w:rsid w:val="002A7636"/>
    <w:rsid w:val="002B15F3"/>
    <w:rsid w:val="002B2757"/>
    <w:rsid w:val="002C13C4"/>
    <w:rsid w:val="002C1713"/>
    <w:rsid w:val="002C5413"/>
    <w:rsid w:val="002D0A91"/>
    <w:rsid w:val="002F23D7"/>
    <w:rsid w:val="002F43A7"/>
    <w:rsid w:val="0030137B"/>
    <w:rsid w:val="00303685"/>
    <w:rsid w:val="00305F76"/>
    <w:rsid w:val="003061A6"/>
    <w:rsid w:val="00306D41"/>
    <w:rsid w:val="00306FC2"/>
    <w:rsid w:val="00307841"/>
    <w:rsid w:val="0031042E"/>
    <w:rsid w:val="00310F3E"/>
    <w:rsid w:val="00311C7E"/>
    <w:rsid w:val="00314DD6"/>
    <w:rsid w:val="00326DBF"/>
    <w:rsid w:val="00330D45"/>
    <w:rsid w:val="003312CA"/>
    <w:rsid w:val="003460C1"/>
    <w:rsid w:val="00346301"/>
    <w:rsid w:val="00351BC2"/>
    <w:rsid w:val="00351D5B"/>
    <w:rsid w:val="00351F91"/>
    <w:rsid w:val="00354B02"/>
    <w:rsid w:val="003578B6"/>
    <w:rsid w:val="003626B1"/>
    <w:rsid w:val="003648BB"/>
    <w:rsid w:val="00366D1B"/>
    <w:rsid w:val="00370C09"/>
    <w:rsid w:val="003740DD"/>
    <w:rsid w:val="00374CDB"/>
    <w:rsid w:val="0037620F"/>
    <w:rsid w:val="003768B5"/>
    <w:rsid w:val="003812CB"/>
    <w:rsid w:val="00384E27"/>
    <w:rsid w:val="003851ED"/>
    <w:rsid w:val="003900E3"/>
    <w:rsid w:val="0039456C"/>
    <w:rsid w:val="003A37DB"/>
    <w:rsid w:val="003B116D"/>
    <w:rsid w:val="003B4852"/>
    <w:rsid w:val="003B6EBF"/>
    <w:rsid w:val="003B7E25"/>
    <w:rsid w:val="003C3579"/>
    <w:rsid w:val="003C4ABE"/>
    <w:rsid w:val="003C740A"/>
    <w:rsid w:val="003D0762"/>
    <w:rsid w:val="003D5C02"/>
    <w:rsid w:val="003E1CC0"/>
    <w:rsid w:val="003E32FC"/>
    <w:rsid w:val="003E3981"/>
    <w:rsid w:val="003F0638"/>
    <w:rsid w:val="003F0BA7"/>
    <w:rsid w:val="003F1676"/>
    <w:rsid w:val="004076D8"/>
    <w:rsid w:val="00407FA2"/>
    <w:rsid w:val="004136F9"/>
    <w:rsid w:val="00423B69"/>
    <w:rsid w:val="00426F74"/>
    <w:rsid w:val="00430029"/>
    <w:rsid w:val="00432F79"/>
    <w:rsid w:val="00433D88"/>
    <w:rsid w:val="00436638"/>
    <w:rsid w:val="004461D4"/>
    <w:rsid w:val="004531D4"/>
    <w:rsid w:val="00453ED1"/>
    <w:rsid w:val="00457674"/>
    <w:rsid w:val="0046082F"/>
    <w:rsid w:val="00460C74"/>
    <w:rsid w:val="00461D5F"/>
    <w:rsid w:val="00471132"/>
    <w:rsid w:val="00472F87"/>
    <w:rsid w:val="0047528D"/>
    <w:rsid w:val="004771B6"/>
    <w:rsid w:val="00482221"/>
    <w:rsid w:val="00482E6C"/>
    <w:rsid w:val="00485580"/>
    <w:rsid w:val="004912F4"/>
    <w:rsid w:val="00492256"/>
    <w:rsid w:val="004955D1"/>
    <w:rsid w:val="00496D7D"/>
    <w:rsid w:val="004A1084"/>
    <w:rsid w:val="004A150D"/>
    <w:rsid w:val="004A254D"/>
    <w:rsid w:val="004B1919"/>
    <w:rsid w:val="004B3FBA"/>
    <w:rsid w:val="004B562D"/>
    <w:rsid w:val="004B73D4"/>
    <w:rsid w:val="004C1277"/>
    <w:rsid w:val="004C1958"/>
    <w:rsid w:val="004C403F"/>
    <w:rsid w:val="004C59FE"/>
    <w:rsid w:val="004D3D54"/>
    <w:rsid w:val="004E21F2"/>
    <w:rsid w:val="004E28FB"/>
    <w:rsid w:val="004E2B81"/>
    <w:rsid w:val="004F245A"/>
    <w:rsid w:val="00506655"/>
    <w:rsid w:val="005123AF"/>
    <w:rsid w:val="00512C17"/>
    <w:rsid w:val="0051363D"/>
    <w:rsid w:val="00525BD1"/>
    <w:rsid w:val="00526614"/>
    <w:rsid w:val="005306E1"/>
    <w:rsid w:val="005312F6"/>
    <w:rsid w:val="005330B5"/>
    <w:rsid w:val="00536624"/>
    <w:rsid w:val="005408B2"/>
    <w:rsid w:val="0054219E"/>
    <w:rsid w:val="00571F6B"/>
    <w:rsid w:val="0057622D"/>
    <w:rsid w:val="00583515"/>
    <w:rsid w:val="005870AD"/>
    <w:rsid w:val="005A019E"/>
    <w:rsid w:val="005A0C23"/>
    <w:rsid w:val="005A40A2"/>
    <w:rsid w:val="005A6372"/>
    <w:rsid w:val="005B08C5"/>
    <w:rsid w:val="005B4163"/>
    <w:rsid w:val="005B435F"/>
    <w:rsid w:val="005B51AB"/>
    <w:rsid w:val="005C2516"/>
    <w:rsid w:val="005C2578"/>
    <w:rsid w:val="005C5A0E"/>
    <w:rsid w:val="005D6E08"/>
    <w:rsid w:val="005D788D"/>
    <w:rsid w:val="005E0C4C"/>
    <w:rsid w:val="005E7216"/>
    <w:rsid w:val="005E7DC4"/>
    <w:rsid w:val="005F54A2"/>
    <w:rsid w:val="006021A9"/>
    <w:rsid w:val="006030DA"/>
    <w:rsid w:val="006075D7"/>
    <w:rsid w:val="00611648"/>
    <w:rsid w:val="00612945"/>
    <w:rsid w:val="00633D57"/>
    <w:rsid w:val="00656880"/>
    <w:rsid w:val="00657CDF"/>
    <w:rsid w:val="00657F91"/>
    <w:rsid w:val="006601F7"/>
    <w:rsid w:val="006602CC"/>
    <w:rsid w:val="006637D9"/>
    <w:rsid w:val="0066728A"/>
    <w:rsid w:val="00667ACB"/>
    <w:rsid w:val="0067501F"/>
    <w:rsid w:val="00683B82"/>
    <w:rsid w:val="00684867"/>
    <w:rsid w:val="006860B3"/>
    <w:rsid w:val="006922FB"/>
    <w:rsid w:val="006965B7"/>
    <w:rsid w:val="006969FB"/>
    <w:rsid w:val="006A4F93"/>
    <w:rsid w:val="006B09B0"/>
    <w:rsid w:val="006B1CB2"/>
    <w:rsid w:val="006B4CC0"/>
    <w:rsid w:val="006C234E"/>
    <w:rsid w:val="006C3A46"/>
    <w:rsid w:val="006C3D4F"/>
    <w:rsid w:val="006C75B9"/>
    <w:rsid w:val="006D2C6F"/>
    <w:rsid w:val="006D3BE2"/>
    <w:rsid w:val="006D4829"/>
    <w:rsid w:val="006E326F"/>
    <w:rsid w:val="006E5616"/>
    <w:rsid w:val="006E7305"/>
    <w:rsid w:val="006E7D68"/>
    <w:rsid w:val="006F1519"/>
    <w:rsid w:val="006F2B91"/>
    <w:rsid w:val="00706A41"/>
    <w:rsid w:val="007175DE"/>
    <w:rsid w:val="00717976"/>
    <w:rsid w:val="007205EB"/>
    <w:rsid w:val="00721DA9"/>
    <w:rsid w:val="007220D0"/>
    <w:rsid w:val="00724C27"/>
    <w:rsid w:val="00726DE9"/>
    <w:rsid w:val="00733C94"/>
    <w:rsid w:val="00735513"/>
    <w:rsid w:val="00751E59"/>
    <w:rsid w:val="007622CB"/>
    <w:rsid w:val="007818DC"/>
    <w:rsid w:val="0078350C"/>
    <w:rsid w:val="00783BB3"/>
    <w:rsid w:val="007900FC"/>
    <w:rsid w:val="007A38D0"/>
    <w:rsid w:val="007A3B02"/>
    <w:rsid w:val="007A4776"/>
    <w:rsid w:val="007B1F05"/>
    <w:rsid w:val="007B673C"/>
    <w:rsid w:val="007D0C6C"/>
    <w:rsid w:val="007D147E"/>
    <w:rsid w:val="007D1963"/>
    <w:rsid w:val="007D1A6A"/>
    <w:rsid w:val="007D4315"/>
    <w:rsid w:val="007E096D"/>
    <w:rsid w:val="007E77CF"/>
    <w:rsid w:val="007F1A03"/>
    <w:rsid w:val="00800BC9"/>
    <w:rsid w:val="00806211"/>
    <w:rsid w:val="00814814"/>
    <w:rsid w:val="00814DD5"/>
    <w:rsid w:val="00831905"/>
    <w:rsid w:val="00831D44"/>
    <w:rsid w:val="00833D0A"/>
    <w:rsid w:val="00834693"/>
    <w:rsid w:val="00836B11"/>
    <w:rsid w:val="00836E24"/>
    <w:rsid w:val="0084277B"/>
    <w:rsid w:val="00842B57"/>
    <w:rsid w:val="008458AE"/>
    <w:rsid w:val="00846265"/>
    <w:rsid w:val="008466B1"/>
    <w:rsid w:val="00847BE9"/>
    <w:rsid w:val="0085296B"/>
    <w:rsid w:val="0085488A"/>
    <w:rsid w:val="00862B5D"/>
    <w:rsid w:val="00863FBB"/>
    <w:rsid w:val="008744E8"/>
    <w:rsid w:val="0087461F"/>
    <w:rsid w:val="0087519D"/>
    <w:rsid w:val="008832D1"/>
    <w:rsid w:val="008852F5"/>
    <w:rsid w:val="00885525"/>
    <w:rsid w:val="008858E5"/>
    <w:rsid w:val="00890061"/>
    <w:rsid w:val="00893F65"/>
    <w:rsid w:val="0089626B"/>
    <w:rsid w:val="008A6D79"/>
    <w:rsid w:val="008C1757"/>
    <w:rsid w:val="008C2141"/>
    <w:rsid w:val="008C26B5"/>
    <w:rsid w:val="008C6A0A"/>
    <w:rsid w:val="008D1091"/>
    <w:rsid w:val="008D54F7"/>
    <w:rsid w:val="008E4C67"/>
    <w:rsid w:val="008E7CC6"/>
    <w:rsid w:val="008F10A2"/>
    <w:rsid w:val="008F45BA"/>
    <w:rsid w:val="008F50BC"/>
    <w:rsid w:val="008F6ACD"/>
    <w:rsid w:val="00901E5A"/>
    <w:rsid w:val="00903873"/>
    <w:rsid w:val="00907E3B"/>
    <w:rsid w:val="009111BB"/>
    <w:rsid w:val="00914BAA"/>
    <w:rsid w:val="009152E9"/>
    <w:rsid w:val="009221C8"/>
    <w:rsid w:val="00923885"/>
    <w:rsid w:val="009249C9"/>
    <w:rsid w:val="00930AFB"/>
    <w:rsid w:val="009358B4"/>
    <w:rsid w:val="0094048E"/>
    <w:rsid w:val="00944B8C"/>
    <w:rsid w:val="00944F27"/>
    <w:rsid w:val="00957D94"/>
    <w:rsid w:val="00961215"/>
    <w:rsid w:val="00974752"/>
    <w:rsid w:val="00986A6D"/>
    <w:rsid w:val="0099420E"/>
    <w:rsid w:val="00996972"/>
    <w:rsid w:val="009A1B99"/>
    <w:rsid w:val="009A31A7"/>
    <w:rsid w:val="009A4E90"/>
    <w:rsid w:val="009A78C8"/>
    <w:rsid w:val="009B0BCB"/>
    <w:rsid w:val="009B127E"/>
    <w:rsid w:val="009B3D78"/>
    <w:rsid w:val="009B6C91"/>
    <w:rsid w:val="009B78CE"/>
    <w:rsid w:val="009C1FF0"/>
    <w:rsid w:val="009C6F4D"/>
    <w:rsid w:val="009D7FC3"/>
    <w:rsid w:val="009E0E5D"/>
    <w:rsid w:val="009E1916"/>
    <w:rsid w:val="009E3834"/>
    <w:rsid w:val="009E3F52"/>
    <w:rsid w:val="009E49FD"/>
    <w:rsid w:val="009E5300"/>
    <w:rsid w:val="009E6917"/>
    <w:rsid w:val="009F4ADD"/>
    <w:rsid w:val="009F54E4"/>
    <w:rsid w:val="00A0072B"/>
    <w:rsid w:val="00A04F2F"/>
    <w:rsid w:val="00A06C73"/>
    <w:rsid w:val="00A07465"/>
    <w:rsid w:val="00A1174A"/>
    <w:rsid w:val="00A12305"/>
    <w:rsid w:val="00A1313E"/>
    <w:rsid w:val="00A14C25"/>
    <w:rsid w:val="00A22529"/>
    <w:rsid w:val="00A25E02"/>
    <w:rsid w:val="00A26119"/>
    <w:rsid w:val="00A27228"/>
    <w:rsid w:val="00A32AE0"/>
    <w:rsid w:val="00A35792"/>
    <w:rsid w:val="00A37A68"/>
    <w:rsid w:val="00A37DDD"/>
    <w:rsid w:val="00A4098B"/>
    <w:rsid w:val="00A57404"/>
    <w:rsid w:val="00A74B32"/>
    <w:rsid w:val="00A8090E"/>
    <w:rsid w:val="00A81310"/>
    <w:rsid w:val="00A81DEE"/>
    <w:rsid w:val="00A820DC"/>
    <w:rsid w:val="00A82D41"/>
    <w:rsid w:val="00A85F73"/>
    <w:rsid w:val="00A873DE"/>
    <w:rsid w:val="00A908E3"/>
    <w:rsid w:val="00A93147"/>
    <w:rsid w:val="00A962F0"/>
    <w:rsid w:val="00AA1412"/>
    <w:rsid w:val="00AA61F8"/>
    <w:rsid w:val="00AA6914"/>
    <w:rsid w:val="00AB1F7F"/>
    <w:rsid w:val="00AB4306"/>
    <w:rsid w:val="00AB5BF1"/>
    <w:rsid w:val="00AC2FE0"/>
    <w:rsid w:val="00AD3A5F"/>
    <w:rsid w:val="00AD5086"/>
    <w:rsid w:val="00AD5491"/>
    <w:rsid w:val="00AE0363"/>
    <w:rsid w:val="00AE0912"/>
    <w:rsid w:val="00AE1B00"/>
    <w:rsid w:val="00AE29DF"/>
    <w:rsid w:val="00AE32F2"/>
    <w:rsid w:val="00AE54D5"/>
    <w:rsid w:val="00AE6957"/>
    <w:rsid w:val="00AE7C62"/>
    <w:rsid w:val="00AF036E"/>
    <w:rsid w:val="00AF2838"/>
    <w:rsid w:val="00AF6ED0"/>
    <w:rsid w:val="00B04E9C"/>
    <w:rsid w:val="00B053AE"/>
    <w:rsid w:val="00B06C0E"/>
    <w:rsid w:val="00B10587"/>
    <w:rsid w:val="00B13ED1"/>
    <w:rsid w:val="00B14A16"/>
    <w:rsid w:val="00B1625D"/>
    <w:rsid w:val="00B242C1"/>
    <w:rsid w:val="00B25845"/>
    <w:rsid w:val="00B26468"/>
    <w:rsid w:val="00B4503E"/>
    <w:rsid w:val="00B510E6"/>
    <w:rsid w:val="00B5424D"/>
    <w:rsid w:val="00B54B6F"/>
    <w:rsid w:val="00B66165"/>
    <w:rsid w:val="00B71B5E"/>
    <w:rsid w:val="00B83F1D"/>
    <w:rsid w:val="00B93837"/>
    <w:rsid w:val="00B9626B"/>
    <w:rsid w:val="00BA2729"/>
    <w:rsid w:val="00BA7D3B"/>
    <w:rsid w:val="00BA7E29"/>
    <w:rsid w:val="00BB0D3B"/>
    <w:rsid w:val="00BC1D31"/>
    <w:rsid w:val="00BC5EFF"/>
    <w:rsid w:val="00BD04BC"/>
    <w:rsid w:val="00BD16B9"/>
    <w:rsid w:val="00BD441E"/>
    <w:rsid w:val="00BE2DB5"/>
    <w:rsid w:val="00BE641B"/>
    <w:rsid w:val="00BF7FC5"/>
    <w:rsid w:val="00C001E2"/>
    <w:rsid w:val="00C076F5"/>
    <w:rsid w:val="00C12300"/>
    <w:rsid w:val="00C1400D"/>
    <w:rsid w:val="00C16108"/>
    <w:rsid w:val="00C16511"/>
    <w:rsid w:val="00C16B95"/>
    <w:rsid w:val="00C21437"/>
    <w:rsid w:val="00C22527"/>
    <w:rsid w:val="00C23DE4"/>
    <w:rsid w:val="00C26EA2"/>
    <w:rsid w:val="00C36E11"/>
    <w:rsid w:val="00C42EE5"/>
    <w:rsid w:val="00C43CA7"/>
    <w:rsid w:val="00C45B51"/>
    <w:rsid w:val="00C463C6"/>
    <w:rsid w:val="00C5485A"/>
    <w:rsid w:val="00C54B35"/>
    <w:rsid w:val="00C56F0E"/>
    <w:rsid w:val="00C57146"/>
    <w:rsid w:val="00C57692"/>
    <w:rsid w:val="00C622DD"/>
    <w:rsid w:val="00C629B9"/>
    <w:rsid w:val="00C62DA3"/>
    <w:rsid w:val="00C65A7B"/>
    <w:rsid w:val="00C67180"/>
    <w:rsid w:val="00C67C37"/>
    <w:rsid w:val="00C7197C"/>
    <w:rsid w:val="00C732D6"/>
    <w:rsid w:val="00C743DF"/>
    <w:rsid w:val="00C756CD"/>
    <w:rsid w:val="00C81B63"/>
    <w:rsid w:val="00C8579B"/>
    <w:rsid w:val="00C86E5D"/>
    <w:rsid w:val="00C943FD"/>
    <w:rsid w:val="00C9621D"/>
    <w:rsid w:val="00C9647E"/>
    <w:rsid w:val="00CA2363"/>
    <w:rsid w:val="00CA50B7"/>
    <w:rsid w:val="00CB5365"/>
    <w:rsid w:val="00CC00E0"/>
    <w:rsid w:val="00CC38E3"/>
    <w:rsid w:val="00CC3A09"/>
    <w:rsid w:val="00CD0042"/>
    <w:rsid w:val="00CD08DA"/>
    <w:rsid w:val="00CD4B7A"/>
    <w:rsid w:val="00CD57C4"/>
    <w:rsid w:val="00CE3CF3"/>
    <w:rsid w:val="00CE4DCD"/>
    <w:rsid w:val="00CF1398"/>
    <w:rsid w:val="00CF7F42"/>
    <w:rsid w:val="00D01E1A"/>
    <w:rsid w:val="00D04F5E"/>
    <w:rsid w:val="00D11B63"/>
    <w:rsid w:val="00D138CC"/>
    <w:rsid w:val="00D16DE2"/>
    <w:rsid w:val="00D17AAF"/>
    <w:rsid w:val="00D17CF0"/>
    <w:rsid w:val="00D2288B"/>
    <w:rsid w:val="00D268DA"/>
    <w:rsid w:val="00D31D42"/>
    <w:rsid w:val="00D37D14"/>
    <w:rsid w:val="00D41B6C"/>
    <w:rsid w:val="00D4696A"/>
    <w:rsid w:val="00D47B0F"/>
    <w:rsid w:val="00D51DBF"/>
    <w:rsid w:val="00D524A9"/>
    <w:rsid w:val="00D565E1"/>
    <w:rsid w:val="00D6124B"/>
    <w:rsid w:val="00D6278E"/>
    <w:rsid w:val="00D62DC3"/>
    <w:rsid w:val="00D737CF"/>
    <w:rsid w:val="00D74E1D"/>
    <w:rsid w:val="00D75DFC"/>
    <w:rsid w:val="00D760C8"/>
    <w:rsid w:val="00D842C6"/>
    <w:rsid w:val="00D9707A"/>
    <w:rsid w:val="00DA3ABD"/>
    <w:rsid w:val="00DA3EBC"/>
    <w:rsid w:val="00DB0745"/>
    <w:rsid w:val="00DB6523"/>
    <w:rsid w:val="00DC1C6C"/>
    <w:rsid w:val="00DC7996"/>
    <w:rsid w:val="00DD46DE"/>
    <w:rsid w:val="00DE2EF8"/>
    <w:rsid w:val="00DE7ED1"/>
    <w:rsid w:val="00DF57A5"/>
    <w:rsid w:val="00E000BD"/>
    <w:rsid w:val="00E0534B"/>
    <w:rsid w:val="00E05E1E"/>
    <w:rsid w:val="00E23213"/>
    <w:rsid w:val="00E25DAB"/>
    <w:rsid w:val="00E325D7"/>
    <w:rsid w:val="00E41F1D"/>
    <w:rsid w:val="00E42530"/>
    <w:rsid w:val="00E45AC6"/>
    <w:rsid w:val="00E471B1"/>
    <w:rsid w:val="00E7183E"/>
    <w:rsid w:val="00E764F0"/>
    <w:rsid w:val="00E84AC9"/>
    <w:rsid w:val="00E92275"/>
    <w:rsid w:val="00E93315"/>
    <w:rsid w:val="00E93FD2"/>
    <w:rsid w:val="00EA07E3"/>
    <w:rsid w:val="00EA2092"/>
    <w:rsid w:val="00EB2C14"/>
    <w:rsid w:val="00EB408B"/>
    <w:rsid w:val="00EC7DF2"/>
    <w:rsid w:val="00ED1D1C"/>
    <w:rsid w:val="00ED6041"/>
    <w:rsid w:val="00ED6F3E"/>
    <w:rsid w:val="00ED7233"/>
    <w:rsid w:val="00EE09AD"/>
    <w:rsid w:val="00EE2FA3"/>
    <w:rsid w:val="00EE3C92"/>
    <w:rsid w:val="00EE4145"/>
    <w:rsid w:val="00EE4FA2"/>
    <w:rsid w:val="00EF1D24"/>
    <w:rsid w:val="00EF29E1"/>
    <w:rsid w:val="00F04403"/>
    <w:rsid w:val="00F05ED0"/>
    <w:rsid w:val="00F11A18"/>
    <w:rsid w:val="00F125AD"/>
    <w:rsid w:val="00F163F4"/>
    <w:rsid w:val="00F16994"/>
    <w:rsid w:val="00F21D3D"/>
    <w:rsid w:val="00F23068"/>
    <w:rsid w:val="00F24169"/>
    <w:rsid w:val="00F26CBF"/>
    <w:rsid w:val="00F3077F"/>
    <w:rsid w:val="00F31C93"/>
    <w:rsid w:val="00F34A5F"/>
    <w:rsid w:val="00F37079"/>
    <w:rsid w:val="00F4119D"/>
    <w:rsid w:val="00F44B82"/>
    <w:rsid w:val="00F45242"/>
    <w:rsid w:val="00F5434D"/>
    <w:rsid w:val="00F549A2"/>
    <w:rsid w:val="00F56322"/>
    <w:rsid w:val="00F650DB"/>
    <w:rsid w:val="00F67B59"/>
    <w:rsid w:val="00F71A63"/>
    <w:rsid w:val="00F72540"/>
    <w:rsid w:val="00F872B0"/>
    <w:rsid w:val="00F901EB"/>
    <w:rsid w:val="00F912E5"/>
    <w:rsid w:val="00F955F3"/>
    <w:rsid w:val="00F9732F"/>
    <w:rsid w:val="00F9783B"/>
    <w:rsid w:val="00FA1F17"/>
    <w:rsid w:val="00FA4ADC"/>
    <w:rsid w:val="00FA5D3F"/>
    <w:rsid w:val="00FA5FA3"/>
    <w:rsid w:val="00FB1605"/>
    <w:rsid w:val="00FB434B"/>
    <w:rsid w:val="00FB6123"/>
    <w:rsid w:val="00FB6A30"/>
    <w:rsid w:val="00FC22A0"/>
    <w:rsid w:val="00FC2524"/>
    <w:rsid w:val="00FC2556"/>
    <w:rsid w:val="00FC2D08"/>
    <w:rsid w:val="00FC3C8F"/>
    <w:rsid w:val="00FC5A9E"/>
    <w:rsid w:val="00FC6030"/>
    <w:rsid w:val="00FC7A3A"/>
    <w:rsid w:val="00FD28AF"/>
    <w:rsid w:val="00FD44FC"/>
    <w:rsid w:val="00FD5803"/>
    <w:rsid w:val="00FD6A45"/>
    <w:rsid w:val="00FE7128"/>
    <w:rsid w:val="00FF581B"/>
    <w:rsid w:val="00FF66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4B8F9375-6DB2-4AC9-8981-24DC56D7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E09AD"/>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EE09AD"/>
    <w:pPr>
      <w:spacing w:before="0" w:line="240" w:lineRule="auto"/>
      <w:ind w:firstLine="720"/>
      <w:jc w:val="both"/>
      <w:outlineLvl w:val="1"/>
    </w:pPr>
    <w:rPr>
      <w:rFonts w:cs="Times New Roman"/>
      <w:b/>
      <w:bCs/>
      <w:i w:val="0"/>
      <w:iCs/>
      <w:color w:val="2E74B5" w:themeColor="accent1" w:themeShade="BF"/>
      <w:szCs w:val="22"/>
    </w:rPr>
  </w:style>
  <w:style w:type="paragraph" w:styleId="Antrat3">
    <w:name w:val="heading 3"/>
    <w:basedOn w:val="prastasis"/>
    <w:next w:val="prastasis"/>
    <w:link w:val="Antrat3Diagrama"/>
    <w:unhideWhenUsed/>
    <w:qFormat/>
    <w:rsid w:val="00EE09AD"/>
    <w:pPr>
      <w:keepNext/>
      <w:keepLines/>
      <w:spacing w:before="40" w:after="0"/>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EE09AD"/>
    <w:rPr>
      <w:rFonts w:eastAsiaTheme="majorEastAsia" w:cs="Times New Roman"/>
      <w:b/>
      <w:bCs/>
      <w:iCs/>
      <w:color w:val="2E74B5" w:themeColor="accent1" w:themeShade="BF"/>
    </w:rPr>
  </w:style>
  <w:style w:type="character" w:customStyle="1" w:styleId="Antrat3Diagrama">
    <w:name w:val="Antraštė 3 Diagrama"/>
    <w:basedOn w:val="Numatytasispastraiposriftas"/>
    <w:link w:val="Antrat3"/>
    <w:rsid w:val="00EE09AD"/>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EE09AD"/>
    <w:pPr>
      <w:tabs>
        <w:tab w:val="right" w:leader="dot" w:pos="9628"/>
      </w:tabs>
      <w:spacing w:after="100"/>
    </w:pPr>
    <w:rPr>
      <w:noProof/>
      <w:color w:val="1F4E79" w:themeColor="accent1" w:themeShade="80"/>
    </w:rPr>
  </w:style>
  <w:style w:type="paragraph" w:styleId="Turinys2">
    <w:name w:val="toc 2"/>
    <w:basedOn w:val="prastasis"/>
    <w:next w:val="prastasis"/>
    <w:autoRedefine/>
    <w:uiPriority w:val="39"/>
    <w:unhideWhenUsed/>
    <w:rsid w:val="00EE09AD"/>
    <w:pPr>
      <w:spacing w:after="100"/>
      <w:ind w:left="220"/>
    </w:pPr>
  </w:style>
  <w:style w:type="paragraph" w:styleId="Turinys3">
    <w:name w:val="toc 3"/>
    <w:basedOn w:val="prastasis"/>
    <w:next w:val="prastasis"/>
    <w:autoRedefine/>
    <w:uiPriority w:val="39"/>
    <w:unhideWhenUsed/>
    <w:rsid w:val="001C38F6"/>
    <w:pPr>
      <w:tabs>
        <w:tab w:val="right" w:leader="dot" w:pos="9769"/>
      </w:tabs>
      <w:spacing w:after="100"/>
      <w:ind w:left="440"/>
    </w:pPr>
    <w:rPr>
      <w:rFonts w:eastAsia="Calibri" w:cstheme="minorHAnsi"/>
      <w:bCs/>
      <w:noProof/>
    </w:r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 w:type="character" w:customStyle="1" w:styleId="Neapdorotaspaminjimas1">
    <w:name w:val="Neapdorotas paminėjimas1"/>
    <w:basedOn w:val="Numatytasispastraiposriftas"/>
    <w:uiPriority w:val="99"/>
    <w:semiHidden/>
    <w:unhideWhenUsed/>
    <w:rsid w:val="003B6EBF"/>
    <w:rPr>
      <w:color w:val="605E5C"/>
      <w:shd w:val="clear" w:color="auto" w:fill="E1DFDD"/>
    </w:rPr>
  </w:style>
  <w:style w:type="paragraph" w:styleId="Sraopastraipa">
    <w:name w:val="List Paragraph"/>
    <w:basedOn w:val="prastasis"/>
    <w:uiPriority w:val="34"/>
    <w:qFormat/>
    <w:rsid w:val="00351D5B"/>
    <w:pPr>
      <w:ind w:left="720"/>
      <w:contextualSpacing/>
    </w:pPr>
    <w:rPr>
      <w:rFonts w:ascii="Calibri" w:eastAsia="Calibri" w:hAnsi="Calibri" w:cs="Times New Roman"/>
    </w:rPr>
  </w:style>
  <w:style w:type="paragraph" w:customStyle="1" w:styleId="prastasis1">
    <w:name w:val="Įprastasis1"/>
    <w:rsid w:val="00800BC9"/>
    <w:pPr>
      <w:spacing w:line="256" w:lineRule="auto"/>
    </w:pPr>
    <w:rPr>
      <w:rFonts w:ascii="Calibri" w:eastAsia="Calibri" w:hAnsi="Calibri" w:cs="Calibri"/>
    </w:rPr>
  </w:style>
  <w:style w:type="paragraph" w:customStyle="1" w:styleId="paragraph">
    <w:name w:val="paragraph"/>
    <w:basedOn w:val="prastasis"/>
    <w:rsid w:val="00C67C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textrun">
    <w:name w:val="normaltextrun"/>
    <w:basedOn w:val="Numatytasispastraiposriftas"/>
    <w:rsid w:val="00C67C37"/>
  </w:style>
  <w:style w:type="character" w:customStyle="1" w:styleId="apple-converted-space">
    <w:name w:val="apple-converted-space"/>
    <w:basedOn w:val="Numatytasispastraiposriftas"/>
    <w:rsid w:val="00E41F1D"/>
  </w:style>
  <w:style w:type="paragraph" w:styleId="prastasiniatinklio">
    <w:name w:val="Normal (Web)"/>
    <w:basedOn w:val="prastasis"/>
    <w:uiPriority w:val="99"/>
    <w:unhideWhenUsed/>
    <w:rsid w:val="007A477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Emfaz">
    <w:name w:val="Emphasis"/>
    <w:basedOn w:val="Numatytasispastraiposriftas"/>
    <w:uiPriority w:val="20"/>
    <w:qFormat/>
    <w:rsid w:val="007A4776"/>
    <w:rPr>
      <w:i/>
      <w:iCs/>
    </w:rPr>
  </w:style>
  <w:style w:type="character" w:customStyle="1" w:styleId="UnresolvedMention1">
    <w:name w:val="Unresolved Mention1"/>
    <w:basedOn w:val="Numatytasispastraiposriftas"/>
    <w:uiPriority w:val="99"/>
    <w:rsid w:val="00124031"/>
    <w:rPr>
      <w:color w:val="605E5C"/>
      <w:shd w:val="clear" w:color="auto" w:fill="E1DFDD"/>
    </w:rPr>
  </w:style>
  <w:style w:type="character" w:customStyle="1" w:styleId="s68f5eaef">
    <w:name w:val="s68f5eaef"/>
    <w:basedOn w:val="Numatytasispastraiposriftas"/>
    <w:rsid w:val="00A04F2F"/>
  </w:style>
  <w:style w:type="character" w:customStyle="1" w:styleId="sbc73225d">
    <w:name w:val="sbc73225d"/>
    <w:basedOn w:val="Numatytasispastraiposriftas"/>
    <w:rsid w:val="00A04F2F"/>
  </w:style>
  <w:style w:type="paragraph" w:customStyle="1" w:styleId="sc75ff09a">
    <w:name w:val="sc75ff09a"/>
    <w:basedOn w:val="prastasis"/>
    <w:rsid w:val="00862B5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F23068"/>
    <w:pPr>
      <w:spacing w:after="0" w:line="240" w:lineRule="auto"/>
    </w:pPr>
  </w:style>
  <w:style w:type="paragraph" w:customStyle="1" w:styleId="s899b3e47">
    <w:name w:val="s899b3e47"/>
    <w:basedOn w:val="prastasis"/>
    <w:rsid w:val="00A1230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Numatytasispastraiposriftas"/>
    <w:rsid w:val="008E4C67"/>
  </w:style>
  <w:style w:type="paragraph" w:customStyle="1" w:styleId="ClinContent">
    <w:name w:val="ClinContent"/>
    <w:basedOn w:val="prastasis"/>
    <w:qFormat/>
    <w:rsid w:val="00CC38E3"/>
    <w:pPr>
      <w:spacing w:before="240" w:after="0" w:line="240" w:lineRule="auto"/>
      <w:jc w:val="both"/>
    </w:pPr>
    <w:rPr>
      <w:rFonts w:ascii="Verdana" w:eastAsia="Times New Roman" w:hAnsi="Verdana" w:cs="Times New Roman"/>
      <w:sz w:val="20"/>
      <w:szCs w:val="24"/>
      <w:lang w:val="en-GB" w:eastAsia="en-GB"/>
    </w:rPr>
  </w:style>
  <w:style w:type="paragraph" w:styleId="Pataisymai">
    <w:name w:val="Revision"/>
    <w:hidden/>
    <w:uiPriority w:val="99"/>
    <w:semiHidden/>
    <w:rsid w:val="00AF03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785724">
      <w:bodyDiv w:val="1"/>
      <w:marLeft w:val="0"/>
      <w:marRight w:val="0"/>
      <w:marTop w:val="0"/>
      <w:marBottom w:val="0"/>
      <w:divBdr>
        <w:top w:val="none" w:sz="0" w:space="0" w:color="auto"/>
        <w:left w:val="none" w:sz="0" w:space="0" w:color="auto"/>
        <w:bottom w:val="none" w:sz="0" w:space="0" w:color="auto"/>
        <w:right w:val="none" w:sz="0" w:space="0" w:color="auto"/>
      </w:divBdr>
    </w:div>
    <w:div w:id="440687566">
      <w:bodyDiv w:val="1"/>
      <w:marLeft w:val="0"/>
      <w:marRight w:val="0"/>
      <w:marTop w:val="0"/>
      <w:marBottom w:val="0"/>
      <w:divBdr>
        <w:top w:val="none" w:sz="0" w:space="0" w:color="auto"/>
        <w:left w:val="none" w:sz="0" w:space="0" w:color="auto"/>
        <w:bottom w:val="none" w:sz="0" w:space="0" w:color="auto"/>
        <w:right w:val="none" w:sz="0" w:space="0" w:color="auto"/>
      </w:divBdr>
    </w:div>
    <w:div w:id="505439167">
      <w:bodyDiv w:val="1"/>
      <w:marLeft w:val="0"/>
      <w:marRight w:val="0"/>
      <w:marTop w:val="0"/>
      <w:marBottom w:val="0"/>
      <w:divBdr>
        <w:top w:val="none" w:sz="0" w:space="0" w:color="auto"/>
        <w:left w:val="none" w:sz="0" w:space="0" w:color="auto"/>
        <w:bottom w:val="none" w:sz="0" w:space="0" w:color="auto"/>
        <w:right w:val="none" w:sz="0" w:space="0" w:color="auto"/>
      </w:divBdr>
    </w:div>
    <w:div w:id="749887278">
      <w:bodyDiv w:val="1"/>
      <w:marLeft w:val="0"/>
      <w:marRight w:val="0"/>
      <w:marTop w:val="0"/>
      <w:marBottom w:val="0"/>
      <w:divBdr>
        <w:top w:val="none" w:sz="0" w:space="0" w:color="auto"/>
        <w:left w:val="none" w:sz="0" w:space="0" w:color="auto"/>
        <w:bottom w:val="none" w:sz="0" w:space="0" w:color="auto"/>
        <w:right w:val="none" w:sz="0" w:space="0" w:color="auto"/>
      </w:divBdr>
    </w:div>
    <w:div w:id="923954352">
      <w:bodyDiv w:val="1"/>
      <w:marLeft w:val="0"/>
      <w:marRight w:val="0"/>
      <w:marTop w:val="0"/>
      <w:marBottom w:val="0"/>
      <w:divBdr>
        <w:top w:val="none" w:sz="0" w:space="0" w:color="auto"/>
        <w:left w:val="none" w:sz="0" w:space="0" w:color="auto"/>
        <w:bottom w:val="none" w:sz="0" w:space="0" w:color="auto"/>
        <w:right w:val="none" w:sz="0" w:space="0" w:color="auto"/>
      </w:divBdr>
      <w:divsChild>
        <w:div w:id="98186981">
          <w:marLeft w:val="0"/>
          <w:marRight w:val="0"/>
          <w:marTop w:val="0"/>
          <w:marBottom w:val="0"/>
          <w:divBdr>
            <w:top w:val="none" w:sz="0" w:space="0" w:color="auto"/>
            <w:left w:val="none" w:sz="0" w:space="0" w:color="auto"/>
            <w:bottom w:val="none" w:sz="0" w:space="0" w:color="auto"/>
            <w:right w:val="none" w:sz="0" w:space="0" w:color="auto"/>
          </w:divBdr>
        </w:div>
        <w:div w:id="201134880">
          <w:marLeft w:val="0"/>
          <w:marRight w:val="0"/>
          <w:marTop w:val="0"/>
          <w:marBottom w:val="0"/>
          <w:divBdr>
            <w:top w:val="none" w:sz="0" w:space="0" w:color="auto"/>
            <w:left w:val="none" w:sz="0" w:space="0" w:color="auto"/>
            <w:bottom w:val="none" w:sz="0" w:space="0" w:color="auto"/>
            <w:right w:val="none" w:sz="0" w:space="0" w:color="auto"/>
          </w:divBdr>
        </w:div>
      </w:divsChild>
    </w:div>
    <w:div w:id="961425897">
      <w:bodyDiv w:val="1"/>
      <w:marLeft w:val="0"/>
      <w:marRight w:val="0"/>
      <w:marTop w:val="0"/>
      <w:marBottom w:val="0"/>
      <w:divBdr>
        <w:top w:val="none" w:sz="0" w:space="0" w:color="auto"/>
        <w:left w:val="none" w:sz="0" w:space="0" w:color="auto"/>
        <w:bottom w:val="none" w:sz="0" w:space="0" w:color="auto"/>
        <w:right w:val="none" w:sz="0" w:space="0" w:color="auto"/>
      </w:divBdr>
      <w:divsChild>
        <w:div w:id="549533977">
          <w:marLeft w:val="0"/>
          <w:marRight w:val="0"/>
          <w:marTop w:val="0"/>
          <w:marBottom w:val="0"/>
          <w:divBdr>
            <w:top w:val="none" w:sz="0" w:space="0" w:color="auto"/>
            <w:left w:val="none" w:sz="0" w:space="0" w:color="auto"/>
            <w:bottom w:val="none" w:sz="0" w:space="0" w:color="auto"/>
            <w:right w:val="none" w:sz="0" w:space="0" w:color="auto"/>
          </w:divBdr>
        </w:div>
        <w:div w:id="71781631">
          <w:marLeft w:val="0"/>
          <w:marRight w:val="0"/>
          <w:marTop w:val="0"/>
          <w:marBottom w:val="0"/>
          <w:divBdr>
            <w:top w:val="none" w:sz="0" w:space="0" w:color="auto"/>
            <w:left w:val="none" w:sz="0" w:space="0" w:color="auto"/>
            <w:bottom w:val="none" w:sz="0" w:space="0" w:color="auto"/>
            <w:right w:val="none" w:sz="0" w:space="0" w:color="auto"/>
          </w:divBdr>
        </w:div>
        <w:div w:id="1664696332">
          <w:marLeft w:val="0"/>
          <w:marRight w:val="0"/>
          <w:marTop w:val="0"/>
          <w:marBottom w:val="0"/>
          <w:divBdr>
            <w:top w:val="none" w:sz="0" w:space="0" w:color="auto"/>
            <w:left w:val="none" w:sz="0" w:space="0" w:color="auto"/>
            <w:bottom w:val="none" w:sz="0" w:space="0" w:color="auto"/>
            <w:right w:val="none" w:sz="0" w:space="0" w:color="auto"/>
          </w:divBdr>
        </w:div>
      </w:divsChild>
    </w:div>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 w:id="1341548042">
      <w:bodyDiv w:val="1"/>
      <w:marLeft w:val="0"/>
      <w:marRight w:val="0"/>
      <w:marTop w:val="0"/>
      <w:marBottom w:val="0"/>
      <w:divBdr>
        <w:top w:val="none" w:sz="0" w:space="0" w:color="auto"/>
        <w:left w:val="none" w:sz="0" w:space="0" w:color="auto"/>
        <w:bottom w:val="none" w:sz="0" w:space="0" w:color="auto"/>
        <w:right w:val="none" w:sz="0" w:space="0" w:color="auto"/>
      </w:divBdr>
    </w:div>
    <w:div w:id="1588344421">
      <w:bodyDiv w:val="1"/>
      <w:marLeft w:val="0"/>
      <w:marRight w:val="0"/>
      <w:marTop w:val="0"/>
      <w:marBottom w:val="0"/>
      <w:divBdr>
        <w:top w:val="none" w:sz="0" w:space="0" w:color="auto"/>
        <w:left w:val="none" w:sz="0" w:space="0" w:color="auto"/>
        <w:bottom w:val="none" w:sz="0" w:space="0" w:color="auto"/>
        <w:right w:val="none" w:sz="0" w:space="0" w:color="auto"/>
      </w:divBdr>
    </w:div>
    <w:div w:id="2028022149">
      <w:bodyDiv w:val="1"/>
      <w:marLeft w:val="0"/>
      <w:marRight w:val="0"/>
      <w:marTop w:val="0"/>
      <w:marBottom w:val="0"/>
      <w:divBdr>
        <w:top w:val="none" w:sz="0" w:space="0" w:color="auto"/>
        <w:left w:val="none" w:sz="0" w:space="0" w:color="auto"/>
        <w:bottom w:val="none" w:sz="0" w:space="0" w:color="auto"/>
        <w:right w:val="none" w:sz="0" w:space="0" w:color="auto"/>
      </w:divBdr>
    </w:div>
    <w:div w:id="2068646655">
      <w:bodyDiv w:val="1"/>
      <w:marLeft w:val="0"/>
      <w:marRight w:val="0"/>
      <w:marTop w:val="0"/>
      <w:marBottom w:val="0"/>
      <w:divBdr>
        <w:top w:val="none" w:sz="0" w:space="0" w:color="auto"/>
        <w:left w:val="none" w:sz="0" w:space="0" w:color="auto"/>
        <w:bottom w:val="none" w:sz="0" w:space="0" w:color="auto"/>
        <w:right w:val="none" w:sz="0" w:space="0" w:color="auto"/>
      </w:divBdr>
    </w:div>
    <w:div w:id="2096394615">
      <w:bodyDiv w:val="1"/>
      <w:marLeft w:val="0"/>
      <w:marRight w:val="0"/>
      <w:marTop w:val="0"/>
      <w:marBottom w:val="0"/>
      <w:divBdr>
        <w:top w:val="none" w:sz="0" w:space="0" w:color="auto"/>
        <w:left w:val="none" w:sz="0" w:space="0" w:color="auto"/>
        <w:bottom w:val="none" w:sz="0" w:space="0" w:color="auto"/>
        <w:right w:val="none" w:sz="0" w:space="0" w:color="auto"/>
      </w:divBdr>
    </w:div>
    <w:div w:id="212075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doc.echr.coe.int/eng?i=001-210766" TargetMode="External"/><Relationship Id="rId18" Type="http://schemas.openxmlformats.org/officeDocument/2006/relationships/hyperlink" Target="https://hudoc.echr.coe.int/eng?i=001-21390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udoc.echr.coe.int/eng" TargetMode="Externa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yperlink" Target="https://hudoc.echr.coe.int/eng?i=001-21340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udoc.echr.coe.int/eng?i=001-211123" TargetMode="External"/><Relationship Id="rId20" Type="http://schemas.openxmlformats.org/officeDocument/2006/relationships/hyperlink" Target="https://hudoc.echr.coe.int/eng?i=001-2126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i=001-21582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eader" Target="header1.xml"/><Relationship Id="rId10" Type="http://schemas.openxmlformats.org/officeDocument/2006/relationships/hyperlink" Target="https://hudoc.echr.coe.int/eng?i=001-211119" TargetMode="External"/><Relationship Id="rId19" Type="http://schemas.openxmlformats.org/officeDocument/2006/relationships/hyperlink" Target="https://hudoc.echr.coe.int/eng?i=001-210853" TargetMode="Externa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s://hudoc.echr.coe.int/eng" TargetMode="External"/><Relationship Id="rId22" Type="http://schemas.openxmlformats.org/officeDocument/2006/relationships/hyperlink" Target="https://hudoc.echr.coe.int/eng?i=001-21371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18063-4928-483C-8A4E-999D56F49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11704</Words>
  <Characters>66719</Characters>
  <Application>Microsoft Office Word</Application>
  <DocSecurity>0</DocSecurity>
  <Lines>555</Lines>
  <Paragraphs>156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cp:lastPrinted>2022-05-23T12:28:00Z</cp:lastPrinted>
  <dcterms:created xsi:type="dcterms:W3CDTF">2022-05-27T05:45:00Z</dcterms:created>
  <dcterms:modified xsi:type="dcterms:W3CDTF">2022-05-30T08:21:00Z</dcterms:modified>
</cp:coreProperties>
</file>