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r w:rsidRPr="002F09DA">
        <w:rPr>
          <w:rFonts w:asciiTheme="minorHAnsi" w:hAnsiTheme="minorHAnsi" w:cstheme="minorHAnsi"/>
          <w:noProof/>
          <w:lang w:eastAsia="lt-LT"/>
        </w:rPr>
        <w:drawing>
          <wp:inline distT="0" distB="0" distL="0" distR="0" wp14:anchorId="59F4548E" wp14:editId="0D5CA20F">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p>
    <w:p w:rsidR="000028CD" w:rsidRPr="002F09DA" w:rsidRDefault="000028CD" w:rsidP="00AD0B10">
      <w:pPr>
        <w:pStyle w:val="NoSpacing1"/>
        <w:ind w:firstLine="0"/>
        <w:jc w:val="center"/>
        <w:rPr>
          <w:rFonts w:asciiTheme="minorHAnsi" w:hAnsiTheme="minorHAnsi" w:cstheme="minorHAnsi"/>
        </w:rPr>
      </w:pPr>
      <w:r w:rsidRPr="002F09DA">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5C1D518" wp14:editId="6818C3AC">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FE1EA"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" o:allowincell="f" fillcolor="#365f91" strokecolor="#31849b">
                <w10:wrap anchorx="page" anchory="page"/>
              </v:rect>
            </w:pict>
          </mc:Fallback>
        </mc:AlternateContent>
      </w:r>
      <w:r w:rsidRPr="002F09DA">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1917820A" wp14:editId="35E48A55">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75BA3"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" o:allowincell="f" fillcolor="#365f91" strokecolor="#17365d">
                <w10:wrap anchorx="page" anchory="page"/>
              </v:rect>
            </w:pict>
          </mc:Fallback>
        </mc:AlternateContent>
      </w:r>
      <w:r w:rsidRPr="002F09DA">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B9BAA69" wp14:editId="3DE53538">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5609A"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" o:allowincell="f" strokecolor="#17365d">
                <w10:wrap anchorx="page" anchory="page"/>
              </v:rect>
            </w:pict>
          </mc:Fallback>
        </mc:AlternateContent>
      </w:r>
      <w:r w:rsidRPr="002F09DA">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D376C3A" wp14:editId="723FC076">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687F2"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" o:allowincell="f" strokecolor="#17365d">
                <w10:wrap anchorx="page" anchory="page"/>
              </v:rect>
            </w:pict>
          </mc:Fallback>
        </mc:AlternateContent>
      </w:r>
    </w:p>
    <w:p w:rsidR="000028CD" w:rsidRPr="002F09DA" w:rsidRDefault="000028CD" w:rsidP="00AD0B10">
      <w:pPr>
        <w:pStyle w:val="NoSpacing1"/>
        <w:ind w:firstLine="0"/>
        <w:jc w:val="center"/>
        <w:rPr>
          <w:rFonts w:asciiTheme="minorHAnsi" w:hAnsiTheme="minorHAnsi" w:cstheme="minorHAnsi"/>
          <w:smallCaps/>
        </w:rPr>
      </w:pPr>
      <w:r w:rsidRPr="002F09DA">
        <w:rPr>
          <w:rFonts w:asciiTheme="minorHAnsi" w:hAnsiTheme="minorHAnsi" w:cstheme="minorHAnsi"/>
          <w:smallCaps/>
        </w:rPr>
        <w:t xml:space="preserve">Europos Sąjungos Teisingumo Teismo </w:t>
      </w:r>
    </w:p>
    <w:p w:rsidR="000028CD" w:rsidRPr="002F09DA" w:rsidRDefault="000028CD" w:rsidP="00AD0B10">
      <w:pPr>
        <w:pStyle w:val="NoSpacing1"/>
        <w:ind w:firstLine="0"/>
        <w:jc w:val="center"/>
        <w:rPr>
          <w:rFonts w:asciiTheme="minorHAnsi" w:hAnsiTheme="minorHAnsi" w:cstheme="minorHAnsi"/>
          <w:smallCaps/>
        </w:rPr>
      </w:pPr>
      <w:r w:rsidRPr="002F09DA">
        <w:rPr>
          <w:rFonts w:asciiTheme="minorHAnsi" w:hAnsiTheme="minorHAnsi" w:cstheme="minorHAnsi"/>
          <w:smallCaps/>
        </w:rPr>
        <w:t>praktikos apžvalga</w:t>
      </w:r>
    </w:p>
    <w:p w:rsidR="000028CD" w:rsidRPr="002F09DA" w:rsidRDefault="00ED7C96" w:rsidP="00AD0B10">
      <w:pPr>
        <w:pStyle w:val="NoSpacing1"/>
        <w:ind w:firstLine="0"/>
        <w:jc w:val="center"/>
        <w:rPr>
          <w:rFonts w:asciiTheme="minorHAnsi" w:hAnsiTheme="minorHAnsi" w:cstheme="minorHAnsi"/>
          <w:b/>
          <w:smallCaps/>
          <w:u w:val="single"/>
        </w:rPr>
      </w:pPr>
      <w:r w:rsidRPr="002F09DA">
        <w:rPr>
          <w:rFonts w:asciiTheme="minorHAnsi" w:hAnsiTheme="minorHAnsi" w:cstheme="minorHAnsi"/>
          <w:b/>
          <w:smallCaps/>
          <w:u w:val="single"/>
        </w:rPr>
        <w:t>2018</w:t>
      </w:r>
      <w:r w:rsidR="000028CD" w:rsidRPr="002F09DA">
        <w:rPr>
          <w:rFonts w:asciiTheme="minorHAnsi" w:hAnsiTheme="minorHAnsi" w:cstheme="minorHAnsi"/>
          <w:b/>
          <w:smallCaps/>
          <w:u w:val="single"/>
        </w:rPr>
        <w:t xml:space="preserve"> m. </w:t>
      </w:r>
      <w:r w:rsidRPr="002F09DA">
        <w:rPr>
          <w:rFonts w:asciiTheme="minorHAnsi" w:hAnsiTheme="minorHAnsi" w:cstheme="minorHAnsi"/>
          <w:b/>
          <w:smallCaps/>
          <w:u w:val="single"/>
        </w:rPr>
        <w:t>sausio 1 d.–2018</w:t>
      </w:r>
      <w:r w:rsidR="000028CD" w:rsidRPr="002F09DA">
        <w:rPr>
          <w:rFonts w:asciiTheme="minorHAnsi" w:hAnsiTheme="minorHAnsi" w:cstheme="minorHAnsi"/>
          <w:b/>
          <w:smallCaps/>
          <w:u w:val="single"/>
        </w:rPr>
        <w:t xml:space="preserve"> m. </w:t>
      </w:r>
      <w:r w:rsidRPr="002F09DA">
        <w:rPr>
          <w:rFonts w:asciiTheme="minorHAnsi" w:hAnsiTheme="minorHAnsi" w:cstheme="minorHAnsi"/>
          <w:b/>
          <w:smallCaps/>
          <w:u w:val="single"/>
        </w:rPr>
        <w:t>balandžio</w:t>
      </w:r>
      <w:r w:rsidR="000028CD" w:rsidRPr="002F09DA">
        <w:rPr>
          <w:rFonts w:asciiTheme="minorHAnsi" w:hAnsiTheme="minorHAnsi" w:cstheme="minorHAnsi"/>
          <w:b/>
          <w:smallCaps/>
          <w:u w:val="single"/>
        </w:rPr>
        <w:t xml:space="preserve"> 3</w:t>
      </w:r>
      <w:r w:rsidRPr="002F09DA">
        <w:rPr>
          <w:rFonts w:asciiTheme="minorHAnsi" w:hAnsiTheme="minorHAnsi" w:cstheme="minorHAnsi"/>
          <w:b/>
          <w:smallCaps/>
          <w:u w:val="single"/>
        </w:rPr>
        <w:t>0</w:t>
      </w:r>
      <w:r w:rsidR="000028CD" w:rsidRPr="002F09DA">
        <w:rPr>
          <w:rFonts w:asciiTheme="minorHAnsi" w:hAnsiTheme="minorHAnsi" w:cstheme="minorHAnsi"/>
          <w:b/>
          <w:smallCaps/>
          <w:u w:val="single"/>
        </w:rPr>
        <w:t xml:space="preserve"> d.</w:t>
      </w: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p>
    <w:p w:rsidR="000028CD" w:rsidRPr="002F09DA" w:rsidRDefault="000028CD" w:rsidP="00AD0B10">
      <w:pPr>
        <w:jc w:val="center"/>
        <w:rPr>
          <w:rFonts w:asciiTheme="minorHAnsi" w:hAnsiTheme="minorHAnsi" w:cstheme="minorHAnsi"/>
          <w:b/>
          <w:smallCaps/>
        </w:rPr>
      </w:pPr>
      <w:r w:rsidRPr="002F09DA">
        <w:rPr>
          <w:rFonts w:asciiTheme="minorHAnsi" w:hAnsiTheme="minorHAnsi" w:cstheme="minorHAnsi"/>
          <w:b/>
          <w:smallCaps/>
        </w:rPr>
        <w:t xml:space="preserve">Apžvalgą parengė </w:t>
      </w:r>
    </w:p>
    <w:p w:rsidR="000028CD" w:rsidRPr="002F09DA" w:rsidRDefault="000028CD" w:rsidP="00AD0B10">
      <w:pPr>
        <w:jc w:val="center"/>
        <w:rPr>
          <w:rFonts w:asciiTheme="minorHAnsi" w:hAnsiTheme="minorHAnsi" w:cstheme="minorHAnsi"/>
          <w:b/>
          <w:smallCaps/>
        </w:rPr>
      </w:pPr>
      <w:r w:rsidRPr="002F09DA">
        <w:rPr>
          <w:rFonts w:asciiTheme="minorHAnsi" w:hAnsiTheme="minorHAnsi" w:cstheme="minorHAnsi"/>
          <w:b/>
          <w:smallCaps/>
        </w:rPr>
        <w:t xml:space="preserve">Lietuvos vyriausiojo administracinio teismo </w:t>
      </w:r>
    </w:p>
    <w:p w:rsidR="000028CD" w:rsidRPr="002F09DA" w:rsidRDefault="000028CD" w:rsidP="00AD0B10">
      <w:pPr>
        <w:jc w:val="center"/>
        <w:rPr>
          <w:rFonts w:asciiTheme="minorHAnsi" w:hAnsiTheme="minorHAnsi" w:cstheme="minorHAnsi"/>
          <w:b/>
          <w:color w:val="000000"/>
        </w:rPr>
      </w:pPr>
      <w:r w:rsidRPr="002F09DA">
        <w:rPr>
          <w:rFonts w:asciiTheme="minorHAnsi" w:hAnsiTheme="minorHAnsi" w:cstheme="minorHAnsi"/>
          <w:b/>
          <w:smallCaps/>
        </w:rPr>
        <w:t xml:space="preserve">Teismų praktikos departamentas </w:t>
      </w:r>
      <w:r w:rsidRPr="002F09DA">
        <w:rPr>
          <w:rFonts w:asciiTheme="minorHAnsi" w:hAnsiTheme="minorHAnsi" w:cstheme="minorHAnsi"/>
          <w:b/>
          <w:color w:val="000000"/>
        </w:rPr>
        <w:br w:type="page"/>
      </w:r>
    </w:p>
    <w:p w:rsidR="000028CD" w:rsidRPr="002F09DA" w:rsidRDefault="000028CD" w:rsidP="00AD0B10">
      <w:pPr>
        <w:jc w:val="center"/>
        <w:rPr>
          <w:rFonts w:asciiTheme="minorHAnsi" w:hAnsiTheme="minorHAnsi" w:cstheme="minorHAnsi"/>
          <w:b/>
          <w:color w:val="323E4F" w:themeColor="text2" w:themeShade="BF"/>
        </w:rPr>
      </w:pPr>
      <w:r w:rsidRPr="002F09DA">
        <w:rPr>
          <w:rFonts w:asciiTheme="minorHAnsi" w:hAnsiTheme="minorHAnsi" w:cstheme="minorHAnsi"/>
          <w:b/>
          <w:color w:val="323E4F" w:themeColor="text2" w:themeShade="BF"/>
        </w:rPr>
        <w:lastRenderedPageBreak/>
        <w:t>EUROPOS SĄJUNGOS TEISINGUMO TEISMO PRAKTIKOS APŽVALGA</w:t>
      </w:r>
    </w:p>
    <w:p w:rsidR="000028CD" w:rsidRPr="002F09DA" w:rsidRDefault="000028CD" w:rsidP="00AD0B10">
      <w:pPr>
        <w:jc w:val="center"/>
        <w:rPr>
          <w:rFonts w:asciiTheme="minorHAnsi" w:hAnsiTheme="minorHAnsi" w:cstheme="minorHAnsi"/>
          <w:color w:val="323E4F" w:themeColor="text2" w:themeShade="BF"/>
        </w:rPr>
      </w:pPr>
      <w:r w:rsidRPr="002F09DA">
        <w:rPr>
          <w:rFonts w:asciiTheme="minorHAnsi" w:hAnsiTheme="minorHAnsi" w:cstheme="minorHAnsi"/>
          <w:color w:val="323E4F" w:themeColor="text2" w:themeShade="BF"/>
        </w:rPr>
        <w:t>(201</w:t>
      </w:r>
      <w:r w:rsidR="00882925" w:rsidRPr="002F09DA">
        <w:rPr>
          <w:rFonts w:asciiTheme="minorHAnsi" w:hAnsiTheme="minorHAnsi" w:cstheme="minorHAnsi"/>
          <w:color w:val="323E4F" w:themeColor="text2" w:themeShade="BF"/>
        </w:rPr>
        <w:t>8</w:t>
      </w:r>
      <w:r w:rsidRPr="002F09DA">
        <w:rPr>
          <w:rFonts w:asciiTheme="minorHAnsi" w:hAnsiTheme="minorHAnsi" w:cstheme="minorHAnsi"/>
          <w:color w:val="323E4F" w:themeColor="text2" w:themeShade="BF"/>
        </w:rPr>
        <w:t xml:space="preserve"> m. </w:t>
      </w:r>
      <w:r w:rsidR="00882925" w:rsidRPr="002F09DA">
        <w:rPr>
          <w:rFonts w:asciiTheme="minorHAnsi" w:hAnsiTheme="minorHAnsi" w:cstheme="minorHAnsi"/>
          <w:color w:val="323E4F" w:themeColor="text2" w:themeShade="BF"/>
        </w:rPr>
        <w:t>sausio 1 d.–2018</w:t>
      </w:r>
      <w:r w:rsidRPr="002F09DA">
        <w:rPr>
          <w:rFonts w:asciiTheme="minorHAnsi" w:hAnsiTheme="minorHAnsi" w:cstheme="minorHAnsi"/>
          <w:color w:val="323E4F" w:themeColor="text2" w:themeShade="BF"/>
        </w:rPr>
        <w:t xml:space="preserve"> m. </w:t>
      </w:r>
      <w:r w:rsidR="00882925" w:rsidRPr="002F09DA">
        <w:rPr>
          <w:rFonts w:asciiTheme="minorHAnsi" w:hAnsiTheme="minorHAnsi" w:cstheme="minorHAnsi"/>
          <w:color w:val="323E4F" w:themeColor="text2" w:themeShade="BF"/>
        </w:rPr>
        <w:t>balandžio 30</w:t>
      </w:r>
      <w:r w:rsidRPr="002F09DA">
        <w:rPr>
          <w:rFonts w:asciiTheme="minorHAnsi" w:hAnsiTheme="minorHAnsi" w:cstheme="minorHAnsi"/>
          <w:color w:val="323E4F" w:themeColor="text2" w:themeShade="BF"/>
        </w:rPr>
        <w:t xml:space="preserve"> d.)</w:t>
      </w:r>
    </w:p>
    <w:sdt>
      <w:sdtPr>
        <w:rPr>
          <w:rFonts w:ascii="Calibri" w:eastAsia="Calibri" w:hAnsi="Calibri" w:cstheme="minorHAnsi"/>
          <w:b w:val="0"/>
          <w:color w:val="auto"/>
          <w:szCs w:val="22"/>
          <w:lang w:eastAsia="en-US"/>
        </w:rPr>
        <w:id w:val="769124419"/>
        <w:docPartObj>
          <w:docPartGallery w:val="Table of Contents"/>
          <w:docPartUnique/>
        </w:docPartObj>
      </w:sdtPr>
      <w:sdtEndPr>
        <w:rPr>
          <w:bCs/>
        </w:rPr>
      </w:sdtEndPr>
      <w:sdtContent>
        <w:p w:rsidR="000028CD" w:rsidRPr="002F09DA" w:rsidRDefault="000028CD" w:rsidP="00AD0B10">
          <w:pPr>
            <w:pStyle w:val="Turinioantrat"/>
            <w:spacing w:before="0" w:line="240" w:lineRule="auto"/>
            <w:rPr>
              <w:rFonts w:cstheme="minorHAnsi"/>
              <w:szCs w:val="22"/>
            </w:rPr>
          </w:pPr>
        </w:p>
        <w:p w:rsidR="00697BB5" w:rsidRDefault="000028CD">
          <w:pPr>
            <w:pStyle w:val="Turinys1"/>
            <w:rPr>
              <w:rFonts w:asciiTheme="minorHAnsi" w:eastAsiaTheme="minorEastAsia" w:hAnsiTheme="minorHAnsi" w:cstheme="minorBidi"/>
              <w:b w:val="0"/>
              <w:bCs w:val="0"/>
              <w:color w:val="auto"/>
              <w:kern w:val="0"/>
            </w:rPr>
          </w:pPr>
          <w:r w:rsidRPr="002F09DA">
            <w:rPr>
              <w:rFonts w:asciiTheme="minorHAnsi" w:hAnsiTheme="minorHAnsi" w:cstheme="minorHAnsi"/>
              <w:noProof w:val="0"/>
            </w:rPr>
            <w:fldChar w:fldCharType="begin"/>
          </w:r>
          <w:r w:rsidRPr="002F09DA">
            <w:rPr>
              <w:rFonts w:asciiTheme="minorHAnsi" w:hAnsiTheme="minorHAnsi" w:cstheme="minorHAnsi"/>
              <w:noProof w:val="0"/>
            </w:rPr>
            <w:instrText xml:space="preserve"> TOC \o "1-3" \h \z \u </w:instrText>
          </w:r>
          <w:r w:rsidRPr="002F09DA">
            <w:rPr>
              <w:rFonts w:asciiTheme="minorHAnsi" w:hAnsiTheme="minorHAnsi" w:cstheme="minorHAnsi"/>
              <w:noProof w:val="0"/>
            </w:rPr>
            <w:fldChar w:fldCharType="separate"/>
          </w:r>
          <w:hyperlink w:anchor="_Toc517273011" w:history="1">
            <w:r w:rsidR="00697BB5" w:rsidRPr="00F05ACB">
              <w:rPr>
                <w:rStyle w:val="Hipersaitas"/>
                <w:rFonts w:cstheme="minorHAnsi"/>
              </w:rPr>
              <w:t>UŽSIENIEČIŲ TEISINĖ PADĖTIS</w:t>
            </w:r>
            <w:r w:rsidR="00697BB5">
              <w:rPr>
                <w:webHidden/>
              </w:rPr>
              <w:tab/>
            </w:r>
            <w:r w:rsidR="00697BB5">
              <w:rPr>
                <w:webHidden/>
              </w:rPr>
              <w:fldChar w:fldCharType="begin"/>
            </w:r>
            <w:r w:rsidR="00697BB5">
              <w:rPr>
                <w:webHidden/>
              </w:rPr>
              <w:instrText xml:space="preserve"> PAGEREF _Toc517273011 \h </w:instrText>
            </w:r>
            <w:r w:rsidR="00697BB5">
              <w:rPr>
                <w:webHidden/>
              </w:rPr>
            </w:r>
            <w:r w:rsidR="00697BB5">
              <w:rPr>
                <w:webHidden/>
              </w:rPr>
              <w:fldChar w:fldCharType="separate"/>
            </w:r>
            <w:r w:rsidR="00697BB5">
              <w:rPr>
                <w:webHidden/>
              </w:rPr>
              <w:t>4</w:t>
            </w:r>
            <w:r w:rsidR="00697BB5">
              <w:rPr>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12" w:history="1">
            <w:r w:rsidR="00697BB5" w:rsidRPr="00F05ACB">
              <w:rPr>
                <w:rStyle w:val="Hipersaitas"/>
                <w:rFonts w:cstheme="minorHAnsi"/>
                <w:noProof/>
              </w:rPr>
              <w:t>2018 m. balandžio 12 d. didžiosios kolegijos prejudicinis sprendimas byloje C</w:t>
            </w:r>
            <w:r w:rsidR="00697BB5" w:rsidRPr="00F05ACB">
              <w:rPr>
                <w:rStyle w:val="Hipersaitas"/>
                <w:rFonts w:cstheme="minorHAnsi"/>
                <w:noProof/>
              </w:rPr>
              <w:noBreakHyphen/>
              <w:t>550/16</w:t>
            </w:r>
            <w:r w:rsidR="00697BB5">
              <w:rPr>
                <w:noProof/>
                <w:webHidden/>
              </w:rPr>
              <w:tab/>
            </w:r>
            <w:r w:rsidR="00697BB5">
              <w:rPr>
                <w:noProof/>
                <w:webHidden/>
              </w:rPr>
              <w:fldChar w:fldCharType="begin"/>
            </w:r>
            <w:r w:rsidR="00697BB5">
              <w:rPr>
                <w:noProof/>
                <w:webHidden/>
              </w:rPr>
              <w:instrText xml:space="preserve"> PAGEREF _Toc517273012 \h </w:instrText>
            </w:r>
            <w:r w:rsidR="00697BB5">
              <w:rPr>
                <w:noProof/>
                <w:webHidden/>
              </w:rPr>
            </w:r>
            <w:r w:rsidR="00697BB5">
              <w:rPr>
                <w:noProof/>
                <w:webHidden/>
              </w:rPr>
              <w:fldChar w:fldCharType="separate"/>
            </w:r>
            <w:r w:rsidR="00697BB5">
              <w:rPr>
                <w:noProof/>
                <w:webHidden/>
              </w:rPr>
              <w:t>4</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13" w:history="1">
            <w:r w:rsidR="00697BB5" w:rsidRPr="00697BB5">
              <w:rPr>
                <w:rStyle w:val="Hipersaitas"/>
                <w:rFonts w:cstheme="minorHAnsi"/>
                <w:noProof/>
                <w:shd w:val="clear" w:color="auto" w:fill="FFFFFF"/>
              </w:rPr>
              <w:t>Dėl sąvokos „nelydimas nepilnametis“ aiškinimo, kai pabėgėlis, kuris atvykimo į valstybės narės teritoriją ir prieglobsčio prašymo padavimo momentu neturi 18 metų, bet tampa pilnamečiu sprendimo suteikti jam prieglobstį priėmimo ir jo prašymo dėl šeimos susijungimo momentu</w:t>
            </w:r>
            <w:r w:rsidR="00697BB5">
              <w:rPr>
                <w:noProof/>
                <w:webHidden/>
              </w:rPr>
              <w:tab/>
            </w:r>
            <w:r w:rsidR="00697BB5">
              <w:rPr>
                <w:noProof/>
                <w:webHidden/>
              </w:rPr>
              <w:fldChar w:fldCharType="begin"/>
            </w:r>
            <w:r w:rsidR="00697BB5">
              <w:rPr>
                <w:noProof/>
                <w:webHidden/>
              </w:rPr>
              <w:instrText xml:space="preserve"> PAGEREF _Toc517273013 \h </w:instrText>
            </w:r>
            <w:r w:rsidR="00697BB5">
              <w:rPr>
                <w:noProof/>
                <w:webHidden/>
              </w:rPr>
            </w:r>
            <w:r w:rsidR="00697BB5">
              <w:rPr>
                <w:noProof/>
                <w:webHidden/>
              </w:rPr>
              <w:fldChar w:fldCharType="separate"/>
            </w:r>
            <w:r w:rsidR="00697BB5">
              <w:rPr>
                <w:noProof/>
                <w:webHidden/>
              </w:rPr>
              <w:t>4</w:t>
            </w:r>
            <w:r w:rsidR="00697BB5">
              <w:rPr>
                <w:noProof/>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14" w:history="1">
            <w:r w:rsidR="00697BB5" w:rsidRPr="00F05ACB">
              <w:rPr>
                <w:rStyle w:val="Hipersaitas"/>
                <w:rFonts w:cstheme="minorHAnsi"/>
                <w:noProof/>
              </w:rPr>
              <w:t>2018 m. gegužės 8 d. didžiosios kolegijos prejudicinis sprendimas byloje C</w:t>
            </w:r>
            <w:r w:rsidR="00697BB5" w:rsidRPr="00F05ACB">
              <w:rPr>
                <w:rStyle w:val="Hipersaitas"/>
                <w:rFonts w:cstheme="minorHAnsi"/>
                <w:noProof/>
              </w:rPr>
              <w:noBreakHyphen/>
              <w:t>82/16</w:t>
            </w:r>
            <w:r w:rsidR="00697BB5">
              <w:rPr>
                <w:noProof/>
                <w:webHidden/>
              </w:rPr>
              <w:tab/>
            </w:r>
            <w:r w:rsidR="00697BB5">
              <w:rPr>
                <w:noProof/>
                <w:webHidden/>
              </w:rPr>
              <w:fldChar w:fldCharType="begin"/>
            </w:r>
            <w:r w:rsidR="00697BB5">
              <w:rPr>
                <w:noProof/>
                <w:webHidden/>
              </w:rPr>
              <w:instrText xml:space="preserve"> PAGEREF _Toc517273014 \h </w:instrText>
            </w:r>
            <w:r w:rsidR="00697BB5">
              <w:rPr>
                <w:noProof/>
                <w:webHidden/>
              </w:rPr>
            </w:r>
            <w:r w:rsidR="00697BB5">
              <w:rPr>
                <w:noProof/>
                <w:webHidden/>
              </w:rPr>
              <w:fldChar w:fldCharType="separate"/>
            </w:r>
            <w:r w:rsidR="00697BB5">
              <w:rPr>
                <w:noProof/>
                <w:webHidden/>
              </w:rPr>
              <w:t>6</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15" w:history="1">
            <w:r w:rsidR="00697BB5" w:rsidRPr="00F05ACB">
              <w:rPr>
                <w:rStyle w:val="Hipersaitas"/>
                <w:rFonts w:eastAsia="Times New Roman" w:cstheme="minorHAnsi"/>
                <w:iCs/>
                <w:noProof/>
                <w:lang w:eastAsia="lt-LT"/>
              </w:rPr>
              <w:t>Dėl prašymo išduoti leidimą gyventi šalyje šeimos susijungimo tikslu nenagrinėjimo remiantis tuo, kad prašymą pateikusiam asmeniui buvo nustatytas draudimas atvykti į atitinkamos valstybės narės teritoriją</w:t>
            </w:r>
            <w:r w:rsidR="00697BB5">
              <w:rPr>
                <w:noProof/>
                <w:webHidden/>
              </w:rPr>
              <w:tab/>
            </w:r>
            <w:r w:rsidR="00697BB5">
              <w:rPr>
                <w:noProof/>
                <w:webHidden/>
              </w:rPr>
              <w:fldChar w:fldCharType="begin"/>
            </w:r>
            <w:r w:rsidR="00697BB5">
              <w:rPr>
                <w:noProof/>
                <w:webHidden/>
              </w:rPr>
              <w:instrText xml:space="preserve"> PAGEREF _Toc517273015 \h </w:instrText>
            </w:r>
            <w:r w:rsidR="00697BB5">
              <w:rPr>
                <w:noProof/>
                <w:webHidden/>
              </w:rPr>
            </w:r>
            <w:r w:rsidR="00697BB5">
              <w:rPr>
                <w:noProof/>
                <w:webHidden/>
              </w:rPr>
              <w:fldChar w:fldCharType="separate"/>
            </w:r>
            <w:r w:rsidR="00697BB5">
              <w:rPr>
                <w:noProof/>
                <w:webHidden/>
              </w:rPr>
              <w:t>7</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16" w:history="1">
            <w:r w:rsidR="00697BB5" w:rsidRPr="00F05ACB">
              <w:rPr>
                <w:rStyle w:val="Hipersaitas"/>
                <w:rFonts w:eastAsia="Times New Roman" w:cstheme="minorHAnsi"/>
                <w:iCs/>
                <w:noProof/>
                <w:lang w:eastAsia="lt-LT"/>
              </w:rPr>
              <w:t>Dėl atvejų, kai trečiosios šalies pilietis negali pasinaudoti išvestine teise gyventi šalyje pagal SESV 20 straipsnį</w:t>
            </w:r>
            <w:r w:rsidR="00697BB5">
              <w:rPr>
                <w:noProof/>
                <w:webHidden/>
              </w:rPr>
              <w:tab/>
            </w:r>
            <w:r w:rsidR="00697BB5">
              <w:rPr>
                <w:noProof/>
                <w:webHidden/>
              </w:rPr>
              <w:fldChar w:fldCharType="begin"/>
            </w:r>
            <w:r w:rsidR="00697BB5">
              <w:rPr>
                <w:noProof/>
                <w:webHidden/>
              </w:rPr>
              <w:instrText xml:space="preserve"> PAGEREF _Toc517273016 \h </w:instrText>
            </w:r>
            <w:r w:rsidR="00697BB5">
              <w:rPr>
                <w:noProof/>
                <w:webHidden/>
              </w:rPr>
            </w:r>
            <w:r w:rsidR="00697BB5">
              <w:rPr>
                <w:noProof/>
                <w:webHidden/>
              </w:rPr>
              <w:fldChar w:fldCharType="separate"/>
            </w:r>
            <w:r w:rsidR="00697BB5">
              <w:rPr>
                <w:noProof/>
                <w:webHidden/>
              </w:rPr>
              <w:t>9</w:t>
            </w:r>
            <w:r w:rsidR="00697BB5">
              <w:rPr>
                <w:noProof/>
                <w:webHidden/>
              </w:rPr>
              <w:fldChar w:fldCharType="end"/>
            </w:r>
          </w:hyperlink>
        </w:p>
        <w:p w:rsidR="00697BB5" w:rsidRDefault="00EF32EC">
          <w:pPr>
            <w:pStyle w:val="Turinys1"/>
            <w:rPr>
              <w:rFonts w:asciiTheme="minorHAnsi" w:eastAsiaTheme="minorEastAsia" w:hAnsiTheme="minorHAnsi" w:cstheme="minorBidi"/>
              <w:b w:val="0"/>
              <w:bCs w:val="0"/>
              <w:color w:val="auto"/>
              <w:kern w:val="0"/>
            </w:rPr>
          </w:pPr>
          <w:hyperlink w:anchor="_Toc517273017" w:history="1">
            <w:r w:rsidR="00697BB5" w:rsidRPr="00F05ACB">
              <w:rPr>
                <w:rStyle w:val="Hipersaitas"/>
                <w:rFonts w:cstheme="minorHAnsi"/>
                <w:iCs/>
              </w:rPr>
              <w:t>2018 m. gegužės 2 d. didžiosios kolegijos prejudicinis sprendimas sujungtose bylose C</w:t>
            </w:r>
            <w:r w:rsidR="00697BB5" w:rsidRPr="00F05ACB">
              <w:rPr>
                <w:rStyle w:val="Hipersaitas"/>
                <w:rFonts w:cstheme="minorHAnsi"/>
                <w:iCs/>
              </w:rPr>
              <w:noBreakHyphen/>
              <w:t>331/16 ir C</w:t>
            </w:r>
            <w:r w:rsidR="00697BB5" w:rsidRPr="00F05ACB">
              <w:rPr>
                <w:rStyle w:val="Hipersaitas"/>
                <w:rFonts w:cstheme="minorHAnsi"/>
                <w:iCs/>
              </w:rPr>
              <w:noBreakHyphen/>
              <w:t>366/16</w:t>
            </w:r>
            <w:r w:rsidR="00697BB5">
              <w:rPr>
                <w:webHidden/>
              </w:rPr>
              <w:tab/>
            </w:r>
            <w:r w:rsidR="00697BB5">
              <w:rPr>
                <w:webHidden/>
              </w:rPr>
              <w:fldChar w:fldCharType="begin"/>
            </w:r>
            <w:r w:rsidR="00697BB5">
              <w:rPr>
                <w:webHidden/>
              </w:rPr>
              <w:instrText xml:space="preserve"> PAGEREF _Toc517273017 \h </w:instrText>
            </w:r>
            <w:r w:rsidR="00697BB5">
              <w:rPr>
                <w:webHidden/>
              </w:rPr>
            </w:r>
            <w:r w:rsidR="00697BB5">
              <w:rPr>
                <w:webHidden/>
              </w:rPr>
              <w:fldChar w:fldCharType="separate"/>
            </w:r>
            <w:r w:rsidR="00697BB5">
              <w:rPr>
                <w:webHidden/>
              </w:rPr>
              <w:t>11</w:t>
            </w:r>
            <w:r w:rsidR="00697BB5">
              <w:rPr>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18" w:history="1">
            <w:r w:rsidR="00697BB5" w:rsidRPr="00F05ACB">
              <w:rPr>
                <w:rStyle w:val="Hipersaitas"/>
                <w:rFonts w:cstheme="minorHAnsi"/>
                <w:noProof/>
                <w:lang w:eastAsia="lt-LT"/>
              </w:rPr>
              <w:t>Dėl aplinkybės, jog dėl Sąjungos piliečio arba dėl trečiosios šalies piliečio, kuris yra tokio piliečio šeimos narys, prašančio suteikti teisę gyventi valstybės narės teritorijoje, praeityje buvo priimtas sprendimas nesuteikti pabėgėlio statuso remiantis Ženevos konvencijos 1 straipsnio F skirsniu arba Direktyvos 2011/95 12 straipsnio 2 dalimi, reikšmės sprendžiant dėl atsisakymo suteikti teisę gyventi remiantis viešosios tvarkos ar visuomenės saugumo priežastimis</w:t>
            </w:r>
            <w:r w:rsidR="00697BB5">
              <w:rPr>
                <w:noProof/>
                <w:webHidden/>
              </w:rPr>
              <w:tab/>
            </w:r>
            <w:r w:rsidR="00697BB5">
              <w:rPr>
                <w:noProof/>
                <w:webHidden/>
              </w:rPr>
              <w:fldChar w:fldCharType="begin"/>
            </w:r>
            <w:r w:rsidR="00697BB5">
              <w:rPr>
                <w:noProof/>
                <w:webHidden/>
              </w:rPr>
              <w:instrText xml:space="preserve"> PAGEREF _Toc517273018 \h </w:instrText>
            </w:r>
            <w:r w:rsidR="00697BB5">
              <w:rPr>
                <w:noProof/>
                <w:webHidden/>
              </w:rPr>
            </w:r>
            <w:r w:rsidR="00697BB5">
              <w:rPr>
                <w:noProof/>
                <w:webHidden/>
              </w:rPr>
              <w:fldChar w:fldCharType="separate"/>
            </w:r>
            <w:r w:rsidR="00697BB5">
              <w:rPr>
                <w:noProof/>
                <w:webHidden/>
              </w:rPr>
              <w:t>12</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19" w:history="1">
            <w:r w:rsidR="00697BB5" w:rsidRPr="00F05ACB">
              <w:rPr>
                <w:rStyle w:val="Hipersaitas"/>
                <w:rFonts w:cstheme="minorHAnsi"/>
                <w:noProof/>
                <w:lang w:eastAsia="lt-LT"/>
              </w:rPr>
              <w:t>Dėl sustiprintos apsaugos taikymo nagrinėjamoje situacijoje esančio pareiškėjo atžvilgiu</w:t>
            </w:r>
            <w:r w:rsidR="00697BB5">
              <w:rPr>
                <w:noProof/>
                <w:webHidden/>
              </w:rPr>
              <w:tab/>
            </w:r>
            <w:r w:rsidR="00697BB5">
              <w:rPr>
                <w:noProof/>
                <w:webHidden/>
              </w:rPr>
              <w:fldChar w:fldCharType="begin"/>
            </w:r>
            <w:r w:rsidR="00697BB5">
              <w:rPr>
                <w:noProof/>
                <w:webHidden/>
              </w:rPr>
              <w:instrText xml:space="preserve"> PAGEREF _Toc517273019 \h </w:instrText>
            </w:r>
            <w:r w:rsidR="00697BB5">
              <w:rPr>
                <w:noProof/>
                <w:webHidden/>
              </w:rPr>
            </w:r>
            <w:r w:rsidR="00697BB5">
              <w:rPr>
                <w:noProof/>
                <w:webHidden/>
              </w:rPr>
              <w:fldChar w:fldCharType="separate"/>
            </w:r>
            <w:r w:rsidR="00697BB5">
              <w:rPr>
                <w:noProof/>
                <w:webHidden/>
              </w:rPr>
              <w:t>13</w:t>
            </w:r>
            <w:r w:rsidR="00697BB5">
              <w:rPr>
                <w:noProof/>
                <w:webHidden/>
              </w:rPr>
              <w:fldChar w:fldCharType="end"/>
            </w:r>
          </w:hyperlink>
        </w:p>
        <w:p w:rsidR="00697BB5" w:rsidRDefault="00EF32EC">
          <w:pPr>
            <w:pStyle w:val="Turinys1"/>
            <w:rPr>
              <w:rFonts w:asciiTheme="minorHAnsi" w:eastAsiaTheme="minorEastAsia" w:hAnsiTheme="minorHAnsi" w:cstheme="minorBidi"/>
              <w:b w:val="0"/>
              <w:bCs w:val="0"/>
              <w:color w:val="auto"/>
              <w:kern w:val="0"/>
            </w:rPr>
          </w:pPr>
          <w:hyperlink w:anchor="_Toc517273020" w:history="1">
            <w:r w:rsidR="00697BB5" w:rsidRPr="00F05ACB">
              <w:rPr>
                <w:rStyle w:val="Hipersaitas"/>
                <w:rFonts w:cstheme="minorHAnsi"/>
              </w:rPr>
              <w:t>SOCIALINĖ POLITIKA</w:t>
            </w:r>
            <w:r w:rsidR="00697BB5">
              <w:rPr>
                <w:webHidden/>
              </w:rPr>
              <w:tab/>
            </w:r>
            <w:r w:rsidR="00697BB5">
              <w:rPr>
                <w:webHidden/>
              </w:rPr>
              <w:fldChar w:fldCharType="begin"/>
            </w:r>
            <w:r w:rsidR="00697BB5">
              <w:rPr>
                <w:webHidden/>
              </w:rPr>
              <w:instrText xml:space="preserve"> PAGEREF _Toc517273020 \h </w:instrText>
            </w:r>
            <w:r w:rsidR="00697BB5">
              <w:rPr>
                <w:webHidden/>
              </w:rPr>
            </w:r>
            <w:r w:rsidR="00697BB5">
              <w:rPr>
                <w:webHidden/>
              </w:rPr>
              <w:fldChar w:fldCharType="separate"/>
            </w:r>
            <w:r w:rsidR="00697BB5">
              <w:rPr>
                <w:webHidden/>
              </w:rPr>
              <w:t>15</w:t>
            </w:r>
            <w:r w:rsidR="00697BB5">
              <w:rPr>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21" w:history="1">
            <w:r w:rsidR="00697BB5" w:rsidRPr="00F05ACB">
              <w:rPr>
                <w:rStyle w:val="Hipersaitas"/>
                <w:rFonts w:cstheme="minorHAnsi"/>
                <w:noProof/>
              </w:rPr>
              <w:t>2018 m. vasario 22 d. prejudicinis sprendimas byloje C</w:t>
            </w:r>
            <w:r w:rsidR="00697BB5" w:rsidRPr="00F05ACB">
              <w:rPr>
                <w:rStyle w:val="Hipersaitas"/>
                <w:rFonts w:cstheme="minorHAnsi"/>
                <w:noProof/>
              </w:rPr>
              <w:noBreakHyphen/>
              <w:t>103/16</w:t>
            </w:r>
            <w:r w:rsidR="00697BB5">
              <w:rPr>
                <w:noProof/>
                <w:webHidden/>
              </w:rPr>
              <w:tab/>
            </w:r>
            <w:r w:rsidR="00697BB5">
              <w:rPr>
                <w:noProof/>
                <w:webHidden/>
              </w:rPr>
              <w:fldChar w:fldCharType="begin"/>
            </w:r>
            <w:r w:rsidR="00697BB5">
              <w:rPr>
                <w:noProof/>
                <w:webHidden/>
              </w:rPr>
              <w:instrText xml:space="preserve"> PAGEREF _Toc517273021 \h </w:instrText>
            </w:r>
            <w:r w:rsidR="00697BB5">
              <w:rPr>
                <w:noProof/>
                <w:webHidden/>
              </w:rPr>
            </w:r>
            <w:r w:rsidR="00697BB5">
              <w:rPr>
                <w:noProof/>
                <w:webHidden/>
              </w:rPr>
              <w:fldChar w:fldCharType="separate"/>
            </w:r>
            <w:r w:rsidR="00697BB5">
              <w:rPr>
                <w:noProof/>
                <w:webHidden/>
              </w:rPr>
              <w:t>15</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22" w:history="1">
            <w:r w:rsidR="00697BB5" w:rsidRPr="00F05ACB">
              <w:rPr>
                <w:rStyle w:val="Hipersaitas"/>
                <w:rFonts w:cstheme="minorHAnsi"/>
                <w:noProof/>
              </w:rPr>
              <w:t>Dėl nacionalinių teisės aktų, pagal kuriuos leidžiama atleisti nėščią darbuotoją dėl vykdomo kolektyvinio atleidimo iš darbo, taikymo</w:t>
            </w:r>
            <w:r w:rsidR="00697BB5">
              <w:rPr>
                <w:noProof/>
                <w:webHidden/>
              </w:rPr>
              <w:tab/>
            </w:r>
            <w:r w:rsidR="00697BB5">
              <w:rPr>
                <w:noProof/>
                <w:webHidden/>
              </w:rPr>
              <w:fldChar w:fldCharType="begin"/>
            </w:r>
            <w:r w:rsidR="00697BB5">
              <w:rPr>
                <w:noProof/>
                <w:webHidden/>
              </w:rPr>
              <w:instrText xml:space="preserve"> PAGEREF _Toc517273022 \h </w:instrText>
            </w:r>
            <w:r w:rsidR="00697BB5">
              <w:rPr>
                <w:noProof/>
                <w:webHidden/>
              </w:rPr>
            </w:r>
            <w:r w:rsidR="00697BB5">
              <w:rPr>
                <w:noProof/>
                <w:webHidden/>
              </w:rPr>
              <w:fldChar w:fldCharType="separate"/>
            </w:r>
            <w:r w:rsidR="00697BB5">
              <w:rPr>
                <w:noProof/>
                <w:webHidden/>
              </w:rPr>
              <w:t>15</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23" w:history="1">
            <w:r w:rsidR="00697BB5" w:rsidRPr="00F05ACB">
              <w:rPr>
                <w:rStyle w:val="Hipersaitas"/>
                <w:rFonts w:cstheme="minorHAnsi"/>
                <w:noProof/>
              </w:rPr>
              <w:t>Dėl nacionalinės teisės aktų, pagal kuriuos darbdaviui leidžiama atleisti iš darbo nėščią darbuotoją dėl vykdomo kolektyvinio atleidimo iš darbo, jai nepateikiant jokių pagrindžiančių priežasčių, išskyrus tas, kuriomis grindžiamas kolektyvinis atleidimas iš darbo</w:t>
            </w:r>
            <w:r w:rsidR="00697BB5">
              <w:rPr>
                <w:noProof/>
                <w:webHidden/>
              </w:rPr>
              <w:tab/>
            </w:r>
            <w:r w:rsidR="00697BB5">
              <w:rPr>
                <w:noProof/>
                <w:webHidden/>
              </w:rPr>
              <w:fldChar w:fldCharType="begin"/>
            </w:r>
            <w:r w:rsidR="00697BB5">
              <w:rPr>
                <w:noProof/>
                <w:webHidden/>
              </w:rPr>
              <w:instrText xml:space="preserve"> PAGEREF _Toc517273023 \h </w:instrText>
            </w:r>
            <w:r w:rsidR="00697BB5">
              <w:rPr>
                <w:noProof/>
                <w:webHidden/>
              </w:rPr>
            </w:r>
            <w:r w:rsidR="00697BB5">
              <w:rPr>
                <w:noProof/>
                <w:webHidden/>
              </w:rPr>
              <w:fldChar w:fldCharType="separate"/>
            </w:r>
            <w:r w:rsidR="00697BB5">
              <w:rPr>
                <w:noProof/>
                <w:webHidden/>
              </w:rPr>
              <w:t>16</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24" w:history="1">
            <w:r w:rsidR="00697BB5" w:rsidRPr="00F05ACB">
              <w:rPr>
                <w:rStyle w:val="Hipersaitas"/>
                <w:rFonts w:cstheme="minorHAnsi"/>
                <w:noProof/>
              </w:rPr>
              <w:t>Dėl nacionalinės teisės aktų, kuriais iš principo prevenciškai nedraudžiama atleisti iš darbo nėščios, neseniai pagimdžiusios ar krūtimi maitinančios darbuotojos ir kuriuose tik numatyta, kad turi būti išmokėtas žalos atlyginimas</w:t>
            </w:r>
            <w:r w:rsidR="00697BB5">
              <w:rPr>
                <w:noProof/>
                <w:webHidden/>
              </w:rPr>
              <w:tab/>
            </w:r>
            <w:r w:rsidR="00697BB5">
              <w:rPr>
                <w:noProof/>
                <w:webHidden/>
              </w:rPr>
              <w:fldChar w:fldCharType="begin"/>
            </w:r>
            <w:r w:rsidR="00697BB5">
              <w:rPr>
                <w:noProof/>
                <w:webHidden/>
              </w:rPr>
              <w:instrText xml:space="preserve"> PAGEREF _Toc517273024 \h </w:instrText>
            </w:r>
            <w:r w:rsidR="00697BB5">
              <w:rPr>
                <w:noProof/>
                <w:webHidden/>
              </w:rPr>
            </w:r>
            <w:r w:rsidR="00697BB5">
              <w:rPr>
                <w:noProof/>
                <w:webHidden/>
              </w:rPr>
              <w:fldChar w:fldCharType="separate"/>
            </w:r>
            <w:r w:rsidR="00697BB5">
              <w:rPr>
                <w:noProof/>
                <w:webHidden/>
              </w:rPr>
              <w:t>16</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25" w:history="1">
            <w:r w:rsidR="00697BB5" w:rsidRPr="00F05ACB">
              <w:rPr>
                <w:rStyle w:val="Hipersaitas"/>
                <w:rFonts w:cstheme="minorHAnsi"/>
                <w:noProof/>
              </w:rPr>
              <w:t>Dėl nacionalinės teisės aktų, kuriuose, vykdant kolektyvinį atleidimą iš darbo, kaip tai suprantama pagal Direktyvą 98/59, nėščioms nenumatyta pirmenybė</w:t>
            </w:r>
            <w:r w:rsidR="00697BB5">
              <w:rPr>
                <w:noProof/>
                <w:webHidden/>
              </w:rPr>
              <w:tab/>
            </w:r>
            <w:r w:rsidR="00697BB5">
              <w:rPr>
                <w:noProof/>
                <w:webHidden/>
              </w:rPr>
              <w:fldChar w:fldCharType="begin"/>
            </w:r>
            <w:r w:rsidR="00697BB5">
              <w:rPr>
                <w:noProof/>
                <w:webHidden/>
              </w:rPr>
              <w:instrText xml:space="preserve"> PAGEREF _Toc517273025 \h </w:instrText>
            </w:r>
            <w:r w:rsidR="00697BB5">
              <w:rPr>
                <w:noProof/>
                <w:webHidden/>
              </w:rPr>
            </w:r>
            <w:r w:rsidR="00697BB5">
              <w:rPr>
                <w:noProof/>
                <w:webHidden/>
              </w:rPr>
              <w:fldChar w:fldCharType="separate"/>
            </w:r>
            <w:r w:rsidR="00697BB5">
              <w:rPr>
                <w:noProof/>
                <w:webHidden/>
              </w:rPr>
              <w:t>16</w:t>
            </w:r>
            <w:r w:rsidR="00697BB5">
              <w:rPr>
                <w:noProof/>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26" w:history="1">
            <w:r w:rsidR="00697BB5" w:rsidRPr="00F05ACB">
              <w:rPr>
                <w:rStyle w:val="Hipersaitas"/>
                <w:rFonts w:cstheme="minorHAnsi"/>
                <w:noProof/>
              </w:rPr>
              <w:t>2018 m. balandžio 17 d. didžiosios kolegijos prejudicinis sprendimas byloje C</w:t>
            </w:r>
            <w:r w:rsidR="00697BB5" w:rsidRPr="00F05ACB">
              <w:rPr>
                <w:rStyle w:val="Hipersaitas"/>
                <w:rFonts w:cstheme="minorHAnsi"/>
                <w:noProof/>
              </w:rPr>
              <w:noBreakHyphen/>
              <w:t>414/16</w:t>
            </w:r>
            <w:r w:rsidR="00697BB5">
              <w:rPr>
                <w:noProof/>
                <w:webHidden/>
              </w:rPr>
              <w:tab/>
            </w:r>
            <w:r w:rsidR="00697BB5">
              <w:rPr>
                <w:noProof/>
                <w:webHidden/>
              </w:rPr>
              <w:fldChar w:fldCharType="begin"/>
            </w:r>
            <w:r w:rsidR="00697BB5">
              <w:rPr>
                <w:noProof/>
                <w:webHidden/>
              </w:rPr>
              <w:instrText xml:space="preserve"> PAGEREF _Toc517273026 \h </w:instrText>
            </w:r>
            <w:r w:rsidR="00697BB5">
              <w:rPr>
                <w:noProof/>
                <w:webHidden/>
              </w:rPr>
            </w:r>
            <w:r w:rsidR="00697BB5">
              <w:rPr>
                <w:noProof/>
                <w:webHidden/>
              </w:rPr>
              <w:fldChar w:fldCharType="separate"/>
            </w:r>
            <w:r w:rsidR="00697BB5">
              <w:rPr>
                <w:noProof/>
                <w:webHidden/>
              </w:rPr>
              <w:t>17</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27" w:history="1">
            <w:r w:rsidR="00697BB5" w:rsidRPr="00F05ACB">
              <w:rPr>
                <w:rStyle w:val="Hipersaitas"/>
                <w:rFonts w:cstheme="minorHAnsi"/>
                <w:noProof/>
              </w:rPr>
              <w:t>Dėl veiksmingos teismo kontrolės taikymo bažnyčiai atmetus kandidatūrą į darbo vietą dėl neatitikimo religinėms sąlygoms</w:t>
            </w:r>
            <w:r w:rsidR="00697BB5">
              <w:rPr>
                <w:noProof/>
                <w:webHidden/>
              </w:rPr>
              <w:tab/>
            </w:r>
            <w:r w:rsidR="00697BB5">
              <w:rPr>
                <w:noProof/>
                <w:webHidden/>
              </w:rPr>
              <w:fldChar w:fldCharType="begin"/>
            </w:r>
            <w:r w:rsidR="00697BB5">
              <w:rPr>
                <w:noProof/>
                <w:webHidden/>
              </w:rPr>
              <w:instrText xml:space="preserve"> PAGEREF _Toc517273027 \h </w:instrText>
            </w:r>
            <w:r w:rsidR="00697BB5">
              <w:rPr>
                <w:noProof/>
                <w:webHidden/>
              </w:rPr>
            </w:r>
            <w:r w:rsidR="00697BB5">
              <w:rPr>
                <w:noProof/>
                <w:webHidden/>
              </w:rPr>
              <w:fldChar w:fldCharType="separate"/>
            </w:r>
            <w:r w:rsidR="00697BB5">
              <w:rPr>
                <w:noProof/>
                <w:webHidden/>
              </w:rPr>
              <w:t>17</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28" w:history="1">
            <w:r w:rsidR="00697BB5" w:rsidRPr="00F05ACB">
              <w:rPr>
                <w:rStyle w:val="Hipersaitas"/>
                <w:rFonts w:cstheme="minorHAnsi"/>
                <w:noProof/>
              </w:rPr>
              <w:t>Dėl Direktyvos 2000/78 4 straipsnio 2 dalyje numatyto esminio, teisėto ir pateisinamo profesinio reikalavimo aiškinimo</w:t>
            </w:r>
            <w:r w:rsidR="00697BB5">
              <w:rPr>
                <w:noProof/>
                <w:webHidden/>
              </w:rPr>
              <w:tab/>
            </w:r>
            <w:r w:rsidR="00697BB5">
              <w:rPr>
                <w:noProof/>
                <w:webHidden/>
              </w:rPr>
              <w:fldChar w:fldCharType="begin"/>
            </w:r>
            <w:r w:rsidR="00697BB5">
              <w:rPr>
                <w:noProof/>
                <w:webHidden/>
              </w:rPr>
              <w:instrText xml:space="preserve"> PAGEREF _Toc517273028 \h </w:instrText>
            </w:r>
            <w:r w:rsidR="00697BB5">
              <w:rPr>
                <w:noProof/>
                <w:webHidden/>
              </w:rPr>
            </w:r>
            <w:r w:rsidR="00697BB5">
              <w:rPr>
                <w:noProof/>
                <w:webHidden/>
              </w:rPr>
              <w:fldChar w:fldCharType="separate"/>
            </w:r>
            <w:r w:rsidR="00697BB5">
              <w:rPr>
                <w:noProof/>
                <w:webHidden/>
              </w:rPr>
              <w:t>18</w:t>
            </w:r>
            <w:r w:rsidR="00697BB5">
              <w:rPr>
                <w:noProof/>
                <w:webHidden/>
              </w:rPr>
              <w:fldChar w:fldCharType="end"/>
            </w:r>
          </w:hyperlink>
        </w:p>
        <w:p w:rsidR="00697BB5" w:rsidRDefault="00EF32EC">
          <w:pPr>
            <w:pStyle w:val="Turinys1"/>
            <w:rPr>
              <w:rFonts w:asciiTheme="minorHAnsi" w:eastAsiaTheme="minorEastAsia" w:hAnsiTheme="minorHAnsi" w:cstheme="minorBidi"/>
              <w:b w:val="0"/>
              <w:bCs w:val="0"/>
              <w:color w:val="auto"/>
              <w:kern w:val="0"/>
            </w:rPr>
          </w:pPr>
          <w:hyperlink w:anchor="_Toc517273029" w:history="1">
            <w:r w:rsidR="00697BB5" w:rsidRPr="00F05ACB">
              <w:rPr>
                <w:rStyle w:val="Hipersaitas"/>
                <w:rFonts w:cstheme="minorHAnsi"/>
              </w:rPr>
              <w:t>APMOKESTINIMAS</w:t>
            </w:r>
            <w:r w:rsidR="00697BB5">
              <w:rPr>
                <w:webHidden/>
              </w:rPr>
              <w:tab/>
            </w:r>
            <w:r w:rsidR="00697BB5">
              <w:rPr>
                <w:webHidden/>
              </w:rPr>
              <w:fldChar w:fldCharType="begin"/>
            </w:r>
            <w:r w:rsidR="00697BB5">
              <w:rPr>
                <w:webHidden/>
              </w:rPr>
              <w:instrText xml:space="preserve"> PAGEREF _Toc517273029 \h </w:instrText>
            </w:r>
            <w:r w:rsidR="00697BB5">
              <w:rPr>
                <w:webHidden/>
              </w:rPr>
            </w:r>
            <w:r w:rsidR="00697BB5">
              <w:rPr>
                <w:webHidden/>
              </w:rPr>
              <w:fldChar w:fldCharType="separate"/>
            </w:r>
            <w:r w:rsidR="00697BB5">
              <w:rPr>
                <w:webHidden/>
              </w:rPr>
              <w:t>19</w:t>
            </w:r>
            <w:r w:rsidR="00697BB5">
              <w:rPr>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30" w:history="1">
            <w:r w:rsidR="00697BB5" w:rsidRPr="00F05ACB">
              <w:rPr>
                <w:rStyle w:val="Hipersaitas"/>
                <w:rFonts w:cs="Calibri"/>
                <w:noProof/>
              </w:rPr>
              <w:t>2018 m. kovo 7 d. prejudicinis sprendimas byloje C</w:t>
            </w:r>
            <w:r w:rsidR="00697BB5" w:rsidRPr="00F05ACB">
              <w:rPr>
                <w:rStyle w:val="Hipersaitas"/>
                <w:rFonts w:ascii="Cambria Math" w:hAnsi="Cambria Math" w:cs="Cambria Math"/>
                <w:noProof/>
              </w:rPr>
              <w:t>‑</w:t>
            </w:r>
            <w:r w:rsidR="00697BB5" w:rsidRPr="00F05ACB">
              <w:rPr>
                <w:rStyle w:val="Hipersaitas"/>
                <w:rFonts w:cs="Calibri"/>
                <w:noProof/>
              </w:rPr>
              <w:t>159/17</w:t>
            </w:r>
            <w:r w:rsidR="00697BB5">
              <w:rPr>
                <w:noProof/>
                <w:webHidden/>
              </w:rPr>
              <w:tab/>
            </w:r>
            <w:r w:rsidR="00697BB5">
              <w:rPr>
                <w:noProof/>
                <w:webHidden/>
              </w:rPr>
              <w:fldChar w:fldCharType="begin"/>
            </w:r>
            <w:r w:rsidR="00697BB5">
              <w:rPr>
                <w:noProof/>
                <w:webHidden/>
              </w:rPr>
              <w:instrText xml:space="preserve"> PAGEREF _Toc517273030 \h </w:instrText>
            </w:r>
            <w:r w:rsidR="00697BB5">
              <w:rPr>
                <w:noProof/>
                <w:webHidden/>
              </w:rPr>
            </w:r>
            <w:r w:rsidR="00697BB5">
              <w:rPr>
                <w:noProof/>
                <w:webHidden/>
              </w:rPr>
              <w:fldChar w:fldCharType="separate"/>
            </w:r>
            <w:r w:rsidR="00697BB5">
              <w:rPr>
                <w:noProof/>
                <w:webHidden/>
              </w:rPr>
              <w:t>19</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31" w:history="1">
            <w:r w:rsidR="00697BB5" w:rsidRPr="00F05ACB">
              <w:rPr>
                <w:rStyle w:val="Hipersaitas"/>
                <w:noProof/>
              </w:rPr>
              <w:t>Dėl apmokestinamojo asmens teisės į PVM atskaitą, kai jį išregistravus iš PVM mokėtojų dėl to, kad nebuvo teikiamos PVM deklaracijos, jis toliau vykdė PVM apmokestinamą veiklą</w:t>
            </w:r>
            <w:r w:rsidR="00697BB5">
              <w:rPr>
                <w:noProof/>
                <w:webHidden/>
              </w:rPr>
              <w:tab/>
            </w:r>
            <w:r w:rsidR="00697BB5">
              <w:rPr>
                <w:noProof/>
                <w:webHidden/>
              </w:rPr>
              <w:fldChar w:fldCharType="begin"/>
            </w:r>
            <w:r w:rsidR="00697BB5">
              <w:rPr>
                <w:noProof/>
                <w:webHidden/>
              </w:rPr>
              <w:instrText xml:space="preserve"> PAGEREF _Toc517273031 \h </w:instrText>
            </w:r>
            <w:r w:rsidR="00697BB5">
              <w:rPr>
                <w:noProof/>
                <w:webHidden/>
              </w:rPr>
            </w:r>
            <w:r w:rsidR="00697BB5">
              <w:rPr>
                <w:noProof/>
                <w:webHidden/>
              </w:rPr>
              <w:fldChar w:fldCharType="separate"/>
            </w:r>
            <w:r w:rsidR="00697BB5">
              <w:rPr>
                <w:noProof/>
                <w:webHidden/>
              </w:rPr>
              <w:t>20</w:t>
            </w:r>
            <w:r w:rsidR="00697BB5">
              <w:rPr>
                <w:noProof/>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32" w:history="1">
            <w:r w:rsidR="00697BB5" w:rsidRPr="00F05ACB">
              <w:rPr>
                <w:rStyle w:val="Hipersaitas"/>
                <w:rFonts w:cs="Calibri"/>
                <w:noProof/>
              </w:rPr>
              <w:t>2018 m. balandžio 26 d. prejudicinis sprendimas byloje C</w:t>
            </w:r>
            <w:r w:rsidR="00697BB5" w:rsidRPr="00F05ACB">
              <w:rPr>
                <w:rStyle w:val="Hipersaitas"/>
                <w:rFonts w:ascii="Cambria Math" w:hAnsi="Cambria Math" w:cs="Cambria Math"/>
                <w:noProof/>
              </w:rPr>
              <w:t>‑</w:t>
            </w:r>
            <w:r w:rsidR="00697BB5" w:rsidRPr="00F05ACB">
              <w:rPr>
                <w:rStyle w:val="Hipersaitas"/>
                <w:rFonts w:cs="Calibri"/>
                <w:noProof/>
              </w:rPr>
              <w:t>81/17</w:t>
            </w:r>
            <w:r w:rsidR="00697BB5">
              <w:rPr>
                <w:noProof/>
                <w:webHidden/>
              </w:rPr>
              <w:tab/>
            </w:r>
            <w:r w:rsidR="00697BB5">
              <w:rPr>
                <w:noProof/>
                <w:webHidden/>
              </w:rPr>
              <w:fldChar w:fldCharType="begin"/>
            </w:r>
            <w:r w:rsidR="00697BB5">
              <w:rPr>
                <w:noProof/>
                <w:webHidden/>
              </w:rPr>
              <w:instrText xml:space="preserve"> PAGEREF _Toc517273032 \h </w:instrText>
            </w:r>
            <w:r w:rsidR="00697BB5">
              <w:rPr>
                <w:noProof/>
                <w:webHidden/>
              </w:rPr>
            </w:r>
            <w:r w:rsidR="00697BB5">
              <w:rPr>
                <w:noProof/>
                <w:webHidden/>
              </w:rPr>
              <w:fldChar w:fldCharType="separate"/>
            </w:r>
            <w:r w:rsidR="00697BB5">
              <w:rPr>
                <w:noProof/>
                <w:webHidden/>
              </w:rPr>
              <w:t>20</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33" w:history="1">
            <w:r w:rsidR="00697BB5" w:rsidRPr="00F05ACB">
              <w:rPr>
                <w:rStyle w:val="Hipersaitas"/>
                <w:noProof/>
              </w:rPr>
              <w:t>Dėl teisės į PVM atskaitą patikslinus šio mokesčio deklaraciją už laikotarpį, dėl kurio jau mokesčių administratorius atliko mokestinį patikrinimą</w:t>
            </w:r>
            <w:r w:rsidR="00697BB5">
              <w:rPr>
                <w:noProof/>
                <w:webHidden/>
              </w:rPr>
              <w:tab/>
            </w:r>
            <w:r w:rsidR="00697BB5">
              <w:rPr>
                <w:noProof/>
                <w:webHidden/>
              </w:rPr>
              <w:fldChar w:fldCharType="begin"/>
            </w:r>
            <w:r w:rsidR="00697BB5">
              <w:rPr>
                <w:noProof/>
                <w:webHidden/>
              </w:rPr>
              <w:instrText xml:space="preserve"> PAGEREF _Toc517273033 \h </w:instrText>
            </w:r>
            <w:r w:rsidR="00697BB5">
              <w:rPr>
                <w:noProof/>
                <w:webHidden/>
              </w:rPr>
            </w:r>
            <w:r w:rsidR="00697BB5">
              <w:rPr>
                <w:noProof/>
                <w:webHidden/>
              </w:rPr>
              <w:fldChar w:fldCharType="separate"/>
            </w:r>
            <w:r w:rsidR="00697BB5">
              <w:rPr>
                <w:noProof/>
                <w:webHidden/>
              </w:rPr>
              <w:t>21</w:t>
            </w:r>
            <w:r w:rsidR="00697BB5">
              <w:rPr>
                <w:noProof/>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34" w:history="1">
            <w:r w:rsidR="00697BB5" w:rsidRPr="00F05ACB">
              <w:rPr>
                <w:rStyle w:val="Hipersaitas"/>
                <w:rFonts w:cs="Calibri"/>
                <w:noProof/>
              </w:rPr>
              <w:t>2018 m. vasario 21 d. prejudicinis sprendimas byloje C</w:t>
            </w:r>
            <w:r w:rsidR="00697BB5" w:rsidRPr="00F05ACB">
              <w:rPr>
                <w:rStyle w:val="Hipersaitas"/>
                <w:rFonts w:ascii="Cambria Math" w:hAnsi="Cambria Math" w:cs="Cambria Math"/>
                <w:noProof/>
              </w:rPr>
              <w:t>‑</w:t>
            </w:r>
            <w:r w:rsidR="00697BB5" w:rsidRPr="00F05ACB">
              <w:rPr>
                <w:rStyle w:val="Hipersaitas"/>
                <w:rFonts w:cs="Calibri"/>
                <w:noProof/>
              </w:rPr>
              <w:t>628/16</w:t>
            </w:r>
            <w:r w:rsidR="00697BB5">
              <w:rPr>
                <w:noProof/>
                <w:webHidden/>
              </w:rPr>
              <w:tab/>
            </w:r>
            <w:r w:rsidR="00697BB5">
              <w:rPr>
                <w:noProof/>
                <w:webHidden/>
              </w:rPr>
              <w:fldChar w:fldCharType="begin"/>
            </w:r>
            <w:r w:rsidR="00697BB5">
              <w:rPr>
                <w:noProof/>
                <w:webHidden/>
              </w:rPr>
              <w:instrText xml:space="preserve"> PAGEREF _Toc517273034 \h </w:instrText>
            </w:r>
            <w:r w:rsidR="00697BB5">
              <w:rPr>
                <w:noProof/>
                <w:webHidden/>
              </w:rPr>
            </w:r>
            <w:r w:rsidR="00697BB5">
              <w:rPr>
                <w:noProof/>
                <w:webHidden/>
              </w:rPr>
              <w:fldChar w:fldCharType="separate"/>
            </w:r>
            <w:r w:rsidR="00697BB5">
              <w:rPr>
                <w:noProof/>
                <w:webHidden/>
              </w:rPr>
              <w:t>21</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35" w:history="1">
            <w:r w:rsidR="00697BB5" w:rsidRPr="00F05ACB">
              <w:rPr>
                <w:rStyle w:val="Hipersaitas"/>
                <w:noProof/>
              </w:rPr>
              <w:t>Dėl teisės atskaityti pirkimo PVM, kuris buvo klaidingai nurodytas PVM sąskaitoje faktūroje dėl to, kad šią sąskaitą išrašęs apmokestinamasis asmuo sandorį klaidingai vertino kaip apmokestinamąjį sandorį</w:t>
            </w:r>
            <w:r w:rsidR="00697BB5">
              <w:rPr>
                <w:noProof/>
                <w:webHidden/>
              </w:rPr>
              <w:tab/>
            </w:r>
            <w:r w:rsidR="00697BB5">
              <w:rPr>
                <w:noProof/>
                <w:webHidden/>
              </w:rPr>
              <w:fldChar w:fldCharType="begin"/>
            </w:r>
            <w:r w:rsidR="00697BB5">
              <w:rPr>
                <w:noProof/>
                <w:webHidden/>
              </w:rPr>
              <w:instrText xml:space="preserve"> PAGEREF _Toc517273035 \h </w:instrText>
            </w:r>
            <w:r w:rsidR="00697BB5">
              <w:rPr>
                <w:noProof/>
                <w:webHidden/>
              </w:rPr>
            </w:r>
            <w:r w:rsidR="00697BB5">
              <w:rPr>
                <w:noProof/>
                <w:webHidden/>
              </w:rPr>
              <w:fldChar w:fldCharType="separate"/>
            </w:r>
            <w:r w:rsidR="00697BB5">
              <w:rPr>
                <w:noProof/>
                <w:webHidden/>
              </w:rPr>
              <w:t>22</w:t>
            </w:r>
            <w:r w:rsidR="00697BB5">
              <w:rPr>
                <w:noProof/>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36" w:history="1">
            <w:r w:rsidR="00697BB5" w:rsidRPr="00F05ACB">
              <w:rPr>
                <w:rStyle w:val="Hipersaitas"/>
                <w:rFonts w:cs="Calibri"/>
                <w:noProof/>
              </w:rPr>
              <w:t>2018 m. balandžio 11 d. prejudicinis sprendimas byloje C</w:t>
            </w:r>
            <w:r w:rsidR="00697BB5" w:rsidRPr="00F05ACB">
              <w:rPr>
                <w:rStyle w:val="Hipersaitas"/>
                <w:rFonts w:ascii="Cambria Math" w:hAnsi="Cambria Math" w:cs="Cambria Math"/>
                <w:noProof/>
              </w:rPr>
              <w:t>‑</w:t>
            </w:r>
            <w:r w:rsidR="00697BB5" w:rsidRPr="00F05ACB">
              <w:rPr>
                <w:rStyle w:val="Hipersaitas"/>
                <w:rFonts w:cs="Calibri"/>
                <w:noProof/>
              </w:rPr>
              <w:t>532/16</w:t>
            </w:r>
            <w:r w:rsidR="00697BB5">
              <w:rPr>
                <w:noProof/>
                <w:webHidden/>
              </w:rPr>
              <w:tab/>
            </w:r>
            <w:r w:rsidR="00697BB5">
              <w:rPr>
                <w:noProof/>
                <w:webHidden/>
              </w:rPr>
              <w:fldChar w:fldCharType="begin"/>
            </w:r>
            <w:r w:rsidR="00697BB5">
              <w:rPr>
                <w:noProof/>
                <w:webHidden/>
              </w:rPr>
              <w:instrText xml:space="preserve"> PAGEREF _Toc517273036 \h </w:instrText>
            </w:r>
            <w:r w:rsidR="00697BB5">
              <w:rPr>
                <w:noProof/>
                <w:webHidden/>
              </w:rPr>
            </w:r>
            <w:r w:rsidR="00697BB5">
              <w:rPr>
                <w:noProof/>
                <w:webHidden/>
              </w:rPr>
              <w:fldChar w:fldCharType="separate"/>
            </w:r>
            <w:r w:rsidR="00697BB5">
              <w:rPr>
                <w:noProof/>
                <w:webHidden/>
              </w:rPr>
              <w:t>23</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37" w:history="1">
            <w:r w:rsidR="00697BB5" w:rsidRPr="00F05ACB">
              <w:rPr>
                <w:rStyle w:val="Hipersaitas"/>
                <w:noProof/>
              </w:rPr>
              <w:t>Dėl pareigos tikslinti PVM atskaitą, kai pirminė atskaita iš viso nebuvo galima</w:t>
            </w:r>
            <w:r w:rsidR="00697BB5">
              <w:rPr>
                <w:noProof/>
                <w:webHidden/>
              </w:rPr>
              <w:tab/>
            </w:r>
            <w:r w:rsidR="00697BB5">
              <w:rPr>
                <w:noProof/>
                <w:webHidden/>
              </w:rPr>
              <w:fldChar w:fldCharType="begin"/>
            </w:r>
            <w:r w:rsidR="00697BB5">
              <w:rPr>
                <w:noProof/>
                <w:webHidden/>
              </w:rPr>
              <w:instrText xml:space="preserve"> PAGEREF _Toc517273037 \h </w:instrText>
            </w:r>
            <w:r w:rsidR="00697BB5">
              <w:rPr>
                <w:noProof/>
                <w:webHidden/>
              </w:rPr>
            </w:r>
            <w:r w:rsidR="00697BB5">
              <w:rPr>
                <w:noProof/>
                <w:webHidden/>
              </w:rPr>
              <w:fldChar w:fldCharType="separate"/>
            </w:r>
            <w:r w:rsidR="00697BB5">
              <w:rPr>
                <w:noProof/>
                <w:webHidden/>
              </w:rPr>
              <w:t>23</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38" w:history="1">
            <w:r w:rsidR="00697BB5" w:rsidRPr="00F05ACB">
              <w:rPr>
                <w:rStyle w:val="Hipersaitas"/>
                <w:noProof/>
              </w:rPr>
              <w:t>Dėl pirminės PVM atskaitos, kuri buvo nepagrįsta, tikslinimo laikotarpio</w:t>
            </w:r>
            <w:r w:rsidR="00697BB5">
              <w:rPr>
                <w:noProof/>
                <w:webHidden/>
              </w:rPr>
              <w:tab/>
            </w:r>
            <w:r w:rsidR="00697BB5">
              <w:rPr>
                <w:noProof/>
                <w:webHidden/>
              </w:rPr>
              <w:fldChar w:fldCharType="begin"/>
            </w:r>
            <w:r w:rsidR="00697BB5">
              <w:rPr>
                <w:noProof/>
                <w:webHidden/>
              </w:rPr>
              <w:instrText xml:space="preserve"> PAGEREF _Toc517273038 \h </w:instrText>
            </w:r>
            <w:r w:rsidR="00697BB5">
              <w:rPr>
                <w:noProof/>
                <w:webHidden/>
              </w:rPr>
            </w:r>
            <w:r w:rsidR="00697BB5">
              <w:rPr>
                <w:noProof/>
                <w:webHidden/>
              </w:rPr>
              <w:fldChar w:fldCharType="separate"/>
            </w:r>
            <w:r w:rsidR="00697BB5">
              <w:rPr>
                <w:noProof/>
                <w:webHidden/>
              </w:rPr>
              <w:t>24</w:t>
            </w:r>
            <w:r w:rsidR="00697BB5">
              <w:rPr>
                <w:noProof/>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39" w:history="1">
            <w:r w:rsidR="00697BB5" w:rsidRPr="00F05ACB">
              <w:rPr>
                <w:rStyle w:val="Hipersaitas"/>
                <w:rFonts w:cs="Calibri"/>
                <w:noProof/>
              </w:rPr>
              <w:t>2018 m. vasario 28 d. prejudicinis sprendimas byloje C</w:t>
            </w:r>
            <w:r w:rsidR="00697BB5" w:rsidRPr="00F05ACB">
              <w:rPr>
                <w:rStyle w:val="Hipersaitas"/>
                <w:rFonts w:ascii="Cambria Math" w:hAnsi="Cambria Math" w:cs="Cambria Math"/>
                <w:noProof/>
              </w:rPr>
              <w:t>‑</w:t>
            </w:r>
            <w:r w:rsidR="00697BB5" w:rsidRPr="00F05ACB">
              <w:rPr>
                <w:rStyle w:val="Hipersaitas"/>
                <w:rFonts w:cs="Calibri"/>
                <w:noProof/>
              </w:rPr>
              <w:t>387/16</w:t>
            </w:r>
            <w:r w:rsidR="00697BB5">
              <w:rPr>
                <w:noProof/>
                <w:webHidden/>
              </w:rPr>
              <w:tab/>
            </w:r>
            <w:r w:rsidR="00697BB5">
              <w:rPr>
                <w:noProof/>
                <w:webHidden/>
              </w:rPr>
              <w:fldChar w:fldCharType="begin"/>
            </w:r>
            <w:r w:rsidR="00697BB5">
              <w:rPr>
                <w:noProof/>
                <w:webHidden/>
              </w:rPr>
              <w:instrText xml:space="preserve"> PAGEREF _Toc517273039 \h </w:instrText>
            </w:r>
            <w:r w:rsidR="00697BB5">
              <w:rPr>
                <w:noProof/>
                <w:webHidden/>
              </w:rPr>
            </w:r>
            <w:r w:rsidR="00697BB5">
              <w:rPr>
                <w:noProof/>
                <w:webHidden/>
              </w:rPr>
              <w:fldChar w:fldCharType="separate"/>
            </w:r>
            <w:r w:rsidR="00697BB5">
              <w:rPr>
                <w:noProof/>
                <w:webHidden/>
              </w:rPr>
              <w:t>25</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40" w:history="1">
            <w:r w:rsidR="00697BB5" w:rsidRPr="00F05ACB">
              <w:rPr>
                <w:rStyle w:val="Hipersaitas"/>
                <w:noProof/>
              </w:rPr>
              <w:t>Dėl apmokestinamajam asmeniui mokėtinų palūkanų už laiku negrąžintą (neįskaitytą) PVM mažinimo kitais nei įstatyme numatytais pagrindais</w:t>
            </w:r>
            <w:r w:rsidR="00697BB5">
              <w:rPr>
                <w:noProof/>
                <w:webHidden/>
              </w:rPr>
              <w:tab/>
            </w:r>
            <w:r w:rsidR="00697BB5">
              <w:rPr>
                <w:noProof/>
                <w:webHidden/>
              </w:rPr>
              <w:fldChar w:fldCharType="begin"/>
            </w:r>
            <w:r w:rsidR="00697BB5">
              <w:rPr>
                <w:noProof/>
                <w:webHidden/>
              </w:rPr>
              <w:instrText xml:space="preserve"> PAGEREF _Toc517273040 \h </w:instrText>
            </w:r>
            <w:r w:rsidR="00697BB5">
              <w:rPr>
                <w:noProof/>
                <w:webHidden/>
              </w:rPr>
            </w:r>
            <w:r w:rsidR="00697BB5">
              <w:rPr>
                <w:noProof/>
                <w:webHidden/>
              </w:rPr>
              <w:fldChar w:fldCharType="separate"/>
            </w:r>
            <w:r w:rsidR="00697BB5">
              <w:rPr>
                <w:noProof/>
                <w:webHidden/>
              </w:rPr>
              <w:t>25</w:t>
            </w:r>
            <w:r w:rsidR="00697BB5">
              <w:rPr>
                <w:noProof/>
                <w:webHidden/>
              </w:rPr>
              <w:fldChar w:fldCharType="end"/>
            </w:r>
          </w:hyperlink>
        </w:p>
        <w:p w:rsidR="00697BB5" w:rsidRDefault="00EF32EC">
          <w:pPr>
            <w:pStyle w:val="Turinys1"/>
            <w:rPr>
              <w:rFonts w:asciiTheme="minorHAnsi" w:eastAsiaTheme="minorEastAsia" w:hAnsiTheme="minorHAnsi" w:cstheme="minorBidi"/>
              <w:b w:val="0"/>
              <w:bCs w:val="0"/>
              <w:color w:val="auto"/>
              <w:kern w:val="0"/>
            </w:rPr>
          </w:pPr>
          <w:hyperlink w:anchor="_Toc517273041" w:history="1">
            <w:r w:rsidR="00697BB5" w:rsidRPr="00F05ACB">
              <w:rPr>
                <w:rStyle w:val="Hipersaitas"/>
                <w:rFonts w:cstheme="minorHAnsi"/>
              </w:rPr>
              <w:t>TERITORIJŲ PLANAVIMAS</w:t>
            </w:r>
            <w:r w:rsidR="00697BB5">
              <w:rPr>
                <w:webHidden/>
              </w:rPr>
              <w:tab/>
            </w:r>
            <w:r w:rsidR="00697BB5">
              <w:rPr>
                <w:webHidden/>
              </w:rPr>
              <w:fldChar w:fldCharType="begin"/>
            </w:r>
            <w:r w:rsidR="00697BB5">
              <w:rPr>
                <w:webHidden/>
              </w:rPr>
              <w:instrText xml:space="preserve"> PAGEREF _Toc517273041 \h </w:instrText>
            </w:r>
            <w:r w:rsidR="00697BB5">
              <w:rPr>
                <w:webHidden/>
              </w:rPr>
            </w:r>
            <w:r w:rsidR="00697BB5">
              <w:rPr>
                <w:webHidden/>
              </w:rPr>
              <w:fldChar w:fldCharType="separate"/>
            </w:r>
            <w:r w:rsidR="00697BB5">
              <w:rPr>
                <w:webHidden/>
              </w:rPr>
              <w:t>26</w:t>
            </w:r>
            <w:r w:rsidR="00697BB5">
              <w:rPr>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42" w:history="1">
            <w:r w:rsidR="00697BB5" w:rsidRPr="00F05ACB">
              <w:rPr>
                <w:rStyle w:val="Hipersaitas"/>
                <w:noProof/>
              </w:rPr>
              <w:t>2018 m. sausio 30 d. didžiosios kolegijos prejudicinis sprendimas sujungtose bylose C-360/15</w:t>
            </w:r>
            <w:r w:rsidR="00697BB5">
              <w:rPr>
                <w:noProof/>
                <w:webHidden/>
              </w:rPr>
              <w:tab/>
            </w:r>
            <w:r w:rsidR="00697BB5">
              <w:rPr>
                <w:noProof/>
                <w:webHidden/>
              </w:rPr>
              <w:fldChar w:fldCharType="begin"/>
            </w:r>
            <w:r w:rsidR="00697BB5">
              <w:rPr>
                <w:noProof/>
                <w:webHidden/>
              </w:rPr>
              <w:instrText xml:space="preserve"> PAGEREF _Toc517273042 \h </w:instrText>
            </w:r>
            <w:r w:rsidR="00697BB5">
              <w:rPr>
                <w:noProof/>
                <w:webHidden/>
              </w:rPr>
            </w:r>
            <w:r w:rsidR="00697BB5">
              <w:rPr>
                <w:noProof/>
                <w:webHidden/>
              </w:rPr>
              <w:fldChar w:fldCharType="separate"/>
            </w:r>
            <w:r w:rsidR="00697BB5">
              <w:rPr>
                <w:noProof/>
                <w:webHidden/>
              </w:rPr>
              <w:t>26</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43" w:history="1">
            <w:r w:rsidR="00697BB5" w:rsidRPr="00F05ACB">
              <w:rPr>
                <w:rStyle w:val="Hipersaitas"/>
                <w:rFonts w:eastAsia="Times New Roman"/>
                <w:noProof/>
                <w:shd w:val="clear" w:color="auto" w:fill="FFFFFF"/>
                <w:lang w:eastAsia="lt-LT"/>
              </w:rPr>
              <w:t>Dėl teisės nustatyti rinkliavą, susijusią su prašymu išduoti leidimą dėl kasimo darbų, reikalingų viešojo elektroninių ryšių tinklo kabelių tiesimui, reglamentavimo</w:t>
            </w:r>
            <w:r w:rsidR="00697BB5">
              <w:rPr>
                <w:noProof/>
                <w:webHidden/>
              </w:rPr>
              <w:tab/>
            </w:r>
            <w:r w:rsidR="00697BB5">
              <w:rPr>
                <w:noProof/>
                <w:webHidden/>
              </w:rPr>
              <w:fldChar w:fldCharType="begin"/>
            </w:r>
            <w:r w:rsidR="00697BB5">
              <w:rPr>
                <w:noProof/>
                <w:webHidden/>
              </w:rPr>
              <w:instrText xml:space="preserve"> PAGEREF _Toc517273043 \h </w:instrText>
            </w:r>
            <w:r w:rsidR="00697BB5">
              <w:rPr>
                <w:noProof/>
                <w:webHidden/>
              </w:rPr>
            </w:r>
            <w:r w:rsidR="00697BB5">
              <w:rPr>
                <w:noProof/>
                <w:webHidden/>
              </w:rPr>
              <w:fldChar w:fldCharType="separate"/>
            </w:r>
            <w:r w:rsidR="00697BB5">
              <w:rPr>
                <w:noProof/>
                <w:webHidden/>
              </w:rPr>
              <w:t>27</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44" w:history="1">
            <w:r w:rsidR="00697BB5" w:rsidRPr="00F05ACB">
              <w:rPr>
                <w:rStyle w:val="Hipersaitas"/>
                <w:rFonts w:eastAsia="Times New Roman"/>
                <w:noProof/>
                <w:shd w:val="clear" w:color="auto" w:fill="FFFFFF"/>
                <w:lang w:eastAsia="lt-LT"/>
              </w:rPr>
              <w:t>Dėl mažmeninės prekybos tokiomis prekėmis, kaip avalynė ir drabužiai, atitikties Direktyvos 2006/123 4 straipsnio 1 punkte įtvirtintai „paslaugos“ sąvokai</w:t>
            </w:r>
            <w:r w:rsidR="00697BB5">
              <w:rPr>
                <w:noProof/>
                <w:webHidden/>
              </w:rPr>
              <w:tab/>
            </w:r>
            <w:r w:rsidR="00697BB5">
              <w:rPr>
                <w:noProof/>
                <w:webHidden/>
              </w:rPr>
              <w:fldChar w:fldCharType="begin"/>
            </w:r>
            <w:r w:rsidR="00697BB5">
              <w:rPr>
                <w:noProof/>
                <w:webHidden/>
              </w:rPr>
              <w:instrText xml:space="preserve"> PAGEREF _Toc517273044 \h </w:instrText>
            </w:r>
            <w:r w:rsidR="00697BB5">
              <w:rPr>
                <w:noProof/>
                <w:webHidden/>
              </w:rPr>
            </w:r>
            <w:r w:rsidR="00697BB5">
              <w:rPr>
                <w:noProof/>
                <w:webHidden/>
              </w:rPr>
              <w:fldChar w:fldCharType="separate"/>
            </w:r>
            <w:r w:rsidR="00697BB5">
              <w:rPr>
                <w:noProof/>
                <w:webHidden/>
              </w:rPr>
              <w:t>28</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45" w:history="1">
            <w:r w:rsidR="00697BB5" w:rsidRPr="00F05ACB">
              <w:rPr>
                <w:rStyle w:val="Hipersaitas"/>
                <w:rFonts w:eastAsia="Times New Roman"/>
                <w:noProof/>
                <w:shd w:val="clear" w:color="auto" w:fill="FFFFFF"/>
                <w:lang w:eastAsia="lt-LT"/>
              </w:rPr>
              <w:t>Dėl Direktyvos 2006/123 III skyriaus, susijusio su paslaugų teikėjų įsisteigimo laisve, nuostatų taikymo tuo atveju, kai visos reikšmingos aplinkybės susiklosto vienoje valstybėje narėje (visiškai vidaus situacija)</w:t>
            </w:r>
            <w:r w:rsidR="00697BB5">
              <w:rPr>
                <w:noProof/>
                <w:webHidden/>
              </w:rPr>
              <w:tab/>
            </w:r>
            <w:r w:rsidR="00697BB5">
              <w:rPr>
                <w:noProof/>
                <w:webHidden/>
              </w:rPr>
              <w:fldChar w:fldCharType="begin"/>
            </w:r>
            <w:r w:rsidR="00697BB5">
              <w:rPr>
                <w:noProof/>
                <w:webHidden/>
              </w:rPr>
              <w:instrText xml:space="preserve"> PAGEREF _Toc517273045 \h </w:instrText>
            </w:r>
            <w:r w:rsidR="00697BB5">
              <w:rPr>
                <w:noProof/>
                <w:webHidden/>
              </w:rPr>
            </w:r>
            <w:r w:rsidR="00697BB5">
              <w:rPr>
                <w:noProof/>
                <w:webHidden/>
              </w:rPr>
              <w:fldChar w:fldCharType="separate"/>
            </w:r>
            <w:r w:rsidR="00697BB5">
              <w:rPr>
                <w:noProof/>
                <w:webHidden/>
              </w:rPr>
              <w:t>28</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46" w:history="1">
            <w:r w:rsidR="00697BB5" w:rsidRPr="00F05ACB">
              <w:rPr>
                <w:rStyle w:val="Hipersaitas"/>
                <w:rFonts w:eastAsia="Times New Roman"/>
                <w:noProof/>
                <w:shd w:val="clear" w:color="auto" w:fill="FFFFFF"/>
                <w:lang w:eastAsia="lt-LT"/>
              </w:rPr>
              <w:t>Dėl teisės nustatyti ribojimus teikti tam tikras paslaugas tam tikrose geografinėse teritorijose</w:t>
            </w:r>
            <w:r w:rsidR="00697BB5">
              <w:rPr>
                <w:noProof/>
                <w:webHidden/>
              </w:rPr>
              <w:tab/>
            </w:r>
            <w:r w:rsidR="00697BB5">
              <w:rPr>
                <w:noProof/>
                <w:webHidden/>
              </w:rPr>
              <w:fldChar w:fldCharType="begin"/>
            </w:r>
            <w:r w:rsidR="00697BB5">
              <w:rPr>
                <w:noProof/>
                <w:webHidden/>
              </w:rPr>
              <w:instrText xml:space="preserve"> PAGEREF _Toc517273046 \h </w:instrText>
            </w:r>
            <w:r w:rsidR="00697BB5">
              <w:rPr>
                <w:noProof/>
                <w:webHidden/>
              </w:rPr>
            </w:r>
            <w:r w:rsidR="00697BB5">
              <w:rPr>
                <w:noProof/>
                <w:webHidden/>
              </w:rPr>
              <w:fldChar w:fldCharType="separate"/>
            </w:r>
            <w:r w:rsidR="00697BB5">
              <w:rPr>
                <w:noProof/>
                <w:webHidden/>
              </w:rPr>
              <w:t>29</w:t>
            </w:r>
            <w:r w:rsidR="00697BB5">
              <w:rPr>
                <w:noProof/>
                <w:webHidden/>
              </w:rPr>
              <w:fldChar w:fldCharType="end"/>
            </w:r>
          </w:hyperlink>
        </w:p>
        <w:p w:rsidR="00697BB5" w:rsidRDefault="00EF32EC">
          <w:pPr>
            <w:pStyle w:val="Turinys1"/>
            <w:rPr>
              <w:rFonts w:asciiTheme="minorHAnsi" w:eastAsiaTheme="minorEastAsia" w:hAnsiTheme="minorHAnsi" w:cstheme="minorBidi"/>
              <w:b w:val="0"/>
              <w:bCs w:val="0"/>
              <w:color w:val="auto"/>
              <w:kern w:val="0"/>
            </w:rPr>
          </w:pPr>
          <w:hyperlink w:anchor="_Toc517273047" w:history="1">
            <w:r w:rsidR="00697BB5" w:rsidRPr="00F05ACB">
              <w:rPr>
                <w:rStyle w:val="Hipersaitas"/>
                <w:rFonts w:cstheme="minorHAnsi"/>
              </w:rPr>
              <w:t>VARTOTOJŲ APSAUGA</w:t>
            </w:r>
            <w:r w:rsidR="00697BB5">
              <w:rPr>
                <w:webHidden/>
              </w:rPr>
              <w:tab/>
            </w:r>
            <w:r w:rsidR="00697BB5">
              <w:rPr>
                <w:webHidden/>
              </w:rPr>
              <w:fldChar w:fldCharType="begin"/>
            </w:r>
            <w:r w:rsidR="00697BB5">
              <w:rPr>
                <w:webHidden/>
              </w:rPr>
              <w:instrText xml:space="preserve"> PAGEREF _Toc517273047 \h </w:instrText>
            </w:r>
            <w:r w:rsidR="00697BB5">
              <w:rPr>
                <w:webHidden/>
              </w:rPr>
            </w:r>
            <w:r w:rsidR="00697BB5">
              <w:rPr>
                <w:webHidden/>
              </w:rPr>
              <w:fldChar w:fldCharType="separate"/>
            </w:r>
            <w:r w:rsidR="00697BB5">
              <w:rPr>
                <w:webHidden/>
              </w:rPr>
              <w:t>30</w:t>
            </w:r>
            <w:r w:rsidR="00697BB5">
              <w:rPr>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48" w:history="1">
            <w:r w:rsidR="00697BB5" w:rsidRPr="00F05ACB">
              <w:rPr>
                <w:rStyle w:val="Hipersaitas"/>
                <w:rFonts w:cstheme="minorHAnsi"/>
                <w:noProof/>
              </w:rPr>
              <w:t>2018 m. vasario 20 d. sprendimas byloje C-16/16P</w:t>
            </w:r>
            <w:r w:rsidR="00697BB5">
              <w:rPr>
                <w:noProof/>
                <w:webHidden/>
              </w:rPr>
              <w:tab/>
            </w:r>
            <w:r w:rsidR="00697BB5">
              <w:rPr>
                <w:noProof/>
                <w:webHidden/>
              </w:rPr>
              <w:fldChar w:fldCharType="begin"/>
            </w:r>
            <w:r w:rsidR="00697BB5">
              <w:rPr>
                <w:noProof/>
                <w:webHidden/>
              </w:rPr>
              <w:instrText xml:space="preserve"> PAGEREF _Toc517273048 \h </w:instrText>
            </w:r>
            <w:r w:rsidR="00697BB5">
              <w:rPr>
                <w:noProof/>
                <w:webHidden/>
              </w:rPr>
            </w:r>
            <w:r w:rsidR="00697BB5">
              <w:rPr>
                <w:noProof/>
                <w:webHidden/>
              </w:rPr>
              <w:fldChar w:fldCharType="separate"/>
            </w:r>
            <w:r w:rsidR="00697BB5">
              <w:rPr>
                <w:noProof/>
                <w:webHidden/>
              </w:rPr>
              <w:t>30</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49" w:history="1">
            <w:r w:rsidR="00697BB5" w:rsidRPr="00F05ACB">
              <w:rPr>
                <w:rStyle w:val="Hipersaitas"/>
                <w:rFonts w:cstheme="minorHAnsi"/>
                <w:noProof/>
              </w:rPr>
              <w:t>Dėl rekomendacijų vertinimo kaip nesukeliančių teisinių pasekmių</w:t>
            </w:r>
            <w:r w:rsidR="00697BB5">
              <w:rPr>
                <w:noProof/>
                <w:webHidden/>
              </w:rPr>
              <w:tab/>
            </w:r>
            <w:r w:rsidR="00697BB5">
              <w:rPr>
                <w:noProof/>
                <w:webHidden/>
              </w:rPr>
              <w:fldChar w:fldCharType="begin"/>
            </w:r>
            <w:r w:rsidR="00697BB5">
              <w:rPr>
                <w:noProof/>
                <w:webHidden/>
              </w:rPr>
              <w:instrText xml:space="preserve"> PAGEREF _Toc517273049 \h </w:instrText>
            </w:r>
            <w:r w:rsidR="00697BB5">
              <w:rPr>
                <w:noProof/>
                <w:webHidden/>
              </w:rPr>
            </w:r>
            <w:r w:rsidR="00697BB5">
              <w:rPr>
                <w:noProof/>
                <w:webHidden/>
              </w:rPr>
              <w:fldChar w:fldCharType="separate"/>
            </w:r>
            <w:r w:rsidR="00697BB5">
              <w:rPr>
                <w:noProof/>
                <w:webHidden/>
              </w:rPr>
              <w:t>31</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50" w:history="1">
            <w:r w:rsidR="00697BB5" w:rsidRPr="00F05ACB">
              <w:rPr>
                <w:rStyle w:val="Hipersaitas"/>
                <w:rFonts w:cstheme="minorHAnsi"/>
                <w:noProof/>
              </w:rPr>
              <w:t>Dėl skirtingų akto kalbinių versijų</w:t>
            </w:r>
            <w:r w:rsidR="00697BB5">
              <w:rPr>
                <w:noProof/>
                <w:webHidden/>
              </w:rPr>
              <w:tab/>
            </w:r>
            <w:r w:rsidR="00697BB5">
              <w:rPr>
                <w:noProof/>
                <w:webHidden/>
              </w:rPr>
              <w:fldChar w:fldCharType="begin"/>
            </w:r>
            <w:r w:rsidR="00697BB5">
              <w:rPr>
                <w:noProof/>
                <w:webHidden/>
              </w:rPr>
              <w:instrText xml:space="preserve"> PAGEREF _Toc517273050 \h </w:instrText>
            </w:r>
            <w:r w:rsidR="00697BB5">
              <w:rPr>
                <w:noProof/>
                <w:webHidden/>
              </w:rPr>
            </w:r>
            <w:r w:rsidR="00697BB5">
              <w:rPr>
                <w:noProof/>
                <w:webHidden/>
              </w:rPr>
              <w:fldChar w:fldCharType="separate"/>
            </w:r>
            <w:r w:rsidR="00697BB5">
              <w:rPr>
                <w:noProof/>
                <w:webHidden/>
              </w:rPr>
              <w:t>32</w:t>
            </w:r>
            <w:r w:rsidR="00697BB5">
              <w:rPr>
                <w:noProof/>
                <w:webHidden/>
              </w:rPr>
              <w:fldChar w:fldCharType="end"/>
            </w:r>
          </w:hyperlink>
        </w:p>
        <w:p w:rsidR="00697BB5" w:rsidRDefault="00EF32EC">
          <w:pPr>
            <w:pStyle w:val="Turinys1"/>
            <w:rPr>
              <w:rFonts w:asciiTheme="minorHAnsi" w:eastAsiaTheme="minorEastAsia" w:hAnsiTheme="minorHAnsi" w:cstheme="minorBidi"/>
              <w:b w:val="0"/>
              <w:bCs w:val="0"/>
              <w:color w:val="auto"/>
              <w:kern w:val="0"/>
            </w:rPr>
          </w:pPr>
          <w:hyperlink w:anchor="_Toc517273051" w:history="1">
            <w:r w:rsidR="00697BB5" w:rsidRPr="00F05ACB">
              <w:rPr>
                <w:rStyle w:val="Hipersaitas"/>
                <w:rFonts w:cstheme="minorHAnsi"/>
              </w:rPr>
              <w:t>VIEŠIEJI PIRKIMAI</w:t>
            </w:r>
            <w:r w:rsidR="00697BB5">
              <w:rPr>
                <w:webHidden/>
              </w:rPr>
              <w:tab/>
            </w:r>
            <w:r w:rsidR="00697BB5">
              <w:rPr>
                <w:webHidden/>
              </w:rPr>
              <w:fldChar w:fldCharType="begin"/>
            </w:r>
            <w:r w:rsidR="00697BB5">
              <w:rPr>
                <w:webHidden/>
              </w:rPr>
              <w:instrText xml:space="preserve"> PAGEREF _Toc517273051 \h </w:instrText>
            </w:r>
            <w:r w:rsidR="00697BB5">
              <w:rPr>
                <w:webHidden/>
              </w:rPr>
            </w:r>
            <w:r w:rsidR="00697BB5">
              <w:rPr>
                <w:webHidden/>
              </w:rPr>
              <w:fldChar w:fldCharType="separate"/>
            </w:r>
            <w:r w:rsidR="00697BB5">
              <w:rPr>
                <w:webHidden/>
              </w:rPr>
              <w:t>32</w:t>
            </w:r>
            <w:r w:rsidR="00697BB5">
              <w:rPr>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52" w:history="1">
            <w:r w:rsidR="00697BB5" w:rsidRPr="00F05ACB">
              <w:rPr>
                <w:rStyle w:val="Hipersaitas"/>
                <w:noProof/>
              </w:rPr>
              <w:t>2018 m. kovo 20 d. didžiosios kolegijos sprendimas byloje C-187/16</w:t>
            </w:r>
            <w:r w:rsidR="00697BB5">
              <w:rPr>
                <w:noProof/>
                <w:webHidden/>
              </w:rPr>
              <w:tab/>
            </w:r>
            <w:r w:rsidR="00697BB5">
              <w:rPr>
                <w:noProof/>
                <w:webHidden/>
              </w:rPr>
              <w:fldChar w:fldCharType="begin"/>
            </w:r>
            <w:r w:rsidR="00697BB5">
              <w:rPr>
                <w:noProof/>
                <w:webHidden/>
              </w:rPr>
              <w:instrText xml:space="preserve"> PAGEREF _Toc517273052 \h </w:instrText>
            </w:r>
            <w:r w:rsidR="00697BB5">
              <w:rPr>
                <w:noProof/>
                <w:webHidden/>
              </w:rPr>
            </w:r>
            <w:r w:rsidR="00697BB5">
              <w:rPr>
                <w:noProof/>
                <w:webHidden/>
              </w:rPr>
              <w:fldChar w:fldCharType="separate"/>
            </w:r>
            <w:r w:rsidR="00697BB5">
              <w:rPr>
                <w:noProof/>
                <w:webHidden/>
              </w:rPr>
              <w:t>32</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53" w:history="1">
            <w:r w:rsidR="00697BB5" w:rsidRPr="00F05ACB">
              <w:rPr>
                <w:rStyle w:val="Hipersaitas"/>
                <w:rFonts w:eastAsia="Times New Roman"/>
                <w:noProof/>
                <w:shd w:val="clear" w:color="auto" w:fill="FFFFFF"/>
                <w:lang w:eastAsia="lt-LT"/>
              </w:rPr>
              <w:t>Dėl pirkimo sutarčių dėl pasų su lustu, laikinųjų pasų, leidimų gyventi, tapatybės kortelių, kredito kortelės pavidalo vairuotojo pažymėjimų ir kredito kortelės pavidalo transporto priemonių registracijos dokumentų spausdinimo paslaugų</w:t>
            </w:r>
            <w:r w:rsidR="00697BB5">
              <w:rPr>
                <w:noProof/>
                <w:webHidden/>
              </w:rPr>
              <w:tab/>
            </w:r>
            <w:r w:rsidR="00697BB5">
              <w:rPr>
                <w:noProof/>
                <w:webHidden/>
              </w:rPr>
              <w:fldChar w:fldCharType="begin"/>
            </w:r>
            <w:r w:rsidR="00697BB5">
              <w:rPr>
                <w:noProof/>
                <w:webHidden/>
              </w:rPr>
              <w:instrText xml:space="preserve"> PAGEREF _Toc517273053 \h </w:instrText>
            </w:r>
            <w:r w:rsidR="00697BB5">
              <w:rPr>
                <w:noProof/>
                <w:webHidden/>
              </w:rPr>
            </w:r>
            <w:r w:rsidR="00697BB5">
              <w:rPr>
                <w:noProof/>
                <w:webHidden/>
              </w:rPr>
              <w:fldChar w:fldCharType="separate"/>
            </w:r>
            <w:r w:rsidR="00697BB5">
              <w:rPr>
                <w:noProof/>
                <w:webHidden/>
              </w:rPr>
              <w:t>33</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54" w:history="1">
            <w:r w:rsidR="00697BB5" w:rsidRPr="00F05ACB">
              <w:rPr>
                <w:rStyle w:val="Hipersaitas"/>
                <w:rFonts w:eastAsia="Times New Roman"/>
                <w:noProof/>
                <w:shd w:val="clear" w:color="auto" w:fill="FFFFFF"/>
                <w:lang w:eastAsia="lt-LT"/>
              </w:rPr>
              <w:t>Dėl pirotechnikos leidimų spausdinimo paslaugų pirkimo sutarčių</w:t>
            </w:r>
            <w:r w:rsidR="00697BB5">
              <w:rPr>
                <w:noProof/>
                <w:webHidden/>
              </w:rPr>
              <w:tab/>
            </w:r>
            <w:r w:rsidR="00697BB5">
              <w:rPr>
                <w:noProof/>
                <w:webHidden/>
              </w:rPr>
              <w:fldChar w:fldCharType="begin"/>
            </w:r>
            <w:r w:rsidR="00697BB5">
              <w:rPr>
                <w:noProof/>
                <w:webHidden/>
              </w:rPr>
              <w:instrText xml:space="preserve"> PAGEREF _Toc517273054 \h </w:instrText>
            </w:r>
            <w:r w:rsidR="00697BB5">
              <w:rPr>
                <w:noProof/>
                <w:webHidden/>
              </w:rPr>
            </w:r>
            <w:r w:rsidR="00697BB5">
              <w:rPr>
                <w:noProof/>
                <w:webHidden/>
              </w:rPr>
              <w:fldChar w:fldCharType="separate"/>
            </w:r>
            <w:r w:rsidR="00697BB5">
              <w:rPr>
                <w:noProof/>
                <w:webHidden/>
              </w:rPr>
              <w:t>34</w:t>
            </w:r>
            <w:r w:rsidR="00697BB5">
              <w:rPr>
                <w:noProof/>
                <w:webHidden/>
              </w:rPr>
              <w:fldChar w:fldCharType="end"/>
            </w:r>
          </w:hyperlink>
        </w:p>
        <w:p w:rsidR="00697BB5" w:rsidRDefault="00EF32EC">
          <w:pPr>
            <w:pStyle w:val="Turinys1"/>
            <w:rPr>
              <w:rFonts w:asciiTheme="minorHAnsi" w:eastAsiaTheme="minorEastAsia" w:hAnsiTheme="minorHAnsi" w:cstheme="minorBidi"/>
              <w:b w:val="0"/>
              <w:bCs w:val="0"/>
              <w:color w:val="auto"/>
              <w:kern w:val="0"/>
            </w:rPr>
          </w:pPr>
          <w:hyperlink w:anchor="_Toc517273055" w:history="1">
            <w:r w:rsidR="00697BB5" w:rsidRPr="00F05ACB">
              <w:rPr>
                <w:rStyle w:val="Hipersaitas"/>
                <w:rFonts w:cstheme="minorHAnsi"/>
                <w:iCs/>
              </w:rPr>
              <w:t>SUSITARIMAI SU TREČIOSIOMIS ŠALIMIS ARBA TARPTAUTINĖMIS ORGANIZACIJOMIS</w:t>
            </w:r>
            <w:r w:rsidR="00697BB5">
              <w:rPr>
                <w:webHidden/>
              </w:rPr>
              <w:tab/>
            </w:r>
            <w:r w:rsidR="00697BB5">
              <w:rPr>
                <w:webHidden/>
              </w:rPr>
              <w:fldChar w:fldCharType="begin"/>
            </w:r>
            <w:r w:rsidR="00697BB5">
              <w:rPr>
                <w:webHidden/>
              </w:rPr>
              <w:instrText xml:space="preserve"> PAGEREF _Toc517273055 \h </w:instrText>
            </w:r>
            <w:r w:rsidR="00697BB5">
              <w:rPr>
                <w:webHidden/>
              </w:rPr>
            </w:r>
            <w:r w:rsidR="00697BB5">
              <w:rPr>
                <w:webHidden/>
              </w:rPr>
              <w:fldChar w:fldCharType="separate"/>
            </w:r>
            <w:r w:rsidR="00697BB5">
              <w:rPr>
                <w:webHidden/>
              </w:rPr>
              <w:t>34</w:t>
            </w:r>
            <w:r w:rsidR="00697BB5">
              <w:rPr>
                <w:webHidden/>
              </w:rPr>
              <w:fldChar w:fldCharType="end"/>
            </w:r>
          </w:hyperlink>
        </w:p>
        <w:p w:rsidR="00697BB5" w:rsidRDefault="00EF32EC">
          <w:pPr>
            <w:pStyle w:val="Turinys2"/>
            <w:tabs>
              <w:tab w:val="right" w:leader="dot" w:pos="9628"/>
            </w:tabs>
            <w:rPr>
              <w:rFonts w:asciiTheme="minorHAnsi" w:eastAsiaTheme="minorEastAsia" w:hAnsiTheme="minorHAnsi" w:cstheme="minorBidi"/>
              <w:b w:val="0"/>
              <w:noProof/>
              <w:color w:val="auto"/>
              <w:lang w:eastAsia="lt-LT"/>
            </w:rPr>
          </w:pPr>
          <w:hyperlink w:anchor="_Toc517273056" w:history="1">
            <w:r w:rsidR="00697BB5" w:rsidRPr="00F05ACB">
              <w:rPr>
                <w:rStyle w:val="Hipersaitas"/>
                <w:rFonts w:cstheme="minorHAnsi"/>
                <w:noProof/>
              </w:rPr>
              <w:t>2018 m. kovo 6 d. didžiosios kolegijos prejudicinis sprendimas C</w:t>
            </w:r>
            <w:r w:rsidR="00697BB5" w:rsidRPr="00F05ACB">
              <w:rPr>
                <w:rStyle w:val="Hipersaitas"/>
                <w:rFonts w:cstheme="minorHAnsi"/>
                <w:noProof/>
              </w:rPr>
              <w:noBreakHyphen/>
              <w:t>284/16</w:t>
            </w:r>
            <w:r w:rsidR="00697BB5">
              <w:rPr>
                <w:noProof/>
                <w:webHidden/>
              </w:rPr>
              <w:tab/>
            </w:r>
            <w:r w:rsidR="00697BB5">
              <w:rPr>
                <w:noProof/>
                <w:webHidden/>
              </w:rPr>
              <w:fldChar w:fldCharType="begin"/>
            </w:r>
            <w:r w:rsidR="00697BB5">
              <w:rPr>
                <w:noProof/>
                <w:webHidden/>
              </w:rPr>
              <w:instrText xml:space="preserve"> PAGEREF _Toc517273056 \h </w:instrText>
            </w:r>
            <w:r w:rsidR="00697BB5">
              <w:rPr>
                <w:noProof/>
                <w:webHidden/>
              </w:rPr>
            </w:r>
            <w:r w:rsidR="00697BB5">
              <w:rPr>
                <w:noProof/>
                <w:webHidden/>
              </w:rPr>
              <w:fldChar w:fldCharType="separate"/>
            </w:r>
            <w:r w:rsidR="00697BB5">
              <w:rPr>
                <w:noProof/>
                <w:webHidden/>
              </w:rPr>
              <w:t>34</w:t>
            </w:r>
            <w:r w:rsidR="00697BB5">
              <w:rPr>
                <w:noProof/>
                <w:webHidden/>
              </w:rPr>
              <w:fldChar w:fldCharType="end"/>
            </w:r>
          </w:hyperlink>
        </w:p>
        <w:p w:rsidR="00697BB5" w:rsidRDefault="00EF32EC">
          <w:pPr>
            <w:pStyle w:val="Turinys3"/>
            <w:tabs>
              <w:tab w:val="right" w:leader="dot" w:pos="9628"/>
            </w:tabs>
            <w:rPr>
              <w:rFonts w:asciiTheme="minorHAnsi" w:eastAsiaTheme="minorEastAsia" w:hAnsiTheme="minorHAnsi" w:cstheme="minorBidi"/>
              <w:noProof/>
              <w:lang w:eastAsia="lt-LT"/>
            </w:rPr>
          </w:pPr>
          <w:hyperlink w:anchor="_Toc517273057" w:history="1">
            <w:r w:rsidR="00697BB5" w:rsidRPr="00F05ACB">
              <w:rPr>
                <w:rStyle w:val="Hipersaitas"/>
                <w:rFonts w:cstheme="minorHAnsi"/>
                <w:noProof/>
                <w:lang w:eastAsia="lt-LT"/>
              </w:rPr>
              <w:t>Dėl tarptautinės sutarties nuostatos, pagal kurią vienos iš šių valstybių narių investuotojas, kilus ginčui dėl investicijų kitoje valstybėje narėje, gali iškelti bylą pastarajai valstybei narei arbitražo teisme, kurio jurisdikciją ši valstybė narė privalo pripažinti, atitikties ES teisei</w:t>
            </w:r>
            <w:r w:rsidR="00697BB5">
              <w:rPr>
                <w:noProof/>
                <w:webHidden/>
              </w:rPr>
              <w:tab/>
            </w:r>
            <w:r w:rsidR="00697BB5">
              <w:rPr>
                <w:noProof/>
                <w:webHidden/>
              </w:rPr>
              <w:fldChar w:fldCharType="begin"/>
            </w:r>
            <w:r w:rsidR="00697BB5">
              <w:rPr>
                <w:noProof/>
                <w:webHidden/>
              </w:rPr>
              <w:instrText xml:space="preserve"> PAGEREF _Toc517273057 \h </w:instrText>
            </w:r>
            <w:r w:rsidR="00697BB5">
              <w:rPr>
                <w:noProof/>
                <w:webHidden/>
              </w:rPr>
            </w:r>
            <w:r w:rsidR="00697BB5">
              <w:rPr>
                <w:noProof/>
                <w:webHidden/>
              </w:rPr>
              <w:fldChar w:fldCharType="separate"/>
            </w:r>
            <w:r w:rsidR="00697BB5">
              <w:rPr>
                <w:noProof/>
                <w:webHidden/>
              </w:rPr>
              <w:t>35</w:t>
            </w:r>
            <w:r w:rsidR="00697BB5">
              <w:rPr>
                <w:noProof/>
                <w:webHidden/>
              </w:rPr>
              <w:fldChar w:fldCharType="end"/>
            </w:r>
          </w:hyperlink>
        </w:p>
        <w:p w:rsidR="000028CD" w:rsidRPr="002F09DA" w:rsidRDefault="000028CD" w:rsidP="00AD0B10">
          <w:pPr>
            <w:rPr>
              <w:rFonts w:asciiTheme="minorHAnsi" w:hAnsiTheme="minorHAnsi" w:cstheme="minorHAnsi"/>
            </w:rPr>
          </w:pPr>
          <w:r w:rsidRPr="002F09DA">
            <w:rPr>
              <w:rFonts w:asciiTheme="minorHAnsi" w:hAnsiTheme="minorHAnsi" w:cstheme="minorHAnsi"/>
              <w:color w:val="323E4F" w:themeColor="text2" w:themeShade="BF"/>
            </w:rPr>
            <w:fldChar w:fldCharType="end"/>
          </w:r>
        </w:p>
      </w:sdtContent>
    </w:sdt>
    <w:p w:rsidR="000028CD" w:rsidRPr="002F09DA" w:rsidRDefault="000028CD" w:rsidP="00AD0B10">
      <w:pPr>
        <w:rPr>
          <w:rFonts w:asciiTheme="minorHAnsi" w:hAnsiTheme="minorHAnsi" w:cstheme="minorHAnsi"/>
          <w:b/>
          <w:i/>
          <w:color w:val="44546A" w:themeColor="text2"/>
        </w:rPr>
      </w:pPr>
    </w:p>
    <w:p w:rsidR="000028CD" w:rsidRPr="002F09DA" w:rsidRDefault="000028CD" w:rsidP="00AD0B10">
      <w:pPr>
        <w:rPr>
          <w:rFonts w:asciiTheme="minorHAnsi" w:hAnsiTheme="minorHAnsi" w:cstheme="minorHAnsi"/>
          <w:b/>
          <w:i/>
          <w:color w:val="44546A" w:themeColor="text2"/>
        </w:rPr>
      </w:pPr>
    </w:p>
    <w:p w:rsidR="000028CD" w:rsidRPr="002F09DA" w:rsidRDefault="000028CD" w:rsidP="00AD0B10">
      <w:pPr>
        <w:rPr>
          <w:rFonts w:asciiTheme="minorHAnsi" w:hAnsiTheme="minorHAnsi" w:cstheme="minorHAnsi"/>
          <w:b/>
          <w:i/>
          <w:color w:val="44546A" w:themeColor="text2"/>
        </w:rPr>
      </w:pPr>
    </w:p>
    <w:p w:rsidR="000028CD" w:rsidRPr="002F09DA" w:rsidRDefault="000028CD" w:rsidP="00AD0B10">
      <w:pPr>
        <w:rPr>
          <w:rFonts w:asciiTheme="minorHAnsi" w:hAnsiTheme="minorHAnsi" w:cstheme="minorHAnsi"/>
          <w:b/>
        </w:rPr>
      </w:pPr>
      <w:r w:rsidRPr="002F09DA">
        <w:rPr>
          <w:rFonts w:asciiTheme="minorHAnsi" w:hAnsiTheme="minorHAnsi" w:cstheme="minorHAnsi"/>
          <w:b/>
          <w:i/>
          <w:color w:val="44546A" w:themeColor="text2"/>
        </w:rPr>
        <w:t>Pastaba.</w:t>
      </w:r>
      <w:r w:rsidRPr="002F09DA">
        <w:rPr>
          <w:rFonts w:asciiTheme="minorHAnsi" w:hAnsiTheme="minorHAnsi" w:cstheme="minorHAnsi"/>
          <w:i/>
        </w:rPr>
        <w:t xml:space="preserve"> Šioje apžvalgoje pateikiamos neoficialios Europos Sąjungos Teisingumo Teismo (toliau – ir Teisingumo Teismas, ESTT) procesinių sprendimų santraukos. Šis dokumentas yra skirtas tik inform</w:t>
      </w:r>
      <w:r w:rsidR="00EF32EC">
        <w:rPr>
          <w:rFonts w:asciiTheme="minorHAnsi" w:hAnsiTheme="minorHAnsi" w:cstheme="minorHAnsi"/>
          <w:i/>
        </w:rPr>
        <w:t>uoti</w:t>
      </w:r>
      <w:r w:rsidRPr="002F09DA">
        <w:rPr>
          <w:rFonts w:asciiTheme="minorHAnsi" w:hAnsiTheme="minorHAnsi" w:cstheme="minorHAnsi"/>
          <w:i/>
        </w:rPr>
        <w:t xml:space="preserve"> ir Lietuvos vyriausiasis administracinis teismas neprisiima atsakomybės už šių procesinių dokumentų vertimus. Oficialius ir išsamius sprendimų tekstus galite rasti Europos Sąjungos Teisingumo Teismo interneto svetainėje </w:t>
      </w:r>
      <w:hyperlink r:id="rId9" w:history="1">
        <w:r w:rsidRPr="002F09DA">
          <w:rPr>
            <w:rStyle w:val="Hipersaitas"/>
            <w:rFonts w:asciiTheme="minorHAnsi" w:hAnsiTheme="minorHAnsi" w:cstheme="minorHAnsi"/>
            <w:i/>
            <w:color w:val="44546A" w:themeColor="text2"/>
          </w:rPr>
          <w:t>http://curia.europa.eu/</w:t>
        </w:r>
      </w:hyperlink>
      <w:r w:rsidRPr="002F09DA">
        <w:rPr>
          <w:rFonts w:asciiTheme="minorHAnsi" w:hAnsiTheme="minorHAnsi" w:cstheme="minorHAnsi"/>
          <w:i/>
        </w:rPr>
        <w:t xml:space="preserve"> ir Europos Sąjungos teisės interneto svetainėje </w:t>
      </w:r>
      <w:hyperlink r:id="rId10" w:history="1">
        <w:r w:rsidRPr="002F09DA">
          <w:rPr>
            <w:rStyle w:val="Hipersaitas"/>
            <w:rFonts w:asciiTheme="minorHAnsi" w:hAnsiTheme="minorHAnsi" w:cstheme="minorHAnsi"/>
            <w:i/>
            <w:color w:val="44546A" w:themeColor="text2"/>
          </w:rPr>
          <w:t>http://eur-lex.europa.eu/</w:t>
        </w:r>
      </w:hyperlink>
      <w:r w:rsidRPr="002F09DA">
        <w:rPr>
          <w:rFonts w:asciiTheme="minorHAnsi" w:hAnsiTheme="minorHAnsi" w:cstheme="minorHAnsi"/>
          <w:i/>
          <w:color w:val="44546A" w:themeColor="text2"/>
        </w:rPr>
        <w:t>.</w:t>
      </w:r>
    </w:p>
    <w:p w:rsidR="000028CD" w:rsidRPr="002F09DA" w:rsidRDefault="000028CD" w:rsidP="00AD0B10">
      <w:pPr>
        <w:jc w:val="left"/>
        <w:rPr>
          <w:rFonts w:asciiTheme="minorHAnsi" w:hAnsiTheme="minorHAnsi" w:cstheme="minorHAnsi"/>
          <w:b/>
        </w:rPr>
      </w:pPr>
      <w:r w:rsidRPr="002F09DA">
        <w:rPr>
          <w:rFonts w:asciiTheme="minorHAnsi" w:hAnsiTheme="minorHAnsi" w:cstheme="minorHAnsi"/>
          <w:b/>
        </w:rPr>
        <w:br w:type="page"/>
      </w:r>
    </w:p>
    <w:p w:rsidR="00C32316" w:rsidRPr="002F09DA" w:rsidRDefault="00C32316" w:rsidP="00AD0B10">
      <w:pPr>
        <w:pStyle w:val="Antrat1"/>
        <w:keepLines w:val="0"/>
        <w:tabs>
          <w:tab w:val="right" w:leader="dot" w:pos="9639"/>
        </w:tabs>
        <w:spacing w:before="0"/>
        <w:rPr>
          <w:rFonts w:eastAsia="Times New Roman" w:cstheme="minorHAnsi"/>
          <w:b w:val="0"/>
          <w:bCs/>
          <w:kern w:val="32"/>
          <w:szCs w:val="22"/>
          <w:lang w:eastAsia="lt-LT"/>
        </w:rPr>
      </w:pPr>
      <w:bookmarkStart w:id="0" w:name="_Toc517273011"/>
      <w:r w:rsidRPr="002F09DA">
        <w:rPr>
          <w:rFonts w:eastAsia="Times New Roman" w:cstheme="minorHAnsi"/>
          <w:bCs/>
          <w:kern w:val="32"/>
          <w:szCs w:val="22"/>
          <w:lang w:eastAsia="lt-LT"/>
        </w:rPr>
        <w:lastRenderedPageBreak/>
        <w:t>UŽSIENIEČIŲ TEISINĖ PADĖTIS</w:t>
      </w:r>
      <w:bookmarkEnd w:id="0"/>
    </w:p>
    <w:p w:rsidR="00C32316" w:rsidRPr="002F09DA" w:rsidRDefault="00C32316" w:rsidP="00AD0B10">
      <w:pPr>
        <w:jc w:val="center"/>
        <w:rPr>
          <w:rFonts w:asciiTheme="minorHAnsi" w:hAnsiTheme="minorHAnsi" w:cstheme="minorHAnsi"/>
          <w:b/>
        </w:rPr>
      </w:pPr>
    </w:p>
    <w:p w:rsidR="00EE45BB" w:rsidRPr="00F74A35" w:rsidRDefault="00EE45BB" w:rsidP="00EE45BB">
      <w:pPr>
        <w:pStyle w:val="Antrat2"/>
        <w:rPr>
          <w:rFonts w:cstheme="minorHAnsi"/>
          <w:b w:val="0"/>
          <w:bCs w:val="0"/>
          <w:i/>
          <w:szCs w:val="22"/>
        </w:rPr>
      </w:pPr>
      <w:bookmarkStart w:id="1" w:name="_Toc517273012"/>
      <w:r w:rsidRPr="00F74A35">
        <w:rPr>
          <w:rFonts w:cstheme="minorHAnsi"/>
          <w:szCs w:val="22"/>
        </w:rPr>
        <w:t xml:space="preserve">2018 m. balandžio 12 d. </w:t>
      </w:r>
      <w:r w:rsidRPr="00EE45BB">
        <w:rPr>
          <w:rFonts w:cstheme="minorHAnsi"/>
          <w:bCs w:val="0"/>
          <w:iCs w:val="0"/>
        </w:rPr>
        <w:t>didžiosios kolegijos</w:t>
      </w:r>
      <w:r>
        <w:rPr>
          <w:rFonts w:cstheme="minorHAnsi"/>
          <w:b w:val="0"/>
          <w:bCs w:val="0"/>
          <w:iCs w:val="0"/>
        </w:rPr>
        <w:t xml:space="preserve"> </w:t>
      </w:r>
      <w:r w:rsidRPr="00F74A35">
        <w:rPr>
          <w:rFonts w:cstheme="minorHAnsi"/>
          <w:szCs w:val="22"/>
        </w:rPr>
        <w:t>prejudicinis sprendimas byloje C</w:t>
      </w:r>
      <w:r w:rsidRPr="00F74A35">
        <w:rPr>
          <w:rFonts w:cstheme="minorHAnsi"/>
          <w:szCs w:val="22"/>
        </w:rPr>
        <w:noBreakHyphen/>
        <w:t>550/16</w:t>
      </w:r>
      <w:bookmarkEnd w:id="1"/>
    </w:p>
    <w:p w:rsidR="00EE45BB" w:rsidRPr="00F74A35" w:rsidRDefault="00EE45BB" w:rsidP="00EE45BB">
      <w:pPr>
        <w:jc w:val="center"/>
        <w:rPr>
          <w:rFonts w:asciiTheme="minorHAnsi" w:hAnsiTheme="minorHAnsi" w:cstheme="minorHAnsi"/>
          <w:b/>
          <w:bCs/>
          <w:i/>
          <w:iCs/>
        </w:rPr>
      </w:pPr>
      <w:r w:rsidRPr="00F74A35">
        <w:rPr>
          <w:rFonts w:asciiTheme="minorHAnsi" w:hAnsiTheme="minorHAnsi" w:cstheme="minorHAnsi"/>
          <w:b/>
          <w:bCs/>
          <w:i/>
          <w:iCs/>
        </w:rPr>
        <w:t>A ir S prieš Staatssecretaris van Veiligheid en Justitie</w:t>
      </w:r>
    </w:p>
    <w:p w:rsidR="00EE45BB" w:rsidRPr="00F74A35" w:rsidRDefault="00EE45BB" w:rsidP="00EE45BB">
      <w:pPr>
        <w:jc w:val="center"/>
        <w:rPr>
          <w:rFonts w:asciiTheme="minorHAnsi" w:hAnsiTheme="minorHAnsi" w:cstheme="minorHAnsi"/>
          <w:b/>
          <w:highlight w:val="yellow"/>
        </w:rPr>
      </w:pPr>
    </w:p>
    <w:p w:rsidR="00EE45BB" w:rsidRPr="00F74A35" w:rsidRDefault="00EE45BB" w:rsidP="00EE45BB">
      <w:pPr>
        <w:pStyle w:val="c01pointnumerotealtn"/>
        <w:shd w:val="clear" w:color="auto" w:fill="FFFFFF"/>
        <w:spacing w:before="0" w:beforeAutospacing="0" w:after="0"/>
        <w:ind w:left="0" w:firstLine="567"/>
        <w:rPr>
          <w:rFonts w:asciiTheme="minorHAnsi" w:hAnsiTheme="minorHAnsi" w:cstheme="minorHAnsi"/>
          <w:sz w:val="22"/>
          <w:szCs w:val="22"/>
          <w:shd w:val="clear" w:color="auto" w:fill="FFFFFF"/>
        </w:rPr>
      </w:pPr>
      <w:r w:rsidRPr="00F74A35">
        <w:rPr>
          <w:rFonts w:asciiTheme="minorHAnsi" w:hAnsiTheme="minorHAnsi" w:cstheme="minorHAnsi"/>
          <w:sz w:val="22"/>
          <w:szCs w:val="22"/>
        </w:rPr>
        <w:t>Prašymas priimti prejudicinį sprendimą pateiktas dėl 2003 m. rugsėjo 22 d. Tarybos direktyvos 2003/86/EB dėl teisės į šeimos susijungimą 2 straipsnio pradžios ir f punkto išaiškinimo.</w:t>
      </w:r>
    </w:p>
    <w:p w:rsidR="00EE45BB" w:rsidRDefault="00EE45BB" w:rsidP="00EE45BB">
      <w:pPr>
        <w:pStyle w:val="c01pointnumerotealtn"/>
        <w:shd w:val="clear" w:color="auto" w:fill="FFFFFF"/>
        <w:spacing w:before="0" w:beforeAutospacing="0" w:after="0"/>
        <w:ind w:left="0" w:firstLine="567"/>
        <w:rPr>
          <w:rFonts w:asciiTheme="minorHAnsi" w:hAnsiTheme="minorHAnsi" w:cstheme="minorHAnsi"/>
          <w:sz w:val="22"/>
          <w:szCs w:val="22"/>
          <w:shd w:val="clear" w:color="auto" w:fill="FFFFFF"/>
        </w:rPr>
      </w:pPr>
      <w:r w:rsidRPr="00F74A35">
        <w:rPr>
          <w:rFonts w:asciiTheme="minorHAnsi" w:hAnsiTheme="minorHAnsi" w:cstheme="minorHAnsi"/>
          <w:sz w:val="22"/>
          <w:szCs w:val="22"/>
          <w:shd w:val="clear" w:color="auto" w:fill="FFFFFF"/>
        </w:rPr>
        <w:t>Pareiškėjų dukra į Nyderlandus atvyko nelydima, nors tuo metu dar buvo nepilnametė. Ji pateikė prašymą suteikti prieglobstį. Kol vyko svarstymas dėl prieglobsčio suteikimo</w:t>
      </w:r>
      <w:r w:rsidR="005A1168">
        <w:rPr>
          <w:rFonts w:asciiTheme="minorHAnsi" w:hAnsiTheme="minorHAnsi" w:cstheme="minorHAnsi"/>
          <w:sz w:val="22"/>
          <w:szCs w:val="22"/>
          <w:shd w:val="clear" w:color="auto" w:fill="FFFFFF"/>
        </w:rPr>
        <w:t>,</w:t>
      </w:r>
      <w:bookmarkStart w:id="2" w:name="_GoBack"/>
      <w:bookmarkEnd w:id="2"/>
      <w:r w:rsidRPr="00F74A35">
        <w:rPr>
          <w:rFonts w:asciiTheme="minorHAnsi" w:hAnsiTheme="minorHAnsi" w:cstheme="minorHAnsi"/>
          <w:sz w:val="22"/>
          <w:szCs w:val="22"/>
          <w:shd w:val="clear" w:color="auto" w:fill="FFFFFF"/>
        </w:rPr>
        <w:t xml:space="preserve"> ji tapo pilnamete. Sprendimu valstybės sekretorius jai išdavė leidimą gyventi šalyje dėl prieglobsčio, galiojantį penkerius metus nuo prašymo suteikti prieglobstį pateikimo dienos. Vėliau pareiškėjų dukter</w:t>
      </w:r>
      <w:r>
        <w:rPr>
          <w:rFonts w:asciiTheme="minorHAnsi" w:hAnsiTheme="minorHAnsi" w:cstheme="minorHAnsi"/>
          <w:sz w:val="22"/>
          <w:szCs w:val="22"/>
          <w:shd w:val="clear" w:color="auto" w:fill="FFFFFF"/>
        </w:rPr>
        <w:t xml:space="preserve">s vardu buvo pateiktas prašymas </w:t>
      </w:r>
      <w:r w:rsidRPr="00F74A35">
        <w:rPr>
          <w:rFonts w:asciiTheme="minorHAnsi" w:hAnsiTheme="minorHAnsi" w:cstheme="minorHAnsi"/>
          <w:sz w:val="22"/>
          <w:szCs w:val="22"/>
          <w:shd w:val="clear" w:color="auto" w:fill="FFFFFF"/>
        </w:rPr>
        <w:t xml:space="preserve">šeimos susijungimo tikslu išduoti leidimą laikinai gyventi šalyje jos tėvams, taip pat trims nepilnamečiams broliams. Valstybės sekretorius atmetė šį prašymą tuo pagrindu, kad jo pateikimo </w:t>
      </w:r>
      <w:r w:rsidR="00D9553F">
        <w:rPr>
          <w:rFonts w:asciiTheme="minorHAnsi" w:hAnsiTheme="minorHAnsi" w:cstheme="minorHAnsi"/>
          <w:sz w:val="22"/>
          <w:szCs w:val="22"/>
          <w:shd w:val="clear" w:color="auto" w:fill="FFFFFF"/>
        </w:rPr>
        <w:t xml:space="preserve">metu </w:t>
      </w:r>
      <w:r w:rsidRPr="00F74A35">
        <w:rPr>
          <w:rFonts w:asciiTheme="minorHAnsi" w:hAnsiTheme="minorHAnsi" w:cstheme="minorHAnsi"/>
          <w:sz w:val="22"/>
          <w:szCs w:val="22"/>
          <w:shd w:val="clear" w:color="auto" w:fill="FFFFFF"/>
        </w:rPr>
        <w:t>pareiškėjų dukra buvo pilnametė. Skunde pareiškėjai teigia, kad iš Direktyvos 2003/86 2 straipsnio pradžios ir jo f punkto matyti, kad siekiant nustatyti, ar asmuo gali būti laikomas „nelydimu nepilnamečiu“, kaip tai suprantama pagal šią nuostatą, lemiama yra suinteresuotojo asmens atvykimo į atitinkamą valstybę narę diena. Atvirkščiai, valstybės sekretorius manė, kad šiuo klausimu lemiamą reikšmę turi būtent prašymo susijungti su šeima pateikimo diena. Prašymą priimti prejudicinį sprendimą pateikęs teismas šiuo klausimu mano, kad, kaip matyti iš Direktyvos 2003/86 2 straipsnio pradžios ir jo f punkto, iš esmės nelydimo nepilnamečio statusas turi būti vertinamas atsižvelgiant į momentą, kai atitinkamas asmuo atvyko į valstybės narės teritoriją. Tiesa, šioje nuostatoje numatytos dvi šio principo išimtys, t. y. dėl nepilnamečio, kuris yra iš pradžių buvo lydimas, bet vėliau paliktas vienas, ir dėl nelydimo nepilnamečio, kuriuo vėliau rūpinasi už jį atsakingas pilnametis. Vis dėlto šios bylos aplinkybės neatitinka nė vienos iš šių išimčių ir iš šios nuostatos teksto nematyti, kad ji leistų</w:t>
      </w:r>
      <w:r>
        <w:rPr>
          <w:rFonts w:asciiTheme="minorHAnsi" w:hAnsiTheme="minorHAnsi" w:cstheme="minorHAnsi"/>
          <w:sz w:val="22"/>
          <w:szCs w:val="22"/>
          <w:shd w:val="clear" w:color="auto" w:fill="FFFFFF"/>
        </w:rPr>
        <w:t xml:space="preserve"> kitas šio principo išimtis (20–</w:t>
      </w:r>
      <w:r w:rsidRPr="00F74A35">
        <w:rPr>
          <w:rFonts w:asciiTheme="minorHAnsi" w:hAnsiTheme="minorHAnsi" w:cstheme="minorHAnsi"/>
          <w:sz w:val="22"/>
          <w:szCs w:val="22"/>
          <w:shd w:val="clear" w:color="auto" w:fill="FFFFFF"/>
        </w:rPr>
        <w:t>27 punktai).</w:t>
      </w:r>
    </w:p>
    <w:p w:rsidR="00FF7517" w:rsidRDefault="00FF7517" w:rsidP="00EE45BB">
      <w:pPr>
        <w:pStyle w:val="c01pointnumerotealtn"/>
        <w:shd w:val="clear" w:color="auto" w:fill="FFFFFF"/>
        <w:spacing w:before="0" w:beforeAutospacing="0" w:after="0"/>
        <w:ind w:left="0" w:firstLine="567"/>
        <w:rPr>
          <w:rFonts w:asciiTheme="minorHAnsi" w:hAnsiTheme="minorHAnsi" w:cstheme="minorHAnsi"/>
          <w:sz w:val="22"/>
          <w:szCs w:val="22"/>
          <w:shd w:val="clear" w:color="auto" w:fill="FFFFFF"/>
        </w:rPr>
      </w:pPr>
    </w:p>
    <w:p w:rsidR="00FF7517" w:rsidRPr="00FF7517" w:rsidRDefault="00FF7517" w:rsidP="00FF7517">
      <w:pPr>
        <w:pStyle w:val="c01pointnumerotealtn"/>
        <w:shd w:val="clear" w:color="auto" w:fill="FFFFFF"/>
        <w:spacing w:before="0" w:beforeAutospacing="0" w:after="0"/>
        <w:ind w:left="0" w:firstLine="567"/>
        <w:outlineLvl w:val="2"/>
        <w:rPr>
          <w:rFonts w:asciiTheme="minorHAnsi" w:hAnsiTheme="minorHAnsi" w:cstheme="minorHAnsi"/>
          <w:b/>
          <w:sz w:val="22"/>
          <w:szCs w:val="22"/>
          <w:shd w:val="clear" w:color="auto" w:fill="FFFFFF"/>
        </w:rPr>
      </w:pPr>
      <w:bookmarkStart w:id="3" w:name="_Toc517273013"/>
      <w:r w:rsidRPr="00FF7517">
        <w:rPr>
          <w:rFonts w:asciiTheme="minorHAnsi" w:hAnsiTheme="minorHAnsi" w:cstheme="minorHAnsi"/>
          <w:b/>
          <w:sz w:val="22"/>
          <w:szCs w:val="22"/>
          <w:shd w:val="clear" w:color="auto" w:fill="FFFFFF"/>
        </w:rPr>
        <w:t>Dėl sąvokos „nelydimas nepilnametis“ aiškinimo, kai pabėgėlis, kuris atvykimo į valstybės narės teritoriją ir prieglobsčio prašymo padavimo momentu neturi 18 metų, bet tampa pilnamečiu sprendimo suteikti jam prieglobstį priėmimo ir jo prašymo dėl šeimos susijungimo momentu</w:t>
      </w:r>
      <w:bookmarkEnd w:id="3"/>
    </w:p>
    <w:p w:rsidR="00FF7517" w:rsidRPr="00F74A35" w:rsidRDefault="00FF7517" w:rsidP="00EE45BB">
      <w:pPr>
        <w:pStyle w:val="c01pointnumerotealtn"/>
        <w:shd w:val="clear" w:color="auto" w:fill="FFFFFF"/>
        <w:spacing w:before="0" w:beforeAutospacing="0" w:after="0"/>
        <w:ind w:left="0" w:firstLine="567"/>
        <w:rPr>
          <w:rFonts w:asciiTheme="minorHAnsi" w:hAnsiTheme="minorHAnsi" w:cstheme="minorHAnsi"/>
          <w:sz w:val="22"/>
          <w:szCs w:val="22"/>
          <w:shd w:val="clear" w:color="auto" w:fill="FFFFFF"/>
        </w:rPr>
      </w:pPr>
    </w:p>
    <w:p w:rsidR="00EE45BB" w:rsidRPr="00F74A35" w:rsidRDefault="00EE45BB" w:rsidP="00EE45BB">
      <w:pPr>
        <w:shd w:val="clear" w:color="auto" w:fill="FFFFFF"/>
        <w:ind w:firstLine="567"/>
        <w:rPr>
          <w:rFonts w:asciiTheme="minorHAnsi" w:hAnsiTheme="minorHAnsi" w:cstheme="minorHAnsi"/>
          <w:shd w:val="clear" w:color="auto" w:fill="FFFFFF"/>
        </w:rPr>
      </w:pPr>
      <w:bookmarkStart w:id="4" w:name="point33"/>
      <w:r w:rsidRPr="00F74A35">
        <w:rPr>
          <w:rFonts w:asciiTheme="minorHAnsi" w:hAnsiTheme="minorHAnsi" w:cstheme="minorHAnsi"/>
          <w:shd w:val="clear" w:color="auto" w:fill="FFFFFF"/>
        </w:rPr>
        <w:t>Savo klausimu prašymą priimti prejudicinį sprendimą pateikęs teismas iš esmės siekė išsiaiškinti, ar Direktyvos 2003/86 2 straipsnio pradžia ir jo f punktas, turi būti aiškinami taip, kad „nepilnamečiu“, kaip tai suprantama pagal šią nuostatą, turi būti laikomas trečiosios šalies pilietis arba asmuo be pilietybės, kuris neturėjo 18 metų atvykimo į valstybės narės teritoriją ir prieglobsčio prašymo toje valstybėje pateikimo momentu, bet kuris vykstant prieglobsčio procedūrai sulaukia pilnametystės ir vėliau atgaline data jam suteikiamas prieglobstis nuo jo prieglobsčio prašymo pateikimo dienos (29 punktas).</w:t>
      </w:r>
    </w:p>
    <w:bookmarkEnd w:id="4"/>
    <w:p w:rsidR="00EE45BB" w:rsidRPr="00F74A35" w:rsidRDefault="00EE45BB" w:rsidP="00EE45BB">
      <w:pPr>
        <w:shd w:val="clear" w:color="auto" w:fill="FFFFFF"/>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Teisingumo Teismas priminė, kad Direktyvos 2003/86 tikslas, kaip nurodyta jos 1 straipsnyje, yra nustatyti valstybių narių teritorijoje teisėtai gyvenantiems trečiųjų šalių piliečiams naudojimosi šeimos susijungimo teise sąlygas. Šiuo klausimu direktyvoje, kaip matyti iš jos 8 konstatuojamosios dalies, numatytos palankesnės sąlygos naudotis teise į šeimos susijungimą, nes jų padėčiai reikia skirti ypatingą dėmesį, atsižvelgiant į priežastis, privertusias juos palikti savo šalį ir neleidusias jiems joje normaliai gyventi su šeima. Viena iš šių palankesnių sąlygų – šeimos susijungimas su pabėgėlio pirmos eilės tiesiosios aukštutinės linijos giminaičiais. Iš tiesų, nors pagal Direktyvos 2003/86 4 straipsnio 2 dalies a punktą tokio susijungimo galimybė iš esmės palikta kiekvienos valstybės narės diskrecijai ir visų pirma jai taikoma sąlyga, kad pirmos eilės tiesiosios aukštutinės linijos giminaičius išlaikytų globėjas ir kad jie neturi deramos šeimos paramos kilmės šalyje, šios direktyvos 10 straipsnio 3 dalies a punkte, nukrypstant nuo šio principo, numatyta nelydimų nepilnamečių pabėgėlių teisė taip susijungti, ir jai netaikoma nei valstybių narių diskrecija, nei 4 straipsnio 2 dalies a punkte nustatytos sąlygos (31–34 punktai).</w:t>
      </w:r>
    </w:p>
    <w:p w:rsidR="00EE45BB" w:rsidRPr="00F74A35" w:rsidRDefault="00EE45BB" w:rsidP="00EE45BB">
      <w:pPr>
        <w:shd w:val="clear" w:color="auto" w:fill="FFFFFF"/>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Sąvoka „nelydimas nepilnametis“, kuri Direktyvoje 2003/86 vartojama tik 10 straipsnio 3 dalies a punkte, apibrėžta šios direktyvos 2 straipsnio pradžioje ir jo f punkte. Pastarojoje nuostatoje „nelydimas nepilnametis“ apibrėžiamas kaip „18 metų neturintis trečiosios šalies pilietis arba asmuo be pilietybės, kuris atvyksta į valstybės narės teritoriją nelydimas pagal įstatymą ar paprotį atsakingo pilnamečio, ir iki tol, kol jo nesiima veiksmingai globoti toks asmuo, arba nepilnamečiai, kurie tampa nelydimi jiems atvykus į valstybių narių teritoriją“. Taigi šioje nuostatoje numatytos dvi sąlygos, t. y. kad suinteresuotasis asmuo būtų „nepilnametis“ ir „nelydimas“ (35–37 punktai).</w:t>
      </w:r>
    </w:p>
    <w:p w:rsidR="00EE45BB" w:rsidRPr="00F74A35" w:rsidRDefault="00EE45BB" w:rsidP="00EE45BB">
      <w:pPr>
        <w:shd w:val="clear" w:color="auto" w:fill="FFFFFF"/>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lastRenderedPageBreak/>
        <w:t>Teisingumo Teismas nurodė, kad nors antrosios sąlygos atveju svarbus suinteresuotojo asmens atvykimo į atitinkamos valstybės narės teritoriją momentas, iš tos pačios nuostatos vis dėlto išplaukia, kad į vėlesnes aplinkybes taip pat reikia atsižvelgti, ir tai taikytina abiem atvejais. Taigi atvykimo momentu nelydimas nepilnametis, kurį vėliau ima globoti už jį pagal įstatymą ar paprotį atsakingas pilnametis, neatitinka antrosios sąlygos, o iš pradžių lydimas nepilnametis, kuris vėliau yra paliekamas vienas, laikytinas nelydimu, todėl tą sąlygą atitinka (38 punktas).</w:t>
      </w:r>
    </w:p>
    <w:p w:rsidR="00EE45BB" w:rsidRPr="00F74A35" w:rsidRDefault="00EE45BB" w:rsidP="00EE45BB">
      <w:pPr>
        <w:shd w:val="clear" w:color="auto" w:fill="FFFFFF"/>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 xml:space="preserve">Pirmosios iš šio sprendimo nurodytų dviejų sąlygų aspektu Teisingumo Teismas pažymėjo, kad </w:t>
      </w:r>
      <w:r w:rsidRPr="00F74A35">
        <w:rPr>
          <w:rFonts w:asciiTheme="minorHAnsi" w:eastAsia="Times New Roman" w:hAnsiTheme="minorHAnsi" w:cstheme="minorHAnsi"/>
          <w:u w:val="single"/>
          <w:lang w:eastAsia="lt-LT"/>
        </w:rPr>
        <w:t>Direktyvos 2003/86 2 straipsnio pradžioje ir jo f punkte tik nurodyta, kad suinteresuotasis asmuo turi būti „aštuoniolikos metų neturint[is]“ asmuo, bet nepatikslinta, kokiu momentu ši sąlyga turi būti įvykdyta. Vis dėlto, Teisingumo Teismo nuomone, ši aplinkybė visiškai nereiškia, kad kiekviena valstybė narė turi nuspręsti, į kurį reikia momentą atsižvelgti, vertinant, ar tenkinama ši sąlyga</w:t>
      </w:r>
      <w:r w:rsidRPr="00F74A35">
        <w:rPr>
          <w:rFonts w:asciiTheme="minorHAnsi" w:eastAsia="Times New Roman" w:hAnsiTheme="minorHAnsi" w:cstheme="minorHAnsi"/>
          <w:lang w:eastAsia="lt-LT"/>
        </w:rPr>
        <w:t xml:space="preserve"> (39–40 punktai). </w:t>
      </w:r>
    </w:p>
    <w:p w:rsidR="00EE45BB" w:rsidRPr="00F74A35" w:rsidRDefault="00EE45BB" w:rsidP="00EE45BB">
      <w:pPr>
        <w:shd w:val="clear" w:color="auto" w:fill="FFFFFF"/>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Teisingumo Teismas pabrėžė, kad kai pateikia tarptautinės apsaugos prašymą pagal Direktyvos 2011/95 II skyrių, kiekvienas trečiosios šalies pilietis arba asmuo be pilietybės, kuris atitinka šios direktyvos III skyriuje numatytas materialines sąlygas, turi subjektinę teisę reikalauti, kad jam būtų pripažintas pabėgėlio statusas net prieš priimant oficialų sprendimą šiuo klausimu. Šiomis aplinkybėmis, jeigu teisė į šeimos susijungimą pagal Direktyvos 2003/86 10 straipsnio 3 dalies a punktą būtų siejama su momentu, kai kompetentinga nacionalinė institucija oficialiai priima sprendimą, kuriuo asmeniui pripažįstamas pabėgėlio statusas, ir dėl to priklausytų nuo to, kaip operatyviai ši institucija išnagrinėja tarptautinės apsaugos prašymą, tai paveiktų šios nuostatos veiksmingumą ir prieštarautų ne tik šios direktyvos tikslui sudaryti palankesnes sąlygas šeimos susijungimui ir tuo tikslu užtikrinti ypatingą apsaugą pabėgėliams, visų pirma nelydimiems nepilnamečiams, bet taip pat vienodo požiūrio ir teisinio saugumo principams. Iš tiesų toks aiškinimas reikštų, kad du nelydimi nepilnamečiai pabėgėliai, kurie tuo pačiu momentu pateikia tarptautinės apsaugos prašymą, galėtų, kiek tai susiję su teise į šeimos susijungimą, būti vertinami skirtingai atsižvelgiant į jų prašymų nagrinėjimo trukmę, kuriai jie iš esmės negali daryti jokios įtakos ir kuri ne tik dėl to, kad nagrinėjamos situacijos sudėtingos, gali priklausyti ir nuo kompetentingų valdžios institucijų darbo krūvio, ir nuo valstybių narių politinių sprendimų, susijusių su šių institucijų darbuotojų skaičiumi ir atvejais, kurie turi būti nagrinėjami prioritetine tvarka. Be to, atsižvelgiant į tai, kad prieglobsčio procedūros gali trukti ilgai ir kad didelio tarptautinės apsaugos prašytojų antplūdžio laikotarpiu ES teisės aktuose šiuo klausimu nustatytų terminų dažnai nesilaikoma, dėl teisės į šeimos susijungimą siejimo su šios procedūros baigties momentu didelė pabėgėlių, pateikusių tarptautinės apsaugos prašymą kaip nelydimi nepilnamečiai, dalis galėtų prarasti galimybę pasinaudoti šia teise ir apsauga, kurias jiems siekiama suteikti pagal Direktyvos 2003/86 10 straipsnio 3 dalies a punktą. Beje, toks aiškinimas, užuot skatinantis nacionalines valdžios institucijas prioritetine tvarka nagrinėti tarptautinės apsaugos prašymus, kuriuos pateikė nelydimi nepilnamečiai, siekiant atsižvelgti į jų ypatingą pažeidžiamumą – tokia galimybė dabar aiškiai numatyta Direktyvos 2013/32 31 straipsnio 7 dalies b punkte – gali padaryti priešingą poveikį ir sudaryti kliūčių tiek šioje direktyvoje, tiek direktyvose 2003/86 ir 2011/95 siekiamam tikslui užtikrinti, t. y. kad, kaip numatyta pagal Pagrindinių teisių chartijos 24 straipsnio 2 dalį, valstybės narės, taikydamos šias direktyvas, visų pirma atsižvelgtų į vaiko interesus. Be to, dėl tokio aiškinimo tarptautinės apsaugos prašymą pateikusiam nelydimam nepilnamečiui būtų visiškai neįmanoma numatyti, ar jis galės pasinaudoti teise į šeimos susijungimą su tėvais, o tai gali pakenkti teisiniam saugumui. Priešingai, jeigu į tarptautinės apsaugos prašymo pateikimo datą būtų atsižvelgiama kaip į datą, kuria reikia remtis vertinant pabėgėlio amžių Direktyvos 2003/86 10 straipsnio 3 dalies a punkto taikymo tikslais, tai leistų užtikrinti vienodą ir numatomą visų prašymus pateikusių asmenų, kurie chronologiškai yra tokioje pačioje situacijoje, vertinimą ir garantuotų, kad tai, ar prašymas bus patenkintas, iš esmės priklausys nuo aplinkybių, kurios priklauso nuo prašymą pateikusio asmens, o ne nuo administracijos, pavyzdžiui, kiek ji užtruks nagrinėdama tarptautinės apsaugos prašymą ar prašymą dėl šeimos susijungimo (54–60 punktai).</w:t>
      </w:r>
    </w:p>
    <w:p w:rsidR="00EE45BB" w:rsidRPr="00F74A35" w:rsidRDefault="00EE45BB" w:rsidP="00EE45BB">
      <w:pPr>
        <w:shd w:val="clear" w:color="auto" w:fill="FFFFFF"/>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 xml:space="preserve">Kita vertus, Teisingumo Teismas nurodė, kad su Direktyvos 2003/86 10 straipsnio 3 dalies a punkto tikslu būtų nesuderinama, kad savo prašymo pateikimo momentu nelydimo nepilnamečio statusą turintis pabėgėlis, kuris tapo pilnametis vykstant prašymo nagrinėjimo procedūrai, galėtų remtis šia nuostata be jokių apribojimų laiko atžvilgiu tam, kad pasinaudotų šeimos susijungimu, todėl tokio pobūdžio prašymas turi būti pateiktas per pagrįstą laikotarpį. Siekiant nustatyti tokį pagrįstą laikotarpį, Sąjungos teisės aktų leidėjo panašiomis aplinkybėmis pasirinktas sprendimas šios direktyvos 12 straipsnio 1 dalies trečioje pastraipoje yra orientacinis, todėl Teisingumo Teismas konstatavo, kad </w:t>
      </w:r>
      <w:r w:rsidRPr="00F74A35">
        <w:rPr>
          <w:rFonts w:asciiTheme="minorHAnsi" w:eastAsia="Times New Roman" w:hAnsiTheme="minorHAnsi" w:cstheme="minorHAnsi"/>
          <w:u w:val="single"/>
          <w:lang w:eastAsia="lt-LT"/>
        </w:rPr>
        <w:t xml:space="preserve">prašymas dėl šeimos susijungimo pagal minėtos direktyvos 10 straipsnio 3 dalies a punktą tokiu atveju iš esmės turi būti pateiktas per tris mėnesius nuo datos, </w:t>
      </w:r>
      <w:r w:rsidRPr="00F74A35">
        <w:rPr>
          <w:rFonts w:asciiTheme="minorHAnsi" w:eastAsia="Times New Roman" w:hAnsiTheme="minorHAnsi" w:cstheme="minorHAnsi"/>
          <w:u w:val="single"/>
          <w:lang w:eastAsia="lt-LT"/>
        </w:rPr>
        <w:lastRenderedPageBreak/>
        <w:t>kai atitinkamas „nepilnametis“ buvo pripažintas pabėgėliu</w:t>
      </w:r>
      <w:r w:rsidRPr="00F74A35">
        <w:rPr>
          <w:rFonts w:asciiTheme="minorHAnsi" w:eastAsia="Times New Roman" w:hAnsiTheme="minorHAnsi" w:cstheme="minorHAnsi"/>
          <w:lang w:eastAsia="lt-LT"/>
        </w:rPr>
        <w:t>. Dėl kitų datų, pasiūlytų šioje byloje siekiant įvertinti, ar pabėgėlis gali būti laikomas nepilnamečiu, Teisingumo Teismas pažymėjo, kad, pirma, atvykimo į valstybės narės teritoriją data iš principo negali būti laikoma lemiama dėl glaudžios sąsajos tarp teisės į šeimos susijungimą, nustatytos Direktyvos 2003/86 10 straipsnio 3 dalies a punkte, ir pabėgėlio statuso, kurio pripažinimas priklauso nuo to, ar atitinkamas asmuo pateikė tarptautinės apsaugos prašymą. Antra, dėl prašymo dėl šeimos susijungimo pateikimo datos ir dėl tokio prašymo priimto sprendimo datos Teisingumo Teismas priminė, jog Direktyvos 2003/86 10 straipsnio 3 dalies a punkte numatyta teisė į šeimos susijungimą negali priklausyti nuo momento, kai kompetentinga nacionalinė institucija oficialiai priima sprendimą dėl globėjo pabėgėlio statuso pripažinimo (61–63 punktai).</w:t>
      </w:r>
    </w:p>
    <w:p w:rsidR="00EE45BB" w:rsidRPr="00F74A35" w:rsidRDefault="00EE45BB" w:rsidP="00EE45BB">
      <w:pPr>
        <w:shd w:val="clear" w:color="auto" w:fill="FFFFFF"/>
        <w:ind w:firstLine="567"/>
        <w:rPr>
          <w:rFonts w:asciiTheme="minorHAnsi" w:eastAsia="Times New Roman" w:hAnsiTheme="minorHAnsi" w:cstheme="minorHAnsi"/>
          <w:lang w:eastAsia="lt-LT"/>
        </w:rPr>
      </w:pPr>
    </w:p>
    <w:p w:rsidR="00EE45BB" w:rsidRPr="00F74A35" w:rsidRDefault="00EE45BB" w:rsidP="00EE45BB">
      <w:pPr>
        <w:ind w:firstLine="567"/>
        <w:rPr>
          <w:rFonts w:asciiTheme="minorHAnsi" w:hAnsiTheme="minorHAnsi" w:cstheme="minorHAnsi"/>
          <w:b/>
        </w:rPr>
      </w:pPr>
      <w:r w:rsidRPr="00F74A35">
        <w:rPr>
          <w:rFonts w:asciiTheme="minorHAnsi" w:hAnsiTheme="minorHAnsi" w:cstheme="minorHAnsi"/>
          <w:b/>
        </w:rPr>
        <w:t>Remdamasis šiais motyvais, Teisingumo Teismas (didžioji kolegija) nusprendė:</w:t>
      </w:r>
    </w:p>
    <w:p w:rsidR="005C1696" w:rsidRDefault="005C1696" w:rsidP="00EE45BB">
      <w:pPr>
        <w:tabs>
          <w:tab w:val="left" w:pos="567"/>
        </w:tabs>
        <w:ind w:firstLine="567"/>
        <w:rPr>
          <w:rFonts w:asciiTheme="minorHAnsi" w:hAnsiTheme="minorHAnsi" w:cstheme="minorHAnsi"/>
          <w:bCs/>
        </w:rPr>
      </w:pPr>
    </w:p>
    <w:p w:rsidR="00EE45BB" w:rsidRPr="00F74A35" w:rsidRDefault="00EE45BB" w:rsidP="00EE45BB">
      <w:pPr>
        <w:tabs>
          <w:tab w:val="left" w:pos="567"/>
        </w:tabs>
        <w:ind w:firstLine="567"/>
        <w:rPr>
          <w:rFonts w:asciiTheme="minorHAnsi" w:hAnsiTheme="minorHAnsi" w:cstheme="minorHAnsi"/>
          <w:bCs/>
        </w:rPr>
      </w:pPr>
      <w:r w:rsidRPr="00F74A35">
        <w:rPr>
          <w:rFonts w:asciiTheme="minorHAnsi" w:hAnsiTheme="minorHAnsi" w:cstheme="minorHAnsi"/>
          <w:bCs/>
        </w:rPr>
        <w:t xml:space="preserve">2003 m. rugsėjo 22 d. Tarybos direktyvos 2003/86/EB dėl teisės į šeimos susijungimą 2 straipsnio pradžia ir jo f punktas, siejami su šios direktyvos 10 straipsnio 3 dalies a punktu, turi būti aiškinami taip, kad „nepilnamečiu“, kaip tai suprantama pagal šią nuostatą, turi būti laikomas trečiosios šalies pilietis arba asmuo be pilietybės, kuris atvykimo </w:t>
      </w:r>
      <w:r w:rsidR="00D9553F">
        <w:rPr>
          <w:rFonts w:asciiTheme="minorHAnsi" w:hAnsiTheme="minorHAnsi" w:cstheme="minorHAnsi"/>
          <w:bCs/>
        </w:rPr>
        <w:t xml:space="preserve">į </w:t>
      </w:r>
      <w:r w:rsidRPr="00F74A35">
        <w:rPr>
          <w:rFonts w:asciiTheme="minorHAnsi" w:hAnsiTheme="minorHAnsi" w:cstheme="minorHAnsi"/>
          <w:bCs/>
        </w:rPr>
        <w:t>valstybės narės teritoriją ir prieglobsčio prašymo šioje valstybėje narėje pateikimo momentu neturi 18 metų, bet vykstant prieglobsčio procedūrai sulaukia pilnametystės ir vėliau jam suteikiamas pabėgėlio statusas.</w:t>
      </w:r>
    </w:p>
    <w:p w:rsidR="00EE45BB" w:rsidRPr="00F74A35" w:rsidRDefault="00EF32EC" w:rsidP="00EE45BB">
      <w:pPr>
        <w:rPr>
          <w:rFonts w:asciiTheme="minorHAnsi" w:hAnsiTheme="minorHAnsi" w:cstheme="minorHAnsi"/>
        </w:rPr>
      </w:pPr>
      <w:hyperlink r:id="rId11" w:history="1">
        <w:r w:rsidR="00EE45BB" w:rsidRPr="00F74A35">
          <w:rPr>
            <w:rStyle w:val="Hipersaitas"/>
            <w:rFonts w:asciiTheme="minorHAnsi" w:hAnsiTheme="minorHAnsi" w:cstheme="minorHAnsi"/>
          </w:rPr>
          <w:t>Prieiga internete</w:t>
        </w:r>
      </w:hyperlink>
    </w:p>
    <w:p w:rsidR="00C32316" w:rsidRDefault="00C32316" w:rsidP="00AD0B10">
      <w:pPr>
        <w:rPr>
          <w:rFonts w:asciiTheme="minorHAnsi" w:hAnsiTheme="minorHAnsi" w:cstheme="minorHAnsi"/>
        </w:rPr>
      </w:pPr>
    </w:p>
    <w:p w:rsidR="00EE45BB" w:rsidRPr="00C9217A" w:rsidRDefault="00EE45BB" w:rsidP="00EE45BB">
      <w:pPr>
        <w:pStyle w:val="Antrat2"/>
        <w:rPr>
          <w:rFonts w:cstheme="minorHAnsi"/>
          <w:szCs w:val="22"/>
        </w:rPr>
      </w:pPr>
      <w:bookmarkStart w:id="5" w:name="_Toc456193188"/>
      <w:bookmarkStart w:id="6" w:name="_Toc517273014"/>
      <w:r w:rsidRPr="00C9217A">
        <w:rPr>
          <w:rFonts w:cstheme="minorHAnsi"/>
          <w:szCs w:val="22"/>
        </w:rPr>
        <w:t>2018 m. gegužės 8 d.</w:t>
      </w:r>
      <w:r w:rsidR="00DA7582" w:rsidRPr="00C9217A">
        <w:rPr>
          <w:rFonts w:cstheme="minorHAnsi"/>
          <w:szCs w:val="22"/>
        </w:rPr>
        <w:t xml:space="preserve"> didžiosios kolegijos</w:t>
      </w:r>
      <w:r w:rsidRPr="00C9217A">
        <w:rPr>
          <w:rFonts w:cstheme="minorHAnsi"/>
          <w:szCs w:val="22"/>
        </w:rPr>
        <w:t xml:space="preserve"> prejudicinis sprendimas byloje </w:t>
      </w:r>
      <w:bookmarkEnd w:id="5"/>
      <w:r w:rsidRPr="00C9217A">
        <w:rPr>
          <w:rFonts w:cstheme="minorHAnsi"/>
          <w:szCs w:val="22"/>
        </w:rPr>
        <w:t>C</w:t>
      </w:r>
      <w:r w:rsidRPr="00C9217A">
        <w:rPr>
          <w:rFonts w:cstheme="minorHAnsi"/>
          <w:szCs w:val="22"/>
        </w:rPr>
        <w:noBreakHyphen/>
        <w:t>82/16</w:t>
      </w:r>
      <w:bookmarkEnd w:id="6"/>
    </w:p>
    <w:p w:rsidR="00EE45BB" w:rsidRPr="00C9217A" w:rsidRDefault="00EE45BB" w:rsidP="00EE45BB">
      <w:pPr>
        <w:jc w:val="center"/>
        <w:rPr>
          <w:rFonts w:asciiTheme="minorHAnsi" w:hAnsiTheme="minorHAnsi" w:cstheme="minorHAnsi"/>
          <w:b/>
          <w:bCs/>
          <w:i/>
          <w:shd w:val="clear" w:color="auto" w:fill="FFFFFF"/>
        </w:rPr>
      </w:pPr>
      <w:r w:rsidRPr="00C9217A">
        <w:rPr>
          <w:rFonts w:asciiTheme="minorHAnsi" w:hAnsiTheme="minorHAnsi" w:cstheme="minorHAnsi"/>
          <w:b/>
          <w:bCs/>
          <w:i/>
          <w:shd w:val="clear" w:color="auto" w:fill="FFFFFF"/>
        </w:rPr>
        <w:t>K.A. ir kt. prieš Belgische Staat</w:t>
      </w:r>
    </w:p>
    <w:p w:rsidR="00EE45BB" w:rsidRPr="00C9217A" w:rsidRDefault="00EE45BB" w:rsidP="00EE45BB">
      <w:pPr>
        <w:jc w:val="center"/>
        <w:rPr>
          <w:rFonts w:asciiTheme="minorHAnsi" w:hAnsiTheme="minorHAnsi" w:cstheme="minorHAnsi"/>
          <w:b/>
        </w:rPr>
      </w:pPr>
    </w:p>
    <w:p w:rsidR="00EE45BB" w:rsidRPr="00C9217A" w:rsidRDefault="00EE45BB" w:rsidP="00EE45BB">
      <w:pPr>
        <w:pStyle w:val="c01pointnumerotealtn"/>
        <w:shd w:val="clear" w:color="auto" w:fill="FFFFFF"/>
        <w:spacing w:before="0" w:beforeAutospacing="0" w:after="0"/>
        <w:ind w:left="0" w:firstLine="567"/>
        <w:rPr>
          <w:rFonts w:asciiTheme="minorHAnsi" w:hAnsiTheme="minorHAnsi" w:cstheme="minorHAnsi"/>
          <w:sz w:val="22"/>
          <w:szCs w:val="22"/>
          <w:shd w:val="clear" w:color="auto" w:fill="FFFFFF"/>
        </w:rPr>
      </w:pPr>
      <w:r w:rsidRPr="00C9217A">
        <w:rPr>
          <w:rFonts w:asciiTheme="minorHAnsi" w:hAnsiTheme="minorHAnsi" w:cstheme="minorHAnsi"/>
          <w:sz w:val="22"/>
          <w:szCs w:val="22"/>
        </w:rPr>
        <w:t>Prašymas priimti prejudicinį sprendimą pateiktas dėl Sutarties dėl Europos Sąjungos veikimo (toliau – ir SESV) 20 straipsnio, Europos Sąjungos pagrindinių teisių chartijos (toliau – ir Chartija) 7 ir 24 straipsnių ir 2008 m. gruodžio 16 d. Europos Parlamento ir Tarybos direktyvos 2008/115/EB dėl bendrų nelegaliai esančių trečiųjų šalių piliečių grąžinimo standartų ir tvarkos valstybėse narėse (toliau – ir Direktyva 2008/115/EB) 5 ir 11 straipsnių išaiškinimo.</w:t>
      </w:r>
    </w:p>
    <w:p w:rsidR="00EE45BB" w:rsidRPr="00F74A35" w:rsidRDefault="00EE45BB" w:rsidP="00EE45BB">
      <w:pPr>
        <w:ind w:firstLine="567"/>
        <w:rPr>
          <w:rFonts w:asciiTheme="minorHAnsi" w:eastAsiaTheme="minorEastAsia" w:hAnsiTheme="minorHAnsi" w:cstheme="minorHAnsi"/>
          <w:lang w:eastAsia="lt-LT"/>
        </w:rPr>
      </w:pPr>
      <w:r w:rsidRPr="00C9217A">
        <w:rPr>
          <w:rFonts w:asciiTheme="minorHAnsi" w:hAnsiTheme="minorHAnsi" w:cstheme="minorHAnsi"/>
          <w:shd w:val="clear" w:color="auto" w:fill="FFFFFF"/>
        </w:rPr>
        <w:t xml:space="preserve">Visi pareiškėjai pagrindinėse bylose yra trečiųjų šalių piliečiai, Belgijos piliečių, kurie nepasinaudojo savo teise laisvai judėti arba įsikurti, šeimos nariai. Buvo priimti sprendimai juos grąžinti ir nustatyti draudimai atvykti į atitinkamos valstybės narės teritoriją. Šie sprendimai dėl jų visų tapo galutiniai ir, prašymą priimti prejudicinį sprendimą pateikusio teismo nuomone, pagal nacionalinės teisės aktus jie iš esmės gali būti panaikinti arba jų poveikis gali būti laikinai sustabdytas tik užsienyje pateikus prašymus panaikinti minėtus sprendimus arba sustabdyti jų </w:t>
      </w:r>
      <w:r w:rsidRPr="00F74A35">
        <w:rPr>
          <w:rFonts w:asciiTheme="minorHAnsi" w:hAnsiTheme="minorHAnsi" w:cstheme="minorHAnsi"/>
          <w:shd w:val="clear" w:color="auto" w:fill="FFFFFF"/>
        </w:rPr>
        <w:t xml:space="preserve">vykdymą. Pareiškėjai pagrindinėje byloje vėliau Belgijoje pateikė prašymus išduoti leidimą gyventi šalyje kaip Belgijos piliečio išlaikomiems tiesiosios žemutinės linijos giminaičiams (K. A. ir M. Z. atvejai), nepilnamečio vaiko, Belgijos piliečio, tėvams (M. J., N. N. N., O. I. O. ir R. I. atvejai) arba teisėtam kartu su Belgijos piliečiu gyvenančiam partneriui, kurį su Belgijos piliečiu sieja tvirti santykiai (B. A. atvejis). Kompetentinga nacionalinė institucija šių prašymų nenagrinėjo, remdamasi tuo, kad dėl pareiškėjų pagrindinėje byloje buvo priimti sprendimai – ir jie tebegalioja – uždrausti atvykti į šalį. Minėti pareiškėjai apskundė ginčijamus sprendimus prašymą priimti prejudicinį sprendimą pateikusiam teismui </w:t>
      </w:r>
      <w:r w:rsidR="00FF23A7">
        <w:rPr>
          <w:rFonts w:asciiTheme="minorHAnsi" w:eastAsiaTheme="minorEastAsia" w:hAnsiTheme="minorHAnsi" w:cstheme="minorHAnsi"/>
          <w:lang w:eastAsia="lt-LT"/>
        </w:rPr>
        <w:t>(18–19 </w:t>
      </w:r>
      <w:r w:rsidRPr="00F74A35">
        <w:rPr>
          <w:rFonts w:asciiTheme="minorHAnsi" w:eastAsiaTheme="minorEastAsia" w:hAnsiTheme="minorHAnsi" w:cstheme="minorHAnsi"/>
          <w:lang w:eastAsia="lt-LT"/>
        </w:rPr>
        <w:t xml:space="preserve">punktai). </w:t>
      </w:r>
    </w:p>
    <w:p w:rsidR="00EE45BB" w:rsidRPr="00F74A35" w:rsidRDefault="00EE45BB" w:rsidP="00EE45BB">
      <w:pPr>
        <w:ind w:firstLine="567"/>
        <w:rPr>
          <w:rFonts w:asciiTheme="minorHAnsi" w:eastAsiaTheme="minorEastAsia" w:hAnsiTheme="minorHAnsi" w:cstheme="minorHAnsi"/>
          <w:lang w:eastAsia="lt-LT"/>
        </w:rPr>
      </w:pPr>
      <w:r w:rsidRPr="00F74A35">
        <w:rPr>
          <w:rFonts w:asciiTheme="minorHAnsi" w:eastAsiaTheme="minorEastAsia" w:hAnsiTheme="minorHAnsi" w:cstheme="minorHAnsi"/>
          <w:lang w:eastAsia="lt-LT"/>
        </w:rPr>
        <w:t xml:space="preserve">Minėtas teismas pažymi, kad pagal nacionalinę teisę sprendimas dėl atitinkamo asmens kilmės šalyje pateikto prašymo panaikinti arba sustabdyti draudimą atvykti į šalį turi būti priimtas per keturis mėnesius nuo prašymo pateikimo. Jeigu per šį terminą sprendimas nepriimamas, laikoma, kad prašymas atmestas. Be to, tiktai priėmus sprendimą panaikinti arba sustabdyti draudimą atvykti į šalį, per šešis mėnesius priimamas sprendimas dėl trečiosios šalies piliečio jo kilmės šalyje pateikto prašymo išduoti vizą šeimos susijungimo tikslu. Be to, nagrinėjamos bylos nepatenka nei į 2003 m. rugsėjo 22 d. Tarybos direktyvos 2003/86/EB dėl teisės į šeimos susijungimą, nei į 2004 m. balandžio 29 d. Europos Parlamento ir Tarybos direktyvos 2004/38/EB dėl Sąjungos piliečių ir jų šeimos narių teisės laisvai judėti ir gyventi valstybių narių teritorijoje, iš dalies keičiančios Reglamentą (EEB) Nr. 1612/68 ir panaikinančios Direktyvas 64/221/EEB, 68/360/EEB, 72/194/EEB, 73/148/EEB, 75/34/EEB, 75/35/EEB, 90/364/EEB, 90/365/EEB ir 93/96/EEB, taikymo sritį. Šiose bylose Sąjungos piliečiai, šeimos ryšiais susiję su atitinkamais pareiškėjais pagrindinėje byloje, reguliariai nevyksta į kitą valstybę narę kaip darbuotojai arba paslaugų teikėjai ir šeimos gyvenimą su </w:t>
      </w:r>
      <w:r w:rsidRPr="00F74A35">
        <w:rPr>
          <w:rFonts w:asciiTheme="minorHAnsi" w:eastAsiaTheme="minorEastAsia" w:hAnsiTheme="minorHAnsi" w:cstheme="minorHAnsi"/>
          <w:lang w:eastAsia="lt-LT"/>
        </w:rPr>
        <w:lastRenderedPageBreak/>
        <w:t xml:space="preserve">šiais pareiškėjais jie pradėjo arba tęsė faktiškai gyvendami tik Belgijoje, o ne </w:t>
      </w:r>
      <w:r w:rsidR="00FF23A7">
        <w:rPr>
          <w:rFonts w:asciiTheme="minorHAnsi" w:eastAsiaTheme="minorEastAsia" w:hAnsiTheme="minorHAnsi" w:cstheme="minorHAnsi"/>
          <w:lang w:eastAsia="lt-LT"/>
        </w:rPr>
        <w:t>kitoje valstybėje narėje (28–29 </w:t>
      </w:r>
      <w:r w:rsidRPr="00F74A35">
        <w:rPr>
          <w:rFonts w:asciiTheme="minorHAnsi" w:eastAsiaTheme="minorEastAsia" w:hAnsiTheme="minorHAnsi" w:cstheme="minorHAnsi"/>
          <w:lang w:eastAsia="lt-LT"/>
        </w:rPr>
        <w:t>punktai).</w:t>
      </w:r>
    </w:p>
    <w:p w:rsidR="00EE45BB" w:rsidRPr="00F74A35" w:rsidRDefault="00EE45BB" w:rsidP="00EE45BB">
      <w:pPr>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Savo pirmaisiais dviem klausimais, kuriuos Teisingumo Teismas nusprendė nagrinėti kartu, prašymą priimti prejudicinį sprendimą pateikęs teismas iš esmės siekė išsiaiškinti:</w:t>
      </w:r>
    </w:p>
    <w:p w:rsidR="00EE45BB" w:rsidRPr="00F74A35" w:rsidRDefault="00EE45BB" w:rsidP="00EE45BB">
      <w:pPr>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w:t>
      </w:r>
      <w:r w:rsidR="005C1696">
        <w:rPr>
          <w:rFonts w:asciiTheme="minorHAnsi" w:eastAsia="Times New Roman" w:hAnsiTheme="minorHAnsi" w:cstheme="minorHAnsi"/>
          <w:lang w:eastAsia="lt-LT"/>
        </w:rPr>
        <w:t xml:space="preserve"> </w:t>
      </w:r>
      <w:r w:rsidRPr="00F74A35">
        <w:rPr>
          <w:rFonts w:asciiTheme="minorHAnsi" w:eastAsia="Times New Roman" w:hAnsiTheme="minorHAnsi" w:cstheme="minorHAnsi"/>
          <w:lang w:eastAsia="lt-LT"/>
        </w:rPr>
        <w:t>ar Direktyvos 2008/115 5 ir 11 straipsniai, taip pat SESV 20 straipsnis, p</w:t>
      </w:r>
      <w:r w:rsidR="00FF23A7">
        <w:rPr>
          <w:rFonts w:asciiTheme="minorHAnsi" w:eastAsia="Times New Roman" w:hAnsiTheme="minorHAnsi" w:cstheme="minorHAnsi"/>
          <w:lang w:eastAsia="lt-LT"/>
        </w:rPr>
        <w:t>rireikus siejami su Chartijos 7 </w:t>
      </w:r>
      <w:r w:rsidRPr="00F74A35">
        <w:rPr>
          <w:rFonts w:asciiTheme="minorHAnsi" w:eastAsia="Times New Roman" w:hAnsiTheme="minorHAnsi" w:cstheme="minorHAnsi"/>
          <w:lang w:eastAsia="lt-LT"/>
        </w:rPr>
        <w:t>ir 24 straipsniais, turi būti aiškinami taip, kad pagal juos draudžiama valstybės narės praktika, kai prašymas išduoti leidimą gyventi šalyje šeimos susijungimo tikslu, pateiktas jos teritorijoje trečiosios šalies piliečio, šios valstybės narės pilietybę turinčio ir teise laisvai judėti nepasinaudojusio Sąjungos piliečio šeimos nario, nenagrinėjamas vien dėl to, kad šiam trečiosios šalies piliečiui taikomas draudimas atvykti į šią šalį, neatsižvelgiant į tai, ar tarp šio Sąjungos piliečio ir minėto trečiosios šalies piliečio yra toks priklausomumo ryšys, kad, atsisakius pastarajam suteikti išvestinę teisę gyventi šalyje, minėtas Sąjungos pilietis faktiškai būtų priverstas išvykti iš Sąjungos teritorijos ir taip netektų galimybės veiksmingai naudotis dėl jo statuso suteikiamomis pagrindinėmis teisėmis,</w:t>
      </w:r>
    </w:p>
    <w:p w:rsidR="00EE45BB" w:rsidRPr="00F74A35" w:rsidRDefault="00FF23A7" w:rsidP="00EE45BB">
      <w:pPr>
        <w:ind w:firstLine="567"/>
        <w:rPr>
          <w:rFonts w:asciiTheme="minorHAnsi" w:eastAsia="Times New Roman" w:hAnsiTheme="minorHAnsi" w:cstheme="minorHAnsi"/>
          <w:lang w:eastAsia="lt-LT"/>
        </w:rPr>
      </w:pPr>
      <w:r>
        <w:rPr>
          <w:rFonts w:asciiTheme="minorHAnsi" w:eastAsia="Times New Roman" w:hAnsiTheme="minorHAnsi" w:cstheme="minorHAnsi"/>
          <w:lang w:eastAsia="lt-LT"/>
        </w:rPr>
        <w:t>–</w:t>
      </w:r>
      <w:r w:rsidR="0033208A">
        <w:rPr>
          <w:rFonts w:asciiTheme="minorHAnsi" w:eastAsia="Times New Roman" w:hAnsiTheme="minorHAnsi" w:cstheme="minorHAnsi"/>
          <w:lang w:eastAsia="lt-LT"/>
        </w:rPr>
        <w:t xml:space="preserve"> </w:t>
      </w:r>
      <w:r w:rsidR="00EE45BB" w:rsidRPr="00F74A35">
        <w:rPr>
          <w:rFonts w:asciiTheme="minorHAnsi" w:eastAsia="Times New Roman" w:hAnsiTheme="minorHAnsi" w:cstheme="minorHAnsi"/>
          <w:lang w:eastAsia="lt-LT"/>
        </w:rPr>
        <w:t>jeigu atsakymas būtų teigiamas, į kokias aplinkybes reikia atsižvelgti siekiant nustatyti, ar egzistuoja toks priklausomumo ryšys, ir, kai Sąjungos pilietis yra nepilnametis, kokia reikšmė turėtų būti teikiama šeimos ryšiui (biologiniam arba teisiniam) ir šio atitinkamos valstybės narės pilietybę turinčio Sąjungos piliečio gyvenimo ir finansinio išlaikymo sąlygoms;</w:t>
      </w:r>
    </w:p>
    <w:p w:rsidR="00EE45BB" w:rsidRPr="00F74A35" w:rsidRDefault="00DA7582" w:rsidP="00EE45BB">
      <w:pPr>
        <w:ind w:firstLine="567"/>
        <w:rPr>
          <w:rFonts w:asciiTheme="minorHAnsi" w:eastAsia="Times New Roman" w:hAnsiTheme="minorHAnsi" w:cstheme="minorHAnsi"/>
          <w:lang w:eastAsia="lt-LT"/>
        </w:rPr>
      </w:pPr>
      <w:r>
        <w:rPr>
          <w:rFonts w:asciiTheme="minorHAnsi" w:eastAsia="Times New Roman" w:hAnsiTheme="minorHAnsi" w:cstheme="minorHAnsi"/>
          <w:lang w:eastAsia="lt-LT"/>
        </w:rPr>
        <w:t>–</w:t>
      </w:r>
      <w:r w:rsidR="0033208A">
        <w:rPr>
          <w:rFonts w:asciiTheme="minorHAnsi" w:eastAsia="Times New Roman" w:hAnsiTheme="minorHAnsi" w:cstheme="minorHAnsi"/>
          <w:lang w:eastAsia="lt-LT"/>
        </w:rPr>
        <w:t xml:space="preserve"> </w:t>
      </w:r>
      <w:r w:rsidR="00EE45BB" w:rsidRPr="00F74A35">
        <w:rPr>
          <w:rFonts w:asciiTheme="minorHAnsi" w:eastAsia="Times New Roman" w:hAnsiTheme="minorHAnsi" w:cstheme="minorHAnsi"/>
          <w:lang w:eastAsia="lt-LT"/>
        </w:rPr>
        <w:t>kokią reikšmę šiame kontekste gali turėti:</w:t>
      </w:r>
    </w:p>
    <w:p w:rsidR="00EE45BB" w:rsidRPr="00F74A35" w:rsidRDefault="00DA7582" w:rsidP="00EE45BB">
      <w:pPr>
        <w:ind w:firstLine="567"/>
        <w:rPr>
          <w:rFonts w:asciiTheme="minorHAnsi" w:eastAsia="Times New Roman" w:hAnsiTheme="minorHAnsi" w:cstheme="minorHAnsi"/>
          <w:lang w:eastAsia="lt-LT"/>
        </w:rPr>
      </w:pPr>
      <w:r>
        <w:rPr>
          <w:rFonts w:asciiTheme="minorHAnsi" w:eastAsia="Times New Roman" w:hAnsiTheme="minorHAnsi" w:cstheme="minorHAnsi"/>
          <w:lang w:eastAsia="lt-LT"/>
        </w:rPr>
        <w:t>–</w:t>
      </w:r>
      <w:r w:rsidR="0033208A">
        <w:rPr>
          <w:rFonts w:asciiTheme="minorHAnsi" w:eastAsia="Times New Roman" w:hAnsiTheme="minorHAnsi" w:cstheme="minorHAnsi"/>
          <w:lang w:eastAsia="lt-LT"/>
        </w:rPr>
        <w:t xml:space="preserve"> </w:t>
      </w:r>
      <w:r w:rsidR="00EE45BB" w:rsidRPr="00F74A35">
        <w:rPr>
          <w:rFonts w:asciiTheme="minorHAnsi" w:eastAsia="Times New Roman" w:hAnsiTheme="minorHAnsi" w:cstheme="minorHAnsi"/>
          <w:lang w:eastAsia="lt-LT"/>
        </w:rPr>
        <w:t>aplinkybė, kad priklausomumo santykis, kuriuo remiasi trečiosios šalies pilietis savo prašymui išduoti leidimą gyventi šalyje šeimos susijungimo tikslu pagrįsti, atsirado po to, kai dėl jo buvo priimtas sprendimas uždrausti atvykti į šalį,</w:t>
      </w:r>
    </w:p>
    <w:p w:rsidR="00EE45BB" w:rsidRPr="00F74A35" w:rsidRDefault="00EE45BB" w:rsidP="00EE45BB">
      <w:pPr>
        <w:ind w:firstLine="567"/>
        <w:rPr>
          <w:rFonts w:asciiTheme="minorHAnsi" w:eastAsia="Times New Roman" w:hAnsiTheme="minorHAnsi" w:cstheme="minorHAnsi"/>
          <w:lang w:eastAsia="lt-LT"/>
        </w:rPr>
      </w:pPr>
      <w:r w:rsidRPr="00F74A35">
        <w:rPr>
          <w:rFonts w:asciiTheme="minorHAnsi" w:eastAsia="Times New Roman" w:hAnsiTheme="minorHAnsi" w:cstheme="minorHAnsi"/>
          <w:lang w:eastAsia="lt-LT"/>
        </w:rPr>
        <w:t>–</w:t>
      </w:r>
      <w:r w:rsidR="0033208A">
        <w:rPr>
          <w:rFonts w:asciiTheme="minorHAnsi" w:eastAsia="Times New Roman" w:hAnsiTheme="minorHAnsi" w:cstheme="minorHAnsi"/>
          <w:lang w:eastAsia="lt-LT"/>
        </w:rPr>
        <w:t xml:space="preserve"> </w:t>
      </w:r>
      <w:r w:rsidRPr="00F74A35">
        <w:rPr>
          <w:rFonts w:asciiTheme="minorHAnsi" w:eastAsia="Times New Roman" w:hAnsiTheme="minorHAnsi" w:cstheme="minorHAnsi"/>
          <w:lang w:eastAsia="lt-LT"/>
        </w:rPr>
        <w:t>aplinkybė, kad šis draudimas yra galutinis tuo metu, kai trečiosios šalies pilietis pateikia prašymą išduoti leidimą gyventi šalyje šeimos susijungimo tikslu, ir</w:t>
      </w:r>
    </w:p>
    <w:p w:rsidR="00EE45BB" w:rsidRPr="00F74A35" w:rsidRDefault="00DA7582" w:rsidP="00EE45BB">
      <w:pPr>
        <w:ind w:firstLine="567"/>
        <w:rPr>
          <w:rFonts w:asciiTheme="minorHAnsi" w:eastAsia="Times New Roman" w:hAnsiTheme="minorHAnsi" w:cstheme="minorHAnsi"/>
          <w:lang w:eastAsia="lt-LT"/>
        </w:rPr>
      </w:pPr>
      <w:r>
        <w:rPr>
          <w:rFonts w:asciiTheme="minorHAnsi" w:eastAsia="Times New Roman" w:hAnsiTheme="minorHAnsi" w:cstheme="minorHAnsi"/>
          <w:lang w:eastAsia="lt-LT"/>
        </w:rPr>
        <w:t>–</w:t>
      </w:r>
      <w:r w:rsidR="0033208A">
        <w:rPr>
          <w:rFonts w:asciiTheme="minorHAnsi" w:eastAsia="Times New Roman" w:hAnsiTheme="minorHAnsi" w:cstheme="minorHAnsi"/>
          <w:lang w:eastAsia="lt-LT"/>
        </w:rPr>
        <w:t xml:space="preserve"> </w:t>
      </w:r>
      <w:r w:rsidR="00EE45BB" w:rsidRPr="00F74A35">
        <w:rPr>
          <w:rFonts w:asciiTheme="minorHAnsi" w:eastAsia="Times New Roman" w:hAnsiTheme="minorHAnsi" w:cstheme="minorHAnsi"/>
          <w:lang w:eastAsia="lt-LT"/>
        </w:rPr>
        <w:t>aplinkybė, kad minėtas draudimas pagrįstas prievolės grįžti neįvykdymu arba viešosios tvarkos sumetimais.</w:t>
      </w:r>
    </w:p>
    <w:p w:rsidR="00EE45BB" w:rsidRPr="00F74A35" w:rsidRDefault="00EE45BB" w:rsidP="00EE45BB">
      <w:pPr>
        <w:ind w:firstLine="567"/>
        <w:rPr>
          <w:rFonts w:asciiTheme="minorHAnsi" w:eastAsia="Times New Roman" w:hAnsiTheme="minorHAnsi" w:cstheme="minorHAnsi"/>
          <w:lang w:eastAsia="lt-LT"/>
        </w:rPr>
      </w:pPr>
    </w:p>
    <w:p w:rsidR="00EE45BB" w:rsidRPr="00C527C1" w:rsidRDefault="00EE45BB" w:rsidP="00C527C1">
      <w:pPr>
        <w:pStyle w:val="Antrat3"/>
        <w:ind w:firstLine="567"/>
        <w:rPr>
          <w:rFonts w:eastAsia="Times New Roman" w:cstheme="minorHAnsi"/>
          <w:bCs w:val="0"/>
          <w:iCs/>
          <w:lang w:eastAsia="lt-LT"/>
        </w:rPr>
      </w:pPr>
      <w:bookmarkStart w:id="7" w:name="_Toc517273015"/>
      <w:r w:rsidRPr="00C527C1">
        <w:rPr>
          <w:rFonts w:eastAsia="Times New Roman" w:cstheme="minorHAnsi"/>
          <w:bCs w:val="0"/>
          <w:iCs/>
          <w:lang w:eastAsia="lt-LT"/>
        </w:rPr>
        <w:t>Dėl prašymo išduoti leidimą gyventi šalyje šeimos susijungimo tikslu nenagrinėjimo remiantis tuo, kad prašymą pateikusiam asmeniui buvo nustatytas draudimas atvykti į atitinkamos valstybės narės teritoriją</w:t>
      </w:r>
      <w:bookmarkEnd w:id="7"/>
    </w:p>
    <w:p w:rsidR="00C527C1" w:rsidRPr="00F74A35" w:rsidRDefault="00C527C1" w:rsidP="00EE45BB">
      <w:pPr>
        <w:ind w:firstLine="567"/>
        <w:rPr>
          <w:rFonts w:asciiTheme="minorHAnsi" w:eastAsia="Times New Roman" w:hAnsiTheme="minorHAnsi" w:cstheme="minorHAnsi"/>
          <w:b/>
          <w:lang w:eastAsia="lt-LT"/>
        </w:rPr>
      </w:pPr>
    </w:p>
    <w:p w:rsidR="00EE45BB" w:rsidRPr="00F74A35" w:rsidRDefault="00EE45BB" w:rsidP="00EE45BB">
      <w:pPr>
        <w:shd w:val="clear" w:color="auto" w:fill="FFFFFF"/>
        <w:ind w:firstLine="567"/>
        <w:rPr>
          <w:rFonts w:asciiTheme="minorHAnsi" w:hAnsiTheme="minorHAnsi" w:cstheme="minorHAnsi"/>
          <w:shd w:val="clear" w:color="auto" w:fill="FFFFFF"/>
        </w:rPr>
      </w:pPr>
      <w:r w:rsidRPr="00F74A35">
        <w:rPr>
          <w:rFonts w:asciiTheme="minorHAnsi" w:hAnsiTheme="minorHAnsi" w:cstheme="minorHAnsi"/>
          <w:shd w:val="clear" w:color="auto" w:fill="FFFFFF"/>
        </w:rPr>
        <w:t>Teisingumo Teismas pirmiausia nurodė, kad Direktyvos 2008/115 nuostatomis nereglamentuojama, kaip turėtų būti nagrinėjamas prašymas išduoti leidimą gyventi šalyje šeimos susijungimo tikslu, pateiktas, kaip pagrindinėse bylose, priėmus sprendimą grąžinti kartu su draudimu atvykti į šalį. Be to, tokio prašymo nenagrinėjimas šiame sprendime nurodytomis aplinkybėmis negali sutrukdyti taikyti šioje direktyvoje numatytos grąžinimo procedūros. Remdamasis tuo, Teisingumo Teismas darė išvadą, kad Direktyva 2008/115, būtent jos 5 ir 11 straipsniai, turi būti aiškinama kaip nedraudžianti valstybės narės praktikos, kai prašymas išduoti leidimą gyventi šalyje šeimos susijungimo tikslu, pateiktas jos teritorijoje trečiosios šalies piliečio, šios valstybės narės pilietybę turinčio ir teise laisvai judėti nepasinaudojusio Sąjungos piliečio šeimos nario, nenagrinėjamas vien dėl to, kad šiam trečiosios šalies piliečiui taikomas draudimas atvykti į šalį (45–46 punktai).</w:t>
      </w:r>
    </w:p>
    <w:p w:rsidR="00EE45BB" w:rsidRPr="00F74A35" w:rsidRDefault="00EE45BB" w:rsidP="00EE45BB">
      <w:pPr>
        <w:ind w:firstLine="567"/>
        <w:rPr>
          <w:rFonts w:asciiTheme="minorHAnsi" w:hAnsiTheme="minorHAnsi" w:cstheme="minorHAnsi"/>
          <w:u w:val="single"/>
        </w:rPr>
      </w:pPr>
      <w:r w:rsidRPr="00F74A35">
        <w:rPr>
          <w:rFonts w:asciiTheme="minorHAnsi" w:hAnsiTheme="minorHAnsi" w:cstheme="minorHAnsi"/>
        </w:rPr>
        <w:t xml:space="preserve">Kartu Teisingumo Teismas pažymėjo, kad </w:t>
      </w:r>
      <w:r w:rsidRPr="00F74A35">
        <w:rPr>
          <w:rFonts w:asciiTheme="minorHAnsi" w:eastAsia="Times New Roman" w:hAnsiTheme="minorHAnsi" w:cstheme="minorHAnsi"/>
          <w:lang w:eastAsia="lt-LT"/>
        </w:rPr>
        <w:t>pagrindinėse bylose nagrinėjama praktika dėl procedūros taisyklių, pagal kurias, teikdamas prašymą išduoti leidimą gyventi šalyje šeimos susijungimo tikslu, trečiosios šalies pilietis gali remtis išvestine teise pagal SESV 20 straipsnį.</w:t>
      </w:r>
      <w:r w:rsidRPr="00F74A35">
        <w:rPr>
          <w:rFonts w:asciiTheme="minorHAnsi" w:hAnsiTheme="minorHAnsi" w:cstheme="minorHAnsi"/>
        </w:rPr>
        <w:t xml:space="preserve"> Valstybės narės turi nustatyti išvestinės teisės gyventi šalyje, kuri šiame sprendime nurodytomis specifinėmis aplinkybėmis turi būti pripažįstama trečiosios šalies piliečiui pagal SESV 20 straipsnį, suteikimo taisykles, tačiau šios procedūros taisyklės negali pakenkti minėto 20 straipsnio veiksmingumui. Tuo metu pagal nagrinėjamą nacionalinę praktiką nustatyta prievolė trečiosios šalies piliečiui išvykti iš Sąjungos teritorijos, kad galėtų prašyti panaikinti arba sustabdyti jam taikomą draudimą atvykti į šalį, gali pakenkti SESV 20 straipsnio veiksmingumui, jei vykdant tą prievolę dėl priklausomumo santykio tarp trečiosios šalies piliečio ir Sąjungos piliečio, jo šeimos nario, pastarajam faktiškai tektų jį lydėti ir, kaip pažymėjo prašymą priimti prejudicinį sprendimą pateikęs teismas, neribotam laikotarpiui išvykti iš Sąjungos teritorijos (53, 54, 56 punktai). </w:t>
      </w:r>
    </w:p>
    <w:p w:rsidR="00EE45BB" w:rsidRPr="00F74A35" w:rsidRDefault="00EE45BB" w:rsidP="00EE45BB">
      <w:pPr>
        <w:ind w:firstLine="567"/>
        <w:rPr>
          <w:rFonts w:asciiTheme="minorHAnsi" w:hAnsiTheme="minorHAnsi" w:cstheme="minorHAnsi"/>
        </w:rPr>
      </w:pPr>
      <w:r w:rsidRPr="00F74A35">
        <w:rPr>
          <w:rFonts w:asciiTheme="minorHAnsi" w:hAnsiTheme="minorHAnsi" w:cstheme="minorHAnsi"/>
        </w:rPr>
        <w:t xml:space="preserve">Teisingumo Teismas pripažino, kad dėl trečiosios šalies piliečio atsisakymo vykdyti pareigą grįžti ir bendradarbiauti per išvežimo ar išvesdinimo procedūrą jam neturi būti leidžiama visiškai arba iš dalies išvengti sprendimo dėl draudimo atvykti teisinių pasekmių, vis dėlto, </w:t>
      </w:r>
      <w:r w:rsidRPr="00F74A35">
        <w:rPr>
          <w:rFonts w:asciiTheme="minorHAnsi" w:hAnsiTheme="minorHAnsi" w:cstheme="minorHAnsi"/>
          <w:u w:val="single"/>
        </w:rPr>
        <w:t xml:space="preserve">kai trečiosios šalies pilietis </w:t>
      </w:r>
      <w:r w:rsidRPr="00F74A35">
        <w:rPr>
          <w:rFonts w:asciiTheme="minorHAnsi" w:hAnsiTheme="minorHAnsi" w:cstheme="minorHAnsi"/>
          <w:u w:val="single"/>
        </w:rPr>
        <w:lastRenderedPageBreak/>
        <w:t>kompetentingai nacionalinei institucijai pateikia prašymą suteikti teisę gyventi šalyje šeimos susijungimo su Sąjungos piliečiu, atitinkamos valstybės narės piliečiu, tikslu, ši institucija negali atsisakyti nagrinėti šį prašymą, remdamasi vien tuo, kad šiam trečiosios šalies piliečiui taikomas draudimas atvykti į šios valstybės narės teritoriją. Atvirkščiai, ji turi išnagrinėti šį prašymą ir įvertinti, ar tarp atitinkamų trečiosios šalies piliečio ir Sąjungos piliečio yra toks priklausomumo santykis, kad šiam trečiosios šalies piliečiui iš principo turi būti suteikta išvestinė teisė gyventi šalyje pagal SESV 20 straipsnį, nes kitaip šis Sąjungos pilietis faktiškai būtų priverstas išvykti iš Sąjungos teritorijos, ir taip iš jo būtų atimta galimybė veiksmingai naudotis pagrindinėmis jo statuso suteikiamomis teisėmis. Jei taip būtų, atitinkama valstybė narė privalo panaikinti sprendimą grąžinti trečiosios šalies pilietį ir jam nustatytą draudimą atvykti į šalį arba bent jau sustabdyti jo vykdymą</w:t>
      </w:r>
      <w:r w:rsidRPr="00F74A35">
        <w:rPr>
          <w:rFonts w:asciiTheme="minorHAnsi" w:hAnsiTheme="minorHAnsi" w:cstheme="minorHAnsi"/>
        </w:rPr>
        <w:t>. Iš tiesų, tai, kad trečiosios šalies pilietis neribotam laikui būtų priverstas išvykti iš Sąjungos teritorijos, siekdamas, kad būtų panaikintas jam nustatytas draudimas atvykti į šią teritoriją arba sustabdytas jo vykdymas, iš anksto nepatikrinus, ar tarp jo ir jo šeimos nario, Sąjungos piliečio, nėra tokio priklausomumo santykio, dėl kurio pastarasis būtų priverstas lydėti trečiosios šalies pilietį į jo kilmės šalį, nors būtent dėl šio priklausomumo santykio šiam trečiosios šalies piliečiui iš principo turėtų būti pripažįstama išvestinė teisė gyventi šalyje pagal SESV 20 straipsnį, prieštarautų šiuo straipsniu siekiamam tikslui (57–58 punktai).</w:t>
      </w:r>
    </w:p>
    <w:p w:rsidR="00EE45BB" w:rsidRPr="00F74A35" w:rsidRDefault="00EE45BB" w:rsidP="00EE45BB">
      <w:pPr>
        <w:ind w:firstLine="567"/>
        <w:rPr>
          <w:rFonts w:asciiTheme="minorHAnsi" w:eastAsia="Times New Roman" w:hAnsiTheme="minorHAnsi" w:cstheme="minorHAnsi"/>
          <w:lang w:eastAsia="lt-LT"/>
        </w:rPr>
      </w:pPr>
      <w:r w:rsidRPr="00F74A35">
        <w:rPr>
          <w:rFonts w:asciiTheme="minorHAnsi" w:eastAsiaTheme="minorEastAsia" w:hAnsiTheme="minorHAnsi" w:cstheme="minorHAnsi"/>
          <w:lang w:eastAsia="lt-LT"/>
        </w:rPr>
        <w:t xml:space="preserve">Pagal Direktyvos 2008/115 11 straipsnio 3 dalies pirmą pastraipą valstybės narės gali apsvarstyti, ar panaikinti arba sustabdyti draudimą atvykti, nustatytą kartu su sprendimu grąžinti, kuriame buvo nustatytas terminas savanoriškai išvykti, tuomet, kai atitinkamas trečiosios šalies pilietis vykdydamas šį sprendimą išvyko iš šalies. Tačiau Teisingumo Teismas pažymėjo, kad to paties 11 straipsnio 3 dalies trečioje ir ketvirtoje pastraipose Sąjungos teisės aktų leidėjas numatė galimybę valstybėms narėms atskirais atvejais panaikinti draudimą atvykti arba sustabdyti jo vykdymą dėl kitų priežasčių, nei nurodytos šios nuostatos pirmoje pastraipoje, ir minėtose pastraipose nenurodyta, kad trečiosios šalies pilietis, kuriam taikomas draudimas atvykti, turi būti išvykęs iš atitinkamos valstybės narės teritorijos. </w:t>
      </w:r>
      <w:r w:rsidRPr="00F74A35">
        <w:rPr>
          <w:rFonts w:asciiTheme="minorHAnsi" w:eastAsiaTheme="minorEastAsia" w:hAnsiTheme="minorHAnsi" w:cstheme="minorHAnsi"/>
          <w:u w:val="single"/>
          <w:lang w:eastAsia="lt-LT"/>
        </w:rPr>
        <w:t>Pagal Direktyvos 2008/115 3 straipsnio 6 punktą ir 11 straipsnio 3 dalį valstybėms narėms nedraudžiama panaikinti arba sustabdyti draudimą atvykti į šalį tuo atveju, jei sprendimas grąžinti nebuvo įvykdytas ir trečiosios šalies pilietis yra jų teritorijoje</w:t>
      </w:r>
      <w:r w:rsidR="006B4794">
        <w:rPr>
          <w:rFonts w:asciiTheme="minorHAnsi" w:hAnsiTheme="minorHAnsi" w:cstheme="minorHAnsi"/>
        </w:rPr>
        <w:t xml:space="preserve"> (60–61 </w:t>
      </w:r>
      <w:r w:rsidRPr="00F74A35">
        <w:rPr>
          <w:rFonts w:asciiTheme="minorHAnsi" w:hAnsiTheme="minorHAnsi" w:cstheme="minorHAnsi"/>
        </w:rPr>
        <w:t>punktai).</w:t>
      </w: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t xml:space="preserve">Nagrinėdamas aplinkybes, į kurias atsižvelgus būtų galima pripažinti priklausomumo santykį, kuris pagrindinėse bylose galėtų pagrįsti pagal SESV 20 straipsnį suteikiamą išvestinę teisę gyventi šalyje, Teisingumo Teismas nurodė, kad skirtingai nei nepilnamečiai vaikai, ypač jei jie yra mažamečiai, kaip antai Sąjungos piliečiai byloje, kurioje priimtas 2011 m. kovo 8 d. </w:t>
      </w:r>
      <w:r w:rsidR="006B4794">
        <w:rPr>
          <w:rFonts w:asciiTheme="minorHAnsi" w:eastAsia="Times New Roman" w:hAnsiTheme="minorHAnsi" w:cstheme="minorHAnsi"/>
          <w:iCs/>
          <w:lang w:eastAsia="lt-LT"/>
        </w:rPr>
        <w:t>s</w:t>
      </w:r>
      <w:r w:rsidRPr="00F74A35">
        <w:rPr>
          <w:rFonts w:asciiTheme="minorHAnsi" w:eastAsia="Times New Roman" w:hAnsiTheme="minorHAnsi" w:cstheme="minorHAnsi"/>
          <w:iCs/>
          <w:lang w:eastAsia="lt-LT"/>
        </w:rPr>
        <w:t xml:space="preserve">prendimas </w:t>
      </w:r>
      <w:r w:rsidRPr="00F74A35">
        <w:rPr>
          <w:rFonts w:asciiTheme="minorHAnsi" w:eastAsia="Times New Roman" w:hAnsiTheme="minorHAnsi" w:cstheme="minorHAnsi"/>
          <w:i/>
          <w:iCs/>
          <w:lang w:eastAsia="lt-LT"/>
        </w:rPr>
        <w:t>Ruiz Zambrano</w:t>
      </w:r>
      <w:r w:rsidRPr="00F74A35">
        <w:rPr>
          <w:rFonts w:asciiTheme="minorHAnsi" w:eastAsia="Times New Roman" w:hAnsiTheme="minorHAnsi" w:cstheme="minorHAnsi"/>
          <w:iCs/>
          <w:lang w:eastAsia="lt-LT"/>
        </w:rPr>
        <w:t xml:space="preserve"> (C</w:t>
      </w:r>
      <w:r w:rsidRPr="00F74A35">
        <w:rPr>
          <w:rFonts w:asciiTheme="minorHAnsi" w:eastAsia="Times New Roman" w:hAnsiTheme="minorHAnsi" w:cstheme="minorHAnsi"/>
          <w:iCs/>
          <w:lang w:eastAsia="lt-LT"/>
        </w:rPr>
        <w:noBreakHyphen/>
        <w:t xml:space="preserve">34/09, EU:C:2011:124), suaugęs asmuo iš esmės gali gyventi nepriklausomai nuo savo šeimos narių. Todėl Teisingumo Teismas darė išvadą, kad toks priklausomumo santykis tarp dviejų suaugusiųjų tos pačios šeimos narių, dėl kurio pagal SESV 20 straipsnį atsirastų išvestinė teisė gyventi šalyje, gali būti pripažintas tik išimtiniais atvejais, kai, atsižvelgiant į visas svarbias aplinkybes, atitinkamas asmuo niekaip negali būti atskirtas nuo savo šeimos nario, nuo kurio jis priklausomas. Šiuo atveju nė vienoje iš trijų pagrindinių bylų, kurioje nagrinėjami šeimos santykiai tarp suaugusiųjų, iš Teisingumo Teismui pateiktų bylų medžiagos neatrodo, kad egzistuoja toks priklausomumo santykis, kuris galėtų pagrįsti, kad trečiosios šalies piliečiui būtų suteikta išvestinė teisė gyventi šalyje pagal SESV 20 straipsnį. </w:t>
      </w:r>
      <w:r w:rsidRPr="00F74A35">
        <w:rPr>
          <w:rFonts w:asciiTheme="minorHAnsi" w:eastAsia="Times New Roman" w:hAnsiTheme="minorHAnsi" w:cstheme="minorHAnsi"/>
          <w:iCs/>
          <w:u w:val="single"/>
          <w:lang w:eastAsia="lt-LT"/>
        </w:rPr>
        <w:t>Biologinių arba teisinių šeimos santykių tarp nepilnamečio Sąjungos piliečio ir vieno iš jo tėvų, trečiosios šalies piliečio, nepakanka, kad minėtam vienam iš tėvų būtų galima, vadovaujantis SESV 20 straipsniu, pripažinti išvestinę teisę gyventi valstybės narės, kurios pilietis yra nepilnametis vaikas, teritorijoje</w:t>
      </w:r>
      <w:r w:rsidRPr="00F74A35">
        <w:rPr>
          <w:rFonts w:asciiTheme="minorHAnsi" w:eastAsia="Times New Roman" w:hAnsiTheme="minorHAnsi" w:cstheme="minorHAnsi"/>
          <w:iCs/>
          <w:lang w:eastAsia="lt-LT"/>
        </w:rPr>
        <w:t xml:space="preserve"> (63–66, 75 punktai).</w:t>
      </w: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t>Taigi, kai Sąjungos pilietis yra suaugęs pilnametis asmuo, priklausomumo santykis, pagrindžiantis sprendimą atitinkamos trečiosios šalies piliečiui suteikti pagal šį straipsnį išvestinę teisę gyventi šalyje, gali būti pripažįstamas tik išimtiniais atvejais, kai, atsižvelgiant į visas svarbias aplinkybes, atitinkamas asmuo niekaip negali būti atskirtas nuo savo šeimos nario, nuo kurio jis priklauso. O, kai Sąjungos pilietis yra nepilnametis, tokio priklausomumo santykio vertinimas turi būti pagrįstas siekiu užtikrinti vaiko interesą, kai atsižvelgiama į visas nagrinėjamo atvejo aplinkybes, visų pirma, į vaiko amžių, fizinį ir emocinį išsivystymą, emocinio ryšio su kiekvienu iš tėvų laipsnį ir grėsmę, kurią išsiskyrimas su vienu iš tėvų, trečiosios šalies piliečiu, keltų šio vaiko raidai; siekiant įrodyti tokį priklausomumo santykį, nepakanka biologinių arba teisinių šeimos santykių su šiuo trečiosios šalies piliečiu ir nebūtina, kad jis gyventų kartu su vaiku (76 punktas).</w:t>
      </w: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t>Priklausomumo santykio atsiradimo momento reikšmės aspektu Teisingumo Teismas nurodė, kad nesvarbu, jog priklausomumo santykis, kuriuo remiasi trečiosios šalies pilietis, grįsdamas prašymą išduoti leidimą gyventi šalyje šeimos susijungimo tikslu, atsirado po to, kai dėl jo buvo priimtas sprendimas uždrausti atvykti į šalį (81 punktas).</w:t>
      </w: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lastRenderedPageBreak/>
        <w:t>Nagrinėdamas klausimą, ar draudimas atvykti į šalį nustatytas galutiniu sprendimu Teisingumo Teismas nurodė, kad siekiant užtikrinti SESV 20 straipsnio veiksmingumą, draudimą atvykti reikia panaikinti arba sustabdyti, net kai jis tapo galutinis, jei tarp minėto trečiosios šalies piliečio ir jo šeimos nario, Sąjungos piliečio, yra toks priklausomumo santykis, kuriuo galima pateisinti išvestinės teisės gyventi atitinkamos valstybės narės teritorijoje suteikimą pagal šį 20 straipsnį. Taigi buvo padaryta išvada, kad SESV 20 straipsnis turi būti aiškinamas taip, kad nesvarbu, jog sprendimas uždrausti trečiosios šalies piliečiui atvykti į šalį yra galutinis tuo momentu, kai šis pateikia prašymą išduoti leidimą gyventi šalyje šeimos susijungimo tikslu (83–84 punktai).</w:t>
      </w: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t>Pasisakydamas dėl</w:t>
      </w:r>
      <w:r w:rsidRPr="00F74A35">
        <w:rPr>
          <w:rFonts w:asciiTheme="minorHAnsi" w:hAnsiTheme="minorHAnsi" w:cstheme="minorHAnsi"/>
        </w:rPr>
        <w:t xml:space="preserve"> </w:t>
      </w:r>
      <w:r w:rsidRPr="00F74A35">
        <w:rPr>
          <w:rFonts w:asciiTheme="minorHAnsi" w:eastAsia="Times New Roman" w:hAnsiTheme="minorHAnsi" w:cstheme="minorHAnsi"/>
          <w:iCs/>
          <w:lang w:eastAsia="lt-LT"/>
        </w:rPr>
        <w:t xml:space="preserve">draudimo atvykti į šalį nustatymo motyvų Teisingumo teismas pirmiausia pažymėjo, kad pagal Direktyvos 2008/115 11 straipsnio 1 dalį valstybės narės privalo priimti sprendimą uždrausti atvykti į šalį, kai trečiosios šalies pilietis, dėl kurio buvo priimtas sprendimas grąžinti, nevykdė savo prievolės grįžti arba kai nebuvo suteiktas laikotarpis savanoriškai išvykti – taip gali būti minėtos direktyvos 7 straipsnio 4 dalyje numatytu atveju, kai atitinkamas asmuo kelia pavojų viešajai tvarkai, visuomenės ar nacionaliniam saugumui. Kiek tai susiję su prievolės grįžti neįvykdymu, Teisingumo Teismas nurodė, kad nėra reikšminga tai, jog draudimas atvykti į šalį buvo nustatytas remiantis šiuo motyvu. Iš tiesų, valstybė narė negali atsisakyti nagrinėti trečiosios šalies piliečio jos teritorijoje pateikto prašymo išduoti leidimą gyventi šalyje šeimos susijungimo tikslu, remdamasi vien tuo, kad jis pažeidė prievolę grįžti ir todėl neteisėtai gyvena minėtoje teritorijoje, pirmiau neišnagrinėjusi, ar tarp šio trečiosios šalies piliečio ir Sąjungos piliečio, jo šeimos nario, nėra tokio priklausomumo ryšio, dėl kurio reikia pripažinti trečiosios šalies piliečio išvestinę teisę gyventi šalyje pagal SESV 20 straipsnį. Viena vertus, trečiosios šalies piliečiui, Sąjungos piliečio šeimos nariui, pagal SESV 20 straipsnį pripažįstama teisė gyventi priimančiojoje valstybėje narėje tiesiogiai kyla iš šio straipsnio, ir nereikalaujama, kad trečiosios šalies pilietis jau turėtų kitą leidimo gyventi atitinkamos valstybės narės teritorijoje dokumentą, ir, kita vertus, ši </w:t>
      </w:r>
      <w:r w:rsidRPr="00F74A35">
        <w:rPr>
          <w:rFonts w:asciiTheme="minorHAnsi" w:eastAsia="Times New Roman" w:hAnsiTheme="minorHAnsi" w:cstheme="minorHAnsi"/>
          <w:iCs/>
          <w:u w:val="single"/>
          <w:lang w:eastAsia="lt-LT"/>
        </w:rPr>
        <w:t>teisė gyventi šalyje trečiosios šalies piliečiui turi būti pripažįstama nuo priklausomumo santykio tarp pastarojo ir Sąjungos piliečio atsiradimo, todėl nuo šio momento ir tol, kol šis priklausomumo santykis tęsiasi, trečiosios šalies pilietis nebegali būti laikomas neteisėtai gyvenančiu atitinkamos valstybės narės teritorijoje, kaip tai suprantama pagal Direktyvos 2008/115 3 straipsnio 2 punktą</w:t>
      </w:r>
      <w:r w:rsidRPr="00F74A35">
        <w:rPr>
          <w:rFonts w:asciiTheme="minorHAnsi" w:eastAsia="Times New Roman" w:hAnsiTheme="minorHAnsi" w:cstheme="minorHAnsi"/>
          <w:iCs/>
          <w:lang w:eastAsia="lt-LT"/>
        </w:rPr>
        <w:t xml:space="preserve"> (86–89 punktai).</w:t>
      </w: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t xml:space="preserve">Kiek tai susiję su aplinkybe, kad draudimas atvykti į šalį nustatytas dėl viešosios tvarkos pagrindų, Teisingumo Teismas sprendė, kad jeigu sprendimas nesuteikti teisės gyventi šalyje pagrįstas tikra, esama ir pakankamai rimta grėsme viešajai tvarkai ar visuomenės saugumui, atsižvelgiant, be kita ko, į trečiosios šalies piliečio padarytas nusikalstamas veikas, toks sprendimas atitinka Sąjungos teisę, net jei dėl jo kiltų jo šeimos nario, Sąjungos piliečio, prievolė išvykti iš Sąjungos teritorijos. Vis dėlto šios išvados negalima daryti automatiškai, remiantis vien suinteresuotojo asmens teistumu. Atsižvelgiant į atvejį, tokią išvadą galima daryti tik konkrečiai įvertinus visas esamas ir reikšmingas bylos aplinkybes, atsižvelgus į proporcingumo principą, vaiko interesus ir pagrindines teises, kurių laikymąsi užtikrina Teisingumo Teismas . Atliekant tokį vertinimą, be kita ko, reikia atsižvelgti į atitinkamo asmens elgesį, jo gyvenimo atitinkamos valstybės narės teritorijoje trukmę ir teisėtą pobūdį, padarytos nusikalstamos veikos pobūdį ir sunkumą, suinteresuotojo asmens esamą pavojingumą visuomenei, vaikų amžių ir sveikatos būklę, taip pat jų šeiminę ir materialinę padėtį. Tačiau iš sprendimo dėl prašymo priimti prejudicinį sprendimą matyti, kad pagal pagrindinėje byloje nagrinėjamą nacionalinę praktiką nereikalaujama, kad kompetentinga nacionalinė institucija konkrečiai įvertintų visas reikšmingas aplinkybes prieš atmesdama tokiomis aplinkybėmis, kokios susiklostė pagrindinėje byloje, pateiktą prašymą išduoti leidimą gyventi šalyje šeimos susijungimo tikslu. Be to, prašymą priimti prejudicinį sprendimą pateikęs teismas pažymėjo, kad iš jo nagrinėjamų ginčijamų sprendimų nėra aišku, ar toks konkretus vertinimas buvo atliktas dėl kiekvieno iš pareiškėjų pagrindinėse bylose priimant sprendimą grąžinti ir nustatant draudimą atvykti. Bet kuriuo atveju, net ir darant prielaidą, kad toks vertinimas buvo atliktas, </w:t>
      </w:r>
      <w:r w:rsidRPr="00F74A35">
        <w:rPr>
          <w:rFonts w:asciiTheme="minorHAnsi" w:eastAsia="Times New Roman" w:hAnsiTheme="minorHAnsi" w:cstheme="minorHAnsi"/>
          <w:iCs/>
          <w:u w:val="single"/>
          <w:lang w:eastAsia="lt-LT"/>
        </w:rPr>
        <w:t>kai kompetentinga nacionalinė institucija numato priimti sprendimą atmesti trečiosios šalies piliečio pateiktą prašymą išduoti leidimą gyventi šalyje šeimos susijungimo tikslu, ji dar turi išnagrinėti, ar nuo sprendimo grąžinti priėmimo faktinės aplinkybės nepasikeitė taip, kad nebegalima atsisakyti suteikti jam teisės gyventi šalyje</w:t>
      </w:r>
      <w:r w:rsidRPr="00F74A35">
        <w:rPr>
          <w:rFonts w:asciiTheme="minorHAnsi" w:eastAsia="Times New Roman" w:hAnsiTheme="minorHAnsi" w:cstheme="minorHAnsi"/>
          <w:iCs/>
          <w:lang w:eastAsia="lt-LT"/>
        </w:rPr>
        <w:t xml:space="preserve"> (92–96 punktai). </w:t>
      </w:r>
    </w:p>
    <w:p w:rsidR="00EE45BB" w:rsidRPr="00F74A35" w:rsidRDefault="00EE45BB" w:rsidP="00EE45BB">
      <w:pPr>
        <w:ind w:firstLine="567"/>
        <w:rPr>
          <w:rFonts w:asciiTheme="minorHAnsi" w:eastAsia="Times New Roman" w:hAnsiTheme="minorHAnsi" w:cstheme="minorHAnsi"/>
          <w:iCs/>
          <w:lang w:eastAsia="lt-LT"/>
        </w:rPr>
      </w:pPr>
    </w:p>
    <w:p w:rsidR="00EE45BB" w:rsidRPr="00C527C1" w:rsidRDefault="00EE45BB" w:rsidP="00C527C1">
      <w:pPr>
        <w:pStyle w:val="Antrat3"/>
        <w:ind w:firstLine="567"/>
        <w:rPr>
          <w:rFonts w:eastAsia="Times New Roman" w:cstheme="minorHAnsi"/>
          <w:iCs/>
          <w:lang w:eastAsia="lt-LT"/>
        </w:rPr>
      </w:pPr>
      <w:bookmarkStart w:id="8" w:name="_Toc517273016"/>
      <w:r w:rsidRPr="00C527C1">
        <w:rPr>
          <w:rFonts w:eastAsia="Times New Roman" w:cstheme="minorHAnsi"/>
          <w:iCs/>
          <w:lang w:eastAsia="lt-LT"/>
        </w:rPr>
        <w:t>Dėl atvejų, kai trečiosios šalies pilietis negali pasinaudoti išvestine teise gyventi šalyje pagal SESV 20 straipsnį</w:t>
      </w:r>
      <w:bookmarkEnd w:id="8"/>
    </w:p>
    <w:p w:rsidR="00C527C1" w:rsidRPr="00F74A35" w:rsidRDefault="00C527C1" w:rsidP="00EE45BB">
      <w:pPr>
        <w:ind w:firstLine="567"/>
        <w:rPr>
          <w:rFonts w:asciiTheme="minorHAnsi" w:eastAsia="Times New Roman" w:hAnsiTheme="minorHAnsi" w:cstheme="minorHAnsi"/>
          <w:b/>
          <w:iCs/>
          <w:lang w:eastAsia="lt-LT"/>
        </w:rPr>
      </w:pP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lastRenderedPageBreak/>
        <w:t>Savo trečiuoju klausimu prašymą priimti prejudicinį sprendimą pateikęs teismas iš esmės siekė išsiaiškinti, ar Direktyvos 2008/115 5 straipsnis ir Chartijos 7 ir 24 straipsniai turi būti aiškinami kaip draudžiantys nacionalinę praktiką, pagal kurią dėl trečiosios šalies piliečio, dėl kurio jau buvo priimtas sprendimas grąžinti – ir jis tebegalioja – ir nustatytas draudimas atvykti į šalį, priimamas sprendimas grąžinti, neatsižvelgiant į su šeimos gyvenimu susijusias aplinkybes ir, be kita ko, nepilnamečio vaiko interesus, kurie nurodomi prašyme išduoti leidimą gyventi šalyje šeimos susijungimo tikslu, pateiktame po to, kai nustatytas draudimas atvykti į šalį (98 punktas).</w:t>
      </w:r>
    </w:p>
    <w:p w:rsidR="00EE45BB" w:rsidRPr="00F74A35" w:rsidRDefault="00EE45BB" w:rsidP="00EE45BB">
      <w:pPr>
        <w:ind w:firstLine="567"/>
        <w:rPr>
          <w:rFonts w:asciiTheme="minorHAnsi" w:eastAsia="Times New Roman" w:hAnsiTheme="minorHAnsi" w:cstheme="minorHAnsi"/>
          <w:iCs/>
          <w:lang w:eastAsia="lt-LT"/>
        </w:rPr>
      </w:pPr>
      <w:r w:rsidRPr="00F74A35">
        <w:rPr>
          <w:rFonts w:asciiTheme="minorHAnsi" w:eastAsia="Times New Roman" w:hAnsiTheme="minorHAnsi" w:cstheme="minorHAnsi"/>
          <w:iCs/>
          <w:lang w:eastAsia="lt-LT"/>
        </w:rPr>
        <w:t xml:space="preserve">Teisingumo Teismas sprendė, kad jeigu kompetentinga nacionalinė institucija ketina priimti sprendimą grąžinti, ji būtinai turi laikytis Direktyvos 2008/115 5 straipsnyje nustatytų įpareigojimų ir šiuo klausimu išklausyti suinteresuotąjį asmenį. Šiuo atveju pastarajam tenka pareiga per apklausą bendradarbiauti su kompetentinga nacionaline institucija, kad jai būtų pateikta visa reikšminga informacija apie jo asmeninę ir šeiminę padėtį, visų pirma informacija, dėl kurios būtų galima pateisinti sprendimo grąžinti nepriėmimą. Taigi </w:t>
      </w:r>
      <w:r w:rsidRPr="00F74A35">
        <w:rPr>
          <w:rFonts w:asciiTheme="minorHAnsi" w:eastAsia="Times New Roman" w:hAnsiTheme="minorHAnsi" w:cstheme="minorHAnsi"/>
          <w:iCs/>
          <w:u w:val="single"/>
          <w:lang w:eastAsia="lt-LT"/>
        </w:rPr>
        <w:t>pagal Direktyvos 2008/115 5 straipsnį draudžiama, kad valstybė narė, neatsižvelgdama į reikšmingas atitinkamo trečiosios šalies piliečio šeimos gyvenimo aplinkybes, kurias trečiosios šalies pilietis nurodė pagrįsdamas prašymą išduoti leidimą gyventi šalyje šeimos susijungimo tikslu ir ginčydamas sprendimą grąžinti, priimtų tokį sprendimą grąžinti, net jeigu dėl tokio piliečio jau buvo priimtas sprendimas grąžinti ir nustatytas draudimas atvykti į šalį</w:t>
      </w:r>
      <w:r w:rsidRPr="00F74A35">
        <w:rPr>
          <w:rFonts w:asciiTheme="minorHAnsi" w:eastAsia="Times New Roman" w:hAnsiTheme="minorHAnsi" w:cstheme="minorHAnsi"/>
          <w:iCs/>
          <w:lang w:eastAsia="lt-LT"/>
        </w:rPr>
        <w:t xml:space="preserve">. Vis dėlto suinteresuotasis asmuo privalo lojaliai bendradarbiauti su kompetentinga nacionaline institucija. Laikydamasis šios lojalaus bendradarbiavimo pareigos jis turi laiku informuoti apie visus reikšmingus jo šeimos gyvenimo pokyčius. Iš tiesų, </w:t>
      </w:r>
      <w:r w:rsidRPr="00F74A35">
        <w:rPr>
          <w:rFonts w:asciiTheme="minorHAnsi" w:eastAsia="Times New Roman" w:hAnsiTheme="minorHAnsi" w:cstheme="minorHAnsi"/>
          <w:iCs/>
          <w:u w:val="single"/>
          <w:lang w:eastAsia="lt-LT"/>
        </w:rPr>
        <w:t>trečiosios šalies piliečio teise, kad prieš priimant sprendimą grąžinti būtų atsižvelgta į jo šeiminę padėtį, negali būti naudojamasi kaip priemone administracinei procedūrai atnaujinti arba pratęsti neribotą skaičių kartų</w:t>
      </w:r>
      <w:r w:rsidRPr="00F74A35">
        <w:rPr>
          <w:rFonts w:asciiTheme="minorHAnsi" w:eastAsia="Times New Roman" w:hAnsiTheme="minorHAnsi" w:cstheme="minorHAnsi"/>
          <w:iCs/>
          <w:lang w:eastAsia="lt-LT"/>
        </w:rPr>
        <w:t>.</w:t>
      </w:r>
      <w:bookmarkStart w:id="9" w:name="point106"/>
      <w:r w:rsidRPr="00F74A35">
        <w:rPr>
          <w:rFonts w:asciiTheme="minorHAnsi" w:eastAsia="Times New Roman" w:hAnsiTheme="minorHAnsi" w:cstheme="minorHAnsi"/>
          <w:iCs/>
          <w:lang w:eastAsia="lt-LT"/>
        </w:rPr>
        <w:t xml:space="preserve"> </w:t>
      </w:r>
      <w:bookmarkEnd w:id="9"/>
      <w:r w:rsidRPr="00F74A35">
        <w:rPr>
          <w:rFonts w:asciiTheme="minorHAnsi" w:eastAsia="Times New Roman" w:hAnsiTheme="minorHAnsi" w:cstheme="minorHAnsi"/>
          <w:iCs/>
          <w:lang w:eastAsia="lt-LT"/>
        </w:rPr>
        <w:t>Taigi, kai, kaip pagrindinėse bylose, jau buvo priimtas sprendimas grąžinti trečiosios šalies pilietį ir per šią pirmą procedūrą jis turėjo galimybę remtis jau egzistavusiomis su savo šeimos gyvenimu susijusiomis aplinkybėmis, kuriomis jis grindžia prašymą išduoti leidimą gyventi šalyje šeimos susijungimo tikslu, kompetentingai nacionalinei institucijai negali būti priekaištaujama dėl to, kad per vėlesnę grąžinimo procedūrą ji neatsižvelgia į minėtas aplinkybes, kuriomis suinteresuotasis asmuo turėjo remtis ankstesnėje procedūroje (104–107 punktai).</w:t>
      </w:r>
    </w:p>
    <w:p w:rsidR="00EE45BB" w:rsidRPr="00F74A35" w:rsidRDefault="00EE45BB" w:rsidP="00EE45BB">
      <w:pPr>
        <w:shd w:val="clear" w:color="auto" w:fill="FFFFFF"/>
        <w:ind w:firstLine="567"/>
        <w:rPr>
          <w:rFonts w:asciiTheme="minorHAnsi" w:hAnsiTheme="minorHAnsi" w:cstheme="minorHAnsi"/>
        </w:rPr>
      </w:pPr>
      <w:r w:rsidRPr="00F74A35">
        <w:rPr>
          <w:rFonts w:asciiTheme="minorHAnsi" w:eastAsia="Times New Roman" w:hAnsiTheme="minorHAnsi" w:cstheme="minorHAnsi"/>
          <w:lang w:eastAsia="lt-LT"/>
        </w:rPr>
        <w:t xml:space="preserve">Teisingumo Teismas, atsižvelgęs į atsakymą į pirmuosius tris klausimus, nusprendė, kad </w:t>
      </w:r>
      <w:r w:rsidRPr="00F74A35">
        <w:rPr>
          <w:rFonts w:asciiTheme="minorHAnsi" w:hAnsiTheme="minorHAnsi" w:cstheme="minorHAnsi"/>
        </w:rPr>
        <w:t>į ketvirtąjį klausimą atsakyti nereikia.</w:t>
      </w:r>
    </w:p>
    <w:p w:rsidR="00EE45BB" w:rsidRPr="00F74A35" w:rsidRDefault="00EE45BB" w:rsidP="00EE45BB">
      <w:pPr>
        <w:shd w:val="clear" w:color="auto" w:fill="FFFFFF"/>
        <w:ind w:firstLine="567"/>
        <w:rPr>
          <w:rFonts w:asciiTheme="minorHAnsi" w:hAnsiTheme="minorHAnsi" w:cstheme="minorHAnsi"/>
        </w:rPr>
      </w:pPr>
    </w:p>
    <w:p w:rsidR="00EE45BB" w:rsidRPr="00F74A35" w:rsidRDefault="00EE45BB" w:rsidP="00EE45BB">
      <w:pPr>
        <w:shd w:val="clear" w:color="auto" w:fill="FFFFFF"/>
        <w:ind w:firstLine="567"/>
        <w:rPr>
          <w:rFonts w:asciiTheme="minorHAnsi" w:hAnsiTheme="minorHAnsi" w:cstheme="minorHAnsi"/>
          <w:b/>
        </w:rPr>
      </w:pPr>
      <w:r w:rsidRPr="00F74A35">
        <w:rPr>
          <w:rFonts w:asciiTheme="minorHAnsi" w:hAnsiTheme="minorHAnsi" w:cstheme="minorHAnsi"/>
          <w:b/>
        </w:rPr>
        <w:t>Remdamasis šiais motyvais, Teisingumo Teismas (didžioji kolegija) nusprendė:</w:t>
      </w:r>
    </w:p>
    <w:p w:rsidR="005C1696" w:rsidRDefault="005C1696" w:rsidP="00EE45BB">
      <w:pPr>
        <w:ind w:firstLine="567"/>
        <w:rPr>
          <w:rFonts w:asciiTheme="minorHAnsi" w:eastAsia="Times New Roman" w:hAnsiTheme="minorHAnsi" w:cstheme="minorHAnsi"/>
          <w:bCs/>
          <w:lang w:eastAsia="lt-LT"/>
        </w:rPr>
      </w:pP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t>1. 2008 m. gruodžio 16 d. Europos Parlamento ir Tarybos direktyva 2008/115/EB dėl bendrų nelegaliai esančių trečiųjų šalių piliečių grąžinimo standartų ir tvarkos valstybėse narėse, būtent jos 5 ir 11 straipsniai, turi būti aiškinama kaip nedraudžianti valstybės narės praktikos, kai prašymas išduoti leidimą gyventi šalyje šeimos susijungimo tikslu, pateiktas jos teritorijoje trečiosios šalies piliečio, šios valstybės narės pilietybę turinčio ir teise laisvai judėti nepasinaudojusio Sąjungos piliečio šeimos nario, nenagrinėjamas vien tuo pagrindu, kad šiam trečiosios šalies piliečiui taikomas draudimas atvykti į šalį.</w:t>
      </w: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t>2. SESV 20 straipsnis turi būti aiškinamas taip:</w:t>
      </w: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t>– jis draudžia valstybės narės praktiką, kai toks prašymas nenagrinėjamas vien tokiu pagrindu, neatsižvelgiant į tai, ar tarp šių Sąjungos piliečio ir trečiosios šalies piliečio yra toks priklausomumo santykis, kad, atsisakius pastarajam suteikti išvestinę teisę gyventi šalyje, Sąjungos pilietis iš tikrųjų būtų priverstas išvykti iš Sąjungos teritorijos ir taip netektų galimybės veiksmingai naudotis pagrindinėmis jo statuso suteikiamomis teisėmis,</w:t>
      </w: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t>– kai Sąjungos pilietis yra pilnametis asmuo, priklausomumo santykis, pagrindžiantis sprendimą atitinkamos trečiosios šalies piliečiui suteikti pagal šį straipsnį išvestinę teisę gyventi šalyje, gali būti pripažįstamas tik išimtiniais atvejais, kai, atsižvelgiant į visas svarbias aplinkybes, atitinkamas asmuo niekaip negali būti atskirtas nuo savo šeimos nario, nuo kurio jis priklauso,</w:t>
      </w: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t>– kai Sąjungos pilietis yra nepilnametis, tokio priklausomumo santykio vertinimas turi būti pagrįstas siekiu užtikrinti vaiko interesą, kai atsižvelgiama į visas nagrinėjamo atvejo aplinkybes, be kita ko, į vaiko amžių, fizinį ir emocinį išsivystymą, emocinio ryšio su kiekvienu iš tėvų laipsnį ir grėsmę, kurią išsiskyrimas su vienu iš tėvų, trečiosios šalies piliečiu, sukeltų šio vaiko raidai; siekiant įrodyti tokį priklausomumo santykį, nepakanka biologinių arba teisinių šeimos santykių su šiuo trečiosios šalies piliečiu ir nebūtina, kad jis gyventų kartu su vaiku,</w:t>
      </w: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lastRenderedPageBreak/>
        <w:t>– nesvarbu, jog priklausomumo santykis, kuriuo remiasi trečiosios šalies pilietis, grįsdamas prašymą išduoti leidimą gyventi šalyje šeimos susijungimo tikslais, atsirado jau priėmus dėl jo sprendimą uždrausti atvykti į šalį,</w:t>
      </w: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t>– nesvarbu, jog sprendimas uždrausti trečiosios šalies piliečiui atvykti į šalį yra galutinis tuo momentu, kai šis pateikia prašymą išduoti leidimą gyventi šalyje šeimos susijungimo tikslais;</w:t>
      </w:r>
    </w:p>
    <w:p w:rsidR="00EE45BB" w:rsidRPr="00F74A35" w:rsidRDefault="00EE45BB" w:rsidP="00EE45BB">
      <w:pPr>
        <w:ind w:firstLine="567"/>
        <w:rPr>
          <w:rFonts w:asciiTheme="minorHAnsi" w:eastAsia="Times New Roman" w:hAnsiTheme="minorHAnsi" w:cstheme="minorHAnsi"/>
          <w:bCs/>
          <w:lang w:eastAsia="lt-LT"/>
        </w:rPr>
      </w:pPr>
      <w:r w:rsidRPr="00F74A35">
        <w:rPr>
          <w:rFonts w:asciiTheme="minorHAnsi" w:eastAsia="Times New Roman" w:hAnsiTheme="minorHAnsi" w:cstheme="minorHAnsi"/>
          <w:bCs/>
          <w:lang w:eastAsia="lt-LT"/>
        </w:rPr>
        <w:t>– nesvarbu, kad sprendimas uždrausti trečiosios šalies piliečiui, pateikusiam prašymą išduoti leidimą gyventi šalyje šeimos susijungimo tikslu, atvykti į šalį grindžiamas tuo, kad jis neįvykdė prievolės grįžti; kai toks sprendimas buvo pagrįstas viešosios tvarkos pagrindais, jais remtis priimant sprendimą nesuteikti šiam trečiosios šalies piliečiui pagal šį straipsnį išvestinės teisės gyventi šalyje galima tik jeigu, konkrečiai įvertinus visas bylos aplinkybes, atsižvelgus į proporcingumo principą, atitinkamo vaiko arba vaikų interesus ir pagrindines teises, matyti, kad suinteresuotasis asmuo kelia tikrą, esamą ir didelę grėsmę viešajai tvarkai.</w:t>
      </w:r>
    </w:p>
    <w:p w:rsidR="00EE45BB" w:rsidRPr="00F74A35" w:rsidRDefault="00EE45BB" w:rsidP="00EE45BB">
      <w:pPr>
        <w:ind w:firstLine="567"/>
        <w:rPr>
          <w:rFonts w:asciiTheme="minorHAnsi" w:hAnsiTheme="minorHAnsi" w:cstheme="minorHAnsi"/>
        </w:rPr>
      </w:pPr>
      <w:r w:rsidRPr="00F74A35">
        <w:rPr>
          <w:rFonts w:asciiTheme="minorHAnsi" w:eastAsia="Times New Roman" w:hAnsiTheme="minorHAnsi" w:cstheme="minorHAnsi"/>
          <w:bCs/>
          <w:lang w:eastAsia="lt-LT"/>
        </w:rPr>
        <w:t>3. Direktyvos 2008/115 5 straipsnis turi būti aiškinamas kaip draudžiantis nacionalinę praktiką, pagal kurią dėl trečiosios šalies piliečio, dėl kurio jau buvo priimtas sprendimas grąžinti – ir jis tebegalioja – ir nustatytas draudimas atvykti į šalį, sprendimas grąžinti priimamas neatsižvelgiant į su jo šeimos gyvenimu susijusias aplinkybes, visų pirma nepilnamečių vaikų interesus, nurodytas prašyme išduoti leidimą gyventi šalyje šeimos susijungimo tikslu, pateikiamame po to, kai jau nustatytas draudimas atvykti į šalį, išskyrus atvejį, kai suinteresuotasis asmuo galėjo šiomis aplinkybėmis remtis anksčiau.</w:t>
      </w:r>
    </w:p>
    <w:p w:rsidR="00EE45BB" w:rsidRDefault="00EF32EC" w:rsidP="00EE45BB">
      <w:pPr>
        <w:ind w:firstLine="567"/>
        <w:rPr>
          <w:rStyle w:val="Hipersaitas"/>
          <w:rFonts w:asciiTheme="minorHAnsi" w:hAnsiTheme="minorHAnsi" w:cstheme="minorHAnsi"/>
        </w:rPr>
      </w:pPr>
      <w:hyperlink r:id="rId12" w:history="1">
        <w:r w:rsidR="00EE45BB" w:rsidRPr="00F74A35">
          <w:rPr>
            <w:rStyle w:val="Hipersaitas"/>
            <w:rFonts w:asciiTheme="minorHAnsi" w:hAnsiTheme="minorHAnsi" w:cstheme="minorHAnsi"/>
          </w:rPr>
          <w:t>Prieiga internete</w:t>
        </w:r>
      </w:hyperlink>
    </w:p>
    <w:p w:rsidR="00C527C1" w:rsidRPr="00F74A35" w:rsidRDefault="00C527C1" w:rsidP="00EE45BB">
      <w:pPr>
        <w:ind w:firstLine="567"/>
        <w:rPr>
          <w:rFonts w:asciiTheme="minorHAnsi" w:hAnsiTheme="minorHAnsi" w:cstheme="minorHAnsi"/>
        </w:rPr>
      </w:pPr>
    </w:p>
    <w:p w:rsidR="00EE45BB" w:rsidRPr="00C527C1" w:rsidRDefault="00EE45BB" w:rsidP="00C527C1">
      <w:pPr>
        <w:pStyle w:val="Antrat1"/>
        <w:spacing w:before="0"/>
        <w:rPr>
          <w:rFonts w:cstheme="minorHAnsi"/>
          <w:bCs/>
          <w:iCs/>
          <w:color w:val="auto"/>
          <w:lang w:eastAsia="lt-LT"/>
        </w:rPr>
      </w:pPr>
      <w:bookmarkStart w:id="10" w:name="_Toc517273017"/>
      <w:r w:rsidRPr="00C527C1">
        <w:rPr>
          <w:rFonts w:cstheme="minorHAnsi"/>
          <w:bCs/>
          <w:iCs/>
          <w:color w:val="auto"/>
          <w:lang w:eastAsia="lt-LT"/>
        </w:rPr>
        <w:t xml:space="preserve">2018 m. gegužės 2 d. </w:t>
      </w:r>
      <w:r w:rsidR="006B4794">
        <w:rPr>
          <w:rFonts w:cstheme="minorHAnsi"/>
          <w:bCs/>
          <w:iCs/>
          <w:color w:val="auto"/>
          <w:lang w:eastAsia="lt-LT"/>
        </w:rPr>
        <w:t xml:space="preserve">didžiosios kolegijos </w:t>
      </w:r>
      <w:r w:rsidRPr="00C527C1">
        <w:rPr>
          <w:rFonts w:cstheme="minorHAnsi"/>
          <w:bCs/>
          <w:iCs/>
          <w:color w:val="auto"/>
          <w:lang w:eastAsia="lt-LT"/>
        </w:rPr>
        <w:t>prejudicinis sprendimas sujungtose bylose C</w:t>
      </w:r>
      <w:r w:rsidRPr="00C527C1">
        <w:rPr>
          <w:rFonts w:cstheme="minorHAnsi"/>
          <w:bCs/>
          <w:iCs/>
          <w:color w:val="auto"/>
          <w:lang w:eastAsia="lt-LT"/>
        </w:rPr>
        <w:noBreakHyphen/>
        <w:t>331/16 ir C</w:t>
      </w:r>
      <w:r w:rsidRPr="00C527C1">
        <w:rPr>
          <w:rFonts w:cstheme="minorHAnsi"/>
          <w:bCs/>
          <w:iCs/>
          <w:color w:val="auto"/>
          <w:lang w:eastAsia="lt-LT"/>
        </w:rPr>
        <w:noBreakHyphen/>
        <w:t>366/16</w:t>
      </w:r>
      <w:bookmarkEnd w:id="10"/>
      <w:r w:rsidRPr="00C527C1">
        <w:rPr>
          <w:rFonts w:cstheme="minorHAnsi"/>
          <w:bCs/>
          <w:iCs/>
          <w:color w:val="auto"/>
          <w:lang w:eastAsia="lt-LT"/>
        </w:rPr>
        <w:t xml:space="preserve"> </w:t>
      </w:r>
    </w:p>
    <w:p w:rsidR="00EE45BB" w:rsidRPr="00F74A35" w:rsidRDefault="00EE45BB" w:rsidP="00EE45BB">
      <w:pPr>
        <w:ind w:firstLine="567"/>
        <w:jc w:val="center"/>
        <w:rPr>
          <w:rFonts w:asciiTheme="minorHAnsi" w:hAnsiTheme="minorHAnsi" w:cstheme="minorHAnsi"/>
          <w:b/>
          <w:bCs/>
          <w:i/>
          <w:iCs/>
          <w:lang w:eastAsia="lt-LT"/>
        </w:rPr>
      </w:pPr>
      <w:r w:rsidRPr="00F74A35">
        <w:rPr>
          <w:rFonts w:asciiTheme="minorHAnsi" w:hAnsiTheme="minorHAnsi" w:cstheme="minorHAnsi"/>
          <w:b/>
          <w:bCs/>
          <w:i/>
          <w:iCs/>
          <w:lang w:eastAsia="lt-LT"/>
        </w:rPr>
        <w:t>K. prieš Staatssecretaris van Veiligheid en Justitie ir H. F. prieš Belgische Staat</w:t>
      </w:r>
    </w:p>
    <w:p w:rsidR="00EE45BB" w:rsidRPr="00F74A35" w:rsidRDefault="00EE45BB" w:rsidP="00EE45BB">
      <w:pPr>
        <w:ind w:firstLine="567"/>
        <w:rPr>
          <w:rFonts w:asciiTheme="minorHAnsi" w:hAnsiTheme="minorHAnsi" w:cstheme="minorHAnsi"/>
          <w:b/>
          <w:bCs/>
          <w:iCs/>
          <w:lang w:eastAsia="lt-LT"/>
        </w:rPr>
      </w:pP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Prašymai priimti prejudicinį sprendimą pateikti dėl 2004 m. balandžio 29 d. Europos Parlamento ir Tarybos direktyvos 2004/38/EB dėl Sąjungos piliečių ir jų šeimos narių teisės laisvai judėti ir gyventi valstybių narių teritorijoje, iš dalies keičiančios Reglamentą (EEB) Nr. 1612/68 ir panaikinančios direktyvas 64/221/EEB, 68/360/EEB, 72/194/EEB, 73/148/EEB, 75/34/EEB, 75/35/EEB, 90/364/EEB, 90/365/EEB ir 93/96/EEB, 27 straipsnio 2 dalies antros pastraipos, 28 straipsnio 1 dalies ir 28 straipsnio 3 dalies a punkto išaiškinimo.</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Byloje C-331/16 pareiškėjas turi dvigubą – Kroatijos bei Bosnijos ir Hercegovinos pilietybę. 2001 m. sausio 21 d. jis atvyko į Nyderlandus lydimas sutuoktinės ir nepilnamečio sūnaus. Kaip nurodo prašymą priimti prejudicinį sprendimą pateikęs teismas, nuo tada pareiškėjas nepertraukiamai gyveno Nyderlanduose. 2006 m. balandžio 27 d. suinteresuotojo asmens žmona pagimdė jų antrąjį sūnų. Pareiškėjas du kartus teikė prašymą išduoti leidimą laikinai gyventi šalyje kaip prieglobsčio prašytojui, bet prašymai buvo atmesti ir buvo nustatytas draudimas dešimt metų jam atvykti į Nyderlandų teritoriją. Kroatijos Respublikai įstojus į Europos Sąjungą, pareiškėjas paprašė valstybės sekretoriaus panaikinti jam taikomą draudimą atvykti į šalį, bet išnagrinėjus šį prašymą pareiškėjas buvo pripažintas nepageidaujamu Nyderlandų teritorijoje. Buvo nurodyta, kad pareiškėjas kaltas dėl veiksmų, kurie priskirtini prie Ženevos konvencijos 1 straipsnio F skirsnio a punkto, t. y. kad jis žinojo apie specialiųjų Bosnijos kariuomenės dalinių padarytus karo nusikaltimus ir nusikaltimus žmoniškumui ir pats asmeniškai dalyvavo juos vykdant. Valstybės sekretorius taip pat pabrėžė, kad pareiškėjas, būdamas Nyderlandų teritorijoje, kenkia Nyderlandų Karalystės tarptautiniams santykiams ir kad nereikia leisti, jog ši valstybė narė taptų priimančiąja šalimi asmenims, dėl kurių yra rimtų priežasčių manyti, kad jie yra kalti dėl sunkių nusikaltimų. Beje, valstybės sekretorius nurodė, kad, norint apsaugoti viešąją tvarką ir visuomenės saugumą, būtina imtis visų reikalingų veiksmų, siekiant neleisti, kad Nyderlandų piliečiai kontaktuotų su asmenimis, kurie jų kilmės šalyje buvo pripažinti kaltais dėl Ženevos konvencijos 1 straipsnio F skirsnio a punkte nurodytų veikų. Ypač svarbu išvengti, kad nukentėjusieji nuo nusikaltimų, kuriais kaltinamas pareiškėjas, ar jų šeimos nariai susitiktų su juo Nyderlanduose. Remdamasis tuo, kas išdėstyta, valstybės sekretorius padarė išvadą, kad, pirma, pareiškėjas kelia realią, esamą ir pakankamai rimtą grėsmę pagrindiniam Nyderlandų visuomenės interesui ir, antra, teisė į privataus ir šeimos gyvenimo gerbimą nesudaro kliūčių pripažinti pareiškėją nepageidaujamu asmeniu (13–18 punktai).</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Byloje C</w:t>
      </w:r>
      <w:r w:rsidRPr="00F74A35">
        <w:rPr>
          <w:rFonts w:ascii="Cambria Math" w:eastAsia="MS Gothic" w:hAnsi="Cambria Math" w:cs="Cambria Math"/>
          <w:lang w:eastAsia="lt-LT"/>
        </w:rPr>
        <w:t>‑</w:t>
      </w:r>
      <w:r w:rsidRPr="00F74A35">
        <w:rPr>
          <w:rFonts w:asciiTheme="minorHAnsi" w:hAnsiTheme="minorHAnsi" w:cstheme="minorHAnsi"/>
          <w:lang w:eastAsia="lt-LT"/>
        </w:rPr>
        <w:t xml:space="preserve">366/16 Afganistano pilietis H. F. atvyko į Nyderlandus ir pateikė ten prieglobsčio prašymą. Kompetentingos Nyderlandų valdžios institucijos sprendimu pabėgėlio statusas H. F. nebuvo suteiktas, remiantis Ženevos konvencijos 1 straipsnio F skirsnio a punktu. Kompetentinga Nyderlandų valdžios institucija atsisakė išduoti H. F. leidimą laikinai gyventi Nyderlanduose. Šį sprendimą taip pat patvirtino Hagos apylinkės teismas, o sprendimui tapus galutiniam, valstybės sekretorius priėmė sprendimą uždrausti H. F. būti šios šalies teritorijoje. 2011 m. H. F. ir jo dukra įsikūrė Belgijoje ir pateikė prašymą išduoti leidimą gyventi </w:t>
      </w:r>
      <w:r w:rsidRPr="00F74A35">
        <w:rPr>
          <w:rFonts w:asciiTheme="minorHAnsi" w:hAnsiTheme="minorHAnsi" w:cstheme="minorHAnsi"/>
          <w:lang w:eastAsia="lt-LT"/>
        </w:rPr>
        <w:lastRenderedPageBreak/>
        <w:t xml:space="preserve">Belgijoje. Prašymas buvo atmestas kaip nepriimtinas ir H. F. buvo nurodyta išvykti iš Belgijos teritorijos. H. F. abu šiuos sprendimus apskundė ir prašė juos panaikinti, bet vėliau savo reikalavimų atsisakė. Vėliau pareiškėjas du kartus teikė prašymą gauti leidimo gyventi šalyje kortelę kaip Sąjungos piliečio šeimos nariui, remdamasis tuo, kad jo dukra turi Nyderlandų pilietybę, bet buvo priimtas sprendimas nesuteikti leidimo gyventi šalyje, be to, nurodyta išvykti iš Belgijos teritorijos. </w:t>
      </w:r>
      <w:bookmarkStart w:id="11" w:name="point31"/>
      <w:r w:rsidRPr="00F74A35">
        <w:rPr>
          <w:rFonts w:asciiTheme="minorHAnsi" w:hAnsiTheme="minorHAnsi" w:cstheme="minorHAnsi"/>
          <w:lang w:eastAsia="lt-LT"/>
        </w:rPr>
        <w:t xml:space="preserve">Netenkinus pareiškėjo pateikto </w:t>
      </w:r>
      <w:bookmarkEnd w:id="11"/>
      <w:r w:rsidRPr="00F74A35">
        <w:rPr>
          <w:rFonts w:asciiTheme="minorHAnsi" w:hAnsiTheme="minorHAnsi" w:cstheme="minorHAnsi"/>
          <w:lang w:eastAsia="lt-LT"/>
        </w:rPr>
        <w:t>trečiojo prašymo išduoti gyvenimo šalyje kortelę, sprendimas buvo apskųstas ir panaikintas kompetentingo teismo sprendimu. Panaikinus tą sprendimą, įgaliotasis atstovas dėl H. F. priėmė sprendimą neišduoti leidimo gyventi šalyje ilgiau negu tris mėnesius, tačiau nenurodė išvykti iš šalies teritorijos. Dėl šio sprendimo panaikinimo H. F. kreipėsi į Užsieniečių ginčų tarybą (26–32 punktai).</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Pirmaisiais dviem klausimais ir pirma trečiojo klausimo dalimi byloje C</w:t>
      </w:r>
      <w:r w:rsidRPr="00F74A35">
        <w:rPr>
          <w:rFonts w:asciiTheme="minorHAnsi" w:hAnsiTheme="minorHAnsi" w:cstheme="minorHAnsi"/>
          <w:lang w:eastAsia="lt-LT"/>
        </w:rPr>
        <w:noBreakHyphen/>
        <w:t>331/16 bei klausimu byloje C</w:t>
      </w:r>
      <w:r w:rsidRPr="00F74A35">
        <w:rPr>
          <w:rFonts w:asciiTheme="minorHAnsi" w:hAnsiTheme="minorHAnsi" w:cstheme="minorHAnsi"/>
          <w:lang w:eastAsia="lt-LT"/>
        </w:rPr>
        <w:noBreakHyphen/>
        <w:t>366/16, kuriuos Teisingumo Teismas nusprendė nagrinėti kartu, prašymą priimti prejudicinį sprendimą pateikę teismai iš esmės siekė sužinoti, ar Direktyvos 2004/38 27 straipsnio 2 dalį reikia aiškinti taip, kad aplinkybė, jog dėl Sąjungos piliečio arba dėl trečiosios šalies piliečio, kuris yra tokio piliečio šeimos narys, prašančio suteikti teisę gyventi valstybės narės teritorijoje, praeityje buvo priimtas sprendimas nesuteikti pabėgėlio statuso, nes yra rimtų priežasčių manyti, kad jis kaltas padaręs Ženevos konvencijos 1 straipsnio F skirsnyje arba Direktyvos 2011/95 12 straipsnio 2 dalyje nurodytus veiksmus, leidžia šios valstybės narės kompetentingoms valdžios institucijoms savaime laikyti, kad jo buvimas šioje teritorijoje kelia tikrą, esamą ir pakankamai rimtą pavojų pagrindiniam visuomenės interesui, kaip tai suprantama pagal Direktyvos 2004/38 27 straipsnio 2 dalį, nepaisant to, ar egzistuoja rizika, jog jis pakartotinai nusikals. Jei būtų atsakyta neigiamai, byloje C</w:t>
      </w:r>
      <w:r w:rsidRPr="00F74A35">
        <w:rPr>
          <w:rFonts w:asciiTheme="minorHAnsi" w:hAnsiTheme="minorHAnsi" w:cstheme="minorHAnsi"/>
          <w:lang w:eastAsia="lt-LT"/>
        </w:rPr>
        <w:noBreakHyphen/>
        <w:t>331/16 prašymą priimti prejudicinį sprendimą pateikęs teismas klausia, kaip reikia vertinti tokį pavojų ir kiek svarbu atsižvelgti į laiko tarpą, kuris praėjo nuo preziumuojamo tokių aktų padarymo. Jis taip pat kelia klausimą dėl Direktyvos 2004/38 27 straipsnio 2 dalyje nurodyto proporcingumo principo taikymo, dėl sprendimo pripažinti nepageidaujamu atitinkamos valstybės narės teritorijoje asmens, kurio atžvilgiu priimtas toks sprendimas nesuteikti pabėgėlio statuso, priėmimo (38 punktas).</w:t>
      </w:r>
    </w:p>
    <w:p w:rsidR="00C527C1" w:rsidRDefault="00C527C1" w:rsidP="00EE45BB">
      <w:pPr>
        <w:ind w:firstLine="567"/>
        <w:rPr>
          <w:rFonts w:asciiTheme="minorHAnsi" w:hAnsiTheme="minorHAnsi" w:cstheme="minorHAnsi"/>
          <w:b/>
          <w:lang w:eastAsia="lt-LT"/>
        </w:rPr>
      </w:pPr>
    </w:p>
    <w:p w:rsidR="00EE45BB" w:rsidRPr="00C527C1" w:rsidRDefault="00EE45BB" w:rsidP="00C527C1">
      <w:pPr>
        <w:pStyle w:val="Antrat3"/>
        <w:ind w:firstLine="567"/>
        <w:rPr>
          <w:rFonts w:cstheme="minorHAnsi"/>
          <w:lang w:eastAsia="lt-LT"/>
        </w:rPr>
      </w:pPr>
      <w:bookmarkStart w:id="12" w:name="_Toc517273018"/>
      <w:r w:rsidRPr="00C527C1">
        <w:rPr>
          <w:rFonts w:cstheme="minorHAnsi"/>
          <w:lang w:eastAsia="lt-LT"/>
        </w:rPr>
        <w:t>Dėl aplinkybės, jog dėl Sąjungos piliečio arba dėl trečiosios šalies piliečio, kuris yra tokio piliečio šeimos narys, prašančio suteikti teisę gyventi valstybės narės teritorijoje, praeityje buvo priimtas sprendimas nesuteikti pabėgėlio statuso remiantis Ženevos konvencijos 1 straipsnio F skirsniu arba Direktyvos 2011/95 12 straipsnio 2 dalimi, reikšmės sprendžiant dėl atsisakymo suteikti teisę gyventi remiantis viešosios tvarkos ar visuomenės saugumo priežastimis</w:t>
      </w:r>
      <w:bookmarkEnd w:id="12"/>
    </w:p>
    <w:p w:rsidR="00C527C1" w:rsidRPr="00F74A35" w:rsidRDefault="00C527C1" w:rsidP="00EE45BB">
      <w:pPr>
        <w:ind w:firstLine="567"/>
        <w:rPr>
          <w:rFonts w:asciiTheme="minorHAnsi" w:hAnsiTheme="minorHAnsi" w:cstheme="minorHAnsi"/>
          <w:b/>
          <w:lang w:eastAsia="lt-LT"/>
        </w:rPr>
      </w:pP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 xml:space="preserve">Teisingumo Teismas pažymėjo, kad teisės laisvai judėti ir gyventi šalyje apribojimas, taikomas valstybės narės Sąjungos piliečiui arba trečiosios šalies piliečiui, Sąjungos piliečio šeimos nariui – dėl kurio praeityje buvo priimtas sprendimas nesuteikti jam pabėgėlio statuso remiantis Ženevos konvencijos 1 straipsnio F skirsniu arba Direktyvos 2011/95 12 straipsnio 2 dalimi – gali patekti į sąvoką „priemonės, kurių imtasi dėl valstybinės politikos [viešosios tvarkos] ar visuomenės saugumo priežasčių“, kaip tai suprantama pagal Direktyvos 2004/38 27 straipsnio 2 dalies pirmą pastraipą. Taigi, iš Direktyvos 2004/38 27 straipsnio 2 dalies matyti, jog priemonės, kurių imamasi dėl viešosios tvarkos ar visuomenės saugumo priežasčių, turi būti grindžiamos vien asmeniniu atitinkamo asmens elgesiu. Be to, šios direktyvos 27 straipsnio 2 dalies antroje pastraipoje numatyta, kad tokias priemones galima taikyti su sąlyga, kad atitinkamo asmens elgesys kelia tikrą, esamą ir pakankamai rimtą grėsmę vienam iš pagrindinių visuomenės arba priimančiosios valstybės narės interesų. Šiuo klausimu Teisingumo Teismas priminė, kad Ženevos konvencijos 1 straipsnio F skirsnyje ir Direktyvos 2011/95 12 straipsnio 2 dalyje numatytų priežasčių nesuteikti pabėgėlio statuso tikslas – nesuteikti šio statuso asmenims, kurie laikomi nevertais su juo susijusios apsaugos, ir išvengti to, kad dėl šio statuso suteikimo tam tikrus sunkius nusikaltimus padarę asmenys galėtų išvengti baudžiamosios atsakomybės, todėl pabėgėlio statuso nesuteikimas nesiejamas su tuo, kad asmuo tuo metu turi kelti grėsmę priimančiajai valstybei narei. Tuo remdamasis Teisingumo Teismas darė išvadą, jog </w:t>
      </w:r>
      <w:r w:rsidRPr="00F74A35">
        <w:rPr>
          <w:rFonts w:asciiTheme="minorHAnsi" w:hAnsiTheme="minorHAnsi" w:cstheme="minorHAnsi"/>
          <w:u w:val="single"/>
          <w:lang w:eastAsia="lt-LT"/>
        </w:rPr>
        <w:t xml:space="preserve">tai, kad dėl atitinkamo asmens anksčiau buvo priimtas sprendimas nesuteikti jam pabėgėlio statuso pagal vieną iš šių nuostatų, nereiškia, kad iš karto galima daryti išvadą, kad vien jo buvimas priimančiosios valstybės narės teritorijoje kelia realų, esamą ir pakankamai rimtą pavojų pagrindiniam visuomenės interesui, kaip tai suprantama pagal Direktyvos 2004/38 27 straipsnio 2 dalies antros pastraipos pirmą sakinį </w:t>
      </w:r>
      <w:r w:rsidRPr="00F74A35">
        <w:rPr>
          <w:rFonts w:asciiTheme="minorHAnsi" w:hAnsiTheme="minorHAnsi" w:cstheme="minorHAnsi"/>
          <w:lang w:eastAsia="lt-LT"/>
        </w:rPr>
        <w:t>(50–51 punktai). </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 xml:space="preserve">Priemonių, kurios pateisinamos viešosios tvarkos ar visuomenės saugumo priežastimis, galima imtis tik jeigu kompetentingoms nacionalinėms valdžios institucijoms įvertinus kiekvieną atvejį atskirai, paaiškėja, kad atitinkamo asmens asmeninis elgesys tuo metu kelia pakankamai didelį pavojų pagrindiniam visuomenės </w:t>
      </w:r>
      <w:r w:rsidRPr="00F74A35">
        <w:rPr>
          <w:rFonts w:asciiTheme="minorHAnsi" w:hAnsiTheme="minorHAnsi" w:cstheme="minorHAnsi"/>
          <w:lang w:eastAsia="lt-LT"/>
        </w:rPr>
        <w:lastRenderedPageBreak/>
        <w:t xml:space="preserve">interesui. Taigi, toks vertinimas taip pat būtinas, kai kompetentinga valstybės narės institucija, remdamasi viešosios tvarkos ar visuomenės saugumo sumetimais, kaip tai suprantama pagal Direktyvos 2004/38 27 straipsnio 2 dalį, ketina imtis priemonės prieš asmenį, dėl kurio prieglobsčio srityje kompetentingų valdžios institucijos nusprendė, kad yra rimtų priežasčių manyti, kad jis padarė nusikaltimų arba yra kaltas dėl veikų, kurie numatyti Ženevos konvencijos 1 straipsnio F skirsnyje arba Direktyvos 2011/95 12 straipsnio 2 dalyje. Atliekant tokį vertinimą </w:t>
      </w:r>
      <w:r w:rsidRPr="00F74A35">
        <w:rPr>
          <w:rFonts w:asciiTheme="minorHAnsi" w:hAnsiTheme="minorHAnsi" w:cstheme="minorHAnsi"/>
          <w:u w:val="single"/>
          <w:lang w:eastAsia="lt-LT"/>
        </w:rPr>
        <w:t>reikia atsižvelgti į su atitinkamu asmeniu susijusio sprendimo nesuteikti pabėgėlio statuso motyvus bei įrodymus, kuriais jis yra grindžiamas, visų pirma susijusius su nusikaltimų ar veikų, kuriais asmuo kaltinamas, pobūdžiu ir sunkumu, jo asmeninio dalyvavimo juose lygiu ir galimų motyvų atleisti nuo baudžiamosios atsakomybės, pavyzdžiui, prievartos ar teisėtos savigynos, buvimu. Toks vertinimas juo labiau reikalingas tuomet, kai suinteresuotasis asmuo, kaip pagrindinėse bylose, nebuvo nuteistas baudžiamąja tvarka už nusikaltimus ar veikas, kurie nurodyti kaip praeityje pateikto prašymo suteikti prieglobstį atmetimo priežastys</w:t>
      </w:r>
      <w:r w:rsidRPr="00F74A35">
        <w:rPr>
          <w:rFonts w:asciiTheme="minorHAnsi" w:hAnsiTheme="minorHAnsi" w:cstheme="minorHAnsi"/>
          <w:lang w:eastAsia="lt-LT"/>
        </w:rPr>
        <w:t xml:space="preserve"> (52–55 punktai). </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 xml:space="preserve">Jei tikro, esamo ir pakankamai rimto pavojaus pagrindiniam visuomenės interesui, kaip tai suprantama pagal Direktyvos 2004/38 27 straipsnio 2 dalies antrą pastraipą, konstatavimas apskritai reiškia, kad yra tikimybė, jog atitinkamo asmens elgesys ateityje kels tokį pavojų, gali būti, kad vien ankstesnė elgsena atitiks tokio pavojaus sąlygas. Nuo veikų padarymo praėjęs laiko tarpas, Teisingumo Teismo nuomone, yra svarbus veiksnys vertinant, ar egzistuoja pavojus, kaip antai nurodytas Direktyvos 2004/38 27 straipsnio 2 dalies antroje pastraipoje. Vis dėlto </w:t>
      </w:r>
      <w:r w:rsidRPr="00F74A35">
        <w:rPr>
          <w:rFonts w:asciiTheme="minorHAnsi" w:hAnsiTheme="minorHAnsi" w:cstheme="minorHAnsi"/>
          <w:u w:val="single"/>
          <w:lang w:eastAsia="lt-LT"/>
        </w:rPr>
        <w:t>galimybė, kad nagrinėjamos veikos buvo išskirtinai sunkios, gali reikšti, kad net praėjus santykinai ilgam laiko tarpui vis dar egzistuoja tikras, esamas ir pakankamai rimtas pavojus vienam iš pagrindinių visuomenės interesų</w:t>
      </w:r>
      <w:r w:rsidRPr="00F74A35">
        <w:rPr>
          <w:rFonts w:asciiTheme="minorHAnsi" w:hAnsiTheme="minorHAnsi" w:cstheme="minorHAnsi"/>
          <w:lang w:eastAsia="lt-LT"/>
        </w:rPr>
        <w:t xml:space="preserve"> (56–58 punktai). </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 xml:space="preserve">Spręsdamas klausimą, ar atliekant vertinimą svarbi tikimybė, kad toks elgesys pasikartos priimančiojoje valstybėje narėje, jeigu Ženevos konvencijos 1 straipsnio F skirsnio a punkte ir Direktyvos 2011/95/ES 12 straipsnio 2 dalyje nurodyti nusikaltimai ar veikos buvo padaryti atitinkamo asmens kilmės šalyje, esant specifinėms socialinėms ir istorinėms aplinkybėms, kurios negali susiklostyti toje valstybėje narėje, Teisingumo Teismas nurodė, kad nors atrodytų mažai tikėtina, kad tokie nusikaltimai ar veikos gali būti padaryti kitomis nei tam tikromis specifinėmis socialinėmis ir istorinėmis aplinkybėmis, – atitinkamo asmens elgesys, iš kurio matyti, kad jo požiūris ir toliau išlieka toks, kuris pažeidžia ESS 2 ir 3 straipsniuose nurodytas pagrindines vertybes, pvz., žmogaus orumą ir žmogaus teises (tai parodo atlikti nusikaltimai ar veikos), gali sudaryti tikrą, esamą ir pakankamai rimtą pavojų pagrindiniam visuomenės interesui, kaip tai suprantama pagal Direktyvos 2004/38 27 straipsnio 2 dalies antros pastraipos pirmą sakinį. Su teise laisvai judėti susijusią ribojamąją priemonę galima pateisinti tik jeigu ji atitinka proporcingumo principą, o tai reiškia, kad reikia patikrinti, ar ši priemonė yra tinkama užtikrinti ja siekiamo tikslo įgyvendinimą ir neviršija to, kas būtina jam pasiekti. Atliekant šį vertinimą, Teisingumo Teismo nuomone, </w:t>
      </w:r>
      <w:r w:rsidRPr="00F74A35">
        <w:rPr>
          <w:rFonts w:asciiTheme="minorHAnsi" w:hAnsiTheme="minorHAnsi" w:cstheme="minorHAnsi"/>
          <w:u w:val="single"/>
          <w:lang w:eastAsia="lt-LT"/>
        </w:rPr>
        <w:t>būtina pasverti, pirma, atitinkamo asmens elgesio keliamą pavojų pagrindiniams priimančiosios valstybės narės visuomenės interesams ir, antra, teisių, kurias Sąjungos piliečiams ir jų šeimos nariams suteikia Direktyva 2004/38, apsaugą. Taip vertinant reikia atsižvelgti į pagrindines teises, kurių laikymąsi užtikrina Teisingumo Teismas, ypač į teisę į privataus ir šeimos gyvenimo gerbimą, įtvirtintą Chartijos 7 straipsnyje ir Europos žmogaus teisių ir pagrindinių laisvių apsaugos konvencijos 8 straipsnyje. Priimančioji valstybė narė, be kita ko, esant tokiam kontekstui turi patikrinti galimybę taikyti kitas, mažiau atitinkamo asmens judėjimo laisvę ir laisvę gyventi šalyje ribojančias priemones, kurios būtų vienodai veiksmingos nurodomų pagrindinių interesų apsaugai užtikrinti</w:t>
      </w:r>
      <w:r w:rsidR="00116665">
        <w:rPr>
          <w:rFonts w:asciiTheme="minorHAnsi" w:hAnsiTheme="minorHAnsi" w:cstheme="minorHAnsi"/>
          <w:lang w:eastAsia="lt-LT"/>
        </w:rPr>
        <w:t> (62–64 </w:t>
      </w:r>
      <w:r w:rsidRPr="00F74A35">
        <w:rPr>
          <w:rFonts w:asciiTheme="minorHAnsi" w:hAnsiTheme="minorHAnsi" w:cstheme="minorHAnsi"/>
          <w:lang w:eastAsia="lt-LT"/>
        </w:rPr>
        <w:t>punktai).</w:t>
      </w:r>
    </w:p>
    <w:p w:rsidR="00EE45BB" w:rsidRPr="00F74A35" w:rsidRDefault="00EE45BB" w:rsidP="00EE45BB">
      <w:pPr>
        <w:ind w:firstLine="567"/>
        <w:rPr>
          <w:rFonts w:asciiTheme="minorHAnsi" w:hAnsiTheme="minorHAnsi" w:cstheme="minorHAnsi"/>
          <w:lang w:eastAsia="lt-LT"/>
        </w:rPr>
      </w:pPr>
    </w:p>
    <w:p w:rsidR="00EE45BB" w:rsidRPr="00C527C1" w:rsidRDefault="00EE45BB" w:rsidP="00C527C1">
      <w:pPr>
        <w:pStyle w:val="Antrat3"/>
        <w:ind w:firstLine="567"/>
        <w:rPr>
          <w:rFonts w:cstheme="minorHAnsi"/>
          <w:lang w:eastAsia="lt-LT"/>
        </w:rPr>
      </w:pPr>
      <w:bookmarkStart w:id="13" w:name="_Toc517273019"/>
      <w:r w:rsidRPr="00C527C1">
        <w:rPr>
          <w:rFonts w:cstheme="minorHAnsi"/>
          <w:lang w:eastAsia="lt-LT"/>
        </w:rPr>
        <w:t>Dėl sustiprintos apsaugos taikymo nagrinėjamoje situacijoje esančio pareiškėjo atžvilgiu</w:t>
      </w:r>
      <w:bookmarkEnd w:id="13"/>
    </w:p>
    <w:p w:rsidR="00C527C1" w:rsidRPr="00F74A35" w:rsidRDefault="00C527C1" w:rsidP="00EE45BB">
      <w:pPr>
        <w:ind w:firstLine="567"/>
        <w:rPr>
          <w:rFonts w:asciiTheme="minorHAnsi" w:hAnsiTheme="minorHAnsi" w:cstheme="minorHAnsi"/>
          <w:b/>
          <w:lang w:eastAsia="lt-LT"/>
        </w:rPr>
      </w:pP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Antra trečiojo klausimo dalimi prašymą priimti prejudicinį sprendimą pateikęs teismas byloje C</w:t>
      </w:r>
      <w:r w:rsidRPr="00F74A35">
        <w:rPr>
          <w:rFonts w:asciiTheme="minorHAnsi" w:hAnsiTheme="minorHAnsi" w:cstheme="minorHAnsi"/>
          <w:lang w:eastAsia="lt-LT"/>
        </w:rPr>
        <w:noBreakHyphen/>
        <w:t>331/16 iš esmės siekė sužinoti, ar, pirma, priimant sprendimą dėl asmens, kurio prieglobsčio prašymas praeityje buvo atmestas remiantis Ženevos konvencijos 1 straipsnio F skirsniu, pripažinimo nepageidaujamu atitinkamos valstybės narės teritorijoje reikia atsižvelgti į Direktyvos 2004/38 28 straipsnio 1 dalyje nurodytus veiksnius, ir, antra, ar tokio asmens situacijai taikytina sustiprinta apsauga pagal šios direktyvos 28 straipsnio 3 dalies a punktą, kuria gali pasinaudoti Sąjungos piliečiai, pastaruosius dešimt metų gyvenę priimančios valstybės narės teritorijoje (68 punktas).</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 xml:space="preserve">Teisingumo Teismas jau yra sprendęs, kad Direktyvos 2004/38 28 straipsnio 3 dalies a punktą reikia aiškinti taip, kad šioje nuostatoje numatytai apsaugai nuo išsiuntimo iš šalies taikoma sąlyga, kad atitinkamas asmuo turi teisę nuolat gyventi šalyje, kaip tai suprantama pagal šios direktyvos 16 straipsnį ir 28 straipsnio </w:t>
      </w:r>
      <w:r w:rsidRPr="00F74A35">
        <w:rPr>
          <w:rFonts w:asciiTheme="minorHAnsi" w:hAnsiTheme="minorHAnsi" w:cstheme="minorHAnsi"/>
          <w:lang w:eastAsia="lt-LT"/>
        </w:rPr>
        <w:lastRenderedPageBreak/>
        <w:t>2 dalį. Tačiau iš Direktyvos 2004/38 16 straipsnio 1 dalies matyti, kad, remiantis sąlygomis, numatytomis šioje direktyvoje, visų pirma jos 7 straipsnio 1 dalyje ar ankstesniuose Sąjungos teisės aktuose, galiojusiuose iki 2006 m. balandžio 30 d., t. y. šios direktyvos perkėlimo datos, tokią teisę asmuo įgyja tik jei priimančiosios valstybės narės teritorijoje teisėtai gyveno ištisinį penkerių metų laikotarpį. Vis dėlto gyvenimas šalyje, atitinkantis valstybės narės teisę, tačiau netenkinantis Sąjungos teisėje numatytų reikalavimų, negali būti laikomas teisėtu gyvenimu šalyje, kaip tai suprantama pagal Direktyvos 2004/38 16 straipsnio 1 dalį, tad Sąjungos pilietis, kuris tik pagal nacionalinę teisę daugiau nei penkerius metus teisėtai gyveno priimančiojoje valstybėje narėje, negali būti laikomas įgijusiu teisę nuolat gyventi šalyje pagal šią nuostatą, jeigu per šį laikotarpį neatitiko minėtų reikalavimų (73–74 punktai).</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lang w:eastAsia="lt-LT"/>
        </w:rPr>
        <w:t>Šiuo atveju, nors prašyme priimti prejudicinį sprendimą nurodyta, kad pareiškėjas Nyderlanduose nepertraukiamai gyveno nuo 2001 m. vasario mėn., jame vis dėlto nėra jokios informacijos, kuria remiantis būtų galima konstatuoti, kad, nepaisant atmestų pareiškėjo prašymų suteikti prieglobstį, jis šioje teritorijoje teisėtai gyveno ištisinį penkerių metų laikotarpį pagal Direktyvoje 2004/38 ar prieš ją galiojusiame Sąjungos teisės akte nustatytas sąlygas. Taigi, Teisingumo Teismo nuomone, iš šio prašymo priimti prejudicinį sprendimą negalima daryti išvados, kad pareiškėjas įgijo teisę nuolat gyventi šalyje, kaip tai suprantama pagal šios direktyvos 16 straipsnį. Tokiomis aplinkybėmis, kurias prašymą priimti prejudicinį sprendimą pateikęs teismas turi patikrinti, galima manyti, kad šios direktyvos 28 straipsnio 3 dalies a punkte numatyta sustiprinta apsauga nuo išsiuntimo iš šalies jam netaikytina (75 punktas).</w:t>
      </w:r>
    </w:p>
    <w:p w:rsidR="00EE45BB" w:rsidRPr="00F74A35" w:rsidRDefault="00EE45BB" w:rsidP="00EE45BB">
      <w:pPr>
        <w:ind w:firstLine="567"/>
        <w:rPr>
          <w:rFonts w:asciiTheme="minorHAnsi" w:hAnsiTheme="minorHAnsi" w:cstheme="minorHAnsi"/>
          <w:lang w:eastAsia="lt-LT"/>
        </w:rPr>
      </w:pPr>
    </w:p>
    <w:p w:rsidR="00EE45BB" w:rsidRPr="00F74A35" w:rsidRDefault="00EE45BB" w:rsidP="00EE45BB">
      <w:pPr>
        <w:ind w:firstLine="567"/>
        <w:rPr>
          <w:rFonts w:asciiTheme="minorHAnsi" w:hAnsiTheme="minorHAnsi" w:cstheme="minorHAnsi"/>
          <w:b/>
          <w:lang w:eastAsia="lt-LT"/>
        </w:rPr>
      </w:pPr>
      <w:r w:rsidRPr="00F74A35">
        <w:rPr>
          <w:rFonts w:asciiTheme="minorHAnsi" w:hAnsiTheme="minorHAnsi" w:cstheme="minorHAnsi"/>
          <w:b/>
          <w:lang w:eastAsia="lt-LT"/>
        </w:rPr>
        <w:t>Remdamasis šiais motyvais, Teisingumo Teismas (didžioji kolegija) nusprendė:</w:t>
      </w:r>
    </w:p>
    <w:p w:rsidR="005C1696" w:rsidRDefault="005C1696" w:rsidP="00EE45BB">
      <w:pPr>
        <w:ind w:firstLine="567"/>
        <w:rPr>
          <w:rFonts w:asciiTheme="minorHAnsi" w:hAnsiTheme="minorHAnsi" w:cstheme="minorHAnsi"/>
          <w:bCs/>
          <w:lang w:eastAsia="lt-LT"/>
        </w:rPr>
      </w:pPr>
    </w:p>
    <w:p w:rsidR="00EE45BB" w:rsidRPr="00F74A35" w:rsidRDefault="00EE45BB" w:rsidP="00EE45BB">
      <w:pPr>
        <w:ind w:firstLine="567"/>
        <w:rPr>
          <w:rFonts w:asciiTheme="minorHAnsi" w:hAnsiTheme="minorHAnsi" w:cstheme="minorHAnsi"/>
          <w:bCs/>
          <w:lang w:eastAsia="lt-LT"/>
        </w:rPr>
      </w:pPr>
      <w:r w:rsidRPr="00F74A35">
        <w:rPr>
          <w:rFonts w:asciiTheme="minorHAnsi" w:hAnsiTheme="minorHAnsi" w:cstheme="minorHAnsi"/>
          <w:bCs/>
          <w:lang w:eastAsia="lt-LT"/>
        </w:rPr>
        <w:t>1. 2004 m. balandžio 29 d. Europos Parlamento ir Tarybos direktyvos 2004/38/EB dėl Sąjungos piliečių ir jų šeimos narių teisės laisvai judėti ir gyventi valstybių narių teritorijoje, iš dalies keičiančios Reglamentą (EEB) Nr. 1612/68 ir panaikinančios direktyvas 64/221/EEB, 68/360/EEB, 72/194/EEB, 73/148/EEB, 75/34/EEB, 75/35/EEB, 90/364/EEB, 90/365/EEB ir 93/96/EEB, 27 straipsnio 2 dalį reikia aiškinti taip, kad aplinkybė, jog dėl Sąjungos piliečio arba dėl trečiosios šalies piliečio, kuris yra tokio piliečio šeimos narys, prašančio suteikti teisę gyventi valstybės narės teritorijoje, praeityje buvo priimtas sprendimas nesuteikti pabėgėlio statuso remiantis 1951 m. liepos 28 d. Ženevoje pasirašytos Konvencijos dėl pabėgėlių statuso, papildytos Protokolu dėl pabėgėlių statuso, sudarytu 1967 m. sausio 31 d. Niujorke, 1 straipsnio F skirsniu arba 2011 m. gruodžio 13 d. Europos Parlamento ir Tarybos direktyvos 2011/95/ES dėl trečiųjų šalių piliečių ar asmenų be pilietybės priskyrimo prie tarptautinės apsaugos gavėjų, vienodo statuso pabėgėliams arba papildomą apsaugą galintiems gauti asmenims ir suteikiamos apsaugos pobūd</w:t>
      </w:r>
      <w:r w:rsidR="00116665">
        <w:rPr>
          <w:rFonts w:asciiTheme="minorHAnsi" w:hAnsiTheme="minorHAnsi" w:cstheme="minorHAnsi"/>
          <w:bCs/>
          <w:lang w:eastAsia="lt-LT"/>
        </w:rPr>
        <w:t>žio reikalavimų 12 straipsnio 2 </w:t>
      </w:r>
      <w:r w:rsidRPr="00F74A35">
        <w:rPr>
          <w:rFonts w:asciiTheme="minorHAnsi" w:hAnsiTheme="minorHAnsi" w:cstheme="minorHAnsi"/>
          <w:bCs/>
          <w:lang w:eastAsia="lt-LT"/>
        </w:rPr>
        <w:t>dalimi, neleidžia šios valstybės narės kompetentingoms valdžios institucijoms savaime laikyti, kad vien jo buvimas šioje teritorijoje kelia tikrą, esamą ir pakankamai rimtą pavojų pagrindiniam visuomenės interesui, galinčiam pateisinti priemones, kurių imamasi dėl viešosios tvarkos ar visuomenės saugumo priežasčių, nepaisant to, ar egzistuoja rizika, kad asmuo pakartotinai nusikals.</w:t>
      </w:r>
    </w:p>
    <w:p w:rsidR="00EE45BB" w:rsidRPr="00F74A35" w:rsidRDefault="00EE45BB" w:rsidP="00EE45BB">
      <w:pPr>
        <w:ind w:firstLine="567"/>
        <w:rPr>
          <w:rFonts w:asciiTheme="minorHAnsi" w:hAnsiTheme="minorHAnsi" w:cstheme="minorHAnsi"/>
          <w:bCs/>
          <w:lang w:eastAsia="lt-LT"/>
        </w:rPr>
      </w:pPr>
      <w:r w:rsidRPr="00F74A35">
        <w:rPr>
          <w:rFonts w:asciiTheme="minorHAnsi" w:hAnsiTheme="minorHAnsi" w:cstheme="minorHAnsi"/>
          <w:bCs/>
          <w:lang w:eastAsia="lt-LT"/>
        </w:rPr>
        <w:t>Taigi, konstatuoti, kad toks pavojus egzistuoja, galima tik kompetentingoms priimančiosios valstybės narės institucijoms atlikus atitinkamo asmens asmeninio elgesio vertinimą, atsižvelgiant į sprendimo nesuteikti pabėgėlio statuso motyvus ir įrodymus, kuriais jis grindžiamas, ypač į nusikaltimų ar veikų, kuriais jis kaltinamas, pobūdį, asmeninio dalyvavimo juose lygį, galimų motyvų atleisti nuo baudžiamosios atsakomybės buvimą ir į tai, ar dėl jo yra priimtas apkaltinamasis nuosprendis. Atliekant tokį bendrą vertinimą taip pat turi būti atsižvelgiama į laiką, kuris praėjo nuo preziumuojamo šių nusikaltimų ar veikų padarymo, taip pat vėlesnį tokio asmens elgesį, visų pirma į tai, ar šis elgesys parodo, kad jo požiūris ir toliau išlieka toks, kuris pažeidžia ESS 2 ir 3 straipsniuose nurodytas pagrindines vertybes taip, kad tai gali trikdyti gyventojų rimtį ir fizinį saugumą. Vien tai, kad šio asmens elgesys praeityje susijęs su jo kilmės šalies specifinėmis istorinėmis ir socialinėmis aplinkybėmis, kurios negali susiklostyti priimančiojoje valstybėje narėje, nesudaro kliūčių padaryti tokią išvadą.</w:t>
      </w:r>
    </w:p>
    <w:p w:rsidR="00EE45BB" w:rsidRPr="00F74A35" w:rsidRDefault="00EE45BB" w:rsidP="00EE45BB">
      <w:pPr>
        <w:ind w:firstLine="567"/>
        <w:rPr>
          <w:rFonts w:asciiTheme="minorHAnsi" w:hAnsiTheme="minorHAnsi" w:cstheme="minorHAnsi"/>
          <w:bCs/>
          <w:lang w:eastAsia="lt-LT"/>
        </w:rPr>
      </w:pPr>
      <w:r w:rsidRPr="00F74A35">
        <w:rPr>
          <w:rFonts w:asciiTheme="minorHAnsi" w:hAnsiTheme="minorHAnsi" w:cstheme="minorHAnsi"/>
          <w:bCs/>
          <w:lang w:eastAsia="lt-LT"/>
        </w:rPr>
        <w:t>Remdamosi proporcingumo principu priimančiosios valstybės narės kompetentingos valdžios institucijos, beje, turi pasverti, viena vertus, atitinkamo pagrindinio visuomenės intereso apsaugą ir, kita vertus, atitinkamo asmens interesus, susijusius su jo, kaip Sąjungos piliečio, teisės laisvai judėti ir gyventi šalyje įgyvendinimu ir jo teise į privataus ir šeimos gyvenimo gerbimą.</w:t>
      </w:r>
    </w:p>
    <w:p w:rsidR="00EE45BB" w:rsidRPr="00F74A35" w:rsidRDefault="00EE45BB" w:rsidP="00EE45BB">
      <w:pPr>
        <w:ind w:firstLine="567"/>
        <w:rPr>
          <w:rFonts w:asciiTheme="minorHAnsi" w:hAnsiTheme="minorHAnsi" w:cstheme="minorHAnsi"/>
          <w:bCs/>
          <w:lang w:eastAsia="lt-LT"/>
        </w:rPr>
      </w:pPr>
      <w:r w:rsidRPr="00F74A35">
        <w:rPr>
          <w:rFonts w:asciiTheme="minorHAnsi" w:hAnsiTheme="minorHAnsi" w:cstheme="minorHAnsi"/>
          <w:bCs/>
          <w:lang w:eastAsia="lt-LT"/>
        </w:rPr>
        <w:t xml:space="preserve">2. Direktyvos 2004/38 28 straipsnio 1 dalį reikia aiškinti taip, kad kai numatomos priemonės apima atitinkamo asmens išsiuntimą iš priimančiosios valstybės narės, ji turi atsižvelgti į šio asmens veiksmų pobūdį ir sunkumą, jo gyvenimo šioje valstybėje narėje trukmę ir prireikus teisėtumą, laiką, praėjusį nuo veiksmų, </w:t>
      </w:r>
      <w:r w:rsidRPr="00F74A35">
        <w:rPr>
          <w:rFonts w:asciiTheme="minorHAnsi" w:hAnsiTheme="minorHAnsi" w:cstheme="minorHAnsi"/>
          <w:bCs/>
          <w:lang w:eastAsia="lt-LT"/>
        </w:rPr>
        <w:lastRenderedPageBreak/>
        <w:t>kuriais jis kaltinamas, padarymo, jo elgesį per tą laikotarpį, dabartinio jo pavojingumo visuomenei laipsnį ir socialinių, kultūrinių ir šeiminių ryšių su minėta valstybe nare tvirtumą.</w:t>
      </w:r>
    </w:p>
    <w:p w:rsidR="00EE45BB" w:rsidRPr="00F74A35" w:rsidRDefault="00EE45BB" w:rsidP="00EE45BB">
      <w:pPr>
        <w:ind w:firstLine="567"/>
        <w:rPr>
          <w:rFonts w:asciiTheme="minorHAnsi" w:hAnsiTheme="minorHAnsi" w:cstheme="minorHAnsi"/>
          <w:lang w:eastAsia="lt-LT"/>
        </w:rPr>
      </w:pPr>
      <w:r w:rsidRPr="00F74A35">
        <w:rPr>
          <w:rFonts w:asciiTheme="minorHAnsi" w:hAnsiTheme="minorHAnsi" w:cstheme="minorHAnsi"/>
          <w:bCs/>
          <w:lang w:eastAsia="lt-LT"/>
        </w:rPr>
        <w:t>Direktyvos 2004/38 28 straipsnio 3 dalies a punktą reikia aiškinti taip, kad jis netaikomas Europos Sąjungos piliečiui, kuris neturi teisės nuolat gyventi priimančiojoje valstybėje narėje, kaip tai suprantama pagal šios direktyvos 16 straipsnį ir 28 straipsnio 2 dalį.</w:t>
      </w:r>
    </w:p>
    <w:p w:rsidR="00EE45BB" w:rsidRDefault="00EF32EC" w:rsidP="00EE45BB">
      <w:pPr>
        <w:ind w:firstLine="567"/>
        <w:rPr>
          <w:rStyle w:val="Hipersaitas"/>
          <w:rFonts w:asciiTheme="minorHAnsi" w:hAnsiTheme="minorHAnsi" w:cstheme="minorHAnsi"/>
        </w:rPr>
      </w:pPr>
      <w:hyperlink r:id="rId13" w:history="1">
        <w:r w:rsidR="00EE45BB" w:rsidRPr="00F74A35">
          <w:rPr>
            <w:rStyle w:val="Hipersaitas"/>
            <w:rFonts w:asciiTheme="minorHAnsi" w:hAnsiTheme="minorHAnsi" w:cstheme="minorHAnsi"/>
          </w:rPr>
          <w:t>Prieiga internete</w:t>
        </w:r>
      </w:hyperlink>
    </w:p>
    <w:p w:rsidR="00C527C1" w:rsidRPr="00F74A35" w:rsidRDefault="00C527C1" w:rsidP="00EE45BB">
      <w:pPr>
        <w:ind w:firstLine="567"/>
        <w:rPr>
          <w:rFonts w:asciiTheme="minorHAnsi" w:hAnsiTheme="minorHAnsi" w:cstheme="minorHAnsi"/>
        </w:rPr>
      </w:pPr>
    </w:p>
    <w:p w:rsidR="002F456B" w:rsidRPr="002F09DA" w:rsidRDefault="002F456B" w:rsidP="00C527C1">
      <w:pPr>
        <w:pStyle w:val="Antrat1"/>
        <w:spacing w:before="0"/>
        <w:rPr>
          <w:rFonts w:eastAsia="Times New Roman" w:cstheme="minorHAnsi"/>
          <w:bCs/>
          <w:kern w:val="32"/>
          <w:szCs w:val="22"/>
          <w:lang w:eastAsia="lt-LT"/>
        </w:rPr>
      </w:pPr>
      <w:bookmarkStart w:id="14" w:name="_Toc497144232"/>
      <w:bookmarkStart w:id="15" w:name="_Toc517273020"/>
      <w:r w:rsidRPr="002F09DA">
        <w:rPr>
          <w:rFonts w:eastAsia="Times New Roman" w:cstheme="minorHAnsi"/>
          <w:bCs/>
          <w:kern w:val="32"/>
          <w:szCs w:val="22"/>
          <w:lang w:eastAsia="lt-LT"/>
        </w:rPr>
        <w:t>SOCIALINĖ POLITIKA</w:t>
      </w:r>
      <w:bookmarkEnd w:id="14"/>
      <w:bookmarkEnd w:id="15"/>
    </w:p>
    <w:p w:rsidR="00F70A40" w:rsidRPr="002F09DA" w:rsidRDefault="00F70A40" w:rsidP="00AD0B10">
      <w:pPr>
        <w:rPr>
          <w:rFonts w:asciiTheme="minorHAnsi" w:hAnsiTheme="minorHAnsi" w:cstheme="minorHAnsi"/>
          <w:lang w:eastAsia="lt-LT"/>
        </w:rPr>
      </w:pPr>
    </w:p>
    <w:p w:rsidR="00544500" w:rsidRPr="002F09DA" w:rsidRDefault="00544500" w:rsidP="00AD0B10">
      <w:pPr>
        <w:pStyle w:val="Antrat2"/>
        <w:rPr>
          <w:rFonts w:cstheme="minorHAnsi"/>
          <w:szCs w:val="22"/>
        </w:rPr>
      </w:pPr>
      <w:bookmarkStart w:id="16" w:name="_Toc497144233"/>
      <w:bookmarkStart w:id="17" w:name="_Toc517273021"/>
      <w:r w:rsidRPr="002F09DA">
        <w:rPr>
          <w:rFonts w:cstheme="minorHAnsi"/>
          <w:szCs w:val="22"/>
        </w:rPr>
        <w:t>2018</w:t>
      </w:r>
      <w:r w:rsidR="002F456B" w:rsidRPr="002F09DA">
        <w:rPr>
          <w:rFonts w:cstheme="minorHAnsi"/>
          <w:szCs w:val="22"/>
        </w:rPr>
        <w:t xml:space="preserve"> m. </w:t>
      </w:r>
      <w:r w:rsidRPr="002F09DA">
        <w:rPr>
          <w:rFonts w:cstheme="minorHAnsi"/>
          <w:szCs w:val="22"/>
        </w:rPr>
        <w:t>vasario 22</w:t>
      </w:r>
      <w:r w:rsidR="002F456B" w:rsidRPr="002F09DA">
        <w:rPr>
          <w:rFonts w:cstheme="minorHAnsi"/>
          <w:szCs w:val="22"/>
        </w:rPr>
        <w:t xml:space="preserve"> d. prejudicinis sprendimas byloje </w:t>
      </w:r>
      <w:bookmarkEnd w:id="16"/>
      <w:r w:rsidRPr="002F09DA">
        <w:rPr>
          <w:rFonts w:cstheme="minorHAnsi"/>
          <w:szCs w:val="22"/>
        </w:rPr>
        <w:t>C</w:t>
      </w:r>
      <w:r w:rsidRPr="002F09DA">
        <w:rPr>
          <w:rFonts w:cstheme="minorHAnsi"/>
          <w:szCs w:val="22"/>
        </w:rPr>
        <w:noBreakHyphen/>
        <w:t>103/16</w:t>
      </w:r>
      <w:bookmarkEnd w:id="17"/>
    </w:p>
    <w:p w:rsidR="002F456B" w:rsidRPr="002F09DA" w:rsidRDefault="00544500" w:rsidP="00AD0B10">
      <w:pPr>
        <w:jc w:val="center"/>
        <w:rPr>
          <w:rFonts w:asciiTheme="minorHAnsi" w:hAnsiTheme="minorHAnsi" w:cstheme="minorHAnsi"/>
          <w:b/>
          <w:i/>
        </w:rPr>
      </w:pPr>
      <w:r w:rsidRPr="002F09DA">
        <w:rPr>
          <w:rFonts w:asciiTheme="minorHAnsi" w:hAnsiTheme="minorHAnsi" w:cstheme="minorHAnsi"/>
          <w:b/>
          <w:bCs/>
          <w:i/>
        </w:rPr>
        <w:t xml:space="preserve">Jessica Porras Guisado </w:t>
      </w:r>
      <w:r w:rsidR="002F456B" w:rsidRPr="002F09DA">
        <w:rPr>
          <w:rFonts w:asciiTheme="minorHAnsi" w:hAnsiTheme="minorHAnsi" w:cstheme="minorHAnsi"/>
          <w:b/>
          <w:i/>
        </w:rPr>
        <w:t xml:space="preserve">prieš </w:t>
      </w:r>
      <w:r w:rsidRPr="002F09DA">
        <w:rPr>
          <w:rFonts w:asciiTheme="minorHAnsi" w:hAnsiTheme="minorHAnsi" w:cstheme="minorHAnsi"/>
          <w:b/>
          <w:bCs/>
          <w:i/>
        </w:rPr>
        <w:t>Bankia SA ir kt.</w:t>
      </w:r>
    </w:p>
    <w:p w:rsidR="002F456B" w:rsidRPr="002F09DA" w:rsidRDefault="002F456B" w:rsidP="00AD0B10">
      <w:pPr>
        <w:ind w:firstLine="540"/>
        <w:rPr>
          <w:rFonts w:asciiTheme="minorHAnsi" w:hAnsiTheme="minorHAnsi" w:cstheme="minorHAnsi"/>
        </w:rPr>
      </w:pPr>
    </w:p>
    <w:p w:rsidR="002F456B" w:rsidRPr="002F09DA" w:rsidRDefault="002F456B" w:rsidP="00AD0B10">
      <w:pPr>
        <w:ind w:firstLine="567"/>
        <w:rPr>
          <w:rFonts w:asciiTheme="minorHAnsi" w:hAnsiTheme="minorHAnsi" w:cstheme="minorHAnsi"/>
        </w:rPr>
      </w:pPr>
      <w:r w:rsidRPr="002F09DA">
        <w:rPr>
          <w:rFonts w:asciiTheme="minorHAnsi" w:hAnsiTheme="minorHAnsi" w:cstheme="minorHAnsi"/>
        </w:rPr>
        <w:t xml:space="preserve">Prašymas priimti prejudicinį sprendimą pateiktas dėl </w:t>
      </w:r>
      <w:r w:rsidR="00F14D50" w:rsidRPr="002F09DA">
        <w:rPr>
          <w:rFonts w:asciiTheme="minorHAnsi" w:hAnsiTheme="minorHAnsi" w:cstheme="minorHAnsi"/>
        </w:rPr>
        <w:t xml:space="preserve">1992 m. spalio 19 d. Tarybos direktyvos 92/85/EEB dėl priemonių, skirtų skatinti, kad būtų užtikrinta geresnė nėščių ir neseniai pagimdžiusių arba maitinančių krūtimi darbuotojų sauga ir sveikata, nustatymo (dešimtoji atskira direktyva, kaip numatyta Direktyvos 89/391/EEB 16 straipsnio 1 dalyje) (OL L 348, 1992, p. 348; 2004 m. specialusis leidimas lietuvių k., 5 sk., 2 t., p. 110) (toliau – ir Direktyva 92/85) 10 straipsnio 1 ir 2 dalių ir dėl 1998 m. liepos 20 d. Tarybos direktyvos 98/59/EB dėl valstybių narių įstatymų, susijusių su kolektyviniu atleidimu iš darbo, suderinimo (OL L 225, 1998, p. 16; 2004 m. specialusis leidimas lietuvių k., 5 sk., 3 t., p. 3327) </w:t>
      </w:r>
      <w:r w:rsidR="00F710BC" w:rsidRPr="002F09DA">
        <w:rPr>
          <w:rFonts w:asciiTheme="minorHAnsi" w:hAnsiTheme="minorHAnsi" w:cstheme="minorHAnsi"/>
        </w:rPr>
        <w:t>(toliau – ir Direktyva 98/59) 1 </w:t>
      </w:r>
      <w:r w:rsidR="00F14D50" w:rsidRPr="002F09DA">
        <w:rPr>
          <w:rFonts w:asciiTheme="minorHAnsi" w:hAnsiTheme="minorHAnsi" w:cstheme="minorHAnsi"/>
        </w:rPr>
        <w:t xml:space="preserve">straipsnio 1 dalies a punkto išaiškinimo </w:t>
      </w:r>
      <w:r w:rsidRPr="002F09DA">
        <w:rPr>
          <w:rFonts w:asciiTheme="minorHAnsi" w:hAnsiTheme="minorHAnsi" w:cstheme="minorHAnsi"/>
        </w:rPr>
        <w:t>(1 punktas).</w:t>
      </w:r>
    </w:p>
    <w:p w:rsidR="002F456B" w:rsidRPr="002F09DA" w:rsidRDefault="00F14D50" w:rsidP="00AD0B10">
      <w:pPr>
        <w:ind w:firstLine="567"/>
        <w:rPr>
          <w:rFonts w:asciiTheme="minorHAnsi" w:hAnsiTheme="minorHAnsi" w:cstheme="minorHAnsi"/>
        </w:rPr>
      </w:pPr>
      <w:bookmarkStart w:id="18" w:name="point14"/>
      <w:r w:rsidRPr="002F09DA">
        <w:rPr>
          <w:rFonts w:asciiTheme="minorHAnsi" w:hAnsiTheme="minorHAnsi" w:cstheme="minorHAnsi"/>
        </w:rPr>
        <w:t>Prašymas pateiktas nagrinėjant Jessica Porras Guisado ir </w:t>
      </w:r>
      <w:r w:rsidRPr="002F09DA">
        <w:rPr>
          <w:rFonts w:asciiTheme="minorHAnsi" w:hAnsiTheme="minorHAnsi" w:cstheme="minorHAnsi"/>
          <w:i/>
          <w:iCs/>
        </w:rPr>
        <w:t>Bankia SA</w:t>
      </w:r>
      <w:r w:rsidRPr="002F09DA">
        <w:rPr>
          <w:rFonts w:asciiTheme="minorHAnsi" w:hAnsiTheme="minorHAnsi" w:cstheme="minorHAnsi"/>
        </w:rPr>
        <w:t>, įvairių profesinių sąjungų skyrių ir </w:t>
      </w:r>
      <w:r w:rsidRPr="002F09DA">
        <w:rPr>
          <w:rFonts w:asciiTheme="minorHAnsi" w:hAnsiTheme="minorHAnsi" w:cstheme="minorHAnsi"/>
          <w:i/>
          <w:iCs/>
        </w:rPr>
        <w:t>Fondo de Garantía Salarial</w:t>
      </w:r>
      <w:r w:rsidRPr="002F09DA">
        <w:rPr>
          <w:rFonts w:asciiTheme="minorHAnsi" w:hAnsiTheme="minorHAnsi" w:cstheme="minorHAnsi"/>
        </w:rPr>
        <w:t> (Darbo užmokesčio garantijų fondas (</w:t>
      </w:r>
      <w:r w:rsidRPr="002F09DA">
        <w:rPr>
          <w:rFonts w:asciiTheme="minorHAnsi" w:hAnsiTheme="minorHAnsi" w:cstheme="minorHAnsi"/>
          <w:i/>
          <w:iCs/>
        </w:rPr>
        <w:t>Fogasa</w:t>
      </w:r>
      <w:r w:rsidRPr="002F09DA">
        <w:rPr>
          <w:rFonts w:asciiTheme="minorHAnsi" w:hAnsiTheme="minorHAnsi" w:cstheme="minorHAnsi"/>
        </w:rPr>
        <w:t>, Ispanija) ginčą dėl J. Porras Guisado atleidimo iš darbo teisėtumo taikant kolektyvinio atleidimo iš darbo procedūrą tuo metu, kai ji buvo nėščia (2 punktas).</w:t>
      </w:r>
    </w:p>
    <w:p w:rsidR="00813294" w:rsidRPr="002F09DA" w:rsidRDefault="002D1F7A" w:rsidP="00AD0B10">
      <w:pPr>
        <w:ind w:firstLine="567"/>
        <w:rPr>
          <w:rFonts w:asciiTheme="minorHAnsi" w:hAnsiTheme="minorHAnsi" w:cstheme="minorHAnsi"/>
        </w:rPr>
      </w:pPr>
      <w:r w:rsidRPr="002F09DA">
        <w:rPr>
          <w:rFonts w:asciiTheme="minorHAnsi" w:hAnsiTheme="minorHAnsi" w:cstheme="minorHAnsi"/>
        </w:rPr>
        <w:t xml:space="preserve">Pagal byloje susiklosčiusias faktines aplinkybes, </w:t>
      </w:r>
      <w:r w:rsidR="00F14D50" w:rsidRPr="002F09DA">
        <w:rPr>
          <w:rFonts w:asciiTheme="minorHAnsi" w:hAnsiTheme="minorHAnsi" w:cstheme="minorHAnsi"/>
        </w:rPr>
        <w:t>2006 m. balandžio 18 d. J. Porras Guisado buvo įdarbinta įmonėje </w:t>
      </w:r>
      <w:r w:rsidR="00F14D50" w:rsidRPr="002F09DA">
        <w:rPr>
          <w:rFonts w:asciiTheme="minorHAnsi" w:hAnsiTheme="minorHAnsi" w:cstheme="minorHAnsi"/>
          <w:i/>
          <w:iCs/>
        </w:rPr>
        <w:t>Bankia</w:t>
      </w:r>
      <w:r w:rsidR="00F14D50" w:rsidRPr="002F09DA">
        <w:rPr>
          <w:rFonts w:asciiTheme="minorHAnsi" w:hAnsiTheme="minorHAnsi" w:cstheme="minorHAnsi"/>
        </w:rPr>
        <w:t>. 2013 m. sausio 9 d. </w:t>
      </w:r>
      <w:r w:rsidR="00F14D50" w:rsidRPr="002F09DA">
        <w:rPr>
          <w:rFonts w:asciiTheme="minorHAnsi" w:hAnsiTheme="minorHAnsi" w:cstheme="minorHAnsi"/>
          <w:i/>
          <w:iCs/>
        </w:rPr>
        <w:t>Bankia</w:t>
      </w:r>
      <w:r w:rsidR="00F14D50" w:rsidRPr="002F09DA">
        <w:rPr>
          <w:rFonts w:asciiTheme="minorHAnsi" w:hAnsiTheme="minorHAnsi" w:cstheme="minorHAnsi"/>
        </w:rPr>
        <w:t> pradėjo konsultacijas su darbuotojų atstovais, t. y. profesinių sąjungų CCOO, UGT, ACCAM, SATE ir CSICA skyriais, dėl planuojamo kolektyvinio atleidimo iš darbo. 2013 m. lapkričio 13 d. </w:t>
      </w:r>
      <w:r w:rsidR="00F14D50" w:rsidRPr="002F09DA">
        <w:rPr>
          <w:rFonts w:asciiTheme="minorHAnsi" w:hAnsiTheme="minorHAnsi" w:cstheme="minorHAnsi"/>
          <w:i/>
          <w:iCs/>
        </w:rPr>
        <w:t>Bankia</w:t>
      </w:r>
      <w:r w:rsidR="00F14D50" w:rsidRPr="002F09DA">
        <w:rPr>
          <w:rFonts w:asciiTheme="minorHAnsi" w:hAnsiTheme="minorHAnsi" w:cstheme="minorHAnsi"/>
        </w:rPr>
        <w:t> </w:t>
      </w:r>
      <w:r w:rsidR="00160FC7" w:rsidRPr="002F09DA">
        <w:rPr>
          <w:rFonts w:asciiTheme="minorHAnsi" w:hAnsiTheme="minorHAnsi" w:cstheme="minorHAnsi"/>
        </w:rPr>
        <w:t xml:space="preserve">laišku, priimtu atsižvelgiant į susitarimą, pasiektą su derybine grupe, </w:t>
      </w:r>
      <w:r w:rsidR="00F14D50" w:rsidRPr="002F09DA">
        <w:rPr>
          <w:rFonts w:asciiTheme="minorHAnsi" w:hAnsiTheme="minorHAnsi" w:cstheme="minorHAnsi"/>
        </w:rPr>
        <w:t xml:space="preserve">pranešė J. Porras Guisado apie </w:t>
      </w:r>
      <w:r w:rsidR="00813294" w:rsidRPr="002F09DA">
        <w:rPr>
          <w:rFonts w:asciiTheme="minorHAnsi" w:hAnsiTheme="minorHAnsi" w:cstheme="minorHAnsi"/>
        </w:rPr>
        <w:t xml:space="preserve">jos </w:t>
      </w:r>
      <w:r w:rsidR="00F14D50" w:rsidRPr="002F09DA">
        <w:rPr>
          <w:rFonts w:asciiTheme="minorHAnsi" w:hAnsiTheme="minorHAnsi" w:cstheme="minorHAnsi"/>
        </w:rPr>
        <w:t>atleidimą iš darbo. </w:t>
      </w:r>
      <w:r w:rsidR="00160FC7" w:rsidRPr="002F09DA">
        <w:rPr>
          <w:rFonts w:asciiTheme="minorHAnsi" w:hAnsiTheme="minorHAnsi" w:cstheme="minorHAnsi"/>
        </w:rPr>
        <w:t>Laiške, be kita ko, buvo teigiama, kad provincijo</w:t>
      </w:r>
      <w:r w:rsidR="00813294" w:rsidRPr="002F09DA">
        <w:rPr>
          <w:rFonts w:asciiTheme="minorHAnsi" w:hAnsiTheme="minorHAnsi" w:cstheme="minorHAnsi"/>
        </w:rPr>
        <w:t>je</w:t>
      </w:r>
      <w:r w:rsidR="00160FC7" w:rsidRPr="002F09DA">
        <w:rPr>
          <w:rFonts w:asciiTheme="minorHAnsi" w:hAnsiTheme="minorHAnsi" w:cstheme="minorHAnsi"/>
        </w:rPr>
        <w:t xml:space="preserve">, kurioje </w:t>
      </w:r>
      <w:r w:rsidR="00813294" w:rsidRPr="002F09DA">
        <w:rPr>
          <w:rFonts w:asciiTheme="minorHAnsi" w:hAnsiTheme="minorHAnsi" w:cstheme="minorHAnsi"/>
        </w:rPr>
        <w:t>ji dirbo</w:t>
      </w:r>
      <w:r w:rsidR="00160FC7" w:rsidRPr="002F09DA">
        <w:rPr>
          <w:rFonts w:asciiTheme="minorHAnsi" w:hAnsiTheme="minorHAnsi" w:cstheme="minorHAnsi"/>
        </w:rPr>
        <w:t>,</w:t>
      </w:r>
      <w:r w:rsidR="00813294" w:rsidRPr="002F09DA">
        <w:rPr>
          <w:rFonts w:asciiTheme="minorHAnsi" w:hAnsiTheme="minorHAnsi" w:cstheme="minorHAnsi"/>
        </w:rPr>
        <w:t xml:space="preserve"> buvo būtina</w:t>
      </w:r>
      <w:r w:rsidR="00160FC7" w:rsidRPr="002F09DA">
        <w:rPr>
          <w:rFonts w:asciiTheme="minorHAnsi" w:hAnsiTheme="minorHAnsi" w:cstheme="minorHAnsi"/>
        </w:rPr>
        <w:t xml:space="preserve"> dar labiau maži</w:t>
      </w:r>
      <w:r w:rsidR="00813294" w:rsidRPr="002F09DA">
        <w:rPr>
          <w:rFonts w:asciiTheme="minorHAnsi" w:hAnsiTheme="minorHAnsi" w:cstheme="minorHAnsi"/>
        </w:rPr>
        <w:t xml:space="preserve">nti darbuotojų skaičių; per konsultacijų laikotarpį įmonėje atliktas vertinimas patvirtino, kad jos įvertinimas yra 6 balai, o tai yra vienas iš mažiausių įvertinimų provincijoje. </w:t>
      </w:r>
      <w:r w:rsidR="00F14D50" w:rsidRPr="002F09DA">
        <w:rPr>
          <w:rFonts w:asciiTheme="minorHAnsi" w:hAnsiTheme="minorHAnsi" w:cstheme="minorHAnsi"/>
        </w:rPr>
        <w:t>Atleidimo iš darbo momentu J. Porras Guisado buvo nėščia (16–23</w:t>
      </w:r>
      <w:r w:rsidR="000B2004" w:rsidRPr="002F09DA">
        <w:rPr>
          <w:rFonts w:asciiTheme="minorHAnsi" w:hAnsiTheme="minorHAnsi" w:cstheme="minorHAnsi"/>
        </w:rPr>
        <w:t xml:space="preserve"> punktai</w:t>
      </w:r>
      <w:r w:rsidR="00F14D50" w:rsidRPr="002F09DA">
        <w:rPr>
          <w:rFonts w:asciiTheme="minorHAnsi" w:hAnsiTheme="minorHAnsi" w:cstheme="minorHAnsi"/>
        </w:rPr>
        <w:t>). </w:t>
      </w:r>
    </w:p>
    <w:p w:rsidR="00F14D50" w:rsidRPr="002F09DA" w:rsidRDefault="00F14D50" w:rsidP="00AD0B10">
      <w:pPr>
        <w:ind w:firstLine="567"/>
        <w:rPr>
          <w:rFonts w:asciiTheme="minorHAnsi" w:eastAsia="Times New Roman" w:hAnsiTheme="minorHAnsi" w:cstheme="minorHAnsi"/>
          <w:lang w:eastAsia="lt-LT"/>
        </w:rPr>
      </w:pPr>
      <w:r w:rsidRPr="002F09DA">
        <w:rPr>
          <w:rFonts w:asciiTheme="minorHAnsi" w:hAnsiTheme="minorHAnsi" w:cstheme="minorHAnsi"/>
        </w:rPr>
        <w:t xml:space="preserve">Bylą dėl atleidimo nagrinėjant teismuose, </w:t>
      </w:r>
      <w:r w:rsidRPr="002F09DA">
        <w:rPr>
          <w:rFonts w:asciiTheme="minorHAnsi" w:eastAsia="Times New Roman" w:hAnsiTheme="minorHAnsi" w:cstheme="minorHAnsi"/>
          <w:i/>
          <w:iCs/>
          <w:lang w:eastAsia="lt-LT"/>
        </w:rPr>
        <w:t>Tribunal Superior de Justicia de Cataluña</w:t>
      </w:r>
      <w:r w:rsidRPr="002F09DA">
        <w:rPr>
          <w:rFonts w:asciiTheme="minorHAnsi" w:eastAsia="Times New Roman" w:hAnsiTheme="minorHAnsi" w:cstheme="minorHAnsi"/>
          <w:lang w:eastAsia="lt-LT"/>
        </w:rPr>
        <w:t> (Katalonijos Aukštesnysis teisingumo teismas, Ispanija) nusprendė sustabdyti bylos nagrinėjimą ir pateikti Teisingumo Teismui prejudicinius klausimus (28 punktas.)</w:t>
      </w:r>
    </w:p>
    <w:bookmarkEnd w:id="18"/>
    <w:p w:rsidR="00F14D50" w:rsidRPr="002F09DA" w:rsidRDefault="00F14D50" w:rsidP="00AD0B10">
      <w:pPr>
        <w:ind w:firstLine="567"/>
        <w:rPr>
          <w:rFonts w:asciiTheme="minorHAnsi" w:hAnsiTheme="minorHAnsi" w:cstheme="minorHAnsi"/>
          <w:b/>
        </w:rPr>
      </w:pPr>
    </w:p>
    <w:p w:rsidR="002F456B" w:rsidRPr="002F09DA" w:rsidRDefault="002F456B" w:rsidP="00AD0B10">
      <w:pPr>
        <w:pStyle w:val="Antrat3"/>
        <w:ind w:firstLine="567"/>
        <w:rPr>
          <w:rFonts w:cstheme="minorHAnsi"/>
          <w:b w:val="0"/>
        </w:rPr>
      </w:pPr>
      <w:bookmarkStart w:id="19" w:name="_Toc517273022"/>
      <w:r w:rsidRPr="002F09DA">
        <w:rPr>
          <w:rFonts w:cstheme="minorHAnsi"/>
        </w:rPr>
        <w:t xml:space="preserve">Dėl </w:t>
      </w:r>
      <w:r w:rsidR="00F710BC" w:rsidRPr="002F09DA">
        <w:rPr>
          <w:rFonts w:cstheme="minorHAnsi"/>
        </w:rPr>
        <w:t>nacionalinių teisės aktų, pagal kuriuos leidžiama atleisti nėščią darbuotoją dėl vykdomo kolektyvinio atleidimo iš darbo, taikymo</w:t>
      </w:r>
      <w:bookmarkEnd w:id="19"/>
    </w:p>
    <w:p w:rsidR="002F456B" w:rsidRPr="002F09DA" w:rsidRDefault="002F456B" w:rsidP="00AD0B10">
      <w:pPr>
        <w:ind w:firstLine="567"/>
        <w:rPr>
          <w:rFonts w:asciiTheme="minorHAnsi" w:hAnsiTheme="minorHAnsi" w:cstheme="minorHAnsi"/>
          <w:b/>
        </w:rPr>
      </w:pPr>
    </w:p>
    <w:p w:rsidR="00F14D50" w:rsidRPr="002F09DA" w:rsidRDefault="00F14D50" w:rsidP="00AD0B10">
      <w:pPr>
        <w:ind w:firstLine="567"/>
        <w:rPr>
          <w:rFonts w:asciiTheme="minorHAnsi" w:hAnsiTheme="minorHAnsi" w:cstheme="minorHAnsi"/>
        </w:rPr>
      </w:pPr>
      <w:r w:rsidRPr="002F09DA">
        <w:rPr>
          <w:rFonts w:asciiTheme="minorHAnsi" w:hAnsiTheme="minorHAnsi" w:cstheme="minorHAnsi"/>
        </w:rPr>
        <w:t xml:space="preserve">Teisingumo Teismas nurodė, kad Direktyvos 92/85 10 straipsnio 1 punkte nustatyta, kad valstybės narės imasi būtinų priemonių uždrausti darbuotojų atleidimą iš darbo nuo jų nėštumo pradžios iki motinystės atostogų pabaigos, išskyrus su jų padėtimi nesusijusius išskirtinius atvejus, leidžiamus pagal nacionalinės teisės aktus ir (arba) praktiką, ir, kur taikoma, jei kompetentinga institucija yra davusi savo sutikimą (41 punktas). </w:t>
      </w:r>
      <w:r w:rsidR="00A81BB0" w:rsidRPr="002F09DA">
        <w:rPr>
          <w:rFonts w:asciiTheme="minorHAnsi" w:hAnsiTheme="minorHAnsi" w:cstheme="minorHAnsi"/>
        </w:rPr>
        <w:t>Pažymėta, kad jeigu nėščia, krūtimi maitinanti ar neseniai pagimdžiusi darbuotoja atleidžiama pagal kolektyvinio atleidimo iš darbo procedūrą, ji priklauso ir pagal Direktyvą 92/85, ir pagal Direktyvą 98/59 saugomų darbuotojų grupėms. Todėl vienu metu ji turi naudotis abiejose direktyvose įtvirtintomis teisėmis (43 punktas).</w:t>
      </w:r>
    </w:p>
    <w:p w:rsidR="00F710BC" w:rsidRPr="002F09DA" w:rsidRDefault="00CA6E81" w:rsidP="00AD0B10">
      <w:pPr>
        <w:ind w:firstLine="567"/>
        <w:rPr>
          <w:rFonts w:asciiTheme="minorHAnsi" w:eastAsia="Times New Roman" w:hAnsiTheme="minorHAnsi" w:cstheme="minorHAnsi"/>
          <w:lang w:eastAsia="lt-LT"/>
        </w:rPr>
      </w:pPr>
      <w:r w:rsidRPr="002F09DA">
        <w:rPr>
          <w:rFonts w:asciiTheme="minorHAnsi" w:eastAsia="Times New Roman" w:hAnsiTheme="minorHAnsi" w:cstheme="minorHAnsi"/>
          <w:lang w:eastAsia="lt-LT"/>
        </w:rPr>
        <w:t xml:space="preserve">Pastebėta, kad jeigu sprendimas atleisti iš darbo buvo priimtas dėl iš esmės su darbuotojos nėštumu susijusių priežasčių, toks sprendimas yra nesuderinamas su </w:t>
      </w:r>
      <w:r w:rsidR="00575462" w:rsidRPr="002F09DA">
        <w:rPr>
          <w:rFonts w:asciiTheme="minorHAnsi" w:eastAsia="Times New Roman" w:hAnsiTheme="minorHAnsi" w:cstheme="minorHAnsi"/>
          <w:lang w:eastAsia="lt-LT"/>
        </w:rPr>
        <w:t xml:space="preserve">Direktyvoje </w:t>
      </w:r>
      <w:r w:rsidR="00575462" w:rsidRPr="002F09DA">
        <w:rPr>
          <w:rFonts w:asciiTheme="minorHAnsi" w:hAnsiTheme="minorHAnsi" w:cstheme="minorHAnsi"/>
        </w:rPr>
        <w:t xml:space="preserve">92/85 nustatytu </w:t>
      </w:r>
      <w:r w:rsidR="00575462" w:rsidRPr="002F09DA">
        <w:rPr>
          <w:rFonts w:asciiTheme="minorHAnsi" w:eastAsia="Times New Roman" w:hAnsiTheme="minorHAnsi" w:cstheme="minorHAnsi"/>
          <w:lang w:eastAsia="lt-LT"/>
        </w:rPr>
        <w:t>draudimu atleisti iš darbo</w:t>
      </w:r>
      <w:r w:rsidRPr="002F09DA">
        <w:rPr>
          <w:rFonts w:asciiTheme="minorHAnsi" w:eastAsia="Times New Roman" w:hAnsiTheme="minorHAnsi" w:cstheme="minorHAnsi"/>
          <w:lang w:eastAsia="lt-LT"/>
        </w:rPr>
        <w:t>.</w:t>
      </w:r>
      <w:r w:rsidR="00575462" w:rsidRPr="002F09DA">
        <w:rPr>
          <w:rFonts w:asciiTheme="minorHAnsi" w:hAnsiTheme="minorHAnsi" w:cstheme="minorHAnsi"/>
          <w:color w:val="333333"/>
          <w:shd w:val="clear" w:color="auto" w:fill="FFFFFF"/>
        </w:rPr>
        <w:t xml:space="preserve"> </w:t>
      </w:r>
      <w:r w:rsidR="00575462" w:rsidRPr="002F09DA">
        <w:rPr>
          <w:rFonts w:asciiTheme="minorHAnsi" w:eastAsia="Times New Roman" w:hAnsiTheme="minorHAnsi" w:cstheme="minorHAnsi"/>
          <w:lang w:eastAsia="lt-LT"/>
        </w:rPr>
        <w:t xml:space="preserve">Kita vertus, sprendimas atleisti iš darbo, priimtas laikotarpiu nuo nėštumo pradžios iki motinystės atostogų pabaigos dėl su darbuotojos nėštumu nesusijusių priežasčių, nepažeistų Direktyvos </w:t>
      </w:r>
      <w:r w:rsidR="00575462" w:rsidRPr="002F09DA">
        <w:rPr>
          <w:rFonts w:asciiTheme="minorHAnsi" w:hAnsiTheme="minorHAnsi" w:cstheme="minorHAnsi"/>
        </w:rPr>
        <w:t>92/85 </w:t>
      </w:r>
      <w:r w:rsidR="00575462" w:rsidRPr="002F09DA">
        <w:rPr>
          <w:rFonts w:asciiTheme="minorHAnsi" w:eastAsia="Times New Roman" w:hAnsiTheme="minorHAnsi" w:cstheme="minorHAnsi"/>
          <w:lang w:eastAsia="lt-LT"/>
        </w:rPr>
        <w:t>10 straipsnio, tačiau su sąlyga, kad darbdavys raštu išdėstytų pateisinamas atleidimo iš darbo priežastis ir suinteresuotosios darbuotojos atleidimas iš darbo būtų leistinas pagal atitinkamus teisės aktus ir (arba) praktiką, laikantis Direktyvos 9</w:t>
      </w:r>
      <w:r w:rsidR="00DD076F" w:rsidRPr="002F09DA">
        <w:rPr>
          <w:rFonts w:asciiTheme="minorHAnsi" w:eastAsia="Times New Roman" w:hAnsiTheme="minorHAnsi" w:cstheme="minorHAnsi"/>
          <w:lang w:eastAsia="lt-LT"/>
        </w:rPr>
        <w:t>2/85 10 straipsnio 1 ir 2 punktų</w:t>
      </w:r>
      <w:r w:rsidR="00575462" w:rsidRPr="002F09DA">
        <w:rPr>
          <w:rFonts w:asciiTheme="minorHAnsi" w:eastAsia="Times New Roman" w:hAnsiTheme="minorHAnsi" w:cstheme="minorHAnsi"/>
          <w:lang w:eastAsia="lt-LT"/>
        </w:rPr>
        <w:t xml:space="preserve"> (47–48 punktai).</w:t>
      </w:r>
    </w:p>
    <w:p w:rsidR="00DD076F" w:rsidRPr="002F09DA" w:rsidRDefault="00DD076F" w:rsidP="00AD0B10">
      <w:pPr>
        <w:ind w:firstLine="567"/>
        <w:rPr>
          <w:rFonts w:asciiTheme="minorHAnsi" w:eastAsia="Times New Roman" w:hAnsiTheme="minorHAnsi" w:cstheme="minorHAnsi"/>
          <w:lang w:eastAsia="lt-LT"/>
        </w:rPr>
      </w:pPr>
      <w:r w:rsidRPr="002F09DA">
        <w:rPr>
          <w:rFonts w:asciiTheme="minorHAnsi" w:eastAsia="Times New Roman" w:hAnsiTheme="minorHAnsi" w:cstheme="minorHAnsi"/>
          <w:lang w:eastAsia="lt-LT"/>
        </w:rPr>
        <w:lastRenderedPageBreak/>
        <w:t>Padaryta išvada, kad viena ar kelios su darbuotojų asmeniu nesusijusios priežastys, dėl kurių vykdomas kolektyvinis atleidimas iš darbo, kaip tai suprantama pagal Direktyvos 98/59 1 straipsnio 1 punktą, priskiriamos prie išimties atvejų, nesusijusių su nėščių darbuotojų padėtimi, kaip tai suprantama pagal Direktyvos 92/85 10 straipsnio 1 punktą (49 punktas).</w:t>
      </w:r>
    </w:p>
    <w:p w:rsidR="002F456B" w:rsidRPr="002F09DA" w:rsidRDefault="002F456B" w:rsidP="00AD0B10">
      <w:pPr>
        <w:ind w:firstLine="567"/>
        <w:rPr>
          <w:rFonts w:asciiTheme="minorHAnsi" w:eastAsia="Times New Roman" w:hAnsiTheme="minorHAnsi" w:cstheme="minorHAnsi"/>
          <w:lang w:eastAsia="lt-LT"/>
        </w:rPr>
      </w:pPr>
    </w:p>
    <w:p w:rsidR="002F456B" w:rsidRPr="002F09DA" w:rsidRDefault="002F456B" w:rsidP="00AD0B10">
      <w:pPr>
        <w:pStyle w:val="Antrat3"/>
        <w:ind w:firstLine="567"/>
        <w:rPr>
          <w:rFonts w:cstheme="minorHAnsi"/>
          <w:b w:val="0"/>
        </w:rPr>
      </w:pPr>
      <w:bookmarkStart w:id="20" w:name="_Toc517273023"/>
      <w:r w:rsidRPr="002F09DA">
        <w:rPr>
          <w:rFonts w:cstheme="minorHAnsi"/>
        </w:rPr>
        <w:t xml:space="preserve">Dėl </w:t>
      </w:r>
      <w:r w:rsidR="00610307" w:rsidRPr="002F09DA">
        <w:rPr>
          <w:rFonts w:cstheme="minorHAnsi"/>
        </w:rPr>
        <w:t>nacionalinės teisės aktų, pagal kuriuos darbdaviui leidžiama atleisti iš darbo nėščią darbuotoją dėl vykdomo kolektyvinio atleidimo iš darbo, jai nepateikiant jokių pagrindžiančių priežasčių, išskyrus tas, kuriomis grindžiamas kolektyvinis atleidimas iš darbo</w:t>
      </w:r>
      <w:bookmarkEnd w:id="20"/>
    </w:p>
    <w:p w:rsidR="002F456B" w:rsidRPr="002F09DA" w:rsidRDefault="002F456B" w:rsidP="00AD0B10">
      <w:pPr>
        <w:ind w:firstLine="567"/>
        <w:rPr>
          <w:rFonts w:asciiTheme="minorHAnsi" w:hAnsiTheme="minorHAnsi" w:cstheme="minorHAnsi"/>
          <w:b/>
        </w:rPr>
      </w:pPr>
    </w:p>
    <w:p w:rsidR="002F456B" w:rsidRPr="002F09DA" w:rsidRDefault="002F456B" w:rsidP="00AD0B10">
      <w:pPr>
        <w:ind w:firstLine="567"/>
        <w:rPr>
          <w:rFonts w:asciiTheme="minorHAnsi" w:hAnsiTheme="minorHAnsi" w:cstheme="minorHAnsi"/>
        </w:rPr>
      </w:pPr>
      <w:r w:rsidRPr="002F09DA">
        <w:rPr>
          <w:rFonts w:asciiTheme="minorHAnsi" w:hAnsiTheme="minorHAnsi" w:cstheme="minorHAnsi"/>
        </w:rPr>
        <w:t xml:space="preserve">Šiuo aspektu Teisingumo Teismas pažymėjo, kad </w:t>
      </w:r>
      <w:r w:rsidR="003265B1" w:rsidRPr="002F09DA">
        <w:rPr>
          <w:rFonts w:asciiTheme="minorHAnsi" w:hAnsiTheme="minorHAnsi" w:cstheme="minorHAnsi"/>
        </w:rPr>
        <w:t>Direktyvos 92/85 10 straipsnio 2 punkte nustatyta, kad jei darbuotoja atleidžiama iš darbo per laikotarpį nuo nėštumo pradžios iki motinystės atostogų pabaigos, darbdavys turi raštu nurodyti pagrįstas jos atleidimo priežastis (52 punktas).</w:t>
      </w:r>
    </w:p>
    <w:p w:rsidR="003265B1" w:rsidRPr="002F09DA" w:rsidRDefault="003265B1" w:rsidP="00AD0B10">
      <w:pPr>
        <w:ind w:firstLine="567"/>
        <w:rPr>
          <w:rFonts w:asciiTheme="minorHAnsi" w:hAnsiTheme="minorHAnsi" w:cstheme="minorHAnsi"/>
        </w:rPr>
      </w:pPr>
      <w:r w:rsidRPr="002F09DA">
        <w:rPr>
          <w:rFonts w:asciiTheme="minorHAnsi" w:hAnsiTheme="minorHAnsi" w:cstheme="minorHAnsi"/>
        </w:rPr>
        <w:t>Taigi darbdavys privalo nėščiai darbuotojai, kurią rengiasi atleisti arba jau atleido iš darbo, raštu išdėstyti su jos asmeniu nesusijusias priežastis, dėl kurių vykdo kolektyvinį atleidimą iš darbo, kaip tai suprantama pagal Direktyvos 98/59 1 straipsnio 1 dalies a punktą. Šios priežastys gali būti, be kita ko, ekonominės, techninės, ar susijusius su įmonės darbo organizavimu arba gamyba (53 punktas). Be to, darbdavys privalo nėščiai darbuotojai nurodyti objektyvius kriterijus, pasirinktus taikyti nustatant, kurie darbuotojai bus atleisti (54 punktas).</w:t>
      </w:r>
    </w:p>
    <w:p w:rsidR="00610307" w:rsidRPr="002F09DA" w:rsidRDefault="00610307" w:rsidP="00AD0B10">
      <w:pPr>
        <w:ind w:firstLine="567"/>
        <w:rPr>
          <w:rFonts w:asciiTheme="minorHAnsi" w:hAnsiTheme="minorHAnsi" w:cstheme="minorHAnsi"/>
        </w:rPr>
      </w:pPr>
    </w:p>
    <w:p w:rsidR="00610307" w:rsidRPr="002F09DA" w:rsidRDefault="00610307" w:rsidP="00AD0B10">
      <w:pPr>
        <w:pStyle w:val="Antrat3"/>
        <w:ind w:firstLine="567"/>
        <w:rPr>
          <w:rFonts w:cstheme="minorHAnsi"/>
          <w:b w:val="0"/>
        </w:rPr>
      </w:pPr>
      <w:bookmarkStart w:id="21" w:name="_Toc517273024"/>
      <w:r w:rsidRPr="002F09DA">
        <w:rPr>
          <w:rFonts w:cstheme="minorHAnsi"/>
        </w:rPr>
        <w:t xml:space="preserve">Dėl </w:t>
      </w:r>
      <w:r w:rsidR="00FF6B34" w:rsidRPr="002F09DA">
        <w:rPr>
          <w:rFonts w:cstheme="minorHAnsi"/>
        </w:rPr>
        <w:t>nacionalinės teisės aktų, kuriais iš principo prevenciškai nedraudžiama atleisti iš darbo nėščios, neseniai pagimdžiusios ar krūtimi maitinančios darbuotojos ir kuriuose tik numatyta, kad turi būti išmokėtas žalos atlyginimas</w:t>
      </w:r>
      <w:bookmarkEnd w:id="21"/>
    </w:p>
    <w:p w:rsidR="00610307" w:rsidRPr="002F09DA" w:rsidRDefault="00610307" w:rsidP="00AD0B10">
      <w:pPr>
        <w:ind w:firstLine="567"/>
        <w:rPr>
          <w:rFonts w:asciiTheme="minorHAnsi" w:hAnsiTheme="minorHAnsi" w:cstheme="minorHAnsi"/>
          <w:b/>
        </w:rPr>
      </w:pPr>
    </w:p>
    <w:p w:rsidR="00F70A40" w:rsidRPr="002F09DA" w:rsidRDefault="00610307" w:rsidP="00AD0B10">
      <w:pPr>
        <w:ind w:firstLine="567"/>
        <w:rPr>
          <w:rFonts w:asciiTheme="minorHAnsi" w:hAnsiTheme="minorHAnsi" w:cstheme="minorHAnsi"/>
        </w:rPr>
      </w:pPr>
      <w:r w:rsidRPr="002F09DA">
        <w:rPr>
          <w:rFonts w:asciiTheme="minorHAnsi" w:hAnsiTheme="minorHAnsi" w:cstheme="minorHAnsi"/>
        </w:rPr>
        <w:t xml:space="preserve">Teisingumo Teismas </w:t>
      </w:r>
      <w:r w:rsidR="00FF6B34" w:rsidRPr="002F09DA">
        <w:rPr>
          <w:rFonts w:asciiTheme="minorHAnsi" w:hAnsiTheme="minorHAnsi" w:cstheme="minorHAnsi"/>
        </w:rPr>
        <w:t>nurodė, kad Direktyvos 92/85 10 straipsnyje aiškiai atskiriama prevencinė apsauga nuo paties atleidimo iš darbo ir apsauga nuo atleidimo iš darbo padarinių žalos atlyginimo išmokėjimo tikslais. Todėl norėdamos tinkamai perkelti šį straipsnį, valstybės narės privalo nustatyti dvejopą apsaugą</w:t>
      </w:r>
      <w:r w:rsidR="00E558AA" w:rsidRPr="002F09DA">
        <w:rPr>
          <w:rFonts w:asciiTheme="minorHAnsi" w:hAnsiTheme="minorHAnsi" w:cstheme="minorHAnsi"/>
        </w:rPr>
        <w:t xml:space="preserve"> (59 punktas)</w:t>
      </w:r>
      <w:r w:rsidR="00FF6B34" w:rsidRPr="002F09DA">
        <w:rPr>
          <w:rFonts w:asciiTheme="minorHAnsi" w:hAnsiTheme="minorHAnsi" w:cstheme="minorHAnsi"/>
        </w:rPr>
        <w:t>.</w:t>
      </w:r>
    </w:p>
    <w:p w:rsidR="00E558AA" w:rsidRPr="002F09DA" w:rsidRDefault="00E558AA" w:rsidP="00AD0B10">
      <w:pPr>
        <w:ind w:firstLine="567"/>
        <w:rPr>
          <w:rFonts w:asciiTheme="minorHAnsi" w:hAnsiTheme="minorHAnsi" w:cstheme="minorHAnsi"/>
        </w:rPr>
      </w:pPr>
      <w:r w:rsidRPr="002F09DA">
        <w:rPr>
          <w:rFonts w:asciiTheme="minorHAnsi" w:hAnsiTheme="minorHAnsi" w:cstheme="minorHAnsi"/>
        </w:rPr>
        <w:t>Dėl nėščių, neseniai pagimdžiusių ir krūtimi maitinančių darbuotojų prevencinės apsaugos nuo atleidimo iš darbo pažymėta, kad ji yra labai svarbi Direktyvoje 92/85 (60 punktas). Būtent atsižvelgdamas į pavojų, kurį galimas atleidimas iš darbo keltų nėščių, neseniai pagimdžiusių arba maitinančių krūtimi darbuotojų fizinei ir psichinei būklei, įskaitant ypač rimtą pavojų, kad nėščios moterys gali būti skatinamos savanoriškai nutraukti nėštumą, Sąjungos teisės aktų leidėjas Direktyvos 92/85 10 straipsnyje numatė specialią moters apsaugą, uždrausdamas atleisti ją iš darbo nuo nėštumo pradžios iki motinystės atostogų pabaigos (62 punktas).</w:t>
      </w:r>
      <w:r w:rsidRPr="002F09DA">
        <w:rPr>
          <w:rFonts w:asciiTheme="minorHAnsi" w:hAnsiTheme="minorHAnsi" w:cstheme="minorHAnsi"/>
          <w:color w:val="333333"/>
          <w:shd w:val="clear" w:color="auto" w:fill="FFFFFF"/>
        </w:rPr>
        <w:t xml:space="preserve"> </w:t>
      </w:r>
      <w:r w:rsidRPr="002F09DA">
        <w:rPr>
          <w:rFonts w:asciiTheme="minorHAnsi" w:hAnsiTheme="minorHAnsi" w:cstheme="minorHAnsi"/>
        </w:rPr>
        <w:t>Atsižvelgiant į pavojų fizinei ir psichinei nėščių, neseniai pagimdžiusių arba maitinančių krūtimi darbuotojų būklei dėl pavojaus būti atleistoms iš darbo, apsauga skiriant žalos atlyginimą, net jeigu atleista darbuotoja bus grąžinta į darbą ir išmokėtas negautas atlyginimas dėl atleidimo, negali pakeisti prevencinės apsaugos (64 punktas).</w:t>
      </w:r>
    </w:p>
    <w:p w:rsidR="000367E0" w:rsidRPr="002F09DA" w:rsidRDefault="000367E0" w:rsidP="00AD0B10">
      <w:pPr>
        <w:ind w:firstLine="567"/>
        <w:rPr>
          <w:rFonts w:asciiTheme="minorHAnsi" w:hAnsiTheme="minorHAnsi" w:cstheme="minorHAnsi"/>
        </w:rPr>
      </w:pPr>
      <w:r w:rsidRPr="002F09DA">
        <w:rPr>
          <w:rFonts w:asciiTheme="minorHAnsi" w:hAnsiTheme="minorHAnsi" w:cstheme="minorHAnsi"/>
        </w:rPr>
        <w:t>Taigi siekiant užtikrinti tikslų Direktyvos 92/85 10 straipsnio perkėlimą ir nėščių, neseniai pagimdžiusių arba maitinančių krūtimi darbuotojų apsaugą dėl pavojaus būti atleistoms iš darbo, valstybės narės negali apsiriboti tik nustatymu, kad toks atleidimas yra negaliojantis, jei nepagrįstas, ir išmokėti žalos atlyginimą (65 punktas).</w:t>
      </w:r>
    </w:p>
    <w:p w:rsidR="00445355" w:rsidRPr="002F09DA" w:rsidRDefault="00445355" w:rsidP="00AD0B10">
      <w:pPr>
        <w:ind w:firstLine="567"/>
        <w:rPr>
          <w:rFonts w:asciiTheme="minorHAnsi" w:hAnsiTheme="minorHAnsi" w:cstheme="minorHAnsi"/>
        </w:rPr>
      </w:pPr>
    </w:p>
    <w:p w:rsidR="00445355" w:rsidRPr="002F09DA" w:rsidRDefault="00445355" w:rsidP="00AD0B10">
      <w:pPr>
        <w:pStyle w:val="Antrat3"/>
        <w:ind w:firstLine="567"/>
        <w:rPr>
          <w:rFonts w:cstheme="minorHAnsi"/>
          <w:b w:val="0"/>
        </w:rPr>
      </w:pPr>
      <w:bookmarkStart w:id="22" w:name="_Toc517273025"/>
      <w:r w:rsidRPr="002F09DA">
        <w:rPr>
          <w:rFonts w:cstheme="minorHAnsi"/>
        </w:rPr>
        <w:t xml:space="preserve">Dėl </w:t>
      </w:r>
      <w:r w:rsidR="00212842" w:rsidRPr="002F09DA">
        <w:rPr>
          <w:rFonts w:cstheme="minorHAnsi"/>
        </w:rPr>
        <w:t>nacionalinės teisės aktų, kuriuose, vykdant kolektyvinį atleidimą iš darbo, kaip tai suprantama pagal Direktyvą 98/59, nėščioms nenumatyta pirmenybė</w:t>
      </w:r>
      <w:bookmarkEnd w:id="22"/>
    </w:p>
    <w:p w:rsidR="00445355" w:rsidRPr="002F09DA" w:rsidRDefault="00445355" w:rsidP="00AD0B10">
      <w:pPr>
        <w:ind w:firstLine="567"/>
        <w:rPr>
          <w:rFonts w:asciiTheme="minorHAnsi" w:hAnsiTheme="minorHAnsi" w:cstheme="minorHAnsi"/>
          <w:b/>
        </w:rPr>
      </w:pPr>
    </w:p>
    <w:p w:rsidR="00445355" w:rsidRPr="002F09DA" w:rsidRDefault="00445355" w:rsidP="00AD0B10">
      <w:pPr>
        <w:ind w:firstLine="567"/>
        <w:rPr>
          <w:rFonts w:asciiTheme="minorHAnsi" w:hAnsiTheme="minorHAnsi" w:cstheme="minorHAnsi"/>
        </w:rPr>
      </w:pPr>
      <w:r w:rsidRPr="002F09DA">
        <w:rPr>
          <w:rFonts w:asciiTheme="minorHAnsi" w:hAnsiTheme="minorHAnsi" w:cstheme="minorHAnsi"/>
        </w:rPr>
        <w:t>Teisingumo Teismas nurodė, kad valstybių narių nereikalaujama nėščioms, neseniai pagimdžiusioms arba krūtimi maitinančioms darbuotojoms numatyti pirmenybės išsaugoti darbo vietas ar pirmenybės būti paskirtoms į kitą darbo vietą, kurios būtų taikomos prieš vykdant kolektyvinį atleidimą (72 punktas).</w:t>
      </w:r>
      <w:r w:rsidRPr="002F09DA">
        <w:rPr>
          <w:rFonts w:asciiTheme="minorHAnsi" w:hAnsiTheme="minorHAnsi" w:cstheme="minorHAnsi"/>
          <w:color w:val="333333"/>
          <w:shd w:val="clear" w:color="auto" w:fill="FFFFFF"/>
        </w:rPr>
        <w:t xml:space="preserve"> </w:t>
      </w:r>
      <w:r w:rsidRPr="002F09DA">
        <w:rPr>
          <w:rFonts w:asciiTheme="minorHAnsi" w:hAnsiTheme="minorHAnsi" w:cstheme="minorHAnsi"/>
        </w:rPr>
        <w:t>Vis dėlto šioje direktyvoje, kurioje išdėstyti tik minimalūs reikalavimai, nenustatyta jokių apribojimų valstybėms narėms užtikrinti aukštesnį nėščių, neseniai pagimdžiusių arba krūtimi maitinančių darbuotojų apsaugos lygį (73 punktas).</w:t>
      </w:r>
    </w:p>
    <w:p w:rsidR="00445355" w:rsidRPr="002F09DA" w:rsidRDefault="00445355" w:rsidP="00AD0B10">
      <w:pPr>
        <w:ind w:firstLine="567"/>
        <w:rPr>
          <w:rFonts w:asciiTheme="minorHAnsi" w:hAnsiTheme="minorHAnsi" w:cstheme="minorHAnsi"/>
        </w:rPr>
      </w:pPr>
    </w:p>
    <w:p w:rsidR="002F456B" w:rsidRPr="002F09DA" w:rsidRDefault="002F456B" w:rsidP="00AD0B10">
      <w:pPr>
        <w:ind w:firstLine="567"/>
        <w:rPr>
          <w:rFonts w:asciiTheme="minorHAnsi" w:hAnsiTheme="minorHAnsi" w:cstheme="minorHAnsi"/>
        </w:rPr>
      </w:pPr>
      <w:r w:rsidRPr="002F09DA">
        <w:rPr>
          <w:rFonts w:asciiTheme="minorHAnsi" w:hAnsiTheme="minorHAnsi" w:cstheme="minorHAnsi"/>
          <w:b/>
        </w:rPr>
        <w:t>Remdamasis šiais motyvais, Teisingumo Teismas (</w:t>
      </w:r>
      <w:r w:rsidR="001F5624" w:rsidRPr="002F09DA">
        <w:rPr>
          <w:rFonts w:asciiTheme="minorHAnsi" w:hAnsiTheme="minorHAnsi" w:cstheme="minorHAnsi"/>
          <w:b/>
        </w:rPr>
        <w:t>trečioji</w:t>
      </w:r>
      <w:r w:rsidRPr="002F09DA">
        <w:rPr>
          <w:rFonts w:asciiTheme="minorHAnsi" w:hAnsiTheme="minorHAnsi" w:cstheme="minorHAnsi"/>
          <w:b/>
        </w:rPr>
        <w:t xml:space="preserve"> kolegija) nusprendė:</w:t>
      </w:r>
    </w:p>
    <w:p w:rsidR="005C1696" w:rsidRDefault="005C1696" w:rsidP="00AD0B10">
      <w:pPr>
        <w:pStyle w:val="c01pointnumerotealtn"/>
        <w:spacing w:before="0" w:beforeAutospacing="0" w:after="0"/>
        <w:ind w:left="0" w:firstLine="567"/>
        <w:rPr>
          <w:rFonts w:asciiTheme="minorHAnsi" w:hAnsiTheme="minorHAnsi" w:cstheme="minorHAnsi"/>
          <w:bCs/>
          <w:sz w:val="22"/>
          <w:szCs w:val="22"/>
        </w:rPr>
      </w:pPr>
    </w:p>
    <w:p w:rsidR="001F5624" w:rsidRPr="0090692D" w:rsidRDefault="001F5624" w:rsidP="00AD0B10">
      <w:pPr>
        <w:pStyle w:val="c01pointnumerotealtn"/>
        <w:spacing w:before="0" w:beforeAutospacing="0" w:after="0"/>
        <w:ind w:left="0" w:firstLine="567"/>
        <w:rPr>
          <w:rFonts w:asciiTheme="minorHAnsi" w:hAnsiTheme="minorHAnsi" w:cstheme="minorHAnsi"/>
          <w:bCs/>
          <w:sz w:val="22"/>
          <w:szCs w:val="22"/>
        </w:rPr>
      </w:pPr>
      <w:r w:rsidRPr="0090692D">
        <w:rPr>
          <w:rFonts w:asciiTheme="minorHAnsi" w:hAnsiTheme="minorHAnsi" w:cstheme="minorHAnsi"/>
          <w:bCs/>
          <w:sz w:val="22"/>
          <w:szCs w:val="22"/>
        </w:rPr>
        <w:lastRenderedPageBreak/>
        <w:t>1. 1992 m. spalio 19 d. Tarybos direktyvos 92/85/EEB dėl priemonių, skirtų skatinti, kad būtų užtikrinta geresnė nėščių ir neseniai pagimdžiusių arba maitinančių krūtimi darbuotojų sauga ir sveikata, nustatymo (dešimtoji atskira direktyva, kaip numatyta Direktyvos 89/391/EEB 16 straipsnio 1 dalyje) 10 straipsnio 1 punktas turi būti aiškinamas taip, kad pagal jį nedraudžiama taikyti nacionalinės teisės aktų, pagal kuriuos leidžiama atleisti nėščią darbuotoją dėl vykdomo kolektyvinio atleidimo iš darbo, kaip tai suprantama pagal 1998 m. liepos 20 d. Tarybos direktyvos 98/59/EB dėl valstybių narių įstatymų, susijusių su kolektyviniu atleidimu iš darbo, suderinimo 1 straipsnio 1 dalies a punktą.</w:t>
      </w:r>
    </w:p>
    <w:p w:rsidR="001F5624" w:rsidRPr="0090692D" w:rsidRDefault="001F5624" w:rsidP="00AD0B10">
      <w:pPr>
        <w:pStyle w:val="c01pointnumerotealtn"/>
        <w:spacing w:before="0" w:beforeAutospacing="0" w:after="0"/>
        <w:ind w:left="0" w:firstLine="567"/>
        <w:rPr>
          <w:rFonts w:asciiTheme="minorHAnsi" w:hAnsiTheme="minorHAnsi" w:cstheme="minorHAnsi"/>
          <w:bCs/>
          <w:sz w:val="22"/>
          <w:szCs w:val="22"/>
        </w:rPr>
      </w:pPr>
      <w:r w:rsidRPr="0090692D">
        <w:rPr>
          <w:rFonts w:asciiTheme="minorHAnsi" w:hAnsiTheme="minorHAnsi" w:cstheme="minorHAnsi"/>
          <w:bCs/>
          <w:sz w:val="22"/>
          <w:szCs w:val="22"/>
        </w:rPr>
        <w:t>2. Direktyvos 92/85 10 straipsnio 2 punktas turi būti aiškinamas taip, kad pagal jį nedraudžiama taikyti nacionalinės teisės aktų, pagal kuriuos darbdaviui leidžiama atleisti nėščią darbuotoją dėl vykdomo kolektyvinio atleidimo iš darbo, jai nepateikiant jokių pagrindžiančių priežasčių, išskyrus tas, kuriomis grindžiamas kolektyvinis atleidimas iš darbo, jeigu nurodyti objektyvūs kriterijai, pasirinkti taikyti nustatant, kurie darbuotojai bus atleisti.</w:t>
      </w:r>
    </w:p>
    <w:p w:rsidR="001F5624" w:rsidRPr="0090692D" w:rsidRDefault="00ED7EFB" w:rsidP="00AD0B10">
      <w:pPr>
        <w:pStyle w:val="c01pointnumerotealtn"/>
        <w:spacing w:before="0" w:beforeAutospacing="0" w:after="0"/>
        <w:ind w:left="0" w:firstLine="567"/>
        <w:rPr>
          <w:rFonts w:asciiTheme="minorHAnsi" w:hAnsiTheme="minorHAnsi" w:cstheme="minorHAnsi"/>
          <w:bCs/>
          <w:sz w:val="22"/>
          <w:szCs w:val="22"/>
        </w:rPr>
      </w:pPr>
      <w:r w:rsidRPr="0090692D">
        <w:rPr>
          <w:rFonts w:asciiTheme="minorHAnsi" w:hAnsiTheme="minorHAnsi" w:cstheme="minorHAnsi"/>
          <w:bCs/>
          <w:sz w:val="22"/>
          <w:szCs w:val="22"/>
        </w:rPr>
        <w:t>3. </w:t>
      </w:r>
      <w:r w:rsidR="001F5624" w:rsidRPr="0090692D">
        <w:rPr>
          <w:rFonts w:asciiTheme="minorHAnsi" w:hAnsiTheme="minorHAnsi" w:cstheme="minorHAnsi"/>
          <w:bCs/>
          <w:sz w:val="22"/>
          <w:szCs w:val="22"/>
        </w:rPr>
        <w:t>Direktyvos 92/85 10 straipsnio 1 punktas turi būti aiškinamas taip, kad pagal šią nuostatą draudžiama taikyti nacionalinės teisės aktus, kuriais iš principo prevenciškai nedraudžiama atleisti iš darbo nėščios, neseniai pagimdžiusios ar krūtimi maitinančios darbuotojos ir kuriuose tik numatyta, kad turi būti išmokėtas žalos atlyginimas, jeigu atleidimas iš darbo negalioja dėl to, kad jis neteisėtas.</w:t>
      </w:r>
    </w:p>
    <w:p w:rsidR="001F5624" w:rsidRPr="0090692D" w:rsidRDefault="001F5624" w:rsidP="00AD0B10">
      <w:pPr>
        <w:pStyle w:val="c01pointnumerotealtn"/>
        <w:spacing w:before="0" w:beforeAutospacing="0" w:after="0"/>
        <w:ind w:left="0" w:firstLine="567"/>
        <w:rPr>
          <w:rFonts w:asciiTheme="minorHAnsi" w:hAnsiTheme="minorHAnsi" w:cstheme="minorHAnsi"/>
          <w:bCs/>
          <w:sz w:val="22"/>
          <w:szCs w:val="22"/>
        </w:rPr>
      </w:pPr>
      <w:r w:rsidRPr="0090692D">
        <w:rPr>
          <w:rFonts w:asciiTheme="minorHAnsi" w:hAnsiTheme="minorHAnsi" w:cstheme="minorHAnsi"/>
          <w:bCs/>
          <w:sz w:val="22"/>
          <w:szCs w:val="22"/>
        </w:rPr>
        <w:t>4. Direktyvos 92/85 10 straipsnio 1 punktas turi būti aiškinamas taip, kad pagal jį nedraudžiama taikyti nacionalinės teisės aktų, kuriuose, vykdant kolektyvinį atleidimą iš darbo, kaip tai suprantama pagal Direktyvą 98/59, nėščioms, neseniai pagimdžiusioms arba krūtimi maitinančioms darbuotojoms nenumatyta nei pirmenybės išsaugoti darbo vietas, nei pirmenybės būti paskirtoms į kitą darbo vietą prieš šį atleidimą iš darbo, tačiau valstybėms narėms nedraudžiama nėščioms, neseniai pagimdžiusioms arba krūtimi maitinančioms darbuotojoms suteikti aukštesnio apsaugos lygio.</w:t>
      </w:r>
    </w:p>
    <w:p w:rsidR="002F456B" w:rsidRPr="002F09DA" w:rsidRDefault="00EF32EC" w:rsidP="00AD0B10">
      <w:pPr>
        <w:pStyle w:val="c01pointnumerotealtn"/>
        <w:spacing w:before="0" w:beforeAutospacing="0" w:after="0"/>
        <w:ind w:left="0" w:firstLine="567"/>
        <w:rPr>
          <w:rFonts w:asciiTheme="minorHAnsi" w:hAnsiTheme="minorHAnsi" w:cstheme="minorHAnsi"/>
          <w:bCs/>
          <w:sz w:val="22"/>
          <w:szCs w:val="22"/>
        </w:rPr>
      </w:pPr>
      <w:hyperlink r:id="rId14" w:history="1">
        <w:r w:rsidR="002F456B" w:rsidRPr="002F09DA">
          <w:rPr>
            <w:rStyle w:val="Hipersaitas"/>
            <w:rFonts w:asciiTheme="minorHAnsi" w:hAnsiTheme="minorHAnsi" w:cstheme="minorHAnsi"/>
            <w:bCs/>
            <w:sz w:val="22"/>
            <w:szCs w:val="22"/>
          </w:rPr>
          <w:t>Prieiga internete</w:t>
        </w:r>
      </w:hyperlink>
    </w:p>
    <w:p w:rsidR="00816162" w:rsidRPr="002F09DA" w:rsidRDefault="00816162" w:rsidP="00AD0B10">
      <w:pPr>
        <w:pStyle w:val="c01pointnumerotealtn"/>
        <w:spacing w:before="0" w:beforeAutospacing="0" w:after="0"/>
        <w:ind w:left="0" w:firstLine="567"/>
        <w:rPr>
          <w:rStyle w:val="Hipersaitas"/>
          <w:rFonts w:asciiTheme="minorHAnsi" w:hAnsiTheme="minorHAnsi" w:cstheme="minorHAnsi"/>
          <w:bCs/>
          <w:sz w:val="22"/>
          <w:szCs w:val="22"/>
        </w:rPr>
      </w:pPr>
    </w:p>
    <w:p w:rsidR="00816162" w:rsidRPr="002F09DA" w:rsidRDefault="00816162" w:rsidP="00AD0B10">
      <w:pPr>
        <w:pStyle w:val="Antrat2"/>
        <w:rPr>
          <w:rFonts w:cstheme="minorHAnsi"/>
          <w:szCs w:val="22"/>
        </w:rPr>
      </w:pPr>
      <w:bookmarkStart w:id="23" w:name="_Toc517273026"/>
      <w:r w:rsidRPr="002F09DA">
        <w:rPr>
          <w:rFonts w:cstheme="minorHAnsi"/>
          <w:szCs w:val="22"/>
        </w:rPr>
        <w:t>2018 m. balandžio 17 d. didžiosios kolegijos prejudicinis sprendimas byloj</w:t>
      </w:r>
      <w:r w:rsidR="001A347D" w:rsidRPr="002F09DA">
        <w:rPr>
          <w:rFonts w:cstheme="minorHAnsi"/>
          <w:szCs w:val="22"/>
        </w:rPr>
        <w:t>e</w:t>
      </w:r>
      <w:r w:rsidRPr="002F09DA">
        <w:rPr>
          <w:rFonts w:cstheme="minorHAnsi"/>
          <w:szCs w:val="22"/>
        </w:rPr>
        <w:t> C</w:t>
      </w:r>
      <w:r w:rsidRPr="002F09DA">
        <w:rPr>
          <w:rFonts w:cstheme="minorHAnsi"/>
          <w:szCs w:val="22"/>
        </w:rPr>
        <w:noBreakHyphen/>
        <w:t>414/16</w:t>
      </w:r>
      <w:bookmarkEnd w:id="23"/>
    </w:p>
    <w:p w:rsidR="00816162" w:rsidRPr="002F09DA" w:rsidRDefault="00816162" w:rsidP="00AD0B10">
      <w:pPr>
        <w:jc w:val="center"/>
        <w:rPr>
          <w:rFonts w:asciiTheme="minorHAnsi" w:hAnsiTheme="minorHAnsi" w:cstheme="minorHAnsi"/>
          <w:b/>
          <w:i/>
        </w:rPr>
      </w:pPr>
      <w:r w:rsidRPr="002F09DA">
        <w:rPr>
          <w:rFonts w:asciiTheme="minorHAnsi" w:hAnsiTheme="minorHAnsi" w:cstheme="minorHAnsi"/>
          <w:b/>
          <w:i/>
        </w:rPr>
        <w:t xml:space="preserve">Vera Egenberger prieš </w:t>
      </w:r>
      <w:r w:rsidRPr="002F09DA">
        <w:rPr>
          <w:rFonts w:asciiTheme="minorHAnsi" w:hAnsiTheme="minorHAnsi" w:cstheme="minorHAnsi"/>
          <w:b/>
          <w:bCs/>
          <w:i/>
        </w:rPr>
        <w:t>Evangelisches Werk für Diakonie und Entwicklung e. V.</w:t>
      </w:r>
    </w:p>
    <w:p w:rsidR="00816162" w:rsidRPr="002F09DA" w:rsidRDefault="00816162" w:rsidP="00AD0B10">
      <w:pPr>
        <w:ind w:firstLine="540"/>
        <w:rPr>
          <w:rFonts w:asciiTheme="minorHAnsi" w:hAnsiTheme="minorHAnsi" w:cstheme="minorHAnsi"/>
        </w:rPr>
      </w:pPr>
    </w:p>
    <w:p w:rsidR="00816162" w:rsidRPr="002F09DA" w:rsidRDefault="00C54C57"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Prašymas priimti prejudicinį sprendimą pateiktas dėl 2000 m. lapkričio 27 d. Tarybos direktyvos 2000/78/EB, nustatančios vienodo požiūrio užimtumo ir profesinėje srityje bendruosius pagrindus (OL L 303, 2000, p. 16; 2004 m. specialusis leidimas lietuvių k., 5 sk., 4 t., p. 79),</w:t>
      </w:r>
      <w:r w:rsidR="0040040C" w:rsidRPr="002F09DA">
        <w:rPr>
          <w:rFonts w:asciiTheme="minorHAnsi" w:hAnsiTheme="minorHAnsi" w:cstheme="minorHAnsi"/>
          <w:sz w:val="22"/>
          <w:szCs w:val="22"/>
        </w:rPr>
        <w:t xml:space="preserve"> (toliau – ir Direktyva 2000/78)</w:t>
      </w:r>
      <w:r w:rsidRPr="002F09DA">
        <w:rPr>
          <w:rFonts w:asciiTheme="minorHAnsi" w:hAnsiTheme="minorHAnsi" w:cstheme="minorHAnsi"/>
          <w:sz w:val="22"/>
          <w:szCs w:val="22"/>
        </w:rPr>
        <w:t xml:space="preserve"> 4 straipsnio 2 dalies išaiškinimo (1 punktas).</w:t>
      </w:r>
    </w:p>
    <w:p w:rsidR="00C54C57" w:rsidRPr="002F09DA" w:rsidRDefault="00C54C57"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Šis prašymas pateiktas nagrinėjant Veros Egenberger ir </w:t>
      </w:r>
      <w:r w:rsidRPr="002F09DA">
        <w:rPr>
          <w:rFonts w:asciiTheme="minorHAnsi" w:hAnsiTheme="minorHAnsi" w:cstheme="minorHAnsi"/>
          <w:i/>
          <w:iCs/>
          <w:sz w:val="22"/>
          <w:szCs w:val="22"/>
        </w:rPr>
        <w:t>Evangelisches Werk für Diakonie und Entwicklung eV</w:t>
      </w:r>
      <w:r w:rsidRPr="002F09DA">
        <w:rPr>
          <w:rFonts w:asciiTheme="minorHAnsi" w:hAnsiTheme="minorHAnsi" w:cstheme="minorHAnsi"/>
          <w:sz w:val="22"/>
          <w:szCs w:val="22"/>
        </w:rPr>
        <w:t> (toliau – </w:t>
      </w:r>
      <w:r w:rsidRPr="002F09DA">
        <w:rPr>
          <w:rFonts w:asciiTheme="minorHAnsi" w:hAnsiTheme="minorHAnsi" w:cstheme="minorHAnsi"/>
          <w:i/>
          <w:iCs/>
          <w:sz w:val="22"/>
          <w:szCs w:val="22"/>
        </w:rPr>
        <w:t>Evangelisches Werk</w:t>
      </w:r>
      <w:r w:rsidRPr="002F09DA">
        <w:rPr>
          <w:rFonts w:asciiTheme="minorHAnsi" w:hAnsiTheme="minorHAnsi" w:cstheme="minorHAnsi"/>
          <w:sz w:val="22"/>
          <w:szCs w:val="22"/>
        </w:rPr>
        <w:t>) ginčą dėl pirmosios reikalavimo atlyginti žalą, sukeltą diskriminacijos dėl religijos, kurią ji teigia patyrusi per įdarbinimo procedūrą (2 punktas).</w:t>
      </w:r>
    </w:p>
    <w:p w:rsidR="00C54C57" w:rsidRPr="002F09DA" w:rsidRDefault="00FF3664"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Pagal pagrindinės bylos faktines aplinkybes, 2012 m. lapkričio mėn. </w:t>
      </w:r>
      <w:r w:rsidRPr="002F09DA">
        <w:rPr>
          <w:rFonts w:asciiTheme="minorHAnsi" w:hAnsiTheme="minorHAnsi" w:cstheme="minorHAnsi"/>
          <w:i/>
          <w:iCs/>
          <w:sz w:val="22"/>
          <w:szCs w:val="22"/>
        </w:rPr>
        <w:t>Evangelisches Werk</w:t>
      </w:r>
      <w:r w:rsidRPr="002F09DA">
        <w:rPr>
          <w:rFonts w:asciiTheme="minorHAnsi" w:hAnsiTheme="minorHAnsi" w:cstheme="minorHAnsi"/>
          <w:sz w:val="22"/>
          <w:szCs w:val="22"/>
        </w:rPr>
        <w:t> paskelbė skelbimą dėl terminuoto darbo pagal projektą dėl lygiagrečios ataskaitos apie Jungtinių Tautų tarptautinės konvencijos dėl visų formų rasinės diskriminacijos panaikinimo laikymąsi. Remiantis šiuo darbo skelbimu, vykdytinos užduotys turėjo apimti dalyvavimą rengiant valstybės ataskaitas apie nurodytą konvenciją už 2012–2014 m. laikotarpį, Vokietijos valstybės ataskaitai lygiagrečios ataskaitos rengimą, specialių pastabų ir nuomonių teikimą, atstovavimą pagal projektą Vokietijos diakonijai politiniame pasaulyje ir kt., informacijos teikimą, nuomonių formavimo proceso derinimą asociacijos veiklos srityje, organizavimą ir kt. Pagal darbo skelbimą buvo būtina narystė Evangelikų arba Vokietijos krikščionių bažnyčių asociacijai priklausančioje bažnyčioje ir pasirengimas diakoninei tarnystei. Jokios religijos neišpažįstanti V. Egenberger kandidatavo į paskelbtą darbo vietą, tačiau jos nepakvietė į pokalbį. Manydama, kad ji buvo diskriminuota dėl nepriklausymo jokiai religinei bendruomenei, V. Egenberger kreipėsi į teismą, siekdama 9 788,65 EU</w:t>
      </w:r>
      <w:r w:rsidR="00755BD0" w:rsidRPr="002F09DA">
        <w:rPr>
          <w:rFonts w:asciiTheme="minorHAnsi" w:hAnsiTheme="minorHAnsi" w:cstheme="minorHAnsi"/>
          <w:sz w:val="22"/>
          <w:szCs w:val="22"/>
        </w:rPr>
        <w:t>R kompe</w:t>
      </w:r>
      <w:r w:rsidRPr="002F09DA">
        <w:rPr>
          <w:rFonts w:asciiTheme="minorHAnsi" w:hAnsiTheme="minorHAnsi" w:cstheme="minorHAnsi"/>
          <w:sz w:val="22"/>
          <w:szCs w:val="22"/>
        </w:rPr>
        <w:t>nsacijos (24–27</w:t>
      </w:r>
      <w:r w:rsidR="00755BD0" w:rsidRPr="002F09DA">
        <w:rPr>
          <w:rFonts w:asciiTheme="minorHAnsi" w:hAnsiTheme="minorHAnsi" w:cstheme="minorHAnsi"/>
          <w:sz w:val="22"/>
          <w:szCs w:val="22"/>
        </w:rPr>
        <w:t xml:space="preserve"> punktai</w:t>
      </w:r>
      <w:r w:rsidRPr="002F09DA">
        <w:rPr>
          <w:rFonts w:asciiTheme="minorHAnsi" w:hAnsiTheme="minorHAnsi" w:cstheme="minorHAnsi"/>
          <w:sz w:val="22"/>
          <w:szCs w:val="22"/>
        </w:rPr>
        <w:t>).</w:t>
      </w:r>
    </w:p>
    <w:p w:rsidR="00CB42CF" w:rsidRPr="002F09DA" w:rsidRDefault="00CB42CF"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 xml:space="preserve">Bylą nagrinėjant nacionaliniuose teismuose, </w:t>
      </w:r>
      <w:r w:rsidRPr="002F09DA">
        <w:rPr>
          <w:rFonts w:asciiTheme="minorHAnsi" w:hAnsiTheme="minorHAnsi" w:cstheme="minorHAnsi"/>
          <w:i/>
          <w:iCs/>
          <w:sz w:val="22"/>
          <w:szCs w:val="22"/>
        </w:rPr>
        <w:t>Bundesarbeitsgericht</w:t>
      </w:r>
      <w:r w:rsidRPr="002F09DA">
        <w:rPr>
          <w:rFonts w:asciiTheme="minorHAnsi" w:hAnsiTheme="minorHAnsi" w:cstheme="minorHAnsi"/>
          <w:sz w:val="22"/>
          <w:szCs w:val="22"/>
        </w:rPr>
        <w:t> (Federalinis darbo teismas) nutarė sustabdyti bylos nagrinėjimą ir pateikti Teisingumo Teismui prejudicinius klausimus (41 punktas).</w:t>
      </w:r>
    </w:p>
    <w:p w:rsidR="00FF3664" w:rsidRPr="002F09DA" w:rsidRDefault="00FF3664" w:rsidP="00AD0B10">
      <w:pPr>
        <w:pStyle w:val="c01pointnumerotealtn"/>
        <w:spacing w:before="0" w:beforeAutospacing="0" w:after="0"/>
        <w:ind w:left="0" w:firstLine="567"/>
        <w:rPr>
          <w:rFonts w:asciiTheme="minorHAnsi" w:hAnsiTheme="minorHAnsi" w:cstheme="minorHAnsi"/>
          <w:sz w:val="22"/>
          <w:szCs w:val="22"/>
        </w:rPr>
      </w:pPr>
    </w:p>
    <w:p w:rsidR="00816162" w:rsidRPr="002F09DA" w:rsidRDefault="00816162" w:rsidP="00AD0B10">
      <w:pPr>
        <w:pStyle w:val="Antrat3"/>
        <w:ind w:firstLine="567"/>
        <w:rPr>
          <w:rFonts w:cstheme="minorHAnsi"/>
          <w:b w:val="0"/>
        </w:rPr>
      </w:pPr>
      <w:bookmarkStart w:id="24" w:name="_Toc517273027"/>
      <w:r w:rsidRPr="002F09DA">
        <w:rPr>
          <w:rFonts w:cstheme="minorHAnsi"/>
        </w:rPr>
        <w:t xml:space="preserve">Dėl </w:t>
      </w:r>
      <w:r w:rsidR="00E92F78" w:rsidRPr="002F09DA">
        <w:rPr>
          <w:rFonts w:cstheme="minorHAnsi"/>
        </w:rPr>
        <w:t>veiksmingos teismo kontrolės taikymo</w:t>
      </w:r>
      <w:r w:rsidR="00DB28E0" w:rsidRPr="002F09DA">
        <w:rPr>
          <w:rFonts w:cstheme="minorHAnsi"/>
        </w:rPr>
        <w:t xml:space="preserve"> bažnyčiai atmetus kandidatūrą į darbo vietą dėl neatitikimo religinėms sąlygoms</w:t>
      </w:r>
      <w:bookmarkEnd w:id="24"/>
    </w:p>
    <w:p w:rsidR="00816162" w:rsidRPr="002F09DA" w:rsidRDefault="00816162" w:rsidP="00AD0B10">
      <w:pPr>
        <w:ind w:firstLine="567"/>
        <w:rPr>
          <w:rFonts w:asciiTheme="minorHAnsi" w:hAnsiTheme="minorHAnsi" w:cstheme="minorHAnsi"/>
          <w:b/>
        </w:rPr>
      </w:pPr>
    </w:p>
    <w:p w:rsidR="00816162" w:rsidRPr="002F09DA" w:rsidRDefault="00816162"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lastRenderedPageBreak/>
        <w:t>Teisingumo Teismas nurodė, kad </w:t>
      </w:r>
      <w:r w:rsidR="00E16739" w:rsidRPr="002F09DA">
        <w:rPr>
          <w:rFonts w:asciiTheme="minorHAnsi" w:hAnsiTheme="minorHAnsi" w:cstheme="minorHAnsi"/>
          <w:sz w:val="22"/>
          <w:szCs w:val="22"/>
        </w:rPr>
        <w:t>V. Egenberger kandidatūros atmetimas dėl to, kad ji nepriklausė jokiai religinei bendruomenei, yra skirtingas požiūris dėl religijos, kaip tai suprantama pagal Direktyvos 2000/78 4 straipsnio 2 dalį</w:t>
      </w:r>
      <w:r w:rsidR="009C3BF3" w:rsidRPr="002F09DA">
        <w:rPr>
          <w:rStyle w:val="Puslapioinaosnuoroda"/>
          <w:rFonts w:asciiTheme="minorHAnsi" w:hAnsiTheme="minorHAnsi" w:cstheme="minorHAnsi"/>
          <w:sz w:val="22"/>
          <w:szCs w:val="22"/>
        </w:rPr>
        <w:footnoteReference w:id="1"/>
      </w:r>
      <w:r w:rsidR="00E92F78" w:rsidRPr="002F09DA">
        <w:rPr>
          <w:rFonts w:asciiTheme="minorHAnsi" w:hAnsiTheme="minorHAnsi" w:cstheme="minorHAnsi"/>
          <w:sz w:val="22"/>
          <w:szCs w:val="22"/>
        </w:rPr>
        <w:t xml:space="preserve"> (43 punktas)</w:t>
      </w:r>
      <w:r w:rsidR="00E16739" w:rsidRPr="002F09DA">
        <w:rPr>
          <w:rFonts w:asciiTheme="minorHAnsi" w:hAnsiTheme="minorHAnsi" w:cstheme="minorHAnsi"/>
          <w:sz w:val="22"/>
          <w:szCs w:val="22"/>
        </w:rPr>
        <w:t>.</w:t>
      </w:r>
    </w:p>
    <w:p w:rsidR="00E16739" w:rsidRPr="002F09DA" w:rsidRDefault="00E16739"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Teismas taip pat pažymėjo, kad Direktyvos 2000/78 4 straipsnio 2 dalies tikslas – užtikrinti teisingą pusiausvyrą tarp, viena vertus, bažnyčių ir kitų valstybinių arba privačių organizacijų, kurių veiklą reguliuojančios normos grindžiamos religija ar įsitikinimais, teisės į autonomiją ir, kita vertus, darbuotojų teisės nebūti diskriminuojamiems dėl jų religijos ar įsitikinimų, be kita ko, įsidarbinant; šio tikslo siekiama tais atvejais, kai šios teisės gali konkuruoti tarpusavyje (51 punktas).</w:t>
      </w:r>
      <w:r w:rsidRPr="002F09DA">
        <w:rPr>
          <w:rFonts w:asciiTheme="minorHAnsi" w:eastAsia="Calibri" w:hAnsiTheme="minorHAnsi" w:cstheme="minorHAnsi"/>
          <w:color w:val="333333"/>
          <w:sz w:val="22"/>
          <w:szCs w:val="22"/>
          <w:shd w:val="clear" w:color="auto" w:fill="FFFFFF"/>
          <w:lang w:eastAsia="en-US"/>
        </w:rPr>
        <w:t xml:space="preserve"> </w:t>
      </w:r>
      <w:r w:rsidRPr="002F09DA">
        <w:rPr>
          <w:rFonts w:asciiTheme="minorHAnsi" w:hAnsiTheme="minorHAnsi" w:cstheme="minorHAnsi"/>
          <w:sz w:val="22"/>
          <w:szCs w:val="22"/>
        </w:rPr>
        <w:t>Tačiau kilus ginčui tokiam palyginimui prireikus turi būti galima taikyti nepriklausomos institucijos, o galiausiai nacionalinio teismo kontrol</w:t>
      </w:r>
      <w:r w:rsidR="005C1696">
        <w:rPr>
          <w:rFonts w:asciiTheme="minorHAnsi" w:hAnsiTheme="minorHAnsi" w:cstheme="minorHAnsi"/>
          <w:sz w:val="22"/>
          <w:szCs w:val="22"/>
        </w:rPr>
        <w:t>ę (53 </w:t>
      </w:r>
      <w:r w:rsidRPr="002F09DA">
        <w:rPr>
          <w:rFonts w:asciiTheme="minorHAnsi" w:hAnsiTheme="minorHAnsi" w:cstheme="minorHAnsi"/>
          <w:sz w:val="22"/>
          <w:szCs w:val="22"/>
        </w:rPr>
        <w:t>punktas).</w:t>
      </w:r>
    </w:p>
    <w:p w:rsidR="00C75855" w:rsidRPr="002F09DA" w:rsidRDefault="00C75855"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 xml:space="preserve">Padaryta išvada, kad </w:t>
      </w:r>
      <w:r w:rsidRPr="002F09DA">
        <w:rPr>
          <w:rFonts w:asciiTheme="minorHAnsi" w:hAnsiTheme="minorHAnsi" w:cstheme="minorHAnsi"/>
          <w:sz w:val="22"/>
          <w:szCs w:val="22"/>
          <w:u w:val="single"/>
        </w:rPr>
        <w:t>jei bažnyčia ar kita organizacija, kurios veiklą reguliuojančios normos grindžiamos religija ar įsitikinimais, grįsdama aktą ar sprendimą atmesti asmens kandidatūrą į darbo vietą jos vidaus struktūroje, teigia, kad dėl atitinkamos veiklos pobūdžio ar vykdymo sąlygų religija yra esminis, teisėtas ir pateisinamas profesinis reikalavimas, atsižvelgiant į šios bažnyčios ar organizacijos veiklą reguliuojančias normas, tokiam teiginiui prireikus turi būti galima taikyti veiksmingą teismo kontrolę</w:t>
      </w:r>
      <w:r w:rsidRPr="002F09DA">
        <w:rPr>
          <w:rFonts w:asciiTheme="minorHAnsi" w:hAnsiTheme="minorHAnsi" w:cstheme="minorHAnsi"/>
          <w:sz w:val="22"/>
          <w:szCs w:val="22"/>
        </w:rPr>
        <w:t>, per kurią būtų tikrinama, ar nagrinėjamu atveju laikytasi Direktyvos 2000/78 4 straipsnio 2 </w:t>
      </w:r>
      <w:r w:rsidR="005C1696">
        <w:rPr>
          <w:rFonts w:asciiTheme="minorHAnsi" w:hAnsiTheme="minorHAnsi" w:cstheme="minorHAnsi"/>
          <w:sz w:val="22"/>
          <w:szCs w:val="22"/>
        </w:rPr>
        <w:t>dalyje įtvirtintų kriterijų (55 </w:t>
      </w:r>
      <w:r w:rsidRPr="002F09DA">
        <w:rPr>
          <w:rFonts w:asciiTheme="minorHAnsi" w:hAnsiTheme="minorHAnsi" w:cstheme="minorHAnsi"/>
          <w:sz w:val="22"/>
          <w:szCs w:val="22"/>
        </w:rPr>
        <w:t>punktas).</w:t>
      </w:r>
    </w:p>
    <w:p w:rsidR="00F52090" w:rsidRPr="002F09DA" w:rsidRDefault="00F52090" w:rsidP="00AD0B10">
      <w:pPr>
        <w:pStyle w:val="c01pointnumerotealtn"/>
        <w:spacing w:before="0" w:beforeAutospacing="0" w:after="0"/>
        <w:ind w:left="0" w:firstLine="567"/>
        <w:rPr>
          <w:rFonts w:asciiTheme="minorHAnsi" w:hAnsiTheme="minorHAnsi" w:cstheme="minorHAnsi"/>
          <w:sz w:val="22"/>
          <w:szCs w:val="22"/>
        </w:rPr>
      </w:pPr>
    </w:p>
    <w:p w:rsidR="00F52090" w:rsidRPr="002F09DA" w:rsidRDefault="00F52090" w:rsidP="00AD0B10">
      <w:pPr>
        <w:pStyle w:val="Antrat3"/>
        <w:ind w:firstLine="567"/>
        <w:rPr>
          <w:rFonts w:cstheme="minorHAnsi"/>
          <w:b w:val="0"/>
        </w:rPr>
      </w:pPr>
      <w:bookmarkStart w:id="25" w:name="_Toc517273028"/>
      <w:r w:rsidRPr="002F09DA">
        <w:rPr>
          <w:rFonts w:cstheme="minorHAnsi"/>
        </w:rPr>
        <w:t xml:space="preserve">Dėl </w:t>
      </w:r>
      <w:r w:rsidR="00975371" w:rsidRPr="002F09DA">
        <w:rPr>
          <w:rFonts w:cstheme="minorHAnsi"/>
        </w:rPr>
        <w:t>Direktyvos 2000/78 4 straipsnio 2 dalyje numatyto esminio, teisėto ir pateisinamo profesinio reikalavimo aiškinimo</w:t>
      </w:r>
      <w:bookmarkEnd w:id="25"/>
      <w:r w:rsidR="00975371" w:rsidRPr="002F09DA">
        <w:rPr>
          <w:rFonts w:cstheme="minorHAnsi"/>
        </w:rPr>
        <w:t xml:space="preserve"> </w:t>
      </w:r>
    </w:p>
    <w:p w:rsidR="00F52090" w:rsidRPr="002F09DA" w:rsidRDefault="00F52090" w:rsidP="00AD0B10">
      <w:pPr>
        <w:ind w:firstLine="567"/>
        <w:rPr>
          <w:rFonts w:asciiTheme="minorHAnsi" w:hAnsiTheme="minorHAnsi" w:cstheme="minorHAnsi"/>
          <w:b/>
        </w:rPr>
      </w:pPr>
    </w:p>
    <w:p w:rsidR="00816162" w:rsidRPr="002F09DA" w:rsidRDefault="00F52090"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 xml:space="preserve">Teisingumo Teismas pažymėjo, kad </w:t>
      </w:r>
      <w:r w:rsidR="00EC6506" w:rsidRPr="002F09DA">
        <w:rPr>
          <w:rFonts w:asciiTheme="minorHAnsi" w:hAnsiTheme="minorHAnsi" w:cstheme="minorHAnsi"/>
          <w:sz w:val="22"/>
          <w:szCs w:val="22"/>
        </w:rPr>
        <w:t>atlikdamos Direktyvos 2000/78 4 straipsnio 2 dalyje numatytą palyginimą, valstybės narės ir jų valdžios institucijos, konkrečiai kalbant, teismai, išskyrus labai išimtinius atvejus turi susilaikyti nuo pačių atitinkamos bažnyčios ar organizacijos veiklą reguliuojančių normų teisėtumo vertinimo, vis dėlto jos turi užtikrinti, kad nebūtų pažeidžiama darbuotojų teisė nebūti diskriminuojamiems dėl, be kita ko, religijos ar įsitikinimų. Remiantis pačia 4 straipsnio 2 dalimi, per šį patikrinimą siekiama nustatyti, ar atitinkamos bažnyčios ar organizacijos taikomas profesinis reikalavimas yra esminis, teisėtas ir pateisinamas dėl atitinkamos veiklos pobūdžio ar vykdymo sąlygų, atsižvelgiant į šias veiklą reguliuojančias normas (61 punktas).</w:t>
      </w:r>
      <w:r w:rsidR="00C8481B" w:rsidRPr="002F09DA">
        <w:rPr>
          <w:rFonts w:asciiTheme="minorHAnsi" w:hAnsiTheme="minorHAnsi" w:cstheme="minorHAnsi"/>
          <w:sz w:val="22"/>
          <w:szCs w:val="22"/>
        </w:rPr>
        <w:t xml:space="preserve"> Kiek tai susiję su Direktyvos 2000/78 4 straipsnio 2 dalyje įtvirtintos sąvokos „esminis, teisėtas ir pateisinamas profesinis reikalavimas“ aiškinimu, iš šios nuostatos aiškiai išplaukia, kad religija ar įsitikinimai prireikus gali būti toks profesinis reikalavimas atsižvelgiant būtent į atitinkamos veiklos „pobūdį“ ar jos vykdymo „sąlygas“ (62 punktas). Taigi skirtingo požiūrio dėl religijos ar įsitikinimų teisėtumas pagal šią nuostatą priklauso nuo galimo objektyviai patikrinti tiesioginio ryšio tarp darbdavio taikomo profesinio reikalavimo ir atitinkamos veiklos (63 punktas).</w:t>
      </w:r>
    </w:p>
    <w:p w:rsidR="006C28D8" w:rsidRPr="002F09DA" w:rsidRDefault="00527D0D" w:rsidP="00AD0B10">
      <w:pPr>
        <w:pStyle w:val="c01pointnumerotealtn"/>
        <w:spacing w:before="0" w:beforeAutospacing="0" w:after="0"/>
        <w:ind w:left="0" w:firstLine="567"/>
        <w:rPr>
          <w:rFonts w:asciiTheme="minorHAnsi" w:hAnsiTheme="minorHAnsi" w:cstheme="minorHAnsi"/>
          <w:sz w:val="22"/>
          <w:szCs w:val="22"/>
        </w:rPr>
      </w:pPr>
      <w:r w:rsidRPr="002F09DA">
        <w:rPr>
          <w:rFonts w:asciiTheme="minorHAnsi" w:hAnsiTheme="minorHAnsi" w:cstheme="minorHAnsi"/>
          <w:sz w:val="22"/>
          <w:szCs w:val="22"/>
        </w:rPr>
        <w:t>Kaip to reikalaujama pagal Direktyvos 2000/78 4 straipsnio 2 dalį, šis profesinis reikalavimas turi būti „esminis, teisėtas ir pateisinamas“, atsižvelgiant į bažnyčios ar organizacijos veiklą reguliuojančias normas. Nacionaliniai teismai kiekvienu konkrečiu atveju turi nustatyti, ar nurodyti trys kriterijai tenkinami atsižvelgiant į šias normas (64 punktas).</w:t>
      </w:r>
      <w:r w:rsidR="006C28D8" w:rsidRPr="002F09DA">
        <w:rPr>
          <w:rFonts w:asciiTheme="minorHAnsi" w:hAnsiTheme="minorHAnsi" w:cstheme="minorHAnsi"/>
          <w:sz w:val="22"/>
          <w:szCs w:val="22"/>
        </w:rPr>
        <w:t xml:space="preserve"> Taip pat pažymėta, kad Direktyvos 2000/78 4 straipsnio 2 dalyje numatytas reikalavimas turi atitikti proporcingumo principą (68 punktas). </w:t>
      </w:r>
    </w:p>
    <w:p w:rsidR="00801AC0" w:rsidRPr="002F09DA" w:rsidRDefault="00801AC0" w:rsidP="00AD0B10">
      <w:pPr>
        <w:pStyle w:val="c01pointnumerotealtn"/>
        <w:spacing w:before="0" w:beforeAutospacing="0" w:after="0"/>
        <w:ind w:left="0" w:firstLine="567"/>
        <w:rPr>
          <w:rFonts w:asciiTheme="minorHAnsi" w:hAnsiTheme="minorHAnsi" w:cstheme="minorHAnsi"/>
          <w:sz w:val="22"/>
          <w:szCs w:val="22"/>
        </w:rPr>
      </w:pPr>
    </w:p>
    <w:p w:rsidR="00816162" w:rsidRPr="002F09DA" w:rsidRDefault="00816162" w:rsidP="00AD0B10">
      <w:pPr>
        <w:ind w:firstLine="567"/>
        <w:rPr>
          <w:rFonts w:asciiTheme="minorHAnsi" w:hAnsiTheme="minorHAnsi" w:cstheme="minorHAnsi"/>
        </w:rPr>
      </w:pPr>
      <w:r w:rsidRPr="002F09DA">
        <w:rPr>
          <w:rFonts w:asciiTheme="minorHAnsi" w:hAnsiTheme="minorHAnsi" w:cstheme="minorHAnsi"/>
          <w:b/>
        </w:rPr>
        <w:t>Remdamasis šiais motyvais, Teisingumo Teismas (didžioji kolegija) nusprendė:</w:t>
      </w:r>
    </w:p>
    <w:p w:rsidR="005C1696" w:rsidRDefault="005C1696" w:rsidP="00AD0B10">
      <w:pPr>
        <w:pStyle w:val="c01pointnumerotealtn"/>
        <w:spacing w:before="0" w:beforeAutospacing="0" w:after="0"/>
        <w:ind w:left="0" w:firstLine="567"/>
        <w:rPr>
          <w:rFonts w:asciiTheme="minorHAnsi" w:hAnsiTheme="minorHAnsi" w:cstheme="minorHAnsi"/>
          <w:sz w:val="22"/>
          <w:szCs w:val="22"/>
        </w:rPr>
      </w:pPr>
    </w:p>
    <w:p w:rsidR="00816162" w:rsidRPr="0090692D" w:rsidRDefault="00816162" w:rsidP="00AD0B10">
      <w:pPr>
        <w:pStyle w:val="c01pointnumerotealtn"/>
        <w:spacing w:before="0" w:beforeAutospacing="0" w:after="0"/>
        <w:ind w:left="0" w:firstLine="567"/>
        <w:rPr>
          <w:rFonts w:asciiTheme="minorHAnsi" w:hAnsiTheme="minorHAnsi" w:cstheme="minorHAnsi"/>
          <w:sz w:val="22"/>
          <w:szCs w:val="22"/>
        </w:rPr>
      </w:pPr>
      <w:r w:rsidRPr="0090692D">
        <w:rPr>
          <w:rFonts w:asciiTheme="minorHAnsi" w:hAnsiTheme="minorHAnsi" w:cstheme="minorHAnsi"/>
          <w:sz w:val="22"/>
          <w:szCs w:val="22"/>
        </w:rPr>
        <w:t xml:space="preserve">1. 2000 m. lapkričio 27 d. Tarybos direktyvos 2000/78/EB, nustatančios vienodo požiūrio užimtumo ir profesinėje srityje bendruosius pagrindus, 4 straipsnio </w:t>
      </w:r>
      <w:r w:rsidR="00E92F78" w:rsidRPr="0090692D">
        <w:rPr>
          <w:rFonts w:asciiTheme="minorHAnsi" w:hAnsiTheme="minorHAnsi" w:cstheme="minorHAnsi"/>
          <w:sz w:val="22"/>
          <w:szCs w:val="22"/>
        </w:rPr>
        <w:t>2 dalis, siejama su jos 9 ir 10 </w:t>
      </w:r>
      <w:r w:rsidRPr="0090692D">
        <w:rPr>
          <w:rFonts w:asciiTheme="minorHAnsi" w:hAnsiTheme="minorHAnsi" w:cstheme="minorHAnsi"/>
          <w:sz w:val="22"/>
          <w:szCs w:val="22"/>
        </w:rPr>
        <w:t xml:space="preserve">straipsniais ir Europos Sąjungos pagrindinių teisių chartijos 47 straipsniu, turi būti aiškinama taip, kad jei bažnyčia ar kita organizacija, kurios veiklą reguliuojančios normos grindžiamos religija ar įsitikinimais, grįsdama aktą ar sprendimą atmesti asmens kandidatūrą į darbo vietą jos vidaus struktūroje, teigia, kad dėl atitinkamos veiklos pobūdžio ar vykdymo sąlygų religija yra esminis, teisėtas ir pateisinamas profesinis reikalavimas, atsižvelgiant </w:t>
      </w:r>
      <w:r w:rsidRPr="0090692D">
        <w:rPr>
          <w:rFonts w:asciiTheme="minorHAnsi" w:hAnsiTheme="minorHAnsi" w:cstheme="minorHAnsi"/>
          <w:sz w:val="22"/>
          <w:szCs w:val="22"/>
        </w:rPr>
        <w:lastRenderedPageBreak/>
        <w:t>į šios bažnyčios ar organizacijos veiklą reguliuojančias normas, tokiam teiginiui prireikus turi būti galima taikyti veiksmingą teismo kontrolę, per kurią būtų tikrinama, ar nagrinėjamu atveju laikytasi</w:t>
      </w:r>
      <w:r w:rsidR="00975371" w:rsidRPr="0090692D">
        <w:rPr>
          <w:rFonts w:asciiTheme="minorHAnsi" w:hAnsiTheme="minorHAnsi" w:cstheme="minorHAnsi"/>
          <w:sz w:val="22"/>
          <w:szCs w:val="22"/>
        </w:rPr>
        <w:t xml:space="preserve"> šios direktyvos 4 straipsnio 2 </w:t>
      </w:r>
      <w:r w:rsidRPr="0090692D">
        <w:rPr>
          <w:rFonts w:asciiTheme="minorHAnsi" w:hAnsiTheme="minorHAnsi" w:cstheme="minorHAnsi"/>
          <w:sz w:val="22"/>
          <w:szCs w:val="22"/>
        </w:rPr>
        <w:t>dalyje įtvirtintų kriterijų.</w:t>
      </w:r>
    </w:p>
    <w:p w:rsidR="00816162" w:rsidRPr="0090692D" w:rsidRDefault="00816162" w:rsidP="00AD0B10">
      <w:pPr>
        <w:pStyle w:val="c01pointnumerotealtn"/>
        <w:spacing w:before="0" w:beforeAutospacing="0" w:after="0"/>
        <w:ind w:left="0" w:firstLine="567"/>
        <w:rPr>
          <w:rFonts w:asciiTheme="minorHAnsi" w:hAnsiTheme="minorHAnsi" w:cstheme="minorHAnsi"/>
          <w:sz w:val="22"/>
          <w:szCs w:val="22"/>
        </w:rPr>
      </w:pPr>
      <w:r w:rsidRPr="0090692D">
        <w:rPr>
          <w:rFonts w:asciiTheme="minorHAnsi" w:hAnsiTheme="minorHAnsi" w:cstheme="minorHAnsi"/>
          <w:sz w:val="22"/>
          <w:szCs w:val="22"/>
        </w:rPr>
        <w:t>2. Direktyvos 2000/78 4 straipsnio 2 dalis turi būti aiškinama taip, kad joje numatytas esminis, teisėtas ir pateisinamas profesinis reikalavimas reiškia reikalavimą, kuris, atsižvelgiant į atitinkamos bažnyčios ar organizacijos veiklą reguliuojančias normas, yra būtinas ir objektyviai nulemtas atitinkamos profesinės veiklos pobūdžio ar vykdymo sąlygų ir kuris negali apimti tikslų, nesuderinamų su šiomis normomis arba su šios bažnyčios ar organizacijos teise į autonomiją. Šis reikalavimas turi atitikti proporcingumo principą.</w:t>
      </w:r>
    </w:p>
    <w:p w:rsidR="00816162" w:rsidRPr="0090692D" w:rsidRDefault="001A347D" w:rsidP="00AD0B10">
      <w:pPr>
        <w:pStyle w:val="c01pointnumerotealtn"/>
        <w:spacing w:before="0" w:beforeAutospacing="0" w:after="0"/>
        <w:ind w:left="0" w:firstLine="567"/>
        <w:rPr>
          <w:rFonts w:asciiTheme="minorHAnsi" w:hAnsiTheme="minorHAnsi" w:cstheme="minorHAnsi"/>
          <w:sz w:val="22"/>
          <w:szCs w:val="22"/>
        </w:rPr>
      </w:pPr>
      <w:r w:rsidRPr="0090692D">
        <w:rPr>
          <w:rFonts w:asciiTheme="minorHAnsi" w:hAnsiTheme="minorHAnsi" w:cstheme="minorHAnsi"/>
          <w:sz w:val="22"/>
          <w:szCs w:val="22"/>
        </w:rPr>
        <w:t>&lt;...&gt;</w:t>
      </w:r>
    </w:p>
    <w:p w:rsidR="00C54C57" w:rsidRPr="002F09DA" w:rsidRDefault="00EF32EC" w:rsidP="00AD0B10">
      <w:pPr>
        <w:pStyle w:val="c01pointnumerotealtn"/>
        <w:spacing w:before="0" w:beforeAutospacing="0" w:after="0"/>
        <w:ind w:left="0" w:firstLine="567"/>
        <w:rPr>
          <w:rFonts w:asciiTheme="minorHAnsi" w:hAnsiTheme="minorHAnsi" w:cstheme="minorHAnsi"/>
          <w:bCs/>
          <w:sz w:val="22"/>
          <w:szCs w:val="22"/>
        </w:rPr>
      </w:pPr>
      <w:hyperlink r:id="rId15" w:history="1">
        <w:r w:rsidR="00C54C57" w:rsidRPr="002F09DA">
          <w:rPr>
            <w:rStyle w:val="Hipersaitas"/>
            <w:rFonts w:asciiTheme="minorHAnsi" w:hAnsiTheme="minorHAnsi" w:cstheme="minorHAnsi"/>
            <w:bCs/>
            <w:sz w:val="22"/>
            <w:szCs w:val="22"/>
          </w:rPr>
          <w:t>Prieiga internete</w:t>
        </w:r>
      </w:hyperlink>
    </w:p>
    <w:p w:rsidR="00816162" w:rsidRPr="002F09DA" w:rsidRDefault="00816162" w:rsidP="00AD0B10">
      <w:pPr>
        <w:pStyle w:val="c01pointnumerotealtn"/>
        <w:spacing w:before="0" w:beforeAutospacing="0" w:after="0"/>
        <w:ind w:left="0" w:firstLine="567"/>
        <w:rPr>
          <w:rStyle w:val="Hipersaitas"/>
          <w:rFonts w:asciiTheme="minorHAnsi" w:hAnsiTheme="minorHAnsi" w:cstheme="minorHAnsi"/>
          <w:bCs/>
          <w:sz w:val="22"/>
          <w:szCs w:val="22"/>
        </w:rPr>
      </w:pPr>
    </w:p>
    <w:p w:rsidR="0036339B" w:rsidRPr="002F09DA" w:rsidRDefault="0036339B" w:rsidP="00AD0B10">
      <w:pPr>
        <w:pStyle w:val="Antrat1"/>
        <w:spacing w:before="0"/>
        <w:rPr>
          <w:rFonts w:eastAsia="Times New Roman" w:cstheme="minorHAnsi"/>
          <w:bCs/>
          <w:color w:val="17365D"/>
          <w:kern w:val="32"/>
          <w:szCs w:val="22"/>
          <w:lang w:eastAsia="lt-LT"/>
        </w:rPr>
      </w:pPr>
      <w:bookmarkStart w:id="26" w:name="_Toc517273029"/>
      <w:r w:rsidRPr="002F09DA">
        <w:rPr>
          <w:rFonts w:eastAsia="Times New Roman" w:cstheme="minorHAnsi"/>
          <w:bCs/>
          <w:color w:val="17365D"/>
          <w:kern w:val="32"/>
          <w:szCs w:val="22"/>
          <w:lang w:eastAsia="lt-LT"/>
        </w:rPr>
        <w:t>APMOKESTINIMAS</w:t>
      </w:r>
      <w:bookmarkEnd w:id="26"/>
    </w:p>
    <w:p w:rsidR="00D65A51" w:rsidRDefault="00D65A51" w:rsidP="00AD0B10">
      <w:pPr>
        <w:rPr>
          <w:rFonts w:asciiTheme="minorHAnsi" w:eastAsia="Times New Roman" w:hAnsiTheme="minorHAnsi" w:cstheme="minorHAnsi"/>
          <w:bCs/>
          <w:color w:val="17365D"/>
          <w:kern w:val="32"/>
          <w:lang w:eastAsia="lt-LT"/>
        </w:rPr>
      </w:pPr>
    </w:p>
    <w:p w:rsidR="00FF446C" w:rsidRPr="003B4C7F" w:rsidRDefault="00FF446C" w:rsidP="00FF446C">
      <w:pPr>
        <w:pStyle w:val="Antrat2"/>
        <w:rPr>
          <w:rFonts w:cs="Calibri"/>
        </w:rPr>
      </w:pPr>
      <w:bookmarkStart w:id="27" w:name="_Toc516557655"/>
      <w:bookmarkStart w:id="28" w:name="_Toc517273030"/>
      <w:r w:rsidRPr="003B4C7F">
        <w:rPr>
          <w:rFonts w:cs="Calibri"/>
        </w:rPr>
        <w:t>2018 m. kovo 7 d. prejudicinis sprendimas byloje C</w:t>
      </w:r>
      <w:r w:rsidRPr="0097351E">
        <w:rPr>
          <w:rFonts w:ascii="Cambria Math" w:hAnsi="Cambria Math" w:cs="Cambria Math"/>
        </w:rPr>
        <w:t>‑</w:t>
      </w:r>
      <w:r w:rsidRPr="003B4C7F">
        <w:rPr>
          <w:rFonts w:cs="Calibri"/>
        </w:rPr>
        <w:t>159/17</w:t>
      </w:r>
      <w:bookmarkEnd w:id="27"/>
      <w:bookmarkEnd w:id="28"/>
    </w:p>
    <w:p w:rsidR="00FF446C" w:rsidRPr="003B4C7F" w:rsidRDefault="00FF446C" w:rsidP="00FF446C">
      <w:pPr>
        <w:jc w:val="center"/>
        <w:rPr>
          <w:rFonts w:cs="Calibri"/>
          <w:b/>
        </w:rPr>
      </w:pPr>
      <w:r w:rsidRPr="003B4C7F">
        <w:rPr>
          <w:rFonts w:cs="Calibri"/>
          <w:b/>
          <w:i/>
        </w:rPr>
        <w:t xml:space="preserve">Întreprinderea Individuală Dobre M. Marius </w:t>
      </w:r>
      <w:r w:rsidRPr="003B4C7F">
        <w:rPr>
          <w:rFonts w:cs="Calibri"/>
          <w:b/>
        </w:rPr>
        <w:t xml:space="preserve">prieš </w:t>
      </w:r>
      <w:r w:rsidRPr="003B4C7F">
        <w:rPr>
          <w:rFonts w:cs="Calibri"/>
          <w:b/>
          <w:i/>
        </w:rPr>
        <w:t>Ministerul Finanţelor Publice – A.N.A.F. – D.G.R.F.P. Galaţi – Serviciul Soluţionare Contestaţii ir kt.</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 xml:space="preserve">Prašymas priimti prejudicinį sprendimą buvo pateiktas dėl 2006 m. lapkričio 28 d. Tarybos direktyvos 2006/112/EB dėl pridėtinės vertės mokesčio bendros sistemos, iš dalies pakeistos, kiek tai susiję su sąskaitų faktūrų išrašymo tvarka, 2010 m. liepos 13 d. Tarybos direktyva 2010/45/ES (toliau – ir PVM direktyva), 167–169, 179 straipsnių, 213 straipsnio 1 dalies, 214 straipsnio 1 dalies a punkto ir 273 straipsnio išaiškinimo. Šis prašymas pateiktas nagrinėjant </w:t>
      </w:r>
      <w:r w:rsidRPr="003B4C7F">
        <w:rPr>
          <w:rFonts w:cs="Calibri"/>
          <w:i/>
        </w:rPr>
        <w:t>Întreprinderea Individuală Dobére M. Marius</w:t>
      </w:r>
      <w:r w:rsidRPr="003B4C7F">
        <w:rPr>
          <w:rFonts w:cs="Calibri"/>
        </w:rPr>
        <w:t xml:space="preserve"> (i(toliau – </w:t>
      </w:r>
      <w:r w:rsidRPr="003B4C7F">
        <w:rPr>
          <w:rFonts w:cs="Calibri"/>
          <w:i/>
        </w:rPr>
        <w:t>Dobre</w:t>
      </w:r>
      <w:r w:rsidRPr="003B4C7F">
        <w:rPr>
          <w:rFonts w:cs="Calibri"/>
        </w:rPr>
        <w:t xml:space="preserve">) ginčą su mokesčių administratoriumi dėl teisės atskaityti pridėtinės vertės mokestį (toliau – ir PVM), susijusį su pirkimais per laikotarpį, kai buvo panaikinta </w:t>
      </w:r>
      <w:r w:rsidRPr="003B4C7F">
        <w:rPr>
          <w:rFonts w:cs="Calibri"/>
          <w:i/>
        </w:rPr>
        <w:t>Dobre</w:t>
      </w:r>
      <w:r w:rsidRPr="003B4C7F">
        <w:rPr>
          <w:rFonts w:cs="Calibri"/>
        </w:rPr>
        <w:t xml:space="preserve"> registracija kaip PVM mokėtojos (1 ir 2 punktai).</w:t>
      </w:r>
    </w:p>
    <w:p w:rsidR="00FF446C" w:rsidRPr="003B4C7F" w:rsidRDefault="00FF446C" w:rsidP="00FF446C">
      <w:pPr>
        <w:ind w:firstLine="540"/>
        <w:rPr>
          <w:rFonts w:cs="Calibri"/>
        </w:rPr>
      </w:pPr>
      <w:r w:rsidRPr="003B4C7F">
        <w:rPr>
          <w:rFonts w:cs="Calibri"/>
        </w:rPr>
        <w:t xml:space="preserve">Pagrindinėje byloje nustatyta, kad </w:t>
      </w:r>
      <w:r w:rsidRPr="003B4C7F">
        <w:rPr>
          <w:rFonts w:cs="Calibri"/>
          <w:i/>
        </w:rPr>
        <w:t>Dobre</w:t>
      </w:r>
      <w:r w:rsidRPr="003B4C7F">
        <w:rPr>
          <w:rFonts w:cs="Calibri"/>
        </w:rPr>
        <w:t xml:space="preserve"> buvo įregistruota kaip PVM mokėtoja Rumunijoje laikotarpiu nuo 2011 m. liepos 13 d. iki 2012 m. liepos 31 d. Kadangi ši įmonė nepateikė mokesčių administratoriui PVM deklaracijų, susijusių su 2011 m. ketvirtuoju ketvirčiu ir 2012 m. pirmuoju ket</w:t>
      </w:r>
      <w:r>
        <w:rPr>
          <w:rFonts w:cs="Calibri"/>
        </w:rPr>
        <w:t>virčiu, nuo 2012 m. rugpjūčio 1 </w:t>
      </w:r>
      <w:r w:rsidRPr="003B4C7F">
        <w:rPr>
          <w:rFonts w:cs="Calibri"/>
        </w:rPr>
        <w:t xml:space="preserve">d. buvo panaikinta jos registracija kaip PVM mokėtojos. Nuo 2012 m. rugpjūčio 1 d. iki 2013 m. liepos 31 d. </w:t>
      </w:r>
      <w:r w:rsidRPr="003B4C7F">
        <w:rPr>
          <w:rFonts w:cs="Calibri"/>
          <w:i/>
        </w:rPr>
        <w:t>Dobre</w:t>
      </w:r>
      <w:r w:rsidRPr="003B4C7F">
        <w:rPr>
          <w:rFonts w:cs="Calibri"/>
        </w:rPr>
        <w:t xml:space="preserve"> toliau išrašydavo sąskaitas faktūras, kuriose nurodytas PVM, bet neteikė atitinkamų PVM deklaracijų. 2014 m. sausio 30 d. </w:t>
      </w:r>
      <w:r w:rsidRPr="003B4C7F">
        <w:rPr>
          <w:rFonts w:cs="Calibri"/>
          <w:i/>
        </w:rPr>
        <w:t>Dobre</w:t>
      </w:r>
      <w:r w:rsidRPr="003B4C7F">
        <w:rPr>
          <w:rFonts w:cs="Calibri"/>
        </w:rPr>
        <w:t xml:space="preserve"> pateikė PVM deklaracijas už 2011 m. ketvirtą ketvirtį ir už 2012 m. pirmą ir antrą ketvirčius. Atlikęs mokestinį patikrinimą, mokesčių administratorius priėmė pranešimą apie mokesčio dydį, kuriame nurodė, kad </w:t>
      </w:r>
      <w:r w:rsidRPr="003B4C7F">
        <w:rPr>
          <w:rFonts w:cs="Calibri"/>
          <w:i/>
        </w:rPr>
        <w:t>Dobre</w:t>
      </w:r>
      <w:r w:rsidRPr="003B4C7F">
        <w:rPr>
          <w:rFonts w:cs="Calibri"/>
        </w:rPr>
        <w:t xml:space="preserve"> turi sumokėti 183 301 RON PVM, kurį ji gavo per laikotarpį, kai ji nebuvo įregistruota kaip PVM mokėtoja. Savo ruožtu </w:t>
      </w:r>
      <w:r w:rsidRPr="003B4C7F">
        <w:rPr>
          <w:rFonts w:cs="Calibri"/>
          <w:i/>
        </w:rPr>
        <w:t>Dobre</w:t>
      </w:r>
      <w:r w:rsidRPr="003B4C7F">
        <w:rPr>
          <w:rFonts w:cs="Calibri"/>
        </w:rPr>
        <w:t xml:space="preserve"> prašė leisti atskaityti dalį reikalaujamo PVM, sumokėto už prekes ir paslaugas, kuriomis ji naudojosi juridiniams asmenims ginčo laikotarpiu teikdama paslaugas, atitinkančias jos verslo tikslus, sumą, tačiau mokesčių administratorius</w:t>
      </w:r>
      <w:r>
        <w:rPr>
          <w:rFonts w:cs="Calibri"/>
        </w:rPr>
        <w:t xml:space="preserve"> tai daryti</w:t>
      </w:r>
      <w:r w:rsidRPr="003B4C7F">
        <w:rPr>
          <w:rFonts w:cs="Calibri"/>
        </w:rPr>
        <w:t xml:space="preserve"> atsisakė (16–21 punktai).</w:t>
      </w:r>
    </w:p>
    <w:p w:rsidR="00FF446C" w:rsidRPr="003B4C7F" w:rsidRDefault="00FF446C" w:rsidP="00FF446C">
      <w:pPr>
        <w:ind w:firstLine="540"/>
        <w:rPr>
          <w:rFonts w:cs="Calibri"/>
        </w:rPr>
      </w:pPr>
      <w:r w:rsidRPr="003B4C7F">
        <w:rPr>
          <w:rFonts w:cs="Calibri"/>
        </w:rPr>
        <w:t>Ginčui pasiekus apeliacinės instancijos teismą, šis nutarė kreiptis į Teisingumo Teismą su prašymu priimti prejudicinį sprendimą klausimu, ar PVM direktyvą reikia aiškinti taip, kad pagal ją draudžiami nacionalinės teisės aktai, kurie leidžia mokesčių administratoriui nesuteikti apmokestinamajam asmeniui teisės į PVM atskaitą, jeigu jo registracija kaip PVM mokėtojo panaikinta dėl to, kad jis nepateikė PVM deklaracijų už tam tikrą laikotarpį per įstatyme nustatytą terminą (27 punktas).</w:t>
      </w:r>
    </w:p>
    <w:p w:rsidR="00FF446C" w:rsidRPr="003B4C7F" w:rsidRDefault="00FF446C" w:rsidP="00FF446C">
      <w:pPr>
        <w:ind w:firstLine="540"/>
        <w:rPr>
          <w:rFonts w:cs="Calibri"/>
        </w:rPr>
      </w:pPr>
      <w:r w:rsidRPr="003B4C7F">
        <w:rPr>
          <w:rFonts w:cs="Calibri"/>
        </w:rPr>
        <w:t>Šiuo klausimu Teisingumo Teismas pirmiausia priminė, kad pagrindinis PVM neutralumo principas reikalauja, kad būtų suteikta teisė į pirkimo PVM atskaitą, jeigu esminiai reikalavimai įvykdyti, net jei apmokestinamieji asmenys neįvykdė kai kurių formalių reikalavimų (31 punktas). Įsiregistravimas kaip PVM mokėtojo, numatytas PVM direktyvos 214 straipsnyje, ir apmokestinamojo asmens pareiga pranešti, kada jo, kaip apmokestinamojo asmens, veikla prasideda, pasikeičia ar baigiasi, ka</w:t>
      </w:r>
      <w:r>
        <w:rPr>
          <w:rFonts w:cs="Calibri"/>
        </w:rPr>
        <w:t>ip numatyta šios direktyvos 213 </w:t>
      </w:r>
      <w:r w:rsidRPr="003B4C7F">
        <w:rPr>
          <w:rFonts w:cs="Calibri"/>
        </w:rPr>
        <w:t xml:space="preserve">straipsnyje, yra tik formalūs reikalavimai, nustatyti kontrolės tikslais, kurie negali turėti įtakos, be kita ko, teisei į PVM atskaitą, jei įvykdytos materialinės šios teisės atsiradimo sąlygos (32 punktas). Todėl </w:t>
      </w:r>
      <w:r w:rsidRPr="003B4C7F">
        <w:rPr>
          <w:rFonts w:cs="Calibri"/>
          <w:u w:val="single"/>
        </w:rPr>
        <w:t xml:space="preserve">iš PVM mokėtojo neturi būti atimta teisė į atskaitą dėl to, kad jis nebuvo įsiregistravęs kaip PVM mokėtojas prieš tai, kai naudojo vykdant apmokestinamąją veiklą įsigytas prekes </w:t>
      </w:r>
      <w:r w:rsidRPr="003B4C7F">
        <w:rPr>
          <w:rFonts w:cs="Calibri"/>
        </w:rPr>
        <w:t>(33 punktas). Be to, apmokestinamojo asmens pareigų tvarkyti apskaitą ir deklaruoti nesilaikymo sankcionavimas atsisakant suteikti teisę į atskaitą aiškiai viršija tai, kas būtina šių pareigų teisingo taikymo tikslui pasiekti, nes Sąjungos teisė nekliudo valstybėms narėms prireikus taikyti baudą ar piniginę sankciją, proporcingą pažeidimo rimtumui (34 punktas).</w:t>
      </w:r>
    </w:p>
    <w:p w:rsidR="00FF446C" w:rsidRPr="003B4C7F" w:rsidRDefault="00FF446C" w:rsidP="00FF446C">
      <w:pPr>
        <w:ind w:firstLine="540"/>
        <w:rPr>
          <w:rFonts w:cs="Calibri"/>
        </w:rPr>
      </w:pPr>
      <w:r w:rsidRPr="003B4C7F">
        <w:rPr>
          <w:rFonts w:cs="Calibri"/>
        </w:rPr>
        <w:t xml:space="preserve">Tačiau Teisingumo Teismas priminė, kad gali būti kitaip, pirma, jei dėl formalių reikalavimų pažeidimo negalima pateikti tikslių įrodymų, kad įvykdyti esminiai reikalavimai (atsisakymas suteikti teisę į atskaitą taip </w:t>
      </w:r>
      <w:r w:rsidRPr="003B4C7F">
        <w:rPr>
          <w:rFonts w:cs="Calibri"/>
        </w:rPr>
        <w:lastRenderedPageBreak/>
        <w:t>pat priklauso nuo duomenų, būtinų siekiant nustatyti, jog esminiai reikalavimai yra įvykdyti, nebuvimo, o ne nuo formalių reikalavimų nesilaikymo) (35 punktas). Taip pat atsisakoma suteikti teisę į atskaitą, jei atsižvelgiant į objektyvius įrodymus nustatyta, kad teise į atskaitą remiamasi sukčiaujant ar piktnaudžiaujant (36 punktas).</w:t>
      </w:r>
    </w:p>
    <w:p w:rsidR="00FF446C" w:rsidRPr="003B4C7F" w:rsidRDefault="00FF446C" w:rsidP="00FF446C">
      <w:pPr>
        <w:ind w:firstLine="540"/>
        <w:rPr>
          <w:rFonts w:cs="Calibri"/>
        </w:rPr>
      </w:pPr>
    </w:p>
    <w:p w:rsidR="00FF446C" w:rsidRPr="00FF446C" w:rsidRDefault="00FF446C" w:rsidP="00FF446C">
      <w:pPr>
        <w:pStyle w:val="Antrat3"/>
        <w:ind w:firstLine="567"/>
      </w:pPr>
      <w:bookmarkStart w:id="29" w:name="_Toc516557656"/>
      <w:bookmarkStart w:id="30" w:name="_Toc517273031"/>
      <w:r w:rsidRPr="00FF446C">
        <w:t>Dėl apmokestinamojo asmens teisės į PVM atskaitą, kai jį išregistravus iš PVM mokėtojų dėl to, kad nebuvo teikiamos PVM deklaracijos, jis toliau vykdė PVM apmokestinamą veiklą</w:t>
      </w:r>
      <w:bookmarkEnd w:id="29"/>
      <w:bookmarkEnd w:id="30"/>
    </w:p>
    <w:p w:rsidR="00FF446C" w:rsidRPr="003B4C7F" w:rsidRDefault="00FF446C" w:rsidP="00FF446C">
      <w:pPr>
        <w:ind w:firstLine="540"/>
        <w:rPr>
          <w:rFonts w:cs="Calibri"/>
          <w:b/>
        </w:rPr>
      </w:pPr>
    </w:p>
    <w:p w:rsidR="00FF446C" w:rsidRPr="003B4C7F" w:rsidRDefault="00FF446C" w:rsidP="00FF446C">
      <w:pPr>
        <w:ind w:firstLine="540"/>
        <w:rPr>
          <w:rFonts w:cs="Calibri"/>
        </w:rPr>
      </w:pPr>
      <w:r w:rsidRPr="003B4C7F">
        <w:rPr>
          <w:rFonts w:cs="Calibri"/>
        </w:rPr>
        <w:t xml:space="preserve">Minėta, kad </w:t>
      </w:r>
      <w:r w:rsidRPr="003B4C7F">
        <w:rPr>
          <w:rFonts w:cs="Calibri"/>
          <w:i/>
        </w:rPr>
        <w:t>Dobre</w:t>
      </w:r>
      <w:r w:rsidRPr="003B4C7F">
        <w:rPr>
          <w:rFonts w:cs="Calibri"/>
        </w:rPr>
        <w:t xml:space="preserve"> registracijos kaip PVM mokėtojos panaikinimas pagal nacionalinę teisę buvo atliktas dėl to, kad ji per numatytą terminą nepateikė PVM deklaracijų už 2011 m. ketvirtą ketvirtį ir 2012 m. pirmą ir antrą ketvirčius. Be to, šis apmokestinamasis asmuo nepateikė šių deklaracijų nuo 2012 m. rugpjūčio mėn. iki 2013 m. liepos mėn., nors ir toliau išrašinėdavo sąskaitas faktūras, kuriose buvo nurodytas PVM</w:t>
      </w:r>
      <w:r>
        <w:rPr>
          <w:rFonts w:cs="Calibri"/>
        </w:rPr>
        <w:t xml:space="preserve"> (37 </w:t>
      </w:r>
      <w:r w:rsidRPr="003B4C7F">
        <w:rPr>
          <w:rFonts w:cs="Calibri"/>
        </w:rPr>
        <w:t xml:space="preserve">punktas). Šiuo aspektu Teisingumo Teismas nurodė, kad nepateikimas PVM deklaracijos, kuri leistų taikyti PVM ir mokesčių administratoriui atlikti jo kontrolę, gali kliudyti teisingai surinkti mokestį ir taip pakenkti sklandžiam bendrosios PVM sistemos veikimui. </w:t>
      </w:r>
      <w:r w:rsidRPr="003B4C7F">
        <w:rPr>
          <w:rFonts w:cs="Calibri"/>
          <w:u w:val="single"/>
        </w:rPr>
        <w:t xml:space="preserve">Todėl Sąjungos teisė </w:t>
      </w:r>
      <w:r w:rsidRPr="003B4C7F">
        <w:rPr>
          <w:rFonts w:cs="Calibri"/>
          <w:b/>
          <w:u w:val="single"/>
        </w:rPr>
        <w:t>nedraudžia</w:t>
      </w:r>
      <w:r w:rsidRPr="003B4C7F">
        <w:rPr>
          <w:rFonts w:cs="Calibri"/>
          <w:u w:val="single"/>
        </w:rPr>
        <w:t xml:space="preserve"> tokio pareigų nevykdymo laikyti sukčiavimu mokesčių srityje ir tokiu atveju atsisakyti suteikti teisę į atskaitą</w:t>
      </w:r>
      <w:r w:rsidRPr="003B4C7F">
        <w:rPr>
          <w:rFonts w:cs="Calibri"/>
        </w:rPr>
        <w:t xml:space="preserve"> (41 punktas).</w:t>
      </w:r>
    </w:p>
    <w:p w:rsidR="00FF446C" w:rsidRPr="003B4C7F" w:rsidRDefault="00FF446C" w:rsidP="00FF446C">
      <w:pPr>
        <w:ind w:firstLine="540"/>
        <w:rPr>
          <w:rFonts w:cs="Calibri"/>
        </w:rPr>
      </w:pPr>
    </w:p>
    <w:p w:rsidR="00FF446C" w:rsidRPr="003B4C7F" w:rsidRDefault="00FF446C" w:rsidP="00FF446C">
      <w:pPr>
        <w:ind w:firstLine="540"/>
        <w:rPr>
          <w:rFonts w:cs="Calibri"/>
          <w:b/>
        </w:rPr>
      </w:pPr>
      <w:r w:rsidRPr="003B4C7F">
        <w:rPr>
          <w:rFonts w:cs="Calibri"/>
          <w:b/>
        </w:rPr>
        <w:t>Remdamasis šiais motyvais, Teisingumo Teismas (dešimtoji kolegija) nusprendė:</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PVM direktyvos 167–169, 179 straipsnius, 213 straipsnio 1 dalį, 214 straipsnio 1 dalį ir 273 straipsnį reikia aiškinti taip, kad jais nedraudžiamos nacionalinės teisės nuostatos, kurios leidžia mokesčių administratoriui nesuteikti apmokestinamajam asmeniui teisės į pridėtinės vertės mokesčio atskaitą, jei nustatyta, kad dėl šio asmens padarytų pažeidimų mokesčių administratorius negali gauti duomenų, būtinų nustatyti, kad esminiai reikalavimai, suteikiantys teisę į pirkimo pridėtinės vertės mokesčio atskaitą, yra įvykdyti arba kad šis asmuo sukčiavo, siekdamas pasinaudoti šia teise, o tai turi patikrinti prašymą priimti prejudicinį sprendimą pateikęs teismas.</w:t>
      </w:r>
    </w:p>
    <w:p w:rsidR="00FF446C" w:rsidRPr="00FF446C" w:rsidRDefault="00EF32EC" w:rsidP="00FF446C">
      <w:pPr>
        <w:ind w:firstLine="540"/>
        <w:rPr>
          <w:rFonts w:cs="Calibri"/>
        </w:rPr>
      </w:pPr>
      <w:hyperlink r:id="rId16" w:history="1">
        <w:r w:rsidR="00FF446C" w:rsidRPr="00FF446C">
          <w:rPr>
            <w:rStyle w:val="Hipersaitas"/>
            <w:rFonts w:cs="Calibri"/>
          </w:rPr>
          <w:t>Prieiga internete</w:t>
        </w:r>
      </w:hyperlink>
    </w:p>
    <w:p w:rsidR="00FF446C" w:rsidRPr="003B4C7F" w:rsidRDefault="00FF446C" w:rsidP="00FF446C">
      <w:pPr>
        <w:ind w:firstLine="540"/>
        <w:rPr>
          <w:rFonts w:cs="Calibri"/>
        </w:rPr>
      </w:pPr>
    </w:p>
    <w:p w:rsidR="00FF446C" w:rsidRPr="003B4C7F" w:rsidRDefault="00FF446C" w:rsidP="00FF446C">
      <w:pPr>
        <w:pStyle w:val="Antrat2"/>
        <w:rPr>
          <w:rFonts w:cs="Calibri"/>
        </w:rPr>
      </w:pPr>
      <w:bookmarkStart w:id="31" w:name="_Toc516557657"/>
      <w:bookmarkStart w:id="32" w:name="_Toc517273032"/>
      <w:r w:rsidRPr="003B4C7F">
        <w:rPr>
          <w:rFonts w:cs="Calibri"/>
        </w:rPr>
        <w:t>2018 m. balandžio 26 d. prejudicinis sprendimas byloje C</w:t>
      </w:r>
      <w:r w:rsidRPr="0097351E">
        <w:rPr>
          <w:rFonts w:ascii="Cambria Math" w:hAnsi="Cambria Math" w:cs="Cambria Math"/>
        </w:rPr>
        <w:t>‑</w:t>
      </w:r>
      <w:r w:rsidRPr="003B4C7F">
        <w:rPr>
          <w:rFonts w:cs="Calibri"/>
        </w:rPr>
        <w:t>81/17</w:t>
      </w:r>
      <w:bookmarkEnd w:id="31"/>
      <w:bookmarkEnd w:id="32"/>
    </w:p>
    <w:p w:rsidR="00FF446C" w:rsidRPr="003B4C7F" w:rsidRDefault="00FF446C" w:rsidP="00FF446C">
      <w:pPr>
        <w:jc w:val="center"/>
        <w:rPr>
          <w:rFonts w:cs="Calibri"/>
          <w:b/>
          <w:i/>
        </w:rPr>
      </w:pPr>
      <w:r w:rsidRPr="003B4C7F">
        <w:rPr>
          <w:rFonts w:cs="Calibri"/>
          <w:b/>
          <w:i/>
        </w:rPr>
        <w:t>Zabrus Siret SRL</w:t>
      </w:r>
      <w:r w:rsidRPr="003B4C7F">
        <w:rPr>
          <w:rFonts w:cs="Calibri"/>
          <w:b/>
        </w:rPr>
        <w:t xml:space="preserve"> </w:t>
      </w:r>
      <w:r w:rsidRPr="00C9440B">
        <w:rPr>
          <w:rFonts w:cs="Calibri"/>
          <w:b/>
          <w:i/>
        </w:rPr>
        <w:t>prieš</w:t>
      </w:r>
      <w:r w:rsidRPr="003B4C7F">
        <w:rPr>
          <w:rFonts w:cs="Calibri"/>
          <w:b/>
        </w:rPr>
        <w:t xml:space="preserve"> </w:t>
      </w:r>
      <w:r w:rsidRPr="003B4C7F">
        <w:rPr>
          <w:rFonts w:cs="Calibri"/>
          <w:b/>
          <w:i/>
        </w:rPr>
        <w:t xml:space="preserve">Direcția Generală Regională a Finanțelor Publice </w:t>
      </w:r>
    </w:p>
    <w:p w:rsidR="00FF446C" w:rsidRPr="003B4C7F" w:rsidRDefault="00FF446C" w:rsidP="00FF446C">
      <w:pPr>
        <w:jc w:val="center"/>
        <w:rPr>
          <w:rFonts w:cs="Calibri"/>
          <w:b/>
        </w:rPr>
      </w:pPr>
      <w:r w:rsidRPr="003B4C7F">
        <w:rPr>
          <w:rFonts w:cs="Calibri"/>
          <w:b/>
          <w:i/>
        </w:rPr>
        <w:t>Iași – Administrația Județeană a Finanțelor Publice Suceava</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 xml:space="preserve">Prašymas priimti prejudicinį sprendimą pateiktas dėl 2006 m. lapkričio 28 d. Tarybos direktyvos 2006/112/EB dėl pridėtinės vertės mokesčio bendros sistemos, iš dalies pakeistos 2010 m. liepos 13 d. Tarybos direktyva 2010/45/ES (toliau – ir PVM direktyva) nuostatų ir mokesčių neutralumo bei proporcingumo principų išaiškinimo. Šis prašymas pateiktas nagrinėjant </w:t>
      </w:r>
      <w:r w:rsidRPr="003B4C7F">
        <w:rPr>
          <w:rFonts w:cs="Calibri"/>
          <w:i/>
        </w:rPr>
        <w:t>Zabrus SRL</w:t>
      </w:r>
      <w:r w:rsidRPr="003B4C7F">
        <w:rPr>
          <w:rFonts w:cs="Calibri"/>
        </w:rPr>
        <w:t xml:space="preserve"> (toliau – </w:t>
      </w:r>
      <w:r w:rsidRPr="003B4C7F">
        <w:rPr>
          <w:rFonts w:cs="Calibri"/>
          <w:i/>
        </w:rPr>
        <w:t>Zabrus</w:t>
      </w:r>
      <w:r w:rsidRPr="003B4C7F">
        <w:rPr>
          <w:rFonts w:cs="Calibri"/>
        </w:rPr>
        <w:t>) ir mokesčių administratoriaus ginčą dėl apmokestinamojo asmens galimybės ištaisyti esmines pridėtinės vertės mokesčio (PVM) deklaracijų klaidas, kad galėtų atskaityti PVM (1 ir 2 punktai).</w:t>
      </w:r>
    </w:p>
    <w:p w:rsidR="00FF446C" w:rsidRPr="003B4C7F" w:rsidRDefault="00FF446C" w:rsidP="00FF446C">
      <w:pPr>
        <w:ind w:firstLine="540"/>
        <w:rPr>
          <w:rFonts w:cs="Calibri"/>
        </w:rPr>
      </w:pPr>
      <w:r w:rsidRPr="003B4C7F">
        <w:rPr>
          <w:rFonts w:cs="Calibri"/>
        </w:rPr>
        <w:t xml:space="preserve">Pagrindinėje byloje nustatyta, kad įmonėje </w:t>
      </w:r>
      <w:r w:rsidRPr="003B4C7F">
        <w:rPr>
          <w:rFonts w:cs="Calibri"/>
          <w:i/>
        </w:rPr>
        <w:t>Zabrus</w:t>
      </w:r>
      <w:r w:rsidRPr="003B4C7F">
        <w:rPr>
          <w:rFonts w:cs="Calibri"/>
        </w:rPr>
        <w:t xml:space="preserve"> buvo atliktas PVM m</w:t>
      </w:r>
      <w:r w:rsidR="00C9440B">
        <w:rPr>
          <w:rFonts w:cs="Calibri"/>
        </w:rPr>
        <w:t>okestinis patikrinimas dėl 2014 </w:t>
      </w:r>
      <w:r w:rsidRPr="003B4C7F">
        <w:rPr>
          <w:rFonts w:cs="Calibri"/>
        </w:rPr>
        <w:t xml:space="preserve">m. gegužės 1 d.–2014 m. lapkričio 30 d. laikotarpio. Šis patikrinimas užbaigtas 2015 m. sausio 26 d. aktu. 2015 m. gegužės 25 d. </w:t>
      </w:r>
      <w:r w:rsidRPr="003B4C7F">
        <w:rPr>
          <w:rFonts w:cs="Calibri"/>
          <w:i/>
        </w:rPr>
        <w:t>Zabrus</w:t>
      </w:r>
      <w:r w:rsidRPr="003B4C7F">
        <w:rPr>
          <w:rFonts w:cs="Calibri"/>
        </w:rPr>
        <w:t xml:space="preserve"> pateikė PVM deklaraciją</w:t>
      </w:r>
      <w:r w:rsidR="00C9440B">
        <w:rPr>
          <w:rFonts w:cs="Calibri"/>
        </w:rPr>
        <w:t>,</w:t>
      </w:r>
      <w:r w:rsidRPr="003B4C7F">
        <w:rPr>
          <w:rFonts w:cs="Calibri"/>
        </w:rPr>
        <w:t xml:space="preserve"> kuria siekė susigrąžinti šio mokesči</w:t>
      </w:r>
      <w:r w:rsidR="00C9440B">
        <w:rPr>
          <w:rFonts w:cs="Calibri"/>
        </w:rPr>
        <w:t>o sumas už 2014 </w:t>
      </w:r>
      <w:r w:rsidRPr="003B4C7F">
        <w:rPr>
          <w:rFonts w:cs="Calibri"/>
        </w:rPr>
        <w:t xml:space="preserve">metais įvykusius sandorius. Mokesčių institucijos atsisakė grąžinti PVM, nes prašomos grąžinti sumos susijusios su sandoriais, įvykdytais ankstesniu nei tirtas mokestiniu laikotarpiu, dėl kurio jau buvo atliktas PVM mokestinis patikrinimas. Jos nurodė, kad pagal taikytinus nacionalinės teisės aktus vieno mokestinio patikrinimo principas draudžia grąžinti </w:t>
      </w:r>
      <w:r w:rsidRPr="00C9440B">
        <w:rPr>
          <w:rFonts w:cs="Calibri"/>
          <w:i/>
        </w:rPr>
        <w:t>Zabrus</w:t>
      </w:r>
      <w:r w:rsidRPr="003B4C7F">
        <w:rPr>
          <w:rFonts w:cs="Calibri"/>
        </w:rPr>
        <w:t xml:space="preserve"> prašomas sumas, nes, kalbant apie tikrintą laikotarpį, nebuvo nustatyta su PVM mokėjimu susijusio pažeidimo, o patikrinimą atlikusi institucija nepriėmė jokio akto, įpareigojančio </w:t>
      </w:r>
      <w:r w:rsidRPr="003B4C7F">
        <w:rPr>
          <w:rFonts w:cs="Calibri"/>
          <w:i/>
        </w:rPr>
        <w:t>Zabrus</w:t>
      </w:r>
      <w:r w:rsidRPr="003B4C7F">
        <w:rPr>
          <w:rFonts w:cs="Calibri"/>
        </w:rPr>
        <w:t xml:space="preserve"> imtis priemonių (16–19 punktai).</w:t>
      </w:r>
    </w:p>
    <w:p w:rsidR="00FF446C" w:rsidRPr="003B4C7F" w:rsidRDefault="00FF446C" w:rsidP="00FF446C">
      <w:pPr>
        <w:ind w:firstLine="540"/>
        <w:rPr>
          <w:rFonts w:cs="Calibri"/>
        </w:rPr>
      </w:pPr>
      <w:r w:rsidRPr="003B4C7F">
        <w:rPr>
          <w:rFonts w:cs="Calibri"/>
        </w:rPr>
        <w:t xml:space="preserve">Ginčui pasiekus apeliacinės instancijos teismą, šis nutarė sustabdyti bylos nagrinėjimą ir kreiptis į Teisingumo Teismą su prašymu išaiškinti, ar PVM direktyvos 167, 168, 179, 180 ir 182 straipsniai, veiksmingumo, mokesčių neutralumo ir proporcingumo principai turi būti aiškinami taip, kad jie draudžia tokius nacionalinės teisės aktus, kaip nagrinėjami pagrindinėje byloje, pagal kuriuos nukrypstant nuo nacionalinėje teisėje numatyto 5 metų senaties termino taisyti PVM deklaracijas, neleidžiama tokiomis aplinkybėmis, kaip nagrinėjamos pagrindinėje byloje, apmokestinamajam asmeniui daryti tokius taisymus, </w:t>
      </w:r>
      <w:r w:rsidRPr="003B4C7F">
        <w:rPr>
          <w:rFonts w:cs="Calibri"/>
        </w:rPr>
        <w:lastRenderedPageBreak/>
        <w:t>suteikiančius galimybę pasinaudoti teise į atskaitą, jei toks taisymas susijęs su laikotarpiu, dėl kurio jau buvo atliktas mokestinis patikrinimas (34 punktas).</w:t>
      </w:r>
    </w:p>
    <w:p w:rsidR="00FF446C" w:rsidRPr="003B4C7F" w:rsidRDefault="00FF446C" w:rsidP="00FF446C">
      <w:pPr>
        <w:ind w:firstLine="540"/>
        <w:rPr>
          <w:rFonts w:cs="Calibri"/>
        </w:rPr>
      </w:pPr>
      <w:r w:rsidRPr="003B4C7F">
        <w:rPr>
          <w:rFonts w:cs="Calibri"/>
        </w:rPr>
        <w:t xml:space="preserve">Šiuo klausimu Teisingumo Teismas pirmiausia priminė, kad pagal PVM </w:t>
      </w:r>
      <w:r w:rsidR="00C9440B">
        <w:rPr>
          <w:rFonts w:cs="Calibri"/>
        </w:rPr>
        <w:t>direktyvos 167 straipsnį ir 179 </w:t>
      </w:r>
      <w:r w:rsidRPr="003B4C7F">
        <w:rPr>
          <w:rFonts w:cs="Calibri"/>
        </w:rPr>
        <w:t xml:space="preserve">straipsnio pirmą pastraipą, teise į atskaitą iš principo naudojamasi per tą patį laikotarpį, kuriuo atsirado ši teisė, t. y. tuomet, kai atsiranda prievolė sumokėti mokestį (36 punktas). Vis dėlto pagal minėtos direktyvos 180 ir 182 straipsnius apmokestinamajam asmeniui </w:t>
      </w:r>
      <w:r w:rsidRPr="003B4C7F">
        <w:rPr>
          <w:rFonts w:cs="Calibri"/>
          <w:u w:val="single"/>
        </w:rPr>
        <w:t>gali būti leista atskaityti PVM, net jeigu jis nepasinaudojo tokia teise laikotarpiu, kuriuo atsirado ši teisė, jei laikomasi tam tikrų nacionalinėje teisėje nustatytų sąlygų ir taisyklių</w:t>
      </w:r>
      <w:r w:rsidRPr="003B4C7F">
        <w:rPr>
          <w:rFonts w:cs="Calibri"/>
        </w:rPr>
        <w:t xml:space="preserve"> (37 punktas). Tačiau galimybė be jokių apribojimų laiko atžvilgiu pasinaudoti teise į atskaitą prieštarautų teisinio saugumo principui, pagal kurį reikalaujama, kad apmokestinamojo asmens mokestinė situacija, atsižvelgiant į jo teises ir pareigas mokesčių administratoriaus atžvilgiu, negalėtų būti ginčijama neribotą laiką. Todėl naikinamasis terminas, kuriam pasibaigus nepakankamai rūpestingas apmokestinamasis asmuo, nepateikęs prašymo leisti atskaityti pirkimo PVM, praranda teisę į atskaitą, neturi būti laikomas nesuderinamu su PVM direktyva, jeigu, pirma, šis terminas nacionaline teise pagrįstoms teisėms mokesčių srityje taikomas taip pat, kaip ir Sąjungos teise pagrįstoms teisėms (lygiavertiškumo principas), ir, antra, dėl jo naudojimasis teise atskaityti netampa neįmanomas arba pernelyg sudėtingas (veiksmingumo principas) (38 punktas).</w:t>
      </w:r>
    </w:p>
    <w:p w:rsidR="00FF446C" w:rsidRPr="003B4C7F" w:rsidRDefault="00FF446C" w:rsidP="00FF446C">
      <w:pPr>
        <w:ind w:firstLine="540"/>
        <w:rPr>
          <w:rFonts w:cs="Calibri"/>
        </w:rPr>
      </w:pPr>
    </w:p>
    <w:p w:rsidR="00FF446C" w:rsidRPr="00C9440B" w:rsidRDefault="00FF446C" w:rsidP="00C9440B">
      <w:pPr>
        <w:pStyle w:val="Antrat3"/>
        <w:ind w:firstLine="567"/>
      </w:pPr>
      <w:bookmarkStart w:id="33" w:name="_Toc516557658"/>
      <w:bookmarkStart w:id="34" w:name="_Toc517273033"/>
      <w:r w:rsidRPr="00C9440B">
        <w:t>Dėl teisės į PVM atskaitą patikslinus šio mokesčio deklaraciją už laikotarpį, dėl kurio jau mokesčių administratorius atliko mokestinį patikrinimą</w:t>
      </w:r>
      <w:bookmarkEnd w:id="33"/>
      <w:bookmarkEnd w:id="34"/>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Ginčo atveju teisei į PVM atskaitą rumunų teisėje taikomas bendras 5 metų senaties terminas. Vis dėlto, jei atliekamas mokestinis patikrinimas, teisei į atskaitą taikomas trumpesnis naikinamasis terminas. Iš tikrųjų apmokestinamasis asmuo nebegali taisyti mokestinių laikotarpių, dėl kurių mokesčių institucijos atliko patikrinimus, PVM deklaracijų (39 punktas).</w:t>
      </w:r>
    </w:p>
    <w:p w:rsidR="00FF446C" w:rsidRPr="003B4C7F" w:rsidRDefault="00FF446C" w:rsidP="00FF446C">
      <w:pPr>
        <w:ind w:firstLine="540"/>
        <w:rPr>
          <w:rFonts w:cs="Calibri"/>
        </w:rPr>
      </w:pPr>
      <w:r w:rsidRPr="003B4C7F">
        <w:rPr>
          <w:rFonts w:cs="Calibri"/>
        </w:rPr>
        <w:t xml:space="preserve">Šiuo aspektu Teisingumo Teismas konstatavo, kad veiksmingumo principas draudžia tokį reglamentavimą, jeigu jis tokiomis aplinkybėmis, kaip nagrinėjamos pagrindinėje byloje, net jei nesibaigęs minėtuose teisės aktuose numatytas 5 metų naikinamasis terminas, gali atimti iš apmokestinamojo asmens galimybę ištaisyti savo PVM deklaracijas, kai dėl šio apmokestinamojo asmens jau buvo atliktas mokestinis patikrinimas dėl su minėtu ištaisymu susijusio laikotarpio (41 punktas). </w:t>
      </w:r>
      <w:r w:rsidRPr="003B4C7F">
        <w:rPr>
          <w:rFonts w:cs="Calibri"/>
          <w:u w:val="single"/>
        </w:rPr>
        <w:t xml:space="preserve">Taigi tai, kad nacionalinės teisės aktai, kaip antai nagrinėjami pagrindinėje byloje, atima iš apmokestinamojo asmens galimybę ištaisyti savo PVM deklaraciją, sutrumpinant tam skirtą terminą, yra </w:t>
      </w:r>
      <w:r w:rsidRPr="003B4C7F">
        <w:rPr>
          <w:rFonts w:cs="Calibri"/>
          <w:b/>
          <w:u w:val="single"/>
        </w:rPr>
        <w:t>nesuderinama</w:t>
      </w:r>
      <w:r w:rsidRPr="003B4C7F">
        <w:rPr>
          <w:rFonts w:cs="Calibri"/>
          <w:u w:val="single"/>
        </w:rPr>
        <w:t xml:space="preserve"> su veiksmingumo principu</w:t>
      </w:r>
      <w:r w:rsidRPr="003B4C7F">
        <w:rPr>
          <w:rFonts w:cs="Calibri"/>
        </w:rPr>
        <w:t xml:space="preserve"> (42 punktas). </w:t>
      </w:r>
      <w:r w:rsidRPr="003B4C7F">
        <w:rPr>
          <w:rFonts w:cs="Calibri"/>
          <w:u w:val="single"/>
        </w:rPr>
        <w:t>Toks reguliavimas prieštarauja ir mokesčių neutralumo ir proporcingumo principams</w:t>
      </w:r>
      <w:r w:rsidRPr="003B4C7F">
        <w:rPr>
          <w:rFonts w:cs="Calibri"/>
        </w:rPr>
        <w:t xml:space="preserve"> (43 punktas).</w:t>
      </w:r>
    </w:p>
    <w:p w:rsidR="00FF446C" w:rsidRPr="003B4C7F" w:rsidRDefault="00FF446C" w:rsidP="00FF446C">
      <w:pPr>
        <w:ind w:firstLine="540"/>
        <w:rPr>
          <w:rFonts w:cs="Calibri"/>
        </w:rPr>
      </w:pPr>
      <w:r w:rsidRPr="003B4C7F">
        <w:rPr>
          <w:rFonts w:cs="Calibri"/>
        </w:rPr>
        <w:t>Teisingumo Teismas taip pat atmetė Rumunijos vyriausybės argumentą, kad pagrindinėje byloje nagrinėjami teisės aktai, grindžiami vieno patikrinimo principu, išplaukia iš teisinio saugumo principo (53 punktas). Tokia nacionalinė mokestinio patikrinimo tvarka, kaip antai nagrinėjama pagrindinėje byloje, kuri neleidžia apmokestinamajam asmeniui ištaisyti savo PVM deklaracijos, nors toks ištaisymas įmanomas, kai jis atliekamas vykdant mokesčių institucijų aktą, taip pat mokesčių institucijų, turinčių naujos informacijos, galimybė atlikti naują patikrinimą, nėra skirta apsaugoti mokesčių mokėtojų teisėms ir neatrodo, kad ji skirta teisinio saugumo principui užtikrinti. Iš tikrųjų tokia tvarka su minėtomis išimtimis iš esmės skirta užtikrinti mokestinių patikrinimų veiksmingumui ir nacionalinio administratoriaus veikimui (54 punktas).</w:t>
      </w:r>
    </w:p>
    <w:p w:rsidR="00FF446C" w:rsidRPr="003B4C7F" w:rsidRDefault="00FF446C" w:rsidP="00FF446C">
      <w:pPr>
        <w:ind w:firstLine="540"/>
        <w:rPr>
          <w:rFonts w:cs="Calibri"/>
        </w:rPr>
      </w:pPr>
    </w:p>
    <w:p w:rsidR="00FF446C" w:rsidRPr="003B4C7F" w:rsidRDefault="00FF446C" w:rsidP="00FF446C">
      <w:pPr>
        <w:ind w:firstLine="540"/>
        <w:rPr>
          <w:rFonts w:cs="Calibri"/>
          <w:b/>
        </w:rPr>
      </w:pPr>
      <w:r w:rsidRPr="003B4C7F">
        <w:rPr>
          <w:rFonts w:cs="Calibri"/>
          <w:b/>
        </w:rPr>
        <w:t>Remdamasis šiais motyvais, Teisingumo Teismas (devintoji kolegija) nusprendė:</w:t>
      </w:r>
    </w:p>
    <w:p w:rsidR="005C1696" w:rsidRDefault="005C1696" w:rsidP="00FF446C">
      <w:pPr>
        <w:ind w:firstLine="540"/>
        <w:rPr>
          <w:rFonts w:cs="Calibri"/>
        </w:rPr>
      </w:pPr>
    </w:p>
    <w:p w:rsidR="00FF446C" w:rsidRPr="003B4C7F" w:rsidRDefault="00FF446C" w:rsidP="00FF446C">
      <w:pPr>
        <w:ind w:firstLine="540"/>
        <w:rPr>
          <w:rFonts w:cs="Calibri"/>
        </w:rPr>
      </w:pPr>
      <w:r w:rsidRPr="003B4C7F">
        <w:rPr>
          <w:rFonts w:cs="Calibri"/>
        </w:rPr>
        <w:t>PVM direktyvos 167, 168, 179, 180 ir 182 straipsniai, veiksmingumo, mokesčių neutralumo ir proporcingumo principai turi būti aiškinami taip, kad jie draudžia tokius nacionalinės teisės aktus, kaip nagrinėjami pagrindinėje byloje, pagal kuriuos nukrypstant nuo nacionalinėje teisėje numatyto 5 metų senaties termino taisyti pridėtinės vertės mokesčio (PVM) deklaracijas neleidžiama tokiomis aplinkybėmis, kaip nagrinėjamos pagrindinėje byloje, apmokestinamajam asmeniui daryti tokius taisymus, suteikiančius galimybę pasinaudoti teise į atskaitą, jei toks taisymas susijęs su laikotarpiu, dėl kurio jau buvo atliktas mokestinis patikrinimas.</w:t>
      </w:r>
    </w:p>
    <w:p w:rsidR="00FF446C" w:rsidRPr="003B4C7F" w:rsidRDefault="00EF32EC" w:rsidP="00FF446C">
      <w:pPr>
        <w:ind w:firstLine="540"/>
        <w:rPr>
          <w:rFonts w:cs="Calibri"/>
        </w:rPr>
      </w:pPr>
      <w:hyperlink r:id="rId17" w:history="1">
        <w:r w:rsidR="00FF446C" w:rsidRPr="00C9440B">
          <w:rPr>
            <w:rStyle w:val="Hipersaitas"/>
            <w:rFonts w:cs="Calibri"/>
          </w:rPr>
          <w:t>Prieiga internete</w:t>
        </w:r>
      </w:hyperlink>
    </w:p>
    <w:p w:rsidR="00FF446C" w:rsidRPr="003B4C7F" w:rsidRDefault="00FF446C" w:rsidP="00FF446C">
      <w:pPr>
        <w:ind w:firstLine="540"/>
        <w:rPr>
          <w:rFonts w:cs="Calibri"/>
        </w:rPr>
      </w:pPr>
    </w:p>
    <w:p w:rsidR="00FF446C" w:rsidRPr="003B4C7F" w:rsidRDefault="00FF446C" w:rsidP="00FF446C">
      <w:pPr>
        <w:pStyle w:val="Antrat2"/>
        <w:rPr>
          <w:rFonts w:cs="Calibri"/>
        </w:rPr>
      </w:pPr>
      <w:bookmarkStart w:id="35" w:name="_Toc516557659"/>
      <w:bookmarkStart w:id="36" w:name="_Toc517273034"/>
      <w:r w:rsidRPr="003B4C7F">
        <w:rPr>
          <w:rFonts w:cs="Calibri"/>
        </w:rPr>
        <w:t>2018 m. vasario 21 d. prejudicinis sprendimas byloje C</w:t>
      </w:r>
      <w:r w:rsidRPr="0097351E">
        <w:rPr>
          <w:rFonts w:ascii="Cambria Math" w:hAnsi="Cambria Math" w:cs="Cambria Math"/>
        </w:rPr>
        <w:t>‑</w:t>
      </w:r>
      <w:r w:rsidRPr="003B4C7F">
        <w:rPr>
          <w:rFonts w:cs="Calibri"/>
        </w:rPr>
        <w:t>628/16</w:t>
      </w:r>
      <w:bookmarkEnd w:id="35"/>
      <w:bookmarkEnd w:id="36"/>
    </w:p>
    <w:p w:rsidR="00FF446C" w:rsidRPr="003B4C7F" w:rsidRDefault="00FF446C" w:rsidP="00FF446C">
      <w:pPr>
        <w:jc w:val="center"/>
        <w:rPr>
          <w:rFonts w:cs="Calibri"/>
          <w:b/>
          <w:i/>
        </w:rPr>
      </w:pPr>
      <w:r w:rsidRPr="003B4C7F">
        <w:rPr>
          <w:rFonts w:cs="Calibri"/>
          <w:b/>
          <w:i/>
        </w:rPr>
        <w:t xml:space="preserve">Kreuzmayr GmbH </w:t>
      </w:r>
      <w:r w:rsidRPr="00690E33">
        <w:rPr>
          <w:rFonts w:cs="Calibri"/>
          <w:b/>
          <w:i/>
        </w:rPr>
        <w:t>prieš</w:t>
      </w:r>
      <w:r w:rsidRPr="003B4C7F">
        <w:rPr>
          <w:rFonts w:cs="Calibri"/>
          <w:b/>
        </w:rPr>
        <w:t xml:space="preserve"> </w:t>
      </w:r>
      <w:r w:rsidRPr="003B4C7F">
        <w:rPr>
          <w:rFonts w:cs="Calibri"/>
          <w:b/>
          <w:i/>
        </w:rPr>
        <w:t>Finanzamt Linz</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 xml:space="preserve">Prašymas priimti prejudicinį sprendimą buvo pateiktas dėl 2006 m. lapkričio 28 d. Tarybos direktyvos 2006/112/EB dėl pridėtinės vertės mokesčio bendros sistemos (OL L 347, 2006, p. 1, toliau – PVM direktyva) 32 straipsnio pirmos pastraipos ir 168 dalies a punkto išaiškinimo. Šis prašymas pateiktas nagrinėjant </w:t>
      </w:r>
      <w:r w:rsidRPr="003B4C7F">
        <w:rPr>
          <w:rFonts w:cs="Calibri"/>
          <w:i/>
        </w:rPr>
        <w:t>Kreuzmayr GmbH</w:t>
      </w:r>
      <w:r w:rsidRPr="003B4C7F">
        <w:rPr>
          <w:rFonts w:cs="Calibri"/>
        </w:rPr>
        <w:t xml:space="preserve"> ir Austrijos mokesčių administratoriaus ginčą dėl pirkimo pridėtinės vertės mokesčio (PVM) už 2008 m. įvykdytus sandorius atskaitos (1 ir 2 punktai).</w:t>
      </w:r>
    </w:p>
    <w:p w:rsidR="00FF446C" w:rsidRPr="003B4C7F" w:rsidRDefault="00FF446C" w:rsidP="00FF446C">
      <w:pPr>
        <w:ind w:firstLine="540"/>
        <w:rPr>
          <w:rFonts w:cs="Calibri"/>
        </w:rPr>
      </w:pPr>
      <w:r w:rsidRPr="003B4C7F">
        <w:rPr>
          <w:rFonts w:cs="Calibri"/>
        </w:rPr>
        <w:t xml:space="preserve">Pagrindinėje byloje nustatyta, kad Vokietijoje įsteigta ir kaip mokesčių mokėtoja įregistruota </w:t>
      </w:r>
      <w:r w:rsidRPr="003B4C7F">
        <w:rPr>
          <w:rFonts w:cs="Calibri"/>
          <w:i/>
        </w:rPr>
        <w:t>BP Marketing GmbH</w:t>
      </w:r>
      <w:r w:rsidRPr="003B4C7F">
        <w:rPr>
          <w:rFonts w:cs="Calibri"/>
        </w:rPr>
        <w:t xml:space="preserve"> pardavė naftos produktų Austrijoje kaip PVM mokėtojai įregistruotai </w:t>
      </w:r>
      <w:r w:rsidRPr="003B4C7F">
        <w:rPr>
          <w:rFonts w:cs="Calibri"/>
          <w:i/>
        </w:rPr>
        <w:t>BIDI Ltd.</w:t>
      </w:r>
      <w:r w:rsidRPr="003B4C7F">
        <w:rPr>
          <w:rFonts w:cs="Calibri"/>
        </w:rPr>
        <w:t xml:space="preserve"> Gavusi avansinį mokėjimą </w:t>
      </w:r>
      <w:r w:rsidRPr="003B4C7F">
        <w:rPr>
          <w:rFonts w:cs="Calibri"/>
          <w:i/>
        </w:rPr>
        <w:t>BP Marketing</w:t>
      </w:r>
      <w:r w:rsidRPr="003B4C7F">
        <w:rPr>
          <w:rFonts w:cs="Calibri"/>
        </w:rPr>
        <w:t xml:space="preserve"> pateikė </w:t>
      </w:r>
      <w:r w:rsidRPr="003B4C7F">
        <w:rPr>
          <w:rFonts w:cs="Calibri"/>
          <w:i/>
        </w:rPr>
        <w:t>BIDI</w:t>
      </w:r>
      <w:r w:rsidRPr="003B4C7F">
        <w:rPr>
          <w:rFonts w:cs="Calibri"/>
        </w:rPr>
        <w:t xml:space="preserve"> nagrinėjamų naftos produktų gavimo registracijos numerius ir gavimo dokumentus. </w:t>
      </w:r>
      <w:r w:rsidRPr="003B4C7F">
        <w:rPr>
          <w:rFonts w:cs="Calibri"/>
          <w:i/>
        </w:rPr>
        <w:t>BIDI</w:t>
      </w:r>
      <w:r w:rsidRPr="003B4C7F">
        <w:rPr>
          <w:rFonts w:cs="Calibri"/>
        </w:rPr>
        <w:t xml:space="preserve"> įsipareigojo </w:t>
      </w:r>
      <w:r w:rsidRPr="003B4C7F">
        <w:rPr>
          <w:rFonts w:cs="Calibri"/>
          <w:i/>
        </w:rPr>
        <w:t xml:space="preserve">BP Marketing </w:t>
      </w:r>
      <w:r w:rsidRPr="003B4C7F">
        <w:rPr>
          <w:rFonts w:cs="Calibri"/>
        </w:rPr>
        <w:t xml:space="preserve">pasirūpinti šių produktų gabenimu iš Vokietijos į Austriją. Neinformavusi </w:t>
      </w:r>
      <w:r w:rsidRPr="003B4C7F">
        <w:rPr>
          <w:rFonts w:cs="Calibri"/>
          <w:i/>
        </w:rPr>
        <w:t>BP Marketing</w:t>
      </w:r>
      <w:r w:rsidRPr="003B4C7F">
        <w:rPr>
          <w:rFonts w:cs="Calibri"/>
        </w:rPr>
        <w:t xml:space="preserve">, </w:t>
      </w:r>
      <w:r w:rsidRPr="003B4C7F">
        <w:rPr>
          <w:rFonts w:cs="Calibri"/>
          <w:i/>
        </w:rPr>
        <w:t>BIDI</w:t>
      </w:r>
      <w:r w:rsidRPr="003B4C7F">
        <w:rPr>
          <w:rFonts w:cs="Calibri"/>
        </w:rPr>
        <w:t xml:space="preserve"> perpardavė šiuos produktus </w:t>
      </w:r>
      <w:r w:rsidRPr="003B4C7F">
        <w:rPr>
          <w:rFonts w:cs="Calibri"/>
          <w:i/>
        </w:rPr>
        <w:t>Kreuzmayr</w:t>
      </w:r>
      <w:r w:rsidRPr="003B4C7F">
        <w:rPr>
          <w:rFonts w:cs="Calibri"/>
        </w:rPr>
        <w:t xml:space="preserve"> ir jai perdavė iš </w:t>
      </w:r>
      <w:r w:rsidRPr="003B4C7F">
        <w:rPr>
          <w:rFonts w:cs="Calibri"/>
          <w:i/>
        </w:rPr>
        <w:t>BP Marketing</w:t>
      </w:r>
      <w:r w:rsidRPr="003B4C7F">
        <w:rPr>
          <w:rFonts w:cs="Calibri"/>
        </w:rPr>
        <w:t xml:space="preserve"> gautus produktų gavimo registracijos numerius ir gavimo dokumentus, taip pat sutarė, kad </w:t>
      </w:r>
      <w:r w:rsidRPr="003B4C7F">
        <w:rPr>
          <w:rFonts w:cs="Calibri"/>
          <w:i/>
        </w:rPr>
        <w:t xml:space="preserve">Kreuzmayr </w:t>
      </w:r>
      <w:r w:rsidRPr="003B4C7F">
        <w:rPr>
          <w:rFonts w:cs="Calibri"/>
        </w:rPr>
        <w:t xml:space="preserve">pasirūpins arba pati nugabens naftos produktus iš Vokietijos į Austriją. </w:t>
      </w:r>
      <w:r w:rsidRPr="003B4C7F">
        <w:rPr>
          <w:rFonts w:cs="Calibri"/>
          <w:i/>
        </w:rPr>
        <w:t>Kreuzmayr</w:t>
      </w:r>
      <w:r w:rsidRPr="003B4C7F">
        <w:rPr>
          <w:rFonts w:cs="Calibri"/>
        </w:rPr>
        <w:t xml:space="preserve"> tikrai pasirūpino, kad šiuos produktus paimtų jos partneriai arba šiuo tikslu įgalioti vežėjai. Šie sandoriai buvo įvykdyti 2007 m. balandžio–spalio mėn. </w:t>
      </w:r>
      <w:r w:rsidRPr="003B4C7F">
        <w:rPr>
          <w:rFonts w:cs="Calibri"/>
          <w:i/>
        </w:rPr>
        <w:t>BP Marketing</w:t>
      </w:r>
      <w:r w:rsidRPr="003B4C7F">
        <w:rPr>
          <w:rFonts w:cs="Calibri"/>
        </w:rPr>
        <w:t xml:space="preserve"> manė, kad šis tiekimas </w:t>
      </w:r>
      <w:r w:rsidRPr="003B4C7F">
        <w:rPr>
          <w:rFonts w:cs="Calibri"/>
          <w:i/>
        </w:rPr>
        <w:t>BIDI</w:t>
      </w:r>
      <w:r w:rsidRPr="003B4C7F">
        <w:rPr>
          <w:rFonts w:cs="Calibri"/>
        </w:rPr>
        <w:t xml:space="preserve"> buvo neapmokestinamas tiekimas Bendrijos viduje. </w:t>
      </w:r>
      <w:r w:rsidRPr="003B4C7F">
        <w:rPr>
          <w:rFonts w:cs="Calibri"/>
          <w:i/>
        </w:rPr>
        <w:t xml:space="preserve">BIDI </w:t>
      </w:r>
      <w:r w:rsidRPr="003B4C7F">
        <w:rPr>
          <w:rFonts w:cs="Calibri"/>
        </w:rPr>
        <w:t xml:space="preserve">išrašė </w:t>
      </w:r>
      <w:r w:rsidRPr="003B4C7F">
        <w:rPr>
          <w:rFonts w:cs="Calibri"/>
          <w:i/>
        </w:rPr>
        <w:t>Kreuzmayr</w:t>
      </w:r>
      <w:r w:rsidRPr="003B4C7F">
        <w:rPr>
          <w:rFonts w:cs="Calibri"/>
        </w:rPr>
        <w:t xml:space="preserve"> sąskaitą faktūrą, kurioje nurodytas Austrijos PVM, ir pastaroji jį sumokėjo. Vėliau </w:t>
      </w:r>
      <w:r w:rsidRPr="003B4C7F">
        <w:rPr>
          <w:rFonts w:cs="Calibri"/>
          <w:i/>
        </w:rPr>
        <w:t>Kreuzmayr</w:t>
      </w:r>
      <w:r w:rsidRPr="003B4C7F">
        <w:rPr>
          <w:rFonts w:cs="Calibri"/>
        </w:rPr>
        <w:t xml:space="preserve"> panaudojo šiuo produktus savo apmokestinamiesiems sandoriams ir atitinkamai atskaitė pirkimo PVM už 2008 m. (10–12 punktai).</w:t>
      </w:r>
    </w:p>
    <w:p w:rsidR="00FF446C" w:rsidRPr="003B4C7F" w:rsidRDefault="00FF446C" w:rsidP="00FF446C">
      <w:pPr>
        <w:ind w:firstLine="540"/>
        <w:rPr>
          <w:rFonts w:cs="Calibri"/>
        </w:rPr>
      </w:pPr>
      <w:r w:rsidRPr="003B4C7F">
        <w:rPr>
          <w:rFonts w:cs="Calibri"/>
          <w:i/>
        </w:rPr>
        <w:t>BP Marketing</w:t>
      </w:r>
      <w:r w:rsidRPr="003B4C7F">
        <w:rPr>
          <w:rFonts w:cs="Calibri"/>
        </w:rPr>
        <w:t xml:space="preserve"> sužinojo, kad </w:t>
      </w:r>
      <w:r w:rsidRPr="003B4C7F">
        <w:rPr>
          <w:rFonts w:cs="Calibri"/>
          <w:i/>
        </w:rPr>
        <w:t>BIDI</w:t>
      </w:r>
      <w:r w:rsidRPr="003B4C7F">
        <w:rPr>
          <w:rFonts w:cs="Calibri"/>
        </w:rPr>
        <w:t xml:space="preserve"> įpareigojo </w:t>
      </w:r>
      <w:r w:rsidRPr="003B4C7F">
        <w:rPr>
          <w:rFonts w:cs="Calibri"/>
          <w:i/>
        </w:rPr>
        <w:t>Kreuzmayr</w:t>
      </w:r>
      <w:r w:rsidRPr="003B4C7F">
        <w:rPr>
          <w:rFonts w:cs="Calibri"/>
        </w:rPr>
        <w:t xml:space="preserve"> nugabenti nagrinėjamas prekes, todėl perdavė šią informaciją Vokietijos mokesčių institucijoms, o šios vėliau pareikalavo iš jos (</w:t>
      </w:r>
      <w:r w:rsidRPr="003B4C7F">
        <w:rPr>
          <w:rFonts w:cs="Calibri"/>
          <w:i/>
        </w:rPr>
        <w:t>BP Marketing</w:t>
      </w:r>
      <w:r w:rsidRPr="003B4C7F">
        <w:rPr>
          <w:rFonts w:cs="Calibri"/>
        </w:rPr>
        <w:t xml:space="preserve">) sumokėti PVM, susijusį su nagrinėjamu prekių tiekimu. Austrijoje mokesčių administratorius iš pradžių leido </w:t>
      </w:r>
      <w:r w:rsidRPr="003B4C7F">
        <w:rPr>
          <w:rFonts w:cs="Calibri"/>
          <w:i/>
        </w:rPr>
        <w:t xml:space="preserve">Kreuzmayr </w:t>
      </w:r>
      <w:r w:rsidRPr="003B4C7F">
        <w:rPr>
          <w:rFonts w:cs="Calibri"/>
        </w:rPr>
        <w:t xml:space="preserve">atskaityti pirkimo PVM. Vis dėlto per mokestinį patikrinimą paaiškėjo, kad </w:t>
      </w:r>
      <w:r w:rsidRPr="003B4C7F">
        <w:rPr>
          <w:rFonts w:cs="Calibri"/>
          <w:i/>
        </w:rPr>
        <w:t>BIDI</w:t>
      </w:r>
      <w:r w:rsidRPr="003B4C7F">
        <w:rPr>
          <w:rFonts w:cs="Calibri"/>
        </w:rPr>
        <w:t xml:space="preserve"> nei deklaravo, nei sumokėjo apskaičiuoto PVM ir </w:t>
      </w:r>
      <w:r w:rsidRPr="003B4C7F">
        <w:rPr>
          <w:rFonts w:cs="Calibri"/>
          <w:i/>
        </w:rPr>
        <w:t xml:space="preserve">Kreuzmayr </w:t>
      </w:r>
      <w:r w:rsidRPr="003B4C7F">
        <w:rPr>
          <w:rFonts w:cs="Calibri"/>
        </w:rPr>
        <w:t xml:space="preserve">nebuvo apie tai informuota. </w:t>
      </w:r>
      <w:r w:rsidRPr="003B4C7F">
        <w:rPr>
          <w:rFonts w:cs="Calibri"/>
          <w:i/>
        </w:rPr>
        <w:t>BIDI</w:t>
      </w:r>
      <w:r w:rsidRPr="003B4C7F">
        <w:rPr>
          <w:rFonts w:cs="Calibri"/>
        </w:rPr>
        <w:t xml:space="preserve"> pasiteisino, kad su tiekimu susijusios </w:t>
      </w:r>
      <w:r w:rsidRPr="003B4C7F">
        <w:rPr>
          <w:rFonts w:cs="Calibri"/>
          <w:i/>
        </w:rPr>
        <w:t>Kreuzmayr</w:t>
      </w:r>
      <w:r w:rsidRPr="003B4C7F">
        <w:rPr>
          <w:rFonts w:cs="Calibri"/>
        </w:rPr>
        <w:t xml:space="preserve"> sąskaitos faktūros buvo išrašytos Vokietijoje, todėl šis tiekimas buvo neapmokestinamas ir nebuvo apmokestinamas Austrijoje</w:t>
      </w:r>
      <w:r w:rsidR="00690E33">
        <w:rPr>
          <w:rFonts w:cs="Calibri"/>
        </w:rPr>
        <w:t>.</w:t>
      </w:r>
      <w:r w:rsidRPr="003B4C7F">
        <w:rPr>
          <w:rFonts w:cs="Calibri"/>
        </w:rPr>
        <w:t xml:space="preserve"> Po šio patikrinimo </w:t>
      </w:r>
      <w:r w:rsidRPr="003B4C7F">
        <w:rPr>
          <w:rFonts w:cs="Calibri"/>
          <w:i/>
        </w:rPr>
        <w:t xml:space="preserve">BIDI </w:t>
      </w:r>
      <w:r w:rsidRPr="003B4C7F">
        <w:rPr>
          <w:rFonts w:cs="Calibri"/>
        </w:rPr>
        <w:t xml:space="preserve">pateikė pataisytas sąskaitas faktūras be PVM </w:t>
      </w:r>
      <w:r w:rsidRPr="003B4C7F">
        <w:rPr>
          <w:rFonts w:cs="Calibri"/>
          <w:i/>
        </w:rPr>
        <w:t>Kreuzmayr</w:t>
      </w:r>
      <w:r w:rsidRPr="003B4C7F">
        <w:rPr>
          <w:rFonts w:cs="Calibri"/>
        </w:rPr>
        <w:t xml:space="preserve">. Vis dėlto </w:t>
      </w:r>
      <w:r w:rsidRPr="003B4C7F">
        <w:rPr>
          <w:rFonts w:cs="Calibri"/>
          <w:i/>
        </w:rPr>
        <w:t>BIDI</w:t>
      </w:r>
      <w:r w:rsidRPr="003B4C7F">
        <w:rPr>
          <w:rFonts w:cs="Calibri"/>
        </w:rPr>
        <w:t xml:space="preserve"> negrąžino </w:t>
      </w:r>
      <w:r w:rsidRPr="003B4C7F">
        <w:rPr>
          <w:rFonts w:cs="Calibri"/>
          <w:i/>
        </w:rPr>
        <w:t>Kreuzmayr</w:t>
      </w:r>
      <w:r w:rsidRPr="003B4C7F">
        <w:rPr>
          <w:rFonts w:cs="Calibri"/>
        </w:rPr>
        <w:t xml:space="preserve"> neteisėtai gautų sumų, kurios buvo gautos, kaip </w:t>
      </w:r>
      <w:r w:rsidRPr="003B4C7F">
        <w:rPr>
          <w:rFonts w:cs="Calibri"/>
          <w:i/>
        </w:rPr>
        <w:t>BIDI</w:t>
      </w:r>
      <w:r w:rsidRPr="003B4C7F">
        <w:rPr>
          <w:rFonts w:cs="Calibri"/>
        </w:rPr>
        <w:t xml:space="preserve"> teigė, dėl paprasčiausios klaidos. </w:t>
      </w:r>
      <w:r w:rsidRPr="003B4C7F">
        <w:rPr>
          <w:rFonts w:cs="Calibri"/>
          <w:i/>
        </w:rPr>
        <w:t>BIDI</w:t>
      </w:r>
      <w:r w:rsidRPr="003B4C7F">
        <w:rPr>
          <w:rFonts w:cs="Calibri"/>
        </w:rPr>
        <w:t xml:space="preserve"> tapo nemoki ir </w:t>
      </w:r>
      <w:r w:rsidRPr="003B4C7F">
        <w:rPr>
          <w:rFonts w:cs="Calibri"/>
          <w:i/>
        </w:rPr>
        <w:t>Kreuzmayr</w:t>
      </w:r>
      <w:r w:rsidRPr="003B4C7F">
        <w:rPr>
          <w:rFonts w:cs="Calibri"/>
        </w:rPr>
        <w:t xml:space="preserve"> niekada nebegalėjo susigrąžinti sumokėto PVM (14 ir 15 punktai).</w:t>
      </w:r>
    </w:p>
    <w:p w:rsidR="00FF446C" w:rsidRPr="003B4C7F" w:rsidRDefault="00FF446C" w:rsidP="00FF446C">
      <w:pPr>
        <w:ind w:firstLine="540"/>
        <w:rPr>
          <w:rFonts w:cs="Calibri"/>
        </w:rPr>
      </w:pPr>
      <w:r w:rsidRPr="003B4C7F">
        <w:rPr>
          <w:rFonts w:cs="Calibri"/>
        </w:rPr>
        <w:t xml:space="preserve">Remdamasis pataisytomis sąskaitomis faktūromis, kuriose nebuvo nurodyta, kad nagrinėjamas tiekimas buvo neapmokestinamasis įsigijimo Bendrijos viduje sandoris, mokesčių administratorius manė, kad </w:t>
      </w:r>
      <w:r w:rsidRPr="003B4C7F">
        <w:rPr>
          <w:rFonts w:cs="Calibri"/>
          <w:i/>
        </w:rPr>
        <w:t>Kreuzmayr</w:t>
      </w:r>
      <w:r w:rsidRPr="003B4C7F">
        <w:rPr>
          <w:rFonts w:cs="Calibri"/>
        </w:rPr>
        <w:t xml:space="preserve"> neturėjo teisės į pirkimo PVM atskaitą (16 punktas).</w:t>
      </w:r>
    </w:p>
    <w:p w:rsidR="00FF446C" w:rsidRPr="003B4C7F" w:rsidRDefault="00FF446C" w:rsidP="00FF446C">
      <w:pPr>
        <w:ind w:firstLine="540"/>
        <w:rPr>
          <w:rFonts w:cs="Calibri"/>
        </w:rPr>
      </w:pPr>
      <w:r w:rsidRPr="003B4C7F">
        <w:rPr>
          <w:rFonts w:cs="Calibri"/>
        </w:rPr>
        <w:t>Ginčui pasiekus teismą, šis nutarė sustabdyti bylos nagrinėjimą ir kreiptis į Teisingumo Teismą su prašymu priimti prejudicinį sprendimą. Nacionalinis teismas, be kita ko, siekė sužinoti, ar tuo atveju, kai antras tiekimas iš vienas po kito einančių sandorių grandinės, dėl kurio atliktas gabenimas Bendrijos viduje</w:t>
      </w:r>
      <w:r w:rsidR="00690E33">
        <w:rPr>
          <w:rFonts w:cs="Calibri"/>
        </w:rPr>
        <w:t>,</w:t>
      </w:r>
      <w:r w:rsidRPr="003B4C7F">
        <w:rPr>
          <w:rFonts w:cs="Calibri"/>
        </w:rPr>
        <w:t xml:space="preserve"> yra tiekimas Bendrijos viduje, teisėtų lūkesčių apsaugos principas turi būti aiškinamas taip, kad galutinis įgijėjas, kuris klaidingai pasinaudojo teise į pirkimo PVM atskaitą, vis dėlto gali kaip pirkimo PVM atskaityti PVM, kurį jis sumokėjo remdamasis sąskaitomis faktūromis, išrašytomis ūkio subjekto tarpininko, kuris neteisingai kvalifikavo savo tiekimą kaip „vidaus tiekimą“ (39 punktas).</w:t>
      </w:r>
    </w:p>
    <w:p w:rsidR="00FF446C" w:rsidRPr="003B4C7F" w:rsidRDefault="00FF446C" w:rsidP="00FF446C">
      <w:pPr>
        <w:ind w:firstLine="540"/>
        <w:rPr>
          <w:rFonts w:cs="Calibri"/>
        </w:rPr>
      </w:pPr>
    </w:p>
    <w:p w:rsidR="00FF446C" w:rsidRPr="00690E33" w:rsidRDefault="00FF446C" w:rsidP="00690E33">
      <w:pPr>
        <w:pStyle w:val="Antrat3"/>
        <w:ind w:firstLine="567"/>
      </w:pPr>
      <w:bookmarkStart w:id="37" w:name="_Toc516557660"/>
      <w:bookmarkStart w:id="38" w:name="_Toc517273035"/>
      <w:r w:rsidRPr="00690E33">
        <w:t>Dėl teisės atskaityti pirkimo PVM, kuris buvo klaidingai nurodytas PVM sąskaitoje faktūroje dėl to, kad šią sąskaitą išrašęs apmokestin</w:t>
      </w:r>
      <w:r w:rsidR="00690E33">
        <w:t>amasis asmuo</w:t>
      </w:r>
      <w:r w:rsidR="00A565AA">
        <w:t xml:space="preserve"> sandorį</w:t>
      </w:r>
      <w:r w:rsidR="00690E33">
        <w:t xml:space="preserve"> klaidingai vertino</w:t>
      </w:r>
      <w:r w:rsidRPr="00690E33">
        <w:t xml:space="preserve"> kaip apmokestinamąjį sandorį</w:t>
      </w:r>
      <w:bookmarkEnd w:id="37"/>
      <w:bookmarkEnd w:id="38"/>
    </w:p>
    <w:p w:rsidR="00FF446C" w:rsidRPr="003B4C7F" w:rsidRDefault="00FF446C" w:rsidP="00FF446C">
      <w:pPr>
        <w:ind w:firstLine="540"/>
        <w:rPr>
          <w:rFonts w:cs="Calibri"/>
        </w:rPr>
      </w:pPr>
    </w:p>
    <w:p w:rsidR="00FF446C" w:rsidRPr="003B4C7F" w:rsidRDefault="00FF446C" w:rsidP="00690E33">
      <w:pPr>
        <w:ind w:firstLine="567"/>
        <w:rPr>
          <w:rFonts w:cs="Calibri"/>
        </w:rPr>
      </w:pPr>
      <w:r w:rsidRPr="003B4C7F">
        <w:rPr>
          <w:rFonts w:cs="Calibri"/>
        </w:rPr>
        <w:t xml:space="preserve">Šiuo klausimu Teisingumo Teismas priminė, kad leidžiama atskaityti tik tą PVM, kuris turi būti sumokėtas, ir negalima atskaityti klaidingai sumokėto pirkimo PVM. Teisė į atskaitą netaikoma PVM, kuris mokėtinas tik dėl to, kad nurodytas sąskaitoje faktūroje (43 punktas). Taigi </w:t>
      </w:r>
      <w:r w:rsidRPr="003B4C7F">
        <w:rPr>
          <w:rFonts w:cs="Calibri"/>
          <w:u w:val="single"/>
        </w:rPr>
        <w:t>tuo atveju, kai antras tiekimas iš vienas po kito einančių sandorių grandinės, dėl kurio atliktas gabenimas Bendrijos viduje, yra tiekimas Bendrijos viduje, galutinis įgijėjas negali atskaityti PVM, kurį vien remdamasis tiekėjo pateikta klaidinga sąskaita faktūra jis nepagrįstai sumokėjo už prekes, jam patiektas atliekant neapmokestinamą tiekimą Bendrijos viduje</w:t>
      </w:r>
      <w:r w:rsidRPr="003B4C7F">
        <w:rPr>
          <w:rFonts w:cs="Calibri"/>
        </w:rPr>
        <w:t xml:space="preserve"> (44 punktas).</w:t>
      </w:r>
    </w:p>
    <w:p w:rsidR="00FF446C" w:rsidRPr="003B4C7F" w:rsidRDefault="00FF446C" w:rsidP="00FF446C">
      <w:pPr>
        <w:ind w:firstLine="540"/>
        <w:rPr>
          <w:rFonts w:cs="Calibri"/>
        </w:rPr>
      </w:pPr>
      <w:r w:rsidRPr="003B4C7F">
        <w:rPr>
          <w:rFonts w:cs="Calibri"/>
        </w:rPr>
        <w:t>Europos Sąjungos teisminė institucija taip pat pažymėjo, kad teisė remtis teisėtų lūkesčių apsaugos principu taikoma kiekvienam asmeniui, kuriam administracinė institucija sukėlė pagrįstų lūkesčių, suteikdama konkrečių garantijų (46 punktas).</w:t>
      </w:r>
      <w:r w:rsidR="00690E33">
        <w:rPr>
          <w:rFonts w:cs="Calibri"/>
        </w:rPr>
        <w:t xml:space="preserve"> Todėl</w:t>
      </w:r>
      <w:r w:rsidRPr="003B4C7F">
        <w:rPr>
          <w:rFonts w:cs="Calibri"/>
        </w:rPr>
        <w:t xml:space="preserve"> tokiomis aplinkybėmis, kokios nagrinėjamos pagrindinėje byloje, ūkio subjektas negali remtis teisėtų lūkesčių apsaugos principu savo tiekėjo atžvilgiu tam, kad galėtų pasinaudoti teise į pirkimo PVM atskaitą (47 punktas).</w:t>
      </w:r>
    </w:p>
    <w:p w:rsidR="00FF446C" w:rsidRPr="003B4C7F" w:rsidRDefault="00FF446C" w:rsidP="00FF446C">
      <w:pPr>
        <w:ind w:firstLine="540"/>
        <w:rPr>
          <w:rFonts w:cs="Calibri"/>
        </w:rPr>
      </w:pPr>
      <w:r w:rsidRPr="003B4C7F">
        <w:rPr>
          <w:rFonts w:cs="Calibri"/>
        </w:rPr>
        <w:lastRenderedPageBreak/>
        <w:t xml:space="preserve">Kita vertus Teisingumo Teismas nurodė, kad Susiklosčius tokiai situacijai, kaip pagrindinėje byloje nagrinėtas </w:t>
      </w:r>
      <w:r w:rsidRPr="003B4C7F">
        <w:rPr>
          <w:rFonts w:cs="Calibri"/>
          <w:i/>
        </w:rPr>
        <w:t>Kreuzmayr</w:t>
      </w:r>
      <w:r w:rsidRPr="003B4C7F">
        <w:rPr>
          <w:rFonts w:cs="Calibri"/>
        </w:rPr>
        <w:t xml:space="preserve"> atvejis, ūkio subjektas gali vis dėlto prašyti grąžinti nepagrįstai sumokėtą neteisingą sąskaitą faktūrą išrašiusiam ūkio subjektui mokestį pagal nacionalinę teisę (48 punktas).</w:t>
      </w:r>
    </w:p>
    <w:p w:rsidR="00FF446C" w:rsidRPr="003B4C7F" w:rsidRDefault="00FF446C" w:rsidP="00FF446C">
      <w:pPr>
        <w:ind w:firstLine="540"/>
        <w:rPr>
          <w:rFonts w:cs="Calibri"/>
        </w:rPr>
      </w:pPr>
    </w:p>
    <w:p w:rsidR="00FF446C" w:rsidRPr="003B4C7F" w:rsidRDefault="00FF446C" w:rsidP="00FF446C">
      <w:pPr>
        <w:ind w:firstLine="540"/>
        <w:rPr>
          <w:rFonts w:cs="Calibri"/>
          <w:b/>
        </w:rPr>
      </w:pPr>
      <w:r w:rsidRPr="003B4C7F">
        <w:rPr>
          <w:rFonts w:cs="Calibri"/>
          <w:b/>
        </w:rPr>
        <w:t>Remdamasis šiais motyvais, Teisingumo Teismas (devintoji kolegija) nusprendė:</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&lt;...&gt;</w:t>
      </w:r>
    </w:p>
    <w:p w:rsidR="00FF446C" w:rsidRPr="003B4C7F" w:rsidRDefault="00FF446C" w:rsidP="00FF446C">
      <w:pPr>
        <w:ind w:firstLine="540"/>
        <w:rPr>
          <w:rFonts w:cs="Calibri"/>
        </w:rPr>
      </w:pPr>
      <w:r w:rsidRPr="003B4C7F">
        <w:rPr>
          <w:rFonts w:cs="Calibri"/>
        </w:rPr>
        <w:t>Tuo atveju, kai antras tiekimas iš vienas po kito einančių sandorių grandinės, dėl kurio atliktas gabenimas Bendrijos viduje, yra tiekimas Bendrijos viduje, teisėtų lūkesčių apsaugos principas turi būti aiškinamas taip, kad galutinis įgijėjas, kuris klaidingai pasinaudojo teise į pirkimo pridėtinės vertės mokesčio atskaitą, kaip pirkimo pridėtinės vertės mokesčio negali atskaityti pridėtinės vertės mokesčio, kurį jis sumokėjo remdamasis sąskaitomis faktūromis, išrašytomis ūkio subjekto tarpininko, kuris neteisingai kvalifikavo savo tiekimą kaip vidaus tiekimą.</w:t>
      </w:r>
    </w:p>
    <w:p w:rsidR="00FF446C" w:rsidRPr="003B4C7F" w:rsidRDefault="00EF32EC" w:rsidP="00FF446C">
      <w:pPr>
        <w:ind w:firstLine="540"/>
        <w:rPr>
          <w:rFonts w:cs="Calibri"/>
        </w:rPr>
      </w:pPr>
      <w:hyperlink r:id="rId18" w:history="1">
        <w:r w:rsidR="00FF446C" w:rsidRPr="00690E33">
          <w:rPr>
            <w:rStyle w:val="Hipersaitas"/>
            <w:rFonts w:cs="Calibri"/>
          </w:rPr>
          <w:t>Prieiga internete</w:t>
        </w:r>
      </w:hyperlink>
    </w:p>
    <w:p w:rsidR="00FF446C" w:rsidRPr="003B4C7F" w:rsidRDefault="00FF446C" w:rsidP="00FF446C">
      <w:pPr>
        <w:ind w:firstLine="540"/>
        <w:rPr>
          <w:rFonts w:cs="Calibri"/>
        </w:rPr>
      </w:pPr>
    </w:p>
    <w:p w:rsidR="00FF446C" w:rsidRPr="003B4C7F" w:rsidRDefault="00FF446C" w:rsidP="00FF446C">
      <w:pPr>
        <w:pStyle w:val="Antrat2"/>
        <w:rPr>
          <w:rFonts w:cs="Calibri"/>
        </w:rPr>
      </w:pPr>
      <w:bookmarkStart w:id="39" w:name="_Toc516557661"/>
      <w:bookmarkStart w:id="40" w:name="_Toc517273036"/>
      <w:r w:rsidRPr="003B4C7F">
        <w:rPr>
          <w:rFonts w:cs="Calibri"/>
        </w:rPr>
        <w:t>2018 m. balandžio 11 d. prejudicinis sprendimas byloje C</w:t>
      </w:r>
      <w:r w:rsidRPr="0097351E">
        <w:rPr>
          <w:rFonts w:ascii="Cambria Math" w:hAnsi="Cambria Math" w:cs="Cambria Math"/>
        </w:rPr>
        <w:t>‑</w:t>
      </w:r>
      <w:r w:rsidRPr="003B4C7F">
        <w:rPr>
          <w:rFonts w:cs="Calibri"/>
        </w:rPr>
        <w:t>532/16</w:t>
      </w:r>
      <w:bookmarkEnd w:id="39"/>
      <w:bookmarkEnd w:id="40"/>
    </w:p>
    <w:p w:rsidR="00FF446C" w:rsidRPr="003B4C7F" w:rsidRDefault="00FF446C" w:rsidP="00FF446C">
      <w:pPr>
        <w:jc w:val="center"/>
        <w:rPr>
          <w:rFonts w:cs="Calibri"/>
          <w:b/>
          <w:i/>
        </w:rPr>
      </w:pPr>
      <w:r w:rsidRPr="003B4C7F">
        <w:rPr>
          <w:rFonts w:cs="Calibri"/>
          <w:b/>
          <w:i/>
        </w:rPr>
        <w:t xml:space="preserve">Valstybinė mokesčių inspekcija prie Lietuvos Respublikos finansų ministerijos </w:t>
      </w:r>
    </w:p>
    <w:p w:rsidR="00FF446C" w:rsidRPr="003B4C7F" w:rsidRDefault="00FF446C" w:rsidP="00FF446C">
      <w:pPr>
        <w:jc w:val="center"/>
        <w:rPr>
          <w:rFonts w:cs="Calibri"/>
          <w:b/>
          <w:i/>
        </w:rPr>
      </w:pPr>
      <w:r w:rsidRPr="00690E33">
        <w:rPr>
          <w:rFonts w:cs="Calibri"/>
          <w:b/>
          <w:i/>
        </w:rPr>
        <w:t>prieš</w:t>
      </w:r>
      <w:r w:rsidRPr="003B4C7F">
        <w:rPr>
          <w:rFonts w:cs="Calibri"/>
          <w:b/>
        </w:rPr>
        <w:t xml:space="preserve"> </w:t>
      </w:r>
      <w:r w:rsidRPr="003B4C7F">
        <w:rPr>
          <w:rFonts w:cs="Calibri"/>
          <w:b/>
          <w:i/>
        </w:rPr>
        <w:t>AB SEB bankas</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Prašymas priimti prejudicinį sprendimą pateiktas dėl 2006 m. lapkričio 28 d. Tarybos direktyvos 2006/112/EB dėl pridėtinės vertės mokesčio bendros sistemos (toliau – ir PVM direktyva) 184–186 straipsnių išaiškinimo. Šis prašymas buvo pateiktas nagrinėjant mokesčių administratoriaus ir AB SEB bankas ginčą dėl sprendimo perskaičiuoti mokestį, priimto šios bendrovės atžvilgiu, siekiant patikslinti šios bendrovės atliktą pridėtinės vertės mokesčio (PVM), kurį ji sumokėjo įsigydama žemę, atskaitą (1 ir 2 punktai).</w:t>
      </w:r>
    </w:p>
    <w:p w:rsidR="00FF446C" w:rsidRPr="003B4C7F" w:rsidRDefault="00FF446C" w:rsidP="00FF446C">
      <w:pPr>
        <w:ind w:firstLine="540"/>
        <w:rPr>
          <w:rFonts w:cs="Calibri"/>
        </w:rPr>
      </w:pPr>
      <w:r w:rsidRPr="003B4C7F">
        <w:rPr>
          <w:rFonts w:cs="Calibri"/>
        </w:rPr>
        <w:t xml:space="preserve">Pagrindinėje byloje nustatyta, kad SEB bankas 2007 m. kovo mėn. nusipirko šešis žemės sklypus iš VKK Investicija už 4 800 000 litų, įskaitant visus mokesčius. Sudarydamos šį sandorį šalys nusprendė, kad tai yra žemės statybai tiekimas, t. y. PVM apmokestinamas sandoris. Todėl SEB Lizingas sumokėjo PVM sumą už šį sandorį ir įtraukė ją į savo 2007 m. kovo mėn. PVM atskaitą. 2010 m. balandžio 14 d. VKK Investicija išrašė pareiškėjui kreditinę PVM sąskaitą faktūrą ir nurodė, kad, be PVM, pirmoje sąskaitoje faktūroje nurodyta kaina, įskaitant visus mokesčius, buvo kaina be mokesčio, taip pat išrašė naują sąskaitą faktūrą, kurioje nurodė 4 800 000 </w:t>
      </w:r>
      <w:r w:rsidR="00690E33">
        <w:rPr>
          <w:rFonts w:cs="Calibri"/>
        </w:rPr>
        <w:t>litų</w:t>
      </w:r>
      <w:r w:rsidRPr="003B4C7F">
        <w:rPr>
          <w:rFonts w:cs="Calibri"/>
        </w:rPr>
        <w:t xml:space="preserve"> mokėtiną kainą, neišskirdama PVM. Ji manė, kad aptariamas pirkimo–pardavimo sandoris galiausiai nebuvo žemės statybai tiekimas, todėl jis buvo neapmokestinamas PVM. Taip pat ji pateikė patikslintą 2007 m. kovo mėn. PVM deklaraciją. 2012 m. buvo atliktas SEB Lizingo, kuri</w:t>
      </w:r>
      <w:r w:rsidR="00690E33">
        <w:rPr>
          <w:rFonts w:cs="Calibri"/>
        </w:rPr>
        <w:t>s</w:t>
      </w:r>
      <w:r w:rsidRPr="003B4C7F">
        <w:rPr>
          <w:rFonts w:cs="Calibri"/>
        </w:rPr>
        <w:t xml:space="preserve"> atsisakė atsižvelgti į kreditinę sąskaitą faktūrą, naują sąskaitą faktūrą ir patikslinti 2007 m. kovo mėn. atskaitą pagal šiuos dokumentus, mokestinis patikrinimas. Manydamas, kad aptariamas žemės tiekimas iš tiesų buvo neapmokestinamas sandoris, mokesčių administratorius 2014 m. gegužės 16 d. sprendimu nurodė sumokėti nepagrįstai atskaitytą PVM sumą su delspinigiais ir skyrė SEB bankas baudą (18–21 punktai).</w:t>
      </w:r>
    </w:p>
    <w:p w:rsidR="00FF446C" w:rsidRPr="003B4C7F" w:rsidRDefault="00FF446C" w:rsidP="00FF446C">
      <w:pPr>
        <w:ind w:firstLine="540"/>
        <w:rPr>
          <w:rFonts w:cs="Calibri"/>
        </w:rPr>
      </w:pPr>
      <w:r w:rsidRPr="003B4C7F">
        <w:rPr>
          <w:rFonts w:cs="Calibri"/>
        </w:rPr>
        <w:t xml:space="preserve">Ginčui pasiekus Lietuvos vyriausiąjį administracinį teismą, šis nutarė sustabdyti bylos nagrinėjimą ir kreiptis į Teisingumo Teismą </w:t>
      </w:r>
      <w:r w:rsidR="00690E33">
        <w:rPr>
          <w:rFonts w:cs="Calibri"/>
        </w:rPr>
        <w:t>siekdamas</w:t>
      </w:r>
      <w:r w:rsidRPr="003B4C7F">
        <w:rPr>
          <w:rFonts w:cs="Calibri"/>
        </w:rPr>
        <w:t xml:space="preserve"> išsiaiškinti, pirma, ar PVM direktyvos 184 straipsnis turi būti aiškinamas taip, kad šiame straipsnyje nustatyta nepagrįstos PVM atskaitos tikslinimo pareiga taip pat taikoma tuo atveju, kai pirminė atskaita buvo negalima, nes su ja susijęs sandoris buvo neapmokestinamas PVM, ir, antra, ar PVM direktyvos 187–189 straipsnius reikia aiškinti taip, kad šiuose straipsniuose numatytas nepagrįstos PVM atskaitos tikslinimo mechanizmas taikomas tokiais atvejais, visų pirma kalbant apie tokią situaciją, kaip nagrinėjamoji pagrindinėje byloje, kai pirminė PVM atskaita buvo nepateisinama, nes susijusi su PVM neapmokestinamu žemės tiekimo sandoriu. Be to, teismas taip pat klausė, ar atsakymui į pirmąjį klausimą gali turėti poveikį aplinkybė, kad pagrindinėje byloje PVM, susijęs su žemės pirkimo kaina, buvo neteisingai sumokėtas ir atskaitytas dėl klaidingos mokesčių administratoriaus praktikos, ir aplinkybė, kad šios žemės tiekėjas išrašė pirkėjui kreditinę sąskaitą faktūrą, kurioje buvo ištaisyta pirminėje sąskaitoje faktūroje nurodyta PVM suma (30 ir 31 punktai).</w:t>
      </w:r>
    </w:p>
    <w:p w:rsidR="00FF446C" w:rsidRPr="003B4C7F" w:rsidRDefault="00FF446C" w:rsidP="00FF446C">
      <w:pPr>
        <w:ind w:firstLine="540"/>
        <w:rPr>
          <w:rFonts w:cs="Calibri"/>
        </w:rPr>
      </w:pPr>
    </w:p>
    <w:p w:rsidR="00FF446C" w:rsidRPr="00690E33" w:rsidRDefault="00FF446C" w:rsidP="00690E33">
      <w:pPr>
        <w:pStyle w:val="Antrat3"/>
        <w:ind w:firstLine="567"/>
      </w:pPr>
      <w:bookmarkStart w:id="41" w:name="_Toc516557662"/>
      <w:bookmarkStart w:id="42" w:name="_Toc517273037"/>
      <w:r w:rsidRPr="00690E33">
        <w:t>Dėl pareigos tikslinti PVM atskaitą, kai pirminė atskaita iš viso nebuvo galima</w:t>
      </w:r>
      <w:bookmarkEnd w:id="41"/>
      <w:bookmarkEnd w:id="42"/>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 xml:space="preserve">Šiuo klausimu Teisingumo Teismas pirmiausia pažymėjo, kad pareiga tikslinti apibrėžta PVM direktyvos 184 straipsnyje taip plačiai, kaip įmanoma: „pirminė atskaita tikslinama, kai atskaityta PVM suma yra didesnė </w:t>
      </w:r>
      <w:r w:rsidRPr="003B4C7F">
        <w:rPr>
          <w:rFonts w:cs="Calibri"/>
        </w:rPr>
        <w:lastRenderedPageBreak/>
        <w:t xml:space="preserve">arba mažesnė už sumą, kurią apmokestinamasis asmuo turėjo teisę atskaityti“ (32 punktas). Ši formuluotė </w:t>
      </w:r>
      <w:r w:rsidRPr="003B4C7F">
        <w:rPr>
          <w:rFonts w:cs="Calibri"/>
          <w:i/>
        </w:rPr>
        <w:t>a priori</w:t>
      </w:r>
      <w:r w:rsidRPr="003B4C7F">
        <w:rPr>
          <w:rFonts w:cs="Calibri"/>
        </w:rPr>
        <w:t xml:space="preserve"> neužkerta kelio bet kuriam nepagrįstos atskaitos atvejui. Pareig</w:t>
      </w:r>
      <w:r w:rsidR="00AF3232">
        <w:rPr>
          <w:rFonts w:cs="Calibri"/>
        </w:rPr>
        <w:t>ą</w:t>
      </w:r>
      <w:r w:rsidRPr="003B4C7F">
        <w:rPr>
          <w:rFonts w:cs="Calibri"/>
        </w:rPr>
        <w:t xml:space="preserve"> tikslinti bendrą taikymo sritį patvirtina PVM direktyvos 185 straipsnio 2 dalyje nustatytų leidžiamų išimčių sąrašas (33 punktas). Konkrečiai atvejis, kai </w:t>
      </w:r>
      <w:r w:rsidRPr="003B4C7F">
        <w:rPr>
          <w:rFonts w:cs="Calibri"/>
          <w:u w:val="single"/>
        </w:rPr>
        <w:t>atskaita buvo atlikta, nors nebuvo teisės į ją, patenka į PVM direktyvos 184 straipsnyje numatytą pirmą atvejį, t. y. kai atskaityta PVM suma yra didesnė už sumą, kurią apmokestinamasis asmuo turėjo teisę atskaityti</w:t>
      </w:r>
      <w:r w:rsidRPr="003B4C7F">
        <w:rPr>
          <w:rFonts w:cs="Calibri"/>
        </w:rPr>
        <w:t xml:space="preserve"> (35 punktas). Be to, bendra nepateisinamos PVM atskaitos tikslinimo pareiga taip pat kyla iš PVM neutralumo, kuris yra bendros PVM sistemos pagrindinis principas, šioje srityje nustatytas Sąjungos teisės aktų leidėjo (37 punktas).</w:t>
      </w:r>
    </w:p>
    <w:p w:rsidR="00FF446C" w:rsidRPr="003B4C7F" w:rsidRDefault="00AF3232" w:rsidP="00FF446C">
      <w:pPr>
        <w:ind w:firstLine="540"/>
        <w:rPr>
          <w:rFonts w:cs="Calibri"/>
        </w:rPr>
      </w:pPr>
      <w:r>
        <w:rPr>
          <w:rFonts w:cs="Calibri"/>
        </w:rPr>
        <w:t>Taigi</w:t>
      </w:r>
      <w:r w:rsidR="00FF446C" w:rsidRPr="003B4C7F">
        <w:rPr>
          <w:rFonts w:cs="Calibri"/>
        </w:rPr>
        <w:t xml:space="preserve"> PVM direktyvos 184 straipsnį reikia aiškinti taip, kad </w:t>
      </w:r>
      <w:r w:rsidR="00FF446C" w:rsidRPr="003B4C7F">
        <w:rPr>
          <w:rFonts w:cs="Calibri"/>
          <w:u w:val="single"/>
        </w:rPr>
        <w:t>pareiga tikslinti nepateisinamą PVM atskaitą taip pat taikoma, kai pirminė atskaita buvo negalima, kaip antai tuo atveju, kai sandoris, dėl kurio atlikta minėta atskaita, buvo vienas iš tų, kurie neapmokestinami PVM</w:t>
      </w:r>
      <w:r w:rsidR="00FF446C" w:rsidRPr="003B4C7F">
        <w:rPr>
          <w:rFonts w:cs="Calibri"/>
        </w:rPr>
        <w:t xml:space="preserve"> (39 punktas). </w:t>
      </w:r>
    </w:p>
    <w:p w:rsidR="00FF446C" w:rsidRPr="003B4C7F" w:rsidRDefault="00FF446C" w:rsidP="00FF446C">
      <w:pPr>
        <w:ind w:firstLine="540"/>
        <w:rPr>
          <w:rFonts w:cs="Calibri"/>
        </w:rPr>
      </w:pPr>
      <w:r w:rsidRPr="003B4C7F">
        <w:rPr>
          <w:rFonts w:cs="Calibri"/>
        </w:rPr>
        <w:t xml:space="preserve">Tačiau, </w:t>
      </w:r>
      <w:r w:rsidRPr="003B4C7F">
        <w:rPr>
          <w:rFonts w:cs="Calibri"/>
          <w:u w:val="single"/>
        </w:rPr>
        <w:t>PVM direktyvos 187–189 straipsniai tokiu atveju netaikomi</w:t>
      </w:r>
      <w:r w:rsidRPr="003B4C7F">
        <w:rPr>
          <w:rFonts w:cs="Calibri"/>
        </w:rPr>
        <w:t xml:space="preserve"> (40 punktas). Tai, kad pagrindinėje byloje, viena vertus, PVM, susijęs su žemės pirkimo kaina, buvo neteisingai sumokėtas ir atskaitytas dėl klaidingos mokesčių administratoriaus praktikos ir, kita vertus, žemės tiekėjas išrašė pirkėjui kreditinę sąskaitą faktūrą, kurioje buvo ištaisyta pirminėje sąskaitoje faktūroje nurodyta PVM suma, neturi įtakos šio mechanizmo netaikymui (44 punktas).</w:t>
      </w:r>
    </w:p>
    <w:p w:rsidR="00FF446C" w:rsidRPr="003B4C7F" w:rsidRDefault="00FF446C" w:rsidP="00FF446C">
      <w:pPr>
        <w:ind w:firstLine="540"/>
        <w:rPr>
          <w:rFonts w:cs="Calibri"/>
        </w:rPr>
      </w:pPr>
    </w:p>
    <w:p w:rsidR="00FF446C" w:rsidRPr="00AF3232" w:rsidRDefault="00FF446C" w:rsidP="00AF3232">
      <w:pPr>
        <w:pStyle w:val="Antrat3"/>
        <w:ind w:firstLine="567"/>
      </w:pPr>
      <w:bookmarkStart w:id="43" w:name="_Toc516557663"/>
      <w:bookmarkStart w:id="44" w:name="_Toc517273038"/>
      <w:r w:rsidRPr="00AF3232">
        <w:t>Dėl pirminės PVM atskaitos, kuri buvo nepagrįsta, tikslinimo laikotarpio</w:t>
      </w:r>
      <w:bookmarkEnd w:id="43"/>
      <w:bookmarkEnd w:id="44"/>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Lietuvos vyriausiasis administracinis teismas taip pat siekė išsiaiškinti, ar PVM direktyvos nuostatos, susijusios su atskaitos tikslinimu, turi būti aiškinamos taip, kad, jeigu pirminė PVM atskaita buvo negalima, jos leidžia nustatyti datą, kada kyla pareiga tikslinti nepagrįstą PVM atskaitą, ir laikotarpį, už kurį šis tikslinimas turi būti atliktas (46 punktas).</w:t>
      </w:r>
    </w:p>
    <w:p w:rsidR="00FF446C" w:rsidRPr="003B4C7F" w:rsidRDefault="00FF446C" w:rsidP="00FF446C">
      <w:pPr>
        <w:ind w:firstLine="540"/>
        <w:rPr>
          <w:rFonts w:cs="Calibri"/>
        </w:rPr>
      </w:pPr>
      <w:r w:rsidRPr="003B4C7F">
        <w:rPr>
          <w:rFonts w:cs="Calibri"/>
        </w:rPr>
        <w:t>Kaip pažymėjo Teisingumo Teismas, kadangi PVM direktyvos 187–189 straipsniuose numatytas PVM tikslinimo mechanizmas netaikomas tokiai situacijai, kaip pagrindinėje byloje, valstybės narės tokiu atveju turi nustatyti šio tikslinimo taisykles, taikydamos PVM direktyvos 186 straipsnį (48 punktas).</w:t>
      </w:r>
    </w:p>
    <w:p w:rsidR="00FF446C" w:rsidRPr="003B4C7F" w:rsidRDefault="00FF446C" w:rsidP="00FF446C">
      <w:pPr>
        <w:ind w:firstLine="540"/>
        <w:rPr>
          <w:rFonts w:cs="Calibri"/>
        </w:rPr>
      </w:pPr>
      <w:r w:rsidRPr="003B4C7F">
        <w:rPr>
          <w:rFonts w:cs="Calibri"/>
        </w:rPr>
        <w:t>Šiuo klausimu SEB bankas teigė, kad PVM, susijusio su 2007 m. sudarytu sandoriu, atskaitos tikslinimas prieštarauja teisinio saugumo ir teisėtų lūkesčių apsaugos principams, o iki 2013 m. mokesčių administratorius pats laikėsi nuomonės, kad šis sandoris buvo apmokestinamasis sandoris (49 punktas).</w:t>
      </w:r>
    </w:p>
    <w:p w:rsidR="00FF446C" w:rsidRPr="003B4C7F" w:rsidRDefault="00FF446C" w:rsidP="00FF446C">
      <w:pPr>
        <w:ind w:firstLine="540"/>
        <w:rPr>
          <w:rFonts w:cs="Calibri"/>
        </w:rPr>
      </w:pPr>
      <w:r w:rsidRPr="003B4C7F">
        <w:rPr>
          <w:rFonts w:cs="Calibri"/>
        </w:rPr>
        <w:t>Vis dėlto, kaip pažymėjo Europos Sąjungos teisminė institucija, viena vertus, teisėti lūkesčiai negali būti grindžiami neteisėta administratoriaus praktika (50 punktas). Kita vertus, teisinio saugumo principas nedraudžia nacionalinių mokesčių institucijų administracinės praktikos, pagal kurią jos per senaties terminą gali atšaukti sprendimą, kuriuo apmokestinamajam asmeniui suteikė teisę į PVM atskaitą, ir pareikalauti sumokėti šį mokestį (51 punktas).</w:t>
      </w:r>
    </w:p>
    <w:p w:rsidR="00FF446C" w:rsidRPr="003B4C7F" w:rsidRDefault="00FF446C" w:rsidP="00FF446C">
      <w:pPr>
        <w:ind w:firstLine="540"/>
        <w:rPr>
          <w:rFonts w:cs="Calibri"/>
        </w:rPr>
      </w:pPr>
      <w:r w:rsidRPr="003B4C7F">
        <w:rPr>
          <w:rFonts w:cs="Calibri"/>
        </w:rPr>
        <w:t xml:space="preserve">Teisinio saugumo principas reikalauja, kad apmokestinamojo asmens mokestinė padėtis, susijusi su jo teisėmis ir pareigomis mokesčių administratoriaus atžvilgiu, nebūtų ginčytina neribotą laiką. </w:t>
      </w:r>
      <w:r w:rsidRPr="003B4C7F">
        <w:rPr>
          <w:rFonts w:cs="Calibri"/>
          <w:u w:val="single"/>
        </w:rPr>
        <w:t>Todėl faktas, kad senaties termino eigos pradžia priklauso nuo atsitiktinių aplinkybių, kurioms esant paaiškėja atskaitos neteisėtumas, ir kuri turi būti nustatyta tą dieną, kai pirkėjas gauna kreditinę sąskaitą faktūrą, kurioje pardavėjas vienašališkai ištaisė sumą, be mokesčio už žemę, įtraukęs PVM praėjus keleriems metams po pardavimo, gali pažeisti teisinio saugumo principą</w:t>
      </w:r>
      <w:r w:rsidRPr="003B4C7F">
        <w:rPr>
          <w:rFonts w:cs="Calibri"/>
        </w:rPr>
        <w:t xml:space="preserve"> (50 punktas).</w:t>
      </w:r>
    </w:p>
    <w:p w:rsidR="00FF446C" w:rsidRPr="003B4C7F" w:rsidRDefault="00FF446C" w:rsidP="00FF446C">
      <w:pPr>
        <w:ind w:firstLine="540"/>
        <w:rPr>
          <w:rFonts w:cs="Calibri"/>
        </w:rPr>
      </w:pPr>
    </w:p>
    <w:p w:rsidR="00FF446C" w:rsidRPr="003B4C7F" w:rsidRDefault="00FF446C" w:rsidP="00FF446C">
      <w:pPr>
        <w:ind w:firstLine="540"/>
        <w:rPr>
          <w:rFonts w:cs="Calibri"/>
          <w:b/>
        </w:rPr>
      </w:pPr>
      <w:r w:rsidRPr="003B4C7F">
        <w:rPr>
          <w:rFonts w:cs="Calibri"/>
          <w:b/>
        </w:rPr>
        <w:t>Remdamasis šiais motyvais, Teisingumo Teismas (pirmoji kolegija) nusprendė:</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1. PVM direktyvos 184 straipsnis turi būti aiškinamas taip, kad šiame straipsnyje nustatyta pareiga tikslinti nepagrįstą pridėtinės vertės mokesčio (PVM) atskaitą taip pat taikoma tuo atveju, kai pirminė atskaita buvo negalima, nes sandoris, dėl kurio ji atlikta, buvo neapmokestinamas PVM. Vis dėlto Direktyvos 2006/112 187–189 straipsnius reikia aiškinti taip, kad šiuose straipsniuose numatytas nepagrįstos PVM atskaitos tikslinimo mechanizmas netaikomas tokiais atvejais, būtent tokioje situacijoje, kaip nagrinėjama pagrindinėje byloje, kai pirminė PVM atskaita buvo nepateisinama, nes susijusi su neapmokestinamu PVM žemės tiekimo sandoriu.</w:t>
      </w:r>
    </w:p>
    <w:p w:rsidR="00FF446C" w:rsidRPr="003B4C7F" w:rsidRDefault="00FF446C" w:rsidP="00FF446C">
      <w:pPr>
        <w:ind w:firstLine="540"/>
        <w:rPr>
          <w:rFonts w:cs="Calibri"/>
        </w:rPr>
      </w:pPr>
      <w:r w:rsidRPr="003B4C7F">
        <w:rPr>
          <w:rFonts w:cs="Calibri"/>
        </w:rPr>
        <w:t xml:space="preserve">2. Direktyvos 2006/112 186 straipsnis turi būti aiškinamas taip, kad tais atvejais, kai pirminė pridėtinės vertės mokesčio (PVM) atskaita buvo negalima, valstybės narės, laikydamosi Sąjungos teisės principų, būtent teisinio saugumo ir teisėtų lūkesčių apsaugos principų, turi nustatyti datą, kada atsiranda pareiga tikslinti </w:t>
      </w:r>
      <w:r w:rsidRPr="003B4C7F">
        <w:rPr>
          <w:rFonts w:cs="Calibri"/>
        </w:rPr>
        <w:lastRenderedPageBreak/>
        <w:t>nepagrįstą PVM atskaitą, ir laikotarpį, už kurį turi būti atliekamas tikslinimas. Nacionalinis teismas turi patikrinti, ar tokiu atveju, kaip nagrinėjamas pagrindinėje byloje, buvo laikomasi šių principų.</w:t>
      </w:r>
    </w:p>
    <w:p w:rsidR="00FF446C" w:rsidRPr="003B4C7F" w:rsidRDefault="00EF32EC" w:rsidP="00FF446C">
      <w:pPr>
        <w:ind w:firstLine="540"/>
        <w:rPr>
          <w:rFonts w:cs="Calibri"/>
        </w:rPr>
      </w:pPr>
      <w:hyperlink r:id="rId19" w:history="1">
        <w:r w:rsidR="00FF446C" w:rsidRPr="00AF3232">
          <w:rPr>
            <w:rStyle w:val="Hipersaitas"/>
            <w:rFonts w:cs="Calibri"/>
          </w:rPr>
          <w:t>Prieiga internete</w:t>
        </w:r>
      </w:hyperlink>
    </w:p>
    <w:p w:rsidR="00FF446C" w:rsidRPr="003B4C7F" w:rsidRDefault="00FF446C" w:rsidP="00FF446C">
      <w:pPr>
        <w:ind w:firstLine="540"/>
        <w:rPr>
          <w:rFonts w:cs="Calibri"/>
        </w:rPr>
      </w:pPr>
    </w:p>
    <w:p w:rsidR="00FF446C" w:rsidRPr="003B4C7F" w:rsidRDefault="00FF446C" w:rsidP="00FF446C">
      <w:pPr>
        <w:pStyle w:val="Antrat2"/>
        <w:rPr>
          <w:rFonts w:cs="Calibri"/>
        </w:rPr>
      </w:pPr>
      <w:bookmarkStart w:id="45" w:name="_Toc516557664"/>
      <w:bookmarkStart w:id="46" w:name="_Toc517273039"/>
      <w:r w:rsidRPr="003B4C7F">
        <w:rPr>
          <w:rFonts w:cs="Calibri"/>
        </w:rPr>
        <w:t>2018 m. vasario 28 d. prejudicinis sprendimas byloje C</w:t>
      </w:r>
      <w:r w:rsidRPr="0097351E">
        <w:rPr>
          <w:rFonts w:ascii="Cambria Math" w:hAnsi="Cambria Math" w:cs="Cambria Math"/>
        </w:rPr>
        <w:t>‑</w:t>
      </w:r>
      <w:r w:rsidRPr="003B4C7F">
        <w:rPr>
          <w:rFonts w:cs="Calibri"/>
        </w:rPr>
        <w:t>387/16</w:t>
      </w:r>
      <w:bookmarkEnd w:id="45"/>
      <w:bookmarkEnd w:id="46"/>
    </w:p>
    <w:p w:rsidR="00FF446C" w:rsidRPr="003B4C7F" w:rsidRDefault="00FF446C" w:rsidP="00FF446C">
      <w:pPr>
        <w:jc w:val="center"/>
        <w:rPr>
          <w:rFonts w:cs="Calibri"/>
          <w:b/>
          <w:i/>
        </w:rPr>
      </w:pPr>
      <w:r w:rsidRPr="003B4C7F">
        <w:rPr>
          <w:rFonts w:cs="Calibri"/>
          <w:b/>
          <w:i/>
        </w:rPr>
        <w:t xml:space="preserve">Valstybinė mokesčių inspekcija prie Lietuvos Respublikos finansų ministerijos </w:t>
      </w:r>
    </w:p>
    <w:p w:rsidR="00FF446C" w:rsidRPr="003B4C7F" w:rsidRDefault="00FF446C" w:rsidP="00FF446C">
      <w:pPr>
        <w:jc w:val="center"/>
        <w:rPr>
          <w:rFonts w:cs="Calibri"/>
          <w:b/>
        </w:rPr>
      </w:pPr>
      <w:r w:rsidRPr="00AF3232">
        <w:rPr>
          <w:rFonts w:cs="Calibri"/>
          <w:b/>
          <w:i/>
        </w:rPr>
        <w:t>prieš</w:t>
      </w:r>
      <w:r w:rsidRPr="003B4C7F">
        <w:rPr>
          <w:rFonts w:cs="Calibri"/>
          <w:b/>
        </w:rPr>
        <w:t xml:space="preserve"> </w:t>
      </w:r>
      <w:r w:rsidRPr="003B4C7F">
        <w:rPr>
          <w:rFonts w:cs="Calibri"/>
          <w:b/>
          <w:i/>
        </w:rPr>
        <w:t>Nidera BV</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 xml:space="preserve">Prašymas priimti prejudicinį sprendimą pateiktas dėl 2006 m. lapkričio 28 d. Tarybos direktyvos 2006/112/EB dėl pridėtinės vertės mokesčio bendros sistemos (toliau – ir PVM direktyva) 183 straipsnio išaiškinimo. Šis prašymas pateiktas nagrinėjant mokesčių administratoriaus ir </w:t>
      </w:r>
      <w:r w:rsidRPr="003B4C7F">
        <w:rPr>
          <w:rFonts w:cs="Calibri"/>
          <w:i/>
        </w:rPr>
        <w:t>Nidera B.V.</w:t>
      </w:r>
      <w:r w:rsidRPr="003B4C7F">
        <w:rPr>
          <w:rFonts w:cs="Calibri"/>
        </w:rPr>
        <w:t xml:space="preserve"> ginčą dėl mokėtinų palūkanų už pavėluotai grąžintą pridėtinės vertės mokesčio (PVM) skirtumą (1 ir 2 punktai).</w:t>
      </w:r>
    </w:p>
    <w:p w:rsidR="00FF446C" w:rsidRPr="003B4C7F" w:rsidRDefault="00FF446C" w:rsidP="00FF446C">
      <w:pPr>
        <w:ind w:firstLine="540"/>
        <w:rPr>
          <w:rFonts w:cs="Calibri"/>
        </w:rPr>
      </w:pPr>
      <w:r w:rsidRPr="003B4C7F">
        <w:rPr>
          <w:rFonts w:cs="Calibri"/>
        </w:rPr>
        <w:t xml:space="preserve">Pagrindinėje byloje nustatyta, kad Nyderlanduose įsteigta bendrovė </w:t>
      </w:r>
      <w:r w:rsidRPr="003B4C7F">
        <w:rPr>
          <w:rFonts w:cs="Calibri"/>
          <w:i/>
        </w:rPr>
        <w:t>Nidera</w:t>
      </w:r>
      <w:r w:rsidRPr="003B4C7F">
        <w:rPr>
          <w:rFonts w:cs="Calibri"/>
        </w:rPr>
        <w:t xml:space="preserve"> nuo 2008 m. vasario iki gegužės mėn. Lietuvoje iš žemės ūkio produktų tiekėjų įsigijo kviečių. Pagal šių tiekėjų išrašytas sąskaitas faktūras sumokėta bendra PVM suma sudarė apie 3,4 milijono eurų. Per tą patį laikotarpį </w:t>
      </w:r>
      <w:r w:rsidRPr="003B4C7F">
        <w:rPr>
          <w:rFonts w:cs="Calibri"/>
          <w:i/>
        </w:rPr>
        <w:t>Nidera</w:t>
      </w:r>
      <w:r w:rsidRPr="003B4C7F">
        <w:rPr>
          <w:rFonts w:cs="Calibri"/>
        </w:rPr>
        <w:t xml:space="preserve"> eksportavo šiuos kviečius į trečiąsias šalis, taikydama Lietuvos teisėje numatytą 0 proc. PVM tarifą. </w:t>
      </w:r>
      <w:r w:rsidR="00AF3232">
        <w:rPr>
          <w:rFonts w:cs="Calibri"/>
        </w:rPr>
        <w:t>2008 m. rugpjūčio 12 </w:t>
      </w:r>
      <w:r w:rsidRPr="003B4C7F">
        <w:rPr>
          <w:rFonts w:cs="Calibri"/>
        </w:rPr>
        <w:t xml:space="preserve">d. </w:t>
      </w:r>
      <w:r w:rsidRPr="003B4C7F">
        <w:rPr>
          <w:rFonts w:cs="Calibri"/>
          <w:i/>
        </w:rPr>
        <w:t>Nidera</w:t>
      </w:r>
      <w:r w:rsidRPr="003B4C7F">
        <w:rPr>
          <w:rFonts w:cs="Calibri"/>
        </w:rPr>
        <w:t xml:space="preserve"> įregistruota kaip PVM mokėtoja Lietuvoje. PVM deklaracijoje už laikotarpį nuo 2008 m. rugpjūčio 12 d. iki rugpjūčio 31 d. ji deklaravo minėtą sumokėto PVM sumą ir ją paprašė grąžinti. 2009 m. kovo 19 d. sprendimu dėl patikrinimo akto tvirtinimo Vilniaus apskrities valstybinė mokesčių inspekcija atsisakė ją grąžinti, motyvuodama tuo, kad aptariamų kviečių tiekimo momentu </w:t>
      </w:r>
      <w:r w:rsidRPr="003B4C7F">
        <w:rPr>
          <w:rFonts w:cs="Calibri"/>
          <w:i/>
        </w:rPr>
        <w:t>Nidera</w:t>
      </w:r>
      <w:r w:rsidRPr="003B4C7F">
        <w:rPr>
          <w:rFonts w:cs="Calibri"/>
        </w:rPr>
        <w:t xml:space="preserve"> nebuvo įregistruota kaip PVM mokėtoja, todėl pagal Lietuvos teisę neturėjo teisės į sumokėto PVM atskaitą. Vis dėlto po Teisingumo Teismo 2010 m. spalio 21 d. sprendimo byloje </w:t>
      </w:r>
      <w:r w:rsidRPr="003B4C7F">
        <w:rPr>
          <w:rFonts w:cs="Calibri"/>
          <w:i/>
        </w:rPr>
        <w:t>Nidera</w:t>
      </w:r>
      <w:r w:rsidRPr="003B4C7F">
        <w:rPr>
          <w:rFonts w:cs="Calibri"/>
        </w:rPr>
        <w:t xml:space="preserve"> </w:t>
      </w:r>
      <w:r w:rsidRPr="003B4C7F">
        <w:rPr>
          <w:rFonts w:cs="Calibri"/>
          <w:i/>
        </w:rPr>
        <w:t>Handelscompagnie</w:t>
      </w:r>
      <w:r w:rsidRPr="003B4C7F">
        <w:rPr>
          <w:rFonts w:cs="Calibri"/>
        </w:rPr>
        <w:t xml:space="preserve"> (C</w:t>
      </w:r>
      <w:r w:rsidRPr="0097351E">
        <w:rPr>
          <w:rFonts w:ascii="Cambria Math" w:hAnsi="Cambria Math" w:cs="Cambria Math"/>
        </w:rPr>
        <w:t>‑</w:t>
      </w:r>
      <w:r w:rsidRPr="003B4C7F">
        <w:rPr>
          <w:rFonts w:cs="Calibri"/>
        </w:rPr>
        <w:t xml:space="preserve">385/09) buvo pripažinta, kad </w:t>
      </w:r>
      <w:r w:rsidRPr="003B4C7F">
        <w:rPr>
          <w:rFonts w:cs="Calibri"/>
          <w:i/>
        </w:rPr>
        <w:t>Nidera</w:t>
      </w:r>
      <w:r w:rsidRPr="003B4C7F">
        <w:rPr>
          <w:rFonts w:cs="Calibri"/>
        </w:rPr>
        <w:t xml:space="preserve"> turėjo teisę į sumokėto pirkimo PVM atskaitą, ir mokesčių administratoriui buvo nurodyta grąžinti aptariamą sumą. 2010 m. gruodžio 22 d. Valstybinė mokesčių inspekcija grąžino minėtą PVM skirtumą (8–11 punktai).</w:t>
      </w:r>
    </w:p>
    <w:p w:rsidR="00FF446C" w:rsidRPr="003B4C7F" w:rsidRDefault="00FF446C" w:rsidP="00FF446C">
      <w:pPr>
        <w:ind w:firstLine="540"/>
        <w:rPr>
          <w:rFonts w:cs="Calibri"/>
        </w:rPr>
      </w:pPr>
      <w:r w:rsidRPr="003B4C7F">
        <w:rPr>
          <w:rFonts w:cs="Calibri"/>
        </w:rPr>
        <w:t xml:space="preserve">Paskui </w:t>
      </w:r>
      <w:r w:rsidRPr="003B4C7F">
        <w:rPr>
          <w:rFonts w:cs="Calibri"/>
          <w:i/>
        </w:rPr>
        <w:t>Nidera</w:t>
      </w:r>
      <w:r w:rsidRPr="003B4C7F">
        <w:rPr>
          <w:rFonts w:cs="Calibri"/>
        </w:rPr>
        <w:t xml:space="preserve"> paprašė sumokėti palūkanas dėl pradinio atsisakymo grąžinti PVM skirtumą. 2011 m. rugpjūčio 11 d. Vilniaus apskrities valstybinė mokesčių inspekcija jai sumokėjo apie 60 000 eurų palūkanų už laikotarpį nuo minėto Teisingumo Teismo sprendimo paskelbimo dienos iki šio skirtumo grąžinimo dienos, bet atsisakė sumokėti palūkanas už laikotarpį iki minėto paskelbimo (19 punktas).</w:t>
      </w:r>
    </w:p>
    <w:p w:rsidR="00FF446C" w:rsidRPr="003B4C7F" w:rsidRDefault="00FF446C" w:rsidP="00FF446C">
      <w:pPr>
        <w:ind w:firstLine="540"/>
        <w:rPr>
          <w:rFonts w:cs="Calibri"/>
        </w:rPr>
      </w:pPr>
      <w:r w:rsidRPr="003B4C7F">
        <w:rPr>
          <w:rFonts w:cs="Calibri"/>
        </w:rPr>
        <w:t>Ginčui pasiekus Lietuvos vyriausiąjį administracinį teismą, šis nutarė sustabdyti bylos nagrinėjimą ir kreiptis į Teisingumo Teismą su prašymu išaiškinti, ar PVM direktyvos 183 straipsnį, aiškinamą atsižvelgiant į mokesčių neutralumo principą, reikia aiškinti taip, kad draudžiama mažinti paprastai pagal nacionalinę teisę mokamų palūkanų sumą už laiku negrąžintą PVM skirtumą atsižvelgus į kitas nei paties apmokestinamojo asmens veiksmais nulemtas aplinkybes, kaip antai palūkanų santykį su PVM skirtumo suma, skirtumo negrąžinimo laikotarpį ir jį nulėmusias priežastis, taip pat apmokestinamojo asmens realiai patirtus praradimus (23 punktas).</w:t>
      </w:r>
    </w:p>
    <w:p w:rsidR="00FF446C" w:rsidRPr="003B4C7F" w:rsidRDefault="00FF446C" w:rsidP="00FF446C">
      <w:pPr>
        <w:ind w:firstLine="540"/>
        <w:rPr>
          <w:rFonts w:cs="Calibri"/>
        </w:rPr>
      </w:pPr>
      <w:r w:rsidRPr="003B4C7F">
        <w:rPr>
          <w:rFonts w:cs="Calibri"/>
        </w:rPr>
        <w:t xml:space="preserve">Šiuo klausimu Teisingumo Teismas priminė, kad, nors valstybės narės turi tam tikrą laisvę nustatyti PVM skirtumo grąžinimo tvarką, tokia tvarka negali pažeisti mokesčių neutralumo principo taip, kad apmokestinamajam asmeniui tektų visa ar dalis šio mokesčio naštos. Konkrečiai kalbant, </w:t>
      </w:r>
      <w:r w:rsidRPr="003B4C7F">
        <w:rPr>
          <w:rFonts w:cs="Calibri"/>
          <w:u w:val="single"/>
        </w:rPr>
        <w:t xml:space="preserve">tokia tvarka turi sudaryti apmokestinamajam asmeniui tinkamas sąlygas susigrąžinti visą dėl PVM skirtumo susidariusią sumą; tai reiškia, kad grąžinama turi būti per protingą terminą, o pasirinkta grąžinimo forma bet kuriuo atveju neturi sukelti </w:t>
      </w:r>
      <w:r w:rsidRPr="003B4C7F">
        <w:rPr>
          <w:rFonts w:cs="Calibri"/>
          <w:b/>
          <w:u w:val="single"/>
        </w:rPr>
        <w:t>jokios</w:t>
      </w:r>
      <w:r w:rsidRPr="003B4C7F">
        <w:rPr>
          <w:rFonts w:cs="Calibri"/>
          <w:u w:val="single"/>
        </w:rPr>
        <w:t xml:space="preserve"> finansinės rizikos apmokestinamajam asmeniui</w:t>
      </w:r>
      <w:r w:rsidRPr="003B4C7F">
        <w:rPr>
          <w:rFonts w:cs="Calibri"/>
        </w:rPr>
        <w:t xml:space="preserve"> (24 punktas).</w:t>
      </w:r>
    </w:p>
    <w:p w:rsidR="00FF446C" w:rsidRPr="003B4C7F" w:rsidRDefault="00FF446C" w:rsidP="00FF446C">
      <w:pPr>
        <w:ind w:firstLine="540"/>
        <w:rPr>
          <w:rFonts w:cs="Calibri"/>
        </w:rPr>
      </w:pPr>
    </w:p>
    <w:p w:rsidR="00FF446C" w:rsidRPr="00A565AA" w:rsidRDefault="00FF446C" w:rsidP="00A565AA">
      <w:pPr>
        <w:pStyle w:val="Antrat3"/>
        <w:ind w:firstLine="567"/>
      </w:pPr>
      <w:bookmarkStart w:id="47" w:name="_Toc516557665"/>
      <w:bookmarkStart w:id="48" w:name="_Toc517273040"/>
      <w:r w:rsidRPr="00A565AA">
        <w:t>Dėl apmokestinamajam asmeniui mokėtinų palūkanų už laiku negrąžintą (neįskaitytą) PVM mažinimo kitais nei įstatyme numatytais pagrindais</w:t>
      </w:r>
      <w:bookmarkEnd w:id="47"/>
      <w:bookmarkEnd w:id="48"/>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Kai apmokestinamajam asmeniui PVM skirtumas grąžinamas ne per protingą terminą, pagal PVM sistemos neutralumo principą reikalaujama, kad taip apmokestinamojo asmens patirti finansiniai nuostoliai dėl negalėjimo disponuoti aptariama pinigų suma būtų atlyginti sumokant palūkanas. Nesant Sąjungos teisės aktų PVM srityje, kiekviena valstybė narė savo vidaus teisės sistemoje turi numatyti sąlygas, kuriomis šios palūkanos turi būti mokamos, be kita ko, šių palūkanų normą ir apskaičiavimo būdą, bet laikantis mokesčių neutralumo principo (25 punktas).</w:t>
      </w:r>
    </w:p>
    <w:p w:rsidR="00FF446C" w:rsidRPr="003B4C7F" w:rsidRDefault="00FF446C" w:rsidP="00FF446C">
      <w:pPr>
        <w:ind w:firstLine="540"/>
        <w:rPr>
          <w:rFonts w:cs="Calibri"/>
        </w:rPr>
      </w:pPr>
      <w:r w:rsidRPr="003B4C7F">
        <w:rPr>
          <w:rFonts w:cs="Calibri"/>
        </w:rPr>
        <w:t xml:space="preserve">Pirma, kalbėdamas apie sumažinimą dėl įprastai taikant nacionalinės teisės nuostatas mokėtinų palūkanų sumos dydžio, Teisingumo Teismas pažymėjo, kad, atsižvelgiant į PVM skirtumo sumą, ši palūkanų suma yra tik kompensacija už prarastą galimybę gauti pajamų dėl pagrindinės sumos negrąžinimo laikotarpio </w:t>
      </w:r>
      <w:r w:rsidRPr="003B4C7F">
        <w:rPr>
          <w:rFonts w:cs="Calibri"/>
        </w:rPr>
        <w:lastRenderedPageBreak/>
        <w:t xml:space="preserve">trukmės. </w:t>
      </w:r>
      <w:r w:rsidRPr="003B4C7F">
        <w:rPr>
          <w:rFonts w:cs="Calibri"/>
          <w:u w:val="single"/>
        </w:rPr>
        <w:t>Dėl šios sumos sumažinimo, pagrįsto vien sumos dydžiu, palyginti su grąžintina pagrindine suma, apmokestinamajam asmeniui kyla rizika, kad sumokėtos palūkanos neapims viso laikotarpio</w:t>
      </w:r>
      <w:r w:rsidRPr="003B4C7F">
        <w:rPr>
          <w:rFonts w:cs="Calibri"/>
        </w:rPr>
        <w:t>, per kurį pagal mokesčių neutralumo principą reikalaujama, kad negalėjimas disponuoti aptariamomis sumomis būtų kompensuojamas sumokant palūkanas (28 punktas).</w:t>
      </w:r>
    </w:p>
    <w:p w:rsidR="00FF446C" w:rsidRPr="003B4C7F" w:rsidRDefault="00FF446C" w:rsidP="00FF446C">
      <w:pPr>
        <w:ind w:firstLine="540"/>
        <w:rPr>
          <w:rFonts w:cs="Calibri"/>
        </w:rPr>
      </w:pPr>
      <w:r w:rsidRPr="003B4C7F">
        <w:rPr>
          <w:rFonts w:cs="Calibri"/>
        </w:rPr>
        <w:t>Antra, dėl negrąžinimo laikotarpio trukmės Teisingumo Teismas pažymėjo, jog ši trukmė savaime nepateisina palūkanų, kurių suma yra konkrečiai skirta kompensuoti apmokestinamojo asmens per šį laikotarpį patirtiems finansiniams nuostoliams, sumažinimo. Be to, galimybė sumažinti mokėtinų palūkanų sumą dėl negrąžinimo laikotarpio trukmės gali lemti tai, kad mokesčių institucijos nesistengs kuo greičiau grąžinti PVM skirtumo, o tai irgi gali sukelti finansinę riziką apmokestinamajam asmeniui ir pažeisti mokesčių neutralumo principą (31 punktas).</w:t>
      </w:r>
    </w:p>
    <w:p w:rsidR="00FF446C" w:rsidRPr="003B4C7F" w:rsidRDefault="00FF446C" w:rsidP="00FF446C">
      <w:pPr>
        <w:ind w:firstLine="540"/>
        <w:rPr>
          <w:rFonts w:cs="Calibri"/>
        </w:rPr>
      </w:pPr>
      <w:r w:rsidRPr="003B4C7F">
        <w:rPr>
          <w:rFonts w:cs="Calibri"/>
        </w:rPr>
        <w:t xml:space="preserve">Trečia, kiek tai susiję su nacionalinio teismo galimybe sumažinti įprastai taikant nacionalines nuostatas mokėtinų palūkanų sumą, kad būtų atsižvelgta į konkretaus apmokestinamojo asmens realiai patirtus nuostolius dėl negalėjimo disponuoti grąžintino PVM skirtumo suma per negrąžinimo laikotarpį, tokia galimybė reiškia, kad apmokestinamasis asmuo turi įrodyti realiai dėl šio negalėjimo disponuoti lėšomis patirtus finansinius nuostolius (35 punktas). Bet kuriuo atveju, valstybės narės turi teisę numatyti fiksuotas palūkanas tam, kad būtų užtikrinta kompensacija pagal mokesčių administratoriaus lengvai administruojamas ir kontroliuojamas taisykles. </w:t>
      </w:r>
      <w:r w:rsidRPr="003B4C7F">
        <w:rPr>
          <w:rFonts w:cs="Calibri"/>
          <w:u w:val="single"/>
        </w:rPr>
        <w:t>Jei tam tikru konkrečiu atveju kompensacijai skirtų palūkanų suma viršija realią apmokestinamojo asmens patirtą žalą, tai yra tik fiksuotos kompensacinės sistemos, kuri dėl savo pobūdžio atspindi ne realiai patirtus nuostolius, bet nuostolius, kurių, nacionalinio įstatymų leidėjo vertinimu, gali patirti apmokestinamasis asmuo, pasekmė. Kompensacija palūkanų forma kiekvienu konkrečiu atveju gali būti didesnė ar mažesnė už realius nuostolius</w:t>
      </w:r>
      <w:r w:rsidRPr="003B4C7F">
        <w:rPr>
          <w:rFonts w:cs="Calibri"/>
        </w:rPr>
        <w:t xml:space="preserve"> (36 punktas). Tokiu atveju, jei tokie nacionalinės teisės aktai, kaip nagrinėjami pagrindinėje byloje, numato tokių fiksuotų palūkanų mokėjimą, jie tuo pačiu metu negali numatyti galimybės neleisti mokėti tokių palūkanų ir apsiriboti realių nuostolių kompensavimu remiantis teisingumo ir protingumo kriterijais. Iš tiesų dėl tokių nacionalinės teisės aktų apmokestinamasis asmuo negalėtų numatyti aplinkybių, kurioms esant gali tikėtis gauti fiksuotas palūkanas, taigi – ir organizuoti savo veiklą atsižvelgiant į tokį mokėjimą. Taigi konstatuotina, kad tokie teisės aktai neleidžia apmokestinamajam asmeniui tinkamomis sąlygomis susigrąžinti visos skolos, susidariusios dėl PVM skirtumo, nepatiriant jokios finansinės rizikos, o tai prieštarauja mokesčių neutralumo principui (37 punktas).</w:t>
      </w:r>
    </w:p>
    <w:p w:rsidR="00FF446C" w:rsidRPr="003B4C7F" w:rsidRDefault="00FF446C" w:rsidP="00FF446C">
      <w:pPr>
        <w:ind w:firstLine="540"/>
        <w:rPr>
          <w:rFonts w:cs="Calibri"/>
        </w:rPr>
      </w:pPr>
    </w:p>
    <w:p w:rsidR="00FF446C" w:rsidRPr="003B4C7F" w:rsidRDefault="00FF446C" w:rsidP="00FF446C">
      <w:pPr>
        <w:ind w:firstLine="540"/>
        <w:rPr>
          <w:rFonts w:cs="Calibri"/>
          <w:b/>
        </w:rPr>
      </w:pPr>
      <w:r w:rsidRPr="003B4C7F">
        <w:rPr>
          <w:rFonts w:cs="Calibri"/>
          <w:b/>
        </w:rPr>
        <w:t>Remdamasis šiais motyvais, Teisingumo Teismas (ketvirtoji kolegija) nusprendė:</w:t>
      </w:r>
    </w:p>
    <w:p w:rsidR="00FF446C" w:rsidRPr="003B4C7F" w:rsidRDefault="00FF446C" w:rsidP="00FF446C">
      <w:pPr>
        <w:ind w:firstLine="540"/>
        <w:rPr>
          <w:rFonts w:cs="Calibri"/>
        </w:rPr>
      </w:pPr>
    </w:p>
    <w:p w:rsidR="00FF446C" w:rsidRPr="003B4C7F" w:rsidRDefault="00FF446C" w:rsidP="00FF446C">
      <w:pPr>
        <w:ind w:firstLine="540"/>
        <w:rPr>
          <w:rFonts w:cs="Calibri"/>
        </w:rPr>
      </w:pPr>
      <w:r w:rsidRPr="003B4C7F">
        <w:rPr>
          <w:rFonts w:cs="Calibri"/>
        </w:rPr>
        <w:t>Pagal PVM direktyvos 183 straipsnį, aiškinamą atsižvelgiant į mokesčių neutralumo principą, draudžiama mažinti paprastai pagal nacionalinę teisę mokamų palūkanų sumą už laiku negrąžintą pridėtinės vertės mokesčio skirtumą atsižvelgus į kitas nei paties apmokestinamojo asmens veiksmais nulemtas aplinkybes: palūkanų sumos santykį su pridėtinės vertės mokesčio skirtumo suma, skirtumo negrąžinimo laikotarpį ir jį nulėmusias priežastis, taip pat apmokestinamojo asmens realiai patirtus praradimus.</w:t>
      </w:r>
    </w:p>
    <w:p w:rsidR="00FF446C" w:rsidRPr="003B4C7F" w:rsidRDefault="00EF32EC" w:rsidP="00FF446C">
      <w:pPr>
        <w:ind w:firstLine="540"/>
        <w:rPr>
          <w:rFonts w:cs="Calibri"/>
        </w:rPr>
      </w:pPr>
      <w:hyperlink r:id="rId20" w:history="1">
        <w:r w:rsidR="00FF446C" w:rsidRPr="00A565AA">
          <w:rPr>
            <w:rStyle w:val="Hipersaitas"/>
            <w:rFonts w:cs="Calibri"/>
          </w:rPr>
          <w:t>Prieiga internete</w:t>
        </w:r>
      </w:hyperlink>
    </w:p>
    <w:p w:rsidR="00FF446C" w:rsidRDefault="00FF446C" w:rsidP="00AD0B10">
      <w:pPr>
        <w:rPr>
          <w:rFonts w:asciiTheme="minorHAnsi" w:eastAsia="Times New Roman" w:hAnsiTheme="minorHAnsi" w:cstheme="minorHAnsi"/>
          <w:bCs/>
          <w:color w:val="17365D"/>
          <w:kern w:val="32"/>
          <w:lang w:eastAsia="lt-LT"/>
        </w:rPr>
      </w:pPr>
    </w:p>
    <w:p w:rsidR="00B54B15" w:rsidRPr="002F09DA" w:rsidRDefault="00B54B15" w:rsidP="00B54B15">
      <w:pPr>
        <w:pStyle w:val="Antrat1"/>
        <w:spacing w:before="0"/>
        <w:rPr>
          <w:rFonts w:eastAsia="Times New Roman" w:cstheme="minorHAnsi"/>
          <w:bCs/>
          <w:color w:val="17365D"/>
          <w:kern w:val="32"/>
          <w:szCs w:val="22"/>
          <w:lang w:eastAsia="lt-LT"/>
        </w:rPr>
      </w:pPr>
      <w:bookmarkStart w:id="49" w:name="_Toc517273041"/>
      <w:r>
        <w:rPr>
          <w:rFonts w:eastAsia="Times New Roman" w:cstheme="minorHAnsi"/>
          <w:bCs/>
          <w:color w:val="17365D"/>
          <w:kern w:val="32"/>
          <w:szCs w:val="22"/>
          <w:lang w:eastAsia="lt-LT"/>
        </w:rPr>
        <w:t>TERITORIJŲ PLANAVIMAS</w:t>
      </w:r>
      <w:bookmarkEnd w:id="49"/>
    </w:p>
    <w:p w:rsidR="00B54B15" w:rsidRDefault="00B54B15" w:rsidP="00B54B15">
      <w:pPr>
        <w:jc w:val="center"/>
        <w:rPr>
          <w:rFonts w:eastAsia="Times New Roman"/>
          <w:b/>
          <w:bCs/>
          <w:iCs/>
          <w:szCs w:val="24"/>
          <w:lang w:eastAsia="lt-LT"/>
        </w:rPr>
      </w:pPr>
    </w:p>
    <w:p w:rsidR="00B54B15" w:rsidRPr="006B6EDE" w:rsidRDefault="00B54B15" w:rsidP="006B6EDE">
      <w:pPr>
        <w:pStyle w:val="Antrat2"/>
        <w:rPr>
          <w:bCs w:val="0"/>
          <w:iCs w:val="0"/>
        </w:rPr>
      </w:pPr>
      <w:bookmarkStart w:id="50" w:name="_Toc517273042"/>
      <w:r w:rsidRPr="006B6EDE">
        <w:rPr>
          <w:bCs w:val="0"/>
          <w:iCs w:val="0"/>
        </w:rPr>
        <w:t>2018 m. sausio 30 d. didžiosios kolegijos prejudicinis sprendimas sujungtose bylose C-360/15</w:t>
      </w:r>
      <w:bookmarkEnd w:id="50"/>
      <w:r w:rsidRPr="006B6EDE">
        <w:rPr>
          <w:bCs w:val="0"/>
          <w:iCs w:val="0"/>
        </w:rPr>
        <w:t xml:space="preserve"> </w:t>
      </w:r>
    </w:p>
    <w:p w:rsidR="00B54B15" w:rsidRDefault="00B54B15" w:rsidP="00B54B15">
      <w:pPr>
        <w:jc w:val="center"/>
        <w:rPr>
          <w:rFonts w:eastAsia="Times New Roman"/>
          <w:b/>
          <w:bCs/>
          <w:iCs/>
          <w:szCs w:val="24"/>
          <w:lang w:eastAsia="lt-LT"/>
        </w:rPr>
      </w:pPr>
      <w:r w:rsidRPr="00F0529D">
        <w:rPr>
          <w:rFonts w:eastAsia="Times New Roman"/>
          <w:b/>
          <w:bCs/>
          <w:i/>
          <w:iCs/>
          <w:szCs w:val="24"/>
          <w:lang w:eastAsia="lt-LT"/>
        </w:rPr>
        <w:t>College van Burgemeester en Wethouders van de gemeente Amersfoort prieš X BV</w:t>
      </w:r>
      <w:r>
        <w:rPr>
          <w:rFonts w:eastAsia="Times New Roman"/>
          <w:b/>
          <w:bCs/>
          <w:i/>
          <w:iCs/>
          <w:szCs w:val="24"/>
          <w:lang w:eastAsia="lt-LT"/>
        </w:rPr>
        <w:t xml:space="preserve"> </w:t>
      </w:r>
      <w:r w:rsidRPr="00F0529D">
        <w:rPr>
          <w:rFonts w:eastAsia="Times New Roman"/>
          <w:b/>
          <w:bCs/>
          <w:iCs/>
          <w:szCs w:val="24"/>
          <w:lang w:eastAsia="lt-LT"/>
        </w:rPr>
        <w:t xml:space="preserve">ir </w:t>
      </w:r>
    </w:p>
    <w:p w:rsidR="00B54B15" w:rsidRPr="00F0529D" w:rsidRDefault="00B54B15" w:rsidP="00B54B15">
      <w:pPr>
        <w:jc w:val="center"/>
        <w:rPr>
          <w:rFonts w:eastAsia="Times New Roman"/>
          <w:b/>
          <w:bCs/>
          <w:i/>
          <w:iCs/>
          <w:szCs w:val="24"/>
          <w:lang w:eastAsia="lt-LT"/>
        </w:rPr>
      </w:pPr>
      <w:r w:rsidRPr="00F0529D">
        <w:rPr>
          <w:rFonts w:eastAsia="Times New Roman"/>
          <w:b/>
          <w:bCs/>
          <w:iCs/>
          <w:szCs w:val="24"/>
          <w:lang w:eastAsia="lt-LT"/>
        </w:rPr>
        <w:t xml:space="preserve">C-31/16 </w:t>
      </w:r>
      <w:r w:rsidRPr="00F0529D">
        <w:rPr>
          <w:rFonts w:eastAsia="Times New Roman"/>
          <w:b/>
          <w:bCs/>
          <w:i/>
          <w:iCs/>
          <w:szCs w:val="24"/>
          <w:lang w:eastAsia="lt-LT"/>
        </w:rPr>
        <w:t>Visser Vastgoed Beleggingen BV prieš Raad van de gemeente Appingedam</w:t>
      </w:r>
    </w:p>
    <w:p w:rsidR="00B54B15" w:rsidRPr="000A7F4A" w:rsidRDefault="00B54B15" w:rsidP="00B54B15">
      <w:pPr>
        <w:ind w:firstLine="1296"/>
        <w:rPr>
          <w:rFonts w:eastAsia="Times New Roman"/>
          <w:shd w:val="clear" w:color="auto" w:fill="FFFFFF"/>
          <w:lang w:eastAsia="lt-LT"/>
        </w:rPr>
      </w:pPr>
    </w:p>
    <w:p w:rsidR="00B54B15" w:rsidRDefault="00B54B15" w:rsidP="00B54B15">
      <w:pPr>
        <w:ind w:firstLine="567"/>
        <w:rPr>
          <w:rFonts w:eastAsia="Times New Roman"/>
          <w:shd w:val="clear" w:color="auto" w:fill="FFFFFF"/>
          <w:lang w:eastAsia="lt-LT"/>
        </w:rPr>
      </w:pPr>
      <w:r w:rsidRPr="00F0529D">
        <w:rPr>
          <w:rFonts w:eastAsia="Times New Roman"/>
          <w:shd w:val="clear" w:color="auto" w:fill="FFFFFF"/>
          <w:lang w:eastAsia="lt-LT"/>
        </w:rPr>
        <w:t>Prašymai priimti prejudicinį sprendimą pateikti dėl 2006 m. gruodžio 12 d. Europos Parlamento ir Tarybos direktyvos 2006/123/EB dėl paslaugų vidaus rinkoje (toliau – Direktyva 2006/123) ir SESV 34–36 ir 49–55 straipsnių išaiškinimo. Šie prašymai pateikti nagrinėjant du ginčus: pirma, College van Burgemeester en Wethouders van de gemeente Amersfoort (Amersforto mero ir tarybos narių kolegija, Nyderlandai) ir X BV ginčą dėl rinkliavų (leges), susijusių su šviesolaidinių kabelių tiesimu viešam elektroninių ryšių tinklui, ir, antra, Visser Vastgoed Beleggingen BV (toliau – ir Visser) ir Raad van de gemeente Appingedam (Apingedamo savivaldybės taryba, Nyderlandai) ginčą dėl teritoriniame plane nustatytų taisyklių, pagal kurias tam tikros ne miesto centre esančios geografinės teritorijos yra skirtos vien mažmeninei prekybai didelėmis prekėmis (1 ir 2 punktai).</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F0529D">
        <w:rPr>
          <w:rFonts w:eastAsia="Times New Roman"/>
          <w:shd w:val="clear" w:color="auto" w:fill="FFFFFF"/>
          <w:lang w:eastAsia="lt-LT"/>
        </w:rPr>
        <w:lastRenderedPageBreak/>
        <w:t>Pagrindinėje byloje dėl rinkliavų, susijusių su šviesolaidinių kabelių tiesimu, nustatyta, kad remiantis 2009 m. gruodžio mėn. su Amersforto savivaldybe sudaryta sutartimi, X buvo pavesta įrengti šviesolaidinį tinklą šioje savivaldybėje. Įstatymo nustatyta tvarka X pateikė prašymą išduoti leidimą, kartu nustatant kasimo darbų kabeliams įrengti vietą, laiką ir vykdymo sąlygas.</w:t>
      </w:r>
      <w:r>
        <w:rPr>
          <w:rFonts w:eastAsia="Times New Roman"/>
          <w:shd w:val="clear" w:color="auto" w:fill="FFFFFF"/>
          <w:lang w:eastAsia="lt-LT"/>
        </w:rPr>
        <w:t xml:space="preserve"> </w:t>
      </w:r>
      <w:r w:rsidRPr="00F0529D">
        <w:rPr>
          <w:rFonts w:eastAsia="Times New Roman"/>
          <w:shd w:val="clear" w:color="auto" w:fill="FFFFFF"/>
          <w:lang w:eastAsia="lt-LT"/>
        </w:rPr>
        <w:t>Amersforto savivaldybė leidimo išdavimą siejo su teisės aktuose nustatytos rinkliavos sumokėjimu, todėl pareikalavo X sumokėti 149 949 Eur. X kreipėsi į teismą, ginčydamas šios rinkliavos dydį. Apeliacinės instancijos teismas konsta</w:t>
      </w:r>
      <w:r w:rsidR="008448DC">
        <w:rPr>
          <w:rFonts w:eastAsia="Times New Roman"/>
          <w:shd w:val="clear" w:color="auto" w:fill="FFFFFF"/>
          <w:lang w:eastAsia="lt-LT"/>
        </w:rPr>
        <w:t>tavo, kad ginčas patenka į 2002 </w:t>
      </w:r>
      <w:r w:rsidRPr="00F0529D">
        <w:rPr>
          <w:rFonts w:eastAsia="Times New Roman"/>
          <w:shd w:val="clear" w:color="auto" w:fill="FFFFFF"/>
          <w:lang w:eastAsia="lt-LT"/>
        </w:rPr>
        <w:t xml:space="preserve">m. kovo 7 d. Europos Parlamento ir Tarybos direktyvos 2002/20/EB dėl elektroninių ryšių tinklų ir paslaugų leidimo (toliau – ir Leidimų direktyva) 12 straipsnio taikymo sritį, nes, pirma, rinkliava, kurios reikalaujama iš X, yra susijusi su elektroninių ryšių paslaugomis ir, antra, Amersforto savivaldybė yra nacionalinė reguliavimo institucija, kaip tai suprantama pagal 2002 m. kovo 7 d. Europos Parlamento ir Tarybos direktyvą 2002/21/EB dėl elektroninių ryšių tinklų ir paslaugų bendrosios reguliavimo sistemos (toliau – ir Pagrindų direktyva) bei Leidimų direktyvą. Apeliacinės instancijos teismas sprendė, kad rinkliavos dydis viršija maksimalią ribą, numatytą Leidimų direktyvos 12 straipsnyje, todėl prašymas, kad X sumokėtų rinkliavą, yra neteisėtas. Šalys pateikė kasacinius skundus Nyderlandų </w:t>
      </w:r>
      <w:r w:rsidR="008448DC">
        <w:rPr>
          <w:rFonts w:eastAsia="Times New Roman"/>
          <w:shd w:val="clear" w:color="auto" w:fill="FFFFFF"/>
          <w:lang w:eastAsia="lt-LT"/>
        </w:rPr>
        <w:t>Aukščiausiajam Teismui (36–41 </w:t>
      </w:r>
      <w:r w:rsidRPr="00F0529D">
        <w:rPr>
          <w:rFonts w:eastAsia="Times New Roman"/>
          <w:shd w:val="clear" w:color="auto" w:fill="FFFFFF"/>
          <w:lang w:eastAsia="lt-LT"/>
        </w:rPr>
        <w:t>punktai).</w:t>
      </w:r>
      <w:r>
        <w:rPr>
          <w:rFonts w:eastAsia="Times New Roman"/>
          <w:shd w:val="clear" w:color="auto" w:fill="FFFFFF"/>
          <w:lang w:eastAsia="lt-LT"/>
        </w:rPr>
        <w:t xml:space="preserve"> </w:t>
      </w:r>
    </w:p>
    <w:p w:rsidR="00B54B15" w:rsidRPr="00CC67A3" w:rsidRDefault="00B54B15" w:rsidP="00B54B15">
      <w:pPr>
        <w:ind w:firstLine="567"/>
        <w:rPr>
          <w:rFonts w:eastAsia="Times New Roman"/>
          <w:shd w:val="clear" w:color="auto" w:fill="FFFFFF"/>
          <w:lang w:eastAsia="lt-LT"/>
        </w:rPr>
      </w:pPr>
      <w:r w:rsidRPr="00F0529D">
        <w:rPr>
          <w:rFonts w:eastAsia="Times New Roman"/>
          <w:shd w:val="clear" w:color="auto" w:fill="FFFFFF"/>
          <w:lang w:eastAsia="lt-LT"/>
        </w:rPr>
        <w:t xml:space="preserve">Nyderlandų Aukščiausiasis Teismas sutiko su vieno iš skundų argumentu, kad Amersforto savivaldybė niekada nebuvo paskirta nacionaline </w:t>
      </w:r>
      <w:r w:rsidRPr="00CC67A3">
        <w:rPr>
          <w:rFonts w:eastAsia="Times New Roman"/>
          <w:shd w:val="clear" w:color="auto" w:fill="FFFFFF"/>
          <w:lang w:eastAsia="lt-LT"/>
        </w:rPr>
        <w:t>reguliavimo institucija, kaip tai suprantama pagal Pagrindų ir Leidimų direktyvas, todėl Direktyvos 2006/123 2 straipsnio 2 dalies c punktu negali būti remiamasi, taikant jį kartu su Leidimų direktyvos 12 straipsniu. Teismas kreipėsi į Teisingumo Teismą su prašymu priimti prejudicinį sprendimą kilus abejonių dėl to, ar pagrindinėje byloje nagrinėjamos rinkliavos, susijusios su prašymu išduoti leidimą dėl kasimo darbų, reikalingų viešojo elektroninių ryšių tinklo kabelių tiesimui, rinkimas patenka į Direktyvos 2006/123 taikymo sritį, nes, pirma, tos direktyvos 2 straipsnio 3 dalyje nurodyta, kad ji netaikoma mokesčių srityje, antra, pagrindinėje byloje nagrinėjama situacija yra visiškai Nyderlandų Karalystės vidaus situacija, neturinti jokių išorinių elementų, ir, trečia, leidimas atlikti kasimo darbus, patenka į teisės aktų, susijusių su miesto ir kaimo teritorijų planavimu, taikymo sritį, t. y. jam taikomi teisės aktai, kurių reikalavimai, remiantis Direktyvos 2006/123 9 konstatuojamąja dalimi, nepatenka į jos taikymo sritį (43, 45 punktai).</w:t>
      </w:r>
    </w:p>
    <w:p w:rsidR="00B54B15" w:rsidRPr="00F0529D" w:rsidRDefault="00B54B15" w:rsidP="008448DC">
      <w:pPr>
        <w:ind w:firstLine="567"/>
        <w:rPr>
          <w:rFonts w:eastAsia="Times New Roman"/>
          <w:shd w:val="clear" w:color="auto" w:fill="FFFFFF"/>
          <w:lang w:eastAsia="lt-LT"/>
        </w:rPr>
      </w:pPr>
      <w:r w:rsidRPr="00CC67A3">
        <w:rPr>
          <w:rFonts w:eastAsia="Times New Roman"/>
          <w:shd w:val="clear" w:color="auto" w:fill="FFFFFF"/>
          <w:lang w:eastAsia="lt-LT"/>
        </w:rPr>
        <w:t>Kitoje pagrindinėje byloje, t. y. byloje dėl teritorinio plano nuostatų, pagal kurias tam tikros miesto teritorijos yra skirtos vien mažmeninei prekybai didelėmis prekėmis, nustatyta, kad Apingedamo savivaldybės (Nyderlandai) teritorijoje už miesto centre esančio istorinio prekybos kvartalo ribų yra prekybos rajonas Woonplein, kuris pagal savivaldybės teritorinį planą yra skirtas vien mažmeninei prekybai didžiagabaritėmis prekėmis. Šiame prekybos rajone, be kita ko, yra parduotuvių, kuriose prekiaujama baldais, virtuvės įranga, statybinėmis medžiagomis, sodo prekėmis, automobiliais</w:t>
      </w:r>
      <w:r w:rsidRPr="00F0529D">
        <w:rPr>
          <w:rFonts w:eastAsia="Times New Roman"/>
          <w:shd w:val="clear" w:color="auto" w:fill="FFFFFF"/>
          <w:lang w:eastAsia="lt-LT"/>
        </w:rPr>
        <w:t xml:space="preserve"> ir jų detalėmis, kt. Woonplein esančių prekybinių plotų savininkė siekia vieną iš jų išnuomoti įmonei, valdančiai avalynės ir drabužių parduotuvių tinklą, todėl kreipėsi į Valstybės Tarybą peržiūrėti Apingedamo tarybos sprendimą, kuriuo patvirtinamas teritorinis planas, kiek juo neleidžiama Woonplein atidaryti avalynės ir drabužių mažmeninės prekybos parduotuvių. Reikalavimas</w:t>
      </w:r>
      <w:r w:rsidR="008448DC">
        <w:rPr>
          <w:rFonts w:eastAsia="Times New Roman"/>
          <w:shd w:val="clear" w:color="auto" w:fill="FFFFFF"/>
          <w:lang w:eastAsia="lt-LT"/>
        </w:rPr>
        <w:t>,</w:t>
      </w:r>
      <w:r w:rsidRPr="00F0529D">
        <w:rPr>
          <w:rFonts w:eastAsia="Times New Roman"/>
          <w:shd w:val="clear" w:color="auto" w:fill="FFFFFF"/>
          <w:lang w:eastAsia="lt-LT"/>
        </w:rPr>
        <w:t xml:space="preserve"> be kita ko, remiasi tuo, kad nurodytas planas pažeidžia Direktyvos 2006/123</w:t>
      </w:r>
      <w:r>
        <w:rPr>
          <w:rFonts w:eastAsia="Times New Roman"/>
          <w:shd w:val="clear" w:color="auto" w:fill="FFFFFF"/>
          <w:lang w:eastAsia="lt-LT"/>
        </w:rPr>
        <w:t xml:space="preserve"> </w:t>
      </w:r>
      <w:r w:rsidRPr="00F0529D">
        <w:rPr>
          <w:rFonts w:eastAsia="Times New Roman"/>
          <w:shd w:val="clear" w:color="auto" w:fill="FFFFFF"/>
          <w:lang w:eastAsia="lt-LT"/>
        </w:rPr>
        <w:t>9 ir 10 straipsnius. Apingedamo taryba nurodė, kad taisykle, jog avalynės ir drabužių mažmeninės prekybos parduotuvės gali būti atidarytos tik miesto centre, siekiama išlaikyti miesto centro gyvybingumą, užtikrinti jame esančio prekybos centro gerą funkcionavimą ir kiek įmanoma išvengti miesto centre esančių patalpų struktūrinio neužim</w:t>
      </w:r>
      <w:r w:rsidR="008448DC">
        <w:rPr>
          <w:rFonts w:eastAsia="Times New Roman"/>
          <w:shd w:val="clear" w:color="auto" w:fill="FFFFFF"/>
          <w:lang w:eastAsia="lt-LT"/>
        </w:rPr>
        <w:t>tumo (47–</w:t>
      </w:r>
      <w:r w:rsidRPr="00F0529D">
        <w:rPr>
          <w:rFonts w:eastAsia="Times New Roman"/>
          <w:shd w:val="clear" w:color="auto" w:fill="FFFFFF"/>
          <w:lang w:eastAsia="lt-LT"/>
        </w:rPr>
        <w:t>51 punktai). Valstybės Taryba kreipėsi į Teisingumo Teismą dėl prejudicinio sprendimo.</w:t>
      </w:r>
    </w:p>
    <w:p w:rsidR="00B54B15" w:rsidRPr="000A7F4A" w:rsidRDefault="00B54B15" w:rsidP="00B54B15">
      <w:pPr>
        <w:ind w:firstLine="1296"/>
        <w:rPr>
          <w:rFonts w:eastAsia="Times New Roman"/>
          <w:shd w:val="clear" w:color="auto" w:fill="FFFFFF"/>
          <w:lang w:eastAsia="lt-LT"/>
        </w:rPr>
      </w:pPr>
    </w:p>
    <w:p w:rsidR="00B54B15" w:rsidRPr="008448DC" w:rsidRDefault="00B54B15" w:rsidP="008448DC">
      <w:pPr>
        <w:pStyle w:val="Antrat3"/>
        <w:ind w:firstLine="567"/>
        <w:rPr>
          <w:rFonts w:eastAsia="Times New Roman"/>
          <w:shd w:val="clear" w:color="auto" w:fill="FFFFFF"/>
          <w:lang w:eastAsia="lt-LT"/>
        </w:rPr>
      </w:pPr>
      <w:bookmarkStart w:id="51" w:name="_Toc517273043"/>
      <w:r w:rsidRPr="008448DC">
        <w:rPr>
          <w:rFonts w:eastAsia="Times New Roman"/>
          <w:shd w:val="clear" w:color="auto" w:fill="FFFFFF"/>
          <w:lang w:eastAsia="lt-LT"/>
        </w:rPr>
        <w:t>Dėl teisės nustatyti rinkliavą, susijusią su prašymu išduoti leidimą dėl kasimo darbų, reikalingų viešojo elektroninių ryšių tinklo kabelių tiesimui, reglamentavimo</w:t>
      </w:r>
      <w:bookmarkEnd w:id="51"/>
    </w:p>
    <w:p w:rsidR="00B54B15" w:rsidRPr="000A7F4A" w:rsidRDefault="00B54B15" w:rsidP="00B54B15">
      <w:pPr>
        <w:ind w:firstLine="1296"/>
        <w:rPr>
          <w:rFonts w:eastAsia="Times New Roman"/>
          <w:shd w:val="clear" w:color="auto" w:fill="FFFFFF"/>
          <w:lang w:eastAsia="lt-LT"/>
        </w:rPr>
      </w:pPr>
    </w:p>
    <w:p w:rsidR="00B54B15" w:rsidRDefault="00B54B15" w:rsidP="00B54B15">
      <w:pPr>
        <w:ind w:firstLine="567"/>
        <w:rPr>
          <w:rFonts w:eastAsia="Times New Roman"/>
          <w:shd w:val="clear" w:color="auto" w:fill="FFFFFF"/>
          <w:lang w:eastAsia="lt-LT"/>
        </w:rPr>
      </w:pPr>
      <w:r w:rsidRPr="00F0529D">
        <w:rPr>
          <w:rFonts w:eastAsia="Times New Roman"/>
          <w:shd w:val="clear" w:color="auto" w:fill="FFFFFF"/>
          <w:lang w:eastAsia="lt-LT"/>
        </w:rPr>
        <w:t>Direktyvos 2006/123</w:t>
      </w:r>
      <w:r>
        <w:rPr>
          <w:rFonts w:eastAsia="Times New Roman"/>
          <w:shd w:val="clear" w:color="auto" w:fill="FFFFFF"/>
          <w:lang w:eastAsia="lt-LT"/>
        </w:rPr>
        <w:t xml:space="preserve"> </w:t>
      </w:r>
      <w:r w:rsidRPr="00F0529D">
        <w:rPr>
          <w:rFonts w:eastAsia="Times New Roman"/>
          <w:shd w:val="clear" w:color="auto" w:fill="FFFFFF"/>
          <w:lang w:eastAsia="lt-LT"/>
        </w:rPr>
        <w:t>2 straipsnio 2 dalyje nustatyta, kad ji netaikoma tam tikroms veiklos rūšims, o nurodytos dalies c punkte nurodyta, kad ji netaikoma nei elektroninių ryšių paslaugoms, nei tinklams ir su jais susijusioms paslaugoms, kiek tai susiję su klausimais, kuriems taikomos, be kita ko, Pagrindų ir Leidimų direktyvos. Šios direktyvos 2 straipsnio 3 dalyje nustatyta, kad ji netaikoma mokesčių sričiai (58, 60 punktai).</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F0529D">
        <w:rPr>
          <w:rFonts w:eastAsia="Times New Roman"/>
          <w:shd w:val="clear" w:color="auto" w:fill="FFFFFF"/>
          <w:lang w:eastAsia="lt-LT"/>
        </w:rPr>
        <w:t>Teisingumo Teismas pažymėjo, kad administraciniai mokesčiai, kuriuos valstybės narės pagal Leidimų direktyvos 12 straipsnį gali nustatyti įmonėms, teikiančioms tinklų ar elektroninių ryšių paslaugas pagal bendrąjį leidimą ar kurioms naudojimo teisė buvo suteikta siekiant finansuoti nacionalinių reguliavimo institucijų veiklą, turi būti skirti tik bendroms administracinėms sąnaudoms, susijusioms su Leidimų direktyvos 12 straipsnio 1 dalies a punkte nurodyta veikla, padengti. Rinkliava, kurios pagrindinėje byloje Amersforto savivaldybė reikalauja iš X, nepriski</w:t>
      </w:r>
      <w:r w:rsidR="005C1696">
        <w:rPr>
          <w:rFonts w:eastAsia="Times New Roman"/>
          <w:shd w:val="clear" w:color="auto" w:fill="FFFFFF"/>
          <w:lang w:eastAsia="lt-LT"/>
        </w:rPr>
        <w:t>rtina prie tokių mokesčių (64–</w:t>
      </w:r>
      <w:r w:rsidRPr="00F0529D">
        <w:rPr>
          <w:rFonts w:eastAsia="Times New Roman"/>
          <w:shd w:val="clear" w:color="auto" w:fill="FFFFFF"/>
          <w:lang w:eastAsia="lt-LT"/>
        </w:rPr>
        <w:t>65 punktai).</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F0529D">
        <w:rPr>
          <w:rFonts w:eastAsia="Times New Roman"/>
          <w:shd w:val="clear" w:color="auto" w:fill="FFFFFF"/>
          <w:lang w:eastAsia="lt-LT"/>
        </w:rPr>
        <w:lastRenderedPageBreak/>
        <w:t>Nuostatų, susijusių su mokesčiais įmonėms, teikiančioms tinklų ar elektroninių ryšių paslaugas, yra ir Leidimų direktyvos 13 straipsnyje. Pagal šį straipsnį valstybės narės gali leisti kompetentingai institucijai taikyti tokius mokesčius už radijo dažnių ar numerių naudojimą ar teises įrengti įrenginius ant valstybinės ar privačios nuosavybės, virš jos ar po ja, kurie atitinka būtinybę užtikrinti tokių į</w:t>
      </w:r>
      <w:r w:rsidR="008448DC">
        <w:rPr>
          <w:rFonts w:eastAsia="Times New Roman"/>
          <w:shd w:val="clear" w:color="auto" w:fill="FFFFFF"/>
          <w:lang w:eastAsia="lt-LT"/>
        </w:rPr>
        <w:t>renginių optimalų naudojimą (66–</w:t>
      </w:r>
      <w:r w:rsidRPr="00F0529D">
        <w:rPr>
          <w:rFonts w:eastAsia="Times New Roman"/>
          <w:shd w:val="clear" w:color="auto" w:fill="FFFFFF"/>
          <w:lang w:eastAsia="lt-LT"/>
        </w:rPr>
        <w:t>67 punktai).</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F0529D">
        <w:rPr>
          <w:rFonts w:eastAsia="Times New Roman"/>
          <w:shd w:val="clear" w:color="auto" w:fill="FFFFFF"/>
          <w:lang w:eastAsia="lt-LT"/>
        </w:rPr>
        <w:t xml:space="preserve">Tai, kad Amersforto savivaldybė nėra nacionalinė reguliavimo institucija, kaip tai suprantama pagal Pagrindų direktyvos 2 straipsnio g punktą ar pagal Leidimų direktyvos 2 straipsnio 1 dalyje pateiktą nuorodą, neužkerta kelio rinkliavos, kurios reikalaujama iš X, nustatyti atsižvelgiant į Leidimų direktyvos 13 straipsnį. </w:t>
      </w:r>
      <w:r w:rsidRPr="00F0529D">
        <w:rPr>
          <w:rFonts w:eastAsia="Times New Roman"/>
          <w:u w:val="single"/>
          <w:shd w:val="clear" w:color="auto" w:fill="FFFFFF"/>
          <w:lang w:eastAsia="lt-LT"/>
        </w:rPr>
        <w:t>Remiantis Leidimų direktyvos 13 straipsnio formuluote, galimybę nustatyti rinkliavą už teisę įrengti įrenginius ant valstybinės ar privačios nuosavybės ar po ja turi ne nacionalinė reguliavimo institucija, o kompetentinga institucija</w:t>
      </w:r>
      <w:r w:rsidRPr="00F0529D">
        <w:rPr>
          <w:rFonts w:eastAsia="Times New Roman"/>
          <w:shd w:val="clear" w:color="auto" w:fill="FFFFFF"/>
          <w:lang w:eastAsia="lt-LT"/>
        </w:rPr>
        <w:t xml:space="preserve"> (72–73 punktai).</w:t>
      </w:r>
    </w:p>
    <w:p w:rsidR="00B54B15" w:rsidRDefault="00B54B15" w:rsidP="00B54B15">
      <w:pPr>
        <w:ind w:firstLine="567"/>
        <w:rPr>
          <w:lang w:eastAsia="lt-LT"/>
        </w:rPr>
      </w:pPr>
      <w:r w:rsidRPr="002B6C22">
        <w:rPr>
          <w:lang w:eastAsia="lt-LT"/>
        </w:rPr>
        <w:t xml:space="preserve">Iš Teisingumo Teismo suformuotos jurisprudencijos matyti, kad pagal Leidimų direktyvą valstybės narės gali rinkti tik tuos su elektroninių ryšių tinklų ir paslaugų teikimu susijusius mokesčius ar rinkliavas, kurie numatyti šioje direktyvoje (2014 m. rugsėjo 4 d. </w:t>
      </w:r>
      <w:r>
        <w:rPr>
          <w:lang w:eastAsia="lt-LT"/>
        </w:rPr>
        <w:t>s</w:t>
      </w:r>
      <w:r w:rsidRPr="002B6C22">
        <w:rPr>
          <w:lang w:eastAsia="lt-LT"/>
        </w:rPr>
        <w:t xml:space="preserve">prendimo </w:t>
      </w:r>
      <w:r w:rsidRPr="00CD1166">
        <w:rPr>
          <w:i/>
          <w:lang w:eastAsia="lt-LT"/>
        </w:rPr>
        <w:t>Belgacom ir Mobistar</w:t>
      </w:r>
      <w:r w:rsidR="008448DC">
        <w:rPr>
          <w:lang w:eastAsia="lt-LT"/>
        </w:rPr>
        <w:t>, C–</w:t>
      </w:r>
      <w:r w:rsidRPr="002B6C22">
        <w:rPr>
          <w:lang w:eastAsia="lt-LT"/>
        </w:rPr>
        <w:t>256/13 ir C</w:t>
      </w:r>
      <w:r w:rsidR="008448DC">
        <w:rPr>
          <w:lang w:eastAsia="lt-LT"/>
        </w:rPr>
        <w:t>–</w:t>
      </w:r>
      <w:r w:rsidRPr="002B6C22">
        <w:rPr>
          <w:lang w:eastAsia="lt-LT"/>
        </w:rPr>
        <w:t>264/13, EU:C:2014:2149, 30 punktas ir nurodyta jurisprudencija). Taigi būtent Leidimų direktyvos nuostatos reguliuoja</w:t>
      </w:r>
      <w:r w:rsidR="008448DC">
        <w:rPr>
          <w:lang w:eastAsia="lt-LT"/>
        </w:rPr>
        <w:t>,</w:t>
      </w:r>
      <w:r w:rsidRPr="002B6C22">
        <w:rPr>
          <w:lang w:eastAsia="lt-LT"/>
        </w:rPr>
        <w:t xml:space="preserve"> ar kompetentingos nacionalinės institucijos gali rinkti mokesčius už tokių tinklų ir paslaugų teikimą</w:t>
      </w:r>
      <w:r>
        <w:rPr>
          <w:lang w:eastAsia="lt-LT"/>
        </w:rPr>
        <w:t xml:space="preserve"> (</w:t>
      </w:r>
      <w:r w:rsidRPr="002B6C22">
        <w:rPr>
          <w:lang w:eastAsia="lt-LT"/>
        </w:rPr>
        <w:t>79</w:t>
      </w:r>
      <w:r>
        <w:rPr>
          <w:lang w:eastAsia="lt-LT"/>
        </w:rPr>
        <w:t xml:space="preserve"> punktas). </w:t>
      </w:r>
    </w:p>
    <w:p w:rsidR="00B54B15" w:rsidRPr="00F0529D" w:rsidRDefault="00B54B15" w:rsidP="00B54B15">
      <w:pPr>
        <w:ind w:firstLine="567"/>
        <w:rPr>
          <w:rFonts w:eastAsia="Times New Roman"/>
          <w:shd w:val="clear" w:color="auto" w:fill="FFFFFF"/>
          <w:lang w:eastAsia="lt-LT"/>
        </w:rPr>
      </w:pPr>
      <w:r w:rsidRPr="002B6C22">
        <w:rPr>
          <w:lang w:eastAsia="lt-LT"/>
        </w:rPr>
        <w:t>Teisingumo</w:t>
      </w:r>
      <w:r>
        <w:rPr>
          <w:shd w:val="clear" w:color="auto" w:fill="FFFFFF"/>
          <w:lang w:eastAsia="lt-LT"/>
        </w:rPr>
        <w:t xml:space="preserve"> </w:t>
      </w:r>
      <w:r w:rsidRPr="00F0529D">
        <w:rPr>
          <w:shd w:val="clear" w:color="auto" w:fill="FFFFFF"/>
          <w:lang w:eastAsia="lt-LT"/>
        </w:rPr>
        <w:t xml:space="preserve">Teismas sprendė, kad </w:t>
      </w:r>
      <w:r w:rsidRPr="00F0529D">
        <w:rPr>
          <w:u w:val="single"/>
          <w:shd w:val="clear" w:color="auto" w:fill="FFFFFF"/>
          <w:lang w:eastAsia="lt-LT"/>
        </w:rPr>
        <w:t>Direktyva 2006/123 netaikoma rinkliavoms, kurių mokėjimo prievolė yra susijusi su įmonių, įgaliotų teikti tinklų ir elektroninių ryšių paslaugas, teise tiesti kabelius viešajam elektroninių ryšių tinklui</w:t>
      </w:r>
      <w:r w:rsidRPr="00F0529D">
        <w:rPr>
          <w:shd w:val="clear" w:color="auto" w:fill="FFFFFF"/>
          <w:lang w:eastAsia="lt-LT"/>
        </w:rPr>
        <w:t xml:space="preserve"> (82 punktas).</w:t>
      </w:r>
    </w:p>
    <w:p w:rsidR="00B54B15" w:rsidRDefault="00B54B15" w:rsidP="00B54B15">
      <w:pPr>
        <w:ind w:firstLine="567"/>
        <w:rPr>
          <w:rFonts w:eastAsia="Times New Roman"/>
        </w:rPr>
      </w:pPr>
    </w:p>
    <w:p w:rsidR="00B54B15" w:rsidRPr="008448DC" w:rsidRDefault="00B54B15" w:rsidP="008448DC">
      <w:pPr>
        <w:pStyle w:val="Antrat3"/>
        <w:ind w:firstLine="567"/>
        <w:rPr>
          <w:rFonts w:eastAsia="Times New Roman"/>
          <w:shd w:val="clear" w:color="auto" w:fill="FFFFFF"/>
          <w:lang w:eastAsia="lt-LT"/>
        </w:rPr>
      </w:pPr>
      <w:bookmarkStart w:id="52" w:name="_Toc517273044"/>
      <w:r w:rsidRPr="008448DC">
        <w:rPr>
          <w:rFonts w:eastAsia="Times New Roman"/>
          <w:shd w:val="clear" w:color="auto" w:fill="FFFFFF"/>
          <w:lang w:eastAsia="lt-LT"/>
        </w:rPr>
        <w:t>Dėl mažmeninės prekybos tokiomis prekėmis, kaip avalynė ir drabužiai, atitikties Direktyvos 2006/123 4 straipsnio 1 punkte įtvirtintai „paslaugos“ sąvokai</w:t>
      </w:r>
      <w:bookmarkEnd w:id="52"/>
    </w:p>
    <w:p w:rsidR="00B54B15" w:rsidRPr="000A7F4A" w:rsidRDefault="00B54B15" w:rsidP="00B54B15">
      <w:pPr>
        <w:ind w:firstLine="1296"/>
        <w:rPr>
          <w:rFonts w:eastAsia="Times New Roman"/>
          <w:shd w:val="clear" w:color="auto" w:fill="FFFFFF"/>
          <w:lang w:eastAsia="lt-LT"/>
        </w:rPr>
      </w:pP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Prašymą priimti prejudicinį sprendimą pateikęs teismas siekė išsiaiškinti, ar Direktyvos 2006/123</w:t>
      </w:r>
      <w:r>
        <w:rPr>
          <w:rFonts w:eastAsia="Times New Roman"/>
          <w:shd w:val="clear" w:color="auto" w:fill="FFFFFF"/>
          <w:lang w:eastAsia="lt-LT"/>
        </w:rPr>
        <w:t xml:space="preserve"> </w:t>
      </w:r>
      <w:r w:rsidR="008448DC">
        <w:rPr>
          <w:rFonts w:eastAsia="Times New Roman"/>
          <w:shd w:val="clear" w:color="auto" w:fill="FFFFFF"/>
          <w:lang w:eastAsia="lt-LT"/>
        </w:rPr>
        <w:t>4 </w:t>
      </w:r>
      <w:r w:rsidRPr="007229A6">
        <w:rPr>
          <w:rFonts w:eastAsia="Times New Roman"/>
          <w:shd w:val="clear" w:color="auto" w:fill="FFFFFF"/>
          <w:lang w:eastAsia="lt-LT"/>
        </w:rPr>
        <w:t>straipsnio 1 punktas turi būti aiškinamas taip, kad mažmeninė prekyba tokiomis prekėmis, kaip avalynė ir drabužiai, pagal šią direktyvą yra „paslauga“ (84 punktas).</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Pagal Direktyvos 2006/123</w:t>
      </w:r>
      <w:r>
        <w:rPr>
          <w:rFonts w:eastAsia="Times New Roman"/>
          <w:shd w:val="clear" w:color="auto" w:fill="FFFFFF"/>
          <w:lang w:eastAsia="lt-LT"/>
        </w:rPr>
        <w:t xml:space="preserve"> </w:t>
      </w:r>
      <w:r w:rsidRPr="007229A6">
        <w:rPr>
          <w:rFonts w:eastAsia="Times New Roman"/>
          <w:shd w:val="clear" w:color="auto" w:fill="FFFFFF"/>
          <w:lang w:eastAsia="lt-LT"/>
        </w:rPr>
        <w:t xml:space="preserve">2 straipsnio 1 dalį, ji yra taikoma valstybėje narėje įsisteigusių teikėjų teikiamoms paslaugoms, išskyrus veiklos rūšis ir klausimus, nurodytus jos 2 straipsnio 2 ir 3 dalyse, o </w:t>
      </w:r>
      <w:r w:rsidRPr="007229A6">
        <w:rPr>
          <w:rFonts w:eastAsia="Times New Roman"/>
          <w:u w:val="single"/>
          <w:shd w:val="clear" w:color="auto" w:fill="FFFFFF"/>
          <w:lang w:eastAsia="lt-LT"/>
        </w:rPr>
        <w:t>pagal Direktyvos 2006/123 4 straipsnio 1 punktą toje direktyvoje „paslauga“ – tai bet kokia savarankiška, paprastai už užmokestį vykdoma ekonominė veikla, nurodyta SESV 57 straipsnyje</w:t>
      </w:r>
      <w:r w:rsidR="008448DC">
        <w:rPr>
          <w:rFonts w:eastAsia="Times New Roman"/>
          <w:shd w:val="clear" w:color="auto" w:fill="FFFFFF"/>
          <w:lang w:eastAsia="lt-LT"/>
        </w:rPr>
        <w:t xml:space="preserve"> (86–</w:t>
      </w:r>
      <w:r w:rsidRPr="007229A6">
        <w:rPr>
          <w:rFonts w:eastAsia="Times New Roman"/>
          <w:shd w:val="clear" w:color="auto" w:fill="FFFFFF"/>
          <w:lang w:eastAsia="lt-LT"/>
        </w:rPr>
        <w:t>87 punktai).</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Teisingumo Teismas pažymėjo, kad nėra abejonių dėl to, jog pagrindinėje byloje nagrinėjama mažmeninės prekybos veikla, pirma, yra savarankiška už užmokestį vykdoma ekonominė veikla ir, antra, jos neapima Direktyvos 2006/123 taikymo srities išimtys, numatytos jos 2 straipsnio 2 ir 3 dalyse. Be to, komercinio pobūdžio veikla aiškiai paminėta SESV 57 straipsnyje pateiktame pavyzdiniame veiklos rūšių, kurios šiame straipsnyje apibrėžiamos kaip paslaugos, sąraše (88 punktas).</w:t>
      </w:r>
    </w:p>
    <w:p w:rsidR="00B54B15" w:rsidRPr="000A7F4A"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Atsižvelgdamas į tai, Teisingumo Teismas konstatavo, kad Direktyvos 2006/123</w:t>
      </w:r>
      <w:r>
        <w:rPr>
          <w:rFonts w:eastAsia="Times New Roman"/>
          <w:shd w:val="clear" w:color="auto" w:fill="FFFFFF"/>
          <w:lang w:eastAsia="lt-LT"/>
        </w:rPr>
        <w:t xml:space="preserve"> </w:t>
      </w:r>
      <w:r w:rsidRPr="007229A6">
        <w:rPr>
          <w:rFonts w:eastAsia="Times New Roman"/>
          <w:shd w:val="clear" w:color="auto" w:fill="FFFFFF"/>
          <w:lang w:eastAsia="lt-LT"/>
        </w:rPr>
        <w:t xml:space="preserve">4 straipsnio 1 punktas turi būti aiškinamas taip, kad </w:t>
      </w:r>
      <w:r w:rsidRPr="007229A6">
        <w:rPr>
          <w:rFonts w:eastAsia="Times New Roman"/>
          <w:u w:val="single"/>
          <w:shd w:val="clear" w:color="auto" w:fill="FFFFFF"/>
          <w:lang w:eastAsia="lt-LT"/>
        </w:rPr>
        <w:t>mažmeninė prekyba prekėmis pagal šią direktyvą yra „paslauga“</w:t>
      </w:r>
      <w:r w:rsidRPr="007229A6">
        <w:rPr>
          <w:rFonts w:eastAsia="Times New Roman"/>
          <w:shd w:val="clear" w:color="auto" w:fill="FFFFFF"/>
          <w:lang w:eastAsia="lt-LT"/>
        </w:rPr>
        <w:t xml:space="preserve"> (97 punktas).</w:t>
      </w:r>
    </w:p>
    <w:p w:rsidR="00B54B15" w:rsidRDefault="00B54B15" w:rsidP="00B54B15">
      <w:pPr>
        <w:ind w:firstLine="1296"/>
        <w:rPr>
          <w:rFonts w:eastAsia="Times New Roman"/>
          <w:shd w:val="clear" w:color="auto" w:fill="FFFFFF"/>
          <w:lang w:eastAsia="lt-LT"/>
        </w:rPr>
      </w:pPr>
    </w:p>
    <w:p w:rsidR="00B54B15" w:rsidRPr="008448DC" w:rsidRDefault="00B54B15" w:rsidP="008448DC">
      <w:pPr>
        <w:pStyle w:val="Antrat3"/>
        <w:ind w:firstLine="567"/>
        <w:rPr>
          <w:rFonts w:eastAsia="Times New Roman"/>
          <w:shd w:val="clear" w:color="auto" w:fill="FFFFFF"/>
          <w:lang w:eastAsia="lt-LT"/>
        </w:rPr>
      </w:pPr>
      <w:bookmarkStart w:id="53" w:name="_Toc517273045"/>
      <w:r w:rsidRPr="008448DC">
        <w:rPr>
          <w:rFonts w:eastAsia="Times New Roman"/>
          <w:shd w:val="clear" w:color="auto" w:fill="FFFFFF"/>
          <w:lang w:eastAsia="lt-LT"/>
        </w:rPr>
        <w:t>Dėl Direktyvos 2006/123 III skyriaus, susijusio su paslaugų teikėjų įsisteigimo laisve, nuostatų taikymo tuo atveju, kai visos reikšmingos aplinkybės susiklosto vienoje valstybėje narėje (visiškai vidaus situacija)</w:t>
      </w:r>
      <w:bookmarkEnd w:id="53"/>
    </w:p>
    <w:p w:rsidR="00B54B15" w:rsidRPr="000A7F4A" w:rsidRDefault="00B54B15" w:rsidP="00B54B15">
      <w:pPr>
        <w:ind w:firstLine="1296"/>
        <w:rPr>
          <w:rFonts w:eastAsia="Times New Roman"/>
          <w:shd w:val="clear" w:color="auto" w:fill="FFFFFF"/>
          <w:lang w:eastAsia="lt-LT"/>
        </w:rPr>
      </w:pP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Prašymą dėl prejudicinio sprendimo pateikęs teismas taip pat siekė išsiaiškinti, ar Direktyvos 2006/123</w:t>
      </w:r>
      <w:r>
        <w:rPr>
          <w:rFonts w:eastAsia="Times New Roman"/>
          <w:shd w:val="clear" w:color="auto" w:fill="FFFFFF"/>
          <w:lang w:eastAsia="lt-LT"/>
        </w:rPr>
        <w:t xml:space="preserve"> </w:t>
      </w:r>
      <w:r w:rsidRPr="007229A6">
        <w:rPr>
          <w:rFonts w:eastAsia="Times New Roman"/>
          <w:shd w:val="clear" w:color="auto" w:fill="FFFFFF"/>
          <w:lang w:eastAsia="lt-LT"/>
        </w:rPr>
        <w:t>III skyriaus, susijusio su paslaugų teikėjų įsisteigimo laisve, nuostatos yra taikomos tuo atveju, kai visos reikšmingos aplinkybės susiklosto vienoje valstybėje narėje (visiškai vidaus situacija) (98 punktas).</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Direktyvos 2006/123 2 straipsnio 1 dalyje nedarant skirtumo tarp paslaugų, turinčių išorinį elementą ir jo neturinčių, nurodyta, kad ši direktyva taikoma „valstybėje narėje įsisteigusių teikėjų teikiamoms paslaugoms“ (100 punktas).</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Aiškinimas, kad Direktyvos 2006/123</w:t>
      </w:r>
      <w:r>
        <w:rPr>
          <w:rFonts w:eastAsia="Times New Roman"/>
          <w:shd w:val="clear" w:color="auto" w:fill="FFFFFF"/>
          <w:lang w:eastAsia="lt-LT"/>
        </w:rPr>
        <w:t xml:space="preserve"> </w:t>
      </w:r>
      <w:r w:rsidRPr="007229A6">
        <w:rPr>
          <w:rFonts w:eastAsia="Times New Roman"/>
          <w:shd w:val="clear" w:color="auto" w:fill="FFFFFF"/>
          <w:lang w:eastAsia="lt-LT"/>
        </w:rPr>
        <w:t xml:space="preserve">III skyriaus nuostatos taikomos ne tik paslaugų teikėjui, norinčiam įsisteigti kitoje valstybėje narėje, bet ir paslaugų teikėjui, pageidaujančiam įsisteigti savo valstybėje narėje, atitinka šia direktyva siekiamus tikslus – pašalinti teikėjų įsisteigimo laisvės valstybėse narėse ir laisvo paslaugų judėjimo tarp valstybių narių kliūtis ir taip prisidėti prie laisvos ir konkurencingos paslaugų vidaus rinkos kūrimo (2015 m. spalio 1 d. sprendimo </w:t>
      </w:r>
      <w:r w:rsidRPr="007229A6">
        <w:rPr>
          <w:rFonts w:eastAsia="Times New Roman"/>
          <w:i/>
          <w:shd w:val="clear" w:color="auto" w:fill="FFFFFF"/>
          <w:lang w:eastAsia="lt-LT"/>
        </w:rPr>
        <w:t>Trijber ir Harmsen</w:t>
      </w:r>
      <w:r w:rsidR="008448DC">
        <w:rPr>
          <w:rFonts w:eastAsia="Times New Roman"/>
          <w:shd w:val="clear" w:color="auto" w:fill="FFFFFF"/>
          <w:lang w:eastAsia="lt-LT"/>
        </w:rPr>
        <w:t>, C–</w:t>
      </w:r>
      <w:r w:rsidRPr="007229A6">
        <w:rPr>
          <w:rFonts w:eastAsia="Times New Roman"/>
          <w:shd w:val="clear" w:color="auto" w:fill="FFFFFF"/>
          <w:lang w:eastAsia="lt-LT"/>
        </w:rPr>
        <w:t>340/14 ir C</w:t>
      </w:r>
      <w:r w:rsidR="008448DC">
        <w:rPr>
          <w:rFonts w:eastAsia="Times New Roman"/>
          <w:shd w:val="clear" w:color="auto" w:fill="FFFFFF"/>
          <w:lang w:eastAsia="lt-LT"/>
        </w:rPr>
        <w:t>–</w:t>
      </w:r>
      <w:r w:rsidRPr="007229A6">
        <w:rPr>
          <w:rFonts w:eastAsia="Times New Roman"/>
          <w:shd w:val="clear" w:color="auto" w:fill="FFFFFF"/>
          <w:lang w:eastAsia="lt-LT"/>
        </w:rPr>
        <w:t xml:space="preserve">341/14, EU:C:2015:641, </w:t>
      </w:r>
      <w:r w:rsidRPr="007229A6">
        <w:rPr>
          <w:rFonts w:eastAsia="Times New Roman"/>
          <w:shd w:val="clear" w:color="auto" w:fill="FFFFFF"/>
          <w:lang w:eastAsia="lt-LT"/>
        </w:rPr>
        <w:lastRenderedPageBreak/>
        <w:t>44</w:t>
      </w:r>
      <w:r w:rsidR="008448DC">
        <w:rPr>
          <w:rFonts w:eastAsia="Times New Roman"/>
          <w:shd w:val="clear" w:color="auto" w:fill="FFFFFF"/>
          <w:lang w:eastAsia="lt-LT"/>
        </w:rPr>
        <w:t> </w:t>
      </w:r>
      <w:r w:rsidRPr="007229A6">
        <w:rPr>
          <w:rFonts w:eastAsia="Times New Roman"/>
          <w:shd w:val="clear" w:color="auto" w:fill="FFFFFF"/>
          <w:lang w:eastAsia="lt-LT"/>
        </w:rPr>
        <w:t xml:space="preserve">punktas). </w:t>
      </w:r>
      <w:r w:rsidRPr="007229A6">
        <w:rPr>
          <w:rFonts w:eastAsia="Times New Roman"/>
          <w:u w:val="single"/>
          <w:shd w:val="clear" w:color="auto" w:fill="FFFFFF"/>
          <w:lang w:eastAsia="lt-LT"/>
        </w:rPr>
        <w:t>Siekiant sukurti paslaugų vidaus rinką, visų pirma</w:t>
      </w:r>
      <w:r w:rsidR="008448DC">
        <w:rPr>
          <w:rFonts w:eastAsia="Times New Roman"/>
          <w:u w:val="single"/>
          <w:shd w:val="clear" w:color="auto" w:fill="FFFFFF"/>
          <w:lang w:eastAsia="lt-LT"/>
        </w:rPr>
        <w:t>,</w:t>
      </w:r>
      <w:r w:rsidRPr="007229A6">
        <w:rPr>
          <w:rFonts w:eastAsia="Times New Roman"/>
          <w:u w:val="single"/>
          <w:shd w:val="clear" w:color="auto" w:fill="FFFFFF"/>
          <w:lang w:eastAsia="lt-LT"/>
        </w:rPr>
        <w:t xml:space="preserve"> reikia panaikinti kliūtis, su kuriomis susiduria teikėjai, siekdami įsisteigti valstybėse narėse, – nesvarbu, ar tai jų, ar kita valstybė narė</w:t>
      </w:r>
      <w:r w:rsidRPr="007229A6">
        <w:rPr>
          <w:rFonts w:eastAsia="Times New Roman"/>
          <w:shd w:val="clear" w:color="auto" w:fill="FFFFFF"/>
          <w:lang w:eastAsia="lt-LT"/>
        </w:rPr>
        <w:t>, – ir kurios gali pakenkti jų galimybei teikti paslaugas visoje Są</w:t>
      </w:r>
      <w:r w:rsidR="008448DC">
        <w:rPr>
          <w:rFonts w:eastAsia="Times New Roman"/>
          <w:shd w:val="clear" w:color="auto" w:fill="FFFFFF"/>
          <w:lang w:eastAsia="lt-LT"/>
        </w:rPr>
        <w:t>jungoje esantiems gavėjams (103</w:t>
      </w:r>
      <w:r w:rsidRPr="007229A6">
        <w:rPr>
          <w:rFonts w:eastAsia="Times New Roman"/>
          <w:shd w:val="clear" w:color="auto" w:fill="FFFFFF"/>
          <w:lang w:eastAsia="lt-LT"/>
        </w:rPr>
        <w:t>–105 punktai).</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 xml:space="preserve">Teisingumo Teismas padarė išvadą, kad </w:t>
      </w:r>
      <w:r w:rsidRPr="007229A6">
        <w:rPr>
          <w:rFonts w:eastAsia="Times New Roman"/>
          <w:u w:val="single"/>
          <w:shd w:val="clear" w:color="auto" w:fill="FFFFFF"/>
          <w:lang w:eastAsia="lt-LT"/>
        </w:rPr>
        <w:t>Direktyvos 2006/123 III skyriaus, susijusio su paslaugų teikėjų įsisteigimo laisve, nuostatos turi būti aiškinamos taip, kad jos taikomos ir visiškai vidaus situacijai, t. y. tokiai, kurios visos reikšmingos aplinkybės susijusios tik su viena valstybe nare</w:t>
      </w:r>
      <w:r w:rsidRPr="007229A6">
        <w:rPr>
          <w:rFonts w:eastAsia="Times New Roman"/>
          <w:shd w:val="clear" w:color="auto" w:fill="FFFFFF"/>
          <w:lang w:eastAsia="lt-LT"/>
        </w:rPr>
        <w:t xml:space="preserve"> (110 punktas).</w:t>
      </w:r>
    </w:p>
    <w:p w:rsidR="00B54B15" w:rsidRPr="000A7F4A" w:rsidRDefault="00B54B15" w:rsidP="00B54B15">
      <w:pPr>
        <w:ind w:firstLine="1296"/>
        <w:rPr>
          <w:rFonts w:eastAsia="Times New Roman"/>
          <w:shd w:val="clear" w:color="auto" w:fill="FFFFFF"/>
          <w:lang w:eastAsia="lt-LT"/>
        </w:rPr>
      </w:pPr>
    </w:p>
    <w:p w:rsidR="00B54B15" w:rsidRPr="008448DC" w:rsidRDefault="00B54B15" w:rsidP="008448DC">
      <w:pPr>
        <w:pStyle w:val="Antrat3"/>
        <w:ind w:firstLine="567"/>
        <w:rPr>
          <w:rFonts w:eastAsia="Times New Roman"/>
          <w:shd w:val="clear" w:color="auto" w:fill="FFFFFF"/>
          <w:lang w:eastAsia="lt-LT"/>
        </w:rPr>
      </w:pPr>
      <w:bookmarkStart w:id="54" w:name="_Toc517273046"/>
      <w:r w:rsidRPr="008448DC">
        <w:rPr>
          <w:rFonts w:eastAsia="Times New Roman"/>
          <w:shd w:val="clear" w:color="auto" w:fill="FFFFFF"/>
          <w:lang w:eastAsia="lt-LT"/>
        </w:rPr>
        <w:t>Dėl teisės nustatyti ribojimus teikti tam tikras paslaugas tam tikrose geografinėse teritorijose</w:t>
      </w:r>
      <w:bookmarkEnd w:id="54"/>
    </w:p>
    <w:p w:rsidR="00B54B15" w:rsidRPr="000A7F4A" w:rsidRDefault="00B54B15" w:rsidP="00B54B15">
      <w:pPr>
        <w:ind w:firstLine="1296"/>
        <w:rPr>
          <w:rFonts w:eastAsia="Times New Roman"/>
          <w:shd w:val="clear" w:color="auto" w:fill="FFFFFF"/>
          <w:lang w:eastAsia="lt-LT"/>
        </w:rPr>
      </w:pP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Prašymą dėl prejudicinio sprendimo pateikęs teismas siekė išsiaiškinti, ar Direktyvos 2006/123 nuostatos turi būti aiškinamos kaip užkertančios kelią savivaldybės teritoriniame plane įtvirtintomis taisyklėmis drausti mažmeninę prekybą nedidelėmis prekėmis geografinėse teritorijose, esančiose už šios savivaldybės miesto centro ribų (112 punktas).</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Direktyvos 2006/123</w:t>
      </w:r>
      <w:r>
        <w:rPr>
          <w:rFonts w:eastAsia="Times New Roman"/>
          <w:shd w:val="clear" w:color="auto" w:fill="FFFFFF"/>
          <w:lang w:eastAsia="lt-LT"/>
        </w:rPr>
        <w:t xml:space="preserve"> </w:t>
      </w:r>
      <w:r w:rsidRPr="007229A6">
        <w:rPr>
          <w:rFonts w:eastAsia="Times New Roman"/>
          <w:shd w:val="clear" w:color="auto" w:fill="FFFFFF"/>
          <w:lang w:eastAsia="lt-LT"/>
        </w:rPr>
        <w:t xml:space="preserve">15 straipsnio 1 dalies pirmame sakinyje nustatyta, kad valstybės narės turi išnagrinėti, ar jų teisės sistemoje nustatyti reikalavimai, nurodyti šios direktyvos 15 straipsnio 2 dalyje (šioje dalyje be kita ko išvardyti tam tikri apribojimai); jei taip – užtikrinti, kad šie reikalavimai atitiktų nediskriminavimo, būtinybės ir proporcingumo sąlygas, nustatytas minėtos direktyvos 15 straipsnio 3 dalyje. Teisingumo Teismas pažymėjo, kad </w:t>
      </w:r>
      <w:r w:rsidRPr="007229A6">
        <w:rPr>
          <w:rFonts w:eastAsia="Times New Roman"/>
          <w:u w:val="single"/>
          <w:shd w:val="clear" w:color="auto" w:fill="FFFFFF"/>
          <w:lang w:eastAsia="lt-LT"/>
        </w:rPr>
        <w:t>šis 15 straipsnis yra tiesioginio veikimo</w:t>
      </w:r>
      <w:r w:rsidRPr="007229A6">
        <w:rPr>
          <w:rFonts w:eastAsia="Times New Roman"/>
          <w:shd w:val="clear" w:color="auto" w:fill="FFFFFF"/>
          <w:lang w:eastAsia="lt-LT"/>
        </w:rPr>
        <w:t>, nes jo 1 dalies antru sakiniu valstybėms narėms nustatoma besąlyginė ir pakankamai tiksli pareiga taip pakeisti savo įstatymus ir kitus teisės aktus, kad jie atitiktų jo 3</w:t>
      </w:r>
      <w:r w:rsidR="00066063">
        <w:rPr>
          <w:rFonts w:eastAsia="Times New Roman"/>
          <w:shd w:val="clear" w:color="auto" w:fill="FFFFFF"/>
          <w:lang w:eastAsia="lt-LT"/>
        </w:rPr>
        <w:t xml:space="preserve"> dalyje nustatytas sąlygas (129</w:t>
      </w:r>
      <w:r w:rsidRPr="007229A6">
        <w:rPr>
          <w:rFonts w:eastAsia="Times New Roman"/>
          <w:shd w:val="clear" w:color="auto" w:fill="FFFFFF"/>
          <w:lang w:eastAsia="lt-LT"/>
        </w:rPr>
        <w:t>–130 punktai).</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Pagrindinėje byloje nagrinėjamuose teisės aktuose, uždraudžiančiuose mažmeninę prekybą nedidelėmis prekėmis teritorijoje, esančioje už Apingedamo miesto centro ribų, yra įtvirtinti reikalavimai, nustatyti Direktyvos 2006/123</w:t>
      </w:r>
      <w:r>
        <w:rPr>
          <w:rFonts w:eastAsia="Times New Roman"/>
          <w:shd w:val="clear" w:color="auto" w:fill="FFFFFF"/>
          <w:lang w:eastAsia="lt-LT"/>
        </w:rPr>
        <w:t xml:space="preserve"> </w:t>
      </w:r>
      <w:r w:rsidRPr="007229A6">
        <w:rPr>
          <w:rFonts w:eastAsia="Times New Roman"/>
          <w:shd w:val="clear" w:color="auto" w:fill="FFFFFF"/>
          <w:lang w:eastAsia="lt-LT"/>
        </w:rPr>
        <w:t xml:space="preserve">15 straipsnio 2 dalyje, t. y. teisei teikti paslaugas ar paslaugų teikimo veiklos vykdymui nustatytas su teritorinėmis ribomis susijęs reikalavimas, atitinkantis </w:t>
      </w:r>
      <w:r w:rsidR="004C6BE5">
        <w:rPr>
          <w:rFonts w:eastAsia="Times New Roman"/>
          <w:shd w:val="clear" w:color="auto" w:fill="FFFFFF"/>
          <w:lang w:eastAsia="lt-LT"/>
        </w:rPr>
        <w:t>šios direktyvos 15 straipsnio 2 </w:t>
      </w:r>
      <w:r w:rsidRPr="007229A6">
        <w:rPr>
          <w:rFonts w:eastAsia="Times New Roman"/>
          <w:shd w:val="clear" w:color="auto" w:fill="FFFFFF"/>
          <w:lang w:eastAsia="lt-LT"/>
        </w:rPr>
        <w:t>dalies a punktą (131 punktas).</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 xml:space="preserve">Teisingumo Teismas pažymėjo, kad </w:t>
      </w:r>
      <w:r w:rsidRPr="007229A6">
        <w:rPr>
          <w:rFonts w:eastAsia="Times New Roman"/>
          <w:u w:val="single"/>
          <w:shd w:val="clear" w:color="auto" w:fill="FFFFFF"/>
          <w:lang w:eastAsia="lt-LT"/>
        </w:rPr>
        <w:t>Direktyva 2006/123 nedraudžia teisei teikti paslaugas ar paslaugų teikimo veiklos vykdymui nustatyti sąlygos, kad turi būti laikomasi su teritorinėmis ribomis susijusio reikalavimo, jei įvykdytos nediskriminavimo, būtinybės ir proporcingumo sąlygos, nurodytos Direktyvos 2006/123 15 straipsnio 3 dalyje</w:t>
      </w:r>
      <w:r w:rsidRPr="007229A6">
        <w:rPr>
          <w:rFonts w:eastAsia="Times New Roman"/>
          <w:shd w:val="clear" w:color="auto" w:fill="FFFFFF"/>
          <w:lang w:eastAsia="lt-LT"/>
        </w:rPr>
        <w:t xml:space="preserve"> (132 punktas). Ar šios sąlygos įvykdytos pagrindinės bylos atveju, turi įvertinti prašymą priimti prejudicinį sprendimą pateikęs teismas (133 punktas).</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Teisingumo Teismas, pasisakydamas konkrečiai dėl būtinybės sąlygos, apibrėžtos Direktyvos 2006/123</w:t>
      </w:r>
      <w:r>
        <w:rPr>
          <w:rFonts w:eastAsia="Times New Roman"/>
          <w:shd w:val="clear" w:color="auto" w:fill="FFFFFF"/>
          <w:lang w:eastAsia="lt-LT"/>
        </w:rPr>
        <w:t xml:space="preserve"> </w:t>
      </w:r>
      <w:r w:rsidRPr="007229A6">
        <w:rPr>
          <w:rFonts w:eastAsia="Times New Roman"/>
          <w:shd w:val="clear" w:color="auto" w:fill="FFFFFF"/>
          <w:lang w:eastAsia="lt-LT"/>
        </w:rPr>
        <w:t>15 straipsnio 3 dalies b punkte, pažymėjo, kad pagrindinėje byloje nagrinėjamu draudimu siekiama išsaugoti Apingedamo miesto centro gyvybingumą, išvengti tuščių patalpų mieste, tink</w:t>
      </w:r>
      <w:r w:rsidR="004C6BE5">
        <w:rPr>
          <w:rFonts w:eastAsia="Times New Roman"/>
          <w:shd w:val="clear" w:color="auto" w:fill="FFFFFF"/>
          <w:lang w:eastAsia="lt-LT"/>
        </w:rPr>
        <w:t>amai suplanuoti teritoriją (134 </w:t>
      </w:r>
      <w:r w:rsidRPr="007229A6">
        <w:rPr>
          <w:rFonts w:eastAsia="Times New Roman"/>
          <w:shd w:val="clear" w:color="auto" w:fill="FFFFFF"/>
          <w:lang w:eastAsia="lt-LT"/>
        </w:rPr>
        <w:t xml:space="preserve">punktas). Remiantis Direktyvos 2006/123 4 straipsnio 8 punktu, siejamu su jos 40 konstatuojamąja dalimi, toks </w:t>
      </w:r>
      <w:r w:rsidRPr="007229A6">
        <w:rPr>
          <w:rFonts w:eastAsia="Times New Roman"/>
          <w:u w:val="single"/>
          <w:shd w:val="clear" w:color="auto" w:fill="FFFFFF"/>
          <w:lang w:eastAsia="lt-LT"/>
        </w:rPr>
        <w:t>tikslas apsaugoti miesto aplinką gali būti svarbus visuomenės interesas, galintis pateisinti teritorinius apribojimus</w:t>
      </w:r>
      <w:r w:rsidRPr="007229A6">
        <w:rPr>
          <w:rFonts w:eastAsia="Times New Roman"/>
          <w:shd w:val="clear" w:color="auto" w:fill="FFFFFF"/>
          <w:lang w:eastAsia="lt-LT"/>
        </w:rPr>
        <w:t>, kaip antai nagrinėjamus pagrindinėje byloje (135 punktas).</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Atsižvelgęs į tai, kas išdėstyta, Teisingumo Teismas sprendė, kad Dire</w:t>
      </w:r>
      <w:r w:rsidR="004C6BE5">
        <w:rPr>
          <w:rFonts w:eastAsia="Times New Roman"/>
          <w:shd w:val="clear" w:color="auto" w:fill="FFFFFF"/>
          <w:lang w:eastAsia="lt-LT"/>
        </w:rPr>
        <w:t>ktyvos 2006/123 15 straipsnio 1 </w:t>
      </w:r>
      <w:r w:rsidRPr="007229A6">
        <w:rPr>
          <w:rFonts w:eastAsia="Times New Roman"/>
          <w:shd w:val="clear" w:color="auto" w:fill="FFFFFF"/>
          <w:lang w:eastAsia="lt-LT"/>
        </w:rPr>
        <w:t>dalis turi būti aiškinama taip, kad pagal ją savivaldybės teritoriniame plane įtvirtintos taisyklės gali drausti mažmeninę prekybą nedidelėmis prekėmis geografinėse teritorijose, esančiose už šios savivaldybės miesto centro ribų, jei įvykdytos visos sąlygos, nustatytos šios direktyvos 15 straipsnio 3 dalyje, o tai turi patikrinti prašymą priimti prejudicinį sprendimą pateikęs teismas (136 punktas).</w:t>
      </w:r>
    </w:p>
    <w:p w:rsidR="00B54B15" w:rsidRPr="000A7F4A" w:rsidRDefault="00B54B15" w:rsidP="00B54B15">
      <w:pPr>
        <w:ind w:firstLine="1296"/>
        <w:rPr>
          <w:rFonts w:eastAsia="Times New Roman"/>
          <w:shd w:val="clear" w:color="auto" w:fill="FFFFFF"/>
          <w:lang w:eastAsia="lt-LT"/>
        </w:rPr>
      </w:pPr>
    </w:p>
    <w:p w:rsidR="00B54B15" w:rsidRPr="00C16E60" w:rsidRDefault="00B54B15" w:rsidP="00B54B15">
      <w:pPr>
        <w:ind w:firstLine="567"/>
        <w:rPr>
          <w:rFonts w:eastAsia="Times New Roman"/>
          <w:b/>
          <w:shd w:val="clear" w:color="auto" w:fill="FFFFFF"/>
          <w:lang w:eastAsia="lt-LT"/>
        </w:rPr>
      </w:pPr>
      <w:r w:rsidRPr="00C16E60">
        <w:rPr>
          <w:rFonts w:eastAsia="Times New Roman"/>
          <w:b/>
          <w:shd w:val="clear" w:color="auto" w:fill="FFFFFF"/>
          <w:lang w:eastAsia="lt-LT"/>
        </w:rPr>
        <w:t xml:space="preserve">Remdamasis šiais motyvais, Teisingumo Teismas </w:t>
      </w:r>
      <w:r>
        <w:rPr>
          <w:rFonts w:eastAsia="Times New Roman"/>
          <w:b/>
          <w:shd w:val="clear" w:color="auto" w:fill="FFFFFF"/>
          <w:lang w:eastAsia="lt-LT"/>
        </w:rPr>
        <w:t xml:space="preserve">(didžioji kolegija) </w:t>
      </w:r>
      <w:r w:rsidRPr="00C16E60">
        <w:rPr>
          <w:rFonts w:eastAsia="Times New Roman"/>
          <w:b/>
          <w:shd w:val="clear" w:color="auto" w:fill="FFFFFF"/>
          <w:lang w:eastAsia="lt-LT"/>
        </w:rPr>
        <w:t>nusprendė:</w:t>
      </w:r>
    </w:p>
    <w:p w:rsidR="00B54B15" w:rsidRPr="000A7F4A" w:rsidRDefault="00B54B15" w:rsidP="00B54B15">
      <w:pPr>
        <w:ind w:firstLine="1296"/>
        <w:rPr>
          <w:rFonts w:eastAsia="Times New Roman"/>
          <w:shd w:val="clear" w:color="auto" w:fill="FFFFFF"/>
          <w:lang w:eastAsia="lt-LT"/>
        </w:rPr>
      </w:pP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1. 2006 m. gruodžio 12 d. Europos Parlamento ir Tarybos direktyvos 2006/123/EB dėl paslaugų vidaus rinkoje 2 straipsnio 2 dalies c punktas turi būti aiškinamas taip, kad ši direktyva netaikoma rinkliavoms, kurias lemianti aplinkybė yra susijusi su įmonių, įgaliotų teikti tinklų ir elektroninių ryšių paslaugas, teise tiesti viešojo elektroninių ryšių tinklo kabelius.</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2. Direktyvos 2006/123 4 straipsnio 1 punktas turi būti aiškinamas taip, kad mažmeninė prekyba prekėmis pagal šią direktyvą yra „paslauga“.</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t>3. Direktyvos 2006/123 III skyriaus, susijusio su paslaugų teikėjų įsisteigimo laisve, nuostatos turi būti aiškinamos taip, kad jos taikomos ir situacijai, kurios visos reikšmingos aplinkybės susijusios tik su viena valstybe nare.</w:t>
      </w:r>
      <w:r>
        <w:rPr>
          <w:rFonts w:eastAsia="Times New Roman"/>
          <w:shd w:val="clear" w:color="auto" w:fill="FFFFFF"/>
          <w:lang w:eastAsia="lt-LT"/>
        </w:rPr>
        <w:t xml:space="preserve"> </w:t>
      </w:r>
    </w:p>
    <w:p w:rsidR="00B54B15" w:rsidRDefault="00B54B15" w:rsidP="00B54B15">
      <w:pPr>
        <w:ind w:firstLine="567"/>
        <w:rPr>
          <w:rFonts w:eastAsia="Times New Roman"/>
          <w:shd w:val="clear" w:color="auto" w:fill="FFFFFF"/>
          <w:lang w:eastAsia="lt-LT"/>
        </w:rPr>
      </w:pPr>
      <w:r w:rsidRPr="007229A6">
        <w:rPr>
          <w:rFonts w:eastAsia="Times New Roman"/>
          <w:shd w:val="clear" w:color="auto" w:fill="FFFFFF"/>
          <w:lang w:eastAsia="lt-LT"/>
        </w:rPr>
        <w:lastRenderedPageBreak/>
        <w:t>4. Direktyvos 2006/123 15 straipsnio 1 dalis turi būti aiškinama taip, kad pagal ją savivaldybės teritoriniame plane įtvirtintos taisyklės gali drausti mažmeninę prekybą nedidelėmis prekėmis geografinėse teritorijose, esančiose už šios savivaldybės miesto centro ribų, jei įvykdytos visos sąlygos, nustatytos šios direktyvos 15 straipsnio 3 dalyje, o tai turi patikrinti prašymą priimti prejudicinį sprendimą pateikęs teismas.</w:t>
      </w:r>
    </w:p>
    <w:p w:rsidR="00B54B15" w:rsidRPr="000440BD" w:rsidRDefault="00EF32EC" w:rsidP="00B54B15">
      <w:pPr>
        <w:ind w:firstLine="567"/>
        <w:rPr>
          <w:rStyle w:val="Hipersaitas"/>
          <w:rFonts w:cstheme="minorHAnsi"/>
          <w:shd w:val="clear" w:color="auto" w:fill="FFFFFF"/>
        </w:rPr>
      </w:pPr>
      <w:hyperlink r:id="rId21" w:history="1">
        <w:r w:rsidR="00B54B15" w:rsidRPr="004C6BE5">
          <w:rPr>
            <w:rStyle w:val="Hipersaitas"/>
            <w:rFonts w:cstheme="minorHAnsi"/>
          </w:rPr>
          <w:t>Prieiga internete</w:t>
        </w:r>
      </w:hyperlink>
    </w:p>
    <w:p w:rsidR="00B54B15" w:rsidRDefault="00B54B15" w:rsidP="00EE45BB">
      <w:pPr>
        <w:rPr>
          <w:rFonts w:eastAsia="Times New Roman" w:cstheme="minorHAnsi"/>
          <w:bCs/>
          <w:color w:val="17365D"/>
          <w:kern w:val="32"/>
          <w:lang w:eastAsia="lt-LT"/>
        </w:rPr>
      </w:pPr>
    </w:p>
    <w:p w:rsidR="00416E50" w:rsidRPr="002F09DA" w:rsidRDefault="002F09DA" w:rsidP="00AD0B10">
      <w:pPr>
        <w:pStyle w:val="Antrat1"/>
        <w:spacing w:before="0"/>
        <w:rPr>
          <w:rFonts w:eastAsia="Times New Roman" w:cstheme="minorHAnsi"/>
          <w:bCs/>
          <w:color w:val="17365D"/>
          <w:kern w:val="32"/>
          <w:szCs w:val="22"/>
          <w:lang w:eastAsia="lt-LT"/>
        </w:rPr>
      </w:pPr>
      <w:bookmarkStart w:id="55" w:name="_Toc517273047"/>
      <w:r w:rsidRPr="002F09DA">
        <w:rPr>
          <w:rFonts w:eastAsia="Times New Roman" w:cstheme="minorHAnsi"/>
          <w:bCs/>
          <w:color w:val="17365D"/>
          <w:kern w:val="32"/>
          <w:szCs w:val="22"/>
          <w:lang w:eastAsia="lt-LT"/>
        </w:rPr>
        <w:t>VARTOTOJŲ APSAUGA</w:t>
      </w:r>
      <w:bookmarkEnd w:id="55"/>
    </w:p>
    <w:p w:rsidR="00416E50" w:rsidRPr="002F09DA" w:rsidRDefault="00416E50" w:rsidP="00AD0B10">
      <w:pPr>
        <w:rPr>
          <w:rFonts w:asciiTheme="minorHAnsi" w:hAnsiTheme="minorHAnsi" w:cstheme="minorHAnsi"/>
          <w:lang w:eastAsia="lt-LT"/>
        </w:rPr>
      </w:pPr>
    </w:p>
    <w:p w:rsidR="002F09DA" w:rsidRPr="002F09DA" w:rsidRDefault="002F09DA" w:rsidP="00AD0B10">
      <w:pPr>
        <w:pStyle w:val="Antrat2"/>
        <w:rPr>
          <w:rFonts w:cstheme="minorHAnsi"/>
          <w:szCs w:val="22"/>
        </w:rPr>
      </w:pPr>
      <w:bookmarkStart w:id="56" w:name="_Toc517273048"/>
      <w:r w:rsidRPr="002F09DA">
        <w:rPr>
          <w:rFonts w:cstheme="minorHAnsi"/>
          <w:szCs w:val="22"/>
        </w:rPr>
        <w:t>2018 m. vasario 20 d. sprendimas byloje C-16/16P</w:t>
      </w:r>
      <w:bookmarkEnd w:id="56"/>
      <w:r w:rsidRPr="002F09DA">
        <w:rPr>
          <w:rFonts w:cstheme="minorHAnsi"/>
          <w:szCs w:val="22"/>
        </w:rPr>
        <w:t xml:space="preserve"> </w:t>
      </w:r>
    </w:p>
    <w:p w:rsidR="002F09DA" w:rsidRPr="002F09DA" w:rsidRDefault="002F09DA" w:rsidP="00AD0B10">
      <w:pPr>
        <w:jc w:val="center"/>
        <w:rPr>
          <w:rFonts w:asciiTheme="minorHAnsi" w:hAnsiTheme="minorHAnsi" w:cstheme="minorHAnsi"/>
          <w:b/>
          <w:i/>
        </w:rPr>
      </w:pPr>
      <w:r w:rsidRPr="002F09DA">
        <w:rPr>
          <w:rFonts w:asciiTheme="minorHAnsi" w:hAnsiTheme="minorHAnsi" w:cstheme="minorHAnsi"/>
          <w:b/>
          <w:i/>
        </w:rPr>
        <w:t>pagal Belgijos Karalystės apeliacinį skundą dėl 2015 m. spalio 27 d. Europos Sąjungos Bendrojo Teismo nutarties panaikinimo</w:t>
      </w:r>
    </w:p>
    <w:p w:rsidR="002F09DA" w:rsidRPr="002F09DA" w:rsidRDefault="002F09DA" w:rsidP="00AD0B10">
      <w:pPr>
        <w:ind w:firstLine="540"/>
        <w:rPr>
          <w:rFonts w:asciiTheme="minorHAnsi" w:hAnsiTheme="minorHAnsi" w:cstheme="minorHAnsi"/>
        </w:rPr>
      </w:pP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 xml:space="preserve">Apeliaciniu skundu Belgijos Karalystė prašė panaikinti 2015 m. spalio 27 d. Europos Sąjungos Bendrojo Teismo nutartį </w:t>
      </w:r>
      <w:r w:rsidRPr="002F09DA">
        <w:rPr>
          <w:rFonts w:asciiTheme="minorHAnsi" w:hAnsiTheme="minorHAnsi" w:cstheme="minorHAnsi"/>
          <w:i/>
          <w:iCs/>
        </w:rPr>
        <w:t>Belgija / Komisija</w:t>
      </w:r>
      <w:r w:rsidRPr="002F09DA">
        <w:rPr>
          <w:rFonts w:asciiTheme="minorHAnsi" w:hAnsiTheme="minorHAnsi" w:cstheme="minorHAnsi"/>
        </w:rPr>
        <w:t xml:space="preserve"> (T</w:t>
      </w:r>
      <w:r w:rsidRPr="002F09DA">
        <w:rPr>
          <w:rFonts w:asciiTheme="minorHAnsi" w:hAnsiTheme="minorHAnsi" w:cstheme="minorHAnsi"/>
        </w:rPr>
        <w:noBreakHyphen/>
        <w:t>721/14, toliau – skundžiama nutartis, EU:T:2015:829), kuria Bendrasis Teismas kaip nepriimtiną atmetė jos ieškinį dėl 2014 m. liepos 14 d. Komisijos rekomendacijos 2014/478/ES dėl internetinių lošimų paslaugų vartotojų bei lošėjų apsaugos ir nepilnamečių dalyvavimo internetiniuose lošimuose prevencijos principų (OL L 214, 2014, p. 38, toliau – ginčijama rekomendacija) panaikinimo (1 punktas).</w:t>
      </w:r>
    </w:p>
    <w:p w:rsidR="002F09DA" w:rsidRPr="002F09DA" w:rsidRDefault="002F09DA" w:rsidP="00AD0B10">
      <w:pPr>
        <w:ind w:firstLine="567"/>
        <w:rPr>
          <w:rFonts w:asciiTheme="minorHAnsi" w:hAnsiTheme="minorHAnsi" w:cstheme="minorHAnsi"/>
        </w:rPr>
      </w:pPr>
      <w:r w:rsidRPr="002F09DA">
        <w:rPr>
          <w:rFonts w:asciiTheme="minorHAnsi" w:eastAsia="Times New Roman" w:hAnsiTheme="minorHAnsi" w:cstheme="minorHAnsi"/>
          <w:lang w:eastAsia="lt-LT"/>
        </w:rPr>
        <w:t>SESV 263 straipsnio pirmoje pastraipoje nurodyta: „Europos Sąjungos Teisingumo Teismas prižiūri teisėkūros procedūra priimtų teisės aktų, [Europos Sąjungos] Tarybos, [Europos] Komisijos ir Europos [C]entrinio [B]anko priimtų teisės aktų, išskyrus rekomendacijas ir nuomones, ir Europos Parlamento bei Europos Vadovų Tarybos aktų, galinčių turėti teisinių padarinių trečiosioms šalims, teisėtumą. Jis taip pat prižiūri Sąjungos įstaigų ar organų aktų, galinčių turėti teisinių padarinių trečiosioms šalims, teisėtumą</w:t>
      </w:r>
      <w:r>
        <w:rPr>
          <w:rFonts w:asciiTheme="minorHAnsi" w:eastAsia="Times New Roman" w:hAnsiTheme="minorHAnsi" w:cstheme="minorHAnsi"/>
          <w:lang w:eastAsia="lt-LT"/>
        </w:rPr>
        <w:t>“ (2 </w:t>
      </w:r>
      <w:r w:rsidRPr="002F09DA">
        <w:rPr>
          <w:rFonts w:asciiTheme="minorHAnsi" w:eastAsia="Times New Roman" w:hAnsiTheme="minorHAnsi" w:cstheme="minorHAnsi"/>
          <w:lang w:eastAsia="lt-LT"/>
        </w:rPr>
        <w:t>punktas).</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 xml:space="preserve">2014 m. liepos 14 d. Europos Komisija, vadovaudamasi SESV 292 straipsniu, priėmė ginčijamą rekomendaciją. Iš šios rekomendacijos 9 konstatuojamosios dalies matyti, kad jos tikslas – „apsaugoti vartotojų bei lošėjų sveikatą ir taip kartu sumažinti galimą ekonominę žalą, kuri gali būti patirta dėl patologinio ar nesaikingo lošimo“. </w:t>
      </w:r>
      <w:r w:rsidRPr="002F09DA">
        <w:rPr>
          <w:rFonts w:asciiTheme="minorHAnsi" w:eastAsia="Times New Roman" w:hAnsiTheme="minorHAnsi" w:cstheme="minorHAnsi"/>
          <w:lang w:eastAsia="lt-LT"/>
        </w:rPr>
        <w:t xml:space="preserve">Minėtos rekomendacijos I skyrius „Tikslas“ suformuluotas taip: ,,1. Siekiant užtikrinti sveikatos apsaugą ir sumažinti ekonominę žalą, kuri gali būti patirta dėl patologinio ar nesaikingo lošimo, valstybėms narėms rekomenduojama priimti internetinių lošimų paslaugų ir atsakingų komercinių pranešimų apie tas paslaugas principus, kuriuos taikant būtų užtikrintas aukštas vartotojų, lošėjų ir nepilnamečių apsaugos lygis. </w:t>
      </w:r>
      <w:r w:rsidRPr="002F09DA">
        <w:rPr>
          <w:rFonts w:asciiTheme="minorHAnsi" w:hAnsiTheme="minorHAnsi" w:cstheme="minorHAnsi"/>
        </w:rPr>
        <w:t>2. Šia rekomendacija nepažeidžiama valstybių narių teisė reguliuoti lošimų paslaugas“. Ginčijamos rekomendacijos III–X skyriai skirti atitinkamai ,,Informacijos pateikimo reikalavima[ms]“, ,,Nepilnamečia[ms]“, ,,Lošėjo registracija[i] ir sąskaita[i]“, ,,Lošėjo veiksma[ms] ir pagalba[i] lošėjui“, ,,Pertrauka[i] ir savanorišk[am] galimybės lošti atsisakymu[i]“, ,,Komercinia[ms] pranešima[ms]“, ,,Rėmimu[i]“ ir ,,Švietimu[i] ir informavimu[i]“ (5–8 punktai).</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2014 m. spalio 13 d. Bendrojo Teismo kanceliarija gavo Belgijos Karalystės ieškinį, juo ji prašė panaikinti ginčijamą rekomendaciją. Atskiru dokumentu Komisija pateikė nepriimtinumu grindžiamą prieštaravimą. Belgijos Karalystė pateikė pastabas dėl šio prieštaravimo (9–10 punktai).</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Komisija teigė, kad Bendrajame Teisme pareikštas ieškinys yra nepriimtinas, nes ginčijama rekomendacija nėra aktas, dėl kurio galima pareikšti ieškinį pagal SESV 263 straipsnį. Iš esmės ji manė, kad ginčijama rekomendacija tiek savo forma, tiek turiniu yra „tikroji“ rekomendacija, kaip tai suprantama pagal SESV 288 straipsnį, kuri neturi privalomosios galios ir nenustato jokio imperatyvaus įpareigojimo. Tai rodo šios rekomendacijos, grindžiamos SESV 292 straipsniu, formalus pateikimas ir jos formulavimas ne liepiamąja, o sąlygine nuosaka. Komisija pridūrė, kad nė vienas Belgijos Karalystės ieškinyje nurodytas argumentas negali paneigti ginčijamos rekomendacijos kvalifikavimo kaip akto, dėl kurio negali būti pareikštas ieškinys (11 punktas).</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Belgijos Karalystė savo ruožtu teigė kad šis ieškinys yra priimtinas. Iš esmės, remdamasi</w:t>
      </w:r>
      <w:r>
        <w:rPr>
          <w:rFonts w:asciiTheme="minorHAnsi" w:hAnsiTheme="minorHAnsi" w:cstheme="minorHAnsi"/>
        </w:rPr>
        <w:t xml:space="preserve"> pirmiausia 1971 m. kovo 31 d. S</w:t>
      </w:r>
      <w:r w:rsidRPr="002F09DA">
        <w:rPr>
          <w:rFonts w:asciiTheme="minorHAnsi" w:hAnsiTheme="minorHAnsi" w:cstheme="minorHAnsi"/>
        </w:rPr>
        <w:t xml:space="preserve">prendimu </w:t>
      </w:r>
      <w:r w:rsidRPr="002F09DA">
        <w:rPr>
          <w:rFonts w:asciiTheme="minorHAnsi" w:hAnsiTheme="minorHAnsi" w:cstheme="minorHAnsi"/>
          <w:i/>
          <w:iCs/>
        </w:rPr>
        <w:t>Komisija / Taryba</w:t>
      </w:r>
      <w:r w:rsidRPr="002F09DA">
        <w:rPr>
          <w:rFonts w:asciiTheme="minorHAnsi" w:hAnsiTheme="minorHAnsi" w:cstheme="minorHAnsi"/>
        </w:rPr>
        <w:t xml:space="preserve">, vadinamuoju AETR (22/70, EU:C:1971:32), ir 1989 m. gruodžio 13 d. Sprendimu </w:t>
      </w:r>
      <w:r w:rsidRPr="002F09DA">
        <w:rPr>
          <w:rFonts w:asciiTheme="minorHAnsi" w:hAnsiTheme="minorHAnsi" w:cstheme="minorHAnsi"/>
          <w:i/>
          <w:iCs/>
        </w:rPr>
        <w:t>Grimaldi</w:t>
      </w:r>
      <w:r w:rsidRPr="002F09DA">
        <w:rPr>
          <w:rFonts w:asciiTheme="minorHAnsi" w:hAnsiTheme="minorHAnsi" w:cstheme="minorHAnsi"/>
        </w:rPr>
        <w:t xml:space="preserve"> (C</w:t>
      </w:r>
      <w:r w:rsidRPr="002F09DA">
        <w:rPr>
          <w:rFonts w:asciiTheme="minorHAnsi" w:hAnsiTheme="minorHAnsi" w:cstheme="minorHAnsi"/>
        </w:rPr>
        <w:noBreakHyphen/>
        <w:t xml:space="preserve">322/88, EU:C:1989:646), taip pat veiksmingos teisminės apsaugos principu, ji pažymėjo, kad ginčijamai rekomendacijai turi būti galima taikyti teisminę kontrolę. Pirma, ji teigė, kad ši rekomendacija sukelia „neigiamų teisinių padarinių“, nes ji pažeidžia pagrindinius Sąjungos teisės principus, t. y. kompetencijos suteikimo principą ir Sąjungos bei valstybių narių institucijų bendradarbiavimo pareigą. Antra, ginčijama rekomendacija pagrįsta tikslu suderinti SESV 49 ir 56 straipsnių nuostatų taikymą </w:t>
      </w:r>
      <w:r w:rsidRPr="002F09DA">
        <w:rPr>
          <w:rFonts w:asciiTheme="minorHAnsi" w:hAnsiTheme="minorHAnsi" w:cstheme="minorHAnsi"/>
        </w:rPr>
        <w:lastRenderedPageBreak/>
        <w:t>azartinių lošimų srityje ir iš tiesų yra paslėpta direktyva, o tai turi patikrinti Sąjungos teismai. Ji pridūrė, kad ginčijama rekomendacija sukelia netiesioginių teisinių padarinių, todėl, viena vertus, valstybės narės, atsižvelgdamos į bendradarbiavimo pareigą, turi stengtis jos laikytis, kita vertus, nacionaliniai teismai privalo į ją atsižvelgti (12 punktas).</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Skundžiama nutartimi, priimta pagal Bendrojo Teismo procedūros reglamento 130 straipsnio 1 dalį, šis teismas pritarė nepriimtinumu grindžiamam prieštaravimui, nepradėjęs bylos nagrinėti iš esmės. Bendrasis Teismas iš esmės nusprendė, kad ginčijama rekomendacija nesukelia privalomų teisinių padarinių ir nėra skirta jiems sukelti, todėl negali būti kvalifikuojama kaip „aktas, dėl kurio galima pareikšti ieškinį“, kaip tai suprantama pagal SESV 263 straipsnį. Todėl jis atmetė ieškinį kaip nepriimtiną ir nusprendė, kad dėl šios priežasties nėra reikalo nagrinėti prašymų leisti įstoti į bylą (14 punktas).</w:t>
      </w:r>
    </w:p>
    <w:p w:rsidR="002F09DA" w:rsidRPr="002F09DA" w:rsidRDefault="002F09DA" w:rsidP="00AD0B10">
      <w:pPr>
        <w:ind w:firstLine="567"/>
        <w:rPr>
          <w:rFonts w:asciiTheme="minorHAnsi" w:hAnsiTheme="minorHAnsi" w:cstheme="minorHAnsi"/>
        </w:rPr>
      </w:pPr>
    </w:p>
    <w:p w:rsidR="002F09DA" w:rsidRPr="002F09DA" w:rsidRDefault="002F09DA" w:rsidP="00FF446C">
      <w:pPr>
        <w:pStyle w:val="Antrat3"/>
        <w:ind w:firstLine="567"/>
        <w:rPr>
          <w:rFonts w:cstheme="minorHAnsi"/>
          <w:b w:val="0"/>
        </w:rPr>
      </w:pPr>
      <w:bookmarkStart w:id="57" w:name="_Toc517273049"/>
      <w:r w:rsidRPr="002F09DA">
        <w:rPr>
          <w:rFonts w:cstheme="minorHAnsi"/>
        </w:rPr>
        <w:t>Dėl rekomendacijų vertinimo kai</w:t>
      </w:r>
      <w:r w:rsidR="008D2E78">
        <w:rPr>
          <w:rFonts w:cstheme="minorHAnsi"/>
        </w:rPr>
        <w:t>p</w:t>
      </w:r>
      <w:r w:rsidRPr="002F09DA">
        <w:rPr>
          <w:rFonts w:cstheme="minorHAnsi"/>
        </w:rPr>
        <w:t xml:space="preserve"> nesukeliančių teisinių pasekmių</w:t>
      </w:r>
      <w:bookmarkEnd w:id="57"/>
    </w:p>
    <w:p w:rsidR="002F09DA" w:rsidRPr="002F09DA" w:rsidRDefault="002F09DA" w:rsidP="00AD0B10">
      <w:pPr>
        <w:ind w:firstLine="567"/>
        <w:rPr>
          <w:rFonts w:asciiTheme="minorHAnsi" w:hAnsiTheme="minorHAnsi" w:cstheme="minorHAnsi"/>
        </w:rPr>
      </w:pP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Teisingumo Teismas pažymėjo, kad pagal SESV 263 straipsnio pirmą pastraipą Teisingumo Teismas tikrina Tarybos, Komisijos ir ECB aktų, „išskyrus rekomendacijas“, teisėtumą. SESV 288 straipsnyje rekomendacijas priskyrus prie specialios Sąjungos aktų kategorijos ir aiškiai numačius, kad jos neturi „privalomosios galios“, buvo siekta jas priimti įgaliotoms institucijoms suteikti skatinimo ir įtikinimo galią, kuri skiriasi nuo ga</w:t>
      </w:r>
      <w:r w:rsidR="008D2E78">
        <w:rPr>
          <w:rFonts w:asciiTheme="minorHAnsi" w:hAnsiTheme="minorHAnsi" w:cstheme="minorHAnsi"/>
        </w:rPr>
        <w:t xml:space="preserve">lios priimti privalomus aktus. </w:t>
      </w:r>
      <w:r w:rsidRPr="002F09DA">
        <w:rPr>
          <w:rFonts w:asciiTheme="minorHAnsi" w:hAnsiTheme="minorHAnsi" w:cstheme="minorHAnsi"/>
        </w:rPr>
        <w:t>Atsižvelgdamas į tai, Bendrasis Teismas, vadovaudamasis suformuota Teisingumo Teismo jurisprudencija, teisingai nusprendė, kad „SESV 263 straipsnyje numatyta teisminė kontrolė netaikoma visiems aktams, kurie asmeniui nesukelia privalomų teisinių padarinių, kaip antai &lt;…&gt; paprastoms reko</w:t>
      </w:r>
      <w:r w:rsidR="00D22BFA">
        <w:rPr>
          <w:rFonts w:asciiTheme="minorHAnsi" w:hAnsiTheme="minorHAnsi" w:cstheme="minorHAnsi"/>
        </w:rPr>
        <w:t>mendacijoms“. Taigi, priešingai</w:t>
      </w:r>
      <w:r w:rsidRPr="002F09DA">
        <w:rPr>
          <w:rFonts w:asciiTheme="minorHAnsi" w:hAnsiTheme="minorHAnsi" w:cstheme="minorHAnsi"/>
        </w:rPr>
        <w:t xml:space="preserve"> nei teigia Belgijos Karalystė, nepakanka, kad institucija būtų priėmusi rekomendaciją, tariamai nepaisydama tam tikrų principų arba procedūrinių normų tam, kad dėl jos būtų galima pareikšti ieškinį dėl panaikinimo, nors ji nesukelia privalomų teisinių padarinių (25–28 punktai).</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 xml:space="preserve">Vis dėlto išimties tvarka dėl rekomendacijos galima pareikšti ieškinį dėl panaikinimo, jeigu ginčijamas aktas pagal savo turinį nėra tikroji rekomendacija. Atliekant ginčijamo akto turinio analizę, kuria siekiama nustatyti, ar jis sukelia privalomus teisinius padarinius, reikia atsižvelgti į tai, kad pagal SESV 263 straipsnį rekomendacijos nepatenka į šio straipsnio taikymo sritį ir kad pagal SESV 288 straipsnio penktą pastraipą jos neturi privalomosios galios. Turint tai omenyje, reikia priminti, kad „aktais, dėl kurių galima pareikšti ieškinį“, kaip jie suprantami pagal SESV 263 straipsnį, yra bet kokios institucijų priimtos nuostatos, neatsižvelgiant į jų formą, kuriomis siekiama sukelti privalomų teisinių padarinių (šiuo klausimu žr. 1971 m. kovo 31 d. Sprendimo </w:t>
      </w:r>
      <w:r w:rsidRPr="002F09DA">
        <w:rPr>
          <w:rFonts w:asciiTheme="minorHAnsi" w:hAnsiTheme="minorHAnsi" w:cstheme="minorHAnsi"/>
          <w:i/>
          <w:iCs/>
        </w:rPr>
        <w:t>Komisija / Taryba</w:t>
      </w:r>
      <w:r w:rsidRPr="002F09DA">
        <w:rPr>
          <w:rFonts w:asciiTheme="minorHAnsi" w:hAnsiTheme="minorHAnsi" w:cstheme="minorHAnsi"/>
        </w:rPr>
        <w:t xml:space="preserve">, vadinamojo AETR, 22/70, EU:C:1971:32, 39 ir 42 punktus ir 2017 m. spalio 25 d. Sprendimo </w:t>
      </w:r>
      <w:r w:rsidRPr="002F09DA">
        <w:rPr>
          <w:rFonts w:asciiTheme="minorHAnsi" w:hAnsiTheme="minorHAnsi" w:cstheme="minorHAnsi"/>
          <w:i/>
          <w:iCs/>
        </w:rPr>
        <w:t>Rumunija / Komisija</w:t>
      </w:r>
      <w:r w:rsidRPr="002F09DA">
        <w:rPr>
          <w:rFonts w:asciiTheme="minorHAnsi" w:hAnsiTheme="minorHAnsi" w:cstheme="minorHAnsi"/>
        </w:rPr>
        <w:t>, C</w:t>
      </w:r>
      <w:r w:rsidRPr="002F09DA">
        <w:rPr>
          <w:rFonts w:asciiTheme="minorHAnsi" w:hAnsiTheme="minorHAnsi" w:cstheme="minorHAnsi"/>
        </w:rPr>
        <w:noBreakHyphen/>
        <w:t xml:space="preserve">599/15 P, EU:C:2017:801, 47 punktą ir jame nurodytą jurisprudenciją). Siekiant nustatyti, ar ginčijamas aktas sukelia privalomų teisinių padarinių, reikia remtis šio akto esme ir šiuos padarinius vertinti remiantis objektyviais kriterijais, pavyzdžiui, to akto turiniu, prireikus atsižvelgiant į jo priėmimo aplinkybes ir jį priėmusios institucijos įgaliojimus (šiuo klausimu žr. 2014 m. vasario 13 d. Sprendimo </w:t>
      </w:r>
      <w:r w:rsidRPr="002F09DA">
        <w:rPr>
          <w:rFonts w:asciiTheme="minorHAnsi" w:hAnsiTheme="minorHAnsi" w:cstheme="minorHAnsi"/>
          <w:i/>
          <w:iCs/>
        </w:rPr>
        <w:t>Vengrija / Komisija</w:t>
      </w:r>
      <w:r w:rsidRPr="002F09DA">
        <w:rPr>
          <w:rFonts w:asciiTheme="minorHAnsi" w:hAnsiTheme="minorHAnsi" w:cstheme="minorHAnsi"/>
        </w:rPr>
        <w:t>, C</w:t>
      </w:r>
      <w:r w:rsidRPr="002F09DA">
        <w:rPr>
          <w:rFonts w:asciiTheme="minorHAnsi" w:hAnsiTheme="minorHAnsi" w:cstheme="minorHAnsi"/>
        </w:rPr>
        <w:noBreakHyphen/>
        <w:t xml:space="preserve">31/13 P, EU:C:2014:70, 55 punktą ir jame nurodytą jurisprudenciją ir 2017 m. spalio 25 d. Sprendimo </w:t>
      </w:r>
      <w:r w:rsidRPr="002F09DA">
        <w:rPr>
          <w:rFonts w:asciiTheme="minorHAnsi" w:hAnsiTheme="minorHAnsi" w:cstheme="minorHAnsi"/>
          <w:i/>
          <w:iCs/>
        </w:rPr>
        <w:t>Slovakija </w:t>
      </w:r>
      <w:r w:rsidRPr="002F09DA">
        <w:rPr>
          <w:rFonts w:asciiTheme="minorHAnsi" w:hAnsiTheme="minorHAnsi" w:cstheme="minorHAnsi"/>
        </w:rPr>
        <w:t>/</w:t>
      </w:r>
      <w:r w:rsidRPr="002F09DA">
        <w:rPr>
          <w:rFonts w:asciiTheme="minorHAnsi" w:hAnsiTheme="minorHAnsi" w:cstheme="minorHAnsi"/>
          <w:i/>
          <w:iCs/>
        </w:rPr>
        <w:t xml:space="preserve"> Komisija</w:t>
      </w:r>
      <w:r w:rsidRPr="002F09DA">
        <w:rPr>
          <w:rFonts w:asciiTheme="minorHAnsi" w:hAnsiTheme="minorHAnsi" w:cstheme="minorHAnsi"/>
        </w:rPr>
        <w:t>, C</w:t>
      </w:r>
      <w:r w:rsidRPr="002F09DA">
        <w:rPr>
          <w:rFonts w:asciiTheme="minorHAnsi" w:hAnsiTheme="minorHAnsi" w:cstheme="minorHAnsi"/>
        </w:rPr>
        <w:noBreakHyphen/>
        <w:t>593/15 P ir C</w:t>
      </w:r>
      <w:r w:rsidRPr="002F09DA">
        <w:rPr>
          <w:rFonts w:asciiTheme="minorHAnsi" w:hAnsiTheme="minorHAnsi" w:cstheme="minorHAnsi"/>
        </w:rPr>
        <w:noBreakHyphen/>
        <w:t>594/15 P, EU:C:2017:800, 47 punktą) (29–32 punktai).</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 xml:space="preserve">Nagrinėjamu atveju Bendrasis Teismas, siekdamas nustatyti, ar ginčijama rekomendacija galėjo sukelti tokių padarinių, taigi ir ar dėl jos galima pareikšti ieškinį dėl panaikinimo pagal SESV 263 straipsnį, išnagrinėjo jos tekstą ir priėmimo kontekstą, turinį ir autoriaus ketinimą. Konkrečiau kalbant, Bendrasis Teismas pirmiausia konstatavo, kad „ginčijama rekomendacija iš esmės išdėstyta vartojant neimperatyvius terminus“, kaip tai matyti iš analizės, kurią jis atliko. Šiuo klausimu jis nurodė, kad tam tikros minėtos rekomendacijos kalbinės versijos, nors jose iš dalies vartojami labiau imperatyvūs terminai, vis dėlto suformuluotos iš esmės neįpareigojančiai. Antra, Bendrasis Teismas pažymėjo, kad „iš ginčijamos rekomendacijos turinio taip pat matyti, kad šis aktas visiškai nėra skirtas privalomiems teisiniams padariniams sukelti ir kad Komisija niekaip neišreiškė tikslo, kad ji tokių padarinių sukeltų“. Bendrasis Teismas priminė, kad ginčijamos rekomendacijos 2 punkte aiškiai nurodyta, kad ja nepažeidžiama valstybių narių teisė reguliuoti lošimų paslaugas. Be to, jis pabrėžė, kad ginčijamoje rekomendacijoje nėra nieko, kas rodytų, kad valstybės narės turi priimti ir taikyti joje nustatytus principus. Trečia, Bendrasis Teismas dėl ginčijamos rekomendacijos priėmimo konteksto konstatavo, kad nors „Belgijos Karalystė to neginčijo“, iš 2012 m. spalio 23 d. Komisijos komunikato Europos Parlamentui, Tarybai, Ekonomikos ir socialinių reikalų komitetui ir Regionų komitetui COM(2012) 596 </w:t>
      </w:r>
      <w:r w:rsidRPr="002F09DA">
        <w:rPr>
          <w:rFonts w:asciiTheme="minorHAnsi" w:hAnsiTheme="minorHAnsi" w:cstheme="minorHAnsi"/>
          <w:i/>
          <w:iCs/>
        </w:rPr>
        <w:t>final</w:t>
      </w:r>
      <w:r w:rsidRPr="002F09DA">
        <w:rPr>
          <w:rFonts w:asciiTheme="minorHAnsi" w:hAnsiTheme="minorHAnsi" w:cstheme="minorHAnsi"/>
        </w:rPr>
        <w:t xml:space="preserve"> „Kompleksiškos europinės internetinių lošimų sistemos kūrimas“ ištraukos matyti, kad „apskritai nepanašu, </w:t>
      </w:r>
      <w:r w:rsidRPr="002F09DA">
        <w:rPr>
          <w:rFonts w:asciiTheme="minorHAnsi" w:hAnsiTheme="minorHAnsi" w:cstheme="minorHAnsi"/>
        </w:rPr>
        <w:lastRenderedPageBreak/>
        <w:t>kad šiuo metu reikėtų siūlyti konkrečiai internetinių lošimų sektoriui skirtus [Sąjungos] teisės aktus“. Taigi Bendrasis Teismas, teisiškai pakankamai išanalizavęs ginčijamos rekomendacijos tekstą, turinį, tikslus ir priėmimo kontekstą, teisingai priėjo prie išvados, kad minėta rekomendacija „nei sukėlė, nei yra skirta sukelti privalomiems teisiniams padariniams, todėl negali būti laikoma skundžiamu aktu, kaip tai suprantama pagal SESV 263 straipsnį“ (33–37 punktai).</w:t>
      </w: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Be to, Teisingumo Teismas pažymėjo, kad nors SESV 263 straipsnyje atmesta galimybė Teisingumo Teismo atliekamą kontrolę taikyti rekomenduojamojo pobūdžio aktams, SESV 267 straipsnyje Teisingumo Teismui suteikta kompetencija priimti prejudicinį sprendimą dėl visų be išimties Sąjungos institucijų priimtų aktų galiojimo ir išaiškinimo (šiuo klaus</w:t>
      </w:r>
      <w:r w:rsidR="00D22BFA">
        <w:rPr>
          <w:rFonts w:asciiTheme="minorHAnsi" w:hAnsiTheme="minorHAnsi" w:cstheme="minorHAnsi"/>
        </w:rPr>
        <w:t>imu žr. 1989 m. gruodžio 13 d. s</w:t>
      </w:r>
      <w:r w:rsidRPr="002F09DA">
        <w:rPr>
          <w:rFonts w:asciiTheme="minorHAnsi" w:hAnsiTheme="minorHAnsi" w:cstheme="minorHAnsi"/>
        </w:rPr>
        <w:t xml:space="preserve">prendimo </w:t>
      </w:r>
      <w:r w:rsidRPr="002F09DA">
        <w:rPr>
          <w:rFonts w:asciiTheme="minorHAnsi" w:hAnsiTheme="minorHAnsi" w:cstheme="minorHAnsi"/>
          <w:i/>
          <w:iCs/>
        </w:rPr>
        <w:t>Grimaldi</w:t>
      </w:r>
      <w:r w:rsidRPr="002F09DA">
        <w:rPr>
          <w:rFonts w:asciiTheme="minorHAnsi" w:hAnsiTheme="minorHAnsi" w:cstheme="minorHAnsi"/>
        </w:rPr>
        <w:t>, C</w:t>
      </w:r>
      <w:r w:rsidRPr="002F09DA">
        <w:rPr>
          <w:rFonts w:asciiTheme="minorHAnsi" w:hAnsiTheme="minorHAnsi" w:cstheme="minorHAnsi"/>
        </w:rPr>
        <w:noBreakHyphen/>
        <w:t xml:space="preserve">322/88, EU:C:1989:646, 8 punktą ir 2017 m. birželio 13 d. </w:t>
      </w:r>
      <w:r w:rsidR="00D22BFA">
        <w:rPr>
          <w:rFonts w:asciiTheme="minorHAnsi" w:hAnsiTheme="minorHAnsi" w:cstheme="minorHAnsi"/>
        </w:rPr>
        <w:t>s</w:t>
      </w:r>
      <w:r w:rsidRPr="002F09DA">
        <w:rPr>
          <w:rFonts w:asciiTheme="minorHAnsi" w:hAnsiTheme="minorHAnsi" w:cstheme="minorHAnsi"/>
        </w:rPr>
        <w:t xml:space="preserve">prendimo </w:t>
      </w:r>
      <w:r w:rsidRPr="002F09DA">
        <w:rPr>
          <w:rFonts w:asciiTheme="minorHAnsi" w:hAnsiTheme="minorHAnsi" w:cstheme="minorHAnsi"/>
          <w:i/>
          <w:iCs/>
        </w:rPr>
        <w:t>Florescu ir kt.</w:t>
      </w:r>
      <w:r w:rsidRPr="002F09DA">
        <w:rPr>
          <w:rFonts w:asciiTheme="minorHAnsi" w:hAnsiTheme="minorHAnsi" w:cstheme="minorHAnsi"/>
        </w:rPr>
        <w:t>, C</w:t>
      </w:r>
      <w:r w:rsidRPr="002F09DA">
        <w:rPr>
          <w:rFonts w:asciiTheme="minorHAnsi" w:hAnsiTheme="minorHAnsi" w:cstheme="minorHAnsi"/>
        </w:rPr>
        <w:noBreakHyphen/>
        <w:t>258/14, EU:C:2017:448, 30 punktą).</w:t>
      </w:r>
    </w:p>
    <w:p w:rsidR="002F09DA" w:rsidRPr="002F09DA" w:rsidRDefault="002F09DA" w:rsidP="00AD0B10">
      <w:pPr>
        <w:ind w:firstLine="567"/>
        <w:rPr>
          <w:rFonts w:asciiTheme="minorHAnsi" w:hAnsiTheme="minorHAnsi" w:cstheme="minorHAnsi"/>
        </w:rPr>
      </w:pPr>
    </w:p>
    <w:p w:rsidR="002F09DA" w:rsidRPr="002F09DA" w:rsidRDefault="002F09DA" w:rsidP="00FF446C">
      <w:pPr>
        <w:pStyle w:val="Antrat3"/>
        <w:ind w:firstLine="567"/>
        <w:rPr>
          <w:rFonts w:cstheme="minorHAnsi"/>
          <w:b w:val="0"/>
        </w:rPr>
      </w:pPr>
      <w:bookmarkStart w:id="58" w:name="_Toc517273050"/>
      <w:r w:rsidRPr="002F09DA">
        <w:rPr>
          <w:rFonts w:cstheme="minorHAnsi"/>
        </w:rPr>
        <w:t>Dėl skirtingų akto kalbinių versijų</w:t>
      </w:r>
      <w:bookmarkEnd w:id="58"/>
    </w:p>
    <w:p w:rsidR="002F09DA" w:rsidRPr="002F09DA" w:rsidRDefault="002F09DA" w:rsidP="00AD0B10">
      <w:pPr>
        <w:ind w:firstLine="567"/>
        <w:rPr>
          <w:rFonts w:asciiTheme="minorHAnsi" w:hAnsiTheme="minorHAnsi" w:cstheme="minorHAnsi"/>
        </w:rPr>
      </w:pPr>
    </w:p>
    <w:p w:rsidR="002F09DA" w:rsidRPr="002F09DA" w:rsidRDefault="002F09DA" w:rsidP="00AD0B10">
      <w:pPr>
        <w:ind w:firstLine="567"/>
        <w:rPr>
          <w:rFonts w:asciiTheme="minorHAnsi" w:hAnsiTheme="minorHAnsi" w:cstheme="minorHAnsi"/>
        </w:rPr>
      </w:pPr>
      <w:r w:rsidRPr="002F09DA">
        <w:rPr>
          <w:rFonts w:asciiTheme="minorHAnsi" w:hAnsiTheme="minorHAnsi" w:cstheme="minorHAnsi"/>
        </w:rPr>
        <w:t xml:space="preserve">Dėl Belgijos Karalystės tvirtinimo, kad Bendrasis Teismas, konstatavęs, jog ginčijama rekomendacija vokiečių ir nyderlandų kalbomis suformuluota imperatyviai, turėjo pripažinti, kad šia rekomendacija siekiama privalomų teisinių padarinių bent jau jai, Teisingumo Teismas pažymėjo, kad, kaip matyti iš Reglamento Nr. 1, iš dalies pakeisto Reglamentu Nr. 517/2013, 1 straipsnio, visos šioje nuostatoje išvardytos oficialiosios Sąjungos kalbos yra autentiškos jomis suformuluotų aktų kalbos. Tai reiškia, kad visoms Sąjungos akto kalbinėms versijoms iš principo turi būti teikiama vienoda reikšmė. Todėl siekiant užtikrinti vienodą Sąjungos teisės aiškinimą tais atvejais, kai esama šių kalbinių versijų neatitikimų, atitinkamą nuostatą reikia aiškinti atsižvelgiant į teisės reglamentavimo, kurio dalis ji yra, bendrą sistemą ir tikslą (šiuo klausimu žr. 1998 m. balandžio 2 d. </w:t>
      </w:r>
      <w:r w:rsidR="00D22BFA">
        <w:rPr>
          <w:rFonts w:asciiTheme="minorHAnsi" w:hAnsiTheme="minorHAnsi" w:cstheme="minorHAnsi"/>
        </w:rPr>
        <w:t>s</w:t>
      </w:r>
      <w:r w:rsidRPr="002F09DA">
        <w:rPr>
          <w:rFonts w:asciiTheme="minorHAnsi" w:hAnsiTheme="minorHAnsi" w:cstheme="minorHAnsi"/>
        </w:rPr>
        <w:t xml:space="preserve">prendimo </w:t>
      </w:r>
      <w:r w:rsidRPr="002F09DA">
        <w:rPr>
          <w:rFonts w:asciiTheme="minorHAnsi" w:hAnsiTheme="minorHAnsi" w:cstheme="minorHAnsi"/>
          <w:i/>
          <w:iCs/>
        </w:rPr>
        <w:t>EMU Tabacir kt.</w:t>
      </w:r>
      <w:r w:rsidRPr="002F09DA">
        <w:rPr>
          <w:rFonts w:asciiTheme="minorHAnsi" w:hAnsiTheme="minorHAnsi" w:cstheme="minorHAnsi"/>
        </w:rPr>
        <w:t>, C</w:t>
      </w:r>
      <w:r w:rsidRPr="002F09DA">
        <w:rPr>
          <w:rFonts w:asciiTheme="minorHAnsi" w:hAnsiTheme="minorHAnsi" w:cstheme="minorHAnsi"/>
        </w:rPr>
        <w:noBreakHyphen/>
        <w:t xml:space="preserve">296/95, EU:C:1998:152, 36 punktą ir 2003 m. lapkričio 20 d. </w:t>
      </w:r>
      <w:r w:rsidR="00D22BFA">
        <w:rPr>
          <w:rFonts w:asciiTheme="minorHAnsi" w:hAnsiTheme="minorHAnsi" w:cstheme="minorHAnsi"/>
        </w:rPr>
        <w:t>s</w:t>
      </w:r>
      <w:r w:rsidRPr="002F09DA">
        <w:rPr>
          <w:rFonts w:asciiTheme="minorHAnsi" w:hAnsiTheme="minorHAnsi" w:cstheme="minorHAnsi"/>
        </w:rPr>
        <w:t xml:space="preserve">prendimo </w:t>
      </w:r>
      <w:r w:rsidRPr="002F09DA">
        <w:rPr>
          <w:rFonts w:asciiTheme="minorHAnsi" w:hAnsiTheme="minorHAnsi" w:cstheme="minorHAnsi"/>
          <w:i/>
          <w:iCs/>
        </w:rPr>
        <w:t>Kyocera</w:t>
      </w:r>
      <w:r w:rsidRPr="002F09DA">
        <w:rPr>
          <w:rFonts w:asciiTheme="minorHAnsi" w:hAnsiTheme="minorHAnsi" w:cstheme="minorHAnsi"/>
        </w:rPr>
        <w:t>, C</w:t>
      </w:r>
      <w:r w:rsidRPr="002F09DA">
        <w:rPr>
          <w:rFonts w:asciiTheme="minorHAnsi" w:hAnsiTheme="minorHAnsi" w:cstheme="minorHAnsi"/>
        </w:rPr>
        <w:noBreakHyphen/>
        <w:t xml:space="preserve">152/01, EU:C:2003:623, 32 ir 33 punktus ir juose nurodytą jurisprudenciją). Taigi vienoje iš akto kalbinių versijų vartojama formuluotė negali būti vienintelis šio akto aiškinimo pagrindas ar įgyti dėl to prioritetą prieš kitas kalbines versijas. Toks požiūris būtų nesuderinamas su reikalavimu vienodai taikyti Sąjungos teisę (šiuo klausimu žr. 2009 m. spalio 22 d. </w:t>
      </w:r>
      <w:r w:rsidR="00D22BFA">
        <w:rPr>
          <w:rFonts w:asciiTheme="minorHAnsi" w:hAnsiTheme="minorHAnsi" w:cstheme="minorHAnsi"/>
        </w:rPr>
        <w:t>s</w:t>
      </w:r>
      <w:r w:rsidRPr="002F09DA">
        <w:rPr>
          <w:rFonts w:asciiTheme="minorHAnsi" w:hAnsiTheme="minorHAnsi" w:cstheme="minorHAnsi"/>
        </w:rPr>
        <w:t xml:space="preserve">prendimo </w:t>
      </w:r>
      <w:r w:rsidRPr="002F09DA">
        <w:rPr>
          <w:rFonts w:asciiTheme="minorHAnsi" w:hAnsiTheme="minorHAnsi" w:cstheme="minorHAnsi"/>
          <w:i/>
          <w:iCs/>
        </w:rPr>
        <w:t>Zurita García ir Choque Cabrera</w:t>
      </w:r>
      <w:r w:rsidRPr="002F09DA">
        <w:rPr>
          <w:rFonts w:asciiTheme="minorHAnsi" w:hAnsiTheme="minorHAnsi" w:cstheme="minorHAnsi"/>
        </w:rPr>
        <w:t>, C</w:t>
      </w:r>
      <w:r w:rsidRPr="002F09DA">
        <w:rPr>
          <w:rFonts w:asciiTheme="minorHAnsi" w:hAnsiTheme="minorHAnsi" w:cstheme="minorHAnsi"/>
        </w:rPr>
        <w:noBreakHyphen/>
        <w:t>261/08 ir C</w:t>
      </w:r>
      <w:r w:rsidRPr="002F09DA">
        <w:rPr>
          <w:rFonts w:asciiTheme="minorHAnsi" w:hAnsiTheme="minorHAnsi" w:cstheme="minorHAnsi"/>
        </w:rPr>
        <w:noBreakHyphen/>
        <w:t xml:space="preserve">348/08, EU:C:2009:648, 55 punktą ir jame nurodytą jurisprudenciją ir 2017 m. kovo 9 d. </w:t>
      </w:r>
      <w:r w:rsidR="00D22BFA">
        <w:rPr>
          <w:rFonts w:asciiTheme="minorHAnsi" w:hAnsiTheme="minorHAnsi" w:cstheme="minorHAnsi"/>
        </w:rPr>
        <w:t>s</w:t>
      </w:r>
      <w:r w:rsidRPr="002F09DA">
        <w:rPr>
          <w:rFonts w:asciiTheme="minorHAnsi" w:hAnsiTheme="minorHAnsi" w:cstheme="minorHAnsi"/>
        </w:rPr>
        <w:t xml:space="preserve">prendimo </w:t>
      </w:r>
      <w:r w:rsidRPr="002F09DA">
        <w:rPr>
          <w:rFonts w:asciiTheme="minorHAnsi" w:hAnsiTheme="minorHAnsi" w:cstheme="minorHAnsi"/>
          <w:i/>
          <w:iCs/>
        </w:rPr>
        <w:t>GE Healthcare</w:t>
      </w:r>
      <w:r w:rsidRPr="002F09DA">
        <w:rPr>
          <w:rFonts w:asciiTheme="minorHAnsi" w:hAnsiTheme="minorHAnsi" w:cstheme="minorHAnsi"/>
        </w:rPr>
        <w:t>, C</w:t>
      </w:r>
      <w:r w:rsidRPr="002F09DA">
        <w:rPr>
          <w:rFonts w:asciiTheme="minorHAnsi" w:hAnsiTheme="minorHAnsi" w:cstheme="minorHAnsi"/>
        </w:rPr>
        <w:noBreakHyphen/>
        <w:t>173/15, EU:C:2017:195, 65 punktą ir jame nurodytą jurisprudenciją). Nagrinėjamu atveju Bendrasis Teismas skundžiamoje nutartyje atliko ginčijamos rekomendacijos įvairių kalbinių versijų lyginamąją analizę ir tuo remdamasis priėjo prie išvados, kad rekomendacija iš esmės suformuluota neimperatyviai. Be to, teisiškai pakankamai išanalizavęs ginčijamos rekomendacijos tekstą, turinį ir priėmimo kontekstą, Bendrasis Teismas teisingai nusprendė, kad ši rekomendacija „nei sukėlė, nei yra skirta sukelti privalomiems teisiniams padariniams, todėl negali būti laikoma skundžiamu aktu, kaip tai suprantama pagal SESV 263 straipsnį“ (48–52 punktai).</w:t>
      </w:r>
    </w:p>
    <w:p w:rsidR="002F09DA" w:rsidRPr="002F09DA" w:rsidRDefault="002F09DA" w:rsidP="00AD0B10">
      <w:pPr>
        <w:ind w:firstLine="567"/>
        <w:rPr>
          <w:rFonts w:asciiTheme="minorHAnsi" w:eastAsia="Times New Roman" w:hAnsiTheme="minorHAnsi" w:cstheme="minorHAnsi"/>
          <w:lang w:eastAsia="lt-LT"/>
        </w:rPr>
      </w:pPr>
    </w:p>
    <w:p w:rsidR="002F09DA" w:rsidRPr="002F09DA" w:rsidRDefault="002F09DA" w:rsidP="00AD0B10">
      <w:pPr>
        <w:ind w:firstLine="567"/>
        <w:rPr>
          <w:rFonts w:asciiTheme="minorHAnsi" w:eastAsia="Times New Roman" w:hAnsiTheme="minorHAnsi" w:cstheme="minorHAnsi"/>
          <w:b/>
          <w:lang w:eastAsia="lt-LT"/>
        </w:rPr>
      </w:pPr>
      <w:r w:rsidRPr="002F09DA">
        <w:rPr>
          <w:rFonts w:asciiTheme="minorHAnsi" w:eastAsia="Times New Roman" w:hAnsiTheme="minorHAnsi" w:cstheme="minorHAnsi"/>
          <w:b/>
          <w:lang w:eastAsia="lt-LT"/>
        </w:rPr>
        <w:t>Remdamasis šiais motyvais, Teisingumo Teismas (didžioji kolegija) nusprendė:</w:t>
      </w:r>
    </w:p>
    <w:p w:rsidR="002F09DA" w:rsidRPr="002F09DA" w:rsidRDefault="002F09DA" w:rsidP="00AD0B10">
      <w:pPr>
        <w:ind w:firstLine="567"/>
        <w:rPr>
          <w:rFonts w:asciiTheme="minorHAnsi" w:eastAsia="Times New Roman" w:hAnsiTheme="minorHAnsi" w:cstheme="minorHAnsi"/>
          <w:bCs/>
          <w:lang w:eastAsia="lt-LT"/>
        </w:rPr>
      </w:pPr>
    </w:p>
    <w:p w:rsidR="002F09DA" w:rsidRPr="0090692D" w:rsidRDefault="002F09DA" w:rsidP="00AD0B10">
      <w:pPr>
        <w:ind w:firstLine="567"/>
        <w:rPr>
          <w:rFonts w:asciiTheme="minorHAnsi" w:eastAsia="Times New Roman" w:hAnsiTheme="minorHAnsi" w:cstheme="minorHAnsi"/>
          <w:bCs/>
          <w:lang w:eastAsia="lt-LT"/>
        </w:rPr>
      </w:pPr>
      <w:r w:rsidRPr="0090692D">
        <w:rPr>
          <w:rFonts w:asciiTheme="minorHAnsi" w:eastAsia="Times New Roman" w:hAnsiTheme="minorHAnsi" w:cstheme="minorHAnsi"/>
          <w:bCs/>
          <w:lang w:eastAsia="lt-LT"/>
        </w:rPr>
        <w:t>Atmesti apeliacinį skundą.</w:t>
      </w:r>
    </w:p>
    <w:p w:rsidR="002F09DA" w:rsidRPr="0090692D" w:rsidRDefault="002F09DA" w:rsidP="00AD0B10">
      <w:pPr>
        <w:ind w:firstLine="567"/>
        <w:rPr>
          <w:rFonts w:asciiTheme="minorHAnsi" w:eastAsia="Times New Roman" w:hAnsiTheme="minorHAnsi" w:cstheme="minorHAnsi"/>
          <w:bCs/>
          <w:lang w:eastAsia="lt-LT"/>
        </w:rPr>
      </w:pPr>
      <w:r w:rsidRPr="0090692D">
        <w:rPr>
          <w:rFonts w:asciiTheme="minorHAnsi" w:eastAsia="Times New Roman" w:hAnsiTheme="minorHAnsi" w:cstheme="minorHAnsi"/>
          <w:bCs/>
          <w:lang w:eastAsia="lt-LT"/>
        </w:rPr>
        <w:t>Belgijos Karalystė padengia bylinėjimosi išlaidas.</w:t>
      </w:r>
    </w:p>
    <w:p w:rsidR="002F09DA" w:rsidRPr="002F09DA" w:rsidRDefault="00EF32EC" w:rsidP="00AD0B10">
      <w:pPr>
        <w:ind w:firstLine="567"/>
        <w:rPr>
          <w:rFonts w:asciiTheme="minorHAnsi" w:eastAsia="Times New Roman" w:hAnsiTheme="minorHAnsi" w:cstheme="minorHAnsi"/>
          <w:bCs/>
          <w:color w:val="333333"/>
          <w:lang w:eastAsia="lt-LT"/>
        </w:rPr>
      </w:pPr>
      <w:hyperlink r:id="rId22" w:history="1">
        <w:r w:rsidR="002F09DA" w:rsidRPr="002F09DA">
          <w:rPr>
            <w:rStyle w:val="Hipersaitas"/>
            <w:rFonts w:asciiTheme="minorHAnsi" w:hAnsiTheme="minorHAnsi" w:cstheme="minorHAnsi"/>
            <w:bCs/>
            <w:lang w:eastAsia="lt-LT"/>
          </w:rPr>
          <w:t>Prieiga internete</w:t>
        </w:r>
      </w:hyperlink>
    </w:p>
    <w:p w:rsidR="00D65A51" w:rsidRPr="002F09DA" w:rsidRDefault="00D65A51" w:rsidP="0029340F">
      <w:pPr>
        <w:tabs>
          <w:tab w:val="right" w:leader="dot" w:pos="9639"/>
        </w:tabs>
        <w:ind w:firstLine="567"/>
        <w:rPr>
          <w:rFonts w:asciiTheme="minorHAnsi" w:hAnsiTheme="minorHAnsi" w:cstheme="minorHAnsi"/>
        </w:rPr>
      </w:pPr>
      <w:bookmarkStart w:id="59" w:name="_Toc467573926"/>
      <w:bookmarkStart w:id="60" w:name="_Toc436400438"/>
      <w:bookmarkStart w:id="61" w:name="_Toc439688571"/>
    </w:p>
    <w:p w:rsidR="0029340F" w:rsidRPr="0029340F" w:rsidRDefault="0029340F" w:rsidP="0029340F">
      <w:pPr>
        <w:pStyle w:val="Antrat1"/>
        <w:spacing w:before="0"/>
        <w:rPr>
          <w:rFonts w:eastAsia="Times New Roman" w:cstheme="minorHAnsi"/>
          <w:bCs/>
          <w:kern w:val="32"/>
          <w:szCs w:val="22"/>
          <w:lang w:eastAsia="lt-LT"/>
        </w:rPr>
      </w:pPr>
      <w:bookmarkStart w:id="62" w:name="_Toc517273051"/>
      <w:bookmarkEnd w:id="59"/>
      <w:bookmarkEnd w:id="60"/>
      <w:bookmarkEnd w:id="61"/>
      <w:r w:rsidRPr="0029340F">
        <w:rPr>
          <w:rFonts w:eastAsia="Times New Roman" w:cstheme="minorHAnsi"/>
          <w:bCs/>
          <w:kern w:val="32"/>
          <w:lang w:eastAsia="lt-LT"/>
        </w:rPr>
        <w:t>VIEŠIEJI PIRKIMAI</w:t>
      </w:r>
      <w:bookmarkEnd w:id="62"/>
      <w:r w:rsidRPr="0029340F">
        <w:rPr>
          <w:rFonts w:eastAsia="Times New Roman" w:cstheme="minorHAnsi"/>
          <w:bCs/>
          <w:kern w:val="32"/>
          <w:szCs w:val="22"/>
          <w:lang w:eastAsia="lt-LT"/>
        </w:rPr>
        <w:t xml:space="preserve"> </w:t>
      </w:r>
    </w:p>
    <w:p w:rsidR="0029340F" w:rsidRDefault="0029340F" w:rsidP="0029340F">
      <w:pPr>
        <w:jc w:val="center"/>
        <w:rPr>
          <w:rFonts w:eastAsia="Times New Roman"/>
          <w:b/>
          <w:bCs/>
          <w:iCs/>
          <w:szCs w:val="24"/>
          <w:lang w:eastAsia="lt-LT"/>
        </w:rPr>
      </w:pPr>
    </w:p>
    <w:p w:rsidR="0029340F" w:rsidRPr="006B6EDE" w:rsidRDefault="0029340F" w:rsidP="006B6EDE">
      <w:pPr>
        <w:pStyle w:val="Antrat2"/>
        <w:rPr>
          <w:bCs w:val="0"/>
          <w:iCs w:val="0"/>
        </w:rPr>
      </w:pPr>
      <w:bookmarkStart w:id="63" w:name="_Toc517273052"/>
      <w:r w:rsidRPr="006B6EDE">
        <w:rPr>
          <w:bCs w:val="0"/>
          <w:iCs w:val="0"/>
        </w:rPr>
        <w:t>2018 m. kovo 20 d. didžiosios kolegijos sprendimas byloje C-187/16</w:t>
      </w:r>
      <w:bookmarkEnd w:id="63"/>
    </w:p>
    <w:p w:rsidR="0029340F" w:rsidRPr="008C4B93" w:rsidRDefault="0029340F" w:rsidP="0029340F">
      <w:pPr>
        <w:jc w:val="center"/>
        <w:rPr>
          <w:rFonts w:eastAsia="Times New Roman"/>
          <w:b/>
          <w:bCs/>
          <w:i/>
          <w:iCs/>
          <w:szCs w:val="24"/>
          <w:lang w:eastAsia="lt-LT"/>
        </w:rPr>
      </w:pPr>
      <w:r w:rsidRPr="004946D6">
        <w:rPr>
          <w:rFonts w:eastAsia="Times New Roman"/>
          <w:b/>
          <w:bCs/>
          <w:i/>
          <w:iCs/>
          <w:szCs w:val="24"/>
          <w:lang w:eastAsia="lt-LT"/>
        </w:rPr>
        <w:t>Europos Komisija</w:t>
      </w:r>
      <w:r>
        <w:rPr>
          <w:rFonts w:eastAsia="Times New Roman"/>
          <w:b/>
          <w:bCs/>
          <w:i/>
          <w:iCs/>
          <w:szCs w:val="24"/>
          <w:lang w:eastAsia="lt-LT"/>
        </w:rPr>
        <w:t xml:space="preserve"> </w:t>
      </w:r>
      <w:r w:rsidRPr="004946D6">
        <w:rPr>
          <w:rFonts w:eastAsia="Times New Roman"/>
          <w:b/>
          <w:bCs/>
          <w:i/>
          <w:iCs/>
          <w:szCs w:val="24"/>
          <w:lang w:eastAsia="lt-LT"/>
        </w:rPr>
        <w:t>prieš</w:t>
      </w:r>
      <w:r>
        <w:rPr>
          <w:rFonts w:eastAsia="Times New Roman"/>
          <w:b/>
          <w:bCs/>
          <w:i/>
          <w:iCs/>
          <w:szCs w:val="24"/>
          <w:lang w:eastAsia="lt-LT"/>
        </w:rPr>
        <w:t xml:space="preserve"> </w:t>
      </w:r>
      <w:r w:rsidRPr="004946D6">
        <w:rPr>
          <w:rFonts w:eastAsia="Times New Roman"/>
          <w:b/>
          <w:bCs/>
          <w:i/>
          <w:iCs/>
          <w:szCs w:val="24"/>
          <w:lang w:eastAsia="lt-LT"/>
        </w:rPr>
        <w:t>Austrijos Respubliką</w:t>
      </w:r>
    </w:p>
    <w:p w:rsidR="0029340F" w:rsidRPr="000A7F4A" w:rsidRDefault="0029340F" w:rsidP="0029340F">
      <w:pPr>
        <w:ind w:firstLine="1296"/>
        <w:rPr>
          <w:rFonts w:eastAsia="Times New Roman"/>
          <w:shd w:val="clear" w:color="auto" w:fill="FFFFFF"/>
          <w:lang w:eastAsia="lt-LT"/>
        </w:rPr>
      </w:pPr>
    </w:p>
    <w:p w:rsidR="0029340F" w:rsidRDefault="0029340F" w:rsidP="0029340F">
      <w:pPr>
        <w:ind w:firstLine="567"/>
        <w:rPr>
          <w:rFonts w:eastAsia="Times New Roman"/>
          <w:shd w:val="clear" w:color="auto" w:fill="FFFFFF"/>
          <w:lang w:eastAsia="lt-LT"/>
        </w:rPr>
      </w:pPr>
      <w:r>
        <w:rPr>
          <w:rFonts w:eastAsia="Times New Roman"/>
          <w:shd w:val="clear" w:color="auto" w:fill="FFFFFF"/>
          <w:lang w:eastAsia="lt-LT"/>
        </w:rPr>
        <w:t>I</w:t>
      </w:r>
      <w:r w:rsidRPr="004946D6">
        <w:rPr>
          <w:rFonts w:eastAsia="Times New Roman"/>
          <w:shd w:val="clear" w:color="auto" w:fill="FFFFFF"/>
          <w:lang w:eastAsia="lt-LT"/>
        </w:rPr>
        <w:t>eškiniu Europos Komisija praš</w:t>
      </w:r>
      <w:r>
        <w:rPr>
          <w:rFonts w:eastAsia="Times New Roman"/>
          <w:shd w:val="clear" w:color="auto" w:fill="FFFFFF"/>
          <w:lang w:eastAsia="lt-LT"/>
        </w:rPr>
        <w:t>ė</w:t>
      </w:r>
      <w:r w:rsidRPr="004946D6">
        <w:rPr>
          <w:rFonts w:eastAsia="Times New Roman"/>
          <w:shd w:val="clear" w:color="auto" w:fill="FFFFFF"/>
          <w:lang w:eastAsia="lt-LT"/>
        </w:rPr>
        <w:t xml:space="preserve"> Teisingumo Teismo konstatuoti, kad sudarydama dokumentų </w:t>
      </w:r>
      <w:r>
        <w:rPr>
          <w:rFonts w:eastAsia="Times New Roman"/>
          <w:shd w:val="clear" w:color="auto" w:fill="FFFFFF"/>
          <w:lang w:eastAsia="lt-LT"/>
        </w:rPr>
        <w:t>(pasų</w:t>
      </w:r>
      <w:r w:rsidRPr="004946D6">
        <w:rPr>
          <w:rFonts w:eastAsia="Times New Roman"/>
          <w:shd w:val="clear" w:color="auto" w:fill="FFFFFF"/>
          <w:lang w:eastAsia="lt-LT"/>
        </w:rPr>
        <w:t xml:space="preserve">, leidimų gyventi, tapatybės kortelių, pirotechnikos leidimų, </w:t>
      </w:r>
      <w:r>
        <w:rPr>
          <w:rFonts w:eastAsia="Times New Roman"/>
          <w:shd w:val="clear" w:color="auto" w:fill="FFFFFF"/>
          <w:lang w:eastAsia="lt-LT"/>
        </w:rPr>
        <w:t>kt.)</w:t>
      </w:r>
      <w:r w:rsidRPr="004946D6">
        <w:rPr>
          <w:rFonts w:eastAsia="Times New Roman"/>
          <w:shd w:val="clear" w:color="auto" w:fill="FFFFFF"/>
          <w:lang w:eastAsia="lt-LT"/>
        </w:rPr>
        <w:t xml:space="preserve"> gamybos paslaugų pirkimo sutartis tiesiogiai su </w:t>
      </w:r>
      <w:r>
        <w:rPr>
          <w:rFonts w:eastAsia="Times New Roman"/>
          <w:shd w:val="clear" w:color="auto" w:fill="FFFFFF"/>
          <w:lang w:eastAsia="lt-LT"/>
        </w:rPr>
        <w:t xml:space="preserve">Austrijos valstybine spaustuve – </w:t>
      </w:r>
      <w:r w:rsidRPr="004946D6">
        <w:rPr>
          <w:rFonts w:eastAsia="Times New Roman"/>
          <w:shd w:val="clear" w:color="auto" w:fill="FFFFFF"/>
          <w:lang w:eastAsia="lt-LT"/>
        </w:rPr>
        <w:t>Österreichische Staatsdruckerei GmbH (toliau – ÖS) ir palikdama galioti nacionalinės teisės nuostatas, įpareigojančias perkančiąsias organizacijas šias paslaugų pirkimo sutartis sudaryti tiesiogiai su šia bendrove, Austrijos Respublika neįvykdė įsi</w:t>
      </w:r>
      <w:r>
        <w:rPr>
          <w:rFonts w:eastAsia="Times New Roman"/>
          <w:shd w:val="clear" w:color="auto" w:fill="FFFFFF"/>
          <w:lang w:eastAsia="lt-LT"/>
        </w:rPr>
        <w:t>pareigojimų pagal SESV 49 ir 56 </w:t>
      </w:r>
      <w:r w:rsidRPr="004946D6">
        <w:rPr>
          <w:rFonts w:eastAsia="Times New Roman"/>
          <w:shd w:val="clear" w:color="auto" w:fill="FFFFFF"/>
          <w:lang w:eastAsia="lt-LT"/>
        </w:rPr>
        <w:t>straipsnius, 1992 m. birželio 18 d. Tarybos direktyvos 92/50/EEB dėl viešojo paslaugų pirkimo sutarčių sudarymo tvarkos derinimo (</w:t>
      </w:r>
      <w:r>
        <w:rPr>
          <w:rFonts w:eastAsia="Times New Roman"/>
          <w:shd w:val="clear" w:color="auto" w:fill="FFFFFF"/>
          <w:lang w:eastAsia="lt-LT"/>
        </w:rPr>
        <w:t xml:space="preserve">toliau – ir </w:t>
      </w:r>
      <w:r w:rsidRPr="004946D6">
        <w:rPr>
          <w:rFonts w:eastAsia="Times New Roman"/>
          <w:shd w:val="clear" w:color="auto" w:fill="FFFFFF"/>
          <w:lang w:eastAsia="lt-LT"/>
        </w:rPr>
        <w:t>direktyv</w:t>
      </w:r>
      <w:r>
        <w:rPr>
          <w:rFonts w:eastAsia="Times New Roman"/>
          <w:shd w:val="clear" w:color="auto" w:fill="FFFFFF"/>
          <w:lang w:eastAsia="lt-LT"/>
        </w:rPr>
        <w:t>a</w:t>
      </w:r>
      <w:r w:rsidRPr="004946D6">
        <w:rPr>
          <w:rFonts w:eastAsia="Times New Roman"/>
          <w:shd w:val="clear" w:color="auto" w:fill="FFFFFF"/>
          <w:lang w:eastAsia="lt-LT"/>
        </w:rPr>
        <w:t xml:space="preserve"> 92/50/EEB) 4 ir 8 str</w:t>
      </w:r>
      <w:r>
        <w:rPr>
          <w:rFonts w:eastAsia="Times New Roman"/>
          <w:shd w:val="clear" w:color="auto" w:fill="FFFFFF"/>
          <w:lang w:eastAsia="lt-LT"/>
        </w:rPr>
        <w:t>aipsnius, siejamus su jos 11–</w:t>
      </w:r>
      <w:r>
        <w:rPr>
          <w:rFonts w:eastAsia="Times New Roman"/>
          <w:shd w:val="clear" w:color="auto" w:fill="FFFFFF"/>
          <w:lang w:eastAsia="lt-LT"/>
        </w:rPr>
        <w:lastRenderedPageBreak/>
        <w:t>37 </w:t>
      </w:r>
      <w:r w:rsidRPr="004946D6">
        <w:rPr>
          <w:rFonts w:eastAsia="Times New Roman"/>
          <w:shd w:val="clear" w:color="auto" w:fill="FFFFFF"/>
          <w:lang w:eastAsia="lt-LT"/>
        </w:rPr>
        <w:t>straipsniais, ir 2004 m. kovo 31 d. Europos Parlamento ir Tarybos direktyvos 2004/18/EB dėl viešojo darbų, prekių ir paslaugų pirkimo sutarčių sudarymo tvarkos (</w:t>
      </w:r>
      <w:r>
        <w:rPr>
          <w:rFonts w:eastAsia="Times New Roman"/>
          <w:shd w:val="clear" w:color="auto" w:fill="FFFFFF"/>
          <w:lang w:eastAsia="lt-LT"/>
        </w:rPr>
        <w:t xml:space="preserve">toliau – ir </w:t>
      </w:r>
      <w:r w:rsidRPr="004946D6">
        <w:rPr>
          <w:rFonts w:eastAsia="Times New Roman"/>
          <w:shd w:val="clear" w:color="auto" w:fill="FFFFFF"/>
          <w:lang w:eastAsia="lt-LT"/>
        </w:rPr>
        <w:t>direktyv</w:t>
      </w:r>
      <w:r>
        <w:rPr>
          <w:rFonts w:eastAsia="Times New Roman"/>
          <w:shd w:val="clear" w:color="auto" w:fill="FFFFFF"/>
          <w:lang w:eastAsia="lt-LT"/>
        </w:rPr>
        <w:t>a</w:t>
      </w:r>
      <w:r w:rsidRPr="004946D6">
        <w:rPr>
          <w:rFonts w:eastAsia="Times New Roman"/>
          <w:shd w:val="clear" w:color="auto" w:fill="FFFFFF"/>
          <w:lang w:eastAsia="lt-LT"/>
        </w:rPr>
        <w:t xml:space="preserve"> 2004/18/EB) 14 ir 20 straipsnius, siejamus su jos 23–55 straipsniais</w:t>
      </w:r>
      <w:r>
        <w:rPr>
          <w:rFonts w:eastAsia="Times New Roman"/>
          <w:shd w:val="clear" w:color="auto" w:fill="FFFFFF"/>
          <w:lang w:eastAsia="lt-LT"/>
        </w:rPr>
        <w:t xml:space="preserve"> </w:t>
      </w:r>
      <w:r w:rsidRPr="002C4F1D">
        <w:rPr>
          <w:rFonts w:eastAsia="Times New Roman"/>
          <w:shd w:val="clear" w:color="auto" w:fill="FFFFFF"/>
          <w:lang w:eastAsia="lt-LT"/>
        </w:rPr>
        <w:t>(1 punktas).</w:t>
      </w:r>
    </w:p>
    <w:p w:rsidR="0029340F" w:rsidRPr="00482A37" w:rsidRDefault="0029340F" w:rsidP="0029340F">
      <w:pPr>
        <w:ind w:firstLine="567"/>
        <w:rPr>
          <w:rFonts w:eastAsia="Times New Roman"/>
          <w:shd w:val="clear" w:color="auto" w:fill="FFFFFF"/>
          <w:lang w:eastAsia="lt-LT"/>
        </w:rPr>
      </w:pPr>
      <w:r w:rsidRPr="00482A37">
        <w:rPr>
          <w:rFonts w:eastAsia="Times New Roman"/>
          <w:shd w:val="clear" w:color="auto" w:fill="FFFFFF"/>
          <w:lang w:eastAsia="lt-LT"/>
        </w:rPr>
        <w:t>Komisij</w:t>
      </w:r>
      <w:r>
        <w:rPr>
          <w:rFonts w:eastAsia="Times New Roman"/>
          <w:shd w:val="clear" w:color="auto" w:fill="FFFFFF"/>
          <w:lang w:eastAsia="lt-LT"/>
        </w:rPr>
        <w:t xml:space="preserve">os nuomone, </w:t>
      </w:r>
      <w:r w:rsidRPr="00AD5DA2">
        <w:rPr>
          <w:rFonts w:eastAsia="Times New Roman"/>
          <w:shd w:val="clear" w:color="auto" w:fill="FFFFFF"/>
          <w:lang w:eastAsia="lt-LT"/>
        </w:rPr>
        <w:t xml:space="preserve">aptariamos pirkimo sutartys patenka į direktyvų 92/50 ir 2004/18 taikymo sritį, nes jų numatomos vertės viršija pagal minėtas direktyvas taikomas ribas. Anot Komisijos, Austrijos Respublika neįrodė, kad </w:t>
      </w:r>
      <w:r>
        <w:rPr>
          <w:rFonts w:eastAsia="Times New Roman"/>
          <w:shd w:val="clear" w:color="auto" w:fill="FFFFFF"/>
          <w:lang w:eastAsia="lt-LT"/>
        </w:rPr>
        <w:t xml:space="preserve">pirmiau nurodytų paslaugų viešojo pirkimo </w:t>
      </w:r>
      <w:r w:rsidRPr="00AD5DA2">
        <w:rPr>
          <w:rFonts w:eastAsia="Times New Roman"/>
          <w:shd w:val="clear" w:color="auto" w:fill="FFFFFF"/>
          <w:lang w:eastAsia="lt-LT"/>
        </w:rPr>
        <w:t xml:space="preserve">konkursas visiškai neįmanomas </w:t>
      </w:r>
      <w:r>
        <w:rPr>
          <w:rFonts w:eastAsia="Times New Roman"/>
          <w:shd w:val="clear" w:color="auto" w:fill="FFFFFF"/>
          <w:lang w:eastAsia="lt-LT"/>
        </w:rPr>
        <w:t>kaip galintis</w:t>
      </w:r>
      <w:r w:rsidRPr="00AD5DA2">
        <w:rPr>
          <w:rFonts w:eastAsia="Times New Roman"/>
          <w:shd w:val="clear" w:color="auto" w:fill="FFFFFF"/>
          <w:lang w:eastAsia="lt-LT"/>
        </w:rPr>
        <w:t xml:space="preserve"> stipriai pakenkt</w:t>
      </w:r>
      <w:r>
        <w:rPr>
          <w:rFonts w:eastAsia="Times New Roman"/>
          <w:shd w:val="clear" w:color="auto" w:fill="FFFFFF"/>
          <w:lang w:eastAsia="lt-LT"/>
        </w:rPr>
        <w:t>i</w:t>
      </w:r>
      <w:r w:rsidRPr="00AD5DA2">
        <w:rPr>
          <w:rFonts w:eastAsia="Times New Roman"/>
          <w:shd w:val="clear" w:color="auto" w:fill="FFFFFF"/>
          <w:lang w:eastAsia="lt-LT"/>
        </w:rPr>
        <w:t xml:space="preserve"> konfidencialumo pareigos paisymui ir saugumo bei kontrolės p</w:t>
      </w:r>
      <w:r>
        <w:rPr>
          <w:rFonts w:eastAsia="Times New Roman"/>
          <w:shd w:val="clear" w:color="auto" w:fill="FFFFFF"/>
          <w:lang w:eastAsia="lt-LT"/>
        </w:rPr>
        <w:t>riemonėms (45, 50 punktai)</w:t>
      </w:r>
      <w:r w:rsidRPr="00482A37">
        <w:rPr>
          <w:rFonts w:eastAsia="Times New Roman"/>
          <w:shd w:val="clear" w:color="auto" w:fill="FFFFFF"/>
          <w:lang w:eastAsia="lt-LT"/>
        </w:rPr>
        <w:t>.</w:t>
      </w:r>
    </w:p>
    <w:p w:rsidR="0029340F" w:rsidRPr="000A7F4A" w:rsidRDefault="0029340F" w:rsidP="0029340F">
      <w:pPr>
        <w:ind w:firstLine="567"/>
        <w:rPr>
          <w:rFonts w:eastAsia="Times New Roman"/>
          <w:shd w:val="clear" w:color="auto" w:fill="FFFFFF"/>
          <w:lang w:eastAsia="lt-LT"/>
        </w:rPr>
      </w:pPr>
      <w:r w:rsidRPr="00482A37">
        <w:rPr>
          <w:rFonts w:eastAsia="Times New Roman"/>
          <w:shd w:val="clear" w:color="auto" w:fill="FFFFFF"/>
          <w:lang w:eastAsia="lt-LT"/>
        </w:rPr>
        <w:t>Austrijos Respublika teigė, kad aptariamos paslaugų pirkimo sutartys skirtos jos esminių interesų apsaugai ir todėl nepatenka nei į SESV, nei į direktyvų 92/50 ir 2004/18 taikymo sritį. Be to, ji pridūrė, kad tiesioginį pirkimo sutarčių dėl šių dokumentų spausdinimo paslaugų paskyrimą vien ÖS pateisina būtinybė saugoti informacijos slaptumą, garantuoti minėtų dokumentų autentiškumą ir teisingumą, užtikrinti aprūpinimą šiais dokumentais ir garantuoti neskelbtinų duomenų apsaugą</w:t>
      </w:r>
      <w:r>
        <w:rPr>
          <w:rFonts w:eastAsia="Times New Roman"/>
          <w:shd w:val="clear" w:color="auto" w:fill="FFFFFF"/>
          <w:lang w:eastAsia="lt-LT"/>
        </w:rPr>
        <w:t xml:space="preserve"> (37 </w:t>
      </w:r>
      <w:r w:rsidRPr="000A7F4A">
        <w:rPr>
          <w:rFonts w:eastAsia="Times New Roman"/>
          <w:shd w:val="clear" w:color="auto" w:fill="FFFFFF"/>
          <w:lang w:eastAsia="lt-LT"/>
        </w:rPr>
        <w:t>punkta</w:t>
      </w:r>
      <w:r>
        <w:rPr>
          <w:rFonts w:eastAsia="Times New Roman"/>
          <w:shd w:val="clear" w:color="auto" w:fill="FFFFFF"/>
          <w:lang w:eastAsia="lt-LT"/>
        </w:rPr>
        <w:t>s</w:t>
      </w:r>
      <w:r w:rsidRPr="000A7F4A">
        <w:rPr>
          <w:rFonts w:eastAsia="Times New Roman"/>
          <w:shd w:val="clear" w:color="auto" w:fill="FFFFFF"/>
          <w:lang w:eastAsia="lt-LT"/>
        </w:rPr>
        <w:t>)</w:t>
      </w:r>
      <w:r w:rsidRPr="00482A37">
        <w:rPr>
          <w:rFonts w:eastAsia="Times New Roman"/>
          <w:shd w:val="clear" w:color="auto" w:fill="FFFFFF"/>
          <w:lang w:eastAsia="lt-LT"/>
        </w:rPr>
        <w:t>.</w:t>
      </w:r>
      <w:r>
        <w:rPr>
          <w:rFonts w:eastAsia="Times New Roman"/>
          <w:shd w:val="clear" w:color="auto" w:fill="FFFFFF"/>
          <w:lang w:eastAsia="lt-LT"/>
        </w:rPr>
        <w:t xml:space="preserve"> T</w:t>
      </w:r>
      <w:r w:rsidRPr="00482A37">
        <w:rPr>
          <w:rFonts w:eastAsia="Times New Roman"/>
          <w:shd w:val="clear" w:color="auto" w:fill="FFFFFF"/>
          <w:lang w:eastAsia="lt-LT"/>
        </w:rPr>
        <w:t>aikom</w:t>
      </w:r>
      <w:r>
        <w:rPr>
          <w:rFonts w:eastAsia="Times New Roman"/>
          <w:shd w:val="clear" w:color="auto" w:fill="FFFFFF"/>
          <w:lang w:eastAsia="lt-LT"/>
        </w:rPr>
        <w:t xml:space="preserve">os </w:t>
      </w:r>
      <w:r w:rsidRPr="00482A37">
        <w:rPr>
          <w:rFonts w:eastAsia="Times New Roman"/>
          <w:shd w:val="clear" w:color="auto" w:fill="FFFFFF"/>
          <w:lang w:eastAsia="lt-LT"/>
        </w:rPr>
        <w:t>strategijos esmė – sudaryti aptariamas pirkimo sutartis tik su vienu konkurso laimėtoju, kurio gamybos vieta ar vietos yra nacionalinėje teritorijoje</w:t>
      </w:r>
      <w:r>
        <w:rPr>
          <w:rFonts w:eastAsia="Times New Roman"/>
          <w:shd w:val="clear" w:color="auto" w:fill="FFFFFF"/>
          <w:lang w:eastAsia="lt-LT"/>
        </w:rPr>
        <w:t>.</w:t>
      </w:r>
      <w:r w:rsidRPr="00482A37">
        <w:rPr>
          <w:rFonts w:eastAsia="Times New Roman"/>
          <w:shd w:val="clear" w:color="auto" w:fill="FFFFFF"/>
          <w:lang w:eastAsia="lt-LT"/>
        </w:rPr>
        <w:t xml:space="preserve"> Siekiama, pirma, išvengti informacijos apie saugumo priemones paskleidimo tarp kitų Austrijoje arba kitoje valstybėje narėje veikiančių rangovų</w:t>
      </w:r>
      <w:r>
        <w:rPr>
          <w:rFonts w:eastAsia="Times New Roman"/>
          <w:shd w:val="clear" w:color="auto" w:fill="FFFFFF"/>
          <w:lang w:eastAsia="lt-LT"/>
        </w:rPr>
        <w:t>; a</w:t>
      </w:r>
      <w:r w:rsidRPr="00482A37">
        <w:rPr>
          <w:rFonts w:eastAsia="Times New Roman"/>
          <w:shd w:val="clear" w:color="auto" w:fill="FFFFFF"/>
          <w:lang w:eastAsia="lt-LT"/>
        </w:rPr>
        <w:t>ntra, toki</w:t>
      </w:r>
      <w:r>
        <w:rPr>
          <w:rFonts w:eastAsia="Times New Roman"/>
          <w:shd w:val="clear" w:color="auto" w:fill="FFFFFF"/>
          <w:lang w:eastAsia="lt-LT"/>
        </w:rPr>
        <w:t>ų</w:t>
      </w:r>
      <w:r w:rsidRPr="00482A37">
        <w:rPr>
          <w:rFonts w:eastAsia="Times New Roman"/>
          <w:shd w:val="clear" w:color="auto" w:fill="FFFFFF"/>
          <w:lang w:eastAsia="lt-LT"/>
        </w:rPr>
        <w:t xml:space="preserve"> sutarčių sudarymo tikslas – užtikrinti veiksmingesnę nacionalinių institucijų įgyvendinant administracines kontrolės prerogatyvas vykdomą šios spaustuvės kontrolę</w:t>
      </w:r>
      <w:r>
        <w:rPr>
          <w:rFonts w:eastAsia="Times New Roman"/>
          <w:shd w:val="clear" w:color="auto" w:fill="FFFFFF"/>
          <w:lang w:eastAsia="lt-LT"/>
        </w:rPr>
        <w:t>, nes</w:t>
      </w:r>
      <w:r w:rsidRPr="00482A37">
        <w:rPr>
          <w:rFonts w:eastAsia="Times New Roman"/>
          <w:shd w:val="clear" w:color="auto" w:fill="FFFFFF"/>
          <w:lang w:eastAsia="lt-LT"/>
        </w:rPr>
        <w:t xml:space="preserve"> teisminiu keliu įgyvendinama kontrolė, kuri pasibaigus galimai ilgai procedūrai lemtų sankcijas už saugumo sąlygų nepaisymą pagal sutarties nuostatas, nėra tokia veiksminga kaip valstybės vykdoma kontrolė</w:t>
      </w:r>
      <w:r>
        <w:rPr>
          <w:rFonts w:eastAsia="Times New Roman"/>
          <w:shd w:val="clear" w:color="auto" w:fill="FFFFFF"/>
          <w:lang w:eastAsia="lt-LT"/>
        </w:rPr>
        <w:t xml:space="preserve"> (64–65 </w:t>
      </w:r>
      <w:r w:rsidRPr="000A7F4A">
        <w:rPr>
          <w:rFonts w:eastAsia="Times New Roman"/>
          <w:shd w:val="clear" w:color="auto" w:fill="FFFFFF"/>
          <w:lang w:eastAsia="lt-LT"/>
        </w:rPr>
        <w:t xml:space="preserve">punktai). </w:t>
      </w:r>
    </w:p>
    <w:p w:rsidR="0029340F" w:rsidRPr="000A7F4A" w:rsidRDefault="0029340F" w:rsidP="0029340F">
      <w:pPr>
        <w:ind w:firstLine="1296"/>
        <w:rPr>
          <w:rFonts w:eastAsia="Times New Roman"/>
          <w:shd w:val="clear" w:color="auto" w:fill="FFFFFF"/>
          <w:lang w:eastAsia="lt-LT"/>
        </w:rPr>
      </w:pPr>
    </w:p>
    <w:p w:rsidR="0029340F" w:rsidRPr="00B3197F" w:rsidRDefault="0029340F" w:rsidP="00B54B15">
      <w:pPr>
        <w:pStyle w:val="Antrat3"/>
        <w:ind w:firstLine="567"/>
        <w:rPr>
          <w:rFonts w:eastAsia="Times New Roman" w:cs="Times New Roman"/>
          <w:b w:val="0"/>
          <w:shd w:val="clear" w:color="auto" w:fill="FFFFFF"/>
          <w:lang w:eastAsia="lt-LT"/>
        </w:rPr>
      </w:pPr>
      <w:bookmarkStart w:id="64" w:name="_Toc517273053"/>
      <w:r w:rsidRPr="00B3197F">
        <w:rPr>
          <w:rFonts w:eastAsia="Times New Roman" w:cs="Times New Roman"/>
          <w:shd w:val="clear" w:color="auto" w:fill="FFFFFF"/>
          <w:lang w:eastAsia="lt-LT"/>
        </w:rPr>
        <w:t xml:space="preserve">Dėl </w:t>
      </w:r>
      <w:r>
        <w:rPr>
          <w:rFonts w:eastAsia="Times New Roman" w:cs="Times New Roman"/>
          <w:shd w:val="clear" w:color="auto" w:fill="FFFFFF"/>
          <w:lang w:eastAsia="lt-LT"/>
        </w:rPr>
        <w:t>pirkimo sutarčių</w:t>
      </w:r>
      <w:r w:rsidRPr="00D04801">
        <w:rPr>
          <w:rFonts w:eastAsia="Times New Roman" w:cs="Times New Roman"/>
          <w:shd w:val="clear" w:color="auto" w:fill="FFFFFF"/>
          <w:lang w:eastAsia="lt-LT"/>
        </w:rPr>
        <w:t xml:space="preserve"> dėl pasų su lustu, laikinųjų pasų, leidimų gyventi, tapatybės kortelių, kredito kortelės pavidalo vairuotojo pažymėjimų ir kredito kortelės pavidalo transporto priemonių registracijos dokumentų spausdinimo paslaugų</w:t>
      </w:r>
      <w:bookmarkEnd w:id="64"/>
    </w:p>
    <w:p w:rsidR="0029340F" w:rsidRPr="000A7F4A" w:rsidRDefault="0029340F" w:rsidP="0029340F">
      <w:pPr>
        <w:ind w:firstLine="1296"/>
        <w:rPr>
          <w:rFonts w:eastAsia="Times New Roman"/>
          <w:shd w:val="clear" w:color="auto" w:fill="FFFFFF"/>
          <w:lang w:eastAsia="lt-LT"/>
        </w:rPr>
      </w:pPr>
    </w:p>
    <w:p w:rsidR="0029340F" w:rsidRDefault="0029340F" w:rsidP="0029340F">
      <w:pPr>
        <w:ind w:firstLine="567"/>
        <w:rPr>
          <w:rFonts w:eastAsia="Times New Roman"/>
          <w:shd w:val="clear" w:color="auto" w:fill="FFFFFF"/>
          <w:lang w:eastAsia="lt-LT"/>
        </w:rPr>
      </w:pPr>
      <w:r w:rsidRPr="000A7F4A">
        <w:rPr>
          <w:rFonts w:eastAsia="Times New Roman"/>
          <w:shd w:val="clear" w:color="auto" w:fill="FFFFFF"/>
          <w:lang w:eastAsia="lt-LT"/>
        </w:rPr>
        <w:t xml:space="preserve">Teisingumo Teismas pažymėjo, kad </w:t>
      </w:r>
      <w:r w:rsidRPr="007C411F">
        <w:rPr>
          <w:rFonts w:eastAsia="Times New Roman"/>
          <w:shd w:val="clear" w:color="auto" w:fill="FFFFFF"/>
          <w:lang w:eastAsia="lt-LT"/>
        </w:rPr>
        <w:t>pagal SESV 346 straipsnio 1 dalies a punktą jokia valstybė narė neprivalo teikti informacijos, kurios atskleidimą ji laiko prieštaraujančiu gyvybiniams savo saugumo interesams. Iš Direktyvos 92/50 4 straipsnio 2 dalies ir Direktyvos 2004/18 14 straipsnio, kurie suformuluoti beveik identiškai, matyti, kad šios direktyvos netaikomos viešojo pirkimo sutartims, be kita ko</w:t>
      </w:r>
      <w:r w:rsidR="00B54B15">
        <w:rPr>
          <w:rFonts w:eastAsia="Times New Roman"/>
          <w:shd w:val="clear" w:color="auto" w:fill="FFFFFF"/>
          <w:lang w:eastAsia="lt-LT"/>
        </w:rPr>
        <w:t>,</w:t>
      </w:r>
      <w:r w:rsidRPr="007C411F">
        <w:rPr>
          <w:rFonts w:eastAsia="Times New Roman"/>
          <w:shd w:val="clear" w:color="auto" w:fill="FFFFFF"/>
          <w:lang w:eastAsia="lt-LT"/>
        </w:rPr>
        <w:t xml:space="preserve"> tuomet, kai jų vykdymui pagal atitinkamoje valstybėje narėje galiojančius įstatymus ar kitus teisės aktus privaloma imtis specialių saugumo priemonių arba kai to reikalauja esminių tos valstybės narės interesų apsauga</w:t>
      </w:r>
      <w:r w:rsidR="00B54B15">
        <w:rPr>
          <w:rFonts w:eastAsia="Times New Roman"/>
          <w:shd w:val="clear" w:color="auto" w:fill="FFFFFF"/>
          <w:lang w:eastAsia="lt-LT"/>
        </w:rPr>
        <w:t xml:space="preserve"> (72, 73 </w:t>
      </w:r>
      <w:r>
        <w:rPr>
          <w:rFonts w:eastAsia="Times New Roman"/>
          <w:shd w:val="clear" w:color="auto" w:fill="FFFFFF"/>
          <w:lang w:eastAsia="lt-LT"/>
        </w:rPr>
        <w:t>punktai)</w:t>
      </w:r>
      <w:r w:rsidRPr="007C411F">
        <w:rPr>
          <w:rFonts w:eastAsia="Times New Roman"/>
          <w:shd w:val="clear" w:color="auto" w:fill="FFFFFF"/>
          <w:lang w:eastAsia="lt-LT"/>
        </w:rPr>
        <w:t>.</w:t>
      </w:r>
      <w:r>
        <w:rPr>
          <w:rFonts w:eastAsia="Times New Roman"/>
          <w:shd w:val="clear" w:color="auto" w:fill="FFFFFF"/>
          <w:lang w:eastAsia="lt-LT"/>
        </w:rPr>
        <w:t xml:space="preserve"> </w:t>
      </w:r>
    </w:p>
    <w:p w:rsidR="0029340F" w:rsidRDefault="0029340F" w:rsidP="0029340F">
      <w:pPr>
        <w:ind w:firstLine="567"/>
        <w:rPr>
          <w:rFonts w:eastAsia="Times New Roman"/>
          <w:shd w:val="clear" w:color="auto" w:fill="FFFFFF"/>
          <w:lang w:eastAsia="lt-LT"/>
        </w:rPr>
      </w:pPr>
      <w:r w:rsidRPr="007C411F">
        <w:rPr>
          <w:rFonts w:eastAsia="Times New Roman"/>
          <w:shd w:val="clear" w:color="auto" w:fill="FFFFFF"/>
          <w:lang w:eastAsia="lt-LT"/>
        </w:rPr>
        <w:t xml:space="preserve">Vis dėlto Teisingumo Teismas jau yra nusprendęs, </w:t>
      </w:r>
      <w:r>
        <w:rPr>
          <w:rFonts w:eastAsia="Times New Roman"/>
          <w:shd w:val="clear" w:color="auto" w:fill="FFFFFF"/>
          <w:lang w:eastAsia="lt-LT"/>
        </w:rPr>
        <w:t xml:space="preserve">kad </w:t>
      </w:r>
      <w:r w:rsidRPr="007C411F">
        <w:rPr>
          <w:rFonts w:eastAsia="Times New Roman"/>
          <w:shd w:val="clear" w:color="auto" w:fill="FFFFFF"/>
          <w:lang w:eastAsia="lt-LT"/>
        </w:rPr>
        <w:t xml:space="preserve">priemonėms, kurias valstybės narės priima dėl teisėtų nacionalinio intereso reikalavimų, Sąjungos teisė nėra netaikoma vien todėl, kad jos priimtos, be kita ko, dėl visuomenės saugumo intereso (žr. 2008 m. balandžio 8 d. </w:t>
      </w:r>
      <w:r w:rsidR="00B54B15">
        <w:rPr>
          <w:rFonts w:eastAsia="Times New Roman"/>
          <w:shd w:val="clear" w:color="auto" w:fill="FFFFFF"/>
          <w:lang w:eastAsia="lt-LT"/>
        </w:rPr>
        <w:t>s</w:t>
      </w:r>
      <w:r w:rsidRPr="007C411F">
        <w:rPr>
          <w:rFonts w:eastAsia="Times New Roman"/>
          <w:shd w:val="clear" w:color="auto" w:fill="FFFFFF"/>
          <w:lang w:eastAsia="lt-LT"/>
        </w:rPr>
        <w:t xml:space="preserve">prendimo </w:t>
      </w:r>
      <w:r w:rsidRPr="005806DB">
        <w:rPr>
          <w:rFonts w:eastAsia="Times New Roman"/>
          <w:i/>
          <w:shd w:val="clear" w:color="auto" w:fill="FFFFFF"/>
          <w:lang w:eastAsia="lt-LT"/>
        </w:rPr>
        <w:t xml:space="preserve">Komisija </w:t>
      </w:r>
      <w:r>
        <w:rPr>
          <w:rFonts w:eastAsia="Times New Roman"/>
          <w:i/>
          <w:shd w:val="clear" w:color="auto" w:fill="FFFFFF"/>
          <w:lang w:eastAsia="lt-LT"/>
        </w:rPr>
        <w:t>prieš</w:t>
      </w:r>
      <w:r w:rsidRPr="005806DB">
        <w:rPr>
          <w:rFonts w:eastAsia="Times New Roman"/>
          <w:i/>
          <w:shd w:val="clear" w:color="auto" w:fill="FFFFFF"/>
          <w:lang w:eastAsia="lt-LT"/>
        </w:rPr>
        <w:t xml:space="preserve"> Italij</w:t>
      </w:r>
      <w:r>
        <w:rPr>
          <w:rFonts w:eastAsia="Times New Roman"/>
          <w:i/>
          <w:shd w:val="clear" w:color="auto" w:fill="FFFFFF"/>
          <w:lang w:eastAsia="lt-LT"/>
        </w:rPr>
        <w:t>ą</w:t>
      </w:r>
      <w:r w:rsidRPr="007C411F">
        <w:rPr>
          <w:rFonts w:eastAsia="Times New Roman"/>
          <w:shd w:val="clear" w:color="auto" w:fill="FFFFFF"/>
          <w:lang w:eastAsia="lt-LT"/>
        </w:rPr>
        <w:t>, C 337/05, EU:C:2008:203, 42 punktą ir jame nurodytą jurisprudenciją)</w:t>
      </w:r>
      <w:r>
        <w:rPr>
          <w:rFonts w:eastAsia="Times New Roman"/>
          <w:shd w:val="clear" w:color="auto" w:fill="FFFFFF"/>
          <w:lang w:eastAsia="lt-LT"/>
        </w:rPr>
        <w:t>. I</w:t>
      </w:r>
      <w:r w:rsidRPr="005806DB">
        <w:rPr>
          <w:rFonts w:eastAsia="Times New Roman"/>
          <w:shd w:val="clear" w:color="auto" w:fill="FFFFFF"/>
          <w:lang w:eastAsia="lt-LT"/>
        </w:rPr>
        <w:t xml:space="preserve">eškinyje aptariamos išimtys, kaip numatyta suformuotoje jurisprudencijoje dėl leidžiančių nukrypti nuo pagrindinių laisvių nuostatų, turi būti aiškinamos siaurai (dėl SESV 346 straipsnio 1 dalies b punkto pagal analogiją žr. 2012 m. birželio 7 d. </w:t>
      </w:r>
      <w:r w:rsidR="00B54B15">
        <w:rPr>
          <w:rFonts w:eastAsia="Times New Roman"/>
          <w:shd w:val="clear" w:color="auto" w:fill="FFFFFF"/>
          <w:lang w:eastAsia="lt-LT"/>
        </w:rPr>
        <w:t>s</w:t>
      </w:r>
      <w:r w:rsidRPr="005806DB">
        <w:rPr>
          <w:rFonts w:eastAsia="Times New Roman"/>
          <w:shd w:val="clear" w:color="auto" w:fill="FFFFFF"/>
          <w:lang w:eastAsia="lt-LT"/>
        </w:rPr>
        <w:t xml:space="preserve">prendimo </w:t>
      </w:r>
      <w:r w:rsidRPr="005806DB">
        <w:rPr>
          <w:rFonts w:eastAsia="Times New Roman"/>
          <w:i/>
          <w:shd w:val="clear" w:color="auto" w:fill="FFFFFF"/>
          <w:lang w:eastAsia="lt-LT"/>
        </w:rPr>
        <w:t>Insinööritoimisto InsTiimi</w:t>
      </w:r>
      <w:r w:rsidRPr="005806DB">
        <w:rPr>
          <w:rFonts w:eastAsia="Times New Roman"/>
          <w:shd w:val="clear" w:color="auto" w:fill="FFFFFF"/>
          <w:lang w:eastAsia="lt-LT"/>
        </w:rPr>
        <w:t>, C 615/10, EU:C:2012:324, 35 punktą ir jame nurodytą jurisprudenciją)</w:t>
      </w:r>
      <w:r>
        <w:rPr>
          <w:rFonts w:eastAsia="Times New Roman"/>
          <w:shd w:val="clear" w:color="auto" w:fill="FFFFFF"/>
          <w:lang w:eastAsia="lt-LT"/>
        </w:rPr>
        <w:t xml:space="preserve">. </w:t>
      </w:r>
      <w:r w:rsidRPr="003A0702">
        <w:rPr>
          <w:rFonts w:eastAsia="Times New Roman"/>
        </w:rPr>
        <w:t>Todėl valstybė narė, kuri remiasi šiomis išimtimis, turi įrodyti, kad poreikis apsaugoti tokius interesus negalėjo būti patenkintas skelbiant konkursą, kaip antai numatytą direktyvose 92/50 ir 2004/18</w:t>
      </w:r>
      <w:r>
        <w:rPr>
          <w:rFonts w:eastAsia="Times New Roman"/>
        </w:rPr>
        <w:t xml:space="preserve"> </w:t>
      </w:r>
      <w:r>
        <w:rPr>
          <w:rFonts w:eastAsia="Times New Roman"/>
          <w:shd w:val="clear" w:color="auto" w:fill="FFFFFF"/>
          <w:lang w:eastAsia="lt-LT"/>
        </w:rPr>
        <w:t>(76, 77, 79 punktai)</w:t>
      </w:r>
      <w:r w:rsidRPr="007C411F">
        <w:rPr>
          <w:rFonts w:eastAsia="Times New Roman"/>
          <w:shd w:val="clear" w:color="auto" w:fill="FFFFFF"/>
          <w:lang w:eastAsia="lt-LT"/>
        </w:rPr>
        <w:t>.</w:t>
      </w:r>
    </w:p>
    <w:p w:rsidR="0029340F" w:rsidRDefault="0029340F" w:rsidP="0029340F">
      <w:pPr>
        <w:ind w:firstLine="567"/>
        <w:rPr>
          <w:rFonts w:eastAsia="Times New Roman"/>
          <w:shd w:val="clear" w:color="auto" w:fill="FFFFFF"/>
          <w:lang w:eastAsia="lt-LT"/>
        </w:rPr>
      </w:pPr>
      <w:r>
        <w:rPr>
          <w:rFonts w:eastAsia="Times New Roman"/>
          <w:shd w:val="clear" w:color="auto" w:fill="FFFFFF"/>
          <w:lang w:eastAsia="lt-LT"/>
        </w:rPr>
        <w:t xml:space="preserve">Nors </w:t>
      </w:r>
      <w:r w:rsidRPr="005806DB">
        <w:rPr>
          <w:rFonts w:eastAsia="Times New Roman"/>
          <w:shd w:val="clear" w:color="auto" w:fill="FFFFFF"/>
          <w:lang w:eastAsia="lt-LT"/>
        </w:rPr>
        <w:t>valstybės narės privalo paisyti reikalavimų, kylančių iš Reglamen</w:t>
      </w:r>
      <w:r w:rsidR="00B54B15">
        <w:rPr>
          <w:rFonts w:eastAsia="Times New Roman"/>
          <w:shd w:val="clear" w:color="auto" w:fill="FFFFFF"/>
          <w:lang w:eastAsia="lt-LT"/>
        </w:rPr>
        <w:t>to Nr. 2252/2004 3 straipsnio 2 </w:t>
      </w:r>
      <w:r w:rsidRPr="005806DB">
        <w:rPr>
          <w:rFonts w:eastAsia="Times New Roman"/>
          <w:shd w:val="clear" w:color="auto" w:fill="FFFFFF"/>
          <w:lang w:eastAsia="lt-LT"/>
        </w:rPr>
        <w:t xml:space="preserve">dalies, pagal kurią jos įpareigojamos paskirti vieną įstaigą, atsakingą už pasų ir kelionės dokumentų spausdinimą, </w:t>
      </w:r>
      <w:r>
        <w:rPr>
          <w:rFonts w:eastAsia="Times New Roman"/>
          <w:shd w:val="clear" w:color="auto" w:fill="FFFFFF"/>
          <w:lang w:eastAsia="lt-LT"/>
        </w:rPr>
        <w:t xml:space="preserve">Teisingumo Teismas </w:t>
      </w:r>
      <w:r w:rsidRPr="005806DB">
        <w:rPr>
          <w:rFonts w:eastAsia="Times New Roman"/>
          <w:shd w:val="clear" w:color="auto" w:fill="FFFFFF"/>
          <w:lang w:eastAsia="lt-LT"/>
        </w:rPr>
        <w:t>konstat</w:t>
      </w:r>
      <w:r>
        <w:rPr>
          <w:rFonts w:eastAsia="Times New Roman"/>
          <w:shd w:val="clear" w:color="auto" w:fill="FFFFFF"/>
          <w:lang w:eastAsia="lt-LT"/>
        </w:rPr>
        <w:t>avo</w:t>
      </w:r>
      <w:r w:rsidRPr="005806DB">
        <w:rPr>
          <w:rFonts w:eastAsia="Times New Roman"/>
          <w:shd w:val="clear" w:color="auto" w:fill="FFFFFF"/>
          <w:lang w:eastAsia="lt-LT"/>
        </w:rPr>
        <w:t>, kad ši nuostata tik numato pareigą paskirti tokią vieną įstaigą, tačiau neatmeta galimybės prieš tai surengti viešojo pirkimo procedūros tokiai įstaigai paskirti</w:t>
      </w:r>
      <w:r>
        <w:rPr>
          <w:rFonts w:eastAsia="Times New Roman"/>
          <w:shd w:val="clear" w:color="auto" w:fill="FFFFFF"/>
          <w:lang w:eastAsia="lt-LT"/>
        </w:rPr>
        <w:t xml:space="preserve"> (83 punktas)</w:t>
      </w:r>
      <w:r w:rsidRPr="005806DB">
        <w:rPr>
          <w:rFonts w:eastAsia="Times New Roman"/>
          <w:shd w:val="clear" w:color="auto" w:fill="FFFFFF"/>
          <w:lang w:eastAsia="lt-LT"/>
        </w:rPr>
        <w:t>.</w:t>
      </w:r>
    </w:p>
    <w:p w:rsidR="0029340F" w:rsidRDefault="0029340F" w:rsidP="0029340F">
      <w:pPr>
        <w:ind w:firstLine="567"/>
        <w:rPr>
          <w:rFonts w:eastAsia="Times New Roman"/>
        </w:rPr>
      </w:pPr>
      <w:r w:rsidRPr="000A7F4A">
        <w:rPr>
          <w:rFonts w:eastAsia="Times New Roman"/>
          <w:shd w:val="clear" w:color="auto" w:fill="FFFFFF"/>
          <w:lang w:eastAsia="lt-LT"/>
        </w:rPr>
        <w:t xml:space="preserve">Teisingumo Teismas </w:t>
      </w:r>
      <w:r>
        <w:rPr>
          <w:rFonts w:eastAsia="Times New Roman"/>
          <w:shd w:val="clear" w:color="auto" w:fill="FFFFFF"/>
          <w:lang w:eastAsia="lt-LT"/>
        </w:rPr>
        <w:t>sprendė</w:t>
      </w:r>
      <w:r w:rsidRPr="000A7F4A">
        <w:rPr>
          <w:rFonts w:eastAsia="Times New Roman"/>
          <w:shd w:val="clear" w:color="auto" w:fill="FFFFFF"/>
          <w:lang w:eastAsia="lt-LT"/>
        </w:rPr>
        <w:t xml:space="preserve">, kad </w:t>
      </w:r>
      <w:r w:rsidRPr="003A0702">
        <w:rPr>
          <w:rFonts w:eastAsia="Times New Roman"/>
        </w:rPr>
        <w:t xml:space="preserve">Austrijos Respublika neįrodė, </w:t>
      </w:r>
      <w:r>
        <w:rPr>
          <w:rFonts w:eastAsia="Times New Roman"/>
        </w:rPr>
        <w:t xml:space="preserve">jog </w:t>
      </w:r>
      <w:r w:rsidRPr="003A0702">
        <w:rPr>
          <w:rFonts w:eastAsia="Times New Roman"/>
        </w:rPr>
        <w:t>vien ÖS administracinė kontrolė, kurią pagal šią nuostatą gali atlikti Austrijos valdžios institucijos, gali būti tinkama užtikrinti konfidencialumą ir todėl Direk</w:t>
      </w:r>
      <w:r>
        <w:rPr>
          <w:rFonts w:eastAsia="Times New Roman"/>
        </w:rPr>
        <w:t>tyvose 92/50 ir 2004/18 numatytos</w:t>
      </w:r>
      <w:r w:rsidRPr="003A0702">
        <w:rPr>
          <w:rFonts w:eastAsia="Times New Roman"/>
        </w:rPr>
        <w:t xml:space="preserve"> viešojo pi</w:t>
      </w:r>
      <w:r>
        <w:rPr>
          <w:rFonts w:eastAsia="Times New Roman"/>
        </w:rPr>
        <w:t xml:space="preserve">rkimo sutarčių sudarymo nuostatos </w:t>
      </w:r>
      <w:r w:rsidRPr="003A0702">
        <w:rPr>
          <w:rFonts w:eastAsia="Times New Roman"/>
        </w:rPr>
        <w:t>netaikyti</w:t>
      </w:r>
      <w:r>
        <w:rPr>
          <w:rFonts w:eastAsia="Times New Roman"/>
        </w:rPr>
        <w:t>nos</w:t>
      </w:r>
      <w:r w:rsidRPr="003A0702">
        <w:rPr>
          <w:rFonts w:eastAsia="Times New Roman"/>
        </w:rPr>
        <w:t>.</w:t>
      </w:r>
      <w:r>
        <w:rPr>
          <w:rFonts w:eastAsia="Times New Roman"/>
        </w:rPr>
        <w:t xml:space="preserve"> Š</w:t>
      </w:r>
      <w:r w:rsidRPr="003A0702">
        <w:rPr>
          <w:rFonts w:eastAsia="Times New Roman"/>
        </w:rPr>
        <w:t xml:space="preserve">i valstybė narė </w:t>
      </w:r>
      <w:r>
        <w:rPr>
          <w:rFonts w:eastAsia="Times New Roman"/>
        </w:rPr>
        <w:t xml:space="preserve">taip pat </w:t>
      </w:r>
      <w:r w:rsidRPr="003A0702">
        <w:rPr>
          <w:rFonts w:eastAsia="Times New Roman"/>
        </w:rPr>
        <w:t>neįrodė, kad informacijos, perduodamos aptariamų oficialiųjų dokumentų spausdinimo tikslais, konfidencialumo paisymo kontrolė būtų užtikrinta ne taip gerai nei tuo atveju, jeigu toks spausdinimas konkurso tvarka būtų pavestas kitoms – nesvarbu, Austrijoje ar kitoje valstybėje narėje įsisteigusioms –</w:t>
      </w:r>
      <w:r>
        <w:rPr>
          <w:rFonts w:eastAsia="Times New Roman"/>
        </w:rPr>
        <w:t xml:space="preserve"> </w:t>
      </w:r>
      <w:r w:rsidRPr="003A0702">
        <w:rPr>
          <w:rFonts w:eastAsia="Times New Roman"/>
        </w:rPr>
        <w:t>įmonėms, kurioms civilinės sutarčių teisės normomis būtų privalomai nustatytos konfidencialumo ir saugumo priemonės</w:t>
      </w:r>
      <w:r>
        <w:rPr>
          <w:rFonts w:eastAsia="Times New Roman"/>
        </w:rPr>
        <w:t xml:space="preserve"> (84, 85 punktai)</w:t>
      </w:r>
      <w:r w:rsidRPr="003A0702">
        <w:rPr>
          <w:rFonts w:eastAsia="Times New Roman"/>
        </w:rPr>
        <w:t>.</w:t>
      </w:r>
      <w:r>
        <w:rPr>
          <w:rFonts w:eastAsia="Times New Roman"/>
        </w:rPr>
        <w:t xml:space="preserve"> </w:t>
      </w:r>
    </w:p>
    <w:p w:rsidR="0029340F" w:rsidRPr="00540C44" w:rsidRDefault="0029340F" w:rsidP="0029340F">
      <w:pPr>
        <w:ind w:firstLine="567"/>
        <w:rPr>
          <w:rFonts w:eastAsia="Times New Roman"/>
          <w:shd w:val="clear" w:color="auto" w:fill="FFFFFF"/>
          <w:lang w:eastAsia="lt-LT"/>
        </w:rPr>
      </w:pPr>
      <w:r>
        <w:rPr>
          <w:rFonts w:eastAsia="Times New Roman"/>
        </w:rPr>
        <w:t>Į</w:t>
      </w:r>
      <w:r w:rsidRPr="00540C44">
        <w:rPr>
          <w:rFonts w:eastAsia="Times New Roman"/>
        </w:rPr>
        <w:t>gyvendinant viešojo pirkimo sutarčių sudarymo procedūrą, būtų galima numatyti pasirinktiems kontrahentams pareigą leisti atlikti saugumo kontrolę, lankytis arba atlikti patikras įmonės patalpose</w:t>
      </w:r>
      <w:r>
        <w:rPr>
          <w:rFonts w:eastAsia="Times New Roman"/>
        </w:rPr>
        <w:t xml:space="preserve"> </w:t>
      </w:r>
      <w:r>
        <w:rPr>
          <w:rFonts w:eastAsia="Times New Roman"/>
        </w:rPr>
        <w:lastRenderedPageBreak/>
        <w:t>(86</w:t>
      </w:r>
      <w:r w:rsidR="00B54B15">
        <w:rPr>
          <w:rFonts w:eastAsia="Times New Roman"/>
        </w:rPr>
        <w:t> </w:t>
      </w:r>
      <w:r>
        <w:rPr>
          <w:rFonts w:eastAsia="Times New Roman"/>
        </w:rPr>
        <w:t>punktas). N</w:t>
      </w:r>
      <w:r w:rsidRPr="002040F1">
        <w:rPr>
          <w:rFonts w:eastAsia="Times New Roman"/>
        </w:rPr>
        <w:t>iekas netrukdo perkančiajai organizacijai nustatyti ypač griežtus reikalavimus dėl konkurso laimėtojų tinkamumo ir patikimumo, atitinkamai formuluoti konkurso sąlygas ir paslaugų teikimo sutartis ir reikalauti iš potencialių konkurso dalyvių pateikti reikiamus įrodymus</w:t>
      </w:r>
      <w:r>
        <w:rPr>
          <w:rFonts w:eastAsia="Times New Roman"/>
        </w:rPr>
        <w:t xml:space="preserve"> (91 punktas)</w:t>
      </w:r>
      <w:r w:rsidRPr="002040F1">
        <w:rPr>
          <w:rFonts w:eastAsia="Times New Roman"/>
        </w:rPr>
        <w:t>.</w:t>
      </w:r>
      <w:r>
        <w:rPr>
          <w:rFonts w:eastAsia="Times New Roman"/>
        </w:rPr>
        <w:t xml:space="preserve"> </w:t>
      </w:r>
      <w:r w:rsidRPr="002040F1">
        <w:rPr>
          <w:rFonts w:eastAsia="Times New Roman"/>
        </w:rPr>
        <w:t>Austrijos valdžios institucijos gali nuspręsti į sąlygas, reglamentuojančias konkursą dėl aptariamo pirkimo sutarčių sudarymo, įtraukti išlygas, įpareigojančias konkurso laimėtoją laikytis bendrojo konfidencialumo, ir numatyti, kad konkurso dalyviai, negalintys dėl, be kita ko, savo valstybės narės įstatymų, pakankamai garantuoti, kad vykdys šią pareigą šios valstybės narės atžvilgiu, negalėtų dalyvauti konkurse</w:t>
      </w:r>
      <w:r>
        <w:rPr>
          <w:rFonts w:eastAsia="Times New Roman"/>
        </w:rPr>
        <w:t xml:space="preserve"> (93 punktas)</w:t>
      </w:r>
      <w:r w:rsidRPr="002040F1">
        <w:rPr>
          <w:rFonts w:eastAsia="Times New Roman"/>
        </w:rPr>
        <w:t>.</w:t>
      </w:r>
    </w:p>
    <w:p w:rsidR="0029340F" w:rsidRPr="006D76B4" w:rsidRDefault="0029340F" w:rsidP="0029340F">
      <w:pPr>
        <w:ind w:firstLine="567"/>
        <w:rPr>
          <w:rFonts w:eastAsia="Times New Roman"/>
        </w:rPr>
      </w:pPr>
      <w:r w:rsidRPr="006D76B4">
        <w:rPr>
          <w:rFonts w:eastAsia="Times New Roman"/>
          <w:shd w:val="clear" w:color="auto" w:fill="FFFFFF"/>
          <w:lang w:eastAsia="lt-LT"/>
        </w:rPr>
        <w:t>Teisingumo Teismas padarė išvadą, kad Austrijos Respublika neg</w:t>
      </w:r>
      <w:r w:rsidR="00B54B15">
        <w:rPr>
          <w:rFonts w:eastAsia="Times New Roman"/>
          <w:shd w:val="clear" w:color="auto" w:fill="FFFFFF"/>
          <w:lang w:eastAsia="lt-LT"/>
        </w:rPr>
        <w:t>ali veiksmingai remtis SESV 346 </w:t>
      </w:r>
      <w:r w:rsidRPr="006D76B4">
        <w:rPr>
          <w:rFonts w:eastAsia="Times New Roman"/>
          <w:shd w:val="clear" w:color="auto" w:fill="FFFFFF"/>
          <w:lang w:eastAsia="lt-LT"/>
        </w:rPr>
        <w:t>straipsnio 1 dalies a punktu, Direktyvos 92/50 4 straipsnio 2 dalimi ir Direktyvos 2004/18 14 straipsniu siekdama pateisinti šiose abiejose direktyvose numatytų viešojo pirkimo sutarčių sudarymo procedūrų nesilaikymą (96 punktas).</w:t>
      </w:r>
    </w:p>
    <w:p w:rsidR="0029340F" w:rsidRDefault="0029340F" w:rsidP="0029340F">
      <w:pPr>
        <w:ind w:firstLine="567"/>
        <w:rPr>
          <w:rFonts w:eastAsia="Times New Roman"/>
        </w:rPr>
      </w:pPr>
    </w:p>
    <w:p w:rsidR="0029340F" w:rsidRPr="00C16E60" w:rsidRDefault="0029340F" w:rsidP="00B54B15">
      <w:pPr>
        <w:pStyle w:val="Antrat3"/>
        <w:ind w:firstLine="567"/>
        <w:rPr>
          <w:rFonts w:eastAsia="Times New Roman" w:cs="Times New Roman"/>
          <w:b w:val="0"/>
          <w:shd w:val="clear" w:color="auto" w:fill="FFFFFF"/>
          <w:lang w:eastAsia="lt-LT"/>
        </w:rPr>
      </w:pPr>
      <w:bookmarkStart w:id="65" w:name="_Toc517273054"/>
      <w:r w:rsidRPr="00C16E60">
        <w:rPr>
          <w:rFonts w:eastAsia="Times New Roman" w:cs="Times New Roman"/>
          <w:shd w:val="clear" w:color="auto" w:fill="FFFFFF"/>
          <w:lang w:eastAsia="lt-LT"/>
        </w:rPr>
        <w:t xml:space="preserve">Dėl </w:t>
      </w:r>
      <w:r>
        <w:rPr>
          <w:rFonts w:eastAsia="Times New Roman" w:cs="Times New Roman"/>
          <w:shd w:val="clear" w:color="auto" w:fill="FFFFFF"/>
          <w:lang w:eastAsia="lt-LT"/>
        </w:rPr>
        <w:t>p</w:t>
      </w:r>
      <w:r w:rsidRPr="00D04801">
        <w:rPr>
          <w:rFonts w:eastAsia="Times New Roman" w:cs="Times New Roman"/>
          <w:shd w:val="clear" w:color="auto" w:fill="FFFFFF"/>
          <w:lang w:eastAsia="lt-LT"/>
        </w:rPr>
        <w:t>irotechnikos leidimų spausdinimo paslaug</w:t>
      </w:r>
      <w:r>
        <w:rPr>
          <w:rFonts w:eastAsia="Times New Roman" w:cs="Times New Roman"/>
          <w:shd w:val="clear" w:color="auto" w:fill="FFFFFF"/>
          <w:lang w:eastAsia="lt-LT"/>
        </w:rPr>
        <w:t>ų pirkimo sutarčių</w:t>
      </w:r>
      <w:bookmarkEnd w:id="65"/>
    </w:p>
    <w:p w:rsidR="0029340F" w:rsidRPr="000A7F4A" w:rsidRDefault="0029340F" w:rsidP="0029340F">
      <w:pPr>
        <w:ind w:firstLine="1296"/>
        <w:rPr>
          <w:rFonts w:eastAsia="Times New Roman"/>
          <w:shd w:val="clear" w:color="auto" w:fill="FFFFFF"/>
          <w:lang w:eastAsia="lt-LT"/>
        </w:rPr>
      </w:pPr>
    </w:p>
    <w:p w:rsidR="0029340F" w:rsidRPr="000A7F4A" w:rsidRDefault="0029340F" w:rsidP="0029340F">
      <w:pPr>
        <w:ind w:firstLine="567"/>
        <w:rPr>
          <w:rFonts w:eastAsia="Times New Roman"/>
          <w:shd w:val="clear" w:color="auto" w:fill="FFFFFF"/>
          <w:lang w:eastAsia="lt-LT"/>
        </w:rPr>
      </w:pPr>
      <w:r w:rsidRPr="000A7F4A">
        <w:rPr>
          <w:rFonts w:eastAsia="Times New Roman"/>
          <w:shd w:val="clear" w:color="auto" w:fill="FFFFFF"/>
          <w:lang w:eastAsia="lt-LT"/>
        </w:rPr>
        <w:t xml:space="preserve">Teisingumo Teismas konstatavo, kad </w:t>
      </w:r>
      <w:r w:rsidRPr="006025B8">
        <w:rPr>
          <w:rFonts w:eastAsia="Times New Roman"/>
          <w:shd w:val="clear" w:color="auto" w:fill="FFFFFF"/>
          <w:lang w:eastAsia="lt-LT"/>
        </w:rPr>
        <w:t>numatoma pirkimo sutarčių dėl pirotechnikos leidimų gamybos vertė yra 56 000 eurų, t. y. suma, gerokai mažesnė už direktyvose 92/50 ir 2004/18 nustatytą</w:t>
      </w:r>
      <w:r>
        <w:rPr>
          <w:rFonts w:eastAsia="Times New Roman"/>
          <w:shd w:val="clear" w:color="auto" w:fill="FFFFFF"/>
          <w:lang w:eastAsia="lt-LT"/>
        </w:rPr>
        <w:t>ją</w:t>
      </w:r>
      <w:r w:rsidRPr="006025B8">
        <w:rPr>
          <w:rFonts w:eastAsia="Times New Roman"/>
          <w:shd w:val="clear" w:color="auto" w:fill="FFFFFF"/>
          <w:lang w:eastAsia="lt-LT"/>
        </w:rPr>
        <w:t xml:space="preserve"> viešojo paslaugų pirkimo sutartims. Todėl nėra iš šių direktyvų kylančios pareigos rengti viešųjų pirkimų procedūrą.</w:t>
      </w:r>
      <w:r>
        <w:rPr>
          <w:rFonts w:eastAsia="Times New Roman"/>
          <w:shd w:val="clear" w:color="auto" w:fill="FFFFFF"/>
          <w:lang w:eastAsia="lt-LT"/>
        </w:rPr>
        <w:t xml:space="preserve"> </w:t>
      </w:r>
      <w:r w:rsidRPr="006025B8">
        <w:rPr>
          <w:rFonts w:eastAsia="Times New Roman"/>
          <w:shd w:val="clear" w:color="auto" w:fill="FFFFFF"/>
          <w:lang w:eastAsia="lt-LT"/>
        </w:rPr>
        <w:t xml:space="preserve">Tačiau, vadovaujantis suformuota jurisprudencija, sudarant pirkimo sutartis, kurios, atsižvelgiant į jų vertę, nepatenka į viešojo pirkimo sutarčių sudarymo srities direktyvų taikymo sritį, vis dėlto taikomos SESV pagrindinės teisės normos ir bendrieji principai, visų pirma vienodo požiūrio ir nediskriminavimo dėl pilietybės principai ir iš jų kylanti skaidrumo pareiga, jei šios sutartys kelia aiškų tarptautinį susidomėjimą (2016 m. spalio 6 d. </w:t>
      </w:r>
      <w:r w:rsidR="00B54B15">
        <w:rPr>
          <w:rFonts w:eastAsia="Times New Roman"/>
          <w:shd w:val="clear" w:color="auto" w:fill="FFFFFF"/>
          <w:lang w:eastAsia="lt-LT"/>
        </w:rPr>
        <w:t>s</w:t>
      </w:r>
      <w:r w:rsidRPr="006025B8">
        <w:rPr>
          <w:rFonts w:eastAsia="Times New Roman"/>
          <w:shd w:val="clear" w:color="auto" w:fill="FFFFFF"/>
          <w:lang w:eastAsia="lt-LT"/>
        </w:rPr>
        <w:t xml:space="preserve">prendimo </w:t>
      </w:r>
      <w:r w:rsidRPr="00D04801">
        <w:rPr>
          <w:rFonts w:eastAsia="Times New Roman"/>
          <w:i/>
          <w:shd w:val="clear" w:color="auto" w:fill="FFFFFF"/>
          <w:lang w:eastAsia="lt-LT"/>
        </w:rPr>
        <w:t>Tecnoedi Costruzioni</w:t>
      </w:r>
      <w:r w:rsidRPr="006025B8">
        <w:rPr>
          <w:rFonts w:eastAsia="Times New Roman"/>
          <w:shd w:val="clear" w:color="auto" w:fill="FFFFFF"/>
          <w:lang w:eastAsia="lt-LT"/>
        </w:rPr>
        <w:t>, C 318/15, EU:C:2016:747, 19 punktas ir jame nurodyta jurisprudencija)</w:t>
      </w:r>
      <w:r>
        <w:rPr>
          <w:rFonts w:eastAsia="Times New Roman"/>
          <w:shd w:val="clear" w:color="auto" w:fill="FFFFFF"/>
          <w:lang w:eastAsia="lt-LT"/>
        </w:rPr>
        <w:t xml:space="preserve"> (103, 104 punktai)</w:t>
      </w:r>
      <w:r w:rsidRPr="006025B8">
        <w:rPr>
          <w:rFonts w:eastAsia="Times New Roman"/>
          <w:shd w:val="clear" w:color="auto" w:fill="FFFFFF"/>
          <w:lang w:eastAsia="lt-LT"/>
        </w:rPr>
        <w:t>.</w:t>
      </w:r>
    </w:p>
    <w:p w:rsidR="0029340F" w:rsidRPr="000A7F4A" w:rsidRDefault="0029340F" w:rsidP="0029340F">
      <w:pPr>
        <w:ind w:firstLine="567"/>
        <w:rPr>
          <w:rFonts w:eastAsia="Times New Roman"/>
          <w:shd w:val="clear" w:color="auto" w:fill="FFFFFF"/>
          <w:lang w:eastAsia="lt-LT"/>
        </w:rPr>
      </w:pPr>
      <w:r w:rsidRPr="000A7F4A">
        <w:rPr>
          <w:rFonts w:eastAsia="Times New Roman"/>
          <w:shd w:val="clear" w:color="auto" w:fill="FFFFFF"/>
          <w:lang w:eastAsia="lt-LT"/>
        </w:rPr>
        <w:t xml:space="preserve">Teisingumo Teismas </w:t>
      </w:r>
      <w:r>
        <w:rPr>
          <w:rFonts w:eastAsia="Times New Roman"/>
          <w:shd w:val="clear" w:color="auto" w:fill="FFFFFF"/>
          <w:lang w:eastAsia="lt-LT"/>
        </w:rPr>
        <w:t xml:space="preserve">sprendė, kad </w:t>
      </w:r>
      <w:r w:rsidRPr="006025B8">
        <w:rPr>
          <w:rFonts w:eastAsia="Times New Roman"/>
          <w:shd w:val="clear" w:color="auto" w:fill="FFFFFF"/>
        </w:rPr>
        <w:t>Komisija</w:t>
      </w:r>
      <w:r>
        <w:rPr>
          <w:rFonts w:eastAsia="Times New Roman"/>
          <w:shd w:val="clear" w:color="auto" w:fill="FFFFFF"/>
        </w:rPr>
        <w:t>i</w:t>
      </w:r>
      <w:r w:rsidRPr="006025B8">
        <w:rPr>
          <w:rFonts w:eastAsia="Times New Roman"/>
          <w:shd w:val="clear" w:color="auto" w:fill="FFFFFF"/>
        </w:rPr>
        <w:t xml:space="preserve"> neįrod</w:t>
      </w:r>
      <w:r>
        <w:rPr>
          <w:rFonts w:eastAsia="Times New Roman"/>
          <w:shd w:val="clear" w:color="auto" w:fill="FFFFFF"/>
        </w:rPr>
        <w:t>žius</w:t>
      </w:r>
      <w:r w:rsidRPr="006025B8">
        <w:rPr>
          <w:rFonts w:eastAsia="Times New Roman"/>
          <w:shd w:val="clear" w:color="auto" w:fill="FFFFFF"/>
        </w:rPr>
        <w:t xml:space="preserve">, </w:t>
      </w:r>
      <w:r>
        <w:rPr>
          <w:rFonts w:eastAsia="Times New Roman"/>
          <w:shd w:val="clear" w:color="auto" w:fill="FFFFFF"/>
        </w:rPr>
        <w:t>jog</w:t>
      </w:r>
      <w:r w:rsidRPr="006025B8">
        <w:rPr>
          <w:rFonts w:eastAsia="Times New Roman"/>
          <w:shd w:val="clear" w:color="auto" w:fill="FFFFFF"/>
        </w:rPr>
        <w:t xml:space="preserve"> pirkimo sutartys </w:t>
      </w:r>
      <w:r w:rsidRPr="006025B8">
        <w:rPr>
          <w:rFonts w:eastAsia="Times New Roman"/>
          <w:shd w:val="clear" w:color="auto" w:fill="FFFFFF"/>
          <w:lang w:eastAsia="lt-LT"/>
        </w:rPr>
        <w:t xml:space="preserve">dėl pirotechnikos leidimų gamybos </w:t>
      </w:r>
      <w:r w:rsidRPr="006025B8">
        <w:rPr>
          <w:rFonts w:eastAsia="Times New Roman"/>
          <w:shd w:val="clear" w:color="auto" w:fill="FFFFFF"/>
        </w:rPr>
        <w:t>kelia aiškų tarptautinį susidomėjimą, jos ieškinys turi būti atmestas tiek, kiek jis susijęs su aptariamų pirotechnikos leidimų spausdinimo paslaugų pirkimo sutartimis</w:t>
      </w:r>
      <w:r>
        <w:rPr>
          <w:rFonts w:eastAsia="Times New Roman"/>
          <w:shd w:val="clear" w:color="auto" w:fill="FFFFFF"/>
        </w:rPr>
        <w:t xml:space="preserve"> </w:t>
      </w:r>
      <w:r w:rsidRPr="000A7F4A">
        <w:rPr>
          <w:rFonts w:eastAsia="Times New Roman"/>
          <w:shd w:val="clear" w:color="auto" w:fill="FFFFFF"/>
          <w:lang w:eastAsia="lt-LT"/>
        </w:rPr>
        <w:t>(</w:t>
      </w:r>
      <w:r>
        <w:rPr>
          <w:rFonts w:eastAsia="Times New Roman"/>
          <w:shd w:val="clear" w:color="auto" w:fill="FFFFFF"/>
          <w:lang w:eastAsia="lt-LT"/>
        </w:rPr>
        <w:t>109</w:t>
      </w:r>
      <w:r w:rsidRPr="000A7F4A">
        <w:rPr>
          <w:rFonts w:eastAsia="Times New Roman"/>
          <w:shd w:val="clear" w:color="auto" w:fill="FFFFFF"/>
          <w:lang w:eastAsia="lt-LT"/>
        </w:rPr>
        <w:t xml:space="preserve">, </w:t>
      </w:r>
      <w:r>
        <w:rPr>
          <w:rFonts w:eastAsia="Times New Roman"/>
          <w:shd w:val="clear" w:color="auto" w:fill="FFFFFF"/>
          <w:lang w:eastAsia="lt-LT"/>
        </w:rPr>
        <w:t>110</w:t>
      </w:r>
      <w:r w:rsidRPr="000A7F4A">
        <w:rPr>
          <w:rFonts w:eastAsia="Times New Roman"/>
          <w:shd w:val="clear" w:color="auto" w:fill="FFFFFF"/>
          <w:lang w:eastAsia="lt-LT"/>
        </w:rPr>
        <w:t xml:space="preserve"> punktai)</w:t>
      </w:r>
      <w:r>
        <w:rPr>
          <w:rFonts w:eastAsia="Times New Roman"/>
          <w:shd w:val="clear" w:color="auto" w:fill="FFFFFF"/>
          <w:lang w:eastAsia="lt-LT"/>
        </w:rPr>
        <w:t>.</w:t>
      </w:r>
    </w:p>
    <w:p w:rsidR="0029340F" w:rsidRPr="000A7F4A" w:rsidRDefault="0029340F" w:rsidP="0029340F">
      <w:pPr>
        <w:ind w:firstLine="1296"/>
        <w:rPr>
          <w:rFonts w:eastAsia="Times New Roman"/>
          <w:shd w:val="clear" w:color="auto" w:fill="FFFFFF"/>
          <w:lang w:eastAsia="lt-LT"/>
        </w:rPr>
      </w:pPr>
    </w:p>
    <w:p w:rsidR="0029340F" w:rsidRPr="00C16E60" w:rsidRDefault="0029340F" w:rsidP="0029340F">
      <w:pPr>
        <w:ind w:firstLine="567"/>
        <w:rPr>
          <w:rFonts w:eastAsia="Times New Roman"/>
          <w:b/>
          <w:shd w:val="clear" w:color="auto" w:fill="FFFFFF"/>
          <w:lang w:eastAsia="lt-LT"/>
        </w:rPr>
      </w:pPr>
      <w:r w:rsidRPr="00C16E60">
        <w:rPr>
          <w:rFonts w:eastAsia="Times New Roman"/>
          <w:b/>
          <w:shd w:val="clear" w:color="auto" w:fill="FFFFFF"/>
          <w:lang w:eastAsia="lt-LT"/>
        </w:rPr>
        <w:t xml:space="preserve">Remdamasis šiais motyvais, Teisingumo Teismas </w:t>
      </w:r>
      <w:r>
        <w:rPr>
          <w:rFonts w:eastAsia="Times New Roman"/>
          <w:b/>
          <w:shd w:val="clear" w:color="auto" w:fill="FFFFFF"/>
          <w:lang w:eastAsia="lt-LT"/>
        </w:rPr>
        <w:t xml:space="preserve">(didžioji kolegija) </w:t>
      </w:r>
      <w:r w:rsidRPr="00C16E60">
        <w:rPr>
          <w:rFonts w:eastAsia="Times New Roman"/>
          <w:b/>
          <w:shd w:val="clear" w:color="auto" w:fill="FFFFFF"/>
          <w:lang w:eastAsia="lt-LT"/>
        </w:rPr>
        <w:t>nusprendė:</w:t>
      </w:r>
    </w:p>
    <w:p w:rsidR="0029340F" w:rsidRPr="000A7F4A" w:rsidRDefault="0029340F" w:rsidP="0029340F">
      <w:pPr>
        <w:ind w:firstLine="1296"/>
        <w:rPr>
          <w:rFonts w:eastAsia="Times New Roman"/>
          <w:shd w:val="clear" w:color="auto" w:fill="FFFFFF"/>
          <w:lang w:eastAsia="lt-LT"/>
        </w:rPr>
      </w:pPr>
    </w:p>
    <w:p w:rsidR="0029340F" w:rsidRDefault="0029340F" w:rsidP="0029340F">
      <w:pPr>
        <w:ind w:firstLine="567"/>
        <w:rPr>
          <w:rFonts w:eastAsia="Times New Roman"/>
          <w:shd w:val="clear" w:color="auto" w:fill="FFFFFF"/>
          <w:lang w:eastAsia="lt-LT"/>
        </w:rPr>
      </w:pPr>
      <w:r w:rsidRPr="000A7F4A">
        <w:rPr>
          <w:rFonts w:eastAsia="Times New Roman"/>
          <w:shd w:val="clear" w:color="auto" w:fill="FFFFFF"/>
          <w:lang w:eastAsia="lt-LT"/>
        </w:rPr>
        <w:t xml:space="preserve">1. </w:t>
      </w:r>
      <w:r w:rsidRPr="00D04801">
        <w:rPr>
          <w:rFonts w:eastAsia="Times New Roman"/>
          <w:shd w:val="clear" w:color="auto" w:fill="FFFFFF"/>
          <w:lang w:eastAsia="lt-LT"/>
        </w:rPr>
        <w:t xml:space="preserve">Sudarydama pasų su lustu, laikinųjų pasų, leidimų gyventi, tapatybės kortelių, kredito kortelės pavidalo vairuotojo pažymėjimų ir kredito kortelės pavidalo transporto priemonių registracijos dokumentų gamybos paslaugų pirkimo sutartis tiesiogiai su </w:t>
      </w:r>
      <w:r w:rsidRPr="00D04801">
        <w:rPr>
          <w:rFonts w:eastAsia="Times New Roman"/>
          <w:i/>
          <w:shd w:val="clear" w:color="auto" w:fill="FFFFFF"/>
          <w:lang w:eastAsia="lt-LT"/>
        </w:rPr>
        <w:t>Österreichische Staatsdruckerei GmbH</w:t>
      </w:r>
      <w:r w:rsidRPr="00D04801">
        <w:rPr>
          <w:rFonts w:eastAsia="Times New Roman"/>
          <w:shd w:val="clear" w:color="auto" w:fill="FFFFFF"/>
          <w:lang w:eastAsia="lt-LT"/>
        </w:rPr>
        <w:t>, nepaskelbusi Sąjungos masto viešųjų pirkimų konkurso, ir palikdama galioti nacionalinės teisės nuostatas, įpareigojančias perkančiąsias organizacijas šias paslaugų pirkimo sutartis sudaryti tiesiogiai su šia bendrove, nepaskelbus Sąjungos masto viešųjų pirkimų konkurso Austrijos Respublika neįvykdė įsipareigojimų pagal 1992 m. birželio 18 d. Tarybos direktyvos 92/50/EEB dėl viešojo paslaugų pirkimo sutar</w:t>
      </w:r>
      <w:r w:rsidR="00B54B15">
        <w:rPr>
          <w:rFonts w:eastAsia="Times New Roman"/>
          <w:shd w:val="clear" w:color="auto" w:fill="FFFFFF"/>
          <w:lang w:eastAsia="lt-LT"/>
        </w:rPr>
        <w:t>čių sudarymo tvarkos derinimo 4 </w:t>
      </w:r>
      <w:r w:rsidRPr="00D04801">
        <w:rPr>
          <w:rFonts w:eastAsia="Times New Roman"/>
          <w:shd w:val="clear" w:color="auto" w:fill="FFFFFF"/>
          <w:lang w:eastAsia="lt-LT"/>
        </w:rPr>
        <w:t>straipsnio 2 dalį ir 8 straipsnį, siejamus su jos 11–37 straipsniais, ir 2004 m. kovo 31 d. Europos Parlamento ir Tarybos direktyvos 2004/18/EB dėl viešojo darbų, prekių ir paslaugų pirki</w:t>
      </w:r>
      <w:r w:rsidR="00B54B15">
        <w:rPr>
          <w:rFonts w:eastAsia="Times New Roman"/>
          <w:shd w:val="clear" w:color="auto" w:fill="FFFFFF"/>
          <w:lang w:eastAsia="lt-LT"/>
        </w:rPr>
        <w:t>mo sutarčių sudarymo tvarkos 14 </w:t>
      </w:r>
      <w:r w:rsidRPr="00D04801">
        <w:rPr>
          <w:rFonts w:eastAsia="Times New Roman"/>
          <w:shd w:val="clear" w:color="auto" w:fill="FFFFFF"/>
          <w:lang w:eastAsia="lt-LT"/>
        </w:rPr>
        <w:t>ir 20 straipsnius, siejamus su jos 23–55 straipsniais.</w:t>
      </w:r>
      <w:r>
        <w:rPr>
          <w:rFonts w:eastAsia="Times New Roman"/>
          <w:shd w:val="clear" w:color="auto" w:fill="FFFFFF"/>
          <w:lang w:eastAsia="lt-LT"/>
        </w:rPr>
        <w:t xml:space="preserve"> </w:t>
      </w:r>
    </w:p>
    <w:p w:rsidR="0029340F" w:rsidRPr="000A7F4A" w:rsidRDefault="0029340F" w:rsidP="0029340F">
      <w:pPr>
        <w:ind w:firstLine="567"/>
        <w:rPr>
          <w:rFonts w:eastAsia="Times New Roman"/>
          <w:shd w:val="clear" w:color="auto" w:fill="FFFFFF"/>
          <w:lang w:eastAsia="lt-LT"/>
        </w:rPr>
      </w:pPr>
      <w:r w:rsidRPr="00D04801">
        <w:rPr>
          <w:rFonts w:eastAsia="Times New Roman"/>
          <w:shd w:val="clear" w:color="auto" w:fill="FFFFFF"/>
          <w:lang w:eastAsia="lt-LT"/>
        </w:rPr>
        <w:t>2.</w:t>
      </w:r>
      <w:r>
        <w:rPr>
          <w:rFonts w:eastAsia="Times New Roman"/>
          <w:shd w:val="clear" w:color="auto" w:fill="FFFFFF"/>
          <w:lang w:eastAsia="lt-LT"/>
        </w:rPr>
        <w:t xml:space="preserve"> </w:t>
      </w:r>
      <w:r w:rsidRPr="00D04801">
        <w:rPr>
          <w:rFonts w:eastAsia="Times New Roman"/>
          <w:shd w:val="clear" w:color="auto" w:fill="FFFFFF"/>
          <w:lang w:eastAsia="lt-LT"/>
        </w:rPr>
        <w:t>Atmesti likusią ieškinio dalį.</w:t>
      </w:r>
    </w:p>
    <w:p w:rsidR="0029340F" w:rsidRPr="000A7F4A" w:rsidRDefault="00EF32EC" w:rsidP="0029340F">
      <w:pPr>
        <w:ind w:firstLine="567"/>
        <w:rPr>
          <w:rStyle w:val="Hipersaitas"/>
        </w:rPr>
      </w:pPr>
      <w:hyperlink r:id="rId23" w:history="1">
        <w:r w:rsidR="0029340F" w:rsidRPr="000A7F4A">
          <w:rPr>
            <w:rStyle w:val="Hipersaitas"/>
          </w:rPr>
          <w:t>Prieiga internete</w:t>
        </w:r>
      </w:hyperlink>
    </w:p>
    <w:p w:rsidR="0029340F" w:rsidRDefault="0029340F" w:rsidP="00C527C1">
      <w:pPr>
        <w:rPr>
          <w:lang w:eastAsia="lt-LT"/>
        </w:rPr>
      </w:pPr>
    </w:p>
    <w:p w:rsidR="00C527C1" w:rsidRPr="00F74A35" w:rsidRDefault="00C527C1" w:rsidP="00C527C1">
      <w:pPr>
        <w:pStyle w:val="Antrat1"/>
        <w:spacing w:before="0"/>
        <w:rPr>
          <w:rFonts w:cstheme="minorHAnsi"/>
          <w:b w:val="0"/>
          <w:bCs/>
          <w:iCs/>
          <w:szCs w:val="22"/>
          <w:lang w:eastAsia="lt-LT"/>
        </w:rPr>
      </w:pPr>
      <w:bookmarkStart w:id="66" w:name="_Toc517273055"/>
      <w:r w:rsidRPr="00F74A35">
        <w:rPr>
          <w:rFonts w:cstheme="minorHAnsi"/>
          <w:bCs/>
          <w:iCs/>
          <w:szCs w:val="22"/>
          <w:lang w:eastAsia="lt-LT"/>
        </w:rPr>
        <w:t>SUSITARIMAI SU TREČIOSIOMIS ŠALIMIS ARBA TARPTAUTINĖMIS ORGANIZACIJOMIS</w:t>
      </w:r>
      <w:bookmarkEnd w:id="66"/>
    </w:p>
    <w:p w:rsidR="00C527C1" w:rsidRPr="00F74A35" w:rsidRDefault="00C527C1" w:rsidP="00C527C1">
      <w:pPr>
        <w:ind w:firstLine="567"/>
        <w:jc w:val="center"/>
        <w:rPr>
          <w:rFonts w:asciiTheme="minorHAnsi" w:hAnsiTheme="minorHAnsi" w:cstheme="minorHAnsi"/>
          <w:b/>
          <w:bCs/>
          <w:iCs/>
          <w:lang w:eastAsia="lt-LT"/>
        </w:rPr>
      </w:pPr>
    </w:p>
    <w:p w:rsidR="00C527C1" w:rsidRPr="00F74A35" w:rsidRDefault="00C527C1" w:rsidP="00EF6DF8">
      <w:pPr>
        <w:pStyle w:val="Antrat2"/>
        <w:rPr>
          <w:rFonts w:cstheme="minorHAnsi"/>
          <w:b w:val="0"/>
          <w:bCs w:val="0"/>
          <w:iCs w:val="0"/>
          <w:szCs w:val="22"/>
        </w:rPr>
      </w:pPr>
      <w:bookmarkStart w:id="67" w:name="_Toc517273056"/>
      <w:r w:rsidRPr="00F74A35">
        <w:rPr>
          <w:rFonts w:cstheme="minorHAnsi"/>
          <w:szCs w:val="22"/>
        </w:rPr>
        <w:t>2018 m. kovo 6 d. didžio</w:t>
      </w:r>
      <w:r w:rsidR="00EF6DF8">
        <w:rPr>
          <w:rFonts w:cstheme="minorHAnsi"/>
          <w:szCs w:val="22"/>
        </w:rPr>
        <w:t>sios kolegijos</w:t>
      </w:r>
      <w:r w:rsidR="00116665">
        <w:rPr>
          <w:rFonts w:cstheme="minorHAnsi"/>
          <w:szCs w:val="22"/>
        </w:rPr>
        <w:t xml:space="preserve"> prejudicinis</w:t>
      </w:r>
      <w:r w:rsidRPr="00F74A35">
        <w:rPr>
          <w:rFonts w:cstheme="minorHAnsi"/>
          <w:szCs w:val="22"/>
        </w:rPr>
        <w:t xml:space="preserve"> sprendimas C</w:t>
      </w:r>
      <w:r w:rsidRPr="00F74A35">
        <w:rPr>
          <w:rFonts w:cstheme="minorHAnsi"/>
          <w:szCs w:val="22"/>
        </w:rPr>
        <w:noBreakHyphen/>
        <w:t>284/16</w:t>
      </w:r>
      <w:bookmarkEnd w:id="67"/>
    </w:p>
    <w:p w:rsidR="00C527C1" w:rsidRPr="00F74A35" w:rsidRDefault="00C527C1" w:rsidP="00C527C1">
      <w:pPr>
        <w:ind w:firstLine="567"/>
        <w:jc w:val="center"/>
        <w:rPr>
          <w:rFonts w:asciiTheme="minorHAnsi" w:hAnsiTheme="minorHAnsi" w:cstheme="minorHAnsi"/>
          <w:b/>
          <w:bCs/>
          <w:i/>
          <w:iCs/>
          <w:lang w:eastAsia="lt-LT"/>
        </w:rPr>
      </w:pPr>
      <w:r w:rsidRPr="00F74A35">
        <w:rPr>
          <w:rFonts w:asciiTheme="minorHAnsi" w:hAnsiTheme="minorHAnsi" w:cstheme="minorHAnsi"/>
          <w:b/>
          <w:bCs/>
          <w:i/>
          <w:iCs/>
          <w:lang w:eastAsia="lt-LT"/>
        </w:rPr>
        <w:t>Slowakische Republik prieš Achmea BV</w:t>
      </w:r>
    </w:p>
    <w:p w:rsidR="00C527C1" w:rsidRPr="00F74A35" w:rsidRDefault="00C527C1" w:rsidP="00C527C1">
      <w:pPr>
        <w:ind w:firstLine="567"/>
        <w:rPr>
          <w:rFonts w:asciiTheme="minorHAnsi" w:hAnsiTheme="minorHAnsi" w:cstheme="minorHAnsi"/>
          <w:b/>
          <w:bCs/>
          <w:iCs/>
          <w:lang w:eastAsia="lt-LT"/>
        </w:rPr>
      </w:pP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Prašymas priimti prejudicinį sprendimą pateiktas dėl Sutarties dėl Europos Sąjungos veikimo 18, 267 ir 344 straipsnių išaiškinimo.</w:t>
      </w:r>
    </w:p>
    <w:p w:rsidR="00C527C1"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 xml:space="preserve">1993 m. sausio 1 d. Slovakijos Respublika, kaip Čekoslovakijos Federacinės Respublikos teisių turėtoja, perėmė pastarosios teises ir pareigas pagal Nyderlandų Karalystės ir Čekoslovakijos Federacinės Respublikos sudarytą sutartį dėl tarpusavio investicijų skatinimo ir apsaugos (toliau – DIS), o 2004 m. gegužės 1 d. įstojo į Europos Sąjungą. Slovakijos Respublika atvėrė Slovakijos rinką nacionaliniams ir užsienio subjektams, siūlantiems privataus sveikatos draudimo paslaugas. Gavusi leidimą veikti kaip sveikatos draudimo įstaiga, </w:t>
      </w:r>
      <w:r w:rsidRPr="00F74A35">
        <w:rPr>
          <w:rFonts w:asciiTheme="minorHAnsi" w:hAnsiTheme="minorHAnsi" w:cstheme="minorHAnsi"/>
          <w:lang w:eastAsia="lt-LT"/>
        </w:rPr>
        <w:lastRenderedPageBreak/>
        <w:t>Nyderlandų draudimo grupei priklausanti įmonė</w:t>
      </w:r>
      <w:r w:rsidRPr="00F74A35">
        <w:rPr>
          <w:rFonts w:asciiTheme="minorHAnsi" w:hAnsiTheme="minorHAnsi" w:cstheme="minorHAnsi"/>
          <w:i/>
          <w:iCs/>
          <w:lang w:eastAsia="lt-LT"/>
        </w:rPr>
        <w:t> Achmea</w:t>
      </w:r>
      <w:r w:rsidRPr="00F74A35">
        <w:rPr>
          <w:rFonts w:asciiTheme="minorHAnsi" w:hAnsiTheme="minorHAnsi" w:cstheme="minorHAnsi"/>
          <w:lang w:eastAsia="lt-LT"/>
        </w:rPr>
        <w:t> Slovakijoje įsteigė patronuojamąją bendrovę, į ją įnešė kapitalą ir per ją siūlė privataus sveikatos draudimo paslaugas Slovakijos rinkoje. 2007 m. spalio 25 d. įstatymu Slovakijos Respublika uždraudė paskirstyti iš privataus sveikatos draudimo veiklos gautą pelną, tačiau Slovakijos Respublikos Konstitucinis Teismas 2011 m. sausio 26 d. sprendimu nusprendė, kad šis draudimas prieštarauja Slovakijos Konstitucijai, Slovakijos Respublika 2011 m. rugpjūčio 1 d. įsigaliojusiu įstatymu vėl leido paskirstyti nagrinėjamą pelną. Manydama, kad dėl Slovakijos Respublikos teisės aktų patyrė žalą, </w:t>
      </w:r>
      <w:r w:rsidRPr="00F74A35">
        <w:rPr>
          <w:rFonts w:asciiTheme="minorHAnsi" w:hAnsiTheme="minorHAnsi" w:cstheme="minorHAnsi"/>
          <w:i/>
          <w:iCs/>
          <w:lang w:eastAsia="lt-LT"/>
        </w:rPr>
        <w:t>Achmea</w:t>
      </w:r>
      <w:r w:rsidRPr="00F74A35">
        <w:rPr>
          <w:rFonts w:asciiTheme="minorHAnsi" w:hAnsiTheme="minorHAnsi" w:cstheme="minorHAnsi"/>
          <w:lang w:eastAsia="lt-LT"/>
        </w:rPr>
        <w:t>, taikydama DIS 8 straipsnį, 2008 m. spalio mėn. pradėjo prieš šią valstybę narę arbitražo procedūrą. Kadangi Frankfurtas prie Maino (Vokietija) buvo pasirinktas kaip arbitražo vieta, nagrinėjamai arbitražo procedūrai taikytina Vokietijos teisė. Vykstant šiai arbitražo procedūrai Slovakijos Respublika pateikė arbitražo teismo jurisdikcijos neturėjimu grindžiamą prieštaravimą. Šiuo klausimu ji tvirtino, kad dėl jos įstojimo į Sąjungą DIS 8 straipsnio 2 dalyje numatytas kreipimasis į arbitražo teismą nesuderinamas su Sąjungos teise. Negalutiniu arbitražo sprendimu arbitražo teismas atmetė šį prieštaravimą. Slovakijos Respublikos ieškiniai dėl šio sprendimo panaikinimo, pareikšti Vokietijos pirmosios ir apeliacinės instancijos teismuose, buvo atmesti. Arbitražo sprendimu arbitražo teismas įpareigojo Slovakijos Respubliką sumokėti </w:t>
      </w:r>
      <w:r w:rsidRPr="00F74A35">
        <w:rPr>
          <w:rFonts w:asciiTheme="minorHAnsi" w:hAnsiTheme="minorHAnsi" w:cstheme="minorHAnsi"/>
          <w:i/>
          <w:iCs/>
          <w:lang w:eastAsia="lt-LT"/>
        </w:rPr>
        <w:t>Achmea</w:t>
      </w:r>
      <w:r w:rsidRPr="00F74A35">
        <w:rPr>
          <w:rFonts w:asciiTheme="minorHAnsi" w:hAnsiTheme="minorHAnsi" w:cstheme="minorHAnsi"/>
          <w:lang w:eastAsia="lt-LT"/>
        </w:rPr>
        <w:t> 22,1 mln. eurų su palūkanomis nuostoliams atlyginti. Slovakijos Respublika pareiškė ieškinį dėl šio arbitražo sprendimo panaikinimo Frankfurto prie Maino aukštesniajam apygardos teismui (Vokietija). Kadangi pastarasis teismas nusprendė ieškinį atmesti, Slovakijos Respublika apskundė tą sprendimą Vokietijos Aukščiausiajam Federaliniam Teismui. Prašymą priimti prejudicinį sprendimą pateikęs teismas primena, kad nuo Slovakijos Respublikos įstojimo į Sąjungą datos, t. y. nuo 2004 m. gegužės 1 d., DIS yra valstybių narių sutartis, todėl kolizijos atveju Sąjungos teisės nuostatos turi viršenybę prieš DIS nuostatas tose srityse, kurios joje reglamentuojamos. Šiuo klausimu Slovakijos Respublikai kyla abejonių dėl DIS 8 straipsnyje esančios arbitražinės išlygos suderinamumo su SESV 18, 267 ir 344 straipsniais (6–</w:t>
      </w:r>
      <w:r w:rsidR="00BA762F">
        <w:rPr>
          <w:rFonts w:asciiTheme="minorHAnsi" w:hAnsiTheme="minorHAnsi" w:cstheme="minorHAnsi"/>
          <w:lang w:eastAsia="lt-LT"/>
        </w:rPr>
        <w:t>14 </w:t>
      </w:r>
      <w:r w:rsidRPr="00F74A35">
        <w:rPr>
          <w:rFonts w:asciiTheme="minorHAnsi" w:hAnsiTheme="minorHAnsi" w:cstheme="minorHAnsi"/>
          <w:lang w:eastAsia="lt-LT"/>
        </w:rPr>
        <w:t>punktai).</w:t>
      </w:r>
    </w:p>
    <w:p w:rsidR="00FF7517" w:rsidRDefault="00FF7517" w:rsidP="00C527C1">
      <w:pPr>
        <w:ind w:firstLine="567"/>
        <w:rPr>
          <w:rFonts w:asciiTheme="minorHAnsi" w:hAnsiTheme="minorHAnsi" w:cstheme="minorHAnsi"/>
          <w:lang w:eastAsia="lt-LT"/>
        </w:rPr>
      </w:pPr>
    </w:p>
    <w:p w:rsidR="00FF7517" w:rsidRPr="00FF7517" w:rsidRDefault="00FF7517" w:rsidP="00FF7517">
      <w:pPr>
        <w:pStyle w:val="Antrat3"/>
        <w:ind w:firstLine="567"/>
        <w:rPr>
          <w:rFonts w:cstheme="minorHAnsi"/>
          <w:lang w:eastAsia="lt-LT"/>
        </w:rPr>
      </w:pPr>
      <w:bookmarkStart w:id="68" w:name="_Toc517273057"/>
      <w:r w:rsidRPr="00FF7517">
        <w:rPr>
          <w:rFonts w:cstheme="minorHAnsi"/>
          <w:lang w:eastAsia="lt-LT"/>
        </w:rPr>
        <w:t>Dėl tarptautinės sutarties nuostatos, pagal kurią vienos iš šių valstybių narių investuotojas, kilus ginčui dėl investicijų kitoje valstybėje narėje, gali iškelti bylą pastarajai valstybei narei arbitražo teisme, kurio jurisdikciją ši valstybė narė privalo pripažinti, atitikties ES teisei</w:t>
      </w:r>
      <w:bookmarkEnd w:id="68"/>
    </w:p>
    <w:p w:rsidR="00FF7517" w:rsidRPr="00F74A35" w:rsidRDefault="00FF7517" w:rsidP="00C527C1">
      <w:pPr>
        <w:ind w:firstLine="567"/>
        <w:rPr>
          <w:rFonts w:asciiTheme="minorHAnsi" w:hAnsiTheme="minorHAnsi" w:cstheme="minorHAnsi"/>
          <w:lang w:eastAsia="lt-LT"/>
        </w:rPr>
      </w:pP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Savo pirmuoju ir antruoju klausimais, kuriuos Teisingumo Teismas nusprendė nagrinėti kartu, prašymą priimti prejudicinį sprendimą pateikęs teismas iš esmės klausė, ar SESV 267 ir 344 straipsnius reikia aiškinti taip, kad jais draudžiama valstybių narių sudarytoje tarptautinėje sutartyje esanti nuostata, kaip antai DIS 8 straipsnis, pagal kurią vienos iš šių valstybių narių investuotojas, kilus ginčui dėl investicijų kitoje valstybėje narėje, gali iškelti bylą pastarajai valstybei narei arbitražo teisme, kurio jurisdikciją ši valstybė narė privalo pripažinti (31 punktas).</w:t>
      </w: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Teisingumo Teismas tikrindamas, ar ginčai, kuriuos arbitražo teismo prašoma išnagrinėti pagal DIS 8 straipsnį, gali būti susiję su Sąjungos teisės aiškinimu ar taikymu, nurodė, kad net darant prielaidą, kad šio teismo, nepaisant labai plačios formuluotės DIS 8 straipsnio 1 dalyje, prašoma nuspręsti tik dėl galimo šios sutarties pažeidimo, vis dėlto šiuo tikslu jis pagal DIS 8 straipsnio 6 dalį turi atsižvelgti, be kita ko, į galiojančią susijusios susitariančiosios šalies teisę ir į bet kokią kitą reikšmingą sutartį tarp susitariančiųjų šalių. Atsižvelgiant į Sąjungos teisės pobūdį ir ypatumus ši teisė turi būti laikoma kiekvienoje valstybėje narėje galiojančios teisės dalimi ir išplaukia iš tarptautinės valstybių narių sutarties. Todėl darytina išvada, kad šiais dviem aspektais DIS 8 straipsnyje nurodytas arbitražo teismas prireikus turi išaiškinti</w:t>
      </w:r>
      <w:r w:rsidR="00BA762F">
        <w:rPr>
          <w:rFonts w:asciiTheme="minorHAnsi" w:hAnsiTheme="minorHAnsi" w:cstheme="minorHAnsi"/>
          <w:lang w:eastAsia="lt-LT"/>
        </w:rPr>
        <w:t>,</w:t>
      </w:r>
      <w:r w:rsidRPr="00F74A35">
        <w:rPr>
          <w:rFonts w:asciiTheme="minorHAnsi" w:hAnsiTheme="minorHAnsi" w:cstheme="minorHAnsi"/>
          <w:lang w:eastAsia="lt-LT"/>
        </w:rPr>
        <w:t xml:space="preserve"> ar taikyti Sąjungos teisę ir, konkrečiai, nuostatas, susijusias su pagrindinėmis laisvėmis, tarp jų susijusias su įsisteigimo laisve ir kapitalo judėjimo laisve (40–42 punktai).</w:t>
      </w: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 xml:space="preserve">Tokiomis aplinkybėmis, Teisingumo Teismo nuomone, buvo būtina patikrinti, ar arbitražo teismas, kaip antai numatytas DIS 8 straipsnyje, priklauso Sąjungos teisminei sistemai ir, konkrečiai, ar jis gali būti laikomas valstybės narės teismu, kaip tai suprantama pagal SESV 267 straipsnį. Šiuo aspektu buvo pažymėta, kad kelių valstybių narių įsteigtam teismui priklausant Sąjungos teisminei sistemai, jo sprendimams gali būti taikomi mechanizmai, pagal kuriuos galima užtikrinti visišką Sąjungos normų veiksmingumą. Tačiau pagrindinėje byloje arbitražo teismas nėra Nyderlanduose ir Slovakijoje sukurtos teisminės sistemos dalis. Be to, konkrečiai šio teismo jurisdikcijos išimtinis pobūdis, palyginus su šių dviejų valstybių narių teismų jurisdikcijos pobūdžiu, yra viena iš pagrindinių DIS 8 straipsnio egzistavimo priežasčių. Ši pagrindinėje byloje aptariamo arbitražo teismo ypatybė reiškia, kad jis bet kuriuo atveju neturi būti kvalifikuojamas kaip „valstybės narės teismas“, </w:t>
      </w:r>
      <w:r w:rsidRPr="00F74A35">
        <w:rPr>
          <w:rFonts w:asciiTheme="minorHAnsi" w:hAnsiTheme="minorHAnsi" w:cstheme="minorHAnsi"/>
          <w:lang w:eastAsia="lt-LT"/>
        </w:rPr>
        <w:lastRenderedPageBreak/>
        <w:t>kaip tai suprantama pagal SESV 267 straipsnį, todėl jis neturi teisės kreiptis į Teisingumo Teismą, kad šis priimtų prejudicinį sprendimą (43–46, 49 punktai).</w:t>
      </w: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 xml:space="preserve">Dėl šios priežasties, Teisingumo Teismas nurodė, jog reikia patikrinti, ar tokio teismo priimtam arbitražo sprendimui, konkrečiai, remiantis ESS 19 straipsniu, gali būti taikoma valstybės narės teismo kontrolė, užtikrinanti, kad Sąjungos teisės klausimai, kuriuos šis teismas galbūt turės nagrinėti, gali prireikus būti pateikti Teisingumo Teismui prejudicinėje byloje. Šiame kontekste Teisingumo Teismas atsižvelgė į tai, kad numatyto arbitražo teismo sprendimas yra galutinis, be to, šis arbitražo teismas nustato savo procedūros taisykles pagal UNCITRAL arbitražo procedūros reglamentą ir konkrečiai pats pasirenka savo buveinę, taigi ir procedūrai, reglamentuojančiai sprendimo, kuriuo jis išsprendžia ginčą, dėl kurio į jį kreiptasi, galiojimo teisminę kontrolę, taikytiną teisę. Šiuo atveju arbitražo teismas, į kurį kreipėsi </w:t>
      </w:r>
      <w:r w:rsidRPr="00F74A35">
        <w:rPr>
          <w:rFonts w:asciiTheme="minorHAnsi" w:hAnsiTheme="minorHAnsi" w:cstheme="minorHAnsi"/>
          <w:i/>
          <w:iCs/>
          <w:lang w:eastAsia="lt-LT"/>
        </w:rPr>
        <w:t>Achmea</w:t>
      </w:r>
      <w:r w:rsidRPr="00F74A35">
        <w:rPr>
          <w:rFonts w:asciiTheme="minorHAnsi" w:hAnsiTheme="minorHAnsi" w:cstheme="minorHAnsi"/>
          <w:lang w:eastAsia="lt-LT"/>
        </w:rPr>
        <w:t>, buveinę pasirinko Frankfurte prie Maino, todėl procedūrai, reglamentuojančiai šio teismo priimto arbitražo sprendimo galiojimo teisminę kontrolę, taikytina Vokietijos teisė. Būtent šis pasirinkimas leido Slovakijos Respublikai, kaip ginčo šaliai, reikalauti pagal šią teisę šio arbitražo sprendimo teisminės kontrolės, šiuo tikslu kreipiantis į kompetentingą Vokietijos teismą. Vis dėlto tokia teisminė kontrolė minėto teismo gali būti vykdoma tik tuo atveju, jei tai leidžiama pagal nacionalinę teisę. Be to, Civilinio proceso kodekso 1059 straipsnio 2 dalyje numatyta tik ribota kontrolė, be kita ko, susijusi su arbitražinio susitarimo galiojimu taikytinos teisės požiūriu ar su viešosios tvarkos laikymusi pripažįstant ar vykdant arbitražo sprendimą (50–53 punktai).</w:t>
      </w: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Žinoma, dėl komercinio arbitražo Teisingumo Teismas yra nusprendęs, kad reikalavimai dėl arbitražo proceso veiksmingumo pateisina, jog arbitražo sprendimo kontrolė, kurią atlieka valstybių narių teismai, būtų ribota, jei esminės Sąjungos teisės nuostatos gali būti nagrinėjamos vykdant šią kontrolę ir prireikus būti prašymo priimti prejudicinį sprendimą, pateikto Teisingumo Teisme, dalykas. Vis dėlto arbitražo procedūra, kaip antai numatyta DIS 8 straipsnyje, skiriasi nuo komercinio arbitražo procedūros. Iš tiesų, antroji kildinama iš atitinkamų šalių autonomijos, o pirmoji išplaukia iš sutarties, pagal kurią valstybės narės sutinka netaikyti savo teismų jurisdikcijos, taigi ir teisminio gynimo būdų, kuriuos ESS 19 straipsnio 1 dalies antroje pastraipoje jos įpareigojamos nustatyti srityse, kurias apima Sąjungos teisė, nes ginčai gali būti susiję su šios teisės taikymu ar aiškin</w:t>
      </w:r>
      <w:r w:rsidR="001B57A7">
        <w:rPr>
          <w:rFonts w:asciiTheme="minorHAnsi" w:hAnsiTheme="minorHAnsi" w:cstheme="minorHAnsi"/>
          <w:lang w:eastAsia="lt-LT"/>
        </w:rPr>
        <w:t>imu. Esant šioms sąlygoms ank</w:t>
      </w:r>
      <w:r w:rsidRPr="00F74A35">
        <w:rPr>
          <w:rFonts w:asciiTheme="minorHAnsi" w:hAnsiTheme="minorHAnsi" w:cstheme="minorHAnsi"/>
          <w:lang w:eastAsia="lt-LT"/>
        </w:rPr>
        <w:t>sčiau pateikti samprotavimai dėl komercinio arbitražo, Teisingumo Teismo nuomone, netaikytini arbitražo procedūrai, kaip antai nustatytai DIS 8 straipsnyje. Todėl, atsižvelgdamas į visas arbitražo teismo ypatybes, nurodytas DIS 8 straipsnyje ir primintas šiame sprendime, Teisingumo Teismas laikė, kad sudarydamos DIS valstybės narės, jos šalys, nustatė ginčų tarp investuotojo ir valstybės narės sprendimo mechanizmą, galintį padėti išvengti, kad šie ginčai, nors ir galintys būti susiję su Sąjungos teisės aiškinimu ar taikymu, būtų išspręsti taip, kad būtų užtikrintas visiškas šios teisės veiksmingumas (54–56 punktai).</w:t>
      </w: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lang w:eastAsia="lt-LT"/>
        </w:rPr>
        <w:t>Žinoma, remiantis suformuota Teisingumo Teismo praktika, tarptautinis susitarimas, pagal kurį numatyta sukurti teismą, kuris būtų įgaliojamas aiškinti jo nuostatas ir kurio sprendimai privalomi institucijoms, taip pat ir Teisingumo Teismui, iš esmės nėra nesuderinamas su Sąjungos teise. Iš tiesų Sąjungos kompetencija tarptautinių santykių srityje ir jos teisė sudaryti tarptautinius susitarimus neišvengiamai apima galimybę įsipareigoti paklusti pagal tokius susitarimus sukurto ar paskirto teismo sprendimams, kiek tai susiję su jų nuostatų aiškinimu ir taikymu, jei užtikrinama Sąjungos ir jos teisinės sistemos autonomija. Vis dėlto šiuo atveju, be to, kad ginčai, priskirtini arbitražo teismo, nurodyto DIS 8 straipsnyje, kompetencijai, gali būti susiję tiek su šios sutarties, tiek su Sąjungos teisės aiškinimu, galimybė, kad šiuos ginčus spręstų subjektas, kuris nėra Sąjungos teisminės sistemos dalis, yra numatyta sutartyje, kuri buvo sudaryta ne Sąjungos, bet valstybių narių. Minėtas 8 straipsnis gali kelti klausimą ne tik dėl abipusio valstybių narių pasitikėjimo, bet ir dėl Sutartyse įtvirtintos teisės savitumo išsaugojimo, kurį užtikrina SESV 267 straipsnyje numatyta prašymo priimti prejudicinį sprendimą procedūra, ir todėl nėra suderinama su šio sprendimo 34 punkte primintu lojalaus bendradarbiavimo principu. Šiomis sąlygomis DIS 8 straipsniu keliamas pavojus Sąjungos teisės autonomijai (57–59 punktai).</w:t>
      </w:r>
    </w:p>
    <w:p w:rsidR="00C527C1" w:rsidRPr="00F74A35" w:rsidRDefault="00C527C1" w:rsidP="00C527C1">
      <w:pPr>
        <w:ind w:firstLine="567"/>
        <w:rPr>
          <w:rFonts w:asciiTheme="minorHAnsi" w:hAnsiTheme="minorHAnsi" w:cstheme="minorHAnsi"/>
          <w:lang w:eastAsia="lt-LT"/>
        </w:rPr>
      </w:pPr>
    </w:p>
    <w:p w:rsidR="00C527C1" w:rsidRPr="00F74A35" w:rsidRDefault="00C527C1" w:rsidP="00C527C1">
      <w:pPr>
        <w:ind w:firstLine="567"/>
        <w:rPr>
          <w:rFonts w:asciiTheme="minorHAnsi" w:hAnsiTheme="minorHAnsi" w:cstheme="minorHAnsi"/>
          <w:b/>
          <w:lang w:eastAsia="lt-LT"/>
        </w:rPr>
      </w:pPr>
      <w:r w:rsidRPr="00F74A35">
        <w:rPr>
          <w:rFonts w:asciiTheme="minorHAnsi" w:hAnsiTheme="minorHAnsi" w:cstheme="minorHAnsi"/>
          <w:b/>
          <w:lang w:eastAsia="lt-LT"/>
        </w:rPr>
        <w:t>Remdamasis šiais motyvais, Teisingumo Teismas (didžioji kolegija) nusprendė:</w:t>
      </w:r>
    </w:p>
    <w:p w:rsidR="00C527C1" w:rsidRPr="00F74A35" w:rsidRDefault="00C527C1" w:rsidP="00C527C1">
      <w:pPr>
        <w:ind w:firstLine="567"/>
        <w:rPr>
          <w:rFonts w:asciiTheme="minorHAnsi" w:hAnsiTheme="minorHAnsi" w:cstheme="minorHAnsi"/>
          <w:lang w:eastAsia="lt-LT"/>
        </w:rPr>
      </w:pPr>
      <w:r w:rsidRPr="00F74A35">
        <w:rPr>
          <w:rFonts w:asciiTheme="minorHAnsi" w:hAnsiTheme="minorHAnsi" w:cstheme="minorHAnsi"/>
          <w:bCs/>
          <w:lang w:eastAsia="lt-LT"/>
        </w:rPr>
        <w:t>SESV 267 ir 344 straipsnius reikia aiškinti taip, kad jais draudžiama valstybių narių sudarytoje tarptautinėje sutartyje esanti nuostata, kaip antai Nyderlandų Karalystės ir Čekoslovakijos Federacinės Respublikos sudarytos sutarties dėl tarpusavio investicijų skatinimo ir apsaugos 8 straipsnis, pagal kurią vienos iš šių valstybių narių investuotojas, kilus ginčui dėl investicijų kitoje valstybėje narėje, gali iškelti bylą pastarajai valstybei narei arbitražo teisme, kurio jurisdikciją ši valstybė narė privalo pripažinti.</w:t>
      </w:r>
    </w:p>
    <w:p w:rsidR="00C527C1" w:rsidRPr="00F74A35" w:rsidRDefault="00EF32EC" w:rsidP="00C527C1">
      <w:pPr>
        <w:ind w:firstLine="567"/>
        <w:rPr>
          <w:rFonts w:asciiTheme="minorHAnsi" w:hAnsiTheme="minorHAnsi" w:cstheme="minorHAnsi"/>
        </w:rPr>
      </w:pPr>
      <w:hyperlink r:id="rId24" w:history="1">
        <w:r w:rsidR="00C527C1" w:rsidRPr="00F74A35">
          <w:rPr>
            <w:rStyle w:val="Hipersaitas"/>
            <w:rFonts w:asciiTheme="minorHAnsi" w:hAnsiTheme="minorHAnsi" w:cstheme="minorHAnsi"/>
          </w:rPr>
          <w:t>Prieiga internete</w:t>
        </w:r>
      </w:hyperlink>
    </w:p>
    <w:sectPr w:rsidR="00C527C1" w:rsidRPr="00F74A35" w:rsidSect="00736158">
      <w:headerReference w:type="default" r:id="rId25"/>
      <w:footerReference w:type="default" r:id="rId26"/>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18D" w:rsidRDefault="00E8018D">
      <w:r>
        <w:separator/>
      </w:r>
    </w:p>
  </w:endnote>
  <w:endnote w:type="continuationSeparator" w:id="0">
    <w:p w:rsidR="00E8018D" w:rsidRDefault="00E80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0"/>
        <w:szCs w:val="20"/>
      </w:rPr>
      <w:id w:val="-951236842"/>
      <w:docPartObj>
        <w:docPartGallery w:val="Page Numbers (Bottom of Page)"/>
        <w:docPartUnique/>
      </w:docPartObj>
    </w:sdtPr>
    <w:sdtContent>
      <w:sdt>
        <w:sdtPr>
          <w:rPr>
            <w:rFonts w:asciiTheme="minorHAnsi" w:hAnsiTheme="minorHAnsi"/>
            <w:sz w:val="20"/>
            <w:szCs w:val="20"/>
          </w:rPr>
          <w:id w:val="1588040077"/>
          <w:docPartObj>
            <w:docPartGallery w:val="Page Numbers (Top of Page)"/>
            <w:docPartUnique/>
          </w:docPartObj>
        </w:sdtPr>
        <w:sdtContent>
          <w:p w:rsidR="00EF32EC" w:rsidRPr="0078181C" w:rsidRDefault="00EF32EC"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Pr>
                <w:rFonts w:asciiTheme="minorHAnsi" w:hAnsiTheme="minorHAnsi"/>
                <w:bCs/>
                <w:noProof/>
                <w:sz w:val="20"/>
                <w:szCs w:val="20"/>
              </w:rPr>
              <w:t>3</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Pr>
                <w:rFonts w:asciiTheme="minorHAnsi" w:hAnsiTheme="minorHAnsi"/>
                <w:bCs/>
                <w:noProof/>
                <w:sz w:val="20"/>
                <w:szCs w:val="20"/>
              </w:rPr>
              <w:t>36</w:t>
            </w:r>
            <w:r w:rsidRPr="00F15916">
              <w:rPr>
                <w:rFonts w:asciiTheme="minorHAnsi" w:hAnsiTheme="minorHAnsi"/>
                <w:bCs/>
                <w:sz w:val="20"/>
                <w:szCs w:val="20"/>
              </w:rPr>
              <w:fldChar w:fldCharType="end"/>
            </w:r>
          </w:p>
        </w:sdtContent>
      </w:sdt>
    </w:sdtContent>
  </w:sdt>
  <w:p w:rsidR="00EF32EC" w:rsidRDefault="00EF32E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18D" w:rsidRDefault="00E8018D">
      <w:r>
        <w:separator/>
      </w:r>
    </w:p>
  </w:footnote>
  <w:footnote w:type="continuationSeparator" w:id="0">
    <w:p w:rsidR="00E8018D" w:rsidRDefault="00E8018D">
      <w:r>
        <w:continuationSeparator/>
      </w:r>
    </w:p>
  </w:footnote>
  <w:footnote w:id="1">
    <w:p w:rsidR="00EF32EC" w:rsidRPr="00E92F78" w:rsidRDefault="00EF32EC">
      <w:pPr>
        <w:pStyle w:val="Puslapioinaostekstas"/>
        <w:rPr>
          <w:sz w:val="16"/>
          <w:szCs w:val="16"/>
        </w:rPr>
      </w:pPr>
      <w:r w:rsidRPr="00E92F78">
        <w:rPr>
          <w:rStyle w:val="Puslapioinaosnuoroda"/>
          <w:sz w:val="16"/>
          <w:szCs w:val="16"/>
        </w:rPr>
        <w:footnoteRef/>
      </w:r>
      <w:r w:rsidRPr="00E92F78">
        <w:rPr>
          <w:sz w:val="16"/>
          <w:szCs w:val="16"/>
        </w:rPr>
        <w:t xml:space="preserve"> Direktyvos 2000/78 4 straipsnio 2 dalyje numatyta, kad valstybės narės gali toliau taikyti šios direktyvos priėmimo dieną galiojančius nacionalinius teisės aktus arba numatyti ateityje priimti teisės aktus, kuriuose būtų taikoma šios direktyvos priėmimo dieną galiojusi nacionalinė praktika, pagal kuriuos bažnytinių ir kitų valstybinių arba privačių organizacijų, kurių veiklą reguliuojančios normos grindžiamos religija ar įsitikinimais, skirtingas požiūris profesinėje veikloje dėl asmens religijos ar įsitikinimų nėra diskriminacija, jei dėl tokios veiklos pobūdžio arba dėl aplinkybių, kuriomis ji vykdoma, asmens išpažįstama religija ar įsitikinimai atsižvelgiant į organizacijos veiklos normas yra įprastas [esminis], teisėtas ir pateisinamas profesinis reikalavimas. Taikant skirtingą požiūrį atsižvelgiama į valstybių narių konstitucines nuostatas ir principus bei į bendruosius Bendrijos teisės principus ir diskriminavimas dėl kitos priežasties yra nepateisinamas.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149"/>
      <w:gridCol w:w="2381"/>
    </w:tblGrid>
    <w:tr w:rsidR="00EF32EC" w:rsidRPr="000967FF" w:rsidTr="00736158">
      <w:tc>
        <w:tcPr>
          <w:tcW w:w="7230" w:type="dxa"/>
        </w:tcPr>
        <w:p w:rsidR="00EF32EC" w:rsidRPr="0021377E" w:rsidRDefault="00EF32EC"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rsidR="00EF32EC" w:rsidRPr="0021377E" w:rsidRDefault="00EF32EC" w:rsidP="00882925">
          <w:pPr>
            <w:rPr>
              <w:color w:val="323E4F" w:themeColor="text2" w:themeShade="BF"/>
              <w:sz w:val="20"/>
              <w:szCs w:val="20"/>
            </w:rPr>
          </w:pPr>
          <w:r>
            <w:rPr>
              <w:color w:val="323E4F" w:themeColor="text2" w:themeShade="BF"/>
              <w:sz w:val="20"/>
              <w:szCs w:val="20"/>
            </w:rPr>
            <w:t>2018 01</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1–201</w:t>
          </w:r>
          <w:r>
            <w:rPr>
              <w:color w:val="323E4F" w:themeColor="text2" w:themeShade="BF"/>
              <w:sz w:val="20"/>
              <w:szCs w:val="20"/>
            </w:rPr>
            <w:t>8 04</w:t>
          </w:r>
          <w:r w:rsidRPr="0021377E">
            <w:rPr>
              <w:color w:val="323E4F" w:themeColor="text2" w:themeShade="BF"/>
              <w:sz w:val="20"/>
              <w:szCs w:val="20"/>
            </w:rPr>
            <w:t xml:space="preserve"> </w:t>
          </w:r>
          <w:r>
            <w:rPr>
              <w:color w:val="323E4F" w:themeColor="text2" w:themeShade="BF"/>
              <w:sz w:val="20"/>
              <w:szCs w:val="20"/>
            </w:rPr>
            <w:t>30</w:t>
          </w:r>
        </w:p>
      </w:tc>
    </w:tr>
  </w:tbl>
  <w:p w:rsidR="00EF32EC" w:rsidRDefault="00EF32EC"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1"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8CD"/>
    <w:rsid w:val="000028CD"/>
    <w:rsid w:val="00024262"/>
    <w:rsid w:val="000367E0"/>
    <w:rsid w:val="00066063"/>
    <w:rsid w:val="00085476"/>
    <w:rsid w:val="000B2004"/>
    <w:rsid w:val="000B546F"/>
    <w:rsid w:val="000B7303"/>
    <w:rsid w:val="000C2557"/>
    <w:rsid w:val="000D625C"/>
    <w:rsid w:val="000E30CB"/>
    <w:rsid w:val="001069BA"/>
    <w:rsid w:val="00113E89"/>
    <w:rsid w:val="00116665"/>
    <w:rsid w:val="0012705C"/>
    <w:rsid w:val="00133FF5"/>
    <w:rsid w:val="0013714D"/>
    <w:rsid w:val="00160FC7"/>
    <w:rsid w:val="00162CAE"/>
    <w:rsid w:val="001738B4"/>
    <w:rsid w:val="00176687"/>
    <w:rsid w:val="00180D5D"/>
    <w:rsid w:val="001A347D"/>
    <w:rsid w:val="001B5613"/>
    <w:rsid w:val="001B57A7"/>
    <w:rsid w:val="001F5624"/>
    <w:rsid w:val="00203B43"/>
    <w:rsid w:val="002103AD"/>
    <w:rsid w:val="00212842"/>
    <w:rsid w:val="0021623E"/>
    <w:rsid w:val="002303AE"/>
    <w:rsid w:val="00230D52"/>
    <w:rsid w:val="00256E6C"/>
    <w:rsid w:val="0029340F"/>
    <w:rsid w:val="002A1113"/>
    <w:rsid w:val="002A6D4C"/>
    <w:rsid w:val="002A798C"/>
    <w:rsid w:val="002D1F7A"/>
    <w:rsid w:val="002E0510"/>
    <w:rsid w:val="002F09DA"/>
    <w:rsid w:val="002F456B"/>
    <w:rsid w:val="00311AA2"/>
    <w:rsid w:val="003137EE"/>
    <w:rsid w:val="003265B1"/>
    <w:rsid w:val="0033208A"/>
    <w:rsid w:val="00345EAF"/>
    <w:rsid w:val="0035025B"/>
    <w:rsid w:val="0036339B"/>
    <w:rsid w:val="00397750"/>
    <w:rsid w:val="003A02CF"/>
    <w:rsid w:val="003B0EE7"/>
    <w:rsid w:val="003E5F38"/>
    <w:rsid w:val="003F0061"/>
    <w:rsid w:val="003F03CD"/>
    <w:rsid w:val="0040040C"/>
    <w:rsid w:val="00416E50"/>
    <w:rsid w:val="00440561"/>
    <w:rsid w:val="004421E1"/>
    <w:rsid w:val="00445355"/>
    <w:rsid w:val="004C6BE5"/>
    <w:rsid w:val="004F1C89"/>
    <w:rsid w:val="005071A7"/>
    <w:rsid w:val="00523518"/>
    <w:rsid w:val="00527D0D"/>
    <w:rsid w:val="005330C1"/>
    <w:rsid w:val="00533408"/>
    <w:rsid w:val="00544500"/>
    <w:rsid w:val="005726E6"/>
    <w:rsid w:val="00575462"/>
    <w:rsid w:val="005A1168"/>
    <w:rsid w:val="005B0DBF"/>
    <w:rsid w:val="005B263C"/>
    <w:rsid w:val="005B7A97"/>
    <w:rsid w:val="005C1696"/>
    <w:rsid w:val="005E4196"/>
    <w:rsid w:val="005F2F80"/>
    <w:rsid w:val="00610307"/>
    <w:rsid w:val="006137B3"/>
    <w:rsid w:val="00632D46"/>
    <w:rsid w:val="006349F7"/>
    <w:rsid w:val="00686348"/>
    <w:rsid w:val="00687C29"/>
    <w:rsid w:val="00690E33"/>
    <w:rsid w:val="006961AD"/>
    <w:rsid w:val="00697BB5"/>
    <w:rsid w:val="006B4794"/>
    <w:rsid w:val="006B6EDE"/>
    <w:rsid w:val="006C28D8"/>
    <w:rsid w:val="00706A41"/>
    <w:rsid w:val="007227E8"/>
    <w:rsid w:val="00736158"/>
    <w:rsid w:val="00755BD0"/>
    <w:rsid w:val="007B6FCC"/>
    <w:rsid w:val="00801AC0"/>
    <w:rsid w:val="00813294"/>
    <w:rsid w:val="00816162"/>
    <w:rsid w:val="00820129"/>
    <w:rsid w:val="0084081F"/>
    <w:rsid w:val="008448DC"/>
    <w:rsid w:val="008476C1"/>
    <w:rsid w:val="00882925"/>
    <w:rsid w:val="008B0B49"/>
    <w:rsid w:val="008B462A"/>
    <w:rsid w:val="008D2E78"/>
    <w:rsid w:val="008E44BD"/>
    <w:rsid w:val="008E4AE3"/>
    <w:rsid w:val="00902186"/>
    <w:rsid w:val="0090692D"/>
    <w:rsid w:val="00911D7E"/>
    <w:rsid w:val="009137BE"/>
    <w:rsid w:val="00914E63"/>
    <w:rsid w:val="00947CAF"/>
    <w:rsid w:val="00972E19"/>
    <w:rsid w:val="00975371"/>
    <w:rsid w:val="00982F80"/>
    <w:rsid w:val="00984AE0"/>
    <w:rsid w:val="00994C74"/>
    <w:rsid w:val="009A6C89"/>
    <w:rsid w:val="009C3BF3"/>
    <w:rsid w:val="009D7FC3"/>
    <w:rsid w:val="009E0ADD"/>
    <w:rsid w:val="009E64BC"/>
    <w:rsid w:val="00A113A5"/>
    <w:rsid w:val="00A336BB"/>
    <w:rsid w:val="00A565AA"/>
    <w:rsid w:val="00A67979"/>
    <w:rsid w:val="00A755D7"/>
    <w:rsid w:val="00A81BB0"/>
    <w:rsid w:val="00A92510"/>
    <w:rsid w:val="00A93883"/>
    <w:rsid w:val="00AC4B42"/>
    <w:rsid w:val="00AD0B10"/>
    <w:rsid w:val="00AE0936"/>
    <w:rsid w:val="00AE620F"/>
    <w:rsid w:val="00AF1376"/>
    <w:rsid w:val="00AF3232"/>
    <w:rsid w:val="00AF537D"/>
    <w:rsid w:val="00B22BC0"/>
    <w:rsid w:val="00B34191"/>
    <w:rsid w:val="00B54B15"/>
    <w:rsid w:val="00B7117E"/>
    <w:rsid w:val="00B71D62"/>
    <w:rsid w:val="00B97152"/>
    <w:rsid w:val="00BA762F"/>
    <w:rsid w:val="00BE2BC3"/>
    <w:rsid w:val="00C32316"/>
    <w:rsid w:val="00C527C1"/>
    <w:rsid w:val="00C54C57"/>
    <w:rsid w:val="00C75855"/>
    <w:rsid w:val="00C8481B"/>
    <w:rsid w:val="00C87E7D"/>
    <w:rsid w:val="00C9217A"/>
    <w:rsid w:val="00C9440B"/>
    <w:rsid w:val="00CA6E81"/>
    <w:rsid w:val="00CB316C"/>
    <w:rsid w:val="00CB42CF"/>
    <w:rsid w:val="00CD43FD"/>
    <w:rsid w:val="00CF4E1E"/>
    <w:rsid w:val="00D12072"/>
    <w:rsid w:val="00D22202"/>
    <w:rsid w:val="00D22BFA"/>
    <w:rsid w:val="00D25E4F"/>
    <w:rsid w:val="00D47A49"/>
    <w:rsid w:val="00D65A51"/>
    <w:rsid w:val="00D76E46"/>
    <w:rsid w:val="00D9553F"/>
    <w:rsid w:val="00D972E8"/>
    <w:rsid w:val="00DA1958"/>
    <w:rsid w:val="00DA7582"/>
    <w:rsid w:val="00DB0249"/>
    <w:rsid w:val="00DB0DEC"/>
    <w:rsid w:val="00DB28E0"/>
    <w:rsid w:val="00DC3149"/>
    <w:rsid w:val="00DD076F"/>
    <w:rsid w:val="00DD0F7C"/>
    <w:rsid w:val="00DF6261"/>
    <w:rsid w:val="00E00F16"/>
    <w:rsid w:val="00E04FA8"/>
    <w:rsid w:val="00E13DEA"/>
    <w:rsid w:val="00E16739"/>
    <w:rsid w:val="00E23270"/>
    <w:rsid w:val="00E558AA"/>
    <w:rsid w:val="00E8018D"/>
    <w:rsid w:val="00E92F78"/>
    <w:rsid w:val="00EB5439"/>
    <w:rsid w:val="00EC3D2B"/>
    <w:rsid w:val="00EC6506"/>
    <w:rsid w:val="00ED51A1"/>
    <w:rsid w:val="00ED7C96"/>
    <w:rsid w:val="00ED7EFB"/>
    <w:rsid w:val="00EE45BB"/>
    <w:rsid w:val="00EF1D6A"/>
    <w:rsid w:val="00EF32EC"/>
    <w:rsid w:val="00EF6DF8"/>
    <w:rsid w:val="00F00199"/>
    <w:rsid w:val="00F14D50"/>
    <w:rsid w:val="00F52090"/>
    <w:rsid w:val="00F70A40"/>
    <w:rsid w:val="00F710BC"/>
    <w:rsid w:val="00F86895"/>
    <w:rsid w:val="00FB1885"/>
    <w:rsid w:val="00FF23A7"/>
    <w:rsid w:val="00FF3664"/>
    <w:rsid w:val="00FF446C"/>
    <w:rsid w:val="00FF6B34"/>
    <w:rsid w:val="00FF75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7B234"/>
  <w15:chartTrackingRefBased/>
  <w15:docId w15:val="{A3867265-22DB-4866-B207-11658362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0028CD"/>
    <w:pPr>
      <w:spacing w:after="0" w:line="240" w:lineRule="auto"/>
      <w:jc w:val="both"/>
    </w:pPr>
    <w:rPr>
      <w:rFonts w:ascii="Calibri" w:eastAsia="Calibri" w:hAnsi="Calibri" w:cs="Times New Roman"/>
    </w:rPr>
  </w:style>
  <w:style w:type="paragraph" w:styleId="Antrat1">
    <w:name w:val="heading 1"/>
    <w:basedOn w:val="prastasis"/>
    <w:next w:val="prastasis"/>
    <w:link w:val="Antrat1Diagrama"/>
    <w:qFormat/>
    <w:rsid w:val="00706A41"/>
    <w:pPr>
      <w:keepNext/>
      <w:keepLines/>
      <w:spacing w:before="240"/>
      <w:jc w:val="center"/>
      <w:outlineLvl w:val="0"/>
    </w:pPr>
    <w:rPr>
      <w:rFonts w:asciiTheme="minorHAnsi" w:eastAsiaTheme="majorEastAsia" w:hAnsiTheme="minorHAnsi" w:cstheme="majorBidi"/>
      <w:b/>
      <w:color w:val="323E4F" w:themeColor="text2" w:themeShade="BF"/>
      <w:szCs w:val="32"/>
    </w:rPr>
  </w:style>
  <w:style w:type="paragraph" w:styleId="Antrat2">
    <w:name w:val="heading 2"/>
    <w:basedOn w:val="prastasis"/>
    <w:next w:val="prastasis"/>
    <w:link w:val="Antrat2Diagrama"/>
    <w:qFormat/>
    <w:rsid w:val="000028CD"/>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0028CD"/>
    <w:pPr>
      <w:keepNext/>
      <w:keepLines/>
      <w:tabs>
        <w:tab w:val="left" w:pos="567"/>
      </w:tabs>
      <w:ind w:firstLine="709"/>
      <w:outlineLvl w:val="2"/>
    </w:pPr>
    <w:rPr>
      <w:rFonts w:asciiTheme="minorHAnsi" w:eastAsiaTheme="majorEastAsia" w:hAnsiTheme="minorHAnsi" w:cstheme="majorBidi"/>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0028CD"/>
    <w:rPr>
      <w:rFonts w:eastAsia="Times New Roman" w:cs="Times New Roman"/>
      <w:b/>
      <w:bCs/>
      <w:iCs/>
      <w:szCs w:val="24"/>
      <w:lang w:eastAsia="lt-LT"/>
    </w:rPr>
  </w:style>
  <w:style w:type="character" w:customStyle="1" w:styleId="Antrat3Diagrama">
    <w:name w:val="Antraštė 3 Diagrama"/>
    <w:basedOn w:val="Numatytasispastraiposriftas"/>
    <w:link w:val="Antrat3"/>
    <w:uiPriority w:val="9"/>
    <w:rsid w:val="000028CD"/>
    <w:rPr>
      <w:rFonts w:eastAsiaTheme="majorEastAsia" w:cstheme="majorBidi"/>
      <w:b/>
      <w:bCs/>
    </w:rPr>
  </w:style>
  <w:style w:type="character" w:styleId="Hipersaitas">
    <w:name w:val="Hyperlink"/>
    <w:uiPriority w:val="99"/>
    <w:unhideWhenUsed/>
    <w:rsid w:val="000028CD"/>
    <w:rPr>
      <w:color w:val="0000FF"/>
      <w:u w:val="single"/>
    </w:rPr>
  </w:style>
  <w:style w:type="paragraph" w:customStyle="1" w:styleId="c41dispositifintroduction">
    <w:name w:val="c41dispositifintroduction"/>
    <w:basedOn w:val="prastasis"/>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Antrats">
    <w:name w:val="header"/>
    <w:basedOn w:val="prastasis"/>
    <w:link w:val="AntratsDiagrama"/>
    <w:uiPriority w:val="99"/>
    <w:unhideWhenUsed/>
    <w:rsid w:val="000028CD"/>
    <w:pPr>
      <w:tabs>
        <w:tab w:val="center" w:pos="4819"/>
        <w:tab w:val="right" w:pos="9638"/>
      </w:tabs>
    </w:pPr>
  </w:style>
  <w:style w:type="character" w:customStyle="1" w:styleId="AntratsDiagrama">
    <w:name w:val="Antraštės Diagrama"/>
    <w:basedOn w:val="Numatytasispastraiposriftas"/>
    <w:link w:val="Antrats"/>
    <w:uiPriority w:val="99"/>
    <w:rsid w:val="000028CD"/>
    <w:rPr>
      <w:rFonts w:ascii="Calibri" w:eastAsia="Calibri" w:hAnsi="Calibri" w:cs="Times New Roman"/>
    </w:rPr>
  </w:style>
  <w:style w:type="paragraph" w:styleId="Porat">
    <w:name w:val="footer"/>
    <w:basedOn w:val="prastasis"/>
    <w:link w:val="PoratDiagrama"/>
    <w:uiPriority w:val="99"/>
    <w:unhideWhenUsed/>
    <w:rsid w:val="000028CD"/>
    <w:pPr>
      <w:tabs>
        <w:tab w:val="center" w:pos="4819"/>
        <w:tab w:val="right" w:pos="9638"/>
      </w:tabs>
    </w:pPr>
  </w:style>
  <w:style w:type="character" w:customStyle="1" w:styleId="PoratDiagrama">
    <w:name w:val="Poraštė Diagrama"/>
    <w:basedOn w:val="Numatytasispastraiposriftas"/>
    <w:link w:val="Porat"/>
    <w:uiPriority w:val="99"/>
    <w:rsid w:val="000028CD"/>
    <w:rPr>
      <w:rFonts w:ascii="Calibri" w:eastAsia="Calibri" w:hAnsi="Calibri" w:cs="Times New Roman"/>
    </w:rPr>
  </w:style>
  <w:style w:type="paragraph" w:styleId="Turinioantrat">
    <w:name w:val="TOC Heading"/>
    <w:basedOn w:val="Antrat1"/>
    <w:next w:val="prastasis"/>
    <w:uiPriority w:val="39"/>
    <w:unhideWhenUsed/>
    <w:qFormat/>
    <w:rsid w:val="000028CD"/>
    <w:pPr>
      <w:spacing w:line="259" w:lineRule="auto"/>
      <w:jc w:val="left"/>
      <w:outlineLvl w:val="9"/>
    </w:pPr>
    <w:rPr>
      <w:lang w:eastAsia="lt-LT"/>
    </w:rPr>
  </w:style>
  <w:style w:type="paragraph" w:styleId="Turinys1">
    <w:name w:val="toc 1"/>
    <w:basedOn w:val="prastasis"/>
    <w:next w:val="prastasis"/>
    <w:autoRedefine/>
    <w:uiPriority w:val="39"/>
    <w:unhideWhenUsed/>
    <w:rsid w:val="000028CD"/>
    <w:pPr>
      <w:tabs>
        <w:tab w:val="right" w:leader="dot" w:pos="9628"/>
      </w:tabs>
      <w:spacing w:after="100"/>
    </w:pPr>
    <w:rPr>
      <w:rFonts w:eastAsia="Times New Roman"/>
      <w:b/>
      <w:bCs/>
      <w:noProof/>
      <w:color w:val="323E4F" w:themeColor="text2" w:themeShade="BF"/>
      <w:kern w:val="32"/>
      <w:lang w:eastAsia="lt-LT"/>
    </w:rPr>
  </w:style>
  <w:style w:type="paragraph" w:styleId="Turinys2">
    <w:name w:val="toc 2"/>
    <w:basedOn w:val="prastasis"/>
    <w:next w:val="prastasis"/>
    <w:autoRedefine/>
    <w:uiPriority w:val="39"/>
    <w:unhideWhenUsed/>
    <w:rsid w:val="000028CD"/>
    <w:pPr>
      <w:spacing w:after="100"/>
      <w:ind w:left="220"/>
    </w:pPr>
    <w:rPr>
      <w:b/>
      <w:color w:val="323E4F" w:themeColor="text2" w:themeShade="BF"/>
    </w:rPr>
  </w:style>
  <w:style w:type="paragraph" w:styleId="Turinys3">
    <w:name w:val="toc 3"/>
    <w:basedOn w:val="prastasis"/>
    <w:next w:val="prastasis"/>
    <w:autoRedefine/>
    <w:uiPriority w:val="39"/>
    <w:unhideWhenUsed/>
    <w:rsid w:val="000028CD"/>
    <w:pPr>
      <w:spacing w:after="100"/>
      <w:ind w:left="440"/>
    </w:pPr>
  </w:style>
  <w:style w:type="character" w:styleId="Perirtashipersaitas">
    <w:name w:val="FollowedHyperlink"/>
    <w:basedOn w:val="Numatytasispastraiposriftas"/>
    <w:uiPriority w:val="99"/>
    <w:semiHidden/>
    <w:unhideWhenUsed/>
    <w:rsid w:val="000028CD"/>
    <w:rPr>
      <w:color w:val="954F72" w:themeColor="followedHyperlink"/>
      <w:u w:val="single"/>
    </w:rPr>
  </w:style>
  <w:style w:type="character" w:styleId="Komentaronuoroda">
    <w:name w:val="annotation reference"/>
    <w:basedOn w:val="Numatytasispastraiposriftas"/>
    <w:uiPriority w:val="99"/>
    <w:semiHidden/>
    <w:unhideWhenUsed/>
    <w:rsid w:val="00A93883"/>
    <w:rPr>
      <w:sz w:val="16"/>
      <w:szCs w:val="16"/>
    </w:rPr>
  </w:style>
  <w:style w:type="paragraph" w:styleId="Komentarotekstas">
    <w:name w:val="annotation text"/>
    <w:basedOn w:val="prastasis"/>
    <w:link w:val="KomentarotekstasDiagrama"/>
    <w:uiPriority w:val="99"/>
    <w:semiHidden/>
    <w:unhideWhenUsed/>
    <w:rsid w:val="00A93883"/>
    <w:rPr>
      <w:sz w:val="20"/>
      <w:szCs w:val="20"/>
    </w:rPr>
  </w:style>
  <w:style w:type="character" w:customStyle="1" w:styleId="KomentarotekstasDiagrama">
    <w:name w:val="Komentaro tekstas Diagrama"/>
    <w:basedOn w:val="Numatytasispastraiposriftas"/>
    <w:link w:val="Komentarotekstas"/>
    <w:uiPriority w:val="99"/>
    <w:semiHidden/>
    <w:rsid w:val="00A93883"/>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A93883"/>
    <w:rPr>
      <w:b/>
      <w:bCs/>
    </w:rPr>
  </w:style>
  <w:style w:type="character" w:customStyle="1" w:styleId="KomentarotemaDiagrama">
    <w:name w:val="Komentaro tema Diagrama"/>
    <w:basedOn w:val="KomentarotekstasDiagrama"/>
    <w:link w:val="Komentarotema"/>
    <w:uiPriority w:val="99"/>
    <w:semiHidden/>
    <w:rsid w:val="00A93883"/>
    <w:rPr>
      <w:rFonts w:ascii="Calibri" w:eastAsia="Calibri" w:hAnsi="Calibri" w:cs="Times New Roman"/>
      <w:b/>
      <w:bCs/>
      <w:sz w:val="20"/>
      <w:szCs w:val="20"/>
    </w:rPr>
  </w:style>
  <w:style w:type="paragraph" w:styleId="Debesliotekstas">
    <w:name w:val="Balloon Text"/>
    <w:basedOn w:val="prastasis"/>
    <w:link w:val="DebesliotekstasDiagrama"/>
    <w:uiPriority w:val="99"/>
    <w:semiHidden/>
    <w:unhideWhenUsed/>
    <w:rsid w:val="00A9388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3883"/>
    <w:rPr>
      <w:rFonts w:ascii="Segoe UI" w:eastAsia="Calibri" w:hAnsi="Segoe UI" w:cs="Segoe UI"/>
      <w:sz w:val="18"/>
      <w:szCs w:val="18"/>
    </w:rPr>
  </w:style>
  <w:style w:type="paragraph" w:customStyle="1" w:styleId="c01pointnumerotealtn">
    <w:name w:val="c01pointnumerotealtn"/>
    <w:basedOn w:val="prastasis"/>
    <w:rsid w:val="00C32316"/>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uiPriority w:val="99"/>
    <w:semiHidden/>
    <w:unhideWhenUsed/>
    <w:rsid w:val="009C3BF3"/>
    <w:rPr>
      <w:sz w:val="20"/>
      <w:szCs w:val="20"/>
    </w:rPr>
  </w:style>
  <w:style w:type="character" w:customStyle="1" w:styleId="PuslapioinaostekstasDiagrama">
    <w:name w:val="Puslapio išnašos tekstas Diagrama"/>
    <w:basedOn w:val="Numatytasispastraiposriftas"/>
    <w:link w:val="Puslapioinaostekstas"/>
    <w:uiPriority w:val="99"/>
    <w:semiHidden/>
    <w:rsid w:val="009C3BF3"/>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9C3BF3"/>
    <w:rPr>
      <w:vertAlign w:val="superscript"/>
    </w:rPr>
  </w:style>
  <w:style w:type="paragraph" w:styleId="Sraopastraipa">
    <w:name w:val="List Paragraph"/>
    <w:basedOn w:val="prastasis"/>
    <w:uiPriority w:val="34"/>
    <w:qFormat/>
    <w:rsid w:val="003320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28824">
      <w:bodyDiv w:val="1"/>
      <w:marLeft w:val="0"/>
      <w:marRight w:val="0"/>
      <w:marTop w:val="0"/>
      <w:marBottom w:val="0"/>
      <w:divBdr>
        <w:top w:val="none" w:sz="0" w:space="0" w:color="auto"/>
        <w:left w:val="none" w:sz="0" w:space="0" w:color="auto"/>
        <w:bottom w:val="none" w:sz="0" w:space="0" w:color="auto"/>
        <w:right w:val="none" w:sz="0" w:space="0" w:color="auto"/>
      </w:divBdr>
    </w:div>
    <w:div w:id="123778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uria.europa.eu/juris/document/document.jsf?text=&amp;docid=201603&amp;pageIndex=0&amp;doclang=LT&amp;mode=lst&amp;dir=&amp;occ=first&amp;part=1&amp;cid=568342" TargetMode="External"/><Relationship Id="rId18" Type="http://schemas.openxmlformats.org/officeDocument/2006/relationships/hyperlink" Target="http://curia.europa.eu/juris/document/document.jsf?text=&amp;docid=199507&amp;pageIndex=0&amp;doclang=LT&amp;mode=lst&amp;dir=&amp;occ=first&amp;part=1&amp;cid=29711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curia.europa.eu/juris/document/document.jsf?text=&amp;docid=198844&amp;pageIndex=0&amp;doclang=LT&amp;mode=lst&amp;dir=&amp;occ=first&amp;part=1&amp;cid=593375" TargetMode="External"/><Relationship Id="rId7" Type="http://schemas.openxmlformats.org/officeDocument/2006/relationships/endnotes" Target="endnotes.xml"/><Relationship Id="rId12" Type="http://schemas.openxmlformats.org/officeDocument/2006/relationships/hyperlink" Target="http://curia.europa.eu/juris/document/document.jsf?text=&amp;docid=201821&amp;pageIndex=0&amp;doclang=lt&amp;mode=lst&amp;dir=&amp;occ=first&amp;part=1&amp;cid=420866" TargetMode="External"/><Relationship Id="rId17" Type="http://schemas.openxmlformats.org/officeDocument/2006/relationships/hyperlink" Target="http://curia.europa.eu/juris/document/document.jsf?text=&amp;docid=201488&amp;pageIndex=0&amp;doclang=LT&amp;mode=lst&amp;dir=&amp;occ=first&amp;part=1&amp;cid=29685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curia.europa.eu/juris/document/document.jsf?text=&amp;docid=200012&amp;pageIndex=0&amp;doclang=LT&amp;mode=lst&amp;dir=&amp;occ=first&amp;part=1&amp;cid=308922" TargetMode="External"/><Relationship Id="rId20" Type="http://schemas.openxmlformats.org/officeDocument/2006/relationships/hyperlink" Target="http://curia.europa.eu/juris/document/document.jsf?text=&amp;docid=199773&amp;pageIndex=0&amp;doclang=LT&amp;mode=lst&amp;dir=&amp;occ=first&amp;part=1&amp;cid=2973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uria.europa.eu/juris/document/document.jsf?text=&amp;docid=200965&amp;pageIndex=0&amp;doclang=LT&amp;mode=lst&amp;dir=&amp;occ=first&amp;part=1&amp;cid=419897" TargetMode="External"/><Relationship Id="rId24" Type="http://schemas.openxmlformats.org/officeDocument/2006/relationships/hyperlink" Target="http://curia.europa.eu/juris/document/document.jsf?text=&amp;docid=199968&amp;pageIndex=0&amp;doclang=LT&amp;mode=lst&amp;dir=&amp;occ=first&amp;part=1&amp;cid=533529" TargetMode="External"/><Relationship Id="rId5" Type="http://schemas.openxmlformats.org/officeDocument/2006/relationships/webSettings" Target="webSettings.xml"/><Relationship Id="rId15" Type="http://schemas.openxmlformats.org/officeDocument/2006/relationships/hyperlink" Target="http://curia.europa.eu/juris/document/document.jsf?text=&amp;docid=201148&amp;pageIndex=0&amp;doclang=LT&amp;mode=lst&amp;dir=&amp;occ=first&amp;part=1&amp;cid=37140" TargetMode="External"/><Relationship Id="rId23" Type="http://schemas.openxmlformats.org/officeDocument/2006/relationships/hyperlink" Target="http://curia.europa.eu/juris/document/document.jsf?text=&amp;docid=200403&amp;pageIndex=0&amp;doclang=LT&amp;mode=lst&amp;dir=&amp;occ=first&amp;part=1&amp;cid=481817" TargetMode="External"/><Relationship Id="rId28" Type="http://schemas.openxmlformats.org/officeDocument/2006/relationships/theme" Target="theme/theme1.xml"/><Relationship Id="rId10" Type="http://schemas.openxmlformats.org/officeDocument/2006/relationships/hyperlink" Target="http://eur-lex.europa.eu/" TargetMode="External"/><Relationship Id="rId19" Type="http://schemas.openxmlformats.org/officeDocument/2006/relationships/hyperlink" Target="http://curia.europa.eu/juris/document/document.jsf;jsessionid=9ea7d2dc30dd7ba49b7be3aa4d5187f58e22839716b2.e34KaxiLc3qMb40Rch0SaxyNchn0?text=&amp;docid=200945&amp;pageIndex=0&amp;doclang=LT&amp;mode=req&amp;dir=&amp;occ=first&amp;part=1&amp;cid=297238" TargetMode="Externa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curia.europa.eu/juris/document/document.jsf?text=&amp;docid=199568&amp;pageIndex=0&amp;doclang=LT&amp;mode=lst&amp;dir=&amp;occ=first&amp;part=1&amp;cid=44455" TargetMode="External"/><Relationship Id="rId22" Type="http://schemas.openxmlformats.org/officeDocument/2006/relationships/hyperlink" Target="http://curia.europa.eu/juris/document/document.jsf?text=&amp;docid=199442&amp;pageIndex=0&amp;doclang=LT&amp;mode=lst&amp;dir=&amp;occ=first&amp;part=1&amp;cid=178039"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D51E0-CF62-4FD1-B13B-55E25028A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36</Pages>
  <Words>25705</Words>
  <Characters>146521</Characters>
  <Application>Microsoft Office Word</Application>
  <DocSecurity>0</DocSecurity>
  <Lines>1221</Lines>
  <Paragraphs>343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6</cp:revision>
  <dcterms:created xsi:type="dcterms:W3CDTF">2018-06-25T13:28:00Z</dcterms:created>
  <dcterms:modified xsi:type="dcterms:W3CDTF">2018-06-26T13:34:00Z</dcterms:modified>
</cp:coreProperties>
</file>