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1859E" w14:textId="77777777" w:rsidR="00EE09AD" w:rsidRPr="00FA1A9F" w:rsidRDefault="00EE09AD" w:rsidP="009A1B99">
      <w:pPr>
        <w:pStyle w:val="NoSpacing1"/>
        <w:spacing w:after="240"/>
        <w:ind w:firstLine="0"/>
        <w:jc w:val="center"/>
        <w:rPr>
          <w:rFonts w:ascii="Times New Roman" w:hAnsi="Times New Roman"/>
        </w:rPr>
      </w:pPr>
    </w:p>
    <w:p w14:paraId="145FE607" w14:textId="77777777" w:rsidR="00EE09AD" w:rsidRPr="00FA1A9F" w:rsidRDefault="00EE09AD" w:rsidP="009A1B99">
      <w:pPr>
        <w:pStyle w:val="NoSpacing1"/>
        <w:spacing w:after="1440"/>
        <w:ind w:firstLine="0"/>
        <w:jc w:val="center"/>
        <w:rPr>
          <w:rFonts w:ascii="Times New Roman" w:hAnsi="Times New Roman"/>
        </w:rPr>
      </w:pPr>
      <w:r w:rsidRPr="00FA1A9F">
        <w:rPr>
          <w:rFonts w:ascii="Times New Roman" w:hAnsi="Times New Roman"/>
          <w:noProof/>
          <w:lang w:eastAsia="lt-LT"/>
        </w:rPr>
        <w:drawing>
          <wp:inline distT="0" distB="0" distL="0" distR="0" wp14:anchorId="45F667FC" wp14:editId="19001174">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r w:rsidRPr="00FA1A9F">
        <w:rPr>
          <w:rFonts w:ascii="Times New Roman" w:hAnsi="Times New Roman"/>
          <w:noProof/>
          <w:lang w:eastAsia="lt-LT"/>
        </w:rPr>
        <mc:AlternateContent>
          <mc:Choice Requires="wps">
            <w:drawing>
              <wp:anchor distT="0" distB="0" distL="114300" distR="114300" simplePos="0" relativeHeight="251660288" behindDoc="0" locked="0" layoutInCell="0" allowOverlap="1" wp14:anchorId="32AA5FFD" wp14:editId="4D314660">
                <wp:simplePos x="0" y="0"/>
                <wp:positionH relativeFrom="page">
                  <wp:posOffset>-291465</wp:posOffset>
                </wp:positionH>
                <wp:positionV relativeFrom="page">
                  <wp:posOffset>20320</wp:posOffset>
                </wp:positionV>
                <wp:extent cx="7919720" cy="629920"/>
                <wp:effectExtent l="0" t="0" r="24130" b="1778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F268B" id="Stačiakampis 5"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" o:allowincell="f" fillcolor="#365f91" strokecolor="#31849b">
                <w10:wrap anchorx="page" anchory="page"/>
              </v:rect>
            </w:pict>
          </mc:Fallback>
        </mc:AlternateContent>
      </w:r>
      <w:r w:rsidRPr="00FA1A9F">
        <w:rPr>
          <w:rFonts w:ascii="Times New Roman" w:hAnsi="Times New Roman"/>
          <w:noProof/>
          <w:lang w:eastAsia="lt-LT"/>
        </w:rPr>
        <mc:AlternateContent>
          <mc:Choice Requires="wps">
            <w:drawing>
              <wp:anchor distT="0" distB="0" distL="114300" distR="114300" simplePos="0" relativeHeight="251659264" behindDoc="0" locked="0" layoutInCell="0" allowOverlap="1" wp14:anchorId="7665A611" wp14:editId="34A0C82C">
                <wp:simplePos x="0" y="0"/>
                <wp:positionH relativeFrom="page">
                  <wp:align>center</wp:align>
                </wp:positionH>
                <wp:positionV relativeFrom="page">
                  <wp:align>bottom</wp:align>
                </wp:positionV>
                <wp:extent cx="7920355" cy="629920"/>
                <wp:effectExtent l="0" t="0" r="23495" b="1778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04F0B" id="Stačiakampis 4"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" o:allowincell="f" fillcolor="#365f91" strokecolor="#17365d">
                <w10:wrap anchorx="page" anchory="page"/>
              </v:rect>
            </w:pict>
          </mc:Fallback>
        </mc:AlternateContent>
      </w:r>
      <w:r w:rsidRPr="00FA1A9F">
        <w:rPr>
          <w:rFonts w:ascii="Times New Roman" w:hAnsi="Times New Roman"/>
          <w:noProof/>
          <w:lang w:eastAsia="lt-LT"/>
        </w:rPr>
        <mc:AlternateContent>
          <mc:Choice Requires="wps">
            <w:drawing>
              <wp:anchor distT="0" distB="0" distL="114300" distR="114300" simplePos="0" relativeHeight="251662336" behindDoc="0" locked="0" layoutInCell="0" allowOverlap="1" wp14:anchorId="172C0C57" wp14:editId="0FE21C9B">
                <wp:simplePos x="0" y="0"/>
                <wp:positionH relativeFrom="page">
                  <wp:posOffset>503555</wp:posOffset>
                </wp:positionH>
                <wp:positionV relativeFrom="page">
                  <wp:posOffset>-248285</wp:posOffset>
                </wp:positionV>
                <wp:extent cx="90805" cy="11205210"/>
                <wp:effectExtent l="0" t="0" r="23495" b="1524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9BECF" id="Stačiakampis 3"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" o:allowincell="f" strokecolor="#17365d">
                <w10:wrap anchorx="page" anchory="page"/>
              </v:rect>
            </w:pict>
          </mc:Fallback>
        </mc:AlternateContent>
      </w:r>
      <w:r w:rsidRPr="00FA1A9F">
        <w:rPr>
          <w:rFonts w:ascii="Times New Roman" w:hAnsi="Times New Roman"/>
          <w:noProof/>
          <w:lang w:eastAsia="lt-LT"/>
        </w:rPr>
        <mc:AlternateContent>
          <mc:Choice Requires="wps">
            <w:drawing>
              <wp:anchor distT="0" distB="0" distL="114300" distR="114300" simplePos="0" relativeHeight="251661312" behindDoc="0" locked="0" layoutInCell="0" allowOverlap="1" wp14:anchorId="70702638" wp14:editId="1977303A">
                <wp:simplePos x="0" y="0"/>
                <wp:positionH relativeFrom="page">
                  <wp:posOffset>7250430</wp:posOffset>
                </wp:positionH>
                <wp:positionV relativeFrom="page">
                  <wp:posOffset>-248285</wp:posOffset>
                </wp:positionV>
                <wp:extent cx="90805" cy="11205210"/>
                <wp:effectExtent l="0" t="0" r="23495" b="1524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6F054" id="Stačiakampis 2"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" o:allowincell="f" strokecolor="#17365d">
                <w10:wrap anchorx="page" anchory="page"/>
              </v:rect>
            </w:pict>
          </mc:Fallback>
        </mc:AlternateContent>
      </w:r>
    </w:p>
    <w:p w14:paraId="3E08561D" w14:textId="77777777" w:rsidR="00EE09AD" w:rsidRPr="00FA1A9F" w:rsidRDefault="00EE09AD" w:rsidP="009A1B99">
      <w:pPr>
        <w:pStyle w:val="NoSpacing1"/>
        <w:spacing w:after="1200"/>
        <w:ind w:firstLine="0"/>
        <w:jc w:val="center"/>
        <w:rPr>
          <w:rFonts w:ascii="Times New Roman" w:hAnsi="Times New Roman"/>
          <w:smallCaps/>
          <w:sz w:val="56"/>
          <w:szCs w:val="56"/>
        </w:rPr>
      </w:pPr>
      <w:r w:rsidRPr="00FA1A9F">
        <w:rPr>
          <w:rFonts w:ascii="Times New Roman" w:hAnsi="Times New Roman"/>
          <w:smallCaps/>
          <w:sz w:val="56"/>
          <w:szCs w:val="56"/>
        </w:rPr>
        <w:t>Europos Žmogaus Teisių Teismo praktikos apžvalga</w:t>
      </w:r>
    </w:p>
    <w:p w14:paraId="60DC5985" w14:textId="77777777" w:rsidR="00EE09AD" w:rsidRPr="00FA1A9F" w:rsidRDefault="00EE09AD" w:rsidP="009A1B99">
      <w:pPr>
        <w:pStyle w:val="NoSpacing1"/>
        <w:spacing w:after="5160"/>
        <w:ind w:firstLine="0"/>
        <w:jc w:val="center"/>
        <w:rPr>
          <w:rFonts w:ascii="Times New Roman" w:hAnsi="Times New Roman"/>
          <w:b/>
          <w:smallCaps/>
          <w:sz w:val="28"/>
          <w:szCs w:val="28"/>
          <w:u w:val="single"/>
        </w:rPr>
      </w:pPr>
      <w:r w:rsidRPr="00FA1A9F">
        <w:rPr>
          <w:rFonts w:ascii="Times New Roman" w:hAnsi="Times New Roman"/>
          <w:b/>
          <w:smallCaps/>
          <w:sz w:val="28"/>
          <w:szCs w:val="28"/>
          <w:u w:val="single"/>
        </w:rPr>
        <w:t xml:space="preserve">2018 m. </w:t>
      </w:r>
      <w:r w:rsidR="00C21437">
        <w:rPr>
          <w:rFonts w:ascii="Times New Roman" w:hAnsi="Times New Roman"/>
          <w:b/>
          <w:smallCaps/>
          <w:sz w:val="28"/>
          <w:szCs w:val="28"/>
          <w:u w:val="single"/>
        </w:rPr>
        <w:t>liepos</w:t>
      </w:r>
      <w:r w:rsidRPr="00FA1A9F">
        <w:rPr>
          <w:rFonts w:ascii="Times New Roman" w:hAnsi="Times New Roman"/>
          <w:b/>
          <w:smallCaps/>
          <w:sz w:val="28"/>
          <w:szCs w:val="28"/>
          <w:u w:val="single"/>
        </w:rPr>
        <w:t xml:space="preserve"> 1 d. – 2018 m. </w:t>
      </w:r>
      <w:r w:rsidR="00C21437">
        <w:rPr>
          <w:rFonts w:ascii="Times New Roman" w:hAnsi="Times New Roman"/>
          <w:b/>
          <w:smallCaps/>
          <w:sz w:val="28"/>
          <w:szCs w:val="28"/>
          <w:u w:val="single"/>
        </w:rPr>
        <w:t>gruodžio</w:t>
      </w:r>
      <w:r w:rsidRPr="00FA1A9F">
        <w:rPr>
          <w:rFonts w:ascii="Times New Roman" w:hAnsi="Times New Roman"/>
          <w:b/>
          <w:smallCaps/>
          <w:sz w:val="28"/>
          <w:szCs w:val="28"/>
          <w:u w:val="single"/>
        </w:rPr>
        <w:t xml:space="preserve"> 3</w:t>
      </w:r>
      <w:r w:rsidR="00C21437">
        <w:rPr>
          <w:rFonts w:ascii="Times New Roman" w:hAnsi="Times New Roman"/>
          <w:b/>
          <w:smallCaps/>
          <w:sz w:val="28"/>
          <w:szCs w:val="28"/>
          <w:u w:val="single"/>
        </w:rPr>
        <w:t>1</w:t>
      </w:r>
      <w:r w:rsidRPr="00FA1A9F">
        <w:rPr>
          <w:rFonts w:ascii="Times New Roman" w:hAnsi="Times New Roman"/>
          <w:b/>
          <w:smallCaps/>
          <w:sz w:val="28"/>
          <w:szCs w:val="28"/>
          <w:u w:val="single"/>
        </w:rPr>
        <w:t xml:space="preserve"> d.</w:t>
      </w:r>
    </w:p>
    <w:p w14:paraId="00632BFF" w14:textId="77777777" w:rsidR="00EE09AD" w:rsidRPr="00FA1A9F" w:rsidRDefault="00EE09AD" w:rsidP="009A1B99">
      <w:pPr>
        <w:spacing w:after="160" w:line="259" w:lineRule="auto"/>
        <w:rPr>
          <w:b/>
          <w:sz w:val="28"/>
          <w:szCs w:val="28"/>
        </w:rPr>
      </w:pPr>
      <w:r w:rsidRPr="00FA1A9F">
        <w:rPr>
          <w:b/>
          <w:sz w:val="28"/>
          <w:szCs w:val="28"/>
        </w:rPr>
        <w:br w:type="page"/>
      </w:r>
    </w:p>
    <w:p w14:paraId="779B7F98" w14:textId="6EAECA1A" w:rsidR="00EE09AD" w:rsidRPr="00FA1A9F" w:rsidRDefault="00EE09AD" w:rsidP="009A1B99">
      <w:pPr>
        <w:ind w:firstLine="540"/>
        <w:jc w:val="both"/>
      </w:pPr>
      <w:r w:rsidRPr="00FA1A9F">
        <w:rPr>
          <w:b/>
        </w:rPr>
        <w:lastRenderedPageBreak/>
        <w:t>Svarbi pastaba</w:t>
      </w:r>
      <w:r w:rsidRPr="00FA1A9F">
        <w:t xml:space="preserve">: Prieš supažindindami su Lietuvos vyriausiojo administracinio teismo Teismų praktikos departamento parengta Europos Žmogaus Teisių Teismo </w:t>
      </w:r>
      <w:r w:rsidRPr="00FA1A9F">
        <w:rPr>
          <w:bCs/>
        </w:rPr>
        <w:t>praktikos apžvalga</w:t>
      </w:r>
      <w:r w:rsidRPr="00FA1A9F">
        <w:t>, jos autoriai nori atkreipti skaitytojų dėmesį į tai, kad šiame dokumente yra pateikiamos neoficialios Europos Žmogaus Teisių Teismo procesinių sprendimų santraukos, kurios Europos Žmogaus Teisių Teismo ir Lietuvos vyriausiojo administracinio teismo nesaisto. Šis dokumentas yra tik informacinio pobūdžio, be kita ko, parengtas remiantis Europos Žmogaus Teisių Teismo informaciniais pranešimais. Taip pat norime atkreipti dėmesį į tai, kad pagal Konvencijos 44 straipsnio 2 dalį kolegijos sprendimas tampa galutiniu: a) šalims paskelbus, kad jos neprašo perduoti bylos svarstyti Didžiajai Kolegijai; ar b) praėjus trims mėnesiams nuo sprendimo datos, jei nebuvo prašymo perduoti bylą svarstyti Didžiajai Kolegijai; ar c) Didžiosios Kolegijos teisėjų komisijai atmetus prašymą pagal 43 straipsnį. Pagal to paties straipsnio 1 dalį Didžiosios Kolegijos sprendimas yra galutinis.</w:t>
      </w:r>
    </w:p>
    <w:p w14:paraId="237ADFA3" w14:textId="77777777" w:rsidR="00EE09AD" w:rsidRPr="00FA1A9F" w:rsidRDefault="00EE09AD" w:rsidP="009A1B99">
      <w:pPr>
        <w:ind w:firstLine="540"/>
        <w:jc w:val="both"/>
      </w:pPr>
      <w:r w:rsidRPr="00FA1A9F">
        <w:t xml:space="preserve">Atsižvelgiant į tai, kad oficialius ir nesutrumpintus sprendimų tekstus galite rasti Europos Žmogaus Teisių Teismo interneto svetainėje </w:t>
      </w:r>
      <w:hyperlink r:id="rId8" w:history="1">
        <w:r w:rsidRPr="00FA1A9F">
          <w:rPr>
            <w:rStyle w:val="Hipersaitas"/>
          </w:rPr>
          <w:t>www.echr.coe.int</w:t>
        </w:r>
      </w:hyperlink>
      <w:r w:rsidRPr="00FA1A9F">
        <w:t xml:space="preserve">, Lietuvos vyriausiasis administracinis teismas neprisiima atsakomybės už atliktą vertimą ir parengtos santraukos išsamumą. </w:t>
      </w:r>
    </w:p>
    <w:p w14:paraId="3BE223FE" w14:textId="77777777" w:rsidR="00EE09AD" w:rsidRPr="00FA1A9F" w:rsidRDefault="00EE09AD" w:rsidP="009A1B99">
      <w:pPr>
        <w:ind w:firstLine="540"/>
        <w:jc w:val="both"/>
      </w:pPr>
    </w:p>
    <w:p w14:paraId="6D8B8E74" w14:textId="77777777" w:rsidR="00EE09AD" w:rsidRPr="00FA1A9F" w:rsidRDefault="00EE09AD" w:rsidP="009A1B99">
      <w:pPr>
        <w:ind w:firstLine="540"/>
        <w:jc w:val="both"/>
      </w:pPr>
      <w:r w:rsidRPr="00FA1A9F">
        <w:t>Apžvalgoje naudojami pagrindiniai sutrumpinimai:</w:t>
      </w:r>
    </w:p>
    <w:p w14:paraId="1DE4E769" w14:textId="77777777" w:rsidR="00EE09AD" w:rsidRPr="00FA1A9F" w:rsidRDefault="00EE09AD" w:rsidP="009A1B99">
      <w:pPr>
        <w:ind w:firstLine="540"/>
        <w:jc w:val="both"/>
      </w:pPr>
      <w:r w:rsidRPr="00FA1A9F">
        <w:rPr>
          <w:b/>
        </w:rPr>
        <w:t>EŽTT, Teismas</w:t>
      </w:r>
      <w:r w:rsidRPr="00FA1A9F">
        <w:t xml:space="preserve"> – Europos Žmogaus Teisių Teismas</w:t>
      </w:r>
    </w:p>
    <w:p w14:paraId="718E76F1" w14:textId="77777777" w:rsidR="00EE09AD" w:rsidRPr="00FA1A9F" w:rsidRDefault="00EE09AD" w:rsidP="009A1B99">
      <w:pPr>
        <w:ind w:firstLine="540"/>
        <w:jc w:val="both"/>
      </w:pPr>
      <w:r w:rsidRPr="00FA1A9F">
        <w:rPr>
          <w:b/>
        </w:rPr>
        <w:t>Konvencija</w:t>
      </w:r>
      <w:r w:rsidRPr="00FA1A9F">
        <w:t xml:space="preserve"> – Žmogaus teisių ir pagrindinių laisvių apsaugos konvencija</w:t>
      </w:r>
    </w:p>
    <w:p w14:paraId="0175E68D" w14:textId="77777777" w:rsidR="00EE09AD" w:rsidRPr="00FA1A9F" w:rsidRDefault="00EE09AD" w:rsidP="009A1B99">
      <w:pPr>
        <w:ind w:left="539" w:firstLine="1"/>
        <w:jc w:val="both"/>
      </w:pPr>
      <w:r w:rsidRPr="00FA1A9F">
        <w:rPr>
          <w:b/>
        </w:rPr>
        <w:t>Svarbos lygiai</w:t>
      </w:r>
      <w:r w:rsidRPr="00FA1A9F">
        <w:t xml:space="preserve"> – Europos Žmogaus Teisių Teismo nagrinėjamos bylos yra skirstomos į keturias kategorijas:</w:t>
      </w:r>
    </w:p>
    <w:p w14:paraId="231A7163" w14:textId="6998A754" w:rsidR="00EE09AD" w:rsidRPr="00FA1A9F" w:rsidRDefault="00EE09AD" w:rsidP="009A1B99">
      <w:pPr>
        <w:tabs>
          <w:tab w:val="left" w:pos="567"/>
        </w:tabs>
        <w:spacing w:after="0"/>
        <w:ind w:left="539"/>
        <w:jc w:val="both"/>
      </w:pPr>
      <w:r w:rsidRPr="00FA1A9F">
        <w:rPr>
          <w:i/>
        </w:rPr>
        <w:t>Skelbta Rinkinyje</w:t>
      </w:r>
      <w:r w:rsidRPr="00FA1A9F">
        <w:t xml:space="preserve"> – ypatingos svarbos sprendimai, kurie skelbiami oficialiuosiuose Teismo praktikos rinkiniuose (</w:t>
      </w:r>
      <w:proofErr w:type="spellStart"/>
      <w:r w:rsidRPr="00FA1A9F">
        <w:rPr>
          <w:i/>
        </w:rPr>
        <w:t>Reports</w:t>
      </w:r>
      <w:proofErr w:type="spellEnd"/>
      <w:r w:rsidRPr="00FA1A9F">
        <w:rPr>
          <w:i/>
        </w:rPr>
        <w:t xml:space="preserve"> of </w:t>
      </w:r>
      <w:proofErr w:type="spellStart"/>
      <w:r w:rsidRPr="00FA1A9F">
        <w:rPr>
          <w:i/>
        </w:rPr>
        <w:t>Judgments</w:t>
      </w:r>
      <w:proofErr w:type="spellEnd"/>
      <w:r w:rsidRPr="00FA1A9F">
        <w:rPr>
          <w:i/>
        </w:rPr>
        <w:t xml:space="preserve"> </w:t>
      </w:r>
      <w:proofErr w:type="spellStart"/>
      <w:r w:rsidRPr="00FA1A9F">
        <w:rPr>
          <w:i/>
        </w:rPr>
        <w:t>and</w:t>
      </w:r>
      <w:proofErr w:type="spellEnd"/>
      <w:r w:rsidRPr="00FA1A9F">
        <w:rPr>
          <w:i/>
        </w:rPr>
        <w:t xml:space="preserve"> </w:t>
      </w:r>
      <w:proofErr w:type="spellStart"/>
      <w:r w:rsidRPr="00FA1A9F">
        <w:rPr>
          <w:i/>
        </w:rPr>
        <w:t>Decisions</w:t>
      </w:r>
      <w:proofErr w:type="spellEnd"/>
      <w:r w:rsidR="006860B3">
        <w:t>,</w:t>
      </w:r>
      <w:r w:rsidR="006860B3">
        <w:rPr>
          <w:i/>
        </w:rPr>
        <w:t xml:space="preserve"> </w:t>
      </w:r>
      <w:proofErr w:type="spellStart"/>
      <w:r w:rsidR="006860B3" w:rsidRPr="006860B3">
        <w:rPr>
          <w:i/>
        </w:rPr>
        <w:t>Selection</w:t>
      </w:r>
      <w:proofErr w:type="spellEnd"/>
      <w:r w:rsidR="006860B3" w:rsidRPr="006860B3">
        <w:rPr>
          <w:i/>
        </w:rPr>
        <w:t xml:space="preserve"> of </w:t>
      </w:r>
      <w:proofErr w:type="spellStart"/>
      <w:r w:rsidR="006860B3" w:rsidRPr="006860B3">
        <w:rPr>
          <w:i/>
        </w:rPr>
        <w:t>key</w:t>
      </w:r>
      <w:proofErr w:type="spellEnd"/>
      <w:r w:rsidR="006860B3" w:rsidRPr="006860B3">
        <w:rPr>
          <w:i/>
        </w:rPr>
        <w:t xml:space="preserve"> </w:t>
      </w:r>
      <w:proofErr w:type="spellStart"/>
      <w:r w:rsidR="006860B3" w:rsidRPr="006860B3">
        <w:rPr>
          <w:i/>
        </w:rPr>
        <w:t>cases</w:t>
      </w:r>
      <w:proofErr w:type="spellEnd"/>
      <w:r w:rsidRPr="00FA1A9F">
        <w:t>).</w:t>
      </w:r>
    </w:p>
    <w:p w14:paraId="487CA55A" w14:textId="77777777" w:rsidR="00EE09AD" w:rsidRPr="00FA1A9F" w:rsidRDefault="00EE09AD" w:rsidP="009A1B99">
      <w:pPr>
        <w:spacing w:after="0"/>
        <w:ind w:left="539"/>
        <w:jc w:val="both"/>
      </w:pPr>
      <w:r w:rsidRPr="00FA1A9F">
        <w:rPr>
          <w:i/>
        </w:rPr>
        <w:t>1 = Didelė svarba</w:t>
      </w:r>
      <w:r w:rsidRPr="00FA1A9F">
        <w:t>: sprendimai, kurie reikšmingai prisideda prie Teismo praktikos plėtojimo, aiškinimo ar keitimo.</w:t>
      </w:r>
    </w:p>
    <w:p w14:paraId="70E0507C" w14:textId="77777777" w:rsidR="00EE09AD" w:rsidRPr="00FA1A9F" w:rsidRDefault="00EE09AD" w:rsidP="009A1B99">
      <w:pPr>
        <w:spacing w:after="0"/>
        <w:ind w:left="539"/>
        <w:jc w:val="both"/>
      </w:pPr>
      <w:r w:rsidRPr="00FA1A9F">
        <w:rPr>
          <w:i/>
        </w:rPr>
        <w:t>2 = Vidutinė svarba</w:t>
      </w:r>
      <w:r w:rsidRPr="00FA1A9F">
        <w:t>: sprendimai, kurie nors ir reikšmingai praktikos nepakeičia, tačiau nėra susiję vien tik su nusistovėjusios praktikos laikymusi.</w:t>
      </w:r>
    </w:p>
    <w:p w14:paraId="687CA506" w14:textId="77777777" w:rsidR="00EE09AD" w:rsidRPr="00FA1A9F" w:rsidRDefault="00EE09AD" w:rsidP="009A1B99">
      <w:pPr>
        <w:spacing w:after="0"/>
        <w:ind w:left="539"/>
        <w:jc w:val="both"/>
      </w:pPr>
      <w:r w:rsidRPr="00FA1A9F">
        <w:rPr>
          <w:i/>
        </w:rPr>
        <w:t>3 = Mažesnė svarba</w:t>
      </w:r>
      <w:r w:rsidRPr="00FA1A9F">
        <w:t>: sprendimai, pasižymintys mažu teisiniu interesu, t. y. sprendimai, kuriuose paprasčiausiai laikomasi nusistovėjusios teismo praktikos ir kt.</w:t>
      </w:r>
    </w:p>
    <w:p w14:paraId="10D3BA50" w14:textId="77777777" w:rsidR="00EE09AD" w:rsidRPr="00FA1A9F" w:rsidRDefault="00EE09AD" w:rsidP="009A1B99">
      <w:pPr>
        <w:spacing w:after="0" w:line="240" w:lineRule="auto"/>
        <w:jc w:val="both"/>
        <w:rPr>
          <w:b/>
        </w:rPr>
      </w:pPr>
      <w:r w:rsidRPr="00FA1A9F">
        <w:rPr>
          <w:b/>
        </w:rPr>
        <w:br w:type="page"/>
      </w:r>
    </w:p>
    <w:sdt>
      <w:sdtPr>
        <w:rPr>
          <w:rFonts w:asciiTheme="minorHAnsi" w:eastAsiaTheme="minorHAnsi" w:hAnsiTheme="minorHAnsi" w:cstheme="minorBidi"/>
          <w:bCs w:val="0"/>
          <w:color w:val="auto"/>
          <w:sz w:val="20"/>
          <w:szCs w:val="22"/>
          <w:lang w:eastAsia="en-US"/>
        </w:rPr>
        <w:id w:val="654178032"/>
        <w:docPartObj>
          <w:docPartGallery w:val="Table of Contents"/>
          <w:docPartUnique/>
        </w:docPartObj>
      </w:sdtPr>
      <w:sdtEndPr>
        <w:rPr>
          <w:b/>
        </w:rPr>
      </w:sdtEndPr>
      <w:sdtContent>
        <w:p w14:paraId="259F4E74" w14:textId="77777777" w:rsidR="00EE09AD" w:rsidRPr="00FA1A9F" w:rsidRDefault="00EE09AD" w:rsidP="009A1B99">
          <w:pPr>
            <w:pStyle w:val="Turinioantrat"/>
            <w:rPr>
              <w:sz w:val="6"/>
              <w:szCs w:val="6"/>
            </w:rPr>
          </w:pPr>
        </w:p>
        <w:p w14:paraId="19B2F34C" w14:textId="77777777" w:rsidR="00CD08DA" w:rsidRDefault="00EE09AD">
          <w:pPr>
            <w:pStyle w:val="Turinys1"/>
            <w:rPr>
              <w:rFonts w:eastAsiaTheme="minorEastAsia"/>
              <w:color w:val="auto"/>
              <w:lang w:eastAsia="lt-LT"/>
            </w:rPr>
          </w:pPr>
          <w:r w:rsidRPr="00FA1A9F">
            <w:rPr>
              <w:noProof w:val="0"/>
              <w:sz w:val="20"/>
              <w:szCs w:val="20"/>
            </w:rPr>
            <w:fldChar w:fldCharType="begin"/>
          </w:r>
          <w:r w:rsidRPr="00FA1A9F">
            <w:rPr>
              <w:noProof w:val="0"/>
              <w:sz w:val="20"/>
              <w:szCs w:val="20"/>
            </w:rPr>
            <w:instrText xml:space="preserve"> TOC \o "1-3" \h \z \u </w:instrText>
          </w:r>
          <w:r w:rsidRPr="00FA1A9F">
            <w:rPr>
              <w:noProof w:val="0"/>
              <w:sz w:val="20"/>
              <w:szCs w:val="20"/>
            </w:rPr>
            <w:fldChar w:fldCharType="separate"/>
          </w:r>
          <w:hyperlink w:anchor="_Toc1657777" w:history="1">
            <w:r w:rsidR="00CD08DA" w:rsidRPr="00F84BFB">
              <w:rPr>
                <w:rStyle w:val="Hipersaitas"/>
              </w:rPr>
              <w:t>TEISĖ Į TEISINGĄ BYLOS NAGRINĖJIMĄ (6 straipsnis)</w:t>
            </w:r>
            <w:r w:rsidR="00CD08DA">
              <w:rPr>
                <w:webHidden/>
              </w:rPr>
              <w:tab/>
            </w:r>
            <w:r w:rsidR="00CD08DA">
              <w:rPr>
                <w:webHidden/>
              </w:rPr>
              <w:fldChar w:fldCharType="begin"/>
            </w:r>
            <w:r w:rsidR="00CD08DA">
              <w:rPr>
                <w:webHidden/>
              </w:rPr>
              <w:instrText xml:space="preserve"> PAGEREF _Toc1657777 \h </w:instrText>
            </w:r>
            <w:r w:rsidR="00CD08DA">
              <w:rPr>
                <w:webHidden/>
              </w:rPr>
            </w:r>
            <w:r w:rsidR="00CD08DA">
              <w:rPr>
                <w:webHidden/>
              </w:rPr>
              <w:fldChar w:fldCharType="separate"/>
            </w:r>
            <w:r w:rsidR="00CD08DA">
              <w:rPr>
                <w:webHidden/>
              </w:rPr>
              <w:t>5</w:t>
            </w:r>
            <w:r w:rsidR="00CD08DA">
              <w:rPr>
                <w:webHidden/>
              </w:rPr>
              <w:fldChar w:fldCharType="end"/>
            </w:r>
          </w:hyperlink>
        </w:p>
        <w:p w14:paraId="012C788A" w14:textId="77777777" w:rsidR="00CD08DA" w:rsidRDefault="007F5353">
          <w:pPr>
            <w:pStyle w:val="Turinys2"/>
            <w:tabs>
              <w:tab w:val="right" w:leader="dot" w:pos="9628"/>
            </w:tabs>
            <w:rPr>
              <w:rFonts w:eastAsiaTheme="minorEastAsia"/>
              <w:noProof/>
              <w:lang w:eastAsia="lt-LT"/>
            </w:rPr>
          </w:pPr>
          <w:hyperlink w:anchor="_Toc1657778" w:history="1">
            <w:r w:rsidR="00CD08DA" w:rsidRPr="00F84BFB">
              <w:rPr>
                <w:rStyle w:val="Hipersaitas"/>
                <w:rFonts w:eastAsia="Calibri"/>
                <w:i/>
                <w:noProof/>
              </w:rPr>
              <w:t>Vizgirda prieš Slovėniją</w:t>
            </w:r>
            <w:r w:rsidR="00CD08DA">
              <w:rPr>
                <w:noProof/>
                <w:webHidden/>
              </w:rPr>
              <w:tab/>
            </w:r>
            <w:r w:rsidR="00CD08DA">
              <w:rPr>
                <w:noProof/>
                <w:webHidden/>
              </w:rPr>
              <w:fldChar w:fldCharType="begin"/>
            </w:r>
            <w:r w:rsidR="00CD08DA">
              <w:rPr>
                <w:noProof/>
                <w:webHidden/>
              </w:rPr>
              <w:instrText xml:space="preserve"> PAGEREF _Toc1657778 \h </w:instrText>
            </w:r>
            <w:r w:rsidR="00CD08DA">
              <w:rPr>
                <w:noProof/>
                <w:webHidden/>
              </w:rPr>
            </w:r>
            <w:r w:rsidR="00CD08DA">
              <w:rPr>
                <w:noProof/>
                <w:webHidden/>
              </w:rPr>
              <w:fldChar w:fldCharType="separate"/>
            </w:r>
            <w:r w:rsidR="00CD08DA">
              <w:rPr>
                <w:noProof/>
                <w:webHidden/>
              </w:rPr>
              <w:t>5</w:t>
            </w:r>
            <w:r w:rsidR="00CD08DA">
              <w:rPr>
                <w:noProof/>
                <w:webHidden/>
              </w:rPr>
              <w:fldChar w:fldCharType="end"/>
            </w:r>
          </w:hyperlink>
        </w:p>
        <w:p w14:paraId="2218F604" w14:textId="77777777" w:rsidR="00CD08DA" w:rsidRDefault="007F5353">
          <w:pPr>
            <w:pStyle w:val="Turinys3"/>
            <w:tabs>
              <w:tab w:val="right" w:leader="dot" w:pos="9628"/>
            </w:tabs>
            <w:rPr>
              <w:rFonts w:eastAsiaTheme="minorEastAsia"/>
              <w:noProof/>
              <w:lang w:eastAsia="lt-LT"/>
            </w:rPr>
          </w:pPr>
          <w:hyperlink w:anchor="_Toc1657779" w:history="1">
            <w:r w:rsidR="00CD08DA" w:rsidRPr="00F84BFB">
              <w:rPr>
                <w:rStyle w:val="Hipersaitas"/>
                <w:rFonts w:cstheme="minorHAnsi"/>
                <w:noProof/>
              </w:rPr>
              <w:t>Dėl pareigos įsitikinti, kad užsienietis moka atitinkamą kalbą prieš skiriant jam vertėją ir verčiant dokumentus bylos nagrinėjimo teisme metu</w:t>
            </w:r>
            <w:r w:rsidR="00CD08DA">
              <w:rPr>
                <w:noProof/>
                <w:webHidden/>
              </w:rPr>
              <w:tab/>
            </w:r>
            <w:r w:rsidR="00CD08DA">
              <w:rPr>
                <w:noProof/>
                <w:webHidden/>
              </w:rPr>
              <w:fldChar w:fldCharType="begin"/>
            </w:r>
            <w:r w:rsidR="00CD08DA">
              <w:rPr>
                <w:noProof/>
                <w:webHidden/>
              </w:rPr>
              <w:instrText xml:space="preserve"> PAGEREF _Toc1657779 \h </w:instrText>
            </w:r>
            <w:r w:rsidR="00CD08DA">
              <w:rPr>
                <w:noProof/>
                <w:webHidden/>
              </w:rPr>
            </w:r>
            <w:r w:rsidR="00CD08DA">
              <w:rPr>
                <w:noProof/>
                <w:webHidden/>
              </w:rPr>
              <w:fldChar w:fldCharType="separate"/>
            </w:r>
            <w:r w:rsidR="00CD08DA">
              <w:rPr>
                <w:noProof/>
                <w:webHidden/>
              </w:rPr>
              <w:t>5</w:t>
            </w:r>
            <w:r w:rsidR="00CD08DA">
              <w:rPr>
                <w:noProof/>
                <w:webHidden/>
              </w:rPr>
              <w:fldChar w:fldCharType="end"/>
            </w:r>
          </w:hyperlink>
        </w:p>
        <w:p w14:paraId="32A2AD8E" w14:textId="77777777" w:rsidR="00CD08DA" w:rsidRDefault="007F5353">
          <w:pPr>
            <w:pStyle w:val="Turinys2"/>
            <w:tabs>
              <w:tab w:val="right" w:leader="dot" w:pos="9628"/>
            </w:tabs>
            <w:rPr>
              <w:rFonts w:eastAsiaTheme="minorEastAsia"/>
              <w:noProof/>
              <w:lang w:eastAsia="lt-LT"/>
            </w:rPr>
          </w:pPr>
          <w:hyperlink w:anchor="_Toc1657780" w:history="1">
            <w:r w:rsidR="00CD08DA" w:rsidRPr="00F84BFB">
              <w:rPr>
                <w:rStyle w:val="Hipersaitas"/>
                <w:rFonts w:eastAsia="Calibri"/>
                <w:i/>
                <w:noProof/>
              </w:rPr>
              <w:t>Denisov prieš Ukrainą</w:t>
            </w:r>
            <w:r w:rsidR="00CD08DA">
              <w:rPr>
                <w:noProof/>
                <w:webHidden/>
              </w:rPr>
              <w:tab/>
            </w:r>
            <w:r w:rsidR="00CD08DA">
              <w:rPr>
                <w:noProof/>
                <w:webHidden/>
              </w:rPr>
              <w:fldChar w:fldCharType="begin"/>
            </w:r>
            <w:r w:rsidR="00CD08DA">
              <w:rPr>
                <w:noProof/>
                <w:webHidden/>
              </w:rPr>
              <w:instrText xml:space="preserve"> PAGEREF _Toc1657780 \h </w:instrText>
            </w:r>
            <w:r w:rsidR="00CD08DA">
              <w:rPr>
                <w:noProof/>
                <w:webHidden/>
              </w:rPr>
            </w:r>
            <w:r w:rsidR="00CD08DA">
              <w:rPr>
                <w:noProof/>
                <w:webHidden/>
              </w:rPr>
              <w:fldChar w:fldCharType="separate"/>
            </w:r>
            <w:r w:rsidR="00CD08DA">
              <w:rPr>
                <w:noProof/>
                <w:webHidden/>
              </w:rPr>
              <w:t>6</w:t>
            </w:r>
            <w:r w:rsidR="00CD08DA">
              <w:rPr>
                <w:noProof/>
                <w:webHidden/>
              </w:rPr>
              <w:fldChar w:fldCharType="end"/>
            </w:r>
          </w:hyperlink>
        </w:p>
        <w:p w14:paraId="25E8E51C" w14:textId="77777777" w:rsidR="00CD08DA" w:rsidRDefault="007F5353">
          <w:pPr>
            <w:pStyle w:val="Turinys3"/>
            <w:tabs>
              <w:tab w:val="right" w:leader="dot" w:pos="9628"/>
            </w:tabs>
            <w:rPr>
              <w:rFonts w:eastAsiaTheme="minorEastAsia"/>
              <w:noProof/>
              <w:lang w:eastAsia="lt-LT"/>
            </w:rPr>
          </w:pPr>
          <w:hyperlink w:anchor="_Toc1657781" w:history="1">
            <w:r w:rsidR="00CD08DA" w:rsidRPr="00F84BFB">
              <w:rPr>
                <w:rStyle w:val="Hipersaitas"/>
                <w:rFonts w:cstheme="minorHAnsi"/>
                <w:noProof/>
                <w:shd w:val="clear" w:color="auto" w:fill="FFFFFF"/>
                <w:lang w:eastAsia="lt-LT"/>
              </w:rPr>
              <w:t>Dėl teisėjo atleidimo iš teismo pirmininko pareigų už netinkamą administracinių funkcijų vykdymą</w:t>
            </w:r>
            <w:r w:rsidR="00CD08DA">
              <w:rPr>
                <w:noProof/>
                <w:webHidden/>
              </w:rPr>
              <w:tab/>
            </w:r>
            <w:r w:rsidR="00CD08DA">
              <w:rPr>
                <w:noProof/>
                <w:webHidden/>
              </w:rPr>
              <w:fldChar w:fldCharType="begin"/>
            </w:r>
            <w:r w:rsidR="00CD08DA">
              <w:rPr>
                <w:noProof/>
                <w:webHidden/>
              </w:rPr>
              <w:instrText xml:space="preserve"> PAGEREF _Toc1657781 \h </w:instrText>
            </w:r>
            <w:r w:rsidR="00CD08DA">
              <w:rPr>
                <w:noProof/>
                <w:webHidden/>
              </w:rPr>
            </w:r>
            <w:r w:rsidR="00CD08DA">
              <w:rPr>
                <w:noProof/>
                <w:webHidden/>
              </w:rPr>
              <w:fldChar w:fldCharType="separate"/>
            </w:r>
            <w:r w:rsidR="00CD08DA">
              <w:rPr>
                <w:noProof/>
                <w:webHidden/>
              </w:rPr>
              <w:t>6</w:t>
            </w:r>
            <w:r w:rsidR="00CD08DA">
              <w:rPr>
                <w:noProof/>
                <w:webHidden/>
              </w:rPr>
              <w:fldChar w:fldCharType="end"/>
            </w:r>
          </w:hyperlink>
        </w:p>
        <w:p w14:paraId="72AA2E0F" w14:textId="77777777" w:rsidR="00CD08DA" w:rsidRDefault="007F5353">
          <w:pPr>
            <w:pStyle w:val="Turinys2"/>
            <w:tabs>
              <w:tab w:val="right" w:leader="dot" w:pos="9628"/>
            </w:tabs>
            <w:rPr>
              <w:rFonts w:eastAsiaTheme="minorEastAsia"/>
              <w:noProof/>
              <w:lang w:eastAsia="lt-LT"/>
            </w:rPr>
          </w:pPr>
          <w:hyperlink w:anchor="_Toc1657782" w:history="1">
            <w:r w:rsidR="00CD08DA" w:rsidRPr="00F84BFB">
              <w:rPr>
                <w:rStyle w:val="Hipersaitas"/>
                <w:rFonts w:eastAsia="Calibri"/>
                <w:i/>
                <w:noProof/>
              </w:rPr>
              <w:t>Rodionov prieš Rusiją</w:t>
            </w:r>
            <w:r w:rsidR="00CD08DA">
              <w:rPr>
                <w:noProof/>
                <w:webHidden/>
              </w:rPr>
              <w:tab/>
            </w:r>
            <w:r w:rsidR="00CD08DA">
              <w:rPr>
                <w:noProof/>
                <w:webHidden/>
              </w:rPr>
              <w:fldChar w:fldCharType="begin"/>
            </w:r>
            <w:r w:rsidR="00CD08DA">
              <w:rPr>
                <w:noProof/>
                <w:webHidden/>
              </w:rPr>
              <w:instrText xml:space="preserve"> PAGEREF _Toc1657782 \h </w:instrText>
            </w:r>
            <w:r w:rsidR="00CD08DA">
              <w:rPr>
                <w:noProof/>
                <w:webHidden/>
              </w:rPr>
            </w:r>
            <w:r w:rsidR="00CD08DA">
              <w:rPr>
                <w:noProof/>
                <w:webHidden/>
              </w:rPr>
              <w:fldChar w:fldCharType="separate"/>
            </w:r>
            <w:r w:rsidR="00CD08DA">
              <w:rPr>
                <w:noProof/>
                <w:webHidden/>
              </w:rPr>
              <w:t>8</w:t>
            </w:r>
            <w:r w:rsidR="00CD08DA">
              <w:rPr>
                <w:noProof/>
                <w:webHidden/>
              </w:rPr>
              <w:fldChar w:fldCharType="end"/>
            </w:r>
          </w:hyperlink>
        </w:p>
        <w:p w14:paraId="05B5F791" w14:textId="77777777" w:rsidR="00CD08DA" w:rsidRDefault="007F5353">
          <w:pPr>
            <w:pStyle w:val="Turinys3"/>
            <w:tabs>
              <w:tab w:val="right" w:leader="dot" w:pos="9628"/>
            </w:tabs>
            <w:rPr>
              <w:rFonts w:eastAsiaTheme="minorEastAsia"/>
              <w:noProof/>
              <w:lang w:eastAsia="lt-LT"/>
            </w:rPr>
          </w:pPr>
          <w:hyperlink w:anchor="_Toc1657783" w:history="1">
            <w:r w:rsidR="00CD08DA" w:rsidRPr="00F84BFB">
              <w:rPr>
                <w:rStyle w:val="Hipersaitas"/>
                <w:rFonts w:eastAsia="Calibri" w:cs="Times New Roman"/>
                <w:noProof/>
              </w:rPr>
              <w:t>Dėl pareiškėjo informavimo apie jo teisę turėti advokatą nuo sulaikymo momento bei teisės gauti informaciją (laikraščius ir žurnalus) užtikrinimo</w:t>
            </w:r>
            <w:r w:rsidR="00CD08DA">
              <w:rPr>
                <w:noProof/>
                <w:webHidden/>
              </w:rPr>
              <w:tab/>
            </w:r>
            <w:r w:rsidR="00CD08DA">
              <w:rPr>
                <w:noProof/>
                <w:webHidden/>
              </w:rPr>
              <w:fldChar w:fldCharType="begin"/>
            </w:r>
            <w:r w:rsidR="00CD08DA">
              <w:rPr>
                <w:noProof/>
                <w:webHidden/>
              </w:rPr>
              <w:instrText xml:space="preserve"> PAGEREF _Toc1657783 \h </w:instrText>
            </w:r>
            <w:r w:rsidR="00CD08DA">
              <w:rPr>
                <w:noProof/>
                <w:webHidden/>
              </w:rPr>
            </w:r>
            <w:r w:rsidR="00CD08DA">
              <w:rPr>
                <w:noProof/>
                <w:webHidden/>
              </w:rPr>
              <w:fldChar w:fldCharType="separate"/>
            </w:r>
            <w:r w:rsidR="00CD08DA">
              <w:rPr>
                <w:noProof/>
                <w:webHidden/>
              </w:rPr>
              <w:t>8</w:t>
            </w:r>
            <w:r w:rsidR="00CD08DA">
              <w:rPr>
                <w:noProof/>
                <w:webHidden/>
              </w:rPr>
              <w:fldChar w:fldCharType="end"/>
            </w:r>
          </w:hyperlink>
        </w:p>
        <w:p w14:paraId="30E72628" w14:textId="77777777" w:rsidR="00CD08DA" w:rsidRDefault="007F5353">
          <w:pPr>
            <w:pStyle w:val="Turinys1"/>
            <w:rPr>
              <w:rFonts w:eastAsiaTheme="minorEastAsia"/>
              <w:color w:val="auto"/>
              <w:lang w:eastAsia="lt-LT"/>
            </w:rPr>
          </w:pPr>
          <w:hyperlink w:anchor="_Toc1657784" w:history="1">
            <w:r w:rsidR="00CD08DA" w:rsidRPr="00F84BFB">
              <w:rPr>
                <w:rStyle w:val="Hipersaitas"/>
              </w:rPr>
              <w:t>TEISĖ Į PRIVATAUS IR ŠEIMOS GYVENIMO GERBIMĄ</w:t>
            </w:r>
            <w:r w:rsidR="00CD08DA" w:rsidRPr="00F84BFB">
              <w:rPr>
                <w:rStyle w:val="Hipersaitas"/>
                <w:bCs/>
              </w:rPr>
              <w:t xml:space="preserve"> (8 straipsnis)</w:t>
            </w:r>
            <w:r w:rsidR="00CD08DA">
              <w:rPr>
                <w:webHidden/>
              </w:rPr>
              <w:tab/>
            </w:r>
            <w:r w:rsidR="00CD08DA">
              <w:rPr>
                <w:webHidden/>
              </w:rPr>
              <w:fldChar w:fldCharType="begin"/>
            </w:r>
            <w:r w:rsidR="00CD08DA">
              <w:rPr>
                <w:webHidden/>
              </w:rPr>
              <w:instrText xml:space="preserve"> PAGEREF _Toc1657784 \h </w:instrText>
            </w:r>
            <w:r w:rsidR="00CD08DA">
              <w:rPr>
                <w:webHidden/>
              </w:rPr>
            </w:r>
            <w:r w:rsidR="00CD08DA">
              <w:rPr>
                <w:webHidden/>
              </w:rPr>
              <w:fldChar w:fldCharType="separate"/>
            </w:r>
            <w:r w:rsidR="00CD08DA">
              <w:rPr>
                <w:webHidden/>
              </w:rPr>
              <w:t>10</w:t>
            </w:r>
            <w:r w:rsidR="00CD08DA">
              <w:rPr>
                <w:webHidden/>
              </w:rPr>
              <w:fldChar w:fldCharType="end"/>
            </w:r>
          </w:hyperlink>
        </w:p>
        <w:p w14:paraId="2EAF9404" w14:textId="77777777" w:rsidR="00CD08DA" w:rsidRDefault="007F5353">
          <w:pPr>
            <w:pStyle w:val="Turinys2"/>
            <w:tabs>
              <w:tab w:val="right" w:leader="dot" w:pos="9628"/>
            </w:tabs>
            <w:rPr>
              <w:rFonts w:eastAsiaTheme="minorEastAsia"/>
              <w:noProof/>
              <w:lang w:eastAsia="lt-LT"/>
            </w:rPr>
          </w:pPr>
          <w:hyperlink w:anchor="_Toc1657785" w:history="1">
            <w:r w:rsidR="00CD08DA" w:rsidRPr="00F84BFB">
              <w:rPr>
                <w:rStyle w:val="Hipersaitas"/>
                <w:rFonts w:eastAsia="Calibri"/>
                <w:i/>
                <w:noProof/>
              </w:rPr>
              <w:t>Big Brother Watch ir kiti prieš Jungtinę Karalystę</w:t>
            </w:r>
            <w:r w:rsidR="00CD08DA">
              <w:rPr>
                <w:noProof/>
                <w:webHidden/>
              </w:rPr>
              <w:tab/>
            </w:r>
            <w:r w:rsidR="00CD08DA">
              <w:rPr>
                <w:noProof/>
                <w:webHidden/>
              </w:rPr>
              <w:fldChar w:fldCharType="begin"/>
            </w:r>
            <w:r w:rsidR="00CD08DA">
              <w:rPr>
                <w:noProof/>
                <w:webHidden/>
              </w:rPr>
              <w:instrText xml:space="preserve"> PAGEREF _Toc1657785 \h </w:instrText>
            </w:r>
            <w:r w:rsidR="00CD08DA">
              <w:rPr>
                <w:noProof/>
                <w:webHidden/>
              </w:rPr>
            </w:r>
            <w:r w:rsidR="00CD08DA">
              <w:rPr>
                <w:noProof/>
                <w:webHidden/>
              </w:rPr>
              <w:fldChar w:fldCharType="separate"/>
            </w:r>
            <w:r w:rsidR="00CD08DA">
              <w:rPr>
                <w:noProof/>
                <w:webHidden/>
              </w:rPr>
              <w:t>10</w:t>
            </w:r>
            <w:r w:rsidR="00CD08DA">
              <w:rPr>
                <w:noProof/>
                <w:webHidden/>
              </w:rPr>
              <w:fldChar w:fldCharType="end"/>
            </w:r>
          </w:hyperlink>
        </w:p>
        <w:p w14:paraId="20CE1BDF" w14:textId="77777777" w:rsidR="00CD08DA" w:rsidRDefault="007F5353">
          <w:pPr>
            <w:pStyle w:val="Turinys3"/>
            <w:tabs>
              <w:tab w:val="right" w:leader="dot" w:pos="9628"/>
            </w:tabs>
            <w:rPr>
              <w:rFonts w:eastAsiaTheme="minorEastAsia"/>
              <w:noProof/>
              <w:lang w:eastAsia="lt-LT"/>
            </w:rPr>
          </w:pPr>
          <w:hyperlink w:anchor="_Toc1657786" w:history="1">
            <w:r w:rsidR="00CD08DA" w:rsidRPr="00F84BFB">
              <w:rPr>
                <w:rStyle w:val="Hipersaitas"/>
                <w:rFonts w:cs="Calibri"/>
                <w:noProof/>
              </w:rPr>
              <w:t>Dėl slapto stebėjimo režimo, apimančio masinį žurnalistinės medžiagos perėmimą, atitikties Konvencijai</w:t>
            </w:r>
            <w:r w:rsidR="00CD08DA">
              <w:rPr>
                <w:noProof/>
                <w:webHidden/>
              </w:rPr>
              <w:tab/>
            </w:r>
            <w:r w:rsidR="00CD08DA">
              <w:rPr>
                <w:noProof/>
                <w:webHidden/>
              </w:rPr>
              <w:fldChar w:fldCharType="begin"/>
            </w:r>
            <w:r w:rsidR="00CD08DA">
              <w:rPr>
                <w:noProof/>
                <w:webHidden/>
              </w:rPr>
              <w:instrText xml:space="preserve"> PAGEREF _Toc1657786 \h </w:instrText>
            </w:r>
            <w:r w:rsidR="00CD08DA">
              <w:rPr>
                <w:noProof/>
                <w:webHidden/>
              </w:rPr>
            </w:r>
            <w:r w:rsidR="00CD08DA">
              <w:rPr>
                <w:noProof/>
                <w:webHidden/>
              </w:rPr>
              <w:fldChar w:fldCharType="separate"/>
            </w:r>
            <w:r w:rsidR="00CD08DA">
              <w:rPr>
                <w:noProof/>
                <w:webHidden/>
              </w:rPr>
              <w:t>10</w:t>
            </w:r>
            <w:r w:rsidR="00CD08DA">
              <w:rPr>
                <w:noProof/>
                <w:webHidden/>
              </w:rPr>
              <w:fldChar w:fldCharType="end"/>
            </w:r>
          </w:hyperlink>
        </w:p>
        <w:p w14:paraId="1E0FF941" w14:textId="77777777" w:rsidR="00CD08DA" w:rsidRDefault="007F5353">
          <w:pPr>
            <w:pStyle w:val="Turinys3"/>
            <w:tabs>
              <w:tab w:val="right" w:leader="dot" w:pos="9628"/>
            </w:tabs>
            <w:rPr>
              <w:rFonts w:eastAsiaTheme="minorEastAsia"/>
              <w:noProof/>
              <w:lang w:eastAsia="lt-LT"/>
            </w:rPr>
          </w:pPr>
          <w:hyperlink w:anchor="_Toc1657787" w:history="1">
            <w:r w:rsidR="00CD08DA" w:rsidRPr="00F84BFB">
              <w:rPr>
                <w:rStyle w:val="Hipersaitas"/>
                <w:rFonts w:cs="Calibri"/>
                <w:noProof/>
              </w:rPr>
              <w:t>Dėl nepakankamos konfidencialios žurnalisto informacijos apsaugos pagal elektronines stebėjimo sistemas</w:t>
            </w:r>
            <w:r w:rsidR="00CD08DA">
              <w:rPr>
                <w:noProof/>
                <w:webHidden/>
              </w:rPr>
              <w:tab/>
            </w:r>
            <w:r w:rsidR="00CD08DA">
              <w:rPr>
                <w:noProof/>
                <w:webHidden/>
              </w:rPr>
              <w:fldChar w:fldCharType="begin"/>
            </w:r>
            <w:r w:rsidR="00CD08DA">
              <w:rPr>
                <w:noProof/>
                <w:webHidden/>
              </w:rPr>
              <w:instrText xml:space="preserve"> PAGEREF _Toc1657787 \h </w:instrText>
            </w:r>
            <w:r w:rsidR="00CD08DA">
              <w:rPr>
                <w:noProof/>
                <w:webHidden/>
              </w:rPr>
            </w:r>
            <w:r w:rsidR="00CD08DA">
              <w:rPr>
                <w:noProof/>
                <w:webHidden/>
              </w:rPr>
              <w:fldChar w:fldCharType="separate"/>
            </w:r>
            <w:r w:rsidR="00CD08DA">
              <w:rPr>
                <w:noProof/>
                <w:webHidden/>
              </w:rPr>
              <w:t>10</w:t>
            </w:r>
            <w:r w:rsidR="00CD08DA">
              <w:rPr>
                <w:noProof/>
                <w:webHidden/>
              </w:rPr>
              <w:fldChar w:fldCharType="end"/>
            </w:r>
          </w:hyperlink>
        </w:p>
        <w:p w14:paraId="65D9F1C7" w14:textId="77777777" w:rsidR="00CD08DA" w:rsidRDefault="007F5353">
          <w:pPr>
            <w:pStyle w:val="Turinys2"/>
            <w:tabs>
              <w:tab w:val="right" w:leader="dot" w:pos="9628"/>
            </w:tabs>
            <w:rPr>
              <w:rFonts w:eastAsiaTheme="minorEastAsia"/>
              <w:noProof/>
              <w:lang w:eastAsia="lt-LT"/>
            </w:rPr>
          </w:pPr>
          <w:hyperlink w:anchor="_Toc1657788" w:history="1">
            <w:r w:rsidR="00CD08DA" w:rsidRPr="00F84BFB">
              <w:rPr>
                <w:rStyle w:val="Hipersaitas"/>
                <w:rFonts w:eastAsia="Calibri"/>
                <w:i/>
                <w:noProof/>
              </w:rPr>
              <w:t>Kaboğlu ir Oran prieš Turkiją</w:t>
            </w:r>
            <w:r w:rsidR="00CD08DA">
              <w:rPr>
                <w:noProof/>
                <w:webHidden/>
              </w:rPr>
              <w:tab/>
            </w:r>
            <w:r w:rsidR="00CD08DA">
              <w:rPr>
                <w:noProof/>
                <w:webHidden/>
              </w:rPr>
              <w:fldChar w:fldCharType="begin"/>
            </w:r>
            <w:r w:rsidR="00CD08DA">
              <w:rPr>
                <w:noProof/>
                <w:webHidden/>
              </w:rPr>
              <w:instrText xml:space="preserve"> PAGEREF _Toc1657788 \h </w:instrText>
            </w:r>
            <w:r w:rsidR="00CD08DA">
              <w:rPr>
                <w:noProof/>
                <w:webHidden/>
              </w:rPr>
            </w:r>
            <w:r w:rsidR="00CD08DA">
              <w:rPr>
                <w:noProof/>
                <w:webHidden/>
              </w:rPr>
              <w:fldChar w:fldCharType="separate"/>
            </w:r>
            <w:r w:rsidR="00CD08DA">
              <w:rPr>
                <w:noProof/>
                <w:webHidden/>
              </w:rPr>
              <w:t>12</w:t>
            </w:r>
            <w:r w:rsidR="00CD08DA">
              <w:rPr>
                <w:noProof/>
                <w:webHidden/>
              </w:rPr>
              <w:fldChar w:fldCharType="end"/>
            </w:r>
          </w:hyperlink>
        </w:p>
        <w:p w14:paraId="751D3DD9" w14:textId="77777777" w:rsidR="00CD08DA" w:rsidRDefault="007F5353">
          <w:pPr>
            <w:pStyle w:val="Turinys3"/>
            <w:tabs>
              <w:tab w:val="right" w:leader="dot" w:pos="9628"/>
            </w:tabs>
            <w:rPr>
              <w:rFonts w:eastAsiaTheme="minorEastAsia"/>
              <w:noProof/>
              <w:lang w:eastAsia="lt-LT"/>
            </w:rPr>
          </w:pPr>
          <w:hyperlink w:anchor="_Toc1657789" w:history="1">
            <w:r w:rsidR="00CD08DA" w:rsidRPr="00F84BFB">
              <w:rPr>
                <w:rStyle w:val="Hipersaitas"/>
                <w:noProof/>
                <w:lang w:eastAsia="lt-LT"/>
              </w:rPr>
              <w:t xml:space="preserve">Dėl teisės į </w:t>
            </w:r>
            <w:r w:rsidR="00CD08DA" w:rsidRPr="00F84BFB">
              <w:rPr>
                <w:rStyle w:val="Hipersaitas"/>
                <w:noProof/>
              </w:rPr>
              <w:t xml:space="preserve">privataus ir šeimos gyvenimo gerbimą </w:t>
            </w:r>
            <w:r w:rsidR="00CD08DA" w:rsidRPr="00F84BFB">
              <w:rPr>
                <w:rStyle w:val="Hipersaitas"/>
                <w:noProof/>
                <w:lang w:eastAsia="lt-LT"/>
              </w:rPr>
              <w:t xml:space="preserve">pažeidimo, neapsaugant ataskaitos apie mažumų teises autorių nuo spaudoje publikuotų </w:t>
            </w:r>
            <w:r w:rsidR="00CD08DA" w:rsidRPr="00F84BFB">
              <w:rPr>
                <w:rStyle w:val="Hipersaitas"/>
                <w:noProof/>
                <w:shd w:val="clear" w:color="auto" w:fill="FFFFFF"/>
                <w:lang w:eastAsia="lt-LT"/>
              </w:rPr>
              <w:t>grasinimų fiziniu susidorojimu</w:t>
            </w:r>
            <w:r w:rsidR="00CD08DA" w:rsidRPr="00F84BFB">
              <w:rPr>
                <w:rStyle w:val="Hipersaitas"/>
                <w:noProof/>
                <w:lang w:eastAsia="lt-LT"/>
              </w:rPr>
              <w:t xml:space="preserve"> ir žodinio smurto</w:t>
            </w:r>
            <w:r w:rsidR="00CD08DA">
              <w:rPr>
                <w:noProof/>
                <w:webHidden/>
              </w:rPr>
              <w:tab/>
            </w:r>
            <w:r w:rsidR="00CD08DA">
              <w:rPr>
                <w:noProof/>
                <w:webHidden/>
              </w:rPr>
              <w:fldChar w:fldCharType="begin"/>
            </w:r>
            <w:r w:rsidR="00CD08DA">
              <w:rPr>
                <w:noProof/>
                <w:webHidden/>
              </w:rPr>
              <w:instrText xml:space="preserve"> PAGEREF _Toc1657789 \h </w:instrText>
            </w:r>
            <w:r w:rsidR="00CD08DA">
              <w:rPr>
                <w:noProof/>
                <w:webHidden/>
              </w:rPr>
            </w:r>
            <w:r w:rsidR="00CD08DA">
              <w:rPr>
                <w:noProof/>
                <w:webHidden/>
              </w:rPr>
              <w:fldChar w:fldCharType="separate"/>
            </w:r>
            <w:r w:rsidR="00CD08DA">
              <w:rPr>
                <w:noProof/>
                <w:webHidden/>
              </w:rPr>
              <w:t>12</w:t>
            </w:r>
            <w:r w:rsidR="00CD08DA">
              <w:rPr>
                <w:noProof/>
                <w:webHidden/>
              </w:rPr>
              <w:fldChar w:fldCharType="end"/>
            </w:r>
          </w:hyperlink>
        </w:p>
        <w:p w14:paraId="7DDAB6DF" w14:textId="77777777" w:rsidR="00CD08DA" w:rsidRDefault="007F5353">
          <w:pPr>
            <w:pStyle w:val="Turinys2"/>
            <w:tabs>
              <w:tab w:val="right" w:leader="dot" w:pos="9628"/>
            </w:tabs>
            <w:rPr>
              <w:rFonts w:eastAsiaTheme="minorEastAsia"/>
              <w:noProof/>
              <w:lang w:eastAsia="lt-LT"/>
            </w:rPr>
          </w:pPr>
          <w:hyperlink w:anchor="_Toc1657790" w:history="1">
            <w:r w:rsidR="00CD08DA" w:rsidRPr="00F84BFB">
              <w:rPr>
                <w:rStyle w:val="Hipersaitas"/>
                <w:rFonts w:eastAsia="Calibri"/>
                <w:i/>
                <w:noProof/>
              </w:rPr>
              <w:t>Resin prieš Rusiją</w:t>
            </w:r>
            <w:r w:rsidR="00CD08DA">
              <w:rPr>
                <w:noProof/>
                <w:webHidden/>
              </w:rPr>
              <w:tab/>
            </w:r>
            <w:r w:rsidR="00CD08DA">
              <w:rPr>
                <w:noProof/>
                <w:webHidden/>
              </w:rPr>
              <w:fldChar w:fldCharType="begin"/>
            </w:r>
            <w:r w:rsidR="00CD08DA">
              <w:rPr>
                <w:noProof/>
                <w:webHidden/>
              </w:rPr>
              <w:instrText xml:space="preserve"> PAGEREF _Toc1657790 \h </w:instrText>
            </w:r>
            <w:r w:rsidR="00CD08DA">
              <w:rPr>
                <w:noProof/>
                <w:webHidden/>
              </w:rPr>
            </w:r>
            <w:r w:rsidR="00CD08DA">
              <w:rPr>
                <w:noProof/>
                <w:webHidden/>
              </w:rPr>
              <w:fldChar w:fldCharType="separate"/>
            </w:r>
            <w:r w:rsidR="00CD08DA">
              <w:rPr>
                <w:noProof/>
                <w:webHidden/>
              </w:rPr>
              <w:t>14</w:t>
            </w:r>
            <w:r w:rsidR="00CD08DA">
              <w:rPr>
                <w:noProof/>
                <w:webHidden/>
              </w:rPr>
              <w:fldChar w:fldCharType="end"/>
            </w:r>
          </w:hyperlink>
        </w:p>
        <w:p w14:paraId="4AA691C1" w14:textId="77777777" w:rsidR="00CD08DA" w:rsidRDefault="007F5353">
          <w:pPr>
            <w:pStyle w:val="Turinys3"/>
            <w:tabs>
              <w:tab w:val="right" w:leader="dot" w:pos="9628"/>
            </w:tabs>
            <w:rPr>
              <w:rFonts w:eastAsiaTheme="minorEastAsia"/>
              <w:noProof/>
              <w:lang w:eastAsia="lt-LT"/>
            </w:rPr>
          </w:pPr>
          <w:hyperlink w:anchor="_Toc1657791" w:history="1">
            <w:r w:rsidR="00CD08DA" w:rsidRPr="00F84BFB">
              <w:rPr>
                <w:rStyle w:val="Hipersaitas"/>
                <w:rFonts w:eastAsia="Calibri" w:cs="Times New Roman"/>
                <w:noProof/>
              </w:rPr>
              <w:t>Dėl perteklinių ribojimų pasimatymų su šeimos nariais metu</w:t>
            </w:r>
            <w:r w:rsidR="00CD08DA">
              <w:rPr>
                <w:noProof/>
                <w:webHidden/>
              </w:rPr>
              <w:tab/>
            </w:r>
            <w:r w:rsidR="00CD08DA">
              <w:rPr>
                <w:noProof/>
                <w:webHidden/>
              </w:rPr>
              <w:fldChar w:fldCharType="begin"/>
            </w:r>
            <w:r w:rsidR="00CD08DA">
              <w:rPr>
                <w:noProof/>
                <w:webHidden/>
              </w:rPr>
              <w:instrText xml:space="preserve"> PAGEREF _Toc1657791 \h </w:instrText>
            </w:r>
            <w:r w:rsidR="00CD08DA">
              <w:rPr>
                <w:noProof/>
                <w:webHidden/>
              </w:rPr>
            </w:r>
            <w:r w:rsidR="00CD08DA">
              <w:rPr>
                <w:noProof/>
                <w:webHidden/>
              </w:rPr>
              <w:fldChar w:fldCharType="separate"/>
            </w:r>
            <w:r w:rsidR="00CD08DA">
              <w:rPr>
                <w:noProof/>
                <w:webHidden/>
              </w:rPr>
              <w:t>14</w:t>
            </w:r>
            <w:r w:rsidR="00CD08DA">
              <w:rPr>
                <w:noProof/>
                <w:webHidden/>
              </w:rPr>
              <w:fldChar w:fldCharType="end"/>
            </w:r>
          </w:hyperlink>
        </w:p>
        <w:p w14:paraId="733285FB" w14:textId="77777777" w:rsidR="00CD08DA" w:rsidRDefault="007F5353">
          <w:pPr>
            <w:pStyle w:val="Turinys1"/>
            <w:rPr>
              <w:rFonts w:eastAsiaTheme="minorEastAsia"/>
              <w:color w:val="auto"/>
              <w:lang w:eastAsia="lt-LT"/>
            </w:rPr>
          </w:pPr>
          <w:hyperlink w:anchor="_Toc1657792" w:history="1">
            <w:r w:rsidR="00CD08DA" w:rsidRPr="00F84BFB">
              <w:rPr>
                <w:rStyle w:val="Hipersaitas"/>
                <w:kern w:val="32"/>
              </w:rPr>
              <w:t>SAVIRAIŠKOS LAISVĖ (10 straipsnis)</w:t>
            </w:r>
            <w:r w:rsidR="00CD08DA">
              <w:rPr>
                <w:webHidden/>
              </w:rPr>
              <w:tab/>
            </w:r>
            <w:r w:rsidR="00CD08DA">
              <w:rPr>
                <w:webHidden/>
              </w:rPr>
              <w:fldChar w:fldCharType="begin"/>
            </w:r>
            <w:r w:rsidR="00CD08DA">
              <w:rPr>
                <w:webHidden/>
              </w:rPr>
              <w:instrText xml:space="preserve"> PAGEREF _Toc1657792 \h </w:instrText>
            </w:r>
            <w:r w:rsidR="00CD08DA">
              <w:rPr>
                <w:webHidden/>
              </w:rPr>
            </w:r>
            <w:r w:rsidR="00CD08DA">
              <w:rPr>
                <w:webHidden/>
              </w:rPr>
              <w:fldChar w:fldCharType="separate"/>
            </w:r>
            <w:r w:rsidR="00CD08DA">
              <w:rPr>
                <w:webHidden/>
              </w:rPr>
              <w:t>16</w:t>
            </w:r>
            <w:r w:rsidR="00CD08DA">
              <w:rPr>
                <w:webHidden/>
              </w:rPr>
              <w:fldChar w:fldCharType="end"/>
            </w:r>
          </w:hyperlink>
        </w:p>
        <w:p w14:paraId="744AEB76" w14:textId="77777777" w:rsidR="00CD08DA" w:rsidRDefault="007F5353">
          <w:pPr>
            <w:pStyle w:val="Turinys2"/>
            <w:tabs>
              <w:tab w:val="right" w:leader="dot" w:pos="9628"/>
            </w:tabs>
            <w:rPr>
              <w:rFonts w:eastAsiaTheme="minorEastAsia"/>
              <w:noProof/>
              <w:lang w:eastAsia="lt-LT"/>
            </w:rPr>
          </w:pPr>
          <w:hyperlink w:anchor="_Toc1657793" w:history="1">
            <w:r w:rsidR="00CD08DA" w:rsidRPr="00F84BFB">
              <w:rPr>
                <w:rStyle w:val="Hipersaitas"/>
                <w:rFonts w:eastAsia="Calibri"/>
                <w:i/>
                <w:noProof/>
              </w:rPr>
              <w:t>Mariya Alekhina ir kiti prieš Rusiją</w:t>
            </w:r>
            <w:r w:rsidR="00CD08DA">
              <w:rPr>
                <w:noProof/>
                <w:webHidden/>
              </w:rPr>
              <w:tab/>
            </w:r>
            <w:r w:rsidR="00CD08DA">
              <w:rPr>
                <w:noProof/>
                <w:webHidden/>
              </w:rPr>
              <w:fldChar w:fldCharType="begin"/>
            </w:r>
            <w:r w:rsidR="00CD08DA">
              <w:rPr>
                <w:noProof/>
                <w:webHidden/>
              </w:rPr>
              <w:instrText xml:space="preserve"> PAGEREF _Toc1657793 \h </w:instrText>
            </w:r>
            <w:r w:rsidR="00CD08DA">
              <w:rPr>
                <w:noProof/>
                <w:webHidden/>
              </w:rPr>
            </w:r>
            <w:r w:rsidR="00CD08DA">
              <w:rPr>
                <w:noProof/>
                <w:webHidden/>
              </w:rPr>
              <w:fldChar w:fldCharType="separate"/>
            </w:r>
            <w:r w:rsidR="00CD08DA">
              <w:rPr>
                <w:noProof/>
                <w:webHidden/>
              </w:rPr>
              <w:t>16</w:t>
            </w:r>
            <w:r w:rsidR="00CD08DA">
              <w:rPr>
                <w:noProof/>
                <w:webHidden/>
              </w:rPr>
              <w:fldChar w:fldCharType="end"/>
            </w:r>
          </w:hyperlink>
        </w:p>
        <w:p w14:paraId="793802AD" w14:textId="77777777" w:rsidR="00CD08DA" w:rsidRDefault="007F5353">
          <w:pPr>
            <w:pStyle w:val="Turinys3"/>
            <w:tabs>
              <w:tab w:val="right" w:leader="dot" w:pos="9628"/>
            </w:tabs>
            <w:rPr>
              <w:rFonts w:eastAsiaTheme="minorEastAsia"/>
              <w:noProof/>
              <w:lang w:eastAsia="lt-LT"/>
            </w:rPr>
          </w:pPr>
          <w:hyperlink w:anchor="_Toc1657794" w:history="1">
            <w:r w:rsidR="00CD08DA" w:rsidRPr="00F84BFB">
              <w:rPr>
                <w:rStyle w:val="Hipersaitas"/>
                <w:rFonts w:eastAsia="Times New Roman"/>
                <w:noProof/>
                <w:shd w:val="clear" w:color="auto" w:fill="FFFFFF"/>
                <w:lang w:eastAsia="lt-LT"/>
              </w:rPr>
              <w:t>Dėl nuteisimo laisvės atėmimu už politinės dainos atlikimą katedroje ir prieigos prie pasirodymo įrašų apribojimo</w:t>
            </w:r>
            <w:r w:rsidR="00CD08DA">
              <w:rPr>
                <w:noProof/>
                <w:webHidden/>
              </w:rPr>
              <w:tab/>
            </w:r>
            <w:r w:rsidR="00CD08DA">
              <w:rPr>
                <w:noProof/>
                <w:webHidden/>
              </w:rPr>
              <w:fldChar w:fldCharType="begin"/>
            </w:r>
            <w:r w:rsidR="00CD08DA">
              <w:rPr>
                <w:noProof/>
                <w:webHidden/>
              </w:rPr>
              <w:instrText xml:space="preserve"> PAGEREF _Toc1657794 \h </w:instrText>
            </w:r>
            <w:r w:rsidR="00CD08DA">
              <w:rPr>
                <w:noProof/>
                <w:webHidden/>
              </w:rPr>
            </w:r>
            <w:r w:rsidR="00CD08DA">
              <w:rPr>
                <w:noProof/>
                <w:webHidden/>
              </w:rPr>
              <w:fldChar w:fldCharType="separate"/>
            </w:r>
            <w:r w:rsidR="00CD08DA">
              <w:rPr>
                <w:noProof/>
                <w:webHidden/>
              </w:rPr>
              <w:t>17</w:t>
            </w:r>
            <w:r w:rsidR="00CD08DA">
              <w:rPr>
                <w:noProof/>
                <w:webHidden/>
              </w:rPr>
              <w:fldChar w:fldCharType="end"/>
            </w:r>
          </w:hyperlink>
        </w:p>
        <w:p w14:paraId="74CBADF1" w14:textId="77777777" w:rsidR="00CD08DA" w:rsidRDefault="007F5353">
          <w:pPr>
            <w:pStyle w:val="Turinys2"/>
            <w:tabs>
              <w:tab w:val="right" w:leader="dot" w:pos="9628"/>
            </w:tabs>
            <w:rPr>
              <w:rFonts w:eastAsiaTheme="minorEastAsia"/>
              <w:noProof/>
              <w:lang w:eastAsia="lt-LT"/>
            </w:rPr>
          </w:pPr>
          <w:hyperlink w:anchor="_Toc1657795" w:history="1">
            <w:r w:rsidR="00CD08DA" w:rsidRPr="00F84BFB">
              <w:rPr>
                <w:rStyle w:val="Hipersaitas"/>
                <w:rFonts w:eastAsia="Calibri"/>
                <w:i/>
                <w:noProof/>
              </w:rPr>
              <w:t>Savva Terentyev prieš Rusiją</w:t>
            </w:r>
            <w:r w:rsidR="00CD08DA">
              <w:rPr>
                <w:noProof/>
                <w:webHidden/>
              </w:rPr>
              <w:tab/>
            </w:r>
            <w:r w:rsidR="00CD08DA">
              <w:rPr>
                <w:noProof/>
                <w:webHidden/>
              </w:rPr>
              <w:fldChar w:fldCharType="begin"/>
            </w:r>
            <w:r w:rsidR="00CD08DA">
              <w:rPr>
                <w:noProof/>
                <w:webHidden/>
              </w:rPr>
              <w:instrText xml:space="preserve"> PAGEREF _Toc1657795 \h </w:instrText>
            </w:r>
            <w:r w:rsidR="00CD08DA">
              <w:rPr>
                <w:noProof/>
                <w:webHidden/>
              </w:rPr>
            </w:r>
            <w:r w:rsidR="00CD08DA">
              <w:rPr>
                <w:noProof/>
                <w:webHidden/>
              </w:rPr>
              <w:fldChar w:fldCharType="separate"/>
            </w:r>
            <w:r w:rsidR="00CD08DA">
              <w:rPr>
                <w:noProof/>
                <w:webHidden/>
              </w:rPr>
              <w:t>18</w:t>
            </w:r>
            <w:r w:rsidR="00CD08DA">
              <w:rPr>
                <w:noProof/>
                <w:webHidden/>
              </w:rPr>
              <w:fldChar w:fldCharType="end"/>
            </w:r>
          </w:hyperlink>
        </w:p>
        <w:p w14:paraId="44DCE392" w14:textId="77777777" w:rsidR="00CD08DA" w:rsidRDefault="007F5353">
          <w:pPr>
            <w:pStyle w:val="Turinys3"/>
            <w:tabs>
              <w:tab w:val="right" w:leader="dot" w:pos="9628"/>
            </w:tabs>
            <w:rPr>
              <w:rFonts w:eastAsiaTheme="minorEastAsia"/>
              <w:noProof/>
              <w:lang w:eastAsia="lt-LT"/>
            </w:rPr>
          </w:pPr>
          <w:hyperlink w:anchor="_Toc1657796" w:history="1">
            <w:r w:rsidR="00CD08DA" w:rsidRPr="00F84BFB">
              <w:rPr>
                <w:rStyle w:val="Hipersaitas"/>
                <w:noProof/>
              </w:rPr>
              <w:t>Dėl saviraiškos teisės internete reiškiant įžeidžius komentarus, nukreiptus prieš policijos pareigūnus</w:t>
            </w:r>
            <w:r w:rsidR="00CD08DA">
              <w:rPr>
                <w:noProof/>
                <w:webHidden/>
              </w:rPr>
              <w:tab/>
            </w:r>
            <w:r w:rsidR="00CD08DA">
              <w:rPr>
                <w:noProof/>
                <w:webHidden/>
              </w:rPr>
              <w:fldChar w:fldCharType="begin"/>
            </w:r>
            <w:r w:rsidR="00CD08DA">
              <w:rPr>
                <w:noProof/>
                <w:webHidden/>
              </w:rPr>
              <w:instrText xml:space="preserve"> PAGEREF _Toc1657796 \h </w:instrText>
            </w:r>
            <w:r w:rsidR="00CD08DA">
              <w:rPr>
                <w:noProof/>
                <w:webHidden/>
              </w:rPr>
            </w:r>
            <w:r w:rsidR="00CD08DA">
              <w:rPr>
                <w:noProof/>
                <w:webHidden/>
              </w:rPr>
              <w:fldChar w:fldCharType="separate"/>
            </w:r>
            <w:r w:rsidR="00CD08DA">
              <w:rPr>
                <w:noProof/>
                <w:webHidden/>
              </w:rPr>
              <w:t>18</w:t>
            </w:r>
            <w:r w:rsidR="00CD08DA">
              <w:rPr>
                <w:noProof/>
                <w:webHidden/>
              </w:rPr>
              <w:fldChar w:fldCharType="end"/>
            </w:r>
          </w:hyperlink>
        </w:p>
        <w:p w14:paraId="69133CF7" w14:textId="77777777" w:rsidR="00CD08DA" w:rsidRDefault="007F5353">
          <w:pPr>
            <w:pStyle w:val="Turinys2"/>
            <w:tabs>
              <w:tab w:val="right" w:leader="dot" w:pos="9628"/>
            </w:tabs>
            <w:rPr>
              <w:rFonts w:eastAsiaTheme="minorEastAsia"/>
              <w:noProof/>
              <w:lang w:eastAsia="lt-LT"/>
            </w:rPr>
          </w:pPr>
          <w:hyperlink w:anchor="_Toc1657797" w:history="1">
            <w:r w:rsidR="00CD08DA" w:rsidRPr="00F84BFB">
              <w:rPr>
                <w:rStyle w:val="Hipersaitas"/>
                <w:rFonts w:eastAsia="Calibri"/>
                <w:i/>
                <w:noProof/>
              </w:rPr>
              <w:t>E.S. prieš Austriją</w:t>
            </w:r>
            <w:r w:rsidR="00CD08DA">
              <w:rPr>
                <w:noProof/>
                <w:webHidden/>
              </w:rPr>
              <w:tab/>
            </w:r>
            <w:r w:rsidR="00CD08DA">
              <w:rPr>
                <w:noProof/>
                <w:webHidden/>
              </w:rPr>
              <w:fldChar w:fldCharType="begin"/>
            </w:r>
            <w:r w:rsidR="00CD08DA">
              <w:rPr>
                <w:noProof/>
                <w:webHidden/>
              </w:rPr>
              <w:instrText xml:space="preserve"> PAGEREF _Toc1657797 \h </w:instrText>
            </w:r>
            <w:r w:rsidR="00CD08DA">
              <w:rPr>
                <w:noProof/>
                <w:webHidden/>
              </w:rPr>
            </w:r>
            <w:r w:rsidR="00CD08DA">
              <w:rPr>
                <w:noProof/>
                <w:webHidden/>
              </w:rPr>
              <w:fldChar w:fldCharType="separate"/>
            </w:r>
            <w:r w:rsidR="00CD08DA">
              <w:rPr>
                <w:noProof/>
                <w:webHidden/>
              </w:rPr>
              <w:t>19</w:t>
            </w:r>
            <w:r w:rsidR="00CD08DA">
              <w:rPr>
                <w:noProof/>
                <w:webHidden/>
              </w:rPr>
              <w:fldChar w:fldCharType="end"/>
            </w:r>
          </w:hyperlink>
        </w:p>
        <w:p w14:paraId="2216C346" w14:textId="77777777" w:rsidR="00CD08DA" w:rsidRDefault="007F5353">
          <w:pPr>
            <w:pStyle w:val="Turinys3"/>
            <w:tabs>
              <w:tab w:val="right" w:leader="dot" w:pos="9628"/>
            </w:tabs>
            <w:rPr>
              <w:rFonts w:eastAsiaTheme="minorEastAsia"/>
              <w:noProof/>
              <w:lang w:eastAsia="lt-LT"/>
            </w:rPr>
          </w:pPr>
          <w:hyperlink w:anchor="_Toc1657798" w:history="1">
            <w:r w:rsidR="00CD08DA" w:rsidRPr="00F84BFB">
              <w:rPr>
                <w:rStyle w:val="Hipersaitas"/>
                <w:rFonts w:cs="Calibri"/>
                <w:noProof/>
              </w:rPr>
              <w:t>Dėl nuteisimo baudžiamąja tvarka ir baudos už pareiškimus, kaltinančius pranašą Mahometą pedofilija</w:t>
            </w:r>
            <w:r w:rsidR="00CD08DA">
              <w:rPr>
                <w:noProof/>
                <w:webHidden/>
              </w:rPr>
              <w:tab/>
            </w:r>
            <w:r w:rsidR="00CD08DA">
              <w:rPr>
                <w:noProof/>
                <w:webHidden/>
              </w:rPr>
              <w:fldChar w:fldCharType="begin"/>
            </w:r>
            <w:r w:rsidR="00CD08DA">
              <w:rPr>
                <w:noProof/>
                <w:webHidden/>
              </w:rPr>
              <w:instrText xml:space="preserve"> PAGEREF _Toc1657798 \h </w:instrText>
            </w:r>
            <w:r w:rsidR="00CD08DA">
              <w:rPr>
                <w:noProof/>
                <w:webHidden/>
              </w:rPr>
            </w:r>
            <w:r w:rsidR="00CD08DA">
              <w:rPr>
                <w:noProof/>
                <w:webHidden/>
              </w:rPr>
              <w:fldChar w:fldCharType="separate"/>
            </w:r>
            <w:r w:rsidR="00CD08DA">
              <w:rPr>
                <w:noProof/>
                <w:webHidden/>
              </w:rPr>
              <w:t>19</w:t>
            </w:r>
            <w:r w:rsidR="00CD08DA">
              <w:rPr>
                <w:noProof/>
                <w:webHidden/>
              </w:rPr>
              <w:fldChar w:fldCharType="end"/>
            </w:r>
          </w:hyperlink>
        </w:p>
        <w:p w14:paraId="5E4E0B5A" w14:textId="77777777" w:rsidR="00CD08DA" w:rsidRDefault="007F5353">
          <w:pPr>
            <w:pStyle w:val="Turinys2"/>
            <w:tabs>
              <w:tab w:val="right" w:leader="dot" w:pos="9628"/>
            </w:tabs>
            <w:rPr>
              <w:rFonts w:eastAsiaTheme="minorEastAsia"/>
              <w:noProof/>
              <w:lang w:eastAsia="lt-LT"/>
            </w:rPr>
          </w:pPr>
          <w:hyperlink w:anchor="_Toc1657799" w:history="1">
            <w:r w:rsidR="00CD08DA" w:rsidRPr="00F84BFB">
              <w:rPr>
                <w:rStyle w:val="Hipersaitas"/>
                <w:rFonts w:eastAsia="Calibri"/>
                <w:i/>
                <w:noProof/>
              </w:rPr>
              <w:t>A. T. prieš Estiją</w:t>
            </w:r>
            <w:r w:rsidR="00CD08DA">
              <w:rPr>
                <w:noProof/>
                <w:webHidden/>
              </w:rPr>
              <w:tab/>
            </w:r>
            <w:r w:rsidR="00CD08DA">
              <w:rPr>
                <w:noProof/>
                <w:webHidden/>
              </w:rPr>
              <w:fldChar w:fldCharType="begin"/>
            </w:r>
            <w:r w:rsidR="00CD08DA">
              <w:rPr>
                <w:noProof/>
                <w:webHidden/>
              </w:rPr>
              <w:instrText xml:space="preserve"> PAGEREF _Toc1657799 \h </w:instrText>
            </w:r>
            <w:r w:rsidR="00CD08DA">
              <w:rPr>
                <w:noProof/>
                <w:webHidden/>
              </w:rPr>
            </w:r>
            <w:r w:rsidR="00CD08DA">
              <w:rPr>
                <w:noProof/>
                <w:webHidden/>
              </w:rPr>
              <w:fldChar w:fldCharType="separate"/>
            </w:r>
            <w:r w:rsidR="00CD08DA">
              <w:rPr>
                <w:noProof/>
                <w:webHidden/>
              </w:rPr>
              <w:t>21</w:t>
            </w:r>
            <w:r w:rsidR="00CD08DA">
              <w:rPr>
                <w:noProof/>
                <w:webHidden/>
              </w:rPr>
              <w:fldChar w:fldCharType="end"/>
            </w:r>
          </w:hyperlink>
        </w:p>
        <w:p w14:paraId="73165B00" w14:textId="77777777" w:rsidR="00CD08DA" w:rsidRDefault="007F5353">
          <w:pPr>
            <w:pStyle w:val="Turinys3"/>
            <w:tabs>
              <w:tab w:val="right" w:leader="dot" w:pos="9628"/>
            </w:tabs>
            <w:rPr>
              <w:rFonts w:eastAsiaTheme="minorEastAsia"/>
              <w:noProof/>
              <w:lang w:eastAsia="lt-LT"/>
            </w:rPr>
          </w:pPr>
          <w:hyperlink w:anchor="_Toc1657800" w:history="1">
            <w:r w:rsidR="00CD08DA" w:rsidRPr="00F84BFB">
              <w:rPr>
                <w:rStyle w:val="Hipersaitas"/>
                <w:noProof/>
              </w:rPr>
              <w:t>Dėl antrankių naudojimo gydymo įstaigoje ir naujagimės dukters lankymo metu</w:t>
            </w:r>
            <w:r w:rsidR="00CD08DA">
              <w:rPr>
                <w:noProof/>
                <w:webHidden/>
              </w:rPr>
              <w:tab/>
            </w:r>
            <w:r w:rsidR="00CD08DA">
              <w:rPr>
                <w:noProof/>
                <w:webHidden/>
              </w:rPr>
              <w:fldChar w:fldCharType="begin"/>
            </w:r>
            <w:r w:rsidR="00CD08DA">
              <w:rPr>
                <w:noProof/>
                <w:webHidden/>
              </w:rPr>
              <w:instrText xml:space="preserve"> PAGEREF _Toc1657800 \h </w:instrText>
            </w:r>
            <w:r w:rsidR="00CD08DA">
              <w:rPr>
                <w:noProof/>
                <w:webHidden/>
              </w:rPr>
            </w:r>
            <w:r w:rsidR="00CD08DA">
              <w:rPr>
                <w:noProof/>
                <w:webHidden/>
              </w:rPr>
              <w:fldChar w:fldCharType="separate"/>
            </w:r>
            <w:r w:rsidR="00CD08DA">
              <w:rPr>
                <w:noProof/>
                <w:webHidden/>
              </w:rPr>
              <w:t>21</w:t>
            </w:r>
            <w:r w:rsidR="00CD08DA">
              <w:rPr>
                <w:noProof/>
                <w:webHidden/>
              </w:rPr>
              <w:fldChar w:fldCharType="end"/>
            </w:r>
          </w:hyperlink>
        </w:p>
        <w:p w14:paraId="3BAE1100" w14:textId="77777777" w:rsidR="00CD08DA" w:rsidRDefault="007F5353">
          <w:pPr>
            <w:pStyle w:val="Turinys2"/>
            <w:tabs>
              <w:tab w:val="right" w:leader="dot" w:pos="9628"/>
            </w:tabs>
            <w:rPr>
              <w:rFonts w:eastAsiaTheme="minorEastAsia"/>
              <w:noProof/>
              <w:lang w:eastAsia="lt-LT"/>
            </w:rPr>
          </w:pPr>
          <w:hyperlink w:anchor="_Toc1657801" w:history="1">
            <w:r w:rsidR="00CD08DA" w:rsidRPr="00F84BFB">
              <w:rPr>
                <w:rStyle w:val="Hipersaitas"/>
                <w:rFonts w:eastAsia="Calibri"/>
                <w:i/>
                <w:noProof/>
              </w:rPr>
              <w:t>Magyar Jeti Zrt prieš Vengriją</w:t>
            </w:r>
            <w:r w:rsidR="00CD08DA">
              <w:rPr>
                <w:noProof/>
                <w:webHidden/>
              </w:rPr>
              <w:tab/>
            </w:r>
            <w:r w:rsidR="00CD08DA">
              <w:rPr>
                <w:noProof/>
                <w:webHidden/>
              </w:rPr>
              <w:fldChar w:fldCharType="begin"/>
            </w:r>
            <w:r w:rsidR="00CD08DA">
              <w:rPr>
                <w:noProof/>
                <w:webHidden/>
              </w:rPr>
              <w:instrText xml:space="preserve"> PAGEREF _Toc1657801 \h </w:instrText>
            </w:r>
            <w:r w:rsidR="00CD08DA">
              <w:rPr>
                <w:noProof/>
                <w:webHidden/>
              </w:rPr>
            </w:r>
            <w:r w:rsidR="00CD08DA">
              <w:rPr>
                <w:noProof/>
                <w:webHidden/>
              </w:rPr>
              <w:fldChar w:fldCharType="separate"/>
            </w:r>
            <w:r w:rsidR="00CD08DA">
              <w:rPr>
                <w:noProof/>
                <w:webHidden/>
              </w:rPr>
              <w:t>24</w:t>
            </w:r>
            <w:r w:rsidR="00CD08DA">
              <w:rPr>
                <w:noProof/>
                <w:webHidden/>
              </w:rPr>
              <w:fldChar w:fldCharType="end"/>
            </w:r>
          </w:hyperlink>
        </w:p>
        <w:p w14:paraId="1FCF0C89" w14:textId="77777777" w:rsidR="00CD08DA" w:rsidRDefault="007F5353">
          <w:pPr>
            <w:pStyle w:val="Turinys3"/>
            <w:tabs>
              <w:tab w:val="right" w:leader="dot" w:pos="9628"/>
            </w:tabs>
            <w:rPr>
              <w:rFonts w:eastAsiaTheme="minorEastAsia"/>
              <w:noProof/>
              <w:lang w:eastAsia="lt-LT"/>
            </w:rPr>
          </w:pPr>
          <w:hyperlink w:anchor="_Toc1657802" w:history="1">
            <w:r w:rsidR="00CD08DA" w:rsidRPr="00F84BFB">
              <w:rPr>
                <w:rStyle w:val="Hipersaitas"/>
                <w:rFonts w:cs="Calibri"/>
                <w:noProof/>
              </w:rPr>
              <w:t>Dėl internetinio naujienų portalo atsakomybės už internetinės nuorodos, į kurią įeina šmeižikiškas turinys, paskelbimą</w:t>
            </w:r>
            <w:r w:rsidR="00CD08DA">
              <w:rPr>
                <w:noProof/>
                <w:webHidden/>
              </w:rPr>
              <w:tab/>
            </w:r>
            <w:r w:rsidR="00CD08DA">
              <w:rPr>
                <w:noProof/>
                <w:webHidden/>
              </w:rPr>
              <w:fldChar w:fldCharType="begin"/>
            </w:r>
            <w:r w:rsidR="00CD08DA">
              <w:rPr>
                <w:noProof/>
                <w:webHidden/>
              </w:rPr>
              <w:instrText xml:space="preserve"> PAGEREF _Toc1657802 \h </w:instrText>
            </w:r>
            <w:r w:rsidR="00CD08DA">
              <w:rPr>
                <w:noProof/>
                <w:webHidden/>
              </w:rPr>
            </w:r>
            <w:r w:rsidR="00CD08DA">
              <w:rPr>
                <w:noProof/>
                <w:webHidden/>
              </w:rPr>
              <w:fldChar w:fldCharType="separate"/>
            </w:r>
            <w:r w:rsidR="00CD08DA">
              <w:rPr>
                <w:noProof/>
                <w:webHidden/>
              </w:rPr>
              <w:t>24</w:t>
            </w:r>
            <w:r w:rsidR="00CD08DA">
              <w:rPr>
                <w:noProof/>
                <w:webHidden/>
              </w:rPr>
              <w:fldChar w:fldCharType="end"/>
            </w:r>
          </w:hyperlink>
        </w:p>
        <w:p w14:paraId="6520ADF2" w14:textId="77777777" w:rsidR="00CD08DA" w:rsidRDefault="007F5353">
          <w:pPr>
            <w:pStyle w:val="Turinys2"/>
            <w:tabs>
              <w:tab w:val="right" w:leader="dot" w:pos="9628"/>
            </w:tabs>
            <w:rPr>
              <w:rFonts w:eastAsiaTheme="minorEastAsia"/>
              <w:noProof/>
              <w:lang w:eastAsia="lt-LT"/>
            </w:rPr>
          </w:pPr>
          <w:hyperlink w:anchor="_Toc1657803" w:history="1">
            <w:r w:rsidR="00CD08DA" w:rsidRPr="00F84BFB">
              <w:rPr>
                <w:rStyle w:val="Hipersaitas"/>
                <w:rFonts w:eastAsia="Calibri"/>
                <w:i/>
                <w:noProof/>
              </w:rPr>
              <w:t>Brisc prieš Rumuniją</w:t>
            </w:r>
            <w:r w:rsidR="00CD08DA">
              <w:rPr>
                <w:noProof/>
                <w:webHidden/>
              </w:rPr>
              <w:tab/>
            </w:r>
            <w:r w:rsidR="00CD08DA">
              <w:rPr>
                <w:noProof/>
                <w:webHidden/>
              </w:rPr>
              <w:fldChar w:fldCharType="begin"/>
            </w:r>
            <w:r w:rsidR="00CD08DA">
              <w:rPr>
                <w:noProof/>
                <w:webHidden/>
              </w:rPr>
              <w:instrText xml:space="preserve"> PAGEREF _Toc1657803 \h </w:instrText>
            </w:r>
            <w:r w:rsidR="00CD08DA">
              <w:rPr>
                <w:noProof/>
                <w:webHidden/>
              </w:rPr>
            </w:r>
            <w:r w:rsidR="00CD08DA">
              <w:rPr>
                <w:noProof/>
                <w:webHidden/>
              </w:rPr>
              <w:fldChar w:fldCharType="separate"/>
            </w:r>
            <w:r w:rsidR="00CD08DA">
              <w:rPr>
                <w:noProof/>
                <w:webHidden/>
              </w:rPr>
              <w:t>25</w:t>
            </w:r>
            <w:r w:rsidR="00CD08DA">
              <w:rPr>
                <w:noProof/>
                <w:webHidden/>
              </w:rPr>
              <w:fldChar w:fldCharType="end"/>
            </w:r>
          </w:hyperlink>
        </w:p>
        <w:p w14:paraId="31BE1660" w14:textId="77777777" w:rsidR="00CD08DA" w:rsidRDefault="007F5353">
          <w:pPr>
            <w:pStyle w:val="Turinys3"/>
            <w:tabs>
              <w:tab w:val="right" w:leader="dot" w:pos="9628"/>
            </w:tabs>
            <w:rPr>
              <w:rFonts w:eastAsiaTheme="minorEastAsia"/>
              <w:noProof/>
              <w:lang w:eastAsia="lt-LT"/>
            </w:rPr>
          </w:pPr>
          <w:hyperlink w:anchor="_Toc1657804" w:history="1">
            <w:r w:rsidR="00CD08DA" w:rsidRPr="00F84BFB">
              <w:rPr>
                <w:rStyle w:val="Hipersaitas"/>
                <w:noProof/>
                <w:shd w:val="clear" w:color="auto" w:fill="FFFFFF"/>
                <w:lang w:eastAsia="lt-LT"/>
              </w:rPr>
              <w:t xml:space="preserve">Dėl </w:t>
            </w:r>
            <w:r w:rsidR="00CD08DA" w:rsidRPr="00F84BFB">
              <w:rPr>
                <w:rStyle w:val="Hipersaitas"/>
                <w:noProof/>
              </w:rPr>
              <w:t xml:space="preserve">saviraiškos laisvės pažeidimo atleidus </w:t>
            </w:r>
            <w:r w:rsidR="00CD08DA" w:rsidRPr="00F84BFB">
              <w:rPr>
                <w:rStyle w:val="Hipersaitas"/>
                <w:noProof/>
                <w:shd w:val="clear" w:color="auto" w:fill="FFFFFF"/>
                <w:lang w:eastAsia="lt-LT"/>
              </w:rPr>
              <w:t>vyriausiąjį prokurorą iš pareigų už informacijos apie vykstantį tyrimą pateikimą spaudai</w:t>
            </w:r>
            <w:r w:rsidR="00CD08DA">
              <w:rPr>
                <w:noProof/>
                <w:webHidden/>
              </w:rPr>
              <w:tab/>
            </w:r>
            <w:r w:rsidR="00CD08DA">
              <w:rPr>
                <w:noProof/>
                <w:webHidden/>
              </w:rPr>
              <w:fldChar w:fldCharType="begin"/>
            </w:r>
            <w:r w:rsidR="00CD08DA">
              <w:rPr>
                <w:noProof/>
                <w:webHidden/>
              </w:rPr>
              <w:instrText xml:space="preserve"> PAGEREF _Toc1657804 \h </w:instrText>
            </w:r>
            <w:r w:rsidR="00CD08DA">
              <w:rPr>
                <w:noProof/>
                <w:webHidden/>
              </w:rPr>
            </w:r>
            <w:r w:rsidR="00CD08DA">
              <w:rPr>
                <w:noProof/>
                <w:webHidden/>
              </w:rPr>
              <w:fldChar w:fldCharType="separate"/>
            </w:r>
            <w:r w:rsidR="00CD08DA">
              <w:rPr>
                <w:noProof/>
                <w:webHidden/>
              </w:rPr>
              <w:t>25</w:t>
            </w:r>
            <w:r w:rsidR="00CD08DA">
              <w:rPr>
                <w:noProof/>
                <w:webHidden/>
              </w:rPr>
              <w:fldChar w:fldCharType="end"/>
            </w:r>
          </w:hyperlink>
        </w:p>
        <w:p w14:paraId="646D2535" w14:textId="77777777" w:rsidR="00CD08DA" w:rsidRDefault="007F5353">
          <w:pPr>
            <w:pStyle w:val="Turinys1"/>
            <w:rPr>
              <w:rFonts w:eastAsiaTheme="minorEastAsia"/>
              <w:color w:val="auto"/>
              <w:lang w:eastAsia="lt-LT"/>
            </w:rPr>
          </w:pPr>
          <w:hyperlink w:anchor="_Toc1657805" w:history="1">
            <w:r w:rsidR="00CD08DA" w:rsidRPr="00F84BFB">
              <w:rPr>
                <w:rStyle w:val="Hipersaitas"/>
              </w:rPr>
              <w:t>SUSIRINKIMŲ IR ASOCIACIJOS LAISVĖ (11 straipsnis)</w:t>
            </w:r>
            <w:r w:rsidR="00CD08DA">
              <w:rPr>
                <w:webHidden/>
              </w:rPr>
              <w:tab/>
            </w:r>
            <w:r w:rsidR="00CD08DA">
              <w:rPr>
                <w:webHidden/>
              </w:rPr>
              <w:fldChar w:fldCharType="begin"/>
            </w:r>
            <w:r w:rsidR="00CD08DA">
              <w:rPr>
                <w:webHidden/>
              </w:rPr>
              <w:instrText xml:space="preserve"> PAGEREF _Toc1657805 \h </w:instrText>
            </w:r>
            <w:r w:rsidR="00CD08DA">
              <w:rPr>
                <w:webHidden/>
              </w:rPr>
            </w:r>
            <w:r w:rsidR="00CD08DA">
              <w:rPr>
                <w:webHidden/>
              </w:rPr>
              <w:fldChar w:fldCharType="separate"/>
            </w:r>
            <w:r w:rsidR="00CD08DA">
              <w:rPr>
                <w:webHidden/>
              </w:rPr>
              <w:t>27</w:t>
            </w:r>
            <w:r w:rsidR="00CD08DA">
              <w:rPr>
                <w:webHidden/>
              </w:rPr>
              <w:fldChar w:fldCharType="end"/>
            </w:r>
          </w:hyperlink>
        </w:p>
        <w:p w14:paraId="4A395545" w14:textId="77777777" w:rsidR="00CD08DA" w:rsidRDefault="007F5353">
          <w:pPr>
            <w:pStyle w:val="Turinys2"/>
            <w:tabs>
              <w:tab w:val="right" w:leader="dot" w:pos="9628"/>
            </w:tabs>
            <w:rPr>
              <w:rFonts w:eastAsiaTheme="minorEastAsia"/>
              <w:noProof/>
              <w:lang w:eastAsia="lt-LT"/>
            </w:rPr>
          </w:pPr>
          <w:hyperlink w:anchor="_Toc1657806" w:history="1">
            <w:r w:rsidR="00CD08DA" w:rsidRPr="00F84BFB">
              <w:rPr>
                <w:rStyle w:val="Hipersaitas"/>
                <w:rFonts w:eastAsia="Calibri"/>
                <w:i/>
                <w:noProof/>
              </w:rPr>
              <w:t>Navalnyy prieš Rusiją</w:t>
            </w:r>
            <w:r w:rsidR="00CD08DA">
              <w:rPr>
                <w:noProof/>
                <w:webHidden/>
              </w:rPr>
              <w:tab/>
            </w:r>
            <w:r w:rsidR="00CD08DA">
              <w:rPr>
                <w:noProof/>
                <w:webHidden/>
              </w:rPr>
              <w:fldChar w:fldCharType="begin"/>
            </w:r>
            <w:r w:rsidR="00CD08DA">
              <w:rPr>
                <w:noProof/>
                <w:webHidden/>
              </w:rPr>
              <w:instrText xml:space="preserve"> PAGEREF _Toc1657806 \h </w:instrText>
            </w:r>
            <w:r w:rsidR="00CD08DA">
              <w:rPr>
                <w:noProof/>
                <w:webHidden/>
              </w:rPr>
            </w:r>
            <w:r w:rsidR="00CD08DA">
              <w:rPr>
                <w:noProof/>
                <w:webHidden/>
              </w:rPr>
              <w:fldChar w:fldCharType="separate"/>
            </w:r>
            <w:r w:rsidR="00CD08DA">
              <w:rPr>
                <w:noProof/>
                <w:webHidden/>
              </w:rPr>
              <w:t>27</w:t>
            </w:r>
            <w:r w:rsidR="00CD08DA">
              <w:rPr>
                <w:noProof/>
                <w:webHidden/>
              </w:rPr>
              <w:fldChar w:fldCharType="end"/>
            </w:r>
          </w:hyperlink>
        </w:p>
        <w:p w14:paraId="14890AF1" w14:textId="77777777" w:rsidR="00CD08DA" w:rsidRDefault="007F5353">
          <w:pPr>
            <w:pStyle w:val="Turinys3"/>
            <w:tabs>
              <w:tab w:val="right" w:leader="dot" w:pos="9628"/>
            </w:tabs>
            <w:rPr>
              <w:rFonts w:eastAsiaTheme="minorEastAsia"/>
              <w:noProof/>
              <w:lang w:eastAsia="lt-LT"/>
            </w:rPr>
          </w:pPr>
          <w:hyperlink w:anchor="_Toc1657807" w:history="1">
            <w:r w:rsidR="00CD08DA" w:rsidRPr="00F84BFB">
              <w:rPr>
                <w:rStyle w:val="Hipersaitas"/>
                <w:rFonts w:eastAsia="Times New Roman"/>
                <w:noProof/>
                <w:shd w:val="clear" w:color="auto" w:fill="FFFFFF"/>
                <w:lang w:eastAsia="lt-LT"/>
              </w:rPr>
              <w:t>Dėl sistemingo susirinkimų laisvės ribojimo politinei opozicijai</w:t>
            </w:r>
            <w:r w:rsidR="00CD08DA">
              <w:rPr>
                <w:noProof/>
                <w:webHidden/>
              </w:rPr>
              <w:tab/>
            </w:r>
            <w:r w:rsidR="00CD08DA">
              <w:rPr>
                <w:noProof/>
                <w:webHidden/>
              </w:rPr>
              <w:fldChar w:fldCharType="begin"/>
            </w:r>
            <w:r w:rsidR="00CD08DA">
              <w:rPr>
                <w:noProof/>
                <w:webHidden/>
              </w:rPr>
              <w:instrText xml:space="preserve"> PAGEREF _Toc1657807 \h </w:instrText>
            </w:r>
            <w:r w:rsidR="00CD08DA">
              <w:rPr>
                <w:noProof/>
                <w:webHidden/>
              </w:rPr>
            </w:r>
            <w:r w:rsidR="00CD08DA">
              <w:rPr>
                <w:noProof/>
                <w:webHidden/>
              </w:rPr>
              <w:fldChar w:fldCharType="separate"/>
            </w:r>
            <w:r w:rsidR="00CD08DA">
              <w:rPr>
                <w:noProof/>
                <w:webHidden/>
              </w:rPr>
              <w:t>27</w:t>
            </w:r>
            <w:r w:rsidR="00CD08DA">
              <w:rPr>
                <w:noProof/>
                <w:webHidden/>
              </w:rPr>
              <w:fldChar w:fldCharType="end"/>
            </w:r>
          </w:hyperlink>
        </w:p>
        <w:p w14:paraId="68756EFA" w14:textId="77777777" w:rsidR="00CD08DA" w:rsidRDefault="007F5353">
          <w:pPr>
            <w:pStyle w:val="Turinys1"/>
            <w:rPr>
              <w:rFonts w:eastAsiaTheme="minorEastAsia"/>
              <w:color w:val="auto"/>
              <w:lang w:eastAsia="lt-LT"/>
            </w:rPr>
          </w:pPr>
          <w:hyperlink w:anchor="_Toc1657808" w:history="1">
            <w:r w:rsidR="00CD08DA" w:rsidRPr="00F84BFB">
              <w:rPr>
                <w:rStyle w:val="Hipersaitas"/>
              </w:rPr>
              <w:t>TEISĖ Į SANTUOKĄ (12 straipsnis)</w:t>
            </w:r>
            <w:r w:rsidR="00CD08DA">
              <w:rPr>
                <w:webHidden/>
              </w:rPr>
              <w:tab/>
            </w:r>
            <w:r w:rsidR="00CD08DA">
              <w:rPr>
                <w:webHidden/>
              </w:rPr>
              <w:fldChar w:fldCharType="begin"/>
            </w:r>
            <w:r w:rsidR="00CD08DA">
              <w:rPr>
                <w:webHidden/>
              </w:rPr>
              <w:instrText xml:space="preserve"> PAGEREF _Toc1657808 \h </w:instrText>
            </w:r>
            <w:r w:rsidR="00CD08DA">
              <w:rPr>
                <w:webHidden/>
              </w:rPr>
            </w:r>
            <w:r w:rsidR="00CD08DA">
              <w:rPr>
                <w:webHidden/>
              </w:rPr>
              <w:fldChar w:fldCharType="separate"/>
            </w:r>
            <w:r w:rsidR="00CD08DA">
              <w:rPr>
                <w:webHidden/>
              </w:rPr>
              <w:t>28</w:t>
            </w:r>
            <w:r w:rsidR="00CD08DA">
              <w:rPr>
                <w:webHidden/>
              </w:rPr>
              <w:fldChar w:fldCharType="end"/>
            </w:r>
          </w:hyperlink>
        </w:p>
        <w:p w14:paraId="7C2F6C32" w14:textId="77777777" w:rsidR="00CD08DA" w:rsidRDefault="007F5353">
          <w:pPr>
            <w:pStyle w:val="Turinys2"/>
            <w:tabs>
              <w:tab w:val="right" w:leader="dot" w:pos="9628"/>
            </w:tabs>
            <w:rPr>
              <w:rFonts w:eastAsiaTheme="minorEastAsia"/>
              <w:noProof/>
              <w:lang w:eastAsia="lt-LT"/>
            </w:rPr>
          </w:pPr>
          <w:hyperlink w:anchor="_Toc1657809" w:history="1">
            <w:r w:rsidR="00CD08DA" w:rsidRPr="00F84BFB">
              <w:rPr>
                <w:rStyle w:val="Hipersaitas"/>
                <w:rFonts w:eastAsia="Calibri"/>
                <w:i/>
                <w:noProof/>
              </w:rPr>
              <w:t>Delecolle prieš Prancūziją</w:t>
            </w:r>
            <w:r w:rsidR="00CD08DA">
              <w:rPr>
                <w:noProof/>
                <w:webHidden/>
              </w:rPr>
              <w:tab/>
            </w:r>
            <w:r w:rsidR="00CD08DA">
              <w:rPr>
                <w:noProof/>
                <w:webHidden/>
              </w:rPr>
              <w:fldChar w:fldCharType="begin"/>
            </w:r>
            <w:r w:rsidR="00CD08DA">
              <w:rPr>
                <w:noProof/>
                <w:webHidden/>
              </w:rPr>
              <w:instrText xml:space="preserve"> PAGEREF _Toc1657809 \h </w:instrText>
            </w:r>
            <w:r w:rsidR="00CD08DA">
              <w:rPr>
                <w:noProof/>
                <w:webHidden/>
              </w:rPr>
            </w:r>
            <w:r w:rsidR="00CD08DA">
              <w:rPr>
                <w:noProof/>
                <w:webHidden/>
              </w:rPr>
              <w:fldChar w:fldCharType="separate"/>
            </w:r>
            <w:r w:rsidR="00CD08DA">
              <w:rPr>
                <w:noProof/>
                <w:webHidden/>
              </w:rPr>
              <w:t>28</w:t>
            </w:r>
            <w:r w:rsidR="00CD08DA">
              <w:rPr>
                <w:noProof/>
                <w:webHidden/>
              </w:rPr>
              <w:fldChar w:fldCharType="end"/>
            </w:r>
          </w:hyperlink>
        </w:p>
        <w:p w14:paraId="4256B246" w14:textId="77777777" w:rsidR="00CD08DA" w:rsidRDefault="007F5353">
          <w:pPr>
            <w:pStyle w:val="Turinys3"/>
            <w:tabs>
              <w:tab w:val="right" w:leader="dot" w:pos="9628"/>
            </w:tabs>
            <w:rPr>
              <w:rFonts w:eastAsiaTheme="minorEastAsia"/>
              <w:noProof/>
              <w:lang w:eastAsia="lt-LT"/>
            </w:rPr>
          </w:pPr>
          <w:hyperlink w:anchor="_Toc1657810" w:history="1">
            <w:r w:rsidR="00CD08DA" w:rsidRPr="00F84BFB">
              <w:rPr>
                <w:rStyle w:val="Hipersaitas"/>
                <w:noProof/>
              </w:rPr>
              <w:t>Dėl atsisakymo leisti sudaryti santuoką asmeniui, kuriam paskirta globa</w:t>
            </w:r>
            <w:r w:rsidR="00CD08DA">
              <w:rPr>
                <w:noProof/>
                <w:webHidden/>
              </w:rPr>
              <w:tab/>
            </w:r>
            <w:r w:rsidR="00CD08DA">
              <w:rPr>
                <w:noProof/>
                <w:webHidden/>
              </w:rPr>
              <w:fldChar w:fldCharType="begin"/>
            </w:r>
            <w:r w:rsidR="00CD08DA">
              <w:rPr>
                <w:noProof/>
                <w:webHidden/>
              </w:rPr>
              <w:instrText xml:space="preserve"> PAGEREF _Toc1657810 \h </w:instrText>
            </w:r>
            <w:r w:rsidR="00CD08DA">
              <w:rPr>
                <w:noProof/>
                <w:webHidden/>
              </w:rPr>
            </w:r>
            <w:r w:rsidR="00CD08DA">
              <w:rPr>
                <w:noProof/>
                <w:webHidden/>
              </w:rPr>
              <w:fldChar w:fldCharType="separate"/>
            </w:r>
            <w:r w:rsidR="00CD08DA">
              <w:rPr>
                <w:noProof/>
                <w:webHidden/>
              </w:rPr>
              <w:t>28</w:t>
            </w:r>
            <w:r w:rsidR="00CD08DA">
              <w:rPr>
                <w:noProof/>
                <w:webHidden/>
              </w:rPr>
              <w:fldChar w:fldCharType="end"/>
            </w:r>
          </w:hyperlink>
        </w:p>
        <w:p w14:paraId="130207DE" w14:textId="77777777" w:rsidR="00CD08DA" w:rsidRDefault="007F5353">
          <w:pPr>
            <w:pStyle w:val="Turinys1"/>
            <w:rPr>
              <w:rFonts w:eastAsiaTheme="minorEastAsia"/>
              <w:color w:val="auto"/>
              <w:lang w:eastAsia="lt-LT"/>
            </w:rPr>
          </w:pPr>
          <w:hyperlink w:anchor="_Toc1657811" w:history="1">
            <w:r w:rsidR="00CD08DA" w:rsidRPr="00F84BFB">
              <w:rPr>
                <w:rStyle w:val="Hipersaitas"/>
              </w:rPr>
              <w:t>DISKRIMINACIJOS UŽDRAUDIMAS (14 straipsnis)</w:t>
            </w:r>
            <w:r w:rsidR="00CD08DA">
              <w:rPr>
                <w:webHidden/>
              </w:rPr>
              <w:tab/>
            </w:r>
            <w:r w:rsidR="00CD08DA">
              <w:rPr>
                <w:webHidden/>
              </w:rPr>
              <w:fldChar w:fldCharType="begin"/>
            </w:r>
            <w:r w:rsidR="00CD08DA">
              <w:rPr>
                <w:webHidden/>
              </w:rPr>
              <w:instrText xml:space="preserve"> PAGEREF _Toc1657811 \h </w:instrText>
            </w:r>
            <w:r w:rsidR="00CD08DA">
              <w:rPr>
                <w:webHidden/>
              </w:rPr>
            </w:r>
            <w:r w:rsidR="00CD08DA">
              <w:rPr>
                <w:webHidden/>
              </w:rPr>
              <w:fldChar w:fldCharType="separate"/>
            </w:r>
            <w:r w:rsidR="00CD08DA">
              <w:rPr>
                <w:webHidden/>
              </w:rPr>
              <w:t>29</w:t>
            </w:r>
            <w:r w:rsidR="00CD08DA">
              <w:rPr>
                <w:webHidden/>
              </w:rPr>
              <w:fldChar w:fldCharType="end"/>
            </w:r>
          </w:hyperlink>
        </w:p>
        <w:p w14:paraId="4FF47A5B" w14:textId="77777777" w:rsidR="00CD08DA" w:rsidRDefault="007F5353">
          <w:pPr>
            <w:pStyle w:val="Turinys2"/>
            <w:tabs>
              <w:tab w:val="right" w:leader="dot" w:pos="9628"/>
            </w:tabs>
            <w:rPr>
              <w:rFonts w:eastAsiaTheme="minorEastAsia"/>
              <w:noProof/>
              <w:lang w:eastAsia="lt-LT"/>
            </w:rPr>
          </w:pPr>
          <w:hyperlink w:anchor="_Toc1657812" w:history="1">
            <w:r w:rsidR="00CD08DA" w:rsidRPr="00F84BFB">
              <w:rPr>
                <w:rStyle w:val="Hipersaitas"/>
                <w:rFonts w:eastAsia="Calibri"/>
                <w:i/>
                <w:noProof/>
              </w:rPr>
              <w:t>Belli prieš Šveicariją</w:t>
            </w:r>
            <w:r w:rsidR="00CD08DA">
              <w:rPr>
                <w:noProof/>
                <w:webHidden/>
              </w:rPr>
              <w:tab/>
            </w:r>
            <w:r w:rsidR="00CD08DA">
              <w:rPr>
                <w:noProof/>
                <w:webHidden/>
              </w:rPr>
              <w:fldChar w:fldCharType="begin"/>
            </w:r>
            <w:r w:rsidR="00CD08DA">
              <w:rPr>
                <w:noProof/>
                <w:webHidden/>
              </w:rPr>
              <w:instrText xml:space="preserve"> PAGEREF _Toc1657812 \h </w:instrText>
            </w:r>
            <w:r w:rsidR="00CD08DA">
              <w:rPr>
                <w:noProof/>
                <w:webHidden/>
              </w:rPr>
            </w:r>
            <w:r w:rsidR="00CD08DA">
              <w:rPr>
                <w:noProof/>
                <w:webHidden/>
              </w:rPr>
              <w:fldChar w:fldCharType="separate"/>
            </w:r>
            <w:r w:rsidR="00CD08DA">
              <w:rPr>
                <w:noProof/>
                <w:webHidden/>
              </w:rPr>
              <w:t>29</w:t>
            </w:r>
            <w:r w:rsidR="00CD08DA">
              <w:rPr>
                <w:noProof/>
                <w:webHidden/>
              </w:rPr>
              <w:fldChar w:fldCharType="end"/>
            </w:r>
          </w:hyperlink>
        </w:p>
        <w:p w14:paraId="7106E36D" w14:textId="77777777" w:rsidR="00CD08DA" w:rsidRDefault="007F5353">
          <w:pPr>
            <w:pStyle w:val="Turinys3"/>
            <w:tabs>
              <w:tab w:val="right" w:leader="dot" w:pos="9628"/>
            </w:tabs>
            <w:rPr>
              <w:rFonts w:eastAsiaTheme="minorEastAsia"/>
              <w:noProof/>
              <w:lang w:eastAsia="lt-LT"/>
            </w:rPr>
          </w:pPr>
          <w:hyperlink w:anchor="_Toc1657813" w:history="1">
            <w:r w:rsidR="00CD08DA" w:rsidRPr="00F84BFB">
              <w:rPr>
                <w:rStyle w:val="Hipersaitas"/>
                <w:rFonts w:cstheme="minorHAnsi"/>
                <w:noProof/>
              </w:rPr>
              <w:t>Dėl socialinio draudimo įmokas mokėjusių ir tokių įmokų nemokėjusių asmenų skirtingo vertinimo sprendžiant dėl jų teisės į panašaus pobūdžio išmokas (dėl teisės gauti su socialinio draudimo įmokomis nesusijusią neįgalumo išmoką, išvykus iš tokias išmokas mokančios šalies)</w:t>
            </w:r>
            <w:r w:rsidR="00CD08DA">
              <w:rPr>
                <w:noProof/>
                <w:webHidden/>
              </w:rPr>
              <w:tab/>
            </w:r>
            <w:r w:rsidR="00CD08DA">
              <w:rPr>
                <w:noProof/>
                <w:webHidden/>
              </w:rPr>
              <w:fldChar w:fldCharType="begin"/>
            </w:r>
            <w:r w:rsidR="00CD08DA">
              <w:rPr>
                <w:noProof/>
                <w:webHidden/>
              </w:rPr>
              <w:instrText xml:space="preserve"> PAGEREF _Toc1657813 \h </w:instrText>
            </w:r>
            <w:r w:rsidR="00CD08DA">
              <w:rPr>
                <w:noProof/>
                <w:webHidden/>
              </w:rPr>
            </w:r>
            <w:r w:rsidR="00CD08DA">
              <w:rPr>
                <w:noProof/>
                <w:webHidden/>
              </w:rPr>
              <w:fldChar w:fldCharType="separate"/>
            </w:r>
            <w:r w:rsidR="00CD08DA">
              <w:rPr>
                <w:noProof/>
                <w:webHidden/>
              </w:rPr>
              <w:t>29</w:t>
            </w:r>
            <w:r w:rsidR="00CD08DA">
              <w:rPr>
                <w:noProof/>
                <w:webHidden/>
              </w:rPr>
              <w:fldChar w:fldCharType="end"/>
            </w:r>
          </w:hyperlink>
        </w:p>
        <w:p w14:paraId="304FBBCB" w14:textId="77777777" w:rsidR="00CD08DA" w:rsidRDefault="007F5353">
          <w:pPr>
            <w:pStyle w:val="Turinys1"/>
            <w:rPr>
              <w:rFonts w:eastAsiaTheme="minorEastAsia"/>
              <w:color w:val="auto"/>
              <w:lang w:eastAsia="lt-LT"/>
            </w:rPr>
          </w:pPr>
          <w:hyperlink w:anchor="_Toc1657814" w:history="1">
            <w:r w:rsidR="00CD08DA" w:rsidRPr="00CD08DA">
              <w:rPr>
                <w:rStyle w:val="Hipersaitas"/>
                <w:rFonts w:eastAsiaTheme="majorEastAsia" w:cstheme="majorBidi"/>
              </w:rPr>
              <w:t>NUOSAVYBĖS APSAUGA (Pirmojo Protokolo 1 straipsnis)</w:t>
            </w:r>
            <w:r w:rsidR="00CD08DA">
              <w:rPr>
                <w:webHidden/>
              </w:rPr>
              <w:tab/>
            </w:r>
            <w:r w:rsidR="00CD08DA">
              <w:rPr>
                <w:webHidden/>
              </w:rPr>
              <w:fldChar w:fldCharType="begin"/>
            </w:r>
            <w:r w:rsidR="00CD08DA">
              <w:rPr>
                <w:webHidden/>
              </w:rPr>
              <w:instrText xml:space="preserve"> PAGEREF _Toc1657814 \h </w:instrText>
            </w:r>
            <w:r w:rsidR="00CD08DA">
              <w:rPr>
                <w:webHidden/>
              </w:rPr>
            </w:r>
            <w:r w:rsidR="00CD08DA">
              <w:rPr>
                <w:webHidden/>
              </w:rPr>
              <w:fldChar w:fldCharType="separate"/>
            </w:r>
            <w:r w:rsidR="00CD08DA">
              <w:rPr>
                <w:webHidden/>
              </w:rPr>
              <w:t>30</w:t>
            </w:r>
            <w:r w:rsidR="00CD08DA">
              <w:rPr>
                <w:webHidden/>
              </w:rPr>
              <w:fldChar w:fldCharType="end"/>
            </w:r>
          </w:hyperlink>
        </w:p>
        <w:p w14:paraId="7DE4237F" w14:textId="77777777" w:rsidR="00CD08DA" w:rsidRDefault="007F5353">
          <w:pPr>
            <w:pStyle w:val="Turinys2"/>
            <w:tabs>
              <w:tab w:val="right" w:leader="dot" w:pos="9628"/>
            </w:tabs>
            <w:rPr>
              <w:rFonts w:eastAsiaTheme="minorEastAsia"/>
              <w:noProof/>
              <w:lang w:eastAsia="lt-LT"/>
            </w:rPr>
          </w:pPr>
          <w:hyperlink w:anchor="_Toc1657815" w:history="1">
            <w:r w:rsidR="00CD08DA" w:rsidRPr="00F84BFB">
              <w:rPr>
                <w:rStyle w:val="Hipersaitas"/>
                <w:rFonts w:eastAsia="Calibri"/>
                <w:i/>
                <w:noProof/>
              </w:rPr>
              <w:t>Aiello ir kiti ir Arboit ir kiti prieš Italiją</w:t>
            </w:r>
            <w:r w:rsidR="00CD08DA">
              <w:rPr>
                <w:noProof/>
                <w:webHidden/>
              </w:rPr>
              <w:tab/>
            </w:r>
            <w:r w:rsidR="00CD08DA">
              <w:rPr>
                <w:noProof/>
                <w:webHidden/>
              </w:rPr>
              <w:fldChar w:fldCharType="begin"/>
            </w:r>
            <w:r w:rsidR="00CD08DA">
              <w:rPr>
                <w:noProof/>
                <w:webHidden/>
              </w:rPr>
              <w:instrText xml:space="preserve"> PAGEREF _Toc1657815 \h </w:instrText>
            </w:r>
            <w:r w:rsidR="00CD08DA">
              <w:rPr>
                <w:noProof/>
                <w:webHidden/>
              </w:rPr>
            </w:r>
            <w:r w:rsidR="00CD08DA">
              <w:rPr>
                <w:noProof/>
                <w:webHidden/>
              </w:rPr>
              <w:fldChar w:fldCharType="separate"/>
            </w:r>
            <w:r w:rsidR="00CD08DA">
              <w:rPr>
                <w:noProof/>
                <w:webHidden/>
              </w:rPr>
              <w:t>30</w:t>
            </w:r>
            <w:r w:rsidR="00CD08DA">
              <w:rPr>
                <w:noProof/>
                <w:webHidden/>
              </w:rPr>
              <w:fldChar w:fldCharType="end"/>
            </w:r>
          </w:hyperlink>
        </w:p>
        <w:p w14:paraId="3432CDA7" w14:textId="77777777" w:rsidR="00CD08DA" w:rsidRDefault="007F5353">
          <w:pPr>
            <w:pStyle w:val="Turinys3"/>
            <w:tabs>
              <w:tab w:val="right" w:leader="dot" w:pos="9628"/>
            </w:tabs>
            <w:rPr>
              <w:rFonts w:eastAsiaTheme="minorEastAsia"/>
              <w:noProof/>
              <w:lang w:eastAsia="lt-LT"/>
            </w:rPr>
          </w:pPr>
          <w:hyperlink w:anchor="_Toc1657816" w:history="1">
            <w:r w:rsidR="00CD08DA" w:rsidRPr="00F84BFB">
              <w:rPr>
                <w:rStyle w:val="Hipersaitas"/>
                <w:rFonts w:cstheme="minorHAnsi"/>
                <w:bCs/>
                <w:iCs/>
                <w:noProof/>
              </w:rPr>
              <w:t>Dėl nepagrįstai sumažintos senatvės pensijos kompensavimo mechanizmo</w:t>
            </w:r>
            <w:r w:rsidR="00CD08DA">
              <w:rPr>
                <w:noProof/>
                <w:webHidden/>
              </w:rPr>
              <w:tab/>
            </w:r>
            <w:r w:rsidR="00CD08DA">
              <w:rPr>
                <w:noProof/>
                <w:webHidden/>
              </w:rPr>
              <w:fldChar w:fldCharType="begin"/>
            </w:r>
            <w:r w:rsidR="00CD08DA">
              <w:rPr>
                <w:noProof/>
                <w:webHidden/>
              </w:rPr>
              <w:instrText xml:space="preserve"> PAGEREF _Toc1657816 \h </w:instrText>
            </w:r>
            <w:r w:rsidR="00CD08DA">
              <w:rPr>
                <w:noProof/>
                <w:webHidden/>
              </w:rPr>
            </w:r>
            <w:r w:rsidR="00CD08DA">
              <w:rPr>
                <w:noProof/>
                <w:webHidden/>
              </w:rPr>
              <w:fldChar w:fldCharType="separate"/>
            </w:r>
            <w:r w:rsidR="00CD08DA">
              <w:rPr>
                <w:noProof/>
                <w:webHidden/>
              </w:rPr>
              <w:t>30</w:t>
            </w:r>
            <w:r w:rsidR="00CD08DA">
              <w:rPr>
                <w:noProof/>
                <w:webHidden/>
              </w:rPr>
              <w:fldChar w:fldCharType="end"/>
            </w:r>
          </w:hyperlink>
        </w:p>
        <w:p w14:paraId="1C0845BA" w14:textId="77777777" w:rsidR="00CD08DA" w:rsidRDefault="007F5353">
          <w:pPr>
            <w:pStyle w:val="Turinys2"/>
            <w:tabs>
              <w:tab w:val="right" w:leader="dot" w:pos="9628"/>
            </w:tabs>
            <w:rPr>
              <w:rFonts w:eastAsiaTheme="minorEastAsia"/>
              <w:noProof/>
              <w:lang w:eastAsia="lt-LT"/>
            </w:rPr>
          </w:pPr>
          <w:hyperlink w:anchor="_Toc1657817" w:history="1">
            <w:r w:rsidR="00CD08DA" w:rsidRPr="00F84BFB">
              <w:rPr>
                <w:rStyle w:val="Hipersaitas"/>
                <w:rFonts w:eastAsia="Calibri"/>
                <w:i/>
                <w:noProof/>
              </w:rPr>
              <w:t>Lekič prieš Slovėniją</w:t>
            </w:r>
            <w:r w:rsidR="00CD08DA">
              <w:rPr>
                <w:noProof/>
                <w:webHidden/>
              </w:rPr>
              <w:tab/>
            </w:r>
            <w:r w:rsidR="00CD08DA">
              <w:rPr>
                <w:noProof/>
                <w:webHidden/>
              </w:rPr>
              <w:fldChar w:fldCharType="begin"/>
            </w:r>
            <w:r w:rsidR="00CD08DA">
              <w:rPr>
                <w:noProof/>
                <w:webHidden/>
              </w:rPr>
              <w:instrText xml:space="preserve"> PAGEREF _Toc1657817 \h </w:instrText>
            </w:r>
            <w:r w:rsidR="00CD08DA">
              <w:rPr>
                <w:noProof/>
                <w:webHidden/>
              </w:rPr>
            </w:r>
            <w:r w:rsidR="00CD08DA">
              <w:rPr>
                <w:noProof/>
                <w:webHidden/>
              </w:rPr>
              <w:fldChar w:fldCharType="separate"/>
            </w:r>
            <w:r w:rsidR="00CD08DA">
              <w:rPr>
                <w:noProof/>
                <w:webHidden/>
              </w:rPr>
              <w:t>32</w:t>
            </w:r>
            <w:r w:rsidR="00CD08DA">
              <w:rPr>
                <w:noProof/>
                <w:webHidden/>
              </w:rPr>
              <w:fldChar w:fldCharType="end"/>
            </w:r>
          </w:hyperlink>
        </w:p>
        <w:p w14:paraId="0467C40B" w14:textId="77777777" w:rsidR="00CD08DA" w:rsidRDefault="007F5353">
          <w:pPr>
            <w:pStyle w:val="Turinys3"/>
            <w:tabs>
              <w:tab w:val="right" w:leader="dot" w:pos="9628"/>
            </w:tabs>
            <w:rPr>
              <w:rFonts w:eastAsiaTheme="minorEastAsia"/>
              <w:noProof/>
              <w:lang w:eastAsia="lt-LT"/>
            </w:rPr>
          </w:pPr>
          <w:hyperlink w:anchor="_Toc1657818" w:history="1">
            <w:r w:rsidR="00CD08DA" w:rsidRPr="00F84BFB">
              <w:rPr>
                <w:rStyle w:val="Hipersaitas"/>
                <w:rFonts w:cstheme="minorHAnsi"/>
                <w:noProof/>
              </w:rPr>
              <w:t>Dėl neveikiančios bendrovės skolų perkėlimo akcininkui, kai įsigaliojus naujam reguliavimui pasikeitė įmonių likvidavimo tvarka</w:t>
            </w:r>
            <w:r w:rsidR="00CD08DA">
              <w:rPr>
                <w:noProof/>
                <w:webHidden/>
              </w:rPr>
              <w:tab/>
            </w:r>
            <w:r w:rsidR="00CD08DA">
              <w:rPr>
                <w:noProof/>
                <w:webHidden/>
              </w:rPr>
              <w:fldChar w:fldCharType="begin"/>
            </w:r>
            <w:r w:rsidR="00CD08DA">
              <w:rPr>
                <w:noProof/>
                <w:webHidden/>
              </w:rPr>
              <w:instrText xml:space="preserve"> PAGEREF _Toc1657818 \h </w:instrText>
            </w:r>
            <w:r w:rsidR="00CD08DA">
              <w:rPr>
                <w:noProof/>
                <w:webHidden/>
              </w:rPr>
            </w:r>
            <w:r w:rsidR="00CD08DA">
              <w:rPr>
                <w:noProof/>
                <w:webHidden/>
              </w:rPr>
              <w:fldChar w:fldCharType="separate"/>
            </w:r>
            <w:r w:rsidR="00CD08DA">
              <w:rPr>
                <w:noProof/>
                <w:webHidden/>
              </w:rPr>
              <w:t>32</w:t>
            </w:r>
            <w:r w:rsidR="00CD08DA">
              <w:rPr>
                <w:noProof/>
                <w:webHidden/>
              </w:rPr>
              <w:fldChar w:fldCharType="end"/>
            </w:r>
          </w:hyperlink>
        </w:p>
        <w:p w14:paraId="5F55C1A6" w14:textId="77777777" w:rsidR="00EE09AD" w:rsidRPr="00FA1A9F" w:rsidRDefault="00EE09AD" w:rsidP="009A1B99">
          <w:r w:rsidRPr="00FA1A9F">
            <w:rPr>
              <w:b/>
              <w:bCs/>
              <w:sz w:val="20"/>
              <w:szCs w:val="20"/>
            </w:rPr>
            <w:fldChar w:fldCharType="end"/>
          </w:r>
        </w:p>
      </w:sdtContent>
    </w:sdt>
    <w:p w14:paraId="77F2DB7D" w14:textId="5E0F1847" w:rsidR="00EE09AD" w:rsidRPr="00FA1A9F" w:rsidRDefault="00EE09AD" w:rsidP="009A1B99">
      <w:pPr>
        <w:spacing w:after="0" w:line="240" w:lineRule="auto"/>
        <w:jc w:val="both"/>
        <w:rPr>
          <w:rFonts w:eastAsia="Calibri" w:cs="Times New Roman"/>
          <w:b/>
          <w:highlight w:val="yellow"/>
        </w:rPr>
      </w:pPr>
      <w:r w:rsidRPr="00FA1A9F">
        <w:rPr>
          <w:rFonts w:eastAsia="Calibri" w:cs="Times New Roman"/>
          <w:b/>
          <w:highlight w:val="yellow"/>
        </w:rPr>
        <w:br w:type="page"/>
      </w:r>
    </w:p>
    <w:p w14:paraId="0E06471A" w14:textId="77777777" w:rsidR="00EE09AD" w:rsidRPr="00FD5803" w:rsidRDefault="00EE09AD" w:rsidP="009A1B99">
      <w:pPr>
        <w:pStyle w:val="Antrat1"/>
        <w:rPr>
          <w:szCs w:val="22"/>
        </w:rPr>
      </w:pPr>
      <w:bookmarkStart w:id="0" w:name="_Toc1657777"/>
      <w:r w:rsidRPr="00FD5803">
        <w:rPr>
          <w:szCs w:val="22"/>
        </w:rPr>
        <w:lastRenderedPageBreak/>
        <w:t>TEISĖ Į TEISINGĄ BYLOS NAGRINĖJIMĄ (6 straipsnis)</w:t>
      </w:r>
      <w:bookmarkEnd w:id="0"/>
    </w:p>
    <w:p w14:paraId="21E279F4" w14:textId="77777777" w:rsidR="00EE09AD" w:rsidRPr="00FD5803" w:rsidRDefault="00EE09AD" w:rsidP="009A1B99">
      <w:pPr>
        <w:spacing w:after="0" w:line="240" w:lineRule="auto"/>
        <w:rPr>
          <w:rFonts w:cs="Arial"/>
          <w:b/>
        </w:rPr>
      </w:pPr>
    </w:p>
    <w:p w14:paraId="4D6B8108" w14:textId="77777777" w:rsidR="00C22527" w:rsidRPr="00FD5803" w:rsidRDefault="00C22527" w:rsidP="009A1B99">
      <w:pPr>
        <w:spacing w:after="0" w:line="240" w:lineRule="auto"/>
        <w:jc w:val="center"/>
        <w:rPr>
          <w:rFonts w:cstheme="minorHAnsi"/>
          <w:b/>
        </w:rPr>
      </w:pPr>
      <w:bookmarkStart w:id="1" w:name="_Toc454808457"/>
      <w:r w:rsidRPr="00FD5803">
        <w:rPr>
          <w:rFonts w:cstheme="minorHAnsi"/>
          <w:b/>
        </w:rPr>
        <w:t>Europos Žmogaus Teisių Teismo 2018 m. rugpjūčio 28 d. sprendimas</w:t>
      </w:r>
    </w:p>
    <w:p w14:paraId="3041E0FB" w14:textId="77777777" w:rsidR="00C22527" w:rsidRPr="00FD5803" w:rsidRDefault="00C22527" w:rsidP="009A1B99">
      <w:pPr>
        <w:pStyle w:val="Antrat2"/>
        <w:ind w:firstLine="0"/>
        <w:jc w:val="center"/>
        <w:rPr>
          <w:rFonts w:eastAsia="Calibri"/>
          <w:i/>
        </w:rPr>
      </w:pPr>
      <w:bookmarkStart w:id="2" w:name="_Toc1657778"/>
      <w:r w:rsidRPr="00FD5803">
        <w:rPr>
          <w:rFonts w:eastAsia="Calibri"/>
          <w:i/>
        </w:rPr>
        <w:t>Vizgirda prieš Slovėniją</w:t>
      </w:r>
      <w:bookmarkEnd w:id="2"/>
    </w:p>
    <w:p w14:paraId="6A60C530" w14:textId="6434E41C" w:rsidR="00C22527" w:rsidRPr="00FD5803" w:rsidRDefault="00C22527" w:rsidP="009A1B99">
      <w:pPr>
        <w:spacing w:after="0" w:line="240" w:lineRule="auto"/>
        <w:jc w:val="center"/>
        <w:rPr>
          <w:rFonts w:cstheme="minorHAnsi"/>
          <w:b/>
        </w:rPr>
      </w:pPr>
      <w:r w:rsidRPr="00FD5803">
        <w:rPr>
          <w:rFonts w:cstheme="minorHAnsi"/>
          <w:b/>
        </w:rPr>
        <w:t>(pareiškimo Nr. 59868/08</w:t>
      </w:r>
      <w:r w:rsidR="0039456C" w:rsidRPr="00FD5803">
        <w:rPr>
          <w:rFonts w:cstheme="minorHAnsi"/>
          <w:b/>
        </w:rPr>
        <w:t xml:space="preserve">, , svarbos lygis – </w:t>
      </w:r>
      <w:r w:rsidR="009A1B99" w:rsidRPr="00FD5803">
        <w:rPr>
          <w:rFonts w:cstheme="minorHAnsi"/>
          <w:b/>
        </w:rPr>
        <w:t>skelbta Rinkinyje</w:t>
      </w:r>
      <w:r w:rsidRPr="00FD5803">
        <w:rPr>
          <w:rFonts w:cstheme="minorHAnsi"/>
          <w:b/>
        </w:rPr>
        <w:t>)</w:t>
      </w:r>
    </w:p>
    <w:p w14:paraId="1D79B1A2" w14:textId="77777777" w:rsidR="00C22527" w:rsidRPr="00FD5803" w:rsidRDefault="00C22527" w:rsidP="009A1B99">
      <w:pPr>
        <w:spacing w:after="0" w:line="240" w:lineRule="auto"/>
        <w:ind w:firstLine="720"/>
        <w:jc w:val="both"/>
        <w:rPr>
          <w:rFonts w:cstheme="minorHAnsi"/>
        </w:rPr>
      </w:pPr>
    </w:p>
    <w:p w14:paraId="60A05C9B" w14:textId="77777777" w:rsidR="00C22527" w:rsidRPr="00FD5803" w:rsidRDefault="00C22527" w:rsidP="009A1B99">
      <w:pPr>
        <w:pStyle w:val="Antrat3"/>
        <w:ind w:firstLine="567"/>
        <w:jc w:val="both"/>
        <w:rPr>
          <w:rFonts w:eastAsiaTheme="minorHAnsi" w:cstheme="minorHAnsi"/>
          <w:b/>
          <w:bCs/>
          <w:i w:val="0"/>
          <w:iCs/>
          <w:szCs w:val="22"/>
        </w:rPr>
      </w:pPr>
      <w:bookmarkStart w:id="3" w:name="_Toc1657779"/>
      <w:r w:rsidRPr="00FD5803">
        <w:rPr>
          <w:rFonts w:eastAsiaTheme="minorHAnsi" w:cstheme="minorHAnsi"/>
          <w:szCs w:val="22"/>
        </w:rPr>
        <w:t>Dėl pareigos įsitikinti, kad užsienietis moka atitinkamą kalbą prieš skiriant jam vertėją ir verčiant dokumentus bylos nagrinėjimo teisme metu</w:t>
      </w:r>
      <w:bookmarkEnd w:id="3"/>
    </w:p>
    <w:p w14:paraId="030D8E77" w14:textId="77777777" w:rsidR="00C22527" w:rsidRPr="00FD5803" w:rsidRDefault="00C22527" w:rsidP="009A1B99">
      <w:pPr>
        <w:spacing w:after="0" w:line="240" w:lineRule="auto"/>
        <w:ind w:firstLine="720"/>
        <w:jc w:val="both"/>
        <w:rPr>
          <w:rFonts w:cstheme="minorHAnsi"/>
        </w:rPr>
      </w:pPr>
    </w:p>
    <w:p w14:paraId="3A1F0AC7" w14:textId="77777777" w:rsidR="00C22527" w:rsidRPr="00FD5803" w:rsidRDefault="00C22527" w:rsidP="009A1B99">
      <w:pPr>
        <w:spacing w:after="0" w:line="240" w:lineRule="auto"/>
        <w:jc w:val="center"/>
        <w:rPr>
          <w:rFonts w:cstheme="minorHAnsi"/>
          <w:b/>
        </w:rPr>
      </w:pPr>
      <w:r w:rsidRPr="00FD5803">
        <w:rPr>
          <w:rFonts w:cstheme="minorHAnsi"/>
          <w:b/>
        </w:rPr>
        <w:t>Faktinės aplinkybės</w:t>
      </w:r>
    </w:p>
    <w:p w14:paraId="53ED39D4" w14:textId="77777777" w:rsidR="00C22527" w:rsidRPr="00FD5803" w:rsidRDefault="00C22527" w:rsidP="009A1B99">
      <w:pPr>
        <w:spacing w:after="0" w:line="240" w:lineRule="auto"/>
        <w:ind w:firstLine="720"/>
        <w:jc w:val="both"/>
        <w:rPr>
          <w:rFonts w:cstheme="minorHAnsi"/>
        </w:rPr>
      </w:pPr>
    </w:p>
    <w:p w14:paraId="4ED05A13" w14:textId="341E8B53" w:rsidR="00C22527" w:rsidRPr="00FD5803" w:rsidRDefault="00C22527" w:rsidP="009A1B99">
      <w:pPr>
        <w:spacing w:after="0" w:line="240" w:lineRule="auto"/>
        <w:ind w:firstLine="567"/>
        <w:jc w:val="both"/>
        <w:rPr>
          <w:rFonts w:cstheme="minorHAnsi"/>
        </w:rPr>
      </w:pPr>
      <w:r w:rsidRPr="00FD5803">
        <w:rPr>
          <w:rFonts w:cstheme="minorHAnsi"/>
        </w:rPr>
        <w:t>Pareiškėjas Danas Vizgirda buvo Lietuvos pilietis, gyvenantis Slovėnijoje. 2002 metais jis kartu su kitais asmenimis buvo sulaikytas</w:t>
      </w:r>
      <w:r w:rsidR="007F5353">
        <w:rPr>
          <w:rFonts w:cstheme="minorHAnsi"/>
        </w:rPr>
        <w:t xml:space="preserve">, įtariant jį apiplėšus </w:t>
      </w:r>
      <w:r w:rsidRPr="00FD5803">
        <w:rPr>
          <w:rFonts w:cstheme="minorHAnsi"/>
        </w:rPr>
        <w:t xml:space="preserve"> bank</w:t>
      </w:r>
      <w:r w:rsidR="007F5353">
        <w:rPr>
          <w:rFonts w:cstheme="minorHAnsi"/>
        </w:rPr>
        <w:t>ą</w:t>
      </w:r>
      <w:r w:rsidRPr="00FD5803">
        <w:rPr>
          <w:rFonts w:cstheme="minorHAnsi"/>
        </w:rPr>
        <w:t xml:space="preserve">. Viso teismo proceso metu jam buvo skirtas vertėjas į rusų kalbą, dokumentai </w:t>
      </w:r>
      <w:r w:rsidR="007E5A0D">
        <w:rPr>
          <w:rFonts w:cstheme="minorHAnsi"/>
        </w:rPr>
        <w:t xml:space="preserve">taip pat </w:t>
      </w:r>
      <w:r w:rsidRPr="00FD5803">
        <w:rPr>
          <w:rFonts w:cstheme="minorHAnsi"/>
        </w:rPr>
        <w:t xml:space="preserve">buvo </w:t>
      </w:r>
      <w:r w:rsidR="007E5A0D">
        <w:rPr>
          <w:rFonts w:cstheme="minorHAnsi"/>
        </w:rPr>
        <w:t>verčiami</w:t>
      </w:r>
      <w:r w:rsidRPr="00FD5803">
        <w:rPr>
          <w:rFonts w:cstheme="minorHAnsi"/>
        </w:rPr>
        <w:t xml:space="preserve"> į rusų kalb</w:t>
      </w:r>
      <w:r w:rsidR="00CC6657">
        <w:rPr>
          <w:rFonts w:cstheme="minorHAnsi"/>
        </w:rPr>
        <w:t>ą</w:t>
      </w:r>
      <w:r w:rsidRPr="00FD5803">
        <w:rPr>
          <w:rFonts w:cstheme="minorHAnsi"/>
        </w:rPr>
        <w:t>. 2002 metais jis buvo nuteistas kalėti 8 metams ir keturiems mėnesiams. Jo apeliacinis skundas buvo atmestas.</w:t>
      </w:r>
    </w:p>
    <w:p w14:paraId="2A1C5F80" w14:textId="31C16921" w:rsidR="00C22527" w:rsidRPr="00FD5803" w:rsidRDefault="00C22527" w:rsidP="009A1B99">
      <w:pPr>
        <w:spacing w:after="0" w:line="240" w:lineRule="auto"/>
        <w:ind w:firstLine="567"/>
        <w:jc w:val="both"/>
        <w:rPr>
          <w:rFonts w:cstheme="minorHAnsi"/>
        </w:rPr>
      </w:pPr>
      <w:r w:rsidRPr="00FD5803">
        <w:rPr>
          <w:rFonts w:cstheme="minorHAnsi"/>
        </w:rPr>
        <w:t xml:space="preserve">2003 metais </w:t>
      </w:r>
      <w:r w:rsidR="007F5353" w:rsidRPr="00FD5803">
        <w:rPr>
          <w:rFonts w:cstheme="minorHAnsi"/>
        </w:rPr>
        <w:t xml:space="preserve">Danas Vizgirda </w:t>
      </w:r>
      <w:r w:rsidRPr="00FD5803">
        <w:rPr>
          <w:rFonts w:cstheme="minorHAnsi"/>
        </w:rPr>
        <w:t>pateikė skundus nacionaliniams teismams, kuriuose, be kita ko, teigė, kad jis gerai nemokėjo rusų kalbos (pirmosios instancijos teismas ignoravo šią jo nurodytą aplinkybę) ir kad buvo pažeista jo teisė baudžiamojo proceso metu naudoti savo gimtąją kalbą. Šie jo skundai galiausiai buvo atmesti tiek Aukščiausiojo teismo, tiek Konstitucinio teismo</w:t>
      </w:r>
      <w:r w:rsidR="007F5353">
        <w:rPr>
          <w:rFonts w:cstheme="minorHAnsi"/>
        </w:rPr>
        <w:t xml:space="preserve"> </w:t>
      </w:r>
      <w:r w:rsidRPr="00FD5803">
        <w:rPr>
          <w:rFonts w:cstheme="minorHAnsi"/>
        </w:rPr>
        <w:t>konstatavus, kad proceso metu jis nesiskundė dėl to, kad nesuprato rusų kalbos.</w:t>
      </w:r>
    </w:p>
    <w:p w14:paraId="1D8867C0" w14:textId="5CA7BF6D" w:rsidR="00C22527" w:rsidRPr="00FD5803" w:rsidRDefault="00C22527" w:rsidP="009A1B99">
      <w:pPr>
        <w:spacing w:after="0" w:line="240" w:lineRule="auto"/>
        <w:ind w:firstLine="567"/>
        <w:jc w:val="both"/>
        <w:rPr>
          <w:rFonts w:cstheme="minorHAnsi"/>
        </w:rPr>
      </w:pPr>
      <w:r w:rsidRPr="00FD5803">
        <w:rPr>
          <w:rFonts w:cstheme="minorHAnsi"/>
        </w:rPr>
        <w:t>Teismui pateiktame pareiškime, be kita ko, remdamasis Konvencijos 6 straipsniu (teisė į teisingą teismą), pareiškėjas teigė, kad jo teisė į teisingą teismą nebuvo užtikrinta, nes jis nesuprato proceso kalbos ir vertimo.</w:t>
      </w:r>
    </w:p>
    <w:p w14:paraId="1500F7B6" w14:textId="77777777" w:rsidR="00C22527" w:rsidRPr="00FD5803" w:rsidRDefault="00C22527" w:rsidP="009A1B99">
      <w:pPr>
        <w:spacing w:after="0" w:line="240" w:lineRule="auto"/>
        <w:ind w:firstLine="720"/>
        <w:jc w:val="both"/>
        <w:rPr>
          <w:rFonts w:cstheme="minorHAnsi"/>
        </w:rPr>
      </w:pPr>
    </w:p>
    <w:p w14:paraId="612BB51E" w14:textId="77777777" w:rsidR="00C22527" w:rsidRPr="00FD5803" w:rsidRDefault="00C22527" w:rsidP="009A1B99">
      <w:pPr>
        <w:spacing w:after="0" w:line="240" w:lineRule="auto"/>
        <w:jc w:val="center"/>
        <w:rPr>
          <w:rFonts w:cstheme="minorHAnsi"/>
          <w:b/>
        </w:rPr>
      </w:pPr>
      <w:r w:rsidRPr="00FD5803">
        <w:rPr>
          <w:rFonts w:cstheme="minorHAnsi"/>
          <w:b/>
        </w:rPr>
        <w:t>Neoficiali Teismo sprendimo apžvalga</w:t>
      </w:r>
    </w:p>
    <w:p w14:paraId="64D01BFC" w14:textId="77777777" w:rsidR="00C22527" w:rsidRPr="00FD5803" w:rsidRDefault="00C22527" w:rsidP="009A1B99">
      <w:pPr>
        <w:spacing w:after="0" w:line="240" w:lineRule="auto"/>
        <w:ind w:firstLine="720"/>
        <w:jc w:val="both"/>
        <w:rPr>
          <w:rFonts w:cstheme="minorHAnsi"/>
        </w:rPr>
      </w:pPr>
    </w:p>
    <w:p w14:paraId="1ECE7574" w14:textId="300A0F00" w:rsidR="00C22527" w:rsidRPr="00FD5803" w:rsidRDefault="00C22527" w:rsidP="009A1B99">
      <w:pPr>
        <w:spacing w:after="0" w:line="240" w:lineRule="auto"/>
        <w:ind w:firstLine="567"/>
        <w:jc w:val="both"/>
        <w:rPr>
          <w:rFonts w:cstheme="minorHAnsi"/>
        </w:rPr>
      </w:pPr>
      <w:r w:rsidRPr="00FD5803">
        <w:rPr>
          <w:rFonts w:cstheme="minorHAnsi"/>
        </w:rPr>
        <w:t>Nustatyta, kad Slovėnijos institucijo</w:t>
      </w:r>
      <w:r w:rsidR="007F5353">
        <w:rPr>
          <w:rFonts w:cstheme="minorHAnsi"/>
        </w:rPr>
        <w:t>s žinojo</w:t>
      </w:r>
      <w:r w:rsidRPr="00FD5803">
        <w:rPr>
          <w:rFonts w:cstheme="minorHAnsi"/>
        </w:rPr>
        <w:t xml:space="preserve">, kad pareiškėjas nemoka </w:t>
      </w:r>
      <w:proofErr w:type="spellStart"/>
      <w:r w:rsidRPr="00FD5803">
        <w:rPr>
          <w:rFonts w:cstheme="minorHAnsi"/>
        </w:rPr>
        <w:t>slovėniškai</w:t>
      </w:r>
      <w:proofErr w:type="spellEnd"/>
      <w:r w:rsidRPr="00FD5803">
        <w:rPr>
          <w:rFonts w:cstheme="minorHAnsi"/>
        </w:rPr>
        <w:t xml:space="preserve">, todėl </w:t>
      </w:r>
      <w:r w:rsidR="007F5353">
        <w:rPr>
          <w:rFonts w:cstheme="minorHAnsi"/>
        </w:rPr>
        <w:t>buvo skirtas</w:t>
      </w:r>
      <w:r w:rsidRPr="00FD5803">
        <w:rPr>
          <w:rFonts w:cstheme="minorHAnsi"/>
        </w:rPr>
        <w:t xml:space="preserve"> rusų kalbos vertėj</w:t>
      </w:r>
      <w:r w:rsidR="007F5353">
        <w:rPr>
          <w:rFonts w:cstheme="minorHAnsi"/>
        </w:rPr>
        <w:t>as</w:t>
      </w:r>
      <w:r w:rsidRPr="00FD5803">
        <w:rPr>
          <w:rFonts w:cstheme="minorHAnsi"/>
        </w:rPr>
        <w:t xml:space="preserve"> ir dokument</w:t>
      </w:r>
      <w:r w:rsidR="007F5353">
        <w:rPr>
          <w:rFonts w:cstheme="minorHAnsi"/>
        </w:rPr>
        <w:t>ai</w:t>
      </w:r>
      <w:r w:rsidRPr="00FD5803">
        <w:rPr>
          <w:rFonts w:cstheme="minorHAnsi"/>
        </w:rPr>
        <w:t xml:space="preserve"> teik</w:t>
      </w:r>
      <w:r w:rsidR="007F5353">
        <w:rPr>
          <w:rFonts w:cstheme="minorHAnsi"/>
        </w:rPr>
        <w:t>ti</w:t>
      </w:r>
      <w:r w:rsidRPr="00FD5803">
        <w:rPr>
          <w:rFonts w:cstheme="minorHAnsi"/>
        </w:rPr>
        <w:t xml:space="preserve"> išverst</w:t>
      </w:r>
      <w:r w:rsidR="007F5353">
        <w:rPr>
          <w:rFonts w:cstheme="minorHAnsi"/>
        </w:rPr>
        <w:t>i</w:t>
      </w:r>
      <w:r w:rsidRPr="00FD5803">
        <w:rPr>
          <w:rFonts w:cstheme="minorHAnsi"/>
        </w:rPr>
        <w:t xml:space="preserve"> į rusų kalbą. Tačiau Teismui nebuvo pateikta jokios informacijos apie tai, kad valdžios institucijos apskritai teiravosi pareiškėjo, ar jis supranta rusų kalbą pakankamai gerai, kad galėt</w:t>
      </w:r>
      <w:r w:rsidR="0039456C" w:rsidRPr="00FD5803">
        <w:rPr>
          <w:rFonts w:cstheme="minorHAnsi"/>
        </w:rPr>
        <w:t>ų</w:t>
      </w:r>
      <w:r w:rsidRPr="00FD5803">
        <w:rPr>
          <w:rFonts w:cstheme="minorHAnsi"/>
        </w:rPr>
        <w:t xml:space="preserve"> tinkamai apsiginti naudodamas šią kalbą.</w:t>
      </w:r>
    </w:p>
    <w:p w14:paraId="717CB3FC" w14:textId="72E54F71" w:rsidR="00C22527" w:rsidRPr="00FD5803" w:rsidRDefault="00C22527" w:rsidP="009A1B99">
      <w:pPr>
        <w:spacing w:after="0" w:line="240" w:lineRule="auto"/>
        <w:ind w:firstLine="567"/>
        <w:jc w:val="both"/>
        <w:rPr>
          <w:rFonts w:cstheme="minorHAnsi"/>
        </w:rPr>
      </w:pPr>
      <w:r w:rsidRPr="00FD5803">
        <w:rPr>
          <w:rFonts w:cstheme="minorHAnsi"/>
        </w:rPr>
        <w:t xml:space="preserve">Teismas netinkamais pripažino Slovėnijos vyriausybės argumentus, pagrįstus bendra prielaida, kad rusų kalba buvo plačiai naudojama Lietuvoje; Slovėnijos vyriausybė nepateikė jokių </w:t>
      </w:r>
      <w:r w:rsidR="007F5353">
        <w:rPr>
          <w:rFonts w:cstheme="minorHAnsi"/>
        </w:rPr>
        <w:t>įtikinamų</w:t>
      </w:r>
      <w:r w:rsidRPr="00FD5803">
        <w:rPr>
          <w:rFonts w:cstheme="minorHAnsi"/>
        </w:rPr>
        <w:t xml:space="preserve"> argumentų dėl to, kodėl, skirdamos vertėją, institucijos galėjo pagrįstai manyti, jog pareiškėjas pakankamai gerai suprato rusų kalbą. Institucijos privalėjo įsitikinti pareiškėjo rusų kalbos gebėjimais prieš pasirinkdamos naudoti šią kalbą. Vien bazinės tam tikros kalbos žinios nepaneigia pareigos užtikrinti, kad asmeniui būtų verčiama į tą kalbą, kurią jis moka (supranta) pakankamai gerai, kad galėtų tinkamai apsiginti. Teismas atkreipė dėmesį į tai, kad byloje nebuvo jokių garso įrašų, kuriuose pareiškėjas būtų šnekėjęs rusų kalba proceso metu; nacionalinių teismų vertinimai dėl pareiškėjo kalbos mokėjimo nebuvo pagrįsti jokiomis byloje nustatytomis faktinėmis aplinkybėmis.</w:t>
      </w:r>
    </w:p>
    <w:p w14:paraId="5811CA60" w14:textId="72A34663" w:rsidR="00C22527" w:rsidRPr="00FD5803" w:rsidRDefault="00C22527" w:rsidP="009A1B99">
      <w:pPr>
        <w:spacing w:after="0" w:line="240" w:lineRule="auto"/>
        <w:ind w:firstLine="567"/>
        <w:jc w:val="both"/>
        <w:rPr>
          <w:rFonts w:cstheme="minorHAnsi"/>
        </w:rPr>
      </w:pPr>
      <w:r w:rsidRPr="00FD5803">
        <w:rPr>
          <w:rFonts w:cstheme="minorHAnsi"/>
        </w:rPr>
        <w:t xml:space="preserve">Slovėnijos vyriausybės argumentas, kad nei pareiškėjas, nei jo atstovas (advokatas) baudžiamojo proceso metu nesiskundė dėl rusų kalbos naudojimo, pripažintas nereikšmingu akcentavus, kad institucijos niekada neinformavo pareiškėjo apie jo teisę prašyti, kad būtų verčiama į jo gimtąją kalbą. </w:t>
      </w:r>
      <w:r w:rsidR="007F5353">
        <w:rPr>
          <w:rFonts w:cstheme="minorHAnsi"/>
        </w:rPr>
        <w:t>Būtent t</w:t>
      </w:r>
      <w:r w:rsidRPr="00FD5803">
        <w:rPr>
          <w:rFonts w:cstheme="minorHAnsi"/>
        </w:rPr>
        <w:t>ai, taip pat bazinės rusų kalbos žinios ir aplinkybė, kad pareiškėjas buvo pažeidžiamas</w:t>
      </w:r>
      <w:r w:rsidR="007F5353">
        <w:rPr>
          <w:rFonts w:cstheme="minorHAnsi"/>
        </w:rPr>
        <w:t xml:space="preserve"> kaip</w:t>
      </w:r>
      <w:r w:rsidRPr="00FD5803">
        <w:rPr>
          <w:rFonts w:cstheme="minorHAnsi"/>
        </w:rPr>
        <w:t xml:space="preserve"> užsienietis, kaltinamas padaręs nusikaltimą, galėjo paaiškinti</w:t>
      </w:r>
      <w:r w:rsidR="007F5353">
        <w:rPr>
          <w:rFonts w:cstheme="minorHAnsi"/>
        </w:rPr>
        <w:t xml:space="preserve">, kodėl </w:t>
      </w:r>
      <w:r w:rsidRPr="00FD5803">
        <w:rPr>
          <w:rFonts w:cstheme="minorHAnsi"/>
        </w:rPr>
        <w:t>jis nesiskundė dėl vertimo į rusų kalbą. Tai, kad jam skirtas advokatas taip pat nekėlė klausimo dėl vertimo, nepaneigė nacionalinio teismo pareigos imtis aktyvių veiksmų šį klausimą išspręsti tinkamai.</w:t>
      </w:r>
    </w:p>
    <w:p w14:paraId="3D8D9A38" w14:textId="77777777" w:rsidR="00C22527" w:rsidRPr="00FD5803" w:rsidRDefault="00C22527" w:rsidP="009A1B99">
      <w:pPr>
        <w:spacing w:after="0" w:line="240" w:lineRule="auto"/>
        <w:ind w:firstLine="720"/>
        <w:jc w:val="both"/>
        <w:rPr>
          <w:rFonts w:cstheme="minorHAnsi"/>
        </w:rPr>
      </w:pPr>
    </w:p>
    <w:p w14:paraId="7C622BE9" w14:textId="4AA0E61D" w:rsidR="00C22527" w:rsidRPr="00FD5803" w:rsidRDefault="00C22527" w:rsidP="009A1B99">
      <w:pPr>
        <w:spacing w:after="0" w:line="240" w:lineRule="auto"/>
        <w:ind w:firstLine="567"/>
        <w:jc w:val="both"/>
        <w:rPr>
          <w:rFonts w:cstheme="minorHAnsi"/>
        </w:rPr>
      </w:pPr>
      <w:r w:rsidRPr="00FD5803">
        <w:rPr>
          <w:rFonts w:cstheme="minorHAnsi"/>
        </w:rPr>
        <w:t xml:space="preserve">Išvada: </w:t>
      </w:r>
      <w:r w:rsidR="00FC2D08" w:rsidRPr="00FD5803">
        <w:rPr>
          <w:rFonts w:cstheme="minorHAnsi"/>
        </w:rPr>
        <w:t xml:space="preserve">nustatytas </w:t>
      </w:r>
      <w:r w:rsidRPr="00FD5803">
        <w:rPr>
          <w:rFonts w:cstheme="minorHAnsi"/>
        </w:rPr>
        <w:t>Konvencijos 6 straipsnio pažeidimas</w:t>
      </w:r>
      <w:r w:rsidR="0039456C" w:rsidRPr="00FD5803">
        <w:rPr>
          <w:rFonts w:cstheme="minorHAnsi"/>
        </w:rPr>
        <w:t xml:space="preserve"> (5 balsai prieš 2)</w:t>
      </w:r>
      <w:r w:rsidRPr="00FD5803">
        <w:rPr>
          <w:rFonts w:cstheme="minorHAnsi"/>
        </w:rPr>
        <w:t xml:space="preserve"> (yra atskiroji nuomonė).</w:t>
      </w:r>
    </w:p>
    <w:p w14:paraId="5D3B741E" w14:textId="1284F776" w:rsidR="00C22527" w:rsidRPr="00FD5803" w:rsidRDefault="00C22527" w:rsidP="009A1B99">
      <w:pPr>
        <w:spacing w:after="0" w:line="240" w:lineRule="auto"/>
        <w:ind w:firstLine="567"/>
        <w:jc w:val="both"/>
        <w:rPr>
          <w:rFonts w:cstheme="minorHAnsi"/>
        </w:rPr>
      </w:pPr>
      <w:r w:rsidRPr="00FD5803">
        <w:rPr>
          <w:rFonts w:cstheme="minorHAnsi"/>
        </w:rPr>
        <w:t>41 straipsnis: priteista 6</w:t>
      </w:r>
      <w:r w:rsidR="0039456C" w:rsidRPr="00FD5803">
        <w:rPr>
          <w:rFonts w:cstheme="minorHAnsi"/>
        </w:rPr>
        <w:t xml:space="preserve"> </w:t>
      </w:r>
      <w:r w:rsidRPr="00FD5803">
        <w:rPr>
          <w:rFonts w:cstheme="minorHAnsi"/>
        </w:rPr>
        <w:t>400 Eur neturtinei žalai atlyginti.</w:t>
      </w:r>
    </w:p>
    <w:p w14:paraId="4CE28115" w14:textId="77777777" w:rsidR="00C22527" w:rsidRPr="00FD5803" w:rsidRDefault="007F5353" w:rsidP="009A1B99">
      <w:pPr>
        <w:spacing w:after="0" w:line="240" w:lineRule="auto"/>
        <w:ind w:firstLine="567"/>
        <w:jc w:val="both"/>
        <w:rPr>
          <w:rFonts w:cstheme="minorHAnsi"/>
        </w:rPr>
      </w:pPr>
      <w:hyperlink r:id="rId9" w:history="1">
        <w:r w:rsidR="00C22527" w:rsidRPr="00FD5803">
          <w:rPr>
            <w:rStyle w:val="Hipersaitas"/>
            <w:rFonts w:cstheme="minorHAnsi"/>
          </w:rPr>
          <w:t>Prieiga internete</w:t>
        </w:r>
      </w:hyperlink>
    </w:p>
    <w:p w14:paraId="43CFA4D4" w14:textId="77777777" w:rsidR="00C22527" w:rsidRPr="00FD5803" w:rsidRDefault="00C22527" w:rsidP="009A1B99">
      <w:pPr>
        <w:spacing w:after="0" w:line="240" w:lineRule="auto"/>
        <w:jc w:val="center"/>
        <w:rPr>
          <w:rFonts w:cstheme="minorHAnsi"/>
          <w:b/>
        </w:rPr>
      </w:pPr>
    </w:p>
    <w:p w14:paraId="086D4063" w14:textId="77777777" w:rsidR="00E0534B" w:rsidRPr="00FD5803" w:rsidRDefault="00E0534B" w:rsidP="009A1B99">
      <w:pPr>
        <w:spacing w:after="0" w:line="240" w:lineRule="auto"/>
        <w:jc w:val="center"/>
        <w:rPr>
          <w:rFonts w:cstheme="minorHAnsi"/>
          <w:b/>
        </w:rPr>
      </w:pPr>
      <w:r w:rsidRPr="00FD5803">
        <w:rPr>
          <w:rFonts w:cstheme="minorHAnsi"/>
          <w:b/>
        </w:rPr>
        <w:t>Europos Žmogaus Teisių Teismo 2018 m. rugsėjo 25 d. didžiosios kolegijos sprendimas byloje</w:t>
      </w:r>
    </w:p>
    <w:p w14:paraId="624BD906" w14:textId="77777777" w:rsidR="00E0534B" w:rsidRPr="00FD5803" w:rsidRDefault="00E0534B" w:rsidP="009A1B99">
      <w:pPr>
        <w:pStyle w:val="Antrat2"/>
        <w:ind w:firstLine="0"/>
        <w:jc w:val="center"/>
        <w:rPr>
          <w:rFonts w:eastAsia="Calibri"/>
          <w:i/>
        </w:rPr>
      </w:pPr>
      <w:bookmarkStart w:id="4" w:name="_Toc1657780"/>
      <w:r w:rsidRPr="00FD5803">
        <w:rPr>
          <w:rFonts w:eastAsia="Calibri"/>
          <w:i/>
        </w:rPr>
        <w:lastRenderedPageBreak/>
        <w:t>Denisov prieš Ukrainą</w:t>
      </w:r>
      <w:bookmarkEnd w:id="4"/>
    </w:p>
    <w:p w14:paraId="12D1AAD3" w14:textId="77777777" w:rsidR="00E0534B" w:rsidRPr="00FD5803" w:rsidRDefault="00E0534B" w:rsidP="009A1B99">
      <w:pPr>
        <w:spacing w:after="0" w:line="240" w:lineRule="auto"/>
        <w:jc w:val="center"/>
        <w:rPr>
          <w:rFonts w:cstheme="minorHAnsi"/>
          <w:b/>
        </w:rPr>
      </w:pPr>
      <w:r w:rsidRPr="00FD5803">
        <w:rPr>
          <w:rFonts w:cstheme="minorHAnsi"/>
          <w:b/>
        </w:rPr>
        <w:t>(pareiškimo Nr. 76639/11, svarbos lygis – 2)</w:t>
      </w:r>
    </w:p>
    <w:p w14:paraId="10932CDC" w14:textId="77777777" w:rsidR="00E0534B" w:rsidRPr="00FD5803" w:rsidRDefault="00E0534B" w:rsidP="009A1B99">
      <w:pPr>
        <w:spacing w:after="0" w:line="240" w:lineRule="auto"/>
        <w:jc w:val="center"/>
        <w:rPr>
          <w:rFonts w:cstheme="minorHAnsi"/>
        </w:rPr>
      </w:pPr>
    </w:p>
    <w:p w14:paraId="792C9CFB" w14:textId="77777777" w:rsidR="00E0534B" w:rsidRPr="00FD5803" w:rsidRDefault="00E0534B" w:rsidP="009A1B99">
      <w:pPr>
        <w:pStyle w:val="Antrat3"/>
        <w:spacing w:before="0" w:line="240" w:lineRule="auto"/>
        <w:ind w:firstLine="567"/>
        <w:jc w:val="both"/>
        <w:rPr>
          <w:rFonts w:cstheme="minorHAnsi"/>
          <w:szCs w:val="22"/>
          <w:shd w:val="clear" w:color="auto" w:fill="FFFFFF"/>
          <w:lang w:eastAsia="lt-LT"/>
        </w:rPr>
      </w:pPr>
      <w:bookmarkStart w:id="5" w:name="_Toc526931860"/>
      <w:bookmarkStart w:id="6" w:name="_Toc527116503"/>
      <w:bookmarkStart w:id="7" w:name="_Toc1657781"/>
      <w:r w:rsidRPr="00FD5803">
        <w:rPr>
          <w:rFonts w:cstheme="minorHAnsi"/>
          <w:szCs w:val="22"/>
          <w:shd w:val="clear" w:color="auto" w:fill="FFFFFF"/>
          <w:lang w:eastAsia="lt-LT"/>
        </w:rPr>
        <w:t>Dėl teisėjo atleidimo iš teismo pirmininko pareigų</w:t>
      </w:r>
      <w:bookmarkEnd w:id="5"/>
      <w:bookmarkEnd w:id="6"/>
      <w:r w:rsidRPr="00FD5803">
        <w:rPr>
          <w:rFonts w:cstheme="minorHAnsi"/>
          <w:szCs w:val="22"/>
          <w:shd w:val="clear" w:color="auto" w:fill="FFFFFF"/>
          <w:lang w:eastAsia="lt-LT"/>
        </w:rPr>
        <w:t xml:space="preserve"> už netinkamą administracinių funkcijų vykdymą</w:t>
      </w:r>
      <w:bookmarkEnd w:id="7"/>
    </w:p>
    <w:p w14:paraId="3F8F37B4" w14:textId="77777777" w:rsidR="00E0534B" w:rsidRPr="00FD5803" w:rsidRDefault="00E0534B" w:rsidP="009A1B99">
      <w:pPr>
        <w:spacing w:after="0" w:line="240" w:lineRule="auto"/>
        <w:ind w:firstLine="540"/>
        <w:jc w:val="both"/>
        <w:rPr>
          <w:rFonts w:cstheme="minorHAnsi"/>
        </w:rPr>
      </w:pPr>
    </w:p>
    <w:p w14:paraId="7458CB3B" w14:textId="77777777" w:rsidR="00E0534B" w:rsidRPr="00FD5803" w:rsidRDefault="00E0534B" w:rsidP="009A1B99">
      <w:pPr>
        <w:spacing w:after="0" w:line="240" w:lineRule="auto"/>
        <w:jc w:val="center"/>
        <w:rPr>
          <w:rFonts w:cstheme="minorHAnsi"/>
          <w:b/>
        </w:rPr>
      </w:pPr>
      <w:r w:rsidRPr="00FD5803">
        <w:rPr>
          <w:rFonts w:cstheme="minorHAnsi"/>
          <w:b/>
        </w:rPr>
        <w:t>Faktinės aplinkybės</w:t>
      </w:r>
    </w:p>
    <w:p w14:paraId="0D798448" w14:textId="77777777" w:rsidR="00E0534B" w:rsidRPr="00FD5803" w:rsidRDefault="00E0534B" w:rsidP="009A1B99">
      <w:pPr>
        <w:spacing w:after="0" w:line="240" w:lineRule="auto"/>
        <w:ind w:firstLine="540"/>
        <w:jc w:val="center"/>
        <w:rPr>
          <w:rFonts w:cstheme="minorHAnsi"/>
          <w:b/>
        </w:rPr>
      </w:pPr>
    </w:p>
    <w:p w14:paraId="09D47CBA" w14:textId="77777777" w:rsidR="00E0534B" w:rsidRPr="00FD5803" w:rsidRDefault="00E0534B" w:rsidP="009A1B99">
      <w:pPr>
        <w:spacing w:after="0" w:line="240" w:lineRule="auto"/>
        <w:ind w:firstLine="567"/>
        <w:jc w:val="both"/>
        <w:rPr>
          <w:rFonts w:cstheme="minorHAnsi"/>
        </w:rPr>
      </w:pPr>
      <w:r w:rsidRPr="00FD5803">
        <w:rPr>
          <w:rFonts w:cstheme="minorHAnsi"/>
        </w:rPr>
        <w:t>Pareiškėjas, Ukrainos pilietis, nuo 1976 metų dirbo teisėju ir per savo karjerą keletą kartų buvo paskirtas įvairių teismų pirmininku. 2005 m. gruodžio 22 d. pareiškėjas buvo paskirtas Kijevo administracinio apeliacinio teismo teisėju, nuo 2006 m. lapkričio 10 d. laikinai ėjo šio teismo pirmininko pareigas, o 2009 m. vasario 6 d. buvo paskirtas šio teismo pirmininku penkerių metų kadencijai.</w:t>
      </w:r>
    </w:p>
    <w:p w14:paraId="37C19262" w14:textId="77777777" w:rsidR="00E0534B" w:rsidRPr="00FD5803" w:rsidRDefault="00E0534B" w:rsidP="009A1B99">
      <w:pPr>
        <w:spacing w:after="0" w:line="240" w:lineRule="auto"/>
        <w:ind w:firstLine="567"/>
        <w:jc w:val="both"/>
        <w:rPr>
          <w:rFonts w:cstheme="minorHAnsi"/>
        </w:rPr>
      </w:pPr>
      <w:r w:rsidRPr="00FD5803">
        <w:rPr>
          <w:rFonts w:cstheme="minorHAnsi"/>
        </w:rPr>
        <w:t>2011 m. vasario mėn. Administracinių teismų teisėjų taryba (Ukrainos teismų savivaldos institucija) nusprendė, be kita ko, patikrinti Kijevo administracinio apeliacinio teismo veiklą, patikrinimas apėmė laikotarpį nuo 2009 metų. 2011 m. gegužės 24 d. Administracinių teismų teisėjų taryba, remdamasi šio patikrinimo rezultatais, pasiūlė Aukščiausiajai teisingumo tarybai (Ukrainos drausminė teisėjų institucija) atleisti pareiškėją iš teismo pirmininko pareigų dėl nesugebėjimo tinkamai vykdyti administracines pareigas.</w:t>
      </w:r>
    </w:p>
    <w:p w14:paraId="181996E4" w14:textId="77777777" w:rsidR="00E0534B" w:rsidRPr="00FD5803" w:rsidRDefault="00E0534B" w:rsidP="009A1B99">
      <w:pPr>
        <w:spacing w:after="0" w:line="240" w:lineRule="auto"/>
        <w:ind w:firstLine="567"/>
        <w:jc w:val="both"/>
        <w:rPr>
          <w:rFonts w:cstheme="minorHAnsi"/>
        </w:rPr>
      </w:pPr>
      <w:r w:rsidRPr="00FD5803">
        <w:rPr>
          <w:rFonts w:cstheme="minorHAnsi"/>
        </w:rPr>
        <w:t>2011 m. birželio mėn. Aukščiausioji teisingumo taryba išnagrinėjo pareiškėjo atleidimo iš teismo pirmininko pareigų klausimą jam nedalyvaujant ir pareiškėjas buvo atleistas iš teismo pirmininko pareigų, konstatavus, kad jis netinkamai organizavo teismo darbą, jam trūko planavimo ir valdymo įgūdžių, buvo neefektyviai valdomi žmogiškieji ištekliai. Tačiau pareiškėjas liko toliau eiti teisėjo pareigas tame pačiame teisme.</w:t>
      </w:r>
    </w:p>
    <w:p w14:paraId="28BE61C6" w14:textId="77777777" w:rsidR="00E0534B" w:rsidRPr="00FD5803" w:rsidRDefault="00E0534B" w:rsidP="009A1B99">
      <w:pPr>
        <w:spacing w:after="0" w:line="240" w:lineRule="auto"/>
        <w:ind w:firstLine="567"/>
        <w:jc w:val="both"/>
        <w:rPr>
          <w:rFonts w:cstheme="minorHAnsi"/>
        </w:rPr>
      </w:pPr>
      <w:r w:rsidRPr="00FD5803">
        <w:rPr>
          <w:rFonts w:cstheme="minorHAnsi"/>
        </w:rPr>
        <w:t>Pareiškėjas minėtą sprendimą apskundė Aukščiausiajam administraciniam teismui, be kita ko, argumentuodamas tuo, jog Aukščiausiajai teisingumo tarybai sprendžiant jo atleidimo iš teismo pirmininko pareigų klausimą buvo pažeisti nepriklausomumo ir nešališkumo reikalavimai. Tačiau pareiškėjo skundas buvo atmestas.</w:t>
      </w:r>
    </w:p>
    <w:p w14:paraId="2AB9C492" w14:textId="77777777" w:rsidR="00E0534B" w:rsidRPr="00FD5803" w:rsidRDefault="00E0534B" w:rsidP="009A1B99">
      <w:pPr>
        <w:spacing w:after="0" w:line="240" w:lineRule="auto"/>
        <w:ind w:firstLine="567"/>
        <w:jc w:val="both"/>
        <w:rPr>
          <w:rFonts w:cstheme="minorHAnsi"/>
        </w:rPr>
      </w:pPr>
      <w:r w:rsidRPr="00FD5803">
        <w:rPr>
          <w:rFonts w:cstheme="minorHAnsi"/>
        </w:rPr>
        <w:t>Remdamasis Konvencijos 6 straipsnio 1 dalimi, pareiškėjas skundėsi, kad buvo pažeista jo teisė į teisingą teismą, kadangi tiek Aukščiausioje teisingumo taryboje, tiek Aukščiausiajame administraciniame teisme nebuvo užtikrintas nepriklausomumo ir nešališkumo reikalavimų laikymasis, jo byla nebuvo tinkamai išnagrinėta.</w:t>
      </w:r>
    </w:p>
    <w:p w14:paraId="33B6CE23" w14:textId="77777777" w:rsidR="00E0534B" w:rsidRPr="00FD5803" w:rsidRDefault="00E0534B" w:rsidP="009A1B99">
      <w:pPr>
        <w:spacing w:after="0" w:line="240" w:lineRule="auto"/>
        <w:ind w:firstLine="567"/>
        <w:jc w:val="both"/>
        <w:rPr>
          <w:rFonts w:cstheme="minorHAnsi"/>
        </w:rPr>
      </w:pPr>
      <w:r w:rsidRPr="00FD5803">
        <w:rPr>
          <w:rFonts w:cstheme="minorHAnsi"/>
        </w:rPr>
        <w:t>Be to, pareiškėjas skundėsi, kad jo atleidimas iš teismo pirmininko pareigų laikytinas neteisėtu ir neproporcingu kišimusi į jo privatų gyvenimą, todėl buvo pažeistas Konvencijos 8 straipsnis.</w:t>
      </w:r>
    </w:p>
    <w:p w14:paraId="070ED7EE" w14:textId="77777777" w:rsidR="00E0534B" w:rsidRPr="00FD5803" w:rsidRDefault="00E0534B" w:rsidP="009A1B99">
      <w:pPr>
        <w:spacing w:after="0" w:line="240" w:lineRule="auto"/>
        <w:ind w:firstLine="567"/>
        <w:jc w:val="both"/>
        <w:rPr>
          <w:rFonts w:cstheme="minorHAnsi"/>
        </w:rPr>
      </w:pPr>
    </w:p>
    <w:p w14:paraId="5F7E7650" w14:textId="77777777" w:rsidR="00E0534B" w:rsidRPr="00FD5803" w:rsidRDefault="00E0534B" w:rsidP="009A1B99">
      <w:pPr>
        <w:spacing w:after="0" w:line="240" w:lineRule="auto"/>
        <w:jc w:val="center"/>
        <w:rPr>
          <w:rFonts w:cstheme="minorHAnsi"/>
        </w:rPr>
      </w:pPr>
      <w:r w:rsidRPr="00FD5803">
        <w:rPr>
          <w:rFonts w:cstheme="minorHAnsi"/>
          <w:b/>
        </w:rPr>
        <w:t>Neoficiali Teismo sprendimo apžvalga</w:t>
      </w:r>
    </w:p>
    <w:p w14:paraId="118DC564" w14:textId="77777777" w:rsidR="00E0534B" w:rsidRPr="00FD5803" w:rsidRDefault="00E0534B" w:rsidP="009A1B99">
      <w:pPr>
        <w:spacing w:after="0" w:line="240" w:lineRule="auto"/>
        <w:ind w:firstLine="567"/>
        <w:jc w:val="both"/>
        <w:rPr>
          <w:rFonts w:cstheme="minorHAnsi"/>
        </w:rPr>
      </w:pPr>
    </w:p>
    <w:p w14:paraId="06DA3724" w14:textId="77777777" w:rsidR="00E0534B" w:rsidRPr="00FD5803" w:rsidRDefault="00E0534B" w:rsidP="009A1B99">
      <w:pPr>
        <w:spacing w:after="0" w:line="240" w:lineRule="auto"/>
        <w:ind w:firstLine="567"/>
        <w:jc w:val="both"/>
        <w:rPr>
          <w:rFonts w:cstheme="minorHAnsi"/>
          <w:i/>
        </w:rPr>
      </w:pPr>
      <w:r w:rsidRPr="00FD5803">
        <w:rPr>
          <w:rFonts w:cstheme="minorHAnsi"/>
          <w:i/>
        </w:rPr>
        <w:t>Dėl Konvencijos 6 straipsnio pažeidimo</w:t>
      </w:r>
    </w:p>
    <w:p w14:paraId="7C822130" w14:textId="77777777" w:rsidR="00E0534B" w:rsidRPr="00FD5803" w:rsidRDefault="00E0534B" w:rsidP="009A1B99">
      <w:pPr>
        <w:spacing w:after="0" w:line="240" w:lineRule="auto"/>
        <w:ind w:firstLine="567"/>
        <w:jc w:val="both"/>
        <w:rPr>
          <w:rFonts w:cstheme="minorHAnsi"/>
        </w:rPr>
      </w:pPr>
    </w:p>
    <w:p w14:paraId="274028B9" w14:textId="77777777" w:rsidR="00E0534B" w:rsidRPr="00FD5803" w:rsidRDefault="00E0534B" w:rsidP="009A1B99">
      <w:pPr>
        <w:spacing w:after="0" w:line="240" w:lineRule="auto"/>
        <w:ind w:firstLine="567"/>
        <w:jc w:val="both"/>
        <w:rPr>
          <w:rFonts w:cstheme="minorHAnsi"/>
        </w:rPr>
      </w:pPr>
      <w:r w:rsidRPr="00FD5803">
        <w:rPr>
          <w:rFonts w:cstheme="minorHAnsi"/>
        </w:rPr>
        <w:t xml:space="preserve">Spręsdamas dėl Konvencijos 6 straipsnio 1 dalies taikymo, Teismas apžvelgė savo ankstesnę praktiką ir pažymėjo, kad šioje byloje keliami panašūs klausimai, kurie buvo nagrinėti byloje </w:t>
      </w:r>
      <w:hyperlink r:id="rId10" w:anchor="{%22itemid%22:[%22001-115871%22]}" w:history="1">
        <w:r w:rsidRPr="00FD5803">
          <w:rPr>
            <w:i/>
          </w:rPr>
          <w:t>Oleksandr Volkov prieš Ukrainą</w:t>
        </w:r>
      </w:hyperlink>
      <w:r w:rsidRPr="00FD5803">
        <w:rPr>
          <w:rFonts w:cstheme="minorHAnsi"/>
        </w:rPr>
        <w:t xml:space="preserve">. Teismas priminė, kad </w:t>
      </w:r>
      <w:r w:rsidRPr="00FD5803">
        <w:rPr>
          <w:rFonts w:cstheme="minorHAnsi"/>
          <w:i/>
        </w:rPr>
        <w:t>Volkovo</w:t>
      </w:r>
      <w:r w:rsidRPr="00FD5803">
        <w:rPr>
          <w:rFonts w:cstheme="minorHAnsi"/>
        </w:rPr>
        <w:t xml:space="preserve"> byloje išskyrė keletą kriterijų, kuriais remiantis galima nustatyti, ar Ukrainos Aukščiausioji teisingumo taryba, kaip drausminė teisėjų institucija, atitinka nepriklausomumo ir nešališkumo kriterijus, ir pripažino, jog dėl struktūrinių trūkumų ši institucija minėtų kriterijų neatitinka. Teismas nurodė, kad </w:t>
      </w:r>
      <w:r w:rsidRPr="00FD5803">
        <w:rPr>
          <w:rFonts w:cstheme="minorHAnsi"/>
          <w:i/>
        </w:rPr>
        <w:t>Volkovo</w:t>
      </w:r>
      <w:r w:rsidRPr="00FD5803">
        <w:rPr>
          <w:rFonts w:cstheme="minorHAnsi"/>
        </w:rPr>
        <w:t xml:space="preserve"> byloje padarytos išvados dėl minėtos drausminės teisėjų institucijos taikytinos ir šioje byloje.</w:t>
      </w:r>
    </w:p>
    <w:p w14:paraId="63670577" w14:textId="2D084593" w:rsidR="00E0534B" w:rsidRPr="00FD5803" w:rsidRDefault="00E0534B" w:rsidP="009A1B99">
      <w:pPr>
        <w:spacing w:after="0" w:line="240" w:lineRule="auto"/>
        <w:ind w:firstLine="567"/>
        <w:jc w:val="both"/>
        <w:rPr>
          <w:rFonts w:cstheme="minorHAnsi"/>
        </w:rPr>
      </w:pPr>
      <w:r w:rsidRPr="00FD5803">
        <w:rPr>
          <w:rFonts w:cstheme="minorHAnsi"/>
        </w:rPr>
        <w:t xml:space="preserve">Teismas atkreipė dėmesį, kad dauguma Aukščiausiosios teisingumo tarybos narių buvo ne teisėjai, paskirti tiesiogiai vykdomosios ir įstatymų leidžiamosios valdžių (pareiškėjo atveju iš 18 narių tik 8 buvo teisėjai), dalis teisėjų į šią instituciją taip pat paskirti vykdomosios ir įstatymų leidžiamosios valdžių ir tik dalis jų išrinkti pačių teisėjų, be to, šios institucijos narys </w:t>
      </w:r>
      <w:r w:rsidRPr="00FD5803">
        <w:rPr>
          <w:rFonts w:cstheme="minorHAnsi"/>
          <w:i/>
        </w:rPr>
        <w:t xml:space="preserve">ex officio </w:t>
      </w:r>
      <w:r w:rsidRPr="00FD5803">
        <w:rPr>
          <w:rFonts w:cstheme="minorHAnsi"/>
        </w:rPr>
        <w:t xml:space="preserve">buvo ir Generalinis prokuroras, dauguma šios institucijos narių nedirbo joje visą darbo dieną, t. y. tai nebuvo jų pagrindinė darbovietė. Negana to, vienas iš Aukščiausiosios teisingumo tarybos narių buvo ir </w:t>
      </w:r>
      <w:r w:rsidR="00FB3D46">
        <w:rPr>
          <w:rFonts w:cstheme="minorHAnsi"/>
        </w:rPr>
        <w:t xml:space="preserve">pirmininkas </w:t>
      </w:r>
      <w:r w:rsidRPr="00FD5803">
        <w:rPr>
          <w:rFonts w:cstheme="minorHAnsi"/>
        </w:rPr>
        <w:t>Administracinių teismų teisėjų tarybos,</w:t>
      </w:r>
      <w:r w:rsidR="00FB3D46">
        <w:rPr>
          <w:rFonts w:cstheme="minorHAnsi"/>
        </w:rPr>
        <w:t xml:space="preserve"> </w:t>
      </w:r>
      <w:r w:rsidRPr="00FD5803">
        <w:rPr>
          <w:rFonts w:cstheme="minorHAnsi"/>
        </w:rPr>
        <w:t>atlik</w:t>
      </w:r>
      <w:r w:rsidR="00FB3D46">
        <w:rPr>
          <w:rFonts w:cstheme="minorHAnsi"/>
        </w:rPr>
        <w:t>usios</w:t>
      </w:r>
      <w:r w:rsidRPr="00FD5803">
        <w:rPr>
          <w:rFonts w:cstheme="minorHAnsi"/>
        </w:rPr>
        <w:t xml:space="preserve"> Kijevo administracinio apeliacinio teismo patikrinimą</w:t>
      </w:r>
      <w:r w:rsidR="00FB3D46">
        <w:rPr>
          <w:rFonts w:cstheme="minorHAnsi"/>
        </w:rPr>
        <w:t xml:space="preserve">, kuri, </w:t>
      </w:r>
      <w:r w:rsidRPr="00FD5803">
        <w:rPr>
          <w:rFonts w:cstheme="minorHAnsi"/>
        </w:rPr>
        <w:t xml:space="preserve">remdamasi šio patikrinimo rezultatais pasiūlė Aukščiausiajai teisingumo tarybai atleisti pareiškėją iš teismo pirmininko pareigų, </w:t>
      </w:r>
      <w:r w:rsidR="00FB3D46">
        <w:rPr>
          <w:rFonts w:cstheme="minorHAnsi"/>
        </w:rPr>
        <w:t>ir</w:t>
      </w:r>
      <w:r w:rsidRPr="00FD5803">
        <w:rPr>
          <w:rFonts w:cstheme="minorHAnsi"/>
        </w:rPr>
        <w:t xml:space="preserve"> tai kelia objektyvių abejonių dėl šio nario nešališkumo. Teismo vertinimu, nurodytos aplinkybės yra pakankamos </w:t>
      </w:r>
      <w:r w:rsidRPr="00FD5803">
        <w:rPr>
          <w:rFonts w:cstheme="minorHAnsi"/>
        </w:rPr>
        <w:lastRenderedPageBreak/>
        <w:t>konstatuoti, kad Aukščiausioje teisingumo taryboje nebuvo užtikrintas nepriklausomumo ir nešališkumo reikalavimų laikymasis.</w:t>
      </w:r>
    </w:p>
    <w:p w14:paraId="02499248" w14:textId="77777777" w:rsidR="00E0534B" w:rsidRPr="00FD5803" w:rsidRDefault="00E0534B" w:rsidP="009A1B99">
      <w:pPr>
        <w:spacing w:after="0" w:line="240" w:lineRule="auto"/>
        <w:ind w:firstLine="567"/>
        <w:jc w:val="both"/>
        <w:rPr>
          <w:rFonts w:cstheme="minorHAnsi"/>
        </w:rPr>
      </w:pPr>
      <w:r w:rsidRPr="00FD5803">
        <w:rPr>
          <w:rFonts w:cstheme="minorHAnsi"/>
        </w:rPr>
        <w:t xml:space="preserve">Teismas nurodė, kad Aukščiausiasis administracinis teismas, nagrinėdamas pareiškėjo skundą, nesugebėjo pašalinti pirmojo proceso trūkumų, todėl buvo pažeista pareiškėjo teisė į teisingą teismą. Šiuo aspektu Teismas priminė, kad </w:t>
      </w:r>
      <w:r w:rsidRPr="00FD5803">
        <w:rPr>
          <w:rFonts w:cstheme="minorHAnsi"/>
          <w:i/>
        </w:rPr>
        <w:t>Volkovo</w:t>
      </w:r>
      <w:r w:rsidRPr="00FD5803">
        <w:rPr>
          <w:rFonts w:cstheme="minorHAnsi"/>
        </w:rPr>
        <w:t xml:space="preserve"> byloje nustatė, jog nors Aukščiausiasis administracinis teismas turėjo įgaliojimus ginčijamus sprendimus pripažinti neteisėtais, tačiau neturėjo įgaliojimų juos panaikinti ir imtis kitų būtinų teisinių priemonių, o tai lemia tokių sprendimų realių teisinių pasekmių neapibrėžtumą. Teismas taip pat atkreipė dėmesį, kad Aukščiausiasis administracinis teismas pareiškėjo byloje išsamiai nenagrinėjo jo argumentų, jog pirmoji institucija nebuvo pakankamai nešališka ir nepriklausoma. Be to, Aukščiausiasis administracinis teismas nurodė, jog pareiškėjas neginčijo aplinkybių, sudarančių jo atleidimo iš teismo pirmininko pareigų pagrindą, ir šias aplinkybes laikė nustatytomis, nors iš tiesų pareiškėjas su jomis aiškiai nesutiko.</w:t>
      </w:r>
    </w:p>
    <w:p w14:paraId="5B7D84C9" w14:textId="77777777" w:rsidR="00E0534B" w:rsidRPr="00FD5803" w:rsidRDefault="00E0534B" w:rsidP="009A1B99">
      <w:pPr>
        <w:spacing w:after="0" w:line="240" w:lineRule="auto"/>
        <w:ind w:firstLine="567"/>
        <w:jc w:val="both"/>
        <w:rPr>
          <w:rFonts w:cstheme="minorHAnsi"/>
        </w:rPr>
      </w:pPr>
      <w:r w:rsidRPr="00FD5803">
        <w:rPr>
          <w:rFonts w:cstheme="minorHAnsi"/>
        </w:rPr>
        <w:t>Negana to, Aukščiausioji teisingumo taryba, kurios sprendimo teisėtumą ir pagrįstumą pagal pareiškėjo skundą vertino Aukščiausiasis administracinis teismas, vykdė ir pastarojo teismo teisėjų drausminę priežiūrą, taip pat turėjo atitinkamas galias sprendžiant dėl teisėjų karjeros. Nors tai savaime nesudaro pagrindo abejoti Aukščiausiojo administracinio teismo teisėjų nešališkumu ir nepriklausomumu, Teismas pažymėjo, kad nagrinėjamos bylos kontekste (atsižvelgiant į šioje byloje Teismo padarytas išvadas dėl Aukščiausiosios teisingumo tarybos struktūrinių trūkumų ir nustatyto vieno iš jos narių galimo asmeninio šališkumo) minėto teismo teisėjai negalėjo būti laikomi nepriklausomais ir nešališkais, kaip to reikalauja Konvencijos 6 straipsnio nuostatos.</w:t>
      </w:r>
    </w:p>
    <w:p w14:paraId="795BE870" w14:textId="6918C87D" w:rsidR="00E0534B" w:rsidRPr="00FD5803" w:rsidRDefault="00E0534B" w:rsidP="009A1B99">
      <w:pPr>
        <w:spacing w:after="0" w:line="240" w:lineRule="auto"/>
        <w:ind w:firstLine="567"/>
        <w:jc w:val="both"/>
        <w:rPr>
          <w:rFonts w:cstheme="minorHAnsi"/>
        </w:rPr>
      </w:pPr>
      <w:r w:rsidRPr="00FD5803">
        <w:rPr>
          <w:rFonts w:cstheme="minorHAnsi"/>
        </w:rPr>
        <w:t>Taigi Teismo kolegija vienbalsiai pripažino, kad nagrinė</w:t>
      </w:r>
      <w:r w:rsidR="0039456C" w:rsidRPr="00FD5803">
        <w:rPr>
          <w:rFonts w:cstheme="minorHAnsi"/>
        </w:rPr>
        <w:t>t</w:t>
      </w:r>
      <w:r w:rsidRPr="00FD5803">
        <w:rPr>
          <w:rFonts w:cstheme="minorHAnsi"/>
        </w:rPr>
        <w:t>u atveju buvo pažeista Konvencijos 6 straipsnio 1 dalis.</w:t>
      </w:r>
    </w:p>
    <w:p w14:paraId="55F1043A" w14:textId="77777777" w:rsidR="00E0534B" w:rsidRPr="00FD5803" w:rsidRDefault="00E0534B" w:rsidP="009A1B99">
      <w:pPr>
        <w:spacing w:after="0" w:line="240" w:lineRule="auto"/>
        <w:ind w:firstLine="567"/>
        <w:jc w:val="both"/>
        <w:rPr>
          <w:rFonts w:cstheme="minorHAnsi"/>
        </w:rPr>
      </w:pPr>
    </w:p>
    <w:p w14:paraId="1A3C0282" w14:textId="77777777" w:rsidR="00E0534B" w:rsidRPr="00FD5803" w:rsidRDefault="00E0534B" w:rsidP="009A1B99">
      <w:pPr>
        <w:spacing w:after="0" w:line="240" w:lineRule="auto"/>
        <w:ind w:firstLine="567"/>
        <w:jc w:val="both"/>
        <w:rPr>
          <w:rFonts w:cstheme="minorHAnsi"/>
          <w:i/>
        </w:rPr>
      </w:pPr>
      <w:r w:rsidRPr="00FD5803">
        <w:rPr>
          <w:rFonts w:cstheme="minorHAnsi"/>
          <w:i/>
        </w:rPr>
        <w:t>Dėl Konvencijos 8 straipsnio taikymo</w:t>
      </w:r>
    </w:p>
    <w:p w14:paraId="0B38FC1D" w14:textId="77777777" w:rsidR="00E0534B" w:rsidRPr="00FD5803" w:rsidRDefault="00E0534B" w:rsidP="009A1B99">
      <w:pPr>
        <w:spacing w:after="0" w:line="240" w:lineRule="auto"/>
        <w:ind w:firstLine="567"/>
        <w:jc w:val="both"/>
        <w:rPr>
          <w:rFonts w:cstheme="minorHAnsi"/>
        </w:rPr>
      </w:pPr>
    </w:p>
    <w:p w14:paraId="242C9192" w14:textId="33A14EAC" w:rsidR="00E0534B" w:rsidRPr="00FD5803" w:rsidRDefault="00E0534B" w:rsidP="009A1B99">
      <w:pPr>
        <w:spacing w:after="0" w:line="240" w:lineRule="auto"/>
        <w:ind w:firstLine="567"/>
        <w:jc w:val="both"/>
        <w:rPr>
          <w:rFonts w:cstheme="minorHAnsi"/>
        </w:rPr>
      </w:pPr>
      <w:r w:rsidRPr="00FD5803">
        <w:rPr>
          <w:rFonts w:cstheme="minorHAnsi"/>
        </w:rPr>
        <w:t xml:space="preserve">Apžvelgęs savo ankstesnę praktiką, Teismas priminė, kad pagal bendrą principą </w:t>
      </w:r>
      <w:r w:rsidRPr="00FD5803">
        <w:rPr>
          <w:rStyle w:val="tlid-translation"/>
          <w:rFonts w:cstheme="minorHAnsi"/>
        </w:rPr>
        <w:t xml:space="preserve">Konvencijos 8 straipsniu negalima remtis skundžiantis dėl reputacijos praradimo ar kitų numatomų pasekmių dėl savo veiksmų (šiuo klausimu žr. 2012 m. balandžio 3 d. didžiosios kolegijos sprendimą byloje </w:t>
      </w:r>
      <w:r w:rsidRPr="00FD5803">
        <w:rPr>
          <w:rFonts w:cstheme="minorHAnsi"/>
          <w:i/>
          <w:iCs/>
        </w:rPr>
        <w:t>Gillberg prieš Švediją</w:t>
      </w:r>
      <w:r w:rsidRPr="00FD5803">
        <w:rPr>
          <w:rFonts w:cstheme="minorHAnsi"/>
          <w:iCs/>
        </w:rPr>
        <w:t>, pareiškimo Nr. 41723/06</w:t>
      </w:r>
      <w:r w:rsidRPr="00FD5803">
        <w:rPr>
          <w:rStyle w:val="tlid-translation"/>
          <w:rFonts w:cstheme="minorHAnsi"/>
        </w:rPr>
        <w:t>).</w:t>
      </w:r>
      <w:r w:rsidRPr="00FD5803">
        <w:rPr>
          <w:rFonts w:cstheme="minorHAnsi"/>
        </w:rPr>
        <w:t xml:space="preserve"> Tačiau darbo ginčai </w:t>
      </w:r>
      <w:r w:rsidRPr="00FD5803">
        <w:rPr>
          <w:rFonts w:cstheme="minorHAnsi"/>
          <w:i/>
        </w:rPr>
        <w:t xml:space="preserve">per se </w:t>
      </w:r>
      <w:r w:rsidRPr="00FD5803">
        <w:rPr>
          <w:rFonts w:cstheme="minorHAnsi"/>
        </w:rPr>
        <w:t>(pat</w:t>
      </w:r>
      <w:r w:rsidR="0039456C" w:rsidRPr="00FD5803">
        <w:rPr>
          <w:rFonts w:cstheme="minorHAnsi"/>
        </w:rPr>
        <w:t>y</w:t>
      </w:r>
      <w:r w:rsidRPr="00FD5803">
        <w:rPr>
          <w:rFonts w:cstheme="minorHAnsi"/>
        </w:rPr>
        <w:t>s savaime) nėra eliminuojami iš „privataus gyvenimo“ srities Konvencijos 8 straipsnio taikymo prasme. Darbo ginčuose asmenys tam tikrais atvejais gali siekti teisės į privataus gyvenimo gerbimą gynimo pagal Konvencijos 8 straipsnį.</w:t>
      </w:r>
    </w:p>
    <w:p w14:paraId="5CD947E2" w14:textId="77777777" w:rsidR="00E0534B" w:rsidRPr="00FD5803" w:rsidRDefault="00E0534B" w:rsidP="009A1B99">
      <w:pPr>
        <w:spacing w:after="0" w:line="240" w:lineRule="auto"/>
        <w:ind w:firstLine="567"/>
        <w:jc w:val="both"/>
        <w:rPr>
          <w:rStyle w:val="tlid-translation"/>
          <w:rFonts w:cstheme="minorHAnsi"/>
        </w:rPr>
      </w:pPr>
      <w:r w:rsidRPr="00FD5803">
        <w:rPr>
          <w:rFonts w:cstheme="minorHAnsi"/>
        </w:rPr>
        <w:t xml:space="preserve">Teismas nurodė, kad tokio pobūdžio ginčuose „privatus gyvenimas“ gali būti paveikiamas keliais aspektais, kurie apima pareiškėjo „vidinį ratą“, galimybę sukurti santykius su kitais žmonėmis bei juos vystyti, </w:t>
      </w:r>
      <w:r w:rsidRPr="00FD5803">
        <w:rPr>
          <w:rStyle w:val="tlid-translation"/>
          <w:rFonts w:cstheme="minorHAnsi"/>
        </w:rPr>
        <w:t>socialinę bei profesinę reputaciją. Tokiuose ginčuose privataus gyvenimo pažeidimas gali būti konstatuotas dviem atvejais: dėl ginčijamų priemonių taikymo priežasčių (tokiais atvejais Teismas atlieka priežastimis grįstą vertinimą) arba – kai kuriais atvejais – dėl jų sukeltų neigiamų pasekmių privačiam gyvenimui (tokiais atvejais Teismas atlieka pasekmėmis grįstą vertinimą).</w:t>
      </w:r>
    </w:p>
    <w:p w14:paraId="16A78BA3" w14:textId="77777777" w:rsidR="00E0534B" w:rsidRPr="00FD5803" w:rsidRDefault="00E0534B" w:rsidP="009A1B99">
      <w:pPr>
        <w:spacing w:after="0" w:line="240" w:lineRule="auto"/>
        <w:ind w:firstLine="567"/>
        <w:jc w:val="both"/>
        <w:rPr>
          <w:rStyle w:val="tlid-translation"/>
          <w:rFonts w:cstheme="minorHAnsi"/>
        </w:rPr>
      </w:pPr>
      <w:r w:rsidRPr="00FD5803">
        <w:rPr>
          <w:rFonts w:cstheme="minorHAnsi"/>
        </w:rPr>
        <w:t>Tačiau Teismas pabrėžė, kad pareiškėjo atleidimo iš teismo pirmininko pareigų priežastys nebuvo susijusios su jo asmeniniu gyvenimu. Šios priežastys griežtai apsiribojo tik pareiškėjo sugebėjimo darbovietėje vykdyti administracines funkcijas ir užtikrinti tinkamą teismo veiklą vertinimu, t. y. jos buvo susijusios tik su pareiškėjo darbu ir neturėjo jokio ryšio su jo asmeniniu gyvenimu. Todėl Teismas nurodė, kad šiuo atveju turi būti vertinama, ar pagal pareiškėjo i</w:t>
      </w:r>
      <w:r w:rsidRPr="00FD5803">
        <w:rPr>
          <w:rStyle w:val="tlid-translation"/>
          <w:rFonts w:cstheme="minorHAnsi"/>
        </w:rPr>
        <w:t>šdėstytus argumentus ir pateiktus įrodymus taikyta priemonė turėjo rimtų neigiamų pasekmių minėtiems jo privataus gyvenimo aspektams.</w:t>
      </w:r>
    </w:p>
    <w:p w14:paraId="34A49A39" w14:textId="5EC374F4" w:rsidR="00E0534B" w:rsidRPr="00FD5803" w:rsidRDefault="00E0534B" w:rsidP="009A1B99">
      <w:pPr>
        <w:spacing w:after="0" w:line="240" w:lineRule="auto"/>
        <w:ind w:firstLine="567"/>
        <w:jc w:val="both"/>
        <w:rPr>
          <w:rStyle w:val="tlid-translation"/>
          <w:rFonts w:cstheme="minorHAnsi"/>
        </w:rPr>
      </w:pPr>
      <w:r w:rsidRPr="00FD5803">
        <w:rPr>
          <w:rStyle w:val="tlid-translation"/>
          <w:rFonts w:cstheme="minorHAnsi"/>
        </w:rPr>
        <w:t xml:space="preserve">Teismas akcentavo, kad tais atvejais, kai vertinamos kilusios pasekmės, labai svarbi yra pasekmių sunkumo riba </w:t>
      </w:r>
      <w:r w:rsidR="00DC2E0F">
        <w:rPr>
          <w:rStyle w:val="tlid-translation"/>
          <w:rFonts w:cstheme="minorHAnsi"/>
        </w:rPr>
        <w:t xml:space="preserve">dėl </w:t>
      </w:r>
      <w:r w:rsidRPr="00FD5803">
        <w:rPr>
          <w:rStyle w:val="tlid-translation"/>
          <w:rFonts w:cstheme="minorHAnsi"/>
        </w:rPr>
        <w:t>minėtų asmeninio gyvenimo aspektų. Pareiškėjas turi pateikti įrodymus, pagrindžiančius ginčijamos priemonės pasekmes, ir įtikinamai įrodyti, kad ši riba buvo pasiekta. Tik tokiu atveju, jeigu šios pasekmės būtų itin rimtos ir turėtų ženklų poveikį pareiškėjo privačiam gyvenimui, galėtų būti taikomas Konvencijos 8 straipsnis.</w:t>
      </w:r>
    </w:p>
    <w:p w14:paraId="29BD446A" w14:textId="77777777" w:rsidR="00E0534B" w:rsidRPr="00FD5803" w:rsidRDefault="00E0534B" w:rsidP="009A1B99">
      <w:pPr>
        <w:spacing w:after="0" w:line="240" w:lineRule="auto"/>
        <w:ind w:firstLine="567"/>
        <w:jc w:val="both"/>
        <w:rPr>
          <w:rStyle w:val="tlid-translation"/>
          <w:rFonts w:cstheme="minorHAnsi"/>
        </w:rPr>
      </w:pPr>
      <w:r w:rsidRPr="00FD5803">
        <w:rPr>
          <w:rStyle w:val="tlid-translation"/>
          <w:rFonts w:cstheme="minorHAnsi"/>
        </w:rPr>
        <w:t xml:space="preserve">Teismas pažymėjo, kad pareiškėjo kentėjimo laipsnis turi būti vertinamas lyginant jo gyvenimą prieš ir po ginčijamos priemonės. Nustatant pasekmių rimtumą su darbu susijusiose bylose, tikslinga vertinti subjektyvų pareiškėjo situacijos suvokimą, atsižvelgiant į objektyvias konkrečioje byloje egzistuojančias aplinkybes. Toks vertinimas turėtų apimti tiek materialines, tiek nematerialines taikytos priemonės </w:t>
      </w:r>
      <w:r w:rsidRPr="00FD5803">
        <w:rPr>
          <w:rStyle w:val="tlid-translation"/>
          <w:rFonts w:cstheme="minorHAnsi"/>
        </w:rPr>
        <w:lastRenderedPageBreak/>
        <w:t>pasekmes. Tačiau būtent pareiškėjas turi apibrėžti ir pagrįsti savo kančių pobūdį ir mastą, kuris priežastiniu ryšiu turi būti susijęs su ginčijama priemone.</w:t>
      </w:r>
    </w:p>
    <w:p w14:paraId="5CF669D4" w14:textId="77777777" w:rsidR="00E0534B" w:rsidRPr="00FD5803" w:rsidRDefault="00E0534B" w:rsidP="009A1B99">
      <w:pPr>
        <w:spacing w:after="0" w:line="240" w:lineRule="auto"/>
        <w:ind w:firstLine="567"/>
        <w:jc w:val="both"/>
        <w:rPr>
          <w:rFonts w:cstheme="minorHAnsi"/>
        </w:rPr>
      </w:pPr>
      <w:r w:rsidRPr="00FD5803">
        <w:rPr>
          <w:rFonts w:cstheme="minorHAnsi"/>
        </w:rPr>
        <w:t>Teismas sprendė, kad šioje konkrečioje byloje pareiškėjo atleidimo iš teismo pirmininko pareigų pasekmės neturėjo reikšmingos įtakos jo asmeniniam gyvenimui. Nurodė, kad šiuo atveju prarastas prestižas pareiškėjui nebebūnant teismo pirmininku ar neženkliai sumažėjęs atlyginimas nelaikytini pakankamai sunkiomis pasekmėmis, peržengusiomis minimalią ribą, kad galėtų būti taikomas Konvencijos 8 straipsnis. Pareiškėjas nepateikė jokių įrodymų, kad jo pajamų sumažėjimas dėl atleidimo iš teismo pirmininko pareigų reikšmingai paveikė jo privatų gyvenimą, ar kad jis dėl to patyrė sunkumų bendraujant su kitais asmenimis. Teismas akcentavo, kad teismo pirmininko pareigos, kad ir kaip subjektyviai jos galėjo būti vertinamos pareiškėjo, nebuvo susijusios su jo esmine (teisėjo) profesija. Pareiškėją atleidus iš teismo pirmininko pareigų, jis tame pačiame teisme galėjo toliau dirbti teisėju, kas buvo pagrindinė jo profesinė veikla. Nors pareiškėjo atleidimas iš teismo pirmininko pareigų buvo grindžiamas administracinių funkcijų netinkamu vykdymu, pareiškėjo tyčiniai veiksmai ar nusikalstama veika nebuvo nustatyti, jo, kaip teisėjo, darbas ir moralinės vertybės niekada nebuvo kvestionuojami. Todėl Teismas sprendė, kad pareiškėjo profesinė reputacija nebuvo ženkliai pažeista.</w:t>
      </w:r>
    </w:p>
    <w:p w14:paraId="7446C341" w14:textId="77777777" w:rsidR="00E0534B" w:rsidRPr="00FD5803" w:rsidRDefault="00E0534B" w:rsidP="009A1B99">
      <w:pPr>
        <w:spacing w:after="0" w:line="240" w:lineRule="auto"/>
        <w:ind w:firstLine="567"/>
        <w:jc w:val="both"/>
        <w:rPr>
          <w:rFonts w:cstheme="minorHAnsi"/>
        </w:rPr>
      </w:pPr>
      <w:r w:rsidRPr="00FD5803">
        <w:rPr>
          <w:rFonts w:cstheme="minorHAnsi"/>
        </w:rPr>
        <w:t>Atsižvelgęs į tai, Teismas padarė išvadą, kad pareiškėjo atleidimo iš teismo pirmininko pareigų neigiamos pasekmės neperžengė minimalios ribos, kad būtų galima kelti Konvencijos 8 straipsnio taikymo klausimą. Todėl Teismas šią pareiškimo dalį pripažino nepriimtina.</w:t>
      </w:r>
    </w:p>
    <w:p w14:paraId="59BD7B44" w14:textId="77777777" w:rsidR="00E0534B" w:rsidRPr="00FD5803" w:rsidRDefault="00E0534B" w:rsidP="009A1B99">
      <w:pPr>
        <w:spacing w:after="0" w:line="240" w:lineRule="auto"/>
        <w:ind w:firstLine="567"/>
        <w:jc w:val="both"/>
        <w:rPr>
          <w:rFonts w:cstheme="minorHAnsi"/>
        </w:rPr>
      </w:pPr>
    </w:p>
    <w:p w14:paraId="552EB3D9" w14:textId="77777777" w:rsidR="00E0534B" w:rsidRPr="00FD5803" w:rsidRDefault="00E0534B" w:rsidP="009A1B99">
      <w:pPr>
        <w:spacing w:after="0" w:line="240" w:lineRule="auto"/>
        <w:ind w:firstLine="567"/>
        <w:jc w:val="both"/>
        <w:rPr>
          <w:rFonts w:cstheme="minorHAnsi"/>
        </w:rPr>
      </w:pPr>
      <w:r w:rsidRPr="00FD5803">
        <w:rPr>
          <w:rFonts w:cstheme="minorHAnsi"/>
        </w:rPr>
        <w:t xml:space="preserve">Išvada: nustatytas Konvencijos 6 straipsnio 1 dalies pažeidimas (vienbalsiai); pareiškimas dėl Konvencijos 8 straipsnio pažeidimo pripažintas nepriimtinu </w:t>
      </w:r>
      <w:r w:rsidRPr="00FD5803">
        <w:rPr>
          <w:rStyle w:val="sfbbfee58"/>
          <w:rFonts w:cstheme="minorHAnsi"/>
          <w:color w:val="000000"/>
        </w:rPr>
        <w:t xml:space="preserve">(nesuderinamas </w:t>
      </w:r>
      <w:r w:rsidRPr="00FD5803">
        <w:rPr>
          <w:rStyle w:val="sfbbfee58"/>
          <w:rFonts w:cstheme="minorHAnsi"/>
          <w:i/>
          <w:color w:val="000000"/>
        </w:rPr>
        <w:t>ratione materiae</w:t>
      </w:r>
      <w:r w:rsidRPr="00FD5803">
        <w:rPr>
          <w:rStyle w:val="sfbbfee58"/>
          <w:rFonts w:cstheme="minorHAnsi"/>
          <w:color w:val="000000"/>
        </w:rPr>
        <w:t>).</w:t>
      </w:r>
    </w:p>
    <w:p w14:paraId="7BB664FE" w14:textId="77777777" w:rsidR="00E0534B" w:rsidRPr="00FD5803" w:rsidRDefault="00E0534B" w:rsidP="009A1B99">
      <w:pPr>
        <w:spacing w:after="0" w:line="240" w:lineRule="auto"/>
        <w:ind w:firstLine="567"/>
        <w:jc w:val="both"/>
        <w:rPr>
          <w:rFonts w:cstheme="minorHAnsi"/>
        </w:rPr>
      </w:pPr>
      <w:r w:rsidRPr="00FD5803">
        <w:rPr>
          <w:rFonts w:cstheme="minorHAnsi"/>
        </w:rPr>
        <w:t>41 straipsnis: priteista 3 000 Eur neturtinei žalai atlyginti.</w:t>
      </w:r>
    </w:p>
    <w:p w14:paraId="1F4D6A53" w14:textId="77777777" w:rsidR="00E0534B" w:rsidRPr="00FD5803" w:rsidRDefault="007F5353" w:rsidP="009A1B99">
      <w:pPr>
        <w:ind w:firstLine="567"/>
        <w:rPr>
          <w:rStyle w:val="Hipersaitas"/>
          <w:rFonts w:cstheme="minorHAnsi"/>
        </w:rPr>
      </w:pPr>
      <w:hyperlink r:id="rId11" w:anchor="{%22itemid%22:[%22001-186216%22]}" w:history="1">
        <w:r w:rsidR="00E0534B" w:rsidRPr="00FD5803">
          <w:rPr>
            <w:rStyle w:val="Hipersaitas"/>
            <w:rFonts w:cstheme="minorHAnsi"/>
          </w:rPr>
          <w:t>Prieiga internete</w:t>
        </w:r>
      </w:hyperlink>
    </w:p>
    <w:p w14:paraId="2E3ED01F" w14:textId="77777777" w:rsidR="007B673C" w:rsidRPr="00FD5803" w:rsidRDefault="007B673C" w:rsidP="009A1B99">
      <w:pPr>
        <w:pStyle w:val="s30eec3f8"/>
        <w:shd w:val="clear" w:color="auto" w:fill="FFFFFF"/>
        <w:spacing w:before="0" w:beforeAutospacing="0" w:after="0" w:afterAutospacing="0"/>
        <w:jc w:val="center"/>
        <w:rPr>
          <w:rStyle w:val="sb8d990e2"/>
          <w:rFonts w:asciiTheme="minorHAnsi" w:hAnsiTheme="minorHAnsi" w:cs="Arial"/>
          <w:b/>
          <w:sz w:val="22"/>
          <w:szCs w:val="22"/>
        </w:rPr>
      </w:pPr>
      <w:r w:rsidRPr="00FD5803">
        <w:rPr>
          <w:rStyle w:val="sb8d990e2"/>
          <w:rFonts w:asciiTheme="minorHAnsi" w:hAnsiTheme="minorHAnsi" w:cs="Arial"/>
          <w:b/>
          <w:sz w:val="22"/>
          <w:szCs w:val="22"/>
        </w:rPr>
        <w:t>Europos Žmogaus Teisių Teismo 2018 m. gruodžio 11 d. sprendimas byloje</w:t>
      </w:r>
    </w:p>
    <w:p w14:paraId="3AC2F8B3" w14:textId="77777777" w:rsidR="007B673C" w:rsidRPr="00FD5803" w:rsidRDefault="007B673C" w:rsidP="009A1B99">
      <w:pPr>
        <w:pStyle w:val="Antrat2"/>
        <w:ind w:firstLine="0"/>
        <w:jc w:val="center"/>
        <w:rPr>
          <w:rFonts w:eastAsia="Calibri"/>
          <w:i/>
        </w:rPr>
      </w:pPr>
      <w:bookmarkStart w:id="8" w:name="_Toc1657782"/>
      <w:r w:rsidRPr="00FD5803">
        <w:rPr>
          <w:rFonts w:eastAsia="Calibri"/>
          <w:i/>
        </w:rPr>
        <w:t>Rodionov prieš Rusiją</w:t>
      </w:r>
      <w:bookmarkEnd w:id="8"/>
    </w:p>
    <w:p w14:paraId="64CBB0C9" w14:textId="7B9C2F1E" w:rsidR="007B673C" w:rsidRPr="00FD5803" w:rsidRDefault="007B673C" w:rsidP="009A1B99">
      <w:pPr>
        <w:pStyle w:val="s30eec3f8"/>
        <w:shd w:val="clear" w:color="auto" w:fill="FFFFFF"/>
        <w:spacing w:before="0" w:beforeAutospacing="0" w:after="0" w:afterAutospacing="0"/>
        <w:jc w:val="center"/>
        <w:rPr>
          <w:rStyle w:val="sb8d990e2"/>
          <w:rFonts w:asciiTheme="minorHAnsi" w:hAnsiTheme="minorHAnsi" w:cs="Arial"/>
          <w:b/>
          <w:sz w:val="22"/>
          <w:szCs w:val="22"/>
        </w:rPr>
      </w:pPr>
      <w:r w:rsidRPr="00FD5803">
        <w:rPr>
          <w:rStyle w:val="sb8d990e2"/>
          <w:rFonts w:asciiTheme="minorHAnsi" w:hAnsiTheme="minorHAnsi" w:cs="Arial"/>
          <w:b/>
          <w:sz w:val="22"/>
          <w:szCs w:val="22"/>
        </w:rPr>
        <w:t xml:space="preserve">(pareiškimo Nr. </w:t>
      </w:r>
      <w:r w:rsidRPr="00FD5803">
        <w:rPr>
          <w:rStyle w:val="sb8d990e2"/>
          <w:rFonts w:asciiTheme="minorHAnsi" w:eastAsiaTheme="majorEastAsia" w:hAnsiTheme="minorHAnsi" w:cs="Arial"/>
          <w:b/>
          <w:sz w:val="22"/>
          <w:szCs w:val="22"/>
        </w:rPr>
        <w:t>9106/09</w:t>
      </w:r>
      <w:r w:rsidR="00D47B0F" w:rsidRPr="00FD5803">
        <w:rPr>
          <w:rStyle w:val="sb8d990e2"/>
          <w:rFonts w:asciiTheme="minorHAnsi" w:eastAsiaTheme="majorEastAsia" w:hAnsiTheme="minorHAnsi" w:cs="Arial"/>
          <w:b/>
          <w:sz w:val="22"/>
          <w:szCs w:val="22"/>
        </w:rPr>
        <w:t xml:space="preserve">, </w:t>
      </w:r>
      <w:r w:rsidR="00D47B0F" w:rsidRPr="00FD5803">
        <w:rPr>
          <w:rFonts w:asciiTheme="minorHAnsi" w:eastAsiaTheme="majorEastAsia" w:hAnsiTheme="minorHAnsi" w:cs="Arial"/>
          <w:b/>
          <w:sz w:val="22"/>
          <w:szCs w:val="22"/>
        </w:rPr>
        <w:t>svarbos lygis – 2</w:t>
      </w:r>
      <w:r w:rsidRPr="00FD5803">
        <w:rPr>
          <w:rStyle w:val="sb8d990e2"/>
          <w:rFonts w:asciiTheme="minorHAnsi" w:hAnsiTheme="minorHAnsi" w:cs="Arial"/>
          <w:b/>
          <w:sz w:val="22"/>
          <w:szCs w:val="22"/>
        </w:rPr>
        <w:t>)</w:t>
      </w:r>
    </w:p>
    <w:p w14:paraId="7549ECFA" w14:textId="77777777" w:rsidR="007B673C" w:rsidRPr="00FD5803" w:rsidRDefault="007B673C" w:rsidP="009A1B99">
      <w:pPr>
        <w:shd w:val="clear" w:color="auto" w:fill="FFFFFF"/>
        <w:spacing w:after="0" w:line="240" w:lineRule="auto"/>
        <w:ind w:firstLine="567"/>
        <w:jc w:val="center"/>
        <w:rPr>
          <w:rFonts w:eastAsia="Times New Roman" w:cstheme="minorHAnsi"/>
          <w:b/>
          <w:bCs/>
          <w:color w:val="000000"/>
        </w:rPr>
      </w:pPr>
    </w:p>
    <w:p w14:paraId="30152A7B" w14:textId="77777777" w:rsidR="007B673C" w:rsidRPr="00FD5803" w:rsidRDefault="007B673C" w:rsidP="009A1B99">
      <w:pPr>
        <w:pStyle w:val="Antrat3"/>
        <w:spacing w:before="0" w:line="240" w:lineRule="auto"/>
        <w:ind w:firstLine="567"/>
        <w:rPr>
          <w:rFonts w:eastAsia="Calibri" w:cs="Times New Roman"/>
          <w:szCs w:val="22"/>
        </w:rPr>
      </w:pPr>
      <w:bookmarkStart w:id="9" w:name="_Toc1657783"/>
      <w:r w:rsidRPr="00FD5803">
        <w:rPr>
          <w:rFonts w:eastAsia="Calibri" w:cs="Times New Roman"/>
          <w:szCs w:val="22"/>
        </w:rPr>
        <w:t>Dėl pareiškėjo informavimo apie jo teisę turėti advokatą nuo sulaikymo momento bei teisės gauti informaciją (laikraščius ir žurnalus) užtikrinimo</w:t>
      </w:r>
      <w:bookmarkEnd w:id="9"/>
      <w:r w:rsidRPr="00FD5803">
        <w:rPr>
          <w:rFonts w:eastAsia="Calibri" w:cs="Times New Roman"/>
          <w:szCs w:val="22"/>
        </w:rPr>
        <w:t xml:space="preserve"> </w:t>
      </w:r>
    </w:p>
    <w:p w14:paraId="370B8DAC" w14:textId="77777777" w:rsidR="007B673C" w:rsidRPr="00FD5803" w:rsidRDefault="007B673C" w:rsidP="009A1B99">
      <w:pPr>
        <w:spacing w:after="0" w:line="240" w:lineRule="auto"/>
        <w:ind w:firstLine="567"/>
      </w:pPr>
    </w:p>
    <w:p w14:paraId="5146C2EB" w14:textId="77777777" w:rsidR="007B673C" w:rsidRPr="00FD5803" w:rsidRDefault="007B673C" w:rsidP="009A1B99">
      <w:pPr>
        <w:shd w:val="clear" w:color="auto" w:fill="FFFFFF"/>
        <w:spacing w:after="0" w:line="240" w:lineRule="auto"/>
        <w:jc w:val="center"/>
        <w:rPr>
          <w:rFonts w:eastAsia="Times New Roman" w:cstheme="minorHAnsi"/>
          <w:b/>
          <w:bCs/>
          <w:color w:val="000000"/>
        </w:rPr>
      </w:pPr>
      <w:r w:rsidRPr="00FD5803">
        <w:rPr>
          <w:rFonts w:eastAsia="Times New Roman" w:cstheme="minorHAnsi"/>
          <w:b/>
          <w:bCs/>
          <w:color w:val="000000"/>
        </w:rPr>
        <w:t>Faktinės aplinkybės</w:t>
      </w:r>
    </w:p>
    <w:p w14:paraId="22B09D7F" w14:textId="77777777" w:rsidR="007B673C" w:rsidRPr="00FD5803" w:rsidRDefault="007B673C" w:rsidP="009A1B99">
      <w:pPr>
        <w:spacing w:after="0" w:line="240" w:lineRule="auto"/>
        <w:ind w:firstLine="567"/>
      </w:pPr>
    </w:p>
    <w:p w14:paraId="6C96C8BB" w14:textId="3C97E78B" w:rsidR="007B673C" w:rsidRPr="00FD5803" w:rsidRDefault="007B673C" w:rsidP="009A1B99">
      <w:pPr>
        <w:spacing w:after="0" w:line="240" w:lineRule="auto"/>
        <w:ind w:firstLine="567"/>
        <w:jc w:val="both"/>
      </w:pPr>
      <w:r w:rsidRPr="00FD5803">
        <w:t xml:space="preserve">2018 m. gruodžio 11 d. </w:t>
      </w:r>
      <w:r w:rsidR="00FC2D08" w:rsidRPr="00FD5803">
        <w:t>Teismas</w:t>
      </w:r>
      <w:r w:rsidRPr="00FD5803">
        <w:t xml:space="preserve"> paskelbė sprendimą byloje </w:t>
      </w:r>
      <w:r w:rsidRPr="00FD5803">
        <w:rPr>
          <w:i/>
        </w:rPr>
        <w:t>Rodionov prieš Rusiją</w:t>
      </w:r>
      <w:r w:rsidRPr="00FD5803">
        <w:t xml:space="preserve"> (Nr. 9106/09</w:t>
      </w:r>
      <w:r w:rsidR="00FC2D08" w:rsidRPr="00FD5803">
        <w:t xml:space="preserve">), kurioje nustatė Konvencijos </w:t>
      </w:r>
      <w:r w:rsidRPr="00FD5803">
        <w:t>6 straipsnio (teisė į teisingą bylos nagrinėjimą) ir 10 straipsnio (saviraiškos laisvė) pažeidimą, be to, pripažino, kad buvo pažeisti ir 3 (kankinimo uždraudimas), 13 (teisė į veiksmingą teisinės gynybos priemonę), 5 (teisė į laisvę ir saugumą), 8 (teisė į privataus ir šeimos gyvenimo gerbimą) bei 34</w:t>
      </w:r>
      <w:r w:rsidR="00FC2D08" w:rsidRPr="00FD5803">
        <w:t> </w:t>
      </w:r>
      <w:r w:rsidRPr="00FD5803">
        <w:t xml:space="preserve">(individualios peticijos) straipsniai. </w:t>
      </w:r>
    </w:p>
    <w:p w14:paraId="6F9FA597" w14:textId="394413D5" w:rsidR="007B673C" w:rsidRPr="00FD5803" w:rsidRDefault="007B673C" w:rsidP="009A1B99">
      <w:pPr>
        <w:spacing w:after="0" w:line="240" w:lineRule="auto"/>
        <w:ind w:firstLine="567"/>
        <w:jc w:val="both"/>
      </w:pPr>
      <w:r w:rsidRPr="00FD5803">
        <w:t>Pareiškėjo, kuris buvo įtariamas prekyba narkotikais, dalyvaujant organizuotoje grupėje, telefonas buvo sekamas. 2006 m. rugpjūčio 15 d., 20.10 val., Federalinės narkotikų kontrolės agentūros (toliau – FNKA) pareigūnai sustabdė jo automobilį. Pareiškėjas buvo nedelsiant surakintas ir apklaustas. Apie 21.50 val. jo automobilio patikrinimas buvo baigtas ir pareiškėjas pasirašė protokolą. Apie 23.30 val. jis buvo nugabentas į FNKA patalpas. 2006 m. rugpjūčio 16 d., tarp 4 ir 5 val., pareiškėjas buvo apklausiamas. 14.45 val. jam buvo pateiktas protokolas apie jo sulaikymą policijos areštinėje. Vėliau jam pateikti kaltinimai ir jis</w:t>
      </w:r>
      <w:r w:rsidR="00FC2D08" w:rsidRPr="00FD5803">
        <w:t xml:space="preserve"> buvo</w:t>
      </w:r>
      <w:r w:rsidRPr="00FD5803">
        <w:t xml:space="preserve"> įkalintas. 2008 m. spalio 13 d. pareiškėjas nuteistas 12 metų laisvės atėmimo. </w:t>
      </w:r>
    </w:p>
    <w:p w14:paraId="5AA09534" w14:textId="3F47620C" w:rsidR="007B673C" w:rsidRPr="00FD5803" w:rsidRDefault="007B673C" w:rsidP="009A1B99">
      <w:pPr>
        <w:spacing w:after="0" w:line="240" w:lineRule="auto"/>
        <w:ind w:firstLine="567"/>
        <w:jc w:val="both"/>
      </w:pPr>
      <w:r w:rsidRPr="00FD5803">
        <w:t xml:space="preserve">Teismo proceso metu, </w:t>
      </w:r>
      <w:r w:rsidR="000939A9">
        <w:t>be</w:t>
      </w:r>
      <w:r w:rsidRPr="00FD5803">
        <w:t xml:space="preserve"> kitų argumentų, pareiškėjas skundėsi, jog baudžiamasis procesas buvo nesąžiningas, kadangi jis nebuvo informuotas apie savo teisę į teisinę gynybą pirminėje proceso stadijoje. Taip pat jis skundėsi dėl laikraščių ir žurnalų, kuriuos jam siuntė artimieji, konfiskavimo</w:t>
      </w:r>
      <w:bookmarkStart w:id="10" w:name="_GoBack"/>
      <w:bookmarkEnd w:id="10"/>
      <w:r w:rsidRPr="00FD5803">
        <w:t xml:space="preserve"> </w:t>
      </w:r>
      <w:r w:rsidR="000939A9">
        <w:t>per tą laikotarpį</w:t>
      </w:r>
      <w:r w:rsidRPr="00FD5803">
        <w:t>, kol jis buvo sulaikytas.</w:t>
      </w:r>
    </w:p>
    <w:p w14:paraId="5D88D5C3" w14:textId="77777777" w:rsidR="007B673C" w:rsidRPr="00FD5803" w:rsidRDefault="007B673C" w:rsidP="009A1B99">
      <w:pPr>
        <w:spacing w:after="0" w:line="240" w:lineRule="auto"/>
        <w:ind w:firstLine="567"/>
        <w:jc w:val="both"/>
      </w:pPr>
    </w:p>
    <w:p w14:paraId="657D8CEE" w14:textId="77777777" w:rsidR="007B673C" w:rsidRPr="00FD5803" w:rsidRDefault="007B673C" w:rsidP="009A1B99">
      <w:pPr>
        <w:shd w:val="clear" w:color="auto" w:fill="FFFFFF"/>
        <w:spacing w:after="0" w:line="240" w:lineRule="auto"/>
        <w:jc w:val="center"/>
        <w:rPr>
          <w:rFonts w:eastAsia="Times New Roman" w:cstheme="minorHAnsi"/>
          <w:b/>
          <w:bCs/>
          <w:color w:val="000000"/>
        </w:rPr>
      </w:pPr>
      <w:r w:rsidRPr="00FD5803">
        <w:rPr>
          <w:rFonts w:eastAsia="Times New Roman" w:cstheme="minorHAnsi"/>
          <w:b/>
          <w:bCs/>
          <w:color w:val="000000"/>
        </w:rPr>
        <w:t>Neoficiali Teismo sprendimo apžvalga</w:t>
      </w:r>
    </w:p>
    <w:p w14:paraId="1C94604D" w14:textId="77777777" w:rsidR="007B673C" w:rsidRPr="00FD5803" w:rsidRDefault="007B673C" w:rsidP="009A1B99">
      <w:pPr>
        <w:spacing w:after="0" w:line="240" w:lineRule="auto"/>
        <w:ind w:firstLine="567"/>
        <w:jc w:val="both"/>
      </w:pPr>
    </w:p>
    <w:p w14:paraId="033F3BA6" w14:textId="77777777" w:rsidR="007B673C" w:rsidRPr="00FD5803" w:rsidRDefault="007B673C" w:rsidP="009A1B99">
      <w:pPr>
        <w:spacing w:after="0" w:line="240" w:lineRule="auto"/>
        <w:ind w:firstLine="567"/>
        <w:jc w:val="both"/>
      </w:pPr>
      <w:r w:rsidRPr="00FD5803">
        <w:lastRenderedPageBreak/>
        <w:t xml:space="preserve">Skundas buvo grindžiamas Konvencijos 6 (teisė į teisingą bylos nagrinėjimą) ir 10 (saviraiškos laisvė) straipsnių pažeidimu. </w:t>
      </w:r>
    </w:p>
    <w:p w14:paraId="2BE00255" w14:textId="77777777" w:rsidR="007B673C" w:rsidRPr="00FD5803" w:rsidRDefault="007B673C" w:rsidP="009A1B99">
      <w:pPr>
        <w:spacing w:after="0" w:line="240" w:lineRule="auto"/>
        <w:ind w:firstLine="567"/>
        <w:jc w:val="both"/>
      </w:pPr>
    </w:p>
    <w:p w14:paraId="4BC6451B" w14:textId="06DF9697" w:rsidR="007B673C" w:rsidRPr="00FD5803" w:rsidRDefault="00FC2D08" w:rsidP="009A1B99">
      <w:pPr>
        <w:spacing w:after="0" w:line="240" w:lineRule="auto"/>
        <w:ind w:firstLine="567"/>
        <w:jc w:val="both"/>
        <w:rPr>
          <w:i/>
        </w:rPr>
      </w:pPr>
      <w:r w:rsidRPr="00FD5803">
        <w:rPr>
          <w:i/>
        </w:rPr>
        <w:t xml:space="preserve">Konvencijos </w:t>
      </w:r>
      <w:r w:rsidR="007B673C" w:rsidRPr="00FD5803">
        <w:rPr>
          <w:i/>
        </w:rPr>
        <w:t xml:space="preserve">6 straipsnis </w:t>
      </w:r>
    </w:p>
    <w:p w14:paraId="1055FF91" w14:textId="77777777" w:rsidR="007B673C" w:rsidRPr="00FD5803" w:rsidRDefault="007B673C" w:rsidP="009A1B99">
      <w:pPr>
        <w:spacing w:after="0" w:line="240" w:lineRule="auto"/>
        <w:ind w:firstLine="567"/>
        <w:jc w:val="both"/>
      </w:pPr>
    </w:p>
    <w:p w14:paraId="4E3A2096" w14:textId="6118D69D" w:rsidR="007B673C" w:rsidRPr="00FD5803" w:rsidRDefault="007B673C" w:rsidP="009A1B99">
      <w:pPr>
        <w:spacing w:after="0" w:line="240" w:lineRule="auto"/>
        <w:ind w:firstLine="567"/>
        <w:jc w:val="both"/>
      </w:pPr>
      <w:r w:rsidRPr="00FD5803">
        <w:t xml:space="preserve">Spręsdamas dėl Konvencijos 6 straipsnio pažeidimo, Teismas pažymėjo, kad sulaikymo metu pareiškėjas jau susidūrė su baudžiamuoju kaltinimu ir galėjo reikalauti Konvencijos 6 straipsnio apsaugos. Šiuo aspektu teisė gauti teisinę pagalbą bei teisė būti informuotam apie tokią teisę, taip pat teisė tylėti bei teisė neduoti parodymų prieš save, įtvirtintos Konvencijos 6 straipsnio 1 ir 3 </w:t>
      </w:r>
      <w:r w:rsidR="004D3D54" w:rsidRPr="00FD5803">
        <w:t>dalyse</w:t>
      </w:r>
      <w:r w:rsidRPr="00FD5803">
        <w:t xml:space="preserve">, tapo nedelsiant vykdytinomis. </w:t>
      </w:r>
    </w:p>
    <w:p w14:paraId="2700FC33" w14:textId="10EE21E0" w:rsidR="007B673C" w:rsidRPr="00FD5803" w:rsidRDefault="007B673C" w:rsidP="009A1B99">
      <w:pPr>
        <w:spacing w:after="0" w:line="240" w:lineRule="auto"/>
        <w:ind w:firstLine="567"/>
        <w:jc w:val="both"/>
      </w:pPr>
      <w:r w:rsidRPr="00FD5803">
        <w:t>Teismo vertinimu, svarbu nustatyti, ar pareiškėjas buvo informuotas apie teisę turėti advokatą, teisę tylėti ir teisę nebūti verčiamam liudyti prieš save, bei ar jis atsisakė šių teisių. Į</w:t>
      </w:r>
      <w:r w:rsidR="00FC2D08" w:rsidRPr="00FD5803">
        <w:t>vertinęs rugpjūčio 15 d. 21.50 </w:t>
      </w:r>
      <w:r w:rsidRPr="00FD5803">
        <w:t xml:space="preserve">val. protokolą (kurio dalis buvo išspausdinta iš anksto), po kurio surašymo buvo tikrinamas pareiškėjo automobilis, teismas konstatavo, kad jame yra išvardytos teisės, su kuriomis pareiškėjas buvo tariamai supažindintas, tačiau tarp jų nebuvo paminėta teisė į teisinę pagalbą. Jokie pateikti įrodymai taip pat nepatvirtino, kad pareiškėją FNKA pareigūnai apie šią teisę informavo žodžiu. Be to, po to, kai buvo sulaikytas, pareiškėjas taip pat nebuvo neabejotinai informuotas apie teisę turėti advokatą sulaikymo metu. Atitinkamai, net jei pareiškėjas tiesiogiai nepareikalavo advokato pagalbos sulaikymo metu, negalima teigti, jog jis netiesiogiai atsisakė šios savo teisės, kadangi jis tiesiogiai apie tokią savo teisę nebuvo informuotas. </w:t>
      </w:r>
    </w:p>
    <w:p w14:paraId="6BD804F8" w14:textId="77777777" w:rsidR="007B673C" w:rsidRPr="00FD5803" w:rsidRDefault="007B673C" w:rsidP="009A1B99">
      <w:pPr>
        <w:spacing w:after="0" w:line="240" w:lineRule="auto"/>
        <w:ind w:firstLine="567"/>
        <w:jc w:val="both"/>
      </w:pPr>
      <w:r w:rsidRPr="00FD5803">
        <w:t>Iš anksto išspausdintoje minėto protokolo dalyje nurodyta, jog įtariamasis informuotas apie jo teisę nebūti verčiamam teikti parodymus prieš save. Tačiau ši nuoroda nebuvo pakankama, kad pareiškėjas „žinodamas ir protingai“ numatytų savo pasirinkto elgesio tylėti pasekmes. Be to, nepateikta įrodymų, kad jam buvo individualiai paaiškinta jo padėtis ir procesinės teisės.</w:t>
      </w:r>
    </w:p>
    <w:p w14:paraId="59439321" w14:textId="11B6B661" w:rsidR="007B673C" w:rsidRPr="00FD5803" w:rsidRDefault="007B673C" w:rsidP="009A1B99">
      <w:pPr>
        <w:spacing w:after="0" w:line="240" w:lineRule="auto"/>
        <w:ind w:firstLine="567"/>
        <w:jc w:val="both"/>
      </w:pPr>
      <w:r w:rsidRPr="00FD5803">
        <w:t>Tokia situacija tęsėsi iki 2006 m. rugpjūčio 16 d., 14.45 val., kai buvo surašytas protokolas apie pareiškėjo areštą ir nurodyta, kad pareiškėjas buvo oficialiai informuotas apie areštą, jam pareikštus kaltinimus bei visas jo procesines asmens, įtariamo neteisėtos veikos padarymu,</w:t>
      </w:r>
      <w:r w:rsidR="004D3D54" w:rsidRPr="00FD5803">
        <w:t xml:space="preserve"> teises. Taigi 18 valandų ir 55 </w:t>
      </w:r>
      <w:r w:rsidRPr="00FD5803">
        <w:t xml:space="preserve">minutes, nuo to momento, kai buvo sulaikytas, pareiškėjas nebuvo tinkamai informuotas apie savo teises, todėl jis negalėjo jų sąmoningai atsisakyti teisėtu pagrindu. Taigi pareiškėjo teisė į teisinę pagalbą buvo apribota. </w:t>
      </w:r>
    </w:p>
    <w:p w14:paraId="10704EB4" w14:textId="4372DAB5" w:rsidR="007B673C" w:rsidRPr="00FD5803" w:rsidRDefault="007B673C" w:rsidP="009A1B99">
      <w:pPr>
        <w:spacing w:after="0" w:line="240" w:lineRule="auto"/>
        <w:ind w:firstLine="567"/>
        <w:jc w:val="both"/>
      </w:pPr>
      <w:r w:rsidRPr="00FD5803">
        <w:t xml:space="preserve">Aptariama byla iliustruoja Rusijos valdžios institucijų praktiką, apžvelgtą jau </w:t>
      </w:r>
      <w:r w:rsidR="004D3D54" w:rsidRPr="00FD5803">
        <w:t>keliose</w:t>
      </w:r>
      <w:r w:rsidRPr="00FD5803">
        <w:t xml:space="preserve"> Teismo byl</w:t>
      </w:r>
      <w:r w:rsidR="004D3D54" w:rsidRPr="00FD5803">
        <w:t>ose</w:t>
      </w:r>
      <w:r w:rsidRPr="00FD5803">
        <w:t>, kai delsiama suteikti įtariamojo statusą sulaikytam asmeniui, taip atimant iš jo galimybę efektyviai pasinaudoti šiomis teisėmis.</w:t>
      </w:r>
    </w:p>
    <w:p w14:paraId="3F881094" w14:textId="283D1737" w:rsidR="007B673C" w:rsidRPr="00FD5803" w:rsidRDefault="007B673C" w:rsidP="009A1B99">
      <w:pPr>
        <w:spacing w:after="0" w:line="240" w:lineRule="auto"/>
        <w:ind w:firstLine="567"/>
        <w:jc w:val="both"/>
      </w:pPr>
      <w:r w:rsidRPr="00FD5803">
        <w:t xml:space="preserve">Vertindamas, ar buvo įtikinamų priežasčių, leidžiančių apriboti teisę į advokatą, Teismas pažymėjo, kad Vyriausybė nenurodė jokių išskirtinių aplinkybių, leidžiančių pateisinti pareiškėjo teisės apribojimą. Juolab kad nacionaliniai teisės aktai, susiję su teise į advokatą sulaikytiems asmenims, tiesiogiai nenumatė jokių išimčių šios teisės taikymui. </w:t>
      </w:r>
    </w:p>
    <w:p w14:paraId="61F0D8A7" w14:textId="6AA27CF4" w:rsidR="007B673C" w:rsidRPr="00FD5803" w:rsidRDefault="007B673C" w:rsidP="009A1B99">
      <w:pPr>
        <w:spacing w:after="0" w:line="240" w:lineRule="auto"/>
        <w:ind w:firstLine="567"/>
        <w:jc w:val="both"/>
      </w:pPr>
      <w:r w:rsidRPr="00FD5803">
        <w:t>Vertindamas, ar bendrai procedūros buvo sąžiningos, Teismas nurodė, kad Vyriausybė, nepagrįsdama, kokią įtaką padarė advokato nebuvimas pirmąsias pareiškėjo sulaikymo 18 valandų ir 55 minutes bendram proceso teisingumui, nepaneigė prezumpcijos, kad baudžiamasis procesas prieš pareiškėją buvo nesąžiningas. Teismas pažymėjo, kad laikotarpiu nuo 2006 m. rugpjūčio 15 d., 20.10 val. iki 2006 m. rugpjūčio 16 d., 14.45 val., tyrimo institucijos surinko įrodymus, kurie vėliau buvo panaudoti kaip kaltinimo įrodymai baudžiamojoje byloje prieš pareiškėją. Pareiškėjo paaiškinimai, duoti iškart po sulaikymo, buvo gauti FNKA pareigūnams, įtarusiems pareiškėją narkotikų platinimu, pateik</w:t>
      </w:r>
      <w:r w:rsidR="004D3D54" w:rsidRPr="00FD5803">
        <w:t>us pareiškėjui klausimus. Taigi</w:t>
      </w:r>
      <w:r w:rsidRPr="00FD5803">
        <w:t xml:space="preserve"> šie klausimai prilygo pareiškėjo apklausai, neinformavus apie jo procesines teises.</w:t>
      </w:r>
    </w:p>
    <w:p w14:paraId="6FB4652B" w14:textId="76A09E6A" w:rsidR="007B673C" w:rsidRPr="00FD5803" w:rsidRDefault="007B673C" w:rsidP="009A1B99">
      <w:pPr>
        <w:spacing w:after="0" w:line="240" w:lineRule="auto"/>
        <w:ind w:firstLine="567"/>
        <w:jc w:val="both"/>
      </w:pPr>
      <w:r w:rsidRPr="00FD5803">
        <w:t>Nacionaliniai teismai iš esmės neišnagrinėjo pareiškėjo prašymo neįtraukti įrodymų, gautų iškart po pareiškėjo sulaikymo, kol jis dar neturėjo advokato. Atitinkamai, jie nevertino įrodymų, gautų iš pareiškėjo, kol jo teisė į teisinį atstovavimą buvo apribota</w:t>
      </w:r>
      <w:r w:rsidR="004D3D54" w:rsidRPr="00FD5803">
        <w:t>,</w:t>
      </w:r>
      <w:r w:rsidRPr="00FD5803">
        <w:t xml:space="preserve"> ir turinčių savęs kaltinimo požymių, priimtinumo. Teismai nesiekė nustatyti, ar pareiškėjas atsisakė savo gynybos teisių teisėtu pagrindu. Be to, pareiškėjo nuteisimas dėl 2006 m. rugpjūčio 15 d. įvykių, nacionalinių teismų kvalifikuotas kaip pasirengimas didelio kiekio narkotikų prekybai, didele apimtimi buvo grindžiamas pareiškėjo automobilio apžiūros įrašais, kuriuose buvo save kaltinančių pareiškėjo teiginių, pažeidžiančių pareiškėjo procesines teises. </w:t>
      </w:r>
    </w:p>
    <w:p w14:paraId="769A0F0A" w14:textId="09BB9637" w:rsidR="007B673C" w:rsidRPr="00FD5803" w:rsidRDefault="004D3D54" w:rsidP="009A1B99">
      <w:pPr>
        <w:spacing w:after="0" w:line="240" w:lineRule="auto"/>
        <w:ind w:firstLine="567"/>
        <w:jc w:val="both"/>
      </w:pPr>
      <w:r w:rsidRPr="00FD5803">
        <w:t>Taigi</w:t>
      </w:r>
      <w:r w:rsidR="007B673C" w:rsidRPr="00FD5803">
        <w:t xml:space="preserve"> nur</w:t>
      </w:r>
      <w:r w:rsidRPr="00FD5803">
        <w:t>odytos aplinkybės ir kumuliacinis</w:t>
      </w:r>
      <w:r w:rsidR="007B673C" w:rsidRPr="00FD5803">
        <w:t xml:space="preserve"> proceso trūkumų poveikis pareiškėjo teismo procesui negrįžtamai pažeidė bendrą proceso teisingumą.</w:t>
      </w:r>
    </w:p>
    <w:p w14:paraId="0F3FEC8B" w14:textId="77777777" w:rsidR="007B673C" w:rsidRPr="00FD5803" w:rsidRDefault="007B673C" w:rsidP="009A1B99">
      <w:pPr>
        <w:spacing w:after="0" w:line="240" w:lineRule="auto"/>
        <w:ind w:firstLine="567"/>
        <w:jc w:val="both"/>
      </w:pPr>
      <w:r w:rsidRPr="00FD5803">
        <w:lastRenderedPageBreak/>
        <w:t xml:space="preserve">Išvada: pažeidimas (vienbalsiai). </w:t>
      </w:r>
    </w:p>
    <w:p w14:paraId="2262585B" w14:textId="77777777" w:rsidR="007B673C" w:rsidRPr="00FD5803" w:rsidRDefault="007B673C" w:rsidP="009A1B99">
      <w:pPr>
        <w:spacing w:after="0" w:line="240" w:lineRule="auto"/>
        <w:ind w:firstLine="567"/>
        <w:jc w:val="both"/>
      </w:pPr>
    </w:p>
    <w:p w14:paraId="31E455F4" w14:textId="7C7E73F3" w:rsidR="007B673C" w:rsidRPr="00FD5803" w:rsidRDefault="004D3D54" w:rsidP="009A1B99">
      <w:pPr>
        <w:spacing w:after="0" w:line="240" w:lineRule="auto"/>
        <w:ind w:firstLine="567"/>
        <w:jc w:val="both"/>
        <w:rPr>
          <w:i/>
        </w:rPr>
      </w:pPr>
      <w:r w:rsidRPr="00FD5803">
        <w:rPr>
          <w:i/>
        </w:rPr>
        <w:t xml:space="preserve">Konvencijos </w:t>
      </w:r>
      <w:r w:rsidR="007B673C" w:rsidRPr="00FD5803">
        <w:rPr>
          <w:i/>
        </w:rPr>
        <w:t xml:space="preserve">10 straipsnis </w:t>
      </w:r>
    </w:p>
    <w:p w14:paraId="1FC242A4" w14:textId="77777777" w:rsidR="007B673C" w:rsidRPr="00FD5803" w:rsidRDefault="007B673C" w:rsidP="009A1B99">
      <w:pPr>
        <w:spacing w:after="0" w:line="240" w:lineRule="auto"/>
        <w:ind w:firstLine="567"/>
        <w:jc w:val="both"/>
      </w:pPr>
    </w:p>
    <w:p w14:paraId="7A834E9D" w14:textId="77777777" w:rsidR="007B673C" w:rsidRPr="00FD5803" w:rsidRDefault="007B673C" w:rsidP="009A1B99">
      <w:pPr>
        <w:spacing w:after="0" w:line="240" w:lineRule="auto"/>
        <w:ind w:firstLine="567"/>
        <w:jc w:val="both"/>
      </w:pPr>
      <w:r w:rsidRPr="00FD5803">
        <w:t xml:space="preserve">Pareiškėjas šalia kitų reikalavimų skundėsi ir tuo, kad kalinimo įstaiga konfiskavo laikraščius ir žurnalus, kuriuos jam siuntė artimieji. Šiuo aspektu teismas sprendė, jog konfiskavimas prilygo kišimuisi į pareiškėjo teisę gauti informaciją, kaip tai suprantama pagal Konvencijos 10 straipsnį. </w:t>
      </w:r>
    </w:p>
    <w:p w14:paraId="1A6BD05A" w14:textId="77777777" w:rsidR="007B673C" w:rsidRPr="00FD5803" w:rsidRDefault="007B673C" w:rsidP="009A1B99">
      <w:pPr>
        <w:spacing w:after="0" w:line="240" w:lineRule="auto"/>
        <w:ind w:firstLine="567"/>
        <w:jc w:val="both"/>
      </w:pPr>
      <w:r w:rsidRPr="00FD5803">
        <w:t xml:space="preserve">Spręsdamas, ar toks įsikišimas buvo pagrįstas, Teismas konstatavo, jog niekas neįrodė, jog konfiskuoti daiktai galėjo kelti grėsmę kitų asmenų gerovei ar gyvybei, trikdyti kalėjimo tvarką ar būti panaudoti neteisėtų veikų darymui. Taip pat neįrodyta, kad tai, jog pareiškėjas gaudavo spaudos leidinius, kalinimo įstaigai sukėlė papildomų išlaidų. Remiantis nacionaliniais teisės aktais, kaliniams buvo leidžiama gauti ir naudotis laikraščiais ir žurnalais, su sąlyga, kad jie buvo įsigyti per kalinimo įstaigos administraciją. Dėl šios priežasties nacionaliniai teismai pateisino artimųjų atsiųstų spaudos gaminių konfiskavimą. Tačiau, Teismo vertinimu, ši sąlyga ir jos taikymas pareiškėjo atveju, neatitiko jokių neatidėliotinų socialinių poreikių. Atitinkamai, tokia priemonė nebuvo būtina demokratinėje visuomenėje. </w:t>
      </w:r>
    </w:p>
    <w:p w14:paraId="3524D527" w14:textId="77777777" w:rsidR="007B673C" w:rsidRPr="00FD5803" w:rsidRDefault="007B673C" w:rsidP="009A1B99">
      <w:pPr>
        <w:spacing w:after="0" w:line="240" w:lineRule="auto"/>
        <w:ind w:firstLine="567"/>
        <w:jc w:val="both"/>
      </w:pPr>
      <w:r w:rsidRPr="00FD5803">
        <w:t>Išvada: pažeidimas (vienbalsiai).</w:t>
      </w:r>
    </w:p>
    <w:p w14:paraId="61120571" w14:textId="77777777" w:rsidR="007B673C" w:rsidRPr="00FD5803" w:rsidRDefault="007B673C" w:rsidP="009A1B99">
      <w:pPr>
        <w:spacing w:after="0" w:line="240" w:lineRule="auto"/>
        <w:ind w:firstLine="567"/>
        <w:jc w:val="both"/>
      </w:pPr>
    </w:p>
    <w:p w14:paraId="0B67BCCF" w14:textId="77777777" w:rsidR="007B673C" w:rsidRPr="00FD5803" w:rsidRDefault="007B673C" w:rsidP="009A1B99">
      <w:pPr>
        <w:spacing w:after="0" w:line="240" w:lineRule="auto"/>
        <w:ind w:firstLine="567"/>
        <w:jc w:val="both"/>
      </w:pPr>
      <w:r w:rsidRPr="00FD5803">
        <w:t xml:space="preserve">Taip pat Teismas vienbalsiai konstatavo, kad buvo pažeistas Konvencijos 3 straipsnis (dėl pareiškėjo sulaikymo sąlygų, dėl sąlygų, kuriomis jis buvo etapuotas į ir iš teismo posėdžių salės, ir jo uždarymo į metalinį narvą teisminio proceso metu), 13 straipsnis kartu su 3 straipsniu (efektyvaus nacionalinio atlygio trūkumas šiuo aspektu), 5 straipsnio 3 paragrafas (nepakankamos priežastys tęsiamam pareiškėjo ikiteisminiam sulaikymui), 5 straipsnio 4 paragrafas (greitos peržiūros nebuvimas), 8 straipsnis (pareiškėjo telefono sekimas ir pokalbių įrašinėjimas), 13 straipsnis kartu su 8 straipsniu (efektyvių nacionalinių atlyginimo priemonių trūkumas šiuo aspektu) ir 34 straipsnis (dėl kalinimo įstaigos vykdyto pareiškėjui Teismo siųstų laiškų atplėšimo). </w:t>
      </w:r>
    </w:p>
    <w:p w14:paraId="25C3153C" w14:textId="77777777" w:rsidR="007B673C" w:rsidRPr="00FD5803" w:rsidRDefault="007B673C" w:rsidP="009A1B99">
      <w:pPr>
        <w:spacing w:after="0" w:line="240" w:lineRule="auto"/>
        <w:ind w:firstLine="567"/>
        <w:jc w:val="both"/>
      </w:pPr>
    </w:p>
    <w:p w14:paraId="481275F0" w14:textId="77777777" w:rsidR="007B673C" w:rsidRPr="00FD5803" w:rsidRDefault="007B673C" w:rsidP="009A1B99">
      <w:pPr>
        <w:spacing w:after="0" w:line="240" w:lineRule="auto"/>
        <w:ind w:firstLine="567"/>
        <w:jc w:val="both"/>
      </w:pPr>
      <w:r w:rsidRPr="00FD5803">
        <w:t xml:space="preserve">41 straipsnis: priteistas 12 700 Eur neturtinės žalos atlyginimas.  </w:t>
      </w:r>
    </w:p>
    <w:p w14:paraId="07435B8C" w14:textId="4D888FC3" w:rsidR="007B673C" w:rsidRPr="00FD5803" w:rsidRDefault="007F5353" w:rsidP="009A1B99">
      <w:pPr>
        <w:spacing w:after="0" w:line="240" w:lineRule="auto"/>
        <w:ind w:firstLine="567"/>
        <w:jc w:val="both"/>
      </w:pPr>
      <w:hyperlink r:id="rId12" w:history="1">
        <w:r w:rsidR="007B673C" w:rsidRPr="00FD5803">
          <w:rPr>
            <w:rStyle w:val="Hipersaitas"/>
          </w:rPr>
          <w:t>Prieiga internete</w:t>
        </w:r>
      </w:hyperlink>
      <w:r w:rsidR="009A1B99" w:rsidRPr="00FD5803">
        <w:t xml:space="preserve"> </w:t>
      </w:r>
      <w:r w:rsidR="007B673C" w:rsidRPr="00FD5803">
        <w:t xml:space="preserve"> </w:t>
      </w:r>
    </w:p>
    <w:p w14:paraId="77F4A3FA" w14:textId="77777777" w:rsidR="00EE09AD" w:rsidRPr="00FD5803" w:rsidRDefault="00EE09AD" w:rsidP="009A1B99">
      <w:pPr>
        <w:pStyle w:val="Antrat1"/>
        <w:rPr>
          <w:bCs/>
          <w:szCs w:val="22"/>
        </w:rPr>
      </w:pPr>
      <w:bookmarkStart w:id="11" w:name="_Toc1657784"/>
      <w:r w:rsidRPr="00FD5803">
        <w:rPr>
          <w:szCs w:val="22"/>
        </w:rPr>
        <w:t>TEISĖ Į PRIVATAUS IR ŠEIMOS GYVENIMO GERBIMĄ</w:t>
      </w:r>
      <w:r w:rsidRPr="00FD5803">
        <w:rPr>
          <w:bCs/>
          <w:szCs w:val="22"/>
        </w:rPr>
        <w:t xml:space="preserve"> (8 straipsnis)</w:t>
      </w:r>
      <w:bookmarkEnd w:id="1"/>
      <w:bookmarkEnd w:id="11"/>
    </w:p>
    <w:p w14:paraId="7F43A600" w14:textId="77777777" w:rsidR="00EE09AD" w:rsidRPr="00FD5803" w:rsidRDefault="00EE09AD" w:rsidP="009A1B99">
      <w:pPr>
        <w:tabs>
          <w:tab w:val="left" w:pos="2610"/>
        </w:tabs>
        <w:spacing w:after="0" w:line="240" w:lineRule="auto"/>
        <w:jc w:val="center"/>
        <w:rPr>
          <w:rFonts w:eastAsia="Calibri" w:cs="Times New Roman"/>
          <w:b/>
        </w:rPr>
      </w:pPr>
    </w:p>
    <w:p w14:paraId="2687DC81" w14:textId="77777777" w:rsidR="00E05E1E" w:rsidRPr="00FD5803" w:rsidRDefault="00E05E1E" w:rsidP="009A1B99">
      <w:pPr>
        <w:spacing w:after="0" w:line="240" w:lineRule="auto"/>
        <w:jc w:val="center"/>
        <w:rPr>
          <w:rFonts w:cs="Calibri"/>
          <w:b/>
        </w:rPr>
      </w:pPr>
      <w:r w:rsidRPr="00FD5803">
        <w:rPr>
          <w:rFonts w:cs="Calibri"/>
          <w:b/>
        </w:rPr>
        <w:t>Europos Žmogaus Teisių Teismo 2018 m. rugsėjo 13 d. sprendimas byloje</w:t>
      </w:r>
    </w:p>
    <w:p w14:paraId="4522FC22" w14:textId="77777777" w:rsidR="00E05E1E" w:rsidRPr="00FD5803" w:rsidRDefault="00E05E1E" w:rsidP="009A1B99">
      <w:pPr>
        <w:pStyle w:val="Antrat2"/>
        <w:ind w:firstLine="0"/>
        <w:jc w:val="center"/>
        <w:rPr>
          <w:rFonts w:eastAsia="Calibri"/>
          <w:i/>
        </w:rPr>
      </w:pPr>
      <w:bookmarkStart w:id="12" w:name="_Toc1657785"/>
      <w:r w:rsidRPr="00FD5803">
        <w:rPr>
          <w:rFonts w:eastAsia="Calibri"/>
          <w:i/>
        </w:rPr>
        <w:t>Big Brother Watch ir kiti prieš Jungtinę Karalystę</w:t>
      </w:r>
      <w:r w:rsidRPr="00FD5803">
        <w:rPr>
          <w:rFonts w:eastAsia="Calibri"/>
          <w:i/>
        </w:rPr>
        <w:footnoteReference w:id="1"/>
      </w:r>
      <w:bookmarkEnd w:id="12"/>
    </w:p>
    <w:p w14:paraId="6A2F71D3" w14:textId="77777777" w:rsidR="00E05E1E" w:rsidRPr="00FD5803" w:rsidRDefault="00E05E1E" w:rsidP="009A1B99">
      <w:pPr>
        <w:spacing w:after="0" w:line="240" w:lineRule="auto"/>
        <w:jc w:val="center"/>
        <w:rPr>
          <w:rFonts w:cs="Calibri"/>
          <w:b/>
        </w:rPr>
      </w:pPr>
      <w:r w:rsidRPr="00FD5803">
        <w:rPr>
          <w:rFonts w:cs="Calibri"/>
          <w:b/>
        </w:rPr>
        <w:t xml:space="preserve">(pareiškimų Nr. </w:t>
      </w:r>
      <w:hyperlink r:id="rId13" w:anchor="{&quot;appno&quot;:[&quot;58170/13&quot;]}" w:tgtFrame="_blank" w:history="1">
        <w:r w:rsidRPr="00FD5803">
          <w:rPr>
            <w:rFonts w:cs="Calibri"/>
            <w:b/>
          </w:rPr>
          <w:t>58170/13</w:t>
        </w:r>
      </w:hyperlink>
      <w:r w:rsidRPr="00FD5803">
        <w:rPr>
          <w:rFonts w:cs="Calibri"/>
          <w:b/>
        </w:rPr>
        <w:t xml:space="preserve">, </w:t>
      </w:r>
      <w:hyperlink r:id="rId14" w:anchor="{&quot;appno&quot;:[&quot;62322/14&quot;]}" w:tgtFrame="_blank" w:history="1">
        <w:r w:rsidRPr="00FD5803">
          <w:rPr>
            <w:rFonts w:cs="Calibri"/>
            <w:b/>
          </w:rPr>
          <w:t>62322/14</w:t>
        </w:r>
      </w:hyperlink>
      <w:r w:rsidRPr="00FD5803">
        <w:rPr>
          <w:rFonts w:cs="Calibri"/>
          <w:b/>
        </w:rPr>
        <w:t xml:space="preserve"> ir </w:t>
      </w:r>
      <w:hyperlink r:id="rId15" w:anchor="{&quot;appno&quot;:[&quot;24960/15&quot;]}" w:tgtFrame="_blank" w:history="1">
        <w:r w:rsidRPr="00FD5803">
          <w:rPr>
            <w:rFonts w:cs="Calibri"/>
            <w:b/>
          </w:rPr>
          <w:t>24960/15</w:t>
        </w:r>
      </w:hyperlink>
      <w:r w:rsidRPr="00FD5803">
        <w:rPr>
          <w:rFonts w:cs="Calibri"/>
          <w:b/>
        </w:rPr>
        <w:t>, svarbos lygis – 2)</w:t>
      </w:r>
    </w:p>
    <w:p w14:paraId="392EA4D0" w14:textId="77777777" w:rsidR="00E05E1E" w:rsidRPr="00FD5803" w:rsidRDefault="00E05E1E" w:rsidP="009A1B99">
      <w:pPr>
        <w:pStyle w:val="s6c429373"/>
        <w:shd w:val="clear" w:color="auto" w:fill="FFFFFF"/>
        <w:spacing w:before="0" w:beforeAutospacing="0" w:after="0" w:afterAutospacing="0"/>
        <w:ind w:firstLine="567"/>
        <w:jc w:val="both"/>
        <w:rPr>
          <w:rStyle w:val="sfbbfee58"/>
          <w:rFonts w:ascii="Calibri" w:hAnsi="Calibri" w:cs="Calibri"/>
          <w:i/>
          <w:color w:val="000000"/>
          <w:sz w:val="22"/>
          <w:szCs w:val="22"/>
        </w:rPr>
      </w:pPr>
    </w:p>
    <w:p w14:paraId="4D758E63" w14:textId="77777777" w:rsidR="00E05E1E" w:rsidRPr="00FD5803" w:rsidRDefault="00E05E1E" w:rsidP="009A1B99">
      <w:pPr>
        <w:pStyle w:val="Antrat3"/>
        <w:spacing w:before="0" w:line="240" w:lineRule="auto"/>
        <w:ind w:firstLine="567"/>
        <w:jc w:val="both"/>
        <w:rPr>
          <w:rStyle w:val="sfbbfee58"/>
          <w:rFonts w:cs="Calibri"/>
          <w:szCs w:val="22"/>
        </w:rPr>
      </w:pPr>
      <w:bookmarkStart w:id="13" w:name="_Toc1657786"/>
      <w:r w:rsidRPr="00FD5803">
        <w:rPr>
          <w:rStyle w:val="sfbbfee58"/>
          <w:rFonts w:cs="Calibri"/>
          <w:szCs w:val="22"/>
        </w:rPr>
        <w:t>Dėl slapto stebėjimo režimo, apimančio masinį žurnalistinės medžiagos perėmimą, atitikties Konvencijai</w:t>
      </w:r>
      <w:bookmarkEnd w:id="13"/>
    </w:p>
    <w:p w14:paraId="31E4491A" w14:textId="77777777" w:rsidR="00E05E1E" w:rsidRPr="00FD5803" w:rsidRDefault="00E05E1E" w:rsidP="009A1B99">
      <w:pPr>
        <w:pStyle w:val="Antrat3"/>
        <w:spacing w:before="0" w:line="240" w:lineRule="auto"/>
        <w:ind w:firstLine="567"/>
        <w:jc w:val="both"/>
        <w:rPr>
          <w:rStyle w:val="sfbbfee58"/>
          <w:rFonts w:cs="Calibri"/>
          <w:szCs w:val="22"/>
        </w:rPr>
      </w:pPr>
      <w:bookmarkStart w:id="14" w:name="_Toc1657787"/>
      <w:r w:rsidRPr="00FD5803">
        <w:rPr>
          <w:rStyle w:val="sfbbfee58"/>
          <w:rFonts w:cs="Calibri"/>
          <w:szCs w:val="22"/>
        </w:rPr>
        <w:t>Dėl nepakankamos konfidencialios žurnalisto informacijos apsaugos pagal elektronines stebėjimo sistemas</w:t>
      </w:r>
      <w:bookmarkEnd w:id="14"/>
      <w:r w:rsidRPr="00FD5803">
        <w:rPr>
          <w:rStyle w:val="sfbbfee58"/>
          <w:rFonts w:cs="Calibri"/>
          <w:szCs w:val="22"/>
        </w:rPr>
        <w:t xml:space="preserve"> </w:t>
      </w:r>
    </w:p>
    <w:p w14:paraId="1DD53BD2" w14:textId="77777777" w:rsidR="00E05E1E" w:rsidRPr="00FD5803" w:rsidRDefault="00E05E1E" w:rsidP="009A1B99">
      <w:pPr>
        <w:pStyle w:val="s6c429373"/>
        <w:shd w:val="clear" w:color="auto" w:fill="FFFFFF"/>
        <w:spacing w:before="0" w:beforeAutospacing="0" w:after="0" w:afterAutospacing="0"/>
        <w:ind w:firstLine="567"/>
        <w:jc w:val="both"/>
        <w:rPr>
          <w:rFonts w:ascii="Calibri" w:hAnsi="Calibri" w:cs="Calibri"/>
          <w:i/>
          <w:color w:val="000000"/>
          <w:sz w:val="22"/>
          <w:szCs w:val="22"/>
        </w:rPr>
      </w:pPr>
    </w:p>
    <w:p w14:paraId="1864A4CF" w14:textId="77777777" w:rsidR="00E05E1E" w:rsidRPr="00FD5803" w:rsidRDefault="00E05E1E" w:rsidP="009A1B99">
      <w:pPr>
        <w:spacing w:after="0" w:line="240" w:lineRule="auto"/>
        <w:jc w:val="center"/>
        <w:rPr>
          <w:rFonts w:cs="Calibri"/>
          <w:b/>
        </w:rPr>
      </w:pPr>
      <w:r w:rsidRPr="00FD5803">
        <w:rPr>
          <w:rFonts w:cs="Calibri"/>
          <w:b/>
        </w:rPr>
        <w:t>Faktinės aplinkybės</w:t>
      </w:r>
    </w:p>
    <w:p w14:paraId="6813518B" w14:textId="77777777" w:rsidR="00E05E1E" w:rsidRPr="00FD5803" w:rsidRDefault="00E05E1E" w:rsidP="009A1B99">
      <w:pPr>
        <w:spacing w:after="0" w:line="240" w:lineRule="auto"/>
        <w:ind w:firstLine="567"/>
        <w:rPr>
          <w:rFonts w:cs="Calibri"/>
        </w:rPr>
      </w:pPr>
    </w:p>
    <w:p w14:paraId="482C321D" w14:textId="265E5780" w:rsidR="00E05E1E" w:rsidRPr="00FD5803" w:rsidRDefault="00E05E1E" w:rsidP="009A1B99">
      <w:pPr>
        <w:spacing w:after="0" w:line="240" w:lineRule="auto"/>
        <w:ind w:firstLine="567"/>
        <w:jc w:val="both"/>
        <w:rPr>
          <w:rStyle w:val="s1a844bc0"/>
          <w:rFonts w:eastAsia="Times New Roman" w:cs="Calibri"/>
          <w:iCs/>
          <w:color w:val="000000"/>
          <w:lang w:eastAsia="lt-LT"/>
        </w:rPr>
      </w:pPr>
      <w:r w:rsidRPr="00FD5803">
        <w:rPr>
          <w:rStyle w:val="s1a844bc0"/>
          <w:rFonts w:eastAsia="Times New Roman" w:cs="Calibri"/>
          <w:iCs/>
          <w:color w:val="000000"/>
          <w:lang w:eastAsia="lt-LT"/>
        </w:rPr>
        <w:t xml:space="preserve">Pareiškėjai, keletas įmonių, labdaros organizacijų, organizacijų ir asmenų, pateikusių Teismui tris pareiškimus, skundėsi dėl Jungtinės Karalystės vyriausybės valdomų elektroninių stebėjimo programų apimties ir dydžio. Pareiškėjai manė, kad dėl jų veiklos pobūdžio jų elektroninė komunikacija greičiausiai buvo perimta Jungtinės Karalystės žvalgybos tarnybos; Jungtinės Karalystės žvalgybos tarnybos įgyta po to, kai buvo perimta užsienio vyriausybių; ir / ar įgyta Jungtinės Karalystės valdžios institucijų iš Komunikacijos paslaugų tiekėjų. </w:t>
      </w:r>
    </w:p>
    <w:p w14:paraId="628B5C99" w14:textId="77777777" w:rsidR="00E05E1E" w:rsidRPr="00FD5803" w:rsidRDefault="00E05E1E" w:rsidP="009A1B99">
      <w:pPr>
        <w:spacing w:after="0" w:line="240" w:lineRule="auto"/>
        <w:ind w:firstLine="567"/>
        <w:jc w:val="both"/>
        <w:rPr>
          <w:rStyle w:val="s1a844bc0"/>
          <w:rFonts w:eastAsia="Times New Roman" w:cs="Calibri"/>
          <w:iCs/>
          <w:color w:val="000000"/>
          <w:lang w:eastAsia="lt-LT"/>
        </w:rPr>
      </w:pPr>
      <w:r w:rsidRPr="00FD5803">
        <w:rPr>
          <w:rStyle w:val="s1a844bc0"/>
          <w:rFonts w:eastAsia="Times New Roman" w:cs="Calibri"/>
          <w:iCs/>
          <w:color w:val="000000"/>
          <w:lang w:eastAsia="lt-LT"/>
        </w:rPr>
        <w:t xml:space="preserve">Pareiškėjų vertinimu, nacionalinė teisė buvo nesuderinama su Konvencija, kadangi suponavo jų teisių į privatumą pažeidimą, nenumatant atitinkamų procedūrų ir apsaugos priemonių (a) perimant masinę medžiagą; ir (b) dalijantis žvalgybos informacija su užsienio valstybėmis. Jų nuomone, režimas, nustatantis </w:t>
      </w:r>
      <w:r w:rsidRPr="00FD5803">
        <w:rPr>
          <w:rStyle w:val="s1a844bc0"/>
          <w:rFonts w:eastAsia="Times New Roman" w:cs="Calibri"/>
          <w:iCs/>
          <w:color w:val="000000"/>
          <w:lang w:eastAsia="lt-LT"/>
        </w:rPr>
        <w:lastRenderedPageBreak/>
        <w:t xml:space="preserve">valstybės valdžios institucijų ryšio duomenų įgijimą iš Komunikacijos paslaugų tiekėjų, taip pat buvo vienodai problematiškas. </w:t>
      </w:r>
    </w:p>
    <w:p w14:paraId="176C4029" w14:textId="0A7B71FE" w:rsidR="00E05E1E" w:rsidRPr="00FD5803" w:rsidRDefault="00E05E1E" w:rsidP="009A1B99">
      <w:pPr>
        <w:spacing w:after="0" w:line="240" w:lineRule="auto"/>
        <w:ind w:firstLine="567"/>
        <w:jc w:val="both"/>
        <w:rPr>
          <w:rStyle w:val="s1a844bc0"/>
          <w:rFonts w:eastAsia="Times New Roman" w:cs="Calibri"/>
          <w:iCs/>
          <w:color w:val="000000"/>
          <w:lang w:eastAsia="lt-LT"/>
        </w:rPr>
      </w:pPr>
      <w:r w:rsidRPr="00FD5803">
        <w:rPr>
          <w:rStyle w:val="s1a844bc0"/>
          <w:rFonts w:eastAsia="Times New Roman" w:cs="Calibri"/>
          <w:iCs/>
          <w:color w:val="000000"/>
          <w:lang w:eastAsia="lt-LT"/>
        </w:rPr>
        <w:t>Pareiškėjai antroje sujungtoje byloje (žurnalistas ir naujienas renkanti organizacija) skundėsi nepagrįstu įsikišimu į konfidencialią žurnalistinę medžiagą.</w:t>
      </w:r>
    </w:p>
    <w:p w14:paraId="2EE631EC" w14:textId="77777777" w:rsidR="00E05E1E" w:rsidRPr="00FD5803" w:rsidRDefault="00E05E1E" w:rsidP="009A1B99">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p>
    <w:p w14:paraId="5015FA15" w14:textId="77777777" w:rsidR="00E05E1E" w:rsidRPr="00FD5803" w:rsidRDefault="00E05E1E" w:rsidP="009A1B99">
      <w:pPr>
        <w:spacing w:after="0" w:line="240" w:lineRule="auto"/>
        <w:jc w:val="center"/>
        <w:rPr>
          <w:rFonts w:cs="Calibri"/>
        </w:rPr>
      </w:pPr>
      <w:r w:rsidRPr="00FD5803">
        <w:rPr>
          <w:rFonts w:cs="Calibri"/>
          <w:b/>
        </w:rPr>
        <w:t>Neoficiali Teismo sprendimo apžvalga</w:t>
      </w:r>
    </w:p>
    <w:p w14:paraId="7627DF2D" w14:textId="77777777" w:rsidR="00E05E1E" w:rsidRPr="00FD5803" w:rsidRDefault="00E05E1E" w:rsidP="009A1B99">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p>
    <w:p w14:paraId="72A9C299" w14:textId="77777777" w:rsidR="00E05E1E" w:rsidRPr="00FD5803" w:rsidRDefault="00E05E1E" w:rsidP="009A1B99">
      <w:pPr>
        <w:pStyle w:val="s6c429373"/>
        <w:shd w:val="clear" w:color="auto" w:fill="FFFFFF"/>
        <w:spacing w:before="0" w:beforeAutospacing="0" w:after="0" w:afterAutospacing="0"/>
        <w:ind w:firstLine="567"/>
        <w:jc w:val="both"/>
        <w:rPr>
          <w:rStyle w:val="s1a844bc0"/>
          <w:rFonts w:ascii="Calibri" w:hAnsi="Calibri" w:cs="Calibri"/>
          <w:i/>
          <w:iCs/>
          <w:color w:val="000000"/>
          <w:sz w:val="22"/>
          <w:szCs w:val="22"/>
        </w:rPr>
      </w:pPr>
      <w:r w:rsidRPr="00FD5803">
        <w:rPr>
          <w:rStyle w:val="s1a844bc0"/>
          <w:rFonts w:ascii="Calibri" w:hAnsi="Calibri" w:cs="Calibri"/>
          <w:i/>
          <w:iCs/>
          <w:color w:val="000000"/>
          <w:sz w:val="22"/>
          <w:szCs w:val="22"/>
        </w:rPr>
        <w:t xml:space="preserve">Dėl masinio medžiagos perėmimo </w:t>
      </w:r>
    </w:p>
    <w:p w14:paraId="759B4E28" w14:textId="77777777" w:rsidR="00E05E1E" w:rsidRPr="00FD5803" w:rsidRDefault="00E05E1E"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p>
    <w:p w14:paraId="621247FE" w14:textId="167F93FC" w:rsidR="00E05E1E" w:rsidRPr="00FD5803" w:rsidRDefault="00E05E1E"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 xml:space="preserve">Teismas patvirtino, kad jo ankstesnėje praktikoje įtvirtinti reikalavimai buvo reikšmingi vertinant teisinio reguliavimo, leidžiančio masinį medžiagos perėmimą, suderinamumą su Konvencija. Teismas pažymėjo, kad toks teisinis reguliavimas mažiausiai turėtų nustatyti teisės pažeidimų, kurie sudarytų pagrindą nurodymui dėl duomenų perėmimo, pobūdį; asmenų, kurių informacija gali būti perimta, kategorijas; perėmimo trukmės apribojimus; procedūrą, kurios turi būti laikomasi tikrinant, naudojant ir kaupiant įgytus duomenis; atsargumo priemones, kurių turi būti laikomasi perduodant duomenis kitoms šalims; ir aplinkybes, kurioms esant perimti duomenys gali arba turi būti ištrinti arba sunaikinti. Be to, taip pat turi būti atsižvelgiama į slapto stebėjimo įgyvendinimo priežiūros priemones, pranešimo mechanizmus ir nacionalinėje teisėje numatytas priemones (žr. 2015 m. gruodžio 4 d. sprendimo </w:t>
      </w:r>
      <w:r w:rsidRPr="00FD5803">
        <w:rPr>
          <w:rStyle w:val="s1a844bc0"/>
          <w:rFonts w:ascii="Calibri" w:hAnsi="Calibri" w:cs="Calibri"/>
          <w:i/>
          <w:iCs/>
          <w:color w:val="000000"/>
          <w:sz w:val="22"/>
          <w:szCs w:val="22"/>
        </w:rPr>
        <w:t>Roman Zakharov prieš Rusiją</w:t>
      </w:r>
      <w:r w:rsidRPr="00FD5803">
        <w:rPr>
          <w:rStyle w:val="s1a844bc0"/>
          <w:rFonts w:ascii="Calibri" w:hAnsi="Calibri" w:cs="Calibri"/>
          <w:iCs/>
          <w:color w:val="000000"/>
          <w:sz w:val="22"/>
          <w:szCs w:val="22"/>
        </w:rPr>
        <w:t xml:space="preserve"> (pareiškimo Nr. 47143/06) 238 p.).</w:t>
      </w:r>
    </w:p>
    <w:p w14:paraId="7260D807" w14:textId="77777777" w:rsidR="00E05E1E" w:rsidRPr="00FD5803" w:rsidRDefault="00E05E1E"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Teismas nepritarė pareiškėjų argumentams, kad anksčiau minėti reikalavimai turėjo būti atnaujinti, atsižvelgiant į padidėjusį stebėjimo technologijų sudėtingumą ir įsikišimą, įtraukiant, pavyzdžiui, reikalavimą dėl nepriklausomos teisminės institucijos leidimo perėmimo orderiui. Nors teismo leidimas laikomas svarbia apsaugos priemone ir, ko gero, netgi „geriausia praktika“, pats savaime jis gali būti nei būtinas, nei pakankamas, kad būtų užtikrintos Konvencijos 8 straipsnio nuostatos. Teismo nuomone, svarbu buvo atsižvelgti į perėmimo sistemos faktinį veikimą, įskaitant naudojimosi suteiktais įgaliojimais kontrolę ir pusiausvyrą, taip pat į bet kokio įrodymo dėl faktinio piktnaudžiavimo buvimą ar nebuvimą.</w:t>
      </w:r>
    </w:p>
    <w:p w14:paraId="084C6EF2" w14:textId="36FC5AAB" w:rsidR="00E05E1E" w:rsidRPr="00FD5803" w:rsidRDefault="00E05E1E"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 xml:space="preserve">Teismas atliko kruopščią ir išsamią nacionalinio teisinio reguliavimo, nustatančio masinį medžiagos perėmimą, analizę ir vertino, kad sprendimas dėl masinio medžiagos perėmimo režimo pateko į plačią valstybės vertinimo laisvės sritį. Teismas buvo įsitikinęs, kad Jungtinės Karalystės žvalgybos tarnybos rimtai vertino jų su Konvencija susijusias pareigas ir nepiktnaudžiavo savo įgaliojimais. Tačiau nepaisant to, šių įgaliojimų vertinimas dvejose srityse kėlė susirūpinimą: pirma, visos atrankos proceso priežiūros nebuvimas, įskaitant laikmenų atrinkimą perėmimui, perėmėjus ir paieškos kriterijus, analitikui filtruojant perimtą medžiagą; antra, nebuvo jokių realių apsaugos priemonių, taikomų atrenkant susijusią medžiagą vertinimui. </w:t>
      </w:r>
    </w:p>
    <w:p w14:paraId="7748EAB0" w14:textId="42679151" w:rsidR="00E05E1E" w:rsidRPr="00FD5803" w:rsidRDefault="00E05E1E"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 xml:space="preserve">Atsižvelgdamas į šiuos du konkrečius trūkumus, Teismas nustatė, kad minėtas režimas neatitiko teisėkūros kokybės („quality of law“) reikalavimų ir neatitiko ribojimo, </w:t>
      </w:r>
      <w:r w:rsidR="004136F9" w:rsidRPr="00FD5803">
        <w:rPr>
          <w:rStyle w:val="s1a844bc0"/>
          <w:rFonts w:ascii="Calibri" w:hAnsi="Calibri" w:cs="Calibri"/>
          <w:iCs/>
          <w:color w:val="000000"/>
          <w:sz w:val="22"/>
          <w:szCs w:val="22"/>
        </w:rPr>
        <w:t>būtino</w:t>
      </w:r>
      <w:r w:rsidRPr="00FD5803">
        <w:rPr>
          <w:rStyle w:val="s1a844bc0"/>
          <w:rFonts w:ascii="Calibri" w:hAnsi="Calibri" w:cs="Calibri"/>
          <w:iCs/>
          <w:color w:val="000000"/>
          <w:sz w:val="22"/>
          <w:szCs w:val="22"/>
        </w:rPr>
        <w:t xml:space="preserve"> demokratinėje visuomenėje, reikalavimų. Dėl to buvo pažeistas Konvencijos 8 straipsnis. </w:t>
      </w:r>
    </w:p>
    <w:p w14:paraId="43606BA8" w14:textId="77777777" w:rsidR="00E05E1E" w:rsidRPr="00FD5803" w:rsidRDefault="00E05E1E"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 xml:space="preserve">Atsižvelgdamas į galimą neigiamą poveikį („chilling effect“), kad kiekvienas medžiagos konfidencialumo ir ypatingai jų šaltinių konfidencialumo pažeidimas gali turėti įtakos spaudos laisvei, ir nesant jokių paskelbtų priemonių, ribojančių žvalgybos tarnybos galimybes ieškoti ir vertinti tokią medžiagą kitais atvejais, nei kai tai pateisinama svarbiu viešuoju interesu, Teismas sprendė, kad yra pažeistas Konvencijos 10 straipsnis. </w:t>
      </w:r>
    </w:p>
    <w:p w14:paraId="650EE079" w14:textId="77777777" w:rsidR="00E05E1E" w:rsidRPr="00FD5803" w:rsidRDefault="00E05E1E"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p>
    <w:p w14:paraId="06C67700"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 xml:space="preserve">Išvada: nustatytas Konvencijos 8 straipsnio pažeidimas (5 balsai prieš 2). </w:t>
      </w:r>
    </w:p>
    <w:p w14:paraId="06CFE3D7"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 xml:space="preserve">Išvada: nustatytas Konvencijos 10 straipsnio pažeidimas (6 balsai prieš 1). </w:t>
      </w:r>
    </w:p>
    <w:p w14:paraId="7064625B" w14:textId="77777777" w:rsidR="00E05E1E" w:rsidRPr="00FD5803" w:rsidRDefault="00E05E1E" w:rsidP="009A1B99">
      <w:pPr>
        <w:pStyle w:val="s6e50bd9a"/>
        <w:shd w:val="clear" w:color="auto" w:fill="FFFFFF"/>
        <w:tabs>
          <w:tab w:val="left" w:pos="3693"/>
        </w:tabs>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ab/>
      </w:r>
    </w:p>
    <w:p w14:paraId="561E2030"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i/>
          <w:sz w:val="22"/>
          <w:szCs w:val="22"/>
        </w:rPr>
        <w:t xml:space="preserve">Dėl žvalgybos informacijos dalijimosi </w:t>
      </w:r>
    </w:p>
    <w:p w14:paraId="5CC5B743"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p>
    <w:p w14:paraId="28147FC6" w14:textId="1A3EB4AF"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 xml:space="preserve">Šis atvejis yra pirmas, kuomet Teismo buvo prašyta įvertinti žvalgybos informacijos dalijimosi režimo suderinamumą su Konvencijos nuostatomis. Pažeidimas byloje nebuvo susijęs su pačios medžiagos perėmimu, bet buvo susijęs su perimtos medžiagos gavimu ir vėlesniu laikymu, vertinimu ir žvalgybos tarnybos naudojimu. Teismas nurodė, kad siekiant išvengti piktnaudžiavimo įgaliojimais, nacionaliniuose aktuose turėjo būti nustatytos aplinkybės, pagal kurias užsienio žvalgybos tarnybų būtų galima paprašyti perimtos medžiagos. Nors aplinkybės, kurioms esant toks prašymas galėtų būti pateikiamas, gali ir nebūti tapačios aplinkybėms, kuriomis vadovaudamasi valstybė pati gali atlikti perėmimą, tačiau jos turi būti </w:t>
      </w:r>
      <w:r w:rsidRPr="00FD5803">
        <w:rPr>
          <w:rFonts w:ascii="Calibri" w:hAnsi="Calibri" w:cs="Calibri"/>
          <w:sz w:val="22"/>
          <w:szCs w:val="22"/>
        </w:rPr>
        <w:lastRenderedPageBreak/>
        <w:t>pakankamai veiksmingos tiek, kiek galima,</w:t>
      </w:r>
      <w:r w:rsidR="004136F9" w:rsidRPr="00FD5803">
        <w:rPr>
          <w:rFonts w:ascii="Calibri" w:hAnsi="Calibri" w:cs="Calibri"/>
          <w:sz w:val="22"/>
          <w:szCs w:val="22"/>
        </w:rPr>
        <w:t xml:space="preserve"> ir</w:t>
      </w:r>
      <w:r w:rsidRPr="00FD5803">
        <w:rPr>
          <w:rFonts w:ascii="Calibri" w:hAnsi="Calibri" w:cs="Calibri"/>
          <w:sz w:val="22"/>
          <w:szCs w:val="22"/>
        </w:rPr>
        <w:t xml:space="preserve"> neleisti valstybėms pasinaudoti įgaliojimais apeinant iš nacionalinės teisės arba iš Konvencijos kylančias pareigas.</w:t>
      </w:r>
    </w:p>
    <w:p w14:paraId="3576A121"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Teismas buvo įsitikinęs, kad buvo pagrindas iš užsienio žvalgybos tarnybų prašyti žvalgybos duomenų, kad teisinis reguliavimas buvo pakankamai prieinamas ir siekė kelių teisėtų tikslų. Taip pat Teismas įvertino nacionalinės teisės aktuose įtvirtintą pakankamai aiškią procedūrą prašant perimti ar perduoti perimamą informaciją iš užsienio žvalgybos tarnybų. Nebuvo jokių įrodymų dėl reikšmingų režimo taikymo ir veikimo trūkumų.</w:t>
      </w:r>
    </w:p>
    <w:p w14:paraId="23102C6E"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 xml:space="preserve">Išvada: Konvencijos 8 straipsnio pažeidimas nenustatytas (5 balsai prieš 2).   </w:t>
      </w:r>
    </w:p>
    <w:p w14:paraId="3E854FB4"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p>
    <w:p w14:paraId="1B4F7AC5"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i/>
          <w:sz w:val="22"/>
          <w:szCs w:val="22"/>
        </w:rPr>
      </w:pPr>
      <w:r w:rsidRPr="00FD5803">
        <w:rPr>
          <w:rFonts w:ascii="Calibri" w:hAnsi="Calibri" w:cs="Calibri"/>
          <w:i/>
          <w:sz w:val="22"/>
          <w:szCs w:val="22"/>
        </w:rPr>
        <w:t xml:space="preserve">Dėl ryšio duomenų įgijimo iš </w:t>
      </w:r>
      <w:r w:rsidRPr="00FD5803">
        <w:rPr>
          <w:rFonts w:ascii="Calibri" w:hAnsi="Calibri"/>
          <w:i/>
          <w:sz w:val="22"/>
          <w:szCs w:val="22"/>
        </w:rPr>
        <w:t>Komunikacijos paslaugų tiekėjų</w:t>
      </w:r>
    </w:p>
    <w:p w14:paraId="53258AE4"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p>
    <w:p w14:paraId="624E36ED" w14:textId="56CBC201"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Teismas nustatė Konvencijos 8 straipsnio pažeidimą ir pažymėjo, kad</w:t>
      </w:r>
      <w:r w:rsidR="00C56F0E">
        <w:rPr>
          <w:rFonts w:ascii="Calibri" w:hAnsi="Calibri" w:cs="Calibri"/>
          <w:sz w:val="22"/>
          <w:szCs w:val="22"/>
        </w:rPr>
        <w:t xml:space="preserve"> nacionalinis režimas neatitiko teisės reikalavimų, nes leido gauti </w:t>
      </w:r>
      <w:r w:rsidR="00806211">
        <w:rPr>
          <w:rFonts w:ascii="Calibri" w:hAnsi="Calibri" w:cs="Calibri"/>
          <w:sz w:val="22"/>
          <w:szCs w:val="22"/>
        </w:rPr>
        <w:t>saugomus</w:t>
      </w:r>
      <w:r w:rsidR="00C56F0E">
        <w:rPr>
          <w:rFonts w:ascii="Calibri" w:hAnsi="Calibri" w:cs="Calibri"/>
          <w:sz w:val="22"/>
          <w:szCs w:val="22"/>
        </w:rPr>
        <w:t xml:space="preserve"> duomenis kovojant su nusikalstamumu (o ne su sunkiais nusikaltimais) ir, išskyrus atvejus, kai buvo siekiama nustatyti žurnalisto šaltinį, šiam klausimui nebuvo nustatytas išankstinis teisminis ar nepriklausomos administracinės institucijos patikrinimas. </w:t>
      </w:r>
    </w:p>
    <w:p w14:paraId="6D9E03BA" w14:textId="460C4171"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Teismas pripažino, kad nacionalinis režimas suteikė didesnę apsaugą, kai buvo reikalaujama duomenų, siekiant nustatyti žurnalisto šaltinį. Vis dėlto tokios nuostatos buvo taikomos tik tada, kai prašymo tikslas buvo nustatyti šaltinį</w:t>
      </w:r>
      <w:r w:rsidR="00D565E1" w:rsidRPr="00FD5803">
        <w:rPr>
          <w:rFonts w:ascii="Calibri" w:hAnsi="Calibri" w:cs="Calibri"/>
          <w:sz w:val="22"/>
          <w:szCs w:val="22"/>
        </w:rPr>
        <w:t>,</w:t>
      </w:r>
      <w:r w:rsidR="004136F9" w:rsidRPr="00FD5803">
        <w:rPr>
          <w:rFonts w:ascii="Calibri" w:hAnsi="Calibri" w:cs="Calibri"/>
          <w:sz w:val="22"/>
          <w:szCs w:val="22"/>
        </w:rPr>
        <w:t xml:space="preserve"> todėl jos</w:t>
      </w:r>
      <w:r w:rsidRPr="00FD5803">
        <w:rPr>
          <w:rFonts w:ascii="Calibri" w:hAnsi="Calibri" w:cs="Calibri"/>
          <w:sz w:val="22"/>
          <w:szCs w:val="22"/>
        </w:rPr>
        <w:t xml:space="preserve"> nebuvo taikom</w:t>
      </w:r>
      <w:r w:rsidR="004136F9" w:rsidRPr="00FD5803">
        <w:rPr>
          <w:rFonts w:ascii="Calibri" w:hAnsi="Calibri" w:cs="Calibri"/>
          <w:sz w:val="22"/>
          <w:szCs w:val="22"/>
        </w:rPr>
        <w:t>os</w:t>
      </w:r>
      <w:r w:rsidRPr="00FD5803">
        <w:rPr>
          <w:rFonts w:ascii="Calibri" w:hAnsi="Calibri" w:cs="Calibri"/>
          <w:sz w:val="22"/>
          <w:szCs w:val="22"/>
        </w:rPr>
        <w:t xml:space="preserve"> kiekvienu atveju, kai buvo pateikiamas prašymas dėl žurnalisto medžiagos. Teismas laikė, jog režimas negali būti laikomas suderinamu su iš Konvencijos</w:t>
      </w:r>
      <w:r w:rsidR="002556E5">
        <w:rPr>
          <w:rFonts w:ascii="Calibri" w:hAnsi="Calibri" w:cs="Calibri"/>
          <w:sz w:val="22"/>
          <w:szCs w:val="22"/>
        </w:rPr>
        <w:t xml:space="preserve"> 10 </w:t>
      </w:r>
      <w:r w:rsidR="00FD5803">
        <w:rPr>
          <w:rFonts w:ascii="Calibri" w:hAnsi="Calibri" w:cs="Calibri"/>
          <w:sz w:val="22"/>
          <w:szCs w:val="22"/>
        </w:rPr>
        <w:t>straipsnio</w:t>
      </w:r>
      <w:r w:rsidRPr="00FD5803">
        <w:rPr>
          <w:rFonts w:ascii="Calibri" w:hAnsi="Calibri" w:cs="Calibri"/>
          <w:sz w:val="22"/>
          <w:szCs w:val="22"/>
        </w:rPr>
        <w:t xml:space="preserve"> kylančiais reikalavimais. </w:t>
      </w:r>
    </w:p>
    <w:p w14:paraId="6201EA68"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 xml:space="preserve">Išvada: nustatytas Konvencijos 8 straipsnio pažeidimas (5 balsai prieš 2). </w:t>
      </w:r>
    </w:p>
    <w:p w14:paraId="7E8A9116"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Išvada: nustatytas Konvencijos 10 straipsnio pažeidimas (6 balsai prieš 1).</w:t>
      </w:r>
    </w:p>
    <w:p w14:paraId="24ECFC1E" w14:textId="77777777" w:rsidR="00E05E1E" w:rsidRPr="00FD5803"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 xml:space="preserve">(pateiktos 2 atskirosios nuomonės) </w:t>
      </w:r>
    </w:p>
    <w:p w14:paraId="3290DFF1" w14:textId="77777777" w:rsidR="00E05E1E" w:rsidRPr="00FD5803" w:rsidRDefault="007F5353" w:rsidP="009A1B99">
      <w:pPr>
        <w:spacing w:after="0" w:line="240" w:lineRule="auto"/>
        <w:ind w:firstLine="567"/>
        <w:rPr>
          <w:rFonts w:eastAsia="Times New Roman" w:cs="Calibri"/>
          <w:lang w:eastAsia="lt-LT"/>
        </w:rPr>
      </w:pPr>
      <w:hyperlink r:id="rId16" w:history="1">
        <w:r w:rsidR="00E05E1E" w:rsidRPr="00FD5803">
          <w:rPr>
            <w:rStyle w:val="Hipersaitas"/>
            <w:rFonts w:eastAsia="Times New Roman" w:cs="Calibri"/>
            <w:lang w:eastAsia="lt-LT"/>
          </w:rPr>
          <w:t>Prieiga internete</w:t>
        </w:r>
      </w:hyperlink>
    </w:p>
    <w:p w14:paraId="766E07B0" w14:textId="77777777" w:rsidR="00E05E1E" w:rsidRPr="00FD5803" w:rsidRDefault="00E05E1E" w:rsidP="009A1B99">
      <w:pPr>
        <w:tabs>
          <w:tab w:val="left" w:pos="2610"/>
        </w:tabs>
        <w:spacing w:after="0" w:line="240" w:lineRule="auto"/>
        <w:jc w:val="center"/>
        <w:rPr>
          <w:rFonts w:eastAsia="Calibri" w:cs="Times New Roman"/>
          <w:b/>
        </w:rPr>
      </w:pPr>
    </w:p>
    <w:p w14:paraId="5F2B9E42" w14:textId="77777777" w:rsidR="005312F6" w:rsidRPr="00FD5803" w:rsidRDefault="005312F6" w:rsidP="009A1B99">
      <w:pPr>
        <w:spacing w:after="0" w:line="240" w:lineRule="auto"/>
        <w:jc w:val="center"/>
        <w:rPr>
          <w:rFonts w:cs="Arial"/>
          <w:b/>
        </w:rPr>
      </w:pPr>
      <w:r w:rsidRPr="00FD5803">
        <w:rPr>
          <w:rFonts w:cs="Arial"/>
          <w:b/>
        </w:rPr>
        <w:t>Europos Žmogaus Teisių Teismo 2018 m. spalio 30 d. sprendimas byloje</w:t>
      </w:r>
    </w:p>
    <w:p w14:paraId="27632E29" w14:textId="77777777" w:rsidR="005312F6" w:rsidRPr="00FD5803" w:rsidRDefault="005312F6" w:rsidP="009A1B99">
      <w:pPr>
        <w:pStyle w:val="Antrat2"/>
        <w:ind w:firstLine="0"/>
        <w:jc w:val="center"/>
        <w:rPr>
          <w:rFonts w:eastAsia="Calibri"/>
          <w:i/>
        </w:rPr>
      </w:pPr>
      <w:bookmarkStart w:id="15" w:name="_Toc1657788"/>
      <w:r w:rsidRPr="00FD5803">
        <w:rPr>
          <w:rFonts w:eastAsia="Calibri"/>
          <w:i/>
        </w:rPr>
        <w:t>Kaboğlu ir Oran prieš Turkiją</w:t>
      </w:r>
      <w:bookmarkEnd w:id="15"/>
    </w:p>
    <w:p w14:paraId="22EE9437" w14:textId="77777777" w:rsidR="005312F6" w:rsidRPr="00FD5803" w:rsidRDefault="005312F6" w:rsidP="009A1B99">
      <w:pPr>
        <w:spacing w:after="0" w:line="240" w:lineRule="auto"/>
        <w:jc w:val="center"/>
        <w:rPr>
          <w:rFonts w:cs="Arial"/>
          <w:b/>
        </w:rPr>
      </w:pPr>
      <w:r w:rsidRPr="00FD5803">
        <w:rPr>
          <w:rFonts w:cs="Arial"/>
          <w:b/>
        </w:rPr>
        <w:t>(pareiškimų Nr. 1759/08, Nr. 50766/10 ir Nr. 50782/10, svarbos lygis – 2)</w:t>
      </w:r>
    </w:p>
    <w:p w14:paraId="35B8DA19" w14:textId="77777777" w:rsidR="005312F6" w:rsidRPr="00FD5803" w:rsidRDefault="005312F6" w:rsidP="009A1B99">
      <w:pPr>
        <w:spacing w:after="0" w:line="240" w:lineRule="auto"/>
        <w:jc w:val="center"/>
        <w:rPr>
          <w:rFonts w:cs="Arial"/>
        </w:rPr>
      </w:pPr>
    </w:p>
    <w:p w14:paraId="0F93BBF0" w14:textId="77777777" w:rsidR="005312F6" w:rsidRPr="00FD5803" w:rsidRDefault="005312F6" w:rsidP="009A1B99">
      <w:pPr>
        <w:pStyle w:val="Antrat3"/>
        <w:spacing w:before="0" w:line="240" w:lineRule="auto"/>
        <w:ind w:firstLine="567"/>
        <w:jc w:val="both"/>
        <w:rPr>
          <w:szCs w:val="22"/>
          <w:shd w:val="clear" w:color="auto" w:fill="FFFFFF"/>
          <w:lang w:eastAsia="lt-LT"/>
        </w:rPr>
      </w:pPr>
      <w:bookmarkStart w:id="16" w:name="_Toc1657789"/>
      <w:r w:rsidRPr="00FD5803">
        <w:rPr>
          <w:szCs w:val="22"/>
          <w:lang w:eastAsia="lt-LT"/>
        </w:rPr>
        <w:t xml:space="preserve">Dėl teisės į </w:t>
      </w:r>
      <w:r w:rsidRPr="00FD5803">
        <w:rPr>
          <w:szCs w:val="22"/>
        </w:rPr>
        <w:t xml:space="preserve">privataus ir šeimos gyvenimo gerbimą </w:t>
      </w:r>
      <w:r w:rsidRPr="00FD5803">
        <w:rPr>
          <w:szCs w:val="22"/>
          <w:lang w:eastAsia="lt-LT"/>
        </w:rPr>
        <w:t xml:space="preserve">pažeidimo, neapsaugant ataskaitos apie mažumų teises autorių nuo spaudoje publikuotų </w:t>
      </w:r>
      <w:r w:rsidRPr="00FD5803">
        <w:rPr>
          <w:szCs w:val="22"/>
          <w:shd w:val="clear" w:color="auto" w:fill="FFFFFF"/>
          <w:lang w:eastAsia="lt-LT"/>
        </w:rPr>
        <w:t>grasinimų fiziniu susidorojimu</w:t>
      </w:r>
      <w:r w:rsidRPr="00FD5803">
        <w:rPr>
          <w:szCs w:val="22"/>
          <w:lang w:eastAsia="lt-LT"/>
        </w:rPr>
        <w:t xml:space="preserve"> ir žodinio smurto</w:t>
      </w:r>
      <w:bookmarkEnd w:id="16"/>
    </w:p>
    <w:p w14:paraId="319DAB46" w14:textId="77777777" w:rsidR="005312F6" w:rsidRPr="00FD5803" w:rsidRDefault="005312F6" w:rsidP="009A1B99">
      <w:pPr>
        <w:spacing w:after="0" w:line="240" w:lineRule="auto"/>
        <w:ind w:firstLine="540"/>
        <w:jc w:val="both"/>
        <w:rPr>
          <w:rFonts w:cs="Arial"/>
        </w:rPr>
      </w:pPr>
    </w:p>
    <w:p w14:paraId="08C0620B" w14:textId="77777777" w:rsidR="005312F6" w:rsidRPr="00FD5803" w:rsidRDefault="005312F6" w:rsidP="009A1B99">
      <w:pPr>
        <w:spacing w:after="0" w:line="240" w:lineRule="auto"/>
        <w:jc w:val="center"/>
        <w:rPr>
          <w:rFonts w:cs="Arial"/>
          <w:b/>
        </w:rPr>
      </w:pPr>
      <w:r w:rsidRPr="00FD5803">
        <w:rPr>
          <w:rFonts w:cs="Arial"/>
          <w:b/>
        </w:rPr>
        <w:t>Faktinės aplinkybės</w:t>
      </w:r>
    </w:p>
    <w:p w14:paraId="577DE9A8" w14:textId="77777777" w:rsidR="005312F6" w:rsidRPr="00FD5803" w:rsidRDefault="005312F6" w:rsidP="009A1B99">
      <w:pPr>
        <w:spacing w:after="0" w:line="240" w:lineRule="auto"/>
        <w:ind w:firstLine="540"/>
        <w:jc w:val="center"/>
        <w:rPr>
          <w:rFonts w:cs="Arial"/>
          <w:b/>
        </w:rPr>
      </w:pPr>
    </w:p>
    <w:p w14:paraId="1479AB93" w14:textId="49E89148" w:rsidR="005312F6" w:rsidRPr="00FD5803" w:rsidRDefault="005312F6" w:rsidP="009A1B99">
      <w:pPr>
        <w:spacing w:after="0" w:line="240" w:lineRule="auto"/>
        <w:ind w:firstLine="567"/>
        <w:jc w:val="both"/>
        <w:rPr>
          <w:rFonts w:cs="Arial"/>
        </w:rPr>
      </w:pPr>
      <w:r w:rsidRPr="00FD5803">
        <w:rPr>
          <w:rFonts w:cs="Arial"/>
        </w:rPr>
        <w:t xml:space="preserve">Pareiškėjai I. Ö. Kaboğlu ir B. Oran – Turkijos piliečiai, universitetų dėstytojai, kurie specializuojasi žmogaus teisių srityje. Pareiškėjai užėmė aukštas pareigas Turkijos Patariamojoje taryboje žmogaus teisių klausimais – </w:t>
      </w:r>
      <w:r w:rsidR="004136F9" w:rsidRPr="00FD5803">
        <w:rPr>
          <w:rStyle w:val="tlid-translation"/>
        </w:rPr>
        <w:t>viešojoje įstaigoje</w:t>
      </w:r>
      <w:r w:rsidRPr="00FD5803">
        <w:rPr>
          <w:rStyle w:val="tlid-translation"/>
        </w:rPr>
        <w:t>, pavald</w:t>
      </w:r>
      <w:r w:rsidR="004136F9" w:rsidRPr="00FD5803">
        <w:rPr>
          <w:rStyle w:val="tlid-translation"/>
        </w:rPr>
        <w:t>žioje</w:t>
      </w:r>
      <w:r w:rsidRPr="00FD5803">
        <w:rPr>
          <w:rStyle w:val="tlid-translation"/>
        </w:rPr>
        <w:t xml:space="preserve"> Turkijos </w:t>
      </w:r>
      <w:r w:rsidR="004136F9" w:rsidRPr="00FD5803">
        <w:rPr>
          <w:rStyle w:val="tlid-translation"/>
        </w:rPr>
        <w:t>Ministrui Pirmininkui, atsakingoje</w:t>
      </w:r>
      <w:r w:rsidRPr="00FD5803">
        <w:rPr>
          <w:rStyle w:val="tlid-translation"/>
        </w:rPr>
        <w:t xml:space="preserve"> už tai, kad teiktų Turkijos Vyriausybei nuomones, rekomendacijas, pasiūlymus ir ataskaitas su žmogaus teisių skatinimu ir apsauga susijusiais klausimais</w:t>
      </w:r>
      <w:r w:rsidRPr="00FD5803">
        <w:rPr>
          <w:rFonts w:cs="Arial"/>
        </w:rPr>
        <w:t>.</w:t>
      </w:r>
    </w:p>
    <w:p w14:paraId="1AB7DC34" w14:textId="77777777" w:rsidR="005312F6" w:rsidRPr="00FD5803" w:rsidRDefault="005312F6" w:rsidP="009A1B99">
      <w:pPr>
        <w:spacing w:after="0" w:line="240" w:lineRule="auto"/>
        <w:ind w:firstLine="567"/>
        <w:jc w:val="both"/>
        <w:rPr>
          <w:rFonts w:cs="Arial"/>
        </w:rPr>
      </w:pPr>
      <w:r w:rsidRPr="00FD5803">
        <w:rPr>
          <w:rFonts w:cs="Arial"/>
        </w:rPr>
        <w:t xml:space="preserve">2004 metais minėtos tarybos visuotinis susirinkimas patvirtino ataskaitą dėl mažumų ir kultūrinių teisių, kurioje, be kita ko, buvo akcentuotos mažumų teisių apsaugos problemos Turkijoje ir pasisakoma už </w:t>
      </w:r>
      <w:r w:rsidRPr="00FD5803">
        <w:rPr>
          <w:rStyle w:val="tlid-translation"/>
        </w:rPr>
        <w:t xml:space="preserve">daugialypę, daugiakultūrinę, demokratinę, liberalią bei pliuralistinę visuomenę. </w:t>
      </w:r>
      <w:r w:rsidRPr="00FD5803">
        <w:rPr>
          <w:rFonts w:cs="Arial"/>
        </w:rPr>
        <w:t xml:space="preserve">Po šios ataskaitos paskelbimo spaudoje buvo publikuoti keletas ją smerkiančių straipsnių, kuriuose pareiškėjai buvo kritikuojami dėl ataskaitoje išsakytų savo minčių. Šiuose straipsniuose buvo gausu įžeidimų, grasinimų ir </w:t>
      </w:r>
      <w:r w:rsidRPr="00FD5803">
        <w:rPr>
          <w:shd w:val="clear" w:color="auto" w:fill="FFFFFF"/>
          <w:lang w:eastAsia="lt-LT"/>
        </w:rPr>
        <w:t>neapykantą kurstančių pasisakymų</w:t>
      </w:r>
      <w:r w:rsidRPr="00FD5803">
        <w:rPr>
          <w:rFonts w:cs="Arial"/>
        </w:rPr>
        <w:t>, nukreiptų prieš pareiškėjus.</w:t>
      </w:r>
    </w:p>
    <w:p w14:paraId="1A877A67" w14:textId="77777777" w:rsidR="005312F6" w:rsidRPr="00FD5803" w:rsidRDefault="005312F6" w:rsidP="009A1B99">
      <w:pPr>
        <w:spacing w:after="0" w:line="240" w:lineRule="auto"/>
        <w:ind w:firstLine="567"/>
        <w:jc w:val="both"/>
        <w:rPr>
          <w:rFonts w:cs="Arial"/>
        </w:rPr>
      </w:pPr>
      <w:r w:rsidRPr="00FD5803">
        <w:rPr>
          <w:rFonts w:cs="Arial"/>
        </w:rPr>
        <w:t>Pareiškėjai nacionaliniuose teismuose teikė ieškinius dėl žalos atlyginimo šių straipsnių autoriams ir dienraščių savininkams, tačiau visi jie buvo atmesti.</w:t>
      </w:r>
    </w:p>
    <w:p w14:paraId="5A6F8E25" w14:textId="77777777" w:rsidR="005312F6" w:rsidRPr="00FD5803" w:rsidRDefault="005312F6" w:rsidP="009A1B99">
      <w:pPr>
        <w:spacing w:after="0" w:line="240" w:lineRule="auto"/>
        <w:ind w:firstLine="567"/>
        <w:jc w:val="both"/>
        <w:rPr>
          <w:rFonts w:cs="Arial"/>
        </w:rPr>
      </w:pPr>
      <w:r w:rsidRPr="00FD5803">
        <w:rPr>
          <w:rFonts w:cs="Arial"/>
        </w:rPr>
        <w:t>Remdamiesi Konvencijos 2, 8, 10 ir 14 straipsniais, pareiškėjai skundėsi, kad nacionalinės valdžios institucijos neapsaugojo jų nuo įžeidimų, grasinimų ir neapykantą kurstančių kalbų, nukreiptų prieš juos spaudoje dėl idėjų, kurias jie išsakė ataskaitoje apie mažumų ir kultūrines teises.</w:t>
      </w:r>
    </w:p>
    <w:p w14:paraId="04ACFB49" w14:textId="77777777" w:rsidR="005312F6" w:rsidRPr="00FD5803" w:rsidRDefault="005312F6" w:rsidP="009A1B99">
      <w:pPr>
        <w:spacing w:after="0" w:line="240" w:lineRule="auto"/>
        <w:ind w:firstLine="567"/>
        <w:jc w:val="both"/>
        <w:rPr>
          <w:rFonts w:cs="Arial"/>
        </w:rPr>
      </w:pPr>
    </w:p>
    <w:p w14:paraId="7B30CAD3" w14:textId="77777777" w:rsidR="005312F6" w:rsidRPr="00FD5803" w:rsidRDefault="005312F6" w:rsidP="009A1B99">
      <w:pPr>
        <w:spacing w:after="0" w:line="240" w:lineRule="auto"/>
        <w:jc w:val="center"/>
        <w:rPr>
          <w:rFonts w:cs="Arial"/>
        </w:rPr>
      </w:pPr>
      <w:r w:rsidRPr="00FD5803">
        <w:rPr>
          <w:rFonts w:cs="Arial"/>
          <w:b/>
        </w:rPr>
        <w:t>Neoficiali Teismo sprendimo apžvalga</w:t>
      </w:r>
    </w:p>
    <w:p w14:paraId="19E20068" w14:textId="77777777" w:rsidR="005312F6" w:rsidRPr="00FD5803" w:rsidRDefault="005312F6" w:rsidP="009A1B99">
      <w:pPr>
        <w:spacing w:after="0" w:line="240" w:lineRule="auto"/>
        <w:ind w:firstLine="567"/>
        <w:jc w:val="both"/>
        <w:rPr>
          <w:rFonts w:cs="Arial"/>
        </w:rPr>
      </w:pPr>
    </w:p>
    <w:p w14:paraId="0E366416" w14:textId="77777777" w:rsidR="005312F6" w:rsidRPr="00FD5803" w:rsidRDefault="005312F6" w:rsidP="009A1B99">
      <w:pPr>
        <w:spacing w:after="0" w:line="240" w:lineRule="auto"/>
        <w:ind w:firstLine="567"/>
        <w:jc w:val="both"/>
        <w:rPr>
          <w:rFonts w:cs="Arial"/>
        </w:rPr>
      </w:pPr>
      <w:r w:rsidRPr="00FD5803">
        <w:rPr>
          <w:rFonts w:cs="Arial"/>
        </w:rPr>
        <w:lastRenderedPageBreak/>
        <w:t>Teismas nusprendė pareiškimus dėl Konvencijos 2 ir 8 straipsnių pažeidimų nagrinėti tik pagal Konvencijos 8 straipsnį.</w:t>
      </w:r>
    </w:p>
    <w:p w14:paraId="57AA4C59" w14:textId="7A1A477A" w:rsidR="005312F6" w:rsidRPr="00FD5803" w:rsidRDefault="005312F6" w:rsidP="009A1B99">
      <w:pPr>
        <w:spacing w:after="0" w:line="240" w:lineRule="auto"/>
        <w:ind w:firstLine="567"/>
        <w:jc w:val="both"/>
        <w:rPr>
          <w:rStyle w:val="tlid-translation"/>
          <w:rFonts w:cs="Arial"/>
        </w:rPr>
      </w:pPr>
      <w:r w:rsidRPr="00FD5803">
        <w:rPr>
          <w:rFonts w:cs="Arial"/>
        </w:rPr>
        <w:t xml:space="preserve">Teismas nurodė, kad pareiškėjus įžeidžiantys straipsniai </w:t>
      </w:r>
      <w:r w:rsidRPr="00FD5803">
        <w:rPr>
          <w:rStyle w:val="tlid-translation"/>
        </w:rPr>
        <w:t xml:space="preserve">buvo publikuoti tuo metu, kai vyko karštos viešos diskusijos dėl pasiūlymų, pateiktų minėtoje ataskaitoje dėl mažumų padėties ir teisių Turkijos visuomenėje. </w:t>
      </w:r>
      <w:r w:rsidRPr="00FD5803">
        <w:rPr>
          <w:rFonts w:cs="Arial"/>
        </w:rPr>
        <w:t>Šie</w:t>
      </w:r>
      <w:r w:rsidRPr="00FD5803">
        <w:rPr>
          <w:rStyle w:val="tlid-translation"/>
        </w:rPr>
        <w:t xml:space="preserve"> straipsniai buvo neabejotinai dalis visuotinai svarbos diskusijos, susijusios su paskelbta ataskaita</w:t>
      </w:r>
      <w:r w:rsidR="004136F9" w:rsidRPr="00FD5803">
        <w:rPr>
          <w:rStyle w:val="tlid-translation"/>
        </w:rPr>
        <w:t xml:space="preserve"> </w:t>
      </w:r>
      <w:r w:rsidRPr="00FD5803">
        <w:rPr>
          <w:rStyle w:val="tlid-translation"/>
        </w:rPr>
        <w:t>dėl veiksmingos mažumų teisių apsaugos Turkijoje. Tai buvo jautri tema Turkijos visuomenei, kuri nacionalistiniuose visuomenės sluoksniuose galėjo kelti susirūpinimą dėl Turkijos tautos vienybės ir valstybės struktūros vientisumo. Taigi nagrinėti spaudoje publikuoti straipsniai ir pareiškimai buvo dalis neigiamos tam tikrų visuomenės sluoksnių reakcijos į ataskaitą ir jos pagrindinius autorius, tarp jų – pareiškėjus.</w:t>
      </w:r>
    </w:p>
    <w:p w14:paraId="3B3FE08D" w14:textId="77777777" w:rsidR="005312F6" w:rsidRPr="00FD5803" w:rsidRDefault="005312F6" w:rsidP="009A1B99">
      <w:pPr>
        <w:spacing w:after="0" w:line="240" w:lineRule="auto"/>
        <w:ind w:firstLine="567"/>
        <w:jc w:val="both"/>
        <w:rPr>
          <w:rStyle w:val="tlid-translation"/>
        </w:rPr>
      </w:pPr>
      <w:r w:rsidRPr="00FD5803">
        <w:rPr>
          <w:rStyle w:val="tlid-translation"/>
        </w:rPr>
        <w:t xml:space="preserve">Teismas pažymėjo, kad pareiškėjai, pasinaudodami saviraiškos laisve ir minėtoje ataskaitoje pateikdami savo nuomonę dėl mažumų padėties ir teisių Turkijos visuomenėje, tai padarė nenaudodami diskriminuojančios ar įžeidžiančios kalbos prieš kitokio požiūrio šalininkus. </w:t>
      </w:r>
      <w:r w:rsidRPr="00FD5803">
        <w:rPr>
          <w:rFonts w:cs="Arial"/>
        </w:rPr>
        <w:t xml:space="preserve">Tačiau </w:t>
      </w:r>
      <w:r w:rsidRPr="00FD5803">
        <w:rPr>
          <w:rStyle w:val="tlid-translation"/>
        </w:rPr>
        <w:t>pareiškėjų atžvilgiu nagrinėtuose straipsniuose buvo išsakyta itin griežta kritika, buvo abejojama pareiškėjų gera valia ir dorumu, jie buvo niekinami kaip Turkijos tautos interesams nejautrūs intelektualai, veikiantys užsienio valstybių interesais.</w:t>
      </w:r>
    </w:p>
    <w:p w14:paraId="1C96627B" w14:textId="77777777" w:rsidR="005312F6" w:rsidRPr="00FD5803" w:rsidRDefault="005312F6" w:rsidP="009A1B99">
      <w:pPr>
        <w:spacing w:after="0" w:line="240" w:lineRule="auto"/>
        <w:ind w:firstLine="567"/>
        <w:jc w:val="both"/>
        <w:rPr>
          <w:rStyle w:val="tlid-translation"/>
        </w:rPr>
      </w:pPr>
      <w:r w:rsidRPr="00FD5803">
        <w:rPr>
          <w:rStyle w:val="tlid-translation"/>
        </w:rPr>
        <w:t xml:space="preserve">Teismas </w:t>
      </w:r>
      <w:r w:rsidRPr="00FD5803">
        <w:rPr>
          <w:rFonts w:cs="Arial"/>
        </w:rPr>
        <w:t xml:space="preserve">atkreipė dėmesį, kad </w:t>
      </w:r>
      <w:r w:rsidRPr="00FD5803">
        <w:rPr>
          <w:rStyle w:val="tlid-translation"/>
        </w:rPr>
        <w:t xml:space="preserve">nagrinėtų straipsnių stilius bei turinys buvo provokuojantis, piktas ir gana įžeidžiantis, o tam tikros šių straipsnių dalys aiškiai ir tiesiogiai ar netiesiogiai skatino smurtą. Pavyzdžiui, tokie teiginiai: „Aš prisiekiu jums, mūsų žemės kaina turi būti sumokėta krauju ir, jei reikia, kraujas bus pralietas“; „Mano manymu, jei mes būtumėme sumušę šiuos individus, žmonėms būtų palengvėję“. Teismo vertinimu, šie pasisakymai kartu su žeminančiais plačiai straipsniuose vartojamais posakiais „išdavikas“, „ardomąja veikla užsiimantys asmenys ... [kurie nusipelno] mirties bausmės“, „Trojos arklys, infiltravęsis tarp mūsų“ ir „šnipas“ kurstė neapykantą ataskaitos autorių, įskaitant pareiškėjus, atžvilgiu ir tai kėlė jiems fizinio susidorojimo grėsmę. Teismo nuomone, šiuo atveju neturi būti nuvertinta grėsmė, kad tokie pasisakymai galėjo paskatinti realius smurto protrūkius prieš pareiškėjus, ypač turint omenyje tai, jog šie straipsniai buvo publikuoti nacionalinio lygmens dienraščiuose. Šiame kontekste Teismas pabrėžė, kad, pavyzdžiui, Turkijos žurnalistas Firat Dink dėl jo išsakytų neortodoksinių (eretiškų) pažiūrų tam tikrais Turkijos visuomenei jautriais klausimais po tokias jo pažiūras smerkiančios kampanijos, kurios metu buvo išsakyti ir grasinimai mirtimi, buvo nužudytas ultra-nacionalistų </w:t>
      </w:r>
      <w:r w:rsidRPr="00FD5803">
        <w:t xml:space="preserve">(žr. 2010 m. rugsėjo 14 d. sprendimą byloje </w:t>
      </w:r>
      <w:r w:rsidRPr="00FD5803">
        <w:rPr>
          <w:i/>
          <w:iCs/>
        </w:rPr>
        <w:t>Dink prieš Turkiją</w:t>
      </w:r>
      <w:r w:rsidRPr="00FD5803">
        <w:t>, pareiškimo Nr. 2668/07 et al.).</w:t>
      </w:r>
    </w:p>
    <w:p w14:paraId="504CD9AE" w14:textId="77777777" w:rsidR="005312F6" w:rsidRPr="00FD5803" w:rsidRDefault="005312F6" w:rsidP="009A1B99">
      <w:pPr>
        <w:spacing w:after="0" w:line="240" w:lineRule="auto"/>
        <w:ind w:firstLine="567"/>
        <w:jc w:val="both"/>
        <w:rPr>
          <w:rStyle w:val="tlid-translation"/>
        </w:rPr>
      </w:pPr>
      <w:r w:rsidRPr="00FD5803">
        <w:rPr>
          <w:rFonts w:cs="Arial"/>
        </w:rPr>
        <w:t xml:space="preserve">Teismas sprendė, kad šiuo atveju prieš pareiškėjus nukreiptais </w:t>
      </w:r>
      <w:r w:rsidRPr="00FD5803">
        <w:rPr>
          <w:rStyle w:val="tlid-translation"/>
        </w:rPr>
        <w:t xml:space="preserve">žodiniais išpuoliais </w:t>
      </w:r>
      <w:r w:rsidRPr="00FD5803">
        <w:rPr>
          <w:rFonts w:cs="Arial"/>
        </w:rPr>
        <w:t xml:space="preserve">ir grasinimais fiziniu susidorojimu buvo siekiama pakenkti jų </w:t>
      </w:r>
      <w:r w:rsidRPr="00FD5803">
        <w:rPr>
          <w:rStyle w:val="tlid-translation"/>
        </w:rPr>
        <w:t xml:space="preserve">intelektinei </w:t>
      </w:r>
      <w:r w:rsidRPr="00FD5803">
        <w:rPr>
          <w:rFonts w:cs="Arial"/>
        </w:rPr>
        <w:t xml:space="preserve">asmenybei, tai sukėlė pareiškėjams baimės, nerimo, pažeidžiamumo jausmą, tokiu būdu buvo </w:t>
      </w:r>
      <w:r w:rsidRPr="00FD5803">
        <w:rPr>
          <w:rStyle w:val="tlid-translation"/>
        </w:rPr>
        <w:t>siekiama juos pažeminti ir palaužti jų norą ginti savo idėjas. Tačiau nacionaliniai teismai apibendrintai padarė išvadą, kad šie straipsniai nebuvo tiesiogiai nukreipti prieš pareiškėjus ir juose pareiškėjų atžvilgiu nebuvo „nepelnytų išpuolių“. Nacionaliniai teismai sprendė, kad pareiškėjai turėjo toleruoti tokią griežtą prieš juos nukreiptą kritiką tiek dėl savo statuso, tiek dėl ataskaitoje išsakytos kritikos savo ideologiniams oponentams. Galiausiai nacionaliniai teismai sprendė, kad publikuotų straipsnių atžvilgiu taikytina jų autorių saviraiškos laisvės apsauga, todėl nekreipė pakankamai dėmesio juose esantiems grasinančio pobūdžio ir smurtiniams pasisakymams.</w:t>
      </w:r>
    </w:p>
    <w:p w14:paraId="2F47CF9D" w14:textId="77777777" w:rsidR="005312F6" w:rsidRPr="00FD5803" w:rsidRDefault="005312F6" w:rsidP="009A1B99">
      <w:pPr>
        <w:spacing w:after="0" w:line="240" w:lineRule="auto"/>
        <w:ind w:firstLine="567"/>
        <w:jc w:val="both"/>
        <w:rPr>
          <w:rStyle w:val="tlid-translation"/>
        </w:rPr>
      </w:pPr>
      <w:r w:rsidRPr="00FD5803">
        <w:rPr>
          <w:rFonts w:cs="Arial"/>
        </w:rPr>
        <w:t xml:space="preserve">Tačiau Teismas atkreipė dėmesį, kad atsižvelgiant į tai, jog </w:t>
      </w:r>
      <w:r w:rsidRPr="00FD5803">
        <w:t xml:space="preserve">pareiškėjų atžvilgiu vieša kritika buvo išsakyta dėl jų darbo, kurį jie atliko vykdydami savo tiesiogines pareigas kaip valdžios institucijų paskirti ekspertai, turintys patarti konkrečiais klausimais Patariamojoje taryboje, pareiškėjai negalėjo būti prilyginti politikams, kurie turėtų labiau toleruoti tokią griežtą kritiką. </w:t>
      </w:r>
      <w:r w:rsidRPr="00FD5803">
        <w:rPr>
          <w:rStyle w:val="tlid-translation"/>
        </w:rPr>
        <w:t xml:space="preserve">Be to, nacionaliniai teismai nepateikė tinkamo atsakymo į klausimą, ar spaudos laisvė, atsižvelgiant į šios bylos aplinkybes, galėtų pateisinti neapykantą skatinančiais pasisakymais ir smurto kurstymu, dėl kurių pareiškėjai tikėtina bus pasmerkti plačios dalies visuomenės, pareiškėjų reputacijai </w:t>
      </w:r>
      <w:r w:rsidRPr="00FD5803">
        <w:t>padarytą žalą.</w:t>
      </w:r>
    </w:p>
    <w:p w14:paraId="70F486FC" w14:textId="77777777" w:rsidR="005312F6" w:rsidRPr="00FD5803" w:rsidRDefault="005312F6" w:rsidP="009A1B99">
      <w:pPr>
        <w:spacing w:after="0" w:line="240" w:lineRule="auto"/>
        <w:ind w:firstLine="567"/>
        <w:jc w:val="both"/>
      </w:pPr>
      <w:r w:rsidRPr="00FD5803">
        <w:rPr>
          <w:rStyle w:val="tlid-translation"/>
        </w:rPr>
        <w:t xml:space="preserve">Teismo vertinimu, nacionaliniai teismai nenustatė tinkamos pusiausvyros tarp pareiškėjų teisės į </w:t>
      </w:r>
      <w:r w:rsidRPr="00FD5803">
        <w:t xml:space="preserve">privataus ir šeimos gyvenimo gerbimą bei </w:t>
      </w:r>
      <w:r w:rsidRPr="00FD5803">
        <w:rPr>
          <w:rStyle w:val="tlid-translation"/>
        </w:rPr>
        <w:t>spaudos laisvės. Atsižvelgęs į tai, Teismas konstatavo Konvencijos 8 straipsnio pažeidimą.</w:t>
      </w:r>
    </w:p>
    <w:p w14:paraId="6FEB604A" w14:textId="77777777" w:rsidR="005312F6" w:rsidRPr="00FD5803" w:rsidRDefault="005312F6" w:rsidP="009A1B99">
      <w:pPr>
        <w:spacing w:after="0" w:line="240" w:lineRule="auto"/>
        <w:ind w:firstLine="567"/>
        <w:jc w:val="both"/>
        <w:rPr>
          <w:rStyle w:val="tlid-translation"/>
        </w:rPr>
      </w:pPr>
      <w:r w:rsidRPr="00FD5803">
        <w:rPr>
          <w:rStyle w:val="tlid-translation"/>
        </w:rPr>
        <w:t>Teismas nurodė, kad šioje byloje konstatavus Konvencijos 8 straipsnio pažeidimą, buvo atsakyta į pagrindinį pareiškėjų iškeltą klausimą, todėl sprendė, jog šiuo atveju nereikia atskirai pasisakyti dėl Konvencijos 10 ir 14 straipsnių pažeidimo.</w:t>
      </w:r>
    </w:p>
    <w:p w14:paraId="33D9E2B5" w14:textId="77777777" w:rsidR="005312F6" w:rsidRPr="00FD5803" w:rsidRDefault="005312F6" w:rsidP="009A1B99">
      <w:pPr>
        <w:spacing w:after="0" w:line="240" w:lineRule="auto"/>
        <w:ind w:firstLine="567"/>
        <w:jc w:val="both"/>
        <w:rPr>
          <w:rStyle w:val="tlid-translation"/>
        </w:rPr>
      </w:pPr>
    </w:p>
    <w:p w14:paraId="48DAFBEA" w14:textId="77777777" w:rsidR="005312F6" w:rsidRPr="00FD5803" w:rsidRDefault="005312F6" w:rsidP="009A1B99">
      <w:pPr>
        <w:spacing w:after="0" w:line="240" w:lineRule="auto"/>
        <w:ind w:firstLine="567"/>
        <w:jc w:val="both"/>
        <w:rPr>
          <w:rFonts w:cs="Arial"/>
        </w:rPr>
      </w:pPr>
      <w:r w:rsidRPr="00FD5803">
        <w:rPr>
          <w:rFonts w:cs="Arial"/>
        </w:rPr>
        <w:t>Išvada: nustatytas Konvencijos 8 straipsnio pažeidimas (vienbalsiai).</w:t>
      </w:r>
    </w:p>
    <w:p w14:paraId="13FF28C3" w14:textId="77777777" w:rsidR="005312F6" w:rsidRPr="00FD5803" w:rsidRDefault="005312F6" w:rsidP="009A1B99">
      <w:pPr>
        <w:spacing w:after="0" w:line="240" w:lineRule="auto"/>
        <w:ind w:firstLine="567"/>
        <w:jc w:val="both"/>
      </w:pPr>
      <w:r w:rsidRPr="00FD5803">
        <w:lastRenderedPageBreak/>
        <w:t xml:space="preserve">41 straipsnis: priteista po </w:t>
      </w:r>
      <w:r w:rsidRPr="00FD5803">
        <w:rPr>
          <w:rFonts w:cs="Arial"/>
        </w:rPr>
        <w:t xml:space="preserve">1 500 </w:t>
      </w:r>
      <w:r w:rsidRPr="00FD5803">
        <w:t>Eur neturtinei žalai atlyginti.</w:t>
      </w:r>
    </w:p>
    <w:p w14:paraId="3ECB71C5" w14:textId="77777777" w:rsidR="005312F6" w:rsidRPr="00FD5803" w:rsidRDefault="007F5353" w:rsidP="009A1B99">
      <w:pPr>
        <w:ind w:firstLine="567"/>
      </w:pPr>
      <w:hyperlink r:id="rId17" w:anchor="{%22itemid%22:[%22001-187529%22]}" w:history="1">
        <w:r w:rsidR="005312F6" w:rsidRPr="00FD5803">
          <w:rPr>
            <w:rStyle w:val="Hipersaitas"/>
            <w:rFonts w:cs="Arial"/>
          </w:rPr>
          <w:t>Prieiga internete</w:t>
        </w:r>
      </w:hyperlink>
      <w:r w:rsidR="005312F6" w:rsidRPr="00FD5803">
        <w:t xml:space="preserve"> (prancūzų k.)</w:t>
      </w:r>
    </w:p>
    <w:p w14:paraId="32A1B4D6" w14:textId="6A709B00" w:rsidR="007B673C" w:rsidRPr="00FD5803" w:rsidRDefault="007B673C" w:rsidP="009A1B99">
      <w:pPr>
        <w:pStyle w:val="s30eec3f8"/>
        <w:shd w:val="clear" w:color="auto" w:fill="FFFFFF"/>
        <w:spacing w:before="0" w:beforeAutospacing="0" w:after="0" w:afterAutospacing="0"/>
        <w:jc w:val="center"/>
        <w:rPr>
          <w:rStyle w:val="sb8d990e2"/>
          <w:rFonts w:asciiTheme="minorHAnsi" w:hAnsiTheme="minorHAnsi" w:cs="Arial"/>
          <w:b/>
          <w:sz w:val="22"/>
          <w:szCs w:val="22"/>
        </w:rPr>
      </w:pPr>
      <w:r w:rsidRPr="00FD5803">
        <w:rPr>
          <w:rStyle w:val="sb8d990e2"/>
          <w:rFonts w:asciiTheme="minorHAnsi" w:hAnsiTheme="minorHAnsi" w:cs="Arial"/>
          <w:b/>
          <w:sz w:val="22"/>
          <w:szCs w:val="22"/>
        </w:rPr>
        <w:t>Europos Žmogaus Teisių Teismo 2018 m. gruodžio 18 d. sprendimas byloje</w:t>
      </w:r>
    </w:p>
    <w:p w14:paraId="00A33E80" w14:textId="77777777" w:rsidR="007B673C" w:rsidRPr="00FD5803" w:rsidRDefault="007B673C" w:rsidP="009A1B99">
      <w:pPr>
        <w:pStyle w:val="Antrat2"/>
        <w:ind w:firstLine="0"/>
        <w:jc w:val="center"/>
        <w:rPr>
          <w:rFonts w:eastAsia="Calibri"/>
          <w:i/>
        </w:rPr>
      </w:pPr>
      <w:bookmarkStart w:id="17" w:name="_Toc1657790"/>
      <w:r w:rsidRPr="00FD5803">
        <w:rPr>
          <w:rFonts w:eastAsia="Calibri"/>
          <w:i/>
        </w:rPr>
        <w:t>Resin prieš Rusiją</w:t>
      </w:r>
      <w:bookmarkEnd w:id="17"/>
    </w:p>
    <w:p w14:paraId="11A1764A" w14:textId="5C84BC97" w:rsidR="007B673C" w:rsidRPr="00FD5803" w:rsidRDefault="007B673C" w:rsidP="009A1B99">
      <w:pPr>
        <w:pStyle w:val="s30eec3f8"/>
        <w:shd w:val="clear" w:color="auto" w:fill="FFFFFF"/>
        <w:spacing w:before="0" w:beforeAutospacing="0" w:after="0" w:afterAutospacing="0"/>
        <w:jc w:val="center"/>
        <w:rPr>
          <w:rStyle w:val="sb8d990e2"/>
          <w:rFonts w:asciiTheme="minorHAnsi" w:hAnsiTheme="minorHAnsi" w:cs="Arial"/>
          <w:b/>
          <w:sz w:val="22"/>
          <w:szCs w:val="22"/>
        </w:rPr>
      </w:pPr>
      <w:r w:rsidRPr="00FD5803">
        <w:rPr>
          <w:rStyle w:val="sb8d990e2"/>
          <w:rFonts w:asciiTheme="minorHAnsi" w:hAnsiTheme="minorHAnsi" w:cs="Arial"/>
          <w:b/>
          <w:sz w:val="22"/>
          <w:szCs w:val="22"/>
        </w:rPr>
        <w:t xml:space="preserve">(pareiškimo Nr. </w:t>
      </w:r>
      <w:r w:rsidRPr="00FD5803">
        <w:rPr>
          <w:rStyle w:val="sb8d990e2"/>
          <w:rFonts w:asciiTheme="minorHAnsi" w:eastAsiaTheme="majorEastAsia" w:hAnsiTheme="minorHAnsi" w:cs="Arial"/>
          <w:b/>
          <w:sz w:val="22"/>
          <w:szCs w:val="22"/>
        </w:rPr>
        <w:t>9348/14</w:t>
      </w:r>
      <w:r w:rsidR="00457674" w:rsidRPr="00FD5803">
        <w:rPr>
          <w:rStyle w:val="sb8d990e2"/>
          <w:rFonts w:asciiTheme="minorHAnsi" w:eastAsiaTheme="majorEastAsia" w:hAnsiTheme="minorHAnsi" w:cs="Arial"/>
          <w:b/>
          <w:sz w:val="22"/>
          <w:szCs w:val="22"/>
        </w:rPr>
        <w:t xml:space="preserve">, </w:t>
      </w:r>
      <w:r w:rsidR="00457674" w:rsidRPr="00FD5803">
        <w:rPr>
          <w:rFonts w:asciiTheme="minorHAnsi" w:eastAsiaTheme="majorEastAsia" w:hAnsiTheme="minorHAnsi" w:cs="Arial"/>
          <w:b/>
          <w:sz w:val="22"/>
          <w:szCs w:val="22"/>
        </w:rPr>
        <w:t>svarbos lygis – 3</w:t>
      </w:r>
      <w:r w:rsidRPr="00FD5803">
        <w:rPr>
          <w:rStyle w:val="sb8d990e2"/>
          <w:rFonts w:asciiTheme="minorHAnsi" w:hAnsiTheme="minorHAnsi" w:cs="Arial"/>
          <w:b/>
          <w:sz w:val="22"/>
          <w:szCs w:val="22"/>
        </w:rPr>
        <w:t>)</w:t>
      </w:r>
    </w:p>
    <w:p w14:paraId="7A43BACA" w14:textId="77777777" w:rsidR="007B673C" w:rsidRPr="00FD5803" w:rsidRDefault="007B673C" w:rsidP="009A1B99">
      <w:pPr>
        <w:shd w:val="clear" w:color="auto" w:fill="FFFFFF"/>
        <w:spacing w:after="0" w:line="240" w:lineRule="auto"/>
        <w:ind w:firstLine="567"/>
        <w:jc w:val="center"/>
        <w:rPr>
          <w:rFonts w:eastAsia="Times New Roman" w:cstheme="minorHAnsi"/>
          <w:b/>
          <w:bCs/>
          <w:color w:val="000000"/>
        </w:rPr>
      </w:pPr>
    </w:p>
    <w:p w14:paraId="1361CEC9" w14:textId="77777777" w:rsidR="007B673C" w:rsidRPr="00FD5803" w:rsidRDefault="007B673C" w:rsidP="009A1B99">
      <w:pPr>
        <w:pStyle w:val="Antrat3"/>
        <w:ind w:firstLine="567"/>
        <w:rPr>
          <w:rFonts w:eastAsia="Calibri" w:cs="Times New Roman"/>
          <w:szCs w:val="22"/>
        </w:rPr>
      </w:pPr>
      <w:bookmarkStart w:id="18" w:name="_Toc1657791"/>
      <w:r w:rsidRPr="00FD5803">
        <w:rPr>
          <w:rFonts w:eastAsia="Calibri" w:cs="Times New Roman"/>
          <w:szCs w:val="22"/>
        </w:rPr>
        <w:t>Dėl perteklinių ribojimų pasimatymų su šeimos nariais metu</w:t>
      </w:r>
      <w:bookmarkEnd w:id="18"/>
    </w:p>
    <w:p w14:paraId="2A46A666" w14:textId="77777777" w:rsidR="007B673C" w:rsidRPr="00FD5803" w:rsidRDefault="007B673C" w:rsidP="009A1B99">
      <w:pPr>
        <w:spacing w:after="0" w:line="240" w:lineRule="auto"/>
        <w:ind w:firstLine="567"/>
      </w:pPr>
    </w:p>
    <w:p w14:paraId="736A656D" w14:textId="77777777" w:rsidR="007B673C" w:rsidRPr="00FD5803" w:rsidRDefault="007B673C" w:rsidP="009A1B99">
      <w:pPr>
        <w:shd w:val="clear" w:color="auto" w:fill="FFFFFF"/>
        <w:spacing w:after="0" w:line="240" w:lineRule="auto"/>
        <w:jc w:val="center"/>
        <w:rPr>
          <w:rFonts w:eastAsia="Times New Roman" w:cstheme="minorHAnsi"/>
          <w:b/>
          <w:bCs/>
          <w:color w:val="000000"/>
        </w:rPr>
      </w:pPr>
      <w:r w:rsidRPr="00FD5803">
        <w:rPr>
          <w:rFonts w:eastAsia="Times New Roman" w:cstheme="minorHAnsi"/>
          <w:b/>
          <w:bCs/>
          <w:color w:val="000000"/>
        </w:rPr>
        <w:t>Faktinės aplinkybės</w:t>
      </w:r>
    </w:p>
    <w:p w14:paraId="53C206A6" w14:textId="77777777" w:rsidR="007B673C" w:rsidRPr="00FD5803" w:rsidRDefault="007B673C" w:rsidP="009A1B99">
      <w:pPr>
        <w:spacing w:after="0" w:line="240" w:lineRule="auto"/>
        <w:ind w:firstLine="567"/>
      </w:pPr>
    </w:p>
    <w:p w14:paraId="5585F87A" w14:textId="6E803D87" w:rsidR="007B673C" w:rsidRPr="00FD5803" w:rsidRDefault="007B673C" w:rsidP="009A1B99">
      <w:pPr>
        <w:spacing w:after="0" w:line="240" w:lineRule="auto"/>
        <w:ind w:firstLine="567"/>
        <w:jc w:val="both"/>
      </w:pPr>
      <w:r w:rsidRPr="00FD5803">
        <w:t xml:space="preserve">2018 m. gruodžio 18 d. </w:t>
      </w:r>
      <w:r w:rsidR="00457674" w:rsidRPr="00FD5803">
        <w:t>Teismas</w:t>
      </w:r>
      <w:r w:rsidRPr="00FD5803">
        <w:t xml:space="preserve"> paskelbė sprendimą byloje </w:t>
      </w:r>
      <w:r w:rsidRPr="00FD5803">
        <w:rPr>
          <w:i/>
        </w:rPr>
        <w:t>Resin prieš Rusiją</w:t>
      </w:r>
      <w:r w:rsidRPr="00FD5803">
        <w:t xml:space="preserve"> (Nr. 10839/09), kuriuo nustatė </w:t>
      </w:r>
      <w:r w:rsidR="00457674" w:rsidRPr="00FD5803">
        <w:t xml:space="preserve">Konvencijos </w:t>
      </w:r>
      <w:r w:rsidRPr="00FD5803">
        <w:t xml:space="preserve">8 straipsnio (teisė į privataus ir šeimos gyvenimo gerbimą) pažeidimą. </w:t>
      </w:r>
    </w:p>
    <w:p w14:paraId="0F9A48EC" w14:textId="77777777" w:rsidR="007B673C" w:rsidRPr="00FD5803" w:rsidRDefault="007B673C" w:rsidP="009A1B99">
      <w:pPr>
        <w:spacing w:after="0" w:line="240" w:lineRule="auto"/>
        <w:ind w:firstLine="567"/>
        <w:jc w:val="both"/>
      </w:pPr>
      <w:r w:rsidRPr="00FD5803">
        <w:t>Byloje pažeidimas konstatuotas atsižvelgiant į tai, kad šeimos apsilankymų metu taikyti apribojimai pataisos įstaigoje ir tardymo izoliatoriuje buvo pertekliniai.</w:t>
      </w:r>
    </w:p>
    <w:p w14:paraId="2CEC4F17" w14:textId="77777777" w:rsidR="007B673C" w:rsidRPr="00FD5803" w:rsidRDefault="007B673C" w:rsidP="009A1B99">
      <w:pPr>
        <w:spacing w:after="0" w:line="240" w:lineRule="auto"/>
        <w:ind w:firstLine="567"/>
        <w:jc w:val="both"/>
      </w:pPr>
      <w:r w:rsidRPr="00FD5803">
        <w:t xml:space="preserve">Pareiškėjas (gimęs 1974 m., Khabarovske) nuteistas laisvės atėmimo iki gyvos galvos bausme. </w:t>
      </w:r>
    </w:p>
    <w:p w14:paraId="00A2F888" w14:textId="105FA2B8" w:rsidR="007B673C" w:rsidRPr="00FD5803" w:rsidRDefault="007B673C" w:rsidP="009A1B99">
      <w:pPr>
        <w:spacing w:after="0" w:line="240" w:lineRule="auto"/>
        <w:ind w:firstLine="567"/>
        <w:jc w:val="both"/>
      </w:pPr>
      <w:r w:rsidRPr="00FD5803">
        <w:t xml:space="preserve">Nuo 2012 m. gegužės 25 d. iki 2014 m. balandžio 10 d. jis buvo laikomas pataisos kolonijoje IK-56 Sverdlovsko regione (kuris yra už 7 000 km nuo </w:t>
      </w:r>
      <w:r w:rsidR="007F5353">
        <w:t>Ch</w:t>
      </w:r>
      <w:r w:rsidRPr="00FD5803">
        <w:t xml:space="preserve">abarovsko). 2013 metais jam suteikti 5 trumpalaikiai pasimatymai ir 1 trumpalaikis pasimatymas 2014 metais. </w:t>
      </w:r>
    </w:p>
    <w:p w14:paraId="07251E5A" w14:textId="77777777" w:rsidR="007B673C" w:rsidRPr="00FD5803" w:rsidRDefault="007B673C" w:rsidP="009A1B99">
      <w:pPr>
        <w:spacing w:after="0" w:line="240" w:lineRule="auto"/>
        <w:ind w:firstLine="567"/>
        <w:jc w:val="both"/>
      </w:pPr>
      <w:r w:rsidRPr="00FD5803">
        <w:t xml:space="preserve">2013 m. gegužės 15 d. pareiškėjas paprašė administracijos vadovo suteikti jam trumpalaikį pasimatymą su 4 suaugusiais giminaičiais (motina, seserimi ir dviem pusseserėmis). Taip pat jis prašė, kad pasimatymas vyktų be stiklinės pertvaros tarp jo ir lankytojų ar be kalėjimo pareigūno dalyvavimo. Vadovas sprendimu pareiškėjo prašymą atmetė, motyvuodamas tuo, jog Bausmių vykdymo kodeksas (toliau – BVK) to neleidžia. </w:t>
      </w:r>
    </w:p>
    <w:p w14:paraId="360A04DD" w14:textId="77777777" w:rsidR="007B673C" w:rsidRPr="00FD5803" w:rsidRDefault="007B673C" w:rsidP="009A1B99">
      <w:pPr>
        <w:spacing w:after="0" w:line="240" w:lineRule="auto"/>
        <w:ind w:firstLine="567"/>
        <w:jc w:val="both"/>
      </w:pPr>
      <w:r w:rsidRPr="00FD5803">
        <w:t xml:space="preserve">Laikotarpiu nuo 2014 m. gegužės 15 d. iki 2014 m. liepos 16 d. pareiškėjas buvo perkeltas į tardymo izoliatorių SIZO-1 Khabarovske (kur vis dar gyveno jo šeima) dalyvauti kitos bylos tyrime. </w:t>
      </w:r>
    </w:p>
    <w:p w14:paraId="39697108" w14:textId="573EFB15" w:rsidR="007B673C" w:rsidRPr="00FD5803" w:rsidRDefault="007B673C" w:rsidP="009A1B99">
      <w:pPr>
        <w:spacing w:after="0" w:line="240" w:lineRule="auto"/>
        <w:ind w:firstLine="567"/>
        <w:jc w:val="both"/>
      </w:pPr>
      <w:r w:rsidRPr="00FD5803">
        <w:t>Ki</w:t>
      </w:r>
      <w:r w:rsidR="00457674" w:rsidRPr="00FD5803">
        <w:t>tą dieną po atvykimo į kalėjimą</w:t>
      </w:r>
      <w:r w:rsidRPr="00FD5803">
        <w:t xml:space="preserve"> pareiškėjas paprašė kalinimo įstaigos vadovo patvirtinti jam trumpalaikį susitikimą su 4 šeimos nariais (seserimi, 2 pusseserėmis ir teta) be fizinės pertvaros tarp jo ir lankytojų arba be kalėjimo pareigūnų dalyvavimo. 2014 m. gegužės 21 d. laišku valdytojas atmetė jo prašymą, remdamasis Kardomojo kalinimo aktu, numatančiu, kad pasimatymus turi raštu patvirtinti pareigūnas ar institucija, atsakingi už baudžiamąją bylą. Be to, Vidinės tardymo izoliatorių tvarkos taisyklės reikalavo, kad pasimatymų kambariuose būtų įrengtos pertvaros ir kad pasimatymus prižiūrėtų kalėjimo pareigūnas. </w:t>
      </w:r>
    </w:p>
    <w:p w14:paraId="1D2220DE" w14:textId="26334B2B" w:rsidR="007B673C" w:rsidRPr="00FD5803" w:rsidRDefault="007B673C" w:rsidP="009A1B99">
      <w:pPr>
        <w:spacing w:after="0" w:line="240" w:lineRule="auto"/>
        <w:ind w:firstLine="567"/>
        <w:jc w:val="both"/>
      </w:pPr>
      <w:r w:rsidRPr="00FD5803">
        <w:t xml:space="preserve">2014 m. birželio 3 d. pareiškėjas paprašė administracijos vadovo patvirtinti jam ilgalaikį pasimatymą su motina ir seserimi. Jis rėmėsi BVK 89 straipsniu ir pabrėžė, kad tardymo izoliatorius turėjo ilgalaikių pasimatymų patalpas, kuriomis galėjo naudotis nuteistieji, atliekantys bausmę tame kalėjime. Vadovas, remdamasis BVK 77.1 straipsniu, atsakė, kad taikytina teisė nenumatė ilgalaikių pasimatymų sulaikytiesiems. Tuomet pareiškėjas paprašė už baudžiamąją bylą atsakingų institucijų patvirtinti trumpalaikius pasimatymus su šeimos nariais, tačiau tyrėjas ir tyrimų skyriaus vedėjo pavaduotojas jo prašymą atmetė, informuodami pareiškėją, kad už tyrimą atsakingos institucijos netrukdo jam turėti trumpalaikių pasimatymų su šeimos nariais, kol tai neprieštarauja Rusijos įstatymams, įskaitant BVK. </w:t>
      </w:r>
    </w:p>
    <w:p w14:paraId="415399C6" w14:textId="77777777" w:rsidR="007B673C" w:rsidRPr="00FD5803" w:rsidRDefault="007B673C" w:rsidP="009A1B99">
      <w:pPr>
        <w:spacing w:after="0" w:line="240" w:lineRule="auto"/>
        <w:ind w:firstLine="567"/>
        <w:jc w:val="both"/>
      </w:pPr>
      <w:r w:rsidRPr="00FD5803">
        <w:t xml:space="preserve">Pareiškėjas skundė šeimos pasimatymų apribojimus bendrosios kompetencijos teismui, tačiau visi jo skundai buvo atmesti kaip nepagrįsti. </w:t>
      </w:r>
    </w:p>
    <w:p w14:paraId="3F3F1274" w14:textId="77777777" w:rsidR="007B673C" w:rsidRPr="00FD5803" w:rsidRDefault="007B673C" w:rsidP="009A1B99">
      <w:pPr>
        <w:spacing w:after="0" w:line="240" w:lineRule="auto"/>
        <w:ind w:firstLine="567"/>
        <w:jc w:val="both"/>
      </w:pPr>
    </w:p>
    <w:p w14:paraId="71B3B797" w14:textId="77777777" w:rsidR="007B673C" w:rsidRPr="00FD5803" w:rsidRDefault="007B673C" w:rsidP="009A1B99">
      <w:pPr>
        <w:shd w:val="clear" w:color="auto" w:fill="FFFFFF"/>
        <w:spacing w:after="0" w:line="240" w:lineRule="auto"/>
        <w:jc w:val="center"/>
        <w:rPr>
          <w:rFonts w:eastAsia="Times New Roman" w:cstheme="minorHAnsi"/>
          <w:b/>
          <w:bCs/>
          <w:color w:val="000000"/>
        </w:rPr>
      </w:pPr>
      <w:r w:rsidRPr="00FD5803">
        <w:rPr>
          <w:rFonts w:eastAsia="Times New Roman" w:cstheme="minorHAnsi"/>
          <w:b/>
          <w:bCs/>
          <w:color w:val="000000"/>
        </w:rPr>
        <w:t>Neoficiali Teismo sprendimo apžvalga</w:t>
      </w:r>
    </w:p>
    <w:p w14:paraId="169718B0" w14:textId="77777777" w:rsidR="007B673C" w:rsidRPr="00FD5803" w:rsidRDefault="007B673C" w:rsidP="009A1B99">
      <w:pPr>
        <w:spacing w:after="0" w:line="240" w:lineRule="auto"/>
        <w:ind w:firstLine="567"/>
        <w:jc w:val="both"/>
      </w:pPr>
    </w:p>
    <w:p w14:paraId="3D9AE317" w14:textId="77777777" w:rsidR="007B673C" w:rsidRPr="00FD5803" w:rsidRDefault="007B673C" w:rsidP="009A1B99">
      <w:pPr>
        <w:spacing w:after="0" w:line="240" w:lineRule="auto"/>
        <w:ind w:firstLine="567"/>
        <w:jc w:val="both"/>
        <w:rPr>
          <w:i/>
        </w:rPr>
      </w:pPr>
      <w:r w:rsidRPr="00FD5803">
        <w:rPr>
          <w:i/>
        </w:rPr>
        <w:t xml:space="preserve">1. Kišimosi egzistavimas </w:t>
      </w:r>
    </w:p>
    <w:p w14:paraId="7A06CA4F" w14:textId="77777777" w:rsidR="007B673C" w:rsidRPr="00FD5803" w:rsidRDefault="007B673C" w:rsidP="009A1B99">
      <w:pPr>
        <w:spacing w:after="0" w:line="240" w:lineRule="auto"/>
        <w:ind w:firstLine="567"/>
        <w:jc w:val="both"/>
        <w:rPr>
          <w:i/>
        </w:rPr>
      </w:pPr>
    </w:p>
    <w:p w14:paraId="718C3A8C" w14:textId="6D8EE19A" w:rsidR="007B673C" w:rsidRPr="00FD5803" w:rsidRDefault="007B673C" w:rsidP="009A1B99">
      <w:pPr>
        <w:spacing w:after="0" w:line="240" w:lineRule="auto"/>
        <w:ind w:firstLine="567"/>
        <w:jc w:val="both"/>
      </w:pPr>
      <w:r w:rsidRPr="00FD5803">
        <w:t xml:space="preserve">Teismas priminė, kad įkalinimu asmuo praranda tik teisę į laisvę, bet toliau naudojasi kitomis pagrindinėmis teisėmis ir laisvėmis, </w:t>
      </w:r>
      <w:r w:rsidR="00457674" w:rsidRPr="00FD5803">
        <w:t>taip pat</w:t>
      </w:r>
      <w:r w:rsidRPr="00FD5803">
        <w:t xml:space="preserve"> ir teise į šeimos gyvenimo gerbimą, todėl bet kokie šių teisių ribojimai turi būti pagrįsti kiekvienu individualiu atveju. Kalinimas neatsiejamai susijęs su šeimos gyvenimo apribojimais ir tam tikros priemonės, kuriomis kontroliuojamas kalinčio asmens kontaktas su išoriniu pasauliu, nėra savaime nesuderinamos su Konvencija.</w:t>
      </w:r>
    </w:p>
    <w:p w14:paraId="2BAF04D2" w14:textId="77777777" w:rsidR="007B673C" w:rsidRPr="00FD5803" w:rsidRDefault="007B673C" w:rsidP="009A1B99">
      <w:pPr>
        <w:spacing w:after="0" w:line="240" w:lineRule="auto"/>
        <w:ind w:firstLine="567"/>
        <w:jc w:val="both"/>
      </w:pPr>
      <w:r w:rsidRPr="00FD5803">
        <w:t xml:space="preserve">Kišimasis į kalinio teisę į šeimos gyvenimo gerbimą neturėtų pasiekti visiško šeimos pasimatymų uždraudimo, tačiau kalėjimo vadovybė gali taikyti kitas priemones. Teismas konstatavo, kad šeimos </w:t>
      </w:r>
      <w:r w:rsidRPr="00FD5803">
        <w:lastRenderedPageBreak/>
        <w:t xml:space="preserve">apsilankymų dažnumo ir trukmės apribojimai, šių apsilankymų priežiūra ir specialių pasimatymų sąlygų nustatymas kaliniui reiškia pareiškėjo teisių pažeidimą pagal Konvencijos 8 straipsnį. </w:t>
      </w:r>
    </w:p>
    <w:p w14:paraId="7458BEC8" w14:textId="2EA1E38B" w:rsidR="007B673C" w:rsidRPr="00FD5803" w:rsidRDefault="007B673C" w:rsidP="009A1B99">
      <w:pPr>
        <w:spacing w:after="0" w:line="240" w:lineRule="auto"/>
        <w:ind w:firstLine="567"/>
        <w:jc w:val="both"/>
      </w:pPr>
      <w:r w:rsidRPr="00FD5803">
        <w:t xml:space="preserve">Įvertinęs tai, kad pareiškėjas skundėsi trumpalaikių ir ilgalaikių pasimatymų nesuteikimu laikotarpiu, kol buvo </w:t>
      </w:r>
      <w:r w:rsidR="007F5353">
        <w:t>Ch</w:t>
      </w:r>
      <w:r w:rsidRPr="00FD5803">
        <w:t xml:space="preserve">abarovsko tardymo izoliatoriuje, bei kad IK-56 patalpose lankančių šeimos narių skaičius buvo sumažintas iki 2 suaugusių, o trumpalaikiai pasimatymai vyko prižiūrint kalėjimo pareigūnui per stiklinę pertvarą, Teismas konstatavo, kad pasimatymų nesuteikimas, pertvaros ir kiti apribojimai prilygo kišimuisi į šeimos gyvenimo gerbimą. </w:t>
      </w:r>
    </w:p>
    <w:p w14:paraId="0B9BFE56" w14:textId="77777777" w:rsidR="007B673C" w:rsidRPr="00FD5803" w:rsidRDefault="007B673C" w:rsidP="009A1B99">
      <w:pPr>
        <w:spacing w:after="0" w:line="240" w:lineRule="auto"/>
        <w:ind w:firstLine="567"/>
        <w:jc w:val="both"/>
      </w:pPr>
    </w:p>
    <w:p w14:paraId="7A78F07F" w14:textId="77777777" w:rsidR="007B673C" w:rsidRPr="00FD5803" w:rsidRDefault="007B673C" w:rsidP="009A1B99">
      <w:pPr>
        <w:spacing w:after="0" w:line="240" w:lineRule="auto"/>
        <w:ind w:firstLine="567"/>
        <w:jc w:val="both"/>
        <w:rPr>
          <w:i/>
        </w:rPr>
      </w:pPr>
      <w:r w:rsidRPr="00FD5803">
        <w:rPr>
          <w:i/>
        </w:rPr>
        <w:t xml:space="preserve">2. Kišimosi pagrindimas </w:t>
      </w:r>
    </w:p>
    <w:p w14:paraId="0CAF2E61" w14:textId="77777777" w:rsidR="007B673C" w:rsidRPr="00FD5803" w:rsidRDefault="007B673C" w:rsidP="009A1B99">
      <w:pPr>
        <w:spacing w:after="0" w:line="240" w:lineRule="auto"/>
        <w:ind w:firstLine="567"/>
        <w:jc w:val="both"/>
      </w:pPr>
    </w:p>
    <w:p w14:paraId="3792E4A1" w14:textId="77777777" w:rsidR="007B673C" w:rsidRPr="00FD5803" w:rsidRDefault="007B673C" w:rsidP="009A1B99">
      <w:pPr>
        <w:spacing w:after="0" w:line="240" w:lineRule="auto"/>
        <w:ind w:firstLine="1296"/>
        <w:jc w:val="both"/>
      </w:pPr>
      <w:r w:rsidRPr="00FD5803">
        <w:t xml:space="preserve">a) Lankančių šeimos narių skaičiaus ribojimas </w:t>
      </w:r>
    </w:p>
    <w:p w14:paraId="1959C078" w14:textId="77777777" w:rsidR="007B673C" w:rsidRPr="00FD5803" w:rsidRDefault="007B673C" w:rsidP="009A1B99">
      <w:pPr>
        <w:spacing w:after="0" w:line="240" w:lineRule="auto"/>
        <w:ind w:firstLine="567"/>
        <w:jc w:val="both"/>
      </w:pPr>
    </w:p>
    <w:p w14:paraId="2339761D" w14:textId="2F6C336B" w:rsidR="007B673C" w:rsidRPr="00FD5803" w:rsidRDefault="007B673C" w:rsidP="009A1B99">
      <w:pPr>
        <w:spacing w:after="0" w:line="240" w:lineRule="auto"/>
        <w:ind w:firstLine="567"/>
        <w:jc w:val="both"/>
      </w:pPr>
      <w:r w:rsidRPr="00FD5803">
        <w:t>Pataisos įstaigų v</w:t>
      </w:r>
      <w:r w:rsidR="00457674" w:rsidRPr="00FD5803">
        <w:t>idaus tvarkos taisyklės, galiojusios</w:t>
      </w:r>
      <w:r w:rsidRPr="00FD5803">
        <w:t xml:space="preserve"> ginčui aktualiu laiku, ribojo suaugusių asmenų, kurie gali lankyti kalinį, skaičių iki 2 asmenų (vėlesnėje taisyklių redakcijoje ši nuostata panaikinta). Ši taisyklė buvo taikoma bendrai, neatsižvelgiant į pasimatymo trukmę ir nenumatė jokių išimčių. Vyriausybė nepateikė jokių argumentų, pateisinančių šiuos apribojimus, išskyrus nuorodas į taikytinus teisės aktus. Vyriausybė nepaaiškino, kodėl lankytojų skaičius apribotas iki dviejų suaugusių asmenų, nevertinant faktinio patalpų dydžio. Teismo vertinimu, </w:t>
      </w:r>
      <w:r w:rsidRPr="00FD5803">
        <w:rPr>
          <w:u w:val="single"/>
        </w:rPr>
        <w:t>nesant pagrindo ar paneigiančių Vyriausybės argumentų, toks nelankstus reglamentavimas, nesusijęs su ilgalaikių pasimatymų patalpų užimtumu ar dydžiu, nebuvo būtinas demokratinėje visuomenėje</w:t>
      </w:r>
      <w:r w:rsidRPr="00FD5803">
        <w:t xml:space="preserve">. </w:t>
      </w:r>
    </w:p>
    <w:p w14:paraId="6E750B0D" w14:textId="77777777" w:rsidR="007B673C" w:rsidRPr="00FD5803" w:rsidRDefault="007B673C" w:rsidP="009A1B99">
      <w:pPr>
        <w:spacing w:after="0" w:line="240" w:lineRule="auto"/>
        <w:ind w:firstLine="567"/>
        <w:jc w:val="both"/>
      </w:pPr>
    </w:p>
    <w:p w14:paraId="1B35EDBB" w14:textId="77777777" w:rsidR="007B673C" w:rsidRPr="00FD5803" w:rsidRDefault="007B673C" w:rsidP="009A1B99">
      <w:pPr>
        <w:spacing w:after="0" w:line="240" w:lineRule="auto"/>
        <w:ind w:firstLine="1296"/>
        <w:jc w:val="both"/>
      </w:pPr>
      <w:r w:rsidRPr="00FD5803">
        <w:t xml:space="preserve">b) Atskyrimas stikline pertvara ar pareigūno dalyvavimas </w:t>
      </w:r>
    </w:p>
    <w:p w14:paraId="7EEDEA15" w14:textId="77777777" w:rsidR="007B673C" w:rsidRPr="00FD5803" w:rsidRDefault="007B673C" w:rsidP="009A1B99">
      <w:pPr>
        <w:spacing w:after="0" w:line="240" w:lineRule="auto"/>
        <w:ind w:firstLine="567"/>
        <w:jc w:val="both"/>
      </w:pPr>
    </w:p>
    <w:p w14:paraId="083A2EF4" w14:textId="77777777" w:rsidR="007B673C" w:rsidRPr="00FD5803" w:rsidRDefault="007B673C" w:rsidP="009A1B99">
      <w:pPr>
        <w:spacing w:after="0" w:line="240" w:lineRule="auto"/>
        <w:ind w:firstLine="567"/>
        <w:jc w:val="both"/>
      </w:pPr>
      <w:r w:rsidRPr="00FD5803">
        <w:t xml:space="preserve">Trumpalaikių pasimatymų patalpose IK-56 metu pareiškėjas visą kalinimo laikotarpį nuo savo lankytojų buvo atskirtas stikline pertvara ir prižiūrimas kalėjimo pareigūno. Pareiškėjas akcentavo, kad pertvara liko netgi po to, kai jis buvo perkeltas iš griežto režimo į standartinio saugumo režimą ir vėliau į lengvo saugumo režimą. Jis galėjo gauti neprižiūrimus ilgalaikius pasimatymus, gyvenimą kartu su savo šeima, tačiau negalėjo jų liesti ar kalbėti su jais privačiai trumpalaikių pasimatymų metu. Vyriausybė pripažino, kad trumpalaikių pasimatymų kambariuose IK-56 patalpose yra įrengtos standartinės kabinos su stiklinėmis pertvaromis, remiantis 2006 m. liepos 27 d. įsakymu. </w:t>
      </w:r>
    </w:p>
    <w:p w14:paraId="3B27FBEA" w14:textId="77777777" w:rsidR="007B673C" w:rsidRPr="00FD5803" w:rsidRDefault="007B673C" w:rsidP="009A1B99">
      <w:pPr>
        <w:spacing w:after="0" w:line="240" w:lineRule="auto"/>
        <w:ind w:firstLine="567"/>
        <w:jc w:val="both"/>
      </w:pPr>
      <w:r w:rsidRPr="00FD5803">
        <w:t xml:space="preserve">Vyriausybė nenurodė jokių teisės aktų, kuriuose būtų reikalaujama, kad stiklinės pertvaros būtų įrengtos pataisos įstaigose nuteistiems asmenims, priešingai nei Vidinės tardymo izoliatorių tvarkos taisyklės. Vidinė federalinių kalinimo paslaugų tvarka numatė tik galimą įrangą tose įstaigose, bet nereguliavo trumpalaikių pasimatymų kontrolės būdų. </w:t>
      </w:r>
    </w:p>
    <w:p w14:paraId="07F81F78" w14:textId="77777777" w:rsidR="007B673C" w:rsidRPr="00FD5803" w:rsidRDefault="007B673C" w:rsidP="009A1B99">
      <w:pPr>
        <w:spacing w:after="0" w:line="240" w:lineRule="auto"/>
        <w:ind w:firstLine="567"/>
        <w:jc w:val="both"/>
      </w:pPr>
      <w:r w:rsidRPr="00FD5803">
        <w:t xml:space="preserve">Teismas pakartojo, kad fizinio kontakto tarp kalinio ir jo lankytojų uždraudimas konkrečiais atvejais gali būti pateisinamas saugumo sumetimais, bet negali būti pripažintas būtinu, nenustačius jokios grėsmės saugumui. Vyriausybė nenurodė jokių saugumo sumetimų, kurie būtų pateisinę fizinį pareiškėjo ir jo šeimos narių atskyrimą ar nuolatinę pareigūno priežiūrą. Be to, aplinkybė, kad pareiškėjas buvo perkeltas į lengvo saugumo režimą, rodė, jog </w:t>
      </w:r>
      <w:r w:rsidRPr="00FD5803">
        <w:rPr>
          <w:u w:val="single"/>
        </w:rPr>
        <w:t>pareiškėjas nebuvo nei linkęs smurtauti, nei linkęs sužeisti savo lankytojus. Be to, pareiškėjas jau buvo nuteistas ir slaptų susitarimų ar informacijos perdavimo grėsmė byloje nebeegzistavo. Taip pat nebuvo duomenų, kad pertvara buvo reikalinga visuomenės sveikatos sumetimais.</w:t>
      </w:r>
      <w:r w:rsidRPr="00FD5803">
        <w:t xml:space="preserve"> </w:t>
      </w:r>
    </w:p>
    <w:p w14:paraId="54DC01CE" w14:textId="77777777" w:rsidR="007B673C" w:rsidRPr="00FD5803" w:rsidRDefault="007B673C" w:rsidP="009A1B99">
      <w:pPr>
        <w:spacing w:after="0" w:line="240" w:lineRule="auto"/>
        <w:ind w:firstLine="567"/>
        <w:jc w:val="both"/>
      </w:pPr>
      <w:r w:rsidRPr="00FD5803">
        <w:t xml:space="preserve">Teismas atkreipė dėmesį, kad remiantis Vidinėmis pataisos įstaigų tvarkos taisyklėmis, į ilgalaikius pasimatymus atvykstantys asmenys turėjo būti pilnai apieškomi. Jei jie atsisakydavo, jie galėdavo turėti trumpalaikį pasimatymą su pertvara. Apieškos reikalavimas gali būti laikomas būtinu tam, kad išvengti draudžiamų daiktų pardavimo kaliniams. Tačiau </w:t>
      </w:r>
      <w:r w:rsidRPr="00FD5803">
        <w:rPr>
          <w:u w:val="single"/>
        </w:rPr>
        <w:t>Vyriausybė nepaaiškino, kodėl trumpalaikių pasimatymų lankytojams nebuvo leidžiama pasirinkti ir neprižiūrimi susitikimai be fizinio atskyrimo jiems buvo draudžiami bet kokiomis aplinkybėmis</w:t>
      </w:r>
      <w:r w:rsidRPr="00FD5803">
        <w:t xml:space="preserve">. Teismo vertinimu, toks nelankstus trumpalaikių pasimatymų reglamentavimas negali būti laikomas būtinu demokratinėje visuomenėje, kadangi valstybė nėra laisva, nustatydama bendrus ribojimus ir nenumatydama galimybės spręsti, ar apribojimai yra tinkami, ar išties būtini konkrečiais atvejais. </w:t>
      </w:r>
    </w:p>
    <w:p w14:paraId="173E130E" w14:textId="77777777" w:rsidR="007B673C" w:rsidRPr="00FD5803" w:rsidRDefault="007B673C" w:rsidP="009A1B99">
      <w:pPr>
        <w:spacing w:after="0" w:line="240" w:lineRule="auto"/>
        <w:ind w:firstLine="567"/>
        <w:jc w:val="both"/>
      </w:pPr>
    </w:p>
    <w:p w14:paraId="436DC40C" w14:textId="77777777" w:rsidR="007B673C" w:rsidRPr="00FD5803" w:rsidRDefault="007B673C" w:rsidP="009A1B99">
      <w:pPr>
        <w:spacing w:after="0" w:line="240" w:lineRule="auto"/>
        <w:ind w:firstLine="1296"/>
        <w:jc w:val="both"/>
      </w:pPr>
      <w:r w:rsidRPr="00FD5803">
        <w:t xml:space="preserve">c) Trumpalaikių pasimatymų nesuteikimas tardymo izoliatoriuje </w:t>
      </w:r>
    </w:p>
    <w:p w14:paraId="6506D088" w14:textId="77777777" w:rsidR="007B673C" w:rsidRPr="00FD5803" w:rsidRDefault="007B673C" w:rsidP="009A1B99">
      <w:pPr>
        <w:spacing w:after="0" w:line="240" w:lineRule="auto"/>
        <w:ind w:firstLine="567"/>
        <w:jc w:val="both"/>
      </w:pPr>
    </w:p>
    <w:p w14:paraId="517AD8E2" w14:textId="302F299A" w:rsidR="007B673C" w:rsidRPr="00FD5803" w:rsidRDefault="007B673C" w:rsidP="009A1B99">
      <w:pPr>
        <w:spacing w:after="0" w:line="240" w:lineRule="auto"/>
        <w:ind w:firstLine="567"/>
        <w:jc w:val="both"/>
      </w:pPr>
      <w:r w:rsidRPr="00FD5803">
        <w:lastRenderedPageBreak/>
        <w:t xml:space="preserve">Kalinimo </w:t>
      </w:r>
      <w:r w:rsidR="007F5353">
        <w:t>Ch</w:t>
      </w:r>
      <w:r w:rsidRPr="00FD5803">
        <w:t xml:space="preserve">abarovsko tardymo izoliatoriuje metu pareiškėjas du kartus prašė leidimo savo šeimai atvykti į trumpalaikį pasimatymą, tačiau leidimas nesuteiktas. </w:t>
      </w:r>
    </w:p>
    <w:p w14:paraId="70DF2A05" w14:textId="77777777" w:rsidR="007B673C" w:rsidRPr="00FD5803" w:rsidRDefault="007B673C" w:rsidP="009A1B99">
      <w:pPr>
        <w:spacing w:after="0" w:line="240" w:lineRule="auto"/>
        <w:ind w:firstLine="567"/>
        <w:jc w:val="both"/>
      </w:pPr>
      <w:r w:rsidRPr="00FD5803">
        <w:t xml:space="preserve">Teismo vertinimu, naudojimąsi pasimatymų teise reglamentuojančios nacionalinės teisės normos neatitinka „teisės kokybės“ („quality of law“) reikalavimo, tuo aspektu, kad suteikia atsakingai už bylą institucijai neribotą diskreciją suteikti ar atsisakyti suteikti kalėjimų pasimatymus. Jos neapriboja diskrecijos apimties ir jos vykdymo būdo ir atima sulaikytajam minimalią apsaugą nuo savavališkumo ar piktnaudžiavimo, kurią turi asmenys demokratinėje visuomenėje. </w:t>
      </w:r>
    </w:p>
    <w:p w14:paraId="3C5BEC71" w14:textId="77777777" w:rsidR="007B673C" w:rsidRPr="00FD5803" w:rsidRDefault="007B673C" w:rsidP="009A1B99">
      <w:pPr>
        <w:spacing w:after="0" w:line="240" w:lineRule="auto"/>
        <w:ind w:firstLine="567"/>
        <w:jc w:val="both"/>
      </w:pPr>
      <w:r w:rsidRPr="00FD5803">
        <w:t xml:space="preserve">Teismas nurodė, kad atsakymai dėl pasimatymų suteikimo pareiškėjui buvo išdėstyti neįpareigojančiu, dviprasmišku būdu, nurodant, jog institucija neprieštarauja tam, kad jis gautų pasimatymą, tačiau jis turi atitikti galiojantį teisinį reglamentavimą. Teismo vertinimu, nuo kitų bylų tokie atsakymai skyrėsi tik forma, tačiau ne esme. Rezultatas pareiškėjui buvo toks pat – jis negalėjo pasinaudoti savo teise į trumpalaikį pasimatymą ir trumpo buvimo tardymo izoliatoriuje, esančiame jo gimtajame mieste, metu neteko galimybės susitikti su šeimos nariais. Esant tokioms aplinkybėms, Teismas pakartojo, kad įsikišimas, grindžiamas nepakankamai tiksliomis ir nuspėjamai taikomomis teisės normomis, nebuvo „nustatytas įstatyme“. Todėl atitinkamai nėra prasmės tirti, ar tai buvo būtina demokratinėje visuomenėje. </w:t>
      </w:r>
    </w:p>
    <w:p w14:paraId="2D8A70CF" w14:textId="77777777" w:rsidR="007B673C" w:rsidRPr="00FD5803" w:rsidRDefault="007B673C" w:rsidP="009A1B99">
      <w:pPr>
        <w:spacing w:after="0" w:line="240" w:lineRule="auto"/>
        <w:ind w:firstLine="567"/>
        <w:jc w:val="both"/>
      </w:pPr>
    </w:p>
    <w:p w14:paraId="33169329" w14:textId="77777777" w:rsidR="007B673C" w:rsidRPr="00FD5803" w:rsidRDefault="007B673C" w:rsidP="009A1B99">
      <w:pPr>
        <w:spacing w:after="0" w:line="240" w:lineRule="auto"/>
        <w:ind w:firstLine="1296"/>
        <w:jc w:val="both"/>
      </w:pPr>
      <w:r w:rsidRPr="00FD5803">
        <w:t xml:space="preserve">d) Ilgalaikių pasimatymų nesuteikimas tardymo izoliatoriuje </w:t>
      </w:r>
    </w:p>
    <w:p w14:paraId="04185D32" w14:textId="77777777" w:rsidR="007B673C" w:rsidRPr="00FD5803" w:rsidRDefault="007B673C" w:rsidP="009A1B99">
      <w:pPr>
        <w:spacing w:after="0" w:line="240" w:lineRule="auto"/>
        <w:ind w:firstLine="567"/>
        <w:jc w:val="both"/>
      </w:pPr>
    </w:p>
    <w:p w14:paraId="35BBFDB6" w14:textId="4C0C5BFD" w:rsidR="007B673C" w:rsidRPr="00FD5803" w:rsidRDefault="007B673C" w:rsidP="009A1B99">
      <w:pPr>
        <w:spacing w:after="0" w:line="240" w:lineRule="auto"/>
        <w:ind w:firstLine="567"/>
        <w:jc w:val="both"/>
      </w:pPr>
      <w:r w:rsidRPr="00FD5803">
        <w:t xml:space="preserve">Pareiškėjas atkreipė dėmesį, kad bausmės atlikimui jis buvo išsiųstas į įstaigą, esančią sunkiai pasiekiamoje vietovėje už maždaug 7 000 km nuo jo gimtojo miesto </w:t>
      </w:r>
      <w:r w:rsidR="007F5353">
        <w:t>Ch</w:t>
      </w:r>
      <w:r w:rsidRPr="00FD5803">
        <w:t xml:space="preserve">abarovsko, kur gyveno jo šeima. Ilgalaikio pasimatymo suorganizavimas jo trumpo buvimo </w:t>
      </w:r>
      <w:r w:rsidR="00535F80">
        <w:t>Ch</w:t>
      </w:r>
      <w:r w:rsidRPr="00FD5803">
        <w:t xml:space="preserve">abarovsko tardymo izoliatoriuje metu būtų sutaupęs jo pagyvenusios motinos pastangas ir išlaidas, keliaujant į tolimą vietovę. Atsisakymas nebuvo grįstas tinkamų patalpų trūkumu, kadangi kalėjimas turėjo ilgalaikių pasimatymų kambarius. </w:t>
      </w:r>
    </w:p>
    <w:p w14:paraId="2C1A6128" w14:textId="647A8E94" w:rsidR="007B673C" w:rsidRPr="00FD5803" w:rsidRDefault="007B673C" w:rsidP="009A1B99">
      <w:pPr>
        <w:spacing w:after="0" w:line="240" w:lineRule="auto"/>
        <w:ind w:firstLine="567"/>
        <w:jc w:val="both"/>
      </w:pPr>
      <w:r w:rsidRPr="00FD5803">
        <w:t xml:space="preserve">Teismas atkreipė dėmesį, kad BVK 77.1 straipsnis aiškiai draudžia nuteistiems asmenims, kurie (kaip ir pareiškėjo atveju) atvežami bylos tyrimui į tardymo izoliatorių iš pataisos įstaigos, gauti ilgalaikius šeimos pasimatymus. Apribojimas yra pagrįstas konkrečia teisės norma ir nėra ginčo dėl valdžios institucijų veiksmų atitikties įstatymams. Tačiau be nuorodos į taikytinas teisės normas, Vyriausybė nepaaiškino teisėto tikslo ar kitaip nepagrindė ginčijamos priemonės reikalingumo. Taip pat ji nepateikė jokios informacijos, kodėl pasirinkta tokia įstatymų leidėjo pozicija, nesuteikiant ilgalaikių pasimatymų asmenims, perkeltiems į tardymo izoliatorių. Priešingai, pastoviai kalinčių asmenų kategorija, įskaitant tuos, kurie bausmę atlikinėjo tame pačiame tardymo izoliatoriuje, į kurį buvo perkeltas pareiškėjas, nebuvo praradę teisės į ilgalaikius pasimatymus. Minėti apribojimai, įvertinus individualias bylos aplinkybes, pareiškėją palietė ypač griežtai. Teismo vertinimu, apribojimais nebuvo siekiama teisėto tikslo ir jie nebuvo būtini demokratinėje visuomenėje. </w:t>
      </w:r>
    </w:p>
    <w:p w14:paraId="0B0E191F" w14:textId="77777777" w:rsidR="007B673C" w:rsidRPr="00FD5803" w:rsidRDefault="007B673C" w:rsidP="009A1B99">
      <w:pPr>
        <w:spacing w:after="0" w:line="240" w:lineRule="auto"/>
        <w:ind w:firstLine="567"/>
        <w:jc w:val="both"/>
      </w:pPr>
    </w:p>
    <w:p w14:paraId="36E668B8" w14:textId="77777777" w:rsidR="007B673C" w:rsidRPr="00FD5803" w:rsidRDefault="007B673C" w:rsidP="009A1B99">
      <w:pPr>
        <w:spacing w:after="0" w:line="240" w:lineRule="auto"/>
        <w:ind w:firstLine="1296"/>
        <w:jc w:val="both"/>
      </w:pPr>
      <w:r w:rsidRPr="00FD5803">
        <w:t xml:space="preserve">e) Išvada </w:t>
      </w:r>
    </w:p>
    <w:p w14:paraId="404C25FF" w14:textId="77777777" w:rsidR="007B673C" w:rsidRPr="00FD5803" w:rsidRDefault="007B673C" w:rsidP="009A1B99">
      <w:pPr>
        <w:spacing w:after="0" w:line="240" w:lineRule="auto"/>
        <w:ind w:firstLine="567"/>
        <w:jc w:val="both"/>
      </w:pPr>
    </w:p>
    <w:p w14:paraId="445A8898" w14:textId="05E91D5F" w:rsidR="007B673C" w:rsidRPr="00FD5803" w:rsidRDefault="007B673C" w:rsidP="009A1B99">
      <w:pPr>
        <w:spacing w:after="0" w:line="240" w:lineRule="auto"/>
        <w:ind w:firstLine="567"/>
        <w:jc w:val="both"/>
      </w:pPr>
      <w:r w:rsidRPr="00FD5803">
        <w:t xml:space="preserve">Teismas padarė išvadą, kad buvo pažeistas Konvencijos 8 straipsnis dėl suaugusių lankytojų skaičiaus ribojimo IK-56 patalpose, dėl fizinės pertvaros ir nuolatinės pareigūno priežiūros trumpalaikių pasimatymų metu toje įstaigoje bei dėl trumpalaikių ir ilgalaikių pasimatymų nesuteikimo </w:t>
      </w:r>
      <w:r w:rsidR="00535F80">
        <w:t>Ch</w:t>
      </w:r>
      <w:r w:rsidRPr="00FD5803">
        <w:t xml:space="preserve">abarovsko tardymo izoliatoriuje. </w:t>
      </w:r>
    </w:p>
    <w:p w14:paraId="60370AB4" w14:textId="77777777" w:rsidR="007B673C" w:rsidRPr="00FD5803" w:rsidRDefault="007B673C" w:rsidP="009A1B99">
      <w:pPr>
        <w:spacing w:after="0" w:line="240" w:lineRule="auto"/>
        <w:ind w:firstLine="567"/>
        <w:jc w:val="both"/>
      </w:pPr>
    </w:p>
    <w:p w14:paraId="3AA29347" w14:textId="41A51789" w:rsidR="007B673C" w:rsidRPr="00FD5803" w:rsidRDefault="007B673C" w:rsidP="009A1B99">
      <w:pPr>
        <w:spacing w:after="0" w:line="240" w:lineRule="auto"/>
        <w:ind w:firstLine="567"/>
        <w:jc w:val="both"/>
      </w:pPr>
      <w:r w:rsidRPr="00FD5803">
        <w:t xml:space="preserve">Išvada: </w:t>
      </w:r>
      <w:r w:rsidRPr="00FD5803">
        <w:rPr>
          <w:rFonts w:ascii="Calibri" w:hAnsi="Calibri" w:cs="Arial"/>
        </w:rPr>
        <w:t xml:space="preserve">nustatytas Konvencijos 8 straipsnio pažeidimas </w:t>
      </w:r>
      <w:r w:rsidRPr="00FD5803">
        <w:t xml:space="preserve">(vienbalsiai) </w:t>
      </w:r>
    </w:p>
    <w:p w14:paraId="09F8D640" w14:textId="5C813D2A" w:rsidR="007B673C" w:rsidRPr="00FD5803" w:rsidRDefault="007B673C" w:rsidP="009A1B99">
      <w:pPr>
        <w:spacing w:after="0" w:line="240" w:lineRule="auto"/>
        <w:ind w:firstLine="567"/>
        <w:jc w:val="both"/>
      </w:pPr>
      <w:r w:rsidRPr="00FD5803">
        <w:t xml:space="preserve">41 </w:t>
      </w:r>
      <w:r w:rsidR="00CD08DA">
        <w:t>straipsnis: priteistas 7 500 Eur</w:t>
      </w:r>
      <w:r w:rsidRPr="00FD5803">
        <w:t xml:space="preserve"> neturtinės žalos atlyginimas. </w:t>
      </w:r>
    </w:p>
    <w:p w14:paraId="2A40055B" w14:textId="77777777" w:rsidR="007B673C" w:rsidRPr="00FD5803" w:rsidRDefault="007F5353" w:rsidP="009A1B99">
      <w:pPr>
        <w:spacing w:after="0" w:line="240" w:lineRule="auto"/>
        <w:ind w:firstLine="567"/>
        <w:jc w:val="both"/>
      </w:pPr>
      <w:hyperlink r:id="rId18" w:history="1">
        <w:r w:rsidR="007B673C" w:rsidRPr="00FD5803">
          <w:rPr>
            <w:rStyle w:val="Hipersaitas"/>
          </w:rPr>
          <w:t>Prieiga internete</w:t>
        </w:r>
      </w:hyperlink>
      <w:r w:rsidR="007B673C" w:rsidRPr="00FD5803">
        <w:t xml:space="preserve"> </w:t>
      </w:r>
    </w:p>
    <w:p w14:paraId="36A6FDA3" w14:textId="77777777" w:rsidR="00EE09AD" w:rsidRPr="00FD5803" w:rsidRDefault="00EE09AD" w:rsidP="009A1B99">
      <w:pPr>
        <w:pStyle w:val="Default"/>
        <w:tabs>
          <w:tab w:val="left" w:pos="709"/>
        </w:tabs>
        <w:ind w:firstLine="567"/>
        <w:jc w:val="both"/>
        <w:rPr>
          <w:rFonts w:asciiTheme="minorHAnsi" w:hAnsiTheme="minorHAnsi"/>
          <w:sz w:val="22"/>
          <w:szCs w:val="22"/>
        </w:rPr>
      </w:pPr>
    </w:p>
    <w:p w14:paraId="3F5D1CCC" w14:textId="77777777" w:rsidR="00C21437" w:rsidRPr="00FD5803" w:rsidRDefault="00C21437" w:rsidP="009A1B99">
      <w:pPr>
        <w:pStyle w:val="Antrat1"/>
        <w:spacing w:before="0"/>
        <w:rPr>
          <w:kern w:val="32"/>
          <w:szCs w:val="22"/>
        </w:rPr>
      </w:pPr>
      <w:bookmarkStart w:id="19" w:name="_Toc469559984"/>
      <w:bookmarkStart w:id="20" w:name="_Toc527116511"/>
      <w:bookmarkStart w:id="21" w:name="_Toc1657792"/>
      <w:r w:rsidRPr="00FD5803">
        <w:rPr>
          <w:kern w:val="32"/>
          <w:szCs w:val="22"/>
        </w:rPr>
        <w:t>SAVIRAIŠKOS LAISVĖ (10 straipsnis)</w:t>
      </w:r>
      <w:bookmarkEnd w:id="19"/>
      <w:bookmarkEnd w:id="20"/>
      <w:bookmarkEnd w:id="21"/>
    </w:p>
    <w:p w14:paraId="23078514" w14:textId="77777777" w:rsidR="00DC7996" w:rsidRPr="00FD5803" w:rsidRDefault="00DC7996" w:rsidP="009A1B99">
      <w:pPr>
        <w:spacing w:after="0" w:line="240" w:lineRule="auto"/>
      </w:pPr>
    </w:p>
    <w:p w14:paraId="289D78C2" w14:textId="77777777" w:rsidR="006637D9" w:rsidRPr="00FD5803" w:rsidRDefault="006637D9" w:rsidP="009A1B99">
      <w:pPr>
        <w:spacing w:after="0" w:line="240" w:lineRule="auto"/>
        <w:jc w:val="center"/>
        <w:rPr>
          <w:rFonts w:cs="Arial"/>
          <w:b/>
        </w:rPr>
      </w:pPr>
      <w:r w:rsidRPr="00FD5803">
        <w:rPr>
          <w:rFonts w:cs="Arial"/>
          <w:b/>
        </w:rPr>
        <w:t>Europos Žmogaus Teisių Teismo 2018 m. liepos 17 d. sprendimas byloje</w:t>
      </w:r>
    </w:p>
    <w:p w14:paraId="3C2E7E9F" w14:textId="77777777" w:rsidR="006637D9" w:rsidRPr="00FD5803" w:rsidRDefault="006637D9" w:rsidP="009A1B99">
      <w:pPr>
        <w:pStyle w:val="Antrat2"/>
        <w:ind w:firstLine="0"/>
        <w:jc w:val="center"/>
        <w:rPr>
          <w:rFonts w:eastAsia="Calibri"/>
          <w:i/>
        </w:rPr>
      </w:pPr>
      <w:bookmarkStart w:id="22" w:name="_Toc1402210"/>
      <w:bookmarkStart w:id="23" w:name="_Toc1657793"/>
      <w:r w:rsidRPr="00FD5803">
        <w:rPr>
          <w:rFonts w:eastAsia="Calibri"/>
          <w:i/>
        </w:rPr>
        <w:t>Mariya Alekhina ir kiti prieš Rusiją</w:t>
      </w:r>
      <w:bookmarkEnd w:id="22"/>
      <w:bookmarkEnd w:id="23"/>
    </w:p>
    <w:p w14:paraId="5EBC72ED" w14:textId="77777777" w:rsidR="006637D9" w:rsidRPr="00FD5803" w:rsidRDefault="006637D9" w:rsidP="009A1B99">
      <w:pPr>
        <w:spacing w:after="0" w:line="240" w:lineRule="auto"/>
        <w:jc w:val="center"/>
        <w:rPr>
          <w:rFonts w:cs="Arial"/>
          <w:b/>
        </w:rPr>
      </w:pPr>
      <w:r w:rsidRPr="00FD5803">
        <w:rPr>
          <w:rFonts w:cs="Arial"/>
          <w:b/>
        </w:rPr>
        <w:t>(pareiškimo Nr. 38004/12, svarbos lygis – 2)</w:t>
      </w:r>
    </w:p>
    <w:p w14:paraId="7E91CDC7" w14:textId="77777777" w:rsidR="006637D9" w:rsidRPr="00FD5803" w:rsidRDefault="006637D9" w:rsidP="009A1B99">
      <w:pPr>
        <w:spacing w:after="0" w:line="240" w:lineRule="auto"/>
        <w:jc w:val="center"/>
        <w:rPr>
          <w:rFonts w:cs="Arial"/>
        </w:rPr>
      </w:pPr>
    </w:p>
    <w:p w14:paraId="3A9049C6" w14:textId="77777777" w:rsidR="006637D9" w:rsidRPr="00FD5803" w:rsidRDefault="006637D9" w:rsidP="009A1B99">
      <w:pPr>
        <w:pStyle w:val="Antrat3"/>
        <w:spacing w:before="0" w:line="240" w:lineRule="auto"/>
        <w:ind w:firstLine="567"/>
        <w:jc w:val="both"/>
        <w:rPr>
          <w:rFonts w:eastAsia="Times New Roman"/>
          <w:szCs w:val="22"/>
          <w:shd w:val="clear" w:color="auto" w:fill="FFFFFF"/>
          <w:lang w:eastAsia="lt-LT"/>
        </w:rPr>
      </w:pPr>
      <w:bookmarkStart w:id="24" w:name="_Toc1402211"/>
      <w:bookmarkStart w:id="25" w:name="_Toc1657794"/>
      <w:r w:rsidRPr="00FD5803">
        <w:rPr>
          <w:rFonts w:eastAsia="Times New Roman"/>
          <w:szCs w:val="22"/>
          <w:shd w:val="clear" w:color="auto" w:fill="FFFFFF"/>
          <w:lang w:eastAsia="lt-LT"/>
        </w:rPr>
        <w:lastRenderedPageBreak/>
        <w:t>Dėl nuteisimo laisvės atėmimu už politinės dainos atlikimą katedroje ir prieigos prie pasirodymo įrašų apribojimo</w:t>
      </w:r>
      <w:bookmarkEnd w:id="24"/>
      <w:bookmarkEnd w:id="25"/>
    </w:p>
    <w:p w14:paraId="4C6AFBC8" w14:textId="77777777" w:rsidR="006637D9" w:rsidRPr="00FD5803" w:rsidRDefault="006637D9" w:rsidP="009A1B99">
      <w:pPr>
        <w:spacing w:after="0" w:line="240" w:lineRule="auto"/>
        <w:jc w:val="center"/>
        <w:rPr>
          <w:rFonts w:cs="Arial"/>
          <w:b/>
        </w:rPr>
      </w:pPr>
    </w:p>
    <w:p w14:paraId="3F4A131B" w14:textId="77777777" w:rsidR="006637D9" w:rsidRPr="00FD5803" w:rsidRDefault="006637D9" w:rsidP="009A1B99">
      <w:pPr>
        <w:spacing w:after="0" w:line="240" w:lineRule="auto"/>
        <w:jc w:val="center"/>
        <w:rPr>
          <w:rFonts w:cs="Arial"/>
          <w:b/>
        </w:rPr>
      </w:pPr>
      <w:r w:rsidRPr="00FD5803">
        <w:rPr>
          <w:rFonts w:cs="Arial"/>
          <w:b/>
        </w:rPr>
        <w:t>Faktinės aplinkybės</w:t>
      </w:r>
    </w:p>
    <w:p w14:paraId="17CBB86B" w14:textId="77777777" w:rsidR="006637D9" w:rsidRPr="00FD5803" w:rsidRDefault="006637D9" w:rsidP="009A1B99">
      <w:pPr>
        <w:spacing w:after="0" w:line="240" w:lineRule="auto"/>
        <w:ind w:firstLine="540"/>
        <w:jc w:val="center"/>
        <w:rPr>
          <w:rFonts w:cs="Arial"/>
          <w:b/>
        </w:rPr>
      </w:pPr>
    </w:p>
    <w:p w14:paraId="7D6EB0E4" w14:textId="5C25F101" w:rsidR="006637D9" w:rsidRPr="00FD5803" w:rsidRDefault="006637D9" w:rsidP="009A1B99">
      <w:pPr>
        <w:spacing w:after="0" w:line="240" w:lineRule="auto"/>
        <w:ind w:firstLine="567"/>
        <w:jc w:val="both"/>
        <w:rPr>
          <w:rFonts w:cs="Arial"/>
        </w:rPr>
      </w:pPr>
      <w:r w:rsidRPr="00FD5803">
        <w:rPr>
          <w:rFonts w:cs="Arial"/>
        </w:rPr>
        <w:t>Trys pareiškėjos yra feministinės roko grupės „</w:t>
      </w:r>
      <w:proofErr w:type="spellStart"/>
      <w:r w:rsidRPr="00FD5803">
        <w:rPr>
          <w:rFonts w:cs="Arial"/>
        </w:rPr>
        <w:t>Pussy</w:t>
      </w:r>
      <w:proofErr w:type="spellEnd"/>
      <w:r w:rsidRPr="00FD5803">
        <w:rPr>
          <w:rFonts w:cs="Arial"/>
        </w:rPr>
        <w:t xml:space="preserve"> </w:t>
      </w:r>
      <w:proofErr w:type="spellStart"/>
      <w:r w:rsidRPr="00FD5803">
        <w:rPr>
          <w:rFonts w:cs="Arial"/>
        </w:rPr>
        <w:t>Riot</w:t>
      </w:r>
      <w:proofErr w:type="spellEnd"/>
      <w:r w:rsidRPr="00FD5803">
        <w:rPr>
          <w:rFonts w:cs="Arial"/>
        </w:rPr>
        <w:t>“ grupės narės. Grupė surengė improvizuotą pasirodymą, kurio metu atliko savo dainą, kritikuojančią politinius procesus Rusijoje. Grupės narės pasirodė prisidengusios veidus, dėvėdamos spalvotas kaukes. Pasirodymai buvo surengti įvairiose viešose vietose, atrinktose siekiant kuo aktyvia</w:t>
      </w:r>
      <w:r w:rsidR="000033CA" w:rsidRPr="00FD5803">
        <w:rPr>
          <w:rFonts w:cs="Arial"/>
        </w:rPr>
        <w:t>u</w:t>
      </w:r>
      <w:r w:rsidRPr="00FD5803">
        <w:rPr>
          <w:rFonts w:cs="Arial"/>
        </w:rPr>
        <w:t xml:space="preserve"> paskleisti savo idėjas. </w:t>
      </w:r>
    </w:p>
    <w:p w14:paraId="1A851ABC" w14:textId="0BE9933D" w:rsidR="006637D9" w:rsidRPr="00FD5803" w:rsidRDefault="006637D9" w:rsidP="009A1B99">
      <w:pPr>
        <w:spacing w:after="0" w:line="240" w:lineRule="auto"/>
        <w:ind w:firstLine="567"/>
        <w:jc w:val="both"/>
        <w:rPr>
          <w:rFonts w:cs="Arial"/>
        </w:rPr>
      </w:pPr>
      <w:r w:rsidRPr="00FD5803">
        <w:rPr>
          <w:rFonts w:cs="Arial"/>
        </w:rPr>
        <w:t>2012 m. vasario 21 d. penkios grupės narės, tarp kurių buvo ir trys pareiškėjos</w:t>
      </w:r>
      <w:r w:rsidR="000033CA" w:rsidRPr="00FD5803">
        <w:rPr>
          <w:rFonts w:cs="Arial"/>
        </w:rPr>
        <w:t>,</w:t>
      </w:r>
      <w:r w:rsidRPr="00FD5803">
        <w:rPr>
          <w:rFonts w:cs="Arial"/>
        </w:rPr>
        <w:t xml:space="preserve"> mėgino atlikti kūrinį „Punk Prayer – Virgin Mary, Drive Putin Away“ ant Maskvos Kristaus Išganytojo Katedros altoriaus. Tuo metu nevyko apeigos, nors Katedros viduje buvo ne vienas žmogus. Bandymas buvo nesėkmingas, nes Katedros apsauga nedelsiant grupę išvarė, pasirodymui trukus šiek tiek </w:t>
      </w:r>
      <w:r w:rsidR="00535F80">
        <w:rPr>
          <w:rFonts w:cs="Arial"/>
        </w:rPr>
        <w:t xml:space="preserve">ilgiau nei </w:t>
      </w:r>
      <w:r w:rsidRPr="00FD5803">
        <w:rPr>
          <w:rFonts w:cs="Arial"/>
        </w:rPr>
        <w:t>minut</w:t>
      </w:r>
      <w:r w:rsidR="00535F80">
        <w:rPr>
          <w:rFonts w:cs="Arial"/>
        </w:rPr>
        <w:t>ę</w:t>
      </w:r>
      <w:r w:rsidRPr="00FD5803">
        <w:rPr>
          <w:rFonts w:cs="Arial"/>
        </w:rPr>
        <w:t>. Pasirodymo vaizdo įrašas buvo patalpintas interneto svetainėje „YouTube“.</w:t>
      </w:r>
    </w:p>
    <w:p w14:paraId="7F5F542B" w14:textId="42AFEDD2" w:rsidR="006637D9" w:rsidRPr="00FD5803" w:rsidRDefault="006637D9" w:rsidP="009A1B99">
      <w:pPr>
        <w:spacing w:after="0" w:line="240" w:lineRule="auto"/>
        <w:ind w:firstLine="567"/>
        <w:jc w:val="both"/>
        <w:rPr>
          <w:rFonts w:cs="Arial"/>
        </w:rPr>
      </w:pPr>
      <w:r w:rsidRPr="00FD5803">
        <w:rPr>
          <w:rFonts w:cs="Arial"/>
        </w:rPr>
        <w:t>Po šių įvykių pareiškėjos buvo sulaikytos, nuteistos už chuliganizmą iš religinės neapykantos paskatų ir nuteistos dve</w:t>
      </w:r>
      <w:r w:rsidR="000033CA" w:rsidRPr="00FD5803">
        <w:rPr>
          <w:rFonts w:cs="Arial"/>
        </w:rPr>
        <w:t>jie</w:t>
      </w:r>
      <w:r w:rsidRPr="00FD5803">
        <w:rPr>
          <w:rFonts w:cs="Arial"/>
        </w:rPr>
        <w:t>ms metais laisvės atėmimo. Be to, nacionalinis teismas nusprendė, kad grupės pasirodymų vaizdo įrašai buvo ekstremistiniai Kovos prieš ekstremizmą įstatymo prasme ir nurodė, kad prieiga prie šių vaizdo įrašų būtų apribota.</w:t>
      </w:r>
    </w:p>
    <w:p w14:paraId="072CE678" w14:textId="77777777" w:rsidR="006637D9" w:rsidRPr="00FD5803" w:rsidRDefault="006637D9" w:rsidP="009A1B99">
      <w:pPr>
        <w:spacing w:after="0" w:line="240" w:lineRule="auto"/>
        <w:ind w:firstLine="567"/>
        <w:jc w:val="both"/>
        <w:rPr>
          <w:rFonts w:cs="Arial"/>
        </w:rPr>
      </w:pPr>
    </w:p>
    <w:p w14:paraId="60922BFC" w14:textId="77777777" w:rsidR="006637D9" w:rsidRPr="00FD5803" w:rsidRDefault="006637D9" w:rsidP="009A1B99">
      <w:pPr>
        <w:spacing w:after="0" w:line="240" w:lineRule="auto"/>
        <w:jc w:val="center"/>
        <w:rPr>
          <w:rFonts w:cs="Arial"/>
        </w:rPr>
      </w:pPr>
      <w:r w:rsidRPr="00FD5803">
        <w:rPr>
          <w:rFonts w:cs="Arial"/>
          <w:b/>
        </w:rPr>
        <w:t>Neoficiali Teismo sprendimo apžvalga</w:t>
      </w:r>
    </w:p>
    <w:p w14:paraId="62AE4AB2" w14:textId="77777777" w:rsidR="006637D9" w:rsidRPr="00FD5803" w:rsidRDefault="006637D9" w:rsidP="009A1B99">
      <w:pPr>
        <w:spacing w:after="0" w:line="240" w:lineRule="auto"/>
        <w:ind w:firstLine="540"/>
        <w:jc w:val="both"/>
        <w:rPr>
          <w:rFonts w:cs="Arial"/>
        </w:rPr>
      </w:pPr>
    </w:p>
    <w:p w14:paraId="1CCE210E" w14:textId="77777777" w:rsidR="000033CA" w:rsidRPr="00FD5803" w:rsidRDefault="006637D9" w:rsidP="009A1B99">
      <w:pPr>
        <w:spacing w:after="0" w:line="240" w:lineRule="auto"/>
        <w:ind w:firstLine="540"/>
        <w:jc w:val="both"/>
        <w:rPr>
          <w:rFonts w:cs="Arial"/>
          <w:i/>
        </w:rPr>
      </w:pPr>
      <w:r w:rsidRPr="00FD5803">
        <w:rPr>
          <w:rFonts w:cs="Arial"/>
          <w:i/>
        </w:rPr>
        <w:t>Dėl pareiškėjų baudžiamojo persekiojimo už 2012 m. vasario 21 d. pasirodymą</w:t>
      </w:r>
    </w:p>
    <w:p w14:paraId="0E585B78" w14:textId="77777777" w:rsidR="000033CA" w:rsidRPr="00FD5803" w:rsidRDefault="000033CA" w:rsidP="009A1B99">
      <w:pPr>
        <w:spacing w:after="0" w:line="240" w:lineRule="auto"/>
        <w:ind w:firstLine="540"/>
        <w:jc w:val="both"/>
        <w:rPr>
          <w:rFonts w:cs="Arial"/>
          <w:i/>
        </w:rPr>
      </w:pPr>
    </w:p>
    <w:p w14:paraId="53747AEF" w14:textId="3BF2C0E0" w:rsidR="006637D9" w:rsidRPr="00FD5803" w:rsidRDefault="006637D9" w:rsidP="009A1B99">
      <w:pPr>
        <w:spacing w:after="0" w:line="240" w:lineRule="auto"/>
        <w:ind w:firstLine="540"/>
        <w:jc w:val="both"/>
        <w:rPr>
          <w:rFonts w:cs="Arial"/>
        </w:rPr>
      </w:pPr>
      <w:r w:rsidRPr="00FD5803">
        <w:rPr>
          <w:rFonts w:cs="Arial"/>
        </w:rPr>
        <w:t xml:space="preserve">Pareiškėjų pasirodymas apėmė veiksmų ir žodinės išraiškos visumą ir atitiko meninę ir politinę saviraišką, kuri patenka į Konvencijos 10 straipsnio reguliavimo sritį. Po pasirodymo vykdytas laisvės atėmimo bausmės paskyrimu pasibaigęs baudžiamasis persekiojimas įsiterpė į saviraiškos laisvės įgyvendinimą. Įsiterpimu buvo siekiama teisėto tikslo ginti kitų asmenų teises. Šiuo atveju klausimas, ar įsiterpimą numatė įstatymas, buvo </w:t>
      </w:r>
      <w:r w:rsidR="00535F80">
        <w:rPr>
          <w:rFonts w:cs="Arial"/>
        </w:rPr>
        <w:t>nesvarstytas</w:t>
      </w:r>
      <w:r w:rsidRPr="00FD5803">
        <w:rPr>
          <w:rFonts w:cs="Arial"/>
        </w:rPr>
        <w:t>. Dėl įsiterpimo būtinumo byloje buvo reikšminga, kad pareiškėjos siekė atkreipti bendrapiliečių ir Rusijos Ortodoksų Bažnyčios dėmesį į savo nepritarimą Rusijos politinei situacijai ir Patriarcho Kirilo bei kai kurių bažnyčios atstovų poziciją dėl daugelyje Rusijos miestų vykusių protestų. Šie protestai buvo nulemti neseniai vykusių parlamento rinkimų ir artėjančių prezidento rinkimų. Pareiškėjos savo veiksmais siekė prisidėti prie diskusijos šiais klausimais apie politinę situaciją Rusijoje ir prezidento bei parlamento galių įgyvendinimą.</w:t>
      </w:r>
    </w:p>
    <w:p w14:paraId="369D0EB9" w14:textId="1A2CC18B" w:rsidR="006637D9" w:rsidRPr="00FD5803" w:rsidRDefault="006637D9" w:rsidP="009A1B99">
      <w:pPr>
        <w:spacing w:after="0" w:line="240" w:lineRule="auto"/>
        <w:ind w:firstLine="540"/>
        <w:jc w:val="both"/>
        <w:rPr>
          <w:rFonts w:cs="Arial"/>
        </w:rPr>
      </w:pPr>
      <w:r w:rsidRPr="00FD5803">
        <w:rPr>
          <w:rFonts w:cs="Arial"/>
        </w:rPr>
        <w:t>Pareiškėjų pasirodymas galėjo būti laikomas pažeidžiančiu nusistovėjusias elgesio taisykles maldos namuose. Dėl to tam tikrų sankcijų taikymas gali būti iš esmės pateisinamas poreikiu ginti kitų asmenų teises. Tačiau pareiškėjos buvo apkaltintos baudžiamąja veika ir nuteistos laisvės atėmimu vieneriems metams ir vienuolikai mėnesių. Pirma ir antra pareiškėjos atliko apytikriai vienerius metus ir devynis mėnesius bausmės</w:t>
      </w:r>
      <w:r w:rsidR="000033CA" w:rsidRPr="00FD5803">
        <w:rPr>
          <w:rFonts w:cs="Arial"/>
        </w:rPr>
        <w:t>,</w:t>
      </w:r>
      <w:r w:rsidRPr="00FD5803">
        <w:rPr>
          <w:rFonts w:cs="Arial"/>
        </w:rPr>
        <w:t xml:space="preserve"> iki kol joms buvo pritaikyta amnestija, o trečia pareiškėja atliko apytikriai septynis mėnesius bausmės, kol jos bausmės vykdymas buvo sustabdytas. Pareiškėjų veiksmai nesutrikdė religinių apeigų, jos nesukėlė žalos katedroje buvusiems žmonėms ar bažnyčios nuosavybei. Šiomis aplinkybėmis pareiškėjoms pritaikyta bausmė buvo labai griežta</w:t>
      </w:r>
      <w:r w:rsidR="000033CA" w:rsidRPr="00FD5803">
        <w:rPr>
          <w:rFonts w:cs="Arial"/>
        </w:rPr>
        <w:t>,</w:t>
      </w:r>
      <w:r w:rsidRPr="00FD5803">
        <w:rPr>
          <w:rFonts w:cs="Arial"/>
        </w:rPr>
        <w:t xml:space="preserve"> atsižvelgiant į jų veiksmus.</w:t>
      </w:r>
    </w:p>
    <w:p w14:paraId="424A9843" w14:textId="54E41909" w:rsidR="006637D9" w:rsidRPr="00FD5803" w:rsidRDefault="006637D9" w:rsidP="009A1B99">
      <w:pPr>
        <w:spacing w:after="0" w:line="240" w:lineRule="auto"/>
        <w:ind w:firstLine="540"/>
        <w:jc w:val="both"/>
        <w:rPr>
          <w:rFonts w:cs="Arial"/>
        </w:rPr>
      </w:pPr>
      <w:r w:rsidRPr="00FD5803">
        <w:rPr>
          <w:rFonts w:cs="Arial"/>
        </w:rPr>
        <w:t>Šioje byloje buvo reikšminga, kad teismai nevertino pareiškėjų atliktos dainos „Punk Prayer – Virgin Mary, Drive Putin Away“ žodžių, o grindė nuteisimą išimtinai tik pareiškėjų veiksmais. Pareiškėjos buvo nuteistos už chuliganizmą</w:t>
      </w:r>
      <w:r w:rsidR="000033CA" w:rsidRPr="00FD5803">
        <w:rPr>
          <w:rFonts w:cs="Arial"/>
        </w:rPr>
        <w:t>,</w:t>
      </w:r>
      <w:r w:rsidRPr="00FD5803">
        <w:rPr>
          <w:rFonts w:cs="Arial"/>
        </w:rPr>
        <w:t xml:space="preserve"> įvykdytą dėl religinės neapykantos</w:t>
      </w:r>
      <w:r w:rsidR="000033CA" w:rsidRPr="00FD5803">
        <w:rPr>
          <w:rFonts w:cs="Arial"/>
        </w:rPr>
        <w:t>,</w:t>
      </w:r>
      <w:r w:rsidRPr="00FD5803">
        <w:rPr>
          <w:rFonts w:cs="Arial"/>
        </w:rPr>
        <w:t xml:space="preserve"> atsižvelgiant į pareiškėjų aprangą, veido kaukes, kurias jos dėvėjo, jų judesius ir stiprius žodinius pasisakymus. Kadangi veiksmai vyko katedroje, daug žmonių, bažnyčios lankytojų dėl jo galėjo įsižeisti. Tačiau nacionalinio teismo atliktoje analizėje Teismas neaptiko jokio elemento, kuris leistų pareiškėjų elgesį apibūdinti kaip vediną religinės neapykantos. Nacionalinis teismas teigė, kad pareiškėjų apranga ir elgesys buvo nepagarbus Ortodoksų Bažnyčios kanonams, kas galėjo atrodyti nepriimtina kai kuriems asmenims, tačiau nebuvo tiriamas pareiškėjų pasirodymo kontekstas. Nacionaliniai teismai nevertino, ar pareiškėjų veiksmai galėjo būti vertinami kaip smurto skatinimas arba neapykanta, netolerancija bei netyrė, ar šie veiksmai galėjo lemti žalingus padarinius.</w:t>
      </w:r>
    </w:p>
    <w:p w14:paraId="42C02000" w14:textId="77777777" w:rsidR="006637D9" w:rsidRPr="00FD5803" w:rsidRDefault="006637D9" w:rsidP="009A1B99">
      <w:pPr>
        <w:spacing w:after="0" w:line="240" w:lineRule="auto"/>
        <w:ind w:firstLine="540"/>
        <w:jc w:val="both"/>
        <w:rPr>
          <w:rFonts w:cs="Arial"/>
        </w:rPr>
      </w:pPr>
      <w:r w:rsidRPr="00FD5803">
        <w:rPr>
          <w:rFonts w:cs="Arial"/>
        </w:rPr>
        <w:t xml:space="preserve">Pareiškėjų veiksmuose nebuvo smurto, jo skatinimo ar pateisinimo požymių, juose nebuvo neapykantos ar netolerancijos tikintiesiems. Nors tam tikra reakcija į pareiškėjų veiksmus galėjo būti pagrįsta </w:t>
      </w:r>
      <w:r w:rsidRPr="00FD5803">
        <w:rPr>
          <w:rFonts w:cs="Arial"/>
        </w:rPr>
        <w:lastRenderedPageBreak/>
        <w:t>atsižvelgiant į poreikį ginti kitų asmenų teises, kadangi buvo pažeistos religinės institucijos elgesio taisyklės, tačiau nacionaliniai teismai nepateikė susijusių ir pakankamų argumentų pateisinti baudžiamosios atsakomybės taikymą pareiškėjoms ir pasirinktos sankcijos nebuvo proporcingos siektam teisėtam tikslui. Dėl to, atsižvelgiant į išimtinį pritaikytų sankcijų griežtumą, įsiterpimas į saviraiškos laisvę nebuvo būtinas demokratinėje visuomenėje.</w:t>
      </w:r>
    </w:p>
    <w:p w14:paraId="5F987BC9" w14:textId="76F4B886" w:rsidR="006637D9" w:rsidRPr="00FD5803" w:rsidRDefault="006637D9" w:rsidP="009A1B99">
      <w:pPr>
        <w:pStyle w:val="s6c429373"/>
        <w:shd w:val="clear" w:color="auto" w:fill="FFFFFF"/>
        <w:spacing w:before="0" w:beforeAutospacing="0" w:after="0" w:afterAutospacing="0"/>
        <w:ind w:firstLine="567"/>
        <w:jc w:val="both"/>
        <w:rPr>
          <w:rStyle w:val="sfbbfee58"/>
          <w:rFonts w:asciiTheme="minorHAnsi" w:hAnsiTheme="minorHAnsi"/>
          <w:color w:val="000000"/>
          <w:sz w:val="22"/>
          <w:szCs w:val="22"/>
        </w:rPr>
      </w:pPr>
      <w:r w:rsidRPr="00FD5803">
        <w:rPr>
          <w:rStyle w:val="sfbbfee58"/>
          <w:rFonts w:asciiTheme="minorHAnsi" w:hAnsiTheme="minorHAnsi"/>
          <w:color w:val="000000"/>
          <w:sz w:val="22"/>
          <w:szCs w:val="22"/>
        </w:rPr>
        <w:t xml:space="preserve">Išvada: </w:t>
      </w:r>
      <w:r w:rsidR="000033CA" w:rsidRPr="00FD5803">
        <w:rPr>
          <w:rStyle w:val="sfbbfee58"/>
          <w:rFonts w:asciiTheme="minorHAnsi" w:hAnsiTheme="minorHAnsi"/>
          <w:color w:val="000000"/>
          <w:sz w:val="22"/>
          <w:szCs w:val="22"/>
        </w:rPr>
        <w:t xml:space="preserve">nustatytas Konvencijos 10 straipsnio </w:t>
      </w:r>
      <w:r w:rsidRPr="00FD5803">
        <w:rPr>
          <w:rStyle w:val="sfbbfee58"/>
          <w:rFonts w:asciiTheme="minorHAnsi" w:hAnsiTheme="minorHAnsi"/>
          <w:color w:val="000000"/>
          <w:sz w:val="22"/>
          <w:szCs w:val="22"/>
        </w:rPr>
        <w:t>pažeidimas</w:t>
      </w:r>
      <w:r w:rsidR="000033CA" w:rsidRPr="00FD5803">
        <w:rPr>
          <w:rStyle w:val="sfbbfee58"/>
          <w:rFonts w:asciiTheme="minorHAnsi" w:hAnsiTheme="minorHAnsi"/>
          <w:color w:val="000000"/>
          <w:sz w:val="22"/>
          <w:szCs w:val="22"/>
        </w:rPr>
        <w:t xml:space="preserve"> (6 balsai prieš vieną)</w:t>
      </w:r>
      <w:r w:rsidRPr="00FD5803">
        <w:rPr>
          <w:rStyle w:val="sfbbfee58"/>
          <w:rFonts w:asciiTheme="minorHAnsi" w:hAnsiTheme="minorHAnsi"/>
          <w:color w:val="000000"/>
          <w:sz w:val="22"/>
          <w:szCs w:val="22"/>
        </w:rPr>
        <w:t>.</w:t>
      </w:r>
    </w:p>
    <w:p w14:paraId="77D1BB69" w14:textId="77777777" w:rsidR="006637D9" w:rsidRPr="00FD5803" w:rsidRDefault="006637D9" w:rsidP="009A1B99">
      <w:pPr>
        <w:spacing w:after="0" w:line="240" w:lineRule="auto"/>
        <w:ind w:firstLine="540"/>
        <w:jc w:val="both"/>
        <w:rPr>
          <w:rFonts w:cs="Arial"/>
        </w:rPr>
      </w:pPr>
    </w:p>
    <w:p w14:paraId="37CB9B93" w14:textId="77777777" w:rsidR="000033CA" w:rsidRPr="00FD5803" w:rsidRDefault="006637D9" w:rsidP="009A1B99">
      <w:pPr>
        <w:spacing w:after="0" w:line="240" w:lineRule="auto"/>
        <w:ind w:firstLine="540"/>
        <w:jc w:val="both"/>
        <w:rPr>
          <w:rFonts w:cs="Arial"/>
          <w:i/>
        </w:rPr>
      </w:pPr>
      <w:r w:rsidRPr="00FD5803">
        <w:rPr>
          <w:rFonts w:cs="Arial"/>
          <w:i/>
        </w:rPr>
        <w:t>Dėl prieigos p</w:t>
      </w:r>
      <w:r w:rsidR="000033CA" w:rsidRPr="00FD5803">
        <w:rPr>
          <w:rFonts w:cs="Arial"/>
          <w:i/>
        </w:rPr>
        <w:t>rie pasirodymo įrašų apribojimo</w:t>
      </w:r>
    </w:p>
    <w:p w14:paraId="65B65742" w14:textId="77777777" w:rsidR="000033CA" w:rsidRPr="00FD5803" w:rsidRDefault="000033CA" w:rsidP="009A1B99">
      <w:pPr>
        <w:spacing w:after="0" w:line="240" w:lineRule="auto"/>
        <w:ind w:firstLine="540"/>
        <w:jc w:val="both"/>
        <w:rPr>
          <w:rFonts w:cs="Arial"/>
          <w:i/>
        </w:rPr>
      </w:pPr>
    </w:p>
    <w:p w14:paraId="440FB2D7" w14:textId="17C7B8A4" w:rsidR="006637D9" w:rsidRPr="00FD5803" w:rsidRDefault="006637D9" w:rsidP="009A1B99">
      <w:pPr>
        <w:spacing w:after="0" w:line="240" w:lineRule="auto"/>
        <w:ind w:firstLine="540"/>
        <w:jc w:val="both"/>
        <w:rPr>
          <w:rFonts w:cs="Arial"/>
        </w:rPr>
      </w:pPr>
      <w:r w:rsidRPr="00FD5803">
        <w:rPr>
          <w:rFonts w:cs="Arial"/>
        </w:rPr>
        <w:t>Pasirodymo vaizdo įrašų kvalifikavimas kaip ekstremistinių ir prieigos prie šių įrašų apribojimas lėmė įsiterpimą į pareiškėjų saviraiškos laisvę. Įsiterpimu buvo siekta teisėto tikslo ginti kitų asmenų moralę ir teises. Teismas nusprendė palikti neatsakytą klausimą, ar įsiterpimas buvo numatytas įstatymu. Vertinant, ar jis buvo būtinas demokratinėje visuomenėje, pirmiausiai, galima buvo matyti, kad esmine aplinkybe buvo laikyta tai, kad ekstremistinį vaizdo įrašo turinio pobūdį nustatė ne nacionalinis teismas, o kalbos ekspertai. Ekspertų pranešimas nebuvo ištirtas ir nacionalinis teismas kalbos ekspertų išvadas tik patvirtinto. Teismas pripažino, kad tokia padėtis nepriimtina</w:t>
      </w:r>
      <w:r w:rsidR="000033CA" w:rsidRPr="00FD5803">
        <w:rPr>
          <w:rFonts w:cs="Arial"/>
        </w:rPr>
        <w:t>,</w:t>
      </w:r>
      <w:r w:rsidRPr="00FD5803">
        <w:rPr>
          <w:rFonts w:cs="Arial"/>
        </w:rPr>
        <w:t xml:space="preserve"> ir pabrėžė, kad visus teisinius klausimus turi būti spręsti išimtinai teismai. Be to, nacionalinis teismas neįdėjo pastangų atlikti savarankišką vaizdo įrašų medžiagos tyrimą ir nebuvo detalizuota</w:t>
      </w:r>
      <w:r w:rsidR="000033CA" w:rsidRPr="00FD5803">
        <w:rPr>
          <w:rFonts w:cs="Arial"/>
        </w:rPr>
        <w:t>,</w:t>
      </w:r>
      <w:r w:rsidRPr="00FD5803">
        <w:rPr>
          <w:rFonts w:cs="Arial"/>
        </w:rPr>
        <w:t xml:space="preserve"> kurie konkretūs vaizdo įrašų elementai buvo probleminiai ar pacituotos susijusios ekspertų pranešimo dalys, bet buvo tik trumpai pasiremta bendra pranešimo pozicija. Dėl visiško argumentų nepateikimo Teismui buvo neįmanoma identifikuoti racionalią priežastį, dėl kurios buvo įsiterpta į saviraiškos laisvę. Teismas nustatė, kad nacionalinis teismas nesilaikė standartų, kurie būtų suderinami su 10 straipsnio principais ar pagrįsti priimtinu susijusių faktinių aplinkybių vertinimu, todėl šiuo atveju buvo nepateikti susiję ir pakankami argumentai nustatytam įsiterpimui į saviraiškos laisvę.</w:t>
      </w:r>
    </w:p>
    <w:p w14:paraId="294CBA26" w14:textId="05BF551A" w:rsidR="006637D9" w:rsidRPr="00FD5803" w:rsidRDefault="006637D9" w:rsidP="009A1B99">
      <w:pPr>
        <w:pStyle w:val="s6c429373"/>
        <w:shd w:val="clear" w:color="auto" w:fill="FFFFFF"/>
        <w:spacing w:before="0" w:beforeAutospacing="0" w:after="0" w:afterAutospacing="0"/>
        <w:ind w:firstLine="567"/>
        <w:jc w:val="both"/>
        <w:rPr>
          <w:rStyle w:val="sfbbfee58"/>
          <w:rFonts w:asciiTheme="minorHAnsi" w:hAnsiTheme="minorHAnsi"/>
          <w:color w:val="000000"/>
          <w:sz w:val="22"/>
          <w:szCs w:val="22"/>
        </w:rPr>
      </w:pPr>
      <w:r w:rsidRPr="00FD5803">
        <w:rPr>
          <w:rStyle w:val="sfbbfee58"/>
          <w:rFonts w:asciiTheme="minorHAnsi" w:hAnsiTheme="minorHAnsi"/>
          <w:color w:val="000000"/>
          <w:sz w:val="22"/>
          <w:szCs w:val="22"/>
        </w:rPr>
        <w:t xml:space="preserve">Išvada: </w:t>
      </w:r>
      <w:r w:rsidR="000033CA" w:rsidRPr="00FD5803">
        <w:rPr>
          <w:rStyle w:val="sfbbfee58"/>
          <w:rFonts w:asciiTheme="minorHAnsi" w:hAnsiTheme="minorHAnsi"/>
          <w:color w:val="000000"/>
          <w:sz w:val="22"/>
          <w:szCs w:val="22"/>
        </w:rPr>
        <w:t xml:space="preserve">nustatytas Konvencijos 10 straipsnio </w:t>
      </w:r>
      <w:r w:rsidRPr="00FD5803">
        <w:rPr>
          <w:rStyle w:val="sfbbfee58"/>
          <w:rFonts w:asciiTheme="minorHAnsi" w:hAnsiTheme="minorHAnsi"/>
          <w:color w:val="000000"/>
          <w:sz w:val="22"/>
          <w:szCs w:val="22"/>
        </w:rPr>
        <w:t>pažeidimas</w:t>
      </w:r>
      <w:r w:rsidR="000033CA" w:rsidRPr="00FD5803">
        <w:rPr>
          <w:rStyle w:val="sfbbfee58"/>
          <w:rFonts w:asciiTheme="minorHAnsi" w:hAnsiTheme="minorHAnsi"/>
          <w:color w:val="000000"/>
          <w:sz w:val="22"/>
          <w:szCs w:val="22"/>
        </w:rPr>
        <w:t xml:space="preserve"> (vienbalsiai)</w:t>
      </w:r>
      <w:r w:rsidRPr="00FD5803">
        <w:rPr>
          <w:rStyle w:val="sfbbfee58"/>
          <w:rFonts w:asciiTheme="minorHAnsi" w:hAnsiTheme="minorHAnsi"/>
          <w:color w:val="000000"/>
          <w:sz w:val="22"/>
          <w:szCs w:val="22"/>
        </w:rPr>
        <w:t>.</w:t>
      </w:r>
    </w:p>
    <w:p w14:paraId="7F8E07B0" w14:textId="4010826A" w:rsidR="006637D9" w:rsidRPr="00FD5803" w:rsidRDefault="000033CA" w:rsidP="009A1B99">
      <w:pPr>
        <w:pStyle w:val="s6c429373"/>
        <w:shd w:val="clear" w:color="auto" w:fill="FFFFFF"/>
        <w:spacing w:before="0" w:beforeAutospacing="0" w:after="0" w:afterAutospacing="0"/>
        <w:ind w:firstLine="567"/>
        <w:jc w:val="both"/>
        <w:rPr>
          <w:rStyle w:val="sfbbfee58"/>
          <w:rFonts w:asciiTheme="minorHAnsi" w:hAnsiTheme="minorHAnsi"/>
          <w:color w:val="000000"/>
          <w:sz w:val="22"/>
          <w:szCs w:val="22"/>
        </w:rPr>
      </w:pPr>
      <w:r w:rsidRPr="00FD5803">
        <w:rPr>
          <w:rStyle w:val="sfbbfee58"/>
          <w:rFonts w:asciiTheme="minorHAnsi" w:hAnsiTheme="minorHAnsi"/>
          <w:color w:val="000000"/>
          <w:sz w:val="22"/>
          <w:szCs w:val="22"/>
        </w:rPr>
        <w:t>41 straipsnis:</w:t>
      </w:r>
      <w:r w:rsidRPr="00FD5803">
        <w:rPr>
          <w:sz w:val="22"/>
          <w:szCs w:val="22"/>
        </w:rPr>
        <w:t xml:space="preserve"> </w:t>
      </w:r>
      <w:r w:rsidR="006637D9" w:rsidRPr="00FD5803">
        <w:rPr>
          <w:rStyle w:val="sfbbfee58"/>
          <w:rFonts w:asciiTheme="minorHAnsi" w:hAnsiTheme="minorHAnsi"/>
          <w:color w:val="000000"/>
          <w:sz w:val="22"/>
          <w:szCs w:val="22"/>
        </w:rPr>
        <w:t>pirmai ir antrai pareiškėjai buvo priteista 16</w:t>
      </w:r>
      <w:r w:rsidR="004A150D" w:rsidRPr="00FD5803">
        <w:rPr>
          <w:rStyle w:val="sfbbfee58"/>
          <w:rFonts w:asciiTheme="minorHAnsi" w:hAnsiTheme="minorHAnsi"/>
          <w:color w:val="000000"/>
          <w:sz w:val="22"/>
          <w:szCs w:val="22"/>
        </w:rPr>
        <w:t xml:space="preserve"> </w:t>
      </w:r>
      <w:r w:rsidR="006637D9" w:rsidRPr="00FD5803">
        <w:rPr>
          <w:rStyle w:val="sfbbfee58"/>
          <w:rFonts w:asciiTheme="minorHAnsi" w:hAnsiTheme="minorHAnsi"/>
          <w:color w:val="000000"/>
          <w:sz w:val="22"/>
          <w:szCs w:val="22"/>
        </w:rPr>
        <w:t xml:space="preserve">000 </w:t>
      </w:r>
      <w:r w:rsidR="004A150D" w:rsidRPr="00FD5803">
        <w:rPr>
          <w:rStyle w:val="sfbbfee58"/>
          <w:rFonts w:asciiTheme="minorHAnsi" w:hAnsiTheme="minorHAnsi"/>
          <w:color w:val="000000"/>
          <w:sz w:val="22"/>
          <w:szCs w:val="22"/>
        </w:rPr>
        <w:t>Eur</w:t>
      </w:r>
      <w:r w:rsidR="006637D9" w:rsidRPr="00FD5803">
        <w:rPr>
          <w:rStyle w:val="sfbbfee58"/>
          <w:rFonts w:asciiTheme="minorHAnsi" w:hAnsiTheme="minorHAnsi"/>
          <w:color w:val="000000"/>
          <w:sz w:val="22"/>
          <w:szCs w:val="22"/>
        </w:rPr>
        <w:t xml:space="preserve"> neturtinės žalos atlyginimas</w:t>
      </w:r>
      <w:r w:rsidRPr="00FD5803">
        <w:rPr>
          <w:rStyle w:val="sfbbfee58"/>
          <w:rFonts w:asciiTheme="minorHAnsi" w:hAnsiTheme="minorHAnsi"/>
          <w:color w:val="000000"/>
          <w:sz w:val="22"/>
          <w:szCs w:val="22"/>
        </w:rPr>
        <w:t>,</w:t>
      </w:r>
      <w:r w:rsidR="006637D9" w:rsidRPr="00FD5803">
        <w:rPr>
          <w:rStyle w:val="sfbbfee58"/>
          <w:rFonts w:asciiTheme="minorHAnsi" w:hAnsiTheme="minorHAnsi"/>
          <w:color w:val="000000"/>
          <w:sz w:val="22"/>
          <w:szCs w:val="22"/>
        </w:rPr>
        <w:t xml:space="preserve"> trečiai pareiškėjai priteistas 5</w:t>
      </w:r>
      <w:r w:rsidR="004A150D" w:rsidRPr="00FD5803">
        <w:rPr>
          <w:rStyle w:val="sfbbfee58"/>
          <w:rFonts w:asciiTheme="minorHAnsi" w:hAnsiTheme="minorHAnsi"/>
          <w:color w:val="000000"/>
          <w:sz w:val="22"/>
          <w:szCs w:val="22"/>
        </w:rPr>
        <w:t xml:space="preserve"> </w:t>
      </w:r>
      <w:r w:rsidR="006637D9" w:rsidRPr="00FD5803">
        <w:rPr>
          <w:rStyle w:val="sfbbfee58"/>
          <w:rFonts w:asciiTheme="minorHAnsi" w:hAnsiTheme="minorHAnsi"/>
          <w:color w:val="000000"/>
          <w:sz w:val="22"/>
          <w:szCs w:val="22"/>
        </w:rPr>
        <w:t xml:space="preserve">000 </w:t>
      </w:r>
      <w:r w:rsidR="004A150D" w:rsidRPr="00FD5803">
        <w:rPr>
          <w:rStyle w:val="sfbbfee58"/>
          <w:rFonts w:asciiTheme="minorHAnsi" w:hAnsiTheme="minorHAnsi"/>
          <w:color w:val="000000"/>
          <w:sz w:val="22"/>
          <w:szCs w:val="22"/>
        </w:rPr>
        <w:t>Eur</w:t>
      </w:r>
      <w:r w:rsidR="006637D9" w:rsidRPr="00FD5803">
        <w:rPr>
          <w:rStyle w:val="sfbbfee58"/>
          <w:rFonts w:asciiTheme="minorHAnsi" w:hAnsiTheme="minorHAnsi"/>
          <w:color w:val="000000"/>
          <w:sz w:val="22"/>
          <w:szCs w:val="22"/>
        </w:rPr>
        <w:t xml:space="preserve"> neturtinės žalos atlyginimas.</w:t>
      </w:r>
    </w:p>
    <w:p w14:paraId="06C9DA82" w14:textId="77777777" w:rsidR="006637D9" w:rsidRPr="00FD5803" w:rsidRDefault="007F5353" w:rsidP="009A1B99">
      <w:pPr>
        <w:pStyle w:val="s6c429373"/>
        <w:shd w:val="clear" w:color="auto" w:fill="FFFFFF"/>
        <w:spacing w:before="0" w:beforeAutospacing="0" w:after="0" w:afterAutospacing="0"/>
        <w:ind w:firstLine="567"/>
        <w:jc w:val="both"/>
        <w:rPr>
          <w:rStyle w:val="sfbbfee58"/>
          <w:rFonts w:asciiTheme="minorHAnsi" w:hAnsiTheme="minorHAnsi"/>
          <w:color w:val="000000"/>
          <w:sz w:val="22"/>
          <w:szCs w:val="22"/>
        </w:rPr>
      </w:pPr>
      <w:hyperlink r:id="rId19" w:history="1">
        <w:r w:rsidR="006637D9" w:rsidRPr="00FD5803">
          <w:rPr>
            <w:rStyle w:val="Hipersaitas"/>
            <w:rFonts w:asciiTheme="minorHAnsi" w:hAnsiTheme="minorHAnsi"/>
            <w:sz w:val="22"/>
            <w:szCs w:val="22"/>
          </w:rPr>
          <w:t>Prieiga internete</w:t>
        </w:r>
      </w:hyperlink>
      <w:r w:rsidR="006637D9" w:rsidRPr="00FD5803">
        <w:rPr>
          <w:rStyle w:val="sfbbfee58"/>
          <w:rFonts w:asciiTheme="minorHAnsi" w:hAnsiTheme="minorHAnsi"/>
          <w:color w:val="000000"/>
          <w:sz w:val="22"/>
          <w:szCs w:val="22"/>
        </w:rPr>
        <w:t xml:space="preserve"> </w:t>
      </w:r>
    </w:p>
    <w:p w14:paraId="4567F4B4" w14:textId="77777777" w:rsidR="006637D9" w:rsidRPr="00FD5803" w:rsidRDefault="006637D9" w:rsidP="009A1B99">
      <w:pPr>
        <w:spacing w:after="0" w:line="240" w:lineRule="auto"/>
        <w:jc w:val="center"/>
        <w:rPr>
          <w:rFonts w:cs="Arial"/>
          <w:b/>
        </w:rPr>
      </w:pPr>
    </w:p>
    <w:p w14:paraId="4E3B4FF7" w14:textId="77777777" w:rsidR="00C21437" w:rsidRPr="00FD5803" w:rsidRDefault="00C21437" w:rsidP="009A1B99">
      <w:pPr>
        <w:spacing w:after="0" w:line="240" w:lineRule="auto"/>
        <w:jc w:val="center"/>
        <w:rPr>
          <w:rFonts w:cs="Arial"/>
          <w:b/>
        </w:rPr>
      </w:pPr>
      <w:r w:rsidRPr="00FD5803">
        <w:rPr>
          <w:rFonts w:cs="Arial"/>
          <w:b/>
        </w:rPr>
        <w:t>Europos Žmogaus Teisių Teismo 2018 m. rugpjūčio 28 d. sprendimas byloje</w:t>
      </w:r>
    </w:p>
    <w:p w14:paraId="547797C3" w14:textId="77777777" w:rsidR="00C21437" w:rsidRPr="00FD5803" w:rsidRDefault="00C21437" w:rsidP="009A1B99">
      <w:pPr>
        <w:pStyle w:val="Antrat2"/>
        <w:ind w:firstLine="0"/>
        <w:jc w:val="center"/>
        <w:rPr>
          <w:rFonts w:ascii="Calibri" w:eastAsia="Calibri" w:hAnsi="Calibri"/>
          <w:i/>
          <w:color w:val="365F91"/>
          <w:lang w:eastAsia="x-none"/>
        </w:rPr>
      </w:pPr>
      <w:bookmarkStart w:id="26" w:name="_Toc1657795"/>
      <w:r w:rsidRPr="00FD5803">
        <w:rPr>
          <w:rFonts w:eastAsia="Calibri"/>
          <w:i/>
        </w:rPr>
        <w:t>Savva Terentyev prieš Rusiją</w:t>
      </w:r>
      <w:bookmarkEnd w:id="26"/>
    </w:p>
    <w:p w14:paraId="0B05F64D" w14:textId="77777777" w:rsidR="00C21437" w:rsidRPr="00FD5803" w:rsidRDefault="00C21437" w:rsidP="009A1B99">
      <w:pPr>
        <w:spacing w:after="0" w:line="240" w:lineRule="auto"/>
        <w:jc w:val="center"/>
        <w:rPr>
          <w:rFonts w:cs="Arial"/>
          <w:b/>
        </w:rPr>
      </w:pPr>
      <w:r w:rsidRPr="00FD5803">
        <w:rPr>
          <w:rFonts w:cs="Arial"/>
          <w:b/>
        </w:rPr>
        <w:t>(pareiškimo Nr. 10692/09, svarbos lygis – 2)</w:t>
      </w:r>
    </w:p>
    <w:p w14:paraId="7EC68F02" w14:textId="77777777" w:rsidR="00C21437" w:rsidRPr="00FD5803" w:rsidRDefault="00C21437" w:rsidP="009A1B99">
      <w:pPr>
        <w:pStyle w:val="s6c429373"/>
        <w:shd w:val="clear" w:color="auto" w:fill="FFFFFF"/>
        <w:spacing w:before="0" w:beforeAutospacing="0" w:after="0" w:afterAutospacing="0"/>
        <w:ind w:firstLine="567"/>
        <w:jc w:val="both"/>
        <w:rPr>
          <w:rStyle w:val="sfbbfee58"/>
          <w:rFonts w:ascii="Calibri" w:hAnsi="Calibri" w:cs="Arial"/>
          <w:i/>
          <w:color w:val="000000"/>
          <w:sz w:val="22"/>
          <w:szCs w:val="22"/>
        </w:rPr>
      </w:pPr>
    </w:p>
    <w:p w14:paraId="226931EB" w14:textId="77777777" w:rsidR="00C21437" w:rsidRPr="00FD5803" w:rsidRDefault="00C21437" w:rsidP="009A1B99">
      <w:pPr>
        <w:pStyle w:val="Antrat3"/>
        <w:spacing w:before="0" w:line="240" w:lineRule="auto"/>
        <w:ind w:firstLine="567"/>
        <w:rPr>
          <w:rStyle w:val="sfbbfee58"/>
          <w:szCs w:val="22"/>
        </w:rPr>
      </w:pPr>
      <w:bookmarkStart w:id="27" w:name="_Toc1657796"/>
      <w:r w:rsidRPr="00FD5803">
        <w:rPr>
          <w:rStyle w:val="sfbbfee58"/>
          <w:szCs w:val="22"/>
        </w:rPr>
        <w:t>Dėl saviraiškos teisės internete reiškiant įžeidžius komentarus, nukreiptus prieš policijos pareigūnus</w:t>
      </w:r>
      <w:bookmarkEnd w:id="27"/>
    </w:p>
    <w:p w14:paraId="38ACD751" w14:textId="77777777" w:rsidR="00C21437" w:rsidRPr="00FD5803" w:rsidRDefault="00C21437" w:rsidP="009A1B99">
      <w:pPr>
        <w:pStyle w:val="s6c429373"/>
        <w:shd w:val="clear" w:color="auto" w:fill="FFFFFF"/>
        <w:spacing w:before="0" w:beforeAutospacing="0" w:after="0" w:afterAutospacing="0"/>
        <w:ind w:firstLine="567"/>
        <w:jc w:val="both"/>
        <w:rPr>
          <w:rFonts w:ascii="Calibri" w:hAnsi="Calibri" w:cs="Arial"/>
          <w:i/>
          <w:color w:val="000000"/>
          <w:sz w:val="22"/>
          <w:szCs w:val="22"/>
        </w:rPr>
      </w:pPr>
    </w:p>
    <w:p w14:paraId="59CD1B30" w14:textId="345C796F" w:rsidR="00C21437" w:rsidRPr="00FD5803" w:rsidRDefault="00C21437" w:rsidP="009A1B99">
      <w:pPr>
        <w:spacing w:after="0" w:line="240" w:lineRule="auto"/>
        <w:jc w:val="center"/>
        <w:rPr>
          <w:rFonts w:cs="Arial"/>
          <w:b/>
        </w:rPr>
      </w:pPr>
      <w:r w:rsidRPr="00FD5803">
        <w:rPr>
          <w:rFonts w:cs="Arial"/>
          <w:b/>
        </w:rPr>
        <w:t>Faktinės aplinkybės</w:t>
      </w:r>
    </w:p>
    <w:p w14:paraId="2C98D555" w14:textId="77777777" w:rsidR="00C21437" w:rsidRPr="00FD5803" w:rsidRDefault="00C21437" w:rsidP="009A1B99">
      <w:pPr>
        <w:spacing w:after="0" w:line="240" w:lineRule="auto"/>
        <w:ind w:firstLine="567"/>
      </w:pPr>
    </w:p>
    <w:p w14:paraId="7E3CEFFF" w14:textId="77777777" w:rsidR="00C21437" w:rsidRPr="00FD5803" w:rsidRDefault="00C21437" w:rsidP="009A1B99">
      <w:pPr>
        <w:spacing w:after="0" w:line="240" w:lineRule="auto"/>
        <w:ind w:firstLine="567"/>
        <w:jc w:val="both"/>
      </w:pPr>
      <w:r w:rsidRPr="00FD5803">
        <w:t>Pareiškėjas – interneto tinklaraštininkas iš Rusijos – kito vartotojo tinklalapyje parašė komentarą, kuriame visus policijos pareigūnus pavadino „menkystomis“, kurių „mentalitetas negali būti pakeistas“, „kvailiausiais ir mažiausiai išsilavinusiais gyvūnų karalystės atstovais“ ir išreiškė palaikymą minčiai kiekvieno Rusijos miesto centre „įrengti krosnis kaip Aušvice“, siekiant „apvalyti visuomenę nuo šių banditiškų padugnių“. Syktyvkaro miesto teismas, be kita ko, atsižvelgęs į eksperto išvadą, pareiškėją nuteisė vienerių metų laisvės atėmimo bausme jos vykdymą atidedant, nusprendęs, kad pareiškėjas išskyrė policijos pareigūnus kaip socialinę grupę ir prieš ją komentaru skatino neapykantą ir priešiškumą. Apeliacinės instancijos teismas pareiškėjo skundą, iš esmės argumentuotą tuo, jog teismas nepagrįstai išplėtė „socialinės grupės“ sąvoką ir neįrodė, kad komentaras iš tikrųjų kėlė grėsmę visuomenei, atmetė.</w:t>
      </w:r>
    </w:p>
    <w:p w14:paraId="02D00CD7" w14:textId="77777777" w:rsidR="00C21437" w:rsidRPr="00FD5803" w:rsidRDefault="00C21437" w:rsidP="009A1B99">
      <w:pPr>
        <w:pStyle w:val="s6c429373"/>
        <w:shd w:val="clear" w:color="auto" w:fill="FFFFFF"/>
        <w:spacing w:before="0" w:beforeAutospacing="0" w:after="0" w:afterAutospacing="0"/>
        <w:ind w:firstLine="567"/>
        <w:jc w:val="both"/>
        <w:rPr>
          <w:rStyle w:val="sfbbfee58"/>
          <w:rFonts w:ascii="Calibri" w:hAnsi="Calibri" w:cs="Arial"/>
          <w:color w:val="000000"/>
          <w:sz w:val="22"/>
          <w:szCs w:val="22"/>
        </w:rPr>
      </w:pPr>
      <w:r w:rsidRPr="00FD5803">
        <w:rPr>
          <w:rStyle w:val="sfbbfee58"/>
          <w:rFonts w:ascii="Calibri" w:hAnsi="Calibri" w:cs="Arial"/>
          <w:color w:val="000000"/>
          <w:sz w:val="22"/>
          <w:szCs w:val="22"/>
        </w:rPr>
        <w:t>Pareiškėjo teigimu, buvo pažeistas Konvencijos 10 straipsnis ir jo teisė į saviraiškos laisvę.</w:t>
      </w:r>
    </w:p>
    <w:p w14:paraId="028949AF" w14:textId="77777777" w:rsidR="00C21437" w:rsidRPr="00FD5803" w:rsidRDefault="00C21437" w:rsidP="009A1B99">
      <w:pPr>
        <w:pStyle w:val="s6c429373"/>
        <w:shd w:val="clear" w:color="auto" w:fill="FFFFFF"/>
        <w:spacing w:before="0" w:beforeAutospacing="0" w:after="0" w:afterAutospacing="0"/>
        <w:ind w:firstLine="567"/>
        <w:jc w:val="both"/>
        <w:rPr>
          <w:rStyle w:val="sfbbfee58"/>
          <w:rFonts w:ascii="Calibri" w:hAnsi="Calibri" w:cs="Arial"/>
          <w:color w:val="000000"/>
          <w:sz w:val="22"/>
          <w:szCs w:val="22"/>
        </w:rPr>
      </w:pPr>
    </w:p>
    <w:p w14:paraId="67DC6D2E" w14:textId="77777777" w:rsidR="00C21437" w:rsidRPr="00FD5803" w:rsidRDefault="00C21437" w:rsidP="009A1B99">
      <w:pPr>
        <w:spacing w:after="0" w:line="240" w:lineRule="auto"/>
        <w:jc w:val="center"/>
        <w:rPr>
          <w:rFonts w:cs="Arial"/>
          <w:b/>
        </w:rPr>
      </w:pPr>
      <w:r w:rsidRPr="00FD5803">
        <w:rPr>
          <w:rFonts w:cs="Arial"/>
          <w:b/>
        </w:rPr>
        <w:t>Neoficiali Teismo sprendimo apžvalga</w:t>
      </w:r>
    </w:p>
    <w:p w14:paraId="0E556DCD" w14:textId="77777777" w:rsidR="00C21437" w:rsidRPr="00FD5803" w:rsidRDefault="00C21437" w:rsidP="009A1B99">
      <w:pPr>
        <w:spacing w:after="0" w:line="240" w:lineRule="auto"/>
        <w:jc w:val="center"/>
      </w:pPr>
    </w:p>
    <w:p w14:paraId="7E62197A" w14:textId="77777777" w:rsidR="00C21437" w:rsidRPr="00FD5803" w:rsidRDefault="00C21437" w:rsidP="009A1B99">
      <w:pPr>
        <w:pStyle w:val="s6c429373"/>
        <w:shd w:val="clear" w:color="auto" w:fill="FFFFFF"/>
        <w:spacing w:before="0" w:beforeAutospacing="0" w:after="0" w:afterAutospacing="0"/>
        <w:ind w:firstLine="567"/>
        <w:jc w:val="both"/>
        <w:rPr>
          <w:rStyle w:val="s1a844bc0"/>
          <w:rFonts w:ascii="Calibri" w:hAnsi="Calibri" w:cs="Arial"/>
          <w:iCs/>
          <w:color w:val="000000"/>
          <w:sz w:val="22"/>
          <w:szCs w:val="22"/>
        </w:rPr>
      </w:pPr>
      <w:r w:rsidRPr="00FD5803">
        <w:rPr>
          <w:rStyle w:val="sfbbfee58"/>
          <w:rFonts w:ascii="Calibri" w:hAnsi="Calibri" w:cs="Arial"/>
          <w:color w:val="000000"/>
          <w:sz w:val="22"/>
          <w:szCs w:val="22"/>
        </w:rPr>
        <w:t>Kadangi</w:t>
      </w:r>
      <w:r w:rsidRPr="00FD5803">
        <w:rPr>
          <w:rStyle w:val="s1a844bc0"/>
          <w:rFonts w:ascii="Calibri" w:hAnsi="Calibri" w:cs="Arial"/>
          <w:iCs/>
          <w:color w:val="000000"/>
          <w:sz w:val="22"/>
          <w:szCs w:val="22"/>
        </w:rPr>
        <w:t xml:space="preserve"> abi šalys sutiko, jog buvo apribota pareiškėjo saviraiškos laisvė, tam, kad būtų patikrinta tokio ribojimo atitiktis Konvencijai, vertinta, ar jis buvo numatytas įstatymu, turėjo teisėtą tikslą ir buvo reikalingas demokratinėje visuomenėje. Teismas rėmėsi prielaida, kad toks ribojimas buvo numatytas nacionalinėje teisėje ir siekė teisėtų tikslų (t. y. apginti Rusijos policijos pareigūnų teises ir reputaciją).</w:t>
      </w:r>
    </w:p>
    <w:p w14:paraId="14784C84" w14:textId="77777777" w:rsidR="00C21437" w:rsidRPr="00FD5803" w:rsidRDefault="00C21437" w:rsidP="009A1B99">
      <w:pPr>
        <w:pStyle w:val="s6c429373"/>
        <w:shd w:val="clear" w:color="auto" w:fill="FFFFFF"/>
        <w:spacing w:before="0" w:beforeAutospacing="0" w:after="0" w:afterAutospacing="0"/>
        <w:ind w:firstLine="567"/>
        <w:jc w:val="both"/>
        <w:rPr>
          <w:rStyle w:val="s1a844bc0"/>
          <w:rFonts w:ascii="Calibri" w:hAnsi="Calibri" w:cs="Arial"/>
          <w:iCs/>
          <w:color w:val="000000"/>
          <w:sz w:val="22"/>
          <w:szCs w:val="22"/>
        </w:rPr>
      </w:pPr>
      <w:r w:rsidRPr="00FD5803">
        <w:rPr>
          <w:rStyle w:val="s1a844bc0"/>
          <w:rFonts w:ascii="Calibri" w:hAnsi="Calibri" w:cs="Arial"/>
          <w:iCs/>
          <w:color w:val="000000"/>
          <w:sz w:val="22"/>
          <w:szCs w:val="22"/>
        </w:rPr>
        <w:lastRenderedPageBreak/>
        <w:t>Teismas pripažino, kad komentaro tekstas buvo sukonstruotas labai griežtai ir susidėjo iš vulgarių, žeminančių ir menkinančių žodžių. Vis dėlto, pagrindinis klausimas turėjo būti, ar komentaras, vertinant jo tekstą ir kontekstą, galėjo būti skatinantis smurtą, neapykantą ar netoleranciją, nes pats vulgarių frazių naudojimas savaime nėra lemiamas veiksnys vertinant įžeidų komentarą. Pareiškėjo komentaras buvo parašytas diskusijoje apie visuomenės susirūpinimą sukėlusį įvykį, t. y. tariamą policijos indėlį nutildant politinę opoziciją rinkimų laikotarpiu. Pareiškėjas komentaru pademonstravo savo emocinį nepritarimą ir atmetimą to, ką jis vertino kaip policijos piktnaudžiavimą savo įgaliojimais, išreikšdamas savo skeptišką bei sarkastišką požiūrį į Rusijos policijos pareigūnų moralinius ir etinius standartus ir dėl to šis komentaras gali būti suprantamas kaip kandi dabartinės Rusijos policininkų padėties kritika.</w:t>
      </w:r>
    </w:p>
    <w:p w14:paraId="661C2CB5" w14:textId="5AAB62C7" w:rsidR="00C21437" w:rsidRPr="00FD5803" w:rsidRDefault="00C21437" w:rsidP="009A1B99">
      <w:pPr>
        <w:pStyle w:val="s6c429373"/>
        <w:shd w:val="clear" w:color="auto" w:fill="FFFFFF"/>
        <w:spacing w:before="0" w:beforeAutospacing="0" w:after="0" w:afterAutospacing="0"/>
        <w:ind w:firstLine="567"/>
        <w:jc w:val="both"/>
        <w:rPr>
          <w:rStyle w:val="s1a844bc0"/>
          <w:rFonts w:ascii="Calibri" w:hAnsi="Calibri" w:cs="Arial"/>
          <w:iCs/>
          <w:color w:val="000000"/>
          <w:sz w:val="22"/>
          <w:szCs w:val="22"/>
        </w:rPr>
      </w:pPr>
      <w:r w:rsidRPr="00FD5803">
        <w:rPr>
          <w:rStyle w:val="s1a844bc0"/>
          <w:rFonts w:ascii="Calibri" w:hAnsi="Calibri" w:cs="Arial"/>
          <w:iCs/>
          <w:color w:val="000000"/>
          <w:sz w:val="22"/>
          <w:szCs w:val="22"/>
        </w:rPr>
        <w:t>Nors komentaro dalis apie deginimą krosnyse, panašiose į Aušvico, laikytina itin agresyvia ir priešiška, ji, priešingai nei nustatė nacionaliniai teismai, buvo ne kvietimas paprastiems civiliams išnaikinti policijos pareigūnus, o greičiau provokuojanti metafora ir emocinis akstinas pamatyti policiją, „apsivaliusią“ nuo korumpuotų pareigūnų. Nors Aušvico paminėjimas gali įžeisti holokaustą išgyvenusius asmenis, Rusijos teismai į šiuos asmenis neatsižvelgė. Teismas dėmesį atkreipė ir į tai, kad komentaro tekste nacių elgesys nebuvo garbinamas ar pateisinamas. Nebuvo pateikta jokių argumentų, kodėl Rusijos policijos pareigūnai būtų paveikti tokio palyginimo ir pats naikinimo ugnimi minėjimas savaime negali būti laikomas neteisėtos veiklos (taigi ir neapykantos) kurstymu, nes (kaip tai rodo ankstesnė Teismo praktika) tokie simboliniai aktai gali būti laikomi nepasitenkinimo ir protesto išraiška.</w:t>
      </w:r>
    </w:p>
    <w:p w14:paraId="61EC03E7" w14:textId="15E9428A" w:rsidR="00C21437" w:rsidRPr="00FD5803" w:rsidRDefault="00C21437" w:rsidP="009A1B99">
      <w:pPr>
        <w:pStyle w:val="s6c429373"/>
        <w:shd w:val="clear" w:color="auto" w:fill="FFFFFF"/>
        <w:spacing w:before="0" w:beforeAutospacing="0" w:after="0" w:afterAutospacing="0"/>
        <w:ind w:firstLine="567"/>
        <w:jc w:val="both"/>
        <w:rPr>
          <w:rStyle w:val="s1a844bc0"/>
          <w:rFonts w:ascii="Calibri" w:hAnsi="Calibri" w:cs="Arial"/>
          <w:iCs/>
          <w:color w:val="000000"/>
          <w:sz w:val="22"/>
          <w:szCs w:val="22"/>
        </w:rPr>
      </w:pPr>
      <w:r w:rsidRPr="00FD5803">
        <w:rPr>
          <w:rStyle w:val="s1a844bc0"/>
          <w:rFonts w:ascii="Calibri" w:hAnsi="Calibri" w:cs="Arial"/>
          <w:iCs/>
          <w:color w:val="000000"/>
          <w:sz w:val="22"/>
          <w:szCs w:val="22"/>
        </w:rPr>
        <w:t>Teismas atsižvelgė į tai, kad pareiškėjo komentaras buvo nukreiptas ne į konkretų policijos pareigūną, bet į policiją kaip viešą instituciją, kuri vargiai galėtų būti apibūdinta kaip didesnės apsaugos reikalaujanti grupė. Būdama valstybės saugumo pajėgų dalimi, policija turėtų demonstruoti itin aukštą tolerancijos įžeidžiai kalbai laipsnį, nebent tokie kurstantys pareiškimai gali neišvengiamai išprovokuoti neteisėtus veiksmus prieš policiją ir pastatyti jos narius į tikrą fizinės agresijos pavojų. Teismas konstatavo, kad Rusijos teismai neargumentavo, kodėl policijos pareigūna</w:t>
      </w:r>
      <w:r w:rsidR="00EE4145" w:rsidRPr="00FD5803">
        <w:rPr>
          <w:rStyle w:val="s1a844bc0"/>
          <w:rFonts w:ascii="Calibri" w:hAnsi="Calibri" w:cs="Arial"/>
          <w:iCs/>
          <w:color w:val="000000"/>
          <w:sz w:val="22"/>
          <w:szCs w:val="22"/>
        </w:rPr>
        <w:t>ms kaip socialinei grupei</w:t>
      </w:r>
      <w:r w:rsidRPr="00FD5803">
        <w:rPr>
          <w:rStyle w:val="s1a844bc0"/>
          <w:rFonts w:ascii="Calibri" w:hAnsi="Calibri" w:cs="Arial"/>
          <w:iCs/>
          <w:color w:val="000000"/>
          <w:sz w:val="22"/>
          <w:szCs w:val="22"/>
        </w:rPr>
        <w:t xml:space="preserve"> buvo reikalinga didesnė</w:t>
      </w:r>
      <w:r w:rsidR="00EE4145" w:rsidRPr="00FD5803">
        <w:rPr>
          <w:rStyle w:val="s1a844bc0"/>
          <w:rFonts w:ascii="Calibri" w:hAnsi="Calibri" w:cs="Arial"/>
          <w:iCs/>
          <w:color w:val="000000"/>
          <w:sz w:val="22"/>
          <w:szCs w:val="22"/>
        </w:rPr>
        <w:t xml:space="preserve"> apsauga</w:t>
      </w:r>
      <w:r w:rsidRPr="00FD5803">
        <w:rPr>
          <w:rStyle w:val="s1a844bc0"/>
          <w:rFonts w:ascii="Calibri" w:hAnsi="Calibri" w:cs="Arial"/>
          <w:iCs/>
          <w:color w:val="000000"/>
          <w:sz w:val="22"/>
          <w:szCs w:val="22"/>
        </w:rPr>
        <w:t>.</w:t>
      </w:r>
    </w:p>
    <w:p w14:paraId="365EA131" w14:textId="133B7954" w:rsidR="00C21437" w:rsidRPr="00FD5803" w:rsidRDefault="00C21437" w:rsidP="009A1B99">
      <w:pPr>
        <w:pStyle w:val="s6c429373"/>
        <w:shd w:val="clear" w:color="auto" w:fill="FFFFFF"/>
        <w:spacing w:before="0" w:beforeAutospacing="0" w:after="0" w:afterAutospacing="0"/>
        <w:ind w:firstLine="567"/>
        <w:jc w:val="both"/>
        <w:rPr>
          <w:rStyle w:val="s1a844bc0"/>
          <w:rFonts w:ascii="Calibri" w:hAnsi="Calibri" w:cs="Arial"/>
          <w:iCs/>
          <w:color w:val="000000"/>
          <w:sz w:val="22"/>
          <w:szCs w:val="22"/>
        </w:rPr>
      </w:pPr>
      <w:r w:rsidRPr="00FD5803">
        <w:rPr>
          <w:rStyle w:val="s1a844bc0"/>
          <w:rFonts w:ascii="Calibri" w:hAnsi="Calibri" w:cs="Arial"/>
          <w:iCs/>
          <w:color w:val="000000"/>
          <w:sz w:val="22"/>
          <w:szCs w:val="22"/>
        </w:rPr>
        <w:t>Vertindamas potencialų komentaro poveikį, Teismas pažymėjo, kad Rusijos teismai nemėgino įvertinti, ar tinklalapis, kuriame pareiškėjas parašė komentarą, buvo paprastai lankomas, kiek tiksliai vartotojų apsilankė tame tinklalapyje laikotarpiu, kai pareiškėjo komentaras buvo prieinamas. Būtent baudžiamasis persekiojimas sukėlė visuomenės susidomėjimą komentaru. Pareiškėjas nebuv</w:t>
      </w:r>
      <w:r w:rsidR="00EE4145" w:rsidRPr="00FD5803">
        <w:rPr>
          <w:rStyle w:val="s1a844bc0"/>
          <w:rFonts w:ascii="Calibri" w:hAnsi="Calibri" w:cs="Arial"/>
          <w:iCs/>
          <w:color w:val="000000"/>
          <w:sz w:val="22"/>
          <w:szCs w:val="22"/>
        </w:rPr>
        <w:t xml:space="preserve">o populiarus tinklaraštininkas </w:t>
      </w:r>
      <w:r w:rsidRPr="00FD5803">
        <w:rPr>
          <w:rStyle w:val="s1a844bc0"/>
          <w:rFonts w:ascii="Calibri" w:hAnsi="Calibri" w:cs="Arial"/>
          <w:iCs/>
          <w:color w:val="000000"/>
          <w:sz w:val="22"/>
          <w:szCs w:val="22"/>
        </w:rPr>
        <w:t>ar socialinių tinklų vartotojas, juo labiau viešas ar įtakingas asmuo, galėjęs pritraukti daugybę žmonių, kas būtų padidinę potencialų komentaro poveikį.</w:t>
      </w:r>
    </w:p>
    <w:p w14:paraId="675A9A55" w14:textId="77777777" w:rsidR="00C21437" w:rsidRPr="00FD5803" w:rsidRDefault="00C21437" w:rsidP="009A1B99">
      <w:pPr>
        <w:pStyle w:val="s6c429373"/>
        <w:shd w:val="clear" w:color="auto" w:fill="FFFFFF"/>
        <w:spacing w:before="0" w:beforeAutospacing="0" w:after="0" w:afterAutospacing="0"/>
        <w:ind w:firstLine="567"/>
        <w:jc w:val="both"/>
        <w:rPr>
          <w:rStyle w:val="s1a844bc0"/>
          <w:rFonts w:ascii="Calibri" w:hAnsi="Calibri" w:cs="Arial"/>
          <w:iCs/>
          <w:color w:val="000000"/>
          <w:sz w:val="22"/>
          <w:szCs w:val="22"/>
        </w:rPr>
      </w:pPr>
      <w:r w:rsidRPr="00FD5803">
        <w:rPr>
          <w:rStyle w:val="s1a844bc0"/>
          <w:rFonts w:ascii="Calibri" w:hAnsi="Calibri" w:cs="Arial"/>
          <w:iCs/>
          <w:color w:val="000000"/>
          <w:sz w:val="22"/>
          <w:szCs w:val="22"/>
        </w:rPr>
        <w:t>Teismas atkreipė dėmesį į tai, kad Rusijos teismai vertino komentaro formą ir turinį, neatsižvelgdami į susijusios diskusijos kontekstą. Taip pat teismai nevertino, ar komentaras turėjo potencialo išprovokuoti kokių nors žalingų padarinių, atsižvelgiant į politinę bei socialinę situaciją ir jo pasiekiamumą. Teismas nusprendė, kad Rusijos teismai neatsižvelgė į visas reikšmingas aplinkybes, todėl jų motyvai negali būti laikomi tinkamais ir pakankamais pareiškėjo saviraiškos teisės apribojimams pateisinti.</w:t>
      </w:r>
    </w:p>
    <w:p w14:paraId="19DF9E4D" w14:textId="7F225237" w:rsidR="00C21437" w:rsidRPr="00FD5803" w:rsidRDefault="00EE4145" w:rsidP="009A1B99">
      <w:pPr>
        <w:pStyle w:val="s6c429373"/>
        <w:shd w:val="clear" w:color="auto" w:fill="FFFFFF"/>
        <w:spacing w:before="0" w:beforeAutospacing="0" w:after="0" w:afterAutospacing="0"/>
        <w:ind w:firstLine="567"/>
        <w:jc w:val="both"/>
        <w:rPr>
          <w:rStyle w:val="s1a844bc0"/>
          <w:rFonts w:ascii="Calibri" w:hAnsi="Calibri" w:cs="Arial"/>
          <w:iCs/>
          <w:color w:val="000000"/>
          <w:sz w:val="22"/>
          <w:szCs w:val="22"/>
        </w:rPr>
      </w:pPr>
      <w:r w:rsidRPr="00FD5803">
        <w:rPr>
          <w:rStyle w:val="s1a844bc0"/>
          <w:rFonts w:ascii="Calibri" w:hAnsi="Calibri" w:cs="Arial"/>
          <w:iCs/>
          <w:color w:val="000000"/>
          <w:sz w:val="22"/>
          <w:szCs w:val="22"/>
        </w:rPr>
        <w:t>Taigi</w:t>
      </w:r>
      <w:r w:rsidR="00C21437" w:rsidRPr="00FD5803">
        <w:rPr>
          <w:rStyle w:val="s1a844bc0"/>
          <w:rFonts w:ascii="Calibri" w:hAnsi="Calibri" w:cs="Arial"/>
          <w:iCs/>
          <w:color w:val="000000"/>
          <w:sz w:val="22"/>
          <w:szCs w:val="22"/>
        </w:rPr>
        <w:t xml:space="preserve"> Teismas nusprendė, kad nors ir puolantys, įžeidūs bei pikti, pareiškėjo teiginiai negalėjo būti vertinami kaip bandymas išprovokuoti neapykantą Rusijos policijos pareigūnams. Taip pat jie neturėjo potencialo išprovokuoti smurtą, taigi sukelti neišvengiamą pavojų, dėl kurio pareiškėjui turėtų būti pradėtas baudžiamasis procesas ir paskirta laisvės atėmimo bausmė. Atsižvelgdamas į tai, Teismas konstatavo Konvencijos 10 straipsnio pažeidimą.</w:t>
      </w:r>
    </w:p>
    <w:p w14:paraId="32C8A745" w14:textId="77777777" w:rsidR="00C21437" w:rsidRPr="00FD5803" w:rsidRDefault="00C21437" w:rsidP="009A1B99">
      <w:pPr>
        <w:pStyle w:val="s6e50bd9a"/>
        <w:shd w:val="clear" w:color="auto" w:fill="FFFFFF"/>
        <w:spacing w:before="0" w:beforeAutospacing="0" w:after="0" w:afterAutospacing="0"/>
        <w:ind w:firstLine="567"/>
        <w:jc w:val="both"/>
        <w:rPr>
          <w:rFonts w:ascii="Calibri" w:hAnsi="Calibri" w:cs="Arial"/>
          <w:sz w:val="22"/>
          <w:szCs w:val="22"/>
        </w:rPr>
      </w:pPr>
    </w:p>
    <w:p w14:paraId="56C5DDDA" w14:textId="77777777" w:rsidR="00C21437" w:rsidRPr="00FD5803" w:rsidRDefault="00C21437" w:rsidP="009A1B99">
      <w:pPr>
        <w:pStyle w:val="s6e50bd9a"/>
        <w:shd w:val="clear" w:color="auto" w:fill="FFFFFF"/>
        <w:spacing w:before="0" w:beforeAutospacing="0" w:after="0" w:afterAutospacing="0"/>
        <w:ind w:firstLine="567"/>
        <w:jc w:val="both"/>
        <w:rPr>
          <w:rFonts w:ascii="Calibri" w:hAnsi="Calibri" w:cs="Arial"/>
          <w:sz w:val="22"/>
          <w:szCs w:val="22"/>
        </w:rPr>
      </w:pPr>
      <w:r w:rsidRPr="00FD5803">
        <w:rPr>
          <w:rFonts w:ascii="Calibri" w:hAnsi="Calibri" w:cs="Arial"/>
          <w:sz w:val="22"/>
          <w:szCs w:val="22"/>
        </w:rPr>
        <w:t>Išvada: nustatytas Konvencijos 10 straipsnio pažeidimas (vienbalsiai).</w:t>
      </w:r>
    </w:p>
    <w:p w14:paraId="7FDCE196" w14:textId="77777777" w:rsidR="00C21437" w:rsidRPr="00FD5803" w:rsidRDefault="00C21437" w:rsidP="009A1B99">
      <w:pPr>
        <w:pStyle w:val="s6e50bd9a"/>
        <w:shd w:val="clear" w:color="auto" w:fill="FFFFFF"/>
        <w:spacing w:before="0" w:beforeAutospacing="0" w:after="0" w:afterAutospacing="0"/>
        <w:ind w:firstLine="567"/>
        <w:jc w:val="both"/>
        <w:rPr>
          <w:rFonts w:ascii="Calibri" w:hAnsi="Calibri" w:cs="Arial"/>
          <w:sz w:val="22"/>
          <w:szCs w:val="22"/>
        </w:rPr>
      </w:pPr>
      <w:r w:rsidRPr="00FD5803">
        <w:rPr>
          <w:rFonts w:ascii="Calibri" w:hAnsi="Calibri" w:cs="Arial"/>
          <w:sz w:val="22"/>
          <w:szCs w:val="22"/>
        </w:rPr>
        <w:t>41 straipsnis: paties pažeidimo konstatavimas laikytinas pakankamu neturtinės žalos atlyginimu.</w:t>
      </w:r>
    </w:p>
    <w:p w14:paraId="57C73F30" w14:textId="77777777" w:rsidR="00C21437" w:rsidRPr="00FD5803" w:rsidRDefault="007F5353" w:rsidP="009A1B99">
      <w:pPr>
        <w:spacing w:after="0" w:line="240" w:lineRule="auto"/>
        <w:ind w:firstLine="567"/>
      </w:pPr>
      <w:hyperlink r:id="rId20" w:anchor="{%22itemid%22:[%22001-185307%22]}" w:history="1">
        <w:r w:rsidR="00C21437" w:rsidRPr="00FD5803">
          <w:rPr>
            <w:rStyle w:val="Hipersaitas"/>
          </w:rPr>
          <w:t>Prieiga internete</w:t>
        </w:r>
      </w:hyperlink>
    </w:p>
    <w:p w14:paraId="11CFEC7B" w14:textId="77777777" w:rsidR="00C21437" w:rsidRPr="00FD5803" w:rsidRDefault="00C21437" w:rsidP="009A1B99">
      <w:pPr>
        <w:pStyle w:val="Default"/>
        <w:tabs>
          <w:tab w:val="left" w:pos="709"/>
        </w:tabs>
        <w:ind w:firstLine="567"/>
        <w:jc w:val="both"/>
        <w:rPr>
          <w:rFonts w:asciiTheme="minorHAnsi" w:hAnsiTheme="minorHAnsi"/>
          <w:sz w:val="22"/>
          <w:szCs w:val="22"/>
        </w:rPr>
      </w:pPr>
    </w:p>
    <w:p w14:paraId="3607E7D7" w14:textId="77777777" w:rsidR="00DC7996" w:rsidRPr="00FD5803" w:rsidRDefault="00DC7996" w:rsidP="009A1B99">
      <w:pPr>
        <w:spacing w:after="0" w:line="240" w:lineRule="auto"/>
        <w:jc w:val="center"/>
        <w:rPr>
          <w:rFonts w:cs="Calibri"/>
          <w:b/>
        </w:rPr>
      </w:pPr>
      <w:r w:rsidRPr="00FD5803">
        <w:rPr>
          <w:rFonts w:cs="Calibri"/>
          <w:b/>
        </w:rPr>
        <w:t>Europos Žmogaus Teisių Teismo 2018 m. spalio 25 d. sprendimas byloje</w:t>
      </w:r>
    </w:p>
    <w:p w14:paraId="6855FD51" w14:textId="77777777" w:rsidR="00DC7996" w:rsidRPr="00FD5803" w:rsidRDefault="00DC7996" w:rsidP="009A1B99">
      <w:pPr>
        <w:pStyle w:val="Antrat2"/>
        <w:ind w:firstLine="0"/>
        <w:jc w:val="center"/>
        <w:rPr>
          <w:rFonts w:eastAsia="Calibri"/>
          <w:i/>
        </w:rPr>
      </w:pPr>
      <w:bookmarkStart w:id="28" w:name="_Toc527116514"/>
      <w:bookmarkStart w:id="29" w:name="_Toc1657797"/>
      <w:r w:rsidRPr="00FD5803">
        <w:rPr>
          <w:rFonts w:eastAsia="Calibri"/>
          <w:i/>
        </w:rPr>
        <w:t xml:space="preserve">E.S. prieš </w:t>
      </w:r>
      <w:bookmarkEnd w:id="28"/>
      <w:r w:rsidRPr="00FD5803">
        <w:rPr>
          <w:rFonts w:eastAsia="Calibri"/>
          <w:i/>
        </w:rPr>
        <w:t>Austriją</w:t>
      </w:r>
      <w:bookmarkEnd w:id="29"/>
    </w:p>
    <w:p w14:paraId="45E400F0" w14:textId="7CC02C29" w:rsidR="00DC7996" w:rsidRPr="00FD5803" w:rsidRDefault="00DC7996" w:rsidP="009A1B99">
      <w:pPr>
        <w:spacing w:after="0" w:line="240" w:lineRule="auto"/>
        <w:jc w:val="center"/>
        <w:rPr>
          <w:rFonts w:cs="Calibri"/>
          <w:b/>
        </w:rPr>
      </w:pPr>
      <w:r w:rsidRPr="00FD5803">
        <w:rPr>
          <w:rFonts w:cs="Calibri"/>
          <w:b/>
        </w:rPr>
        <w:t xml:space="preserve">(pareiškimo Nr. </w:t>
      </w:r>
      <w:hyperlink r:id="rId21" w:anchor="{&quot;appno&quot;:[&quot;38450/12&quot;]}" w:tgtFrame="_blank" w:history="1">
        <w:r w:rsidRPr="00FD5803">
          <w:rPr>
            <w:rFonts w:cs="Calibri"/>
            <w:b/>
          </w:rPr>
          <w:t>38450/12</w:t>
        </w:r>
      </w:hyperlink>
      <w:r w:rsidRPr="00FD5803">
        <w:rPr>
          <w:rFonts w:cs="Calibri"/>
          <w:b/>
        </w:rPr>
        <w:t xml:space="preserve">, svarbos lygis – </w:t>
      </w:r>
      <w:r w:rsidR="00FD5803" w:rsidRPr="00FD5803">
        <w:rPr>
          <w:rFonts w:cstheme="minorHAnsi"/>
          <w:b/>
        </w:rPr>
        <w:t>skelbta Rinkinyje</w:t>
      </w:r>
      <w:r w:rsidRPr="00FD5803">
        <w:rPr>
          <w:rFonts w:cs="Calibri"/>
          <w:b/>
        </w:rPr>
        <w:t>)</w:t>
      </w:r>
    </w:p>
    <w:p w14:paraId="5704E255" w14:textId="77777777" w:rsidR="00DC7996" w:rsidRPr="00FD5803" w:rsidRDefault="00DC7996" w:rsidP="009A1B99">
      <w:pPr>
        <w:pStyle w:val="s6c429373"/>
        <w:shd w:val="clear" w:color="auto" w:fill="FFFFFF"/>
        <w:spacing w:before="0" w:beforeAutospacing="0" w:after="0" w:afterAutospacing="0"/>
        <w:ind w:firstLine="567"/>
        <w:jc w:val="both"/>
        <w:rPr>
          <w:rStyle w:val="sfbbfee58"/>
          <w:rFonts w:ascii="Calibri" w:hAnsi="Calibri" w:cs="Calibri"/>
          <w:i/>
          <w:color w:val="000000"/>
          <w:sz w:val="22"/>
          <w:szCs w:val="22"/>
        </w:rPr>
      </w:pPr>
    </w:p>
    <w:p w14:paraId="716BCD56" w14:textId="1B9B664A" w:rsidR="00DC7996" w:rsidRPr="00FD5803" w:rsidRDefault="00DC7996" w:rsidP="009A1B99">
      <w:pPr>
        <w:pStyle w:val="Antrat3"/>
        <w:spacing w:before="0" w:line="240" w:lineRule="auto"/>
        <w:ind w:firstLine="567"/>
        <w:jc w:val="both"/>
        <w:rPr>
          <w:rStyle w:val="sfbbfee58"/>
          <w:rFonts w:cs="Calibri"/>
          <w:szCs w:val="22"/>
        </w:rPr>
      </w:pPr>
      <w:bookmarkStart w:id="30" w:name="_Toc527116515"/>
      <w:bookmarkStart w:id="31" w:name="_Toc1657798"/>
      <w:r w:rsidRPr="00FD5803">
        <w:rPr>
          <w:rStyle w:val="sfbbfee58"/>
          <w:rFonts w:cs="Calibri"/>
          <w:szCs w:val="22"/>
        </w:rPr>
        <w:t xml:space="preserve">Dėl </w:t>
      </w:r>
      <w:bookmarkEnd w:id="30"/>
      <w:r w:rsidRPr="00FD5803">
        <w:rPr>
          <w:rStyle w:val="sfbbfee58"/>
          <w:rFonts w:cs="Calibri"/>
          <w:szCs w:val="22"/>
        </w:rPr>
        <w:t>nuteisimo baudžiamąja tvarka ir baudos už pare</w:t>
      </w:r>
      <w:r w:rsidR="00EE4145" w:rsidRPr="00FD5803">
        <w:rPr>
          <w:rStyle w:val="sfbbfee58"/>
          <w:rFonts w:cs="Calibri"/>
          <w:szCs w:val="22"/>
        </w:rPr>
        <w:t>iškimus, kaltinančius pranašą Mahometą</w:t>
      </w:r>
      <w:r w:rsidRPr="00FD5803">
        <w:rPr>
          <w:rStyle w:val="sfbbfee58"/>
          <w:rFonts w:cs="Calibri"/>
          <w:szCs w:val="22"/>
        </w:rPr>
        <w:t xml:space="preserve"> pedofilija</w:t>
      </w:r>
      <w:bookmarkEnd w:id="31"/>
      <w:r w:rsidRPr="00FD5803">
        <w:rPr>
          <w:rStyle w:val="sfbbfee58"/>
          <w:rFonts w:cs="Calibri"/>
          <w:szCs w:val="22"/>
        </w:rPr>
        <w:t xml:space="preserve"> </w:t>
      </w:r>
    </w:p>
    <w:p w14:paraId="4FB1631D" w14:textId="77777777" w:rsidR="00DC7996" w:rsidRPr="00FD5803" w:rsidRDefault="00DC7996" w:rsidP="009A1B99">
      <w:pPr>
        <w:pStyle w:val="s6c429373"/>
        <w:shd w:val="clear" w:color="auto" w:fill="FFFFFF"/>
        <w:spacing w:before="0" w:beforeAutospacing="0" w:after="0" w:afterAutospacing="0"/>
        <w:ind w:firstLine="567"/>
        <w:jc w:val="both"/>
        <w:rPr>
          <w:rFonts w:ascii="Calibri" w:hAnsi="Calibri" w:cs="Calibri"/>
          <w:i/>
          <w:color w:val="000000"/>
          <w:sz w:val="22"/>
          <w:szCs w:val="22"/>
        </w:rPr>
      </w:pPr>
    </w:p>
    <w:p w14:paraId="63342793" w14:textId="77777777" w:rsidR="00DC7996" w:rsidRPr="00FD5803" w:rsidRDefault="00DC7996" w:rsidP="009A1B99">
      <w:pPr>
        <w:spacing w:after="0" w:line="240" w:lineRule="auto"/>
        <w:jc w:val="center"/>
        <w:rPr>
          <w:rFonts w:cs="Calibri"/>
          <w:b/>
        </w:rPr>
      </w:pPr>
      <w:r w:rsidRPr="00FD5803">
        <w:rPr>
          <w:rFonts w:cs="Calibri"/>
          <w:b/>
        </w:rPr>
        <w:t>Faktinės aplinkybės</w:t>
      </w:r>
    </w:p>
    <w:p w14:paraId="62DF1CA6" w14:textId="77777777" w:rsidR="00DC7996" w:rsidRPr="00FD5803" w:rsidRDefault="00DC7996" w:rsidP="009A1B99">
      <w:pPr>
        <w:spacing w:after="0" w:line="240" w:lineRule="auto"/>
        <w:ind w:firstLine="567"/>
        <w:rPr>
          <w:rFonts w:cs="Calibri"/>
        </w:rPr>
      </w:pPr>
    </w:p>
    <w:p w14:paraId="245AFBE0" w14:textId="7DFE1C6E" w:rsidR="00DC7996" w:rsidRPr="00FD5803" w:rsidRDefault="00DC7996" w:rsidP="009A1B99">
      <w:pPr>
        <w:spacing w:after="0" w:line="240" w:lineRule="auto"/>
        <w:ind w:firstLine="567"/>
        <w:jc w:val="both"/>
        <w:rPr>
          <w:rStyle w:val="s1a844bc0"/>
          <w:rFonts w:eastAsia="Times New Roman" w:cs="Calibri"/>
          <w:iCs/>
          <w:color w:val="000000"/>
          <w:lang w:eastAsia="lt-LT"/>
        </w:rPr>
      </w:pPr>
      <w:r w:rsidRPr="00FD5803">
        <w:rPr>
          <w:rStyle w:val="s1a844bc0"/>
          <w:rFonts w:eastAsia="Times New Roman" w:cs="Calibri"/>
          <w:iCs/>
          <w:color w:val="000000"/>
          <w:lang w:eastAsia="lt-LT"/>
        </w:rPr>
        <w:lastRenderedPageBreak/>
        <w:t>Pareiškėja Laisvės partijos švietimo institute surengė seminarus pavadinimu „Pagrindinė informacija apie islamą“. Viename tokiame seminare, kuriame buvo kalbama apie santuoką, kurią M</w:t>
      </w:r>
      <w:r w:rsidR="00EE4145" w:rsidRPr="00FD5803">
        <w:rPr>
          <w:rStyle w:val="s1a844bc0"/>
          <w:rFonts w:eastAsia="Times New Roman" w:cs="Calibri"/>
          <w:iCs/>
          <w:color w:val="000000"/>
          <w:lang w:eastAsia="lt-LT"/>
        </w:rPr>
        <w:t>aho</w:t>
      </w:r>
      <w:r w:rsidRPr="00FD5803">
        <w:rPr>
          <w:rStyle w:val="s1a844bc0"/>
          <w:rFonts w:eastAsia="Times New Roman" w:cs="Calibri"/>
          <w:iCs/>
          <w:color w:val="000000"/>
          <w:lang w:eastAsia="lt-LT"/>
        </w:rPr>
        <w:t>me</w:t>
      </w:r>
      <w:r w:rsidR="00EE4145" w:rsidRPr="00FD5803">
        <w:rPr>
          <w:rStyle w:val="s1a844bc0"/>
          <w:rFonts w:eastAsia="Times New Roman" w:cs="Calibri"/>
          <w:iCs/>
          <w:color w:val="000000"/>
          <w:lang w:eastAsia="lt-LT"/>
        </w:rPr>
        <w:t>t</w:t>
      </w:r>
      <w:r w:rsidRPr="00FD5803">
        <w:rPr>
          <w:rStyle w:val="s1a844bc0"/>
          <w:rFonts w:eastAsia="Times New Roman" w:cs="Calibri"/>
          <w:iCs/>
          <w:color w:val="000000"/>
          <w:lang w:eastAsia="lt-LT"/>
        </w:rPr>
        <w:t xml:space="preserve">as sudarė su šešerių metų </w:t>
      </w:r>
      <w:proofErr w:type="spellStart"/>
      <w:r w:rsidRPr="00FD5803">
        <w:rPr>
          <w:rStyle w:val="s1a844bc0"/>
          <w:rFonts w:eastAsia="Times New Roman" w:cs="Calibri"/>
          <w:iCs/>
          <w:color w:val="000000"/>
          <w:lang w:eastAsia="lt-LT"/>
        </w:rPr>
        <w:t>Aisha</w:t>
      </w:r>
      <w:proofErr w:type="spellEnd"/>
      <w:r w:rsidRPr="00FD5803">
        <w:rPr>
          <w:rStyle w:val="s1a844bc0"/>
          <w:rFonts w:eastAsia="Times New Roman" w:cs="Calibri"/>
          <w:iCs/>
          <w:color w:val="000000"/>
          <w:lang w:eastAsia="lt-LT"/>
        </w:rPr>
        <w:t xml:space="preserve"> ir kurią įtvirtino lytiniais santykiais, kai </w:t>
      </w:r>
      <w:proofErr w:type="spellStart"/>
      <w:r w:rsidRPr="00FD5803">
        <w:rPr>
          <w:rStyle w:val="s1a844bc0"/>
          <w:rFonts w:eastAsia="Times New Roman" w:cs="Calibri"/>
          <w:iCs/>
          <w:color w:val="000000"/>
          <w:lang w:eastAsia="lt-LT"/>
        </w:rPr>
        <w:t>Aishai</w:t>
      </w:r>
      <w:proofErr w:type="spellEnd"/>
      <w:r w:rsidRPr="00FD5803">
        <w:rPr>
          <w:rStyle w:val="s1a844bc0"/>
          <w:rFonts w:eastAsia="Times New Roman" w:cs="Calibri"/>
          <w:iCs/>
          <w:color w:val="000000"/>
          <w:lang w:eastAsia="lt-LT"/>
        </w:rPr>
        <w:t xml:space="preserve"> buvo devyneri metai, pareiškėja </w:t>
      </w:r>
      <w:proofErr w:type="spellStart"/>
      <w:r w:rsidRPr="00FD5803">
        <w:rPr>
          <w:rStyle w:val="s1a844bc0"/>
          <w:rFonts w:eastAsia="Times New Roman" w:cs="Calibri"/>
          <w:i/>
          <w:iCs/>
          <w:color w:val="000000"/>
          <w:lang w:eastAsia="lt-LT"/>
        </w:rPr>
        <w:t>inter</w:t>
      </w:r>
      <w:proofErr w:type="spellEnd"/>
      <w:r w:rsidRPr="00FD5803">
        <w:rPr>
          <w:rStyle w:val="s1a844bc0"/>
          <w:rFonts w:eastAsia="Times New Roman" w:cs="Calibri"/>
          <w:i/>
          <w:iCs/>
          <w:color w:val="000000"/>
          <w:lang w:eastAsia="lt-LT"/>
        </w:rPr>
        <w:t xml:space="preserve"> alia</w:t>
      </w:r>
      <w:r w:rsidRPr="00FD5803">
        <w:rPr>
          <w:rStyle w:val="s1a844bc0"/>
          <w:rFonts w:eastAsia="Times New Roman" w:cs="Calibri"/>
          <w:iCs/>
          <w:color w:val="000000"/>
          <w:lang w:eastAsia="lt-LT"/>
        </w:rPr>
        <w:t xml:space="preserve"> nurodė: „[Ma</w:t>
      </w:r>
      <w:r w:rsidR="00EE4145" w:rsidRPr="00FD5803">
        <w:rPr>
          <w:rStyle w:val="s1a844bc0"/>
          <w:rFonts w:eastAsia="Times New Roman" w:cs="Calibri"/>
          <w:iCs/>
          <w:color w:val="000000"/>
          <w:lang w:eastAsia="lt-LT"/>
        </w:rPr>
        <w:t>homet</w:t>
      </w:r>
      <w:r w:rsidRPr="00FD5803">
        <w:rPr>
          <w:rStyle w:val="s1a844bc0"/>
          <w:rFonts w:eastAsia="Times New Roman" w:cs="Calibri"/>
          <w:iCs/>
          <w:color w:val="000000"/>
          <w:lang w:eastAsia="lt-LT"/>
        </w:rPr>
        <w:t xml:space="preserve">ui] tai patiko daryti su vaikais“, „dalykas su </w:t>
      </w:r>
      <w:proofErr w:type="spellStart"/>
      <w:r w:rsidRPr="00FD5803">
        <w:rPr>
          <w:rStyle w:val="s1a844bc0"/>
          <w:rFonts w:eastAsia="Times New Roman" w:cs="Calibri"/>
          <w:iCs/>
          <w:color w:val="000000"/>
          <w:lang w:eastAsia="lt-LT"/>
        </w:rPr>
        <w:t>Aicha</w:t>
      </w:r>
      <w:proofErr w:type="spellEnd"/>
      <w:r w:rsidRPr="00FD5803">
        <w:rPr>
          <w:rStyle w:val="s1a844bc0"/>
          <w:rFonts w:eastAsia="Times New Roman" w:cs="Calibri"/>
          <w:iCs/>
          <w:color w:val="000000"/>
          <w:lang w:eastAsia="lt-LT"/>
        </w:rPr>
        <w:t xml:space="preserve"> ir vaikų seksas“ ir „56 </w:t>
      </w:r>
      <w:r w:rsidR="00FB6123" w:rsidRPr="00FD5803">
        <w:rPr>
          <w:rStyle w:val="s1a844bc0"/>
          <w:rFonts w:eastAsia="Times New Roman" w:cs="Calibri"/>
          <w:iCs/>
          <w:color w:val="000000"/>
          <w:lang w:eastAsia="lt-LT"/>
        </w:rPr>
        <w:t>metų vyras ir šešiametė? Kaip jū</w:t>
      </w:r>
      <w:r w:rsidRPr="00FD5803">
        <w:rPr>
          <w:rStyle w:val="s1a844bc0"/>
          <w:rFonts w:eastAsia="Times New Roman" w:cs="Calibri"/>
          <w:iCs/>
          <w:color w:val="000000"/>
          <w:lang w:eastAsia="lt-LT"/>
        </w:rPr>
        <w:t xml:space="preserve">s tai vadinate? Man duoti pavyzdį? Kaip mes tai vadiname, jei </w:t>
      </w:r>
      <w:r w:rsidR="00FB6123" w:rsidRPr="00FD5803">
        <w:rPr>
          <w:rStyle w:val="s1a844bc0"/>
          <w:rFonts w:eastAsia="Times New Roman" w:cs="Calibri"/>
          <w:iCs/>
          <w:color w:val="000000"/>
          <w:lang w:eastAsia="lt-LT"/>
        </w:rPr>
        <w:t>ne</w:t>
      </w:r>
      <w:r w:rsidRPr="00FD5803">
        <w:rPr>
          <w:rStyle w:val="s1a844bc0"/>
          <w:rFonts w:eastAsia="Times New Roman" w:cs="Calibri"/>
          <w:iCs/>
          <w:color w:val="000000"/>
          <w:lang w:eastAsia="lt-LT"/>
        </w:rPr>
        <w:t xml:space="preserve"> pedofilija?“. </w:t>
      </w:r>
    </w:p>
    <w:p w14:paraId="517D859C" w14:textId="599C200C" w:rsidR="00DC7996" w:rsidRPr="00FD5803" w:rsidRDefault="00DC7996" w:rsidP="009A1B99">
      <w:pPr>
        <w:spacing w:after="0" w:line="240" w:lineRule="auto"/>
        <w:ind w:firstLine="567"/>
        <w:jc w:val="both"/>
        <w:rPr>
          <w:rStyle w:val="s1a844bc0"/>
          <w:rFonts w:eastAsia="Times New Roman" w:cs="Calibri"/>
          <w:iCs/>
          <w:color w:val="000000"/>
          <w:lang w:eastAsia="lt-LT"/>
        </w:rPr>
      </w:pPr>
      <w:r w:rsidRPr="00FD5803">
        <w:rPr>
          <w:rStyle w:val="s1a844bc0"/>
          <w:rFonts w:eastAsia="Times New Roman" w:cs="Calibri"/>
          <w:iCs/>
          <w:color w:val="000000"/>
          <w:lang w:eastAsia="lt-LT"/>
        </w:rPr>
        <w:t>2011 m. dėl šių pareiškimų pareiškėja buvo nuteista už religinių nuostatų sumenkinimą pagal Baudžiamojo kodekso 188 straipsnį. Jai buvo nurodyta sumokėti 480 Eur baudą arba baudos nesumokė</w:t>
      </w:r>
      <w:r w:rsidR="00535F80">
        <w:rPr>
          <w:rStyle w:val="s1a844bc0"/>
          <w:rFonts w:eastAsia="Times New Roman" w:cs="Calibri"/>
          <w:iCs/>
          <w:color w:val="000000"/>
          <w:lang w:eastAsia="lt-LT"/>
        </w:rPr>
        <w:t>jus</w:t>
      </w:r>
      <w:r w:rsidRPr="00FD5803">
        <w:rPr>
          <w:rStyle w:val="s1a844bc0"/>
          <w:rFonts w:eastAsia="Times New Roman" w:cs="Calibri"/>
          <w:iCs/>
          <w:color w:val="000000"/>
          <w:lang w:eastAsia="lt-LT"/>
        </w:rPr>
        <w:t xml:space="preserve"> atlikti 60 dienų laisvės atėmimo bausmę. Nacionaliniai teismai atskyrė santuoką su vaiku ir pedofiliją. Jų nuomone, pareiškėja, kaltindama </w:t>
      </w:r>
      <w:r w:rsidR="00EE4145" w:rsidRPr="00FD5803">
        <w:rPr>
          <w:rStyle w:val="s1a844bc0"/>
          <w:rFonts w:eastAsia="Times New Roman" w:cs="Calibri"/>
          <w:iCs/>
          <w:color w:val="000000"/>
          <w:lang w:eastAsia="lt-LT"/>
        </w:rPr>
        <w:t xml:space="preserve">Mahometą </w:t>
      </w:r>
      <w:r w:rsidRPr="00FD5803">
        <w:rPr>
          <w:rStyle w:val="s1a844bc0"/>
          <w:rFonts w:eastAsia="Times New Roman" w:cs="Calibri"/>
          <w:iCs/>
          <w:color w:val="000000"/>
          <w:lang w:eastAsia="lt-LT"/>
        </w:rPr>
        <w:t xml:space="preserve">pedofilija, paprasčiausiai siekė jį apšmeižti, nepateikdama įrodymų, kad </w:t>
      </w:r>
      <w:r w:rsidR="00EE4145" w:rsidRPr="00FD5803">
        <w:rPr>
          <w:rStyle w:val="s1a844bc0"/>
          <w:rFonts w:eastAsia="Times New Roman" w:cs="Calibri"/>
          <w:iCs/>
          <w:color w:val="000000"/>
          <w:lang w:eastAsia="lt-LT"/>
        </w:rPr>
        <w:t xml:space="preserve">Mahometo </w:t>
      </w:r>
      <w:r w:rsidRPr="00FD5803">
        <w:rPr>
          <w:rStyle w:val="s1a844bc0"/>
          <w:rFonts w:eastAsia="Times New Roman" w:cs="Calibri"/>
          <w:iCs/>
          <w:color w:val="000000"/>
          <w:lang w:eastAsia="lt-LT"/>
        </w:rPr>
        <w:t xml:space="preserve">pagrindinis seksualinis susidomėjimas </w:t>
      </w:r>
      <w:proofErr w:type="spellStart"/>
      <w:r w:rsidRPr="00FD5803">
        <w:rPr>
          <w:rStyle w:val="s1a844bc0"/>
          <w:rFonts w:eastAsia="Times New Roman" w:cs="Calibri"/>
          <w:iCs/>
          <w:color w:val="000000"/>
          <w:lang w:eastAsia="lt-LT"/>
        </w:rPr>
        <w:t>Aisha</w:t>
      </w:r>
      <w:proofErr w:type="spellEnd"/>
      <w:r w:rsidRPr="00FD5803">
        <w:rPr>
          <w:rStyle w:val="s1a844bc0"/>
          <w:rFonts w:eastAsia="Times New Roman" w:cs="Calibri"/>
          <w:iCs/>
          <w:color w:val="000000"/>
          <w:lang w:eastAsia="lt-LT"/>
        </w:rPr>
        <w:t xml:space="preserve"> buvo susijęs su tuo, kad ji dar nebuvo subrendusi, ar kad jo kitos žmonos ar sugulovės buvo panašaus amžiaus</w:t>
      </w:r>
      <w:r w:rsidR="00FB6123" w:rsidRPr="00FD5803">
        <w:rPr>
          <w:rStyle w:val="s1a844bc0"/>
          <w:rFonts w:eastAsia="Times New Roman" w:cs="Calibri"/>
          <w:iCs/>
          <w:color w:val="000000"/>
          <w:lang w:eastAsia="lt-LT"/>
        </w:rPr>
        <w:t>;</w:t>
      </w:r>
      <w:r w:rsidRPr="00FD5803">
        <w:rPr>
          <w:rStyle w:val="s1a844bc0"/>
          <w:rFonts w:eastAsia="Times New Roman" w:cs="Calibri"/>
          <w:iCs/>
          <w:color w:val="000000"/>
          <w:lang w:eastAsia="lt-LT"/>
        </w:rPr>
        <w:t xml:space="preserve"> </w:t>
      </w:r>
      <w:r w:rsidR="00FB6123" w:rsidRPr="00FD5803">
        <w:rPr>
          <w:rStyle w:val="s1a844bc0"/>
          <w:rFonts w:eastAsia="Times New Roman" w:cs="Calibri"/>
          <w:iCs/>
          <w:color w:val="000000"/>
          <w:lang w:eastAsia="lt-LT"/>
        </w:rPr>
        <w:t>p</w:t>
      </w:r>
      <w:r w:rsidRPr="00FD5803">
        <w:rPr>
          <w:rStyle w:val="s1a844bc0"/>
          <w:rFonts w:eastAsia="Times New Roman" w:cs="Calibri"/>
          <w:iCs/>
          <w:color w:val="000000"/>
          <w:lang w:eastAsia="lt-LT"/>
        </w:rPr>
        <w:t xml:space="preserve">areiškėja neatsižvelgė į tą faktą, jog santuoka su </w:t>
      </w:r>
      <w:proofErr w:type="spellStart"/>
      <w:r w:rsidRPr="00FD5803">
        <w:rPr>
          <w:rStyle w:val="s1a844bc0"/>
          <w:rFonts w:eastAsia="Times New Roman" w:cs="Calibri"/>
          <w:iCs/>
          <w:color w:val="000000"/>
          <w:lang w:eastAsia="lt-LT"/>
        </w:rPr>
        <w:t>Aisha</w:t>
      </w:r>
      <w:proofErr w:type="spellEnd"/>
      <w:r w:rsidRPr="00FD5803">
        <w:rPr>
          <w:rStyle w:val="s1a844bc0"/>
          <w:rFonts w:eastAsia="Times New Roman" w:cs="Calibri"/>
          <w:iCs/>
          <w:color w:val="000000"/>
          <w:lang w:eastAsia="lt-LT"/>
        </w:rPr>
        <w:t xml:space="preserve"> buvo tęsiama iki pranašo mirties, kai jai jau buvo 18 metų ir ji</w:t>
      </w:r>
      <w:r w:rsidR="00FB6123" w:rsidRPr="00FD5803">
        <w:rPr>
          <w:rStyle w:val="s1a844bc0"/>
          <w:rFonts w:eastAsia="Times New Roman" w:cs="Calibri"/>
          <w:iCs/>
          <w:color w:val="000000"/>
          <w:lang w:eastAsia="lt-LT"/>
        </w:rPr>
        <w:t xml:space="preserve"> jau</w:t>
      </w:r>
      <w:r w:rsidRPr="00FD5803">
        <w:rPr>
          <w:rStyle w:val="s1a844bc0"/>
          <w:rFonts w:eastAsia="Times New Roman" w:cs="Calibri"/>
          <w:iCs/>
          <w:color w:val="000000"/>
          <w:lang w:eastAsia="lt-LT"/>
        </w:rPr>
        <w:t xml:space="preserve"> buvo pasiekusi brandą. </w:t>
      </w:r>
    </w:p>
    <w:p w14:paraId="577B8537" w14:textId="77777777" w:rsidR="00DC7996" w:rsidRPr="00FD5803" w:rsidRDefault="00DC7996" w:rsidP="009A1B99">
      <w:pPr>
        <w:spacing w:after="0" w:line="240" w:lineRule="auto"/>
        <w:ind w:firstLine="567"/>
        <w:jc w:val="both"/>
        <w:rPr>
          <w:rStyle w:val="s1a844bc0"/>
          <w:rFonts w:eastAsia="Times New Roman" w:cs="Calibri"/>
          <w:iCs/>
          <w:color w:val="000000"/>
          <w:lang w:eastAsia="lt-LT"/>
        </w:rPr>
      </w:pPr>
      <w:r w:rsidRPr="00FD5803">
        <w:rPr>
          <w:rStyle w:val="s1a844bc0"/>
          <w:rFonts w:eastAsia="Times New Roman" w:cs="Calibri"/>
          <w:iCs/>
          <w:color w:val="000000"/>
          <w:lang w:eastAsia="lt-LT"/>
        </w:rPr>
        <w:t xml:space="preserve">Remdamasi Konvencijos 10 straipsniu, pareiškėja teigė, kad jos nuteisimas dėl minėtų pareiškimų buvo neteisėtas įsikišimas į jos saviraiškos laisvę. </w:t>
      </w:r>
    </w:p>
    <w:p w14:paraId="38B27D20" w14:textId="77777777" w:rsidR="00DC7996" w:rsidRPr="00FD5803" w:rsidRDefault="00DC7996" w:rsidP="009A1B99">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p>
    <w:p w14:paraId="32770EEA" w14:textId="77777777" w:rsidR="00DC7996" w:rsidRPr="00FD5803" w:rsidRDefault="00DC7996" w:rsidP="009A1B99">
      <w:pPr>
        <w:spacing w:after="0" w:line="240" w:lineRule="auto"/>
        <w:jc w:val="center"/>
        <w:rPr>
          <w:rFonts w:cs="Calibri"/>
        </w:rPr>
      </w:pPr>
      <w:r w:rsidRPr="00FD5803">
        <w:rPr>
          <w:rFonts w:cs="Calibri"/>
          <w:b/>
        </w:rPr>
        <w:t>Neoficiali Teismo sprendimo apžvalga</w:t>
      </w:r>
    </w:p>
    <w:p w14:paraId="1C83FC21" w14:textId="77777777" w:rsidR="00DC7996" w:rsidRPr="00FD5803" w:rsidRDefault="00DC7996" w:rsidP="009A1B99">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p>
    <w:p w14:paraId="0E6C3EA8" w14:textId="5F25E762" w:rsidR="00DC7996" w:rsidRPr="00FD5803" w:rsidRDefault="00DC7996"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 xml:space="preserve">Teismas pažymėjo, </w:t>
      </w:r>
      <w:r w:rsidR="00FB6123" w:rsidRPr="00FD5803">
        <w:rPr>
          <w:rStyle w:val="s1a844bc0"/>
          <w:rFonts w:ascii="Calibri" w:hAnsi="Calibri" w:cs="Calibri"/>
          <w:iCs/>
          <w:color w:val="000000"/>
          <w:sz w:val="22"/>
          <w:szCs w:val="22"/>
        </w:rPr>
        <w:t>jog</w:t>
      </w:r>
      <w:r w:rsidRPr="00FD5803">
        <w:rPr>
          <w:rStyle w:val="s1a844bc0"/>
          <w:rFonts w:ascii="Calibri" w:hAnsi="Calibri" w:cs="Calibri"/>
          <w:iCs/>
          <w:color w:val="000000"/>
          <w:sz w:val="22"/>
          <w:szCs w:val="22"/>
        </w:rPr>
        <w:t xml:space="preserve"> kadangi šios bylos dalykas yra ypatingai jautrios prigimties, nacionalinės institucijos turėjo didesnę diskreciją ir geresnes galimybes įvertinti, kurie pareiškimai gali trukdyti religinei taikai šalyje. </w:t>
      </w:r>
    </w:p>
    <w:p w14:paraId="69AC5D24" w14:textId="2E024279" w:rsidR="00DC7996" w:rsidRPr="00FD5803" w:rsidRDefault="00DC7996"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Kalbant apie ginčijamus pareiškimus pažymėta, jog seminarai buvo plačiai reklamuojami visuomenei internete ir lankstinukuose, kuriuos išsiuntė dešiniojo sparno Laisvės partijos vadovas, adresuodamas juos ypatingai jauniems rinkėjams ir girdamas seminarus kaip „</w:t>
      </w:r>
      <w:proofErr w:type="spellStart"/>
      <w:r w:rsidRPr="00FD5803">
        <w:rPr>
          <w:rStyle w:val="s1a844bc0"/>
          <w:rFonts w:ascii="Calibri" w:hAnsi="Calibri" w:cs="Calibri"/>
          <w:iCs/>
          <w:color w:val="000000"/>
          <w:sz w:val="22"/>
          <w:szCs w:val="22"/>
        </w:rPr>
        <w:t>top</w:t>
      </w:r>
      <w:proofErr w:type="spellEnd"/>
      <w:r w:rsidRPr="00FD5803">
        <w:rPr>
          <w:rStyle w:val="s1a844bc0"/>
          <w:rFonts w:ascii="Calibri" w:hAnsi="Calibri" w:cs="Calibri"/>
          <w:iCs/>
          <w:color w:val="000000"/>
          <w:sz w:val="22"/>
          <w:szCs w:val="22"/>
        </w:rPr>
        <w:t xml:space="preserve"> seminarus“ „nemokamo švietimo paketo“ kontekste. Seminaro pavadinimas – nenumatytai klaidinantis – sudarė įspūdį, kad jis apima objektyvią informaciją apie islamą. Kiekvienas, susidomėjęs dalyvavimu, galėjo užsiregistruoti, todėl pareiškėja negalėjo numanyti, kad auditorijoje bus tik panašiai mąstantys žmonės, tačiau taip pat ir žmonės, kuruos pareiškimai gali įžeisti. Pareiškėjos pareiškimai galėjo sukelti pagrįstą pasipiktinimą, atsižvelgiant į tai, kad jie nebuvo išreikšti objektyviai, siekiant prisidėti prie diskusijų viešojo intereso klausimu, tačiau jie galėjo būti suprasti kaip siekis parodyti, jog </w:t>
      </w:r>
      <w:r w:rsidR="00EE4145" w:rsidRPr="00FD5803">
        <w:rPr>
          <w:rStyle w:val="s1a844bc0"/>
          <w:rFonts w:ascii="Calibri" w:hAnsi="Calibri" w:cs="Calibri"/>
          <w:iCs/>
          <w:color w:val="000000"/>
          <w:sz w:val="22"/>
          <w:szCs w:val="22"/>
        </w:rPr>
        <w:t xml:space="preserve">Mahometas </w:t>
      </w:r>
      <w:r w:rsidRPr="00FD5803">
        <w:rPr>
          <w:rStyle w:val="s1a844bc0"/>
          <w:rFonts w:ascii="Calibri" w:hAnsi="Calibri" w:cs="Calibri"/>
          <w:iCs/>
          <w:color w:val="000000"/>
          <w:sz w:val="22"/>
          <w:szCs w:val="22"/>
        </w:rPr>
        <w:t xml:space="preserve">nebuvo garbinimo vertas objektas. Pareiškėja apibūdino save kaip islamo doktrinos ekspertę, jau rengusią tokio pobūdžio seminarus, todėl turėjo žinoti, kad jos pareiškimai iš dalies buvo pagrįsti neteisingais faktais ir kitiems galėjo sukelti (pagrįstą) pasipiktinimą. Religinių objektų pristatymas provokuojančiu būdu, galintis užgauti šios religijos sekėjų jausmus, galėtų būti suvokiamas kaip piktavališkas tolerancijos dvasios pažeidimas, kuris yra vienas iš demokratinės visuomenės pagrindų.  </w:t>
      </w:r>
    </w:p>
    <w:p w14:paraId="147E0B11" w14:textId="78008998" w:rsidR="00DC7996" w:rsidRPr="00FD5803" w:rsidRDefault="00DC7996"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 xml:space="preserve">Pareiškėja subjektyviai priskyrė </w:t>
      </w:r>
      <w:r w:rsidR="00EE4145" w:rsidRPr="00FD5803">
        <w:rPr>
          <w:rStyle w:val="s1a844bc0"/>
          <w:rFonts w:ascii="Calibri" w:hAnsi="Calibri" w:cs="Calibri"/>
          <w:iCs/>
          <w:color w:val="000000"/>
          <w:sz w:val="22"/>
          <w:szCs w:val="22"/>
        </w:rPr>
        <w:t xml:space="preserve">Mahometui </w:t>
      </w:r>
      <w:r w:rsidRPr="00FD5803">
        <w:rPr>
          <w:rStyle w:val="s1a844bc0"/>
          <w:rFonts w:ascii="Calibri" w:hAnsi="Calibri" w:cs="Calibri"/>
          <w:iCs/>
          <w:color w:val="000000"/>
          <w:sz w:val="22"/>
          <w:szCs w:val="22"/>
        </w:rPr>
        <w:t xml:space="preserve">pedofiliją, kaip jo bendrą seksualinį pageidavimą, nešališkai neinformuodama auditorijos apie istorinę aplinką, dėl ko šiuo klausimu nebuvo rimtai diskutuojama ir </w:t>
      </w:r>
      <w:r w:rsidR="00310F3E" w:rsidRPr="00FD5803">
        <w:rPr>
          <w:rStyle w:val="s1a844bc0"/>
          <w:rFonts w:ascii="Calibri" w:hAnsi="Calibri" w:cs="Calibri"/>
          <w:iCs/>
          <w:color w:val="000000"/>
          <w:sz w:val="22"/>
          <w:szCs w:val="22"/>
        </w:rPr>
        <w:t xml:space="preserve">nuomonė </w:t>
      </w:r>
      <w:r w:rsidRPr="00FD5803">
        <w:rPr>
          <w:rStyle w:val="s1a844bc0"/>
          <w:rFonts w:ascii="Calibri" w:hAnsi="Calibri" w:cs="Calibri"/>
          <w:iCs/>
          <w:color w:val="000000"/>
          <w:sz w:val="22"/>
          <w:szCs w:val="22"/>
        </w:rPr>
        <w:t>pateikta be pakankamo faktinio pagrindimo. Net jei pareiškimai būtų klasifikuojami kaip faktiniai, šiuo aspektu nepateikta jokių įrodymų. Dėl pareiškėjos argumento, jog keli individualūs pareiškimai turėjo būti toleruojami gyvos diskusijos metu, pažymėta, jog su Konvencijos 10 straipsniu nėra suderinama situacija, kuomet apkaltinamo</w:t>
      </w:r>
      <w:r w:rsidR="00310F3E" w:rsidRPr="00FD5803">
        <w:rPr>
          <w:rStyle w:val="s1a844bc0"/>
          <w:rFonts w:ascii="Calibri" w:hAnsi="Calibri" w:cs="Calibri"/>
          <w:iCs/>
          <w:color w:val="000000"/>
          <w:sz w:val="22"/>
          <w:szCs w:val="22"/>
        </w:rPr>
        <w:t>jo</w:t>
      </w:r>
      <w:r w:rsidRPr="00FD5803">
        <w:rPr>
          <w:rStyle w:val="s1a844bc0"/>
          <w:rFonts w:ascii="Calibri" w:hAnsi="Calibri" w:cs="Calibri"/>
          <w:iCs/>
          <w:color w:val="000000"/>
          <w:sz w:val="22"/>
          <w:szCs w:val="22"/>
        </w:rPr>
        <w:t xml:space="preserve"> pobūdžio pareiškimai pateikiami kaip priimtinas kitokios nuomonės išreiškimas ir teigiama, jog tai pareiškimus, viršijančius leistinos saviraiškos laisvės ribas, padaro priimtinus. Be to, pareiškėja klaidingai manė, kad netinkamos atakos prieš religines grupes turėjo būti toleruojamos, net jei jos pagrindžiamos neteisingais faktais. Priešingai, Teismas nusprendė, kad pareiškimai, pagrįsti (akivaizdžiai) neteisingais faktais, nebuvo apsaugomi Konvencijos 10 straipsnio.</w:t>
      </w:r>
    </w:p>
    <w:p w14:paraId="427B4E9D" w14:textId="77777777" w:rsidR="00DC7996" w:rsidRPr="00FD5803" w:rsidRDefault="00DC7996"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 xml:space="preserve">Kalbant apie sankcijos proporcingumą nurodyta, kad pareiškėjai paskirta sumokėti tik 480 Eur bauda už visus tris pareiškimus, nors Baudžiamasis kodeksas numatė laisvės atėmimo bausmę iki 6 mėnesių. Paskirta sankcija nebuvo neproporcinga. </w:t>
      </w:r>
    </w:p>
    <w:p w14:paraId="0F83A2CC" w14:textId="77777777" w:rsidR="00DC7996" w:rsidRPr="00FD5803" w:rsidRDefault="00DC7996"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Apibendrinant pažymėta, kad nacionaliniai teismai išsamiai įvertino platesnį pareiškėjos pareiškimų kontekstą ir atidžiai subalansavo jos saviraiškos laisvę su kitų asmenų teisėmis į savo religinių įsitikinimų apsaugą ir religinės taikos Austrijos visuomenėje išsaugojimu. Pareiškėjos teisių apribojimas pagal Konvencijos 10 straipsnį iš tiesų turėjo neatidėliotiną socialinį poreikį ir buvo proporcingas siekiamam tikslui.</w:t>
      </w:r>
    </w:p>
    <w:p w14:paraId="480923B5" w14:textId="77777777" w:rsidR="00DC7996" w:rsidRPr="00FD5803" w:rsidRDefault="00DC7996" w:rsidP="009A1B99">
      <w:pPr>
        <w:pStyle w:val="s6e50bd9a"/>
        <w:shd w:val="clear" w:color="auto" w:fill="FFFFFF"/>
        <w:spacing w:before="0" w:beforeAutospacing="0" w:after="0" w:afterAutospacing="0"/>
        <w:ind w:firstLine="567"/>
        <w:jc w:val="both"/>
        <w:rPr>
          <w:rFonts w:ascii="Calibri" w:hAnsi="Calibri" w:cs="Calibri"/>
          <w:sz w:val="22"/>
          <w:szCs w:val="22"/>
        </w:rPr>
      </w:pPr>
    </w:p>
    <w:p w14:paraId="21ABA80E" w14:textId="77777777" w:rsidR="00DC7996" w:rsidRPr="00FD5803" w:rsidRDefault="00DC7996"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Išvada: Konvencijos 10 straipsnio pažeidimas nenustatytas (vienbalsiai).</w:t>
      </w:r>
    </w:p>
    <w:p w14:paraId="515AD7A2" w14:textId="77777777" w:rsidR="00DC7996" w:rsidRPr="00FD5803" w:rsidRDefault="007F5353" w:rsidP="009A1B99">
      <w:pPr>
        <w:spacing w:after="0" w:line="240" w:lineRule="auto"/>
        <w:ind w:firstLine="567"/>
        <w:rPr>
          <w:rFonts w:eastAsia="Times New Roman" w:cs="Calibri"/>
          <w:lang w:eastAsia="lt-LT"/>
        </w:rPr>
      </w:pPr>
      <w:hyperlink r:id="rId22" w:history="1">
        <w:r w:rsidR="00DC7996" w:rsidRPr="00FD5803">
          <w:rPr>
            <w:rStyle w:val="Hipersaitas"/>
            <w:rFonts w:eastAsia="Times New Roman" w:cs="Calibri"/>
            <w:lang w:eastAsia="lt-LT"/>
          </w:rPr>
          <w:t>Prieiga internete</w:t>
        </w:r>
      </w:hyperlink>
    </w:p>
    <w:p w14:paraId="0407B06D" w14:textId="77777777" w:rsidR="00DC7996" w:rsidRPr="00FD5803" w:rsidRDefault="00DC7996" w:rsidP="009A1B99">
      <w:pPr>
        <w:pStyle w:val="Default"/>
        <w:tabs>
          <w:tab w:val="left" w:pos="709"/>
        </w:tabs>
        <w:ind w:firstLine="567"/>
        <w:jc w:val="both"/>
        <w:rPr>
          <w:rFonts w:asciiTheme="minorHAnsi" w:hAnsiTheme="minorHAnsi"/>
          <w:sz w:val="22"/>
          <w:szCs w:val="22"/>
        </w:rPr>
      </w:pPr>
    </w:p>
    <w:p w14:paraId="080C0ED8" w14:textId="77777777" w:rsidR="001206B4" w:rsidRPr="00FD5803" w:rsidRDefault="001206B4" w:rsidP="009A1B99">
      <w:pPr>
        <w:pStyle w:val="s30eec3f8"/>
        <w:shd w:val="clear" w:color="auto" w:fill="FFFFFF"/>
        <w:spacing w:before="0" w:beforeAutospacing="0" w:after="0" w:afterAutospacing="0"/>
        <w:jc w:val="center"/>
        <w:rPr>
          <w:rStyle w:val="sb8d990e2"/>
          <w:rFonts w:asciiTheme="minorHAnsi" w:hAnsiTheme="minorHAnsi" w:cs="Arial"/>
          <w:b/>
          <w:sz w:val="22"/>
          <w:szCs w:val="22"/>
        </w:rPr>
      </w:pPr>
      <w:r w:rsidRPr="00FD5803">
        <w:rPr>
          <w:rStyle w:val="sb8d990e2"/>
          <w:rFonts w:asciiTheme="minorHAnsi" w:hAnsiTheme="minorHAnsi" w:cs="Arial"/>
          <w:b/>
          <w:sz w:val="22"/>
          <w:szCs w:val="22"/>
        </w:rPr>
        <w:t>Europos Žmogaus Teisių Teismo 2018 m. lapkričio 13 d. sprendimas byloje</w:t>
      </w:r>
    </w:p>
    <w:p w14:paraId="51A22C70" w14:textId="77777777" w:rsidR="001206B4" w:rsidRPr="00FD5803" w:rsidRDefault="001206B4" w:rsidP="009A1B99">
      <w:pPr>
        <w:pStyle w:val="Antrat2"/>
        <w:ind w:firstLine="0"/>
        <w:jc w:val="center"/>
        <w:rPr>
          <w:rFonts w:eastAsia="Calibri"/>
          <w:i/>
        </w:rPr>
      </w:pPr>
      <w:bookmarkStart w:id="32" w:name="_Toc1657799"/>
      <w:r w:rsidRPr="00FD5803">
        <w:rPr>
          <w:rFonts w:eastAsia="Calibri"/>
          <w:i/>
        </w:rPr>
        <w:t>A. T. prieš Estiją</w:t>
      </w:r>
      <w:bookmarkEnd w:id="32"/>
    </w:p>
    <w:p w14:paraId="558FB8D3" w14:textId="77777777" w:rsidR="001206B4" w:rsidRPr="00FD5803" w:rsidRDefault="001206B4" w:rsidP="009A1B99">
      <w:pPr>
        <w:pStyle w:val="s30eec3f8"/>
        <w:shd w:val="clear" w:color="auto" w:fill="FFFFFF"/>
        <w:spacing w:before="0" w:beforeAutospacing="0" w:after="0" w:afterAutospacing="0"/>
        <w:jc w:val="center"/>
        <w:rPr>
          <w:rStyle w:val="sb8d990e2"/>
          <w:rFonts w:asciiTheme="minorHAnsi" w:hAnsiTheme="minorHAnsi" w:cs="Arial"/>
          <w:b/>
          <w:sz w:val="22"/>
          <w:szCs w:val="22"/>
        </w:rPr>
      </w:pPr>
      <w:r w:rsidRPr="00FD5803">
        <w:rPr>
          <w:rStyle w:val="sb8d990e2"/>
          <w:rFonts w:asciiTheme="minorHAnsi" w:hAnsiTheme="minorHAnsi" w:cs="Arial"/>
          <w:b/>
          <w:sz w:val="22"/>
          <w:szCs w:val="22"/>
        </w:rPr>
        <w:t xml:space="preserve">(pareiškimo Nr. </w:t>
      </w:r>
      <w:hyperlink r:id="rId23" w:history="1">
        <w:r w:rsidRPr="00FD5803">
          <w:rPr>
            <w:rStyle w:val="sb8d990e2"/>
            <w:rFonts w:asciiTheme="minorHAnsi" w:hAnsiTheme="minorHAnsi" w:cs="Arial"/>
            <w:b/>
            <w:sz w:val="22"/>
            <w:szCs w:val="22"/>
          </w:rPr>
          <w:t>23183/</w:t>
        </w:r>
      </w:hyperlink>
      <w:r w:rsidRPr="00FD5803">
        <w:rPr>
          <w:rStyle w:val="sb8d990e2"/>
          <w:rFonts w:asciiTheme="minorHAnsi" w:hAnsiTheme="minorHAnsi" w:cs="Arial"/>
          <w:b/>
          <w:sz w:val="22"/>
          <w:szCs w:val="22"/>
        </w:rPr>
        <w:t>15, svarbos lygis – 3)</w:t>
      </w:r>
    </w:p>
    <w:p w14:paraId="05B26553" w14:textId="77777777" w:rsidR="001206B4" w:rsidRPr="00FD5803" w:rsidRDefault="001206B4" w:rsidP="009A1B99">
      <w:pPr>
        <w:shd w:val="clear" w:color="auto" w:fill="FFFFFF"/>
        <w:spacing w:after="0" w:line="240" w:lineRule="auto"/>
        <w:ind w:firstLine="567"/>
        <w:jc w:val="center"/>
        <w:rPr>
          <w:rFonts w:eastAsia="Times New Roman" w:cstheme="minorHAnsi"/>
          <w:b/>
          <w:bCs/>
          <w:color w:val="000000"/>
        </w:rPr>
      </w:pPr>
    </w:p>
    <w:p w14:paraId="27E5DF7F" w14:textId="77777777" w:rsidR="001206B4" w:rsidRPr="00FD5803" w:rsidRDefault="001206B4" w:rsidP="009A1B99">
      <w:pPr>
        <w:pStyle w:val="Antrat3"/>
        <w:ind w:firstLine="567"/>
        <w:rPr>
          <w:i w:val="0"/>
          <w:szCs w:val="22"/>
        </w:rPr>
      </w:pPr>
      <w:bookmarkStart w:id="33" w:name="_Toc1657800"/>
      <w:r w:rsidRPr="00FD5803">
        <w:rPr>
          <w:szCs w:val="22"/>
        </w:rPr>
        <w:t>Dėl antrankių naudojimo gydymo įstaigoje ir naujagimės dukters lankymo metu</w:t>
      </w:r>
      <w:bookmarkEnd w:id="33"/>
    </w:p>
    <w:p w14:paraId="38BBC369" w14:textId="77777777" w:rsidR="001206B4" w:rsidRPr="00FD5803" w:rsidRDefault="001206B4" w:rsidP="009A1B99">
      <w:pPr>
        <w:spacing w:after="0" w:line="240" w:lineRule="auto"/>
        <w:ind w:firstLine="567"/>
      </w:pPr>
    </w:p>
    <w:p w14:paraId="1644566F" w14:textId="77777777" w:rsidR="001206B4" w:rsidRPr="00FD5803" w:rsidRDefault="001206B4" w:rsidP="009A1B99">
      <w:pPr>
        <w:shd w:val="clear" w:color="auto" w:fill="FFFFFF"/>
        <w:spacing w:after="0" w:line="240" w:lineRule="auto"/>
        <w:jc w:val="center"/>
        <w:rPr>
          <w:rFonts w:eastAsia="Times New Roman" w:cstheme="minorHAnsi"/>
          <w:b/>
          <w:bCs/>
          <w:color w:val="000000"/>
        </w:rPr>
      </w:pPr>
      <w:r w:rsidRPr="00FD5803">
        <w:rPr>
          <w:rFonts w:eastAsia="Times New Roman" w:cstheme="minorHAnsi"/>
          <w:b/>
          <w:bCs/>
          <w:color w:val="000000"/>
        </w:rPr>
        <w:t>Faktinės aplinkybės</w:t>
      </w:r>
    </w:p>
    <w:p w14:paraId="56B49825" w14:textId="77777777" w:rsidR="001206B4" w:rsidRPr="00FD5803" w:rsidRDefault="001206B4" w:rsidP="009A1B99">
      <w:pPr>
        <w:spacing w:after="0" w:line="240" w:lineRule="auto"/>
        <w:ind w:firstLine="567"/>
      </w:pPr>
    </w:p>
    <w:p w14:paraId="693DA9A4" w14:textId="77777777" w:rsidR="001206B4" w:rsidRPr="00FD5803" w:rsidRDefault="001206B4" w:rsidP="009A1B99">
      <w:pPr>
        <w:spacing w:after="0" w:line="240" w:lineRule="auto"/>
        <w:ind w:firstLine="567"/>
        <w:jc w:val="both"/>
      </w:pPr>
      <w:r w:rsidRPr="00FD5803">
        <w:t xml:space="preserve">2018 m. lapkričio 13 d. Teismas paskelbė sprendimą byloje </w:t>
      </w:r>
      <w:r w:rsidRPr="00FD5803">
        <w:rPr>
          <w:i/>
        </w:rPr>
        <w:t>A. T. prieš Estiją</w:t>
      </w:r>
      <w:r w:rsidRPr="00FD5803">
        <w:t xml:space="preserve">, kuriuo nustatė Konvencijos 8 straipsnio (teisė į privataus ir šeimos gyvenimo gerbimą) pažeidimą. </w:t>
      </w:r>
    </w:p>
    <w:p w14:paraId="7DA1EF7C" w14:textId="77777777" w:rsidR="001206B4" w:rsidRPr="00FD5803" w:rsidRDefault="001206B4" w:rsidP="009A1B99">
      <w:pPr>
        <w:spacing w:after="0" w:line="240" w:lineRule="auto"/>
        <w:ind w:firstLine="567"/>
        <w:jc w:val="both"/>
      </w:pPr>
      <w:r w:rsidRPr="00FD5803">
        <w:t>Byloje nenustatyta Konvencijos 3 ir 8 straipsnių pažeidimų, susijusių su apsaugos priemonių taikymu, pareiškėjui lankantis ligoninėje, tačiau nustatytas valstybės pozityviųjų pareigų pažeidimas pagal Konvencijos 8 straipsnį, susijęs su pareiškėjo vizitu, siekiant pamatyti dukterį ligoninėje.</w:t>
      </w:r>
    </w:p>
    <w:p w14:paraId="486D725D" w14:textId="77777777" w:rsidR="001206B4" w:rsidRPr="00FD5803" w:rsidRDefault="001206B4" w:rsidP="009A1B99">
      <w:pPr>
        <w:spacing w:after="0" w:line="240" w:lineRule="auto"/>
        <w:ind w:firstLine="567"/>
        <w:jc w:val="both"/>
      </w:pPr>
      <w:r w:rsidRPr="00FD5803">
        <w:t xml:space="preserve">Pareiškėjas (gim. 1977 m.) – nuteistas iki gyvos galvos asmuo ir nuo 2008 metų kalinamas X kalėjime. </w:t>
      </w:r>
    </w:p>
    <w:p w14:paraId="29C93F9D" w14:textId="77777777" w:rsidR="001206B4" w:rsidRPr="00FD5803" w:rsidRDefault="001206B4" w:rsidP="009A1B99">
      <w:pPr>
        <w:spacing w:after="0" w:line="240" w:lineRule="auto"/>
        <w:ind w:firstLine="567"/>
        <w:jc w:val="both"/>
      </w:pPr>
      <w:r w:rsidRPr="00FD5803">
        <w:t xml:space="preserve">2010 m. lapkričio 9 d. ir 2011 m. spalio 27 d. pareiškėjas buvo nugabentas į ligoninę medicininiams tyrimams. Įvertinusi riziką (ankstesnį pareiškėjo kriminalinį elgesį, nuteistas laisvės atėmimo bausme iki gyvos galvos už žmogžudystę sunkinančiomis aplinkybėmis, bausmės atlikimo metu disponavo narkotinėmis medžiagomis, keletą kartų baustas už smurtą prieš pareigūnus; be to, pareiškėjas agresyviai reaguodavo į teisėtus pareigūnų reikalavimus, negerbė kalėjimo režimo, buvo linkęs į savęs žalojimą ir pan.; vertinta, kad pabėgimo rizika už kalėjimo sienų didėjo) kalėjimo administracija nutarė, kad jis turėjo dėvėti antrankius ir kojų antrankius, be to, konvojų lydėjo ginkluoti pareigūnai. Pareiškėjas teigė, kad kalėjimo pareigūnai pasiliko apžiūros kambaryje visą laiką ir galėjo girdėti jo pokalbį su medicinos personalu bei kad jam nebuvo leista dėvėti savo drabužių. </w:t>
      </w:r>
    </w:p>
    <w:p w14:paraId="289A3E1B" w14:textId="77777777" w:rsidR="001206B4" w:rsidRPr="00FD5803" w:rsidRDefault="001206B4" w:rsidP="009A1B99">
      <w:pPr>
        <w:spacing w:after="0" w:line="240" w:lineRule="auto"/>
        <w:ind w:firstLine="567"/>
        <w:jc w:val="both"/>
      </w:pPr>
      <w:r w:rsidRPr="00FD5803">
        <w:t>Taip pat 2012 m. sausio 31 d. jis buvo nuvežtas į ligoninę aplankyti sunkiai sergančios savo naujagimės dukters, taikant tas pačias saugumo priemones. Pareiškėjo teigimu, jam buvo neleista paliesti savo vaiko, be to, pareigūnai liko su juo visą laiką ir galėjo išgirsti jo pokalbį su dukters gydytojais. Taip pat pareiškėjas skundėsi, kad lankyti dukters jis nugabentas ne lankymo valandomis, dėl ko jo pasimatymas su dukra truko tik 10 minučių. Tačiau Vyriausybė, remdamasi kalinimo įstaigos pateikta informacija, nurodė, kad skyriaus, kuriame buvo gydoma pareiškėjo dukra, lankymo valandos buvo 24 val. per parą, be to, vizito laikas su gydymo įstaiga buvo suderintas specialiai tokiu laiku, kad kaip įmanoma labiau sumažinti pareiškėjo kontakto su kitais asmenimis galimybę. Vizitas truko 25 minutes, jokios procedūros su dukra tuo metu nebuvo atliekamos, be to, vizitas užsibaigė, nes pats pareiškėjas pareiškė norą išvykti iš ligoninės.</w:t>
      </w:r>
    </w:p>
    <w:p w14:paraId="404D6401" w14:textId="77777777" w:rsidR="001206B4" w:rsidRPr="00FD5803" w:rsidRDefault="001206B4" w:rsidP="009A1B99">
      <w:pPr>
        <w:spacing w:after="0" w:line="240" w:lineRule="auto"/>
        <w:ind w:firstLine="567"/>
        <w:jc w:val="both"/>
      </w:pPr>
      <w:r w:rsidRPr="00FD5803">
        <w:t xml:space="preserve">Pareiškėjas skundėsi apsilankymų metu taikytomis saugos priemonėmis, bet 2013 m. sausį Tartu administracinis teismas atmetė jo skundą visiškai. Jo apeliacinis skundas taip pat atmestas. </w:t>
      </w:r>
    </w:p>
    <w:p w14:paraId="74025E2A" w14:textId="77777777" w:rsidR="001206B4" w:rsidRPr="00FD5803" w:rsidRDefault="001206B4" w:rsidP="009A1B99">
      <w:pPr>
        <w:shd w:val="clear" w:color="auto" w:fill="FFFFFF"/>
        <w:spacing w:after="0" w:line="240" w:lineRule="auto"/>
        <w:jc w:val="center"/>
      </w:pPr>
    </w:p>
    <w:p w14:paraId="19E36F5D" w14:textId="77777777" w:rsidR="001206B4" w:rsidRPr="00FD5803" w:rsidRDefault="001206B4" w:rsidP="009A1B99">
      <w:pPr>
        <w:shd w:val="clear" w:color="auto" w:fill="FFFFFF"/>
        <w:spacing w:after="0" w:line="240" w:lineRule="auto"/>
        <w:jc w:val="center"/>
        <w:rPr>
          <w:rFonts w:eastAsia="Times New Roman" w:cstheme="minorHAnsi"/>
          <w:b/>
          <w:bCs/>
          <w:color w:val="000000"/>
        </w:rPr>
      </w:pPr>
      <w:r w:rsidRPr="00FD5803">
        <w:rPr>
          <w:rFonts w:eastAsia="Times New Roman" w:cstheme="minorHAnsi"/>
          <w:b/>
          <w:bCs/>
          <w:color w:val="000000"/>
        </w:rPr>
        <w:t>Neoficiali Teismo sprendimo apžvalga</w:t>
      </w:r>
    </w:p>
    <w:p w14:paraId="4534113C" w14:textId="77777777" w:rsidR="001206B4" w:rsidRPr="00FD5803" w:rsidRDefault="001206B4" w:rsidP="009A1B99">
      <w:pPr>
        <w:spacing w:after="0" w:line="240" w:lineRule="auto"/>
        <w:ind w:firstLine="567"/>
        <w:jc w:val="both"/>
      </w:pPr>
    </w:p>
    <w:p w14:paraId="79860B74" w14:textId="77777777" w:rsidR="001206B4" w:rsidRPr="00FD5803" w:rsidRDefault="001206B4" w:rsidP="009A1B99">
      <w:pPr>
        <w:spacing w:after="0" w:line="240" w:lineRule="auto"/>
        <w:ind w:firstLine="567"/>
        <w:jc w:val="both"/>
        <w:rPr>
          <w:i/>
        </w:rPr>
      </w:pPr>
      <w:r w:rsidRPr="00FD5803">
        <w:rPr>
          <w:i/>
        </w:rPr>
        <w:t>I. Dėl Konvencijos 3 ir 8 straipsnių pažeidimų, susijusių su saugumo reikalavimais, lankantis ligoninėje tyrimo tikslais</w:t>
      </w:r>
    </w:p>
    <w:p w14:paraId="2672471F" w14:textId="77777777" w:rsidR="001206B4" w:rsidRPr="00FD5803" w:rsidRDefault="001206B4" w:rsidP="009A1B99">
      <w:pPr>
        <w:spacing w:after="0" w:line="240" w:lineRule="auto"/>
        <w:ind w:firstLine="567"/>
        <w:jc w:val="both"/>
      </w:pPr>
    </w:p>
    <w:p w14:paraId="091F2BFC" w14:textId="77777777" w:rsidR="001206B4" w:rsidRPr="00FD5803" w:rsidRDefault="001206B4" w:rsidP="009A1B99">
      <w:pPr>
        <w:spacing w:after="0" w:line="240" w:lineRule="auto"/>
        <w:ind w:firstLine="567"/>
        <w:jc w:val="both"/>
        <w:rPr>
          <w:i/>
        </w:rPr>
      </w:pPr>
      <w:r w:rsidRPr="00FD5803">
        <w:rPr>
          <w:i/>
        </w:rPr>
        <w:t>Šalių argumentai</w:t>
      </w:r>
    </w:p>
    <w:p w14:paraId="0BE70D1C" w14:textId="77777777" w:rsidR="001206B4" w:rsidRPr="00FD5803" w:rsidRDefault="001206B4" w:rsidP="009A1B99">
      <w:pPr>
        <w:spacing w:after="0" w:line="240" w:lineRule="auto"/>
        <w:ind w:firstLine="567"/>
        <w:jc w:val="both"/>
      </w:pPr>
    </w:p>
    <w:p w14:paraId="39EEA53E" w14:textId="77777777" w:rsidR="001206B4" w:rsidRPr="00FD5803" w:rsidRDefault="001206B4" w:rsidP="009A1B99">
      <w:pPr>
        <w:spacing w:after="0" w:line="240" w:lineRule="auto"/>
        <w:ind w:firstLine="567"/>
        <w:jc w:val="both"/>
      </w:pPr>
      <w:r w:rsidRPr="00FD5803">
        <w:t xml:space="preserve">Pareiškėjas, remdamasis Konvencijos 3 straipsniu, teigė, kad jo apsilankymų ligoninėje sąlygos buvo nežmoniškos ir žeminančios, kadangi vertimas dėvėti kalėjimo rūbus, antrankiai ir kojų antrankiai atskleidė jį visuomenei kaip kalinį. Be to, antrankiai ir kojų antrankiai sukėlė jam skausmą, stresą, moralines kančias ir sukėlė jo potraukį savęs žalojimui. Konvojaus pareigūnai, matomai nešiodami ginklus ir specialią amuniciją, demonstravo savo jėgą. Pareiškėjo manymu, jam taikytos priemonės nebuvo neproporcingos, kadangi jis niekada nebandė pabėgti. Pareiškėjo teigimu, jis prašė leisti jam vilkėti savo rūbus, tačiau prašymas buvo atmestas. Pasak pareiškėjo, jis netgi atsisakė susitikti su gydytoju antrojo apsilankymo metu, kadangi jaudinosi, kokį įspūdį paliks kitiems asmenims. Taip pat pareiškėjas teigė, kad pareigūnų dalyvavimas apsilankymų ligoninėje metu pažeidė Konvencijos 8 straipsnį. Pareigūnai išgirdo jo pokalbį su gydytojais, be </w:t>
      </w:r>
      <w:r w:rsidRPr="00FD5803">
        <w:lastRenderedPageBreak/>
        <w:t xml:space="preserve">to, per apžiūrą tarp jo ir konvojaus komandos nebuvo pertvaros. Pareiškėjo teigimu, apžiūros kabinetas tebuvo 10 kv. m. </w:t>
      </w:r>
    </w:p>
    <w:p w14:paraId="13460C99" w14:textId="77777777" w:rsidR="001206B4" w:rsidRPr="00FD5803" w:rsidRDefault="001206B4" w:rsidP="009A1B99">
      <w:pPr>
        <w:spacing w:after="0" w:line="240" w:lineRule="auto"/>
        <w:ind w:firstLine="567"/>
        <w:jc w:val="both"/>
      </w:pPr>
      <w:r w:rsidRPr="00FD5803">
        <w:t xml:space="preserve">Vyriausybės nuomone, Konvencijos 3 ir 8 straipsniai pažeisti nebuvo. Kalėjimas vykdė įstatyminę pareigą visapusiškai įvertinti riziką, susijusią su pareiškėjo išvykimu už kalėjimo ribų. Pareiga dėvėti antrankius ir kojų antrankius kilo iš nacionalinių teisės aktų. Vyriausybė atkreipė dėmesį į pareiškėjo asmenybę (jaunas, aukštas, atletiško sudėjimo vyras, nenuspėjamas, impulsyvus, su laiku jo vykdyti nusikaltimai šiurkštėjo, kai kurie nusikaltimai buvo įvykdyti impulsyviai, be išankstinio ruošimosi ir kt.) ir nurodė, kad nurodytų saugumo priemonių taikymas buvo pateisinamas, siekiant apsisaugoti nuo pareiškėjo pabėgimo ar kitų asmenų sužeidimo, žalos sukėlimo. Vyriausybė pabrėžė, kad kalinimo įstaiga neturėjo tikslo specialiai atskleisti ar žeminti pareiškėjo viešumoje. Nors po apsilankymų ligoninėje buvo užfiksuoti tam tikri paraudimai ar lengvi nuspaudimo ženklai, odos įbrėžimai, tai buvo įprasti požymiai po antrankių panaudojimo ir negali būti laikoma perdėto kentėjimo požymiu. Dėl kalėjimo rūbų vilkėjimo Vyriausybė paaiškino, kad tai kilo iš nacionalinių teisės aktų ir tuo siekiama, kad kalinys būtų lengvai atpažįstamas minioje pabėgimo atveju. Be to, pareiškėjas neprašė leisti dėvėti savo rūbų apsilankymų ligoninėje metu. </w:t>
      </w:r>
    </w:p>
    <w:p w14:paraId="015E1198" w14:textId="40234008" w:rsidR="001206B4" w:rsidRPr="00FD5803" w:rsidRDefault="001206B4" w:rsidP="009A1B99">
      <w:pPr>
        <w:spacing w:after="0" w:line="240" w:lineRule="auto"/>
        <w:ind w:firstLine="567"/>
        <w:jc w:val="both"/>
      </w:pPr>
      <w:r w:rsidRPr="00FD5803">
        <w:t>Dėl ginklų ir specialiosios amunicijos naudojimo Vyriausybė paaiškino, kad remiantis nacionaliniais teisės aktais, jie turi būti nešiojami užslėptu bū</w:t>
      </w:r>
      <w:r w:rsidR="00D17AAF" w:rsidRPr="00FD5803">
        <w:t>du, kiek tai įmanoma. Nagrinėt</w:t>
      </w:r>
      <w:r w:rsidRPr="00FD5803">
        <w:t xml:space="preserve">os bylos atveju nebuvo jokių duomenų, kad pareigūnai būtų turėję panaudoti ginklus ar kad jie būtų ginklus nešioję kitokiu, nei aptarta, būdu. </w:t>
      </w:r>
    </w:p>
    <w:p w14:paraId="10D596B0" w14:textId="2507C36F" w:rsidR="001206B4" w:rsidRPr="00FD5803" w:rsidRDefault="001206B4" w:rsidP="009A1B99">
      <w:pPr>
        <w:spacing w:after="0" w:line="240" w:lineRule="auto"/>
        <w:ind w:firstLine="567"/>
        <w:jc w:val="both"/>
      </w:pPr>
      <w:r w:rsidRPr="00FD5803">
        <w:t>Dėl gydytojo</w:t>
      </w:r>
      <w:r w:rsidR="00D17AAF" w:rsidRPr="00FD5803">
        <w:t xml:space="preserve"> ir </w:t>
      </w:r>
      <w:r w:rsidRPr="00FD5803">
        <w:t xml:space="preserve">paciento konfidencialumo Vyriausybė atkreipė dėmesį, kad remiantis nacionaliniais teisės aktais, konvojaus pareigūnai privalėjo vykdyti priežiūrą ir išlaikyti vizualinį kontaktą su kaliniu ne tik gabendami, bet ir apžiūros metu. Turint omenyje pareiškėjo rizikos profilį, tokia intensyvi priežiūra buvo būtina tiek dėl pabėgimo, tiek dėl grėsmės medicinos personalui rizikos. Kita vertus, Vyriausybė pabrėžė, kad pareigūnai apžiūros metu buvo už pertvaros, apžiūros kabinetai buvo pakankamai dideli (40 ir 33,5 kv. m.), be to, žodžiu pareiškėjui nebuvo atskleista jokia informacija, išskyrus rekomendacijos, kaip elgtis kolonoskopijos metu, o visa kita buvo išsiųsta raštu tiesiogiai kalėjimo medicinos skyriui. Be to, net jei pareigūnai būtų nugirdę asmeninės informacijos, jiems galiojo pareiga išlaikyti konfidencialumą. </w:t>
      </w:r>
    </w:p>
    <w:p w14:paraId="6D02A6B1" w14:textId="77777777" w:rsidR="001206B4" w:rsidRPr="00FD5803" w:rsidRDefault="001206B4" w:rsidP="009A1B99">
      <w:pPr>
        <w:spacing w:after="0" w:line="240" w:lineRule="auto"/>
        <w:ind w:firstLine="567"/>
        <w:jc w:val="both"/>
      </w:pPr>
    </w:p>
    <w:p w14:paraId="19C1C7F5" w14:textId="77777777" w:rsidR="001206B4" w:rsidRPr="00FD5803" w:rsidRDefault="001206B4" w:rsidP="009A1B99">
      <w:pPr>
        <w:spacing w:after="0" w:line="240" w:lineRule="auto"/>
        <w:ind w:firstLine="567"/>
        <w:jc w:val="both"/>
        <w:rPr>
          <w:i/>
        </w:rPr>
      </w:pPr>
      <w:r w:rsidRPr="00FD5803">
        <w:rPr>
          <w:i/>
        </w:rPr>
        <w:t xml:space="preserve">2. Teismo vertinimas </w:t>
      </w:r>
    </w:p>
    <w:p w14:paraId="3A20B03C" w14:textId="77777777" w:rsidR="001206B4" w:rsidRPr="00FD5803" w:rsidRDefault="001206B4" w:rsidP="009A1B99">
      <w:pPr>
        <w:spacing w:after="0" w:line="240" w:lineRule="auto"/>
        <w:ind w:firstLine="567"/>
        <w:jc w:val="both"/>
        <w:rPr>
          <w:i/>
        </w:rPr>
      </w:pPr>
    </w:p>
    <w:p w14:paraId="1315CA69" w14:textId="77777777" w:rsidR="001206B4" w:rsidRPr="00FD5803" w:rsidRDefault="001206B4" w:rsidP="009A1B99">
      <w:pPr>
        <w:spacing w:after="0" w:line="240" w:lineRule="auto"/>
        <w:ind w:firstLine="567"/>
        <w:jc w:val="both"/>
        <w:rPr>
          <w:i/>
        </w:rPr>
      </w:pPr>
      <w:r w:rsidRPr="00FD5803">
        <w:rPr>
          <w:i/>
        </w:rPr>
        <w:t>a) bendrieji principai</w:t>
      </w:r>
    </w:p>
    <w:p w14:paraId="4602E51A" w14:textId="77777777" w:rsidR="001206B4" w:rsidRPr="00FD5803" w:rsidRDefault="001206B4" w:rsidP="009A1B99">
      <w:pPr>
        <w:spacing w:after="0" w:line="240" w:lineRule="auto"/>
        <w:ind w:firstLine="567"/>
        <w:jc w:val="both"/>
      </w:pPr>
    </w:p>
    <w:p w14:paraId="781BF0CE" w14:textId="35E142C1" w:rsidR="001206B4" w:rsidRPr="00FD5803" w:rsidRDefault="001206B4" w:rsidP="009A1B99">
      <w:pPr>
        <w:spacing w:after="0" w:line="240" w:lineRule="auto"/>
        <w:ind w:firstLine="567"/>
        <w:jc w:val="both"/>
      </w:pPr>
      <w:r w:rsidRPr="00FD5803">
        <w:t>Teismas priminė, kad Konvencijos 3 straipsnis įtvirtina pagrindines demokratinės visuomenės vertybes. Konvencija absoliučiai draudžia kankinimą ar nežmonišką elgesį. Tam</w:t>
      </w:r>
      <w:r w:rsidR="00D17AAF" w:rsidRPr="00FD5803">
        <w:t>,</w:t>
      </w:r>
      <w:r w:rsidRPr="00FD5803">
        <w:t xml:space="preserve"> kad patektų į Konvencijos 3 straipsnio taikymo sritį, netinkamas elgesys turi pasiekti minimalų žiaurumo lygį. Surakinimas antrankiais paprastai nesukelia Konvencijos 3 straipsnio pažeidimo, kai ši priemonė taikoma dėl teisėto suėmimo ir nereiškia jėgos ar visuomenės poveikio, viršijančio protingumo ribas. </w:t>
      </w:r>
    </w:p>
    <w:p w14:paraId="62F21149" w14:textId="77777777" w:rsidR="001206B4" w:rsidRPr="00FD5803" w:rsidRDefault="001206B4" w:rsidP="009A1B99">
      <w:pPr>
        <w:spacing w:after="0" w:line="240" w:lineRule="auto"/>
        <w:ind w:firstLine="567"/>
        <w:jc w:val="both"/>
      </w:pPr>
      <w:r w:rsidRPr="00FD5803">
        <w:t xml:space="preserve">Remiantis Teismo praktika, sąvoka „privatus gyvenimas“ yra plati ir nereikalauja detalaus apibrėžimo. Priklausomai nuo aplinkybių, ji gali reikšti ir moralinį bei fizinį asmens neliečiamumą. Tačiau, tai nepaneigia galimybės, kad gali būti aplinkybių, kuriomis 8 straipsnis gali būti laikomas suteikiančiu apsaugą nuo sąlygų, kuriomis sulaikymas nepasiekia žiaurumo lygio 3 straipsnio prasme. Be to, asmens duomenų, ne tik medicininių, apsauga yra itin reikšminga asmeniui naudojantis savo teise į asmeninį ir šeimos gyvenimą, remiantis Konvencijos 8 straipsniu. </w:t>
      </w:r>
    </w:p>
    <w:p w14:paraId="7B8E007F" w14:textId="77777777" w:rsidR="001206B4" w:rsidRPr="00FD5803" w:rsidRDefault="001206B4" w:rsidP="009A1B99">
      <w:pPr>
        <w:spacing w:after="0" w:line="240" w:lineRule="auto"/>
        <w:ind w:firstLine="567"/>
        <w:jc w:val="both"/>
      </w:pPr>
    </w:p>
    <w:p w14:paraId="11B60652" w14:textId="77777777" w:rsidR="001206B4" w:rsidRPr="00FD5803" w:rsidRDefault="001206B4" w:rsidP="009A1B99">
      <w:pPr>
        <w:spacing w:after="0" w:line="240" w:lineRule="auto"/>
        <w:ind w:firstLine="567"/>
        <w:jc w:val="both"/>
        <w:rPr>
          <w:i/>
        </w:rPr>
      </w:pPr>
      <w:r w:rsidRPr="00FD5803">
        <w:rPr>
          <w:i/>
        </w:rPr>
        <w:t xml:space="preserve">b) nurodytų principų taikymas šioje byloje </w:t>
      </w:r>
    </w:p>
    <w:p w14:paraId="0F1D26C6" w14:textId="77777777" w:rsidR="001206B4" w:rsidRPr="00FD5803" w:rsidRDefault="001206B4" w:rsidP="009A1B99">
      <w:pPr>
        <w:spacing w:after="0" w:line="240" w:lineRule="auto"/>
        <w:ind w:firstLine="567"/>
        <w:jc w:val="both"/>
      </w:pPr>
    </w:p>
    <w:p w14:paraId="6C652922" w14:textId="063E44CD" w:rsidR="001206B4" w:rsidRPr="00FD5803" w:rsidRDefault="001206B4" w:rsidP="009A1B99">
      <w:pPr>
        <w:spacing w:after="0" w:line="240" w:lineRule="auto"/>
        <w:ind w:firstLine="567"/>
        <w:jc w:val="both"/>
      </w:pPr>
      <w:r w:rsidRPr="00FD5803">
        <w:t xml:space="preserve">Teismas atkreipė dėmesį, kad situacijose, susijusiose su kalinių gydymu, valdžios institucijos, viena vertus, yra įpareigotos kalintiems asmenims teikti medicininę pagalbą, kad būtų apsaugota jų sveikata ir gerovė. Kita vertus, valstybės, remiantis Konvencijos 1 straipsniu, privalo saugoti kiekvieno asmens, esančio jos jurisdikcijos ribose, teises ir laisves, įtvirtintas Konvencijoje, ir kad tai, vertinant kartu su 3 straipsniu, reikalauja, jog valstybės imtųsi priemonių, užtikrinančių, kad jų jurisdikcijai priklausantys asmenys nebūtų kankinami, su jais nebūtų nežmoniškai ar žeminančiai elgiamasi, įskaitant, kai taip netinkamai elgiasi ir privatūs (fiziniai) asmenys. Teismas sutiko, kad gali būti atvejų, kai kalinys turi būti nugabentas į gydymo įstaigą už kalėjimo ribų, kad jam būtų suteiktas toks gydymas, kurio negali užtikrinti pats kalėjimas. Tačiau </w:t>
      </w:r>
      <w:r w:rsidRPr="00FD5803">
        <w:lastRenderedPageBreak/>
        <w:t xml:space="preserve">tokie atvejai gali neišvengiamai sukelti riziką, kad kalinys pabėgs arba sukels pavojų sau ar kitiems asmenims (pvz., medicinos personalui ar kitiems pacientams). Teismas taip pat atkreipė dėmesį, kad negalima tikėtis, jog gydymo įstaigos personalas, dirbantis įprastinėse ligoninėse, būtų taip pat parengtas ir apmokytas kaip kalėjimo pareigūnai ir galėtų susitvarkyti su galimomis grėsmėmis, kurias kelia kalinių nenuspėjamas ar smurtinis elgesys. Šiuo aspektu Teismas pabrėžė, jog Konvencijoje įtvirtintos teisės ir laisvės turi būti saugomos. Valdžios institucijos turi būti ypatingai budrios, kai jos iš anksto žino apie galimą pavojų, kurį gali sukelti kalinys. </w:t>
      </w:r>
    </w:p>
    <w:p w14:paraId="7FE7E7D2" w14:textId="0466DC2E" w:rsidR="001206B4" w:rsidRPr="00FD5803" w:rsidRDefault="001206B4" w:rsidP="009A1B99">
      <w:pPr>
        <w:spacing w:after="0" w:line="240" w:lineRule="auto"/>
        <w:ind w:firstLine="567"/>
        <w:jc w:val="both"/>
      </w:pPr>
      <w:r w:rsidRPr="00FD5803">
        <w:t>Nagrinėtoje byloje kalėjimo rūbų, antrankių ir kojų antrankių naudojimas pareiškėjo atžvilgiu apsilankymų gydymo įstaigose metu buvo grindžiamas nacionaliniais teisės aktais. Byloje nebuvo ginčo, kad tokiomis priemonėmis buvo siekiama teisėto tikslo (apsaugoti nuo pabėgimo ar kitų asmenų sužalojimo ar grėsmės sukėlimo). Ko</w:t>
      </w:r>
      <w:r w:rsidR="00D17AAF" w:rsidRPr="00FD5803">
        <w:t>nvencijos 8 straipsnio požiūriu</w:t>
      </w:r>
      <w:r w:rsidRPr="00FD5803">
        <w:t xml:space="preserve"> gali būti laikoma, kad šiomis priemonėmis buvo siekiama užtikrinti visuomenės saugumą ir ginti kitų asmenų teises ir laisves. </w:t>
      </w:r>
    </w:p>
    <w:p w14:paraId="7EB567D5" w14:textId="03754E8F" w:rsidR="001206B4" w:rsidRPr="00FD5803" w:rsidRDefault="001206B4" w:rsidP="009A1B99">
      <w:pPr>
        <w:spacing w:after="0" w:line="240" w:lineRule="auto"/>
        <w:ind w:firstLine="567"/>
        <w:jc w:val="both"/>
      </w:pPr>
      <w:r w:rsidRPr="00FD5803">
        <w:t>Teismas pabrėžė, kad planuojant pareiškėjo apsilankymus gydymo įstaigose ir nusprendžiant dėl taikytinų apsaugos priemonių, buvo įvertinta jo kriminalinė praeitis, asmenybė, grėsmės. Teismo vertinimu, kalėjimo administracija nusprendė taikyti minėtas saugumo priemones, išsamiai išnagrinėjusi svarbias aplinkybes</w:t>
      </w:r>
      <w:r w:rsidR="00D17AAF" w:rsidRPr="00FD5803">
        <w:t>,</w:t>
      </w:r>
      <w:r w:rsidRPr="00FD5803">
        <w:t xml:space="preserve"> ir priėmė pagrįstus sprendimus. Pareiškėjas neginčijo atitinkamos rizikos vertinimo, tačiau manė, jog atsižvelgiant į tai, kad jis nėra mėginęs pabėgti, galėjo būti taikomos mažiau griežtos saugumo priemonės. Tačiau saugumo priemonių naudojimo tikslas buvo ne tik išvengti pareiškėjo pabėgimo, bet ir išvengti galimos grėsmės kitiems asmenims bei pačiam pareiškėjui. Teismo vertinimu, parinktos priemonės buvo tiesiogiai susij</w:t>
      </w:r>
      <w:r w:rsidR="00D17AAF" w:rsidRPr="00FD5803">
        <w:t>usios</w:t>
      </w:r>
      <w:r w:rsidRPr="00FD5803">
        <w:t xml:space="preserve"> su pareiškėjo elgesiu ir neviršijo to, kas </w:t>
      </w:r>
      <w:r w:rsidR="00D17AAF" w:rsidRPr="00FD5803">
        <w:t>buvo būtina</w:t>
      </w:r>
      <w:r w:rsidRPr="00FD5803">
        <w:t>. Dar daugiau, Teismas</w:t>
      </w:r>
      <w:r w:rsidR="007E77CF" w:rsidRPr="00FD5803">
        <w:t xml:space="preserve"> pažymėjo, kad nagrinėto</w:t>
      </w:r>
      <w:r w:rsidRPr="00FD5803">
        <w:t>je byloje nenustatyta su sveikata susijusių aplinkybių, leidžiančių abejoti dėl suvaržymo priemonių panaudojimo. Vien tai, kad po antrankių ir kojų antrankių naudojimo liko spaudimo žymių, nubrozdinimų, paraudimų ant pareiškėjo odos, neleidžia daryti išvados, kad buvo panaudota per didelė prievarta. Teismo taip pat neįtikino pareiškėjo teiginiai, kad jo vizitai į gydymo įstaigas tokiomis sąlygomis neigiamai paveikė jo psichinę būklę ir paskatino jį žaloti save.</w:t>
      </w:r>
    </w:p>
    <w:p w14:paraId="105D6306" w14:textId="77D36073" w:rsidR="001206B4" w:rsidRPr="00FD5803" w:rsidRDefault="001206B4" w:rsidP="009A1B99">
      <w:pPr>
        <w:spacing w:after="0" w:line="240" w:lineRule="auto"/>
        <w:ind w:firstLine="567"/>
        <w:jc w:val="both"/>
      </w:pPr>
      <w:r w:rsidRPr="00FD5803">
        <w:t>Dėl kalėjimo pareigūnų dalyvavimo apsilankymų ligoninėse metu Teismas pažymėjo, kad kaliniai turi (teisės į privatų gyvenimą prasme) teisę į medicininį konfidencialumą, į kurį neturėtų būti kėsinamasi, nebent tai yra būtina esant konkrečioms bylos aplinkybėms. Nagrinė</w:t>
      </w:r>
      <w:r w:rsidR="007E77CF" w:rsidRPr="00FD5803">
        <w:t>t</w:t>
      </w:r>
      <w:r w:rsidRPr="00FD5803">
        <w:t xml:space="preserve">os bylos atveju Teismas vertino, kad kišimasis į pareiškėjo privatų gyvenimą gali būti laikomas pateisinamu dėl anksčiau aptartų aplinkybių. </w:t>
      </w:r>
    </w:p>
    <w:p w14:paraId="69AC8E68" w14:textId="342824F8" w:rsidR="001206B4" w:rsidRPr="00FD5803" w:rsidRDefault="001206B4" w:rsidP="009A1B99">
      <w:pPr>
        <w:spacing w:after="0" w:line="240" w:lineRule="auto"/>
        <w:ind w:firstLine="567"/>
        <w:jc w:val="both"/>
      </w:pPr>
      <w:r w:rsidRPr="00FD5803">
        <w:t>Pareiškėjo teiginius dėl pareigūnų ginklų demonstravimo, kalėjimo rūbų vilkėjimo ar tyčinio pareiškėjo atskleidimo visuomenei</w:t>
      </w:r>
      <w:r w:rsidR="007E77CF" w:rsidRPr="00FD5803">
        <w:t xml:space="preserve"> Teismas</w:t>
      </w:r>
      <w:r w:rsidRPr="00FD5803">
        <w:t xml:space="preserve"> atmetė, kadangi nebuvo</w:t>
      </w:r>
      <w:r w:rsidR="007E77CF" w:rsidRPr="00FD5803">
        <w:t xml:space="preserve"> pažeidimą</w:t>
      </w:r>
      <w:r w:rsidRPr="00FD5803">
        <w:t xml:space="preserve"> pagrindžiančių įrodymų. </w:t>
      </w:r>
    </w:p>
    <w:p w14:paraId="1BE01296" w14:textId="2E86EEBE" w:rsidR="001206B4" w:rsidRPr="00FD5803" w:rsidRDefault="001206B4" w:rsidP="009A1B99">
      <w:pPr>
        <w:spacing w:after="0" w:line="240" w:lineRule="auto"/>
        <w:ind w:firstLine="567"/>
        <w:jc w:val="both"/>
      </w:pPr>
      <w:r w:rsidRPr="00FD5803">
        <w:t>Apibendrindamas Teismas konstatavo, kad minėtų priemonių taikymas nereiškia prievartos naudojimo ar pareiškėjo viešinimo, viršijančio t</w:t>
      </w:r>
      <w:r w:rsidR="007E77CF" w:rsidRPr="00FD5803">
        <w:t>o</w:t>
      </w:r>
      <w:r w:rsidRPr="00FD5803">
        <w:t>, kas protingai galėtų būti laikoma būtin</w:t>
      </w:r>
      <w:r w:rsidR="007E77CF" w:rsidRPr="00FD5803">
        <w:t>u,</w:t>
      </w:r>
      <w:r w:rsidRPr="00FD5803">
        <w:t xml:space="preserve"> ir dėl to nereiškia 3 straipsnio pažeidimo. Teismas taip pat sprendė, kad tokios priemonės buvo būtinos visuomenės saugumui užtikrinti ir apsaugoti kitų </w:t>
      </w:r>
      <w:r w:rsidR="007E77CF" w:rsidRPr="00FD5803">
        <w:t>asmenų teises ir laisves. Taigi</w:t>
      </w:r>
      <w:r w:rsidRPr="00FD5803">
        <w:t xml:space="preserve"> nekonstatuotas ir Konvencijos 8 straipsnio pažeidimas. </w:t>
      </w:r>
    </w:p>
    <w:p w14:paraId="7E35C00F" w14:textId="77777777" w:rsidR="001206B4" w:rsidRPr="00FD5803" w:rsidRDefault="001206B4" w:rsidP="009A1B99">
      <w:pPr>
        <w:spacing w:after="0" w:line="240" w:lineRule="auto"/>
        <w:ind w:firstLine="567"/>
        <w:jc w:val="both"/>
      </w:pPr>
    </w:p>
    <w:p w14:paraId="6F15E8CC" w14:textId="77777777" w:rsidR="001206B4" w:rsidRPr="00FD5803" w:rsidRDefault="001206B4" w:rsidP="009A1B99">
      <w:pPr>
        <w:spacing w:after="0" w:line="240" w:lineRule="auto"/>
        <w:ind w:firstLine="567"/>
        <w:jc w:val="both"/>
      </w:pPr>
      <w:r w:rsidRPr="00FD5803">
        <w:rPr>
          <w:i/>
        </w:rPr>
        <w:t xml:space="preserve">II. Dėl Konvencijos 6 ir 8 straipsnių pažeidimo, susijusio su kai kuriais pareiškėjo dukros lankymo aspektais </w:t>
      </w:r>
    </w:p>
    <w:p w14:paraId="3690C2EF" w14:textId="77777777" w:rsidR="001206B4" w:rsidRPr="00FD5803" w:rsidRDefault="001206B4" w:rsidP="009A1B99">
      <w:pPr>
        <w:spacing w:after="0" w:line="240" w:lineRule="auto"/>
        <w:ind w:firstLine="567"/>
        <w:jc w:val="both"/>
      </w:pPr>
    </w:p>
    <w:p w14:paraId="6A932928" w14:textId="77777777" w:rsidR="001206B4" w:rsidRPr="00FD5803" w:rsidRDefault="001206B4" w:rsidP="009A1B99">
      <w:pPr>
        <w:spacing w:after="0" w:line="240" w:lineRule="auto"/>
        <w:ind w:firstLine="567"/>
        <w:jc w:val="both"/>
        <w:rPr>
          <w:i/>
        </w:rPr>
      </w:pPr>
      <w:r w:rsidRPr="00FD5803">
        <w:rPr>
          <w:i/>
        </w:rPr>
        <w:t xml:space="preserve">Šalių argumentai </w:t>
      </w:r>
    </w:p>
    <w:p w14:paraId="2A9ED7AC" w14:textId="77777777" w:rsidR="001206B4" w:rsidRPr="00FD5803" w:rsidRDefault="001206B4" w:rsidP="009A1B99">
      <w:pPr>
        <w:spacing w:after="0" w:line="240" w:lineRule="auto"/>
        <w:ind w:firstLine="567"/>
        <w:jc w:val="both"/>
      </w:pPr>
    </w:p>
    <w:p w14:paraId="2AC4A9CB" w14:textId="5DF440B2" w:rsidR="001206B4" w:rsidRPr="00FD5803" w:rsidRDefault="001206B4" w:rsidP="009A1B99">
      <w:pPr>
        <w:spacing w:after="0" w:line="240" w:lineRule="auto"/>
        <w:ind w:firstLine="567"/>
        <w:jc w:val="both"/>
      </w:pPr>
      <w:r w:rsidRPr="00FD5803">
        <w:t>Pareiškėjas skundėsi, kad jo apsilankymo pas sunkiai sergančią dukterį aplinkybės (laikas, trukmė, negalėjimas jos paliesti) pažeidė jo teises, numatytas Konvencijos 8 straipsnyje ir, remdamasis Konvencijos 6</w:t>
      </w:r>
      <w:r w:rsidR="003C740A" w:rsidRPr="00FD5803">
        <w:t> </w:t>
      </w:r>
      <w:r w:rsidRPr="00FD5803">
        <w:t xml:space="preserve">straipsnio 1 </w:t>
      </w:r>
      <w:r w:rsidR="003C740A" w:rsidRPr="00FD5803">
        <w:t>dalimi</w:t>
      </w:r>
      <w:r w:rsidRPr="00FD5803">
        <w:t xml:space="preserve">, papildė, kad į šį klausimą nacionaliniai teismai neatkreipė dėmesio. </w:t>
      </w:r>
    </w:p>
    <w:p w14:paraId="55B28F16" w14:textId="3F95BA6B" w:rsidR="001206B4" w:rsidRPr="00FD5803" w:rsidRDefault="001206B4" w:rsidP="009A1B99">
      <w:pPr>
        <w:spacing w:after="0" w:line="240" w:lineRule="auto"/>
        <w:ind w:firstLine="567"/>
        <w:jc w:val="both"/>
      </w:pPr>
      <w:r w:rsidRPr="00FD5803">
        <w:t>Vyriausybė ginčijo pareiškėjo išdėstytus faktus, nurodydama, kad vizito laikas buvo suderintas, jokios procedūros dukrai nebuvo atliekamos, be to, pats pareiškėjas paprašė išvykti iš ligoninės. Tačiau Vyriausybė taip pat paaiškino, kad jei procedūros kitiems ligoniams būtų atliekamos ir pareiškėjo būtų paprašyta išeiti iš patalpų, tai aiškiai reikštų pirmenybę prieš pareiškėjo lankymo teises. Be to, neįtik</w:t>
      </w:r>
      <w:r w:rsidR="003C740A" w:rsidRPr="00FD5803">
        <w:t>ėtin</w:t>
      </w:r>
      <w:r w:rsidRPr="00FD5803">
        <w:t>a, kad pareiškėjui būtų buvę leista liesti dukterį</w:t>
      </w:r>
      <w:r w:rsidR="003C740A" w:rsidRPr="00FD5803">
        <w:t xml:space="preserve"> (dėl jos sveikatos būklės – buvo po operacijos)</w:t>
      </w:r>
      <w:r w:rsidRPr="00FD5803">
        <w:t xml:space="preserve">. Todėl šiais aspektais nebuvo pažeistos Konvencijos 8 straipsnio nuostatos. Vyriausybė sutiko, kad nacionaliniai teismai nenurodė priežasčių, kodėl jie nusprendė, kad kalėjimo pareigūnų veiksmai pareiškėjo apsilankymo pas dukterį metu buvo teisėti. Tačiau, Vyriausybės manymu, svarbu tai, kad kalėjimas (tiek atmesdamas pareiškėjo skundą, tiek savo atsiliepimuose teismams) detaliai paaiškino, kodėl jis nusprendė, kad pareiškėjo teiginiai yra neteisingi. Vyriausybė manė, </w:t>
      </w:r>
      <w:r w:rsidRPr="00FD5803">
        <w:lastRenderedPageBreak/>
        <w:t xml:space="preserve">jog nacionaliniai teismai atsakė į pareiškėjo esminius reikalavimus, susijusius su antrankių ir kojų antrankių panaudojimu bei gydytojo – paciento konfidencialumu. </w:t>
      </w:r>
    </w:p>
    <w:p w14:paraId="3E281DA1" w14:textId="77777777" w:rsidR="001206B4" w:rsidRPr="00FD5803" w:rsidRDefault="001206B4" w:rsidP="009A1B99">
      <w:pPr>
        <w:spacing w:after="0" w:line="240" w:lineRule="auto"/>
        <w:ind w:firstLine="567"/>
        <w:jc w:val="both"/>
      </w:pPr>
    </w:p>
    <w:p w14:paraId="24056CC7" w14:textId="77777777" w:rsidR="001206B4" w:rsidRPr="00FD5803" w:rsidRDefault="001206B4" w:rsidP="009A1B99">
      <w:pPr>
        <w:spacing w:after="0" w:line="240" w:lineRule="auto"/>
        <w:ind w:firstLine="567"/>
        <w:jc w:val="both"/>
        <w:rPr>
          <w:i/>
        </w:rPr>
      </w:pPr>
      <w:r w:rsidRPr="00FD5803">
        <w:rPr>
          <w:i/>
        </w:rPr>
        <w:t xml:space="preserve">Teismo vertinimas </w:t>
      </w:r>
    </w:p>
    <w:p w14:paraId="7F2AC61C" w14:textId="77777777" w:rsidR="001206B4" w:rsidRPr="00FD5803" w:rsidRDefault="001206B4" w:rsidP="009A1B99">
      <w:pPr>
        <w:spacing w:after="0" w:line="240" w:lineRule="auto"/>
        <w:ind w:firstLine="567"/>
        <w:jc w:val="both"/>
      </w:pPr>
    </w:p>
    <w:p w14:paraId="26FF2CBD" w14:textId="77777777" w:rsidR="001206B4" w:rsidRPr="00FD5803" w:rsidRDefault="001206B4" w:rsidP="009A1B99">
      <w:pPr>
        <w:spacing w:after="0" w:line="240" w:lineRule="auto"/>
        <w:ind w:firstLine="567"/>
        <w:jc w:val="both"/>
      </w:pPr>
      <w:r w:rsidRPr="00FD5803">
        <w:t xml:space="preserve">Nepaisant to, kad pareiškėjas aiškiai išreiškė skundą dėl dukros lankymo ligoninėje aplinkybių nacionaliniams teismams, o Administracinis ir Apeliacinis teismai taip pat nurodė šiuos reikalavimus savo sprendimų „faktų ir procedūrų“ dalyje, nei vienas teismas neišnagrinėjo šio klausimo iš esmės. Vyriausybė tą taip pat pripažino. </w:t>
      </w:r>
    </w:p>
    <w:p w14:paraId="26641F36" w14:textId="77777777" w:rsidR="001206B4" w:rsidRPr="00FD5803" w:rsidRDefault="001206B4" w:rsidP="009A1B99">
      <w:pPr>
        <w:spacing w:after="0" w:line="240" w:lineRule="auto"/>
        <w:ind w:firstLine="567"/>
        <w:jc w:val="both"/>
      </w:pPr>
      <w:r w:rsidRPr="00FD5803">
        <w:t xml:space="preserve">Teismo vertinimu, pareiškėjo išdėstytų aplinkybių pagrindu negali būti sprendžiama, kad pareiškėjui galėjo būti trukdoma naudotis jo teisėmis, įtvirtintomis Konvencijos 8 straipsnyje. Šiuo aspektu, nepaisant to, kad Vyriausybė pateikė įrodymų, pagrindžiančių jos teiginius, negalima ignoruoti, kad ligoninės atstovas negalėjo patvirtinti konkretaus 2012 m. sausio 31 d. vizito ypatumų. Be to, remtis nepatvirtintais konvojaus vadovo paaiškinimais galima tik laikantis atsargumo priemonių. Šiuo aspektu pareiškėjas nepateikė jokių savo teiginius pagrindžiančių įrodymų. </w:t>
      </w:r>
    </w:p>
    <w:p w14:paraId="6A0E1835" w14:textId="77777777" w:rsidR="001206B4" w:rsidRPr="00FD5803" w:rsidRDefault="001206B4" w:rsidP="009A1B99">
      <w:pPr>
        <w:spacing w:after="0" w:line="240" w:lineRule="auto"/>
        <w:ind w:firstLine="567"/>
        <w:jc w:val="both"/>
      </w:pPr>
      <w:r w:rsidRPr="00FD5803">
        <w:t xml:space="preserve">Tokiomis aplinkybėmis Teismas manė, jog negali iš esmės vertinti šio skundo pagrįstumo. Tačiau jis negali nepastebėti nacionalinių teismų pareigos tai padaryti. Teismo vertinimu, atsižvelgiant į pozityvias pareigas, kylančias iš Konvencijos 8 straipsnio, tai buvo nacionalinių teismų pareiga – ne tik tinkamai įvertinti privataus ir šeimos gyvenimo aspektus, susijusius su pareiškėjo skundu, bet taip pat ir išsiaiškinti reikšmingus faktus, reikalingus priimti sprendimui ir pateikti argumentus, skundą atmetant. Atsižvelgdamas į tai, kad pareiškėjo skundas buvo atmestas, nenurodant tokio sprendimo motyvų, Teismas padarė išvadą, kad nacionaliniai teismai, nagrinėdami pareiškėjo skundą, neįgyvendino pozityvių valstybės pareigų. Todėl Teismas pripažino, kad buvo pažeistas Konvencijos 8 straipsnis. </w:t>
      </w:r>
    </w:p>
    <w:p w14:paraId="39C38EEF" w14:textId="77777777" w:rsidR="001206B4" w:rsidRPr="00FD5803" w:rsidRDefault="001206B4" w:rsidP="009A1B99">
      <w:pPr>
        <w:spacing w:after="0" w:line="240" w:lineRule="auto"/>
        <w:ind w:firstLine="567"/>
        <w:jc w:val="both"/>
      </w:pPr>
    </w:p>
    <w:p w14:paraId="1E4F2CF6" w14:textId="7964E59E" w:rsidR="001206B4" w:rsidRPr="00FD5803" w:rsidRDefault="001206B4" w:rsidP="009A1B99">
      <w:pPr>
        <w:spacing w:after="0" w:line="240" w:lineRule="auto"/>
        <w:ind w:firstLine="567"/>
        <w:jc w:val="both"/>
      </w:pPr>
      <w:r w:rsidRPr="00FD5803">
        <w:t xml:space="preserve">Išvada: </w:t>
      </w:r>
      <w:r w:rsidR="003C740A" w:rsidRPr="00FD5803">
        <w:t xml:space="preserve">nustatytas Konvencijos 8 straipsnio </w:t>
      </w:r>
      <w:r w:rsidRPr="00FD5803">
        <w:t xml:space="preserve">pažeidimas (vienbalsiai) </w:t>
      </w:r>
    </w:p>
    <w:p w14:paraId="5E7C8D71" w14:textId="2A8A966B" w:rsidR="001206B4" w:rsidRPr="00FD5803" w:rsidRDefault="001206B4" w:rsidP="009A1B99">
      <w:pPr>
        <w:spacing w:after="0" w:line="240" w:lineRule="auto"/>
        <w:ind w:firstLine="567"/>
        <w:jc w:val="both"/>
      </w:pPr>
      <w:r w:rsidRPr="00FD5803">
        <w:t>41</w:t>
      </w:r>
      <w:r w:rsidR="00CD08DA">
        <w:t xml:space="preserve"> straipsnis: priteistas 1 500 Eur</w:t>
      </w:r>
      <w:r w:rsidRPr="00FD5803">
        <w:t xml:space="preserve"> neturtinės žalos atlyginimas. </w:t>
      </w:r>
    </w:p>
    <w:p w14:paraId="6B4B0B1B" w14:textId="77777777" w:rsidR="001206B4" w:rsidRPr="00FD5803" w:rsidRDefault="007F5353" w:rsidP="009A1B99">
      <w:pPr>
        <w:spacing w:after="0" w:line="240" w:lineRule="auto"/>
        <w:ind w:firstLine="567"/>
        <w:jc w:val="both"/>
        <w:rPr>
          <w:highlight w:val="yellow"/>
        </w:rPr>
      </w:pPr>
      <w:hyperlink r:id="rId24" w:history="1">
        <w:r w:rsidR="001206B4" w:rsidRPr="00FD5803">
          <w:rPr>
            <w:rStyle w:val="Hipersaitas"/>
          </w:rPr>
          <w:t>Prieiga internete</w:t>
        </w:r>
      </w:hyperlink>
      <w:r w:rsidR="001206B4" w:rsidRPr="00FD5803">
        <w:t xml:space="preserve"> </w:t>
      </w:r>
    </w:p>
    <w:p w14:paraId="6CAEC6C3" w14:textId="77777777" w:rsidR="001206B4" w:rsidRPr="00FD5803" w:rsidRDefault="001206B4" w:rsidP="009A1B99">
      <w:pPr>
        <w:pStyle w:val="Default"/>
        <w:tabs>
          <w:tab w:val="left" w:pos="709"/>
        </w:tabs>
        <w:ind w:firstLine="567"/>
        <w:jc w:val="both"/>
        <w:rPr>
          <w:rFonts w:asciiTheme="minorHAnsi" w:hAnsiTheme="minorHAnsi"/>
          <w:sz w:val="22"/>
          <w:szCs w:val="22"/>
        </w:rPr>
      </w:pPr>
    </w:p>
    <w:p w14:paraId="400B76C0" w14:textId="77777777" w:rsidR="00E471B1" w:rsidRPr="00FD5803" w:rsidRDefault="00E471B1" w:rsidP="009A1B99">
      <w:pPr>
        <w:spacing w:after="0" w:line="240" w:lineRule="auto"/>
        <w:jc w:val="center"/>
        <w:rPr>
          <w:rFonts w:cs="Calibri"/>
          <w:b/>
        </w:rPr>
      </w:pPr>
      <w:r w:rsidRPr="00FD5803">
        <w:rPr>
          <w:rFonts w:cs="Calibri"/>
          <w:b/>
        </w:rPr>
        <w:t>Europos Žmogaus Teisių Teismo 2018 m. gruodžio 4 d. sprendimas byloje</w:t>
      </w:r>
    </w:p>
    <w:p w14:paraId="12D788D5" w14:textId="77777777" w:rsidR="00E471B1" w:rsidRPr="00FD5803" w:rsidRDefault="00E471B1" w:rsidP="009A1B99">
      <w:pPr>
        <w:pStyle w:val="Antrat2"/>
        <w:jc w:val="center"/>
        <w:rPr>
          <w:rFonts w:eastAsia="Calibri"/>
          <w:i/>
        </w:rPr>
      </w:pPr>
      <w:bookmarkStart w:id="34" w:name="_Toc1657801"/>
      <w:r w:rsidRPr="00FD5803">
        <w:rPr>
          <w:rFonts w:eastAsia="Calibri"/>
          <w:i/>
        </w:rPr>
        <w:t>Magyar Jeti Zrt prieš Vengriją</w:t>
      </w:r>
      <w:bookmarkEnd w:id="34"/>
    </w:p>
    <w:p w14:paraId="71A90820" w14:textId="71AA9957" w:rsidR="00E471B1" w:rsidRPr="00FD5803" w:rsidRDefault="00E471B1" w:rsidP="009A1B99">
      <w:pPr>
        <w:spacing w:after="0" w:line="240" w:lineRule="auto"/>
        <w:jc w:val="center"/>
        <w:rPr>
          <w:rFonts w:cs="Calibri"/>
          <w:b/>
        </w:rPr>
      </w:pPr>
      <w:r w:rsidRPr="00FD5803">
        <w:rPr>
          <w:rFonts w:cs="Calibri"/>
          <w:b/>
        </w:rPr>
        <w:t xml:space="preserve">(pareiškimo Nr. </w:t>
      </w:r>
      <w:hyperlink r:id="rId25" w:anchor="{&quot;appno&quot;:[&quot;38450/12&quot;]}" w:tgtFrame="_blank" w:history="1">
        <w:r w:rsidRPr="00FD5803">
          <w:rPr>
            <w:rFonts w:cs="Calibri"/>
            <w:b/>
          </w:rPr>
          <w:t>1</w:t>
        </w:r>
      </w:hyperlink>
      <w:r w:rsidRPr="00FD5803">
        <w:rPr>
          <w:rFonts w:cs="Calibri"/>
          <w:b/>
        </w:rPr>
        <w:t xml:space="preserve">1257/16, svarbos lygis – </w:t>
      </w:r>
      <w:r w:rsidR="00FD5803" w:rsidRPr="00FD5803">
        <w:rPr>
          <w:rFonts w:cstheme="minorHAnsi"/>
          <w:b/>
        </w:rPr>
        <w:t>skelbta Rinkinyje</w:t>
      </w:r>
      <w:r w:rsidRPr="00FD5803">
        <w:rPr>
          <w:rFonts w:cs="Calibri"/>
          <w:b/>
        </w:rPr>
        <w:t>)</w:t>
      </w:r>
    </w:p>
    <w:p w14:paraId="7CA9AF07" w14:textId="77777777" w:rsidR="00E471B1" w:rsidRPr="00FD5803" w:rsidRDefault="00E471B1" w:rsidP="009A1B99">
      <w:pPr>
        <w:pStyle w:val="s6c429373"/>
        <w:shd w:val="clear" w:color="auto" w:fill="FFFFFF"/>
        <w:spacing w:before="0" w:beforeAutospacing="0" w:after="0" w:afterAutospacing="0"/>
        <w:ind w:firstLine="567"/>
        <w:jc w:val="both"/>
        <w:rPr>
          <w:rStyle w:val="sfbbfee58"/>
          <w:rFonts w:ascii="Calibri" w:hAnsi="Calibri" w:cs="Calibri"/>
          <w:i/>
          <w:color w:val="000000"/>
          <w:sz w:val="22"/>
          <w:szCs w:val="22"/>
        </w:rPr>
      </w:pPr>
    </w:p>
    <w:p w14:paraId="14ACA60B" w14:textId="77777777" w:rsidR="00E471B1" w:rsidRPr="00FD5803" w:rsidRDefault="00E471B1" w:rsidP="009A1B99">
      <w:pPr>
        <w:pStyle w:val="Antrat3"/>
        <w:spacing w:before="0" w:line="240" w:lineRule="auto"/>
        <w:ind w:firstLine="567"/>
        <w:jc w:val="both"/>
        <w:rPr>
          <w:rStyle w:val="sfbbfee58"/>
          <w:rFonts w:cs="Calibri"/>
          <w:szCs w:val="22"/>
        </w:rPr>
      </w:pPr>
      <w:bookmarkStart w:id="35" w:name="_Toc1657802"/>
      <w:r w:rsidRPr="00FD5803">
        <w:rPr>
          <w:rStyle w:val="sfbbfee58"/>
          <w:rFonts w:cs="Calibri"/>
          <w:szCs w:val="22"/>
        </w:rPr>
        <w:t>Dėl internetinio naujienų portalo atsakomybės už internetinės nuorodos, į kurią įeina šmeižikiškas turinys, paskelbimą</w:t>
      </w:r>
      <w:bookmarkEnd w:id="35"/>
    </w:p>
    <w:p w14:paraId="3E6AA945" w14:textId="77777777" w:rsidR="00E471B1" w:rsidRPr="00FD5803" w:rsidRDefault="00E471B1" w:rsidP="009A1B99">
      <w:pPr>
        <w:pStyle w:val="s6c429373"/>
        <w:shd w:val="clear" w:color="auto" w:fill="FFFFFF"/>
        <w:spacing w:before="0" w:beforeAutospacing="0" w:after="0" w:afterAutospacing="0"/>
        <w:ind w:firstLine="567"/>
        <w:jc w:val="both"/>
        <w:rPr>
          <w:rFonts w:ascii="Calibri" w:hAnsi="Calibri" w:cs="Calibri"/>
          <w:i/>
          <w:color w:val="000000"/>
          <w:sz w:val="22"/>
          <w:szCs w:val="22"/>
        </w:rPr>
      </w:pPr>
    </w:p>
    <w:p w14:paraId="1CEC9B87" w14:textId="77777777" w:rsidR="00E471B1" w:rsidRPr="00FD5803" w:rsidRDefault="00E471B1" w:rsidP="009A1B99">
      <w:pPr>
        <w:spacing w:after="0" w:line="240" w:lineRule="auto"/>
        <w:jc w:val="center"/>
        <w:rPr>
          <w:rFonts w:cs="Calibri"/>
          <w:b/>
        </w:rPr>
      </w:pPr>
      <w:r w:rsidRPr="00FD5803">
        <w:rPr>
          <w:rFonts w:cs="Calibri"/>
          <w:b/>
        </w:rPr>
        <w:t>Faktinės aplinkybės</w:t>
      </w:r>
    </w:p>
    <w:p w14:paraId="3C174D41" w14:textId="77777777" w:rsidR="00E471B1" w:rsidRPr="00FD5803" w:rsidRDefault="00E471B1" w:rsidP="009A1B99">
      <w:pPr>
        <w:spacing w:after="0" w:line="240" w:lineRule="auto"/>
        <w:ind w:firstLine="567"/>
        <w:rPr>
          <w:rFonts w:cs="Calibri"/>
        </w:rPr>
      </w:pPr>
    </w:p>
    <w:p w14:paraId="64FB8DD4" w14:textId="77777777" w:rsidR="00E471B1" w:rsidRPr="00FD5803" w:rsidRDefault="00E471B1" w:rsidP="009A1B99">
      <w:pPr>
        <w:spacing w:after="0" w:line="240" w:lineRule="auto"/>
        <w:ind w:firstLine="567"/>
        <w:jc w:val="both"/>
        <w:rPr>
          <w:rStyle w:val="s1a844bc0"/>
          <w:rFonts w:cs="Calibri"/>
          <w:iCs/>
          <w:color w:val="000000"/>
        </w:rPr>
      </w:pPr>
      <w:r w:rsidRPr="00FD5803">
        <w:rPr>
          <w:rStyle w:val="s1a844bc0"/>
          <w:rFonts w:eastAsia="Times New Roman" w:cs="Calibri"/>
          <w:iCs/>
          <w:color w:val="000000"/>
          <w:lang w:eastAsia="lt-LT"/>
        </w:rPr>
        <w:t xml:space="preserve">Pareiškėjo įmonė valdė Vengrijoje populiarų internetinį naujienų portalą. </w:t>
      </w:r>
      <w:r w:rsidRPr="00FD5803">
        <w:rPr>
          <w:rStyle w:val="s1a844bc0"/>
          <w:rFonts w:ascii="Calibri" w:hAnsi="Calibri" w:cs="Calibri"/>
          <w:iCs/>
          <w:color w:val="000000"/>
        </w:rPr>
        <w:t>Po incidento, kuomet apsvaigę futbolo sirgali</w:t>
      </w:r>
      <w:r w:rsidRPr="00FD5803">
        <w:rPr>
          <w:rStyle w:val="s1a844bc0"/>
          <w:rFonts w:cs="Calibri"/>
          <w:iCs/>
          <w:color w:val="000000"/>
        </w:rPr>
        <w:t>ai</w:t>
      </w:r>
      <w:r w:rsidRPr="00FD5803">
        <w:rPr>
          <w:rStyle w:val="s1a844bc0"/>
          <w:rFonts w:ascii="Calibri" w:hAnsi="Calibri" w:cs="Calibri"/>
          <w:iCs/>
          <w:color w:val="000000"/>
        </w:rPr>
        <w:t xml:space="preserve"> šaukė rasistinio pobūdžio replikas ir grasino mokyklos, kurios mokiniai daugiausiai buvo romai, mokiniams, vietos valdžios romų mažumos vadovas davė interviu žiniaskl</w:t>
      </w:r>
      <w:r w:rsidRPr="00FD5803">
        <w:rPr>
          <w:rStyle w:val="s1a844bc0"/>
          <w:rFonts w:cs="Calibri"/>
          <w:iCs/>
          <w:color w:val="000000"/>
        </w:rPr>
        <w:t>aidai, daugiausiai dėmesio skirdamas</w:t>
      </w:r>
      <w:r w:rsidRPr="00FD5803">
        <w:rPr>
          <w:rStyle w:val="s1a844bc0"/>
          <w:rFonts w:ascii="Calibri" w:hAnsi="Calibri" w:cs="Calibri"/>
          <w:iCs/>
          <w:color w:val="000000"/>
        </w:rPr>
        <w:t xml:space="preserve"> romų klausimams. </w:t>
      </w:r>
      <w:r w:rsidRPr="00FD5803">
        <w:rPr>
          <w:rStyle w:val="s1a844bc0"/>
          <w:rFonts w:cs="Calibri"/>
          <w:iCs/>
          <w:color w:val="000000"/>
        </w:rPr>
        <w:t>Apibūdindamas įvykius, lyderis, be kita ko, nurodė, kad futbolo sirgaliai buvo „tikrai Jobbik nariai“. Žiniasklaidos priemonės įkėlė interviu vaizdo įrašą į „Youtube“ kanalą. Pareiškėjo įmonė savo internetiniame tinklapyje paskelbė straipsnį apie incidentą, įskaitant ir nuorodą į „Youtube“ kanale paskelbtą vaizdo įrašą.</w:t>
      </w:r>
    </w:p>
    <w:p w14:paraId="217CE857" w14:textId="14530AB0" w:rsidR="00E471B1" w:rsidRPr="00FD5803" w:rsidRDefault="00E471B1" w:rsidP="009A1B99">
      <w:pPr>
        <w:spacing w:after="0" w:line="240" w:lineRule="auto"/>
        <w:ind w:firstLine="567"/>
        <w:jc w:val="both"/>
        <w:rPr>
          <w:rStyle w:val="s1a844bc0"/>
          <w:rFonts w:cs="Calibri"/>
          <w:iCs/>
          <w:color w:val="000000"/>
        </w:rPr>
      </w:pPr>
      <w:r w:rsidRPr="00FD5803">
        <w:rPr>
          <w:rStyle w:val="s1a844bc0"/>
          <w:rFonts w:cs="Calibri"/>
          <w:iCs/>
          <w:color w:val="000000"/>
        </w:rPr>
        <w:t xml:space="preserve">Dešiniojo sparno politinė partija „Jobbik“ pradėjo </w:t>
      </w:r>
      <w:r w:rsidR="00310F3E" w:rsidRPr="00FD5803">
        <w:rPr>
          <w:rStyle w:val="s1a844bc0"/>
          <w:rFonts w:cs="Calibri"/>
          <w:iCs/>
          <w:color w:val="000000"/>
        </w:rPr>
        <w:t xml:space="preserve">teisines </w:t>
      </w:r>
      <w:r w:rsidRPr="00FD5803">
        <w:rPr>
          <w:rStyle w:val="s1a844bc0"/>
          <w:rFonts w:cs="Calibri"/>
          <w:iCs/>
          <w:color w:val="000000"/>
        </w:rPr>
        <w:t xml:space="preserve">procedūras dėl šmeižto. Ji teigė, kad vartojant terminą „Jobbik“, siekiant apibūdinti futbolo sirgalius, ir išpublikuojant nuorodą į „Youtube“ kanale paskelbtą </w:t>
      </w:r>
      <w:r w:rsidR="00310F3E" w:rsidRPr="00FD5803">
        <w:rPr>
          <w:rStyle w:val="s1a844bc0"/>
          <w:rFonts w:cs="Calibri"/>
          <w:iCs/>
          <w:color w:val="000000"/>
        </w:rPr>
        <w:t>vaizdo įrašą</w:t>
      </w:r>
      <w:r w:rsidRPr="00FD5803">
        <w:rPr>
          <w:rStyle w:val="s1a844bc0"/>
          <w:rFonts w:cs="Calibri"/>
          <w:iCs/>
          <w:color w:val="000000"/>
        </w:rPr>
        <w:t xml:space="preserve"> jų reputacija buvo pažeista. Pareiškėjo įmonė buvo pripažinta atsakinga už šmeižikiško pobūdžio pareiškimų, pažeidžiančių politinės partijos reputaciją, paskelbimą, o jo skundai buvo atmesti.</w:t>
      </w:r>
    </w:p>
    <w:p w14:paraId="4FEA21C7" w14:textId="77777777" w:rsidR="00E471B1" w:rsidRPr="00FD5803" w:rsidRDefault="00E471B1" w:rsidP="009A1B99">
      <w:pPr>
        <w:spacing w:after="0" w:line="240" w:lineRule="auto"/>
        <w:ind w:firstLine="567"/>
        <w:jc w:val="both"/>
        <w:rPr>
          <w:rStyle w:val="s1a844bc0"/>
          <w:rFonts w:cs="Calibri"/>
          <w:iCs/>
          <w:color w:val="000000"/>
        </w:rPr>
      </w:pPr>
      <w:r w:rsidRPr="00FD5803">
        <w:rPr>
          <w:rStyle w:val="s1a844bc0"/>
          <w:rFonts w:cs="Calibri"/>
          <w:iCs/>
          <w:color w:val="000000"/>
        </w:rPr>
        <w:t xml:space="preserve">Pareiškėjas skundėsi, kad tokiu būdu jo saviraiškos laisvė buvo pažeista. </w:t>
      </w:r>
    </w:p>
    <w:p w14:paraId="641EB6C4" w14:textId="77777777" w:rsidR="00E471B1" w:rsidRPr="00FD5803" w:rsidRDefault="00E471B1" w:rsidP="009A1B99">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p>
    <w:p w14:paraId="0956777D" w14:textId="77777777" w:rsidR="00E471B1" w:rsidRPr="00FD5803" w:rsidRDefault="00E471B1" w:rsidP="009A1B99">
      <w:pPr>
        <w:spacing w:after="0" w:line="240" w:lineRule="auto"/>
        <w:jc w:val="center"/>
        <w:rPr>
          <w:rFonts w:cs="Calibri"/>
        </w:rPr>
      </w:pPr>
      <w:r w:rsidRPr="00FD5803">
        <w:rPr>
          <w:rFonts w:cs="Calibri"/>
          <w:b/>
        </w:rPr>
        <w:t>Neoficiali Teismo sprendimo apžvalga</w:t>
      </w:r>
    </w:p>
    <w:p w14:paraId="5532BAAB" w14:textId="77777777" w:rsidR="00E471B1" w:rsidRPr="00FD5803" w:rsidRDefault="00E471B1" w:rsidP="009A1B99">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p>
    <w:p w14:paraId="16301E2C" w14:textId="77777777" w:rsidR="00E471B1" w:rsidRPr="00FD5803" w:rsidRDefault="00E471B1"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lastRenderedPageBreak/>
        <w:t>Teismas pažymėjo, kad turint omenyje interneto vaidmenį didinant visuomenės prieigą prie naujienų ir informacijos, internetinės nuorodos tikslas, nukreipiant į kitus puslapius ir internetinius šaltinius, buvo leisti interneto vartotojams naršyti tinkle, kuriam būdingas didžiulis informacijos kiekis. Internetinės nuorodos prisidėjo prie sklandaus interneto veikimo, susiejant informaciją. Internetinės nuorodos paprastai nukreipia vartotojus į turinį, prieinamą kur nors kitur internete. Jos nepateikia auditorijai susietų pareiškimų ar nepraneša apie jų turinį, o tik paskatina skaitytojų susidomėjimą medžiaga, esančia kitame internetiniame tinklapyje. Kitas išskirtinis internetinių nuorodų bruožas, lyginant su informacijos platinimo veiksmais, yra tai, kad asmuo, nurodantis informaciją per internetinę nuorodą, nekontroliuoja internetinės svetainės, kuriai prieigą suteikia nuoroda, turinio, kuris gali būti ir pakeistas po nuorodos kūrimo, su išimtimi, jei nuoroda yra daroma į tą turinį, kurį kontroliuoja tas pas asmuo. Be to, interneto nuoroda pasiekiamas turinys jau buvo paskelbtas prieinamu pradinio publikuotojo, suteikusio visuomenei neribotą prieigą.</w:t>
      </w:r>
    </w:p>
    <w:p w14:paraId="4F022E9D" w14:textId="0FDF2F62" w:rsidR="00E471B1" w:rsidRPr="00FD5803" w:rsidRDefault="00E471B1"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 xml:space="preserve">Klausimas, ar internetinės nuorodos paskelbimas pagal Konvencijos 10 straipsnį gali </w:t>
      </w:r>
      <w:r w:rsidR="00CD0042" w:rsidRPr="00FD5803">
        <w:rPr>
          <w:rStyle w:val="s1a844bc0"/>
          <w:rFonts w:ascii="Calibri" w:hAnsi="Calibri" w:cs="Calibri"/>
          <w:iCs/>
          <w:color w:val="000000"/>
          <w:sz w:val="22"/>
          <w:szCs w:val="22"/>
        </w:rPr>
        <w:t xml:space="preserve">pateisinamai </w:t>
      </w:r>
      <w:r w:rsidRPr="00FD5803">
        <w:rPr>
          <w:rStyle w:val="s1a844bc0"/>
          <w:rFonts w:ascii="Calibri" w:hAnsi="Calibri" w:cs="Calibri"/>
          <w:iCs/>
          <w:color w:val="000000"/>
          <w:sz w:val="22"/>
          <w:szCs w:val="22"/>
        </w:rPr>
        <w:t xml:space="preserve">sukelti atsakomybę už turinį, kiekvienu atveju reikalauja individualaus įvertinimo, atsižvelgiant į keletą elementų. Analizuojant pareiškėjo įmonės, kaip internetinės nuorodos publikuotojo, atsakomybę buvo svarbūs šie aspektai: (i) ar žurnalistas pritarė ginčijamam turiniui; (ii) ar žurnalistas pakartojo ginčijamą turinį (jam nepritardamas); (iii) ar žurnalistas tik įkėlė nuorodą į ginčijamą turinį (nei pritardamas, nei pakartodamas jo); (iv) ar žurnalistas žinojo ar galėjo pagrįstai žinoti, kad ginčijamas turinys buvo šmeižikiško pobūdžio ar kitaip neteisėtas; (v) ar žurnalistas veikė sąžiningai, gerbė žurnalisto etiką ir kruopščiai vykdė atsakingą žurnalistiką?   </w:t>
      </w:r>
    </w:p>
    <w:p w14:paraId="21C31275" w14:textId="77777777" w:rsidR="00E471B1" w:rsidRPr="00FD5803" w:rsidRDefault="00E471B1"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Remdamasis pareiškėjo įmonės byloje pateiktais faktiniais duomenimis, Teismas pažymėjo, kad, be kita ko, aptariamas straipsnis nebuvo susijęs su nuoroda susietu turiniu taip, kad pakartotų šmeižikiško pobūdžio pareiškimus. Straipsnyje nebuvo paminėta politinė partija, kuri pradėjo teisines procedūras dėl šmeižimo. Be to, autorius nenurodė, kad pareiškimai, kuriuos buvo galima pasiekti per nuorodą, buvo teisingi ar kad jis jiems pritarė. Teismas taip pat pabrėžė faktą, kad prieš pradedant teisines procedūras dėl šmeižto, pareiškėjo įmonė nežinojo, kad susietas turinys yra galbūt šmeižikiško pobūdžio, kas būtų sudarę pagrindą nesuteikti prieigos prie turinio.</w:t>
      </w:r>
    </w:p>
    <w:p w14:paraId="53A7C8AD" w14:textId="001FD875" w:rsidR="00E471B1" w:rsidRPr="00FD5803" w:rsidRDefault="00E471B1" w:rsidP="009A1B99">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FD5803">
        <w:rPr>
          <w:rStyle w:val="s1a844bc0"/>
          <w:rFonts w:ascii="Calibri" w:hAnsi="Calibri" w:cs="Calibri"/>
          <w:iCs/>
          <w:color w:val="000000"/>
          <w:sz w:val="22"/>
          <w:szCs w:val="22"/>
        </w:rPr>
        <w:t>Nacionaliniai teismas vertino, kad internetine nuoroda buvo platinama informacija. Vien dėl šios priežasties pagal nacionalinius aktus buvo nustatyta pareiškėjo įmonės atsakomybė, dėl ko</w:t>
      </w:r>
      <w:r w:rsidR="00CD0042" w:rsidRPr="00FD5803">
        <w:rPr>
          <w:rStyle w:val="s1a844bc0"/>
          <w:rFonts w:ascii="Calibri" w:hAnsi="Calibri" w:cs="Calibri"/>
          <w:iCs/>
          <w:color w:val="000000"/>
          <w:sz w:val="22"/>
          <w:szCs w:val="22"/>
        </w:rPr>
        <w:t xml:space="preserve"> nacionalin</w:t>
      </w:r>
      <w:r w:rsidRPr="00FD5803">
        <w:rPr>
          <w:rStyle w:val="s1a844bc0"/>
          <w:rFonts w:ascii="Calibri" w:hAnsi="Calibri" w:cs="Calibri"/>
          <w:iCs/>
          <w:color w:val="000000"/>
          <w:sz w:val="22"/>
          <w:szCs w:val="22"/>
        </w:rPr>
        <w:t>i</w:t>
      </w:r>
      <w:r w:rsidR="00CD0042" w:rsidRPr="00FD5803">
        <w:rPr>
          <w:rStyle w:val="s1a844bc0"/>
          <w:rFonts w:ascii="Calibri" w:hAnsi="Calibri" w:cs="Calibri"/>
          <w:iCs/>
          <w:color w:val="000000"/>
          <w:sz w:val="22"/>
          <w:szCs w:val="22"/>
        </w:rPr>
        <w:t>ai</w:t>
      </w:r>
      <w:r w:rsidRPr="00FD5803">
        <w:rPr>
          <w:rStyle w:val="s1a844bc0"/>
          <w:rFonts w:ascii="Calibri" w:hAnsi="Calibri" w:cs="Calibri"/>
          <w:iCs/>
          <w:color w:val="000000"/>
          <w:sz w:val="22"/>
          <w:szCs w:val="22"/>
        </w:rPr>
        <w:t xml:space="preserve"> teis</w:t>
      </w:r>
      <w:r w:rsidR="00CD0042" w:rsidRPr="00FD5803">
        <w:rPr>
          <w:rStyle w:val="s1a844bc0"/>
          <w:rFonts w:ascii="Calibri" w:hAnsi="Calibri" w:cs="Calibri"/>
          <w:iCs/>
          <w:color w:val="000000"/>
          <w:sz w:val="22"/>
          <w:szCs w:val="22"/>
        </w:rPr>
        <w:t>mai</w:t>
      </w:r>
      <w:r w:rsidRPr="00FD5803">
        <w:rPr>
          <w:rStyle w:val="s1a844bc0"/>
          <w:rFonts w:ascii="Calibri" w:hAnsi="Calibri" w:cs="Calibri"/>
          <w:iCs/>
          <w:color w:val="000000"/>
          <w:sz w:val="22"/>
          <w:szCs w:val="22"/>
        </w:rPr>
        <w:t xml:space="preserve"> </w:t>
      </w:r>
      <w:r w:rsidR="00CD0042" w:rsidRPr="00FD5803">
        <w:rPr>
          <w:rStyle w:val="s1a844bc0"/>
          <w:rFonts w:ascii="Calibri" w:hAnsi="Calibri" w:cs="Calibri"/>
          <w:iCs/>
          <w:color w:val="000000"/>
          <w:sz w:val="22"/>
          <w:szCs w:val="22"/>
        </w:rPr>
        <w:t>nevertino</w:t>
      </w:r>
      <w:r w:rsidRPr="00FD5803">
        <w:rPr>
          <w:rStyle w:val="s1a844bc0"/>
          <w:rFonts w:ascii="Calibri" w:hAnsi="Calibri" w:cs="Calibri"/>
          <w:iCs/>
          <w:color w:val="000000"/>
          <w:sz w:val="22"/>
          <w:szCs w:val="22"/>
        </w:rPr>
        <w:t xml:space="preserve"> politinės partijos teis</w:t>
      </w:r>
      <w:r w:rsidR="00CD0042" w:rsidRPr="00FD5803">
        <w:rPr>
          <w:rStyle w:val="s1a844bc0"/>
          <w:rFonts w:ascii="Calibri" w:hAnsi="Calibri" w:cs="Calibri"/>
          <w:iCs/>
          <w:color w:val="000000"/>
          <w:sz w:val="22"/>
          <w:szCs w:val="22"/>
        </w:rPr>
        <w:t>ės</w:t>
      </w:r>
      <w:r w:rsidRPr="00FD5803">
        <w:rPr>
          <w:rStyle w:val="s1a844bc0"/>
          <w:rFonts w:ascii="Calibri" w:hAnsi="Calibri" w:cs="Calibri"/>
          <w:iCs/>
          <w:color w:val="000000"/>
          <w:sz w:val="22"/>
          <w:szCs w:val="22"/>
        </w:rPr>
        <w:t xml:space="preserve"> į gerą vardą ir pareiškėjo įmonės teis</w:t>
      </w:r>
      <w:r w:rsidR="00CD0042" w:rsidRPr="00FD5803">
        <w:rPr>
          <w:rStyle w:val="s1a844bc0"/>
          <w:rFonts w:ascii="Calibri" w:hAnsi="Calibri" w:cs="Calibri"/>
          <w:iCs/>
          <w:color w:val="000000"/>
          <w:sz w:val="22"/>
          <w:szCs w:val="22"/>
        </w:rPr>
        <w:t>ės</w:t>
      </w:r>
      <w:r w:rsidRPr="00FD5803">
        <w:rPr>
          <w:rStyle w:val="s1a844bc0"/>
          <w:rFonts w:ascii="Calibri" w:hAnsi="Calibri" w:cs="Calibri"/>
          <w:iCs/>
          <w:color w:val="000000"/>
          <w:sz w:val="22"/>
          <w:szCs w:val="22"/>
        </w:rPr>
        <w:t xml:space="preserve"> į saviraiškos laisvę</w:t>
      </w:r>
      <w:r w:rsidR="00CD0042" w:rsidRPr="00FD5803">
        <w:rPr>
          <w:rStyle w:val="s1a844bc0"/>
          <w:rFonts w:ascii="Calibri" w:hAnsi="Calibri" w:cs="Calibri"/>
          <w:iCs/>
          <w:color w:val="000000"/>
          <w:sz w:val="22"/>
          <w:szCs w:val="22"/>
        </w:rPr>
        <w:t xml:space="preserve"> balanso</w:t>
      </w:r>
      <w:r w:rsidRPr="00FD5803">
        <w:rPr>
          <w:rStyle w:val="s1a844bc0"/>
          <w:rFonts w:ascii="Calibri" w:hAnsi="Calibri" w:cs="Calibri"/>
          <w:iCs/>
          <w:color w:val="000000"/>
          <w:sz w:val="22"/>
          <w:szCs w:val="22"/>
        </w:rPr>
        <w:t xml:space="preserve">. Dėl to pareiškėjo teisės buvo neproporcingai apribotos.  </w:t>
      </w:r>
    </w:p>
    <w:p w14:paraId="66CA7B33" w14:textId="77777777" w:rsidR="00E471B1" w:rsidRPr="00FD5803" w:rsidRDefault="00E471B1" w:rsidP="009A1B99">
      <w:pPr>
        <w:pStyle w:val="s6e50bd9a"/>
        <w:shd w:val="clear" w:color="auto" w:fill="FFFFFF"/>
        <w:spacing w:before="0" w:beforeAutospacing="0" w:after="0" w:afterAutospacing="0"/>
        <w:ind w:firstLine="567"/>
        <w:jc w:val="both"/>
        <w:rPr>
          <w:rFonts w:ascii="Calibri" w:hAnsi="Calibri" w:cs="Calibri"/>
          <w:sz w:val="22"/>
          <w:szCs w:val="22"/>
        </w:rPr>
      </w:pPr>
    </w:p>
    <w:p w14:paraId="00E53204" w14:textId="77777777" w:rsidR="00E471B1" w:rsidRPr="00FD5803" w:rsidRDefault="00E471B1"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Išvada: nustatytas Konvencijos 10 straipsnio pažeidimas (vienbalsiai).</w:t>
      </w:r>
    </w:p>
    <w:p w14:paraId="73BC78CD" w14:textId="3814972F" w:rsidR="00E471B1" w:rsidRPr="00FD5803" w:rsidRDefault="00E93FD2" w:rsidP="009A1B99">
      <w:pPr>
        <w:pStyle w:val="s6e50bd9a"/>
        <w:shd w:val="clear" w:color="auto" w:fill="FFFFFF"/>
        <w:spacing w:before="0" w:beforeAutospacing="0" w:after="0" w:afterAutospacing="0"/>
        <w:ind w:firstLine="567"/>
        <w:jc w:val="both"/>
        <w:rPr>
          <w:rFonts w:ascii="Calibri" w:hAnsi="Calibri" w:cs="Calibri"/>
          <w:sz w:val="22"/>
          <w:szCs w:val="22"/>
        </w:rPr>
      </w:pPr>
      <w:r w:rsidRPr="00FD5803">
        <w:rPr>
          <w:rFonts w:ascii="Calibri" w:hAnsi="Calibri" w:cs="Calibri"/>
          <w:sz w:val="22"/>
          <w:szCs w:val="22"/>
        </w:rPr>
        <w:t xml:space="preserve">41 straipsnis: </w:t>
      </w:r>
      <w:r w:rsidR="00E471B1" w:rsidRPr="00FD5803">
        <w:rPr>
          <w:rFonts w:ascii="Calibri" w:hAnsi="Calibri" w:cs="Calibri"/>
          <w:sz w:val="22"/>
          <w:szCs w:val="22"/>
        </w:rPr>
        <w:t>priteista 597,04 Eur turtinės žalos.</w:t>
      </w:r>
    </w:p>
    <w:p w14:paraId="207336E7" w14:textId="77777777" w:rsidR="00E471B1" w:rsidRPr="00FD5803" w:rsidRDefault="007F5353" w:rsidP="009A1B99">
      <w:pPr>
        <w:spacing w:after="0" w:line="240" w:lineRule="auto"/>
        <w:ind w:firstLine="567"/>
        <w:rPr>
          <w:rFonts w:eastAsia="Times New Roman" w:cs="Calibri"/>
          <w:lang w:eastAsia="lt-LT"/>
        </w:rPr>
      </w:pPr>
      <w:hyperlink r:id="rId26" w:history="1">
        <w:r w:rsidR="00E471B1" w:rsidRPr="00FD5803">
          <w:rPr>
            <w:rStyle w:val="Hipersaitas"/>
            <w:rFonts w:eastAsia="Times New Roman" w:cs="Calibri"/>
            <w:lang w:eastAsia="lt-LT"/>
          </w:rPr>
          <w:t>Prieiga internete</w:t>
        </w:r>
      </w:hyperlink>
    </w:p>
    <w:p w14:paraId="58D5B71B" w14:textId="77777777" w:rsidR="00E471B1" w:rsidRPr="00FD5803" w:rsidRDefault="00E471B1" w:rsidP="009A1B99">
      <w:pPr>
        <w:pStyle w:val="Default"/>
        <w:tabs>
          <w:tab w:val="left" w:pos="709"/>
        </w:tabs>
        <w:ind w:firstLine="567"/>
        <w:jc w:val="both"/>
        <w:rPr>
          <w:rFonts w:asciiTheme="minorHAnsi" w:hAnsiTheme="minorHAnsi"/>
          <w:sz w:val="22"/>
          <w:szCs w:val="22"/>
        </w:rPr>
      </w:pPr>
    </w:p>
    <w:p w14:paraId="70AFEE91" w14:textId="77777777" w:rsidR="00FC3C8F" w:rsidRPr="00FD5803" w:rsidRDefault="00FC3C8F" w:rsidP="009A1B99">
      <w:pPr>
        <w:spacing w:after="0" w:line="240" w:lineRule="auto"/>
        <w:jc w:val="center"/>
        <w:rPr>
          <w:rFonts w:cs="Arial"/>
          <w:b/>
        </w:rPr>
      </w:pPr>
      <w:r w:rsidRPr="00FD5803">
        <w:rPr>
          <w:rFonts w:cs="Arial"/>
          <w:b/>
        </w:rPr>
        <w:t>Europos Žmogaus Teisių Teismo 2018 m. gruodžio 11 d. sprendimas byloje</w:t>
      </w:r>
    </w:p>
    <w:p w14:paraId="2860203F" w14:textId="77777777" w:rsidR="00FC3C8F" w:rsidRPr="00FD5803" w:rsidRDefault="00FC3C8F" w:rsidP="009A1B99">
      <w:pPr>
        <w:pStyle w:val="Antrat2"/>
        <w:ind w:firstLine="0"/>
        <w:jc w:val="center"/>
        <w:rPr>
          <w:rFonts w:eastAsia="Calibri"/>
          <w:i/>
        </w:rPr>
      </w:pPr>
      <w:bookmarkStart w:id="36" w:name="_Toc526931859"/>
      <w:bookmarkStart w:id="37" w:name="_Toc527116502"/>
      <w:bookmarkStart w:id="38" w:name="_Toc1657803"/>
      <w:r w:rsidRPr="00FD5803">
        <w:rPr>
          <w:rFonts w:eastAsia="Calibri"/>
          <w:i/>
        </w:rPr>
        <w:t>Brisc prieš Rumuniją</w:t>
      </w:r>
      <w:bookmarkEnd w:id="36"/>
      <w:bookmarkEnd w:id="37"/>
      <w:bookmarkEnd w:id="38"/>
    </w:p>
    <w:p w14:paraId="0AC1D633" w14:textId="77777777" w:rsidR="00FC3C8F" w:rsidRPr="00FD5803" w:rsidRDefault="00FC3C8F" w:rsidP="009A1B99">
      <w:pPr>
        <w:spacing w:after="0" w:line="240" w:lineRule="auto"/>
        <w:jc w:val="center"/>
        <w:rPr>
          <w:rFonts w:cs="Arial"/>
          <w:b/>
        </w:rPr>
      </w:pPr>
      <w:r w:rsidRPr="00FD5803">
        <w:rPr>
          <w:rFonts w:cs="Arial"/>
          <w:b/>
        </w:rPr>
        <w:t>(pareiškimo Nr. 26238/10, svarbos lygis – 2)</w:t>
      </w:r>
    </w:p>
    <w:p w14:paraId="494316AD" w14:textId="77777777" w:rsidR="00FC3C8F" w:rsidRPr="00FD5803" w:rsidRDefault="00FC3C8F" w:rsidP="009A1B99">
      <w:pPr>
        <w:spacing w:after="0" w:line="240" w:lineRule="auto"/>
        <w:jc w:val="center"/>
        <w:rPr>
          <w:rFonts w:cs="Arial"/>
        </w:rPr>
      </w:pPr>
    </w:p>
    <w:p w14:paraId="2DC9D4DF" w14:textId="77777777" w:rsidR="00FC3C8F" w:rsidRPr="00FD5803" w:rsidRDefault="00FC3C8F" w:rsidP="009A1B99">
      <w:pPr>
        <w:pStyle w:val="Antrat3"/>
        <w:spacing w:before="0" w:line="240" w:lineRule="auto"/>
        <w:ind w:firstLine="567"/>
        <w:jc w:val="both"/>
        <w:rPr>
          <w:szCs w:val="22"/>
          <w:shd w:val="clear" w:color="auto" w:fill="FFFFFF"/>
          <w:lang w:eastAsia="lt-LT"/>
        </w:rPr>
      </w:pPr>
      <w:bookmarkStart w:id="39" w:name="_Toc1657804"/>
      <w:r w:rsidRPr="00FD5803">
        <w:rPr>
          <w:szCs w:val="22"/>
          <w:shd w:val="clear" w:color="auto" w:fill="FFFFFF"/>
          <w:lang w:eastAsia="lt-LT"/>
        </w:rPr>
        <w:t xml:space="preserve">Dėl </w:t>
      </w:r>
      <w:r w:rsidRPr="00FD5803">
        <w:rPr>
          <w:szCs w:val="22"/>
        </w:rPr>
        <w:t xml:space="preserve">saviraiškos laisvės pažeidimo atleidus </w:t>
      </w:r>
      <w:r w:rsidRPr="00FD5803">
        <w:rPr>
          <w:szCs w:val="22"/>
          <w:shd w:val="clear" w:color="auto" w:fill="FFFFFF"/>
          <w:lang w:eastAsia="lt-LT"/>
        </w:rPr>
        <w:t>vyriausiąjį prokurorą iš pareigų už informacijos apie vykstantį tyrimą pateikimą spaudai</w:t>
      </w:r>
      <w:bookmarkEnd w:id="39"/>
    </w:p>
    <w:p w14:paraId="32F849AD" w14:textId="77777777" w:rsidR="00FC3C8F" w:rsidRPr="00FD5803" w:rsidRDefault="00FC3C8F" w:rsidP="009A1B99">
      <w:pPr>
        <w:spacing w:after="0" w:line="240" w:lineRule="auto"/>
        <w:jc w:val="center"/>
        <w:rPr>
          <w:rFonts w:cs="Arial"/>
          <w:b/>
        </w:rPr>
      </w:pPr>
    </w:p>
    <w:p w14:paraId="7A2F4371" w14:textId="77777777" w:rsidR="00FC3C8F" w:rsidRPr="00FD5803" w:rsidRDefault="00FC3C8F" w:rsidP="009A1B99">
      <w:pPr>
        <w:spacing w:after="0" w:line="240" w:lineRule="auto"/>
        <w:jc w:val="center"/>
        <w:rPr>
          <w:rFonts w:cs="Arial"/>
          <w:b/>
        </w:rPr>
      </w:pPr>
      <w:r w:rsidRPr="00FD5803">
        <w:rPr>
          <w:rFonts w:cs="Arial"/>
          <w:b/>
        </w:rPr>
        <w:t>Faktinės aplinkybės</w:t>
      </w:r>
    </w:p>
    <w:p w14:paraId="023B3ED7" w14:textId="77777777" w:rsidR="00FC3C8F" w:rsidRPr="00FD5803" w:rsidRDefault="00FC3C8F" w:rsidP="009A1B99">
      <w:pPr>
        <w:spacing w:after="0" w:line="240" w:lineRule="auto"/>
        <w:ind w:firstLine="540"/>
        <w:jc w:val="center"/>
        <w:rPr>
          <w:rFonts w:cs="Arial"/>
          <w:b/>
        </w:rPr>
      </w:pPr>
    </w:p>
    <w:p w14:paraId="35E66A17" w14:textId="77777777" w:rsidR="00FC3C8F" w:rsidRPr="00FD5803" w:rsidRDefault="00FC3C8F" w:rsidP="009A1B99">
      <w:pPr>
        <w:spacing w:after="0" w:line="240" w:lineRule="auto"/>
        <w:ind w:firstLine="567"/>
        <w:jc w:val="both"/>
        <w:rPr>
          <w:rFonts w:cs="Arial"/>
        </w:rPr>
      </w:pPr>
      <w:r w:rsidRPr="00FD5803">
        <w:rPr>
          <w:rFonts w:cs="Arial"/>
        </w:rPr>
        <w:t>Pareiškėjas, Rumunijos pilietis, dirbo vyriausiuoju prokuroru ir buvo atsakingas už informacijos teikimą spaudai apie prokuratūroje vykdomus tyrimus (vykstančius baudžiamuosius procesus).</w:t>
      </w:r>
    </w:p>
    <w:p w14:paraId="6380BFBC" w14:textId="77777777" w:rsidR="00FC3C8F" w:rsidRPr="00FD5803" w:rsidRDefault="00FC3C8F" w:rsidP="009A1B99">
      <w:pPr>
        <w:spacing w:after="0" w:line="240" w:lineRule="auto"/>
        <w:ind w:firstLine="567"/>
        <w:jc w:val="both"/>
        <w:rPr>
          <w:rFonts w:cs="Arial"/>
        </w:rPr>
      </w:pPr>
      <w:r w:rsidRPr="00FD5803">
        <w:rPr>
          <w:rFonts w:cs="Arial"/>
        </w:rPr>
        <w:t>2008 m. spalio 21 d. prokuratūros, kurioje dirbo pareiškėjas, pareigūnai nusikaltimo vietoje sulaikė V. F., imantį kyšį iš V. T. V., kuris tuo metu buvo laikomas Baia Mare kalėjime, giminaičio už tai, kad padėtų suorganizuoti V. T. V. lygtinį paleidimą.</w:t>
      </w:r>
    </w:p>
    <w:p w14:paraId="5D4875CC" w14:textId="77777777" w:rsidR="00FC3C8F" w:rsidRPr="00FD5803" w:rsidRDefault="00FC3C8F" w:rsidP="009A1B99">
      <w:pPr>
        <w:spacing w:after="0" w:line="240" w:lineRule="auto"/>
        <w:ind w:firstLine="567"/>
        <w:jc w:val="both"/>
        <w:rPr>
          <w:rFonts w:cs="Arial"/>
        </w:rPr>
      </w:pPr>
      <w:r w:rsidRPr="00FD5803">
        <w:rPr>
          <w:rFonts w:cs="Arial"/>
        </w:rPr>
        <w:t xml:space="preserve">Pareiškėjas, kaip už ryšius su visuomene atsakingas asmuo, 2008 m. spalio 22 d. paskelbė spaudos pranešimą, kuriame pateikė informaciją, kad Baia Mare kalėjime laikomas V. T. V. paaiškino tyrėjams, jog sulaikytas įtariamasis jam nurodė, kad dalis perduotų pinigų turėjo būti skirti teisėjams ir prokurorams, </w:t>
      </w:r>
      <w:r w:rsidRPr="00FD5803">
        <w:rPr>
          <w:rFonts w:cs="Arial"/>
        </w:rPr>
        <w:lastRenderedPageBreak/>
        <w:t>atsakingiems už asmenų lygtinį paleidimą iš kalėjimo. Pareiškėjas šia tema tą pačią dieną taip pat davė trumpą interviu vietiniam televizijos kanalui.</w:t>
      </w:r>
    </w:p>
    <w:p w14:paraId="3FDBFF88" w14:textId="77777777" w:rsidR="00FC3C8F" w:rsidRPr="00FD5803" w:rsidRDefault="00FC3C8F" w:rsidP="009A1B99">
      <w:pPr>
        <w:spacing w:after="0" w:line="240" w:lineRule="auto"/>
        <w:ind w:firstLine="567"/>
        <w:jc w:val="both"/>
        <w:rPr>
          <w:rFonts w:cs="Arial"/>
        </w:rPr>
      </w:pPr>
      <w:r w:rsidRPr="00FD5803">
        <w:rPr>
          <w:rFonts w:cs="Arial"/>
        </w:rPr>
        <w:t>Pareiškėjo atžvilgiu buvo pradėtas drausminis patikrinimas, inicijuotas teisėjos G. E., kuri tuo metu buvo priskirta Baia Mare kalėjimo veiklos teritorijai ir pirmininkavo komisijai, sprendžiančiai lygtinio paleidimo iš šio kalėjimo klausimus. Minėta teisėja skundėsi, kad iš pareiškėjo spaudos pranešimo ir interviu galima daryti prielaidą, jog dalis pinigų galėjo būti skirta būtent jai.</w:t>
      </w:r>
    </w:p>
    <w:p w14:paraId="75E6D7E0" w14:textId="77777777" w:rsidR="00FC3C8F" w:rsidRPr="00FD5803" w:rsidRDefault="00FC3C8F" w:rsidP="009A1B99">
      <w:pPr>
        <w:spacing w:after="0" w:line="240" w:lineRule="auto"/>
        <w:ind w:firstLine="567"/>
        <w:jc w:val="both"/>
        <w:rPr>
          <w:rFonts w:cs="Arial"/>
        </w:rPr>
      </w:pPr>
      <w:r w:rsidRPr="00FD5803">
        <w:rPr>
          <w:rFonts w:cs="Arial"/>
        </w:rPr>
        <w:t>2009 metais pareiškėjo drausminį patikrinimą atlikusi institucija konstatavo, kad pareiškėjas spaudos pranešime ir interviu neteisėtai atskleidė slaptą informaciją apie vykstantį tyrimą ir ši informacija buvo nepagarbi teisėjos atžvilgiu, kadangi iš jos buvo galima identifikuoti, jog minėta teisėja galbūt dalyvavo nusikalstamoje veikloje. Atsižvelgiant į tai, pareiškėjui buvo pareikštas papeikimas ir jis buvo atleistas iš vyriausiojo prokuroro pareigų.</w:t>
      </w:r>
    </w:p>
    <w:p w14:paraId="33F4938D" w14:textId="77777777" w:rsidR="00FC3C8F" w:rsidRPr="00FD5803" w:rsidRDefault="00FC3C8F" w:rsidP="009A1B99">
      <w:pPr>
        <w:spacing w:after="0" w:line="240" w:lineRule="auto"/>
        <w:ind w:firstLine="567"/>
        <w:jc w:val="both"/>
        <w:rPr>
          <w:rStyle w:val="tlid-translation"/>
        </w:rPr>
      </w:pPr>
      <w:r w:rsidRPr="00FD5803">
        <w:rPr>
          <w:rFonts w:cs="Arial"/>
        </w:rPr>
        <w:t xml:space="preserve">Remdamasis Konvencijos 10 straipsniu, pareiškėjas skundėsi, kad taikant jam </w:t>
      </w:r>
      <w:r w:rsidRPr="00FD5803">
        <w:rPr>
          <w:rStyle w:val="tlid-translation"/>
        </w:rPr>
        <w:t xml:space="preserve">drausminę atsakomybę už tai, jog būdamas atsakingas už ryšius su visuomene jis pateikė spaudai apibendrintą informaciją apie vykstantį kriminalinį tyrimą visuomenei svarbiu klausimu, </w:t>
      </w:r>
      <w:r w:rsidRPr="00FD5803">
        <w:rPr>
          <w:rFonts w:cs="Arial"/>
        </w:rPr>
        <w:t>buvo nepagrįstai ribojama jo saviraiškos laisvė.</w:t>
      </w:r>
    </w:p>
    <w:p w14:paraId="48CD66B5" w14:textId="77777777" w:rsidR="00FC3C8F" w:rsidRPr="00FD5803" w:rsidRDefault="00FC3C8F" w:rsidP="009A1B99">
      <w:pPr>
        <w:spacing w:after="0" w:line="240" w:lineRule="auto"/>
        <w:ind w:firstLine="567"/>
        <w:jc w:val="both"/>
        <w:rPr>
          <w:rFonts w:cs="Arial"/>
        </w:rPr>
      </w:pPr>
    </w:p>
    <w:p w14:paraId="0AEA0978" w14:textId="77777777" w:rsidR="00FC3C8F" w:rsidRPr="00FD5803" w:rsidRDefault="00FC3C8F" w:rsidP="009A1B99">
      <w:pPr>
        <w:spacing w:after="0" w:line="240" w:lineRule="auto"/>
        <w:jc w:val="center"/>
        <w:rPr>
          <w:rFonts w:cs="Arial"/>
        </w:rPr>
      </w:pPr>
      <w:r w:rsidRPr="00FD5803">
        <w:rPr>
          <w:rFonts w:cs="Arial"/>
          <w:b/>
        </w:rPr>
        <w:t>Neoficiali Teismo sprendimo apžvalga</w:t>
      </w:r>
    </w:p>
    <w:p w14:paraId="4F7A00A8" w14:textId="77777777" w:rsidR="00FC3C8F" w:rsidRPr="00FD5803" w:rsidRDefault="00FC3C8F" w:rsidP="009A1B99">
      <w:pPr>
        <w:spacing w:after="0" w:line="240" w:lineRule="auto"/>
        <w:ind w:firstLine="567"/>
        <w:jc w:val="both"/>
        <w:rPr>
          <w:rFonts w:cs="Arial"/>
        </w:rPr>
      </w:pPr>
    </w:p>
    <w:p w14:paraId="1678127D" w14:textId="03BFEA81" w:rsidR="00FC3C8F" w:rsidRPr="00FD5803" w:rsidRDefault="00FC3C8F" w:rsidP="009A1B99">
      <w:pPr>
        <w:spacing w:after="0" w:line="240" w:lineRule="auto"/>
        <w:ind w:firstLine="567"/>
        <w:jc w:val="both"/>
        <w:rPr>
          <w:rFonts w:cs="Arial"/>
        </w:rPr>
      </w:pPr>
      <w:r w:rsidRPr="00FD5803">
        <w:rPr>
          <w:rFonts w:cs="Arial"/>
        </w:rPr>
        <w:t>Teismas nurodė, kad tarp šalių nėra ginčo, jog pareiškėjo atžvilgiu taikyta drausminė atsakomybė</w:t>
      </w:r>
      <w:r w:rsidR="00CD0042" w:rsidRPr="00FD5803">
        <w:rPr>
          <w:rFonts w:cs="Arial"/>
        </w:rPr>
        <w:t xml:space="preserve"> yra</w:t>
      </w:r>
      <w:r w:rsidRPr="00FD5803">
        <w:rPr>
          <w:rFonts w:cs="Arial"/>
        </w:rPr>
        <w:t xml:space="preserve"> susijusi su jo teisės į saviraiškos laisvę pagal Konvencijos 10 straipsnį ribojimu. Teismas pabrėžė, kad toks teisių ribojimas pažeidžia Konvencijos 10 straipsnį, jeigu jis neatitinka šio straipsnio 2 dalies nuostatų. Atsižvelgęs į tai, pažymėjo, kad šiuo atveju reikia nustatyti, ar toks įsikišimasis </w:t>
      </w:r>
      <w:r w:rsidRPr="00FD5803">
        <w:rPr>
          <w:rStyle w:val="tlid-translation"/>
        </w:rPr>
        <w:t xml:space="preserve">buvo nustatytas įstatymu, ar buvo siekiama vieno ar kelių iš </w:t>
      </w:r>
      <w:r w:rsidRPr="00FD5803">
        <w:rPr>
          <w:rFonts w:cs="Arial"/>
        </w:rPr>
        <w:t>Konvencijos 10 straipsnio 2 dalyje</w:t>
      </w:r>
      <w:r w:rsidRPr="00FD5803">
        <w:rPr>
          <w:rStyle w:val="tlid-translation"/>
        </w:rPr>
        <w:t xml:space="preserve"> nurodytų teisėtų tikslų, ar tai buvo būtina demokratinėje visuomenėje.</w:t>
      </w:r>
    </w:p>
    <w:p w14:paraId="1769F6A4" w14:textId="6FF5AAE9" w:rsidR="00FC3C8F" w:rsidRPr="00FD5803" w:rsidRDefault="00FC3C8F" w:rsidP="009A1B99">
      <w:pPr>
        <w:spacing w:after="0" w:line="240" w:lineRule="auto"/>
        <w:ind w:firstLine="567"/>
        <w:jc w:val="both"/>
        <w:rPr>
          <w:rFonts w:cs="Arial"/>
        </w:rPr>
      </w:pPr>
      <w:r w:rsidRPr="00FD5803">
        <w:rPr>
          <w:rFonts w:cs="Arial"/>
        </w:rPr>
        <w:t>Apžvelgęs savo ankstesnę praktiką nagrinė</w:t>
      </w:r>
      <w:r w:rsidR="00CD0042" w:rsidRPr="00FD5803">
        <w:rPr>
          <w:rFonts w:cs="Arial"/>
        </w:rPr>
        <w:t>t</w:t>
      </w:r>
      <w:r w:rsidRPr="00FD5803">
        <w:rPr>
          <w:rFonts w:cs="Arial"/>
        </w:rPr>
        <w:t xml:space="preserve">u klausimu, Teismas nustatė, kad šiuo atveju </w:t>
      </w:r>
      <w:r w:rsidRPr="00FD5803">
        <w:rPr>
          <w:rStyle w:val="tlid-translation"/>
        </w:rPr>
        <w:t xml:space="preserve">įsikišimas į pareiškėjo teisę į saviraiškos laisvę atitiko teisėtumo reikalavimą (buvo nustatytas įstatymu) ir juo buvo siekiama teisėtų tikslų – </w:t>
      </w:r>
      <w:r w:rsidRPr="00FD5803">
        <w:rPr>
          <w:rFonts w:cs="Arial"/>
        </w:rPr>
        <w:t>apsaugoti kitų asmenų reputaciją bei užtikrinti teisminės valdžios autoritetą ir nešališkumą</w:t>
      </w:r>
      <w:r w:rsidRPr="00FD5803">
        <w:rPr>
          <w:rStyle w:val="tlid-translation"/>
        </w:rPr>
        <w:t xml:space="preserve">. Tačiau, Teismo vertinimu, </w:t>
      </w:r>
      <w:r w:rsidRPr="00FD5803">
        <w:rPr>
          <w:rFonts w:cs="Arial"/>
        </w:rPr>
        <w:t>toks kišimasis nebuvo proporcingas siekiamam tikslui, todėl nebuvo būtinas demokratinėje visuomenėje.</w:t>
      </w:r>
    </w:p>
    <w:p w14:paraId="5727B204" w14:textId="77777777" w:rsidR="00FC3C8F" w:rsidRPr="00FD5803" w:rsidRDefault="00FC3C8F" w:rsidP="009A1B99">
      <w:pPr>
        <w:spacing w:after="0" w:line="240" w:lineRule="auto"/>
        <w:ind w:firstLine="567"/>
        <w:jc w:val="both"/>
        <w:rPr>
          <w:rStyle w:val="tlid-translation"/>
        </w:rPr>
      </w:pPr>
      <w:r w:rsidRPr="00FD5803">
        <w:rPr>
          <w:rStyle w:val="sb8d990e2"/>
        </w:rPr>
        <w:t xml:space="preserve">Visų pirma, Teismas atkreipė dėmesį, kad </w:t>
      </w:r>
      <w:r w:rsidRPr="00FD5803">
        <w:rPr>
          <w:rFonts w:cs="Arial"/>
        </w:rPr>
        <w:t xml:space="preserve">informacijos spaudai pateikimas buvo viena iš pareiškėjo, kaip už ryšius su visuomene atsakingo asmens, tiesioginių pareigų. </w:t>
      </w:r>
      <w:r w:rsidRPr="00FD5803">
        <w:rPr>
          <w:rStyle w:val="tlid-translation"/>
        </w:rPr>
        <w:t>Šiuo atžvilgiu Teismas priminė, kad visuomenė turi teisėtą interesą būti informuota apie vykstančius baudžiamuosius procesus ir su teismų veikla susiję klausimai sudaro viešąjį interesą.</w:t>
      </w:r>
      <w:r w:rsidRPr="00FD5803">
        <w:rPr>
          <w:rFonts w:cs="Arial"/>
        </w:rPr>
        <w:t xml:space="preserve"> Teismas pažymėjo, kad vykstantis tyrimas, apie kurį buvo pateikta informacija spaudai, kėlė nemažą visuomenės susidomėjimą. Taigi pripažino, kad pareiškėjo paskelbtame spaudos pranešime ir televizijai duotame interviu pateikta informacija apie tyrimą sudarė viešąjį interesą. </w:t>
      </w:r>
      <w:r w:rsidRPr="00FD5803">
        <w:rPr>
          <w:rStyle w:val="tlid-translation"/>
        </w:rPr>
        <w:t xml:space="preserve">Atsižvelgęs į tai, </w:t>
      </w:r>
      <w:r w:rsidRPr="00FD5803">
        <w:rPr>
          <w:rFonts w:cs="Arial"/>
        </w:rPr>
        <w:t xml:space="preserve">Teismas nurodė, kad tais atvejais, </w:t>
      </w:r>
      <w:r w:rsidRPr="00FD5803">
        <w:rPr>
          <w:rStyle w:val="tlid-translation"/>
        </w:rPr>
        <w:t>kai kalbama apie viešąjį interesą, valstybių narių vertinimo (diskrecijos) laisvė</w:t>
      </w:r>
      <w:r w:rsidRPr="00FD5803">
        <w:rPr>
          <w:rFonts w:cs="Arial"/>
        </w:rPr>
        <w:t xml:space="preserve"> pagal Konvencijos 10 straipsnio 2 dalį ribojant asmenų teises</w:t>
      </w:r>
      <w:r w:rsidRPr="00FD5803">
        <w:rPr>
          <w:rStyle w:val="tlid-translation"/>
        </w:rPr>
        <w:t xml:space="preserve"> yra siauresnė.</w:t>
      </w:r>
    </w:p>
    <w:p w14:paraId="28E52563" w14:textId="78BFC921" w:rsidR="00FC3C8F" w:rsidRPr="00FD5803" w:rsidRDefault="00FC3C8F" w:rsidP="009A1B99">
      <w:pPr>
        <w:spacing w:after="0" w:line="240" w:lineRule="auto"/>
        <w:ind w:firstLine="567"/>
        <w:jc w:val="both"/>
        <w:rPr>
          <w:rFonts w:cs="Arial"/>
        </w:rPr>
      </w:pPr>
      <w:r w:rsidRPr="00FD5803">
        <w:rPr>
          <w:rStyle w:val="tlid-translation"/>
        </w:rPr>
        <w:t>Teismas pabrėžė, kad nagrinė</w:t>
      </w:r>
      <w:r w:rsidR="007A3B02" w:rsidRPr="00FD5803">
        <w:rPr>
          <w:rStyle w:val="tlid-translation"/>
        </w:rPr>
        <w:t>t</w:t>
      </w:r>
      <w:r w:rsidRPr="00FD5803">
        <w:rPr>
          <w:rStyle w:val="tlid-translation"/>
        </w:rPr>
        <w:t>u atveju nacionalinių teismų taikyti stand</w:t>
      </w:r>
      <w:r w:rsidR="007A3B02" w:rsidRPr="00FD5803">
        <w:rPr>
          <w:rStyle w:val="tlid-translation"/>
        </w:rPr>
        <w:t>artai neatitinka Konvencijos 10 </w:t>
      </w:r>
      <w:r w:rsidRPr="00FD5803">
        <w:rPr>
          <w:rStyle w:val="tlid-translation"/>
        </w:rPr>
        <w:t>straipsnyje įtvirtintų principų, kadangi nacionaliniai teismai nenustatė pakankamai pagrįstų argumentų, jog minėtas pareiškėjo teisių ribojimas buvo proporcingas ir būtinas demokratinėje visuomenėje</w:t>
      </w:r>
      <w:r w:rsidRPr="00FD5803">
        <w:rPr>
          <w:rFonts w:cs="Arial"/>
        </w:rPr>
        <w:t>.</w:t>
      </w:r>
    </w:p>
    <w:p w14:paraId="79D809F3" w14:textId="77777777" w:rsidR="00FC3C8F" w:rsidRPr="00FD5803" w:rsidRDefault="00FC3C8F" w:rsidP="009A1B99">
      <w:pPr>
        <w:spacing w:after="0" w:line="240" w:lineRule="auto"/>
        <w:ind w:firstLine="567"/>
        <w:jc w:val="both"/>
        <w:rPr>
          <w:rStyle w:val="sb8d990e2"/>
        </w:rPr>
      </w:pPr>
      <w:r w:rsidRPr="00FD5803">
        <w:rPr>
          <w:rFonts w:cs="Arial"/>
        </w:rPr>
        <w:t xml:space="preserve">Teismas akcentavo informacijos apie vykdomus tyrimus slaptumo svarbą, tačiau pareiškėjo pasisakymuose nenustatė jokių teiginių, kurie pagrįstų jam inkriminuotus kaltinimus dėl neteisėto slaptos informacijos apie vykdomą kriminalinį tyrimą atskleidimo. Teismo vertinimu, pareiškėjas </w:t>
      </w:r>
      <w:r w:rsidRPr="00FD5803">
        <w:rPr>
          <w:rStyle w:val="tlid-translation"/>
        </w:rPr>
        <w:t>elgėsi atsargiai</w:t>
      </w:r>
      <w:r w:rsidRPr="00FD5803">
        <w:rPr>
          <w:rFonts w:cs="Arial"/>
        </w:rPr>
        <w:t xml:space="preserve"> ir pateikė tik glaustą informaciją apie pradėtą tyrimą, jis neatskleidė jokių duomenų, iš kurių būtų galima identifikuoti konkrečius su šiuo tyrimu susijusius asmenis, ir neišreiškė jokios išankstinės pozicijos dėl su tyrimu susijusių asmenų kaltės. </w:t>
      </w:r>
      <w:r w:rsidRPr="00FD5803">
        <w:rPr>
          <w:rStyle w:val="sb8d990e2"/>
        </w:rPr>
        <w:t>Teismas nurodė, kad pareiškėjas nesirėmė ir necitavo jokių dokumentų, kuriems buvo taikomi slaptumo reikalavimai, ir jokiu kitu būdu neatskleidė konfidencialios informacijos, susijusios su vykstančiu tyrimu. Be to, tuo metu, kai pareiškėjas paskelbė spaudos pranešimą, informacija apie įvykusią sulaikymo operaciją jau nebebuvo konfidenciali, kadangi joje dalyvavę du žurnalistai apie tai jau buvo paskelbę straipsnius kartu su įvykio metu darytomis nuotraukomis.</w:t>
      </w:r>
    </w:p>
    <w:p w14:paraId="700297F3" w14:textId="4060319B" w:rsidR="00FC3C8F" w:rsidRPr="00FD5803" w:rsidRDefault="00FC3C8F" w:rsidP="009A1B99">
      <w:pPr>
        <w:spacing w:after="0" w:line="240" w:lineRule="auto"/>
        <w:ind w:firstLine="567"/>
        <w:jc w:val="both"/>
        <w:rPr>
          <w:rFonts w:cs="Arial"/>
        </w:rPr>
      </w:pPr>
      <w:r w:rsidRPr="00FD5803">
        <w:rPr>
          <w:rFonts w:cs="Arial"/>
        </w:rPr>
        <w:t xml:space="preserve">Teismas taip pat nenustatė, kad pareiškėjo pasisakymai pažeidė kitų asmenų teisę į viešojo įvaizdžio (profesinės reputacijos) apsaugą. Teismas atkreipė dėmesį, kad šiuo atveju pagrindinis spaudos pranešimo ir televizijai duoto interviu tikslas buvo informuoti visuomenę apie vykstantį tyrimą jai svarbiu klausimu ir pareiškėjas visiškai nesiekė apkaltinti konkrečius pareigūnus nusikalstamos veikos padarymu. Tačiau </w:t>
      </w:r>
      <w:r w:rsidRPr="00FD5803">
        <w:rPr>
          <w:rFonts w:cs="Arial"/>
        </w:rPr>
        <w:lastRenderedPageBreak/>
        <w:t>nacionalinės institucijos apsiribojo tik teisėjos G. E. reputacijai padarytos žalos vertinimu ir neatsižvelgė į tai, kad įžeidžiantys teiginiai šios teisėjos atžvilgiu buvo paskleisti ne pareiškėjo, o kitų asmenų – būtent televizijos kanalo, kuriam pareiškėjas davė interviu, laidos vedėjo, ką akcentavo ir du nacionaliniai prokurorai bei teisėjas, nesutikdami su drausminės atsakomybės taikymu pareiškėjui. Teismas atkreipė dėmesį, kad ir Nacionalinė audiovizualinė taryba, kuri nagrinėjo teisėjos skundą dėl televizijos kanalo transliacijos apie vykdytą sulaikymo operac</w:t>
      </w:r>
      <w:r w:rsidR="007A3B02" w:rsidRPr="00FD5803">
        <w:rPr>
          <w:rFonts w:cs="Arial"/>
        </w:rPr>
        <w:t>iją, padarė išvadą, jog nagrinėt</w:t>
      </w:r>
      <w:r w:rsidRPr="00FD5803">
        <w:rPr>
          <w:rFonts w:cs="Arial"/>
        </w:rPr>
        <w:t>u atveju teisėjos reputacijai nebuvo pakenkta.</w:t>
      </w:r>
    </w:p>
    <w:p w14:paraId="2E8C3C0A" w14:textId="72772DDA" w:rsidR="00FC3C8F" w:rsidRPr="00FD5803" w:rsidRDefault="00FC3C8F" w:rsidP="009A1B99">
      <w:pPr>
        <w:spacing w:after="0" w:line="240" w:lineRule="auto"/>
        <w:ind w:firstLine="567"/>
        <w:jc w:val="both"/>
        <w:rPr>
          <w:rStyle w:val="tlid-translation"/>
        </w:rPr>
      </w:pPr>
      <w:r w:rsidRPr="00FD5803">
        <w:rPr>
          <w:rFonts w:cs="Arial"/>
        </w:rPr>
        <w:t xml:space="preserve">Remdamasis savo ankstesne praktika, Teismas pabrėžė, kad vertinant, ar asmens teisės į saviraiškos laisvę ribojimas buvo būtinas demokratinėje visuomenėje, siekiant apsaugoti kitų asmenų reputaciją, nacionalinės institucijos turi nustatyti teisingą pusiausvyrą tarp dviejų Konvencijos ginamų vertybių – viena vertus, Konvencijos 10 straipsnyje įtvirtintos teisės į saviraiškos laisvę ir, kita vertus, Konvencijos 8 straipsnyje įtvirtintos </w:t>
      </w:r>
      <w:r w:rsidRPr="00FD5803">
        <w:t xml:space="preserve">teisės į privataus ir šeimos gyvenimo gerbimą. Tačiau šios bylos kontekste Teismas sprendė, kad </w:t>
      </w:r>
      <w:r w:rsidRPr="00FD5803">
        <w:rPr>
          <w:rStyle w:val="tlid-translation"/>
        </w:rPr>
        <w:t xml:space="preserve">pareiškėjo paskelbtas pranešimas spaudai ir televizijai duotas interviu negali būti laikomi pasiekusiais tokią rimtumo ribą, galinčią pakenkti teisėjos G. E. profesinei reputacijai, kad būtų </w:t>
      </w:r>
      <w:r w:rsidR="007A3B02" w:rsidRPr="00FD5803">
        <w:rPr>
          <w:rStyle w:val="tlid-translation"/>
        </w:rPr>
        <w:t>pagrindas taikyti Konvencijos 8 </w:t>
      </w:r>
      <w:r w:rsidRPr="00FD5803">
        <w:rPr>
          <w:rStyle w:val="tlid-translation"/>
        </w:rPr>
        <w:t xml:space="preserve">straipsnį. </w:t>
      </w:r>
      <w:r w:rsidRPr="00FD5803">
        <w:rPr>
          <w:rFonts w:cs="Arial"/>
        </w:rPr>
        <w:t>Teismas sprendė, kad šiuo atveju valdžios institucijos nesugebėjo nustatyti tinkamos pusiausvyros tarp poreikio ginti teisėjos reputaciją ir pareiškėjo teisės pateikti informaciją apie vykstantį kriminalinį tyrimą visuomenei svarbiu klausimu.</w:t>
      </w:r>
    </w:p>
    <w:p w14:paraId="54E821B9" w14:textId="77777777" w:rsidR="00FC3C8F" w:rsidRPr="00FD5803" w:rsidRDefault="00FC3C8F" w:rsidP="009A1B99">
      <w:pPr>
        <w:spacing w:after="0" w:line="240" w:lineRule="auto"/>
        <w:ind w:firstLine="567"/>
        <w:jc w:val="both"/>
        <w:rPr>
          <w:rFonts w:cs="Arial"/>
        </w:rPr>
      </w:pPr>
      <w:r w:rsidRPr="00FD5803">
        <w:rPr>
          <w:rFonts w:cs="Arial"/>
        </w:rPr>
        <w:t>Taigi Teismas konstatavo, kad nacionalinės institucijos nenustatė pakankamai pagrįstų priežasčių, pateisinančių pareiškėjo teisių ribojimą. Teismas sprendė, kad šis ribojimas buvo neproporcingas siekiamam tikslui ir nebūtinas demokratinėje visuomenėje, todėl buvo pažeistas Konvencijos 10 straipsnis.</w:t>
      </w:r>
    </w:p>
    <w:p w14:paraId="6862AB18" w14:textId="77777777" w:rsidR="00FC3C8F" w:rsidRPr="00FD5803" w:rsidRDefault="00FC3C8F" w:rsidP="009A1B99">
      <w:pPr>
        <w:spacing w:after="0" w:line="240" w:lineRule="auto"/>
        <w:ind w:firstLine="567"/>
        <w:jc w:val="both"/>
        <w:rPr>
          <w:rFonts w:cs="Arial"/>
        </w:rPr>
      </w:pPr>
    </w:p>
    <w:p w14:paraId="2C4A9F59" w14:textId="77777777" w:rsidR="00FC3C8F" w:rsidRPr="00FD5803" w:rsidRDefault="00FC3C8F" w:rsidP="009A1B99">
      <w:pPr>
        <w:spacing w:after="0" w:line="240" w:lineRule="auto"/>
        <w:ind w:firstLine="567"/>
        <w:jc w:val="both"/>
        <w:rPr>
          <w:rFonts w:cs="Arial"/>
        </w:rPr>
      </w:pPr>
      <w:r w:rsidRPr="00FD5803">
        <w:rPr>
          <w:rFonts w:cs="Arial"/>
        </w:rPr>
        <w:t>Išvada: nustatytas Konvencijos 10 straipsnio pažeidimas (penkiais balsais prieš du).</w:t>
      </w:r>
    </w:p>
    <w:p w14:paraId="45CFD4D3" w14:textId="77777777" w:rsidR="00FC3C8F" w:rsidRPr="00FD5803" w:rsidRDefault="00FC3C8F" w:rsidP="009A1B99">
      <w:pPr>
        <w:spacing w:after="0" w:line="240" w:lineRule="auto"/>
        <w:ind w:firstLine="567"/>
        <w:jc w:val="both"/>
      </w:pPr>
      <w:r w:rsidRPr="00FD5803">
        <w:t xml:space="preserve">41 straipsnis: priteista </w:t>
      </w:r>
      <w:r w:rsidRPr="00FD5803">
        <w:rPr>
          <w:rFonts w:cs="Arial"/>
        </w:rPr>
        <w:t xml:space="preserve">1 825 </w:t>
      </w:r>
      <w:r w:rsidRPr="00FD5803">
        <w:t>Eur turtinei žalai ir 4 500 Eur neturtinei žalai atlyginti.</w:t>
      </w:r>
    </w:p>
    <w:p w14:paraId="51248508" w14:textId="77777777" w:rsidR="00FC3C8F" w:rsidRPr="00FD5803" w:rsidRDefault="007F5353" w:rsidP="009A1B99">
      <w:pPr>
        <w:ind w:firstLine="567"/>
      </w:pPr>
      <w:hyperlink r:id="rId27" w:anchor="{%22itemid%22:[%22001-188274%22]}" w:history="1">
        <w:r w:rsidR="00FC3C8F" w:rsidRPr="00FD5803">
          <w:rPr>
            <w:rStyle w:val="Hipersaitas"/>
            <w:rFonts w:cs="Arial"/>
          </w:rPr>
          <w:t>Prieiga internete</w:t>
        </w:r>
      </w:hyperlink>
    </w:p>
    <w:p w14:paraId="265FC27A" w14:textId="77777777" w:rsidR="006637D9" w:rsidRPr="00FD5803" w:rsidRDefault="006637D9" w:rsidP="009A1B99">
      <w:pPr>
        <w:pStyle w:val="Antrat1"/>
        <w:rPr>
          <w:szCs w:val="22"/>
        </w:rPr>
      </w:pPr>
      <w:bookmarkStart w:id="40" w:name="_Toc1402212"/>
      <w:bookmarkStart w:id="41" w:name="_Toc1657805"/>
      <w:r w:rsidRPr="00FD5803">
        <w:rPr>
          <w:szCs w:val="22"/>
        </w:rPr>
        <w:t>SUSIRINKIMŲ IR ASOCIACIJOS LAISVĖ (11 straipsnis)</w:t>
      </w:r>
      <w:bookmarkEnd w:id="40"/>
      <w:bookmarkEnd w:id="41"/>
    </w:p>
    <w:p w14:paraId="42B49A36" w14:textId="77777777" w:rsidR="006637D9" w:rsidRPr="00FD5803" w:rsidRDefault="006637D9" w:rsidP="009A1B99">
      <w:pPr>
        <w:spacing w:after="0" w:line="240" w:lineRule="auto"/>
        <w:jc w:val="center"/>
        <w:rPr>
          <w:rFonts w:cs="Arial"/>
          <w:b/>
        </w:rPr>
      </w:pPr>
    </w:p>
    <w:p w14:paraId="258CE5EE" w14:textId="77777777" w:rsidR="006637D9" w:rsidRPr="00FD5803" w:rsidRDefault="006637D9" w:rsidP="009A1B99">
      <w:pPr>
        <w:spacing w:after="0" w:line="240" w:lineRule="auto"/>
        <w:jc w:val="center"/>
        <w:rPr>
          <w:rFonts w:cs="Arial"/>
          <w:b/>
        </w:rPr>
      </w:pPr>
      <w:r w:rsidRPr="00FD5803">
        <w:rPr>
          <w:rFonts w:cs="Arial"/>
          <w:b/>
        </w:rPr>
        <w:t>Europos Žmogaus Teisių Teismo didžiosios kolegijos 2018 m. lapkričio 15 d. sprendimas byloje</w:t>
      </w:r>
    </w:p>
    <w:p w14:paraId="295DACE9" w14:textId="77777777" w:rsidR="006637D9" w:rsidRPr="00FD5803" w:rsidRDefault="006637D9" w:rsidP="009A1B99">
      <w:pPr>
        <w:pStyle w:val="Antrat2"/>
        <w:ind w:firstLine="0"/>
        <w:jc w:val="center"/>
        <w:rPr>
          <w:rFonts w:eastAsia="Calibri"/>
          <w:i/>
        </w:rPr>
      </w:pPr>
      <w:bookmarkStart w:id="42" w:name="_Toc1402213"/>
      <w:bookmarkStart w:id="43" w:name="_Toc1657806"/>
      <w:r w:rsidRPr="00FD5803">
        <w:rPr>
          <w:rFonts w:eastAsia="Calibri"/>
          <w:i/>
        </w:rPr>
        <w:t>Navalnyy prieš Rusiją</w:t>
      </w:r>
      <w:bookmarkEnd w:id="42"/>
      <w:bookmarkEnd w:id="43"/>
    </w:p>
    <w:p w14:paraId="09BF2B22" w14:textId="25B0ED0F" w:rsidR="006637D9" w:rsidRPr="00FD5803" w:rsidRDefault="006637D9" w:rsidP="009A1B99">
      <w:pPr>
        <w:spacing w:after="0" w:line="240" w:lineRule="auto"/>
        <w:jc w:val="center"/>
        <w:rPr>
          <w:rFonts w:cs="Arial"/>
          <w:b/>
        </w:rPr>
      </w:pPr>
      <w:r w:rsidRPr="00FD5803">
        <w:rPr>
          <w:rFonts w:cs="Arial"/>
          <w:b/>
        </w:rPr>
        <w:t xml:space="preserve">(pareiškimų Nr. 29580/12, 36847/12, 11252/1,3 12317/13, 43746/14, svarbos lygis – </w:t>
      </w:r>
      <w:r w:rsidR="00FD5803" w:rsidRPr="00FD5803">
        <w:rPr>
          <w:rFonts w:cstheme="minorHAnsi"/>
          <w:b/>
        </w:rPr>
        <w:t>skelbta Rinkinyje</w:t>
      </w:r>
      <w:r w:rsidRPr="00FD5803">
        <w:rPr>
          <w:rFonts w:cs="Arial"/>
          <w:b/>
        </w:rPr>
        <w:t>)</w:t>
      </w:r>
    </w:p>
    <w:p w14:paraId="05E66B95" w14:textId="77777777" w:rsidR="006637D9" w:rsidRPr="00FD5803" w:rsidRDefault="006637D9" w:rsidP="009A1B99">
      <w:pPr>
        <w:spacing w:after="0" w:line="240" w:lineRule="auto"/>
        <w:jc w:val="center"/>
        <w:rPr>
          <w:rFonts w:cs="Arial"/>
        </w:rPr>
      </w:pPr>
    </w:p>
    <w:p w14:paraId="73B9D764" w14:textId="77777777" w:rsidR="006637D9" w:rsidRPr="00FD5803" w:rsidRDefault="006637D9" w:rsidP="009A1B99">
      <w:pPr>
        <w:pStyle w:val="Antrat3"/>
        <w:spacing w:before="0" w:line="240" w:lineRule="auto"/>
        <w:ind w:firstLine="567"/>
        <w:jc w:val="both"/>
        <w:rPr>
          <w:rFonts w:eastAsia="Times New Roman"/>
          <w:szCs w:val="22"/>
          <w:shd w:val="clear" w:color="auto" w:fill="FFFFFF"/>
          <w:lang w:eastAsia="lt-LT"/>
        </w:rPr>
      </w:pPr>
      <w:bookmarkStart w:id="44" w:name="_Toc1402214"/>
      <w:bookmarkStart w:id="45" w:name="_Toc1657807"/>
      <w:r w:rsidRPr="00FD5803">
        <w:rPr>
          <w:rFonts w:eastAsia="Times New Roman"/>
          <w:szCs w:val="22"/>
          <w:shd w:val="clear" w:color="auto" w:fill="FFFFFF"/>
          <w:lang w:eastAsia="lt-LT"/>
        </w:rPr>
        <w:t>Dėl sistemingo susirinkimų laisvės ribojimo politinei opozicijai</w:t>
      </w:r>
      <w:bookmarkEnd w:id="44"/>
      <w:bookmarkEnd w:id="45"/>
      <w:r w:rsidRPr="00FD5803">
        <w:rPr>
          <w:rFonts w:eastAsia="Times New Roman"/>
          <w:szCs w:val="22"/>
          <w:shd w:val="clear" w:color="auto" w:fill="FFFFFF"/>
          <w:lang w:eastAsia="lt-LT"/>
        </w:rPr>
        <w:t xml:space="preserve">  </w:t>
      </w:r>
    </w:p>
    <w:p w14:paraId="3B89143C" w14:textId="77777777" w:rsidR="006637D9" w:rsidRPr="00FD5803" w:rsidRDefault="006637D9" w:rsidP="009A1B99">
      <w:pPr>
        <w:spacing w:after="0" w:line="240" w:lineRule="auto"/>
        <w:ind w:firstLine="540"/>
        <w:jc w:val="both"/>
        <w:rPr>
          <w:rFonts w:cs="Arial"/>
        </w:rPr>
      </w:pPr>
    </w:p>
    <w:p w14:paraId="14DA13D9" w14:textId="77777777" w:rsidR="006637D9" w:rsidRPr="00FD5803" w:rsidRDefault="006637D9" w:rsidP="009A1B99">
      <w:pPr>
        <w:spacing w:after="0" w:line="240" w:lineRule="auto"/>
        <w:jc w:val="center"/>
        <w:rPr>
          <w:rFonts w:cs="Arial"/>
          <w:b/>
        </w:rPr>
      </w:pPr>
      <w:r w:rsidRPr="00FD5803">
        <w:rPr>
          <w:rFonts w:cs="Arial"/>
          <w:b/>
        </w:rPr>
        <w:t>Faktinės aplinkybės</w:t>
      </w:r>
    </w:p>
    <w:p w14:paraId="0D381B57" w14:textId="77777777" w:rsidR="006637D9" w:rsidRPr="00FD5803" w:rsidRDefault="006637D9" w:rsidP="009A1B99">
      <w:pPr>
        <w:spacing w:after="0" w:line="240" w:lineRule="auto"/>
        <w:ind w:firstLine="540"/>
        <w:jc w:val="center"/>
        <w:rPr>
          <w:rFonts w:cs="Arial"/>
          <w:b/>
        </w:rPr>
      </w:pPr>
    </w:p>
    <w:p w14:paraId="3C7D923A" w14:textId="049C1A80" w:rsidR="006637D9" w:rsidRPr="00FD5803" w:rsidRDefault="006637D9" w:rsidP="009A1B99">
      <w:pPr>
        <w:spacing w:after="0" w:line="240" w:lineRule="auto"/>
        <w:ind w:firstLine="567"/>
        <w:jc w:val="both"/>
        <w:rPr>
          <w:rFonts w:cs="Arial"/>
        </w:rPr>
      </w:pPr>
      <w:r w:rsidRPr="00FD5803">
        <w:rPr>
          <w:rFonts w:cs="Arial"/>
        </w:rPr>
        <w:t>Pareiškėjas A. Navalnas aktyviai veikė politinėje veikloje, rengė antikorupcines kampanijas, buvo žinomas opozicijos atstovas. Šioje byloje buvo vertinami septyni atvejai nuo 2012 m. kovo iki 2014 m. vasario, kada jis buvo sulaikytas, laikinai suimtas</w:t>
      </w:r>
      <w:r w:rsidR="005D788D" w:rsidRPr="00FD5803">
        <w:rPr>
          <w:rFonts w:cs="Arial"/>
        </w:rPr>
        <w:t xml:space="preserve"> ir nuteistas už administraciniu</w:t>
      </w:r>
      <w:r w:rsidRPr="00FD5803">
        <w:rPr>
          <w:rFonts w:cs="Arial"/>
        </w:rPr>
        <w:t>s teisės pažeidimus. Šie pažeidimai buvo grindžiami tuo, kad jis galbūt dalyvavo nesankcionuotuose, bet taikiuose viešuose susirinkimuose. Penktuoju tirtu atveju pareiškėjas traukėsi iš minios, kuri stovėjo vietoje</w:t>
      </w:r>
      <w:r w:rsidR="005D788D" w:rsidRPr="00FD5803">
        <w:rPr>
          <w:rFonts w:cs="Arial"/>
        </w:rPr>
        <w:t>,</w:t>
      </w:r>
      <w:r w:rsidRPr="00FD5803">
        <w:rPr>
          <w:rFonts w:cs="Arial"/>
        </w:rPr>
        <w:t xml:space="preserve"> ir jį nusekė grupė žmonių, tarp kurių buvo ir žiniasklaidos atstovai. Valstybės institucijos tai interpretavo kaip nesankcionuotą eiseną, nors pareiškėjas neišreiškė jokio ketinimo atlikti kažką kito, išskyrus palikti protesto vietą, o jį sekusių žmonių grupė susiformavo ne jo iniciatyva. Šeštu tirtu atveju bandydamas patekti į teismo posėdį pareiškėjas atsidūrė prieš teismo pastatą susirinkusioje žmonių</w:t>
      </w:r>
      <w:r w:rsidR="00535F80">
        <w:rPr>
          <w:rFonts w:cs="Arial"/>
        </w:rPr>
        <w:t xml:space="preserve"> grupėje</w:t>
      </w:r>
      <w:r w:rsidRPr="00FD5803">
        <w:rPr>
          <w:rFonts w:cs="Arial"/>
        </w:rPr>
        <w:t>.</w:t>
      </w:r>
    </w:p>
    <w:p w14:paraId="385F88B2" w14:textId="77777777" w:rsidR="006637D9" w:rsidRPr="00FD5803" w:rsidRDefault="006637D9" w:rsidP="009A1B99">
      <w:pPr>
        <w:spacing w:after="0" w:line="240" w:lineRule="auto"/>
        <w:ind w:firstLine="567"/>
        <w:jc w:val="both"/>
        <w:rPr>
          <w:rFonts w:cs="Arial"/>
        </w:rPr>
      </w:pPr>
    </w:p>
    <w:p w14:paraId="440BF566" w14:textId="77777777" w:rsidR="006637D9" w:rsidRPr="00FD5803" w:rsidRDefault="006637D9" w:rsidP="009A1B99">
      <w:pPr>
        <w:spacing w:after="0" w:line="240" w:lineRule="auto"/>
        <w:jc w:val="center"/>
        <w:rPr>
          <w:rFonts w:cs="Arial"/>
        </w:rPr>
      </w:pPr>
      <w:r w:rsidRPr="00FD5803">
        <w:rPr>
          <w:rFonts w:cs="Arial"/>
          <w:b/>
        </w:rPr>
        <w:t>Neoficiali Teismo sprendimo apžvalga</w:t>
      </w:r>
    </w:p>
    <w:p w14:paraId="19D210A4" w14:textId="77777777" w:rsidR="006637D9" w:rsidRPr="00FD5803" w:rsidRDefault="006637D9" w:rsidP="009A1B99">
      <w:pPr>
        <w:spacing w:after="0" w:line="240" w:lineRule="auto"/>
        <w:ind w:firstLine="567"/>
        <w:jc w:val="both"/>
        <w:rPr>
          <w:rFonts w:cs="Arial"/>
        </w:rPr>
      </w:pPr>
    </w:p>
    <w:p w14:paraId="4530400A" w14:textId="77777777" w:rsidR="005D788D" w:rsidRPr="00FD5803" w:rsidRDefault="006637D9" w:rsidP="009A1B99">
      <w:pPr>
        <w:spacing w:after="0" w:line="240" w:lineRule="auto"/>
        <w:ind w:firstLine="567"/>
        <w:jc w:val="both"/>
        <w:rPr>
          <w:rFonts w:eastAsia="Times New Roman" w:cs="Times New Roman"/>
          <w:color w:val="000000"/>
          <w:lang w:eastAsia="lt-LT"/>
        </w:rPr>
      </w:pPr>
      <w:r w:rsidRPr="00FD5803">
        <w:rPr>
          <w:rFonts w:eastAsia="Times New Roman" w:cs="Times New Roman"/>
          <w:i/>
          <w:color w:val="000000"/>
          <w:lang w:eastAsia="lt-LT"/>
        </w:rPr>
        <w:t>Dėl Konvencijos 11 straipsnio pažeidimo</w:t>
      </w:r>
      <w:r w:rsidRPr="00FD5803">
        <w:rPr>
          <w:rFonts w:eastAsia="Times New Roman" w:cs="Times New Roman"/>
          <w:color w:val="000000"/>
          <w:lang w:eastAsia="lt-LT"/>
        </w:rPr>
        <w:t xml:space="preserve"> </w:t>
      </w:r>
    </w:p>
    <w:p w14:paraId="423D6DAC" w14:textId="77777777" w:rsidR="005D788D" w:rsidRPr="00FD5803" w:rsidRDefault="005D788D" w:rsidP="009A1B99">
      <w:pPr>
        <w:spacing w:after="0" w:line="240" w:lineRule="auto"/>
        <w:ind w:firstLine="567"/>
        <w:jc w:val="both"/>
        <w:rPr>
          <w:rFonts w:eastAsia="Times New Roman" w:cs="Times New Roman"/>
          <w:color w:val="000000"/>
          <w:lang w:eastAsia="lt-LT"/>
        </w:rPr>
      </w:pPr>
    </w:p>
    <w:p w14:paraId="2AD51B1A" w14:textId="5535CFEC" w:rsidR="006637D9" w:rsidRPr="00FD5803" w:rsidRDefault="006637D9" w:rsidP="009A1B99">
      <w:pPr>
        <w:spacing w:after="0" w:line="240" w:lineRule="auto"/>
        <w:ind w:firstLine="567"/>
        <w:jc w:val="both"/>
        <w:rPr>
          <w:rFonts w:eastAsia="Times New Roman" w:cs="Times New Roman"/>
          <w:color w:val="000000"/>
          <w:lang w:eastAsia="lt-LT"/>
        </w:rPr>
      </w:pPr>
      <w:r w:rsidRPr="00FD5803">
        <w:rPr>
          <w:rFonts w:eastAsia="Times New Roman" w:cs="Times New Roman"/>
          <w:color w:val="000000"/>
          <w:lang w:eastAsia="lt-LT"/>
        </w:rPr>
        <w:t>Konvencijos 11 straipsnis buvo taikytinas kiekvienam iš septynių atvejų. P</w:t>
      </w:r>
      <w:r w:rsidR="004B562D" w:rsidRPr="00FD5803">
        <w:rPr>
          <w:rFonts w:eastAsia="Times New Roman" w:cs="Times New Roman"/>
          <w:color w:val="000000"/>
          <w:lang w:eastAsia="lt-LT"/>
        </w:rPr>
        <w:t>agal p</w:t>
      </w:r>
      <w:r w:rsidRPr="00FD5803">
        <w:rPr>
          <w:rFonts w:eastAsia="Times New Roman" w:cs="Times New Roman"/>
          <w:color w:val="000000"/>
          <w:lang w:eastAsia="lt-LT"/>
        </w:rPr>
        <w:t xml:space="preserve">enktojo ir </w:t>
      </w:r>
      <w:r w:rsidR="004B562D" w:rsidRPr="00FD5803">
        <w:rPr>
          <w:rFonts w:eastAsia="Times New Roman" w:cs="Times New Roman"/>
          <w:color w:val="000000"/>
          <w:lang w:eastAsia="lt-LT"/>
        </w:rPr>
        <w:t>šeštojo tirtų atvejų aplinkybes</w:t>
      </w:r>
      <w:r w:rsidRPr="00FD5803">
        <w:rPr>
          <w:rFonts w:eastAsia="Times New Roman" w:cs="Times New Roman"/>
          <w:color w:val="000000"/>
          <w:lang w:eastAsia="lt-LT"/>
        </w:rPr>
        <w:t xml:space="preserve"> didžioji kolegija nustatė, kad atsakovė valstybė nesilaikė reikalavimo teisines priemones taikyti tik siekiant teisėto tikslo. Likę penki pareiškėjo sulaikymai įvyko per viešus renginius, kurie buvo suorganizuoti be išankstinio pranešimo arba pasibaigus nustatytam renginio laikui. Visi šie renginiai buvo taikūs susirinkimai ir mažai tikėtina, kad jie galėjo sukelti neramumų. Kaip ir ne vienu ankstesniu atveju, </w:t>
      </w:r>
      <w:r w:rsidRPr="00FD5803">
        <w:rPr>
          <w:rFonts w:eastAsia="Times New Roman" w:cs="Times New Roman"/>
          <w:color w:val="000000"/>
          <w:lang w:eastAsia="lt-LT"/>
        </w:rPr>
        <w:lastRenderedPageBreak/>
        <w:t>formalų susirinkimo neteisėtumą nacionalinės institucijos panaudojo kaip vienintelį pagrindą pasitelktoms teisinėms priemonėms. Didžioji teismo kolegija konstatavo, kad nesant jokio svarbaus visuomeninio poreikio, pareiškėjo suėmimas ir nubaudimas kiekvienu iš tirtų atvejų buvo neproporcinga reakcija.</w:t>
      </w:r>
    </w:p>
    <w:p w14:paraId="4C7D7EC6" w14:textId="77777777" w:rsidR="006637D9" w:rsidRPr="00FD5803" w:rsidRDefault="006637D9" w:rsidP="009A1B99">
      <w:pPr>
        <w:spacing w:after="0" w:line="240" w:lineRule="auto"/>
        <w:ind w:firstLine="567"/>
        <w:jc w:val="both"/>
        <w:rPr>
          <w:rFonts w:eastAsia="Times New Roman" w:cs="Times New Roman"/>
          <w:color w:val="000000"/>
          <w:lang w:eastAsia="lt-LT"/>
        </w:rPr>
      </w:pPr>
      <w:r w:rsidRPr="00FD5803">
        <w:rPr>
          <w:rFonts w:eastAsia="Times New Roman" w:cs="Times New Roman"/>
          <w:color w:val="000000"/>
          <w:lang w:eastAsia="lt-LT"/>
        </w:rPr>
        <w:t>Be to, byloje buvo nustatytas ryšys tarp šių pažeidimų ir struktūrinių netobulumų teisiniame reguliavime, kurie lėmė perdėtai griežtus formalius reikalavimus tam tikrų viešų susirinkimų organizavimui. Viešo susirinkimo, kurį organizuojant privaloma pateikti išankstinį pranešimą, samprata įstatymuose yra apibrėžta neaiškiai. Taip pat teisės aktuose numatytos itin griežtos sankcijos už susirinkimus, kurie surengti nesilaikant procedūrinių reikalavimų: valdžios pareigūnai turi nepagrįstai didelę diskreciją nedelsiant taikyti laisvės apribojimą ir net baudžiamojo pobūdžio sankcijas. Tai lemia, kad susijusi nacionalinė teisė negali būti apibūdinta kaip suteikianti efektyvias apsaugos nuo piktnaudžiavimo įgaliojimais priemones.</w:t>
      </w:r>
    </w:p>
    <w:p w14:paraId="057552F7" w14:textId="77777777" w:rsidR="006637D9" w:rsidRPr="00FD5803" w:rsidRDefault="006637D9" w:rsidP="009A1B99">
      <w:pPr>
        <w:spacing w:after="0" w:line="240" w:lineRule="auto"/>
        <w:ind w:firstLine="567"/>
        <w:jc w:val="both"/>
        <w:rPr>
          <w:rFonts w:eastAsia="Times New Roman" w:cs="Times New Roman"/>
          <w:color w:val="000000"/>
          <w:lang w:eastAsia="lt-LT"/>
        </w:rPr>
      </w:pPr>
      <w:r w:rsidRPr="00FD5803">
        <w:rPr>
          <w:rFonts w:eastAsia="Times New Roman" w:cs="Times New Roman"/>
          <w:color w:val="000000"/>
          <w:lang w:eastAsia="lt-LT"/>
        </w:rPr>
        <w:t>Taip pat ginčytos poveikio priemonės turėjo rimtą potencialą atgrasinti kitus opozicijos palaikytojus ir visą visuomenę nuo dalyvavimo demonstracijose ir bendrąja prasme nuo dalyvavimo atvirose politinėse diskusijose. Šis padarinys ypač tikėtinas, kadangi tirtu atveju nukentėjusysis buvo gerai visuomenėje žinomas viešas asmuo, todėl jam pritaikytos poveikio priemonės turėjo sulaukti plataus aptarimo žiniasklaidoje.</w:t>
      </w:r>
    </w:p>
    <w:p w14:paraId="00FC89D4" w14:textId="77777777" w:rsidR="006637D9" w:rsidRPr="00FD5803" w:rsidRDefault="006637D9" w:rsidP="009A1B99">
      <w:pPr>
        <w:pStyle w:val="s6c429373"/>
        <w:shd w:val="clear" w:color="auto" w:fill="FFFFFF"/>
        <w:spacing w:before="0" w:beforeAutospacing="0" w:after="0" w:afterAutospacing="0"/>
        <w:ind w:firstLine="567"/>
        <w:jc w:val="both"/>
        <w:rPr>
          <w:rStyle w:val="sfbbfee58"/>
          <w:rFonts w:asciiTheme="minorHAnsi" w:hAnsiTheme="minorHAnsi"/>
          <w:color w:val="000000"/>
          <w:sz w:val="22"/>
          <w:szCs w:val="22"/>
        </w:rPr>
      </w:pPr>
      <w:r w:rsidRPr="00FD5803">
        <w:rPr>
          <w:rStyle w:val="sfbbfee58"/>
          <w:rFonts w:asciiTheme="minorHAnsi" w:hAnsiTheme="minorHAnsi"/>
          <w:color w:val="000000"/>
          <w:sz w:val="22"/>
          <w:szCs w:val="22"/>
        </w:rPr>
        <w:t>Išvada: pažeidimas.</w:t>
      </w:r>
    </w:p>
    <w:p w14:paraId="7340310D" w14:textId="77777777" w:rsidR="006637D9" w:rsidRPr="00FD5803" w:rsidRDefault="006637D9" w:rsidP="009A1B99">
      <w:pPr>
        <w:spacing w:after="0" w:line="240" w:lineRule="auto"/>
        <w:ind w:firstLine="567"/>
        <w:jc w:val="both"/>
        <w:rPr>
          <w:rFonts w:cs="Arial"/>
        </w:rPr>
      </w:pPr>
    </w:p>
    <w:p w14:paraId="34EC2632" w14:textId="77777777" w:rsidR="004B562D" w:rsidRPr="00FD5803" w:rsidRDefault="006637D9" w:rsidP="009A1B99">
      <w:pPr>
        <w:spacing w:after="0" w:line="240" w:lineRule="auto"/>
        <w:ind w:firstLine="567"/>
        <w:jc w:val="both"/>
        <w:rPr>
          <w:rFonts w:eastAsia="Times New Roman" w:cs="Times New Roman"/>
          <w:color w:val="000000"/>
          <w:lang w:eastAsia="lt-LT"/>
        </w:rPr>
      </w:pPr>
      <w:r w:rsidRPr="00FD5803">
        <w:rPr>
          <w:rFonts w:eastAsia="Times New Roman" w:cs="Times New Roman"/>
          <w:i/>
          <w:color w:val="000000"/>
          <w:lang w:eastAsia="lt-LT"/>
        </w:rPr>
        <w:t>Dėl Konvencijos 18 straipsnio pažeidimo</w:t>
      </w:r>
      <w:r w:rsidRPr="00FD5803">
        <w:rPr>
          <w:rFonts w:eastAsia="Times New Roman" w:cs="Times New Roman"/>
          <w:color w:val="000000"/>
          <w:lang w:eastAsia="lt-LT"/>
        </w:rPr>
        <w:t xml:space="preserve"> </w:t>
      </w:r>
    </w:p>
    <w:p w14:paraId="4DD01924" w14:textId="77777777" w:rsidR="004B562D" w:rsidRPr="00FD5803" w:rsidRDefault="004B562D" w:rsidP="009A1B99">
      <w:pPr>
        <w:spacing w:after="0" w:line="240" w:lineRule="auto"/>
        <w:ind w:firstLine="567"/>
        <w:jc w:val="both"/>
        <w:rPr>
          <w:rFonts w:eastAsia="Times New Roman" w:cs="Times New Roman"/>
          <w:color w:val="000000"/>
          <w:lang w:eastAsia="lt-LT"/>
        </w:rPr>
      </w:pPr>
    </w:p>
    <w:p w14:paraId="00A6B1EB" w14:textId="1BBA1BFA" w:rsidR="006637D9" w:rsidRPr="00FD5803" w:rsidRDefault="004B562D" w:rsidP="009A1B99">
      <w:pPr>
        <w:spacing w:after="0" w:line="240" w:lineRule="auto"/>
        <w:ind w:firstLine="567"/>
        <w:jc w:val="both"/>
        <w:rPr>
          <w:rFonts w:eastAsia="Times New Roman" w:cs="Times New Roman"/>
          <w:color w:val="000000"/>
          <w:lang w:eastAsia="lt-LT"/>
        </w:rPr>
      </w:pPr>
      <w:r w:rsidRPr="00FD5803">
        <w:rPr>
          <w:rFonts w:eastAsia="Times New Roman" w:cs="Times New Roman"/>
          <w:color w:val="000000"/>
          <w:lang w:eastAsia="lt-LT"/>
        </w:rPr>
        <w:t>D</w:t>
      </w:r>
      <w:r w:rsidR="006637D9" w:rsidRPr="00FD5803">
        <w:rPr>
          <w:rFonts w:eastAsia="Times New Roman" w:cs="Times New Roman"/>
          <w:color w:val="000000"/>
          <w:lang w:eastAsia="lt-LT"/>
        </w:rPr>
        <w:t>idžioji kolegija pažymėjo, kad Konvencijos 18 straipsnis šioje byloje atspindi pamatinį aspektą. Teisėto tikslo nebuvimas penktuoju ir šeštuoju pareiškėjo suėmimo atveju savaime negali būti laikomas savaime lemiančiu ir 18 straipsnio pažeidimą, todėl byloje reikalinga įvertinti, ar galėjo būti identifikuotas užslėptas vėlesnis tikslas.</w:t>
      </w:r>
    </w:p>
    <w:p w14:paraId="16043C7F" w14:textId="4F2BB2D7" w:rsidR="006637D9" w:rsidRPr="00FD5803" w:rsidRDefault="006637D9" w:rsidP="009A1B99">
      <w:pPr>
        <w:spacing w:after="0" w:line="240" w:lineRule="auto"/>
        <w:ind w:firstLine="567"/>
        <w:jc w:val="both"/>
        <w:rPr>
          <w:rFonts w:cs="Arial"/>
        </w:rPr>
      </w:pPr>
      <w:r w:rsidRPr="00FD5803">
        <w:rPr>
          <w:rFonts w:eastAsia="Times New Roman" w:cs="Times New Roman"/>
          <w:color w:val="000000"/>
          <w:lang w:eastAsia="lt-LT"/>
        </w:rPr>
        <w:t xml:space="preserve">Galutinį </w:t>
      </w:r>
      <w:r w:rsidR="004B562D" w:rsidRPr="00FD5803">
        <w:rPr>
          <w:rFonts w:eastAsia="Times New Roman" w:cs="Times New Roman"/>
          <w:color w:val="000000"/>
          <w:lang w:eastAsia="lt-LT"/>
        </w:rPr>
        <w:t>T</w:t>
      </w:r>
      <w:r w:rsidRPr="00FD5803">
        <w:rPr>
          <w:rFonts w:eastAsia="Times New Roman" w:cs="Times New Roman"/>
          <w:color w:val="000000"/>
          <w:lang w:eastAsia="lt-LT"/>
        </w:rPr>
        <w:t>eismo įvertinimą lėmė trys reikšmingiausi elementai. Pirmiausiai, didžioji kolegija atsižvelgė į suėmimų eiliškumą. Viena vertus, ilgainiui septynių suėmimų pretekstai darėsi vis labiau neįtiki</w:t>
      </w:r>
      <w:r w:rsidR="004B562D" w:rsidRPr="00FD5803">
        <w:rPr>
          <w:rFonts w:eastAsia="Times New Roman" w:cs="Times New Roman"/>
          <w:color w:val="000000"/>
          <w:lang w:eastAsia="lt-LT"/>
        </w:rPr>
        <w:t>na</w:t>
      </w:r>
      <w:r w:rsidRPr="00FD5803">
        <w:rPr>
          <w:rFonts w:eastAsia="Times New Roman" w:cs="Times New Roman"/>
          <w:color w:val="000000"/>
          <w:lang w:eastAsia="lt-LT"/>
        </w:rPr>
        <w:t>mi, nors potencialių ar realių neramumų laipsnis bei pareiškėjo vaidmuo vis mažėjo, kol penktajame ir šeštajame suėmime apskritai nebuvo aptikta jokio pagrįsto tikslo suimti pareiškėją. Be to, teismas atsižvelgė į kontekstą, susijusį su pareiškėju tiesiogiai ir su bendra padėtimi. Suimdamos pareiškėją valdžios institucijos žinojo, kad taikoma praktika buvo nesuderinama su Konvencija. Paraleliai šiems suėmimas prieš pareiškėją buvo vykdomasis baudžiamasis persekiojimas. Byloje buvo galima aptikti kryptingai susijusius konteksto įrodymus, patvirtinančius, kad valstybinės institucijos darėsi vis griežtesnės savo reakcijomis į pareiškėjo elgesį atstovaujant opoziciją, vykdant kitokias politines iniciatyvas, be kita ko, naudojantis teise į viešus politinio pobūdžio susirinkimus. Teisinio reguliavimo pakeitimai tęsė tendenciją griežtinti susirinkimų laisvės apribojimus, dėl ko nuogąstavimus buvo išsakę keli Europos Tarybos organai. Trečiasis byloje reikšmingas elementas buvo tai, kad pareiškėjo, kaip opozicijos politiko, baudimas, yra paveikiantis ne tik kitus politinius aktyvistus ar jų rėmėjus, bet pačią demokratijos esmę. Didžioji kolegija priėjo prie išvados, kad penktasis ir šeštasis suėmimai buvo įvykdyti siekiant užslėpto tikslo 18 straipsnio prasme, kuris labiausiai pasireiškė sieki</w:t>
      </w:r>
      <w:r w:rsidR="00535F80">
        <w:rPr>
          <w:rFonts w:eastAsia="Times New Roman" w:cs="Times New Roman"/>
          <w:color w:val="000000"/>
          <w:lang w:eastAsia="lt-LT"/>
        </w:rPr>
        <w:t>ant</w:t>
      </w:r>
      <w:r w:rsidRPr="00FD5803">
        <w:rPr>
          <w:rFonts w:eastAsia="Times New Roman" w:cs="Times New Roman"/>
          <w:color w:val="000000"/>
          <w:lang w:eastAsia="lt-LT"/>
        </w:rPr>
        <w:t xml:space="preserve"> numalšinti politinių nuomonę įvairovę, kuri yra dalis efektyvios politinės demokratijos, grindžiamos teisės viešpatavimu.</w:t>
      </w:r>
    </w:p>
    <w:p w14:paraId="3B91897D" w14:textId="77777777" w:rsidR="006637D9" w:rsidRPr="00FD5803" w:rsidRDefault="006637D9" w:rsidP="009A1B99">
      <w:pPr>
        <w:pStyle w:val="s6c429373"/>
        <w:shd w:val="clear" w:color="auto" w:fill="FFFFFF"/>
        <w:spacing w:before="0" w:beforeAutospacing="0" w:after="0" w:afterAutospacing="0"/>
        <w:ind w:firstLine="567"/>
        <w:jc w:val="both"/>
        <w:rPr>
          <w:rStyle w:val="sfbbfee58"/>
          <w:rFonts w:asciiTheme="minorHAnsi" w:hAnsiTheme="minorHAnsi"/>
          <w:color w:val="000000"/>
          <w:sz w:val="22"/>
          <w:szCs w:val="22"/>
        </w:rPr>
      </w:pPr>
      <w:r w:rsidRPr="00FD5803">
        <w:rPr>
          <w:rStyle w:val="sfbbfee58"/>
          <w:rFonts w:asciiTheme="minorHAnsi" w:hAnsiTheme="minorHAnsi"/>
          <w:color w:val="000000"/>
          <w:sz w:val="22"/>
          <w:szCs w:val="22"/>
        </w:rPr>
        <w:t>Išvada: pažeidimas.</w:t>
      </w:r>
    </w:p>
    <w:p w14:paraId="59544BF9" w14:textId="00FFF904" w:rsidR="006637D9" w:rsidRPr="00FD5803" w:rsidRDefault="004A150D" w:rsidP="009A1B99">
      <w:pPr>
        <w:pStyle w:val="s6c429373"/>
        <w:shd w:val="clear" w:color="auto" w:fill="FFFFFF"/>
        <w:spacing w:before="0" w:beforeAutospacing="0" w:after="0" w:afterAutospacing="0"/>
        <w:ind w:firstLine="567"/>
        <w:jc w:val="both"/>
        <w:rPr>
          <w:rStyle w:val="sfbbfee58"/>
          <w:rFonts w:asciiTheme="minorHAnsi" w:hAnsiTheme="minorHAnsi"/>
          <w:color w:val="000000"/>
          <w:sz w:val="22"/>
          <w:szCs w:val="22"/>
        </w:rPr>
      </w:pPr>
      <w:r w:rsidRPr="00FD5803">
        <w:rPr>
          <w:rFonts w:ascii="Calibri" w:hAnsi="Calibri" w:cs="Calibri"/>
          <w:sz w:val="22"/>
          <w:szCs w:val="22"/>
        </w:rPr>
        <w:t xml:space="preserve">41 straipsnis: </w:t>
      </w:r>
      <w:r w:rsidR="006637D9" w:rsidRPr="00FD5803">
        <w:rPr>
          <w:rStyle w:val="sfbbfee58"/>
          <w:rFonts w:asciiTheme="minorHAnsi" w:hAnsiTheme="minorHAnsi"/>
          <w:color w:val="000000"/>
          <w:sz w:val="22"/>
          <w:szCs w:val="22"/>
        </w:rPr>
        <w:t>priteistas 50</w:t>
      </w:r>
      <w:r w:rsidRPr="00FD5803">
        <w:rPr>
          <w:rStyle w:val="sfbbfee58"/>
          <w:rFonts w:asciiTheme="minorHAnsi" w:hAnsiTheme="minorHAnsi"/>
          <w:color w:val="000000"/>
          <w:sz w:val="22"/>
          <w:szCs w:val="22"/>
        </w:rPr>
        <w:t xml:space="preserve"> </w:t>
      </w:r>
      <w:r w:rsidR="006637D9" w:rsidRPr="00FD5803">
        <w:rPr>
          <w:rStyle w:val="sfbbfee58"/>
          <w:rFonts w:asciiTheme="minorHAnsi" w:hAnsiTheme="minorHAnsi"/>
          <w:color w:val="000000"/>
          <w:sz w:val="22"/>
          <w:szCs w:val="22"/>
        </w:rPr>
        <w:t xml:space="preserve">000 </w:t>
      </w:r>
      <w:r w:rsidRPr="00FD5803">
        <w:rPr>
          <w:rStyle w:val="sfbbfee58"/>
          <w:rFonts w:asciiTheme="minorHAnsi" w:hAnsiTheme="minorHAnsi"/>
          <w:color w:val="000000"/>
          <w:sz w:val="22"/>
          <w:szCs w:val="22"/>
        </w:rPr>
        <w:t>Eur</w:t>
      </w:r>
      <w:r w:rsidR="006637D9" w:rsidRPr="00FD5803">
        <w:rPr>
          <w:rStyle w:val="sfbbfee58"/>
          <w:rFonts w:asciiTheme="minorHAnsi" w:hAnsiTheme="minorHAnsi"/>
          <w:color w:val="000000"/>
          <w:sz w:val="22"/>
          <w:szCs w:val="22"/>
        </w:rPr>
        <w:t xml:space="preserve"> neturtinės žalos ir 1</w:t>
      </w:r>
      <w:r w:rsidRPr="00FD5803">
        <w:rPr>
          <w:rStyle w:val="sfbbfee58"/>
          <w:rFonts w:asciiTheme="minorHAnsi" w:hAnsiTheme="minorHAnsi"/>
          <w:color w:val="000000"/>
          <w:sz w:val="22"/>
          <w:szCs w:val="22"/>
        </w:rPr>
        <w:t xml:space="preserve"> </w:t>
      </w:r>
      <w:r w:rsidR="006637D9" w:rsidRPr="00FD5803">
        <w:rPr>
          <w:rStyle w:val="sfbbfee58"/>
          <w:rFonts w:asciiTheme="minorHAnsi" w:hAnsiTheme="minorHAnsi"/>
          <w:color w:val="000000"/>
          <w:sz w:val="22"/>
          <w:szCs w:val="22"/>
        </w:rPr>
        <w:t xml:space="preserve">025 </w:t>
      </w:r>
      <w:r w:rsidRPr="00FD5803">
        <w:rPr>
          <w:rStyle w:val="sfbbfee58"/>
          <w:rFonts w:asciiTheme="minorHAnsi" w:hAnsiTheme="minorHAnsi"/>
          <w:color w:val="000000"/>
          <w:sz w:val="22"/>
          <w:szCs w:val="22"/>
        </w:rPr>
        <w:t>Eur</w:t>
      </w:r>
      <w:r w:rsidR="006637D9" w:rsidRPr="00FD5803">
        <w:rPr>
          <w:rStyle w:val="sfbbfee58"/>
          <w:rFonts w:asciiTheme="minorHAnsi" w:hAnsiTheme="minorHAnsi"/>
          <w:color w:val="000000"/>
          <w:sz w:val="22"/>
          <w:szCs w:val="22"/>
        </w:rPr>
        <w:t xml:space="preserve"> turtinės žalos atlyginimas.</w:t>
      </w:r>
    </w:p>
    <w:p w14:paraId="11F38399" w14:textId="529B88A9" w:rsidR="006637D9" w:rsidRPr="00FD5803" w:rsidRDefault="007F5353" w:rsidP="009A1B99">
      <w:pPr>
        <w:spacing w:after="0" w:line="240" w:lineRule="auto"/>
        <w:ind w:firstLine="567"/>
        <w:jc w:val="both"/>
        <w:rPr>
          <w:rFonts w:cs="Arial"/>
        </w:rPr>
      </w:pPr>
      <w:hyperlink r:id="rId28" w:history="1">
        <w:r w:rsidR="006637D9" w:rsidRPr="00FD5803">
          <w:rPr>
            <w:rStyle w:val="Hipersaitas"/>
            <w:rFonts w:cs="Arial"/>
          </w:rPr>
          <w:t>Prieiga internete</w:t>
        </w:r>
      </w:hyperlink>
      <w:r w:rsidR="006637D9" w:rsidRPr="00FD5803">
        <w:rPr>
          <w:rFonts w:cs="Arial"/>
        </w:rPr>
        <w:t xml:space="preserve"> </w:t>
      </w:r>
    </w:p>
    <w:p w14:paraId="011070B5" w14:textId="77777777" w:rsidR="00C21437" w:rsidRPr="00FD5803" w:rsidRDefault="00C21437" w:rsidP="009A1B99">
      <w:pPr>
        <w:spacing w:after="0" w:line="240" w:lineRule="auto"/>
        <w:ind w:firstLine="567"/>
        <w:rPr>
          <w:rFonts w:cs="Calibri"/>
        </w:rPr>
      </w:pPr>
    </w:p>
    <w:p w14:paraId="6CEB07E3" w14:textId="77777777" w:rsidR="00C21437" w:rsidRPr="00FD5803" w:rsidRDefault="00C21437" w:rsidP="009A1B99">
      <w:pPr>
        <w:pStyle w:val="Antrat1"/>
        <w:keepLines w:val="0"/>
        <w:tabs>
          <w:tab w:val="right" w:leader="dot" w:pos="9639"/>
        </w:tabs>
        <w:spacing w:before="0"/>
        <w:rPr>
          <w:szCs w:val="22"/>
        </w:rPr>
      </w:pPr>
      <w:bookmarkStart w:id="46" w:name="_Toc490820967"/>
      <w:bookmarkStart w:id="47" w:name="_Toc1657808"/>
      <w:r w:rsidRPr="00FD5803">
        <w:rPr>
          <w:szCs w:val="22"/>
        </w:rPr>
        <w:t>TEISĖ Į SANTUOKĄ (12 straipsnis)</w:t>
      </w:r>
      <w:bookmarkEnd w:id="46"/>
      <w:bookmarkEnd w:id="47"/>
    </w:p>
    <w:p w14:paraId="0F9A7718" w14:textId="77777777" w:rsidR="00C21437" w:rsidRPr="00FD5803" w:rsidRDefault="00C21437" w:rsidP="009A1B99">
      <w:pPr>
        <w:spacing w:after="0" w:line="240" w:lineRule="auto"/>
        <w:rPr>
          <w:lang w:eastAsia="lt-LT"/>
        </w:rPr>
      </w:pPr>
    </w:p>
    <w:p w14:paraId="33D78F4A" w14:textId="77777777" w:rsidR="00C21437" w:rsidRPr="00FD5803" w:rsidRDefault="00C21437" w:rsidP="009A1B99">
      <w:pPr>
        <w:spacing w:after="0" w:line="240" w:lineRule="auto"/>
        <w:jc w:val="center"/>
        <w:rPr>
          <w:rFonts w:cs="Arial"/>
          <w:b/>
        </w:rPr>
      </w:pPr>
      <w:r w:rsidRPr="00FD5803">
        <w:rPr>
          <w:rFonts w:cs="Arial"/>
          <w:b/>
        </w:rPr>
        <w:t>Europos Žmogaus Teisių Teismo 2018 m. spalio 25 d. sprendimas byloje</w:t>
      </w:r>
    </w:p>
    <w:p w14:paraId="6FA0CCDE" w14:textId="77777777" w:rsidR="00C21437" w:rsidRPr="00FD5803" w:rsidRDefault="00C21437" w:rsidP="00FD5803">
      <w:pPr>
        <w:pStyle w:val="Antrat2"/>
        <w:ind w:firstLine="0"/>
        <w:jc w:val="center"/>
        <w:rPr>
          <w:rFonts w:eastAsia="Calibri"/>
          <w:i/>
        </w:rPr>
      </w:pPr>
      <w:bookmarkStart w:id="48" w:name="_Toc508724934"/>
      <w:bookmarkStart w:id="49" w:name="_Toc1657809"/>
      <w:proofErr w:type="spellStart"/>
      <w:r w:rsidRPr="00FD5803">
        <w:rPr>
          <w:rFonts w:eastAsia="Calibri"/>
          <w:i/>
        </w:rPr>
        <w:t>Delecolle</w:t>
      </w:r>
      <w:proofErr w:type="spellEnd"/>
      <w:r w:rsidRPr="00FD5803">
        <w:rPr>
          <w:rFonts w:eastAsia="Calibri"/>
          <w:i/>
        </w:rPr>
        <w:t xml:space="preserve"> prieš Prancūziją</w:t>
      </w:r>
      <w:bookmarkEnd w:id="48"/>
      <w:bookmarkEnd w:id="49"/>
    </w:p>
    <w:p w14:paraId="06E04954" w14:textId="77777777" w:rsidR="00C21437" w:rsidRPr="00FD5803" w:rsidRDefault="00C21437" w:rsidP="00FD5803">
      <w:pPr>
        <w:spacing w:after="0" w:line="240" w:lineRule="auto"/>
        <w:jc w:val="center"/>
        <w:rPr>
          <w:rFonts w:cs="Arial"/>
          <w:b/>
        </w:rPr>
      </w:pPr>
      <w:r w:rsidRPr="00FD5803">
        <w:rPr>
          <w:rFonts w:cs="Arial"/>
          <w:b/>
        </w:rPr>
        <w:t>(pareiškimo Nr. 37646/13, svarbos lygis – 2)</w:t>
      </w:r>
    </w:p>
    <w:p w14:paraId="6569C58C" w14:textId="77777777" w:rsidR="00C21437" w:rsidRPr="00FD5803" w:rsidRDefault="00C21437" w:rsidP="009A1B99">
      <w:pPr>
        <w:pStyle w:val="s6c429373"/>
        <w:shd w:val="clear" w:color="auto" w:fill="FFFFFF"/>
        <w:spacing w:before="0" w:beforeAutospacing="0" w:after="0" w:afterAutospacing="0"/>
        <w:ind w:firstLine="567"/>
        <w:jc w:val="both"/>
        <w:rPr>
          <w:rStyle w:val="sfbbfee58"/>
          <w:rFonts w:ascii="Calibri" w:hAnsi="Calibri" w:cs="Arial"/>
          <w:i/>
          <w:color w:val="000000"/>
          <w:sz w:val="22"/>
          <w:szCs w:val="22"/>
        </w:rPr>
      </w:pPr>
    </w:p>
    <w:p w14:paraId="25CC883E" w14:textId="77777777" w:rsidR="00C21437" w:rsidRPr="00FD5803" w:rsidRDefault="00C21437" w:rsidP="009A1B99">
      <w:pPr>
        <w:pStyle w:val="Antrat3"/>
        <w:spacing w:before="0" w:line="240" w:lineRule="auto"/>
        <w:ind w:firstLine="567"/>
        <w:jc w:val="both"/>
        <w:rPr>
          <w:rStyle w:val="sfbbfee58"/>
          <w:szCs w:val="22"/>
        </w:rPr>
      </w:pPr>
      <w:bookmarkStart w:id="50" w:name="_Toc508724935"/>
      <w:bookmarkStart w:id="51" w:name="_Toc1657810"/>
      <w:r w:rsidRPr="00FD5803">
        <w:rPr>
          <w:rStyle w:val="sfbbfee58"/>
          <w:szCs w:val="22"/>
        </w:rPr>
        <w:t xml:space="preserve">Dėl </w:t>
      </w:r>
      <w:bookmarkEnd w:id="50"/>
      <w:r w:rsidRPr="00FD5803">
        <w:rPr>
          <w:rStyle w:val="sfbbfee58"/>
          <w:szCs w:val="22"/>
        </w:rPr>
        <w:t>atsisakymo leisti sudaryti santuoką asmeniui, kuriam paskirta globa</w:t>
      </w:r>
      <w:bookmarkEnd w:id="51"/>
    </w:p>
    <w:p w14:paraId="32937A15" w14:textId="77777777" w:rsidR="00C21437" w:rsidRPr="00FD5803" w:rsidRDefault="00C21437" w:rsidP="009A1B99">
      <w:pPr>
        <w:pStyle w:val="s6c429373"/>
        <w:shd w:val="clear" w:color="auto" w:fill="FFFFFF"/>
        <w:spacing w:before="0" w:beforeAutospacing="0" w:after="0" w:afterAutospacing="0"/>
        <w:ind w:firstLine="567"/>
        <w:jc w:val="both"/>
        <w:rPr>
          <w:rFonts w:ascii="Calibri" w:hAnsi="Calibri" w:cs="Arial"/>
          <w:i/>
          <w:color w:val="000000"/>
          <w:sz w:val="22"/>
          <w:szCs w:val="22"/>
        </w:rPr>
      </w:pPr>
    </w:p>
    <w:p w14:paraId="5EBF3D03" w14:textId="77777777" w:rsidR="00C21437" w:rsidRPr="00FD5803" w:rsidRDefault="00C21437" w:rsidP="009A1B99">
      <w:pPr>
        <w:spacing w:after="0" w:line="240" w:lineRule="auto"/>
        <w:jc w:val="center"/>
        <w:rPr>
          <w:rFonts w:cs="Arial"/>
          <w:b/>
        </w:rPr>
      </w:pPr>
      <w:r w:rsidRPr="00FD5803">
        <w:rPr>
          <w:rFonts w:cs="Arial"/>
          <w:b/>
        </w:rPr>
        <w:t>Faktinės aplinkybės</w:t>
      </w:r>
    </w:p>
    <w:p w14:paraId="69947D92" w14:textId="77777777" w:rsidR="00C21437" w:rsidRPr="00FD5803" w:rsidRDefault="00C21437" w:rsidP="009A1B99">
      <w:pPr>
        <w:spacing w:after="0" w:line="240" w:lineRule="auto"/>
        <w:ind w:firstLine="567"/>
      </w:pPr>
    </w:p>
    <w:p w14:paraId="00A22FF2" w14:textId="3058F6E6" w:rsidR="00C21437" w:rsidRPr="00FD5803" w:rsidRDefault="00C21437" w:rsidP="009A1B99">
      <w:pPr>
        <w:spacing w:after="0" w:line="240" w:lineRule="auto"/>
        <w:ind w:firstLine="567"/>
        <w:jc w:val="both"/>
      </w:pPr>
      <w:r w:rsidRPr="00FD5803">
        <w:lastRenderedPageBreak/>
        <w:t xml:space="preserve">Pareiškėjui </w:t>
      </w:r>
      <w:r w:rsidRPr="00FD5803">
        <w:softHyphen/>
        <w:t xml:space="preserve">– 72 metų Prancūzijos piliečiui </w:t>
      </w:r>
      <w:proofErr w:type="spellStart"/>
      <w:r w:rsidRPr="00FD5803">
        <w:t>Delecolle</w:t>
      </w:r>
      <w:proofErr w:type="spellEnd"/>
      <w:r w:rsidRPr="00FD5803">
        <w:t xml:space="preserve"> – buvo nustatyta globa. Nors tokį sprendimą jis skundė, teismas nusprendė, kad pareiškėjas yra fiziškai ir intelektualiai nebepajėgus valdyti savo nekilnojamąjį turtą. Kai pareiškėjas jam paskirtos globotojos paprašė leidimo vesti M. S., ši jo nesuteikė. Globos teisėjas nusprendė, kad toks pareiškėjo noras prieštaravo jo interesams pirmiausia dėl to, kad vyko didelis šeimos konfliktas, kurio centre buvo atsidūrę pareiškėjo finansiniai interesai, antra, pareiškėjo protinių gebėjimų sutrikimus įvertinęs medicinos ekspertas nustatė, jog pareiškėjas buvo pakankamai veiksnus išreikšti norą sudaryti santuoką, tačiau negebėjo suprasti ir kontroliuoti tokio veiksmo padarinių, susijusių su jo nuosavybe bei finansais. Globos teisėjo sprendimas buvo išsamiai argumentuotas, o pareiškėjui jį apskundus, apeliacinis teismas, išklausęs paties pareiškėjo bei j</w:t>
      </w:r>
      <w:r w:rsidR="00535F80">
        <w:t>am</w:t>
      </w:r>
      <w:r w:rsidRPr="00FD5803">
        <w:t xml:space="preserve"> atstovaujančio advokato argumentus, sprendimą paliko nepakeistą, pažymėdamas, kad nors pareiškėjas ir buvo išreiškęs norą vesti M. S., rimti sveikatos sutrikimai reikšmingai paveikė jo elgesį, o gyvenimo su M. S. metu smarkiai pablogėjo pareiškėjo ir jo dukros santykiai. Bylos nagrinėjimo metu </w:t>
      </w:r>
      <w:r w:rsidR="004A150D" w:rsidRPr="00FD5803">
        <w:t>K</w:t>
      </w:r>
      <w:r w:rsidRPr="00FD5803">
        <w:t xml:space="preserve">onstitucinis teismas nusprendė, kad civilinio kodekso nuostata, reikalaujanti gauti globotojo sutikimą, yra suderinama su </w:t>
      </w:r>
      <w:r w:rsidR="004A150D" w:rsidRPr="00FD5803">
        <w:t>K</w:t>
      </w:r>
      <w:r w:rsidRPr="00FD5803">
        <w:t>onstitucija ir ne uždraudžia santuoką, bet padaro ją priklausomą nuo tokio sutikimo gavimo.</w:t>
      </w:r>
    </w:p>
    <w:p w14:paraId="69160B96" w14:textId="77777777" w:rsidR="00C21437" w:rsidRPr="00FD5803" w:rsidRDefault="00C21437" w:rsidP="009A1B99">
      <w:pPr>
        <w:pStyle w:val="s6c429373"/>
        <w:shd w:val="clear" w:color="auto" w:fill="FFFFFF"/>
        <w:spacing w:before="0" w:beforeAutospacing="0" w:after="0" w:afterAutospacing="0"/>
        <w:ind w:firstLine="567"/>
        <w:jc w:val="both"/>
        <w:rPr>
          <w:rStyle w:val="sfbbfee58"/>
          <w:rFonts w:ascii="Calibri" w:hAnsi="Calibri" w:cs="Arial"/>
          <w:color w:val="000000"/>
          <w:sz w:val="22"/>
          <w:szCs w:val="22"/>
        </w:rPr>
      </w:pPr>
      <w:r w:rsidRPr="00FD5803">
        <w:rPr>
          <w:rStyle w:val="sfbbfee58"/>
          <w:rFonts w:ascii="Calibri" w:hAnsi="Calibri" w:cs="Arial"/>
          <w:color w:val="000000"/>
          <w:sz w:val="22"/>
          <w:szCs w:val="22"/>
        </w:rPr>
        <w:t>Pareiškėjas, remdamasis Konvencijos 12 straipsniu, skundėsi, jog negali sudaryti santuokos be globėjos arba globos teisėjo sutikimo.</w:t>
      </w:r>
    </w:p>
    <w:p w14:paraId="0DC76DEF" w14:textId="77777777" w:rsidR="00C21437" w:rsidRPr="00FD5803" w:rsidRDefault="00C21437" w:rsidP="009A1B99">
      <w:pPr>
        <w:pStyle w:val="s6c429373"/>
        <w:shd w:val="clear" w:color="auto" w:fill="FFFFFF"/>
        <w:spacing w:before="0" w:beforeAutospacing="0" w:after="0" w:afterAutospacing="0"/>
        <w:ind w:firstLine="567"/>
        <w:jc w:val="both"/>
        <w:rPr>
          <w:rStyle w:val="sfbbfee58"/>
          <w:rFonts w:ascii="Calibri" w:hAnsi="Calibri" w:cs="Arial"/>
          <w:color w:val="000000"/>
          <w:sz w:val="22"/>
          <w:szCs w:val="22"/>
        </w:rPr>
      </w:pPr>
    </w:p>
    <w:p w14:paraId="36D1331B" w14:textId="77777777" w:rsidR="00C21437" w:rsidRPr="00FD5803" w:rsidRDefault="00C21437" w:rsidP="009A1B99">
      <w:pPr>
        <w:spacing w:after="0" w:line="240" w:lineRule="auto"/>
        <w:jc w:val="center"/>
      </w:pPr>
      <w:r w:rsidRPr="00FD5803">
        <w:rPr>
          <w:rFonts w:cs="Arial"/>
          <w:b/>
        </w:rPr>
        <w:t>Neoficiali Teismo sprendimo apžvalga</w:t>
      </w:r>
    </w:p>
    <w:p w14:paraId="12A25F04" w14:textId="77777777" w:rsidR="00C21437" w:rsidRPr="00FD5803" w:rsidRDefault="00C21437" w:rsidP="009A1B99">
      <w:pPr>
        <w:pStyle w:val="s6c429373"/>
        <w:shd w:val="clear" w:color="auto" w:fill="FFFFFF"/>
        <w:spacing w:before="0" w:beforeAutospacing="0" w:after="0" w:afterAutospacing="0"/>
        <w:ind w:firstLine="567"/>
        <w:jc w:val="both"/>
        <w:rPr>
          <w:rStyle w:val="sfbbfee58"/>
          <w:rFonts w:ascii="Calibri" w:hAnsi="Calibri" w:cs="Arial"/>
          <w:color w:val="000000"/>
          <w:sz w:val="22"/>
          <w:szCs w:val="22"/>
        </w:rPr>
      </w:pPr>
    </w:p>
    <w:p w14:paraId="7A23C583" w14:textId="77777777" w:rsidR="00C21437" w:rsidRPr="00FD5803" w:rsidRDefault="00C21437" w:rsidP="009A1B99">
      <w:pPr>
        <w:pStyle w:val="s6c429373"/>
        <w:shd w:val="clear" w:color="auto" w:fill="FFFFFF"/>
        <w:spacing w:before="0" w:beforeAutospacing="0" w:after="0" w:afterAutospacing="0"/>
        <w:ind w:firstLine="567"/>
        <w:jc w:val="both"/>
        <w:rPr>
          <w:rStyle w:val="s1a844bc0"/>
          <w:rFonts w:ascii="Calibri" w:hAnsi="Calibri" w:cs="Arial"/>
          <w:iCs/>
          <w:color w:val="000000"/>
          <w:sz w:val="22"/>
          <w:szCs w:val="22"/>
        </w:rPr>
      </w:pPr>
      <w:r w:rsidRPr="00FD5803">
        <w:rPr>
          <w:rStyle w:val="s1a844bc0"/>
          <w:rFonts w:ascii="Calibri" w:hAnsi="Calibri" w:cs="Arial"/>
          <w:iCs/>
          <w:color w:val="000000"/>
          <w:sz w:val="22"/>
          <w:szCs w:val="22"/>
        </w:rPr>
        <w:t>Teismas pažymėjo, kad pareiškėjo statusas šioje byloje skiriasi nuo ankstesnių bylų, kuriose nagrinėtas visiškai veiksnių asmenų klausimas. Priešingai nei situacijose, kai asmenims apskritai buvo atimta galimybė sudaryti santuoką, pareiškėjui nustatyta pareiga pirmiausia gauti globėjo leidimą paaiškinama tuo, kad jam, kaip asmeniui, kuriam buvo nustatyta globa, buvo taikomos teisinės apsaugos priemonės. Atsižvelgiant į tai, valdžios institucijos turėjo diskreciją vertinti ir spręsti tiek dėl ginčijamų teisės normų, tiek dėl atsisakymo duoti sutikimą tam, kad galėtų efektyviai apginti pareiškėjo interesus, ypač atsižvelgiant į susiklosčiusias aplinkybes bei galimas pareiškėjo interesams pakenksiančias pasekmes.</w:t>
      </w:r>
    </w:p>
    <w:p w14:paraId="495D211C" w14:textId="4AFDF5EE" w:rsidR="00C21437" w:rsidRPr="00FD5803" w:rsidRDefault="00C21437" w:rsidP="009A1B99">
      <w:pPr>
        <w:pStyle w:val="s6c429373"/>
        <w:shd w:val="clear" w:color="auto" w:fill="FFFFFF"/>
        <w:spacing w:before="0" w:beforeAutospacing="0" w:after="0" w:afterAutospacing="0"/>
        <w:ind w:firstLine="567"/>
        <w:jc w:val="both"/>
        <w:rPr>
          <w:rStyle w:val="s1a844bc0"/>
          <w:rFonts w:ascii="Calibri" w:hAnsi="Calibri" w:cs="Arial"/>
          <w:iCs/>
          <w:color w:val="000000"/>
          <w:sz w:val="22"/>
          <w:szCs w:val="22"/>
        </w:rPr>
      </w:pPr>
      <w:r w:rsidRPr="00FD5803">
        <w:rPr>
          <w:rStyle w:val="s1a844bc0"/>
          <w:rFonts w:ascii="Calibri" w:hAnsi="Calibri" w:cs="Arial"/>
          <w:iCs/>
          <w:color w:val="000000"/>
          <w:sz w:val="22"/>
          <w:szCs w:val="22"/>
        </w:rPr>
        <w:t>Teismas pripažino, kad konstituciniame teisme ginčyta Prancūzijos civilinio kodek</w:t>
      </w:r>
      <w:r w:rsidR="004A150D" w:rsidRPr="00FD5803">
        <w:rPr>
          <w:rStyle w:val="s1a844bc0"/>
          <w:rFonts w:ascii="Calibri" w:hAnsi="Calibri" w:cs="Arial"/>
          <w:iCs/>
          <w:color w:val="000000"/>
          <w:sz w:val="22"/>
          <w:szCs w:val="22"/>
        </w:rPr>
        <w:t>so nuostata, kaip nurodė ir K</w:t>
      </w:r>
      <w:r w:rsidRPr="00FD5803">
        <w:rPr>
          <w:rStyle w:val="s1a844bc0"/>
          <w:rFonts w:ascii="Calibri" w:hAnsi="Calibri" w:cs="Arial"/>
          <w:iCs/>
          <w:color w:val="000000"/>
          <w:sz w:val="22"/>
          <w:szCs w:val="22"/>
        </w:rPr>
        <w:t xml:space="preserve">onstitucinis teismas, iš tiesų apsaugojo teisę sudaryti santuoką. Nors tam tikri suvaržymai egzistavo, jie buvo riboti ir lydimi priemonių, leidžiančių juos skųsti teismui. Pareiškėjas naudojosi jam suteiktomis nacionalinėmis gynybos priemonėmis ir galėjo pateikti savo argumentus rungimosi principu grįstame procese, ginčydamas atsisakymą jam suteikti leidimą sudaryti santuoką. Be to, kaip paminėjo ir </w:t>
      </w:r>
      <w:r w:rsidR="004A150D" w:rsidRPr="00FD5803">
        <w:rPr>
          <w:rStyle w:val="s1a844bc0"/>
          <w:rFonts w:ascii="Calibri" w:hAnsi="Calibri" w:cs="Arial"/>
          <w:iCs/>
          <w:color w:val="000000"/>
          <w:sz w:val="22"/>
          <w:szCs w:val="22"/>
        </w:rPr>
        <w:t>K</w:t>
      </w:r>
      <w:r w:rsidRPr="00FD5803">
        <w:rPr>
          <w:rStyle w:val="s1a844bc0"/>
          <w:rFonts w:ascii="Calibri" w:hAnsi="Calibri" w:cs="Arial"/>
          <w:iCs/>
          <w:color w:val="000000"/>
          <w:sz w:val="22"/>
          <w:szCs w:val="22"/>
        </w:rPr>
        <w:t>onstitucinis teismas, globos sistema buvo siekiama apsaugoti asmens, kuriam nustatyta globa, interesus ir, kiek tai įmanoma, kartu palaikyti to asmens savarankiškumą.</w:t>
      </w:r>
    </w:p>
    <w:p w14:paraId="14CC0604" w14:textId="77777777" w:rsidR="00C21437" w:rsidRPr="00FD5803" w:rsidRDefault="00C21437" w:rsidP="009A1B99">
      <w:pPr>
        <w:pStyle w:val="s6c429373"/>
        <w:shd w:val="clear" w:color="auto" w:fill="FFFFFF"/>
        <w:spacing w:before="0" w:beforeAutospacing="0" w:after="0" w:afterAutospacing="0"/>
        <w:ind w:firstLine="567"/>
        <w:jc w:val="both"/>
        <w:rPr>
          <w:rStyle w:val="s1a844bc0"/>
          <w:rFonts w:ascii="Calibri" w:hAnsi="Calibri" w:cs="Arial"/>
          <w:iCs/>
          <w:color w:val="000000"/>
          <w:sz w:val="22"/>
          <w:szCs w:val="22"/>
        </w:rPr>
      </w:pPr>
      <w:r w:rsidRPr="00FD5803">
        <w:rPr>
          <w:rStyle w:val="s1a844bc0"/>
          <w:rFonts w:ascii="Calibri" w:hAnsi="Calibri" w:cs="Arial"/>
          <w:iCs/>
          <w:color w:val="000000"/>
          <w:sz w:val="22"/>
          <w:szCs w:val="22"/>
        </w:rPr>
        <w:t>Įvertinęs visa tai, Teismas nusprendė, kad pareiškėjui nustatyti apribojimai sudaryti santuoką nepanaikino bei nesuvaržė šios teisės savavališkai ar neproporcingai.</w:t>
      </w:r>
    </w:p>
    <w:p w14:paraId="720F8EEF" w14:textId="77777777" w:rsidR="00C21437" w:rsidRPr="00FD5803" w:rsidRDefault="00C21437" w:rsidP="009A1B99">
      <w:pPr>
        <w:pStyle w:val="s6e50bd9a"/>
        <w:shd w:val="clear" w:color="auto" w:fill="FFFFFF"/>
        <w:spacing w:before="0" w:beforeAutospacing="0" w:after="0" w:afterAutospacing="0"/>
        <w:ind w:firstLine="567"/>
        <w:jc w:val="both"/>
        <w:rPr>
          <w:rFonts w:ascii="Calibri" w:hAnsi="Calibri" w:cs="Arial"/>
          <w:sz w:val="22"/>
          <w:szCs w:val="22"/>
        </w:rPr>
      </w:pPr>
    </w:p>
    <w:p w14:paraId="59EB4B9A" w14:textId="77777777" w:rsidR="00C21437" w:rsidRPr="00FD5803" w:rsidRDefault="00C21437" w:rsidP="009A1B99">
      <w:pPr>
        <w:pStyle w:val="s6e50bd9a"/>
        <w:shd w:val="clear" w:color="auto" w:fill="FFFFFF"/>
        <w:spacing w:before="0" w:beforeAutospacing="0" w:after="0" w:afterAutospacing="0"/>
        <w:ind w:firstLine="567"/>
        <w:jc w:val="both"/>
        <w:rPr>
          <w:rFonts w:ascii="Calibri" w:hAnsi="Calibri" w:cs="Arial"/>
          <w:sz w:val="22"/>
          <w:szCs w:val="22"/>
        </w:rPr>
      </w:pPr>
      <w:r w:rsidRPr="00FD5803">
        <w:rPr>
          <w:rFonts w:ascii="Calibri" w:hAnsi="Calibri" w:cs="Arial"/>
          <w:sz w:val="22"/>
          <w:szCs w:val="22"/>
        </w:rPr>
        <w:t>Išvada: nenustatytas Konvencijos 12 straipsnio pažeidimas (šeši balsai prieš vieną).</w:t>
      </w:r>
    </w:p>
    <w:p w14:paraId="32C038A0" w14:textId="77777777" w:rsidR="00C21437" w:rsidRPr="00FD5803" w:rsidRDefault="007F5353" w:rsidP="009A1B99">
      <w:pPr>
        <w:spacing w:after="0" w:line="240" w:lineRule="auto"/>
        <w:ind w:firstLine="567"/>
      </w:pPr>
      <w:hyperlink r:id="rId29" w:anchor="{%22itemid%22:[%22001-187187%22]}" w:history="1">
        <w:r w:rsidR="00C21437" w:rsidRPr="00FD5803">
          <w:rPr>
            <w:rStyle w:val="Hipersaitas"/>
          </w:rPr>
          <w:t>Prieiga internete</w:t>
        </w:r>
      </w:hyperlink>
    </w:p>
    <w:p w14:paraId="18826207" w14:textId="77777777" w:rsidR="00C22527" w:rsidRPr="00FD5803" w:rsidRDefault="00C22527" w:rsidP="009A1B99">
      <w:pPr>
        <w:pStyle w:val="Antrat1"/>
        <w:spacing w:before="0"/>
        <w:rPr>
          <w:szCs w:val="22"/>
        </w:rPr>
      </w:pPr>
      <w:bookmarkStart w:id="52" w:name="_Toc526411476"/>
      <w:bookmarkStart w:id="53" w:name="_Toc527116518"/>
      <w:bookmarkStart w:id="54" w:name="_Toc1657811"/>
      <w:r w:rsidRPr="00FD5803">
        <w:rPr>
          <w:szCs w:val="22"/>
        </w:rPr>
        <w:t>DISKRIMINACIJOS UŽDRAUDIMAS (14 straipsnis)</w:t>
      </w:r>
      <w:bookmarkEnd w:id="52"/>
      <w:bookmarkEnd w:id="53"/>
      <w:bookmarkEnd w:id="54"/>
    </w:p>
    <w:p w14:paraId="7C519211" w14:textId="77777777" w:rsidR="00C22527" w:rsidRPr="00FD5803" w:rsidRDefault="00C22527" w:rsidP="009A1B99">
      <w:pPr>
        <w:spacing w:after="0" w:line="240" w:lineRule="auto"/>
      </w:pPr>
    </w:p>
    <w:p w14:paraId="651BB37F" w14:textId="77777777" w:rsidR="00C22527" w:rsidRPr="00FD5803" w:rsidRDefault="00C22527" w:rsidP="009A1B99">
      <w:pPr>
        <w:spacing w:after="0" w:line="240" w:lineRule="auto"/>
        <w:jc w:val="center"/>
        <w:rPr>
          <w:rFonts w:cstheme="minorHAnsi"/>
          <w:b/>
        </w:rPr>
      </w:pPr>
      <w:r w:rsidRPr="00FD5803">
        <w:rPr>
          <w:rFonts w:cstheme="minorHAnsi"/>
          <w:b/>
        </w:rPr>
        <w:t>Europos Žmogaus Teisių Teismo 2018 m. gruodžio 11 d. sprendimas</w:t>
      </w:r>
    </w:p>
    <w:p w14:paraId="72C2090B" w14:textId="77777777" w:rsidR="00C22527" w:rsidRPr="00FD5803" w:rsidRDefault="00C22527" w:rsidP="009A1B99">
      <w:pPr>
        <w:pStyle w:val="Antrat2"/>
        <w:ind w:firstLine="0"/>
        <w:jc w:val="center"/>
        <w:rPr>
          <w:rFonts w:eastAsia="Calibri"/>
          <w:i/>
        </w:rPr>
      </w:pPr>
      <w:bookmarkStart w:id="55" w:name="_Toc1657812"/>
      <w:proofErr w:type="spellStart"/>
      <w:r w:rsidRPr="00FD5803">
        <w:rPr>
          <w:rFonts w:eastAsia="Calibri"/>
          <w:i/>
        </w:rPr>
        <w:t>Belli</w:t>
      </w:r>
      <w:proofErr w:type="spellEnd"/>
      <w:r w:rsidRPr="00FD5803">
        <w:rPr>
          <w:rFonts w:eastAsia="Calibri"/>
          <w:i/>
        </w:rPr>
        <w:t xml:space="preserve"> prieš Šveicariją</w:t>
      </w:r>
      <w:bookmarkEnd w:id="55"/>
    </w:p>
    <w:p w14:paraId="18E1D925" w14:textId="491204E5" w:rsidR="00C22527" w:rsidRPr="00FD5803" w:rsidRDefault="00C22527" w:rsidP="009A1B99">
      <w:pPr>
        <w:spacing w:after="0" w:line="240" w:lineRule="auto"/>
        <w:jc w:val="center"/>
        <w:rPr>
          <w:rFonts w:cstheme="minorHAnsi"/>
          <w:b/>
        </w:rPr>
      </w:pPr>
      <w:r w:rsidRPr="00FD5803">
        <w:rPr>
          <w:rFonts w:cstheme="minorHAnsi"/>
          <w:b/>
        </w:rPr>
        <w:t>(pareiškimo Nr. 65550/13</w:t>
      </w:r>
      <w:r w:rsidR="0078350C" w:rsidRPr="00FD5803">
        <w:rPr>
          <w:rFonts w:cstheme="minorHAnsi"/>
          <w:b/>
        </w:rPr>
        <w:t>, svarbos lygis – 2</w:t>
      </w:r>
      <w:r w:rsidRPr="00FD5803">
        <w:rPr>
          <w:rFonts w:cstheme="minorHAnsi"/>
          <w:b/>
        </w:rPr>
        <w:t>)</w:t>
      </w:r>
    </w:p>
    <w:p w14:paraId="2B541485" w14:textId="77777777" w:rsidR="00C22527" w:rsidRPr="00FD5803" w:rsidRDefault="00C22527" w:rsidP="009A1B99">
      <w:pPr>
        <w:spacing w:after="0" w:line="240" w:lineRule="auto"/>
        <w:ind w:firstLine="720"/>
        <w:jc w:val="both"/>
        <w:rPr>
          <w:rFonts w:cstheme="minorHAnsi"/>
        </w:rPr>
      </w:pPr>
    </w:p>
    <w:p w14:paraId="53A3EF02" w14:textId="53529510" w:rsidR="00C22527" w:rsidRPr="00FD5803" w:rsidRDefault="00C22527" w:rsidP="009A1B99">
      <w:pPr>
        <w:pStyle w:val="Antrat3"/>
        <w:spacing w:before="0" w:line="240" w:lineRule="auto"/>
        <w:ind w:firstLine="567"/>
        <w:jc w:val="both"/>
        <w:rPr>
          <w:rFonts w:eastAsiaTheme="minorHAnsi" w:cstheme="minorHAnsi"/>
          <w:szCs w:val="22"/>
        </w:rPr>
      </w:pPr>
      <w:bookmarkStart w:id="56" w:name="_Toc1657813"/>
      <w:r w:rsidRPr="00FD5803">
        <w:rPr>
          <w:rFonts w:eastAsiaTheme="minorHAnsi" w:cstheme="minorHAnsi"/>
          <w:szCs w:val="22"/>
        </w:rPr>
        <w:t>Dėl socialinio draudimo įmokas mokėjusių ir tokių įmokų nemokėjusių asmenų skirtingo vertinimo sprendžiant dėl jų teisės į panašaus pobūdžio išmokas (dėl teisės gauti su socialinio draudimo įmokomis nesusijusią neįgalumo išmoką</w:t>
      </w:r>
      <w:r w:rsidR="0078350C" w:rsidRPr="00FD5803">
        <w:rPr>
          <w:rFonts w:eastAsiaTheme="minorHAnsi" w:cstheme="minorHAnsi"/>
          <w:szCs w:val="22"/>
        </w:rPr>
        <w:t>,</w:t>
      </w:r>
      <w:r w:rsidRPr="00FD5803">
        <w:rPr>
          <w:rFonts w:eastAsiaTheme="minorHAnsi" w:cstheme="minorHAnsi"/>
          <w:szCs w:val="22"/>
        </w:rPr>
        <w:t xml:space="preserve"> išvykus iš tokias išmokas mokančios šalies)</w:t>
      </w:r>
      <w:bookmarkEnd w:id="56"/>
    </w:p>
    <w:p w14:paraId="5314FE83" w14:textId="77777777" w:rsidR="00C22527" w:rsidRPr="00FD5803" w:rsidRDefault="00C22527" w:rsidP="009A1B99">
      <w:pPr>
        <w:spacing w:after="0" w:line="240" w:lineRule="auto"/>
        <w:ind w:firstLine="720"/>
        <w:jc w:val="both"/>
        <w:rPr>
          <w:rFonts w:cstheme="minorHAnsi"/>
        </w:rPr>
      </w:pPr>
    </w:p>
    <w:p w14:paraId="6774B8CF" w14:textId="77777777" w:rsidR="00C22527" w:rsidRPr="00FD5803" w:rsidRDefault="00C22527" w:rsidP="009A1B99">
      <w:pPr>
        <w:spacing w:after="0" w:line="240" w:lineRule="auto"/>
        <w:jc w:val="center"/>
        <w:rPr>
          <w:rFonts w:cstheme="minorHAnsi"/>
          <w:b/>
        </w:rPr>
      </w:pPr>
      <w:r w:rsidRPr="00FD5803">
        <w:rPr>
          <w:rFonts w:cstheme="minorHAnsi"/>
          <w:b/>
        </w:rPr>
        <w:t>Faktinės aplinkybės</w:t>
      </w:r>
    </w:p>
    <w:p w14:paraId="03E2D982" w14:textId="77777777" w:rsidR="00C22527" w:rsidRPr="00FD5803" w:rsidRDefault="00C22527" w:rsidP="009A1B99">
      <w:pPr>
        <w:spacing w:after="0" w:line="240" w:lineRule="auto"/>
        <w:ind w:firstLine="720"/>
        <w:jc w:val="both"/>
        <w:rPr>
          <w:rFonts w:cstheme="minorHAnsi"/>
        </w:rPr>
      </w:pPr>
    </w:p>
    <w:p w14:paraId="30BF10D1" w14:textId="5FA16472" w:rsidR="00C22527" w:rsidRPr="00FD5803" w:rsidRDefault="00C22527" w:rsidP="009A1B99">
      <w:pPr>
        <w:spacing w:after="0" w:line="240" w:lineRule="auto"/>
        <w:ind w:firstLine="567"/>
        <w:jc w:val="both"/>
        <w:rPr>
          <w:rFonts w:cstheme="minorHAnsi"/>
        </w:rPr>
      </w:pPr>
      <w:r w:rsidRPr="00FD5803">
        <w:rPr>
          <w:rFonts w:cstheme="minorHAnsi"/>
        </w:rPr>
        <w:t xml:space="preserve">Pareiškėjos </w:t>
      </w:r>
      <w:proofErr w:type="spellStart"/>
      <w:r w:rsidRPr="00FD5803">
        <w:rPr>
          <w:rFonts w:cstheme="minorHAnsi"/>
        </w:rPr>
        <w:t>Annick</w:t>
      </w:r>
      <w:proofErr w:type="spellEnd"/>
      <w:r w:rsidRPr="00FD5803">
        <w:rPr>
          <w:rFonts w:cstheme="minorHAnsi"/>
        </w:rPr>
        <w:t xml:space="preserve"> </w:t>
      </w:r>
      <w:proofErr w:type="spellStart"/>
      <w:r w:rsidRPr="00FD5803">
        <w:rPr>
          <w:rFonts w:cstheme="minorHAnsi"/>
        </w:rPr>
        <w:t>Marcelle</w:t>
      </w:r>
      <w:proofErr w:type="spellEnd"/>
      <w:r w:rsidRPr="00FD5803">
        <w:rPr>
          <w:rFonts w:cstheme="minorHAnsi"/>
        </w:rPr>
        <w:t xml:space="preserve"> </w:t>
      </w:r>
      <w:proofErr w:type="spellStart"/>
      <w:r w:rsidRPr="00FD5803">
        <w:rPr>
          <w:rFonts w:cstheme="minorHAnsi"/>
        </w:rPr>
        <w:t>Belli</w:t>
      </w:r>
      <w:proofErr w:type="spellEnd"/>
      <w:r w:rsidRPr="00FD5803">
        <w:rPr>
          <w:rFonts w:cstheme="minorHAnsi"/>
        </w:rPr>
        <w:t xml:space="preserve"> ir jos motina bei globėja </w:t>
      </w:r>
      <w:proofErr w:type="spellStart"/>
      <w:r w:rsidRPr="00FD5803">
        <w:rPr>
          <w:rFonts w:cstheme="minorHAnsi"/>
        </w:rPr>
        <w:t>Christiane</w:t>
      </w:r>
      <w:proofErr w:type="spellEnd"/>
      <w:r w:rsidRPr="00FD5803">
        <w:rPr>
          <w:rFonts w:cstheme="minorHAnsi"/>
        </w:rPr>
        <w:t xml:space="preserve"> </w:t>
      </w:r>
      <w:proofErr w:type="spellStart"/>
      <w:r w:rsidRPr="00FD5803">
        <w:rPr>
          <w:rFonts w:cstheme="minorHAnsi"/>
        </w:rPr>
        <w:t>Arquier-Martinez</w:t>
      </w:r>
      <w:proofErr w:type="spellEnd"/>
      <w:r w:rsidRPr="00FD5803">
        <w:rPr>
          <w:rFonts w:cstheme="minorHAnsi"/>
        </w:rPr>
        <w:t xml:space="preserve"> buvo Šveicarijos pilietės, gyvenančios Brazilijoje. Kol gyveno Šveicarijoje, </w:t>
      </w:r>
      <w:proofErr w:type="spellStart"/>
      <w:r w:rsidRPr="00FD5803">
        <w:rPr>
          <w:rFonts w:cstheme="minorHAnsi"/>
        </w:rPr>
        <w:t>Belli</w:t>
      </w:r>
      <w:proofErr w:type="spellEnd"/>
      <w:r w:rsidRPr="00FD5803">
        <w:rPr>
          <w:rFonts w:cstheme="minorHAnsi"/>
        </w:rPr>
        <w:t>, tu</w:t>
      </w:r>
      <w:r w:rsidR="0096002C">
        <w:rPr>
          <w:rFonts w:cstheme="minorHAnsi"/>
        </w:rPr>
        <w:t>r</w:t>
      </w:r>
      <w:r w:rsidRPr="00FD5803">
        <w:rPr>
          <w:rFonts w:cstheme="minorHAnsi"/>
        </w:rPr>
        <w:t>inti sunkią n</w:t>
      </w:r>
      <w:r w:rsidR="0078350C" w:rsidRPr="00FD5803">
        <w:rPr>
          <w:rFonts w:cstheme="minorHAnsi"/>
        </w:rPr>
        <w:t>egalią nuo pat gimimo, nuo 1980 </w:t>
      </w:r>
      <w:r w:rsidRPr="00FD5803">
        <w:rPr>
          <w:rFonts w:cstheme="minorHAnsi"/>
        </w:rPr>
        <w:t xml:space="preserve">metų gaudavo specialią invalidumo draudimo išmoką ir nuo 1997 metų – neįgalumo pašalpą. </w:t>
      </w:r>
      <w:r w:rsidRPr="00FD5803">
        <w:rPr>
          <w:rFonts w:cstheme="minorHAnsi"/>
        </w:rPr>
        <w:lastRenderedPageBreak/>
        <w:t>1982</w:t>
      </w:r>
      <w:r w:rsidR="0078350C" w:rsidRPr="00FD5803">
        <w:rPr>
          <w:rFonts w:cstheme="minorHAnsi"/>
        </w:rPr>
        <w:t> </w:t>
      </w:r>
      <w:r w:rsidRPr="00FD5803">
        <w:rPr>
          <w:rFonts w:cstheme="minorHAnsi"/>
        </w:rPr>
        <w:t xml:space="preserve">metais </w:t>
      </w:r>
      <w:proofErr w:type="spellStart"/>
      <w:r w:rsidRPr="00FD5803">
        <w:rPr>
          <w:rFonts w:cstheme="minorHAnsi"/>
        </w:rPr>
        <w:t>Arquier-Martinez</w:t>
      </w:r>
      <w:proofErr w:type="spellEnd"/>
      <w:r w:rsidRPr="00FD5803">
        <w:rPr>
          <w:rFonts w:cstheme="minorHAnsi"/>
        </w:rPr>
        <w:t xml:space="preserve"> nusprendė apsigyventi Brazili</w:t>
      </w:r>
      <w:r w:rsidR="0078350C" w:rsidRPr="00FD5803">
        <w:rPr>
          <w:rFonts w:cstheme="minorHAnsi"/>
        </w:rPr>
        <w:t>joje</w:t>
      </w:r>
      <w:r w:rsidRPr="00FD5803">
        <w:rPr>
          <w:rFonts w:cstheme="minorHAnsi"/>
        </w:rPr>
        <w:t xml:space="preserve"> </w:t>
      </w:r>
      <w:r w:rsidR="0078350C" w:rsidRPr="00FD5803">
        <w:rPr>
          <w:rFonts w:cstheme="minorHAnsi"/>
        </w:rPr>
        <w:t>kartu</w:t>
      </w:r>
      <w:r w:rsidRPr="00FD5803">
        <w:rPr>
          <w:rFonts w:cstheme="minorHAnsi"/>
        </w:rPr>
        <w:t xml:space="preserve"> su sutuoktiniu</w:t>
      </w:r>
      <w:r w:rsidR="0078350C" w:rsidRPr="00FD5803">
        <w:rPr>
          <w:rFonts w:cstheme="minorHAnsi"/>
        </w:rPr>
        <w:t>.</w:t>
      </w:r>
      <w:r w:rsidRPr="00FD5803">
        <w:rPr>
          <w:rFonts w:cstheme="minorHAnsi"/>
        </w:rPr>
        <w:t xml:space="preserve"> 2009 metais </w:t>
      </w:r>
      <w:proofErr w:type="spellStart"/>
      <w:r w:rsidRPr="00FD5803">
        <w:rPr>
          <w:rFonts w:cstheme="minorHAnsi"/>
        </w:rPr>
        <w:t>Belli</w:t>
      </w:r>
      <w:proofErr w:type="spellEnd"/>
      <w:r w:rsidRPr="00FD5803">
        <w:rPr>
          <w:rFonts w:cstheme="minorHAnsi"/>
        </w:rPr>
        <w:t xml:space="preserve"> globėja paskirta jos motina. 2010 metais Šveicarijos institucijos nutraukė minėtų išmokų ir pašalpos mokėjimą, nustačiusios, kad </w:t>
      </w:r>
      <w:proofErr w:type="spellStart"/>
      <w:r w:rsidRPr="00FD5803">
        <w:rPr>
          <w:rFonts w:cstheme="minorHAnsi"/>
        </w:rPr>
        <w:t>Belli</w:t>
      </w:r>
      <w:proofErr w:type="spellEnd"/>
      <w:r w:rsidRPr="00FD5803">
        <w:rPr>
          <w:rFonts w:cstheme="minorHAnsi"/>
        </w:rPr>
        <w:t xml:space="preserve"> persikėlė ir jau kel</w:t>
      </w:r>
      <w:r w:rsidR="0096002C">
        <w:rPr>
          <w:rFonts w:cstheme="minorHAnsi"/>
        </w:rPr>
        <w:t>erius</w:t>
      </w:r>
      <w:r w:rsidRPr="00FD5803">
        <w:rPr>
          <w:rFonts w:cstheme="minorHAnsi"/>
        </w:rPr>
        <w:t xml:space="preserve"> metus gyvena Brazilijoje. </w:t>
      </w:r>
    </w:p>
    <w:p w14:paraId="2CF4EB6F" w14:textId="6BA9C7EB" w:rsidR="00C22527" w:rsidRPr="00FD5803" w:rsidRDefault="00C22527" w:rsidP="009A1B99">
      <w:pPr>
        <w:spacing w:after="0" w:line="240" w:lineRule="auto"/>
        <w:ind w:firstLine="567"/>
        <w:jc w:val="both"/>
        <w:rPr>
          <w:rFonts w:cstheme="minorHAnsi"/>
        </w:rPr>
      </w:pPr>
      <w:r w:rsidRPr="00FD5803">
        <w:rPr>
          <w:rFonts w:cstheme="minorHAnsi"/>
        </w:rPr>
        <w:t>Kadangi pareiškėjų skundus dėl sprendimo nutrau</w:t>
      </w:r>
      <w:r w:rsidR="0078350C" w:rsidRPr="00FD5803">
        <w:rPr>
          <w:rFonts w:cstheme="minorHAnsi"/>
        </w:rPr>
        <w:t>kti išmokų ir pašalpos mokėjimą</w:t>
      </w:r>
      <w:r w:rsidRPr="00FD5803">
        <w:rPr>
          <w:rFonts w:cstheme="minorHAnsi"/>
        </w:rPr>
        <w:t xml:space="preserve"> nacionaliniai teismai atmetė, šios kreipėsi į Teismą, be kita ko, teisės į privataus ir šei</w:t>
      </w:r>
      <w:r w:rsidR="0078350C" w:rsidRPr="00FD5803">
        <w:rPr>
          <w:rFonts w:cstheme="minorHAnsi"/>
        </w:rPr>
        <w:t xml:space="preserve">mos gyvenimo gerbimą pažeidimą </w:t>
      </w:r>
      <w:r w:rsidRPr="00FD5803">
        <w:rPr>
          <w:rFonts w:cstheme="minorHAnsi"/>
        </w:rPr>
        <w:t>motyvuodami aplinkybe, kad minėtos išmokos ir pašalpa</w:t>
      </w:r>
      <w:r w:rsidR="0078350C" w:rsidRPr="00FD5803">
        <w:rPr>
          <w:rFonts w:cstheme="minorHAnsi"/>
        </w:rPr>
        <w:t xml:space="preserve"> reikalingos </w:t>
      </w:r>
      <w:r w:rsidRPr="00FD5803">
        <w:rPr>
          <w:rFonts w:cstheme="minorHAnsi"/>
        </w:rPr>
        <w:t xml:space="preserve">reikiamam </w:t>
      </w:r>
      <w:proofErr w:type="spellStart"/>
      <w:r w:rsidRPr="00FD5803">
        <w:rPr>
          <w:rFonts w:cstheme="minorHAnsi"/>
        </w:rPr>
        <w:t>Belli</w:t>
      </w:r>
      <w:proofErr w:type="spellEnd"/>
      <w:r w:rsidRPr="00FD5803">
        <w:rPr>
          <w:rFonts w:cstheme="minorHAnsi"/>
        </w:rPr>
        <w:t xml:space="preserve"> pragyvenimo lygiui užtikrinti ir jos sugrįžimas į Šveicariją reikštų motinos ir dukters arba </w:t>
      </w:r>
      <w:proofErr w:type="spellStart"/>
      <w:r w:rsidRPr="00FD5803">
        <w:rPr>
          <w:rFonts w:cstheme="minorHAnsi"/>
        </w:rPr>
        <w:t>Arquier-Martinez</w:t>
      </w:r>
      <w:proofErr w:type="spellEnd"/>
      <w:r w:rsidRPr="00FD5803">
        <w:rPr>
          <w:rFonts w:cstheme="minorHAnsi"/>
        </w:rPr>
        <w:t xml:space="preserve"> (motinos) ir jos vyro išskyrimą.</w:t>
      </w:r>
    </w:p>
    <w:p w14:paraId="4AF8BC11" w14:textId="76372BC5" w:rsidR="00C22527" w:rsidRPr="00FD5803" w:rsidRDefault="00C22527" w:rsidP="009A1B99">
      <w:pPr>
        <w:spacing w:after="0" w:line="240" w:lineRule="auto"/>
        <w:ind w:firstLine="567"/>
        <w:jc w:val="both"/>
        <w:rPr>
          <w:rFonts w:cstheme="minorHAnsi"/>
        </w:rPr>
      </w:pPr>
      <w:r w:rsidRPr="00FD5803">
        <w:rPr>
          <w:rFonts w:cstheme="minorHAnsi"/>
        </w:rPr>
        <w:t>Nurodydamos konkrečiai Konvencijos 14 straipsnį (draudim</w:t>
      </w:r>
      <w:r w:rsidR="0078350C" w:rsidRPr="00FD5803">
        <w:rPr>
          <w:rFonts w:cstheme="minorHAnsi"/>
        </w:rPr>
        <w:t>as diskriminuoti) ir 8 straipsnį</w:t>
      </w:r>
      <w:r w:rsidRPr="00FD5803">
        <w:rPr>
          <w:rFonts w:cstheme="minorHAnsi"/>
        </w:rPr>
        <w:t xml:space="preserve"> (teisė į privataus ir šeimos gyvenimo gerbimą), pareiškėjos skundėsi, kad </w:t>
      </w:r>
      <w:proofErr w:type="spellStart"/>
      <w:r w:rsidRPr="00FD5803">
        <w:rPr>
          <w:rFonts w:cstheme="minorHAnsi"/>
        </w:rPr>
        <w:t>Belli</w:t>
      </w:r>
      <w:proofErr w:type="spellEnd"/>
      <w:r w:rsidRPr="00FD5803">
        <w:rPr>
          <w:rFonts w:cstheme="minorHAnsi"/>
        </w:rPr>
        <w:t xml:space="preserve"> buvo diskriminuojama, nes ji prarado teisę į minėtas išmokas ir pašalpą vien dėl to, kad išvyko iš Šveicarijos, kai tuo tarpu socialinio draudimo sistemoje dalyvavę ir įmokas mokėję asmenys, gaunantys panašias išmokas (įprastines invalidumo draudimo išmokas), išvykę ir šalies teisės į šias išmokas nepraranda.</w:t>
      </w:r>
    </w:p>
    <w:p w14:paraId="4353C19A" w14:textId="77777777" w:rsidR="00C22527" w:rsidRPr="00FD5803" w:rsidRDefault="00C22527" w:rsidP="009A1B99">
      <w:pPr>
        <w:spacing w:after="0" w:line="240" w:lineRule="auto"/>
        <w:ind w:firstLine="720"/>
        <w:jc w:val="both"/>
        <w:rPr>
          <w:rFonts w:cstheme="minorHAnsi"/>
        </w:rPr>
      </w:pPr>
    </w:p>
    <w:p w14:paraId="7F36FA39" w14:textId="77777777" w:rsidR="00C22527" w:rsidRPr="00FD5803" w:rsidRDefault="00C22527" w:rsidP="009A1B99">
      <w:pPr>
        <w:spacing w:after="0" w:line="240" w:lineRule="auto"/>
        <w:jc w:val="center"/>
        <w:rPr>
          <w:rFonts w:cstheme="minorHAnsi"/>
          <w:b/>
        </w:rPr>
      </w:pPr>
      <w:r w:rsidRPr="00FD5803">
        <w:rPr>
          <w:rFonts w:cstheme="minorHAnsi"/>
          <w:b/>
        </w:rPr>
        <w:t>Neoficiali Teismo sprendimo apžvalga</w:t>
      </w:r>
    </w:p>
    <w:p w14:paraId="7B2A4F45" w14:textId="77777777" w:rsidR="00C22527" w:rsidRPr="00FD5803" w:rsidRDefault="00C22527" w:rsidP="009A1B99">
      <w:pPr>
        <w:spacing w:after="0" w:line="240" w:lineRule="auto"/>
        <w:ind w:firstLine="720"/>
        <w:jc w:val="both"/>
        <w:rPr>
          <w:rFonts w:cstheme="minorHAnsi"/>
        </w:rPr>
      </w:pPr>
    </w:p>
    <w:p w14:paraId="212FFFEE" w14:textId="681372AF" w:rsidR="00C22527" w:rsidRPr="00FD5803" w:rsidRDefault="00C22527" w:rsidP="009A1B99">
      <w:pPr>
        <w:spacing w:after="0" w:line="240" w:lineRule="auto"/>
        <w:ind w:firstLine="567"/>
        <w:jc w:val="both"/>
        <w:rPr>
          <w:rFonts w:cstheme="minorHAnsi"/>
        </w:rPr>
      </w:pPr>
      <w:r w:rsidRPr="00FD5803">
        <w:rPr>
          <w:rFonts w:cstheme="minorHAnsi"/>
        </w:rPr>
        <w:t>Nagrinėdamas bylą Teismas priminė, kad Konvencijos 14 straipsnis nėra taikomas savarankiškai, bet papildo kitus Konvencijos ir jos protokolų straipsnius. Be to, Konvencija nėra garantuojama konkretaus dydžio pensija ar kita socialinė išmoka, nesuteikia individui teisės į konkretų pragyvenimo lygį. Atitinkamai įvertinę</w:t>
      </w:r>
      <w:r w:rsidR="0078350C" w:rsidRPr="00FD5803">
        <w:rPr>
          <w:rFonts w:cstheme="minorHAnsi"/>
        </w:rPr>
        <w:t xml:space="preserve">s ginčui aktualias aplinkybes, </w:t>
      </w:r>
      <w:r w:rsidRPr="00FD5803">
        <w:rPr>
          <w:rFonts w:cstheme="minorHAnsi"/>
        </w:rPr>
        <w:t>akcentavęs, kad atsisakymas mokėti ginčo išmokas ir pašalpą turėjo įtakos pareiškėjų šeimos gyvenimui, Teismas pripažino, kad pareiškėjų atvejis patenk</w:t>
      </w:r>
      <w:r w:rsidR="0078350C" w:rsidRPr="00FD5803">
        <w:rPr>
          <w:rFonts w:cstheme="minorHAnsi"/>
        </w:rPr>
        <w:t>a</w:t>
      </w:r>
      <w:r w:rsidRPr="00FD5803">
        <w:rPr>
          <w:rFonts w:cstheme="minorHAnsi"/>
        </w:rPr>
        <w:t xml:space="preserve"> į Konvencijos 8 straipsnio (išimtinai tiek, kiek tai susiję su ryšiais tarp suaugusiųjų) bei 14 straipsnio taikymo sritį.</w:t>
      </w:r>
    </w:p>
    <w:p w14:paraId="497A1CA9" w14:textId="7B1D07E8" w:rsidR="00C22527" w:rsidRPr="00FD5803" w:rsidRDefault="00C22527" w:rsidP="009A1B99">
      <w:pPr>
        <w:spacing w:after="0" w:line="240" w:lineRule="auto"/>
        <w:ind w:firstLine="567"/>
        <w:jc w:val="both"/>
        <w:rPr>
          <w:rFonts w:cstheme="minorHAnsi"/>
        </w:rPr>
      </w:pPr>
      <w:r w:rsidRPr="00FD5803">
        <w:rPr>
          <w:rFonts w:cstheme="minorHAnsi"/>
        </w:rPr>
        <w:t xml:space="preserve">Diskriminacijos aspektu Teismas pripažino, kad </w:t>
      </w:r>
      <w:proofErr w:type="spellStart"/>
      <w:r w:rsidRPr="00FD5803">
        <w:rPr>
          <w:rFonts w:cstheme="minorHAnsi"/>
        </w:rPr>
        <w:t>Belli</w:t>
      </w:r>
      <w:proofErr w:type="spellEnd"/>
      <w:r w:rsidRPr="00FD5803">
        <w:rPr>
          <w:rFonts w:cstheme="minorHAnsi"/>
        </w:rPr>
        <w:t>, kaip asmens, neįgal</w:t>
      </w:r>
      <w:r w:rsidR="0096002C">
        <w:rPr>
          <w:rFonts w:cstheme="minorHAnsi"/>
        </w:rPr>
        <w:t>a</w:t>
      </w:r>
      <w:r w:rsidRPr="00FD5803">
        <w:rPr>
          <w:rFonts w:cstheme="minorHAnsi"/>
        </w:rPr>
        <w:t xml:space="preserve">us nuo pat gimimo ir </w:t>
      </w:r>
      <w:r w:rsidR="0096002C">
        <w:rPr>
          <w:rFonts w:cstheme="minorHAnsi"/>
        </w:rPr>
        <w:t>gaudavusio</w:t>
      </w:r>
      <w:r w:rsidRPr="00FD5803">
        <w:rPr>
          <w:rFonts w:cstheme="minorHAnsi"/>
        </w:rPr>
        <w:t xml:space="preserve"> atitinkamas specialias invalidumo draudimo išmokas bei neįgalumo pašalpą (kuriuos nebuvo mokamos išvykus iš šalies), situacija buvo gana panaši, bet ne identiška, situacijai asmens, kuris gaudavo įprastas invalidumo draudimo išmokas, kurios buvo mokamos ir išvykus iš šali</w:t>
      </w:r>
      <w:r w:rsidR="0096002C">
        <w:rPr>
          <w:rFonts w:cstheme="minorHAnsi"/>
        </w:rPr>
        <w:t>e</w:t>
      </w:r>
      <w:r w:rsidRPr="00FD5803">
        <w:rPr>
          <w:rFonts w:cstheme="minorHAnsi"/>
        </w:rPr>
        <w:t>s, t. y. sutiko su pareiškėjų teiginiu, kad situacijos buvo vertinamos nevienodai.</w:t>
      </w:r>
    </w:p>
    <w:p w14:paraId="6CAA5902" w14:textId="77777777" w:rsidR="00C22527" w:rsidRPr="00FD5803" w:rsidRDefault="00C22527" w:rsidP="009A1B99">
      <w:pPr>
        <w:spacing w:after="0" w:line="240" w:lineRule="auto"/>
        <w:ind w:firstLine="567"/>
        <w:jc w:val="both"/>
        <w:rPr>
          <w:rFonts w:cstheme="minorHAnsi"/>
        </w:rPr>
      </w:pPr>
      <w:r w:rsidRPr="00FD5803">
        <w:rPr>
          <w:rFonts w:cstheme="minorHAnsi"/>
        </w:rPr>
        <w:t>Tačiau, kaip vertino Teismas, toks skirtingas vertinimas buvo pateisinamas.</w:t>
      </w:r>
    </w:p>
    <w:p w14:paraId="5E2584DB" w14:textId="4CD4D23D" w:rsidR="00C22527" w:rsidRPr="00FD5803" w:rsidRDefault="00C22527" w:rsidP="009A1B99">
      <w:pPr>
        <w:spacing w:after="0" w:line="240" w:lineRule="auto"/>
        <w:ind w:firstLine="567"/>
        <w:jc w:val="both"/>
        <w:rPr>
          <w:rFonts w:cstheme="minorHAnsi"/>
        </w:rPr>
      </w:pPr>
      <w:r w:rsidRPr="00FD5803">
        <w:rPr>
          <w:rFonts w:cstheme="minorHAnsi"/>
        </w:rPr>
        <w:t xml:space="preserve">Konvencijai neprieštarauja reikalavimas nuolat gyventi šalyje tam, kad minėtos specialios invalidumo draudimo išmokos ir neįgalumo pašalpa būtų mokamos, ypač atsižvelgiant į tai, kad Konvencijos 8 straipsnis negarantuoja teisės į konkretaus dydžio pensiją ar kitas socialines išmokas. Teismas taip pat pažymėjo, kad </w:t>
      </w:r>
      <w:proofErr w:type="spellStart"/>
      <w:r w:rsidRPr="00FD5803">
        <w:rPr>
          <w:rFonts w:cstheme="minorHAnsi"/>
        </w:rPr>
        <w:t>Belli</w:t>
      </w:r>
      <w:proofErr w:type="spellEnd"/>
      <w:r w:rsidRPr="00FD5803">
        <w:rPr>
          <w:rFonts w:cstheme="minorHAnsi"/>
        </w:rPr>
        <w:t xml:space="preserve"> siekis gauti ginčo išmokas tokiomis pa</w:t>
      </w:r>
      <w:r w:rsidR="00C076F5" w:rsidRPr="00FD5803">
        <w:rPr>
          <w:rFonts w:cstheme="minorHAnsi"/>
        </w:rPr>
        <w:t>čiomis sąlygomis, kaip ir asmenim</w:t>
      </w:r>
      <w:r w:rsidRPr="00FD5803">
        <w:rPr>
          <w:rFonts w:cstheme="minorHAnsi"/>
        </w:rPr>
        <w:t>s, kurie dalyvavo socialinio draudimo sistemoje ir mokėjo atitinkamas įmokas, nepagrįstas. Šiuo aspektu, be kita ko, svarbiu buvo pripažintas Šveicarijos vyriausybės argumentas, kad su socialinio draudimo įmokomis nesiejamos išmokos yra skirtos užtikrinti, kad negalią turintys žmonės, kurie netenkino sąlygų gauti įprastin</w:t>
      </w:r>
      <w:r w:rsidR="00EB2C14" w:rsidRPr="00FD5803">
        <w:rPr>
          <w:rFonts w:cstheme="minorHAnsi"/>
        </w:rPr>
        <w:t>e</w:t>
      </w:r>
      <w:r w:rsidRPr="00FD5803">
        <w:rPr>
          <w:rFonts w:cstheme="minorHAnsi"/>
        </w:rPr>
        <w:t>s išmokas, turėtų pakankamai lėšų pragyventi Šveicarijoje. Pateisinamas yra valstybės sprendimas su socialinio draudimo įmokomis nesusijusių išmok</w:t>
      </w:r>
      <w:r w:rsidR="00EB2C14" w:rsidRPr="00FD5803">
        <w:rPr>
          <w:rFonts w:cstheme="minorHAnsi"/>
        </w:rPr>
        <w:t xml:space="preserve">ų nemokėti užsienio valstybėse </w:t>
      </w:r>
      <w:r w:rsidRPr="00FD5803">
        <w:rPr>
          <w:rFonts w:cstheme="minorHAnsi"/>
        </w:rPr>
        <w:t>gyvenantiems asmenims, ypač kai pragyvenimo lygis tokioje užsienio šalyje yra mažesnis nei Šveicari</w:t>
      </w:r>
      <w:r w:rsidR="00EB2C14" w:rsidRPr="00FD5803">
        <w:rPr>
          <w:rFonts w:cstheme="minorHAnsi"/>
        </w:rPr>
        <w:t>joje. Atitinkamai Teismas minėtą</w:t>
      </w:r>
      <w:r w:rsidRPr="00FD5803">
        <w:rPr>
          <w:rFonts w:cstheme="minorHAnsi"/>
        </w:rPr>
        <w:t xml:space="preserve"> nevienodą asmenų vertinimą pripažino pateisinamu.</w:t>
      </w:r>
    </w:p>
    <w:p w14:paraId="6066AB62" w14:textId="77777777" w:rsidR="00C22527" w:rsidRPr="00FD5803" w:rsidRDefault="00C22527" w:rsidP="009A1B99">
      <w:pPr>
        <w:spacing w:after="0" w:line="240" w:lineRule="auto"/>
        <w:ind w:firstLine="720"/>
        <w:jc w:val="both"/>
        <w:rPr>
          <w:rFonts w:cstheme="minorHAnsi"/>
        </w:rPr>
      </w:pPr>
    </w:p>
    <w:p w14:paraId="5DC9C908" w14:textId="77777777" w:rsidR="00C22527" w:rsidRPr="00FD5803" w:rsidRDefault="00C22527" w:rsidP="009A1B99">
      <w:pPr>
        <w:spacing w:after="0" w:line="240" w:lineRule="auto"/>
        <w:ind w:firstLine="567"/>
        <w:jc w:val="both"/>
        <w:rPr>
          <w:rFonts w:cstheme="minorHAnsi"/>
        </w:rPr>
      </w:pPr>
      <w:r w:rsidRPr="00FD5803">
        <w:rPr>
          <w:rFonts w:cstheme="minorHAnsi"/>
        </w:rPr>
        <w:t>Išvada: Konvencijos 14 straipsnis, skaitomas kartu su 8 straipsniu, nepažeistas (yra atskiroji nuomonė).</w:t>
      </w:r>
    </w:p>
    <w:p w14:paraId="21323078" w14:textId="4EC27E86" w:rsidR="00C22527" w:rsidRPr="00FD5803" w:rsidRDefault="007F5353" w:rsidP="009A1B99">
      <w:pPr>
        <w:spacing w:after="0" w:line="240" w:lineRule="auto"/>
        <w:ind w:firstLine="567"/>
        <w:jc w:val="both"/>
        <w:rPr>
          <w:rStyle w:val="Hipersaitas"/>
        </w:rPr>
      </w:pPr>
      <w:hyperlink r:id="rId30" w:history="1">
        <w:r w:rsidR="00C22527" w:rsidRPr="00FD5803">
          <w:rPr>
            <w:rStyle w:val="Hipersaitas"/>
          </w:rPr>
          <w:t>Prieiga internete</w:t>
        </w:r>
      </w:hyperlink>
    </w:p>
    <w:p w14:paraId="0C4F819F" w14:textId="0EEAB019" w:rsidR="006A4F93" w:rsidRPr="00FD5803" w:rsidRDefault="006A4F93" w:rsidP="009A1B99">
      <w:pPr>
        <w:pStyle w:val="Default"/>
        <w:tabs>
          <w:tab w:val="left" w:pos="709"/>
        </w:tabs>
        <w:ind w:firstLine="567"/>
        <w:jc w:val="both"/>
        <w:rPr>
          <w:rFonts w:asciiTheme="minorHAnsi" w:hAnsiTheme="minorHAnsi"/>
          <w:sz w:val="22"/>
          <w:szCs w:val="22"/>
        </w:rPr>
      </w:pPr>
    </w:p>
    <w:p w14:paraId="5C72573F" w14:textId="4EDE1C26" w:rsidR="006A4F93" w:rsidRPr="00FD5803" w:rsidRDefault="006A4F93" w:rsidP="00FD5803">
      <w:pPr>
        <w:pStyle w:val="Default"/>
        <w:tabs>
          <w:tab w:val="left" w:pos="709"/>
        </w:tabs>
        <w:jc w:val="center"/>
        <w:outlineLvl w:val="0"/>
        <w:rPr>
          <w:rFonts w:asciiTheme="minorHAnsi" w:eastAsiaTheme="majorEastAsia" w:hAnsiTheme="minorHAnsi" w:cstheme="majorBidi"/>
          <w:b/>
          <w:color w:val="323E4F" w:themeColor="text2" w:themeShade="BF"/>
          <w:sz w:val="22"/>
          <w:szCs w:val="22"/>
          <w:lang w:eastAsia="en-US"/>
        </w:rPr>
      </w:pPr>
      <w:bookmarkStart w:id="57" w:name="_Toc506738639"/>
      <w:bookmarkStart w:id="58" w:name="_Toc527116523"/>
      <w:bookmarkStart w:id="59" w:name="_Toc1657814"/>
      <w:r w:rsidRPr="00FD5803">
        <w:rPr>
          <w:rFonts w:asciiTheme="minorHAnsi" w:eastAsiaTheme="majorEastAsia" w:hAnsiTheme="minorHAnsi" w:cstheme="majorBidi"/>
          <w:b/>
          <w:color w:val="323E4F" w:themeColor="text2" w:themeShade="BF"/>
          <w:sz w:val="22"/>
          <w:szCs w:val="22"/>
          <w:lang w:eastAsia="en-US"/>
        </w:rPr>
        <w:t>NUOSAVYBĖS APSAUGA (Pirmojo Protokolo 1 straipsnis)</w:t>
      </w:r>
      <w:bookmarkEnd w:id="57"/>
      <w:bookmarkEnd w:id="58"/>
      <w:bookmarkEnd w:id="59"/>
    </w:p>
    <w:p w14:paraId="14A20554" w14:textId="77777777" w:rsidR="006A4F93" w:rsidRPr="00FD5803" w:rsidRDefault="006A4F93" w:rsidP="009A1B99">
      <w:pPr>
        <w:pStyle w:val="Default"/>
        <w:tabs>
          <w:tab w:val="left" w:pos="709"/>
        </w:tabs>
        <w:ind w:firstLine="567"/>
        <w:jc w:val="center"/>
        <w:rPr>
          <w:rFonts w:asciiTheme="minorHAnsi" w:eastAsiaTheme="majorEastAsia" w:hAnsiTheme="minorHAnsi" w:cstheme="majorBidi"/>
          <w:b/>
          <w:color w:val="323E4F" w:themeColor="text2" w:themeShade="BF"/>
          <w:sz w:val="22"/>
          <w:szCs w:val="22"/>
          <w:lang w:eastAsia="en-US"/>
        </w:rPr>
      </w:pPr>
    </w:p>
    <w:p w14:paraId="072EE6DB" w14:textId="175ED506" w:rsidR="006A4F93" w:rsidRPr="00FD5803" w:rsidRDefault="006A4F93" w:rsidP="009A1B99">
      <w:pPr>
        <w:spacing w:after="0" w:line="240" w:lineRule="auto"/>
        <w:jc w:val="center"/>
        <w:rPr>
          <w:rFonts w:cstheme="minorHAnsi"/>
          <w:b/>
        </w:rPr>
      </w:pPr>
      <w:r w:rsidRPr="00FD5803">
        <w:rPr>
          <w:rFonts w:cstheme="minorHAnsi"/>
          <w:b/>
        </w:rPr>
        <w:t>Europos Žmogaus Teisių Teismo 2018 m. liepos 1</w:t>
      </w:r>
      <w:r w:rsidR="00EB2C14" w:rsidRPr="00FD5803">
        <w:rPr>
          <w:rFonts w:cstheme="minorHAnsi"/>
          <w:b/>
        </w:rPr>
        <w:t>0</w:t>
      </w:r>
      <w:r w:rsidRPr="00FD5803">
        <w:rPr>
          <w:rFonts w:cstheme="minorHAnsi"/>
          <w:b/>
        </w:rPr>
        <w:t xml:space="preserve"> d. sprendimas </w:t>
      </w:r>
    </w:p>
    <w:p w14:paraId="2D5B1E46" w14:textId="1461F534" w:rsidR="006A4F93" w:rsidRPr="00FD5803" w:rsidRDefault="006A4F93" w:rsidP="009A1B99">
      <w:pPr>
        <w:pStyle w:val="Antrat2"/>
        <w:ind w:firstLine="0"/>
        <w:jc w:val="center"/>
        <w:rPr>
          <w:rFonts w:eastAsia="Calibri"/>
          <w:i/>
        </w:rPr>
      </w:pPr>
      <w:bookmarkStart w:id="60" w:name="_Toc1657815"/>
      <w:proofErr w:type="spellStart"/>
      <w:r w:rsidRPr="00FD5803">
        <w:rPr>
          <w:rFonts w:eastAsia="Calibri"/>
          <w:i/>
        </w:rPr>
        <w:t>Aiello</w:t>
      </w:r>
      <w:proofErr w:type="spellEnd"/>
      <w:r w:rsidRPr="00FD5803">
        <w:rPr>
          <w:rFonts w:eastAsia="Calibri"/>
          <w:i/>
        </w:rPr>
        <w:t xml:space="preserve"> ir kiti ir </w:t>
      </w:r>
      <w:proofErr w:type="spellStart"/>
      <w:r w:rsidRPr="00FD5803">
        <w:rPr>
          <w:rFonts w:eastAsia="Calibri"/>
          <w:i/>
        </w:rPr>
        <w:t>Arboit</w:t>
      </w:r>
      <w:proofErr w:type="spellEnd"/>
      <w:r w:rsidRPr="00FD5803">
        <w:rPr>
          <w:rFonts w:eastAsia="Calibri"/>
          <w:i/>
        </w:rPr>
        <w:t xml:space="preserve"> ir kiti prieš Italiją</w:t>
      </w:r>
      <w:bookmarkEnd w:id="60"/>
    </w:p>
    <w:p w14:paraId="1BA53E8C" w14:textId="77777777" w:rsidR="006A4F93" w:rsidRPr="00FD5803" w:rsidRDefault="006A4F93" w:rsidP="009A1B99">
      <w:pPr>
        <w:spacing w:after="0" w:line="240" w:lineRule="auto"/>
        <w:jc w:val="center"/>
        <w:rPr>
          <w:rFonts w:cstheme="minorHAnsi"/>
          <w:b/>
        </w:rPr>
      </w:pPr>
      <w:r w:rsidRPr="00FD5803">
        <w:rPr>
          <w:rFonts w:cstheme="minorHAnsi"/>
          <w:b/>
        </w:rPr>
        <w:t>(pareiškimų Nr. 27166/18, Nr. 27167/18)</w:t>
      </w:r>
    </w:p>
    <w:p w14:paraId="2D5D2F8B" w14:textId="77777777" w:rsidR="006A4F93" w:rsidRPr="00FD5803" w:rsidRDefault="006A4F93" w:rsidP="009A1B99">
      <w:pPr>
        <w:spacing w:after="0" w:line="240" w:lineRule="auto"/>
        <w:ind w:firstLine="720"/>
        <w:jc w:val="both"/>
        <w:rPr>
          <w:rFonts w:cstheme="minorHAnsi"/>
          <w:i/>
        </w:rPr>
      </w:pPr>
    </w:p>
    <w:p w14:paraId="6AF5A130" w14:textId="77777777" w:rsidR="006A4F93" w:rsidRPr="00FD5803" w:rsidRDefault="006A4F93" w:rsidP="009A1B99">
      <w:pPr>
        <w:pStyle w:val="Antrat3"/>
        <w:ind w:firstLine="567"/>
        <w:rPr>
          <w:rFonts w:eastAsiaTheme="minorHAnsi" w:cstheme="minorHAnsi"/>
          <w:bCs/>
          <w:iCs/>
          <w:szCs w:val="22"/>
        </w:rPr>
      </w:pPr>
      <w:bookmarkStart w:id="61" w:name="_Toc1657816"/>
      <w:r w:rsidRPr="00FD5803">
        <w:rPr>
          <w:rFonts w:eastAsiaTheme="minorHAnsi" w:cstheme="minorHAnsi"/>
          <w:bCs/>
          <w:iCs/>
          <w:szCs w:val="22"/>
        </w:rPr>
        <w:t>Dėl nepagrįstai sumažintos senatvės pensijos kompensavimo mechanizmo</w:t>
      </w:r>
      <w:bookmarkEnd w:id="61"/>
    </w:p>
    <w:p w14:paraId="6C35A964" w14:textId="77777777" w:rsidR="006A4F93" w:rsidRPr="00FD5803" w:rsidRDefault="006A4F93" w:rsidP="009A1B99">
      <w:pPr>
        <w:spacing w:after="0" w:line="240" w:lineRule="auto"/>
        <w:ind w:firstLine="720"/>
        <w:jc w:val="both"/>
        <w:rPr>
          <w:rFonts w:cstheme="minorHAnsi"/>
          <w:i/>
        </w:rPr>
      </w:pPr>
    </w:p>
    <w:p w14:paraId="61B06460" w14:textId="77777777" w:rsidR="006A4F93" w:rsidRPr="00FD5803" w:rsidRDefault="006A4F93" w:rsidP="009A1B99">
      <w:pPr>
        <w:spacing w:after="0" w:line="240" w:lineRule="auto"/>
        <w:jc w:val="center"/>
        <w:rPr>
          <w:rFonts w:cstheme="minorHAnsi"/>
          <w:b/>
        </w:rPr>
      </w:pPr>
      <w:r w:rsidRPr="00FD5803">
        <w:rPr>
          <w:rFonts w:cstheme="minorHAnsi"/>
          <w:b/>
        </w:rPr>
        <w:t>Faktinės aplinkybės</w:t>
      </w:r>
    </w:p>
    <w:p w14:paraId="4707AB3D" w14:textId="77777777" w:rsidR="006A4F93" w:rsidRPr="00FD5803" w:rsidRDefault="006A4F93" w:rsidP="009A1B99">
      <w:pPr>
        <w:spacing w:after="0" w:line="240" w:lineRule="auto"/>
        <w:ind w:firstLine="720"/>
        <w:jc w:val="both"/>
        <w:rPr>
          <w:rFonts w:cstheme="minorHAnsi"/>
        </w:rPr>
      </w:pPr>
    </w:p>
    <w:p w14:paraId="0C412060" w14:textId="5D00D514" w:rsidR="006A4F93" w:rsidRPr="00FD5803" w:rsidRDefault="006A4F93" w:rsidP="009A1B99">
      <w:pPr>
        <w:spacing w:after="0" w:line="240" w:lineRule="auto"/>
        <w:ind w:firstLine="567"/>
        <w:jc w:val="both"/>
        <w:rPr>
          <w:rFonts w:cstheme="minorHAnsi"/>
        </w:rPr>
      </w:pPr>
      <w:r w:rsidRPr="00FD5803">
        <w:rPr>
          <w:rFonts w:cstheme="minorHAnsi"/>
        </w:rPr>
        <w:lastRenderedPageBreak/>
        <w:t xml:space="preserve">10 059 pareiškėjų Italijos piliečių kreipėsi į Italijos teismą dėl sumažintų pensijų mokėjimo. Esant Italijos biudžeto deficitui, Italijos vyriausybė 2011 m. gruodžio 6 d. priėmė įstatyminį potvarkį Nr. 201/2011, numatantį 2012 ir 2013 metais sustabdyti pensijų, kurios tris kartus didesnės nei Nacionalinės </w:t>
      </w:r>
      <w:r w:rsidR="0096002C">
        <w:rPr>
          <w:rFonts w:cstheme="minorHAnsi"/>
        </w:rPr>
        <w:t>s</w:t>
      </w:r>
      <w:r w:rsidRPr="00FD5803">
        <w:rPr>
          <w:rFonts w:cstheme="minorHAnsi"/>
        </w:rPr>
        <w:t xml:space="preserve">ocialinės apsaugos instituto numatyta garantuojama minimali pensija, indeksavimą. 2015 m. kovo 10 d. Italijos Konstitucinis </w:t>
      </w:r>
      <w:r w:rsidR="0096002C">
        <w:rPr>
          <w:rFonts w:cstheme="minorHAnsi"/>
        </w:rPr>
        <w:t>t</w:t>
      </w:r>
      <w:r w:rsidRPr="00FD5803">
        <w:rPr>
          <w:rFonts w:cstheme="minorHAnsi"/>
        </w:rPr>
        <w:t xml:space="preserve">eismas, vertindamas Italijos teismų </w:t>
      </w:r>
      <w:proofErr w:type="spellStart"/>
      <w:r w:rsidRPr="00FD5803">
        <w:rPr>
          <w:rFonts w:cstheme="minorHAnsi"/>
        </w:rPr>
        <w:t>kreipimusis</w:t>
      </w:r>
      <w:proofErr w:type="spellEnd"/>
      <w:r w:rsidRPr="00FD5803">
        <w:rPr>
          <w:rFonts w:cstheme="minorHAnsi"/>
        </w:rPr>
        <w:t xml:space="preserve"> dėl nurodyto reguliavimo, konstatavo, kad toks įstatymo leidėjo numatytas reguliavimas neproporcingas ir pripažino jį antikonstituciniu. </w:t>
      </w:r>
    </w:p>
    <w:p w14:paraId="3983B4DA" w14:textId="5A35955B" w:rsidR="006A4F93" w:rsidRPr="00FD5803" w:rsidRDefault="006A4F93" w:rsidP="009A1B99">
      <w:pPr>
        <w:spacing w:after="0" w:line="240" w:lineRule="auto"/>
        <w:ind w:firstLine="567"/>
        <w:jc w:val="both"/>
        <w:rPr>
          <w:rFonts w:cstheme="minorHAnsi"/>
        </w:rPr>
      </w:pPr>
      <w:r w:rsidRPr="00FD5803">
        <w:rPr>
          <w:rFonts w:cstheme="minorHAnsi"/>
        </w:rPr>
        <w:t xml:space="preserve">2015 m. gegužės 21 d. Italijos vyriausybė priėmė naują reguliavimą – Įstatyminį potvarkį Nr. 65/2015. Šiame akte Italijos vyriausybė koregavo pensijų skaičiavimo tvarką bei numatė </w:t>
      </w:r>
      <w:proofErr w:type="spellStart"/>
      <w:r w:rsidRPr="00FD5803">
        <w:rPr>
          <w:rFonts w:cstheme="minorHAnsi"/>
        </w:rPr>
        <w:t>retroaktyvų</w:t>
      </w:r>
      <w:proofErr w:type="spellEnd"/>
      <w:r w:rsidRPr="00FD5803">
        <w:rPr>
          <w:rFonts w:cstheme="minorHAnsi"/>
        </w:rPr>
        <w:t xml:space="preserve"> jo nuostatų veikimą. 2017 m. spalio 25 d. Italijos Konstitucinis </w:t>
      </w:r>
      <w:r w:rsidR="0096002C">
        <w:rPr>
          <w:rFonts w:cstheme="minorHAnsi"/>
        </w:rPr>
        <w:t>t</w:t>
      </w:r>
      <w:r w:rsidRPr="00FD5803">
        <w:rPr>
          <w:rFonts w:cstheme="minorHAnsi"/>
        </w:rPr>
        <w:t xml:space="preserve">eismas sprendė, jog įstatymų leidėjo priimtame Įstatyminiame potvarkyje Nr. 65/2015 atsispindi subalansuoti konstituciniai principai, interesai. </w:t>
      </w:r>
    </w:p>
    <w:p w14:paraId="0CBDEEF5" w14:textId="71F2BF15" w:rsidR="006A4F93" w:rsidRPr="00FD5803" w:rsidRDefault="006A4F93" w:rsidP="009A1B99">
      <w:pPr>
        <w:spacing w:after="0" w:line="240" w:lineRule="auto"/>
        <w:ind w:firstLine="567"/>
        <w:jc w:val="both"/>
        <w:rPr>
          <w:rFonts w:cstheme="minorHAnsi"/>
        </w:rPr>
      </w:pPr>
      <w:r w:rsidRPr="00FD5803">
        <w:rPr>
          <w:rFonts w:cstheme="minorHAnsi"/>
        </w:rPr>
        <w:t xml:space="preserve">Įsigaliojus Įstatyminiam potvarkiui Nr. 65/2015, ieškovai, kurie buvo pensijų, didesnių nei tris kartus numatyta minimali pagrindinė pensija, gavėjai kreipėsi į Nacionalinį </w:t>
      </w:r>
      <w:r w:rsidR="00EB2C14" w:rsidRPr="00FD5803">
        <w:rPr>
          <w:rFonts w:cstheme="minorHAnsi"/>
        </w:rPr>
        <w:t>s</w:t>
      </w:r>
      <w:r w:rsidRPr="00FD5803">
        <w:rPr>
          <w:rFonts w:cstheme="minorHAnsi"/>
        </w:rPr>
        <w:t xml:space="preserve">ocialinės apsaugos institutą. Remdamiesi Konstitucinio </w:t>
      </w:r>
      <w:r w:rsidR="0096002C">
        <w:rPr>
          <w:rFonts w:cstheme="minorHAnsi"/>
        </w:rPr>
        <w:t>t</w:t>
      </w:r>
      <w:r w:rsidRPr="00FD5803">
        <w:rPr>
          <w:rFonts w:cstheme="minorHAnsi"/>
        </w:rPr>
        <w:t>eismo 2015 m. kovo 10 d. sprendimu, pareiškėjai prašė jų pensijų automatinio didinimo</w:t>
      </w:r>
      <w:r w:rsidR="00EB2C14" w:rsidRPr="00FD5803">
        <w:rPr>
          <w:rFonts w:cstheme="minorHAnsi"/>
        </w:rPr>
        <w:t>,</w:t>
      </w:r>
      <w:r w:rsidRPr="00FD5803">
        <w:rPr>
          <w:rFonts w:cstheme="minorHAnsi"/>
        </w:rPr>
        <w:t xml:space="preserve"> </w:t>
      </w:r>
      <w:r w:rsidR="00EB2C14" w:rsidRPr="00FD5803">
        <w:rPr>
          <w:rFonts w:cstheme="minorHAnsi"/>
        </w:rPr>
        <w:t>kuris</w:t>
      </w:r>
      <w:r w:rsidRPr="00FD5803">
        <w:rPr>
          <w:rFonts w:cstheme="minorHAnsi"/>
        </w:rPr>
        <w:t xml:space="preserve"> buvo taikoma</w:t>
      </w:r>
      <w:r w:rsidR="00EB2C14" w:rsidRPr="00FD5803">
        <w:rPr>
          <w:rFonts w:cstheme="minorHAnsi"/>
        </w:rPr>
        <w:t>s</w:t>
      </w:r>
      <w:r w:rsidRPr="00FD5803">
        <w:rPr>
          <w:rFonts w:cstheme="minorHAnsi"/>
        </w:rPr>
        <w:t xml:space="preserve"> iki </w:t>
      </w:r>
      <w:r w:rsidR="00EB2C14" w:rsidRPr="00FD5803">
        <w:rPr>
          <w:rFonts w:cstheme="minorHAnsi"/>
        </w:rPr>
        <w:t>Į</w:t>
      </w:r>
      <w:r w:rsidRPr="00FD5803">
        <w:rPr>
          <w:rFonts w:cstheme="minorHAnsi"/>
        </w:rPr>
        <w:t xml:space="preserve">statyminio potvarkio Nr. 201/2011 įsigaliojimo. </w:t>
      </w:r>
    </w:p>
    <w:p w14:paraId="6D84E5B9" w14:textId="3D9F22FB" w:rsidR="006A4F93" w:rsidRPr="00FD5803" w:rsidRDefault="006A4F93" w:rsidP="009A1B99">
      <w:pPr>
        <w:spacing w:after="0" w:line="240" w:lineRule="auto"/>
        <w:ind w:firstLine="567"/>
        <w:jc w:val="both"/>
        <w:rPr>
          <w:rFonts w:cstheme="minorHAnsi"/>
        </w:rPr>
      </w:pPr>
      <w:r w:rsidRPr="00FD5803">
        <w:rPr>
          <w:rFonts w:cstheme="minorHAnsi"/>
        </w:rPr>
        <w:t xml:space="preserve">Pareiškėjai kreipėsi į nacionalinius teismus, argumentuodami, kad </w:t>
      </w:r>
      <w:r w:rsidR="00EB2C14" w:rsidRPr="00FD5803">
        <w:rPr>
          <w:rFonts w:cstheme="minorHAnsi"/>
        </w:rPr>
        <w:t>Į</w:t>
      </w:r>
      <w:r w:rsidRPr="00FD5803">
        <w:rPr>
          <w:rFonts w:cstheme="minorHAnsi"/>
        </w:rPr>
        <w:t xml:space="preserve">statyminis potvarkis Nr. 65/2015 prieštarauja Italijos Konstitucijai. Kai Konstitucinis </w:t>
      </w:r>
      <w:r w:rsidR="0096002C">
        <w:rPr>
          <w:rFonts w:cstheme="minorHAnsi"/>
        </w:rPr>
        <w:t>t</w:t>
      </w:r>
      <w:r w:rsidRPr="00FD5803">
        <w:rPr>
          <w:rFonts w:cstheme="minorHAnsi"/>
        </w:rPr>
        <w:t xml:space="preserve">eismas 2017 m. spalio 25 d. sprendime konstatavo, kad </w:t>
      </w:r>
      <w:r w:rsidR="0096002C">
        <w:rPr>
          <w:rFonts w:cstheme="minorHAnsi"/>
        </w:rPr>
        <w:t>Į</w:t>
      </w:r>
      <w:r w:rsidRPr="00FD5803">
        <w:rPr>
          <w:rFonts w:cstheme="minorHAnsi"/>
        </w:rPr>
        <w:t xml:space="preserve">statyminis potvarkis Nr. 65/2015 neprieštarauja aukštesnės galios aktui, pareiškėjai atsisakė savo skundų. </w:t>
      </w:r>
    </w:p>
    <w:p w14:paraId="1E6DD74E" w14:textId="6B5D643A" w:rsidR="006A4F93" w:rsidRPr="00FD5803" w:rsidRDefault="006A4F93" w:rsidP="009A1B99">
      <w:pPr>
        <w:spacing w:after="0" w:line="240" w:lineRule="auto"/>
        <w:ind w:firstLine="567"/>
        <w:jc w:val="both"/>
        <w:rPr>
          <w:rFonts w:cstheme="minorHAnsi"/>
        </w:rPr>
      </w:pPr>
      <w:r w:rsidRPr="00FD5803">
        <w:rPr>
          <w:rFonts w:cstheme="minorHAnsi"/>
        </w:rPr>
        <w:t>2018 m. gegužės 8 d. pareiškėjai kreipėsi į Teismą bei, remdamies</w:t>
      </w:r>
      <w:r w:rsidR="00EB2C14" w:rsidRPr="00FD5803">
        <w:rPr>
          <w:rFonts w:cstheme="minorHAnsi"/>
        </w:rPr>
        <w:t>i Konvencijos Protokolo Nr. 1 1 </w:t>
      </w:r>
      <w:r w:rsidRPr="00FD5803">
        <w:rPr>
          <w:rFonts w:cstheme="minorHAnsi"/>
        </w:rPr>
        <w:t>straipsniu, teigė, kad Įstatyminio potvarkio Nr. 65/2015 nuostatos nepagrįs</w:t>
      </w:r>
      <w:r w:rsidR="00EB2C14" w:rsidRPr="00FD5803">
        <w:rPr>
          <w:rFonts w:cstheme="minorHAnsi"/>
        </w:rPr>
        <w:t>tai buvo taikomos 2012 bei 2013 </w:t>
      </w:r>
      <w:r w:rsidRPr="00FD5803">
        <w:rPr>
          <w:rFonts w:cstheme="minorHAnsi"/>
        </w:rPr>
        <w:t xml:space="preserve">metams ir ateinantiems metams. Pareiškėjai argumentavo, kad šis reguliavimas yra nesuderinamas su viešaisiais interesais bei yra neproporcingas. Remdamiesi Konvencijos 6 straipsnio 1 dalimi, pareiškėjai teigė, kad šis potvarkis yra nesuderinamas su Konstitucinio Teismo 2015 m. kovo 10 d. sprendimu. </w:t>
      </w:r>
    </w:p>
    <w:p w14:paraId="76E990CB" w14:textId="77777777" w:rsidR="006A4F93" w:rsidRPr="00FD5803" w:rsidRDefault="006A4F93" w:rsidP="009A1B99">
      <w:pPr>
        <w:spacing w:after="0" w:line="240" w:lineRule="auto"/>
        <w:ind w:firstLine="720"/>
        <w:jc w:val="both"/>
        <w:rPr>
          <w:rFonts w:cstheme="minorHAnsi"/>
        </w:rPr>
      </w:pPr>
    </w:p>
    <w:p w14:paraId="7964A431" w14:textId="77777777" w:rsidR="006A4F93" w:rsidRPr="00FD5803" w:rsidRDefault="006A4F93" w:rsidP="009A1B99">
      <w:pPr>
        <w:spacing w:after="0" w:line="240" w:lineRule="auto"/>
        <w:jc w:val="center"/>
        <w:rPr>
          <w:rFonts w:cstheme="minorHAnsi"/>
          <w:b/>
        </w:rPr>
      </w:pPr>
      <w:r w:rsidRPr="00FD5803">
        <w:rPr>
          <w:rFonts w:cstheme="minorHAnsi"/>
          <w:b/>
        </w:rPr>
        <w:t>Neoficiali Teismo sprendimo apžvalga</w:t>
      </w:r>
    </w:p>
    <w:p w14:paraId="24FBF419" w14:textId="77777777" w:rsidR="006A4F93" w:rsidRPr="00FD5803" w:rsidRDefault="006A4F93" w:rsidP="009A1B99">
      <w:pPr>
        <w:spacing w:after="0" w:line="240" w:lineRule="auto"/>
        <w:jc w:val="both"/>
        <w:rPr>
          <w:rFonts w:cstheme="minorHAnsi"/>
        </w:rPr>
      </w:pPr>
    </w:p>
    <w:p w14:paraId="70D02624" w14:textId="5C791894" w:rsidR="006A4F93" w:rsidRPr="00FD5803" w:rsidRDefault="006A4F93" w:rsidP="009A1B99">
      <w:pPr>
        <w:spacing w:after="0" w:line="240" w:lineRule="auto"/>
        <w:ind w:firstLine="567"/>
        <w:jc w:val="both"/>
        <w:rPr>
          <w:rFonts w:cstheme="minorHAnsi"/>
        </w:rPr>
      </w:pPr>
      <w:r w:rsidRPr="00FD5803">
        <w:rPr>
          <w:rFonts w:cstheme="minorHAnsi"/>
        </w:rPr>
        <w:t>Teismas, vertindamas, ar nebuvo pažeistas Konvencijos protokolo Nr. 1 1 straipsnis, sprendė, jog Italijos vyriausybė priimdama Įstatyminį potvarkį Nr. 65/2015 nedarė į</w:t>
      </w:r>
      <w:r w:rsidR="00EB2C14" w:rsidRPr="00FD5803">
        <w:rPr>
          <w:rFonts w:cstheme="minorHAnsi"/>
        </w:rPr>
        <w:t>takos nominalios pensijos dydžiui</w:t>
      </w:r>
      <w:r w:rsidRPr="00FD5803">
        <w:rPr>
          <w:rFonts w:cstheme="minorHAnsi"/>
        </w:rPr>
        <w:t>, tačiau sumažino mechanizmą keičiant pensijų dydį pagal pragyvenimo išlaidas. Pensijų indeksavimo mechanizmo 2012 metams nuostatos nebuvo taikomos visų asmenų atžvilgiu. Tiems asmenims, kuriems buvo taikomas nurodytas reguliavimas, pensijų sumažėjimas siekė nuo 1,62 % iki 2,7 %. Panaši tendencija buvo matoma ir 2013 metais. Teismas, atsižvelgęs į nurodytą pensijų mažinimo mechanizmo taikymą, jo įtaką, sprendė, jog taikoma priemonė nevertintina kaip turinti reikšmingą po</w:t>
      </w:r>
      <w:r w:rsidR="00EB2C14" w:rsidRPr="00FD5803">
        <w:rPr>
          <w:rFonts w:cstheme="minorHAnsi"/>
        </w:rPr>
        <w:t>veikį pareiškėjų pensijoms 2012 </w:t>
      </w:r>
      <w:r w:rsidRPr="00FD5803">
        <w:rPr>
          <w:rFonts w:cstheme="minorHAnsi"/>
        </w:rPr>
        <w:t xml:space="preserve">ir 2013 metais. </w:t>
      </w:r>
    </w:p>
    <w:p w14:paraId="7C5422B8" w14:textId="7C800B45" w:rsidR="006A4F93" w:rsidRPr="00FD5803" w:rsidRDefault="006A4F93" w:rsidP="009A1B99">
      <w:pPr>
        <w:spacing w:after="0" w:line="240" w:lineRule="auto"/>
        <w:ind w:firstLine="567"/>
        <w:jc w:val="both"/>
        <w:rPr>
          <w:rFonts w:cstheme="minorHAnsi"/>
        </w:rPr>
      </w:pPr>
      <w:r w:rsidRPr="00FD5803">
        <w:rPr>
          <w:rFonts w:cstheme="minorHAnsi"/>
        </w:rPr>
        <w:t xml:space="preserve">Vertindamas taikomos priemonės pobūdį ir besitęsiantį efektą 2014 ir kitiems metams, Teismas pažymėjo, kad pagal Konvencijos Protokolo Nr. 1 1 straipsnį valstybės teisė priimti reguliavimą neperžengė socialinių apsaugos teikiamos naudos sumažinimo ribos. Teismas pažymėjo, jog įstatymų leidėjas buvo priverstas priimti teisinį reguliavimą sudėtingoje ekonominėje situacijoje. Teisinis reguliavimas numatė perskirstymą pensijų, apsaugant mažesnes pensijas gaunančius asmenis, tačiau išsaugant socialinės apsaugos sistemos tvarumą būsimoms kartoms. Italijos vyriausybės veikimo laisvė buvo ribojama ribotų išteklių ir rizikos, kad Europos Komisija gali imtis priemonių esant perviršiniam biudžeto deficitui. Teismas taip pat rėmėsi Italijos Konstitucinio </w:t>
      </w:r>
      <w:r w:rsidR="0096002C">
        <w:rPr>
          <w:rFonts w:cstheme="minorHAnsi"/>
        </w:rPr>
        <w:t>t</w:t>
      </w:r>
      <w:r w:rsidRPr="00FD5803">
        <w:rPr>
          <w:rFonts w:cstheme="minorHAnsi"/>
        </w:rPr>
        <w:t xml:space="preserve">eismo sprendimu, kuriame jis pripažino pensijų numatymą skirtingų kategorijų asmenims ir taikytiną mechanizmą sustabdant pensijų indeksavimą teisingu bei atitinkančiu proporcingumo principą. Teismas pažymėjo, jog </w:t>
      </w:r>
      <w:r w:rsidR="00EB2C14" w:rsidRPr="00FD5803">
        <w:rPr>
          <w:rFonts w:cstheme="minorHAnsi"/>
        </w:rPr>
        <w:t>Į</w:t>
      </w:r>
      <w:r w:rsidRPr="00FD5803">
        <w:rPr>
          <w:rFonts w:cstheme="minorHAnsi"/>
        </w:rPr>
        <w:t>statyminis potvarkis Nr. 65/2015 suteikė teisę ieškovams atgauti nuo 201</w:t>
      </w:r>
      <w:r w:rsidR="00EB2C14" w:rsidRPr="00FD5803">
        <w:rPr>
          <w:rFonts w:cstheme="minorHAnsi"/>
        </w:rPr>
        <w:t>4 </w:t>
      </w:r>
      <w:r w:rsidRPr="00FD5803">
        <w:rPr>
          <w:rFonts w:cstheme="minorHAnsi"/>
        </w:rPr>
        <w:t>m. ir ateinančiais meta</w:t>
      </w:r>
      <w:r w:rsidR="0096002C">
        <w:rPr>
          <w:rFonts w:cstheme="minorHAnsi"/>
        </w:rPr>
        <w:t>i</w:t>
      </w:r>
      <w:r w:rsidRPr="00FD5803">
        <w:rPr>
          <w:rFonts w:cstheme="minorHAnsi"/>
        </w:rPr>
        <w:t>s, 2012 ir 2013 metų praradim</w:t>
      </w:r>
      <w:r w:rsidR="00EB2C14" w:rsidRPr="00FD5803">
        <w:rPr>
          <w:rFonts w:cstheme="minorHAnsi"/>
        </w:rPr>
        <w:t>ą</w:t>
      </w:r>
      <w:r w:rsidRPr="00FD5803">
        <w:rPr>
          <w:rFonts w:cstheme="minorHAnsi"/>
        </w:rPr>
        <w:t xml:space="preserve">. </w:t>
      </w:r>
    </w:p>
    <w:p w14:paraId="42C4DF8F" w14:textId="77777777" w:rsidR="006A4F93" w:rsidRPr="00FD5803" w:rsidRDefault="006A4F93" w:rsidP="009A1B99">
      <w:pPr>
        <w:spacing w:after="0" w:line="240" w:lineRule="auto"/>
        <w:ind w:firstLine="567"/>
        <w:jc w:val="both"/>
        <w:rPr>
          <w:rFonts w:cstheme="minorHAnsi"/>
        </w:rPr>
      </w:pPr>
      <w:r w:rsidRPr="00FD5803">
        <w:rPr>
          <w:rFonts w:cstheme="minorHAnsi"/>
        </w:rPr>
        <w:t xml:space="preserve">Teismas, atsižvelgdamas į susiklosčiusią situaciją, sprendė, jog nurodytos reformos efektas nebuvo tokio pobūdžio, kad jis galėtų sukelti ieškovams sunkumų laikytis jų buvusių gyvenimo standartų, taip kad jie būtų nesuderinami su Konvencijos Protokolo Nr. 1 1 straipsniu. Toks įsikišimas nebuvo vertinamas kaip numatantis neproporcingą naštą pareiškėjams. Teismas konstatavo, kad šioje dalyje pareiškimas yra nepagrįstas. </w:t>
      </w:r>
    </w:p>
    <w:p w14:paraId="15C14E63" w14:textId="77777777" w:rsidR="006A4F93" w:rsidRPr="00FD5803" w:rsidRDefault="006A4F93" w:rsidP="009A1B99">
      <w:pPr>
        <w:spacing w:after="0" w:line="240" w:lineRule="auto"/>
        <w:ind w:firstLine="567"/>
        <w:jc w:val="both"/>
        <w:rPr>
          <w:rFonts w:cstheme="minorHAnsi"/>
        </w:rPr>
      </w:pPr>
      <w:r w:rsidRPr="00FD5803">
        <w:rPr>
          <w:rFonts w:cstheme="minorHAnsi"/>
        </w:rPr>
        <w:t xml:space="preserve">Teismas, vertindamas, ar ginčo situacijoje nebuvo pažeistas Konvencijos 6 straipsnis, pažymėjo, jog įstatymų leidėjams nėra draudžiama reguliuoti teises, susijusias su taikomu reguliavimu, numatant naujas nuostatas, turinčias </w:t>
      </w:r>
      <w:proofErr w:type="spellStart"/>
      <w:r w:rsidRPr="00FD5803">
        <w:rPr>
          <w:rFonts w:cstheme="minorHAnsi"/>
        </w:rPr>
        <w:t>retroaktyvų</w:t>
      </w:r>
      <w:proofErr w:type="spellEnd"/>
      <w:r w:rsidRPr="00FD5803">
        <w:rPr>
          <w:rFonts w:cstheme="minorHAnsi"/>
        </w:rPr>
        <w:t xml:space="preserve"> efektą. Pareiškėjai kreipėsi į nacionalinius teismus po 2015 m. priimto </w:t>
      </w:r>
      <w:r w:rsidRPr="00FD5803">
        <w:rPr>
          <w:rFonts w:cstheme="minorHAnsi"/>
        </w:rPr>
        <w:lastRenderedPageBreak/>
        <w:t xml:space="preserve">potvarkio siekdami ginčyti jo taikymą, tačiau dėl šio reguliavimo nebuvo jokio įstatymų leidėjo įsikišimo. Atsižvelgęs į tai, Teismas, šiuo aspektu nenustatė Konvencijos pažeidimo. </w:t>
      </w:r>
    </w:p>
    <w:p w14:paraId="33E8F2D9" w14:textId="77777777" w:rsidR="006A4F93" w:rsidRPr="00FD5803" w:rsidRDefault="006A4F93" w:rsidP="009A1B99">
      <w:pPr>
        <w:spacing w:after="0" w:line="240" w:lineRule="auto"/>
        <w:ind w:firstLine="720"/>
        <w:jc w:val="both"/>
        <w:rPr>
          <w:rFonts w:cstheme="minorHAnsi"/>
        </w:rPr>
      </w:pPr>
    </w:p>
    <w:p w14:paraId="0AB9423B" w14:textId="519A408E" w:rsidR="006A4F93" w:rsidRPr="00FD5803" w:rsidRDefault="006A4F93" w:rsidP="009A1B99">
      <w:pPr>
        <w:spacing w:after="0" w:line="240" w:lineRule="auto"/>
        <w:ind w:firstLine="567"/>
        <w:jc w:val="both"/>
        <w:rPr>
          <w:rFonts w:cstheme="minorHAnsi"/>
        </w:rPr>
      </w:pPr>
      <w:r w:rsidRPr="00FD5803">
        <w:rPr>
          <w:rFonts w:cstheme="minorHAnsi"/>
        </w:rPr>
        <w:t xml:space="preserve">Išvada: Protokolo Nr. 1 1 straipsnio bei Konvencijos 6 straipsnio pažeidimų </w:t>
      </w:r>
      <w:r w:rsidR="00EB2C14" w:rsidRPr="00FD5803">
        <w:rPr>
          <w:rFonts w:cstheme="minorHAnsi"/>
        </w:rPr>
        <w:t>nenustatyta</w:t>
      </w:r>
      <w:r w:rsidRPr="00FD5803">
        <w:rPr>
          <w:rFonts w:cstheme="minorHAnsi"/>
        </w:rPr>
        <w:t>.</w:t>
      </w:r>
    </w:p>
    <w:p w14:paraId="002E8B48" w14:textId="536CD885" w:rsidR="006A4F93" w:rsidRPr="00FD5803" w:rsidRDefault="007F5353" w:rsidP="009A1B99">
      <w:pPr>
        <w:spacing w:after="0" w:line="240" w:lineRule="auto"/>
        <w:ind w:firstLine="567"/>
        <w:jc w:val="both"/>
        <w:rPr>
          <w:rFonts w:cstheme="minorHAnsi"/>
        </w:rPr>
      </w:pPr>
      <w:hyperlink r:id="rId31" w:history="1">
        <w:r w:rsidR="006A4F93" w:rsidRPr="00FD5803">
          <w:rPr>
            <w:rStyle w:val="Hipersaitas"/>
          </w:rPr>
          <w:t>Prieiga internete</w:t>
        </w:r>
      </w:hyperlink>
    </w:p>
    <w:p w14:paraId="55CFD7A3" w14:textId="77777777" w:rsidR="006A4F93" w:rsidRPr="00FD5803" w:rsidRDefault="006A4F93" w:rsidP="009A1B99">
      <w:pPr>
        <w:pStyle w:val="Default"/>
        <w:tabs>
          <w:tab w:val="left" w:pos="709"/>
        </w:tabs>
        <w:ind w:firstLine="567"/>
        <w:jc w:val="center"/>
        <w:rPr>
          <w:rFonts w:asciiTheme="minorHAnsi" w:eastAsiaTheme="majorEastAsia" w:hAnsiTheme="minorHAnsi" w:cstheme="majorBidi"/>
          <w:b/>
          <w:color w:val="323E4F" w:themeColor="text2" w:themeShade="BF"/>
          <w:sz w:val="22"/>
          <w:szCs w:val="22"/>
          <w:lang w:eastAsia="en-US"/>
        </w:rPr>
      </w:pPr>
    </w:p>
    <w:p w14:paraId="26C2A053" w14:textId="77777777" w:rsidR="006A4F93" w:rsidRPr="00FD5803" w:rsidRDefault="006A4F93" w:rsidP="009A1B99">
      <w:pPr>
        <w:spacing w:after="0" w:line="240" w:lineRule="auto"/>
        <w:jc w:val="center"/>
        <w:rPr>
          <w:rFonts w:cstheme="minorHAnsi"/>
          <w:b/>
        </w:rPr>
      </w:pPr>
      <w:r w:rsidRPr="00FD5803">
        <w:rPr>
          <w:rFonts w:cstheme="minorHAnsi"/>
          <w:b/>
        </w:rPr>
        <w:t>Europos Žmogaus Teisių Teismo didžiosios kolegijos 2018 m. gruodžio 11 d. sprendimas</w:t>
      </w:r>
    </w:p>
    <w:p w14:paraId="138D4EF2" w14:textId="77777777" w:rsidR="006A4F93" w:rsidRPr="00FD5803" w:rsidRDefault="006A4F93" w:rsidP="009A1B99">
      <w:pPr>
        <w:pStyle w:val="Antrat2"/>
        <w:ind w:firstLine="0"/>
        <w:jc w:val="center"/>
        <w:rPr>
          <w:rFonts w:eastAsia="Calibri"/>
          <w:i/>
        </w:rPr>
      </w:pPr>
      <w:bookmarkStart w:id="62" w:name="_Toc1657817"/>
      <w:proofErr w:type="spellStart"/>
      <w:r w:rsidRPr="00FD5803">
        <w:rPr>
          <w:rFonts w:eastAsia="Calibri"/>
          <w:i/>
        </w:rPr>
        <w:t>Lekič</w:t>
      </w:r>
      <w:proofErr w:type="spellEnd"/>
      <w:r w:rsidRPr="00FD5803">
        <w:rPr>
          <w:rFonts w:eastAsia="Calibri"/>
          <w:i/>
        </w:rPr>
        <w:t xml:space="preserve"> prieš Slovėniją</w:t>
      </w:r>
      <w:bookmarkEnd w:id="62"/>
    </w:p>
    <w:p w14:paraId="2F1A55A2" w14:textId="525D9CD0" w:rsidR="006A4F93" w:rsidRPr="00FD5803" w:rsidRDefault="006A4F93" w:rsidP="009A1B99">
      <w:pPr>
        <w:spacing w:after="0" w:line="240" w:lineRule="auto"/>
        <w:jc w:val="center"/>
        <w:rPr>
          <w:rFonts w:cstheme="minorHAnsi"/>
          <w:b/>
        </w:rPr>
      </w:pPr>
      <w:r w:rsidRPr="00FD5803">
        <w:rPr>
          <w:rFonts w:cstheme="minorHAnsi"/>
          <w:b/>
        </w:rPr>
        <w:t>(pareiškimo Nr. 36480/07</w:t>
      </w:r>
      <w:r w:rsidR="00E000BD" w:rsidRPr="00FD5803">
        <w:rPr>
          <w:rFonts w:cstheme="minorHAnsi"/>
          <w:b/>
        </w:rPr>
        <w:t xml:space="preserve">, svarbos lygis – </w:t>
      </w:r>
      <w:r w:rsidR="00FD5803" w:rsidRPr="00FD5803">
        <w:rPr>
          <w:rFonts w:cstheme="minorHAnsi"/>
          <w:b/>
        </w:rPr>
        <w:t>skelbta Rinkinyje</w:t>
      </w:r>
      <w:r w:rsidRPr="00FD5803">
        <w:rPr>
          <w:rFonts w:cstheme="minorHAnsi"/>
          <w:b/>
        </w:rPr>
        <w:t>)</w:t>
      </w:r>
    </w:p>
    <w:p w14:paraId="2053F8C7" w14:textId="77777777" w:rsidR="006A4F93" w:rsidRPr="00FD5803" w:rsidRDefault="006A4F93" w:rsidP="009A1B99">
      <w:pPr>
        <w:spacing w:after="0" w:line="240" w:lineRule="auto"/>
        <w:ind w:firstLine="720"/>
        <w:jc w:val="both"/>
        <w:rPr>
          <w:rFonts w:cstheme="minorHAnsi"/>
        </w:rPr>
      </w:pPr>
    </w:p>
    <w:p w14:paraId="507BA45D" w14:textId="77777777" w:rsidR="006A4F93" w:rsidRPr="00FD5803" w:rsidRDefault="006A4F93" w:rsidP="009A1B99">
      <w:pPr>
        <w:pStyle w:val="Antrat3"/>
        <w:spacing w:before="0" w:line="240" w:lineRule="auto"/>
        <w:ind w:firstLine="567"/>
        <w:jc w:val="both"/>
        <w:rPr>
          <w:rFonts w:eastAsiaTheme="minorHAnsi" w:cstheme="minorHAnsi"/>
          <w:szCs w:val="22"/>
        </w:rPr>
      </w:pPr>
      <w:bookmarkStart w:id="63" w:name="_Toc1657818"/>
      <w:r w:rsidRPr="00FD5803">
        <w:rPr>
          <w:rFonts w:eastAsiaTheme="minorHAnsi" w:cstheme="minorHAnsi"/>
          <w:szCs w:val="22"/>
        </w:rPr>
        <w:t>Dėl neveikiančios bendrovės skolų perkėlimo akcininkui, kai įsigaliojus naujam reguliavimui pasikeitė įmonių likvidavimo tvarka</w:t>
      </w:r>
      <w:bookmarkEnd w:id="63"/>
    </w:p>
    <w:p w14:paraId="325D54DC" w14:textId="77777777" w:rsidR="006A4F93" w:rsidRPr="00FD5803" w:rsidRDefault="006A4F93" w:rsidP="009A1B99">
      <w:pPr>
        <w:spacing w:after="0" w:line="240" w:lineRule="auto"/>
        <w:ind w:firstLine="720"/>
        <w:jc w:val="both"/>
        <w:rPr>
          <w:rFonts w:cstheme="minorHAnsi"/>
        </w:rPr>
      </w:pPr>
    </w:p>
    <w:p w14:paraId="418D43EE" w14:textId="77777777" w:rsidR="006A4F93" w:rsidRPr="00FD5803" w:rsidRDefault="006A4F93" w:rsidP="009A1B99">
      <w:pPr>
        <w:spacing w:after="0" w:line="240" w:lineRule="auto"/>
        <w:jc w:val="center"/>
        <w:rPr>
          <w:rFonts w:cstheme="minorHAnsi"/>
          <w:b/>
        </w:rPr>
      </w:pPr>
      <w:r w:rsidRPr="00FD5803">
        <w:rPr>
          <w:rFonts w:cstheme="minorHAnsi"/>
          <w:b/>
        </w:rPr>
        <w:t>Faktinės aplinkybės</w:t>
      </w:r>
    </w:p>
    <w:p w14:paraId="6373CA4A" w14:textId="77777777" w:rsidR="006A4F93" w:rsidRPr="00FD5803" w:rsidRDefault="006A4F93" w:rsidP="009A1B99">
      <w:pPr>
        <w:spacing w:after="0" w:line="240" w:lineRule="auto"/>
        <w:ind w:firstLine="720"/>
        <w:jc w:val="both"/>
        <w:rPr>
          <w:rFonts w:cstheme="minorHAnsi"/>
        </w:rPr>
      </w:pPr>
    </w:p>
    <w:p w14:paraId="6C246800" w14:textId="72CA6671" w:rsidR="006A4F93" w:rsidRPr="00FD5803" w:rsidRDefault="006A4F93" w:rsidP="009A1B99">
      <w:pPr>
        <w:spacing w:after="0" w:line="240" w:lineRule="auto"/>
        <w:ind w:firstLine="567"/>
        <w:jc w:val="both"/>
        <w:rPr>
          <w:rFonts w:cstheme="minorHAnsi"/>
        </w:rPr>
      </w:pPr>
      <w:r w:rsidRPr="00FD5803">
        <w:rPr>
          <w:rFonts w:cstheme="minorHAnsi"/>
        </w:rPr>
        <w:t xml:space="preserve">Pareiškėjui </w:t>
      </w:r>
      <w:proofErr w:type="spellStart"/>
      <w:r w:rsidRPr="00FD5803">
        <w:rPr>
          <w:rFonts w:cstheme="minorHAnsi"/>
        </w:rPr>
        <w:t>Ljubomir</w:t>
      </w:r>
      <w:proofErr w:type="spellEnd"/>
      <w:r w:rsidRPr="00FD5803">
        <w:rPr>
          <w:rFonts w:cstheme="minorHAnsi"/>
        </w:rPr>
        <w:t xml:space="preserve"> </w:t>
      </w:r>
      <w:proofErr w:type="spellStart"/>
      <w:r w:rsidRPr="00FD5803">
        <w:rPr>
          <w:rFonts w:cstheme="minorHAnsi"/>
        </w:rPr>
        <w:t>Lekic</w:t>
      </w:r>
      <w:proofErr w:type="spellEnd"/>
      <w:r w:rsidRPr="00FD5803">
        <w:rPr>
          <w:rFonts w:cstheme="minorHAnsi"/>
        </w:rPr>
        <w:t xml:space="preserve"> 90-aisiais metais priklausė 11,11 proc. bendrovės L.E. akcijų, jis taip pat buvo šios bendrovės darbuotojas, o vėliau tapo ir jos vykdančiuoju direktoriumi. 1993 metais bendrovė susidūrė su finansiniais sunkumais, jos kreditorius Slovėnijos geležinkeliai pateikė 20 000 Eur dydžio civilinį ieškinį už neapmokėtas paslaugas. 1995 metais bendrovė tapo nelikvidi ir palaipsniui nutraukė </w:t>
      </w:r>
      <w:r w:rsidR="0096002C">
        <w:rPr>
          <w:rFonts w:cstheme="minorHAnsi"/>
        </w:rPr>
        <w:t>bei</w:t>
      </w:r>
      <w:r w:rsidRPr="00FD5803">
        <w:rPr>
          <w:rFonts w:cstheme="minorHAnsi"/>
        </w:rPr>
        <w:t xml:space="preserve"> nebevykdė jokios ekonominės veiklos. 1997 metais bendrovės akcininkai kreipėsi dėl bankroto, tačiau kompetentingas teismas atmetė prašymą, nes nebuvo iš anksto įmokėtos reikiamos sumos už likvidavimo procedūras. Tada akcininkai nutarė palaukti, kol teismas pagal tuo metu galiojusią nacionalinę teisę nuspręs pats (savo iniciatyva) likviduoti bendrovę.</w:t>
      </w:r>
    </w:p>
    <w:p w14:paraId="4BB6B026" w14:textId="59C8E859" w:rsidR="006A4F93" w:rsidRPr="00FD5803" w:rsidRDefault="006A4F93" w:rsidP="009A1B99">
      <w:pPr>
        <w:spacing w:after="0" w:line="240" w:lineRule="auto"/>
        <w:ind w:firstLine="567"/>
        <w:jc w:val="both"/>
        <w:rPr>
          <w:rFonts w:cstheme="minorHAnsi"/>
        </w:rPr>
      </w:pPr>
      <w:r w:rsidRPr="00FD5803">
        <w:rPr>
          <w:rFonts w:cstheme="minorHAnsi"/>
        </w:rPr>
        <w:t>1999 metais buvo pakeisti įstatymai ir nacionalinių teismų teisė savo iniciatyva likviduoti bendroves panaikinta, tačiau jiems buvo suteikta teisė išbraukti iš teismo registro neveikiančias bendroves netaikant likvidavimo procedūrų. Tai leido panaikinti bendroves be jų turto panaudojimo skoloms kreditoriams padengti – už tokios bendrovės skolas atsakytų ta</w:t>
      </w:r>
      <w:r w:rsidR="00AE7C62" w:rsidRPr="00FD5803">
        <w:rPr>
          <w:rFonts w:cstheme="minorHAnsi"/>
        </w:rPr>
        <w:t>m</w:t>
      </w:r>
      <w:r w:rsidRPr="00FD5803">
        <w:rPr>
          <w:rFonts w:cstheme="minorHAnsi"/>
        </w:rPr>
        <w:t xml:space="preserve"> tikri akcininkai. 2001 metais ginčo bendrovė buvo išbraukta iš registro; sprendimas nebuvo įteiktas, nes bendrovės nurodytais ar kitais adresais ji nebuvo rasta. Apie išbraukimą iš registro pareiškėjas sužinojo 2004 metais.</w:t>
      </w:r>
    </w:p>
    <w:p w14:paraId="3A908E3A" w14:textId="77777777" w:rsidR="006A4F93" w:rsidRPr="00FD5803" w:rsidRDefault="006A4F93" w:rsidP="009A1B99">
      <w:pPr>
        <w:spacing w:after="0" w:line="240" w:lineRule="auto"/>
        <w:ind w:firstLine="567"/>
        <w:jc w:val="both"/>
        <w:rPr>
          <w:rFonts w:cstheme="minorHAnsi"/>
        </w:rPr>
      </w:pPr>
      <w:r w:rsidRPr="00FD5803">
        <w:rPr>
          <w:rFonts w:cstheme="minorHAnsi"/>
        </w:rPr>
        <w:t>Tuo metu Slovėnijos geležinkeliams 2000 metų teismo sprendimu buvo priteista skola iš minėtos bendrovės. Atitinkamai šiam kreditoriui buvo išduotas vykdomasis raštas dėl skolos išieškojimo iš bendrovės akcininkų. 2004 metais šis raštas buvo įteiktas pareiškėjui.</w:t>
      </w:r>
    </w:p>
    <w:p w14:paraId="56AD1A8A" w14:textId="77777777" w:rsidR="006A4F93" w:rsidRPr="00FD5803" w:rsidRDefault="006A4F93" w:rsidP="009A1B99">
      <w:pPr>
        <w:spacing w:after="0" w:line="240" w:lineRule="auto"/>
        <w:ind w:firstLine="567"/>
        <w:jc w:val="both"/>
        <w:rPr>
          <w:rFonts w:cstheme="minorHAnsi"/>
        </w:rPr>
      </w:pPr>
      <w:r w:rsidRPr="00FD5803">
        <w:rPr>
          <w:rFonts w:cstheme="minorHAnsi"/>
        </w:rPr>
        <w:t>Pareiškėjas pateikė skundą, be kita ko, teigdamas, kad nebuvo aktyvus bendrovės akcininkas, todėl jis nėra atsakingas už jos skolas. Tačiau nacionalinis teismas pripažino, kad jis neįrodė šios aplinkybės – pareiškėjas dalyvavo bendrovės valdyme nuo 1993 metų. Apeliacinės instancijos teismas šį teismo sprendimą paliko nepakeistą.</w:t>
      </w:r>
    </w:p>
    <w:p w14:paraId="49E0074F" w14:textId="667F3896" w:rsidR="006A4F93" w:rsidRPr="00FD5803" w:rsidRDefault="006A4F93" w:rsidP="009A1B99">
      <w:pPr>
        <w:spacing w:after="0" w:line="240" w:lineRule="auto"/>
        <w:ind w:firstLine="567"/>
        <w:jc w:val="both"/>
        <w:rPr>
          <w:rFonts w:cstheme="minorHAnsi"/>
        </w:rPr>
      </w:pPr>
      <w:r w:rsidRPr="00FD5803">
        <w:rPr>
          <w:rFonts w:cstheme="minorHAnsi"/>
        </w:rPr>
        <w:t>Remdamasis Konvencijos Protokolo Nr. 1 1 straipsniu (nuosavybės apsauga) pareiškėjas Teismui pateiktame pareiškime, be kita ko, teigė, kad bendrovės išbraukimas ir jam tekusi atsakomybė pažeidė jo nuosavybės teises ir lėmė neteisėtą nuosavybės nusavinimą. Atsakomybės perkėlimas vykdant minėtą išbraukimo procedūrą pažeidė teisinį tikrumo principą, buvo nepateisinamas ir neturėjo jokio teisėto tikslo.</w:t>
      </w:r>
    </w:p>
    <w:p w14:paraId="3285401C" w14:textId="77777777" w:rsidR="006A4F93" w:rsidRPr="00FD5803" w:rsidRDefault="006A4F93" w:rsidP="009A1B99">
      <w:pPr>
        <w:spacing w:after="0" w:line="240" w:lineRule="auto"/>
        <w:ind w:firstLine="720"/>
        <w:jc w:val="both"/>
        <w:rPr>
          <w:rFonts w:cstheme="minorHAnsi"/>
        </w:rPr>
      </w:pPr>
    </w:p>
    <w:p w14:paraId="3CF946EB" w14:textId="77777777" w:rsidR="006A4F93" w:rsidRPr="00FD5803" w:rsidRDefault="006A4F93" w:rsidP="009A1B99">
      <w:pPr>
        <w:spacing w:after="0" w:line="240" w:lineRule="auto"/>
        <w:jc w:val="center"/>
        <w:rPr>
          <w:rFonts w:cstheme="minorHAnsi"/>
          <w:b/>
        </w:rPr>
      </w:pPr>
      <w:r w:rsidRPr="00FD5803">
        <w:rPr>
          <w:rFonts w:cstheme="minorHAnsi"/>
          <w:b/>
        </w:rPr>
        <w:t>Neoficiali Teismo sprendimo apžvalga</w:t>
      </w:r>
    </w:p>
    <w:p w14:paraId="4222698E" w14:textId="77777777" w:rsidR="006A4F93" w:rsidRPr="00FD5803" w:rsidRDefault="006A4F93" w:rsidP="009A1B99">
      <w:pPr>
        <w:spacing w:after="0" w:line="240" w:lineRule="auto"/>
        <w:ind w:firstLine="720"/>
        <w:jc w:val="both"/>
        <w:rPr>
          <w:rFonts w:cstheme="minorHAnsi"/>
        </w:rPr>
      </w:pPr>
    </w:p>
    <w:p w14:paraId="3D3851AA" w14:textId="46C1DAC0" w:rsidR="006A4F93" w:rsidRPr="00FD5803" w:rsidRDefault="006A4F93" w:rsidP="009A1B99">
      <w:pPr>
        <w:spacing w:after="0" w:line="240" w:lineRule="auto"/>
        <w:ind w:firstLine="567"/>
        <w:jc w:val="both"/>
        <w:rPr>
          <w:rFonts w:cstheme="minorHAnsi"/>
        </w:rPr>
      </w:pPr>
      <w:r w:rsidRPr="00FD5803">
        <w:rPr>
          <w:rFonts w:cstheme="minorHAnsi"/>
        </w:rPr>
        <w:t>Byloje nebuvo ginčo, kad sprendimas pareiškėją pripažinti atsakingu už bendrovės skolas lėmė jo nuosavybės teisių suvaržymą. Šis suvaržymas buvo teisėtas Protokolo Nr. 1 1 straipsnio taikymo prasme: jis buvo numatytas 1999 metais priimtame nacionaliniame įstatyme, kuris buvo viešai paskelbtas; pareiškėjas turėjo suprasti, kad jo bendrovė galėjo būti išbraukta ir kad jam galėjo būti perkelta atsakomybė už bendrovės skolas; kaip akcininkas ir buvęs vienas iš bendrovės vadovų pareiškėjas žinojo apie bendrovės būklę, jos skolas ir teismuose nagrinėjamus civilinius ieškinius. Teismo vertinimu, pareiškėjas taip pat galėjo</w:t>
      </w:r>
      <w:r w:rsidR="00AE7C62" w:rsidRPr="00FD5803">
        <w:rPr>
          <w:rFonts w:cstheme="minorHAnsi"/>
        </w:rPr>
        <w:t xml:space="preserve"> tikėtis, kad jam teks spręsti </w:t>
      </w:r>
      <w:r w:rsidRPr="00FD5803">
        <w:rPr>
          <w:rFonts w:cstheme="minorHAnsi"/>
        </w:rPr>
        <w:t xml:space="preserve">su bendrove susijusius klausimus, iš jo pagrįstai galėjo būti reikalaujama, kad jis atliks būtiniausius su bendrovės valdymu susijusius veiksmus, </w:t>
      </w:r>
      <w:r w:rsidR="0096002C">
        <w:rPr>
          <w:rFonts w:cstheme="minorHAnsi"/>
        </w:rPr>
        <w:t xml:space="preserve">pvz., </w:t>
      </w:r>
      <w:r w:rsidRPr="00FD5803">
        <w:rPr>
          <w:rFonts w:cstheme="minorHAnsi"/>
        </w:rPr>
        <w:t>laiškų, adresuotų bendrovei</w:t>
      </w:r>
      <w:r w:rsidR="00AE7C62" w:rsidRPr="00FD5803">
        <w:rPr>
          <w:rFonts w:cstheme="minorHAnsi"/>
        </w:rPr>
        <w:t>,</w:t>
      </w:r>
      <w:r w:rsidRPr="00FD5803">
        <w:rPr>
          <w:rFonts w:cstheme="minorHAnsi"/>
        </w:rPr>
        <w:t xml:space="preserve"> priėmimą. Todėl Teismas atmetė pareiškėjo argumentus, susijusius su netinkamu jo informavimu apie bendrovės išbraukimą iš registro.</w:t>
      </w:r>
    </w:p>
    <w:p w14:paraId="34A1C1DF" w14:textId="77777777" w:rsidR="006A4F93" w:rsidRPr="00FD5803" w:rsidRDefault="006A4F93" w:rsidP="009A1B99">
      <w:pPr>
        <w:spacing w:after="0" w:line="240" w:lineRule="auto"/>
        <w:ind w:firstLine="567"/>
        <w:jc w:val="both"/>
        <w:rPr>
          <w:rFonts w:cstheme="minorHAnsi"/>
        </w:rPr>
      </w:pPr>
      <w:r w:rsidRPr="00FD5803">
        <w:rPr>
          <w:rFonts w:cstheme="minorHAnsi"/>
        </w:rPr>
        <w:lastRenderedPageBreak/>
        <w:t>Teismas taip pat pažymėjo, kad pagrindinis pareiškėjo nuosavybės teisių suvaržymo tikslas buvo viešojo intereso užtikrinimas, konkrečiai – užtikrinti stabilumą rinkoje ir finansinę drausmę perėjimo iš socialistinės į laisvosios rinkos ekonomiką laikotarpiu.</w:t>
      </w:r>
    </w:p>
    <w:p w14:paraId="3C975D0E" w14:textId="5870534B" w:rsidR="006A4F93" w:rsidRPr="00FD5803" w:rsidRDefault="006A4F93" w:rsidP="009A1B99">
      <w:pPr>
        <w:spacing w:after="0" w:line="240" w:lineRule="auto"/>
        <w:ind w:firstLine="567"/>
        <w:jc w:val="both"/>
        <w:rPr>
          <w:rFonts w:cstheme="minorHAnsi"/>
        </w:rPr>
      </w:pPr>
      <w:r w:rsidRPr="00FD5803">
        <w:rPr>
          <w:rFonts w:cstheme="minorHAnsi"/>
        </w:rPr>
        <w:t>Iš tiesų 90-ųjų pabaigoje ne mažiau kaip 6</w:t>
      </w:r>
      <w:r w:rsidR="006860B3" w:rsidRPr="00FD5803">
        <w:rPr>
          <w:rFonts w:cstheme="minorHAnsi"/>
        </w:rPr>
        <w:t xml:space="preserve"> </w:t>
      </w:r>
      <w:r w:rsidRPr="00FD5803">
        <w:rPr>
          <w:rFonts w:cstheme="minorHAnsi"/>
        </w:rPr>
        <w:t>500 įmonių, kurios buvo įkurtos pagal buvusios Jugoslavijos teisę</w:t>
      </w:r>
      <w:r w:rsidR="006860B3" w:rsidRPr="00FD5803">
        <w:rPr>
          <w:rFonts w:cstheme="minorHAnsi"/>
        </w:rPr>
        <w:t>,</w:t>
      </w:r>
      <w:r w:rsidRPr="00FD5803">
        <w:rPr>
          <w:rFonts w:cstheme="minorHAnsi"/>
        </w:rPr>
        <w:t xml:space="preserve"> egzistavo tik popieriuje, turėjo dideles skolas ir neturėjo jokio turto. Atsakomybės už neveikiančias bendroves perkėlimas jų dalyviams buvo nustatytas </w:t>
      </w:r>
      <w:r w:rsidR="006860B3" w:rsidRPr="00FD5803">
        <w:rPr>
          <w:rFonts w:cstheme="minorHAnsi"/>
        </w:rPr>
        <w:t>siekiant</w:t>
      </w:r>
      <w:r w:rsidRPr="00FD5803">
        <w:rPr>
          <w:rFonts w:cstheme="minorHAnsi"/>
        </w:rPr>
        <w:t xml:space="preserve"> išvengti didelio teismų darbo krūvio, šiems pradedant ir ilgus metus atliekant brangiai valstybei kainuojančias likvidavimo procedūras pagal ankstesnį teisinį reguliavimą. Pažymėta, kad atsakomybės perkėlimas buvo taikomas tik tiems bendrovių dalyviams, kurie turėjo galimybę aktyviai spręsti klausimus, susijusius su bendrovės veikla ir jos valdymu (šiuo aspektu Teismas sutiko su nacionalinio teismo vertinimu dėl pareiškėjo veiklos ginčo bendrovėje).</w:t>
      </w:r>
    </w:p>
    <w:p w14:paraId="15D9C226" w14:textId="11E59D6F" w:rsidR="006A4F93" w:rsidRPr="00FD5803" w:rsidRDefault="006A4F93" w:rsidP="009A1B99">
      <w:pPr>
        <w:spacing w:after="0" w:line="240" w:lineRule="auto"/>
        <w:ind w:firstLine="567"/>
        <w:jc w:val="both"/>
        <w:rPr>
          <w:rFonts w:cstheme="minorHAnsi"/>
        </w:rPr>
      </w:pPr>
      <w:r w:rsidRPr="00FD5803">
        <w:rPr>
          <w:rFonts w:cstheme="minorHAnsi"/>
        </w:rPr>
        <w:t xml:space="preserve">Teismas taip pat atkreipė dėmesį į tai, kad po 1999 metų įstatymo priėmimo bendrovė L.E. ir jos dalyviai turėjo vienerius metus iki įstatymo įsigaliojimo, todėl galėjo pradėti bendrovės likvidavimo procedūras, taip išvengiant išbraukimo procedūros ir asmeninės atsakomybės už bendrovės skolas. </w:t>
      </w:r>
      <w:r w:rsidR="0096002C">
        <w:rPr>
          <w:rFonts w:cstheme="minorHAnsi"/>
        </w:rPr>
        <w:t>Tačiau</w:t>
      </w:r>
      <w:r w:rsidRPr="00FD5803">
        <w:rPr>
          <w:rFonts w:cstheme="minorHAnsi"/>
        </w:rPr>
        <w:t xml:space="preserve"> jie toliau leido bendrovei gyvuoti, nors ji negalėjo grąžinti skolų ar vykdyti veiklos.</w:t>
      </w:r>
    </w:p>
    <w:p w14:paraId="5DF9DA09" w14:textId="77777777" w:rsidR="006A4F93" w:rsidRPr="00FD5803" w:rsidRDefault="006A4F93" w:rsidP="009A1B99">
      <w:pPr>
        <w:spacing w:after="0" w:line="240" w:lineRule="auto"/>
        <w:ind w:firstLine="720"/>
        <w:jc w:val="both"/>
        <w:rPr>
          <w:rFonts w:cstheme="minorHAnsi"/>
        </w:rPr>
      </w:pPr>
    </w:p>
    <w:p w14:paraId="552E67E1" w14:textId="3254296A" w:rsidR="006A4F93" w:rsidRPr="00FD5803" w:rsidRDefault="006A4F93" w:rsidP="009A1B99">
      <w:pPr>
        <w:spacing w:after="0" w:line="240" w:lineRule="auto"/>
        <w:ind w:firstLine="567"/>
        <w:jc w:val="both"/>
        <w:rPr>
          <w:rFonts w:cstheme="minorHAnsi"/>
        </w:rPr>
      </w:pPr>
      <w:r w:rsidRPr="00FD5803">
        <w:rPr>
          <w:rFonts w:cstheme="minorHAnsi"/>
        </w:rPr>
        <w:t>Išvada: Protok</w:t>
      </w:r>
      <w:r w:rsidR="006860B3" w:rsidRPr="00FD5803">
        <w:rPr>
          <w:rFonts w:cstheme="minorHAnsi"/>
        </w:rPr>
        <w:t>olo Nr. 1 1 straipsnio pažeidimas</w:t>
      </w:r>
      <w:r w:rsidRPr="00FD5803">
        <w:rPr>
          <w:rFonts w:cstheme="minorHAnsi"/>
        </w:rPr>
        <w:t xml:space="preserve"> </w:t>
      </w:r>
      <w:r w:rsidR="006860B3" w:rsidRPr="00FD5803">
        <w:rPr>
          <w:rFonts w:cstheme="minorHAnsi"/>
        </w:rPr>
        <w:t>nenustatytas</w:t>
      </w:r>
      <w:r w:rsidRPr="00FD5803">
        <w:rPr>
          <w:rFonts w:cstheme="minorHAnsi"/>
        </w:rPr>
        <w:t xml:space="preserve"> (yra atskirosios nuomonės).</w:t>
      </w:r>
    </w:p>
    <w:p w14:paraId="7054100E" w14:textId="77777777" w:rsidR="006A4F93" w:rsidRPr="00FD5803" w:rsidRDefault="007F5353" w:rsidP="009A1B99">
      <w:pPr>
        <w:spacing w:after="0" w:line="240" w:lineRule="auto"/>
        <w:ind w:firstLine="567"/>
        <w:jc w:val="both"/>
        <w:rPr>
          <w:rStyle w:val="Hipersaitas"/>
        </w:rPr>
      </w:pPr>
      <w:hyperlink r:id="rId32" w:history="1">
        <w:r w:rsidR="006A4F93" w:rsidRPr="00FD5803">
          <w:rPr>
            <w:rStyle w:val="Hipersaitas"/>
          </w:rPr>
          <w:t>Prieiga internete</w:t>
        </w:r>
      </w:hyperlink>
    </w:p>
    <w:p w14:paraId="1F781BB8" w14:textId="77777777" w:rsidR="006A4F93" w:rsidRPr="006A4F93" w:rsidRDefault="006A4F93" w:rsidP="009A1B99">
      <w:pPr>
        <w:pStyle w:val="Default"/>
        <w:tabs>
          <w:tab w:val="left" w:pos="709"/>
        </w:tabs>
        <w:ind w:firstLine="567"/>
        <w:jc w:val="center"/>
        <w:outlineLvl w:val="0"/>
        <w:rPr>
          <w:rFonts w:asciiTheme="minorHAnsi" w:eastAsiaTheme="majorEastAsia" w:hAnsiTheme="minorHAnsi" w:cstheme="majorBidi"/>
          <w:b/>
          <w:color w:val="323E4F" w:themeColor="text2" w:themeShade="BF"/>
          <w:sz w:val="22"/>
          <w:szCs w:val="32"/>
          <w:lang w:eastAsia="en-US"/>
        </w:rPr>
      </w:pPr>
    </w:p>
    <w:sectPr w:rsidR="006A4F93" w:rsidRPr="006A4F93" w:rsidSect="00C22527">
      <w:headerReference w:type="default" r:id="rId33"/>
      <w:footerReference w:type="default" r:id="rId3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13656" w14:textId="77777777" w:rsidR="00004FC2" w:rsidRDefault="00004FC2">
      <w:pPr>
        <w:spacing w:after="0" w:line="240" w:lineRule="auto"/>
      </w:pPr>
      <w:r>
        <w:separator/>
      </w:r>
    </w:p>
  </w:endnote>
  <w:endnote w:type="continuationSeparator" w:id="0">
    <w:p w14:paraId="5F2D0009" w14:textId="77777777" w:rsidR="00004FC2" w:rsidRDefault="00004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852252299"/>
      <w:docPartObj>
        <w:docPartGallery w:val="Page Numbers (Bottom of Page)"/>
        <w:docPartUnique/>
      </w:docPartObj>
    </w:sdtPr>
    <w:sdtContent>
      <w:sdt>
        <w:sdtPr>
          <w:rPr>
            <w:sz w:val="20"/>
            <w:szCs w:val="20"/>
          </w:rPr>
          <w:id w:val="1728636285"/>
          <w:docPartObj>
            <w:docPartGallery w:val="Page Numbers (Top of Page)"/>
            <w:docPartUnique/>
          </w:docPartObj>
        </w:sdtPr>
        <w:sdtContent>
          <w:p w14:paraId="18730759" w14:textId="77777777" w:rsidR="007F5353" w:rsidRPr="00C95576" w:rsidRDefault="007F5353">
            <w:pPr>
              <w:pStyle w:val="Porat"/>
              <w:jc w:val="center"/>
              <w:rPr>
                <w:sz w:val="20"/>
                <w:szCs w:val="20"/>
              </w:rPr>
            </w:pPr>
            <w:r w:rsidRPr="00C95576">
              <w:rPr>
                <w:bCs/>
                <w:sz w:val="20"/>
                <w:szCs w:val="20"/>
              </w:rPr>
              <w:fldChar w:fldCharType="begin"/>
            </w:r>
            <w:r w:rsidRPr="00C95576">
              <w:rPr>
                <w:bCs/>
                <w:sz w:val="20"/>
                <w:szCs w:val="20"/>
              </w:rPr>
              <w:instrText>PAGE</w:instrText>
            </w:r>
            <w:r w:rsidRPr="00C95576">
              <w:rPr>
                <w:bCs/>
                <w:sz w:val="20"/>
                <w:szCs w:val="20"/>
              </w:rPr>
              <w:fldChar w:fldCharType="separate"/>
            </w:r>
            <w:r>
              <w:rPr>
                <w:bCs/>
                <w:noProof/>
                <w:sz w:val="20"/>
                <w:szCs w:val="20"/>
              </w:rPr>
              <w:t>33</w:t>
            </w:r>
            <w:r w:rsidRPr="00C95576">
              <w:rPr>
                <w:bCs/>
                <w:sz w:val="20"/>
                <w:szCs w:val="20"/>
              </w:rPr>
              <w:fldChar w:fldCharType="end"/>
            </w:r>
            <w:r w:rsidRPr="00C95576">
              <w:rPr>
                <w:sz w:val="20"/>
                <w:szCs w:val="20"/>
              </w:rPr>
              <w:t xml:space="preserve"> / </w:t>
            </w:r>
            <w:r w:rsidRPr="00C95576">
              <w:rPr>
                <w:bCs/>
                <w:sz w:val="20"/>
                <w:szCs w:val="20"/>
              </w:rPr>
              <w:fldChar w:fldCharType="begin"/>
            </w:r>
            <w:r w:rsidRPr="00C95576">
              <w:rPr>
                <w:bCs/>
                <w:sz w:val="20"/>
                <w:szCs w:val="20"/>
              </w:rPr>
              <w:instrText>NUMPAGES</w:instrText>
            </w:r>
            <w:r w:rsidRPr="00C95576">
              <w:rPr>
                <w:bCs/>
                <w:sz w:val="20"/>
                <w:szCs w:val="20"/>
              </w:rPr>
              <w:fldChar w:fldCharType="separate"/>
            </w:r>
            <w:r>
              <w:rPr>
                <w:bCs/>
                <w:noProof/>
                <w:sz w:val="20"/>
                <w:szCs w:val="20"/>
              </w:rPr>
              <w:t>33</w:t>
            </w:r>
            <w:r w:rsidRPr="00C95576">
              <w:rPr>
                <w:bCs/>
                <w:sz w:val="20"/>
                <w:szCs w:val="20"/>
              </w:rPr>
              <w:fldChar w:fldCharType="end"/>
            </w:r>
          </w:p>
        </w:sdtContent>
      </w:sdt>
    </w:sdtContent>
  </w:sdt>
  <w:p w14:paraId="0FEDAA04" w14:textId="77777777" w:rsidR="007F5353" w:rsidRDefault="007F535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0F01C" w14:textId="77777777" w:rsidR="00004FC2" w:rsidRDefault="00004FC2">
      <w:pPr>
        <w:spacing w:after="0" w:line="240" w:lineRule="auto"/>
      </w:pPr>
      <w:r>
        <w:separator/>
      </w:r>
    </w:p>
  </w:footnote>
  <w:footnote w:type="continuationSeparator" w:id="0">
    <w:p w14:paraId="2C549074" w14:textId="77777777" w:rsidR="00004FC2" w:rsidRDefault="00004FC2">
      <w:pPr>
        <w:spacing w:after="0" w:line="240" w:lineRule="auto"/>
      </w:pPr>
      <w:r>
        <w:continuationSeparator/>
      </w:r>
    </w:p>
  </w:footnote>
  <w:footnote w:id="1">
    <w:p w14:paraId="7AEC009B" w14:textId="7E4C7848" w:rsidR="007F5353" w:rsidRDefault="007F5353" w:rsidP="00E05E1E">
      <w:pPr>
        <w:pStyle w:val="Puslapioinaostekstas"/>
      </w:pPr>
      <w:r>
        <w:rPr>
          <w:rStyle w:val="Puslapioinaosnuoroda"/>
        </w:rPr>
        <w:footnoteRef/>
      </w:r>
      <w:r>
        <w:t xml:space="preserve"> Byla perduota didžiajai kolegijai.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147"/>
      <w:gridCol w:w="2383"/>
    </w:tblGrid>
    <w:tr w:rsidR="007F5353" w:rsidRPr="000967FF" w14:paraId="363E1FB1" w14:textId="77777777" w:rsidTr="00C22527">
      <w:tc>
        <w:tcPr>
          <w:tcW w:w="7230" w:type="dxa"/>
        </w:tcPr>
        <w:p w14:paraId="5C87C8A7" w14:textId="77777777" w:rsidR="007F5353" w:rsidRPr="0021377E" w:rsidRDefault="007F5353" w:rsidP="00C22527">
          <w:pPr>
            <w:rPr>
              <w:rFonts w:ascii="Calibri" w:hAnsi="Calibri"/>
              <w:i/>
              <w:color w:val="323E4F" w:themeColor="text2" w:themeShade="BF"/>
              <w:sz w:val="20"/>
              <w:szCs w:val="20"/>
            </w:rPr>
          </w:pPr>
          <w:r>
            <w:rPr>
              <w:rFonts w:ascii="Calibri" w:hAnsi="Calibri"/>
              <w:i/>
              <w:color w:val="323E4F" w:themeColor="text2" w:themeShade="BF"/>
              <w:sz w:val="20"/>
              <w:szCs w:val="20"/>
            </w:rPr>
            <w:t>Teismų praktikos departamentas</w:t>
          </w:r>
        </w:p>
      </w:tc>
      <w:tc>
        <w:tcPr>
          <w:tcW w:w="2409" w:type="dxa"/>
        </w:tcPr>
        <w:p w14:paraId="602994CB" w14:textId="77777777" w:rsidR="007F5353" w:rsidRPr="0021377E" w:rsidRDefault="007F5353" w:rsidP="00C21437">
          <w:pPr>
            <w:rPr>
              <w:rFonts w:ascii="Calibri" w:hAnsi="Calibri"/>
              <w:color w:val="323E4F" w:themeColor="text2" w:themeShade="BF"/>
              <w:sz w:val="20"/>
              <w:szCs w:val="20"/>
            </w:rPr>
          </w:pPr>
          <w:r>
            <w:rPr>
              <w:rFonts w:ascii="Calibri" w:hAnsi="Calibri"/>
              <w:color w:val="323E4F" w:themeColor="text2" w:themeShade="BF"/>
              <w:sz w:val="20"/>
              <w:szCs w:val="20"/>
            </w:rPr>
            <w:t>2018 07</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01</w:t>
          </w:r>
          <w:r w:rsidRPr="0021377E">
            <w:rPr>
              <w:rFonts w:ascii="Calibri" w:hAnsi="Calibri"/>
              <w:color w:val="323E4F" w:themeColor="text2" w:themeShade="BF"/>
              <w:sz w:val="20"/>
              <w:szCs w:val="20"/>
            </w:rPr>
            <w:t>–201</w:t>
          </w:r>
          <w:r>
            <w:rPr>
              <w:rFonts w:ascii="Calibri" w:hAnsi="Calibri"/>
              <w:color w:val="323E4F" w:themeColor="text2" w:themeShade="BF"/>
              <w:sz w:val="20"/>
              <w:szCs w:val="20"/>
            </w:rPr>
            <w:t>8 12</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31</w:t>
          </w:r>
        </w:p>
      </w:tc>
    </w:tr>
  </w:tbl>
  <w:p w14:paraId="08528B04" w14:textId="77777777" w:rsidR="007F5353" w:rsidRDefault="007F535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AD"/>
    <w:rsid w:val="000033CA"/>
    <w:rsid w:val="00004FC2"/>
    <w:rsid w:val="000128B3"/>
    <w:rsid w:val="000643DF"/>
    <w:rsid w:val="000939A9"/>
    <w:rsid w:val="001206B4"/>
    <w:rsid w:val="00144C55"/>
    <w:rsid w:val="001F30CD"/>
    <w:rsid w:val="00230FBA"/>
    <w:rsid w:val="002515DA"/>
    <w:rsid w:val="002556E5"/>
    <w:rsid w:val="002853B9"/>
    <w:rsid w:val="002C1713"/>
    <w:rsid w:val="0030137B"/>
    <w:rsid w:val="00310F3E"/>
    <w:rsid w:val="00330D45"/>
    <w:rsid w:val="00336E12"/>
    <w:rsid w:val="00346301"/>
    <w:rsid w:val="0039456C"/>
    <w:rsid w:val="003C4ABE"/>
    <w:rsid w:val="003C740A"/>
    <w:rsid w:val="004136F9"/>
    <w:rsid w:val="00457674"/>
    <w:rsid w:val="00492256"/>
    <w:rsid w:val="004A150D"/>
    <w:rsid w:val="004B562D"/>
    <w:rsid w:val="004D3D54"/>
    <w:rsid w:val="004E21F2"/>
    <w:rsid w:val="005306E1"/>
    <w:rsid w:val="005312F6"/>
    <w:rsid w:val="00535F80"/>
    <w:rsid w:val="005A019E"/>
    <w:rsid w:val="005D788D"/>
    <w:rsid w:val="005E0C4C"/>
    <w:rsid w:val="00611648"/>
    <w:rsid w:val="006601F7"/>
    <w:rsid w:val="006637D9"/>
    <w:rsid w:val="006860B3"/>
    <w:rsid w:val="006965B7"/>
    <w:rsid w:val="006A4F93"/>
    <w:rsid w:val="006D4829"/>
    <w:rsid w:val="00706A41"/>
    <w:rsid w:val="00735513"/>
    <w:rsid w:val="0078350C"/>
    <w:rsid w:val="007A3B02"/>
    <w:rsid w:val="007B673C"/>
    <w:rsid w:val="007E5A0D"/>
    <w:rsid w:val="007E77CF"/>
    <w:rsid w:val="007F5353"/>
    <w:rsid w:val="00806211"/>
    <w:rsid w:val="008D54F7"/>
    <w:rsid w:val="0096002C"/>
    <w:rsid w:val="009A1B99"/>
    <w:rsid w:val="009D7FC3"/>
    <w:rsid w:val="00A1174A"/>
    <w:rsid w:val="00A26119"/>
    <w:rsid w:val="00A57404"/>
    <w:rsid w:val="00A81DEE"/>
    <w:rsid w:val="00AD3A5F"/>
    <w:rsid w:val="00AE7C62"/>
    <w:rsid w:val="00B26468"/>
    <w:rsid w:val="00B378CE"/>
    <w:rsid w:val="00B4503E"/>
    <w:rsid w:val="00B5424D"/>
    <w:rsid w:val="00B93837"/>
    <w:rsid w:val="00C076F5"/>
    <w:rsid w:val="00C21437"/>
    <w:rsid w:val="00C22527"/>
    <w:rsid w:val="00C463C6"/>
    <w:rsid w:val="00C56F0E"/>
    <w:rsid w:val="00C57146"/>
    <w:rsid w:val="00CA2363"/>
    <w:rsid w:val="00CC6657"/>
    <w:rsid w:val="00CD0042"/>
    <w:rsid w:val="00CD08DA"/>
    <w:rsid w:val="00D17AAF"/>
    <w:rsid w:val="00D47B0F"/>
    <w:rsid w:val="00D565E1"/>
    <w:rsid w:val="00DC2E0F"/>
    <w:rsid w:val="00DC7996"/>
    <w:rsid w:val="00E000BD"/>
    <w:rsid w:val="00E0534B"/>
    <w:rsid w:val="00E05E1E"/>
    <w:rsid w:val="00E471B1"/>
    <w:rsid w:val="00E90F78"/>
    <w:rsid w:val="00E93FD2"/>
    <w:rsid w:val="00EB2C14"/>
    <w:rsid w:val="00EB408B"/>
    <w:rsid w:val="00EE09AD"/>
    <w:rsid w:val="00EE4145"/>
    <w:rsid w:val="00F04403"/>
    <w:rsid w:val="00F4119D"/>
    <w:rsid w:val="00FB3D46"/>
    <w:rsid w:val="00FB6123"/>
    <w:rsid w:val="00FC2D08"/>
    <w:rsid w:val="00FC3C8F"/>
    <w:rsid w:val="00FC6030"/>
    <w:rsid w:val="00FD58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2A1E"/>
  <w15:chartTrackingRefBased/>
  <w15:docId w15:val="{4B8F9375-6DB2-4AC9-8981-24DC56D7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EE09AD"/>
    <w:pPr>
      <w:spacing w:after="200" w:line="276" w:lineRule="auto"/>
    </w:pPr>
  </w:style>
  <w:style w:type="paragraph" w:styleId="Antrat1">
    <w:name w:val="heading 1"/>
    <w:basedOn w:val="prastasis"/>
    <w:next w:val="prastasis"/>
    <w:link w:val="Antrat1Diagrama"/>
    <w:qFormat/>
    <w:rsid w:val="00706A41"/>
    <w:pPr>
      <w:keepNext/>
      <w:keepLines/>
      <w:spacing w:before="240" w:after="0" w:line="240" w:lineRule="auto"/>
      <w:jc w:val="center"/>
      <w:outlineLvl w:val="0"/>
    </w:pPr>
    <w:rPr>
      <w:rFonts w:eastAsiaTheme="majorEastAsia" w:cstheme="majorBidi"/>
      <w:b/>
      <w:color w:val="323E4F" w:themeColor="text2" w:themeShade="BF"/>
      <w:szCs w:val="32"/>
    </w:rPr>
  </w:style>
  <w:style w:type="paragraph" w:styleId="Antrat2">
    <w:name w:val="heading 2"/>
    <w:basedOn w:val="Antrat3"/>
    <w:next w:val="prastasis"/>
    <w:link w:val="Antrat2Diagrama"/>
    <w:unhideWhenUsed/>
    <w:qFormat/>
    <w:rsid w:val="00EE09AD"/>
    <w:pPr>
      <w:spacing w:before="0" w:line="240" w:lineRule="auto"/>
      <w:ind w:firstLine="720"/>
      <w:jc w:val="both"/>
      <w:outlineLvl w:val="1"/>
    </w:pPr>
    <w:rPr>
      <w:rFonts w:cs="Times New Roman"/>
      <w:b/>
      <w:bCs/>
      <w:i w:val="0"/>
      <w:iCs/>
      <w:color w:val="2E74B5" w:themeColor="accent1" w:themeShade="BF"/>
      <w:szCs w:val="22"/>
    </w:rPr>
  </w:style>
  <w:style w:type="paragraph" w:styleId="Antrat3">
    <w:name w:val="heading 3"/>
    <w:basedOn w:val="prastasis"/>
    <w:next w:val="prastasis"/>
    <w:link w:val="Antrat3Diagrama"/>
    <w:unhideWhenUsed/>
    <w:qFormat/>
    <w:rsid w:val="00EE09AD"/>
    <w:pPr>
      <w:keepNext/>
      <w:keepLines/>
      <w:spacing w:before="40" w:after="0"/>
      <w:outlineLvl w:val="2"/>
    </w:pPr>
    <w:rPr>
      <w:rFonts w:eastAsiaTheme="majorEastAsia" w:cstheme="majorBidi"/>
      <w:i/>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EE09AD"/>
    <w:rPr>
      <w:rFonts w:eastAsiaTheme="majorEastAsia" w:cs="Times New Roman"/>
      <w:b/>
      <w:bCs/>
      <w:iCs/>
      <w:color w:val="2E74B5" w:themeColor="accent1" w:themeShade="BF"/>
    </w:rPr>
  </w:style>
  <w:style w:type="character" w:customStyle="1" w:styleId="Antrat3Diagrama">
    <w:name w:val="Antraštė 3 Diagrama"/>
    <w:basedOn w:val="Numatytasispastraiposriftas"/>
    <w:link w:val="Antrat3"/>
    <w:rsid w:val="00EE09AD"/>
    <w:rPr>
      <w:rFonts w:eastAsiaTheme="majorEastAsia" w:cstheme="majorBidi"/>
      <w:i/>
      <w:szCs w:val="24"/>
    </w:rPr>
  </w:style>
  <w:style w:type="character" w:styleId="Hipersaitas">
    <w:name w:val="Hyperlink"/>
    <w:basedOn w:val="Numatytasispastraiposriftas"/>
    <w:uiPriority w:val="99"/>
    <w:rsid w:val="00EE09AD"/>
    <w:rPr>
      <w:color w:val="0000FF"/>
      <w:u w:val="single"/>
    </w:rPr>
  </w:style>
  <w:style w:type="paragraph" w:styleId="Antrats">
    <w:name w:val="header"/>
    <w:basedOn w:val="prastasis"/>
    <w:link w:val="AntratsDiagrama"/>
    <w:uiPriority w:val="99"/>
    <w:unhideWhenUsed/>
    <w:rsid w:val="00EE09A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E09AD"/>
  </w:style>
  <w:style w:type="paragraph" w:styleId="Porat">
    <w:name w:val="footer"/>
    <w:basedOn w:val="prastasis"/>
    <w:link w:val="PoratDiagrama"/>
    <w:uiPriority w:val="99"/>
    <w:unhideWhenUsed/>
    <w:rsid w:val="00EE09A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E09AD"/>
  </w:style>
  <w:style w:type="paragraph" w:customStyle="1" w:styleId="NoSpacing1">
    <w:name w:val="No Spacing1"/>
    <w:link w:val="NoSpacingChar"/>
    <w:uiPriority w:val="99"/>
    <w:rsid w:val="00EE09A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EE09AD"/>
    <w:rPr>
      <w:rFonts w:ascii="Calibri" w:eastAsia="Times New Roman" w:hAnsi="Calibri" w:cs="Times New Roman"/>
    </w:rPr>
  </w:style>
  <w:style w:type="paragraph" w:styleId="Turinioantrat">
    <w:name w:val="TOC Heading"/>
    <w:basedOn w:val="Antrat1"/>
    <w:next w:val="prastasis"/>
    <w:uiPriority w:val="39"/>
    <w:unhideWhenUsed/>
    <w:qFormat/>
    <w:rsid w:val="00EE09AD"/>
    <w:pPr>
      <w:spacing w:line="259" w:lineRule="auto"/>
      <w:jc w:val="left"/>
      <w:outlineLvl w:val="9"/>
    </w:pPr>
    <w:rPr>
      <w:rFonts w:asciiTheme="majorHAnsi" w:hAnsiTheme="majorHAnsi"/>
      <w:b w:val="0"/>
      <w:bCs/>
      <w:color w:val="2E74B5"/>
      <w:sz w:val="32"/>
      <w:lang w:eastAsia="lt-LT"/>
    </w:rPr>
  </w:style>
  <w:style w:type="paragraph" w:styleId="Turinys1">
    <w:name w:val="toc 1"/>
    <w:basedOn w:val="prastasis"/>
    <w:next w:val="prastasis"/>
    <w:autoRedefine/>
    <w:uiPriority w:val="39"/>
    <w:unhideWhenUsed/>
    <w:rsid w:val="00EE09AD"/>
    <w:pPr>
      <w:tabs>
        <w:tab w:val="right" w:leader="dot" w:pos="9628"/>
      </w:tabs>
      <w:spacing w:after="100"/>
    </w:pPr>
    <w:rPr>
      <w:noProof/>
      <w:color w:val="1F4E79" w:themeColor="accent1" w:themeShade="80"/>
    </w:rPr>
  </w:style>
  <w:style w:type="paragraph" w:styleId="Turinys2">
    <w:name w:val="toc 2"/>
    <w:basedOn w:val="prastasis"/>
    <w:next w:val="prastasis"/>
    <w:autoRedefine/>
    <w:uiPriority w:val="39"/>
    <w:unhideWhenUsed/>
    <w:rsid w:val="00EE09AD"/>
    <w:pPr>
      <w:spacing w:after="100"/>
      <w:ind w:left="220"/>
    </w:pPr>
  </w:style>
  <w:style w:type="paragraph" w:styleId="Turinys3">
    <w:name w:val="toc 3"/>
    <w:basedOn w:val="prastasis"/>
    <w:next w:val="prastasis"/>
    <w:autoRedefine/>
    <w:uiPriority w:val="39"/>
    <w:unhideWhenUsed/>
    <w:rsid w:val="00EE09AD"/>
    <w:pPr>
      <w:spacing w:after="100"/>
      <w:ind w:left="440"/>
    </w:pPr>
  </w:style>
  <w:style w:type="paragraph" w:customStyle="1" w:styleId="Default">
    <w:name w:val="Default"/>
    <w:rsid w:val="00EE09AD"/>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Perirtashipersaitas">
    <w:name w:val="FollowedHyperlink"/>
    <w:basedOn w:val="Numatytasispastraiposriftas"/>
    <w:uiPriority w:val="99"/>
    <w:semiHidden/>
    <w:unhideWhenUsed/>
    <w:rsid w:val="00330D45"/>
    <w:rPr>
      <w:color w:val="954F72" w:themeColor="followedHyperlink"/>
      <w:u w:val="single"/>
    </w:rPr>
  </w:style>
  <w:style w:type="character" w:customStyle="1" w:styleId="sfbbfee58">
    <w:name w:val="sfbbfee58"/>
    <w:basedOn w:val="Numatytasispastraiposriftas"/>
    <w:rsid w:val="00C21437"/>
  </w:style>
  <w:style w:type="paragraph" w:customStyle="1" w:styleId="s6c429373">
    <w:name w:val="s6c429373"/>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30eec3f8">
    <w:name w:val="s30eec3f8"/>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8d990e2">
    <w:name w:val="sb8d990e2"/>
    <w:basedOn w:val="Numatytasispastraiposriftas"/>
    <w:rsid w:val="00C21437"/>
  </w:style>
  <w:style w:type="character" w:customStyle="1" w:styleId="s1a844bc0">
    <w:name w:val="s1a844bc0"/>
    <w:basedOn w:val="Numatytasispastraiposriftas"/>
    <w:rsid w:val="00C21437"/>
  </w:style>
  <w:style w:type="paragraph" w:customStyle="1" w:styleId="s6e50bd9a">
    <w:name w:val="s6e50bd9a"/>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tlid-translation">
    <w:name w:val="tlid-translation"/>
    <w:basedOn w:val="Numatytasispastraiposriftas"/>
    <w:rsid w:val="00FC3C8F"/>
  </w:style>
  <w:style w:type="character" w:styleId="Komentaronuoroda">
    <w:name w:val="annotation reference"/>
    <w:basedOn w:val="Numatytasispastraiposriftas"/>
    <w:uiPriority w:val="99"/>
    <w:semiHidden/>
    <w:unhideWhenUsed/>
    <w:rsid w:val="00E0534B"/>
    <w:rPr>
      <w:sz w:val="16"/>
      <w:szCs w:val="16"/>
    </w:rPr>
  </w:style>
  <w:style w:type="paragraph" w:styleId="Komentarotekstas">
    <w:name w:val="annotation text"/>
    <w:basedOn w:val="prastasis"/>
    <w:link w:val="KomentarotekstasDiagrama"/>
    <w:uiPriority w:val="99"/>
    <w:semiHidden/>
    <w:unhideWhenUsed/>
    <w:rsid w:val="00E0534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E0534B"/>
    <w:rPr>
      <w:sz w:val="20"/>
      <w:szCs w:val="20"/>
    </w:rPr>
  </w:style>
  <w:style w:type="paragraph" w:styleId="Komentarotema">
    <w:name w:val="annotation subject"/>
    <w:basedOn w:val="Komentarotekstas"/>
    <w:next w:val="Komentarotekstas"/>
    <w:link w:val="KomentarotemaDiagrama"/>
    <w:uiPriority w:val="99"/>
    <w:semiHidden/>
    <w:unhideWhenUsed/>
    <w:rsid w:val="00E0534B"/>
    <w:rPr>
      <w:b/>
      <w:bCs/>
    </w:rPr>
  </w:style>
  <w:style w:type="character" w:customStyle="1" w:styleId="KomentarotemaDiagrama">
    <w:name w:val="Komentaro tema Diagrama"/>
    <w:basedOn w:val="KomentarotekstasDiagrama"/>
    <w:link w:val="Komentarotema"/>
    <w:uiPriority w:val="99"/>
    <w:semiHidden/>
    <w:rsid w:val="00E0534B"/>
    <w:rPr>
      <w:b/>
      <w:bCs/>
      <w:sz w:val="20"/>
      <w:szCs w:val="20"/>
    </w:rPr>
  </w:style>
  <w:style w:type="paragraph" w:styleId="Debesliotekstas">
    <w:name w:val="Balloon Text"/>
    <w:basedOn w:val="prastasis"/>
    <w:link w:val="DebesliotekstasDiagrama"/>
    <w:uiPriority w:val="99"/>
    <w:semiHidden/>
    <w:unhideWhenUsed/>
    <w:rsid w:val="00E0534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534B"/>
    <w:rPr>
      <w:rFonts w:ascii="Segoe UI" w:hAnsi="Segoe UI" w:cs="Segoe UI"/>
      <w:sz w:val="18"/>
      <w:szCs w:val="18"/>
    </w:rPr>
  </w:style>
  <w:style w:type="paragraph" w:styleId="Puslapioinaostekstas">
    <w:name w:val="footnote text"/>
    <w:basedOn w:val="prastasis"/>
    <w:link w:val="PuslapioinaostekstasDiagrama"/>
    <w:uiPriority w:val="99"/>
    <w:semiHidden/>
    <w:unhideWhenUsed/>
    <w:rsid w:val="00E05E1E"/>
    <w:pPr>
      <w:spacing w:after="0" w:line="240" w:lineRule="auto"/>
    </w:pPr>
    <w:rPr>
      <w:rFonts w:ascii="Calibri" w:eastAsia="Calibri" w:hAnsi="Calibri" w:cs="Times New Roman"/>
      <w:sz w:val="20"/>
      <w:szCs w:val="20"/>
    </w:rPr>
  </w:style>
  <w:style w:type="character" w:customStyle="1" w:styleId="PuslapioinaostekstasDiagrama">
    <w:name w:val="Puslapio išnašos tekstas Diagrama"/>
    <w:basedOn w:val="Numatytasispastraiposriftas"/>
    <w:link w:val="Puslapioinaostekstas"/>
    <w:uiPriority w:val="99"/>
    <w:semiHidden/>
    <w:rsid w:val="00E05E1E"/>
    <w:rPr>
      <w:rFonts w:ascii="Calibri" w:eastAsia="Calibri" w:hAnsi="Calibri" w:cs="Times New Roman"/>
      <w:sz w:val="20"/>
      <w:szCs w:val="20"/>
    </w:rPr>
  </w:style>
  <w:style w:type="character" w:styleId="Puslapioinaosnuoroda">
    <w:name w:val="footnote reference"/>
    <w:basedOn w:val="Numatytasispastraiposriftas"/>
    <w:uiPriority w:val="99"/>
    <w:semiHidden/>
    <w:unhideWhenUsed/>
    <w:rsid w:val="00E05E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79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urimas\AppData\Local\Microsoft\Windows\Temporary%20Internet%20Files\Content.Outlook\PRDPYQIP\www.echr.coe.int" TargetMode="External"/><Relationship Id="rId13" Type="http://schemas.openxmlformats.org/officeDocument/2006/relationships/hyperlink" Target="https://hudoc.echr.coe.int/eng" TargetMode="External"/><Relationship Id="rId18" Type="http://schemas.openxmlformats.org/officeDocument/2006/relationships/hyperlink" Target="http://hudoc.echr.coe.int/eng?i=001-188364" TargetMode="External"/><Relationship Id="rId26" Type="http://schemas.openxmlformats.org/officeDocument/2006/relationships/hyperlink" Target="http://hudoc.echr.coe.int/eng?i=001-187930" TargetMode="External"/><Relationship Id="rId3" Type="http://schemas.openxmlformats.org/officeDocument/2006/relationships/settings" Target="settings.xml"/><Relationship Id="rId21" Type="http://schemas.openxmlformats.org/officeDocument/2006/relationships/hyperlink" Target="https://hudoc.echr.coe.int/eng"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hudoc.echr.coe.int/eng?i=001-188271" TargetMode="External"/><Relationship Id="rId17" Type="http://schemas.openxmlformats.org/officeDocument/2006/relationships/hyperlink" Target="https://hudoc.echr.coe.int/eng" TargetMode="External"/><Relationship Id="rId25" Type="http://schemas.openxmlformats.org/officeDocument/2006/relationships/hyperlink" Target="https://hudoc.echr.coe.int/eng"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hudoc.echr.coe.int/eng?i=001-186048" TargetMode="External"/><Relationship Id="rId20" Type="http://schemas.openxmlformats.org/officeDocument/2006/relationships/hyperlink" Target="https://hudoc.echr.coe.int/eng" TargetMode="External"/><Relationship Id="rId29" Type="http://schemas.openxmlformats.org/officeDocument/2006/relationships/hyperlink" Target="https://hudoc.echr.coe.int/en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udoc.echr.coe.int/eng/" TargetMode="External"/><Relationship Id="rId24" Type="http://schemas.openxmlformats.org/officeDocument/2006/relationships/hyperlink" Target="http://hudoc.echr.coe.int/eng?i=001-187603" TargetMode="External"/><Relationship Id="rId32" Type="http://schemas.openxmlformats.org/officeDocument/2006/relationships/hyperlink" Target="http://hudoc.echr.coe.int/eng?i=001-188268" TargetMode="External"/><Relationship Id="rId5" Type="http://schemas.openxmlformats.org/officeDocument/2006/relationships/footnotes" Target="footnotes.xml"/><Relationship Id="rId15" Type="http://schemas.openxmlformats.org/officeDocument/2006/relationships/hyperlink" Target="https://hudoc.echr.coe.int/eng" TargetMode="External"/><Relationship Id="rId23" Type="http://schemas.openxmlformats.org/officeDocument/2006/relationships/hyperlink" Target="http://hudoc.echr.coe.int/eng?i=001-180506" TargetMode="External"/><Relationship Id="rId28" Type="http://schemas.openxmlformats.org/officeDocument/2006/relationships/hyperlink" Target="http://hudoc.echr.coe.int/eng?i=001-187605" TargetMode="External"/><Relationship Id="rId36" Type="http://schemas.openxmlformats.org/officeDocument/2006/relationships/theme" Target="theme/theme1.xml"/><Relationship Id="rId10" Type="http://schemas.openxmlformats.org/officeDocument/2006/relationships/hyperlink" Target="https://hudoc.echr.coe.int/eng" TargetMode="External"/><Relationship Id="rId19" Type="http://schemas.openxmlformats.org/officeDocument/2006/relationships/hyperlink" Target="http://hudoc.echr.coe.int/eng?i=001-184666" TargetMode="External"/><Relationship Id="rId31" Type="http://schemas.openxmlformats.org/officeDocument/2006/relationships/hyperlink" Target="http://hudoc.echr.coe.int/eng?i=001-185130" TargetMode="External"/><Relationship Id="rId4" Type="http://schemas.openxmlformats.org/officeDocument/2006/relationships/webSettings" Target="webSettings.xml"/><Relationship Id="rId9" Type="http://schemas.openxmlformats.org/officeDocument/2006/relationships/hyperlink" Target="http://hudoc.echr.coe.int/eng?i=001-185306" TargetMode="External"/><Relationship Id="rId14" Type="http://schemas.openxmlformats.org/officeDocument/2006/relationships/hyperlink" Target="https://hudoc.echr.coe.int/eng" TargetMode="External"/><Relationship Id="rId22" Type="http://schemas.openxmlformats.org/officeDocument/2006/relationships/hyperlink" Target="http://hudoc.echr.coe.int/eng?i=001-187188" TargetMode="External"/><Relationship Id="rId27" Type="http://schemas.openxmlformats.org/officeDocument/2006/relationships/hyperlink" Target="https://hudoc.echr.coe.int/eng" TargetMode="External"/><Relationship Id="rId30" Type="http://schemas.openxmlformats.org/officeDocument/2006/relationships/hyperlink" Target="http://hudoc.echr.coe.int/eng?i=001-188277" TargetMode="External"/><Relationship Id="rId35"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4CA6C-C5CF-4524-B684-11A6432B8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33</Pages>
  <Words>19245</Words>
  <Characters>109702</Characters>
  <Application>Microsoft Office Word</Application>
  <DocSecurity>0</DocSecurity>
  <Lines>914</Lines>
  <Paragraphs>257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12</cp:revision>
  <dcterms:created xsi:type="dcterms:W3CDTF">2019-02-27T07:46:00Z</dcterms:created>
  <dcterms:modified xsi:type="dcterms:W3CDTF">2019-03-14T08:33:00Z</dcterms:modified>
</cp:coreProperties>
</file>