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859E" w14:textId="77777777" w:rsidR="00EE09AD" w:rsidRPr="0025732F" w:rsidRDefault="00EE09AD" w:rsidP="00612945">
      <w:pPr>
        <w:pStyle w:val="NoSpacing1"/>
        <w:ind w:right="-1" w:firstLine="0"/>
        <w:jc w:val="center"/>
        <w:rPr>
          <w:rFonts w:asciiTheme="minorHAnsi" w:hAnsiTheme="minorHAnsi" w:cstheme="minorHAnsi"/>
        </w:rPr>
      </w:pPr>
    </w:p>
    <w:p w14:paraId="145FE607" w14:textId="77777777" w:rsidR="00EE09AD" w:rsidRPr="0025732F" w:rsidRDefault="00EE09AD" w:rsidP="00612945">
      <w:pPr>
        <w:pStyle w:val="NoSpacing1"/>
        <w:ind w:right="-1" w:firstLine="0"/>
        <w:jc w:val="center"/>
        <w:rPr>
          <w:rFonts w:asciiTheme="minorHAnsi" w:hAnsiTheme="minorHAnsi" w:cstheme="minorHAnsi"/>
        </w:rPr>
      </w:pPr>
      <w:r w:rsidRPr="0025732F">
        <w:rPr>
          <w:rFonts w:asciiTheme="minorHAnsi" w:hAnsiTheme="minorHAnsi" w:cstheme="minorHAnsi"/>
          <w:noProof/>
          <w:lang w:eastAsia="en-GB"/>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25732F">
        <w:rPr>
          <w:rFonts w:asciiTheme="minorHAnsi" w:hAnsiTheme="minorHAnsi" w:cstheme="minorHAnsi"/>
          <w:noProof/>
          <w:lang w:eastAsia="en-GB"/>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0F3F268B"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25732F">
        <w:rPr>
          <w:rFonts w:asciiTheme="minorHAnsi" w:hAnsiTheme="minorHAnsi" w:cstheme="minorHAnsi"/>
          <w:noProof/>
          <w:lang w:eastAsia="en-GB"/>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65904F0B"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25732F">
        <w:rPr>
          <w:rFonts w:asciiTheme="minorHAnsi" w:hAnsiTheme="minorHAnsi" w:cstheme="minorHAnsi"/>
          <w:noProof/>
          <w:lang w:eastAsia="en-GB"/>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2AD9BEC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25732F">
        <w:rPr>
          <w:rFonts w:asciiTheme="minorHAnsi" w:hAnsiTheme="minorHAnsi" w:cstheme="minorHAnsi"/>
          <w:noProof/>
          <w:lang w:eastAsia="en-GB"/>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23A6F054"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51EAE35" w14:textId="77777777" w:rsidR="00612945" w:rsidRPr="0025732F" w:rsidRDefault="00612945" w:rsidP="00612945">
      <w:pPr>
        <w:pStyle w:val="NoSpacing1"/>
        <w:ind w:right="-1" w:firstLine="0"/>
        <w:jc w:val="center"/>
        <w:rPr>
          <w:rFonts w:asciiTheme="minorHAnsi" w:hAnsiTheme="minorHAnsi" w:cstheme="minorHAnsi"/>
          <w:smallCaps/>
        </w:rPr>
      </w:pPr>
    </w:p>
    <w:p w14:paraId="3327C018" w14:textId="77777777" w:rsidR="00612945" w:rsidRPr="0025732F" w:rsidRDefault="00612945" w:rsidP="00612945">
      <w:pPr>
        <w:pStyle w:val="NoSpacing1"/>
        <w:ind w:right="-1" w:firstLine="0"/>
        <w:jc w:val="center"/>
        <w:rPr>
          <w:rFonts w:asciiTheme="minorHAnsi" w:hAnsiTheme="minorHAnsi" w:cstheme="minorHAnsi"/>
          <w:smallCaps/>
        </w:rPr>
      </w:pPr>
    </w:p>
    <w:p w14:paraId="21290A37" w14:textId="77777777" w:rsidR="00612945" w:rsidRPr="0025732F" w:rsidRDefault="00612945" w:rsidP="00612945">
      <w:pPr>
        <w:pStyle w:val="NoSpacing1"/>
        <w:ind w:right="-1" w:firstLine="0"/>
        <w:jc w:val="center"/>
        <w:rPr>
          <w:rFonts w:asciiTheme="minorHAnsi" w:hAnsiTheme="minorHAnsi" w:cstheme="minorHAnsi"/>
          <w:smallCaps/>
        </w:rPr>
      </w:pPr>
    </w:p>
    <w:p w14:paraId="3E08561D" w14:textId="17011FAE" w:rsidR="00EE09AD" w:rsidRPr="0025732F" w:rsidRDefault="00EE09AD" w:rsidP="00612945">
      <w:pPr>
        <w:pStyle w:val="NoSpacing1"/>
        <w:ind w:right="-1" w:firstLine="0"/>
        <w:jc w:val="center"/>
        <w:rPr>
          <w:rFonts w:asciiTheme="minorHAnsi" w:hAnsiTheme="minorHAnsi" w:cstheme="minorHAnsi"/>
          <w:smallCaps/>
          <w:sz w:val="56"/>
          <w:szCs w:val="56"/>
        </w:rPr>
      </w:pPr>
      <w:r w:rsidRPr="0025732F">
        <w:rPr>
          <w:rFonts w:asciiTheme="minorHAnsi" w:hAnsiTheme="minorHAnsi" w:cstheme="minorHAnsi"/>
          <w:smallCaps/>
          <w:sz w:val="56"/>
          <w:szCs w:val="56"/>
        </w:rPr>
        <w:t>Europos Žmogaus Teisių Teismo praktikos apžvalga</w:t>
      </w:r>
    </w:p>
    <w:p w14:paraId="60DC5985" w14:textId="7B1B700D" w:rsidR="00EE09AD" w:rsidRPr="0025732F" w:rsidRDefault="002F43A7" w:rsidP="00612945">
      <w:pPr>
        <w:pStyle w:val="NoSpacing1"/>
        <w:ind w:right="-1" w:firstLine="0"/>
        <w:jc w:val="center"/>
        <w:rPr>
          <w:rFonts w:asciiTheme="minorHAnsi" w:hAnsiTheme="minorHAnsi" w:cstheme="minorHAnsi"/>
          <w:b/>
          <w:smallCaps/>
          <w:u w:val="single"/>
        </w:rPr>
      </w:pPr>
      <w:r w:rsidRPr="0025732F">
        <w:rPr>
          <w:rFonts w:asciiTheme="minorHAnsi" w:hAnsiTheme="minorHAnsi" w:cstheme="minorHAnsi"/>
          <w:b/>
          <w:smallCaps/>
          <w:u w:val="single"/>
        </w:rPr>
        <w:t>2020</w:t>
      </w:r>
      <w:r w:rsidR="00EE09AD" w:rsidRPr="0025732F">
        <w:rPr>
          <w:rFonts w:asciiTheme="minorHAnsi" w:hAnsiTheme="minorHAnsi" w:cstheme="minorHAnsi"/>
          <w:b/>
          <w:smallCaps/>
          <w:u w:val="single"/>
        </w:rPr>
        <w:t xml:space="preserve"> m. </w:t>
      </w:r>
      <w:r w:rsidR="00BA7D3B" w:rsidRPr="0025732F">
        <w:rPr>
          <w:rFonts w:asciiTheme="minorHAnsi" w:hAnsiTheme="minorHAnsi" w:cstheme="minorHAnsi"/>
          <w:b/>
          <w:smallCaps/>
          <w:u w:val="single"/>
        </w:rPr>
        <w:t>liep</w:t>
      </w:r>
      <w:r w:rsidR="007175DE">
        <w:rPr>
          <w:rFonts w:asciiTheme="minorHAnsi" w:hAnsiTheme="minorHAnsi" w:cstheme="minorHAnsi"/>
          <w:b/>
          <w:smallCaps/>
          <w:u w:val="single"/>
        </w:rPr>
        <w:t>os</w:t>
      </w:r>
      <w:r w:rsidRPr="0025732F">
        <w:rPr>
          <w:rFonts w:asciiTheme="minorHAnsi" w:hAnsiTheme="minorHAnsi" w:cstheme="minorHAnsi"/>
          <w:b/>
          <w:smallCaps/>
          <w:u w:val="single"/>
        </w:rPr>
        <w:t xml:space="preserve"> 1 d. – 2020</w:t>
      </w:r>
      <w:r w:rsidR="00EE09AD" w:rsidRPr="0025732F">
        <w:rPr>
          <w:rFonts w:asciiTheme="minorHAnsi" w:hAnsiTheme="minorHAnsi" w:cstheme="minorHAnsi"/>
          <w:b/>
          <w:smallCaps/>
          <w:u w:val="single"/>
        </w:rPr>
        <w:t xml:space="preserve"> m. </w:t>
      </w:r>
      <w:r w:rsidR="00BA7D3B" w:rsidRPr="0025732F">
        <w:rPr>
          <w:rFonts w:asciiTheme="minorHAnsi" w:hAnsiTheme="minorHAnsi" w:cstheme="minorHAnsi"/>
          <w:b/>
          <w:smallCaps/>
          <w:u w:val="single"/>
        </w:rPr>
        <w:t>gruod</w:t>
      </w:r>
      <w:r w:rsidR="007175DE">
        <w:rPr>
          <w:rFonts w:asciiTheme="minorHAnsi" w:hAnsiTheme="minorHAnsi" w:cstheme="minorHAnsi"/>
          <w:b/>
          <w:smallCaps/>
          <w:u w:val="single"/>
        </w:rPr>
        <w:t>žio</w:t>
      </w:r>
      <w:r w:rsidR="00EE09AD" w:rsidRPr="0025732F">
        <w:rPr>
          <w:rFonts w:asciiTheme="minorHAnsi" w:hAnsiTheme="minorHAnsi" w:cstheme="minorHAnsi"/>
          <w:b/>
          <w:smallCaps/>
          <w:u w:val="single"/>
        </w:rPr>
        <w:t xml:space="preserve"> 3</w:t>
      </w:r>
      <w:r w:rsidR="00F24169">
        <w:rPr>
          <w:rFonts w:asciiTheme="minorHAnsi" w:hAnsiTheme="minorHAnsi" w:cstheme="minorHAnsi"/>
          <w:b/>
          <w:smallCaps/>
          <w:u w:val="single"/>
        </w:rPr>
        <w:t>1</w:t>
      </w:r>
      <w:r w:rsidR="00EE09AD" w:rsidRPr="0025732F">
        <w:rPr>
          <w:rFonts w:asciiTheme="minorHAnsi" w:hAnsiTheme="minorHAnsi" w:cstheme="minorHAnsi"/>
          <w:b/>
          <w:smallCaps/>
          <w:u w:val="single"/>
        </w:rPr>
        <w:t xml:space="preserve"> d.</w:t>
      </w:r>
    </w:p>
    <w:p w14:paraId="779B7F98" w14:textId="3E7995B4" w:rsidR="00EE09AD" w:rsidRPr="0025732F" w:rsidRDefault="00EE09AD" w:rsidP="007D4315">
      <w:pPr>
        <w:spacing w:after="0" w:line="240" w:lineRule="auto"/>
        <w:ind w:right="-1" w:firstLine="567"/>
        <w:jc w:val="both"/>
        <w:rPr>
          <w:rFonts w:cstheme="minorHAnsi"/>
        </w:rPr>
      </w:pPr>
      <w:r w:rsidRPr="0025732F">
        <w:rPr>
          <w:rFonts w:cstheme="minorHAnsi"/>
          <w:b/>
        </w:rPr>
        <w:br w:type="page"/>
      </w:r>
      <w:r w:rsidRPr="0025732F">
        <w:rPr>
          <w:rFonts w:cstheme="minorHAnsi"/>
          <w:b/>
        </w:rPr>
        <w:lastRenderedPageBreak/>
        <w:t>Svarbi pastaba</w:t>
      </w:r>
      <w:r w:rsidRPr="0025732F">
        <w:rPr>
          <w:rFonts w:cstheme="minorHAnsi"/>
        </w:rPr>
        <w:t xml:space="preserve">: </w:t>
      </w:r>
      <w:r w:rsidR="00FC2556" w:rsidRPr="0025732F">
        <w:rPr>
          <w:rFonts w:cstheme="minorHAnsi"/>
        </w:rPr>
        <w:t>p</w:t>
      </w:r>
      <w:r w:rsidRPr="0025732F">
        <w:rPr>
          <w:rFonts w:cstheme="minorHAnsi"/>
        </w:rPr>
        <w:t xml:space="preserve">rieš supažindindami su Lietuvos vyriausiojo administracinio teismo Teismų praktikos departamento parengta Europos Žmogaus Teisių Teismo </w:t>
      </w:r>
      <w:r w:rsidRPr="0025732F">
        <w:rPr>
          <w:rFonts w:cstheme="minorHAnsi"/>
          <w:bCs/>
        </w:rPr>
        <w:t>praktikos apžvalga</w:t>
      </w:r>
      <w:r w:rsidRPr="0025732F">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25732F" w:rsidRDefault="00EE09AD" w:rsidP="00612945">
      <w:pPr>
        <w:spacing w:after="0" w:line="240" w:lineRule="auto"/>
        <w:ind w:right="-1" w:firstLine="540"/>
        <w:jc w:val="both"/>
        <w:rPr>
          <w:rFonts w:cstheme="minorHAnsi"/>
        </w:rPr>
      </w:pPr>
      <w:r w:rsidRPr="0025732F">
        <w:rPr>
          <w:rFonts w:cstheme="minorHAnsi"/>
        </w:rPr>
        <w:t xml:space="preserve">Atsižvelgiant į tai, kad oficialius ir nesutrumpintus sprendimų tekstus galite rasti Europos Žmogaus Teisių Teismo interneto svetainėje </w:t>
      </w:r>
      <w:hyperlink r:id="rId9" w:history="1">
        <w:r w:rsidRPr="0025732F">
          <w:rPr>
            <w:rStyle w:val="Hipersaitas"/>
            <w:rFonts w:cstheme="minorHAnsi"/>
          </w:rPr>
          <w:t>www.echr.coe.int</w:t>
        </w:r>
      </w:hyperlink>
      <w:r w:rsidRPr="0025732F">
        <w:rPr>
          <w:rFonts w:cstheme="minorHAnsi"/>
        </w:rPr>
        <w:t xml:space="preserve">, Lietuvos vyriausiasis administracinis teismas neprisiima atsakomybės už atliktą vertimą ir parengtos santraukos išsamumą. </w:t>
      </w:r>
    </w:p>
    <w:p w14:paraId="3BE223FE" w14:textId="77777777" w:rsidR="00EE09AD" w:rsidRPr="0025732F" w:rsidRDefault="00EE09AD" w:rsidP="00612945">
      <w:pPr>
        <w:spacing w:after="0" w:line="240" w:lineRule="auto"/>
        <w:ind w:right="-1" w:firstLine="540"/>
        <w:jc w:val="both"/>
        <w:rPr>
          <w:rFonts w:cstheme="minorHAnsi"/>
        </w:rPr>
      </w:pPr>
    </w:p>
    <w:p w14:paraId="6D8B8E74" w14:textId="77777777" w:rsidR="00EE09AD" w:rsidRPr="0025732F" w:rsidRDefault="00EE09AD" w:rsidP="00612945">
      <w:pPr>
        <w:spacing w:after="0" w:line="240" w:lineRule="auto"/>
        <w:ind w:right="-1"/>
        <w:jc w:val="both"/>
        <w:rPr>
          <w:rFonts w:cstheme="minorHAnsi"/>
        </w:rPr>
      </w:pPr>
      <w:r w:rsidRPr="0025732F">
        <w:rPr>
          <w:rFonts w:cstheme="minorHAnsi"/>
        </w:rPr>
        <w:t>Apžvalgoje naudojami pagrindiniai sutrumpinimai:</w:t>
      </w:r>
    </w:p>
    <w:p w14:paraId="1DE4E769" w14:textId="77777777" w:rsidR="00EE09AD" w:rsidRPr="0025732F" w:rsidRDefault="00EE09AD" w:rsidP="00612945">
      <w:pPr>
        <w:spacing w:after="0" w:line="240" w:lineRule="auto"/>
        <w:ind w:right="-1"/>
        <w:jc w:val="both"/>
        <w:rPr>
          <w:rFonts w:cstheme="minorHAnsi"/>
        </w:rPr>
      </w:pPr>
      <w:r w:rsidRPr="0025732F">
        <w:rPr>
          <w:rFonts w:cstheme="minorHAnsi"/>
          <w:b/>
        </w:rPr>
        <w:t>EŽTT, Teismas</w:t>
      </w:r>
      <w:r w:rsidRPr="0025732F">
        <w:rPr>
          <w:rFonts w:cstheme="minorHAnsi"/>
        </w:rPr>
        <w:t xml:space="preserve"> – Europos Žmogaus Teisių Teismas</w:t>
      </w:r>
    </w:p>
    <w:p w14:paraId="718E76F1" w14:textId="0C7113E4" w:rsidR="00EE09AD" w:rsidRPr="0025732F" w:rsidRDefault="00EE09AD" w:rsidP="00612945">
      <w:pPr>
        <w:spacing w:after="0" w:line="240" w:lineRule="auto"/>
        <w:ind w:right="-1"/>
        <w:jc w:val="both"/>
        <w:rPr>
          <w:rFonts w:cstheme="minorHAnsi"/>
        </w:rPr>
      </w:pPr>
      <w:r w:rsidRPr="0025732F">
        <w:rPr>
          <w:rFonts w:cstheme="minorHAnsi"/>
          <w:b/>
        </w:rPr>
        <w:t>Konvencija</w:t>
      </w:r>
      <w:r w:rsidRPr="0025732F">
        <w:rPr>
          <w:rFonts w:cstheme="minorHAnsi"/>
        </w:rPr>
        <w:t xml:space="preserve"> – Žmogaus teisių ir pagrindinių laisvių apsaugos konvencija</w:t>
      </w:r>
    </w:p>
    <w:p w14:paraId="6914CC32" w14:textId="27D1CCED" w:rsidR="006C3D4F" w:rsidRPr="0025732F" w:rsidRDefault="006C3D4F" w:rsidP="00612945">
      <w:pPr>
        <w:spacing w:after="0" w:line="240" w:lineRule="auto"/>
        <w:ind w:right="-1"/>
        <w:jc w:val="both"/>
        <w:rPr>
          <w:rFonts w:cstheme="minorHAnsi"/>
        </w:rPr>
      </w:pPr>
      <w:r w:rsidRPr="0025732F">
        <w:rPr>
          <w:rFonts w:cstheme="minorHAnsi"/>
          <w:b/>
          <w:bCs/>
        </w:rPr>
        <w:t xml:space="preserve">ES </w:t>
      </w:r>
      <w:r w:rsidRPr="0025732F">
        <w:rPr>
          <w:rFonts w:cstheme="minorHAnsi"/>
        </w:rPr>
        <w:t>– Europos Sąjunga</w:t>
      </w:r>
    </w:p>
    <w:p w14:paraId="0175E68D" w14:textId="77777777" w:rsidR="00EE09AD" w:rsidRPr="0025732F" w:rsidRDefault="00EE09AD" w:rsidP="00612945">
      <w:pPr>
        <w:spacing w:after="0" w:line="240" w:lineRule="auto"/>
        <w:ind w:right="-1"/>
        <w:jc w:val="both"/>
        <w:rPr>
          <w:rFonts w:cstheme="minorHAnsi"/>
        </w:rPr>
      </w:pPr>
      <w:r w:rsidRPr="0025732F">
        <w:rPr>
          <w:rFonts w:cstheme="minorHAnsi"/>
          <w:b/>
        </w:rPr>
        <w:t>Svarbos lygiai</w:t>
      </w:r>
      <w:r w:rsidRPr="0025732F">
        <w:rPr>
          <w:rFonts w:cstheme="minorHAnsi"/>
        </w:rPr>
        <w:t xml:space="preserve"> – Europos Žmogaus Teisių Teismo nagrinėjamos bylos yra skirstomos į keturias kategorijas:</w:t>
      </w:r>
    </w:p>
    <w:p w14:paraId="231A7163" w14:textId="3CBCAF54" w:rsidR="00EE09AD" w:rsidRPr="0025732F" w:rsidRDefault="009B0BCB" w:rsidP="00612945">
      <w:pPr>
        <w:tabs>
          <w:tab w:val="left" w:pos="567"/>
        </w:tabs>
        <w:spacing w:after="0" w:line="240" w:lineRule="auto"/>
        <w:ind w:left="539" w:right="-1"/>
        <w:jc w:val="both"/>
        <w:rPr>
          <w:rFonts w:cstheme="minorHAnsi"/>
        </w:rPr>
      </w:pPr>
      <w:r>
        <w:rPr>
          <w:rFonts w:cstheme="minorHAnsi"/>
          <w:i/>
        </w:rPr>
        <w:t>Svarbiausios bylos (angl.  key cases)</w:t>
      </w:r>
      <w:r w:rsidR="00EE09AD" w:rsidRPr="0025732F">
        <w:rPr>
          <w:rFonts w:cstheme="minorHAnsi"/>
        </w:rPr>
        <w:t xml:space="preserve"> – ypatingos svarbos sprendimai, kuri</w:t>
      </w:r>
      <w:r>
        <w:rPr>
          <w:rFonts w:cstheme="minorHAnsi"/>
        </w:rPr>
        <w:t>uos atrenka specialus Teismo teisėjų biuras, sudarytas iš Teismo pirmininko, pirmininko pavaduotojų ir skyrių pirmininkų.</w:t>
      </w:r>
    </w:p>
    <w:p w14:paraId="487CA55A" w14:textId="77777777" w:rsidR="00EE09AD" w:rsidRPr="0025732F" w:rsidRDefault="00EE09AD" w:rsidP="00612945">
      <w:pPr>
        <w:spacing w:after="0" w:line="240" w:lineRule="auto"/>
        <w:ind w:left="539" w:right="-1"/>
        <w:jc w:val="both"/>
        <w:rPr>
          <w:rFonts w:cstheme="minorHAnsi"/>
        </w:rPr>
      </w:pPr>
      <w:r w:rsidRPr="0025732F">
        <w:rPr>
          <w:rFonts w:cstheme="minorHAnsi"/>
          <w:i/>
        </w:rPr>
        <w:t>1 = Didelė svarba</w:t>
      </w:r>
      <w:r w:rsidRPr="0025732F">
        <w:rPr>
          <w:rFonts w:cstheme="minorHAnsi"/>
        </w:rPr>
        <w:t>: sprendimai, kurie reikšmingai prisideda prie Teismo praktikos plėtojimo, aiškinimo ar keitimo.</w:t>
      </w:r>
    </w:p>
    <w:p w14:paraId="70E0507C" w14:textId="77777777" w:rsidR="00EE09AD" w:rsidRPr="0025732F" w:rsidRDefault="00EE09AD" w:rsidP="00612945">
      <w:pPr>
        <w:spacing w:after="0" w:line="240" w:lineRule="auto"/>
        <w:ind w:left="539" w:right="-1"/>
        <w:jc w:val="both"/>
        <w:rPr>
          <w:rFonts w:cstheme="minorHAnsi"/>
        </w:rPr>
      </w:pPr>
      <w:r w:rsidRPr="0025732F">
        <w:rPr>
          <w:rFonts w:cstheme="minorHAnsi"/>
          <w:i/>
        </w:rPr>
        <w:t>2 = Vidutinė svarba</w:t>
      </w:r>
      <w:r w:rsidRPr="0025732F">
        <w:rPr>
          <w:rFonts w:cstheme="minorHAnsi"/>
        </w:rPr>
        <w:t>: sprendimai, kurie nors ir reikšmingai praktikos nepakeičia, tačiau nėra susiję vien tik su nusistovėjusios praktikos laikymusi.</w:t>
      </w:r>
    </w:p>
    <w:p w14:paraId="687CA506" w14:textId="77777777" w:rsidR="00EE09AD" w:rsidRPr="0025732F" w:rsidRDefault="00EE09AD" w:rsidP="00612945">
      <w:pPr>
        <w:spacing w:after="0" w:line="240" w:lineRule="auto"/>
        <w:ind w:left="539" w:right="-1"/>
        <w:jc w:val="both"/>
        <w:rPr>
          <w:rFonts w:cstheme="minorHAnsi"/>
        </w:rPr>
      </w:pPr>
      <w:r w:rsidRPr="0025732F">
        <w:rPr>
          <w:rFonts w:cstheme="minorHAnsi"/>
          <w:i/>
        </w:rPr>
        <w:t>3 = Mažesnė svarba</w:t>
      </w:r>
      <w:r w:rsidRPr="0025732F">
        <w:rPr>
          <w:rFonts w:cstheme="minorHAnsi"/>
        </w:rPr>
        <w:t>: sprendimai, pasižymintys mažu teisiniu interesu, t. y. sprendimai, kuriuose paprasčiausiai laikomasi nusistovėjusios teismo praktikos ir kt.</w:t>
      </w:r>
    </w:p>
    <w:p w14:paraId="10D3BA50" w14:textId="77777777" w:rsidR="00EE09AD" w:rsidRPr="0025732F" w:rsidRDefault="00EE09AD" w:rsidP="00612945">
      <w:pPr>
        <w:spacing w:after="0" w:line="240" w:lineRule="auto"/>
        <w:ind w:right="-1"/>
        <w:jc w:val="both"/>
        <w:rPr>
          <w:rFonts w:cstheme="minorHAnsi"/>
          <w:b/>
        </w:rPr>
      </w:pPr>
      <w:r w:rsidRPr="0025732F">
        <w:rPr>
          <w:rFonts w:cstheme="minorHAnsi"/>
          <w:b/>
        </w:rPr>
        <w:br w:type="page"/>
      </w:r>
    </w:p>
    <w:sdt>
      <w:sdtPr>
        <w:rPr>
          <w:rFonts w:asciiTheme="minorHAnsi" w:eastAsiaTheme="minorHAnsi" w:hAnsiTheme="minorHAnsi" w:cstheme="minorHAnsi"/>
          <w:bCs w:val="0"/>
          <w:color w:val="auto"/>
          <w:sz w:val="22"/>
          <w:szCs w:val="22"/>
          <w:lang w:eastAsia="en-US"/>
        </w:rPr>
        <w:id w:val="654178032"/>
        <w:docPartObj>
          <w:docPartGallery w:val="Table of Contents"/>
          <w:docPartUnique/>
        </w:docPartObj>
      </w:sdtPr>
      <w:sdtEndPr>
        <w:rPr>
          <w:b/>
        </w:rPr>
      </w:sdtEndPr>
      <w:sdtContent>
        <w:p w14:paraId="259F4E74" w14:textId="77777777" w:rsidR="00EE09AD" w:rsidRPr="0025732F" w:rsidRDefault="00EE09AD" w:rsidP="00612945">
          <w:pPr>
            <w:pStyle w:val="Turinioantrat"/>
            <w:spacing w:before="0" w:line="240" w:lineRule="auto"/>
            <w:ind w:right="-1"/>
            <w:rPr>
              <w:rFonts w:asciiTheme="minorHAnsi" w:hAnsiTheme="minorHAnsi" w:cstheme="minorHAnsi"/>
              <w:sz w:val="22"/>
              <w:szCs w:val="22"/>
            </w:rPr>
          </w:pPr>
        </w:p>
        <w:p w14:paraId="22B7552E" w14:textId="05260C92" w:rsidR="00D268DA" w:rsidRDefault="00EE09AD">
          <w:pPr>
            <w:pStyle w:val="Turinys1"/>
            <w:rPr>
              <w:rFonts w:eastAsiaTheme="minorEastAsia"/>
              <w:color w:val="auto"/>
              <w:sz w:val="24"/>
              <w:szCs w:val="24"/>
            </w:rPr>
          </w:pPr>
          <w:r w:rsidRPr="0025732F">
            <w:rPr>
              <w:rFonts w:cstheme="minorHAnsi"/>
              <w:noProof w:val="0"/>
            </w:rPr>
            <w:fldChar w:fldCharType="begin"/>
          </w:r>
          <w:r w:rsidRPr="0025732F">
            <w:rPr>
              <w:rFonts w:cstheme="minorHAnsi"/>
              <w:noProof w:val="0"/>
            </w:rPr>
            <w:instrText xml:space="preserve"> TOC \o "1-3" \h \z \u </w:instrText>
          </w:r>
          <w:r w:rsidRPr="0025732F">
            <w:rPr>
              <w:rFonts w:cstheme="minorHAnsi"/>
              <w:noProof w:val="0"/>
            </w:rPr>
            <w:fldChar w:fldCharType="separate"/>
          </w:r>
          <w:hyperlink w:anchor="_Toc72932256" w:history="1">
            <w:r w:rsidR="00D268DA" w:rsidRPr="00812533">
              <w:rPr>
                <w:rStyle w:val="Hipersaitas"/>
                <w:rFonts w:eastAsia="Times New Roman" w:cstheme="minorHAnsi"/>
              </w:rPr>
              <w:t>KANKINIMO UŽDRAUDIMAS (3 straipsnis)</w:t>
            </w:r>
            <w:r w:rsidR="00D268DA">
              <w:rPr>
                <w:webHidden/>
              </w:rPr>
              <w:tab/>
            </w:r>
            <w:r w:rsidR="00D268DA">
              <w:rPr>
                <w:webHidden/>
              </w:rPr>
              <w:fldChar w:fldCharType="begin"/>
            </w:r>
            <w:r w:rsidR="00D268DA">
              <w:rPr>
                <w:webHidden/>
              </w:rPr>
              <w:instrText xml:space="preserve"> PAGEREF _Toc72932256 \h </w:instrText>
            </w:r>
            <w:r w:rsidR="00D268DA">
              <w:rPr>
                <w:webHidden/>
              </w:rPr>
            </w:r>
            <w:r w:rsidR="00D268DA">
              <w:rPr>
                <w:webHidden/>
              </w:rPr>
              <w:fldChar w:fldCharType="separate"/>
            </w:r>
            <w:r w:rsidR="00D268DA">
              <w:rPr>
                <w:webHidden/>
              </w:rPr>
              <w:t>5</w:t>
            </w:r>
            <w:r w:rsidR="00D268DA">
              <w:rPr>
                <w:webHidden/>
              </w:rPr>
              <w:fldChar w:fldCharType="end"/>
            </w:r>
          </w:hyperlink>
        </w:p>
        <w:p w14:paraId="6E4B96A2" w14:textId="01F3C2F9" w:rsidR="00D268DA" w:rsidRDefault="006922FB">
          <w:pPr>
            <w:pStyle w:val="Turinys2"/>
            <w:tabs>
              <w:tab w:val="right" w:leader="dot" w:pos="9769"/>
            </w:tabs>
            <w:rPr>
              <w:rFonts w:eastAsiaTheme="minorEastAsia"/>
              <w:noProof/>
              <w:sz w:val="24"/>
              <w:szCs w:val="24"/>
            </w:rPr>
          </w:pPr>
          <w:hyperlink w:anchor="_Toc72932257" w:history="1">
            <w:r w:rsidR="00D268DA" w:rsidRPr="00812533">
              <w:rPr>
                <w:rStyle w:val="Hipersaitas"/>
                <w:rFonts w:cstheme="minorHAnsi"/>
                <w:i/>
                <w:noProof/>
              </w:rPr>
              <w:t>M. K. ir kiti prieš Lenkiją</w:t>
            </w:r>
            <w:r w:rsidR="00D268DA">
              <w:rPr>
                <w:noProof/>
                <w:webHidden/>
              </w:rPr>
              <w:tab/>
            </w:r>
            <w:r w:rsidR="00D268DA">
              <w:rPr>
                <w:noProof/>
                <w:webHidden/>
              </w:rPr>
              <w:fldChar w:fldCharType="begin"/>
            </w:r>
            <w:r w:rsidR="00D268DA">
              <w:rPr>
                <w:noProof/>
                <w:webHidden/>
              </w:rPr>
              <w:instrText xml:space="preserve"> PAGEREF _Toc72932257 \h </w:instrText>
            </w:r>
            <w:r w:rsidR="00D268DA">
              <w:rPr>
                <w:noProof/>
                <w:webHidden/>
              </w:rPr>
            </w:r>
            <w:r w:rsidR="00D268DA">
              <w:rPr>
                <w:noProof/>
                <w:webHidden/>
              </w:rPr>
              <w:fldChar w:fldCharType="separate"/>
            </w:r>
            <w:r w:rsidR="00D268DA">
              <w:rPr>
                <w:noProof/>
                <w:webHidden/>
              </w:rPr>
              <w:t>5</w:t>
            </w:r>
            <w:r w:rsidR="00D268DA">
              <w:rPr>
                <w:noProof/>
                <w:webHidden/>
              </w:rPr>
              <w:fldChar w:fldCharType="end"/>
            </w:r>
          </w:hyperlink>
        </w:p>
        <w:p w14:paraId="64DEA548" w14:textId="75105C63" w:rsidR="00D268DA" w:rsidRDefault="006922FB">
          <w:pPr>
            <w:pStyle w:val="Turinys3"/>
            <w:tabs>
              <w:tab w:val="right" w:leader="dot" w:pos="9769"/>
            </w:tabs>
            <w:rPr>
              <w:rFonts w:eastAsiaTheme="minorEastAsia"/>
              <w:noProof/>
              <w:sz w:val="24"/>
              <w:szCs w:val="24"/>
            </w:rPr>
          </w:pPr>
          <w:hyperlink w:anchor="_Toc72932258" w:history="1">
            <w:r w:rsidR="00D268DA" w:rsidRPr="00812533">
              <w:rPr>
                <w:rStyle w:val="Hipersaitas"/>
                <w:rFonts w:cstheme="minorHAnsi"/>
                <w:noProof/>
              </w:rPr>
              <w:t>Dėl pasienio pareigūnų atsisakymo priimti prieglobsčio prašymus ir pareiškėjų išsiuntimo į trečiąją šalį, kai jiems gresia grąžinimas ir netinkamas elgesys kilmės šalyje</w:t>
            </w:r>
            <w:r w:rsidR="00D268DA">
              <w:rPr>
                <w:noProof/>
                <w:webHidden/>
              </w:rPr>
              <w:tab/>
            </w:r>
            <w:r w:rsidR="00D268DA">
              <w:rPr>
                <w:noProof/>
                <w:webHidden/>
              </w:rPr>
              <w:fldChar w:fldCharType="begin"/>
            </w:r>
            <w:r w:rsidR="00D268DA">
              <w:rPr>
                <w:noProof/>
                <w:webHidden/>
              </w:rPr>
              <w:instrText xml:space="preserve"> PAGEREF _Toc72932258 \h </w:instrText>
            </w:r>
            <w:r w:rsidR="00D268DA">
              <w:rPr>
                <w:noProof/>
                <w:webHidden/>
              </w:rPr>
            </w:r>
            <w:r w:rsidR="00D268DA">
              <w:rPr>
                <w:noProof/>
                <w:webHidden/>
              </w:rPr>
              <w:fldChar w:fldCharType="separate"/>
            </w:r>
            <w:r w:rsidR="00D268DA">
              <w:rPr>
                <w:noProof/>
                <w:webHidden/>
              </w:rPr>
              <w:t>5</w:t>
            </w:r>
            <w:r w:rsidR="00D268DA">
              <w:rPr>
                <w:noProof/>
                <w:webHidden/>
              </w:rPr>
              <w:fldChar w:fldCharType="end"/>
            </w:r>
          </w:hyperlink>
        </w:p>
        <w:p w14:paraId="4C77B2AB" w14:textId="52835C25" w:rsidR="00D268DA" w:rsidRDefault="006922FB">
          <w:pPr>
            <w:pStyle w:val="Turinys2"/>
            <w:tabs>
              <w:tab w:val="right" w:leader="dot" w:pos="9769"/>
            </w:tabs>
            <w:rPr>
              <w:rFonts w:eastAsiaTheme="minorEastAsia"/>
              <w:noProof/>
              <w:sz w:val="24"/>
              <w:szCs w:val="24"/>
            </w:rPr>
          </w:pPr>
          <w:hyperlink w:anchor="_Toc72932259" w:history="1">
            <w:r w:rsidR="00D268DA" w:rsidRPr="00812533">
              <w:rPr>
                <w:rStyle w:val="Hipersaitas"/>
                <w:rFonts w:eastAsia="Calibri" w:cstheme="minorHAnsi"/>
                <w:i/>
                <w:noProof/>
              </w:rPr>
              <w:t>B ir C prieš Šveicariją</w:t>
            </w:r>
            <w:r w:rsidR="00D268DA">
              <w:rPr>
                <w:noProof/>
                <w:webHidden/>
              </w:rPr>
              <w:tab/>
            </w:r>
            <w:r w:rsidR="00D268DA">
              <w:rPr>
                <w:noProof/>
                <w:webHidden/>
              </w:rPr>
              <w:fldChar w:fldCharType="begin"/>
            </w:r>
            <w:r w:rsidR="00D268DA">
              <w:rPr>
                <w:noProof/>
                <w:webHidden/>
              </w:rPr>
              <w:instrText xml:space="preserve"> PAGEREF _Toc72932259 \h </w:instrText>
            </w:r>
            <w:r w:rsidR="00D268DA">
              <w:rPr>
                <w:noProof/>
                <w:webHidden/>
              </w:rPr>
            </w:r>
            <w:r w:rsidR="00D268DA">
              <w:rPr>
                <w:noProof/>
                <w:webHidden/>
              </w:rPr>
              <w:fldChar w:fldCharType="separate"/>
            </w:r>
            <w:r w:rsidR="00D268DA">
              <w:rPr>
                <w:noProof/>
                <w:webHidden/>
              </w:rPr>
              <w:t>6</w:t>
            </w:r>
            <w:r w:rsidR="00D268DA">
              <w:rPr>
                <w:noProof/>
                <w:webHidden/>
              </w:rPr>
              <w:fldChar w:fldCharType="end"/>
            </w:r>
          </w:hyperlink>
        </w:p>
        <w:p w14:paraId="270E1919" w14:textId="472D743C" w:rsidR="00D268DA" w:rsidRDefault="006922FB">
          <w:pPr>
            <w:pStyle w:val="Turinys3"/>
            <w:tabs>
              <w:tab w:val="right" w:leader="dot" w:pos="9769"/>
            </w:tabs>
            <w:rPr>
              <w:rFonts w:eastAsiaTheme="minorEastAsia"/>
              <w:noProof/>
              <w:sz w:val="24"/>
              <w:szCs w:val="24"/>
            </w:rPr>
          </w:pPr>
          <w:hyperlink w:anchor="_Toc72932260" w:history="1">
            <w:r w:rsidR="00D268DA" w:rsidRPr="00812533">
              <w:rPr>
                <w:rStyle w:val="Hipersaitas"/>
                <w:rFonts w:eastAsia="Calibri" w:cstheme="minorHAnsi"/>
                <w:noProof/>
              </w:rPr>
              <w:t>Dėl rizikos, kad nevalstybiniai subjektai Gambijoje žiauriai elgsis su homoseksualiu asmeniu, ir apsaugos nuo tokio elgesio prieinamumo, nepakankamo įvertinimo</w:t>
            </w:r>
            <w:r w:rsidR="00D268DA">
              <w:rPr>
                <w:noProof/>
                <w:webHidden/>
              </w:rPr>
              <w:tab/>
            </w:r>
            <w:r w:rsidR="00D268DA">
              <w:rPr>
                <w:noProof/>
                <w:webHidden/>
              </w:rPr>
              <w:fldChar w:fldCharType="begin"/>
            </w:r>
            <w:r w:rsidR="00D268DA">
              <w:rPr>
                <w:noProof/>
                <w:webHidden/>
              </w:rPr>
              <w:instrText xml:space="preserve"> PAGEREF _Toc72932260 \h </w:instrText>
            </w:r>
            <w:r w:rsidR="00D268DA">
              <w:rPr>
                <w:noProof/>
                <w:webHidden/>
              </w:rPr>
            </w:r>
            <w:r w:rsidR="00D268DA">
              <w:rPr>
                <w:noProof/>
                <w:webHidden/>
              </w:rPr>
              <w:fldChar w:fldCharType="separate"/>
            </w:r>
            <w:r w:rsidR="00D268DA">
              <w:rPr>
                <w:noProof/>
                <w:webHidden/>
              </w:rPr>
              <w:t>6</w:t>
            </w:r>
            <w:r w:rsidR="00D268DA">
              <w:rPr>
                <w:noProof/>
                <w:webHidden/>
              </w:rPr>
              <w:fldChar w:fldCharType="end"/>
            </w:r>
          </w:hyperlink>
        </w:p>
        <w:p w14:paraId="62E598CA" w14:textId="31004FDC" w:rsidR="00D268DA" w:rsidRDefault="006922FB">
          <w:pPr>
            <w:pStyle w:val="Turinys1"/>
            <w:rPr>
              <w:rFonts w:eastAsiaTheme="minorEastAsia"/>
              <w:color w:val="auto"/>
              <w:sz w:val="24"/>
              <w:szCs w:val="24"/>
            </w:rPr>
          </w:pPr>
          <w:hyperlink w:anchor="_Toc72932261" w:history="1">
            <w:r w:rsidR="00D268DA" w:rsidRPr="00812533">
              <w:rPr>
                <w:rStyle w:val="Hipersaitas"/>
              </w:rPr>
              <w:t>TEISĖ Į TEISINGĄ BYLOS NAGRINĖJIMĄ (6 straipsnis)</w:t>
            </w:r>
            <w:r w:rsidR="00D268DA">
              <w:rPr>
                <w:webHidden/>
              </w:rPr>
              <w:tab/>
            </w:r>
            <w:r w:rsidR="00D268DA">
              <w:rPr>
                <w:webHidden/>
              </w:rPr>
              <w:fldChar w:fldCharType="begin"/>
            </w:r>
            <w:r w:rsidR="00D268DA">
              <w:rPr>
                <w:webHidden/>
              </w:rPr>
              <w:instrText xml:space="preserve"> PAGEREF _Toc72932261 \h </w:instrText>
            </w:r>
            <w:r w:rsidR="00D268DA">
              <w:rPr>
                <w:webHidden/>
              </w:rPr>
            </w:r>
            <w:r w:rsidR="00D268DA">
              <w:rPr>
                <w:webHidden/>
              </w:rPr>
              <w:fldChar w:fldCharType="separate"/>
            </w:r>
            <w:r w:rsidR="00D268DA">
              <w:rPr>
                <w:webHidden/>
              </w:rPr>
              <w:t>8</w:t>
            </w:r>
            <w:r w:rsidR="00D268DA">
              <w:rPr>
                <w:webHidden/>
              </w:rPr>
              <w:fldChar w:fldCharType="end"/>
            </w:r>
          </w:hyperlink>
        </w:p>
        <w:p w14:paraId="1D236CE1" w14:textId="34B7165B" w:rsidR="00D268DA" w:rsidRDefault="006922FB">
          <w:pPr>
            <w:pStyle w:val="Turinys2"/>
            <w:tabs>
              <w:tab w:val="right" w:leader="dot" w:pos="9769"/>
            </w:tabs>
            <w:rPr>
              <w:rFonts w:eastAsiaTheme="minorEastAsia"/>
              <w:noProof/>
              <w:sz w:val="24"/>
              <w:szCs w:val="24"/>
            </w:rPr>
          </w:pPr>
          <w:hyperlink w:anchor="_Toc72932262" w:history="1">
            <w:r w:rsidR="00D268DA" w:rsidRPr="00812533">
              <w:rPr>
                <w:rStyle w:val="Hipersaitas"/>
                <w:i/>
                <w:noProof/>
              </w:rPr>
              <w:t>Čivinskaitė prieš Lietuvą</w:t>
            </w:r>
            <w:r w:rsidR="00D268DA">
              <w:rPr>
                <w:noProof/>
                <w:webHidden/>
              </w:rPr>
              <w:tab/>
            </w:r>
            <w:r w:rsidR="00D268DA">
              <w:rPr>
                <w:noProof/>
                <w:webHidden/>
              </w:rPr>
              <w:fldChar w:fldCharType="begin"/>
            </w:r>
            <w:r w:rsidR="00D268DA">
              <w:rPr>
                <w:noProof/>
                <w:webHidden/>
              </w:rPr>
              <w:instrText xml:space="preserve"> PAGEREF _Toc72932262 \h </w:instrText>
            </w:r>
            <w:r w:rsidR="00D268DA">
              <w:rPr>
                <w:noProof/>
                <w:webHidden/>
              </w:rPr>
            </w:r>
            <w:r w:rsidR="00D268DA">
              <w:rPr>
                <w:noProof/>
                <w:webHidden/>
              </w:rPr>
              <w:fldChar w:fldCharType="separate"/>
            </w:r>
            <w:r w:rsidR="00D268DA">
              <w:rPr>
                <w:noProof/>
                <w:webHidden/>
              </w:rPr>
              <w:t>8</w:t>
            </w:r>
            <w:r w:rsidR="00D268DA">
              <w:rPr>
                <w:noProof/>
                <w:webHidden/>
              </w:rPr>
              <w:fldChar w:fldCharType="end"/>
            </w:r>
          </w:hyperlink>
        </w:p>
        <w:p w14:paraId="7314B200" w14:textId="44E52699" w:rsidR="00D268DA" w:rsidRDefault="006922FB">
          <w:pPr>
            <w:pStyle w:val="Turinys3"/>
            <w:tabs>
              <w:tab w:val="right" w:leader="dot" w:pos="9769"/>
            </w:tabs>
            <w:rPr>
              <w:rFonts w:eastAsiaTheme="minorEastAsia"/>
              <w:noProof/>
              <w:sz w:val="24"/>
              <w:szCs w:val="24"/>
            </w:rPr>
          </w:pPr>
          <w:hyperlink w:anchor="_Toc72932263" w:history="1">
            <w:r w:rsidR="00D268DA" w:rsidRPr="00812533">
              <w:rPr>
                <w:rStyle w:val="Hipersaitas"/>
                <w:rFonts w:ascii="Calibri" w:eastAsia="Calibri" w:hAnsi="Calibri" w:cs="Calibri"/>
                <w:bCs/>
                <w:iCs/>
                <w:noProof/>
              </w:rPr>
              <w:t>Dėl parlamentinio tyrimo, Prezidentės žiniasklaidoje pateiktų viešų pareiškimų ir padidėjusio žiniasklaidos dėmesio įtakos drausminės nuobaudos prokurorei paskyrimui</w:t>
            </w:r>
            <w:r w:rsidR="00D268DA">
              <w:rPr>
                <w:noProof/>
                <w:webHidden/>
              </w:rPr>
              <w:tab/>
            </w:r>
            <w:r w:rsidR="00D268DA">
              <w:rPr>
                <w:noProof/>
                <w:webHidden/>
              </w:rPr>
              <w:fldChar w:fldCharType="begin"/>
            </w:r>
            <w:r w:rsidR="00D268DA">
              <w:rPr>
                <w:noProof/>
                <w:webHidden/>
              </w:rPr>
              <w:instrText xml:space="preserve"> PAGEREF _Toc72932263 \h </w:instrText>
            </w:r>
            <w:r w:rsidR="00D268DA">
              <w:rPr>
                <w:noProof/>
                <w:webHidden/>
              </w:rPr>
            </w:r>
            <w:r w:rsidR="00D268DA">
              <w:rPr>
                <w:noProof/>
                <w:webHidden/>
              </w:rPr>
              <w:fldChar w:fldCharType="separate"/>
            </w:r>
            <w:r w:rsidR="00D268DA">
              <w:rPr>
                <w:noProof/>
                <w:webHidden/>
              </w:rPr>
              <w:t>8</w:t>
            </w:r>
            <w:r w:rsidR="00D268DA">
              <w:rPr>
                <w:noProof/>
                <w:webHidden/>
              </w:rPr>
              <w:fldChar w:fldCharType="end"/>
            </w:r>
          </w:hyperlink>
        </w:p>
        <w:p w14:paraId="7BFDA807" w14:textId="52612514" w:rsidR="00D268DA" w:rsidRDefault="006922FB">
          <w:pPr>
            <w:pStyle w:val="Turinys2"/>
            <w:tabs>
              <w:tab w:val="right" w:leader="dot" w:pos="9769"/>
            </w:tabs>
            <w:rPr>
              <w:rFonts w:eastAsiaTheme="minorEastAsia"/>
              <w:noProof/>
              <w:sz w:val="24"/>
              <w:szCs w:val="24"/>
            </w:rPr>
          </w:pPr>
          <w:hyperlink w:anchor="_Toc72932264" w:history="1">
            <w:r w:rsidR="00D268DA" w:rsidRPr="00812533">
              <w:rPr>
                <w:rStyle w:val="Hipersaitas"/>
                <w:i/>
                <w:noProof/>
              </w:rPr>
              <w:t>Vegotex International S.A. prieš Belgiją</w:t>
            </w:r>
            <w:r w:rsidR="00D268DA">
              <w:rPr>
                <w:noProof/>
                <w:webHidden/>
              </w:rPr>
              <w:tab/>
            </w:r>
            <w:r w:rsidR="00D268DA">
              <w:rPr>
                <w:noProof/>
                <w:webHidden/>
              </w:rPr>
              <w:fldChar w:fldCharType="begin"/>
            </w:r>
            <w:r w:rsidR="00D268DA">
              <w:rPr>
                <w:noProof/>
                <w:webHidden/>
              </w:rPr>
              <w:instrText xml:space="preserve"> PAGEREF _Toc72932264 \h </w:instrText>
            </w:r>
            <w:r w:rsidR="00D268DA">
              <w:rPr>
                <w:noProof/>
                <w:webHidden/>
              </w:rPr>
            </w:r>
            <w:r w:rsidR="00D268DA">
              <w:rPr>
                <w:noProof/>
                <w:webHidden/>
              </w:rPr>
              <w:fldChar w:fldCharType="separate"/>
            </w:r>
            <w:r w:rsidR="00D268DA">
              <w:rPr>
                <w:noProof/>
                <w:webHidden/>
              </w:rPr>
              <w:t>9</w:t>
            </w:r>
            <w:r w:rsidR="00D268DA">
              <w:rPr>
                <w:noProof/>
                <w:webHidden/>
              </w:rPr>
              <w:fldChar w:fldCharType="end"/>
            </w:r>
          </w:hyperlink>
        </w:p>
        <w:p w14:paraId="4D240276" w14:textId="1A68F04C" w:rsidR="00D268DA" w:rsidRDefault="006922FB">
          <w:pPr>
            <w:pStyle w:val="Turinys3"/>
            <w:tabs>
              <w:tab w:val="right" w:leader="dot" w:pos="9769"/>
            </w:tabs>
            <w:rPr>
              <w:rFonts w:eastAsiaTheme="minorEastAsia"/>
              <w:noProof/>
              <w:sz w:val="24"/>
              <w:szCs w:val="24"/>
            </w:rPr>
          </w:pPr>
          <w:hyperlink w:anchor="_Toc72932265" w:history="1">
            <w:r w:rsidR="00D268DA" w:rsidRPr="00812533">
              <w:rPr>
                <w:rStyle w:val="Hipersaitas"/>
                <w:rFonts w:cstheme="minorHAnsi"/>
                <w:noProof/>
              </w:rPr>
              <w:t xml:space="preserve">Dėl įstatymų </w:t>
            </w:r>
            <w:r w:rsidR="00D268DA" w:rsidRPr="00812533">
              <w:rPr>
                <w:rStyle w:val="Hipersaitas"/>
                <w:noProof/>
              </w:rPr>
              <w:t>leidėjo</w:t>
            </w:r>
            <w:r w:rsidR="00D268DA" w:rsidRPr="00812533">
              <w:rPr>
                <w:rStyle w:val="Hipersaitas"/>
                <w:rFonts w:cstheme="minorHAnsi"/>
                <w:noProof/>
              </w:rPr>
              <w:t xml:space="preserve"> intervencijos atkuriant mokesčių administratoriaus sprendimo, kuriuo nutraukiama mokesčių skolos išieškojimo senatis, poveikį tebevykstančiuose procesuose</w:t>
            </w:r>
            <w:r w:rsidR="00D268DA">
              <w:rPr>
                <w:noProof/>
                <w:webHidden/>
              </w:rPr>
              <w:tab/>
            </w:r>
            <w:r w:rsidR="00D268DA">
              <w:rPr>
                <w:noProof/>
                <w:webHidden/>
              </w:rPr>
              <w:fldChar w:fldCharType="begin"/>
            </w:r>
            <w:r w:rsidR="00D268DA">
              <w:rPr>
                <w:noProof/>
                <w:webHidden/>
              </w:rPr>
              <w:instrText xml:space="preserve"> PAGEREF _Toc72932265 \h </w:instrText>
            </w:r>
            <w:r w:rsidR="00D268DA">
              <w:rPr>
                <w:noProof/>
                <w:webHidden/>
              </w:rPr>
            </w:r>
            <w:r w:rsidR="00D268DA">
              <w:rPr>
                <w:noProof/>
                <w:webHidden/>
              </w:rPr>
              <w:fldChar w:fldCharType="separate"/>
            </w:r>
            <w:r w:rsidR="00D268DA">
              <w:rPr>
                <w:noProof/>
                <w:webHidden/>
              </w:rPr>
              <w:t>9</w:t>
            </w:r>
            <w:r w:rsidR="00D268DA">
              <w:rPr>
                <w:noProof/>
                <w:webHidden/>
              </w:rPr>
              <w:fldChar w:fldCharType="end"/>
            </w:r>
          </w:hyperlink>
        </w:p>
        <w:p w14:paraId="797F54B0" w14:textId="2C168428" w:rsidR="00D268DA" w:rsidRDefault="006922FB">
          <w:pPr>
            <w:pStyle w:val="Turinys2"/>
            <w:tabs>
              <w:tab w:val="right" w:leader="dot" w:pos="9769"/>
            </w:tabs>
            <w:rPr>
              <w:rFonts w:eastAsiaTheme="minorEastAsia"/>
              <w:noProof/>
              <w:sz w:val="24"/>
              <w:szCs w:val="24"/>
            </w:rPr>
          </w:pPr>
          <w:hyperlink w:anchor="_Toc72932266" w:history="1">
            <w:r w:rsidR="00D268DA" w:rsidRPr="00812533">
              <w:rPr>
                <w:rStyle w:val="Hipersaitas"/>
                <w:i/>
                <w:noProof/>
              </w:rPr>
              <w:t>Guðmundur Andri Ástráðsson prieš Islandiją</w:t>
            </w:r>
            <w:r w:rsidR="00D268DA">
              <w:rPr>
                <w:noProof/>
                <w:webHidden/>
              </w:rPr>
              <w:tab/>
            </w:r>
            <w:r w:rsidR="00D268DA">
              <w:rPr>
                <w:noProof/>
                <w:webHidden/>
              </w:rPr>
              <w:fldChar w:fldCharType="begin"/>
            </w:r>
            <w:r w:rsidR="00D268DA">
              <w:rPr>
                <w:noProof/>
                <w:webHidden/>
              </w:rPr>
              <w:instrText xml:space="preserve"> PAGEREF _Toc72932266 \h </w:instrText>
            </w:r>
            <w:r w:rsidR="00D268DA">
              <w:rPr>
                <w:noProof/>
                <w:webHidden/>
              </w:rPr>
            </w:r>
            <w:r w:rsidR="00D268DA">
              <w:rPr>
                <w:noProof/>
                <w:webHidden/>
              </w:rPr>
              <w:fldChar w:fldCharType="separate"/>
            </w:r>
            <w:r w:rsidR="00D268DA">
              <w:rPr>
                <w:noProof/>
                <w:webHidden/>
              </w:rPr>
              <w:t>10</w:t>
            </w:r>
            <w:r w:rsidR="00D268DA">
              <w:rPr>
                <w:noProof/>
                <w:webHidden/>
              </w:rPr>
              <w:fldChar w:fldCharType="end"/>
            </w:r>
          </w:hyperlink>
        </w:p>
        <w:p w14:paraId="24E0CC64" w14:textId="102FCEF4" w:rsidR="00D268DA" w:rsidRDefault="006922FB">
          <w:pPr>
            <w:pStyle w:val="Turinys3"/>
            <w:tabs>
              <w:tab w:val="right" w:leader="dot" w:pos="9769"/>
            </w:tabs>
            <w:rPr>
              <w:rFonts w:eastAsiaTheme="minorEastAsia"/>
              <w:noProof/>
              <w:sz w:val="24"/>
              <w:szCs w:val="24"/>
            </w:rPr>
          </w:pPr>
          <w:hyperlink w:anchor="_Toc72932267" w:history="1">
            <w:r w:rsidR="00D268DA" w:rsidRPr="00812533">
              <w:rPr>
                <w:rStyle w:val="Hipersaitas"/>
                <w:rFonts w:ascii="Calibri" w:eastAsia="Calibri" w:hAnsi="Calibri" w:cs="Calibri"/>
                <w:bCs/>
                <w:iCs/>
                <w:noProof/>
              </w:rPr>
              <w:t>Dėl teisėjos paskyrimo procedūros pažeidimų, lėmusių tai, kad bylą išnagrinėjo įstatymu neįsteigtas teismas</w:t>
            </w:r>
            <w:r w:rsidR="00D268DA">
              <w:rPr>
                <w:noProof/>
                <w:webHidden/>
              </w:rPr>
              <w:tab/>
            </w:r>
            <w:r w:rsidR="00D268DA">
              <w:rPr>
                <w:noProof/>
                <w:webHidden/>
              </w:rPr>
              <w:fldChar w:fldCharType="begin"/>
            </w:r>
            <w:r w:rsidR="00D268DA">
              <w:rPr>
                <w:noProof/>
                <w:webHidden/>
              </w:rPr>
              <w:instrText xml:space="preserve"> PAGEREF _Toc72932267 \h </w:instrText>
            </w:r>
            <w:r w:rsidR="00D268DA">
              <w:rPr>
                <w:noProof/>
                <w:webHidden/>
              </w:rPr>
            </w:r>
            <w:r w:rsidR="00D268DA">
              <w:rPr>
                <w:noProof/>
                <w:webHidden/>
              </w:rPr>
              <w:fldChar w:fldCharType="separate"/>
            </w:r>
            <w:r w:rsidR="00D268DA">
              <w:rPr>
                <w:noProof/>
                <w:webHidden/>
              </w:rPr>
              <w:t>11</w:t>
            </w:r>
            <w:r w:rsidR="00D268DA">
              <w:rPr>
                <w:noProof/>
                <w:webHidden/>
              </w:rPr>
              <w:fldChar w:fldCharType="end"/>
            </w:r>
          </w:hyperlink>
        </w:p>
        <w:p w14:paraId="5F0DD3E5" w14:textId="51C3000B" w:rsidR="00D268DA" w:rsidRDefault="006922FB">
          <w:pPr>
            <w:pStyle w:val="Turinys2"/>
            <w:tabs>
              <w:tab w:val="right" w:leader="dot" w:pos="9769"/>
            </w:tabs>
            <w:rPr>
              <w:rFonts w:eastAsiaTheme="minorEastAsia"/>
              <w:noProof/>
              <w:sz w:val="24"/>
              <w:szCs w:val="24"/>
            </w:rPr>
          </w:pPr>
          <w:hyperlink w:anchor="_Toc72932268" w:history="1">
            <w:r w:rsidR="00D268DA" w:rsidRPr="00812533">
              <w:rPr>
                <w:rStyle w:val="Hipersaitas"/>
                <w:i/>
                <w:noProof/>
              </w:rPr>
              <w:t>Edizioni Del Roma Società Cooperativa A.R.L ir Edizioni Del Roma S.R.L. prieš Italiją</w:t>
            </w:r>
            <w:r w:rsidR="00D268DA">
              <w:rPr>
                <w:noProof/>
                <w:webHidden/>
              </w:rPr>
              <w:tab/>
            </w:r>
            <w:r w:rsidR="00D268DA">
              <w:rPr>
                <w:noProof/>
                <w:webHidden/>
              </w:rPr>
              <w:fldChar w:fldCharType="begin"/>
            </w:r>
            <w:r w:rsidR="00D268DA">
              <w:rPr>
                <w:noProof/>
                <w:webHidden/>
              </w:rPr>
              <w:instrText xml:space="preserve"> PAGEREF _Toc72932268 \h </w:instrText>
            </w:r>
            <w:r w:rsidR="00D268DA">
              <w:rPr>
                <w:noProof/>
                <w:webHidden/>
              </w:rPr>
            </w:r>
            <w:r w:rsidR="00D268DA">
              <w:rPr>
                <w:noProof/>
                <w:webHidden/>
              </w:rPr>
              <w:fldChar w:fldCharType="separate"/>
            </w:r>
            <w:r w:rsidR="00D268DA">
              <w:rPr>
                <w:noProof/>
                <w:webHidden/>
              </w:rPr>
              <w:t>12</w:t>
            </w:r>
            <w:r w:rsidR="00D268DA">
              <w:rPr>
                <w:noProof/>
                <w:webHidden/>
              </w:rPr>
              <w:fldChar w:fldCharType="end"/>
            </w:r>
          </w:hyperlink>
        </w:p>
        <w:p w14:paraId="3086E18B" w14:textId="3F5E1869" w:rsidR="00D268DA" w:rsidRDefault="006922FB">
          <w:pPr>
            <w:pStyle w:val="Turinys3"/>
            <w:tabs>
              <w:tab w:val="right" w:leader="dot" w:pos="9769"/>
            </w:tabs>
            <w:rPr>
              <w:rFonts w:eastAsiaTheme="minorEastAsia"/>
              <w:noProof/>
              <w:sz w:val="24"/>
              <w:szCs w:val="24"/>
            </w:rPr>
          </w:pPr>
          <w:hyperlink w:anchor="_Toc72932269" w:history="1">
            <w:r w:rsidR="00D268DA" w:rsidRPr="00812533">
              <w:rPr>
                <w:rStyle w:val="Hipersaitas"/>
                <w:rFonts w:cstheme="minorHAnsi"/>
                <w:noProof/>
              </w:rPr>
              <w:t xml:space="preserve">Dėl tinkamo </w:t>
            </w:r>
            <w:r w:rsidR="00D268DA" w:rsidRPr="00812533">
              <w:rPr>
                <w:rStyle w:val="Hipersaitas"/>
                <w:noProof/>
              </w:rPr>
              <w:t>proceso</w:t>
            </w:r>
            <w:r w:rsidR="00D268DA" w:rsidRPr="00812533">
              <w:rPr>
                <w:rStyle w:val="Hipersaitas"/>
                <w:rFonts w:cstheme="minorHAnsi"/>
                <w:noProof/>
              </w:rPr>
              <w:t xml:space="preserve"> teisme, kaip pagrindo pašalinti teisės į teisingą teismą pažeidimus, padarytus bylą nagrinėjant ekonominę sankciją skiriančioje institucijoje</w:t>
            </w:r>
            <w:r w:rsidR="00D268DA">
              <w:rPr>
                <w:noProof/>
                <w:webHidden/>
              </w:rPr>
              <w:tab/>
            </w:r>
            <w:r w:rsidR="00D268DA">
              <w:rPr>
                <w:noProof/>
                <w:webHidden/>
              </w:rPr>
              <w:fldChar w:fldCharType="begin"/>
            </w:r>
            <w:r w:rsidR="00D268DA">
              <w:rPr>
                <w:noProof/>
                <w:webHidden/>
              </w:rPr>
              <w:instrText xml:space="preserve"> PAGEREF _Toc72932269 \h </w:instrText>
            </w:r>
            <w:r w:rsidR="00D268DA">
              <w:rPr>
                <w:noProof/>
                <w:webHidden/>
              </w:rPr>
            </w:r>
            <w:r w:rsidR="00D268DA">
              <w:rPr>
                <w:noProof/>
                <w:webHidden/>
              </w:rPr>
              <w:fldChar w:fldCharType="separate"/>
            </w:r>
            <w:r w:rsidR="00D268DA">
              <w:rPr>
                <w:noProof/>
                <w:webHidden/>
              </w:rPr>
              <w:t>12</w:t>
            </w:r>
            <w:r w:rsidR="00D268DA">
              <w:rPr>
                <w:noProof/>
                <w:webHidden/>
              </w:rPr>
              <w:fldChar w:fldCharType="end"/>
            </w:r>
          </w:hyperlink>
        </w:p>
        <w:p w14:paraId="418753CF" w14:textId="58552D12" w:rsidR="00D268DA" w:rsidRDefault="006922FB">
          <w:pPr>
            <w:pStyle w:val="Turinys1"/>
            <w:rPr>
              <w:rFonts w:eastAsiaTheme="minorEastAsia"/>
              <w:color w:val="auto"/>
              <w:sz w:val="24"/>
              <w:szCs w:val="24"/>
            </w:rPr>
          </w:pPr>
          <w:hyperlink w:anchor="_Toc72932270" w:history="1">
            <w:r w:rsidR="00D268DA" w:rsidRPr="00812533">
              <w:rPr>
                <w:rStyle w:val="Hipersaitas"/>
                <w:rFonts w:eastAsia="Times New Roman" w:cstheme="minorHAnsi"/>
              </w:rPr>
              <w:t>TEISĖ Į PRIVATAUS IR ŠEIMOS GYVENIMO GERBIMĄ (8 straipsnis)</w:t>
            </w:r>
            <w:r w:rsidR="00D268DA">
              <w:rPr>
                <w:webHidden/>
              </w:rPr>
              <w:tab/>
            </w:r>
            <w:r w:rsidR="00D268DA">
              <w:rPr>
                <w:webHidden/>
              </w:rPr>
              <w:fldChar w:fldCharType="begin"/>
            </w:r>
            <w:r w:rsidR="00D268DA">
              <w:rPr>
                <w:webHidden/>
              </w:rPr>
              <w:instrText xml:space="preserve"> PAGEREF _Toc72932270 \h </w:instrText>
            </w:r>
            <w:r w:rsidR="00D268DA">
              <w:rPr>
                <w:webHidden/>
              </w:rPr>
            </w:r>
            <w:r w:rsidR="00D268DA">
              <w:rPr>
                <w:webHidden/>
              </w:rPr>
              <w:fldChar w:fldCharType="separate"/>
            </w:r>
            <w:r w:rsidR="00D268DA">
              <w:rPr>
                <w:webHidden/>
              </w:rPr>
              <w:t>13</w:t>
            </w:r>
            <w:r w:rsidR="00D268DA">
              <w:rPr>
                <w:webHidden/>
              </w:rPr>
              <w:fldChar w:fldCharType="end"/>
            </w:r>
          </w:hyperlink>
        </w:p>
        <w:p w14:paraId="7FA6FC85" w14:textId="46E88137" w:rsidR="00D268DA" w:rsidRDefault="006922FB">
          <w:pPr>
            <w:pStyle w:val="Turinys2"/>
            <w:tabs>
              <w:tab w:val="right" w:leader="dot" w:pos="9769"/>
            </w:tabs>
            <w:rPr>
              <w:rFonts w:eastAsiaTheme="minorEastAsia"/>
              <w:noProof/>
              <w:sz w:val="24"/>
              <w:szCs w:val="24"/>
            </w:rPr>
          </w:pPr>
          <w:hyperlink w:anchor="_Toc72932271" w:history="1">
            <w:r w:rsidR="00D268DA" w:rsidRPr="00812533">
              <w:rPr>
                <w:rStyle w:val="Hipersaitas"/>
                <w:rFonts w:cstheme="minorHAnsi"/>
                <w:i/>
                <w:noProof/>
              </w:rPr>
              <w:t>Pormes prieš Nyderlandus</w:t>
            </w:r>
            <w:r w:rsidR="00D268DA">
              <w:rPr>
                <w:noProof/>
                <w:webHidden/>
              </w:rPr>
              <w:tab/>
            </w:r>
            <w:r w:rsidR="00D268DA">
              <w:rPr>
                <w:noProof/>
                <w:webHidden/>
              </w:rPr>
              <w:fldChar w:fldCharType="begin"/>
            </w:r>
            <w:r w:rsidR="00D268DA">
              <w:rPr>
                <w:noProof/>
                <w:webHidden/>
              </w:rPr>
              <w:instrText xml:space="preserve"> PAGEREF _Toc72932271 \h </w:instrText>
            </w:r>
            <w:r w:rsidR="00D268DA">
              <w:rPr>
                <w:noProof/>
                <w:webHidden/>
              </w:rPr>
            </w:r>
            <w:r w:rsidR="00D268DA">
              <w:rPr>
                <w:noProof/>
                <w:webHidden/>
              </w:rPr>
              <w:fldChar w:fldCharType="separate"/>
            </w:r>
            <w:r w:rsidR="00D268DA">
              <w:rPr>
                <w:noProof/>
                <w:webHidden/>
              </w:rPr>
              <w:t>13</w:t>
            </w:r>
            <w:r w:rsidR="00D268DA">
              <w:rPr>
                <w:noProof/>
                <w:webHidden/>
              </w:rPr>
              <w:fldChar w:fldCharType="end"/>
            </w:r>
          </w:hyperlink>
        </w:p>
        <w:p w14:paraId="44326FBB" w14:textId="553C0562" w:rsidR="00D268DA" w:rsidRDefault="006922FB">
          <w:pPr>
            <w:pStyle w:val="Turinys3"/>
            <w:tabs>
              <w:tab w:val="right" w:leader="dot" w:pos="9769"/>
            </w:tabs>
            <w:rPr>
              <w:rFonts w:eastAsiaTheme="minorEastAsia"/>
              <w:noProof/>
              <w:sz w:val="24"/>
              <w:szCs w:val="24"/>
            </w:rPr>
          </w:pPr>
          <w:hyperlink w:anchor="_Toc72932272" w:history="1">
            <w:r w:rsidR="00D268DA" w:rsidRPr="00812533">
              <w:rPr>
                <w:rStyle w:val="Hipersaitas"/>
                <w:rFonts w:cstheme="minorHAnsi"/>
                <w:noProof/>
              </w:rPr>
              <w:t>Dėl atsisakymo išduoti leidimą gyventi užsieniečiui, nuo jauno amžiaus neteisėtai gyvenusiam priimančiojoje valstybėje, kai asmuo vis nusikalsta viešajai tvarkai ir saugumui</w:t>
            </w:r>
            <w:r w:rsidR="00D268DA">
              <w:rPr>
                <w:noProof/>
                <w:webHidden/>
              </w:rPr>
              <w:tab/>
            </w:r>
            <w:r w:rsidR="00D268DA">
              <w:rPr>
                <w:noProof/>
                <w:webHidden/>
              </w:rPr>
              <w:fldChar w:fldCharType="begin"/>
            </w:r>
            <w:r w:rsidR="00D268DA">
              <w:rPr>
                <w:noProof/>
                <w:webHidden/>
              </w:rPr>
              <w:instrText xml:space="preserve"> PAGEREF _Toc72932272 \h </w:instrText>
            </w:r>
            <w:r w:rsidR="00D268DA">
              <w:rPr>
                <w:noProof/>
                <w:webHidden/>
              </w:rPr>
            </w:r>
            <w:r w:rsidR="00D268DA">
              <w:rPr>
                <w:noProof/>
                <w:webHidden/>
              </w:rPr>
              <w:fldChar w:fldCharType="separate"/>
            </w:r>
            <w:r w:rsidR="00D268DA">
              <w:rPr>
                <w:noProof/>
                <w:webHidden/>
              </w:rPr>
              <w:t>13</w:t>
            </w:r>
            <w:r w:rsidR="00D268DA">
              <w:rPr>
                <w:noProof/>
                <w:webHidden/>
              </w:rPr>
              <w:fldChar w:fldCharType="end"/>
            </w:r>
          </w:hyperlink>
        </w:p>
        <w:p w14:paraId="5DF524AF" w14:textId="46D41D15" w:rsidR="00D268DA" w:rsidRDefault="006922FB">
          <w:pPr>
            <w:pStyle w:val="Turinys2"/>
            <w:tabs>
              <w:tab w:val="right" w:leader="dot" w:pos="9769"/>
            </w:tabs>
            <w:rPr>
              <w:rFonts w:eastAsiaTheme="minorEastAsia"/>
              <w:noProof/>
              <w:sz w:val="24"/>
              <w:szCs w:val="24"/>
            </w:rPr>
          </w:pPr>
          <w:hyperlink w:anchor="_Toc72932273" w:history="1">
            <w:r w:rsidR="00D268DA" w:rsidRPr="00812533">
              <w:rPr>
                <w:rStyle w:val="Hipersaitas"/>
                <w:rFonts w:cstheme="minorHAnsi"/>
                <w:i/>
                <w:noProof/>
              </w:rPr>
              <w:t>Mirgadirov prieš Azerbadžaną ir Turkiją</w:t>
            </w:r>
            <w:r w:rsidR="00D268DA">
              <w:rPr>
                <w:noProof/>
                <w:webHidden/>
              </w:rPr>
              <w:tab/>
            </w:r>
            <w:r w:rsidR="00D268DA">
              <w:rPr>
                <w:noProof/>
                <w:webHidden/>
              </w:rPr>
              <w:fldChar w:fldCharType="begin"/>
            </w:r>
            <w:r w:rsidR="00D268DA">
              <w:rPr>
                <w:noProof/>
                <w:webHidden/>
              </w:rPr>
              <w:instrText xml:space="preserve"> PAGEREF _Toc72932273 \h </w:instrText>
            </w:r>
            <w:r w:rsidR="00D268DA">
              <w:rPr>
                <w:noProof/>
                <w:webHidden/>
              </w:rPr>
            </w:r>
            <w:r w:rsidR="00D268DA">
              <w:rPr>
                <w:noProof/>
                <w:webHidden/>
              </w:rPr>
              <w:fldChar w:fldCharType="separate"/>
            </w:r>
            <w:r w:rsidR="00D268DA">
              <w:rPr>
                <w:noProof/>
                <w:webHidden/>
              </w:rPr>
              <w:t>14</w:t>
            </w:r>
            <w:r w:rsidR="00D268DA">
              <w:rPr>
                <w:noProof/>
                <w:webHidden/>
              </w:rPr>
              <w:fldChar w:fldCharType="end"/>
            </w:r>
          </w:hyperlink>
        </w:p>
        <w:p w14:paraId="208D3FEB" w14:textId="370DFB76" w:rsidR="00D268DA" w:rsidRDefault="006922FB">
          <w:pPr>
            <w:pStyle w:val="Turinys3"/>
            <w:tabs>
              <w:tab w:val="right" w:leader="dot" w:pos="9769"/>
            </w:tabs>
            <w:rPr>
              <w:rFonts w:eastAsiaTheme="minorEastAsia"/>
              <w:noProof/>
              <w:sz w:val="24"/>
              <w:szCs w:val="24"/>
            </w:rPr>
          </w:pPr>
          <w:hyperlink w:anchor="_Toc72932274" w:history="1">
            <w:r w:rsidR="00D268DA" w:rsidRPr="00812533">
              <w:rPr>
                <w:rStyle w:val="Hipersaitas"/>
                <w:rFonts w:cstheme="minorHAnsi"/>
                <w:noProof/>
              </w:rPr>
              <w:t>Dėl suėmimo ir kardomojo kalinimo metu taikomų bendravimo ribojimų pagrįstumo</w:t>
            </w:r>
            <w:r w:rsidR="00D268DA">
              <w:rPr>
                <w:noProof/>
                <w:webHidden/>
              </w:rPr>
              <w:tab/>
            </w:r>
            <w:r w:rsidR="00D268DA">
              <w:rPr>
                <w:noProof/>
                <w:webHidden/>
              </w:rPr>
              <w:fldChar w:fldCharType="begin"/>
            </w:r>
            <w:r w:rsidR="00D268DA">
              <w:rPr>
                <w:noProof/>
                <w:webHidden/>
              </w:rPr>
              <w:instrText xml:space="preserve"> PAGEREF _Toc72932274 \h </w:instrText>
            </w:r>
            <w:r w:rsidR="00D268DA">
              <w:rPr>
                <w:noProof/>
                <w:webHidden/>
              </w:rPr>
            </w:r>
            <w:r w:rsidR="00D268DA">
              <w:rPr>
                <w:noProof/>
                <w:webHidden/>
              </w:rPr>
              <w:fldChar w:fldCharType="separate"/>
            </w:r>
            <w:r w:rsidR="00D268DA">
              <w:rPr>
                <w:noProof/>
                <w:webHidden/>
              </w:rPr>
              <w:t>14</w:t>
            </w:r>
            <w:r w:rsidR="00D268DA">
              <w:rPr>
                <w:noProof/>
                <w:webHidden/>
              </w:rPr>
              <w:fldChar w:fldCharType="end"/>
            </w:r>
          </w:hyperlink>
        </w:p>
        <w:p w14:paraId="65D9D4E3" w14:textId="2E518D66" w:rsidR="00D268DA" w:rsidRDefault="006922FB">
          <w:pPr>
            <w:pStyle w:val="Turinys2"/>
            <w:tabs>
              <w:tab w:val="right" w:leader="dot" w:pos="9769"/>
            </w:tabs>
            <w:rPr>
              <w:rFonts w:eastAsiaTheme="minorEastAsia"/>
              <w:noProof/>
              <w:sz w:val="24"/>
              <w:szCs w:val="24"/>
            </w:rPr>
          </w:pPr>
          <w:hyperlink w:anchor="_Toc72932275" w:history="1">
            <w:r w:rsidR="00D268DA" w:rsidRPr="00812533">
              <w:rPr>
                <w:rStyle w:val="Hipersaitas"/>
                <w:rFonts w:cstheme="minorHAnsi"/>
                <w:i/>
                <w:noProof/>
              </w:rPr>
              <w:t>M. M. prieš Šveicariją</w:t>
            </w:r>
            <w:r w:rsidR="00D268DA">
              <w:rPr>
                <w:noProof/>
                <w:webHidden/>
              </w:rPr>
              <w:tab/>
            </w:r>
            <w:r w:rsidR="00D268DA">
              <w:rPr>
                <w:noProof/>
                <w:webHidden/>
              </w:rPr>
              <w:fldChar w:fldCharType="begin"/>
            </w:r>
            <w:r w:rsidR="00D268DA">
              <w:rPr>
                <w:noProof/>
                <w:webHidden/>
              </w:rPr>
              <w:instrText xml:space="preserve"> PAGEREF _Toc72932275 \h </w:instrText>
            </w:r>
            <w:r w:rsidR="00D268DA">
              <w:rPr>
                <w:noProof/>
                <w:webHidden/>
              </w:rPr>
            </w:r>
            <w:r w:rsidR="00D268DA">
              <w:rPr>
                <w:noProof/>
                <w:webHidden/>
              </w:rPr>
              <w:fldChar w:fldCharType="separate"/>
            </w:r>
            <w:r w:rsidR="00D268DA">
              <w:rPr>
                <w:noProof/>
                <w:webHidden/>
              </w:rPr>
              <w:t>16</w:t>
            </w:r>
            <w:r w:rsidR="00D268DA">
              <w:rPr>
                <w:noProof/>
                <w:webHidden/>
              </w:rPr>
              <w:fldChar w:fldCharType="end"/>
            </w:r>
          </w:hyperlink>
        </w:p>
        <w:p w14:paraId="70C90358" w14:textId="3E662CE4" w:rsidR="00D268DA" w:rsidRDefault="006922FB">
          <w:pPr>
            <w:pStyle w:val="Turinys3"/>
            <w:tabs>
              <w:tab w:val="right" w:leader="dot" w:pos="9769"/>
            </w:tabs>
            <w:rPr>
              <w:rFonts w:eastAsiaTheme="minorEastAsia"/>
              <w:noProof/>
              <w:sz w:val="24"/>
              <w:szCs w:val="24"/>
            </w:rPr>
          </w:pPr>
          <w:hyperlink w:anchor="_Toc72932276" w:history="1">
            <w:r w:rsidR="00D268DA" w:rsidRPr="00812533">
              <w:rPr>
                <w:rStyle w:val="Hipersaitas"/>
                <w:rFonts w:cstheme="minorHAnsi"/>
                <w:noProof/>
              </w:rPr>
              <w:t>Dėl priimančiojoje šalyje gimusio, bet tos šalies pilietybės neturinčio užsieniečio išsiuntimo už tam tikras nusikalstamas veikas</w:t>
            </w:r>
            <w:r w:rsidR="00D268DA">
              <w:rPr>
                <w:noProof/>
                <w:webHidden/>
              </w:rPr>
              <w:tab/>
            </w:r>
            <w:r w:rsidR="00D268DA">
              <w:rPr>
                <w:noProof/>
                <w:webHidden/>
              </w:rPr>
              <w:fldChar w:fldCharType="begin"/>
            </w:r>
            <w:r w:rsidR="00D268DA">
              <w:rPr>
                <w:noProof/>
                <w:webHidden/>
              </w:rPr>
              <w:instrText xml:space="preserve"> PAGEREF _Toc72932276 \h </w:instrText>
            </w:r>
            <w:r w:rsidR="00D268DA">
              <w:rPr>
                <w:noProof/>
                <w:webHidden/>
              </w:rPr>
            </w:r>
            <w:r w:rsidR="00D268DA">
              <w:rPr>
                <w:noProof/>
                <w:webHidden/>
              </w:rPr>
              <w:fldChar w:fldCharType="separate"/>
            </w:r>
            <w:r w:rsidR="00D268DA">
              <w:rPr>
                <w:noProof/>
                <w:webHidden/>
              </w:rPr>
              <w:t>16</w:t>
            </w:r>
            <w:r w:rsidR="00D268DA">
              <w:rPr>
                <w:noProof/>
                <w:webHidden/>
              </w:rPr>
              <w:fldChar w:fldCharType="end"/>
            </w:r>
          </w:hyperlink>
        </w:p>
        <w:p w14:paraId="6A9242F9" w14:textId="5945E8B6" w:rsidR="00D268DA" w:rsidRDefault="006922FB">
          <w:pPr>
            <w:pStyle w:val="Turinys2"/>
            <w:tabs>
              <w:tab w:val="right" w:leader="dot" w:pos="9769"/>
            </w:tabs>
            <w:rPr>
              <w:rFonts w:eastAsiaTheme="minorEastAsia"/>
              <w:noProof/>
              <w:sz w:val="24"/>
              <w:szCs w:val="24"/>
            </w:rPr>
          </w:pPr>
          <w:hyperlink w:anchor="_Toc72932277" w:history="1">
            <w:r w:rsidR="00D268DA" w:rsidRPr="00812533">
              <w:rPr>
                <w:rStyle w:val="Hipersaitas"/>
                <w:rFonts w:eastAsia="Calibri" w:cstheme="minorHAnsi"/>
                <w:i/>
                <w:noProof/>
              </w:rPr>
              <w:t>Usmanov prieš Rusiją</w:t>
            </w:r>
            <w:r w:rsidR="00D268DA">
              <w:rPr>
                <w:noProof/>
                <w:webHidden/>
              </w:rPr>
              <w:tab/>
            </w:r>
            <w:r w:rsidR="00D268DA">
              <w:rPr>
                <w:noProof/>
                <w:webHidden/>
              </w:rPr>
              <w:fldChar w:fldCharType="begin"/>
            </w:r>
            <w:r w:rsidR="00D268DA">
              <w:rPr>
                <w:noProof/>
                <w:webHidden/>
              </w:rPr>
              <w:instrText xml:space="preserve"> PAGEREF _Toc72932277 \h </w:instrText>
            </w:r>
            <w:r w:rsidR="00D268DA">
              <w:rPr>
                <w:noProof/>
                <w:webHidden/>
              </w:rPr>
            </w:r>
            <w:r w:rsidR="00D268DA">
              <w:rPr>
                <w:noProof/>
                <w:webHidden/>
              </w:rPr>
              <w:fldChar w:fldCharType="separate"/>
            </w:r>
            <w:r w:rsidR="00D268DA">
              <w:rPr>
                <w:noProof/>
                <w:webHidden/>
              </w:rPr>
              <w:t>16</w:t>
            </w:r>
            <w:r w:rsidR="00D268DA">
              <w:rPr>
                <w:noProof/>
                <w:webHidden/>
              </w:rPr>
              <w:fldChar w:fldCharType="end"/>
            </w:r>
          </w:hyperlink>
        </w:p>
        <w:p w14:paraId="08203BFA" w14:textId="58D62F62" w:rsidR="00D268DA" w:rsidRDefault="006922FB">
          <w:pPr>
            <w:pStyle w:val="Turinys3"/>
            <w:tabs>
              <w:tab w:val="right" w:leader="dot" w:pos="9769"/>
            </w:tabs>
            <w:rPr>
              <w:rFonts w:eastAsiaTheme="minorEastAsia"/>
              <w:noProof/>
              <w:sz w:val="24"/>
              <w:szCs w:val="24"/>
            </w:rPr>
          </w:pPr>
          <w:hyperlink w:anchor="_Toc72932278" w:history="1">
            <w:r w:rsidR="00D268DA" w:rsidRPr="00812533">
              <w:rPr>
                <w:rStyle w:val="Hipersaitas"/>
                <w:rFonts w:eastAsia="Calibri" w:cstheme="minorHAnsi"/>
                <w:noProof/>
              </w:rPr>
              <w:t>Dėl suteiktos pilietybės atšaukimo dėl to, kad prieš 10 metų jos prašant nebuvo atskleista informacija apie brolius ir seseris</w:t>
            </w:r>
            <w:r w:rsidR="00D268DA">
              <w:rPr>
                <w:noProof/>
                <w:webHidden/>
              </w:rPr>
              <w:tab/>
            </w:r>
            <w:r w:rsidR="00D268DA">
              <w:rPr>
                <w:noProof/>
                <w:webHidden/>
              </w:rPr>
              <w:fldChar w:fldCharType="begin"/>
            </w:r>
            <w:r w:rsidR="00D268DA">
              <w:rPr>
                <w:noProof/>
                <w:webHidden/>
              </w:rPr>
              <w:instrText xml:space="preserve"> PAGEREF _Toc72932278 \h </w:instrText>
            </w:r>
            <w:r w:rsidR="00D268DA">
              <w:rPr>
                <w:noProof/>
                <w:webHidden/>
              </w:rPr>
            </w:r>
            <w:r w:rsidR="00D268DA">
              <w:rPr>
                <w:noProof/>
                <w:webHidden/>
              </w:rPr>
              <w:fldChar w:fldCharType="separate"/>
            </w:r>
            <w:r w:rsidR="00D268DA">
              <w:rPr>
                <w:noProof/>
                <w:webHidden/>
              </w:rPr>
              <w:t>17</w:t>
            </w:r>
            <w:r w:rsidR="00D268DA">
              <w:rPr>
                <w:noProof/>
                <w:webHidden/>
              </w:rPr>
              <w:fldChar w:fldCharType="end"/>
            </w:r>
          </w:hyperlink>
        </w:p>
        <w:p w14:paraId="57A9A06A" w14:textId="6A8086B3" w:rsidR="00D268DA" w:rsidRDefault="006922FB">
          <w:pPr>
            <w:pStyle w:val="Turinys2"/>
            <w:tabs>
              <w:tab w:val="right" w:leader="dot" w:pos="9769"/>
            </w:tabs>
            <w:rPr>
              <w:rFonts w:eastAsiaTheme="minorEastAsia"/>
              <w:noProof/>
              <w:sz w:val="24"/>
              <w:szCs w:val="24"/>
            </w:rPr>
          </w:pPr>
          <w:hyperlink w:anchor="_Toc72932279" w:history="1">
            <w:r w:rsidR="00D268DA" w:rsidRPr="00812533">
              <w:rPr>
                <w:rStyle w:val="Hipersaitas"/>
                <w:rFonts w:cstheme="minorHAnsi"/>
                <w:i/>
                <w:noProof/>
              </w:rPr>
              <w:t>Kaminskas prieš Lietuvą</w:t>
            </w:r>
            <w:r w:rsidR="00D268DA">
              <w:rPr>
                <w:noProof/>
                <w:webHidden/>
              </w:rPr>
              <w:tab/>
            </w:r>
            <w:r w:rsidR="00D268DA">
              <w:rPr>
                <w:noProof/>
                <w:webHidden/>
              </w:rPr>
              <w:fldChar w:fldCharType="begin"/>
            </w:r>
            <w:r w:rsidR="00D268DA">
              <w:rPr>
                <w:noProof/>
                <w:webHidden/>
              </w:rPr>
              <w:instrText xml:space="preserve"> PAGEREF _Toc72932279 \h </w:instrText>
            </w:r>
            <w:r w:rsidR="00D268DA">
              <w:rPr>
                <w:noProof/>
                <w:webHidden/>
              </w:rPr>
            </w:r>
            <w:r w:rsidR="00D268DA">
              <w:rPr>
                <w:noProof/>
                <w:webHidden/>
              </w:rPr>
              <w:fldChar w:fldCharType="separate"/>
            </w:r>
            <w:r w:rsidR="00D268DA">
              <w:rPr>
                <w:noProof/>
                <w:webHidden/>
              </w:rPr>
              <w:t>18</w:t>
            </w:r>
            <w:r w:rsidR="00D268DA">
              <w:rPr>
                <w:noProof/>
                <w:webHidden/>
              </w:rPr>
              <w:fldChar w:fldCharType="end"/>
            </w:r>
          </w:hyperlink>
        </w:p>
        <w:p w14:paraId="217BDDFF" w14:textId="3A8D157B" w:rsidR="00D268DA" w:rsidRDefault="006922FB">
          <w:pPr>
            <w:pStyle w:val="Turinys3"/>
            <w:tabs>
              <w:tab w:val="right" w:leader="dot" w:pos="9769"/>
            </w:tabs>
            <w:rPr>
              <w:rFonts w:eastAsiaTheme="minorEastAsia"/>
              <w:noProof/>
              <w:sz w:val="24"/>
              <w:szCs w:val="24"/>
            </w:rPr>
          </w:pPr>
          <w:hyperlink w:anchor="_Toc72932280" w:history="1">
            <w:r w:rsidR="00D268DA" w:rsidRPr="00812533">
              <w:rPr>
                <w:rStyle w:val="Hipersaitas"/>
                <w:rFonts w:cstheme="minorHAnsi"/>
                <w:noProof/>
                <w:shd w:val="clear" w:color="auto" w:fill="FFFFFF"/>
                <w:lang w:eastAsia="lt-LT"/>
              </w:rPr>
              <w:t>Dėl teisės į būsto neliečiamybę ribojimo pateisinimo, sprendžiant dėl asmens įpareigojimo nugriauti neteisėtai pastatytus statinius saugomoje teritorijoje</w:t>
            </w:r>
            <w:r w:rsidR="00D268DA">
              <w:rPr>
                <w:noProof/>
                <w:webHidden/>
              </w:rPr>
              <w:tab/>
            </w:r>
            <w:r w:rsidR="00D268DA">
              <w:rPr>
                <w:noProof/>
                <w:webHidden/>
              </w:rPr>
              <w:fldChar w:fldCharType="begin"/>
            </w:r>
            <w:r w:rsidR="00D268DA">
              <w:rPr>
                <w:noProof/>
                <w:webHidden/>
              </w:rPr>
              <w:instrText xml:space="preserve"> PAGEREF _Toc72932280 \h </w:instrText>
            </w:r>
            <w:r w:rsidR="00D268DA">
              <w:rPr>
                <w:noProof/>
                <w:webHidden/>
              </w:rPr>
            </w:r>
            <w:r w:rsidR="00D268DA">
              <w:rPr>
                <w:noProof/>
                <w:webHidden/>
              </w:rPr>
              <w:fldChar w:fldCharType="separate"/>
            </w:r>
            <w:r w:rsidR="00D268DA">
              <w:rPr>
                <w:noProof/>
                <w:webHidden/>
              </w:rPr>
              <w:t>18</w:t>
            </w:r>
            <w:r w:rsidR="00D268DA">
              <w:rPr>
                <w:noProof/>
                <w:webHidden/>
              </w:rPr>
              <w:fldChar w:fldCharType="end"/>
            </w:r>
          </w:hyperlink>
        </w:p>
        <w:p w14:paraId="28005129" w14:textId="4664C32C" w:rsidR="00D268DA" w:rsidRDefault="006922FB">
          <w:pPr>
            <w:pStyle w:val="Turinys1"/>
            <w:rPr>
              <w:rFonts w:eastAsiaTheme="minorEastAsia"/>
              <w:color w:val="auto"/>
              <w:sz w:val="24"/>
              <w:szCs w:val="24"/>
            </w:rPr>
          </w:pPr>
          <w:hyperlink w:anchor="_Toc72932281" w:history="1">
            <w:r w:rsidR="00D268DA" w:rsidRPr="00812533">
              <w:rPr>
                <w:rStyle w:val="Hipersaitas"/>
                <w:rFonts w:eastAsia="Times New Roman" w:cstheme="minorHAnsi"/>
              </w:rPr>
              <w:t>PROCEDŪRINĖS GARANTIJOS UŽSIENIEČIŲ IŠSIUNTIMO ATVEJU (Protokolo Nr. 7 1 straipsnis)</w:t>
            </w:r>
            <w:r w:rsidR="00D268DA">
              <w:rPr>
                <w:webHidden/>
              </w:rPr>
              <w:tab/>
            </w:r>
            <w:r w:rsidR="00D268DA">
              <w:rPr>
                <w:webHidden/>
              </w:rPr>
              <w:fldChar w:fldCharType="begin"/>
            </w:r>
            <w:r w:rsidR="00D268DA">
              <w:rPr>
                <w:webHidden/>
              </w:rPr>
              <w:instrText xml:space="preserve"> PAGEREF _Toc72932281 \h </w:instrText>
            </w:r>
            <w:r w:rsidR="00D268DA">
              <w:rPr>
                <w:webHidden/>
              </w:rPr>
            </w:r>
            <w:r w:rsidR="00D268DA">
              <w:rPr>
                <w:webHidden/>
              </w:rPr>
              <w:fldChar w:fldCharType="separate"/>
            </w:r>
            <w:r w:rsidR="00D268DA">
              <w:rPr>
                <w:webHidden/>
              </w:rPr>
              <w:t>19</w:t>
            </w:r>
            <w:r w:rsidR="00D268DA">
              <w:rPr>
                <w:webHidden/>
              </w:rPr>
              <w:fldChar w:fldCharType="end"/>
            </w:r>
          </w:hyperlink>
        </w:p>
        <w:p w14:paraId="2F365D59" w14:textId="5FB70634" w:rsidR="00D268DA" w:rsidRDefault="006922FB">
          <w:pPr>
            <w:pStyle w:val="Turinys2"/>
            <w:tabs>
              <w:tab w:val="right" w:leader="dot" w:pos="9769"/>
            </w:tabs>
            <w:rPr>
              <w:rFonts w:eastAsiaTheme="minorEastAsia"/>
              <w:noProof/>
              <w:sz w:val="24"/>
              <w:szCs w:val="24"/>
            </w:rPr>
          </w:pPr>
          <w:hyperlink w:anchor="_Toc72932282" w:history="1">
            <w:r w:rsidR="00D268DA" w:rsidRPr="00812533">
              <w:rPr>
                <w:rStyle w:val="Hipersaitas"/>
                <w:rFonts w:eastAsia="Calibri" w:cstheme="minorHAnsi"/>
                <w:i/>
                <w:noProof/>
              </w:rPr>
              <w:t>Muhammad ir Muhammad prieš Rumuniją</w:t>
            </w:r>
            <w:r w:rsidR="00D268DA">
              <w:rPr>
                <w:noProof/>
                <w:webHidden/>
              </w:rPr>
              <w:tab/>
            </w:r>
            <w:r w:rsidR="00D268DA">
              <w:rPr>
                <w:noProof/>
                <w:webHidden/>
              </w:rPr>
              <w:fldChar w:fldCharType="begin"/>
            </w:r>
            <w:r w:rsidR="00D268DA">
              <w:rPr>
                <w:noProof/>
                <w:webHidden/>
              </w:rPr>
              <w:instrText xml:space="preserve"> PAGEREF _Toc72932282 \h </w:instrText>
            </w:r>
            <w:r w:rsidR="00D268DA">
              <w:rPr>
                <w:noProof/>
                <w:webHidden/>
              </w:rPr>
            </w:r>
            <w:r w:rsidR="00D268DA">
              <w:rPr>
                <w:noProof/>
                <w:webHidden/>
              </w:rPr>
              <w:fldChar w:fldCharType="separate"/>
            </w:r>
            <w:r w:rsidR="00D268DA">
              <w:rPr>
                <w:noProof/>
                <w:webHidden/>
              </w:rPr>
              <w:t>19</w:t>
            </w:r>
            <w:r w:rsidR="00D268DA">
              <w:rPr>
                <w:noProof/>
                <w:webHidden/>
              </w:rPr>
              <w:fldChar w:fldCharType="end"/>
            </w:r>
          </w:hyperlink>
        </w:p>
        <w:p w14:paraId="53A7F5CC" w14:textId="084FFD4E" w:rsidR="00D268DA" w:rsidRDefault="006922FB">
          <w:pPr>
            <w:pStyle w:val="Turinys3"/>
            <w:tabs>
              <w:tab w:val="right" w:leader="dot" w:pos="9769"/>
            </w:tabs>
            <w:rPr>
              <w:rFonts w:eastAsiaTheme="minorEastAsia"/>
              <w:noProof/>
              <w:sz w:val="24"/>
              <w:szCs w:val="24"/>
            </w:rPr>
          </w:pPr>
          <w:hyperlink w:anchor="_Toc72932283" w:history="1">
            <w:r w:rsidR="00D268DA" w:rsidRPr="00812533">
              <w:rPr>
                <w:rStyle w:val="Hipersaitas"/>
                <w:rFonts w:eastAsia="Calibri" w:cstheme="minorHAnsi"/>
                <w:noProof/>
              </w:rPr>
              <w:t>Dėl išsiuntimo iš šalies nacionalinio saugumo pagrindais, kai teismas nusprendžia remdamasis įslaptinta informacija, kuri neatskleidžiama pareiškėjams</w:t>
            </w:r>
            <w:r w:rsidR="00D268DA">
              <w:rPr>
                <w:noProof/>
                <w:webHidden/>
              </w:rPr>
              <w:tab/>
            </w:r>
            <w:r w:rsidR="00D268DA">
              <w:rPr>
                <w:noProof/>
                <w:webHidden/>
              </w:rPr>
              <w:fldChar w:fldCharType="begin"/>
            </w:r>
            <w:r w:rsidR="00D268DA">
              <w:rPr>
                <w:noProof/>
                <w:webHidden/>
              </w:rPr>
              <w:instrText xml:space="preserve"> PAGEREF _Toc72932283 \h </w:instrText>
            </w:r>
            <w:r w:rsidR="00D268DA">
              <w:rPr>
                <w:noProof/>
                <w:webHidden/>
              </w:rPr>
            </w:r>
            <w:r w:rsidR="00D268DA">
              <w:rPr>
                <w:noProof/>
                <w:webHidden/>
              </w:rPr>
              <w:fldChar w:fldCharType="separate"/>
            </w:r>
            <w:r w:rsidR="00D268DA">
              <w:rPr>
                <w:noProof/>
                <w:webHidden/>
              </w:rPr>
              <w:t>19</w:t>
            </w:r>
            <w:r w:rsidR="00D268DA">
              <w:rPr>
                <w:noProof/>
                <w:webHidden/>
              </w:rPr>
              <w:fldChar w:fldCharType="end"/>
            </w:r>
          </w:hyperlink>
        </w:p>
        <w:p w14:paraId="6D8D8479" w14:textId="0B96B0AE" w:rsidR="00D268DA" w:rsidRDefault="006922FB">
          <w:pPr>
            <w:pStyle w:val="Turinys1"/>
            <w:rPr>
              <w:rFonts w:eastAsiaTheme="minorEastAsia"/>
              <w:color w:val="auto"/>
              <w:sz w:val="24"/>
              <w:szCs w:val="24"/>
            </w:rPr>
          </w:pPr>
          <w:hyperlink w:anchor="_Toc72932284" w:history="1">
            <w:r w:rsidR="00D268DA" w:rsidRPr="00812533">
              <w:rPr>
                <w:rStyle w:val="Hipersaitas"/>
                <w:rFonts w:cstheme="minorHAnsi"/>
              </w:rPr>
              <w:t>MINTIES, SĄŽINĖS IR RELIGIJOS LAISVĖ (9 straipsnis)</w:t>
            </w:r>
            <w:r w:rsidR="00D268DA">
              <w:rPr>
                <w:webHidden/>
              </w:rPr>
              <w:tab/>
            </w:r>
            <w:r w:rsidR="00D268DA">
              <w:rPr>
                <w:webHidden/>
              </w:rPr>
              <w:fldChar w:fldCharType="begin"/>
            </w:r>
            <w:r w:rsidR="00D268DA">
              <w:rPr>
                <w:webHidden/>
              </w:rPr>
              <w:instrText xml:space="preserve"> PAGEREF _Toc72932284 \h </w:instrText>
            </w:r>
            <w:r w:rsidR="00D268DA">
              <w:rPr>
                <w:webHidden/>
              </w:rPr>
            </w:r>
            <w:r w:rsidR="00D268DA">
              <w:rPr>
                <w:webHidden/>
              </w:rPr>
              <w:fldChar w:fldCharType="separate"/>
            </w:r>
            <w:r w:rsidR="00D268DA">
              <w:rPr>
                <w:webHidden/>
              </w:rPr>
              <w:t>22</w:t>
            </w:r>
            <w:r w:rsidR="00D268DA">
              <w:rPr>
                <w:webHidden/>
              </w:rPr>
              <w:fldChar w:fldCharType="end"/>
            </w:r>
          </w:hyperlink>
        </w:p>
        <w:p w14:paraId="69200F57" w14:textId="075C91A9" w:rsidR="00D268DA" w:rsidRDefault="006922FB">
          <w:pPr>
            <w:pStyle w:val="Turinys2"/>
            <w:tabs>
              <w:tab w:val="right" w:leader="dot" w:pos="9769"/>
            </w:tabs>
            <w:rPr>
              <w:rFonts w:eastAsiaTheme="minorEastAsia"/>
              <w:noProof/>
              <w:sz w:val="24"/>
              <w:szCs w:val="24"/>
            </w:rPr>
          </w:pPr>
          <w:hyperlink w:anchor="_Toc72932285" w:history="1">
            <w:r w:rsidR="00D268DA" w:rsidRPr="00812533">
              <w:rPr>
                <w:rStyle w:val="Hipersaitas"/>
                <w:i/>
                <w:noProof/>
              </w:rPr>
              <w:t>Christian Religious Organization of Jehovah’s Witnesses prieš Armėniją</w:t>
            </w:r>
            <w:r w:rsidR="00D268DA">
              <w:rPr>
                <w:noProof/>
                <w:webHidden/>
              </w:rPr>
              <w:tab/>
            </w:r>
            <w:r w:rsidR="00D268DA">
              <w:rPr>
                <w:noProof/>
                <w:webHidden/>
              </w:rPr>
              <w:fldChar w:fldCharType="begin"/>
            </w:r>
            <w:r w:rsidR="00D268DA">
              <w:rPr>
                <w:noProof/>
                <w:webHidden/>
              </w:rPr>
              <w:instrText xml:space="preserve"> PAGEREF _Toc72932285 \h </w:instrText>
            </w:r>
            <w:r w:rsidR="00D268DA">
              <w:rPr>
                <w:noProof/>
                <w:webHidden/>
              </w:rPr>
            </w:r>
            <w:r w:rsidR="00D268DA">
              <w:rPr>
                <w:noProof/>
                <w:webHidden/>
              </w:rPr>
              <w:fldChar w:fldCharType="separate"/>
            </w:r>
            <w:r w:rsidR="00D268DA">
              <w:rPr>
                <w:noProof/>
                <w:webHidden/>
              </w:rPr>
              <w:t>22</w:t>
            </w:r>
            <w:r w:rsidR="00D268DA">
              <w:rPr>
                <w:noProof/>
                <w:webHidden/>
              </w:rPr>
              <w:fldChar w:fldCharType="end"/>
            </w:r>
          </w:hyperlink>
        </w:p>
        <w:p w14:paraId="0DF96057" w14:textId="5F0F7C90" w:rsidR="00D268DA" w:rsidRDefault="006922FB">
          <w:pPr>
            <w:pStyle w:val="Turinys3"/>
            <w:tabs>
              <w:tab w:val="right" w:leader="dot" w:pos="9769"/>
            </w:tabs>
            <w:rPr>
              <w:rFonts w:eastAsiaTheme="minorEastAsia"/>
              <w:noProof/>
              <w:sz w:val="24"/>
              <w:szCs w:val="24"/>
            </w:rPr>
          </w:pPr>
          <w:hyperlink w:anchor="_Toc72932286" w:history="1">
            <w:r w:rsidR="00D268DA" w:rsidRPr="00812533">
              <w:rPr>
                <w:rStyle w:val="Hipersaitas"/>
                <w:noProof/>
              </w:rPr>
              <w:t>Dėl valstybės atsisakymo taikyti apmokestinimo išimtį religinei organizacijai sukeliamų pasekmių reikšmės, sprendžiant dėl pareiškimo priėmimo</w:t>
            </w:r>
            <w:r w:rsidR="00D268DA">
              <w:rPr>
                <w:noProof/>
                <w:webHidden/>
              </w:rPr>
              <w:tab/>
            </w:r>
            <w:r w:rsidR="00D268DA">
              <w:rPr>
                <w:noProof/>
                <w:webHidden/>
              </w:rPr>
              <w:fldChar w:fldCharType="begin"/>
            </w:r>
            <w:r w:rsidR="00D268DA">
              <w:rPr>
                <w:noProof/>
                <w:webHidden/>
              </w:rPr>
              <w:instrText xml:space="preserve"> PAGEREF _Toc72932286 \h </w:instrText>
            </w:r>
            <w:r w:rsidR="00D268DA">
              <w:rPr>
                <w:noProof/>
                <w:webHidden/>
              </w:rPr>
            </w:r>
            <w:r w:rsidR="00D268DA">
              <w:rPr>
                <w:noProof/>
                <w:webHidden/>
              </w:rPr>
              <w:fldChar w:fldCharType="separate"/>
            </w:r>
            <w:r w:rsidR="00D268DA">
              <w:rPr>
                <w:noProof/>
                <w:webHidden/>
              </w:rPr>
              <w:t>22</w:t>
            </w:r>
            <w:r w:rsidR="00D268DA">
              <w:rPr>
                <w:noProof/>
                <w:webHidden/>
              </w:rPr>
              <w:fldChar w:fldCharType="end"/>
            </w:r>
          </w:hyperlink>
        </w:p>
        <w:p w14:paraId="32F19404" w14:textId="5B10D01B" w:rsidR="00D268DA" w:rsidRDefault="006922FB">
          <w:pPr>
            <w:pStyle w:val="Turinys2"/>
            <w:tabs>
              <w:tab w:val="right" w:leader="dot" w:pos="9769"/>
            </w:tabs>
            <w:rPr>
              <w:rFonts w:eastAsiaTheme="minorEastAsia"/>
              <w:noProof/>
              <w:sz w:val="24"/>
              <w:szCs w:val="24"/>
            </w:rPr>
          </w:pPr>
          <w:hyperlink w:anchor="_Toc72932287" w:history="1">
            <w:r w:rsidR="00D268DA" w:rsidRPr="00812533">
              <w:rPr>
                <w:rStyle w:val="Hipersaitas"/>
                <w:rFonts w:cstheme="minorHAnsi"/>
                <w:i/>
                <w:noProof/>
              </w:rPr>
              <w:t>Saran prieš Rumuniją</w:t>
            </w:r>
            <w:r w:rsidR="00D268DA">
              <w:rPr>
                <w:noProof/>
                <w:webHidden/>
              </w:rPr>
              <w:tab/>
            </w:r>
            <w:r w:rsidR="00D268DA">
              <w:rPr>
                <w:noProof/>
                <w:webHidden/>
              </w:rPr>
              <w:fldChar w:fldCharType="begin"/>
            </w:r>
            <w:r w:rsidR="00D268DA">
              <w:rPr>
                <w:noProof/>
                <w:webHidden/>
              </w:rPr>
              <w:instrText xml:space="preserve"> PAGEREF _Toc72932287 \h </w:instrText>
            </w:r>
            <w:r w:rsidR="00D268DA">
              <w:rPr>
                <w:noProof/>
                <w:webHidden/>
              </w:rPr>
            </w:r>
            <w:r w:rsidR="00D268DA">
              <w:rPr>
                <w:noProof/>
                <w:webHidden/>
              </w:rPr>
              <w:fldChar w:fldCharType="separate"/>
            </w:r>
            <w:r w:rsidR="00D268DA">
              <w:rPr>
                <w:noProof/>
                <w:webHidden/>
              </w:rPr>
              <w:t>23</w:t>
            </w:r>
            <w:r w:rsidR="00D268DA">
              <w:rPr>
                <w:noProof/>
                <w:webHidden/>
              </w:rPr>
              <w:fldChar w:fldCharType="end"/>
            </w:r>
          </w:hyperlink>
        </w:p>
        <w:p w14:paraId="78C82FF2" w14:textId="1D848274" w:rsidR="00D268DA" w:rsidRDefault="006922FB">
          <w:pPr>
            <w:pStyle w:val="Turinys3"/>
            <w:tabs>
              <w:tab w:val="right" w:leader="dot" w:pos="9769"/>
            </w:tabs>
            <w:rPr>
              <w:rFonts w:eastAsiaTheme="minorEastAsia"/>
              <w:noProof/>
              <w:sz w:val="24"/>
              <w:szCs w:val="24"/>
            </w:rPr>
          </w:pPr>
          <w:hyperlink w:anchor="_Toc72932288" w:history="1">
            <w:r w:rsidR="00D268DA" w:rsidRPr="00812533">
              <w:rPr>
                <w:rStyle w:val="Hipersaitas"/>
                <w:rFonts w:cstheme="minorHAnsi"/>
                <w:noProof/>
                <w:shd w:val="clear" w:color="auto" w:fill="FFFFFF"/>
                <w:lang w:eastAsia="lt-LT"/>
              </w:rPr>
              <w:t xml:space="preserve">Dėl pareigos </w:t>
            </w:r>
            <w:r w:rsidR="00D268DA" w:rsidRPr="00812533">
              <w:rPr>
                <w:rStyle w:val="Hipersaitas"/>
                <w:rFonts w:cstheme="minorHAnsi"/>
                <w:noProof/>
              </w:rPr>
              <w:t>kalinamam</w:t>
            </w:r>
            <w:r w:rsidR="00D268DA" w:rsidRPr="00812533">
              <w:rPr>
                <w:rStyle w:val="Hipersaitas"/>
                <w:rFonts w:cstheme="minorHAnsi"/>
                <w:noProof/>
                <w:shd w:val="clear" w:color="auto" w:fill="FFFFFF"/>
                <w:lang w:eastAsia="lt-LT"/>
              </w:rPr>
              <w:t xml:space="preserve"> asmeniui pateikti religinės bendruomenės išduotą oficialų dokumentą, patvirtinantį jo atsivertimą į šią religiją, kad kalinimo metu jis galėtų gauti jo religinius įsitikinimus atitinkantį maitinimą</w:t>
            </w:r>
            <w:r w:rsidR="00D268DA">
              <w:rPr>
                <w:noProof/>
                <w:webHidden/>
              </w:rPr>
              <w:tab/>
            </w:r>
            <w:r w:rsidR="00D268DA">
              <w:rPr>
                <w:noProof/>
                <w:webHidden/>
              </w:rPr>
              <w:fldChar w:fldCharType="begin"/>
            </w:r>
            <w:r w:rsidR="00D268DA">
              <w:rPr>
                <w:noProof/>
                <w:webHidden/>
              </w:rPr>
              <w:instrText xml:space="preserve"> PAGEREF _Toc72932288 \h </w:instrText>
            </w:r>
            <w:r w:rsidR="00D268DA">
              <w:rPr>
                <w:noProof/>
                <w:webHidden/>
              </w:rPr>
            </w:r>
            <w:r w:rsidR="00D268DA">
              <w:rPr>
                <w:noProof/>
                <w:webHidden/>
              </w:rPr>
              <w:fldChar w:fldCharType="separate"/>
            </w:r>
            <w:r w:rsidR="00D268DA">
              <w:rPr>
                <w:noProof/>
                <w:webHidden/>
              </w:rPr>
              <w:t>23</w:t>
            </w:r>
            <w:r w:rsidR="00D268DA">
              <w:rPr>
                <w:noProof/>
                <w:webHidden/>
              </w:rPr>
              <w:fldChar w:fldCharType="end"/>
            </w:r>
          </w:hyperlink>
        </w:p>
        <w:p w14:paraId="32E45698" w14:textId="6697EA55" w:rsidR="00D268DA" w:rsidRDefault="006922FB">
          <w:pPr>
            <w:pStyle w:val="Turinys2"/>
            <w:tabs>
              <w:tab w:val="right" w:leader="dot" w:pos="9769"/>
            </w:tabs>
            <w:rPr>
              <w:rFonts w:eastAsiaTheme="minorEastAsia"/>
              <w:noProof/>
              <w:sz w:val="24"/>
              <w:szCs w:val="24"/>
            </w:rPr>
          </w:pPr>
          <w:hyperlink w:anchor="_Toc72932289" w:history="1">
            <w:r w:rsidR="00D268DA" w:rsidRPr="00812533">
              <w:rPr>
                <w:rStyle w:val="Hipersaitas"/>
                <w:rFonts w:eastAsia="Calibri"/>
                <w:i/>
                <w:noProof/>
              </w:rPr>
              <w:t>Perovy prieš Rusiją</w:t>
            </w:r>
            <w:r w:rsidR="00D268DA">
              <w:rPr>
                <w:noProof/>
                <w:webHidden/>
              </w:rPr>
              <w:tab/>
            </w:r>
            <w:r w:rsidR="00D268DA">
              <w:rPr>
                <w:noProof/>
                <w:webHidden/>
              </w:rPr>
              <w:fldChar w:fldCharType="begin"/>
            </w:r>
            <w:r w:rsidR="00D268DA">
              <w:rPr>
                <w:noProof/>
                <w:webHidden/>
              </w:rPr>
              <w:instrText xml:space="preserve"> PAGEREF _Toc72932289 \h </w:instrText>
            </w:r>
            <w:r w:rsidR="00D268DA">
              <w:rPr>
                <w:noProof/>
                <w:webHidden/>
              </w:rPr>
            </w:r>
            <w:r w:rsidR="00D268DA">
              <w:rPr>
                <w:noProof/>
                <w:webHidden/>
              </w:rPr>
              <w:fldChar w:fldCharType="separate"/>
            </w:r>
            <w:r w:rsidR="00D268DA">
              <w:rPr>
                <w:noProof/>
                <w:webHidden/>
              </w:rPr>
              <w:t>25</w:t>
            </w:r>
            <w:r w:rsidR="00D268DA">
              <w:rPr>
                <w:noProof/>
                <w:webHidden/>
              </w:rPr>
              <w:fldChar w:fldCharType="end"/>
            </w:r>
          </w:hyperlink>
        </w:p>
        <w:p w14:paraId="7CDACC79" w14:textId="30EED137" w:rsidR="00D268DA" w:rsidRDefault="006922FB">
          <w:pPr>
            <w:pStyle w:val="Turinys3"/>
            <w:tabs>
              <w:tab w:val="right" w:leader="dot" w:pos="9769"/>
            </w:tabs>
            <w:rPr>
              <w:rFonts w:eastAsiaTheme="minorEastAsia"/>
              <w:noProof/>
              <w:sz w:val="24"/>
              <w:szCs w:val="24"/>
            </w:rPr>
          </w:pPr>
          <w:hyperlink w:anchor="_Toc72932290" w:history="1">
            <w:r w:rsidR="00D268DA" w:rsidRPr="00812533">
              <w:rPr>
                <w:rStyle w:val="Hipersaitas"/>
                <w:rFonts w:eastAsia="Calibri"/>
                <w:noProof/>
              </w:rPr>
              <w:t xml:space="preserve">Dėl mokykloje įvykusio </w:t>
            </w:r>
            <w:r w:rsidR="00D268DA" w:rsidRPr="00812533">
              <w:rPr>
                <w:rStyle w:val="Hipersaitas"/>
                <w:noProof/>
              </w:rPr>
              <w:t>moksleivių</w:t>
            </w:r>
            <w:r w:rsidR="00D268DA" w:rsidRPr="00812533">
              <w:rPr>
                <w:rStyle w:val="Hipersaitas"/>
                <w:rFonts w:eastAsia="Calibri"/>
                <w:noProof/>
              </w:rPr>
              <w:t xml:space="preserve"> palaiminimo ritualo</w:t>
            </w:r>
            <w:r w:rsidR="00D268DA">
              <w:rPr>
                <w:noProof/>
                <w:webHidden/>
              </w:rPr>
              <w:tab/>
            </w:r>
            <w:r w:rsidR="00D268DA">
              <w:rPr>
                <w:noProof/>
                <w:webHidden/>
              </w:rPr>
              <w:fldChar w:fldCharType="begin"/>
            </w:r>
            <w:r w:rsidR="00D268DA">
              <w:rPr>
                <w:noProof/>
                <w:webHidden/>
              </w:rPr>
              <w:instrText xml:space="preserve"> PAGEREF _Toc72932290 \h </w:instrText>
            </w:r>
            <w:r w:rsidR="00D268DA">
              <w:rPr>
                <w:noProof/>
                <w:webHidden/>
              </w:rPr>
            </w:r>
            <w:r w:rsidR="00D268DA">
              <w:rPr>
                <w:noProof/>
                <w:webHidden/>
              </w:rPr>
              <w:fldChar w:fldCharType="separate"/>
            </w:r>
            <w:r w:rsidR="00D268DA">
              <w:rPr>
                <w:noProof/>
                <w:webHidden/>
              </w:rPr>
              <w:t>25</w:t>
            </w:r>
            <w:r w:rsidR="00D268DA">
              <w:rPr>
                <w:noProof/>
                <w:webHidden/>
              </w:rPr>
              <w:fldChar w:fldCharType="end"/>
            </w:r>
          </w:hyperlink>
        </w:p>
        <w:p w14:paraId="70E33431" w14:textId="63FE55DA" w:rsidR="00D268DA" w:rsidRDefault="006922FB">
          <w:pPr>
            <w:pStyle w:val="Turinys1"/>
            <w:rPr>
              <w:rFonts w:eastAsiaTheme="minorEastAsia"/>
              <w:color w:val="auto"/>
              <w:sz w:val="24"/>
              <w:szCs w:val="24"/>
            </w:rPr>
          </w:pPr>
          <w:hyperlink w:anchor="_Toc72932291" w:history="1">
            <w:r w:rsidR="00D268DA" w:rsidRPr="00812533">
              <w:rPr>
                <w:rStyle w:val="Hipersaitas"/>
                <w:rFonts w:ascii="Calibri" w:eastAsia="Times New Roman" w:hAnsi="Calibri" w:cs="Calibri"/>
              </w:rPr>
              <w:t>SAVIRAIŠKOS LAISVĖ (10 straipsnis)</w:t>
            </w:r>
            <w:r w:rsidR="00D268DA">
              <w:rPr>
                <w:webHidden/>
              </w:rPr>
              <w:tab/>
            </w:r>
            <w:r w:rsidR="00D268DA">
              <w:rPr>
                <w:webHidden/>
              </w:rPr>
              <w:fldChar w:fldCharType="begin"/>
            </w:r>
            <w:r w:rsidR="00D268DA">
              <w:rPr>
                <w:webHidden/>
              </w:rPr>
              <w:instrText xml:space="preserve"> PAGEREF _Toc72932291 \h </w:instrText>
            </w:r>
            <w:r w:rsidR="00D268DA">
              <w:rPr>
                <w:webHidden/>
              </w:rPr>
            </w:r>
            <w:r w:rsidR="00D268DA">
              <w:rPr>
                <w:webHidden/>
              </w:rPr>
              <w:fldChar w:fldCharType="separate"/>
            </w:r>
            <w:r w:rsidR="00D268DA">
              <w:rPr>
                <w:webHidden/>
              </w:rPr>
              <w:t>26</w:t>
            </w:r>
            <w:r w:rsidR="00D268DA">
              <w:rPr>
                <w:webHidden/>
              </w:rPr>
              <w:fldChar w:fldCharType="end"/>
            </w:r>
          </w:hyperlink>
        </w:p>
        <w:p w14:paraId="57562DEA" w14:textId="750CC563" w:rsidR="00D268DA" w:rsidRDefault="006922FB">
          <w:pPr>
            <w:pStyle w:val="Turinys2"/>
            <w:tabs>
              <w:tab w:val="right" w:leader="dot" w:pos="9769"/>
            </w:tabs>
            <w:rPr>
              <w:rFonts w:eastAsiaTheme="minorEastAsia"/>
              <w:noProof/>
              <w:sz w:val="24"/>
              <w:szCs w:val="24"/>
            </w:rPr>
          </w:pPr>
          <w:hyperlink w:anchor="_Toc72932292" w:history="1">
            <w:r w:rsidR="00D268DA" w:rsidRPr="00812533">
              <w:rPr>
                <w:rStyle w:val="Hipersaitas"/>
                <w:i/>
                <w:noProof/>
              </w:rPr>
              <w:t>Panioglu pieš Rumuniją</w:t>
            </w:r>
            <w:r w:rsidR="00D268DA">
              <w:rPr>
                <w:noProof/>
                <w:webHidden/>
              </w:rPr>
              <w:tab/>
            </w:r>
            <w:r w:rsidR="00D268DA">
              <w:rPr>
                <w:noProof/>
                <w:webHidden/>
              </w:rPr>
              <w:fldChar w:fldCharType="begin"/>
            </w:r>
            <w:r w:rsidR="00D268DA">
              <w:rPr>
                <w:noProof/>
                <w:webHidden/>
              </w:rPr>
              <w:instrText xml:space="preserve"> PAGEREF _Toc72932292 \h </w:instrText>
            </w:r>
            <w:r w:rsidR="00D268DA">
              <w:rPr>
                <w:noProof/>
                <w:webHidden/>
              </w:rPr>
            </w:r>
            <w:r w:rsidR="00D268DA">
              <w:rPr>
                <w:noProof/>
                <w:webHidden/>
              </w:rPr>
              <w:fldChar w:fldCharType="separate"/>
            </w:r>
            <w:r w:rsidR="00D268DA">
              <w:rPr>
                <w:noProof/>
                <w:webHidden/>
              </w:rPr>
              <w:t>26</w:t>
            </w:r>
            <w:r w:rsidR="00D268DA">
              <w:rPr>
                <w:noProof/>
                <w:webHidden/>
              </w:rPr>
              <w:fldChar w:fldCharType="end"/>
            </w:r>
          </w:hyperlink>
        </w:p>
        <w:p w14:paraId="202C5C6D" w14:textId="781F599D" w:rsidR="00D268DA" w:rsidRDefault="006922FB">
          <w:pPr>
            <w:pStyle w:val="Turinys3"/>
            <w:tabs>
              <w:tab w:val="right" w:leader="dot" w:pos="9769"/>
            </w:tabs>
            <w:rPr>
              <w:rFonts w:eastAsiaTheme="minorEastAsia"/>
              <w:noProof/>
              <w:sz w:val="24"/>
              <w:szCs w:val="24"/>
            </w:rPr>
          </w:pPr>
          <w:hyperlink w:anchor="_Toc72932293" w:history="1">
            <w:r w:rsidR="00D268DA" w:rsidRPr="00812533">
              <w:rPr>
                <w:rStyle w:val="Hipersaitas"/>
                <w:rFonts w:eastAsia="Calibri"/>
                <w:noProof/>
              </w:rPr>
              <w:t xml:space="preserve">Dėl pusiausvyros tarp teisėjo </w:t>
            </w:r>
            <w:r w:rsidR="00D268DA" w:rsidRPr="00812533">
              <w:rPr>
                <w:rStyle w:val="Hipersaitas"/>
                <w:noProof/>
              </w:rPr>
              <w:t>saviraiškos</w:t>
            </w:r>
            <w:r w:rsidR="00D268DA" w:rsidRPr="00812533">
              <w:rPr>
                <w:rStyle w:val="Hipersaitas"/>
                <w:rFonts w:eastAsia="Calibri"/>
                <w:noProof/>
              </w:rPr>
              <w:t xml:space="preserve"> laisvės ir</w:t>
            </w:r>
            <w:r w:rsidR="00D268DA" w:rsidRPr="00812533">
              <w:rPr>
                <w:rStyle w:val="Hipersaitas"/>
                <w:rFonts w:eastAsia="Times New Roman" w:cstheme="minorHAnsi"/>
                <w:noProof/>
              </w:rPr>
              <w:t xml:space="preserve"> pasitikėjimo teismų sistema užtikrinimo</w:t>
            </w:r>
            <w:r w:rsidR="00D268DA">
              <w:rPr>
                <w:noProof/>
                <w:webHidden/>
              </w:rPr>
              <w:tab/>
            </w:r>
            <w:r w:rsidR="00D268DA">
              <w:rPr>
                <w:noProof/>
                <w:webHidden/>
              </w:rPr>
              <w:fldChar w:fldCharType="begin"/>
            </w:r>
            <w:r w:rsidR="00D268DA">
              <w:rPr>
                <w:noProof/>
                <w:webHidden/>
              </w:rPr>
              <w:instrText xml:space="preserve"> PAGEREF _Toc72932293 \h </w:instrText>
            </w:r>
            <w:r w:rsidR="00D268DA">
              <w:rPr>
                <w:noProof/>
                <w:webHidden/>
              </w:rPr>
            </w:r>
            <w:r w:rsidR="00D268DA">
              <w:rPr>
                <w:noProof/>
                <w:webHidden/>
              </w:rPr>
              <w:fldChar w:fldCharType="separate"/>
            </w:r>
            <w:r w:rsidR="00D268DA">
              <w:rPr>
                <w:noProof/>
                <w:webHidden/>
              </w:rPr>
              <w:t>26</w:t>
            </w:r>
            <w:r w:rsidR="00D268DA">
              <w:rPr>
                <w:noProof/>
                <w:webHidden/>
              </w:rPr>
              <w:fldChar w:fldCharType="end"/>
            </w:r>
          </w:hyperlink>
        </w:p>
        <w:p w14:paraId="60E28315" w14:textId="21B3D74C" w:rsidR="00D268DA" w:rsidRDefault="006922FB">
          <w:pPr>
            <w:pStyle w:val="Turinys1"/>
            <w:rPr>
              <w:rFonts w:eastAsiaTheme="minorEastAsia"/>
              <w:color w:val="auto"/>
              <w:sz w:val="24"/>
              <w:szCs w:val="24"/>
            </w:rPr>
          </w:pPr>
          <w:hyperlink w:anchor="_Toc72932294" w:history="1">
            <w:r w:rsidR="00D268DA" w:rsidRPr="00812533">
              <w:rPr>
                <w:rStyle w:val="Hipersaitas"/>
                <w:rFonts w:eastAsia="Times New Roman" w:cstheme="minorHAnsi"/>
              </w:rPr>
              <w:t>DISKRIMINACIJOS UŽDRAUDIMAS (14 straipsnis)</w:t>
            </w:r>
            <w:r w:rsidR="00D268DA">
              <w:rPr>
                <w:webHidden/>
              </w:rPr>
              <w:tab/>
            </w:r>
            <w:r w:rsidR="00D268DA">
              <w:rPr>
                <w:webHidden/>
              </w:rPr>
              <w:fldChar w:fldCharType="begin"/>
            </w:r>
            <w:r w:rsidR="00D268DA">
              <w:rPr>
                <w:webHidden/>
              </w:rPr>
              <w:instrText xml:space="preserve"> PAGEREF _Toc72932294 \h </w:instrText>
            </w:r>
            <w:r w:rsidR="00D268DA">
              <w:rPr>
                <w:webHidden/>
              </w:rPr>
            </w:r>
            <w:r w:rsidR="00D268DA">
              <w:rPr>
                <w:webHidden/>
              </w:rPr>
              <w:fldChar w:fldCharType="separate"/>
            </w:r>
            <w:r w:rsidR="00D268DA">
              <w:rPr>
                <w:webHidden/>
              </w:rPr>
              <w:t>27</w:t>
            </w:r>
            <w:r w:rsidR="00D268DA">
              <w:rPr>
                <w:webHidden/>
              </w:rPr>
              <w:fldChar w:fldCharType="end"/>
            </w:r>
          </w:hyperlink>
        </w:p>
        <w:p w14:paraId="6CCBB363" w14:textId="0CA5C09F" w:rsidR="00D268DA" w:rsidRDefault="006922FB">
          <w:pPr>
            <w:pStyle w:val="Turinys2"/>
            <w:tabs>
              <w:tab w:val="right" w:leader="dot" w:pos="9769"/>
            </w:tabs>
            <w:rPr>
              <w:rFonts w:eastAsiaTheme="minorEastAsia"/>
              <w:noProof/>
              <w:sz w:val="24"/>
              <w:szCs w:val="24"/>
            </w:rPr>
          </w:pPr>
          <w:hyperlink w:anchor="_Toc72932295" w:history="1">
            <w:r w:rsidR="00D268DA" w:rsidRPr="00812533">
              <w:rPr>
                <w:rStyle w:val="Hipersaitas"/>
                <w:rFonts w:eastAsia="Calibri" w:cstheme="minorHAnsi"/>
                <w:i/>
                <w:noProof/>
              </w:rPr>
              <w:t>G. L. prieš Italiją</w:t>
            </w:r>
            <w:r w:rsidR="00D268DA">
              <w:rPr>
                <w:noProof/>
                <w:webHidden/>
              </w:rPr>
              <w:tab/>
            </w:r>
            <w:r w:rsidR="00D268DA">
              <w:rPr>
                <w:noProof/>
                <w:webHidden/>
              </w:rPr>
              <w:fldChar w:fldCharType="begin"/>
            </w:r>
            <w:r w:rsidR="00D268DA">
              <w:rPr>
                <w:noProof/>
                <w:webHidden/>
              </w:rPr>
              <w:instrText xml:space="preserve"> PAGEREF _Toc72932295 \h </w:instrText>
            </w:r>
            <w:r w:rsidR="00D268DA">
              <w:rPr>
                <w:noProof/>
                <w:webHidden/>
              </w:rPr>
            </w:r>
            <w:r w:rsidR="00D268DA">
              <w:rPr>
                <w:noProof/>
                <w:webHidden/>
              </w:rPr>
              <w:fldChar w:fldCharType="separate"/>
            </w:r>
            <w:r w:rsidR="00D268DA">
              <w:rPr>
                <w:noProof/>
                <w:webHidden/>
              </w:rPr>
              <w:t>27</w:t>
            </w:r>
            <w:r w:rsidR="00D268DA">
              <w:rPr>
                <w:noProof/>
                <w:webHidden/>
              </w:rPr>
              <w:fldChar w:fldCharType="end"/>
            </w:r>
          </w:hyperlink>
        </w:p>
        <w:p w14:paraId="5DADD958" w14:textId="58C29ED5" w:rsidR="00D268DA" w:rsidRDefault="006922FB">
          <w:pPr>
            <w:pStyle w:val="Turinys3"/>
            <w:tabs>
              <w:tab w:val="right" w:leader="dot" w:pos="9769"/>
            </w:tabs>
            <w:rPr>
              <w:rFonts w:eastAsiaTheme="minorEastAsia"/>
              <w:noProof/>
              <w:sz w:val="24"/>
              <w:szCs w:val="24"/>
            </w:rPr>
          </w:pPr>
          <w:hyperlink w:anchor="_Toc72932296" w:history="1">
            <w:r w:rsidR="00D268DA" w:rsidRPr="00812533">
              <w:rPr>
                <w:rStyle w:val="Hipersaitas"/>
                <w:rFonts w:eastAsia="Calibri" w:cstheme="minorHAnsi"/>
                <w:noProof/>
              </w:rPr>
              <w:t xml:space="preserve">Dėl </w:t>
            </w:r>
            <w:r w:rsidR="00D268DA" w:rsidRPr="00812533">
              <w:rPr>
                <w:rStyle w:val="Hipersaitas"/>
                <w:rFonts w:cstheme="minorHAnsi"/>
                <w:noProof/>
              </w:rPr>
              <w:t>specialiosios</w:t>
            </w:r>
            <w:r w:rsidR="00D268DA" w:rsidRPr="00812533">
              <w:rPr>
                <w:rStyle w:val="Hipersaitas"/>
                <w:rFonts w:eastAsia="Calibri" w:cstheme="minorHAnsi"/>
                <w:noProof/>
              </w:rPr>
              <w:t xml:space="preserve"> mokymosi pagalbos per pirmuosius dvejus pradinės mokyklos metus nesuteikimo autistui vaikui, į kurią pagal įstatymą jis turėjo teisę</w:t>
            </w:r>
            <w:r w:rsidR="00D268DA">
              <w:rPr>
                <w:noProof/>
                <w:webHidden/>
              </w:rPr>
              <w:tab/>
            </w:r>
            <w:r w:rsidR="00D268DA">
              <w:rPr>
                <w:noProof/>
                <w:webHidden/>
              </w:rPr>
              <w:fldChar w:fldCharType="begin"/>
            </w:r>
            <w:r w:rsidR="00D268DA">
              <w:rPr>
                <w:noProof/>
                <w:webHidden/>
              </w:rPr>
              <w:instrText xml:space="preserve"> PAGEREF _Toc72932296 \h </w:instrText>
            </w:r>
            <w:r w:rsidR="00D268DA">
              <w:rPr>
                <w:noProof/>
                <w:webHidden/>
              </w:rPr>
            </w:r>
            <w:r w:rsidR="00D268DA">
              <w:rPr>
                <w:noProof/>
                <w:webHidden/>
              </w:rPr>
              <w:fldChar w:fldCharType="separate"/>
            </w:r>
            <w:r w:rsidR="00D268DA">
              <w:rPr>
                <w:noProof/>
                <w:webHidden/>
              </w:rPr>
              <w:t>27</w:t>
            </w:r>
            <w:r w:rsidR="00D268DA">
              <w:rPr>
                <w:noProof/>
                <w:webHidden/>
              </w:rPr>
              <w:fldChar w:fldCharType="end"/>
            </w:r>
          </w:hyperlink>
        </w:p>
        <w:p w14:paraId="7177F2E3" w14:textId="07050F1F" w:rsidR="00D268DA" w:rsidRDefault="006922FB">
          <w:pPr>
            <w:pStyle w:val="Turinys1"/>
            <w:rPr>
              <w:rFonts w:eastAsiaTheme="minorEastAsia"/>
              <w:color w:val="auto"/>
              <w:sz w:val="24"/>
              <w:szCs w:val="24"/>
            </w:rPr>
          </w:pPr>
          <w:hyperlink w:anchor="_Toc72932297" w:history="1">
            <w:r w:rsidR="00D268DA" w:rsidRPr="00812533">
              <w:rPr>
                <w:rStyle w:val="Hipersaitas"/>
                <w:rFonts w:eastAsia="Times New Roman"/>
              </w:rPr>
              <w:t>NUOSAVYBĖS APSAUGA (Protokolo Nr. 1 1 straipsnis)</w:t>
            </w:r>
            <w:r w:rsidR="00D268DA">
              <w:rPr>
                <w:webHidden/>
              </w:rPr>
              <w:tab/>
            </w:r>
            <w:r w:rsidR="00D268DA">
              <w:rPr>
                <w:webHidden/>
              </w:rPr>
              <w:fldChar w:fldCharType="begin"/>
            </w:r>
            <w:r w:rsidR="00D268DA">
              <w:rPr>
                <w:webHidden/>
              </w:rPr>
              <w:instrText xml:space="preserve"> PAGEREF _Toc72932297 \h </w:instrText>
            </w:r>
            <w:r w:rsidR="00D268DA">
              <w:rPr>
                <w:webHidden/>
              </w:rPr>
            </w:r>
            <w:r w:rsidR="00D268DA">
              <w:rPr>
                <w:webHidden/>
              </w:rPr>
              <w:fldChar w:fldCharType="separate"/>
            </w:r>
            <w:r w:rsidR="00D268DA">
              <w:rPr>
                <w:webHidden/>
              </w:rPr>
              <w:t>29</w:t>
            </w:r>
            <w:r w:rsidR="00D268DA">
              <w:rPr>
                <w:webHidden/>
              </w:rPr>
              <w:fldChar w:fldCharType="end"/>
            </w:r>
          </w:hyperlink>
        </w:p>
        <w:p w14:paraId="21ADDA37" w14:textId="6727450F" w:rsidR="00D268DA" w:rsidRDefault="006922FB">
          <w:pPr>
            <w:pStyle w:val="Turinys2"/>
            <w:tabs>
              <w:tab w:val="right" w:leader="dot" w:pos="9769"/>
            </w:tabs>
            <w:rPr>
              <w:rFonts w:eastAsiaTheme="minorEastAsia"/>
              <w:noProof/>
              <w:sz w:val="24"/>
              <w:szCs w:val="24"/>
            </w:rPr>
          </w:pPr>
          <w:hyperlink w:anchor="_Toc72932298" w:history="1">
            <w:r w:rsidR="00D268DA" w:rsidRPr="00812533">
              <w:rPr>
                <w:rStyle w:val="Hipersaitas"/>
                <w:rFonts w:eastAsia="Calibri" w:cstheme="minorHAnsi"/>
                <w:i/>
                <w:noProof/>
              </w:rPr>
              <w:t>Galakvoščius prieš Lietuvą</w:t>
            </w:r>
            <w:r w:rsidR="00D268DA">
              <w:rPr>
                <w:noProof/>
                <w:webHidden/>
              </w:rPr>
              <w:tab/>
            </w:r>
            <w:r w:rsidR="00D268DA">
              <w:rPr>
                <w:noProof/>
                <w:webHidden/>
              </w:rPr>
              <w:fldChar w:fldCharType="begin"/>
            </w:r>
            <w:r w:rsidR="00D268DA">
              <w:rPr>
                <w:noProof/>
                <w:webHidden/>
              </w:rPr>
              <w:instrText xml:space="preserve"> PAGEREF _Toc72932298 \h </w:instrText>
            </w:r>
            <w:r w:rsidR="00D268DA">
              <w:rPr>
                <w:noProof/>
                <w:webHidden/>
              </w:rPr>
            </w:r>
            <w:r w:rsidR="00D268DA">
              <w:rPr>
                <w:noProof/>
                <w:webHidden/>
              </w:rPr>
              <w:fldChar w:fldCharType="separate"/>
            </w:r>
            <w:r w:rsidR="00D268DA">
              <w:rPr>
                <w:noProof/>
                <w:webHidden/>
              </w:rPr>
              <w:t>29</w:t>
            </w:r>
            <w:r w:rsidR="00D268DA">
              <w:rPr>
                <w:noProof/>
                <w:webHidden/>
              </w:rPr>
              <w:fldChar w:fldCharType="end"/>
            </w:r>
          </w:hyperlink>
        </w:p>
        <w:p w14:paraId="25992B40" w14:textId="01C8B943" w:rsidR="00D268DA" w:rsidRDefault="006922FB">
          <w:pPr>
            <w:pStyle w:val="Turinys3"/>
            <w:tabs>
              <w:tab w:val="right" w:leader="dot" w:pos="9769"/>
            </w:tabs>
            <w:rPr>
              <w:rFonts w:eastAsiaTheme="minorEastAsia"/>
              <w:noProof/>
              <w:sz w:val="24"/>
              <w:szCs w:val="24"/>
            </w:rPr>
          </w:pPr>
          <w:hyperlink w:anchor="_Toc72932299" w:history="1">
            <w:r w:rsidR="00D268DA" w:rsidRPr="00812533">
              <w:rPr>
                <w:rStyle w:val="Hipersaitas"/>
                <w:rFonts w:eastAsia="Calibri" w:cstheme="minorHAnsi"/>
                <w:bCs/>
                <w:iCs/>
                <w:noProof/>
              </w:rPr>
              <w:t>Dėl teisės susigrąžinti rinkimų užstatą</w:t>
            </w:r>
            <w:r w:rsidR="00D268DA">
              <w:rPr>
                <w:noProof/>
                <w:webHidden/>
              </w:rPr>
              <w:tab/>
            </w:r>
            <w:r w:rsidR="00D268DA">
              <w:rPr>
                <w:noProof/>
                <w:webHidden/>
              </w:rPr>
              <w:fldChar w:fldCharType="begin"/>
            </w:r>
            <w:r w:rsidR="00D268DA">
              <w:rPr>
                <w:noProof/>
                <w:webHidden/>
              </w:rPr>
              <w:instrText xml:space="preserve"> PAGEREF _Toc72932299 \h </w:instrText>
            </w:r>
            <w:r w:rsidR="00D268DA">
              <w:rPr>
                <w:noProof/>
                <w:webHidden/>
              </w:rPr>
            </w:r>
            <w:r w:rsidR="00D268DA">
              <w:rPr>
                <w:noProof/>
                <w:webHidden/>
              </w:rPr>
              <w:fldChar w:fldCharType="separate"/>
            </w:r>
            <w:r w:rsidR="00D268DA">
              <w:rPr>
                <w:noProof/>
                <w:webHidden/>
              </w:rPr>
              <w:t>29</w:t>
            </w:r>
            <w:r w:rsidR="00D268DA">
              <w:rPr>
                <w:noProof/>
                <w:webHidden/>
              </w:rPr>
              <w:fldChar w:fldCharType="end"/>
            </w:r>
          </w:hyperlink>
        </w:p>
        <w:p w14:paraId="001D03BB" w14:textId="6C148C53" w:rsidR="00D268DA" w:rsidRDefault="006922FB">
          <w:pPr>
            <w:pStyle w:val="Turinys1"/>
            <w:rPr>
              <w:rFonts w:eastAsiaTheme="minorEastAsia"/>
              <w:color w:val="auto"/>
              <w:sz w:val="24"/>
              <w:szCs w:val="24"/>
            </w:rPr>
          </w:pPr>
          <w:hyperlink w:anchor="_Toc72932300" w:history="1">
            <w:r w:rsidR="00D268DA" w:rsidRPr="00812533">
              <w:rPr>
                <w:rStyle w:val="Hipersaitas"/>
                <w:rFonts w:cstheme="minorHAnsi"/>
              </w:rPr>
              <w:t>BENDRASIS DISKRIMINACIJOS UŽDRAUDIMAS (Protokolo Nr. 12 1 straipsnis)</w:t>
            </w:r>
            <w:r w:rsidR="00D268DA">
              <w:rPr>
                <w:webHidden/>
              </w:rPr>
              <w:tab/>
            </w:r>
            <w:r w:rsidR="00D268DA">
              <w:rPr>
                <w:webHidden/>
              </w:rPr>
              <w:fldChar w:fldCharType="begin"/>
            </w:r>
            <w:r w:rsidR="00D268DA">
              <w:rPr>
                <w:webHidden/>
              </w:rPr>
              <w:instrText xml:space="preserve"> PAGEREF _Toc72932300 \h </w:instrText>
            </w:r>
            <w:r w:rsidR="00D268DA">
              <w:rPr>
                <w:webHidden/>
              </w:rPr>
            </w:r>
            <w:r w:rsidR="00D268DA">
              <w:rPr>
                <w:webHidden/>
              </w:rPr>
              <w:fldChar w:fldCharType="separate"/>
            </w:r>
            <w:r w:rsidR="00D268DA">
              <w:rPr>
                <w:webHidden/>
              </w:rPr>
              <w:t>30</w:t>
            </w:r>
            <w:r w:rsidR="00D268DA">
              <w:rPr>
                <w:webHidden/>
              </w:rPr>
              <w:fldChar w:fldCharType="end"/>
            </w:r>
          </w:hyperlink>
        </w:p>
        <w:p w14:paraId="7424C95D" w14:textId="656725C6" w:rsidR="00D268DA" w:rsidRDefault="006922FB">
          <w:pPr>
            <w:pStyle w:val="Turinys2"/>
            <w:tabs>
              <w:tab w:val="right" w:leader="dot" w:pos="9769"/>
            </w:tabs>
            <w:rPr>
              <w:rFonts w:eastAsiaTheme="minorEastAsia"/>
              <w:noProof/>
              <w:sz w:val="24"/>
              <w:szCs w:val="24"/>
            </w:rPr>
          </w:pPr>
          <w:hyperlink w:anchor="_Toc72932301" w:history="1">
            <w:r w:rsidR="00D268DA" w:rsidRPr="00812533">
              <w:rPr>
                <w:rStyle w:val="Hipersaitas"/>
                <w:rFonts w:eastAsia="Times New Roman" w:cstheme="minorHAnsi"/>
                <w:i/>
                <w:noProof/>
              </w:rPr>
              <w:t>Napotnik prieš Rumuniją</w:t>
            </w:r>
            <w:r w:rsidR="00D268DA">
              <w:rPr>
                <w:noProof/>
                <w:webHidden/>
              </w:rPr>
              <w:tab/>
            </w:r>
            <w:r w:rsidR="00D268DA">
              <w:rPr>
                <w:noProof/>
                <w:webHidden/>
              </w:rPr>
              <w:fldChar w:fldCharType="begin"/>
            </w:r>
            <w:r w:rsidR="00D268DA">
              <w:rPr>
                <w:noProof/>
                <w:webHidden/>
              </w:rPr>
              <w:instrText xml:space="preserve"> PAGEREF _Toc72932301 \h </w:instrText>
            </w:r>
            <w:r w:rsidR="00D268DA">
              <w:rPr>
                <w:noProof/>
                <w:webHidden/>
              </w:rPr>
            </w:r>
            <w:r w:rsidR="00D268DA">
              <w:rPr>
                <w:noProof/>
                <w:webHidden/>
              </w:rPr>
              <w:fldChar w:fldCharType="separate"/>
            </w:r>
            <w:r w:rsidR="00D268DA">
              <w:rPr>
                <w:noProof/>
                <w:webHidden/>
              </w:rPr>
              <w:t>30</w:t>
            </w:r>
            <w:r w:rsidR="00D268DA">
              <w:rPr>
                <w:noProof/>
                <w:webHidden/>
              </w:rPr>
              <w:fldChar w:fldCharType="end"/>
            </w:r>
          </w:hyperlink>
        </w:p>
        <w:p w14:paraId="424DE9FA" w14:textId="3436EC9B" w:rsidR="00D268DA" w:rsidRDefault="006922FB">
          <w:pPr>
            <w:pStyle w:val="Turinys3"/>
            <w:tabs>
              <w:tab w:val="right" w:leader="dot" w:pos="9769"/>
            </w:tabs>
            <w:rPr>
              <w:rFonts w:eastAsiaTheme="minorEastAsia"/>
              <w:noProof/>
              <w:sz w:val="24"/>
              <w:szCs w:val="24"/>
            </w:rPr>
          </w:pPr>
          <w:hyperlink w:anchor="_Toc72932302" w:history="1">
            <w:r w:rsidR="00D268DA" w:rsidRPr="00812533">
              <w:rPr>
                <w:rStyle w:val="Hipersaitas"/>
                <w:rFonts w:eastAsia="Times New Roman" w:cstheme="minorHAnsi"/>
                <w:noProof/>
              </w:rPr>
              <w:t>Dėl būtinybės atšaukti pareiškėją iš diplomatinio posto užsienio šalyje dėl nėštumo</w:t>
            </w:r>
            <w:r w:rsidR="00D268DA">
              <w:rPr>
                <w:noProof/>
                <w:webHidden/>
              </w:rPr>
              <w:tab/>
            </w:r>
            <w:r w:rsidR="00D268DA">
              <w:rPr>
                <w:noProof/>
                <w:webHidden/>
              </w:rPr>
              <w:fldChar w:fldCharType="begin"/>
            </w:r>
            <w:r w:rsidR="00D268DA">
              <w:rPr>
                <w:noProof/>
                <w:webHidden/>
              </w:rPr>
              <w:instrText xml:space="preserve"> PAGEREF _Toc72932302 \h </w:instrText>
            </w:r>
            <w:r w:rsidR="00D268DA">
              <w:rPr>
                <w:noProof/>
                <w:webHidden/>
              </w:rPr>
            </w:r>
            <w:r w:rsidR="00D268DA">
              <w:rPr>
                <w:noProof/>
                <w:webHidden/>
              </w:rPr>
              <w:fldChar w:fldCharType="separate"/>
            </w:r>
            <w:r w:rsidR="00D268DA">
              <w:rPr>
                <w:noProof/>
                <w:webHidden/>
              </w:rPr>
              <w:t>30</w:t>
            </w:r>
            <w:r w:rsidR="00D268DA">
              <w:rPr>
                <w:noProof/>
                <w:webHidden/>
              </w:rPr>
              <w:fldChar w:fldCharType="end"/>
            </w:r>
          </w:hyperlink>
        </w:p>
        <w:p w14:paraId="4215E0FB" w14:textId="3A26E5F8" w:rsidR="00D268DA" w:rsidRDefault="006922FB">
          <w:pPr>
            <w:pStyle w:val="Turinys2"/>
            <w:tabs>
              <w:tab w:val="right" w:leader="dot" w:pos="9769"/>
            </w:tabs>
            <w:rPr>
              <w:rFonts w:eastAsiaTheme="minorEastAsia"/>
              <w:noProof/>
              <w:sz w:val="24"/>
              <w:szCs w:val="24"/>
            </w:rPr>
          </w:pPr>
          <w:hyperlink w:anchor="_Toc72932303" w:history="1">
            <w:r w:rsidR="00D268DA" w:rsidRPr="00812533">
              <w:rPr>
                <w:rStyle w:val="Hipersaitas"/>
                <w:rFonts w:cstheme="minorHAnsi"/>
                <w:i/>
                <w:noProof/>
              </w:rPr>
              <w:t>Ádám</w:t>
            </w:r>
            <w:r w:rsidR="00D268DA" w:rsidRPr="00812533">
              <w:rPr>
                <w:rStyle w:val="Hipersaitas"/>
                <w:rFonts w:eastAsia="Calibri" w:cstheme="minorHAnsi"/>
                <w:i/>
                <w:noProof/>
              </w:rPr>
              <w:t xml:space="preserve"> ir kt. prieš Rumuniją</w:t>
            </w:r>
            <w:r w:rsidR="00D268DA">
              <w:rPr>
                <w:noProof/>
                <w:webHidden/>
              </w:rPr>
              <w:tab/>
            </w:r>
            <w:r w:rsidR="00D268DA">
              <w:rPr>
                <w:noProof/>
                <w:webHidden/>
              </w:rPr>
              <w:fldChar w:fldCharType="begin"/>
            </w:r>
            <w:r w:rsidR="00D268DA">
              <w:rPr>
                <w:noProof/>
                <w:webHidden/>
              </w:rPr>
              <w:instrText xml:space="preserve"> PAGEREF _Toc72932303 \h </w:instrText>
            </w:r>
            <w:r w:rsidR="00D268DA">
              <w:rPr>
                <w:noProof/>
                <w:webHidden/>
              </w:rPr>
            </w:r>
            <w:r w:rsidR="00D268DA">
              <w:rPr>
                <w:noProof/>
                <w:webHidden/>
              </w:rPr>
              <w:fldChar w:fldCharType="separate"/>
            </w:r>
            <w:r w:rsidR="00D268DA">
              <w:rPr>
                <w:noProof/>
                <w:webHidden/>
              </w:rPr>
              <w:t>31</w:t>
            </w:r>
            <w:r w:rsidR="00D268DA">
              <w:rPr>
                <w:noProof/>
                <w:webHidden/>
              </w:rPr>
              <w:fldChar w:fldCharType="end"/>
            </w:r>
          </w:hyperlink>
        </w:p>
        <w:p w14:paraId="5C64C9C2" w14:textId="79FCC339" w:rsidR="00D268DA" w:rsidRDefault="006922FB">
          <w:pPr>
            <w:pStyle w:val="Turinys3"/>
            <w:tabs>
              <w:tab w:val="right" w:leader="dot" w:pos="9769"/>
            </w:tabs>
            <w:rPr>
              <w:rFonts w:eastAsiaTheme="minorEastAsia"/>
              <w:noProof/>
              <w:sz w:val="24"/>
              <w:szCs w:val="24"/>
            </w:rPr>
          </w:pPr>
          <w:hyperlink w:anchor="_Toc72932304" w:history="1">
            <w:r w:rsidR="00D268DA" w:rsidRPr="00812533">
              <w:rPr>
                <w:rStyle w:val="Hipersaitas"/>
                <w:rFonts w:cstheme="minorHAnsi"/>
                <w:noProof/>
              </w:rPr>
              <w:t>Dėl tautinėms mažumoms priklausančių moksleivių tariamo diskriminavimo baigiamuosiuose mokyklų egzaminuose</w:t>
            </w:r>
            <w:r w:rsidR="00D268DA">
              <w:rPr>
                <w:noProof/>
                <w:webHidden/>
              </w:rPr>
              <w:tab/>
            </w:r>
            <w:r w:rsidR="00D268DA">
              <w:rPr>
                <w:noProof/>
                <w:webHidden/>
              </w:rPr>
              <w:fldChar w:fldCharType="begin"/>
            </w:r>
            <w:r w:rsidR="00D268DA">
              <w:rPr>
                <w:noProof/>
                <w:webHidden/>
              </w:rPr>
              <w:instrText xml:space="preserve"> PAGEREF _Toc72932304 \h </w:instrText>
            </w:r>
            <w:r w:rsidR="00D268DA">
              <w:rPr>
                <w:noProof/>
                <w:webHidden/>
              </w:rPr>
            </w:r>
            <w:r w:rsidR="00D268DA">
              <w:rPr>
                <w:noProof/>
                <w:webHidden/>
              </w:rPr>
              <w:fldChar w:fldCharType="separate"/>
            </w:r>
            <w:r w:rsidR="00D268DA">
              <w:rPr>
                <w:noProof/>
                <w:webHidden/>
              </w:rPr>
              <w:t>31</w:t>
            </w:r>
            <w:r w:rsidR="00D268DA">
              <w:rPr>
                <w:noProof/>
                <w:webHidden/>
              </w:rPr>
              <w:fldChar w:fldCharType="end"/>
            </w:r>
          </w:hyperlink>
        </w:p>
        <w:p w14:paraId="5F55C1A6" w14:textId="219D09BF" w:rsidR="00EE09AD" w:rsidRPr="0025732F" w:rsidRDefault="00EE09AD" w:rsidP="00612945">
          <w:pPr>
            <w:spacing w:after="0" w:line="240" w:lineRule="auto"/>
            <w:ind w:right="-1"/>
            <w:rPr>
              <w:rFonts w:cstheme="minorHAnsi"/>
            </w:rPr>
          </w:pPr>
          <w:r w:rsidRPr="0025732F">
            <w:rPr>
              <w:rFonts w:cstheme="minorHAnsi"/>
              <w:b/>
              <w:bCs/>
            </w:rPr>
            <w:fldChar w:fldCharType="end"/>
          </w:r>
        </w:p>
      </w:sdtContent>
    </w:sdt>
    <w:p w14:paraId="77F2DB7D" w14:textId="5E0F1847" w:rsidR="00EE09AD" w:rsidRPr="0025732F" w:rsidRDefault="00EE09AD" w:rsidP="00612945">
      <w:pPr>
        <w:spacing w:after="0" w:line="240" w:lineRule="auto"/>
        <w:ind w:right="-1"/>
        <w:jc w:val="both"/>
        <w:rPr>
          <w:rFonts w:eastAsia="Calibri" w:cstheme="minorHAnsi"/>
          <w:b/>
          <w:highlight w:val="yellow"/>
        </w:rPr>
      </w:pPr>
      <w:r w:rsidRPr="0025732F">
        <w:rPr>
          <w:rFonts w:eastAsia="Calibri" w:cstheme="minorHAnsi"/>
          <w:b/>
          <w:highlight w:val="yellow"/>
        </w:rPr>
        <w:br w:type="page"/>
      </w:r>
    </w:p>
    <w:p w14:paraId="20754351" w14:textId="596BB363" w:rsidR="00C67C37" w:rsidRPr="0025732F" w:rsidRDefault="00C67C37" w:rsidP="003C3579">
      <w:pPr>
        <w:pStyle w:val="Antrat1"/>
        <w:rPr>
          <w:rFonts w:eastAsia="Times New Roman" w:cstheme="minorHAnsi"/>
          <w:szCs w:val="22"/>
        </w:rPr>
      </w:pPr>
      <w:bookmarkStart w:id="0" w:name="_Toc72932256"/>
      <w:r w:rsidRPr="0025732F">
        <w:rPr>
          <w:rFonts w:eastAsia="Times New Roman" w:cstheme="minorHAnsi"/>
          <w:szCs w:val="22"/>
        </w:rPr>
        <w:lastRenderedPageBreak/>
        <w:t xml:space="preserve">KANKINIMO UŽDRAUDIMAS (3 </w:t>
      </w:r>
      <w:r w:rsidR="00326DBF" w:rsidRPr="0025732F">
        <w:rPr>
          <w:rFonts w:eastAsia="Times New Roman" w:cstheme="minorHAnsi"/>
          <w:szCs w:val="22"/>
        </w:rPr>
        <w:t>straipsnis</w:t>
      </w:r>
      <w:r w:rsidRPr="0025732F">
        <w:rPr>
          <w:rFonts w:eastAsia="Times New Roman" w:cstheme="minorHAnsi"/>
          <w:szCs w:val="22"/>
        </w:rPr>
        <w:t>)</w:t>
      </w:r>
      <w:bookmarkEnd w:id="0"/>
    </w:p>
    <w:p w14:paraId="14DCB967" w14:textId="77777777" w:rsidR="00005ED2" w:rsidRPr="0025732F" w:rsidRDefault="00005ED2"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4DA433D2" w14:textId="316F45FD"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Europos Žmogaus Teisių Teismo 2020 m. liepos 23 d. sprendimas byloje</w:t>
      </w:r>
    </w:p>
    <w:p w14:paraId="2F64DE60" w14:textId="77777777" w:rsidR="00C67C37" w:rsidRPr="0025732F" w:rsidRDefault="00C67C37" w:rsidP="009C6F4D">
      <w:pPr>
        <w:pStyle w:val="Antrat2"/>
        <w:ind w:firstLine="0"/>
        <w:jc w:val="center"/>
        <w:rPr>
          <w:rFonts w:cstheme="minorHAnsi"/>
          <w:i/>
          <w:iCs w:val="0"/>
        </w:rPr>
      </w:pPr>
      <w:bookmarkStart w:id="1" w:name="_Toc72932257"/>
      <w:r w:rsidRPr="0025732F">
        <w:rPr>
          <w:rFonts w:cstheme="minorHAnsi"/>
          <w:i/>
          <w:iCs w:val="0"/>
        </w:rPr>
        <w:t>M. K. ir kiti prieš Lenkiją</w:t>
      </w:r>
      <w:bookmarkEnd w:id="1"/>
    </w:p>
    <w:p w14:paraId="4BB3CF9B" w14:textId="4F665ECE"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 xml:space="preserve">(pareiškimo Nr. 40503/17, svarbos lygis – </w:t>
      </w:r>
      <w:r w:rsidR="009B0BCB">
        <w:rPr>
          <w:rFonts w:eastAsia="Times New Roman" w:cstheme="minorHAnsi"/>
          <w:b/>
        </w:rPr>
        <w:t>Svarbiausios bylos</w:t>
      </w:r>
      <w:r w:rsidRPr="0025732F">
        <w:rPr>
          <w:rFonts w:eastAsia="Times New Roman" w:cstheme="minorHAnsi"/>
          <w:b/>
        </w:rPr>
        <w:t>)</w:t>
      </w:r>
    </w:p>
    <w:p w14:paraId="5EB21D75" w14:textId="77777777" w:rsidR="00612945" w:rsidRPr="0025732F" w:rsidRDefault="00612945"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01A0BD79" w14:textId="7220EAF7" w:rsidR="00C67C37" w:rsidRPr="0025732F" w:rsidRDefault="00C67C37" w:rsidP="00005ED2">
      <w:pPr>
        <w:pStyle w:val="Antrat3"/>
        <w:ind w:firstLine="567"/>
        <w:jc w:val="both"/>
        <w:rPr>
          <w:rFonts w:cstheme="minorHAnsi"/>
          <w:szCs w:val="22"/>
        </w:rPr>
      </w:pPr>
      <w:bookmarkStart w:id="2" w:name="_Toc72932258"/>
      <w:r w:rsidRPr="0025732F">
        <w:rPr>
          <w:rFonts w:cstheme="minorHAnsi"/>
          <w:szCs w:val="22"/>
        </w:rPr>
        <w:t>Dėl pasienio pareigūnų atsisakymo priimti prieglobsčio prašymus ir pareiškėjų išsiuntimo į trečiąją šalį, kai jiems gresia grąžinimas ir netinkamas elgesys kilmės šalyje</w:t>
      </w:r>
      <w:bookmarkEnd w:id="2"/>
    </w:p>
    <w:p w14:paraId="73E30149" w14:textId="77777777" w:rsidR="00612945" w:rsidRPr="0025732F" w:rsidRDefault="00612945"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7EEB7726" w14:textId="7EB677F5"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3924F9A0" w14:textId="77777777" w:rsidR="00612945" w:rsidRPr="0025732F" w:rsidRDefault="00612945" w:rsidP="00612945">
      <w:pPr>
        <w:pBdr>
          <w:top w:val="nil"/>
          <w:left w:val="nil"/>
          <w:bottom w:val="nil"/>
          <w:right w:val="nil"/>
          <w:between w:val="nil"/>
        </w:pBdr>
        <w:tabs>
          <w:tab w:val="left" w:pos="851"/>
        </w:tabs>
        <w:spacing w:after="0" w:line="240" w:lineRule="auto"/>
        <w:ind w:right="-1"/>
        <w:jc w:val="center"/>
        <w:rPr>
          <w:rFonts w:eastAsia="Times New Roman" w:cstheme="minorHAnsi"/>
          <w:color w:val="000000"/>
        </w:rPr>
      </w:pPr>
    </w:p>
    <w:p w14:paraId="03770448" w14:textId="53477E25" w:rsidR="00612945" w:rsidRPr="0025732F" w:rsidRDefault="00C67C37" w:rsidP="00612945">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Pareiškėjai yra čečėnų kilmės Rusijos piliečiai. 2017 m. Lenkijos ir Baltarusijos pasienio kontrolės punktuose (Terespol ir Czeremca-Polowce) jie kel</w:t>
      </w:r>
      <w:r w:rsidR="004A254D">
        <w:rPr>
          <w:rFonts w:eastAsia="Times New Roman" w:cstheme="minorHAnsi"/>
          <w:color w:val="000000"/>
        </w:rPr>
        <w:t>is</w:t>
      </w:r>
      <w:r w:rsidRPr="0025732F">
        <w:rPr>
          <w:rFonts w:eastAsia="Times New Roman" w:cstheme="minorHAnsi"/>
          <w:color w:val="000000"/>
        </w:rPr>
        <w:t xml:space="preserve"> kart</w:t>
      </w:r>
      <w:r w:rsidR="004A254D">
        <w:rPr>
          <w:rFonts w:eastAsia="Times New Roman" w:cstheme="minorHAnsi"/>
          <w:color w:val="000000"/>
        </w:rPr>
        <w:t>us</w:t>
      </w:r>
      <w:r w:rsidRPr="0025732F">
        <w:rPr>
          <w:rFonts w:eastAsia="Times New Roman" w:cstheme="minorHAnsi"/>
          <w:color w:val="000000"/>
        </w:rPr>
        <w:t xml:space="preserve"> kreipėsi į pasienio pareigūnus, siekdami pateikti prieglobsčio prašymus, tačiau tokia galimybė jiems nė karto nebuvo suteikta ir jie visus kartus buvo grąžinti į Baltarusiją, nors pareiškėjai teigė, kad ten jie negalės pasinaudoti tinkama prieglobsčio procedūra, taip pat kad grąžinus juos į Rusijos Federaciją (Čečėniją), jie bus kankinami ir patirs kitokį nežmonišką ar žeminantį elgesį. Remiantis pasieniečių įrašais, pareiškėjai nebuvo pareiškę noro pateikti prieglobsčio prašymų, nors daugelyje nacionalinių žmogaus teisių institucijų, </w:t>
      </w:r>
      <w:r w:rsidR="00944B8C">
        <w:rPr>
          <w:rFonts w:eastAsia="Times New Roman" w:cstheme="minorHAnsi"/>
          <w:color w:val="000000"/>
        </w:rPr>
        <w:t>nevyriausybinių organizacijų</w:t>
      </w:r>
      <w:r w:rsidRPr="0025732F">
        <w:rPr>
          <w:rFonts w:eastAsia="Times New Roman" w:cstheme="minorHAnsi"/>
          <w:color w:val="000000"/>
        </w:rPr>
        <w:t xml:space="preserve"> ir žiniasklaidos pranešimų buvo teigiama, kad pasieniečiai nuolat atsisako priimti teikiamus prieglobsčio prašymus. Be kita ko, tie patys pareiškėjai kelis kartus siekė prieglobsčio atvykę į Lietuvos ir Baltarusijos pasienio kontrolės punktus, tačiau ir ten susidūrė su analogišku pasienio pareigūnų elgesiu (žr. 2018 m. gruodžio 11 d. sprendimą byloje </w:t>
      </w:r>
      <w:r w:rsidRPr="0025732F">
        <w:rPr>
          <w:rFonts w:eastAsia="Times New Roman" w:cstheme="minorHAnsi"/>
          <w:i/>
          <w:iCs/>
          <w:color w:val="000000"/>
        </w:rPr>
        <w:t>M. A</w:t>
      </w:r>
      <w:r w:rsidR="00944B8C">
        <w:rPr>
          <w:rFonts w:eastAsia="Times New Roman" w:cstheme="minorHAnsi"/>
          <w:i/>
          <w:iCs/>
          <w:color w:val="000000"/>
        </w:rPr>
        <w:t>.</w:t>
      </w:r>
      <w:r w:rsidRPr="0025732F">
        <w:rPr>
          <w:rFonts w:eastAsia="Times New Roman" w:cstheme="minorHAnsi"/>
          <w:i/>
          <w:iCs/>
          <w:color w:val="000000"/>
        </w:rPr>
        <w:t xml:space="preserve"> ir kiti prieš Lietuvą</w:t>
      </w:r>
      <w:r w:rsidRPr="0025732F">
        <w:rPr>
          <w:rFonts w:eastAsia="Times New Roman" w:cstheme="minorHAnsi"/>
          <w:color w:val="000000"/>
        </w:rPr>
        <w:t>, pareiškimo Nr. 59793/17). Teismas Lenkijos institucijoms nurodė taikyti laikinąsias apsaugos priemones pagal Teismo taisyklių 39 straipsnį</w:t>
      </w:r>
      <w:r w:rsidR="00612945" w:rsidRPr="0025732F">
        <w:rPr>
          <w:rFonts w:eastAsia="Times New Roman" w:cstheme="minorHAnsi"/>
          <w:color w:val="000000"/>
        </w:rPr>
        <w:t>. N</w:t>
      </w:r>
      <w:r w:rsidRPr="0025732F">
        <w:rPr>
          <w:rFonts w:eastAsia="Times New Roman" w:cstheme="minorHAnsi"/>
          <w:color w:val="000000"/>
        </w:rPr>
        <w:t>epaisant to, pareiškėjai vis tiek buvo grąžinti į Baltarusiją. Vėliau pareiškėjai dar buvo atvykę į Lenkijos ir Baltarusijos pasienio kontrolės punktus, siekdami įteikti prieglobsčio prašymus, tačiau vėl nesėkmingai. Lenkijos valdžios institucijos galiausiai gavo kai kurių pareiškėjų prieglobsčio prašymus ir jie buvo apgyvendinti priėmimo centre.</w:t>
      </w:r>
    </w:p>
    <w:p w14:paraId="2D6A8076" w14:textId="3AC72AE8" w:rsidR="00C67C37" w:rsidRPr="0025732F" w:rsidRDefault="00C67C37" w:rsidP="00833D0A">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Pareiškėjai teigė, kad Lenkijos valdžios institucijos, pažeisdamos Konvencijos 3 straipsnį, pakartotinai nesuteikė jiems galimybės pateikti tarptautinės apsaugos prašymo. Jie taip pat rėmėsi Konvencijos </w:t>
      </w:r>
      <w:r w:rsidR="009B0BCB">
        <w:rPr>
          <w:rFonts w:eastAsia="Times New Roman" w:cstheme="minorHAnsi"/>
          <w:color w:val="000000"/>
        </w:rPr>
        <w:t>Protokolo Nr. 4</w:t>
      </w:r>
      <w:r w:rsidRPr="0025732F">
        <w:rPr>
          <w:rFonts w:eastAsia="Times New Roman" w:cstheme="minorHAnsi"/>
          <w:color w:val="000000"/>
        </w:rPr>
        <w:t xml:space="preserve"> 4 straipsniu, teigdami, kad jų situacija nebuvo peržiūrėta individualiai ir kad jie buvo bendros politikos, kurios laikėsi Lenkijos valdžios institucijos, siekdamos sumažinti užregistruotų prieglobsčio prašymų skaičių Lenkijoje, aukos. Pareiškėjai nurodė, kad pagal Konvencijos 13 straipsnį kartu su 3 straipsniu ir Konvencijos </w:t>
      </w:r>
      <w:r w:rsidR="009B0BCB">
        <w:rPr>
          <w:rFonts w:eastAsia="Times New Roman" w:cstheme="minorHAnsi"/>
          <w:color w:val="000000"/>
        </w:rPr>
        <w:t>Protokolo Nr. 4</w:t>
      </w:r>
      <w:r w:rsidRPr="0025732F">
        <w:rPr>
          <w:rFonts w:eastAsia="Times New Roman" w:cstheme="minorHAnsi"/>
          <w:color w:val="000000"/>
        </w:rPr>
        <w:t xml:space="preserve"> 4 straipsniu</w:t>
      </w:r>
      <w:r w:rsidR="00612945" w:rsidRPr="0025732F">
        <w:rPr>
          <w:rFonts w:eastAsia="Times New Roman" w:cstheme="minorHAnsi"/>
          <w:color w:val="000000"/>
        </w:rPr>
        <w:t>,</w:t>
      </w:r>
      <w:r w:rsidRPr="0025732F">
        <w:rPr>
          <w:rFonts w:eastAsia="Times New Roman" w:cstheme="minorHAnsi"/>
          <w:color w:val="000000"/>
        </w:rPr>
        <w:t xml:space="preserve"> skundas dėl sprendimo, kuriuo uždrausta įvažiuoti į Lenkiją, nebūtų veiksminga teisinės gynybos priemonė, nes nebūtų pakankamai greitai išnagrinėtas, neturėtų sustabdomojo poveikio ir nebūtų nagrinėjamas nepriklausomos institucijos. Be to, pareiškėjai skundėsi, kad Lenkijos valdžios institucijos, pažeisdamos Konvencijos 34 straipsnį, netaikė Teismo nustatytų laikinųjų apsaugos priemonių.</w:t>
      </w:r>
    </w:p>
    <w:p w14:paraId="6BBEC173" w14:textId="77777777" w:rsidR="007D4315" w:rsidRPr="0025732F" w:rsidRDefault="007D4315" w:rsidP="00612945">
      <w:pPr>
        <w:shd w:val="clear" w:color="auto" w:fill="FFFFFF"/>
        <w:spacing w:after="0" w:line="240" w:lineRule="auto"/>
        <w:ind w:right="-1"/>
        <w:jc w:val="center"/>
        <w:rPr>
          <w:rFonts w:eastAsia="Times New Roman" w:cstheme="minorHAnsi"/>
          <w:b/>
          <w:bCs/>
          <w:color w:val="000000"/>
        </w:rPr>
      </w:pPr>
    </w:p>
    <w:p w14:paraId="449F6FAB" w14:textId="7B439BD9" w:rsidR="00C67C37" w:rsidRPr="0025732F" w:rsidRDefault="00C67C37" w:rsidP="00612945">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7FE6F970" w14:textId="77777777" w:rsidR="00612945" w:rsidRPr="0025732F" w:rsidRDefault="00612945" w:rsidP="00612945">
      <w:pPr>
        <w:shd w:val="clear" w:color="auto" w:fill="FFFFFF"/>
        <w:spacing w:after="0" w:line="240" w:lineRule="auto"/>
        <w:ind w:right="-1"/>
        <w:jc w:val="center"/>
        <w:rPr>
          <w:rFonts w:eastAsia="Times New Roman" w:cstheme="minorHAnsi"/>
          <w:color w:val="000000"/>
        </w:rPr>
      </w:pPr>
    </w:p>
    <w:p w14:paraId="176A840A" w14:textId="552A546A" w:rsidR="006C3D4F" w:rsidRPr="0025732F" w:rsidRDefault="00C67C37" w:rsidP="006C3D4F">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Dėl Konvencijos 3 straipsnio Teismas nurodė, kad siekdamas nustatyti, ar pasienio kontrolės postuose pareiškėjai išties išreiškė norą pateikti prieglobsčio prašymus, jis teikęs didesnę reikšmę pareiškėjų versijai apie įvykius pasienyje, kurie buvo patvirtinti kitų liudytojų parodymais. Buvo atsižvelgta, kad nacionalinių žmogaus teisių institucijų ataskaitose nurodoma Lenkijos ir Baltarusijos pasienio kontrolės punktuose egzistuojanti sisteminė praktika, kai pasienio pareigūnai neteisingai pateikia informaciją apie prieglobsčio prašytojų teikiamus pareiškimus. Be to, procedūrinius pažeidimus, susijusius su užsieniečių, atvykstančių prie Lenkijos ir Baltarusijos sienos, apklausa, įskaitant nepakankamą priežasčių, dėl kurių jie siekia atvykti į Lenkiją, tyrimą, patvirtino ir Lenkijos Aukščiausiasis Teismas. Teismas pažymėjo, kad Lenkijos valdžios institucijos žinojo apie pareiškėjų baimes dėl netinkamo elgesio su jais pareiškėjų grąžinimo atveju, nes prieglobsčio prašymus elektroniniu būdu institucijoms buvo perdavę pareiškėjų atstovai ir Teismas, kai jis nurodė taikyti laikinąsias apsaugos priemones pagal Teismo taisyklių 39 straipsnį. Todėl Teismas nesutiko su Vyriausybės argumentu, kad pareiškėjai nepateikė jokių įrodymų, </w:t>
      </w:r>
      <w:r w:rsidR="00E41F1D">
        <w:rPr>
          <w:rFonts w:eastAsia="Times New Roman" w:cstheme="minorHAnsi"/>
          <w:color w:val="000000"/>
        </w:rPr>
        <w:t>jog</w:t>
      </w:r>
      <w:r w:rsidRPr="0025732F">
        <w:rPr>
          <w:rFonts w:eastAsia="Times New Roman" w:cstheme="minorHAnsi"/>
          <w:color w:val="000000"/>
        </w:rPr>
        <w:t xml:space="preserve"> išsiuntimo atveju jiems būtų grėsęs netinkamas elgesys. Lenkijos valdžios institucijos turėjo išnagrinėti pareiškėjų teiginius, kad esą nebuvę jokių garantijų, jog Baltarusijos valdžios institucijos atsakingai išnagrinės jų prieglobsčio prašymus ir kad jų grįžimas į Čečėniją gali pažeisti 3 straipsnį. Be to, Lenkijos valdžios institucijos buvo įpareigotos užtikrinti pareiškėjų saugumą, visų pirma</w:t>
      </w:r>
      <w:r w:rsidR="00833D0A" w:rsidRPr="0025732F">
        <w:rPr>
          <w:rFonts w:eastAsia="Times New Roman" w:cstheme="minorHAnsi"/>
          <w:color w:val="000000"/>
        </w:rPr>
        <w:t>,</w:t>
      </w:r>
      <w:r w:rsidRPr="0025732F">
        <w:rPr>
          <w:rFonts w:eastAsia="Times New Roman" w:cstheme="minorHAnsi"/>
          <w:color w:val="000000"/>
        </w:rPr>
        <w:t xml:space="preserve"> </w:t>
      </w:r>
      <w:r w:rsidRPr="0025732F">
        <w:rPr>
          <w:rFonts w:eastAsia="Times New Roman" w:cstheme="minorHAnsi"/>
          <w:color w:val="000000"/>
        </w:rPr>
        <w:lastRenderedPageBreak/>
        <w:t>leidžiant jiems likti Lenkijos jurisdikcijoje tol, kol kompetentinga vidaus institucija tinkamai išnagrinė</w:t>
      </w:r>
      <w:r w:rsidR="00833D0A" w:rsidRPr="0025732F">
        <w:rPr>
          <w:rFonts w:eastAsia="Times New Roman" w:cstheme="minorHAnsi"/>
          <w:color w:val="000000"/>
        </w:rPr>
        <w:t xml:space="preserve">s </w:t>
      </w:r>
      <w:r w:rsidRPr="0025732F">
        <w:rPr>
          <w:rFonts w:eastAsia="Times New Roman" w:cstheme="minorHAnsi"/>
          <w:color w:val="000000"/>
        </w:rPr>
        <w:t>jų reikalavimus. Šios pareigos apimtis nepriklausė nuo to, ar pareiškėjai turėjo leidžiančius jiems kirsti Lenkijos sieną dokumentus, ar jie buvo teisėtai įleisti į Lenkijos teritoriją kitais pagrindais.</w:t>
      </w:r>
    </w:p>
    <w:p w14:paraId="71B31F64" w14:textId="77777777"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Vyriausybė teigė, kad neleisdama pareiškėjams įvažiuoti į Lenkiją, ji laikėsi pareigų, kylančių iš Europos Sąjungos teisės. Tačiau Teismas tokį argumentą atmetė</w:t>
      </w:r>
      <w:r w:rsidR="006C3D4F" w:rsidRPr="0025732F">
        <w:rPr>
          <w:rFonts w:eastAsia="Times New Roman" w:cstheme="minorHAnsi"/>
          <w:color w:val="000000"/>
        </w:rPr>
        <w:t>,</w:t>
      </w:r>
      <w:r w:rsidRPr="0025732F">
        <w:rPr>
          <w:rFonts w:eastAsia="Times New Roman" w:cstheme="minorHAnsi"/>
          <w:color w:val="000000"/>
        </w:rPr>
        <w:t xml:space="preserve"> nurodydamas, kad ES teisėje yra aiškiai patvirtintas Ženevos konvencijoje garantuojamas negrąžinimo principas ir jis praktikoje taikomas pasienyje tikrinamiems asmenims prieš jiems patenkant į vienos iš valstybių narių teritoriją. Taigi ginčijama priemonė, kurios ėmėsi Lenkijos valdžios institucijos, nepateko į Lenkijos tarptautinių teisinių įsipareigojimų taikymo sritį.</w:t>
      </w:r>
    </w:p>
    <w:p w14:paraId="59C3AACA" w14:textId="53F558D9"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Teismas taip pat pažymėjo, kad pareiškėjams nebuvo suteiktos veiksmingos garantijos, kurios būtų apsaugoj</w:t>
      </w:r>
      <w:r w:rsidR="00E325D7" w:rsidRPr="0025732F">
        <w:rPr>
          <w:rFonts w:eastAsia="Times New Roman" w:cstheme="minorHAnsi"/>
          <w:color w:val="000000"/>
        </w:rPr>
        <w:t>usios</w:t>
      </w:r>
      <w:r w:rsidRPr="0025732F">
        <w:rPr>
          <w:rFonts w:eastAsia="Times New Roman" w:cstheme="minorHAnsi"/>
          <w:color w:val="000000"/>
        </w:rPr>
        <w:t xml:space="preserve"> juos nuo realios rizikos patirti nežmonišką ar žeminantį elgesys ar kankinimus. </w:t>
      </w:r>
      <w:r w:rsidRPr="00E41F1D">
        <w:rPr>
          <w:rFonts w:eastAsia="Times New Roman" w:cstheme="minorHAnsi"/>
          <w:color w:val="000000"/>
        </w:rPr>
        <w:t xml:space="preserve">Procedūros, kurios metu būtų nagrinėjami pareiškėjų tarptautinės apsaugos prašymai, nebuvimas, Teismo vertinimu, laikytinas 3 straipsnio pažeidimu. Be to, </w:t>
      </w:r>
      <w:r w:rsidRPr="00E41F1D">
        <w:rPr>
          <w:rFonts w:eastAsia="Times New Roman" w:cstheme="minorHAnsi"/>
          <w:color w:val="000000"/>
          <w:u w:val="single"/>
        </w:rPr>
        <w:t>atsižvelgiant į situaciją kaimyninėje valstybėje, neleisdamos pareiškėjams likti Lenkijos teritorijoje kol bus išnagrinėti jų pateikti prieglobsčio prašymai, Lenkijos valdžios institucijos sąmoningai sudarė rimtą grandininio grąžinimo ir 3 straipsnio draudžiamo elgesio grėsmę</w:t>
      </w:r>
      <w:r w:rsidRPr="0025732F">
        <w:rPr>
          <w:rFonts w:eastAsia="Times New Roman" w:cstheme="minorHAnsi"/>
          <w:color w:val="000000"/>
        </w:rPr>
        <w:t>.</w:t>
      </w:r>
    </w:p>
    <w:p w14:paraId="0E713CC8" w14:textId="11370DD4"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E41F1D">
        <w:rPr>
          <w:rFonts w:eastAsia="Times New Roman" w:cstheme="minorHAnsi"/>
          <w:color w:val="000000"/>
          <w:u w:val="single"/>
        </w:rPr>
        <w:t xml:space="preserve">Dėl </w:t>
      </w:r>
      <w:r w:rsidR="009B0BCB">
        <w:rPr>
          <w:rFonts w:eastAsia="Times New Roman" w:cstheme="minorHAnsi"/>
          <w:color w:val="000000"/>
          <w:u w:val="single"/>
        </w:rPr>
        <w:t>Protokolo Nr. 4</w:t>
      </w:r>
      <w:r w:rsidRPr="00E41F1D">
        <w:rPr>
          <w:rFonts w:eastAsia="Times New Roman" w:cstheme="minorHAnsi"/>
          <w:color w:val="000000"/>
          <w:u w:val="single"/>
        </w:rPr>
        <w:t xml:space="preserve"> 4 straipsnio Teismas sprendė</w:t>
      </w:r>
      <w:r w:rsidRPr="0025732F">
        <w:rPr>
          <w:rFonts w:eastAsia="Times New Roman" w:cstheme="minorHAnsi"/>
          <w:color w:val="000000"/>
        </w:rPr>
        <w:t xml:space="preserve">, kad jei šioje nuostatoje nustatytas draudimas kolektyviai išsiųsti užsieniečius laikomas taikytinu valstybės veiksmams, kuriais siekiama užkirsti kelią migrantams nepasiekti tos valstybės sienų, tai dar akivaizdžiau, </w:t>
      </w:r>
      <w:r w:rsidRPr="00E41F1D">
        <w:rPr>
          <w:rFonts w:eastAsia="Times New Roman" w:cstheme="minorHAnsi"/>
          <w:color w:val="000000"/>
          <w:u w:val="single"/>
        </w:rPr>
        <w:t>kad jis taikomas situacijoje, kai jau atvykę prie sienos užsieniečiai, iš ten grąžinami į kaimyninę šalį</w:t>
      </w:r>
      <w:r w:rsidRPr="0025732F">
        <w:rPr>
          <w:rFonts w:eastAsia="Times New Roman" w:cstheme="minorHAnsi"/>
          <w:color w:val="000000"/>
        </w:rPr>
        <w:t>. Tikrinimo procedūros pasienyje metu nebuvo atsižvelgta į pareiškėjų pareiškimus dėl jų noro kreiptis dėl tarptautinės apsaugos ir nors kiekvieno pareiškėjo atžvilgiu buvo priimti individualūs sprendimai, jie tinkamai neatspindėjo pareiškėjų nurodytų priežasčių dėl jų persekiojimo baimės. Be kita ko, pabrėžta, kad kai kuriems pareiškėjams nebuvo leista konsultuotis su teisininkais ir</w:t>
      </w:r>
      <w:r w:rsidR="00E41F1D">
        <w:rPr>
          <w:rFonts w:eastAsia="Times New Roman" w:cstheme="minorHAnsi"/>
          <w:color w:val="000000"/>
        </w:rPr>
        <w:t xml:space="preserve"> </w:t>
      </w:r>
      <w:r w:rsidRPr="0025732F">
        <w:rPr>
          <w:rFonts w:eastAsia="Times New Roman" w:cstheme="minorHAnsi"/>
          <w:color w:val="000000"/>
        </w:rPr>
        <w:t>su jais susitikti net tada, kai tie teisininkai buvo pasienio kontrolės punkte ir reikalavo leisti susitikti su savo klientais.</w:t>
      </w:r>
    </w:p>
    <w:p w14:paraId="664A81BC" w14:textId="77777777" w:rsidR="00E325D7" w:rsidRPr="00944B8C"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Pareiškėjai bandė pasinaudoti tarptautinės apsaugos prašymų priėmimo procedūra, kuri jiems turėjo būti suteikta pagal vidaus teisę. Jie bandė kirsti sieną teisėtai per oficialų patikros punktą, kuriame taikoma pasienio kontrolė, kaip reikalauja atitinkami teisės aktai. Taigi to, kad valstybė atsisakė atsižvelgti į jų pateiktus argumentus dėl jų tarptautinės apsaugos prašymų pagrindimo, Teismo teigimu, negalima priskirti jų pačių elgesiui. Pažymėta ir tai, kad nepriklausomose ataskaitose apie padėtį pasienio kontrolės punktuose nurodyta, kad pareiškėjų atvejai iliustruoja platesnės valstybės politikos atsisakyti įleisti iš Baltarusijos atvykstančius užsieniečius atvejus, kai neatsižvelgiama į tai, ar užsieniečiai yra aiškiai ekonominiai migrantai, ar jie yra nurodę baimę dėl persekiojimo grėsmės jų kilmės šalyse. Šias išvadas taip pat patvirtino pareiškėjų nurodytų tam tikrų valdžios institucijų pareiškimai. Taigi </w:t>
      </w:r>
      <w:r w:rsidRPr="00E41F1D">
        <w:rPr>
          <w:rFonts w:eastAsia="Times New Roman" w:cstheme="minorHAnsi"/>
          <w:color w:val="000000"/>
          <w:u w:val="single"/>
        </w:rPr>
        <w:t xml:space="preserve">Teismas sprendė, kad pareiškėjų bylose priimti sprendimai neleisti atvykti į Lenkiją buvo </w:t>
      </w:r>
      <w:r w:rsidRPr="00944B8C">
        <w:rPr>
          <w:rFonts w:eastAsia="Times New Roman" w:cstheme="minorHAnsi"/>
          <w:color w:val="000000"/>
          <w:u w:val="single"/>
        </w:rPr>
        <w:t>kolektyvinis užsieniečių išsiuntimas</w:t>
      </w:r>
      <w:r w:rsidRPr="00944B8C">
        <w:rPr>
          <w:rFonts w:eastAsia="Times New Roman" w:cstheme="minorHAnsi"/>
          <w:color w:val="000000"/>
        </w:rPr>
        <w:t>.</w:t>
      </w:r>
    </w:p>
    <w:p w14:paraId="7A6702DB" w14:textId="6FEC6050" w:rsidR="00E325D7" w:rsidRPr="00944B8C"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944B8C">
        <w:rPr>
          <w:rFonts w:eastAsia="Times New Roman" w:cstheme="minorHAnsi"/>
          <w:color w:val="000000"/>
        </w:rPr>
        <w:t>Teismas taip pat konstatavo, kad buvo pažeistas Konvencijos 13 straipsnis kartu su Konvencijos 3</w:t>
      </w:r>
      <w:r w:rsidR="00E325D7" w:rsidRPr="00944B8C">
        <w:rPr>
          <w:rFonts w:eastAsia="Times New Roman" w:cstheme="minorHAnsi"/>
          <w:color w:val="000000"/>
        </w:rPr>
        <w:t> </w:t>
      </w:r>
      <w:r w:rsidRPr="00944B8C">
        <w:rPr>
          <w:rFonts w:eastAsia="Times New Roman" w:cstheme="minorHAnsi"/>
          <w:color w:val="000000"/>
        </w:rPr>
        <w:t xml:space="preserve">straipsniu ir </w:t>
      </w:r>
      <w:r w:rsidR="009B0BCB" w:rsidRPr="00944B8C">
        <w:rPr>
          <w:rFonts w:eastAsia="Times New Roman" w:cstheme="minorHAnsi"/>
          <w:color w:val="000000"/>
        </w:rPr>
        <w:t>Protokolo Nr. 4</w:t>
      </w:r>
      <w:r w:rsidRPr="00944B8C">
        <w:rPr>
          <w:rFonts w:eastAsia="Times New Roman" w:cstheme="minorHAnsi"/>
          <w:color w:val="000000"/>
        </w:rPr>
        <w:t xml:space="preserve"> 4 straipsniu dėl to, kad pareiškėjams nebuvo prieinamos gynimo priemonės, turinčios automatinį sustabdomąjį poveikį, ir kad </w:t>
      </w:r>
      <w:r w:rsidR="00E325D7" w:rsidRPr="00944B8C">
        <w:rPr>
          <w:rFonts w:eastAsia="Times New Roman" w:cstheme="minorHAnsi"/>
          <w:color w:val="000000"/>
        </w:rPr>
        <w:t>v</w:t>
      </w:r>
      <w:r w:rsidRPr="00944B8C">
        <w:rPr>
          <w:rFonts w:eastAsia="Times New Roman" w:cstheme="minorHAnsi"/>
          <w:color w:val="000000"/>
        </w:rPr>
        <w:t>alstybė neįvykdė savo įsipareigojimų pagal Konvencijos 34</w:t>
      </w:r>
      <w:r w:rsidR="00E325D7" w:rsidRPr="00944B8C">
        <w:rPr>
          <w:rFonts w:eastAsia="Times New Roman" w:cstheme="minorHAnsi"/>
          <w:color w:val="000000"/>
        </w:rPr>
        <w:t> </w:t>
      </w:r>
      <w:r w:rsidRPr="00944B8C">
        <w:rPr>
          <w:rFonts w:eastAsia="Times New Roman" w:cstheme="minorHAnsi"/>
          <w:color w:val="000000"/>
        </w:rPr>
        <w:t>straipsnį, nes Teismo taisyklių 39 straipsnyje numatytas laikinąsias apsaugos priemones ji vykdė tik labai vėluodama arba neįvykdė visai.</w:t>
      </w:r>
    </w:p>
    <w:p w14:paraId="6F0CB41E" w14:textId="77777777" w:rsidR="00E325D7" w:rsidRPr="00944B8C" w:rsidRDefault="00E325D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23AAB48" w14:textId="608B6557" w:rsidR="00C67C37" w:rsidRPr="0025732F" w:rsidRDefault="00C67C37" w:rsidP="00E325D7">
      <w:pPr>
        <w:pBdr>
          <w:top w:val="nil"/>
          <w:left w:val="nil"/>
          <w:bottom w:val="nil"/>
          <w:right w:val="nil"/>
          <w:between w:val="nil"/>
        </w:pBdr>
        <w:tabs>
          <w:tab w:val="left" w:pos="851"/>
        </w:tabs>
        <w:spacing w:after="0" w:line="240" w:lineRule="auto"/>
        <w:ind w:right="-1" w:firstLine="567"/>
        <w:jc w:val="both"/>
        <w:rPr>
          <w:rFonts w:cstheme="minorHAnsi"/>
        </w:rPr>
      </w:pPr>
      <w:r w:rsidRPr="00944B8C">
        <w:rPr>
          <w:rFonts w:cstheme="minorHAnsi"/>
        </w:rPr>
        <w:t xml:space="preserve">Išvada: nustatytas </w:t>
      </w:r>
      <w:r w:rsidRPr="00944B8C">
        <w:rPr>
          <w:rFonts w:eastAsia="Times New Roman" w:cstheme="minorHAnsi"/>
          <w:color w:val="000000"/>
        </w:rPr>
        <w:t xml:space="preserve">Konvencijos 3 straipsnio pažeidimas materialiuoju aspektu (vienbalsiai), Konvencijos </w:t>
      </w:r>
      <w:r w:rsidR="009B0BCB" w:rsidRPr="00944B8C">
        <w:rPr>
          <w:rFonts w:cstheme="minorHAnsi"/>
        </w:rPr>
        <w:t>Protokolo Nr. 4</w:t>
      </w:r>
      <w:r w:rsidRPr="00944B8C">
        <w:rPr>
          <w:rFonts w:cstheme="minorHAnsi"/>
        </w:rPr>
        <w:t xml:space="preserve"> 4 straipsnio pažeidimas (vienbalsiai), Konvencijos 13 straipsnio kartu su Konvencijos 3 straipsniu ir </w:t>
      </w:r>
      <w:r w:rsidR="009B0BCB" w:rsidRPr="00944B8C">
        <w:rPr>
          <w:rFonts w:cstheme="minorHAnsi"/>
        </w:rPr>
        <w:t>Protokolo Nr. 4</w:t>
      </w:r>
      <w:r w:rsidRPr="00944B8C">
        <w:rPr>
          <w:rFonts w:cstheme="minorHAnsi"/>
        </w:rPr>
        <w:t xml:space="preserve"> 4 straipsniu pažeidimas (vienbalsiai), Konvencijos 34 straipsnio pažeidimas (vienbalsiai).</w:t>
      </w:r>
      <w:r w:rsidRPr="0025732F">
        <w:rPr>
          <w:rFonts w:cstheme="minorHAnsi"/>
        </w:rPr>
        <w:t xml:space="preserve"> </w:t>
      </w:r>
    </w:p>
    <w:p w14:paraId="7FC9DF04" w14:textId="77777777" w:rsidR="00C67C37" w:rsidRPr="0025732F" w:rsidRDefault="00C67C37" w:rsidP="00A93147">
      <w:pPr>
        <w:spacing w:after="0" w:line="240" w:lineRule="auto"/>
        <w:ind w:right="-1" w:firstLine="567"/>
        <w:jc w:val="both"/>
        <w:rPr>
          <w:rFonts w:cstheme="minorHAnsi"/>
        </w:rPr>
      </w:pPr>
      <w:r w:rsidRPr="0025732F">
        <w:rPr>
          <w:rFonts w:cstheme="minorHAnsi"/>
        </w:rPr>
        <w:t>(pateikta atskiroji nuomonė)</w:t>
      </w:r>
    </w:p>
    <w:p w14:paraId="7E7D91F0" w14:textId="77777777" w:rsidR="00C67C37" w:rsidRPr="0025732F" w:rsidRDefault="00C67C37" w:rsidP="00005ED2">
      <w:pPr>
        <w:spacing w:after="0" w:line="240" w:lineRule="auto"/>
        <w:ind w:right="-1" w:firstLine="567"/>
        <w:jc w:val="both"/>
        <w:rPr>
          <w:rStyle w:val="Hipersaitas"/>
          <w:rFonts w:cstheme="minorHAnsi"/>
        </w:rPr>
      </w:pPr>
      <w:r w:rsidRPr="0025732F">
        <w:rPr>
          <w:rFonts w:cstheme="minorHAnsi"/>
          <w:color w:val="0000FF"/>
          <w:u w:val="single"/>
        </w:rPr>
        <w:fldChar w:fldCharType="begin"/>
      </w:r>
      <w:r w:rsidRPr="0025732F">
        <w:rPr>
          <w:rFonts w:cstheme="minorHAnsi"/>
          <w:color w:val="0000FF"/>
          <w:u w:val="single"/>
        </w:rPr>
        <w:instrText xml:space="preserve"> HYPERLINK "https://hudoc.echr.coe.int/eng" \l "{%22fulltext%22:[%2240503/17%22],%22documentcollectionid2%22:[%22GRANDCHAMBER%22,%22CHAMBER%22],%22itemid%22:[%22001-203840%22]}" </w:instrText>
      </w:r>
      <w:r w:rsidRPr="0025732F">
        <w:rPr>
          <w:rFonts w:cstheme="minorHAnsi"/>
          <w:color w:val="0000FF"/>
          <w:u w:val="single"/>
        </w:rPr>
        <w:fldChar w:fldCharType="separate"/>
      </w:r>
      <w:r w:rsidRPr="0025732F">
        <w:rPr>
          <w:rStyle w:val="Hipersaitas"/>
          <w:rFonts w:cstheme="minorHAnsi"/>
        </w:rPr>
        <w:t>Prieiga internete</w:t>
      </w:r>
    </w:p>
    <w:p w14:paraId="17DE9DC2" w14:textId="6354B9F5" w:rsidR="00C67C37" w:rsidRPr="0025732F" w:rsidRDefault="00C67C37" w:rsidP="00612945">
      <w:pPr>
        <w:pStyle w:val="paragraph"/>
        <w:spacing w:before="0" w:beforeAutospacing="0" w:after="0" w:afterAutospacing="0"/>
        <w:ind w:firstLine="720"/>
        <w:textAlignment w:val="baseline"/>
        <w:rPr>
          <w:rStyle w:val="normaltextrun"/>
          <w:rFonts w:asciiTheme="minorHAnsi" w:eastAsiaTheme="majorEastAsia" w:hAnsiTheme="minorHAnsi" w:cstheme="minorHAnsi"/>
          <w:i/>
          <w:iCs/>
          <w:sz w:val="22"/>
          <w:szCs w:val="22"/>
        </w:rPr>
      </w:pPr>
      <w:r w:rsidRPr="0025732F">
        <w:rPr>
          <w:rFonts w:asciiTheme="minorHAnsi" w:eastAsiaTheme="minorHAnsi" w:hAnsiTheme="minorHAnsi" w:cstheme="minorHAnsi"/>
          <w:color w:val="0000FF"/>
          <w:sz w:val="22"/>
          <w:szCs w:val="22"/>
          <w:u w:val="single"/>
          <w:lang w:eastAsia="en-US"/>
        </w:rPr>
        <w:fldChar w:fldCharType="end"/>
      </w:r>
    </w:p>
    <w:p w14:paraId="41B6C64F" w14:textId="77777777" w:rsidR="00100409" w:rsidRPr="0025732F" w:rsidRDefault="00100409" w:rsidP="00100409">
      <w:pPr>
        <w:shd w:val="clear" w:color="auto" w:fill="FFFFFF"/>
        <w:spacing w:after="0" w:line="240" w:lineRule="auto"/>
        <w:jc w:val="center"/>
        <w:rPr>
          <w:rFonts w:eastAsia="Times New Roman" w:cstheme="minorHAnsi"/>
          <w:b/>
        </w:rPr>
      </w:pPr>
      <w:r w:rsidRPr="0025732F">
        <w:rPr>
          <w:rFonts w:cstheme="minorHAnsi"/>
        </w:rPr>
        <w:tab/>
      </w:r>
      <w:r w:rsidRPr="0025732F">
        <w:rPr>
          <w:rFonts w:eastAsia="Times New Roman" w:cstheme="minorHAnsi"/>
          <w:b/>
        </w:rPr>
        <w:t>Europos Žmogaus Teisių Teismo 2020 m. lapkričio 17 d. sprendimas byloje</w:t>
      </w:r>
    </w:p>
    <w:p w14:paraId="1BE2946D" w14:textId="77777777" w:rsidR="00100409" w:rsidRPr="0025732F" w:rsidRDefault="00100409" w:rsidP="009C6F4D">
      <w:pPr>
        <w:pStyle w:val="Antrat2"/>
        <w:ind w:firstLine="0"/>
        <w:jc w:val="center"/>
        <w:rPr>
          <w:rFonts w:eastAsia="Calibri" w:cstheme="minorHAnsi"/>
          <w:i/>
          <w:iCs w:val="0"/>
        </w:rPr>
      </w:pPr>
      <w:bookmarkStart w:id="3" w:name="_Toc72932259"/>
      <w:r w:rsidRPr="0025732F">
        <w:rPr>
          <w:rFonts w:eastAsia="Calibri" w:cstheme="minorHAnsi"/>
          <w:i/>
          <w:iCs w:val="0"/>
        </w:rPr>
        <w:t>B ir C prieš Šveicariją</w:t>
      </w:r>
      <w:bookmarkEnd w:id="3"/>
    </w:p>
    <w:p w14:paraId="5E64D743" w14:textId="4AB3E0C9" w:rsidR="00100409" w:rsidRPr="0025732F" w:rsidRDefault="00100409" w:rsidP="00100409">
      <w:pPr>
        <w:shd w:val="clear" w:color="auto" w:fill="FFFFFF"/>
        <w:spacing w:after="0" w:line="240" w:lineRule="auto"/>
        <w:jc w:val="center"/>
        <w:rPr>
          <w:rFonts w:eastAsia="Times New Roman" w:cstheme="minorHAnsi"/>
          <w:b/>
        </w:rPr>
      </w:pPr>
      <w:r w:rsidRPr="0025732F">
        <w:rPr>
          <w:rFonts w:eastAsia="Times New Roman" w:cstheme="minorHAnsi"/>
          <w:b/>
        </w:rPr>
        <w:t>(pareiškimo Nr. 43987/16 ir 889/19</w:t>
      </w:r>
      <w:r w:rsidRPr="0025732F">
        <w:rPr>
          <w:rFonts w:eastAsia="Calibri" w:cstheme="minorHAnsi"/>
          <w:b/>
        </w:rPr>
        <w:t xml:space="preserve">, svarbos lygis – </w:t>
      </w:r>
      <w:r w:rsidR="009B0BCB">
        <w:rPr>
          <w:rFonts w:eastAsia="Calibri" w:cstheme="minorHAnsi"/>
          <w:b/>
        </w:rPr>
        <w:t>Svarbiausios bylos</w:t>
      </w:r>
      <w:r w:rsidRPr="0025732F">
        <w:rPr>
          <w:rFonts w:eastAsia="Times New Roman" w:cstheme="minorHAnsi"/>
          <w:b/>
        </w:rPr>
        <w:t>)</w:t>
      </w:r>
    </w:p>
    <w:p w14:paraId="5DA311FC" w14:textId="77777777" w:rsidR="00100409" w:rsidRPr="0025732F" w:rsidRDefault="00100409" w:rsidP="00100409">
      <w:pPr>
        <w:shd w:val="clear" w:color="auto" w:fill="FFFFFF"/>
        <w:spacing w:after="0" w:line="240" w:lineRule="auto"/>
        <w:ind w:firstLine="567"/>
        <w:jc w:val="both"/>
        <w:rPr>
          <w:rFonts w:eastAsia="Times New Roman" w:cstheme="minorHAnsi"/>
          <w:b/>
          <w:bCs/>
          <w:color w:val="000000"/>
        </w:rPr>
      </w:pPr>
    </w:p>
    <w:p w14:paraId="53F5D8EC" w14:textId="7C56C517" w:rsidR="00100409" w:rsidRPr="0025732F" w:rsidRDefault="00100409" w:rsidP="00005ED2">
      <w:pPr>
        <w:pStyle w:val="Antrat3"/>
        <w:ind w:firstLine="567"/>
        <w:jc w:val="both"/>
        <w:rPr>
          <w:rFonts w:eastAsia="Calibri" w:cstheme="minorHAnsi"/>
          <w:szCs w:val="22"/>
        </w:rPr>
      </w:pPr>
      <w:bookmarkStart w:id="4" w:name="_Toc72932260"/>
      <w:r w:rsidRPr="0025732F">
        <w:rPr>
          <w:rFonts w:eastAsia="Calibri" w:cstheme="minorHAnsi"/>
          <w:szCs w:val="22"/>
        </w:rPr>
        <w:t>Dėl rizikos, kad nevalstybiniai subjektai Gambijoje žiauriai elgsis su homoseksualiu asmeniu</w:t>
      </w:r>
      <w:r w:rsidR="00D268DA">
        <w:rPr>
          <w:rFonts w:eastAsia="Calibri" w:cstheme="minorHAnsi"/>
          <w:szCs w:val="22"/>
        </w:rPr>
        <w:t>,</w:t>
      </w:r>
      <w:r w:rsidRPr="0025732F">
        <w:rPr>
          <w:rFonts w:eastAsia="Calibri" w:cstheme="minorHAnsi"/>
          <w:szCs w:val="22"/>
        </w:rPr>
        <w:t xml:space="preserve"> ir apsaugos nuo tokio elgesio prieinamumo, nepakankamo įvertinimo</w:t>
      </w:r>
      <w:bookmarkEnd w:id="4"/>
    </w:p>
    <w:p w14:paraId="198FB08D" w14:textId="77777777" w:rsidR="00100409" w:rsidRPr="0025732F" w:rsidRDefault="00100409" w:rsidP="00100409">
      <w:pPr>
        <w:spacing w:after="0" w:line="240" w:lineRule="auto"/>
        <w:ind w:firstLine="567"/>
        <w:jc w:val="both"/>
        <w:rPr>
          <w:rFonts w:eastAsia="Calibri" w:cstheme="minorHAnsi"/>
        </w:rPr>
      </w:pPr>
    </w:p>
    <w:p w14:paraId="3874CA65" w14:textId="77777777" w:rsidR="00100409" w:rsidRPr="0025732F" w:rsidRDefault="00100409" w:rsidP="00100409">
      <w:pPr>
        <w:shd w:val="clear" w:color="auto" w:fill="FFFFFF"/>
        <w:spacing w:after="0" w:line="240" w:lineRule="auto"/>
        <w:jc w:val="center"/>
        <w:rPr>
          <w:rFonts w:eastAsia="Times New Roman" w:cstheme="minorHAnsi"/>
          <w:b/>
          <w:bCs/>
          <w:color w:val="000000"/>
        </w:rPr>
      </w:pPr>
      <w:r w:rsidRPr="0025732F">
        <w:rPr>
          <w:rFonts w:eastAsia="Times New Roman" w:cstheme="minorHAnsi"/>
          <w:b/>
          <w:bCs/>
          <w:color w:val="000000"/>
        </w:rPr>
        <w:t>Faktinės aplinkybės</w:t>
      </w:r>
    </w:p>
    <w:p w14:paraId="73854EDE" w14:textId="77777777" w:rsidR="00100409" w:rsidRPr="0025732F" w:rsidRDefault="00100409" w:rsidP="00100409">
      <w:pPr>
        <w:spacing w:after="0" w:line="240" w:lineRule="auto"/>
        <w:rPr>
          <w:rFonts w:eastAsia="Calibri" w:cstheme="minorHAnsi"/>
        </w:rPr>
      </w:pPr>
    </w:p>
    <w:p w14:paraId="5C2F941B" w14:textId="77777777" w:rsidR="00100409" w:rsidRPr="0025732F" w:rsidRDefault="00100409" w:rsidP="006B4CC0">
      <w:pPr>
        <w:spacing w:after="0" w:line="240" w:lineRule="auto"/>
        <w:ind w:firstLine="567"/>
        <w:jc w:val="both"/>
        <w:rPr>
          <w:rFonts w:eastAsia="Calibri" w:cstheme="minorHAnsi"/>
        </w:rPr>
      </w:pPr>
      <w:r w:rsidRPr="0025732F">
        <w:rPr>
          <w:rFonts w:eastAsia="Calibri" w:cstheme="minorHAnsi"/>
        </w:rPr>
        <w:t xml:space="preserve">Pirmasis ir antrasis pareiškėjai yra atitinkamai Gambijos ir Šveicarijos piliečiai. Jie buvo sudarę registruotą tos pačios lyties partnerystę. Pirmasis pareiškėjas gyveno Šveicarijoje nuo 2008 m. Jo prašymas suteikti prieglobstį buvo atmestas ir vėliau leidimas gyventi šalyje registruotos partnerystės pagrindu nebuvo suteiktas. Pareiškėjai pateikė skundus, tačiau nesėkmingai. Antrasis pareiškėjas mirė 2019 m. </w:t>
      </w:r>
    </w:p>
    <w:p w14:paraId="2851BA95" w14:textId="77777777" w:rsidR="00100409" w:rsidRPr="0025732F" w:rsidRDefault="00100409" w:rsidP="00100409">
      <w:pPr>
        <w:spacing w:after="0" w:line="240" w:lineRule="auto"/>
        <w:rPr>
          <w:rFonts w:eastAsia="Calibri" w:cstheme="minorHAnsi"/>
        </w:rPr>
      </w:pPr>
    </w:p>
    <w:p w14:paraId="626FB9BF" w14:textId="77777777" w:rsidR="00100409" w:rsidRPr="0025732F" w:rsidRDefault="00100409" w:rsidP="00100409">
      <w:pPr>
        <w:spacing w:after="0" w:line="240" w:lineRule="auto"/>
        <w:jc w:val="center"/>
        <w:rPr>
          <w:rFonts w:cstheme="minorHAnsi"/>
          <w:b/>
          <w:bCs/>
        </w:rPr>
      </w:pPr>
      <w:r w:rsidRPr="0025732F">
        <w:rPr>
          <w:rFonts w:cstheme="minorHAnsi"/>
          <w:b/>
          <w:bCs/>
        </w:rPr>
        <w:t>Neoficiali Teismo sprendimo apžvalga</w:t>
      </w:r>
    </w:p>
    <w:p w14:paraId="7335C97F" w14:textId="77777777" w:rsidR="00100409" w:rsidRPr="0025732F" w:rsidRDefault="00100409" w:rsidP="00100409">
      <w:pPr>
        <w:spacing w:after="0" w:line="240" w:lineRule="auto"/>
        <w:jc w:val="both"/>
        <w:rPr>
          <w:rFonts w:cstheme="minorHAnsi"/>
          <w:b/>
          <w:bCs/>
        </w:rPr>
      </w:pPr>
    </w:p>
    <w:p w14:paraId="346A72F8" w14:textId="736597C1" w:rsidR="00F901EB" w:rsidRPr="0025732F" w:rsidRDefault="00100409" w:rsidP="00F901EB">
      <w:pPr>
        <w:spacing w:after="0" w:line="240" w:lineRule="auto"/>
        <w:ind w:firstLine="567"/>
        <w:jc w:val="both"/>
        <w:rPr>
          <w:rFonts w:cstheme="minorHAnsi"/>
        </w:rPr>
      </w:pPr>
      <w:r w:rsidRPr="0025732F">
        <w:rPr>
          <w:rFonts w:cstheme="minorHAnsi"/>
        </w:rPr>
        <w:t>Kadangi pirmasis pareiškėjas dar nebuvo išsiųstas, klausimas, ar jis, grįžęs į Gambiją, susidurtų su tikra žiauraus elgesio, prieštaraujančio 3 straipsniui, rizika, turėjo būti išnagrinėtas atsižvelgiant į dabartinę situaciją.</w:t>
      </w:r>
    </w:p>
    <w:p w14:paraId="57FFBAC3" w14:textId="1F08ECA0" w:rsidR="00100409" w:rsidRPr="0025732F" w:rsidRDefault="00100409" w:rsidP="00F901EB">
      <w:pPr>
        <w:spacing w:after="0" w:line="240" w:lineRule="auto"/>
        <w:ind w:firstLine="567"/>
        <w:jc w:val="both"/>
        <w:rPr>
          <w:rFonts w:cstheme="minorHAnsi"/>
        </w:rPr>
      </w:pPr>
      <w:r w:rsidRPr="0025732F">
        <w:rPr>
          <w:rFonts w:cstheme="minorHAnsi"/>
        </w:rPr>
        <w:t xml:space="preserve">Asmens seksualinė orientacija sudaro jo(-s) tapatybės pamatinę dalį ir niekas negali būti verčiamas slėpti savo seksualinę orientaciją, kad išvengtų persekiojimo (2017 m. gruodžio 19 d. sprendimas byloje </w:t>
      </w:r>
      <w:r w:rsidRPr="0025732F">
        <w:rPr>
          <w:rFonts w:cstheme="minorHAnsi"/>
          <w:i/>
          <w:iCs/>
        </w:rPr>
        <w:t>I. K. prieš Šveicariją</w:t>
      </w:r>
      <w:r w:rsidRPr="0025732F">
        <w:rPr>
          <w:rFonts w:cstheme="minorHAnsi"/>
        </w:rPr>
        <w:t xml:space="preserve">, pareiškimo Nr. 21417/17). Atsižvelgiant į tai ir nepaisant to, ar pirmojo pareiškėjo seksualinė orientacija šiuo metu buvo žinoma Gambijos valdžios institucijoms ar visuomenei, ji galėtų būti atskleista vėliau, jei pareiškėjas būtų ten išsiųstas. Taip buvo tiek nacionalinių institucijų atlikto vertinimo metu, tiek šiuo metu, po antrojo pareiškėjo mirties, kuri gali paskatinti pirmąjį pareiškėją susirasti kitą partnerį. Teismas nesutiko su nacionalinių institucijų vertinimu, kurios preziumavo, jog Gambijos institucijos ar visuomenė nebūtų sužinojusios apie pirmojo pareiškėjo seksualinę orientaciją. </w:t>
      </w:r>
    </w:p>
    <w:p w14:paraId="08ACBC5C" w14:textId="77777777" w:rsidR="00100409" w:rsidRPr="0025732F" w:rsidRDefault="00100409" w:rsidP="00100409">
      <w:pPr>
        <w:spacing w:after="0" w:line="240" w:lineRule="auto"/>
        <w:ind w:firstLine="720"/>
        <w:jc w:val="both"/>
        <w:rPr>
          <w:rFonts w:cstheme="minorHAnsi"/>
        </w:rPr>
      </w:pPr>
    </w:p>
    <w:p w14:paraId="65C2D004" w14:textId="77777777" w:rsidR="00100409" w:rsidRPr="0025732F" w:rsidRDefault="00100409" w:rsidP="00A82D41">
      <w:pPr>
        <w:spacing w:after="0" w:line="240" w:lineRule="auto"/>
        <w:ind w:firstLine="567"/>
        <w:jc w:val="both"/>
        <w:rPr>
          <w:rFonts w:cstheme="minorHAnsi"/>
          <w:i/>
          <w:iCs/>
        </w:rPr>
      </w:pPr>
      <w:r w:rsidRPr="0025732F">
        <w:rPr>
          <w:rFonts w:cstheme="minorHAnsi"/>
          <w:i/>
          <w:iCs/>
        </w:rPr>
        <w:t>a) Valdžios institucijų žiauraus elgesio rizika</w:t>
      </w:r>
    </w:p>
    <w:p w14:paraId="7DB304F0" w14:textId="17ACB1F5" w:rsidR="00100409" w:rsidRPr="0025732F" w:rsidRDefault="00100409" w:rsidP="00A82D41">
      <w:pPr>
        <w:spacing w:after="0" w:line="240" w:lineRule="auto"/>
        <w:ind w:firstLine="567"/>
        <w:jc w:val="both"/>
        <w:rPr>
          <w:rFonts w:cstheme="minorHAnsi"/>
        </w:rPr>
      </w:pPr>
      <w:r w:rsidRPr="0025732F">
        <w:rPr>
          <w:rFonts w:cstheme="minorHAnsi"/>
        </w:rPr>
        <w:t xml:space="preserve">Homoseksualūs veiksmai vis dar buvo kriminalizuoti Gambijos įstatymų leidėjo ir už juos buvo nustatytos sunkios kalėjimo bausmės. Teismo vertinimu, kuris atitiko 2004 m. gruodžio 9 d. sprendimą byloje </w:t>
      </w:r>
      <w:r w:rsidRPr="0025732F">
        <w:rPr>
          <w:rFonts w:cstheme="minorHAnsi"/>
          <w:i/>
          <w:iCs/>
        </w:rPr>
        <w:t>I. I. N. prieš Nyderlandus</w:t>
      </w:r>
      <w:r w:rsidRPr="0025732F">
        <w:rPr>
          <w:rFonts w:cstheme="minorHAnsi"/>
        </w:rPr>
        <w:t xml:space="preserve"> (pareiškimo Nr. 2035/04) ir Europos Sąjungos Teisingumo Teismo praktiką (2013</w:t>
      </w:r>
      <w:r w:rsidR="00A82D41" w:rsidRPr="0025732F">
        <w:rPr>
          <w:rFonts w:cstheme="minorHAnsi"/>
        </w:rPr>
        <w:t> </w:t>
      </w:r>
      <w:r w:rsidRPr="0025732F">
        <w:rPr>
          <w:rFonts w:cstheme="minorHAnsi"/>
        </w:rPr>
        <w:t>m.</w:t>
      </w:r>
      <w:r w:rsidR="00A82D41" w:rsidRPr="0025732F">
        <w:rPr>
          <w:rFonts w:cstheme="minorHAnsi"/>
        </w:rPr>
        <w:t> </w:t>
      </w:r>
      <w:r w:rsidRPr="0025732F">
        <w:rPr>
          <w:rFonts w:cstheme="minorHAnsi"/>
        </w:rPr>
        <w:t>lapkričio</w:t>
      </w:r>
      <w:r w:rsidR="00A82D41" w:rsidRPr="0025732F">
        <w:rPr>
          <w:rFonts w:cstheme="minorHAnsi"/>
        </w:rPr>
        <w:t> </w:t>
      </w:r>
      <w:r w:rsidRPr="0025732F">
        <w:rPr>
          <w:rFonts w:cstheme="minorHAnsi"/>
        </w:rPr>
        <w:t>7</w:t>
      </w:r>
      <w:r w:rsidR="00A82D41" w:rsidRPr="0025732F">
        <w:rPr>
          <w:rFonts w:cstheme="minorHAnsi"/>
        </w:rPr>
        <w:t> </w:t>
      </w:r>
      <w:r w:rsidRPr="0025732F">
        <w:rPr>
          <w:rFonts w:cstheme="minorHAnsi"/>
        </w:rPr>
        <w:t xml:space="preserve">d. sprendimas byloje </w:t>
      </w:r>
      <w:r w:rsidRPr="0025732F">
        <w:rPr>
          <w:rFonts w:cstheme="minorHAnsi"/>
          <w:i/>
          <w:iCs/>
        </w:rPr>
        <w:t>X, Y ir Z prieš</w:t>
      </w:r>
      <w:r w:rsidRPr="0025732F">
        <w:rPr>
          <w:rFonts w:cstheme="minorHAnsi"/>
        </w:rPr>
        <w:t xml:space="preserve"> </w:t>
      </w:r>
      <w:r w:rsidRPr="0025732F">
        <w:rPr>
          <w:rFonts w:cstheme="minorHAnsi"/>
          <w:i/>
          <w:iCs/>
        </w:rPr>
        <w:t>v Minister voor Immigratie en Asiel, </w:t>
      </w:r>
      <w:r w:rsidRPr="0025732F">
        <w:rPr>
          <w:rFonts w:cstheme="minorHAnsi"/>
        </w:rPr>
        <w:t xml:space="preserve">C-201/12), </w:t>
      </w:r>
      <w:r w:rsidRPr="00E41F1D">
        <w:rPr>
          <w:rFonts w:cstheme="minorHAnsi"/>
          <w:u w:val="single"/>
        </w:rPr>
        <w:t>vien tik įstatymų, nustatančių baudžiamąją atsakomybę už homoseksualius veiksmus paskirties šalyje, egzistavimas nelėmė asmens išsiuntimo į tą valstybę prieštaravimo 3 straipsniui. Lemiama buvo tai, ar buvo reali rizika, kad tie įstatymai bus įgyvendinti praktikoje</w:t>
      </w:r>
      <w:r w:rsidRPr="0025732F">
        <w:rPr>
          <w:rFonts w:cstheme="minorHAnsi"/>
        </w:rPr>
        <w:t xml:space="preserve">, o to, kaip pranešama, šiuo metu Gambijoje nebuvo. Valstybės institucijų persekiojimas dėl seksualinės orientacijos ir lytinės tapatybės taip pat gali vykti nesąžiningų pareigūnų individualių veiksmų pavidalu. Nors nebuvo pranešama apie tokius veiksmus ataskaitose apie Gambiją, buvo pažymėta, kad tai gali būti dėl to, jog apie juos pranešama nepakankamai, ir kad buvo tikėtina, </w:t>
      </w:r>
      <w:r w:rsidRPr="00D268DA">
        <w:rPr>
          <w:rFonts w:cstheme="minorHAnsi"/>
        </w:rPr>
        <w:t>jog LGBTI asmenys</w:t>
      </w:r>
      <w:r w:rsidRPr="0025732F">
        <w:rPr>
          <w:rFonts w:cstheme="minorHAnsi"/>
        </w:rPr>
        <w:t xml:space="preserve">, atvirai parodantys savo seksualinę orientaciją ir/ar lytinę tapatybę, susidurs su valstybinių subjektų diskriminacija. </w:t>
      </w:r>
    </w:p>
    <w:p w14:paraId="57D16312" w14:textId="77777777" w:rsidR="00100409" w:rsidRPr="0025732F" w:rsidRDefault="00100409" w:rsidP="00100409">
      <w:pPr>
        <w:spacing w:after="0" w:line="240" w:lineRule="auto"/>
        <w:ind w:firstLine="720"/>
        <w:jc w:val="both"/>
        <w:rPr>
          <w:rFonts w:cstheme="minorHAnsi"/>
        </w:rPr>
      </w:pPr>
    </w:p>
    <w:p w14:paraId="16D29B5C" w14:textId="77777777" w:rsidR="00100409" w:rsidRPr="0025732F" w:rsidRDefault="00100409" w:rsidP="00A82D41">
      <w:pPr>
        <w:spacing w:after="0" w:line="240" w:lineRule="auto"/>
        <w:ind w:firstLine="567"/>
        <w:jc w:val="both"/>
        <w:rPr>
          <w:rFonts w:cstheme="minorHAnsi"/>
        </w:rPr>
      </w:pPr>
      <w:r w:rsidRPr="0025732F">
        <w:rPr>
          <w:rFonts w:cstheme="minorHAnsi"/>
        </w:rPr>
        <w:t xml:space="preserve">b) </w:t>
      </w:r>
      <w:r w:rsidRPr="0025732F">
        <w:rPr>
          <w:rFonts w:cstheme="minorHAnsi"/>
          <w:i/>
          <w:iCs/>
        </w:rPr>
        <w:t>Nevalstybinių subjektų žiauraus elgesio rizika</w:t>
      </w:r>
      <w:r w:rsidRPr="0025732F">
        <w:rPr>
          <w:rFonts w:cstheme="minorHAnsi"/>
        </w:rPr>
        <w:t xml:space="preserve"> </w:t>
      </w:r>
    </w:p>
    <w:p w14:paraId="289EC887" w14:textId="161CD95C" w:rsidR="00100409" w:rsidRPr="0025732F" w:rsidRDefault="00100409" w:rsidP="00A82D41">
      <w:pPr>
        <w:spacing w:after="0" w:line="240" w:lineRule="auto"/>
        <w:ind w:firstLine="567"/>
        <w:jc w:val="both"/>
        <w:rPr>
          <w:rFonts w:cstheme="minorHAnsi"/>
        </w:rPr>
      </w:pPr>
      <w:r w:rsidRPr="0025732F">
        <w:rPr>
          <w:rFonts w:cstheme="minorHAnsi"/>
        </w:rPr>
        <w:t xml:space="preserve">Nacionalinės institucijos nusprendė, kad pirmojo pareiškėjo pasakojimai apie jo šeimą buvo nepatikimi, atsižvelgiant į jo prieštaringus teiginius, ir darė išvadą, kad nekilo žiauraus elgesio su juo rizika. Teismas nenustatė jokios priežasties spręsti kitaip. </w:t>
      </w:r>
    </w:p>
    <w:p w14:paraId="6E7FAE0B" w14:textId="77777777" w:rsidR="00100409" w:rsidRPr="0025732F" w:rsidRDefault="00100409" w:rsidP="00A82D41">
      <w:pPr>
        <w:spacing w:after="0" w:line="240" w:lineRule="auto"/>
        <w:ind w:firstLine="567"/>
        <w:jc w:val="both"/>
        <w:rPr>
          <w:rFonts w:cstheme="minorHAnsi"/>
        </w:rPr>
      </w:pPr>
      <w:r w:rsidRPr="0025732F">
        <w:rPr>
          <w:rFonts w:cstheme="minorHAnsi"/>
        </w:rPr>
        <w:t xml:space="preserve">Vis dėlto, žiaurus elgesys taip pat gali kilti iš kitų nei šeimos nariai nevalstybinių subjektų. Pranešimuose buvo nurodoma paplitusi homofobija ir LGBTI asmenų diskriminacija po to, kai buvęs prezidentas ne vienerius metus kurstė neapykantą. Į bylą įstoję tretieji asmenys nurodė, kad šie pavojai iš tiesų padidėjo pasikeitus Vyriausybei. </w:t>
      </w:r>
    </w:p>
    <w:p w14:paraId="3344D562" w14:textId="5F84C018" w:rsidR="00100409" w:rsidRPr="0025732F" w:rsidRDefault="00100409" w:rsidP="00A82D41">
      <w:pPr>
        <w:spacing w:after="0" w:line="240" w:lineRule="auto"/>
        <w:ind w:firstLine="567"/>
        <w:jc w:val="both"/>
        <w:rPr>
          <w:rFonts w:cstheme="minorHAnsi"/>
        </w:rPr>
      </w:pPr>
      <w:r w:rsidRPr="0025732F">
        <w:rPr>
          <w:rFonts w:cstheme="minorHAnsi"/>
        </w:rPr>
        <w:t xml:space="preserve">Susijęs klausimas buvo tai, ar Gambijos institucijos galėtų ir norėtų suteikti būtiną apsaugą pirmajam pareiškėjui nuo žiauraus elgesio dėl jo seksualinės orientacijos, kylančio iš nevalstybinių subjektų. Tokios valstybės apsaugos prieinamumas turėjo būti nustatytas Šveicarijos institucijų jų pačių iniciatyva. Vis dėlto, nacionalinės institucijos nevertino valstybės apsaugos nuo žalos, kylančios iš nevalstybinių subjektų, prieinamumo. Buvo požymių, kad Gambijos institucijos iš esmės buvo nelinkusios suteikti apsaugą LGBTI asmenims ir kad </w:t>
      </w:r>
      <w:r w:rsidRPr="00E41F1D">
        <w:rPr>
          <w:rFonts w:cstheme="minorHAnsi"/>
          <w:u w:val="single"/>
        </w:rPr>
        <w:t>būtų buvę nepagrįsta tikėtis, kad LGBTI asmuo kreipsis į institucijas prašydamas apsaugos, kai už tos pačios lyties asmenų seksualinius veiksmus Gambijoje vis dar buvo nustatyta baudžiamoji atsakomybė</w:t>
      </w:r>
      <w:r w:rsidRPr="0025732F">
        <w:rPr>
          <w:rFonts w:cstheme="minorHAnsi"/>
        </w:rPr>
        <w:t>.</w:t>
      </w:r>
      <w:r w:rsidR="00E41F1D">
        <w:rPr>
          <w:rFonts w:cstheme="minorHAnsi"/>
        </w:rPr>
        <w:t xml:space="preserve"> </w:t>
      </w:r>
    </w:p>
    <w:p w14:paraId="72BACDF7" w14:textId="77777777" w:rsidR="00100409" w:rsidRPr="0025732F" w:rsidRDefault="00100409" w:rsidP="00A82D41">
      <w:pPr>
        <w:spacing w:after="0" w:line="240" w:lineRule="auto"/>
        <w:ind w:firstLine="567"/>
        <w:jc w:val="both"/>
        <w:rPr>
          <w:rFonts w:cstheme="minorHAnsi"/>
        </w:rPr>
      </w:pPr>
      <w:r w:rsidRPr="0025732F">
        <w:rPr>
          <w:rFonts w:cstheme="minorHAnsi"/>
        </w:rPr>
        <w:t>Taigi nacionaliniai teismai nepakankamai įvertino nevalstybinių subjektų žiauraus elgesio su pirmuoju pareiškėju kaip homoseksualiu asmeniu Gambijoje riziką bei valstybės apsaugos prieinamumą.</w:t>
      </w:r>
    </w:p>
    <w:p w14:paraId="037C73DF" w14:textId="77777777" w:rsidR="00100409" w:rsidRPr="0025732F" w:rsidRDefault="00100409" w:rsidP="00100409">
      <w:pPr>
        <w:spacing w:after="0" w:line="240" w:lineRule="auto"/>
        <w:ind w:firstLine="720"/>
        <w:jc w:val="both"/>
        <w:rPr>
          <w:rFonts w:cstheme="minorHAnsi"/>
        </w:rPr>
      </w:pPr>
    </w:p>
    <w:p w14:paraId="5875DE4B" w14:textId="77777777" w:rsidR="00100409" w:rsidRPr="0025732F" w:rsidRDefault="00100409" w:rsidP="00E41F1D">
      <w:pPr>
        <w:spacing w:after="0" w:line="240" w:lineRule="auto"/>
        <w:ind w:firstLine="567"/>
        <w:jc w:val="both"/>
        <w:rPr>
          <w:rFonts w:cstheme="minorHAnsi"/>
        </w:rPr>
      </w:pPr>
      <w:r w:rsidRPr="0025732F">
        <w:rPr>
          <w:rFonts w:cstheme="minorHAnsi"/>
        </w:rPr>
        <w:t>Išvada: išsiuntimas, neįvertinus rizikos iš naujo, būtų pažeidimas (vienbalsiai).</w:t>
      </w:r>
    </w:p>
    <w:p w14:paraId="3CDDCA7F" w14:textId="77777777" w:rsidR="00100409" w:rsidRPr="0025732F" w:rsidRDefault="00100409" w:rsidP="00E41F1D">
      <w:pPr>
        <w:spacing w:after="0" w:line="240" w:lineRule="auto"/>
        <w:ind w:firstLine="567"/>
        <w:jc w:val="both"/>
        <w:rPr>
          <w:rFonts w:cstheme="minorHAnsi"/>
        </w:rPr>
      </w:pPr>
      <w:r w:rsidRPr="0025732F">
        <w:rPr>
          <w:rFonts w:cstheme="minorHAnsi"/>
        </w:rPr>
        <w:t>41 straipsnis: nepateiktas žalos atlyginimo prašymas.</w:t>
      </w:r>
    </w:p>
    <w:p w14:paraId="23AE4F84" w14:textId="77777777" w:rsidR="00100409" w:rsidRPr="0025732F" w:rsidRDefault="00100409" w:rsidP="00E41F1D">
      <w:pPr>
        <w:spacing w:after="0" w:line="240" w:lineRule="auto"/>
        <w:ind w:firstLine="567"/>
        <w:jc w:val="both"/>
        <w:rPr>
          <w:rFonts w:cstheme="minorHAnsi"/>
        </w:rPr>
      </w:pPr>
      <w:r w:rsidRPr="0025732F">
        <w:rPr>
          <w:rFonts w:cstheme="minorHAnsi"/>
        </w:rPr>
        <w:lastRenderedPageBreak/>
        <w:t>Teismas išbraukė antrojo pareiškėjo prašymą, kadangi jis mirė, ir nusprendė, kad nebuvo būtina nagrinėti skundo pagal 8 straipsnį.</w:t>
      </w:r>
    </w:p>
    <w:p w14:paraId="712D4B93" w14:textId="77777777" w:rsidR="00100409" w:rsidRPr="0025732F" w:rsidRDefault="006922FB" w:rsidP="00100409">
      <w:pPr>
        <w:spacing w:after="0" w:line="240" w:lineRule="auto"/>
        <w:ind w:firstLine="720"/>
        <w:jc w:val="both"/>
        <w:rPr>
          <w:rFonts w:cstheme="minorHAnsi"/>
        </w:rPr>
      </w:pPr>
      <w:hyperlink r:id="rId10" w:anchor="{%22appno%22:[%22889/19%22],%22documentcollectionid2%22:[%22GRANDCHAMBER%22,%22CHAMBER%22],%22itemid%22:[%22001-206153%22]}" w:history="1">
        <w:r w:rsidR="00100409" w:rsidRPr="0025732F">
          <w:rPr>
            <w:rStyle w:val="Hipersaitas"/>
            <w:rFonts w:cstheme="minorHAnsi"/>
          </w:rPr>
          <w:t>Prieiga internete</w:t>
        </w:r>
      </w:hyperlink>
    </w:p>
    <w:p w14:paraId="4008D5E2" w14:textId="77777777" w:rsidR="00D138CC" w:rsidRPr="0025732F" w:rsidRDefault="00D138CC" w:rsidP="00D138CC">
      <w:pPr>
        <w:spacing w:after="0" w:line="240" w:lineRule="auto"/>
        <w:ind w:firstLine="567"/>
        <w:jc w:val="center"/>
        <w:rPr>
          <w:rFonts w:cstheme="minorHAnsi"/>
          <w:b/>
        </w:rPr>
      </w:pPr>
    </w:p>
    <w:p w14:paraId="713C1B1E" w14:textId="36CEB678" w:rsidR="00C54B35" w:rsidRPr="0025732F" w:rsidRDefault="00C54B35" w:rsidP="00005ED2">
      <w:pPr>
        <w:pStyle w:val="Antrat1"/>
      </w:pPr>
      <w:bookmarkStart w:id="5" w:name="_Toc72932261"/>
      <w:r w:rsidRPr="0025732F">
        <w:t xml:space="preserve">TEISĖ Į TEISINGĄ BYLOS NAGRINĖJIMĄ (6 </w:t>
      </w:r>
      <w:r w:rsidR="00A93147" w:rsidRPr="0025732F">
        <w:t>straipsnis</w:t>
      </w:r>
      <w:r w:rsidRPr="0025732F">
        <w:t>)</w:t>
      </w:r>
      <w:bookmarkEnd w:id="5"/>
    </w:p>
    <w:p w14:paraId="129CB4CE" w14:textId="77777777" w:rsidR="00005ED2" w:rsidRPr="0025732F" w:rsidRDefault="00005ED2" w:rsidP="00005ED2">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4AFF4300" w14:textId="0A665377" w:rsidR="00005ED2" w:rsidRPr="0025732F" w:rsidRDefault="00005ED2" w:rsidP="00005ED2">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Europos Žmogaus Teisių Teismo 2020 m. rugsėjo 15 d. sprendimas byloje</w:t>
      </w:r>
    </w:p>
    <w:p w14:paraId="3DBA2C7E" w14:textId="77777777" w:rsidR="00005ED2" w:rsidRPr="0025732F" w:rsidRDefault="00005ED2" w:rsidP="009C6F4D">
      <w:pPr>
        <w:pStyle w:val="Antrat2"/>
        <w:ind w:firstLine="0"/>
        <w:jc w:val="center"/>
        <w:rPr>
          <w:i/>
          <w:iCs w:val="0"/>
        </w:rPr>
      </w:pPr>
      <w:bookmarkStart w:id="6" w:name="_Toc72932262"/>
      <w:r w:rsidRPr="0025732F">
        <w:rPr>
          <w:i/>
          <w:iCs w:val="0"/>
        </w:rPr>
        <w:t>Čivinskaitė prieš Lietuvą</w:t>
      </w:r>
      <w:bookmarkEnd w:id="6"/>
    </w:p>
    <w:p w14:paraId="2A49C148" w14:textId="12B4E1F4" w:rsidR="00005ED2" w:rsidRPr="0025732F" w:rsidRDefault="00005ED2" w:rsidP="00005ED2">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 xml:space="preserve">(pareiškimo Nr. 21218/12, svarbos lygis – </w:t>
      </w:r>
      <w:r w:rsidR="00D74E1D" w:rsidRPr="0025732F">
        <w:rPr>
          <w:rFonts w:eastAsia="Times New Roman" w:cstheme="minorHAnsi"/>
          <w:b/>
        </w:rPr>
        <w:t>2</w:t>
      </w:r>
      <w:r w:rsidRPr="0025732F">
        <w:rPr>
          <w:rFonts w:eastAsia="Times New Roman" w:cstheme="minorHAnsi"/>
          <w:b/>
        </w:rPr>
        <w:t>)</w:t>
      </w:r>
    </w:p>
    <w:p w14:paraId="6A88A306" w14:textId="77777777" w:rsidR="00005ED2" w:rsidRPr="009C6F4D" w:rsidRDefault="00005ED2" w:rsidP="009C6F4D"/>
    <w:p w14:paraId="16E2FC0B" w14:textId="188577B7" w:rsidR="00005ED2" w:rsidRPr="0025732F" w:rsidRDefault="00005ED2" w:rsidP="00005ED2">
      <w:pPr>
        <w:pStyle w:val="Antrat3"/>
        <w:spacing w:before="0" w:line="240" w:lineRule="auto"/>
        <w:ind w:firstLine="567"/>
        <w:jc w:val="both"/>
        <w:rPr>
          <w:rFonts w:ascii="Calibri" w:eastAsia="Calibri" w:hAnsi="Calibri" w:cs="Calibri"/>
          <w:bCs/>
          <w:iCs/>
          <w:szCs w:val="22"/>
        </w:rPr>
      </w:pPr>
      <w:bookmarkStart w:id="7" w:name="_Toc52184417"/>
      <w:bookmarkStart w:id="8" w:name="_Toc72932263"/>
      <w:r w:rsidRPr="0025732F">
        <w:rPr>
          <w:rFonts w:ascii="Calibri" w:eastAsia="Calibri" w:hAnsi="Calibri" w:cs="Calibri"/>
          <w:bCs/>
          <w:iCs/>
          <w:szCs w:val="22"/>
        </w:rPr>
        <w:t xml:space="preserve">Dėl </w:t>
      </w:r>
      <w:bookmarkEnd w:id="7"/>
      <w:r w:rsidRPr="0025732F">
        <w:rPr>
          <w:rFonts w:ascii="Calibri" w:eastAsia="Calibri" w:hAnsi="Calibri" w:cs="Calibri"/>
          <w:bCs/>
          <w:iCs/>
          <w:szCs w:val="22"/>
        </w:rPr>
        <w:t>parlamentinio tyrimo, Prezidentės žiniasklaidoje pateiktų viešų pareiškimų ir padidėjusio žiniasklaidos dėmesio įtakos drausminės nuobaudos</w:t>
      </w:r>
      <w:r w:rsidR="00E41F1D">
        <w:rPr>
          <w:rFonts w:ascii="Calibri" w:eastAsia="Calibri" w:hAnsi="Calibri" w:cs="Calibri"/>
          <w:bCs/>
          <w:iCs/>
          <w:szCs w:val="22"/>
        </w:rPr>
        <w:t xml:space="preserve"> prokurorei</w:t>
      </w:r>
      <w:r w:rsidRPr="0025732F">
        <w:rPr>
          <w:rFonts w:ascii="Calibri" w:eastAsia="Calibri" w:hAnsi="Calibri" w:cs="Calibri"/>
          <w:bCs/>
          <w:iCs/>
          <w:szCs w:val="22"/>
        </w:rPr>
        <w:t xml:space="preserve"> paskyrimui</w:t>
      </w:r>
      <w:bookmarkEnd w:id="8"/>
      <w:r w:rsidR="00E41F1D">
        <w:rPr>
          <w:rFonts w:ascii="Calibri" w:eastAsia="Calibri" w:hAnsi="Calibri" w:cs="Calibri"/>
          <w:bCs/>
          <w:iCs/>
          <w:szCs w:val="22"/>
        </w:rPr>
        <w:t xml:space="preserve"> </w:t>
      </w:r>
    </w:p>
    <w:p w14:paraId="1CEBE3D3"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08FE77A" w14:textId="20D0FBA2" w:rsidR="00005ED2" w:rsidRPr="0025732F" w:rsidRDefault="00005ED2" w:rsidP="00005ED2">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0C52438E" w14:textId="77777777" w:rsidR="00005ED2" w:rsidRPr="0025732F" w:rsidRDefault="00005ED2" w:rsidP="00005ED2">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p>
    <w:p w14:paraId="4BAFF448" w14:textId="49AA7613"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 2008–2009 m. prižiūrėjo ikiteisminį tyrimą dėl mažamečio seksualinio tvirkinimo, kuris sulaukė didelio visuomenės, Prezidentės ir žiniasklaidos dėmesio. Prezidentė išreiškė viešą kritiką valstybės pareigūnams, atsakingiems už ikiteisminio tyrimo vykdymą, ragindama patraukti atsakomybėn tuos pareigūnus, kurie buvo atsakingi už ikiteisminio tyrimo trūkumus. Visuomenės informavimo priemonėse buvo skelbiamas ne vienas straipsnis atliekamo ikiteisminio tyrimo tema. Atlikusi tyrimą dėl ikiteisminio tyrimo vykdymo, Generalinė prokuratūra iškėlė pareiškėjai drausmės bylą ir 2009 m. pažemino ją pareigose. Nesutikusi su jai paskirta drausmine nuobauda, pareiškėja kreipėsi į administracinius teismus, tačiau pirmosios instancijos teismas jos skundą atmetė kaip nepagrįstą, o apeliacinės instancijos teismas jos apeliaciją pripažino nepagrįsta. Teismai pripažino, kad pareiškėja neoperatyviai vykdė ikiteisminį tyrimą, o paskirta drausminė nuobauda proporcinga padarytiems pažeidimams.</w:t>
      </w:r>
    </w:p>
    <w:p w14:paraId="044E3BC3" w14:textId="1639D909" w:rsidR="0025732F" w:rsidRPr="0025732F" w:rsidRDefault="0025732F"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Remdamasi Konvencijos 6 straipsnio 1 ir 2 dalimis, pareiškėja teigė, kad dėl politi</w:t>
      </w:r>
      <w:r>
        <w:rPr>
          <w:rFonts w:eastAsia="Times New Roman" w:cstheme="minorHAnsi"/>
          <w:color w:val="000000"/>
        </w:rPr>
        <w:t xml:space="preserve">kų </w:t>
      </w:r>
      <w:r w:rsidRPr="0025732F">
        <w:rPr>
          <w:rFonts w:eastAsia="Times New Roman" w:cstheme="minorHAnsi"/>
          <w:color w:val="000000"/>
        </w:rPr>
        <w:t>ir žiniasklaidos spaudimo drausminės nuobaudos skyrimo procedūra nebuvo sąžininga.</w:t>
      </w:r>
    </w:p>
    <w:p w14:paraId="383B5A81" w14:textId="77777777" w:rsidR="00005ED2" w:rsidRPr="0025732F" w:rsidRDefault="00005ED2" w:rsidP="00005ED2">
      <w:pPr>
        <w:spacing w:after="0" w:line="240" w:lineRule="auto"/>
        <w:ind w:right="-1" w:firstLine="567"/>
        <w:jc w:val="both"/>
        <w:rPr>
          <w:rFonts w:eastAsia="Times New Roman" w:cstheme="minorHAnsi"/>
          <w:color w:val="000000"/>
        </w:rPr>
      </w:pPr>
    </w:p>
    <w:p w14:paraId="580BD35D" w14:textId="77777777" w:rsidR="00005ED2" w:rsidRPr="0025732F" w:rsidRDefault="00005ED2" w:rsidP="00005ED2">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58B88215"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9633DAA" w14:textId="7F659585"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Pirmiausia, įvertinęs tai, kad pareiškėja pareiškimu grindė tai, </w:t>
      </w:r>
      <w:r w:rsidR="00E41F1D">
        <w:rPr>
          <w:rFonts w:eastAsia="Times New Roman" w:cstheme="minorHAnsi"/>
          <w:color w:val="000000"/>
        </w:rPr>
        <w:t>jog</w:t>
      </w:r>
      <w:r w:rsidRPr="0025732F">
        <w:rPr>
          <w:rFonts w:eastAsia="Times New Roman" w:cstheme="minorHAnsi"/>
          <w:color w:val="000000"/>
        </w:rPr>
        <w:t xml:space="preserve"> drausminė nuobauda jai buvo paskirta nesąžiningai, nes jos skyrimo metu buvo jaučiamas spaudimas iš visuomenės, žiniasklaidos ir Prezidentės, Teismas apsibrėžė, kad šiuo atveju bus sprendžiama tik tai, ar politikų ir žiniasklaidos susidomėjimas ikiteisminiu tyrimu, kurį prižiūrėjo pareiškėja, turėjo kokią nors įtaką administracinių teismų, nagrinėjusių pareiškėjos skundus dėl jai paskirtos drausminės nuobaudos teisėtumo ir pagrįstumo, nepriklausomumui ir nešališkumui.</w:t>
      </w:r>
    </w:p>
    <w:p w14:paraId="2F417B06"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Teismo vertinimu, </w:t>
      </w:r>
      <w:r w:rsidRPr="00E41F1D">
        <w:rPr>
          <w:rFonts w:eastAsia="Times New Roman" w:cstheme="minorHAnsi"/>
          <w:color w:val="000000"/>
          <w:u w:val="single"/>
        </w:rPr>
        <w:t>byla teisingai išnagrinėta gali būti net ir esant intensyviam visuomenės, politikų ar žiniasklaidos susidomėjimui. Toks susidomėjimas yra neišvengiamas demokratinėje visuomenėje, todėl negalima teigti, kad jis savaime pažeidžia pareiškėjos teisę į teisingą bylos nagrinėjimą</w:t>
      </w:r>
      <w:r w:rsidRPr="0025732F">
        <w:rPr>
          <w:rFonts w:eastAsia="Times New Roman" w:cstheme="minorHAnsi"/>
          <w:color w:val="000000"/>
        </w:rPr>
        <w:t>. Esant minėtam susidomėjimui, turi būti įvertinta, ar nacionalinėje teisinėje sistemoje yra pakankamai procesinių priemonių, kurios užtikrintų teisingą bylos nagrinėjimo procesą, ar egzistuoja kokie nors įrodymai, keliantys objektyviai pagrįstą susirūpinimą teisėjų, nagrinėjančių rezonansines bylas, nešališkumu.</w:t>
      </w:r>
    </w:p>
    <w:p w14:paraId="7E196DF7" w14:textId="3548C49F"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Nors parlamentiniame tyrime dėl ikiteisminio tyrimo vilkinimo pareiškėja buvo nurodyta kaip viena iš pareigūnų, kurie gal</w:t>
      </w:r>
      <w:r w:rsidR="00EE4FA2" w:rsidRPr="0025732F">
        <w:rPr>
          <w:rFonts w:eastAsia="Times New Roman" w:cstheme="minorHAnsi"/>
          <w:color w:val="000000"/>
        </w:rPr>
        <w:t>būt</w:t>
      </w:r>
      <w:r w:rsidRPr="0025732F">
        <w:rPr>
          <w:rFonts w:eastAsia="Times New Roman" w:cstheme="minorHAnsi"/>
          <w:color w:val="000000"/>
        </w:rPr>
        <w:t xml:space="preserve"> atsakingi už neoperatyviai atliktą ikiteisminį tyrimą, tačiau šiame tyrime buvo aiškiai </w:t>
      </w:r>
      <w:r w:rsidR="00E41F1D">
        <w:rPr>
          <w:rFonts w:eastAsia="Times New Roman" w:cstheme="minorHAnsi"/>
          <w:color w:val="000000"/>
        </w:rPr>
        <w:t>pažymėt</w:t>
      </w:r>
      <w:r w:rsidRPr="0025732F">
        <w:rPr>
          <w:rFonts w:eastAsia="Times New Roman" w:cstheme="minorHAnsi"/>
          <w:color w:val="000000"/>
        </w:rPr>
        <w:t xml:space="preserve">a, kad ši informacija yra gauta iš Generalinės prokuratūros ir jos teisingumas parlamentinio tyrimo komiteto narių nebuvo vertintas. Teismo vertinimu, parlamentinis tyrimas pateisinamas dėl visuomenėje kilusio didelio skandalo dėl atliktų nusikalstamų veikų. Teismas padarė išvadą, kad Prezidentės pareiškimai buvo bendro pobūdžio, juose nebuvo aptariami ir nurodomi konkretūs pareigūnai, prisidėję prie ikiteisminio tyrimo vykdymo. Teismas atkreipė dėmesį į tai, kad nors Prezidentė, reikšdama kritiką, reikalavo griežtų drausminių nuobaudų taikymo, tačiau administraciniai teismai nepasinaudojo jiems suteikta diskrecijos teise ir nepritaikė pareiškėjai griežtesnės nuobaudos nei ta, kurią pareiškėjai pritaikė Generalinis prokuroras </w:t>
      </w:r>
      <w:r w:rsidRPr="0025732F">
        <w:rPr>
          <w:rFonts w:eastAsia="Times New Roman" w:cstheme="minorHAnsi"/>
          <w:color w:val="000000"/>
        </w:rPr>
        <w:lastRenderedPageBreak/>
        <w:t xml:space="preserve">tarnybinio pažeidimo procedūros metu. Žiniasklaidos didelis susidomėjimas ikiteisminiu tyrimu, teismo nuomone, buvo pateisinamas, įvertinus nusikalstamų veikų pobūdį, jų rimtumą bei akivaizdžius įrodymus dėl valstybės pareigūnų nesugebėjimo tinkamai vykdyti jiems pavestas funkcijas. Teismas nenustatė, kad teisėjams, nagrinėjusiems pareiškėjos bylą pirmojoje ir apeliacinėje instancijose, įtaką darė žiniasklaidos publikacijos. Teismo nuomone, publikacijose vartojama kalba nebuvo tokia, iš kurios būtų galima daryti vienareikšmiškas išvadas, jog pareiškėja yra atsakinga už konkrečius ikiteisminio tyrimo proceso pažeidimus. Teismas, išnagrinėjęs bylos medžiagą, padarė išvadą, kad </w:t>
      </w:r>
      <w:r w:rsidRPr="00E41F1D">
        <w:rPr>
          <w:rFonts w:eastAsia="Times New Roman" w:cstheme="minorHAnsi"/>
          <w:color w:val="000000"/>
          <w:u w:val="single"/>
        </w:rPr>
        <w:t>pareiškėjos bylą sprendė kompetentingi teisėjai, kurių pasirengimas ir patirtis leido atsiriboti nuo parlamentinio tyrimo, žiniasklaidos bei Prezidentės viešų pasisakymų</w:t>
      </w:r>
      <w:r w:rsidRPr="0025732F">
        <w:rPr>
          <w:rFonts w:eastAsia="Times New Roman" w:cstheme="minorHAnsi"/>
          <w:color w:val="000000"/>
        </w:rPr>
        <w:t>.</w:t>
      </w:r>
    </w:p>
    <w:p w14:paraId="309CA64D"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E41F1D">
        <w:rPr>
          <w:rFonts w:eastAsia="Times New Roman" w:cstheme="minorHAnsi"/>
          <w:color w:val="000000"/>
          <w:u w:val="single"/>
        </w:rPr>
        <w:t xml:space="preserve">Teismas, vertindamas tai, kad administraciniai teismai nepateikė jokio vertinimo dėl pareiškėjos skundo argumentų dėl politinio ir žiniasklaidos kišimosi, kuris, pareiškėjos nuomone, turėjo įtakos jos drausminės nuobaudos skyrimui, atkreipė dėmesį į tai, kad šis pareiškėjos skundo argumentas buvo suformuluotas labai lakoniškai, o administraciniai teismai pateikė pakankamai išsamius argumentus, kuriais pripažino, kad drausminė nuobauda pareiškėjai paskirta pagrįstai ir yra teisėta. Todėl Teismas konstatavo, kad toks teismų „tylėjimas“ (angl. </w:t>
      </w:r>
      <w:r w:rsidRPr="00E41F1D">
        <w:rPr>
          <w:rFonts w:ascii="Calibri" w:hAnsi="Calibri" w:cs="Calibri"/>
          <w:i/>
          <w:u w:val="single"/>
        </w:rPr>
        <w:t>courts‘ silence</w:t>
      </w:r>
      <w:r w:rsidRPr="00E41F1D">
        <w:rPr>
          <w:rFonts w:ascii="Calibri" w:hAnsi="Calibri" w:cs="Calibri"/>
          <w:u w:val="single"/>
        </w:rPr>
        <w:t>)</w:t>
      </w:r>
      <w:r w:rsidRPr="00E41F1D">
        <w:rPr>
          <w:rFonts w:eastAsia="Times New Roman" w:cstheme="minorHAnsi"/>
          <w:color w:val="000000"/>
          <w:u w:val="single"/>
        </w:rPr>
        <w:t xml:space="preserve"> traktuotinas kaip skundo argumentų dėl politikų ir žiniasklaidos kišimosi atmetimu</w:t>
      </w:r>
      <w:r w:rsidRPr="0025732F">
        <w:rPr>
          <w:rFonts w:eastAsia="Times New Roman" w:cstheme="minorHAnsi"/>
          <w:color w:val="000000"/>
        </w:rPr>
        <w:t>.</w:t>
      </w:r>
    </w:p>
    <w:p w14:paraId="04A49E56"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Atsižvelgęs į tai, ką nustatė, Teismas padarė išvadą, kad šiuo atveju nėra įrodymų, leidžiančių abejoti administracinių teismų, nagrinėjusių pareiškėjos bylą, nepriklausomumu ir nešališkumu.</w:t>
      </w:r>
    </w:p>
    <w:p w14:paraId="3A5AEBDC" w14:textId="77777777" w:rsidR="00005ED2" w:rsidRPr="0025732F" w:rsidRDefault="00005ED2" w:rsidP="00005ED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D172D9D" w14:textId="77777777" w:rsidR="00005ED2" w:rsidRPr="0025732F" w:rsidRDefault="00005ED2" w:rsidP="00005ED2">
      <w:pPr>
        <w:spacing w:after="0" w:line="240" w:lineRule="auto"/>
        <w:ind w:right="-1" w:firstLine="567"/>
        <w:jc w:val="both"/>
        <w:rPr>
          <w:rFonts w:cstheme="minorHAnsi"/>
        </w:rPr>
      </w:pPr>
      <w:r w:rsidRPr="0025732F">
        <w:rPr>
          <w:rFonts w:cstheme="minorHAnsi"/>
        </w:rPr>
        <w:t>Išvada: Konvencijos 6 straipsnio 1 dalies pažeidimas nenustatytas (6 balsai prieš 1)</w:t>
      </w:r>
    </w:p>
    <w:p w14:paraId="0D3DBFF2" w14:textId="77777777" w:rsidR="00005ED2" w:rsidRPr="0025732F" w:rsidRDefault="00005ED2" w:rsidP="00005ED2">
      <w:pPr>
        <w:spacing w:after="0" w:line="240" w:lineRule="auto"/>
        <w:ind w:right="-1" w:firstLine="567"/>
        <w:jc w:val="both"/>
        <w:rPr>
          <w:rFonts w:cstheme="minorHAnsi"/>
        </w:rPr>
      </w:pPr>
      <w:r w:rsidRPr="0025732F">
        <w:rPr>
          <w:rFonts w:cstheme="minorHAnsi"/>
        </w:rPr>
        <w:t>(pateikta atskiroji nuomonė)</w:t>
      </w:r>
    </w:p>
    <w:p w14:paraId="14F96D93" w14:textId="77777777" w:rsidR="00005ED2" w:rsidRPr="0025732F" w:rsidRDefault="006922FB" w:rsidP="00005ED2">
      <w:pPr>
        <w:spacing w:after="0" w:line="240" w:lineRule="auto"/>
        <w:ind w:right="-1" w:firstLine="567"/>
        <w:jc w:val="both"/>
        <w:rPr>
          <w:rFonts w:cstheme="minorHAnsi"/>
        </w:rPr>
      </w:pPr>
      <w:hyperlink r:id="rId11" w:anchor="{%22itemid%22:[%22001-204601%22]}" w:history="1">
        <w:r w:rsidR="00005ED2" w:rsidRPr="0025732F">
          <w:rPr>
            <w:rFonts w:cstheme="minorHAnsi"/>
            <w:color w:val="0000FF"/>
            <w:u w:val="single"/>
          </w:rPr>
          <w:t>Prieiga internete</w:t>
        </w:r>
      </w:hyperlink>
    </w:p>
    <w:p w14:paraId="7D466F3E" w14:textId="77777777" w:rsidR="00005ED2" w:rsidRPr="0025732F" w:rsidRDefault="00005ED2" w:rsidP="00D138CC">
      <w:pPr>
        <w:spacing w:after="0" w:line="240" w:lineRule="auto"/>
        <w:ind w:firstLine="567"/>
        <w:jc w:val="center"/>
        <w:rPr>
          <w:rFonts w:cstheme="minorHAnsi"/>
          <w:b/>
          <w:bCs/>
          <w:color w:val="000000"/>
        </w:rPr>
      </w:pPr>
    </w:p>
    <w:p w14:paraId="2D90AD00" w14:textId="2A9D57C0" w:rsidR="00D138CC" w:rsidRPr="0025732F" w:rsidRDefault="00D138CC" w:rsidP="00D138CC">
      <w:pPr>
        <w:spacing w:after="0" w:line="240" w:lineRule="auto"/>
        <w:ind w:firstLine="567"/>
        <w:jc w:val="center"/>
        <w:rPr>
          <w:rFonts w:cstheme="minorHAnsi"/>
          <w:b/>
        </w:rPr>
      </w:pPr>
      <w:r w:rsidRPr="0025732F">
        <w:rPr>
          <w:rFonts w:cstheme="minorHAnsi"/>
          <w:b/>
        </w:rPr>
        <w:t xml:space="preserve">Europos Žmogaus Teisių Teismo 2020 m. lapkričio 10 d. sprendimas byloje </w:t>
      </w:r>
    </w:p>
    <w:p w14:paraId="2249A521" w14:textId="77777777" w:rsidR="00D138CC" w:rsidRPr="0025732F" w:rsidRDefault="00D138CC" w:rsidP="009C6F4D">
      <w:pPr>
        <w:pStyle w:val="Antrat2"/>
        <w:ind w:firstLine="0"/>
        <w:jc w:val="center"/>
        <w:rPr>
          <w:i/>
          <w:iCs w:val="0"/>
        </w:rPr>
      </w:pPr>
      <w:bookmarkStart w:id="9" w:name="_Toc72932264"/>
      <w:r w:rsidRPr="0025732F">
        <w:rPr>
          <w:i/>
          <w:iCs w:val="0"/>
        </w:rPr>
        <w:t>Vegotex International S.A. prieš Belgiją</w:t>
      </w:r>
      <w:bookmarkEnd w:id="9"/>
    </w:p>
    <w:p w14:paraId="7E50AB71" w14:textId="5241296E" w:rsidR="00D138CC" w:rsidRPr="0025732F" w:rsidRDefault="00D138CC" w:rsidP="00D138CC">
      <w:pPr>
        <w:spacing w:after="0" w:line="240" w:lineRule="auto"/>
        <w:ind w:firstLine="567"/>
        <w:jc w:val="center"/>
        <w:rPr>
          <w:rFonts w:cstheme="minorHAnsi"/>
          <w:b/>
        </w:rPr>
      </w:pPr>
      <w:r w:rsidRPr="0025732F">
        <w:rPr>
          <w:rFonts w:cstheme="minorHAnsi"/>
          <w:b/>
        </w:rPr>
        <w:t xml:space="preserve">(pareiškimo Nr. </w:t>
      </w:r>
      <w:r w:rsidRPr="0025732F">
        <w:rPr>
          <w:rFonts w:cstheme="minorHAnsi"/>
          <w:b/>
          <w:bCs/>
          <w:iCs/>
        </w:rPr>
        <w:t>49812/09</w:t>
      </w:r>
      <w:r w:rsidR="00DC1C6C" w:rsidRPr="0025732F">
        <w:rPr>
          <w:rFonts w:cstheme="minorHAnsi"/>
          <w:b/>
          <w:bCs/>
          <w:iCs/>
        </w:rPr>
        <w:t xml:space="preserve">, svarbos lygis </w:t>
      </w:r>
      <w:r w:rsidR="00AE54D5" w:rsidRPr="0025732F">
        <w:rPr>
          <w:rFonts w:cstheme="minorHAnsi"/>
          <w:b/>
          <w:bCs/>
          <w:iCs/>
        </w:rPr>
        <w:t>–</w:t>
      </w:r>
      <w:r w:rsidR="00DC1C6C" w:rsidRPr="0025732F">
        <w:rPr>
          <w:rFonts w:cstheme="minorHAnsi"/>
          <w:b/>
          <w:bCs/>
          <w:iCs/>
        </w:rPr>
        <w:t xml:space="preserve"> </w:t>
      </w:r>
      <w:r w:rsidR="00AE54D5" w:rsidRPr="0025732F">
        <w:rPr>
          <w:rFonts w:cstheme="minorHAnsi"/>
          <w:b/>
          <w:bCs/>
          <w:iCs/>
        </w:rPr>
        <w:t>2)</w:t>
      </w:r>
    </w:p>
    <w:p w14:paraId="77CE00B0" w14:textId="77777777" w:rsidR="00D138CC" w:rsidRPr="0025732F" w:rsidRDefault="00D138CC" w:rsidP="00D138CC">
      <w:pPr>
        <w:pStyle w:val="s6c429373"/>
        <w:spacing w:before="0" w:beforeAutospacing="0" w:after="0" w:afterAutospacing="0"/>
        <w:ind w:firstLine="567"/>
        <w:jc w:val="both"/>
        <w:rPr>
          <w:rStyle w:val="sfbbfee58"/>
          <w:rFonts w:asciiTheme="minorHAnsi" w:hAnsiTheme="minorHAnsi" w:cstheme="minorHAnsi"/>
          <w:i/>
          <w:sz w:val="22"/>
          <w:szCs w:val="22"/>
        </w:rPr>
      </w:pPr>
    </w:p>
    <w:p w14:paraId="34FD5CD8" w14:textId="77777777" w:rsidR="00D138CC" w:rsidRPr="0025732F" w:rsidRDefault="00D138CC" w:rsidP="00E764F0">
      <w:pPr>
        <w:pStyle w:val="Antrat3"/>
        <w:ind w:firstLine="567"/>
        <w:jc w:val="both"/>
        <w:rPr>
          <w:rStyle w:val="sfbbfee58"/>
          <w:rFonts w:cstheme="minorHAnsi"/>
          <w:szCs w:val="22"/>
        </w:rPr>
      </w:pPr>
      <w:bookmarkStart w:id="10" w:name="_Toc72932265"/>
      <w:r w:rsidRPr="0025732F">
        <w:rPr>
          <w:rStyle w:val="sfbbfee58"/>
          <w:rFonts w:cstheme="minorHAnsi"/>
          <w:szCs w:val="22"/>
        </w:rPr>
        <w:t xml:space="preserve">Dėl įstatymų </w:t>
      </w:r>
      <w:r w:rsidRPr="0025732F">
        <w:rPr>
          <w:rStyle w:val="sfbbfee58"/>
        </w:rPr>
        <w:t>leidėjo</w:t>
      </w:r>
      <w:r w:rsidRPr="0025732F">
        <w:rPr>
          <w:rStyle w:val="sfbbfee58"/>
          <w:rFonts w:cstheme="minorHAnsi"/>
          <w:szCs w:val="22"/>
        </w:rPr>
        <w:t xml:space="preserve"> intervencijos atkuriant mokesčių administratoriaus sprendimo, kuriuo nutraukiama mokesčių skolos išieškojimo senatis, poveikį tebevykstančiuose procesuose</w:t>
      </w:r>
      <w:bookmarkEnd w:id="10"/>
    </w:p>
    <w:p w14:paraId="76DF9C83" w14:textId="77777777" w:rsidR="00D138CC" w:rsidRPr="0025732F" w:rsidRDefault="00D138CC" w:rsidP="00D138CC">
      <w:pPr>
        <w:spacing w:after="0" w:line="240" w:lineRule="auto"/>
        <w:ind w:firstLine="567"/>
        <w:rPr>
          <w:rFonts w:cstheme="minorHAnsi"/>
        </w:rPr>
      </w:pPr>
    </w:p>
    <w:p w14:paraId="7B8449D1" w14:textId="77777777" w:rsidR="00D138CC" w:rsidRPr="0025732F" w:rsidRDefault="00D138CC" w:rsidP="00D138CC">
      <w:pPr>
        <w:spacing w:after="0" w:line="240" w:lineRule="auto"/>
        <w:jc w:val="center"/>
        <w:rPr>
          <w:rFonts w:cstheme="minorHAnsi"/>
          <w:b/>
        </w:rPr>
      </w:pPr>
      <w:r w:rsidRPr="0025732F">
        <w:rPr>
          <w:rFonts w:cstheme="minorHAnsi"/>
          <w:b/>
        </w:rPr>
        <w:t>Faktinės aplinkybės</w:t>
      </w:r>
    </w:p>
    <w:p w14:paraId="1D10DD6D" w14:textId="77777777" w:rsidR="00D138CC" w:rsidRPr="0025732F" w:rsidRDefault="00D138CC" w:rsidP="00D138CC">
      <w:pPr>
        <w:spacing w:after="0" w:line="240" w:lineRule="auto"/>
        <w:ind w:firstLine="567"/>
        <w:rPr>
          <w:rFonts w:cstheme="minorHAnsi"/>
          <w:b/>
        </w:rPr>
      </w:pPr>
    </w:p>
    <w:p w14:paraId="2B0B53E0" w14:textId="77777777" w:rsidR="00D138CC" w:rsidRPr="0025732F" w:rsidRDefault="00D138CC" w:rsidP="00E41F1D">
      <w:pPr>
        <w:spacing w:after="0" w:line="240" w:lineRule="auto"/>
        <w:ind w:firstLine="567"/>
        <w:jc w:val="both"/>
        <w:rPr>
          <w:rFonts w:cstheme="minorHAnsi"/>
        </w:rPr>
      </w:pPr>
      <w:r w:rsidRPr="0025732F">
        <w:rPr>
          <w:rFonts w:cstheme="minorHAnsi"/>
        </w:rPr>
        <w:t>1995 metais mokesčių administratorius pakoregavo pagal pareiškėjo (Belgijoje veikiančios bendrovės) prašymą grąžintos mokesčio permokos dydį ir skyrė 10 proc. baudą nuo dėl korekcijos papildomai mokėtinų mokesčių sumų. Šį sprendimą bendrovė apskundė.</w:t>
      </w:r>
    </w:p>
    <w:p w14:paraId="6C9D7178" w14:textId="1A8BA2EC" w:rsidR="00D138CC" w:rsidRPr="0025732F" w:rsidRDefault="00D138CC" w:rsidP="00E41F1D">
      <w:pPr>
        <w:spacing w:after="0" w:line="240" w:lineRule="auto"/>
        <w:ind w:firstLine="567"/>
        <w:jc w:val="both"/>
        <w:rPr>
          <w:rFonts w:cstheme="minorHAnsi"/>
        </w:rPr>
      </w:pPr>
      <w:r w:rsidRPr="0025732F">
        <w:rPr>
          <w:rFonts w:cstheme="minorHAnsi"/>
        </w:rPr>
        <w:t>Dar neišnagrinėjus minėto pareiškėjo skundo (laukiant bylos nagrinėjimo teisme), 2000 m. spalį mokesčių administratorius pateikė raginimą sumokėti minėtas sumas, eksplicitiškai nurodydamas, kad šis raginimas teikiam</w:t>
      </w:r>
      <w:r w:rsidR="00E41F1D">
        <w:rPr>
          <w:rFonts w:cstheme="minorHAnsi"/>
        </w:rPr>
        <w:t>a</w:t>
      </w:r>
      <w:r w:rsidRPr="0025732F">
        <w:rPr>
          <w:rFonts w:cstheme="minorHAnsi"/>
        </w:rPr>
        <w:t xml:space="preserve">s </w:t>
      </w:r>
      <w:r w:rsidR="006D2C6F" w:rsidRPr="0025732F">
        <w:rPr>
          <w:rFonts w:cstheme="minorHAnsi"/>
        </w:rPr>
        <w:t xml:space="preserve">su </w:t>
      </w:r>
      <w:r w:rsidRPr="0025732F">
        <w:rPr>
          <w:rFonts w:cstheme="minorHAnsi"/>
        </w:rPr>
        <w:t>tikslu nutraukti mokesčių skolos išieškojimo senaties terminą.</w:t>
      </w:r>
    </w:p>
    <w:p w14:paraId="6F16F22A" w14:textId="77777777" w:rsidR="00D138CC" w:rsidRPr="0025732F" w:rsidRDefault="00D138CC" w:rsidP="00E41F1D">
      <w:pPr>
        <w:spacing w:after="0" w:line="240" w:lineRule="auto"/>
        <w:ind w:firstLine="567"/>
        <w:jc w:val="both"/>
        <w:rPr>
          <w:rFonts w:cstheme="minorHAnsi"/>
        </w:rPr>
      </w:pPr>
      <w:r w:rsidRPr="0025732F">
        <w:rPr>
          <w:rFonts w:cstheme="minorHAnsi"/>
        </w:rPr>
        <w:t>2002 m. spalio 10 d., t. y. tuo metu kol pareiškėjas laukė jo skundo nagrinėjimo pirmosios instancijos teisme, Belgijos kasacinės instancijos teismas priėmė naują teismų praktiką formuojantį sprendimą, kuriame konstatavo, kad minėti raginimai nenutraukia aptariamos senaties termino.</w:t>
      </w:r>
    </w:p>
    <w:p w14:paraId="5E5532E9" w14:textId="63E04F59" w:rsidR="00D138CC" w:rsidRPr="0025732F" w:rsidRDefault="00D138CC" w:rsidP="00E41F1D">
      <w:pPr>
        <w:spacing w:after="0" w:line="240" w:lineRule="auto"/>
        <w:ind w:firstLine="567"/>
        <w:jc w:val="both"/>
        <w:rPr>
          <w:rFonts w:cstheme="minorHAnsi"/>
        </w:rPr>
      </w:pPr>
      <w:r w:rsidRPr="0025732F">
        <w:rPr>
          <w:rFonts w:cstheme="minorHAnsi"/>
        </w:rPr>
        <w:t>Pareiškėjas pirmą kartą pasirėmė šia nauja jurisprudencij</w:t>
      </w:r>
      <w:r w:rsidR="006D2C6F" w:rsidRPr="0025732F">
        <w:rPr>
          <w:rFonts w:cstheme="minorHAnsi"/>
        </w:rPr>
        <w:t>a</w:t>
      </w:r>
      <w:r w:rsidRPr="0025732F">
        <w:rPr>
          <w:rFonts w:cstheme="minorHAnsi"/>
        </w:rPr>
        <w:t xml:space="preserve"> 2004 m. balandį, kai byla dėl jo skundo buvo nagrinėjama apeliacinės instancijos teisme. Tačiau 2004 m. liepą įstatymų leidėjas, siekdamas sustabdyti šią naują teismų jurisprudenciją ir atkurti iki tol buvusią administracin</w:t>
      </w:r>
      <w:r w:rsidR="006D2C6F" w:rsidRPr="0025732F">
        <w:rPr>
          <w:rFonts w:cstheme="minorHAnsi"/>
        </w:rPr>
        <w:t>ę</w:t>
      </w:r>
      <w:r w:rsidRPr="0025732F">
        <w:rPr>
          <w:rFonts w:cstheme="minorHAnsi"/>
        </w:rPr>
        <w:t xml:space="preserve"> praktiką, priėmė atitinkamą įstatymą, kuris buvo taikomas ir visiems tebevy</w:t>
      </w:r>
      <w:r w:rsidR="006D2C6F" w:rsidRPr="0025732F">
        <w:rPr>
          <w:rFonts w:cstheme="minorHAnsi"/>
        </w:rPr>
        <w:t>k</w:t>
      </w:r>
      <w:r w:rsidRPr="0025732F">
        <w:rPr>
          <w:rFonts w:cstheme="minorHAnsi"/>
        </w:rPr>
        <w:t>stantiems procesams. Šis naujas reglamentavimas buvo pritaikytas ir kasaciniame teisme nagrinėjant bei atmetant pareiškėjo skundą.</w:t>
      </w:r>
    </w:p>
    <w:p w14:paraId="058F0604" w14:textId="77777777" w:rsidR="00D138CC" w:rsidRPr="0025732F" w:rsidRDefault="00D138CC" w:rsidP="00E41F1D">
      <w:pPr>
        <w:spacing w:after="0" w:line="240" w:lineRule="auto"/>
        <w:ind w:firstLine="567"/>
        <w:jc w:val="both"/>
        <w:rPr>
          <w:rFonts w:cstheme="minorHAnsi"/>
        </w:rPr>
      </w:pPr>
      <w:r w:rsidRPr="0025732F">
        <w:rPr>
          <w:rFonts w:cstheme="minorHAnsi"/>
        </w:rPr>
        <w:t>Manydamas, kad tokia įstatymų leidėjo intervencija, taip pat ilgu procesu nacionaliniuose teismuose buvo pažeistas Konvencijos 6 straipsnio 1 dalis, pareiškėjas su pareiškimu kreipėsi į Teismą.</w:t>
      </w:r>
    </w:p>
    <w:p w14:paraId="5AE6741C" w14:textId="77777777" w:rsidR="00D138CC" w:rsidRPr="0025732F" w:rsidRDefault="00D138CC" w:rsidP="00D138CC">
      <w:pPr>
        <w:spacing w:after="0" w:line="240" w:lineRule="auto"/>
        <w:ind w:left="113" w:firstLine="567"/>
        <w:jc w:val="both"/>
        <w:rPr>
          <w:rFonts w:cstheme="minorHAnsi"/>
        </w:rPr>
      </w:pPr>
    </w:p>
    <w:p w14:paraId="560139E7" w14:textId="77777777" w:rsidR="00D138CC" w:rsidRPr="0025732F" w:rsidRDefault="00D138CC" w:rsidP="00D138CC">
      <w:pPr>
        <w:spacing w:after="0" w:line="240" w:lineRule="auto"/>
        <w:jc w:val="center"/>
        <w:rPr>
          <w:rFonts w:cstheme="minorHAnsi"/>
          <w:b/>
        </w:rPr>
      </w:pPr>
      <w:r w:rsidRPr="0025732F">
        <w:rPr>
          <w:rFonts w:cstheme="minorHAnsi"/>
          <w:b/>
        </w:rPr>
        <w:t>Neoficiali Teismo sprendimo apžvalga</w:t>
      </w:r>
    </w:p>
    <w:p w14:paraId="081723B2" w14:textId="77777777" w:rsidR="00D138CC" w:rsidRPr="0025732F" w:rsidRDefault="00D138CC" w:rsidP="00D138CC">
      <w:pPr>
        <w:tabs>
          <w:tab w:val="left" w:pos="2433"/>
        </w:tabs>
        <w:spacing w:after="0" w:line="240" w:lineRule="auto"/>
        <w:ind w:left="113" w:firstLine="567"/>
        <w:jc w:val="both"/>
        <w:rPr>
          <w:rFonts w:cstheme="minorHAnsi"/>
        </w:rPr>
      </w:pPr>
      <w:r w:rsidRPr="0025732F">
        <w:rPr>
          <w:rFonts w:cstheme="minorHAnsi"/>
        </w:rPr>
        <w:tab/>
      </w:r>
    </w:p>
    <w:p w14:paraId="7AC10FCB" w14:textId="77777777" w:rsidR="00D138CC" w:rsidRPr="0025732F" w:rsidRDefault="00D138CC" w:rsidP="00E41F1D">
      <w:pPr>
        <w:spacing w:after="0" w:line="240" w:lineRule="auto"/>
        <w:ind w:firstLine="567"/>
        <w:jc w:val="both"/>
        <w:rPr>
          <w:rFonts w:cstheme="minorHAnsi"/>
        </w:rPr>
      </w:pPr>
      <w:r w:rsidRPr="0025732F">
        <w:rPr>
          <w:rFonts w:cstheme="minorHAnsi"/>
        </w:rPr>
        <w:t xml:space="preserve">Teismas pastebėjo, kad tuo metu, kai pareiškėjas teikė savo apeliacinį skundą, jis galėjo pagrįstai tikėtis, kad bus konstatuota, jog suėjo jo mokestinės skolos išieškojimo senatis pagal naują nacionalinių teismų </w:t>
      </w:r>
      <w:r w:rsidRPr="0025732F">
        <w:rPr>
          <w:rFonts w:cstheme="minorHAnsi"/>
        </w:rPr>
        <w:lastRenderedPageBreak/>
        <w:t>praktiką. Tačiau įstatymų leidėjo intervencija lėmė tolesnį mokesčių skolų ir baudų išieškojimą ir tais atvejais, kai pagal minėtą naują teismų praktiką senaties terminai jau buvo suėję, tačiau tai dar nebuvo patvirtinta teismų sprendimais. Taip nutiko ir pareiškėjui – dėl retroaktyvaus naujo įstatymo taikymo jo mokestinės skolos išieškojimui senaties terminas tapo nebeaktualus. Atitinkamai Teismas konstatavo, kad būtent įstatymų leidėjo intervencija nulėmė nacionalinio teismo galutinį sprendimą byloje pagal pareiškėjo skundą, kurioje valstybė buvo viena iš proceso šalių.</w:t>
      </w:r>
    </w:p>
    <w:p w14:paraId="5B87DE6C" w14:textId="3E48C52D" w:rsidR="00D138CC" w:rsidRPr="0025732F" w:rsidRDefault="00D138CC" w:rsidP="00E41F1D">
      <w:pPr>
        <w:spacing w:after="0" w:line="240" w:lineRule="auto"/>
        <w:ind w:firstLine="567"/>
        <w:jc w:val="both"/>
        <w:rPr>
          <w:rFonts w:cstheme="minorHAnsi"/>
        </w:rPr>
      </w:pPr>
      <w:r w:rsidRPr="0025732F">
        <w:rPr>
          <w:rFonts w:cstheme="minorHAnsi"/>
        </w:rPr>
        <w:t>Teismas taip pat priminė, kad kai mokesčių administravimo procedūros gali lemti sankcijos asmeniui skyrimą, jos neabejotinai patenka į „</w:t>
      </w:r>
      <w:r w:rsidR="00E41F1D">
        <w:rPr>
          <w:rFonts w:cstheme="minorHAnsi"/>
        </w:rPr>
        <w:t>baudžiamosios</w:t>
      </w:r>
      <w:r w:rsidRPr="0025732F">
        <w:rPr>
          <w:rFonts w:cstheme="minorHAnsi"/>
        </w:rPr>
        <w:t xml:space="preserve"> sankcijos“ sąvoką pagal šio tarptautinio teismo jurisprudenciją. Įvairiose bylose, susijusiose su įstatymų numatytais ribojimais baudžiamuosiuose procesuose pagal Konvencijos 6 ar 7 straipsnius, Teismas jau ne kartą sprendė, kad nebuvo pažeidimo, kai senaties terminai nebuvo suėję tuo metu, kai pasikeitė atitinkamas nacionalinis reglamentavimas. Tačiau apžvelgiamoje byloje senaties terminas taikomas pareiškėjo mokesčio skolai jau buvo suėjęs iki įsigaliojant naujam įstatyminiam reguliavimui. Teismas taip pat atkreipė dėmesį į tai, kad mokestinės baudos nebuvo baudžiamojo įstatymo dalis, todėl Konvencijos 6 straipsnio garantijos nebūtinai buvo taikomos griežtai.</w:t>
      </w:r>
    </w:p>
    <w:p w14:paraId="066CC2DC" w14:textId="77777777" w:rsidR="00D138CC" w:rsidRPr="0025732F" w:rsidRDefault="00D138CC" w:rsidP="00E41F1D">
      <w:pPr>
        <w:spacing w:after="0" w:line="240" w:lineRule="auto"/>
        <w:ind w:firstLine="567"/>
        <w:jc w:val="both"/>
        <w:rPr>
          <w:rFonts w:cstheme="minorHAnsi"/>
        </w:rPr>
      </w:pPr>
      <w:r w:rsidRPr="0025732F">
        <w:rPr>
          <w:rFonts w:cstheme="minorHAnsi"/>
        </w:rPr>
        <w:t>Toliau dėstomi argumentai įtikino Teismą, kad ginčijamo nacionalinio reguliavimo taikymas atgaline data neginčijamai buvo pagrįstas ir kad jis nebuvo vien tik paprasta valstybės finansinių interesų apsaugos priemonė.</w:t>
      </w:r>
    </w:p>
    <w:p w14:paraId="109BC01A" w14:textId="069559BE" w:rsidR="00C54B35" w:rsidRPr="0025732F" w:rsidRDefault="00D138CC" w:rsidP="00E41F1D">
      <w:pPr>
        <w:spacing w:after="0" w:line="240" w:lineRule="auto"/>
        <w:ind w:firstLine="567"/>
        <w:jc w:val="both"/>
        <w:rPr>
          <w:rFonts w:cstheme="minorHAnsi"/>
        </w:rPr>
      </w:pPr>
      <w:r w:rsidRPr="0025732F">
        <w:rPr>
          <w:rFonts w:cstheme="minorHAnsi"/>
        </w:rPr>
        <w:t>Kaip buvo matyti iš Teismui pateiktų Belgijos Konstitucinio teismo ir Kasacinio teismo, kurie įstatymų leidėjo intervencijoje nerado nieko netikėto, sprendimų, teisinis tikrumas buvo pažeistas būtent minėtu 2002</w:t>
      </w:r>
      <w:r w:rsidR="006D2C6F" w:rsidRPr="0025732F">
        <w:rPr>
          <w:rFonts w:cstheme="minorHAnsi"/>
        </w:rPr>
        <w:t> </w:t>
      </w:r>
      <w:r w:rsidRPr="0025732F">
        <w:rPr>
          <w:rFonts w:cstheme="minorHAnsi"/>
        </w:rPr>
        <w:t>m.</w:t>
      </w:r>
      <w:r w:rsidR="006D2C6F" w:rsidRPr="0025732F">
        <w:rPr>
          <w:rFonts w:cstheme="minorHAnsi"/>
        </w:rPr>
        <w:t> </w:t>
      </w:r>
      <w:r w:rsidRPr="0025732F">
        <w:rPr>
          <w:rFonts w:cstheme="minorHAnsi"/>
        </w:rPr>
        <w:t>spalio</w:t>
      </w:r>
      <w:r w:rsidR="006D2C6F" w:rsidRPr="0025732F">
        <w:rPr>
          <w:rFonts w:cstheme="minorHAnsi"/>
        </w:rPr>
        <w:t> </w:t>
      </w:r>
      <w:r w:rsidRPr="0025732F">
        <w:rPr>
          <w:rFonts w:cstheme="minorHAnsi"/>
        </w:rPr>
        <w:t>10</w:t>
      </w:r>
      <w:r w:rsidR="006D2C6F" w:rsidRPr="0025732F">
        <w:rPr>
          <w:rFonts w:cstheme="minorHAnsi"/>
        </w:rPr>
        <w:t> </w:t>
      </w:r>
      <w:r w:rsidRPr="0025732F">
        <w:rPr>
          <w:rFonts w:cstheme="minorHAnsi"/>
        </w:rPr>
        <w:t>d. kasacinės instancijos teismo sprendimu. Patvirtindamas ankstesnę administracinę praktik</w:t>
      </w:r>
      <w:r w:rsidR="006D2C6F" w:rsidRPr="0025732F">
        <w:rPr>
          <w:rFonts w:cstheme="minorHAnsi"/>
        </w:rPr>
        <w:t>ą</w:t>
      </w:r>
      <w:r w:rsidRPr="0025732F">
        <w:rPr>
          <w:rFonts w:cstheme="minorHAnsi"/>
        </w:rPr>
        <w:t>, kurios teisėtum</w:t>
      </w:r>
      <w:r w:rsidR="006D2C6F" w:rsidRPr="0025732F">
        <w:rPr>
          <w:rFonts w:cstheme="minorHAnsi"/>
        </w:rPr>
        <w:t>u</w:t>
      </w:r>
      <w:r w:rsidRPr="0025732F">
        <w:rPr>
          <w:rFonts w:cstheme="minorHAnsi"/>
        </w:rPr>
        <w:t xml:space="preserve"> nebuvo rimtai suabejota, </w:t>
      </w:r>
      <w:r w:rsidRPr="00E41F1D">
        <w:rPr>
          <w:rFonts w:cstheme="minorHAnsi"/>
          <w:u w:val="single"/>
        </w:rPr>
        <w:t>naujomis atgaline data taikomomis įstatymo nuostatomis buvo siekiama neutralizuoti teismų praktikos poveikį, kuris taip pat buvo retrospektyvus. Tokia įstatymų leidėjo intervencija, kuria buvo siekiama patvirtinti pradinę mokesčių institucijų poziciją (praktiką), negalėjo būti vertinama kaip netikėta. Maža to, aptariama intervencija taip pat buvo siekiama užtikrinti, kad asmenys įvykdytų savo mokestines prievoles (neišvengtų jiems tenkančių šių prievolių vykdymo), taip užtikrinant mokesčių mokėtojų lygybę</w:t>
      </w:r>
      <w:r w:rsidRPr="0025732F">
        <w:rPr>
          <w:rFonts w:cstheme="minorHAnsi"/>
        </w:rPr>
        <w:t>.</w:t>
      </w:r>
    </w:p>
    <w:p w14:paraId="0684CE7B" w14:textId="0FF4A179" w:rsidR="00C54B35" w:rsidRPr="0025732F" w:rsidRDefault="00D138CC" w:rsidP="00E41F1D">
      <w:pPr>
        <w:spacing w:after="0" w:line="240" w:lineRule="auto"/>
        <w:ind w:firstLine="567"/>
        <w:jc w:val="both"/>
        <w:rPr>
          <w:rFonts w:cstheme="minorHAnsi"/>
        </w:rPr>
      </w:pPr>
      <w:r w:rsidRPr="0025732F">
        <w:rPr>
          <w:rFonts w:cstheme="minorHAnsi"/>
        </w:rPr>
        <w:t>Kaip akcentavo Teismas, šie nacionalinio įstatymų leidėjo tikslai turi būti vertina</w:t>
      </w:r>
      <w:r w:rsidR="006D2C6F" w:rsidRPr="0025732F">
        <w:rPr>
          <w:rFonts w:cstheme="minorHAnsi"/>
        </w:rPr>
        <w:t xml:space="preserve">mi, </w:t>
      </w:r>
      <w:r w:rsidRPr="0025732F">
        <w:rPr>
          <w:rFonts w:cstheme="minorHAnsi"/>
        </w:rPr>
        <w:t>atsižvelgiant į pareiškėjo pagrindinės bylos chronologinę eigą. Šiuo aspektu pareiškėjas, kreipdamasis į pirmosios instancijos teismą</w:t>
      </w:r>
      <w:r w:rsidR="006D2C6F" w:rsidRPr="0025732F">
        <w:rPr>
          <w:rFonts w:cstheme="minorHAnsi"/>
        </w:rPr>
        <w:t>,</w:t>
      </w:r>
      <w:r w:rsidRPr="0025732F">
        <w:rPr>
          <w:rFonts w:cstheme="minorHAnsi"/>
        </w:rPr>
        <w:t xml:space="preserve"> neturėjo teisinio pagrindo savo reikalavimą dėl jam apskaičiuotų mokėtinų mokesčių sumų panaikinimo grįsti remdamasis aptariamu senaties terminu. Iki 2002 m. spalio 10 d. Kasacinio teismo sprendimo priėmimo, pareiškėjas, kaip ir kiti mokesčių mokėtojai, laikė, kad minėtas mokesčių administratoriaus raginimas nutraukia aptariamo senaties termino skaičiavimą. Tik po pastarojo teismo sprendimo pareiškėjas, jam pačiam netikėtai, įgijo lūkest</w:t>
      </w:r>
      <w:r w:rsidR="006D2C6F" w:rsidRPr="0025732F">
        <w:rPr>
          <w:rFonts w:cstheme="minorHAnsi"/>
        </w:rPr>
        <w:t>į</w:t>
      </w:r>
      <w:r w:rsidRPr="0025732F">
        <w:rPr>
          <w:rFonts w:cstheme="minorHAnsi"/>
        </w:rPr>
        <w:t xml:space="preserve"> pasinaudoti nauja nacionaline teismų praktika. Be to, pareiškėjui neturėjo būti netikėtas įstatymų leidėjo atsakas į teismų praktikos pokyčius.</w:t>
      </w:r>
    </w:p>
    <w:p w14:paraId="59840280" w14:textId="77777777" w:rsidR="00C54B35" w:rsidRPr="0025732F" w:rsidRDefault="00D138CC" w:rsidP="00E41F1D">
      <w:pPr>
        <w:spacing w:after="0" w:line="240" w:lineRule="auto"/>
        <w:ind w:firstLine="567"/>
        <w:jc w:val="both"/>
        <w:rPr>
          <w:rFonts w:cstheme="minorHAnsi"/>
        </w:rPr>
      </w:pPr>
      <w:r w:rsidRPr="0025732F">
        <w:rPr>
          <w:rFonts w:cstheme="minorHAnsi"/>
        </w:rPr>
        <w:t>Todėl ginčyta įstatymų leidėjo intervencija iš tiesų buvo pagrįsta pakankamu viešuoju interesu: atkurti iki 2002 m. spalio 10 d. Kasacinio teismo sprendimo priimtų mokesčių administratoriaus raginimų sukeltas teisines pasekmes nutraukiant senatį, taip sudarant prielaidas išnagrinėti einamuosius ginčus teismuose bei nepažeisti mokesčių mokėtojų teisių.</w:t>
      </w:r>
    </w:p>
    <w:p w14:paraId="7446FCA6" w14:textId="77777777" w:rsidR="00C54B35" w:rsidRPr="0025732F" w:rsidRDefault="00D138CC" w:rsidP="00E41F1D">
      <w:pPr>
        <w:spacing w:after="0" w:line="240" w:lineRule="auto"/>
        <w:ind w:firstLine="567"/>
        <w:jc w:val="both"/>
        <w:rPr>
          <w:rFonts w:cstheme="minorHAnsi"/>
        </w:rPr>
      </w:pPr>
      <w:r w:rsidRPr="0025732F">
        <w:rPr>
          <w:rFonts w:cstheme="minorHAnsi"/>
        </w:rPr>
        <w:t>Š</w:t>
      </w:r>
      <w:r w:rsidR="00C54B35" w:rsidRPr="0025732F">
        <w:rPr>
          <w:rFonts w:cstheme="minorHAnsi"/>
        </w:rPr>
        <w:t xml:space="preserve">iomis </w:t>
      </w:r>
      <w:r w:rsidRPr="0025732F">
        <w:rPr>
          <w:rFonts w:cstheme="minorHAnsi"/>
        </w:rPr>
        <w:t xml:space="preserve">aplinkybėmis Teismas vienbalsiai konstatavo, kad aptariama intervencija Konvencijos nuostatos nebuvo pažeistos. </w:t>
      </w:r>
    </w:p>
    <w:p w14:paraId="1BEAFCF9" w14:textId="62576430" w:rsidR="00D138CC" w:rsidRPr="0025732F" w:rsidRDefault="00D138CC" w:rsidP="00E41F1D">
      <w:pPr>
        <w:spacing w:after="0" w:line="240" w:lineRule="auto"/>
        <w:ind w:firstLine="567"/>
        <w:jc w:val="both"/>
        <w:rPr>
          <w:rFonts w:cstheme="minorHAnsi"/>
        </w:rPr>
      </w:pPr>
      <w:r w:rsidRPr="0025732F">
        <w:rPr>
          <w:rFonts w:cstheme="minorHAnsi"/>
        </w:rPr>
        <w:t>Kita vertus</w:t>
      </w:r>
      <w:r w:rsidR="00C54B35" w:rsidRPr="0025732F">
        <w:rPr>
          <w:rFonts w:cstheme="minorHAnsi"/>
        </w:rPr>
        <w:t>,</w:t>
      </w:r>
      <w:r w:rsidRPr="0025732F">
        <w:rPr>
          <w:rFonts w:cstheme="minorHAnsi"/>
        </w:rPr>
        <w:t xml:space="preserve"> Teismas nusprendė, kad buvo pažeista Konvencijos 6 straipsnio 1 dalis dėl ypač ilgo pareiškėjo skundo nagrinėjimo nacionaliniuose teismuose (ši trukmė skaičiuota nuo mokesčių administratoriaus sprendimo apskaičiuoti papildomai mokėtinas mokesčių sumas ir skirti baudą).</w:t>
      </w:r>
    </w:p>
    <w:p w14:paraId="20F799C0" w14:textId="77777777" w:rsidR="00D138CC" w:rsidRPr="0025732F" w:rsidRDefault="00D138CC" w:rsidP="00D138CC">
      <w:pPr>
        <w:spacing w:after="0" w:line="240" w:lineRule="auto"/>
        <w:ind w:firstLine="567"/>
        <w:jc w:val="both"/>
        <w:rPr>
          <w:rFonts w:cstheme="minorHAnsi"/>
        </w:rPr>
      </w:pPr>
    </w:p>
    <w:p w14:paraId="55D2248E" w14:textId="4600FCD7" w:rsidR="00D138CC" w:rsidRPr="0025732F" w:rsidRDefault="00D138CC" w:rsidP="00D138CC">
      <w:pPr>
        <w:spacing w:after="0" w:line="240" w:lineRule="auto"/>
        <w:ind w:firstLine="567"/>
        <w:jc w:val="both"/>
        <w:rPr>
          <w:rFonts w:cstheme="minorHAnsi"/>
        </w:rPr>
      </w:pPr>
      <w:r w:rsidRPr="0025732F">
        <w:rPr>
          <w:rFonts w:cstheme="minorHAnsi"/>
        </w:rPr>
        <w:t xml:space="preserve">Išvada: </w:t>
      </w:r>
      <w:r w:rsidR="00E764F0" w:rsidRPr="0025732F">
        <w:rPr>
          <w:rFonts w:cstheme="minorHAnsi"/>
        </w:rPr>
        <w:t xml:space="preserve">nustatytas Konvencijos </w:t>
      </w:r>
      <w:r w:rsidRPr="0025732F">
        <w:rPr>
          <w:rFonts w:cstheme="minorHAnsi"/>
        </w:rPr>
        <w:t>6 straipsnio 1 dali</w:t>
      </w:r>
      <w:r w:rsidR="00E764F0" w:rsidRPr="0025732F">
        <w:rPr>
          <w:rFonts w:cstheme="minorHAnsi"/>
        </w:rPr>
        <w:t>e</w:t>
      </w:r>
      <w:r w:rsidRPr="0025732F">
        <w:rPr>
          <w:rFonts w:cstheme="minorHAnsi"/>
        </w:rPr>
        <w:t>s</w:t>
      </w:r>
      <w:r w:rsidR="00E764F0" w:rsidRPr="0025732F">
        <w:rPr>
          <w:rFonts w:cstheme="minorHAnsi"/>
        </w:rPr>
        <w:t xml:space="preserve"> pažeidimas</w:t>
      </w:r>
      <w:r w:rsidRPr="0025732F">
        <w:rPr>
          <w:rFonts w:cstheme="minorHAnsi"/>
        </w:rPr>
        <w:t xml:space="preserve"> (vienbalsiai).</w:t>
      </w:r>
    </w:p>
    <w:p w14:paraId="79D13233" w14:textId="77777777" w:rsidR="00D138CC" w:rsidRPr="0025732F" w:rsidRDefault="00D138CC" w:rsidP="00D138CC">
      <w:pPr>
        <w:spacing w:after="0" w:line="240" w:lineRule="auto"/>
        <w:ind w:firstLine="567"/>
        <w:jc w:val="both"/>
        <w:rPr>
          <w:rFonts w:cstheme="minorHAnsi"/>
        </w:rPr>
      </w:pPr>
      <w:r w:rsidRPr="0025732F">
        <w:rPr>
          <w:rFonts w:cstheme="minorHAnsi"/>
        </w:rPr>
        <w:t>42 straipsnis: reikalavimas dėl turtinės žalos atlyginimo atmestas bei konstatuota, kad pažeidimo pripažinimas yra pakankamas neturtinei žalai atlyginti.</w:t>
      </w:r>
    </w:p>
    <w:p w14:paraId="697FCDD4" w14:textId="77777777" w:rsidR="00D138CC" w:rsidRPr="0025732F" w:rsidRDefault="006922FB" w:rsidP="00D138CC">
      <w:pPr>
        <w:spacing w:after="0" w:line="240" w:lineRule="auto"/>
        <w:ind w:firstLine="567"/>
        <w:jc w:val="both"/>
        <w:rPr>
          <w:rFonts w:cstheme="minorHAnsi"/>
        </w:rPr>
      </w:pPr>
      <w:hyperlink r:id="rId12" w:history="1">
        <w:r w:rsidR="00D138CC" w:rsidRPr="0025732F">
          <w:rPr>
            <w:rStyle w:val="Hipersaitas"/>
            <w:rFonts w:cstheme="minorHAnsi"/>
          </w:rPr>
          <w:t>Prieiga internete</w:t>
        </w:r>
      </w:hyperlink>
    </w:p>
    <w:p w14:paraId="5256E821" w14:textId="6CF6D74E" w:rsidR="00C67C37" w:rsidRPr="0025732F" w:rsidRDefault="00C67C37" w:rsidP="00612945">
      <w:pPr>
        <w:pStyle w:val="paragraph"/>
        <w:spacing w:before="0" w:beforeAutospacing="0" w:after="0" w:afterAutospacing="0"/>
        <w:ind w:firstLine="720"/>
        <w:textAlignment w:val="baseline"/>
        <w:rPr>
          <w:rStyle w:val="normaltextrun"/>
          <w:rFonts w:asciiTheme="minorHAnsi" w:eastAsiaTheme="majorEastAsia" w:hAnsiTheme="minorHAnsi" w:cstheme="minorHAnsi"/>
          <w:i/>
          <w:iCs/>
          <w:sz w:val="22"/>
          <w:szCs w:val="22"/>
        </w:rPr>
      </w:pPr>
    </w:p>
    <w:p w14:paraId="50BA9F31" w14:textId="21DD818B" w:rsidR="00EE4FA2" w:rsidRPr="0025732F" w:rsidRDefault="00EE4FA2" w:rsidP="00EE4FA2">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 xml:space="preserve">Europos Žmogaus Teisių Teismo </w:t>
      </w:r>
      <w:r w:rsidR="00E41F1D">
        <w:rPr>
          <w:rFonts w:eastAsia="Times New Roman" w:cstheme="minorHAnsi"/>
          <w:b/>
        </w:rPr>
        <w:t>d</w:t>
      </w:r>
      <w:r w:rsidR="009F4ADD" w:rsidRPr="0025732F">
        <w:rPr>
          <w:rFonts w:eastAsia="Times New Roman" w:cstheme="minorHAnsi"/>
          <w:b/>
        </w:rPr>
        <w:t xml:space="preserve">idžiosios </w:t>
      </w:r>
      <w:r w:rsidR="00E41F1D">
        <w:rPr>
          <w:rFonts w:eastAsia="Times New Roman" w:cstheme="minorHAnsi"/>
          <w:b/>
        </w:rPr>
        <w:t>k</w:t>
      </w:r>
      <w:r w:rsidR="009F4ADD" w:rsidRPr="0025732F">
        <w:rPr>
          <w:rFonts w:eastAsia="Times New Roman" w:cstheme="minorHAnsi"/>
          <w:b/>
        </w:rPr>
        <w:t xml:space="preserve">olegijos </w:t>
      </w:r>
      <w:r w:rsidRPr="0025732F">
        <w:rPr>
          <w:rFonts w:eastAsia="Times New Roman" w:cstheme="minorHAnsi"/>
          <w:b/>
        </w:rPr>
        <w:t>2020 m. gruodžio 1 d. sprendimas byloje</w:t>
      </w:r>
    </w:p>
    <w:p w14:paraId="227A008E" w14:textId="77777777" w:rsidR="00EE4FA2" w:rsidRPr="0025732F" w:rsidRDefault="00EE4FA2" w:rsidP="009C6F4D">
      <w:pPr>
        <w:pStyle w:val="Antrat2"/>
        <w:ind w:firstLine="0"/>
        <w:jc w:val="center"/>
        <w:rPr>
          <w:i/>
          <w:iCs w:val="0"/>
        </w:rPr>
      </w:pPr>
      <w:bookmarkStart w:id="11" w:name="_Toc72932266"/>
      <w:r w:rsidRPr="0025732F">
        <w:rPr>
          <w:i/>
          <w:iCs w:val="0"/>
        </w:rPr>
        <w:t>Guðmundur Andri Ástráðsson prieš Islandiją</w:t>
      </w:r>
      <w:bookmarkEnd w:id="11"/>
    </w:p>
    <w:p w14:paraId="3D7414B0" w14:textId="336DF86F" w:rsidR="00EE4FA2" w:rsidRPr="0025732F" w:rsidRDefault="00EE4FA2" w:rsidP="00EE4FA2">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 xml:space="preserve">(pareiškimo Nr. 26374/18, svarbos lygis – </w:t>
      </w:r>
      <w:r w:rsidR="009B0BCB">
        <w:rPr>
          <w:rFonts w:eastAsia="Times New Roman" w:cstheme="minorHAnsi"/>
          <w:b/>
        </w:rPr>
        <w:t>Svarbiausios bylos</w:t>
      </w:r>
      <w:r w:rsidRPr="0025732F">
        <w:rPr>
          <w:rFonts w:eastAsia="Times New Roman" w:cstheme="minorHAnsi"/>
          <w:b/>
        </w:rPr>
        <w:t>)</w:t>
      </w:r>
    </w:p>
    <w:p w14:paraId="294A7A42" w14:textId="77777777" w:rsidR="00EE4FA2" w:rsidRPr="009C6F4D" w:rsidRDefault="00EE4FA2" w:rsidP="009C6F4D"/>
    <w:p w14:paraId="2940F30B" w14:textId="77777777" w:rsidR="00EE4FA2" w:rsidRPr="0025732F" w:rsidRDefault="00EE4FA2" w:rsidP="00EE4FA2">
      <w:pPr>
        <w:pStyle w:val="Antrat3"/>
        <w:spacing w:before="0" w:line="240" w:lineRule="auto"/>
        <w:ind w:firstLine="567"/>
        <w:jc w:val="both"/>
        <w:rPr>
          <w:rFonts w:ascii="Calibri" w:eastAsia="Calibri" w:hAnsi="Calibri" w:cs="Calibri"/>
          <w:bCs/>
          <w:iCs/>
          <w:szCs w:val="22"/>
        </w:rPr>
      </w:pPr>
      <w:bookmarkStart w:id="12" w:name="_Toc72932267"/>
      <w:r w:rsidRPr="0025732F">
        <w:rPr>
          <w:rFonts w:ascii="Calibri" w:eastAsia="Calibri" w:hAnsi="Calibri" w:cs="Calibri"/>
          <w:bCs/>
          <w:iCs/>
          <w:szCs w:val="22"/>
        </w:rPr>
        <w:lastRenderedPageBreak/>
        <w:t>Dėl teisėjos paskyrimo procedūros pažeidimų, lėmusių tai, kad bylą išnagrinėjo įstatymu neįsteigtas teismas</w:t>
      </w:r>
      <w:bookmarkEnd w:id="12"/>
    </w:p>
    <w:p w14:paraId="3BB8C842"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AE76EF5" w14:textId="77777777" w:rsidR="00EE4FA2" w:rsidRPr="0025732F" w:rsidRDefault="00EE4FA2" w:rsidP="00EE4FA2">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5B9884D2"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052C41A3" w14:textId="0D0831C7" w:rsidR="00EE4FA2" w:rsidRPr="0025732F" w:rsidRDefault="00EE4FA2" w:rsidP="00EE4FA2">
      <w:pPr>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Pareiškėjas 2017 m. kovo mėn. buvo nuteistas už vairavimą be teisių ir apsvaigus nuo narkotikų. Pareiškėjo apeliaciją nagrinėjo Apeliacinis teismas. Pareiškėjas pareiškė nušalinimą vienai iš trijų teisėjų, kuri buvo paskirta nagrinėti jo apeliaciją. Pareiškimą dėl teisėjos nušalinimo pareiškėjas grindė Aukščiausiojo Teismo sprendimu, kuriame buvo konstatuoti teisėjos paskyrimo procedūros pažeidimai. Tačiau pareiškėjo pareiškimas dėl teisėjos nušalinimo buvo atmestas. Nors Apeliacinis teismas patvirtino pareiškėjo apkaltinamąjį nuosprendį, pareiškėjas pateikė apeliaciją Aukščiausiajam Teismui, grįsdamas ją minėto pareiškimo dėl teisėjos nušalinimo motyvais, papildydamas tuo, kad teisėjos paskyrimas buvo pagrįstas politiniais motyvais, o jos nenušalinimas nuo bylos pažeidė jo teisę į teisingą teismo procesą, nepriklausomą ir nešališką teismą. Aukščiausiasis Teismas atmetė pareiškėjo skundą, konstatavęs, kad, kaip ir buvo pripažinta jo ankstesniame sprendime, kuriuo pareiškėjas grindė pareiškimą dėl teisėjos nušalinimo, nors teisėjos paskyrimas turėjo trūkumų, tačiau jie nesudarė pagrindo pripažinti jos paskyrimą negaliojančiu. Todėl Aukščiausiasis Teismas pripažino, kad nėra pagrindo abejoti, jog pareiškėjo byla buvo išnagrinėta nepriklausomo ir nešališko teismo.</w:t>
      </w:r>
    </w:p>
    <w:p w14:paraId="0DDEB96C" w14:textId="77777777" w:rsidR="00EE4FA2" w:rsidRPr="0025732F" w:rsidRDefault="00EE4FA2" w:rsidP="00EE4FA2">
      <w:pPr>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Pareiškėjas kreipėsi į Teismą dėl Konvencijos 6 straipsnio pažeidimo, teigdamas, kad jo apeliacija dėl apkaltinamojo nuosprendžio panaikinimo buvo neišnagrinėta teismo, įsteigto įstatymo nustatyta tvarka, ir dėl to buvo pažeista jo teisė į nepriklausomą ir nešališką teismą.</w:t>
      </w:r>
    </w:p>
    <w:p w14:paraId="347C2858" w14:textId="77777777" w:rsidR="00EE4FA2" w:rsidRPr="0025732F" w:rsidRDefault="00EE4FA2" w:rsidP="00EE4FA2">
      <w:pPr>
        <w:spacing w:after="0" w:line="240" w:lineRule="auto"/>
        <w:ind w:right="-1" w:firstLine="567"/>
        <w:jc w:val="both"/>
        <w:rPr>
          <w:rFonts w:eastAsia="Times New Roman" w:cstheme="minorHAnsi"/>
          <w:color w:val="000000"/>
        </w:rPr>
      </w:pPr>
      <w:r w:rsidRPr="0025732F">
        <w:rPr>
          <w:rFonts w:eastAsia="Times New Roman" w:cstheme="minorHAnsi"/>
          <w:color w:val="000000"/>
        </w:rPr>
        <w:t>Išnagrinėjęs bylos medžiagą ir pareiškėjo argumentus, Teismas priėmė 2019 m. kovo 12 d. sprendimą (5 prieš 2), kuriuo konstatavo Konvencijos 6 straipsnio pažeidimą, pripažinęs, kad procesas dėl teisėjos paskyrimo akivaizdžiai pažeidė galiojančias vidaus taisykles, o tai pakenkė pasitikėjimui, kurį teisminė valdžia demokratinėje valstybėje turi užtikrinti, ir principo, kad teismas turi būti įsteigtas įstatymo nustatyta tvarka, esmę. Konstatavęs šį pažeidimą, Teismas vieningai nusprendė pareiškėjo argumentų dėl teisės į nepriklausomą ir nešališką teismą pažeidimo nenagrinėti.</w:t>
      </w:r>
    </w:p>
    <w:p w14:paraId="1A249615" w14:textId="1558EAA4" w:rsidR="00EE4FA2" w:rsidRPr="0025732F" w:rsidRDefault="00EE4FA2" w:rsidP="00EE4FA2">
      <w:pPr>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Vyriausybė, vadovaudamasi Konvencijos 43 straipsniu, pateikė prašymą, kad šią bylą išnagrinėtų Teismo </w:t>
      </w:r>
      <w:r w:rsidR="00E41F1D">
        <w:rPr>
          <w:rFonts w:eastAsia="Times New Roman" w:cstheme="minorHAnsi"/>
          <w:color w:val="000000"/>
        </w:rPr>
        <w:t>d</w:t>
      </w:r>
      <w:r w:rsidRPr="0025732F">
        <w:rPr>
          <w:rFonts w:eastAsia="Times New Roman" w:cstheme="minorHAnsi"/>
          <w:color w:val="000000"/>
        </w:rPr>
        <w:t>idžioji kolegija. Šis prašymas buvo patenkintas.</w:t>
      </w:r>
    </w:p>
    <w:p w14:paraId="089E5C81" w14:textId="77777777" w:rsidR="00EE4FA2" w:rsidRPr="0025732F" w:rsidRDefault="00EE4FA2" w:rsidP="00EE4FA2">
      <w:pPr>
        <w:spacing w:after="0" w:line="240" w:lineRule="auto"/>
        <w:ind w:right="-1" w:firstLine="567"/>
        <w:jc w:val="both"/>
        <w:rPr>
          <w:rFonts w:eastAsia="Times New Roman" w:cstheme="minorHAnsi"/>
          <w:color w:val="000000"/>
        </w:rPr>
      </w:pPr>
    </w:p>
    <w:p w14:paraId="3E4F6F2B" w14:textId="77777777" w:rsidR="00EE4FA2" w:rsidRPr="0025732F" w:rsidRDefault="00EE4FA2" w:rsidP="00EE4FA2">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0868A834"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20995BA"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Įvertinęs galimo pažeidimo pobūdį ir jo sukeliamas pasekmes, Teismas pažymėjo, kad </w:t>
      </w:r>
      <w:r w:rsidRPr="00E41F1D">
        <w:rPr>
          <w:rFonts w:eastAsia="Times New Roman" w:cstheme="minorHAnsi"/>
          <w:color w:val="000000"/>
          <w:u w:val="single"/>
        </w:rPr>
        <w:t>teisė į įstatymu įsteigtą teismą neturi būti aiškinama plečiamai, kad bet kokie teisėjo paskyrimo procedūros pažeidimai būtų traktuojami kaip šios teisės pažeidimas. Kartu Teismas atkreipė dėmesį ir į tai, kad per griežtas procedūros taisyklių laikymasis esant tam tikroms aplinkybėms gali dar netgi labiau pakenkti teisinei tvarkai, teisinės valstybės principui ir visuomenės pasitikėjimui teismų sistema</w:t>
      </w:r>
      <w:r w:rsidRPr="0025732F">
        <w:rPr>
          <w:rFonts w:eastAsia="Times New Roman" w:cstheme="minorHAnsi"/>
          <w:color w:val="000000"/>
        </w:rPr>
        <w:t>.</w:t>
      </w:r>
    </w:p>
    <w:p w14:paraId="34C1DB4F" w14:textId="6F30732B"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Dėl šių priežasčių Teismas suformulavo </w:t>
      </w:r>
      <w:r w:rsidRPr="0025732F">
        <w:rPr>
          <w:rFonts w:eastAsia="Times New Roman" w:cstheme="minorHAnsi"/>
          <w:i/>
          <w:color w:val="000000"/>
        </w:rPr>
        <w:t>trijų žingsnių testą</w:t>
      </w:r>
      <w:r w:rsidRPr="0025732F">
        <w:rPr>
          <w:rFonts w:eastAsia="Times New Roman" w:cstheme="minorHAnsi"/>
          <w:color w:val="000000"/>
        </w:rPr>
        <w:t>, kuriuo vadovaudamasis nustat</w:t>
      </w:r>
      <w:r w:rsidR="00E41F1D">
        <w:rPr>
          <w:rFonts w:eastAsia="Times New Roman" w:cstheme="minorHAnsi"/>
          <w:color w:val="000000"/>
        </w:rPr>
        <w:t>ė</w:t>
      </w:r>
      <w:r w:rsidRPr="0025732F">
        <w:rPr>
          <w:rFonts w:eastAsia="Times New Roman" w:cstheme="minorHAnsi"/>
          <w:color w:val="000000"/>
        </w:rPr>
        <w:t>, ar šiuo atveju teisėjos paskyrimo procedūros pažeidimai buvo tokie, dėl kurių galėjo būti pažeista pareiškėjo teisė, kad bylą nagrinėtų teismas, įsteigtas įstatymo nustatyta tvarka:</w:t>
      </w:r>
    </w:p>
    <w:p w14:paraId="0C073E45"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i/>
          <w:color w:val="000000"/>
        </w:rPr>
        <w:t>pirma</w:t>
      </w:r>
      <w:r w:rsidRPr="0025732F">
        <w:rPr>
          <w:rFonts w:eastAsia="Times New Roman" w:cstheme="minorHAnsi"/>
          <w:color w:val="000000"/>
        </w:rPr>
        <w:t>, turi būti nustatoma, ar nacionalinės vidaus teisės pažeidimas yra akivaizdus;</w:t>
      </w:r>
    </w:p>
    <w:p w14:paraId="0CEC8502"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i/>
          <w:color w:val="000000"/>
        </w:rPr>
        <w:t>antra</w:t>
      </w:r>
      <w:r w:rsidRPr="0025732F">
        <w:rPr>
          <w:rFonts w:eastAsia="Times New Roman" w:cstheme="minorHAnsi"/>
          <w:color w:val="000000"/>
        </w:rPr>
        <w:t>, turi būti įvertinta, ar nacionalinės vidaus teisės pažeidimas susijęs su viena iš pagrindinių (esminių) teismo paskyrimo procedūros taisyklių;</w:t>
      </w:r>
    </w:p>
    <w:p w14:paraId="68B74A15"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i/>
          <w:color w:val="000000"/>
        </w:rPr>
        <w:t>trečia</w:t>
      </w:r>
      <w:r w:rsidRPr="0025732F">
        <w:rPr>
          <w:rFonts w:eastAsia="Times New Roman" w:cstheme="minorHAnsi"/>
          <w:color w:val="000000"/>
        </w:rPr>
        <w:t>, turi būti įvertinta, ar nacionalinės vidaus teisės pažeidimas buvo veiksmingai patikrintas ir ištaisytas nacionalinių teismų.</w:t>
      </w:r>
    </w:p>
    <w:p w14:paraId="5AA1F5D9" w14:textId="1EF92C9F"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Teismas pripažino, kad šiuo atveju Aukščiausiojo Teismo nustatyti nacionalinės vidaus teisės pažeidimai teisėjos paskyrimo procese negali būti vertinami kitaip, kaip akivaizdūs nacionalinės vidaus teisės pažeidimai.</w:t>
      </w:r>
    </w:p>
    <w:p w14:paraId="12616718" w14:textId="6D164164"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E41F1D">
        <w:rPr>
          <w:rFonts w:eastAsia="Times New Roman" w:cstheme="minorHAnsi"/>
          <w:color w:val="000000"/>
          <w:u w:val="single"/>
        </w:rPr>
        <w:t>Teismas kritiškai įvertino ministrės paaiškinimus, kuriais ji grindė savo pasirinkimą nukrypti nuo nustatytos teisėjų paskyrimo tvarkos</w:t>
      </w:r>
      <w:r w:rsidRPr="0025732F">
        <w:rPr>
          <w:rFonts w:eastAsia="Times New Roman" w:cstheme="minorHAnsi"/>
          <w:color w:val="000000"/>
        </w:rPr>
        <w:t xml:space="preserve">. Teismo nuomone, ministrės abejonėms dėl Vertinimo komiteto atliekamo vertinimo dėl kandidatų patirties, lyčių pusiausvyros neužtikrinimo nėra pagrindo. Vertinimo komiteto atliekamas kandidatų vertinimas iš esmės atitiko teisės aktuose nustatytą lyčių pusiausvyros reikalavimą ir kitus įstatymuose nustatytus reikalavimus, pasižymi nuoseklumu. Hipotetiškai nors ir Vertinimo komiteto vertinimas dėl kandidatų patirties ir lyčių pusiausvyros būtų ydingas, net ir tokiu atveju </w:t>
      </w:r>
      <w:r w:rsidRPr="00E41F1D">
        <w:rPr>
          <w:rFonts w:eastAsia="Times New Roman" w:cstheme="minorHAnsi"/>
          <w:color w:val="000000"/>
          <w:u w:val="single"/>
        </w:rPr>
        <w:t xml:space="preserve">ministrė nėra </w:t>
      </w:r>
      <w:r w:rsidRPr="00E41F1D">
        <w:rPr>
          <w:rFonts w:eastAsia="Times New Roman" w:cstheme="minorHAnsi"/>
          <w:color w:val="000000"/>
          <w:u w:val="single"/>
        </w:rPr>
        <w:lastRenderedPageBreak/>
        <w:t>atleista nuo pareigos pateikti motyvus, kodėl nusprendė nukrypti nuo neutralaus Vertinimo komiteto vertinimo ir pasirinko teikti konkrečias kandidatūras</w:t>
      </w:r>
      <w:r w:rsidRPr="0025732F">
        <w:rPr>
          <w:rFonts w:eastAsia="Times New Roman" w:cstheme="minorHAnsi"/>
          <w:color w:val="000000"/>
        </w:rPr>
        <w:t xml:space="preserve">. Teismas atkreipė dėmesį į tai, kad ministrė priklauso vienai iš daugumą sudarančių politinių partijų, kurios narių balsavimas iš esmės nulėmė ministrės pateiktų kandidatūrų patvirtinimą. Esant tokiai politinei situacijai, ministrės sprendimo motyvų neatskleidimas sukėlė, teismo nuomone, pakankamai pagrįstas abejones dėl jos atlikto vertinimo objektyvumo ir neutralumo. Todėl nors Teismas ir pripažino, kad įrodymų, patvirtinančių teiginį, kad ministrė teikė kandidatūras vadovaudamasi politiniais motyvais, nėra, tačiau, jo vertinimu, vien aptarti ministrės veiksmai sukėlė pagrįstų abejonių dėl teisėjų paskyrimo procedūros skaidrumo. Tokias abejones dar labiau sustiprino aplinkybės, kad ministrė ne kartą buvo įspėta savo komandos narių </w:t>
      </w:r>
      <w:r w:rsidR="00E41F1D">
        <w:rPr>
          <w:rFonts w:eastAsia="Times New Roman" w:cstheme="minorHAnsi"/>
          <w:color w:val="000000"/>
        </w:rPr>
        <w:t>dėl to</w:t>
      </w:r>
      <w:r w:rsidRPr="0025732F">
        <w:rPr>
          <w:rFonts w:eastAsia="Times New Roman" w:cstheme="minorHAnsi"/>
          <w:color w:val="000000"/>
        </w:rPr>
        <w:t xml:space="preserve">, kad ji nesilaiko teisėjų paskyrimo procedūros reikalavimų. Savo ruožtu ir </w:t>
      </w:r>
      <w:r w:rsidRPr="00E41F1D">
        <w:rPr>
          <w:rFonts w:eastAsia="Times New Roman" w:cstheme="minorHAnsi"/>
          <w:color w:val="000000"/>
          <w:u w:val="single"/>
        </w:rPr>
        <w:t>Parlamentas, neprašydamas ministrės pateikti atlikto kandidatų vertinimo rezultatų ir pažeidęs įstatyme nustatytą balsavimo dėl kandidatų tvarką, padidino abejones dėl teisėjų atrankos procedūros teisėtumo ir objektyvumo</w:t>
      </w:r>
      <w:r w:rsidRPr="0025732F">
        <w:rPr>
          <w:rFonts w:eastAsia="Times New Roman" w:cstheme="minorHAnsi"/>
          <w:color w:val="000000"/>
        </w:rPr>
        <w:t>. Įvertinęs visą bylos medžiagą, Teismas nusprendė, kad aptarti ministrės ir Parlamento atlikti procedūros pažeidimai nebuvo techninio pobūdžio ar procedūros trūkumai, neturintys esminės reikšmės procedūros rezultatui. Aptartus pažeidimus Teismas pripažino esminiais, kurie sukėlė pagrįstas abejones teisėjų paskyrimo procedūros skaidrumu ir objektyvumu.</w:t>
      </w:r>
    </w:p>
    <w:p w14:paraId="3DBCAE5A" w14:textId="05E64110"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Teismas, vertindamas, ar šie pažeidimai buvo efektyviai ištaisyti, padarė išvadą, kad Aukščiausiasis Teismas nepagrįstai, konstatavęs aptartus pažeidimus, jų nevertino Konvencijos aspektu. </w:t>
      </w:r>
      <w:r w:rsidRPr="00E41F1D">
        <w:rPr>
          <w:rFonts w:eastAsia="Times New Roman" w:cstheme="minorHAnsi"/>
          <w:color w:val="000000"/>
          <w:u w:val="single"/>
        </w:rPr>
        <w:t>Vien tai, kad teisėjai buvo paskirti, nereiškia, kad nacionalinis teismas nebeturi spręsti dėl teisėjų paskyrimo procedūros pažeidimų ir dėl jų kilusių teisinių pasekmių iš esmės</w:t>
      </w:r>
      <w:r w:rsidRPr="0025732F">
        <w:rPr>
          <w:rFonts w:eastAsia="Times New Roman" w:cstheme="minorHAnsi"/>
          <w:color w:val="000000"/>
        </w:rPr>
        <w:t xml:space="preserve">. Teismas pripažino, kad šiuo atveju Aukščiausiajam </w:t>
      </w:r>
      <w:r w:rsidR="00E42530" w:rsidRPr="0025732F">
        <w:rPr>
          <w:rFonts w:eastAsia="Times New Roman" w:cstheme="minorHAnsi"/>
          <w:color w:val="000000"/>
        </w:rPr>
        <w:t>T</w:t>
      </w:r>
      <w:r w:rsidRPr="0025732F">
        <w:rPr>
          <w:rFonts w:eastAsia="Times New Roman" w:cstheme="minorHAnsi"/>
          <w:color w:val="000000"/>
        </w:rPr>
        <w:t>eismui nepavyko rasti tinkamos pusiausvyros tarp teisinio aiškumo ir pagarbos teisei principų.</w:t>
      </w:r>
    </w:p>
    <w:p w14:paraId="0A799A1A" w14:textId="75826CE1"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Apibendrindamas tai, ką nustatė</w:t>
      </w:r>
      <w:r w:rsidR="00E42530" w:rsidRPr="0025732F">
        <w:rPr>
          <w:rFonts w:eastAsia="Times New Roman" w:cstheme="minorHAnsi"/>
          <w:color w:val="000000"/>
        </w:rPr>
        <w:t xml:space="preserve">, </w:t>
      </w:r>
      <w:r w:rsidRPr="0025732F">
        <w:rPr>
          <w:rFonts w:eastAsia="Times New Roman" w:cstheme="minorHAnsi"/>
          <w:color w:val="000000"/>
        </w:rPr>
        <w:t>Teismas nusprendė pripažinti Konvencijos 6 straipsnio 1 dalies pažeidimą.</w:t>
      </w:r>
    </w:p>
    <w:p w14:paraId="76197E08"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Nustatęs, kad pareiškėjo argumentai dėl teisės, kad jo bylą nagrinėtų įstatymu įsteigtas teismas ir nepriklausomas bei nešališkas teismas, kildinami iš to paties klausimo, ir nustatęs tai, kad teisėjų paskyrimo procedūros pažeidimai iš esmės paneigė pareiškėjo teisę būti teisiamam įstatymu įsteigtame teisme, Teismas nusprendė atskirai nenagrinėti pareiškėjo argumentų dėl jo teisės į nepriklausomą ir nešališką teismą pažeidimo.</w:t>
      </w:r>
    </w:p>
    <w:p w14:paraId="4B04E7A6" w14:textId="77777777" w:rsidR="00EE4FA2" w:rsidRPr="0025732F" w:rsidRDefault="00EE4FA2" w:rsidP="00EE4FA2">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637B721" w14:textId="59E9F23D" w:rsidR="00EE4FA2" w:rsidRPr="0025732F" w:rsidRDefault="00EE4FA2" w:rsidP="00EE4FA2">
      <w:pPr>
        <w:spacing w:after="0" w:line="240" w:lineRule="auto"/>
        <w:ind w:right="-1" w:firstLine="567"/>
        <w:jc w:val="both"/>
        <w:rPr>
          <w:rFonts w:cstheme="minorHAnsi"/>
        </w:rPr>
      </w:pPr>
      <w:r w:rsidRPr="0025732F">
        <w:rPr>
          <w:rFonts w:cstheme="minorHAnsi"/>
        </w:rPr>
        <w:t xml:space="preserve">Išvada: </w:t>
      </w:r>
      <w:r w:rsidR="00A93147" w:rsidRPr="0025732F">
        <w:rPr>
          <w:rFonts w:cstheme="minorHAnsi"/>
        </w:rPr>
        <w:t xml:space="preserve">nustatytas </w:t>
      </w:r>
      <w:r w:rsidRPr="0025732F">
        <w:rPr>
          <w:rFonts w:eastAsia="Times New Roman" w:cstheme="minorHAnsi"/>
          <w:color w:val="000000"/>
        </w:rPr>
        <w:t>Konvencijos 6 straipsnio 1 dalies pažeidimas (vienbalsiai)</w:t>
      </w:r>
    </w:p>
    <w:p w14:paraId="72792F13" w14:textId="399003E5" w:rsidR="00EE4FA2" w:rsidRPr="0025732F" w:rsidRDefault="00EE4FA2" w:rsidP="00EE4FA2">
      <w:pPr>
        <w:spacing w:after="0" w:line="240" w:lineRule="auto"/>
        <w:ind w:right="-1" w:firstLine="567"/>
        <w:jc w:val="both"/>
        <w:rPr>
          <w:rFonts w:cstheme="minorHAnsi"/>
          <w:color w:val="000000"/>
        </w:rPr>
      </w:pPr>
      <w:r w:rsidRPr="0025732F">
        <w:rPr>
          <w:rFonts w:cstheme="minorHAnsi"/>
        </w:rPr>
        <w:t xml:space="preserve">41 straipsnis: </w:t>
      </w:r>
      <w:r w:rsidRPr="0025732F">
        <w:rPr>
          <w:rStyle w:val="sfbbfee58"/>
          <w:rFonts w:cstheme="minorHAnsi"/>
          <w:color w:val="000000"/>
        </w:rPr>
        <w:t>pareiškėjui priteista 20 000 E</w:t>
      </w:r>
      <w:r w:rsidR="00A93147" w:rsidRPr="0025732F">
        <w:rPr>
          <w:rStyle w:val="sfbbfee58"/>
          <w:rFonts w:cstheme="minorHAnsi"/>
          <w:color w:val="000000"/>
        </w:rPr>
        <w:t>ur</w:t>
      </w:r>
      <w:r w:rsidRPr="0025732F">
        <w:rPr>
          <w:rStyle w:val="sfbbfee58"/>
          <w:rFonts w:cstheme="minorHAnsi"/>
          <w:color w:val="000000"/>
        </w:rPr>
        <w:t xml:space="preserve"> neturtinei žalai atlyginti</w:t>
      </w:r>
    </w:p>
    <w:p w14:paraId="2E0FCDAF" w14:textId="77777777" w:rsidR="00EE4FA2" w:rsidRPr="0025732F" w:rsidRDefault="00EE4FA2" w:rsidP="00EE4FA2">
      <w:pPr>
        <w:spacing w:after="0" w:line="240" w:lineRule="auto"/>
        <w:ind w:right="-1" w:firstLine="567"/>
        <w:jc w:val="both"/>
        <w:rPr>
          <w:rFonts w:cstheme="minorHAnsi"/>
        </w:rPr>
      </w:pPr>
      <w:r w:rsidRPr="0025732F">
        <w:rPr>
          <w:rFonts w:cstheme="minorHAnsi"/>
          <w:color w:val="000000"/>
        </w:rPr>
        <w:t>(pateiktos atskirosios nuomonės)</w:t>
      </w:r>
    </w:p>
    <w:p w14:paraId="2F528E10" w14:textId="77777777" w:rsidR="00EE4FA2" w:rsidRPr="0025732F" w:rsidRDefault="006922FB" w:rsidP="00EE4FA2">
      <w:pPr>
        <w:spacing w:after="0" w:line="240" w:lineRule="auto"/>
        <w:ind w:right="-1" w:firstLine="567"/>
        <w:jc w:val="both"/>
        <w:rPr>
          <w:rFonts w:cstheme="minorHAnsi"/>
        </w:rPr>
      </w:pPr>
      <w:hyperlink r:id="rId13" w:history="1">
        <w:r w:rsidR="00EE4FA2" w:rsidRPr="0025732F">
          <w:rPr>
            <w:rFonts w:cstheme="minorHAnsi"/>
            <w:color w:val="0000FF"/>
            <w:u w:val="single"/>
          </w:rPr>
          <w:t>Prieiga internete</w:t>
        </w:r>
      </w:hyperlink>
    </w:p>
    <w:p w14:paraId="54AECB50" w14:textId="77777777" w:rsidR="00EE4FA2" w:rsidRPr="0025732F" w:rsidRDefault="00EE4FA2" w:rsidP="00612945">
      <w:pPr>
        <w:pStyle w:val="paragraph"/>
        <w:spacing w:before="0" w:beforeAutospacing="0" w:after="0" w:afterAutospacing="0"/>
        <w:ind w:firstLine="720"/>
        <w:textAlignment w:val="baseline"/>
        <w:rPr>
          <w:rStyle w:val="normaltextrun"/>
          <w:rFonts w:asciiTheme="minorHAnsi" w:eastAsiaTheme="majorEastAsia" w:hAnsiTheme="minorHAnsi" w:cstheme="minorHAnsi"/>
          <w:sz w:val="22"/>
          <w:szCs w:val="22"/>
        </w:rPr>
      </w:pPr>
    </w:p>
    <w:p w14:paraId="15E51981" w14:textId="77777777" w:rsidR="00914BAA" w:rsidRPr="0025732F" w:rsidRDefault="00914BAA" w:rsidP="00914BAA">
      <w:pPr>
        <w:spacing w:after="0" w:line="240" w:lineRule="auto"/>
        <w:ind w:firstLine="567"/>
        <w:jc w:val="center"/>
        <w:rPr>
          <w:rFonts w:cstheme="minorHAnsi"/>
          <w:b/>
        </w:rPr>
      </w:pPr>
      <w:r w:rsidRPr="0025732F">
        <w:rPr>
          <w:rFonts w:cstheme="minorHAnsi"/>
          <w:b/>
        </w:rPr>
        <w:t xml:space="preserve">Europos Žmogaus Teisių Teismo 2020 m. gruodžio 10 d. sprendimas byloje </w:t>
      </w:r>
    </w:p>
    <w:p w14:paraId="11101CAB" w14:textId="5E72FC4C" w:rsidR="00914BAA" w:rsidRPr="0025732F" w:rsidRDefault="00914BAA" w:rsidP="00944B8C">
      <w:pPr>
        <w:pStyle w:val="Antrat2"/>
        <w:ind w:firstLine="0"/>
        <w:jc w:val="center"/>
        <w:rPr>
          <w:i/>
          <w:iCs w:val="0"/>
        </w:rPr>
      </w:pPr>
      <w:bookmarkStart w:id="13" w:name="_Toc72932268"/>
      <w:r w:rsidRPr="0025732F">
        <w:rPr>
          <w:i/>
          <w:iCs w:val="0"/>
        </w:rPr>
        <w:t>Edizioni Del Roma Società Cooperativa A.R.L ir Edizioni Del Roma S.R.L. prieš Italiją</w:t>
      </w:r>
      <w:bookmarkEnd w:id="13"/>
    </w:p>
    <w:p w14:paraId="32288571" w14:textId="0FC5916A" w:rsidR="00914BAA" w:rsidRPr="0025732F" w:rsidRDefault="00914BAA" w:rsidP="00914BAA">
      <w:pPr>
        <w:spacing w:after="0" w:line="240" w:lineRule="auto"/>
        <w:ind w:firstLine="567"/>
        <w:jc w:val="center"/>
        <w:rPr>
          <w:rFonts w:cstheme="minorHAnsi"/>
          <w:b/>
        </w:rPr>
      </w:pPr>
      <w:r w:rsidRPr="0025732F">
        <w:rPr>
          <w:rFonts w:cstheme="minorHAnsi"/>
          <w:b/>
        </w:rPr>
        <w:t xml:space="preserve">(pareiškimų Nr. </w:t>
      </w:r>
      <w:r w:rsidRPr="0025732F">
        <w:rPr>
          <w:rFonts w:cstheme="minorHAnsi"/>
          <w:b/>
          <w:iCs/>
        </w:rPr>
        <w:t>68954/13 ir 70495/13</w:t>
      </w:r>
      <w:r w:rsidR="00DC1C6C" w:rsidRPr="0025732F">
        <w:rPr>
          <w:rFonts w:cstheme="minorHAnsi"/>
          <w:b/>
          <w:iCs/>
        </w:rPr>
        <w:t>, svarbos lygis</w:t>
      </w:r>
      <w:r w:rsidR="00E41F1D">
        <w:rPr>
          <w:rFonts w:cstheme="minorHAnsi"/>
          <w:b/>
          <w:iCs/>
        </w:rPr>
        <w:t xml:space="preserve"> –</w:t>
      </w:r>
      <w:r w:rsidR="00AE54D5" w:rsidRPr="0025732F">
        <w:rPr>
          <w:rFonts w:cstheme="minorHAnsi"/>
          <w:b/>
          <w:iCs/>
        </w:rPr>
        <w:t xml:space="preserve"> </w:t>
      </w:r>
      <w:r w:rsidR="009B0BCB">
        <w:rPr>
          <w:rFonts w:cstheme="minorHAnsi"/>
          <w:b/>
          <w:iCs/>
        </w:rPr>
        <w:t>Svarbiausios bylos</w:t>
      </w:r>
      <w:r w:rsidR="00AE54D5" w:rsidRPr="0025732F">
        <w:rPr>
          <w:rFonts w:cstheme="minorHAnsi"/>
          <w:b/>
          <w:iCs/>
        </w:rPr>
        <w:t>)</w:t>
      </w:r>
    </w:p>
    <w:p w14:paraId="5794182A" w14:textId="77777777" w:rsidR="00914BAA" w:rsidRPr="0025732F" w:rsidRDefault="00914BAA" w:rsidP="00914BAA">
      <w:pPr>
        <w:pStyle w:val="s6c429373"/>
        <w:spacing w:before="0" w:beforeAutospacing="0" w:after="0" w:afterAutospacing="0"/>
        <w:ind w:firstLine="567"/>
        <w:jc w:val="both"/>
        <w:rPr>
          <w:rStyle w:val="sfbbfee58"/>
          <w:rFonts w:asciiTheme="minorHAnsi" w:hAnsiTheme="minorHAnsi" w:cstheme="minorHAnsi"/>
          <w:i/>
          <w:sz w:val="22"/>
          <w:szCs w:val="22"/>
        </w:rPr>
      </w:pPr>
    </w:p>
    <w:p w14:paraId="676FF479" w14:textId="77777777" w:rsidR="00914BAA" w:rsidRPr="0025732F" w:rsidRDefault="00914BAA" w:rsidP="00E764F0">
      <w:pPr>
        <w:pStyle w:val="Antrat3"/>
        <w:ind w:firstLine="567"/>
        <w:jc w:val="both"/>
        <w:rPr>
          <w:rStyle w:val="sfbbfee58"/>
          <w:rFonts w:cstheme="minorHAnsi"/>
          <w:szCs w:val="22"/>
        </w:rPr>
      </w:pPr>
      <w:bookmarkStart w:id="14" w:name="_Toc72932269"/>
      <w:r w:rsidRPr="0025732F">
        <w:rPr>
          <w:rStyle w:val="sfbbfee58"/>
          <w:rFonts w:cstheme="minorHAnsi"/>
          <w:szCs w:val="22"/>
        </w:rPr>
        <w:t xml:space="preserve">Dėl tinkamo </w:t>
      </w:r>
      <w:r w:rsidRPr="0025732F">
        <w:rPr>
          <w:rStyle w:val="sfbbfee58"/>
        </w:rPr>
        <w:t>proceso</w:t>
      </w:r>
      <w:r w:rsidRPr="0025732F">
        <w:rPr>
          <w:rStyle w:val="sfbbfee58"/>
          <w:rFonts w:cstheme="minorHAnsi"/>
          <w:szCs w:val="22"/>
        </w:rPr>
        <w:t xml:space="preserve"> teisme, kaip pagrindo pašalinti teisės į teisingą teismą pažeidimus, padarytus bylą nagrinėjant ekonominę sankciją skiriančioje institucijoje</w:t>
      </w:r>
      <w:bookmarkEnd w:id="14"/>
    </w:p>
    <w:p w14:paraId="4D02B167" w14:textId="77777777" w:rsidR="00914BAA" w:rsidRPr="0025732F" w:rsidRDefault="00914BAA" w:rsidP="00914BAA">
      <w:pPr>
        <w:spacing w:after="0" w:line="240" w:lineRule="auto"/>
        <w:ind w:firstLine="567"/>
        <w:rPr>
          <w:rFonts w:cstheme="minorHAnsi"/>
        </w:rPr>
      </w:pPr>
    </w:p>
    <w:p w14:paraId="7B5CA863" w14:textId="77777777" w:rsidR="00914BAA" w:rsidRPr="0025732F" w:rsidRDefault="00914BAA" w:rsidP="00914BAA">
      <w:pPr>
        <w:spacing w:after="0" w:line="240" w:lineRule="auto"/>
        <w:jc w:val="center"/>
        <w:rPr>
          <w:rFonts w:cstheme="minorHAnsi"/>
          <w:b/>
        </w:rPr>
      </w:pPr>
      <w:r w:rsidRPr="0025732F">
        <w:rPr>
          <w:rFonts w:cstheme="minorHAnsi"/>
          <w:b/>
        </w:rPr>
        <w:t>Faktinės aplinkybės</w:t>
      </w:r>
    </w:p>
    <w:p w14:paraId="2CB4D45A" w14:textId="77777777" w:rsidR="00914BAA" w:rsidRPr="0025732F" w:rsidRDefault="00914BAA" w:rsidP="00914BAA">
      <w:pPr>
        <w:spacing w:after="0" w:line="240" w:lineRule="auto"/>
        <w:ind w:firstLine="567"/>
        <w:rPr>
          <w:rFonts w:cstheme="minorHAnsi"/>
          <w:b/>
        </w:rPr>
      </w:pPr>
    </w:p>
    <w:p w14:paraId="30435A3C" w14:textId="192701B6"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 xml:space="preserve">Italijos telekomunikacijų reguliavimo tarnyba (AGCOM) skyrė ekonomines sankcijas (pinigines baudas) leidyba užsiimantiems pareiškėjams (bendrovėms), kurie dėl šių sankcijų neteko anksčiau jiems skirto finansavimo iš valstybės biudžeto, kas, be kita ko, lėmė vieno iš pareiškėjo nemokumą. AGCOM sprendimus pareiškėjai </w:t>
      </w:r>
      <w:r w:rsidRPr="00E41F1D">
        <w:rPr>
          <w:rFonts w:eastAsia="Times New Roman" w:cstheme="minorHAnsi"/>
          <w:color w:val="000000"/>
        </w:rPr>
        <w:t>apskundė</w:t>
      </w:r>
      <w:r w:rsidRPr="0025732F">
        <w:rPr>
          <w:rFonts w:cstheme="minorHAnsi"/>
        </w:rPr>
        <w:t xml:space="preserve"> Romos administraciniam teismui, be kita ko, teigdami, kad buvo pažeista jų teisė į gynybą ir kad jie nebuvo išklausyti ginčijamus sprendimus priėmusioje kolegialioje institucijoje, taip pat nesutiko su institucijų atliktais veiksmais renkant įrodymus. Tačiau pirmosios instancijos teismas sprendė, kad pareiškėjų teisės nebuvo pažeistos ir skundą atmetė. Atmesdamas pareiškėjų apeliacinius skundus, aukštesnės instancijos teismas patvirtino pirmosios instancijos teismo sprendimus.</w:t>
      </w:r>
    </w:p>
    <w:p w14:paraId="22E98BF6" w14:textId="52E15E9C"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 xml:space="preserve">Manydami, kad AGCOM vykusių procedūrų metu buvo pažeistos jų Konvencijos 6 straipsnio 1 dalimi garantuojamos teisės, pareiškėjai kreipėsi į Teismą. Pareiškėjai akcentavo, kad procesas AGCOM vyko rašytine tvarka, nevyko viešas žodinis posėdis, </w:t>
      </w:r>
      <w:r w:rsidR="00E41F1D">
        <w:rPr>
          <w:rFonts w:cstheme="minorHAnsi"/>
        </w:rPr>
        <w:t xml:space="preserve">jie </w:t>
      </w:r>
      <w:r w:rsidRPr="0025732F">
        <w:rPr>
          <w:rFonts w:cstheme="minorHAnsi"/>
        </w:rPr>
        <w:t>negalėjo pateikti klausimų AGCOM tyrimų tarybos apklaust</w:t>
      </w:r>
      <w:r w:rsidR="00E41F1D">
        <w:rPr>
          <w:rFonts w:cstheme="minorHAnsi"/>
        </w:rPr>
        <w:t>iems</w:t>
      </w:r>
      <w:r w:rsidRPr="0025732F">
        <w:rPr>
          <w:rFonts w:cstheme="minorHAnsi"/>
        </w:rPr>
        <w:t xml:space="preserve"> </w:t>
      </w:r>
      <w:r w:rsidRPr="00E41F1D">
        <w:rPr>
          <w:rFonts w:eastAsia="Times New Roman" w:cstheme="minorHAnsi"/>
          <w:color w:val="000000"/>
        </w:rPr>
        <w:lastRenderedPageBreak/>
        <w:t>asmen</w:t>
      </w:r>
      <w:r w:rsidR="00E41F1D" w:rsidRPr="00E41F1D">
        <w:rPr>
          <w:rFonts w:eastAsia="Times New Roman" w:cstheme="minorHAnsi"/>
          <w:color w:val="000000"/>
        </w:rPr>
        <w:t>ims</w:t>
      </w:r>
      <w:r w:rsidRPr="0025732F">
        <w:rPr>
          <w:rFonts w:cstheme="minorHAnsi"/>
        </w:rPr>
        <w:t>. Akcent</w:t>
      </w:r>
      <w:r w:rsidR="00E41F1D">
        <w:rPr>
          <w:rFonts w:cstheme="minorHAnsi"/>
        </w:rPr>
        <w:t>uota</w:t>
      </w:r>
      <w:r w:rsidRPr="0025732F">
        <w:rPr>
          <w:rFonts w:cstheme="minorHAnsi"/>
        </w:rPr>
        <w:t xml:space="preserve"> ir tai, kad AGCOM tyrimą atliekantys padaliniai ir sprendimus dėl sankcijų skyrimo priimanti kolegija (komisija) yra nepriklausomi kiekvienas nuo kito tik formaliai, tačiau realiai tai yra viena ir ta pati institucija. Italijos Vyriausybė su tokiais pareiškėjų argumentais nesutiko, teigdama, kad AGCOM jiems buvo sudarytos visos galimybės pateikti savo gynybinius argumentus, susipažinti su visa tyrimo medžiaga, taip pat teisė prašyti žodinio posėdžio, kuria jie nepasinaudojo.</w:t>
      </w:r>
    </w:p>
    <w:p w14:paraId="74AB1FE0" w14:textId="77777777" w:rsidR="00914BAA" w:rsidRPr="0025732F" w:rsidRDefault="00914BAA" w:rsidP="00914BAA">
      <w:pPr>
        <w:spacing w:after="0" w:line="240" w:lineRule="auto"/>
        <w:ind w:left="113" w:firstLine="567"/>
        <w:jc w:val="both"/>
        <w:rPr>
          <w:rFonts w:cstheme="minorHAnsi"/>
        </w:rPr>
      </w:pPr>
    </w:p>
    <w:p w14:paraId="63F2C777" w14:textId="77777777" w:rsidR="00914BAA" w:rsidRPr="0025732F" w:rsidRDefault="00914BAA" w:rsidP="00914BAA">
      <w:pPr>
        <w:spacing w:after="0" w:line="240" w:lineRule="auto"/>
        <w:jc w:val="center"/>
        <w:rPr>
          <w:rFonts w:cstheme="minorHAnsi"/>
          <w:b/>
        </w:rPr>
      </w:pPr>
      <w:r w:rsidRPr="0025732F">
        <w:rPr>
          <w:rFonts w:cstheme="minorHAnsi"/>
          <w:b/>
        </w:rPr>
        <w:t>Neoficiali Teismo sprendimo apžvalga</w:t>
      </w:r>
    </w:p>
    <w:p w14:paraId="73DAFA11" w14:textId="77777777" w:rsidR="00914BAA" w:rsidRPr="0025732F" w:rsidRDefault="00914BAA" w:rsidP="00914BAA">
      <w:pPr>
        <w:spacing w:after="0" w:line="240" w:lineRule="auto"/>
        <w:ind w:firstLine="567"/>
        <w:jc w:val="both"/>
        <w:rPr>
          <w:rFonts w:cstheme="minorHAnsi"/>
        </w:rPr>
      </w:pPr>
    </w:p>
    <w:p w14:paraId="32B85636" w14:textId="04C5AFBC"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Teismas pripažino, kad pareiškėjai turėjo galimyb</w:t>
      </w:r>
      <w:r w:rsidR="00E41F1D">
        <w:rPr>
          <w:rFonts w:cstheme="minorHAnsi"/>
        </w:rPr>
        <w:t>ę</w:t>
      </w:r>
      <w:r w:rsidRPr="0025732F">
        <w:rPr>
          <w:rFonts w:cstheme="minorHAnsi"/>
        </w:rPr>
        <w:t xml:space="preserve"> AGCOM teikti įrodymus, paaiškinimus, jie buvo supažindinti su kaltinimu ir jiems buvo suteiktas 30 dienų terminas pateikti savo pastabas dėl jų (kadangi </w:t>
      </w:r>
      <w:r w:rsidRPr="00E41F1D">
        <w:rPr>
          <w:rFonts w:eastAsia="Times New Roman" w:cstheme="minorHAnsi"/>
          <w:color w:val="000000"/>
        </w:rPr>
        <w:t>pareiškėjai</w:t>
      </w:r>
      <w:r w:rsidRPr="0025732F">
        <w:rPr>
          <w:rFonts w:cstheme="minorHAnsi"/>
        </w:rPr>
        <w:t xml:space="preserve"> neprašė šio termino pratęsti, Teismas vertino, kad jis nebuvo akivaizdžiai nepakankamas). Tačiau finansų policijos atlikto tyrimo medžiaga, kuria buvo remiamasi AGCOM priimant sprendimą, pareiškėjams nebuvo pateikta. Be to, procesas AGCOM iš esmės buvo rašytinės formos ir nebuvo viešo posėdžio, kaip tai numato Konvencijos 6 straipsnio 1 dalis.</w:t>
      </w:r>
    </w:p>
    <w:p w14:paraId="64D02F28" w14:textId="77777777"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 xml:space="preserve">Kita vertus, kaip priminė Teismas, pareiga organizuoti viešą posėdį nėra absoliuti, ypač tose bylose, kuriose nekyla </w:t>
      </w:r>
      <w:r w:rsidRPr="00E41F1D">
        <w:rPr>
          <w:rFonts w:eastAsia="Times New Roman" w:cstheme="minorHAnsi"/>
          <w:color w:val="000000"/>
        </w:rPr>
        <w:t>klausimų</w:t>
      </w:r>
      <w:r w:rsidRPr="0025732F">
        <w:rPr>
          <w:rFonts w:cstheme="minorHAnsi"/>
        </w:rPr>
        <w:t xml:space="preserve"> ir abejonių dėl faktinių aplinkybių, kurie implikuotų žodinio nagrinėjimo būtinybę, ir kai teismas gali priimti teisingą ir tinkamai motyvuotą sprendimą remdamasis rašytine bylos medžiaga. Visgi, Teismo vertinimu, apžvelgiamoje byloje nagrinėtu atveju žodinis bylos nagrinėjimas buvo būtinas, nes reikšminga informacija nebuvo vienareikšmė.</w:t>
      </w:r>
    </w:p>
    <w:p w14:paraId="25846F57" w14:textId="5BE9ADFD" w:rsidR="00E41F1D" w:rsidRPr="00E41F1D" w:rsidRDefault="00914BAA" w:rsidP="00E41F1D">
      <w:pPr>
        <w:pBdr>
          <w:top w:val="nil"/>
          <w:left w:val="nil"/>
          <w:bottom w:val="nil"/>
          <w:right w:val="nil"/>
          <w:between w:val="nil"/>
        </w:pBdr>
        <w:tabs>
          <w:tab w:val="left" w:pos="851"/>
        </w:tabs>
        <w:spacing w:after="0" w:line="240" w:lineRule="auto"/>
        <w:ind w:right="-1" w:firstLine="567"/>
        <w:jc w:val="both"/>
        <w:rPr>
          <w:rFonts w:cstheme="minorHAnsi"/>
          <w:u w:val="single"/>
        </w:rPr>
      </w:pPr>
      <w:r w:rsidRPr="0025732F">
        <w:rPr>
          <w:rFonts w:cstheme="minorHAnsi"/>
        </w:rPr>
        <w:t>Toliau vertindamas, ar procedūros AGCOM buvo tinkamos ir ar ši institucija laikytina nepriklausomu ir nešališku tribunolu, Teismas pažymėjo, kad šios institucijos veiklą reglamentuojančios nacionalinės taisyklės numatė tam tikrą atskyrimą tarp tyrimus atliekančio šios institucijos padalinio ir kolegialaus organo (komisijos), kuris vertina, ar buvo padarytas pažeidimas, ar ne, bei sprendžia dėl skiriamos ekonominės sankcijos. Šiuo aspektu nustatyta, kad už procedūros vykdymą atsakingas asmuo turėjo pristatyti kaltinimą ir atlikti tyrimą, kurio rezultatai surašomi ataskaitoje. Šioje ataskaitoje taip pat būdavo pateikiama išvada ir siūlymas dėl taikytinų sankcijų. Galutinį sprendimą dėl sankcijų priimdavo tik minėta komisija.</w:t>
      </w:r>
      <w:r w:rsidR="00E41F1D">
        <w:rPr>
          <w:rFonts w:cstheme="minorHAnsi"/>
        </w:rPr>
        <w:t xml:space="preserve"> </w:t>
      </w:r>
      <w:r w:rsidRPr="0025732F">
        <w:rPr>
          <w:rFonts w:cstheme="minorHAnsi"/>
        </w:rPr>
        <w:t xml:space="preserve">Tačiau </w:t>
      </w:r>
      <w:r w:rsidRPr="00E41F1D">
        <w:rPr>
          <w:rFonts w:cstheme="minorHAnsi"/>
          <w:u w:val="single"/>
        </w:rPr>
        <w:t xml:space="preserve">procedūrai vadovaujantis asmuo </w:t>
      </w:r>
      <w:r w:rsidR="00E41F1D">
        <w:rPr>
          <w:rFonts w:cstheme="minorHAnsi"/>
          <w:u w:val="single"/>
        </w:rPr>
        <w:t xml:space="preserve">ir komisija, skirianti sankcijas, buvo vienos administracinės institucijos padaliniai, kurie savo funkcijas įgyvendino ir buvo prižiūrimi to paties pirmininko. Šiuo aspektu Vyriausybė nepagrindė, </w:t>
      </w:r>
      <w:r w:rsidRPr="00E41F1D">
        <w:rPr>
          <w:rFonts w:cstheme="minorHAnsi"/>
          <w:u w:val="single"/>
        </w:rPr>
        <w:t>kad egzistavo institucijos padalinių tarpusavio nepriklausomumą užtikrinančios priemonės (saugikliai)</w:t>
      </w:r>
      <w:r w:rsidR="00E41F1D">
        <w:rPr>
          <w:rFonts w:cstheme="minorHAnsi"/>
          <w:u w:val="single"/>
        </w:rPr>
        <w:t xml:space="preserve"> ar kad pirmininko funkcijos buvo tik formalaus pobūdžio. </w:t>
      </w:r>
      <w:r w:rsidRPr="00E41F1D">
        <w:rPr>
          <w:rFonts w:cstheme="minorHAnsi"/>
          <w:u w:val="single"/>
        </w:rPr>
        <w:t>Teismo vertinimu, tai lėmė, kad tiek tyrimą atliko, tiek sprendimą priėmė ta pati institucija. Baudžiamojo pobūdžio klausimuose tokia situacija nebuvo suderinama su Konvencijos 6 straipsnio 1 dalyje nurodytu nepriklausomumo reikalavimu.</w:t>
      </w:r>
      <w:r w:rsidR="00E41F1D" w:rsidRPr="00E41F1D">
        <w:rPr>
          <w:rFonts w:cstheme="minorHAnsi"/>
          <w:u w:val="single"/>
        </w:rPr>
        <w:t xml:space="preserve"> </w:t>
      </w:r>
    </w:p>
    <w:p w14:paraId="7F8F5012" w14:textId="77777777"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Galiausiai, AGCOM vykusios procedūros netenkino Konvencijos 6 straipsnio reikalavimų, ypač susijusių su rungtyniškumo principo laikymusi tarp kaltintojo ir ginamojo bei viešo posėdžio organizavimo, kuriame šalys žodžiu galėtų išdėstyti savo argumentus.</w:t>
      </w:r>
    </w:p>
    <w:p w14:paraId="37FFC2BE" w14:textId="6151A9EB" w:rsidR="00914BAA" w:rsidRPr="0025732F" w:rsidRDefault="00914BAA" w:rsidP="00E41F1D">
      <w:pPr>
        <w:pBdr>
          <w:top w:val="nil"/>
          <w:left w:val="nil"/>
          <w:bottom w:val="nil"/>
          <w:right w:val="nil"/>
          <w:between w:val="nil"/>
        </w:pBdr>
        <w:tabs>
          <w:tab w:val="left" w:pos="851"/>
        </w:tabs>
        <w:spacing w:after="0" w:line="240" w:lineRule="auto"/>
        <w:ind w:right="-1" w:firstLine="567"/>
        <w:jc w:val="both"/>
        <w:rPr>
          <w:rFonts w:cstheme="minorHAnsi"/>
        </w:rPr>
      </w:pPr>
      <w:r w:rsidRPr="0025732F">
        <w:rPr>
          <w:rFonts w:cstheme="minorHAnsi"/>
        </w:rPr>
        <w:t xml:space="preserve">Tačiau </w:t>
      </w:r>
      <w:r w:rsidRPr="00E41F1D">
        <w:rPr>
          <w:rFonts w:cstheme="minorHAnsi"/>
          <w:u w:val="single"/>
        </w:rPr>
        <w:t>tai, kad AGCOM procedūros neatitiko minėtų reikalavimų, aptartu atveju nebuvo pakankama konstatuoti Konvencijos 6 straipsnio pažeidimo. Iš tiesų AGCOM sprendimai buvo apskųsti dviejų instancijų teismams (turintiems pilną jurisdikciją) ir abiejuose šiuose teismuose ginčas buvo nagrinėjamas žodinio proceso tvarka viešuose teismų posėdžiuose</w:t>
      </w:r>
      <w:r w:rsidRPr="0025732F">
        <w:rPr>
          <w:rFonts w:cstheme="minorHAnsi"/>
        </w:rPr>
        <w:t>.</w:t>
      </w:r>
    </w:p>
    <w:p w14:paraId="69DEC4C5" w14:textId="77777777" w:rsidR="00914BAA" w:rsidRPr="0025732F" w:rsidRDefault="00914BAA" w:rsidP="00914BAA">
      <w:pPr>
        <w:spacing w:after="0" w:line="240" w:lineRule="auto"/>
        <w:ind w:firstLine="567"/>
        <w:jc w:val="both"/>
        <w:rPr>
          <w:rFonts w:cstheme="minorHAnsi"/>
        </w:rPr>
      </w:pPr>
    </w:p>
    <w:p w14:paraId="222F99ED" w14:textId="27ADD232" w:rsidR="00914BAA" w:rsidRPr="0025732F" w:rsidRDefault="00914BAA" w:rsidP="00914BAA">
      <w:pPr>
        <w:spacing w:after="0" w:line="240" w:lineRule="auto"/>
        <w:ind w:firstLine="567"/>
        <w:jc w:val="both"/>
        <w:rPr>
          <w:rFonts w:cstheme="minorHAnsi"/>
        </w:rPr>
      </w:pPr>
      <w:r w:rsidRPr="0025732F">
        <w:rPr>
          <w:rFonts w:cstheme="minorHAnsi"/>
        </w:rPr>
        <w:t>Išvada: Konvencijos 6 straipsnio 1 dali</w:t>
      </w:r>
      <w:r w:rsidR="00E764F0" w:rsidRPr="0025732F">
        <w:rPr>
          <w:rFonts w:cstheme="minorHAnsi"/>
        </w:rPr>
        <w:t>e</w:t>
      </w:r>
      <w:r w:rsidRPr="0025732F">
        <w:rPr>
          <w:rFonts w:cstheme="minorHAnsi"/>
        </w:rPr>
        <w:t>s</w:t>
      </w:r>
      <w:r w:rsidR="00E764F0" w:rsidRPr="0025732F">
        <w:rPr>
          <w:rFonts w:cstheme="minorHAnsi"/>
        </w:rPr>
        <w:t xml:space="preserve"> pažeidimas nenustatytas</w:t>
      </w:r>
      <w:r w:rsidRPr="0025732F">
        <w:rPr>
          <w:rFonts w:cstheme="minorHAnsi"/>
        </w:rPr>
        <w:t xml:space="preserve"> (vienbalsiai).</w:t>
      </w:r>
    </w:p>
    <w:p w14:paraId="29EB9E46" w14:textId="03A806A5" w:rsidR="00914BAA" w:rsidRPr="0025732F" w:rsidRDefault="006922FB" w:rsidP="00914BAA">
      <w:pPr>
        <w:spacing w:after="0" w:line="240" w:lineRule="auto"/>
        <w:ind w:firstLine="567"/>
        <w:jc w:val="both"/>
        <w:rPr>
          <w:rFonts w:cstheme="minorHAnsi"/>
        </w:rPr>
      </w:pPr>
      <w:hyperlink r:id="rId14" w:history="1">
        <w:r w:rsidR="00914BAA" w:rsidRPr="0025732F">
          <w:rPr>
            <w:rStyle w:val="Hipersaitas"/>
            <w:rFonts w:cstheme="minorHAnsi"/>
          </w:rPr>
          <w:t>Prieiga internete</w:t>
        </w:r>
      </w:hyperlink>
    </w:p>
    <w:p w14:paraId="3AD4EF17" w14:textId="77777777" w:rsidR="00914BAA" w:rsidRPr="0025732F" w:rsidRDefault="00914BAA" w:rsidP="00612945">
      <w:pPr>
        <w:pStyle w:val="paragraph"/>
        <w:spacing w:before="0" w:beforeAutospacing="0" w:after="0" w:afterAutospacing="0"/>
        <w:ind w:firstLine="720"/>
        <w:textAlignment w:val="baseline"/>
        <w:rPr>
          <w:rStyle w:val="normaltextrun"/>
          <w:rFonts w:asciiTheme="minorHAnsi" w:eastAsiaTheme="majorEastAsia" w:hAnsiTheme="minorHAnsi" w:cstheme="minorHAnsi"/>
          <w:i/>
          <w:iCs/>
          <w:sz w:val="22"/>
          <w:szCs w:val="22"/>
        </w:rPr>
      </w:pPr>
    </w:p>
    <w:p w14:paraId="6B140CDB" w14:textId="61BC6815" w:rsidR="00C67C37" w:rsidRPr="0025732F" w:rsidRDefault="00C67C37" w:rsidP="003C3579">
      <w:pPr>
        <w:pStyle w:val="Antrat1"/>
        <w:rPr>
          <w:rFonts w:eastAsia="Times New Roman" w:cstheme="minorHAnsi"/>
          <w:szCs w:val="22"/>
        </w:rPr>
      </w:pPr>
      <w:bookmarkStart w:id="15" w:name="_Toc72932270"/>
      <w:r w:rsidRPr="0025732F">
        <w:rPr>
          <w:rFonts w:eastAsia="Times New Roman" w:cstheme="minorHAnsi"/>
          <w:szCs w:val="22"/>
        </w:rPr>
        <w:t xml:space="preserve">TEISĖ Į PRIVATAUS IR ŠEIMOS GYVENIMO GERBIMĄ (8 </w:t>
      </w:r>
      <w:r w:rsidR="004B1919" w:rsidRPr="0025732F">
        <w:rPr>
          <w:rFonts w:eastAsia="Times New Roman" w:cstheme="minorHAnsi"/>
          <w:szCs w:val="22"/>
        </w:rPr>
        <w:t>straipsnis</w:t>
      </w:r>
      <w:r w:rsidRPr="0025732F">
        <w:rPr>
          <w:rFonts w:eastAsia="Times New Roman" w:cstheme="minorHAnsi"/>
          <w:szCs w:val="22"/>
        </w:rPr>
        <w:t>)</w:t>
      </w:r>
      <w:bookmarkEnd w:id="15"/>
    </w:p>
    <w:p w14:paraId="7B3E29B6"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1AD32A93"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Europos Žmogaus Teisių Teismo 2020 m. liepos 28 d. sprendimas byloje</w:t>
      </w:r>
    </w:p>
    <w:p w14:paraId="3214FBD5" w14:textId="77777777" w:rsidR="00C67C37" w:rsidRPr="0025732F" w:rsidRDefault="00C67C37" w:rsidP="009C6F4D">
      <w:pPr>
        <w:pStyle w:val="Antrat2"/>
        <w:ind w:firstLine="0"/>
        <w:jc w:val="center"/>
        <w:rPr>
          <w:rFonts w:cstheme="minorHAnsi"/>
          <w:i/>
          <w:iCs w:val="0"/>
        </w:rPr>
      </w:pPr>
      <w:bookmarkStart w:id="16" w:name="_Toc72932271"/>
      <w:r w:rsidRPr="0025732F">
        <w:rPr>
          <w:rFonts w:cstheme="minorHAnsi"/>
          <w:i/>
          <w:iCs w:val="0"/>
        </w:rPr>
        <w:t>Pormes prieš Nyderlandus</w:t>
      </w:r>
      <w:bookmarkEnd w:id="16"/>
    </w:p>
    <w:p w14:paraId="6A0DD738"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(pareiškimo Nr. 25402/14, svarbos lygis – 2)</w:t>
      </w:r>
    </w:p>
    <w:p w14:paraId="30066C11"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016C9129" w14:textId="4AD1DFFC" w:rsidR="00C67C37" w:rsidRPr="0025732F" w:rsidRDefault="00C67C37" w:rsidP="00E764F0">
      <w:pPr>
        <w:pStyle w:val="Antrat3"/>
        <w:ind w:firstLine="567"/>
        <w:jc w:val="both"/>
        <w:rPr>
          <w:rFonts w:eastAsia="Times New Roman" w:cstheme="minorHAnsi"/>
          <w:color w:val="000000"/>
          <w:szCs w:val="22"/>
        </w:rPr>
      </w:pPr>
      <w:bookmarkStart w:id="17" w:name="_Toc72932272"/>
      <w:r w:rsidRPr="0025732F">
        <w:rPr>
          <w:rFonts w:cstheme="minorHAnsi"/>
          <w:szCs w:val="22"/>
        </w:rPr>
        <w:t>Dėl atsisakymo išduoti leidimą gyventi užsieniečiui, nuo jauno amžiaus neteisėtai gyvenusiam priimančiojoje valstybėje, kai asmuo vis nusikalsta viešajai tvarkai ir saugumui</w:t>
      </w:r>
      <w:bookmarkEnd w:id="17"/>
    </w:p>
    <w:p w14:paraId="3D098239"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p>
    <w:p w14:paraId="30D5A49E"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lastRenderedPageBreak/>
        <w:t>Faktinės aplinkybės</w:t>
      </w:r>
    </w:p>
    <w:p w14:paraId="0F191386"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16056E07" w14:textId="77777777"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Pareiškėjas gimė Indonezijoje 1987 m. Jo motina buvo Indonezijos pilietė, o tėvas olandas. Po motinos mirties, būdamas ketverių metų, jis trumpalaikės turistinės vizos pagrindu atvyko į Nyderlandus ir nuo tada ten gyveno iš pradžių su savo tėvu, o po pastarojo mirties</w:t>
      </w:r>
      <w:r w:rsidR="00E325D7" w:rsidRPr="0025732F">
        <w:rPr>
          <w:rFonts w:eastAsia="Times New Roman" w:cstheme="minorHAnsi"/>
          <w:color w:val="000000"/>
        </w:rPr>
        <w:t xml:space="preserve"> – s</w:t>
      </w:r>
      <w:r w:rsidRPr="0025732F">
        <w:rPr>
          <w:rFonts w:eastAsia="Times New Roman" w:cstheme="minorHAnsi"/>
          <w:color w:val="000000"/>
        </w:rPr>
        <w:t xml:space="preserve">u globėjais. 2004 m., kai jam buvo 17 metų, pareiškėjas sužinojo, kad jis neturi Nyderlandų pilietybės ir Nyderlanduose gyvena neteisėtai. Pareiškėjas kreipėsi dėl laikino leidimo gyventi šeimos susijungimo pagrindu, tačiau atsižvelgus į daugkartinius jo teistumus už tam tikro pobūdžio užpuolimus, toks leidimas nebuvo išduotas. Leidimo gyventi išdavimo proceso metu Nyderlandų institucijoms siekiant įvertinti jo šeiminius ryšius Konvencijos 8 straipsnio kontekste buvo </w:t>
      </w:r>
      <w:r w:rsidRPr="0025732F">
        <w:rPr>
          <w:rFonts w:eastAsia="Times New Roman" w:cstheme="minorHAnsi"/>
          <w:i/>
          <w:iCs/>
          <w:color w:val="000000"/>
        </w:rPr>
        <w:t>inter alia</w:t>
      </w:r>
      <w:r w:rsidRPr="0025732F">
        <w:rPr>
          <w:rFonts w:eastAsia="Times New Roman" w:cstheme="minorHAnsi"/>
          <w:color w:val="000000"/>
        </w:rPr>
        <w:t xml:space="preserve"> nurodyta, kad neteisėto buvimo šalyje metu pareiškėjas negalėjo įgyti jokių teisių. Be kita ko, sprendimo dėl leidimo gyventi išdavimo metu Nyderlandų institucijoms neatrodė svarus argumentas, kad pareiškėjas nemoka indoneziečių kalbos ir jokių artimųjų Indonezijoje neturi. Buvo nurodyta, kad šeiminius ryšius su globėjų šeima jis galėtų palaikyti šiems atvykstant jo lankyti į Indoneziją.</w:t>
      </w:r>
    </w:p>
    <w:p w14:paraId="5ED55E07" w14:textId="654B54E9" w:rsidR="00C67C3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Pareiškėjas teigė, kad nacionalinių valdžios institucijų atsisakymas išduoti jam leidimą gyventi Nyderlanduose, kur jis gyveno nuo labai jauno amžiaus, pažeidė jo teisę </w:t>
      </w:r>
      <w:r w:rsidRPr="0025732F">
        <w:rPr>
          <w:rFonts w:cstheme="minorHAnsi"/>
        </w:rPr>
        <w:t>į privataus ir šeimos gyvenimo gerbimą, kaip numatyta Konvencijos 8 straipsnyje.</w:t>
      </w:r>
    </w:p>
    <w:p w14:paraId="3A8526E8"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21326F7F" w14:textId="77777777" w:rsidR="00C67C37" w:rsidRPr="0025732F" w:rsidRDefault="00C67C37" w:rsidP="00612945">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26EC0D1E"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7095106A" w14:textId="78350CDE"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Teismas pažymėjo, kad pareiškėjas Nyderlanduose užmezgė labai tvirtus ryšius, tuo metu jo ryšiai su Indonezija nebuvo stiprūs: jis, matyt, neturėjo jokių faktinių šeimos ar socialinių ryšių ir nekalbėjo indoneziečių kalba. Atsižvelgiant į tai, kad pareiškėjui negalima priekaištauti dėl neteisėto buvimo Nyderlanduose, turint omenyje, kad jis ilgą laiką kūrė glaudžius ryšius su ta šalimi,</w:t>
      </w:r>
      <w:r w:rsidR="00E41F1D">
        <w:rPr>
          <w:rFonts w:eastAsia="Times New Roman" w:cstheme="minorHAnsi"/>
          <w:color w:val="000000"/>
        </w:rPr>
        <w:t xml:space="preserve"> ir</w:t>
      </w:r>
      <w:r w:rsidRPr="0025732F">
        <w:rPr>
          <w:rFonts w:eastAsia="Times New Roman" w:cstheme="minorHAnsi"/>
          <w:color w:val="000000"/>
        </w:rPr>
        <w:t xml:space="preserve"> jei su šia situacija nebūtų susij</w:t>
      </w:r>
      <w:r w:rsidR="00E41F1D">
        <w:rPr>
          <w:rFonts w:eastAsia="Times New Roman" w:cstheme="minorHAnsi"/>
          <w:color w:val="000000"/>
        </w:rPr>
        <w:t>usios</w:t>
      </w:r>
      <w:r w:rsidRPr="0025732F">
        <w:rPr>
          <w:rFonts w:eastAsia="Times New Roman" w:cstheme="minorHAnsi"/>
          <w:color w:val="000000"/>
        </w:rPr>
        <w:t xml:space="preserve"> jokios kitos aplinkybės, Teismo teigimu, pareiškėjo interesas gyventi Nyderlanduose būtų nusvėręs bet kokį valstybės interesą imigracijos kontrolės kontekste.</w:t>
      </w:r>
    </w:p>
    <w:p w14:paraId="0EA25032" w14:textId="00785B06" w:rsidR="00E325D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Tačiau</w:t>
      </w:r>
      <w:r w:rsidR="00E41F1D">
        <w:rPr>
          <w:rFonts w:eastAsia="Times New Roman" w:cstheme="minorHAnsi"/>
          <w:color w:val="000000"/>
        </w:rPr>
        <w:t>,</w:t>
      </w:r>
      <w:r w:rsidRPr="0025732F">
        <w:rPr>
          <w:rFonts w:eastAsia="Times New Roman" w:cstheme="minorHAnsi"/>
          <w:color w:val="000000"/>
        </w:rPr>
        <w:t xml:space="preserve"> Teismo vertinimu, </w:t>
      </w:r>
      <w:r w:rsidR="00E41F1D" w:rsidRPr="00E41F1D">
        <w:rPr>
          <w:rFonts w:eastAsia="Times New Roman" w:cstheme="minorHAnsi"/>
          <w:color w:val="000000"/>
          <w:u w:val="single"/>
        </w:rPr>
        <w:t>reikia atsižvelgti</w:t>
      </w:r>
      <w:r w:rsidRPr="00E41F1D">
        <w:rPr>
          <w:rFonts w:eastAsia="Times New Roman" w:cstheme="minorHAnsi"/>
          <w:color w:val="000000"/>
          <w:u w:val="single"/>
        </w:rPr>
        <w:t>, kad pareiškėjas, sulaukęs pilnametystės ir supratęs savo nesaugų buvimo šalyje statusą, vis dėlto tapo daugkartiniu recidyvistu. Taigi, nors atsižvelgiant į jo gyvenimo Nyderlanduose trukmę ir tvirtus ryšius su šia šalimi, pareiškėjo perkėlimas į Indoneziją jam sukeltų tam tikrų sunkumų, visgi reik</w:t>
      </w:r>
      <w:r w:rsidR="00E325D7" w:rsidRPr="00E41F1D">
        <w:rPr>
          <w:rFonts w:eastAsia="Times New Roman" w:cstheme="minorHAnsi"/>
          <w:color w:val="000000"/>
          <w:u w:val="single"/>
        </w:rPr>
        <w:t>ėjo</w:t>
      </w:r>
      <w:r w:rsidRPr="00E41F1D">
        <w:rPr>
          <w:rFonts w:eastAsia="Times New Roman" w:cstheme="minorHAnsi"/>
          <w:color w:val="000000"/>
          <w:u w:val="single"/>
        </w:rPr>
        <w:t xml:space="preserve"> atsižvelgti, kad pareiškėjas yra sveikas suaugęs vyras ir toje šalyje gali savimi pasirūpinti</w:t>
      </w:r>
      <w:r w:rsidRPr="0025732F">
        <w:rPr>
          <w:rFonts w:eastAsia="Times New Roman" w:cstheme="minorHAnsi"/>
          <w:color w:val="000000"/>
        </w:rPr>
        <w:t>. Pareiškėjas turi daug praktinių įgūdžių, jis gali prisitaikyti prie Indonezijos kultūros ir išmokti kalbos. Ryšiai su globėjų šeima ir kitais asmenimis Nyderlanduose, Teismo teigimu, gali būti palaikomi naudojant šiuolaikines komunikacijos priemones. Be to, pareiškėjui nebuvo paskirta išsiuntimo priemonė, tad jam sudaroma galimybė kreiptis dėl vizos esant poreikiui apsilankyti Nyderlanduose.</w:t>
      </w:r>
    </w:p>
    <w:p w14:paraId="29A4E89D" w14:textId="10AAF10A" w:rsidR="00C67C37" w:rsidRPr="0025732F" w:rsidRDefault="00C67C37" w:rsidP="00E325D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Teismo vertinimu, svarbu tai, kad kiekviena atitinkamus sprendimus priėmusi šalies institucija </w:t>
      </w:r>
      <w:r w:rsidR="00E41F1D">
        <w:rPr>
          <w:rFonts w:eastAsia="Times New Roman" w:cstheme="minorHAnsi"/>
          <w:color w:val="000000"/>
        </w:rPr>
        <w:t>deramai</w:t>
      </w:r>
      <w:r w:rsidRPr="0025732F">
        <w:rPr>
          <w:rFonts w:eastAsia="Times New Roman" w:cstheme="minorHAnsi"/>
          <w:color w:val="000000"/>
        </w:rPr>
        <w:t xml:space="preserve"> atsižvelgė į valstybės įsipareigojimus pagal Konvencijos 8 straipsnį. Remdamasis tokiais argumentais ir ypač atsižvelgdamas į pareiškėjo padarytų nusikaltimų pobūdį, sunkumą ir skaičių, įskaitant faktą, kad tuo metu jis žinojo, kad jo buvimo šalyje statusas yra nesaugus, Teismas darė išvadą, kad valstybės institucijos </w:t>
      </w:r>
      <w:r w:rsidR="00E41F1D">
        <w:rPr>
          <w:rFonts w:eastAsia="Times New Roman" w:cstheme="minorHAnsi"/>
          <w:color w:val="000000"/>
        </w:rPr>
        <w:t xml:space="preserve">siekė užtikrinti </w:t>
      </w:r>
      <w:r w:rsidRPr="0025732F">
        <w:rPr>
          <w:rFonts w:eastAsia="Times New Roman" w:cstheme="minorHAnsi"/>
          <w:color w:val="000000"/>
        </w:rPr>
        <w:t>bendr</w:t>
      </w:r>
      <w:r w:rsidR="00E41F1D">
        <w:rPr>
          <w:rFonts w:eastAsia="Times New Roman" w:cstheme="minorHAnsi"/>
          <w:color w:val="000000"/>
        </w:rPr>
        <w:t>ąjį</w:t>
      </w:r>
      <w:r w:rsidRPr="0025732F">
        <w:rPr>
          <w:rFonts w:eastAsia="Times New Roman" w:cstheme="minorHAnsi"/>
          <w:color w:val="000000"/>
        </w:rPr>
        <w:t xml:space="preserve"> interes</w:t>
      </w:r>
      <w:r w:rsidR="00E41F1D">
        <w:rPr>
          <w:rFonts w:eastAsia="Times New Roman" w:cstheme="minorHAnsi"/>
          <w:color w:val="000000"/>
        </w:rPr>
        <w:t>ą</w:t>
      </w:r>
      <w:r w:rsidRPr="0025732F">
        <w:rPr>
          <w:rFonts w:eastAsia="Times New Roman" w:cstheme="minorHAnsi"/>
          <w:color w:val="000000"/>
        </w:rPr>
        <w:t xml:space="preserve"> užkirsti kelią </w:t>
      </w:r>
      <w:r w:rsidR="00E41F1D">
        <w:rPr>
          <w:rFonts w:eastAsia="Times New Roman" w:cstheme="minorHAnsi"/>
          <w:color w:val="000000"/>
        </w:rPr>
        <w:t xml:space="preserve">viešosios tvarkos pažeidimams </w:t>
      </w:r>
      <w:r w:rsidRPr="0025732F">
        <w:rPr>
          <w:rFonts w:eastAsia="Times New Roman" w:cstheme="minorHAnsi"/>
          <w:color w:val="000000"/>
        </w:rPr>
        <w:t>ar nusikalstamumui ir šios bylos aplinkybėmis neperžengė j</w:t>
      </w:r>
      <w:r w:rsidR="00E41F1D">
        <w:rPr>
          <w:rFonts w:eastAsia="Times New Roman" w:cstheme="minorHAnsi"/>
          <w:color w:val="000000"/>
        </w:rPr>
        <w:t>o</w:t>
      </w:r>
      <w:r w:rsidRPr="0025732F">
        <w:rPr>
          <w:rFonts w:eastAsia="Times New Roman" w:cstheme="minorHAnsi"/>
          <w:color w:val="000000"/>
        </w:rPr>
        <w:t xml:space="preserve">ms suteiktos vertinimo </w:t>
      </w:r>
      <w:r w:rsidR="00E41F1D">
        <w:rPr>
          <w:rFonts w:eastAsia="Times New Roman" w:cstheme="minorHAnsi"/>
          <w:color w:val="000000"/>
        </w:rPr>
        <w:t>laisvės</w:t>
      </w:r>
      <w:r w:rsidRPr="0025732F">
        <w:rPr>
          <w:rFonts w:eastAsia="Times New Roman" w:cstheme="minorHAnsi"/>
          <w:color w:val="000000"/>
        </w:rPr>
        <w:t xml:space="preserve"> ribos.</w:t>
      </w:r>
    </w:p>
    <w:p w14:paraId="367C947F"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64598E39" w14:textId="77777777" w:rsidR="00C67C37" w:rsidRPr="0025732F" w:rsidRDefault="00C67C37" w:rsidP="00C54B35">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Išvada: Konvencijos 8 straipsnio pažeidimas nenustatytas (5 prieš 2).</w:t>
      </w:r>
    </w:p>
    <w:p w14:paraId="5AB2027D" w14:textId="77777777" w:rsidR="00C67C37" w:rsidRPr="0025732F" w:rsidRDefault="00C67C37" w:rsidP="00C54B35">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(pateikta atskiroji nuomonė)</w:t>
      </w:r>
    </w:p>
    <w:p w14:paraId="390B5C3F" w14:textId="17C3229E" w:rsidR="00CD57C4" w:rsidRPr="009C6F4D" w:rsidRDefault="006922FB" w:rsidP="009C6F4D">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hyperlink r:id="rId15" w:anchor="{%22fulltext%22:[%2225402/14%22],%22documentcollectionid2%22:[%22GRANDCHAMBER%22,%22CHAMBER%22],%22itemid%22:[%22001-203836%22]}" w:history="1">
        <w:r w:rsidR="00C67C37" w:rsidRPr="0025732F">
          <w:rPr>
            <w:rStyle w:val="Hipersaitas"/>
            <w:rFonts w:cstheme="minorHAnsi"/>
          </w:rPr>
          <w:t>Prieiga internete</w:t>
        </w:r>
      </w:hyperlink>
    </w:p>
    <w:p w14:paraId="6CD2ADCC" w14:textId="77777777" w:rsidR="00B510E6" w:rsidRPr="0025732F" w:rsidRDefault="00B510E6" w:rsidP="00CD57C4">
      <w:pPr>
        <w:spacing w:after="0" w:line="240" w:lineRule="auto"/>
        <w:jc w:val="center"/>
        <w:rPr>
          <w:rFonts w:cstheme="minorHAnsi"/>
          <w:b/>
        </w:rPr>
      </w:pPr>
    </w:p>
    <w:p w14:paraId="03DEB8AE" w14:textId="77777777" w:rsidR="00CD57C4" w:rsidRPr="0025732F" w:rsidRDefault="00CD57C4" w:rsidP="00CD57C4">
      <w:pPr>
        <w:spacing w:after="0" w:line="240" w:lineRule="auto"/>
        <w:jc w:val="center"/>
        <w:rPr>
          <w:rFonts w:cstheme="minorHAnsi"/>
          <w:b/>
        </w:rPr>
      </w:pPr>
      <w:r w:rsidRPr="0025732F">
        <w:rPr>
          <w:rFonts w:cstheme="minorHAnsi"/>
          <w:b/>
        </w:rPr>
        <w:t>Europos Žmogaus Teisių Teismo 2020 m. rugsėjo 17 d. sprendimas byloje</w:t>
      </w:r>
    </w:p>
    <w:p w14:paraId="125F8BE2" w14:textId="77777777" w:rsidR="00CD57C4" w:rsidRPr="0025732F" w:rsidRDefault="00CD57C4" w:rsidP="001A29C4">
      <w:pPr>
        <w:pStyle w:val="Antrat2"/>
        <w:ind w:firstLine="0"/>
        <w:jc w:val="center"/>
        <w:rPr>
          <w:rFonts w:cstheme="minorHAnsi"/>
          <w:i/>
          <w:iCs w:val="0"/>
        </w:rPr>
      </w:pPr>
      <w:bookmarkStart w:id="18" w:name="_Toc526931859"/>
      <w:bookmarkStart w:id="19" w:name="_Toc527116502"/>
      <w:bookmarkStart w:id="20" w:name="_Toc72932273"/>
      <w:r w:rsidRPr="0025732F">
        <w:rPr>
          <w:rFonts w:cstheme="minorHAnsi"/>
          <w:i/>
          <w:iCs w:val="0"/>
        </w:rPr>
        <w:t>Mirgadirov prieš Azerbadžaną ir Turkiją</w:t>
      </w:r>
      <w:bookmarkEnd w:id="18"/>
      <w:bookmarkEnd w:id="19"/>
      <w:bookmarkEnd w:id="20"/>
    </w:p>
    <w:p w14:paraId="76861811" w14:textId="77777777" w:rsidR="00CD57C4" w:rsidRPr="0025732F" w:rsidRDefault="00CD57C4" w:rsidP="00CD57C4">
      <w:pPr>
        <w:spacing w:after="0" w:line="240" w:lineRule="auto"/>
        <w:jc w:val="center"/>
        <w:rPr>
          <w:rFonts w:cstheme="minorHAnsi"/>
          <w:b/>
        </w:rPr>
      </w:pPr>
      <w:r w:rsidRPr="0025732F">
        <w:rPr>
          <w:rFonts w:cstheme="minorHAnsi"/>
          <w:b/>
        </w:rPr>
        <w:t>(pareiškimo Nr. 62775/14, svarbos lygis – 2)</w:t>
      </w:r>
    </w:p>
    <w:p w14:paraId="11564282" w14:textId="77777777" w:rsidR="00CD57C4" w:rsidRPr="0025732F" w:rsidRDefault="00CD57C4" w:rsidP="00CD57C4">
      <w:pPr>
        <w:spacing w:after="0" w:line="240" w:lineRule="auto"/>
        <w:jc w:val="center"/>
        <w:rPr>
          <w:rFonts w:cstheme="minorHAnsi"/>
        </w:rPr>
      </w:pPr>
    </w:p>
    <w:p w14:paraId="47904282" w14:textId="09436DDF" w:rsidR="00CD57C4" w:rsidRPr="0025732F" w:rsidRDefault="003C3579" w:rsidP="00005ED2">
      <w:pPr>
        <w:pStyle w:val="Antrat3"/>
        <w:ind w:firstLine="567"/>
        <w:jc w:val="both"/>
        <w:rPr>
          <w:rFonts w:cstheme="minorHAnsi"/>
          <w:szCs w:val="22"/>
        </w:rPr>
      </w:pPr>
      <w:bookmarkStart w:id="21" w:name="_Toc72932274"/>
      <w:r w:rsidRPr="0025732F">
        <w:rPr>
          <w:rFonts w:cstheme="minorHAnsi"/>
          <w:szCs w:val="22"/>
        </w:rPr>
        <w:t>Dėl</w:t>
      </w:r>
      <w:r w:rsidR="00EE3C92" w:rsidRPr="0025732F">
        <w:rPr>
          <w:rFonts w:cstheme="minorHAnsi"/>
          <w:szCs w:val="22"/>
        </w:rPr>
        <w:t xml:space="preserve"> suėmimo ir kardomojo kalinimo metu taikomų bendravimo ribojimų</w:t>
      </w:r>
      <w:r w:rsidR="00E41F1D">
        <w:rPr>
          <w:rFonts w:cstheme="minorHAnsi"/>
          <w:szCs w:val="22"/>
        </w:rPr>
        <w:t xml:space="preserve"> </w:t>
      </w:r>
      <w:r w:rsidR="00EE3C92" w:rsidRPr="0025732F">
        <w:rPr>
          <w:rFonts w:cstheme="minorHAnsi"/>
          <w:szCs w:val="22"/>
        </w:rPr>
        <w:t>pagrįstumo</w:t>
      </w:r>
      <w:bookmarkEnd w:id="21"/>
      <w:r w:rsidR="00EE3C92" w:rsidRPr="0025732F">
        <w:rPr>
          <w:rFonts w:cstheme="minorHAnsi"/>
          <w:szCs w:val="22"/>
        </w:rPr>
        <w:t xml:space="preserve"> </w:t>
      </w:r>
    </w:p>
    <w:p w14:paraId="30687634" w14:textId="77777777" w:rsidR="00EE3C92" w:rsidRPr="0025732F" w:rsidRDefault="00EE3C92" w:rsidP="003C3579">
      <w:pPr>
        <w:spacing w:after="0" w:line="240" w:lineRule="auto"/>
        <w:jc w:val="both"/>
        <w:rPr>
          <w:rFonts w:cstheme="minorHAnsi"/>
          <w:bCs/>
        </w:rPr>
      </w:pPr>
    </w:p>
    <w:p w14:paraId="04545836" w14:textId="77777777" w:rsidR="00CD57C4" w:rsidRPr="0025732F" w:rsidRDefault="00CD57C4" w:rsidP="00CD57C4">
      <w:pPr>
        <w:spacing w:after="0" w:line="240" w:lineRule="auto"/>
        <w:jc w:val="center"/>
        <w:rPr>
          <w:rFonts w:cstheme="minorHAnsi"/>
          <w:b/>
        </w:rPr>
      </w:pPr>
      <w:r w:rsidRPr="0025732F">
        <w:rPr>
          <w:rFonts w:cstheme="minorHAnsi"/>
          <w:b/>
        </w:rPr>
        <w:t>Faktinės aplinkybės</w:t>
      </w:r>
    </w:p>
    <w:p w14:paraId="32C8C112" w14:textId="77777777" w:rsidR="00CD57C4" w:rsidRPr="0025732F" w:rsidRDefault="00CD57C4" w:rsidP="00CD57C4">
      <w:pPr>
        <w:spacing w:after="0" w:line="240" w:lineRule="auto"/>
        <w:ind w:firstLine="540"/>
        <w:jc w:val="center"/>
        <w:rPr>
          <w:rFonts w:cstheme="minorHAnsi"/>
          <w:b/>
        </w:rPr>
      </w:pPr>
    </w:p>
    <w:p w14:paraId="5AA3A4E2" w14:textId="77777777" w:rsidR="00CD57C4" w:rsidRPr="0025732F" w:rsidRDefault="00CD57C4" w:rsidP="00CD57C4">
      <w:pPr>
        <w:spacing w:after="0" w:line="240" w:lineRule="auto"/>
        <w:ind w:firstLine="567"/>
        <w:jc w:val="both"/>
        <w:rPr>
          <w:rFonts w:cstheme="minorHAnsi"/>
        </w:rPr>
      </w:pPr>
      <w:r w:rsidRPr="0025732F">
        <w:rPr>
          <w:rFonts w:cstheme="minorHAnsi"/>
        </w:rPr>
        <w:lastRenderedPageBreak/>
        <w:t>Pareiškėjas, Azerbaidžano pilietis, yra žinomas žurnalistas ir politologas. Pareiškėjas dirbo korespondentu Azerbaidžano laikraštyje Turkijoje, kur daugiausia rašė straipsnius regioninės užsienio politikos tema. Tačiau 2014 m. balandžio mėn. Turkijos valdžios institucijos panaikino pareiškėjo akreditaciją ir leidimą gyventi bei deportavo jį į kilmės valstybę.</w:t>
      </w:r>
    </w:p>
    <w:p w14:paraId="52F947AB" w14:textId="77777777" w:rsidR="00CD57C4" w:rsidRPr="0025732F" w:rsidRDefault="00CD57C4" w:rsidP="00CD57C4">
      <w:pPr>
        <w:spacing w:after="0" w:line="240" w:lineRule="auto"/>
        <w:ind w:firstLine="567"/>
        <w:jc w:val="both"/>
        <w:rPr>
          <w:rFonts w:cstheme="minorHAnsi"/>
        </w:rPr>
      </w:pPr>
      <w:r w:rsidRPr="0025732F">
        <w:rPr>
          <w:rFonts w:cstheme="minorHAnsi"/>
        </w:rPr>
        <w:t>Pareiškėjui atvykus į Baku (Azerbaidžanas) oro uostą, jis iškart buvo sulaikytas Azerbaidžano Nacionalinio saugumo ministerijos (toliau – NSM) agentų. Po dviejų dienų pareiškėjui buvo pareikšti įtarimai valstybės išdavyste dėl tariamo slaptos informacijos teikimo armėnų agentams. 2014 m. liepos 17 d. NSM ir Generalinė prokuratūra išplatino pareiškimą spaudai, kuriame, be kita ko, buvo teigiama, jog pareiškėjas bendradarbiavo su Armėnijos nevyriausybinės organizacijos vadovu L. B. ir buvusiam Armėnijos nacionalinio saugumo ministrui D. S. teikė įvairią informaciją, susijusią su Azerbaidžano saugumu.</w:t>
      </w:r>
    </w:p>
    <w:p w14:paraId="58C38654" w14:textId="27EF28F7" w:rsidR="00CD57C4" w:rsidRPr="0025732F" w:rsidRDefault="00CD57C4" w:rsidP="003C3579">
      <w:pPr>
        <w:spacing w:after="0" w:line="240" w:lineRule="auto"/>
        <w:ind w:firstLine="567"/>
        <w:jc w:val="both"/>
        <w:rPr>
          <w:rFonts w:cstheme="minorHAnsi"/>
        </w:rPr>
      </w:pPr>
      <w:r w:rsidRPr="0025732F">
        <w:rPr>
          <w:rFonts w:cstheme="minorHAnsi"/>
        </w:rPr>
        <w:t xml:space="preserve">Teismo sprendimu pareiškėjui buvo paskirtas kardomasis kalinimas, kuris vėliau keletą kartų buvo pratęstas. </w:t>
      </w:r>
    </w:p>
    <w:p w14:paraId="6C7579F9" w14:textId="719AA9BD" w:rsidR="00CD57C4" w:rsidRPr="0025732F" w:rsidRDefault="00CD57C4" w:rsidP="00CD57C4">
      <w:pPr>
        <w:spacing w:after="0" w:line="240" w:lineRule="auto"/>
        <w:ind w:firstLine="567"/>
        <w:jc w:val="both"/>
        <w:rPr>
          <w:rFonts w:cstheme="minorHAnsi"/>
        </w:rPr>
      </w:pPr>
      <w:bookmarkStart w:id="22" w:name="_Hlk68768627"/>
      <w:r w:rsidRPr="0025732F">
        <w:rPr>
          <w:rFonts w:cstheme="minorHAnsi"/>
        </w:rPr>
        <w:t>Remdamasis Konvencijos 8 straipsniu ir 10 straipsniu (saviraiškos laisvė), pareiškėjas skundėsi dėl kardomojo kalinimo metu jam taikytų bendravimo (skambučių, pasimatymų ir susirašinėjimo) bei galimybės prenumeruoti ir gauti socialinio-politinio turinio laikraščius ar žurnalus ribojimų.</w:t>
      </w:r>
    </w:p>
    <w:p w14:paraId="1C1CDA34" w14:textId="77777777" w:rsidR="00CD57C4" w:rsidRPr="0025732F" w:rsidRDefault="00CD57C4" w:rsidP="00CD57C4">
      <w:pPr>
        <w:spacing w:after="0" w:line="240" w:lineRule="auto"/>
        <w:ind w:firstLine="567"/>
        <w:jc w:val="both"/>
        <w:rPr>
          <w:rStyle w:val="tlid-translation"/>
          <w:rFonts w:cstheme="minorHAnsi"/>
        </w:rPr>
      </w:pPr>
    </w:p>
    <w:bookmarkEnd w:id="22"/>
    <w:p w14:paraId="19EBAC19" w14:textId="77777777" w:rsidR="00CD57C4" w:rsidRPr="0025732F" w:rsidRDefault="00CD57C4" w:rsidP="00CD57C4">
      <w:pPr>
        <w:spacing w:after="0" w:line="240" w:lineRule="auto"/>
        <w:jc w:val="center"/>
        <w:rPr>
          <w:rFonts w:cstheme="minorHAnsi"/>
        </w:rPr>
      </w:pPr>
      <w:r w:rsidRPr="0025732F">
        <w:rPr>
          <w:rFonts w:cstheme="minorHAnsi"/>
          <w:b/>
        </w:rPr>
        <w:t>Neoficiali Teismo sprendimo apžvalga</w:t>
      </w:r>
    </w:p>
    <w:p w14:paraId="0135FF32" w14:textId="77777777" w:rsidR="00CD57C4" w:rsidRPr="0025732F" w:rsidRDefault="00CD57C4" w:rsidP="00CD57C4">
      <w:pPr>
        <w:spacing w:after="0" w:line="240" w:lineRule="auto"/>
        <w:ind w:firstLine="567"/>
        <w:jc w:val="both"/>
        <w:rPr>
          <w:rStyle w:val="tlid-translation"/>
          <w:rFonts w:cstheme="minorHAnsi"/>
        </w:rPr>
      </w:pPr>
    </w:p>
    <w:p w14:paraId="033D8CD5" w14:textId="77777777" w:rsidR="00FE7128" w:rsidRPr="0025732F" w:rsidRDefault="00FE7128" w:rsidP="00CD57C4">
      <w:pPr>
        <w:spacing w:after="0" w:line="240" w:lineRule="auto"/>
        <w:ind w:firstLine="567"/>
        <w:jc w:val="both"/>
        <w:rPr>
          <w:rFonts w:cstheme="minorHAnsi"/>
        </w:rPr>
      </w:pPr>
      <w:r w:rsidRPr="0025732F">
        <w:rPr>
          <w:rFonts w:cstheme="minorHAnsi"/>
        </w:rPr>
        <w:t xml:space="preserve">Byloje buvo sprendžiama dėl Konvencijos 5, 6 ir 8 straipsnių pažeidimo. </w:t>
      </w:r>
    </w:p>
    <w:p w14:paraId="33EB850C" w14:textId="54D8961A" w:rsidR="00FE7128" w:rsidRPr="0025732F" w:rsidRDefault="00FE7128" w:rsidP="00CD57C4">
      <w:pPr>
        <w:spacing w:after="0" w:line="240" w:lineRule="auto"/>
        <w:ind w:firstLine="567"/>
        <w:jc w:val="both"/>
        <w:rPr>
          <w:rFonts w:cstheme="minorHAnsi"/>
        </w:rPr>
      </w:pPr>
      <w:r w:rsidRPr="0025732F">
        <w:rPr>
          <w:rFonts w:cstheme="minorHAnsi"/>
        </w:rPr>
        <w:t>Dėl Konvencijos 8 straips</w:t>
      </w:r>
      <w:r w:rsidR="003C3579" w:rsidRPr="0025732F">
        <w:rPr>
          <w:rFonts w:cstheme="minorHAnsi"/>
        </w:rPr>
        <w:t>n</w:t>
      </w:r>
      <w:r w:rsidRPr="0025732F">
        <w:rPr>
          <w:rFonts w:cstheme="minorHAnsi"/>
        </w:rPr>
        <w:t xml:space="preserve">io pažeidimo Teismas </w:t>
      </w:r>
      <w:r w:rsidR="00CD57C4" w:rsidRPr="0025732F">
        <w:rPr>
          <w:rFonts w:cstheme="minorHAnsi"/>
        </w:rPr>
        <w:t xml:space="preserve">priminė, kad asmuo, būdamas įkalintas, praranda teisę į laisvę, tačiau ir toliau naudojasi visomis kitomis pagrindinėmis teisėmis bei laisvėmis, įskaitant teisę į šeimos gyvenimo gerbimą, todėl bet koks šių teisių apribojimas turi būti pagrįstas kiekvienu individualiu atveju. </w:t>
      </w:r>
    </w:p>
    <w:p w14:paraId="5C6B1B9B" w14:textId="5E2105E2" w:rsidR="00CD57C4" w:rsidRPr="0025732F" w:rsidRDefault="00CD57C4" w:rsidP="00CD57C4">
      <w:pPr>
        <w:spacing w:after="0" w:line="240" w:lineRule="auto"/>
        <w:ind w:firstLine="567"/>
        <w:jc w:val="both"/>
        <w:rPr>
          <w:rFonts w:cstheme="minorHAnsi"/>
        </w:rPr>
      </w:pPr>
      <w:r w:rsidRPr="0025732F">
        <w:rPr>
          <w:rFonts w:cstheme="minorHAnsi"/>
        </w:rPr>
        <w:t xml:space="preserve">Teismas sutiko, kad pareiškėjui taikyti skambučių, susirašinėjimo ir pasimatymų ribojimai turėjo teisinį pagrindą pagal nacionalinę teisę, o pats įstatymas buvo aiškus, prieinamas ir pakankamai tikslus. Tačiau Teismas atkreipė dėmesį, kad </w:t>
      </w:r>
      <w:r w:rsidRPr="001A29C4">
        <w:rPr>
          <w:rFonts w:cstheme="minorHAnsi"/>
          <w:u w:val="single"/>
        </w:rPr>
        <w:t>nacionalinės teisės aktų nuostatos nenumatė galimybės riboti suimtojo teisę prenumeruoti ir gauti socialinio-politinio turinio laikraščius ar žurnalus</w:t>
      </w:r>
      <w:r w:rsidRPr="0025732F">
        <w:rPr>
          <w:rFonts w:cstheme="minorHAnsi"/>
        </w:rPr>
        <w:t>. Suimtojo teisę prenumeruoti ir gauti laikraščius ar žurnalus reglamentuojantis įstatymas nustatė, kad ši teisė gali būti ribojama tik karą, smurtą, ekstremizmą, terorizmą ir žiaurumą propaguojančio, rasinę, etninę ir socialinę neapykantą bei priešiškumą kurstančio ar pornografinio turinio publikacijų atžvilgiu. Tuo tarpu Azerbaidžano vyriausybė nenurodė jokio kito teisės akto, kuriame būtų įtvirtintas teisės prenumeruoti ir gauti socialinio-politinio turinio laikraščius ar žurnalus ribojimas. Todėl Teismas sprendė, kad šis ribojimas nebuvo nustatytas įstatyme, kaip tai suprantama pagal Konvencijos 8 straipsnio 2 dalį.</w:t>
      </w:r>
    </w:p>
    <w:p w14:paraId="140EE194" w14:textId="77A8A8C7" w:rsidR="00CD57C4" w:rsidRPr="0025732F" w:rsidRDefault="00CD57C4" w:rsidP="00CD57C4">
      <w:pPr>
        <w:spacing w:after="0" w:line="240" w:lineRule="auto"/>
        <w:ind w:firstLine="567"/>
        <w:jc w:val="both"/>
        <w:rPr>
          <w:rFonts w:cstheme="minorHAnsi"/>
          <w:iCs/>
        </w:rPr>
      </w:pPr>
      <w:r w:rsidRPr="0025732F">
        <w:rPr>
          <w:rFonts w:cstheme="minorHAnsi"/>
        </w:rPr>
        <w:t xml:space="preserve">Kiek tai susiję su pareiškėjo teisės paskambinti, susirašinėti ir pasimatyti ribojimais, Teismas pripažino, kad jais buvo siekiama teisėto tikslo – nusikaltimų prevencijos. Tačiau vertindamas, ar šie ribojimai buvo „būtini demokratinėje visuomenėje“, </w:t>
      </w:r>
      <w:r w:rsidRPr="001A29C4">
        <w:rPr>
          <w:rFonts w:cstheme="minorHAnsi"/>
          <w:u w:val="single"/>
        </w:rPr>
        <w:t xml:space="preserve">Teismas atkreipė dėmesį, kad savo pobūdžiu ir apimtimi jie </w:t>
      </w:r>
      <w:r w:rsidRPr="001A29C4">
        <w:rPr>
          <w:rFonts w:cstheme="minorHAnsi"/>
          <w:i/>
          <w:u w:val="single"/>
        </w:rPr>
        <w:t xml:space="preserve">de facto </w:t>
      </w:r>
      <w:r w:rsidRPr="001A29C4">
        <w:rPr>
          <w:rFonts w:cstheme="minorHAnsi"/>
          <w:iCs/>
          <w:u w:val="single"/>
        </w:rPr>
        <w:t>reiškė visišką draudimą pareiškėjui palaikyti bet kokius ryšius su išoriniu pasauliu, išskyrus jo advokat</w:t>
      </w:r>
      <w:r w:rsidR="00FE7128" w:rsidRPr="001A29C4">
        <w:rPr>
          <w:rFonts w:cstheme="minorHAnsi"/>
          <w:iCs/>
          <w:u w:val="single"/>
        </w:rPr>
        <w:t>us</w:t>
      </w:r>
      <w:r w:rsidRPr="001A29C4">
        <w:rPr>
          <w:rFonts w:cstheme="minorHAnsi"/>
          <w:iCs/>
          <w:u w:val="single"/>
        </w:rPr>
        <w:t>. Tuo tarpu nei tyrėjas, nei nacionaliniai teismai nenurodė jokių svarbių priežasčių, pagrindžiančių tokių griežtų ir viską apimančių priemonių taikymą</w:t>
      </w:r>
      <w:r w:rsidRPr="0025732F">
        <w:rPr>
          <w:rFonts w:cstheme="minorHAnsi"/>
          <w:iCs/>
        </w:rPr>
        <w:t>. Nacionalinės valdžios institucijos apsiribojo nurodymu, jog buvo būtina apsaugoti tyrimo konfidencialumą ir užkirsti kelią informacijos apie tyrimą atskleidimui, nepateikdamos jokio paaiškinimo, kodėl nurodytos priemonės buvo būtinos ir tinkamos šioje byloje. Nacionalinės valdžios institucijos taip pat nenurodė jokių faktinių aplinkybių ar duomenų, kurie galėtų patvirtinti, jog realiai egzistavo rizika, kad bus pakenkta tyrimo konfidencialumui ar kad informacija apie tyrimą bus atskleista, jei nebus imtasi ginčijamų priemonių.</w:t>
      </w:r>
    </w:p>
    <w:p w14:paraId="19F09D32" w14:textId="77777777" w:rsidR="00CD57C4" w:rsidRPr="0025732F" w:rsidRDefault="00CD57C4" w:rsidP="00CD57C4">
      <w:pPr>
        <w:spacing w:after="0" w:line="240" w:lineRule="auto"/>
        <w:ind w:firstLine="567"/>
        <w:jc w:val="both"/>
        <w:rPr>
          <w:rStyle w:val="tlid-translation"/>
          <w:rFonts w:cstheme="minorHAnsi"/>
        </w:rPr>
      </w:pPr>
      <w:r w:rsidRPr="0025732F">
        <w:rPr>
          <w:rFonts w:cstheme="minorHAnsi"/>
          <w:iCs/>
        </w:rPr>
        <w:t>Teismas pažymėjo, kad Azerbaidžano vyriausybė nepateikė jokio svarbaus paaiškinimo, kodėl buvo būtina atskirti pareiškėją nuo jo šeimos ir išorinio pasaulio. Šiuo atžvilgiu Teismas nurodė, kad negali sutikti su Azerbaidžano vyriausybės teiginiu, jog pareiškėjas, kaip asmuo, įtariamas slaptos informacijos perdavimu užsienio žvalgybos tarnyboms, būtų galėjęs perduoti tokią informaciją per lankytojus. Teismas neįžvelgė jokių faktinių aplinkybių, kurios galėjo pateisinti tokius griežtus šeimos vizitų apribojimus šioje byloje, nes nė vienas iš pareiškėjo šeimos narių jokiu būdu nedalyvavo nagrinėjamoje baudžiamojoje byloje ir nebuvo akivaizdžių požymių, kad buvo rizika, jog slapta informacija bus perduodama per pareiškėjo šeimos narius.</w:t>
      </w:r>
    </w:p>
    <w:p w14:paraId="3ECB4402" w14:textId="77777777" w:rsidR="00CD57C4" w:rsidRPr="0025732F" w:rsidRDefault="00CD57C4" w:rsidP="00CD57C4">
      <w:pPr>
        <w:spacing w:after="0" w:line="240" w:lineRule="auto"/>
        <w:ind w:firstLine="567"/>
        <w:jc w:val="both"/>
        <w:rPr>
          <w:rFonts w:cstheme="minorHAnsi"/>
          <w:iCs/>
        </w:rPr>
      </w:pPr>
      <w:r w:rsidRPr="0025732F">
        <w:rPr>
          <w:rStyle w:val="tlid-translation"/>
          <w:rFonts w:cstheme="minorHAnsi"/>
        </w:rPr>
        <w:t>Nurodytos aplinkybės buvo pakankamas pagrindas Teismui konstatuoti, jog buvo pažeistas Konvencijos 8 straipsnis.</w:t>
      </w:r>
    </w:p>
    <w:p w14:paraId="65F1A236" w14:textId="77777777" w:rsidR="00CD57C4" w:rsidRPr="0025732F" w:rsidRDefault="00CD57C4" w:rsidP="00CD57C4">
      <w:pPr>
        <w:spacing w:after="0" w:line="240" w:lineRule="auto"/>
        <w:ind w:firstLine="567"/>
        <w:jc w:val="both"/>
        <w:rPr>
          <w:rStyle w:val="tlid-translation"/>
          <w:rFonts w:cstheme="minorHAnsi"/>
        </w:rPr>
      </w:pPr>
    </w:p>
    <w:p w14:paraId="01E8CBC3" w14:textId="0984EEFB" w:rsidR="00CD57C4" w:rsidRPr="0025732F" w:rsidRDefault="00CD57C4" w:rsidP="00CD57C4">
      <w:pPr>
        <w:spacing w:after="0" w:line="240" w:lineRule="auto"/>
        <w:ind w:firstLine="567"/>
        <w:jc w:val="both"/>
        <w:rPr>
          <w:rFonts w:cstheme="minorHAnsi"/>
        </w:rPr>
      </w:pPr>
      <w:r w:rsidRPr="0025732F">
        <w:rPr>
          <w:rFonts w:cstheme="minorHAnsi"/>
        </w:rPr>
        <w:lastRenderedPageBreak/>
        <w:t xml:space="preserve">Išvada: </w:t>
      </w:r>
      <w:r w:rsidR="00305F76" w:rsidRPr="0025732F">
        <w:rPr>
          <w:rFonts w:cstheme="minorHAnsi"/>
        </w:rPr>
        <w:t xml:space="preserve">nustatytas, be kita ko, </w:t>
      </w:r>
      <w:r w:rsidRPr="0025732F">
        <w:rPr>
          <w:rFonts w:cstheme="minorHAnsi"/>
        </w:rPr>
        <w:t>Konvencijos 8 straipsnio pažeidimas</w:t>
      </w:r>
      <w:r w:rsidR="00305F76" w:rsidRPr="0025732F">
        <w:rPr>
          <w:rFonts w:cstheme="minorHAnsi"/>
        </w:rPr>
        <w:t xml:space="preserve"> </w:t>
      </w:r>
      <w:r w:rsidRPr="0025732F">
        <w:rPr>
          <w:rFonts w:cstheme="minorHAnsi"/>
        </w:rPr>
        <w:t>(vienbalsiai).</w:t>
      </w:r>
    </w:p>
    <w:p w14:paraId="5ADD98A8" w14:textId="77777777" w:rsidR="00CD57C4" w:rsidRPr="0025732F" w:rsidRDefault="00CD57C4" w:rsidP="00CD57C4">
      <w:pPr>
        <w:spacing w:after="0" w:line="240" w:lineRule="auto"/>
        <w:ind w:firstLine="567"/>
        <w:jc w:val="both"/>
        <w:rPr>
          <w:rFonts w:cstheme="minorHAnsi"/>
        </w:rPr>
      </w:pPr>
      <w:r w:rsidRPr="0025732F">
        <w:rPr>
          <w:rFonts w:cstheme="minorHAnsi"/>
        </w:rPr>
        <w:t>41 straipsnis: priteista 20 000 Eur neturtinei žalai atlyginti.</w:t>
      </w:r>
    </w:p>
    <w:p w14:paraId="0236544E" w14:textId="3DABF698" w:rsidR="00CD57C4" w:rsidRPr="0025732F" w:rsidRDefault="006922FB" w:rsidP="00CD57C4">
      <w:pPr>
        <w:spacing w:after="0" w:line="240" w:lineRule="auto"/>
        <w:ind w:firstLine="567"/>
        <w:rPr>
          <w:rStyle w:val="Hipersaitas"/>
          <w:rFonts w:cstheme="minorHAnsi"/>
        </w:rPr>
      </w:pPr>
      <w:hyperlink r:id="rId16" w:history="1">
        <w:r w:rsidR="00CD57C4" w:rsidRPr="0025732F">
          <w:rPr>
            <w:rStyle w:val="Hipersaitas"/>
            <w:rFonts w:cstheme="minorHAnsi"/>
          </w:rPr>
          <w:t>Prieiga internete</w:t>
        </w:r>
      </w:hyperlink>
    </w:p>
    <w:p w14:paraId="48E1C1C1" w14:textId="77777777" w:rsidR="00CD57C4" w:rsidRPr="0025732F" w:rsidRDefault="00CD57C4" w:rsidP="00612945">
      <w:pPr>
        <w:pStyle w:val="paragraph"/>
        <w:spacing w:before="0" w:beforeAutospacing="0" w:after="0" w:afterAutospacing="0"/>
        <w:ind w:firstLine="720"/>
        <w:textAlignment w:val="baseline"/>
        <w:rPr>
          <w:rStyle w:val="normaltextrun"/>
          <w:rFonts w:asciiTheme="minorHAnsi" w:eastAsiaTheme="majorEastAsia" w:hAnsiTheme="minorHAnsi" w:cstheme="minorHAnsi"/>
          <w:i/>
          <w:iCs/>
          <w:sz w:val="22"/>
          <w:szCs w:val="22"/>
        </w:rPr>
      </w:pPr>
    </w:p>
    <w:p w14:paraId="3D8C3BFB"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Europos Žmogaus Teisių Teismo 2020 m. gruodžio 8 d. sprendimas byloje</w:t>
      </w:r>
    </w:p>
    <w:p w14:paraId="47E5D696" w14:textId="77777777" w:rsidR="00C67C37" w:rsidRPr="0025732F" w:rsidRDefault="00C67C37" w:rsidP="001A29C4">
      <w:pPr>
        <w:pStyle w:val="Antrat2"/>
        <w:ind w:firstLine="0"/>
        <w:jc w:val="center"/>
        <w:rPr>
          <w:rFonts w:cstheme="minorHAnsi"/>
          <w:i/>
          <w:iCs w:val="0"/>
        </w:rPr>
      </w:pPr>
      <w:bookmarkStart w:id="23" w:name="_Toc72932275"/>
      <w:r w:rsidRPr="0025732F">
        <w:rPr>
          <w:rFonts w:cstheme="minorHAnsi"/>
          <w:i/>
          <w:iCs w:val="0"/>
        </w:rPr>
        <w:t>M. M. prieš Šveicariją</w:t>
      </w:r>
      <w:bookmarkEnd w:id="23"/>
    </w:p>
    <w:p w14:paraId="5766207E"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(pareiškimo Nr. 59006/18, svarbos lygis – 2)</w:t>
      </w:r>
    </w:p>
    <w:p w14:paraId="10E8DFF3" w14:textId="1528438E" w:rsidR="00C67C37" w:rsidRPr="009C6F4D" w:rsidRDefault="00C67C37" w:rsidP="009C6F4D"/>
    <w:p w14:paraId="15CEA51E" w14:textId="77777777" w:rsidR="00814814" w:rsidRPr="0025732F" w:rsidRDefault="00814814" w:rsidP="00305F76">
      <w:pPr>
        <w:pStyle w:val="Antrat3"/>
        <w:ind w:firstLine="567"/>
        <w:jc w:val="both"/>
        <w:rPr>
          <w:rFonts w:eastAsia="Times New Roman" w:cstheme="minorHAnsi"/>
          <w:color w:val="000000"/>
          <w:szCs w:val="22"/>
        </w:rPr>
      </w:pPr>
      <w:bookmarkStart w:id="24" w:name="_Toc72932276"/>
      <w:r w:rsidRPr="0025732F">
        <w:rPr>
          <w:rFonts w:cstheme="minorHAnsi"/>
          <w:szCs w:val="22"/>
        </w:rPr>
        <w:t>Dėl priimančiojoje šalyje gimusio, bet tos šalies pilietybės neturinčio užsieniečio išsiuntimo už tam tikras nusikalstamas veikas</w:t>
      </w:r>
      <w:bookmarkEnd w:id="24"/>
      <w:r w:rsidRPr="0025732F">
        <w:rPr>
          <w:rFonts w:cstheme="minorHAnsi"/>
          <w:szCs w:val="22"/>
        </w:rPr>
        <w:t xml:space="preserve"> </w:t>
      </w:r>
    </w:p>
    <w:p w14:paraId="50E43595"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p>
    <w:p w14:paraId="5DE879D5" w14:textId="77777777" w:rsidR="00C67C37" w:rsidRPr="0025732F" w:rsidRDefault="00C67C37" w:rsidP="00612945">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3A96BF04" w14:textId="77777777" w:rsidR="00C67C37" w:rsidRPr="0025732F" w:rsidRDefault="00C67C37" w:rsidP="00612945">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2C0A6C2F" w14:textId="77777777" w:rsidR="00AD5086" w:rsidRPr="0025732F" w:rsidRDefault="00C67C37" w:rsidP="00AD5086">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Pareiškėjas, Ispanijos pilietis, 1980 m. gimęs Šveicarijoje, po apkaltinamojo nuosprendžio ir dvylikos mėnesių atidėtos laisvės atėmimo bausmės paskyrimo už narkotikų vartojimą ir seksualinio pobūdžio nusikaltimus prieš nepilnamečius buvo išsiųstas iš Šveicarijos į Ispaniją ir jam buvo uždrausta penkerius metus – minimalus terminas pagal Baudžiamąjį kodeksą – grįžti į šalį.</w:t>
      </w:r>
    </w:p>
    <w:p w14:paraId="7A9A08AD" w14:textId="77777777" w:rsidR="00AD5086" w:rsidRPr="0025732F" w:rsidRDefault="00C67C37" w:rsidP="00AD5086">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Nagrinėjant pareiškėjo skundą nacionaliniuose teismuose</w:t>
      </w:r>
      <w:r w:rsidR="00AD5086" w:rsidRPr="0025732F">
        <w:rPr>
          <w:rFonts w:eastAsia="Times New Roman" w:cstheme="minorHAnsi"/>
          <w:color w:val="000000"/>
        </w:rPr>
        <w:t>,</w:t>
      </w:r>
      <w:r w:rsidRPr="0025732F">
        <w:rPr>
          <w:rFonts w:eastAsia="Times New Roman" w:cstheme="minorHAnsi"/>
          <w:color w:val="000000"/>
        </w:rPr>
        <w:t xml:space="preserve"> buvo atkreiptas dėmesys, kad už tokio pobūdžio nusikaltimus nuteistam užsieniečiui išimtį dėl išsiuntimo būtų galima taikyti tik tuomet, jei dėl tokio išsiuntimo asmuo pakliūtų į rimtą asmeninę situaciją ir jei viešasis interesas, kurio siekiama tokiu išsiuntimu, nenusvertų asmens intereso likti šalyje. Be to, </w:t>
      </w:r>
      <w:r w:rsidR="00AD5086" w:rsidRPr="0025732F">
        <w:rPr>
          <w:rFonts w:eastAsia="Times New Roman" w:cstheme="minorHAnsi"/>
          <w:color w:val="000000"/>
        </w:rPr>
        <w:t xml:space="preserve">šiuo </w:t>
      </w:r>
      <w:r w:rsidRPr="0025732F">
        <w:rPr>
          <w:rFonts w:eastAsia="Times New Roman" w:cstheme="minorHAnsi"/>
          <w:color w:val="000000"/>
        </w:rPr>
        <w:t>atveju buvo atsižvelgta į tai, kad asmuo buvo gimęs ir augęs Šveicarijoje. Vis dėlto buvo nuspręsta, kad atsižvelgiant į pareiškėjo prastą integraciją šalyje, taip pat tai, kad jis čia neturėjo šeimos, socialinių ar profesinių ryšių, jo elgesys, pažeidžiant šalies teisės aktus, buvo recidyvinis, be to padarytų nusikaltimų pobūdis ir nusikalstamo elgesio pakartotinumo tikėtina rizika leido daryti išvadą, kad viešasis interesas, kurio siekiama jo išsiuntimu, nusveria to asmens asmeninius interesus likti šalyje. Priemonės proporcingumo aspektu buvo nurodyta, kad atsižvelgiant į pareiškėjo prastą integraciją šalyje ir jo profesines perspektyvas (pareiškėjas niekada nėra dirbęs) spręsta, kad jo gyvenimas Ispanijoje nelemtų iš esmės prastesnės padėties nei ji yra Šveicarijoje.</w:t>
      </w:r>
    </w:p>
    <w:p w14:paraId="51BBE340" w14:textId="024BC3E5" w:rsidR="00612945" w:rsidRPr="0025732F" w:rsidRDefault="00C67C37" w:rsidP="00AD5086">
      <w:pPr>
        <w:pBdr>
          <w:top w:val="nil"/>
          <w:left w:val="nil"/>
          <w:bottom w:val="nil"/>
          <w:right w:val="nil"/>
          <w:between w:val="nil"/>
        </w:pBdr>
        <w:tabs>
          <w:tab w:val="left" w:pos="851"/>
        </w:tabs>
        <w:spacing w:after="0" w:line="240" w:lineRule="auto"/>
        <w:ind w:right="-1" w:firstLine="567"/>
        <w:jc w:val="both"/>
        <w:rPr>
          <w:rFonts w:eastAsia="Times New Roman" w:cstheme="minorHAnsi"/>
          <w:b/>
          <w:bCs/>
          <w:color w:val="000000"/>
        </w:rPr>
      </w:pPr>
      <w:r w:rsidRPr="0025732F">
        <w:rPr>
          <w:rFonts w:eastAsia="Times New Roman" w:cstheme="minorHAnsi"/>
          <w:color w:val="000000"/>
        </w:rPr>
        <w:t xml:space="preserve">Tuo metu pareiškėjas teigė, kad toks jo išsiuntimas ir draudimas 5 metus įvažiuoti į šalį pažeidė jo teisę </w:t>
      </w:r>
      <w:r w:rsidRPr="0025732F">
        <w:rPr>
          <w:rFonts w:cstheme="minorHAnsi"/>
        </w:rPr>
        <w:t>į privataus ir šeimos gyvenimo gerbimą, kaip numatyta Konvencijos 8 straipsnyje.</w:t>
      </w:r>
    </w:p>
    <w:p w14:paraId="080DE10A" w14:textId="77777777" w:rsidR="00612945" w:rsidRPr="0025732F" w:rsidRDefault="00612945" w:rsidP="00612945">
      <w:pPr>
        <w:shd w:val="clear" w:color="auto" w:fill="FFFFFF"/>
        <w:spacing w:after="0" w:line="240" w:lineRule="auto"/>
        <w:ind w:right="-1"/>
        <w:jc w:val="center"/>
        <w:rPr>
          <w:rFonts w:eastAsia="Times New Roman" w:cstheme="minorHAnsi"/>
          <w:b/>
          <w:bCs/>
          <w:color w:val="000000"/>
        </w:rPr>
      </w:pPr>
    </w:p>
    <w:p w14:paraId="2F4834DD" w14:textId="7AFC5D48" w:rsidR="00C67C37" w:rsidRPr="0025732F" w:rsidRDefault="00C67C37" w:rsidP="00612945">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3E938CD7" w14:textId="77777777" w:rsidR="00612945" w:rsidRPr="0025732F" w:rsidRDefault="00612945" w:rsidP="00612945">
      <w:pPr>
        <w:shd w:val="clear" w:color="auto" w:fill="FFFFFF"/>
        <w:spacing w:after="0" w:line="240" w:lineRule="auto"/>
        <w:ind w:right="-1"/>
        <w:jc w:val="center"/>
        <w:rPr>
          <w:rFonts w:eastAsia="Times New Roman" w:cstheme="minorHAnsi"/>
          <w:color w:val="000000"/>
        </w:rPr>
      </w:pPr>
    </w:p>
    <w:p w14:paraId="310279E2" w14:textId="7AE34DAA" w:rsidR="00ED1D1C" w:rsidRPr="0025732F" w:rsidRDefault="00C67C37" w:rsidP="00ED1D1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Teismas pažymėjo, kad nusikalt</w:t>
      </w:r>
      <w:r w:rsidR="009C6F4D">
        <w:rPr>
          <w:rFonts w:eastAsia="Times New Roman" w:cstheme="minorHAnsi"/>
          <w:color w:val="000000"/>
        </w:rPr>
        <w:t>usių asmenų</w:t>
      </w:r>
      <w:r w:rsidRPr="0025732F">
        <w:rPr>
          <w:rFonts w:eastAsia="Times New Roman" w:cstheme="minorHAnsi"/>
          <w:color w:val="000000"/>
        </w:rPr>
        <w:t xml:space="preserve"> deportavimo klausimais Šveicarijos Baudžiamojo kodekso 66a straipsnis, priimtas siekiant atspindėti referendumo rezultatus, nepaisant jo antraštės „privalomas išsiuntimas“</w:t>
      </w:r>
      <w:r w:rsidR="009C6F4D">
        <w:rPr>
          <w:rFonts w:eastAsia="Times New Roman" w:cstheme="minorHAnsi"/>
          <w:color w:val="000000"/>
        </w:rPr>
        <w:t>,</w:t>
      </w:r>
      <w:r w:rsidRPr="0025732F">
        <w:rPr>
          <w:rFonts w:eastAsia="Times New Roman" w:cstheme="minorHAnsi"/>
          <w:color w:val="000000"/>
        </w:rPr>
        <w:t xml:space="preserve"> neįvedė automatinio užsienio valstybių piliečių, nuteistų už nusikaltimus, deportavimo mechanizmo be priemonės proporcingumo teisminio patikrinimo. Nacionalinių teismų „išimties sąlygos“ aiškinimas iš esmės parodė, kad ji buvo taikoma laikantis Konvencijos. Pagal šią sąlygą nacionalinis teismas, atsižvelgdamas į nagrinėjamus interesus, turėjo atsižvelgti į „specifinę užsieniečio, gimusio ar augusio Šveicarijoje, padėtį“. Iš to išplaukė, kad tokiais atvejais kilo pareiga kiekvienu konkrečiu atveju atlikti analizę pagal Teismo praktikoje nustatytus kriterijus.</w:t>
      </w:r>
    </w:p>
    <w:p w14:paraId="3FA02855" w14:textId="77777777" w:rsidR="00ED1D1C" w:rsidRPr="0025732F" w:rsidRDefault="00C67C37" w:rsidP="00ED1D1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Teismo vertinimu, nacionaliniai teismai atliko puikų pareiškėjo asmeninės padėties ir įvairių susijusių interesų tyrimą bei pateikė labai pagrįstų priežasčių, leidžiančių pateisinti pareiškėjo išsiuntimą iš Šveicarijos ribotam laikotarpiui. Taigi asmens teisės suvaržymas, Teismo nuomone, buvo proporcingas siekiamam teisėtam tikslui ir būtinas demokratinėje visuomenėje, kaip apibrėžta Konvencijos 8 straipsnio 2 dalyje. </w:t>
      </w:r>
    </w:p>
    <w:p w14:paraId="48A65A09" w14:textId="77777777" w:rsidR="00ED1D1C" w:rsidRPr="0025732F" w:rsidRDefault="00ED1D1C" w:rsidP="00ED1D1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4A94A6A" w14:textId="77777777" w:rsidR="00ED1D1C" w:rsidRPr="0025732F" w:rsidRDefault="00C67C37" w:rsidP="00ED1D1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Išvada: Konvencijos 8 straipsnio pažeidimas nenustatytas (vienbalsiai).</w:t>
      </w:r>
    </w:p>
    <w:p w14:paraId="5F767163" w14:textId="0B2DBC9B" w:rsidR="00C67C37" w:rsidRPr="0025732F" w:rsidRDefault="006922FB" w:rsidP="00ED1D1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hyperlink r:id="rId17" w:anchor="{%22itemid%22:[%22001-206358%22]}" w:history="1">
        <w:r w:rsidR="00C67C37" w:rsidRPr="0025732F">
          <w:rPr>
            <w:rStyle w:val="Hipersaitas"/>
            <w:rFonts w:cstheme="minorHAnsi"/>
          </w:rPr>
          <w:t>Prieiga internete</w:t>
        </w:r>
      </w:hyperlink>
    </w:p>
    <w:p w14:paraId="50293C0C" w14:textId="0776BC32" w:rsidR="00C67C37" w:rsidRPr="0025732F" w:rsidRDefault="00C67C37" w:rsidP="00612945">
      <w:pPr>
        <w:spacing w:after="0" w:line="240" w:lineRule="auto"/>
        <w:rPr>
          <w:rFonts w:cstheme="minorHAnsi"/>
        </w:rPr>
      </w:pPr>
    </w:p>
    <w:p w14:paraId="38767D62" w14:textId="77777777" w:rsidR="00472F87" w:rsidRPr="0025732F" w:rsidRDefault="00472F87" w:rsidP="00472F87">
      <w:pPr>
        <w:shd w:val="clear" w:color="auto" w:fill="FFFFFF"/>
        <w:spacing w:after="0" w:line="240" w:lineRule="auto"/>
        <w:ind w:right="-1"/>
        <w:jc w:val="center"/>
        <w:rPr>
          <w:rFonts w:eastAsia="Times New Roman" w:cstheme="minorHAnsi"/>
          <w:b/>
        </w:rPr>
      </w:pPr>
      <w:r w:rsidRPr="0025732F">
        <w:rPr>
          <w:rFonts w:eastAsia="Times New Roman" w:cstheme="minorHAnsi"/>
          <w:b/>
        </w:rPr>
        <w:t>Europos Žmogaus Teisių Teismo 2020 m. gruodžio 22 d. sprendimas byloje</w:t>
      </w:r>
    </w:p>
    <w:p w14:paraId="34B4E182" w14:textId="77777777" w:rsidR="00472F87" w:rsidRPr="0025732F" w:rsidRDefault="00472F87" w:rsidP="009C6F4D">
      <w:pPr>
        <w:pStyle w:val="Antrat2"/>
        <w:ind w:firstLine="0"/>
        <w:jc w:val="center"/>
        <w:rPr>
          <w:rFonts w:eastAsia="Calibri" w:cstheme="minorHAnsi"/>
          <w:i/>
          <w:iCs w:val="0"/>
        </w:rPr>
      </w:pPr>
      <w:bookmarkStart w:id="25" w:name="_Toc72932277"/>
      <w:r w:rsidRPr="0025732F">
        <w:rPr>
          <w:rFonts w:eastAsia="Calibri" w:cstheme="minorHAnsi"/>
          <w:i/>
          <w:iCs w:val="0"/>
        </w:rPr>
        <w:t>Usmanov prieš Rusiją</w:t>
      </w:r>
      <w:bookmarkEnd w:id="25"/>
    </w:p>
    <w:p w14:paraId="1A3C07F4" w14:textId="77777777" w:rsidR="00472F87" w:rsidRPr="0025732F" w:rsidRDefault="00472F87" w:rsidP="00472F87">
      <w:pPr>
        <w:shd w:val="clear" w:color="auto" w:fill="FFFFFF"/>
        <w:spacing w:after="0" w:line="240" w:lineRule="auto"/>
        <w:ind w:right="-1"/>
        <w:jc w:val="center"/>
        <w:rPr>
          <w:rFonts w:eastAsia="Times New Roman" w:cstheme="minorHAnsi"/>
          <w:b/>
        </w:rPr>
      </w:pPr>
      <w:r w:rsidRPr="0025732F">
        <w:rPr>
          <w:rFonts w:eastAsia="Times New Roman" w:cstheme="minorHAnsi"/>
          <w:b/>
        </w:rPr>
        <w:t>(pareiškimo Nr. 43936/18</w:t>
      </w:r>
      <w:r w:rsidRPr="0025732F">
        <w:rPr>
          <w:rFonts w:eastAsia="Calibri" w:cstheme="minorHAnsi"/>
          <w:b/>
        </w:rPr>
        <w:t>, svarbos lygis – 2</w:t>
      </w:r>
      <w:r w:rsidRPr="0025732F">
        <w:rPr>
          <w:rFonts w:eastAsia="Times New Roman" w:cstheme="minorHAnsi"/>
          <w:b/>
        </w:rPr>
        <w:t>)</w:t>
      </w:r>
    </w:p>
    <w:p w14:paraId="0C09D94F" w14:textId="77777777" w:rsidR="00472F87" w:rsidRPr="0025732F" w:rsidRDefault="00472F87" w:rsidP="00472F87">
      <w:pPr>
        <w:shd w:val="clear" w:color="auto" w:fill="FFFFFF"/>
        <w:spacing w:after="0" w:line="240" w:lineRule="auto"/>
        <w:ind w:right="-1" w:firstLine="567"/>
        <w:jc w:val="center"/>
        <w:rPr>
          <w:rFonts w:eastAsia="Times New Roman" w:cstheme="minorHAnsi"/>
          <w:b/>
          <w:bCs/>
          <w:color w:val="000000"/>
        </w:rPr>
      </w:pPr>
    </w:p>
    <w:p w14:paraId="70E271FB" w14:textId="2725F2B2" w:rsidR="00472F87" w:rsidRPr="0025732F" w:rsidRDefault="00472F87" w:rsidP="00305F76">
      <w:pPr>
        <w:pStyle w:val="Antrat3"/>
        <w:ind w:firstLine="567"/>
        <w:jc w:val="both"/>
        <w:rPr>
          <w:rFonts w:eastAsia="Calibri" w:cstheme="minorHAnsi"/>
          <w:szCs w:val="22"/>
        </w:rPr>
      </w:pPr>
      <w:bookmarkStart w:id="26" w:name="_Toc72932278"/>
      <w:r w:rsidRPr="0025732F">
        <w:rPr>
          <w:rFonts w:eastAsia="Calibri" w:cstheme="minorHAnsi"/>
          <w:szCs w:val="22"/>
        </w:rPr>
        <w:t xml:space="preserve">Dėl suteiktos pilietybės atšaukimo </w:t>
      </w:r>
      <w:r w:rsidR="00D268DA">
        <w:rPr>
          <w:rFonts w:eastAsia="Calibri" w:cstheme="minorHAnsi"/>
          <w:szCs w:val="22"/>
        </w:rPr>
        <w:t>dėl to</w:t>
      </w:r>
      <w:r w:rsidRPr="0025732F">
        <w:rPr>
          <w:rFonts w:eastAsia="Calibri" w:cstheme="minorHAnsi"/>
          <w:szCs w:val="22"/>
        </w:rPr>
        <w:t>, kad prieš 10 metų jos prašant nebuvo atskleista informacija apie brolius ir seseris</w:t>
      </w:r>
      <w:bookmarkEnd w:id="26"/>
    </w:p>
    <w:p w14:paraId="3A3B928F" w14:textId="77777777" w:rsidR="00472F87" w:rsidRPr="0025732F" w:rsidRDefault="00472F87" w:rsidP="00472F87">
      <w:pPr>
        <w:spacing w:after="0" w:line="240" w:lineRule="auto"/>
        <w:ind w:right="-1" w:firstLine="567"/>
        <w:rPr>
          <w:rFonts w:eastAsia="Calibri" w:cstheme="minorHAnsi"/>
        </w:rPr>
      </w:pPr>
    </w:p>
    <w:p w14:paraId="1A7252D7" w14:textId="77777777" w:rsidR="00472F87" w:rsidRPr="0025732F" w:rsidRDefault="00472F87" w:rsidP="00472F87">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2EE0C23F" w14:textId="77777777" w:rsidR="00472F87" w:rsidRPr="0025732F" w:rsidRDefault="00472F87" w:rsidP="00472F87">
      <w:pPr>
        <w:spacing w:after="0" w:line="240" w:lineRule="auto"/>
        <w:ind w:right="-1" w:firstLine="567"/>
        <w:rPr>
          <w:rFonts w:eastAsia="Calibri" w:cstheme="minorHAnsi"/>
        </w:rPr>
      </w:pPr>
    </w:p>
    <w:p w14:paraId="7F88B0F1" w14:textId="34F063C0"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Pareiškėjas (Tadžikistano pilietis) 2007 m. su žmona ir 2 vaikais persikėlė į Rusiją (kur susilaukė daugiau atžalų), o po metų gavo Rusijos pilietybę. Po 10 metų sprendimas suteikti pilietybę buvo atšauktas paaiškėjus, kad teikdamas paraišką pareiškėjas nutylėjo dalį informacijos – savo brolių ir seserų vardus. Nacionalinės valdžios institucijos atmetė pareiškėjo paaiškinimus, jog ši informacija nebuvo reikšminga ir kad jį sieja glaudūs ryšiai su Rusija. Neilgai trukus priimtas sprendimas, uždraudžiantis pareiškėjui atvykti į Rusiją artimiausius 35 metus dėl jo neva keliamo pavojaus nacionaliniam saugumui. Kadangi pareiškėjas šalies nepaliko per nustatytą terminą, jis buvo suimtas, patalpintas užsieniečių sulaikymo centre ir nuspręsta jį išsiųsti iš šalies. Teismai atmetė pareiškėjo bandymą ginčyti draudimą jam vėl atvykti į Rusiją.</w:t>
      </w:r>
    </w:p>
    <w:p w14:paraId="39F90763" w14:textId="77777777"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Pareiškėjas, remdamasis Konvencijos 8 straipsniu, kreipėsi į Teismą, kadangi nacionalinės valdžios institucijos, atšaukusios sprendimą, kuriuo buvo suteikta pilietybė, neįvertino jo šeimos gyvenimo aplinkybių ir nepaaiškino, kokiu būdu jis kėlė grėsmę nacionaliniam saugumui.</w:t>
      </w:r>
    </w:p>
    <w:p w14:paraId="219D21EE" w14:textId="77777777" w:rsidR="00472F87" w:rsidRPr="0025732F" w:rsidRDefault="00472F87" w:rsidP="00472F87">
      <w:pPr>
        <w:spacing w:after="0" w:line="240" w:lineRule="auto"/>
        <w:ind w:right="-1" w:firstLine="567"/>
        <w:jc w:val="both"/>
        <w:rPr>
          <w:rFonts w:eastAsia="Calibri" w:cstheme="minorHAnsi"/>
        </w:rPr>
      </w:pPr>
    </w:p>
    <w:p w14:paraId="242B6D72" w14:textId="77777777" w:rsidR="00472F87" w:rsidRPr="0025732F" w:rsidRDefault="00472F87" w:rsidP="009C6F4D">
      <w:pPr>
        <w:shd w:val="clear" w:color="auto" w:fill="FFFFFF"/>
        <w:tabs>
          <w:tab w:val="left" w:pos="0"/>
        </w:tabs>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31127AEB" w14:textId="77777777" w:rsidR="00472F87" w:rsidRPr="0025732F" w:rsidRDefault="00472F87" w:rsidP="00472F87">
      <w:pPr>
        <w:spacing w:after="0" w:line="240" w:lineRule="auto"/>
        <w:ind w:right="-1" w:firstLine="567"/>
        <w:jc w:val="both"/>
        <w:rPr>
          <w:rFonts w:eastAsia="Calibri" w:cstheme="minorHAnsi"/>
        </w:rPr>
      </w:pPr>
    </w:p>
    <w:p w14:paraId="2D024E4E" w14:textId="77777777"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Teismas pažymėjo, kad sprendimas iš pareiškėjo atimti Rusijos pilietybę neabejotinai pažeidė jo teises, saugomas Konvencijos 8 straipsniu. Tokiu būdu pareiškėjas neteko teisinio statuso Rusijoje ir liko be jokių galiojančių jo tapatybę patvirtinančių dokumentų. Kaip pažymėjo Teismas, Rusijos piliečiams neretai tenka pateikti tam tikrus tapatybę patvirtinančius dokumentus netgi užsiimant kasdiene veikla, pavyzdžiui, perkant traukinio bilietą, ieškant darbo ar gaunant medicinos paslaugas, o už galiojančio dokumento nepateikimą tam tikrais atvejais netgi skiriama bauda. Be to, pilietybės atėmimas nulėmė sprendimus, kuriais pareiškėjui buvo nurodyta palikti šalį ir uždrausta į ją vėl atvykti.</w:t>
      </w:r>
    </w:p>
    <w:p w14:paraId="4C82E45F" w14:textId="50694274"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 xml:space="preserve">Rusijos vyriausybė sutiko su tuo, jog pareiškėjo teisės buvo paveiktos, tačiau dėl galiojančio teisinio reguliavimo valstybės valdžios institucijoms neliko jokios diskrecijos sprendžiant situacijas, kuriose pareiškėjai nenurodo tam tikros informacijos siekdami gauti Rusijos pilietybę. Paaiškėjus, kad pareiškėjo pateikta informacija nebuvo tiksli, valstybės valdžios institucijos privalėjo atšaukti sprendimą, kuriuo pareiškėjui suteikta Rusijos pilietybė, nepriklausomai nuo to, kiek metų prabėgo nuo pilietybės suteikimo, kokie yra pareiškėjo ryšiai su Rusija, kokios yra jo šeimos aplinkybės ir kt. </w:t>
      </w:r>
    </w:p>
    <w:p w14:paraId="547FE8C7" w14:textId="35EEDF2B"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Teismas nusprendė, kad toks valstybės valdžios institucijų požiūris buvo perdėtai formal</w:t>
      </w:r>
      <w:r w:rsidR="009C6F4D">
        <w:rPr>
          <w:rFonts w:eastAsia="Calibri" w:cstheme="minorHAnsi"/>
        </w:rPr>
        <w:t>u</w:t>
      </w:r>
      <w:r w:rsidRPr="0025732F">
        <w:rPr>
          <w:rFonts w:eastAsia="Calibri" w:cstheme="minorHAnsi"/>
        </w:rPr>
        <w:t xml:space="preserve">s, nors ir nulemtas tuo metu egzistavusio teisinio reguliavimo. </w:t>
      </w:r>
      <w:r w:rsidRPr="009C6F4D">
        <w:rPr>
          <w:rFonts w:eastAsia="Calibri" w:cstheme="minorHAnsi"/>
          <w:u w:val="single"/>
        </w:rPr>
        <w:t>Vyriausybė nepaaiškino, kodėl pareiškėjo nutylėta informacija apie brolius bei seseris buvo tokios svarbos ir reikšmės, jog tai pateisino pilietybės atėmimą iš jo po daugelio metų nuo jos gavimo, taip pat nebuvo paaiškinta, ar pareiškėjui apskritai būtų buvę atsisakyta suteikti pilietybę, jeigu būtų žinota apie brolius ir seseris paraiškos teikimo metu.</w:t>
      </w:r>
      <w:r w:rsidRPr="0025732F">
        <w:rPr>
          <w:rFonts w:eastAsia="Calibri" w:cstheme="minorHAnsi"/>
        </w:rPr>
        <w:t xml:space="preserve"> </w:t>
      </w:r>
      <w:r w:rsidRPr="009C6F4D">
        <w:rPr>
          <w:rFonts w:eastAsia="Calibri" w:cstheme="minorHAnsi"/>
          <w:u w:val="single"/>
        </w:rPr>
        <w:t>Sprendimas atšaukti suteiktą pilietybę dėl tokios aplinkybės, valdžios institucijoms neatlikus jokio interesų balansavimo vertinimo, buvo aiškiai neproporcingas</w:t>
      </w:r>
      <w:r w:rsidRPr="0025732F">
        <w:rPr>
          <w:rFonts w:eastAsia="Calibri" w:cstheme="minorHAnsi"/>
        </w:rPr>
        <w:t>, todėl pažeidė Konvencijos 8 straipsnį. Analogiškai ir spręsdami dėl draudimo pareiškėjui atvykti į Rusiją ar įpareigojimo išvykti, nacionaliniai teismai tinkamai neįvertino visų situacijoje reikšmingų aplinkybių.</w:t>
      </w:r>
    </w:p>
    <w:p w14:paraId="4A11F315" w14:textId="77777777"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Galiausiai Teismas pabrėžė, jog abiejuose procesuose nebuvo įtikinamai pademonstruota, kad grėsmė, kurią pareiškėjas tariamai kėlė nacionaliniam saugumui, bus reikšmingesnė už aplinkybę, kad pareiškėjas pakankamą laiko tarpą gyveno Rusijoje kartu su rusų tautybės žmona, su kuria augino 4 vaikus, iš kurių 2 buvo gimę Rusijoje. Tai ypač svarbu vertinant kartu su ta aplinkybe, jog per savo buvimo šalyje laikotarpį pareiškėjas nebuvo padaręs jokių nusižengimų. Todėl ir sprendimu išsiųsti pareiškėją iš šalies buvo pažeistas Konvencijos 8 straipsnis. Atsižvelgęs į šias išvadas, Teismas nusprendė, jog nėra reikalinga spręsti dėl draudimo pareiškėjui atvykti į šalį.</w:t>
      </w:r>
    </w:p>
    <w:p w14:paraId="2DA74FD6" w14:textId="77777777" w:rsidR="00472F87" w:rsidRPr="0025732F" w:rsidRDefault="00472F87" w:rsidP="00472F87">
      <w:pPr>
        <w:spacing w:after="0" w:line="240" w:lineRule="auto"/>
        <w:ind w:right="-1" w:firstLine="567"/>
        <w:jc w:val="both"/>
        <w:rPr>
          <w:rFonts w:eastAsia="Calibri" w:cstheme="minorHAnsi"/>
        </w:rPr>
      </w:pPr>
    </w:p>
    <w:p w14:paraId="06AE8B1B" w14:textId="77777777"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 xml:space="preserve">Išvada: nustatytas Konvencijos 8 straipsnio pažeidimas (vienbalsiai). </w:t>
      </w:r>
    </w:p>
    <w:p w14:paraId="711B2D6C" w14:textId="40C0E012"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41 straipsnis: pareiškėjui priteista 162 Eur turtinei žalai atlyginti</w:t>
      </w:r>
      <w:r w:rsidR="009C6F4D">
        <w:rPr>
          <w:rFonts w:eastAsia="Calibri" w:cstheme="minorHAnsi"/>
        </w:rPr>
        <w:t xml:space="preserve"> ir</w:t>
      </w:r>
      <w:r w:rsidRPr="0025732F">
        <w:rPr>
          <w:rFonts w:eastAsia="Calibri" w:cstheme="minorHAnsi"/>
        </w:rPr>
        <w:t xml:space="preserve"> 10 000 Eur neturtinei žalai atlyginti.</w:t>
      </w:r>
    </w:p>
    <w:p w14:paraId="3AAA854A" w14:textId="77777777" w:rsidR="00472F87" w:rsidRPr="0025732F" w:rsidRDefault="00472F87" w:rsidP="00472F87">
      <w:pPr>
        <w:spacing w:after="0" w:line="240" w:lineRule="auto"/>
        <w:ind w:right="-1" w:firstLine="567"/>
        <w:jc w:val="both"/>
        <w:rPr>
          <w:rFonts w:eastAsia="Calibri" w:cstheme="minorHAnsi"/>
        </w:rPr>
      </w:pPr>
      <w:r w:rsidRPr="0025732F">
        <w:rPr>
          <w:rFonts w:eastAsia="Calibri" w:cstheme="minorHAnsi"/>
        </w:rPr>
        <w:t>(pateikta atskiroji nuomonė)</w:t>
      </w:r>
    </w:p>
    <w:p w14:paraId="3AC847DE" w14:textId="03CE7279" w:rsidR="00472F87" w:rsidRDefault="006922FB" w:rsidP="00472F87">
      <w:pPr>
        <w:spacing w:after="0" w:line="240" w:lineRule="auto"/>
        <w:ind w:right="-1" w:firstLine="567"/>
        <w:jc w:val="both"/>
        <w:rPr>
          <w:rFonts w:eastAsia="Calibri" w:cstheme="minorHAnsi"/>
          <w:color w:val="0000FF"/>
          <w:u w:val="single"/>
        </w:rPr>
      </w:pPr>
      <w:hyperlink r:id="rId18" w:anchor="{%22fulltext%22:[%2243936/18%22],%22documentcollectionid2%22:[%22GRANDCHAMBER%22,%22CHAMBER%22],%22itemid%22:[%22001-206716%22]}" w:history="1">
        <w:r w:rsidR="00472F87" w:rsidRPr="0025732F">
          <w:rPr>
            <w:rFonts w:eastAsia="Calibri" w:cstheme="minorHAnsi"/>
            <w:color w:val="0000FF"/>
            <w:u w:val="single"/>
          </w:rPr>
          <w:t>Prieiga internete</w:t>
        </w:r>
      </w:hyperlink>
    </w:p>
    <w:p w14:paraId="220A3638" w14:textId="77777777" w:rsidR="009C6F4D" w:rsidRPr="0025732F" w:rsidRDefault="009C6F4D" w:rsidP="00472F87">
      <w:pPr>
        <w:spacing w:after="0" w:line="240" w:lineRule="auto"/>
        <w:ind w:right="-1" w:firstLine="567"/>
        <w:jc w:val="both"/>
        <w:rPr>
          <w:rFonts w:eastAsia="Calibri" w:cstheme="minorHAnsi"/>
          <w:color w:val="0000FF"/>
          <w:u w:val="single"/>
        </w:rPr>
      </w:pPr>
    </w:p>
    <w:p w14:paraId="3413C60A" w14:textId="77777777" w:rsidR="009C6F4D" w:rsidRPr="0025732F" w:rsidRDefault="009C6F4D" w:rsidP="009C6F4D">
      <w:pPr>
        <w:spacing w:after="0" w:line="240" w:lineRule="auto"/>
        <w:jc w:val="center"/>
        <w:rPr>
          <w:rFonts w:cstheme="minorHAnsi"/>
          <w:b/>
        </w:rPr>
      </w:pPr>
      <w:r w:rsidRPr="0025732F">
        <w:rPr>
          <w:rFonts w:cstheme="minorHAnsi"/>
          <w:b/>
        </w:rPr>
        <w:t>Europos Žmogaus Teisių Teismo 2020 m. rugpjūčio 4 d. sprendimas byloje</w:t>
      </w:r>
    </w:p>
    <w:p w14:paraId="75A141C6" w14:textId="77777777" w:rsidR="009C6F4D" w:rsidRPr="0025732F" w:rsidRDefault="009C6F4D" w:rsidP="009C6F4D">
      <w:pPr>
        <w:pStyle w:val="Antrat2"/>
        <w:ind w:firstLine="0"/>
        <w:jc w:val="center"/>
        <w:rPr>
          <w:rFonts w:cstheme="minorHAnsi"/>
          <w:i/>
          <w:iCs w:val="0"/>
        </w:rPr>
      </w:pPr>
      <w:bookmarkStart w:id="27" w:name="_Toc72932279"/>
      <w:r w:rsidRPr="0025732F">
        <w:rPr>
          <w:rFonts w:cstheme="minorHAnsi"/>
          <w:i/>
          <w:iCs w:val="0"/>
        </w:rPr>
        <w:t>Kaminskas prieš Lietuvą</w:t>
      </w:r>
      <w:bookmarkEnd w:id="27"/>
    </w:p>
    <w:p w14:paraId="46654875" w14:textId="77777777" w:rsidR="009C6F4D" w:rsidRPr="0025732F" w:rsidRDefault="009C6F4D" w:rsidP="009C6F4D">
      <w:pPr>
        <w:spacing w:after="0" w:line="240" w:lineRule="auto"/>
        <w:jc w:val="center"/>
        <w:rPr>
          <w:rFonts w:cstheme="minorHAnsi"/>
          <w:b/>
        </w:rPr>
      </w:pPr>
      <w:r w:rsidRPr="0025732F">
        <w:rPr>
          <w:rFonts w:cstheme="minorHAnsi"/>
          <w:b/>
        </w:rPr>
        <w:t>(pareiškimo Nr. 44817/18, svarbos lygis – 3)</w:t>
      </w:r>
    </w:p>
    <w:p w14:paraId="36999057" w14:textId="77777777" w:rsidR="009C6F4D" w:rsidRPr="0025732F" w:rsidRDefault="009C6F4D" w:rsidP="009C6F4D">
      <w:pPr>
        <w:spacing w:after="0" w:line="240" w:lineRule="auto"/>
        <w:jc w:val="center"/>
        <w:rPr>
          <w:rFonts w:cstheme="minorHAnsi"/>
        </w:rPr>
      </w:pPr>
    </w:p>
    <w:p w14:paraId="3C43194C" w14:textId="77777777" w:rsidR="009C6F4D" w:rsidRPr="0025732F" w:rsidRDefault="009C6F4D" w:rsidP="009C6F4D">
      <w:pPr>
        <w:pStyle w:val="Antrat3"/>
        <w:ind w:firstLine="567"/>
        <w:jc w:val="both"/>
        <w:rPr>
          <w:rFonts w:cstheme="minorHAnsi"/>
          <w:szCs w:val="22"/>
          <w:shd w:val="clear" w:color="auto" w:fill="FFFFFF"/>
          <w:lang w:eastAsia="lt-LT"/>
        </w:rPr>
      </w:pPr>
      <w:bookmarkStart w:id="28" w:name="_Toc72932280"/>
      <w:r w:rsidRPr="0025732F">
        <w:rPr>
          <w:rFonts w:cstheme="minorHAnsi"/>
          <w:szCs w:val="22"/>
          <w:shd w:val="clear" w:color="auto" w:fill="FFFFFF"/>
          <w:lang w:eastAsia="lt-LT"/>
        </w:rPr>
        <w:t>Dėl teisės į būsto neliečiamybę ribojimo pateisinimo, sprendžiant dėl asmens įpareigojimo nugriauti neteisėtai pastatytus statinius saugomoje teritorijoje</w:t>
      </w:r>
      <w:bookmarkEnd w:id="28"/>
    </w:p>
    <w:p w14:paraId="752E3B38" w14:textId="77777777" w:rsidR="009C6F4D" w:rsidRPr="0025732F" w:rsidRDefault="009C6F4D" w:rsidP="009C6F4D">
      <w:pPr>
        <w:spacing w:after="0" w:line="240" w:lineRule="auto"/>
        <w:jc w:val="center"/>
        <w:rPr>
          <w:rFonts w:cstheme="minorHAnsi"/>
          <w:b/>
        </w:rPr>
      </w:pPr>
    </w:p>
    <w:p w14:paraId="09A2BF8B" w14:textId="77777777" w:rsidR="009C6F4D" w:rsidRPr="0025732F" w:rsidRDefault="009C6F4D" w:rsidP="009C6F4D">
      <w:pPr>
        <w:spacing w:after="0" w:line="240" w:lineRule="auto"/>
        <w:jc w:val="center"/>
        <w:rPr>
          <w:rFonts w:cstheme="minorHAnsi"/>
          <w:b/>
        </w:rPr>
      </w:pPr>
      <w:r w:rsidRPr="0025732F">
        <w:rPr>
          <w:rFonts w:cstheme="minorHAnsi"/>
          <w:b/>
        </w:rPr>
        <w:t>Faktinės aplinkybės</w:t>
      </w:r>
    </w:p>
    <w:p w14:paraId="439AF610" w14:textId="77777777" w:rsidR="009C6F4D" w:rsidRPr="0025732F" w:rsidRDefault="009C6F4D" w:rsidP="009C6F4D">
      <w:pPr>
        <w:spacing w:after="0" w:line="240" w:lineRule="auto"/>
        <w:ind w:firstLine="540"/>
        <w:jc w:val="center"/>
        <w:rPr>
          <w:rFonts w:cstheme="minorHAnsi"/>
          <w:b/>
        </w:rPr>
      </w:pPr>
    </w:p>
    <w:p w14:paraId="2ADE90FE" w14:textId="77777777" w:rsidR="009C6F4D" w:rsidRPr="0025732F" w:rsidRDefault="009C6F4D" w:rsidP="009C6F4D">
      <w:pPr>
        <w:spacing w:after="0" w:line="240" w:lineRule="auto"/>
        <w:ind w:firstLine="567"/>
        <w:jc w:val="both"/>
        <w:rPr>
          <w:rFonts w:cstheme="minorHAnsi"/>
        </w:rPr>
      </w:pPr>
      <w:r w:rsidRPr="0025732F">
        <w:rPr>
          <w:rFonts w:cstheme="minorHAnsi"/>
        </w:rPr>
        <w:t>Pareiškėjui V. Kaminskui jo motina 2006 metais padovanojo 0,8 ha miško žemės (2004 metais įregistruota Miškų kadastre), į kurią 2005 metais jai buvo atkurtos nuosavybės teisės. Maždaug tais pačiais metais pareiškėjas šioje žemėje pasistatė gyvenamąjį namą su sandėliu ir nuo to laiko kartu su žmona jame gyveno.</w:t>
      </w:r>
    </w:p>
    <w:p w14:paraId="376D1732"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2012 m. birželio mėn. Valstybinė teritorijų planavimo ir statybų inspekcija prie Aplinkos ministerijos (toliau – Inspekcija) atliko patikrinimą ir nustatė, kad minėtos statybos buvo neteisėtos, todėl priėmė privalomąjį nurodymą nugriauti nurodytus pastatus per 6 mėnesius (toliau – </w:t>
      </w:r>
      <w:r>
        <w:rPr>
          <w:rFonts w:cstheme="minorHAnsi"/>
        </w:rPr>
        <w:t>p</w:t>
      </w:r>
      <w:r w:rsidRPr="0025732F">
        <w:rPr>
          <w:rFonts w:cstheme="minorHAnsi"/>
        </w:rPr>
        <w:t>rivalomasis nurodymas). Šis terminas pareiškėjo prašymu buvo pratęstas 3 mėnesiais. Vėliau pareiškėjas siekė, kad minėtas terminas dar kartą būtų pratęstas, tačiau nacionaliniai teismai tam nenustatė pagrindo.</w:t>
      </w:r>
    </w:p>
    <w:p w14:paraId="6F1FB878"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Pareiškėjui per nustatytą terminą neįvykdžius </w:t>
      </w:r>
      <w:r>
        <w:rPr>
          <w:rFonts w:cstheme="minorHAnsi"/>
        </w:rPr>
        <w:t>p</w:t>
      </w:r>
      <w:r w:rsidRPr="0025732F">
        <w:rPr>
          <w:rFonts w:cstheme="minorHAnsi"/>
        </w:rPr>
        <w:t>rivalomojo nurodymo, Inspekcija 2013 m. rugsėjo mėn. kreipėsi į teismą. Bylos nagrinėjimas du kartus buvo atidėtas, atsižvelgiant į tai, kad pareiškėjas siekė pakeisti ginčo žemės (dalies, kurioje pastatyti minėti statiniai) paskirtį, o vėliau siekė įrodyti, jog toje žemėje anksčiau buvo jo senelio sodyba, tačiau nesėkmingai.</w:t>
      </w:r>
    </w:p>
    <w:p w14:paraId="2EF4D599" w14:textId="77777777" w:rsidR="009C6F4D" w:rsidRPr="0025732F" w:rsidRDefault="009C6F4D" w:rsidP="009C6F4D">
      <w:pPr>
        <w:spacing w:after="0" w:line="240" w:lineRule="auto"/>
        <w:ind w:firstLine="567"/>
        <w:jc w:val="both"/>
        <w:rPr>
          <w:rFonts w:cstheme="minorHAnsi"/>
        </w:rPr>
      </w:pPr>
      <w:r w:rsidRPr="0025732F">
        <w:rPr>
          <w:rFonts w:cstheme="minorHAnsi"/>
        </w:rPr>
        <w:t>2017 m. spalio mėn. Inspekcijos ieškinys buvo patenkintas ir pareiškėjui nurodyta per 6 mėnesius nugriauti pastatus, o to nepadarius, Inspekcija turėjo teisę nugriauti šiuos pastatus pareiškėjo sąskaita. Apeliacinės instancijos teismas paliko galioti šį pirmosios instancijos teismo sprendimą, o Lietuvos Aukščiausiasis Teismas pareiškėjo kasacinį skundą atsisakė priimti. Tačiau iki 2020 m. vasario mėn. ginčo pastatai dar nebuvo nugriauti.</w:t>
      </w:r>
    </w:p>
    <w:p w14:paraId="01B307C2" w14:textId="77777777" w:rsidR="009C6F4D" w:rsidRPr="0025732F" w:rsidRDefault="009C6F4D" w:rsidP="009C6F4D">
      <w:pPr>
        <w:spacing w:after="0" w:line="240" w:lineRule="auto"/>
        <w:ind w:firstLine="567"/>
        <w:jc w:val="both"/>
        <w:rPr>
          <w:rStyle w:val="tlid-translation"/>
          <w:rFonts w:cstheme="minorHAnsi"/>
        </w:rPr>
      </w:pPr>
      <w:r w:rsidRPr="0025732F">
        <w:rPr>
          <w:rStyle w:val="tlid-translation"/>
          <w:rFonts w:cstheme="minorHAnsi"/>
        </w:rPr>
        <w:t>Remdamasis Konvencijos 8 straipsniu</w:t>
      </w:r>
      <w:r>
        <w:rPr>
          <w:rStyle w:val="tlid-translation"/>
          <w:rFonts w:cstheme="minorHAnsi"/>
        </w:rPr>
        <w:t xml:space="preserve">, </w:t>
      </w:r>
      <w:r w:rsidRPr="0025732F">
        <w:rPr>
          <w:rStyle w:val="tlid-translation"/>
          <w:rFonts w:cstheme="minorHAnsi"/>
        </w:rPr>
        <w:t xml:space="preserve">pareiškėjas skundėsi, kad nurodymas nugriauti ginčo pastatus pažeidė jo teisę į </w:t>
      </w:r>
      <w:r w:rsidRPr="0025732F">
        <w:rPr>
          <w:rFonts w:cstheme="minorHAnsi"/>
        </w:rPr>
        <w:t>būsto neliečiamybę.</w:t>
      </w:r>
    </w:p>
    <w:p w14:paraId="4C3D414B" w14:textId="77777777" w:rsidR="009C6F4D" w:rsidRPr="0025732F" w:rsidRDefault="009C6F4D" w:rsidP="009C6F4D">
      <w:pPr>
        <w:spacing w:after="0" w:line="240" w:lineRule="auto"/>
        <w:ind w:firstLine="567"/>
        <w:jc w:val="both"/>
        <w:rPr>
          <w:rStyle w:val="tlid-translation"/>
          <w:rFonts w:cstheme="minorHAnsi"/>
        </w:rPr>
      </w:pPr>
    </w:p>
    <w:p w14:paraId="64FEAD58" w14:textId="77777777" w:rsidR="009C6F4D" w:rsidRPr="0025732F" w:rsidRDefault="009C6F4D" w:rsidP="009C6F4D">
      <w:pPr>
        <w:spacing w:after="0" w:line="240" w:lineRule="auto"/>
        <w:jc w:val="center"/>
        <w:rPr>
          <w:rFonts w:cstheme="minorHAnsi"/>
        </w:rPr>
      </w:pPr>
      <w:r w:rsidRPr="0025732F">
        <w:rPr>
          <w:rFonts w:cstheme="minorHAnsi"/>
          <w:b/>
        </w:rPr>
        <w:t>Neoficiali Teismo sprendimo apžvalga</w:t>
      </w:r>
    </w:p>
    <w:p w14:paraId="194CE44F" w14:textId="77777777" w:rsidR="009C6F4D" w:rsidRPr="0025732F" w:rsidRDefault="009C6F4D" w:rsidP="009C6F4D">
      <w:pPr>
        <w:spacing w:after="0" w:line="240" w:lineRule="auto"/>
        <w:ind w:firstLine="567"/>
        <w:jc w:val="both"/>
        <w:rPr>
          <w:rStyle w:val="tlid-translation"/>
          <w:rFonts w:cstheme="minorHAnsi"/>
        </w:rPr>
      </w:pPr>
    </w:p>
    <w:p w14:paraId="35DF6E49"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Teismas priminė, kad „būstas“ konvencijos 8 straipsnio prasme nėra suprantamas tik kaip teisėtai sukurtas ir valdomas. Ši sąvoka autonomiška ir nepriklauso nuo vertinimo nacionalinės teisės prasme. Tai, ar konkrečios patalpos laikytinos „būstu“, kuriam taikoma Konvencijos 8 straipsnio garantuojama apsauga, priklauso nuo faktinių aplinkybių, būtent nuo to, ar egzistuoja pakankami ir nuolatiniai (tęstinio pobūdžio) ryšiai su konkrečia vieta (žr. 2017 m. kovo 14 d. sprendimo </w:t>
      </w:r>
      <w:r w:rsidRPr="0025732F">
        <w:rPr>
          <w:rFonts w:cstheme="minorHAnsi"/>
          <w:i/>
        </w:rPr>
        <w:t>Yevgeniy Zakharov prieš Rusiją</w:t>
      </w:r>
      <w:r w:rsidRPr="0025732F">
        <w:rPr>
          <w:rFonts w:cstheme="minorHAnsi"/>
        </w:rPr>
        <w:t>, pareiškimo Nr. 66610/10, 30 punktą ir jame nurodytą praktiką).</w:t>
      </w:r>
    </w:p>
    <w:p w14:paraId="5796BA37"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Kadangi byloje nebuvo ginčo dėl to, jog pareiškėjas namą pasistatė maždaug 2005–2006 metais ir nuo to laiko kartu su žmona jame gyveno, Teismas sprendė, kad nepaisant aplinkybės, jog namas buvo pastatytas neteisėtai, jis laikytinas pareiškėjo „būstu“ Konvencijos 8 straipsnio prasme (žr. 2016 m. balandžio 21 d. sprendimo </w:t>
      </w:r>
      <w:r w:rsidRPr="0025732F">
        <w:rPr>
          <w:rFonts w:cstheme="minorHAnsi"/>
          <w:i/>
        </w:rPr>
        <w:t>Ivanova ir Cherkezov</w:t>
      </w:r>
      <w:r w:rsidRPr="0025732F">
        <w:rPr>
          <w:rFonts w:cstheme="minorHAnsi"/>
        </w:rPr>
        <w:t xml:space="preserve"> </w:t>
      </w:r>
      <w:r w:rsidRPr="0025732F">
        <w:rPr>
          <w:rFonts w:cstheme="minorHAnsi"/>
          <w:i/>
        </w:rPr>
        <w:t>prieš Bulgariją</w:t>
      </w:r>
      <w:r w:rsidRPr="0025732F">
        <w:rPr>
          <w:rFonts w:cstheme="minorHAnsi"/>
        </w:rPr>
        <w:t xml:space="preserve">, pareiškimo Nr. 46577/15, 49 punktą ir jame nurodytą praktiką). Be to, nors pagal Teismo turimus naujausius duomenis namas dar nebuvo nugriautas, Teismas pažymėjo, jog nurodymas jį nugriauti buvo patvirtintas galutiniu (įsiteisėjusiu) teismo sprendimu bei tapo vykdytinas ir neatrodo, kad pareiškėjas galėtų dar kartą dėl to kreiptis į teismą. Atsižvelgęs į šias aplinkybes, Teismas nurodė, kad neturi pagrindo abejoti, jog nagrinėjama situacija patenka į pareiškėjo teisės į būsto neliečiamybę ribojimą (žr. </w:t>
      </w:r>
      <w:r w:rsidRPr="0025732F">
        <w:rPr>
          <w:rFonts w:cstheme="minorHAnsi"/>
          <w:i/>
        </w:rPr>
        <w:t>mutatis mutandis</w:t>
      </w:r>
      <w:r w:rsidRPr="0025732F">
        <w:rPr>
          <w:rFonts w:cstheme="minorHAnsi"/>
        </w:rPr>
        <w:t xml:space="preserve"> 2011 m. gruodžio 6 d. sprendimo </w:t>
      </w:r>
      <w:r w:rsidRPr="0025732F">
        <w:rPr>
          <w:rFonts w:cstheme="minorHAnsi"/>
          <w:i/>
        </w:rPr>
        <w:t>Gladysheva prieš Rusiją</w:t>
      </w:r>
      <w:r w:rsidRPr="0025732F">
        <w:rPr>
          <w:rFonts w:cstheme="minorHAnsi"/>
        </w:rPr>
        <w:t xml:space="preserve">, pareiškimo Nr. 7097/10, 91 punktą; taip pat 2018 m. spalio 2 d. nutarimo </w:t>
      </w:r>
      <w:r w:rsidRPr="0025732F">
        <w:rPr>
          <w:rFonts w:cstheme="minorHAnsi"/>
          <w:i/>
        </w:rPr>
        <w:t>Aydarov ir kiti prieš Bulgariją</w:t>
      </w:r>
      <w:r w:rsidRPr="0025732F">
        <w:rPr>
          <w:rFonts w:cstheme="minorHAnsi"/>
        </w:rPr>
        <w:t>, pareiškimo Nr. 33586/15, 65 punktą ir jame nurodytą praktiką).</w:t>
      </w:r>
    </w:p>
    <w:p w14:paraId="4C72A5B3" w14:textId="6C736B54" w:rsidR="009C6F4D" w:rsidRPr="0025732F" w:rsidRDefault="009C6F4D" w:rsidP="009C6F4D">
      <w:pPr>
        <w:spacing w:after="0" w:line="240" w:lineRule="auto"/>
        <w:ind w:firstLine="567"/>
        <w:jc w:val="both"/>
        <w:rPr>
          <w:rFonts w:cstheme="minorHAnsi"/>
        </w:rPr>
      </w:pPr>
      <w:r w:rsidRPr="0025732F">
        <w:rPr>
          <w:rFonts w:cstheme="minorHAnsi"/>
        </w:rPr>
        <w:t xml:space="preserve">Vertindamas, ar nurodytas ribojimas buvo pateisinamas, Teismas atkreipė dėmesį, jog </w:t>
      </w:r>
      <w:r w:rsidRPr="001A29C4">
        <w:rPr>
          <w:rFonts w:cstheme="minorHAnsi"/>
          <w:u w:val="single"/>
        </w:rPr>
        <w:t xml:space="preserve">byloje nebuvo ginčo dėl to, kad pareiškėjas namą pasistatė neteisėtai ir tai padarė sąmoningai. Pareiškėjas turėjo žinoti apie </w:t>
      </w:r>
      <w:r w:rsidRPr="001A29C4">
        <w:rPr>
          <w:rFonts w:cstheme="minorHAnsi"/>
          <w:u w:val="single"/>
        </w:rPr>
        <w:lastRenderedPageBreak/>
        <w:t>statybų apribojimus ginčo žemėje tuo metu, kai ją įgijo, nes jau tuo metu ši žemė buvo priskirta miško žemei</w:t>
      </w:r>
      <w:r w:rsidRPr="0025732F">
        <w:rPr>
          <w:rFonts w:cstheme="minorHAnsi"/>
        </w:rPr>
        <w:t xml:space="preserve"> (žr. </w:t>
      </w:r>
      <w:r w:rsidRPr="0025732F">
        <w:rPr>
          <w:rFonts w:cstheme="minorHAnsi"/>
          <w:i/>
        </w:rPr>
        <w:t>mutatis mutandis</w:t>
      </w:r>
      <w:r w:rsidRPr="0025732F">
        <w:rPr>
          <w:rFonts w:cstheme="minorHAnsi"/>
        </w:rPr>
        <w:t xml:space="preserve"> 2018 m. vasario 6 d. sprendimo </w:t>
      </w:r>
      <w:r w:rsidRPr="0025732F">
        <w:rPr>
          <w:rFonts w:cstheme="minorHAnsi"/>
          <w:i/>
          <w:iCs/>
        </w:rPr>
        <w:t>Kristiana Ltd. prieš Lietuvą</w:t>
      </w:r>
      <w:r w:rsidRPr="0025732F">
        <w:rPr>
          <w:rFonts w:cstheme="minorHAnsi"/>
        </w:rPr>
        <w:t xml:space="preserve">, pareiškimo Nr. 36184/13, 110 punktą). Tačiau iš teismo turimos medžiagos nebuvo matyti, kad prieš statybas pareiškėjas būtų siekęs pakeisti žemės paskirtį ar kaip nors kitaip užtikrinti statybos teisėtumą. Panašu, kad pareiškėjas pradėjo ieškoti būdų, kaip atgaline data įteisinti neteisėtą statybą, tik po to, kai buvo priimtas sprendimas dėl pastatų griovimo. Be to, </w:t>
      </w:r>
      <w:r w:rsidRPr="001A29C4">
        <w:rPr>
          <w:rFonts w:cstheme="minorHAnsi"/>
          <w:u w:val="single"/>
        </w:rPr>
        <w:t>byloje nebuvo jokių duomenų, kad valdžios institucijos būtų ėm</w:t>
      </w:r>
      <w:r w:rsidR="00025264">
        <w:rPr>
          <w:rFonts w:cstheme="minorHAnsi"/>
          <w:u w:val="single"/>
        </w:rPr>
        <w:t>u</w:t>
      </w:r>
      <w:r w:rsidRPr="001A29C4">
        <w:rPr>
          <w:rFonts w:cstheme="minorHAnsi"/>
          <w:u w:val="single"/>
        </w:rPr>
        <w:t xml:space="preserve">sios kokių nors veiksmų, dėl kurių pareiškėjas galėjo manyti, jog statyba buvo teisėta, arba kad jis galės ją įteisinti </w:t>
      </w:r>
      <w:r w:rsidRPr="001A29C4">
        <w:rPr>
          <w:rFonts w:cstheme="minorHAnsi"/>
          <w:i/>
          <w:u w:val="single"/>
        </w:rPr>
        <w:t>ex post facto</w:t>
      </w:r>
      <w:r w:rsidRPr="0025732F">
        <w:rPr>
          <w:rFonts w:cstheme="minorHAnsi"/>
        </w:rPr>
        <w:t xml:space="preserve"> (palyginimui žr. 2013 m. liepos 18 d. sprendimo </w:t>
      </w:r>
      <w:r w:rsidRPr="0025732F">
        <w:rPr>
          <w:rFonts w:cstheme="minorHAnsi"/>
          <w:i/>
        </w:rPr>
        <w:t>Brežec prieš Kroatiją</w:t>
      </w:r>
      <w:r w:rsidRPr="0025732F">
        <w:rPr>
          <w:rFonts w:cstheme="minorHAnsi"/>
        </w:rPr>
        <w:t xml:space="preserve">, pareiškimo Nr. 7177/10, 48 punktą; taip pat 2018 m. sausio 9 d. sprendimo </w:t>
      </w:r>
      <w:r w:rsidRPr="0025732F">
        <w:rPr>
          <w:rFonts w:cstheme="minorHAnsi"/>
          <w:i/>
          <w:iCs/>
        </w:rPr>
        <w:t>Tumeliai prieš Lietuvą</w:t>
      </w:r>
      <w:r w:rsidRPr="0025732F">
        <w:rPr>
          <w:rFonts w:cstheme="minorHAnsi"/>
        </w:rPr>
        <w:t>, pareiškimo Nr. 25545/14, 78 punktą).</w:t>
      </w:r>
    </w:p>
    <w:p w14:paraId="654B9612"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Šiomis aplinkybėmis Teismas padarė išvadą, kad pareiškėjas namą miško žemėje pastatė sąmoningai nepaisydamas </w:t>
      </w:r>
      <w:r w:rsidRPr="0025732F">
        <w:rPr>
          <w:rFonts w:cstheme="minorHAnsi"/>
          <w:iCs/>
        </w:rPr>
        <w:t xml:space="preserve">teisės aktuose </w:t>
      </w:r>
      <w:r w:rsidRPr="0025732F">
        <w:rPr>
          <w:rFonts w:cstheme="minorHAnsi"/>
        </w:rPr>
        <w:t xml:space="preserve">įtvirtintų draudimų (žr. </w:t>
      </w:r>
      <w:r w:rsidRPr="0025732F">
        <w:rPr>
          <w:rFonts w:cstheme="minorHAnsi"/>
          <w:i/>
        </w:rPr>
        <w:t>mutatis mutandis</w:t>
      </w:r>
      <w:r w:rsidRPr="0025732F">
        <w:rPr>
          <w:rFonts w:cstheme="minorHAnsi"/>
        </w:rPr>
        <w:t xml:space="preserve"> 2001 m. sausio 18 d. sprendimo </w:t>
      </w:r>
      <w:r w:rsidRPr="0025732F">
        <w:rPr>
          <w:rFonts w:cstheme="minorHAnsi"/>
          <w:i/>
        </w:rPr>
        <w:t>Chapman prieš Jungtinę Karalystę</w:t>
      </w:r>
      <w:r w:rsidRPr="0025732F">
        <w:rPr>
          <w:rFonts w:cstheme="minorHAnsi"/>
        </w:rPr>
        <w:t xml:space="preserve">, pareiškimo Nr. 27238/95, 107 punktą). Todėl situacija, kurioje pareiškėjas atsidūrė, buvo jo paties sukurta (žr. </w:t>
      </w:r>
      <w:r w:rsidRPr="0025732F">
        <w:rPr>
          <w:rFonts w:cstheme="minorHAnsi"/>
          <w:i/>
        </w:rPr>
        <w:t>mutatis mutandis</w:t>
      </w:r>
      <w:r w:rsidRPr="0025732F">
        <w:rPr>
          <w:rFonts w:cstheme="minorHAnsi"/>
        </w:rPr>
        <w:t xml:space="preserve"> 2016 m. gruodžio 20 d. sprendimo </w:t>
      </w:r>
      <w:r w:rsidRPr="0025732F">
        <w:rPr>
          <w:rFonts w:cstheme="minorHAnsi"/>
          <w:i/>
        </w:rPr>
        <w:t>Sagvolden prieš Norvegiją</w:t>
      </w:r>
      <w:r w:rsidRPr="0025732F">
        <w:rPr>
          <w:rFonts w:cstheme="minorHAnsi"/>
        </w:rPr>
        <w:t>, pareiškimo Nr. 21682/11, 142 punktą).</w:t>
      </w:r>
    </w:p>
    <w:p w14:paraId="1FC92CC6"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Teismas pažymėjo, kad Lietuvos įstatymai nenustatė bendros ir absoliučios taisyklės, pagal kurią bet koks be leidimo pastatytas pastatas turi būti nugriautas – buvo galimybė tokius pastatus įteisinti </w:t>
      </w:r>
      <w:r w:rsidRPr="0025732F">
        <w:rPr>
          <w:rFonts w:cstheme="minorHAnsi"/>
          <w:i/>
        </w:rPr>
        <w:t>ex post facto</w:t>
      </w:r>
      <w:r w:rsidRPr="0025732F">
        <w:rPr>
          <w:rFonts w:cstheme="minorHAnsi"/>
        </w:rPr>
        <w:t xml:space="preserve"> (palyginimui žr. sprendimo </w:t>
      </w:r>
      <w:r w:rsidRPr="0025732F">
        <w:rPr>
          <w:rFonts w:cstheme="minorHAnsi"/>
          <w:i/>
        </w:rPr>
        <w:t>Ivanova ir Cherkezov</w:t>
      </w:r>
      <w:r w:rsidRPr="0025732F">
        <w:rPr>
          <w:rFonts w:cstheme="minorHAnsi"/>
        </w:rPr>
        <w:t xml:space="preserve"> 54 punktą). Draudimas statyti miško žemėje taip pat nebuvo absoliutus – teisės aktai įtvirtino sąrašą išimčių, kada miško žemės statusą galima pakeisti, kad joje būtų leidžiamos statybos.</w:t>
      </w:r>
    </w:p>
    <w:p w14:paraId="03C7618E"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Teismas pabrėžė, kad šioje byloje nacionalinės valdžios institucijos ėmėsi įvairių priemonių, siekdamos suteikti pareiškėjui galimybes pagerinti savo padėtį. Konkrečiai, pareiškėjo prašymu, Inspekcija pratęsė </w:t>
      </w:r>
      <w:r>
        <w:rPr>
          <w:rFonts w:cstheme="minorHAnsi"/>
        </w:rPr>
        <w:t>p</w:t>
      </w:r>
      <w:r w:rsidRPr="0025732F">
        <w:rPr>
          <w:rFonts w:cstheme="minorHAnsi"/>
        </w:rPr>
        <w:t xml:space="preserve">rivalomojo nurodymo įvykdymo terminą; bylą dėl nurodymo nugriauti statinius nagrinėję teismai kelis kartus atidėjo bylos nagrinėjimą, kad pareiškėjas galėtų </w:t>
      </w:r>
      <w:r w:rsidRPr="0025732F">
        <w:rPr>
          <w:rFonts w:cstheme="minorHAnsi"/>
          <w:i/>
        </w:rPr>
        <w:t>ex post facto</w:t>
      </w:r>
      <w:r w:rsidRPr="0025732F">
        <w:rPr>
          <w:rFonts w:cstheme="minorHAnsi"/>
        </w:rPr>
        <w:t xml:space="preserve"> įteisinti statybą; nustatydami terminą pastatams nugriauti, teismai atsižvelgė į sunkumus, su kuriais pareiškėjas gali susidurti šaltuoju metų laiku; nors Inspekcija buvo įgaliota nugriauti namą pareiškėjo sąskaita, jam pačiam neįvykdžius šio nurodymo, ji daugiau nei metus po galutinio teismo sprendimo susilaikė nuo tokių veiksmų.</w:t>
      </w:r>
    </w:p>
    <w:p w14:paraId="12F62BDA"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Teismas atsižvelgė į pareiškėjo sunkią padėtį dėl jo amžiaus, </w:t>
      </w:r>
      <w:r w:rsidRPr="0025732F">
        <w:rPr>
          <w:rFonts w:cstheme="minorHAnsi"/>
          <w:iCs/>
        </w:rPr>
        <w:t xml:space="preserve">blogos sveikatos būklės ir mažų pajamų. Tačiau nurodė, kad </w:t>
      </w:r>
      <w:r w:rsidRPr="0025732F">
        <w:rPr>
          <w:rFonts w:cstheme="minorHAnsi"/>
        </w:rPr>
        <w:t xml:space="preserve">nacionaliniai teismai įvertino pareiškėjo interesus bendro intereso išsaugoti miškus bei aplinką kontekste ir nusprendė, jog </w:t>
      </w:r>
      <w:r w:rsidRPr="001A29C4">
        <w:rPr>
          <w:rFonts w:cstheme="minorHAnsi"/>
          <w:u w:val="single"/>
        </w:rPr>
        <w:t>nei pareiškėjo amžiui, nei kitoms jo asmeninėms aplinkybėms negalima suteikti lemiamos reikšmės, atsižvelgiant į tai, kad jis sąmoningai pastatė namą saugomoje teritorijoje be leidimo</w:t>
      </w:r>
      <w:r w:rsidRPr="0025732F">
        <w:rPr>
          <w:rFonts w:cstheme="minorHAnsi"/>
        </w:rPr>
        <w:t>.</w:t>
      </w:r>
    </w:p>
    <w:p w14:paraId="08FD0491" w14:textId="77777777" w:rsidR="009C6F4D" w:rsidRPr="0025732F" w:rsidRDefault="009C6F4D" w:rsidP="009C6F4D">
      <w:pPr>
        <w:spacing w:after="0" w:line="240" w:lineRule="auto"/>
        <w:ind w:firstLine="567"/>
        <w:jc w:val="both"/>
        <w:rPr>
          <w:rFonts w:cstheme="minorHAnsi"/>
        </w:rPr>
      </w:pPr>
      <w:r w:rsidRPr="0025732F">
        <w:rPr>
          <w:rFonts w:cstheme="minorHAnsi"/>
        </w:rPr>
        <w:t xml:space="preserve">Teismo įsitikinimu, nacionalinės valdžios institucijos įvertino visas reikšmingas aplinkybes ir tinkamai atsižvelgė į pareiškėjo argumentus dėl jo individualios padėties (palyginimui žr. 2009 m. sausio 15 d. sprendimo </w:t>
      </w:r>
      <w:r w:rsidRPr="0025732F">
        <w:rPr>
          <w:rFonts w:cstheme="minorHAnsi"/>
          <w:i/>
        </w:rPr>
        <w:t>Ćosić prieš Kroatiją</w:t>
      </w:r>
      <w:r w:rsidRPr="0025732F">
        <w:rPr>
          <w:rFonts w:cstheme="minorHAnsi"/>
        </w:rPr>
        <w:t xml:space="preserve">, pareiškimo Nr. 28261/06, 21 punktą; taip pat sprendimo </w:t>
      </w:r>
      <w:r w:rsidRPr="0025732F">
        <w:rPr>
          <w:rFonts w:cstheme="minorHAnsi"/>
          <w:i/>
        </w:rPr>
        <w:t>Ivanova ir Cherkezov</w:t>
      </w:r>
      <w:r w:rsidRPr="0025732F">
        <w:rPr>
          <w:rFonts w:cstheme="minorHAnsi"/>
        </w:rPr>
        <w:t xml:space="preserve"> 56 punktą). Todėl Teismas sprendė, kad nėra pagrindo konstatuoti, jog valstybė peržengė jai pagal Konvencijos 8 straipsnį suteiktą vertinimo laisvę (žr. 2013 m. spalio 17 d. sprendimo </w:t>
      </w:r>
      <w:r w:rsidRPr="0025732F">
        <w:rPr>
          <w:rFonts w:cstheme="minorHAnsi"/>
          <w:i/>
        </w:rPr>
        <w:t>Winterstein ir kiti prieš Prancūziją</w:t>
      </w:r>
      <w:r w:rsidRPr="0025732F">
        <w:rPr>
          <w:rFonts w:cstheme="minorHAnsi"/>
        </w:rPr>
        <w:t>, pareiškimo Nr. 27013/07, 148 punktą).</w:t>
      </w:r>
    </w:p>
    <w:p w14:paraId="6DA4F541" w14:textId="77777777" w:rsidR="009C6F4D" w:rsidRPr="0025732F" w:rsidRDefault="009C6F4D" w:rsidP="009C6F4D">
      <w:pPr>
        <w:spacing w:after="0" w:line="240" w:lineRule="auto"/>
        <w:ind w:firstLine="567"/>
        <w:jc w:val="both"/>
        <w:rPr>
          <w:rStyle w:val="tlid-translation"/>
          <w:rFonts w:cstheme="minorHAnsi"/>
        </w:rPr>
      </w:pPr>
    </w:p>
    <w:p w14:paraId="6C61C2DC" w14:textId="77777777" w:rsidR="009C6F4D" w:rsidRPr="0025732F" w:rsidRDefault="009C6F4D" w:rsidP="009C6F4D">
      <w:pPr>
        <w:spacing w:after="0" w:line="240" w:lineRule="auto"/>
        <w:ind w:firstLine="567"/>
        <w:jc w:val="both"/>
        <w:rPr>
          <w:rFonts w:cstheme="minorHAnsi"/>
        </w:rPr>
      </w:pPr>
      <w:r w:rsidRPr="0025732F">
        <w:rPr>
          <w:rFonts w:cstheme="minorHAnsi"/>
        </w:rPr>
        <w:t>Išvada: Konvencijos 8 straipsnio pažeidimas nenustatytas (vienbalsiai).</w:t>
      </w:r>
    </w:p>
    <w:p w14:paraId="711E74DF" w14:textId="355B1686" w:rsidR="00472F87" w:rsidRPr="009C6F4D" w:rsidRDefault="006922FB" w:rsidP="009C6F4D">
      <w:pPr>
        <w:ind w:firstLine="567"/>
        <w:rPr>
          <w:rFonts w:cstheme="minorHAnsi"/>
          <w:color w:val="0000FF"/>
          <w:u w:val="single"/>
        </w:rPr>
      </w:pPr>
      <w:hyperlink r:id="rId19" w:history="1">
        <w:r w:rsidR="009C6F4D" w:rsidRPr="0025732F">
          <w:rPr>
            <w:rStyle w:val="Hipersaitas"/>
            <w:rFonts w:cstheme="minorHAnsi"/>
          </w:rPr>
          <w:t>Prieiga internete</w:t>
        </w:r>
      </w:hyperlink>
    </w:p>
    <w:p w14:paraId="7EA6540C" w14:textId="18C02ABD" w:rsidR="009A31A7" w:rsidRPr="0025732F" w:rsidRDefault="009A31A7" w:rsidP="003C3579">
      <w:pPr>
        <w:pStyle w:val="Antrat1"/>
        <w:rPr>
          <w:rFonts w:eastAsia="Times New Roman" w:cstheme="minorHAnsi"/>
          <w:szCs w:val="22"/>
        </w:rPr>
      </w:pPr>
      <w:bookmarkStart w:id="29" w:name="_Toc72932281"/>
      <w:r w:rsidRPr="0025732F">
        <w:rPr>
          <w:rFonts w:eastAsia="Times New Roman" w:cstheme="minorHAnsi"/>
          <w:szCs w:val="22"/>
        </w:rPr>
        <w:t>PROCEDŪRINĖS GARANTIJOS UŽSIENIEČIŲ IŠSIUNTIMO ATVEJU (</w:t>
      </w:r>
      <w:r w:rsidR="009B0BCB" w:rsidRPr="009B0BCB">
        <w:rPr>
          <w:rFonts w:eastAsia="Times New Roman" w:cstheme="minorHAnsi"/>
          <w:szCs w:val="22"/>
        </w:rPr>
        <w:t>P</w:t>
      </w:r>
      <w:r w:rsidR="004B1919" w:rsidRPr="009B0BCB">
        <w:rPr>
          <w:rFonts w:eastAsia="Times New Roman" w:cstheme="minorHAnsi"/>
          <w:szCs w:val="22"/>
        </w:rPr>
        <w:t>rotokolo</w:t>
      </w:r>
      <w:r w:rsidR="009B0BCB" w:rsidRPr="009B0BCB">
        <w:rPr>
          <w:rFonts w:eastAsia="Times New Roman" w:cstheme="minorHAnsi"/>
          <w:szCs w:val="22"/>
        </w:rPr>
        <w:t xml:space="preserve"> Nr. 7</w:t>
      </w:r>
      <w:r w:rsidR="004B1919" w:rsidRPr="009B0BCB">
        <w:rPr>
          <w:rFonts w:eastAsia="Times New Roman" w:cstheme="minorHAnsi"/>
          <w:szCs w:val="22"/>
        </w:rPr>
        <w:t xml:space="preserve"> </w:t>
      </w:r>
      <w:r w:rsidRPr="009B0BCB">
        <w:rPr>
          <w:rFonts w:eastAsia="Times New Roman" w:cstheme="minorHAnsi"/>
          <w:szCs w:val="22"/>
        </w:rPr>
        <w:t xml:space="preserve">1 </w:t>
      </w:r>
      <w:r w:rsidR="004B1919" w:rsidRPr="009B0BCB">
        <w:rPr>
          <w:rFonts w:eastAsia="Times New Roman" w:cstheme="minorHAnsi"/>
          <w:szCs w:val="22"/>
        </w:rPr>
        <w:t>straipsnis</w:t>
      </w:r>
      <w:r w:rsidRPr="0025732F">
        <w:rPr>
          <w:rFonts w:eastAsia="Times New Roman" w:cstheme="minorHAnsi"/>
          <w:szCs w:val="22"/>
        </w:rPr>
        <w:t>)</w:t>
      </w:r>
      <w:bookmarkEnd w:id="29"/>
    </w:p>
    <w:p w14:paraId="4DF340FA" w14:textId="77777777" w:rsidR="009A31A7" w:rsidRPr="0025732F" w:rsidRDefault="009A31A7" w:rsidP="009A31A7">
      <w:pPr>
        <w:spacing w:after="0" w:line="240" w:lineRule="auto"/>
        <w:jc w:val="both"/>
        <w:rPr>
          <w:rFonts w:eastAsia="Calibri" w:cstheme="minorHAnsi"/>
        </w:rPr>
      </w:pPr>
    </w:p>
    <w:p w14:paraId="081090F6" w14:textId="077E647C" w:rsidR="009A31A7" w:rsidRPr="0025732F" w:rsidRDefault="009A31A7" w:rsidP="009A31A7">
      <w:pPr>
        <w:shd w:val="clear" w:color="auto" w:fill="FFFFFF"/>
        <w:spacing w:after="0" w:line="240" w:lineRule="auto"/>
        <w:jc w:val="center"/>
        <w:rPr>
          <w:rFonts w:eastAsia="Times New Roman" w:cstheme="minorHAnsi"/>
          <w:b/>
        </w:rPr>
      </w:pPr>
      <w:bookmarkStart w:id="30" w:name="_Hlk65769628"/>
      <w:r w:rsidRPr="0025732F">
        <w:rPr>
          <w:rFonts w:eastAsia="Times New Roman" w:cstheme="minorHAnsi"/>
          <w:b/>
        </w:rPr>
        <w:t xml:space="preserve">Europos Žmogaus Teisių Teismo </w:t>
      </w:r>
      <w:r w:rsidR="009C6F4D">
        <w:rPr>
          <w:rFonts w:eastAsia="Times New Roman" w:cstheme="minorHAnsi"/>
          <w:b/>
        </w:rPr>
        <w:t>d</w:t>
      </w:r>
      <w:r w:rsidRPr="0025732F">
        <w:rPr>
          <w:rFonts w:eastAsia="Times New Roman" w:cstheme="minorHAnsi"/>
          <w:b/>
        </w:rPr>
        <w:t xml:space="preserve">idžiosios </w:t>
      </w:r>
      <w:r w:rsidR="009C6F4D">
        <w:rPr>
          <w:rFonts w:eastAsia="Times New Roman" w:cstheme="minorHAnsi"/>
          <w:b/>
        </w:rPr>
        <w:t>k</w:t>
      </w:r>
      <w:r w:rsidRPr="0025732F">
        <w:rPr>
          <w:rFonts w:eastAsia="Times New Roman" w:cstheme="minorHAnsi"/>
          <w:b/>
        </w:rPr>
        <w:t>olegijos 2020 m. spalio 15 d. sprendimas byloje</w:t>
      </w:r>
    </w:p>
    <w:p w14:paraId="7E95F48C" w14:textId="77777777" w:rsidR="009A31A7" w:rsidRPr="0025732F" w:rsidRDefault="009A31A7" w:rsidP="009C6F4D">
      <w:pPr>
        <w:pStyle w:val="Antrat2"/>
        <w:ind w:firstLine="0"/>
        <w:jc w:val="center"/>
        <w:rPr>
          <w:rFonts w:eastAsia="Calibri" w:cstheme="minorHAnsi"/>
          <w:i/>
          <w:iCs w:val="0"/>
        </w:rPr>
      </w:pPr>
      <w:bookmarkStart w:id="31" w:name="_Toc35601479"/>
      <w:bookmarkStart w:id="32" w:name="_Toc72932282"/>
      <w:r w:rsidRPr="0025732F">
        <w:rPr>
          <w:rFonts w:eastAsia="Calibri" w:cstheme="minorHAnsi"/>
          <w:i/>
          <w:iCs w:val="0"/>
        </w:rPr>
        <w:t>Muhammad ir Muhammad prieš Rumuniją</w:t>
      </w:r>
      <w:bookmarkEnd w:id="31"/>
      <w:bookmarkEnd w:id="32"/>
    </w:p>
    <w:p w14:paraId="59D38E20" w14:textId="09C1F2DA" w:rsidR="009A31A7" w:rsidRPr="0025732F" w:rsidRDefault="009A31A7" w:rsidP="009A31A7">
      <w:pPr>
        <w:shd w:val="clear" w:color="auto" w:fill="FFFFFF"/>
        <w:spacing w:after="0" w:line="240" w:lineRule="auto"/>
        <w:jc w:val="center"/>
        <w:rPr>
          <w:rFonts w:eastAsia="Times New Roman" w:cstheme="minorHAnsi"/>
          <w:b/>
        </w:rPr>
      </w:pPr>
      <w:r w:rsidRPr="0025732F">
        <w:rPr>
          <w:rFonts w:eastAsia="Times New Roman" w:cstheme="minorHAnsi"/>
          <w:b/>
        </w:rPr>
        <w:t>(pareiškimo Nr. 80982/12</w:t>
      </w:r>
      <w:r w:rsidRPr="0025732F">
        <w:rPr>
          <w:rFonts w:eastAsia="Calibri" w:cstheme="minorHAnsi"/>
          <w:b/>
        </w:rPr>
        <w:t xml:space="preserve">, svarbos lygis – </w:t>
      </w:r>
      <w:r w:rsidR="009B0BCB">
        <w:rPr>
          <w:rFonts w:eastAsia="Calibri" w:cstheme="minorHAnsi"/>
          <w:b/>
        </w:rPr>
        <w:t>Svarbiausios bylos</w:t>
      </w:r>
      <w:r w:rsidRPr="0025732F">
        <w:rPr>
          <w:rFonts w:eastAsia="Times New Roman" w:cstheme="minorHAnsi"/>
          <w:b/>
        </w:rPr>
        <w:t>)</w:t>
      </w:r>
    </w:p>
    <w:p w14:paraId="240057CA" w14:textId="77777777" w:rsidR="009A31A7" w:rsidRPr="0025732F" w:rsidRDefault="009A31A7" w:rsidP="009A31A7">
      <w:pPr>
        <w:shd w:val="clear" w:color="auto" w:fill="FFFFFF"/>
        <w:spacing w:after="0" w:line="240" w:lineRule="auto"/>
        <w:ind w:firstLine="567"/>
        <w:jc w:val="both"/>
        <w:rPr>
          <w:rFonts w:eastAsia="Times New Roman" w:cstheme="minorHAnsi"/>
          <w:b/>
          <w:bCs/>
          <w:color w:val="000000"/>
        </w:rPr>
      </w:pPr>
    </w:p>
    <w:p w14:paraId="3C34A505" w14:textId="77777777" w:rsidR="009A31A7" w:rsidRPr="0025732F" w:rsidRDefault="009A31A7" w:rsidP="004C403F">
      <w:pPr>
        <w:pStyle w:val="Antrat3"/>
        <w:ind w:firstLine="567"/>
        <w:jc w:val="both"/>
        <w:rPr>
          <w:rFonts w:eastAsia="Calibri" w:cstheme="minorHAnsi"/>
          <w:szCs w:val="22"/>
        </w:rPr>
      </w:pPr>
      <w:bookmarkStart w:id="33" w:name="_Toc72932283"/>
      <w:r w:rsidRPr="0025732F">
        <w:rPr>
          <w:rFonts w:eastAsia="Calibri" w:cstheme="minorHAnsi"/>
          <w:szCs w:val="22"/>
        </w:rPr>
        <w:t>Dėl išsiuntimo iš šalies nacionalinio saugumo pagrindais, kai teismas nusprendžia remdamasis įslaptinta informacija, kuri neatskleidžiama pareiškėjams</w:t>
      </w:r>
      <w:bookmarkEnd w:id="33"/>
    </w:p>
    <w:p w14:paraId="4AAB72FA" w14:textId="77777777" w:rsidR="009A31A7" w:rsidRPr="0025732F" w:rsidRDefault="009A31A7" w:rsidP="009A31A7">
      <w:pPr>
        <w:spacing w:after="0" w:line="240" w:lineRule="auto"/>
        <w:ind w:firstLine="567"/>
        <w:jc w:val="both"/>
        <w:rPr>
          <w:rFonts w:eastAsia="Calibri" w:cstheme="minorHAnsi"/>
        </w:rPr>
      </w:pPr>
    </w:p>
    <w:p w14:paraId="2E66C992" w14:textId="77777777" w:rsidR="009A31A7" w:rsidRPr="0025732F" w:rsidRDefault="009A31A7" w:rsidP="009A31A7">
      <w:pPr>
        <w:shd w:val="clear" w:color="auto" w:fill="FFFFFF"/>
        <w:spacing w:after="0" w:line="240" w:lineRule="auto"/>
        <w:jc w:val="center"/>
        <w:rPr>
          <w:rFonts w:eastAsia="Times New Roman" w:cstheme="minorHAnsi"/>
          <w:b/>
          <w:bCs/>
          <w:color w:val="000000"/>
        </w:rPr>
      </w:pPr>
      <w:r w:rsidRPr="0025732F">
        <w:rPr>
          <w:rFonts w:eastAsia="Times New Roman" w:cstheme="minorHAnsi"/>
          <w:b/>
          <w:bCs/>
          <w:color w:val="000000"/>
        </w:rPr>
        <w:t>Faktinės aplinkybės</w:t>
      </w:r>
    </w:p>
    <w:p w14:paraId="384FBD55" w14:textId="77777777" w:rsidR="009A31A7" w:rsidRPr="0025732F" w:rsidRDefault="009A31A7" w:rsidP="009A31A7">
      <w:pPr>
        <w:spacing w:after="0" w:line="240" w:lineRule="auto"/>
        <w:ind w:firstLine="567"/>
        <w:jc w:val="both"/>
        <w:rPr>
          <w:rFonts w:eastAsia="Calibri" w:cstheme="minorHAnsi"/>
        </w:rPr>
      </w:pPr>
    </w:p>
    <w:p w14:paraId="661F30CE" w14:textId="4C70AB3D" w:rsidR="009A31A7" w:rsidRPr="0025732F" w:rsidRDefault="009A31A7" w:rsidP="009A31A7">
      <w:pPr>
        <w:spacing w:after="0" w:line="240" w:lineRule="auto"/>
        <w:ind w:firstLine="567"/>
        <w:jc w:val="both"/>
        <w:rPr>
          <w:rFonts w:eastAsia="Calibri" w:cstheme="minorHAnsi"/>
        </w:rPr>
      </w:pPr>
      <w:r w:rsidRPr="0025732F">
        <w:rPr>
          <w:rFonts w:eastAsia="Calibri" w:cstheme="minorHAnsi"/>
        </w:rPr>
        <w:lastRenderedPageBreak/>
        <w:t xml:space="preserve">Pareiškėjai (Pakistano piliečiai, gyvenantys Rumunijoje </w:t>
      </w:r>
      <w:r w:rsidR="009C6F4D">
        <w:rPr>
          <w:rFonts w:eastAsia="Calibri" w:cstheme="minorHAnsi"/>
        </w:rPr>
        <w:t>turėdami</w:t>
      </w:r>
      <w:r w:rsidRPr="0025732F">
        <w:rPr>
          <w:rFonts w:eastAsia="Calibri" w:cstheme="minorHAnsi"/>
        </w:rPr>
        <w:t xml:space="preserve"> studentų vizas) buvo išsiųsti iš šalies nacionalinio saugumo pagrindais. Šis sprendimas buvo priimtas </w:t>
      </w:r>
      <w:bookmarkEnd w:id="30"/>
      <w:r w:rsidRPr="0025732F">
        <w:rPr>
          <w:rFonts w:eastAsia="Calibri" w:cstheme="minorHAnsi"/>
        </w:rPr>
        <w:t xml:space="preserve">remiantis įslaptintais dokumentais, </w:t>
      </w:r>
      <w:r w:rsidR="009C6F4D">
        <w:rPr>
          <w:rFonts w:eastAsia="Calibri" w:cstheme="minorHAnsi"/>
        </w:rPr>
        <w:t>su kuriais susipažinti</w:t>
      </w:r>
      <w:r w:rsidRPr="0025732F">
        <w:rPr>
          <w:rFonts w:eastAsia="Calibri" w:cstheme="minorHAnsi"/>
        </w:rPr>
        <w:t xml:space="preserve"> pareiškėjai neturėjo </w:t>
      </w:r>
      <w:r w:rsidR="009C6F4D">
        <w:rPr>
          <w:rFonts w:eastAsia="Calibri" w:cstheme="minorHAnsi"/>
        </w:rPr>
        <w:t>galimybės</w:t>
      </w:r>
      <w:r w:rsidRPr="0025732F">
        <w:rPr>
          <w:rFonts w:eastAsia="Calibri" w:cstheme="minorHAnsi"/>
        </w:rPr>
        <w:t>, taip pat jiems nebuvo pateikta konkreti informacija, kokiais faktais ir pagrindais remiantis buvo priimtas t</w:t>
      </w:r>
      <w:r w:rsidR="009C6F4D">
        <w:rPr>
          <w:rFonts w:eastAsia="Calibri" w:cstheme="minorHAnsi"/>
        </w:rPr>
        <w:t>oks</w:t>
      </w:r>
      <w:r w:rsidRPr="0025732F">
        <w:rPr>
          <w:rFonts w:eastAsia="Calibri" w:cstheme="minorHAnsi"/>
        </w:rPr>
        <w:t xml:space="preserve"> sprendimas. </w:t>
      </w:r>
    </w:p>
    <w:p w14:paraId="55A04140" w14:textId="77777777" w:rsidR="009A31A7" w:rsidRPr="0025732F" w:rsidRDefault="009A31A7" w:rsidP="009A31A7">
      <w:pPr>
        <w:spacing w:after="0" w:line="240" w:lineRule="auto"/>
        <w:ind w:firstLine="720"/>
        <w:jc w:val="both"/>
        <w:rPr>
          <w:rFonts w:cstheme="minorHAnsi"/>
          <w:b/>
          <w:bCs/>
          <w:i/>
          <w:iCs/>
        </w:rPr>
      </w:pPr>
    </w:p>
    <w:p w14:paraId="7FF41C19" w14:textId="77777777" w:rsidR="009A31A7" w:rsidRPr="0025732F" w:rsidRDefault="009A31A7" w:rsidP="009A31A7">
      <w:pPr>
        <w:spacing w:after="0" w:line="240" w:lineRule="auto"/>
        <w:jc w:val="center"/>
        <w:rPr>
          <w:rFonts w:cstheme="minorHAnsi"/>
          <w:b/>
          <w:bCs/>
        </w:rPr>
      </w:pPr>
      <w:r w:rsidRPr="0025732F">
        <w:rPr>
          <w:rFonts w:cstheme="minorHAnsi"/>
          <w:b/>
          <w:bCs/>
        </w:rPr>
        <w:t>Neoficiali Teismo sprendimo apžvalga</w:t>
      </w:r>
    </w:p>
    <w:p w14:paraId="52E6E1D8" w14:textId="77777777" w:rsidR="009A31A7" w:rsidRPr="0025732F" w:rsidRDefault="009A31A7" w:rsidP="009A31A7">
      <w:pPr>
        <w:spacing w:after="0" w:line="240" w:lineRule="auto"/>
        <w:jc w:val="both"/>
        <w:rPr>
          <w:rFonts w:cstheme="minorHAnsi"/>
          <w:i/>
          <w:iCs/>
        </w:rPr>
      </w:pPr>
    </w:p>
    <w:p w14:paraId="7E72F18F" w14:textId="0845E502" w:rsidR="009A31A7" w:rsidRPr="0025732F" w:rsidRDefault="009C6F4D" w:rsidP="009A31A7">
      <w:pPr>
        <w:spacing w:after="0" w:line="240" w:lineRule="auto"/>
        <w:ind w:firstLine="567"/>
        <w:jc w:val="both"/>
        <w:rPr>
          <w:rFonts w:cstheme="minorHAnsi"/>
          <w:i/>
          <w:iCs/>
        </w:rPr>
      </w:pPr>
      <w:r>
        <w:rPr>
          <w:rFonts w:cstheme="minorHAnsi"/>
          <w:i/>
          <w:iCs/>
        </w:rPr>
        <w:t>Dėl b</w:t>
      </w:r>
      <w:r w:rsidR="009A31A7" w:rsidRPr="0025732F">
        <w:rPr>
          <w:rFonts w:cstheme="minorHAnsi"/>
          <w:i/>
          <w:iCs/>
        </w:rPr>
        <w:t>endr</w:t>
      </w:r>
      <w:r>
        <w:rPr>
          <w:rFonts w:cstheme="minorHAnsi"/>
          <w:i/>
          <w:iCs/>
        </w:rPr>
        <w:t>ųjų</w:t>
      </w:r>
      <w:r w:rsidR="009A31A7" w:rsidRPr="0025732F">
        <w:rPr>
          <w:rFonts w:cstheme="minorHAnsi"/>
          <w:i/>
          <w:iCs/>
        </w:rPr>
        <w:t xml:space="preserve"> princip</w:t>
      </w:r>
      <w:r>
        <w:rPr>
          <w:rFonts w:cstheme="minorHAnsi"/>
          <w:i/>
          <w:iCs/>
        </w:rPr>
        <w:t>ų taikymo</w:t>
      </w:r>
    </w:p>
    <w:p w14:paraId="1AA9EFD7" w14:textId="77777777" w:rsidR="009A31A7" w:rsidRPr="0025732F" w:rsidRDefault="009A31A7" w:rsidP="009A31A7">
      <w:pPr>
        <w:spacing w:after="0" w:line="240" w:lineRule="auto"/>
        <w:ind w:firstLine="720"/>
        <w:jc w:val="both"/>
        <w:rPr>
          <w:rFonts w:cstheme="minorHAnsi"/>
        </w:rPr>
      </w:pPr>
    </w:p>
    <w:p w14:paraId="0462CC5F" w14:textId="1850C2D2" w:rsidR="009A31A7" w:rsidRPr="0025732F" w:rsidRDefault="009A31A7" w:rsidP="009A31A7">
      <w:pPr>
        <w:spacing w:after="0" w:line="240" w:lineRule="auto"/>
        <w:ind w:firstLine="567"/>
        <w:jc w:val="both"/>
        <w:rPr>
          <w:rFonts w:cstheme="minorHAnsi"/>
          <w:i/>
          <w:iCs/>
        </w:rPr>
      </w:pPr>
      <w:r w:rsidRPr="0025732F">
        <w:rPr>
          <w:rFonts w:cstheme="minorHAnsi"/>
          <w:i/>
          <w:iCs/>
        </w:rPr>
        <w:t xml:space="preserve">a) Ar ir kokia apimtimi teisės, kuriomis remiasi pareiškėjai, yra saugomos </w:t>
      </w:r>
      <w:r w:rsidRPr="00D268DA">
        <w:rPr>
          <w:rFonts w:cstheme="minorHAnsi"/>
          <w:i/>
          <w:iCs/>
        </w:rPr>
        <w:t xml:space="preserve">pagal </w:t>
      </w:r>
      <w:r w:rsidR="009B0BCB" w:rsidRPr="00D268DA">
        <w:rPr>
          <w:rFonts w:cstheme="minorHAnsi"/>
          <w:i/>
          <w:iCs/>
        </w:rPr>
        <w:t>P</w:t>
      </w:r>
      <w:r w:rsidRPr="00D268DA">
        <w:rPr>
          <w:rFonts w:cstheme="minorHAnsi"/>
          <w:i/>
          <w:iCs/>
        </w:rPr>
        <w:t>rotokolo</w:t>
      </w:r>
      <w:r w:rsidRPr="0025732F">
        <w:rPr>
          <w:rFonts w:cstheme="minorHAnsi"/>
          <w:i/>
          <w:iCs/>
        </w:rPr>
        <w:t xml:space="preserve"> </w:t>
      </w:r>
      <w:r w:rsidR="009B0BCB">
        <w:rPr>
          <w:rFonts w:cstheme="minorHAnsi"/>
          <w:i/>
          <w:iCs/>
        </w:rPr>
        <w:t xml:space="preserve">Nr. 7 </w:t>
      </w:r>
      <w:r w:rsidRPr="0025732F">
        <w:rPr>
          <w:rFonts w:cstheme="minorHAnsi"/>
          <w:i/>
          <w:iCs/>
        </w:rPr>
        <w:t>1 straipsnį</w:t>
      </w:r>
    </w:p>
    <w:p w14:paraId="5D471401" w14:textId="00FFF66D" w:rsidR="009A31A7" w:rsidRPr="0025732F" w:rsidRDefault="009A31A7" w:rsidP="009A31A7">
      <w:pPr>
        <w:spacing w:after="0" w:line="240" w:lineRule="auto"/>
        <w:ind w:firstLine="567"/>
        <w:jc w:val="both"/>
        <w:rPr>
          <w:rFonts w:cstheme="minorHAnsi"/>
        </w:rPr>
      </w:pPr>
      <w:r w:rsidRPr="0025732F">
        <w:rPr>
          <w:rFonts w:cstheme="minorHAnsi"/>
        </w:rPr>
        <w:t xml:space="preserve">Pagal </w:t>
      </w:r>
      <w:r w:rsidR="009B0BCB">
        <w:rPr>
          <w:rFonts w:cstheme="minorHAnsi"/>
        </w:rPr>
        <w:t>Protokolo Nr. 7</w:t>
      </w:r>
      <w:r w:rsidRPr="0025732F">
        <w:rPr>
          <w:rFonts w:cstheme="minorHAnsi"/>
        </w:rPr>
        <w:t xml:space="preserve"> 1 straipsnio 1 dalį iš principo reikalaujama, pirmiausia, kad atitinkami užsieniečiai būtų informuoti apie faktines aplinkybes, dėl kurių nacionalinės institucijos nusprendė, kad jie kelia grėsmę nacionaliniam saugumui, ir, antra, kad jiems būtų suteikta prieiga prie dokumentų turinio ir bylos duomenų, kuriais remdamosi nacionalinės institucijos nusprendė dėl jų išsiuntimo. Minėta prieiga turėtų būti suteikta, pageidautina, raštu ir bet kuriuo atveju tokiu būdu, kuris leistų veiksmingą gynybą, nepažeidžiant galimybės tokiai informacijai nustatyti tinkamai pagrįstus ribojimus, jei tai yra būtina.</w:t>
      </w:r>
    </w:p>
    <w:p w14:paraId="0AD74CBF" w14:textId="77777777" w:rsidR="009A31A7" w:rsidRPr="0025732F" w:rsidRDefault="009A31A7" w:rsidP="009A31A7">
      <w:pPr>
        <w:spacing w:after="0" w:line="240" w:lineRule="auto"/>
        <w:ind w:firstLine="720"/>
        <w:jc w:val="both"/>
        <w:rPr>
          <w:rFonts w:cstheme="minorHAnsi"/>
        </w:rPr>
      </w:pPr>
    </w:p>
    <w:p w14:paraId="00A801D3" w14:textId="4E171FD8" w:rsidR="009A31A7" w:rsidRPr="0025732F" w:rsidRDefault="009A31A7" w:rsidP="009A31A7">
      <w:pPr>
        <w:spacing w:after="0" w:line="240" w:lineRule="auto"/>
        <w:ind w:firstLine="567"/>
        <w:jc w:val="both"/>
        <w:rPr>
          <w:rFonts w:cstheme="minorHAnsi"/>
          <w:i/>
          <w:iCs/>
        </w:rPr>
      </w:pPr>
      <w:r w:rsidRPr="0025732F">
        <w:rPr>
          <w:rFonts w:cstheme="minorHAnsi"/>
          <w:i/>
          <w:iCs/>
        </w:rPr>
        <w:t>b) Leidžiami šių procedūrinių teisių ribojimai</w:t>
      </w:r>
    </w:p>
    <w:p w14:paraId="485AA53D" w14:textId="0EF29C4E" w:rsidR="009A31A7" w:rsidRPr="0025732F" w:rsidRDefault="009A31A7" w:rsidP="009A31A7">
      <w:pPr>
        <w:spacing w:after="0" w:line="240" w:lineRule="auto"/>
        <w:ind w:firstLine="567"/>
        <w:jc w:val="both"/>
        <w:rPr>
          <w:rFonts w:cstheme="minorHAnsi"/>
        </w:rPr>
      </w:pPr>
      <w:r w:rsidRPr="0025732F">
        <w:rPr>
          <w:rFonts w:cstheme="minorHAnsi"/>
        </w:rPr>
        <w:t>Nepaisant kovos su terorizmu svarbos, bet kokie ginčijamų teisių ribojimai</w:t>
      </w:r>
      <w:r w:rsidR="00C81B63" w:rsidRPr="0025732F">
        <w:rPr>
          <w:rFonts w:cstheme="minorHAnsi"/>
        </w:rPr>
        <w:t xml:space="preserve">, pažeisdami saugiklių, įtvirtintų šioje nuostatoje, esmę, </w:t>
      </w:r>
      <w:r w:rsidRPr="0025732F">
        <w:rPr>
          <w:rFonts w:cstheme="minorHAnsi"/>
        </w:rPr>
        <w:t xml:space="preserve">negali paneigti procedūrinės apsaugos, kurią garantuoja </w:t>
      </w:r>
      <w:r w:rsidR="009B0BCB">
        <w:rPr>
          <w:rFonts w:cstheme="minorHAnsi"/>
        </w:rPr>
        <w:t>Protokolo Nr. 7</w:t>
      </w:r>
      <w:r w:rsidRPr="0025732F">
        <w:rPr>
          <w:rFonts w:cstheme="minorHAnsi"/>
        </w:rPr>
        <w:t xml:space="preserve"> 1 straipsnis</w:t>
      </w:r>
      <w:r w:rsidR="00C81B63" w:rsidRPr="0025732F">
        <w:rPr>
          <w:rFonts w:cstheme="minorHAnsi"/>
        </w:rPr>
        <w:t xml:space="preserve">. </w:t>
      </w:r>
      <w:r w:rsidRPr="0025732F">
        <w:rPr>
          <w:rFonts w:cstheme="minorHAnsi"/>
        </w:rPr>
        <w:t>Net ir ribojimų atveju užsieniečiui privalo būti suteikta veiksminga galimybė nurodyti priežastis, dėl kurių jis neturėtų būti išsiųstas, ir jis privalo būti apsaugotas nuo bet kokio savavališkumo.</w:t>
      </w:r>
    </w:p>
    <w:p w14:paraId="3A8D403D" w14:textId="77777777" w:rsidR="00C81B63" w:rsidRPr="0025732F" w:rsidRDefault="00C81B63" w:rsidP="009A31A7">
      <w:pPr>
        <w:spacing w:after="0" w:line="240" w:lineRule="auto"/>
        <w:ind w:firstLine="567"/>
        <w:jc w:val="both"/>
        <w:rPr>
          <w:rFonts w:cstheme="minorHAnsi"/>
        </w:rPr>
      </w:pPr>
    </w:p>
    <w:p w14:paraId="0AA3DCAF" w14:textId="4EAA7883" w:rsidR="009A31A7" w:rsidRPr="009C6F4D" w:rsidRDefault="009A31A7" w:rsidP="009A31A7">
      <w:pPr>
        <w:spacing w:after="0" w:line="240" w:lineRule="auto"/>
        <w:ind w:firstLine="567"/>
        <w:jc w:val="both"/>
        <w:rPr>
          <w:rFonts w:cstheme="minorHAnsi"/>
          <w:i/>
          <w:iCs/>
        </w:rPr>
      </w:pPr>
      <w:r w:rsidRPr="009C6F4D">
        <w:rPr>
          <w:rFonts w:cstheme="minorHAnsi"/>
          <w:i/>
          <w:iCs/>
        </w:rPr>
        <w:t xml:space="preserve">c) Kriterijai, į kuriuos reikia atsižvelgti sprendžiant dėl šių teisių ribojimo atitikties </w:t>
      </w:r>
      <w:r w:rsidR="009B0BCB">
        <w:rPr>
          <w:rFonts w:cstheme="minorHAnsi"/>
          <w:i/>
          <w:iCs/>
        </w:rPr>
        <w:t>Protokolo Nr. 7</w:t>
      </w:r>
      <w:r w:rsidRPr="009C6F4D">
        <w:rPr>
          <w:rFonts w:cstheme="minorHAnsi"/>
          <w:i/>
          <w:iCs/>
        </w:rPr>
        <w:t xml:space="preserve"> 1 straipsniui </w:t>
      </w:r>
    </w:p>
    <w:p w14:paraId="4B55E0B1" w14:textId="6DD2FDAF" w:rsidR="009A31A7" w:rsidRPr="0025732F" w:rsidRDefault="009A31A7" w:rsidP="009A31A7">
      <w:pPr>
        <w:spacing w:after="0" w:line="240" w:lineRule="auto"/>
        <w:ind w:firstLine="567"/>
        <w:jc w:val="both"/>
        <w:rPr>
          <w:rFonts w:cstheme="minorHAnsi"/>
        </w:rPr>
      </w:pPr>
      <w:r w:rsidRPr="0025732F">
        <w:rPr>
          <w:rFonts w:cstheme="minorHAnsi"/>
        </w:rPr>
        <w:t>Konvencijos 5 ir 6 straipsnių taikymo praktika atskleidžia naudingas nuorodas</w:t>
      </w:r>
      <w:r w:rsidR="007D1963" w:rsidRPr="0025732F">
        <w:rPr>
          <w:rFonts w:cstheme="minorHAnsi"/>
        </w:rPr>
        <w:t xml:space="preserve">, kuriomis reikia </w:t>
      </w:r>
      <w:r w:rsidRPr="0025732F">
        <w:rPr>
          <w:rFonts w:cstheme="minorHAnsi"/>
        </w:rPr>
        <w:t>sekti</w:t>
      </w:r>
      <w:r w:rsidR="007D1963" w:rsidRPr="0025732F">
        <w:rPr>
          <w:rFonts w:cstheme="minorHAnsi"/>
        </w:rPr>
        <w:t xml:space="preserve">, </w:t>
      </w:r>
      <w:r w:rsidRPr="0025732F">
        <w:rPr>
          <w:rFonts w:cstheme="minorHAnsi"/>
        </w:rPr>
        <w:t xml:space="preserve">vertinant </w:t>
      </w:r>
      <w:r w:rsidR="009B0BCB">
        <w:rPr>
          <w:rFonts w:cstheme="minorHAnsi"/>
        </w:rPr>
        <w:t>Protokolo Nr. 7</w:t>
      </w:r>
      <w:r w:rsidRPr="0025732F">
        <w:rPr>
          <w:rFonts w:cstheme="minorHAnsi"/>
        </w:rPr>
        <w:t xml:space="preserve"> 1 straipsnyje garantuojamų teisių ribojimus, nors procedūrinių saugiklių apimtis pagal pastarąją nuostatą nebūtinai turėtų būti tokia pati. </w:t>
      </w:r>
    </w:p>
    <w:p w14:paraId="3899CC34" w14:textId="0A7D9EA2" w:rsidR="009A31A7" w:rsidRPr="0025732F" w:rsidRDefault="009A31A7" w:rsidP="009A31A7">
      <w:pPr>
        <w:spacing w:after="0" w:line="240" w:lineRule="auto"/>
        <w:ind w:firstLine="567"/>
        <w:jc w:val="both"/>
        <w:rPr>
          <w:rFonts w:cstheme="minorHAnsi"/>
        </w:rPr>
      </w:pPr>
      <w:r w:rsidRPr="0025732F">
        <w:rPr>
          <w:rFonts w:cstheme="minorHAnsi"/>
        </w:rPr>
        <w:t>Pirmiausia turi būti patikrinta, ar užsieniečio procedūrinių teisių ribojimai buvo tinkamai pagrįsti kompetentingos nepriklausomos institucijos, atsižvelgiant į konkre</w:t>
      </w:r>
      <w:r w:rsidR="007D1963" w:rsidRPr="0025732F">
        <w:rPr>
          <w:rFonts w:cstheme="minorHAnsi"/>
        </w:rPr>
        <w:t xml:space="preserve">tų </w:t>
      </w:r>
      <w:r w:rsidRPr="0025732F">
        <w:rPr>
          <w:rFonts w:cstheme="minorHAnsi"/>
        </w:rPr>
        <w:t>atvej</w:t>
      </w:r>
      <w:r w:rsidR="007D1963" w:rsidRPr="0025732F">
        <w:rPr>
          <w:rFonts w:cstheme="minorHAnsi"/>
        </w:rPr>
        <w:t>į</w:t>
      </w:r>
      <w:r w:rsidRPr="0025732F">
        <w:rPr>
          <w:rFonts w:cstheme="minorHAnsi"/>
        </w:rPr>
        <w:t xml:space="preserve">. Jei taip, Teismas vertins, ar sunkumai, kylantys užsieniečiui dėl šių ribojimų, buvo pakankamai kompensuoti atsveriančiais veiksniais, ypač procedūriniais saugikliais, kurie apsaugotų atitinkamų teisių pačią esmę. Taigi tik ribojimai, kurie kiekvieno atvejo aplinkybėmis yra tinkamai pagrįsti ir turi pakankamą atsvarą, yra leidžiami </w:t>
      </w:r>
      <w:r w:rsidR="009B0BCB">
        <w:rPr>
          <w:rFonts w:cstheme="minorHAnsi"/>
        </w:rPr>
        <w:t>Protokolo Nr. 7</w:t>
      </w:r>
      <w:r w:rsidRPr="0025732F">
        <w:rPr>
          <w:rFonts w:cstheme="minorHAnsi"/>
        </w:rPr>
        <w:t xml:space="preserve"> 1 straipsnio kontekste. Tai nagrinėdamas</w:t>
      </w:r>
      <w:r w:rsidR="007D1963" w:rsidRPr="0025732F">
        <w:rPr>
          <w:rFonts w:cstheme="minorHAnsi"/>
        </w:rPr>
        <w:t>,</w:t>
      </w:r>
      <w:r w:rsidRPr="0025732F">
        <w:rPr>
          <w:rFonts w:cstheme="minorHAnsi"/>
        </w:rPr>
        <w:t xml:space="preserve"> Teismas atsižvelgia į konkretaus atvejo aplinkybes bei į proceso visumą.</w:t>
      </w:r>
    </w:p>
    <w:p w14:paraId="7F3BC1ED" w14:textId="77777777" w:rsidR="009A31A7" w:rsidRPr="0025732F" w:rsidRDefault="009A31A7" w:rsidP="009A31A7">
      <w:pPr>
        <w:spacing w:after="0" w:line="240" w:lineRule="auto"/>
        <w:ind w:firstLine="720"/>
        <w:jc w:val="both"/>
        <w:rPr>
          <w:rFonts w:cstheme="minorHAnsi"/>
        </w:rPr>
      </w:pPr>
    </w:p>
    <w:p w14:paraId="328B958A" w14:textId="7CA743DA" w:rsidR="009A31A7" w:rsidRPr="009C6F4D" w:rsidRDefault="009C6F4D" w:rsidP="009A31A7">
      <w:pPr>
        <w:spacing w:after="0" w:line="240" w:lineRule="auto"/>
        <w:ind w:firstLine="567"/>
        <w:jc w:val="both"/>
        <w:rPr>
          <w:rFonts w:cstheme="minorHAnsi"/>
          <w:i/>
          <w:iCs/>
        </w:rPr>
      </w:pPr>
      <w:r w:rsidRPr="009C6F4D">
        <w:rPr>
          <w:rFonts w:cstheme="minorHAnsi"/>
          <w:i/>
          <w:iCs/>
        </w:rPr>
        <w:t>d</w:t>
      </w:r>
      <w:r w:rsidR="009A31A7" w:rsidRPr="009C6F4D">
        <w:rPr>
          <w:rFonts w:cstheme="minorHAnsi"/>
          <w:i/>
          <w:iCs/>
        </w:rPr>
        <w:t>) Ar užsieniečio procedūrinių teisių ribojimai buvo tinkamai pagrįsti</w:t>
      </w:r>
    </w:p>
    <w:p w14:paraId="2FF48D1A" w14:textId="32DB9FC2" w:rsidR="009A31A7" w:rsidRPr="0025732F" w:rsidRDefault="009A31A7" w:rsidP="009A31A7">
      <w:pPr>
        <w:spacing w:after="0" w:line="240" w:lineRule="auto"/>
        <w:ind w:firstLine="567"/>
        <w:jc w:val="both"/>
        <w:rPr>
          <w:rFonts w:cstheme="minorHAnsi"/>
        </w:rPr>
      </w:pPr>
      <w:r w:rsidRPr="0025732F">
        <w:rPr>
          <w:rFonts w:cstheme="minorHAnsi"/>
        </w:rPr>
        <w:t>Nors gali būti pateisinamų priežasčių, tokių</w:t>
      </w:r>
      <w:r w:rsidR="009F54E4" w:rsidRPr="0025732F">
        <w:rPr>
          <w:rFonts w:cstheme="minorHAnsi"/>
        </w:rPr>
        <w:t>,</w:t>
      </w:r>
      <w:r w:rsidRPr="0025732F">
        <w:rPr>
          <w:rFonts w:cstheme="minorHAnsi"/>
        </w:rPr>
        <w:t xml:space="preserve"> kaip poreikis užtikrinti nacionalinį saugumą, nacionalinis vertinimas dėl poreikio </w:t>
      </w:r>
      <w:r w:rsidR="009F54E4" w:rsidRPr="0025732F">
        <w:rPr>
          <w:rFonts w:cstheme="minorHAnsi"/>
        </w:rPr>
        <w:t xml:space="preserve">riboti </w:t>
      </w:r>
      <w:r w:rsidRPr="0025732F">
        <w:rPr>
          <w:rFonts w:cstheme="minorHAnsi"/>
        </w:rPr>
        <w:t>turėtų būti apsaugotas nuo savavališk</w:t>
      </w:r>
      <w:r w:rsidR="009F54E4" w:rsidRPr="0025732F">
        <w:rPr>
          <w:rFonts w:cstheme="minorHAnsi"/>
        </w:rPr>
        <w:t>o elgesio</w:t>
      </w:r>
      <w:r w:rsidRPr="0025732F">
        <w:rPr>
          <w:rFonts w:cstheme="minorHAnsi"/>
        </w:rPr>
        <w:t>. Šiuo aspektu reikala</w:t>
      </w:r>
      <w:r w:rsidR="009F54E4" w:rsidRPr="0025732F">
        <w:rPr>
          <w:rFonts w:cstheme="minorHAnsi"/>
        </w:rPr>
        <w:t xml:space="preserve">ujama, kad </w:t>
      </w:r>
      <w:r w:rsidRPr="0025732F">
        <w:rPr>
          <w:rFonts w:cstheme="minorHAnsi"/>
        </w:rPr>
        <w:t>sprendim</w:t>
      </w:r>
      <w:r w:rsidR="009F54E4" w:rsidRPr="0025732F">
        <w:rPr>
          <w:rFonts w:cstheme="minorHAnsi"/>
        </w:rPr>
        <w:t xml:space="preserve">as, </w:t>
      </w:r>
      <w:r w:rsidRPr="0025732F">
        <w:rPr>
          <w:rFonts w:cstheme="minorHAnsi"/>
        </w:rPr>
        <w:t>nustatan</w:t>
      </w:r>
      <w:r w:rsidR="009F54E4" w:rsidRPr="0025732F">
        <w:rPr>
          <w:rFonts w:cstheme="minorHAnsi"/>
        </w:rPr>
        <w:t xml:space="preserve">tis </w:t>
      </w:r>
      <w:r w:rsidRPr="0025732F">
        <w:rPr>
          <w:rFonts w:cstheme="minorHAnsi"/>
        </w:rPr>
        <w:t>tokius ribojimus, būti tinkamai pagrįsta</w:t>
      </w:r>
      <w:r w:rsidR="009F54E4" w:rsidRPr="0025732F">
        <w:rPr>
          <w:rFonts w:cstheme="minorHAnsi"/>
        </w:rPr>
        <w:t xml:space="preserve">s, </w:t>
      </w:r>
      <w:r w:rsidRPr="0025732F">
        <w:rPr>
          <w:rFonts w:cstheme="minorHAnsi"/>
        </w:rPr>
        <w:t xml:space="preserve">ir ypač tuo atveju, jei tas pagrindimas neatskleidžiamas atitinkamam asmeniui, </w:t>
      </w:r>
      <w:r w:rsidR="009F54E4" w:rsidRPr="0025732F">
        <w:rPr>
          <w:rFonts w:cstheme="minorHAnsi"/>
        </w:rPr>
        <w:t xml:space="preserve">taip pat reikalaujama atlikti </w:t>
      </w:r>
      <w:r w:rsidRPr="0025732F">
        <w:rPr>
          <w:rFonts w:cstheme="minorHAnsi"/>
        </w:rPr>
        <w:t>procedūrą, kurios metu tos priežastys būtų tinkamai išnagrinėtos.</w:t>
      </w:r>
    </w:p>
    <w:p w14:paraId="53D5DA3D" w14:textId="77777777" w:rsidR="009A31A7" w:rsidRPr="0025732F" w:rsidRDefault="009A31A7" w:rsidP="009A31A7">
      <w:pPr>
        <w:spacing w:after="0" w:line="240" w:lineRule="auto"/>
        <w:ind w:firstLine="567"/>
        <w:jc w:val="both"/>
        <w:rPr>
          <w:rFonts w:cstheme="minorHAnsi"/>
        </w:rPr>
      </w:pPr>
      <w:r w:rsidRPr="0025732F">
        <w:rPr>
          <w:rFonts w:cstheme="minorHAnsi"/>
        </w:rPr>
        <w:t>Pirmasis kriterijus šiuo atžvilgiu yra klausimas, ar nepriklausoma nacionalinė institucija (teisminė ar ne) išnagrinėjo užsieniečio procedūrinių teisių ribojimo poreikį. Svarbu yra tos institucijos kompetencijos apimtis, ir ypač tai, ar ji turi įgaliojimus patikrinti poreikį ir toliau laikyti įslaptintą informaciją konfidencialia.</w:t>
      </w:r>
    </w:p>
    <w:p w14:paraId="4E222E0D" w14:textId="6DABB19E" w:rsidR="009A31A7" w:rsidRPr="0025732F" w:rsidRDefault="009A31A7" w:rsidP="009A31A7">
      <w:pPr>
        <w:spacing w:after="0" w:line="240" w:lineRule="auto"/>
        <w:ind w:firstLine="567"/>
        <w:jc w:val="both"/>
        <w:rPr>
          <w:rFonts w:cstheme="minorHAnsi"/>
        </w:rPr>
      </w:pPr>
      <w:r w:rsidRPr="0025732F">
        <w:rPr>
          <w:rFonts w:cstheme="minorHAnsi"/>
        </w:rPr>
        <w:t>Teismas tada turės išnagrinėti tos institucijos įgaliojimus, priklausomai nuo jos išvadų konkrečiu atveju dėl poreikio riboti užsieniečio procedūrines teises. Kai institucija nusprend</w:t>
      </w:r>
      <w:r w:rsidR="004A1084" w:rsidRPr="0025732F">
        <w:rPr>
          <w:rFonts w:cstheme="minorHAnsi"/>
        </w:rPr>
        <w:t>ė</w:t>
      </w:r>
      <w:r w:rsidRPr="0025732F">
        <w:rPr>
          <w:rFonts w:cstheme="minorHAnsi"/>
        </w:rPr>
        <w:t xml:space="preserve">, kad nacionalinis saugumas nepateisina ginčijamo ribojimo, turėtų būti patikrinta, ar ji turėjo teisę prašyti institucijos, kompetentingos nacionalinio saugumo srityje, peržiūrėti dokumentų įslaptinimą, arba ar ji pati galėjo juos išslaptinti, kad jie galėtų būti persiųsti užsieniečiui, ar bent kad jam galėtų būti pranešta apie jų turinį. Priešingai, kai </w:t>
      </w:r>
      <w:r w:rsidR="00051D22" w:rsidRPr="0025732F">
        <w:rPr>
          <w:rFonts w:cstheme="minorHAnsi"/>
        </w:rPr>
        <w:t>nustatoma</w:t>
      </w:r>
      <w:r w:rsidRPr="0025732F">
        <w:rPr>
          <w:rFonts w:cstheme="minorHAnsi"/>
        </w:rPr>
        <w:t>, kad ginčijamas ribojimas buvo pateisinamas siekiant užtikrinti nacionalinį saugumą, privalo būti nuspręsta ar, prieidama prie šios išvados, institucija tinkamai nustatė ir pasvėrė susijusius interesus.</w:t>
      </w:r>
    </w:p>
    <w:p w14:paraId="104D850A" w14:textId="524CD848" w:rsidR="009A31A7" w:rsidRPr="0025732F" w:rsidRDefault="009A31A7" w:rsidP="009A31A7">
      <w:pPr>
        <w:spacing w:after="0" w:line="240" w:lineRule="auto"/>
        <w:ind w:firstLine="567"/>
        <w:jc w:val="both"/>
        <w:rPr>
          <w:rFonts w:cstheme="minorHAnsi"/>
        </w:rPr>
      </w:pPr>
      <w:r w:rsidRPr="0025732F">
        <w:rPr>
          <w:rFonts w:cstheme="minorHAnsi"/>
        </w:rPr>
        <w:t xml:space="preserve">Vis dėlto, </w:t>
      </w:r>
      <w:r w:rsidRPr="009C6F4D">
        <w:rPr>
          <w:rFonts w:cstheme="minorHAnsi"/>
          <w:u w:val="single"/>
        </w:rPr>
        <w:t xml:space="preserve">jei nacionalinės institucijos neišnagrinėjo (ar nepakankamai išnagrinėjo ir pagrindė) užsieniečio procedūrinių teisių ribojimo poreikio, tai nėra savaime pakankama, kad būtų nustatytas </w:t>
      </w:r>
      <w:r w:rsidR="009B0BCB">
        <w:rPr>
          <w:rFonts w:cstheme="minorHAnsi"/>
          <w:u w:val="single"/>
        </w:rPr>
        <w:t>Protokolo Nr. 7</w:t>
      </w:r>
      <w:r w:rsidRPr="009C6F4D">
        <w:rPr>
          <w:rFonts w:cstheme="minorHAnsi"/>
          <w:u w:val="single"/>
        </w:rPr>
        <w:t xml:space="preserve"> 1 </w:t>
      </w:r>
      <w:r w:rsidRPr="009C6F4D">
        <w:rPr>
          <w:rFonts w:cstheme="minorHAnsi"/>
          <w:u w:val="single"/>
        </w:rPr>
        <w:lastRenderedPageBreak/>
        <w:t>straipsnio pažeidimas. Turi būti taip pat patikrinta, ar konkrečiu atveju buvo pritaikytos kokios nors atsveriančios priemonės ir, jei taip, ar jos buvo pakankamos, kad sušvelnintų užsieniečio procedūrinių teisių ribojimus, taip apsaugant šių teisių pačią esmę</w:t>
      </w:r>
      <w:r w:rsidRPr="0025732F">
        <w:rPr>
          <w:rFonts w:cstheme="minorHAnsi"/>
        </w:rPr>
        <w:t>. Kuo mažiau griežtas nagrinėjimas nacionaliniu lygmeniu, tuo griežčiau</w:t>
      </w:r>
      <w:r w:rsidR="00E41F1D">
        <w:rPr>
          <w:rFonts w:cstheme="minorHAnsi"/>
        </w:rPr>
        <w:t xml:space="preserve"> </w:t>
      </w:r>
      <w:r w:rsidRPr="0025732F">
        <w:rPr>
          <w:rFonts w:cstheme="minorHAnsi"/>
        </w:rPr>
        <w:t xml:space="preserve">Teismas nagrinės šias atsveriančias aplinkybes. Tiksliau, pernelyg paviršutiniškas nagrinėjimas reikalaus labiau atsveriančių priemonių taikymo. </w:t>
      </w:r>
    </w:p>
    <w:p w14:paraId="08F57BB8" w14:textId="76DD624A" w:rsidR="009A31A7" w:rsidRPr="0025732F" w:rsidRDefault="009A31A7" w:rsidP="009A31A7">
      <w:pPr>
        <w:spacing w:after="0" w:line="240" w:lineRule="auto"/>
        <w:ind w:firstLine="567"/>
        <w:jc w:val="both"/>
        <w:rPr>
          <w:rFonts w:cstheme="minorHAnsi"/>
        </w:rPr>
      </w:pPr>
      <w:r w:rsidRPr="0025732F">
        <w:rPr>
          <w:rFonts w:cstheme="minorHAnsi"/>
        </w:rPr>
        <w:t xml:space="preserve">Teismas taip pat nurodė du pagrindinius savo vertinimo principus: pirma, kuo labiau ribojama informacija užsieniečiui, tuo </w:t>
      </w:r>
      <w:r w:rsidR="009C6F4D">
        <w:rPr>
          <w:rFonts w:cstheme="minorHAnsi"/>
        </w:rPr>
        <w:t>svarbesni</w:t>
      </w:r>
      <w:r w:rsidRPr="0025732F">
        <w:rPr>
          <w:rFonts w:cstheme="minorHAnsi"/>
        </w:rPr>
        <w:t xml:space="preserve"> bus saugikliai; antra, kai bylos aplinkybės atskleidžia ypač reikšmingas pasekmes užsieniečio situacijai, atsveriantys saugikliai privalo būti atitinkamai sustiprinti. </w:t>
      </w:r>
    </w:p>
    <w:p w14:paraId="4C980654" w14:textId="77777777" w:rsidR="009A31A7" w:rsidRPr="0025732F" w:rsidRDefault="009A31A7" w:rsidP="009A31A7">
      <w:pPr>
        <w:spacing w:after="0" w:line="240" w:lineRule="auto"/>
        <w:ind w:firstLine="720"/>
        <w:jc w:val="both"/>
        <w:rPr>
          <w:rFonts w:cstheme="minorHAnsi"/>
        </w:rPr>
      </w:pPr>
    </w:p>
    <w:p w14:paraId="7F379F1A" w14:textId="0EBF29DE" w:rsidR="009A31A7" w:rsidRPr="0025732F" w:rsidRDefault="009C6F4D" w:rsidP="009A31A7">
      <w:pPr>
        <w:spacing w:after="0" w:line="240" w:lineRule="auto"/>
        <w:ind w:firstLine="567"/>
        <w:jc w:val="both"/>
        <w:rPr>
          <w:rFonts w:cstheme="minorHAnsi"/>
          <w:i/>
          <w:iCs/>
        </w:rPr>
      </w:pPr>
      <w:r>
        <w:rPr>
          <w:rFonts w:cstheme="minorHAnsi"/>
          <w:i/>
          <w:iCs/>
        </w:rPr>
        <w:t xml:space="preserve">Dėl </w:t>
      </w:r>
      <w:r w:rsidR="009A31A7" w:rsidRPr="0025732F">
        <w:rPr>
          <w:rFonts w:cstheme="minorHAnsi"/>
          <w:i/>
          <w:iCs/>
        </w:rPr>
        <w:t>procedūrinių teisių ribojim</w:t>
      </w:r>
      <w:r>
        <w:rPr>
          <w:rFonts w:cstheme="minorHAnsi"/>
          <w:i/>
          <w:iCs/>
        </w:rPr>
        <w:t>ų</w:t>
      </w:r>
      <w:r w:rsidR="009A31A7" w:rsidRPr="0025732F">
        <w:rPr>
          <w:rFonts w:cstheme="minorHAnsi"/>
          <w:i/>
          <w:iCs/>
        </w:rPr>
        <w:t xml:space="preserve"> </w:t>
      </w:r>
      <w:r>
        <w:rPr>
          <w:rFonts w:cstheme="minorHAnsi"/>
          <w:i/>
          <w:iCs/>
        </w:rPr>
        <w:t xml:space="preserve">pobūdžio ir galimybės </w:t>
      </w:r>
      <w:r w:rsidR="009A31A7" w:rsidRPr="0025732F">
        <w:rPr>
          <w:rFonts w:cstheme="minorHAnsi"/>
          <w:i/>
          <w:iCs/>
        </w:rPr>
        <w:t>kompensuoti atsveriančiomis aplinkybėmis</w:t>
      </w:r>
    </w:p>
    <w:p w14:paraId="1B275855" w14:textId="77777777" w:rsidR="009C6F4D" w:rsidRDefault="009C6F4D" w:rsidP="009A31A7">
      <w:pPr>
        <w:spacing w:after="0" w:line="240" w:lineRule="auto"/>
        <w:ind w:firstLine="567"/>
        <w:jc w:val="both"/>
        <w:rPr>
          <w:rFonts w:cstheme="minorHAnsi"/>
        </w:rPr>
      </w:pPr>
    </w:p>
    <w:p w14:paraId="13DF9971" w14:textId="56B5E537" w:rsidR="009A31A7" w:rsidRPr="0025732F" w:rsidRDefault="009A31A7" w:rsidP="009A31A7">
      <w:pPr>
        <w:spacing w:after="0" w:line="240" w:lineRule="auto"/>
        <w:ind w:firstLine="567"/>
        <w:jc w:val="both"/>
        <w:rPr>
          <w:rFonts w:cstheme="minorHAnsi"/>
        </w:rPr>
      </w:pPr>
      <w:r w:rsidRPr="0025732F">
        <w:rPr>
          <w:rFonts w:cstheme="minorHAnsi"/>
        </w:rPr>
        <w:t>Nesant sutarimo Europos lygmeniu dėl tokių aplinkybių rūšių ar apimties, valstybėms šiuo atžvilgiu turėtų būti suteikta tam tikra vertinimo laisvė. Atsižvelgtina į nebaigtinį tokių aplinkybių sąrašą:</w:t>
      </w:r>
    </w:p>
    <w:p w14:paraId="040E343C" w14:textId="77777777" w:rsidR="009A31A7" w:rsidRPr="0025732F" w:rsidRDefault="009A31A7" w:rsidP="009A31A7">
      <w:pPr>
        <w:spacing w:after="0" w:line="240" w:lineRule="auto"/>
        <w:ind w:firstLine="720"/>
        <w:jc w:val="both"/>
        <w:rPr>
          <w:rFonts w:cstheme="minorHAnsi"/>
        </w:rPr>
      </w:pPr>
    </w:p>
    <w:p w14:paraId="2FF68D68" w14:textId="7BA8A3B6" w:rsidR="009A31A7" w:rsidRPr="0025732F" w:rsidRDefault="009C6F4D" w:rsidP="009A31A7">
      <w:pPr>
        <w:spacing w:after="0" w:line="240" w:lineRule="auto"/>
        <w:ind w:firstLine="567"/>
        <w:jc w:val="both"/>
        <w:rPr>
          <w:rFonts w:cstheme="minorHAnsi"/>
          <w:i/>
          <w:iCs/>
        </w:rPr>
      </w:pPr>
      <w:r w:rsidRPr="009C6F4D">
        <w:rPr>
          <w:rFonts w:cstheme="minorHAnsi"/>
          <w:i/>
          <w:iCs/>
        </w:rPr>
        <w:t>a)</w:t>
      </w:r>
      <w:r w:rsidR="009A31A7" w:rsidRPr="009C6F4D">
        <w:rPr>
          <w:rFonts w:cstheme="minorHAnsi"/>
          <w:i/>
          <w:iCs/>
        </w:rPr>
        <w:t xml:space="preserve"> Informacijos, atskleistos užsieniečiui dėl jo išsiuntimo pagrindų, aktualumas ir suteikta prieiga prie</w:t>
      </w:r>
      <w:r w:rsidR="009A31A7" w:rsidRPr="0025732F">
        <w:rPr>
          <w:rFonts w:cstheme="minorHAnsi"/>
          <w:i/>
          <w:iCs/>
        </w:rPr>
        <w:t xml:space="preserve"> dokumentų, kuriais remiamasi, turinio</w:t>
      </w:r>
    </w:p>
    <w:p w14:paraId="209B9DAF" w14:textId="472B26CB" w:rsidR="009A31A7" w:rsidRPr="0025732F" w:rsidRDefault="009A31A7" w:rsidP="009A31A7">
      <w:pPr>
        <w:spacing w:after="0" w:line="240" w:lineRule="auto"/>
        <w:ind w:firstLine="567"/>
        <w:jc w:val="both"/>
        <w:rPr>
          <w:rFonts w:cstheme="minorHAnsi"/>
        </w:rPr>
      </w:pPr>
      <w:r w:rsidRPr="0025732F">
        <w:rPr>
          <w:rFonts w:cstheme="minorHAnsi"/>
        </w:rPr>
        <w:t>Turi būti nustatyta, ar nacionalinės institucijos informavo (apimtimi, suderinama su konfidencialumo išlaikymu ir tinkamu tyrimų atlikimu) apie kaltinimų jam ar jai esmę. Kitas svarbus klausimas yra tai, ar teisminė ar kita nepriklausoma institucija turi įgaliojimus nuspręsti konkrečiu atveju, išnagrinėjusi visus įslaptintus įrodymus, kuri faktinė informacija gali būti atskleista užsieniečiui nesukeliant grėsmės nacionaliniam saugumui, su sąlyga, kad ji yra atskleidžiama tokioje proceso stadijoje, kai užsienietis vis dar gali prasmingai ginčyti tą informaciją.</w:t>
      </w:r>
    </w:p>
    <w:p w14:paraId="0CFD0052" w14:textId="77777777" w:rsidR="009A31A7" w:rsidRPr="0025732F" w:rsidRDefault="009A31A7" w:rsidP="009A31A7">
      <w:pPr>
        <w:spacing w:after="0" w:line="240" w:lineRule="auto"/>
        <w:ind w:firstLine="720"/>
        <w:jc w:val="both"/>
        <w:rPr>
          <w:rFonts w:cstheme="minorHAnsi"/>
        </w:rPr>
      </w:pPr>
    </w:p>
    <w:p w14:paraId="6101F0AD" w14:textId="5A400BBA" w:rsidR="009A31A7" w:rsidRPr="0025732F" w:rsidRDefault="009C6F4D" w:rsidP="009A31A7">
      <w:pPr>
        <w:spacing w:after="0" w:line="240" w:lineRule="auto"/>
        <w:ind w:firstLine="567"/>
        <w:jc w:val="both"/>
        <w:rPr>
          <w:rFonts w:cstheme="minorHAnsi"/>
          <w:i/>
          <w:iCs/>
        </w:rPr>
      </w:pPr>
      <w:r>
        <w:rPr>
          <w:rFonts w:cstheme="minorHAnsi"/>
          <w:i/>
          <w:iCs/>
        </w:rPr>
        <w:t>b</w:t>
      </w:r>
      <w:r w:rsidR="009A31A7" w:rsidRPr="0025732F">
        <w:rPr>
          <w:rFonts w:cstheme="minorHAnsi"/>
          <w:i/>
          <w:iCs/>
        </w:rPr>
        <w:t>) Informacijos apie proceso eigą atskleidimas užsieniečiui ir nacionaliniai mechanizmai, atsveriantys jo teisių ribojimą</w:t>
      </w:r>
    </w:p>
    <w:p w14:paraId="227B011B" w14:textId="0CB25955" w:rsidR="009A31A7" w:rsidRPr="0025732F" w:rsidRDefault="009A31A7" w:rsidP="009A31A7">
      <w:pPr>
        <w:spacing w:after="0" w:line="240" w:lineRule="auto"/>
        <w:ind w:firstLine="567"/>
        <w:jc w:val="both"/>
        <w:rPr>
          <w:rFonts w:cstheme="minorHAnsi"/>
        </w:rPr>
      </w:pPr>
      <w:r w:rsidRPr="0025732F">
        <w:rPr>
          <w:rFonts w:cstheme="minorHAnsi"/>
        </w:rPr>
        <w:t>Turi būti nustatyta, ar nacionalinės institucijos pateikė reikiamą informaciją užsieniečiui, bent jau esminėse proceso stadijose. Tokia informacija būtų ypač naudinga, kai užsienieči</w:t>
      </w:r>
      <w:r w:rsidR="00BE2DB5" w:rsidRPr="0025732F">
        <w:rPr>
          <w:rFonts w:cstheme="minorHAnsi"/>
        </w:rPr>
        <w:t>ui</w:t>
      </w:r>
      <w:r w:rsidRPr="0025732F">
        <w:rPr>
          <w:rFonts w:cstheme="minorHAnsi"/>
        </w:rPr>
        <w:t xml:space="preserve"> neatstovauja advokatas ir kai atitinkamos informacijos trūkumas gali lemti tai, kad ji</w:t>
      </w:r>
      <w:r w:rsidR="009C6F4D">
        <w:rPr>
          <w:rFonts w:cstheme="minorHAnsi"/>
        </w:rPr>
        <w:t>s</w:t>
      </w:r>
      <w:r w:rsidRPr="0025732F">
        <w:rPr>
          <w:rFonts w:cstheme="minorHAnsi"/>
        </w:rPr>
        <w:t xml:space="preserve"> negalėtų įgyvendinti teisių, kurios yra įtvirtintos nacionalinėje teisėje. Tai bus dar svarbiau tais atvejais, kai nacionalinės proceso taisyklės numato, jog byla nagrinėjama skubiau nei įprastai.</w:t>
      </w:r>
    </w:p>
    <w:p w14:paraId="63E61DA2" w14:textId="77777777" w:rsidR="009A31A7" w:rsidRPr="0025732F" w:rsidRDefault="009A31A7" w:rsidP="009A31A7">
      <w:pPr>
        <w:spacing w:after="0" w:line="240" w:lineRule="auto"/>
        <w:ind w:firstLine="720"/>
        <w:jc w:val="both"/>
        <w:rPr>
          <w:rFonts w:cstheme="minorHAnsi"/>
        </w:rPr>
      </w:pPr>
    </w:p>
    <w:p w14:paraId="0E0BABDE" w14:textId="5E2A014A" w:rsidR="009A31A7" w:rsidRPr="009C6F4D" w:rsidRDefault="009C6F4D" w:rsidP="009A31A7">
      <w:pPr>
        <w:spacing w:after="0" w:line="240" w:lineRule="auto"/>
        <w:ind w:firstLine="567"/>
        <w:jc w:val="both"/>
        <w:rPr>
          <w:rFonts w:cstheme="minorHAnsi"/>
          <w:i/>
          <w:iCs/>
        </w:rPr>
      </w:pPr>
      <w:r w:rsidRPr="009C6F4D">
        <w:rPr>
          <w:rFonts w:cstheme="minorHAnsi"/>
          <w:i/>
          <w:iCs/>
        </w:rPr>
        <w:t>c</w:t>
      </w:r>
      <w:r w:rsidR="009A31A7" w:rsidRPr="009C6F4D">
        <w:rPr>
          <w:rFonts w:cstheme="minorHAnsi"/>
          <w:i/>
          <w:iCs/>
        </w:rPr>
        <w:t>) Ar užsienietis buvo atstovaujamas</w:t>
      </w:r>
    </w:p>
    <w:p w14:paraId="70CD1938" w14:textId="1B15C41F" w:rsidR="009A31A7" w:rsidRPr="0025732F" w:rsidRDefault="009A31A7" w:rsidP="009A31A7">
      <w:pPr>
        <w:spacing w:after="0" w:line="240" w:lineRule="auto"/>
        <w:ind w:firstLine="567"/>
        <w:jc w:val="both"/>
        <w:rPr>
          <w:rFonts w:cstheme="minorHAnsi"/>
        </w:rPr>
      </w:pPr>
      <w:r w:rsidRPr="0025732F">
        <w:rPr>
          <w:rFonts w:cstheme="minorHAnsi"/>
        </w:rPr>
        <w:t>Pirmiausia, nacionalinė teisė turėtų suteikti veiksmingą galimybę būti atstovaujamam. Galimybė užsieniečiui būti atstovaujamam teisininko ar net besispecializuojančio teisininko, turinčio atitinkamus leidimus susipažinti su įslaptintais dokumentais byloje, kurie nėra prieinami užsieniečiui, yra reikšminga atsverianti aplinkybė. Antra, Teismas vertins, ar proceso metu užsieniečiui buvo praktiškai įmanoma turėti veiksmingą prieigą prie tokio atstovavimo. Trečia, teisės, kurias turi užsieniečio atstovas konkrečiu atveju, yra kitas reikšmingas saugiklis: pavyzdžiui, atstovui suteiktos prieigos prie bylos dokumentų, įskaitant įslaptintuosius, apimtis, ir ar atstovo bendravimas su užsieniečiu buvo ribojamas po to, kai buvo gauta prieiga prie įslaptintos medžiagos.</w:t>
      </w:r>
    </w:p>
    <w:p w14:paraId="074D74AE" w14:textId="77777777" w:rsidR="009A31A7" w:rsidRPr="0025732F" w:rsidRDefault="009A31A7" w:rsidP="009A31A7">
      <w:pPr>
        <w:spacing w:after="0" w:line="240" w:lineRule="auto"/>
        <w:ind w:firstLine="720"/>
        <w:jc w:val="both"/>
        <w:rPr>
          <w:rFonts w:cstheme="minorHAnsi"/>
        </w:rPr>
      </w:pPr>
    </w:p>
    <w:p w14:paraId="4181EA16" w14:textId="441CAC96" w:rsidR="009A31A7" w:rsidRPr="0025732F" w:rsidRDefault="009C6F4D" w:rsidP="009A31A7">
      <w:pPr>
        <w:spacing w:after="0" w:line="240" w:lineRule="auto"/>
        <w:ind w:firstLine="567"/>
        <w:jc w:val="both"/>
        <w:rPr>
          <w:rFonts w:cstheme="minorHAnsi"/>
          <w:i/>
          <w:iCs/>
        </w:rPr>
      </w:pPr>
      <w:r>
        <w:rPr>
          <w:rFonts w:cstheme="minorHAnsi"/>
          <w:i/>
          <w:iCs/>
        </w:rPr>
        <w:t>d</w:t>
      </w:r>
      <w:r w:rsidR="009A31A7" w:rsidRPr="0025732F">
        <w:rPr>
          <w:rFonts w:cstheme="minorHAnsi"/>
          <w:i/>
          <w:iCs/>
        </w:rPr>
        <w:t>) Ar nepriklausoma institucija dalyvavo procese</w:t>
      </w:r>
    </w:p>
    <w:p w14:paraId="2FFE34A5" w14:textId="757E462E" w:rsidR="009A31A7" w:rsidRPr="0025732F" w:rsidRDefault="009A31A7" w:rsidP="009A31A7">
      <w:pPr>
        <w:spacing w:after="0" w:line="240" w:lineRule="auto"/>
        <w:ind w:firstLine="567"/>
        <w:jc w:val="both"/>
        <w:rPr>
          <w:rFonts w:cstheme="minorHAnsi"/>
        </w:rPr>
      </w:pPr>
      <w:r w:rsidRPr="0025732F">
        <w:rPr>
          <w:rFonts w:cstheme="minorHAnsi"/>
        </w:rPr>
        <w:t xml:space="preserve">Gali būti atsižvelgiama į toliau nurodytus aspektus, nors pagal </w:t>
      </w:r>
      <w:r w:rsidR="009B0BCB">
        <w:rPr>
          <w:rFonts w:cstheme="minorHAnsi"/>
        </w:rPr>
        <w:t>Protokolo Nr. 7</w:t>
      </w:r>
      <w:r w:rsidRPr="0025732F">
        <w:rPr>
          <w:rFonts w:cstheme="minorHAnsi"/>
        </w:rPr>
        <w:t xml:space="preserve"> 1 straipsnį nėra būtina, kad į visus šiuos klausimus kumuliatyviai būtų atsakyta teigiamai:</w:t>
      </w:r>
    </w:p>
    <w:p w14:paraId="463671F0" w14:textId="409ABFB2" w:rsidR="009A31A7" w:rsidRPr="0025732F" w:rsidRDefault="009A31A7" w:rsidP="009A31A7">
      <w:pPr>
        <w:spacing w:after="0" w:line="240" w:lineRule="auto"/>
        <w:ind w:firstLine="567"/>
        <w:jc w:val="both"/>
        <w:rPr>
          <w:rFonts w:cstheme="minorHAnsi"/>
        </w:rPr>
      </w:pPr>
      <w:r w:rsidRPr="0025732F">
        <w:rPr>
          <w:rFonts w:cstheme="minorHAnsi"/>
        </w:rPr>
        <w:t>- ar procese dalyvavo viena ar daugiau nepriklausomų institucijų (administracinių ar teisminių), tiesiogiai priimant išsiuntimo priemonę ar peržiūrint jos teisėtumą ar net ją persvarstant iš naujo; ir kai ta institucija yra teismas,</w:t>
      </w:r>
      <w:r w:rsidR="00051D22" w:rsidRPr="0025732F">
        <w:rPr>
          <w:rFonts w:cstheme="minorHAnsi"/>
        </w:rPr>
        <w:t xml:space="preserve"> kyla</w:t>
      </w:r>
      <w:r w:rsidRPr="0025732F">
        <w:rPr>
          <w:rFonts w:cstheme="minorHAnsi"/>
        </w:rPr>
        <w:t xml:space="preserve"> jo lygmens nacionalinės teisinės sistemos hierarchijoje klausimas. Šiuo aspektu išsiuntimo priemonės teisminis tikrinimas iš principo turės didesnį atsveriantį poveikį nei administracinis tikrinimas;</w:t>
      </w:r>
    </w:p>
    <w:p w14:paraId="31BDCF6B" w14:textId="77777777" w:rsidR="009A31A7" w:rsidRPr="0025732F" w:rsidRDefault="009A31A7" w:rsidP="009A31A7">
      <w:pPr>
        <w:spacing w:after="0" w:line="240" w:lineRule="auto"/>
        <w:ind w:firstLine="567"/>
        <w:jc w:val="both"/>
        <w:rPr>
          <w:rFonts w:cstheme="minorHAnsi"/>
        </w:rPr>
      </w:pPr>
      <w:r w:rsidRPr="0025732F">
        <w:rPr>
          <w:rFonts w:cstheme="minorHAnsi"/>
        </w:rPr>
        <w:t>- ar pareiškėjas galėjo veiksmingai ir prieš nepriklausomą instituciją ginčyti jam pareikštus kaltinimus;</w:t>
      </w:r>
    </w:p>
    <w:p w14:paraId="59CAFD6F" w14:textId="77777777" w:rsidR="009A31A7" w:rsidRPr="0025732F" w:rsidRDefault="009A31A7" w:rsidP="009A31A7">
      <w:pPr>
        <w:spacing w:after="0" w:line="240" w:lineRule="auto"/>
        <w:ind w:firstLine="567"/>
        <w:jc w:val="both"/>
        <w:rPr>
          <w:rFonts w:cstheme="minorHAnsi"/>
        </w:rPr>
      </w:pPr>
      <w:r w:rsidRPr="0025732F">
        <w:rPr>
          <w:rFonts w:cstheme="minorHAnsi"/>
        </w:rPr>
        <w:t xml:space="preserve">- ar nepriklausoma institucija turėjo įgaliojimus veiksmingai išnagrinėti prašymo ar sprendimo išsiųsti pagrindus ir pateiktus pagrindžiančius įrodymus, ir, jei taip, ar ji nagrinėjamu atveju tinkamai įgyvendino savo įgaliojimus; konkrečiai, ar ta institucija turėjo prieigą prie visos bylos, sudarytos atitinkamos nacionalinės saugumo institucijos, įskaitant įslaptintus dokumentus, ir ar ji turėjo įgaliojimus patikrinti dokumentų byloje </w:t>
      </w:r>
      <w:r w:rsidRPr="0025732F">
        <w:rPr>
          <w:rFonts w:cstheme="minorHAnsi"/>
        </w:rPr>
        <w:lastRenderedPageBreak/>
        <w:t xml:space="preserve">autentiškumą, kartu ir įslaptintos informacijos, pateiktos pagrindžiant išsiuntimo prašymą ar sprendimą, patikimumą ir teisingumą. Šiuo atžvilgiu </w:t>
      </w:r>
      <w:r w:rsidRPr="009C6F4D">
        <w:rPr>
          <w:rFonts w:cstheme="minorHAnsi"/>
          <w:u w:val="single"/>
        </w:rPr>
        <w:t>nėra prezumpcijos, kad valstybės saugumo pagrindai, nurodyti kompetentingos nacionalinės saugumo institucijos, egzistuoja ir yra pagrįsti: nepriklausoma institucija turėtų galėti patikrinti faktus, atsižvelgdama į pateiktus įrodymus</w:t>
      </w:r>
      <w:r w:rsidRPr="0025732F">
        <w:rPr>
          <w:rFonts w:cstheme="minorHAnsi"/>
        </w:rPr>
        <w:t>;</w:t>
      </w:r>
    </w:p>
    <w:p w14:paraId="5B6962B0" w14:textId="77777777" w:rsidR="009A31A7" w:rsidRPr="0025732F" w:rsidRDefault="009A31A7" w:rsidP="009A31A7">
      <w:pPr>
        <w:spacing w:after="0" w:line="240" w:lineRule="auto"/>
        <w:ind w:firstLine="567"/>
        <w:jc w:val="both"/>
        <w:rPr>
          <w:rFonts w:cstheme="minorHAnsi"/>
        </w:rPr>
      </w:pPr>
      <w:r w:rsidRPr="0025732F">
        <w:rPr>
          <w:rFonts w:cstheme="minorHAnsi"/>
        </w:rPr>
        <w:t>- ar nepriklausoma institucija, kuriai teko peržiūrėti išsiuntimo sprendimą, turėjo įgaliojimus panaikinti ar pakeisti tą sprendimą, jei nusprendė, atsižvelgusi į bylos duomenis, kad rėmimasis nacionaliniu saugumu neturėjo jokio protingo ir tinkamo faktinio pagrindo;</w:t>
      </w:r>
    </w:p>
    <w:p w14:paraId="74FBF232" w14:textId="77777777" w:rsidR="009A31A7" w:rsidRPr="0025732F" w:rsidRDefault="009A31A7" w:rsidP="009A31A7">
      <w:pPr>
        <w:spacing w:after="0" w:line="240" w:lineRule="auto"/>
        <w:ind w:firstLine="567"/>
        <w:jc w:val="both"/>
        <w:rPr>
          <w:rFonts w:cstheme="minorHAnsi"/>
        </w:rPr>
      </w:pPr>
      <w:r w:rsidRPr="0025732F">
        <w:rPr>
          <w:rFonts w:cstheme="minorHAnsi"/>
        </w:rPr>
        <w:t>- ar išsiuntimo būtinybė buvo pakankamai tikėtina, atsižvelgiant į bylos aplinkybes ir nepriklausomos institucijos motyvus, pateiktus pagrindžiant jos sprendimą, ir ar nacionalinės institucijos atlikto tikrinimo pobūdis ir laipsnis paaiškėja (bent glaustai) iš jos sprendimo motyvų.</w:t>
      </w:r>
    </w:p>
    <w:p w14:paraId="00875676" w14:textId="77777777" w:rsidR="009A31A7" w:rsidRPr="0025732F" w:rsidRDefault="009A31A7" w:rsidP="009A31A7">
      <w:pPr>
        <w:spacing w:after="0" w:line="240" w:lineRule="auto"/>
        <w:jc w:val="both"/>
        <w:rPr>
          <w:rFonts w:cstheme="minorHAnsi"/>
        </w:rPr>
      </w:pPr>
    </w:p>
    <w:p w14:paraId="630CAEBA" w14:textId="58BBA676" w:rsidR="009A31A7" w:rsidRPr="0025732F" w:rsidRDefault="009C6F4D" w:rsidP="009A31A7">
      <w:pPr>
        <w:spacing w:after="0" w:line="240" w:lineRule="auto"/>
        <w:ind w:firstLine="567"/>
        <w:jc w:val="both"/>
        <w:rPr>
          <w:rFonts w:cstheme="minorHAnsi"/>
          <w:i/>
          <w:iCs/>
        </w:rPr>
      </w:pPr>
      <w:r>
        <w:rPr>
          <w:rFonts w:cstheme="minorHAnsi"/>
          <w:i/>
          <w:iCs/>
        </w:rPr>
        <w:t>Dėl apžvelgtų</w:t>
      </w:r>
      <w:r w:rsidR="009A31A7" w:rsidRPr="0025732F">
        <w:rPr>
          <w:rFonts w:cstheme="minorHAnsi"/>
          <w:i/>
          <w:iCs/>
        </w:rPr>
        <w:t xml:space="preserve"> principų taikym</w:t>
      </w:r>
      <w:r>
        <w:rPr>
          <w:rFonts w:cstheme="minorHAnsi"/>
          <w:i/>
          <w:iCs/>
        </w:rPr>
        <w:t xml:space="preserve">o </w:t>
      </w:r>
      <w:r w:rsidR="009A31A7" w:rsidRPr="0025732F">
        <w:rPr>
          <w:rFonts w:cstheme="minorHAnsi"/>
          <w:i/>
          <w:iCs/>
        </w:rPr>
        <w:t>nagrinė</w:t>
      </w:r>
      <w:r w:rsidR="006C75B9" w:rsidRPr="0025732F">
        <w:rPr>
          <w:rFonts w:cstheme="minorHAnsi"/>
          <w:i/>
          <w:iCs/>
        </w:rPr>
        <w:t xml:space="preserve">tu </w:t>
      </w:r>
      <w:r w:rsidR="009A31A7" w:rsidRPr="0025732F">
        <w:rPr>
          <w:rFonts w:cstheme="minorHAnsi"/>
          <w:i/>
          <w:iCs/>
        </w:rPr>
        <w:t>atveju</w:t>
      </w:r>
    </w:p>
    <w:p w14:paraId="51FB9B56" w14:textId="77777777" w:rsidR="009C6F4D" w:rsidRDefault="009C6F4D" w:rsidP="009A31A7">
      <w:pPr>
        <w:spacing w:after="0" w:line="240" w:lineRule="auto"/>
        <w:ind w:firstLine="567"/>
        <w:jc w:val="both"/>
        <w:rPr>
          <w:rFonts w:cstheme="minorHAnsi"/>
        </w:rPr>
      </w:pPr>
    </w:p>
    <w:p w14:paraId="789808CF" w14:textId="7C6F3971" w:rsidR="009A31A7" w:rsidRPr="0025732F" w:rsidRDefault="009A31A7" w:rsidP="009A31A7">
      <w:pPr>
        <w:spacing w:after="0" w:line="240" w:lineRule="auto"/>
        <w:ind w:firstLine="567"/>
        <w:jc w:val="both"/>
        <w:rPr>
          <w:rFonts w:cstheme="minorHAnsi"/>
        </w:rPr>
      </w:pPr>
      <w:r w:rsidRPr="0025732F">
        <w:rPr>
          <w:rFonts w:cstheme="minorHAnsi"/>
        </w:rPr>
        <w:t>Pareiškėjų teisės būti informuotiems apie faktines aplinkybes, nurodytas pagrindžiant jų išsiuntimą, ir atitinkamų dokumentų turinį, buvo reikšmingai apribotos.</w:t>
      </w:r>
      <w:r w:rsidR="00E41F1D">
        <w:rPr>
          <w:rFonts w:cstheme="minorHAnsi"/>
        </w:rPr>
        <w:t xml:space="preserve"> </w:t>
      </w:r>
      <w:r w:rsidRPr="0025732F">
        <w:rPr>
          <w:rFonts w:cstheme="minorHAnsi"/>
        </w:rPr>
        <w:t xml:space="preserve">Vis dėlto, nacionaliniai teismai nenagrinėjo tokio ribojimo poreikio ir nenurodė konkrečių nacionalinio saugumo priežasčių, kadangi nacionalinė teisė neleido jiems nagrinėti tokių klausimų savo iniciatyva. Tai, kad spaudos pranešime, išplatintame Rumunijos žvalgybos tarnybos, buvo detalesnės faktinės informacijos nei buvo pateikta pareiškėjams ankstesnio proceso metu, prieštaravo tariamai būtinybei nesuteikti jiems tos konkrečios informacijos. Dėl tos priežasties Teismas turėjo griežtai išnagrinėti atsveriančias aplinkybes. </w:t>
      </w:r>
      <w:r w:rsidRPr="009C6F4D">
        <w:rPr>
          <w:rFonts w:cstheme="minorHAnsi"/>
          <w:u w:val="single"/>
        </w:rPr>
        <w:t>Pareiškėjai gavo tik labai bendro pobūdžio informaciją apie kaltinimų jiems teisinį kvalifikavimą, tačiau nei viena konkreti veika, kuri tariamai sukėlė grėsmę nacionaliniam saugumui, negalėjo būti nustatyta iš pateiktos medžiagos. Vien tik teisės normų, kuriomis remtasi, numerių nurodymo nepakako, net ir minimaliai,</w:t>
      </w:r>
      <w:r w:rsidR="00E41F1D" w:rsidRPr="009C6F4D">
        <w:rPr>
          <w:rFonts w:cstheme="minorHAnsi"/>
          <w:u w:val="single"/>
        </w:rPr>
        <w:t xml:space="preserve"> </w:t>
      </w:r>
      <w:r w:rsidRPr="009C6F4D">
        <w:rPr>
          <w:rFonts w:cstheme="minorHAnsi"/>
          <w:u w:val="single"/>
        </w:rPr>
        <w:t>kad tai būtų tinkama informacija apie kaltinimus</w:t>
      </w:r>
      <w:r w:rsidRPr="0025732F">
        <w:rPr>
          <w:rFonts w:cstheme="minorHAnsi"/>
        </w:rPr>
        <w:t xml:space="preserve">. Be to, pranešimas spaudai negali būti tinkama priemonė pateikti informaciją tokiu konkretumo ir tikslumo lygmeniu, kuris būtų pritaikytas prie ginčo konkrečių ypatybių ir šalių procesinių teisių apimties. </w:t>
      </w:r>
      <w:r w:rsidRPr="009C6F4D">
        <w:rPr>
          <w:rFonts w:cstheme="minorHAnsi"/>
          <w:u w:val="single"/>
        </w:rPr>
        <w:t>Be to, pareiškėjams nebuvo suteikta jokia informacija apie esmines proceso stadijas ar apie galimybę gauti prieigą prie įslaptintų dokumentų byloje per besispecializuojantį teisininką</w:t>
      </w:r>
      <w:r w:rsidRPr="0025732F">
        <w:rPr>
          <w:rFonts w:cstheme="minorHAnsi"/>
        </w:rPr>
        <w:t>. Kadangi jų teisininkai neturėjo leidimo susipažinti su įslaptintais dokumentais, vien tik jų dalyvavimas nacionaliniame teismo procese be galimybės patikrinti kaltinimus prieš jų klientus, negalėjo užtikrinti pastarųjų veiksmingos gynybos. Galiausiai, nebuvo aišku, ar nacionaliniai teismai iš tikrųjų turėjo prieigą prie visos įslaptintos informacijos, ar patikrino pagrindžiančių aplinkybių patikimumą ir teisingumą: jų atlikto patikrinimo pobūdis ir laipsnis nebuvo aiškus (bent glaustai) iš jų sprendimų motyvų. Todėl vien tik tai, kad sprendimas išsiųsti buvo priimtas nepriklausomų teisminių institucijų aukštu lygmeniu, nesant galimybės nustatyti, kad jos iš tikrųjų pasinaudojo savo įgaliojimais pagal Rumunijos teisę, nebuvo pakankama, kad atsvertų ribojimus, kuriuos pareiškėjai patyrė įgyvendindami savo procesines teises.</w:t>
      </w:r>
    </w:p>
    <w:p w14:paraId="7B96E070" w14:textId="154BF86A" w:rsidR="009A31A7" w:rsidRPr="0025732F" w:rsidRDefault="009A31A7" w:rsidP="009A31A7">
      <w:pPr>
        <w:spacing w:after="0" w:line="240" w:lineRule="auto"/>
        <w:ind w:firstLine="567"/>
        <w:jc w:val="both"/>
        <w:rPr>
          <w:rFonts w:cstheme="minorHAnsi"/>
        </w:rPr>
      </w:pPr>
      <w:r w:rsidRPr="0025732F">
        <w:rPr>
          <w:rFonts w:cstheme="minorHAnsi"/>
        </w:rPr>
        <w:t xml:space="preserve">Apibendrinant ir atsižvelgiant į proceso visumą, taip pat ir į suteiktą vertinimo laisvę, nacionaliniame procese ribojimai nebuvo atsverti taip, kad būtų apsaugota pati teisių pagal </w:t>
      </w:r>
      <w:r w:rsidR="009B0BCB">
        <w:rPr>
          <w:rFonts w:cstheme="minorHAnsi"/>
        </w:rPr>
        <w:t>Protokolo Nr. 7</w:t>
      </w:r>
      <w:r w:rsidRPr="0025732F">
        <w:rPr>
          <w:rFonts w:cstheme="minorHAnsi"/>
        </w:rPr>
        <w:t xml:space="preserve"> 1 straipsnį esmė.</w:t>
      </w:r>
    </w:p>
    <w:p w14:paraId="662D109C" w14:textId="77777777" w:rsidR="009A31A7" w:rsidRPr="0025732F" w:rsidRDefault="009A31A7" w:rsidP="009A31A7">
      <w:pPr>
        <w:spacing w:after="0" w:line="240" w:lineRule="auto"/>
        <w:ind w:firstLine="720"/>
        <w:jc w:val="both"/>
        <w:rPr>
          <w:rFonts w:cstheme="minorHAnsi"/>
        </w:rPr>
      </w:pPr>
    </w:p>
    <w:p w14:paraId="69E32E79" w14:textId="7A0189AA" w:rsidR="009A31A7" w:rsidRPr="0025732F" w:rsidRDefault="009A31A7" w:rsidP="009A31A7">
      <w:pPr>
        <w:spacing w:after="0" w:line="240" w:lineRule="auto"/>
        <w:ind w:firstLine="567"/>
        <w:jc w:val="both"/>
        <w:rPr>
          <w:rFonts w:cstheme="minorHAnsi"/>
        </w:rPr>
      </w:pPr>
      <w:r w:rsidRPr="0025732F">
        <w:rPr>
          <w:rFonts w:cstheme="minorHAnsi"/>
        </w:rPr>
        <w:t xml:space="preserve">Išvada: </w:t>
      </w:r>
      <w:r w:rsidR="004C403F" w:rsidRPr="0025732F">
        <w:rPr>
          <w:rFonts w:cstheme="minorHAnsi"/>
        </w:rPr>
        <w:t xml:space="preserve">nustatytas </w:t>
      </w:r>
      <w:r w:rsidR="004B1919" w:rsidRPr="0025732F">
        <w:rPr>
          <w:rFonts w:cstheme="minorHAnsi"/>
        </w:rPr>
        <w:t xml:space="preserve">Konvencijos </w:t>
      </w:r>
      <w:r w:rsidR="009B0BCB">
        <w:rPr>
          <w:rFonts w:cstheme="minorHAnsi"/>
        </w:rPr>
        <w:t>P</w:t>
      </w:r>
      <w:r w:rsidR="004C403F" w:rsidRPr="0025732F">
        <w:rPr>
          <w:rFonts w:cstheme="minorHAnsi"/>
        </w:rPr>
        <w:t xml:space="preserve">rotokolo </w:t>
      </w:r>
      <w:r w:rsidR="009B0BCB">
        <w:rPr>
          <w:rFonts w:cstheme="minorHAnsi"/>
        </w:rPr>
        <w:t xml:space="preserve">Nr. 7 </w:t>
      </w:r>
      <w:r w:rsidR="004C403F" w:rsidRPr="0025732F">
        <w:rPr>
          <w:rFonts w:cstheme="minorHAnsi"/>
        </w:rPr>
        <w:t xml:space="preserve">1 straipsnio </w:t>
      </w:r>
      <w:r w:rsidRPr="0025732F">
        <w:rPr>
          <w:rFonts w:cstheme="minorHAnsi"/>
        </w:rPr>
        <w:t>pažeidimas (keturiolika balsų prieš tris).</w:t>
      </w:r>
    </w:p>
    <w:p w14:paraId="4B7AD72F" w14:textId="46728913" w:rsidR="009A31A7" w:rsidRPr="0025732F" w:rsidRDefault="009A31A7" w:rsidP="009A31A7">
      <w:pPr>
        <w:spacing w:after="0" w:line="240" w:lineRule="auto"/>
        <w:ind w:firstLine="567"/>
        <w:jc w:val="both"/>
        <w:rPr>
          <w:rFonts w:cstheme="minorHAnsi"/>
        </w:rPr>
      </w:pPr>
      <w:r w:rsidRPr="0025732F">
        <w:rPr>
          <w:rFonts w:cstheme="minorHAnsi"/>
        </w:rPr>
        <w:t xml:space="preserve">41 straipsnis: </w:t>
      </w:r>
      <w:r w:rsidR="00022EBF" w:rsidRPr="0025732F">
        <w:rPr>
          <w:rFonts w:cstheme="minorHAnsi"/>
        </w:rPr>
        <w:t xml:space="preserve">priteistas </w:t>
      </w:r>
      <w:r w:rsidRPr="0025732F">
        <w:rPr>
          <w:rFonts w:cstheme="minorHAnsi"/>
        </w:rPr>
        <w:t>10 000 eurų neturtinės žalos atlyginimas kiekvienam pareiškėjui. Prašymas atlyginti turtinę žalą atmestas.</w:t>
      </w:r>
    </w:p>
    <w:p w14:paraId="429E103F" w14:textId="77777777" w:rsidR="009A31A7" w:rsidRPr="0025732F" w:rsidRDefault="006922FB" w:rsidP="009A31A7">
      <w:pPr>
        <w:spacing w:after="0" w:line="240" w:lineRule="auto"/>
        <w:ind w:firstLine="567"/>
        <w:jc w:val="both"/>
        <w:rPr>
          <w:rStyle w:val="Hipersaitas"/>
          <w:rFonts w:cstheme="minorHAnsi"/>
        </w:rPr>
      </w:pPr>
      <w:hyperlink r:id="rId20" w:anchor="{%22appno%22:[%2280982/12%22],%22itemid%22:[%22001-205509%22]}" w:history="1">
        <w:r w:rsidR="009A31A7" w:rsidRPr="0025732F">
          <w:rPr>
            <w:rStyle w:val="Hipersaitas"/>
            <w:rFonts w:cstheme="minorHAnsi"/>
          </w:rPr>
          <w:t>Prieiga internete</w:t>
        </w:r>
      </w:hyperlink>
    </w:p>
    <w:p w14:paraId="49682E62" w14:textId="77777777" w:rsidR="00D138CC" w:rsidRPr="009C6F4D" w:rsidRDefault="00D138CC" w:rsidP="009C6F4D">
      <w:bookmarkStart w:id="34" w:name="_Toc19877693"/>
    </w:p>
    <w:p w14:paraId="7FB02027" w14:textId="49712961" w:rsidR="00A0072B" w:rsidRPr="0025732F" w:rsidRDefault="00A0072B" w:rsidP="00D138CC">
      <w:pPr>
        <w:pStyle w:val="Antrat1"/>
        <w:rPr>
          <w:rFonts w:cstheme="minorHAnsi"/>
          <w:szCs w:val="22"/>
        </w:rPr>
      </w:pPr>
      <w:bookmarkStart w:id="35" w:name="_Toc72932284"/>
      <w:r w:rsidRPr="0025732F">
        <w:rPr>
          <w:rFonts w:cstheme="minorHAnsi"/>
          <w:szCs w:val="22"/>
        </w:rPr>
        <w:t>M</w:t>
      </w:r>
      <w:r w:rsidR="00D138CC" w:rsidRPr="0025732F">
        <w:rPr>
          <w:rFonts w:cstheme="minorHAnsi"/>
          <w:szCs w:val="22"/>
        </w:rPr>
        <w:t>INTIES, SĄŽINĖS IR RELIGIJOS LAISVĖ</w:t>
      </w:r>
      <w:r w:rsidRPr="0025732F">
        <w:rPr>
          <w:rFonts w:cstheme="minorHAnsi"/>
          <w:szCs w:val="22"/>
        </w:rPr>
        <w:t xml:space="preserve"> (9 </w:t>
      </w:r>
      <w:r w:rsidR="00205BEB" w:rsidRPr="0025732F">
        <w:rPr>
          <w:rFonts w:cstheme="minorHAnsi"/>
          <w:szCs w:val="22"/>
        </w:rPr>
        <w:t>straipsnis</w:t>
      </w:r>
      <w:r w:rsidRPr="0025732F">
        <w:rPr>
          <w:rFonts w:cstheme="minorHAnsi"/>
          <w:szCs w:val="22"/>
        </w:rPr>
        <w:t>)</w:t>
      </w:r>
      <w:bookmarkEnd w:id="34"/>
      <w:bookmarkEnd w:id="35"/>
    </w:p>
    <w:p w14:paraId="22CE6C89" w14:textId="5B137905" w:rsidR="00A0072B" w:rsidRPr="0025732F" w:rsidRDefault="00A0072B" w:rsidP="00A0072B">
      <w:pPr>
        <w:spacing w:after="0" w:line="240" w:lineRule="auto"/>
        <w:jc w:val="center"/>
        <w:rPr>
          <w:rFonts w:cstheme="minorHAnsi"/>
          <w:b/>
        </w:rPr>
      </w:pPr>
    </w:p>
    <w:p w14:paraId="2239DD5B" w14:textId="77777777" w:rsidR="00D138CC" w:rsidRPr="0025732F" w:rsidRDefault="00D138CC" w:rsidP="00D138CC">
      <w:pPr>
        <w:spacing w:after="0" w:line="240" w:lineRule="auto"/>
        <w:ind w:firstLine="567"/>
        <w:jc w:val="center"/>
        <w:rPr>
          <w:rFonts w:cstheme="minorHAnsi"/>
          <w:b/>
        </w:rPr>
      </w:pPr>
      <w:r w:rsidRPr="0025732F">
        <w:rPr>
          <w:rFonts w:cstheme="minorHAnsi"/>
          <w:b/>
        </w:rPr>
        <w:t>Europos Žmogaus Teisių Teismo 2020 m. spalio 22 d. sprendimas byloje</w:t>
      </w:r>
      <w:bookmarkStart w:id="36" w:name="_Toc506738624"/>
      <w:r w:rsidRPr="0025732F">
        <w:rPr>
          <w:rFonts w:cstheme="minorHAnsi"/>
          <w:b/>
        </w:rPr>
        <w:t xml:space="preserve"> </w:t>
      </w:r>
    </w:p>
    <w:p w14:paraId="20ED9FFC" w14:textId="77777777" w:rsidR="00D138CC" w:rsidRPr="0025732F" w:rsidRDefault="00D138CC" w:rsidP="009C6F4D">
      <w:pPr>
        <w:pStyle w:val="Antrat2"/>
        <w:ind w:firstLine="0"/>
        <w:jc w:val="center"/>
        <w:rPr>
          <w:i/>
          <w:iCs w:val="0"/>
        </w:rPr>
      </w:pPr>
      <w:bookmarkStart w:id="37" w:name="_Toc72932285"/>
      <w:r w:rsidRPr="0025732F">
        <w:rPr>
          <w:i/>
          <w:iCs w:val="0"/>
        </w:rPr>
        <w:t xml:space="preserve">Christian Religious Organization of Jehovah’s Witnesses prieš </w:t>
      </w:r>
      <w:bookmarkEnd w:id="36"/>
      <w:r w:rsidRPr="0025732F">
        <w:rPr>
          <w:i/>
          <w:iCs w:val="0"/>
        </w:rPr>
        <w:t>Armėniją</w:t>
      </w:r>
      <w:bookmarkEnd w:id="37"/>
    </w:p>
    <w:p w14:paraId="571F5BAA" w14:textId="6EBDDA3E" w:rsidR="00D138CC" w:rsidRPr="0025732F" w:rsidRDefault="00D138CC" w:rsidP="00D138CC">
      <w:pPr>
        <w:spacing w:after="0" w:line="240" w:lineRule="auto"/>
        <w:ind w:firstLine="567"/>
        <w:jc w:val="center"/>
        <w:rPr>
          <w:rFonts w:cstheme="minorHAnsi"/>
          <w:b/>
        </w:rPr>
      </w:pPr>
      <w:r w:rsidRPr="0025732F">
        <w:rPr>
          <w:rFonts w:cstheme="minorHAnsi"/>
          <w:b/>
        </w:rPr>
        <w:t>(pareiškimo Nr. 73601/14</w:t>
      </w:r>
      <w:r w:rsidR="003A37DB" w:rsidRPr="0025732F">
        <w:rPr>
          <w:rFonts w:cstheme="minorHAnsi"/>
          <w:b/>
        </w:rPr>
        <w:t xml:space="preserve">, svarbos lygis - </w:t>
      </w:r>
      <w:r w:rsidR="00D74E1D" w:rsidRPr="0025732F">
        <w:rPr>
          <w:rFonts w:cstheme="minorHAnsi"/>
          <w:b/>
        </w:rPr>
        <w:t>3</w:t>
      </w:r>
      <w:r w:rsidRPr="0025732F">
        <w:rPr>
          <w:rFonts w:cstheme="minorHAnsi"/>
          <w:b/>
        </w:rPr>
        <w:t>)</w:t>
      </w:r>
    </w:p>
    <w:p w14:paraId="690C6FC8" w14:textId="77777777" w:rsidR="00D138CC" w:rsidRPr="0025732F" w:rsidRDefault="00D138CC" w:rsidP="00D138CC">
      <w:pPr>
        <w:pStyle w:val="s6c429373"/>
        <w:spacing w:before="0" w:beforeAutospacing="0" w:after="0" w:afterAutospacing="0"/>
        <w:ind w:firstLine="567"/>
        <w:jc w:val="both"/>
        <w:rPr>
          <w:rStyle w:val="sfbbfee58"/>
          <w:rFonts w:asciiTheme="minorHAnsi" w:hAnsiTheme="minorHAnsi" w:cstheme="minorHAnsi"/>
          <w:i/>
          <w:sz w:val="22"/>
          <w:szCs w:val="22"/>
        </w:rPr>
      </w:pPr>
    </w:p>
    <w:p w14:paraId="1D29427F" w14:textId="77777777" w:rsidR="00D138CC" w:rsidRPr="0025732F" w:rsidRDefault="00D138CC" w:rsidP="002B15F3">
      <w:pPr>
        <w:pStyle w:val="Antrat3"/>
        <w:ind w:firstLine="567"/>
        <w:jc w:val="both"/>
      </w:pPr>
      <w:bookmarkStart w:id="38" w:name="_Toc72932286"/>
      <w:r w:rsidRPr="0025732F">
        <w:t>Dėl valstybės atsisakymo taikyti apmokestinimo išimtį religinei organizacijai sukeliamų pasekmių reikšmės, sprendžiant dėl pareiškimo priėmimo</w:t>
      </w:r>
      <w:bookmarkEnd w:id="38"/>
    </w:p>
    <w:p w14:paraId="52E8B8C2" w14:textId="77777777" w:rsidR="00D138CC" w:rsidRPr="0025732F" w:rsidRDefault="00D138CC" w:rsidP="00D138CC">
      <w:pPr>
        <w:spacing w:after="0" w:line="240" w:lineRule="auto"/>
        <w:ind w:firstLine="567"/>
        <w:rPr>
          <w:rFonts w:cstheme="minorHAnsi"/>
        </w:rPr>
      </w:pPr>
    </w:p>
    <w:p w14:paraId="4504D446" w14:textId="77777777" w:rsidR="00D138CC" w:rsidRPr="0025732F" w:rsidRDefault="00D138CC" w:rsidP="00D138CC">
      <w:pPr>
        <w:spacing w:after="0" w:line="240" w:lineRule="auto"/>
        <w:jc w:val="center"/>
        <w:rPr>
          <w:rFonts w:cstheme="minorHAnsi"/>
          <w:b/>
        </w:rPr>
      </w:pPr>
      <w:r w:rsidRPr="0025732F">
        <w:rPr>
          <w:rFonts w:cstheme="minorHAnsi"/>
          <w:b/>
        </w:rPr>
        <w:t>Faktinės aplinkybės</w:t>
      </w:r>
    </w:p>
    <w:p w14:paraId="65506D8D" w14:textId="77777777" w:rsidR="00D138CC" w:rsidRPr="0025732F" w:rsidRDefault="00D138CC" w:rsidP="00D138CC">
      <w:pPr>
        <w:spacing w:after="0" w:line="240" w:lineRule="auto"/>
        <w:ind w:left="113" w:firstLine="567"/>
        <w:jc w:val="both"/>
        <w:rPr>
          <w:rFonts w:cstheme="minorHAnsi"/>
        </w:rPr>
      </w:pPr>
      <w:r w:rsidRPr="0025732F">
        <w:rPr>
          <w:rFonts w:cstheme="minorHAnsi"/>
          <w:b/>
        </w:rPr>
        <w:lastRenderedPageBreak/>
        <w:t xml:space="preserve"> </w:t>
      </w:r>
    </w:p>
    <w:p w14:paraId="5987982E" w14:textId="77777777" w:rsidR="00D138CC" w:rsidRPr="0025732F" w:rsidRDefault="00D138CC" w:rsidP="00D138CC">
      <w:pPr>
        <w:spacing w:after="0" w:line="240" w:lineRule="auto"/>
        <w:ind w:left="113" w:firstLine="567"/>
        <w:jc w:val="both"/>
        <w:rPr>
          <w:rFonts w:cstheme="minorHAnsi"/>
        </w:rPr>
      </w:pPr>
      <w:r w:rsidRPr="0025732F">
        <w:rPr>
          <w:rFonts w:cstheme="minorHAnsi"/>
        </w:rPr>
        <w:t>Pareiškėjas (religinė organizacija) nesėkmingai nacionaliniuose teismuose ginčijo Armėnijos mokesčių administratoriaus sprendimą atsisakyti atleisti nuo importo mokesčių už iš Vokietijos į šalies teritoriją įvežamus neatlygintinai gaunamus (dovanotus) periodinius leidinius ir CD/DVD plokšteles (religinę literatūrą), taip pat tai, kaip šis administratorius skaičiavo mokėtinus mokesčius už šį importą (pareiškėjas nesutiko su mokesčių administratoriaus pozicija dėl apmokestinamosios vertės skaičiavimo).</w:t>
      </w:r>
    </w:p>
    <w:p w14:paraId="41E6145F" w14:textId="77777777" w:rsidR="00D138CC" w:rsidRPr="0025732F" w:rsidRDefault="00D138CC" w:rsidP="00D138CC">
      <w:pPr>
        <w:spacing w:after="0" w:line="240" w:lineRule="auto"/>
        <w:ind w:left="113" w:firstLine="567"/>
        <w:jc w:val="both"/>
        <w:rPr>
          <w:rFonts w:cstheme="minorHAnsi"/>
        </w:rPr>
      </w:pPr>
      <w:r w:rsidRPr="0025732F">
        <w:rPr>
          <w:rFonts w:cstheme="minorHAnsi"/>
        </w:rPr>
        <w:t>Manydamas, kad atsisakymas atleisti religinę literatūrą nuo importo mokesčių ir šių mokesčių skaičiavimo tvarka (teigė, kad apmokestinamoji (muitinės) vertė apskaičiuota nepagrįstai didelė) pažeidžia Konvencijos 9 straipsnį, pareiškėjas pateikė pareiškimą Teismui.</w:t>
      </w:r>
    </w:p>
    <w:p w14:paraId="32A85D6D" w14:textId="77777777" w:rsidR="00D138CC" w:rsidRPr="0025732F" w:rsidRDefault="00D138CC" w:rsidP="00D138CC">
      <w:pPr>
        <w:spacing w:after="0" w:line="240" w:lineRule="auto"/>
        <w:ind w:left="113" w:firstLine="567"/>
        <w:jc w:val="both"/>
        <w:rPr>
          <w:rFonts w:cstheme="minorHAnsi"/>
        </w:rPr>
      </w:pPr>
    </w:p>
    <w:p w14:paraId="0014DB12" w14:textId="77777777" w:rsidR="00D138CC" w:rsidRPr="0025732F" w:rsidRDefault="00D138CC" w:rsidP="00D138CC">
      <w:pPr>
        <w:spacing w:after="0" w:line="240" w:lineRule="auto"/>
        <w:jc w:val="center"/>
        <w:rPr>
          <w:rFonts w:cstheme="minorHAnsi"/>
          <w:b/>
        </w:rPr>
      </w:pPr>
      <w:r w:rsidRPr="0025732F">
        <w:rPr>
          <w:rFonts w:cstheme="minorHAnsi"/>
          <w:b/>
        </w:rPr>
        <w:t>Neoficiali Teismo sprendimo apžvalga</w:t>
      </w:r>
    </w:p>
    <w:p w14:paraId="3B24E50E" w14:textId="77777777" w:rsidR="00D138CC" w:rsidRPr="0025732F" w:rsidRDefault="00D138CC" w:rsidP="00D138CC">
      <w:pPr>
        <w:spacing w:after="0" w:line="240" w:lineRule="auto"/>
        <w:ind w:left="113" w:firstLine="567"/>
        <w:jc w:val="both"/>
        <w:rPr>
          <w:rFonts w:cstheme="minorHAnsi"/>
        </w:rPr>
      </w:pPr>
    </w:p>
    <w:p w14:paraId="117427AD" w14:textId="6C42469C" w:rsidR="00D138CC" w:rsidRPr="0025732F" w:rsidRDefault="00D138CC" w:rsidP="002B15F3">
      <w:pPr>
        <w:spacing w:after="0" w:line="240" w:lineRule="auto"/>
        <w:ind w:left="113" w:firstLine="454"/>
        <w:jc w:val="both"/>
        <w:rPr>
          <w:rFonts w:cstheme="minorHAnsi"/>
        </w:rPr>
      </w:pPr>
      <w:r w:rsidRPr="0025732F">
        <w:rPr>
          <w:rFonts w:cstheme="minorHAnsi"/>
        </w:rPr>
        <w:t>Spręsdamas pareiškimo priėmimo klausimą, Teismas pirmiausia priminė, jog jis jau yra nusprendęs, kad ekonominės, finansinės ar fiskalinės priemonės gali būti laikomos ribojančiomis Konvencijos 9 straipsniu saugomas teises ir laisves, jei šios priemonės pripažįstamos turinčiomis realų ir reikšmingą poveikį religinės bendruomenės galimybei vykdyti savo (religinę) veiklą.</w:t>
      </w:r>
    </w:p>
    <w:p w14:paraId="3022D3F1" w14:textId="77777777" w:rsidR="00D138CC" w:rsidRPr="0025732F" w:rsidRDefault="00D138CC" w:rsidP="002B15F3">
      <w:pPr>
        <w:spacing w:after="0" w:line="240" w:lineRule="auto"/>
        <w:ind w:left="113" w:firstLine="454"/>
        <w:jc w:val="both"/>
        <w:rPr>
          <w:rFonts w:cstheme="minorHAnsi"/>
        </w:rPr>
      </w:pPr>
      <w:r w:rsidRPr="0025732F">
        <w:rPr>
          <w:rFonts w:cstheme="minorHAnsi"/>
        </w:rPr>
        <w:t>Nagrinėtu atveju ginčytos priemonės, įskaitant atsisakymą taikyti nacionalinėje teisėje numatytą apmokestinimo išimtį, neturėjo minėto poveikio į Teismą besikreipiančiai organizacijai, kuris (poveikis) iš esmės paneigtų jos galimybę vykdyti religinę veiklą – akcentuota, kad organizacija buvo įpareigota mokėti importo PVM nuo jos importuojamų periodinių leidinių ir kompaktinių plokštelių muitinės vertės, tačiau knygos ir Biblijos nebuvo apmokestintos; ginčytos priemonės neturėjo jokio poveikio ir organizacijos maldos namams (šių namų veiklai).</w:t>
      </w:r>
    </w:p>
    <w:p w14:paraId="432991F4" w14:textId="77777777" w:rsidR="00D138CC" w:rsidRPr="0025732F" w:rsidRDefault="00D138CC" w:rsidP="002B15F3">
      <w:pPr>
        <w:spacing w:after="0" w:line="240" w:lineRule="auto"/>
        <w:ind w:left="113" w:firstLine="454"/>
        <w:jc w:val="both"/>
        <w:rPr>
          <w:rFonts w:cstheme="minorHAnsi"/>
        </w:rPr>
      </w:pPr>
      <w:r w:rsidRPr="0025732F">
        <w:rPr>
          <w:rFonts w:cstheme="minorHAnsi"/>
        </w:rPr>
        <w:t xml:space="preserve">Teismas pripažino bendrą ilgalaikį ginčytos priemonės finansinį poveikį, nes organizacija religinę literatūrą importavo reguliariai. Tačiau jis taip pat pastebėjo, jog pareiškėjas nenurodė, kad organizacija yra nepajėgi sumokėti importo mokesčių, ar kad ji susiduria su tokiais finansiniais sunkumais, kurie neleistų užtikrinti jos narių galimybės laisvai išpažinti savo tikėjimą. Atitinkamai Teismas sprendė, kad </w:t>
      </w:r>
      <w:r w:rsidRPr="009C6F4D">
        <w:rPr>
          <w:rFonts w:cstheme="minorHAnsi"/>
          <w:u w:val="single"/>
        </w:rPr>
        <w:t>mokesčių administratoriaus atsisakymas atleisti nuo importo PVM mokėjimo už organizacijos įvežtą jai paaukotą (padovanotą) religinę literatūrą nepažeidė jos teisės praktikuoti savo religijos</w:t>
      </w:r>
      <w:r w:rsidRPr="0025732F">
        <w:rPr>
          <w:rFonts w:cstheme="minorHAnsi"/>
        </w:rPr>
        <w:t>.</w:t>
      </w:r>
    </w:p>
    <w:p w14:paraId="2CD10978" w14:textId="77777777" w:rsidR="00D138CC" w:rsidRPr="0025732F" w:rsidRDefault="00D138CC" w:rsidP="00D138CC">
      <w:pPr>
        <w:spacing w:after="0" w:line="240" w:lineRule="auto"/>
        <w:ind w:left="113" w:firstLine="567"/>
        <w:jc w:val="both"/>
        <w:rPr>
          <w:rFonts w:cstheme="minorHAnsi"/>
        </w:rPr>
      </w:pPr>
    </w:p>
    <w:p w14:paraId="6A651389" w14:textId="77777777" w:rsidR="00D138CC" w:rsidRPr="0025732F" w:rsidRDefault="00D138CC" w:rsidP="00D138CC">
      <w:pPr>
        <w:spacing w:after="0" w:line="240" w:lineRule="auto"/>
        <w:ind w:left="113" w:firstLine="567"/>
        <w:jc w:val="both"/>
        <w:rPr>
          <w:rFonts w:cstheme="minorHAnsi"/>
        </w:rPr>
      </w:pPr>
      <w:r w:rsidRPr="0025732F">
        <w:rPr>
          <w:rFonts w:cstheme="minorHAnsi"/>
        </w:rPr>
        <w:t>Išvada: pareiškimas nepriimtinas (vienbalsiai).</w:t>
      </w:r>
    </w:p>
    <w:p w14:paraId="42AB71E5" w14:textId="77777777" w:rsidR="00D138CC" w:rsidRPr="0025732F" w:rsidRDefault="006922FB" w:rsidP="00D138CC">
      <w:pPr>
        <w:spacing w:after="0" w:line="240" w:lineRule="auto"/>
        <w:ind w:left="113" w:firstLine="567"/>
        <w:jc w:val="both"/>
        <w:rPr>
          <w:rFonts w:cstheme="minorHAnsi"/>
        </w:rPr>
      </w:pPr>
      <w:hyperlink r:id="rId21" w:history="1">
        <w:r w:rsidR="00D138CC" w:rsidRPr="0025732F">
          <w:rPr>
            <w:rStyle w:val="Hipersaitas"/>
            <w:rFonts w:cstheme="minorHAnsi"/>
          </w:rPr>
          <w:t>Prieiga internete</w:t>
        </w:r>
      </w:hyperlink>
    </w:p>
    <w:p w14:paraId="1516AEBA" w14:textId="77777777" w:rsidR="00D138CC" w:rsidRPr="0025732F" w:rsidRDefault="00D138CC" w:rsidP="00A0072B">
      <w:pPr>
        <w:spacing w:after="0" w:line="240" w:lineRule="auto"/>
        <w:jc w:val="center"/>
        <w:rPr>
          <w:rFonts w:cstheme="minorHAnsi"/>
          <w:b/>
        </w:rPr>
      </w:pPr>
    </w:p>
    <w:p w14:paraId="64267AB1" w14:textId="3E1474BF" w:rsidR="00A0072B" w:rsidRPr="0025732F" w:rsidRDefault="00A0072B" w:rsidP="00A0072B">
      <w:pPr>
        <w:spacing w:after="0" w:line="240" w:lineRule="auto"/>
        <w:jc w:val="center"/>
        <w:rPr>
          <w:rFonts w:cstheme="minorHAnsi"/>
          <w:b/>
        </w:rPr>
      </w:pPr>
      <w:r w:rsidRPr="0025732F">
        <w:rPr>
          <w:rFonts w:cstheme="minorHAnsi"/>
          <w:b/>
        </w:rPr>
        <w:t>Europos Žmogaus Teisių Teismo 2020 m. lapkričio 10 d. sprendimas byloje</w:t>
      </w:r>
    </w:p>
    <w:p w14:paraId="333DB79C" w14:textId="77777777" w:rsidR="00A0072B" w:rsidRPr="0025732F" w:rsidRDefault="00A0072B" w:rsidP="009C6F4D">
      <w:pPr>
        <w:pStyle w:val="Antrat2"/>
        <w:ind w:firstLine="0"/>
        <w:jc w:val="center"/>
        <w:rPr>
          <w:rFonts w:cstheme="minorHAnsi"/>
          <w:i/>
          <w:iCs w:val="0"/>
        </w:rPr>
      </w:pPr>
      <w:bookmarkStart w:id="39" w:name="_Toc72932287"/>
      <w:r w:rsidRPr="0025732F">
        <w:rPr>
          <w:rFonts w:cstheme="minorHAnsi"/>
          <w:i/>
          <w:iCs w:val="0"/>
        </w:rPr>
        <w:t>Saran prieš Rumuniją</w:t>
      </w:r>
      <w:bookmarkEnd w:id="39"/>
    </w:p>
    <w:p w14:paraId="2CBA3129" w14:textId="67F0E46E" w:rsidR="00A0072B" w:rsidRPr="0025732F" w:rsidRDefault="00A0072B" w:rsidP="00A0072B">
      <w:pPr>
        <w:spacing w:after="0" w:line="240" w:lineRule="auto"/>
        <w:jc w:val="center"/>
        <w:rPr>
          <w:rFonts w:cstheme="minorHAnsi"/>
          <w:b/>
        </w:rPr>
      </w:pPr>
      <w:r w:rsidRPr="0025732F">
        <w:rPr>
          <w:rFonts w:cstheme="minorHAnsi"/>
          <w:b/>
        </w:rPr>
        <w:t>(pareiškimo Nr. 65993/16, svarbos lygis – 2)</w:t>
      </w:r>
    </w:p>
    <w:p w14:paraId="1F784D51" w14:textId="77777777" w:rsidR="001A610F" w:rsidRPr="0025732F" w:rsidRDefault="001A610F" w:rsidP="00A0072B">
      <w:pPr>
        <w:spacing w:after="0" w:line="240" w:lineRule="auto"/>
        <w:jc w:val="center"/>
        <w:rPr>
          <w:rFonts w:cstheme="minorHAnsi"/>
        </w:rPr>
      </w:pPr>
    </w:p>
    <w:p w14:paraId="7DFCB51A" w14:textId="77777777" w:rsidR="00A0072B" w:rsidRPr="0025732F" w:rsidRDefault="00A0072B" w:rsidP="002B15F3">
      <w:pPr>
        <w:pStyle w:val="Antrat3"/>
        <w:ind w:firstLine="567"/>
        <w:jc w:val="both"/>
        <w:rPr>
          <w:rFonts w:cstheme="minorHAnsi"/>
          <w:szCs w:val="22"/>
          <w:shd w:val="clear" w:color="auto" w:fill="FFFFFF"/>
          <w:lang w:eastAsia="lt-LT"/>
        </w:rPr>
      </w:pPr>
      <w:bookmarkStart w:id="40" w:name="_Toc72932288"/>
      <w:r w:rsidRPr="0025732F">
        <w:rPr>
          <w:rFonts w:cstheme="minorHAnsi"/>
          <w:szCs w:val="22"/>
          <w:shd w:val="clear" w:color="auto" w:fill="FFFFFF"/>
          <w:lang w:eastAsia="lt-LT"/>
        </w:rPr>
        <w:t xml:space="preserve">Dėl pareigos </w:t>
      </w:r>
      <w:r w:rsidRPr="0025732F">
        <w:rPr>
          <w:rFonts w:cstheme="minorHAnsi"/>
          <w:szCs w:val="22"/>
        </w:rPr>
        <w:t>kalinamam</w:t>
      </w:r>
      <w:r w:rsidRPr="0025732F">
        <w:rPr>
          <w:rFonts w:cstheme="minorHAnsi"/>
          <w:szCs w:val="22"/>
          <w:shd w:val="clear" w:color="auto" w:fill="FFFFFF"/>
          <w:lang w:eastAsia="lt-LT"/>
        </w:rPr>
        <w:t xml:space="preserve"> asmeniui pateikti religinės bendruomenės išduotą oficialų dokumentą, patvirtinantį jo atsivertimą į šią religiją, kad kalinimo metu jis galėtų gauti jo religinius įsitikinimus atitinkantį maitinimą</w:t>
      </w:r>
      <w:bookmarkEnd w:id="40"/>
    </w:p>
    <w:p w14:paraId="62BCA406" w14:textId="77777777" w:rsidR="00A0072B" w:rsidRPr="0025732F" w:rsidRDefault="00A0072B" w:rsidP="00A0072B">
      <w:pPr>
        <w:spacing w:after="0" w:line="240" w:lineRule="auto"/>
        <w:jc w:val="center"/>
        <w:rPr>
          <w:rFonts w:cstheme="minorHAnsi"/>
          <w:b/>
        </w:rPr>
      </w:pPr>
    </w:p>
    <w:p w14:paraId="79ED6480" w14:textId="77777777" w:rsidR="00A0072B" w:rsidRPr="0025732F" w:rsidRDefault="00A0072B" w:rsidP="00A0072B">
      <w:pPr>
        <w:spacing w:after="0" w:line="240" w:lineRule="auto"/>
        <w:jc w:val="center"/>
        <w:rPr>
          <w:rFonts w:cstheme="minorHAnsi"/>
          <w:b/>
        </w:rPr>
      </w:pPr>
      <w:r w:rsidRPr="0025732F">
        <w:rPr>
          <w:rFonts w:cstheme="minorHAnsi"/>
          <w:b/>
        </w:rPr>
        <w:t>Faktinės aplinkybės</w:t>
      </w:r>
    </w:p>
    <w:p w14:paraId="2335790A" w14:textId="77777777" w:rsidR="00A0072B" w:rsidRPr="0025732F" w:rsidRDefault="00A0072B" w:rsidP="00A0072B">
      <w:pPr>
        <w:spacing w:after="0" w:line="240" w:lineRule="auto"/>
        <w:ind w:firstLine="540"/>
        <w:jc w:val="center"/>
        <w:rPr>
          <w:rFonts w:cstheme="minorHAnsi"/>
          <w:b/>
        </w:rPr>
      </w:pPr>
    </w:p>
    <w:p w14:paraId="557135E5" w14:textId="307F26E5" w:rsidR="00A0072B" w:rsidRPr="0025732F" w:rsidRDefault="00A0072B" w:rsidP="00A0072B">
      <w:pPr>
        <w:spacing w:after="0" w:line="240" w:lineRule="auto"/>
        <w:ind w:firstLine="567"/>
        <w:jc w:val="both"/>
        <w:rPr>
          <w:rFonts w:cstheme="minorHAnsi"/>
        </w:rPr>
      </w:pPr>
      <w:r w:rsidRPr="0025732F">
        <w:rPr>
          <w:rFonts w:cstheme="minorHAnsi"/>
        </w:rPr>
        <w:t>Pareiškėjas, Mold</w:t>
      </w:r>
      <w:r w:rsidR="009C6F4D">
        <w:rPr>
          <w:rFonts w:cstheme="minorHAnsi"/>
        </w:rPr>
        <w:t>ovos</w:t>
      </w:r>
      <w:r w:rsidRPr="0025732F">
        <w:rPr>
          <w:rFonts w:cstheme="minorHAnsi"/>
        </w:rPr>
        <w:t xml:space="preserve"> pilietis, nuo 2016 m. balandžio mėn. iki 2018 m. rugpjūčio mėn. atliko laisvės atėmimo bausmę penkiuose Rumunijos kalėjimuose.</w:t>
      </w:r>
    </w:p>
    <w:p w14:paraId="732D740C" w14:textId="6B795BB1" w:rsidR="00A0072B" w:rsidRPr="0025732F" w:rsidRDefault="00A0072B" w:rsidP="00A0072B">
      <w:pPr>
        <w:spacing w:after="0" w:line="240" w:lineRule="auto"/>
        <w:ind w:firstLine="567"/>
        <w:jc w:val="both"/>
        <w:rPr>
          <w:rFonts w:cstheme="minorHAnsi"/>
        </w:rPr>
      </w:pPr>
      <w:r w:rsidRPr="0025732F">
        <w:rPr>
          <w:rFonts w:cstheme="minorHAnsi"/>
        </w:rPr>
        <w:t>2016 m. balandžio mėn. patekęs į Botoşani kalėjimą, pareiškėjas nurodė, kad yra musulmonas, ir prašė užtikrinti jam religinius įsitikinimus atitinkantį maitinimą. Šis pareiškėjo prašymas buvo patenkintas.</w:t>
      </w:r>
    </w:p>
    <w:p w14:paraId="31C9D2BE" w14:textId="77777777" w:rsidR="00A0072B" w:rsidRPr="0025732F" w:rsidRDefault="00A0072B" w:rsidP="00A0072B">
      <w:pPr>
        <w:spacing w:after="0" w:line="240" w:lineRule="auto"/>
        <w:ind w:firstLine="567"/>
        <w:jc w:val="both"/>
        <w:rPr>
          <w:rFonts w:cstheme="minorHAnsi"/>
        </w:rPr>
      </w:pPr>
      <w:r w:rsidRPr="0025732F">
        <w:rPr>
          <w:rFonts w:cstheme="minorHAnsi"/>
        </w:rPr>
        <w:t>Nuo 2016 m. gegužės mėn. iki 2016 m. gruodžio mėn. pareiškėjas buvo laikomas Iaşi ir Miercurea-Ciuc kalėjimuose, kuriuose būdamas taip pat prašė užtikrinti jam religinius įsitikinimus atitinkantį maitinimą bei suteikti tinkamą maldos vietą. Tačiau minėtų kalėjimų administracijos pareiškėjo prašymų netenkino, o nacionaliniai teismai šiuos sprendimus paliko galioti, be kita ko, pažymėdami, jog atvykęs į kalėjimą pareiškėjas nurodė esąs stačiatikis ir vėliau nepateikė jokių dokumentų, patvirtinančių, kad jis musulmonas.</w:t>
      </w:r>
    </w:p>
    <w:p w14:paraId="26A68988" w14:textId="77777777" w:rsidR="00A0072B" w:rsidRPr="0025732F" w:rsidRDefault="00A0072B" w:rsidP="00A0072B">
      <w:pPr>
        <w:spacing w:after="0" w:line="240" w:lineRule="auto"/>
        <w:ind w:firstLine="567"/>
        <w:jc w:val="both"/>
        <w:rPr>
          <w:rFonts w:cstheme="minorHAnsi"/>
        </w:rPr>
      </w:pPr>
      <w:r w:rsidRPr="0025732F">
        <w:rPr>
          <w:rFonts w:cstheme="minorHAnsi"/>
        </w:rPr>
        <w:lastRenderedPageBreak/>
        <w:t>2016 m. gruodžio mėn. pareiškėjas buvo perkeltas į Codlea kalėjimą, kur jam buvo tiekiamas religinius įsitikinimus (islamą) atitinkantis maitinimas. Nuo 2017 m. balandžio mėn. pareiškėjas laisvės atėmimo bausmę atliko Deva kalėjime, kur jam taip pat buvo užtikrintas musulmonų tikėjimą atitinkantis maitinimas.</w:t>
      </w:r>
    </w:p>
    <w:p w14:paraId="5DF6FD52" w14:textId="4BA8F040" w:rsidR="00A0072B" w:rsidRPr="0025732F" w:rsidRDefault="00A0072B" w:rsidP="00A0072B">
      <w:pPr>
        <w:spacing w:after="0" w:line="240" w:lineRule="auto"/>
        <w:ind w:firstLine="567"/>
        <w:jc w:val="both"/>
        <w:rPr>
          <w:rFonts w:cstheme="minorHAnsi"/>
        </w:rPr>
      </w:pPr>
      <w:r w:rsidRPr="0025732F">
        <w:rPr>
          <w:rFonts w:cstheme="minorHAnsi"/>
        </w:rPr>
        <w:t>Remdamasis Konvencijos 9 straipsniu bei 14 straipsniu (diskriminacijos uždraudimas), pareiškėjas skundėsi, kad Iaşi ir Miercurea-Ciuc kalėjimuose jam nebuvo užtikrintas religinius įsitikinimus atitinkantis maitinimas, be to, nebuvo suteikta tinkama maldos vieta. Pareiškėjas skundėsi, kad tokiu būdu jis buvo diskriminuojamas kitų kalinamųjų, kurių dauguma buvo stačiatikiai, atžvilgiu.</w:t>
      </w:r>
    </w:p>
    <w:p w14:paraId="6761279A" w14:textId="77777777" w:rsidR="00A0072B" w:rsidRPr="0025732F" w:rsidRDefault="00A0072B" w:rsidP="00A0072B">
      <w:pPr>
        <w:spacing w:after="0" w:line="240" w:lineRule="auto"/>
        <w:ind w:firstLine="567"/>
        <w:jc w:val="both"/>
        <w:rPr>
          <w:rStyle w:val="tlid-translation"/>
          <w:rFonts w:cstheme="minorHAnsi"/>
        </w:rPr>
      </w:pPr>
    </w:p>
    <w:p w14:paraId="15391F9B" w14:textId="77777777" w:rsidR="00A0072B" w:rsidRPr="0025732F" w:rsidRDefault="00A0072B" w:rsidP="00A0072B">
      <w:pPr>
        <w:spacing w:after="0" w:line="240" w:lineRule="auto"/>
        <w:jc w:val="center"/>
        <w:rPr>
          <w:rFonts w:cstheme="minorHAnsi"/>
        </w:rPr>
      </w:pPr>
      <w:r w:rsidRPr="0025732F">
        <w:rPr>
          <w:rFonts w:cstheme="minorHAnsi"/>
          <w:b/>
        </w:rPr>
        <w:t>Neoficiali Teismo sprendimo apžvalga</w:t>
      </w:r>
    </w:p>
    <w:p w14:paraId="4B7E3CEC" w14:textId="77777777" w:rsidR="00A0072B" w:rsidRPr="0025732F" w:rsidRDefault="00A0072B" w:rsidP="00A0072B">
      <w:pPr>
        <w:spacing w:after="0" w:line="240" w:lineRule="auto"/>
        <w:ind w:firstLine="567"/>
        <w:jc w:val="both"/>
        <w:rPr>
          <w:rStyle w:val="tlid-translation"/>
          <w:rFonts w:cstheme="minorHAnsi"/>
        </w:rPr>
      </w:pPr>
    </w:p>
    <w:p w14:paraId="44F40BBE" w14:textId="77777777" w:rsidR="00A0072B" w:rsidRPr="0025732F" w:rsidRDefault="00A0072B" w:rsidP="00A0072B">
      <w:pPr>
        <w:spacing w:after="0" w:line="240" w:lineRule="auto"/>
        <w:ind w:firstLine="567"/>
        <w:jc w:val="both"/>
        <w:rPr>
          <w:rStyle w:val="tlid-translation"/>
          <w:rFonts w:cstheme="minorHAnsi"/>
        </w:rPr>
      </w:pPr>
      <w:r w:rsidRPr="0025732F">
        <w:rPr>
          <w:rStyle w:val="tlid-translation"/>
          <w:rFonts w:cstheme="minorHAnsi"/>
        </w:rPr>
        <w:t>Visų pirma Teismas priminė, kad jo nesaisto teisiniai argumentai, kuriais remiasi pareiškėjas pagal Konvenciją ir jos protokolus, ir jis gali nuspręsti dėl teisinės kvalifikacijos. Atitinkamai Teismas sprendė, kad pareiškėjo skundas turėtų būti nagrinėjamas tik pagal Konvencijos 9 straipsnį.</w:t>
      </w:r>
    </w:p>
    <w:p w14:paraId="617341FA" w14:textId="77777777" w:rsidR="00A0072B" w:rsidRPr="0025732F" w:rsidRDefault="00A0072B" w:rsidP="00A0072B">
      <w:pPr>
        <w:spacing w:after="0" w:line="240" w:lineRule="auto"/>
        <w:ind w:firstLine="567"/>
        <w:jc w:val="both"/>
        <w:rPr>
          <w:rStyle w:val="tlid-translation"/>
          <w:rFonts w:cstheme="minorHAnsi"/>
        </w:rPr>
      </w:pPr>
      <w:r w:rsidRPr="0025732F">
        <w:rPr>
          <w:rStyle w:val="tlid-translation"/>
          <w:rFonts w:cstheme="minorHAnsi"/>
        </w:rPr>
        <w:t xml:space="preserve">Teismas taip pat nurodė, kad pareiškėjo skundas dėl </w:t>
      </w:r>
      <w:r w:rsidRPr="0025732F">
        <w:rPr>
          <w:rFonts w:cstheme="minorHAnsi"/>
        </w:rPr>
        <w:t>Miercurea-Ciuc</w:t>
      </w:r>
      <w:r w:rsidRPr="0025732F">
        <w:rPr>
          <w:rStyle w:val="tlid-translation"/>
          <w:rFonts w:cstheme="minorHAnsi"/>
        </w:rPr>
        <w:t xml:space="preserve"> kalėjimo buvo pateiktas pavėluotai, t. y. praleidus Konvencijos 35 straipsnio 1 dalyje nustatytą šešių mėnesių terminą. Todėl ši pareiškėjo skundo dalis pripažinta nepriimtina.</w:t>
      </w:r>
    </w:p>
    <w:p w14:paraId="1DB6F860" w14:textId="77777777" w:rsidR="00A0072B" w:rsidRPr="0025732F" w:rsidRDefault="00A0072B" w:rsidP="00A0072B">
      <w:pPr>
        <w:spacing w:after="0" w:line="240" w:lineRule="auto"/>
        <w:ind w:firstLine="567"/>
        <w:jc w:val="both"/>
        <w:rPr>
          <w:rStyle w:val="tlid-translation"/>
          <w:rFonts w:cstheme="minorHAnsi"/>
        </w:rPr>
      </w:pPr>
      <w:r w:rsidRPr="0025732F">
        <w:rPr>
          <w:rStyle w:val="tlid-translation"/>
          <w:rFonts w:cstheme="minorHAnsi"/>
        </w:rPr>
        <w:t xml:space="preserve">Kiek tai susiję su pareiškėjo skundo dalimi dėl </w:t>
      </w:r>
      <w:r w:rsidRPr="0025732F">
        <w:rPr>
          <w:rFonts w:cstheme="minorHAnsi"/>
        </w:rPr>
        <w:t xml:space="preserve">Iaşi kalėjimo, Teismas atkreipė dėmesį, jog nacionaliniuose Rumunijos teisės aktuose </w:t>
      </w:r>
      <w:r w:rsidRPr="0025732F">
        <w:rPr>
          <w:rStyle w:val="tlid-translation"/>
          <w:rFonts w:cstheme="minorHAnsi"/>
        </w:rPr>
        <w:t>buvo aiškiai įtvirtinta kalinamųjų teisė gauti maitinimą, atitinkantį jų religinius įsitikinimus. Be to, pagal Rumunijos nacionalinės teisės nuostatas į kalėjimą patekę asmenys galėjo deklaruoti savo išpažįstamą religiją, o vėliau kalinimo metu ją pakeitę, galėjo dėl to pateikti naują deklaraciją kartu su dokumentais, patvirtinančiais jų išpažįstamą naują tikėjimą.</w:t>
      </w:r>
    </w:p>
    <w:p w14:paraId="0F634B93" w14:textId="29BF8C83" w:rsidR="00A0072B" w:rsidRPr="0025732F" w:rsidRDefault="00A0072B" w:rsidP="00A0072B">
      <w:pPr>
        <w:spacing w:after="0" w:line="240" w:lineRule="auto"/>
        <w:ind w:firstLine="567"/>
        <w:jc w:val="both"/>
        <w:rPr>
          <w:rFonts w:cstheme="minorHAnsi"/>
        </w:rPr>
      </w:pPr>
      <w:r w:rsidRPr="0025732F">
        <w:rPr>
          <w:rStyle w:val="tlid-translation"/>
          <w:rFonts w:cstheme="minorHAnsi"/>
        </w:rPr>
        <w:t xml:space="preserve">Šiuo aspektu Rumunijos vyriausybė tvirtino, kad </w:t>
      </w:r>
      <w:r w:rsidRPr="0025732F">
        <w:rPr>
          <w:rFonts w:cstheme="minorHAnsi"/>
        </w:rPr>
        <w:t>patekęs į kalėjimą, pareiškėjas nurodė</w:t>
      </w:r>
      <w:r w:rsidRPr="0025732F">
        <w:rPr>
          <w:rStyle w:val="tlid-translation"/>
          <w:rFonts w:cstheme="minorHAnsi"/>
        </w:rPr>
        <w:t xml:space="preserve"> esąs stačiatikis, todėl vėliau turėjo pateikti savo atsivertimo į islamą įrodymus, norėdamas gauti šį </w:t>
      </w:r>
      <w:r w:rsidRPr="0025732F">
        <w:rPr>
          <w:rFonts w:cstheme="minorHAnsi"/>
        </w:rPr>
        <w:t>tikėjimą atitinkantį maitinimą. Tačiau Teismas pažymėjo, kad pareiškėjas nurodė, jog pirmą kartą patekęs į Botoşani kalėjimą jis gavo su musulmonų tikėjimu suderintą maitinimą, ir Rumunijos vyriausybė to neginčijo. Be to, Iaşi kalėjimo etinės ir dvasinės pagalbos forma bei Codlea ir Deva kalėjimų švietimo bei psichosocialinės paramos įrašai patvirtino, kad pareiškėjas buvo musulmonas.</w:t>
      </w:r>
    </w:p>
    <w:p w14:paraId="6F5711ED" w14:textId="347E5721" w:rsidR="00A0072B" w:rsidRPr="0025732F" w:rsidRDefault="00A0072B" w:rsidP="00A0072B">
      <w:pPr>
        <w:spacing w:after="0" w:line="240" w:lineRule="auto"/>
        <w:ind w:firstLine="567"/>
        <w:jc w:val="both"/>
        <w:rPr>
          <w:rFonts w:cstheme="minorHAnsi"/>
        </w:rPr>
      </w:pPr>
      <w:r w:rsidRPr="0025732F">
        <w:rPr>
          <w:rFonts w:cstheme="minorHAnsi"/>
        </w:rPr>
        <w:t>Teismas nurodė, kad nacionalinių teismų nustatyta aplinkybė, kuria remiantis buvo atmestas pareiškėjo skundas, t. y. jog atvykęs į kalėjimą pareiškėjas nurodė esąs stačiatikis ir vėliau nepateikė jokių atsivertimą į islamą patvirtinančių duomenų, nesutampa su Iaşi kalėjimo etinės ir dvasinės pagalbos formos duomenimis, kuriuose nurodyta, kad pareiškėjas yra musulmonas. Tačiau nebuvo jokių duomenų, kad nacionaliniai teismai būtų mėginę patikrinti kalėjimo užfiksuotus faktinius duomenis apie pareiškėjo išpažįstamą religiją, o Rumunijos vyriausybė nepateikė jokių paaiškinimų dėl įvairiuose nacionalinių institucijų dokumentuose esančių neatitikimų dėl pareiškėjo tikėjimo.</w:t>
      </w:r>
    </w:p>
    <w:p w14:paraId="7A57B4E5" w14:textId="77777777" w:rsidR="00A0072B" w:rsidRPr="0025732F" w:rsidRDefault="00A0072B" w:rsidP="00A0072B">
      <w:pPr>
        <w:spacing w:after="0" w:line="240" w:lineRule="auto"/>
        <w:ind w:firstLine="567"/>
        <w:jc w:val="both"/>
        <w:rPr>
          <w:rFonts w:cstheme="minorHAnsi"/>
          <w:shd w:val="clear" w:color="auto" w:fill="FFFFFF"/>
          <w:lang w:eastAsia="lt-LT"/>
        </w:rPr>
      </w:pPr>
      <w:r w:rsidRPr="0025732F">
        <w:rPr>
          <w:rFonts w:cstheme="minorHAnsi"/>
        </w:rPr>
        <w:t xml:space="preserve">Šiuo klausimu Teismas pabrėžė, jog </w:t>
      </w:r>
      <w:r w:rsidRPr="009C6F4D">
        <w:rPr>
          <w:rFonts w:cstheme="minorHAnsi"/>
          <w:u w:val="single"/>
        </w:rPr>
        <w:t xml:space="preserve">nacionalinės valdžios institucijos turi pareigą imtis reikiamų priemonių ir tarpusavyje bendradarbiauti, kad būtų užtikrintas tinkamas keitimasis informacija, ypač tokioje situacijoje, kai pagal nacionalinės teisės aktus į kalėjimą pirmą kartą atvykęs asmuo gali laisvai ir be jokių formalumų nurodyti savo išpažįstamą religiją, o kalinimo metu pasikeitus jo religiniams įsitikinimams, norėdamas tai įrodyti, asmuo turi pateikti </w:t>
      </w:r>
      <w:r w:rsidRPr="009C6F4D">
        <w:rPr>
          <w:rFonts w:cstheme="minorHAnsi"/>
          <w:u w:val="single"/>
          <w:shd w:val="clear" w:color="auto" w:fill="FFFFFF"/>
          <w:lang w:eastAsia="lt-LT"/>
        </w:rPr>
        <w:t>religinės bendruomenės išduotą oficialų dokumentą, patvirtinantį jo atsivertimą į šią religiją.</w:t>
      </w:r>
    </w:p>
    <w:p w14:paraId="11C3A284" w14:textId="77777777" w:rsidR="00A0072B" w:rsidRPr="009C6F4D" w:rsidRDefault="00A0072B" w:rsidP="00A0072B">
      <w:pPr>
        <w:spacing w:after="0" w:line="240" w:lineRule="auto"/>
        <w:ind w:firstLine="567"/>
        <w:jc w:val="both"/>
        <w:rPr>
          <w:rFonts w:cstheme="minorHAnsi"/>
          <w:u w:val="single"/>
        </w:rPr>
      </w:pPr>
      <w:r w:rsidRPr="0025732F">
        <w:rPr>
          <w:rFonts w:cstheme="minorHAnsi"/>
        </w:rPr>
        <w:t xml:space="preserve">Teismas priminė, kad tuo atveju, kai asmuo remdamasis savo religiniais įsitikinimais prašo taikyti jam atitinkamą išimtį, reikalavimas pateikti tam tikrus asmens tikėjimą pagrindžiančius duomenis, o tokių duomenų nepateikus – neigiamo sprendimo priėmimas, nėra perteklinis ir savaime nesuderinamas su religijos laisve (žr. 2020 m. kovo 10 d. sprendimo </w:t>
      </w:r>
      <w:r w:rsidRPr="0025732F">
        <w:rPr>
          <w:rFonts w:cstheme="minorHAnsi"/>
          <w:i/>
        </w:rPr>
        <w:t>Dyagilev prieš Rusiją</w:t>
      </w:r>
      <w:r w:rsidRPr="0025732F">
        <w:rPr>
          <w:rFonts w:cstheme="minorHAnsi"/>
        </w:rPr>
        <w:t xml:space="preserve">, pareiškimo Nr. 49972/16, 62 punktą ir jame nurodytą praktiką). Tačiau, Teismo vertinimu, toks </w:t>
      </w:r>
      <w:r w:rsidRPr="009C6F4D">
        <w:rPr>
          <w:rFonts w:cstheme="minorHAnsi"/>
          <w:u w:val="single"/>
        </w:rPr>
        <w:t>reguliavimas, kuriuo griežtai reikalaujama pateikti dokumentinius išpažįstamo tikėjimo įrodymus, peržengia asmens tikėjimo pagrindimo, kurio gali būti reikalaujama, ribas. Tai ypač taikytina šiuo atveju, kai pirmą kartą deklaruoti savo išpažįstamą religiją kaliniai gali nepateikdami jokių įrodymų.</w:t>
      </w:r>
    </w:p>
    <w:p w14:paraId="193E5608" w14:textId="77777777" w:rsidR="00A0072B" w:rsidRPr="0025732F" w:rsidRDefault="00A0072B" w:rsidP="00A0072B">
      <w:pPr>
        <w:spacing w:after="0" w:line="240" w:lineRule="auto"/>
        <w:ind w:firstLine="567"/>
        <w:jc w:val="both"/>
        <w:rPr>
          <w:rFonts w:cstheme="minorHAnsi"/>
        </w:rPr>
      </w:pPr>
      <w:r w:rsidRPr="0025732F">
        <w:rPr>
          <w:rFonts w:cstheme="minorHAnsi"/>
        </w:rPr>
        <w:t>Atsižvelgęs į tai, Teismas sprendė, kad atsisakydamos tiekti pareiškėjui jo religinius įsitikinimus atitinkantį maitinimą Iaşi kalėjime, nacionalinės valdžios institucijos nesugebėjo išlaikyti tinkamo balanso tarp pareiškėjo ir kalėjimo bei kitų nuteistųjų interesų. Teismas pažymėjo, kad Botoşani, Codlea ir Deva kalėjimuose pareiškėjui buvo tiekiamas su musulmonų tikėjimu suderintas maitinimas, o tai patvirtina, jog Rumunijos kalėjimų sistema galėjo užtikrinti šiuos poreikius.</w:t>
      </w:r>
    </w:p>
    <w:p w14:paraId="07772D9A" w14:textId="77777777" w:rsidR="00A0072B" w:rsidRPr="0025732F" w:rsidRDefault="00A0072B" w:rsidP="00A0072B">
      <w:pPr>
        <w:spacing w:after="0" w:line="240" w:lineRule="auto"/>
        <w:ind w:firstLine="567"/>
        <w:jc w:val="both"/>
        <w:rPr>
          <w:rFonts w:cstheme="minorHAnsi"/>
        </w:rPr>
      </w:pPr>
      <w:r w:rsidRPr="0025732F">
        <w:rPr>
          <w:rFonts w:cstheme="minorHAnsi"/>
        </w:rPr>
        <w:lastRenderedPageBreak/>
        <w:t>Taigi, nepaneigdamas šiuo klausimu susitariančiosioms valstybėms tenkančios tam tikros vertinimo laisvės, Teismas konstatavo, kad byloje nustatytomis aplinkybėmis buvo pažeistas Konvencijos 9 straipsnis, kadangi nacionalinės valdžios institucijos tinkamai neįvykdė pagal šį straipsnį joms tenkančios pozityvios pareigos dėl pareiškėjui tiekto maitinimo Iaşi kalėjime. Padaręs šią išvadą, teismas sprendė, kad toliau nėra būtina tirti pareiškėjo skundą dėl jam nesuteiktos tinkamos maldos vietos Iaşi kalėjime.</w:t>
      </w:r>
    </w:p>
    <w:p w14:paraId="021D255F" w14:textId="77777777" w:rsidR="00A0072B" w:rsidRPr="0025732F" w:rsidRDefault="00A0072B" w:rsidP="00A0072B">
      <w:pPr>
        <w:spacing w:after="0" w:line="240" w:lineRule="auto"/>
        <w:ind w:firstLine="567"/>
        <w:jc w:val="both"/>
        <w:rPr>
          <w:rStyle w:val="tlid-translation"/>
          <w:rFonts w:cstheme="minorHAnsi"/>
        </w:rPr>
      </w:pPr>
    </w:p>
    <w:p w14:paraId="332F585F" w14:textId="77777777" w:rsidR="00A0072B" w:rsidRPr="0025732F" w:rsidRDefault="00A0072B" w:rsidP="00A0072B">
      <w:pPr>
        <w:spacing w:after="0" w:line="240" w:lineRule="auto"/>
        <w:ind w:firstLine="567"/>
        <w:jc w:val="both"/>
        <w:rPr>
          <w:rFonts w:cstheme="minorHAnsi"/>
        </w:rPr>
      </w:pPr>
      <w:r w:rsidRPr="0025732F">
        <w:rPr>
          <w:rFonts w:cstheme="minorHAnsi"/>
        </w:rPr>
        <w:t>Išvada: nustatytas Konvencijos 9 straipsnio pažeidimas (vienbalsiai).</w:t>
      </w:r>
    </w:p>
    <w:p w14:paraId="3A5E0A75" w14:textId="77777777" w:rsidR="00A0072B" w:rsidRPr="0025732F" w:rsidRDefault="00A0072B" w:rsidP="00A0072B">
      <w:pPr>
        <w:spacing w:after="0" w:line="240" w:lineRule="auto"/>
        <w:ind w:firstLine="567"/>
        <w:jc w:val="both"/>
        <w:rPr>
          <w:rFonts w:cstheme="minorHAnsi"/>
        </w:rPr>
      </w:pPr>
      <w:r w:rsidRPr="0025732F">
        <w:rPr>
          <w:rFonts w:cstheme="minorHAnsi"/>
        </w:rPr>
        <w:t>41 straipsnis: priteista 5 000 Eur neturtinei žalai atlyginti.</w:t>
      </w:r>
    </w:p>
    <w:p w14:paraId="6FD6E228" w14:textId="77935491" w:rsidR="00E42530" w:rsidRDefault="006922FB" w:rsidP="00A0072B">
      <w:pPr>
        <w:ind w:firstLine="567"/>
        <w:rPr>
          <w:rStyle w:val="Hipersaitas"/>
          <w:rFonts w:cstheme="minorHAnsi"/>
        </w:rPr>
      </w:pPr>
      <w:hyperlink r:id="rId22" w:history="1">
        <w:r w:rsidR="00A0072B" w:rsidRPr="0025732F">
          <w:rPr>
            <w:rStyle w:val="Hipersaitas"/>
            <w:rFonts w:cstheme="minorHAnsi"/>
          </w:rPr>
          <w:t>Prieiga internete</w:t>
        </w:r>
      </w:hyperlink>
      <w:r w:rsidR="00A0072B" w:rsidRPr="0025732F">
        <w:rPr>
          <w:rStyle w:val="Hipersaitas"/>
          <w:rFonts w:cstheme="minorHAnsi"/>
        </w:rPr>
        <w:t xml:space="preserve"> </w:t>
      </w:r>
    </w:p>
    <w:p w14:paraId="7238AE22" w14:textId="77777777" w:rsidR="00944B8C" w:rsidRPr="00B42ABA" w:rsidRDefault="00944B8C" w:rsidP="00944B8C">
      <w:pPr>
        <w:shd w:val="clear" w:color="auto" w:fill="FFFFFF"/>
        <w:spacing w:after="0" w:line="240" w:lineRule="auto"/>
        <w:ind w:right="-1"/>
        <w:jc w:val="center"/>
        <w:rPr>
          <w:rFonts w:eastAsia="Times New Roman" w:cstheme="minorHAnsi"/>
          <w:b/>
        </w:rPr>
      </w:pPr>
      <w:r w:rsidRPr="00B42ABA">
        <w:rPr>
          <w:rFonts w:eastAsia="Times New Roman" w:cstheme="minorHAnsi"/>
          <w:b/>
        </w:rPr>
        <w:t>Europos Žmogaus Teisių Teismo 2020 m. spalio 20 d. sprendimas byloje</w:t>
      </w:r>
    </w:p>
    <w:p w14:paraId="037D5514" w14:textId="77777777" w:rsidR="00944B8C" w:rsidRPr="00767E5F" w:rsidRDefault="00944B8C" w:rsidP="00944B8C">
      <w:pPr>
        <w:pStyle w:val="Antrat2"/>
        <w:ind w:firstLine="0"/>
        <w:jc w:val="center"/>
        <w:rPr>
          <w:rFonts w:eastAsia="Calibri"/>
          <w:i/>
          <w:iCs w:val="0"/>
        </w:rPr>
      </w:pPr>
      <w:bookmarkStart w:id="41" w:name="_Toc53151216"/>
      <w:bookmarkStart w:id="42" w:name="_Toc71803375"/>
      <w:bookmarkStart w:id="43" w:name="_Toc71817047"/>
      <w:bookmarkStart w:id="44" w:name="_Toc72932289"/>
      <w:r w:rsidRPr="00767E5F">
        <w:rPr>
          <w:rFonts w:eastAsia="Calibri"/>
          <w:i/>
          <w:iCs w:val="0"/>
        </w:rPr>
        <w:t>Perovy prieš Rusiją</w:t>
      </w:r>
      <w:bookmarkEnd w:id="41"/>
      <w:bookmarkEnd w:id="42"/>
      <w:bookmarkEnd w:id="43"/>
      <w:bookmarkEnd w:id="44"/>
    </w:p>
    <w:p w14:paraId="7A358427" w14:textId="77777777" w:rsidR="00944B8C" w:rsidRPr="00B42ABA" w:rsidRDefault="00944B8C" w:rsidP="00944B8C">
      <w:pPr>
        <w:shd w:val="clear" w:color="auto" w:fill="FFFFFF"/>
        <w:spacing w:after="0" w:line="240" w:lineRule="auto"/>
        <w:ind w:right="-1"/>
        <w:jc w:val="center"/>
        <w:rPr>
          <w:rFonts w:eastAsia="Times New Roman" w:cstheme="minorHAnsi"/>
          <w:b/>
        </w:rPr>
      </w:pPr>
      <w:r w:rsidRPr="00B42ABA">
        <w:rPr>
          <w:rFonts w:eastAsia="Times New Roman" w:cstheme="minorHAnsi"/>
          <w:b/>
        </w:rPr>
        <w:t>(pareiškimo Nr. 47429/09</w:t>
      </w:r>
      <w:r w:rsidRPr="00B42ABA">
        <w:rPr>
          <w:rFonts w:cstheme="minorHAnsi"/>
          <w:b/>
        </w:rPr>
        <w:t>, svarbos lygis – 2</w:t>
      </w:r>
      <w:r w:rsidRPr="00B42ABA">
        <w:rPr>
          <w:rFonts w:eastAsia="Times New Roman" w:cstheme="minorHAnsi"/>
          <w:b/>
        </w:rPr>
        <w:t>)</w:t>
      </w:r>
    </w:p>
    <w:p w14:paraId="721BCC98" w14:textId="77777777" w:rsidR="00944B8C" w:rsidRPr="00B42ABA" w:rsidRDefault="00944B8C" w:rsidP="00944B8C">
      <w:pPr>
        <w:shd w:val="clear" w:color="auto" w:fill="FFFFFF"/>
        <w:spacing w:after="0" w:line="240" w:lineRule="auto"/>
        <w:ind w:right="-1" w:firstLine="567"/>
        <w:jc w:val="center"/>
        <w:rPr>
          <w:rFonts w:eastAsia="Times New Roman" w:cstheme="minorHAnsi"/>
          <w:b/>
          <w:bCs/>
          <w:color w:val="000000"/>
        </w:rPr>
      </w:pPr>
    </w:p>
    <w:p w14:paraId="2F84C9F2" w14:textId="77777777" w:rsidR="00944B8C" w:rsidRPr="00B42ABA" w:rsidRDefault="00944B8C" w:rsidP="00944B8C">
      <w:pPr>
        <w:pStyle w:val="Antrat3"/>
        <w:ind w:firstLine="567"/>
        <w:rPr>
          <w:rFonts w:eastAsia="Calibri"/>
        </w:rPr>
      </w:pPr>
      <w:bookmarkStart w:id="45" w:name="_Toc53151217"/>
      <w:bookmarkStart w:id="46" w:name="_Toc71803376"/>
      <w:bookmarkStart w:id="47" w:name="_Toc71817048"/>
      <w:bookmarkStart w:id="48" w:name="_Toc72932290"/>
      <w:r w:rsidRPr="00B42ABA">
        <w:rPr>
          <w:rFonts w:eastAsia="Calibri"/>
        </w:rPr>
        <w:t xml:space="preserve">Dėl </w:t>
      </w:r>
      <w:bookmarkEnd w:id="45"/>
      <w:r w:rsidRPr="00B42ABA">
        <w:rPr>
          <w:rFonts w:eastAsia="Calibri"/>
        </w:rPr>
        <w:t xml:space="preserve">mokykloje įvykusio </w:t>
      </w:r>
      <w:r w:rsidRPr="00B42ABA">
        <w:t>moksleivių</w:t>
      </w:r>
      <w:r w:rsidRPr="00B42ABA">
        <w:rPr>
          <w:rFonts w:eastAsia="Calibri"/>
        </w:rPr>
        <w:t xml:space="preserve"> palaiminimo ritualo</w:t>
      </w:r>
      <w:bookmarkEnd w:id="46"/>
      <w:bookmarkEnd w:id="47"/>
      <w:bookmarkEnd w:id="48"/>
    </w:p>
    <w:p w14:paraId="144423F4" w14:textId="77777777" w:rsidR="00944B8C" w:rsidRPr="00B42ABA" w:rsidRDefault="00944B8C" w:rsidP="00944B8C">
      <w:pPr>
        <w:spacing w:after="0" w:line="240" w:lineRule="auto"/>
        <w:ind w:right="-1"/>
        <w:rPr>
          <w:rFonts w:cstheme="minorHAnsi"/>
        </w:rPr>
      </w:pPr>
    </w:p>
    <w:p w14:paraId="152415B8"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r w:rsidRPr="00B42ABA">
        <w:rPr>
          <w:rFonts w:eastAsia="Times New Roman" w:cstheme="minorHAnsi"/>
          <w:b/>
          <w:bCs/>
          <w:color w:val="000000"/>
        </w:rPr>
        <w:t>Faktinės aplinkybės</w:t>
      </w:r>
    </w:p>
    <w:p w14:paraId="2461F1A9" w14:textId="77777777" w:rsidR="00944B8C" w:rsidRPr="00B42ABA" w:rsidRDefault="00944B8C" w:rsidP="00944B8C">
      <w:pPr>
        <w:spacing w:after="0" w:line="240" w:lineRule="auto"/>
        <w:ind w:right="-1" w:firstLine="567"/>
        <w:rPr>
          <w:rFonts w:cstheme="minorHAnsi"/>
        </w:rPr>
      </w:pPr>
    </w:p>
    <w:p w14:paraId="5C80B49D" w14:textId="77777777" w:rsidR="00944B8C" w:rsidRPr="00B42ABA" w:rsidRDefault="00944B8C" w:rsidP="00944B8C">
      <w:pPr>
        <w:spacing w:after="0" w:line="240" w:lineRule="auto"/>
        <w:ind w:right="-1" w:firstLine="567"/>
        <w:jc w:val="both"/>
        <w:rPr>
          <w:rFonts w:cstheme="minorHAnsi"/>
        </w:rPr>
      </w:pPr>
      <w:r w:rsidRPr="00B42ABA">
        <w:rPr>
          <w:rFonts w:cstheme="minorHAnsi"/>
        </w:rPr>
        <w:t>Pareiškėjai yra sutuoktinių pora (pirmas ir antras pareiškėjai) bei jų sūnus (trečias pareiškėjas), kuriam buvo septyneri metai, kuomet ginčo laikotarpiu jis lankė mokyklą. Visi pareiškėjai priklauso Kristaus Bendrijos bažnyčiai. Daugumos moksleivių tėvų pageidavimu, mokslo metų pradžioje mokyklos klasėje Rusijos Ortodoksų dvasininkas atliko palaiminimo ritualą. Tuo metu klasėje buvo ir trečias pareiškėjas.</w:t>
      </w:r>
    </w:p>
    <w:p w14:paraId="509DCB2B"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p>
    <w:p w14:paraId="50880C2F"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r w:rsidRPr="00B42ABA">
        <w:rPr>
          <w:rFonts w:eastAsia="Times New Roman" w:cstheme="minorHAnsi"/>
          <w:b/>
          <w:bCs/>
          <w:color w:val="000000"/>
        </w:rPr>
        <w:t>Neoficiali Teismo sprendimo apžvalga</w:t>
      </w:r>
    </w:p>
    <w:p w14:paraId="0E483F91" w14:textId="77777777" w:rsidR="00944B8C" w:rsidRPr="00B42ABA" w:rsidRDefault="00944B8C" w:rsidP="00944B8C">
      <w:pPr>
        <w:spacing w:after="0" w:line="240" w:lineRule="auto"/>
        <w:ind w:right="-1" w:firstLine="567"/>
        <w:jc w:val="both"/>
        <w:rPr>
          <w:rFonts w:cstheme="minorHAnsi"/>
        </w:rPr>
      </w:pPr>
    </w:p>
    <w:p w14:paraId="04BB6503" w14:textId="0E8AA515" w:rsidR="00944B8C" w:rsidRPr="00B42ABA" w:rsidRDefault="00944B8C" w:rsidP="00944B8C">
      <w:pPr>
        <w:spacing w:after="0" w:line="240" w:lineRule="auto"/>
        <w:ind w:right="-1" w:firstLine="567"/>
        <w:jc w:val="both"/>
        <w:rPr>
          <w:rFonts w:cstheme="minorHAnsi"/>
        </w:rPr>
      </w:pPr>
      <w:r w:rsidRPr="00B42ABA">
        <w:rPr>
          <w:rFonts w:cstheme="minorHAnsi"/>
        </w:rPr>
        <w:t xml:space="preserve">Teismas, pasisakydamas dėl pagarbos tėvų teisei laisvai parinkti savo vaikams švietimą ir mokymą pagal savo religinius įsitikinimus, pažymėjo, kad susitariančių šalių pareiga gerbti tėvų religinius ir filosofinius įsitikinimus taikoma ne tik mokymo turiniui ir būdui, kuriuo jis yra pristatomas, bet saisto šalis, įgyvendinant visas funkcijas </w:t>
      </w:r>
      <w:r>
        <w:rPr>
          <w:rFonts w:cstheme="minorHAnsi"/>
        </w:rPr>
        <w:t>P</w:t>
      </w:r>
      <w:r w:rsidRPr="00B42ABA">
        <w:rPr>
          <w:rFonts w:cstheme="minorHAnsi"/>
        </w:rPr>
        <w:t>rotokolo</w:t>
      </w:r>
      <w:r>
        <w:rPr>
          <w:rFonts w:cstheme="minorHAnsi"/>
        </w:rPr>
        <w:t xml:space="preserve"> Nr. 1</w:t>
      </w:r>
      <w:r w:rsidRPr="00B42ABA">
        <w:rPr>
          <w:rFonts w:cstheme="minorHAnsi"/>
        </w:rPr>
        <w:t xml:space="preserve"> 2 straipsnio prasme. Dėl to galima prielaida, kad dalyvavimas religinėse veiklose, ypač kai dalyvauja vaikai, gali paveikti moksleivių mąstymą tokiu būdu, kuris sukeltų iššūkį </w:t>
      </w:r>
      <w:r>
        <w:rPr>
          <w:rFonts w:cstheme="minorHAnsi"/>
        </w:rPr>
        <w:t>P</w:t>
      </w:r>
      <w:r w:rsidRPr="00B42ABA">
        <w:rPr>
          <w:rFonts w:cstheme="minorHAnsi"/>
        </w:rPr>
        <w:t>rotokolo</w:t>
      </w:r>
      <w:r>
        <w:rPr>
          <w:rFonts w:cstheme="minorHAnsi"/>
        </w:rPr>
        <w:t xml:space="preserve"> Nr. 1</w:t>
      </w:r>
      <w:r w:rsidRPr="00B42ABA">
        <w:rPr>
          <w:rFonts w:cstheme="minorHAnsi"/>
        </w:rPr>
        <w:t xml:space="preserve"> 2 straipsnio reikalavimų užtikrinimui.</w:t>
      </w:r>
    </w:p>
    <w:p w14:paraId="241ED492" w14:textId="2C5E48CD" w:rsidR="00944B8C" w:rsidRPr="00B42ABA" w:rsidRDefault="00944B8C" w:rsidP="00944B8C">
      <w:pPr>
        <w:spacing w:after="0" w:line="240" w:lineRule="auto"/>
        <w:ind w:right="-1" w:firstLine="567"/>
        <w:jc w:val="both"/>
        <w:rPr>
          <w:rFonts w:cstheme="minorHAnsi"/>
        </w:rPr>
      </w:pPr>
      <w:r w:rsidRPr="00B42ABA">
        <w:rPr>
          <w:rFonts w:cstheme="minorHAnsi"/>
        </w:rPr>
        <w:t xml:space="preserve">Palaiminimu mokyklos klasėje buvo įsiterpta į tėvų teisę laisvai parinkti savo vaikams švietimą ir mokymą pagal savo religinius ir filosofinius įsitikinimus. Ginčytas palaiminimo veiksmas </w:t>
      </w:r>
      <w:r>
        <w:rPr>
          <w:rFonts w:cstheme="minorHAnsi"/>
        </w:rPr>
        <w:t>–</w:t>
      </w:r>
      <w:r w:rsidRPr="00B42ABA">
        <w:rPr>
          <w:rFonts w:cstheme="minorHAnsi"/>
        </w:rPr>
        <w:t xml:space="preserve"> religinės apeigos su didele dvasine ir simboline reikšme Rusijos Ortodoksų tradicijose. Suprantama, kad pirmajam ir antrajam pareiškėjams, kurie yra kitos </w:t>
      </w:r>
      <w:r>
        <w:rPr>
          <w:rFonts w:cstheme="minorHAnsi"/>
        </w:rPr>
        <w:t>k</w:t>
      </w:r>
      <w:r w:rsidRPr="00B42ABA">
        <w:rPr>
          <w:rFonts w:cstheme="minorHAnsi"/>
        </w:rPr>
        <w:t>rikščionybės tikėjimo atmainos pasekėjai, vien vaiko buvimas per tokias apeigas be išankstinio įspėjimo galėjo subjektyviai pasirodyti, kaip valstybės pademonstruota pagarbos stoka jų teisei pasirinkti vaiko mokymą pagal savo religinius įsitikinimus. Aplinkybė, kad tai buvo suorganizavo ir įgyvendino kitų moksleivių tėvai, tik su pasyviu valstybės samdomu mokytoju, savaime neturėjo lemiančios reikšmės.</w:t>
      </w:r>
    </w:p>
    <w:p w14:paraId="4DCDAC85" w14:textId="738792C3" w:rsidR="00944B8C" w:rsidRPr="00B42ABA" w:rsidRDefault="00944B8C" w:rsidP="00944B8C">
      <w:pPr>
        <w:spacing w:after="0" w:line="240" w:lineRule="auto"/>
        <w:ind w:right="-1" w:firstLine="567"/>
        <w:jc w:val="both"/>
        <w:rPr>
          <w:rFonts w:cstheme="minorHAnsi"/>
        </w:rPr>
      </w:pPr>
      <w:r w:rsidRPr="00B42ABA">
        <w:rPr>
          <w:rFonts w:cstheme="minorHAnsi"/>
        </w:rPr>
        <w:t xml:space="preserve">Tačiau, panašiai kaip ir byloje </w:t>
      </w:r>
      <w:r w:rsidRPr="00B42ABA">
        <w:rPr>
          <w:rFonts w:cstheme="minorHAnsi"/>
          <w:i/>
          <w:iCs/>
        </w:rPr>
        <w:t>Lautsi prieš Italiją</w:t>
      </w:r>
      <w:r w:rsidRPr="00B42ABA">
        <w:rPr>
          <w:rFonts w:cstheme="minorHAnsi"/>
        </w:rPr>
        <w:t xml:space="preserve"> (pareiškimo Nr. 30814/06), jokių įrodymų, kad dalyvavimas vienkartinėje ceremonijoje, kuri truko ne ilgiau kaip dvidešimt minučių, būtų turėjęs įtakos moksleiviams, nebuvo. Dėl to nebuvo pagrindo vertinimui, ar tai turėjo poveikį trečiajam pareiškėjui, kurio įsitikinimai dar tik formavosi, o kitų pareiškėjų subjektyvus vertinimas šiuo aspektu savaime nėra pakankamas tam, kad būtų pripažintas </w:t>
      </w:r>
      <w:r>
        <w:rPr>
          <w:rFonts w:cstheme="minorHAnsi"/>
        </w:rPr>
        <w:t>P</w:t>
      </w:r>
      <w:r w:rsidRPr="00B42ABA">
        <w:rPr>
          <w:rFonts w:cstheme="minorHAnsi"/>
        </w:rPr>
        <w:t xml:space="preserve">rotokolo </w:t>
      </w:r>
      <w:r>
        <w:rPr>
          <w:rFonts w:cstheme="minorHAnsi"/>
        </w:rPr>
        <w:t xml:space="preserve">Nr. 1 </w:t>
      </w:r>
      <w:r w:rsidRPr="00B42ABA">
        <w:rPr>
          <w:rFonts w:cstheme="minorHAnsi"/>
        </w:rPr>
        <w:t xml:space="preserve">2 straipsnio pažeidimas. Tai buvo pavienis ir trumpas įvykis trečiojo pareiškėjo ugdymo procese. </w:t>
      </w:r>
      <w:r w:rsidRPr="00944B8C">
        <w:rPr>
          <w:rFonts w:cstheme="minorHAnsi"/>
          <w:u w:val="single"/>
        </w:rPr>
        <w:t>Nors antrasis pareiškėjas nebuvo iš anksto įspėtas apie įvyksiančias apeigas, byloje nebuvo jokių įrodymų, kad šiomis apeigomis buvo atliekama indoktrinacija ar jos vykdomos prievarta</w:t>
      </w:r>
      <w:r w:rsidRPr="00B42ABA">
        <w:rPr>
          <w:rFonts w:cstheme="minorHAnsi"/>
        </w:rPr>
        <w:t>. Nors neabejota, kad pirmajam ir antrajam pareiškėjui įvykis turėjo tam tikros subjektyvios reikšmės, jokių įrodymų apie psichologinius ar kitokius padarinius, taip pat sukeltus gilius išgyvenimus pareiškėjų sūnui, atsižvelgiant į jų tikėjimo mokymą, nenustatyta.</w:t>
      </w:r>
    </w:p>
    <w:p w14:paraId="66604F18" w14:textId="77777777" w:rsidR="00944B8C" w:rsidRPr="00B42ABA" w:rsidRDefault="00944B8C" w:rsidP="00944B8C">
      <w:pPr>
        <w:spacing w:after="0" w:line="240" w:lineRule="auto"/>
        <w:ind w:right="-1" w:firstLine="567"/>
        <w:jc w:val="both"/>
        <w:rPr>
          <w:rFonts w:cstheme="minorHAnsi"/>
        </w:rPr>
      </w:pPr>
      <w:r w:rsidRPr="00B42ABA">
        <w:rPr>
          <w:rFonts w:cstheme="minorHAnsi"/>
        </w:rPr>
        <w:t>Svarbu tai, kad nacionalinės institucijos veikė greitai, adekvačiai reagavo į pareiškėjų skundus ir pripažino, jog pareiškėjų teisės buvo pažeistos, pritaikė drausmines sankcijas mokyklos direktoriui bei užtikrino, kad incidentas nepasikartotų. Nacionaliniai teismai taip pat nuodugniai išnagrinėjo pareiškėjų reikalavimus civilinio proceso tvarka.</w:t>
      </w:r>
    </w:p>
    <w:p w14:paraId="17C73153" w14:textId="77777777" w:rsidR="00944B8C" w:rsidRPr="00B42ABA" w:rsidRDefault="00944B8C" w:rsidP="00944B8C">
      <w:pPr>
        <w:spacing w:after="0" w:line="240" w:lineRule="auto"/>
        <w:ind w:right="-1" w:firstLine="567"/>
        <w:jc w:val="both"/>
        <w:rPr>
          <w:rFonts w:cstheme="minorHAnsi"/>
        </w:rPr>
      </w:pPr>
      <w:r w:rsidRPr="00B42ABA">
        <w:rPr>
          <w:rFonts w:cstheme="minorHAnsi"/>
        </w:rPr>
        <w:lastRenderedPageBreak/>
        <w:t>Trečiasis pareiškėjas taip pat pateikė skundą dėl Konvencijos 9 straipsnio savo vardu, teigdamas, kad ginčo apeigomis buvo pažeista jo religijos laisvė.</w:t>
      </w:r>
    </w:p>
    <w:p w14:paraId="4FBBFC51" w14:textId="77777777" w:rsidR="00944B8C" w:rsidRPr="00B42ABA" w:rsidRDefault="00944B8C" w:rsidP="00944B8C">
      <w:pPr>
        <w:spacing w:after="0" w:line="240" w:lineRule="auto"/>
        <w:ind w:right="-1" w:firstLine="567"/>
        <w:jc w:val="both"/>
        <w:rPr>
          <w:rFonts w:cstheme="minorHAnsi"/>
        </w:rPr>
      </w:pPr>
      <w:r w:rsidRPr="00B42ABA">
        <w:rPr>
          <w:rFonts w:cstheme="minorHAnsi"/>
        </w:rPr>
        <w:t>Pažymėta, kad mokykla tik sudarė sąlygas Rusijos Ortodoksų bendruomenei įgyvendinti laisvę išpažinti savo tikėjimą atliekant palaiminimo ritualą. Apeigų turinys nebuvo sudarytas ar kontroliuojamas mokyklos administracijos, taip pat apeigos nebuvo inkorporuotas į akademinę programą ar įtrauktos į privalomą švietimo programą. Valstybės dalyvavimas apsiribojo tuo, kad mokykla tik suteikė patalpas atlikti vienkartinį renginį, neturėdama tikslo indoktrinuoti. Mokyklos mokytojų vertinimo klaida buvo nedelsiant pripažinta ir už tai pritaikyta atsakomybė.</w:t>
      </w:r>
    </w:p>
    <w:p w14:paraId="79CB8DFB" w14:textId="77777777" w:rsidR="00944B8C" w:rsidRPr="00B42ABA" w:rsidRDefault="00944B8C" w:rsidP="00944B8C">
      <w:pPr>
        <w:spacing w:after="0" w:line="240" w:lineRule="auto"/>
        <w:ind w:right="-1" w:firstLine="567"/>
        <w:jc w:val="both"/>
        <w:rPr>
          <w:rFonts w:cstheme="minorHAnsi"/>
        </w:rPr>
      </w:pPr>
      <w:r w:rsidRPr="00B42ABA">
        <w:rPr>
          <w:rFonts w:cstheme="minorHAnsi"/>
        </w:rPr>
        <w:t>Trečiasis pareiškėjas tik buvo apeigose ir jas stebėjo. Visi dalyvavę buvo kviečiami pabučiuoti kryžių, tačiau tai darė tik tie, kas norėjo. Trečiasis pareiškėjas nuo to susilaikė. Dvasininkas ant stalų padėjo mažas popierines ikonas, tačiau nebuvo jokio požymio, kad kažkas buvo verčiamas jas priimti. Mokytojai įspėjo dvasininką apie tai, kad dalies moksleivių religiniai įsitikinimai yra kitokie, tačiau trečiojo pareiškėjo asmenybė jam nebuvo atskleista. Dvasininkas ar mokytojai nesiėmė tiesioginių bandymų ką nors versti dalyvauti rituale.</w:t>
      </w:r>
    </w:p>
    <w:p w14:paraId="1112DF3B" w14:textId="77777777" w:rsidR="00944B8C" w:rsidRPr="00B42ABA" w:rsidRDefault="00944B8C" w:rsidP="00944B8C">
      <w:pPr>
        <w:spacing w:after="0" w:line="240" w:lineRule="auto"/>
        <w:ind w:right="-1" w:firstLine="567"/>
        <w:jc w:val="both"/>
        <w:rPr>
          <w:rFonts w:cstheme="minorHAnsi"/>
        </w:rPr>
      </w:pPr>
      <w:r w:rsidRPr="00944B8C">
        <w:rPr>
          <w:rFonts w:cstheme="minorHAnsi"/>
          <w:u w:val="single"/>
        </w:rPr>
        <w:t>Valdžios institucijos veikė greitai ir operatyviai, reaguodamos į nusiskundimus, pripažino įsiterpimą į vaiko religijos laisvę, pritaikė protingas sankcijas atsakingiems asmenims ir ėmėsi priemonių, kad panašūs incidentai nepasikartotų</w:t>
      </w:r>
      <w:r w:rsidRPr="00B42ABA">
        <w:rPr>
          <w:rFonts w:cstheme="minorHAnsi"/>
        </w:rPr>
        <w:t>.</w:t>
      </w:r>
    </w:p>
    <w:p w14:paraId="1C0A9674" w14:textId="77DD5154" w:rsidR="00944B8C" w:rsidRPr="00B42ABA" w:rsidRDefault="00944B8C" w:rsidP="00944B8C">
      <w:pPr>
        <w:spacing w:after="0" w:line="240" w:lineRule="auto"/>
        <w:ind w:right="-1" w:firstLine="567"/>
        <w:jc w:val="both"/>
        <w:rPr>
          <w:rFonts w:ascii="Arial" w:eastAsia="Times New Roman" w:hAnsi="Arial" w:cs="Arial"/>
          <w:color w:val="000000"/>
          <w:sz w:val="20"/>
          <w:szCs w:val="20"/>
          <w:lang w:eastAsia="en-GB"/>
        </w:rPr>
      </w:pPr>
      <w:r w:rsidRPr="00B42ABA">
        <w:rPr>
          <w:rFonts w:cstheme="minorHAnsi"/>
        </w:rPr>
        <w:t xml:space="preserve">Taigi trečiasis </w:t>
      </w:r>
      <w:r w:rsidRPr="00944B8C">
        <w:rPr>
          <w:rFonts w:cstheme="minorHAnsi"/>
          <w:u w:val="single"/>
        </w:rPr>
        <w:t>pareiškėjas nebuvo verčiamas dalyvauti kitos krikščionybės atmainos išpažinime ar raginamas atsisakyti savo įsitikinimų. Tai, kad jis stebėjo apeigas, galėjo sukelti nepasitenkinimo jausmą, tačiau tai turėtų būti vertinama platesniame atvirumo ir tolerancijos kontekste, reikalingame demokratinėje visuomenėje, kurioje yra skirtingos religinės bendrijos</w:t>
      </w:r>
      <w:r w:rsidRPr="00B42ABA">
        <w:rPr>
          <w:rFonts w:cstheme="minorHAnsi"/>
        </w:rPr>
        <w:t>.</w:t>
      </w:r>
    </w:p>
    <w:p w14:paraId="5D3AA692" w14:textId="77777777" w:rsidR="00944B8C" w:rsidRPr="00B42ABA" w:rsidRDefault="00944B8C" w:rsidP="00944B8C">
      <w:pPr>
        <w:spacing w:after="0" w:line="240" w:lineRule="auto"/>
        <w:ind w:right="-1" w:firstLine="567"/>
        <w:jc w:val="both"/>
        <w:rPr>
          <w:rFonts w:ascii="Arial" w:eastAsia="Times New Roman" w:hAnsi="Arial" w:cs="Arial"/>
          <w:color w:val="000000"/>
          <w:sz w:val="20"/>
          <w:szCs w:val="20"/>
          <w:lang w:eastAsia="en-GB"/>
        </w:rPr>
      </w:pPr>
    </w:p>
    <w:p w14:paraId="2E15255A" w14:textId="77777777" w:rsidR="00944B8C" w:rsidRPr="00B42ABA" w:rsidRDefault="00944B8C" w:rsidP="00944B8C">
      <w:pPr>
        <w:spacing w:after="0" w:line="240" w:lineRule="auto"/>
        <w:ind w:right="-1" w:firstLine="567"/>
        <w:jc w:val="both"/>
        <w:rPr>
          <w:rFonts w:ascii="Arial" w:eastAsia="Times New Roman" w:hAnsi="Arial" w:cs="Arial"/>
          <w:color w:val="000000"/>
          <w:sz w:val="20"/>
          <w:szCs w:val="20"/>
          <w:lang w:eastAsia="en-GB"/>
        </w:rPr>
      </w:pPr>
      <w:r w:rsidRPr="00B42ABA">
        <w:rPr>
          <w:rFonts w:cstheme="minorHAnsi"/>
        </w:rPr>
        <w:t>Išvada: Konvencijos 9 straipsnio pažeidimas nenustatytas (keturi balsai prieš tris).</w:t>
      </w:r>
    </w:p>
    <w:p w14:paraId="7C46C043" w14:textId="77777777" w:rsidR="00944B8C" w:rsidRPr="00B42ABA" w:rsidRDefault="006922FB" w:rsidP="00944B8C">
      <w:pPr>
        <w:spacing w:after="0" w:line="240" w:lineRule="auto"/>
        <w:ind w:right="-1" w:firstLine="567"/>
        <w:jc w:val="both"/>
        <w:rPr>
          <w:rStyle w:val="Hipersaitas"/>
          <w:rFonts w:cstheme="minorHAnsi"/>
        </w:rPr>
      </w:pPr>
      <w:hyperlink r:id="rId23" w:history="1">
        <w:r w:rsidR="00944B8C" w:rsidRPr="00B42ABA">
          <w:rPr>
            <w:rStyle w:val="Hipersaitas"/>
            <w:rFonts w:cstheme="minorHAnsi"/>
          </w:rPr>
          <w:t>Prieiga internete</w:t>
        </w:r>
      </w:hyperlink>
    </w:p>
    <w:p w14:paraId="6A203FB3" w14:textId="77777777" w:rsidR="00944B8C" w:rsidRPr="0025732F" w:rsidRDefault="00944B8C" w:rsidP="00A0072B">
      <w:pPr>
        <w:ind w:firstLine="567"/>
        <w:rPr>
          <w:rStyle w:val="Hipersaitas"/>
          <w:rFonts w:cstheme="minorHAnsi"/>
        </w:rPr>
      </w:pPr>
    </w:p>
    <w:p w14:paraId="7A946B01" w14:textId="0521A239" w:rsidR="00E42530" w:rsidRPr="0025732F" w:rsidRDefault="00E42530" w:rsidP="00944B8C">
      <w:pPr>
        <w:pStyle w:val="Antrat1"/>
        <w:spacing w:before="0"/>
        <w:rPr>
          <w:rFonts w:ascii="Calibri" w:eastAsia="Times New Roman" w:hAnsi="Calibri" w:cs="Calibri"/>
          <w:color w:val="323E4F"/>
          <w:szCs w:val="22"/>
        </w:rPr>
      </w:pPr>
      <w:bookmarkStart w:id="49" w:name="_Toc72932291"/>
      <w:r w:rsidRPr="0025732F">
        <w:rPr>
          <w:rFonts w:ascii="Calibri" w:eastAsia="Times New Roman" w:hAnsi="Calibri" w:cs="Calibri"/>
          <w:color w:val="323E4F"/>
          <w:szCs w:val="22"/>
        </w:rPr>
        <w:t xml:space="preserve">SAVIRAIŠKOS LAISVĖ (10 </w:t>
      </w:r>
      <w:r w:rsidR="008E7CC6" w:rsidRPr="0025732F">
        <w:rPr>
          <w:rFonts w:ascii="Calibri" w:eastAsia="Times New Roman" w:hAnsi="Calibri" w:cs="Calibri"/>
          <w:color w:val="323E4F"/>
          <w:szCs w:val="22"/>
        </w:rPr>
        <w:t>straipsnis</w:t>
      </w:r>
      <w:r w:rsidRPr="0025732F">
        <w:rPr>
          <w:rFonts w:ascii="Calibri" w:eastAsia="Times New Roman" w:hAnsi="Calibri" w:cs="Calibri"/>
          <w:color w:val="323E4F"/>
          <w:szCs w:val="22"/>
        </w:rPr>
        <w:t>)</w:t>
      </w:r>
      <w:bookmarkEnd w:id="49"/>
    </w:p>
    <w:p w14:paraId="24C00F66" w14:textId="77777777" w:rsidR="00E42530" w:rsidRPr="0025732F" w:rsidRDefault="00E42530" w:rsidP="00944B8C">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2ADA0A5D" w14:textId="58A3F377" w:rsidR="00E42530" w:rsidRPr="0025732F" w:rsidRDefault="00E42530" w:rsidP="00944B8C">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Europos Žmogaus Teisių Teismo 2020 m. gruodžio 8 d. sprendimas byloje</w:t>
      </w:r>
    </w:p>
    <w:p w14:paraId="09CC5526" w14:textId="77777777" w:rsidR="00E42530" w:rsidRPr="0025732F" w:rsidRDefault="00E42530" w:rsidP="00944B8C">
      <w:pPr>
        <w:pStyle w:val="Antrat2"/>
        <w:ind w:firstLine="0"/>
        <w:jc w:val="center"/>
        <w:rPr>
          <w:i/>
          <w:iCs w:val="0"/>
        </w:rPr>
      </w:pPr>
      <w:bookmarkStart w:id="50" w:name="_Toc72932292"/>
      <w:r w:rsidRPr="0025732F">
        <w:rPr>
          <w:i/>
          <w:iCs w:val="0"/>
        </w:rPr>
        <w:t>Panioglu pieš Rumuniją</w:t>
      </w:r>
      <w:bookmarkEnd w:id="50"/>
    </w:p>
    <w:p w14:paraId="24A6164D" w14:textId="1D31283C" w:rsidR="00E42530" w:rsidRDefault="00E42530" w:rsidP="00944B8C">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(pareiškimo Nr. 33794/14, svarbos lygis –</w:t>
      </w:r>
      <w:r w:rsidR="00D74E1D" w:rsidRPr="0025732F">
        <w:rPr>
          <w:rFonts w:eastAsia="Times New Roman" w:cstheme="minorHAnsi"/>
          <w:b/>
        </w:rPr>
        <w:t xml:space="preserve"> 2</w:t>
      </w:r>
      <w:r w:rsidRPr="0025732F">
        <w:rPr>
          <w:rFonts w:eastAsia="Times New Roman" w:cstheme="minorHAnsi"/>
          <w:b/>
        </w:rPr>
        <w:t>)</w:t>
      </w:r>
    </w:p>
    <w:p w14:paraId="01E14C9C" w14:textId="77777777" w:rsidR="00944B8C" w:rsidRPr="00944B8C" w:rsidRDefault="00944B8C" w:rsidP="00944B8C">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12B258F9" w14:textId="10250200" w:rsidR="00E42530" w:rsidRPr="0025732F" w:rsidRDefault="00E42530" w:rsidP="00E42530">
      <w:pPr>
        <w:pStyle w:val="Antrat3"/>
        <w:ind w:firstLine="567"/>
        <w:jc w:val="both"/>
        <w:rPr>
          <w:rFonts w:eastAsia="Calibri"/>
        </w:rPr>
      </w:pPr>
      <w:bookmarkStart w:id="51" w:name="_Toc72932293"/>
      <w:r w:rsidRPr="0025732F">
        <w:rPr>
          <w:rFonts w:eastAsia="Calibri"/>
        </w:rPr>
        <w:t xml:space="preserve">Dėl pusiausvyros tarp teisėjo </w:t>
      </w:r>
      <w:r w:rsidRPr="0025732F">
        <w:t>saviraiškos</w:t>
      </w:r>
      <w:r w:rsidRPr="0025732F">
        <w:rPr>
          <w:rFonts w:eastAsia="Calibri"/>
        </w:rPr>
        <w:t xml:space="preserve"> laisvės ir</w:t>
      </w:r>
      <w:r w:rsidRPr="0025732F">
        <w:rPr>
          <w:rFonts w:eastAsia="Times New Roman" w:cstheme="minorHAnsi"/>
          <w:color w:val="000000"/>
        </w:rPr>
        <w:t xml:space="preserve"> pasitikėjim</w:t>
      </w:r>
      <w:r w:rsidR="003312CA">
        <w:rPr>
          <w:rFonts w:eastAsia="Times New Roman" w:cstheme="minorHAnsi"/>
          <w:color w:val="000000"/>
        </w:rPr>
        <w:t>o</w:t>
      </w:r>
      <w:r w:rsidRPr="0025732F">
        <w:rPr>
          <w:rFonts w:eastAsia="Times New Roman" w:cstheme="minorHAnsi"/>
          <w:color w:val="000000"/>
        </w:rPr>
        <w:t xml:space="preserve"> teismų sistema</w:t>
      </w:r>
      <w:r w:rsidR="003312CA">
        <w:rPr>
          <w:rFonts w:eastAsia="Times New Roman" w:cstheme="minorHAnsi"/>
          <w:color w:val="000000"/>
        </w:rPr>
        <w:t xml:space="preserve"> užtikrinimo</w:t>
      </w:r>
      <w:bookmarkEnd w:id="51"/>
    </w:p>
    <w:p w14:paraId="5F0C097E" w14:textId="77777777" w:rsidR="00E42530" w:rsidRPr="0025732F" w:rsidRDefault="00E42530" w:rsidP="00E42530">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BD51A16" w14:textId="77777777" w:rsidR="00E42530" w:rsidRPr="0025732F" w:rsidRDefault="00E42530" w:rsidP="00E42530">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6956ACBC" w14:textId="77777777" w:rsidR="00E42530" w:rsidRPr="0025732F" w:rsidRDefault="00E42530" w:rsidP="00E42530">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D2D941F" w14:textId="77777777" w:rsidR="00E42530" w:rsidRPr="0025732F" w:rsidRDefault="00E42530" w:rsidP="00E42530">
      <w:pPr>
        <w:spacing w:after="0" w:line="240" w:lineRule="auto"/>
        <w:ind w:firstLine="567"/>
        <w:jc w:val="both"/>
        <w:rPr>
          <w:rFonts w:eastAsia="Times New Roman" w:cstheme="minorHAnsi"/>
          <w:color w:val="000000"/>
        </w:rPr>
      </w:pPr>
      <w:r w:rsidRPr="0025732F">
        <w:rPr>
          <w:rFonts w:eastAsia="Times New Roman" w:cstheme="minorHAnsi"/>
          <w:color w:val="000000"/>
        </w:rPr>
        <w:t>Pareiškėja, kuri yra Bukarešto Apeliacinio teismo teisėja, 2012 m. publikavo straipsnį apie Bukarešto Kasacinio teismo pirmininką, kuris buvo išspausdintas nacionalinėje spaudoje ir pareiškėjos internetinėje svetainėje, kurioje buvo matyti pareiškėjos vardas, pavardė ir užimamos pareigos. Straipsnyje pareiškėja išreiškė savo nuomonę dėl teismo pirmininko paskyrimo, pirmininko galimas sąsajas su komunizmo režimu, jo veiklą, kai jis buvo prokuroras.</w:t>
      </w:r>
    </w:p>
    <w:p w14:paraId="18982B5A" w14:textId="5235CA45" w:rsidR="00E42530" w:rsidRPr="0025732F" w:rsidRDefault="00E42530" w:rsidP="00E42530">
      <w:pPr>
        <w:spacing w:after="0" w:line="240" w:lineRule="auto"/>
        <w:ind w:firstLine="567"/>
        <w:jc w:val="both"/>
        <w:rPr>
          <w:rFonts w:eastAsia="Times New Roman" w:cstheme="minorHAnsi"/>
          <w:color w:val="000000"/>
        </w:rPr>
      </w:pPr>
      <w:r w:rsidRPr="0025732F">
        <w:rPr>
          <w:rFonts w:eastAsia="Times New Roman" w:cstheme="minorHAnsi"/>
          <w:color w:val="000000"/>
        </w:rPr>
        <w:t xml:space="preserve">Dėl šio straipsnio Aukščiausiosios teismų tarybos Teisminių tyrimų skyrius pradėjo tyrimą. Pareiškėjos straipsnis buvo įvertintas kaip žeidžiantis Kasacinio teismo pirmininko garbę ir profesinį sąžiningumą bei kenkiantis jo profesinei reputacijai. Šių išvadų pagrindu buvo inicijuotas pareiškėjos drausmės bylos tyrimas, kurio metu buvo sprendžiama, ar pareiškėja pažeidė Teisėjų elgesio kodeksą. Aukščiausioji teismų taryba pripažino, kad vien tai, kad pareiškėja parašė straipsnį nėra laikoma drausmės pažeidimu, tačiau pareiškėjos straipsnyje dėstoma jos nuomonė apie Kasacinio teismo pirmininką yra įžeidžianti, kenkianti teismo pirmininko reputacijai, dėl to tokiais veiksmais pareiškėja pažeidė Teisėjų elgesio kodeksą. Pareiškėja nesutiko su šiomis išvadomis, teigdama, kad ji turėjo omeny ne paties Kasacinio teismo pirmininko asmenį, bet pirmininko postą, o straipsnis tėra literatūrinis kūrinys, o ne konkrečių faktų konstatavimas. Šie pareiškėjos argumentai buvo atmesti. Pareiškėja apskundė šį sprendimą Kasaciniam teismui, tačiau pareiškėjos skundas buvo atmestas. Po 2 metų nuo galutinio sprendimo priėmimo, pareiškėja pateikė prašymą Aukščiausiajai teismų tarybai pašalinti iš jos asmeninės bylos aptartą sprendimą ir visą su jo priėmimu susijusią medžiagą. Šį prašymą tarybą atmetė. Dėl šio sprendimo pareiškėja kreipėsi į nacionalinį teismą, kuris pareiškėjos skundą atmetė. 2017 m. pareiškėja </w:t>
      </w:r>
      <w:r w:rsidRPr="0025732F">
        <w:rPr>
          <w:rFonts w:eastAsia="Times New Roman" w:cstheme="minorHAnsi"/>
          <w:color w:val="000000"/>
        </w:rPr>
        <w:lastRenderedPageBreak/>
        <w:t>pretendavo į Kasacinio teismo teisėjo vietą, tačiau jos kandidatūra buvo atmesta. Dėl Teisėjų elgesio kodekso pažeidimo ir tai liudijančio sprendimo jos asmeninėje byloje pareiškėja, vengdama viešo pažeminimo, nedalyvavo egzaminų laikyme. Bukarešto Apeliacinis teismas priėmė sprendimą, kad pareiškėja negalės būti paskirta į aukštesnį teismą iki 2021 m. dėl padaryto Teisėjų etikos kodekso pažeidimo.</w:t>
      </w:r>
    </w:p>
    <w:p w14:paraId="20C3D71E" w14:textId="675908C9" w:rsidR="00E42530" w:rsidRPr="0025732F" w:rsidRDefault="00E42530" w:rsidP="00E42530">
      <w:pPr>
        <w:spacing w:after="0" w:line="240" w:lineRule="auto"/>
        <w:ind w:firstLine="567"/>
        <w:jc w:val="both"/>
        <w:rPr>
          <w:rFonts w:eastAsia="Times New Roman" w:cstheme="minorHAnsi"/>
          <w:color w:val="000000"/>
        </w:rPr>
      </w:pPr>
      <w:r w:rsidRPr="0025732F">
        <w:rPr>
          <w:rFonts w:eastAsia="Times New Roman" w:cstheme="minorHAnsi"/>
          <w:color w:val="000000"/>
        </w:rPr>
        <w:t>Remdamasi Konvencijos 10 straipsniu, pareiškėja kreipėsi į Teismą, teigdama, kad atsisakymas ją paaukštinti dėl jos išsakytos nuomonės apie kitą teisėją pažeidė jos teisę į saviraiškos laisvę.</w:t>
      </w:r>
    </w:p>
    <w:p w14:paraId="14204EF3" w14:textId="77777777" w:rsidR="00E42530" w:rsidRPr="0025732F" w:rsidRDefault="00E42530" w:rsidP="00E42530">
      <w:pPr>
        <w:spacing w:after="0" w:line="240" w:lineRule="auto"/>
        <w:ind w:right="-1" w:firstLine="567"/>
        <w:jc w:val="both"/>
        <w:rPr>
          <w:rFonts w:eastAsia="Times New Roman" w:cstheme="minorHAnsi"/>
          <w:color w:val="000000"/>
        </w:rPr>
      </w:pPr>
    </w:p>
    <w:p w14:paraId="36818AD5" w14:textId="77777777" w:rsidR="00E42530" w:rsidRPr="0025732F" w:rsidRDefault="00E42530" w:rsidP="00E42530">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22B7DCF4" w14:textId="77777777" w:rsidR="00E42530" w:rsidRPr="0025732F" w:rsidRDefault="00E42530" w:rsidP="00E42530">
      <w:pPr>
        <w:shd w:val="clear" w:color="auto" w:fill="FFFFFF"/>
        <w:spacing w:after="0" w:line="240" w:lineRule="auto"/>
        <w:ind w:right="-1"/>
        <w:rPr>
          <w:rFonts w:eastAsia="Times New Roman" w:cstheme="minorHAnsi"/>
          <w:bCs/>
          <w:color w:val="000000"/>
        </w:rPr>
      </w:pPr>
    </w:p>
    <w:p w14:paraId="02A452BD" w14:textId="1B8828E4" w:rsidR="00E42530" w:rsidRPr="0025732F" w:rsidRDefault="00E42530" w:rsidP="00E42530">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Teismas, pažymėjęs saviraiškos laisvės svarbą demokratinėje valstybėje, nesutiko su Vyriausybės prašymu nepriimti pareiškėjos paraiškos, atmetė Vyriausybės argumentus, kad pareiškėja nepatyrė jokių didelių nepatogumų, nes jai nebuvo uždrausta laikyti egzaminų, kurie būtini norint pretenduoti į Kasacinio teismo teisėjo vietą, ji pati jų nelaikė. Teismas pripažino, kad pareiškėja atsidūrė nepalankioje padėtyje, nes ji buvo nubausta už dalyvavimą diskusijose apie teismus ir dėl to jai buvo paskirta nuobauda, kurios paskyrimą žymintys duomenys liko jos asmeninėje byloje, todėl jos pareiškimas buvo priimtas.</w:t>
      </w:r>
    </w:p>
    <w:p w14:paraId="7506C4D2" w14:textId="77777777" w:rsidR="00E42530" w:rsidRPr="0025732F" w:rsidRDefault="00E42530" w:rsidP="00E42530">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Teismas, įvertinęs bylos medžiagą ir Vyriausybės argumentus, kad taip, kaip teisėja turi elgtis, buvo numatyta įstatymuose ir buvo aiškus bei numatomas Aukščiausiosios teismų tarybos veikimas esant nustatyto elgesio pažeidimams, konstatavo, kad </w:t>
      </w:r>
      <w:r w:rsidRPr="003312CA">
        <w:rPr>
          <w:rFonts w:eastAsia="Times New Roman" w:cstheme="minorHAnsi"/>
          <w:color w:val="000000"/>
          <w:u w:val="single"/>
        </w:rPr>
        <w:t>pareiškėja turėjo žinoti, kokie jos veiksmai gali būti pripažinti neatitinkančiais Teisėjų etikos kodekso ir dėl ko jai gali būti skirta nuobauda. Teisėjų elgesio kodekso nuostatos, Teismo vertinimu, gana aiškios, nustatytos siaurai asmenų grupei – teisėjams. Nors Teismas pripažino, kad teismo pareigūnai gali būti labiau kritikuojami nei privatūs asmenys, vis dėlto pripažino ir tai, kad teismo pareigūnai savo veiksmais turi užtikrinti ir skatinti pasitikėjimą teismų sistema, o ne ją diskredituoti</w:t>
      </w:r>
      <w:r w:rsidRPr="0025732F">
        <w:rPr>
          <w:rFonts w:eastAsia="Times New Roman" w:cstheme="minorHAnsi"/>
          <w:color w:val="000000"/>
        </w:rPr>
        <w:t>. Todėl, įvertinęs straipsnio turinį, Teismas sutiko su institucijų atliktu straipsnio vertinimu ir išvada, kad juo iš esmės buvo pakenkta teismų sistemos reputacijai, nesant jokių jame išdėstytus teiginius pagrindžiančių įrodymų. Nuobauda už tokio straipsnio publikavimą buvo proporcinga.</w:t>
      </w:r>
    </w:p>
    <w:p w14:paraId="1FB993EB" w14:textId="77777777" w:rsidR="00E42530" w:rsidRPr="0025732F" w:rsidRDefault="00E42530" w:rsidP="00E42530">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D6C70DE" w14:textId="77777777" w:rsidR="00E42530" w:rsidRPr="0025732F" w:rsidRDefault="00E42530" w:rsidP="00E42530">
      <w:pPr>
        <w:spacing w:after="0" w:line="240" w:lineRule="auto"/>
        <w:ind w:right="-1" w:firstLine="567"/>
        <w:jc w:val="both"/>
        <w:rPr>
          <w:rFonts w:cstheme="minorHAnsi"/>
        </w:rPr>
      </w:pPr>
      <w:r w:rsidRPr="0025732F">
        <w:rPr>
          <w:rFonts w:cstheme="minorHAnsi"/>
        </w:rPr>
        <w:t>Išvada: Konvencijos 10 straipsnio pažeidimas nenustatytas (vienbalsiai)</w:t>
      </w:r>
    </w:p>
    <w:p w14:paraId="3432CDF7" w14:textId="77777777" w:rsidR="00E42530" w:rsidRPr="0025732F" w:rsidRDefault="00E42530" w:rsidP="00E42530">
      <w:pPr>
        <w:spacing w:after="0" w:line="240" w:lineRule="auto"/>
        <w:ind w:right="-1" w:firstLine="567"/>
        <w:jc w:val="both"/>
        <w:rPr>
          <w:rFonts w:cstheme="minorHAnsi"/>
        </w:rPr>
      </w:pPr>
      <w:r w:rsidRPr="0025732F">
        <w:rPr>
          <w:rFonts w:cstheme="minorHAnsi"/>
          <w:color w:val="000000"/>
        </w:rPr>
        <w:t>(pateikta atskiroji nuomonė)</w:t>
      </w:r>
    </w:p>
    <w:p w14:paraId="1C1443FD" w14:textId="77777777" w:rsidR="00E42530" w:rsidRPr="0025732F" w:rsidRDefault="006922FB" w:rsidP="00E42530">
      <w:pPr>
        <w:spacing w:after="0" w:line="240" w:lineRule="auto"/>
        <w:ind w:right="-1" w:firstLine="567"/>
        <w:jc w:val="both"/>
        <w:rPr>
          <w:rFonts w:cstheme="minorHAnsi"/>
        </w:rPr>
      </w:pPr>
      <w:hyperlink r:id="rId24" w:history="1">
        <w:r w:rsidR="00E42530" w:rsidRPr="0025732F">
          <w:rPr>
            <w:rFonts w:cstheme="minorHAnsi"/>
            <w:color w:val="0000FF"/>
            <w:u w:val="single"/>
          </w:rPr>
          <w:t>Prieiga internete</w:t>
        </w:r>
      </w:hyperlink>
    </w:p>
    <w:p w14:paraId="76FDA9D6" w14:textId="5AC6E89F" w:rsidR="00D524A9" w:rsidRPr="0025732F" w:rsidRDefault="00D524A9" w:rsidP="003C3579">
      <w:pPr>
        <w:pStyle w:val="Antrat1"/>
        <w:rPr>
          <w:rFonts w:eastAsia="Times New Roman" w:cstheme="minorHAnsi"/>
          <w:szCs w:val="22"/>
        </w:rPr>
      </w:pPr>
      <w:bookmarkStart w:id="52" w:name="_Toc72932294"/>
      <w:r w:rsidRPr="0025732F">
        <w:rPr>
          <w:rFonts w:eastAsia="Times New Roman" w:cstheme="minorHAnsi"/>
          <w:szCs w:val="22"/>
        </w:rPr>
        <w:t xml:space="preserve">DISKRIMINACIJOS UŽDRAUDIMAS (14 </w:t>
      </w:r>
      <w:r w:rsidR="008E7CC6" w:rsidRPr="0025732F">
        <w:rPr>
          <w:rFonts w:eastAsia="Times New Roman" w:cstheme="minorHAnsi"/>
          <w:szCs w:val="22"/>
        </w:rPr>
        <w:t>straipsnis</w:t>
      </w:r>
      <w:r w:rsidRPr="0025732F">
        <w:rPr>
          <w:rFonts w:eastAsia="Times New Roman" w:cstheme="minorHAnsi"/>
          <w:szCs w:val="22"/>
        </w:rPr>
        <w:t>)</w:t>
      </w:r>
      <w:bookmarkEnd w:id="52"/>
    </w:p>
    <w:p w14:paraId="2791CFD9" w14:textId="3C6D423E" w:rsidR="008F6ACD" w:rsidRPr="0025732F" w:rsidRDefault="008F6ACD" w:rsidP="00D524A9">
      <w:pPr>
        <w:spacing w:after="0" w:line="240" w:lineRule="auto"/>
        <w:jc w:val="center"/>
        <w:rPr>
          <w:rFonts w:eastAsia="Times New Roman" w:cstheme="minorHAnsi"/>
          <w:b/>
        </w:rPr>
      </w:pPr>
    </w:p>
    <w:p w14:paraId="12C78111" w14:textId="77777777" w:rsidR="008F6ACD" w:rsidRPr="0025732F" w:rsidRDefault="008F6ACD" w:rsidP="008F6ACD">
      <w:pPr>
        <w:shd w:val="clear" w:color="auto" w:fill="FFFFFF"/>
        <w:spacing w:after="0" w:line="240" w:lineRule="auto"/>
        <w:ind w:right="-1"/>
        <w:jc w:val="center"/>
        <w:rPr>
          <w:rFonts w:eastAsia="Times New Roman" w:cstheme="minorHAnsi"/>
          <w:b/>
        </w:rPr>
      </w:pPr>
      <w:r w:rsidRPr="0025732F">
        <w:rPr>
          <w:rFonts w:eastAsia="Times New Roman" w:cstheme="minorHAnsi"/>
          <w:b/>
        </w:rPr>
        <w:t>Europos Žmogaus Teisių Teismo 2020 m. rugsėjo 10 d. sprendimas byloje</w:t>
      </w:r>
    </w:p>
    <w:p w14:paraId="0AAF268C" w14:textId="77777777" w:rsidR="008F6ACD" w:rsidRPr="0025732F" w:rsidRDefault="008F6ACD" w:rsidP="009C6F4D">
      <w:pPr>
        <w:pStyle w:val="Antrat2"/>
        <w:ind w:firstLine="0"/>
        <w:jc w:val="center"/>
        <w:rPr>
          <w:rFonts w:eastAsia="Calibri" w:cstheme="minorHAnsi"/>
          <w:i/>
          <w:iCs w:val="0"/>
        </w:rPr>
      </w:pPr>
      <w:bookmarkStart w:id="53" w:name="_Toc72932295"/>
      <w:r w:rsidRPr="0025732F">
        <w:rPr>
          <w:rFonts w:eastAsia="Calibri" w:cstheme="minorHAnsi"/>
          <w:i/>
          <w:iCs w:val="0"/>
        </w:rPr>
        <w:t>G. L. prieš Italiją</w:t>
      </w:r>
      <w:bookmarkEnd w:id="53"/>
    </w:p>
    <w:p w14:paraId="7C667344" w14:textId="77777777" w:rsidR="008F6ACD" w:rsidRPr="0025732F" w:rsidRDefault="008F6ACD" w:rsidP="008F6ACD">
      <w:pPr>
        <w:shd w:val="clear" w:color="auto" w:fill="FFFFFF"/>
        <w:spacing w:after="0" w:line="240" w:lineRule="auto"/>
        <w:ind w:right="-1"/>
        <w:jc w:val="center"/>
        <w:rPr>
          <w:rFonts w:eastAsia="Times New Roman" w:cstheme="minorHAnsi"/>
          <w:b/>
        </w:rPr>
      </w:pPr>
      <w:r w:rsidRPr="0025732F">
        <w:rPr>
          <w:rFonts w:eastAsia="Times New Roman" w:cstheme="minorHAnsi"/>
          <w:b/>
        </w:rPr>
        <w:t>(pareiškimo Nr. 59751/15</w:t>
      </w:r>
      <w:r w:rsidRPr="0025732F">
        <w:rPr>
          <w:rFonts w:cstheme="minorHAnsi"/>
          <w:b/>
        </w:rPr>
        <w:t>, svarbos lygis – 2</w:t>
      </w:r>
      <w:r w:rsidRPr="0025732F">
        <w:rPr>
          <w:rFonts w:eastAsia="Times New Roman" w:cstheme="minorHAnsi"/>
          <w:b/>
        </w:rPr>
        <w:t>)</w:t>
      </w:r>
    </w:p>
    <w:p w14:paraId="0160F091" w14:textId="77777777" w:rsidR="008F6ACD" w:rsidRPr="0025732F" w:rsidRDefault="008F6ACD" w:rsidP="008F6ACD">
      <w:pPr>
        <w:shd w:val="clear" w:color="auto" w:fill="FFFFFF"/>
        <w:spacing w:after="0" w:line="240" w:lineRule="auto"/>
        <w:ind w:right="-1" w:firstLine="567"/>
        <w:jc w:val="center"/>
        <w:rPr>
          <w:rFonts w:eastAsia="Times New Roman" w:cstheme="minorHAnsi"/>
          <w:b/>
          <w:bCs/>
          <w:color w:val="000000"/>
        </w:rPr>
      </w:pPr>
    </w:p>
    <w:p w14:paraId="7EF99DB3" w14:textId="1C006418" w:rsidR="008F6ACD" w:rsidRPr="0025732F" w:rsidRDefault="008F6ACD" w:rsidP="002B15F3">
      <w:pPr>
        <w:pStyle w:val="Antrat3"/>
        <w:ind w:firstLine="567"/>
        <w:jc w:val="both"/>
        <w:rPr>
          <w:rFonts w:eastAsia="Calibri" w:cstheme="minorHAnsi"/>
          <w:szCs w:val="22"/>
        </w:rPr>
      </w:pPr>
      <w:bookmarkStart w:id="54" w:name="_Toc72932296"/>
      <w:r w:rsidRPr="0025732F">
        <w:rPr>
          <w:rFonts w:eastAsia="Calibri" w:cstheme="minorHAnsi"/>
          <w:szCs w:val="22"/>
        </w:rPr>
        <w:t xml:space="preserve">Dėl </w:t>
      </w:r>
      <w:r w:rsidRPr="0025732F">
        <w:rPr>
          <w:rFonts w:cstheme="minorHAnsi"/>
          <w:szCs w:val="22"/>
        </w:rPr>
        <w:t>specialiosios</w:t>
      </w:r>
      <w:r w:rsidRPr="0025732F">
        <w:rPr>
          <w:rFonts w:eastAsia="Calibri" w:cstheme="minorHAnsi"/>
          <w:szCs w:val="22"/>
        </w:rPr>
        <w:t xml:space="preserve"> mokymosi pagalbos per pirmuosius dvejus pradinės mokyklos metus nesuteikimo autis</w:t>
      </w:r>
      <w:r w:rsidR="00AB4306" w:rsidRPr="0025732F">
        <w:rPr>
          <w:rFonts w:eastAsia="Calibri" w:cstheme="minorHAnsi"/>
          <w:szCs w:val="22"/>
        </w:rPr>
        <w:t>tui</w:t>
      </w:r>
      <w:r w:rsidRPr="0025732F">
        <w:rPr>
          <w:rFonts w:eastAsia="Calibri" w:cstheme="minorHAnsi"/>
          <w:szCs w:val="22"/>
        </w:rPr>
        <w:t xml:space="preserve"> vaikui, į kurią pagal įstatymą jis turėjo teisę</w:t>
      </w:r>
      <w:bookmarkEnd w:id="54"/>
      <w:r w:rsidRPr="0025732F">
        <w:rPr>
          <w:rFonts w:eastAsia="Calibri" w:cstheme="minorHAnsi"/>
          <w:szCs w:val="22"/>
        </w:rPr>
        <w:t xml:space="preserve"> </w:t>
      </w:r>
    </w:p>
    <w:p w14:paraId="4923D09E" w14:textId="77777777" w:rsidR="008F6ACD" w:rsidRPr="0025732F" w:rsidRDefault="008F6ACD" w:rsidP="008F6ACD">
      <w:pPr>
        <w:spacing w:after="0" w:line="240" w:lineRule="auto"/>
        <w:ind w:right="-1" w:firstLine="567"/>
        <w:rPr>
          <w:rFonts w:cstheme="minorHAnsi"/>
        </w:rPr>
      </w:pPr>
    </w:p>
    <w:p w14:paraId="7E0714B0" w14:textId="77777777" w:rsidR="008F6ACD" w:rsidRPr="0025732F" w:rsidRDefault="008F6ACD" w:rsidP="008F6ACD">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70B1953A" w14:textId="77777777" w:rsidR="008F6ACD" w:rsidRPr="0025732F" w:rsidRDefault="008F6ACD" w:rsidP="008F6ACD">
      <w:pPr>
        <w:spacing w:after="0" w:line="240" w:lineRule="auto"/>
        <w:ind w:right="-1" w:firstLine="567"/>
        <w:rPr>
          <w:rFonts w:cstheme="minorHAnsi"/>
        </w:rPr>
      </w:pPr>
    </w:p>
    <w:p w14:paraId="67B6C47C" w14:textId="77777777" w:rsidR="008F6ACD" w:rsidRPr="0025732F" w:rsidRDefault="008F6ACD" w:rsidP="008F6ACD">
      <w:pPr>
        <w:spacing w:after="0" w:line="240" w:lineRule="auto"/>
        <w:ind w:right="-1" w:firstLine="567"/>
        <w:jc w:val="both"/>
        <w:rPr>
          <w:rFonts w:cstheme="minorHAnsi"/>
        </w:rPr>
      </w:pPr>
      <w:r w:rsidRPr="0025732F">
        <w:rPr>
          <w:rFonts w:cstheme="minorHAnsi"/>
        </w:rPr>
        <w:t xml:space="preserve">Pareiškėja (vaikas, gimęs 2004 m.), kenčianti nuo neverbalinio autizmo, per pirmuosius dvejus pradinės mokyklos metus (2010–2012 m.) negalėjo gauti specializuotos pagalbos, į kurią ji turėjo teisę pagal atitinkamus teisės aktus. Dėl to ji (jos tėvai) privalėjo mokėti už privačią specializuotą pagalbą. </w:t>
      </w:r>
    </w:p>
    <w:p w14:paraId="699CB0F8" w14:textId="77777777" w:rsidR="008F6ACD" w:rsidRPr="0025732F" w:rsidRDefault="008F6ACD" w:rsidP="008F6ACD">
      <w:pPr>
        <w:spacing w:after="0" w:line="240" w:lineRule="auto"/>
        <w:ind w:right="-1" w:firstLine="567"/>
        <w:jc w:val="both"/>
        <w:rPr>
          <w:rFonts w:cstheme="minorHAnsi"/>
        </w:rPr>
      </w:pPr>
      <w:r w:rsidRPr="0025732F">
        <w:rPr>
          <w:rFonts w:cstheme="minorHAnsi"/>
        </w:rPr>
        <w:t xml:space="preserve">Pareiškėjos tėvai inicijavo teisminį procesą, o skunde teigė, jog jų vaikui trūksta specializuotos pagalbos, į kurią pagal nacionalinius aktus jis turi teisę, ir prašė kompensuoti privataus specializuoto padėjėjo išlaidas. Tačiau nacionaliniai teismai jų skundą atmetė. </w:t>
      </w:r>
    </w:p>
    <w:p w14:paraId="3B3E17D3" w14:textId="2734DCD2" w:rsidR="008F6ACD" w:rsidRPr="0025732F" w:rsidRDefault="008F6ACD" w:rsidP="008F6ACD">
      <w:pPr>
        <w:spacing w:after="0" w:line="240" w:lineRule="auto"/>
        <w:ind w:right="-1" w:firstLine="567"/>
        <w:jc w:val="both"/>
        <w:rPr>
          <w:rFonts w:cstheme="minorHAnsi"/>
        </w:rPr>
      </w:pPr>
      <w:r w:rsidRPr="0025732F">
        <w:rPr>
          <w:rFonts w:cstheme="minorHAnsi"/>
        </w:rPr>
        <w:t xml:space="preserve">Pareiškėja kreipėsi į Teismą, teigdama, jog buvo pažeistas Konvencijos 14 straipsnis kartu su </w:t>
      </w:r>
      <w:r w:rsidR="009B0BCB">
        <w:rPr>
          <w:rFonts w:cstheme="minorHAnsi"/>
        </w:rPr>
        <w:t>P</w:t>
      </w:r>
      <w:r w:rsidRPr="0025732F">
        <w:rPr>
          <w:rFonts w:cstheme="minorHAnsi"/>
        </w:rPr>
        <w:t xml:space="preserve">rotokolo </w:t>
      </w:r>
      <w:r w:rsidR="009B0BCB">
        <w:rPr>
          <w:rFonts w:cstheme="minorHAnsi"/>
        </w:rPr>
        <w:t xml:space="preserve">Nr. 1 </w:t>
      </w:r>
      <w:r w:rsidRPr="0025732F">
        <w:rPr>
          <w:rFonts w:cstheme="minorHAnsi"/>
        </w:rPr>
        <w:t xml:space="preserve">2 straipsniu. </w:t>
      </w:r>
    </w:p>
    <w:p w14:paraId="5824CB8C" w14:textId="77777777" w:rsidR="008F6ACD" w:rsidRPr="0025732F" w:rsidRDefault="008F6ACD" w:rsidP="008F6ACD">
      <w:pPr>
        <w:spacing w:after="0" w:line="240" w:lineRule="auto"/>
        <w:ind w:right="-1" w:firstLine="567"/>
        <w:jc w:val="both"/>
        <w:rPr>
          <w:rFonts w:cstheme="minorHAnsi"/>
        </w:rPr>
      </w:pPr>
    </w:p>
    <w:p w14:paraId="16A1A828" w14:textId="77777777" w:rsidR="008F6ACD" w:rsidRPr="0025732F" w:rsidRDefault="008F6ACD" w:rsidP="008F6ACD">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52BCC864" w14:textId="77777777" w:rsidR="008F6ACD" w:rsidRPr="0025732F" w:rsidRDefault="008F6ACD" w:rsidP="008F6ACD">
      <w:pPr>
        <w:spacing w:after="0" w:line="240" w:lineRule="auto"/>
        <w:ind w:right="-1" w:firstLine="567"/>
        <w:jc w:val="both"/>
        <w:rPr>
          <w:rFonts w:cstheme="minorHAnsi"/>
        </w:rPr>
      </w:pPr>
    </w:p>
    <w:p w14:paraId="2F609792" w14:textId="77777777" w:rsidR="008F6ACD" w:rsidRPr="0025732F" w:rsidRDefault="008F6ACD" w:rsidP="008F6ACD">
      <w:pPr>
        <w:spacing w:after="0" w:line="240" w:lineRule="auto"/>
        <w:ind w:right="-1" w:firstLine="567"/>
        <w:jc w:val="both"/>
        <w:rPr>
          <w:rFonts w:cstheme="minorHAnsi"/>
        </w:rPr>
      </w:pPr>
      <w:r w:rsidRPr="0025732F">
        <w:rPr>
          <w:rFonts w:cstheme="minorHAnsi"/>
        </w:rPr>
        <w:lastRenderedPageBreak/>
        <w:t xml:space="preserve">Teismas pabrėžė, jog Konvencijos 14 straipsnio taikymo sritis apima ne tik draudimą diskriminuoti dėl negalios, bet taip pat valstybių pareigą suteikti „tinkamas sąlygas“, galinčias ištaisyti faktinę nelygybę, kuri, be jokio pagrindimo, gali sukelti diskriminaciją. </w:t>
      </w:r>
    </w:p>
    <w:p w14:paraId="27A37D74" w14:textId="77777777" w:rsidR="008F6ACD" w:rsidRPr="0025732F" w:rsidRDefault="008F6ACD" w:rsidP="008F6ACD">
      <w:pPr>
        <w:spacing w:after="0" w:line="240" w:lineRule="auto"/>
        <w:ind w:right="-1" w:firstLine="567"/>
        <w:jc w:val="both"/>
        <w:rPr>
          <w:rFonts w:cstheme="minorHAnsi"/>
        </w:rPr>
      </w:pPr>
      <w:r w:rsidRPr="0025732F">
        <w:rPr>
          <w:rFonts w:cstheme="minorHAnsi"/>
        </w:rPr>
        <w:t>Italijos teisinė sistema garantavo neįgalių vaikų teisę į mokymąsi integruojamojo ugdymo forma valstybinėse bendrojo lavinimo mokyklose. Pagalbą teikiantis mokytojas turėjo dalyvauti klasėse, integruojančiuose vaikus su negalia, o kiti padėjėjai buvo numatyti, jei to reikalavo mokinio padėtis. Taigi ginčui aktualiu metu įvairios Italijos nacionalinės teisės aktų nuostatos įtvirtino neįgalių vaikų teisę į mokslą ir jų apsaugą nuo diskriminacijos.</w:t>
      </w:r>
    </w:p>
    <w:p w14:paraId="46109492" w14:textId="2148449C" w:rsidR="008F6ACD" w:rsidRPr="0025732F" w:rsidRDefault="008F6ACD" w:rsidP="008F6ACD">
      <w:pPr>
        <w:spacing w:after="0" w:line="240" w:lineRule="auto"/>
        <w:ind w:right="-1" w:firstLine="567"/>
        <w:jc w:val="both"/>
        <w:rPr>
          <w:rFonts w:cstheme="minorHAnsi"/>
        </w:rPr>
      </w:pPr>
      <w:r w:rsidRPr="0025732F">
        <w:rPr>
          <w:rFonts w:cstheme="minorHAnsi"/>
        </w:rPr>
        <w:t xml:space="preserve">Vertindamas atsisakymą suteikti specializuotą pagalbą pareiškėjai, Teismas pažymėjo, jog Konvencijos 14 straipsnis turi būti aiškinamas atsižvelgiant į reikalavimus, nustatytus Neįgaliųjų teisių konvencijoje. Šis teisinės gynybos instrumentas nustato, jog tinkamas sąlygų pritaikymas, kurių neįgalieji gali tikėtis, atitinka būtinus ir tinkamus pakeitimus ir pritaikymą, dėl kurių nepatiriama neproporcinga ar nepagrįsta našta ir kurių reikia konkrečiu atveju siekiant užtikrinti neįgaliesiems galimybę naudotis visomis žmogaus teisėmis ir pagrindinėmis laisvėmis lygiai su kitais asmenimis ar galimybę įgyvendinti šias teises ir laisves; ir kad diskriminacija dėl negalios apima visų formų diskriminaciją, įskaitant atsisakymą tinkamai pritaikyti sąlygas. Pagrįstomis tinkamų sąlygų pritaikymo priemonėmis siekiama ištaisyti </w:t>
      </w:r>
      <w:r w:rsidRPr="0025732F">
        <w:rPr>
          <w:rFonts w:cstheme="minorHAnsi"/>
          <w:i/>
          <w:iCs/>
        </w:rPr>
        <w:t>de facto</w:t>
      </w:r>
      <w:r w:rsidRPr="0025732F">
        <w:rPr>
          <w:rFonts w:cstheme="minorHAnsi"/>
        </w:rPr>
        <w:t xml:space="preserve"> nelygybę.</w:t>
      </w:r>
    </w:p>
    <w:p w14:paraId="05207F2F" w14:textId="46C7F351" w:rsidR="008F6ACD" w:rsidRPr="0025732F" w:rsidRDefault="008F6ACD" w:rsidP="008F6ACD">
      <w:pPr>
        <w:spacing w:after="0" w:line="240" w:lineRule="auto"/>
        <w:ind w:right="-1" w:firstLine="567"/>
        <w:jc w:val="both"/>
        <w:rPr>
          <w:rFonts w:cstheme="minorHAnsi"/>
        </w:rPr>
      </w:pPr>
      <w:r w:rsidRPr="0025732F">
        <w:rPr>
          <w:rFonts w:cstheme="minorHAnsi"/>
        </w:rPr>
        <w:t xml:space="preserve">Pažymėta, jog yra itin svarbu, kad valstybės būtų ypač dėmesingos </w:t>
      </w:r>
      <w:r w:rsidR="007E096D" w:rsidRPr="0025732F">
        <w:rPr>
          <w:rFonts w:cstheme="minorHAnsi"/>
        </w:rPr>
        <w:t xml:space="preserve">savo </w:t>
      </w:r>
      <w:r w:rsidRPr="0025732F">
        <w:rPr>
          <w:rFonts w:cstheme="minorHAnsi"/>
        </w:rPr>
        <w:t xml:space="preserve">pasirinkimams švietimo sityje, atsižvelgiant į jų poveikį neįgaliems vaikams, kurių ypatingas pažeidžiamumas negali būti pamirštas. </w:t>
      </w:r>
    </w:p>
    <w:p w14:paraId="4ABBCEE4" w14:textId="77777777" w:rsidR="008F6ACD" w:rsidRPr="0025732F" w:rsidRDefault="008F6ACD" w:rsidP="008F6ACD">
      <w:pPr>
        <w:spacing w:after="0" w:line="240" w:lineRule="auto"/>
        <w:ind w:right="-1" w:firstLine="567"/>
        <w:jc w:val="both"/>
        <w:rPr>
          <w:rFonts w:cstheme="minorHAnsi"/>
        </w:rPr>
      </w:pPr>
      <w:r w:rsidRPr="0025732F">
        <w:rPr>
          <w:rFonts w:cstheme="minorHAnsi"/>
        </w:rPr>
        <w:t xml:space="preserve">Italijos Vyriausybės teigimu, kadangi vienintelės turimos lėšos buvo skirtos amiotrofinės lateralinės sklerozės pacientų poreikiams, valdžios institucijos neturėjo finansinių išteklių, kuriuos būtų galima greitai skirti mokymosi paramai; taip pat, jog mokyklos administracija savo lėšomis suteikė specializuotą mokyklos darbuotojų pagalbą. Tačiau nebuvo pateikta jokios informacijos apie specialius tų darbuotojų įgūdžius ar suteiktą pagalbą, taip pat nepateikta jokios informacijos apie pagalbos teikimo laikotarpius ar valandas. Be to, mokykla šešių asmenų teikiamoms paslaugoms per vienerius mokslo metus išleido 476,56 Eur. </w:t>
      </w:r>
    </w:p>
    <w:p w14:paraId="21FCF019" w14:textId="77777777" w:rsidR="008F6ACD" w:rsidRPr="0025732F" w:rsidRDefault="008F6ACD" w:rsidP="008F6ACD">
      <w:pPr>
        <w:tabs>
          <w:tab w:val="left" w:pos="567"/>
        </w:tabs>
        <w:spacing w:after="0" w:line="240" w:lineRule="auto"/>
        <w:ind w:right="-1"/>
        <w:jc w:val="both"/>
        <w:rPr>
          <w:rFonts w:cstheme="minorHAnsi"/>
        </w:rPr>
      </w:pPr>
      <w:r w:rsidRPr="0025732F">
        <w:rPr>
          <w:rFonts w:cstheme="minorHAnsi"/>
        </w:rPr>
        <w:tab/>
        <w:t>Atsižvelgiant į šiuos paaiškinimus, Teismo vertinimu, pareiškėja negalėjo lankyti pradinės mokyklos tokiomis pačiomis sąlygomis kaip ir mokiniai, neturintys negalios, ir tokį skirtingą požiūrį nulėmė jos neįgalumas. Taigi dvejus mokslo metus, išskyrus privačią pagalbą, kurią apmokėjo pareiškėjos tėvai, ir nežymią mokyklos darbuotojų pagalbą, pareiškėja negavo specializuotos pagalbos, į kurią ji turėjo teisę ir kuri turėjo suteikti jai galimybę naudotis mokyklos švietimo ir socialinėmis paslaugomis vienodomis sąlygomis su kitais mokiniais.</w:t>
      </w:r>
    </w:p>
    <w:p w14:paraId="7F93BECD" w14:textId="77777777" w:rsidR="008F6ACD" w:rsidRPr="0025732F" w:rsidRDefault="008F6ACD" w:rsidP="008F6ACD">
      <w:pPr>
        <w:tabs>
          <w:tab w:val="left" w:pos="567"/>
        </w:tabs>
        <w:spacing w:after="0" w:line="240" w:lineRule="auto"/>
        <w:ind w:right="-1"/>
        <w:jc w:val="both"/>
        <w:rPr>
          <w:rFonts w:cstheme="minorHAnsi"/>
        </w:rPr>
      </w:pPr>
      <w:r w:rsidRPr="0025732F">
        <w:rPr>
          <w:rFonts w:cstheme="minorHAnsi"/>
        </w:rPr>
        <w:tab/>
        <w:t>Dėl proceso administraciniuose teismuose Teismas nurodė, kad administraciniai teismai nusprendė, jog finansinių išteklių trūkumas pateisina pareiškėjai nesuteiktą specializuotą pagalbą, neatsižvelgdami į tai, ar valdžios institucijos nustatė teisingą pusiausvyrą tarp pareiškėjos švietimo poreikių ir ribotų administracijos galimybių juos tenkinti, ar pareiškėjos įtarimai dėl diskriminacijos buvo tinkamai pagrįsti. Tačiau, Teismo vertinimu, nacionaliniai teismai nepatikrino, ar biudžeto apribojimai, kuriais rėmėsi administracija, kitų vaikų švietimui turėjo tokį patį poveikį kaip ir neįgaliems vaikams.</w:t>
      </w:r>
    </w:p>
    <w:p w14:paraId="620BC8DD" w14:textId="0ADC2178" w:rsidR="008F6ACD" w:rsidRPr="0025732F" w:rsidRDefault="008F6ACD" w:rsidP="008F6ACD">
      <w:pPr>
        <w:spacing w:after="0" w:line="240" w:lineRule="auto"/>
        <w:ind w:right="-1" w:firstLine="567"/>
        <w:jc w:val="both"/>
        <w:rPr>
          <w:rFonts w:cstheme="minorHAnsi"/>
        </w:rPr>
      </w:pPr>
      <w:r w:rsidRPr="0025732F">
        <w:rPr>
          <w:rFonts w:cstheme="minorHAnsi"/>
        </w:rPr>
        <w:t xml:space="preserve">Nacionalinės valdžios institucijos niekada nesvarstė galimybės, kad išteklių trūkumas ar išskirtinis poreikis teikti pirmenybę </w:t>
      </w:r>
      <w:r w:rsidR="003312CA">
        <w:rPr>
          <w:rFonts w:cstheme="minorHAnsi"/>
        </w:rPr>
        <w:t>sunkių sveikatos sutrikimų turinčių</w:t>
      </w:r>
      <w:r w:rsidRPr="0025732F">
        <w:rPr>
          <w:rFonts w:cstheme="minorHAnsi"/>
        </w:rPr>
        <w:t xml:space="preserve"> asmenų priežiūrai galėtų būti kompensuojamas ne pakeitus sąlygų pritaikymą siekiant užtikrinti lygias galimybes neįgaliems vaikams, tačiau sumažinus bendrą švietimo teikimą, paskirstant jį vienodai tarp neįgalių ir visų kitų mokinių, nors šis aspektas jau buvo pabrėžtas kasacinio teismo sprendimuose. Atsižvelgiant į Italijoje priimtą integruojamojo ugdymo modelį, kai visi mokiniai buvo integruoti į bendrojo lavinimo klases, ir atsižvelgiant į kasacinio teismo praktiką, </w:t>
      </w:r>
      <w:r w:rsidRPr="003312CA">
        <w:rPr>
          <w:rFonts w:cstheme="minorHAnsi"/>
          <w:u w:val="single"/>
        </w:rPr>
        <w:t>bet kokie biudžeto apribojimai teikiamam švietimui turėjo turėti lygiavertį poveikį neįgaliems ir visiems kitiems mokiniams</w:t>
      </w:r>
      <w:r w:rsidRPr="0025732F">
        <w:rPr>
          <w:rFonts w:cstheme="minorHAnsi"/>
        </w:rPr>
        <w:t>.</w:t>
      </w:r>
    </w:p>
    <w:p w14:paraId="7925B301" w14:textId="6EC95E02" w:rsidR="008F6ACD" w:rsidRPr="0025732F" w:rsidRDefault="008F6ACD" w:rsidP="008F6ACD">
      <w:pPr>
        <w:spacing w:after="0" w:line="240" w:lineRule="auto"/>
        <w:ind w:right="-1" w:firstLine="567"/>
        <w:jc w:val="both"/>
        <w:rPr>
          <w:rFonts w:cstheme="minorHAnsi"/>
        </w:rPr>
      </w:pPr>
      <w:r w:rsidRPr="0025732F">
        <w:rPr>
          <w:rFonts w:cstheme="minorHAnsi"/>
        </w:rPr>
        <w:t xml:space="preserve">Teismas vertino, jog valstybės valdžios institucijos nesiekė nustatyti tikrųjų pareiškėjos poreikių ar galimų sprendimų, leidžiančių jai lankyti pradinę mokyklą tokiomis sąlygomis, kurios kiek įmanoma prilygsta toms, kurias turi visi kiti mokiniai, tuo pačiu metu administracijai neužkraunant neproporcingos ar nepagrįstos naštos. </w:t>
      </w:r>
      <w:r w:rsidRPr="003312CA">
        <w:rPr>
          <w:rFonts w:cstheme="minorHAnsi"/>
          <w:u w:val="single"/>
        </w:rPr>
        <w:t>Pareiškėjos patirta diskriminacija buvo dar rimtesnė, nes ji buvo patirta pradinėje mokykloje, kur yra mokoma vaikų švietimo ir socialinės integracijos pagrindų, suteikiant jiems pirmąją gyvenimo bendruomenėje patirtį.</w:t>
      </w:r>
      <w:r w:rsidRPr="0025732F">
        <w:rPr>
          <w:rFonts w:cstheme="minorHAnsi"/>
        </w:rPr>
        <w:t xml:space="preserve"> Tokio lygio švietimas yra privalomas daugumoje šalių. Vertinta, jog Vyriausybė neįrodė, kad valdžios institucijos elgėsi pakankamai kruopščiai, siekdamos garantuoti pareiškėjai galimybę naudotis teise į mokslą vienodomis sąlygomis su kitais mokiniais</w:t>
      </w:r>
      <w:r w:rsidR="003312CA">
        <w:rPr>
          <w:rFonts w:cstheme="minorHAnsi"/>
        </w:rPr>
        <w:t>, ir neužtikrino</w:t>
      </w:r>
      <w:r w:rsidRPr="0025732F">
        <w:rPr>
          <w:rFonts w:cstheme="minorHAnsi"/>
        </w:rPr>
        <w:t xml:space="preserve"> teising</w:t>
      </w:r>
      <w:r w:rsidR="003312CA">
        <w:rPr>
          <w:rFonts w:cstheme="minorHAnsi"/>
        </w:rPr>
        <w:t>os</w:t>
      </w:r>
      <w:r w:rsidRPr="0025732F">
        <w:rPr>
          <w:rFonts w:cstheme="minorHAnsi"/>
        </w:rPr>
        <w:t xml:space="preserve"> pusiausvyr</w:t>
      </w:r>
      <w:r w:rsidR="003312CA">
        <w:rPr>
          <w:rFonts w:cstheme="minorHAnsi"/>
        </w:rPr>
        <w:t>os</w:t>
      </w:r>
      <w:r w:rsidRPr="0025732F">
        <w:rPr>
          <w:rFonts w:cstheme="minorHAnsi"/>
        </w:rPr>
        <w:t xml:space="preserve"> tarp esamų konkuruojančių interesų.</w:t>
      </w:r>
    </w:p>
    <w:p w14:paraId="36511CB5" w14:textId="77777777" w:rsidR="008F6ACD" w:rsidRPr="0025732F" w:rsidRDefault="008F6ACD" w:rsidP="008F6ACD">
      <w:pPr>
        <w:spacing w:after="0" w:line="240" w:lineRule="auto"/>
        <w:ind w:right="-1" w:firstLine="567"/>
        <w:jc w:val="both"/>
        <w:rPr>
          <w:rFonts w:cstheme="minorHAnsi"/>
        </w:rPr>
      </w:pPr>
    </w:p>
    <w:p w14:paraId="60C72298" w14:textId="3D386167" w:rsidR="008F6ACD" w:rsidRPr="0025732F" w:rsidRDefault="008F6ACD" w:rsidP="008F6ACD">
      <w:pPr>
        <w:spacing w:after="0" w:line="240" w:lineRule="auto"/>
        <w:ind w:right="-1" w:firstLine="567"/>
        <w:jc w:val="both"/>
        <w:rPr>
          <w:rFonts w:cstheme="minorHAnsi"/>
        </w:rPr>
      </w:pPr>
      <w:r w:rsidRPr="0025732F">
        <w:rPr>
          <w:rFonts w:cstheme="minorHAnsi"/>
        </w:rPr>
        <w:t xml:space="preserve">Išvada: nustatytas Konvencijos 14 straipsnio kartu su </w:t>
      </w:r>
      <w:r w:rsidR="009B0BCB">
        <w:rPr>
          <w:rFonts w:cstheme="minorHAnsi"/>
        </w:rPr>
        <w:t>P</w:t>
      </w:r>
      <w:r w:rsidRPr="0025732F">
        <w:rPr>
          <w:rFonts w:cstheme="minorHAnsi"/>
        </w:rPr>
        <w:t xml:space="preserve">rotokolo </w:t>
      </w:r>
      <w:r w:rsidR="009B0BCB">
        <w:rPr>
          <w:rFonts w:cstheme="minorHAnsi"/>
        </w:rPr>
        <w:t xml:space="preserve">Nr. 1 </w:t>
      </w:r>
      <w:r w:rsidRPr="0025732F">
        <w:rPr>
          <w:rFonts w:cstheme="minorHAnsi"/>
        </w:rPr>
        <w:t>2 straipsniu pažeidimas (vienbalsiai).</w:t>
      </w:r>
    </w:p>
    <w:p w14:paraId="52870F10" w14:textId="00F3E9AC" w:rsidR="008F6ACD" w:rsidRPr="0025732F" w:rsidRDefault="008F6ACD" w:rsidP="008F6ACD">
      <w:pPr>
        <w:spacing w:after="0" w:line="240" w:lineRule="auto"/>
        <w:ind w:right="-1" w:firstLine="567"/>
        <w:jc w:val="both"/>
        <w:rPr>
          <w:rFonts w:cstheme="minorHAnsi"/>
        </w:rPr>
      </w:pPr>
      <w:r w:rsidRPr="0025732F">
        <w:rPr>
          <w:rFonts w:cstheme="minorHAnsi"/>
        </w:rPr>
        <w:t xml:space="preserve">41 straipsnis: priteista 10 000 Eur neturtinės žalos ir 2 520 </w:t>
      </w:r>
      <w:r w:rsidR="007E096D" w:rsidRPr="0025732F">
        <w:rPr>
          <w:rFonts w:cstheme="minorHAnsi"/>
        </w:rPr>
        <w:t xml:space="preserve">Eur </w:t>
      </w:r>
      <w:r w:rsidRPr="0025732F">
        <w:rPr>
          <w:rFonts w:cstheme="minorHAnsi"/>
        </w:rPr>
        <w:t>turtinės žalos atlyginimo.</w:t>
      </w:r>
    </w:p>
    <w:p w14:paraId="2259BD98" w14:textId="77777777" w:rsidR="008F6ACD" w:rsidRPr="0025732F" w:rsidRDefault="008F6ACD" w:rsidP="008F6ACD">
      <w:pPr>
        <w:spacing w:after="0" w:line="240" w:lineRule="auto"/>
        <w:ind w:right="-1" w:firstLine="567"/>
        <w:jc w:val="both"/>
        <w:rPr>
          <w:rFonts w:cstheme="minorHAnsi"/>
          <w:b/>
          <w:bCs/>
        </w:rPr>
      </w:pPr>
      <w:r w:rsidRPr="0025732F">
        <w:rPr>
          <w:rFonts w:cstheme="minorHAnsi"/>
        </w:rPr>
        <w:t>(pateikta atskiroji nuomonė)</w:t>
      </w:r>
    </w:p>
    <w:p w14:paraId="67CB2F75" w14:textId="6444EFAB" w:rsidR="008F6ACD" w:rsidRPr="0025732F" w:rsidRDefault="006922FB" w:rsidP="008F6ACD">
      <w:pPr>
        <w:spacing w:after="0" w:line="240" w:lineRule="auto"/>
        <w:ind w:right="-1" w:firstLine="567"/>
        <w:jc w:val="both"/>
        <w:rPr>
          <w:rFonts w:cstheme="minorHAnsi"/>
        </w:rPr>
      </w:pPr>
      <w:hyperlink r:id="rId25" w:history="1">
        <w:r w:rsidR="008F6ACD" w:rsidRPr="0025732F">
          <w:rPr>
            <w:rStyle w:val="Hipersaitas"/>
            <w:rFonts w:cstheme="minorHAnsi"/>
          </w:rPr>
          <w:t>Prieiga internete</w:t>
        </w:r>
      </w:hyperlink>
    </w:p>
    <w:p w14:paraId="15D72712" w14:textId="7243E5FC" w:rsidR="00944B8C" w:rsidRPr="00B42ABA" w:rsidRDefault="00944B8C" w:rsidP="00944B8C">
      <w:pPr>
        <w:pStyle w:val="Antrat1"/>
        <w:rPr>
          <w:rFonts w:eastAsia="Times New Roman"/>
        </w:rPr>
      </w:pPr>
      <w:bookmarkStart w:id="55" w:name="_Toc71803377"/>
      <w:bookmarkStart w:id="56" w:name="_Toc71817059"/>
      <w:bookmarkStart w:id="57" w:name="_Toc72932297"/>
      <w:r w:rsidRPr="00B42ABA">
        <w:rPr>
          <w:rFonts w:eastAsia="Times New Roman"/>
        </w:rPr>
        <w:t>NUOSAVYBĖS APSAUGA (</w:t>
      </w:r>
      <w:r>
        <w:rPr>
          <w:rFonts w:eastAsia="Times New Roman"/>
        </w:rPr>
        <w:t>P</w:t>
      </w:r>
      <w:r w:rsidRPr="00B42ABA">
        <w:rPr>
          <w:rFonts w:eastAsia="Times New Roman"/>
        </w:rPr>
        <w:t xml:space="preserve">rotokolo </w:t>
      </w:r>
      <w:r>
        <w:rPr>
          <w:rFonts w:eastAsia="Times New Roman"/>
        </w:rPr>
        <w:t xml:space="preserve">Nr. 1 </w:t>
      </w:r>
      <w:r w:rsidRPr="00B42ABA">
        <w:rPr>
          <w:rFonts w:eastAsia="Times New Roman"/>
        </w:rPr>
        <w:t>1 straipsnis)</w:t>
      </w:r>
      <w:bookmarkEnd w:id="55"/>
      <w:bookmarkEnd w:id="56"/>
      <w:bookmarkEnd w:id="57"/>
    </w:p>
    <w:p w14:paraId="7A02A70A" w14:textId="77777777" w:rsidR="00944B8C" w:rsidRPr="00B42ABA" w:rsidRDefault="00944B8C" w:rsidP="00944B8C">
      <w:pPr>
        <w:shd w:val="clear" w:color="auto" w:fill="FFFFFF"/>
        <w:spacing w:after="0" w:line="240" w:lineRule="auto"/>
        <w:ind w:right="-1"/>
        <w:jc w:val="center"/>
        <w:rPr>
          <w:rFonts w:eastAsia="Times New Roman" w:cstheme="minorHAnsi"/>
          <w:b/>
        </w:rPr>
      </w:pPr>
    </w:p>
    <w:p w14:paraId="52CF321A" w14:textId="77777777" w:rsidR="00944B8C" w:rsidRPr="00B42ABA" w:rsidRDefault="00944B8C" w:rsidP="00944B8C">
      <w:pPr>
        <w:shd w:val="clear" w:color="auto" w:fill="FFFFFF"/>
        <w:spacing w:after="0" w:line="240" w:lineRule="auto"/>
        <w:ind w:right="-1"/>
        <w:jc w:val="center"/>
        <w:rPr>
          <w:rFonts w:eastAsia="Times New Roman" w:cstheme="minorHAnsi"/>
          <w:b/>
        </w:rPr>
      </w:pPr>
      <w:r w:rsidRPr="00B42ABA">
        <w:rPr>
          <w:rFonts w:eastAsia="Times New Roman" w:cstheme="minorHAnsi"/>
          <w:b/>
        </w:rPr>
        <w:t>Europos Žmogaus Teisių Teismo 2020 m. liepos 7 d. sprendimas byloje</w:t>
      </w:r>
    </w:p>
    <w:p w14:paraId="71C1F8DE" w14:textId="77777777" w:rsidR="00944B8C" w:rsidRPr="00B42ABA" w:rsidRDefault="00944B8C" w:rsidP="00944B8C">
      <w:pPr>
        <w:pStyle w:val="Antrat2"/>
        <w:ind w:right="-1" w:firstLine="0"/>
        <w:jc w:val="center"/>
        <w:rPr>
          <w:rFonts w:eastAsia="Calibri" w:cstheme="minorHAnsi"/>
          <w:i/>
        </w:rPr>
      </w:pPr>
      <w:bookmarkStart w:id="58" w:name="_Toc71803378"/>
      <w:bookmarkStart w:id="59" w:name="_Toc71817060"/>
      <w:bookmarkStart w:id="60" w:name="_Toc72932298"/>
      <w:r w:rsidRPr="00B42ABA">
        <w:rPr>
          <w:rFonts w:eastAsia="Calibri" w:cstheme="minorHAnsi"/>
          <w:i/>
        </w:rPr>
        <w:t>Galakvoščius prieš Lietuvą</w:t>
      </w:r>
      <w:bookmarkEnd w:id="58"/>
      <w:bookmarkEnd w:id="59"/>
      <w:bookmarkEnd w:id="60"/>
    </w:p>
    <w:p w14:paraId="39754C4B" w14:textId="77777777" w:rsidR="00944B8C" w:rsidRPr="00B42ABA" w:rsidRDefault="00944B8C" w:rsidP="00944B8C">
      <w:pPr>
        <w:shd w:val="clear" w:color="auto" w:fill="FFFFFF"/>
        <w:spacing w:after="0" w:line="240" w:lineRule="auto"/>
        <w:ind w:right="-1"/>
        <w:jc w:val="center"/>
        <w:rPr>
          <w:rFonts w:eastAsia="Times New Roman" w:cstheme="minorHAnsi"/>
          <w:b/>
        </w:rPr>
      </w:pPr>
      <w:r w:rsidRPr="00B42ABA">
        <w:rPr>
          <w:rFonts w:eastAsia="Times New Roman" w:cstheme="minorHAnsi"/>
          <w:b/>
        </w:rPr>
        <w:t>(pareiškimo Nr. 11398/18</w:t>
      </w:r>
      <w:r w:rsidRPr="00B42ABA">
        <w:rPr>
          <w:rFonts w:cstheme="minorHAnsi"/>
          <w:b/>
        </w:rPr>
        <w:t>, svarbos lygis – 3</w:t>
      </w:r>
      <w:r w:rsidRPr="00B42ABA">
        <w:rPr>
          <w:rFonts w:eastAsia="Times New Roman" w:cstheme="minorHAnsi"/>
          <w:b/>
        </w:rPr>
        <w:t>)</w:t>
      </w:r>
    </w:p>
    <w:p w14:paraId="63FCA599" w14:textId="77777777" w:rsidR="00944B8C" w:rsidRPr="00B42ABA" w:rsidRDefault="00944B8C" w:rsidP="00944B8C">
      <w:pPr>
        <w:shd w:val="clear" w:color="auto" w:fill="FFFFFF"/>
        <w:spacing w:after="0" w:line="240" w:lineRule="auto"/>
        <w:ind w:right="-1" w:firstLine="567"/>
        <w:jc w:val="center"/>
        <w:rPr>
          <w:rFonts w:eastAsia="Times New Roman" w:cstheme="minorHAnsi"/>
          <w:b/>
          <w:bCs/>
          <w:color w:val="000000"/>
        </w:rPr>
      </w:pPr>
    </w:p>
    <w:p w14:paraId="6E69BBF1" w14:textId="6DFDAAE4" w:rsidR="00944B8C" w:rsidRPr="00B42ABA" w:rsidRDefault="00944B8C" w:rsidP="00944B8C">
      <w:pPr>
        <w:pStyle w:val="Antrat3"/>
        <w:spacing w:before="0" w:line="240" w:lineRule="auto"/>
        <w:ind w:right="-1" w:firstLine="567"/>
        <w:jc w:val="both"/>
        <w:rPr>
          <w:rFonts w:eastAsia="Calibri" w:cstheme="minorHAnsi"/>
          <w:bCs/>
          <w:iCs/>
          <w:szCs w:val="22"/>
        </w:rPr>
      </w:pPr>
      <w:bookmarkStart w:id="61" w:name="_Toc71803379"/>
      <w:bookmarkStart w:id="62" w:name="_Toc71817061"/>
      <w:bookmarkStart w:id="63" w:name="_Toc72932299"/>
      <w:r w:rsidRPr="00B42ABA">
        <w:rPr>
          <w:rFonts w:eastAsia="Calibri" w:cstheme="minorHAnsi"/>
          <w:bCs/>
          <w:iCs/>
          <w:szCs w:val="22"/>
        </w:rPr>
        <w:t xml:space="preserve">Dėl </w:t>
      </w:r>
      <w:r w:rsidR="00D268DA">
        <w:rPr>
          <w:rFonts w:eastAsia="Calibri" w:cstheme="minorHAnsi"/>
          <w:bCs/>
          <w:iCs/>
          <w:szCs w:val="22"/>
        </w:rPr>
        <w:t xml:space="preserve">teisės susigrąžinti </w:t>
      </w:r>
      <w:r w:rsidRPr="00B42ABA">
        <w:rPr>
          <w:rFonts w:eastAsia="Calibri" w:cstheme="minorHAnsi"/>
          <w:bCs/>
          <w:iCs/>
          <w:szCs w:val="22"/>
        </w:rPr>
        <w:t>rinkimų užstat</w:t>
      </w:r>
      <w:r w:rsidR="00D268DA">
        <w:rPr>
          <w:rFonts w:eastAsia="Calibri" w:cstheme="minorHAnsi"/>
          <w:bCs/>
          <w:iCs/>
          <w:szCs w:val="22"/>
        </w:rPr>
        <w:t>ą</w:t>
      </w:r>
      <w:bookmarkEnd w:id="61"/>
      <w:bookmarkEnd w:id="62"/>
      <w:bookmarkEnd w:id="63"/>
    </w:p>
    <w:p w14:paraId="695BF2D3" w14:textId="77777777" w:rsidR="00944B8C" w:rsidRPr="00B42ABA" w:rsidRDefault="00944B8C" w:rsidP="00944B8C">
      <w:pPr>
        <w:spacing w:after="0" w:line="240" w:lineRule="auto"/>
        <w:ind w:right="-1"/>
        <w:rPr>
          <w:rFonts w:cstheme="minorHAnsi"/>
        </w:rPr>
      </w:pPr>
    </w:p>
    <w:p w14:paraId="077F869C"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r w:rsidRPr="00B42ABA">
        <w:rPr>
          <w:rFonts w:eastAsia="Times New Roman" w:cstheme="minorHAnsi"/>
          <w:b/>
          <w:bCs/>
          <w:color w:val="000000"/>
        </w:rPr>
        <w:t>Faktinės aplinkybės</w:t>
      </w:r>
    </w:p>
    <w:p w14:paraId="425BCF1C" w14:textId="77777777" w:rsidR="00944B8C" w:rsidRPr="00B42ABA" w:rsidRDefault="00944B8C" w:rsidP="00944B8C">
      <w:pPr>
        <w:spacing w:after="0" w:line="240" w:lineRule="auto"/>
        <w:ind w:right="-1" w:firstLine="567"/>
        <w:rPr>
          <w:rFonts w:cstheme="minorHAnsi"/>
        </w:rPr>
      </w:pPr>
    </w:p>
    <w:p w14:paraId="5725471A" w14:textId="77777777" w:rsidR="00944B8C" w:rsidRPr="00B42ABA" w:rsidRDefault="00944B8C" w:rsidP="00944B8C">
      <w:pPr>
        <w:spacing w:after="0" w:line="240" w:lineRule="auto"/>
        <w:ind w:right="-1" w:firstLine="567"/>
        <w:jc w:val="both"/>
        <w:rPr>
          <w:rFonts w:cstheme="minorHAnsi"/>
        </w:rPr>
      </w:pPr>
      <w:r w:rsidRPr="00B42ABA">
        <w:rPr>
          <w:rFonts w:cstheme="minorHAnsi"/>
        </w:rPr>
        <w:t>Pareiškėjas dalyvavo kaip kandidatas vietos savivaldos rinkimuose. Jis buvo pirmas sąrašo kandidatas partijos „Tvarka ir teisingumas“ sąraše ir taip pat buvo partijos kandidatas Alytaus mero rinkimuose. Vadovaujantis Savivaldybių tarybų rinkimų įstatymu, partija „Tvarka ir teisingumas“ sumokėjo apie 682 Eur užstatą, registruodama jį kaip kandidatą savivaldybės tarybos rinkimuose. Kadangi jis ėjo su savivaldybės tarybos nario pareigomis nesuderinamas kitas pareigas, pagal įstatymus turėjo papildomai sumokėti 1</w:t>
      </w:r>
      <w:r>
        <w:rPr>
          <w:rFonts w:cstheme="minorHAnsi"/>
        </w:rPr>
        <w:t xml:space="preserve"> </w:t>
      </w:r>
      <w:r w:rsidRPr="00B42ABA">
        <w:rPr>
          <w:rFonts w:cstheme="minorHAnsi"/>
        </w:rPr>
        <w:t>365 E</w:t>
      </w:r>
      <w:r>
        <w:rPr>
          <w:rFonts w:cstheme="minorHAnsi"/>
        </w:rPr>
        <w:t>ur</w:t>
      </w:r>
      <w:r w:rsidRPr="00B42ABA">
        <w:rPr>
          <w:rFonts w:cstheme="minorHAnsi"/>
        </w:rPr>
        <w:t xml:space="preserve"> užstat</w:t>
      </w:r>
      <w:r>
        <w:rPr>
          <w:rFonts w:cstheme="minorHAnsi"/>
        </w:rPr>
        <w:t>ą</w:t>
      </w:r>
      <w:r w:rsidRPr="00B42ABA">
        <w:rPr>
          <w:rFonts w:cstheme="minorHAnsi"/>
        </w:rPr>
        <w:t>.</w:t>
      </w:r>
    </w:p>
    <w:p w14:paraId="4C2599CB" w14:textId="3D35E04D" w:rsidR="00944B8C" w:rsidRPr="00B42ABA" w:rsidRDefault="00944B8C" w:rsidP="00944B8C">
      <w:pPr>
        <w:spacing w:after="0" w:line="240" w:lineRule="auto"/>
        <w:ind w:right="-1" w:firstLine="567"/>
        <w:jc w:val="both"/>
        <w:rPr>
          <w:rFonts w:cstheme="minorHAnsi"/>
        </w:rPr>
      </w:pPr>
      <w:r w:rsidRPr="00B42ABA">
        <w:rPr>
          <w:rFonts w:cstheme="minorHAnsi"/>
        </w:rPr>
        <w:t>Partija „Tvarka ir teisingumas“ nesurinko pakankamai balsų, kad gautų mandatų Alytaus savivaldybės taryboje</w:t>
      </w:r>
      <w:r>
        <w:rPr>
          <w:rFonts w:cstheme="minorHAnsi"/>
        </w:rPr>
        <w:t>. P</w:t>
      </w:r>
      <w:r w:rsidRPr="00B42ABA">
        <w:rPr>
          <w:rFonts w:cstheme="minorHAnsi"/>
        </w:rPr>
        <w:t>areiškėjas taip pat nebuvo išrinktas meru. Pareiškėjui sumokėtas rinkimų užstatas nebuvo grąžintas. Su tokiu sprendimu jis nesutiko nurodydamas, kad atsidūrė kitokioje padėtyje</w:t>
      </w:r>
      <w:r>
        <w:rPr>
          <w:rFonts w:cstheme="minorHAnsi"/>
        </w:rPr>
        <w:t>,</w:t>
      </w:r>
      <w:r w:rsidRPr="00B42ABA">
        <w:rPr>
          <w:rFonts w:cstheme="minorHAnsi"/>
        </w:rPr>
        <w:t xml:space="preserve"> negu kandidatai, kurių darbas nelaikomas nesuderinamu su savivaldybės tarybos nario pareigomis</w:t>
      </w:r>
      <w:r>
        <w:rPr>
          <w:rFonts w:cstheme="minorHAnsi"/>
        </w:rPr>
        <w:t>. D</w:t>
      </w:r>
      <w:r w:rsidRPr="00B42ABA">
        <w:rPr>
          <w:rFonts w:cstheme="minorHAnsi"/>
        </w:rPr>
        <w:t>ėl to</w:t>
      </w:r>
      <w:r>
        <w:rPr>
          <w:rFonts w:cstheme="minorHAnsi"/>
        </w:rPr>
        <w:t xml:space="preserve"> jis</w:t>
      </w:r>
      <w:r w:rsidRPr="00B42ABA">
        <w:rPr>
          <w:rFonts w:cstheme="minorHAnsi"/>
        </w:rPr>
        <w:t xml:space="preserve"> skundėsi, kad teisė dalyvauti rinkimuose buvo nepagrįstai suvaržyta kandidatams, einantiems tam tikras pareigas.</w:t>
      </w:r>
    </w:p>
    <w:p w14:paraId="5989E96B" w14:textId="77777777" w:rsidR="00944B8C" w:rsidRPr="00B42ABA" w:rsidRDefault="00944B8C" w:rsidP="00944B8C">
      <w:pPr>
        <w:spacing w:after="0" w:line="240" w:lineRule="auto"/>
        <w:ind w:right="-1" w:firstLine="567"/>
        <w:jc w:val="both"/>
        <w:rPr>
          <w:rFonts w:cstheme="minorHAnsi"/>
        </w:rPr>
      </w:pPr>
      <w:r w:rsidRPr="00B42ABA">
        <w:rPr>
          <w:rFonts w:cstheme="minorHAnsi"/>
        </w:rPr>
        <w:t>Pareiškėjas pateikė skundus Lygių galimybių kontrolieriui ir administraciniams teismams, tačiau jie buvo pripažinti nepagrįstais.</w:t>
      </w:r>
    </w:p>
    <w:p w14:paraId="1ACCA48F"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p>
    <w:p w14:paraId="37D1D100" w14:textId="77777777" w:rsidR="00944B8C" w:rsidRPr="00B42ABA" w:rsidRDefault="00944B8C" w:rsidP="00944B8C">
      <w:pPr>
        <w:shd w:val="clear" w:color="auto" w:fill="FFFFFF"/>
        <w:spacing w:after="0" w:line="240" w:lineRule="auto"/>
        <w:ind w:right="-1"/>
        <w:jc w:val="center"/>
        <w:rPr>
          <w:rFonts w:eastAsia="Times New Roman" w:cstheme="minorHAnsi"/>
          <w:b/>
          <w:bCs/>
          <w:color w:val="000000"/>
        </w:rPr>
      </w:pPr>
      <w:r w:rsidRPr="00B42ABA">
        <w:rPr>
          <w:rFonts w:eastAsia="Times New Roman" w:cstheme="minorHAnsi"/>
          <w:b/>
          <w:bCs/>
          <w:color w:val="000000"/>
        </w:rPr>
        <w:t>Neoficiali Teismo sprendimo apžvalga</w:t>
      </w:r>
    </w:p>
    <w:p w14:paraId="074BB8AE" w14:textId="77777777" w:rsidR="00944B8C" w:rsidRPr="00B42ABA" w:rsidRDefault="00944B8C" w:rsidP="00944B8C">
      <w:pPr>
        <w:spacing w:after="0" w:line="240" w:lineRule="auto"/>
        <w:ind w:right="-1" w:firstLine="567"/>
        <w:jc w:val="both"/>
        <w:rPr>
          <w:rFonts w:cstheme="minorHAnsi"/>
        </w:rPr>
      </w:pPr>
    </w:p>
    <w:p w14:paraId="7EF8B037" w14:textId="1D55531C" w:rsidR="00944B8C" w:rsidRPr="00B42ABA" w:rsidRDefault="00944B8C" w:rsidP="00944B8C">
      <w:pPr>
        <w:spacing w:after="0" w:line="240" w:lineRule="auto"/>
        <w:ind w:right="-1" w:firstLine="567"/>
        <w:jc w:val="both"/>
        <w:rPr>
          <w:rFonts w:cstheme="minorHAnsi"/>
        </w:rPr>
      </w:pPr>
      <w:r w:rsidRPr="00B42ABA">
        <w:rPr>
          <w:rFonts w:cstheme="minorHAnsi"/>
        </w:rPr>
        <w:t>Nagrinėdamas pareiškėjo skundą</w:t>
      </w:r>
      <w:r>
        <w:rPr>
          <w:rFonts w:cstheme="minorHAnsi"/>
        </w:rPr>
        <w:t>,</w:t>
      </w:r>
      <w:r w:rsidRPr="00B42ABA">
        <w:rPr>
          <w:rFonts w:cstheme="minorHAnsi"/>
        </w:rPr>
        <w:t xml:space="preserve"> teismas pirmiausiai vertino, ar jis suderinamas </w:t>
      </w:r>
      <w:r w:rsidRPr="00B42ABA">
        <w:rPr>
          <w:rFonts w:cstheme="minorHAnsi"/>
          <w:i/>
          <w:iCs/>
        </w:rPr>
        <w:t>ratione materiae</w:t>
      </w:r>
      <w:r w:rsidRPr="00B42ABA">
        <w:rPr>
          <w:rFonts w:cstheme="minorHAnsi"/>
        </w:rPr>
        <w:t xml:space="preserve"> su Konvencijos nuostat</w:t>
      </w:r>
      <w:r>
        <w:rPr>
          <w:rFonts w:cstheme="minorHAnsi"/>
        </w:rPr>
        <w:t>o</w:t>
      </w:r>
      <w:r w:rsidRPr="00B42ABA">
        <w:rPr>
          <w:rFonts w:cstheme="minorHAnsi"/>
        </w:rPr>
        <w:t xml:space="preserve">mis. Teismas pažymėjo, kad pareiškėjas gali kelti </w:t>
      </w:r>
      <w:r>
        <w:rPr>
          <w:rFonts w:cstheme="minorHAnsi"/>
        </w:rPr>
        <w:t>P</w:t>
      </w:r>
      <w:r w:rsidRPr="00B42ABA">
        <w:rPr>
          <w:rFonts w:cstheme="minorHAnsi"/>
        </w:rPr>
        <w:t>rotokolo</w:t>
      </w:r>
      <w:r>
        <w:rPr>
          <w:rFonts w:cstheme="minorHAnsi"/>
        </w:rPr>
        <w:t xml:space="preserve"> Nr. 1</w:t>
      </w:r>
      <w:r w:rsidRPr="00B42ABA">
        <w:rPr>
          <w:rFonts w:cstheme="minorHAnsi"/>
        </w:rPr>
        <w:t xml:space="preserve"> 1 straipsnio pažeidimo klausimą tik tiek, kiek ginčyti sprendimai buvo susiję su jo nuosavybe šios nuostatos prasme. Nuosavybė gali būti </w:t>
      </w:r>
      <w:r>
        <w:rPr>
          <w:rFonts w:cstheme="minorHAnsi"/>
        </w:rPr>
        <w:t xml:space="preserve">realiai </w:t>
      </w:r>
      <w:r w:rsidRPr="00B42ABA">
        <w:rPr>
          <w:rFonts w:cstheme="minorHAnsi"/>
        </w:rPr>
        <w:t xml:space="preserve">egzistuojanti arba </w:t>
      </w:r>
      <w:r>
        <w:rPr>
          <w:rFonts w:cstheme="minorHAnsi"/>
        </w:rPr>
        <w:t xml:space="preserve">sudaryti </w:t>
      </w:r>
      <w:r w:rsidRPr="00B42ABA">
        <w:rPr>
          <w:rFonts w:cstheme="minorHAnsi"/>
        </w:rPr>
        <w:t>tam tikr</w:t>
      </w:r>
      <w:r>
        <w:rPr>
          <w:rFonts w:cstheme="minorHAnsi"/>
        </w:rPr>
        <w:t>a</w:t>
      </w:r>
      <w:r w:rsidRPr="00B42ABA">
        <w:rPr>
          <w:rFonts w:cstheme="minorHAnsi"/>
        </w:rPr>
        <w:t>s teis</w:t>
      </w:r>
      <w:r>
        <w:rPr>
          <w:rFonts w:cstheme="minorHAnsi"/>
        </w:rPr>
        <w:t>e</w:t>
      </w:r>
      <w:r w:rsidRPr="00B42ABA">
        <w:rPr>
          <w:rFonts w:cstheme="minorHAnsi"/>
        </w:rPr>
        <w:t>s, kurias galima laikyti turtu.</w:t>
      </w:r>
    </w:p>
    <w:p w14:paraId="258D3959" w14:textId="6D621FAD" w:rsidR="00944B8C" w:rsidRPr="00B42ABA" w:rsidRDefault="00944B8C" w:rsidP="00944B8C">
      <w:pPr>
        <w:spacing w:after="0" w:line="240" w:lineRule="auto"/>
        <w:ind w:right="-1" w:firstLine="567"/>
        <w:jc w:val="both"/>
        <w:rPr>
          <w:rFonts w:cstheme="minorHAnsi"/>
        </w:rPr>
      </w:pPr>
      <w:r w:rsidRPr="00B42ABA">
        <w:rPr>
          <w:rFonts w:cstheme="minorHAnsi"/>
        </w:rPr>
        <w:t>Šioje byloje, kai pareiškėjas tapo kandidatu vietos savivaldos rinkimuose, nacionalinė teisė numatė, kad užstatas</w:t>
      </w:r>
      <w:r>
        <w:rPr>
          <w:rFonts w:cstheme="minorHAnsi"/>
        </w:rPr>
        <w:t>,</w:t>
      </w:r>
      <w:r w:rsidRPr="00B42ABA">
        <w:rPr>
          <w:rFonts w:cstheme="minorHAnsi"/>
        </w:rPr>
        <w:t xml:space="preserve"> mokamas siekiant dalyvauti rinkimuose</w:t>
      </w:r>
      <w:r>
        <w:rPr>
          <w:rFonts w:cstheme="minorHAnsi"/>
        </w:rPr>
        <w:t>,</w:t>
      </w:r>
      <w:r w:rsidRPr="00B42ABA">
        <w:rPr>
          <w:rFonts w:cstheme="minorHAnsi"/>
        </w:rPr>
        <w:t xml:space="preserve"> yra grąžinamas</w:t>
      </w:r>
      <w:r>
        <w:rPr>
          <w:rFonts w:cstheme="minorHAnsi"/>
        </w:rPr>
        <w:t>,</w:t>
      </w:r>
      <w:r w:rsidRPr="00B42ABA">
        <w:rPr>
          <w:rFonts w:cstheme="minorHAnsi"/>
        </w:rPr>
        <w:t xml:space="preserve"> jeigu </w:t>
      </w:r>
      <w:r w:rsidRPr="00B42ABA">
        <w:rPr>
          <w:rFonts w:cstheme="minorHAnsi"/>
          <w:i/>
          <w:iCs/>
        </w:rPr>
        <w:t>inter alia</w:t>
      </w:r>
      <w:r w:rsidRPr="00B42ABA">
        <w:rPr>
          <w:rFonts w:cstheme="minorHAnsi"/>
        </w:rPr>
        <w:t xml:space="preserve"> partija surenka bent tris procentus balsų, kurių šiuo atveju partija „Tvarka ir teisingumas“ nesurinko. Pareiškėjas šią nuostatą galėjo žinoti iš anksto ir numatyti kilsiančius padarinius prieš sumok</w:t>
      </w:r>
      <w:r>
        <w:rPr>
          <w:rFonts w:cstheme="minorHAnsi"/>
        </w:rPr>
        <w:t xml:space="preserve">ant </w:t>
      </w:r>
      <w:r w:rsidRPr="00B42ABA">
        <w:rPr>
          <w:rFonts w:cstheme="minorHAnsi"/>
        </w:rPr>
        <w:t>užstatą. Pareiškėjas ginčijo nacionalinį reguliavimą dėl to, kad užstato grąžinimo sąlyga buvo partijos surinktų balsų skaičius. Nacionaliniai teismai šį argumentą pripažino nepagrįstu ir, remdamiesi Konstitucin</w:t>
      </w:r>
      <w:r>
        <w:rPr>
          <w:rFonts w:cstheme="minorHAnsi"/>
        </w:rPr>
        <w:t>i</w:t>
      </w:r>
      <w:r w:rsidRPr="00B42ABA">
        <w:rPr>
          <w:rFonts w:cstheme="minorHAnsi"/>
        </w:rPr>
        <w:t>o Teismo jurisprudencija, nurodė, kad tokia sąlyga yra teisėta.</w:t>
      </w:r>
    </w:p>
    <w:p w14:paraId="35DDDF7A" w14:textId="68662D20" w:rsidR="00944B8C" w:rsidRPr="00B42ABA" w:rsidRDefault="00944B8C" w:rsidP="00944B8C">
      <w:pPr>
        <w:spacing w:after="0" w:line="240" w:lineRule="auto"/>
        <w:ind w:right="-1" w:firstLine="567"/>
        <w:jc w:val="both"/>
        <w:rPr>
          <w:rFonts w:cstheme="minorHAnsi"/>
        </w:rPr>
      </w:pPr>
      <w:r w:rsidRPr="00B42ABA">
        <w:rPr>
          <w:rFonts w:cstheme="minorHAnsi"/>
        </w:rPr>
        <w:t>Įstatymų leidėjas ginčytą teisinį reguliavimą vėliau pakoregavo ir jame neliko nuostatos, kuri buvo taikyta pareiškėjui. Teismas nesutiko su pareiškėjo pozicija, kad aplinkybė, jog įstatymų leidėjas pakeitė įstatymą, patvirtina, jog ankstesnis teisinis reguliavimas turėjo trūkumų</w:t>
      </w:r>
      <w:r>
        <w:rPr>
          <w:rFonts w:cstheme="minorHAnsi"/>
        </w:rPr>
        <w:t>,</w:t>
      </w:r>
      <w:r w:rsidRPr="00B42ABA">
        <w:rPr>
          <w:rFonts w:cstheme="minorHAnsi"/>
        </w:rPr>
        <w:t xml:space="preserve"> ir nesiėmė spėlioti priežasčių, kodėl tai buvo padaryta.</w:t>
      </w:r>
    </w:p>
    <w:p w14:paraId="1BD3247D" w14:textId="7B4BB6F2" w:rsidR="00944B8C" w:rsidRPr="00B42ABA" w:rsidRDefault="00944B8C" w:rsidP="00944B8C">
      <w:pPr>
        <w:spacing w:after="0" w:line="240" w:lineRule="auto"/>
        <w:ind w:right="-1" w:firstLine="567"/>
        <w:jc w:val="both"/>
        <w:rPr>
          <w:rFonts w:cstheme="minorHAnsi"/>
        </w:rPr>
      </w:pPr>
      <w:r w:rsidRPr="00944B8C">
        <w:rPr>
          <w:rFonts w:cstheme="minorHAnsi"/>
          <w:u w:val="single"/>
        </w:rPr>
        <w:t>Teismas nenustatė, kad pareiškėjas būtų turėjęs teisėtą lūkestį, kad rinkimų užstatas jam būtų grąžintas, jo partijai nesurinkus reikiamo kiekio rinkėjų balsų</w:t>
      </w:r>
      <w:r w:rsidRPr="00B42ABA">
        <w:rPr>
          <w:rFonts w:cstheme="minorHAnsi"/>
        </w:rPr>
        <w:t xml:space="preserve">. Vadinasi, pareiškėjo skundas nebuvo susijęs su nuosavybe </w:t>
      </w:r>
      <w:r>
        <w:rPr>
          <w:rFonts w:cstheme="minorHAnsi"/>
        </w:rPr>
        <w:t>P</w:t>
      </w:r>
      <w:r w:rsidRPr="00B42ABA">
        <w:rPr>
          <w:rFonts w:cstheme="minorHAnsi"/>
        </w:rPr>
        <w:t>rotokolo</w:t>
      </w:r>
      <w:r>
        <w:rPr>
          <w:rFonts w:cstheme="minorHAnsi"/>
        </w:rPr>
        <w:t xml:space="preserve"> Nr. 1</w:t>
      </w:r>
      <w:r w:rsidRPr="00B42ABA">
        <w:rPr>
          <w:rFonts w:cstheme="minorHAnsi"/>
        </w:rPr>
        <w:t xml:space="preserve"> 1 straipsnio prasme</w:t>
      </w:r>
      <w:r>
        <w:rPr>
          <w:rFonts w:cstheme="minorHAnsi"/>
        </w:rPr>
        <w:t xml:space="preserve">, todėl </w:t>
      </w:r>
      <w:r w:rsidRPr="00B42ABA">
        <w:rPr>
          <w:rFonts w:cstheme="minorHAnsi"/>
        </w:rPr>
        <w:t xml:space="preserve">ši nuostata </w:t>
      </w:r>
      <w:r>
        <w:rPr>
          <w:rFonts w:cstheme="minorHAnsi"/>
        </w:rPr>
        <w:t xml:space="preserve">jam </w:t>
      </w:r>
      <w:r w:rsidRPr="00B42ABA">
        <w:rPr>
          <w:rFonts w:cstheme="minorHAnsi"/>
        </w:rPr>
        <w:t>netaikytina. Nustačius šią aplinkybę, nebuvo pagrindo vertinti likusių pareiškėjo argumentų.</w:t>
      </w:r>
    </w:p>
    <w:p w14:paraId="0E2B88BC" w14:textId="77777777" w:rsidR="00944B8C" w:rsidRPr="00B42ABA" w:rsidRDefault="00944B8C" w:rsidP="00944B8C">
      <w:pPr>
        <w:spacing w:after="0" w:line="240" w:lineRule="auto"/>
        <w:ind w:right="-1" w:firstLine="567"/>
        <w:jc w:val="both"/>
        <w:rPr>
          <w:rFonts w:cstheme="minorHAnsi"/>
        </w:rPr>
      </w:pPr>
      <w:r w:rsidRPr="00B42ABA">
        <w:rPr>
          <w:rFonts w:cstheme="minorHAnsi"/>
        </w:rPr>
        <w:lastRenderedPageBreak/>
        <w:t xml:space="preserve">Pareiškėjo skundas </w:t>
      </w:r>
      <w:r w:rsidRPr="00B42ABA">
        <w:rPr>
          <w:rFonts w:cstheme="minorHAnsi"/>
          <w:i/>
          <w:iCs/>
        </w:rPr>
        <w:t>ratione materiae</w:t>
      </w:r>
      <w:r w:rsidRPr="00B42ABA">
        <w:rPr>
          <w:rFonts w:cstheme="minorHAnsi"/>
        </w:rPr>
        <w:t xml:space="preserve"> nesuderinamas su Konvencijos nuostat</w:t>
      </w:r>
      <w:r>
        <w:rPr>
          <w:rFonts w:cstheme="minorHAnsi"/>
        </w:rPr>
        <w:t>o</w:t>
      </w:r>
      <w:r w:rsidRPr="00B42ABA">
        <w:rPr>
          <w:rFonts w:cstheme="minorHAnsi"/>
        </w:rPr>
        <w:t>mis</w:t>
      </w:r>
      <w:r>
        <w:rPr>
          <w:rFonts w:cstheme="minorHAnsi"/>
        </w:rPr>
        <w:t xml:space="preserve">, </w:t>
      </w:r>
      <w:r w:rsidRPr="00B42ABA">
        <w:rPr>
          <w:rFonts w:cstheme="minorHAnsi"/>
        </w:rPr>
        <w:t>todėl pripažintas nepriimtinu</w:t>
      </w:r>
      <w:r>
        <w:rPr>
          <w:rFonts w:cstheme="minorHAnsi"/>
        </w:rPr>
        <w:t>,</w:t>
      </w:r>
      <w:r w:rsidRPr="00B42ABA">
        <w:rPr>
          <w:rFonts w:cstheme="minorHAnsi"/>
        </w:rPr>
        <w:t xml:space="preserve"> vadovaujantis Konvencijos 35 straipsnio 3 ir 4 dalimis.</w:t>
      </w:r>
    </w:p>
    <w:p w14:paraId="3729460D" w14:textId="77777777" w:rsidR="00944B8C" w:rsidRPr="00B42ABA" w:rsidRDefault="00944B8C" w:rsidP="00944B8C">
      <w:pPr>
        <w:spacing w:after="0" w:line="240" w:lineRule="auto"/>
        <w:ind w:right="-1"/>
        <w:jc w:val="both"/>
        <w:rPr>
          <w:rFonts w:ascii="Arial" w:eastAsia="Times New Roman" w:hAnsi="Arial" w:cs="Arial"/>
          <w:color w:val="000000"/>
          <w:sz w:val="20"/>
          <w:szCs w:val="20"/>
          <w:lang w:eastAsia="en-GB"/>
        </w:rPr>
      </w:pPr>
    </w:p>
    <w:p w14:paraId="45712B93" w14:textId="77777777" w:rsidR="00944B8C" w:rsidRPr="00B42ABA" w:rsidRDefault="00944B8C" w:rsidP="00944B8C">
      <w:pPr>
        <w:spacing w:after="0" w:line="240" w:lineRule="auto"/>
        <w:ind w:right="-1" w:firstLine="567"/>
        <w:jc w:val="both"/>
        <w:rPr>
          <w:rFonts w:ascii="Arial" w:eastAsia="Times New Roman" w:hAnsi="Arial" w:cs="Arial"/>
          <w:color w:val="000000"/>
          <w:sz w:val="20"/>
          <w:szCs w:val="20"/>
          <w:lang w:eastAsia="en-GB"/>
        </w:rPr>
      </w:pPr>
      <w:r w:rsidRPr="00B42ABA">
        <w:rPr>
          <w:rFonts w:cstheme="minorHAnsi"/>
        </w:rPr>
        <w:t xml:space="preserve">Išvada: </w:t>
      </w:r>
      <w:r>
        <w:rPr>
          <w:rFonts w:cstheme="minorHAnsi"/>
        </w:rPr>
        <w:t xml:space="preserve">pareiškimas </w:t>
      </w:r>
      <w:r w:rsidRPr="00B42ABA">
        <w:rPr>
          <w:rFonts w:cstheme="minorHAnsi"/>
        </w:rPr>
        <w:t>nepriimtinas</w:t>
      </w:r>
      <w:r>
        <w:rPr>
          <w:rFonts w:cstheme="minorHAnsi"/>
        </w:rPr>
        <w:t xml:space="preserve"> (vienbalsiai)</w:t>
      </w:r>
      <w:r w:rsidRPr="00B42ABA">
        <w:rPr>
          <w:rFonts w:cstheme="minorHAnsi"/>
        </w:rPr>
        <w:t>.</w:t>
      </w:r>
    </w:p>
    <w:p w14:paraId="21A191DA" w14:textId="77777777" w:rsidR="00944B8C" w:rsidRPr="00B42ABA" w:rsidRDefault="006922FB" w:rsidP="00944B8C">
      <w:pPr>
        <w:spacing w:after="0" w:line="240" w:lineRule="auto"/>
        <w:ind w:right="-1" w:firstLine="567"/>
        <w:jc w:val="both"/>
        <w:rPr>
          <w:rFonts w:eastAsia="Times New Roman" w:cstheme="minorHAnsi"/>
          <w:b/>
        </w:rPr>
      </w:pPr>
      <w:hyperlink r:id="rId26" w:history="1">
        <w:r w:rsidR="00944B8C" w:rsidRPr="00B42ABA">
          <w:rPr>
            <w:rStyle w:val="Hipersaitas"/>
            <w:rFonts w:cstheme="minorHAnsi"/>
          </w:rPr>
          <w:t>Prieiga internete</w:t>
        </w:r>
      </w:hyperlink>
    </w:p>
    <w:p w14:paraId="46930F87" w14:textId="77777777" w:rsidR="008F6ACD" w:rsidRPr="0025732F" w:rsidRDefault="008F6ACD" w:rsidP="00D524A9">
      <w:pPr>
        <w:spacing w:after="0" w:line="240" w:lineRule="auto"/>
        <w:jc w:val="center"/>
        <w:rPr>
          <w:rFonts w:eastAsia="Times New Roman" w:cstheme="minorHAnsi"/>
          <w:b/>
        </w:rPr>
      </w:pPr>
    </w:p>
    <w:p w14:paraId="604CEBDA" w14:textId="215567BB" w:rsidR="009E6917" w:rsidRPr="0025732F" w:rsidRDefault="009E6917" w:rsidP="003C3579">
      <w:pPr>
        <w:pStyle w:val="Antrat1"/>
        <w:rPr>
          <w:rFonts w:cstheme="minorHAnsi"/>
          <w:szCs w:val="22"/>
        </w:rPr>
      </w:pPr>
      <w:bookmarkStart w:id="64" w:name="_Toc66993644"/>
      <w:bookmarkStart w:id="65" w:name="_Toc72932300"/>
      <w:r w:rsidRPr="0025732F">
        <w:rPr>
          <w:rFonts w:cstheme="minorHAnsi"/>
          <w:szCs w:val="22"/>
        </w:rPr>
        <w:t>BENDRASIS DISKRIMINACIJOS UŽDRAUDIMAS (</w:t>
      </w:r>
      <w:r w:rsidR="009B0BCB">
        <w:rPr>
          <w:rFonts w:cstheme="minorHAnsi"/>
          <w:szCs w:val="22"/>
        </w:rPr>
        <w:t>P</w:t>
      </w:r>
      <w:r w:rsidR="00890061" w:rsidRPr="0025732F">
        <w:rPr>
          <w:rFonts w:cstheme="minorHAnsi"/>
          <w:szCs w:val="22"/>
        </w:rPr>
        <w:t>roto</w:t>
      </w:r>
      <w:r w:rsidR="002B15F3" w:rsidRPr="0025732F">
        <w:rPr>
          <w:rFonts w:cstheme="minorHAnsi"/>
          <w:szCs w:val="22"/>
        </w:rPr>
        <w:t xml:space="preserve">kolo </w:t>
      </w:r>
      <w:r w:rsidR="009B0BCB">
        <w:rPr>
          <w:rFonts w:cstheme="minorHAnsi"/>
          <w:szCs w:val="22"/>
        </w:rPr>
        <w:t xml:space="preserve">Nr. 12 </w:t>
      </w:r>
      <w:r w:rsidRPr="0025732F">
        <w:rPr>
          <w:rFonts w:cstheme="minorHAnsi"/>
          <w:szCs w:val="22"/>
        </w:rPr>
        <w:t>1 straipsnis)</w:t>
      </w:r>
      <w:bookmarkEnd w:id="64"/>
      <w:bookmarkEnd w:id="65"/>
    </w:p>
    <w:p w14:paraId="02010468" w14:textId="77777777" w:rsidR="009E6917" w:rsidRPr="0025732F" w:rsidRDefault="009E6917" w:rsidP="009E6917">
      <w:pPr>
        <w:spacing w:after="0" w:line="240" w:lineRule="auto"/>
        <w:rPr>
          <w:rFonts w:cstheme="minorHAnsi"/>
        </w:rPr>
      </w:pPr>
    </w:p>
    <w:p w14:paraId="78AF6398" w14:textId="77777777" w:rsidR="008E7CC6" w:rsidRPr="0025732F" w:rsidRDefault="008E7CC6" w:rsidP="008E7CC6">
      <w:pPr>
        <w:pBdr>
          <w:top w:val="nil"/>
          <w:left w:val="nil"/>
          <w:bottom w:val="nil"/>
          <w:right w:val="nil"/>
          <w:between w:val="nil"/>
        </w:pBdr>
        <w:tabs>
          <w:tab w:val="left" w:pos="851"/>
        </w:tabs>
        <w:spacing w:after="0" w:line="240" w:lineRule="auto"/>
        <w:ind w:right="-1"/>
        <w:jc w:val="center"/>
        <w:rPr>
          <w:rFonts w:eastAsia="Times New Roman" w:cstheme="minorHAnsi"/>
          <w:b/>
        </w:rPr>
      </w:pPr>
      <w:bookmarkStart w:id="66" w:name="_Toc454808457"/>
      <w:r w:rsidRPr="0025732F">
        <w:rPr>
          <w:rFonts w:eastAsia="Times New Roman" w:cstheme="minorHAnsi"/>
          <w:b/>
        </w:rPr>
        <w:t>Europos Žmogaus Teisių Teismo 2020 m. spalio 20 d. sprendimas byloje</w:t>
      </w:r>
    </w:p>
    <w:p w14:paraId="7B8CC2FD" w14:textId="77777777" w:rsidR="008E7CC6" w:rsidRPr="0025732F" w:rsidRDefault="008E7CC6" w:rsidP="009C6F4D">
      <w:pPr>
        <w:pStyle w:val="Antrat2"/>
        <w:ind w:firstLine="0"/>
        <w:jc w:val="center"/>
        <w:rPr>
          <w:rFonts w:eastAsia="Times New Roman" w:cstheme="minorHAnsi"/>
          <w:i/>
          <w:iCs w:val="0"/>
        </w:rPr>
      </w:pPr>
      <w:bookmarkStart w:id="67" w:name="_Toc72932301"/>
      <w:r w:rsidRPr="0025732F">
        <w:rPr>
          <w:rFonts w:eastAsia="Times New Roman" w:cstheme="minorHAnsi"/>
          <w:i/>
          <w:iCs w:val="0"/>
        </w:rPr>
        <w:t>Napotnik prieš Rumuniją</w:t>
      </w:r>
      <w:bookmarkEnd w:id="67"/>
    </w:p>
    <w:p w14:paraId="62215F04" w14:textId="2D86BD0E" w:rsidR="008E7CC6" w:rsidRPr="0025732F" w:rsidRDefault="008E7CC6" w:rsidP="008E7CC6">
      <w:pPr>
        <w:pBdr>
          <w:top w:val="nil"/>
          <w:left w:val="nil"/>
          <w:bottom w:val="nil"/>
          <w:right w:val="nil"/>
          <w:between w:val="nil"/>
        </w:pBdr>
        <w:tabs>
          <w:tab w:val="left" w:pos="851"/>
        </w:tabs>
        <w:spacing w:after="0" w:line="240" w:lineRule="auto"/>
        <w:ind w:right="-1"/>
        <w:jc w:val="center"/>
        <w:rPr>
          <w:rFonts w:eastAsia="Times New Roman" w:cstheme="minorHAnsi"/>
          <w:b/>
        </w:rPr>
      </w:pPr>
      <w:r w:rsidRPr="0025732F">
        <w:rPr>
          <w:rFonts w:eastAsia="Times New Roman" w:cstheme="minorHAnsi"/>
          <w:b/>
        </w:rPr>
        <w:t xml:space="preserve">(pareiškimo Nr. 33139/13, svarbos lygis – </w:t>
      </w:r>
      <w:r w:rsidR="009B0BCB">
        <w:rPr>
          <w:rFonts w:eastAsia="Times New Roman" w:cstheme="minorHAnsi"/>
          <w:b/>
        </w:rPr>
        <w:t>Svarbiausios bylos</w:t>
      </w:r>
      <w:r w:rsidRPr="0025732F">
        <w:rPr>
          <w:rFonts w:eastAsia="Times New Roman" w:cstheme="minorHAnsi"/>
          <w:b/>
        </w:rPr>
        <w:t>)</w:t>
      </w:r>
    </w:p>
    <w:p w14:paraId="35470714" w14:textId="77777777" w:rsidR="008E7CC6" w:rsidRPr="0025732F" w:rsidRDefault="008E7CC6" w:rsidP="008E7CC6">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00E74FF4" w14:textId="77777777" w:rsidR="008E7CC6" w:rsidRPr="0025732F" w:rsidRDefault="008E7CC6" w:rsidP="008E7CC6">
      <w:pPr>
        <w:pStyle w:val="Antrat3"/>
        <w:ind w:firstLine="567"/>
        <w:jc w:val="both"/>
        <w:rPr>
          <w:rFonts w:eastAsia="Times New Roman" w:cstheme="minorHAnsi"/>
          <w:szCs w:val="22"/>
        </w:rPr>
      </w:pPr>
      <w:bookmarkStart w:id="68" w:name="_Toc72932302"/>
      <w:r w:rsidRPr="0025732F">
        <w:rPr>
          <w:rFonts w:eastAsia="Times New Roman" w:cstheme="minorHAnsi"/>
          <w:szCs w:val="22"/>
        </w:rPr>
        <w:t>Dėl būtinybės atšaukti pareiškėją iš diplomatinio posto užsienio šalyje dėl nėštumo</w:t>
      </w:r>
      <w:bookmarkEnd w:id="68"/>
    </w:p>
    <w:p w14:paraId="44F2F445" w14:textId="77777777" w:rsidR="008E7CC6" w:rsidRPr="0025732F" w:rsidRDefault="008E7CC6" w:rsidP="008E7CC6">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791D07D" w14:textId="77777777" w:rsidR="008E7CC6" w:rsidRPr="0025732F" w:rsidRDefault="008E7CC6" w:rsidP="008E7CC6">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25732F">
        <w:rPr>
          <w:rFonts w:eastAsia="Times New Roman" w:cstheme="minorHAnsi"/>
          <w:b/>
          <w:bCs/>
          <w:color w:val="000000"/>
        </w:rPr>
        <w:t>Faktinės aplinkybės</w:t>
      </w:r>
    </w:p>
    <w:p w14:paraId="6FF80D0B" w14:textId="77777777" w:rsidR="008E7CC6" w:rsidRPr="0025732F" w:rsidRDefault="008E7CC6" w:rsidP="008E7CC6">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A1963B2" w14:textId="43AB6829" w:rsidR="008E7CC6" w:rsidRPr="0025732F" w:rsidRDefault="008E7CC6" w:rsidP="008E7CC6">
      <w:pPr>
        <w:spacing w:after="0" w:line="240" w:lineRule="auto"/>
        <w:ind w:firstLine="567"/>
        <w:jc w:val="both"/>
        <w:rPr>
          <w:rFonts w:eastAsia="Times New Roman" w:cstheme="minorHAnsi"/>
          <w:color w:val="000000"/>
        </w:rPr>
      </w:pPr>
      <w:r w:rsidRPr="0025732F">
        <w:rPr>
          <w:rFonts w:eastAsia="Times New Roman" w:cstheme="minorHAnsi"/>
          <w:color w:val="000000"/>
        </w:rPr>
        <w:t>Pareiškėja (Rumunijos diplomatė) 2007 m. kovą buvo paskirtą į Liublianą, kur ėjo konsulines pareigas – jos darbas iš esmės buvo pagelbėti į bėdą patekusiems Rumunijos piliečiams (sulaikytiems policijos, neturintiems tapatybę patvirtinančių dokumentų ar patekusiems į ligoninę). Pareiškėja, ištekėjusi už Slovėnijos piliečio, yra dviejų vaikų motina – per pirmąjį nėštumą ji nedirbo nuo 2007 m. lapkričio iki 2008 m. vasario, iš dalies dėl gydytojų nurodymų laikytis lovos režimo, iš dalies dėl paimtų kasmetinių atostogų. Konsulinės paslaugos tuo laikotarpiu buvo suspenduotos, o pagalbos prašymai perduoti kaimyninėms valstybėms. Taip pat 2008 m. birželį buvo rastas darbuotojas laikinai ją pakeisti. Vis dėlto, pareiškėjai pranešus apie savo antrąjį nėštumą 2009 m. sausį, Užsienio reikalų ministerija nedelsdama atšaukė pareiškėją iš Liublianos atgal į Bukareštą</w:t>
      </w:r>
      <w:r w:rsidR="003312CA">
        <w:rPr>
          <w:rFonts w:eastAsia="Times New Roman" w:cstheme="minorHAnsi"/>
          <w:color w:val="000000"/>
        </w:rPr>
        <w:t>,</w:t>
      </w:r>
      <w:r w:rsidRPr="0025732F">
        <w:rPr>
          <w:rFonts w:eastAsia="Times New Roman" w:cstheme="minorHAnsi"/>
          <w:color w:val="000000"/>
        </w:rPr>
        <w:t xml:space="preserve"> nusprendusi, kad ji negalės vykdyti savo pareigų dėl vizitų pas gydytojus bei motinystės atostogų. Pareiškėja iškart paprašė motinystės atostogų ir kartu su vyru išvyko į užsienio šalį pagal jo diplomatinį paskyrimą, o į pareigas Bukarešte grįžo 2015 m. Palikusi Liublianą ji padavė Užsienio reikalų ministeriją į teismą, teigdama, jog jos atšaukimas iš pareigų buvo diskriminacinio pobūdžio ir sąlygotas jos nėštumų. Teismai atmetė pareiškėjos ieškinį.</w:t>
      </w:r>
    </w:p>
    <w:p w14:paraId="5B127183" w14:textId="36461D92" w:rsidR="008E7CC6" w:rsidRPr="0025732F" w:rsidRDefault="008E7CC6" w:rsidP="008E7CC6">
      <w:pPr>
        <w:spacing w:after="0" w:line="240" w:lineRule="auto"/>
        <w:ind w:right="-1" w:firstLine="567"/>
        <w:jc w:val="both"/>
        <w:rPr>
          <w:rFonts w:eastAsia="Times New Roman" w:cstheme="minorHAnsi"/>
          <w:color w:val="000000"/>
        </w:rPr>
      </w:pPr>
      <w:r w:rsidRPr="0025732F">
        <w:rPr>
          <w:rFonts w:eastAsia="Times New Roman" w:cstheme="minorHAnsi"/>
          <w:color w:val="000000"/>
        </w:rPr>
        <w:t xml:space="preserve">Pareiškėja, remdamasi Konvencijos </w:t>
      </w:r>
      <w:r w:rsidR="009B0BCB">
        <w:rPr>
          <w:rFonts w:eastAsia="Times New Roman" w:cstheme="minorHAnsi"/>
          <w:color w:val="000000"/>
        </w:rPr>
        <w:t>P</w:t>
      </w:r>
      <w:r w:rsidRPr="0025732F">
        <w:rPr>
          <w:rFonts w:eastAsia="Times New Roman" w:cstheme="minorHAnsi"/>
          <w:color w:val="000000"/>
        </w:rPr>
        <w:t>rotokolo</w:t>
      </w:r>
      <w:r w:rsidR="009B0BCB">
        <w:rPr>
          <w:rFonts w:eastAsia="Times New Roman" w:cstheme="minorHAnsi"/>
          <w:color w:val="000000"/>
        </w:rPr>
        <w:t xml:space="preserve"> Nr. 12</w:t>
      </w:r>
      <w:r w:rsidRPr="0025732F">
        <w:rPr>
          <w:rFonts w:eastAsia="Times New Roman" w:cstheme="minorHAnsi"/>
          <w:color w:val="000000"/>
        </w:rPr>
        <w:t xml:space="preserve"> 1 straipsniu,</w:t>
      </w:r>
      <w:r w:rsidRPr="0025732F">
        <w:rPr>
          <w:rFonts w:cstheme="minorHAnsi"/>
        </w:rPr>
        <w:t xml:space="preserve"> </w:t>
      </w:r>
      <w:r w:rsidRPr="0025732F">
        <w:rPr>
          <w:rFonts w:eastAsia="Times New Roman" w:cstheme="minorHAnsi"/>
          <w:color w:val="000000"/>
        </w:rPr>
        <w:t>kreipėsi į Teismą teigdama, kad buvo diskriminuojama dėl nėštumo.</w:t>
      </w:r>
    </w:p>
    <w:p w14:paraId="6D99A43A" w14:textId="77777777" w:rsidR="008E7CC6" w:rsidRPr="0025732F" w:rsidRDefault="008E7CC6" w:rsidP="008E7CC6">
      <w:pPr>
        <w:spacing w:after="0" w:line="240" w:lineRule="auto"/>
        <w:ind w:right="-1" w:firstLine="567"/>
        <w:jc w:val="both"/>
        <w:rPr>
          <w:rFonts w:eastAsia="Calibri" w:cstheme="minorHAnsi"/>
        </w:rPr>
      </w:pPr>
    </w:p>
    <w:p w14:paraId="3A3E25A7" w14:textId="77777777" w:rsidR="008E7CC6" w:rsidRPr="0025732F" w:rsidRDefault="008E7CC6" w:rsidP="008E7CC6">
      <w:pPr>
        <w:shd w:val="clear" w:color="auto" w:fill="FFFFFF"/>
        <w:spacing w:after="0" w:line="240" w:lineRule="auto"/>
        <w:ind w:right="-1"/>
        <w:jc w:val="center"/>
        <w:rPr>
          <w:rFonts w:eastAsia="Times New Roman" w:cstheme="minorHAnsi"/>
          <w:b/>
          <w:bCs/>
          <w:color w:val="000000"/>
        </w:rPr>
      </w:pPr>
      <w:r w:rsidRPr="0025732F">
        <w:rPr>
          <w:rFonts w:eastAsia="Times New Roman" w:cstheme="minorHAnsi"/>
          <w:b/>
          <w:bCs/>
          <w:color w:val="000000"/>
        </w:rPr>
        <w:t>Neoficiali Teismo sprendimo apžvalga</w:t>
      </w:r>
    </w:p>
    <w:p w14:paraId="7D3756C0" w14:textId="77777777" w:rsidR="008E7CC6" w:rsidRPr="0025732F" w:rsidRDefault="008E7CC6" w:rsidP="008E7CC6">
      <w:pPr>
        <w:spacing w:after="0" w:line="240" w:lineRule="auto"/>
        <w:ind w:right="-1" w:firstLine="567"/>
        <w:jc w:val="both"/>
        <w:rPr>
          <w:rFonts w:eastAsia="Calibri" w:cstheme="minorHAnsi"/>
        </w:rPr>
      </w:pPr>
    </w:p>
    <w:p w14:paraId="4F07F0D8" w14:textId="2AF35D1F" w:rsidR="008E7CC6" w:rsidRPr="0025732F" w:rsidRDefault="008E7CC6" w:rsidP="008E7CC6">
      <w:pPr>
        <w:spacing w:after="0" w:line="240" w:lineRule="auto"/>
        <w:ind w:firstLine="567"/>
        <w:jc w:val="both"/>
        <w:rPr>
          <w:rFonts w:eastAsia="Times New Roman" w:cstheme="minorHAnsi"/>
          <w:color w:val="000000"/>
        </w:rPr>
      </w:pPr>
      <w:r w:rsidRPr="0025732F">
        <w:rPr>
          <w:rFonts w:eastAsia="Calibri" w:cstheme="minorHAnsi"/>
        </w:rPr>
        <w:t xml:space="preserve">Teismas priminė savo ankstesniąją praktiką, pagal kurią apsauga pagal Konvencijos 14 straipsnį yra taikoma ir skundams, kuriuose remiamasi </w:t>
      </w:r>
      <w:bookmarkStart w:id="69" w:name="_Hlk65525367"/>
      <w:r w:rsidRPr="00D268DA">
        <w:rPr>
          <w:rFonts w:eastAsia="Times New Roman" w:cstheme="minorHAnsi"/>
          <w:color w:val="000000"/>
        </w:rPr>
        <w:t xml:space="preserve">Konvencijos </w:t>
      </w:r>
      <w:r w:rsidR="009B0BCB" w:rsidRPr="00D268DA">
        <w:rPr>
          <w:rFonts w:eastAsia="Times New Roman" w:cstheme="minorHAnsi"/>
          <w:color w:val="000000"/>
        </w:rPr>
        <w:t>P</w:t>
      </w:r>
      <w:r w:rsidRPr="00D268DA">
        <w:rPr>
          <w:rFonts w:eastAsia="Times New Roman" w:cstheme="minorHAnsi"/>
          <w:color w:val="000000"/>
        </w:rPr>
        <w:t>rotokolo</w:t>
      </w:r>
      <w:r w:rsidR="009B0BCB" w:rsidRPr="00D268DA">
        <w:rPr>
          <w:rFonts w:eastAsia="Times New Roman" w:cstheme="minorHAnsi"/>
          <w:color w:val="000000"/>
        </w:rPr>
        <w:t xml:space="preserve"> Nr. 12</w:t>
      </w:r>
      <w:r w:rsidRPr="0025732F">
        <w:rPr>
          <w:rFonts w:eastAsia="Times New Roman" w:cstheme="minorHAnsi"/>
          <w:color w:val="000000"/>
        </w:rPr>
        <w:t xml:space="preserve"> 1 straipsniu</w:t>
      </w:r>
      <w:bookmarkEnd w:id="69"/>
      <w:r w:rsidRPr="0025732F">
        <w:rPr>
          <w:rFonts w:eastAsia="Times New Roman" w:cstheme="minorHAnsi"/>
          <w:color w:val="000000"/>
        </w:rPr>
        <w:t>, ir pabrėžė, jog pagal Konvencijos 14 straipsnį skirtingas elgesys yra diskriminuojančio pobūdžio, jei jam nėra pagrįsto paaiškinimo ir teisėto tikslo.</w:t>
      </w:r>
    </w:p>
    <w:p w14:paraId="7EAF7A49" w14:textId="77777777" w:rsidR="008E7CC6" w:rsidRPr="0025732F" w:rsidRDefault="008E7CC6" w:rsidP="008E7CC6">
      <w:pPr>
        <w:spacing w:after="0" w:line="240" w:lineRule="auto"/>
        <w:ind w:firstLine="567"/>
        <w:jc w:val="both"/>
        <w:rPr>
          <w:rFonts w:eastAsia="Times New Roman" w:cstheme="minorHAnsi"/>
          <w:color w:val="000000"/>
        </w:rPr>
      </w:pPr>
      <w:r w:rsidRPr="0025732F">
        <w:rPr>
          <w:rFonts w:eastAsia="Times New Roman" w:cstheme="minorHAnsi"/>
          <w:color w:val="000000"/>
        </w:rPr>
        <w:t xml:space="preserve">Vyriausybė pripažino, kad priimant sprendimą atšaukti pareiškėją iš pareigų Liublianoje buvo atsižvelgta į jos nėštumą. Kadangi taip gali būti pasielgta tik su moterimis, Teismas nusprendė, jog tai yra kitoks elgesys, nulemtas lyties, tačiau jis galėtų būti prilygintas diskriminacijai tik tuo atveju, jei jo nebūtų galima pateisinti. Teismo vertinimu, </w:t>
      </w:r>
      <w:r w:rsidRPr="003312CA">
        <w:rPr>
          <w:rFonts w:eastAsia="Times New Roman" w:cstheme="minorHAnsi"/>
          <w:color w:val="000000"/>
          <w:u w:val="single"/>
        </w:rPr>
        <w:t>nacionalinės institucijos pateikė pakankamas ir reikšmingas priežastis, pateisinusias pareiškėjos atšaukimą iš pareigų užsienyje – toks sprendimas buvo reikalingas užtikrinti bei palaikyti ambasados konsulinio skyriaus funkcinį pajėgumą ir, galų gale, apsaugoti kitų (konkrečiai – užsienyje pagalbos ieškančių Rumunijos piliečių) teises</w:t>
      </w:r>
      <w:r w:rsidRPr="0025732F">
        <w:rPr>
          <w:rFonts w:eastAsia="Times New Roman" w:cstheme="minorHAnsi"/>
          <w:color w:val="000000"/>
        </w:rPr>
        <w:t>. Turint omenyje pareiškėjai tenkančias užduotis bei skubą atsiliepti į pagalbos pasikreipusių asmenų prašymus, pareiškėjos nebuvimas darbe galėtų pakenkti konsulinių paslaugų teikimui ambasadoje. Taip jau buvo nutikę tuo metu, kai paslaugos turėjo būti sustabdytos ir pagalbos prašymai nukreipti į kaimynines šalis tam tikram laikotarpiui pirmojo pareiškėjos nėštumo metu.</w:t>
      </w:r>
    </w:p>
    <w:p w14:paraId="2CF35156" w14:textId="77777777" w:rsidR="008E7CC6" w:rsidRPr="0025732F" w:rsidRDefault="008E7CC6" w:rsidP="008E7CC6">
      <w:pPr>
        <w:spacing w:after="0" w:line="240" w:lineRule="auto"/>
        <w:ind w:firstLine="567"/>
        <w:jc w:val="both"/>
        <w:rPr>
          <w:rFonts w:eastAsia="Times New Roman" w:cstheme="minorHAnsi"/>
          <w:color w:val="000000"/>
        </w:rPr>
      </w:pPr>
      <w:r w:rsidRPr="0025732F">
        <w:rPr>
          <w:rFonts w:eastAsia="Times New Roman" w:cstheme="minorHAnsi"/>
          <w:color w:val="000000"/>
        </w:rPr>
        <w:t xml:space="preserve">Be to, Teismas pažymėjo, jog tokio sprendimo pasekmės nepadarė jokios žymesnės įtakos pareiškėjai, kadangi ji nebuvo atleista (tai yra draudžiama ir pagal pačios Rumunijos nacionalinius įstatymus bei tarptautinius įsipareigojimus), o sprendimas priimtas ne kaip disciplinos priemonė. Pareiškėja taip pat toliau </w:t>
      </w:r>
      <w:r w:rsidRPr="0025732F">
        <w:rPr>
          <w:rFonts w:eastAsia="Times New Roman" w:cstheme="minorHAnsi"/>
          <w:color w:val="000000"/>
        </w:rPr>
        <w:lastRenderedPageBreak/>
        <w:t>buvo paaukštinama – iš pradžių 2007 m. gruodį, kai nebuvo darbe dėl savo pirmojo nėštumo, ir dar kartą 2016 m. rugsėjį, praėjus maždaug metams nuo grįžimo atgal į darbą.</w:t>
      </w:r>
    </w:p>
    <w:p w14:paraId="0D840BD0" w14:textId="77777777" w:rsidR="008E7CC6" w:rsidRPr="0025732F" w:rsidRDefault="008E7CC6" w:rsidP="008E7CC6">
      <w:pPr>
        <w:spacing w:after="0" w:line="240" w:lineRule="auto"/>
        <w:ind w:firstLine="567"/>
        <w:jc w:val="both"/>
        <w:rPr>
          <w:rFonts w:eastAsia="Times New Roman" w:cstheme="minorHAnsi"/>
          <w:color w:val="000000"/>
        </w:rPr>
      </w:pPr>
    </w:p>
    <w:p w14:paraId="1DC5ED8D" w14:textId="58BC027E" w:rsidR="008E7CC6" w:rsidRPr="0025732F" w:rsidRDefault="008E7CC6" w:rsidP="008E7CC6">
      <w:pPr>
        <w:spacing w:after="0" w:line="240" w:lineRule="auto"/>
        <w:ind w:right="-1" w:firstLine="567"/>
        <w:jc w:val="both"/>
        <w:rPr>
          <w:rFonts w:eastAsia="Calibri" w:cstheme="minorHAnsi"/>
        </w:rPr>
      </w:pPr>
      <w:r w:rsidRPr="0025732F">
        <w:rPr>
          <w:rFonts w:eastAsia="Calibri" w:cstheme="minorHAnsi"/>
        </w:rPr>
        <w:t xml:space="preserve">Išvada: Konvencijos </w:t>
      </w:r>
      <w:r w:rsidR="009B0BCB">
        <w:rPr>
          <w:rFonts w:eastAsia="Calibri" w:cstheme="minorHAnsi"/>
        </w:rPr>
        <w:t>P</w:t>
      </w:r>
      <w:r w:rsidRPr="0025732F">
        <w:rPr>
          <w:rFonts w:eastAsia="Calibri" w:cstheme="minorHAnsi"/>
        </w:rPr>
        <w:t xml:space="preserve">rotokolo </w:t>
      </w:r>
      <w:r w:rsidR="009B0BCB">
        <w:rPr>
          <w:rFonts w:eastAsia="Calibri" w:cstheme="minorHAnsi"/>
        </w:rPr>
        <w:t xml:space="preserve">Nr. 12 </w:t>
      </w:r>
      <w:r w:rsidRPr="0025732F">
        <w:rPr>
          <w:rFonts w:eastAsia="Calibri" w:cstheme="minorHAnsi"/>
        </w:rPr>
        <w:t xml:space="preserve">1 straipsnio pažeidimas nenustatytas (vienbalsiai). </w:t>
      </w:r>
    </w:p>
    <w:p w14:paraId="4D36FC89" w14:textId="77777777" w:rsidR="008E7CC6" w:rsidRPr="0025732F" w:rsidRDefault="006922FB" w:rsidP="008E7CC6">
      <w:pPr>
        <w:spacing w:after="0" w:line="240" w:lineRule="auto"/>
        <w:ind w:right="-1" w:firstLine="567"/>
        <w:jc w:val="both"/>
        <w:rPr>
          <w:rFonts w:eastAsia="Calibri" w:cstheme="minorHAnsi"/>
          <w:color w:val="0000FF"/>
          <w:u w:val="single"/>
        </w:rPr>
      </w:pPr>
      <w:hyperlink r:id="rId27" w:anchor="{%22itemid%22:[%22001-205222%22]}" w:history="1">
        <w:r w:rsidR="008E7CC6" w:rsidRPr="0025732F">
          <w:rPr>
            <w:rFonts w:eastAsia="Calibri" w:cstheme="minorHAnsi"/>
            <w:color w:val="0000FF"/>
            <w:u w:val="single"/>
          </w:rPr>
          <w:t>Prieiga internete</w:t>
        </w:r>
      </w:hyperlink>
    </w:p>
    <w:p w14:paraId="25753BC5" w14:textId="77777777" w:rsidR="008E7CC6" w:rsidRPr="0025732F" w:rsidRDefault="008E7CC6" w:rsidP="009E6917">
      <w:pPr>
        <w:spacing w:after="0" w:line="240" w:lineRule="auto"/>
        <w:jc w:val="center"/>
        <w:rPr>
          <w:rFonts w:cstheme="minorHAnsi"/>
          <w:b/>
        </w:rPr>
      </w:pPr>
    </w:p>
    <w:p w14:paraId="7C12C712" w14:textId="5182E418" w:rsidR="009E6917" w:rsidRPr="0025732F" w:rsidRDefault="009E6917" w:rsidP="009E6917">
      <w:pPr>
        <w:spacing w:after="0" w:line="240" w:lineRule="auto"/>
        <w:jc w:val="center"/>
        <w:rPr>
          <w:rFonts w:cstheme="minorHAnsi"/>
          <w:b/>
        </w:rPr>
      </w:pPr>
      <w:r w:rsidRPr="0025732F">
        <w:rPr>
          <w:rFonts w:cstheme="minorHAnsi"/>
          <w:b/>
        </w:rPr>
        <w:t>Europos Žmogaus Teisių Teismo 2020 m. spalio 13 d. sprendimas</w:t>
      </w:r>
    </w:p>
    <w:p w14:paraId="776BEDB5" w14:textId="77777777" w:rsidR="009E6917" w:rsidRPr="0025732F" w:rsidRDefault="009E6917" w:rsidP="009C6F4D">
      <w:pPr>
        <w:pStyle w:val="Antrat2"/>
        <w:ind w:firstLine="0"/>
        <w:jc w:val="center"/>
        <w:rPr>
          <w:rFonts w:eastAsia="Calibri" w:cstheme="minorHAnsi"/>
          <w:i/>
          <w:iCs w:val="0"/>
        </w:rPr>
      </w:pPr>
      <w:bookmarkStart w:id="70" w:name="_Toc66993645"/>
      <w:bookmarkStart w:id="71" w:name="_Toc72932303"/>
      <w:r w:rsidRPr="0025732F">
        <w:rPr>
          <w:rFonts w:cstheme="minorHAnsi"/>
          <w:i/>
          <w:iCs w:val="0"/>
        </w:rPr>
        <w:t>Ádám</w:t>
      </w:r>
      <w:r w:rsidRPr="0025732F">
        <w:rPr>
          <w:rFonts w:eastAsia="Calibri" w:cstheme="minorHAnsi"/>
          <w:i/>
          <w:iCs w:val="0"/>
        </w:rPr>
        <w:t xml:space="preserve"> ir kt. prieš Rumuniją</w:t>
      </w:r>
      <w:bookmarkEnd w:id="70"/>
      <w:bookmarkEnd w:id="71"/>
    </w:p>
    <w:p w14:paraId="028B2661" w14:textId="1351C17C" w:rsidR="009E6917" w:rsidRPr="0025732F" w:rsidRDefault="009E6917" w:rsidP="009E6917">
      <w:pPr>
        <w:spacing w:after="0" w:line="240" w:lineRule="auto"/>
        <w:jc w:val="center"/>
        <w:rPr>
          <w:rFonts w:cstheme="minorHAnsi"/>
          <w:b/>
        </w:rPr>
      </w:pPr>
      <w:r w:rsidRPr="0025732F">
        <w:rPr>
          <w:rFonts w:cstheme="minorHAnsi"/>
          <w:b/>
        </w:rPr>
        <w:t xml:space="preserve">(pareiškimų Nr. 81114/17, 49716/18, 50913/18 ir kt., svarbos lygis – </w:t>
      </w:r>
      <w:r w:rsidR="009B0BCB">
        <w:rPr>
          <w:rFonts w:cstheme="minorHAnsi"/>
          <w:b/>
        </w:rPr>
        <w:t>Svarbiausios bylos</w:t>
      </w:r>
      <w:r w:rsidRPr="0025732F">
        <w:rPr>
          <w:rFonts w:cstheme="minorHAnsi"/>
          <w:b/>
        </w:rPr>
        <w:t>)</w:t>
      </w:r>
    </w:p>
    <w:p w14:paraId="2F4C00D3" w14:textId="77777777" w:rsidR="009E6917" w:rsidRPr="0025732F" w:rsidRDefault="009E6917" w:rsidP="009E6917">
      <w:pPr>
        <w:spacing w:after="0" w:line="240" w:lineRule="auto"/>
        <w:ind w:firstLine="720"/>
        <w:jc w:val="both"/>
        <w:rPr>
          <w:rFonts w:cstheme="minorHAnsi"/>
        </w:rPr>
      </w:pPr>
    </w:p>
    <w:p w14:paraId="11C8713B" w14:textId="77777777" w:rsidR="009E6917" w:rsidRPr="0025732F" w:rsidRDefault="009E6917" w:rsidP="002B15F3">
      <w:pPr>
        <w:pStyle w:val="Antrat3"/>
        <w:ind w:firstLine="426"/>
        <w:jc w:val="both"/>
        <w:rPr>
          <w:rFonts w:eastAsiaTheme="minorHAnsi" w:cstheme="minorHAnsi"/>
          <w:i w:val="0"/>
          <w:szCs w:val="22"/>
        </w:rPr>
      </w:pPr>
      <w:bookmarkStart w:id="72" w:name="_Toc66993646"/>
      <w:bookmarkStart w:id="73" w:name="_Toc72932304"/>
      <w:r w:rsidRPr="0025732F">
        <w:rPr>
          <w:rFonts w:eastAsiaTheme="minorHAnsi" w:cstheme="minorHAnsi"/>
          <w:szCs w:val="22"/>
        </w:rPr>
        <w:t xml:space="preserve">Dėl tautinėms </w:t>
      </w:r>
      <w:r w:rsidRPr="0025732F">
        <w:rPr>
          <w:rFonts w:cstheme="minorHAnsi"/>
          <w:szCs w:val="22"/>
        </w:rPr>
        <w:t>mažumoms</w:t>
      </w:r>
      <w:r w:rsidRPr="0025732F">
        <w:rPr>
          <w:rFonts w:eastAsiaTheme="minorHAnsi" w:cstheme="minorHAnsi"/>
          <w:szCs w:val="22"/>
        </w:rPr>
        <w:t xml:space="preserve"> priklausančių moksleivių tariamo diskriminavimo baigiamuosiuose mokyklų egzaminuose</w:t>
      </w:r>
      <w:bookmarkEnd w:id="72"/>
      <w:bookmarkEnd w:id="73"/>
    </w:p>
    <w:p w14:paraId="51AC8EFE" w14:textId="77777777" w:rsidR="009E6917" w:rsidRPr="0025732F" w:rsidRDefault="009E6917" w:rsidP="009E6917">
      <w:pPr>
        <w:spacing w:after="0" w:line="240" w:lineRule="auto"/>
        <w:jc w:val="center"/>
        <w:rPr>
          <w:rFonts w:cstheme="minorHAnsi"/>
          <w:b/>
        </w:rPr>
      </w:pPr>
    </w:p>
    <w:p w14:paraId="63F686B4" w14:textId="77777777" w:rsidR="009E6917" w:rsidRPr="0025732F" w:rsidRDefault="009E6917" w:rsidP="009E6917">
      <w:pPr>
        <w:spacing w:after="0" w:line="240" w:lineRule="auto"/>
        <w:jc w:val="center"/>
        <w:rPr>
          <w:rFonts w:cstheme="minorHAnsi"/>
          <w:b/>
        </w:rPr>
      </w:pPr>
      <w:r w:rsidRPr="0025732F">
        <w:rPr>
          <w:rFonts w:cstheme="minorHAnsi"/>
          <w:b/>
        </w:rPr>
        <w:t>Faktinės aplinkybės</w:t>
      </w:r>
    </w:p>
    <w:p w14:paraId="039A9ED5" w14:textId="77777777" w:rsidR="009E6917" w:rsidRPr="0025732F" w:rsidRDefault="009E6917" w:rsidP="009E6917">
      <w:pPr>
        <w:spacing w:after="0" w:line="240" w:lineRule="auto"/>
        <w:ind w:firstLine="720"/>
        <w:jc w:val="both"/>
        <w:rPr>
          <w:rFonts w:cstheme="minorHAnsi"/>
        </w:rPr>
      </w:pPr>
    </w:p>
    <w:p w14:paraId="5DCBF305" w14:textId="77777777" w:rsidR="009E6917" w:rsidRPr="0025732F" w:rsidRDefault="009E6917" w:rsidP="00C23DE4">
      <w:pPr>
        <w:spacing w:after="0" w:line="240" w:lineRule="auto"/>
        <w:ind w:firstLine="567"/>
        <w:jc w:val="both"/>
        <w:rPr>
          <w:rFonts w:cstheme="minorHAnsi"/>
        </w:rPr>
      </w:pPr>
      <w:r w:rsidRPr="0025732F">
        <w:rPr>
          <w:rFonts w:cstheme="minorHAnsi"/>
        </w:rPr>
        <w:t>Byloje buvo kilęs ginčas dėl kalbos, kuria buvo laikomi mokyklų baigiamieji egzaminai. Pareiškėjai yra vengrų tautybės ir lankė mokyklas, kuriose ugdymas vyko jų gimtąja kalba. Visiems pareiškėjams nepavyko gauti mokyklos baigimo atestato. Pareiškime Teismui pareiškėjai skundėsi, kad jie turėjo mažiau laiko pasiruošti egzaminams negu rumunų tautybės moksleiviai bei tiesiog pailsėti tarp egzaminų ir mažiau galimybių sėkmingai išlaikyti egzaminus.</w:t>
      </w:r>
    </w:p>
    <w:p w14:paraId="7436F602" w14:textId="77777777" w:rsidR="009E6917" w:rsidRPr="0025732F" w:rsidRDefault="009E6917" w:rsidP="009E6917">
      <w:pPr>
        <w:spacing w:after="0" w:line="240" w:lineRule="auto"/>
        <w:ind w:firstLine="709"/>
        <w:jc w:val="both"/>
        <w:rPr>
          <w:rFonts w:cstheme="minorHAnsi"/>
        </w:rPr>
      </w:pPr>
    </w:p>
    <w:p w14:paraId="7B8899D8" w14:textId="77777777" w:rsidR="009E6917" w:rsidRPr="0025732F" w:rsidRDefault="009E6917" w:rsidP="009E6917">
      <w:pPr>
        <w:spacing w:after="0" w:line="240" w:lineRule="auto"/>
        <w:jc w:val="center"/>
        <w:rPr>
          <w:rFonts w:cstheme="minorHAnsi"/>
          <w:b/>
        </w:rPr>
      </w:pPr>
      <w:r w:rsidRPr="0025732F">
        <w:rPr>
          <w:rFonts w:cstheme="minorHAnsi"/>
          <w:b/>
        </w:rPr>
        <w:t>Neoficiali Teismo sprendimo apžvalga</w:t>
      </w:r>
    </w:p>
    <w:p w14:paraId="4282DBB2" w14:textId="77777777" w:rsidR="009E6917" w:rsidRPr="0025732F" w:rsidRDefault="009E6917" w:rsidP="009E6917">
      <w:pPr>
        <w:spacing w:after="0" w:line="240" w:lineRule="auto"/>
        <w:ind w:firstLine="709"/>
        <w:jc w:val="both"/>
        <w:rPr>
          <w:rFonts w:cstheme="minorHAnsi"/>
        </w:rPr>
      </w:pPr>
    </w:p>
    <w:p w14:paraId="03467F2A" w14:textId="0A74D6D4" w:rsidR="00C23DE4" w:rsidRPr="0025732F" w:rsidRDefault="009E6917" w:rsidP="00C23DE4">
      <w:pPr>
        <w:spacing w:after="0" w:line="240" w:lineRule="auto"/>
        <w:ind w:firstLine="567"/>
        <w:jc w:val="both"/>
        <w:rPr>
          <w:rFonts w:cstheme="minorHAnsi"/>
        </w:rPr>
      </w:pPr>
      <w:r w:rsidRPr="0025732F">
        <w:rPr>
          <w:rFonts w:cstheme="minorHAnsi"/>
        </w:rPr>
        <w:t>Teismas pažymėjo, kad pareiškėjai privalėjo laikyti egzaminus taip pat, kaip ir jų bendramoksliai, kurie yra rumunų tautybės. Be to, pareiškėjai tuo pačiu laikotarpiu turėjo ir du papildomus egzaminus, skirtus patikrinti jų vengrų kalbos ir literatūros žinias. Tai galėjo suponuoti prielaidą, kad dėl egzaminų tvarkaraščio jie galėjo atsidurti blogesnėje padėtyje. Todėl turėjo būti įvertinta, ar skirtingas traktavimas buvo pakankamai reikšmingas, kad pasiektų draudžiamą ribą ir ar valstybė turėjo pareigą imtis konkrečių priemonių, kad palengvintų pareiškėjų naštą.</w:t>
      </w:r>
    </w:p>
    <w:p w14:paraId="3C6B83C4" w14:textId="0803FD61" w:rsidR="00C23DE4" w:rsidRPr="0025732F" w:rsidRDefault="009E6917" w:rsidP="00C23DE4">
      <w:pPr>
        <w:spacing w:after="0" w:line="240" w:lineRule="auto"/>
        <w:ind w:firstLine="567"/>
        <w:jc w:val="both"/>
        <w:rPr>
          <w:rFonts w:cstheme="minorHAnsi"/>
        </w:rPr>
      </w:pPr>
      <w:r w:rsidRPr="0025732F">
        <w:rPr>
          <w:rFonts w:cstheme="minorHAnsi"/>
        </w:rPr>
        <w:t xml:space="preserve">Mokyklų programų ir moksleivių žinių patikros organizavime tam tikra vertinimo </w:t>
      </w:r>
      <w:r w:rsidR="009B0BCB">
        <w:rPr>
          <w:rFonts w:cstheme="minorHAnsi"/>
        </w:rPr>
        <w:t>laisvė</w:t>
      </w:r>
      <w:r w:rsidRPr="0025732F">
        <w:rPr>
          <w:rFonts w:cstheme="minorHAnsi"/>
        </w:rPr>
        <w:t xml:space="preserve"> paliekama nacionalinėms institucijoms, tačiau kartu yra reikšminga, kad tarp valstybių narių yra kylantis tarptautinis sutarimas atpažinti specialius mažumų poreikius ir pareiga saugoti jų identitetą ir gyvenimo būdą bei kalbas. Nacionalinėje teisėje buvo siekiama sukurti lygias galimybes visiems moksleiviams įgyti išsilavinimą savo gimtąja kalba, tuo pačiu užtikrinant tinkamą rumunų kalbos ir literatūros išmanymą. Nacionalinių institucijų įgyvendintas žinių patikrinimas buvo sudėtingas ne tik pareiškėjams, bet ir jų bendramoksliams, kurie yra rumunų tautybės. Tai neabejotinai pateko į valstybės diskrecijos ribas.</w:t>
      </w:r>
    </w:p>
    <w:p w14:paraId="4D66971B" w14:textId="1D6CBD33" w:rsidR="00C23DE4" w:rsidRPr="0025732F" w:rsidRDefault="009E6917" w:rsidP="00C23DE4">
      <w:pPr>
        <w:spacing w:after="0" w:line="240" w:lineRule="auto"/>
        <w:ind w:firstLine="567"/>
        <w:jc w:val="both"/>
        <w:rPr>
          <w:rFonts w:cstheme="minorHAnsi"/>
        </w:rPr>
      </w:pPr>
      <w:r w:rsidRPr="0025732F">
        <w:rPr>
          <w:rFonts w:cstheme="minorHAnsi"/>
        </w:rPr>
        <w:t xml:space="preserve">Nors nacionalinėms institucijoms prireikė laiko pradėti įgyvendinti lygiateisę švietimo politiką, pažanga buvo padaryta ir, nepaisant to, kad uždelsimas įdiegti kai kurias priemones galėjo turėti poveikį pareiškėjų padėčiai, tai savaime nebuvo pakankama Teismui pripažinti, kad bendrojo lavinimo programos turinys </w:t>
      </w:r>
      <w:r w:rsidR="009B0BCB">
        <w:rPr>
          <w:rFonts w:cstheme="minorHAnsi"/>
        </w:rPr>
        <w:t>reiškė</w:t>
      </w:r>
      <w:r w:rsidRPr="0025732F">
        <w:rPr>
          <w:rFonts w:cstheme="minorHAnsi"/>
        </w:rPr>
        <w:t xml:space="preserve"> perteklinę naštą</w:t>
      </w:r>
      <w:r w:rsidR="009B0BCB">
        <w:rPr>
          <w:rFonts w:cstheme="minorHAnsi"/>
        </w:rPr>
        <w:t xml:space="preserve"> pareiškėjams</w:t>
      </w:r>
      <w:r w:rsidRPr="0025732F">
        <w:rPr>
          <w:rFonts w:cstheme="minorHAnsi"/>
        </w:rPr>
        <w:t xml:space="preserve"> </w:t>
      </w:r>
      <w:r w:rsidR="009B0BCB">
        <w:rPr>
          <w:rFonts w:cstheme="minorHAnsi"/>
        </w:rPr>
        <w:t>P</w:t>
      </w:r>
      <w:r w:rsidRPr="0025732F">
        <w:rPr>
          <w:rFonts w:cstheme="minorHAnsi"/>
        </w:rPr>
        <w:t xml:space="preserve">rotokolo </w:t>
      </w:r>
      <w:r w:rsidR="009B0BCB">
        <w:rPr>
          <w:rFonts w:cstheme="minorHAnsi"/>
        </w:rPr>
        <w:t xml:space="preserve">Nr. 12 </w:t>
      </w:r>
      <w:r w:rsidRPr="0025732F">
        <w:rPr>
          <w:rFonts w:cstheme="minorHAnsi"/>
        </w:rPr>
        <w:t>1 straipsnio kontekste.</w:t>
      </w:r>
    </w:p>
    <w:p w14:paraId="381B1D38" w14:textId="77777777" w:rsidR="00C23DE4" w:rsidRPr="0025732F" w:rsidRDefault="009E6917" w:rsidP="00C23DE4">
      <w:pPr>
        <w:spacing w:after="0" w:line="240" w:lineRule="auto"/>
        <w:ind w:firstLine="567"/>
        <w:jc w:val="both"/>
        <w:rPr>
          <w:rFonts w:cstheme="minorHAnsi"/>
        </w:rPr>
      </w:pPr>
      <w:r w:rsidRPr="0025732F">
        <w:rPr>
          <w:rFonts w:cstheme="minorHAnsi"/>
        </w:rPr>
        <w:t>Dėl mokyklos baigimo egzaminų tvarkaraščio Teismas pažymėjo, kad pareiškėjo pareiga laikyti papildomus egzaminus buvo tiesioginis ir neišvengiamas padarinys pareiškėjų sąmoningo ir savanoriško sprendimo mokytis ne nacionaline kalba.</w:t>
      </w:r>
    </w:p>
    <w:p w14:paraId="37556629" w14:textId="2249C0C3" w:rsidR="00C23DE4" w:rsidRPr="0025732F" w:rsidRDefault="009E6917" w:rsidP="00C23DE4">
      <w:pPr>
        <w:spacing w:after="0" w:line="240" w:lineRule="auto"/>
        <w:ind w:firstLine="567"/>
        <w:jc w:val="both"/>
        <w:rPr>
          <w:rFonts w:cstheme="minorHAnsi"/>
        </w:rPr>
      </w:pPr>
      <w:r w:rsidRPr="0025732F">
        <w:rPr>
          <w:rFonts w:cstheme="minorHAnsi"/>
        </w:rPr>
        <w:t>Egzaminų tvarkaraštį švietimo ministerija kasmet nustat</w:t>
      </w:r>
      <w:r w:rsidR="009B0BCB">
        <w:rPr>
          <w:rFonts w:cstheme="minorHAnsi"/>
        </w:rPr>
        <w:t>ė</w:t>
      </w:r>
      <w:r w:rsidRPr="0025732F">
        <w:rPr>
          <w:rFonts w:cstheme="minorHAnsi"/>
        </w:rPr>
        <w:t xml:space="preserve"> mokslo metų pradžioje ir jis kasmet reikšmingai nesiskirdavo. Moksleiviai turėjo pakankamai laiko pasiruošti egzaminams tiek psichologiškai, tiek studijuodami egzaminų programą. Be to, tvarkaraštis </w:t>
      </w:r>
      <w:r w:rsidR="009B0BCB">
        <w:rPr>
          <w:rFonts w:cstheme="minorHAnsi"/>
        </w:rPr>
        <w:t>nelėmė</w:t>
      </w:r>
      <w:r w:rsidRPr="0025732F">
        <w:rPr>
          <w:rFonts w:cstheme="minorHAnsi"/>
        </w:rPr>
        <w:t xml:space="preserve"> pareiškėjams perteklinės naštos. Tais metais, kada jie laikė egzaminus, kiekvienam egzaminui skirtas laikas buvo nuo aštuonių iki dvidešimt penkių dienų. 2018 metų egzaminų tvarkaraštis pareiškėjams sukėlė dar mažiau krūvio tuo metu, nes žodiniai egzaminai buvo numatyti keturiais mėnesiais anksčiau už rašytinius. </w:t>
      </w:r>
      <w:r w:rsidRPr="009B0BCB">
        <w:rPr>
          <w:rFonts w:cstheme="minorHAnsi"/>
        </w:rPr>
        <w:t>Byloje nebuvo pagrindo išvadai, kad pareiškėjai turėjo vidutiniškai mažiau laiko poilsiu</w:t>
      </w:r>
      <w:r w:rsidR="00C23DE4" w:rsidRPr="009B0BCB">
        <w:rPr>
          <w:rFonts w:cstheme="minorHAnsi"/>
        </w:rPr>
        <w:t>i</w:t>
      </w:r>
      <w:r w:rsidRPr="009B0BCB">
        <w:rPr>
          <w:rFonts w:cstheme="minorHAnsi"/>
        </w:rPr>
        <w:t>, negu jų bendramoksliai, kurie yra rumunų tautybės</w:t>
      </w:r>
      <w:r w:rsidRPr="0025732F">
        <w:rPr>
          <w:rFonts w:cstheme="minorHAnsi"/>
        </w:rPr>
        <w:t xml:space="preserve">, nes pastarieji tam turėjo tik vienos dienos pertrauką. Pareiškėjų patirti nepatogumai nebuvo tiek reikšmingi, kad pasiektų </w:t>
      </w:r>
      <w:r w:rsidR="009B0BCB">
        <w:rPr>
          <w:rFonts w:cstheme="minorHAnsi"/>
        </w:rPr>
        <w:t>P</w:t>
      </w:r>
      <w:r w:rsidRPr="0025732F">
        <w:rPr>
          <w:rFonts w:cstheme="minorHAnsi"/>
        </w:rPr>
        <w:t xml:space="preserve">rotokolo </w:t>
      </w:r>
      <w:r w:rsidR="009B0BCB">
        <w:rPr>
          <w:rFonts w:cstheme="minorHAnsi"/>
        </w:rPr>
        <w:t xml:space="preserve">Nr. 12 </w:t>
      </w:r>
      <w:r w:rsidRPr="0025732F">
        <w:rPr>
          <w:rFonts w:cstheme="minorHAnsi"/>
        </w:rPr>
        <w:t>1 straipsnio ribą. Valstybės pateikta statistika leido matyti, kad laikotarpiu nuo 2013 iki 2018 metų, visų moksleivių egzaminų rezultatai buvo panašūs.</w:t>
      </w:r>
    </w:p>
    <w:p w14:paraId="7D3593CF" w14:textId="13EAF596" w:rsidR="00C23DE4" w:rsidRPr="0025732F" w:rsidRDefault="009E6917" w:rsidP="00C23DE4">
      <w:pPr>
        <w:spacing w:after="0" w:line="240" w:lineRule="auto"/>
        <w:ind w:firstLine="567"/>
        <w:jc w:val="both"/>
        <w:rPr>
          <w:rFonts w:cstheme="minorHAnsi"/>
        </w:rPr>
      </w:pPr>
      <w:r w:rsidRPr="009B0BCB">
        <w:rPr>
          <w:rFonts w:cstheme="minorHAnsi"/>
          <w:u w:val="single"/>
        </w:rPr>
        <w:lastRenderedPageBreak/>
        <w:t xml:space="preserve">Pareiškėjų </w:t>
      </w:r>
      <w:r w:rsidR="009B0BCB">
        <w:rPr>
          <w:rFonts w:cstheme="minorHAnsi"/>
          <w:u w:val="single"/>
        </w:rPr>
        <w:t>patirtos pasekmės</w:t>
      </w:r>
      <w:r w:rsidRPr="009B0BCB">
        <w:rPr>
          <w:rFonts w:cstheme="minorHAnsi"/>
          <w:u w:val="single"/>
        </w:rPr>
        <w:t xml:space="preserve"> egzaminuose dėl savo pasirinktos kalbos bendrajame lavinime mokykloje lėmė tam tikrus jų padėties skirtumus nuo bendramokslių, tačiau šie skirtumai nebuvo pakankamai reikšmingi</w:t>
      </w:r>
      <w:r w:rsidRPr="0025732F">
        <w:rPr>
          <w:rFonts w:cstheme="minorHAnsi"/>
        </w:rPr>
        <w:t>.</w:t>
      </w:r>
    </w:p>
    <w:p w14:paraId="0E1EA9C5" w14:textId="77777777" w:rsidR="00C23DE4" w:rsidRPr="0025732F" w:rsidRDefault="00C23DE4" w:rsidP="00C23DE4">
      <w:pPr>
        <w:spacing w:after="0" w:line="240" w:lineRule="auto"/>
        <w:ind w:firstLine="567"/>
        <w:jc w:val="both"/>
        <w:rPr>
          <w:rFonts w:cstheme="minorHAnsi"/>
        </w:rPr>
      </w:pPr>
    </w:p>
    <w:p w14:paraId="1FE8C158" w14:textId="5580836A" w:rsidR="00C23DE4" w:rsidRPr="0025732F" w:rsidRDefault="009E6917" w:rsidP="00C23DE4">
      <w:pPr>
        <w:spacing w:after="0" w:line="240" w:lineRule="auto"/>
        <w:ind w:firstLine="567"/>
        <w:jc w:val="both"/>
        <w:rPr>
          <w:rFonts w:cstheme="minorHAnsi"/>
        </w:rPr>
      </w:pPr>
      <w:r w:rsidRPr="0025732F">
        <w:rPr>
          <w:rFonts w:cstheme="minorHAnsi"/>
        </w:rPr>
        <w:t xml:space="preserve">Išvada: Konvencijos </w:t>
      </w:r>
      <w:r w:rsidR="009B0BCB">
        <w:rPr>
          <w:rFonts w:cstheme="minorHAnsi"/>
        </w:rPr>
        <w:t>P</w:t>
      </w:r>
      <w:r w:rsidRPr="0025732F">
        <w:rPr>
          <w:rFonts w:cstheme="minorHAnsi"/>
        </w:rPr>
        <w:t xml:space="preserve">rotokolo </w:t>
      </w:r>
      <w:r w:rsidR="009B0BCB">
        <w:rPr>
          <w:rFonts w:cstheme="minorHAnsi"/>
        </w:rPr>
        <w:t xml:space="preserve">Nr. 12 </w:t>
      </w:r>
      <w:r w:rsidRPr="0025732F">
        <w:rPr>
          <w:rFonts w:cstheme="minorHAnsi"/>
        </w:rPr>
        <w:t>1 straipsnio pažeidimas nenustatytas (5 balsai prieš 2).</w:t>
      </w:r>
    </w:p>
    <w:p w14:paraId="104B911C" w14:textId="0E0639EC" w:rsidR="009E6917" w:rsidRPr="0025732F" w:rsidRDefault="009E6917" w:rsidP="00C23DE4">
      <w:pPr>
        <w:spacing w:after="0" w:line="240" w:lineRule="auto"/>
        <w:ind w:firstLine="567"/>
        <w:jc w:val="both"/>
        <w:rPr>
          <w:rFonts w:cstheme="minorHAnsi"/>
        </w:rPr>
      </w:pPr>
      <w:r w:rsidRPr="0025732F">
        <w:rPr>
          <w:rFonts w:cstheme="minorHAnsi"/>
        </w:rPr>
        <w:t>(pateiktos atskirosios nuomonės)</w:t>
      </w:r>
    </w:p>
    <w:p w14:paraId="446C1749" w14:textId="154F83E1" w:rsidR="003900E3" w:rsidRDefault="006922FB" w:rsidP="001A2ADA">
      <w:pPr>
        <w:spacing w:after="0" w:line="240" w:lineRule="auto"/>
        <w:ind w:firstLine="567"/>
        <w:jc w:val="both"/>
        <w:rPr>
          <w:rStyle w:val="Hipersaitas"/>
          <w:rFonts w:cstheme="minorHAnsi"/>
        </w:rPr>
      </w:pPr>
      <w:hyperlink r:id="rId28" w:history="1">
        <w:r w:rsidR="009E6917" w:rsidRPr="0025732F">
          <w:rPr>
            <w:rStyle w:val="Hipersaitas"/>
            <w:rFonts w:cstheme="minorHAnsi"/>
          </w:rPr>
          <w:t>Prieiga internete</w:t>
        </w:r>
      </w:hyperlink>
      <w:bookmarkEnd w:id="66"/>
    </w:p>
    <w:p w14:paraId="2682FDCC" w14:textId="0315FA72" w:rsidR="00D268DA" w:rsidRDefault="00D268DA" w:rsidP="001A2ADA">
      <w:pPr>
        <w:spacing w:after="0" w:line="240" w:lineRule="auto"/>
        <w:ind w:firstLine="567"/>
        <w:jc w:val="both"/>
        <w:rPr>
          <w:rStyle w:val="Hipersaitas"/>
          <w:rFonts w:cstheme="minorHAnsi"/>
        </w:rPr>
      </w:pPr>
    </w:p>
    <w:p w14:paraId="7D35A680" w14:textId="77777777" w:rsidR="00D268DA" w:rsidRPr="0025732F" w:rsidRDefault="00D268DA" w:rsidP="001A2ADA">
      <w:pPr>
        <w:spacing w:after="0" w:line="240" w:lineRule="auto"/>
        <w:ind w:firstLine="567"/>
        <w:jc w:val="both"/>
        <w:rPr>
          <w:rFonts w:cstheme="minorHAnsi"/>
        </w:rPr>
      </w:pPr>
    </w:p>
    <w:sectPr w:rsidR="00D268DA" w:rsidRPr="0025732F" w:rsidSect="007D4315">
      <w:headerReference w:type="even" r:id="rId29"/>
      <w:headerReference w:type="default" r:id="rId30"/>
      <w:footerReference w:type="even" r:id="rId31"/>
      <w:footerReference w:type="default" r:id="rId32"/>
      <w:headerReference w:type="first" r:id="rId33"/>
      <w:footerReference w:type="first" r:id="rId34"/>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DFC0D" w14:textId="77777777" w:rsidR="006922FB" w:rsidRDefault="006922FB">
      <w:pPr>
        <w:spacing w:after="0" w:line="240" w:lineRule="auto"/>
      </w:pPr>
      <w:r>
        <w:separator/>
      </w:r>
    </w:p>
  </w:endnote>
  <w:endnote w:type="continuationSeparator" w:id="0">
    <w:p w14:paraId="616F00A4" w14:textId="77777777" w:rsidR="006922FB" w:rsidRDefault="00692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0AC1" w14:textId="77777777" w:rsidR="00F24169" w:rsidRDefault="00F2416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5225229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18730759" w14:textId="77777777" w:rsidR="00DC1C6C" w:rsidRPr="00C95576" w:rsidRDefault="00DC1C6C">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32</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32</w:t>
            </w:r>
            <w:r w:rsidRPr="00C95576">
              <w:rPr>
                <w:bCs/>
                <w:sz w:val="20"/>
                <w:szCs w:val="20"/>
              </w:rPr>
              <w:fldChar w:fldCharType="end"/>
            </w:r>
          </w:p>
        </w:sdtContent>
      </w:sdt>
    </w:sdtContent>
  </w:sdt>
  <w:p w14:paraId="0FEDAA04" w14:textId="77777777" w:rsidR="00DC1C6C" w:rsidRDefault="00DC1C6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88209" w14:textId="77777777" w:rsidR="00F24169" w:rsidRDefault="00F2416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9E90" w14:textId="77777777" w:rsidR="006922FB" w:rsidRDefault="006922FB">
      <w:pPr>
        <w:spacing w:after="0" w:line="240" w:lineRule="auto"/>
      </w:pPr>
      <w:r>
        <w:separator/>
      </w:r>
    </w:p>
  </w:footnote>
  <w:footnote w:type="continuationSeparator" w:id="0">
    <w:p w14:paraId="07E39715" w14:textId="77777777" w:rsidR="006922FB" w:rsidRDefault="006922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E4E9" w14:textId="77777777" w:rsidR="00F24169" w:rsidRDefault="00F2416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C1C6C" w:rsidRPr="000967FF" w14:paraId="363E1FB1" w14:textId="77777777" w:rsidTr="00C22527">
      <w:tc>
        <w:tcPr>
          <w:tcW w:w="7230" w:type="dxa"/>
        </w:tcPr>
        <w:p w14:paraId="5C87C8A7" w14:textId="77777777" w:rsidR="00DC1C6C" w:rsidRPr="0021377E" w:rsidRDefault="00DC1C6C"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33502516" w:rsidR="00DC1C6C" w:rsidRPr="0021377E" w:rsidRDefault="00DC1C6C" w:rsidP="0037620F">
          <w:pPr>
            <w:rPr>
              <w:rFonts w:ascii="Calibri" w:hAnsi="Calibri"/>
              <w:color w:val="323E4F" w:themeColor="text2" w:themeShade="BF"/>
              <w:sz w:val="20"/>
              <w:szCs w:val="20"/>
            </w:rPr>
          </w:pPr>
          <w:r>
            <w:rPr>
              <w:rFonts w:ascii="Calibri" w:hAnsi="Calibri"/>
              <w:color w:val="323E4F" w:themeColor="text2" w:themeShade="BF"/>
              <w:sz w:val="20"/>
              <w:szCs w:val="20"/>
            </w:rPr>
            <w:t>2020 07</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01–2020 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w:t>
          </w:r>
          <w:r w:rsidR="00F24169">
            <w:rPr>
              <w:rFonts w:ascii="Calibri" w:hAnsi="Calibri"/>
              <w:color w:val="323E4F" w:themeColor="text2" w:themeShade="BF"/>
              <w:sz w:val="20"/>
              <w:szCs w:val="20"/>
            </w:rPr>
            <w:t>1</w:t>
          </w:r>
        </w:p>
      </w:tc>
    </w:tr>
  </w:tbl>
  <w:p w14:paraId="08528B04" w14:textId="77777777" w:rsidR="00DC1C6C" w:rsidRDefault="00DC1C6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20B63" w14:textId="77777777" w:rsidR="00F24169" w:rsidRDefault="00F2416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CD9"/>
    <w:rsid w:val="00005ED2"/>
    <w:rsid w:val="00010266"/>
    <w:rsid w:val="00022EBF"/>
    <w:rsid w:val="0002415A"/>
    <w:rsid w:val="00025264"/>
    <w:rsid w:val="0003146A"/>
    <w:rsid w:val="000317E5"/>
    <w:rsid w:val="000329DA"/>
    <w:rsid w:val="00032E09"/>
    <w:rsid w:val="000441D4"/>
    <w:rsid w:val="00051D22"/>
    <w:rsid w:val="00085E79"/>
    <w:rsid w:val="000B0DBB"/>
    <w:rsid w:val="000B4C85"/>
    <w:rsid w:val="000E3F53"/>
    <w:rsid w:val="000F1AF5"/>
    <w:rsid w:val="000F3BDD"/>
    <w:rsid w:val="00100409"/>
    <w:rsid w:val="001114D7"/>
    <w:rsid w:val="001206B4"/>
    <w:rsid w:val="00144C55"/>
    <w:rsid w:val="00150619"/>
    <w:rsid w:val="0017187A"/>
    <w:rsid w:val="00186CD8"/>
    <w:rsid w:val="001974FE"/>
    <w:rsid w:val="001A29C4"/>
    <w:rsid w:val="001A2ADA"/>
    <w:rsid w:val="001A2B79"/>
    <w:rsid w:val="001A3F69"/>
    <w:rsid w:val="001A4611"/>
    <w:rsid w:val="001A610F"/>
    <w:rsid w:val="001C0508"/>
    <w:rsid w:val="001D13E2"/>
    <w:rsid w:val="001F1CF0"/>
    <w:rsid w:val="001F30CD"/>
    <w:rsid w:val="00205BEB"/>
    <w:rsid w:val="00207F9B"/>
    <w:rsid w:val="00210C45"/>
    <w:rsid w:val="00214F38"/>
    <w:rsid w:val="00217357"/>
    <w:rsid w:val="00224044"/>
    <w:rsid w:val="00230FBA"/>
    <w:rsid w:val="002556E5"/>
    <w:rsid w:val="0025732F"/>
    <w:rsid w:val="00263E9F"/>
    <w:rsid w:val="00267716"/>
    <w:rsid w:val="00272B99"/>
    <w:rsid w:val="00277903"/>
    <w:rsid w:val="00284966"/>
    <w:rsid w:val="002853B9"/>
    <w:rsid w:val="0029123E"/>
    <w:rsid w:val="002A5DE3"/>
    <w:rsid w:val="002A7636"/>
    <w:rsid w:val="002B15F3"/>
    <w:rsid w:val="002B2757"/>
    <w:rsid w:val="002C1713"/>
    <w:rsid w:val="002C5413"/>
    <w:rsid w:val="002D0A91"/>
    <w:rsid w:val="002F23D7"/>
    <w:rsid w:val="002F43A7"/>
    <w:rsid w:val="0030137B"/>
    <w:rsid w:val="00303685"/>
    <w:rsid w:val="00305F76"/>
    <w:rsid w:val="003061A6"/>
    <w:rsid w:val="00306FC2"/>
    <w:rsid w:val="00307841"/>
    <w:rsid w:val="00310F3E"/>
    <w:rsid w:val="00311C7E"/>
    <w:rsid w:val="00326DBF"/>
    <w:rsid w:val="00330D45"/>
    <w:rsid w:val="003312CA"/>
    <w:rsid w:val="003460C1"/>
    <w:rsid w:val="00346301"/>
    <w:rsid w:val="00351D5B"/>
    <w:rsid w:val="003626B1"/>
    <w:rsid w:val="003740DD"/>
    <w:rsid w:val="0037620F"/>
    <w:rsid w:val="003768B5"/>
    <w:rsid w:val="00384E27"/>
    <w:rsid w:val="003900E3"/>
    <w:rsid w:val="0039456C"/>
    <w:rsid w:val="003A37DB"/>
    <w:rsid w:val="003B4852"/>
    <w:rsid w:val="003B6EBF"/>
    <w:rsid w:val="003C3579"/>
    <w:rsid w:val="003C4ABE"/>
    <w:rsid w:val="003C740A"/>
    <w:rsid w:val="003E32FC"/>
    <w:rsid w:val="003E3981"/>
    <w:rsid w:val="003F0BA7"/>
    <w:rsid w:val="003F1676"/>
    <w:rsid w:val="004136F9"/>
    <w:rsid w:val="00423B69"/>
    <w:rsid w:val="00426F74"/>
    <w:rsid w:val="00433D88"/>
    <w:rsid w:val="00436638"/>
    <w:rsid w:val="004461D4"/>
    <w:rsid w:val="004531D4"/>
    <w:rsid w:val="00457674"/>
    <w:rsid w:val="0046082F"/>
    <w:rsid w:val="00460C74"/>
    <w:rsid w:val="00461D5F"/>
    <w:rsid w:val="00472F87"/>
    <w:rsid w:val="00482E6C"/>
    <w:rsid w:val="004912F4"/>
    <w:rsid w:val="00492256"/>
    <w:rsid w:val="004955D1"/>
    <w:rsid w:val="004A1084"/>
    <w:rsid w:val="004A150D"/>
    <w:rsid w:val="004A254D"/>
    <w:rsid w:val="004B1919"/>
    <w:rsid w:val="004B562D"/>
    <w:rsid w:val="004B73D4"/>
    <w:rsid w:val="004C1958"/>
    <w:rsid w:val="004C403F"/>
    <w:rsid w:val="004C59FE"/>
    <w:rsid w:val="004D3D54"/>
    <w:rsid w:val="004E21F2"/>
    <w:rsid w:val="004E2B81"/>
    <w:rsid w:val="004F245A"/>
    <w:rsid w:val="00512C17"/>
    <w:rsid w:val="00526614"/>
    <w:rsid w:val="005306E1"/>
    <w:rsid w:val="005312F6"/>
    <w:rsid w:val="005330B5"/>
    <w:rsid w:val="00536624"/>
    <w:rsid w:val="005408B2"/>
    <w:rsid w:val="0057622D"/>
    <w:rsid w:val="005A019E"/>
    <w:rsid w:val="005A40A2"/>
    <w:rsid w:val="005A6372"/>
    <w:rsid w:val="005C2578"/>
    <w:rsid w:val="005D6E08"/>
    <w:rsid w:val="005D788D"/>
    <w:rsid w:val="005E0C4C"/>
    <w:rsid w:val="005E7216"/>
    <w:rsid w:val="005F54A2"/>
    <w:rsid w:val="006075D7"/>
    <w:rsid w:val="00611648"/>
    <w:rsid w:val="00612945"/>
    <w:rsid w:val="00657CDF"/>
    <w:rsid w:val="00657F91"/>
    <w:rsid w:val="006601F7"/>
    <w:rsid w:val="006637D9"/>
    <w:rsid w:val="0066728A"/>
    <w:rsid w:val="00667ACB"/>
    <w:rsid w:val="00683B82"/>
    <w:rsid w:val="00684867"/>
    <w:rsid w:val="006860B3"/>
    <w:rsid w:val="006922FB"/>
    <w:rsid w:val="006965B7"/>
    <w:rsid w:val="006A4F93"/>
    <w:rsid w:val="006B4CC0"/>
    <w:rsid w:val="006C234E"/>
    <w:rsid w:val="006C3D4F"/>
    <w:rsid w:val="006C75B9"/>
    <w:rsid w:val="006D2C6F"/>
    <w:rsid w:val="006D4829"/>
    <w:rsid w:val="006E5616"/>
    <w:rsid w:val="006E7305"/>
    <w:rsid w:val="00706A41"/>
    <w:rsid w:val="007175DE"/>
    <w:rsid w:val="007205EB"/>
    <w:rsid w:val="00726DE9"/>
    <w:rsid w:val="00733C94"/>
    <w:rsid w:val="00735513"/>
    <w:rsid w:val="00751E59"/>
    <w:rsid w:val="007818DC"/>
    <w:rsid w:val="0078350C"/>
    <w:rsid w:val="00783BB3"/>
    <w:rsid w:val="007900FC"/>
    <w:rsid w:val="007A3B02"/>
    <w:rsid w:val="007B1F05"/>
    <w:rsid w:val="007B673C"/>
    <w:rsid w:val="007D147E"/>
    <w:rsid w:val="007D1963"/>
    <w:rsid w:val="007D4315"/>
    <w:rsid w:val="007E096D"/>
    <w:rsid w:val="007E77CF"/>
    <w:rsid w:val="007F1A03"/>
    <w:rsid w:val="00800BC9"/>
    <w:rsid w:val="00806211"/>
    <w:rsid w:val="00814814"/>
    <w:rsid w:val="00833D0A"/>
    <w:rsid w:val="00836B11"/>
    <w:rsid w:val="008458AE"/>
    <w:rsid w:val="00846265"/>
    <w:rsid w:val="008466B1"/>
    <w:rsid w:val="0085296B"/>
    <w:rsid w:val="0085488A"/>
    <w:rsid w:val="00863FBB"/>
    <w:rsid w:val="0087519D"/>
    <w:rsid w:val="008852F5"/>
    <w:rsid w:val="00890061"/>
    <w:rsid w:val="0089626B"/>
    <w:rsid w:val="008A6D79"/>
    <w:rsid w:val="008C2141"/>
    <w:rsid w:val="008C6A0A"/>
    <w:rsid w:val="008D1091"/>
    <w:rsid w:val="008D54F7"/>
    <w:rsid w:val="008E7CC6"/>
    <w:rsid w:val="008F45BA"/>
    <w:rsid w:val="008F6ACD"/>
    <w:rsid w:val="00903873"/>
    <w:rsid w:val="00907E3B"/>
    <w:rsid w:val="00914BAA"/>
    <w:rsid w:val="009152E9"/>
    <w:rsid w:val="00923885"/>
    <w:rsid w:val="00930AFB"/>
    <w:rsid w:val="009358B4"/>
    <w:rsid w:val="00944B8C"/>
    <w:rsid w:val="00944F27"/>
    <w:rsid w:val="00957D94"/>
    <w:rsid w:val="00974752"/>
    <w:rsid w:val="009A1B99"/>
    <w:rsid w:val="009A31A7"/>
    <w:rsid w:val="009A4E90"/>
    <w:rsid w:val="009B0BCB"/>
    <w:rsid w:val="009B127E"/>
    <w:rsid w:val="009B6C91"/>
    <w:rsid w:val="009B78CE"/>
    <w:rsid w:val="009C6F4D"/>
    <w:rsid w:val="009D7FC3"/>
    <w:rsid w:val="009E3834"/>
    <w:rsid w:val="009E5300"/>
    <w:rsid w:val="009E6917"/>
    <w:rsid w:val="009F4ADD"/>
    <w:rsid w:val="009F54E4"/>
    <w:rsid w:val="00A0072B"/>
    <w:rsid w:val="00A1174A"/>
    <w:rsid w:val="00A22529"/>
    <w:rsid w:val="00A25E02"/>
    <w:rsid w:val="00A26119"/>
    <w:rsid w:val="00A32AE0"/>
    <w:rsid w:val="00A37A68"/>
    <w:rsid w:val="00A4098B"/>
    <w:rsid w:val="00A57404"/>
    <w:rsid w:val="00A8090E"/>
    <w:rsid w:val="00A81310"/>
    <w:rsid w:val="00A81DEE"/>
    <w:rsid w:val="00A820DC"/>
    <w:rsid w:val="00A82D41"/>
    <w:rsid w:val="00A85F73"/>
    <w:rsid w:val="00A873DE"/>
    <w:rsid w:val="00A908E3"/>
    <w:rsid w:val="00A93147"/>
    <w:rsid w:val="00A962F0"/>
    <w:rsid w:val="00AA1412"/>
    <w:rsid w:val="00AA6914"/>
    <w:rsid w:val="00AB4306"/>
    <w:rsid w:val="00AD3A5F"/>
    <w:rsid w:val="00AD5086"/>
    <w:rsid w:val="00AD5491"/>
    <w:rsid w:val="00AE29DF"/>
    <w:rsid w:val="00AE32F2"/>
    <w:rsid w:val="00AE54D5"/>
    <w:rsid w:val="00AE6957"/>
    <w:rsid w:val="00AE7C62"/>
    <w:rsid w:val="00B13ED1"/>
    <w:rsid w:val="00B14A16"/>
    <w:rsid w:val="00B242C1"/>
    <w:rsid w:val="00B26468"/>
    <w:rsid w:val="00B4503E"/>
    <w:rsid w:val="00B510E6"/>
    <w:rsid w:val="00B5424D"/>
    <w:rsid w:val="00B71B5E"/>
    <w:rsid w:val="00B93837"/>
    <w:rsid w:val="00BA2729"/>
    <w:rsid w:val="00BA7D3B"/>
    <w:rsid w:val="00BA7E29"/>
    <w:rsid w:val="00BB0D3B"/>
    <w:rsid w:val="00BC5EFF"/>
    <w:rsid w:val="00BE2DB5"/>
    <w:rsid w:val="00BE641B"/>
    <w:rsid w:val="00BF7FC5"/>
    <w:rsid w:val="00C001E2"/>
    <w:rsid w:val="00C076F5"/>
    <w:rsid w:val="00C12300"/>
    <w:rsid w:val="00C21437"/>
    <w:rsid w:val="00C22527"/>
    <w:rsid w:val="00C23DE4"/>
    <w:rsid w:val="00C43CA7"/>
    <w:rsid w:val="00C463C6"/>
    <w:rsid w:val="00C5485A"/>
    <w:rsid w:val="00C54B35"/>
    <w:rsid w:val="00C56F0E"/>
    <w:rsid w:val="00C57146"/>
    <w:rsid w:val="00C622DD"/>
    <w:rsid w:val="00C62DA3"/>
    <w:rsid w:val="00C67180"/>
    <w:rsid w:val="00C67C37"/>
    <w:rsid w:val="00C7197C"/>
    <w:rsid w:val="00C732D6"/>
    <w:rsid w:val="00C743DF"/>
    <w:rsid w:val="00C81B63"/>
    <w:rsid w:val="00C8579B"/>
    <w:rsid w:val="00C86E5D"/>
    <w:rsid w:val="00C9621D"/>
    <w:rsid w:val="00C9647E"/>
    <w:rsid w:val="00CA2363"/>
    <w:rsid w:val="00CD0042"/>
    <w:rsid w:val="00CD08DA"/>
    <w:rsid w:val="00CD4B7A"/>
    <w:rsid w:val="00CD57C4"/>
    <w:rsid w:val="00CE3CF3"/>
    <w:rsid w:val="00CE4DCD"/>
    <w:rsid w:val="00D01E1A"/>
    <w:rsid w:val="00D11B63"/>
    <w:rsid w:val="00D138CC"/>
    <w:rsid w:val="00D17AAF"/>
    <w:rsid w:val="00D268DA"/>
    <w:rsid w:val="00D37D14"/>
    <w:rsid w:val="00D47B0F"/>
    <w:rsid w:val="00D51DBF"/>
    <w:rsid w:val="00D524A9"/>
    <w:rsid w:val="00D565E1"/>
    <w:rsid w:val="00D737CF"/>
    <w:rsid w:val="00D74E1D"/>
    <w:rsid w:val="00D760C8"/>
    <w:rsid w:val="00D9707A"/>
    <w:rsid w:val="00DA3ABD"/>
    <w:rsid w:val="00DA3EBC"/>
    <w:rsid w:val="00DB0745"/>
    <w:rsid w:val="00DC1C6C"/>
    <w:rsid w:val="00DC7996"/>
    <w:rsid w:val="00DD46DE"/>
    <w:rsid w:val="00E000BD"/>
    <w:rsid w:val="00E0534B"/>
    <w:rsid w:val="00E05E1E"/>
    <w:rsid w:val="00E23213"/>
    <w:rsid w:val="00E25DAB"/>
    <w:rsid w:val="00E325D7"/>
    <w:rsid w:val="00E41F1D"/>
    <w:rsid w:val="00E42530"/>
    <w:rsid w:val="00E45AC6"/>
    <w:rsid w:val="00E471B1"/>
    <w:rsid w:val="00E7183E"/>
    <w:rsid w:val="00E764F0"/>
    <w:rsid w:val="00E92275"/>
    <w:rsid w:val="00E93315"/>
    <w:rsid w:val="00E93FD2"/>
    <w:rsid w:val="00EA07E3"/>
    <w:rsid w:val="00EA2092"/>
    <w:rsid w:val="00EB2C14"/>
    <w:rsid w:val="00EB408B"/>
    <w:rsid w:val="00EC7DF2"/>
    <w:rsid w:val="00ED1D1C"/>
    <w:rsid w:val="00EE09AD"/>
    <w:rsid w:val="00EE3C92"/>
    <w:rsid w:val="00EE4145"/>
    <w:rsid w:val="00EE4FA2"/>
    <w:rsid w:val="00EF1D24"/>
    <w:rsid w:val="00EF29E1"/>
    <w:rsid w:val="00F04403"/>
    <w:rsid w:val="00F163F4"/>
    <w:rsid w:val="00F24169"/>
    <w:rsid w:val="00F26CBF"/>
    <w:rsid w:val="00F37079"/>
    <w:rsid w:val="00F4119D"/>
    <w:rsid w:val="00F44B82"/>
    <w:rsid w:val="00F5434D"/>
    <w:rsid w:val="00F56322"/>
    <w:rsid w:val="00F650DB"/>
    <w:rsid w:val="00F901EB"/>
    <w:rsid w:val="00F912E5"/>
    <w:rsid w:val="00F955F3"/>
    <w:rsid w:val="00F9783B"/>
    <w:rsid w:val="00FA4ADC"/>
    <w:rsid w:val="00FA5D3F"/>
    <w:rsid w:val="00FA5FA3"/>
    <w:rsid w:val="00FB6123"/>
    <w:rsid w:val="00FC2556"/>
    <w:rsid w:val="00FC2D08"/>
    <w:rsid w:val="00FC3C8F"/>
    <w:rsid w:val="00FC6030"/>
    <w:rsid w:val="00FC7A3A"/>
    <w:rsid w:val="00FD28AF"/>
    <w:rsid w:val="00FD5803"/>
    <w:rsid w:val="00FD6A45"/>
    <w:rsid w:val="00FE71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4B8F9375-6DB2-4AC9-8981-24DC56D7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E09AD"/>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EE09AD"/>
    <w:pPr>
      <w:spacing w:before="0" w:line="240" w:lineRule="auto"/>
      <w:ind w:firstLine="720"/>
      <w:jc w:val="both"/>
      <w:outlineLvl w:val="1"/>
    </w:pPr>
    <w:rPr>
      <w:rFonts w:cs="Times New Roman"/>
      <w:b/>
      <w:bCs/>
      <w:i w:val="0"/>
      <w:iCs/>
      <w:color w:val="2E74B5" w:themeColor="accent1" w:themeShade="BF"/>
      <w:szCs w:val="22"/>
    </w:rPr>
  </w:style>
  <w:style w:type="paragraph" w:styleId="Antrat3">
    <w:name w:val="heading 3"/>
    <w:basedOn w:val="prastasis"/>
    <w:next w:val="prastasis"/>
    <w:link w:val="Antrat3Diagrama"/>
    <w:unhideWhenUsed/>
    <w:qFormat/>
    <w:rsid w:val="00EE09AD"/>
    <w:pPr>
      <w:keepNext/>
      <w:keepLines/>
      <w:spacing w:before="40" w:after="0"/>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EE09AD"/>
    <w:rPr>
      <w:rFonts w:eastAsiaTheme="majorEastAsia" w:cs="Times New Roman"/>
      <w:b/>
      <w:bCs/>
      <w:iCs/>
      <w:color w:val="2E74B5" w:themeColor="accent1" w:themeShade="BF"/>
    </w:rPr>
  </w:style>
  <w:style w:type="character" w:customStyle="1" w:styleId="Antrat3Diagrama">
    <w:name w:val="Antraštė 3 Diagrama"/>
    <w:basedOn w:val="Numatytasispastraiposriftas"/>
    <w:link w:val="Antrat3"/>
    <w:rsid w:val="00EE09AD"/>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E09AD"/>
    <w:pPr>
      <w:spacing w:after="100"/>
      <w:ind w:left="220"/>
    </w:pPr>
  </w:style>
  <w:style w:type="paragraph" w:styleId="Turinys3">
    <w:name w:val="toc 3"/>
    <w:basedOn w:val="prastasis"/>
    <w:next w:val="prastasis"/>
    <w:autoRedefine/>
    <w:uiPriority w:val="39"/>
    <w:unhideWhenUsed/>
    <w:rsid w:val="00EE09AD"/>
    <w:pPr>
      <w:spacing w:after="100"/>
      <w:ind w:left="440"/>
    </w:p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semiHidden/>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 w:type="paragraph" w:customStyle="1" w:styleId="paragraph">
    <w:name w:val="paragraph"/>
    <w:basedOn w:val="prastasis"/>
    <w:rsid w:val="00C67C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C67C37"/>
  </w:style>
  <w:style w:type="character" w:customStyle="1" w:styleId="apple-converted-space">
    <w:name w:val="apple-converted-space"/>
    <w:basedOn w:val="Numatytasispastraiposriftas"/>
    <w:rsid w:val="00E41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1341548042">
      <w:bodyDiv w:val="1"/>
      <w:marLeft w:val="0"/>
      <w:marRight w:val="0"/>
      <w:marTop w:val="0"/>
      <w:marBottom w:val="0"/>
      <w:divBdr>
        <w:top w:val="none" w:sz="0" w:space="0" w:color="auto"/>
        <w:left w:val="none" w:sz="0" w:space="0" w:color="auto"/>
        <w:bottom w:val="none" w:sz="0" w:space="0" w:color="auto"/>
        <w:right w:val="none" w:sz="0" w:space="0" w:color="auto"/>
      </w:divBdr>
    </w:div>
    <w:div w:id="2028022149">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udoc.echr.coe.int/eng?i=001-206582" TargetMode="External"/><Relationship Id="rId18" Type="http://schemas.openxmlformats.org/officeDocument/2006/relationships/hyperlink" Target="https://hudoc.echr.coe.int/eng" TargetMode="External"/><Relationship Id="rId26" Type="http://schemas.openxmlformats.org/officeDocument/2006/relationships/hyperlink" Target="http://hudoc.echr.coe.int/eng?i=001-204589" TargetMode="External"/><Relationship Id="rId3" Type="http://schemas.openxmlformats.org/officeDocument/2006/relationships/styles" Target="styles.xml"/><Relationship Id="rId21" Type="http://schemas.openxmlformats.org/officeDocument/2006/relationships/hyperlink" Target="http://hudoc.echr.coe.int/eng?i=001-205680"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hudoc.echr.coe.int/eng?i=001-205821" TargetMode="External"/><Relationship Id="rId17" Type="http://schemas.openxmlformats.org/officeDocument/2006/relationships/hyperlink" Target="https://hudoc.echr.coe.int/eng" TargetMode="External"/><Relationship Id="rId25" Type="http://schemas.openxmlformats.org/officeDocument/2006/relationships/hyperlink" Target="http://hudoc.echr.coe.int/eng?i=001-204322"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hudoc.echr.coe.int/eng?i=001-204584" TargetMode="External"/><Relationship Id="rId20" Type="http://schemas.openxmlformats.org/officeDocument/2006/relationships/hyperlink" Target="https://hudoc.echr.coe.int/en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hyperlink" Target="http://hudoc.echr.coe.int/eng?i=001-206352"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hudoc.echr.coe.int/eng?i=001-205133" TargetMode="External"/><Relationship Id="rId28" Type="http://schemas.openxmlformats.org/officeDocument/2006/relationships/hyperlink" Target="http://hudoc.echr.coe.int/eng?i=001-204993" TargetMode="External"/><Relationship Id="rId36" Type="http://schemas.openxmlformats.org/officeDocument/2006/relationships/theme" Target="theme/theme1.xml"/><Relationship Id="rId10" Type="http://schemas.openxmlformats.org/officeDocument/2006/relationships/hyperlink" Target="https://hudoc.echr.coe.int/eng" TargetMode="External"/><Relationship Id="rId19" Type="http://schemas.openxmlformats.org/officeDocument/2006/relationships/hyperlink" Target="http://hudoc.echr.coe.int/eng?i=001-20382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hudoc.echr.coe.int/eng?i=001-206366" TargetMode="External"/><Relationship Id="rId22" Type="http://schemas.openxmlformats.org/officeDocument/2006/relationships/hyperlink" Target="http://hudoc.echr.coe.int/eng?i=001-205820" TargetMode="External"/><Relationship Id="rId27" Type="http://schemas.openxmlformats.org/officeDocument/2006/relationships/hyperlink" Target="https://hudoc.echr.coe.int/eng"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24AF6-60E4-6D45-8A72-3AFD28C9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32</Pages>
  <Words>18637</Words>
  <Characters>106232</Characters>
  <Application>Microsoft Office Word</Application>
  <DocSecurity>0</DocSecurity>
  <Lines>885</Lines>
  <Paragraphs>249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4</cp:revision>
  <dcterms:created xsi:type="dcterms:W3CDTF">2021-05-27T04:55:00Z</dcterms:created>
  <dcterms:modified xsi:type="dcterms:W3CDTF">2021-06-22T09:35:00Z</dcterms:modified>
</cp:coreProperties>
</file>