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2FA91" w14:textId="7F2F4437" w:rsidR="000028CD" w:rsidRPr="00A91C33" w:rsidRDefault="000028CD" w:rsidP="00AD0B10">
      <w:pPr>
        <w:pStyle w:val="NoSpacing1"/>
        <w:ind w:firstLine="0"/>
        <w:jc w:val="center"/>
        <w:rPr>
          <w:rFonts w:asciiTheme="minorHAnsi" w:hAnsiTheme="minorHAnsi" w:cstheme="minorHAnsi"/>
        </w:rPr>
      </w:pPr>
    </w:p>
    <w:p w14:paraId="53590118" w14:textId="31BADAA7" w:rsidR="00672231" w:rsidRPr="00353B65" w:rsidRDefault="00672231" w:rsidP="00AD0B10">
      <w:pPr>
        <w:pStyle w:val="NoSpacing1"/>
        <w:ind w:firstLine="0"/>
        <w:jc w:val="center"/>
        <w:rPr>
          <w:rFonts w:asciiTheme="minorHAnsi" w:hAnsiTheme="minorHAnsi" w:cstheme="minorHAnsi"/>
        </w:rPr>
      </w:pPr>
    </w:p>
    <w:p w14:paraId="6862FAE7" w14:textId="38405FA3" w:rsidR="00672231" w:rsidRPr="00353B65" w:rsidRDefault="00672231" w:rsidP="00AD0B10">
      <w:pPr>
        <w:pStyle w:val="NoSpacing1"/>
        <w:ind w:firstLine="0"/>
        <w:jc w:val="center"/>
        <w:rPr>
          <w:rFonts w:asciiTheme="minorHAnsi" w:hAnsiTheme="minorHAnsi" w:cstheme="minorHAnsi"/>
        </w:rPr>
      </w:pPr>
    </w:p>
    <w:p w14:paraId="18A1C363" w14:textId="10D17845" w:rsidR="00672231" w:rsidRPr="00353B65" w:rsidRDefault="00672231" w:rsidP="00AD0B10">
      <w:pPr>
        <w:pStyle w:val="NoSpacing1"/>
        <w:ind w:firstLine="0"/>
        <w:jc w:val="center"/>
        <w:rPr>
          <w:rFonts w:asciiTheme="minorHAnsi" w:hAnsiTheme="minorHAnsi" w:cstheme="minorHAnsi"/>
        </w:rPr>
      </w:pPr>
    </w:p>
    <w:p w14:paraId="4EFFB799" w14:textId="43333BD4" w:rsidR="00672231" w:rsidRPr="00353B65" w:rsidRDefault="00672231" w:rsidP="00AD0B10">
      <w:pPr>
        <w:pStyle w:val="NoSpacing1"/>
        <w:ind w:firstLine="0"/>
        <w:jc w:val="center"/>
        <w:rPr>
          <w:rFonts w:asciiTheme="minorHAnsi" w:hAnsiTheme="minorHAnsi" w:cstheme="minorHAnsi"/>
        </w:rPr>
      </w:pPr>
    </w:p>
    <w:p w14:paraId="1F8B064A" w14:textId="337D094B" w:rsidR="00672231" w:rsidRPr="00353B65" w:rsidRDefault="00672231" w:rsidP="00AD0B10">
      <w:pPr>
        <w:pStyle w:val="NoSpacing1"/>
        <w:ind w:firstLine="0"/>
        <w:jc w:val="center"/>
        <w:rPr>
          <w:rFonts w:asciiTheme="minorHAnsi" w:hAnsiTheme="minorHAnsi" w:cstheme="minorHAnsi"/>
        </w:rPr>
      </w:pPr>
    </w:p>
    <w:p w14:paraId="5EDA55DD" w14:textId="791CF465" w:rsidR="00672231" w:rsidRPr="00353B65" w:rsidRDefault="00672231" w:rsidP="00AD0B10">
      <w:pPr>
        <w:pStyle w:val="NoSpacing1"/>
        <w:ind w:firstLine="0"/>
        <w:jc w:val="center"/>
        <w:rPr>
          <w:rFonts w:asciiTheme="minorHAnsi" w:hAnsiTheme="minorHAnsi" w:cstheme="minorHAnsi"/>
        </w:rPr>
      </w:pPr>
    </w:p>
    <w:p w14:paraId="66D8C338" w14:textId="24C6375A" w:rsidR="00672231" w:rsidRPr="00353B65" w:rsidRDefault="00672231" w:rsidP="00AD0B10">
      <w:pPr>
        <w:pStyle w:val="NoSpacing1"/>
        <w:ind w:firstLine="0"/>
        <w:jc w:val="center"/>
        <w:rPr>
          <w:rFonts w:asciiTheme="minorHAnsi" w:hAnsiTheme="minorHAnsi" w:cstheme="minorHAnsi"/>
        </w:rPr>
      </w:pPr>
    </w:p>
    <w:p w14:paraId="634642C6" w14:textId="77777777" w:rsidR="00672231" w:rsidRPr="00353B65" w:rsidRDefault="00672231" w:rsidP="00AD0B10">
      <w:pPr>
        <w:pStyle w:val="NoSpacing1"/>
        <w:ind w:firstLine="0"/>
        <w:jc w:val="center"/>
        <w:rPr>
          <w:rFonts w:asciiTheme="minorHAnsi" w:hAnsiTheme="minorHAnsi" w:cstheme="minorHAnsi"/>
        </w:rPr>
      </w:pPr>
    </w:p>
    <w:p w14:paraId="0D636BD7" w14:textId="77777777" w:rsidR="000028CD" w:rsidRPr="00353B65" w:rsidRDefault="000028CD" w:rsidP="00AD0B10">
      <w:pPr>
        <w:pStyle w:val="NoSpacing1"/>
        <w:ind w:firstLine="0"/>
        <w:jc w:val="center"/>
        <w:rPr>
          <w:rFonts w:asciiTheme="minorHAnsi" w:hAnsiTheme="minorHAnsi" w:cstheme="minorHAnsi"/>
        </w:rPr>
      </w:pPr>
      <w:r w:rsidRPr="00353B65">
        <w:rPr>
          <w:rFonts w:asciiTheme="minorHAnsi" w:hAnsiTheme="minorHAnsi" w:cstheme="minorHAnsi"/>
          <w:noProof/>
          <w:lang w:eastAsia="lt-LT"/>
        </w:rPr>
        <w:drawing>
          <wp:inline distT="0" distB="0" distL="0" distR="0" wp14:anchorId="06AB0AE5" wp14:editId="6ACD94C2">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p>
    <w:p w14:paraId="3A2CBE72" w14:textId="77777777" w:rsidR="000028CD" w:rsidRPr="00353B65" w:rsidRDefault="000028CD" w:rsidP="00AD0B10">
      <w:pPr>
        <w:pStyle w:val="NoSpacing1"/>
        <w:ind w:firstLine="0"/>
        <w:jc w:val="center"/>
        <w:rPr>
          <w:rFonts w:asciiTheme="minorHAnsi" w:hAnsiTheme="minorHAnsi" w:cstheme="minorHAnsi"/>
        </w:rPr>
      </w:pPr>
    </w:p>
    <w:p w14:paraId="6192DCC0" w14:textId="77777777" w:rsidR="000028CD" w:rsidRPr="00353B65" w:rsidRDefault="000028CD" w:rsidP="00AD0B10">
      <w:pPr>
        <w:pStyle w:val="NoSpacing1"/>
        <w:ind w:firstLine="0"/>
        <w:jc w:val="center"/>
        <w:rPr>
          <w:rFonts w:asciiTheme="minorHAnsi" w:hAnsiTheme="minorHAnsi" w:cstheme="minorHAnsi"/>
        </w:rPr>
      </w:pPr>
    </w:p>
    <w:p w14:paraId="571347C6" w14:textId="77777777" w:rsidR="000028CD" w:rsidRPr="00353B65" w:rsidRDefault="000028CD" w:rsidP="00AD0B10">
      <w:pPr>
        <w:pStyle w:val="NoSpacing1"/>
        <w:ind w:firstLine="0"/>
        <w:jc w:val="center"/>
        <w:rPr>
          <w:rFonts w:asciiTheme="minorHAnsi" w:hAnsiTheme="minorHAnsi" w:cstheme="minorHAnsi"/>
        </w:rPr>
      </w:pPr>
    </w:p>
    <w:p w14:paraId="19B55917" w14:textId="77777777" w:rsidR="000028CD" w:rsidRPr="00177F84" w:rsidRDefault="000028CD" w:rsidP="00AD0B10">
      <w:pPr>
        <w:pStyle w:val="NoSpacing1"/>
        <w:ind w:firstLine="0"/>
        <w:jc w:val="center"/>
        <w:rPr>
          <w:rFonts w:asciiTheme="minorHAnsi" w:hAnsiTheme="minorHAnsi" w:cstheme="minorHAnsi"/>
          <w:sz w:val="36"/>
          <w:szCs w:val="36"/>
        </w:rPr>
      </w:pPr>
      <w:r w:rsidRPr="00353B6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6BD0BEB3" wp14:editId="4230CC58">
                <wp:simplePos x="0" y="0"/>
                <wp:positionH relativeFrom="page">
                  <wp:posOffset>-291465</wp:posOffset>
                </wp:positionH>
                <wp:positionV relativeFrom="page">
                  <wp:posOffset>20320</wp:posOffset>
                </wp:positionV>
                <wp:extent cx="7919720" cy="629920"/>
                <wp:effectExtent l="0" t="0" r="24130" b="1778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FE037" id="Rectangle 2"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" o:allowincell="f" fillcolor="#365f91" strokecolor="#31849b">
                <w10:wrap anchorx="page" anchory="page"/>
              </v:rect>
            </w:pict>
          </mc:Fallback>
        </mc:AlternateContent>
      </w:r>
      <w:r w:rsidRPr="00353B6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51C146C" wp14:editId="014865E1">
                <wp:simplePos x="0" y="0"/>
                <wp:positionH relativeFrom="page">
                  <wp:align>center</wp:align>
                </wp:positionH>
                <wp:positionV relativeFrom="page">
                  <wp:align>bottom</wp:align>
                </wp:positionV>
                <wp:extent cx="7920355" cy="629920"/>
                <wp:effectExtent l="0" t="0" r="23495" b="1778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ABE41" id="Rectangle 3"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" o:allowincell="f" fillcolor="#365f91" strokecolor="#17365d">
                <w10:wrap anchorx="page" anchory="page"/>
              </v:rect>
            </w:pict>
          </mc:Fallback>
        </mc:AlternateContent>
      </w:r>
      <w:r w:rsidRPr="00353B6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517918C4" wp14:editId="2DB8019B">
                <wp:simplePos x="0" y="0"/>
                <wp:positionH relativeFrom="page">
                  <wp:posOffset>503555</wp:posOffset>
                </wp:positionH>
                <wp:positionV relativeFrom="page">
                  <wp:posOffset>-248285</wp:posOffset>
                </wp:positionV>
                <wp:extent cx="90805" cy="11205210"/>
                <wp:effectExtent l="0" t="0" r="23495" b="1524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D4ADF" id="Rectangle 4"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" o:allowincell="f" strokecolor="#17365d">
                <w10:wrap anchorx="page" anchory="page"/>
              </v:rect>
            </w:pict>
          </mc:Fallback>
        </mc:AlternateContent>
      </w:r>
      <w:r w:rsidRPr="00353B6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0722538E" wp14:editId="4AEC238F">
                <wp:simplePos x="0" y="0"/>
                <wp:positionH relativeFrom="page">
                  <wp:posOffset>7250430</wp:posOffset>
                </wp:positionH>
                <wp:positionV relativeFrom="page">
                  <wp:posOffset>-248285</wp:posOffset>
                </wp:positionV>
                <wp:extent cx="90805" cy="11205210"/>
                <wp:effectExtent l="0" t="0" r="23495" b="1524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B30FC5" id="Rectangle 5"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" o:allowincell="f" strokecolor="#17365d">
                <w10:wrap anchorx="page" anchory="page"/>
              </v:rect>
            </w:pict>
          </mc:Fallback>
        </mc:AlternateContent>
      </w:r>
    </w:p>
    <w:p w14:paraId="5D2778E2" w14:textId="77777777" w:rsidR="000028CD" w:rsidRPr="00177F84" w:rsidRDefault="000028CD" w:rsidP="00AD0B10">
      <w:pPr>
        <w:pStyle w:val="NoSpacing1"/>
        <w:ind w:firstLine="0"/>
        <w:jc w:val="center"/>
        <w:rPr>
          <w:rFonts w:asciiTheme="minorHAnsi" w:hAnsiTheme="minorHAnsi" w:cstheme="minorHAnsi"/>
          <w:smallCaps/>
          <w:sz w:val="36"/>
          <w:szCs w:val="36"/>
        </w:rPr>
      </w:pPr>
      <w:r w:rsidRPr="00177F84">
        <w:rPr>
          <w:rFonts w:asciiTheme="minorHAnsi" w:hAnsiTheme="minorHAnsi" w:cstheme="minorHAnsi"/>
          <w:smallCaps/>
          <w:sz w:val="36"/>
          <w:szCs w:val="36"/>
        </w:rPr>
        <w:t xml:space="preserve">Europos Sąjungos Teisingumo Teismo </w:t>
      </w:r>
    </w:p>
    <w:p w14:paraId="4E55526A" w14:textId="77777777" w:rsidR="000028CD" w:rsidRPr="00177F84" w:rsidRDefault="000028CD" w:rsidP="00AD0B10">
      <w:pPr>
        <w:pStyle w:val="NoSpacing1"/>
        <w:ind w:firstLine="0"/>
        <w:jc w:val="center"/>
        <w:rPr>
          <w:rFonts w:asciiTheme="minorHAnsi" w:hAnsiTheme="minorHAnsi" w:cstheme="minorHAnsi"/>
          <w:smallCaps/>
          <w:sz w:val="36"/>
          <w:szCs w:val="36"/>
        </w:rPr>
      </w:pPr>
      <w:r w:rsidRPr="00177F84">
        <w:rPr>
          <w:rFonts w:asciiTheme="minorHAnsi" w:hAnsiTheme="minorHAnsi" w:cstheme="minorHAnsi"/>
          <w:smallCaps/>
          <w:sz w:val="36"/>
          <w:szCs w:val="36"/>
        </w:rPr>
        <w:t>praktikos apžvalga</w:t>
      </w:r>
    </w:p>
    <w:p w14:paraId="3A477DF5" w14:textId="3808787D" w:rsidR="000028CD" w:rsidRPr="00177F84" w:rsidRDefault="0051438A" w:rsidP="0051438A">
      <w:pPr>
        <w:pStyle w:val="NoSpacing1"/>
        <w:tabs>
          <w:tab w:val="left" w:pos="1848"/>
          <w:tab w:val="center" w:pos="4819"/>
        </w:tabs>
        <w:ind w:firstLine="0"/>
        <w:rPr>
          <w:rFonts w:asciiTheme="minorHAnsi" w:hAnsiTheme="minorHAnsi" w:cstheme="minorHAnsi"/>
          <w:b/>
          <w:smallCaps/>
          <w:sz w:val="32"/>
          <w:szCs w:val="32"/>
          <w:u w:val="single"/>
        </w:rPr>
      </w:pPr>
      <w:r w:rsidRPr="00353B65">
        <w:rPr>
          <w:rFonts w:asciiTheme="minorHAnsi" w:hAnsiTheme="minorHAnsi" w:cstheme="minorHAnsi"/>
          <w:b/>
          <w:smallCaps/>
        </w:rPr>
        <w:tab/>
      </w:r>
      <w:r w:rsidRPr="00353B65">
        <w:rPr>
          <w:rFonts w:asciiTheme="minorHAnsi" w:hAnsiTheme="minorHAnsi" w:cstheme="minorHAnsi"/>
          <w:b/>
          <w:smallCaps/>
        </w:rPr>
        <w:tab/>
      </w:r>
      <w:r w:rsidR="00735B72" w:rsidRPr="00177F84">
        <w:rPr>
          <w:rFonts w:asciiTheme="minorHAnsi" w:hAnsiTheme="minorHAnsi" w:cstheme="minorHAnsi"/>
          <w:b/>
          <w:smallCaps/>
          <w:sz w:val="32"/>
          <w:szCs w:val="32"/>
          <w:u w:val="single"/>
        </w:rPr>
        <w:t>20</w:t>
      </w:r>
      <w:r w:rsidR="005A7A21" w:rsidRPr="00177F84">
        <w:rPr>
          <w:rFonts w:asciiTheme="minorHAnsi" w:hAnsiTheme="minorHAnsi" w:cstheme="minorHAnsi"/>
          <w:b/>
          <w:smallCaps/>
          <w:sz w:val="32"/>
          <w:szCs w:val="32"/>
          <w:u w:val="single"/>
        </w:rPr>
        <w:t>2</w:t>
      </w:r>
      <w:r w:rsidR="005F7B3D" w:rsidRPr="00177F84">
        <w:rPr>
          <w:rFonts w:asciiTheme="minorHAnsi" w:hAnsiTheme="minorHAnsi" w:cstheme="minorHAnsi"/>
          <w:b/>
          <w:smallCaps/>
          <w:sz w:val="32"/>
          <w:szCs w:val="32"/>
          <w:u w:val="single"/>
        </w:rPr>
        <w:t>1</w:t>
      </w:r>
      <w:r w:rsidR="000028CD" w:rsidRPr="00177F84">
        <w:rPr>
          <w:rFonts w:asciiTheme="minorHAnsi" w:hAnsiTheme="minorHAnsi" w:cstheme="minorHAnsi"/>
          <w:b/>
          <w:smallCaps/>
          <w:sz w:val="32"/>
          <w:szCs w:val="32"/>
          <w:u w:val="single"/>
        </w:rPr>
        <w:t xml:space="preserve"> m. </w:t>
      </w:r>
      <w:r w:rsidR="005F7B3D" w:rsidRPr="00177F84">
        <w:rPr>
          <w:rFonts w:asciiTheme="minorHAnsi" w:hAnsiTheme="minorHAnsi" w:cstheme="minorHAnsi"/>
          <w:b/>
          <w:smallCaps/>
          <w:sz w:val="32"/>
          <w:szCs w:val="32"/>
          <w:u w:val="single"/>
        </w:rPr>
        <w:t xml:space="preserve">sausio </w:t>
      </w:r>
      <w:r w:rsidR="00ED7C96" w:rsidRPr="00177F84">
        <w:rPr>
          <w:rFonts w:asciiTheme="minorHAnsi" w:hAnsiTheme="minorHAnsi" w:cstheme="minorHAnsi"/>
          <w:b/>
          <w:smallCaps/>
          <w:sz w:val="32"/>
          <w:szCs w:val="32"/>
          <w:u w:val="single"/>
        </w:rPr>
        <w:t>1 d.–20</w:t>
      </w:r>
      <w:r w:rsidR="005A7A21" w:rsidRPr="00177F84">
        <w:rPr>
          <w:rFonts w:asciiTheme="minorHAnsi" w:hAnsiTheme="minorHAnsi" w:cstheme="minorHAnsi"/>
          <w:b/>
          <w:smallCaps/>
          <w:sz w:val="32"/>
          <w:szCs w:val="32"/>
          <w:u w:val="single"/>
        </w:rPr>
        <w:t>2</w:t>
      </w:r>
      <w:r w:rsidR="005F7B3D" w:rsidRPr="00177F84">
        <w:rPr>
          <w:rFonts w:asciiTheme="minorHAnsi" w:hAnsiTheme="minorHAnsi" w:cstheme="minorHAnsi"/>
          <w:b/>
          <w:smallCaps/>
          <w:sz w:val="32"/>
          <w:szCs w:val="32"/>
          <w:u w:val="single"/>
        </w:rPr>
        <w:t>1</w:t>
      </w:r>
      <w:r w:rsidR="000028CD" w:rsidRPr="00177F84">
        <w:rPr>
          <w:rFonts w:asciiTheme="minorHAnsi" w:hAnsiTheme="minorHAnsi" w:cstheme="minorHAnsi"/>
          <w:b/>
          <w:smallCaps/>
          <w:sz w:val="32"/>
          <w:szCs w:val="32"/>
          <w:u w:val="single"/>
        </w:rPr>
        <w:t xml:space="preserve"> m. </w:t>
      </w:r>
      <w:r w:rsidR="005F7B3D" w:rsidRPr="00177F84">
        <w:rPr>
          <w:rFonts w:asciiTheme="minorHAnsi" w:hAnsiTheme="minorHAnsi" w:cstheme="minorHAnsi"/>
          <w:b/>
          <w:smallCaps/>
          <w:sz w:val="32"/>
          <w:szCs w:val="32"/>
          <w:u w:val="single"/>
        </w:rPr>
        <w:t xml:space="preserve">birželio </w:t>
      </w:r>
      <w:r w:rsidR="000028CD" w:rsidRPr="00177F84">
        <w:rPr>
          <w:rFonts w:asciiTheme="minorHAnsi" w:hAnsiTheme="minorHAnsi" w:cstheme="minorHAnsi"/>
          <w:b/>
          <w:smallCaps/>
          <w:sz w:val="32"/>
          <w:szCs w:val="32"/>
          <w:u w:val="single"/>
        </w:rPr>
        <w:t>3</w:t>
      </w:r>
      <w:r w:rsidR="005F7B3D" w:rsidRPr="00177F84">
        <w:rPr>
          <w:rFonts w:asciiTheme="minorHAnsi" w:hAnsiTheme="minorHAnsi" w:cstheme="minorHAnsi"/>
          <w:b/>
          <w:smallCaps/>
          <w:sz w:val="32"/>
          <w:szCs w:val="32"/>
          <w:u w:val="single"/>
        </w:rPr>
        <w:t>0</w:t>
      </w:r>
      <w:r w:rsidR="000028CD" w:rsidRPr="00177F84">
        <w:rPr>
          <w:rFonts w:asciiTheme="minorHAnsi" w:hAnsiTheme="minorHAnsi" w:cstheme="minorHAnsi"/>
          <w:b/>
          <w:smallCaps/>
          <w:sz w:val="32"/>
          <w:szCs w:val="32"/>
          <w:u w:val="single"/>
        </w:rPr>
        <w:t xml:space="preserve"> d.</w:t>
      </w:r>
    </w:p>
    <w:p w14:paraId="63B7E47D" w14:textId="77777777" w:rsidR="000028CD" w:rsidRPr="00177F84" w:rsidRDefault="000028CD" w:rsidP="00AD0B10">
      <w:pPr>
        <w:jc w:val="center"/>
        <w:rPr>
          <w:rFonts w:asciiTheme="minorHAnsi" w:hAnsiTheme="minorHAnsi" w:cstheme="minorHAnsi"/>
          <w:b/>
          <w:smallCaps/>
          <w:sz w:val="32"/>
          <w:szCs w:val="32"/>
        </w:rPr>
      </w:pPr>
    </w:p>
    <w:p w14:paraId="20C56A00" w14:textId="77777777" w:rsidR="000028CD" w:rsidRPr="00177F84" w:rsidRDefault="000028CD" w:rsidP="00AD0B10">
      <w:pPr>
        <w:jc w:val="center"/>
        <w:rPr>
          <w:rFonts w:asciiTheme="minorHAnsi" w:hAnsiTheme="minorHAnsi" w:cstheme="minorHAnsi"/>
          <w:b/>
          <w:smallCaps/>
          <w:sz w:val="32"/>
          <w:szCs w:val="32"/>
        </w:rPr>
      </w:pPr>
    </w:p>
    <w:p w14:paraId="50804CA1" w14:textId="77777777" w:rsidR="000028CD" w:rsidRPr="00353B65" w:rsidRDefault="000028CD" w:rsidP="00AD0B10">
      <w:pPr>
        <w:jc w:val="center"/>
        <w:rPr>
          <w:rFonts w:asciiTheme="minorHAnsi" w:hAnsiTheme="minorHAnsi" w:cstheme="minorHAnsi"/>
          <w:b/>
          <w:smallCaps/>
        </w:rPr>
      </w:pPr>
    </w:p>
    <w:p w14:paraId="65089307" w14:textId="77777777" w:rsidR="000028CD" w:rsidRPr="00353B65" w:rsidRDefault="000028CD" w:rsidP="00AD0B10">
      <w:pPr>
        <w:jc w:val="center"/>
        <w:rPr>
          <w:rFonts w:asciiTheme="minorHAnsi" w:hAnsiTheme="minorHAnsi" w:cstheme="minorHAnsi"/>
          <w:b/>
          <w:smallCaps/>
        </w:rPr>
      </w:pPr>
    </w:p>
    <w:p w14:paraId="443950E3" w14:textId="77777777" w:rsidR="000028CD" w:rsidRPr="00353B65" w:rsidRDefault="000028CD" w:rsidP="00AD0B10">
      <w:pPr>
        <w:jc w:val="center"/>
        <w:rPr>
          <w:rFonts w:asciiTheme="minorHAnsi" w:hAnsiTheme="minorHAnsi" w:cstheme="minorHAnsi"/>
          <w:b/>
          <w:smallCaps/>
        </w:rPr>
      </w:pPr>
    </w:p>
    <w:p w14:paraId="65E0EFA7" w14:textId="77777777" w:rsidR="000028CD" w:rsidRPr="00353B65" w:rsidRDefault="000028CD" w:rsidP="00AD0B10">
      <w:pPr>
        <w:jc w:val="center"/>
        <w:rPr>
          <w:rFonts w:asciiTheme="minorHAnsi" w:hAnsiTheme="minorHAnsi" w:cstheme="minorHAnsi"/>
          <w:b/>
          <w:smallCaps/>
        </w:rPr>
      </w:pPr>
    </w:p>
    <w:p w14:paraId="0156B5AF" w14:textId="77777777" w:rsidR="000028CD" w:rsidRPr="00353B65" w:rsidRDefault="000028CD" w:rsidP="00AD0B10">
      <w:pPr>
        <w:jc w:val="center"/>
        <w:rPr>
          <w:rFonts w:asciiTheme="minorHAnsi" w:hAnsiTheme="minorHAnsi" w:cstheme="minorHAnsi"/>
          <w:b/>
          <w:smallCaps/>
        </w:rPr>
      </w:pPr>
    </w:p>
    <w:p w14:paraId="7684B025" w14:textId="77777777" w:rsidR="000028CD" w:rsidRPr="00353B65" w:rsidRDefault="000028CD" w:rsidP="00AD0B10">
      <w:pPr>
        <w:jc w:val="center"/>
        <w:rPr>
          <w:rFonts w:asciiTheme="minorHAnsi" w:hAnsiTheme="minorHAnsi" w:cstheme="minorHAnsi"/>
          <w:b/>
          <w:smallCaps/>
        </w:rPr>
      </w:pPr>
    </w:p>
    <w:p w14:paraId="5B6676C6" w14:textId="77777777" w:rsidR="000028CD" w:rsidRPr="00353B65" w:rsidRDefault="000028CD" w:rsidP="00AD0B10">
      <w:pPr>
        <w:jc w:val="center"/>
        <w:rPr>
          <w:rFonts w:asciiTheme="minorHAnsi" w:hAnsiTheme="minorHAnsi" w:cstheme="minorHAnsi"/>
          <w:b/>
          <w:smallCaps/>
        </w:rPr>
      </w:pPr>
    </w:p>
    <w:p w14:paraId="04E76E90" w14:textId="77777777" w:rsidR="000028CD" w:rsidRPr="00353B65" w:rsidRDefault="000028CD" w:rsidP="00AD0B10">
      <w:pPr>
        <w:jc w:val="center"/>
        <w:rPr>
          <w:rFonts w:asciiTheme="minorHAnsi" w:hAnsiTheme="minorHAnsi" w:cstheme="minorHAnsi"/>
          <w:b/>
          <w:smallCaps/>
        </w:rPr>
      </w:pPr>
    </w:p>
    <w:p w14:paraId="54C0E3CE" w14:textId="77777777" w:rsidR="000028CD" w:rsidRPr="00353B65" w:rsidRDefault="000028CD" w:rsidP="00AD0B10">
      <w:pPr>
        <w:jc w:val="center"/>
        <w:rPr>
          <w:rFonts w:asciiTheme="minorHAnsi" w:hAnsiTheme="minorHAnsi" w:cstheme="minorHAnsi"/>
          <w:b/>
          <w:smallCaps/>
        </w:rPr>
      </w:pPr>
    </w:p>
    <w:p w14:paraId="06F033A6" w14:textId="77777777" w:rsidR="000028CD" w:rsidRPr="00353B65" w:rsidRDefault="000028CD" w:rsidP="00AD0B10">
      <w:pPr>
        <w:jc w:val="center"/>
        <w:rPr>
          <w:rFonts w:asciiTheme="minorHAnsi" w:hAnsiTheme="minorHAnsi" w:cstheme="minorHAnsi"/>
          <w:b/>
          <w:smallCaps/>
        </w:rPr>
      </w:pPr>
    </w:p>
    <w:p w14:paraId="47FA2AAA" w14:textId="77777777" w:rsidR="000028CD" w:rsidRPr="00353B65" w:rsidRDefault="000028CD" w:rsidP="00AD0B10">
      <w:pPr>
        <w:jc w:val="center"/>
        <w:rPr>
          <w:rFonts w:asciiTheme="minorHAnsi" w:hAnsiTheme="minorHAnsi" w:cstheme="minorHAnsi"/>
          <w:b/>
          <w:smallCaps/>
        </w:rPr>
      </w:pPr>
    </w:p>
    <w:p w14:paraId="6343A0E9" w14:textId="77777777" w:rsidR="000028CD" w:rsidRPr="00177F84" w:rsidRDefault="000028CD" w:rsidP="00AD0B10">
      <w:pPr>
        <w:jc w:val="center"/>
        <w:rPr>
          <w:rFonts w:asciiTheme="minorHAnsi" w:hAnsiTheme="minorHAnsi" w:cstheme="minorHAnsi"/>
          <w:b/>
          <w:smallCaps/>
          <w:sz w:val="24"/>
          <w:szCs w:val="24"/>
        </w:rPr>
      </w:pPr>
      <w:r w:rsidRPr="00177F84">
        <w:rPr>
          <w:rFonts w:asciiTheme="minorHAnsi" w:hAnsiTheme="minorHAnsi" w:cstheme="minorHAnsi"/>
          <w:b/>
          <w:smallCaps/>
          <w:sz w:val="24"/>
          <w:szCs w:val="24"/>
        </w:rPr>
        <w:t xml:space="preserve">Apžvalgą parengė </w:t>
      </w:r>
    </w:p>
    <w:p w14:paraId="3480ECBA" w14:textId="77777777" w:rsidR="000028CD" w:rsidRPr="00177F84" w:rsidRDefault="000028CD" w:rsidP="00AD0B10">
      <w:pPr>
        <w:jc w:val="center"/>
        <w:rPr>
          <w:rFonts w:asciiTheme="minorHAnsi" w:hAnsiTheme="minorHAnsi" w:cstheme="minorHAnsi"/>
          <w:b/>
          <w:smallCaps/>
          <w:sz w:val="24"/>
          <w:szCs w:val="24"/>
        </w:rPr>
      </w:pPr>
      <w:r w:rsidRPr="00177F84">
        <w:rPr>
          <w:rFonts w:asciiTheme="minorHAnsi" w:hAnsiTheme="minorHAnsi" w:cstheme="minorHAnsi"/>
          <w:b/>
          <w:smallCaps/>
          <w:sz w:val="24"/>
          <w:szCs w:val="24"/>
        </w:rPr>
        <w:t xml:space="preserve">Lietuvos vyriausiojo administracinio teismo </w:t>
      </w:r>
    </w:p>
    <w:p w14:paraId="51066C7E" w14:textId="77777777" w:rsidR="000028CD" w:rsidRPr="00353B65" w:rsidRDefault="000028CD" w:rsidP="00AD0B10">
      <w:pPr>
        <w:jc w:val="center"/>
        <w:rPr>
          <w:rFonts w:asciiTheme="minorHAnsi" w:hAnsiTheme="minorHAnsi" w:cstheme="minorHAnsi"/>
          <w:b/>
          <w:color w:val="000000"/>
        </w:rPr>
      </w:pPr>
      <w:r w:rsidRPr="00177F84">
        <w:rPr>
          <w:rFonts w:asciiTheme="minorHAnsi" w:hAnsiTheme="minorHAnsi" w:cstheme="minorHAnsi"/>
          <w:b/>
          <w:smallCaps/>
          <w:sz w:val="24"/>
          <w:szCs w:val="24"/>
        </w:rPr>
        <w:t>Teismų praktikos departamentas</w:t>
      </w:r>
      <w:r w:rsidRPr="00353B65">
        <w:rPr>
          <w:rFonts w:asciiTheme="minorHAnsi" w:hAnsiTheme="minorHAnsi" w:cstheme="minorHAnsi"/>
          <w:b/>
          <w:smallCaps/>
        </w:rPr>
        <w:t xml:space="preserve"> </w:t>
      </w:r>
      <w:r w:rsidRPr="00353B65">
        <w:rPr>
          <w:rFonts w:asciiTheme="minorHAnsi" w:hAnsiTheme="minorHAnsi" w:cstheme="minorHAnsi"/>
          <w:b/>
          <w:color w:val="000000"/>
        </w:rPr>
        <w:br w:type="page"/>
      </w:r>
    </w:p>
    <w:p w14:paraId="7E7CFE34" w14:textId="77777777" w:rsidR="000028CD" w:rsidRPr="00353B65" w:rsidRDefault="000028CD" w:rsidP="00AD0B10">
      <w:pPr>
        <w:jc w:val="center"/>
        <w:rPr>
          <w:rFonts w:asciiTheme="minorHAnsi" w:hAnsiTheme="minorHAnsi" w:cstheme="minorHAnsi"/>
          <w:b/>
          <w:color w:val="323E4F" w:themeColor="text2" w:themeShade="BF"/>
        </w:rPr>
      </w:pPr>
      <w:r w:rsidRPr="00353B65">
        <w:rPr>
          <w:rFonts w:asciiTheme="minorHAnsi" w:hAnsiTheme="minorHAnsi" w:cstheme="minorHAnsi"/>
          <w:b/>
          <w:color w:val="323E4F" w:themeColor="text2" w:themeShade="BF"/>
        </w:rPr>
        <w:lastRenderedPageBreak/>
        <w:t>EUROPOS SĄJUNGOS TEISINGUMO TEISMO PRAKTIKOS APŽVALGA</w:t>
      </w:r>
    </w:p>
    <w:p w14:paraId="1C310854" w14:textId="206001DB" w:rsidR="000028CD" w:rsidRPr="00353B65" w:rsidRDefault="0092562B" w:rsidP="00AD0B10">
      <w:pPr>
        <w:jc w:val="center"/>
        <w:rPr>
          <w:rFonts w:asciiTheme="minorHAnsi" w:hAnsiTheme="minorHAnsi" w:cstheme="minorHAnsi"/>
          <w:color w:val="323E4F" w:themeColor="text2" w:themeShade="BF"/>
        </w:rPr>
      </w:pPr>
      <w:r w:rsidRPr="00353B65">
        <w:rPr>
          <w:rFonts w:asciiTheme="minorHAnsi" w:hAnsiTheme="minorHAnsi" w:cstheme="minorHAnsi"/>
          <w:color w:val="323E4F" w:themeColor="text2" w:themeShade="BF"/>
        </w:rPr>
        <w:t>(202</w:t>
      </w:r>
      <w:r w:rsidR="00E67F06" w:rsidRPr="00353B65">
        <w:rPr>
          <w:rFonts w:asciiTheme="minorHAnsi" w:hAnsiTheme="minorHAnsi" w:cstheme="minorHAnsi"/>
          <w:color w:val="323E4F" w:themeColor="text2" w:themeShade="BF"/>
        </w:rPr>
        <w:t>1</w:t>
      </w:r>
      <w:r w:rsidR="000028CD" w:rsidRPr="00353B65">
        <w:rPr>
          <w:rFonts w:asciiTheme="minorHAnsi" w:hAnsiTheme="minorHAnsi" w:cstheme="minorHAnsi"/>
          <w:color w:val="323E4F" w:themeColor="text2" w:themeShade="BF"/>
        </w:rPr>
        <w:t xml:space="preserve"> m. </w:t>
      </w:r>
      <w:r w:rsidR="00E67F06" w:rsidRPr="00353B65">
        <w:rPr>
          <w:rFonts w:asciiTheme="minorHAnsi" w:hAnsiTheme="minorHAnsi" w:cstheme="minorHAnsi"/>
          <w:color w:val="323E4F" w:themeColor="text2" w:themeShade="BF"/>
        </w:rPr>
        <w:t>sausio</w:t>
      </w:r>
      <w:r w:rsidR="00672231" w:rsidRPr="00353B65">
        <w:rPr>
          <w:rFonts w:asciiTheme="minorHAnsi" w:hAnsiTheme="minorHAnsi" w:cstheme="minorHAnsi"/>
          <w:color w:val="323E4F" w:themeColor="text2" w:themeShade="BF"/>
        </w:rPr>
        <w:t xml:space="preserve"> </w:t>
      </w:r>
      <w:r w:rsidR="00735B72" w:rsidRPr="00353B65">
        <w:rPr>
          <w:rFonts w:asciiTheme="minorHAnsi" w:hAnsiTheme="minorHAnsi" w:cstheme="minorHAnsi"/>
          <w:color w:val="323E4F" w:themeColor="text2" w:themeShade="BF"/>
        </w:rPr>
        <w:t>1 d.–20</w:t>
      </w:r>
      <w:r w:rsidRPr="00353B65">
        <w:rPr>
          <w:rFonts w:asciiTheme="minorHAnsi" w:hAnsiTheme="minorHAnsi" w:cstheme="minorHAnsi"/>
          <w:color w:val="323E4F" w:themeColor="text2" w:themeShade="BF"/>
        </w:rPr>
        <w:t>2</w:t>
      </w:r>
      <w:r w:rsidR="00E67F06" w:rsidRPr="00353B65">
        <w:rPr>
          <w:rFonts w:asciiTheme="minorHAnsi" w:hAnsiTheme="minorHAnsi" w:cstheme="minorHAnsi"/>
          <w:color w:val="323E4F" w:themeColor="text2" w:themeShade="BF"/>
        </w:rPr>
        <w:t>1</w:t>
      </w:r>
      <w:r w:rsidR="000028CD" w:rsidRPr="00353B65">
        <w:rPr>
          <w:rFonts w:asciiTheme="minorHAnsi" w:hAnsiTheme="minorHAnsi" w:cstheme="minorHAnsi"/>
          <w:color w:val="323E4F" w:themeColor="text2" w:themeShade="BF"/>
        </w:rPr>
        <w:t xml:space="preserve"> m. </w:t>
      </w:r>
      <w:r w:rsidR="00E67F06" w:rsidRPr="00353B65">
        <w:rPr>
          <w:rFonts w:asciiTheme="minorHAnsi" w:hAnsiTheme="minorHAnsi" w:cstheme="minorHAnsi"/>
          <w:color w:val="323E4F" w:themeColor="text2" w:themeShade="BF"/>
        </w:rPr>
        <w:t xml:space="preserve">birželio </w:t>
      </w:r>
      <w:r w:rsidR="00882925" w:rsidRPr="00353B65">
        <w:rPr>
          <w:rFonts w:asciiTheme="minorHAnsi" w:hAnsiTheme="minorHAnsi" w:cstheme="minorHAnsi"/>
          <w:color w:val="323E4F" w:themeColor="text2" w:themeShade="BF"/>
        </w:rPr>
        <w:t>3</w:t>
      </w:r>
      <w:r w:rsidR="00E67F06" w:rsidRPr="00353B65">
        <w:rPr>
          <w:rFonts w:asciiTheme="minorHAnsi" w:hAnsiTheme="minorHAnsi" w:cstheme="minorHAnsi"/>
          <w:color w:val="323E4F" w:themeColor="text2" w:themeShade="BF"/>
          <w:lang w:val="en-US"/>
        </w:rPr>
        <w:t>0</w:t>
      </w:r>
      <w:r w:rsidR="000028CD" w:rsidRPr="00353B65">
        <w:rPr>
          <w:rFonts w:asciiTheme="minorHAnsi" w:hAnsiTheme="minorHAnsi" w:cstheme="minorHAnsi"/>
          <w:color w:val="323E4F" w:themeColor="text2" w:themeShade="BF"/>
        </w:rPr>
        <w:t xml:space="preserve"> d.)</w:t>
      </w:r>
    </w:p>
    <w:p w14:paraId="585ED213" w14:textId="216C2073" w:rsidR="000028CD" w:rsidRPr="00353B65" w:rsidRDefault="000028CD" w:rsidP="00126D28">
      <w:pPr>
        <w:pStyle w:val="Turinioantrat"/>
        <w:spacing w:line="240" w:lineRule="auto"/>
        <w:rPr>
          <w:szCs w:val="22"/>
        </w:rPr>
      </w:pPr>
    </w:p>
    <w:sdt>
      <w:sdtPr>
        <w:rPr>
          <w:rFonts w:ascii="Calibri" w:eastAsia="Calibri" w:hAnsi="Calibri" w:cs="Times New Roman"/>
          <w:b w:val="0"/>
          <w:color w:val="auto"/>
          <w:szCs w:val="22"/>
          <w:lang w:eastAsia="en-US"/>
        </w:rPr>
        <w:id w:val="964318455"/>
        <w:docPartObj>
          <w:docPartGallery w:val="Table of Contents"/>
          <w:docPartUnique/>
        </w:docPartObj>
      </w:sdtPr>
      <w:sdtEndPr>
        <w:rPr>
          <w:bCs/>
        </w:rPr>
      </w:sdtEndPr>
      <w:sdtContent>
        <w:p w14:paraId="08B58E2A" w14:textId="5139FF7F" w:rsidR="00126D28" w:rsidRPr="00353B65" w:rsidRDefault="00126D28">
          <w:pPr>
            <w:pStyle w:val="Turinioantrat"/>
            <w:rPr>
              <w:szCs w:val="22"/>
            </w:rPr>
          </w:pPr>
        </w:p>
        <w:p w14:paraId="7523479D" w14:textId="21FEDEFC" w:rsidR="00B83DD2" w:rsidRDefault="006C6208">
          <w:pPr>
            <w:pStyle w:val="Turinys1"/>
            <w:rPr>
              <w:rFonts w:asciiTheme="minorHAnsi" w:eastAsiaTheme="minorEastAsia" w:hAnsiTheme="minorHAnsi" w:cstheme="minorBidi"/>
              <w:b w:val="0"/>
              <w:bCs w:val="0"/>
              <w:iCs w:val="0"/>
              <w:color w:val="auto"/>
              <w:kern w:val="0"/>
              <w:sz w:val="22"/>
              <w:lang w:val="en-US" w:eastAsia="en-US"/>
            </w:rPr>
          </w:pPr>
          <w:r>
            <w:rPr>
              <w:rFonts w:asciiTheme="minorHAnsi" w:hAnsiTheme="minorHAnsi"/>
            </w:rPr>
            <w:fldChar w:fldCharType="begin"/>
          </w:r>
          <w:r>
            <w:rPr>
              <w:rFonts w:asciiTheme="minorHAnsi" w:hAnsiTheme="minorHAnsi"/>
            </w:rPr>
            <w:instrText xml:space="preserve"> TOC \o "1-3" </w:instrText>
          </w:r>
          <w:r>
            <w:rPr>
              <w:rFonts w:asciiTheme="minorHAnsi" w:hAnsiTheme="minorHAnsi"/>
            </w:rPr>
            <w:fldChar w:fldCharType="separate"/>
          </w:r>
          <w:r w:rsidR="00B83DD2">
            <w:t>APLINKA</w:t>
          </w:r>
          <w:r w:rsidR="00B83DD2">
            <w:tab/>
          </w:r>
          <w:r w:rsidR="00B83DD2">
            <w:fldChar w:fldCharType="begin"/>
          </w:r>
          <w:r w:rsidR="00B83DD2">
            <w:instrText xml:space="preserve"> PAGEREF _Toc85700922 \h </w:instrText>
          </w:r>
          <w:r w:rsidR="00B83DD2">
            <w:fldChar w:fldCharType="separate"/>
          </w:r>
          <w:r w:rsidR="00B83DD2">
            <w:t>5</w:t>
          </w:r>
          <w:r w:rsidR="00B83DD2">
            <w:fldChar w:fldCharType="end"/>
          </w:r>
        </w:p>
        <w:p w14:paraId="657F3D85" w14:textId="1313BD90"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2021 m. sausio 14 d. sprendimas byloje </w:t>
          </w:r>
          <w:r w:rsidRPr="00554603">
            <w:rPr>
              <w:i/>
              <w:shd w:val="clear" w:color="auto" w:fill="FFFFFF"/>
              <w:lang w:val="en-US"/>
            </w:rPr>
            <w:t xml:space="preserve">Stichting Varkens in Nood ir kt., </w:t>
          </w:r>
          <w:r w:rsidRPr="00554603">
            <w:t>C</w:t>
          </w:r>
          <w:r w:rsidRPr="00554603">
            <w:rPr>
              <w:rFonts w:ascii="Cambria Math" w:hAnsi="Cambria Math" w:cs="Cambria Math"/>
            </w:rPr>
            <w:t>‑</w:t>
          </w:r>
          <w:r w:rsidRPr="00554603">
            <w:t>826/18</w:t>
          </w:r>
          <w:r>
            <w:tab/>
          </w:r>
          <w:r>
            <w:fldChar w:fldCharType="begin"/>
          </w:r>
          <w:r>
            <w:instrText xml:space="preserve"> PAGEREF _Toc85700923 \h </w:instrText>
          </w:r>
          <w:r>
            <w:fldChar w:fldCharType="separate"/>
          </w:r>
          <w:r>
            <w:t>5</w:t>
          </w:r>
          <w:r>
            <w:fldChar w:fldCharType="end"/>
          </w:r>
        </w:p>
        <w:p w14:paraId="5D67F3B4" w14:textId="669C1F52"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visuomenės, kuri nėra suinteresuotoji visuomenė pagal Orhuso konvenciją, teisės kreiptis į teismus</w:t>
          </w:r>
          <w:r>
            <w:tab/>
          </w:r>
          <w:r>
            <w:fldChar w:fldCharType="begin"/>
          </w:r>
          <w:r>
            <w:instrText xml:space="preserve"> PAGEREF _Toc85700924 \h </w:instrText>
          </w:r>
          <w:r>
            <w:fldChar w:fldCharType="separate"/>
          </w:r>
          <w:r>
            <w:t>5</w:t>
          </w:r>
          <w:r>
            <w:fldChar w:fldCharType="end"/>
          </w:r>
        </w:p>
        <w:p w14:paraId="77FD18CE" w14:textId="0DB02956"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2021 m. sausio 20 d. sprendimas byloje </w:t>
          </w:r>
          <w:r w:rsidRPr="00554603">
            <w:rPr>
              <w:i/>
              <w:shd w:val="clear" w:color="auto" w:fill="FFFFFF"/>
            </w:rPr>
            <w:t xml:space="preserve">Land Baden-Württemberg (Communications internes), </w:t>
          </w:r>
          <w:r w:rsidRPr="00554603">
            <w:t>C</w:t>
          </w:r>
          <w:r w:rsidRPr="00554603">
            <w:rPr>
              <w:rFonts w:ascii="Cambria Math" w:hAnsi="Cambria Math" w:cs="Cambria Math"/>
            </w:rPr>
            <w:t>‑</w:t>
          </w:r>
          <w:r w:rsidRPr="00554603">
            <w:t>619/19</w:t>
          </w:r>
          <w:r>
            <w:tab/>
          </w:r>
          <w:r>
            <w:fldChar w:fldCharType="begin"/>
          </w:r>
          <w:r>
            <w:instrText xml:space="preserve"> PAGEREF _Toc85700925 \h </w:instrText>
          </w:r>
          <w:r>
            <w:fldChar w:fldCharType="separate"/>
          </w:r>
          <w:r>
            <w:t>5</w:t>
          </w:r>
          <w:r>
            <w:fldChar w:fldCharType="end"/>
          </w:r>
        </w:p>
        <w:p w14:paraId="43AD7D90" w14:textId="1E724288"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asmens galimybės susipažinti su valdžios institucijos vidaus pranešimais, susijusiais su informacija apie aplinką</w:t>
          </w:r>
          <w:r>
            <w:tab/>
          </w:r>
          <w:r>
            <w:fldChar w:fldCharType="begin"/>
          </w:r>
          <w:r>
            <w:instrText xml:space="preserve"> PAGEREF _Toc85700926 \h </w:instrText>
          </w:r>
          <w:r>
            <w:fldChar w:fldCharType="separate"/>
          </w:r>
          <w:r>
            <w:t>6</w:t>
          </w:r>
          <w:r>
            <w:fldChar w:fldCharType="end"/>
          </w:r>
        </w:p>
        <w:p w14:paraId="71B6D859" w14:textId="04526439"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DUOMENŲ APSAUGA</w:t>
          </w:r>
          <w:r>
            <w:tab/>
          </w:r>
          <w:r>
            <w:fldChar w:fldCharType="begin"/>
          </w:r>
          <w:r>
            <w:instrText xml:space="preserve"> PAGEREF _Toc85700927 \h </w:instrText>
          </w:r>
          <w:r>
            <w:fldChar w:fldCharType="separate"/>
          </w:r>
          <w:r>
            <w:t>7</w:t>
          </w:r>
          <w:r>
            <w:fldChar w:fldCharType="end"/>
          </w:r>
        </w:p>
        <w:p w14:paraId="0E96C2C6" w14:textId="215FDF30"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Didžiosios kolegijos </w:t>
          </w:r>
          <w:r w:rsidRPr="00554603">
            <w:rPr>
              <w:lang w:val="en-US"/>
            </w:rPr>
            <w:t xml:space="preserve">2021 m. kovo 2 d. sprendimas byloje </w:t>
          </w:r>
          <w:r w:rsidRPr="00554603">
            <w:rPr>
              <w:i/>
              <w:lang w:val="en-US"/>
            </w:rPr>
            <w:t xml:space="preserve">Prokuratuur, </w:t>
          </w:r>
          <w:r w:rsidRPr="00554603">
            <w:rPr>
              <w:lang w:val="en-US"/>
            </w:rPr>
            <w:t>C-746/18</w:t>
          </w:r>
          <w:r>
            <w:tab/>
          </w:r>
          <w:r>
            <w:fldChar w:fldCharType="begin"/>
          </w:r>
          <w:r>
            <w:instrText xml:space="preserve"> PAGEREF _Toc85700928 \h </w:instrText>
          </w:r>
          <w:r>
            <w:fldChar w:fldCharType="separate"/>
          </w:r>
          <w:r>
            <w:t>7</w:t>
          </w:r>
          <w:r>
            <w:fldChar w:fldCharType="end"/>
          </w:r>
        </w:p>
        <w:p w14:paraId="48BAE3E5" w14:textId="768CECA3"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nacionalinės normos, leidžiančios valdžios institucijų prieigą prie visų srauto ar vietos nustatymo duomenų, galinčių suteikti informaciją apie elektroninių ryšių priemonės naudotojo pranešimus arba jo naudojamų galinių įrenginių vietą ir leisti padaryti tikslias išvadas apie jo privatų gyvenimą</w:t>
          </w:r>
          <w:r>
            <w:tab/>
          </w:r>
          <w:r>
            <w:fldChar w:fldCharType="begin"/>
          </w:r>
          <w:r>
            <w:instrText xml:space="preserve"> PAGEREF _Toc85700929 \h </w:instrText>
          </w:r>
          <w:r>
            <w:fldChar w:fldCharType="separate"/>
          </w:r>
          <w:r>
            <w:t>8</w:t>
          </w:r>
          <w:r>
            <w:fldChar w:fldCharType="end"/>
          </w:r>
        </w:p>
        <w:p w14:paraId="44C5AA59" w14:textId="6B4C259B"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reikalavimų subjektui, išduodančiam (suteikiančiam) leidimą valdžios institucijai gauti iš elektroninių ryšių operatorių srauto ir vietos nustatymo duomenis</w:t>
          </w:r>
          <w:r>
            <w:tab/>
          </w:r>
          <w:r>
            <w:fldChar w:fldCharType="begin"/>
          </w:r>
          <w:r>
            <w:instrText xml:space="preserve"> PAGEREF _Toc85700930 \h </w:instrText>
          </w:r>
          <w:r>
            <w:fldChar w:fldCharType="separate"/>
          </w:r>
          <w:r>
            <w:t>8</w:t>
          </w:r>
          <w:r>
            <w:fldChar w:fldCharType="end"/>
          </w:r>
        </w:p>
        <w:p w14:paraId="6E24F038" w14:textId="0324A17E"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APMOKESTINIMAS</w:t>
          </w:r>
          <w:r>
            <w:tab/>
          </w:r>
          <w:r>
            <w:fldChar w:fldCharType="begin"/>
          </w:r>
          <w:r>
            <w:instrText xml:space="preserve"> PAGEREF _Toc85700931 \h </w:instrText>
          </w:r>
          <w:r>
            <w:fldChar w:fldCharType="separate"/>
          </w:r>
          <w:r>
            <w:t>9</w:t>
          </w:r>
          <w:r>
            <w:fldChar w:fldCharType="end"/>
          </w:r>
        </w:p>
        <w:p w14:paraId="1A209705" w14:textId="5A1266A2"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2021 m. sausio 20 d. sprendimas byloje </w:t>
          </w:r>
          <w:r w:rsidRPr="00554603">
            <w:rPr>
              <w:i/>
            </w:rPr>
            <w:t xml:space="preserve">Finanzamt Saarbrücken, </w:t>
          </w:r>
          <w:r w:rsidRPr="00554603">
            <w:t>C</w:t>
          </w:r>
          <w:r w:rsidRPr="00554603">
            <w:rPr>
              <w:b w:val="0"/>
            </w:rPr>
            <w:t>-</w:t>
          </w:r>
          <w:r w:rsidRPr="00554603">
            <w:t>288/19</w:t>
          </w:r>
          <w:r>
            <w:tab/>
          </w:r>
          <w:r>
            <w:fldChar w:fldCharType="begin"/>
          </w:r>
          <w:r>
            <w:instrText xml:space="preserve"> PAGEREF _Toc85700932 \h </w:instrText>
          </w:r>
          <w:r>
            <w:fldChar w:fldCharType="separate"/>
          </w:r>
          <w:r>
            <w:t>9</w:t>
          </w:r>
          <w:r>
            <w:fldChar w:fldCharType="end"/>
          </w:r>
        </w:p>
        <w:p w14:paraId="6F4E6C43" w14:textId="4785D989"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automobilių suteikimo darbuotojams, kurių nuolatinė gyvenamoji vieta yra kitoje valstybėje narėje, naudotis privatiems poreikiams pripažinimo apmokestinama paslauga</w:t>
          </w:r>
          <w:r>
            <w:tab/>
          </w:r>
          <w:r>
            <w:fldChar w:fldCharType="begin"/>
          </w:r>
          <w:r>
            <w:instrText xml:space="preserve"> PAGEREF _Toc85700933 \h </w:instrText>
          </w:r>
          <w:r>
            <w:fldChar w:fldCharType="separate"/>
          </w:r>
          <w:r>
            <w:t>10</w:t>
          </w:r>
          <w:r>
            <w:fldChar w:fldCharType="end"/>
          </w:r>
        </w:p>
        <w:p w14:paraId="2E9C3130" w14:textId="0D824DD3"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2021 m. sausio 20 d. sprendimas byloje </w:t>
          </w:r>
          <w:r w:rsidRPr="00554603">
            <w:rPr>
              <w:i/>
            </w:rPr>
            <w:t xml:space="preserve">Maksu- ja Tolliamet, </w:t>
          </w:r>
          <w:r w:rsidRPr="00554603">
            <w:t>C</w:t>
          </w:r>
          <w:r w:rsidRPr="00554603">
            <w:rPr>
              <w:b w:val="0"/>
            </w:rPr>
            <w:t>-</w:t>
          </w:r>
          <w:r w:rsidRPr="00554603">
            <w:t>420/19</w:t>
          </w:r>
          <w:r>
            <w:tab/>
          </w:r>
          <w:r>
            <w:fldChar w:fldCharType="begin"/>
          </w:r>
          <w:r>
            <w:instrText xml:space="preserve"> PAGEREF _Toc85700934 \h </w:instrText>
          </w:r>
          <w:r>
            <w:fldChar w:fldCharType="separate"/>
          </w:r>
          <w:r>
            <w:t>11</w:t>
          </w:r>
          <w:r>
            <w:fldChar w:fldCharType="end"/>
          </w:r>
        </w:p>
        <w:p w14:paraId="3917D92D" w14:textId="11B58F85"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valstybės narės, į kurią kita valstybė narė kreipiasi su prašymu taikyti prevencines priemones mokesčių mokėtojui, teismo teisės neatsižvelgti į prašančiosios valstybės narės valdžios institucijų atliktą šių priemonių taikymo sąlygų faktinio ir teisinio laikymosi vertinimą</w:t>
          </w:r>
          <w:r>
            <w:tab/>
          </w:r>
          <w:r>
            <w:fldChar w:fldCharType="begin"/>
          </w:r>
          <w:r>
            <w:instrText xml:space="preserve"> PAGEREF _Toc85700935 \h </w:instrText>
          </w:r>
          <w:r>
            <w:fldChar w:fldCharType="separate"/>
          </w:r>
          <w:r>
            <w:t>12</w:t>
          </w:r>
          <w:r>
            <w:fldChar w:fldCharType="end"/>
          </w:r>
        </w:p>
        <w:p w14:paraId="62F36BE9" w14:textId="646F360B"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2021 m. sausio 20 d. sprendimas byloje </w:t>
          </w:r>
          <w:r w:rsidRPr="00554603">
            <w:rPr>
              <w:i/>
            </w:rPr>
            <w:t xml:space="preserve">AJFP Sibiu and DGRFP Brasov, </w:t>
          </w:r>
          <w:r w:rsidRPr="00554603">
            <w:t>C</w:t>
          </w:r>
          <w:r w:rsidRPr="00554603">
            <w:rPr>
              <w:b w:val="0"/>
            </w:rPr>
            <w:t>-</w:t>
          </w:r>
          <w:r w:rsidRPr="00554603">
            <w:t>655/19</w:t>
          </w:r>
          <w:r>
            <w:tab/>
          </w:r>
          <w:r>
            <w:fldChar w:fldCharType="begin"/>
          </w:r>
          <w:r>
            <w:instrText xml:space="preserve"> PAGEREF _Toc85700936 \h </w:instrText>
          </w:r>
          <w:r>
            <w:fldChar w:fldCharType="separate"/>
          </w:r>
          <w:r>
            <w:t>12</w:t>
          </w:r>
          <w:r>
            <w:fldChar w:fldCharType="end"/>
          </w:r>
        </w:p>
        <w:p w14:paraId="2F7FBE4F" w14:textId="0FD37588"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pastato, kurį asmuo įgijo tenkinat jo, kaip kreditoriaus reikalavimą priverstinio vykdymo procedūros metu, pardavimo pripažinimo apmokestinama ekonomine veikla</w:t>
          </w:r>
          <w:r>
            <w:tab/>
          </w:r>
          <w:r>
            <w:fldChar w:fldCharType="begin"/>
          </w:r>
          <w:r>
            <w:instrText xml:space="preserve"> PAGEREF _Toc85700937 \h </w:instrText>
          </w:r>
          <w:r>
            <w:fldChar w:fldCharType="separate"/>
          </w:r>
          <w:r>
            <w:t>13</w:t>
          </w:r>
          <w:r>
            <w:fldChar w:fldCharType="end"/>
          </w:r>
        </w:p>
        <w:p w14:paraId="52B4AF6B" w14:textId="04F5A468"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2021 m. kovo 3 d. sprendimas byloje </w:t>
          </w:r>
          <w:r w:rsidRPr="00554603">
            <w:rPr>
              <w:i/>
            </w:rPr>
            <w:t xml:space="preserve">Hauptzollamt Münster, </w:t>
          </w:r>
          <w:r w:rsidRPr="00554603">
            <w:t>C</w:t>
          </w:r>
          <w:r w:rsidRPr="00554603">
            <w:rPr>
              <w:b w:val="0"/>
            </w:rPr>
            <w:t>-</w:t>
          </w:r>
          <w:r w:rsidRPr="00554603">
            <w:t>7/20</w:t>
          </w:r>
          <w:r>
            <w:tab/>
          </w:r>
          <w:r>
            <w:fldChar w:fldCharType="begin"/>
          </w:r>
          <w:r>
            <w:instrText xml:space="preserve"> PAGEREF _Toc85700938 \h </w:instrText>
          </w:r>
          <w:r>
            <w:fldChar w:fldCharType="separate"/>
          </w:r>
          <w:r>
            <w:t>13</w:t>
          </w:r>
          <w:r>
            <w:fldChar w:fldCharType="end"/>
          </w:r>
        </w:p>
        <w:p w14:paraId="78BA8A16" w14:textId="6ABFE60B"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valstybės narės, kurioje turi būti sumokėtas importo PVM</w:t>
          </w:r>
          <w:r>
            <w:tab/>
          </w:r>
          <w:r>
            <w:fldChar w:fldCharType="begin"/>
          </w:r>
          <w:r>
            <w:instrText xml:space="preserve"> PAGEREF _Toc85700939 \h </w:instrText>
          </w:r>
          <w:r>
            <w:fldChar w:fldCharType="separate"/>
          </w:r>
          <w:r>
            <w:t>14</w:t>
          </w:r>
          <w:r>
            <w:fldChar w:fldCharType="end"/>
          </w:r>
        </w:p>
        <w:p w14:paraId="2750759D" w14:textId="0D890296"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2021 m. birželio 10 d. sprendimas byloje </w:t>
          </w:r>
          <w:r w:rsidRPr="00554603">
            <w:rPr>
              <w:i/>
            </w:rPr>
            <w:t xml:space="preserve">Commissioners for Her Majesty's Revenue and Customs, </w:t>
          </w:r>
          <w:r w:rsidRPr="00554603">
            <w:t>C</w:t>
          </w:r>
          <w:r w:rsidRPr="00554603">
            <w:rPr>
              <w:b w:val="0"/>
            </w:rPr>
            <w:t>-</w:t>
          </w:r>
          <w:r w:rsidRPr="00554603">
            <w:t>279/19</w:t>
          </w:r>
          <w:r>
            <w:tab/>
          </w:r>
          <w:r>
            <w:fldChar w:fldCharType="begin"/>
          </w:r>
          <w:r>
            <w:instrText xml:space="preserve"> PAGEREF _Toc85700940 \h </w:instrText>
          </w:r>
          <w:r>
            <w:fldChar w:fldCharType="separate"/>
          </w:r>
          <w:r>
            <w:t>15</w:t>
          </w:r>
          <w:r>
            <w:fldChar w:fldCharType="end"/>
          </w:r>
        </w:p>
        <w:p w14:paraId="54BCD92E" w14:textId="77C156E6"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akcizais apmokestinamas prekes gabenusio vežėjo, kuris nėra jų savininkas, prievolės sumokėti akcizą, kai jis (vežėjas) klaidingai mano, kad šioms prekėms taikomas akcizo mokėjimo laikino atidėjimo režimas (nežino, kad šis režimas netaikomas)</w:t>
          </w:r>
          <w:r>
            <w:tab/>
          </w:r>
          <w:r>
            <w:fldChar w:fldCharType="begin"/>
          </w:r>
          <w:r>
            <w:instrText xml:space="preserve"> PAGEREF _Toc85700941 \h </w:instrText>
          </w:r>
          <w:r>
            <w:fldChar w:fldCharType="separate"/>
          </w:r>
          <w:r>
            <w:t>15</w:t>
          </w:r>
          <w:r>
            <w:fldChar w:fldCharType="end"/>
          </w:r>
        </w:p>
        <w:p w14:paraId="6BE4AF0C" w14:textId="272E4279"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LAISVAS DARBUOTOJŲ JUDĖJIMAS</w:t>
          </w:r>
          <w:r>
            <w:tab/>
          </w:r>
          <w:r>
            <w:fldChar w:fldCharType="begin"/>
          </w:r>
          <w:r>
            <w:instrText xml:space="preserve"> PAGEREF _Toc85700942 \h </w:instrText>
          </w:r>
          <w:r>
            <w:fldChar w:fldCharType="separate"/>
          </w:r>
          <w:r>
            <w:t>16</w:t>
          </w:r>
          <w:r>
            <w:fldChar w:fldCharType="end"/>
          </w:r>
        </w:p>
        <w:p w14:paraId="3F1C4A6F" w14:textId="4FB4C908"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Didžiosios kolegijos 2021 m. birželio 3 d. sprendimas byloje </w:t>
          </w:r>
          <w:r w:rsidRPr="00554603">
            <w:rPr>
              <w:i/>
            </w:rPr>
            <w:t>Team Power Europe</w:t>
          </w:r>
          <w:r>
            <w:t xml:space="preserve">, </w:t>
          </w:r>
          <w:r w:rsidRPr="00554603">
            <w:t>C</w:t>
          </w:r>
          <w:r w:rsidRPr="00554603">
            <w:rPr>
              <w:rFonts w:ascii="Cambria Math" w:hAnsi="Cambria Math" w:cs="Cambria Math"/>
            </w:rPr>
            <w:t>‑</w:t>
          </w:r>
          <w:r w:rsidRPr="00554603">
            <w:t>784/19</w:t>
          </w:r>
          <w:r>
            <w:tab/>
          </w:r>
          <w:r>
            <w:fldChar w:fldCharType="begin"/>
          </w:r>
          <w:r>
            <w:instrText xml:space="preserve"> PAGEREF _Toc85700943 \h </w:instrText>
          </w:r>
          <w:r>
            <w:fldChar w:fldCharType="separate"/>
          </w:r>
          <w:r>
            <w:t>16</w:t>
          </w:r>
          <w:r>
            <w:fldChar w:fldCharType="end"/>
          </w:r>
        </w:p>
        <w:p w14:paraId="3B604D88" w14:textId="5DEDB0CD"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laikinojo įdarbinimo įmonių statuso kaip „paprastai vykdančių savo veiklą“ valstybėje</w:t>
          </w:r>
          <w:r>
            <w:tab/>
          </w:r>
          <w:r>
            <w:fldChar w:fldCharType="begin"/>
          </w:r>
          <w:r>
            <w:instrText xml:space="preserve"> PAGEREF _Toc85700944 \h </w:instrText>
          </w:r>
          <w:r>
            <w:fldChar w:fldCharType="separate"/>
          </w:r>
          <w:r>
            <w:t>17</w:t>
          </w:r>
          <w:r>
            <w:fldChar w:fldCharType="end"/>
          </w:r>
        </w:p>
        <w:p w14:paraId="788B1FA3" w14:textId="598E3A6B"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SOCIALINĖ POLITIKA</w:t>
          </w:r>
          <w:r>
            <w:tab/>
          </w:r>
          <w:r>
            <w:fldChar w:fldCharType="begin"/>
          </w:r>
          <w:r>
            <w:instrText xml:space="preserve"> PAGEREF _Toc85700945 \h </w:instrText>
          </w:r>
          <w:r>
            <w:fldChar w:fldCharType="separate"/>
          </w:r>
          <w:r>
            <w:t>17</w:t>
          </w:r>
          <w:r>
            <w:fldChar w:fldCharType="end"/>
          </w:r>
        </w:p>
        <w:p w14:paraId="0C49AA20" w14:textId="226B14BF"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2021 m. vasario 25 d. sprendimas byloje </w:t>
          </w:r>
          <w:r w:rsidRPr="00554603">
            <w:rPr>
              <w:i/>
            </w:rPr>
            <w:t xml:space="preserve">Caisse pour l'avenir des enfants (Emploi à la naissance), </w:t>
          </w:r>
          <w:r>
            <w:t>C</w:t>
          </w:r>
          <w:r w:rsidRPr="00554603">
            <w:rPr>
              <w:rFonts w:ascii="Cambria Math" w:hAnsi="Cambria Math" w:cs="Cambria Math"/>
            </w:rPr>
            <w:t>‑</w:t>
          </w:r>
          <w:r>
            <w:t>129/20</w:t>
          </w:r>
          <w:r>
            <w:tab/>
          </w:r>
          <w:r>
            <w:fldChar w:fldCharType="begin"/>
          </w:r>
          <w:r>
            <w:instrText xml:space="preserve"> PAGEREF _Toc85700946 \h </w:instrText>
          </w:r>
          <w:r>
            <w:fldChar w:fldCharType="separate"/>
          </w:r>
          <w:r>
            <w:t>17</w:t>
          </w:r>
          <w:r>
            <w:fldChar w:fldCharType="end"/>
          </w:r>
        </w:p>
        <w:p w14:paraId="0110557C" w14:textId="6DAF2F31"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įstatymų leidėjo teisės nustatyti tam tikras sąlygas tėvystės atostogoms teikti – vaiko priežiūros atostogų suteikimą sieti su išankstiniu darbo stažu ir vieno iš tėvų teisę į vaiko priežiūros atostogas susieti su darbu vaiko gimimo ar įvaikinimo momentu</w:t>
          </w:r>
          <w:r>
            <w:tab/>
          </w:r>
          <w:r>
            <w:fldChar w:fldCharType="begin"/>
          </w:r>
          <w:r>
            <w:instrText xml:space="preserve"> PAGEREF _Toc85700947 \h </w:instrText>
          </w:r>
          <w:r>
            <w:fldChar w:fldCharType="separate"/>
          </w:r>
          <w:r>
            <w:t>18</w:t>
          </w:r>
          <w:r>
            <w:fldChar w:fldCharType="end"/>
          </w:r>
        </w:p>
        <w:p w14:paraId="6AAC30F0" w14:textId="609553AE"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rsidRPr="00B83DD2">
            <w:t xml:space="preserve">2021 m. kovo 9 d. sprendimas byloje </w:t>
          </w:r>
          <w:r w:rsidRPr="00554603">
            <w:rPr>
              <w:i/>
            </w:rPr>
            <w:t xml:space="preserve">Radiotelevizija Slovenija (Période d’astreinte dans un lieu reculé), </w:t>
          </w:r>
          <w:r w:rsidRPr="00554603">
            <w:t>C-344/19</w:t>
          </w:r>
          <w:r>
            <w:tab/>
          </w:r>
          <w:r>
            <w:fldChar w:fldCharType="begin"/>
          </w:r>
          <w:r>
            <w:instrText xml:space="preserve"> PAGEREF _Toc85700948 \h </w:instrText>
          </w:r>
          <w:r>
            <w:fldChar w:fldCharType="separate"/>
          </w:r>
          <w:r>
            <w:t>19</w:t>
          </w:r>
          <w:r>
            <w:fldChar w:fldCharType="end"/>
          </w:r>
        </w:p>
        <w:p w14:paraId="6ADE5E8C" w14:textId="38FC8B89"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specialaus darbo režimo – „pasyviojo budėjimo“ – kvalifikavimo kaip „darbo laikas“</w:t>
          </w:r>
          <w:r>
            <w:tab/>
          </w:r>
          <w:r>
            <w:fldChar w:fldCharType="begin"/>
          </w:r>
          <w:r>
            <w:instrText xml:space="preserve"> PAGEREF _Toc85700949 \h </w:instrText>
          </w:r>
          <w:r>
            <w:fldChar w:fldCharType="separate"/>
          </w:r>
          <w:r>
            <w:t>19</w:t>
          </w:r>
          <w:r>
            <w:fldChar w:fldCharType="end"/>
          </w:r>
        </w:p>
        <w:p w14:paraId="6FDE13B9" w14:textId="74B21B7F"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rsidRPr="00554603">
            <w:rPr>
              <w:shd w:val="clear" w:color="auto" w:fill="FFFFFF"/>
            </w:rPr>
            <w:t xml:space="preserve">2021 m. birželio 3 d. sprendimas byloje </w:t>
          </w:r>
          <w:r w:rsidRPr="00554603">
            <w:rPr>
              <w:i/>
            </w:rPr>
            <w:t xml:space="preserve">Instituto Madrileño de Investigación y Desarrollo Rural, Agrario y Alimentario, </w:t>
          </w:r>
          <w:r w:rsidRPr="00554603">
            <w:rPr>
              <w:shd w:val="clear" w:color="auto" w:fill="FFFFFF"/>
            </w:rPr>
            <w:t>C-726/19</w:t>
          </w:r>
          <w:r>
            <w:tab/>
          </w:r>
          <w:r>
            <w:fldChar w:fldCharType="begin"/>
          </w:r>
          <w:r>
            <w:instrText xml:space="preserve"> PAGEREF _Toc85700950 \h </w:instrText>
          </w:r>
          <w:r>
            <w:fldChar w:fldCharType="separate"/>
          </w:r>
          <w:r>
            <w:t>20</w:t>
          </w:r>
          <w:r>
            <w:fldChar w:fldCharType="end"/>
          </w:r>
        </w:p>
        <w:p w14:paraId="35A78B95" w14:textId="3A60C6C8" w:rsidR="00B83DD2" w:rsidRDefault="00B83DD2">
          <w:pPr>
            <w:pStyle w:val="Turinys3"/>
            <w:rPr>
              <w:rFonts w:asciiTheme="minorHAnsi" w:eastAsiaTheme="minorEastAsia" w:hAnsiTheme="minorHAnsi" w:cstheme="minorBidi"/>
              <w:bCs w:val="0"/>
              <w:i w:val="0"/>
              <w:sz w:val="22"/>
              <w:shd w:val="clear" w:color="auto" w:fill="auto"/>
              <w:lang w:val="en-US" w:eastAsia="en-US"/>
            </w:rPr>
          </w:pPr>
          <w:r>
            <w:lastRenderedPageBreak/>
            <w:t>Dėl piktnaudžiavimo viešajame sektoriuje paeiliui sudarant kelias terminuotas darbo sutartis</w:t>
          </w:r>
          <w:r>
            <w:tab/>
          </w:r>
          <w:r>
            <w:fldChar w:fldCharType="begin"/>
          </w:r>
          <w:r>
            <w:instrText xml:space="preserve"> PAGEREF _Toc85700951 \h </w:instrText>
          </w:r>
          <w:r>
            <w:fldChar w:fldCharType="separate"/>
          </w:r>
          <w:r>
            <w:t>20</w:t>
          </w:r>
          <w:r>
            <w:fldChar w:fldCharType="end"/>
          </w:r>
        </w:p>
        <w:p w14:paraId="77A291D7" w14:textId="10D77A90"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NEDISKRIMINAVIMAS</w:t>
          </w:r>
          <w:r>
            <w:tab/>
          </w:r>
          <w:r>
            <w:fldChar w:fldCharType="begin"/>
          </w:r>
          <w:r>
            <w:instrText xml:space="preserve"> PAGEREF _Toc85700952 \h </w:instrText>
          </w:r>
          <w:r>
            <w:fldChar w:fldCharType="separate"/>
          </w:r>
          <w:r>
            <w:t>21</w:t>
          </w:r>
          <w:r>
            <w:fldChar w:fldCharType="end"/>
          </w:r>
        </w:p>
        <w:p w14:paraId="32C1E695" w14:textId="7C9B7446"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rsidRPr="00554603">
            <w:rPr>
              <w:shd w:val="clear" w:color="auto" w:fill="FFFFFF"/>
            </w:rPr>
            <w:t xml:space="preserve">2021 m. birželio 3 d. </w:t>
          </w:r>
          <w:r>
            <w:t>sprendimas</w:t>
          </w:r>
          <w:r w:rsidRPr="00554603">
            <w:rPr>
              <w:shd w:val="clear" w:color="auto" w:fill="FFFFFF"/>
            </w:rPr>
            <w:t xml:space="preserve"> byloje </w:t>
          </w:r>
          <w:r w:rsidRPr="00554603">
            <w:rPr>
              <w:i/>
            </w:rPr>
            <w:t xml:space="preserve">Ministero della Giustizia (Notaires), </w:t>
          </w:r>
          <w:r w:rsidRPr="00554603">
            <w:rPr>
              <w:shd w:val="clear" w:color="auto" w:fill="FFFFFF"/>
            </w:rPr>
            <w:t>C-914/19</w:t>
          </w:r>
          <w:r>
            <w:tab/>
          </w:r>
          <w:r>
            <w:fldChar w:fldCharType="begin"/>
          </w:r>
          <w:r>
            <w:instrText xml:space="preserve"> PAGEREF _Toc85700953 \h </w:instrText>
          </w:r>
          <w:r>
            <w:fldChar w:fldCharType="separate"/>
          </w:r>
          <w:r>
            <w:t>21</w:t>
          </w:r>
          <w:r>
            <w:fldChar w:fldCharType="end"/>
          </w:r>
        </w:p>
        <w:p w14:paraId="53B7B72C" w14:textId="0E4026F2"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galimybės nustatyti viršutinę amžiaus ribą notarais siekiantiems tapti asmenims</w:t>
          </w:r>
          <w:r>
            <w:tab/>
          </w:r>
          <w:r>
            <w:fldChar w:fldCharType="begin"/>
          </w:r>
          <w:r>
            <w:instrText xml:space="preserve"> PAGEREF _Toc85700954 \h </w:instrText>
          </w:r>
          <w:r>
            <w:fldChar w:fldCharType="separate"/>
          </w:r>
          <w:r>
            <w:t>21</w:t>
          </w:r>
          <w:r>
            <w:fldChar w:fldCharType="end"/>
          </w:r>
        </w:p>
        <w:p w14:paraId="49FAF30B" w14:textId="6B3166DF"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ENERGETIKA</w:t>
          </w:r>
          <w:r>
            <w:tab/>
          </w:r>
          <w:r>
            <w:fldChar w:fldCharType="begin"/>
          </w:r>
          <w:r>
            <w:instrText xml:space="preserve"> PAGEREF _Toc85700955 \h </w:instrText>
          </w:r>
          <w:r>
            <w:fldChar w:fldCharType="separate"/>
          </w:r>
          <w:r>
            <w:t>22</w:t>
          </w:r>
          <w:r>
            <w:fldChar w:fldCharType="end"/>
          </w:r>
        </w:p>
        <w:p w14:paraId="3B4AC197" w14:textId="321C4B4A"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rsidRPr="00554603">
            <w:rPr>
              <w:shd w:val="clear" w:color="auto" w:fill="FFFFFF"/>
            </w:rPr>
            <w:t xml:space="preserve">2021 m. </w:t>
          </w:r>
          <w:r>
            <w:t>balandžio</w:t>
          </w:r>
          <w:r w:rsidRPr="00554603">
            <w:rPr>
              <w:shd w:val="clear" w:color="auto" w:fill="FFFFFF"/>
            </w:rPr>
            <w:t xml:space="preserve"> 15 d. sprendimas sujungtos bylose </w:t>
          </w:r>
          <w:r w:rsidRPr="00554603">
            <w:rPr>
              <w:i/>
              <w:shd w:val="clear" w:color="auto" w:fill="FFFFFF"/>
            </w:rPr>
            <w:t xml:space="preserve">Federazione nazionale delle imprese elettrotecniche ed elettroniche (Anie) ir kt., </w:t>
          </w:r>
          <w:r w:rsidRPr="00554603">
            <w:rPr>
              <w:shd w:val="clear" w:color="auto" w:fill="FFFFFF"/>
            </w:rPr>
            <w:t>C-798/18 ir C-799/18</w:t>
          </w:r>
          <w:r>
            <w:tab/>
          </w:r>
          <w:r>
            <w:fldChar w:fldCharType="begin"/>
          </w:r>
          <w:r>
            <w:instrText xml:space="preserve"> PAGEREF _Toc85700956 \h </w:instrText>
          </w:r>
          <w:r>
            <w:fldChar w:fldCharType="separate"/>
          </w:r>
          <w:r>
            <w:t>22</w:t>
          </w:r>
          <w:r>
            <w:fldChar w:fldCharType="end"/>
          </w:r>
        </w:p>
        <w:p w14:paraId="3DF19A78" w14:textId="43F951FA"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teisėtų lūkesčių apsaugos, nacionalinės teisės nuostatomis sumažinant ar net visiškai panaikinant už saulės fotovoltiniais įrenginiais pagamintą energiją mokamus skatinamuosius tarifus</w:t>
          </w:r>
          <w:r>
            <w:tab/>
          </w:r>
          <w:r>
            <w:fldChar w:fldCharType="begin"/>
          </w:r>
          <w:r>
            <w:instrText xml:space="preserve"> PAGEREF _Toc85700957 \h </w:instrText>
          </w:r>
          <w:r>
            <w:fldChar w:fldCharType="separate"/>
          </w:r>
          <w:r>
            <w:t>22</w:t>
          </w:r>
          <w:r>
            <w:fldChar w:fldCharType="end"/>
          </w:r>
        </w:p>
        <w:p w14:paraId="78BFB48C" w14:textId="745DEA26"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KONKURENCIJA</w:t>
          </w:r>
          <w:r>
            <w:tab/>
          </w:r>
          <w:r>
            <w:fldChar w:fldCharType="begin"/>
          </w:r>
          <w:r>
            <w:instrText xml:space="preserve"> PAGEREF _Toc85700958 \h </w:instrText>
          </w:r>
          <w:r>
            <w:fldChar w:fldCharType="separate"/>
          </w:r>
          <w:r>
            <w:t>23</w:t>
          </w:r>
          <w:r>
            <w:fldChar w:fldCharType="end"/>
          </w:r>
        </w:p>
        <w:p w14:paraId="6D7E5F95" w14:textId="7050F81B"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rsidRPr="00554603">
            <w:rPr>
              <w:rFonts w:eastAsiaTheme="minorHAnsi"/>
              <w:shd w:val="clear" w:color="auto" w:fill="FFFFFF"/>
            </w:rPr>
            <w:t xml:space="preserve">2021 m. sausio 28 d. sprendimas byloje </w:t>
          </w:r>
          <w:r w:rsidRPr="00554603">
            <w:rPr>
              <w:rFonts w:eastAsiaTheme="minorHAnsi"/>
              <w:i/>
              <w:shd w:val="clear" w:color="auto" w:fill="FFFFFF"/>
            </w:rPr>
            <w:t xml:space="preserve">Qualcomm ir Qualcomm Europe prieš Komisiją, </w:t>
          </w:r>
          <w:r w:rsidRPr="00554603">
            <w:rPr>
              <w:rFonts w:eastAsiaTheme="minorHAnsi"/>
              <w:shd w:val="clear" w:color="auto" w:fill="FFFFFF"/>
            </w:rPr>
            <w:t>C-466/19 P</w:t>
          </w:r>
          <w:r>
            <w:tab/>
          </w:r>
          <w:r>
            <w:fldChar w:fldCharType="begin"/>
          </w:r>
          <w:r>
            <w:instrText xml:space="preserve"> PAGEREF _Toc85700959 \h </w:instrText>
          </w:r>
          <w:r>
            <w:fldChar w:fldCharType="separate"/>
          </w:r>
          <w:r>
            <w:t>23</w:t>
          </w:r>
          <w:r>
            <w:fldChar w:fldCharType="end"/>
          </w:r>
        </w:p>
        <w:p w14:paraId="2425D9BB" w14:textId="53A244D8"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Komisijos prašomos informacijos nepateikimo, ginantis teise neduoti parodymų prieš save</w:t>
          </w:r>
          <w:r>
            <w:tab/>
          </w:r>
          <w:r>
            <w:fldChar w:fldCharType="begin"/>
          </w:r>
          <w:r>
            <w:instrText xml:space="preserve"> PAGEREF _Toc85700960 \h </w:instrText>
          </w:r>
          <w:r>
            <w:fldChar w:fldCharType="separate"/>
          </w:r>
          <w:r>
            <w:t>23</w:t>
          </w:r>
          <w:r>
            <w:fldChar w:fldCharType="end"/>
          </w:r>
        </w:p>
        <w:p w14:paraId="5B1EA57C" w14:textId="587531F9"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Didžiosios kolegijos 2021 m. vasario 2 d. sprendimas byloje </w:t>
          </w:r>
          <w:r w:rsidRPr="00554603">
            <w:rPr>
              <w:i/>
            </w:rPr>
            <w:t xml:space="preserve">Consob, </w:t>
          </w:r>
          <w:r w:rsidRPr="00554603">
            <w:t>C-481/19</w:t>
          </w:r>
          <w:r>
            <w:tab/>
          </w:r>
          <w:r>
            <w:fldChar w:fldCharType="begin"/>
          </w:r>
          <w:r>
            <w:instrText xml:space="preserve"> PAGEREF _Toc85700961 \h </w:instrText>
          </w:r>
          <w:r>
            <w:fldChar w:fldCharType="separate"/>
          </w:r>
          <w:r>
            <w:t>24</w:t>
          </w:r>
          <w:r>
            <w:fldChar w:fldCharType="end"/>
          </w:r>
        </w:p>
        <w:p w14:paraId="41BF7BFC" w14:textId="7B020ED2"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fizinio asmens, kurio atžvilgiu atliekamas administracinis tyrimas dėl prekybos vertybiniais popieriais pasinaudojant viešai neatskleista informacija pažeidimo, teisės tylėti, jei iš jo atsakymų gali paaiškėti jo atsakomybė už pažeidimą, už kurį gali būti skirtos baudžiamojo pobūdžio administracinės sankcijos, arba gali kilti jo baudžiamoji atsakomybė</w:t>
          </w:r>
          <w:r>
            <w:tab/>
          </w:r>
          <w:r>
            <w:fldChar w:fldCharType="begin"/>
          </w:r>
          <w:r>
            <w:instrText xml:space="preserve"> PAGEREF _Toc85700962 \h </w:instrText>
          </w:r>
          <w:r>
            <w:fldChar w:fldCharType="separate"/>
          </w:r>
          <w:r>
            <w:t>25</w:t>
          </w:r>
          <w:r>
            <w:fldChar w:fldCharType="end"/>
          </w:r>
        </w:p>
        <w:p w14:paraId="6A0448A3" w14:textId="1295DABB"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TRANSPORTAS</w:t>
          </w:r>
          <w:r>
            <w:tab/>
          </w:r>
          <w:r>
            <w:fldChar w:fldCharType="begin"/>
          </w:r>
          <w:r>
            <w:instrText xml:space="preserve"> PAGEREF _Toc85700963 \h </w:instrText>
          </w:r>
          <w:r>
            <w:fldChar w:fldCharType="separate"/>
          </w:r>
          <w:r>
            <w:t>25</w:t>
          </w:r>
          <w:r>
            <w:fldChar w:fldCharType="end"/>
          </w:r>
        </w:p>
        <w:p w14:paraId="41638A1A" w14:textId="3B6A0598"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2021 m. kovo 24 d. sprendimas sujungtose bylose </w:t>
          </w:r>
          <w:r w:rsidRPr="00554603">
            <w:rPr>
              <w:i/>
            </w:rPr>
            <w:t xml:space="preserve">Prefettura Ufficio territoriale del governo di Firenze, </w:t>
          </w:r>
          <w:r w:rsidRPr="00554603">
            <w:t>C</w:t>
          </w:r>
          <w:r w:rsidRPr="00554603">
            <w:rPr>
              <w:rFonts w:ascii="Cambria Math" w:hAnsi="Cambria Math" w:cs="Cambria Math"/>
            </w:rPr>
            <w:t>‑</w:t>
          </w:r>
          <w:r w:rsidRPr="00554603">
            <w:t>870/19 ir C</w:t>
          </w:r>
          <w:r w:rsidRPr="00554603">
            <w:rPr>
              <w:rFonts w:ascii="Cambria Math" w:hAnsi="Cambria Math" w:cs="Cambria Math"/>
            </w:rPr>
            <w:t>‑</w:t>
          </w:r>
          <w:r w:rsidRPr="00554603">
            <w:t>871/19</w:t>
          </w:r>
          <w:r>
            <w:tab/>
          </w:r>
          <w:r>
            <w:fldChar w:fldCharType="begin"/>
          </w:r>
          <w:r>
            <w:instrText xml:space="preserve"> PAGEREF _Toc85700964 \h </w:instrText>
          </w:r>
          <w:r>
            <w:fldChar w:fldCharType="separate"/>
          </w:r>
          <w:r>
            <w:t>25</w:t>
          </w:r>
          <w:r>
            <w:fldChar w:fldCharType="end"/>
          </w:r>
        </w:p>
        <w:p w14:paraId="22B5EF13" w14:textId="56CC7015"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vienos administracinės sankcijos skyrimo, nepateikus kelių transporto priemonės tachografo registracijos lapų už kelias dienas</w:t>
          </w:r>
          <w:r>
            <w:tab/>
          </w:r>
          <w:r>
            <w:fldChar w:fldCharType="begin"/>
          </w:r>
          <w:r>
            <w:instrText xml:space="preserve"> PAGEREF _Toc85700965 \h </w:instrText>
          </w:r>
          <w:r>
            <w:fldChar w:fldCharType="separate"/>
          </w:r>
          <w:r>
            <w:t>26</w:t>
          </w:r>
          <w:r>
            <w:fldChar w:fldCharType="end"/>
          </w:r>
        </w:p>
        <w:p w14:paraId="38A16765" w14:textId="076458BF"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UŽSIENIEČIAI</w:t>
          </w:r>
          <w:r>
            <w:tab/>
          </w:r>
          <w:r>
            <w:fldChar w:fldCharType="begin"/>
          </w:r>
          <w:r>
            <w:instrText xml:space="preserve"> PAGEREF _Toc85700966 \h </w:instrText>
          </w:r>
          <w:r>
            <w:fldChar w:fldCharType="separate"/>
          </w:r>
          <w:r>
            <w:t>26</w:t>
          </w:r>
          <w:r>
            <w:fldChar w:fldCharType="end"/>
          </w:r>
        </w:p>
        <w:p w14:paraId="23087013" w14:textId="76F132F3"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Didžiosios kolegijos 2021 m. balandžio 15 d. sprendimas byloje </w:t>
          </w:r>
          <w:r w:rsidRPr="00554603">
            <w:rPr>
              <w:i/>
            </w:rPr>
            <w:t xml:space="preserve">Belgijos valstybė (Éléments postérieurs à la décision de transfert), </w:t>
          </w:r>
          <w:r>
            <w:t>C-194/19</w:t>
          </w:r>
          <w:r>
            <w:tab/>
          </w:r>
          <w:r>
            <w:fldChar w:fldCharType="begin"/>
          </w:r>
          <w:r>
            <w:instrText xml:space="preserve"> PAGEREF _Toc85700967 \h </w:instrText>
          </w:r>
          <w:r>
            <w:fldChar w:fldCharType="separate"/>
          </w:r>
          <w:r>
            <w:t>27</w:t>
          </w:r>
          <w:r>
            <w:fldChar w:fldCharType="end"/>
          </w:r>
        </w:p>
        <w:p w14:paraId="15C04F56" w14:textId="31722734"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atsižvelgimo į aplinkybes, susiklosčiusias po sprendimo dėl prieglobsčio prašytojo perdavimo priėmimo</w:t>
          </w:r>
          <w:r>
            <w:tab/>
          </w:r>
          <w:r>
            <w:fldChar w:fldCharType="begin"/>
          </w:r>
          <w:r>
            <w:instrText xml:space="preserve"> PAGEREF _Toc85700968 \h </w:instrText>
          </w:r>
          <w:r>
            <w:fldChar w:fldCharType="separate"/>
          </w:r>
          <w:r>
            <w:t>27</w:t>
          </w:r>
          <w:r>
            <w:fldChar w:fldCharType="end"/>
          </w:r>
        </w:p>
        <w:p w14:paraId="0DB06632" w14:textId="1E07027C"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2021 m. gegužės 20 d. sprendimas byloje </w:t>
          </w:r>
          <w:r w:rsidRPr="00554603">
            <w:rPr>
              <w:i/>
            </w:rPr>
            <w:t xml:space="preserve">L.R., </w:t>
          </w:r>
          <w:r w:rsidRPr="00554603">
            <w:t>C-8/20</w:t>
          </w:r>
          <w:r>
            <w:tab/>
          </w:r>
          <w:r>
            <w:fldChar w:fldCharType="begin"/>
          </w:r>
          <w:r>
            <w:instrText xml:space="preserve"> PAGEREF _Toc85700969 \h </w:instrText>
          </w:r>
          <w:r>
            <w:fldChar w:fldCharType="separate"/>
          </w:r>
          <w:r>
            <w:t>27</w:t>
          </w:r>
          <w:r>
            <w:fldChar w:fldCharType="end"/>
          </w:r>
        </w:p>
        <w:p w14:paraId="434D385F" w14:textId="0BBED8F4"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sąvokos „paskesnis prašymas“ aiškinimo, kai yra ankstesnis trečiosios šalies sprendimas atmesti prašymą suteikti pabėgėlio statusą</w:t>
          </w:r>
          <w:r>
            <w:tab/>
          </w:r>
          <w:r>
            <w:fldChar w:fldCharType="begin"/>
          </w:r>
          <w:r>
            <w:instrText xml:space="preserve"> PAGEREF _Toc85700970 \h </w:instrText>
          </w:r>
          <w:r>
            <w:fldChar w:fldCharType="separate"/>
          </w:r>
          <w:r>
            <w:t>28</w:t>
          </w:r>
          <w:r>
            <w:fldChar w:fldCharType="end"/>
          </w:r>
        </w:p>
        <w:p w14:paraId="047874CC" w14:textId="6BDF6FAF"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2021 m. birželio 10 d. sprendimas byloje </w:t>
          </w:r>
          <w:r w:rsidRPr="00554603">
            <w:rPr>
              <w:i/>
            </w:rPr>
            <w:t xml:space="preserve">Land Oberösterreich (Aide au logement), </w:t>
          </w:r>
          <w:r w:rsidRPr="00554603">
            <w:t>C-94/20</w:t>
          </w:r>
          <w:r>
            <w:tab/>
          </w:r>
          <w:r>
            <w:fldChar w:fldCharType="begin"/>
          </w:r>
          <w:r>
            <w:instrText xml:space="preserve"> PAGEREF _Toc85700971 \h </w:instrText>
          </w:r>
          <w:r>
            <w:fldChar w:fldCharType="separate"/>
          </w:r>
          <w:r>
            <w:t>28</w:t>
          </w:r>
          <w:r>
            <w:fldChar w:fldCharType="end"/>
          </w:r>
        </w:p>
        <w:p w14:paraId="1C25793F" w14:textId="629B8164"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būsto paramos kaip „esminės išmokos“ Direktyvos 2003/109 11 straipsnio 4 dalies prasme</w:t>
          </w:r>
          <w:r>
            <w:tab/>
          </w:r>
          <w:r>
            <w:fldChar w:fldCharType="begin"/>
          </w:r>
          <w:r>
            <w:instrText xml:space="preserve"> PAGEREF _Toc85700972 \h </w:instrText>
          </w:r>
          <w:r>
            <w:fldChar w:fldCharType="separate"/>
          </w:r>
          <w:r>
            <w:t>29</w:t>
          </w:r>
          <w:r>
            <w:fldChar w:fldCharType="end"/>
          </w:r>
        </w:p>
        <w:p w14:paraId="64A93622" w14:textId="0D246973"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pilietybės kriterijumi grindžiamo skirtingo požiūrio kaip netiesioginės diskriminacijos dėl etninės kilmės</w:t>
          </w:r>
          <w:r>
            <w:tab/>
          </w:r>
          <w:r>
            <w:fldChar w:fldCharType="begin"/>
          </w:r>
          <w:r>
            <w:instrText xml:space="preserve"> PAGEREF _Toc85700973 \h </w:instrText>
          </w:r>
          <w:r>
            <w:fldChar w:fldCharType="separate"/>
          </w:r>
          <w:r>
            <w:t>29</w:t>
          </w:r>
          <w:r>
            <w:fldChar w:fldCharType="end"/>
          </w:r>
        </w:p>
        <w:p w14:paraId="4A8EA4CC" w14:textId="23BB2C45"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Chartijos 21 straipsnio taikymo</w:t>
          </w:r>
          <w:r>
            <w:tab/>
          </w:r>
          <w:r>
            <w:fldChar w:fldCharType="begin"/>
          </w:r>
          <w:r>
            <w:instrText xml:space="preserve"> PAGEREF _Toc85700974 \h </w:instrText>
          </w:r>
          <w:r>
            <w:fldChar w:fldCharType="separate"/>
          </w:r>
          <w:r>
            <w:t>30</w:t>
          </w:r>
          <w:r>
            <w:fldChar w:fldCharType="end"/>
          </w:r>
        </w:p>
        <w:p w14:paraId="5D54F5E8" w14:textId="223FA2C4"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Didžiosios kolegijos 2021 m. birželio 21 d. sprendimas byloje </w:t>
          </w:r>
          <w:r w:rsidRPr="00554603">
            <w:rPr>
              <w:i/>
            </w:rPr>
            <w:t xml:space="preserve">Staatssecretaris van Justitie en Veiligheid (Effets d’une décision d’éloignement), </w:t>
          </w:r>
          <w:r w:rsidRPr="00554603">
            <w:t>C-719/19</w:t>
          </w:r>
          <w:r>
            <w:tab/>
          </w:r>
          <w:r>
            <w:fldChar w:fldCharType="begin"/>
          </w:r>
          <w:r>
            <w:instrText xml:space="preserve"> PAGEREF _Toc85700975 \h </w:instrText>
          </w:r>
          <w:r>
            <w:fldChar w:fldCharType="separate"/>
          </w:r>
          <w:r>
            <w:t>30</w:t>
          </w:r>
          <w:r>
            <w:fldChar w:fldCharType="end"/>
          </w:r>
        </w:p>
        <w:p w14:paraId="1F6AB048" w14:textId="5AF3C719"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galimybės Sąjungos piliečiui iš naujo pasinaudoti teise gyventi šalyje po sprendimo išsiųsti jį iš šalies įvykdymo</w:t>
          </w:r>
          <w:r>
            <w:tab/>
          </w:r>
          <w:r>
            <w:fldChar w:fldCharType="begin"/>
          </w:r>
          <w:r>
            <w:instrText xml:space="preserve"> PAGEREF _Toc85700976 \h </w:instrText>
          </w:r>
          <w:r>
            <w:fldChar w:fldCharType="separate"/>
          </w:r>
          <w:r>
            <w:t>31</w:t>
          </w:r>
          <w:r>
            <w:fldChar w:fldCharType="end"/>
          </w:r>
        </w:p>
        <w:p w14:paraId="5AF97C51" w14:textId="3F965FFF"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Didžiosios kolegijos 2021 m. birželio 22 d. sprendimas byloje </w:t>
          </w:r>
          <w:r w:rsidRPr="00554603">
            <w:rPr>
              <w:i/>
            </w:rPr>
            <w:t xml:space="preserve">Ordre des barreaux francophones ir germanophone ir kt. (Mesures préventives en vue d’éloignement), </w:t>
          </w:r>
          <w:r w:rsidRPr="00554603">
            <w:t>C</w:t>
          </w:r>
          <w:r w:rsidRPr="00554603">
            <w:rPr>
              <w:rFonts w:ascii="Cambria Math" w:hAnsi="Cambria Math" w:cs="Cambria Math"/>
            </w:rPr>
            <w:t>‑</w:t>
          </w:r>
          <w:r w:rsidRPr="00554603">
            <w:t>718/19</w:t>
          </w:r>
          <w:r>
            <w:tab/>
          </w:r>
          <w:r>
            <w:fldChar w:fldCharType="begin"/>
          </w:r>
          <w:r>
            <w:instrText xml:space="preserve"> PAGEREF _Toc85700977 \h </w:instrText>
          </w:r>
          <w:r>
            <w:fldChar w:fldCharType="separate"/>
          </w:r>
          <w:r>
            <w:t>31</w:t>
          </w:r>
          <w:r>
            <w:fldChar w:fldCharType="end"/>
          </w:r>
        </w:p>
        <w:p w14:paraId="3023182D" w14:textId="76BE22AD"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Sąjungos piliečio sulaikymo maksimalaus termino siekiant jį išsiųsti</w:t>
          </w:r>
          <w:r>
            <w:tab/>
          </w:r>
          <w:r>
            <w:fldChar w:fldCharType="begin"/>
          </w:r>
          <w:r>
            <w:instrText xml:space="preserve"> PAGEREF _Toc85700978 \h </w:instrText>
          </w:r>
          <w:r>
            <w:fldChar w:fldCharType="separate"/>
          </w:r>
          <w:r>
            <w:t>32</w:t>
          </w:r>
          <w:r>
            <w:fldChar w:fldCharType="end"/>
          </w:r>
        </w:p>
        <w:p w14:paraId="4D634DA3" w14:textId="02224F0F"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TEISĖ GAUTI INFORMACIJĄ</w:t>
          </w:r>
          <w:r>
            <w:tab/>
          </w:r>
          <w:r>
            <w:fldChar w:fldCharType="begin"/>
          </w:r>
          <w:r>
            <w:instrText xml:space="preserve"> PAGEREF _Toc85700979 \h </w:instrText>
          </w:r>
          <w:r>
            <w:fldChar w:fldCharType="separate"/>
          </w:r>
          <w:r>
            <w:t>32</w:t>
          </w:r>
          <w:r>
            <w:fldChar w:fldCharType="end"/>
          </w:r>
        </w:p>
        <w:p w14:paraId="75A65781" w14:textId="2E7EC6E8"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2021 m. sausio 21 d. sprendimas byloje </w:t>
          </w:r>
          <w:r w:rsidRPr="00554603">
            <w:rPr>
              <w:i/>
            </w:rPr>
            <w:t xml:space="preserve">Leino-Sandberg prieš Parlamentą, </w:t>
          </w:r>
          <w:r w:rsidRPr="00554603">
            <w:t>C</w:t>
          </w:r>
          <w:r w:rsidRPr="00554603">
            <w:rPr>
              <w:rFonts w:ascii="Cambria Math" w:hAnsi="Cambria Math" w:cs="Cambria Math"/>
            </w:rPr>
            <w:t>‑</w:t>
          </w:r>
          <w:r w:rsidRPr="00554603">
            <w:t>761/18</w:t>
          </w:r>
          <w:r>
            <w:tab/>
          </w:r>
          <w:r>
            <w:fldChar w:fldCharType="begin"/>
          </w:r>
          <w:r>
            <w:instrText xml:space="preserve"> PAGEREF _Toc85700980 \h </w:instrText>
          </w:r>
          <w:r>
            <w:fldChar w:fldCharType="separate"/>
          </w:r>
          <w:r>
            <w:t>32</w:t>
          </w:r>
          <w:r>
            <w:fldChar w:fldCharType="end"/>
          </w:r>
        </w:p>
        <w:p w14:paraId="0977E248" w14:textId="6DD2492A" w:rsidR="00B83DD2" w:rsidRDefault="00B83DD2">
          <w:pPr>
            <w:pStyle w:val="Turinys3"/>
            <w:rPr>
              <w:rFonts w:asciiTheme="minorHAnsi" w:eastAsiaTheme="minorEastAsia" w:hAnsiTheme="minorHAnsi" w:cstheme="minorBidi"/>
              <w:bCs w:val="0"/>
              <w:i w:val="0"/>
              <w:sz w:val="22"/>
              <w:shd w:val="clear" w:color="auto" w:fill="auto"/>
              <w:lang w:val="en-US" w:eastAsia="en-US"/>
            </w:rPr>
          </w:pPr>
          <w:r>
            <w:t>Dėl galimybės susipažinti su Europos Parlamento sprendimu, kai jis yra atskleistas trečiojo asmens</w:t>
          </w:r>
          <w:r>
            <w:tab/>
          </w:r>
          <w:r>
            <w:fldChar w:fldCharType="begin"/>
          </w:r>
          <w:r>
            <w:instrText xml:space="preserve"> PAGEREF _Toc85700981 \h </w:instrText>
          </w:r>
          <w:r>
            <w:fldChar w:fldCharType="separate"/>
          </w:r>
          <w:r>
            <w:t>33</w:t>
          </w:r>
          <w:r>
            <w:fldChar w:fldCharType="end"/>
          </w:r>
        </w:p>
        <w:p w14:paraId="5730A5B8" w14:textId="1F1D431A"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BENDRA ŽEMĖS ŪKIO POLITIKA</w:t>
          </w:r>
          <w:r>
            <w:tab/>
          </w:r>
          <w:r>
            <w:fldChar w:fldCharType="begin"/>
          </w:r>
          <w:r>
            <w:instrText xml:space="preserve"> PAGEREF _Toc85700982 \h </w:instrText>
          </w:r>
          <w:r>
            <w:fldChar w:fldCharType="separate"/>
          </w:r>
          <w:r>
            <w:t>34</w:t>
          </w:r>
          <w:r>
            <w:fldChar w:fldCharType="end"/>
          </w:r>
        </w:p>
        <w:p w14:paraId="00525B37" w14:textId="5E79A6BF" w:rsidR="00B83DD2" w:rsidRDefault="00B83DD2">
          <w:pPr>
            <w:pStyle w:val="Turinys1"/>
            <w:rPr>
              <w:rFonts w:asciiTheme="minorHAnsi" w:eastAsiaTheme="minorEastAsia" w:hAnsiTheme="minorHAnsi" w:cstheme="minorBidi"/>
              <w:b w:val="0"/>
              <w:bCs w:val="0"/>
              <w:iCs w:val="0"/>
              <w:color w:val="auto"/>
              <w:kern w:val="0"/>
              <w:sz w:val="22"/>
              <w:lang w:val="en-US" w:eastAsia="en-US"/>
            </w:rPr>
          </w:pPr>
          <w:r>
            <w:t xml:space="preserve">2021 m. sausio 27 d. sprendimas byloje </w:t>
          </w:r>
          <w:r w:rsidRPr="00554603">
            <w:rPr>
              <w:i/>
            </w:rPr>
            <w:t xml:space="preserve">De Ruiter, </w:t>
          </w:r>
          <w:r w:rsidRPr="00554603">
            <w:t>C-361/19</w:t>
          </w:r>
          <w:r>
            <w:tab/>
          </w:r>
          <w:r>
            <w:fldChar w:fldCharType="begin"/>
          </w:r>
          <w:r>
            <w:instrText xml:space="preserve"> PAGEREF _Toc85700983 \h </w:instrText>
          </w:r>
          <w:r>
            <w:fldChar w:fldCharType="separate"/>
          </w:r>
          <w:r>
            <w:t>34</w:t>
          </w:r>
          <w:r>
            <w:fldChar w:fldCharType="end"/>
          </w:r>
        </w:p>
        <w:p w14:paraId="7281F883" w14:textId="40FE3414" w:rsidR="00B83DD2" w:rsidRDefault="00B83DD2">
          <w:pPr>
            <w:pStyle w:val="Turinys3"/>
            <w:rPr>
              <w:rFonts w:asciiTheme="minorHAnsi" w:eastAsiaTheme="minorEastAsia" w:hAnsiTheme="minorHAnsi" w:cstheme="minorBidi"/>
              <w:bCs w:val="0"/>
              <w:i w:val="0"/>
              <w:sz w:val="22"/>
              <w:shd w:val="clear" w:color="auto" w:fill="auto"/>
              <w:lang w:val="en-US" w:eastAsia="en-US"/>
            </w:rPr>
          </w:pPr>
          <w:r>
            <w:lastRenderedPageBreak/>
            <w:t>Dėl tiesioginių išmokų sumažinimo dėl kompleksinės paramos taisyklių nesilaikymo, apskaičiuojamo remiantis išmokomis, suteiktomis arba numatytomis suteikti už metus, kuriais nesilaikyta tų taisyklių</w:t>
          </w:r>
          <w:r>
            <w:tab/>
          </w:r>
          <w:r>
            <w:fldChar w:fldCharType="begin"/>
          </w:r>
          <w:r>
            <w:instrText xml:space="preserve"> PAGEREF _Toc85700984 \h </w:instrText>
          </w:r>
          <w:r>
            <w:fldChar w:fldCharType="separate"/>
          </w:r>
          <w:r>
            <w:t>34</w:t>
          </w:r>
          <w:r>
            <w:fldChar w:fldCharType="end"/>
          </w:r>
        </w:p>
        <w:p w14:paraId="320BA47E" w14:textId="692EF4BA" w:rsidR="001B17EF" w:rsidRPr="00B83DD2" w:rsidRDefault="006C6208" w:rsidP="002C41B9">
          <w:pPr>
            <w:rPr>
              <w:rFonts w:asciiTheme="minorHAnsi" w:hAnsiTheme="minorHAnsi" w:cstheme="minorHAnsi"/>
            </w:rPr>
          </w:pPr>
          <w:r>
            <w:rPr>
              <w:rFonts w:asciiTheme="minorHAnsi" w:eastAsia="Times New Roman" w:hAnsiTheme="minorHAnsi" w:cstheme="minorHAnsi"/>
              <w:noProof/>
              <w:color w:val="1F4E79" w:themeColor="accent1" w:themeShade="80"/>
              <w:kern w:val="32"/>
              <w:sz w:val="20"/>
              <w:lang w:eastAsia="lt-LT"/>
            </w:rPr>
            <w:fldChar w:fldCharType="end"/>
          </w:r>
        </w:p>
      </w:sdtContent>
    </w:sdt>
    <w:p w14:paraId="68B0E235" w14:textId="77777777" w:rsidR="001B17EF" w:rsidRPr="00353B65" w:rsidRDefault="001B17EF" w:rsidP="002C41B9">
      <w:pPr>
        <w:rPr>
          <w:rFonts w:asciiTheme="minorHAnsi" w:hAnsiTheme="minorHAnsi" w:cstheme="minorHAnsi"/>
          <w:b/>
          <w:i/>
          <w:color w:val="44546A" w:themeColor="text2"/>
        </w:rPr>
      </w:pPr>
    </w:p>
    <w:p w14:paraId="7363EE62" w14:textId="77777777" w:rsidR="001B17EF" w:rsidRPr="00353B65" w:rsidRDefault="001B17EF" w:rsidP="002C41B9">
      <w:pPr>
        <w:rPr>
          <w:rFonts w:asciiTheme="minorHAnsi" w:hAnsiTheme="minorHAnsi" w:cstheme="minorHAnsi"/>
          <w:b/>
          <w:i/>
          <w:color w:val="44546A" w:themeColor="text2"/>
        </w:rPr>
      </w:pPr>
    </w:p>
    <w:p w14:paraId="7FB3B8B7" w14:textId="573A37FE" w:rsidR="00DC60D8" w:rsidRDefault="002C41B9" w:rsidP="00AD0B10">
      <w:pPr>
        <w:rPr>
          <w:rFonts w:asciiTheme="minorHAnsi" w:hAnsiTheme="minorHAnsi" w:cstheme="minorHAnsi"/>
          <w:i/>
          <w:color w:val="44546A" w:themeColor="text2"/>
        </w:rPr>
      </w:pPr>
      <w:r w:rsidRPr="00353B65">
        <w:rPr>
          <w:rFonts w:asciiTheme="minorHAnsi" w:hAnsiTheme="minorHAnsi" w:cstheme="minorHAnsi"/>
          <w:b/>
          <w:i/>
          <w:color w:val="44546A" w:themeColor="text2"/>
        </w:rPr>
        <w:t>Pastaba.</w:t>
      </w:r>
      <w:r w:rsidRPr="00353B65">
        <w:rPr>
          <w:rFonts w:asciiTheme="minorHAnsi" w:hAnsiTheme="minorHAnsi" w:cstheme="minorHAnsi"/>
          <w:i/>
        </w:rPr>
        <w:t xml:space="preserve"> Šioje apžvalgoje pateikiamos neoficialios Europos Sąjungos Teisingumo Teismo (toliau – ir Teisingumo Teismas, ESTT) procesinių sprendimų </w:t>
      </w:r>
      <w:r w:rsidR="00DC60D8">
        <w:rPr>
          <w:rFonts w:asciiTheme="minorHAnsi" w:hAnsiTheme="minorHAnsi" w:cstheme="minorHAnsi"/>
          <w:i/>
        </w:rPr>
        <w:t>apžvalgos</w:t>
      </w:r>
      <w:r w:rsidRPr="00353B65">
        <w:rPr>
          <w:rFonts w:asciiTheme="minorHAnsi" w:hAnsiTheme="minorHAnsi" w:cstheme="minorHAnsi"/>
          <w:i/>
        </w:rPr>
        <w:t xml:space="preserve">. </w:t>
      </w:r>
      <w:r w:rsidR="00DC60D8">
        <w:rPr>
          <w:rFonts w:asciiTheme="minorHAnsi" w:hAnsiTheme="minorHAnsi" w:cstheme="minorHAnsi"/>
          <w:i/>
        </w:rPr>
        <w:t xml:space="preserve">Apžvalgos rengiamos, be kita ko, atsižvelgiant į Europos Sąjungos Tyrimų ir dokumentacijos direktorato parengtas teismo sprendimų ir nutarčių santraukas. </w:t>
      </w:r>
      <w:r w:rsidRPr="00353B65">
        <w:rPr>
          <w:rFonts w:asciiTheme="minorHAnsi" w:hAnsiTheme="minorHAnsi" w:cstheme="minorHAnsi"/>
          <w:i/>
        </w:rPr>
        <w:t xml:space="preserve">Šis dokumentas yra skirtas tik informuoti ir Lietuvos vyriausiasis administracinis teismas neprisiima atsakomybės už šių procesinių dokumentų vertimus. Oficialius ir išsamius sprendimų tekstus galite rasti Europos Sąjungos Teisingumo Teismo interneto svetainėje </w:t>
      </w:r>
      <w:hyperlink r:id="rId9" w:history="1">
        <w:r w:rsidRPr="00353B65">
          <w:rPr>
            <w:rStyle w:val="Hipersaitas"/>
            <w:rFonts w:asciiTheme="minorHAnsi" w:hAnsiTheme="minorHAnsi" w:cstheme="minorHAnsi"/>
            <w:i/>
            <w:color w:val="44546A" w:themeColor="text2"/>
          </w:rPr>
          <w:t>http://curia.europa.eu/</w:t>
        </w:r>
      </w:hyperlink>
      <w:r w:rsidRPr="00353B65">
        <w:rPr>
          <w:rFonts w:asciiTheme="minorHAnsi" w:hAnsiTheme="minorHAnsi" w:cstheme="minorHAnsi"/>
          <w:i/>
        </w:rPr>
        <w:t xml:space="preserve"> ir Europos Sąjungos teisės interneto svetainėje </w:t>
      </w:r>
      <w:hyperlink r:id="rId10" w:history="1">
        <w:r w:rsidRPr="00353B65">
          <w:rPr>
            <w:rStyle w:val="Hipersaitas"/>
            <w:rFonts w:asciiTheme="minorHAnsi" w:hAnsiTheme="minorHAnsi" w:cstheme="minorHAnsi"/>
            <w:i/>
            <w:color w:val="44546A" w:themeColor="text2"/>
          </w:rPr>
          <w:t>http://eur-lex.europa.eu/</w:t>
        </w:r>
      </w:hyperlink>
      <w:r w:rsidRPr="00353B65">
        <w:rPr>
          <w:rFonts w:asciiTheme="minorHAnsi" w:hAnsiTheme="minorHAnsi" w:cstheme="minorHAnsi"/>
          <w:i/>
          <w:color w:val="44546A" w:themeColor="text2"/>
        </w:rPr>
        <w:t>.</w:t>
      </w:r>
    </w:p>
    <w:p w14:paraId="11B6F578" w14:textId="0F6DAF3D" w:rsidR="00E67F06" w:rsidRPr="00DC60D8" w:rsidRDefault="00DC60D8" w:rsidP="00DC60D8">
      <w:pPr>
        <w:spacing w:after="160" w:line="259" w:lineRule="auto"/>
        <w:jc w:val="left"/>
        <w:rPr>
          <w:rFonts w:asciiTheme="minorHAnsi" w:hAnsiTheme="minorHAnsi" w:cstheme="minorHAnsi"/>
          <w:i/>
          <w:color w:val="44546A" w:themeColor="text2"/>
        </w:rPr>
      </w:pPr>
      <w:r>
        <w:rPr>
          <w:rFonts w:asciiTheme="minorHAnsi" w:hAnsiTheme="minorHAnsi" w:cstheme="minorHAnsi"/>
          <w:i/>
          <w:color w:val="44546A" w:themeColor="text2"/>
        </w:rPr>
        <w:br w:type="page"/>
      </w:r>
      <w:bookmarkStart w:id="0" w:name="_Toc456193188"/>
      <w:bookmarkStart w:id="1" w:name="_Hlk56233897"/>
      <w:bookmarkStart w:id="2" w:name="_Toc11232456"/>
      <w:bookmarkStart w:id="3" w:name="_Toc11232747"/>
      <w:bookmarkStart w:id="4" w:name="_Toc11757983"/>
      <w:bookmarkStart w:id="5" w:name="_Toc497144232"/>
    </w:p>
    <w:p w14:paraId="3640972F" w14:textId="2C551ADA" w:rsidR="00515BCC" w:rsidRPr="00353B65" w:rsidRDefault="00515BCC" w:rsidP="00071EC5">
      <w:pPr>
        <w:pStyle w:val="Antrat1"/>
      </w:pPr>
      <w:bookmarkStart w:id="6" w:name="_Toc85700922"/>
      <w:bookmarkStart w:id="7" w:name="_Toc78824503"/>
      <w:r w:rsidRPr="00071EC5">
        <w:lastRenderedPageBreak/>
        <w:t>APLINKA</w:t>
      </w:r>
      <w:bookmarkEnd w:id="6"/>
    </w:p>
    <w:p w14:paraId="66F4AECA" w14:textId="77777777" w:rsidR="00515BCC" w:rsidRPr="00353B65" w:rsidRDefault="00515BCC" w:rsidP="00515BCC">
      <w:pPr>
        <w:rPr>
          <w:lang w:eastAsia="lt-LT"/>
        </w:rPr>
      </w:pPr>
    </w:p>
    <w:p w14:paraId="7EE78892" w14:textId="4CC02205" w:rsidR="008B6F44" w:rsidRPr="00963B91" w:rsidRDefault="008B6F44" w:rsidP="00DC60D8">
      <w:pPr>
        <w:pStyle w:val="Antrat1"/>
        <w:rPr>
          <w:i/>
          <w:shd w:val="clear" w:color="auto" w:fill="FFFFFF"/>
          <w:lang w:val="en-US"/>
        </w:rPr>
      </w:pPr>
      <w:bookmarkStart w:id="8" w:name="_Toc85700923"/>
      <w:r w:rsidRPr="00353B65">
        <w:t xml:space="preserve">2021 m. sausio 14 d. sprendimas byloje </w:t>
      </w:r>
      <w:r w:rsidRPr="00DC60D8">
        <w:rPr>
          <w:i/>
          <w:shd w:val="clear" w:color="auto" w:fill="FFFFFF"/>
          <w:lang w:val="en-US"/>
        </w:rPr>
        <w:t>Stichting Varkens in Nood ir kt.</w:t>
      </w:r>
      <w:r w:rsidR="00963B91">
        <w:rPr>
          <w:i/>
          <w:shd w:val="clear" w:color="auto" w:fill="FFFFFF"/>
          <w:lang w:val="en-US"/>
        </w:rPr>
        <w:t xml:space="preserve">, </w:t>
      </w:r>
      <w:r w:rsidRPr="00353B65">
        <w:rPr>
          <w:bCs/>
        </w:rPr>
        <w:t>C</w:t>
      </w:r>
      <w:r w:rsidRPr="00353B65">
        <w:rPr>
          <w:rFonts w:ascii="Cambria Math" w:hAnsi="Cambria Math" w:cs="Cambria Math"/>
          <w:bCs/>
        </w:rPr>
        <w:t>‑</w:t>
      </w:r>
      <w:r w:rsidRPr="00353B65">
        <w:rPr>
          <w:bCs/>
        </w:rPr>
        <w:t>826/18</w:t>
      </w:r>
      <w:bookmarkEnd w:id="8"/>
    </w:p>
    <w:p w14:paraId="3A4769C9" w14:textId="77777777" w:rsidR="00515BCC" w:rsidRPr="00353B65" w:rsidRDefault="00515BCC" w:rsidP="00515BCC">
      <w:pPr>
        <w:ind w:firstLine="567"/>
        <w:jc w:val="center"/>
        <w:rPr>
          <w:rFonts w:asciiTheme="minorHAnsi" w:hAnsiTheme="minorHAnsi" w:cstheme="minorHAnsi"/>
          <w:b/>
          <w:bCs/>
          <w:i/>
          <w:shd w:val="clear" w:color="auto" w:fill="FFFFFF"/>
        </w:rPr>
      </w:pPr>
    </w:p>
    <w:p w14:paraId="60B20F05" w14:textId="4FC34FEB" w:rsidR="00515BCC" w:rsidRPr="00353B65" w:rsidRDefault="00515BCC" w:rsidP="00DC60D8">
      <w:pPr>
        <w:tabs>
          <w:tab w:val="left" w:pos="567"/>
        </w:tabs>
        <w:ind w:firstLine="567"/>
        <w:rPr>
          <w:rFonts w:asciiTheme="minorHAnsi" w:hAnsiTheme="minorHAnsi" w:cstheme="minorHAnsi"/>
          <w:iCs/>
        </w:rPr>
      </w:pPr>
      <w:r w:rsidRPr="00353B65">
        <w:rPr>
          <w:rFonts w:asciiTheme="minorHAnsi" w:hAnsiTheme="minorHAnsi" w:cstheme="minorHAnsi"/>
          <w:iCs/>
        </w:rPr>
        <w:t xml:space="preserve">Orhuso konvencija – 9 straipsnio 2 ir 3 dalys – Teisė kreiptis į teismą – Visuomenės, kuri nėra suinteresuotoji visuomenė, </w:t>
      </w:r>
      <w:r w:rsidRPr="00DC60D8">
        <w:rPr>
          <w:rFonts w:asciiTheme="minorHAnsi" w:hAnsiTheme="minorHAnsi" w:cstheme="minorHAnsi"/>
        </w:rPr>
        <w:t>teisės</w:t>
      </w:r>
      <w:r w:rsidRPr="00353B65">
        <w:rPr>
          <w:rFonts w:asciiTheme="minorHAnsi" w:hAnsiTheme="minorHAnsi" w:cstheme="minorHAnsi"/>
          <w:iCs/>
        </w:rPr>
        <w:t xml:space="preserve"> kreiptis į teismą nebuvimas – Teisių gynimo priemonės priimtinumas, susietas su ankstesniu dalyvavimu sprendimo priėmimo procese</w:t>
      </w:r>
    </w:p>
    <w:p w14:paraId="29F72C34" w14:textId="77777777" w:rsidR="00515BCC" w:rsidRPr="00353B65" w:rsidRDefault="00515BCC" w:rsidP="00515BCC">
      <w:pPr>
        <w:tabs>
          <w:tab w:val="left" w:pos="6379"/>
        </w:tabs>
        <w:ind w:firstLine="540"/>
        <w:jc w:val="center"/>
        <w:rPr>
          <w:rFonts w:asciiTheme="minorHAnsi" w:hAnsiTheme="minorHAnsi" w:cstheme="minorHAnsi"/>
          <w:b/>
        </w:rPr>
      </w:pPr>
    </w:p>
    <w:p w14:paraId="0A678443" w14:textId="378B2FCE" w:rsidR="00515BCC" w:rsidRPr="00353B65" w:rsidRDefault="00DC60D8" w:rsidP="00DC60D8">
      <w:pPr>
        <w:tabs>
          <w:tab w:val="left" w:pos="6379"/>
        </w:tabs>
        <w:jc w:val="center"/>
        <w:rPr>
          <w:rFonts w:asciiTheme="minorHAnsi" w:hAnsiTheme="minorHAnsi" w:cstheme="minorHAnsi"/>
          <w:b/>
        </w:rPr>
      </w:pPr>
      <w:r>
        <w:rPr>
          <w:rFonts w:asciiTheme="minorHAnsi" w:hAnsiTheme="minorHAnsi" w:cstheme="minorHAnsi"/>
          <w:b/>
        </w:rPr>
        <w:t>Bylos</w:t>
      </w:r>
      <w:r w:rsidR="00515BCC" w:rsidRPr="00353B65">
        <w:rPr>
          <w:rFonts w:asciiTheme="minorHAnsi" w:hAnsiTheme="minorHAnsi" w:cstheme="minorHAnsi"/>
          <w:b/>
        </w:rPr>
        <w:t xml:space="preserve"> aplinkybės</w:t>
      </w:r>
    </w:p>
    <w:p w14:paraId="4049A8C0" w14:textId="77777777" w:rsidR="00515BCC" w:rsidRPr="00353B65" w:rsidRDefault="00515BCC" w:rsidP="00515BCC">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64DBA03E" w14:textId="77777777" w:rsidR="00515BCC" w:rsidRPr="00353B65" w:rsidRDefault="00515BCC" w:rsidP="00515BCC">
      <w:pPr>
        <w:ind w:firstLine="567"/>
        <w:rPr>
          <w:rFonts w:asciiTheme="minorHAnsi" w:hAnsiTheme="minorHAnsi" w:cstheme="minorHAnsi"/>
          <w:iCs/>
          <w:shd w:val="clear" w:color="auto" w:fill="FFFFFF"/>
        </w:rPr>
      </w:pPr>
      <w:r w:rsidRPr="00353B65">
        <w:rPr>
          <w:rFonts w:asciiTheme="minorHAnsi" w:hAnsiTheme="minorHAnsi" w:cstheme="minorHAnsi"/>
          <w:iCs/>
          <w:shd w:val="clear" w:color="auto" w:fill="FFFFFF"/>
        </w:rPr>
        <w:t>Ginčas kilo dėl Echto Siustereno savivaldybės sprendimo leisti plėsti kiaulidę, netiriant poveikio aplinkai. Administracinę teiseną pradėjo veterinarė LB ir keli juridiniai asmenys. Nyderlandų Limburgo apylinkės teismui kilo abejonių dėl minėtų asmenų teisės kreiptis į teismą dėl leidimo panaikinimo, tad šis kreipėsi į Teisingumo Teismą norėdamas, kad jis išaiškintų 1</w:t>
      </w:r>
      <w:r w:rsidRPr="00353B65">
        <w:rPr>
          <w:rFonts w:asciiTheme="minorHAnsi" w:hAnsiTheme="minorHAnsi" w:cstheme="minorHAnsi"/>
          <w:bCs/>
          <w:iCs/>
          <w:shd w:val="clear" w:color="auto" w:fill="FFFFFF"/>
        </w:rPr>
        <w:t xml:space="preserve">998 m. birželio 25 d. Orhuse (Danija) pasirašytos Konvencijos dėl teisės gauti informaciją, visuomenės dalyvavimo priimant sprendimus ir teisės kreiptis į teismus aplinkosaugos klausimais, Europos bendrijos vardu patvirtintos 2005 m. vasario 17 d. Tarybos sprendimu 2005/370/EB, (toliau – Orhuso konvencija) </w:t>
      </w:r>
      <w:r w:rsidRPr="00353B65">
        <w:rPr>
          <w:rFonts w:asciiTheme="minorHAnsi" w:hAnsiTheme="minorHAnsi" w:cstheme="minorHAnsi"/>
          <w:iCs/>
          <w:shd w:val="clear" w:color="auto" w:fill="FFFFFF"/>
        </w:rPr>
        <w:t xml:space="preserve">9 straipsnio 2 dalyje minimą visuomenės sąvoką. </w:t>
      </w:r>
    </w:p>
    <w:p w14:paraId="589F6A33" w14:textId="297C2445" w:rsidR="00515BCC" w:rsidRPr="00353B65" w:rsidRDefault="00515BCC" w:rsidP="00515BCC">
      <w:pPr>
        <w:ind w:firstLine="567"/>
        <w:rPr>
          <w:rFonts w:asciiTheme="minorHAnsi" w:hAnsiTheme="minorHAnsi" w:cstheme="minorHAnsi"/>
          <w:iCs/>
          <w:shd w:val="clear" w:color="auto" w:fill="FFFFFF"/>
        </w:rPr>
      </w:pPr>
      <w:r w:rsidRPr="00353B65">
        <w:rPr>
          <w:rFonts w:asciiTheme="minorHAnsi" w:hAnsiTheme="minorHAnsi" w:cstheme="minorHAnsi"/>
          <w:iCs/>
          <w:shd w:val="clear" w:color="auto" w:fill="FFFFFF"/>
        </w:rPr>
        <w:t>Limburgo apylinkės teismas į ESTT kreipėsi tokiu prejudiciniu klausimu</w:t>
      </w:r>
      <w:r w:rsidR="006C6208">
        <w:rPr>
          <w:rFonts w:asciiTheme="minorHAnsi" w:hAnsiTheme="minorHAnsi" w:cstheme="minorHAnsi"/>
          <w:iCs/>
          <w:shd w:val="clear" w:color="auto" w:fill="FFFFFF"/>
        </w:rPr>
        <w:t>, teiraudamasis</w:t>
      </w:r>
      <w:r w:rsidRPr="00353B65">
        <w:rPr>
          <w:rFonts w:asciiTheme="minorHAnsi" w:hAnsiTheme="minorHAnsi" w:cstheme="minorHAnsi"/>
          <w:iCs/>
          <w:shd w:val="clear" w:color="auto" w:fill="FFFFFF"/>
        </w:rPr>
        <w:t xml:space="preserve"> </w:t>
      </w:r>
      <w:r w:rsidR="006C6208">
        <w:rPr>
          <w:rFonts w:asciiTheme="minorHAnsi" w:hAnsiTheme="minorHAnsi" w:cstheme="minorHAnsi"/>
          <w:iCs/>
          <w:shd w:val="clear" w:color="auto" w:fill="FFFFFF"/>
        </w:rPr>
        <w:t>a</w:t>
      </w:r>
      <w:r w:rsidRPr="00353B65">
        <w:rPr>
          <w:rFonts w:asciiTheme="minorHAnsi" w:hAnsiTheme="minorHAnsi" w:cstheme="minorHAnsi"/>
          <w:iCs/>
          <w:shd w:val="clear" w:color="auto" w:fill="FFFFFF"/>
        </w:rPr>
        <w:t>r Sąjungos teisė, visų pirma Orhuso konvencijos</w:t>
      </w:r>
      <w:r w:rsidR="006C6208">
        <w:rPr>
          <w:rStyle w:val="Puslapioinaosnuoroda"/>
          <w:rFonts w:asciiTheme="minorHAnsi" w:hAnsiTheme="minorHAnsi" w:cstheme="minorHAnsi"/>
          <w:iCs/>
          <w:shd w:val="clear" w:color="auto" w:fill="FFFFFF"/>
        </w:rPr>
        <w:footnoteReference w:id="1"/>
      </w:r>
      <w:r w:rsidRPr="00353B65">
        <w:rPr>
          <w:rFonts w:asciiTheme="minorHAnsi" w:hAnsiTheme="minorHAnsi" w:cstheme="minorHAnsi"/>
          <w:iCs/>
          <w:shd w:val="clear" w:color="auto" w:fill="FFFFFF"/>
        </w:rPr>
        <w:t xml:space="preserve"> 9 straipsnio 2 dalis, aiškintinos taip, kad visuomenė (angl. </w:t>
      </w:r>
      <w:r w:rsidRPr="00353B65">
        <w:rPr>
          <w:rFonts w:asciiTheme="minorHAnsi" w:hAnsiTheme="minorHAnsi" w:cstheme="minorHAnsi"/>
          <w:i/>
          <w:iCs/>
          <w:shd w:val="clear" w:color="auto" w:fill="FFFFFF"/>
        </w:rPr>
        <w:t>public</w:t>
      </w:r>
      <w:r w:rsidRPr="00353B65">
        <w:rPr>
          <w:rFonts w:asciiTheme="minorHAnsi" w:hAnsiTheme="minorHAnsi" w:cstheme="minorHAnsi"/>
          <w:iCs/>
          <w:shd w:val="clear" w:color="auto" w:fill="FFFFFF"/>
        </w:rPr>
        <w:t xml:space="preserve">) (bet kuris asmuo) neturi jokios teisės kreiptis į teismus, jeigu ji nėra suinteresuotoji visuomenė (angl. </w:t>
      </w:r>
      <w:r w:rsidRPr="00353B65">
        <w:rPr>
          <w:rFonts w:asciiTheme="minorHAnsi" w:hAnsiTheme="minorHAnsi" w:cstheme="minorHAnsi"/>
          <w:i/>
          <w:iCs/>
          <w:shd w:val="clear" w:color="auto" w:fill="FFFFFF"/>
        </w:rPr>
        <w:t>public concerned</w:t>
      </w:r>
      <w:r w:rsidRPr="00353B65">
        <w:rPr>
          <w:rFonts w:asciiTheme="minorHAnsi" w:hAnsiTheme="minorHAnsi" w:cstheme="minorHAnsi"/>
          <w:iCs/>
          <w:shd w:val="clear" w:color="auto" w:fill="FFFFFF"/>
        </w:rPr>
        <w:t>) (suinteresuotasis asmuo)</w:t>
      </w:r>
      <w:r w:rsidR="006C6208">
        <w:rPr>
          <w:rFonts w:asciiTheme="minorHAnsi" w:hAnsiTheme="minorHAnsi" w:cstheme="minorHAnsi"/>
          <w:iCs/>
          <w:shd w:val="clear" w:color="auto" w:fill="FFFFFF"/>
        </w:rPr>
        <w:t>,</w:t>
      </w:r>
      <w:r w:rsidRPr="00353B65">
        <w:rPr>
          <w:rFonts w:asciiTheme="minorHAnsi" w:hAnsiTheme="minorHAnsi" w:cstheme="minorHAnsi"/>
          <w:iCs/>
          <w:shd w:val="clear" w:color="auto" w:fill="FFFFFF"/>
        </w:rPr>
        <w:t xml:space="preserve"> bei keliais kitais, tiesiogiai susijusiais su Teisingumo Teismo atsakymais į šį klausimą.</w:t>
      </w:r>
    </w:p>
    <w:p w14:paraId="76BA1425" w14:textId="77777777" w:rsidR="00515BCC" w:rsidRPr="00353B65" w:rsidRDefault="00515BCC" w:rsidP="00515BCC">
      <w:pPr>
        <w:ind w:firstLine="567"/>
        <w:rPr>
          <w:color w:val="000000"/>
          <w:shd w:val="clear" w:color="auto" w:fill="FFFFFF"/>
        </w:rPr>
      </w:pPr>
    </w:p>
    <w:p w14:paraId="5BA3C5AD" w14:textId="77777777" w:rsidR="00515BCC" w:rsidRPr="00353B65" w:rsidRDefault="00515BCC" w:rsidP="00DC60D8">
      <w:pPr>
        <w:jc w:val="center"/>
        <w:rPr>
          <w:b/>
          <w:bCs/>
          <w:color w:val="000000"/>
          <w:shd w:val="clear" w:color="auto" w:fill="FFFFFF"/>
        </w:rPr>
      </w:pPr>
      <w:r w:rsidRPr="00353B65">
        <w:rPr>
          <w:b/>
          <w:bCs/>
          <w:color w:val="000000"/>
          <w:shd w:val="clear" w:color="auto" w:fill="FFFFFF"/>
        </w:rPr>
        <w:t>Teisingumo Teismo vertinimas</w:t>
      </w:r>
    </w:p>
    <w:p w14:paraId="34E36FF7" w14:textId="77777777" w:rsidR="00515BCC" w:rsidRPr="00353B65" w:rsidRDefault="00515BCC" w:rsidP="00515BCC">
      <w:pPr>
        <w:ind w:firstLine="567"/>
        <w:jc w:val="center"/>
        <w:rPr>
          <w:b/>
          <w:bCs/>
          <w:color w:val="000000"/>
          <w:shd w:val="clear" w:color="auto" w:fill="FFFFFF"/>
        </w:rPr>
      </w:pPr>
    </w:p>
    <w:p w14:paraId="144B22B6" w14:textId="46AF95B2" w:rsidR="00515BCC" w:rsidRPr="00963B91" w:rsidRDefault="00515BCC" w:rsidP="00963B91">
      <w:pPr>
        <w:pStyle w:val="Antrat3"/>
        <w:tabs>
          <w:tab w:val="clear" w:pos="567"/>
          <w:tab w:val="left" w:pos="426"/>
        </w:tabs>
        <w:ind w:firstLine="567"/>
      </w:pPr>
      <w:bookmarkStart w:id="9" w:name="_Toc85700924"/>
      <w:r w:rsidRPr="00963B91">
        <w:t>Dėl visuomenės, kuri nėra suinteresuotoji visuomenė pagal Orhuso konvenciją, teisės kreiptis į teismus</w:t>
      </w:r>
      <w:bookmarkEnd w:id="9"/>
    </w:p>
    <w:p w14:paraId="217F5AA3" w14:textId="77777777" w:rsidR="00515BCC" w:rsidRPr="00353B65" w:rsidRDefault="00515BCC" w:rsidP="00515BCC">
      <w:pPr>
        <w:ind w:firstLine="567"/>
        <w:rPr>
          <w:color w:val="000000"/>
          <w:shd w:val="clear" w:color="auto" w:fill="FFFFFF"/>
        </w:rPr>
      </w:pPr>
    </w:p>
    <w:p w14:paraId="2DC4F3BC" w14:textId="77777777" w:rsidR="00515BCC" w:rsidRPr="00353B65" w:rsidRDefault="00515BCC" w:rsidP="00515BCC">
      <w:pPr>
        <w:ind w:firstLine="567"/>
        <w:rPr>
          <w:color w:val="000000"/>
          <w:shd w:val="clear" w:color="auto" w:fill="FFFFFF"/>
        </w:rPr>
      </w:pPr>
      <w:r w:rsidRPr="00353B65">
        <w:rPr>
          <w:color w:val="000000"/>
          <w:shd w:val="clear" w:color="auto" w:fill="FFFFFF"/>
        </w:rPr>
        <w:t xml:space="preserve">Teisingumo Teismas nutarė, kad </w:t>
      </w:r>
      <w:r w:rsidRPr="00353B65">
        <w:rPr>
          <w:color w:val="000000"/>
          <w:u w:val="single"/>
          <w:shd w:val="clear" w:color="auto" w:fill="FFFFFF"/>
        </w:rPr>
        <w:t>Orhuso konvencijos 9 straipsnio 2 dalis turi būti aiškinama kaip nedraudžianti, kad šios konvencijos 2 straipsnio 4 dalyje minimos „visuomenės“ nariai patys neturėtų teisės kreiptis į teismą, siekdami užginčyti sprendimą, patenkantį į jos 6 straipsnio taikymo sritį.</w:t>
      </w:r>
      <w:r w:rsidRPr="00353B65">
        <w:rPr>
          <w:color w:val="000000"/>
          <w:shd w:val="clear" w:color="auto" w:fill="FFFFFF"/>
        </w:rPr>
        <w:t xml:space="preserve"> Vis dėlto pagal minėtos konvencijos 9 straipsnio 3 dalį draudžiama šiems asmenims nesuteikti teisės kreiptis į teismą siekiant remtis platesnėmis dalyvavimo sprendimų priėmimo procese teisėmis, jiems suteiktomis vien pagal valstybės narės nacionalinę aplinkos teisę.</w:t>
      </w:r>
    </w:p>
    <w:p w14:paraId="77C748F0" w14:textId="77777777" w:rsidR="00515BCC" w:rsidRPr="00353B65" w:rsidRDefault="00515BCC" w:rsidP="00515BCC">
      <w:pPr>
        <w:ind w:firstLine="567"/>
        <w:rPr>
          <w:rFonts w:asciiTheme="minorHAnsi" w:eastAsia="Times New Roman" w:hAnsiTheme="minorHAnsi" w:cstheme="minorHAnsi"/>
          <w:bCs/>
          <w:lang w:eastAsia="lt-LT"/>
        </w:rPr>
      </w:pPr>
      <w:r w:rsidRPr="00353B65">
        <w:rPr>
          <w:rFonts w:asciiTheme="minorHAnsi" w:eastAsia="Times New Roman" w:hAnsiTheme="minorHAnsi" w:cstheme="minorHAnsi"/>
          <w:bCs/>
          <w:lang w:eastAsia="lt-LT"/>
        </w:rPr>
        <w:t xml:space="preserve">Teisingumo Teismas pažymėjo, jog </w:t>
      </w:r>
      <w:r w:rsidRPr="00353B65">
        <w:rPr>
          <w:rFonts w:asciiTheme="minorHAnsi" w:eastAsia="Times New Roman" w:hAnsiTheme="minorHAnsi" w:cstheme="minorHAnsi"/>
          <w:bCs/>
          <w:u w:val="single"/>
          <w:lang w:eastAsia="lt-LT"/>
        </w:rPr>
        <w:t>Orhuso konvencijos 9 straipsnio 2 dalis turi būti aiškinama kaip draudžianti joje minimų teisminių skundų, kuriuos teikia nevyriausybinės organizacijos, priskiriamos prie šios konvencijos 2 straipsnio 5 dalyje nurodytos „suinteresuotosios visuomenės“, priimtinumą susieti su jų dalyvavimu ginčijamo sprendimo parengiamojoje procedūroje, net jeigu ši sąlyga netaikoma, kai joms negalima pagrįstai reikšti priekaišto dėl nedalyvavimo.</w:t>
      </w:r>
      <w:r w:rsidRPr="00353B65">
        <w:rPr>
          <w:rFonts w:asciiTheme="minorHAnsi" w:eastAsia="Times New Roman" w:hAnsiTheme="minorHAnsi" w:cstheme="minorHAnsi"/>
          <w:bCs/>
          <w:lang w:eastAsia="lt-LT"/>
        </w:rPr>
        <w:t xml:space="preserve"> Vis dėlto šios konvencijos 9 straipsnio 3 dalis nedraudžia joje minimo teisminio skundo priimtinumą susieti su pareiškėjo dalyvavimu ginčijamo sprendimo parengiamojoje procedūroje, nebent, atsižvelgiant į bylos aplinkybes, jam negalima pagrįstai reikšti priekaišto nedalyvavus šioje procedūroje.</w:t>
      </w:r>
    </w:p>
    <w:p w14:paraId="334610A1" w14:textId="56926831" w:rsidR="00515BCC" w:rsidRPr="00353B65" w:rsidRDefault="003347AD" w:rsidP="00515BCC">
      <w:pPr>
        <w:ind w:firstLine="567"/>
        <w:rPr>
          <w:rFonts w:asciiTheme="minorHAnsi" w:hAnsiTheme="minorHAnsi" w:cstheme="minorHAnsi"/>
          <w:color w:val="0000FF"/>
          <w:u w:val="single"/>
        </w:rPr>
      </w:pPr>
      <w:hyperlink r:id="rId11" w:history="1">
        <w:r w:rsidR="00DC60D8">
          <w:rPr>
            <w:rStyle w:val="Hipersaitas"/>
            <w:rFonts w:asciiTheme="minorHAnsi" w:hAnsiTheme="minorHAnsi" w:cstheme="minorHAnsi"/>
          </w:rPr>
          <w:t>Prieiga internete</w:t>
        </w:r>
      </w:hyperlink>
      <w:r w:rsidR="00515BCC" w:rsidRPr="00353B65">
        <w:rPr>
          <w:rStyle w:val="Hipersaitas"/>
          <w:rFonts w:asciiTheme="minorHAnsi" w:hAnsiTheme="minorHAnsi" w:cstheme="minorHAnsi"/>
        </w:rPr>
        <w:t>.</w:t>
      </w:r>
    </w:p>
    <w:p w14:paraId="10293AD9" w14:textId="77777777" w:rsidR="00963B91" w:rsidRPr="00963B91" w:rsidRDefault="00963B91" w:rsidP="00963B91"/>
    <w:p w14:paraId="608249AB" w14:textId="6C3999BB" w:rsidR="00515BCC" w:rsidRPr="00963B91" w:rsidRDefault="008B6F44" w:rsidP="00963B91">
      <w:pPr>
        <w:pStyle w:val="Antrat1"/>
      </w:pPr>
      <w:bookmarkStart w:id="10" w:name="_Toc85700925"/>
      <w:r w:rsidRPr="00353B65">
        <w:t xml:space="preserve">2021 m. sausio 20 d. sprendimas byloje </w:t>
      </w:r>
      <w:r w:rsidRPr="00DC60D8">
        <w:rPr>
          <w:i/>
          <w:iCs/>
          <w:shd w:val="clear" w:color="auto" w:fill="FFFFFF"/>
        </w:rPr>
        <w:t>Land Baden-Württemberg (Communications internes</w:t>
      </w:r>
      <w:r w:rsidR="00353B65" w:rsidRPr="00DC60D8">
        <w:rPr>
          <w:i/>
          <w:iCs/>
          <w:shd w:val="clear" w:color="auto" w:fill="FFFFFF"/>
        </w:rPr>
        <w:t>)</w:t>
      </w:r>
      <w:r w:rsidR="00963B91">
        <w:rPr>
          <w:i/>
          <w:iCs/>
          <w:shd w:val="clear" w:color="auto" w:fill="FFFFFF"/>
        </w:rPr>
        <w:t xml:space="preserve">, </w:t>
      </w:r>
      <w:r w:rsidR="00515BCC" w:rsidRPr="00071EC5">
        <w:rPr>
          <w:bCs/>
        </w:rPr>
        <w:t>C</w:t>
      </w:r>
      <w:r w:rsidR="00515BCC" w:rsidRPr="00071EC5">
        <w:rPr>
          <w:rFonts w:ascii="Cambria Math" w:hAnsi="Cambria Math" w:cs="Cambria Math"/>
          <w:bCs/>
        </w:rPr>
        <w:t>‑</w:t>
      </w:r>
      <w:r w:rsidR="00515BCC" w:rsidRPr="00071EC5">
        <w:rPr>
          <w:bCs/>
        </w:rPr>
        <w:t>619/19</w:t>
      </w:r>
      <w:bookmarkEnd w:id="10"/>
    </w:p>
    <w:p w14:paraId="1E88100E" w14:textId="77777777" w:rsidR="00515BCC" w:rsidRPr="00353B65" w:rsidRDefault="00515BCC" w:rsidP="00515BCC">
      <w:pPr>
        <w:ind w:firstLine="567"/>
        <w:jc w:val="center"/>
        <w:rPr>
          <w:rFonts w:asciiTheme="minorHAnsi" w:hAnsiTheme="minorHAnsi" w:cstheme="minorHAnsi"/>
          <w:b/>
          <w:bCs/>
          <w:i/>
          <w:shd w:val="clear" w:color="auto" w:fill="FFFFFF"/>
        </w:rPr>
      </w:pPr>
    </w:p>
    <w:p w14:paraId="64DCA6C0" w14:textId="3EB88031" w:rsidR="00515BCC" w:rsidRPr="00353B65" w:rsidRDefault="00515BCC" w:rsidP="00DC60D8">
      <w:pPr>
        <w:tabs>
          <w:tab w:val="left" w:pos="567"/>
        </w:tabs>
        <w:ind w:firstLine="567"/>
        <w:rPr>
          <w:rFonts w:asciiTheme="minorHAnsi" w:hAnsiTheme="minorHAnsi" w:cstheme="minorHAnsi"/>
        </w:rPr>
      </w:pPr>
      <w:r w:rsidRPr="00353B65">
        <w:rPr>
          <w:rFonts w:asciiTheme="minorHAnsi" w:hAnsiTheme="minorHAnsi" w:cstheme="minorHAnsi"/>
        </w:rPr>
        <w:t xml:space="preserve">Aplinka – Orhuso konvencija – Direktyva 2003/4/EB – Visuomenės galimybė susipažinti su informacija apie aplinką – Infrastruktūros kūrimo projektas „Stuttgart 21“ – Prašymo pateikti informaciją </w:t>
      </w:r>
      <w:r w:rsidRPr="00353B65">
        <w:rPr>
          <w:rFonts w:asciiTheme="minorHAnsi" w:hAnsiTheme="minorHAnsi" w:cstheme="minorHAnsi"/>
        </w:rPr>
        <w:lastRenderedPageBreak/>
        <w:t>apie aplinką atmetimas – 4 straipsnio 1 dalis – Atsisakymo pagrindai – Sąvoka „vidaus pranešimai“ – Taikymo sritis – Vidaus pranešimų apsaugos apribojimas laiko atžvilgiu</w:t>
      </w:r>
    </w:p>
    <w:p w14:paraId="7FF60BE5" w14:textId="77777777" w:rsidR="00515BCC" w:rsidRPr="00353B65" w:rsidRDefault="00515BCC" w:rsidP="00515BCC">
      <w:pPr>
        <w:pStyle w:val="c01pointnumerotealtn"/>
        <w:shd w:val="clear" w:color="auto" w:fill="FFFFFF"/>
        <w:spacing w:before="0" w:beforeAutospacing="0" w:after="0"/>
        <w:jc w:val="center"/>
        <w:rPr>
          <w:rFonts w:asciiTheme="minorHAnsi" w:hAnsiTheme="minorHAnsi" w:cstheme="minorHAnsi"/>
          <w:b/>
          <w:sz w:val="22"/>
          <w:szCs w:val="22"/>
        </w:rPr>
      </w:pPr>
    </w:p>
    <w:p w14:paraId="1D33472E" w14:textId="7FB7513C" w:rsidR="00515BCC" w:rsidRPr="00DC60D8" w:rsidRDefault="00DC60D8" w:rsidP="00DC60D8">
      <w:pPr>
        <w:jc w:val="center"/>
        <w:rPr>
          <w:b/>
          <w:bCs/>
          <w:color w:val="000000"/>
          <w:shd w:val="clear" w:color="auto" w:fill="FFFFFF"/>
        </w:rPr>
      </w:pPr>
      <w:r w:rsidRPr="00DC60D8">
        <w:rPr>
          <w:b/>
          <w:bCs/>
          <w:color w:val="000000"/>
          <w:shd w:val="clear" w:color="auto" w:fill="FFFFFF"/>
        </w:rPr>
        <w:t>Bylo</w:t>
      </w:r>
      <w:r w:rsidR="00515BCC" w:rsidRPr="00DC60D8">
        <w:rPr>
          <w:b/>
          <w:bCs/>
          <w:color w:val="000000"/>
          <w:shd w:val="clear" w:color="auto" w:fill="FFFFFF"/>
        </w:rPr>
        <w:t>s aplinkybės</w:t>
      </w:r>
    </w:p>
    <w:p w14:paraId="533E7445" w14:textId="77777777" w:rsidR="00515BCC" w:rsidRPr="00353B65" w:rsidRDefault="00515BCC" w:rsidP="00515BCC">
      <w:pPr>
        <w:rPr>
          <w:rFonts w:asciiTheme="minorHAnsi" w:hAnsiTheme="minorHAnsi" w:cstheme="minorHAnsi"/>
          <w:iCs/>
          <w:shd w:val="clear" w:color="auto" w:fill="FFFFFF"/>
        </w:rPr>
      </w:pPr>
    </w:p>
    <w:p w14:paraId="1DFF5CA0" w14:textId="77777777" w:rsidR="00515BCC" w:rsidRPr="00353B65" w:rsidRDefault="00515BCC" w:rsidP="00515BCC">
      <w:pPr>
        <w:ind w:firstLine="567"/>
        <w:rPr>
          <w:rFonts w:asciiTheme="minorHAnsi" w:hAnsiTheme="minorHAnsi" w:cstheme="minorHAnsi"/>
          <w:iCs/>
          <w:shd w:val="clear" w:color="auto" w:fill="FFFFFF"/>
        </w:rPr>
      </w:pPr>
      <w:r w:rsidRPr="00353B65">
        <w:rPr>
          <w:rFonts w:asciiTheme="minorHAnsi" w:hAnsiTheme="minorHAnsi" w:cstheme="minorHAnsi"/>
          <w:iCs/>
          <w:shd w:val="clear" w:color="auto" w:fill="FFFFFF"/>
        </w:rPr>
        <w:t>2010 m. spalio mėn. Štutgarto rūmų parke Badene-Viurtemberge, įgyvendinant transporto infrastruktūros ir miesto plėtros projektą „Stuttgart 21“, buvo iškirsta medžių. Šiomis aplinkybėmis fizinis asmuo D. R. pateikė Badeno-Viurtembergo federalinės žemės ministerijai prašymą leisti susipažinti su tam tikrais dokumentais. Šie dokumentai susiję, pirma, su minėtai ministerijai perduota informacija apie tyrimo komiteto darbus dėl prieš medžių kirtimą įvykdytos policijos operacijos ir, antra, su šios ministerijos pastabomis dėl taikinimo procedūros įgyvendinimo vykdant projektą „Stuttgart 21“. Šis prašymas buvo atmestas.</w:t>
      </w:r>
    </w:p>
    <w:p w14:paraId="68912CA1" w14:textId="776B6575" w:rsidR="00515BCC" w:rsidRPr="00353B65" w:rsidRDefault="00515BCC" w:rsidP="00515BCC">
      <w:pPr>
        <w:ind w:firstLine="567"/>
        <w:rPr>
          <w:rFonts w:asciiTheme="minorHAnsi" w:hAnsiTheme="minorHAnsi" w:cstheme="minorHAnsi"/>
          <w:iCs/>
          <w:shd w:val="clear" w:color="auto" w:fill="FFFFFF"/>
        </w:rPr>
      </w:pPr>
      <w:r w:rsidRPr="00353B65">
        <w:rPr>
          <w:rFonts w:asciiTheme="minorHAnsi" w:hAnsiTheme="minorHAnsi" w:cstheme="minorHAnsi"/>
          <w:iCs/>
          <w:shd w:val="clear" w:color="auto" w:fill="FFFFFF"/>
        </w:rPr>
        <w:t>Badeno-Viurtembergo aukštesnysis administracinis teismas patenkino D. R. pateiktą skundą dėl sprendimo neleisti susipažinti su dokumentais. Šis teismas nusprendė, kad prašomiems dokumentams netaikomas nė vienas atsisakymo pagrindas. Minėtas teismas, be kita ko, konstatavo, kad užbaigus atitinkamos institucijos sprendimų priėmimo procesą atsisakymo pagrindu, taikomu valdžios institucijų „vidaus pranešimams“, nebegalima remtis. Šis atsisakymo leisti susipažinti su informacija pagrindas numatytas teisės aktuose, kuriais į Vokietijos teisę perkelta</w:t>
      </w:r>
      <w:r w:rsidR="006C6208" w:rsidRPr="006C6208">
        <w:rPr>
          <w:rFonts w:asciiTheme="minorHAnsi" w:hAnsiTheme="minorHAnsi" w:cstheme="minorHAnsi"/>
          <w:iCs/>
          <w:shd w:val="clear" w:color="auto" w:fill="FFFFFF"/>
        </w:rPr>
        <w:t xml:space="preserve"> Direktyva 2003/4/EB</w:t>
      </w:r>
      <w:r w:rsidR="006C6208">
        <w:rPr>
          <w:rStyle w:val="Puslapioinaosnuoroda"/>
          <w:rFonts w:asciiTheme="minorHAnsi" w:hAnsiTheme="minorHAnsi" w:cstheme="minorHAnsi"/>
          <w:iCs/>
          <w:shd w:val="clear" w:color="auto" w:fill="FFFFFF"/>
        </w:rPr>
        <w:footnoteReference w:id="2"/>
      </w:r>
      <w:r w:rsidRPr="00353B65">
        <w:rPr>
          <w:rFonts w:asciiTheme="minorHAnsi" w:hAnsiTheme="minorHAnsi" w:cstheme="minorHAnsi"/>
          <w:iCs/>
          <w:shd w:val="clear" w:color="auto" w:fill="FFFFFF"/>
        </w:rPr>
        <w:t>, pagal kurią valstybėms narėms paliekama galimybė nustatyti tokią visuomenės teisės susipažinti su informacija išimtį.</w:t>
      </w:r>
    </w:p>
    <w:p w14:paraId="246A19C5" w14:textId="77777777" w:rsidR="00515BCC" w:rsidRPr="00353B65" w:rsidRDefault="00515BCC" w:rsidP="00515BCC">
      <w:pPr>
        <w:ind w:firstLine="567"/>
        <w:rPr>
          <w:rFonts w:asciiTheme="minorHAnsi" w:hAnsiTheme="minorHAnsi" w:cstheme="minorHAnsi"/>
          <w:iCs/>
          <w:shd w:val="clear" w:color="auto" w:fill="FFFFFF"/>
        </w:rPr>
      </w:pPr>
      <w:r w:rsidRPr="00353B65">
        <w:rPr>
          <w:rFonts w:asciiTheme="minorHAnsi" w:hAnsiTheme="minorHAnsi" w:cstheme="minorHAnsi"/>
          <w:iCs/>
          <w:shd w:val="clear" w:color="auto" w:fill="FFFFFF"/>
        </w:rPr>
        <w:t>Gavęs kasacinį skundą, Federalinis administracinis teismas rėmėsi prielaida, kad D. R. prašė leisti susipažinti su informacija apie aplinką, kaip ji suprantama pagal Direktyvą. Turėdamas abejonių dėl šioje direktyvoje numatyto atsisakymo leisti susipažinti su „vidaus pranešimais“ pagrindo apimties ir apribojimo laiko atžvilgiu, jis nusprendė šiuo klausimu kreiptis į Teisingumo Teismą.</w:t>
      </w:r>
    </w:p>
    <w:p w14:paraId="156B6905" w14:textId="77777777" w:rsidR="00515BCC" w:rsidRPr="00353B65" w:rsidRDefault="00515BCC" w:rsidP="00515BCC">
      <w:pPr>
        <w:ind w:firstLine="567"/>
        <w:rPr>
          <w:color w:val="000000"/>
          <w:shd w:val="clear" w:color="auto" w:fill="FFFFFF"/>
        </w:rPr>
      </w:pPr>
    </w:p>
    <w:p w14:paraId="54A89F1C" w14:textId="77777777" w:rsidR="00515BCC" w:rsidRPr="00353B65" w:rsidRDefault="00515BCC" w:rsidP="00DC60D8">
      <w:pPr>
        <w:jc w:val="center"/>
        <w:rPr>
          <w:b/>
          <w:bCs/>
          <w:color w:val="000000"/>
          <w:shd w:val="clear" w:color="auto" w:fill="FFFFFF"/>
        </w:rPr>
      </w:pPr>
      <w:r w:rsidRPr="00353B65">
        <w:rPr>
          <w:b/>
          <w:bCs/>
          <w:color w:val="000000"/>
          <w:shd w:val="clear" w:color="auto" w:fill="FFFFFF"/>
        </w:rPr>
        <w:t>Teisingumo Teismo vertinimas</w:t>
      </w:r>
    </w:p>
    <w:p w14:paraId="63ECDB26" w14:textId="77777777" w:rsidR="00515BCC" w:rsidRPr="00353B65" w:rsidRDefault="00515BCC" w:rsidP="00515BCC">
      <w:pPr>
        <w:ind w:firstLine="567"/>
        <w:rPr>
          <w:color w:val="000000"/>
          <w:shd w:val="clear" w:color="auto" w:fill="FFFFFF"/>
        </w:rPr>
      </w:pPr>
    </w:p>
    <w:p w14:paraId="10A022D0" w14:textId="77777777" w:rsidR="00515BCC" w:rsidRPr="00963B91" w:rsidRDefault="00515BCC" w:rsidP="00963B91">
      <w:pPr>
        <w:pStyle w:val="Antrat3"/>
        <w:ind w:firstLine="567"/>
      </w:pPr>
      <w:bookmarkStart w:id="11" w:name="_Toc85700926"/>
      <w:r w:rsidRPr="00963B91">
        <w:t>Dėl asmens galimybės susipažinti su valdžios institucijos vidaus pranešimais, susijusiais su informacija apie aplinką</w:t>
      </w:r>
      <w:bookmarkEnd w:id="11"/>
    </w:p>
    <w:p w14:paraId="6A644F84" w14:textId="77777777" w:rsidR="00515BCC" w:rsidRPr="00353B65" w:rsidRDefault="00515BCC" w:rsidP="00515BCC">
      <w:pPr>
        <w:ind w:firstLine="567"/>
        <w:rPr>
          <w:color w:val="000000"/>
          <w:shd w:val="clear" w:color="auto" w:fill="FFFFFF"/>
        </w:rPr>
      </w:pPr>
    </w:p>
    <w:p w14:paraId="254B5F82" w14:textId="77777777" w:rsidR="00515BCC" w:rsidRPr="00353B65" w:rsidRDefault="00515BCC" w:rsidP="00515BCC">
      <w:pPr>
        <w:ind w:firstLine="567"/>
        <w:rPr>
          <w:rFonts w:asciiTheme="minorHAnsi" w:eastAsia="Times New Roman" w:hAnsiTheme="minorHAnsi" w:cstheme="minorHAnsi"/>
          <w:bCs/>
          <w:lang w:eastAsia="lt-LT"/>
        </w:rPr>
      </w:pPr>
      <w:r w:rsidRPr="00353B65">
        <w:rPr>
          <w:rFonts w:asciiTheme="minorHAnsi" w:eastAsia="Times New Roman" w:hAnsiTheme="minorHAnsi" w:cstheme="minorHAnsi"/>
          <w:bCs/>
          <w:lang w:eastAsia="lt-LT"/>
        </w:rPr>
        <w:t>Visų pirma Teisingumo Teismas orientavosi į valdžios institucijų „vidaus pranešimų“ sąvokos, kaip ji suprantama pagal Direktyvą, aiškinimą.</w:t>
      </w:r>
    </w:p>
    <w:p w14:paraId="579BCEEC" w14:textId="77777777" w:rsidR="00515BCC" w:rsidRPr="00353B65" w:rsidRDefault="00515BCC" w:rsidP="00515BCC">
      <w:pPr>
        <w:ind w:firstLine="567"/>
        <w:rPr>
          <w:rFonts w:asciiTheme="minorHAnsi" w:eastAsia="Times New Roman" w:hAnsiTheme="minorHAnsi" w:cstheme="minorHAnsi"/>
          <w:bCs/>
          <w:lang w:eastAsia="lt-LT"/>
        </w:rPr>
      </w:pPr>
      <w:r w:rsidRPr="00353B65">
        <w:rPr>
          <w:rFonts w:asciiTheme="minorHAnsi" w:eastAsia="Times New Roman" w:hAnsiTheme="minorHAnsi" w:cstheme="minorHAnsi"/>
          <w:bCs/>
          <w:lang w:eastAsia="lt-LT"/>
        </w:rPr>
        <w:t xml:space="preserve">Pirma, </w:t>
      </w:r>
      <w:r w:rsidRPr="00353B65">
        <w:rPr>
          <w:rFonts w:asciiTheme="minorHAnsi" w:eastAsia="Times New Roman" w:hAnsiTheme="minorHAnsi" w:cstheme="minorHAnsi"/>
          <w:bCs/>
          <w:u w:val="single"/>
          <w:lang w:eastAsia="lt-LT"/>
        </w:rPr>
        <w:t>dėl sąvokos „pranešimas“ Teisingumo Teismas pažymėjo, kad ji apima adresatui skirtą autoriaus informaciją, o šis adresatas gali būti tiek abstraktus subjektas, tiek konkretus tokiam subjektui priklausantis asmuo.</w:t>
      </w:r>
      <w:r w:rsidRPr="00353B65">
        <w:rPr>
          <w:rFonts w:asciiTheme="minorHAnsi" w:eastAsia="Times New Roman" w:hAnsiTheme="minorHAnsi" w:cstheme="minorHAnsi"/>
          <w:bCs/>
          <w:lang w:eastAsia="lt-LT"/>
        </w:rPr>
        <w:t xml:space="preserve"> Šį aiškinimą patvirtina išimties, kurią valstybės narės gali numatyti vidaus pranešimams, kontekstas. </w:t>
      </w:r>
    </w:p>
    <w:p w14:paraId="0F5E25A1" w14:textId="77777777" w:rsidR="00515BCC" w:rsidRPr="00353B65" w:rsidRDefault="00515BCC" w:rsidP="00515BCC">
      <w:pPr>
        <w:ind w:firstLine="567"/>
        <w:rPr>
          <w:rFonts w:asciiTheme="minorHAnsi" w:eastAsia="Times New Roman" w:hAnsiTheme="minorHAnsi" w:cstheme="minorHAnsi"/>
          <w:bCs/>
          <w:lang w:eastAsia="lt-LT"/>
        </w:rPr>
      </w:pPr>
      <w:r w:rsidRPr="00353B65">
        <w:rPr>
          <w:rFonts w:asciiTheme="minorHAnsi" w:eastAsia="Times New Roman" w:hAnsiTheme="minorHAnsi" w:cstheme="minorHAnsi"/>
          <w:bCs/>
          <w:lang w:eastAsia="lt-LT"/>
        </w:rPr>
        <w:t xml:space="preserve">Antra, dėl sąvokos „vidaus“ Teisingumo Teismas pažymėjo, kad </w:t>
      </w:r>
      <w:r w:rsidRPr="00353B65">
        <w:rPr>
          <w:rFonts w:asciiTheme="minorHAnsi" w:eastAsia="Times New Roman" w:hAnsiTheme="minorHAnsi" w:cstheme="minorHAnsi"/>
          <w:bCs/>
          <w:u w:val="single"/>
          <w:lang w:eastAsia="lt-LT"/>
        </w:rPr>
        <w:t>tik informacija apie aplinką, kuri neišeina už valdžios institucijos ribų, laikoma „vidaus“ informacija.</w:t>
      </w:r>
      <w:r w:rsidRPr="00353B65">
        <w:rPr>
          <w:rFonts w:asciiTheme="minorHAnsi" w:eastAsia="Times New Roman" w:hAnsiTheme="minorHAnsi" w:cstheme="minorHAnsi"/>
          <w:bCs/>
          <w:lang w:eastAsia="lt-LT"/>
        </w:rPr>
        <w:t xml:space="preserve"> Tas pats pasakytina ir apie iš išorės šaltinio gautą informaciją, jeigu ši nebuvo atskleista trečiajam asmeniui arba nebuvo padaryta prieinama visuomenei po to, kai buvo gauta. Šį aiškinimą patvirtina tikslas, kurio siekiama valstybėms narėms numatyta išimtimi – užtikrinti valdžios institucijoms saugią erdvę, būtiną siekiant tęsti svarstymus ir vidaus diskusijas.</w:t>
      </w:r>
    </w:p>
    <w:p w14:paraId="29D64890" w14:textId="77777777" w:rsidR="00515BCC" w:rsidRPr="00353B65" w:rsidRDefault="00515BCC" w:rsidP="00515BCC">
      <w:pPr>
        <w:ind w:firstLine="567"/>
        <w:rPr>
          <w:rFonts w:asciiTheme="minorHAnsi" w:eastAsia="Times New Roman" w:hAnsiTheme="minorHAnsi" w:cstheme="minorHAnsi"/>
          <w:bCs/>
          <w:lang w:eastAsia="lt-LT"/>
        </w:rPr>
      </w:pPr>
      <w:r w:rsidRPr="00353B65">
        <w:rPr>
          <w:rFonts w:asciiTheme="minorHAnsi" w:eastAsia="Times New Roman" w:hAnsiTheme="minorHAnsi" w:cstheme="minorHAnsi"/>
          <w:bCs/>
          <w:lang w:eastAsia="lt-LT"/>
        </w:rPr>
        <w:t xml:space="preserve">Šiuo klausimu Teisingumo Teismas nurodė, kad </w:t>
      </w:r>
      <w:r w:rsidRPr="00353B65">
        <w:rPr>
          <w:rFonts w:asciiTheme="minorHAnsi" w:eastAsia="Times New Roman" w:hAnsiTheme="minorHAnsi" w:cstheme="minorHAnsi"/>
          <w:bCs/>
          <w:u w:val="single"/>
          <w:lang w:eastAsia="lt-LT"/>
        </w:rPr>
        <w:t>tai, jog informacija apie aplinką tam tikru momentu gali išeiti už valdžios institucijos ribų, negali lemti to, kad pranešime esanti informacija iš karto praranda savo vidaus pobūdį.</w:t>
      </w:r>
      <w:r w:rsidRPr="00353B65">
        <w:rPr>
          <w:rFonts w:asciiTheme="minorHAnsi" w:eastAsia="Times New Roman" w:hAnsiTheme="minorHAnsi" w:cstheme="minorHAnsi"/>
          <w:bCs/>
          <w:lang w:eastAsia="lt-LT"/>
        </w:rPr>
        <w:t xml:space="preserve"> Nors teisės susipažinti su informacija išimtys turi būti aiškinamos siaurai, tai negali apriboti vidaus pranešimams numatytos išimties taikymo srities, neatsižvelgiant į direktyvos tekstą.</w:t>
      </w:r>
    </w:p>
    <w:p w14:paraId="1CAA8332" w14:textId="77777777" w:rsidR="00515BCC" w:rsidRPr="00353B65" w:rsidRDefault="00515BCC" w:rsidP="00515BCC">
      <w:pPr>
        <w:ind w:firstLine="567"/>
        <w:rPr>
          <w:rFonts w:asciiTheme="minorHAnsi" w:eastAsia="Times New Roman" w:hAnsiTheme="minorHAnsi" w:cstheme="minorHAnsi"/>
          <w:bCs/>
          <w:lang w:eastAsia="lt-LT"/>
        </w:rPr>
      </w:pPr>
      <w:r w:rsidRPr="00353B65">
        <w:rPr>
          <w:rFonts w:asciiTheme="minorHAnsi" w:eastAsia="Times New Roman" w:hAnsiTheme="minorHAnsi" w:cstheme="minorHAnsi"/>
          <w:bCs/>
          <w:lang w:eastAsia="lt-LT"/>
        </w:rPr>
        <w:t xml:space="preserve">Taigi </w:t>
      </w:r>
      <w:r w:rsidRPr="00353B65">
        <w:rPr>
          <w:rFonts w:asciiTheme="minorHAnsi" w:eastAsia="Times New Roman" w:hAnsiTheme="minorHAnsi" w:cstheme="minorHAnsi"/>
          <w:bCs/>
          <w:u w:val="single"/>
          <w:lang w:eastAsia="lt-LT"/>
        </w:rPr>
        <w:t>sąvoka „vidaus pranešimai“ apima visą informaciją, kuria naudojamasi valdžios institucijos viduje ir kuri prašymo leisti susipažinti su informacija pateikimo dieną</w:t>
      </w:r>
      <w:r w:rsidRPr="00353B65">
        <w:rPr>
          <w:rFonts w:asciiTheme="minorHAnsi" w:eastAsia="Times New Roman" w:hAnsiTheme="minorHAnsi" w:cstheme="minorHAnsi"/>
          <w:bCs/>
          <w:lang w:eastAsia="lt-LT"/>
        </w:rPr>
        <w:t xml:space="preserve"> (tam tikrais atvejais po to, kai ši institucija gavo tokią informaciją) </w:t>
      </w:r>
      <w:r w:rsidRPr="00353B65">
        <w:rPr>
          <w:rFonts w:asciiTheme="minorHAnsi" w:eastAsia="Times New Roman" w:hAnsiTheme="minorHAnsi" w:cstheme="minorHAnsi"/>
          <w:bCs/>
          <w:u w:val="single"/>
          <w:lang w:eastAsia="lt-LT"/>
        </w:rPr>
        <w:t>nebuvo išėjusi už šios institucijos ribų</w:t>
      </w:r>
      <w:r w:rsidRPr="00353B65">
        <w:rPr>
          <w:rFonts w:asciiTheme="minorHAnsi" w:eastAsia="Times New Roman" w:hAnsiTheme="minorHAnsi" w:cstheme="minorHAnsi"/>
          <w:bCs/>
          <w:lang w:eastAsia="lt-LT"/>
        </w:rPr>
        <w:t>, su sąlyga, kad ši informacija iki jos gavimo dienos nebuvo ir neturėjo būti padaryta prieinama visuomenei.</w:t>
      </w:r>
    </w:p>
    <w:p w14:paraId="5477E88F" w14:textId="77777777" w:rsidR="00515BCC" w:rsidRPr="00353B65" w:rsidRDefault="00515BCC" w:rsidP="00515BCC">
      <w:pPr>
        <w:ind w:firstLine="567"/>
        <w:rPr>
          <w:rFonts w:asciiTheme="minorHAnsi" w:eastAsia="Times New Roman" w:hAnsiTheme="minorHAnsi" w:cstheme="minorHAnsi"/>
          <w:bCs/>
          <w:u w:val="single"/>
          <w:lang w:eastAsia="lt-LT"/>
        </w:rPr>
      </w:pPr>
      <w:r w:rsidRPr="00353B65">
        <w:rPr>
          <w:rFonts w:asciiTheme="minorHAnsi" w:eastAsia="Times New Roman" w:hAnsiTheme="minorHAnsi" w:cstheme="minorHAnsi"/>
          <w:bCs/>
          <w:lang w:eastAsia="lt-LT"/>
        </w:rPr>
        <w:t xml:space="preserve">Toliau Teisingumo Teismas nagrinėjo galimybę taikyti atsisakymo leisti susipažinti su vidaus pranešimuose esančia informacija apie aplinką pagrindą laiko atžvilgiu. Šiuo klausimu jis pažymėjo, kad </w:t>
      </w:r>
      <w:r w:rsidRPr="00353B65">
        <w:rPr>
          <w:rFonts w:asciiTheme="minorHAnsi" w:eastAsia="Times New Roman" w:hAnsiTheme="minorHAnsi" w:cstheme="minorHAnsi"/>
          <w:bCs/>
          <w:u w:val="single"/>
          <w:lang w:eastAsia="lt-LT"/>
        </w:rPr>
        <w:lastRenderedPageBreak/>
        <w:t>galimybė taikyti šį atsisakymo pagrindą nėra apribota laiko atžvilgiu ir nepriklauso nei nuo kokio nors dokumento parengimo, nei nuo kokio nors administracinio veiksmo eigos ar jo užbaigimo.</w:t>
      </w:r>
    </w:p>
    <w:p w14:paraId="17219629" w14:textId="77777777" w:rsidR="00515BCC" w:rsidRPr="00353B65" w:rsidRDefault="00515BCC" w:rsidP="00515BCC">
      <w:pPr>
        <w:ind w:firstLine="567"/>
        <w:rPr>
          <w:rFonts w:asciiTheme="minorHAnsi" w:eastAsia="Times New Roman" w:hAnsiTheme="minorHAnsi" w:cstheme="minorHAnsi"/>
          <w:bCs/>
          <w:lang w:eastAsia="lt-LT"/>
        </w:rPr>
      </w:pPr>
      <w:r w:rsidRPr="00353B65">
        <w:rPr>
          <w:rFonts w:asciiTheme="minorHAnsi" w:eastAsia="Times New Roman" w:hAnsiTheme="minorHAnsi" w:cstheme="minorHAnsi"/>
          <w:bCs/>
          <w:lang w:eastAsia="lt-LT"/>
        </w:rPr>
        <w:t>Valdžios institucija, kuriai pateiktas prašymas leisti susipažinti su dokumentais, bet kuriuo atveju turi ieškoti priežasčių, kurios gali patvirtinti informacijos atskleidimą, pavyzdžiui, laisvas pasikeitimas nuomonėmis, veiksmingesnis visuomenės dalyvavimas priimant su aplinkos apsauga susijusius sprendimus arba aplinkos gerinimas. Ji taip pat turi išnagrinėti pareiškėjo galimai pateiktą informaciją apie prašomos informacijos atskleidimą, o pareiškėjas neprivalo nurodyti konkretaus tokį atskleidimą pateisinančio intereso.</w:t>
      </w:r>
    </w:p>
    <w:p w14:paraId="7E8A5F0F" w14:textId="77777777" w:rsidR="00515BCC" w:rsidRPr="00353B65" w:rsidRDefault="00515BCC" w:rsidP="00515BCC">
      <w:pPr>
        <w:ind w:firstLine="567"/>
        <w:rPr>
          <w:rFonts w:asciiTheme="minorHAnsi" w:eastAsia="Times New Roman" w:hAnsiTheme="minorHAnsi" w:cstheme="minorHAnsi"/>
          <w:bCs/>
          <w:lang w:eastAsia="lt-LT"/>
        </w:rPr>
      </w:pPr>
      <w:r w:rsidRPr="00353B65">
        <w:rPr>
          <w:rFonts w:asciiTheme="minorHAnsi" w:eastAsia="Times New Roman" w:hAnsiTheme="minorHAnsi" w:cstheme="minorHAnsi"/>
          <w:bCs/>
          <w:lang w:eastAsia="lt-LT"/>
        </w:rPr>
        <w:t xml:space="preserve">Be to, </w:t>
      </w:r>
      <w:r w:rsidRPr="00353B65">
        <w:rPr>
          <w:rFonts w:asciiTheme="minorHAnsi" w:eastAsia="Times New Roman" w:hAnsiTheme="minorHAnsi" w:cstheme="minorHAnsi"/>
          <w:bCs/>
          <w:u w:val="single"/>
          <w:lang w:eastAsia="lt-LT"/>
        </w:rPr>
        <w:t>kai prašoma informacija yra vidaus pranešime, valdžios institucija turi atsižvelgti į laiko tarpą, praėjusį nuo šio pranešimo parengimo dienos, ir į jame esančią informaciją</w:t>
      </w:r>
      <w:r w:rsidRPr="00353B65">
        <w:rPr>
          <w:rFonts w:asciiTheme="minorHAnsi" w:eastAsia="Times New Roman" w:hAnsiTheme="minorHAnsi" w:cstheme="minorHAnsi"/>
          <w:bCs/>
          <w:lang w:eastAsia="lt-LT"/>
        </w:rPr>
        <w:t xml:space="preserve">. Ši institucija gali konstatuoti, kad, atsižvelgiant į nuo tokios informacijos parengimo praėjusį laiko tarpą, ji prarado turėtą konfidencialumą. </w:t>
      </w:r>
    </w:p>
    <w:p w14:paraId="1D6DBD2F" w14:textId="77777777" w:rsidR="00515BCC" w:rsidRPr="00353B65" w:rsidRDefault="00515BCC" w:rsidP="00515BCC">
      <w:pPr>
        <w:ind w:firstLine="567"/>
        <w:rPr>
          <w:rFonts w:asciiTheme="minorHAnsi" w:eastAsia="Times New Roman" w:hAnsiTheme="minorHAnsi" w:cstheme="minorHAnsi"/>
          <w:bCs/>
          <w:lang w:eastAsia="lt-LT"/>
        </w:rPr>
      </w:pPr>
      <w:r w:rsidRPr="00353B65">
        <w:rPr>
          <w:rFonts w:asciiTheme="minorHAnsi" w:eastAsia="Times New Roman" w:hAnsiTheme="minorHAnsi" w:cstheme="minorHAnsi"/>
          <w:bCs/>
          <w:lang w:eastAsia="lt-LT"/>
        </w:rPr>
        <w:t xml:space="preserve">Galiausiai Teisingumo Teismas nurodė, kad </w:t>
      </w:r>
      <w:r w:rsidRPr="00353B65">
        <w:rPr>
          <w:rFonts w:asciiTheme="minorHAnsi" w:eastAsia="Times New Roman" w:hAnsiTheme="minorHAnsi" w:cstheme="minorHAnsi"/>
          <w:bCs/>
          <w:u w:val="single"/>
          <w:lang w:eastAsia="lt-LT"/>
        </w:rPr>
        <w:t>turi būti galimybė įvertinti interesų palyginimą ir tam turi būti taikoma administracinė arba teisminė peržiūra nacionaliniu lygmeniu.</w:t>
      </w:r>
      <w:r w:rsidRPr="00353B65">
        <w:rPr>
          <w:rFonts w:asciiTheme="minorHAnsi" w:eastAsia="Times New Roman" w:hAnsiTheme="minorHAnsi" w:cstheme="minorHAnsi"/>
          <w:bCs/>
          <w:lang w:eastAsia="lt-LT"/>
        </w:rPr>
        <w:t xml:space="preserve"> Siekiant įvykdyti šį reikalavimą, apie sprendimą neleisti susipažinti su informacija turi būti pranešta pareiškėjui, o jame turi būti nurodyta numatoma grėsmė, jog informacijos atskleidimas gali konkrečiai ir realiai pakenkti nurodyta išimtimi saugomam interesui.</w:t>
      </w:r>
    </w:p>
    <w:p w14:paraId="15FF7BEF" w14:textId="3955DCCA" w:rsidR="00515BCC" w:rsidRPr="00353B65" w:rsidRDefault="003347AD" w:rsidP="00515BCC">
      <w:pPr>
        <w:ind w:firstLine="567"/>
        <w:rPr>
          <w:rFonts w:asciiTheme="minorHAnsi" w:eastAsia="Times New Roman" w:hAnsiTheme="minorHAnsi" w:cstheme="minorHAnsi"/>
          <w:bCs/>
          <w:lang w:eastAsia="lt-LT"/>
        </w:rPr>
      </w:pPr>
      <w:hyperlink r:id="rId12" w:history="1">
        <w:r w:rsidR="00DC60D8">
          <w:rPr>
            <w:rStyle w:val="Hipersaitas"/>
            <w:rFonts w:asciiTheme="minorHAnsi" w:eastAsia="Times New Roman" w:hAnsiTheme="minorHAnsi" w:cstheme="minorHAnsi"/>
            <w:lang w:eastAsia="lt-LT"/>
          </w:rPr>
          <w:t>Prieiga internete</w:t>
        </w:r>
      </w:hyperlink>
    </w:p>
    <w:p w14:paraId="25973E5F" w14:textId="77777777" w:rsidR="00515BCC" w:rsidRPr="00A91C33" w:rsidRDefault="00515BCC" w:rsidP="00A91C33"/>
    <w:p w14:paraId="157DB7BB" w14:textId="01514380" w:rsidR="00A85D0F" w:rsidRPr="00353B65" w:rsidRDefault="00A85D0F" w:rsidP="000335F7">
      <w:pPr>
        <w:pStyle w:val="Antrat1"/>
        <w:rPr>
          <w:szCs w:val="22"/>
        </w:rPr>
      </w:pPr>
      <w:bookmarkStart w:id="12" w:name="_Toc85700927"/>
      <w:r w:rsidRPr="00353B65">
        <w:rPr>
          <w:szCs w:val="22"/>
        </w:rPr>
        <w:t>DUOMENŲ APSAUGA</w:t>
      </w:r>
      <w:bookmarkEnd w:id="7"/>
      <w:bookmarkEnd w:id="12"/>
    </w:p>
    <w:p w14:paraId="55DF4E9C" w14:textId="72D79A2D" w:rsidR="000335F7" w:rsidRPr="00353B65" w:rsidRDefault="000335F7" w:rsidP="000335F7">
      <w:pPr>
        <w:tabs>
          <w:tab w:val="left" w:pos="6379"/>
        </w:tabs>
        <w:ind w:firstLine="567"/>
        <w:jc w:val="center"/>
        <w:rPr>
          <w:rFonts w:asciiTheme="minorHAnsi" w:hAnsiTheme="minorHAnsi" w:cstheme="minorHAnsi"/>
        </w:rPr>
      </w:pPr>
    </w:p>
    <w:p w14:paraId="2D071E34" w14:textId="7F92FCB4" w:rsidR="000335F7" w:rsidRPr="00963B91" w:rsidRDefault="000335F7" w:rsidP="00963B91">
      <w:pPr>
        <w:pStyle w:val="Antrat1"/>
        <w:rPr>
          <w:lang w:val="en-US"/>
        </w:rPr>
      </w:pPr>
      <w:bookmarkStart w:id="13" w:name="_Toc85700928"/>
      <w:r w:rsidRPr="00353B65">
        <w:t xml:space="preserve">Didžiosios kolegijos </w:t>
      </w:r>
      <w:r w:rsidRPr="00353B65">
        <w:rPr>
          <w:lang w:val="en-US"/>
        </w:rPr>
        <w:t xml:space="preserve">2021 m. kovo 2 d. sprendimas byloje </w:t>
      </w:r>
      <w:r w:rsidRPr="00DC60D8">
        <w:rPr>
          <w:i/>
          <w:iCs/>
          <w:lang w:val="en-US"/>
        </w:rPr>
        <w:t>Prokuratuur</w:t>
      </w:r>
      <w:r w:rsidR="00963B91">
        <w:rPr>
          <w:i/>
          <w:iCs/>
          <w:lang w:val="en-US"/>
        </w:rPr>
        <w:t xml:space="preserve">, </w:t>
      </w:r>
      <w:r w:rsidRPr="00353B65">
        <w:rPr>
          <w:bCs/>
          <w:lang w:val="en-US"/>
        </w:rPr>
        <w:t>C-746/18</w:t>
      </w:r>
      <w:bookmarkEnd w:id="13"/>
    </w:p>
    <w:p w14:paraId="4F37D107" w14:textId="77777777" w:rsidR="000335F7" w:rsidRPr="00353B65" w:rsidRDefault="000335F7" w:rsidP="00FC2A67">
      <w:pPr>
        <w:tabs>
          <w:tab w:val="left" w:pos="6379"/>
        </w:tabs>
        <w:ind w:firstLine="567"/>
        <w:rPr>
          <w:rFonts w:asciiTheme="minorHAnsi" w:hAnsiTheme="minorHAnsi" w:cstheme="minorHAnsi"/>
        </w:rPr>
      </w:pPr>
    </w:p>
    <w:p w14:paraId="12E2DADA" w14:textId="36308964" w:rsidR="00FC2A67" w:rsidRPr="00353B65" w:rsidRDefault="00FC2A67" w:rsidP="00DC60D8">
      <w:pPr>
        <w:tabs>
          <w:tab w:val="left" w:pos="567"/>
        </w:tabs>
        <w:ind w:firstLine="567"/>
        <w:rPr>
          <w:rFonts w:asciiTheme="minorHAnsi" w:hAnsiTheme="minorHAnsi" w:cstheme="minorHAnsi"/>
        </w:rPr>
      </w:pPr>
      <w:r w:rsidRPr="00353B65">
        <w:rPr>
          <w:rFonts w:asciiTheme="minorHAnsi" w:hAnsiTheme="minorHAnsi" w:cstheme="minorHAnsi"/>
        </w:rPr>
        <w:t>Asmens duomenų tvarkymas elektroninių ryšių sektoriuje – Direktyva 2002/58/EB – Elektroninių ryšių paslaugų teikėjai – Pranešimų konfidencialumas – Apribojimai – 15 straipsnio 1 dalis – Europos Sąjungos pagrindinių teisių chartijos 7, 8, 11 straipsniai ir 52 straipsnio 1 dalis – Teisės aktai, kuriuose numatytas elektroninių ryšių paslaugų teikėjų atliekamas bendras ir nediferencijuotas srauto ir vietos nustatymo duomenų saugojimas – Nacionalinių institucijų prieiga prie saugomų duomenų tyrimo tikslais – Kova su nusikalstamumu apskritai – Prokuratūros suteiktas leidimas – Duomenų, kaip įrodymų, naudojimas baudžiamajame procese – Priimtinumas</w:t>
      </w:r>
    </w:p>
    <w:p w14:paraId="19D7D912" w14:textId="4896850D" w:rsidR="000335F7" w:rsidRPr="00353B65" w:rsidRDefault="000335F7" w:rsidP="00FC2A67">
      <w:pPr>
        <w:tabs>
          <w:tab w:val="left" w:pos="6379"/>
        </w:tabs>
        <w:ind w:firstLine="567"/>
        <w:rPr>
          <w:rFonts w:asciiTheme="minorHAnsi" w:hAnsiTheme="minorHAnsi" w:cstheme="minorHAnsi"/>
        </w:rPr>
      </w:pPr>
    </w:p>
    <w:p w14:paraId="69BB03E3" w14:textId="6144C715" w:rsidR="00293A1A" w:rsidRPr="00353B65" w:rsidRDefault="00DC60D8" w:rsidP="00DC60D8">
      <w:pPr>
        <w:tabs>
          <w:tab w:val="left" w:pos="6379"/>
        </w:tabs>
        <w:jc w:val="center"/>
        <w:rPr>
          <w:rFonts w:asciiTheme="minorHAnsi" w:hAnsiTheme="minorHAnsi" w:cstheme="minorHAnsi"/>
          <w:b/>
        </w:rPr>
      </w:pPr>
      <w:r>
        <w:rPr>
          <w:rFonts w:asciiTheme="minorHAnsi" w:hAnsiTheme="minorHAnsi" w:cstheme="minorHAnsi"/>
          <w:b/>
        </w:rPr>
        <w:t>Bylos</w:t>
      </w:r>
      <w:r w:rsidR="00475D15" w:rsidRPr="00353B65">
        <w:rPr>
          <w:rFonts w:asciiTheme="minorHAnsi" w:hAnsiTheme="minorHAnsi" w:cstheme="minorHAnsi"/>
          <w:b/>
        </w:rPr>
        <w:t xml:space="preserve"> aplinkybės</w:t>
      </w:r>
    </w:p>
    <w:p w14:paraId="4666B1BC" w14:textId="77777777" w:rsidR="00293A1A" w:rsidRPr="00353B65" w:rsidRDefault="00293A1A" w:rsidP="00A85D0F">
      <w:pPr>
        <w:tabs>
          <w:tab w:val="left" w:pos="6379"/>
        </w:tabs>
        <w:ind w:firstLine="540"/>
        <w:rPr>
          <w:rFonts w:asciiTheme="minorHAnsi" w:hAnsiTheme="minorHAnsi" w:cstheme="minorHAnsi"/>
          <w:b/>
        </w:rPr>
      </w:pPr>
    </w:p>
    <w:p w14:paraId="0F41CC0D" w14:textId="77777777" w:rsidR="006C6208" w:rsidRDefault="00501868" w:rsidP="006C6208">
      <w:pPr>
        <w:tabs>
          <w:tab w:val="left" w:pos="6379"/>
        </w:tabs>
        <w:ind w:firstLine="540"/>
        <w:rPr>
          <w:rFonts w:asciiTheme="minorHAnsi" w:hAnsiTheme="minorHAnsi" w:cstheme="minorHAnsi"/>
        </w:rPr>
      </w:pPr>
      <w:r w:rsidRPr="00353B65">
        <w:rPr>
          <w:rFonts w:asciiTheme="minorHAnsi" w:hAnsiTheme="minorHAnsi" w:cstheme="minorHAnsi"/>
        </w:rPr>
        <w:t>Nacionaliniame teisme nagrinėjama baudžiamoji byla,</w:t>
      </w:r>
      <w:r w:rsidR="00A85D0F" w:rsidRPr="00353B65">
        <w:rPr>
          <w:rFonts w:asciiTheme="minorHAnsi" w:hAnsiTheme="minorHAnsi" w:cstheme="minorHAnsi"/>
        </w:rPr>
        <w:t xml:space="preserve"> iškelt</w:t>
      </w:r>
      <w:r w:rsidRPr="00353B65">
        <w:rPr>
          <w:rFonts w:asciiTheme="minorHAnsi" w:hAnsiTheme="minorHAnsi" w:cstheme="minorHAnsi"/>
        </w:rPr>
        <w:t xml:space="preserve">a </w:t>
      </w:r>
      <w:r w:rsidR="00A85D0F" w:rsidRPr="00353B65">
        <w:rPr>
          <w:rFonts w:asciiTheme="minorHAnsi" w:hAnsiTheme="minorHAnsi" w:cstheme="minorHAnsi"/>
        </w:rPr>
        <w:t>H. K. dėl vagystės, trečiojo asmens banko kortelės naudojimo ir smurto prieš asmenis, dalyvaujančius teismo procese. Pirmosios instancijos teismas</w:t>
      </w:r>
      <w:r w:rsidRPr="00353B65">
        <w:rPr>
          <w:rFonts w:asciiTheme="minorHAnsi" w:hAnsiTheme="minorHAnsi" w:cstheme="minorHAnsi"/>
        </w:rPr>
        <w:t xml:space="preserve">, </w:t>
      </w:r>
      <w:r w:rsidR="00A85D0F" w:rsidRPr="00353B65">
        <w:rPr>
          <w:rFonts w:asciiTheme="minorHAnsi" w:hAnsiTheme="minorHAnsi" w:cstheme="minorHAnsi"/>
        </w:rPr>
        <w:t>pripažindamas H. K. kalta padarius nusikalstamą veiką, rėmėsi, be kita ko, įvairių H. K. telefono numerių naudojimo duomenimis, kuriuos pateikė elektroninių ryšių operatoriai ikiteisminio tyrimo institucijoms pagal joms prokurorų išduotus leidimus tokią informaciją gauti.</w:t>
      </w:r>
    </w:p>
    <w:p w14:paraId="064239D5" w14:textId="1B00FB30" w:rsidR="00A85D0F" w:rsidRPr="006C6208" w:rsidRDefault="00A85D0F" w:rsidP="006C6208">
      <w:pPr>
        <w:tabs>
          <w:tab w:val="left" w:pos="6379"/>
        </w:tabs>
        <w:ind w:firstLine="540"/>
        <w:rPr>
          <w:rFonts w:asciiTheme="minorHAnsi" w:hAnsiTheme="minorHAnsi" w:cstheme="minorHAnsi"/>
        </w:rPr>
      </w:pPr>
      <w:r w:rsidRPr="00353B65">
        <w:t>Šie duomenys</w:t>
      </w:r>
      <w:r w:rsidR="00501868" w:rsidRPr="00353B65">
        <w:t xml:space="preserve"> </w:t>
      </w:r>
      <w:r w:rsidRPr="00353B65">
        <w:t>surinkti pagal nacionalinių įstatymų nuostatas, kuriose elektroninių ryšių paslaugų teikėjams nustatyta pareiga bendrai ir nediferencijuojant vien</w:t>
      </w:r>
      <w:r w:rsidR="00115851">
        <w:t>eri</w:t>
      </w:r>
      <w:r w:rsidRPr="00353B65">
        <w:t xml:space="preserve">us metus saugoti srauto ir vietos nustatymo duomenis, susijusius su fiksuotuoju ir judriuoju telefono ryšiu. </w:t>
      </w:r>
      <w:r w:rsidR="00115851">
        <w:t xml:space="preserve">Tai </w:t>
      </w:r>
      <w:r w:rsidRPr="00353B65">
        <w:t>leido, be kita ko, surasti ir identifikuoti pranešimo iš asmens fiksuotojo ar mobiliojo ryšio telefono šaltinį ir adresatą, nustatyti šio pranešimo datą, laiką, trukmę ir pobūdį, identifikuoti naudotą ryšio įrangą, taip pat judriojo telefono ryšio buvimo vietą – tam nereikia, kad būtų išsiųstas pranešimas. Jie taip pat suteikia galimybę nustatyti, kaip dažnai buvo perduodami pranešimai tarp naudotojo ir tam tikrų asmenų tam tikru laikotarpiu. Be to, kovos su nusikalstamumu srityje gali būti prašoma leisti susipažinti su šiais duomenimis dėl visų rūšių nusikalstamų veikų.</w:t>
      </w:r>
    </w:p>
    <w:p w14:paraId="35B1670A" w14:textId="3C6848E6" w:rsidR="00A85D0F" w:rsidRPr="00353B65" w:rsidRDefault="00A85D0F" w:rsidP="001240AD">
      <w:pPr>
        <w:tabs>
          <w:tab w:val="left" w:pos="6379"/>
        </w:tabs>
        <w:ind w:firstLine="540"/>
        <w:rPr>
          <w:rFonts w:asciiTheme="minorHAnsi" w:hAnsiTheme="minorHAnsi" w:cstheme="minorHAnsi"/>
        </w:rPr>
      </w:pPr>
      <w:r w:rsidRPr="00353B65">
        <w:rPr>
          <w:rFonts w:asciiTheme="minorHAnsi" w:hAnsiTheme="minorHAnsi" w:cstheme="minorHAnsi"/>
        </w:rPr>
        <w:t xml:space="preserve">H. K. kasaciniame skunde, be kita ko, ginčijo protokolų, parengtų remiantis iš elektroninių ryšių paslaugų teikėjo gautais duomenimis, priimtinumą – manė, kad nacionalinio įstatymo nuostatos, kuriose įtvirtinta paslaugų teikėjų pareiga saugoti pranešimų duomenis, ir šių duomenų naudojimas, siekiant ją </w:t>
      </w:r>
      <w:r w:rsidRPr="00353B65">
        <w:rPr>
          <w:rFonts w:asciiTheme="minorHAnsi" w:hAnsiTheme="minorHAnsi" w:cstheme="minorHAnsi"/>
        </w:rPr>
        <w:lastRenderedPageBreak/>
        <w:t xml:space="preserve">pripažinti kalta, prieštarauja </w:t>
      </w:r>
      <w:r w:rsidR="001240AD" w:rsidRPr="00353B65">
        <w:rPr>
          <w:rFonts w:asciiTheme="minorHAnsi" w:hAnsiTheme="minorHAnsi" w:cstheme="minorHAnsi"/>
        </w:rPr>
        <w:t>Direktyv</w:t>
      </w:r>
      <w:r w:rsidR="006C6208">
        <w:rPr>
          <w:rFonts w:asciiTheme="minorHAnsi" w:hAnsiTheme="minorHAnsi" w:cstheme="minorHAnsi"/>
        </w:rPr>
        <w:t>os</w:t>
      </w:r>
      <w:r w:rsidR="001240AD" w:rsidRPr="00353B65">
        <w:rPr>
          <w:rFonts w:asciiTheme="minorHAnsi" w:hAnsiTheme="minorHAnsi" w:cstheme="minorHAnsi"/>
        </w:rPr>
        <w:t xml:space="preserve"> 2002/58</w:t>
      </w:r>
      <w:r w:rsidR="006C6208">
        <w:rPr>
          <w:rStyle w:val="Puslapioinaosnuoroda"/>
          <w:rFonts w:asciiTheme="minorHAnsi" w:hAnsiTheme="minorHAnsi" w:cstheme="minorHAnsi"/>
        </w:rPr>
        <w:footnoteReference w:id="3"/>
      </w:r>
      <w:r w:rsidR="001240AD" w:rsidRPr="00353B65">
        <w:rPr>
          <w:rFonts w:asciiTheme="minorHAnsi" w:hAnsiTheme="minorHAnsi" w:cstheme="minorHAnsi"/>
        </w:rPr>
        <w:t xml:space="preserve"> </w:t>
      </w:r>
      <w:r w:rsidRPr="00353B65">
        <w:rPr>
          <w:rFonts w:asciiTheme="minorHAnsi" w:hAnsiTheme="minorHAnsi" w:cstheme="minorHAnsi"/>
        </w:rPr>
        <w:t>15</w:t>
      </w:r>
      <w:r w:rsidR="001240AD" w:rsidRPr="00353B65">
        <w:rPr>
          <w:rFonts w:asciiTheme="minorHAnsi" w:hAnsiTheme="minorHAnsi" w:cstheme="minorHAnsi"/>
        </w:rPr>
        <w:t xml:space="preserve"> </w:t>
      </w:r>
      <w:r w:rsidRPr="00353B65">
        <w:rPr>
          <w:rFonts w:asciiTheme="minorHAnsi" w:hAnsiTheme="minorHAnsi" w:cstheme="minorHAnsi"/>
        </w:rPr>
        <w:t xml:space="preserve">straipsnio 1 daliai, siejamai su </w:t>
      </w:r>
      <w:r w:rsidR="001240AD" w:rsidRPr="00353B65">
        <w:rPr>
          <w:rFonts w:asciiTheme="minorHAnsi" w:hAnsiTheme="minorHAnsi" w:cstheme="minorHAnsi"/>
        </w:rPr>
        <w:t xml:space="preserve">Europos Sąjungos pagrindinių teisių chartijos (toliau – Chartija) </w:t>
      </w:r>
      <w:r w:rsidRPr="00353B65">
        <w:rPr>
          <w:rFonts w:asciiTheme="minorHAnsi" w:hAnsiTheme="minorHAnsi" w:cstheme="minorHAnsi"/>
        </w:rPr>
        <w:t>7, 8, 11 straipsniais ir 52 straipsnio 1 dalimi.</w:t>
      </w:r>
    </w:p>
    <w:p w14:paraId="141B60A5" w14:textId="77777777" w:rsidR="00293A1A" w:rsidRPr="00353B65" w:rsidRDefault="00293A1A" w:rsidP="00A85D0F">
      <w:pPr>
        <w:tabs>
          <w:tab w:val="left" w:pos="6379"/>
        </w:tabs>
        <w:ind w:firstLine="540"/>
        <w:rPr>
          <w:rFonts w:asciiTheme="minorHAnsi" w:hAnsiTheme="minorHAnsi" w:cstheme="minorHAnsi"/>
        </w:rPr>
      </w:pPr>
    </w:p>
    <w:p w14:paraId="71CAA91F" w14:textId="5A5543EA" w:rsidR="00A85D0F" w:rsidRPr="00353B65" w:rsidRDefault="00293A1A" w:rsidP="00DC60D8">
      <w:pPr>
        <w:tabs>
          <w:tab w:val="left" w:pos="6379"/>
        </w:tabs>
        <w:jc w:val="center"/>
        <w:rPr>
          <w:rFonts w:asciiTheme="minorHAnsi" w:hAnsiTheme="minorHAnsi" w:cstheme="minorHAnsi"/>
          <w:b/>
        </w:rPr>
      </w:pPr>
      <w:r w:rsidRPr="00353B65">
        <w:rPr>
          <w:rFonts w:asciiTheme="minorHAnsi" w:hAnsiTheme="minorHAnsi" w:cstheme="minorHAnsi"/>
          <w:b/>
        </w:rPr>
        <w:t>Teisingumo Teismo vertinimas</w:t>
      </w:r>
    </w:p>
    <w:p w14:paraId="0C5064B4" w14:textId="77777777" w:rsidR="000335F7" w:rsidRPr="00353B65" w:rsidRDefault="000335F7" w:rsidP="000335F7">
      <w:bookmarkStart w:id="14" w:name="_Toc78824506"/>
    </w:p>
    <w:p w14:paraId="06C6F6D6" w14:textId="70CD3AA9" w:rsidR="00A85D0F" w:rsidRPr="00963B91" w:rsidRDefault="00A85D0F" w:rsidP="00963B91">
      <w:pPr>
        <w:pStyle w:val="Antrat3"/>
        <w:ind w:firstLine="567"/>
      </w:pPr>
      <w:bookmarkStart w:id="15" w:name="_Toc85700929"/>
      <w:r w:rsidRPr="00963B91">
        <w:t>Dėl nacionalinės normos, leidžiančios valdžios institucijų prieigą prie visų srauto ar vietos nustatymo duomenų, galinčių suteikti informaciją apie elektroninių ryšių priemonės naudotojo pranešimus arba jo naudojamų galinių įrenginių vietą ir leisti padaryti tikslias išvadas apie jo privatų gyvenimą</w:t>
      </w:r>
      <w:bookmarkEnd w:id="14"/>
      <w:bookmarkEnd w:id="15"/>
    </w:p>
    <w:p w14:paraId="19F82ADD" w14:textId="77777777" w:rsidR="00A85D0F" w:rsidRPr="00353B65" w:rsidRDefault="00A85D0F" w:rsidP="00A85D0F">
      <w:pPr>
        <w:tabs>
          <w:tab w:val="left" w:pos="6379"/>
        </w:tabs>
        <w:ind w:firstLine="540"/>
        <w:rPr>
          <w:rFonts w:asciiTheme="minorHAnsi" w:hAnsiTheme="minorHAnsi" w:cstheme="minorHAnsi"/>
          <w:i/>
          <w:iCs/>
        </w:rPr>
      </w:pPr>
    </w:p>
    <w:p w14:paraId="1A34D87C"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 xml:space="preserve">Teisingumo Teismas priminė, kad pagal Direktyvos 202/58 15 straipsnio 1 dalį, siejamą su Chartijos 7, 8, 11 straipsniais ir 52 straipsnio 1 dalimi, </w:t>
      </w:r>
      <w:r w:rsidRPr="00353B65">
        <w:rPr>
          <w:rFonts w:asciiTheme="minorHAnsi" w:hAnsiTheme="minorHAnsi" w:cstheme="minorHAnsi"/>
          <w:u w:val="single"/>
        </w:rPr>
        <w:t>draudžiamos teisėkūros priemonės, kuriomis tokiais tikslais prevenciškai numatytas srauto ir vietos nustatymo duomenų bendras ir nediferencijuotas saugojimas</w:t>
      </w:r>
      <w:r w:rsidRPr="00353B65">
        <w:rPr>
          <w:rFonts w:asciiTheme="minorHAnsi" w:hAnsiTheme="minorHAnsi" w:cstheme="minorHAnsi"/>
        </w:rPr>
        <w:t xml:space="preserve">. Dėl tikslų, galinčių pateisinti valdžios institucijų prieigą prie elektroninių ryšių paslaugų teikėjų saugomų duomenų taikant šias nuostatas atitinkančią priemonę, ši Sąjungos teisminė institucija pažymėjo, kad, viena vertus, </w:t>
      </w:r>
      <w:r w:rsidRPr="00353B65">
        <w:rPr>
          <w:rFonts w:asciiTheme="minorHAnsi" w:hAnsiTheme="minorHAnsi" w:cstheme="minorHAnsi"/>
          <w:u w:val="single"/>
        </w:rPr>
        <w:t>tokia prieiga gali būti pateisinama tik bendrojo intereso tikslu, dėl kurio elektroninių ryšių paslaugų teikėjams buvo nustatyta tokia saugojimo pareiga</w:t>
      </w:r>
      <w:r w:rsidRPr="00353B65">
        <w:rPr>
          <w:rFonts w:asciiTheme="minorHAnsi" w:hAnsiTheme="minorHAnsi" w:cstheme="minorHAnsi"/>
        </w:rPr>
        <w:t xml:space="preserve">. Kita vertus, </w:t>
      </w:r>
      <w:r w:rsidRPr="00353B65">
        <w:rPr>
          <w:rFonts w:asciiTheme="minorHAnsi" w:hAnsiTheme="minorHAnsi" w:cstheme="minorHAnsi"/>
          <w:u w:val="single"/>
        </w:rPr>
        <w:t>valstybių narių galimybė pateisinti teisių ir pareigų, numatytų, be kita ko, Direktyvos 2002/58 5, 6 ir 9 straipsniuose, apribojimą turi būti vertinama atsižvelgiant į suvaržymo, kurį lemia toks apribojimas, dydį ir tikrinant, ar šiuo apribojimu siekiamo bendrojo intereso tikslo svarba jį atitinka</w:t>
      </w:r>
      <w:r w:rsidRPr="00353B65">
        <w:rPr>
          <w:rFonts w:asciiTheme="minorHAnsi" w:hAnsiTheme="minorHAnsi" w:cstheme="minorHAnsi"/>
        </w:rPr>
        <w:t>.</w:t>
      </w:r>
    </w:p>
    <w:p w14:paraId="7861D919"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 xml:space="preserve">Taigi būtent siekdamos įvykdyti proporcingumo reikalavimą, pagal kurį nukrypimai nuo asmens duomenų apsaugos ir jos apribojimai neturi viršyti to, kas griežtai būtina, </w:t>
      </w:r>
      <w:r w:rsidRPr="00353B65">
        <w:rPr>
          <w:rFonts w:asciiTheme="minorHAnsi" w:hAnsiTheme="minorHAnsi" w:cstheme="minorHAnsi"/>
          <w:u w:val="single"/>
        </w:rPr>
        <w:t>kompetentingos nacionalinės institucijos kiekvienu konkrečiu atveju turi užtikrinti, kad tiek nurodytų duomenų kategorija ar kategorijos, tiek laikotarpis, dėl kurio prašoma prieigos prie šių duomenų, atsižvelgiant į bylos aplinkybes, būtų apriboti tuo, kas griežtai būtina nagrinėjamo tyrimo tikslais</w:t>
      </w:r>
      <w:r w:rsidRPr="00353B65">
        <w:rPr>
          <w:rFonts w:asciiTheme="minorHAnsi" w:hAnsiTheme="minorHAnsi" w:cstheme="minorHAnsi"/>
        </w:rPr>
        <w:t>.</w:t>
      </w:r>
    </w:p>
    <w:p w14:paraId="5CD27BEE"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 xml:space="preserve">Šiomis bei kitomis aplinkybėmis Teisingumo Teismas sprendė, kad Direktyvos 2002/58 15 straipsnio 1 dalis, siejama su Chartijos 7, 8, 11 straipsniais ir 52 straipsnio 1 dalimi, turi būti aiškinama taip, kad pagal ją </w:t>
      </w:r>
      <w:r w:rsidRPr="00353B65">
        <w:rPr>
          <w:rFonts w:asciiTheme="minorHAnsi" w:hAnsiTheme="minorHAnsi" w:cstheme="minorHAnsi"/>
          <w:b/>
          <w:bCs/>
          <w:u w:val="single"/>
        </w:rPr>
        <w:t>draudžiamos</w:t>
      </w:r>
      <w:r w:rsidRPr="00353B65">
        <w:rPr>
          <w:rFonts w:asciiTheme="minorHAnsi" w:hAnsiTheme="minorHAnsi" w:cstheme="minorHAnsi"/>
          <w:u w:val="single"/>
        </w:rPr>
        <w:t xml:space="preserve"> nacionalinės teisės normos, leidžiančios valdžios institucijų prieigą prie visų srauto ar vietos nustatymo duomenų, kurie gali suteikti informaciją apie elektroninių ryšių priemonės naudotojo pranešimus arba jo naudojamų galinių įrenginių buvimo vietą ir leisti padaryti tikslias išvadas apie jo privatų gyvenimą, nusikalstamų veikų prevencijos, tyrimo, atskleidimo ir baudžiamojo persekiojimo už jas tikslais, </w:t>
      </w:r>
      <w:r w:rsidRPr="00353B65">
        <w:rPr>
          <w:rFonts w:asciiTheme="minorHAnsi" w:hAnsiTheme="minorHAnsi" w:cstheme="minorHAnsi"/>
          <w:b/>
          <w:bCs/>
          <w:u w:val="single"/>
        </w:rPr>
        <w:t>neribojant</w:t>
      </w:r>
      <w:r w:rsidRPr="00353B65">
        <w:rPr>
          <w:rFonts w:asciiTheme="minorHAnsi" w:hAnsiTheme="minorHAnsi" w:cstheme="minorHAnsi"/>
          <w:u w:val="single"/>
        </w:rPr>
        <w:t xml:space="preserve"> šios prieigos taikymo vien procedūroms, kuriomis siekiama kovoti su sunkiais nusikaltimais arba užkirsti kelią didelėms grėsmėms visuomenės saugumui</w:t>
      </w:r>
      <w:r w:rsidRPr="00353B65">
        <w:rPr>
          <w:rFonts w:asciiTheme="minorHAnsi" w:hAnsiTheme="minorHAnsi" w:cstheme="minorHAnsi"/>
        </w:rPr>
        <w:t>, neatsižvelgiant į laikotarpio, už kurį prašoma prieigos prie minėtų duomenų, trukmę ir turimų duomenų už tokį laikotarpį kiekį ar pobūdį.</w:t>
      </w:r>
    </w:p>
    <w:p w14:paraId="112A670F" w14:textId="77777777" w:rsidR="00A85D0F" w:rsidRPr="00353B65" w:rsidRDefault="00A85D0F" w:rsidP="00A85D0F">
      <w:pPr>
        <w:tabs>
          <w:tab w:val="left" w:pos="6379"/>
        </w:tabs>
        <w:ind w:firstLine="540"/>
        <w:rPr>
          <w:rFonts w:asciiTheme="minorHAnsi" w:hAnsiTheme="minorHAnsi" w:cstheme="minorHAnsi"/>
        </w:rPr>
      </w:pPr>
    </w:p>
    <w:p w14:paraId="22C0584F" w14:textId="77777777" w:rsidR="00A85D0F" w:rsidRPr="00963B91" w:rsidRDefault="00A85D0F" w:rsidP="00963B91">
      <w:pPr>
        <w:pStyle w:val="Antrat3"/>
        <w:ind w:firstLine="567"/>
      </w:pPr>
      <w:bookmarkStart w:id="16" w:name="_Toc78824507"/>
      <w:bookmarkStart w:id="17" w:name="_Toc85700930"/>
      <w:r w:rsidRPr="00963B91">
        <w:t>Dėl reikalavimų subjektui, išduodančiam (suteikiančiam) leidimą valdžios institucijai gauti iš elektroninių ryšių operatorių srauto ir vietos nustatymo duomenis</w:t>
      </w:r>
      <w:bookmarkEnd w:id="16"/>
      <w:bookmarkEnd w:id="17"/>
    </w:p>
    <w:p w14:paraId="48088878" w14:textId="77777777" w:rsidR="00A85D0F" w:rsidRPr="00353B65" w:rsidRDefault="00A85D0F" w:rsidP="00A85D0F">
      <w:pPr>
        <w:tabs>
          <w:tab w:val="left" w:pos="6379"/>
        </w:tabs>
        <w:ind w:firstLine="540"/>
        <w:rPr>
          <w:rFonts w:asciiTheme="minorHAnsi" w:hAnsiTheme="minorHAnsi" w:cstheme="minorHAnsi"/>
        </w:rPr>
      </w:pPr>
    </w:p>
    <w:p w14:paraId="0A8E4969"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 xml:space="preserve">Teisingumo Teismas nurodė, kad </w:t>
      </w:r>
      <w:r w:rsidRPr="00353B65">
        <w:rPr>
          <w:rFonts w:asciiTheme="minorHAnsi" w:hAnsiTheme="minorHAnsi" w:cstheme="minorHAnsi"/>
          <w:u w:val="single"/>
        </w:rPr>
        <w:t>nacionalinėje teisėje turi būti nustatytos sąlygos, kuriomis elektroninių ryšių paslaugų teikėjai kompetentingoms nacionalinėms institucijoms turi suteikti prieigą prie duomenų, kuriais jie disponuoja</w:t>
      </w:r>
      <w:r w:rsidRPr="00353B65">
        <w:rPr>
          <w:rFonts w:asciiTheme="minorHAnsi" w:hAnsiTheme="minorHAnsi" w:cstheme="minorHAnsi"/>
        </w:rPr>
        <w:t xml:space="preserve">. Vis dėlto, kad būtų laikomasi proporcingumo reikalavimo, </w:t>
      </w:r>
      <w:r w:rsidRPr="00353B65">
        <w:rPr>
          <w:rFonts w:asciiTheme="minorHAnsi" w:hAnsiTheme="minorHAnsi" w:cstheme="minorHAnsi"/>
          <w:u w:val="single"/>
        </w:rPr>
        <w:t>tokiose teisės normose turi būti numatytos aiškios ir tikslios taisyklės, reglamentuojančios nagrinėjamos priemonės apimtį ir taikymą bei nustatančios minimalius reikalavimus, kad asmenys, kurių asmens duomenys tvarkomi, turėtų pakankamai garantijų, leidžiančių veiksmingai apsaugoti šiuos duomenis nuo piktnaudžiavimo pavojų</w:t>
      </w:r>
      <w:r w:rsidRPr="00353B65">
        <w:rPr>
          <w:rFonts w:asciiTheme="minorHAnsi" w:hAnsiTheme="minorHAnsi" w:cstheme="minorHAnsi"/>
        </w:rPr>
        <w:t xml:space="preserve">. </w:t>
      </w:r>
      <w:r w:rsidRPr="00353B65">
        <w:rPr>
          <w:rFonts w:asciiTheme="minorHAnsi" w:hAnsiTheme="minorHAnsi" w:cstheme="minorHAnsi"/>
          <w:u w:val="single"/>
        </w:rPr>
        <w:t>Tokios teisės normos turi būti teisiškai privalomos pagal nacionalinę teisę ir jose turi būti nurodyta, kokiomis aplinkybėmis ir sąlygomis gali būti imtasi tokios duomenų tvarkymą numatančios priemonės, taip užtikrinant, kad teisių suvaržymas neviršytų to, kas griežtai būtina</w:t>
      </w:r>
      <w:r w:rsidRPr="00353B65">
        <w:rPr>
          <w:rFonts w:asciiTheme="minorHAnsi" w:hAnsiTheme="minorHAnsi" w:cstheme="minorHAnsi"/>
        </w:rPr>
        <w:t>.</w:t>
      </w:r>
    </w:p>
    <w:p w14:paraId="0FA301BC"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 xml:space="preserve">Pagal Direktyvos 2002/58 15 straipsnio 1 dalį priimtose nacionalinės teisės normose, kuriomis reglamentuojama kompetentingų institucijų prieiga prie srauto ir vietos nustatymo duomenų, </w:t>
      </w:r>
      <w:r w:rsidRPr="00353B65">
        <w:rPr>
          <w:rFonts w:asciiTheme="minorHAnsi" w:hAnsiTheme="minorHAnsi" w:cstheme="minorHAnsi"/>
          <w:u w:val="single"/>
        </w:rPr>
        <w:t xml:space="preserve">negali būti apsiribojama reikalavimu, kad institucijų prieiga prie duomenų atitiktų šiomis teisės normomis siekiamą </w:t>
      </w:r>
      <w:r w:rsidRPr="00353B65">
        <w:rPr>
          <w:rFonts w:asciiTheme="minorHAnsi" w:hAnsiTheme="minorHAnsi" w:cstheme="minorHAnsi"/>
          <w:u w:val="single"/>
        </w:rPr>
        <w:lastRenderedPageBreak/>
        <w:t>tikslą; jose taip pat turi būti numatytos tokį naudojimą reglamentuojančios materialinės ir procedūrinės sąlygos</w:t>
      </w:r>
      <w:r w:rsidRPr="00353B65">
        <w:rPr>
          <w:rFonts w:asciiTheme="minorHAnsi" w:hAnsiTheme="minorHAnsi" w:cstheme="minorHAnsi"/>
        </w:rPr>
        <w:t>.</w:t>
      </w:r>
    </w:p>
    <w:p w14:paraId="7B8652CC"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 xml:space="preserve">Kadangi </w:t>
      </w:r>
      <w:r w:rsidRPr="00353B65">
        <w:rPr>
          <w:rFonts w:asciiTheme="minorHAnsi" w:hAnsiTheme="minorHAnsi" w:cstheme="minorHAnsi"/>
          <w:b/>
          <w:bCs/>
          <w:u w:val="single"/>
        </w:rPr>
        <w:t>bendra prieiga</w:t>
      </w:r>
      <w:r w:rsidRPr="00353B65">
        <w:rPr>
          <w:rFonts w:asciiTheme="minorHAnsi" w:hAnsiTheme="minorHAnsi" w:cstheme="minorHAnsi"/>
          <w:u w:val="single"/>
        </w:rPr>
        <w:t xml:space="preserve"> prie visų saugomų duomenų, nepaisant to, ar egzistuoja koks nors bent jau netiesioginis ryšys su siekiamu tikslu, </w:t>
      </w:r>
      <w:r w:rsidRPr="00353B65">
        <w:rPr>
          <w:rFonts w:asciiTheme="minorHAnsi" w:hAnsiTheme="minorHAnsi" w:cstheme="minorHAnsi"/>
          <w:b/>
          <w:bCs/>
          <w:u w:val="single"/>
        </w:rPr>
        <w:t>negali būti</w:t>
      </w:r>
      <w:r w:rsidRPr="00353B65">
        <w:rPr>
          <w:rFonts w:asciiTheme="minorHAnsi" w:hAnsiTheme="minorHAnsi" w:cstheme="minorHAnsi"/>
          <w:u w:val="single"/>
        </w:rPr>
        <w:t xml:space="preserve"> laikoma neviršijančia to, kas griežtai būtina</w:t>
      </w:r>
      <w:r w:rsidRPr="00353B65">
        <w:rPr>
          <w:rFonts w:asciiTheme="minorHAnsi" w:hAnsiTheme="minorHAnsi" w:cstheme="minorHAnsi"/>
        </w:rPr>
        <w:t xml:space="preserve">, atitinkamos nacionalinės teisės normos turi būti grindžiamos objektyviais kriterijais, kai nustatomos aplinkybės ir sąlygos, kuriomis kompetentingoms nacionalinėms institucijoms turi būti suteikta prieiga prie nagrinėjamų duomenų. </w:t>
      </w:r>
    </w:p>
    <w:p w14:paraId="6B236394"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 xml:space="preserve">Kaip pabrėžė Teisingumo Teismas, siekiant praktiškai užtikrinti visišką tokių sąlygų laikymąsi, </w:t>
      </w:r>
      <w:r w:rsidRPr="00353B65">
        <w:rPr>
          <w:rFonts w:asciiTheme="minorHAnsi" w:hAnsiTheme="minorHAnsi" w:cstheme="minorHAnsi"/>
          <w:u w:val="single"/>
        </w:rPr>
        <w:t>būtina, kad prieš suteikiant kompetentingoms nacionalinėms institucijoms prieigą prie saugomų duomenų, teismas arba nepriklausomas administracinis subjektas atliktų išankstinę kontrolę, o toks teismas ar toks subjektas savo sprendimą priimtų gavę motyvuotą tų institucijų prašymą, kurį jos pateiktų, be kita ko, vykdydamos prevencijos, atskleidimo arba baudžiamojo persekiojimo procedūras</w:t>
      </w:r>
      <w:r w:rsidRPr="00353B65">
        <w:rPr>
          <w:rFonts w:asciiTheme="minorHAnsi" w:hAnsiTheme="minorHAnsi" w:cstheme="minorHAnsi"/>
        </w:rPr>
        <w:t>. Tinkamai pagrįstos skubos atveju kontrolė turi būti vykdoma per trumpą laiką. Atliekant šią išankstinę kontrolę, be kita ko, reikalaujama, kad teismas ar subjektas, kuriam pavesta atlikti minėtą išankstinę kontrolę, turėtų visus įgaliojimus ir suteiktų visas garantijas, būtinas užtikrinti įvairių nagrinėjamų interesų ir teisių suderinimą.</w:t>
      </w:r>
    </w:p>
    <w:p w14:paraId="47B00E31"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u w:val="single"/>
        </w:rPr>
        <w:t>Kai šią kontrolę vykdo ne teismas, o nepriklausomas administracinis subjektas, jis turi turėti statusą, leidžiantį jam vykdyti savo funkcijas objektyviai ir nešališkai, ir šiuo tikslu jis turi būti apsaugotas nuo bet kokios išorinės įtakos</w:t>
      </w:r>
      <w:r w:rsidRPr="00353B65">
        <w:rPr>
          <w:rFonts w:asciiTheme="minorHAnsi" w:hAnsiTheme="minorHAnsi" w:cstheme="minorHAnsi"/>
        </w:rPr>
        <w:t xml:space="preserve"> Nepriklausomumo reikalavimas, kurį turi atitikti institucija, atsakinga už minėtą išankstinę kontrolę, reiškia, kad </w:t>
      </w:r>
      <w:r w:rsidRPr="00353B65">
        <w:rPr>
          <w:rFonts w:asciiTheme="minorHAnsi" w:hAnsiTheme="minorHAnsi" w:cstheme="minorHAnsi"/>
          <w:u w:val="single"/>
        </w:rPr>
        <w:t>ši institucija turi turėti trečiojo asmens statusą institucijos, prašančios leisti susipažinti su duomenimis, atžvilgiu</w:t>
      </w:r>
      <w:r w:rsidRPr="00353B65">
        <w:rPr>
          <w:rFonts w:asciiTheme="minorHAnsi" w:hAnsiTheme="minorHAnsi" w:cstheme="minorHAnsi"/>
        </w:rPr>
        <w:t>, kad pirmoji institucija galėtų objektyviai ir nešališkai vykdyti šią kontrolę be jokios išorinės įtakos.</w:t>
      </w:r>
    </w:p>
    <w:p w14:paraId="1C8D5B6F" w14:textId="77777777" w:rsidR="00A85D0F" w:rsidRPr="00DC60D8" w:rsidRDefault="00A85D0F" w:rsidP="00A85D0F">
      <w:pPr>
        <w:tabs>
          <w:tab w:val="left" w:pos="6379"/>
        </w:tabs>
        <w:ind w:firstLine="540"/>
        <w:rPr>
          <w:rFonts w:asciiTheme="minorHAnsi" w:hAnsiTheme="minorHAnsi" w:cstheme="minorHAnsi"/>
        </w:rPr>
      </w:pPr>
      <w:r w:rsidRPr="00DC60D8">
        <w:rPr>
          <w:rFonts w:asciiTheme="minorHAnsi" w:hAnsiTheme="minorHAnsi" w:cstheme="minorHAnsi"/>
        </w:rPr>
        <w:t>Kaip pabrėžė Teisingumo Teismas, siekiant praktiškai užtikrinti visišką tokių sąlygų laikymąsi, būtina, kad prieš suteikiant kompetentingoms nacionalinėms institucijoms prieigą prie saugomų duomenų, teismas arba nepriklausomas administracinis subjektas atliktų išankstinę kontrolę, o toks teismas ar toks subjektas savo sprendimą priimtų gavę motyvuotą tų institucijų prašymą, kurį jos pateiktų, be kita ko, vykdydamos prevencijos, atskleidimo arba baudžiamojo persekiojimo procedūras. Tinkamai pagrįstos skubos atveju kontrolė turi būti vykdoma per trumpą laiką. Atliekant šią išankstinę kontrolę, be kita ko, reikalaujama, kad teismas ar subjektas, kuriam pavesta atlikti minėtą išankstinę kontrolę, turėtų visus įgaliojimus ir suteiktų visas garantijas, būtinas užtikrinti įvairių nagrinėjamų interesų ir teisių suderinimą.</w:t>
      </w:r>
    </w:p>
    <w:p w14:paraId="058D9CA7" w14:textId="352CEA0D" w:rsidR="00C953EA" w:rsidRPr="00353B65" w:rsidRDefault="00A85D0F" w:rsidP="00293A1A">
      <w:pPr>
        <w:tabs>
          <w:tab w:val="left" w:pos="6379"/>
        </w:tabs>
        <w:ind w:firstLine="540"/>
        <w:rPr>
          <w:rFonts w:asciiTheme="minorHAnsi" w:hAnsiTheme="minorHAnsi" w:cstheme="minorHAnsi"/>
        </w:rPr>
      </w:pPr>
      <w:r w:rsidRPr="00DC60D8">
        <w:rPr>
          <w:rFonts w:asciiTheme="minorHAnsi" w:hAnsiTheme="minorHAnsi" w:cstheme="minorHAnsi"/>
        </w:rPr>
        <w:t>Kai šią kontrolę vykdo ne teismas, o nepriklausomas administracinis subjektas, jis turi turėti statusą, leidžiantį jam vykdyti savo funkcijas objektyviai ir nešališkai, ir šiuo tikslu jis turi būti apsaugotas nuo bet kokios išorinės įtakos</w:t>
      </w:r>
      <w:r w:rsidR="00115851">
        <w:rPr>
          <w:rFonts w:asciiTheme="minorHAnsi" w:hAnsiTheme="minorHAnsi" w:cstheme="minorHAnsi"/>
        </w:rPr>
        <w:t>.</w:t>
      </w:r>
      <w:r w:rsidRPr="00DC60D8">
        <w:rPr>
          <w:rFonts w:asciiTheme="minorHAnsi" w:hAnsiTheme="minorHAnsi" w:cstheme="minorHAnsi"/>
        </w:rPr>
        <w:t xml:space="preserve"> Nepriklausomumo reikalavimas, kurį turi atitikti institucija, atsakinga už minėtą išankstinę kontrolę, reiškia, kad ši institucija turi turėti trečiojo asmens statusą institucijos, prašančios leisti susipažinti su duomenimis, atžvilgiu, kad pirmoji institucija galėtų objektyviai ir nešališkai</w:t>
      </w:r>
      <w:r w:rsidRPr="00353B65">
        <w:rPr>
          <w:rFonts w:asciiTheme="minorHAnsi" w:hAnsiTheme="minorHAnsi" w:cstheme="minorHAnsi"/>
        </w:rPr>
        <w:t xml:space="preserve"> vykdyti šią kontrolę be jokios išorinės įtakos.</w:t>
      </w:r>
    </w:p>
    <w:p w14:paraId="66CB8F0D" w14:textId="62501470" w:rsidR="00293A1A" w:rsidRPr="00353B65" w:rsidRDefault="003347AD" w:rsidP="00C953EA">
      <w:pPr>
        <w:tabs>
          <w:tab w:val="left" w:pos="6379"/>
        </w:tabs>
        <w:ind w:firstLine="540"/>
        <w:rPr>
          <w:rFonts w:asciiTheme="minorHAnsi" w:hAnsiTheme="minorHAnsi" w:cstheme="minorHAnsi"/>
        </w:rPr>
      </w:pPr>
      <w:hyperlink r:id="rId13" w:history="1">
        <w:r w:rsidR="00DC60D8">
          <w:rPr>
            <w:rStyle w:val="Hipersaitas"/>
            <w:rFonts w:asciiTheme="minorHAnsi" w:hAnsiTheme="minorHAnsi" w:cstheme="minorHAnsi"/>
          </w:rPr>
          <w:t>Prieiga internete</w:t>
        </w:r>
      </w:hyperlink>
      <w:r w:rsidR="00A85D0F" w:rsidRPr="00353B65">
        <w:rPr>
          <w:rFonts w:asciiTheme="minorHAnsi" w:hAnsiTheme="minorHAnsi" w:cstheme="minorHAnsi"/>
        </w:rPr>
        <w:t xml:space="preserve"> </w:t>
      </w:r>
    </w:p>
    <w:p w14:paraId="787CCCD9" w14:textId="77777777" w:rsidR="00293A1A" w:rsidRPr="00353B65" w:rsidRDefault="00293A1A" w:rsidP="00A85D0F">
      <w:pPr>
        <w:tabs>
          <w:tab w:val="left" w:pos="6379"/>
        </w:tabs>
        <w:ind w:firstLine="540"/>
        <w:rPr>
          <w:rFonts w:asciiTheme="minorHAnsi" w:hAnsiTheme="minorHAnsi" w:cstheme="minorHAnsi"/>
        </w:rPr>
      </w:pPr>
    </w:p>
    <w:p w14:paraId="76270113" w14:textId="62F1C9A6" w:rsidR="00A85D0F" w:rsidRPr="00353B65" w:rsidRDefault="00A85D0F" w:rsidP="00071EC5">
      <w:pPr>
        <w:pStyle w:val="Antrat1"/>
      </w:pPr>
      <w:bookmarkStart w:id="18" w:name="_Toc78824508"/>
      <w:bookmarkStart w:id="19" w:name="_Toc85700931"/>
      <w:r w:rsidRPr="00071EC5">
        <w:t>APMOKESTINIMAS</w:t>
      </w:r>
      <w:bookmarkEnd w:id="18"/>
      <w:bookmarkEnd w:id="19"/>
    </w:p>
    <w:p w14:paraId="7EAD2836" w14:textId="77777777" w:rsidR="00A85D0F" w:rsidRPr="00353B65" w:rsidRDefault="00A85D0F" w:rsidP="00A85D0F">
      <w:pPr>
        <w:tabs>
          <w:tab w:val="left" w:pos="6379"/>
        </w:tabs>
        <w:ind w:firstLine="540"/>
        <w:rPr>
          <w:rFonts w:asciiTheme="minorHAnsi" w:hAnsiTheme="minorHAnsi" w:cstheme="minorHAnsi"/>
        </w:rPr>
      </w:pPr>
    </w:p>
    <w:p w14:paraId="389F22E5" w14:textId="0230CAF9" w:rsidR="00A85D0F" w:rsidRPr="00963B91" w:rsidRDefault="00A85D0F" w:rsidP="00963B91">
      <w:pPr>
        <w:pStyle w:val="Antrat1"/>
      </w:pPr>
      <w:bookmarkStart w:id="20" w:name="_Toc78824513"/>
      <w:bookmarkStart w:id="21" w:name="_Toc85700932"/>
      <w:r w:rsidRPr="00353B65">
        <w:t xml:space="preserve">2021 m. sausio 20 d. </w:t>
      </w:r>
      <w:r w:rsidRPr="00071EC5">
        <w:t>sprendimas</w:t>
      </w:r>
      <w:r w:rsidRPr="00353B65">
        <w:t xml:space="preserve"> byloje </w:t>
      </w:r>
      <w:r w:rsidRPr="00353B65">
        <w:rPr>
          <w:i/>
        </w:rPr>
        <w:t>Finanzamt Saarbrücken</w:t>
      </w:r>
      <w:bookmarkEnd w:id="20"/>
      <w:r w:rsidR="00963B91">
        <w:rPr>
          <w:i/>
        </w:rPr>
        <w:t xml:space="preserve">, </w:t>
      </w:r>
      <w:r w:rsidRPr="00071EC5">
        <w:rPr>
          <w:bCs/>
        </w:rPr>
        <w:t>C</w:t>
      </w:r>
      <w:r w:rsidR="00963B91">
        <w:rPr>
          <w:b w:val="0"/>
          <w:bCs/>
        </w:rPr>
        <w:t>-</w:t>
      </w:r>
      <w:r w:rsidRPr="00071EC5">
        <w:rPr>
          <w:bCs/>
        </w:rPr>
        <w:t>288/19</w:t>
      </w:r>
      <w:bookmarkEnd w:id="21"/>
    </w:p>
    <w:p w14:paraId="4C0A7FDC" w14:textId="77777777" w:rsidR="00A85D0F" w:rsidRPr="00353B65" w:rsidRDefault="00A85D0F" w:rsidP="00A85D0F">
      <w:pPr>
        <w:tabs>
          <w:tab w:val="left" w:pos="6379"/>
        </w:tabs>
        <w:ind w:firstLine="540"/>
        <w:rPr>
          <w:rFonts w:asciiTheme="minorHAnsi" w:hAnsiTheme="minorHAnsi" w:cstheme="minorHAnsi"/>
        </w:rPr>
      </w:pPr>
    </w:p>
    <w:p w14:paraId="49D7FE80" w14:textId="3F44F711" w:rsidR="00A85D0F" w:rsidRPr="00353B65" w:rsidRDefault="00A85D0F" w:rsidP="00DC60D8">
      <w:pPr>
        <w:tabs>
          <w:tab w:val="left" w:pos="567"/>
        </w:tabs>
        <w:ind w:firstLine="567"/>
        <w:rPr>
          <w:rFonts w:asciiTheme="minorHAnsi" w:hAnsiTheme="minorHAnsi" w:cstheme="minorHAnsi"/>
        </w:rPr>
      </w:pPr>
      <w:r w:rsidRPr="00353B65">
        <w:rPr>
          <w:rFonts w:asciiTheme="minorHAnsi" w:hAnsiTheme="minorHAnsi" w:cstheme="minorHAnsi"/>
        </w:rPr>
        <w:t>Apmokestinimas – Pridėtinės vertės mokestis (PVM) –</w:t>
      </w:r>
      <w:r w:rsidR="006C6208">
        <w:rPr>
          <w:rFonts w:asciiTheme="minorHAnsi" w:hAnsiTheme="minorHAnsi" w:cstheme="minorHAnsi"/>
        </w:rPr>
        <w:t xml:space="preserve"> </w:t>
      </w:r>
      <w:r w:rsidRPr="00353B65">
        <w:rPr>
          <w:rFonts w:asciiTheme="minorHAnsi" w:hAnsiTheme="minorHAnsi" w:cstheme="minorHAnsi"/>
        </w:rPr>
        <w:t>Direktyva 2006/112 – 2 straipsnio 1 dalies c punktas – Paslaugų teikimas už atlygį – 26 straipsnio 1 dalis – Sandoriai, laikomi paslaugų teikimu už atlygį – 56 straipsnio</w:t>
      </w:r>
      <w:r w:rsidR="006C6208">
        <w:rPr>
          <w:rFonts w:asciiTheme="minorHAnsi" w:hAnsiTheme="minorHAnsi" w:cstheme="minorHAnsi"/>
        </w:rPr>
        <w:t xml:space="preserve"> 2</w:t>
      </w:r>
      <w:r w:rsidRPr="00353B65">
        <w:rPr>
          <w:rFonts w:asciiTheme="minorHAnsi" w:hAnsiTheme="minorHAnsi" w:cstheme="minorHAnsi"/>
        </w:rPr>
        <w:t xml:space="preserve"> dalis – Apmokestinimo vietos nustatymas – Transporto priemonių nuoma – Automobilių perdavimas darbuotojams</w:t>
      </w:r>
    </w:p>
    <w:p w14:paraId="7E4B5DB2" w14:textId="77777777" w:rsidR="00A85D0F" w:rsidRPr="00353B65" w:rsidRDefault="00A85D0F" w:rsidP="00A85D0F">
      <w:pPr>
        <w:tabs>
          <w:tab w:val="left" w:pos="6379"/>
        </w:tabs>
        <w:ind w:firstLine="540"/>
        <w:rPr>
          <w:rFonts w:asciiTheme="minorHAnsi" w:hAnsiTheme="minorHAnsi" w:cstheme="minorHAnsi"/>
        </w:rPr>
      </w:pPr>
    </w:p>
    <w:p w14:paraId="6C56560B" w14:textId="40DE782C" w:rsidR="003E626B" w:rsidRDefault="00DC60D8" w:rsidP="00DC60D8">
      <w:pPr>
        <w:tabs>
          <w:tab w:val="left" w:pos="6379"/>
        </w:tabs>
        <w:jc w:val="center"/>
        <w:rPr>
          <w:rFonts w:asciiTheme="minorHAnsi" w:hAnsiTheme="minorHAnsi" w:cstheme="minorHAnsi"/>
        </w:rPr>
      </w:pPr>
      <w:r w:rsidRPr="00DC60D8">
        <w:rPr>
          <w:rFonts w:asciiTheme="minorHAnsi" w:hAnsiTheme="minorHAnsi" w:cstheme="minorHAnsi"/>
          <w:b/>
        </w:rPr>
        <w:t>Bylos</w:t>
      </w:r>
      <w:r w:rsidR="00A85D0F" w:rsidRPr="00353B65">
        <w:rPr>
          <w:rFonts w:asciiTheme="minorHAnsi" w:hAnsiTheme="minorHAnsi" w:cstheme="minorHAnsi"/>
          <w:b/>
          <w:bCs/>
        </w:rPr>
        <w:t xml:space="preserve"> aplinkybės</w:t>
      </w:r>
    </w:p>
    <w:p w14:paraId="12583574" w14:textId="77777777" w:rsidR="003E626B" w:rsidRDefault="003E626B" w:rsidP="00A85D0F">
      <w:pPr>
        <w:tabs>
          <w:tab w:val="left" w:pos="6379"/>
        </w:tabs>
        <w:ind w:firstLine="540"/>
        <w:rPr>
          <w:rFonts w:asciiTheme="minorHAnsi" w:hAnsiTheme="minorHAnsi" w:cstheme="minorHAnsi"/>
        </w:rPr>
      </w:pPr>
    </w:p>
    <w:p w14:paraId="2C5676C4" w14:textId="2DD58451"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 xml:space="preserve">Prašymas priimti prejudicinį sprendimą pateiktas nagrinėjant bendrovės </w:t>
      </w:r>
      <w:r w:rsidRPr="00353B65">
        <w:rPr>
          <w:rFonts w:asciiTheme="minorHAnsi" w:hAnsiTheme="minorHAnsi" w:cstheme="minorHAnsi"/>
          <w:i/>
          <w:iCs/>
        </w:rPr>
        <w:t xml:space="preserve">QM </w:t>
      </w:r>
      <w:r w:rsidRPr="00353B65">
        <w:rPr>
          <w:rFonts w:asciiTheme="minorHAnsi" w:hAnsiTheme="minorHAnsi" w:cstheme="minorHAnsi"/>
        </w:rPr>
        <w:t>ir Vokietijos mokesčių administratoriaus ginčą dėl pastarojo sprendimo apmokestinti pridėtinės vertės mokesčiu (PVM) šios bendrovės automobilių perdavimą dviem Liuksemburge dirbantiems ir Vokietijoje gyvenantiems darbuotojams.</w:t>
      </w:r>
    </w:p>
    <w:p w14:paraId="0C1715D9" w14:textId="646EEDC4" w:rsidR="00A85D0F"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Pagrindinėj</w:t>
      </w:r>
      <w:r w:rsidR="003E626B">
        <w:rPr>
          <w:rFonts w:asciiTheme="minorHAnsi" w:hAnsiTheme="minorHAnsi" w:cstheme="minorHAnsi"/>
        </w:rPr>
        <w:t>e</w:t>
      </w:r>
      <w:r w:rsidRPr="00353B65">
        <w:rPr>
          <w:rFonts w:asciiTheme="minorHAnsi" w:hAnsiTheme="minorHAnsi" w:cstheme="minorHAnsi"/>
        </w:rPr>
        <w:t xml:space="preserve"> byloje nustatyta, kad QM, Liuksemburge įsteigta investicinio fondo valdymo bendrovė, dviem savo darbuotojams, kurie vykdo veiklą Liuksemburge ir kurių gyvenamoji vieta yra Vokietijoje, </w:t>
      </w:r>
      <w:r w:rsidRPr="00353B65">
        <w:rPr>
          <w:rFonts w:asciiTheme="minorHAnsi" w:hAnsiTheme="minorHAnsi" w:cstheme="minorHAnsi"/>
        </w:rPr>
        <w:lastRenderedPageBreak/>
        <w:t>perdavė du automobilius. Šie automobiliai naudojami profesiniams ir privatiems tikslams. 2013 ir 2014 m. šis perdavimas vienam iš šių darbuotojų buvo atliktas neatlygintinai, o iš kito darbuotojo darbo užmokesčio QM išskaičiuodavo 5</w:t>
      </w:r>
      <w:r w:rsidR="00115851">
        <w:rPr>
          <w:rFonts w:asciiTheme="minorHAnsi" w:hAnsiTheme="minorHAnsi" w:cstheme="minorHAnsi"/>
        </w:rPr>
        <w:t xml:space="preserve"> </w:t>
      </w:r>
      <w:r w:rsidRPr="00353B65">
        <w:rPr>
          <w:rFonts w:asciiTheme="minorHAnsi" w:hAnsiTheme="minorHAnsi" w:cstheme="minorHAnsi"/>
        </w:rPr>
        <w:t>688 eurų metinį atlygį (Liuksemburge abiejų automobilių perdavimas nebuvo apmokestintas PVM ir nesuteikė teisės atskaityti už šiuos du automobilius sumokėtą pirkimo PVM). 2014 m. QM užsiregistravo Vokietijoje kaip PVM mokėtoja. 2015 m. ji deklaravo 7</w:t>
      </w:r>
      <w:r w:rsidR="00115851">
        <w:rPr>
          <w:rFonts w:asciiTheme="minorHAnsi" w:hAnsiTheme="minorHAnsi" w:cstheme="minorHAnsi"/>
        </w:rPr>
        <w:t xml:space="preserve"> </w:t>
      </w:r>
      <w:r w:rsidRPr="00353B65">
        <w:rPr>
          <w:rFonts w:asciiTheme="minorHAnsi" w:hAnsiTheme="minorHAnsi" w:cstheme="minorHAnsi"/>
        </w:rPr>
        <w:t>904 eurus už 2013 m. ir 20</w:t>
      </w:r>
      <w:r w:rsidR="00115851">
        <w:rPr>
          <w:rFonts w:asciiTheme="minorHAnsi" w:hAnsiTheme="minorHAnsi" w:cstheme="minorHAnsi"/>
        </w:rPr>
        <w:t xml:space="preserve"> </w:t>
      </w:r>
      <w:r w:rsidRPr="00353B65">
        <w:rPr>
          <w:rFonts w:asciiTheme="minorHAnsi" w:hAnsiTheme="minorHAnsi" w:cstheme="minorHAnsi"/>
        </w:rPr>
        <w:t>767 eurus už 2014 m. PVM, susijusio su automobilių perdavimu, už apmokestinamą paslaugų teikimą. Vokietijos mokesčių administratorius priėmė šias deklaracijas, bet 2015 m. liepos 30 d. QM pateikė skundą dėl pranešimų apie mokesčio dydį, susijusių su šiomis deklaracijomis.</w:t>
      </w:r>
    </w:p>
    <w:p w14:paraId="1D92FE11" w14:textId="2B29A220" w:rsidR="00DC60D8" w:rsidRDefault="00DC60D8" w:rsidP="00A85D0F">
      <w:pPr>
        <w:tabs>
          <w:tab w:val="left" w:pos="6379"/>
        </w:tabs>
        <w:ind w:firstLine="540"/>
        <w:rPr>
          <w:rFonts w:asciiTheme="minorHAnsi" w:hAnsiTheme="minorHAnsi" w:cstheme="minorHAnsi"/>
        </w:rPr>
      </w:pPr>
    </w:p>
    <w:p w14:paraId="773D7831" w14:textId="75E4E723" w:rsidR="00DC60D8" w:rsidRPr="00DC60D8" w:rsidRDefault="00DC60D8" w:rsidP="00DC60D8">
      <w:pPr>
        <w:tabs>
          <w:tab w:val="left" w:pos="6379"/>
        </w:tabs>
        <w:jc w:val="center"/>
        <w:rPr>
          <w:rFonts w:asciiTheme="minorHAnsi" w:hAnsiTheme="minorHAnsi" w:cstheme="minorHAnsi"/>
          <w:b/>
          <w:bCs/>
        </w:rPr>
      </w:pPr>
      <w:r w:rsidRPr="00DC60D8">
        <w:rPr>
          <w:rFonts w:asciiTheme="minorHAnsi" w:hAnsiTheme="minorHAnsi" w:cstheme="minorHAnsi"/>
          <w:b/>
          <w:bCs/>
        </w:rPr>
        <w:t>Teisingumo Teismo vertinimas</w:t>
      </w:r>
    </w:p>
    <w:p w14:paraId="6CADD4BC" w14:textId="77777777" w:rsidR="00A85D0F" w:rsidRPr="00353B65" w:rsidRDefault="00A85D0F" w:rsidP="00A85D0F">
      <w:pPr>
        <w:tabs>
          <w:tab w:val="left" w:pos="6379"/>
        </w:tabs>
        <w:ind w:firstLine="540"/>
        <w:rPr>
          <w:rFonts w:asciiTheme="minorHAnsi" w:hAnsiTheme="minorHAnsi" w:cstheme="minorHAnsi"/>
        </w:rPr>
      </w:pPr>
    </w:p>
    <w:p w14:paraId="63C72542" w14:textId="77777777" w:rsidR="00A85D0F" w:rsidRPr="00963B91" w:rsidRDefault="00A85D0F" w:rsidP="00963B91">
      <w:pPr>
        <w:pStyle w:val="Antrat3"/>
        <w:ind w:firstLine="567"/>
      </w:pPr>
      <w:bookmarkStart w:id="22" w:name="_Toc78824514"/>
      <w:bookmarkStart w:id="23" w:name="_Toc85700933"/>
      <w:r w:rsidRPr="00963B91">
        <w:t>Dėl automobilių suteikimo darbuotojams, kurių nuolatinė gyvenamoji vieta yra kitoje valstybėje narėje, naudotis privatiems poreikiams pripažinimo apmokestinama paslauga</w:t>
      </w:r>
      <w:bookmarkEnd w:id="22"/>
      <w:bookmarkEnd w:id="23"/>
    </w:p>
    <w:p w14:paraId="69ED43A5" w14:textId="77777777" w:rsidR="00A85D0F" w:rsidRPr="00353B65" w:rsidRDefault="00A85D0F" w:rsidP="00A85D0F">
      <w:pPr>
        <w:tabs>
          <w:tab w:val="left" w:pos="6379"/>
        </w:tabs>
        <w:ind w:firstLine="540"/>
        <w:rPr>
          <w:rFonts w:asciiTheme="minorHAnsi" w:hAnsiTheme="minorHAnsi" w:cstheme="minorHAnsi"/>
        </w:rPr>
      </w:pPr>
    </w:p>
    <w:p w14:paraId="4E48F5A5" w14:textId="74DE5C1B" w:rsidR="00A85D0F" w:rsidRPr="00353B65" w:rsidRDefault="00A85D0F" w:rsidP="00A85D0F">
      <w:pPr>
        <w:tabs>
          <w:tab w:val="left" w:pos="1418"/>
          <w:tab w:val="left" w:pos="6379"/>
        </w:tabs>
        <w:ind w:firstLine="540"/>
        <w:rPr>
          <w:rFonts w:asciiTheme="minorHAnsi" w:hAnsiTheme="minorHAnsi" w:cstheme="minorHAnsi"/>
        </w:rPr>
      </w:pPr>
      <w:r w:rsidRPr="00353B65">
        <w:rPr>
          <w:rFonts w:asciiTheme="minorHAnsi" w:hAnsiTheme="minorHAnsi" w:cstheme="minorHAnsi"/>
        </w:rPr>
        <w:t>Pateikdamas prašymą priimti prejudicinį sprendimą nacionalinis teismas iš esmės siekė išsiaiškinti, ar Direktyvos 2006/112</w:t>
      </w:r>
      <w:r w:rsidR="006C6208">
        <w:rPr>
          <w:rStyle w:val="Puslapioinaosnuoroda"/>
          <w:rFonts w:asciiTheme="minorHAnsi" w:hAnsiTheme="minorHAnsi" w:cstheme="minorHAnsi"/>
        </w:rPr>
        <w:footnoteReference w:id="4"/>
      </w:r>
      <w:r w:rsidRPr="00353B65">
        <w:rPr>
          <w:rFonts w:asciiTheme="minorHAnsi" w:hAnsiTheme="minorHAnsi" w:cstheme="minorHAnsi"/>
        </w:rPr>
        <w:t xml:space="preserve"> 56</w:t>
      </w:r>
      <w:r w:rsidR="006C6208" w:rsidRPr="006C6208">
        <w:rPr>
          <w:rFonts w:asciiTheme="minorHAnsi" w:hAnsiTheme="minorHAnsi" w:cstheme="minorHAnsi"/>
        </w:rPr>
        <w:t xml:space="preserve"> </w:t>
      </w:r>
      <w:r w:rsidR="006C6208" w:rsidRPr="00353B65">
        <w:rPr>
          <w:rFonts w:asciiTheme="minorHAnsi" w:hAnsiTheme="minorHAnsi" w:cstheme="minorHAnsi"/>
        </w:rPr>
        <w:t>straipsnio</w:t>
      </w:r>
      <w:r w:rsidR="006C6208" w:rsidRPr="00353B65">
        <w:rPr>
          <w:rStyle w:val="Puslapioinaosnuoroda"/>
          <w:rFonts w:asciiTheme="minorHAnsi" w:hAnsiTheme="minorHAnsi" w:cstheme="minorHAnsi"/>
        </w:rPr>
        <w:footnoteReference w:id="5"/>
      </w:r>
      <w:r w:rsidR="006C6208" w:rsidRPr="00353B65">
        <w:rPr>
          <w:rFonts w:asciiTheme="minorHAnsi" w:hAnsiTheme="minorHAnsi" w:cstheme="minorHAnsi"/>
        </w:rPr>
        <w:t xml:space="preserve"> </w:t>
      </w:r>
      <w:r w:rsidRPr="00353B65">
        <w:rPr>
          <w:rFonts w:asciiTheme="minorHAnsi" w:hAnsiTheme="minorHAnsi" w:cstheme="minorHAnsi"/>
        </w:rPr>
        <w:t>2 dalis turi būti aiškinama taip, kad į jos taikymo sritį patenka apmokestinamojo asmens veiklai skirto automobilio perdavimas darbuotojui, kai šis darbuotojas nemoka ir neskiria dalies savo darbo užmokesčio kaip atlygio, o teisė naudoti šį automobilį nereiškia, kad reikia atsisakyti kitų lengvatų.</w:t>
      </w:r>
    </w:p>
    <w:p w14:paraId="60049993" w14:textId="77777777"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 xml:space="preserve">Šiuo klausimu Teisingumo Teismas pirmiausia pažymėjo kad </w:t>
      </w:r>
      <w:r w:rsidRPr="00353B65">
        <w:rPr>
          <w:rFonts w:asciiTheme="minorHAnsi" w:hAnsiTheme="minorHAnsi" w:cstheme="minorHAnsi"/>
          <w:u w:val="single"/>
        </w:rPr>
        <w:t>Direktyvos 2006/112 56 straipsnio 2 dalies, kurioje nustatoma transporto priemonių nuomos paslaugos apmokestinimo PVM vieta, taikymas suponuoja, kad nagrinėjamas sandoris apmokestinamas PVM</w:t>
      </w:r>
      <w:r w:rsidRPr="00353B65">
        <w:rPr>
          <w:rFonts w:asciiTheme="minorHAnsi" w:hAnsiTheme="minorHAnsi" w:cstheme="minorHAnsi"/>
        </w:rPr>
        <w:t>.</w:t>
      </w:r>
    </w:p>
    <w:p w14:paraId="2B84860E" w14:textId="77777777"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Paslaugos teikiamos už atlygį, kaip tai suprantama pagal Direktyvos 2006/112 2 straipsnio 1 dalies c punktą</w:t>
      </w:r>
      <w:r w:rsidRPr="00353B65">
        <w:rPr>
          <w:rStyle w:val="Puslapioinaosnuoroda"/>
          <w:rFonts w:asciiTheme="minorHAnsi" w:hAnsiTheme="minorHAnsi" w:cstheme="minorHAnsi"/>
        </w:rPr>
        <w:footnoteReference w:id="6"/>
      </w:r>
      <w:r w:rsidRPr="00353B65">
        <w:rPr>
          <w:rFonts w:asciiTheme="minorHAnsi" w:hAnsiTheme="minorHAnsi" w:cstheme="minorHAnsi"/>
        </w:rPr>
        <w:t xml:space="preserve">, ir apmokestinamos, tik jei tarp paslaugos teikėjo ir gavėjo egzistuoja teisinis ryšys, kuris yra abipusis, o paslaugos teikėjo gautas atlygis yra realus atlygis už gavėjui suteiktą paslaugą. Taip yra tuo atveju, kai tarp suteiktos paslaugos ir gauto atlygio yra tiesioginis ryšys. </w:t>
      </w:r>
      <w:r w:rsidRPr="00353B65">
        <w:rPr>
          <w:rFonts w:asciiTheme="minorHAnsi" w:hAnsiTheme="minorHAnsi" w:cstheme="minorHAnsi"/>
          <w:u w:val="single"/>
        </w:rPr>
        <w:t>Darbdavio ir darbuotojo santykiuose toks tiesioginis ryšys gali reikšti darbo užmokesčio grynaisiais dalį, kurios turi atsisakyti darbuotojas kaip atlygio už darbdavio suteiktą paslaugą</w:t>
      </w:r>
      <w:r w:rsidRPr="00353B65">
        <w:rPr>
          <w:rFonts w:asciiTheme="minorHAnsi" w:hAnsiTheme="minorHAnsi" w:cstheme="minorHAnsi"/>
        </w:rPr>
        <w:t>. Jei tokio ryšio nėra, toks paslaugų teikimas negali būti laikomas paslaugų teikimu už atlygį, kaip tai suprantama pagal Direktyvos 2006/112 2 straipsnio 1 dalies c punktą.</w:t>
      </w:r>
    </w:p>
    <w:p w14:paraId="16177EE9" w14:textId="77777777"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Dėl klausimo, ar šis sandoris turi būti laikomas paslaugų teikimu už atlygį, kaip tai suprantama pagal šios direktyvos 26 straipsnio 1 dalį</w:t>
      </w:r>
      <w:r w:rsidRPr="00353B65">
        <w:rPr>
          <w:rStyle w:val="Puslapioinaosnuoroda"/>
          <w:rFonts w:asciiTheme="minorHAnsi" w:hAnsiTheme="minorHAnsi" w:cstheme="minorHAnsi"/>
        </w:rPr>
        <w:footnoteReference w:id="7"/>
      </w:r>
      <w:r w:rsidRPr="00353B65">
        <w:rPr>
          <w:rFonts w:asciiTheme="minorHAnsi" w:hAnsiTheme="minorHAnsi" w:cstheme="minorHAnsi"/>
        </w:rPr>
        <w:t xml:space="preserve">, Teisingumo Teismas nurodė, kad </w:t>
      </w:r>
      <w:r w:rsidRPr="00353B65">
        <w:rPr>
          <w:rFonts w:asciiTheme="minorHAnsi" w:hAnsiTheme="minorHAnsi" w:cstheme="minorHAnsi"/>
          <w:u w:val="single"/>
        </w:rPr>
        <w:t>sandoris, kuris laikomas paslaugų teikimu už atlygį pagal šios dalies a punktą, negali būti laikomas „transporto priemonių nuoma“, kaip tai suprantama pagal šios direktyvos 56 straipsnio 2 dalies pirmą pastraipą</w:t>
      </w:r>
      <w:r w:rsidRPr="00353B65">
        <w:rPr>
          <w:rFonts w:asciiTheme="minorHAnsi" w:hAnsiTheme="minorHAnsi" w:cstheme="minorHAnsi"/>
        </w:rPr>
        <w:t xml:space="preserve"> (toks sandoris nepatenka į Direktyvos 2006/112 56 straipsnio 2 dalies pirmos pastraipos taikymo sritį).</w:t>
      </w:r>
    </w:p>
    <w:p w14:paraId="1E6C707C" w14:textId="0EA45E42"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Vis dėlto Teisingumo Teismas pridūrė, kad iš sprendimo dėl prašymo priimti prejudicinį sprendimą buvo aiškiai matyti, jog pagrindinė byla taip pat susijusi su QM automobilio perdavimu vienam iš darbuotojų už atlygį, kurį jis sumokėjo pagrindinėje byloje aptariamais metais, t. y. 5</w:t>
      </w:r>
      <w:r w:rsidR="00115851">
        <w:rPr>
          <w:rFonts w:asciiTheme="minorHAnsi" w:hAnsiTheme="minorHAnsi" w:cstheme="minorHAnsi"/>
        </w:rPr>
        <w:t xml:space="preserve"> </w:t>
      </w:r>
      <w:r w:rsidRPr="00353B65">
        <w:rPr>
          <w:rFonts w:asciiTheme="minorHAnsi" w:hAnsiTheme="minorHAnsi" w:cstheme="minorHAnsi"/>
        </w:rPr>
        <w:t xml:space="preserve">700 Eur per metus, </w:t>
      </w:r>
      <w:r w:rsidRPr="00353B65">
        <w:rPr>
          <w:rFonts w:asciiTheme="minorHAnsi" w:hAnsiTheme="minorHAnsi" w:cstheme="minorHAnsi"/>
        </w:rPr>
        <w:lastRenderedPageBreak/>
        <w:t xml:space="preserve">išskaičius iš jo darbo užmokesčio. </w:t>
      </w:r>
      <w:r w:rsidRPr="00353B65">
        <w:rPr>
          <w:rFonts w:asciiTheme="minorHAnsi" w:hAnsiTheme="minorHAnsi" w:cstheme="minorHAnsi"/>
          <w:u w:val="single"/>
        </w:rPr>
        <w:t>Tokiu atveju iš tiesų tai gali būti paslaugos teikimas už atlygį, kaip tai suprantama pagal Direktyvos 2006/112 2 straipsnio 1 dalies c punktą, todėl jam gali būti taikoma Direktyvos 2006/112 56 straipsnio 2 dalies pirma pastraipa</w:t>
      </w:r>
      <w:r w:rsidRPr="00353B65">
        <w:rPr>
          <w:rFonts w:asciiTheme="minorHAnsi" w:hAnsiTheme="minorHAnsi" w:cstheme="minorHAnsi"/>
        </w:rPr>
        <w:t>.</w:t>
      </w:r>
    </w:p>
    <w:p w14:paraId="41241598" w14:textId="77777777"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 xml:space="preserve">Šiomis aplinkybėmis Teisingumo Teismas nusprendė, kad </w:t>
      </w:r>
      <w:r w:rsidRPr="00353B65">
        <w:rPr>
          <w:rFonts w:asciiTheme="minorHAnsi" w:hAnsiTheme="minorHAnsi" w:cstheme="minorHAnsi"/>
          <w:u w:val="single"/>
        </w:rPr>
        <w:t>Direktyvos 2006/112 56 straipsnio 2 dalies pirma pastraipa turi būti aiškinama taip, kad į jos taikymo sritį nepatenka apmokestinamojo asmens vykdomas veiklai skirto automobilio perdavimas savo darbuotojui, jei šis sandoris nėra paslaugų teikimas už atlygį, kaip tai suprantama pagal šios direktyvos 2 straipsnio 1 dalies c punktą</w:t>
      </w:r>
      <w:r w:rsidRPr="00353B65">
        <w:rPr>
          <w:rFonts w:asciiTheme="minorHAnsi" w:hAnsiTheme="minorHAnsi" w:cstheme="minorHAnsi"/>
        </w:rPr>
        <w:t>. Vis dėlto 56 straipsnio 2 dalies pirma pastraipa taikoma tokiam sandoriui, jei tai yra paslaugų teikimas už atlygį, kaip tai suprantama pagal minėto 2 straipsnio 1 dalies c punktą, ir kai šis darbuotojas nuolat turi teisę naudoti šią transporto priemonę privačiais tikslais, nesuteikiant tokios teisės kitiems asmenims, už nuomos mokestį kaip atlygį ir sutartą ilgesnį nei trisdešimties dienų laikotarpį.</w:t>
      </w:r>
    </w:p>
    <w:p w14:paraId="205D4C2D" w14:textId="77777777" w:rsidR="00A85D0F" w:rsidRPr="00353B65" w:rsidRDefault="003347AD" w:rsidP="00A85D0F">
      <w:pPr>
        <w:tabs>
          <w:tab w:val="left" w:pos="6379"/>
        </w:tabs>
        <w:ind w:firstLine="540"/>
        <w:rPr>
          <w:rFonts w:asciiTheme="minorHAnsi" w:hAnsiTheme="minorHAnsi" w:cstheme="minorHAnsi"/>
        </w:rPr>
      </w:pPr>
      <w:hyperlink r:id="rId14" w:history="1">
        <w:r w:rsidR="00A85D0F" w:rsidRPr="00353B65">
          <w:rPr>
            <w:rStyle w:val="Hipersaitas"/>
            <w:rFonts w:asciiTheme="minorHAnsi" w:hAnsiTheme="minorHAnsi" w:cstheme="minorHAnsi"/>
          </w:rPr>
          <w:t>Prieiga internete</w:t>
        </w:r>
      </w:hyperlink>
    </w:p>
    <w:p w14:paraId="364019AA" w14:textId="77777777" w:rsidR="00A85D0F" w:rsidRPr="00353B65" w:rsidRDefault="00A85D0F" w:rsidP="00A85D0F">
      <w:pPr>
        <w:tabs>
          <w:tab w:val="left" w:pos="6379"/>
        </w:tabs>
        <w:ind w:firstLine="540"/>
        <w:rPr>
          <w:rFonts w:asciiTheme="minorHAnsi" w:hAnsiTheme="minorHAnsi" w:cstheme="minorHAnsi"/>
        </w:rPr>
      </w:pPr>
    </w:p>
    <w:p w14:paraId="542554E4" w14:textId="2B297885" w:rsidR="00A85D0F" w:rsidRPr="00963B91" w:rsidRDefault="00A85D0F" w:rsidP="00963B91">
      <w:pPr>
        <w:pStyle w:val="Antrat1"/>
      </w:pPr>
      <w:bookmarkStart w:id="24" w:name="_Toc78824515"/>
      <w:bookmarkStart w:id="25" w:name="_Toc85700934"/>
      <w:r w:rsidRPr="00353B65">
        <w:t>2021 m. sausio 20 d. sprendimas byloje</w:t>
      </w:r>
      <w:r w:rsidR="0071254A">
        <w:t xml:space="preserve"> </w:t>
      </w:r>
      <w:r w:rsidR="0071254A" w:rsidRPr="00DC60D8">
        <w:rPr>
          <w:i/>
          <w:iCs/>
        </w:rPr>
        <w:t>Maksu- ja Tolliamet</w:t>
      </w:r>
      <w:r w:rsidR="00963B91">
        <w:rPr>
          <w:i/>
          <w:iCs/>
        </w:rPr>
        <w:t xml:space="preserve">, </w:t>
      </w:r>
      <w:r w:rsidRPr="00353B65">
        <w:rPr>
          <w:bCs/>
        </w:rPr>
        <w:t>C</w:t>
      </w:r>
      <w:r w:rsidR="00963B91">
        <w:rPr>
          <w:b w:val="0"/>
          <w:bCs/>
        </w:rPr>
        <w:t>-</w:t>
      </w:r>
      <w:r w:rsidRPr="00353B65">
        <w:rPr>
          <w:bCs/>
        </w:rPr>
        <w:t>420/19</w:t>
      </w:r>
      <w:bookmarkEnd w:id="24"/>
      <w:bookmarkEnd w:id="25"/>
    </w:p>
    <w:p w14:paraId="37368944" w14:textId="29CC3727" w:rsidR="00A85D0F" w:rsidRPr="00353B65" w:rsidRDefault="00A85D0F" w:rsidP="0071254A">
      <w:pPr>
        <w:tabs>
          <w:tab w:val="left" w:pos="6379"/>
        </w:tabs>
        <w:rPr>
          <w:rFonts w:asciiTheme="minorHAnsi" w:hAnsiTheme="minorHAnsi" w:cstheme="minorHAnsi"/>
          <w:b/>
          <w:bCs/>
          <w:i/>
          <w:iCs/>
        </w:rPr>
      </w:pPr>
    </w:p>
    <w:p w14:paraId="19A22691" w14:textId="1E2AB4FA" w:rsidR="00A85D0F" w:rsidRPr="00353B65" w:rsidRDefault="00A85D0F" w:rsidP="00DC60D8">
      <w:pPr>
        <w:tabs>
          <w:tab w:val="left" w:pos="567"/>
        </w:tabs>
        <w:ind w:firstLine="567"/>
        <w:rPr>
          <w:rFonts w:asciiTheme="minorHAnsi" w:hAnsiTheme="minorHAnsi" w:cstheme="minorHAnsi"/>
        </w:rPr>
      </w:pPr>
      <w:r w:rsidRPr="006C6208">
        <w:rPr>
          <w:rFonts w:asciiTheme="minorHAnsi" w:hAnsiTheme="minorHAnsi" w:cstheme="minorHAnsi"/>
        </w:rPr>
        <w:t>Direktyva 2010/24 – 16 straipsnis – Su mokesčiais, muitais ir kitomis priemonėmis susijusių</w:t>
      </w:r>
      <w:r w:rsidRPr="00353B65">
        <w:rPr>
          <w:rFonts w:asciiTheme="minorHAnsi" w:hAnsiTheme="minorHAnsi" w:cstheme="minorHAnsi"/>
        </w:rPr>
        <w:t xml:space="preserve"> reikalavimų vykdymas – Savitarpio pagalba – Prašymas imtis prevencinių priemonių – Prašančiosios valstybės narės teismo sprendimas taikyti prevencines priemones – Valstybės narės, į kurią kreipiamasi, teismo jurisdikcija iš naujo vertinti šių priemonių pagrįstumą – Tarpusavio pasitikėjimo ir pripažinimo principai</w:t>
      </w:r>
    </w:p>
    <w:p w14:paraId="7CAE522D" w14:textId="77777777" w:rsidR="00A85D0F" w:rsidRPr="00353B65" w:rsidRDefault="00A85D0F" w:rsidP="00A85D0F">
      <w:pPr>
        <w:tabs>
          <w:tab w:val="left" w:pos="6379"/>
        </w:tabs>
        <w:ind w:firstLine="540"/>
        <w:rPr>
          <w:rFonts w:asciiTheme="minorHAnsi" w:hAnsiTheme="minorHAnsi" w:cstheme="minorHAnsi"/>
        </w:rPr>
      </w:pPr>
    </w:p>
    <w:p w14:paraId="08CDFAC2" w14:textId="06675EE9" w:rsidR="00DC60D8" w:rsidRDefault="00DC60D8" w:rsidP="00DC60D8">
      <w:pPr>
        <w:tabs>
          <w:tab w:val="left" w:pos="6379"/>
        </w:tabs>
        <w:jc w:val="center"/>
        <w:rPr>
          <w:rFonts w:asciiTheme="minorHAnsi" w:hAnsiTheme="minorHAnsi" w:cstheme="minorHAnsi"/>
        </w:rPr>
      </w:pPr>
      <w:r w:rsidRPr="00DC60D8">
        <w:rPr>
          <w:rFonts w:asciiTheme="minorHAnsi" w:hAnsiTheme="minorHAnsi" w:cstheme="minorHAnsi"/>
          <w:b/>
        </w:rPr>
        <w:t>Bylo</w:t>
      </w:r>
      <w:r w:rsidR="00A85D0F" w:rsidRPr="00DC60D8">
        <w:rPr>
          <w:rFonts w:asciiTheme="minorHAnsi" w:hAnsiTheme="minorHAnsi" w:cstheme="minorHAnsi"/>
          <w:b/>
        </w:rPr>
        <w:t>s</w:t>
      </w:r>
      <w:r w:rsidR="00A85D0F" w:rsidRPr="00353B65">
        <w:rPr>
          <w:rFonts w:asciiTheme="minorHAnsi" w:hAnsiTheme="minorHAnsi" w:cstheme="minorHAnsi"/>
          <w:b/>
          <w:bCs/>
        </w:rPr>
        <w:t xml:space="preserve"> aplinkybės</w:t>
      </w:r>
    </w:p>
    <w:p w14:paraId="30C71C35" w14:textId="77777777" w:rsidR="00DC60D8" w:rsidRDefault="00DC60D8" w:rsidP="00A85D0F">
      <w:pPr>
        <w:tabs>
          <w:tab w:val="left" w:pos="6379"/>
        </w:tabs>
        <w:ind w:firstLine="540"/>
        <w:rPr>
          <w:rFonts w:asciiTheme="minorHAnsi" w:hAnsiTheme="minorHAnsi" w:cstheme="minorHAnsi"/>
        </w:rPr>
      </w:pPr>
    </w:p>
    <w:p w14:paraId="46938FD1" w14:textId="6119AB22"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 xml:space="preserve">Prašymas priimti prejudicinį sprendimą pateiktas nagrinėjant Estijos muitinės ir </w:t>
      </w:r>
      <w:r w:rsidRPr="00353B65">
        <w:rPr>
          <w:rFonts w:asciiTheme="minorHAnsi" w:hAnsiTheme="minorHAnsi" w:cstheme="minorHAnsi"/>
          <w:i/>
          <w:iCs/>
        </w:rPr>
        <w:t>Heavyinstall OÜ</w:t>
      </w:r>
      <w:r w:rsidRPr="00353B65">
        <w:rPr>
          <w:rFonts w:asciiTheme="minorHAnsi" w:hAnsiTheme="minorHAnsi" w:cstheme="minorHAnsi"/>
        </w:rPr>
        <w:t xml:space="preserve"> ginčą dėl Suomijos mokesčių administratoriaus prašomų prevencinių priemonių taikymo šiai bendrovei Estijoje.</w:t>
      </w:r>
    </w:p>
    <w:p w14:paraId="26012E5A" w14:textId="6A77784D"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 xml:space="preserve">2018 m. Suomijos teismas priėmė laikiną sprendimą areštuoti tam tikrą </w:t>
      </w:r>
      <w:r w:rsidRPr="00353B65">
        <w:rPr>
          <w:rFonts w:asciiTheme="minorHAnsi" w:hAnsiTheme="minorHAnsi" w:cstheme="minorHAnsi"/>
          <w:i/>
          <w:iCs/>
        </w:rPr>
        <w:t xml:space="preserve">Heavyinstall </w:t>
      </w:r>
      <w:r w:rsidRPr="00353B65">
        <w:rPr>
          <w:rFonts w:asciiTheme="minorHAnsi" w:hAnsiTheme="minorHAnsi" w:cstheme="minorHAnsi"/>
        </w:rPr>
        <w:t xml:space="preserve">priklausantį turtą, kad būtų užtikrintas Suomijos mokesčių administratoriaus numatomas mokestinis reikalavimas šiai bendrovei. 2018 m. kovo 13 d. Suomijos mokesčių administratorius, remdamasis Direktyvos 2010/24 16 </w:t>
      </w:r>
      <w:r w:rsidR="006C6208" w:rsidRPr="00353B65">
        <w:rPr>
          <w:rFonts w:asciiTheme="minorHAnsi" w:hAnsiTheme="minorHAnsi" w:cstheme="minorHAnsi"/>
        </w:rPr>
        <w:t>straipsni</w:t>
      </w:r>
      <w:r w:rsidR="006C6208">
        <w:rPr>
          <w:rFonts w:asciiTheme="minorHAnsi" w:hAnsiTheme="minorHAnsi" w:cstheme="minorHAnsi"/>
        </w:rPr>
        <w:t>u</w:t>
      </w:r>
      <w:r w:rsidR="006C6208" w:rsidRPr="00353B65">
        <w:rPr>
          <w:rStyle w:val="Puslapioinaosnuoroda"/>
          <w:rFonts w:asciiTheme="minorHAnsi" w:hAnsiTheme="minorHAnsi" w:cstheme="minorHAnsi"/>
        </w:rPr>
        <w:footnoteReference w:id="8"/>
      </w:r>
      <w:r w:rsidRPr="00353B65">
        <w:rPr>
          <w:rFonts w:asciiTheme="minorHAnsi" w:hAnsiTheme="minorHAnsi" w:cstheme="minorHAnsi"/>
        </w:rPr>
        <w:t xml:space="preserve">, pateikė Estijos muitinei prašymą suteikti pagalbą imantis prevencinių priemonių dėl </w:t>
      </w:r>
      <w:r w:rsidRPr="00353B65">
        <w:rPr>
          <w:rFonts w:asciiTheme="minorHAnsi" w:hAnsiTheme="minorHAnsi" w:cstheme="minorHAnsi"/>
          <w:i/>
          <w:iCs/>
        </w:rPr>
        <w:t>Heavyinstall</w:t>
      </w:r>
      <w:r w:rsidRPr="00353B65">
        <w:rPr>
          <w:rFonts w:asciiTheme="minorHAnsi" w:hAnsiTheme="minorHAnsi" w:cstheme="minorHAnsi"/>
        </w:rPr>
        <w:t>. Prie šio prašymo buvo pridėtas Suomijos teismo sprendimas areštuoti turtą.</w:t>
      </w:r>
    </w:p>
    <w:p w14:paraId="165BFBFA" w14:textId="77777777"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 xml:space="preserve">Siekdama patenkinti pagalbos prašymą, Estijos muitinė 2018 m. kovo 29 d. pateikė Talino administraciniam teismui prašymą areštuoti </w:t>
      </w:r>
      <w:r w:rsidRPr="00353B65">
        <w:rPr>
          <w:rFonts w:asciiTheme="minorHAnsi" w:hAnsiTheme="minorHAnsi" w:cstheme="minorHAnsi"/>
          <w:i/>
          <w:iCs/>
        </w:rPr>
        <w:t>Heavyinstall</w:t>
      </w:r>
      <w:r w:rsidRPr="00353B65">
        <w:rPr>
          <w:rFonts w:asciiTheme="minorHAnsi" w:hAnsiTheme="minorHAnsi" w:cstheme="minorHAnsi"/>
        </w:rPr>
        <w:t xml:space="preserve"> turtą. Šis teismas atmetė prašymą motyvuodamas tuo, kad nebuvo pateikta įrodymų, jog įvykdyta nacionaliniame įstatyme numatyta sąlyga, pagal kurią taikant prevencines priemones reikalaujama, kad būtų galima pagrįstai įtarti, jog nustačius skolinį reikalavimą jo įvykdymas gali reikšmingai pasunkėti arba pasidaryti neįmanomas dėl apmokestinamojo asmens veiksmų.</w:t>
      </w:r>
    </w:p>
    <w:p w14:paraId="61DE7205" w14:textId="46B0D701" w:rsidR="00A85D0F" w:rsidRDefault="00A85D0F" w:rsidP="00A85D0F">
      <w:pPr>
        <w:tabs>
          <w:tab w:val="left" w:pos="6379"/>
        </w:tabs>
        <w:ind w:firstLine="540"/>
        <w:rPr>
          <w:rFonts w:asciiTheme="minorHAnsi" w:hAnsiTheme="minorHAnsi" w:cstheme="minorHAnsi"/>
        </w:rPr>
      </w:pPr>
    </w:p>
    <w:p w14:paraId="09350A59" w14:textId="0BCE9572" w:rsidR="00DC60D8" w:rsidRPr="00DC60D8" w:rsidRDefault="00DC60D8" w:rsidP="00DC60D8">
      <w:pPr>
        <w:tabs>
          <w:tab w:val="left" w:pos="6379"/>
        </w:tabs>
        <w:jc w:val="center"/>
        <w:rPr>
          <w:rFonts w:asciiTheme="minorHAnsi" w:hAnsiTheme="minorHAnsi" w:cstheme="minorHAnsi"/>
          <w:b/>
          <w:bCs/>
        </w:rPr>
      </w:pPr>
      <w:r w:rsidRPr="00DC60D8">
        <w:rPr>
          <w:rFonts w:asciiTheme="minorHAnsi" w:hAnsiTheme="minorHAnsi" w:cstheme="minorHAnsi"/>
          <w:b/>
          <w:bCs/>
        </w:rPr>
        <w:t>Teisingumo Teismo vertinimas</w:t>
      </w:r>
    </w:p>
    <w:p w14:paraId="29853B4E" w14:textId="77777777" w:rsidR="00DC60D8" w:rsidRPr="00353B65" w:rsidRDefault="00DC60D8" w:rsidP="00A85D0F">
      <w:pPr>
        <w:tabs>
          <w:tab w:val="left" w:pos="6379"/>
        </w:tabs>
        <w:ind w:firstLine="540"/>
        <w:rPr>
          <w:rFonts w:asciiTheme="minorHAnsi" w:hAnsiTheme="minorHAnsi" w:cstheme="minorHAnsi"/>
        </w:rPr>
      </w:pPr>
    </w:p>
    <w:p w14:paraId="2DC91F9B" w14:textId="77777777" w:rsidR="00A85D0F" w:rsidRPr="00963B91" w:rsidRDefault="00A85D0F" w:rsidP="00963B91">
      <w:pPr>
        <w:pStyle w:val="Antrat3"/>
        <w:ind w:firstLine="567"/>
      </w:pPr>
      <w:bookmarkStart w:id="26" w:name="_Toc78824517"/>
      <w:bookmarkStart w:id="27" w:name="_Toc85700935"/>
      <w:r w:rsidRPr="00963B91">
        <w:lastRenderedPageBreak/>
        <w:t>Dėl valstybės narės, į kurią kita valstybė narė kreipiasi su prašymu taikyti prevencines priemones mokesčių mokėtojui, teismo teisės neatsižvelgti į prašančiosios valstybės narės valdžios institucijų atliktą šių priemonių taikymo sąlygų faktinio ir teisinio laikymosi vertinimą</w:t>
      </w:r>
      <w:bookmarkEnd w:id="26"/>
      <w:bookmarkEnd w:id="27"/>
    </w:p>
    <w:p w14:paraId="17CE4578" w14:textId="77777777" w:rsidR="00A85D0F" w:rsidRPr="00353B65" w:rsidRDefault="00A85D0F" w:rsidP="00A85D0F">
      <w:pPr>
        <w:tabs>
          <w:tab w:val="left" w:pos="6379"/>
        </w:tabs>
        <w:ind w:firstLine="540"/>
        <w:rPr>
          <w:rFonts w:asciiTheme="minorHAnsi" w:hAnsiTheme="minorHAnsi" w:cstheme="minorHAnsi"/>
        </w:rPr>
      </w:pPr>
    </w:p>
    <w:p w14:paraId="5F4BBCFF" w14:textId="037F0D8E"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Prašymą priimti prejudicinį sprendimą pateikęs teismas iš esmės siekė išsiaiškinti, ar Direktyvos 2010/24</w:t>
      </w:r>
      <w:r w:rsidR="006C6208">
        <w:rPr>
          <w:rStyle w:val="Puslapioinaosnuoroda"/>
          <w:rFonts w:asciiTheme="minorHAnsi" w:hAnsiTheme="minorHAnsi" w:cstheme="minorHAnsi"/>
        </w:rPr>
        <w:footnoteReference w:id="9"/>
      </w:r>
      <w:r w:rsidRPr="00353B65">
        <w:rPr>
          <w:rFonts w:asciiTheme="minorHAnsi" w:hAnsiTheme="minorHAnsi" w:cstheme="minorHAnsi"/>
        </w:rPr>
        <w:t xml:space="preserve"> 16 straipsnis turi būti aiškinamas taip, kad valstybės narės, į kurią kreipiamasi, teismams, priimantiems sprendimą dėl prašymo taikyti prevencines priemones, yra privalomas prašančiosios valstybės narės valdžios institucijų atliktas šių priemonių taikymo sąlygų faktinio ir teisinio laikymosi vertinimas, pateiktas šio 16 straipsnio 1 dalies antroje pastraipoje numatytame dokumente, o gal atvirkščiai, šie teismai patys gali atlikti vertinimą pagal savo nacionalinę teisę.</w:t>
      </w:r>
    </w:p>
    <w:p w14:paraId="779E6983" w14:textId="77777777"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 xml:space="preserve">Šiuo klausimu Teisingumo Teismas pažymėjo, kad </w:t>
      </w:r>
      <w:r w:rsidRPr="00353B65">
        <w:rPr>
          <w:rFonts w:asciiTheme="minorHAnsi" w:hAnsiTheme="minorHAnsi" w:cstheme="minorHAnsi"/>
          <w:u w:val="single"/>
        </w:rPr>
        <w:t>kai prie pagalbos prašymo pridedamas dokumentas, parengtas siekiant leisti imtis prevencinių priemonių prašančiojoje valstybėje narėje, „valstybėje narėje, į kurią kreipiamasi, šis dokumentas neturi būti kaip nors pripažintas, papildytas ar pakeistas</w:t>
      </w:r>
      <w:r w:rsidRPr="00353B65">
        <w:rPr>
          <w:rFonts w:asciiTheme="minorHAnsi" w:hAnsiTheme="minorHAnsi" w:cstheme="minorHAnsi"/>
        </w:rPr>
        <w:t xml:space="preserve">“. Šiame lydimajame dokumente pateikta analizė, kuri paprastai būna susijusi su prevencinių priemonių taikymo sąlygų tenkinimu pagal prašančiosios valstybės narės nacionalinę teisę, </w:t>
      </w:r>
      <w:r w:rsidRPr="00353B65">
        <w:rPr>
          <w:rFonts w:asciiTheme="minorHAnsi" w:hAnsiTheme="minorHAnsi" w:cstheme="minorHAnsi"/>
          <w:u w:val="single"/>
        </w:rPr>
        <w:t>neturi ir negali būti</w:t>
      </w:r>
      <w:r w:rsidRPr="00353B65">
        <w:rPr>
          <w:rFonts w:asciiTheme="minorHAnsi" w:hAnsiTheme="minorHAnsi" w:cstheme="minorHAnsi"/>
        </w:rPr>
        <w:t xml:space="preserve"> nei papildyta, nei pakeista valstybėje narėje, į kurią kreipiamasi, o tai, atrodo, reiškia, kad ši analizė yra privaloma valstybės narės, į kurią kreipiamasi, teismams. Be to, </w:t>
      </w:r>
      <w:r w:rsidRPr="00353B65">
        <w:rPr>
          <w:rFonts w:asciiTheme="minorHAnsi" w:hAnsiTheme="minorHAnsi" w:cstheme="minorHAnsi"/>
          <w:u w:val="single"/>
        </w:rPr>
        <w:t>valstybės narės, į kurią kreiptasi, teismai negali vertinti šių priemonių atsižvelgdami į jų nacionalinėje teisėje nustatytas esmines tokių priemonių priėmimo sąlygas</w:t>
      </w:r>
      <w:r w:rsidRPr="00353B65">
        <w:rPr>
          <w:rFonts w:asciiTheme="minorHAnsi" w:hAnsiTheme="minorHAnsi" w:cstheme="minorHAnsi"/>
        </w:rPr>
        <w:t>, nes minėtos prevencinės priemonės buvo nustatytos remiantis prašančiojoje valstybėje narėje galiojančiomis teisės normomis.</w:t>
      </w:r>
    </w:p>
    <w:p w14:paraId="1342AF7E" w14:textId="77777777"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 xml:space="preserve">Taigi, kaip pažymėjo Teisingumo Teismo, </w:t>
      </w:r>
      <w:r w:rsidRPr="00353B65">
        <w:rPr>
          <w:rFonts w:asciiTheme="minorHAnsi" w:hAnsiTheme="minorHAnsi" w:cstheme="minorHAnsi"/>
          <w:u w:val="single"/>
        </w:rPr>
        <w:t>valstybės narės, į kurią kreipiamasi, teismai turi jurisdikciją spręsti, ar prevencinių priemonių taikymo procedūra atitinka šios valstybės narės teisės aktus ir administracinę praktiką, bet ne tai, ar įvykdytos esminės tokių priemonių nustatymo sąlygos</w:t>
      </w:r>
      <w:r w:rsidRPr="00353B65">
        <w:rPr>
          <w:rFonts w:asciiTheme="minorHAnsi" w:hAnsiTheme="minorHAnsi" w:cstheme="minorHAnsi"/>
        </w:rPr>
        <w:t>.</w:t>
      </w:r>
    </w:p>
    <w:p w14:paraId="005333A4" w14:textId="77777777"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Kartu pastebėtina, kad tik konkrečiais ir apibrėžtais atvejais, pagrįstais aptariamoje direktyvoje aiškiai numatyta išimtimi ar Teisingumo Teismo jurisprudencija, valstybės narės, į kurią kreipiamasi, teismai gali atsisakyti suteikti pagalbą imantis prevencinių priemonių.</w:t>
      </w:r>
    </w:p>
    <w:p w14:paraId="12F0DD44" w14:textId="77777777"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 xml:space="preserve">Šiomis ir kitomis aplinkybėmis Teisingumo Teismas konstatavo, kad </w:t>
      </w:r>
      <w:r w:rsidRPr="00353B65">
        <w:rPr>
          <w:rFonts w:asciiTheme="minorHAnsi" w:hAnsiTheme="minorHAnsi" w:cstheme="minorHAnsi"/>
          <w:u w:val="single"/>
        </w:rPr>
        <w:t xml:space="preserve">Direktyvos 2010/24 16 straipsnis turi būti aiškinamas taip, kad valstybės narės, į kurią kreipiamasi, teismams, priimantiems sprendimą dėl prašymo taikyti prevencines priemones, </w:t>
      </w:r>
      <w:r w:rsidRPr="00353B65">
        <w:rPr>
          <w:rFonts w:asciiTheme="minorHAnsi" w:hAnsiTheme="minorHAnsi" w:cstheme="minorHAnsi"/>
          <w:b/>
          <w:bCs/>
          <w:u w:val="single"/>
        </w:rPr>
        <w:t xml:space="preserve">yra privalomas </w:t>
      </w:r>
      <w:r w:rsidRPr="00353B65">
        <w:rPr>
          <w:rFonts w:asciiTheme="minorHAnsi" w:hAnsiTheme="minorHAnsi" w:cstheme="minorHAnsi"/>
          <w:u w:val="single"/>
        </w:rPr>
        <w:t>prašančiosios valstybės narės valdžios institucijų atliktas šių priemonių taikymo sąlygų faktinio ir teisinio laikymosi vertinimas, pateiktas šio 16 straipsnio 1 dalies antroje pastraipoje numatytame dokumente</w:t>
      </w:r>
      <w:r w:rsidRPr="00353B65">
        <w:rPr>
          <w:rFonts w:asciiTheme="minorHAnsi" w:hAnsiTheme="minorHAnsi" w:cstheme="minorHAnsi"/>
        </w:rPr>
        <w:t>.</w:t>
      </w:r>
    </w:p>
    <w:p w14:paraId="3D654682" w14:textId="77777777" w:rsidR="00A85D0F" w:rsidRPr="00353B65" w:rsidRDefault="003347AD" w:rsidP="00A85D0F">
      <w:pPr>
        <w:tabs>
          <w:tab w:val="left" w:pos="6379"/>
        </w:tabs>
        <w:ind w:firstLine="540"/>
        <w:rPr>
          <w:rFonts w:asciiTheme="minorHAnsi" w:hAnsiTheme="minorHAnsi" w:cstheme="minorHAnsi"/>
        </w:rPr>
      </w:pPr>
      <w:hyperlink r:id="rId15" w:history="1">
        <w:r w:rsidR="00A85D0F" w:rsidRPr="00353B65">
          <w:rPr>
            <w:rStyle w:val="Hipersaitas"/>
            <w:rFonts w:asciiTheme="minorHAnsi" w:hAnsiTheme="minorHAnsi" w:cstheme="minorHAnsi"/>
          </w:rPr>
          <w:t>Prieiga internete</w:t>
        </w:r>
      </w:hyperlink>
    </w:p>
    <w:p w14:paraId="714EB209" w14:textId="77777777" w:rsidR="00A85D0F" w:rsidRPr="00353B65" w:rsidRDefault="00A85D0F" w:rsidP="00A85D0F">
      <w:pPr>
        <w:tabs>
          <w:tab w:val="left" w:pos="6379"/>
        </w:tabs>
        <w:ind w:firstLine="540"/>
        <w:rPr>
          <w:rFonts w:asciiTheme="minorHAnsi" w:hAnsiTheme="minorHAnsi" w:cstheme="minorHAnsi"/>
        </w:rPr>
      </w:pPr>
    </w:p>
    <w:p w14:paraId="2C3FA2DC" w14:textId="5BC1EE40" w:rsidR="00A85D0F" w:rsidRPr="00963B91" w:rsidRDefault="00A85D0F" w:rsidP="00963B91">
      <w:pPr>
        <w:pStyle w:val="Antrat1"/>
      </w:pPr>
      <w:bookmarkStart w:id="28" w:name="_Toc78824519"/>
      <w:bookmarkStart w:id="29" w:name="_Toc85700936"/>
      <w:r w:rsidRPr="00353B65">
        <w:t xml:space="preserve">2021 m. sausio 20 d. </w:t>
      </w:r>
      <w:r w:rsidRPr="00071EC5">
        <w:t>sprendimas</w:t>
      </w:r>
      <w:r w:rsidRPr="00353B65">
        <w:t xml:space="preserve"> byloje </w:t>
      </w:r>
      <w:r w:rsidRPr="00353B65">
        <w:rPr>
          <w:i/>
        </w:rPr>
        <w:t>AJFP Sibiu and DGRFP Brasov</w:t>
      </w:r>
      <w:bookmarkEnd w:id="28"/>
      <w:r w:rsidR="00963B91">
        <w:rPr>
          <w:i/>
        </w:rPr>
        <w:t xml:space="preserve">, </w:t>
      </w:r>
      <w:r w:rsidRPr="0071254A">
        <w:rPr>
          <w:bCs/>
        </w:rPr>
        <w:t>C</w:t>
      </w:r>
      <w:r w:rsidR="00963B91">
        <w:rPr>
          <w:b w:val="0"/>
          <w:bCs/>
        </w:rPr>
        <w:t>-</w:t>
      </w:r>
      <w:r w:rsidRPr="0071254A">
        <w:rPr>
          <w:bCs/>
        </w:rPr>
        <w:t>655/19</w:t>
      </w:r>
      <w:bookmarkEnd w:id="29"/>
    </w:p>
    <w:p w14:paraId="20579CA1" w14:textId="77777777" w:rsidR="00A85D0F" w:rsidRPr="00353B65" w:rsidRDefault="00A85D0F" w:rsidP="00A85D0F">
      <w:pPr>
        <w:tabs>
          <w:tab w:val="left" w:pos="6379"/>
        </w:tabs>
        <w:ind w:firstLine="540"/>
        <w:rPr>
          <w:rFonts w:asciiTheme="minorHAnsi" w:hAnsiTheme="minorHAnsi" w:cstheme="minorHAnsi"/>
        </w:rPr>
      </w:pPr>
    </w:p>
    <w:p w14:paraId="5C2083A2" w14:textId="1E966499" w:rsidR="00A85D0F" w:rsidRPr="00353B65" w:rsidRDefault="00A85D0F" w:rsidP="00DC60D8">
      <w:pPr>
        <w:tabs>
          <w:tab w:val="left" w:pos="567"/>
        </w:tabs>
        <w:ind w:firstLine="567"/>
        <w:rPr>
          <w:rFonts w:asciiTheme="minorHAnsi" w:hAnsiTheme="minorHAnsi" w:cstheme="minorHAnsi"/>
        </w:rPr>
      </w:pPr>
      <w:r w:rsidRPr="00353B65">
        <w:rPr>
          <w:rFonts w:asciiTheme="minorHAnsi" w:hAnsiTheme="minorHAnsi" w:cstheme="minorHAnsi"/>
        </w:rPr>
        <w:t>Apmokestinimas – Pridėtinės vertės mokestis (PVM) – PVM direktyva – 2 straipsnis – 9 straipsnis – Sąvokos „ekonominė veikla“ ir „apmokestinamasis asmuo“ – Sandoriai, kuriais iš turto siekiama gauti nuolatinių pajamų – Kreditoriaus įsigijimas pastatų, areštuotų per priverstinio vykdymo procedūrą, pradėtą siekiant išieškoti paskolas, užtikrintas hipoteka, ir šių pastatų pardavimas – Turto savininko pasinaudojimas nuosavybės teise</w:t>
      </w:r>
    </w:p>
    <w:p w14:paraId="6666D210" w14:textId="77777777" w:rsidR="00A85D0F" w:rsidRPr="00353B65" w:rsidRDefault="00A85D0F" w:rsidP="00A85D0F">
      <w:pPr>
        <w:tabs>
          <w:tab w:val="left" w:pos="6379"/>
        </w:tabs>
        <w:ind w:firstLine="540"/>
        <w:rPr>
          <w:rFonts w:asciiTheme="minorHAnsi" w:hAnsiTheme="minorHAnsi" w:cstheme="minorHAnsi"/>
        </w:rPr>
      </w:pPr>
    </w:p>
    <w:p w14:paraId="7D8EC987" w14:textId="67FADD6D" w:rsidR="00DC60D8" w:rsidRDefault="00DC60D8" w:rsidP="00DC60D8">
      <w:pPr>
        <w:tabs>
          <w:tab w:val="left" w:pos="6379"/>
        </w:tabs>
        <w:jc w:val="center"/>
        <w:rPr>
          <w:rFonts w:asciiTheme="minorHAnsi" w:hAnsiTheme="minorHAnsi" w:cstheme="minorHAnsi"/>
        </w:rPr>
      </w:pPr>
      <w:r>
        <w:rPr>
          <w:rFonts w:asciiTheme="minorHAnsi" w:hAnsiTheme="minorHAnsi" w:cstheme="minorHAnsi"/>
          <w:b/>
          <w:bCs/>
        </w:rPr>
        <w:t>Bylo</w:t>
      </w:r>
      <w:r w:rsidR="00A85D0F" w:rsidRPr="00353B65">
        <w:rPr>
          <w:rFonts w:asciiTheme="minorHAnsi" w:hAnsiTheme="minorHAnsi" w:cstheme="minorHAnsi"/>
          <w:b/>
          <w:bCs/>
        </w:rPr>
        <w:t>s aplinkybės</w:t>
      </w:r>
    </w:p>
    <w:p w14:paraId="0B409B5F" w14:textId="77777777" w:rsidR="00DC60D8" w:rsidRDefault="00DC60D8" w:rsidP="00A85D0F">
      <w:pPr>
        <w:tabs>
          <w:tab w:val="left" w:pos="6379"/>
        </w:tabs>
        <w:ind w:firstLine="540"/>
        <w:rPr>
          <w:rFonts w:asciiTheme="minorHAnsi" w:hAnsiTheme="minorHAnsi" w:cstheme="minorHAnsi"/>
        </w:rPr>
      </w:pPr>
    </w:p>
    <w:p w14:paraId="1195A574" w14:textId="5C6E36FE"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Prašymas priimti prejudicinį sprendimą pateiktas nagrinėjant Rumunijos mokesčių administratoriaus ir LN ginčą dėl papildomo apmokestinimo pridėtinės vertės mokesčiu (PVM).</w:t>
      </w:r>
    </w:p>
    <w:p w14:paraId="34F90D5C" w14:textId="38C6D7D3"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Nustatyta, kad 2009 m. LN suteikė trečiajam asmeniu kelias paskolas, užtikrintas kelių pastatų hipoteka. Kadangi paskolos negalėjo būti grąžintos, šie pastatai buvo parduoti iš varžytinių ir trys iš jų perduoti LN. 2010 m. LN sudarė dvi pirkimo</w:t>
      </w:r>
      <w:r w:rsidR="00115851">
        <w:rPr>
          <w:rFonts w:asciiTheme="minorHAnsi" w:hAnsiTheme="minorHAnsi" w:cstheme="minorHAnsi"/>
        </w:rPr>
        <w:t>–</w:t>
      </w:r>
      <w:r w:rsidRPr="00353B65">
        <w:rPr>
          <w:rFonts w:asciiTheme="minorHAnsi" w:hAnsiTheme="minorHAnsi" w:cstheme="minorHAnsi"/>
        </w:rPr>
        <w:t>pardavimo sutartis, pirmoji buvo susijusi su vienu iš trijų minėtų pastatų, o antroji – su 2005 m. įsigytu žemės sklypu. Dėl kitų dviejų pastatų, kurie buvo perduoti LN, 2011 ir 2012 m. buvo sudarytos atskiros pirkimo</w:t>
      </w:r>
      <w:r w:rsidR="00115851">
        <w:rPr>
          <w:rFonts w:asciiTheme="minorHAnsi" w:hAnsiTheme="minorHAnsi" w:cstheme="minorHAnsi"/>
        </w:rPr>
        <w:t>–</w:t>
      </w:r>
      <w:r w:rsidRPr="00353B65">
        <w:rPr>
          <w:rFonts w:asciiTheme="minorHAnsi" w:hAnsiTheme="minorHAnsi" w:cstheme="minorHAnsi"/>
        </w:rPr>
        <w:t>pardavimo sutartys.</w:t>
      </w:r>
    </w:p>
    <w:p w14:paraId="5182616E" w14:textId="5E75547F"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lastRenderedPageBreak/>
        <w:t>Rumunijos mokesčių administratorius vertino, kad šie pardavimai yra LN apmokestinama ekonominė veikla, todėl apskaičiavo ir nurodė sumokėti PVM nuo pardavimo pajamų.</w:t>
      </w:r>
    </w:p>
    <w:p w14:paraId="48233FAC" w14:textId="77777777" w:rsidR="00DC60D8" w:rsidRDefault="00DC60D8" w:rsidP="00DC60D8">
      <w:pPr>
        <w:tabs>
          <w:tab w:val="left" w:pos="6379"/>
        </w:tabs>
        <w:jc w:val="center"/>
        <w:rPr>
          <w:rFonts w:asciiTheme="minorHAnsi" w:hAnsiTheme="minorHAnsi" w:cstheme="minorHAnsi"/>
          <w:b/>
          <w:bCs/>
        </w:rPr>
      </w:pPr>
    </w:p>
    <w:p w14:paraId="6C4E1BCC" w14:textId="0B8D55DA" w:rsidR="00DC60D8" w:rsidRPr="00DC60D8" w:rsidRDefault="00DC60D8" w:rsidP="00DC60D8">
      <w:pPr>
        <w:tabs>
          <w:tab w:val="left" w:pos="6379"/>
        </w:tabs>
        <w:jc w:val="center"/>
        <w:rPr>
          <w:rFonts w:asciiTheme="minorHAnsi" w:hAnsiTheme="minorHAnsi" w:cstheme="minorHAnsi"/>
          <w:b/>
          <w:bCs/>
        </w:rPr>
      </w:pPr>
      <w:r w:rsidRPr="00DC60D8">
        <w:rPr>
          <w:rFonts w:asciiTheme="minorHAnsi" w:hAnsiTheme="minorHAnsi" w:cstheme="minorHAnsi"/>
          <w:b/>
          <w:bCs/>
        </w:rPr>
        <w:t>Teisingumo Teismo vertinimas</w:t>
      </w:r>
    </w:p>
    <w:p w14:paraId="11E09F17" w14:textId="77777777" w:rsidR="00A85D0F" w:rsidRPr="00353B65" w:rsidRDefault="00A85D0F" w:rsidP="00A85D0F">
      <w:pPr>
        <w:tabs>
          <w:tab w:val="left" w:pos="6379"/>
        </w:tabs>
        <w:ind w:firstLine="540"/>
        <w:rPr>
          <w:rFonts w:asciiTheme="minorHAnsi" w:hAnsiTheme="minorHAnsi" w:cstheme="minorHAnsi"/>
        </w:rPr>
      </w:pPr>
    </w:p>
    <w:p w14:paraId="7143FEEF" w14:textId="77777777" w:rsidR="00A85D0F" w:rsidRPr="00963B91" w:rsidRDefault="00A85D0F" w:rsidP="00963B91">
      <w:pPr>
        <w:pStyle w:val="Antrat3"/>
        <w:ind w:firstLine="567"/>
      </w:pPr>
      <w:bookmarkStart w:id="30" w:name="_Toc78824520"/>
      <w:bookmarkStart w:id="31" w:name="_Toc85700937"/>
      <w:r w:rsidRPr="00963B91">
        <w:t>Dėl pastato, kurį asmuo įgijo tenkinat jo, kaip kreditoriaus reikalavimą priverstinio vykdymo procedūros metu, pardavimo pripažinimo apmokestinama ekonomine veikla</w:t>
      </w:r>
      <w:bookmarkEnd w:id="30"/>
      <w:bookmarkEnd w:id="31"/>
    </w:p>
    <w:p w14:paraId="5897FEE6" w14:textId="77777777"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 xml:space="preserve"> </w:t>
      </w:r>
    </w:p>
    <w:p w14:paraId="5115B70B" w14:textId="3EFFC850"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Pateikdamas prašymą priimti prejudicinį sprendimą nacionalinis teismas siekė išsiaiškinti, ar PVM direktyvos</w:t>
      </w:r>
      <w:r w:rsidR="006C6208">
        <w:rPr>
          <w:rStyle w:val="Puslapioinaosnuoroda"/>
          <w:rFonts w:asciiTheme="minorHAnsi" w:hAnsiTheme="minorHAnsi" w:cstheme="minorHAnsi"/>
        </w:rPr>
        <w:footnoteReference w:id="10"/>
      </w:r>
      <w:r w:rsidRPr="00353B65">
        <w:rPr>
          <w:rFonts w:asciiTheme="minorHAnsi" w:hAnsiTheme="minorHAnsi" w:cstheme="minorHAnsi"/>
        </w:rPr>
        <w:t xml:space="preserve"> 2 straipsnio</w:t>
      </w:r>
      <w:r w:rsidR="006C6208" w:rsidRPr="00353B65">
        <w:rPr>
          <w:rStyle w:val="Puslapioinaosnuoroda"/>
          <w:rFonts w:asciiTheme="minorHAnsi" w:hAnsiTheme="minorHAnsi" w:cstheme="minorHAnsi"/>
        </w:rPr>
        <w:footnoteReference w:id="11"/>
      </w:r>
      <w:r w:rsidR="006C6208" w:rsidRPr="00353B65">
        <w:rPr>
          <w:rFonts w:asciiTheme="minorHAnsi" w:hAnsiTheme="minorHAnsi" w:cstheme="minorHAnsi"/>
        </w:rPr>
        <w:t xml:space="preserve"> </w:t>
      </w:r>
      <w:r w:rsidRPr="00353B65">
        <w:rPr>
          <w:rFonts w:asciiTheme="minorHAnsi" w:hAnsiTheme="minorHAnsi" w:cstheme="minorHAnsi"/>
        </w:rPr>
        <w:t>1 dalies a punktas ir 9 straipsnio</w:t>
      </w:r>
      <w:r w:rsidR="006C6208" w:rsidRPr="00353B65">
        <w:rPr>
          <w:rStyle w:val="Puslapioinaosnuoroda"/>
          <w:rFonts w:asciiTheme="minorHAnsi" w:hAnsiTheme="minorHAnsi" w:cstheme="minorHAnsi"/>
        </w:rPr>
        <w:footnoteReference w:id="12"/>
      </w:r>
      <w:r w:rsidRPr="00353B65">
        <w:rPr>
          <w:rFonts w:asciiTheme="minorHAnsi" w:hAnsiTheme="minorHAnsi" w:cstheme="minorHAnsi"/>
        </w:rPr>
        <w:t xml:space="preserve"> 1 dalis turi būti aiškinami taip, kad sandoris, kai asmeniui perduodamas pastatas, areštuotas per priverstinio vykdymo procedūrą, siekiant išieškoti anksčiau suteiktą paskolą, ir vėliau tas pastatas parduodamas, yra ekonominė veikla, ir ar šis asmuo dėl šio sandorio turi būti laikomas apmokestinamuoju asmeniu. </w:t>
      </w:r>
    </w:p>
    <w:p w14:paraId="491BF72A"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Teisingumo Teismas priminė, kad sąvoka „apmokestinamasis asmuo“ turi būti apibrėžta atsižvelgiant į sąvoką „ekonominė veikla“, kaip ji suprantama pagal PVM direktyvos 9 straipsnio 1 dalies antrą pastraipą. Iš to matyti, kad būtent tokios veiklos buvimas pagrindžia kvalifikavimą kaip apmokestinamojo asmens), o pagal šios direktyvos 9 straipsnio 1 dalies pirmą pastraipą toks asmuo yra tas, kuris savarankiškai bet kurioje vietoje vykdo tokią ekonominę veiklą.</w:t>
      </w:r>
    </w:p>
    <w:p w14:paraId="50E5DBC0"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 xml:space="preserve">Vis dėlto </w:t>
      </w:r>
      <w:r w:rsidRPr="00353B65">
        <w:rPr>
          <w:rFonts w:asciiTheme="minorHAnsi" w:hAnsiTheme="minorHAnsi" w:cstheme="minorHAnsi"/>
          <w:u w:val="single"/>
        </w:rPr>
        <w:t>tik turto įsigijimas ir tik pardavimas negali būti laikomi turto naudojimu siekiant gauti nuolatinių pajamų</w:t>
      </w:r>
      <w:r w:rsidRPr="00353B65">
        <w:rPr>
          <w:rFonts w:asciiTheme="minorHAnsi" w:hAnsiTheme="minorHAnsi" w:cstheme="minorHAnsi"/>
        </w:rPr>
        <w:t xml:space="preserve">, kaip tai suprantama pagal PVM direktyvos 9 straipsnio 1 dalies antrą pastraipą, nes vienintelis atlygis už šiuos sandorius yra galimas pelnas iš šio turto pardavimo. </w:t>
      </w:r>
      <w:r w:rsidRPr="00353B65">
        <w:rPr>
          <w:rFonts w:asciiTheme="minorHAnsi" w:hAnsiTheme="minorHAnsi" w:cstheme="minorHAnsi"/>
          <w:u w:val="single"/>
        </w:rPr>
        <w:t>Taip pat paprastas savininko nuosavybės teisės įgyvendinimas pats savaime negali būti laikomas ekonomine veikla</w:t>
      </w:r>
      <w:r w:rsidRPr="00353B65">
        <w:rPr>
          <w:rFonts w:asciiTheme="minorHAnsi" w:hAnsiTheme="minorHAnsi" w:cstheme="minorHAnsi"/>
        </w:rPr>
        <w:t>.</w:t>
      </w:r>
    </w:p>
    <w:p w14:paraId="1D2C3842"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 xml:space="preserve">Kita vertus, dėl žemės statybai pardavimo Teisingumo Teismas priminė, kad </w:t>
      </w:r>
      <w:r w:rsidRPr="00353B65">
        <w:rPr>
          <w:rFonts w:asciiTheme="minorHAnsi" w:hAnsiTheme="minorHAnsi" w:cstheme="minorHAnsi"/>
          <w:u w:val="single"/>
        </w:rPr>
        <w:t>reikšmingas vertinimo kriterijus yra tai, ar suinteresuotasis asmuo ėmėsi aktyvių prekybos žemės sklypu veiksmų, naudodamas priemones, panašias į gamintojo, prekybininko ar paslaugas teikiančio asmens naudojamas priemones</w:t>
      </w:r>
      <w:r w:rsidRPr="00353B65">
        <w:rPr>
          <w:rFonts w:asciiTheme="minorHAnsi" w:hAnsiTheme="minorHAnsi" w:cstheme="minorHAnsi"/>
        </w:rPr>
        <w:t xml:space="preserve">. </w:t>
      </w:r>
      <w:r w:rsidRPr="00353B65">
        <w:rPr>
          <w:rFonts w:asciiTheme="minorHAnsi" w:hAnsiTheme="minorHAnsi" w:cstheme="minorHAnsi"/>
          <w:u w:val="single"/>
        </w:rPr>
        <w:t>Iš tiesų šie veiksmai paprastai nepatenka į asmeninio turto valdymą, todėl tokiu atveju statybai skirtos žemės tiekimas negali būti laikomas tik savininko nuosavybės teisių įgyvendinimu</w:t>
      </w:r>
      <w:r w:rsidRPr="00353B65">
        <w:rPr>
          <w:rFonts w:asciiTheme="minorHAnsi" w:hAnsiTheme="minorHAnsi" w:cstheme="minorHAnsi"/>
        </w:rPr>
        <w:t xml:space="preserve">. </w:t>
      </w:r>
      <w:r w:rsidRPr="00353B65">
        <w:rPr>
          <w:rFonts w:asciiTheme="minorHAnsi" w:hAnsiTheme="minorHAnsi" w:cstheme="minorHAnsi"/>
          <w:u w:val="single"/>
        </w:rPr>
        <w:t xml:space="preserve">Tokie veiksmai labiau susiję su veikla, vykdoma siekiant gauti </w:t>
      </w:r>
      <w:r w:rsidRPr="00353B65">
        <w:rPr>
          <w:rFonts w:asciiTheme="minorHAnsi" w:hAnsiTheme="minorHAnsi" w:cstheme="minorHAnsi"/>
          <w:b/>
          <w:bCs/>
          <w:u w:val="single"/>
        </w:rPr>
        <w:t>nuolatinių pajamų</w:t>
      </w:r>
      <w:r w:rsidRPr="00353B65">
        <w:rPr>
          <w:rFonts w:asciiTheme="minorHAnsi" w:hAnsiTheme="minorHAnsi" w:cstheme="minorHAnsi"/>
          <w:u w:val="single"/>
        </w:rPr>
        <w:t>, todėl gali būti kvalifikuojami kaip ekonominė veikla</w:t>
      </w:r>
      <w:r w:rsidRPr="00353B65">
        <w:rPr>
          <w:rFonts w:asciiTheme="minorHAnsi" w:hAnsiTheme="minorHAnsi" w:cstheme="minorHAnsi"/>
        </w:rPr>
        <w:t>.</w:t>
      </w:r>
    </w:p>
    <w:p w14:paraId="4476F7D8"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Kaip vertino Teisingumo Teismas, LN įvykdyti teisiniai sandoriai turi būti laikomi asmeninio turto valdymu, nes, kaip buvo matyti iš pateiktos informacijos, pirma, suinteresuotasis asmuo siekė išieškoti paskolas ir atkurti savo turtą ir, antra, nesiėmė aktyvių prekybos žeme veiksmų. Darytina išvada, kad suinteresuotasis asmuo negali būti laikomas PVM mokėtoju, kaip tai suprantama pagal PVM direktyvos 9 straipsnio 1 dalies pirmą pastraipą, dėl pagrindinėje byloje nagrinėjamų pastatų pardavimų, todėl tie sandoriai neturėjo būti apmokestinami šiuo mokesčiu.</w:t>
      </w:r>
    </w:p>
    <w:p w14:paraId="230EF854"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 xml:space="preserve">Teisingumo Teismas konstatavo, kad </w:t>
      </w:r>
      <w:r w:rsidRPr="00353B65">
        <w:rPr>
          <w:rFonts w:asciiTheme="minorHAnsi" w:hAnsiTheme="minorHAnsi" w:cstheme="minorHAnsi"/>
          <w:u w:val="single"/>
        </w:rPr>
        <w:t xml:space="preserve">PVM direktyvos 2 straipsnio 1 dalies a punktas ir 9 straipsnio 1 dalis turi būti aiškinami taip, kad sandoris, kai asmuo įsigyja pastatą, areštuotą vykdant priverstinio vykdymo procedūrą, pradėtą siekiant išieškoti anksčiau suteiktą paskolą, ir vėliau šį pastatą parduoda, </w:t>
      </w:r>
      <w:r w:rsidRPr="00353B65">
        <w:rPr>
          <w:rFonts w:asciiTheme="minorHAnsi" w:hAnsiTheme="minorHAnsi" w:cstheme="minorHAnsi"/>
          <w:b/>
          <w:bCs/>
          <w:u w:val="single"/>
        </w:rPr>
        <w:t>savaime nėra</w:t>
      </w:r>
      <w:r w:rsidRPr="00353B65">
        <w:rPr>
          <w:rFonts w:asciiTheme="minorHAnsi" w:hAnsiTheme="minorHAnsi" w:cstheme="minorHAnsi"/>
          <w:u w:val="single"/>
        </w:rPr>
        <w:t xml:space="preserve"> ekonominė veikla, jei šis sandoris priskiriamas tik prie nuosavybės teisės įgyvendinimo ir gero asmeninio turto valdymo, todėl dėl tokio sandorio šis asmuo neturi būti laikomas apmokestinamuoju asmeniu</w:t>
      </w:r>
      <w:r w:rsidRPr="00353B65">
        <w:rPr>
          <w:rFonts w:asciiTheme="minorHAnsi" w:hAnsiTheme="minorHAnsi" w:cstheme="minorHAnsi"/>
        </w:rPr>
        <w:t>.</w:t>
      </w:r>
    </w:p>
    <w:p w14:paraId="1DEF4CD4" w14:textId="77777777" w:rsidR="00A85D0F" w:rsidRPr="00353B65" w:rsidRDefault="003347AD" w:rsidP="00A85D0F">
      <w:pPr>
        <w:tabs>
          <w:tab w:val="left" w:pos="6379"/>
        </w:tabs>
        <w:ind w:firstLine="540"/>
        <w:rPr>
          <w:rFonts w:asciiTheme="minorHAnsi" w:hAnsiTheme="minorHAnsi" w:cstheme="minorHAnsi"/>
        </w:rPr>
      </w:pPr>
      <w:hyperlink r:id="rId16" w:history="1">
        <w:r w:rsidR="00A85D0F" w:rsidRPr="00353B65">
          <w:rPr>
            <w:rStyle w:val="Hipersaitas"/>
            <w:rFonts w:asciiTheme="minorHAnsi" w:hAnsiTheme="minorHAnsi" w:cstheme="minorHAnsi"/>
          </w:rPr>
          <w:t>Prieiga internete</w:t>
        </w:r>
      </w:hyperlink>
    </w:p>
    <w:p w14:paraId="00632A00" w14:textId="77777777" w:rsidR="00A85D0F" w:rsidRPr="00353B65" w:rsidRDefault="00A85D0F" w:rsidP="00A85D0F">
      <w:pPr>
        <w:tabs>
          <w:tab w:val="left" w:pos="6379"/>
        </w:tabs>
        <w:ind w:firstLine="540"/>
        <w:rPr>
          <w:rFonts w:asciiTheme="minorHAnsi" w:hAnsiTheme="minorHAnsi" w:cstheme="minorHAnsi"/>
        </w:rPr>
      </w:pPr>
    </w:p>
    <w:p w14:paraId="391BFBD0" w14:textId="586122C6" w:rsidR="00A85D0F" w:rsidRPr="00963B91" w:rsidRDefault="00A85D0F" w:rsidP="00963B91">
      <w:pPr>
        <w:pStyle w:val="Antrat1"/>
        <w:rPr>
          <w:i/>
          <w:szCs w:val="22"/>
        </w:rPr>
      </w:pPr>
      <w:bookmarkStart w:id="32" w:name="_Toc78824522"/>
      <w:bookmarkStart w:id="33" w:name="_Toc85700938"/>
      <w:r w:rsidRPr="00353B65">
        <w:rPr>
          <w:szCs w:val="22"/>
        </w:rPr>
        <w:t xml:space="preserve">2021 m. kovo 3 d. sprendimas byloje </w:t>
      </w:r>
      <w:r w:rsidRPr="00353B65">
        <w:rPr>
          <w:i/>
          <w:szCs w:val="22"/>
        </w:rPr>
        <w:t>Hauptzollamt Münster</w:t>
      </w:r>
      <w:bookmarkEnd w:id="32"/>
      <w:r w:rsidR="00963B91">
        <w:rPr>
          <w:i/>
          <w:szCs w:val="22"/>
        </w:rPr>
        <w:t xml:space="preserve">, </w:t>
      </w:r>
      <w:r w:rsidRPr="001F0AC4">
        <w:rPr>
          <w:bCs/>
        </w:rPr>
        <w:t>C</w:t>
      </w:r>
      <w:r w:rsidR="00963B91">
        <w:rPr>
          <w:b w:val="0"/>
          <w:bCs/>
        </w:rPr>
        <w:t>-</w:t>
      </w:r>
      <w:r w:rsidRPr="001F0AC4">
        <w:rPr>
          <w:bCs/>
        </w:rPr>
        <w:t>7/20</w:t>
      </w:r>
      <w:bookmarkEnd w:id="33"/>
    </w:p>
    <w:p w14:paraId="14C7EFC0" w14:textId="77777777" w:rsidR="0071254A" w:rsidRPr="00353B65" w:rsidRDefault="0071254A" w:rsidP="0071254A">
      <w:pPr>
        <w:tabs>
          <w:tab w:val="left" w:pos="6379"/>
        </w:tabs>
        <w:jc w:val="center"/>
        <w:rPr>
          <w:rFonts w:asciiTheme="minorHAnsi" w:hAnsiTheme="minorHAnsi" w:cstheme="minorHAnsi"/>
        </w:rPr>
      </w:pPr>
    </w:p>
    <w:p w14:paraId="01982186" w14:textId="43E87D47" w:rsidR="00A85D0F" w:rsidRPr="00353B65" w:rsidRDefault="00A85D0F" w:rsidP="00DC60D8">
      <w:pPr>
        <w:tabs>
          <w:tab w:val="left" w:pos="567"/>
        </w:tabs>
        <w:ind w:firstLine="567"/>
        <w:rPr>
          <w:rFonts w:asciiTheme="minorHAnsi" w:hAnsiTheme="minorHAnsi" w:cstheme="minorHAnsi"/>
        </w:rPr>
      </w:pPr>
      <w:r w:rsidRPr="00353B65">
        <w:rPr>
          <w:rFonts w:asciiTheme="minorHAnsi" w:hAnsiTheme="minorHAnsi" w:cstheme="minorHAnsi"/>
        </w:rPr>
        <w:lastRenderedPageBreak/>
        <w:t>Muitų sąjunga – Skolos muitinei atsiradimo vieta – Pridėtinės vertės mokestis (PVM) – PVM direktyva – 2 straipsnio 1 dalis</w:t>
      </w:r>
      <w:r w:rsidRPr="00353B65">
        <w:rPr>
          <w:rStyle w:val="Puslapioinaosnuoroda"/>
          <w:rFonts w:asciiTheme="minorHAnsi" w:hAnsiTheme="minorHAnsi" w:cstheme="minorHAnsi"/>
        </w:rPr>
        <w:footnoteReference w:id="13"/>
      </w:r>
      <w:r w:rsidRPr="00353B65">
        <w:rPr>
          <w:rFonts w:asciiTheme="minorHAnsi" w:hAnsiTheme="minorHAnsi" w:cstheme="minorHAnsi"/>
        </w:rPr>
        <w:t xml:space="preserve"> – 70 ir 71 straipsniai</w:t>
      </w:r>
      <w:r w:rsidRPr="00353B65">
        <w:rPr>
          <w:rStyle w:val="Puslapioinaosnuoroda"/>
          <w:rFonts w:asciiTheme="minorHAnsi" w:hAnsiTheme="minorHAnsi" w:cstheme="minorHAnsi"/>
        </w:rPr>
        <w:footnoteReference w:id="14"/>
      </w:r>
      <w:r w:rsidRPr="00353B65">
        <w:rPr>
          <w:rFonts w:asciiTheme="minorHAnsi" w:hAnsiTheme="minorHAnsi" w:cstheme="minorHAnsi"/>
        </w:rPr>
        <w:t xml:space="preserve"> – Apmokestinimo momentas ir prievolė apskaičiuoti PVM – Mokesčio skolos atsiradimo vieta – Sąjungos muitų teisės aktuose nustatytos prievolės neįvykdymo konstatavimas – </w:t>
      </w:r>
      <w:r w:rsidRPr="00DC60D8">
        <w:rPr>
          <w:rFonts w:asciiTheme="minorHAnsi" w:hAnsiTheme="minorHAnsi" w:cstheme="minorHAnsi"/>
          <w:iCs/>
          <w:shd w:val="clear" w:color="auto" w:fill="FFFFFF"/>
        </w:rPr>
        <w:t>Įvežimas</w:t>
      </w:r>
      <w:r w:rsidRPr="00353B65">
        <w:rPr>
          <w:rFonts w:asciiTheme="minorHAnsi" w:hAnsiTheme="minorHAnsi" w:cstheme="minorHAnsi"/>
        </w:rPr>
        <w:t xml:space="preserve"> į Sąjungos muitų teritoriją vienoje valstybėje narėje, bet išleidimas į Sąjungos ekonominę apyvartą valstybėje narėje, kurioje atliktas konstatavimas</w:t>
      </w:r>
    </w:p>
    <w:p w14:paraId="444AC5AE" w14:textId="77777777" w:rsidR="00A85D0F" w:rsidRPr="00353B65" w:rsidRDefault="00A85D0F" w:rsidP="00A85D0F">
      <w:pPr>
        <w:tabs>
          <w:tab w:val="left" w:pos="6379"/>
        </w:tabs>
        <w:ind w:firstLine="540"/>
        <w:rPr>
          <w:rFonts w:asciiTheme="minorHAnsi" w:hAnsiTheme="minorHAnsi" w:cstheme="minorHAnsi"/>
        </w:rPr>
      </w:pPr>
    </w:p>
    <w:p w14:paraId="2825902B" w14:textId="4BB7AA04" w:rsidR="00DC60D8" w:rsidRDefault="00DC60D8" w:rsidP="00DC60D8">
      <w:pPr>
        <w:tabs>
          <w:tab w:val="left" w:pos="6379"/>
        </w:tabs>
        <w:jc w:val="center"/>
        <w:rPr>
          <w:rFonts w:asciiTheme="minorHAnsi" w:hAnsiTheme="minorHAnsi" w:cstheme="minorHAnsi"/>
        </w:rPr>
      </w:pPr>
      <w:r>
        <w:rPr>
          <w:rFonts w:asciiTheme="minorHAnsi" w:hAnsiTheme="minorHAnsi" w:cstheme="minorHAnsi"/>
          <w:b/>
          <w:bCs/>
        </w:rPr>
        <w:t xml:space="preserve">Bylos </w:t>
      </w:r>
      <w:r w:rsidR="00A85D0F" w:rsidRPr="00353B65">
        <w:rPr>
          <w:rFonts w:asciiTheme="minorHAnsi" w:hAnsiTheme="minorHAnsi" w:cstheme="minorHAnsi"/>
          <w:b/>
          <w:bCs/>
        </w:rPr>
        <w:t>aplinkybės</w:t>
      </w:r>
    </w:p>
    <w:p w14:paraId="7BE63401" w14:textId="77777777" w:rsidR="00DC60D8" w:rsidRDefault="00DC60D8" w:rsidP="00A85D0F">
      <w:pPr>
        <w:tabs>
          <w:tab w:val="left" w:pos="6379"/>
        </w:tabs>
        <w:ind w:firstLine="540"/>
        <w:rPr>
          <w:rFonts w:asciiTheme="minorHAnsi" w:hAnsiTheme="minorHAnsi" w:cstheme="minorHAnsi"/>
        </w:rPr>
      </w:pPr>
    </w:p>
    <w:p w14:paraId="038E804E" w14:textId="44188655"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Prašymas priimti prejudicinį sprendimą pateiktas nagrinėjant VS ir Vokietijos muitinės ginčą dėl importo muito ir pridėtinės vertės mokesčio (PVM) mokėjimo už konkrečią Turkijoje registruotą ir į Europos Sąjungos teritoriją VS importuotą transporto priemonę.</w:t>
      </w:r>
    </w:p>
    <w:p w14:paraId="0CDCD1FB" w14:textId="563767C6" w:rsidR="00A85D0F" w:rsidRPr="00353B65"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 xml:space="preserve">Nustatyta, kad Vokietijoje gyvenantis VS iš Turkijos įvežė savo transporto priemonę iš Turkijos, kur ji buvo įregistruota, į šios valstybės narės teritoriją per Bulgariją, Serbiją, Vengriją ir Austriją. Šios transporto priemonės importas buvo nustatytas Vokietijoje per 2018 m. vasario 26 d. policijos patikrinimą. </w:t>
      </w:r>
    </w:p>
    <w:p w14:paraId="0E705304" w14:textId="18EA56A8" w:rsidR="00A85D0F" w:rsidRDefault="00A85D0F" w:rsidP="00A85D0F">
      <w:pPr>
        <w:tabs>
          <w:tab w:val="left" w:pos="6379"/>
        </w:tabs>
        <w:ind w:firstLine="540"/>
        <w:rPr>
          <w:rFonts w:asciiTheme="minorHAnsi" w:hAnsiTheme="minorHAnsi" w:cstheme="minorHAnsi"/>
        </w:rPr>
      </w:pPr>
      <w:r w:rsidRPr="00353B65">
        <w:rPr>
          <w:rFonts w:asciiTheme="minorHAnsi" w:hAnsiTheme="minorHAnsi" w:cstheme="minorHAnsi"/>
        </w:rPr>
        <w:t>Atlikusi minėtą patikrinimą Vokietijos muitinė, manydama, kad VS nepristatė transporto priemonės į importo muitinės įstaigą ir nepateikė jos muitinei, konstatavo, kad suinteresuotasis asmuo turėjo sumokėti 1</w:t>
      </w:r>
      <w:r w:rsidR="00115851">
        <w:rPr>
          <w:rFonts w:asciiTheme="minorHAnsi" w:hAnsiTheme="minorHAnsi" w:cstheme="minorHAnsi"/>
        </w:rPr>
        <w:t xml:space="preserve"> </w:t>
      </w:r>
      <w:r w:rsidRPr="00353B65">
        <w:rPr>
          <w:rFonts w:asciiTheme="minorHAnsi" w:hAnsiTheme="minorHAnsi" w:cstheme="minorHAnsi"/>
        </w:rPr>
        <w:t>589 EUR importo muitą ir 3</w:t>
      </w:r>
      <w:r w:rsidR="00115851">
        <w:rPr>
          <w:rFonts w:asciiTheme="minorHAnsi" w:hAnsiTheme="minorHAnsi" w:cstheme="minorHAnsi"/>
        </w:rPr>
        <w:t xml:space="preserve"> </w:t>
      </w:r>
      <w:r w:rsidRPr="00353B65">
        <w:rPr>
          <w:rFonts w:asciiTheme="minorHAnsi" w:hAnsiTheme="minorHAnsi" w:cstheme="minorHAnsi"/>
        </w:rPr>
        <w:t>021,01 EUR kaip importo PVM.</w:t>
      </w:r>
    </w:p>
    <w:p w14:paraId="535FD9F5" w14:textId="77777777" w:rsidR="00DC60D8" w:rsidRPr="00353B65" w:rsidRDefault="00DC60D8" w:rsidP="00A85D0F">
      <w:pPr>
        <w:tabs>
          <w:tab w:val="left" w:pos="6379"/>
        </w:tabs>
        <w:ind w:firstLine="540"/>
        <w:rPr>
          <w:rFonts w:asciiTheme="minorHAnsi" w:hAnsiTheme="minorHAnsi" w:cstheme="minorHAnsi"/>
        </w:rPr>
      </w:pPr>
    </w:p>
    <w:p w14:paraId="0B4E7B29" w14:textId="77777777" w:rsidR="00DC60D8" w:rsidRPr="00DC60D8" w:rsidRDefault="00DC60D8" w:rsidP="00DC60D8">
      <w:pPr>
        <w:tabs>
          <w:tab w:val="left" w:pos="6379"/>
        </w:tabs>
        <w:jc w:val="center"/>
        <w:rPr>
          <w:rFonts w:asciiTheme="minorHAnsi" w:hAnsiTheme="minorHAnsi" w:cstheme="minorHAnsi"/>
          <w:b/>
          <w:bCs/>
        </w:rPr>
      </w:pPr>
      <w:r w:rsidRPr="00DC60D8">
        <w:rPr>
          <w:rFonts w:asciiTheme="minorHAnsi" w:hAnsiTheme="minorHAnsi" w:cstheme="minorHAnsi"/>
          <w:b/>
          <w:bCs/>
        </w:rPr>
        <w:t>Teisingumo Teismo vertinimas</w:t>
      </w:r>
    </w:p>
    <w:p w14:paraId="062D8936" w14:textId="77777777" w:rsidR="00A85D0F" w:rsidRPr="00353B65" w:rsidRDefault="00A85D0F" w:rsidP="00A85D0F">
      <w:pPr>
        <w:tabs>
          <w:tab w:val="left" w:pos="6379"/>
        </w:tabs>
        <w:ind w:firstLine="540"/>
        <w:rPr>
          <w:rFonts w:asciiTheme="minorHAnsi" w:hAnsiTheme="minorHAnsi" w:cstheme="minorHAnsi"/>
        </w:rPr>
      </w:pPr>
    </w:p>
    <w:p w14:paraId="1BF59E68" w14:textId="77777777" w:rsidR="00A85D0F" w:rsidRPr="00963B91" w:rsidRDefault="00A85D0F" w:rsidP="00963B91">
      <w:pPr>
        <w:pStyle w:val="Antrat3"/>
        <w:ind w:firstLine="567"/>
      </w:pPr>
      <w:bookmarkStart w:id="34" w:name="_Toc78824523"/>
      <w:bookmarkStart w:id="35" w:name="_Toc85700939"/>
      <w:r w:rsidRPr="00963B91">
        <w:t>Dėl valstybės narės, kurioje turi būti sumokėtas importo PVM</w:t>
      </w:r>
      <w:bookmarkEnd w:id="34"/>
      <w:bookmarkEnd w:id="35"/>
    </w:p>
    <w:p w14:paraId="38CAC1B1" w14:textId="77777777" w:rsidR="00A85D0F" w:rsidRPr="00353B65" w:rsidRDefault="00A85D0F" w:rsidP="00A85D0F">
      <w:pPr>
        <w:tabs>
          <w:tab w:val="left" w:pos="6379"/>
        </w:tabs>
        <w:ind w:firstLine="540"/>
        <w:rPr>
          <w:rFonts w:asciiTheme="minorHAnsi" w:hAnsiTheme="minorHAnsi" w:cstheme="minorHAnsi"/>
        </w:rPr>
      </w:pPr>
    </w:p>
    <w:p w14:paraId="4ADCA59B" w14:textId="491AE522"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Prašymą priimti prejudicinį sprendimą pateikęs nacionalinis teismas iš esmės siekė išsiaiškinti, ar PVM direktyvos</w:t>
      </w:r>
      <w:r w:rsidR="006C6208">
        <w:rPr>
          <w:rStyle w:val="Puslapioinaosnuoroda"/>
          <w:rFonts w:asciiTheme="minorHAnsi" w:hAnsiTheme="minorHAnsi" w:cstheme="minorHAnsi"/>
        </w:rPr>
        <w:footnoteReference w:id="15"/>
      </w:r>
      <w:r w:rsidRPr="00353B65">
        <w:rPr>
          <w:rFonts w:asciiTheme="minorHAnsi" w:hAnsiTheme="minorHAnsi" w:cstheme="minorHAnsi"/>
        </w:rPr>
        <w:t xml:space="preserve"> 71 straipsnio 1 dalies antra pastraipa turi būti aiškinama taip, kad importo PVM, susijęs su muitais apmokestinamomis prekėmis, gali atsirasti valstybėje narėje, kurioje buvo konstatuotas Sąjungos muitų teisės aktuose nustatytos pareigos neįvykdymas.</w:t>
      </w:r>
    </w:p>
    <w:p w14:paraId="0DC9FF75"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 xml:space="preserve">Šiuo klausimu Teisingumo Teismas nurodė, kad nors pagal PVM direktyvos 60 straipsnį prekių importo vieta yra valstybėje narėje, kurios teritorijoje prekės yra, kai jos įvežamos į Sąjungą, šios direktyvos 71 straipsnio 1 dalies antroje pastraipoje numatyta, kad </w:t>
      </w:r>
      <w:r w:rsidRPr="00353B65">
        <w:rPr>
          <w:rFonts w:asciiTheme="minorHAnsi" w:hAnsiTheme="minorHAnsi" w:cstheme="minorHAnsi"/>
          <w:u w:val="single"/>
        </w:rPr>
        <w:t>kai importuojamoms prekėms taikomas muitas, apmokestinimo momentas įvyksta ir prievolė apskaičiuoti PVM atsiranda tada, kai įvyksta apmokestinimo tais mokesčiais momentas ir atsiranda prievolė juos apskaičiuoti</w:t>
      </w:r>
      <w:r w:rsidRPr="00353B65">
        <w:rPr>
          <w:rFonts w:asciiTheme="minorHAnsi" w:hAnsiTheme="minorHAnsi" w:cstheme="minorHAnsi"/>
        </w:rPr>
        <w:t xml:space="preserve">. Apmokestinimo importo PVM ir muitų mokesčiais esminiai bruožai yra panašūs, nes atsiranda dėl importo į Sąjungą ir dėl paskesnio prekių išleidimo į valstybių narių ekonominę apyvartą. Be to, </w:t>
      </w:r>
      <w:r w:rsidRPr="00353B65">
        <w:rPr>
          <w:rFonts w:asciiTheme="minorHAnsi" w:hAnsiTheme="minorHAnsi" w:cstheme="minorHAnsi"/>
          <w:u w:val="single"/>
        </w:rPr>
        <w:t xml:space="preserve">prie skolos muitinei galima pridėti PVM skolą, jei dėl neteisėto veiksmo, dėl kurio atsirado skola muitinei, būtų galima daryti prielaidą, kad atitinkamos prekės buvo išleistos į Sąjungos ekonominę apyvartą ir </w:t>
      </w:r>
      <w:r w:rsidRPr="00353B65">
        <w:rPr>
          <w:rFonts w:asciiTheme="minorHAnsi" w:hAnsiTheme="minorHAnsi" w:cstheme="minorHAnsi"/>
          <w:b/>
          <w:bCs/>
          <w:u w:val="single"/>
        </w:rPr>
        <w:t>galėjo būti suvartojamos</w:t>
      </w:r>
      <w:r w:rsidRPr="00353B65">
        <w:rPr>
          <w:rFonts w:asciiTheme="minorHAnsi" w:hAnsiTheme="minorHAnsi" w:cstheme="minorHAnsi"/>
          <w:u w:val="single"/>
        </w:rPr>
        <w:t>, todėl įvyko apmokestinimo PVM momentas</w:t>
      </w:r>
      <w:r w:rsidRPr="00353B65">
        <w:rPr>
          <w:rFonts w:asciiTheme="minorHAnsi" w:hAnsiTheme="minorHAnsi" w:cstheme="minorHAnsi"/>
        </w:rPr>
        <w:t>.</w:t>
      </w:r>
    </w:p>
    <w:p w14:paraId="1959DE4F"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u w:val="single"/>
        </w:rPr>
        <w:t>Vis dėlto tokia prielaida gali būti paneigta, jei būtų nustatyta, kad, nepaisant muitų teisės aktų pažeidimų, dėl kurių valstybėje narėje, kurioje buvo padaryti šie pažeidimai, atsirado importo skola muitinei, prekė valstybėje narėje, kurioje ji buvo skirta vartoti, pateko į Sąjungos ekonominę apyvartą</w:t>
      </w:r>
      <w:r w:rsidRPr="00353B65">
        <w:rPr>
          <w:rFonts w:asciiTheme="minorHAnsi" w:hAnsiTheme="minorHAnsi" w:cstheme="minorHAnsi"/>
        </w:rPr>
        <w:t xml:space="preserve">. </w:t>
      </w:r>
      <w:r w:rsidRPr="00353B65">
        <w:rPr>
          <w:rFonts w:asciiTheme="minorHAnsi" w:hAnsiTheme="minorHAnsi" w:cstheme="minorHAnsi"/>
          <w:u w:val="single"/>
        </w:rPr>
        <w:t>Tokiu atveju apmokestinimo importo PVM momentas įvyko</w:t>
      </w:r>
      <w:r w:rsidRPr="00353B65">
        <w:rPr>
          <w:rFonts w:asciiTheme="minorHAnsi" w:hAnsiTheme="minorHAnsi" w:cstheme="minorHAnsi"/>
          <w:b/>
          <w:bCs/>
          <w:u w:val="single"/>
        </w:rPr>
        <w:t xml:space="preserve"> toje kitoje</w:t>
      </w:r>
      <w:r w:rsidRPr="00353B65">
        <w:rPr>
          <w:rFonts w:asciiTheme="minorHAnsi" w:hAnsiTheme="minorHAnsi" w:cstheme="minorHAnsi"/>
          <w:u w:val="single"/>
        </w:rPr>
        <w:t xml:space="preserve"> valstybėje narėje</w:t>
      </w:r>
      <w:r w:rsidRPr="00353B65">
        <w:rPr>
          <w:rFonts w:asciiTheme="minorHAnsi" w:hAnsiTheme="minorHAnsi" w:cstheme="minorHAnsi"/>
        </w:rPr>
        <w:t>.</w:t>
      </w:r>
    </w:p>
    <w:p w14:paraId="27B23605"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lastRenderedPageBreak/>
        <w:t xml:space="preserve">Šiomis aplinkybėmis Teisingumo Teismas konstatavo, kad </w:t>
      </w:r>
      <w:r w:rsidRPr="00353B65">
        <w:rPr>
          <w:rFonts w:asciiTheme="minorHAnsi" w:hAnsiTheme="minorHAnsi" w:cstheme="minorHAnsi"/>
          <w:u w:val="single"/>
        </w:rPr>
        <w:t>PVM direktyvos 71 straipsnio 1 dalies antra pastraipa turi būti aiškinama taip, kad importo PVM, susijęs su muitais apmokestinamomis prekėmis, atsiranda valstybėje narėje, kurioje buvo konstatuotas Sąjungos muitų teisės aktuose nustatytos prievolės neįvykdymas, jei aptariamos prekės, net jei fiziškai buvo įvežtos į Sąjungos muitų teritoriją kitoje valstybėje narėje, į Sąjungos ekonominę apyvartą pateko valstybėje narėje, kurioje tai buvo konstatuota</w:t>
      </w:r>
      <w:r w:rsidRPr="00353B65">
        <w:rPr>
          <w:rFonts w:asciiTheme="minorHAnsi" w:hAnsiTheme="minorHAnsi" w:cstheme="minorHAnsi"/>
        </w:rPr>
        <w:t>.</w:t>
      </w:r>
    </w:p>
    <w:p w14:paraId="3CD4F818" w14:textId="77777777" w:rsidR="00A85D0F" w:rsidRPr="00353B65" w:rsidRDefault="003347AD" w:rsidP="00A85D0F">
      <w:pPr>
        <w:tabs>
          <w:tab w:val="left" w:pos="6379"/>
        </w:tabs>
        <w:ind w:firstLine="540"/>
        <w:rPr>
          <w:rStyle w:val="Hipersaitas"/>
          <w:rFonts w:asciiTheme="minorHAnsi" w:hAnsiTheme="minorHAnsi" w:cstheme="minorHAnsi"/>
        </w:rPr>
      </w:pPr>
      <w:hyperlink r:id="rId17" w:history="1">
        <w:r w:rsidR="00A85D0F" w:rsidRPr="00353B65">
          <w:rPr>
            <w:rStyle w:val="Hipersaitas"/>
            <w:rFonts w:asciiTheme="minorHAnsi" w:hAnsiTheme="minorHAnsi" w:cstheme="minorHAnsi"/>
          </w:rPr>
          <w:t>Prieiga internete</w:t>
        </w:r>
      </w:hyperlink>
    </w:p>
    <w:p w14:paraId="36FB8132" w14:textId="77777777" w:rsidR="005547AB" w:rsidRPr="00353B65" w:rsidRDefault="005547AB" w:rsidP="00A85D0F">
      <w:pPr>
        <w:tabs>
          <w:tab w:val="left" w:pos="6379"/>
        </w:tabs>
        <w:ind w:firstLine="540"/>
        <w:rPr>
          <w:rStyle w:val="Hipersaitas"/>
          <w:rFonts w:asciiTheme="minorHAnsi" w:hAnsiTheme="minorHAnsi" w:cstheme="minorHAnsi"/>
        </w:rPr>
      </w:pPr>
    </w:p>
    <w:p w14:paraId="28D7F538" w14:textId="26407ADC" w:rsidR="005547AB" w:rsidRPr="00963B91" w:rsidRDefault="005547AB" w:rsidP="00963B91">
      <w:pPr>
        <w:pStyle w:val="Antrat1"/>
      </w:pPr>
      <w:bookmarkStart w:id="36" w:name="_Toc78824510"/>
      <w:bookmarkStart w:id="37" w:name="_Toc85700940"/>
      <w:r w:rsidRPr="00353B65">
        <w:t xml:space="preserve">2021 m. birželio 10 d. </w:t>
      </w:r>
      <w:r w:rsidRPr="00071EC5">
        <w:t>sprendimas</w:t>
      </w:r>
      <w:r w:rsidRPr="00353B65">
        <w:t xml:space="preserve"> byloje </w:t>
      </w:r>
      <w:r w:rsidRPr="00DC60D8">
        <w:rPr>
          <w:i/>
          <w:iCs/>
        </w:rPr>
        <w:t>Commissioners for Her Majesty's Revenue and Customs</w:t>
      </w:r>
      <w:bookmarkEnd w:id="36"/>
      <w:r w:rsidR="00963B91">
        <w:rPr>
          <w:i/>
          <w:iCs/>
        </w:rPr>
        <w:t xml:space="preserve">, </w:t>
      </w:r>
      <w:r w:rsidRPr="0071254A">
        <w:rPr>
          <w:bCs/>
        </w:rPr>
        <w:t>C</w:t>
      </w:r>
      <w:r w:rsidR="00963B91">
        <w:rPr>
          <w:b w:val="0"/>
          <w:bCs/>
        </w:rPr>
        <w:t>-</w:t>
      </w:r>
      <w:r w:rsidRPr="0071254A">
        <w:rPr>
          <w:bCs/>
        </w:rPr>
        <w:t>279/19</w:t>
      </w:r>
      <w:bookmarkEnd w:id="37"/>
    </w:p>
    <w:p w14:paraId="7FE72BFF" w14:textId="77777777" w:rsidR="005547AB" w:rsidRPr="00353B65" w:rsidRDefault="005547AB" w:rsidP="005547AB">
      <w:pPr>
        <w:tabs>
          <w:tab w:val="left" w:pos="6379"/>
        </w:tabs>
        <w:ind w:firstLine="540"/>
        <w:rPr>
          <w:rFonts w:asciiTheme="minorHAnsi" w:hAnsiTheme="minorHAnsi" w:cstheme="minorHAnsi"/>
        </w:rPr>
      </w:pPr>
    </w:p>
    <w:p w14:paraId="628FE0DA" w14:textId="4E85E5DE" w:rsidR="005547AB" w:rsidRPr="00353B65" w:rsidRDefault="005547AB" w:rsidP="00DC60D8">
      <w:pPr>
        <w:ind w:firstLine="567"/>
        <w:rPr>
          <w:rFonts w:asciiTheme="minorHAnsi" w:hAnsiTheme="minorHAnsi" w:cstheme="minorHAnsi"/>
        </w:rPr>
      </w:pPr>
      <w:r w:rsidRPr="00353B65">
        <w:rPr>
          <w:rFonts w:asciiTheme="minorHAnsi" w:hAnsiTheme="minorHAnsi" w:cstheme="minorHAnsi"/>
        </w:rPr>
        <w:t>Bendra akcizų tvarka –</w:t>
      </w:r>
      <w:r w:rsidR="006C6208">
        <w:rPr>
          <w:rFonts w:asciiTheme="minorHAnsi" w:hAnsiTheme="minorHAnsi" w:cstheme="minorHAnsi"/>
        </w:rPr>
        <w:t xml:space="preserve"> </w:t>
      </w:r>
      <w:r w:rsidRPr="00353B65">
        <w:rPr>
          <w:rFonts w:asciiTheme="minorHAnsi" w:hAnsiTheme="minorHAnsi" w:cstheme="minorHAnsi"/>
        </w:rPr>
        <w:t>Direktyva 2008/118 – 33 straipsnio 3 dalis – Vienoje valstybėje narėje į apyvartą išleisti produktai, komerciniais tikslais laikomi kitoje valstybėje narėje – Asmuo, privalantis sumokėti akcizus, dėl kurių atsirado prievolė apskaičiuoti – Asmuo, laikantis prekes, kurios turi būti pristatytos kitoje valstybėje narėje – Prekių vežėjas</w:t>
      </w:r>
    </w:p>
    <w:p w14:paraId="44B1F7EB" w14:textId="77777777" w:rsidR="005547AB" w:rsidRPr="00353B65" w:rsidRDefault="005547AB" w:rsidP="005547AB">
      <w:pPr>
        <w:tabs>
          <w:tab w:val="left" w:pos="6379"/>
        </w:tabs>
        <w:ind w:firstLine="540"/>
        <w:rPr>
          <w:rFonts w:asciiTheme="minorHAnsi" w:hAnsiTheme="minorHAnsi" w:cstheme="minorHAnsi"/>
        </w:rPr>
      </w:pPr>
    </w:p>
    <w:p w14:paraId="357D3E30" w14:textId="77777777" w:rsidR="00DC60D8" w:rsidRDefault="00DC60D8" w:rsidP="00DC60D8">
      <w:pPr>
        <w:tabs>
          <w:tab w:val="left" w:pos="6379"/>
        </w:tabs>
        <w:jc w:val="center"/>
        <w:rPr>
          <w:rFonts w:asciiTheme="minorHAnsi" w:hAnsiTheme="minorHAnsi" w:cstheme="minorHAnsi"/>
        </w:rPr>
      </w:pPr>
      <w:r>
        <w:rPr>
          <w:rFonts w:asciiTheme="minorHAnsi" w:hAnsiTheme="minorHAnsi" w:cstheme="minorHAnsi"/>
          <w:b/>
          <w:bCs/>
        </w:rPr>
        <w:t>Bylos</w:t>
      </w:r>
      <w:r w:rsidR="005547AB" w:rsidRPr="00353B65">
        <w:rPr>
          <w:rFonts w:asciiTheme="minorHAnsi" w:hAnsiTheme="minorHAnsi" w:cstheme="minorHAnsi"/>
          <w:b/>
          <w:bCs/>
        </w:rPr>
        <w:t xml:space="preserve"> aplinkybės</w:t>
      </w:r>
    </w:p>
    <w:p w14:paraId="0D666144" w14:textId="77777777" w:rsidR="00DC60D8" w:rsidRDefault="00DC60D8" w:rsidP="005547AB">
      <w:pPr>
        <w:tabs>
          <w:tab w:val="left" w:pos="6379"/>
        </w:tabs>
        <w:ind w:firstLine="540"/>
        <w:rPr>
          <w:rFonts w:asciiTheme="minorHAnsi" w:hAnsiTheme="minorHAnsi" w:cstheme="minorHAnsi"/>
        </w:rPr>
      </w:pPr>
    </w:p>
    <w:p w14:paraId="7A80BB59" w14:textId="11F8B5E2" w:rsidR="005547AB" w:rsidRPr="00353B65" w:rsidRDefault="005547AB" w:rsidP="005547AB">
      <w:pPr>
        <w:tabs>
          <w:tab w:val="left" w:pos="6379"/>
        </w:tabs>
        <w:ind w:firstLine="540"/>
        <w:rPr>
          <w:rFonts w:asciiTheme="minorHAnsi" w:hAnsiTheme="minorHAnsi" w:cstheme="minorHAnsi"/>
        </w:rPr>
      </w:pPr>
      <w:r w:rsidRPr="00353B65">
        <w:rPr>
          <w:rFonts w:asciiTheme="minorHAnsi" w:hAnsiTheme="minorHAnsi" w:cstheme="minorHAnsi"/>
        </w:rPr>
        <w:t>Prašymas priimti prejudicinį sprendimą pateiktas nagrinėjant Jungtinės Karalystės mokesčių ir muitų administratoriaus ir WR ginčą dėl jam adresuoto pranešimo sumokėti akcizus, dėl kurių atsirado prievolė juos apskaičiuoti už prekes, jo atgabentas į Jungtinę Karalystę be galiojančio administracinio dokumento, įrodančio, kad gabenta taikant akcizų mokėjimo laikino atidėjimo režimą.</w:t>
      </w:r>
    </w:p>
    <w:p w14:paraId="37A04263" w14:textId="77777777" w:rsidR="005547AB" w:rsidRPr="00353B65" w:rsidRDefault="005547AB" w:rsidP="005547AB">
      <w:pPr>
        <w:tabs>
          <w:tab w:val="left" w:pos="6379"/>
        </w:tabs>
        <w:ind w:firstLine="540"/>
        <w:rPr>
          <w:rFonts w:asciiTheme="minorHAnsi" w:hAnsiTheme="minorHAnsi" w:cstheme="minorHAnsi"/>
        </w:rPr>
      </w:pPr>
      <w:r w:rsidRPr="00353B65">
        <w:rPr>
          <w:rFonts w:asciiTheme="minorHAnsi" w:hAnsiTheme="minorHAnsi" w:cstheme="minorHAnsi"/>
        </w:rPr>
        <w:t>Nustatyta, kad 2013 m. rugsėjo 6 d. pareigūnai sustabdė laisvai samdomo darbuotojo WR vairuojamą sunkvežimį, kuriame buvo akcizais apmokestinamų prekių – alaus.</w:t>
      </w:r>
    </w:p>
    <w:p w14:paraId="1A1FAFF3" w14:textId="01D05064" w:rsidR="005547AB" w:rsidRPr="00353B65" w:rsidRDefault="005547AB" w:rsidP="005547AB">
      <w:pPr>
        <w:tabs>
          <w:tab w:val="left" w:pos="6379"/>
        </w:tabs>
        <w:ind w:firstLine="540"/>
        <w:rPr>
          <w:rFonts w:asciiTheme="minorHAnsi" w:hAnsiTheme="minorHAnsi" w:cstheme="minorHAnsi"/>
        </w:rPr>
      </w:pPr>
      <w:r w:rsidRPr="00353B65">
        <w:rPr>
          <w:rFonts w:asciiTheme="minorHAnsi" w:hAnsiTheme="minorHAnsi" w:cstheme="minorHAnsi"/>
        </w:rPr>
        <w:t>WR pateikė pareigūnams CMR važtaraštį, kuriame buvo nurodyta, kad nagrinėjamoms prekėms taikomas Direktyvos 2008/118</w:t>
      </w:r>
      <w:r w:rsidR="006C6208">
        <w:rPr>
          <w:rStyle w:val="Puslapioinaosnuoroda"/>
          <w:rFonts w:asciiTheme="minorHAnsi" w:hAnsiTheme="minorHAnsi" w:cstheme="minorHAnsi"/>
        </w:rPr>
        <w:footnoteReference w:id="16"/>
      </w:r>
      <w:r w:rsidRPr="00353B65">
        <w:rPr>
          <w:rFonts w:asciiTheme="minorHAnsi" w:hAnsiTheme="minorHAnsi" w:cstheme="minorHAnsi"/>
        </w:rPr>
        <w:t xml:space="preserve"> 21 straipsnyje numatytas elektroninis administracinis dokumentas, kuriame yra nurodytas administracinis referencinis kodas (toliau – ARK). Šiame važtaraštyje taip pat buvo nurodyta, kad siuntėjas yra Vokietijoje esantis apmokestinamų prekių sandėlis, o gavėjas yra apmokestinamų prekių sandėlis Jungtinėje Karalystėje. Patikrinus duomenis Akcizais apmokestinamų prekių gabenimo ir kontrolės sistemoje nustatyta, kad CMR važtaraštyje nurodytas ARK jau buvo panaudotam kitam alaus tiekimui tam pačiam apmokestinamų prekių sandėliui Jungtinėje Karalystėje. Todėl pareigūnai nusprendė, kad ginčo prekės nebuvo gabenamos taikant akcizų mokėjimo laikino atidėjimo režimą, dėl ko atsirado prievolė apskaičiuoti su jomis susijusius akcizus šias prekes atgabenus į Jungtinę Karalystę (WR). </w:t>
      </w:r>
    </w:p>
    <w:p w14:paraId="4CADCAE7" w14:textId="2BAE3017" w:rsidR="005547AB" w:rsidRDefault="005547AB" w:rsidP="005547AB">
      <w:pPr>
        <w:tabs>
          <w:tab w:val="left" w:pos="6379"/>
        </w:tabs>
        <w:ind w:firstLine="540"/>
        <w:rPr>
          <w:rFonts w:asciiTheme="minorHAnsi" w:hAnsiTheme="minorHAnsi" w:cstheme="minorHAnsi"/>
        </w:rPr>
      </w:pPr>
    </w:p>
    <w:p w14:paraId="1019E03C" w14:textId="77777777" w:rsidR="00DC60D8" w:rsidRPr="00DC60D8" w:rsidRDefault="00DC60D8" w:rsidP="00DC60D8">
      <w:pPr>
        <w:tabs>
          <w:tab w:val="left" w:pos="6379"/>
        </w:tabs>
        <w:jc w:val="center"/>
        <w:rPr>
          <w:rFonts w:asciiTheme="minorHAnsi" w:hAnsiTheme="minorHAnsi" w:cstheme="minorHAnsi"/>
          <w:b/>
          <w:bCs/>
        </w:rPr>
      </w:pPr>
      <w:r w:rsidRPr="00DC60D8">
        <w:rPr>
          <w:rFonts w:asciiTheme="minorHAnsi" w:hAnsiTheme="minorHAnsi" w:cstheme="minorHAnsi"/>
          <w:b/>
          <w:bCs/>
        </w:rPr>
        <w:t>Teisingumo Teismo vertinimas</w:t>
      </w:r>
    </w:p>
    <w:p w14:paraId="5477B9A5" w14:textId="77777777" w:rsidR="00DC60D8" w:rsidRPr="00353B65" w:rsidRDefault="00DC60D8" w:rsidP="005547AB">
      <w:pPr>
        <w:tabs>
          <w:tab w:val="left" w:pos="6379"/>
        </w:tabs>
        <w:ind w:firstLine="540"/>
        <w:rPr>
          <w:rFonts w:asciiTheme="minorHAnsi" w:hAnsiTheme="minorHAnsi" w:cstheme="minorHAnsi"/>
        </w:rPr>
      </w:pPr>
    </w:p>
    <w:p w14:paraId="424DE0A7" w14:textId="77777777" w:rsidR="005547AB" w:rsidRPr="00963B91" w:rsidRDefault="005547AB" w:rsidP="00963B91">
      <w:pPr>
        <w:pStyle w:val="Antrat3"/>
        <w:ind w:firstLine="567"/>
      </w:pPr>
      <w:bookmarkStart w:id="38" w:name="_Toc78824511"/>
      <w:bookmarkStart w:id="39" w:name="_Toc85700941"/>
      <w:r w:rsidRPr="00963B91">
        <w:t>Dėl akcizais apmokestinamas prekes gabenusio vežėjo, kuris nėra jų savininkas, prievolės sumokėti akcizą, kai jis (vežėjas) klaidingai mano, kad šioms prekėms taikomas akcizo mokėjimo laikino atidėjimo režimas (nežino, kad šis režimas netaikomas)</w:t>
      </w:r>
      <w:bookmarkEnd w:id="38"/>
      <w:bookmarkEnd w:id="39"/>
    </w:p>
    <w:p w14:paraId="40B02D40" w14:textId="77777777" w:rsidR="005547AB" w:rsidRPr="0071254A" w:rsidRDefault="005547AB" w:rsidP="005547AB">
      <w:pPr>
        <w:tabs>
          <w:tab w:val="left" w:pos="6379"/>
        </w:tabs>
        <w:ind w:firstLine="540"/>
        <w:rPr>
          <w:rFonts w:asciiTheme="minorHAnsi" w:hAnsiTheme="minorHAnsi" w:cstheme="minorHAnsi"/>
          <w:i/>
          <w:iCs/>
        </w:rPr>
      </w:pPr>
    </w:p>
    <w:p w14:paraId="28A492C8" w14:textId="18F2279F"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Prejudicinį klausimą pateikęs nacionalinis teismas siekė išsiaiškinti, ar Direktyvos 2008/118 33 straipsnio 3 dalį</w:t>
      </w:r>
      <w:r w:rsidR="006C6208" w:rsidRPr="00353B65">
        <w:rPr>
          <w:rStyle w:val="Puslapioinaosnuoroda"/>
          <w:rFonts w:asciiTheme="minorHAnsi" w:hAnsiTheme="minorHAnsi" w:cstheme="minorHAnsi"/>
        </w:rPr>
        <w:footnoteReference w:id="17"/>
      </w:r>
      <w:r w:rsidRPr="00353B65">
        <w:rPr>
          <w:rFonts w:asciiTheme="minorHAnsi" w:hAnsiTheme="minorHAnsi" w:cstheme="minorHAnsi"/>
        </w:rPr>
        <w:t xml:space="preserve"> reikia aiškinti taip, kad asmuo, kuris kito asmens sąskaita gabena akcizais </w:t>
      </w:r>
      <w:r w:rsidRPr="00353B65">
        <w:rPr>
          <w:rFonts w:asciiTheme="minorHAnsi" w:hAnsiTheme="minorHAnsi" w:cstheme="minorHAnsi"/>
        </w:rPr>
        <w:lastRenderedPageBreak/>
        <w:t>apmokestinamas prekes į kitą valstybę narę ir fiziškai turi šias prekes, kai atsiranda prievolė apskaičiuoti su jomis susijusius akcizus, pagal šią nuostatą privalo sumokėti šiuos akcizus, net jeigu neturi jokių su minėtomis prekėmis susijusių teisių ar interesų ir nežino, kad jos yra apmokestinamos akcizais; arba, net jei tai žino, nenutuokia, kad atsirado prievolė apskaičiuoti su jomis susijusius akcizus.</w:t>
      </w:r>
    </w:p>
    <w:p w14:paraId="4C9FDBAC"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 xml:space="preserve">Šiuo klausimų Teisingumo Teismas nurodė, kad asmens, „laikančio“ prekes, sąvoka bendrinėje kalboje reiškia asmenį, kuris fiziškai disponuoja šiomis prekėmis. </w:t>
      </w:r>
      <w:r w:rsidRPr="00353B65">
        <w:rPr>
          <w:rFonts w:asciiTheme="minorHAnsi" w:hAnsiTheme="minorHAnsi" w:cstheme="minorHAnsi"/>
          <w:u w:val="single"/>
        </w:rPr>
        <w:t>Šiuo aspektu klausimas, ar atitinkamas asmuo turi teisę ar kokį nors interesą turimų prekių atžvilgiu, neturi reikšmės</w:t>
      </w:r>
      <w:r w:rsidRPr="00353B65">
        <w:rPr>
          <w:rFonts w:asciiTheme="minorHAnsi" w:hAnsiTheme="minorHAnsi" w:cstheme="minorHAnsi"/>
        </w:rPr>
        <w:t xml:space="preserve">. Be to, </w:t>
      </w:r>
      <w:r w:rsidRPr="00353B65">
        <w:rPr>
          <w:rFonts w:asciiTheme="minorHAnsi" w:hAnsiTheme="minorHAnsi" w:cstheme="minorHAnsi"/>
          <w:u w:val="single"/>
        </w:rPr>
        <w:t>Direktyvos 2008/118 33 straipsnio 3 dalies formuluotėje nėra nieko, kas rodytų, jog asmens, kuris privalo sumokėti akcizus, statusas, nes jis yra „asmuo, laikantis pristatyti skirtas prekes“, priklauso nuo sąlygos, susijusios su tuo, ar šis asmuo žinojo arba pagrįstai turėjo žinoti, kad prievolė apskaičiuoti akcizus atsiranda pagal šią nuostatą, patikrinimo</w:t>
      </w:r>
      <w:r w:rsidRPr="00353B65">
        <w:rPr>
          <w:rFonts w:asciiTheme="minorHAnsi" w:hAnsiTheme="minorHAnsi" w:cstheme="minorHAnsi"/>
        </w:rPr>
        <w:t>.</w:t>
      </w:r>
    </w:p>
    <w:p w14:paraId="2BBB273C" w14:textId="77777777" w:rsidR="00963B91" w:rsidRPr="00353B65" w:rsidRDefault="00963B91" w:rsidP="00963B91">
      <w:pPr>
        <w:tabs>
          <w:tab w:val="left" w:pos="6379"/>
        </w:tabs>
        <w:ind w:firstLine="540"/>
        <w:rPr>
          <w:rFonts w:asciiTheme="minorHAnsi" w:hAnsiTheme="minorHAnsi" w:cstheme="minorHAnsi"/>
        </w:rPr>
      </w:pPr>
      <w:r w:rsidRPr="00353B65">
        <w:rPr>
          <w:rFonts w:asciiTheme="minorHAnsi" w:hAnsiTheme="minorHAnsi" w:cstheme="minorHAnsi"/>
        </w:rPr>
        <w:t xml:space="preserve">Todėl Teisingumo Teismas sprendė, kad </w:t>
      </w:r>
      <w:r w:rsidRPr="00353B65">
        <w:rPr>
          <w:rFonts w:asciiTheme="minorHAnsi" w:hAnsiTheme="minorHAnsi" w:cstheme="minorHAnsi"/>
          <w:u w:val="single"/>
        </w:rPr>
        <w:t xml:space="preserve">Direktyvos 2008/118 33 straipsnio 3 dalis aiškintina taip, kad asmuo, kuris kito asmens sąskaita gabena akcizais apmokestinamas prekes į kitą valstybę narę ir fiziškai turi šias prekes, kai atsiranda prievolė apskaičiuoti su jomis susijusius akcizus, pagal šią nuostatą privalo juos sumokėti, </w:t>
      </w:r>
      <w:r w:rsidRPr="00353B65">
        <w:rPr>
          <w:rFonts w:asciiTheme="minorHAnsi" w:hAnsiTheme="minorHAnsi" w:cstheme="minorHAnsi"/>
          <w:b/>
          <w:bCs/>
          <w:u w:val="single"/>
        </w:rPr>
        <w:t>net jeigu</w:t>
      </w:r>
      <w:r w:rsidRPr="00353B65">
        <w:rPr>
          <w:rFonts w:asciiTheme="minorHAnsi" w:hAnsiTheme="minorHAnsi" w:cstheme="minorHAnsi"/>
          <w:u w:val="single"/>
        </w:rPr>
        <w:t xml:space="preserve"> (1) neturi jokių su minėtomis prekėmis susijusių teisių ar interesų ir (2) nežino, kad jos yra apmokestinamos akcizais; arba, net jei tai žino, nenutuokia, kad atsirado prievolė apskaičiuoti su jomis susijusius akcizus</w:t>
      </w:r>
      <w:r w:rsidRPr="00353B65">
        <w:rPr>
          <w:rFonts w:asciiTheme="minorHAnsi" w:hAnsiTheme="minorHAnsi" w:cstheme="minorHAnsi"/>
        </w:rPr>
        <w:t>.</w:t>
      </w:r>
    </w:p>
    <w:p w14:paraId="33F51100" w14:textId="77777777" w:rsidR="005547AB" w:rsidRPr="00353B65" w:rsidRDefault="003347AD" w:rsidP="005547AB">
      <w:pPr>
        <w:tabs>
          <w:tab w:val="left" w:pos="6379"/>
        </w:tabs>
        <w:ind w:firstLine="540"/>
        <w:rPr>
          <w:rFonts w:asciiTheme="minorHAnsi" w:hAnsiTheme="minorHAnsi" w:cstheme="minorHAnsi"/>
        </w:rPr>
      </w:pPr>
      <w:hyperlink r:id="rId18" w:history="1">
        <w:r w:rsidR="005547AB" w:rsidRPr="00353B65">
          <w:rPr>
            <w:rStyle w:val="Hipersaitas"/>
            <w:rFonts w:asciiTheme="minorHAnsi" w:hAnsiTheme="minorHAnsi" w:cstheme="minorHAnsi"/>
          </w:rPr>
          <w:t>Prieiga internete</w:t>
        </w:r>
      </w:hyperlink>
    </w:p>
    <w:p w14:paraId="117F6401" w14:textId="645941F5" w:rsidR="008347BC" w:rsidRPr="00353B65" w:rsidRDefault="008347BC" w:rsidP="008347BC">
      <w:pPr>
        <w:rPr>
          <w:rFonts w:asciiTheme="minorHAnsi" w:hAnsiTheme="minorHAnsi" w:cstheme="minorHAnsi"/>
        </w:rPr>
      </w:pPr>
    </w:p>
    <w:p w14:paraId="0701193D" w14:textId="77777777" w:rsidR="00515BCC" w:rsidRPr="00353B65" w:rsidRDefault="00515BCC" w:rsidP="00071EC5">
      <w:pPr>
        <w:pStyle w:val="Antrat1"/>
      </w:pPr>
      <w:bookmarkStart w:id="40" w:name="_Toc85700942"/>
      <w:r w:rsidRPr="00353B65">
        <w:t>LAISVAS DARBUOTOJŲ JUDĖJIMAS</w:t>
      </w:r>
      <w:bookmarkEnd w:id="40"/>
    </w:p>
    <w:p w14:paraId="5031E405" w14:textId="77777777" w:rsidR="00515BCC" w:rsidRPr="00353B65" w:rsidRDefault="00515BCC" w:rsidP="00515BCC"/>
    <w:p w14:paraId="250569C3" w14:textId="529EBEEE" w:rsidR="00515BCC" w:rsidRPr="00963B91" w:rsidRDefault="0071254A" w:rsidP="00963B91">
      <w:pPr>
        <w:pStyle w:val="Antrat1"/>
      </w:pPr>
      <w:bookmarkStart w:id="41" w:name="_Toc85700943"/>
      <w:r w:rsidRPr="0071254A">
        <w:t xml:space="preserve">Didžiosios kolegijos 2021 m. birželio 3 d. sprendimas byloje </w:t>
      </w:r>
      <w:r w:rsidRPr="00DC60D8">
        <w:rPr>
          <w:i/>
          <w:iCs/>
        </w:rPr>
        <w:t>Team Power Europe</w:t>
      </w:r>
      <w:r w:rsidR="00963B91">
        <w:t xml:space="preserve">, </w:t>
      </w:r>
      <w:r w:rsidR="00515BCC" w:rsidRPr="00353B65">
        <w:rPr>
          <w:bCs/>
        </w:rPr>
        <w:t>C</w:t>
      </w:r>
      <w:r w:rsidR="00515BCC" w:rsidRPr="00353B65">
        <w:rPr>
          <w:rFonts w:ascii="Cambria Math" w:hAnsi="Cambria Math" w:cs="Cambria Math"/>
          <w:bCs/>
        </w:rPr>
        <w:t>‑</w:t>
      </w:r>
      <w:r w:rsidR="00515BCC" w:rsidRPr="00353B65">
        <w:rPr>
          <w:bCs/>
        </w:rPr>
        <w:t>784/19</w:t>
      </w:r>
      <w:bookmarkEnd w:id="41"/>
    </w:p>
    <w:p w14:paraId="1B172B78" w14:textId="77777777" w:rsidR="00515BCC" w:rsidRPr="00353B65" w:rsidRDefault="00515BCC" w:rsidP="00515BCC">
      <w:pPr>
        <w:rPr>
          <w:lang w:eastAsia="lt-LT"/>
        </w:rPr>
      </w:pPr>
    </w:p>
    <w:p w14:paraId="62EB5556" w14:textId="2BA67F6D" w:rsidR="00515BCC" w:rsidRPr="00353B65" w:rsidRDefault="00515BCC" w:rsidP="00DC60D8">
      <w:pPr>
        <w:tabs>
          <w:tab w:val="left" w:pos="567"/>
        </w:tabs>
        <w:ind w:firstLine="567"/>
        <w:rPr>
          <w:rFonts w:asciiTheme="minorHAnsi" w:hAnsiTheme="minorHAnsi" w:cstheme="minorHAnsi"/>
          <w:b/>
          <w:bCs/>
        </w:rPr>
      </w:pPr>
      <w:r w:rsidRPr="00353B65">
        <w:rPr>
          <w:rFonts w:asciiTheme="minorHAnsi" w:hAnsiTheme="minorHAnsi" w:cstheme="minorHAnsi"/>
        </w:rPr>
        <w:t>Darbuotojai migrantai – Socialinė apsauga – Taikytini teisės aktai – Reglamentas (EB) Nr. 883/2004 – 12 straipsnio 1 dalis – Komandiravimas – Laikinieji darbuotojai – Reglamentas (EB) Nr. 987/2009 – 14 </w:t>
      </w:r>
      <w:r w:rsidRPr="00DC60D8">
        <w:rPr>
          <w:rFonts w:asciiTheme="minorHAnsi" w:hAnsiTheme="minorHAnsi" w:cstheme="minorHAnsi"/>
          <w:iCs/>
          <w:shd w:val="clear" w:color="auto" w:fill="FFFFFF"/>
        </w:rPr>
        <w:t>straipsnio</w:t>
      </w:r>
      <w:r w:rsidRPr="00353B65">
        <w:rPr>
          <w:rFonts w:asciiTheme="minorHAnsi" w:hAnsiTheme="minorHAnsi" w:cstheme="minorHAnsi"/>
        </w:rPr>
        <w:t xml:space="preserve"> 2 dalis – Pažyma A 1 – Valstybės narės, kurioje darbdavys paprastai vykdo savo veiklą, nustatymas – Sąvoka „didelė veiklos dalis, išskyrus vien tik vidaus valdymo veiklą“ – Laikinųjų darbuotojų nepaskyrimas laikinai dirbti darbdavio įsiteigimo valstybės narės teritorijoje</w:t>
      </w:r>
      <w:r w:rsidRPr="00353B65">
        <w:rPr>
          <w:rFonts w:asciiTheme="minorHAnsi" w:hAnsiTheme="minorHAnsi" w:cstheme="minorHAnsi"/>
          <w:b/>
          <w:bCs/>
        </w:rPr>
        <w:tab/>
      </w:r>
    </w:p>
    <w:p w14:paraId="61D3D93A" w14:textId="77777777" w:rsidR="00DC60D8" w:rsidRDefault="00DC60D8" w:rsidP="00515BCC">
      <w:pPr>
        <w:pStyle w:val="c01pointnumerotealtn"/>
        <w:shd w:val="clear" w:color="auto" w:fill="FFFFFF"/>
        <w:spacing w:before="0" w:beforeAutospacing="0" w:after="0"/>
        <w:jc w:val="center"/>
        <w:rPr>
          <w:rFonts w:asciiTheme="minorHAnsi" w:hAnsiTheme="minorHAnsi" w:cstheme="minorHAnsi"/>
          <w:b/>
          <w:bCs/>
          <w:sz w:val="22"/>
          <w:szCs w:val="22"/>
        </w:rPr>
      </w:pPr>
    </w:p>
    <w:p w14:paraId="7935ADAA" w14:textId="0D110AB1" w:rsidR="00515BCC" w:rsidRPr="00353B65" w:rsidRDefault="00DC60D8" w:rsidP="00DC60D8">
      <w:pPr>
        <w:tabs>
          <w:tab w:val="left" w:pos="6379"/>
        </w:tabs>
        <w:jc w:val="center"/>
        <w:rPr>
          <w:rFonts w:asciiTheme="minorHAnsi" w:hAnsiTheme="minorHAnsi" w:cstheme="minorHAnsi"/>
          <w:b/>
          <w:bCs/>
        </w:rPr>
      </w:pPr>
      <w:r>
        <w:rPr>
          <w:rFonts w:asciiTheme="minorHAnsi" w:hAnsiTheme="minorHAnsi" w:cstheme="minorHAnsi"/>
          <w:b/>
          <w:bCs/>
        </w:rPr>
        <w:t>Bylos</w:t>
      </w:r>
      <w:r w:rsidR="00515BCC" w:rsidRPr="00353B65">
        <w:rPr>
          <w:rFonts w:asciiTheme="minorHAnsi" w:hAnsiTheme="minorHAnsi" w:cstheme="minorHAnsi"/>
          <w:b/>
          <w:bCs/>
        </w:rPr>
        <w:t xml:space="preserve"> aplinkybės</w:t>
      </w:r>
    </w:p>
    <w:p w14:paraId="1B544267" w14:textId="77777777" w:rsidR="00515BCC" w:rsidRPr="00353B65" w:rsidRDefault="00515BCC" w:rsidP="00515BCC">
      <w:pPr>
        <w:ind w:firstLine="567"/>
        <w:rPr>
          <w:rFonts w:asciiTheme="minorHAnsi" w:hAnsiTheme="minorHAnsi" w:cstheme="minorHAnsi"/>
          <w:iCs/>
          <w:shd w:val="clear" w:color="auto" w:fill="FFFFFF"/>
        </w:rPr>
      </w:pPr>
    </w:p>
    <w:p w14:paraId="0A8435C6" w14:textId="77777777" w:rsidR="00515BCC" w:rsidRPr="00353B65" w:rsidRDefault="00515BCC" w:rsidP="00515BCC">
      <w:pPr>
        <w:ind w:firstLine="567"/>
        <w:rPr>
          <w:rFonts w:asciiTheme="minorHAnsi" w:hAnsiTheme="minorHAnsi" w:cstheme="minorHAnsi"/>
          <w:iCs/>
          <w:shd w:val="clear" w:color="auto" w:fill="FFFFFF"/>
        </w:rPr>
      </w:pPr>
      <w:r w:rsidRPr="00353B65">
        <w:rPr>
          <w:rFonts w:asciiTheme="minorHAnsi" w:hAnsiTheme="minorHAnsi" w:cstheme="minorHAnsi"/>
          <w:iCs/>
          <w:shd w:val="clear" w:color="auto" w:fill="FFFFFF"/>
        </w:rPr>
        <w:t>2018 m. Bulgarijos pilietis sudarė darbo sutartį su pagal Bulgarijos teisę įsteigta bendrove </w:t>
      </w:r>
      <w:r w:rsidRPr="00353B65">
        <w:rPr>
          <w:rFonts w:asciiTheme="minorHAnsi" w:hAnsiTheme="minorHAnsi" w:cstheme="minorHAnsi"/>
          <w:i/>
          <w:iCs/>
          <w:shd w:val="clear" w:color="auto" w:fill="FFFFFF"/>
        </w:rPr>
        <w:t>Team Power Europe</w:t>
      </w:r>
      <w:r w:rsidRPr="00353B65">
        <w:rPr>
          <w:rFonts w:asciiTheme="minorHAnsi" w:hAnsiTheme="minorHAnsi" w:cstheme="minorHAnsi"/>
          <w:iCs/>
          <w:shd w:val="clear" w:color="auto" w:fill="FFFFFF"/>
        </w:rPr>
        <w:t xml:space="preserve">, kurios veiklos dalykas – laikinasis įdarbinimas ir tarpininkavimas ieškant darbo Bulgarijoje ir kitose šalyse. Pagal šią sutartį jis buvo paskirtas laikinai dirbti Vokietijoje įsteigtoje įmonėje laikinojo darbo naudotojoje. </w:t>
      </w:r>
    </w:p>
    <w:p w14:paraId="0D0FA3EE" w14:textId="77777777" w:rsidR="00515BCC" w:rsidRPr="00353B65" w:rsidRDefault="00515BCC" w:rsidP="00515BCC">
      <w:pPr>
        <w:ind w:firstLine="567"/>
        <w:rPr>
          <w:rFonts w:asciiTheme="minorHAnsi" w:hAnsiTheme="minorHAnsi" w:cstheme="minorHAnsi"/>
          <w:iCs/>
          <w:shd w:val="clear" w:color="auto" w:fill="FFFFFF"/>
        </w:rPr>
      </w:pPr>
      <w:r w:rsidRPr="00353B65">
        <w:rPr>
          <w:rFonts w:asciiTheme="minorHAnsi" w:hAnsiTheme="minorHAnsi" w:cstheme="minorHAnsi"/>
          <w:iCs/>
          <w:shd w:val="clear" w:color="auto" w:fill="FFFFFF"/>
        </w:rPr>
        <w:t>Nusprendęs, kad, pirma, nebuvo išlaikyti </w:t>
      </w:r>
      <w:r w:rsidRPr="00353B65">
        <w:rPr>
          <w:rFonts w:asciiTheme="minorHAnsi" w:hAnsiTheme="minorHAnsi" w:cstheme="minorHAnsi"/>
          <w:i/>
          <w:iCs/>
          <w:shd w:val="clear" w:color="auto" w:fill="FFFFFF"/>
        </w:rPr>
        <w:t>Team Power Europe</w:t>
      </w:r>
      <w:r w:rsidRPr="00353B65">
        <w:rPr>
          <w:rFonts w:asciiTheme="minorHAnsi" w:hAnsiTheme="minorHAnsi" w:cstheme="minorHAnsi"/>
          <w:iCs/>
          <w:shd w:val="clear" w:color="auto" w:fill="FFFFFF"/>
        </w:rPr>
        <w:t> ir atitinkamo darbuotojo tiesioginiai santykiai, ir, antra, ši įmonė nevykdė didelės veiklos dalies Bulgarijos teritorijoje, Varnos miesto Pajamų skyrius atmetė </w:t>
      </w:r>
      <w:r w:rsidRPr="00353B65">
        <w:rPr>
          <w:rFonts w:asciiTheme="minorHAnsi" w:hAnsiTheme="minorHAnsi" w:cstheme="minorHAnsi"/>
          <w:i/>
          <w:iCs/>
          <w:shd w:val="clear" w:color="auto" w:fill="FFFFFF"/>
        </w:rPr>
        <w:t>Team Power Europe</w:t>
      </w:r>
      <w:r w:rsidRPr="00353B65">
        <w:rPr>
          <w:rFonts w:asciiTheme="minorHAnsi" w:hAnsiTheme="minorHAnsi" w:cstheme="minorHAnsi"/>
          <w:iCs/>
          <w:shd w:val="clear" w:color="auto" w:fill="FFFFFF"/>
        </w:rPr>
        <w:t> prašymą išduoti A1 pažymą, patvirtinančią, kad komandiravimo laikotarpiu darbuotojui taikomi Bulgarijos socialinės apsaugos teisės aktai. </w:t>
      </w:r>
      <w:r w:rsidRPr="00353B65">
        <w:rPr>
          <w:rFonts w:asciiTheme="minorHAnsi" w:hAnsiTheme="minorHAnsi" w:cstheme="minorHAnsi"/>
          <w:i/>
          <w:iCs/>
          <w:shd w:val="clear" w:color="auto" w:fill="FFFFFF"/>
        </w:rPr>
        <w:t>Team Power Europe</w:t>
      </w:r>
      <w:r w:rsidRPr="00353B65">
        <w:rPr>
          <w:rFonts w:asciiTheme="minorHAnsi" w:hAnsiTheme="minorHAnsi" w:cstheme="minorHAnsi"/>
          <w:iCs/>
          <w:shd w:val="clear" w:color="auto" w:fill="FFFFFF"/>
        </w:rPr>
        <w:t> pateiktas administracinis skundas dėl šio Pajamų skyriaus sprendimo buvo atmestas.</w:t>
      </w:r>
    </w:p>
    <w:p w14:paraId="2C10A160" w14:textId="7F924582" w:rsidR="00515BCC" w:rsidRPr="00353B65" w:rsidRDefault="00515BCC" w:rsidP="00515BCC">
      <w:pPr>
        <w:ind w:firstLine="567"/>
        <w:rPr>
          <w:rFonts w:asciiTheme="minorHAnsi" w:hAnsiTheme="minorHAnsi" w:cstheme="minorHAnsi"/>
          <w:iCs/>
          <w:shd w:val="clear" w:color="auto" w:fill="FFFFFF"/>
        </w:rPr>
      </w:pPr>
      <w:r w:rsidRPr="00353B65">
        <w:rPr>
          <w:rFonts w:asciiTheme="minorHAnsi" w:hAnsiTheme="minorHAnsi" w:cstheme="minorHAnsi"/>
          <w:iCs/>
          <w:shd w:val="clear" w:color="auto" w:fill="FFFFFF"/>
        </w:rPr>
        <w:t>Šiomis aplinkybėmis Varnos administracinis teismas, kurio buvo prašoma panaikinti sprendimą atmesti šį administracinį skundą, nutarė kreiptis į Teisingumo Teismą, siekdamas sužinoti, į kokius reikšmingus kriterijus reikia atsižvelgti vertinant, ar laikinojo įdarbinimo įmonė paprastai vykdo „didelę veiklos dalį, išskyrus vien tik vidaus valdymo veiklą“ valstybės narės, kurioje įsteigta, teritorijoje, kaip tai suprantama pagal Reglament</w:t>
      </w:r>
      <w:r w:rsidR="006C6208">
        <w:rPr>
          <w:rFonts w:asciiTheme="minorHAnsi" w:hAnsiTheme="minorHAnsi" w:cstheme="minorHAnsi"/>
          <w:iCs/>
          <w:shd w:val="clear" w:color="auto" w:fill="FFFFFF"/>
        </w:rPr>
        <w:t>ą</w:t>
      </w:r>
      <w:r w:rsidRPr="00353B65">
        <w:rPr>
          <w:rFonts w:asciiTheme="minorHAnsi" w:hAnsiTheme="minorHAnsi" w:cstheme="minorHAnsi"/>
          <w:iCs/>
          <w:shd w:val="clear" w:color="auto" w:fill="FFFFFF"/>
        </w:rPr>
        <w:t xml:space="preserve"> Nr. 987/2009</w:t>
      </w:r>
      <w:r w:rsidR="006C6208">
        <w:rPr>
          <w:rStyle w:val="Puslapioinaosnuoroda"/>
          <w:rFonts w:asciiTheme="minorHAnsi" w:hAnsiTheme="minorHAnsi" w:cstheme="minorHAnsi"/>
          <w:iCs/>
          <w:shd w:val="clear" w:color="auto" w:fill="FFFFFF"/>
        </w:rPr>
        <w:footnoteReference w:id="18"/>
      </w:r>
      <w:r w:rsidRPr="00353B65">
        <w:rPr>
          <w:rFonts w:asciiTheme="minorHAnsi" w:hAnsiTheme="minorHAnsi" w:cstheme="minorHAnsi"/>
          <w:iCs/>
          <w:shd w:val="clear" w:color="auto" w:fill="FFFFFF"/>
        </w:rPr>
        <w:t>.</w:t>
      </w:r>
    </w:p>
    <w:p w14:paraId="150BB765" w14:textId="77777777" w:rsidR="00515BCC" w:rsidRPr="00353B65" w:rsidRDefault="00515BCC" w:rsidP="00515BCC">
      <w:pPr>
        <w:ind w:firstLine="567"/>
        <w:rPr>
          <w:color w:val="000000"/>
          <w:shd w:val="clear" w:color="auto" w:fill="FFFFFF"/>
        </w:rPr>
      </w:pPr>
    </w:p>
    <w:p w14:paraId="7D875728" w14:textId="77777777" w:rsidR="00515BCC" w:rsidRPr="00353B65" w:rsidRDefault="00515BCC" w:rsidP="00515BCC">
      <w:pPr>
        <w:jc w:val="center"/>
        <w:rPr>
          <w:b/>
          <w:bCs/>
          <w:color w:val="000000"/>
          <w:shd w:val="clear" w:color="auto" w:fill="FFFFFF"/>
        </w:rPr>
      </w:pPr>
      <w:r w:rsidRPr="00353B65">
        <w:rPr>
          <w:b/>
          <w:bCs/>
          <w:color w:val="000000"/>
          <w:shd w:val="clear" w:color="auto" w:fill="FFFFFF"/>
        </w:rPr>
        <w:t>Teisingumo Teismo vertinimas</w:t>
      </w:r>
    </w:p>
    <w:p w14:paraId="4C27A5F2" w14:textId="77777777" w:rsidR="00515BCC" w:rsidRPr="00353B65" w:rsidRDefault="00515BCC" w:rsidP="00515BCC">
      <w:pPr>
        <w:ind w:firstLine="567"/>
        <w:jc w:val="center"/>
        <w:rPr>
          <w:b/>
          <w:bCs/>
          <w:color w:val="000000"/>
          <w:shd w:val="clear" w:color="auto" w:fill="FFFFFF"/>
        </w:rPr>
      </w:pPr>
    </w:p>
    <w:p w14:paraId="28161E0A" w14:textId="77777777" w:rsidR="00515BCC" w:rsidRPr="00963B91" w:rsidRDefault="00515BCC" w:rsidP="00963B91">
      <w:pPr>
        <w:pStyle w:val="Antrat3"/>
        <w:ind w:firstLine="567"/>
      </w:pPr>
      <w:bookmarkStart w:id="42" w:name="_Toc85700944"/>
      <w:r w:rsidRPr="00963B91">
        <w:t>Dėl laikinojo įdarbinimo įmonių statuso kaip „paprastai vykdančių savo veiklą“ valstybėje</w:t>
      </w:r>
      <w:bookmarkEnd w:id="42"/>
    </w:p>
    <w:p w14:paraId="738B3966" w14:textId="77777777" w:rsidR="00515BCC" w:rsidRPr="00353B65" w:rsidRDefault="00515BCC" w:rsidP="00515BCC">
      <w:pPr>
        <w:ind w:firstLine="567"/>
        <w:rPr>
          <w:color w:val="000000"/>
          <w:shd w:val="clear" w:color="auto" w:fill="FFFFFF"/>
        </w:rPr>
      </w:pPr>
    </w:p>
    <w:p w14:paraId="6C0F2269" w14:textId="77777777" w:rsidR="00963B91" w:rsidRPr="00353B65" w:rsidRDefault="00963B91" w:rsidP="00963B91">
      <w:pPr>
        <w:ind w:left="-142" w:firstLine="709"/>
        <w:rPr>
          <w:rFonts w:asciiTheme="minorHAnsi" w:eastAsia="Times New Roman" w:hAnsiTheme="minorHAnsi" w:cstheme="minorHAnsi"/>
          <w:color w:val="000000"/>
          <w:lang w:eastAsia="lt-LT"/>
        </w:rPr>
      </w:pPr>
      <w:r w:rsidRPr="00353B65">
        <w:rPr>
          <w:rFonts w:asciiTheme="minorHAnsi" w:eastAsia="Times New Roman" w:hAnsiTheme="minorHAnsi" w:cstheme="minorHAnsi"/>
          <w:color w:val="000000"/>
          <w:lang w:eastAsia="lt-LT"/>
        </w:rPr>
        <w:t xml:space="preserve">Pirmiausia Teisingumo Teismas pateikė pažodinį Reglamento Nr. 987/2009 12 straipsnio 1 dalies nuostatos aiškinimą ir pažymėjo, kad laikinojo įdarbinimo įmonei būdinga tai, kad ji vykdo veiklą, susijusią su laikinųjų darbuotojų atranka, įdarbinimu ir paskyrimu laikinai dirbti įmonėse laikinojo darbo naudotojose. Šiuo klausimu Teisingumo Teismas nurodė, kad </w:t>
      </w:r>
      <w:r w:rsidRPr="00353B65">
        <w:rPr>
          <w:rFonts w:asciiTheme="minorHAnsi" w:eastAsia="Times New Roman" w:hAnsiTheme="minorHAnsi" w:cstheme="minorHAnsi"/>
          <w:color w:val="000000"/>
          <w:u w:val="single"/>
          <w:lang w:eastAsia="lt-LT"/>
        </w:rPr>
        <w:t>nors laikinųjų darbuotojų atrankos ir įdarbinimo veikla negali būti laikoma „vien tik vidaus valdymo veikla“, kaip ji suprantama pagal šią nuostatą, šios veiklos vykdymo tokios įmonės įsisteigimo valstybėje narėje nepakanka, kad tokia įmonė būtų laikoma vykdančia joje „didelę veiklos dalį“.</w:t>
      </w:r>
      <w:r w:rsidRPr="00353B65">
        <w:rPr>
          <w:rFonts w:asciiTheme="minorHAnsi" w:eastAsia="Times New Roman" w:hAnsiTheme="minorHAnsi" w:cstheme="minorHAnsi"/>
          <w:color w:val="000000"/>
          <w:lang w:eastAsia="lt-LT"/>
        </w:rPr>
        <w:t xml:space="preserve"> Iš tiesų laikinųjų darbuotojų atrankos ir įdarbinimo veiklos vienintelis tikslas – vėliau tokius darbuotojus paskirti laikinai dirbti įmonėse laikinojo darbo naudotojose. Šiuo klausimu Teisingumo Teismas pažymėjo, kad nors laikinųjų darbuotojų atranka ir įdarbinimas, be abejo, prisideda prie laikinojo įdarbinimo įmonės apyvartos, nes ši veikla yra būtina išankstinė sąlyga siekiant vėliau tokius darbuotojus paskirti laikinai dirbti, šią apyvartą faktiškai lemia tik tai, kad tie darbuotojai pagal su jais sudarytas sutartis komandiruojami į įmones laikinojo darbo naudotojas. Iš tiesų tokios įmonės pajamos priklauso nuo darbo užmokesčio, mokamo laikiniesiems darbuotojams, kurie buvo paskirti laikinai dirbti įmonėse laikinojo darbo naudotojose, dydžio.</w:t>
      </w:r>
    </w:p>
    <w:p w14:paraId="1BA804AB" w14:textId="77777777" w:rsidR="00963B91" w:rsidRPr="00353B65" w:rsidRDefault="00963B91" w:rsidP="00963B91">
      <w:pPr>
        <w:ind w:left="-142" w:firstLine="709"/>
        <w:rPr>
          <w:rFonts w:asciiTheme="minorHAnsi" w:eastAsia="Times New Roman" w:hAnsiTheme="minorHAnsi" w:cstheme="minorHAnsi"/>
          <w:color w:val="000000"/>
          <w:u w:val="single"/>
          <w:lang w:eastAsia="lt-LT"/>
        </w:rPr>
      </w:pPr>
      <w:r w:rsidRPr="00353B65">
        <w:rPr>
          <w:rFonts w:asciiTheme="minorHAnsi" w:eastAsia="Times New Roman" w:hAnsiTheme="minorHAnsi" w:cstheme="minorHAnsi"/>
          <w:color w:val="000000"/>
          <w:lang w:eastAsia="lt-LT"/>
        </w:rPr>
        <w:t xml:space="preserve">Dėl minėtos nuostatos konteksto Teisingumo Teismas priminė, kad </w:t>
      </w:r>
      <w:r w:rsidRPr="00353B65">
        <w:rPr>
          <w:rFonts w:asciiTheme="minorHAnsi" w:eastAsia="Times New Roman" w:hAnsiTheme="minorHAnsi" w:cstheme="minorHAnsi"/>
          <w:color w:val="000000"/>
          <w:u w:val="single"/>
          <w:lang w:eastAsia="lt-LT"/>
        </w:rPr>
        <w:t>atvejis, kai darbuotojui, komandiruotam dirbti kitoje valstybėje narėje, ir toliau taikomi pirmosios valstybės narės teisės aktai, yra nuo bendrosios taisyklės, pagal kurią valstybėje narėje pagal darbo sutartį arba savarankiškai dirbančiam asmeniui taikomi tos valstybės narės teisės aktai, leidžianti nukrypti nuostata.</w:t>
      </w:r>
      <w:r w:rsidRPr="00353B65">
        <w:rPr>
          <w:rFonts w:asciiTheme="minorHAnsi" w:eastAsia="Times New Roman" w:hAnsiTheme="minorHAnsi" w:cstheme="minorHAnsi"/>
          <w:color w:val="000000"/>
          <w:lang w:eastAsia="lt-LT"/>
        </w:rPr>
        <w:t xml:space="preserve"> Todėl tokį atvejį reglamentuojanti nuostata turi būti aiškinama siaurai. Atsižvelgiant į tai, ši leidžianti nukrypti nuostata negali būti taikoma laikinojo įdarbinimo įmonei, kuri įsisteigimo valstybėje narėje darbuotojų niekada nepaskiria laikinai dirbti čia taip pat įsisteigusiose įmonėse laikinojo darbo naudotojose, arba taip atsitinka labai retai. Be to, Direktyvoje 2008/104 pateiktos </w:t>
      </w:r>
      <w:r w:rsidRPr="00353B65">
        <w:rPr>
          <w:rFonts w:asciiTheme="minorHAnsi" w:eastAsia="Times New Roman" w:hAnsiTheme="minorHAnsi" w:cstheme="minorHAnsi"/>
          <w:color w:val="000000"/>
          <w:u w:val="single"/>
          <w:lang w:eastAsia="lt-LT"/>
        </w:rPr>
        <w:t>sąvokų „laikinojo įdarbinimo įmonė“ ir „laikinasis darbuotojas“ apibrėžtys, kiek jos parodo laikinojo įdarbinimo įmonės veiklos tikslą, taip pat patvirtina aiškinimą, pagal kurį tokia įmonė gali būti laikoma įsisteigimo valstybėje narėje vykdančia „didelę veiklos dalį“, tik jeigu ji čia vykdo didelę veiklos, susijusios būtent su šių darbuotojų paskyrimo laikinai dirbti įmonėse darbo naudotojose, įsisteigusiose ir besiverčiančiose savo veikla toje pačioje valstybėje narėje, dalį.</w:t>
      </w:r>
    </w:p>
    <w:p w14:paraId="17C7C49A" w14:textId="77777777" w:rsidR="00963B91" w:rsidRPr="00353B65" w:rsidRDefault="00963B91" w:rsidP="00963B91">
      <w:pPr>
        <w:ind w:left="-142" w:firstLine="709"/>
        <w:rPr>
          <w:rFonts w:asciiTheme="minorHAnsi" w:eastAsia="Times New Roman" w:hAnsiTheme="minorHAnsi" w:cstheme="minorHAnsi"/>
          <w:color w:val="000000"/>
          <w:lang w:eastAsia="lt-LT"/>
        </w:rPr>
      </w:pPr>
      <w:r w:rsidRPr="00353B65">
        <w:rPr>
          <w:rFonts w:asciiTheme="minorHAnsi" w:eastAsia="Times New Roman" w:hAnsiTheme="minorHAnsi" w:cstheme="minorHAnsi"/>
          <w:color w:val="000000"/>
          <w:u w:val="single"/>
          <w:lang w:eastAsia="lt-LT"/>
        </w:rPr>
        <w:t>Galiausiai Teisingumo Teismas nurodė, kad Reglamento Nr. 883/2004 12 straipsnio 1 dalyje įtvirtinta leidžiančia nukrypti nuostata negalėtų pasinaudoti laikinojo įdarbinimo įmonės, kurių laikinųjų darbuotojų paskyrimo laikinai dirbti veikla išimtinai ar daugiausia vykdoma vienoje ar keliose valstybėse narėse, kitose nei jų įsisteigimo valstybė.</w:t>
      </w:r>
      <w:r w:rsidRPr="00353B65">
        <w:rPr>
          <w:rFonts w:asciiTheme="minorHAnsi" w:eastAsia="Times New Roman" w:hAnsiTheme="minorHAnsi" w:cstheme="minorHAnsi"/>
          <w:color w:val="000000"/>
          <w:lang w:eastAsia="lt-LT"/>
        </w:rPr>
        <w:t xml:space="preserve"> Iš tiesų priešinga išvada galėtų paskatinti šių įmonių įsisteigimą valstybėje narėje, kurioje yra joms palankiausi socialinės apsaugos teisės aktai. Be to, Teisingumo Teismas pabrėžė, kad suteikta tokia lengvata šioms įmonėms lemtų tai, kad būtų iškreipta konkurencija, kiek tai susiję su galima skirtinga įdarbinimo tvarka, ir tai būtų labiau naudinga laikinojo įdarbinimo įmonėms, palyginti su įmonėmis, tiesiogiai įdarbinančiomis darbuotojus, kurie būtų apdrausti pagal jų darbo vietos valstybės narės socialinės apsaugos sistemą.</w:t>
      </w:r>
    </w:p>
    <w:p w14:paraId="65CE0F6D" w14:textId="77777777" w:rsidR="00963B91" w:rsidRPr="00353B65" w:rsidRDefault="00963B91" w:rsidP="00963B91">
      <w:pPr>
        <w:ind w:left="-142" w:firstLine="709"/>
        <w:rPr>
          <w:rFonts w:asciiTheme="minorHAnsi" w:eastAsia="Times New Roman" w:hAnsiTheme="minorHAnsi" w:cstheme="minorHAnsi"/>
          <w:color w:val="000000"/>
          <w:u w:val="single"/>
          <w:lang w:eastAsia="lt-LT"/>
        </w:rPr>
      </w:pPr>
      <w:r w:rsidRPr="00353B65">
        <w:rPr>
          <w:rFonts w:asciiTheme="minorHAnsi" w:eastAsia="Times New Roman" w:hAnsiTheme="minorHAnsi" w:cstheme="minorHAnsi"/>
          <w:color w:val="000000"/>
          <w:u w:val="single"/>
          <w:lang w:eastAsia="lt-LT"/>
        </w:rPr>
        <w:t>Teisingumo Teismas padarė išvadą, jog tam, kad laikinojo įdarbinimo įmonė, įsteigta valstybėje narėje, būtų laikoma „paprastai vykdančia savo veiklą“ šioje valstybėje narėje, jos didelė darbuotojų paskyrimo laikinai dirbti veiklos dalis turi būti skirta įmonėms laikinojo darbo naudotojoms, įsisteigusioms ir savo veikla besiverčiančioms minėtos valstybės narės teritorijoje.</w:t>
      </w:r>
    </w:p>
    <w:p w14:paraId="1011B8CF" w14:textId="306FF1CD" w:rsidR="00515BCC" w:rsidRPr="00353B65" w:rsidRDefault="003347AD" w:rsidP="00515BCC">
      <w:pPr>
        <w:ind w:left="-142" w:firstLine="709"/>
      </w:pPr>
      <w:hyperlink r:id="rId19" w:history="1">
        <w:r w:rsidR="00DC60D8">
          <w:rPr>
            <w:rStyle w:val="Hipersaitas"/>
            <w:rFonts w:asciiTheme="minorHAnsi" w:hAnsiTheme="minorHAnsi" w:cstheme="minorHAnsi"/>
          </w:rPr>
          <w:t>Prieiga internete</w:t>
        </w:r>
      </w:hyperlink>
    </w:p>
    <w:p w14:paraId="4F44370F" w14:textId="77777777" w:rsidR="00515BCC" w:rsidRPr="00353B65" w:rsidRDefault="00515BCC" w:rsidP="008347BC">
      <w:pPr>
        <w:rPr>
          <w:rFonts w:asciiTheme="minorHAnsi" w:hAnsiTheme="minorHAnsi" w:cstheme="minorHAnsi"/>
        </w:rPr>
      </w:pPr>
    </w:p>
    <w:p w14:paraId="17F666A7" w14:textId="659CDFCF" w:rsidR="00406976" w:rsidRPr="00353B65" w:rsidRDefault="00406976" w:rsidP="00071EC5">
      <w:pPr>
        <w:pStyle w:val="Antrat1"/>
      </w:pPr>
      <w:bookmarkStart w:id="43" w:name="_Toc85700945"/>
      <w:r w:rsidRPr="00353B65">
        <w:t xml:space="preserve">SOCIALINĖ </w:t>
      </w:r>
      <w:r w:rsidRPr="00071EC5">
        <w:t>POLITIKA</w:t>
      </w:r>
      <w:bookmarkEnd w:id="43"/>
    </w:p>
    <w:p w14:paraId="62E5E1CD" w14:textId="5C093948" w:rsidR="00515BCC" w:rsidRPr="00353B65" w:rsidRDefault="00515BCC" w:rsidP="00406976">
      <w:pPr>
        <w:jc w:val="center"/>
        <w:rPr>
          <w:rFonts w:asciiTheme="minorHAnsi" w:hAnsiTheme="minorHAnsi" w:cstheme="minorHAnsi"/>
          <w:b/>
        </w:rPr>
      </w:pPr>
    </w:p>
    <w:p w14:paraId="6A79A878" w14:textId="37765399" w:rsidR="00515BCC" w:rsidRPr="00963B91" w:rsidRDefault="0071254A" w:rsidP="00963B91">
      <w:pPr>
        <w:pStyle w:val="Antrat1"/>
      </w:pPr>
      <w:bookmarkStart w:id="44" w:name="_Toc85700946"/>
      <w:r w:rsidRPr="009A4386">
        <w:rPr>
          <w:szCs w:val="22"/>
        </w:rPr>
        <w:t>2021 m. vasario 25 d. sprendimas</w:t>
      </w:r>
      <w:r w:rsidRPr="009A4386">
        <w:t xml:space="preserve"> </w:t>
      </w:r>
      <w:r w:rsidR="009A4386" w:rsidRPr="009A4386">
        <w:t xml:space="preserve">byloje </w:t>
      </w:r>
      <w:r w:rsidR="009A4386" w:rsidRPr="00DC60D8">
        <w:rPr>
          <w:i/>
          <w:iCs/>
        </w:rPr>
        <w:t>Caisse pour l'avenir des enfants (Emploi à la naissance)</w:t>
      </w:r>
      <w:r w:rsidR="00963B91">
        <w:rPr>
          <w:i/>
          <w:iCs/>
        </w:rPr>
        <w:t xml:space="preserve">, </w:t>
      </w:r>
      <w:r w:rsidR="00515BCC" w:rsidRPr="00353B65">
        <w:t>C</w:t>
      </w:r>
      <w:r w:rsidR="00515BCC" w:rsidRPr="00353B65">
        <w:rPr>
          <w:rFonts w:ascii="Cambria Math" w:hAnsi="Cambria Math" w:cs="Cambria Math"/>
        </w:rPr>
        <w:t>‑</w:t>
      </w:r>
      <w:r w:rsidR="00515BCC" w:rsidRPr="00353B65">
        <w:t>129/20</w:t>
      </w:r>
      <w:bookmarkEnd w:id="44"/>
    </w:p>
    <w:p w14:paraId="4D3C28D2" w14:textId="77777777" w:rsidR="00515BCC" w:rsidRPr="00353B65" w:rsidRDefault="00515BCC" w:rsidP="00515BCC">
      <w:pPr>
        <w:jc w:val="center"/>
        <w:rPr>
          <w:rFonts w:asciiTheme="minorHAnsi" w:hAnsiTheme="minorHAnsi" w:cstheme="minorHAnsi"/>
          <w:b/>
          <w:bCs/>
          <w:shd w:val="clear" w:color="auto" w:fill="FFFFFF"/>
        </w:rPr>
      </w:pPr>
    </w:p>
    <w:p w14:paraId="17F6E2F9" w14:textId="4B1DB5CB" w:rsidR="00515BCC" w:rsidRPr="00353B65" w:rsidRDefault="00515BCC" w:rsidP="00DC60D8">
      <w:pPr>
        <w:ind w:firstLine="567"/>
        <w:rPr>
          <w:rFonts w:asciiTheme="minorHAnsi" w:hAnsiTheme="minorHAnsi" w:cstheme="minorHAnsi"/>
          <w:iCs/>
        </w:rPr>
      </w:pPr>
      <w:r w:rsidRPr="00353B65">
        <w:rPr>
          <w:rFonts w:asciiTheme="minorHAnsi" w:hAnsiTheme="minorHAnsi" w:cstheme="minorHAnsi"/>
          <w:iCs/>
        </w:rPr>
        <w:t xml:space="preserve">Socialinė politika – Direktyva 2010/18/ES – Patikslintas Bendrasis susitarimas dėl vaiko priežiūros atostogų – Nacionalinės teisės norma, pagal kurią vaiko priežiūros </w:t>
      </w:r>
      <w:r w:rsidRPr="00DC60D8">
        <w:rPr>
          <w:lang w:eastAsia="lt-LT"/>
        </w:rPr>
        <w:t>atostogos</w:t>
      </w:r>
      <w:r w:rsidRPr="00353B65">
        <w:rPr>
          <w:rFonts w:asciiTheme="minorHAnsi" w:hAnsiTheme="minorHAnsi" w:cstheme="minorHAnsi"/>
          <w:iCs/>
        </w:rPr>
        <w:t xml:space="preserve"> suteikiamos, tik jeigu asmuo </w:t>
      </w:r>
      <w:r w:rsidRPr="00353B65">
        <w:rPr>
          <w:rFonts w:asciiTheme="minorHAnsi" w:hAnsiTheme="minorHAnsi" w:cstheme="minorHAnsi"/>
          <w:iCs/>
        </w:rPr>
        <w:lastRenderedPageBreak/>
        <w:t>iki vaiko gimimo dirba ir kaip darbuotojas yra apdraustas privalomuoju draudimu pagal atitinkamą socialinės apsaugos sistemą</w:t>
      </w:r>
    </w:p>
    <w:p w14:paraId="756E2666" w14:textId="77777777" w:rsidR="00515BCC" w:rsidRPr="00353B65" w:rsidRDefault="00515BCC" w:rsidP="00515BCC">
      <w:pPr>
        <w:pStyle w:val="c01pointnumerotealtn"/>
        <w:shd w:val="clear" w:color="auto" w:fill="FFFFFF"/>
        <w:spacing w:before="0" w:beforeAutospacing="0" w:after="0"/>
        <w:ind w:left="0" w:firstLine="567"/>
        <w:rPr>
          <w:rFonts w:asciiTheme="minorHAnsi" w:hAnsiTheme="minorHAnsi" w:cstheme="minorHAnsi"/>
          <w:b/>
          <w:bCs/>
          <w:sz w:val="22"/>
          <w:szCs w:val="22"/>
        </w:rPr>
      </w:pPr>
    </w:p>
    <w:p w14:paraId="1DC3FCE2" w14:textId="699F289E" w:rsidR="00515BCC" w:rsidRPr="00353B65" w:rsidRDefault="00DC60D8" w:rsidP="00515BCC">
      <w:pPr>
        <w:tabs>
          <w:tab w:val="left" w:pos="6379"/>
        </w:tabs>
        <w:jc w:val="center"/>
        <w:rPr>
          <w:rFonts w:asciiTheme="minorHAnsi" w:hAnsiTheme="minorHAnsi" w:cstheme="minorHAnsi"/>
          <w:b/>
        </w:rPr>
      </w:pPr>
      <w:r>
        <w:rPr>
          <w:rFonts w:asciiTheme="minorHAnsi" w:hAnsiTheme="minorHAnsi" w:cstheme="minorHAnsi"/>
          <w:b/>
        </w:rPr>
        <w:t>Bylos</w:t>
      </w:r>
      <w:r w:rsidR="00515BCC" w:rsidRPr="00353B65">
        <w:rPr>
          <w:rFonts w:asciiTheme="minorHAnsi" w:hAnsiTheme="minorHAnsi" w:cstheme="minorHAnsi"/>
          <w:b/>
        </w:rPr>
        <w:t xml:space="preserve"> aplinkybės</w:t>
      </w:r>
    </w:p>
    <w:p w14:paraId="02C93E40" w14:textId="77777777" w:rsidR="00515BCC" w:rsidRPr="00353B65" w:rsidRDefault="00515BCC" w:rsidP="00515BCC">
      <w:pPr>
        <w:pStyle w:val="c01pointnumerotealtn"/>
        <w:shd w:val="clear" w:color="auto" w:fill="FFFFFF"/>
        <w:spacing w:before="0" w:beforeAutospacing="0" w:after="0"/>
        <w:ind w:left="0" w:firstLine="567"/>
        <w:rPr>
          <w:rFonts w:asciiTheme="minorHAnsi" w:hAnsiTheme="minorHAnsi" w:cstheme="minorHAnsi"/>
          <w:b/>
          <w:bCs/>
          <w:sz w:val="22"/>
          <w:szCs w:val="22"/>
        </w:rPr>
      </w:pPr>
    </w:p>
    <w:p w14:paraId="7D65D00C" w14:textId="4D8F8F06" w:rsidR="00515BCC" w:rsidRPr="00353B65" w:rsidRDefault="00515BCC" w:rsidP="00515BCC">
      <w:pPr>
        <w:ind w:firstLine="567"/>
        <w:rPr>
          <w:rFonts w:asciiTheme="minorHAnsi" w:hAnsiTheme="minorHAnsi" w:cstheme="minorHAnsi"/>
          <w:iCs/>
          <w:shd w:val="clear" w:color="auto" w:fill="FFFFFF"/>
        </w:rPr>
      </w:pPr>
      <w:r w:rsidRPr="00353B65">
        <w:rPr>
          <w:rFonts w:asciiTheme="minorHAnsi" w:hAnsiTheme="minorHAnsi" w:cstheme="minorHAnsi"/>
          <w:iCs/>
          <w:shd w:val="clear" w:color="auto" w:fill="FFFFFF"/>
        </w:rPr>
        <w:t>Liuksemburgo Didžiosios Hercogystės kasaciniam teismui kilo abejonių dėl 2006 m. gruodžio 22 d. priimtų 1979 m. balandžio 16 d. įstatymo, kuriuo nustatomos valstybės tarnybos bendrosios nuostatos, pataisų, nustatančių, kad siekiant gauti vaiko priežiūros atostogas, asmuo turi tenkinti dvi sąlygas (dirbti vaiko gimimo arba įvaikinimo momentu; nepertraukiamai dirbti 12 mėnesių iki atostogų pradžios), atitikimo 1995 m. gruodžio 14 d. sudarytam Bendrajam susitarimui dėl tėvystės [vaiko priežiūros] atostogų, esančio Direktyv</w:t>
      </w:r>
      <w:r w:rsidR="006C6208">
        <w:rPr>
          <w:rFonts w:asciiTheme="minorHAnsi" w:hAnsiTheme="minorHAnsi" w:cstheme="minorHAnsi"/>
          <w:iCs/>
          <w:shd w:val="clear" w:color="auto" w:fill="FFFFFF"/>
        </w:rPr>
        <w:t>os</w:t>
      </w:r>
      <w:r w:rsidRPr="00353B65">
        <w:rPr>
          <w:rFonts w:asciiTheme="minorHAnsi" w:hAnsiTheme="minorHAnsi" w:cstheme="minorHAnsi"/>
          <w:iCs/>
          <w:shd w:val="clear" w:color="auto" w:fill="FFFFFF"/>
        </w:rPr>
        <w:t> 96/34</w:t>
      </w:r>
      <w:r w:rsidR="006C6208">
        <w:rPr>
          <w:rStyle w:val="Puslapioinaosnuoroda"/>
          <w:rFonts w:asciiTheme="minorHAnsi" w:hAnsiTheme="minorHAnsi" w:cstheme="minorHAnsi"/>
          <w:iCs/>
          <w:shd w:val="clear" w:color="auto" w:fill="FFFFFF"/>
        </w:rPr>
        <w:footnoteReference w:id="19"/>
      </w:r>
      <w:r w:rsidRPr="00353B65">
        <w:rPr>
          <w:rFonts w:asciiTheme="minorHAnsi" w:hAnsiTheme="minorHAnsi" w:cstheme="minorHAnsi"/>
          <w:iCs/>
          <w:shd w:val="clear" w:color="auto" w:fill="FFFFFF"/>
        </w:rPr>
        <w:t xml:space="preserve"> priede. </w:t>
      </w:r>
    </w:p>
    <w:p w14:paraId="45EB6269" w14:textId="48476423" w:rsidR="00515BCC" w:rsidRPr="00353B65" w:rsidRDefault="00515BCC" w:rsidP="00515BCC">
      <w:pPr>
        <w:ind w:firstLine="567"/>
        <w:rPr>
          <w:rFonts w:asciiTheme="minorHAnsi" w:hAnsiTheme="minorHAnsi" w:cstheme="minorHAnsi"/>
          <w:iCs/>
          <w:shd w:val="clear" w:color="auto" w:fill="FFFFFF"/>
        </w:rPr>
      </w:pPr>
      <w:r w:rsidRPr="00353B65">
        <w:rPr>
          <w:rFonts w:asciiTheme="minorHAnsi" w:hAnsiTheme="minorHAnsi" w:cstheme="minorHAnsi"/>
          <w:iCs/>
          <w:shd w:val="clear" w:color="auto" w:fill="FFFFFF"/>
        </w:rPr>
        <w:t>Liuksemburgo Didžiosios Hercogystės kasacinis teismas kreipėsi į Teisingumo Teismą</w:t>
      </w:r>
      <w:r w:rsidR="006C6208">
        <w:rPr>
          <w:rFonts w:asciiTheme="minorHAnsi" w:hAnsiTheme="minorHAnsi" w:cstheme="minorHAnsi"/>
          <w:iCs/>
          <w:shd w:val="clear" w:color="auto" w:fill="FFFFFF"/>
        </w:rPr>
        <w:t xml:space="preserve">, teiraudamasis, </w:t>
      </w:r>
      <w:r w:rsidRPr="00353B65">
        <w:rPr>
          <w:rFonts w:asciiTheme="minorHAnsi" w:hAnsiTheme="minorHAnsi" w:cstheme="minorHAnsi"/>
          <w:iCs/>
          <w:shd w:val="clear" w:color="auto" w:fill="FFFFFF"/>
        </w:rPr>
        <w:t>ar 1995 m. gruodžio 14 d. profesinių organizacijų UNICE, CEEP ir CES sudaryto Bendrojo susitarimo dėl tėvystės [vaiko priežiūros] atostogų (toliau – Bendrasis susitarimas), įgyvendinto Direktyva 96/34/EB, 1 straipsnio 1 ir 2 dalys, 2 straipsnio 1 dalis ir 2 straipsnio 3 dalies b punktas turi būti aiškinami taip, kad pagal šias nuostatas draudžiama taikyti tokią vidaus teisės nuostatą, pagal kurią vaiko priežiūros atostogų suteikimui nustatyta dviguba sąlyga: darbuotojas turi teisėtai dirbti ir šiuo pagrindu būti apdraustas pagal socialinės apsaugos sistemą, pirma, nepertraukiamai 12 mėnesių iki vaiko priežiūros atostogų pradžios ir, antra, vaiko (vaikų) gimimo arba įvaikinimo momentu; pastarąją sąlygą reikalaujama įvykdyti net tuomet, kai vaikas gimė arba buvo įvaikintas anksčiau nei 12 mėnesių iki vaiko priežiūros atostogų pradžios</w:t>
      </w:r>
      <w:r w:rsidR="006C6208">
        <w:rPr>
          <w:rFonts w:asciiTheme="minorHAnsi" w:hAnsiTheme="minorHAnsi" w:cstheme="minorHAnsi"/>
          <w:iCs/>
          <w:shd w:val="clear" w:color="auto" w:fill="FFFFFF"/>
        </w:rPr>
        <w:t>.</w:t>
      </w:r>
    </w:p>
    <w:p w14:paraId="722B1EE6" w14:textId="77777777" w:rsidR="00515BCC" w:rsidRPr="00353B65" w:rsidRDefault="00515BCC" w:rsidP="00515BCC">
      <w:pPr>
        <w:ind w:firstLine="567"/>
        <w:rPr>
          <w:color w:val="000000"/>
          <w:shd w:val="clear" w:color="auto" w:fill="FFFFFF"/>
        </w:rPr>
      </w:pPr>
    </w:p>
    <w:p w14:paraId="7B4D45B4" w14:textId="77777777" w:rsidR="00515BCC" w:rsidRPr="00353B65" w:rsidRDefault="00515BCC" w:rsidP="00515BCC">
      <w:pPr>
        <w:jc w:val="center"/>
        <w:rPr>
          <w:b/>
          <w:bCs/>
          <w:color w:val="000000"/>
          <w:shd w:val="clear" w:color="auto" w:fill="FFFFFF"/>
        </w:rPr>
      </w:pPr>
      <w:r w:rsidRPr="00353B65">
        <w:rPr>
          <w:b/>
          <w:bCs/>
          <w:color w:val="000000"/>
          <w:shd w:val="clear" w:color="auto" w:fill="FFFFFF"/>
        </w:rPr>
        <w:t>Teisingumo Teismo vertinimas</w:t>
      </w:r>
    </w:p>
    <w:p w14:paraId="5E77F6CF" w14:textId="77777777" w:rsidR="00515BCC" w:rsidRPr="00353B65" w:rsidRDefault="00515BCC" w:rsidP="00515BCC">
      <w:pPr>
        <w:ind w:firstLine="567"/>
        <w:jc w:val="center"/>
        <w:rPr>
          <w:b/>
          <w:bCs/>
          <w:color w:val="000000"/>
          <w:shd w:val="clear" w:color="auto" w:fill="FFFFFF"/>
        </w:rPr>
      </w:pPr>
    </w:p>
    <w:p w14:paraId="3B445D1C" w14:textId="14AFD0FA" w:rsidR="00515BCC" w:rsidRPr="00963B91" w:rsidRDefault="00515BCC" w:rsidP="00963B91">
      <w:pPr>
        <w:pStyle w:val="Antrat3"/>
        <w:ind w:firstLine="567"/>
      </w:pPr>
      <w:bookmarkStart w:id="45" w:name="_Toc85700947"/>
      <w:r w:rsidRPr="00963B91">
        <w:t>Dėl įstatym</w:t>
      </w:r>
      <w:r w:rsidR="00963B91" w:rsidRPr="00963B91">
        <w:t>ų</w:t>
      </w:r>
      <w:r w:rsidRPr="00963B91">
        <w:t xml:space="preserve"> leidėjo teisės nustatyti tam tikras sąlygas tėvystės atostogoms teikti – vaiko priežiūros atostogų suteikimą sieti su išankstiniu darbo stažu ir vieno iš tėvų teisę į vaiko priežiūros atostogas susieti su darbu vaiko gimimo ar įvaikinimo momentu</w:t>
      </w:r>
      <w:bookmarkEnd w:id="45"/>
    </w:p>
    <w:p w14:paraId="48B4C2F4" w14:textId="77777777" w:rsidR="00515BCC" w:rsidRPr="00353B65" w:rsidRDefault="00515BCC" w:rsidP="00515BCC">
      <w:pPr>
        <w:ind w:firstLine="567"/>
        <w:rPr>
          <w:color w:val="000000"/>
          <w:shd w:val="clear" w:color="auto" w:fill="FFFFFF"/>
        </w:rPr>
      </w:pPr>
    </w:p>
    <w:p w14:paraId="59A7E4EE" w14:textId="1C693775" w:rsidR="00515BCC" w:rsidRPr="00353B65" w:rsidRDefault="00515BCC" w:rsidP="00515BCC">
      <w:pPr>
        <w:ind w:firstLine="567"/>
        <w:rPr>
          <w:color w:val="000000"/>
          <w:shd w:val="clear" w:color="auto" w:fill="FFFFFF"/>
        </w:rPr>
      </w:pPr>
      <w:r w:rsidRPr="00353B65">
        <w:rPr>
          <w:color w:val="000000"/>
          <w:shd w:val="clear" w:color="auto" w:fill="FFFFFF"/>
        </w:rPr>
        <w:t>Teisingumo Teismas pirmiausiai nusprendė taikyti Direktyv</w:t>
      </w:r>
      <w:r w:rsidR="006C6208">
        <w:rPr>
          <w:color w:val="000000"/>
          <w:shd w:val="clear" w:color="auto" w:fill="FFFFFF"/>
        </w:rPr>
        <w:t>ą</w:t>
      </w:r>
      <w:r w:rsidRPr="00353B65">
        <w:rPr>
          <w:color w:val="000000"/>
          <w:shd w:val="clear" w:color="auto" w:fill="FFFFFF"/>
        </w:rPr>
        <w:t xml:space="preserve"> 2010/18</w:t>
      </w:r>
      <w:r w:rsidR="006C6208">
        <w:rPr>
          <w:rStyle w:val="Puslapioinaosnuoroda"/>
          <w:color w:val="000000"/>
          <w:shd w:val="clear" w:color="auto" w:fill="FFFFFF"/>
        </w:rPr>
        <w:footnoteReference w:id="20"/>
      </w:r>
      <w:r w:rsidRPr="00353B65">
        <w:rPr>
          <w:color w:val="000000"/>
          <w:shd w:val="clear" w:color="auto" w:fill="FFFFFF"/>
        </w:rPr>
        <w:t xml:space="preserve"> ir performuluoti klausimą. </w:t>
      </w:r>
    </w:p>
    <w:p w14:paraId="19065395" w14:textId="77777777" w:rsidR="00515BCC" w:rsidRPr="00353B65" w:rsidRDefault="00515BCC" w:rsidP="00515BCC">
      <w:pPr>
        <w:ind w:firstLine="567"/>
        <w:rPr>
          <w:color w:val="000000"/>
          <w:shd w:val="clear" w:color="auto" w:fill="FFFFFF"/>
        </w:rPr>
      </w:pPr>
      <w:r w:rsidRPr="00353B65">
        <w:rPr>
          <w:color w:val="000000"/>
          <w:shd w:val="clear" w:color="auto" w:fill="FFFFFF"/>
        </w:rPr>
        <w:t xml:space="preserve">Dėl klausimo, ar minėtiems patikslinto Bendrojo susitarimo straipsniams prieštarauja nacionalinės teisės norma, pagal kurią vaiko priežiūros atostogos suteikiamos, tik jeigu vienas iš tėvų ne mažiau kaip 12 mėnesių nepertraukiamai dirba iki pat šių vaiko priežiūros atostogų pradžios, Teisingumo Teismas pažymėjo, kad iš patikslinto Bendrojo susitarimo 3 straipsnio 1 dalies b punkto formuluotės matyti, kad </w:t>
      </w:r>
      <w:r w:rsidRPr="00353B65">
        <w:rPr>
          <w:color w:val="000000"/>
          <w:u w:val="single"/>
          <w:shd w:val="clear" w:color="auto" w:fill="FFFFFF"/>
        </w:rPr>
        <w:t xml:space="preserve">valstybės narės </w:t>
      </w:r>
      <w:bookmarkStart w:id="46" w:name="_Hlk82004839"/>
      <w:r w:rsidRPr="00353B65">
        <w:rPr>
          <w:color w:val="000000"/>
          <w:u w:val="single"/>
          <w:shd w:val="clear" w:color="auto" w:fill="FFFFFF"/>
        </w:rPr>
        <w:t>vaiko priežiūros atostogų suteikimą gali sieti su išankstiniu darbo stažu</w:t>
      </w:r>
      <w:bookmarkEnd w:id="46"/>
      <w:r w:rsidRPr="00353B65">
        <w:rPr>
          <w:color w:val="000000"/>
          <w:u w:val="single"/>
          <w:shd w:val="clear" w:color="auto" w:fill="FFFFFF"/>
        </w:rPr>
        <w:t>, tačiau nereikalaudamos, kad jis būtų ilgesnis nei vieni metai.</w:t>
      </w:r>
      <w:r w:rsidRPr="00353B65">
        <w:rPr>
          <w:color w:val="000000"/>
          <w:shd w:val="clear" w:color="auto" w:fill="FFFFFF"/>
        </w:rPr>
        <w:t xml:space="preserve"> Be to, valstybės narės gali reikalauti, kad toks darbo stažas būtų įgytas iki pat vaiko priežiūros atostogų pradžios. Taigi patikslinto Bendrojo susitarimo 1 straipsnio 1 ir 2 dalims, 2 straipsnio 1 daliai ir 3 straipsnio 1 dalies b punktui </w:t>
      </w:r>
      <w:r w:rsidRPr="00353B65">
        <w:rPr>
          <w:color w:val="000000"/>
          <w:u w:val="single"/>
          <w:shd w:val="clear" w:color="auto" w:fill="FFFFFF"/>
        </w:rPr>
        <w:t>neprieštarauja nacionalinės teisės norma, pagal kurią vaiko priežiūros atostogos suteikiamos, tik jeigu iki jų pradžios vienas iš tėvų yra įgijęs 12 mėnesių nepertraukiamo darbo stažą.</w:t>
      </w:r>
      <w:r w:rsidRPr="00353B65">
        <w:rPr>
          <w:color w:val="000000"/>
          <w:shd w:val="clear" w:color="auto" w:fill="FFFFFF"/>
        </w:rPr>
        <w:t xml:space="preserve"> </w:t>
      </w:r>
    </w:p>
    <w:p w14:paraId="22C13BCB" w14:textId="77777777" w:rsidR="00515BCC" w:rsidRPr="00353B65" w:rsidRDefault="00515BCC" w:rsidP="00515BCC">
      <w:pPr>
        <w:ind w:firstLine="567"/>
        <w:rPr>
          <w:color w:val="000000"/>
          <w:u w:val="single"/>
          <w:shd w:val="clear" w:color="auto" w:fill="FFFFFF"/>
        </w:rPr>
      </w:pPr>
      <w:r w:rsidRPr="00353B65">
        <w:rPr>
          <w:color w:val="000000"/>
          <w:shd w:val="clear" w:color="auto" w:fill="FFFFFF"/>
        </w:rPr>
        <w:t xml:space="preserve">Kalbant apie tai, ar Bendrojo susitarimo straipsniams prieštarauja nacionalinės teisės norma, pagal kurią vaiko priežiūros atostogos suteikiamos, jeigu vienas iš tėvų vaiko (vaikų) gimimo arba įvaikinimo momentu dirba, atsižvelgiant į patikslinto Bendrojo susitarimo kontekstą ir tikslus (skatinti vyrų ir moterų lygybę, kiek tai susiję su jų galimybėmis darbo rinkoje ir požiūriu darbe visoje Sąjungoje, tiek leisti dirbantiems tėvams kuo geriau derinti profesinį, asmeninį ir šeimos gyvenimą), nuspręsta, kad jo 1 straipsnio 1 ir 2 dalių, 2 straipsnio 1 dalies ir 3 straipsnio 1 dalies b punkto </w:t>
      </w:r>
      <w:r w:rsidRPr="00353B65">
        <w:rPr>
          <w:color w:val="000000"/>
          <w:u w:val="single"/>
          <w:shd w:val="clear" w:color="auto" w:fill="FFFFFF"/>
        </w:rPr>
        <w:t>negalima aiškinti taip, kad valstybė narė gali nustatyti, kad vieno iš tėvų teisė į vaiko priežiūros atostogas suteikiama, tik jeigu vaiko gimimo ar įvaikinimo momentu jis dirba.</w:t>
      </w:r>
    </w:p>
    <w:p w14:paraId="6A1FAB38" w14:textId="77777777" w:rsidR="00515BCC" w:rsidRPr="00353B65" w:rsidRDefault="00515BCC" w:rsidP="00515BCC">
      <w:pPr>
        <w:ind w:firstLine="567"/>
        <w:rPr>
          <w:color w:val="000000"/>
          <w:shd w:val="clear" w:color="auto" w:fill="FFFFFF"/>
        </w:rPr>
      </w:pPr>
      <w:r w:rsidRPr="00353B65">
        <w:rPr>
          <w:color w:val="000000"/>
          <w:shd w:val="clear" w:color="auto" w:fill="FFFFFF"/>
        </w:rPr>
        <w:t xml:space="preserve">Vaiko gimimas ar įvaikinimas ir jo tėvų darbuotojo statusas yra teisės į vaiko priežiūros atostogas suteikimo sąlygos pagal patikslintą Bendrąjį susitarimą. Tačiau iš šių teisės į vaiko priežiūros atostogas </w:t>
      </w:r>
      <w:r w:rsidRPr="00353B65">
        <w:rPr>
          <w:color w:val="000000"/>
          <w:shd w:val="clear" w:color="auto" w:fill="FFFFFF"/>
        </w:rPr>
        <w:lastRenderedPageBreak/>
        <w:t>suteikimo sąlygų negalima daryti išvados, kad vaiko, dėl kurio prašoma suteikti šias atostogas, tėvai turi būti darbuotojai jo gimimo ar įvaikinimo momentu.</w:t>
      </w:r>
      <w:r w:rsidRPr="00353B65">
        <w:rPr>
          <w:rFonts w:ascii="Open Sans" w:hAnsi="Open Sans" w:cs="Open Sans"/>
          <w:color w:val="000000"/>
        </w:rPr>
        <w:t xml:space="preserve"> </w:t>
      </w:r>
      <w:r w:rsidRPr="00353B65">
        <w:rPr>
          <w:color w:val="000000"/>
          <w:shd w:val="clear" w:color="auto" w:fill="FFFFFF"/>
        </w:rPr>
        <w:t>Bendrojo susitarimo kontekstas ir tikslai prieštarauja tokiam aiškinimui.</w:t>
      </w:r>
    </w:p>
    <w:p w14:paraId="5BF86054" w14:textId="33A42BB4" w:rsidR="00515BCC" w:rsidRPr="00353B65" w:rsidRDefault="003347AD" w:rsidP="00515BCC">
      <w:pPr>
        <w:ind w:firstLine="567"/>
        <w:rPr>
          <w:rFonts w:asciiTheme="minorHAnsi" w:hAnsiTheme="minorHAnsi" w:cstheme="minorHAnsi"/>
          <w:color w:val="0000FF"/>
          <w:u w:val="single"/>
        </w:rPr>
      </w:pPr>
      <w:hyperlink r:id="rId20" w:history="1">
        <w:r w:rsidR="00DC60D8">
          <w:rPr>
            <w:rStyle w:val="Hipersaitas"/>
            <w:rFonts w:asciiTheme="minorHAnsi" w:hAnsiTheme="minorHAnsi" w:cstheme="minorHAnsi"/>
          </w:rPr>
          <w:t>Prieiga internete</w:t>
        </w:r>
      </w:hyperlink>
    </w:p>
    <w:p w14:paraId="329A4F0A" w14:textId="77777777" w:rsidR="00515BCC" w:rsidRPr="00353B65" w:rsidRDefault="00515BCC" w:rsidP="00406976">
      <w:pPr>
        <w:jc w:val="center"/>
        <w:rPr>
          <w:rFonts w:asciiTheme="minorHAnsi" w:hAnsiTheme="minorHAnsi" w:cstheme="minorHAnsi"/>
          <w:b/>
        </w:rPr>
      </w:pPr>
    </w:p>
    <w:p w14:paraId="2B766B08" w14:textId="7B148B3F" w:rsidR="00406976" w:rsidRPr="00963B91" w:rsidRDefault="00406976" w:rsidP="00963B91">
      <w:pPr>
        <w:pStyle w:val="Antrat1"/>
        <w:rPr>
          <w:rStyle w:val="eop"/>
          <w:color w:val="auto"/>
          <w:szCs w:val="22"/>
        </w:rPr>
      </w:pPr>
      <w:bookmarkStart w:id="47" w:name="_Toc85700948"/>
      <w:r w:rsidRPr="00353B65">
        <w:rPr>
          <w:rStyle w:val="eop"/>
          <w:color w:val="auto"/>
          <w:szCs w:val="22"/>
        </w:rPr>
        <w:t>2021 m. kovo 9 d. sprendimas byloje</w:t>
      </w:r>
      <w:r w:rsidR="009A4386">
        <w:rPr>
          <w:rStyle w:val="eop"/>
          <w:color w:val="auto"/>
          <w:szCs w:val="22"/>
        </w:rPr>
        <w:t xml:space="preserve"> </w:t>
      </w:r>
      <w:r w:rsidR="009A4386" w:rsidRPr="00DC60D8">
        <w:rPr>
          <w:i/>
          <w:iCs/>
        </w:rPr>
        <w:t>Radiotelevizija Slovenija (Période d’astreinte dans un lieu reculé)</w:t>
      </w:r>
      <w:r w:rsidR="00963B91">
        <w:rPr>
          <w:i/>
          <w:iCs/>
        </w:rPr>
        <w:t xml:space="preserve">, </w:t>
      </w:r>
      <w:r w:rsidRPr="00071EC5">
        <w:rPr>
          <w:rStyle w:val="eop"/>
          <w:bCs/>
        </w:rPr>
        <w:t>C-344/19</w:t>
      </w:r>
      <w:bookmarkEnd w:id="47"/>
    </w:p>
    <w:p w14:paraId="3389BDC7" w14:textId="77777777" w:rsidR="00406976" w:rsidRPr="00353B65" w:rsidRDefault="00406976" w:rsidP="00406976">
      <w:pPr>
        <w:pStyle w:val="Betarp"/>
        <w:jc w:val="both"/>
        <w:rPr>
          <w:rStyle w:val="eop"/>
          <w:rFonts w:asciiTheme="minorHAnsi" w:hAnsiTheme="minorHAnsi" w:cstheme="minorHAnsi"/>
          <w:color w:val="auto"/>
          <w:sz w:val="22"/>
          <w:shd w:val="clear" w:color="auto" w:fill="FFFFFF"/>
          <w:lang w:val="lt-LT"/>
        </w:rPr>
      </w:pPr>
    </w:p>
    <w:p w14:paraId="7635AEFF" w14:textId="49D26976" w:rsidR="00DC60D8" w:rsidRDefault="00DC60D8" w:rsidP="00DC60D8">
      <w:pPr>
        <w:ind w:firstLine="567"/>
        <w:rPr>
          <w:iCs/>
        </w:rPr>
      </w:pPr>
      <w:r w:rsidRPr="00DC60D8">
        <w:rPr>
          <w:iCs/>
        </w:rPr>
        <w:t>Darbuotojų saugos užtikrinimas ir sveikatos apsauga – Darbo laiko organizavimas – Direktyva 2003/88/EB – 2 straipsnis – Sąvoka „darbo laikas“ – Pasyviojo budėjimo laikotarpis – Specifinis darbas, susijęs su toli nuo gyvenamųjų vietovių esančių televizijos siųstuvų priežiūra – Direktyva 89/391/EEB – 5 ir 6 straipsniai – Psichosocialiniai rizikos veiksniai – Pareiga imtis prevencijos priemonių</w:t>
      </w:r>
    </w:p>
    <w:p w14:paraId="2824A65D" w14:textId="77777777" w:rsidR="00DC60D8" w:rsidRPr="00DC60D8" w:rsidRDefault="00DC60D8" w:rsidP="00DC60D8">
      <w:pPr>
        <w:ind w:firstLine="567"/>
        <w:rPr>
          <w:rFonts w:asciiTheme="minorHAnsi" w:hAnsiTheme="minorHAnsi" w:cstheme="minorHAnsi"/>
          <w:iCs/>
        </w:rPr>
      </w:pPr>
    </w:p>
    <w:p w14:paraId="2ABAFF22" w14:textId="62DA9291" w:rsidR="00DC60D8" w:rsidRPr="00353B65" w:rsidRDefault="00DC60D8" w:rsidP="00DC60D8">
      <w:pPr>
        <w:tabs>
          <w:tab w:val="left" w:pos="6379"/>
        </w:tabs>
        <w:jc w:val="center"/>
        <w:rPr>
          <w:rFonts w:asciiTheme="minorHAnsi" w:hAnsiTheme="minorHAnsi" w:cstheme="minorHAnsi"/>
          <w:b/>
        </w:rPr>
      </w:pPr>
      <w:r>
        <w:rPr>
          <w:rFonts w:asciiTheme="minorHAnsi" w:hAnsiTheme="minorHAnsi" w:cstheme="minorHAnsi"/>
          <w:b/>
        </w:rPr>
        <w:t>Bylos</w:t>
      </w:r>
      <w:r w:rsidRPr="00353B65">
        <w:rPr>
          <w:rFonts w:asciiTheme="minorHAnsi" w:hAnsiTheme="minorHAnsi" w:cstheme="minorHAnsi"/>
          <w:b/>
        </w:rPr>
        <w:t xml:space="preserve"> aplinkybės</w:t>
      </w:r>
    </w:p>
    <w:p w14:paraId="78759A48" w14:textId="77777777" w:rsidR="00406976" w:rsidRPr="00353B65" w:rsidRDefault="00406976" w:rsidP="00406976">
      <w:pPr>
        <w:pStyle w:val="Betarp"/>
        <w:jc w:val="both"/>
        <w:rPr>
          <w:rStyle w:val="eop"/>
          <w:rFonts w:asciiTheme="minorHAnsi" w:hAnsiTheme="minorHAnsi" w:cstheme="minorHAnsi"/>
          <w:color w:val="auto"/>
          <w:sz w:val="22"/>
          <w:shd w:val="clear" w:color="auto" w:fill="FFFFFF"/>
          <w:lang w:val="lt-LT"/>
        </w:rPr>
      </w:pPr>
    </w:p>
    <w:p w14:paraId="11D52F41" w14:textId="77777777" w:rsidR="001F0AC4" w:rsidRDefault="00406976" w:rsidP="001F0AC4">
      <w:pPr>
        <w:pStyle w:val="Betarp"/>
        <w:ind w:firstLine="567"/>
        <w:jc w:val="both"/>
        <w:rPr>
          <w:rFonts w:asciiTheme="minorHAnsi" w:hAnsiTheme="minorHAnsi" w:cstheme="minorHAnsi"/>
          <w:color w:val="auto"/>
          <w:sz w:val="22"/>
          <w:shd w:val="clear" w:color="auto" w:fill="FFFFFF"/>
          <w:lang w:val="lt-LT"/>
        </w:rPr>
      </w:pPr>
      <w:r w:rsidRPr="00353B65">
        <w:rPr>
          <w:rFonts w:asciiTheme="minorHAnsi" w:hAnsiTheme="minorHAnsi" w:cstheme="minorHAnsi"/>
          <w:color w:val="auto"/>
          <w:sz w:val="22"/>
          <w:shd w:val="clear" w:color="auto" w:fill="FFFFFF"/>
          <w:lang w:val="lt-LT"/>
        </w:rPr>
        <w:t xml:space="preserve">Pagrindinėje byloje D. J. kėlė klausimą dėl jo darbo režimo kvalifikavimo. Dalis D. J. vykdyto darbo buvo atliekamas pagal specialų „pasyviojo darbo“ režimą: darbuotojas galėjo palikti darbo vietą, tačiau turėdavo būti pasiekiamas telefonu ir, jei būtina, privalėjo per vieną valandą grįžti į savo darbo vietą. Už tokį pasyviojo budėjimo laikotarpį darbdavys mokėjo D. J. pagrindinėje byloje išmoką, sudarančią 20 procentų jo įprasto darbo užmokesčio. Jeigu tokiu laikotarpiu D. J. būdavo iškviestas dirbti, tam panaudotas laikas buvo apskaitomas ir už jį sumokama kaip už įprastą darbą. D. J. skundą teikė, siekdamas, kad už pasyviojo budėjimo valandas jam būtų sumokėta pagal viršvalandžiams taikomą tarifą, nesvarbu, ar budėjimo metu jis atlikdavo konkretų darbą. </w:t>
      </w:r>
    </w:p>
    <w:p w14:paraId="5F02CABA" w14:textId="0EFD3940" w:rsidR="001F0AC4" w:rsidRDefault="00406976" w:rsidP="001F0AC4">
      <w:pPr>
        <w:pStyle w:val="Betarp"/>
        <w:ind w:firstLine="567"/>
        <w:jc w:val="both"/>
        <w:rPr>
          <w:rFonts w:asciiTheme="minorHAnsi" w:hAnsiTheme="minorHAnsi" w:cstheme="minorHAnsi"/>
          <w:color w:val="auto"/>
          <w:sz w:val="22"/>
          <w:shd w:val="clear" w:color="auto" w:fill="FFFFFF"/>
          <w:lang w:val="lt-LT"/>
        </w:rPr>
      </w:pPr>
      <w:r w:rsidRPr="00353B65">
        <w:rPr>
          <w:rFonts w:asciiTheme="minorHAnsi" w:hAnsiTheme="minorHAnsi" w:cstheme="minorHAnsi"/>
          <w:color w:val="auto"/>
          <w:sz w:val="22"/>
          <w:shd w:val="clear" w:color="auto" w:fill="FFFFFF"/>
          <w:lang w:val="lt-LT"/>
        </w:rPr>
        <w:t>Prašymą priimti prejudicinį sprendimą pateikęs teismas siekė išsiaiškinti, ar Direktyv</w:t>
      </w:r>
      <w:r w:rsidR="006C6208">
        <w:rPr>
          <w:rFonts w:asciiTheme="minorHAnsi" w:hAnsiTheme="minorHAnsi" w:cstheme="minorHAnsi"/>
          <w:color w:val="auto"/>
          <w:sz w:val="22"/>
          <w:shd w:val="clear" w:color="auto" w:fill="FFFFFF"/>
          <w:lang w:val="lt-LT"/>
        </w:rPr>
        <w:t>os</w:t>
      </w:r>
      <w:r w:rsidRPr="00353B65">
        <w:rPr>
          <w:rFonts w:asciiTheme="minorHAnsi" w:hAnsiTheme="minorHAnsi" w:cstheme="minorHAnsi"/>
          <w:color w:val="auto"/>
          <w:sz w:val="22"/>
          <w:shd w:val="clear" w:color="auto" w:fill="FFFFFF"/>
          <w:lang w:val="lt-LT"/>
        </w:rPr>
        <w:t xml:space="preserve"> 2003/88</w:t>
      </w:r>
      <w:r w:rsidR="006C6208">
        <w:rPr>
          <w:rStyle w:val="Puslapioinaosnuoroda"/>
          <w:rFonts w:asciiTheme="minorHAnsi" w:hAnsiTheme="minorHAnsi" w:cstheme="minorHAnsi"/>
          <w:color w:val="auto"/>
          <w:sz w:val="22"/>
          <w:shd w:val="clear" w:color="auto" w:fill="FFFFFF"/>
          <w:lang w:val="lt-LT"/>
        </w:rPr>
        <w:footnoteReference w:id="21"/>
      </w:r>
      <w:r w:rsidRPr="00353B65">
        <w:rPr>
          <w:rFonts w:asciiTheme="minorHAnsi" w:hAnsiTheme="minorHAnsi" w:cstheme="minorHAnsi"/>
          <w:color w:val="auto"/>
          <w:sz w:val="22"/>
          <w:shd w:val="clear" w:color="auto" w:fill="FFFFFF"/>
          <w:lang w:val="lt-LT"/>
        </w:rPr>
        <w:t xml:space="preserve"> 2 straipsnį reikia aiškinti taip: budėjimo laikotarpis, kuriuo darbuotojas turi būti pasiekiamas telefonu ir prireikus galėti atvykti į darbo vietą per vieną valandą, yra „darbo laikas“, kaip jis suprantamas pagal šį straipsnį, ir ar sprendžiant dėl tokio kvalifikavimo reikia atsižvelgti į aplinkybę, kad šiam darbuotojui suteiktas tarnybinis būstas, nes jo darbo vieta yra sunkiai pasiekiama, ir į tai, kad šalia šios darbo vietos yra mažai galimybių leisti laisvalaikį.</w:t>
      </w:r>
    </w:p>
    <w:p w14:paraId="35772087" w14:textId="258593DB" w:rsidR="00DC60D8" w:rsidRDefault="00DC60D8" w:rsidP="001F0AC4">
      <w:pPr>
        <w:pStyle w:val="Betarp"/>
        <w:ind w:firstLine="567"/>
        <w:jc w:val="both"/>
        <w:rPr>
          <w:rFonts w:asciiTheme="minorHAnsi" w:hAnsiTheme="minorHAnsi" w:cstheme="minorHAnsi"/>
          <w:color w:val="auto"/>
          <w:sz w:val="22"/>
          <w:shd w:val="clear" w:color="auto" w:fill="FFFFFF"/>
          <w:lang w:val="lt-LT"/>
        </w:rPr>
      </w:pPr>
    </w:p>
    <w:p w14:paraId="10860B22" w14:textId="3A1A2D91" w:rsidR="00DC60D8" w:rsidRPr="00DC60D8" w:rsidRDefault="00DC60D8" w:rsidP="00DC60D8">
      <w:pPr>
        <w:jc w:val="center"/>
        <w:rPr>
          <w:b/>
          <w:bCs/>
          <w:color w:val="000000"/>
          <w:shd w:val="clear" w:color="auto" w:fill="FFFFFF"/>
        </w:rPr>
      </w:pPr>
      <w:r w:rsidRPr="00353B65">
        <w:rPr>
          <w:b/>
          <w:bCs/>
          <w:color w:val="000000"/>
          <w:shd w:val="clear" w:color="auto" w:fill="FFFFFF"/>
        </w:rPr>
        <w:t>Teisingumo Teismo vertinimas</w:t>
      </w:r>
    </w:p>
    <w:p w14:paraId="2D9AC508" w14:textId="023ED018" w:rsidR="00DC60D8" w:rsidRDefault="00DC60D8" w:rsidP="001F0AC4">
      <w:pPr>
        <w:pStyle w:val="Betarp"/>
        <w:ind w:firstLine="567"/>
        <w:jc w:val="both"/>
        <w:rPr>
          <w:rFonts w:asciiTheme="minorHAnsi" w:hAnsiTheme="minorHAnsi" w:cstheme="minorHAnsi"/>
          <w:color w:val="auto"/>
          <w:sz w:val="22"/>
          <w:shd w:val="clear" w:color="auto" w:fill="FFFFFF"/>
          <w:lang w:val="lt-LT"/>
        </w:rPr>
      </w:pPr>
    </w:p>
    <w:p w14:paraId="3EC1CAE3" w14:textId="7D5FE463" w:rsidR="00DC60D8" w:rsidRPr="00963B91" w:rsidRDefault="00DC60D8" w:rsidP="00963B91">
      <w:pPr>
        <w:pStyle w:val="Antrat3"/>
        <w:ind w:firstLine="567"/>
      </w:pPr>
      <w:bookmarkStart w:id="48" w:name="_Toc85700949"/>
      <w:r w:rsidRPr="00963B91">
        <w:t>Dėl specialaus darbo režimo – „pasyviojo budėjimo“ – kvalifikavimo kaip „darbo laikas“</w:t>
      </w:r>
      <w:bookmarkEnd w:id="48"/>
      <w:r w:rsidRPr="00963B91">
        <w:t xml:space="preserve"> </w:t>
      </w:r>
    </w:p>
    <w:p w14:paraId="50A9195C" w14:textId="77777777" w:rsidR="00DC60D8" w:rsidRDefault="00DC60D8" w:rsidP="001F0AC4">
      <w:pPr>
        <w:pStyle w:val="Betarp"/>
        <w:ind w:firstLine="567"/>
        <w:jc w:val="both"/>
        <w:rPr>
          <w:rFonts w:asciiTheme="minorHAnsi" w:hAnsiTheme="minorHAnsi" w:cstheme="minorHAnsi"/>
          <w:color w:val="auto"/>
          <w:sz w:val="22"/>
          <w:shd w:val="clear" w:color="auto" w:fill="FFFFFF"/>
          <w:lang w:val="lt-LT"/>
        </w:rPr>
      </w:pPr>
    </w:p>
    <w:p w14:paraId="1C380245" w14:textId="4B3879E5" w:rsidR="001F0AC4" w:rsidRDefault="00406976" w:rsidP="001F0AC4">
      <w:pPr>
        <w:pStyle w:val="Betarp"/>
        <w:ind w:firstLine="567"/>
        <w:jc w:val="both"/>
        <w:rPr>
          <w:rFonts w:asciiTheme="minorHAnsi" w:hAnsiTheme="minorHAnsi" w:cstheme="minorHAnsi"/>
          <w:color w:val="auto"/>
          <w:sz w:val="22"/>
          <w:shd w:val="clear" w:color="auto" w:fill="FFFFFF"/>
          <w:lang w:val="lt-LT"/>
        </w:rPr>
      </w:pPr>
      <w:r w:rsidRPr="00353B65">
        <w:rPr>
          <w:rFonts w:asciiTheme="minorHAnsi" w:hAnsiTheme="minorHAnsi" w:cstheme="minorHAnsi"/>
          <w:color w:val="auto"/>
          <w:sz w:val="22"/>
          <w:shd w:val="clear" w:color="auto" w:fill="FFFFFF"/>
          <w:lang w:val="lt-LT"/>
        </w:rPr>
        <w:t>ESTT priminė savo praktiką, kad nors pasyviojo budėjimo laikotarpiu darbuotojas neprivalo likti darbo vietoje, jį visą reikia laikyti „darbo laiku“, kaip tai suprantama pagal Direktyvą 2003/88, kai dėl objektyvaus ir labai didelio darbuotojui nustatytų suvaržymo poveikio jo galimybėms tenkinti asmeninius ir socialinius interesus jis skiriasi nuo to laikotarpio, kai darbuotojas privalo tik būti darbdavio žinioje, kad šis galėtų su juo susisiekti.</w:t>
      </w:r>
    </w:p>
    <w:p w14:paraId="2F950949" w14:textId="77777777" w:rsidR="00044B06" w:rsidRDefault="00406976" w:rsidP="00044B06">
      <w:pPr>
        <w:pStyle w:val="Betarp"/>
        <w:ind w:firstLine="567"/>
        <w:jc w:val="both"/>
        <w:rPr>
          <w:rFonts w:asciiTheme="minorHAnsi" w:hAnsiTheme="minorHAnsi" w:cstheme="minorHAnsi"/>
          <w:color w:val="auto"/>
          <w:sz w:val="22"/>
          <w:shd w:val="clear" w:color="auto" w:fill="FFFFFF"/>
          <w:lang w:val="lt-LT"/>
        </w:rPr>
      </w:pPr>
      <w:r w:rsidRPr="00353B65">
        <w:rPr>
          <w:rFonts w:asciiTheme="minorHAnsi" w:hAnsiTheme="minorHAnsi" w:cstheme="minorHAnsi"/>
          <w:color w:val="auto"/>
          <w:sz w:val="22"/>
          <w:shd w:val="clear" w:color="auto" w:fill="FFFFFF"/>
          <w:lang w:val="lt-LT"/>
        </w:rPr>
        <w:t xml:space="preserve">ESTT pažymėjo, kad </w:t>
      </w:r>
      <w:r w:rsidRPr="00353B65">
        <w:rPr>
          <w:rFonts w:asciiTheme="minorHAnsi" w:hAnsiTheme="minorHAnsi" w:cstheme="minorHAnsi"/>
          <w:color w:val="auto"/>
          <w:sz w:val="22"/>
          <w:u w:val="single"/>
          <w:shd w:val="clear" w:color="auto" w:fill="FFFFFF"/>
          <w:lang w:val="lt-LT"/>
        </w:rPr>
        <w:t>vertinant, ar budėjimo laikas yra „darbo laikas“, kaip tai suprantama pagal Direktyvą 2003/88, gali būti atsižvelgiama tik į suvaržymus, kurie darbuotojui nustatyti atitinkamos valstybės narės teisės aktuose, kolektyvinėje sutartyje ar jo darbdavio</w:t>
      </w:r>
      <w:r w:rsidRPr="00353B65">
        <w:rPr>
          <w:rFonts w:asciiTheme="minorHAnsi" w:hAnsiTheme="minorHAnsi" w:cstheme="minorHAnsi"/>
          <w:color w:val="auto"/>
          <w:sz w:val="22"/>
          <w:shd w:val="clear" w:color="auto" w:fill="FFFFFF"/>
          <w:lang w:val="lt-LT"/>
        </w:rPr>
        <w:t xml:space="preserve">, pavyzdžiui, pagal darbo sutartį, darbo nuostatus ar budėjimo paskirstymo darbuotojams sistemą. Tačiau </w:t>
      </w:r>
      <w:r w:rsidRPr="00353B65">
        <w:rPr>
          <w:rFonts w:asciiTheme="minorHAnsi" w:hAnsiTheme="minorHAnsi" w:cstheme="minorHAnsi"/>
          <w:color w:val="auto"/>
          <w:sz w:val="22"/>
          <w:u w:val="single"/>
          <w:shd w:val="clear" w:color="auto" w:fill="FFFFFF"/>
          <w:lang w:val="lt-LT"/>
        </w:rPr>
        <w:t>negalima atsižvelgti į organizacinius sunkumus, kurių darbuotojui gali sukelti budėjimo laikotarpis ir kurie nesusiję su minėtais suvaržymais, o, pavyzdžiui, yra gamtinių sąlygų ar laisvo jo pasirinkimo pasekmė</w:t>
      </w:r>
      <w:r w:rsidRPr="00353B65">
        <w:rPr>
          <w:rFonts w:asciiTheme="minorHAnsi" w:hAnsiTheme="minorHAnsi" w:cstheme="minorHAnsi"/>
          <w:color w:val="auto"/>
          <w:sz w:val="22"/>
          <w:shd w:val="clear" w:color="auto" w:fill="FFFFFF"/>
          <w:lang w:val="lt-LT"/>
        </w:rPr>
        <w:t>.</w:t>
      </w:r>
    </w:p>
    <w:p w14:paraId="36099AD3" w14:textId="77777777" w:rsidR="00044B06" w:rsidRDefault="00406976" w:rsidP="00044B06">
      <w:pPr>
        <w:pStyle w:val="Betarp"/>
        <w:ind w:firstLine="567"/>
        <w:jc w:val="both"/>
        <w:rPr>
          <w:rFonts w:asciiTheme="minorHAnsi" w:hAnsiTheme="minorHAnsi" w:cstheme="minorHAnsi"/>
          <w:color w:val="auto"/>
          <w:sz w:val="22"/>
          <w:shd w:val="clear" w:color="auto" w:fill="FFFFFF"/>
          <w:lang w:val="lt-LT"/>
        </w:rPr>
      </w:pPr>
      <w:r w:rsidRPr="00353B65">
        <w:rPr>
          <w:rFonts w:asciiTheme="minorHAnsi" w:hAnsiTheme="minorHAnsi" w:cstheme="minorHAnsi"/>
          <w:color w:val="auto"/>
          <w:sz w:val="22"/>
          <w:shd w:val="clear" w:color="auto" w:fill="FFFFFF"/>
          <w:lang w:val="lt-LT"/>
        </w:rPr>
        <w:t xml:space="preserve">ESTT nurodė, kad kai dėl paties darbo vietos pobūdžio darbuotojas praktiškai neturi realios galimybės išvykti iš jos atidirbęs savo darbo valandas, „darbo laiku“ pagal Direktyvą 2003/88 automatiškai pripažįstami tik tie laikotarpiai, kai jam toliau taikomi objektyvūs ir labai dideli suvaržymai, kaip antai pareiga būti darbdavio nedelsiant pasiekiamam. Bet prie jo nepriskiriami laikotarpiai, kai neįmanoma išvykti iš darbo vietos ne dėl šios pareigos, o tik dėl šios vietovės ypatumų. Kai budėjimo laikotarpio negalima automatiškai laikyti „darbo laiku“ dėl to, kad nėra pareigos pasilikti savo darbo vietoje, </w:t>
      </w:r>
      <w:r w:rsidRPr="00353B65">
        <w:rPr>
          <w:rFonts w:asciiTheme="minorHAnsi" w:hAnsiTheme="minorHAnsi" w:cstheme="minorHAnsi"/>
          <w:color w:val="auto"/>
          <w:sz w:val="22"/>
          <w:shd w:val="clear" w:color="auto" w:fill="FFFFFF"/>
          <w:lang w:val="lt-LT"/>
        </w:rPr>
        <w:lastRenderedPageBreak/>
        <w:t>nacionaliniai teismai turi patikrinti, ar vis dėlto neprivaloma jo tokiu pripažinti dėl visų darbuotojui nustatytų apribojimų pasekmių jo galimybei šiuo laikotarpiu laisvai valdyti laiką, kuriuo nereikalaujama atlikti profesinių funkcijų, ir jį skirti savo interesams.</w:t>
      </w:r>
    </w:p>
    <w:p w14:paraId="6A6B24FA" w14:textId="62C9B208" w:rsidR="00406976" w:rsidRDefault="00406976" w:rsidP="00044B06">
      <w:pPr>
        <w:pStyle w:val="Betarp"/>
        <w:ind w:firstLine="567"/>
        <w:jc w:val="both"/>
        <w:rPr>
          <w:rFonts w:asciiTheme="minorHAnsi" w:hAnsiTheme="minorHAnsi" w:cstheme="minorHAnsi"/>
          <w:color w:val="auto"/>
          <w:sz w:val="22"/>
          <w:shd w:val="clear" w:color="auto" w:fill="FFFFFF"/>
          <w:lang w:val="lt-LT"/>
        </w:rPr>
      </w:pPr>
      <w:r w:rsidRPr="00353B65">
        <w:rPr>
          <w:rFonts w:asciiTheme="minorHAnsi" w:hAnsiTheme="minorHAnsi" w:cstheme="minorHAnsi"/>
          <w:color w:val="auto"/>
          <w:sz w:val="22"/>
          <w:shd w:val="clear" w:color="auto" w:fill="FFFFFF"/>
          <w:lang w:val="lt-LT"/>
        </w:rPr>
        <w:t xml:space="preserve">Be to, </w:t>
      </w:r>
      <w:r w:rsidRPr="00353B65">
        <w:rPr>
          <w:rFonts w:asciiTheme="minorHAnsi" w:hAnsiTheme="minorHAnsi" w:cstheme="minorHAnsi"/>
          <w:color w:val="auto"/>
          <w:sz w:val="22"/>
          <w:u w:val="single"/>
          <w:shd w:val="clear" w:color="auto" w:fill="FFFFFF"/>
          <w:lang w:val="lt-LT"/>
        </w:rPr>
        <w:t>nacionaliniai teismai turi atsižvelgti ne tik į terminą, per kurį darbuotojas turi vėl imtis savo profesinės veiklos, bet ir į tai, kiek vidutiniškai kartų tas darbuotojas paprastai turi faktiškai imtis darbo per kiekvieną tokį budėjimo laikotarpį, jei tai galima objektyviai apskaičiuoti</w:t>
      </w:r>
      <w:r w:rsidRPr="00353B65">
        <w:rPr>
          <w:rFonts w:asciiTheme="minorHAnsi" w:hAnsiTheme="minorHAnsi" w:cstheme="minorHAnsi"/>
          <w:color w:val="auto"/>
          <w:sz w:val="22"/>
          <w:shd w:val="clear" w:color="auto" w:fill="FFFFFF"/>
          <w:lang w:val="lt-LT"/>
        </w:rPr>
        <w:t>. Jei budėjimo laikotarpiais darbuotojas palyginti dažnai kviečiamas atlikti užduočių, kurioms paprastai reikia nemažai laiko, visi šie laikotarpiai iš principo yra „darbo laikas“.</w:t>
      </w:r>
    </w:p>
    <w:p w14:paraId="6EBFD7B6" w14:textId="0D558A74" w:rsidR="00DC60D8" w:rsidRPr="00044B06" w:rsidRDefault="003347AD" w:rsidP="00044B06">
      <w:pPr>
        <w:pStyle w:val="Betarp"/>
        <w:ind w:firstLine="567"/>
        <w:jc w:val="both"/>
        <w:rPr>
          <w:rFonts w:asciiTheme="minorHAnsi" w:hAnsiTheme="minorHAnsi" w:cstheme="minorHAnsi"/>
          <w:color w:val="auto"/>
          <w:sz w:val="22"/>
          <w:shd w:val="clear" w:color="auto" w:fill="FFFFFF"/>
          <w:lang w:val="lt-LT"/>
        </w:rPr>
      </w:pPr>
      <w:hyperlink r:id="rId21" w:history="1">
        <w:r w:rsidR="00DC60D8" w:rsidRPr="00DC60D8">
          <w:rPr>
            <w:rStyle w:val="Hipersaitas"/>
            <w:rFonts w:asciiTheme="minorHAnsi" w:hAnsiTheme="minorHAnsi" w:cstheme="minorHAnsi"/>
            <w:sz w:val="22"/>
            <w:shd w:val="clear" w:color="auto" w:fill="FFFFFF"/>
            <w:lang w:val="lt-LT"/>
          </w:rPr>
          <w:t>Prieiga internete</w:t>
        </w:r>
      </w:hyperlink>
    </w:p>
    <w:bookmarkEnd w:id="0"/>
    <w:bookmarkEnd w:id="1"/>
    <w:bookmarkEnd w:id="2"/>
    <w:bookmarkEnd w:id="3"/>
    <w:bookmarkEnd w:id="4"/>
    <w:bookmarkEnd w:id="5"/>
    <w:p w14:paraId="1D9F133B" w14:textId="77777777" w:rsidR="007566FC" w:rsidRPr="00353B65" w:rsidRDefault="007566FC" w:rsidP="007566FC">
      <w:pPr>
        <w:pStyle w:val="Betarp"/>
        <w:jc w:val="both"/>
        <w:rPr>
          <w:rFonts w:asciiTheme="minorHAnsi" w:hAnsiTheme="minorHAnsi" w:cstheme="minorHAnsi"/>
          <w:color w:val="auto"/>
          <w:sz w:val="22"/>
          <w:lang w:val="lt-LT"/>
        </w:rPr>
      </w:pPr>
    </w:p>
    <w:p w14:paraId="7AB17BA6" w14:textId="5F3E4DF2" w:rsidR="007566FC" w:rsidRPr="00963B91" w:rsidRDefault="007566FC" w:rsidP="00963B91">
      <w:pPr>
        <w:pStyle w:val="Antrat1"/>
        <w:rPr>
          <w:szCs w:val="22"/>
          <w:shd w:val="clear" w:color="auto" w:fill="FFFFFF"/>
        </w:rPr>
      </w:pPr>
      <w:bookmarkStart w:id="49" w:name="_Toc85700950"/>
      <w:r w:rsidRPr="00353B65">
        <w:rPr>
          <w:szCs w:val="22"/>
          <w:shd w:val="clear" w:color="auto" w:fill="FFFFFF"/>
        </w:rPr>
        <w:t>2021 m. birželio 3 d. sprendimas byloje</w:t>
      </w:r>
      <w:r w:rsidR="00DC60D8">
        <w:rPr>
          <w:szCs w:val="22"/>
          <w:shd w:val="clear" w:color="auto" w:fill="FFFFFF"/>
        </w:rPr>
        <w:t xml:space="preserve"> </w:t>
      </w:r>
      <w:r w:rsidR="009A4386" w:rsidRPr="00DC60D8">
        <w:rPr>
          <w:i/>
          <w:iCs/>
        </w:rPr>
        <w:t>Instituto Madrileño de Investigación y Desarrollo Rural, Agrario y Alimentario</w:t>
      </w:r>
      <w:r w:rsidR="00963B91">
        <w:rPr>
          <w:i/>
          <w:iCs/>
        </w:rPr>
        <w:t xml:space="preserve">, </w:t>
      </w:r>
      <w:r w:rsidRPr="00177F84">
        <w:rPr>
          <w:bCs/>
          <w:shd w:val="clear" w:color="auto" w:fill="FFFFFF"/>
        </w:rPr>
        <w:t>C-726/19</w:t>
      </w:r>
      <w:bookmarkEnd w:id="49"/>
    </w:p>
    <w:p w14:paraId="17546AE5" w14:textId="77777777" w:rsidR="007566FC" w:rsidRPr="00353B65" w:rsidRDefault="007566FC" w:rsidP="007566FC">
      <w:pPr>
        <w:pStyle w:val="Betarp"/>
        <w:jc w:val="both"/>
        <w:rPr>
          <w:rFonts w:asciiTheme="minorHAnsi" w:hAnsiTheme="minorHAnsi" w:cstheme="minorHAnsi"/>
          <w:color w:val="auto"/>
          <w:sz w:val="22"/>
          <w:shd w:val="clear" w:color="auto" w:fill="FFFFFF"/>
          <w:lang w:val="lt-LT"/>
        </w:rPr>
      </w:pPr>
    </w:p>
    <w:p w14:paraId="2E4B0C15" w14:textId="3056A949" w:rsidR="007566FC" w:rsidRPr="00DC60D8" w:rsidRDefault="00DC60D8" w:rsidP="00DC60D8">
      <w:pPr>
        <w:ind w:firstLine="567"/>
        <w:rPr>
          <w:iCs/>
        </w:rPr>
      </w:pPr>
      <w:r w:rsidRPr="00DC60D8">
        <w:rPr>
          <w:iCs/>
        </w:rPr>
        <w:t>Socialinė politika – Direktyva 1999/70/EB – Europos profesinių sąjungų konfederacijos (ETUC), Europos pramonės ir darbdavių konfederacijų sąjungos (UNICE) ir Europos įmonių, kuriose dalyvauja valstybė, centro (CEEP) bendrasis susitarimas dėl darbo pagal terminuotas sutartis – 5 punktas – Taikymas – Sąvoka „paeiliui sudaromos terminuotos darbo sutartys ar nustatomi terminuoti darbo santykiai“ – Viešajame sektoriuje sudaromos terminuotos darbo sutartys – Priemonės, skirtos išvengti piktnaudžiavimui paeiliui sudarant terminuotas darbo sutartis arba nustatant terminuotus darbo santykius ar prireikus už tai bausti – Sąvoka „objektyvios priežastys“, pateisinančios tokias sutartis – Lygiavertės teisinės priemonės – Pareiga nacionalinę teisę aiškinti taip, kad ji atitiktų Sąjungos teisę – Ekonomikos krizė</w:t>
      </w:r>
    </w:p>
    <w:p w14:paraId="369F0C66" w14:textId="77777777" w:rsidR="00DC60D8" w:rsidRDefault="00DC60D8" w:rsidP="00DC60D8">
      <w:pPr>
        <w:pStyle w:val="Betarp"/>
        <w:jc w:val="center"/>
        <w:rPr>
          <w:rFonts w:asciiTheme="minorHAnsi" w:hAnsiTheme="minorHAnsi" w:cstheme="minorHAnsi"/>
          <w:b/>
          <w:bCs/>
          <w:color w:val="auto"/>
          <w:sz w:val="22"/>
          <w:shd w:val="clear" w:color="auto" w:fill="FFFFFF"/>
          <w:lang w:val="lt-LT"/>
        </w:rPr>
      </w:pPr>
    </w:p>
    <w:p w14:paraId="5639630D" w14:textId="6995E5D5" w:rsidR="00DC60D8" w:rsidRPr="00DC60D8" w:rsidRDefault="00DC60D8" w:rsidP="00DC60D8">
      <w:pPr>
        <w:pStyle w:val="Betarp"/>
        <w:jc w:val="center"/>
        <w:rPr>
          <w:rFonts w:asciiTheme="minorHAnsi" w:hAnsiTheme="minorHAnsi" w:cstheme="minorHAnsi"/>
          <w:b/>
          <w:bCs/>
          <w:color w:val="auto"/>
          <w:sz w:val="22"/>
          <w:shd w:val="clear" w:color="auto" w:fill="FFFFFF"/>
          <w:lang w:val="lt-LT"/>
        </w:rPr>
      </w:pPr>
      <w:r w:rsidRPr="00DC60D8">
        <w:rPr>
          <w:rFonts w:asciiTheme="minorHAnsi" w:hAnsiTheme="minorHAnsi" w:cstheme="minorHAnsi"/>
          <w:b/>
          <w:bCs/>
          <w:color w:val="auto"/>
          <w:sz w:val="22"/>
          <w:shd w:val="clear" w:color="auto" w:fill="FFFFFF"/>
          <w:lang w:val="lt-LT"/>
        </w:rPr>
        <w:t>Bylos aplinkybės</w:t>
      </w:r>
    </w:p>
    <w:p w14:paraId="43B10202" w14:textId="77777777" w:rsidR="00DC60D8" w:rsidRPr="00353B65" w:rsidRDefault="00DC60D8" w:rsidP="007566FC">
      <w:pPr>
        <w:pStyle w:val="Betarp"/>
        <w:jc w:val="both"/>
        <w:rPr>
          <w:rFonts w:asciiTheme="minorHAnsi" w:hAnsiTheme="minorHAnsi" w:cstheme="minorHAnsi"/>
          <w:color w:val="auto"/>
          <w:sz w:val="22"/>
          <w:shd w:val="clear" w:color="auto" w:fill="FFFFFF"/>
          <w:lang w:val="lt-LT"/>
        </w:rPr>
      </w:pPr>
    </w:p>
    <w:p w14:paraId="42CDAB4C" w14:textId="57C20854" w:rsidR="00044B06" w:rsidRDefault="007566FC" w:rsidP="00044B06">
      <w:pPr>
        <w:pStyle w:val="Betarp"/>
        <w:ind w:firstLine="567"/>
        <w:jc w:val="both"/>
        <w:rPr>
          <w:rFonts w:asciiTheme="minorHAnsi" w:hAnsiTheme="minorHAnsi" w:cstheme="minorHAnsi"/>
          <w:color w:val="auto"/>
          <w:sz w:val="22"/>
          <w:shd w:val="clear" w:color="auto" w:fill="FFFFFF"/>
          <w:lang w:val="lt-LT"/>
        </w:rPr>
      </w:pPr>
      <w:r w:rsidRPr="00353B65">
        <w:rPr>
          <w:rFonts w:asciiTheme="minorHAnsi" w:hAnsiTheme="minorHAnsi" w:cstheme="minorHAnsi"/>
          <w:color w:val="auto"/>
          <w:sz w:val="22"/>
          <w:shd w:val="clear" w:color="auto" w:fill="FFFFFF"/>
          <w:lang w:val="lt-LT"/>
        </w:rPr>
        <w:t xml:space="preserve">Prašymas priimti prejudicinį sprendimą pateiktas dėl 1999 m. kovo 18 d. sudaryto Bendrojo susitarimo dėl darbo pagal terminuotas sutartis (toliau – Bendrasis susitarimas), esančio </w:t>
      </w:r>
      <w:r w:rsidR="006C6208">
        <w:rPr>
          <w:rFonts w:asciiTheme="minorHAnsi" w:hAnsiTheme="minorHAnsi" w:cstheme="minorHAnsi"/>
          <w:color w:val="auto"/>
          <w:sz w:val="22"/>
          <w:shd w:val="clear" w:color="auto" w:fill="FFFFFF"/>
          <w:lang w:val="lt-LT"/>
        </w:rPr>
        <w:t>D</w:t>
      </w:r>
      <w:r w:rsidRPr="00353B65">
        <w:rPr>
          <w:rFonts w:asciiTheme="minorHAnsi" w:hAnsiTheme="minorHAnsi" w:cstheme="minorHAnsi"/>
          <w:color w:val="auto"/>
          <w:sz w:val="22"/>
          <w:shd w:val="clear" w:color="auto" w:fill="FFFFFF"/>
          <w:lang w:val="lt-LT"/>
        </w:rPr>
        <w:t>irektyvos 1999/70/EB</w:t>
      </w:r>
      <w:r w:rsidR="006C6208">
        <w:rPr>
          <w:rStyle w:val="Puslapioinaosnuoroda"/>
          <w:rFonts w:asciiTheme="minorHAnsi" w:hAnsiTheme="minorHAnsi" w:cstheme="minorHAnsi"/>
          <w:color w:val="auto"/>
          <w:sz w:val="22"/>
          <w:shd w:val="clear" w:color="auto" w:fill="FFFFFF"/>
          <w:lang w:val="lt-LT"/>
        </w:rPr>
        <w:footnoteReference w:id="22"/>
      </w:r>
      <w:r w:rsidRPr="00353B65">
        <w:rPr>
          <w:rFonts w:asciiTheme="minorHAnsi" w:hAnsiTheme="minorHAnsi" w:cstheme="minorHAnsi"/>
          <w:color w:val="auto"/>
          <w:sz w:val="22"/>
          <w:shd w:val="clear" w:color="auto" w:fill="FFFFFF"/>
          <w:lang w:val="lt-LT"/>
        </w:rPr>
        <w:t xml:space="preserve"> priede, 5 punkto išaiškinimo.</w:t>
      </w:r>
    </w:p>
    <w:p w14:paraId="1DADDE01" w14:textId="41B514BA" w:rsidR="00044B06" w:rsidRDefault="007566FC" w:rsidP="00044B06">
      <w:pPr>
        <w:pStyle w:val="Betarp"/>
        <w:ind w:firstLine="567"/>
        <w:jc w:val="both"/>
        <w:rPr>
          <w:rFonts w:asciiTheme="minorHAnsi" w:hAnsiTheme="minorHAnsi" w:cstheme="minorHAnsi"/>
          <w:color w:val="auto"/>
          <w:sz w:val="22"/>
          <w:shd w:val="clear" w:color="auto" w:fill="FFFFFF"/>
          <w:lang w:val="lt-LT"/>
        </w:rPr>
      </w:pPr>
      <w:r w:rsidRPr="00353B65">
        <w:rPr>
          <w:rFonts w:asciiTheme="minorHAnsi" w:hAnsiTheme="minorHAnsi" w:cstheme="minorHAnsi"/>
          <w:color w:val="auto"/>
          <w:sz w:val="22"/>
          <w:shd w:val="clear" w:color="auto" w:fill="FFFFFF"/>
          <w:lang w:val="lt-LT"/>
        </w:rPr>
        <w:t xml:space="preserve">Pagrindinės bylos duomenimis, Ispanijos teisėje buvo numatyta galimybė sudaryti vadinamąsias </w:t>
      </w:r>
      <w:r w:rsidRPr="00353B65">
        <w:rPr>
          <w:rFonts w:asciiTheme="minorHAnsi" w:hAnsiTheme="minorHAnsi" w:cstheme="minorHAnsi"/>
          <w:i/>
          <w:iCs/>
          <w:color w:val="auto"/>
          <w:sz w:val="22"/>
          <w:shd w:val="clear" w:color="auto" w:fill="FFFFFF"/>
          <w:lang w:val="lt-LT"/>
        </w:rPr>
        <w:t>interinidad</w:t>
      </w:r>
      <w:r w:rsidRPr="00353B65">
        <w:rPr>
          <w:rFonts w:asciiTheme="minorHAnsi" w:hAnsiTheme="minorHAnsi" w:cstheme="minorHAnsi"/>
          <w:color w:val="auto"/>
          <w:sz w:val="22"/>
          <w:shd w:val="clear" w:color="auto" w:fill="FFFFFF"/>
          <w:lang w:val="lt-LT"/>
        </w:rPr>
        <w:t xml:space="preserve"> sutartis, siekiant pavaduoti įmonės darbuotoją, turintį teisę į darbo vietos išsaugojimą pagal teisės aktus, kolektyvinę sutartį arba individualų susitarimą, taip pat siekiant laikinai jį įdarbinti, kol vyksta atrankos ar paaukštinimo procedūra dėl nuolatinio darbuotojo įdarbinimo. Pagrindinėje byloje konstatuota, kad J. N. nuo 2003 m. iki 2016 m. dirbo </w:t>
      </w:r>
      <w:r w:rsidRPr="00353B65">
        <w:rPr>
          <w:rFonts w:asciiTheme="minorHAnsi" w:hAnsiTheme="minorHAnsi" w:cstheme="minorHAnsi"/>
          <w:i/>
          <w:iCs/>
          <w:color w:val="auto"/>
          <w:sz w:val="22"/>
          <w:shd w:val="clear" w:color="auto" w:fill="FFFFFF"/>
          <w:lang w:val="lt-LT"/>
        </w:rPr>
        <w:t>interinidad</w:t>
      </w:r>
      <w:r w:rsidRPr="00353B65">
        <w:rPr>
          <w:rFonts w:asciiTheme="minorHAnsi" w:hAnsiTheme="minorHAnsi" w:cstheme="minorHAnsi"/>
          <w:color w:val="auto"/>
          <w:sz w:val="22"/>
          <w:shd w:val="clear" w:color="auto" w:fill="FFFFFF"/>
          <w:lang w:val="lt-LT"/>
        </w:rPr>
        <w:t xml:space="preserve"> sutarties pagrindu viešajame sektoriuje, kol po kelių bandymų galų gale buvo sudaryta nuolatinio darbo sutartis su konkursą laimėjusiu darbuotoju. Nors nacionalinė teisė numatė pareigą organizuoti įdarbinimą per tr</w:t>
      </w:r>
      <w:r w:rsidR="00115851">
        <w:rPr>
          <w:rFonts w:asciiTheme="minorHAnsi" w:hAnsiTheme="minorHAnsi" w:cstheme="minorHAnsi"/>
          <w:color w:val="auto"/>
          <w:sz w:val="22"/>
          <w:shd w:val="clear" w:color="auto" w:fill="FFFFFF"/>
          <w:lang w:val="lt-LT"/>
        </w:rPr>
        <w:t>ejus</w:t>
      </w:r>
      <w:r w:rsidRPr="00353B65">
        <w:rPr>
          <w:rFonts w:asciiTheme="minorHAnsi" w:hAnsiTheme="minorHAnsi" w:cstheme="minorHAnsi"/>
          <w:color w:val="auto"/>
          <w:sz w:val="22"/>
          <w:shd w:val="clear" w:color="auto" w:fill="FFFFFF"/>
          <w:lang w:val="lt-LT"/>
        </w:rPr>
        <w:t xml:space="preserve"> metus, aptariamu atveju sutartys su J. N. buvo pratęsiamos tol, kol pavyko sėkmingai suorganizuoti konkursą dėl nuolatinio įdarbinimo. </w:t>
      </w:r>
    </w:p>
    <w:p w14:paraId="1BFECEA5" w14:textId="77777777" w:rsidR="00DC60D8" w:rsidRDefault="00DC60D8" w:rsidP="00044B06">
      <w:pPr>
        <w:pStyle w:val="Betarp"/>
        <w:ind w:firstLine="567"/>
        <w:jc w:val="both"/>
        <w:rPr>
          <w:rStyle w:val="normaltextrun"/>
          <w:rFonts w:asciiTheme="minorHAnsi" w:hAnsiTheme="minorHAnsi" w:cstheme="minorHAnsi"/>
          <w:color w:val="auto"/>
          <w:sz w:val="22"/>
          <w:lang w:val="lt-LT"/>
        </w:rPr>
      </w:pPr>
    </w:p>
    <w:p w14:paraId="25489342" w14:textId="77777777" w:rsidR="00DC60D8" w:rsidRPr="00353B65" w:rsidRDefault="00DC60D8" w:rsidP="00DC60D8">
      <w:pPr>
        <w:jc w:val="center"/>
        <w:rPr>
          <w:b/>
          <w:bCs/>
          <w:color w:val="000000"/>
          <w:shd w:val="clear" w:color="auto" w:fill="FFFFFF"/>
        </w:rPr>
      </w:pPr>
      <w:r w:rsidRPr="00353B65">
        <w:rPr>
          <w:b/>
          <w:bCs/>
          <w:color w:val="000000"/>
          <w:shd w:val="clear" w:color="auto" w:fill="FFFFFF"/>
        </w:rPr>
        <w:t>Teisingumo Teismo vertinimas</w:t>
      </w:r>
    </w:p>
    <w:p w14:paraId="54142E7F" w14:textId="519C1D5D" w:rsidR="00DC60D8" w:rsidRDefault="00DC60D8" w:rsidP="00044B06">
      <w:pPr>
        <w:pStyle w:val="Betarp"/>
        <w:ind w:firstLine="567"/>
        <w:jc w:val="both"/>
        <w:rPr>
          <w:rStyle w:val="normaltextrun"/>
          <w:rFonts w:asciiTheme="minorHAnsi" w:hAnsiTheme="minorHAnsi" w:cstheme="minorHAnsi"/>
          <w:color w:val="auto"/>
          <w:sz w:val="22"/>
          <w:lang w:val="lt-LT"/>
        </w:rPr>
      </w:pPr>
    </w:p>
    <w:p w14:paraId="5AF607B3" w14:textId="77777777" w:rsidR="00DC60D8" w:rsidRPr="00963B91" w:rsidRDefault="00DC60D8" w:rsidP="00963B91">
      <w:pPr>
        <w:pStyle w:val="Antrat3"/>
        <w:ind w:firstLine="567"/>
      </w:pPr>
      <w:bookmarkStart w:id="50" w:name="_Toc85700951"/>
      <w:r w:rsidRPr="00963B91">
        <w:t>Dėl piktnaudžiavimo viešajame sektoriuje paeiliui sudarant kelias terminuotas darbo sutartis</w:t>
      </w:r>
      <w:bookmarkEnd w:id="50"/>
      <w:r w:rsidRPr="00963B91">
        <w:t xml:space="preserve"> </w:t>
      </w:r>
    </w:p>
    <w:p w14:paraId="0543E353" w14:textId="77777777" w:rsidR="00DC60D8" w:rsidRDefault="00DC60D8" w:rsidP="00044B06">
      <w:pPr>
        <w:pStyle w:val="Betarp"/>
        <w:ind w:firstLine="567"/>
        <w:jc w:val="both"/>
        <w:rPr>
          <w:rStyle w:val="normaltextrun"/>
          <w:rFonts w:asciiTheme="minorHAnsi" w:hAnsiTheme="minorHAnsi" w:cstheme="minorHAnsi"/>
          <w:color w:val="auto"/>
          <w:sz w:val="22"/>
          <w:lang w:val="lt-LT"/>
        </w:rPr>
      </w:pPr>
    </w:p>
    <w:p w14:paraId="080805DE" w14:textId="194A57BA" w:rsidR="00044B06" w:rsidRDefault="007566FC" w:rsidP="00044B06">
      <w:pPr>
        <w:pStyle w:val="Betarp"/>
        <w:ind w:firstLine="567"/>
        <w:jc w:val="both"/>
        <w:rPr>
          <w:rFonts w:asciiTheme="minorHAnsi" w:hAnsiTheme="minorHAnsi" w:cstheme="minorHAnsi"/>
          <w:color w:val="auto"/>
          <w:sz w:val="22"/>
          <w:shd w:val="clear" w:color="auto" w:fill="FFFFFF"/>
          <w:lang w:val="lt-LT"/>
        </w:rPr>
      </w:pPr>
      <w:r w:rsidRPr="00353B65">
        <w:rPr>
          <w:rStyle w:val="normaltextrun"/>
          <w:rFonts w:asciiTheme="minorHAnsi" w:hAnsiTheme="minorHAnsi" w:cstheme="minorHAnsi"/>
          <w:color w:val="auto"/>
          <w:sz w:val="22"/>
          <w:lang w:val="lt-LT"/>
        </w:rPr>
        <w:t xml:space="preserve">ESTT nustatė, kad </w:t>
      </w:r>
      <w:r w:rsidRPr="00353B65">
        <w:rPr>
          <w:rFonts w:asciiTheme="minorHAnsi" w:hAnsiTheme="minorHAnsi" w:cstheme="minorHAnsi"/>
          <w:color w:val="auto"/>
          <w:sz w:val="22"/>
          <w:shd w:val="clear" w:color="auto" w:fill="FFFFFF"/>
          <w:lang w:val="lt-LT"/>
        </w:rPr>
        <w:t xml:space="preserve">pagrindinėje byloje nagrinėjamuose nacionalinės teisės aktuose leidžiama paeiliui sudaryti </w:t>
      </w:r>
      <w:r w:rsidRPr="00353B65">
        <w:rPr>
          <w:rStyle w:val="coj-italic"/>
          <w:rFonts w:asciiTheme="minorHAnsi" w:hAnsiTheme="minorHAnsi" w:cstheme="minorHAnsi"/>
          <w:i/>
          <w:iCs/>
          <w:color w:val="auto"/>
          <w:sz w:val="22"/>
          <w:shd w:val="clear" w:color="auto" w:fill="FFFFFF"/>
          <w:lang w:val="lt-LT"/>
        </w:rPr>
        <w:t>interinidad</w:t>
      </w:r>
      <w:r w:rsidRPr="00353B65">
        <w:rPr>
          <w:rFonts w:asciiTheme="minorHAnsi" w:hAnsiTheme="minorHAnsi" w:cstheme="minorHAnsi"/>
          <w:color w:val="auto"/>
          <w:sz w:val="22"/>
          <w:shd w:val="clear" w:color="auto" w:fill="FFFFFF"/>
          <w:lang w:val="lt-LT"/>
        </w:rPr>
        <w:t xml:space="preserve"> sutartis, kol laukiama konkurso organizavimo ir atitinkamais atvejais nuolatinio darbuotojo įdarbinimo darbo vietoje, kuri iki tol užimta pagal šias sutartis. Tačiau nenumatomos priemonės, kuriomis ribojama maksimali bendra šių sutarčių trukmė arba jų atnaujinimų skaičius. Tokiomis aplinkybėmis, ESTT nuomone, </w:t>
      </w:r>
      <w:r w:rsidRPr="00353B65">
        <w:rPr>
          <w:rFonts w:asciiTheme="minorHAnsi" w:hAnsiTheme="minorHAnsi" w:cstheme="minorHAnsi"/>
          <w:color w:val="auto"/>
          <w:sz w:val="22"/>
          <w:u w:val="single"/>
          <w:shd w:val="clear" w:color="auto" w:fill="FFFFFF"/>
          <w:lang w:val="lt-LT"/>
        </w:rPr>
        <w:t>reikia patikrinti, ar tokių darbo sutarčių atnaujinimą pateisina „objektyvi priežastis“ pagal Bendrojo susitarimo 5 punkto 1 dalies a papunktį ir, prireikus, ar nacionalinės priemonės, susijusios su šioms sutartims taikoma tvarka, yra „lygiavertės teisinės priemonės, neleidžiančios piktnaudžiauti“</w:t>
      </w:r>
      <w:r w:rsidRPr="00353B65">
        <w:rPr>
          <w:rFonts w:asciiTheme="minorHAnsi" w:hAnsiTheme="minorHAnsi" w:cstheme="minorHAnsi"/>
          <w:color w:val="auto"/>
          <w:sz w:val="22"/>
          <w:shd w:val="clear" w:color="auto" w:fill="FFFFFF"/>
          <w:lang w:val="lt-LT"/>
        </w:rPr>
        <w:t xml:space="preserve">. </w:t>
      </w:r>
    </w:p>
    <w:p w14:paraId="0DAE772E" w14:textId="2B925444" w:rsidR="007566FC" w:rsidRDefault="007566FC" w:rsidP="00044B06">
      <w:pPr>
        <w:pStyle w:val="Betarp"/>
        <w:ind w:firstLine="567"/>
        <w:jc w:val="both"/>
        <w:rPr>
          <w:rFonts w:asciiTheme="minorHAnsi" w:hAnsiTheme="minorHAnsi" w:cstheme="minorHAnsi"/>
          <w:color w:val="auto"/>
          <w:sz w:val="22"/>
          <w:shd w:val="clear" w:color="auto" w:fill="FFFFFF"/>
          <w:lang w:val="lt-LT"/>
        </w:rPr>
      </w:pPr>
      <w:r w:rsidRPr="00353B65">
        <w:rPr>
          <w:rFonts w:asciiTheme="minorHAnsi" w:hAnsiTheme="minorHAnsi" w:cstheme="minorHAnsi"/>
          <w:color w:val="auto"/>
          <w:sz w:val="22"/>
          <w:shd w:val="clear" w:color="auto" w:fill="FFFFFF"/>
          <w:lang w:val="lt-LT"/>
        </w:rPr>
        <w:lastRenderedPageBreak/>
        <w:t xml:space="preserve">ESTT pažymėjo, kad nors atrodo, jog nacionalinės teisės aktai formaliai apriboja </w:t>
      </w:r>
      <w:r w:rsidRPr="00353B65">
        <w:rPr>
          <w:rStyle w:val="coj-italic"/>
          <w:rFonts w:asciiTheme="minorHAnsi" w:hAnsiTheme="minorHAnsi" w:cstheme="minorHAnsi"/>
          <w:i/>
          <w:iCs/>
          <w:color w:val="auto"/>
          <w:sz w:val="22"/>
          <w:shd w:val="clear" w:color="auto" w:fill="FFFFFF"/>
          <w:lang w:val="lt-LT"/>
        </w:rPr>
        <w:t>interinidad</w:t>
      </w:r>
      <w:r w:rsidRPr="00353B65">
        <w:rPr>
          <w:rFonts w:asciiTheme="minorHAnsi" w:hAnsiTheme="minorHAnsi" w:cstheme="minorHAnsi"/>
          <w:color w:val="auto"/>
          <w:sz w:val="22"/>
          <w:shd w:val="clear" w:color="auto" w:fill="FFFFFF"/>
          <w:lang w:val="lt-LT"/>
        </w:rPr>
        <w:t xml:space="preserve"> sutarčių naudojimą iki vieno laikotarpio, pasibaigiančio užbaigus šias procedūras, vis dėlto jie neleidžia užtikrinti, kad konkretus šios objektyvios priežasties taikymas atitiktų Bendrojo susitarimo 5 punkto a papunktyje nustatytus reikalavimus. ESTT pabrėžė, kad nacionalinės teisės aktai, pirma, draudžiantys pagal paeiliui sudarytas </w:t>
      </w:r>
      <w:r w:rsidRPr="00353B65">
        <w:rPr>
          <w:rStyle w:val="coj-italic"/>
          <w:rFonts w:asciiTheme="minorHAnsi" w:hAnsiTheme="minorHAnsi" w:cstheme="minorHAnsi"/>
          <w:i/>
          <w:iCs/>
          <w:color w:val="auto"/>
          <w:sz w:val="22"/>
          <w:shd w:val="clear" w:color="auto" w:fill="FFFFFF"/>
          <w:lang w:val="lt-LT"/>
        </w:rPr>
        <w:t>interinidad</w:t>
      </w:r>
      <w:r w:rsidRPr="00353B65">
        <w:rPr>
          <w:rFonts w:asciiTheme="minorHAnsi" w:hAnsiTheme="minorHAnsi" w:cstheme="minorHAnsi"/>
          <w:color w:val="auto"/>
          <w:sz w:val="22"/>
          <w:shd w:val="clear" w:color="auto" w:fill="FFFFFF"/>
          <w:lang w:val="lt-LT"/>
        </w:rPr>
        <w:t xml:space="preserve"> sutartis įdarbintus darbuotojus prilyginti „nenuolatiniams pagal neterminuotas darbo sutartis dirbantiems darbuotojams“ ir suteikti jiems kompensaciją ir, antra, nenumatantys jokios kitos veiksmingos priemonės, skirtos išvengti galimam piktnaudžiavimui viešojo sektoriaus darbuotojų atžvilgiu ir už jį nubausti, neatitinka reikalavimų, kylančių ESTT jurisprudencijos, įtvirtinančios veiksmingo Bendro susitarimo įgyvendinimo gaires.</w:t>
      </w:r>
    </w:p>
    <w:p w14:paraId="27B7804F" w14:textId="625D59AA" w:rsidR="00DC60D8" w:rsidRPr="00353B65" w:rsidRDefault="003347AD" w:rsidP="00044B06">
      <w:pPr>
        <w:pStyle w:val="Betarp"/>
        <w:ind w:firstLine="567"/>
        <w:jc w:val="both"/>
        <w:rPr>
          <w:rFonts w:asciiTheme="minorHAnsi" w:hAnsiTheme="minorHAnsi" w:cstheme="minorHAnsi"/>
          <w:color w:val="auto"/>
          <w:sz w:val="22"/>
          <w:shd w:val="clear" w:color="auto" w:fill="FFFFFF"/>
          <w:lang w:val="lt-LT"/>
        </w:rPr>
      </w:pPr>
      <w:hyperlink r:id="rId22" w:history="1">
        <w:r w:rsidR="00DC60D8" w:rsidRPr="00DC60D8">
          <w:rPr>
            <w:rStyle w:val="Hipersaitas"/>
            <w:rFonts w:asciiTheme="minorHAnsi" w:hAnsiTheme="minorHAnsi" w:cstheme="minorHAnsi"/>
            <w:sz w:val="22"/>
            <w:shd w:val="clear" w:color="auto" w:fill="FFFFFF"/>
            <w:lang w:val="lt-LT"/>
          </w:rPr>
          <w:t>Prieiga internete</w:t>
        </w:r>
      </w:hyperlink>
    </w:p>
    <w:p w14:paraId="55AAC99A" w14:textId="77777777" w:rsidR="005547AB" w:rsidRPr="00353B65" w:rsidRDefault="005547AB" w:rsidP="00406976">
      <w:pPr>
        <w:pStyle w:val="Betarp"/>
        <w:jc w:val="center"/>
        <w:rPr>
          <w:rFonts w:asciiTheme="minorHAnsi" w:hAnsiTheme="minorHAnsi" w:cstheme="minorHAnsi"/>
          <w:b/>
          <w:bCs/>
          <w:color w:val="auto"/>
          <w:sz w:val="22"/>
          <w:shd w:val="clear" w:color="auto" w:fill="FFFFFF"/>
          <w:lang w:val="lt-LT"/>
        </w:rPr>
      </w:pPr>
    </w:p>
    <w:p w14:paraId="6EC95A6E" w14:textId="503B6436" w:rsidR="007566FC" w:rsidRPr="00353B65" w:rsidRDefault="00406976" w:rsidP="00410FED">
      <w:pPr>
        <w:pStyle w:val="Antrat1"/>
        <w:rPr>
          <w:shd w:val="clear" w:color="auto" w:fill="FFFFFF"/>
        </w:rPr>
      </w:pPr>
      <w:bookmarkStart w:id="51" w:name="_Toc85700952"/>
      <w:r w:rsidRPr="00410FED">
        <w:t>NEDISKRIMINAVIMAS</w:t>
      </w:r>
      <w:bookmarkEnd w:id="51"/>
    </w:p>
    <w:p w14:paraId="337CC63C" w14:textId="77777777" w:rsidR="00406976" w:rsidRPr="00353B65" w:rsidRDefault="00406976" w:rsidP="00406976">
      <w:pPr>
        <w:pStyle w:val="Betarp"/>
        <w:jc w:val="center"/>
        <w:rPr>
          <w:rFonts w:asciiTheme="minorHAnsi" w:hAnsiTheme="minorHAnsi" w:cstheme="minorHAnsi"/>
          <w:b/>
          <w:bCs/>
          <w:color w:val="auto"/>
          <w:sz w:val="22"/>
          <w:shd w:val="clear" w:color="auto" w:fill="FFFFFF"/>
          <w:lang w:val="lt-LT"/>
        </w:rPr>
      </w:pPr>
    </w:p>
    <w:p w14:paraId="3D9F2DA4" w14:textId="6EF31F52" w:rsidR="007566FC" w:rsidRPr="00963B91" w:rsidRDefault="007566FC" w:rsidP="00963B91">
      <w:pPr>
        <w:pStyle w:val="Antrat1"/>
        <w:rPr>
          <w:shd w:val="clear" w:color="auto" w:fill="FFFFFF"/>
        </w:rPr>
      </w:pPr>
      <w:bookmarkStart w:id="52" w:name="_Toc85700953"/>
      <w:r w:rsidRPr="00353B65">
        <w:rPr>
          <w:shd w:val="clear" w:color="auto" w:fill="FFFFFF"/>
        </w:rPr>
        <w:t>2021 m. birželio 3 d.</w:t>
      </w:r>
      <w:r w:rsidR="009A4386">
        <w:rPr>
          <w:shd w:val="clear" w:color="auto" w:fill="FFFFFF"/>
        </w:rPr>
        <w:t xml:space="preserve"> </w:t>
      </w:r>
      <w:r w:rsidRPr="00410FED">
        <w:t>sprendimas</w:t>
      </w:r>
      <w:r w:rsidRPr="00353B65">
        <w:rPr>
          <w:shd w:val="clear" w:color="auto" w:fill="FFFFFF"/>
        </w:rPr>
        <w:t xml:space="preserve"> byloje</w:t>
      </w:r>
      <w:r w:rsidR="009A4386">
        <w:rPr>
          <w:shd w:val="clear" w:color="auto" w:fill="FFFFFF"/>
        </w:rPr>
        <w:t xml:space="preserve"> </w:t>
      </w:r>
      <w:r w:rsidR="009A4386" w:rsidRPr="00DC60D8">
        <w:rPr>
          <w:i/>
          <w:iCs/>
        </w:rPr>
        <w:t>Ministero della Giustizia (Notaires)</w:t>
      </w:r>
      <w:r w:rsidR="00963B91">
        <w:rPr>
          <w:i/>
          <w:iCs/>
        </w:rPr>
        <w:t xml:space="preserve">, </w:t>
      </w:r>
      <w:r w:rsidRPr="00177F84">
        <w:rPr>
          <w:bCs/>
          <w:shd w:val="clear" w:color="auto" w:fill="FFFFFF"/>
        </w:rPr>
        <w:t>C-914/19</w:t>
      </w:r>
      <w:bookmarkEnd w:id="52"/>
    </w:p>
    <w:p w14:paraId="16B6017B" w14:textId="77777777" w:rsidR="007566FC" w:rsidRPr="00353B65" w:rsidRDefault="007566FC" w:rsidP="007566FC">
      <w:pPr>
        <w:pStyle w:val="Betarp"/>
        <w:jc w:val="both"/>
        <w:rPr>
          <w:rFonts w:asciiTheme="minorHAnsi" w:hAnsiTheme="minorHAnsi" w:cstheme="minorHAnsi"/>
          <w:color w:val="auto"/>
          <w:sz w:val="22"/>
          <w:shd w:val="clear" w:color="auto" w:fill="FFFFFF"/>
          <w:lang w:val="lt-LT"/>
        </w:rPr>
      </w:pPr>
    </w:p>
    <w:p w14:paraId="0A67D329" w14:textId="075010BB" w:rsidR="007566FC" w:rsidRPr="00DC60D8" w:rsidRDefault="00DC60D8" w:rsidP="00DC60D8">
      <w:pPr>
        <w:ind w:firstLine="567"/>
        <w:rPr>
          <w:iCs/>
        </w:rPr>
      </w:pPr>
      <w:r w:rsidRPr="00DC60D8">
        <w:rPr>
          <w:iCs/>
        </w:rPr>
        <w:t>Socialinė politika – Vienodas požiūris užimtumo ir profesinėje srityje – Direktyva 2000/78/EB – 6 straipsnio 1 dalis – Europos Sąjungos pagrindinių teisių chartija – 21 straipsnis – Diskriminacijos dėl amžiaus draudimas – Nacionalinės teisės nuostata, kurioje nustatytas maksimalaus 50 metų amžiaus apribojimas asmenims, norintiems užsiimti notaro profesija – Pateisinimas</w:t>
      </w:r>
    </w:p>
    <w:p w14:paraId="259E7B1A" w14:textId="77777777" w:rsidR="00DC60D8" w:rsidRPr="00353B65" w:rsidRDefault="00DC60D8" w:rsidP="007566FC">
      <w:pPr>
        <w:pStyle w:val="Betarp"/>
        <w:jc w:val="both"/>
        <w:rPr>
          <w:rFonts w:asciiTheme="minorHAnsi" w:hAnsiTheme="minorHAnsi" w:cstheme="minorHAnsi"/>
          <w:color w:val="auto"/>
          <w:sz w:val="22"/>
          <w:shd w:val="clear" w:color="auto" w:fill="FFFFFF"/>
          <w:lang w:val="lt-LT"/>
        </w:rPr>
      </w:pPr>
    </w:p>
    <w:p w14:paraId="356687D2" w14:textId="0F32175B" w:rsidR="00DC60D8" w:rsidRPr="00DC60D8" w:rsidRDefault="00DC60D8" w:rsidP="00DC60D8">
      <w:pPr>
        <w:pStyle w:val="Betarp"/>
        <w:jc w:val="center"/>
        <w:rPr>
          <w:rFonts w:asciiTheme="minorHAnsi" w:hAnsiTheme="minorHAnsi" w:cstheme="minorHAnsi"/>
          <w:b/>
          <w:bCs/>
          <w:color w:val="auto"/>
          <w:sz w:val="22"/>
          <w:shd w:val="clear" w:color="auto" w:fill="FFFFFF"/>
          <w:lang w:val="lt-LT"/>
        </w:rPr>
      </w:pPr>
      <w:r w:rsidRPr="00DC60D8">
        <w:rPr>
          <w:rFonts w:asciiTheme="minorHAnsi" w:hAnsiTheme="minorHAnsi" w:cstheme="minorHAnsi"/>
          <w:b/>
          <w:bCs/>
          <w:color w:val="auto"/>
          <w:sz w:val="22"/>
          <w:shd w:val="clear" w:color="auto" w:fill="FFFFFF"/>
          <w:lang w:val="lt-LT"/>
        </w:rPr>
        <w:t>Bylos aplinkybės</w:t>
      </w:r>
    </w:p>
    <w:p w14:paraId="67D5BD66" w14:textId="77777777" w:rsidR="00DC60D8" w:rsidRDefault="00DC60D8" w:rsidP="00D00E58">
      <w:pPr>
        <w:pStyle w:val="Betarp"/>
        <w:ind w:firstLine="567"/>
        <w:jc w:val="both"/>
        <w:rPr>
          <w:rFonts w:asciiTheme="minorHAnsi" w:hAnsiTheme="minorHAnsi" w:cstheme="minorHAnsi"/>
          <w:color w:val="auto"/>
          <w:sz w:val="22"/>
          <w:shd w:val="clear" w:color="auto" w:fill="FFFFFF"/>
          <w:lang w:val="lt-LT"/>
        </w:rPr>
      </w:pPr>
    </w:p>
    <w:p w14:paraId="6F5DFF96" w14:textId="2FE7439D" w:rsidR="00DC60D8" w:rsidRDefault="007566FC" w:rsidP="00D00E58">
      <w:pPr>
        <w:pStyle w:val="Betarp"/>
        <w:ind w:firstLine="567"/>
        <w:jc w:val="both"/>
        <w:rPr>
          <w:rFonts w:asciiTheme="minorHAnsi" w:hAnsiTheme="minorHAnsi" w:cstheme="minorHAnsi"/>
          <w:color w:val="auto"/>
          <w:sz w:val="22"/>
          <w:lang w:val="lt-LT"/>
        </w:rPr>
      </w:pPr>
      <w:r w:rsidRPr="00353B65">
        <w:rPr>
          <w:rFonts w:asciiTheme="minorHAnsi" w:hAnsiTheme="minorHAnsi" w:cstheme="minorHAnsi"/>
          <w:color w:val="auto"/>
          <w:sz w:val="22"/>
          <w:shd w:val="clear" w:color="auto" w:fill="FFFFFF"/>
          <w:lang w:val="lt-LT"/>
        </w:rPr>
        <w:t>Italijos teisėje nustatyta, kad notaru norintis tapti asmuo notarų konkurso paskelbimo dieną neturi būti sulaukęs 50 metų. Tokio reikalavimo neatitikusi G. N. kreipėsi į teismą dėl aptariamo ribojimo. Bylą nagrinėjantis teismas kreipėsi dėl prejudicinio sprendimo į ESTT, klausdamas, a</w:t>
      </w:r>
      <w:r w:rsidRPr="00353B65">
        <w:rPr>
          <w:rFonts w:asciiTheme="minorHAnsi" w:hAnsiTheme="minorHAnsi" w:cstheme="minorHAnsi"/>
          <w:color w:val="auto"/>
          <w:sz w:val="22"/>
          <w:lang w:val="lt-LT"/>
        </w:rPr>
        <w:t xml:space="preserve">r pagal Europos Sąjungos pagrindinių teisių chartijos (toliau – Chartija) 21 straipsnį, </w:t>
      </w:r>
      <w:r w:rsidRPr="006C6208">
        <w:rPr>
          <w:rFonts w:asciiTheme="minorHAnsi" w:hAnsiTheme="minorHAnsi" w:cstheme="minorHAnsi"/>
          <w:color w:val="auto"/>
          <w:sz w:val="22"/>
          <w:lang w:val="lt-LT"/>
        </w:rPr>
        <w:t>SESV 10 straipsnį</w:t>
      </w:r>
      <w:r w:rsidRPr="00353B65">
        <w:rPr>
          <w:rFonts w:asciiTheme="minorHAnsi" w:hAnsiTheme="minorHAnsi" w:cstheme="minorHAnsi"/>
          <w:color w:val="auto"/>
          <w:sz w:val="22"/>
          <w:lang w:val="lt-LT"/>
        </w:rPr>
        <w:t xml:space="preserve"> ir Direktyv</w:t>
      </w:r>
      <w:r w:rsidR="006C6208">
        <w:rPr>
          <w:rFonts w:asciiTheme="minorHAnsi" w:hAnsiTheme="minorHAnsi" w:cstheme="minorHAnsi"/>
          <w:color w:val="auto"/>
          <w:sz w:val="22"/>
          <w:lang w:val="lt-LT"/>
        </w:rPr>
        <w:t>os</w:t>
      </w:r>
      <w:r w:rsidRPr="00353B65">
        <w:rPr>
          <w:rFonts w:asciiTheme="minorHAnsi" w:hAnsiTheme="minorHAnsi" w:cstheme="minorHAnsi"/>
          <w:color w:val="auto"/>
          <w:sz w:val="22"/>
          <w:lang w:val="lt-LT"/>
        </w:rPr>
        <w:t xml:space="preserve"> 2000/78</w:t>
      </w:r>
      <w:r w:rsidR="006C6208">
        <w:rPr>
          <w:rStyle w:val="Puslapioinaosnuoroda"/>
          <w:rFonts w:asciiTheme="minorHAnsi" w:hAnsiTheme="minorHAnsi" w:cstheme="minorHAnsi"/>
          <w:color w:val="auto"/>
          <w:sz w:val="22"/>
          <w:lang w:val="lt-LT"/>
        </w:rPr>
        <w:footnoteReference w:id="23"/>
      </w:r>
      <w:r w:rsidRPr="00353B65">
        <w:rPr>
          <w:rFonts w:asciiTheme="minorHAnsi" w:hAnsiTheme="minorHAnsi" w:cstheme="minorHAnsi"/>
          <w:color w:val="auto"/>
          <w:sz w:val="22"/>
          <w:lang w:val="lt-LT"/>
        </w:rPr>
        <w:t xml:space="preserve"> 6 straipsnį tiek, kiek jie draudžia diskriminaciją dėl amžiaus siekiant įsidarbinti, valstybei narei draudžiama nustatyti amžiaus apribojimą asmenims, norintiems užsiimti notaro profesija</w:t>
      </w:r>
      <w:r w:rsidR="006C6208">
        <w:rPr>
          <w:rFonts w:asciiTheme="minorHAnsi" w:hAnsiTheme="minorHAnsi" w:cstheme="minorHAnsi"/>
          <w:color w:val="auto"/>
          <w:sz w:val="22"/>
          <w:lang w:val="lt-LT"/>
        </w:rPr>
        <w:t>.</w:t>
      </w:r>
    </w:p>
    <w:p w14:paraId="22DBB4D8" w14:textId="51B6804E" w:rsidR="00DC60D8" w:rsidRDefault="00DC60D8" w:rsidP="00D00E58">
      <w:pPr>
        <w:pStyle w:val="Betarp"/>
        <w:ind w:firstLine="567"/>
        <w:jc w:val="both"/>
        <w:rPr>
          <w:rFonts w:asciiTheme="minorHAnsi" w:hAnsiTheme="minorHAnsi" w:cstheme="minorHAnsi"/>
          <w:color w:val="auto"/>
          <w:sz w:val="22"/>
          <w:lang w:val="lt-LT"/>
        </w:rPr>
      </w:pPr>
    </w:p>
    <w:p w14:paraId="61651CAE" w14:textId="452FEE33" w:rsidR="00DC60D8" w:rsidRPr="00DC60D8" w:rsidRDefault="00DC60D8" w:rsidP="00DC60D8">
      <w:pPr>
        <w:jc w:val="center"/>
        <w:rPr>
          <w:b/>
          <w:bCs/>
          <w:color w:val="000000"/>
          <w:shd w:val="clear" w:color="auto" w:fill="FFFFFF"/>
        </w:rPr>
      </w:pPr>
      <w:r w:rsidRPr="00353B65">
        <w:rPr>
          <w:b/>
          <w:bCs/>
          <w:color w:val="000000"/>
          <w:shd w:val="clear" w:color="auto" w:fill="FFFFFF"/>
        </w:rPr>
        <w:t>Teisingumo Teismo vertinimas</w:t>
      </w:r>
    </w:p>
    <w:p w14:paraId="0EFB1738" w14:textId="77777777" w:rsidR="00DC60D8" w:rsidRDefault="00DC60D8" w:rsidP="00D00E58">
      <w:pPr>
        <w:pStyle w:val="Betarp"/>
        <w:ind w:firstLine="567"/>
        <w:jc w:val="both"/>
        <w:rPr>
          <w:rFonts w:asciiTheme="minorHAnsi" w:hAnsiTheme="minorHAnsi" w:cstheme="minorHAnsi"/>
          <w:color w:val="auto"/>
          <w:sz w:val="22"/>
          <w:lang w:val="lt-LT"/>
        </w:rPr>
      </w:pPr>
    </w:p>
    <w:p w14:paraId="619DA67A" w14:textId="77777777" w:rsidR="00DC60D8" w:rsidRPr="00963B91" w:rsidRDefault="00DC60D8" w:rsidP="00963B91">
      <w:pPr>
        <w:pStyle w:val="Antrat3"/>
        <w:ind w:firstLine="567"/>
      </w:pPr>
      <w:bookmarkStart w:id="53" w:name="_Toc85700954"/>
      <w:r w:rsidRPr="00963B91">
        <w:t>Dėl galimybės nustatyti viršutinę amžiaus ribą notarais siekiantiems tapti asmenims</w:t>
      </w:r>
      <w:bookmarkEnd w:id="53"/>
    </w:p>
    <w:p w14:paraId="255E8CC9" w14:textId="77777777" w:rsidR="00DC60D8" w:rsidRDefault="00DC60D8" w:rsidP="00D00E58">
      <w:pPr>
        <w:pStyle w:val="Betarp"/>
        <w:ind w:firstLine="567"/>
        <w:jc w:val="both"/>
        <w:rPr>
          <w:rFonts w:asciiTheme="minorHAnsi" w:hAnsiTheme="minorHAnsi" w:cstheme="minorHAnsi"/>
          <w:color w:val="auto"/>
          <w:sz w:val="22"/>
          <w:lang w:val="lt-LT"/>
        </w:rPr>
      </w:pPr>
    </w:p>
    <w:p w14:paraId="4546C202" w14:textId="18749636" w:rsidR="00D00E58" w:rsidRDefault="007566FC" w:rsidP="00D00E58">
      <w:pPr>
        <w:pStyle w:val="Betarp"/>
        <w:ind w:firstLine="567"/>
        <w:jc w:val="both"/>
        <w:rPr>
          <w:rFonts w:asciiTheme="minorHAnsi" w:hAnsiTheme="minorHAnsi" w:cstheme="minorHAnsi"/>
          <w:color w:val="auto"/>
          <w:sz w:val="22"/>
          <w:lang w:val="lt-LT"/>
        </w:rPr>
      </w:pPr>
      <w:r w:rsidRPr="00353B65">
        <w:rPr>
          <w:rFonts w:asciiTheme="minorHAnsi" w:hAnsiTheme="minorHAnsi" w:cstheme="minorHAnsi"/>
          <w:color w:val="auto"/>
          <w:sz w:val="22"/>
          <w:lang w:val="lt-LT"/>
        </w:rPr>
        <w:t xml:space="preserve">ESTT pažymėjo, kad Direktyvos 2000/78 6 straipsnio 1 dalies pirmoje pastraipoje nurodyta, jog skirtingas požiūris dėl amžiaus nėra diskriminacija, jei pagal nacionalinę teisę jį objektyviai ir tinkamai pateisina teisėtas tikslas, įskaitant teisėtus užimtumo politikos, darbo rinkos ir profesinio mokymo tikslus, o šio tikslo siekiama tinkamomis ir būtinomis priemonėmis. Šiomis aplinkybėmis ESTT konstatavo, kad nors Italijos vyriausybės nurodyti tikslai – užtikrinti notaro profesinės veiklos stabilumą ilgą laikotarpį iki išėjimo į pensiją, išlaikyti notarų galimybes tinkamai naudotis suteiktomis privilegijomis ir sudaryti palankesnes sąlygas šios profesijos atstovų kartų kaitai ir atjauninimui – pagal Direktyvos 2000/78 6 straipsnio 1 dalį gali būti laikomi teisėtais, neatrodo, kad šių tikslų būtų siekiama pagrindinėje byloje nagrinėjama nacionalinės teisės nuostata. </w:t>
      </w:r>
    </w:p>
    <w:p w14:paraId="5B3BB11F" w14:textId="072C3054" w:rsidR="007566FC" w:rsidRPr="00353B65" w:rsidRDefault="007566FC" w:rsidP="00D00E58">
      <w:pPr>
        <w:pStyle w:val="Betarp"/>
        <w:ind w:firstLine="567"/>
        <w:jc w:val="both"/>
        <w:rPr>
          <w:rFonts w:asciiTheme="minorHAnsi" w:hAnsiTheme="minorHAnsi" w:cstheme="minorHAnsi"/>
          <w:color w:val="auto"/>
          <w:sz w:val="22"/>
          <w:lang w:val="lt-LT"/>
        </w:rPr>
      </w:pPr>
      <w:r w:rsidRPr="00353B65">
        <w:rPr>
          <w:rFonts w:asciiTheme="minorHAnsi" w:hAnsiTheme="minorHAnsi" w:cstheme="minorHAnsi"/>
          <w:color w:val="auto"/>
          <w:sz w:val="22"/>
          <w:lang w:val="lt-LT"/>
        </w:rPr>
        <w:t xml:space="preserve">Jeigu vis dėlto nacionalinis teismas nuspręstų, kad ginčijama nuostata siekiama nurodytų tikslų, reikia, kad priemonės, kurių imtasi šiems tikslams pasiekti, būtų „tinkamos ir būtinos“, kaip nurodyta Direktyvos 2000/78 6 straipsnio 1 dalyje. Nagrinėjamu atveju, pirma, nebuvo teigiama, kad nustatytas maksimalaus 50 metų amžiaus apribojimas asmenims, norintiems dalyvauti notarų konkurse, pateisinamas tokių kandidatų gebėjimu užsiimti šia profesija. Antra, pasibaigus pagrindinėje byloje aptariamam konkursui nemažai laisvų vietų nebuvo užimtos, taigi jauni kandidatai nepradėjo verstis notaro profesija, o vyresni nei 50 metų kandidatai neteko galimybės įrodyti savo gebėjimų tame konkurse. Todėl </w:t>
      </w:r>
      <w:r w:rsidRPr="00353B65">
        <w:rPr>
          <w:rFonts w:asciiTheme="minorHAnsi" w:hAnsiTheme="minorHAnsi" w:cstheme="minorHAnsi"/>
          <w:color w:val="auto"/>
          <w:sz w:val="22"/>
          <w:u w:val="single"/>
          <w:lang w:val="lt-LT"/>
        </w:rPr>
        <w:t>nustačius 50 metų amžiaus ribojimą notarams, atrodo, viršijama tai, kas būtina tikslui sudaryti palankesnes sąlygas šios profesijos atstovų kartų kaitai ir atjauninimui pasiekti.</w:t>
      </w:r>
    </w:p>
    <w:p w14:paraId="1C06E0EF" w14:textId="0E8975BF" w:rsidR="007566FC" w:rsidRPr="00353B65" w:rsidRDefault="003347AD" w:rsidP="00DC60D8">
      <w:pPr>
        <w:pStyle w:val="Betarp"/>
        <w:ind w:firstLine="567"/>
        <w:jc w:val="both"/>
        <w:rPr>
          <w:rFonts w:asciiTheme="minorHAnsi" w:hAnsiTheme="minorHAnsi" w:cstheme="minorHAnsi"/>
          <w:color w:val="auto"/>
          <w:sz w:val="22"/>
          <w:lang w:val="lt-LT"/>
        </w:rPr>
      </w:pPr>
      <w:hyperlink r:id="rId23" w:history="1">
        <w:r w:rsidR="00DC60D8" w:rsidRPr="00DC60D8">
          <w:rPr>
            <w:rStyle w:val="Hipersaitas"/>
            <w:rFonts w:asciiTheme="minorHAnsi" w:hAnsiTheme="minorHAnsi" w:cstheme="minorHAnsi"/>
            <w:sz w:val="22"/>
            <w:lang w:val="lt-LT"/>
          </w:rPr>
          <w:t>Prieiga internete</w:t>
        </w:r>
      </w:hyperlink>
    </w:p>
    <w:p w14:paraId="4F596C8A" w14:textId="77777777" w:rsidR="00DC60D8" w:rsidRPr="00DC60D8" w:rsidRDefault="00DC60D8" w:rsidP="00DC60D8"/>
    <w:p w14:paraId="4EEFEF2A" w14:textId="3A993998" w:rsidR="007566FC" w:rsidRPr="00353B65" w:rsidRDefault="00406976" w:rsidP="00410FED">
      <w:pPr>
        <w:pStyle w:val="Antrat1"/>
      </w:pPr>
      <w:bookmarkStart w:id="54" w:name="_Toc85700955"/>
      <w:r w:rsidRPr="00410FED">
        <w:t>ENERGETIKA</w:t>
      </w:r>
      <w:bookmarkEnd w:id="54"/>
    </w:p>
    <w:p w14:paraId="3810A07A" w14:textId="77777777" w:rsidR="007566FC" w:rsidRPr="00353B65" w:rsidRDefault="007566FC" w:rsidP="007566FC">
      <w:pPr>
        <w:pStyle w:val="Betarp"/>
        <w:jc w:val="both"/>
        <w:rPr>
          <w:rFonts w:asciiTheme="minorHAnsi" w:hAnsiTheme="minorHAnsi" w:cstheme="minorHAnsi"/>
          <w:color w:val="auto"/>
          <w:sz w:val="22"/>
          <w:shd w:val="clear" w:color="auto" w:fill="FFFFFF"/>
          <w:lang w:val="lt-LT"/>
        </w:rPr>
      </w:pPr>
    </w:p>
    <w:p w14:paraId="70E94681" w14:textId="2ACA04E1" w:rsidR="007566FC" w:rsidRPr="00963B91" w:rsidRDefault="007566FC" w:rsidP="00963B91">
      <w:pPr>
        <w:pStyle w:val="Antrat1"/>
        <w:rPr>
          <w:shd w:val="clear" w:color="auto" w:fill="FFFFFF"/>
        </w:rPr>
      </w:pPr>
      <w:bookmarkStart w:id="55" w:name="_Toc85700956"/>
      <w:r w:rsidRPr="00353B65">
        <w:rPr>
          <w:shd w:val="clear" w:color="auto" w:fill="FFFFFF"/>
        </w:rPr>
        <w:t xml:space="preserve">2021 m. </w:t>
      </w:r>
      <w:r w:rsidRPr="00410FED">
        <w:t>balandžio</w:t>
      </w:r>
      <w:r w:rsidRPr="00353B65">
        <w:rPr>
          <w:shd w:val="clear" w:color="auto" w:fill="FFFFFF"/>
        </w:rPr>
        <w:t xml:space="preserve"> 15 d. sprendimas sujungtos bylose</w:t>
      </w:r>
      <w:r w:rsidR="00963B91">
        <w:rPr>
          <w:shd w:val="clear" w:color="auto" w:fill="FFFFFF"/>
        </w:rPr>
        <w:t xml:space="preserve"> </w:t>
      </w:r>
      <w:r w:rsidR="009A4386" w:rsidRPr="00DC60D8">
        <w:rPr>
          <w:i/>
          <w:iCs/>
          <w:szCs w:val="22"/>
          <w:shd w:val="clear" w:color="auto" w:fill="FFFFFF"/>
        </w:rPr>
        <w:t>Federazione nazionale delle imprese elettrotecniche ed elettroniche (Anie) ir kt.</w:t>
      </w:r>
      <w:r w:rsidR="00963B91">
        <w:rPr>
          <w:i/>
          <w:iCs/>
          <w:szCs w:val="22"/>
          <w:shd w:val="clear" w:color="auto" w:fill="FFFFFF"/>
        </w:rPr>
        <w:t xml:space="preserve">, </w:t>
      </w:r>
      <w:r w:rsidRPr="00177F84">
        <w:rPr>
          <w:bCs/>
          <w:shd w:val="clear" w:color="auto" w:fill="FFFFFF"/>
        </w:rPr>
        <w:t>C-798/18 ir C-799/18</w:t>
      </w:r>
      <w:bookmarkEnd w:id="55"/>
    </w:p>
    <w:p w14:paraId="585CC1B9" w14:textId="77777777" w:rsidR="007566FC" w:rsidRPr="00353B65" w:rsidRDefault="007566FC" w:rsidP="007566FC">
      <w:pPr>
        <w:pStyle w:val="Betarp"/>
        <w:jc w:val="both"/>
        <w:rPr>
          <w:rStyle w:val="eop"/>
          <w:rFonts w:asciiTheme="minorHAnsi" w:hAnsiTheme="minorHAnsi" w:cstheme="minorHAnsi"/>
          <w:color w:val="auto"/>
          <w:sz w:val="22"/>
          <w:shd w:val="clear" w:color="auto" w:fill="FFFFFF"/>
          <w:lang w:val="lt-LT"/>
        </w:rPr>
      </w:pPr>
    </w:p>
    <w:p w14:paraId="265F3715" w14:textId="7AC12AD0" w:rsidR="007566FC" w:rsidRDefault="00DC60D8" w:rsidP="00DC60D8">
      <w:pPr>
        <w:ind w:firstLine="567"/>
        <w:rPr>
          <w:iCs/>
        </w:rPr>
      </w:pPr>
      <w:r w:rsidRPr="00DC60D8">
        <w:rPr>
          <w:iCs/>
        </w:rPr>
        <w:t>Aplinka – Europos Sąjungos pagrindinių teisių chartijos 16 ir 17 straipsniai – Teisinio saugumo ir teisėtų lūkesčių apsaugos principai – Energetikos chartijos sutartis – 10 straipsnis – Taikytinumas – Direktyva 2009/28/EB – 3 straipsnio 3 dalies a punktas – Skatinimas naudoti atsinaujinančių išteklių energiją – Saulės fotovoltinių įrenginių elektros energijos gamyba – Paramos schemos dalinis pakeitimas</w:t>
      </w:r>
    </w:p>
    <w:p w14:paraId="5F945D5B" w14:textId="77777777" w:rsidR="00DC60D8" w:rsidRPr="00DC60D8" w:rsidRDefault="00DC60D8" w:rsidP="00DC60D8">
      <w:pPr>
        <w:ind w:firstLine="567"/>
        <w:rPr>
          <w:iCs/>
        </w:rPr>
      </w:pPr>
    </w:p>
    <w:p w14:paraId="4448766A" w14:textId="70375984" w:rsidR="00DC60D8" w:rsidRPr="00DC60D8" w:rsidRDefault="00DC60D8" w:rsidP="00DC60D8">
      <w:pPr>
        <w:pStyle w:val="Betarp"/>
        <w:jc w:val="center"/>
        <w:rPr>
          <w:rFonts w:asciiTheme="minorHAnsi" w:hAnsiTheme="minorHAnsi" w:cstheme="minorHAnsi"/>
          <w:b/>
          <w:bCs/>
          <w:color w:val="auto"/>
          <w:sz w:val="22"/>
          <w:shd w:val="clear" w:color="auto" w:fill="FFFFFF"/>
          <w:lang w:val="lt-LT"/>
        </w:rPr>
      </w:pPr>
      <w:r w:rsidRPr="00DC60D8">
        <w:rPr>
          <w:rFonts w:asciiTheme="minorHAnsi" w:hAnsiTheme="minorHAnsi" w:cstheme="minorHAnsi"/>
          <w:b/>
          <w:bCs/>
          <w:color w:val="auto"/>
          <w:sz w:val="22"/>
          <w:shd w:val="clear" w:color="auto" w:fill="FFFFFF"/>
          <w:lang w:val="lt-LT"/>
        </w:rPr>
        <w:t>Bylos aplinkybės</w:t>
      </w:r>
    </w:p>
    <w:p w14:paraId="1672209B" w14:textId="77777777" w:rsidR="00DC60D8" w:rsidRPr="00353B65" w:rsidRDefault="00DC60D8" w:rsidP="007566FC">
      <w:pPr>
        <w:pStyle w:val="Betarp"/>
        <w:jc w:val="both"/>
        <w:rPr>
          <w:rFonts w:asciiTheme="minorHAnsi" w:hAnsiTheme="minorHAnsi" w:cstheme="minorHAnsi"/>
          <w:color w:val="auto"/>
          <w:sz w:val="22"/>
          <w:shd w:val="clear" w:color="auto" w:fill="FFFFFF"/>
          <w:lang w:val="lt-LT"/>
        </w:rPr>
      </w:pPr>
    </w:p>
    <w:p w14:paraId="58892893" w14:textId="77777777" w:rsidR="00D00E58" w:rsidRDefault="007566FC" w:rsidP="00D00E58">
      <w:pPr>
        <w:pStyle w:val="Betarp"/>
        <w:ind w:firstLine="567"/>
        <w:jc w:val="both"/>
        <w:rPr>
          <w:rFonts w:asciiTheme="minorHAnsi" w:hAnsiTheme="minorHAnsi" w:cstheme="minorHAnsi"/>
          <w:color w:val="auto"/>
          <w:sz w:val="22"/>
          <w:shd w:val="clear" w:color="auto" w:fill="FFFFFF"/>
          <w:lang w:val="lt-LT"/>
        </w:rPr>
      </w:pPr>
      <w:r w:rsidRPr="00353B65">
        <w:rPr>
          <w:rFonts w:asciiTheme="minorHAnsi" w:hAnsiTheme="minorHAnsi" w:cstheme="minorHAnsi"/>
          <w:color w:val="auto"/>
          <w:sz w:val="22"/>
          <w:shd w:val="clear" w:color="auto" w:fill="FFFFFF"/>
          <w:lang w:val="lt-LT"/>
        </w:rPr>
        <w:t xml:space="preserve">Pagrindinėje byloje ūkio subjektai ir apsaugoti atsinaujinančiųjų energijos išteklių sektoriaus pramonę siekianti asociacija kreipėsi į nacionalinį teismą dėl teisės aktų pakeitimo, kuriuo Italijos saulės fotovoltinių įrenginių elektros energijos gamybai taikomų paskatų schema buvo iš dalies pakeista. Ūkio subjektai yra vieno ar kelių įvairiose Italijos vietovėse įrengtų fotovoltinių įrenginių savininkai ir valdytojai, 20 metų laikotarpiui sudarę sutartis su Ekonomikos ir finansų ministerijos kontroliuojama įmone (toliau – GSE), siekdami pasinaudoti saulės fotovoltinių įrenginių elektros energijos gamybai taikomais skatinamaisiais tarifais. Tačiau pirmiau minėtu pakeitimu nuo 2015 m. sausio 1 d. energijos gamybos įrenginių, kurių vardinė galia yra didesnė kaip 200 kW, pagamintai energijai taikomas skatinamasis tarifas, atsižvelgiant į operatoriaus pasirinkimą, pertvarkytas remiantis tam tikromis alternatyviomis galimomis pasirinkti schemomis. </w:t>
      </w:r>
    </w:p>
    <w:p w14:paraId="4BF640D2" w14:textId="333163BD" w:rsidR="00044B06" w:rsidRDefault="007566FC" w:rsidP="00044B06">
      <w:pPr>
        <w:pStyle w:val="Betarp"/>
        <w:ind w:firstLine="567"/>
        <w:jc w:val="both"/>
        <w:rPr>
          <w:rFonts w:asciiTheme="minorHAnsi" w:hAnsiTheme="minorHAnsi" w:cstheme="minorHAnsi"/>
          <w:color w:val="auto"/>
          <w:sz w:val="22"/>
          <w:shd w:val="clear" w:color="auto" w:fill="FFFFFF"/>
          <w:lang w:val="lt-LT"/>
        </w:rPr>
      </w:pPr>
      <w:r w:rsidRPr="00353B65">
        <w:rPr>
          <w:rFonts w:asciiTheme="minorHAnsi" w:hAnsiTheme="minorHAnsi" w:cstheme="minorHAnsi"/>
          <w:color w:val="auto"/>
          <w:sz w:val="22"/>
          <w:shd w:val="clear" w:color="auto" w:fill="FFFFFF"/>
          <w:lang w:val="lt-LT"/>
        </w:rPr>
        <w:t>Savo klausimu prašymą priimti prejudicinį sprendimą pateikęs teismas iš esmės siekė išsiaiškinti, ar Direktyv</w:t>
      </w:r>
      <w:r w:rsidR="006C6208">
        <w:rPr>
          <w:rFonts w:asciiTheme="minorHAnsi" w:hAnsiTheme="minorHAnsi" w:cstheme="minorHAnsi"/>
          <w:color w:val="auto"/>
          <w:sz w:val="22"/>
          <w:shd w:val="clear" w:color="auto" w:fill="FFFFFF"/>
          <w:lang w:val="lt-LT"/>
        </w:rPr>
        <w:t>os</w:t>
      </w:r>
      <w:r w:rsidRPr="00353B65">
        <w:rPr>
          <w:rFonts w:asciiTheme="minorHAnsi" w:hAnsiTheme="minorHAnsi" w:cstheme="minorHAnsi"/>
          <w:color w:val="auto"/>
          <w:sz w:val="22"/>
          <w:shd w:val="clear" w:color="auto" w:fill="FFFFFF"/>
          <w:lang w:val="lt-LT"/>
        </w:rPr>
        <w:t xml:space="preserve"> 2009/28</w:t>
      </w:r>
      <w:r w:rsidR="006C6208">
        <w:rPr>
          <w:rStyle w:val="Puslapioinaosnuoroda"/>
          <w:rFonts w:asciiTheme="minorHAnsi" w:hAnsiTheme="minorHAnsi" w:cstheme="minorHAnsi"/>
          <w:color w:val="auto"/>
          <w:sz w:val="22"/>
          <w:shd w:val="clear" w:color="auto" w:fill="FFFFFF"/>
          <w:lang w:val="lt-LT"/>
        </w:rPr>
        <w:footnoteReference w:id="24"/>
      </w:r>
      <w:r w:rsidRPr="00353B65">
        <w:rPr>
          <w:rFonts w:asciiTheme="minorHAnsi" w:hAnsiTheme="minorHAnsi" w:cstheme="minorHAnsi"/>
          <w:color w:val="auto"/>
          <w:sz w:val="22"/>
          <w:shd w:val="clear" w:color="auto" w:fill="FFFFFF"/>
          <w:lang w:val="lt-LT"/>
        </w:rPr>
        <w:t xml:space="preserve"> 3 straipsnio 3 dalies a punktas ir Chartijos 16 (Laisvė užsiimti verslu) ir 17 (Teisė į nuosavybę) straipsniai, siejami su teisinio saugumo ir teisėtų lūkesčių apsaugos principais, taip pat Energetikos chartijos sutarties 10 straipsnis turi būti aiškinami taip, kad jie draudžia nacionalinės teisės nuostatas, kuriose numatoma sumažinti ar net visiškai panaikinti už saulės fotovoltiniais įrenginiais pagamintą energiją mokamus skatinamuosius tarifus, kurie jau buvo nustatyti administraciniuose sprendimuose ir patvirtinti specialiomis šių įrenginių valdytojų ir valstybinės bendrovės sudarytomis sutartimis</w:t>
      </w:r>
      <w:r w:rsidR="006C6208">
        <w:rPr>
          <w:rFonts w:asciiTheme="minorHAnsi" w:hAnsiTheme="minorHAnsi" w:cstheme="minorHAnsi"/>
          <w:color w:val="auto"/>
          <w:sz w:val="22"/>
          <w:shd w:val="clear" w:color="auto" w:fill="FFFFFF"/>
          <w:lang w:val="lt-LT"/>
        </w:rPr>
        <w:t>.</w:t>
      </w:r>
    </w:p>
    <w:p w14:paraId="5C31BC4E" w14:textId="77777777" w:rsidR="00DC60D8" w:rsidRDefault="00DC60D8" w:rsidP="00044B06">
      <w:pPr>
        <w:pStyle w:val="Betarp"/>
        <w:ind w:firstLine="567"/>
        <w:jc w:val="both"/>
        <w:rPr>
          <w:rFonts w:asciiTheme="minorHAnsi" w:hAnsiTheme="minorHAnsi" w:cstheme="minorHAnsi"/>
          <w:color w:val="auto"/>
          <w:sz w:val="22"/>
          <w:shd w:val="clear" w:color="auto" w:fill="FFFFFF"/>
          <w:lang w:val="lt-LT"/>
        </w:rPr>
      </w:pPr>
    </w:p>
    <w:p w14:paraId="749B3019" w14:textId="77777777" w:rsidR="00DC60D8" w:rsidRPr="00353B65" w:rsidRDefault="00DC60D8" w:rsidP="00DC60D8">
      <w:pPr>
        <w:jc w:val="center"/>
        <w:rPr>
          <w:b/>
          <w:bCs/>
          <w:color w:val="000000"/>
          <w:shd w:val="clear" w:color="auto" w:fill="FFFFFF"/>
        </w:rPr>
      </w:pPr>
      <w:r w:rsidRPr="00353B65">
        <w:rPr>
          <w:b/>
          <w:bCs/>
          <w:color w:val="000000"/>
          <w:shd w:val="clear" w:color="auto" w:fill="FFFFFF"/>
        </w:rPr>
        <w:t>Teisingumo Teismo vertinimas</w:t>
      </w:r>
    </w:p>
    <w:p w14:paraId="62B37EED" w14:textId="77777777" w:rsidR="00DC60D8" w:rsidRDefault="00DC60D8" w:rsidP="00044B06">
      <w:pPr>
        <w:pStyle w:val="Betarp"/>
        <w:ind w:firstLine="567"/>
        <w:jc w:val="both"/>
        <w:rPr>
          <w:rStyle w:val="eop"/>
          <w:rFonts w:asciiTheme="minorHAnsi" w:hAnsiTheme="minorHAnsi" w:cstheme="minorHAnsi"/>
          <w:i/>
          <w:iCs/>
          <w:color w:val="auto"/>
          <w:sz w:val="22"/>
          <w:shd w:val="clear" w:color="auto" w:fill="FFFFFF"/>
          <w:lang w:val="lt-LT"/>
        </w:rPr>
      </w:pPr>
    </w:p>
    <w:p w14:paraId="0A6C3789" w14:textId="2D20E9BB" w:rsidR="00DC60D8" w:rsidRPr="00963B91" w:rsidRDefault="00DC60D8" w:rsidP="00963B91">
      <w:pPr>
        <w:pStyle w:val="Antrat3"/>
        <w:ind w:firstLine="567"/>
      </w:pPr>
      <w:bookmarkStart w:id="56" w:name="_Toc85700957"/>
      <w:r w:rsidRPr="00963B91">
        <w:t>Dėl teisėtų lūkesčių apsaugos, nacionalinės teisės nuostatomis sumažinant ar net visiškai panaikinant už saulės fotovoltiniais įrenginiais pagamintą energiją mokamus skatinamuosius tarifus</w:t>
      </w:r>
      <w:bookmarkEnd w:id="56"/>
    </w:p>
    <w:p w14:paraId="630565FF" w14:textId="77777777" w:rsidR="00DC60D8" w:rsidRDefault="00DC60D8" w:rsidP="00044B06">
      <w:pPr>
        <w:pStyle w:val="Betarp"/>
        <w:ind w:firstLine="567"/>
        <w:jc w:val="both"/>
        <w:rPr>
          <w:rFonts w:asciiTheme="minorHAnsi" w:hAnsiTheme="minorHAnsi" w:cstheme="minorHAnsi"/>
          <w:color w:val="auto"/>
          <w:sz w:val="22"/>
          <w:shd w:val="clear" w:color="auto" w:fill="FFFFFF"/>
          <w:lang w:val="lt-LT"/>
        </w:rPr>
      </w:pPr>
    </w:p>
    <w:p w14:paraId="02FAC9D0" w14:textId="77777777" w:rsidR="00044B06" w:rsidRDefault="007566FC" w:rsidP="00044B06">
      <w:pPr>
        <w:pStyle w:val="Betarp"/>
        <w:ind w:firstLine="567"/>
        <w:jc w:val="both"/>
        <w:rPr>
          <w:rFonts w:asciiTheme="minorHAnsi" w:hAnsiTheme="minorHAnsi" w:cstheme="minorHAnsi"/>
          <w:color w:val="auto"/>
          <w:sz w:val="22"/>
          <w:shd w:val="clear" w:color="auto" w:fill="FFFFFF"/>
          <w:lang w:val="lt-LT"/>
        </w:rPr>
      </w:pPr>
      <w:r w:rsidRPr="00353B65">
        <w:rPr>
          <w:rFonts w:asciiTheme="minorHAnsi" w:hAnsiTheme="minorHAnsi" w:cstheme="minorHAnsi"/>
          <w:color w:val="auto"/>
          <w:sz w:val="22"/>
          <w:shd w:val="clear" w:color="auto" w:fill="FFFFFF"/>
          <w:lang w:val="lt-LT"/>
        </w:rPr>
        <w:t xml:space="preserve">ESTT nurodė, kad pagal Direktyvos 2009/28 3 straipsnio 3 dalies a punktą nedraudžiamos nacionalinės teisės nuostatos, kuriomis iš dalies keičiama pagalbos schema sumažinant tarifus ir pakeičiama fotovoltinių įrenginių elektros energijos gamybai taikomų paskatų mokėjimo tvarka, jeigu minėtomis nuostatomis laikomasi </w:t>
      </w:r>
      <w:r w:rsidRPr="00353B65">
        <w:rPr>
          <w:rFonts w:asciiTheme="minorHAnsi" w:hAnsiTheme="minorHAnsi" w:cstheme="minorHAnsi"/>
          <w:sz w:val="22"/>
          <w:lang w:val="lt-LT"/>
        </w:rPr>
        <w:t>teisinio saugumo ir teisėtų lūkesčių apsaugos</w:t>
      </w:r>
      <w:r w:rsidRPr="00353B65">
        <w:rPr>
          <w:rFonts w:asciiTheme="minorHAnsi" w:hAnsiTheme="minorHAnsi" w:cstheme="minorHAnsi"/>
          <w:color w:val="auto"/>
          <w:sz w:val="22"/>
          <w:shd w:val="clear" w:color="auto" w:fill="FFFFFF"/>
          <w:lang w:val="lt-LT"/>
        </w:rPr>
        <w:t xml:space="preserve"> principų.</w:t>
      </w:r>
    </w:p>
    <w:p w14:paraId="5C7918C0" w14:textId="77777777" w:rsidR="00044B06" w:rsidRDefault="007566FC" w:rsidP="00044B06">
      <w:pPr>
        <w:pStyle w:val="Betarp"/>
        <w:ind w:firstLine="567"/>
        <w:jc w:val="both"/>
        <w:rPr>
          <w:rFonts w:asciiTheme="minorHAnsi" w:hAnsiTheme="minorHAnsi" w:cstheme="minorHAnsi"/>
          <w:color w:val="auto"/>
          <w:sz w:val="22"/>
          <w:shd w:val="clear" w:color="auto" w:fill="FFFFFF"/>
          <w:lang w:val="lt-LT"/>
        </w:rPr>
      </w:pPr>
      <w:r w:rsidRPr="00353B65">
        <w:rPr>
          <w:rFonts w:asciiTheme="minorHAnsi" w:hAnsiTheme="minorHAnsi" w:cstheme="minorHAnsi"/>
          <w:color w:val="auto"/>
          <w:sz w:val="22"/>
          <w:shd w:val="clear" w:color="auto" w:fill="FFFFFF"/>
          <w:lang w:val="lt-LT"/>
        </w:rPr>
        <w:t>ESTT, vertindamas, ar ūkio subjektai pagrindinėje byloje turi iš Chartijos 17 straipsnio 1 dalies išplaukiančia galimybe remtis teisėtų lūkesčių apsaugos principu, nurodė, kad atitinkamų fotovoltinių įrenginių valdytojų ir GSE sudarytos sutartys buvo pasirašytos remiantis tipinėmis sutartimis, kad pačios sutartys šiems įrenginiams nesuteikė paskatų, o tik nustatė jų mokėjimo tvarką, ir kad, bent jau kiek tai susiję su po 2012 m. gruodžio 31 d. sudarytomis sutartimis, GSE pasiliko teisę vienašališkai pakeisti šių sutarčių sąlygas, atsižvelgdama į galimą reglamentavimo raidą, kaip tai buvo aiškiai nurodyta sutartyse. Taigi, pasak ESTT, šios aplinkybės pakankamai aiškiai parodė ūkio subjektams, kad atitinkamos paskatos galėjo būti iš dalies pakeistos ar panaikintos.</w:t>
      </w:r>
    </w:p>
    <w:p w14:paraId="75EDF292" w14:textId="77777777" w:rsidR="00044B06" w:rsidRDefault="007566FC" w:rsidP="00044B06">
      <w:pPr>
        <w:pStyle w:val="Betarp"/>
        <w:ind w:firstLine="567"/>
        <w:jc w:val="both"/>
        <w:rPr>
          <w:rFonts w:asciiTheme="minorHAnsi" w:hAnsiTheme="minorHAnsi" w:cstheme="minorHAnsi"/>
          <w:color w:val="auto"/>
          <w:sz w:val="22"/>
          <w:shd w:val="clear" w:color="auto" w:fill="FFFFFF"/>
          <w:lang w:val="lt-LT"/>
        </w:rPr>
      </w:pPr>
      <w:r w:rsidRPr="00353B65">
        <w:rPr>
          <w:rFonts w:asciiTheme="minorHAnsi" w:hAnsiTheme="minorHAnsi" w:cstheme="minorHAnsi"/>
          <w:color w:val="auto"/>
          <w:sz w:val="22"/>
          <w:shd w:val="clear" w:color="auto" w:fill="FFFFFF"/>
          <w:lang w:val="lt-LT"/>
        </w:rPr>
        <w:lastRenderedPageBreak/>
        <w:t xml:space="preserve">ESTT padarė išvadą, kad atitinkamų </w:t>
      </w:r>
      <w:r w:rsidRPr="00353B65">
        <w:rPr>
          <w:rFonts w:asciiTheme="minorHAnsi" w:hAnsiTheme="minorHAnsi" w:cstheme="minorHAnsi"/>
          <w:color w:val="auto"/>
          <w:sz w:val="22"/>
          <w:u w:val="single"/>
          <w:shd w:val="clear" w:color="auto" w:fill="FFFFFF"/>
          <w:lang w:val="lt-LT"/>
        </w:rPr>
        <w:t>fotovoltinių įrenginių valdytojų nurodyta teisė nekintamai naudotis pagrindinėje byloje aptariamomis paskatomis visą jų su GSE sudarytų sutarčių galiojimo laiką nėra įgyta teisinė padėtis ir jai netaikoma Chartijos 17 straipsnyje numatyta apsauga</w:t>
      </w:r>
      <w:r w:rsidRPr="00353B65">
        <w:rPr>
          <w:rFonts w:asciiTheme="minorHAnsi" w:hAnsiTheme="minorHAnsi" w:cstheme="minorHAnsi"/>
          <w:color w:val="auto"/>
          <w:sz w:val="22"/>
          <w:shd w:val="clear" w:color="auto" w:fill="FFFFFF"/>
          <w:lang w:val="lt-LT"/>
        </w:rPr>
        <w:t xml:space="preserve">. Todėl </w:t>
      </w:r>
      <w:r w:rsidRPr="00353B65">
        <w:rPr>
          <w:rFonts w:asciiTheme="minorHAnsi" w:hAnsiTheme="minorHAnsi" w:cstheme="minorHAnsi"/>
          <w:color w:val="auto"/>
          <w:sz w:val="22"/>
          <w:u w:val="single"/>
          <w:shd w:val="clear" w:color="auto" w:fill="FFFFFF"/>
          <w:lang w:val="lt-LT"/>
        </w:rPr>
        <w:t>šių paskatų sumų ar jų mokėjimo tvarkos pakeitimas negali būti prilyginamas nuosavybės teisės, kokia pripažinta Chartijos 17 straipsnyje, pažeidimui</w:t>
      </w:r>
      <w:r w:rsidRPr="00353B65">
        <w:rPr>
          <w:rFonts w:asciiTheme="minorHAnsi" w:hAnsiTheme="minorHAnsi" w:cstheme="minorHAnsi"/>
          <w:color w:val="auto"/>
          <w:sz w:val="22"/>
          <w:shd w:val="clear" w:color="auto" w:fill="FFFFFF"/>
          <w:lang w:val="lt-LT"/>
        </w:rPr>
        <w:t>.</w:t>
      </w:r>
    </w:p>
    <w:p w14:paraId="5967D9B5" w14:textId="0694AC33" w:rsidR="00DC60D8" w:rsidRDefault="007566FC" w:rsidP="00044B06">
      <w:pPr>
        <w:pStyle w:val="Betarp"/>
        <w:ind w:firstLine="567"/>
        <w:jc w:val="both"/>
        <w:rPr>
          <w:rFonts w:asciiTheme="minorHAnsi" w:hAnsiTheme="minorHAnsi" w:cstheme="minorHAnsi"/>
          <w:color w:val="auto"/>
          <w:sz w:val="22"/>
          <w:shd w:val="clear" w:color="auto" w:fill="FFFFFF"/>
          <w:lang w:val="lt-LT"/>
        </w:rPr>
      </w:pPr>
      <w:r w:rsidRPr="00353B65">
        <w:rPr>
          <w:rFonts w:asciiTheme="minorHAnsi" w:hAnsiTheme="minorHAnsi" w:cstheme="minorHAnsi"/>
          <w:color w:val="auto"/>
          <w:sz w:val="22"/>
          <w:shd w:val="clear" w:color="auto" w:fill="FFFFFF"/>
          <w:lang w:val="lt-LT"/>
        </w:rPr>
        <w:t xml:space="preserve">ESTT taip pat nurodė, kad ūkio subjektai pagrindinėje byloje neturėjo galios derėtis dėl su GSE sudarytų sutarčių turinio. Kadangi tai yra susitariančiosios šalies parengta tipinė sutartis, pagal sutarčių laisvės principą iš esmės kita šalis pati sprendžia, ar jai priimti sutarties sąlygas, ar ne. Be to, GSE išsaugojo teisę vienašališkai iš dalies keisti jų sąlygas. Todėl pagrindinėje byloje </w:t>
      </w:r>
      <w:r w:rsidRPr="00353B65">
        <w:rPr>
          <w:rFonts w:asciiTheme="minorHAnsi" w:hAnsiTheme="minorHAnsi" w:cstheme="minorHAnsi"/>
          <w:color w:val="auto"/>
          <w:sz w:val="22"/>
          <w:u w:val="single"/>
          <w:shd w:val="clear" w:color="auto" w:fill="FFFFFF"/>
          <w:lang w:val="lt-LT"/>
        </w:rPr>
        <w:t>nagrinėjamos nacionalinės teisės nuostatos negali būti laikomos ribojančiomis pagrindinėje byloje nagrinėjamų sutarčių šalių sutarčių laisvę, kaip tai suprantama pagal Chartijos 16 straipsnį</w:t>
      </w:r>
      <w:r w:rsidRPr="00353B65">
        <w:rPr>
          <w:rFonts w:asciiTheme="minorHAnsi" w:hAnsiTheme="minorHAnsi" w:cstheme="minorHAnsi"/>
          <w:color w:val="auto"/>
          <w:sz w:val="22"/>
          <w:shd w:val="clear" w:color="auto" w:fill="FFFFFF"/>
          <w:lang w:val="lt-LT"/>
        </w:rPr>
        <w:t>, tačiau prašymą priimti prejudicinį sprendimą pateikęs teismas turi atlikti patikrinimus. ESTT taip pat konstatavo, kad neatrodo, jog reglamentavimo pakeitimais buvo apribota atitinkamų fotovoltinių įrenginių valdytojų teisė laisvai naudotis turimais ištekliais, nes šis atvejis susijęs tik su numatytomis paskatomis, kurios dar nėra mokėtinos, ir kad šie valdytojai negalėjo remtis teisėtais lūkesčiais nekintamai naudotis tokiomis paskatomis.</w:t>
      </w:r>
    </w:p>
    <w:p w14:paraId="109EE4CA" w14:textId="5A0316DD" w:rsidR="00DC60D8" w:rsidRPr="00353B65" w:rsidRDefault="003347AD" w:rsidP="00044B06">
      <w:pPr>
        <w:pStyle w:val="Betarp"/>
        <w:ind w:firstLine="567"/>
        <w:jc w:val="both"/>
        <w:rPr>
          <w:rFonts w:asciiTheme="minorHAnsi" w:hAnsiTheme="minorHAnsi" w:cstheme="minorHAnsi"/>
          <w:color w:val="auto"/>
          <w:sz w:val="22"/>
          <w:shd w:val="clear" w:color="auto" w:fill="FFFFFF"/>
          <w:lang w:val="lt-LT"/>
        </w:rPr>
      </w:pPr>
      <w:hyperlink r:id="rId24" w:history="1">
        <w:r w:rsidR="00DC60D8" w:rsidRPr="00DC60D8">
          <w:rPr>
            <w:rStyle w:val="Hipersaitas"/>
            <w:rFonts w:asciiTheme="minorHAnsi" w:hAnsiTheme="minorHAnsi" w:cstheme="minorHAnsi"/>
            <w:sz w:val="22"/>
            <w:shd w:val="clear" w:color="auto" w:fill="FFFFFF"/>
            <w:lang w:val="lt-LT"/>
          </w:rPr>
          <w:t>Prieiga internete</w:t>
        </w:r>
      </w:hyperlink>
    </w:p>
    <w:p w14:paraId="78CC2591" w14:textId="77777777" w:rsidR="007566FC" w:rsidRPr="00DC60D8" w:rsidRDefault="007566FC" w:rsidP="007566FC">
      <w:pPr>
        <w:pStyle w:val="Betarp"/>
        <w:jc w:val="both"/>
        <w:rPr>
          <w:rFonts w:asciiTheme="minorHAnsi" w:hAnsiTheme="minorHAnsi" w:cstheme="minorHAnsi"/>
          <w:color w:val="auto"/>
          <w:sz w:val="22"/>
          <w:shd w:val="clear" w:color="auto" w:fill="FFFFFF"/>
          <w:lang w:val="lt-LT"/>
        </w:rPr>
      </w:pPr>
    </w:p>
    <w:p w14:paraId="63E467EE" w14:textId="3802763F" w:rsidR="007566FC" w:rsidRPr="00353B65" w:rsidRDefault="00406976" w:rsidP="00410FED">
      <w:pPr>
        <w:pStyle w:val="Antrat1"/>
        <w:rPr>
          <w:rFonts w:eastAsia="Times New Roman"/>
          <w:vanish/>
        </w:rPr>
      </w:pPr>
      <w:bookmarkStart w:id="57" w:name="_Toc85700958"/>
      <w:r w:rsidRPr="00410FED">
        <w:t>KONKURENCIJA</w:t>
      </w:r>
      <w:bookmarkEnd w:id="57"/>
    </w:p>
    <w:p w14:paraId="669F0A87" w14:textId="2B79EEEA" w:rsidR="00F91B65" w:rsidRPr="00353B65" w:rsidRDefault="00F91B65" w:rsidP="00F91B65">
      <w:pPr>
        <w:jc w:val="center"/>
        <w:rPr>
          <w:rFonts w:asciiTheme="minorHAnsi" w:hAnsiTheme="minorHAnsi" w:cstheme="minorHAnsi"/>
          <w:b/>
        </w:rPr>
      </w:pPr>
    </w:p>
    <w:p w14:paraId="40C08584" w14:textId="277E5A7E" w:rsidR="009A4386" w:rsidRPr="006C6208" w:rsidRDefault="009A4386" w:rsidP="006C6208">
      <w:pPr>
        <w:pStyle w:val="Antrat1"/>
        <w:rPr>
          <w:rFonts w:eastAsiaTheme="minorHAnsi"/>
          <w:shd w:val="clear" w:color="auto" w:fill="FFFFFF"/>
        </w:rPr>
      </w:pPr>
      <w:bookmarkStart w:id="58" w:name="_Toc85700959"/>
      <w:r w:rsidRPr="009A4386">
        <w:rPr>
          <w:rFonts w:eastAsiaTheme="minorHAnsi"/>
          <w:shd w:val="clear" w:color="auto" w:fill="FFFFFF"/>
        </w:rPr>
        <w:t xml:space="preserve">2021 m. sausio 28 d. sprendimas byloje </w:t>
      </w:r>
      <w:r w:rsidR="00644FB2" w:rsidRPr="00DC60D8">
        <w:rPr>
          <w:rFonts w:eastAsiaTheme="minorHAnsi"/>
          <w:i/>
          <w:iCs/>
          <w:shd w:val="clear" w:color="auto" w:fill="FFFFFF"/>
        </w:rPr>
        <w:t>Qualcomm ir Qualcomm Europe prieš Komisiją</w:t>
      </w:r>
      <w:r w:rsidR="006C6208">
        <w:rPr>
          <w:rFonts w:eastAsiaTheme="minorHAnsi"/>
          <w:i/>
          <w:iCs/>
          <w:shd w:val="clear" w:color="auto" w:fill="FFFFFF"/>
        </w:rPr>
        <w:t xml:space="preserve">, </w:t>
      </w:r>
      <w:r w:rsidRPr="009A4386">
        <w:rPr>
          <w:rFonts w:eastAsiaTheme="minorHAnsi"/>
          <w:bCs/>
          <w:szCs w:val="22"/>
          <w:shd w:val="clear" w:color="auto" w:fill="FFFFFF"/>
        </w:rPr>
        <w:t>C</w:t>
      </w:r>
      <w:r w:rsidRPr="006C6208">
        <w:rPr>
          <w:rFonts w:eastAsiaTheme="minorHAnsi"/>
          <w:shd w:val="clear" w:color="auto" w:fill="FFFFFF"/>
        </w:rPr>
        <w:t>-466/19 P</w:t>
      </w:r>
      <w:bookmarkEnd w:id="58"/>
    </w:p>
    <w:p w14:paraId="6B1FA1E3" w14:textId="77777777" w:rsidR="009A4386" w:rsidRPr="009A4386" w:rsidRDefault="009A4386" w:rsidP="005854A3">
      <w:pPr>
        <w:pStyle w:val="c02alineaalta"/>
        <w:spacing w:before="0" w:beforeAutospacing="0" w:after="0" w:afterAutospacing="0"/>
        <w:ind w:firstLine="567"/>
        <w:jc w:val="center"/>
        <w:rPr>
          <w:rFonts w:asciiTheme="minorHAnsi" w:eastAsia="Calibri" w:hAnsiTheme="minorHAnsi" w:cstheme="minorHAnsi"/>
          <w:b/>
          <w:bCs/>
          <w:sz w:val="22"/>
          <w:szCs w:val="22"/>
          <w:lang w:eastAsia="en-US"/>
        </w:rPr>
      </w:pPr>
    </w:p>
    <w:p w14:paraId="22B740E3" w14:textId="43910BC7" w:rsidR="005854A3" w:rsidRPr="00353B65" w:rsidRDefault="005854A3" w:rsidP="008D4F07">
      <w:pPr>
        <w:pStyle w:val="c71indicateur"/>
        <w:spacing w:before="0" w:beforeAutospacing="0" w:after="0" w:afterAutospacing="0"/>
        <w:ind w:firstLine="567"/>
        <w:jc w:val="both"/>
        <w:rPr>
          <w:rFonts w:asciiTheme="minorHAnsi" w:hAnsiTheme="minorHAnsi" w:cstheme="minorHAnsi"/>
          <w:color w:val="000000"/>
          <w:sz w:val="22"/>
          <w:szCs w:val="22"/>
        </w:rPr>
      </w:pPr>
      <w:r w:rsidRPr="00353B65">
        <w:rPr>
          <w:rFonts w:asciiTheme="minorHAnsi" w:hAnsiTheme="minorHAnsi" w:cstheme="minorHAnsi"/>
          <w:color w:val="000000"/>
          <w:sz w:val="22"/>
          <w:szCs w:val="22"/>
        </w:rPr>
        <w:t>Piktnaudžiavimas dominuojančia padėtimi – UMTS pagrindinių dažnių juostų mikroschemų rinka – Reglamentas (EB) Nr. 1/2003 – 18 straipsnio 3 dalis – Sprendimas, kuriuo prašoma pateikti informaciją – Prašomos pateikti informacijos reikalingumas – Proporcingumas – Įrodinėjimo pareiga – Parodymų prieš save davima</w:t>
      </w:r>
      <w:r w:rsidR="00DC60D8">
        <w:rPr>
          <w:rFonts w:asciiTheme="minorHAnsi" w:hAnsiTheme="minorHAnsi" w:cstheme="minorHAnsi"/>
          <w:color w:val="000000"/>
          <w:sz w:val="22"/>
          <w:szCs w:val="22"/>
        </w:rPr>
        <w:t>s</w:t>
      </w:r>
    </w:p>
    <w:p w14:paraId="1B04C191" w14:textId="77777777" w:rsidR="00644FB2" w:rsidRPr="00353B65" w:rsidRDefault="00644FB2" w:rsidP="008D4F07">
      <w:pPr>
        <w:pStyle w:val="c71indicateur"/>
        <w:spacing w:before="0" w:beforeAutospacing="0" w:after="0" w:afterAutospacing="0"/>
        <w:ind w:firstLine="567"/>
        <w:jc w:val="both"/>
        <w:rPr>
          <w:rFonts w:asciiTheme="minorHAnsi" w:hAnsiTheme="minorHAnsi" w:cstheme="minorHAnsi"/>
          <w:color w:val="000000"/>
          <w:sz w:val="22"/>
          <w:szCs w:val="22"/>
        </w:rPr>
      </w:pPr>
    </w:p>
    <w:p w14:paraId="20829305" w14:textId="7E78F97C" w:rsidR="00644FB2" w:rsidRPr="00353B65" w:rsidRDefault="00DC60D8" w:rsidP="00DC60D8">
      <w:pPr>
        <w:pStyle w:val="c71indicateur"/>
        <w:tabs>
          <w:tab w:val="left" w:pos="142"/>
          <w:tab w:val="left" w:pos="567"/>
        </w:tabs>
        <w:spacing w:before="0" w:beforeAutospacing="0" w:after="0" w:afterAutospacing="0"/>
        <w:jc w:val="center"/>
        <w:rPr>
          <w:rFonts w:asciiTheme="minorHAnsi" w:hAnsiTheme="minorHAnsi" w:cstheme="minorHAnsi"/>
          <w:b/>
          <w:color w:val="000000"/>
          <w:sz w:val="22"/>
          <w:szCs w:val="22"/>
        </w:rPr>
      </w:pPr>
      <w:r>
        <w:rPr>
          <w:rFonts w:asciiTheme="minorHAnsi" w:hAnsiTheme="minorHAnsi" w:cstheme="minorHAnsi"/>
          <w:b/>
          <w:color w:val="000000"/>
          <w:sz w:val="22"/>
          <w:szCs w:val="22"/>
        </w:rPr>
        <w:t>Bylos</w:t>
      </w:r>
      <w:r w:rsidR="00644FB2" w:rsidRPr="00353B65">
        <w:rPr>
          <w:rFonts w:asciiTheme="minorHAnsi" w:hAnsiTheme="minorHAnsi" w:cstheme="minorHAnsi"/>
          <w:b/>
          <w:color w:val="000000"/>
          <w:sz w:val="22"/>
          <w:szCs w:val="22"/>
        </w:rPr>
        <w:t xml:space="preserve"> aplinkybės</w:t>
      </w:r>
    </w:p>
    <w:p w14:paraId="33732108" w14:textId="77777777" w:rsidR="008D4F07" w:rsidRPr="00353B65" w:rsidRDefault="008D4F07" w:rsidP="008D4F07">
      <w:pPr>
        <w:pStyle w:val="c71indicateur"/>
        <w:spacing w:before="0" w:beforeAutospacing="0" w:after="0" w:afterAutospacing="0"/>
        <w:ind w:firstLine="567"/>
        <w:jc w:val="both"/>
        <w:rPr>
          <w:rFonts w:asciiTheme="minorHAnsi" w:hAnsiTheme="minorHAnsi" w:cstheme="minorHAnsi"/>
          <w:color w:val="000000"/>
          <w:sz w:val="22"/>
          <w:szCs w:val="22"/>
        </w:rPr>
      </w:pPr>
    </w:p>
    <w:p w14:paraId="42B50ACB" w14:textId="36CFB6A5" w:rsidR="009F5A37" w:rsidRPr="00353B65" w:rsidRDefault="003F2F27" w:rsidP="0028069C">
      <w:pPr>
        <w:ind w:firstLine="567"/>
        <w:rPr>
          <w:rFonts w:asciiTheme="minorHAnsi" w:eastAsia="Times New Roman" w:hAnsiTheme="minorHAnsi" w:cstheme="minorHAnsi"/>
          <w:color w:val="000000"/>
          <w:lang w:eastAsia="lt-LT"/>
        </w:rPr>
      </w:pPr>
      <w:r w:rsidRPr="00353B65">
        <w:rPr>
          <w:rFonts w:asciiTheme="minorHAnsi" w:eastAsia="Times New Roman" w:hAnsiTheme="minorHAnsi" w:cstheme="minorHAnsi"/>
          <w:color w:val="000000"/>
          <w:lang w:eastAsia="lt-LT"/>
        </w:rPr>
        <w:t xml:space="preserve">Gavusi </w:t>
      </w:r>
      <w:r w:rsidR="0028069C" w:rsidRPr="00353B65">
        <w:rPr>
          <w:rFonts w:asciiTheme="minorHAnsi" w:eastAsia="Times New Roman" w:hAnsiTheme="minorHAnsi" w:cstheme="minorHAnsi"/>
          <w:color w:val="000000"/>
          <w:lang w:eastAsia="lt-LT"/>
        </w:rPr>
        <w:t xml:space="preserve">konkuruojančios </w:t>
      </w:r>
      <w:r w:rsidRPr="00353B65">
        <w:rPr>
          <w:rFonts w:asciiTheme="minorHAnsi" w:eastAsia="Times New Roman" w:hAnsiTheme="minorHAnsi" w:cstheme="minorHAnsi"/>
          <w:color w:val="000000"/>
          <w:lang w:eastAsia="lt-LT"/>
        </w:rPr>
        <w:t>bendrovės</w:t>
      </w:r>
      <w:r w:rsidR="0028069C" w:rsidRPr="00353B65">
        <w:rPr>
          <w:rFonts w:asciiTheme="minorHAnsi" w:eastAsia="Times New Roman" w:hAnsiTheme="minorHAnsi" w:cstheme="minorHAnsi"/>
          <w:color w:val="000000"/>
          <w:lang w:eastAsia="lt-LT"/>
        </w:rPr>
        <w:t xml:space="preserve"> </w:t>
      </w:r>
      <w:r w:rsidRPr="00353B65">
        <w:rPr>
          <w:rFonts w:asciiTheme="minorHAnsi" w:eastAsia="Times New Roman" w:hAnsiTheme="minorHAnsi" w:cstheme="minorHAnsi"/>
          <w:color w:val="000000"/>
          <w:lang w:eastAsia="lt-LT"/>
        </w:rPr>
        <w:t xml:space="preserve">skundą, Komisija pradėjo tyrimą dėl įtariamo </w:t>
      </w:r>
      <w:r w:rsidR="0028069C" w:rsidRPr="00353B65">
        <w:rPr>
          <w:rFonts w:asciiTheme="minorHAnsi" w:eastAsia="Times New Roman" w:hAnsiTheme="minorHAnsi" w:cstheme="minorHAnsi"/>
          <w:i/>
          <w:iCs/>
          <w:color w:val="000000"/>
          <w:lang w:eastAsia="lt-LT"/>
        </w:rPr>
        <w:t>Qualcomm</w:t>
      </w:r>
      <w:r w:rsidR="0028069C" w:rsidRPr="00353B65">
        <w:rPr>
          <w:rFonts w:asciiTheme="minorHAnsi" w:eastAsia="Times New Roman" w:hAnsiTheme="minorHAnsi" w:cstheme="minorHAnsi"/>
          <w:color w:val="000000"/>
          <w:lang w:eastAsia="lt-LT"/>
        </w:rPr>
        <w:t> ir </w:t>
      </w:r>
      <w:r w:rsidR="0028069C" w:rsidRPr="00353B65">
        <w:rPr>
          <w:rFonts w:asciiTheme="minorHAnsi" w:eastAsia="Times New Roman" w:hAnsiTheme="minorHAnsi" w:cstheme="minorHAnsi"/>
          <w:i/>
          <w:iCs/>
          <w:color w:val="000000"/>
          <w:lang w:eastAsia="lt-LT"/>
        </w:rPr>
        <w:t>Qualcomm Europe</w:t>
      </w:r>
      <w:r w:rsidR="0028069C" w:rsidRPr="00353B65">
        <w:rPr>
          <w:rFonts w:asciiTheme="minorHAnsi" w:eastAsia="Times New Roman" w:hAnsiTheme="minorHAnsi" w:cstheme="minorHAnsi"/>
          <w:color w:val="000000"/>
          <w:lang w:eastAsia="lt-LT"/>
        </w:rPr>
        <w:t xml:space="preserve"> (toliau – apeliantės), kurios Jungtinėse Amerikos Valstijose įsteigtos bendrovės, vykdančios veiklą pagrindinių dažnių juostų mikroschemų kūrimo ir prekybos sektoriuje, </w:t>
      </w:r>
      <w:r w:rsidRPr="00353B65">
        <w:rPr>
          <w:rFonts w:asciiTheme="minorHAnsi" w:eastAsia="Times New Roman" w:hAnsiTheme="minorHAnsi" w:cstheme="minorHAnsi"/>
          <w:color w:val="000000"/>
          <w:lang w:eastAsia="lt-LT"/>
        </w:rPr>
        <w:t xml:space="preserve">piktnaudžiavimo dominuojančia padėtimi, kaip tai suprantama pagal </w:t>
      </w:r>
      <w:r w:rsidR="006C6208" w:rsidRPr="006C6208">
        <w:rPr>
          <w:rFonts w:asciiTheme="minorHAnsi" w:eastAsia="Times New Roman" w:hAnsiTheme="minorHAnsi" w:cstheme="minorHAnsi"/>
          <w:color w:val="000000"/>
          <w:lang w:eastAsia="lt-LT"/>
        </w:rPr>
        <w:t>Sutarties dėl Europos Sąjungos veikimo</w:t>
      </w:r>
      <w:r w:rsidR="006C6208">
        <w:rPr>
          <w:rFonts w:asciiTheme="minorHAnsi" w:eastAsia="Times New Roman" w:hAnsiTheme="minorHAnsi" w:cstheme="minorHAnsi"/>
          <w:color w:val="000000"/>
          <w:lang w:eastAsia="lt-LT"/>
        </w:rPr>
        <w:t xml:space="preserve"> (toliau – </w:t>
      </w:r>
      <w:r w:rsidRPr="00353B65">
        <w:rPr>
          <w:rFonts w:asciiTheme="minorHAnsi" w:eastAsia="Times New Roman" w:hAnsiTheme="minorHAnsi" w:cstheme="minorHAnsi"/>
          <w:color w:val="000000"/>
          <w:lang w:eastAsia="lt-LT"/>
        </w:rPr>
        <w:t>SESV</w:t>
      </w:r>
      <w:r w:rsidR="006C6208">
        <w:rPr>
          <w:rFonts w:asciiTheme="minorHAnsi" w:eastAsia="Times New Roman" w:hAnsiTheme="minorHAnsi" w:cstheme="minorHAnsi"/>
          <w:color w:val="000000"/>
          <w:lang w:eastAsia="lt-LT"/>
        </w:rPr>
        <w:t>)</w:t>
      </w:r>
      <w:r w:rsidRPr="00353B65">
        <w:rPr>
          <w:rFonts w:asciiTheme="minorHAnsi" w:eastAsia="Times New Roman" w:hAnsiTheme="minorHAnsi" w:cstheme="minorHAnsi"/>
          <w:color w:val="000000"/>
          <w:lang w:eastAsia="lt-LT"/>
        </w:rPr>
        <w:t> 102 straipsnį</w:t>
      </w:r>
      <w:r w:rsidR="0028069C" w:rsidRPr="00353B65">
        <w:rPr>
          <w:rFonts w:asciiTheme="minorHAnsi" w:eastAsia="Times New Roman" w:hAnsiTheme="minorHAnsi" w:cstheme="minorHAnsi"/>
          <w:color w:val="000000"/>
          <w:lang w:eastAsia="lt-LT"/>
        </w:rPr>
        <w:t xml:space="preserve">. </w:t>
      </w:r>
      <w:r w:rsidRPr="00353B65">
        <w:rPr>
          <w:rFonts w:asciiTheme="minorHAnsi" w:eastAsia="Times New Roman" w:hAnsiTheme="minorHAnsi" w:cstheme="minorHAnsi"/>
          <w:color w:val="000000"/>
          <w:lang w:eastAsia="lt-LT"/>
        </w:rPr>
        <w:t>Komisija apeliantėms pateikė kelis prašymus pateikti informacij</w:t>
      </w:r>
      <w:r w:rsidR="0028069C" w:rsidRPr="00353B65">
        <w:rPr>
          <w:rFonts w:asciiTheme="minorHAnsi" w:eastAsia="Times New Roman" w:hAnsiTheme="minorHAnsi" w:cstheme="minorHAnsi"/>
          <w:color w:val="000000"/>
          <w:lang w:eastAsia="lt-LT"/>
        </w:rPr>
        <w:t xml:space="preserve">ą </w:t>
      </w:r>
      <w:r w:rsidRPr="00353B65">
        <w:rPr>
          <w:rFonts w:asciiTheme="minorHAnsi" w:eastAsia="Times New Roman" w:hAnsiTheme="minorHAnsi" w:cstheme="minorHAnsi"/>
          <w:color w:val="000000"/>
          <w:lang w:eastAsia="lt-LT"/>
        </w:rPr>
        <w:t>pagal Reglamento Nr. 1/2003 18 straipsnį.</w:t>
      </w:r>
      <w:r w:rsidR="0028069C" w:rsidRPr="00353B65">
        <w:rPr>
          <w:rFonts w:asciiTheme="minorHAnsi" w:eastAsia="Times New Roman" w:hAnsiTheme="minorHAnsi" w:cstheme="minorHAnsi"/>
          <w:color w:val="000000"/>
          <w:lang w:eastAsia="lt-LT"/>
        </w:rPr>
        <w:t xml:space="preserve"> </w:t>
      </w:r>
      <w:r w:rsidRPr="00353B65">
        <w:rPr>
          <w:rFonts w:asciiTheme="minorHAnsi" w:eastAsia="Times New Roman" w:hAnsiTheme="minorHAnsi" w:cstheme="minorHAnsi"/>
          <w:color w:val="000000"/>
          <w:lang w:eastAsia="lt-LT"/>
        </w:rPr>
        <w:t>Negavusi atsakym</w:t>
      </w:r>
      <w:r w:rsidR="0028069C" w:rsidRPr="00353B65">
        <w:rPr>
          <w:rFonts w:asciiTheme="minorHAnsi" w:eastAsia="Times New Roman" w:hAnsiTheme="minorHAnsi" w:cstheme="minorHAnsi"/>
          <w:color w:val="000000"/>
          <w:lang w:eastAsia="lt-LT"/>
        </w:rPr>
        <w:t xml:space="preserve">ų, </w:t>
      </w:r>
      <w:r w:rsidRPr="00353B65">
        <w:rPr>
          <w:rFonts w:asciiTheme="minorHAnsi" w:eastAsia="Times New Roman" w:hAnsiTheme="minorHAnsi" w:cstheme="minorHAnsi"/>
          <w:color w:val="000000"/>
          <w:lang w:eastAsia="lt-LT"/>
        </w:rPr>
        <w:t xml:space="preserve">Komisija, remdamasi </w:t>
      </w:r>
      <w:r w:rsidR="0028069C" w:rsidRPr="00353B65">
        <w:rPr>
          <w:rFonts w:asciiTheme="minorHAnsi" w:eastAsia="Times New Roman" w:hAnsiTheme="minorHAnsi" w:cstheme="minorHAnsi"/>
          <w:color w:val="000000"/>
          <w:lang w:eastAsia="lt-LT"/>
        </w:rPr>
        <w:t xml:space="preserve">minėto </w:t>
      </w:r>
      <w:r w:rsidRPr="00353B65">
        <w:rPr>
          <w:rFonts w:asciiTheme="minorHAnsi" w:eastAsia="Times New Roman" w:hAnsiTheme="minorHAnsi" w:cstheme="minorHAnsi"/>
          <w:color w:val="000000"/>
          <w:lang w:eastAsia="lt-LT"/>
        </w:rPr>
        <w:t xml:space="preserve">reglamento 18 straipsnio 3 dalimi, priėmė </w:t>
      </w:r>
      <w:r w:rsidR="00092EDC" w:rsidRPr="00353B65">
        <w:rPr>
          <w:rFonts w:asciiTheme="minorHAnsi" w:eastAsia="Times New Roman" w:hAnsiTheme="minorHAnsi" w:cstheme="minorHAnsi"/>
          <w:color w:val="000000"/>
          <w:lang w:eastAsia="lt-LT"/>
        </w:rPr>
        <w:t xml:space="preserve">apžvelgiamu atveju </w:t>
      </w:r>
      <w:r w:rsidRPr="00353B65">
        <w:rPr>
          <w:rFonts w:asciiTheme="minorHAnsi" w:eastAsia="Times New Roman" w:hAnsiTheme="minorHAnsi" w:cstheme="minorHAnsi"/>
          <w:color w:val="000000"/>
          <w:lang w:eastAsia="lt-LT"/>
        </w:rPr>
        <w:t>ginč</w:t>
      </w:r>
      <w:r w:rsidR="00092EDC" w:rsidRPr="00353B65">
        <w:rPr>
          <w:rFonts w:asciiTheme="minorHAnsi" w:eastAsia="Times New Roman" w:hAnsiTheme="minorHAnsi" w:cstheme="minorHAnsi"/>
          <w:color w:val="000000"/>
          <w:lang w:eastAsia="lt-LT"/>
        </w:rPr>
        <w:t xml:space="preserve">ytą </w:t>
      </w:r>
      <w:r w:rsidRPr="00353B65">
        <w:rPr>
          <w:rFonts w:asciiTheme="minorHAnsi" w:eastAsia="Times New Roman" w:hAnsiTheme="minorHAnsi" w:cstheme="minorHAnsi"/>
          <w:color w:val="000000"/>
          <w:lang w:eastAsia="lt-LT"/>
        </w:rPr>
        <w:t>sprendimą.</w:t>
      </w:r>
      <w:r w:rsidR="00092EDC" w:rsidRPr="00353B65">
        <w:rPr>
          <w:rFonts w:asciiTheme="minorHAnsi" w:eastAsia="Times New Roman" w:hAnsiTheme="minorHAnsi" w:cstheme="minorHAnsi"/>
          <w:color w:val="000000"/>
          <w:lang w:eastAsia="lt-LT"/>
        </w:rPr>
        <w:t xml:space="preserve"> Ši</w:t>
      </w:r>
      <w:r w:rsidR="009127F9" w:rsidRPr="00353B65">
        <w:rPr>
          <w:rFonts w:asciiTheme="minorHAnsi" w:eastAsia="Times New Roman" w:hAnsiTheme="minorHAnsi" w:cstheme="minorHAnsi"/>
          <w:color w:val="000000"/>
          <w:lang w:eastAsia="lt-LT"/>
        </w:rPr>
        <w:t xml:space="preserve">ame </w:t>
      </w:r>
      <w:r w:rsidRPr="00353B65">
        <w:rPr>
          <w:rFonts w:asciiTheme="minorHAnsi" w:eastAsia="Times New Roman" w:hAnsiTheme="minorHAnsi" w:cstheme="minorHAnsi"/>
          <w:color w:val="000000"/>
          <w:lang w:eastAsia="lt-LT"/>
        </w:rPr>
        <w:t>sprendim</w:t>
      </w:r>
      <w:r w:rsidR="009127F9" w:rsidRPr="00353B65">
        <w:rPr>
          <w:rFonts w:asciiTheme="minorHAnsi" w:eastAsia="Times New Roman" w:hAnsiTheme="minorHAnsi" w:cstheme="minorHAnsi"/>
          <w:color w:val="000000"/>
          <w:lang w:eastAsia="lt-LT"/>
        </w:rPr>
        <w:t xml:space="preserve">e nustatyta, kad </w:t>
      </w:r>
      <w:r w:rsidRPr="00353B65">
        <w:rPr>
          <w:rFonts w:asciiTheme="minorHAnsi" w:eastAsia="Times New Roman" w:hAnsiTheme="minorHAnsi" w:cstheme="minorHAnsi"/>
          <w:color w:val="000000"/>
          <w:lang w:eastAsia="lt-LT"/>
        </w:rPr>
        <w:t>per tam tikrą terminą apeliantės turėjo pateikti j</w:t>
      </w:r>
      <w:r w:rsidR="009127F9" w:rsidRPr="00353B65">
        <w:rPr>
          <w:rFonts w:asciiTheme="minorHAnsi" w:eastAsia="Times New Roman" w:hAnsiTheme="minorHAnsi" w:cstheme="minorHAnsi"/>
          <w:color w:val="000000"/>
          <w:lang w:eastAsia="lt-LT"/>
        </w:rPr>
        <w:t xml:space="preserve">ame </w:t>
      </w:r>
      <w:r w:rsidRPr="00353B65">
        <w:rPr>
          <w:rFonts w:asciiTheme="minorHAnsi" w:eastAsia="Times New Roman" w:hAnsiTheme="minorHAnsi" w:cstheme="minorHAnsi"/>
          <w:color w:val="000000"/>
          <w:lang w:eastAsia="lt-LT"/>
        </w:rPr>
        <w:t>nurodytą informaciją, nes priešingu atveju joms bus skirta 580 000 eurų bauda už kiekvieną vėlavimo dieną</w:t>
      </w:r>
      <w:r w:rsidR="009127F9" w:rsidRPr="00353B65">
        <w:rPr>
          <w:rFonts w:asciiTheme="minorHAnsi" w:eastAsia="Times New Roman" w:hAnsiTheme="minorHAnsi" w:cstheme="minorHAnsi"/>
          <w:color w:val="000000"/>
          <w:lang w:eastAsia="lt-LT"/>
        </w:rPr>
        <w:t xml:space="preserve">. </w:t>
      </w:r>
      <w:r w:rsidRPr="00353B65">
        <w:rPr>
          <w:rFonts w:asciiTheme="minorHAnsi" w:eastAsia="Times New Roman" w:hAnsiTheme="minorHAnsi" w:cstheme="minorHAnsi"/>
          <w:color w:val="000000"/>
          <w:lang w:eastAsia="lt-LT"/>
        </w:rPr>
        <w:t>Apeliantės pateikė atsakymus į užduotus klausimus per nustatytą terminą – jis per tą laiką Komisijos buvo pratęstas</w:t>
      </w:r>
      <w:r w:rsidR="009F5A37" w:rsidRPr="00353B65">
        <w:rPr>
          <w:rFonts w:asciiTheme="minorHAnsi" w:eastAsia="Times New Roman" w:hAnsiTheme="minorHAnsi" w:cstheme="minorHAnsi"/>
          <w:color w:val="000000"/>
          <w:lang w:eastAsia="lt-LT"/>
        </w:rPr>
        <w:t>.</w:t>
      </w:r>
    </w:p>
    <w:p w14:paraId="54E250A7" w14:textId="77777777" w:rsidR="00644FB2" w:rsidRPr="00353B65" w:rsidRDefault="00644FB2" w:rsidP="009F5A37">
      <w:pPr>
        <w:ind w:firstLine="567"/>
        <w:rPr>
          <w:rFonts w:asciiTheme="minorHAnsi" w:eastAsia="Times New Roman" w:hAnsiTheme="minorHAnsi" w:cstheme="minorHAnsi"/>
          <w:color w:val="000000"/>
          <w:lang w:eastAsia="lt-LT"/>
        </w:rPr>
      </w:pPr>
    </w:p>
    <w:p w14:paraId="093CF049" w14:textId="1D3687BB" w:rsidR="00644FB2" w:rsidRPr="00353B65" w:rsidRDefault="00644FB2" w:rsidP="00DC60D8">
      <w:pPr>
        <w:jc w:val="center"/>
        <w:rPr>
          <w:rFonts w:asciiTheme="minorHAnsi" w:eastAsia="Times New Roman" w:hAnsiTheme="minorHAnsi" w:cstheme="minorHAnsi"/>
          <w:b/>
          <w:color w:val="000000"/>
          <w:lang w:eastAsia="lt-LT"/>
        </w:rPr>
      </w:pPr>
      <w:r w:rsidRPr="00353B65">
        <w:rPr>
          <w:rFonts w:asciiTheme="minorHAnsi" w:eastAsia="Times New Roman" w:hAnsiTheme="minorHAnsi" w:cstheme="minorHAnsi"/>
          <w:b/>
          <w:color w:val="000000"/>
          <w:lang w:eastAsia="lt-LT"/>
        </w:rPr>
        <w:t>Teisingumo Teismo vertinimas</w:t>
      </w:r>
    </w:p>
    <w:p w14:paraId="6549CF88" w14:textId="77777777" w:rsidR="009F5A37" w:rsidRPr="00353B65" w:rsidRDefault="009F5A37" w:rsidP="009F5A37">
      <w:pPr>
        <w:ind w:firstLine="567"/>
        <w:rPr>
          <w:rFonts w:asciiTheme="minorHAnsi" w:eastAsia="Times New Roman" w:hAnsiTheme="minorHAnsi" w:cstheme="minorHAnsi"/>
          <w:color w:val="000000"/>
          <w:lang w:eastAsia="lt-LT"/>
        </w:rPr>
      </w:pPr>
    </w:p>
    <w:p w14:paraId="11BB770F" w14:textId="04A8E9B9" w:rsidR="008D4F07" w:rsidRPr="00963B91" w:rsidRDefault="009F5A37" w:rsidP="00963B91">
      <w:pPr>
        <w:pStyle w:val="Antrat3"/>
        <w:ind w:firstLine="567"/>
      </w:pPr>
      <w:bookmarkStart w:id="59" w:name="_Toc85700960"/>
      <w:r w:rsidRPr="00963B91">
        <w:t xml:space="preserve">Dėl Komisijos prašomos informacijos </w:t>
      </w:r>
      <w:r w:rsidR="00644FB2" w:rsidRPr="00963B91">
        <w:t>ne</w:t>
      </w:r>
      <w:r w:rsidR="00EC107D" w:rsidRPr="00963B91">
        <w:t>pateikimo</w:t>
      </w:r>
      <w:r w:rsidR="00644FB2" w:rsidRPr="00963B91">
        <w:t xml:space="preserve">, </w:t>
      </w:r>
      <w:r w:rsidR="00EC107D" w:rsidRPr="00963B91">
        <w:t xml:space="preserve">ginantis </w:t>
      </w:r>
      <w:r w:rsidR="00A8627A" w:rsidRPr="00963B91">
        <w:t>teis</w:t>
      </w:r>
      <w:r w:rsidR="00EC107D" w:rsidRPr="00963B91">
        <w:t xml:space="preserve">e </w:t>
      </w:r>
      <w:r w:rsidR="00A8627A" w:rsidRPr="00963B91">
        <w:t>neduo</w:t>
      </w:r>
      <w:r w:rsidR="00EC107D" w:rsidRPr="00963B91">
        <w:t>ti parodymų prieš save</w:t>
      </w:r>
      <w:bookmarkEnd w:id="59"/>
    </w:p>
    <w:p w14:paraId="7FCF54EE" w14:textId="2ABCA4F8" w:rsidR="005854A3" w:rsidRPr="00353B65" w:rsidRDefault="005854A3" w:rsidP="009F5A37">
      <w:pPr>
        <w:ind w:firstLine="567"/>
        <w:rPr>
          <w:rFonts w:asciiTheme="minorHAnsi" w:hAnsiTheme="minorHAnsi" w:cstheme="minorHAnsi"/>
          <w:b/>
        </w:rPr>
      </w:pPr>
    </w:p>
    <w:p w14:paraId="59A2E231" w14:textId="32425E0F" w:rsidR="00020E12" w:rsidRPr="00353B65" w:rsidRDefault="00020E12" w:rsidP="00020E12">
      <w:pPr>
        <w:ind w:firstLine="567"/>
        <w:rPr>
          <w:rFonts w:asciiTheme="minorHAnsi" w:hAnsiTheme="minorHAnsi" w:cstheme="minorHAnsi"/>
          <w:bCs/>
        </w:rPr>
      </w:pPr>
      <w:r w:rsidRPr="00353B65">
        <w:rPr>
          <w:rFonts w:asciiTheme="minorHAnsi" w:hAnsiTheme="minorHAnsi" w:cstheme="minorHAnsi"/>
          <w:bCs/>
        </w:rPr>
        <w:t xml:space="preserve">Vienas iš apeliančių argumentų buvo susijęs su Komisijos padarytu teisės neduoti parodymų prieš save pažeidimu. </w:t>
      </w:r>
      <w:r w:rsidR="00E67B58" w:rsidRPr="00353B65">
        <w:rPr>
          <w:rFonts w:asciiTheme="minorHAnsi" w:hAnsiTheme="minorHAnsi" w:cstheme="minorHAnsi"/>
          <w:bCs/>
        </w:rPr>
        <w:t xml:space="preserve">Teisingumo Teismas </w:t>
      </w:r>
      <w:r w:rsidRPr="00353B65">
        <w:rPr>
          <w:rFonts w:asciiTheme="minorHAnsi" w:hAnsiTheme="minorHAnsi" w:cstheme="minorHAnsi"/>
          <w:bCs/>
        </w:rPr>
        <w:t xml:space="preserve">šiuo aspektu pirmiausia nurodė, kad remiantis Reglamento Nr. 1/2003 23 konstatuojamąja dalimi, vykdydamos Komisijos sprendimą prašyti pateikti informacijos, įmonės negali būti priverstos pripažinti, kad padarė pažeidimą, tačiau bet kuriuo atveju jos privalo atsakyti į klausimus dėl faktinių aplinkybių ir pateikti dokumentus, netgi jei šia informacija gali būti pasinaudota įrodant, kad jos ar kita įmonė pažeidimą padarė, taip pat priminė seniai suformuotą jurisprudenciją (1989 m. spalio 18 d. Sprendimo </w:t>
      </w:r>
      <w:r w:rsidRPr="00115851">
        <w:rPr>
          <w:rFonts w:asciiTheme="minorHAnsi" w:hAnsiTheme="minorHAnsi" w:cstheme="minorHAnsi"/>
          <w:bCs/>
          <w:i/>
          <w:iCs/>
        </w:rPr>
        <w:t>Orkem / Komisija</w:t>
      </w:r>
      <w:r w:rsidRPr="00353B65">
        <w:rPr>
          <w:rFonts w:asciiTheme="minorHAnsi" w:hAnsiTheme="minorHAnsi" w:cstheme="minorHAnsi"/>
          <w:bCs/>
        </w:rPr>
        <w:t xml:space="preserve">, 374/87, EU:C:1989:387, 27, 34 ir 35 punktai, 2006 m. birželio 29 d. Sprendimo </w:t>
      </w:r>
      <w:r w:rsidRPr="00115851">
        <w:rPr>
          <w:rFonts w:asciiTheme="minorHAnsi" w:hAnsiTheme="minorHAnsi" w:cstheme="minorHAnsi"/>
          <w:bCs/>
          <w:i/>
          <w:iCs/>
        </w:rPr>
        <w:t>Komisija / SGL Carbon</w:t>
      </w:r>
      <w:r w:rsidRPr="00353B65">
        <w:rPr>
          <w:rFonts w:asciiTheme="minorHAnsi" w:hAnsiTheme="minorHAnsi" w:cstheme="minorHAnsi"/>
          <w:bCs/>
        </w:rPr>
        <w:t>, C</w:t>
      </w:r>
      <w:r w:rsidRPr="00353B65">
        <w:rPr>
          <w:rFonts w:ascii="Cambria Math" w:hAnsi="Cambria Math" w:cs="Cambria Math"/>
          <w:bCs/>
        </w:rPr>
        <w:t>‑</w:t>
      </w:r>
      <w:r w:rsidRPr="00353B65">
        <w:rPr>
          <w:rFonts w:asciiTheme="minorHAnsi" w:hAnsiTheme="minorHAnsi" w:cstheme="minorHAnsi"/>
          <w:bCs/>
        </w:rPr>
        <w:t>301/04 P, EU:C:2006:432, 41</w:t>
      </w:r>
      <w:r w:rsidRPr="00353B65">
        <w:rPr>
          <w:rFonts w:cs="Calibri"/>
          <w:bCs/>
        </w:rPr>
        <w:t>–</w:t>
      </w:r>
      <w:r w:rsidRPr="00353B65">
        <w:rPr>
          <w:rFonts w:asciiTheme="minorHAnsi" w:hAnsiTheme="minorHAnsi" w:cstheme="minorHAnsi"/>
          <w:bCs/>
        </w:rPr>
        <w:t xml:space="preserve">44 ir 48 punktai), pagal kurią Komisija turi teisę reikalauti, kad įmonė pateiktų visą reikalingą informaciją apie faktus, kuriuos ji galėjo žinoti, ir prireikus jai perduotų turimus su tuo susijusius dokumentus, net jei jais galima pasinaudoti nustatant, kad šios ar kitos įmonės veiksmai prieštaravo konkurencijos taisyklėms. Nors Komisija negali įpareigoti šios įmonės pateikti atsakymus, kuriuose ta įmonė būtų priversta prisipažinti padariusi </w:t>
      </w:r>
      <w:r w:rsidRPr="00353B65">
        <w:rPr>
          <w:rFonts w:asciiTheme="minorHAnsi" w:hAnsiTheme="minorHAnsi" w:cstheme="minorHAnsi"/>
          <w:bCs/>
        </w:rPr>
        <w:lastRenderedPageBreak/>
        <w:t>pažeidimą, kurio įrodymus turi pateikti Komisija, ta įmonė vis tik negali nevykdyti prašymų pateikti tuos dokumentus motyvuodama tuo, kad tenkindama tokius prašymus ji būtų priversta liudyti prieš save.</w:t>
      </w:r>
    </w:p>
    <w:p w14:paraId="371F4309" w14:textId="0F80D299" w:rsidR="00D97A75" w:rsidRPr="00353B65" w:rsidRDefault="00D97A75" w:rsidP="00020E12">
      <w:pPr>
        <w:ind w:firstLine="567"/>
        <w:rPr>
          <w:rFonts w:asciiTheme="minorHAnsi" w:hAnsiTheme="minorHAnsi" w:cstheme="minorHAnsi"/>
          <w:bCs/>
        </w:rPr>
      </w:pPr>
      <w:r w:rsidRPr="00353B65">
        <w:rPr>
          <w:rFonts w:asciiTheme="minorHAnsi" w:hAnsiTheme="minorHAnsi" w:cstheme="minorHAnsi"/>
          <w:bCs/>
        </w:rPr>
        <w:t>Teisingumo Teismas, tikrindamas Bendrojo Teismo apskųstame sprendime pateiktą vertinimą šiuo klausimu, pažymėjo, kad Bendrasis Teismas nustatė, kad, viena vertus, jei ginčijama prašyme pateikti informacijos išdėstyto klausimo apimtis, Sąjungos teismas privalo patikrinti, ar adresato atsakymas tikrai prilygtų prisipažinimui padarius pažeidimą, ir, kita vertus, išimtinai su faktinėmis aplinkybėmis susiję klausimai iš principo negali būti laikomi galinčiais priversti adresatą pripažinti padarius tą pažeidimą. Atsižvelgus į tai, anot Teisingumo Teismo, Bendrasis Teismas galėjo padaryti išvadą, kad dėl to, jog ginčytame sprendime prašoma pateikti informacija susijusi tik su faktinėmis aplinkybėmis, nes prašoma pateikti vidaus dokumentus, tos informacijos pateikimas nereiškia, kad iš apeliančių reikalaujama atlikti vertinimus, kuriuose jos būtų priverstos pripažinti savo veiksmais pažeidusios SESV 102 straipsnį.</w:t>
      </w:r>
    </w:p>
    <w:p w14:paraId="4FB0609A" w14:textId="4E914CC8" w:rsidR="00D84F3A" w:rsidRPr="00353B65" w:rsidRDefault="00D84F3A" w:rsidP="00EC107D">
      <w:pPr>
        <w:ind w:firstLine="567"/>
        <w:rPr>
          <w:rFonts w:asciiTheme="minorHAnsi" w:hAnsiTheme="minorHAnsi" w:cstheme="minorHAnsi"/>
          <w:bCs/>
        </w:rPr>
      </w:pPr>
      <w:r w:rsidRPr="00353B65">
        <w:rPr>
          <w:rFonts w:asciiTheme="minorHAnsi" w:hAnsiTheme="minorHAnsi" w:cstheme="minorHAnsi"/>
          <w:bCs/>
        </w:rPr>
        <w:t>Daryta išvada, kad tik tuo atveju, jeigu įmonė įpareigojama pateikti atsakymus, kuriuose ji būtų priversta pripažinti pažeidimą, ta įmonė gali nevykdyti pareigos pateikti visą reikiamą informaciją.</w:t>
      </w:r>
      <w:r w:rsidR="00DC60D8">
        <w:rPr>
          <w:rFonts w:asciiTheme="minorHAnsi" w:hAnsiTheme="minorHAnsi" w:cstheme="minorHAnsi"/>
          <w:bCs/>
        </w:rPr>
        <w:t xml:space="preserve"> </w:t>
      </w:r>
      <w:r w:rsidRPr="00353B65">
        <w:rPr>
          <w:rFonts w:asciiTheme="minorHAnsi" w:hAnsiTheme="minorHAnsi" w:cstheme="minorHAnsi"/>
          <w:bCs/>
        </w:rPr>
        <w:t xml:space="preserve">Apžvelgiamoje byloje Bendrasis Teismas pagrįstai nusprendė (apeliantės tos išvados neginčija), kad šiuo atveju taip nėra, nes apeliantės nepateikė jokio konkretaus argumento, kuriuo remiantis būtų galima įrodyti, kad tai, jog, atsakydamos į Komisijos klausimus, jos privalo prašomas pateikti faktines aplinkybes formaliai išdėstyti dokumente, kad Komisijai būtų lengviau jas suprasti, savaime gali būti teisės neduoti </w:t>
      </w:r>
      <w:r w:rsidR="00EC107D" w:rsidRPr="00353B65">
        <w:rPr>
          <w:rFonts w:asciiTheme="minorHAnsi" w:hAnsiTheme="minorHAnsi" w:cstheme="minorHAnsi"/>
          <w:bCs/>
        </w:rPr>
        <w:t>parodymų prieš save pažeidimas.</w:t>
      </w:r>
    </w:p>
    <w:p w14:paraId="443EAD52" w14:textId="33C844AD" w:rsidR="00020E12" w:rsidRPr="00353B65" w:rsidRDefault="003347AD" w:rsidP="00020E12">
      <w:pPr>
        <w:ind w:firstLine="567"/>
        <w:rPr>
          <w:rFonts w:asciiTheme="minorHAnsi" w:hAnsiTheme="minorHAnsi" w:cstheme="minorHAnsi"/>
          <w:bCs/>
        </w:rPr>
      </w:pPr>
      <w:hyperlink r:id="rId25" w:history="1">
        <w:r w:rsidR="00DC60D8">
          <w:rPr>
            <w:rStyle w:val="Hipersaitas"/>
            <w:rFonts w:asciiTheme="minorHAnsi" w:hAnsiTheme="minorHAnsi" w:cstheme="minorHAnsi"/>
            <w:bCs/>
          </w:rPr>
          <w:t>Prieiga internete</w:t>
        </w:r>
      </w:hyperlink>
    </w:p>
    <w:p w14:paraId="255A08D6" w14:textId="77777777" w:rsidR="00020E12" w:rsidRPr="00353B65" w:rsidRDefault="00020E12" w:rsidP="00020E12">
      <w:pPr>
        <w:ind w:firstLine="567"/>
        <w:rPr>
          <w:rFonts w:asciiTheme="minorHAnsi" w:hAnsiTheme="minorHAnsi" w:cstheme="minorHAnsi"/>
          <w:bCs/>
        </w:rPr>
      </w:pPr>
    </w:p>
    <w:p w14:paraId="36107468" w14:textId="260562E7" w:rsidR="005A3BAA" w:rsidRPr="00963B91" w:rsidRDefault="009A4386" w:rsidP="00963B91">
      <w:pPr>
        <w:pStyle w:val="Antrat1"/>
        <w:rPr>
          <w:i/>
          <w:iCs/>
        </w:rPr>
      </w:pPr>
      <w:bookmarkStart w:id="60" w:name="_Toc85700961"/>
      <w:r w:rsidRPr="00044B06">
        <w:t xml:space="preserve">Didžiosios kolegijos 2021 m. vasario 2 d. sprendimas byloje </w:t>
      </w:r>
      <w:r w:rsidRPr="00DC60D8">
        <w:rPr>
          <w:i/>
          <w:iCs/>
        </w:rPr>
        <w:t>Consob</w:t>
      </w:r>
      <w:r w:rsidR="00963B91">
        <w:rPr>
          <w:i/>
          <w:iCs/>
        </w:rPr>
        <w:t xml:space="preserve">, </w:t>
      </w:r>
      <w:r w:rsidR="00EB7006" w:rsidRPr="00177F84">
        <w:rPr>
          <w:bCs/>
        </w:rPr>
        <w:t>C-481/19</w:t>
      </w:r>
      <w:bookmarkEnd w:id="60"/>
    </w:p>
    <w:p w14:paraId="0F9EE46A" w14:textId="2D1EA588" w:rsidR="007D20F3" w:rsidRPr="00353B65" w:rsidRDefault="001B7122" w:rsidP="001B7122">
      <w:pPr>
        <w:pStyle w:val="c37motclefinretrait1"/>
        <w:ind w:firstLine="567"/>
        <w:jc w:val="both"/>
        <w:rPr>
          <w:rFonts w:asciiTheme="minorHAnsi" w:hAnsiTheme="minorHAnsi" w:cstheme="minorHAnsi"/>
          <w:color w:val="000000"/>
          <w:sz w:val="22"/>
          <w:szCs w:val="22"/>
        </w:rPr>
      </w:pPr>
      <w:r w:rsidRPr="00353B65">
        <w:rPr>
          <w:rFonts w:asciiTheme="minorHAnsi" w:hAnsiTheme="minorHAnsi" w:cstheme="minorHAnsi"/>
          <w:color w:val="000000"/>
          <w:sz w:val="22"/>
          <w:szCs w:val="22"/>
        </w:rPr>
        <w:t>Direktyva 2003/6/EB – 14 straipsnio 3 dalis</w:t>
      </w:r>
      <w:r w:rsidR="00115851">
        <w:rPr>
          <w:rFonts w:asciiTheme="minorHAnsi" w:hAnsiTheme="minorHAnsi" w:cstheme="minorHAnsi"/>
          <w:color w:val="000000"/>
          <w:sz w:val="22"/>
          <w:szCs w:val="22"/>
        </w:rPr>
        <w:t xml:space="preserve"> </w:t>
      </w:r>
      <w:r w:rsidRPr="00353B65">
        <w:rPr>
          <w:rFonts w:asciiTheme="minorHAnsi" w:hAnsiTheme="minorHAnsi" w:cstheme="minorHAnsi"/>
          <w:color w:val="000000"/>
          <w:sz w:val="22"/>
          <w:szCs w:val="22"/>
        </w:rPr>
        <w:t>– Reglamentas (ES) Nr. 596/2014 – 30 straipsnio 1 dalies b punktas</w:t>
      </w:r>
      <w:r w:rsidR="00115851">
        <w:rPr>
          <w:rFonts w:asciiTheme="minorHAnsi" w:hAnsiTheme="minorHAnsi" w:cstheme="minorHAnsi"/>
          <w:color w:val="000000"/>
          <w:sz w:val="22"/>
          <w:szCs w:val="22"/>
        </w:rPr>
        <w:t xml:space="preserve"> </w:t>
      </w:r>
      <w:r w:rsidRPr="00353B65">
        <w:rPr>
          <w:rFonts w:asciiTheme="minorHAnsi" w:hAnsiTheme="minorHAnsi" w:cstheme="minorHAnsi"/>
          <w:color w:val="000000"/>
          <w:sz w:val="22"/>
          <w:szCs w:val="22"/>
        </w:rPr>
        <w:t>– Piktnaudžiavimas rinka</w:t>
      </w:r>
      <w:r w:rsidR="00115851">
        <w:rPr>
          <w:rFonts w:asciiTheme="minorHAnsi" w:hAnsiTheme="minorHAnsi" w:cstheme="minorHAnsi"/>
          <w:color w:val="000000"/>
          <w:sz w:val="22"/>
          <w:szCs w:val="22"/>
        </w:rPr>
        <w:t xml:space="preserve"> </w:t>
      </w:r>
      <w:r w:rsidRPr="00353B65">
        <w:rPr>
          <w:rFonts w:asciiTheme="minorHAnsi" w:hAnsiTheme="minorHAnsi" w:cstheme="minorHAnsi"/>
          <w:color w:val="000000"/>
          <w:sz w:val="22"/>
          <w:szCs w:val="22"/>
        </w:rPr>
        <w:t>– Baudžiamojo pobūdžio administracinės sankcijos</w:t>
      </w:r>
      <w:r w:rsidR="00115851">
        <w:rPr>
          <w:rFonts w:asciiTheme="minorHAnsi" w:hAnsiTheme="minorHAnsi" w:cstheme="minorHAnsi"/>
          <w:color w:val="000000"/>
          <w:sz w:val="22"/>
          <w:szCs w:val="22"/>
        </w:rPr>
        <w:t xml:space="preserve"> </w:t>
      </w:r>
      <w:r w:rsidRPr="00353B65">
        <w:rPr>
          <w:rFonts w:asciiTheme="minorHAnsi" w:hAnsiTheme="minorHAnsi" w:cstheme="minorHAnsi"/>
          <w:color w:val="000000"/>
          <w:sz w:val="22"/>
          <w:szCs w:val="22"/>
        </w:rPr>
        <w:t>– Bendradarbiavimo su kompetentingomis institucijomis nebuvimas</w:t>
      </w:r>
      <w:r w:rsidR="00115851">
        <w:rPr>
          <w:rFonts w:asciiTheme="minorHAnsi" w:hAnsiTheme="minorHAnsi" w:cstheme="minorHAnsi"/>
          <w:color w:val="000000"/>
          <w:sz w:val="22"/>
          <w:szCs w:val="22"/>
        </w:rPr>
        <w:t xml:space="preserve"> </w:t>
      </w:r>
      <w:r w:rsidRPr="00353B65">
        <w:rPr>
          <w:rFonts w:asciiTheme="minorHAnsi" w:hAnsiTheme="minorHAnsi" w:cstheme="minorHAnsi"/>
          <w:color w:val="000000"/>
          <w:sz w:val="22"/>
          <w:szCs w:val="22"/>
        </w:rPr>
        <w:t>– Europos Sąjungos pagrindinių teisių chartijos 47 ir 48 straipsniai</w:t>
      </w:r>
      <w:r w:rsidR="00115851">
        <w:rPr>
          <w:rFonts w:asciiTheme="minorHAnsi" w:hAnsiTheme="minorHAnsi" w:cstheme="minorHAnsi"/>
          <w:color w:val="000000"/>
          <w:sz w:val="22"/>
          <w:szCs w:val="22"/>
        </w:rPr>
        <w:t xml:space="preserve"> </w:t>
      </w:r>
      <w:r w:rsidRPr="00353B65">
        <w:rPr>
          <w:rFonts w:asciiTheme="minorHAnsi" w:hAnsiTheme="minorHAnsi" w:cstheme="minorHAnsi"/>
          <w:color w:val="000000"/>
          <w:sz w:val="22"/>
          <w:szCs w:val="22"/>
        </w:rPr>
        <w:t>– Teisė tylėti ir neduoti parodymų prieš sav</w:t>
      </w:r>
      <w:r w:rsidR="00DC60D8">
        <w:rPr>
          <w:rFonts w:asciiTheme="minorHAnsi" w:hAnsiTheme="minorHAnsi" w:cstheme="minorHAnsi"/>
          <w:color w:val="000000"/>
          <w:sz w:val="22"/>
          <w:szCs w:val="22"/>
        </w:rPr>
        <w:t>e</w:t>
      </w:r>
    </w:p>
    <w:p w14:paraId="26E6BE60" w14:textId="55502B0F" w:rsidR="00EB7006" w:rsidRPr="00353B65" w:rsidRDefault="00DC60D8" w:rsidP="00DC60D8">
      <w:pPr>
        <w:pStyle w:val="c37motclefinretrait1"/>
        <w:jc w:val="center"/>
        <w:rPr>
          <w:rFonts w:asciiTheme="minorHAnsi" w:hAnsiTheme="minorHAnsi" w:cstheme="minorHAnsi"/>
          <w:b/>
          <w:color w:val="000000"/>
          <w:sz w:val="22"/>
          <w:szCs w:val="22"/>
        </w:rPr>
      </w:pPr>
      <w:r>
        <w:rPr>
          <w:rFonts w:asciiTheme="minorHAnsi" w:hAnsiTheme="minorHAnsi" w:cstheme="minorHAnsi"/>
          <w:b/>
          <w:color w:val="000000"/>
          <w:sz w:val="22"/>
          <w:szCs w:val="22"/>
        </w:rPr>
        <w:t>Bylo</w:t>
      </w:r>
      <w:r w:rsidR="00EB7006" w:rsidRPr="00353B65">
        <w:rPr>
          <w:rFonts w:asciiTheme="minorHAnsi" w:hAnsiTheme="minorHAnsi" w:cstheme="minorHAnsi"/>
          <w:b/>
          <w:color w:val="000000"/>
          <w:sz w:val="22"/>
          <w:szCs w:val="22"/>
        </w:rPr>
        <w:t>s aplinkybės</w:t>
      </w:r>
    </w:p>
    <w:p w14:paraId="4B92AD5A" w14:textId="43D2411D" w:rsidR="00C716E8" w:rsidRPr="00353B65" w:rsidRDefault="001D17E9" w:rsidP="001D17E9">
      <w:pPr>
        <w:pStyle w:val="c02alineaalta"/>
        <w:spacing w:before="0" w:beforeAutospacing="0" w:after="0" w:afterAutospacing="0"/>
        <w:ind w:firstLine="567"/>
        <w:jc w:val="both"/>
        <w:rPr>
          <w:rFonts w:asciiTheme="minorHAnsi" w:hAnsiTheme="minorHAnsi" w:cstheme="minorHAnsi"/>
          <w:color w:val="000000"/>
          <w:sz w:val="22"/>
          <w:szCs w:val="22"/>
        </w:rPr>
      </w:pPr>
      <w:r w:rsidRPr="00353B65">
        <w:rPr>
          <w:rFonts w:asciiTheme="minorHAnsi" w:hAnsiTheme="minorHAnsi" w:cstheme="minorHAnsi"/>
          <w:color w:val="000000"/>
          <w:sz w:val="22"/>
          <w:szCs w:val="22"/>
        </w:rPr>
        <w:t>Italijos nac</w:t>
      </w:r>
      <w:r w:rsidR="00C757B5" w:rsidRPr="00353B65">
        <w:rPr>
          <w:rFonts w:asciiTheme="minorHAnsi" w:hAnsiTheme="minorHAnsi" w:cstheme="minorHAnsi"/>
          <w:color w:val="000000"/>
          <w:sz w:val="22"/>
          <w:szCs w:val="22"/>
        </w:rPr>
        <w:t>ionalinė bendrovių ir vertybinių popierių biržos komisija</w:t>
      </w:r>
      <w:r w:rsidRPr="00353B65">
        <w:rPr>
          <w:rFonts w:asciiTheme="minorHAnsi" w:hAnsiTheme="minorHAnsi" w:cstheme="minorHAnsi"/>
          <w:color w:val="000000"/>
          <w:sz w:val="22"/>
          <w:szCs w:val="22"/>
        </w:rPr>
        <w:t xml:space="preserve"> (</w:t>
      </w:r>
      <w:r w:rsidR="00C757B5" w:rsidRPr="00353B65">
        <w:rPr>
          <w:rFonts w:asciiTheme="minorHAnsi" w:hAnsiTheme="minorHAnsi" w:cstheme="minorHAnsi"/>
          <w:color w:val="000000"/>
          <w:sz w:val="22"/>
          <w:szCs w:val="22"/>
        </w:rPr>
        <w:t>toliau – </w:t>
      </w:r>
      <w:r w:rsidR="00C757B5" w:rsidRPr="00353B65">
        <w:rPr>
          <w:rFonts w:asciiTheme="minorHAnsi" w:hAnsiTheme="minorHAnsi" w:cstheme="minorHAnsi"/>
          <w:i/>
          <w:iCs/>
          <w:color w:val="000000"/>
          <w:sz w:val="22"/>
          <w:szCs w:val="22"/>
        </w:rPr>
        <w:t>Consob</w:t>
      </w:r>
      <w:r w:rsidR="00C757B5" w:rsidRPr="00353B65">
        <w:rPr>
          <w:rFonts w:asciiTheme="minorHAnsi" w:hAnsiTheme="minorHAnsi" w:cstheme="minorHAnsi"/>
          <w:color w:val="000000"/>
          <w:sz w:val="22"/>
          <w:szCs w:val="22"/>
        </w:rPr>
        <w:t xml:space="preserve">) skyrė </w:t>
      </w:r>
      <w:r w:rsidRPr="00353B65">
        <w:rPr>
          <w:rFonts w:asciiTheme="minorHAnsi" w:hAnsiTheme="minorHAnsi" w:cstheme="minorHAnsi"/>
          <w:color w:val="000000"/>
          <w:sz w:val="22"/>
          <w:szCs w:val="22"/>
        </w:rPr>
        <w:t xml:space="preserve">fiziniam asmeniui </w:t>
      </w:r>
      <w:r w:rsidR="00C757B5" w:rsidRPr="00353B65">
        <w:rPr>
          <w:rFonts w:asciiTheme="minorHAnsi" w:hAnsiTheme="minorHAnsi" w:cstheme="minorHAnsi"/>
          <w:color w:val="000000"/>
          <w:sz w:val="22"/>
          <w:szCs w:val="22"/>
        </w:rPr>
        <w:t>DB baudas</w:t>
      </w:r>
      <w:r w:rsidRPr="00353B65">
        <w:rPr>
          <w:rFonts w:asciiTheme="minorHAnsi" w:hAnsiTheme="minorHAnsi" w:cstheme="minorHAnsi"/>
          <w:color w:val="000000"/>
          <w:sz w:val="22"/>
          <w:szCs w:val="22"/>
        </w:rPr>
        <w:t xml:space="preserve"> </w:t>
      </w:r>
      <w:r w:rsidR="00C757B5" w:rsidRPr="00353B65">
        <w:rPr>
          <w:rFonts w:asciiTheme="minorHAnsi" w:hAnsiTheme="minorHAnsi" w:cstheme="minorHAnsi"/>
          <w:color w:val="000000"/>
          <w:sz w:val="22"/>
          <w:szCs w:val="22"/>
        </w:rPr>
        <w:t>už 2009 m. padarytą administracinį pažeidimą dėl prekybos vertybiniais popieriais pasinaudojant viešai neatskleista informacija.</w:t>
      </w:r>
      <w:r w:rsidRPr="00353B65">
        <w:rPr>
          <w:rFonts w:asciiTheme="minorHAnsi" w:hAnsiTheme="minorHAnsi" w:cstheme="minorHAnsi"/>
          <w:color w:val="000000"/>
          <w:sz w:val="22"/>
          <w:szCs w:val="22"/>
        </w:rPr>
        <w:t xml:space="preserve"> </w:t>
      </w:r>
      <w:r w:rsidR="00C757B5" w:rsidRPr="00353B65">
        <w:rPr>
          <w:rFonts w:asciiTheme="minorHAnsi" w:hAnsiTheme="minorHAnsi" w:cstheme="minorHAnsi"/>
          <w:color w:val="000000"/>
          <w:sz w:val="22"/>
          <w:szCs w:val="22"/>
        </w:rPr>
        <w:t>Ji taip pat skyrė jam baudą už nebendradarbiavimą</w:t>
      </w:r>
      <w:r w:rsidRPr="00353B65">
        <w:rPr>
          <w:rFonts w:asciiTheme="minorHAnsi" w:hAnsiTheme="minorHAnsi" w:cstheme="minorHAnsi"/>
          <w:color w:val="000000"/>
          <w:sz w:val="22"/>
          <w:szCs w:val="22"/>
        </w:rPr>
        <w:t xml:space="preserve"> dėl to, kad </w:t>
      </w:r>
      <w:r w:rsidR="00C757B5" w:rsidRPr="00353B65">
        <w:rPr>
          <w:rFonts w:asciiTheme="minorHAnsi" w:hAnsiTheme="minorHAnsi" w:cstheme="minorHAnsi"/>
          <w:color w:val="000000"/>
          <w:sz w:val="22"/>
          <w:szCs w:val="22"/>
        </w:rPr>
        <w:t>DB kelis kartus paprašė nukelti jo apklausos, į kurią jis buvo kviečiamas kaip apie faktines aplinkybes informuotas asmuo, datą, o atvykęs į apklausą</w:t>
      </w:r>
      <w:r w:rsidR="00C716E8" w:rsidRPr="00353B65">
        <w:rPr>
          <w:rFonts w:asciiTheme="minorHAnsi" w:hAnsiTheme="minorHAnsi" w:cstheme="minorHAnsi"/>
          <w:color w:val="000000"/>
          <w:sz w:val="22"/>
          <w:szCs w:val="22"/>
        </w:rPr>
        <w:t xml:space="preserve">, </w:t>
      </w:r>
      <w:r w:rsidR="00C757B5" w:rsidRPr="00353B65">
        <w:rPr>
          <w:rFonts w:asciiTheme="minorHAnsi" w:hAnsiTheme="minorHAnsi" w:cstheme="minorHAnsi"/>
          <w:color w:val="000000"/>
          <w:sz w:val="22"/>
          <w:szCs w:val="22"/>
        </w:rPr>
        <w:t>atsisakė atsakyti į pateiktus klausimus.</w:t>
      </w:r>
    </w:p>
    <w:p w14:paraId="72B0838E" w14:textId="4D3AD505" w:rsidR="0064540C" w:rsidRPr="00353B65" w:rsidRDefault="00C757B5" w:rsidP="0064540C">
      <w:pPr>
        <w:pStyle w:val="c02alineaalta"/>
        <w:spacing w:before="0" w:beforeAutospacing="0" w:after="0" w:afterAutospacing="0"/>
        <w:ind w:firstLine="567"/>
        <w:jc w:val="both"/>
        <w:rPr>
          <w:rFonts w:asciiTheme="minorHAnsi" w:hAnsiTheme="minorHAnsi" w:cstheme="minorHAnsi"/>
          <w:color w:val="000000"/>
          <w:sz w:val="22"/>
          <w:szCs w:val="22"/>
        </w:rPr>
      </w:pPr>
      <w:r w:rsidRPr="00353B65">
        <w:rPr>
          <w:rFonts w:asciiTheme="minorHAnsi" w:hAnsiTheme="minorHAnsi" w:cstheme="minorHAnsi"/>
          <w:color w:val="000000"/>
          <w:sz w:val="22"/>
          <w:szCs w:val="22"/>
        </w:rPr>
        <w:t>Atmetus DB skundą dėl šių sankcijų, jis pateikė kasacinį skundą </w:t>
      </w:r>
      <w:r w:rsidR="0064540C" w:rsidRPr="00353B65">
        <w:rPr>
          <w:rFonts w:asciiTheme="minorHAnsi" w:hAnsiTheme="minorHAnsi" w:cstheme="minorHAnsi"/>
          <w:color w:val="000000"/>
          <w:sz w:val="22"/>
          <w:szCs w:val="22"/>
        </w:rPr>
        <w:t xml:space="preserve">Italijos </w:t>
      </w:r>
      <w:r w:rsidRPr="00353B65">
        <w:rPr>
          <w:rFonts w:asciiTheme="minorHAnsi" w:hAnsiTheme="minorHAnsi" w:cstheme="minorHAnsi"/>
          <w:color w:val="000000"/>
          <w:sz w:val="22"/>
          <w:szCs w:val="22"/>
        </w:rPr>
        <w:t>Kasacini</w:t>
      </w:r>
      <w:r w:rsidR="0064540C" w:rsidRPr="00353B65">
        <w:rPr>
          <w:rFonts w:asciiTheme="minorHAnsi" w:hAnsiTheme="minorHAnsi" w:cstheme="minorHAnsi"/>
          <w:color w:val="000000"/>
          <w:sz w:val="22"/>
          <w:szCs w:val="22"/>
        </w:rPr>
        <w:t xml:space="preserve">am </w:t>
      </w:r>
      <w:r w:rsidRPr="00353B65">
        <w:rPr>
          <w:rFonts w:asciiTheme="minorHAnsi" w:hAnsiTheme="minorHAnsi" w:cstheme="minorHAnsi"/>
          <w:color w:val="000000"/>
          <w:sz w:val="22"/>
          <w:szCs w:val="22"/>
        </w:rPr>
        <w:t>Teism</w:t>
      </w:r>
      <w:r w:rsidR="0064540C" w:rsidRPr="00353B65">
        <w:rPr>
          <w:rFonts w:asciiTheme="minorHAnsi" w:hAnsiTheme="minorHAnsi" w:cstheme="minorHAnsi"/>
          <w:color w:val="000000"/>
          <w:sz w:val="22"/>
          <w:szCs w:val="22"/>
        </w:rPr>
        <w:t>ui</w:t>
      </w:r>
      <w:r w:rsidR="001D17E9" w:rsidRPr="00353B65">
        <w:rPr>
          <w:rFonts w:asciiTheme="minorHAnsi" w:hAnsiTheme="minorHAnsi" w:cstheme="minorHAnsi"/>
          <w:color w:val="000000"/>
          <w:sz w:val="22"/>
          <w:szCs w:val="22"/>
        </w:rPr>
        <w:t xml:space="preserve">, kuris </w:t>
      </w:r>
      <w:r w:rsidRPr="00353B65">
        <w:rPr>
          <w:rFonts w:asciiTheme="minorHAnsi" w:hAnsiTheme="minorHAnsi" w:cstheme="minorHAnsi"/>
          <w:color w:val="000000"/>
          <w:sz w:val="22"/>
          <w:szCs w:val="22"/>
        </w:rPr>
        <w:t>pateikė</w:t>
      </w:r>
      <w:r w:rsidR="0064540C" w:rsidRPr="00353B65">
        <w:rPr>
          <w:rFonts w:asciiTheme="minorHAnsi" w:hAnsiTheme="minorHAnsi" w:cstheme="minorHAnsi"/>
          <w:color w:val="000000"/>
          <w:sz w:val="22"/>
          <w:szCs w:val="22"/>
        </w:rPr>
        <w:t xml:space="preserve"> Italijos </w:t>
      </w:r>
      <w:r w:rsidRPr="00353B65">
        <w:rPr>
          <w:rFonts w:asciiTheme="minorHAnsi" w:hAnsiTheme="minorHAnsi" w:cstheme="minorHAnsi"/>
          <w:color w:val="000000"/>
          <w:sz w:val="22"/>
          <w:szCs w:val="22"/>
        </w:rPr>
        <w:t>Konstitucini</w:t>
      </w:r>
      <w:r w:rsidR="0064540C" w:rsidRPr="00353B65">
        <w:rPr>
          <w:rFonts w:asciiTheme="minorHAnsi" w:hAnsiTheme="minorHAnsi" w:cstheme="minorHAnsi"/>
          <w:color w:val="000000"/>
          <w:sz w:val="22"/>
          <w:szCs w:val="22"/>
        </w:rPr>
        <w:t>am T</w:t>
      </w:r>
      <w:r w:rsidRPr="00353B65">
        <w:rPr>
          <w:rFonts w:asciiTheme="minorHAnsi" w:hAnsiTheme="minorHAnsi" w:cstheme="minorHAnsi"/>
          <w:color w:val="000000"/>
          <w:sz w:val="22"/>
          <w:szCs w:val="22"/>
        </w:rPr>
        <w:t>eism</w:t>
      </w:r>
      <w:r w:rsidR="0064540C" w:rsidRPr="00353B65">
        <w:rPr>
          <w:rFonts w:asciiTheme="minorHAnsi" w:hAnsiTheme="minorHAnsi" w:cstheme="minorHAnsi"/>
          <w:color w:val="000000"/>
          <w:sz w:val="22"/>
          <w:szCs w:val="22"/>
        </w:rPr>
        <w:t xml:space="preserve">ui </w:t>
      </w:r>
      <w:r w:rsidRPr="00353B65">
        <w:rPr>
          <w:rFonts w:asciiTheme="minorHAnsi" w:hAnsiTheme="minorHAnsi" w:cstheme="minorHAnsi"/>
          <w:color w:val="000000"/>
          <w:sz w:val="22"/>
          <w:szCs w:val="22"/>
        </w:rPr>
        <w:t>papildomą konstitucingumo klausimą, susijusį su Italijos teisės nuostata, kuria remiantis buvo skirta sankcija dėl nebendradarbiavimo. Pagal šią nuostatą turi būti baudžiamas asmuo, kuris laiku nevykdo </w:t>
      </w:r>
      <w:r w:rsidRPr="00353B65">
        <w:rPr>
          <w:rFonts w:asciiTheme="minorHAnsi" w:hAnsiTheme="minorHAnsi" w:cstheme="minorHAnsi"/>
          <w:i/>
          <w:iCs/>
          <w:color w:val="000000"/>
          <w:sz w:val="22"/>
          <w:szCs w:val="22"/>
        </w:rPr>
        <w:t>Consob</w:t>
      </w:r>
      <w:r w:rsidRPr="00353B65">
        <w:rPr>
          <w:rFonts w:asciiTheme="minorHAnsi" w:hAnsiTheme="minorHAnsi" w:cstheme="minorHAnsi"/>
          <w:color w:val="000000"/>
          <w:sz w:val="22"/>
          <w:szCs w:val="22"/>
        </w:rPr>
        <w:t> reikalavimų arba dėl kurio uždelsiamas jos priežiūros funkcijų vykdymas, įskaitant asmenį, kurį </w:t>
      </w:r>
      <w:r w:rsidRPr="00353B65">
        <w:rPr>
          <w:rFonts w:asciiTheme="minorHAnsi" w:hAnsiTheme="minorHAnsi" w:cstheme="minorHAnsi"/>
          <w:i/>
          <w:iCs/>
          <w:color w:val="000000"/>
          <w:sz w:val="22"/>
          <w:szCs w:val="22"/>
        </w:rPr>
        <w:t>Consob</w:t>
      </w:r>
      <w:r w:rsidRPr="00353B65">
        <w:rPr>
          <w:rFonts w:asciiTheme="minorHAnsi" w:hAnsiTheme="minorHAnsi" w:cstheme="minorHAnsi"/>
          <w:color w:val="000000"/>
          <w:sz w:val="22"/>
          <w:szCs w:val="22"/>
        </w:rPr>
        <w:t>, vykdydama savo funkcijas, kaltina pažeidimo dėl prekybos vertybiniais popieriais pasinaudojant viešai neatskleista informacija padarymu.</w:t>
      </w:r>
    </w:p>
    <w:p w14:paraId="262E47B2" w14:textId="2DDDC519" w:rsidR="00C716E8" w:rsidRPr="00353B65" w:rsidRDefault="001D17E9" w:rsidP="0064540C">
      <w:pPr>
        <w:pStyle w:val="c02alineaalta"/>
        <w:spacing w:before="0" w:beforeAutospacing="0" w:after="0" w:afterAutospacing="0"/>
        <w:ind w:firstLine="567"/>
        <w:jc w:val="both"/>
        <w:rPr>
          <w:rFonts w:asciiTheme="minorHAnsi" w:hAnsiTheme="minorHAnsi" w:cstheme="minorHAnsi"/>
          <w:color w:val="000000"/>
          <w:sz w:val="22"/>
          <w:szCs w:val="22"/>
        </w:rPr>
      </w:pPr>
      <w:r w:rsidRPr="00353B65">
        <w:rPr>
          <w:rFonts w:asciiTheme="minorHAnsi" w:hAnsiTheme="minorHAnsi" w:cstheme="minorHAnsi"/>
          <w:color w:val="000000"/>
          <w:sz w:val="22"/>
          <w:szCs w:val="22"/>
        </w:rPr>
        <w:t>P</w:t>
      </w:r>
      <w:r w:rsidR="00C757B5" w:rsidRPr="00353B65">
        <w:rPr>
          <w:rFonts w:asciiTheme="minorHAnsi" w:hAnsiTheme="minorHAnsi" w:cstheme="minorHAnsi"/>
          <w:color w:val="000000"/>
          <w:sz w:val="22"/>
          <w:szCs w:val="22"/>
        </w:rPr>
        <w:t xml:space="preserve">agal Italijos teisę prekyba vertybiniais popieriais pasinaudojant viešai neatskleista informacija yra ir administracinis pažeidimas, ir baudžiamasis nusižengimas. </w:t>
      </w:r>
      <w:r w:rsidRPr="00353B65">
        <w:rPr>
          <w:rFonts w:asciiTheme="minorHAnsi" w:hAnsiTheme="minorHAnsi" w:cstheme="minorHAnsi"/>
          <w:color w:val="000000"/>
          <w:sz w:val="22"/>
          <w:szCs w:val="22"/>
        </w:rPr>
        <w:t>A</w:t>
      </w:r>
      <w:r w:rsidR="00C757B5" w:rsidRPr="00353B65">
        <w:rPr>
          <w:rFonts w:asciiTheme="minorHAnsi" w:hAnsiTheme="minorHAnsi" w:cstheme="minorHAnsi"/>
          <w:color w:val="000000"/>
          <w:sz w:val="22"/>
          <w:szCs w:val="22"/>
        </w:rPr>
        <w:t xml:space="preserve">ptariama </w:t>
      </w:r>
      <w:r w:rsidRPr="00353B65">
        <w:rPr>
          <w:rFonts w:asciiTheme="minorHAnsi" w:hAnsiTheme="minorHAnsi" w:cstheme="minorHAnsi"/>
          <w:color w:val="000000"/>
          <w:sz w:val="22"/>
          <w:szCs w:val="22"/>
        </w:rPr>
        <w:t xml:space="preserve">nacionalinė </w:t>
      </w:r>
      <w:r w:rsidR="00C757B5" w:rsidRPr="00353B65">
        <w:rPr>
          <w:rFonts w:asciiTheme="minorHAnsi" w:hAnsiTheme="minorHAnsi" w:cstheme="minorHAnsi"/>
          <w:color w:val="000000"/>
          <w:sz w:val="22"/>
          <w:szCs w:val="22"/>
        </w:rPr>
        <w:t>nuostata buvo priimt</w:t>
      </w:r>
      <w:r w:rsidR="00253301" w:rsidRPr="00353B65">
        <w:rPr>
          <w:rFonts w:asciiTheme="minorHAnsi" w:hAnsiTheme="minorHAnsi" w:cstheme="minorHAnsi"/>
          <w:color w:val="000000"/>
          <w:sz w:val="22"/>
          <w:szCs w:val="22"/>
        </w:rPr>
        <w:t xml:space="preserve">, </w:t>
      </w:r>
      <w:r w:rsidR="00C757B5" w:rsidRPr="00353B65">
        <w:rPr>
          <w:rFonts w:asciiTheme="minorHAnsi" w:hAnsiTheme="minorHAnsi" w:cstheme="minorHAnsi"/>
          <w:color w:val="000000"/>
          <w:sz w:val="22"/>
          <w:szCs w:val="22"/>
        </w:rPr>
        <w:t>įgyvendinant Direktyvoje 2003/6</w:t>
      </w:r>
      <w:r w:rsidR="0064540C" w:rsidRPr="00353B65">
        <w:rPr>
          <w:rStyle w:val="Puslapioinaosnuoroda"/>
          <w:rFonts w:asciiTheme="minorHAnsi" w:hAnsiTheme="minorHAnsi" w:cstheme="minorHAnsi"/>
          <w:color w:val="000000"/>
          <w:sz w:val="22"/>
          <w:szCs w:val="22"/>
        </w:rPr>
        <w:footnoteReference w:id="25"/>
      </w:r>
      <w:r w:rsidR="000167B3" w:rsidRPr="00353B65">
        <w:rPr>
          <w:rFonts w:asciiTheme="minorHAnsi" w:hAnsiTheme="minorHAnsi" w:cstheme="minorHAnsi"/>
          <w:color w:val="000000"/>
          <w:sz w:val="22"/>
          <w:szCs w:val="22"/>
        </w:rPr>
        <w:t xml:space="preserve"> </w:t>
      </w:r>
      <w:r w:rsidR="00C757B5" w:rsidRPr="00353B65">
        <w:rPr>
          <w:rFonts w:asciiTheme="minorHAnsi" w:hAnsiTheme="minorHAnsi" w:cstheme="minorHAnsi"/>
          <w:color w:val="000000"/>
          <w:sz w:val="22"/>
          <w:szCs w:val="22"/>
        </w:rPr>
        <w:t>nustatytą specialią pareigą ir šiuo metu ja konkrečiai įgyvendinama Reglamento Nr. 596/2014 nuostata</w:t>
      </w:r>
      <w:r w:rsidR="000167B3" w:rsidRPr="00353B65">
        <w:rPr>
          <w:rStyle w:val="Puslapioinaosnuoroda"/>
          <w:rFonts w:asciiTheme="minorHAnsi" w:hAnsiTheme="minorHAnsi" w:cstheme="minorHAnsi"/>
          <w:color w:val="000000"/>
          <w:sz w:val="22"/>
          <w:szCs w:val="22"/>
        </w:rPr>
        <w:footnoteReference w:id="26"/>
      </w:r>
      <w:r w:rsidR="00C757B5" w:rsidRPr="00353B65">
        <w:rPr>
          <w:rFonts w:asciiTheme="minorHAnsi" w:hAnsiTheme="minorHAnsi" w:cstheme="minorHAnsi"/>
          <w:color w:val="000000"/>
          <w:sz w:val="22"/>
          <w:szCs w:val="22"/>
        </w:rPr>
        <w:t>. Jis Teisingumo Teismui pateikė klausimą dėl šių teisės aktų atitikties Europos Sąjungos pagrindinių teisių chartijai (toliau – Chartija), konkrečiai – teisei tylėti.</w:t>
      </w:r>
    </w:p>
    <w:p w14:paraId="39703635" w14:textId="77777777" w:rsidR="00F4124A" w:rsidRPr="00353B65" w:rsidRDefault="00F4124A" w:rsidP="000167B3">
      <w:pPr>
        <w:pStyle w:val="c02alineaalta"/>
        <w:spacing w:before="0" w:beforeAutospacing="0" w:after="0" w:afterAutospacing="0"/>
        <w:ind w:firstLine="567"/>
        <w:jc w:val="both"/>
        <w:rPr>
          <w:rFonts w:asciiTheme="minorHAnsi" w:hAnsiTheme="minorHAnsi" w:cstheme="minorHAnsi"/>
          <w:color w:val="000000"/>
          <w:sz w:val="22"/>
          <w:szCs w:val="22"/>
        </w:rPr>
      </w:pPr>
    </w:p>
    <w:p w14:paraId="1651BDC9" w14:textId="37AFF489" w:rsidR="00EB7006" w:rsidRDefault="00C757B5" w:rsidP="00DC60D8">
      <w:pPr>
        <w:pStyle w:val="c02alineaalta"/>
        <w:spacing w:before="0" w:beforeAutospacing="0" w:after="0" w:afterAutospacing="0"/>
        <w:jc w:val="center"/>
        <w:rPr>
          <w:rFonts w:asciiTheme="minorHAnsi" w:hAnsiTheme="minorHAnsi" w:cstheme="minorHAnsi"/>
          <w:b/>
          <w:bCs/>
          <w:color w:val="000000"/>
          <w:sz w:val="22"/>
          <w:szCs w:val="22"/>
        </w:rPr>
      </w:pPr>
      <w:r w:rsidRPr="00353B65">
        <w:rPr>
          <w:rFonts w:asciiTheme="minorHAnsi" w:hAnsiTheme="minorHAnsi" w:cstheme="minorHAnsi"/>
          <w:b/>
          <w:bCs/>
          <w:color w:val="000000"/>
          <w:sz w:val="22"/>
          <w:szCs w:val="22"/>
        </w:rPr>
        <w:t>Teisingumo Teismo vertinimas</w:t>
      </w:r>
      <w:r w:rsidR="006C6208" w:rsidRPr="006C6208">
        <w:rPr>
          <w:rStyle w:val="Puslapioinaosnuoroda"/>
          <w:rFonts w:asciiTheme="minorHAnsi" w:hAnsiTheme="minorHAnsi" w:cstheme="minorHAnsi"/>
          <w:color w:val="000000"/>
          <w:szCs w:val="22"/>
        </w:rPr>
        <w:footnoteReference w:id="27"/>
      </w:r>
    </w:p>
    <w:p w14:paraId="2B52F7C1" w14:textId="77777777" w:rsidR="00963B91" w:rsidRPr="00353B65" w:rsidRDefault="00963B91" w:rsidP="00DC60D8">
      <w:pPr>
        <w:pStyle w:val="c02alineaalta"/>
        <w:spacing w:before="0" w:beforeAutospacing="0" w:after="0" w:afterAutospacing="0"/>
        <w:jc w:val="center"/>
        <w:rPr>
          <w:rFonts w:asciiTheme="minorHAnsi" w:hAnsiTheme="minorHAnsi" w:cstheme="minorHAnsi"/>
          <w:color w:val="000000"/>
          <w:sz w:val="22"/>
          <w:szCs w:val="22"/>
        </w:rPr>
      </w:pPr>
    </w:p>
    <w:p w14:paraId="166E7763" w14:textId="77777777" w:rsidR="00EB7006" w:rsidRPr="00963B91" w:rsidRDefault="00EB7006" w:rsidP="00963B91">
      <w:pPr>
        <w:pStyle w:val="Antrat3"/>
        <w:ind w:firstLine="567"/>
      </w:pPr>
      <w:bookmarkStart w:id="61" w:name="_Toc85700962"/>
      <w:r w:rsidRPr="00963B91">
        <w:t>Dėl fizinio asmens, kurio atžvilgiu atliekamas administracinis tyrimas dėl prekybos vertybiniais popieriais pasinaudojant viešai neatskleista informacija pažeidimo, teisės tylėti, jei iš jo atsakymų gali paaiškėti jo atsakomybė už pažeidimą, už kurį gali būti skirtos baudžiamojo pobūdžio administracinės sankcijos, arba gali kilti jo baudžiamoji atsakomybė</w:t>
      </w:r>
      <w:bookmarkEnd w:id="61"/>
    </w:p>
    <w:p w14:paraId="3A180271" w14:textId="77777777" w:rsidR="00963B91" w:rsidRDefault="00963B91" w:rsidP="00BB73E8">
      <w:pPr>
        <w:pStyle w:val="c02alineaalta"/>
        <w:spacing w:before="0" w:beforeAutospacing="0" w:after="0" w:afterAutospacing="0"/>
        <w:ind w:firstLine="567"/>
        <w:jc w:val="both"/>
        <w:rPr>
          <w:rFonts w:asciiTheme="minorHAnsi" w:hAnsiTheme="minorHAnsi" w:cstheme="minorHAnsi"/>
          <w:color w:val="000000"/>
          <w:sz w:val="22"/>
          <w:szCs w:val="22"/>
        </w:rPr>
      </w:pPr>
    </w:p>
    <w:p w14:paraId="25F128B6" w14:textId="7B39960C" w:rsidR="00BB73E8" w:rsidRPr="00353B65" w:rsidRDefault="00C757B5" w:rsidP="00BB73E8">
      <w:pPr>
        <w:pStyle w:val="c02alineaalta"/>
        <w:spacing w:before="0" w:beforeAutospacing="0" w:after="0" w:afterAutospacing="0"/>
        <w:ind w:firstLine="567"/>
        <w:jc w:val="both"/>
        <w:rPr>
          <w:rFonts w:asciiTheme="minorHAnsi" w:hAnsiTheme="minorHAnsi" w:cstheme="minorHAnsi"/>
          <w:color w:val="000000"/>
          <w:sz w:val="22"/>
          <w:szCs w:val="22"/>
        </w:rPr>
      </w:pPr>
      <w:r w:rsidRPr="00353B65">
        <w:rPr>
          <w:rFonts w:asciiTheme="minorHAnsi" w:hAnsiTheme="minorHAnsi" w:cstheme="minorHAnsi"/>
          <w:color w:val="000000"/>
          <w:sz w:val="22"/>
          <w:szCs w:val="22"/>
        </w:rPr>
        <w:t>Atsižvelgdamas į Europos Žmogaus Teisių Teismo jurisprudenciją, susijusią su teise į teisingą bylos nagrinėjimą</w:t>
      </w:r>
      <w:r w:rsidR="000167B3" w:rsidRPr="00353B65">
        <w:rPr>
          <w:rFonts w:asciiTheme="minorHAnsi" w:hAnsiTheme="minorHAnsi" w:cstheme="minorHAnsi"/>
          <w:color w:val="000000"/>
          <w:sz w:val="22"/>
          <w:szCs w:val="22"/>
        </w:rPr>
        <w:t xml:space="preserve">, įtvirtintą Europos žmogaus teisių ir pagrindinių laisvių apsaugos konvencijos 6 straipsnyje, </w:t>
      </w:r>
      <w:r w:rsidRPr="00353B65">
        <w:rPr>
          <w:rFonts w:asciiTheme="minorHAnsi" w:hAnsiTheme="minorHAnsi" w:cstheme="minorHAnsi"/>
          <w:color w:val="000000"/>
          <w:sz w:val="22"/>
          <w:szCs w:val="22"/>
        </w:rPr>
        <w:t xml:space="preserve">Teisingumo Teismas konstatavo, kad teisė tylėti, kuri yra teisingo bylos nagrinėjimo sąvokos esmė, draudžia, be kita ko, nubausti „kaltinamą“ fizinį asmenį už atsisakymą kompetentingai institucijai pagal Direktyvą 2003/6 arba Reglamentą Nr. 596/2014 pateikti atsakymus, iš kurių gali paaiškėti jo atsakomybė už pažeidimą, už kurį baudžiama baudžiamojo pobūdžio administracinėmis sankcijomis, arba dėl kurių gali kilti jo baudžiamoji atsakomybė. Šiuo klausimu Teisingumo Teismas patikslino, kad jurisprudencija, susijusi su įmonių pareiga per procedūras, per kurias gali būti skirtos sankcijos už antikonkurencinius veiksmus, pateikti informaciją, kuria vėliau galėtų būti pasinaudota siekiant nustatyti jų atsakomybę už tokius veiksmus, negali būti taikoma pagal analogiją, kai siekiama nustatyti fizinių asmenų, kuriems taikoma procedūra dėl prekybos vertybiniais popieriais pasinaudojant viešai neatskleista informacija pažeidimo, teisės tylėti apimtį. Teisingumo Teismas </w:t>
      </w:r>
      <w:r w:rsidR="00115851">
        <w:rPr>
          <w:rFonts w:asciiTheme="minorHAnsi" w:hAnsiTheme="minorHAnsi" w:cstheme="minorHAnsi"/>
          <w:color w:val="000000"/>
          <w:sz w:val="22"/>
          <w:szCs w:val="22"/>
        </w:rPr>
        <w:t>pažymėjo ir tai</w:t>
      </w:r>
      <w:r w:rsidRPr="00353B65">
        <w:rPr>
          <w:rFonts w:asciiTheme="minorHAnsi" w:hAnsiTheme="minorHAnsi" w:cstheme="minorHAnsi"/>
          <w:color w:val="000000"/>
          <w:sz w:val="22"/>
          <w:szCs w:val="22"/>
        </w:rPr>
        <w:t xml:space="preserve">, kad vis dėlto </w:t>
      </w:r>
      <w:r w:rsidRPr="00115851">
        <w:rPr>
          <w:rFonts w:asciiTheme="minorHAnsi" w:hAnsiTheme="minorHAnsi" w:cstheme="minorHAnsi"/>
          <w:color w:val="000000"/>
          <w:sz w:val="22"/>
          <w:szCs w:val="22"/>
          <w:u w:val="single"/>
        </w:rPr>
        <w:t>teise tylėti negalima pateisinti bet kokio nebendradarbiavimo su kompetentingomis institucijomis, pavyzdžiui, atsisakymo atvykti į jų numatytą žodinę apklausą ar vilkinimo veiksmų, kuriais siekiama atidėti jų apklausą</w:t>
      </w:r>
      <w:r w:rsidRPr="00353B65">
        <w:rPr>
          <w:rFonts w:asciiTheme="minorHAnsi" w:hAnsiTheme="minorHAnsi" w:cstheme="minorHAnsi"/>
          <w:color w:val="000000"/>
          <w:sz w:val="22"/>
          <w:szCs w:val="22"/>
        </w:rPr>
        <w:t>.</w:t>
      </w:r>
    </w:p>
    <w:p w14:paraId="5B6AA21D" w14:textId="6A003B55" w:rsidR="00C757B5" w:rsidRPr="00353B65" w:rsidRDefault="00C757B5" w:rsidP="00BB73E8">
      <w:pPr>
        <w:pStyle w:val="c02alineaalta"/>
        <w:spacing w:before="0" w:beforeAutospacing="0" w:after="0" w:afterAutospacing="0"/>
        <w:ind w:firstLine="567"/>
        <w:jc w:val="both"/>
        <w:rPr>
          <w:rFonts w:asciiTheme="minorHAnsi" w:hAnsiTheme="minorHAnsi" w:cstheme="minorHAnsi"/>
          <w:color w:val="000000"/>
          <w:sz w:val="22"/>
          <w:szCs w:val="22"/>
        </w:rPr>
      </w:pPr>
      <w:r w:rsidRPr="00353B65">
        <w:rPr>
          <w:rFonts w:asciiTheme="minorHAnsi" w:hAnsiTheme="minorHAnsi" w:cstheme="minorHAnsi"/>
          <w:color w:val="000000"/>
          <w:sz w:val="22"/>
          <w:szCs w:val="22"/>
        </w:rPr>
        <w:t xml:space="preserve">Galiausiai Teisingumo Teismas pažymėjo, kad Direktyva 2003/6 ir Reglamentas Nr. 596/2014 turėtų būti aiškinami taip, kad jie atitiktų teisę tylėti, t. y. kad pagal juos </w:t>
      </w:r>
      <w:r w:rsidRPr="00115851">
        <w:rPr>
          <w:rFonts w:asciiTheme="minorHAnsi" w:hAnsiTheme="minorHAnsi" w:cstheme="minorHAnsi"/>
          <w:color w:val="000000"/>
          <w:sz w:val="22"/>
          <w:szCs w:val="22"/>
          <w:u w:val="single"/>
        </w:rPr>
        <w:t>nereikalaujama bausti fizinio asmens, kuris atsisako pateikti kompetentingai institucijai atsakymus, dėl kurių gali kilti jo atsakomybė už pažeidimą, už kurį skiriamos baudžiamojo pobūdžio sankcijos, arba gali kilti jo baudžiamoji atsakomybė</w:t>
      </w:r>
      <w:r w:rsidRPr="00353B65">
        <w:rPr>
          <w:rFonts w:asciiTheme="minorHAnsi" w:hAnsiTheme="minorHAnsi" w:cstheme="minorHAnsi"/>
          <w:color w:val="000000"/>
          <w:sz w:val="22"/>
          <w:szCs w:val="22"/>
        </w:rPr>
        <w:t>. Šiomis sąlygomis šių teisės aktų galiojimui nedaro poveikio tai, kad juose nėra aiškiai atmesta galimybė skirti sankciją už tokį atsisakymą. Valstybės narės turi užtikrinti, kad fizinis asmuo negalėtų būti baudžiamas už atsisakymą pateikti tokius atsakymus kompetentingai valdžios institucijai.</w:t>
      </w:r>
    </w:p>
    <w:p w14:paraId="78BECEC3" w14:textId="2E02C3AB" w:rsidR="007D20F3" w:rsidRPr="00353B65" w:rsidRDefault="003347AD" w:rsidP="00C757B5">
      <w:pPr>
        <w:pStyle w:val="c02alineaalta"/>
        <w:spacing w:before="0" w:beforeAutospacing="0" w:after="240" w:afterAutospacing="0"/>
        <w:ind w:left="567"/>
        <w:jc w:val="both"/>
        <w:rPr>
          <w:rFonts w:asciiTheme="minorHAnsi" w:hAnsiTheme="minorHAnsi" w:cstheme="minorHAnsi"/>
          <w:color w:val="000000"/>
          <w:sz w:val="22"/>
          <w:szCs w:val="22"/>
        </w:rPr>
      </w:pPr>
      <w:hyperlink r:id="rId26" w:history="1">
        <w:r w:rsidR="00DC60D8">
          <w:rPr>
            <w:rStyle w:val="Hipersaitas"/>
            <w:rFonts w:asciiTheme="minorHAnsi" w:hAnsiTheme="minorHAnsi" w:cstheme="minorHAnsi"/>
            <w:sz w:val="22"/>
            <w:szCs w:val="22"/>
          </w:rPr>
          <w:t>Prieiga internete</w:t>
        </w:r>
      </w:hyperlink>
      <w:r w:rsidR="007848E7" w:rsidRPr="00353B65">
        <w:rPr>
          <w:rFonts w:asciiTheme="minorHAnsi" w:hAnsiTheme="minorHAnsi" w:cstheme="minorHAnsi"/>
          <w:color w:val="000000"/>
          <w:sz w:val="22"/>
          <w:szCs w:val="22"/>
        </w:rPr>
        <w:t xml:space="preserve"> </w:t>
      </w:r>
    </w:p>
    <w:p w14:paraId="6A2D009C" w14:textId="65CEBA90" w:rsidR="002C6C8D" w:rsidRPr="00353B65" w:rsidRDefault="002C6C8D" w:rsidP="00410FED">
      <w:pPr>
        <w:pStyle w:val="Antrat1"/>
      </w:pPr>
      <w:bookmarkStart w:id="62" w:name="_Toc85700963"/>
      <w:r w:rsidRPr="00410FED">
        <w:t>TRANSPORTAS</w:t>
      </w:r>
      <w:bookmarkEnd w:id="62"/>
    </w:p>
    <w:p w14:paraId="5B7D3D6F" w14:textId="77777777" w:rsidR="002C6C8D" w:rsidRPr="00353B65" w:rsidRDefault="002C6C8D" w:rsidP="002C6C8D">
      <w:pPr>
        <w:tabs>
          <w:tab w:val="left" w:pos="6379"/>
        </w:tabs>
        <w:ind w:firstLine="540"/>
        <w:rPr>
          <w:rFonts w:asciiTheme="minorHAnsi" w:hAnsiTheme="minorHAnsi" w:cstheme="minorHAnsi"/>
        </w:rPr>
      </w:pPr>
    </w:p>
    <w:p w14:paraId="6EAAA037" w14:textId="03571E7D" w:rsidR="002C6C8D" w:rsidRPr="00963B91" w:rsidRDefault="002C6C8D" w:rsidP="00963B91">
      <w:pPr>
        <w:pStyle w:val="Antrat1"/>
      </w:pPr>
      <w:bookmarkStart w:id="63" w:name="_Toc85700964"/>
      <w:r w:rsidRPr="00353B65">
        <w:t xml:space="preserve">2021 m. kovo 24 d. sprendimas </w:t>
      </w:r>
      <w:r w:rsidRPr="00410FED">
        <w:t>sujungtose</w:t>
      </w:r>
      <w:r w:rsidRPr="00353B65">
        <w:t xml:space="preserve"> bylose</w:t>
      </w:r>
      <w:r w:rsidR="009A4386" w:rsidRPr="009A4386">
        <w:t xml:space="preserve"> </w:t>
      </w:r>
      <w:r w:rsidR="009A4386" w:rsidRPr="00DC60D8">
        <w:rPr>
          <w:i/>
          <w:iCs/>
        </w:rPr>
        <w:t>Prefettura Ufficio territoriale del governo di Firenze</w:t>
      </w:r>
      <w:r w:rsidR="00963B91">
        <w:rPr>
          <w:i/>
          <w:iCs/>
        </w:rPr>
        <w:t xml:space="preserve">, </w:t>
      </w:r>
      <w:r w:rsidRPr="00177F84">
        <w:rPr>
          <w:bCs/>
        </w:rPr>
        <w:t>C</w:t>
      </w:r>
      <w:r w:rsidRPr="00177F84">
        <w:rPr>
          <w:rFonts w:ascii="Cambria Math" w:hAnsi="Cambria Math" w:cs="Cambria Math"/>
          <w:bCs/>
        </w:rPr>
        <w:t>‑</w:t>
      </w:r>
      <w:r w:rsidRPr="00177F84">
        <w:rPr>
          <w:bCs/>
        </w:rPr>
        <w:t>870/19 ir C</w:t>
      </w:r>
      <w:r w:rsidRPr="00177F84">
        <w:rPr>
          <w:rFonts w:ascii="Cambria Math" w:hAnsi="Cambria Math" w:cs="Cambria Math"/>
          <w:bCs/>
        </w:rPr>
        <w:t>‑</w:t>
      </w:r>
      <w:r w:rsidRPr="00177F84">
        <w:rPr>
          <w:bCs/>
        </w:rPr>
        <w:t>871/19</w:t>
      </w:r>
      <w:bookmarkEnd w:id="63"/>
    </w:p>
    <w:p w14:paraId="10B29EF9" w14:textId="77777777" w:rsidR="009A4386" w:rsidRDefault="009A4386" w:rsidP="002C6C8D">
      <w:pPr>
        <w:tabs>
          <w:tab w:val="left" w:pos="6379"/>
        </w:tabs>
        <w:ind w:firstLine="540"/>
        <w:rPr>
          <w:rFonts w:asciiTheme="minorHAnsi" w:hAnsiTheme="minorHAnsi" w:cstheme="minorHAnsi"/>
        </w:rPr>
      </w:pPr>
    </w:p>
    <w:p w14:paraId="2C27BF28" w14:textId="17C0FB18" w:rsidR="002C6C8D" w:rsidRPr="00DC60D8" w:rsidRDefault="00DC60D8" w:rsidP="00DC60D8">
      <w:pPr>
        <w:tabs>
          <w:tab w:val="left" w:pos="6379"/>
        </w:tabs>
        <w:ind w:firstLine="540"/>
        <w:rPr>
          <w:rFonts w:asciiTheme="minorHAnsi" w:hAnsiTheme="minorHAnsi" w:cstheme="minorHAnsi"/>
        </w:rPr>
      </w:pPr>
      <w:r w:rsidRPr="00DC60D8">
        <w:rPr>
          <w:rFonts w:asciiTheme="minorHAnsi" w:hAnsiTheme="minorHAnsi" w:cstheme="minorHAnsi"/>
        </w:rPr>
        <w:t>Kelių transporto priemonėse naudojami tachografai – Reglamentas (EEB) Nr. 3821/85 – 15 straipsnio 7 dalis – Reglamentas (EB) Nr. 561/2006 – Kontrolės vykdymo tvarka – Administracinė sankcija – Tachografo registracijos lapų už einamąją dieną ir prieš tai ėjusias 28 dienas nepateikimas – Vienas ar keli pažeidimai</w:t>
      </w:r>
    </w:p>
    <w:p w14:paraId="0D7D54AF" w14:textId="77777777" w:rsidR="00DC60D8" w:rsidRDefault="00DC60D8" w:rsidP="00DC60D8">
      <w:pPr>
        <w:tabs>
          <w:tab w:val="left" w:pos="6379"/>
        </w:tabs>
        <w:jc w:val="center"/>
        <w:rPr>
          <w:rFonts w:asciiTheme="minorHAnsi" w:hAnsiTheme="minorHAnsi" w:cstheme="minorHAnsi"/>
          <w:b/>
          <w:bCs/>
        </w:rPr>
      </w:pPr>
    </w:p>
    <w:p w14:paraId="70818374" w14:textId="5E01FE15" w:rsidR="00DC60D8" w:rsidRPr="00DC60D8" w:rsidRDefault="00DC60D8" w:rsidP="00DC60D8">
      <w:pPr>
        <w:tabs>
          <w:tab w:val="left" w:pos="6379"/>
        </w:tabs>
        <w:jc w:val="center"/>
        <w:rPr>
          <w:rFonts w:asciiTheme="minorHAnsi" w:hAnsiTheme="minorHAnsi" w:cstheme="minorHAnsi"/>
          <w:b/>
          <w:bCs/>
        </w:rPr>
      </w:pPr>
      <w:r w:rsidRPr="00DC60D8">
        <w:rPr>
          <w:rFonts w:asciiTheme="minorHAnsi" w:hAnsiTheme="minorHAnsi" w:cstheme="minorHAnsi"/>
          <w:b/>
          <w:bCs/>
        </w:rPr>
        <w:t>Bylos aplinkybės</w:t>
      </w:r>
    </w:p>
    <w:p w14:paraId="7D9B3E89" w14:textId="77777777" w:rsidR="00DC60D8" w:rsidRPr="00353B65" w:rsidRDefault="00DC60D8" w:rsidP="002C6C8D">
      <w:pPr>
        <w:tabs>
          <w:tab w:val="left" w:pos="6379"/>
        </w:tabs>
        <w:ind w:firstLine="540"/>
        <w:rPr>
          <w:rFonts w:asciiTheme="minorHAnsi" w:hAnsiTheme="minorHAnsi" w:cstheme="minorHAnsi"/>
        </w:rPr>
      </w:pPr>
    </w:p>
    <w:p w14:paraId="3C5ED52F" w14:textId="62050CC4" w:rsidR="002C6C8D" w:rsidRPr="00353B65" w:rsidRDefault="002C6C8D" w:rsidP="002C6C8D">
      <w:pPr>
        <w:tabs>
          <w:tab w:val="left" w:pos="6379"/>
        </w:tabs>
        <w:ind w:firstLine="540"/>
        <w:rPr>
          <w:rFonts w:asciiTheme="minorHAnsi" w:hAnsiTheme="minorHAnsi" w:cstheme="minorHAnsi"/>
        </w:rPr>
      </w:pPr>
      <w:r w:rsidRPr="00353B65">
        <w:rPr>
          <w:rFonts w:asciiTheme="minorHAnsi" w:hAnsiTheme="minorHAnsi" w:cstheme="minorHAnsi"/>
        </w:rPr>
        <w:t>Fiziniams asmenims MI ir TB – kelių transporto priemonių vairuotojams – buvo skirta po keletą sankcijų už tai, kad jie negalėjo pateikti jų transporto priemonėse įrengtų tachografų registracijos lapų už einamąją dieną ir kelias iš prieš tai ėjusių 28 dienų. Ginčus dėl MI ir TB paskirtų nuobaudų nagrinėjusiam Corte suprema di cassazione (Kasacinis teismas, Italija) kilo abejonių dėl Reglamento Nr. 3821/85</w:t>
      </w:r>
      <w:r w:rsidR="00DC60D8">
        <w:rPr>
          <w:rFonts w:asciiTheme="minorHAnsi" w:hAnsiTheme="minorHAnsi" w:cstheme="minorHAnsi"/>
        </w:rPr>
        <w:t xml:space="preserve"> </w:t>
      </w:r>
      <w:r w:rsidRPr="00353B65">
        <w:rPr>
          <w:rFonts w:asciiTheme="minorHAnsi" w:hAnsiTheme="minorHAnsi" w:cstheme="minorHAnsi"/>
        </w:rPr>
        <w:t xml:space="preserve">15 straipsnio 7 dalies aiškinimo, todėl jis nutarė sustabdyti bylos nagrinėjimą ir pateikti Teisingumo Teismui </w:t>
      </w:r>
      <w:r w:rsidRPr="00353B65">
        <w:rPr>
          <w:rFonts w:asciiTheme="minorHAnsi" w:hAnsiTheme="minorHAnsi" w:cstheme="minorHAnsi"/>
        </w:rPr>
        <w:lastRenderedPageBreak/>
        <w:t>prejudicinį klausimą</w:t>
      </w:r>
      <w:r w:rsidR="006C6208">
        <w:rPr>
          <w:rFonts w:asciiTheme="minorHAnsi" w:hAnsiTheme="minorHAnsi" w:cstheme="minorHAnsi"/>
        </w:rPr>
        <w:t>, a</w:t>
      </w:r>
      <w:r w:rsidRPr="00353B65">
        <w:rPr>
          <w:rFonts w:asciiTheme="minorHAnsi" w:hAnsiTheme="minorHAnsi" w:cstheme="minorHAnsi"/>
        </w:rPr>
        <w:t>r konkrečiu transporto priemonės vairuotojo atveju [Reglamento Nr. 3821/85] 15 straipsnio [7 dalis] gali būti aiškinama taip, kad šia nuostata nustatomas vienas bendras veiksmas, dėl ko laikoma, kad padarytas vienas pažeidimas, už kurį skiriama tik viena sankcija, ar susumavus gali būti laikoma, kad padaryta daug pažeidimų, už kuriuos skiriamos sankcijos pagal tai, kiek yra dienų, dėl kurių nebuvo pateikti numatyto laikotarpio („einamosios dienos ir prieš tai ėjusių 28 dienų“) tachografo registracijos lapai</w:t>
      </w:r>
      <w:r w:rsidR="006C6208">
        <w:rPr>
          <w:rFonts w:asciiTheme="minorHAnsi" w:hAnsiTheme="minorHAnsi" w:cstheme="minorHAnsi"/>
        </w:rPr>
        <w:t>.</w:t>
      </w:r>
    </w:p>
    <w:p w14:paraId="1D2532CF" w14:textId="77777777" w:rsidR="002C6C8D" w:rsidRPr="00353B65" w:rsidRDefault="002C6C8D" w:rsidP="002C6C8D">
      <w:pPr>
        <w:tabs>
          <w:tab w:val="left" w:pos="6379"/>
        </w:tabs>
        <w:ind w:firstLine="540"/>
        <w:rPr>
          <w:rFonts w:asciiTheme="minorHAnsi" w:hAnsiTheme="minorHAnsi" w:cstheme="minorHAnsi"/>
        </w:rPr>
      </w:pPr>
      <w:r w:rsidRPr="00353B65">
        <w:rPr>
          <w:rFonts w:asciiTheme="minorHAnsi" w:hAnsiTheme="minorHAnsi" w:cstheme="minorHAnsi"/>
        </w:rPr>
        <w:t>Italijos Kasacinis teismas nurodė, jog tuo atveju, jeigu minėta nuostata turėtų būti aiškinama taip, kad pagal ją vairuotojui nustatoma viena pareiga, t. y. pareiga patikrinimo atveju būti pasiruošus pateikti visus registracijos lapus, susijusius su visu atitinkamu laikotarpiu, šios nuostatos pažeidimas būtų vienas pažeidimas ir už jį galėtų būti skirta tik viena sankcija. Ir atvirkščiai, jei Reglamento Nr. 3821/85 15 straipsnio 7 dalis turėtų būti aiškinama taip, kad joje numatyta daug pareigų, jų neįvykdžius galėtų būti padaryta tiek pažeidimų, kiek yra dienų arba dienų grupių, už kurias nebuvo pateikti laikotarpio, apimančio patikrinimo dieną ir prieš tai ėjusias 28 dienas, registracijos lapai.</w:t>
      </w:r>
    </w:p>
    <w:p w14:paraId="371AF4A9" w14:textId="77777777" w:rsidR="002C6C8D" w:rsidRPr="00353B65" w:rsidRDefault="002C6C8D" w:rsidP="002C6C8D">
      <w:pPr>
        <w:tabs>
          <w:tab w:val="left" w:pos="6379"/>
        </w:tabs>
        <w:ind w:firstLine="540"/>
        <w:rPr>
          <w:rFonts w:asciiTheme="minorHAnsi" w:hAnsiTheme="minorHAnsi" w:cstheme="minorHAnsi"/>
        </w:rPr>
      </w:pPr>
    </w:p>
    <w:p w14:paraId="2028B97C" w14:textId="77777777" w:rsidR="002C6C8D" w:rsidRPr="00353B65" w:rsidRDefault="002C6C8D" w:rsidP="00DC60D8">
      <w:pPr>
        <w:tabs>
          <w:tab w:val="left" w:pos="6379"/>
        </w:tabs>
        <w:jc w:val="center"/>
        <w:rPr>
          <w:rFonts w:asciiTheme="minorHAnsi" w:hAnsiTheme="minorHAnsi" w:cstheme="minorHAnsi"/>
          <w:b/>
        </w:rPr>
      </w:pPr>
      <w:r w:rsidRPr="00353B65">
        <w:rPr>
          <w:rFonts w:asciiTheme="minorHAnsi" w:hAnsiTheme="minorHAnsi" w:cstheme="minorHAnsi"/>
          <w:b/>
        </w:rPr>
        <w:t>Teisingumo Teismo vertinimas</w:t>
      </w:r>
    </w:p>
    <w:p w14:paraId="55608577" w14:textId="6FDE569C" w:rsidR="002C6C8D" w:rsidRDefault="002C6C8D" w:rsidP="002C6C8D">
      <w:pPr>
        <w:tabs>
          <w:tab w:val="left" w:pos="6379"/>
        </w:tabs>
        <w:ind w:firstLine="540"/>
        <w:rPr>
          <w:rFonts w:asciiTheme="minorHAnsi" w:hAnsiTheme="minorHAnsi" w:cstheme="minorHAnsi"/>
        </w:rPr>
      </w:pPr>
    </w:p>
    <w:p w14:paraId="036FA0A5" w14:textId="26CD367E" w:rsidR="00DC60D8" w:rsidRPr="00963B91" w:rsidRDefault="00DC60D8" w:rsidP="00963B91">
      <w:pPr>
        <w:pStyle w:val="Antrat3"/>
        <w:ind w:firstLine="567"/>
      </w:pPr>
      <w:bookmarkStart w:id="64" w:name="_Toc85700965"/>
      <w:r w:rsidRPr="00963B91">
        <w:t xml:space="preserve">Dėl </w:t>
      </w:r>
      <w:r w:rsidR="00B83DD2">
        <w:t xml:space="preserve">vienos </w:t>
      </w:r>
      <w:r w:rsidRPr="00963B91">
        <w:t>administracinės sankcijos</w:t>
      </w:r>
      <w:r w:rsidR="00B83DD2">
        <w:t xml:space="preserve"> skyrimo, </w:t>
      </w:r>
      <w:r w:rsidRPr="00963B91">
        <w:t>nepateikus kelių transporto priemonės tachografo registracijos lapų už kelias dienas</w:t>
      </w:r>
      <w:bookmarkEnd w:id="64"/>
    </w:p>
    <w:p w14:paraId="3FADA3BF" w14:textId="77777777" w:rsidR="00DC60D8" w:rsidRPr="00353B65" w:rsidRDefault="00DC60D8" w:rsidP="002C6C8D">
      <w:pPr>
        <w:tabs>
          <w:tab w:val="left" w:pos="6379"/>
        </w:tabs>
        <w:ind w:firstLine="540"/>
        <w:rPr>
          <w:rFonts w:asciiTheme="minorHAnsi" w:hAnsiTheme="minorHAnsi" w:cstheme="minorHAnsi"/>
        </w:rPr>
      </w:pPr>
    </w:p>
    <w:p w14:paraId="72ED01A4" w14:textId="77777777" w:rsidR="002C6C8D" w:rsidRPr="00353B65" w:rsidRDefault="002C6C8D" w:rsidP="002C6C8D">
      <w:pPr>
        <w:tabs>
          <w:tab w:val="left" w:pos="6379"/>
        </w:tabs>
        <w:ind w:firstLine="540"/>
        <w:rPr>
          <w:rFonts w:asciiTheme="minorHAnsi" w:hAnsiTheme="minorHAnsi" w:cstheme="minorHAnsi"/>
        </w:rPr>
      </w:pPr>
      <w:r w:rsidRPr="00353B65">
        <w:rPr>
          <w:rFonts w:asciiTheme="minorHAnsi" w:hAnsiTheme="minorHAnsi" w:cstheme="minorHAnsi"/>
        </w:rPr>
        <w:t xml:space="preserve">Remdamasis Reglamento Nr. 3821/85 15 straipsnio 7 dalies a punkto formuluote, Teisingumo Teismas pažymėjo, kad, kiek tai susiję su registracijos lapais, joje nustatyta pareiga, pagal kurią vairuotojas turi būti pasiruošęs pateikti registracijos lapus už laikotarpį, apimantį patikrinimo dieną ir prieš tai ėjusias 28 dienas. Šioje nuostatoje nustatyta viena pareiga, apimanti visą šį laikotarpį, o ne kelios atskiros pareigos dėl kiekvienos nurodytos dienos arba dėl kiekvieno atitinkamo registracijos lapo. Taigi Reglamento Nr. 3821/85 15 straipsnio 7 dalies a punkte nustatytos pareigos pažeidimas yra vienas ir momentinis pažeidimas, kurį sudaro tai, kad atitinkamas vairuotojas patikrinimo metu negali pateikti visų 29 registracijos lapų arba jų dalies. Teisingumo Teismas nurodė, kad už šį pažeidimą skiriama tik viena sankcija. Kitaip tariant, </w:t>
      </w:r>
      <w:r w:rsidRPr="00115851">
        <w:rPr>
          <w:rFonts w:asciiTheme="minorHAnsi" w:hAnsiTheme="minorHAnsi" w:cstheme="minorHAnsi"/>
          <w:u w:val="single"/>
        </w:rPr>
        <w:t>jei atliekant patikrinimą kelių transporto priemonės vairuotojas negali pateikti tachografo registracijos lapų, susijusių su einamąja diena ir prieš tai ėjusiomis 28 dienomis, toks veiksmas yra vienas pažeidimas, už kurį turi būti skiriama viena sankcija</w:t>
      </w:r>
      <w:r w:rsidRPr="00353B65">
        <w:rPr>
          <w:rFonts w:asciiTheme="minorHAnsi" w:hAnsiTheme="minorHAnsi" w:cstheme="minorHAnsi"/>
        </w:rPr>
        <w:t>. Atsižvelgęs į tai, Teisingumo Teismas (dešimtoji kolegija) konstatavo, kad tuo atveju, kai tikrinamas kelių transporto priemonės vairuotojas nepateikia tachografų registracijos lapų, susijusių su keliomis darbo dienomis per laikotarpį, apimantį patikrinimo dieną ir prieš tai ėjusias 28 dienas, patikrinimo vietos valstybės narės kompetentingos institucijos privalo konstatuoti, kad šis vairuotojas padarė tik vieną pažeidimą, ir skirti jam tik vieną sankciją už šį pažeidimą.</w:t>
      </w:r>
    </w:p>
    <w:p w14:paraId="0964E180" w14:textId="77777777" w:rsidR="002C6C8D" w:rsidRPr="00353B65" w:rsidRDefault="002C6C8D" w:rsidP="002C6C8D">
      <w:pPr>
        <w:tabs>
          <w:tab w:val="left" w:pos="6379"/>
        </w:tabs>
        <w:ind w:firstLine="540"/>
        <w:rPr>
          <w:rFonts w:asciiTheme="minorHAnsi" w:hAnsiTheme="minorHAnsi" w:cstheme="minorHAnsi"/>
        </w:rPr>
      </w:pPr>
      <w:r w:rsidRPr="00353B65">
        <w:rPr>
          <w:rFonts w:asciiTheme="minorHAnsi" w:hAnsiTheme="minorHAnsi" w:cstheme="minorHAnsi"/>
        </w:rPr>
        <w:t xml:space="preserve">Teisingumo Teismas taip pat pažymėjo, kad Reglamento Nr. 3821/85 15 straipsnio 7 dalies </w:t>
      </w:r>
      <w:r w:rsidRPr="00115851">
        <w:rPr>
          <w:rFonts w:asciiTheme="minorHAnsi" w:hAnsiTheme="minorHAnsi" w:cstheme="minorHAnsi"/>
          <w:u w:val="single"/>
        </w:rPr>
        <w:t>pažeidimas yra sunkesnis, jei registracijos lapų, kurių negali pateikti vairuotojas, skaičius yra didelis</w:t>
      </w:r>
      <w:r w:rsidRPr="00353B65">
        <w:rPr>
          <w:rFonts w:asciiTheme="minorHAnsi" w:hAnsiTheme="minorHAnsi" w:cstheme="minorHAnsi"/>
        </w:rPr>
        <w:t xml:space="preserve">. Iš tiesų toks pažeidimas keletą dienų gali trukdyti atlikti veiksmingą vairuotojų darbo sąlygų ir kelių eismo saugumo kontrolę. Todėl už šį pažeidimą numatyta sankcija, atsižvelgiant į jo sunkumą, turi būti pakankamai griežta tam, kad galėtų turėti realų atgrasomąjį poveikį. Be to, sankcija turi būti pakankamai diferencijuojama, atsižvelgiant į pažeidimo sunkumą. Jei tokiam pažeidimui pagal valstybės narės teisę taikytinos baudos dydis būtų nepakankamas, kad turėtų atgrasomąjį poveikį, nacionalinis teismas, remdamasis Sąjungos teisę atitinkančio vidaus teisės aiškinimo principu, nacionalinę teisę turėtų aiškinti kuo labiau atsižvelgdamas į Sąjungos teisėje nustatytus reikalavimus. Vis dėlto minėtas teismas taip pat turi užtikrinti, kad būtų laikomasi Europos Sąjungos pagrindinių teisių chartijos 49 straipsnio 1 dalies pirmame sakinyje įtvirtinto </w:t>
      </w:r>
      <w:r w:rsidRPr="00DC60D8">
        <w:rPr>
          <w:rFonts w:asciiTheme="minorHAnsi" w:hAnsiTheme="minorHAnsi" w:cstheme="minorHAnsi"/>
          <w:i/>
          <w:iCs/>
        </w:rPr>
        <w:t>nullum crimen, nulla poena sine lege</w:t>
      </w:r>
      <w:r w:rsidRPr="00353B65">
        <w:rPr>
          <w:rFonts w:asciiTheme="minorHAnsi" w:hAnsiTheme="minorHAnsi" w:cstheme="minorHAnsi"/>
        </w:rPr>
        <w:t xml:space="preserve"> principo. Taigi Teisingumo Teismas padarė išvadą, kad net jei maksimalus baudos, kuri gali būti skirta pagrindinėse bylose, dydis nacionaliniam teismui atrodo esąs nepakankamai didelis, kad turėtų atgrasomąjį poveikį, tas teismas negali skirti kelių sankcijų, kurių kiekviena susijusi su viena ar keliomis dienomis, patenkančiomis į patikrinimo dieną ir prieš tai ėjusias 28 dienas apimantį laikotarpį.</w:t>
      </w:r>
    </w:p>
    <w:p w14:paraId="41EB6E34" w14:textId="0AB64F05" w:rsidR="00EB7006" w:rsidRPr="00353B65" w:rsidRDefault="003347AD" w:rsidP="00EB7006">
      <w:pPr>
        <w:ind w:firstLine="567"/>
        <w:rPr>
          <w:rFonts w:asciiTheme="minorHAnsi" w:hAnsiTheme="minorHAnsi" w:cstheme="minorHAnsi"/>
          <w:color w:val="0000FF"/>
          <w:u w:val="single"/>
        </w:rPr>
      </w:pPr>
      <w:hyperlink r:id="rId27" w:history="1">
        <w:r w:rsidR="00EB7006" w:rsidRPr="00353B65">
          <w:rPr>
            <w:rStyle w:val="Hipersaitas"/>
            <w:rFonts w:asciiTheme="minorHAnsi" w:hAnsiTheme="minorHAnsi" w:cstheme="minorHAnsi"/>
          </w:rPr>
          <w:t>Prieiga internete</w:t>
        </w:r>
      </w:hyperlink>
    </w:p>
    <w:p w14:paraId="41505576" w14:textId="77777777" w:rsidR="00EB7006" w:rsidRPr="00353B65" w:rsidRDefault="00EB7006" w:rsidP="002C6C8D">
      <w:pPr>
        <w:tabs>
          <w:tab w:val="left" w:pos="6379"/>
        </w:tabs>
        <w:ind w:firstLine="540"/>
        <w:rPr>
          <w:rFonts w:asciiTheme="minorHAnsi" w:hAnsiTheme="minorHAnsi" w:cstheme="minorHAnsi"/>
        </w:rPr>
      </w:pPr>
    </w:p>
    <w:p w14:paraId="68F7C014" w14:textId="44F28B96" w:rsidR="002C6C8D" w:rsidRPr="00353B65" w:rsidRDefault="00493C73" w:rsidP="00410FED">
      <w:pPr>
        <w:pStyle w:val="Antrat1"/>
      </w:pPr>
      <w:bookmarkStart w:id="65" w:name="_Toc85700966"/>
      <w:r w:rsidRPr="00410FED">
        <w:t>UŽSIENIEČIAI</w:t>
      </w:r>
      <w:bookmarkEnd w:id="65"/>
    </w:p>
    <w:p w14:paraId="1D03DCB4" w14:textId="77777777" w:rsidR="00493C73" w:rsidRPr="00353B65" w:rsidRDefault="00493C73" w:rsidP="00493C73">
      <w:pPr>
        <w:tabs>
          <w:tab w:val="left" w:pos="6379"/>
        </w:tabs>
        <w:ind w:firstLine="540"/>
        <w:jc w:val="center"/>
        <w:rPr>
          <w:rFonts w:asciiTheme="minorHAnsi" w:hAnsiTheme="minorHAnsi" w:cstheme="minorHAnsi"/>
        </w:rPr>
      </w:pPr>
    </w:p>
    <w:p w14:paraId="114CADBA" w14:textId="56B5AAA8" w:rsidR="00493C73" w:rsidRPr="00963B91" w:rsidRDefault="009A4386" w:rsidP="00963B91">
      <w:pPr>
        <w:pStyle w:val="Antrat1"/>
        <w:rPr>
          <w:i/>
          <w:iCs/>
          <w:szCs w:val="22"/>
        </w:rPr>
      </w:pPr>
      <w:bookmarkStart w:id="66" w:name="_Toc85700967"/>
      <w:r>
        <w:rPr>
          <w:szCs w:val="22"/>
        </w:rPr>
        <w:lastRenderedPageBreak/>
        <w:t>D</w:t>
      </w:r>
      <w:r w:rsidR="00493C73" w:rsidRPr="00353B65">
        <w:rPr>
          <w:szCs w:val="22"/>
        </w:rPr>
        <w:t>idžiosios kolegijos</w:t>
      </w:r>
      <w:r>
        <w:rPr>
          <w:szCs w:val="22"/>
        </w:rPr>
        <w:t xml:space="preserve"> </w:t>
      </w:r>
      <w:r w:rsidRPr="00353B65">
        <w:rPr>
          <w:szCs w:val="22"/>
        </w:rPr>
        <w:t xml:space="preserve">2021 m. balandžio 15 d. </w:t>
      </w:r>
      <w:r w:rsidR="00493C73" w:rsidRPr="00410FED">
        <w:t>sprendimas</w:t>
      </w:r>
      <w:r>
        <w:rPr>
          <w:szCs w:val="22"/>
        </w:rPr>
        <w:t xml:space="preserve"> byloje </w:t>
      </w:r>
      <w:r w:rsidRPr="00DC60D8">
        <w:rPr>
          <w:i/>
          <w:iCs/>
        </w:rPr>
        <w:t>Belgijos valstybė (Éléments postérieurs à la décision de transfert)</w:t>
      </w:r>
      <w:r w:rsidR="00963B91">
        <w:rPr>
          <w:i/>
          <w:iCs/>
        </w:rPr>
        <w:t xml:space="preserve">, </w:t>
      </w:r>
      <w:r w:rsidR="00493C73" w:rsidRPr="00177F84">
        <w:t>C-194/19</w:t>
      </w:r>
      <w:bookmarkEnd w:id="66"/>
    </w:p>
    <w:p w14:paraId="45B16527" w14:textId="77777777" w:rsidR="00493C73" w:rsidRPr="00353B65" w:rsidRDefault="00493C73" w:rsidP="00493C73">
      <w:pPr>
        <w:jc w:val="center"/>
        <w:rPr>
          <w:b/>
          <w:i/>
          <w:iCs/>
        </w:rPr>
      </w:pPr>
    </w:p>
    <w:p w14:paraId="01B0B329" w14:textId="7750F01A" w:rsidR="00DC60D8" w:rsidRDefault="00DC60D8" w:rsidP="00DC60D8">
      <w:pPr>
        <w:tabs>
          <w:tab w:val="left" w:pos="6379"/>
        </w:tabs>
        <w:ind w:firstLine="540"/>
        <w:rPr>
          <w:rFonts w:asciiTheme="minorHAnsi" w:hAnsiTheme="minorHAnsi" w:cstheme="minorHAnsi"/>
        </w:rPr>
      </w:pPr>
      <w:r w:rsidRPr="00DC60D8">
        <w:rPr>
          <w:rFonts w:asciiTheme="minorHAnsi" w:hAnsiTheme="minorHAnsi" w:cstheme="minorHAnsi"/>
        </w:rPr>
        <w:t>Reglamentas (ES) Nr. 604/2013 – Už tarptautinės apsaugos prašymo nagrinėjimą atsakingos valstybės narės nustatymas – 27 straipsnis – Teisių gynimo priemonė – Atsižvelgimas į aplinkybes, susiklosčiusias po sprendimo dėl perdavimo priėmimo – Veiksminga teisminė gynyba</w:t>
      </w:r>
    </w:p>
    <w:p w14:paraId="77181592" w14:textId="77777777" w:rsidR="00DC60D8" w:rsidRPr="00DC60D8" w:rsidRDefault="00DC60D8" w:rsidP="00DC60D8">
      <w:pPr>
        <w:tabs>
          <w:tab w:val="left" w:pos="6379"/>
        </w:tabs>
        <w:ind w:firstLine="540"/>
        <w:rPr>
          <w:rFonts w:asciiTheme="minorHAnsi" w:hAnsiTheme="minorHAnsi" w:cstheme="minorHAnsi"/>
        </w:rPr>
      </w:pPr>
    </w:p>
    <w:p w14:paraId="0FFE672D" w14:textId="0305A62C" w:rsidR="00DC60D8" w:rsidRPr="00DC60D8" w:rsidRDefault="00DC60D8" w:rsidP="00DC60D8">
      <w:pPr>
        <w:tabs>
          <w:tab w:val="left" w:pos="284"/>
        </w:tabs>
        <w:jc w:val="center"/>
        <w:rPr>
          <w:b/>
        </w:rPr>
      </w:pPr>
      <w:r w:rsidRPr="00DC60D8">
        <w:rPr>
          <w:b/>
        </w:rPr>
        <w:t>Bylos aplinkybės</w:t>
      </w:r>
    </w:p>
    <w:p w14:paraId="428D305B" w14:textId="77777777" w:rsidR="00493C73" w:rsidRPr="00353B65" w:rsidRDefault="00493C73" w:rsidP="00493C73">
      <w:pPr>
        <w:rPr>
          <w:bCs/>
        </w:rPr>
      </w:pPr>
    </w:p>
    <w:p w14:paraId="3D84E52E" w14:textId="77777777" w:rsidR="00493C73" w:rsidRPr="00353B65" w:rsidRDefault="00493C73" w:rsidP="0028069C">
      <w:pPr>
        <w:ind w:firstLine="567"/>
      </w:pPr>
      <w:r w:rsidRPr="00353B65">
        <w:t>Pagrindinėje byloje prašymą dėl prieglobsčio Belgijoje pateikęs pareiškėjas buvo perduotas Ispanijai, o jo prašymas atmestas. Pareiškėjas skundėsi teisės į veiksmingą teisinę gynybą, įtvirtintos reglamento „Dublinas III“</w:t>
      </w:r>
      <w:r w:rsidRPr="00353B65">
        <w:rPr>
          <w:rStyle w:val="Puslapioinaosnuoroda"/>
        </w:rPr>
        <w:footnoteReference w:id="28"/>
      </w:r>
      <w:r w:rsidRPr="00353B65">
        <w:t xml:space="preserve"> 27 straipsnyje ir Chartijos 47 straipsnyje, pažeidimu, nes nagrinėjant sprendimo dėl šio asmens perdavimo Ispanijai teisėtumą, buvo atsisakyta atsižvelgti į aplinkybes, susiklosčiusias po to, kai toks sprendimas buvo priimtas, konkrečiai, į prieglobsčio prašymą, kurį Belgijoje pateikė vėliau atvykęs pareiškėjo brolis, ir šie prašymai, pareiškėjo vertinimu, nagrinėtini kartu. </w:t>
      </w:r>
    </w:p>
    <w:p w14:paraId="2E58F28C" w14:textId="77777777" w:rsidR="00493C73" w:rsidRPr="00353B65" w:rsidRDefault="00493C73" w:rsidP="0028069C">
      <w:pPr>
        <w:ind w:firstLine="567"/>
      </w:pPr>
      <w:r w:rsidRPr="00353B65">
        <w:t>Tokiomis aplinkybėmis skundą nagrinėjanti Belgijos Valstybės Taryba siekė išsiaiškinti, ar minėtos ES teisės nuostatos įpareigoja nacionalinį teismą atsižvelgti į aplinkybes, susiklosčiusias priėmus sprendimą dėl „perdavimo pagal Dublino reglamentą“.</w:t>
      </w:r>
    </w:p>
    <w:p w14:paraId="255DC0B9" w14:textId="77777777" w:rsidR="00493C73" w:rsidRPr="00353B65" w:rsidRDefault="00493C73" w:rsidP="00493C73"/>
    <w:p w14:paraId="18B74736" w14:textId="77777777" w:rsidR="00493C73" w:rsidRPr="00353B65" w:rsidRDefault="00493C73" w:rsidP="00493C73">
      <w:pPr>
        <w:jc w:val="center"/>
        <w:rPr>
          <w:b/>
        </w:rPr>
      </w:pPr>
      <w:r w:rsidRPr="00353B65">
        <w:rPr>
          <w:b/>
        </w:rPr>
        <w:t>Teisingumo Teismo vertinimas</w:t>
      </w:r>
    </w:p>
    <w:p w14:paraId="4A339977" w14:textId="77777777" w:rsidR="00493C73" w:rsidRPr="00353B65" w:rsidRDefault="00493C73" w:rsidP="00493C73"/>
    <w:p w14:paraId="036AA6CE" w14:textId="0A10522D" w:rsidR="00963B91" w:rsidRDefault="00963B91" w:rsidP="006C6208">
      <w:pPr>
        <w:pStyle w:val="Antrat3"/>
        <w:ind w:firstLine="567"/>
      </w:pPr>
      <w:bookmarkStart w:id="67" w:name="_Toc85700968"/>
      <w:r>
        <w:t xml:space="preserve">Dėl </w:t>
      </w:r>
      <w:r w:rsidRPr="006C6208">
        <w:t>a</w:t>
      </w:r>
      <w:r w:rsidRPr="00DC60D8">
        <w:t>tsižvelgim</w:t>
      </w:r>
      <w:r w:rsidRPr="006C6208">
        <w:t>o</w:t>
      </w:r>
      <w:r w:rsidRPr="00DC60D8">
        <w:t xml:space="preserve"> į aplinkybes, susiklosčiusias po sprendimo dėl </w:t>
      </w:r>
      <w:r w:rsidR="006C6208" w:rsidRPr="006C6208">
        <w:t xml:space="preserve">prieglobsčio prašytojo </w:t>
      </w:r>
      <w:r w:rsidRPr="00DC60D8">
        <w:t>perdavimo priėmimo</w:t>
      </w:r>
      <w:bookmarkEnd w:id="67"/>
    </w:p>
    <w:p w14:paraId="37A6A5F1" w14:textId="77777777" w:rsidR="00963B91" w:rsidRDefault="00963B91" w:rsidP="0028069C">
      <w:pPr>
        <w:ind w:firstLine="567"/>
      </w:pPr>
    </w:p>
    <w:p w14:paraId="38934292" w14:textId="7D03B981" w:rsidR="00493C73" w:rsidRPr="00353B65" w:rsidRDefault="00493C73" w:rsidP="0028069C">
      <w:pPr>
        <w:ind w:firstLine="567"/>
      </w:pPr>
      <w:r w:rsidRPr="00353B65">
        <w:t xml:space="preserve">Teisingumo Teismas pabrėžė, kad Sąjungos teisės aktų leidėjas suderino tik tam tikras procesines taisykles, susijusias su sprendimo dėl perdavimo apskundimu, o reglamente „Dublinas III“ nepatikslinama, ar teisė į gynybą būtinai reiškia, kad teismas, kuriam paduodamas skundas, gali </w:t>
      </w:r>
      <w:r w:rsidRPr="00353B65">
        <w:rPr>
          <w:i/>
          <w:iCs/>
        </w:rPr>
        <w:t>ex nunc</w:t>
      </w:r>
      <w:r w:rsidRPr="00353B65">
        <w:t xml:space="preserve"> išnagrinėti sprendimo dėl perdavimo teisėtumą. Taigi pagal procesinės autonomijos principą kiekvienos valstybės narės teisės sistemoje turi būti nustatytos šios procesinės taisyklės su sąlyga, kad jos nėra mažiau palankios nei taisyklės, reglamentuojančios panašias situacijas, kurioms taikoma vidaus teisė (lygiavertiškumo principas), ir kad dėl jų netampa praktiškai neįmanoma ar pernelyg sudėtinga pasinaudoti Sąjungos teisės suteiktomis teisėmis (veiksmingumo principas). </w:t>
      </w:r>
    </w:p>
    <w:p w14:paraId="046DBACD" w14:textId="77777777" w:rsidR="00493C73" w:rsidRPr="00353B65" w:rsidRDefault="00493C73" w:rsidP="0028069C">
      <w:pPr>
        <w:ind w:firstLine="567"/>
      </w:pPr>
      <w:r w:rsidRPr="00353B65">
        <w:t xml:space="preserve">Šiuo atveju, kiek tai konkrečiai susiję su veiksmingumo principu, Teisingumo Teismas nurodė, kad </w:t>
      </w:r>
      <w:r w:rsidRPr="00115851">
        <w:rPr>
          <w:u w:val="single"/>
        </w:rPr>
        <w:t>skundu dėl sprendimo dėl perdavimo panaikinimo, kurį nagrinėdamas teismas negali atsižvelgti į priėmus šį sprendimą susiklosčiusias aplinkybes, kurios turi lemiamą reikšmę tinkamam reglamento „Dublinas III“ taikymui, neužtikrinama pakankama teisminė gynyba</w:t>
      </w:r>
      <w:r w:rsidRPr="00353B65">
        <w:t xml:space="preserve">, nes neleidžiama suinteresuotajam asmeniui pasinaudoti iš šio reglamento ir Chartijos 47 straipsnio kylančiomis teisėmis. Vis dėlto Teisingumo Teismas pridūrė, kad tokia teisminė gynyba, atsižvelgiant į visą bendrai vertinamą nacionalinę teismų sistemą, gali būti užtikrinta specialia teisių gynimo priemone, kuri skiriasi nuo skundo, skirto sprendimo dėl perdavimo teisėtumo kontrolei užtikrinti, ir kuri leidžia atsižvelgti į minėtas aplinkybes. Tokia teisių gynimo priemonė turi užtikrinti, kad tuo atveju, kai dėl aplinkybės, susiklosčiusios priėmus sprendimą dėl perdavimo, už tarptautinės apsaugos prašymo nagrinėjimą atsakinga tampa prašančioji valstybė narė, jos kompetentingos institucijos imtųsi būtinų priemonių šiai atsakomybei pripažinti ir nedelsdamos pradėtų šio prašymo nagrinėjimą. </w:t>
      </w:r>
    </w:p>
    <w:p w14:paraId="2F1B5BE6" w14:textId="1220095A" w:rsidR="00493C73" w:rsidRPr="00353B65" w:rsidRDefault="003347AD" w:rsidP="0028069C">
      <w:pPr>
        <w:ind w:firstLine="567"/>
        <w:rPr>
          <w:rStyle w:val="Hipersaitas"/>
        </w:rPr>
      </w:pPr>
      <w:hyperlink r:id="rId28" w:history="1">
        <w:r w:rsidR="00493C73" w:rsidRPr="00353B65">
          <w:rPr>
            <w:rStyle w:val="Hipersaitas"/>
          </w:rPr>
          <w:t>Prieiga internete</w:t>
        </w:r>
      </w:hyperlink>
    </w:p>
    <w:p w14:paraId="1E28B5A7" w14:textId="77777777" w:rsidR="00493C73" w:rsidRPr="00353B65" w:rsidRDefault="00493C73" w:rsidP="00493C73">
      <w:pPr>
        <w:rPr>
          <w:rStyle w:val="Hipersaitas"/>
        </w:rPr>
      </w:pPr>
    </w:p>
    <w:p w14:paraId="58110B14" w14:textId="0B3264A7" w:rsidR="00493C73" w:rsidRPr="00963B91" w:rsidRDefault="00493C73" w:rsidP="00963B91">
      <w:pPr>
        <w:pStyle w:val="Antrat1"/>
        <w:rPr>
          <w:i/>
          <w:iCs/>
        </w:rPr>
      </w:pPr>
      <w:bookmarkStart w:id="68" w:name="_Toc85700969"/>
      <w:r w:rsidRPr="00353B65">
        <w:t xml:space="preserve">2021 m. </w:t>
      </w:r>
      <w:r w:rsidRPr="00410FED">
        <w:t>gegužės</w:t>
      </w:r>
      <w:r w:rsidRPr="00353B65">
        <w:t xml:space="preserve"> 20 d. sprendimas </w:t>
      </w:r>
      <w:r w:rsidR="0079700B">
        <w:t xml:space="preserve">byloje </w:t>
      </w:r>
      <w:r w:rsidRPr="00353B65">
        <w:rPr>
          <w:i/>
          <w:iCs/>
        </w:rPr>
        <w:t>L.R.</w:t>
      </w:r>
      <w:r w:rsidR="00963B91">
        <w:rPr>
          <w:i/>
          <w:iCs/>
        </w:rPr>
        <w:t xml:space="preserve">, </w:t>
      </w:r>
      <w:r w:rsidRPr="00177F84">
        <w:rPr>
          <w:bCs/>
        </w:rPr>
        <w:t>C-8/20</w:t>
      </w:r>
      <w:bookmarkEnd w:id="68"/>
    </w:p>
    <w:p w14:paraId="20E2DD0D" w14:textId="77777777" w:rsidR="00493C73" w:rsidRPr="00353B65" w:rsidRDefault="00493C73" w:rsidP="00493C73">
      <w:pPr>
        <w:jc w:val="center"/>
        <w:rPr>
          <w:b/>
          <w:i/>
          <w:iCs/>
        </w:rPr>
      </w:pPr>
    </w:p>
    <w:p w14:paraId="52C875DB" w14:textId="1E3FD78D" w:rsidR="00493C73" w:rsidRPr="00DC60D8" w:rsidRDefault="00DC60D8" w:rsidP="00DC60D8">
      <w:pPr>
        <w:tabs>
          <w:tab w:val="left" w:pos="6379"/>
        </w:tabs>
        <w:ind w:firstLine="540"/>
        <w:rPr>
          <w:rFonts w:asciiTheme="minorHAnsi" w:hAnsiTheme="minorHAnsi" w:cstheme="minorHAnsi"/>
        </w:rPr>
      </w:pPr>
      <w:r w:rsidRPr="00DC60D8">
        <w:rPr>
          <w:rFonts w:asciiTheme="minorHAnsi" w:hAnsiTheme="minorHAnsi" w:cstheme="minorHAnsi"/>
        </w:rPr>
        <w:t xml:space="preserve">Sienų kontrolė, prieglobstis ir imigracija – Prieglobsčio politika – Direktyva 2013/32/ES – Tarptautinės apsaugos suteikimo ir panaikinimo bendra tvarka – Tarptautinės apsaugos prašymas – </w:t>
      </w:r>
      <w:r w:rsidRPr="00DC60D8">
        <w:rPr>
          <w:rFonts w:asciiTheme="minorHAnsi" w:hAnsiTheme="minorHAnsi" w:cstheme="minorHAnsi"/>
        </w:rPr>
        <w:lastRenderedPageBreak/>
        <w:t>Nepriimtinumo pagrindai – 2 straipsnio q punktas – Sąvoka „paskesnis prašymas“ – 33 straipsnio 2 dalies d punktas – Valstybės narės sprendimas atmesti tarptautinės apsaugos prašymą kaip nepriimtiną dėl to, kad buvo atmestas ankstesnis suinteresuotojo asmens prašymas trečiojoje šalyje, kuri yra sudariusi susitarimą su Europos Sąjunga dėl valstybės, atsakingos už prieglobsčio prašymo, pateikto valstybėje, sudariusioje susitarimą, nagrinėjimą, nustatymo kriterijų ir mechanizmų – Norvegijos Karalystės priimtas galutinis sprendimas</w:t>
      </w:r>
    </w:p>
    <w:p w14:paraId="5A387559" w14:textId="77777777" w:rsidR="00DC60D8" w:rsidRDefault="00DC60D8" w:rsidP="00DC60D8">
      <w:pPr>
        <w:jc w:val="center"/>
        <w:rPr>
          <w:b/>
          <w:bCs/>
        </w:rPr>
      </w:pPr>
    </w:p>
    <w:p w14:paraId="35A459FF" w14:textId="4136466C" w:rsidR="00DC60D8" w:rsidRPr="00DC60D8" w:rsidRDefault="00DC60D8" w:rsidP="00DC60D8">
      <w:pPr>
        <w:jc w:val="center"/>
        <w:rPr>
          <w:b/>
          <w:bCs/>
        </w:rPr>
      </w:pPr>
      <w:r w:rsidRPr="00DC60D8">
        <w:rPr>
          <w:b/>
          <w:bCs/>
        </w:rPr>
        <w:t>Bylos aplinkybės</w:t>
      </w:r>
    </w:p>
    <w:p w14:paraId="6A1B4260" w14:textId="77777777" w:rsidR="00DC60D8" w:rsidRDefault="00DC60D8" w:rsidP="00044B06">
      <w:pPr>
        <w:ind w:firstLine="567"/>
      </w:pPr>
    </w:p>
    <w:p w14:paraId="23A36320" w14:textId="0AC4A96C" w:rsidR="00044B06" w:rsidRDefault="00493C73" w:rsidP="00044B06">
      <w:pPr>
        <w:ind w:firstLine="567"/>
      </w:pPr>
      <w:r w:rsidRPr="00353B65">
        <w:t xml:space="preserve">Pagrindinėje byloje pareiškėjas ginčijo Vokietijos institucijų sprendimą atmesti prieglobsčio prašymą kaip nepriimtiną, teigiant, kad tai yra „kartotinis prašymas“ ir kad esant tokiai prielaidai nebuvo įvykdytos naują prieglobsčio procedūrą pateisinančios sąlygos. Tokia išvada buvo padaryta atsižvelgiant į tai, kad Norvegijos kompetentingos institucijos buvo atmetusios anksčiau teiktą pareiškėjo prieglobsčio prašymą. </w:t>
      </w:r>
    </w:p>
    <w:p w14:paraId="0CD12019" w14:textId="72EA5A9E" w:rsidR="00493C73" w:rsidRPr="00353B65" w:rsidRDefault="00493C73" w:rsidP="00044B06">
      <w:pPr>
        <w:ind w:firstLine="567"/>
      </w:pPr>
      <w:r w:rsidRPr="00353B65">
        <w:t>Atsižvelgdamas į Norvegijos dalyvavimą bendroje Europos prieglobsčio sistemoje pagal Sąjungos, Islandijos ir Norvegijos susitarimą ir manydamas, kad valstybės narės neprivalo vykdyti pirmosios išsamios prieglobsčio procedūros, esant tokiai situacijai, kaip nagrinėjamoji, Vokietijos teismas kreipėsi į Teisingumo Teismą dėl sąvokos „paskesnis prašymas“, apibrėžtos Procedūrų direktyvoje</w:t>
      </w:r>
      <w:r w:rsidRPr="00353B65">
        <w:rPr>
          <w:rStyle w:val="Puslapioinaosnuoroda"/>
        </w:rPr>
        <w:footnoteReference w:id="29"/>
      </w:r>
      <w:r w:rsidRPr="00353B65">
        <w:t>, išaiškinimo.</w:t>
      </w:r>
    </w:p>
    <w:p w14:paraId="4DC919E6" w14:textId="77777777" w:rsidR="00493C73" w:rsidRPr="00353B65" w:rsidRDefault="00493C73" w:rsidP="00493C73"/>
    <w:p w14:paraId="36F37CF3" w14:textId="77777777" w:rsidR="00493C73" w:rsidRPr="00353B65" w:rsidRDefault="00493C73" w:rsidP="00493C73">
      <w:pPr>
        <w:jc w:val="center"/>
        <w:rPr>
          <w:b/>
        </w:rPr>
      </w:pPr>
      <w:r w:rsidRPr="00353B65">
        <w:rPr>
          <w:b/>
        </w:rPr>
        <w:t>Teisingumo Teismo vertinimas</w:t>
      </w:r>
    </w:p>
    <w:p w14:paraId="360D3B70" w14:textId="0AAE0E05" w:rsidR="00493C73" w:rsidRDefault="00493C73" w:rsidP="00493C73"/>
    <w:p w14:paraId="525C8C5D" w14:textId="07A78A2C" w:rsidR="00963B91" w:rsidRPr="00353B65" w:rsidRDefault="00963B91" w:rsidP="00963B91">
      <w:pPr>
        <w:pStyle w:val="Antrat3"/>
        <w:ind w:firstLine="567"/>
      </w:pPr>
      <w:bookmarkStart w:id="69" w:name="_Toc85700970"/>
      <w:r>
        <w:t xml:space="preserve">Dėl sąvokos </w:t>
      </w:r>
      <w:r w:rsidRPr="00963B91">
        <w:t xml:space="preserve">„paskesnis prašymas“ aiškinimo, kai </w:t>
      </w:r>
      <w:r w:rsidRPr="00353B65">
        <w:t>yra ankstesnis trečiosios šalies sprendimas atmesti prašymą suteikti pabėgėlio statusą</w:t>
      </w:r>
      <w:bookmarkEnd w:id="69"/>
    </w:p>
    <w:p w14:paraId="22C3AF6D" w14:textId="77777777" w:rsidR="00963B91" w:rsidRDefault="00963B91" w:rsidP="0028069C">
      <w:pPr>
        <w:ind w:firstLine="567"/>
      </w:pPr>
    </w:p>
    <w:p w14:paraId="12E6709C" w14:textId="2E0DA108" w:rsidR="00493C73" w:rsidRPr="00353B65" w:rsidRDefault="006C6208" w:rsidP="0028069C">
      <w:pPr>
        <w:ind w:firstLine="567"/>
      </w:pPr>
      <w:r>
        <w:t>T</w:t>
      </w:r>
      <w:r w:rsidR="00493C73" w:rsidRPr="00353B65">
        <w:t>ai, kad yra ankstesnis trečiosios šalies sprendimas atmesti prašymą suteikti pabėgėlio statusą, Teisingumo Teismo vertinimu, neleidžia suinteresuotojo asmens tarptautinės apsaugos prašymo, pateikto valstybei narei po to, kai buvo priimtas šis ankstesnis sprendimas, laikyti „paskesniu prašymu“. Šiuo klausimu Sąjungos, Islandijos ir Norvegijos susitarimo buvimas, anot Teisingumo Teismo, neturi reikšmės. Iš tiesų, nors pagal šį susitarimą Norvegija įgyvendina tam tikras Reglamento „Dublinas III“ nuostatas, kitaip yra Direktyvos 2011/95, vadinamos „Priskyrimo direktyva“</w:t>
      </w:r>
      <w:r w:rsidR="00493C73" w:rsidRPr="00353B65">
        <w:rPr>
          <w:rStyle w:val="Puslapioinaosnuoroda"/>
        </w:rPr>
        <w:footnoteReference w:id="30"/>
      </w:r>
      <w:r w:rsidR="00493C73" w:rsidRPr="00353B65">
        <w:t>, arba Procedūrų direktyvos nuostatų atveju.</w:t>
      </w:r>
    </w:p>
    <w:p w14:paraId="2D7AC439" w14:textId="7F9F103E" w:rsidR="00493C73" w:rsidRPr="00353B65" w:rsidRDefault="003347AD" w:rsidP="0079700B">
      <w:pPr>
        <w:ind w:firstLine="567"/>
        <w:rPr>
          <w:rStyle w:val="Hipersaitas"/>
        </w:rPr>
      </w:pPr>
      <w:hyperlink r:id="rId29" w:history="1">
        <w:r w:rsidR="00493C73" w:rsidRPr="00353B65">
          <w:rPr>
            <w:rStyle w:val="Hipersaitas"/>
          </w:rPr>
          <w:t>Prieiga internete</w:t>
        </w:r>
      </w:hyperlink>
    </w:p>
    <w:p w14:paraId="1A16386E" w14:textId="77777777" w:rsidR="00493C73" w:rsidRPr="00353B65" w:rsidRDefault="00493C73" w:rsidP="00493C73">
      <w:pPr>
        <w:rPr>
          <w:rStyle w:val="Hipersaitas"/>
        </w:rPr>
      </w:pPr>
    </w:p>
    <w:p w14:paraId="75DC8CD6" w14:textId="66461851" w:rsidR="00493C73" w:rsidRPr="00963B91" w:rsidRDefault="00493C73" w:rsidP="00963B91">
      <w:pPr>
        <w:pStyle w:val="Antrat1"/>
      </w:pPr>
      <w:bookmarkStart w:id="70" w:name="_Toc85700971"/>
      <w:r w:rsidRPr="00353B65">
        <w:t xml:space="preserve">2021 m. birželio 10 d. </w:t>
      </w:r>
      <w:r w:rsidRPr="00410FED">
        <w:t>sprendimas</w:t>
      </w:r>
      <w:r w:rsidR="0097578D">
        <w:t xml:space="preserve"> byloje</w:t>
      </w:r>
      <w:r w:rsidRPr="00353B65">
        <w:t xml:space="preserve"> </w:t>
      </w:r>
      <w:r w:rsidR="0097578D" w:rsidRPr="00DC60D8">
        <w:rPr>
          <w:i/>
          <w:iCs/>
        </w:rPr>
        <w:t>Land Oberösterreich (Aide au logement)</w:t>
      </w:r>
      <w:r w:rsidR="00963B91">
        <w:rPr>
          <w:i/>
          <w:iCs/>
        </w:rPr>
        <w:t xml:space="preserve">, </w:t>
      </w:r>
      <w:r w:rsidRPr="00177F84">
        <w:rPr>
          <w:bCs/>
        </w:rPr>
        <w:t>C-94/20</w:t>
      </w:r>
      <w:bookmarkEnd w:id="70"/>
    </w:p>
    <w:p w14:paraId="6EE73622" w14:textId="77777777" w:rsidR="00493C73" w:rsidRPr="00353B65" w:rsidRDefault="00493C73" w:rsidP="00493C73">
      <w:pPr>
        <w:jc w:val="center"/>
        <w:rPr>
          <w:rFonts w:cstheme="minorHAnsi"/>
          <w:i/>
          <w:iCs/>
        </w:rPr>
      </w:pPr>
    </w:p>
    <w:p w14:paraId="7E0C1E1B" w14:textId="0DA95FA3" w:rsidR="00493C73" w:rsidRDefault="00DC60D8" w:rsidP="00DC60D8">
      <w:pPr>
        <w:tabs>
          <w:tab w:val="left" w:pos="6379"/>
        </w:tabs>
        <w:ind w:firstLine="540"/>
        <w:rPr>
          <w:rFonts w:asciiTheme="minorHAnsi" w:hAnsiTheme="minorHAnsi" w:cstheme="minorHAnsi"/>
        </w:rPr>
      </w:pPr>
      <w:r w:rsidRPr="00DC60D8">
        <w:rPr>
          <w:rFonts w:asciiTheme="minorHAnsi" w:hAnsiTheme="minorHAnsi" w:cstheme="minorHAnsi"/>
        </w:rPr>
        <w:t>Direktyva 2003/109/EB – Trečiųjų valstybių piliečių, kurie yra ilgalaikiai gyventojai, statusas – 11 straipsnis – Teisė į vienodą požiūrį socialinės apsaugos, socialinės pagalbos ir socialinio saugumo srityse – Nukrypimas nuo vienodo požiūrio principo socialinės pagalbos ir socialinio saugumo srityse – „Esminių išmokų“ sąvoka – Direktyva 2000/43/EB – Vienodo požiūrio principo taikymas asmenims, neatsižvelgiant į jų rasę arba etninę kilmę – 2 straipsnis – Diskriminacijos sąvoka – Europos Sąjungos pagrindinių teisių chartijos 21 straipsnis – Valstybės narės teisės nuostatos, pagal kurias būsto paramos skyrimas trečiųjų šalių piliečiams, kurie yra ilgalaikiai gyventojai, siejamas su sąlyga, kad jie šiose teisės nuostatose nurodytu būdu pateiks pagrindinių šios valstybės narės kalbos žinių turėjimo įrodymą</w:t>
      </w:r>
    </w:p>
    <w:p w14:paraId="35C6AABC" w14:textId="77777777" w:rsidR="00DC60D8" w:rsidRPr="00DC60D8" w:rsidRDefault="00DC60D8" w:rsidP="00DC60D8">
      <w:pPr>
        <w:tabs>
          <w:tab w:val="left" w:pos="6379"/>
        </w:tabs>
        <w:ind w:firstLine="540"/>
        <w:rPr>
          <w:rFonts w:asciiTheme="minorHAnsi" w:hAnsiTheme="minorHAnsi" w:cstheme="minorHAnsi"/>
        </w:rPr>
      </w:pPr>
    </w:p>
    <w:p w14:paraId="492C5201" w14:textId="306A6BE6" w:rsidR="00DC60D8" w:rsidRPr="00DC60D8" w:rsidRDefault="00DC60D8" w:rsidP="00DC60D8">
      <w:pPr>
        <w:jc w:val="center"/>
        <w:rPr>
          <w:rFonts w:cstheme="minorHAnsi"/>
          <w:b/>
          <w:bCs/>
        </w:rPr>
      </w:pPr>
      <w:r w:rsidRPr="00DC60D8">
        <w:rPr>
          <w:rFonts w:cstheme="minorHAnsi"/>
          <w:b/>
          <w:bCs/>
        </w:rPr>
        <w:t>Bylos aplinkybės</w:t>
      </w:r>
    </w:p>
    <w:p w14:paraId="359A3048" w14:textId="77777777" w:rsidR="00DC60D8" w:rsidRPr="00353B65" w:rsidRDefault="00DC60D8" w:rsidP="00493C73">
      <w:pPr>
        <w:rPr>
          <w:rFonts w:cstheme="minorHAnsi"/>
        </w:rPr>
      </w:pPr>
    </w:p>
    <w:p w14:paraId="31EBDBC2" w14:textId="77777777" w:rsidR="00493C73" w:rsidRPr="00353B65" w:rsidRDefault="00493C73" w:rsidP="0028069C">
      <w:pPr>
        <w:ind w:firstLine="567"/>
        <w:rPr>
          <w:rFonts w:cstheme="minorHAnsi"/>
        </w:rPr>
      </w:pPr>
      <w:r w:rsidRPr="00353B65">
        <w:rPr>
          <w:rFonts w:cstheme="minorHAnsi"/>
        </w:rPr>
        <w:lastRenderedPageBreak/>
        <w:t>Ilgalaikio gyventojo statusą turintis Turkijos pilietis ginčijo Austrijos teisės aktų normas, pagal kurias būsto paramos teikimas imtas sieti su trečiųjų šalių piliečiams taikomu reikalavimu pateikti šios valstybės narės kalbos žinių turėjimo įrodymą.</w:t>
      </w:r>
    </w:p>
    <w:p w14:paraId="405A7552" w14:textId="56A22E78" w:rsidR="00493C73" w:rsidRPr="00353B65" w:rsidRDefault="00493C73" w:rsidP="0028069C">
      <w:pPr>
        <w:ind w:firstLine="567"/>
        <w:rPr>
          <w:rFonts w:cstheme="minorHAnsi"/>
        </w:rPr>
      </w:pPr>
      <w:r w:rsidRPr="00353B65">
        <w:rPr>
          <w:rFonts w:cstheme="minorHAnsi"/>
        </w:rPr>
        <w:t>Direktyvos 2003/109</w:t>
      </w:r>
      <w:r w:rsidRPr="00353B65">
        <w:rPr>
          <w:rStyle w:val="Puslapioinaosnuoroda"/>
          <w:rFonts w:cstheme="minorHAnsi"/>
        </w:rPr>
        <w:footnoteReference w:id="31"/>
      </w:r>
      <w:r w:rsidRPr="00353B65">
        <w:rPr>
          <w:rFonts w:cstheme="minorHAnsi"/>
        </w:rPr>
        <w:t xml:space="preserve"> 11 straipsnio 1 dalies d punktas įtvirtina, jog ilgamečiai gyventojai kaip ir tos šalies piliečiai vienodai turi teisę į socialinę apsaugą, socialinę pagalbą ir socialinį saugumą, kaip numatyta nacionalinėje teisėje. Šio straipsnio 4 dalyje suformuluota nukrypti leidžianti nuostata</w:t>
      </w:r>
      <w:r w:rsidRPr="00353B65">
        <w:rPr>
          <w:rFonts w:cstheme="minorHAnsi"/>
          <w:color w:val="FF0000"/>
        </w:rPr>
        <w:t>,</w:t>
      </w:r>
      <w:r w:rsidRPr="00353B65">
        <w:rPr>
          <w:rFonts w:cstheme="minorHAnsi"/>
        </w:rPr>
        <w:t xml:space="preserve"> pagal kurią valstybės narės gali apriboti vienodo požiūrio taikymą socialinės pagalbos ir socialinės apsaugos [socialinio saugumo] atveju teikdamos tiktai esmines išmokas. Prašymą priimti prejudicinį sprendimą pateikusiam teismui kilo klausimas, ar „esminėmis išmokomis“, kaip tai suprantama pagal 11 straipsnio 4 dalį, gali būti laikoma būsto parama, nes ja siekiama sumažinti finansinę naštą, susijusią su išlaidomis būstui, kai jos yra pernelyg didelės, nors, skirtingai nuo minimalių išteklių garantijos, ši parama negali būti siejama su sąlyga, kad suinteresuotasis asmuo būtų sunkioje socialinėje padėtyje. Austrijos teismas taip pat kėlė klausimą, ar tam tikromis sąlygomis pilietybės kriterijus vis dėlto gali reikšti „netiesioginę diskriminaciją“ dėl etninės kilmės, kaip tai suprantama pagal Direktyvos 2000/43</w:t>
      </w:r>
      <w:r w:rsidRPr="00353B65">
        <w:rPr>
          <w:rStyle w:val="Puslapioinaosnuoroda"/>
          <w:rFonts w:cstheme="minorHAnsi"/>
        </w:rPr>
        <w:footnoteReference w:id="32"/>
      </w:r>
      <w:r w:rsidRPr="00353B65">
        <w:rPr>
          <w:rFonts w:cstheme="minorHAnsi"/>
        </w:rPr>
        <w:t xml:space="preserve"> 2 straipsnio 2 dalies b punktą, kuris nustato, jog netiesioginė diskriminacija yra tada, kai dėl akivaizdžiai neutralių sąlygų, kriterijų ar praktikos tam tikros rasės ar etninės priklausomybės (kilmės) asmenys gali patekti tam tikru atžvilgiu į prastesnę (mažiau palankią) padėtį nei kiti asmenys, nebent tas sąlygas, kriterijus ar praktiką objektyviai pateisina teisėtas tikslas, o šio tikslo siekiama atitinkamomis ir būtinomis priemonėmis. Jei pastaroji direktyva nagrinėjamos bylos aplinkybėms netaikytina, prašymą priimti prejudicinį sprendimą pateikęs teismas teiravosi, ar nacionalinės teisės normose įtvirtinta taisyklė turi būti nagrinėjama atsižvelgiant į Chartijos 21 straipsnį, įtvirtinantį diskriminacijos draudimą. </w:t>
      </w:r>
    </w:p>
    <w:p w14:paraId="6953AE71" w14:textId="77777777" w:rsidR="00493C73" w:rsidRPr="00353B65" w:rsidRDefault="00493C73" w:rsidP="00493C73">
      <w:pPr>
        <w:jc w:val="center"/>
        <w:rPr>
          <w:rFonts w:cstheme="minorHAnsi"/>
          <w:b/>
          <w:bCs/>
        </w:rPr>
      </w:pPr>
    </w:p>
    <w:p w14:paraId="4A581538" w14:textId="77777777" w:rsidR="00493C73" w:rsidRPr="00353B65" w:rsidRDefault="00493C73" w:rsidP="00493C73">
      <w:pPr>
        <w:jc w:val="center"/>
        <w:rPr>
          <w:rFonts w:cstheme="minorHAnsi"/>
          <w:b/>
          <w:bCs/>
        </w:rPr>
      </w:pPr>
      <w:r w:rsidRPr="00353B65">
        <w:rPr>
          <w:rFonts w:cstheme="minorHAnsi"/>
          <w:b/>
          <w:bCs/>
        </w:rPr>
        <w:t>Teisingumo Teismo vertinimas</w:t>
      </w:r>
    </w:p>
    <w:p w14:paraId="3032DBF6" w14:textId="77777777" w:rsidR="00493C73" w:rsidRPr="00353B65" w:rsidRDefault="00493C73" w:rsidP="00493C73">
      <w:pPr>
        <w:jc w:val="center"/>
        <w:rPr>
          <w:rFonts w:cstheme="minorHAnsi"/>
          <w:b/>
          <w:bCs/>
        </w:rPr>
      </w:pPr>
    </w:p>
    <w:p w14:paraId="2A2D454F" w14:textId="77777777" w:rsidR="00493C73" w:rsidRPr="00963B91" w:rsidRDefault="00493C73" w:rsidP="00963B91">
      <w:pPr>
        <w:pStyle w:val="Antrat3"/>
        <w:ind w:firstLine="567"/>
      </w:pPr>
      <w:bookmarkStart w:id="71" w:name="_Toc85700972"/>
      <w:r w:rsidRPr="00963B91">
        <w:t>Dėl būsto paramos kaip „esminės išmokos“ Direktyvos 2003/109 11 straipsnio 4 dalies prasme</w:t>
      </w:r>
      <w:bookmarkEnd w:id="71"/>
    </w:p>
    <w:p w14:paraId="25C8B27B" w14:textId="77777777" w:rsidR="00493C73" w:rsidRPr="00353B65" w:rsidRDefault="00493C73" w:rsidP="00493C73">
      <w:pPr>
        <w:jc w:val="center"/>
        <w:rPr>
          <w:rFonts w:cstheme="minorHAnsi"/>
          <w:i/>
          <w:iCs/>
        </w:rPr>
      </w:pPr>
    </w:p>
    <w:p w14:paraId="1F73D6CD" w14:textId="77777777" w:rsidR="00493C73" w:rsidRPr="00353B65" w:rsidRDefault="00493C73" w:rsidP="0028069C">
      <w:pPr>
        <w:ind w:firstLine="567"/>
        <w:rPr>
          <w:rFonts w:cstheme="minorHAnsi"/>
        </w:rPr>
      </w:pPr>
      <w:r w:rsidRPr="00353B65">
        <w:rPr>
          <w:rFonts w:cstheme="minorHAnsi"/>
        </w:rPr>
        <w:t>Teisingumo Teismas nurodė, kad nustatydamos nacionalinės teisės aktuose apibrėžtas socialinės apsaugos, socialinės pagalbos ir socialinio saugumo priemones, kurioms taikomas Direktyvos 2003/109 11 straipsnio 1 dalies d punkte įtvirtintas vienodo požiūrio principas, valstybės narės privalo laikytis Chartijoje, be kita ko, jos 34 straipsnyje, numatytų teisių ir principų. Pagal pastarąjį straipsnį Sąjunga pripažįsta ir gerbia teisę į socialinę pagalbą ir paramą aprūpinant būstu, kad būtų užtikrintos tinkamos gyvenimo sąlygos visiems pakankamai išteklių neturintiems asmenims. Iš to matyti, kad tiek, kiek pagrindinėje byloje aptariama parama atitinka minėtame Chartijos straipsnyje nurodytą tikslą, ji pagal Sąjungos teisę negali būti laikoma nepatenkančia į „esminių išmokų“ sąvoką, kaip tai suprantama pagal Direktyvos 2003/109 11 straipsnio 4 dalį. Reziumuota, kad išmokos, kurias gaunantys pakankamai išteklių neturintys asmenys gali patenkinti savo būsto poreikius ir taip oriai gyventi, yra „esminės išmokos“, kaip tai suprantama pagal Direktyvos 2003/109 11 straipsnio 4 dalį.</w:t>
      </w:r>
    </w:p>
    <w:p w14:paraId="3A044034" w14:textId="77777777" w:rsidR="00493C73" w:rsidRPr="00353B65" w:rsidRDefault="00493C73" w:rsidP="0028069C">
      <w:pPr>
        <w:ind w:firstLine="567"/>
        <w:rPr>
          <w:rFonts w:cstheme="minorHAnsi"/>
        </w:rPr>
      </w:pPr>
      <w:r w:rsidRPr="00353B65">
        <w:rPr>
          <w:rFonts w:cstheme="minorHAnsi"/>
        </w:rPr>
        <w:t xml:space="preserve">Analizuodamas konkrečią paramą minėtame kontekste, prašymą priimti prejudicinį sprendimą pateikęs teismas, Teisingumo Teismo vertinimu, turi atsižvelgti į būsto paramos tikslą, skyrimo sąlygas ir vietą nacionalinės socialinės pagalbos sistemoje. Jei būtų nuspręsta, kad </w:t>
      </w:r>
      <w:bookmarkStart w:id="72" w:name="_Hlk80852790"/>
      <w:r w:rsidRPr="00353B65">
        <w:rPr>
          <w:rFonts w:cstheme="minorHAnsi"/>
        </w:rPr>
        <w:t>būsto parama nėra „esminė išmoka“, kaip tai suprantama pagal Direktyvos 2003/109 11 straipsnio 4 dalį</w:t>
      </w:r>
      <w:bookmarkEnd w:id="72"/>
      <w:r w:rsidRPr="00353B65">
        <w:rPr>
          <w:rFonts w:cstheme="minorHAnsi"/>
        </w:rPr>
        <w:t>, šios išmokos skyrimo sąlygos, kaip antai pagrindinių vokiečių kalbos žinių turėjimo įrodymas, kuris turi būti pateiktas tam tikru būdu, kaip to reikalaujama pagal Austrijos teisės normas, patenka į valstybių narių kompetenciją ir nėra nei reglamentuojamos šioje direktyvoje, nei patenka į jos taikymo sritį.</w:t>
      </w:r>
    </w:p>
    <w:p w14:paraId="501FDA8A" w14:textId="77777777" w:rsidR="00493C73" w:rsidRPr="00353B65" w:rsidRDefault="00493C73" w:rsidP="00493C73">
      <w:pPr>
        <w:rPr>
          <w:rFonts w:cstheme="minorHAnsi"/>
        </w:rPr>
      </w:pPr>
    </w:p>
    <w:p w14:paraId="710FBD31" w14:textId="77777777" w:rsidR="00493C73" w:rsidRPr="00963B91" w:rsidRDefault="00493C73" w:rsidP="00963B91">
      <w:pPr>
        <w:pStyle w:val="Antrat3"/>
        <w:ind w:firstLine="567"/>
      </w:pPr>
      <w:bookmarkStart w:id="73" w:name="_Toc85700973"/>
      <w:r w:rsidRPr="00963B91">
        <w:t>Dėl pilietybės kriterijumi grindžiamo skirtingo požiūrio kaip netiesioginės diskriminacijos dėl etninės kilmės</w:t>
      </w:r>
      <w:bookmarkEnd w:id="73"/>
      <w:r w:rsidRPr="00963B91">
        <w:t xml:space="preserve"> </w:t>
      </w:r>
    </w:p>
    <w:p w14:paraId="03D9F192" w14:textId="77777777" w:rsidR="00493C73" w:rsidRPr="00353B65" w:rsidRDefault="00493C73" w:rsidP="00493C73">
      <w:pPr>
        <w:rPr>
          <w:rFonts w:cstheme="minorHAnsi"/>
          <w:i/>
          <w:iCs/>
        </w:rPr>
      </w:pPr>
    </w:p>
    <w:p w14:paraId="5B152FC0" w14:textId="77777777" w:rsidR="00493C73" w:rsidRPr="00353B65" w:rsidRDefault="00493C73" w:rsidP="0028069C">
      <w:pPr>
        <w:ind w:firstLine="567"/>
        <w:rPr>
          <w:rFonts w:cstheme="minorHAnsi"/>
        </w:rPr>
      </w:pPr>
      <w:r w:rsidRPr="00353B65">
        <w:rPr>
          <w:rFonts w:cstheme="minorHAnsi"/>
        </w:rPr>
        <w:lastRenderedPageBreak/>
        <w:t>Pagal Direktyvos 2000/43 1 straipsnį ir 2 straipsnio 1 ir 2 dalis ši direktyva taikoma tik tiesioginės ar netiesioginės diskriminacijos dėl rasės ar etninės kilmės atvejais. Pastebėjęs, kad Direktyvos 2000/43 3 straipsnio 2 dalyje paaiškinta, jog joje neaptariamos dėl pilietybės taikomos skirtingos sąlygos ir ji nepažeidžia nuostatų ir sąlygų, taikomų trečiųjų šalių piliečių ir asmenų be pilietybės atvykimui į valstybių narių teritoriją ir apsigyvenimui jose, nei kitų su tokių trečiųjų šalių piliečių ir asmenų be pilietybės teisiniu statusu susijusių sąlygų taikymo, Teisingumo Teismas įvertino, kad iš nagrinėjamų Austrijos teisės normų išplaukiantis skirtingas požiūris į trečiųjų šalių piliečius, turinčius ilgalaikio gyventojo statusą, palyginti su savo piliečiais, grindžiamas būtent šiuo statusu. Tai leido padaryti išvadą, kad nagrinėjamos nacionalinės teisės normos vienodai taikomos visiems trečiųjų šalių piliečiams, taigi, nesudaro mažiau palankių sąlygų konkrečios etninės kilmės asmenims. Todėl, Teisingumo Teismo vertinimu, jos negali sudaryti „netiesioginės diskriminacijos“ dėl etninės kilmės, kaip tai suprantama pagal Direktyvos 2000/43 2 straipsnio 2 dalies b punktą.</w:t>
      </w:r>
    </w:p>
    <w:p w14:paraId="56D5BE0D" w14:textId="77777777" w:rsidR="00493C73" w:rsidRPr="00353B65" w:rsidRDefault="00493C73" w:rsidP="00493C73">
      <w:pPr>
        <w:rPr>
          <w:rFonts w:cstheme="minorHAnsi"/>
        </w:rPr>
      </w:pPr>
    </w:p>
    <w:p w14:paraId="60E8E8BD" w14:textId="77777777" w:rsidR="00493C73" w:rsidRPr="00963B91" w:rsidRDefault="00493C73" w:rsidP="00963B91">
      <w:pPr>
        <w:pStyle w:val="Antrat3"/>
        <w:ind w:firstLine="567"/>
      </w:pPr>
      <w:bookmarkStart w:id="74" w:name="_Toc85700974"/>
      <w:r w:rsidRPr="00963B91">
        <w:t>Dėl Chartijos 21 straipsnio taikymo</w:t>
      </w:r>
      <w:bookmarkEnd w:id="74"/>
    </w:p>
    <w:p w14:paraId="623589B4" w14:textId="77777777" w:rsidR="00493C73" w:rsidRPr="00353B65" w:rsidRDefault="00493C73" w:rsidP="00493C73">
      <w:pPr>
        <w:rPr>
          <w:rFonts w:cstheme="minorHAnsi"/>
          <w:i/>
          <w:iCs/>
        </w:rPr>
      </w:pPr>
    </w:p>
    <w:p w14:paraId="3C26946F" w14:textId="4C8A314A" w:rsidR="00493C73" w:rsidRPr="00353B65" w:rsidRDefault="00493C73" w:rsidP="0028069C">
      <w:pPr>
        <w:ind w:firstLine="567"/>
        <w:rPr>
          <w:rFonts w:cstheme="minorHAnsi"/>
        </w:rPr>
      </w:pPr>
      <w:r w:rsidRPr="00353B65">
        <w:rPr>
          <w:rFonts w:cstheme="minorHAnsi"/>
        </w:rPr>
        <w:t>Teisingumo Teismas priminė, kad remdamasis Chartija jis negali vertinti nacionalinės teisės aktų, kurie nepatenka į Sąjungos teisės taikymo sritį. Jeigu nacionalinis teismas nuspręstų, jog nagrinėjama būsto parama nelaikytina „esmine išmoka“, kaip tai suprantama pagal Direktyvos 2003/109 11 straipsnio 4 dalį, reikėtų daryti išvadą, kad atitinkamos Austrijos teisės normos nepatenka į Chartijos taikymo sritį, todėl negali būti vertinamos atsižvelgiant į Chartijos nuostatas, visų pirma į jos 21 straipsnį. Tačiau jei tokia parama būtų pripažinta „esmine išmoka“, Chartiją reikėtų taikyti. Šiuo aspektu Teisingumo Teismas nurodė, kad tik tokios nacionalinės teisės nuostatos, kurios vienodai taikomos visiems trečiųjų šalių piliečiams, ir iš kurių nematyti, jog jos būtų mažiau palankios konkrečios etninės kilmės asmenims, negali būti laikomos diskriminuojančiomis dėl etninės kilmės, kaip tai suprantama pagal Chartijos 21 straipsnį, kurio konkreti išraiška yra Direktyva 2000/43 tose srityse, kurias ji apima.</w:t>
      </w:r>
    </w:p>
    <w:p w14:paraId="617F83FD" w14:textId="0F78FD00" w:rsidR="00493C73" w:rsidRPr="00353B65" w:rsidRDefault="003347AD" w:rsidP="0028069C">
      <w:pPr>
        <w:ind w:firstLine="567"/>
      </w:pPr>
      <w:hyperlink r:id="rId30" w:history="1">
        <w:r w:rsidR="00493C73" w:rsidRPr="00353B65">
          <w:rPr>
            <w:rStyle w:val="Hipersaitas"/>
          </w:rPr>
          <w:t>Prieiga internete</w:t>
        </w:r>
      </w:hyperlink>
    </w:p>
    <w:p w14:paraId="59C69759" w14:textId="77777777" w:rsidR="00493C73" w:rsidRPr="00353B65" w:rsidRDefault="00493C73" w:rsidP="00493C73">
      <w:pPr>
        <w:rPr>
          <w:rFonts w:cstheme="minorHAnsi"/>
        </w:rPr>
      </w:pPr>
    </w:p>
    <w:p w14:paraId="32F6E7FE" w14:textId="0A0D9330" w:rsidR="00493C73" w:rsidRPr="00963B91" w:rsidRDefault="0097578D" w:rsidP="00963B91">
      <w:pPr>
        <w:pStyle w:val="Antrat1"/>
        <w:rPr>
          <w:i/>
          <w:iCs/>
        </w:rPr>
      </w:pPr>
      <w:bookmarkStart w:id="75" w:name="_Toc85700975"/>
      <w:r>
        <w:t xml:space="preserve">Didžiosios kolegijos </w:t>
      </w:r>
      <w:r w:rsidR="00493C73" w:rsidRPr="00353B65">
        <w:t xml:space="preserve">2021 m. birželio 21 d. </w:t>
      </w:r>
      <w:r w:rsidR="00493C73" w:rsidRPr="00410FED">
        <w:t>sprendimas</w:t>
      </w:r>
      <w:r>
        <w:t xml:space="preserve"> byloje </w:t>
      </w:r>
      <w:r w:rsidRPr="00DC60D8">
        <w:rPr>
          <w:i/>
          <w:iCs/>
        </w:rPr>
        <w:t>Staatssecretaris van Justitie en Veiligheid (Effets d’une décision d’éloignement)</w:t>
      </w:r>
      <w:r w:rsidR="00963B91">
        <w:rPr>
          <w:i/>
          <w:iCs/>
        </w:rPr>
        <w:t xml:space="preserve">, </w:t>
      </w:r>
      <w:r w:rsidR="00493C73" w:rsidRPr="00177F84">
        <w:rPr>
          <w:bCs/>
        </w:rPr>
        <w:t>C-719/19</w:t>
      </w:r>
      <w:bookmarkEnd w:id="75"/>
    </w:p>
    <w:p w14:paraId="452EBF3C" w14:textId="77777777" w:rsidR="00493C73" w:rsidRPr="00353B65" w:rsidRDefault="00493C73" w:rsidP="00493C73">
      <w:pPr>
        <w:jc w:val="center"/>
        <w:rPr>
          <w:b/>
          <w:i/>
          <w:iCs/>
        </w:rPr>
      </w:pPr>
    </w:p>
    <w:p w14:paraId="04428193" w14:textId="5DD662EB" w:rsidR="00493C73" w:rsidRPr="00DC60D8" w:rsidRDefault="00DC60D8" w:rsidP="00DC60D8">
      <w:pPr>
        <w:tabs>
          <w:tab w:val="left" w:pos="6379"/>
        </w:tabs>
        <w:ind w:firstLine="540"/>
        <w:rPr>
          <w:rFonts w:asciiTheme="minorHAnsi" w:hAnsiTheme="minorHAnsi" w:cstheme="minorHAnsi"/>
        </w:rPr>
      </w:pPr>
      <w:r w:rsidRPr="00DC60D8">
        <w:rPr>
          <w:rFonts w:asciiTheme="minorHAnsi" w:hAnsiTheme="minorHAnsi" w:cstheme="minorHAnsi"/>
        </w:rPr>
        <w:t>Sąjungos pilietybė – Direktyva 2004/38/EB – Sąjungos piliečių ir jų šeimos narių teisė laisvai judėti ir gyventi valstybių narių teritorijoje – 15 straipsnis – Sąjungos piliečio laikino gyvenimo priimančiosios valstybės narės teritorijoje pabaiga – Sprendimas išsiųsti iš šalies – Fizinis Sąjungos piliečio išvykimas iš šios teritorijos – Šio sprendimo išsiųsti iš šalies poveikis laiko atžvilgiu – 6 straipsnis – Galimybė tam Sąjungos piliečiui iš naujo pasinaudoti teise gyventi šalyje, grįžus į minėtą teritoriją</w:t>
      </w:r>
    </w:p>
    <w:p w14:paraId="335482D8" w14:textId="77777777" w:rsidR="00DC60D8" w:rsidRDefault="00DC60D8" w:rsidP="00DC60D8">
      <w:pPr>
        <w:jc w:val="center"/>
        <w:rPr>
          <w:b/>
          <w:bCs/>
        </w:rPr>
      </w:pPr>
    </w:p>
    <w:p w14:paraId="6A60EA0D" w14:textId="6F3730B5" w:rsidR="00DC60D8" w:rsidRPr="00DC60D8" w:rsidRDefault="00DC60D8" w:rsidP="00DC60D8">
      <w:pPr>
        <w:jc w:val="center"/>
        <w:rPr>
          <w:b/>
          <w:bCs/>
        </w:rPr>
      </w:pPr>
      <w:r w:rsidRPr="00DC60D8">
        <w:rPr>
          <w:b/>
          <w:bCs/>
        </w:rPr>
        <w:t>Bylos aplinkybės</w:t>
      </w:r>
    </w:p>
    <w:p w14:paraId="08E454B4" w14:textId="77777777" w:rsidR="00DC60D8" w:rsidRDefault="00DC60D8" w:rsidP="0028069C">
      <w:pPr>
        <w:ind w:firstLine="567"/>
      </w:pPr>
    </w:p>
    <w:p w14:paraId="067191F6" w14:textId="72138CEC" w:rsidR="00493C73" w:rsidRPr="00353B65" w:rsidRDefault="00493C73" w:rsidP="0028069C">
      <w:pPr>
        <w:ind w:firstLine="567"/>
      </w:pPr>
      <w:r w:rsidRPr="00353B65">
        <w:t>Pagrindinėje byloje Lenkijos pilietis skundė Nyderlandų institucijų jam taikytą administracinį sulaikymą, siekiant išsiųsti jį iš šalies, kaip tai suprantama pagal Direktyvos 2004/38</w:t>
      </w:r>
      <w:r w:rsidRPr="00353B65">
        <w:rPr>
          <w:rStyle w:val="Puslapioinaosnuoroda"/>
        </w:rPr>
        <w:footnoteReference w:id="33"/>
      </w:r>
      <w:r w:rsidRPr="00353B65">
        <w:t xml:space="preserve"> 15 straipsnį, dėl to, kad įpareigotas išvykti iš Nyderlandų, kur gyveno neteisėtai, nes nebetenkino Direktyvos 2004/38 7 straipsnyje numatytų sąlygų, tai padarė, bet netrukus vėl grįžo. Prašymą priimti prejudicinį sprendimą pateikusio Nyderlandų teismo nuomone, pareiškėjo sulaikymo teisėtumas priklauso nuo to, ar jis vėl turi teisę gyventi šalyje sulaikymo taikymo dieną. Todėl Teisingumo Teismo prašyta paaiškinti aplinkybes, kuriomis Sąjungos pilietis, dėl kurio priimtas sprendimas išsiųsti iš šalies dėl kitų priežasčių nei viešoji tvarka, visuomenės saugumas ar visuomenės sveikata, gali iš naujo pasinaudoti teise gyventi priimančiojoje valstybėje narėje.</w:t>
      </w:r>
    </w:p>
    <w:p w14:paraId="4DF94EA0" w14:textId="77777777" w:rsidR="00493C73" w:rsidRPr="00353B65" w:rsidRDefault="00493C73" w:rsidP="00493C73"/>
    <w:p w14:paraId="704A3C2B" w14:textId="77777777" w:rsidR="00493C73" w:rsidRPr="00353B65" w:rsidRDefault="00493C73" w:rsidP="00493C73">
      <w:pPr>
        <w:jc w:val="center"/>
        <w:rPr>
          <w:b/>
        </w:rPr>
      </w:pPr>
      <w:r w:rsidRPr="00353B65">
        <w:rPr>
          <w:b/>
        </w:rPr>
        <w:t>Teisingumo Teismo vertinimas</w:t>
      </w:r>
    </w:p>
    <w:p w14:paraId="6AF33AF9" w14:textId="77777777" w:rsidR="00493C73" w:rsidRPr="00353B65" w:rsidRDefault="00493C73" w:rsidP="00493C73"/>
    <w:p w14:paraId="15D0870A" w14:textId="5EA6A55D" w:rsidR="00963B91" w:rsidRDefault="00963B91" w:rsidP="00963B91">
      <w:pPr>
        <w:pStyle w:val="Antrat3"/>
        <w:ind w:firstLine="567"/>
      </w:pPr>
      <w:bookmarkStart w:id="76" w:name="_Toc85700976"/>
      <w:r>
        <w:t xml:space="preserve">Dėl </w:t>
      </w:r>
      <w:r w:rsidRPr="00963B91">
        <w:t>galimybės Sąjungos piliečiui iš naujo pasinaudoti teise gyventi šalyje po sprendimo išsiųsti jį iš šalies įvykdymo</w:t>
      </w:r>
      <w:bookmarkEnd w:id="76"/>
    </w:p>
    <w:p w14:paraId="315D96AD" w14:textId="77777777" w:rsidR="00963B91" w:rsidRDefault="00963B91" w:rsidP="0028069C">
      <w:pPr>
        <w:ind w:firstLine="567"/>
      </w:pPr>
    </w:p>
    <w:p w14:paraId="102A5E51" w14:textId="2356CF52" w:rsidR="00493C73" w:rsidRPr="00115851" w:rsidRDefault="006C6208" w:rsidP="0028069C">
      <w:pPr>
        <w:ind w:firstLine="567"/>
        <w:rPr>
          <w:u w:val="single"/>
        </w:rPr>
      </w:pPr>
      <w:r w:rsidRPr="00115851">
        <w:rPr>
          <w:u w:val="single"/>
        </w:rPr>
        <w:t>V</w:t>
      </w:r>
      <w:r w:rsidR="00493C73" w:rsidRPr="00115851">
        <w:rPr>
          <w:u w:val="single"/>
        </w:rPr>
        <w:t>ien fizinio Sąjungos piliečio išvykimo iš priimančiosios valstybės narės teritorijos nepakanka, kad būtų visiškai įvykdytas sprendimas jį išsiųsti iš šalies, priimtas pagal Direktyvos 2004/38 15 straipsnio 1 dalį. Tam, kad galėtų vėl pasinaudoti teise gyventi šioje teritorijoje pagal šios direktyvos 6 straipsnio 1 dalį, šis Sąjungos pilietis turi ne tik fiziškai išvykti iš minėtos teritorijos, bet ir realiai bei veiksmingai nebegyventi joje, kad tuo atveju, jeigu grįžtų į priimančiosios valstybės narės teritoriją, jo gyvenimo šalyje nebūtų galima iš tiesų laikyti ankstesnio jo gyvenimo šioje teritorijoje tęsiniu.</w:t>
      </w:r>
    </w:p>
    <w:p w14:paraId="447106A4" w14:textId="77777777" w:rsidR="00493C73" w:rsidRPr="00353B65" w:rsidRDefault="00493C73" w:rsidP="0028069C">
      <w:pPr>
        <w:ind w:firstLine="567"/>
      </w:pPr>
      <w:r w:rsidRPr="00353B65">
        <w:t>Dėl aplinkybių, reikšmingų vertinant sprendimo išsiųsti iš šalies įvykdymą Teisingumo Teismas pažymėjo, kad laiko, kurį šis asmuo praleido už priimančiosios valstybės narės teritorijos ribų po to, kai buvo priimtas sprendimas išsiųsti iš šalies, trukmė gali turėti tam tikros reikšmės, nes kuo ilgesnis suinteresuotojo asmens nebuvimas priimančiosios valstybės narės teritorijoje, tuo labiau jis patvirtina gyvenimo šalyje pabaigos realumą ir veiksmingumą. Be to, svarbios visos aplinkybės, patvirtinančios ryšių tarp atitinkamo Sąjungos piliečio ir priimančiosios valstybės narės nutraukimą, kaip antai nuomos sutarties nutraukimas ar persikraustymas gyventi į kitą vietą. Tokių aplinkybių reikšmingumą turi įvertinti kompetentinga nacionalinė institucija, atsižvelgdama į visas konkrečias aplinkybes, apibūdinančias konkrečią atitinkamo Sąjungos piliečio padėtį.</w:t>
      </w:r>
    </w:p>
    <w:p w14:paraId="305C6F08" w14:textId="5FA70538" w:rsidR="00493C73" w:rsidRPr="00353B65" w:rsidRDefault="00493C73" w:rsidP="0028069C">
      <w:pPr>
        <w:ind w:firstLine="567"/>
      </w:pPr>
      <w:r w:rsidRPr="00353B65">
        <w:t xml:space="preserve">Pasisakydamas dėl sprendimo išsiųsti iš šalies neįvykdymo pasekmių Teisingumo Teismas nurodė, kad jeigu atlikus tokį patikrinimą paaiškėja, jog Sąjungos pilietis realiai ir veiksmingai nenustojo laikinai gyventi priimančiosios valstybės narės teritorijoje, ši valstybė narė neprivalo priimti naujo sprendimo išsiųsti iš šalies, grindžiamo tomis pačiomis faktinėmis aplinkybėmis, dėl kurių jau priimtas sprendimas išsiųsti šį Sąjungos pilietį, ir gali remtis pastaruoju sprendimu, kad priverstų jį išvykti iš savo teritorijos. Kita vertus, </w:t>
      </w:r>
      <w:r w:rsidRPr="00115851">
        <w:rPr>
          <w:u w:val="single"/>
        </w:rPr>
        <w:t>dėl esminio aplinkybių pasikeitimo, lemiančio tai, kad Sąjungos pilietis gali įvykdyti minėtos direktyvos 7 straipsnyje numatytas sąlygas, sprendimas išsiųsti jį iš šalies taptų visiškai neveiksmingas ir, nepaisant to, kad jis neįvykdytas, Teisingumo Teismas pabrėžė, kad šio Sąjungos piliečio gyvenimą atitinkamos valstybės narės teritorijoje reikėtų laikyti teisėtu</w:t>
      </w:r>
      <w:r w:rsidRPr="00353B65">
        <w:t>. Be kita ko, svarbu ir tai, kad pagal Direktyvos 2004/38 15 straipsnio 1 dalį priimtu sprendimu išsiųsti iš šalies Sąjungos pilietį negalima prieš jį remtis, jeigu jo buvimas priimančiosios valstybės narės teritorijoje pateisinamas pagal šios direktyvos 5 straipsnį</w:t>
      </w:r>
      <w:r w:rsidR="00115851">
        <w:rPr>
          <w:rStyle w:val="Puslapioinaosnuoroda"/>
        </w:rPr>
        <w:footnoteReference w:id="34"/>
      </w:r>
      <w:r w:rsidRPr="00353B65">
        <w:t>.</w:t>
      </w:r>
    </w:p>
    <w:p w14:paraId="651C5E78" w14:textId="4E3FAEED" w:rsidR="00493C73" w:rsidRPr="00353B65" w:rsidRDefault="003347AD" w:rsidP="0028069C">
      <w:pPr>
        <w:ind w:firstLine="567"/>
        <w:rPr>
          <w:rStyle w:val="Hipersaitas"/>
        </w:rPr>
      </w:pPr>
      <w:hyperlink r:id="rId31" w:history="1">
        <w:r w:rsidR="00493C73" w:rsidRPr="00353B65">
          <w:rPr>
            <w:rStyle w:val="Hipersaitas"/>
          </w:rPr>
          <w:t>Prieiga internete</w:t>
        </w:r>
      </w:hyperlink>
    </w:p>
    <w:p w14:paraId="41B42FBE" w14:textId="77777777" w:rsidR="00493C73" w:rsidRPr="00353B65" w:rsidRDefault="00493C73" w:rsidP="00493C73">
      <w:pPr>
        <w:rPr>
          <w:rStyle w:val="Hipersaitas"/>
        </w:rPr>
      </w:pPr>
    </w:p>
    <w:p w14:paraId="497D2179" w14:textId="71DEF415" w:rsidR="00493C73" w:rsidRPr="00963B91" w:rsidRDefault="00EE07A2" w:rsidP="00963B91">
      <w:pPr>
        <w:pStyle w:val="Antrat1"/>
        <w:rPr>
          <w:szCs w:val="22"/>
        </w:rPr>
      </w:pPr>
      <w:bookmarkStart w:id="77" w:name="_Toc85700977"/>
      <w:r>
        <w:rPr>
          <w:szCs w:val="22"/>
        </w:rPr>
        <w:t xml:space="preserve">Didžiosios kolegijos </w:t>
      </w:r>
      <w:r w:rsidR="00493C73" w:rsidRPr="00353B65">
        <w:rPr>
          <w:szCs w:val="22"/>
        </w:rPr>
        <w:t xml:space="preserve">2021 m. birželio 22 d. </w:t>
      </w:r>
      <w:r w:rsidR="00493C73" w:rsidRPr="00410FED">
        <w:t>sprendimas</w:t>
      </w:r>
      <w:r>
        <w:rPr>
          <w:szCs w:val="22"/>
        </w:rPr>
        <w:t xml:space="preserve"> byloje </w:t>
      </w:r>
      <w:r w:rsidRPr="00DC60D8">
        <w:rPr>
          <w:i/>
          <w:iCs/>
        </w:rPr>
        <w:t>Ordre des barreaux francophones ir germanophone ir kt. (Mesures préventives en vue d’éloignement)</w:t>
      </w:r>
      <w:r w:rsidR="00963B91">
        <w:rPr>
          <w:i/>
          <w:iCs/>
        </w:rPr>
        <w:t xml:space="preserve">, </w:t>
      </w:r>
      <w:r w:rsidR="00493C73" w:rsidRPr="00177F84">
        <w:rPr>
          <w:bCs/>
        </w:rPr>
        <w:t>C</w:t>
      </w:r>
      <w:r w:rsidR="00493C73" w:rsidRPr="00177F84">
        <w:rPr>
          <w:rFonts w:ascii="Cambria Math" w:hAnsi="Cambria Math" w:cs="Cambria Math"/>
          <w:bCs/>
        </w:rPr>
        <w:t>‑</w:t>
      </w:r>
      <w:r w:rsidR="00493C73" w:rsidRPr="00177F84">
        <w:rPr>
          <w:bCs/>
        </w:rPr>
        <w:t>718/19</w:t>
      </w:r>
      <w:bookmarkEnd w:id="77"/>
    </w:p>
    <w:p w14:paraId="607A08D4" w14:textId="77777777" w:rsidR="00493C73" w:rsidRPr="00353B65" w:rsidRDefault="00493C73" w:rsidP="00493C73">
      <w:pPr>
        <w:rPr>
          <w:rFonts w:cstheme="minorHAnsi"/>
          <w:i/>
          <w:iCs/>
        </w:rPr>
      </w:pPr>
    </w:p>
    <w:p w14:paraId="6D5805A5" w14:textId="05F6E49F" w:rsidR="00493C73" w:rsidRPr="00DC60D8" w:rsidRDefault="00DC60D8" w:rsidP="00DC60D8">
      <w:pPr>
        <w:tabs>
          <w:tab w:val="left" w:pos="6379"/>
        </w:tabs>
        <w:ind w:firstLine="540"/>
        <w:rPr>
          <w:rFonts w:asciiTheme="minorHAnsi" w:hAnsiTheme="minorHAnsi" w:cstheme="minorHAnsi"/>
        </w:rPr>
      </w:pPr>
      <w:r w:rsidRPr="00DC60D8">
        <w:rPr>
          <w:rFonts w:asciiTheme="minorHAnsi" w:hAnsiTheme="minorHAnsi" w:cstheme="minorHAnsi"/>
        </w:rPr>
        <w:t>Sąjungos pilietybė – SESV 20 ir 21 straipsniai – Direktyva 2004/38/EB – Sąjungos piliečių ir jų šeimos narių teisė laisvai judėti ir gyventi valstybių narių teritorijoje – Viešosios tvarkos pagrindais priimtas sprendimas nebeleisti suinteresuotajam asmeniui gyventi šalyje – Prevencinės priemonės, taikomos siekiant užkirsti kelią suinteresuotajam asmeniui slėptis per jam išvykti iš priimančiosios valstybės narės teritorijos nustatytą terminą – Nacionalinės nuostatos, panašios į pagal Direktyvos 2008/115/EB 7 straipsnio 3 dalį trečiųjų šalių piliečiams taikomas nuostatas – Siekiant išsiųsti taikomo sulaikymo maksimalus terminas – Tokia pati kaip trečiųjų šalių piliečiams taikoma nacionalinė nuostata</w:t>
      </w:r>
    </w:p>
    <w:p w14:paraId="03606C34" w14:textId="77777777" w:rsidR="00DC60D8" w:rsidRDefault="00DC60D8" w:rsidP="00DC60D8">
      <w:pPr>
        <w:jc w:val="center"/>
        <w:rPr>
          <w:rFonts w:cstheme="minorHAnsi"/>
          <w:b/>
          <w:bCs/>
        </w:rPr>
      </w:pPr>
    </w:p>
    <w:p w14:paraId="15584719" w14:textId="148D14B7" w:rsidR="00DC60D8" w:rsidRPr="00DC60D8" w:rsidRDefault="00DC60D8" w:rsidP="00DC60D8">
      <w:pPr>
        <w:jc w:val="center"/>
        <w:rPr>
          <w:rFonts w:cstheme="minorHAnsi"/>
          <w:b/>
          <w:bCs/>
        </w:rPr>
      </w:pPr>
      <w:r w:rsidRPr="00DC60D8">
        <w:rPr>
          <w:rFonts w:cstheme="minorHAnsi"/>
          <w:b/>
          <w:bCs/>
        </w:rPr>
        <w:t>Bylos aplinkybės</w:t>
      </w:r>
    </w:p>
    <w:p w14:paraId="4C65BEB8" w14:textId="77777777" w:rsidR="00DC60D8" w:rsidRDefault="00DC60D8" w:rsidP="0028069C">
      <w:pPr>
        <w:ind w:firstLine="567"/>
        <w:rPr>
          <w:rFonts w:cstheme="minorHAnsi"/>
        </w:rPr>
      </w:pPr>
    </w:p>
    <w:p w14:paraId="64DD82FA" w14:textId="35A77E1A" w:rsidR="00493C73" w:rsidRPr="00353B65" w:rsidRDefault="00493C73" w:rsidP="0028069C">
      <w:pPr>
        <w:ind w:firstLine="567"/>
        <w:rPr>
          <w:rFonts w:cstheme="minorHAnsi"/>
        </w:rPr>
      </w:pPr>
      <w:r w:rsidRPr="00353B65">
        <w:rPr>
          <w:rFonts w:cstheme="minorHAnsi"/>
        </w:rPr>
        <w:t>Šioje byloje su prašymu priimti prejudicinį sprendimą kreipėsi Belgijos Konstitucinis teismas, kuriam kilo klausimų dėl nacionalinės teisės akto, numatančio galimybę taikyti prevencines priemones Sąjungos piliečiams ar jų šeimos nariams, dėl viešosios tvarkos priežasčių gavusiems įsakymą išvykti iš Belgijos teritorijos per jiems nustatytą išvykimo iš šios teritorijos terminą, kuris gali būti pratęstas, siekiant išvengti suinteresuotojo asmens pasislėpimo rizikos, suderinamumo su Sąjungos teise. Antra, pagal minėtą teisės aktą leidžiama sulaikyti Sąjungos piliečius ir jų šeimos narius, kurie nesilaikė tokio sprendimo išsiųsti, kad būtų užtikrintas jo vykdymas, ne ilgiau kaip aštuonis mėnesius. Šios nuostatos yra panašios arba tapačios toms, kurios taikomos neteisėtai esantiems trečiųjų šalių piliečiams, siekiant Grąžinimo direktyvą</w:t>
      </w:r>
      <w:r w:rsidRPr="00353B65">
        <w:rPr>
          <w:rStyle w:val="Puslapioinaosnuoroda"/>
          <w:rFonts w:cstheme="minorHAnsi"/>
        </w:rPr>
        <w:footnoteReference w:id="35"/>
      </w:r>
      <w:r w:rsidRPr="00353B65">
        <w:rPr>
          <w:rFonts w:cstheme="minorHAnsi"/>
        </w:rPr>
        <w:t xml:space="preserve"> perkelti į Belgijos teisę. </w:t>
      </w:r>
      <w:r w:rsidR="006C6208">
        <w:rPr>
          <w:rFonts w:cstheme="minorHAnsi"/>
        </w:rPr>
        <w:t>Š</w:t>
      </w:r>
      <w:r w:rsidRPr="00353B65">
        <w:rPr>
          <w:rFonts w:cstheme="minorHAnsi"/>
        </w:rPr>
        <w:t>iomis aplinkybėmis prašymą priimti prejudicinį sprendimą pateikęs teismas teiravosi, ar šis Belgijos teisės aktas atitinka judėjimo laisvę, kuri SESV 20 ir 21 straipsniais ir Direktyva 2004/38</w:t>
      </w:r>
      <w:r w:rsidRPr="00353B65">
        <w:rPr>
          <w:rStyle w:val="Puslapioinaosnuoroda"/>
          <w:rFonts w:cstheme="minorHAnsi"/>
        </w:rPr>
        <w:footnoteReference w:id="36"/>
      </w:r>
      <w:r w:rsidRPr="00353B65">
        <w:rPr>
          <w:rFonts w:cstheme="minorHAnsi"/>
        </w:rPr>
        <w:t xml:space="preserve"> užtikrinama Sąjungos piliečiams ir jų šeimos nariams.</w:t>
      </w:r>
    </w:p>
    <w:p w14:paraId="20F68A5D" w14:textId="77777777" w:rsidR="00493C73" w:rsidRPr="00353B65" w:rsidRDefault="00493C73" w:rsidP="00493C73">
      <w:pPr>
        <w:rPr>
          <w:rFonts w:cstheme="minorHAnsi"/>
        </w:rPr>
      </w:pPr>
    </w:p>
    <w:p w14:paraId="2D26C796" w14:textId="77777777" w:rsidR="00493C73" w:rsidRPr="00353B65" w:rsidRDefault="00493C73" w:rsidP="00493C73">
      <w:pPr>
        <w:jc w:val="center"/>
        <w:rPr>
          <w:rFonts w:cstheme="minorHAnsi"/>
          <w:b/>
          <w:bCs/>
        </w:rPr>
      </w:pPr>
      <w:r w:rsidRPr="00353B65">
        <w:rPr>
          <w:rFonts w:cstheme="minorHAnsi"/>
          <w:b/>
          <w:bCs/>
        </w:rPr>
        <w:t>Teisingumo Teismo vertinimas</w:t>
      </w:r>
    </w:p>
    <w:p w14:paraId="43C38901" w14:textId="77777777" w:rsidR="00493C73" w:rsidRPr="00353B65" w:rsidRDefault="00493C73" w:rsidP="00493C73">
      <w:pPr>
        <w:jc w:val="center"/>
        <w:rPr>
          <w:rFonts w:cstheme="minorHAnsi"/>
          <w:b/>
          <w:bCs/>
        </w:rPr>
      </w:pPr>
    </w:p>
    <w:p w14:paraId="507E1F62" w14:textId="572F1167" w:rsidR="00963B91" w:rsidRPr="00963B91" w:rsidRDefault="00963B91" w:rsidP="00963B91">
      <w:pPr>
        <w:pStyle w:val="Antrat3"/>
        <w:ind w:firstLine="567"/>
      </w:pPr>
      <w:bookmarkStart w:id="78" w:name="_Toc85700978"/>
      <w:r w:rsidRPr="00963B91">
        <w:t>Dėl Sąjungos piliečio sulaikymo maksimalaus termino siekiant jį išsiųsti</w:t>
      </w:r>
      <w:bookmarkEnd w:id="78"/>
      <w:r w:rsidRPr="00963B91">
        <w:t xml:space="preserve"> </w:t>
      </w:r>
    </w:p>
    <w:p w14:paraId="7C29F38A" w14:textId="77777777" w:rsidR="00963B91" w:rsidRDefault="00963B91" w:rsidP="0028069C">
      <w:pPr>
        <w:ind w:firstLine="567"/>
        <w:rPr>
          <w:rFonts w:cstheme="minorHAnsi"/>
        </w:rPr>
      </w:pPr>
    </w:p>
    <w:p w14:paraId="3F6BB817" w14:textId="1186D1C3" w:rsidR="00493C73" w:rsidRPr="00353B65" w:rsidRDefault="00493C73" w:rsidP="0028069C">
      <w:pPr>
        <w:ind w:firstLine="567"/>
        <w:rPr>
          <w:rFonts w:cstheme="minorHAnsi"/>
        </w:rPr>
      </w:pPr>
      <w:r w:rsidRPr="00353B65">
        <w:rPr>
          <w:rFonts w:cstheme="minorHAnsi"/>
        </w:rPr>
        <w:t>Atsižvelgdamas į tai, kad asmenys, kuriems taikoma Direktyva 2004/38, turi visiškai kitokį statusą ir teises nei tas, kuriomis gali remtis asmenys, kuriems taikoma Grąžinimo direktyva, Teisingumo Teismas darė išvadą, kad esminis Sąjungos piliečių statusas lemia tai, jog priemonės, kurios jiems gali būti taikomos siekiant išvengti pasislėpimo pavojaus, negali būti mažiau palankios nei nacionalinėje teisėje dėl viešosios tvarkos ar visuomenės saugumo priežasčių numatytos priemonės, skirtos išvengti trečiųjų šalių piliečių, kuriems taikoma grąžinimo procedūra pagal Grąžinimo direktyvą, pasislėpimo pavojaus per savanoriško išvykimo laikotarpį.</w:t>
      </w:r>
    </w:p>
    <w:p w14:paraId="3AFE4282" w14:textId="77777777" w:rsidR="00963B91" w:rsidRDefault="00493C73" w:rsidP="00963B91">
      <w:pPr>
        <w:ind w:firstLine="567"/>
        <w:rPr>
          <w:rFonts w:cstheme="minorHAnsi"/>
        </w:rPr>
      </w:pPr>
      <w:r w:rsidRPr="00353B65">
        <w:rPr>
          <w:rFonts w:cstheme="minorHAnsi"/>
        </w:rPr>
        <w:t>Kalbėdamas konkrečiai apie išsiuntimo iš šalies procedūros trukmę, Teisingumo Teismas pažymėjo, kad Sąjungos piliečių ir jų šeimų narių padėtis nėra panaši į trečiųjų šalių piliečių padėtį, todėl nėra pagrindo vienodai vertinti visus šiuos asmenis, kiek tai susiję su maksimalia sulaikymo trukme. Šiuo aspektu akcentuota galimybė naudotis valstybių narių turimais bendradarbiavimo ir supaprastinimo mechanizmais, taikomais išsiunčiant iš šalies Sąjungos piliečius ar jų šeimos narius į kitą valstybę narę, taip pat, tikėtina, praktinių sunkumų, susijusių su ES piliečio grąžinimo kelionės organizavimu, stoka bei lengvesnis tokio piliečio gražinimas į jo kilmės valstybės narės teritoriją pagal Direktyvą 2004/38.</w:t>
      </w:r>
    </w:p>
    <w:p w14:paraId="7E09E221" w14:textId="218376D2" w:rsidR="00493C73" w:rsidRPr="00963B91" w:rsidRDefault="00493C73" w:rsidP="00963B91">
      <w:pPr>
        <w:ind w:firstLine="567"/>
        <w:rPr>
          <w:rStyle w:val="Hipersaitas"/>
          <w:rFonts w:cstheme="minorHAnsi"/>
          <w:color w:val="auto"/>
          <w:u w:val="none"/>
        </w:rPr>
      </w:pPr>
      <w:r w:rsidRPr="00353B65">
        <w:rPr>
          <w:rFonts w:cstheme="minorHAnsi"/>
        </w:rPr>
        <w:t xml:space="preserve">Teisingumo Teismas darė išvadą, kad </w:t>
      </w:r>
      <w:r w:rsidRPr="00963B91">
        <w:rPr>
          <w:rFonts w:cstheme="minorHAnsi"/>
          <w:u w:val="single"/>
        </w:rPr>
        <w:t>maksimali aštuonių mėnesių sulaikymo siekiant išsiųsti Sąjungos piliečius ir jų šeimos narius trukmė viršija tai, kas būtina numatytam tikslui pasiekti</w:t>
      </w:r>
      <w:r w:rsidRPr="00353B65">
        <w:rPr>
          <w:rFonts w:cstheme="minorHAnsi"/>
        </w:rPr>
        <w:t>.</w:t>
      </w:r>
      <w:r w:rsidRPr="00353B65">
        <w:rPr>
          <w:rFonts w:cstheme="minorHAnsi"/>
        </w:rPr>
        <w:fldChar w:fldCharType="begin"/>
      </w:r>
      <w:r w:rsidR="00963B91">
        <w:rPr>
          <w:rFonts w:cstheme="minorHAnsi"/>
        </w:rPr>
        <w:instrText>HYPERLINK "https://curia.europa.eu/juris/document/document.jsf?docid=243245&amp;mode=req&amp;pageIndex=1&amp;dir=&amp;occ=first&amp;part=1&amp;text=&amp;doclang=LT&amp;cid=884637"</w:instrText>
      </w:r>
      <w:r w:rsidRPr="00353B65">
        <w:rPr>
          <w:rFonts w:cstheme="minorHAnsi"/>
        </w:rPr>
        <w:fldChar w:fldCharType="separate"/>
      </w:r>
    </w:p>
    <w:p w14:paraId="38986590" w14:textId="13E9AF81" w:rsidR="00493C73" w:rsidRPr="00353B65" w:rsidRDefault="00493C73" w:rsidP="0028069C">
      <w:pPr>
        <w:ind w:firstLine="567"/>
      </w:pPr>
      <w:r w:rsidRPr="00353B65">
        <w:rPr>
          <w:rStyle w:val="Hipersaitas"/>
        </w:rPr>
        <w:t>Prieiga internete</w:t>
      </w:r>
      <w:r w:rsidRPr="00353B65">
        <w:rPr>
          <w:rFonts w:cstheme="minorHAnsi"/>
        </w:rPr>
        <w:fldChar w:fldCharType="end"/>
      </w:r>
    </w:p>
    <w:p w14:paraId="0C611643" w14:textId="63973976" w:rsidR="00493C73" w:rsidRPr="00353B65" w:rsidRDefault="00493C73" w:rsidP="00493C73"/>
    <w:p w14:paraId="605EDF74" w14:textId="72BDAA72" w:rsidR="00515BCC" w:rsidRPr="00353B65" w:rsidRDefault="00515BCC" w:rsidP="00410FED">
      <w:pPr>
        <w:pStyle w:val="Antrat1"/>
      </w:pPr>
      <w:bookmarkStart w:id="79" w:name="_Toc85700979"/>
      <w:r w:rsidRPr="00353B65">
        <w:t>TEISĖ GAUTI INFORMACIJĄ</w:t>
      </w:r>
      <w:bookmarkEnd w:id="79"/>
    </w:p>
    <w:p w14:paraId="32AF3F21" w14:textId="77777777" w:rsidR="00515BCC" w:rsidRPr="00353B65" w:rsidRDefault="00515BCC" w:rsidP="00515BCC"/>
    <w:p w14:paraId="678022E4" w14:textId="55543D58" w:rsidR="00EE07A2" w:rsidRPr="00963B91" w:rsidRDefault="00EE07A2" w:rsidP="00963B91">
      <w:pPr>
        <w:pStyle w:val="Antrat1"/>
        <w:rPr>
          <w:rFonts w:ascii="Calibri" w:hAnsi="Calibri" w:cs="Times New Roman"/>
        </w:rPr>
      </w:pPr>
      <w:bookmarkStart w:id="80" w:name="_Toc85700980"/>
      <w:r w:rsidRPr="00852920">
        <w:t xml:space="preserve">2021 m. sausio 21 d. sprendimas byloje </w:t>
      </w:r>
      <w:r w:rsidRPr="00DC60D8">
        <w:rPr>
          <w:i/>
          <w:iCs/>
        </w:rPr>
        <w:t>Leino-Sandberg prieš Parlamentą</w:t>
      </w:r>
      <w:r w:rsidR="00963B91">
        <w:rPr>
          <w:i/>
          <w:iCs/>
        </w:rPr>
        <w:t xml:space="preserve">, </w:t>
      </w:r>
      <w:r w:rsidRPr="00353B65">
        <w:rPr>
          <w:bCs/>
        </w:rPr>
        <w:t>C</w:t>
      </w:r>
      <w:r w:rsidRPr="00353B65">
        <w:rPr>
          <w:rFonts w:ascii="Cambria Math" w:hAnsi="Cambria Math" w:cs="Cambria Math"/>
          <w:bCs/>
        </w:rPr>
        <w:t>‑</w:t>
      </w:r>
      <w:r w:rsidRPr="00353B65">
        <w:rPr>
          <w:bCs/>
        </w:rPr>
        <w:t>761/18</w:t>
      </w:r>
      <w:bookmarkEnd w:id="80"/>
    </w:p>
    <w:p w14:paraId="22730EB2" w14:textId="77777777" w:rsidR="00DC60D8" w:rsidRDefault="00DC60D8" w:rsidP="00515BCC">
      <w:pPr>
        <w:pStyle w:val="c01pointnumerotealtn"/>
        <w:shd w:val="clear" w:color="auto" w:fill="FFFFFF"/>
        <w:spacing w:before="0" w:beforeAutospacing="0" w:after="0"/>
        <w:ind w:left="0" w:firstLine="567"/>
        <w:rPr>
          <w:rFonts w:asciiTheme="minorHAnsi" w:hAnsiTheme="minorHAnsi" w:cstheme="minorHAnsi"/>
          <w:sz w:val="22"/>
          <w:szCs w:val="22"/>
        </w:rPr>
      </w:pPr>
    </w:p>
    <w:p w14:paraId="75DF655A" w14:textId="33078101" w:rsidR="00515BCC" w:rsidRPr="00353B65" w:rsidRDefault="00515BCC" w:rsidP="00515BCC">
      <w:pPr>
        <w:pStyle w:val="c01pointnumerotealtn"/>
        <w:shd w:val="clear" w:color="auto" w:fill="FFFFFF"/>
        <w:spacing w:before="0" w:beforeAutospacing="0" w:after="0"/>
        <w:ind w:left="0" w:firstLine="567"/>
        <w:rPr>
          <w:rFonts w:asciiTheme="minorHAnsi" w:hAnsiTheme="minorHAnsi" w:cstheme="minorHAnsi"/>
          <w:sz w:val="22"/>
          <w:szCs w:val="22"/>
        </w:rPr>
      </w:pPr>
      <w:r w:rsidRPr="00353B65">
        <w:rPr>
          <w:rFonts w:asciiTheme="minorHAnsi" w:hAnsiTheme="minorHAnsi" w:cstheme="minorHAnsi"/>
          <w:sz w:val="22"/>
          <w:szCs w:val="22"/>
        </w:rPr>
        <w:t>Apeliacinis skundas – Galimybė susipažinti su Europos Sąjungos institucijų dokumentais – Reglamentas (EB) Nr. 1049/2001 –10 straipsnis – Atsisakymas leisti susipažinti – Ieškinys Europos Sąjungos Bendrajame Teisme dėl Europos Parlamento sprendimo neleisti susipažinti su dokumentu – Trečiojo asmens atliktas dokumento su pastabomis atskleidimas po to, kai buvo pareikštas ieškinys – Bendrojo Teismo paskelbtas pagrindo priimti sprendimą nebuvimas dėl išnykusio suinteresuotumo pareikšti ieškinį – Teisės klaida</w:t>
      </w:r>
    </w:p>
    <w:p w14:paraId="16401D44" w14:textId="77777777" w:rsidR="00515BCC" w:rsidRPr="00353B65" w:rsidRDefault="00515BCC" w:rsidP="00515BCC">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r w:rsidRPr="00353B65">
        <w:rPr>
          <w:rFonts w:asciiTheme="minorHAnsi" w:hAnsiTheme="minorHAnsi" w:cstheme="minorHAnsi"/>
          <w:b/>
          <w:bCs/>
          <w:sz w:val="22"/>
          <w:szCs w:val="22"/>
        </w:rPr>
        <w:tab/>
      </w:r>
    </w:p>
    <w:p w14:paraId="34AF7F03" w14:textId="5F91CF6E" w:rsidR="00515BCC" w:rsidRPr="00353B65" w:rsidRDefault="00DC60D8" w:rsidP="00DC60D8">
      <w:pPr>
        <w:tabs>
          <w:tab w:val="left" w:pos="6379"/>
        </w:tabs>
        <w:jc w:val="center"/>
        <w:rPr>
          <w:rFonts w:asciiTheme="minorHAnsi" w:hAnsiTheme="minorHAnsi" w:cstheme="minorHAnsi"/>
          <w:b/>
        </w:rPr>
      </w:pPr>
      <w:r>
        <w:rPr>
          <w:rFonts w:asciiTheme="minorHAnsi" w:hAnsiTheme="minorHAnsi" w:cstheme="minorHAnsi"/>
          <w:b/>
        </w:rPr>
        <w:t>Bylo</w:t>
      </w:r>
      <w:r w:rsidR="00515BCC" w:rsidRPr="00353B65">
        <w:rPr>
          <w:rFonts w:asciiTheme="minorHAnsi" w:hAnsiTheme="minorHAnsi" w:cstheme="minorHAnsi"/>
          <w:b/>
        </w:rPr>
        <w:t>s aplinkybės</w:t>
      </w:r>
    </w:p>
    <w:p w14:paraId="4BA8709A" w14:textId="77777777" w:rsidR="00515BCC" w:rsidRPr="00353B65" w:rsidRDefault="00515BCC" w:rsidP="00515BCC">
      <w:pPr>
        <w:ind w:firstLine="567"/>
        <w:rPr>
          <w:rFonts w:asciiTheme="minorHAnsi" w:hAnsiTheme="minorHAnsi" w:cstheme="minorHAnsi"/>
          <w:iCs/>
          <w:shd w:val="clear" w:color="auto" w:fill="FFFFFF"/>
        </w:rPr>
      </w:pPr>
    </w:p>
    <w:p w14:paraId="17F4ADF9" w14:textId="77777777" w:rsidR="00515BCC" w:rsidRPr="00353B65" w:rsidRDefault="00515BCC" w:rsidP="00515BCC">
      <w:pPr>
        <w:ind w:firstLine="567"/>
        <w:rPr>
          <w:rFonts w:asciiTheme="minorHAnsi" w:hAnsiTheme="minorHAnsi" w:cstheme="minorHAnsi"/>
          <w:iCs/>
          <w:shd w:val="clear" w:color="auto" w:fill="FFFFFF"/>
        </w:rPr>
      </w:pPr>
      <w:r w:rsidRPr="00353B65">
        <w:rPr>
          <w:rFonts w:asciiTheme="minorHAnsi" w:hAnsiTheme="minorHAnsi" w:cstheme="minorHAnsi"/>
          <w:iCs/>
          <w:shd w:val="clear" w:color="auto" w:fill="FFFFFF"/>
        </w:rPr>
        <w:t>Apeliantė prašė panaikinti jai nepalankų Bendrojo Teismo sprendimą, kuriuo Bendrasis Teismas konstatavo, kad nebėra pagrindo priimti sprendimo dėl ieškovės ieškinio, pareikšto dėl 2017 m. balandžio 3 d. Europos Parlamento sprendimo, nes minėtas ieškinys neteko dalyko po to, kai dokumentą, su kuriuo ieškovė prašė susipažinti, jo adresatas atskleidė internete.</w:t>
      </w:r>
    </w:p>
    <w:p w14:paraId="20C2DDC2" w14:textId="77777777" w:rsidR="00515BCC" w:rsidRPr="00353B65" w:rsidRDefault="00515BCC" w:rsidP="00515BCC">
      <w:pPr>
        <w:ind w:firstLine="567"/>
        <w:rPr>
          <w:rFonts w:asciiTheme="minorHAnsi" w:hAnsiTheme="minorHAnsi" w:cstheme="minorHAnsi"/>
          <w:iCs/>
          <w:shd w:val="clear" w:color="auto" w:fill="FFFFFF"/>
        </w:rPr>
      </w:pPr>
      <w:r w:rsidRPr="00353B65">
        <w:rPr>
          <w:rFonts w:asciiTheme="minorHAnsi" w:hAnsiTheme="minorHAnsi" w:cstheme="minorHAnsi"/>
          <w:iCs/>
          <w:shd w:val="clear" w:color="auto" w:fill="FFFFFF"/>
        </w:rPr>
        <w:t>Vykdydama mokslo tyrimų projektus, susijusius su skaidrumu trišaliuose dialoguose, apeliantė, universiteto profesorė, pateikė Europos Parlamentui prašymą leisti susipažinti su šios institucijos sprendimu atsisakyti leisti asmeniui susipažinti su tam tikrais dokumentais, kuriuose pateikta vykstant trišaliams dialogams nustatyta informacija. 2017 m. balandžio 3 d. sprendimu Parlamentas atsisakė leisti apeliantei susipažinti su prašomu dokumentu.</w:t>
      </w:r>
    </w:p>
    <w:p w14:paraId="6EC22D12" w14:textId="77777777" w:rsidR="00515BCC" w:rsidRPr="00353B65" w:rsidRDefault="00515BCC" w:rsidP="00515BCC">
      <w:pPr>
        <w:ind w:firstLine="567"/>
        <w:rPr>
          <w:color w:val="000000"/>
          <w:shd w:val="clear" w:color="auto" w:fill="FFFFFF"/>
        </w:rPr>
      </w:pPr>
    </w:p>
    <w:p w14:paraId="2A480453" w14:textId="77777777" w:rsidR="00515BCC" w:rsidRPr="00353B65" w:rsidRDefault="00515BCC" w:rsidP="00DC60D8">
      <w:pPr>
        <w:jc w:val="center"/>
        <w:rPr>
          <w:b/>
          <w:bCs/>
          <w:color w:val="000000"/>
          <w:shd w:val="clear" w:color="auto" w:fill="FFFFFF"/>
        </w:rPr>
      </w:pPr>
      <w:r w:rsidRPr="00353B65">
        <w:rPr>
          <w:b/>
          <w:bCs/>
          <w:color w:val="000000"/>
          <w:shd w:val="clear" w:color="auto" w:fill="FFFFFF"/>
        </w:rPr>
        <w:t>Teisingumo Teismo vertinimas</w:t>
      </w:r>
    </w:p>
    <w:p w14:paraId="27DAB680" w14:textId="77777777" w:rsidR="00515BCC" w:rsidRPr="00353B65" w:rsidRDefault="00515BCC" w:rsidP="00515BCC">
      <w:pPr>
        <w:ind w:firstLine="567"/>
        <w:jc w:val="center"/>
        <w:rPr>
          <w:b/>
          <w:bCs/>
          <w:color w:val="000000"/>
          <w:shd w:val="clear" w:color="auto" w:fill="FFFFFF"/>
        </w:rPr>
      </w:pPr>
    </w:p>
    <w:p w14:paraId="0C9817E2" w14:textId="77777777" w:rsidR="00515BCC" w:rsidRPr="00963B91" w:rsidRDefault="00515BCC" w:rsidP="00963B91">
      <w:pPr>
        <w:pStyle w:val="Antrat3"/>
        <w:ind w:firstLine="567"/>
      </w:pPr>
      <w:bookmarkStart w:id="81" w:name="_Toc85700981"/>
      <w:r w:rsidRPr="00963B91">
        <w:t>Dėl galimybės susipažinti su Europos Parlamento sprendimu, kai jis yra atskleistas trečiojo asmens</w:t>
      </w:r>
      <w:bookmarkEnd w:id="81"/>
    </w:p>
    <w:p w14:paraId="41D8E23D" w14:textId="77777777" w:rsidR="00515BCC" w:rsidRPr="00353B65" w:rsidRDefault="00515BCC" w:rsidP="00515BCC">
      <w:pPr>
        <w:ind w:firstLine="567"/>
        <w:rPr>
          <w:color w:val="000000"/>
          <w:shd w:val="clear" w:color="auto" w:fill="FFFFFF"/>
        </w:rPr>
      </w:pPr>
    </w:p>
    <w:p w14:paraId="386C0D49" w14:textId="77777777" w:rsidR="00515BCC" w:rsidRPr="00353B65" w:rsidRDefault="00515BCC" w:rsidP="00515BCC">
      <w:pPr>
        <w:ind w:left="-142" w:firstLine="709"/>
        <w:rPr>
          <w:rFonts w:asciiTheme="minorHAnsi" w:eastAsia="Times New Roman" w:hAnsiTheme="minorHAnsi" w:cstheme="minorHAnsi"/>
          <w:color w:val="000000"/>
          <w:u w:val="single"/>
          <w:lang w:eastAsia="lt-LT"/>
        </w:rPr>
      </w:pPr>
      <w:r w:rsidRPr="00353B65">
        <w:rPr>
          <w:rFonts w:asciiTheme="minorHAnsi" w:eastAsia="Times New Roman" w:hAnsiTheme="minorHAnsi" w:cstheme="minorHAnsi"/>
          <w:color w:val="000000"/>
          <w:lang w:eastAsia="lt-LT"/>
        </w:rPr>
        <w:t xml:space="preserve">Pirmiausiai, remdamasis savo jurisprudencija, pagal kurią suinteresuotumas pareikšti ieškinį, atsižvelgiant į jo dalyką, turi egzistuoti pareiškiant ieškinį, antraip jis būtų nepriimtinas; ieškinio dalykas, kaip ir suinteresuotumas pareikšti ieškinį, turi išlikti iki teismo sprendimo priėmimo dienos, o tai reiškia, kad dėl savo rezultato ieškinys turi galėti suteikti naudos jį pareiškusiai šaliai, antraip nebūtų reikalinga priimti sprendimo, Teisingumo Teismas konstatavo, kad </w:t>
      </w:r>
      <w:r w:rsidRPr="00115851">
        <w:rPr>
          <w:rFonts w:asciiTheme="minorHAnsi" w:eastAsia="Times New Roman" w:hAnsiTheme="minorHAnsi" w:cstheme="minorHAnsi"/>
          <w:color w:val="000000"/>
          <w:u w:val="single"/>
          <w:lang w:eastAsia="lt-LT"/>
        </w:rPr>
        <w:t>net jei ginčijamą dokumentą atskleidė trečiasis asmuo,</w:t>
      </w:r>
      <w:r w:rsidRPr="00353B65">
        <w:rPr>
          <w:rFonts w:asciiTheme="minorHAnsi" w:eastAsia="Times New Roman" w:hAnsiTheme="minorHAnsi" w:cstheme="minorHAnsi"/>
          <w:color w:val="000000"/>
          <w:lang w:eastAsia="lt-LT"/>
        </w:rPr>
        <w:t xml:space="preserve"> </w:t>
      </w:r>
      <w:r w:rsidRPr="00353B65">
        <w:rPr>
          <w:rFonts w:asciiTheme="minorHAnsi" w:eastAsia="Times New Roman" w:hAnsiTheme="minorHAnsi" w:cstheme="minorHAnsi"/>
          <w:color w:val="000000"/>
          <w:u w:val="single"/>
          <w:lang w:eastAsia="lt-LT"/>
        </w:rPr>
        <w:t>Parlamentas oficialiai nepanaikino ginčijamo sprendimo, todėl ginčo dalykas išliko.</w:t>
      </w:r>
    </w:p>
    <w:p w14:paraId="24467C2B" w14:textId="136B5958" w:rsidR="00515BCC" w:rsidRPr="00353B65" w:rsidRDefault="00515BCC" w:rsidP="00515BCC">
      <w:pPr>
        <w:ind w:left="-142" w:firstLine="709"/>
        <w:rPr>
          <w:rFonts w:asciiTheme="minorHAnsi" w:eastAsia="Times New Roman" w:hAnsiTheme="minorHAnsi" w:cstheme="minorHAnsi"/>
          <w:color w:val="000000"/>
          <w:lang w:eastAsia="lt-LT"/>
        </w:rPr>
      </w:pPr>
      <w:r w:rsidRPr="00353B65">
        <w:rPr>
          <w:rFonts w:asciiTheme="minorHAnsi" w:eastAsia="Times New Roman" w:hAnsiTheme="minorHAnsi" w:cstheme="minorHAnsi"/>
          <w:color w:val="000000"/>
          <w:lang w:eastAsia="lt-LT"/>
        </w:rPr>
        <w:t>Atsižvelgęs į tai, kad apeliantės prašymas dėl galimybės susipažinti su dokumentais buvo grindžiamas Reglament</w:t>
      </w:r>
      <w:r w:rsidR="006C6208">
        <w:rPr>
          <w:rFonts w:asciiTheme="minorHAnsi" w:eastAsia="Times New Roman" w:hAnsiTheme="minorHAnsi" w:cstheme="minorHAnsi"/>
          <w:color w:val="000000"/>
          <w:lang w:eastAsia="lt-LT"/>
        </w:rPr>
        <w:t>u</w:t>
      </w:r>
      <w:r w:rsidRPr="00353B65">
        <w:rPr>
          <w:rFonts w:asciiTheme="minorHAnsi" w:eastAsia="Times New Roman" w:hAnsiTheme="minorHAnsi" w:cstheme="minorHAnsi"/>
          <w:color w:val="000000"/>
          <w:lang w:eastAsia="lt-LT"/>
        </w:rPr>
        <w:t xml:space="preserve"> Nr. 1049/2001</w:t>
      </w:r>
      <w:r w:rsidR="006C6208">
        <w:rPr>
          <w:rStyle w:val="Puslapioinaosnuoroda"/>
          <w:rFonts w:asciiTheme="minorHAnsi" w:eastAsia="Times New Roman" w:hAnsiTheme="minorHAnsi" w:cstheme="minorHAnsi"/>
          <w:color w:val="000000"/>
          <w:lang w:eastAsia="lt-LT"/>
        </w:rPr>
        <w:footnoteReference w:id="37"/>
      </w:r>
      <w:r w:rsidRPr="00353B65">
        <w:rPr>
          <w:rFonts w:asciiTheme="minorHAnsi" w:eastAsia="Times New Roman" w:hAnsiTheme="minorHAnsi" w:cstheme="minorHAnsi"/>
          <w:color w:val="000000"/>
          <w:lang w:eastAsia="lt-LT"/>
        </w:rPr>
        <w:t>, Teisingumo Teismas priminė, kad šio reglamento, kuris grindžiamas atvirumo principu, tikslas yra užtikrinti visuomenei kuo platesnę teisę susipažinti su institucijų dokumentais. Jis patikslino, kad šiuo reglamentu nustatoma, pirma, principinė kiekvieno asmens teisė susipažinti su institucijos dokumentais ir, antra, principinė institucijos pareiga suteikti galimybę susipažinti su jos dokumentais. Jame išsamiai išvardytos teisės susipažinti su institucijų dokumentais išimtys.</w:t>
      </w:r>
    </w:p>
    <w:p w14:paraId="3F163E82" w14:textId="77777777" w:rsidR="00515BCC" w:rsidRPr="00353B65" w:rsidRDefault="00515BCC" w:rsidP="00515BCC">
      <w:pPr>
        <w:ind w:left="-142" w:firstLine="709"/>
        <w:rPr>
          <w:rFonts w:asciiTheme="minorHAnsi" w:eastAsia="Times New Roman" w:hAnsiTheme="minorHAnsi" w:cstheme="minorHAnsi"/>
          <w:color w:val="000000"/>
          <w:lang w:eastAsia="lt-LT"/>
        </w:rPr>
      </w:pPr>
      <w:r w:rsidRPr="00353B65">
        <w:rPr>
          <w:rFonts w:asciiTheme="minorHAnsi" w:eastAsia="Times New Roman" w:hAnsiTheme="minorHAnsi" w:cstheme="minorHAnsi"/>
          <w:color w:val="000000"/>
          <w:lang w:eastAsia="lt-LT"/>
        </w:rPr>
        <w:t xml:space="preserve">Toliau Teisingumo Teismas patikslino, kad </w:t>
      </w:r>
      <w:r w:rsidRPr="00353B65">
        <w:rPr>
          <w:rFonts w:asciiTheme="minorHAnsi" w:eastAsia="Times New Roman" w:hAnsiTheme="minorHAnsi" w:cstheme="minorHAnsi"/>
          <w:color w:val="000000"/>
          <w:u w:val="single"/>
          <w:lang w:eastAsia="lt-LT"/>
        </w:rPr>
        <w:t>nors pagal Reglamento Nr. 1049/2001 nuostatas institucija gali įvykdyti savo pareigą užtikrinti galimybę susipažinti su dokumentais, informuodama prašytoją, kaip gauti prašomą dokumentą, jeigu ji tą dokumentą jau buvo paskelbusi ir prašytojas gali jį lengvai gauti, ši pareiga nėra įvykdyta tuo atveju, kai institucijos dokumentą atskleidė trečiasis asmuo.</w:t>
      </w:r>
      <w:r w:rsidRPr="00353B65">
        <w:rPr>
          <w:rFonts w:asciiTheme="minorHAnsi" w:eastAsia="Times New Roman" w:hAnsiTheme="minorHAnsi" w:cstheme="minorHAnsi"/>
          <w:color w:val="000000"/>
          <w:lang w:eastAsia="lt-LT"/>
        </w:rPr>
        <w:t xml:space="preserve"> Šiuo klausimu Teismas pabrėžė, kad trečiojo asmens atskleistas dokumentas negali būti laikomas oficialiu dokumentu ar išreiškiančiu oficialią institucijos poziciją.</w:t>
      </w:r>
    </w:p>
    <w:p w14:paraId="5368E69B" w14:textId="77777777" w:rsidR="00515BCC" w:rsidRPr="00353B65" w:rsidRDefault="00515BCC" w:rsidP="00515BCC">
      <w:pPr>
        <w:ind w:left="-142" w:firstLine="709"/>
        <w:rPr>
          <w:rFonts w:asciiTheme="minorHAnsi" w:eastAsia="Times New Roman" w:hAnsiTheme="minorHAnsi" w:cstheme="minorHAnsi"/>
          <w:color w:val="000000"/>
          <w:lang w:eastAsia="lt-LT"/>
        </w:rPr>
      </w:pPr>
      <w:r w:rsidRPr="00353B65">
        <w:rPr>
          <w:rFonts w:asciiTheme="minorHAnsi" w:eastAsia="Times New Roman" w:hAnsiTheme="minorHAnsi" w:cstheme="minorHAnsi"/>
          <w:color w:val="000000"/>
          <w:lang w:eastAsia="lt-LT"/>
        </w:rPr>
        <w:t>Teisingumo Teismas konstatavo, kad, esant tokiai situacijai, kai apeliantei buvo suteikta galimybė susipažinti tik su trečiojo asmens atskleistu ginčijamu dokumentu, o Parlamentas ir toliau nesuteikia jai galimybės susipažinti su prašomu dokumentu, negalima teigti nei to, kad apeliantė gavo galimybę susipažinti su šiuo dokumentu, kaip tai suprantama pagal Reglamentą Nr. 1049/2001, nei to, kad vien dėl šio atskleidimo ji prarado suinteresuotumą prašyti panaikinti Parlamento sprendimą neleisti jai susipažinti su šiuo dokumentu. Priešingai, tokiu atveju prašytojas išsaugo realų suinteresuotumą susipažinti su prašomo dokumento autentiška versija, užtikrinančia, kad ši institucija yra jo autorė ir kad šiame dokumente išdėstyta jos oficiali pozicija.</w:t>
      </w:r>
    </w:p>
    <w:p w14:paraId="7A6398EE" w14:textId="77777777" w:rsidR="00515BCC" w:rsidRPr="00353B65" w:rsidRDefault="00515BCC" w:rsidP="00515BCC">
      <w:pPr>
        <w:ind w:left="-142" w:firstLine="709"/>
        <w:rPr>
          <w:rFonts w:asciiTheme="minorHAnsi" w:eastAsia="Times New Roman" w:hAnsiTheme="minorHAnsi" w:cstheme="minorHAnsi"/>
          <w:color w:val="000000"/>
          <w:lang w:eastAsia="lt-LT"/>
        </w:rPr>
      </w:pPr>
      <w:r w:rsidRPr="00353B65">
        <w:rPr>
          <w:rFonts w:asciiTheme="minorHAnsi" w:eastAsia="Times New Roman" w:hAnsiTheme="minorHAnsi" w:cstheme="minorHAnsi"/>
          <w:color w:val="000000"/>
          <w:lang w:eastAsia="lt-LT"/>
        </w:rPr>
        <w:t>Taigi Teisingumo Teismas nusprendė, kad Bendrasis Teismas padarė teisės klaidą, kai trečiojo asmens atliktą dokumento atskleidimą prilygino atitinkamos institucijos atliktam prašomo dokumento atskleidimui ir kai tuo remdamasis padarė išvadą, kad nėra pagrindo priimti sprendimo dėl apeliantės ieškinio, nes, trečiajam asmeniui atskleidus dokumentus, apeliantė galėjo su jais susipažinti ir pasinaudoti taip pat teisėtai, kaip būtų galėjusi, jei būtų gavusi šiuos dokumentus pagal prašymą, pateiktą remiantis šiuo reglamentu.</w:t>
      </w:r>
    </w:p>
    <w:p w14:paraId="59EECD62" w14:textId="77777777" w:rsidR="00515BCC" w:rsidRPr="00353B65" w:rsidRDefault="00515BCC" w:rsidP="00515BCC">
      <w:pPr>
        <w:ind w:left="-142" w:firstLine="709"/>
        <w:rPr>
          <w:rFonts w:asciiTheme="minorHAnsi" w:eastAsia="Times New Roman" w:hAnsiTheme="minorHAnsi" w:cstheme="minorHAnsi"/>
          <w:color w:val="000000"/>
          <w:lang w:eastAsia="lt-LT"/>
        </w:rPr>
      </w:pPr>
      <w:r w:rsidRPr="00353B65">
        <w:rPr>
          <w:rFonts w:asciiTheme="minorHAnsi" w:eastAsia="Times New Roman" w:hAnsiTheme="minorHAnsi" w:cstheme="minorHAnsi"/>
          <w:color w:val="000000"/>
          <w:lang w:eastAsia="lt-LT"/>
        </w:rPr>
        <w:t>Išnagrinėjęs skundą, Teisingumo Teismas grąžino bylą Bendrajam Teismui išnagrinėti ją iš naujo.</w:t>
      </w:r>
    </w:p>
    <w:p w14:paraId="394A0A3C" w14:textId="6330D081" w:rsidR="00515BCC" w:rsidRPr="00DC60D8" w:rsidRDefault="003347AD" w:rsidP="00515BCC">
      <w:pPr>
        <w:ind w:left="-142" w:firstLine="709"/>
        <w:rPr>
          <w:rFonts w:asciiTheme="minorHAnsi" w:eastAsia="Times New Roman" w:hAnsiTheme="minorHAnsi" w:cstheme="minorHAnsi"/>
          <w:color w:val="0000FF"/>
          <w:u w:val="single"/>
          <w:lang w:eastAsia="lt-LT"/>
        </w:rPr>
      </w:pPr>
      <w:hyperlink r:id="rId32" w:history="1">
        <w:r w:rsidR="00DC60D8">
          <w:rPr>
            <w:rStyle w:val="Hipersaitas"/>
            <w:rFonts w:asciiTheme="minorHAnsi" w:eastAsia="Times New Roman" w:hAnsiTheme="minorHAnsi" w:cstheme="minorHAnsi"/>
            <w:lang w:eastAsia="lt-LT"/>
          </w:rPr>
          <w:t>Prieiga internete</w:t>
        </w:r>
      </w:hyperlink>
    </w:p>
    <w:p w14:paraId="3B845FE0" w14:textId="77777777" w:rsidR="00515BCC" w:rsidRPr="00353B65" w:rsidRDefault="00515BCC" w:rsidP="00493C73"/>
    <w:p w14:paraId="6382FB7D" w14:textId="7610DF06" w:rsidR="00493C73" w:rsidRPr="00353B65" w:rsidRDefault="0099601C" w:rsidP="00410FED">
      <w:pPr>
        <w:pStyle w:val="Antrat1"/>
      </w:pPr>
      <w:bookmarkStart w:id="82" w:name="_Toc85700982"/>
      <w:r w:rsidRPr="00353B65">
        <w:lastRenderedPageBreak/>
        <w:t xml:space="preserve">BENDRA ŽEMĖS </w:t>
      </w:r>
      <w:r w:rsidRPr="00410FED">
        <w:t>ŪKIO</w:t>
      </w:r>
      <w:r w:rsidRPr="00353B65">
        <w:t xml:space="preserve"> POLITIKA</w:t>
      </w:r>
      <w:bookmarkEnd w:id="82"/>
    </w:p>
    <w:p w14:paraId="2291CC15" w14:textId="77777777" w:rsidR="0099601C" w:rsidRPr="00353B65" w:rsidRDefault="0099601C" w:rsidP="0099601C">
      <w:pPr>
        <w:jc w:val="center"/>
        <w:rPr>
          <w:rFonts w:cstheme="minorHAnsi"/>
          <w:b/>
        </w:rPr>
      </w:pPr>
    </w:p>
    <w:p w14:paraId="4E4F13F9" w14:textId="52B5FC3F" w:rsidR="0099601C" w:rsidRPr="00963B91" w:rsidRDefault="00852920" w:rsidP="00963B91">
      <w:pPr>
        <w:pStyle w:val="Antrat1"/>
      </w:pPr>
      <w:bookmarkStart w:id="83" w:name="_Toc85700983"/>
      <w:r w:rsidRPr="00353B65">
        <w:t xml:space="preserve">2021 m. sausio 27 d. </w:t>
      </w:r>
      <w:r w:rsidRPr="00410FED">
        <w:t>sprendimas</w:t>
      </w:r>
      <w:r>
        <w:t xml:space="preserve"> </w:t>
      </w:r>
      <w:r w:rsidRPr="00852920">
        <w:t xml:space="preserve">byloje </w:t>
      </w:r>
      <w:r w:rsidRPr="00DC60D8">
        <w:rPr>
          <w:i/>
          <w:iCs/>
        </w:rPr>
        <w:t>De Ruiter</w:t>
      </w:r>
      <w:r w:rsidR="00963B91">
        <w:rPr>
          <w:i/>
          <w:iCs/>
        </w:rPr>
        <w:t xml:space="preserve">, </w:t>
      </w:r>
      <w:r w:rsidR="0099601C" w:rsidRPr="00353B65">
        <w:rPr>
          <w:bCs/>
        </w:rPr>
        <w:t>C-361/19</w:t>
      </w:r>
      <w:bookmarkEnd w:id="83"/>
    </w:p>
    <w:p w14:paraId="1ACD7BBF" w14:textId="77777777" w:rsidR="00493C73" w:rsidRPr="00353B65" w:rsidRDefault="00493C73" w:rsidP="00493C73"/>
    <w:p w14:paraId="4C8964B8" w14:textId="577DEEDF" w:rsidR="0099601C" w:rsidRPr="00353B65" w:rsidRDefault="0099601C" w:rsidP="0099601C">
      <w:pPr>
        <w:ind w:firstLine="567"/>
      </w:pPr>
      <w:r w:rsidRPr="00353B65">
        <w:t>Prašymas priimti prejudicinį sprendimą – Bendra žemės ūkio politika – Paramos ūkininkams schema – Reglamentas (ES) Nr. 1306/2013 – 97 straipsnio 1 dalis ir 99 straipsnio 1 dalis – Tiesioginės išmokos – Sumažinimas ir neskyrimas nesilaikant kompleksinės paramos taisyklių – Metų, į kuriuos reikia atsižvelgti apskaičiuojant sumažinimo procentinį dydį, nustatymas – Proporcingos, veiksmingos ir atgrasomosios sankcijos – Įgyvendinimo reglamentas (ES) Nr. 809/2014 – 73 straipsnio 4 dalies pirmos pastraipos a punktas</w:t>
      </w:r>
    </w:p>
    <w:p w14:paraId="171FEF29" w14:textId="77777777" w:rsidR="0099601C" w:rsidRPr="00353B65" w:rsidRDefault="0099601C" w:rsidP="0099601C">
      <w:pPr>
        <w:ind w:firstLine="567"/>
      </w:pPr>
    </w:p>
    <w:p w14:paraId="3F26AE5E" w14:textId="21D94342" w:rsidR="0099601C" w:rsidRPr="00353B65" w:rsidRDefault="00DC60D8" w:rsidP="00DC60D8">
      <w:pPr>
        <w:jc w:val="center"/>
        <w:rPr>
          <w:b/>
        </w:rPr>
      </w:pPr>
      <w:r>
        <w:rPr>
          <w:b/>
        </w:rPr>
        <w:t>Bylo</w:t>
      </w:r>
      <w:r w:rsidR="00044B06">
        <w:rPr>
          <w:b/>
        </w:rPr>
        <w:t xml:space="preserve">s </w:t>
      </w:r>
      <w:r w:rsidR="0099601C" w:rsidRPr="00044B06">
        <w:rPr>
          <w:b/>
        </w:rPr>
        <w:t>aplinkybės</w:t>
      </w:r>
    </w:p>
    <w:p w14:paraId="7F0A5490" w14:textId="77777777" w:rsidR="0099601C" w:rsidRPr="00353B65" w:rsidRDefault="0099601C" w:rsidP="0099601C">
      <w:pPr>
        <w:ind w:firstLine="567"/>
        <w:jc w:val="center"/>
      </w:pPr>
    </w:p>
    <w:p w14:paraId="4A5B1704" w14:textId="4484819E" w:rsidR="0099601C" w:rsidRPr="00353B65" w:rsidRDefault="0099601C" w:rsidP="0099601C">
      <w:pPr>
        <w:ind w:firstLine="567"/>
      </w:pPr>
      <w:r w:rsidRPr="00353B65">
        <w:t>Nyderlandų maisto produktų ir vartojimo prekių kontrolės institucija</w:t>
      </w:r>
      <w:r w:rsidR="003951E9" w:rsidRPr="00353B65">
        <w:t>i</w:t>
      </w:r>
      <w:r w:rsidRPr="00353B65">
        <w:t xml:space="preserve"> atlikus </w:t>
      </w:r>
      <w:r w:rsidR="003951E9" w:rsidRPr="00353B65">
        <w:t xml:space="preserve">2016 m. kovo 3 d. </w:t>
      </w:r>
      <w:r w:rsidRPr="00353B65">
        <w:t>veterinarinį patikrinimą, 2017 m. sausio 12 d. ministras pranešė ieškovei pagrindinėje byloje apie ketinimą 5</w:t>
      </w:r>
      <w:r w:rsidR="003951E9" w:rsidRPr="00353B65">
        <w:t> </w:t>
      </w:r>
      <w:r w:rsidRPr="00353B65">
        <w:t>% sumažinti jai tiesiogines išmokas už 2016 m. dėl to, kad pažeistos kompleksinės paramos taisyklės, nes 2015 m. dviem atvejais nesilaikyta reikalavimų sveikatos srityje, o 2016 m. vienu atveju nesilaikyta reikalavimų gyvūnų gerovės srityje.</w:t>
      </w:r>
    </w:p>
    <w:p w14:paraId="3E8565AD" w14:textId="032C2F13" w:rsidR="00185094" w:rsidRPr="00353B65" w:rsidRDefault="003951E9" w:rsidP="0099601C">
      <w:pPr>
        <w:ind w:firstLine="567"/>
      </w:pPr>
      <w:r w:rsidRPr="00353B65">
        <w:t xml:space="preserve">Teismas, </w:t>
      </w:r>
      <w:r w:rsidR="00185094" w:rsidRPr="00353B65">
        <w:t>į kurį kreipėsi ieškovė pagrindinėje byloje, pažymi, kad pirmųjų dviejų kompleksinės paramos taisyklių nesilaikymo atvejų metai, t. y. 2015 m., nėra tie patys metai, kuriais įvyko trečiasis taisyklių nesilaikymo atvejis ir kuriais buvo nustatyti du pirmieji atvejai, t. y. 2016 m.</w:t>
      </w:r>
    </w:p>
    <w:p w14:paraId="51B04A56" w14:textId="112F2433" w:rsidR="0016248B" w:rsidRPr="00353B65" w:rsidRDefault="0016248B" w:rsidP="0016248B">
      <w:pPr>
        <w:ind w:firstLine="567"/>
      </w:pPr>
      <w:r w:rsidRPr="00353B65">
        <w:t>Apžvelgiam</w:t>
      </w:r>
      <w:r w:rsidR="00115851">
        <w:t>u</w:t>
      </w:r>
      <w:r w:rsidRPr="00353B65">
        <w:t xml:space="preserve"> atveju siek</w:t>
      </w:r>
      <w:r w:rsidR="00115851">
        <w:t>t</w:t>
      </w:r>
      <w:r w:rsidRPr="00353B65">
        <w:t>a išsiaiškinti, ar Reglamento Nr. 1306/2013</w:t>
      </w:r>
      <w:r w:rsidR="006C6208" w:rsidRPr="00353B65">
        <w:rPr>
          <w:rStyle w:val="Puslapioinaosnuoroda"/>
        </w:rPr>
        <w:footnoteReference w:id="38"/>
      </w:r>
      <w:r w:rsidRPr="00353B65">
        <w:t xml:space="preserve"> 97 straipsnio 1 dalies pirma pastraipa</w:t>
      </w:r>
      <w:r w:rsidRPr="00353B65">
        <w:rPr>
          <w:rStyle w:val="Puslapioinaosnuoroda"/>
        </w:rPr>
        <w:footnoteReference w:id="39"/>
      </w:r>
      <w:r w:rsidRPr="00353B65">
        <w:t xml:space="preserve"> bei 99 straipsnio 1 dalies pirma pastraipa</w:t>
      </w:r>
      <w:r w:rsidRPr="00353B65">
        <w:rPr>
          <w:rStyle w:val="Puslapioinaosnuoroda"/>
        </w:rPr>
        <w:footnoteReference w:id="40"/>
      </w:r>
      <w:r w:rsidRPr="00353B65">
        <w:t xml:space="preserve"> ir Įgyvendinimo reglamento Nr. 809/2014</w:t>
      </w:r>
      <w:r w:rsidR="006C6208" w:rsidRPr="00353B65">
        <w:rPr>
          <w:rStyle w:val="Puslapioinaosnuoroda"/>
        </w:rPr>
        <w:footnoteReference w:id="41"/>
      </w:r>
      <w:r w:rsidRPr="00353B65">
        <w:t xml:space="preserve"> 73 straipsnio 4 dalies pirmos pastraipos a punktas</w:t>
      </w:r>
      <w:r w:rsidRPr="00353B65">
        <w:rPr>
          <w:rStyle w:val="Puslapioinaosnuoroda"/>
        </w:rPr>
        <w:footnoteReference w:id="42"/>
      </w:r>
      <w:r w:rsidRPr="00353B65">
        <w:t xml:space="preserve"> turi būti aiškinami taip, kad tiesioginių išmokų sumažinimas dėl kompleksinės paramos taisyklių nesilaikymo turi būti apskaičiuojamas remiantis išmokomis, suteiktomis arba numatytomis suteikti už metus, kuriais nustatomas toks taisyklių nesilaikymas, ar remiantis išmokomis, suteiktomis arba numatytomis suteikti už metus, kuriais nesilaikyta tų taisyklių, ir, jei Teisingumo Teismas pritartų pirmajam iš šių aiškinimo variantų, ar pastarosios dvi nuostatos galioja.</w:t>
      </w:r>
    </w:p>
    <w:p w14:paraId="271BC3EE" w14:textId="77777777" w:rsidR="003951E9" w:rsidRPr="00353B65" w:rsidRDefault="003951E9" w:rsidP="0099601C">
      <w:pPr>
        <w:ind w:firstLine="567"/>
      </w:pPr>
    </w:p>
    <w:p w14:paraId="6F383CE0" w14:textId="5F1D43C0" w:rsidR="003951E9" w:rsidRPr="00353B65" w:rsidRDefault="003951E9" w:rsidP="00DC60D8">
      <w:pPr>
        <w:jc w:val="center"/>
        <w:rPr>
          <w:b/>
        </w:rPr>
      </w:pPr>
      <w:r w:rsidRPr="00353B65">
        <w:rPr>
          <w:b/>
        </w:rPr>
        <w:t>Teisingumo Teismo vertinimas</w:t>
      </w:r>
    </w:p>
    <w:p w14:paraId="00BCF9AA" w14:textId="77777777" w:rsidR="003951E9" w:rsidRPr="00353B65" w:rsidRDefault="003951E9" w:rsidP="003951E9">
      <w:pPr>
        <w:ind w:firstLine="567"/>
        <w:jc w:val="center"/>
      </w:pPr>
    </w:p>
    <w:p w14:paraId="147CB636" w14:textId="73B519B4" w:rsidR="0016248B" w:rsidRPr="00963B91" w:rsidRDefault="00963B91" w:rsidP="00963B91">
      <w:pPr>
        <w:pStyle w:val="Antrat3"/>
        <w:ind w:firstLine="567"/>
      </w:pPr>
      <w:bookmarkStart w:id="84" w:name="_Toc85700984"/>
      <w:r>
        <w:t>Dėl t</w:t>
      </w:r>
      <w:r w:rsidR="0016248B" w:rsidRPr="00963B91">
        <w:t>iesioginių išmokų sumažinim</w:t>
      </w:r>
      <w:r>
        <w:t>o</w:t>
      </w:r>
      <w:r w:rsidR="0016248B" w:rsidRPr="00963B91">
        <w:t xml:space="preserve"> dėl kompleksinės paramos taisyklių nesilaikymo</w:t>
      </w:r>
      <w:r>
        <w:t xml:space="preserve">, </w:t>
      </w:r>
      <w:r w:rsidR="0016248B" w:rsidRPr="00963B91">
        <w:t>apskaičiuojam</w:t>
      </w:r>
      <w:r>
        <w:t>o</w:t>
      </w:r>
      <w:r w:rsidR="0016248B" w:rsidRPr="00963B91">
        <w:t xml:space="preserve"> remiantis išmokomis, suteiktomis arba numatytomis suteikti už metus, kuriais nesilaikyta tų taisyklių</w:t>
      </w:r>
      <w:bookmarkEnd w:id="84"/>
    </w:p>
    <w:p w14:paraId="2835D94F" w14:textId="77777777" w:rsidR="00F652DD" w:rsidRPr="00353B65" w:rsidRDefault="00F652DD" w:rsidP="003951E9">
      <w:pPr>
        <w:ind w:firstLine="567"/>
        <w:rPr>
          <w:i/>
        </w:rPr>
      </w:pPr>
    </w:p>
    <w:p w14:paraId="2F895B4E" w14:textId="2F418D38" w:rsidR="00A76C3F" w:rsidRPr="00353B65" w:rsidRDefault="00A76C3F" w:rsidP="001D10F8">
      <w:pPr>
        <w:ind w:firstLine="567"/>
      </w:pPr>
      <w:r w:rsidRPr="00353B65">
        <w:t>Teisingumo T</w:t>
      </w:r>
      <w:r w:rsidR="001D10F8" w:rsidRPr="00353B65">
        <w:t>eismas pažymėjo, kad R</w:t>
      </w:r>
      <w:r w:rsidRPr="00353B65">
        <w:t xml:space="preserve">eglamento Nr. 1306/2013 97 straipsnio 1 dalies pirmos pastraipos ir 99 straipsnio 1 dalies </w:t>
      </w:r>
      <w:r w:rsidR="001D10F8" w:rsidRPr="00353B65">
        <w:t>n</w:t>
      </w:r>
      <w:r w:rsidRPr="00353B65">
        <w:t xml:space="preserve">uostatose vartojamas žodis „taikoma“ arba kai kuriose kalbinėse </w:t>
      </w:r>
      <w:r w:rsidRPr="00353B65">
        <w:lastRenderedPageBreak/>
        <w:t>versijose – žodis „skiriama“, kiek tai susiję su šio reglamento 91 straipsnyje numatyta administracine nuobaud</w:t>
      </w:r>
      <w:r w:rsidR="001D10F8" w:rsidRPr="00353B65">
        <w:t>a. T</w:t>
      </w:r>
      <w:r w:rsidRPr="00353B65">
        <w:t xml:space="preserve">ai yra plačios reikšmės žodžiai, kurie gali reikšti ir „apskaičiuoti“ nuobaudą, ir ją „skirti“ atsižvelgiant į Teisingumo Teismo 2018 m. liepos 25 d. Sprendime </w:t>
      </w:r>
      <w:r w:rsidRPr="00353B65">
        <w:rPr>
          <w:i/>
        </w:rPr>
        <w:t>Teglgaard ir Fløjstrupgård</w:t>
      </w:r>
      <w:r w:rsidRPr="00353B65">
        <w:t xml:space="preserve"> (C</w:t>
      </w:r>
      <w:r w:rsidRPr="00353B65">
        <w:rPr>
          <w:rFonts w:ascii="Cambria Math" w:hAnsi="Cambria Math" w:cs="Cambria Math"/>
        </w:rPr>
        <w:t>‑</w:t>
      </w:r>
      <w:r w:rsidRPr="00353B65">
        <w:t>239/17, EU:C:2018:597, 46 punktas) nurodyt</w:t>
      </w:r>
      <w:r w:rsidRPr="00353B65">
        <w:rPr>
          <w:rFonts w:cs="Calibri"/>
        </w:rPr>
        <w:t>ą</w:t>
      </w:r>
      <w:r w:rsidRPr="00353B65">
        <w:t xml:space="preserve"> skirtumą.</w:t>
      </w:r>
    </w:p>
    <w:p w14:paraId="00D379E2" w14:textId="0401B4A5" w:rsidR="001D10F8" w:rsidRPr="00353B65" w:rsidRDefault="001D10F8" w:rsidP="001D10F8">
      <w:pPr>
        <w:ind w:firstLine="567"/>
      </w:pPr>
      <w:r w:rsidRPr="00353B65">
        <w:t xml:space="preserve">Reglamento Nr. 1306/2013 97 straipsnio 1 dalies pirmoje pastraipoje aplinkybė, kad kompleksinės paramos taisyklių nesilaikoma kuriuo nors atitinkamų vienų kalendorinių metų, vadinamųjų „atitinkamų kalendorinių metų“, laiku, nurodoma kaip įvykis, kuriam nutikus sumažinamos arba panaikinamos tiesioginės išmokos, ir kad ši nuostata suformuluota labai panašiai į Reglamento Nr. 73/2009 23 straipsnio 1 dalį, kuri buvo išaiškinta taip, kad joje numatyta, kad tiesioginių išmokų sumažinimas dėl kompleksinės paramos taisyklių nesilaikymo turi būti apskaičiuojamas remiantis išmokomis, suteiktomis arba numatytomis suteikti už kalendorinius metus, kuriais nesilaikyta šių taisyklių (2018 m. liepos 25 d. Sprendimo </w:t>
      </w:r>
      <w:r w:rsidRPr="00353B65">
        <w:rPr>
          <w:i/>
        </w:rPr>
        <w:t>Teglgaard ir Fløjstrupgård</w:t>
      </w:r>
      <w:r w:rsidRPr="00353B65">
        <w:t>, C</w:t>
      </w:r>
      <w:r w:rsidRPr="00353B65">
        <w:rPr>
          <w:rFonts w:ascii="Cambria Math" w:hAnsi="Cambria Math" w:cs="Cambria Math"/>
        </w:rPr>
        <w:t>‑</w:t>
      </w:r>
      <w:r w:rsidRPr="00353B65">
        <w:t>239/17, EU:C:2018:597, 54</w:t>
      </w:r>
      <w:r w:rsidRPr="00353B65">
        <w:rPr>
          <w:rFonts w:cs="Calibri"/>
        </w:rPr>
        <w:t>–</w:t>
      </w:r>
      <w:r w:rsidRPr="00353B65">
        <w:t>56 p</w:t>
      </w:r>
      <w:r w:rsidR="00115851">
        <w:t>.</w:t>
      </w:r>
      <w:r w:rsidRPr="00353B65">
        <w:t>).</w:t>
      </w:r>
    </w:p>
    <w:p w14:paraId="17672348" w14:textId="77777777" w:rsidR="001D10F8" w:rsidRPr="00353B65" w:rsidRDefault="001D10F8" w:rsidP="001D10F8">
      <w:pPr>
        <w:ind w:firstLine="567"/>
      </w:pPr>
      <w:r w:rsidRPr="00353B65">
        <w:t>Pasak Teisingumo Teismo, nepaisant Reglamento Nr. 1306/2013 99 straipsnio antraštės „Administracinės nuobaudos dydžio apskaičiavimas“, šio straipsnio 1 dalies pirmoje pastraipoje iš tikrųjų nurodyta tiesioginių išmokų sumažinimo už kompleksinės paramos taisyklių nesilaikymą taikymo tvarka ir, kita vertus, kitos šiame 99 straipsnyje išdėstytos nuostatos susijusios su tam tikrais tokios nuobaudos apskaičiavimo būdais, kaip, be kita ko, šio reglamento 99 straipsnio 2 dalies pirmoje pastraipoje numatytų maksimalių sumažinimo dydžių nustatymu tuo atveju, jei taisyklių nesilaikyta dėl aplaidumo, arba pakartotinio nesilaikymo atveju. Todėl iš Reglamento Nr. 1306/2013 97 straipsnio 1 dalies pirmos pastraipos ir 99 straipsnio 1 dalies pirmos pastraipos atitinkamų formuluočių matyti, kad pirmoji iš šių nuostatų susijusi su šio reglamento 91 straipsnyje numatytos administracinės nuobaudos apskaičiavimu, o antroji – su šios nuobaudos skyrimu.</w:t>
      </w:r>
    </w:p>
    <w:p w14:paraId="54F6B4F4" w14:textId="18F7B25D" w:rsidR="001D10F8" w:rsidRPr="00353B65" w:rsidRDefault="001D10F8" w:rsidP="00D279DC">
      <w:pPr>
        <w:ind w:firstLine="567"/>
      </w:pPr>
      <w:r w:rsidRPr="00353B65">
        <w:t xml:space="preserve">Reglamento Nr. 1306/2013 tikslas – užtikrinti tiesioginių išmokų ir kompleksinės paramos taisyklių laikymosi ryšį, o jei šių taisyklių nesilaikoma, sumažinama arba neskiriama visa ši parama arba jos dalis, kaip nurodyta šio reglamento 53 konstatuojamojoje dalyje. Atsižvelgdamas į tai, kad ankstesniuose teisės aktuose egzistavo toks ryšys, Teisingumo Teismas konstatavo, jog </w:t>
      </w:r>
      <w:r w:rsidRPr="00115851">
        <w:rPr>
          <w:u w:val="single"/>
        </w:rPr>
        <w:t>minėtų taisyklių laikymasis turi prasmę, tik jeigu už jų nesilaikymą būtų taikoma sankcija sumažinant arba panaikinant kalendoriniais metais, kuriais nesilaikyta šių taisyklių, suteiktas arba numatytas suteikti tiesiogines išmokas</w:t>
      </w:r>
      <w:r w:rsidRPr="00353B65">
        <w:t xml:space="preserve"> (2018 m. liepos 25 d. Sprendimo </w:t>
      </w:r>
      <w:r w:rsidRPr="00353B65">
        <w:rPr>
          <w:i/>
        </w:rPr>
        <w:t>Teglgaard ir Fløjstrupgård</w:t>
      </w:r>
      <w:r w:rsidRPr="00353B65">
        <w:t>, C</w:t>
      </w:r>
      <w:r w:rsidRPr="00353B65">
        <w:rPr>
          <w:rFonts w:ascii="Cambria Math" w:hAnsi="Cambria Math" w:cs="Cambria Math"/>
        </w:rPr>
        <w:t>‑</w:t>
      </w:r>
      <w:r w:rsidRPr="00353B65">
        <w:t>239/17, EU:C:2018:597, 43 p</w:t>
      </w:r>
      <w:r w:rsidR="00115851">
        <w:t>.</w:t>
      </w:r>
      <w:r w:rsidRPr="00353B65">
        <w:t>).</w:t>
      </w:r>
      <w:r w:rsidR="00D279DC" w:rsidRPr="00353B65">
        <w:t xml:space="preserve"> Šiai išvadai taip pat turi būti teikiama pirmenybė aiškinant Reglamento Nr. 1306/2013 97 straipsnio 1 dalies pirmą pastraipą bei 99 straipsnio 1 dalies pirmą pastraipą ir Įgyvendinimo reglamento Nr. 809/2014 73 straipsnio 4 dalies pirmos pastraipos a punktą siekiant kuo geriau užtikrinti ne tik tiesioginių išmokų ir kompleksinės paramos taisyklių ryšį, bet ir vienodo požiūrio, proporcingumo ir teisinio saugumo principų laikymąsi.</w:t>
      </w:r>
    </w:p>
    <w:p w14:paraId="06FEA42F" w14:textId="117B938B" w:rsidR="00EE6F5A" w:rsidRPr="00353B65" w:rsidRDefault="003347AD" w:rsidP="00D279DC">
      <w:pPr>
        <w:ind w:firstLine="567"/>
      </w:pPr>
      <w:hyperlink r:id="rId33" w:history="1">
        <w:r w:rsidR="00DC60D8">
          <w:rPr>
            <w:rStyle w:val="Hipersaitas"/>
          </w:rPr>
          <w:t>Prieiga internete</w:t>
        </w:r>
      </w:hyperlink>
    </w:p>
    <w:p w14:paraId="41A175B2" w14:textId="26F6072E" w:rsidR="002C6C8D" w:rsidRDefault="002C6C8D" w:rsidP="00C757B5">
      <w:pPr>
        <w:pStyle w:val="c02alineaalta"/>
        <w:spacing w:before="0" w:beforeAutospacing="0" w:after="240" w:afterAutospacing="0"/>
        <w:ind w:left="567"/>
        <w:jc w:val="both"/>
        <w:rPr>
          <w:rFonts w:asciiTheme="minorHAnsi" w:hAnsiTheme="minorHAnsi" w:cstheme="minorHAnsi"/>
          <w:color w:val="000000"/>
          <w:sz w:val="22"/>
          <w:szCs w:val="22"/>
        </w:rPr>
      </w:pPr>
    </w:p>
    <w:p w14:paraId="477E3F23" w14:textId="20127689" w:rsidR="00DC60D8" w:rsidRPr="00353B65" w:rsidRDefault="00DC60D8" w:rsidP="00DC60D8">
      <w:pPr>
        <w:pStyle w:val="c02alineaalta"/>
        <w:spacing w:before="0" w:beforeAutospacing="0" w:after="240" w:after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____________</w:t>
      </w:r>
    </w:p>
    <w:p w14:paraId="107D4C5D" w14:textId="31E7336D" w:rsidR="00C757B5" w:rsidRPr="00353B65" w:rsidRDefault="00C757B5" w:rsidP="00F91B65">
      <w:pPr>
        <w:jc w:val="center"/>
        <w:rPr>
          <w:rFonts w:asciiTheme="minorHAnsi" w:hAnsiTheme="minorHAnsi" w:cstheme="minorHAnsi"/>
          <w:b/>
        </w:rPr>
      </w:pPr>
    </w:p>
    <w:p w14:paraId="0DACAA74" w14:textId="77777777" w:rsidR="00C757B5" w:rsidRPr="00353B65" w:rsidRDefault="00C757B5" w:rsidP="00F91B65">
      <w:pPr>
        <w:jc w:val="center"/>
        <w:rPr>
          <w:rFonts w:asciiTheme="minorHAnsi" w:hAnsiTheme="minorHAnsi" w:cstheme="minorHAnsi"/>
          <w:b/>
        </w:rPr>
      </w:pPr>
    </w:p>
    <w:sectPr w:rsidR="00C757B5" w:rsidRPr="00353B65" w:rsidSect="0079700B">
      <w:headerReference w:type="default" r:id="rId34"/>
      <w:footerReference w:type="default" r:id="rId35"/>
      <w:pgSz w:w="11906" w:h="16838"/>
      <w:pgMar w:top="1134" w:right="567" w:bottom="1134" w:left="1985"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9857B" w14:textId="77777777" w:rsidR="003347AD" w:rsidRDefault="003347AD">
      <w:r>
        <w:separator/>
      </w:r>
    </w:p>
  </w:endnote>
  <w:endnote w:type="continuationSeparator" w:id="0">
    <w:p w14:paraId="43F8CE1F" w14:textId="77777777" w:rsidR="003347AD" w:rsidRDefault="0033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20"/>
        <w:szCs w:val="20"/>
      </w:rPr>
      <w:id w:val="-951236842"/>
      <w:docPartObj>
        <w:docPartGallery w:val="Page Numbers (Bottom of Page)"/>
        <w:docPartUnique/>
      </w:docPartObj>
    </w:sdtPr>
    <w:sdtEndPr/>
    <w:sdtContent>
      <w:sdt>
        <w:sdtPr>
          <w:rPr>
            <w:rFonts w:asciiTheme="minorHAnsi" w:hAnsiTheme="minorHAnsi"/>
            <w:sz w:val="20"/>
            <w:szCs w:val="20"/>
          </w:rPr>
          <w:id w:val="1588040077"/>
          <w:docPartObj>
            <w:docPartGallery w:val="Page Numbers (Top of Page)"/>
            <w:docPartUnique/>
          </w:docPartObj>
        </w:sdtPr>
        <w:sdtEndPr/>
        <w:sdtContent>
          <w:p w14:paraId="68C15003" w14:textId="77777777" w:rsidR="0099601C" w:rsidRPr="0078181C" w:rsidRDefault="0099601C" w:rsidP="00736158">
            <w:pPr>
              <w:pStyle w:val="Porat"/>
              <w:jc w:val="center"/>
              <w:rPr>
                <w:rFonts w:asciiTheme="minorHAnsi" w:hAnsiTheme="minorHAnsi"/>
                <w:sz w:val="20"/>
                <w:szCs w:val="20"/>
              </w:rPr>
            </w:pP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PAGE</w:instrText>
            </w:r>
            <w:r w:rsidRPr="00F15916">
              <w:rPr>
                <w:rFonts w:asciiTheme="minorHAnsi" w:hAnsiTheme="minorHAnsi"/>
                <w:bCs/>
                <w:sz w:val="20"/>
                <w:szCs w:val="20"/>
              </w:rPr>
              <w:fldChar w:fldCharType="separate"/>
            </w:r>
            <w:r w:rsidR="0016248B">
              <w:rPr>
                <w:rFonts w:asciiTheme="minorHAnsi" w:hAnsiTheme="minorHAnsi"/>
                <w:bCs/>
                <w:noProof/>
                <w:sz w:val="20"/>
                <w:szCs w:val="20"/>
              </w:rPr>
              <w:t>2</w:t>
            </w:r>
            <w:r w:rsidR="0016248B">
              <w:rPr>
                <w:rFonts w:asciiTheme="minorHAnsi" w:hAnsiTheme="minorHAnsi"/>
                <w:bCs/>
                <w:noProof/>
                <w:sz w:val="20"/>
                <w:szCs w:val="20"/>
              </w:rPr>
              <w:t>7</w:t>
            </w:r>
            <w:r w:rsidRPr="00F15916">
              <w:rPr>
                <w:rFonts w:asciiTheme="minorHAnsi" w:hAnsiTheme="minorHAnsi"/>
                <w:bCs/>
                <w:sz w:val="20"/>
                <w:szCs w:val="20"/>
              </w:rPr>
              <w:fldChar w:fldCharType="end"/>
            </w:r>
            <w:r w:rsidRPr="00F15916">
              <w:rPr>
                <w:rFonts w:asciiTheme="minorHAnsi" w:hAnsiTheme="minorHAnsi"/>
                <w:sz w:val="20"/>
                <w:szCs w:val="20"/>
              </w:rPr>
              <w:t xml:space="preserve"> </w:t>
            </w:r>
            <w:r>
              <w:rPr>
                <w:rFonts w:asciiTheme="minorHAnsi" w:hAnsiTheme="minorHAnsi"/>
                <w:sz w:val="20"/>
                <w:szCs w:val="20"/>
              </w:rPr>
              <w:t>/</w:t>
            </w: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NUMPAGES</w:instrText>
            </w:r>
            <w:r w:rsidRPr="00F15916">
              <w:rPr>
                <w:rFonts w:asciiTheme="minorHAnsi" w:hAnsiTheme="minorHAnsi"/>
                <w:bCs/>
                <w:sz w:val="20"/>
                <w:szCs w:val="20"/>
              </w:rPr>
              <w:fldChar w:fldCharType="separate"/>
            </w:r>
            <w:r w:rsidR="0016248B">
              <w:rPr>
                <w:rFonts w:asciiTheme="minorHAnsi" w:hAnsiTheme="minorHAnsi"/>
                <w:bCs/>
                <w:noProof/>
                <w:sz w:val="20"/>
                <w:szCs w:val="20"/>
              </w:rPr>
              <w:t>27</w:t>
            </w:r>
            <w:r w:rsidRPr="00F15916">
              <w:rPr>
                <w:rFonts w:asciiTheme="minorHAnsi" w:hAnsiTheme="minorHAnsi"/>
                <w:bCs/>
                <w:sz w:val="20"/>
                <w:szCs w:val="20"/>
              </w:rPr>
              <w:fldChar w:fldCharType="end"/>
            </w:r>
          </w:p>
        </w:sdtContent>
      </w:sdt>
    </w:sdtContent>
  </w:sdt>
  <w:p w14:paraId="5B276432" w14:textId="77777777" w:rsidR="0099601C" w:rsidRDefault="0099601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651A2" w14:textId="77777777" w:rsidR="003347AD" w:rsidRDefault="003347AD">
      <w:r>
        <w:separator/>
      </w:r>
    </w:p>
  </w:footnote>
  <w:footnote w:type="continuationSeparator" w:id="0">
    <w:p w14:paraId="66AB6442" w14:textId="77777777" w:rsidR="003347AD" w:rsidRDefault="003347AD">
      <w:r>
        <w:continuationSeparator/>
      </w:r>
    </w:p>
  </w:footnote>
  <w:footnote w:id="1">
    <w:p w14:paraId="1CF1A9B8" w14:textId="3F823712" w:rsidR="006C6208" w:rsidRPr="006C6208" w:rsidRDefault="006C6208" w:rsidP="006C6208">
      <w:pPr>
        <w:pStyle w:val="Puslapioinaostekstas"/>
        <w:rPr>
          <w:rFonts w:asciiTheme="minorHAnsi" w:hAnsiTheme="minorHAnsi" w:cstheme="minorHAnsi"/>
          <w:lang w:val="en-US"/>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Konvencija dėl teisės gauti informaciją, visuomenės dalyvavimo priimant sprendimus ir teisės kreiptis į teismus aplinkosaugos klausimais, pasirašyta 1998 m. birželio 25 d. Orhuse ir Europos bendrijos vardu patvirtinta 2005 m. vasario 17 d. Tarybos sprendimu 2005/370/EB</w:t>
      </w:r>
    </w:p>
  </w:footnote>
  <w:footnote w:id="2">
    <w:p w14:paraId="62E72EA0" w14:textId="0187935F" w:rsidR="006C6208" w:rsidRPr="006C6208" w:rsidRDefault="006C6208" w:rsidP="006C6208">
      <w:pPr>
        <w:rPr>
          <w:rFonts w:asciiTheme="minorHAnsi" w:hAnsiTheme="minorHAnsi" w:cstheme="minorHAnsi"/>
          <w:iCs/>
          <w:sz w:val="20"/>
          <w:szCs w:val="20"/>
          <w:shd w:val="clear" w:color="auto" w:fill="FFFFFF"/>
        </w:rPr>
      </w:pPr>
      <w:r w:rsidRPr="006C6208">
        <w:rPr>
          <w:rStyle w:val="Puslapioinaosnuoroda"/>
          <w:rFonts w:asciiTheme="minorHAnsi" w:hAnsiTheme="minorHAnsi" w:cstheme="minorHAnsi"/>
          <w:sz w:val="20"/>
          <w:szCs w:val="20"/>
        </w:rPr>
        <w:footnoteRef/>
      </w:r>
      <w:r w:rsidRPr="006C6208">
        <w:rPr>
          <w:rFonts w:asciiTheme="minorHAnsi" w:hAnsiTheme="minorHAnsi" w:cstheme="minorHAnsi"/>
          <w:sz w:val="20"/>
          <w:szCs w:val="20"/>
        </w:rPr>
        <w:t xml:space="preserve"> </w:t>
      </w:r>
      <w:r w:rsidRPr="006C6208">
        <w:rPr>
          <w:rFonts w:asciiTheme="minorHAnsi" w:hAnsiTheme="minorHAnsi" w:cstheme="minorHAnsi"/>
          <w:iCs/>
          <w:sz w:val="20"/>
          <w:szCs w:val="20"/>
          <w:shd w:val="clear" w:color="auto" w:fill="FFFFFF"/>
        </w:rPr>
        <w:t>2003 m. sausio 28 d. Europos Parlamento ir Tarybos direktyva 2003/4/EB dėl visuomenės galimybės susipažinti su informacija apie aplinką ir panaikinanti Tarybos direktyvą 90/313/EEB </w:t>
      </w:r>
    </w:p>
  </w:footnote>
  <w:footnote w:id="3">
    <w:p w14:paraId="554B0881" w14:textId="4F9B4564" w:rsidR="006C6208" w:rsidRPr="006C6208" w:rsidRDefault="006C6208" w:rsidP="006C6208">
      <w:pPr>
        <w:rPr>
          <w:rFonts w:asciiTheme="minorHAnsi" w:hAnsiTheme="minorHAnsi" w:cstheme="minorHAnsi"/>
          <w:sz w:val="20"/>
          <w:szCs w:val="20"/>
        </w:rPr>
      </w:pPr>
      <w:r w:rsidRPr="006C6208">
        <w:rPr>
          <w:rStyle w:val="Puslapioinaosnuoroda"/>
          <w:rFonts w:asciiTheme="minorHAnsi" w:hAnsiTheme="minorHAnsi" w:cstheme="minorHAnsi"/>
          <w:sz w:val="20"/>
          <w:szCs w:val="20"/>
        </w:rPr>
        <w:footnoteRef/>
      </w:r>
      <w:r w:rsidRPr="006C6208">
        <w:rPr>
          <w:rFonts w:asciiTheme="minorHAnsi" w:hAnsiTheme="minorHAnsi" w:cstheme="minorHAnsi"/>
          <w:sz w:val="20"/>
          <w:szCs w:val="20"/>
        </w:rPr>
        <w:t xml:space="preserve"> </w:t>
      </w:r>
      <w:r w:rsidRPr="006C6208">
        <w:rPr>
          <w:rFonts w:asciiTheme="minorHAnsi" w:hAnsiTheme="minorHAnsi" w:cstheme="minorHAnsi"/>
          <w:sz w:val="20"/>
          <w:szCs w:val="20"/>
        </w:rPr>
        <w:t>2002 m. liepos 12 d. Europos Parlamento ir Tarybos direktyva 2002/58/EB dėl asmens duomenų tvarkymo ir privatumo apsaugos elektroninių ryšių sektoriuje (Direktyva dėl privatumo ir elektroninių ryšių, iš dalies pakeista 2009 m. lapkričio 25 d. Europos Parlamento ir Tarybos direktyva 2009/136/EB</w:t>
      </w:r>
    </w:p>
  </w:footnote>
  <w:footnote w:id="4">
    <w:p w14:paraId="4BFA2964" w14:textId="11E0B722" w:rsidR="006C6208" w:rsidRPr="004A424E"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2006 m. lapkričio 28 d. Tarybos direktyva 2006/112/EB dėl pridėtinės vertės mokesčio bendros sistemos, iš dalies pakeista 2008 m. vasario 12 d. Tarybos direktyva 2008/8/EB</w:t>
      </w:r>
    </w:p>
  </w:footnote>
  <w:footnote w:id="5">
    <w:p w14:paraId="14E89954" w14:textId="77777777"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Direktyvos 2006/112 56 straipsnis:</w:t>
      </w:r>
    </w:p>
    <w:p w14:paraId="3A4EE6EF" w14:textId="77777777" w:rsidR="006C6208" w:rsidRPr="006C6208" w:rsidRDefault="006C6208" w:rsidP="006C6208">
      <w:pPr>
        <w:pStyle w:val="Puslapioinaostekstas"/>
        <w:rPr>
          <w:rFonts w:asciiTheme="minorHAnsi" w:hAnsiTheme="minorHAnsi" w:cstheme="minorHAnsi"/>
        </w:rPr>
      </w:pPr>
      <w:r w:rsidRPr="006C6208">
        <w:rPr>
          <w:rFonts w:asciiTheme="minorHAnsi" w:hAnsiTheme="minorHAnsi" w:cstheme="minorHAnsi"/>
        </w:rPr>
        <w:t>„1. Transporto priemonių trumpalaikės nuomos paslaugų teikimo vieta yra ten, kur transporto priemonė faktiškai perduodama klientui.</w:t>
      </w:r>
    </w:p>
    <w:p w14:paraId="7FFE3A3C" w14:textId="77777777" w:rsidR="006C6208" w:rsidRPr="006C6208" w:rsidRDefault="006C6208" w:rsidP="006C6208">
      <w:pPr>
        <w:pStyle w:val="Puslapioinaostekstas"/>
        <w:rPr>
          <w:rFonts w:asciiTheme="minorHAnsi" w:hAnsiTheme="minorHAnsi" w:cstheme="minorHAnsi"/>
        </w:rPr>
      </w:pPr>
      <w:r w:rsidRPr="006C6208">
        <w:rPr>
          <w:rFonts w:asciiTheme="minorHAnsi" w:hAnsiTheme="minorHAnsi" w:cstheme="minorHAnsi"/>
        </w:rPr>
        <w:t>2. Transporto priemonių nuomos, išskyrus trumpalaikę nuomą, paslaugų teikimo neapmokestinamajam asmeniui vieta yra ten, kur klientas yra įsisteigęs, turi nuolatinę gyvenamąją vietą arba paprastai gyvena.&lt;…&gt;</w:t>
      </w:r>
    </w:p>
    <w:p w14:paraId="570D00B6" w14:textId="77777777" w:rsidR="006C6208" w:rsidRPr="006C6208" w:rsidRDefault="006C6208" w:rsidP="006C6208">
      <w:pPr>
        <w:pStyle w:val="Puslapioinaostekstas"/>
        <w:rPr>
          <w:rFonts w:asciiTheme="minorHAnsi" w:hAnsiTheme="minorHAnsi" w:cstheme="minorHAnsi"/>
        </w:rPr>
      </w:pPr>
      <w:r w:rsidRPr="006C6208">
        <w:rPr>
          <w:rFonts w:asciiTheme="minorHAnsi" w:hAnsiTheme="minorHAnsi" w:cstheme="minorHAnsi"/>
        </w:rPr>
        <w:t>3. Taikant 1 ir 2 dalis, „trumpalaikė“ reiškia nepertraukiamą transporto priemonės valdymą ar naudojimą ne ilgiau kaip trisdešimt dienų, o laivų atveju – ne daugiau kaip devyniasdešimt dienų.“</w:t>
      </w:r>
    </w:p>
  </w:footnote>
  <w:footnote w:id="6">
    <w:p w14:paraId="4BD2A64F" w14:textId="77777777" w:rsidR="0099601C" w:rsidRPr="006C6208" w:rsidRDefault="0099601C"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Direktyvos 2006/112 2 straipsnio 1 dalies c punktas: „PVM objektas yra šie sandoriai: &lt;…&gt; c) paslaugų teikimas už atlygį valstybės narės teritorijoje, kai paslaugas teikia apmokestinamasis asmuo, veikdamas kaip toks.“</w:t>
      </w:r>
    </w:p>
  </w:footnote>
  <w:footnote w:id="7">
    <w:p w14:paraId="6B42F445" w14:textId="77777777" w:rsidR="0099601C" w:rsidRPr="006C6208" w:rsidRDefault="0099601C"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Direktyvos 2006/112 26 straipsnio 1 dalis: „paslaugų teikimu už atlygį laikomi šie sandoriai: a) veiklai skirto turto dalį sudarančių prekių naudojimas apmokestinamojo asmens arba jo darbuotojų privatiems poreikiams arba, platesne prasme, šių prekių sunaudojimas ne verslo tikslais, kai PVM už šias prekes galėjo būti visiškai arba iš dalies įtrauktas į atskaitą; b) paslaugų teikimas, kurį neatlygintinai atlieka apmokestinamasis asmuo savo arba jo darbuotojų privatiems poreikiams tenkinti arba, platesne prasme, ne savo verslo tikslais.“</w:t>
      </w:r>
    </w:p>
  </w:footnote>
  <w:footnote w:id="8">
    <w:p w14:paraId="1F0AC593" w14:textId="77777777"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Direktyvos 2010/24 16 straipsnis:</w:t>
      </w:r>
    </w:p>
    <w:p w14:paraId="7B4A686C" w14:textId="77777777" w:rsidR="006C6208" w:rsidRPr="006C6208" w:rsidRDefault="006C6208" w:rsidP="006C6208">
      <w:pPr>
        <w:pStyle w:val="Puslapioinaostekstas"/>
        <w:rPr>
          <w:rFonts w:asciiTheme="minorHAnsi" w:hAnsiTheme="minorHAnsi" w:cstheme="minorHAnsi"/>
        </w:rPr>
      </w:pPr>
      <w:r w:rsidRPr="006C6208">
        <w:rPr>
          <w:rFonts w:asciiTheme="minorHAnsi" w:hAnsiTheme="minorHAnsi" w:cstheme="minorHAnsi"/>
        </w:rPr>
        <w:t>„1. Prašančiosios institucijos prašymu institucija, į kurią kreipiamasi, imasi prevencinių priemonių, jei jos leidžiamos pagal jos nacionalinę teisę ir administracinę praktiką, kad būtų užtikrintas reikalavimo vykdymas, jeigu reikalavimas arba dokumentas, kuriuo leidžiama vykdyti reikalavimą prašančiojoje valstybėje narėje, užginčytas prašymo pateikimo metu arba jeigu dėl reikalavimo dar neišduotas dokumentas, kuriuo leidžiama jį vykdyti prašančiojoje valstybėje narėje, jeigu prevencinės priemonės panašiu atveju taip pat galimos pagal prašančiosios valstybės narės nacionalinę teisę ir administracinę praktiką.</w:t>
      </w:r>
    </w:p>
    <w:p w14:paraId="7094F722" w14:textId="77777777" w:rsidR="006C6208" w:rsidRPr="006C6208" w:rsidRDefault="006C6208" w:rsidP="006C6208">
      <w:pPr>
        <w:pStyle w:val="Puslapioinaostekstas"/>
        <w:rPr>
          <w:rFonts w:asciiTheme="minorHAnsi" w:hAnsiTheme="minorHAnsi" w:cstheme="minorHAnsi"/>
        </w:rPr>
      </w:pPr>
      <w:r w:rsidRPr="006C6208">
        <w:rPr>
          <w:rFonts w:asciiTheme="minorHAnsi" w:hAnsiTheme="minorHAnsi" w:cstheme="minorHAnsi"/>
        </w:rPr>
        <w:t>Prie prašymo imtis prevencinių priemonių valstybėje narėje, į kurią kreipiamasi, pridedamas dokumentas, jei toks yra, parengtas siekiant leisti imtis prevencinių priemonių prašančiojoje valstybėje narėje ir susijęs su reikalavimu, dėl kurio prašoma savitarpio pagalbos. Valstybėje narėje, į kurią kreipiamasi, šis dokumentas neturi būti kaip nors pripažintas, papildytas ar pakeistas.</w:t>
      </w:r>
    </w:p>
    <w:p w14:paraId="1DD9D5F4" w14:textId="77777777" w:rsidR="006C6208" w:rsidRPr="006C6208" w:rsidRDefault="006C6208" w:rsidP="006C6208">
      <w:pPr>
        <w:pStyle w:val="Puslapioinaostekstas"/>
        <w:rPr>
          <w:rFonts w:asciiTheme="minorHAnsi" w:hAnsiTheme="minorHAnsi" w:cstheme="minorHAnsi"/>
        </w:rPr>
      </w:pPr>
      <w:r w:rsidRPr="006C6208">
        <w:rPr>
          <w:rFonts w:asciiTheme="minorHAnsi" w:hAnsiTheme="minorHAnsi" w:cstheme="minorHAnsi"/>
        </w:rPr>
        <w:t>2. Prie prašymo imtis prevencinių priemonių gali būti pridėti kiti prašančiojoje valstybėje narėje išduoti su reikalavimu susiję dokumentai.“</w:t>
      </w:r>
    </w:p>
  </w:footnote>
  <w:footnote w:id="9">
    <w:p w14:paraId="3C37C4C5" w14:textId="69B97DCB"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2010 m. kovo 16 d. Tarybos direktyva 2010/24/ES dėl savitarpio pagalbos vykdant reikalavimus, susijusius su mokesčiais, muitais ir kitomis priemonėmis</w:t>
      </w:r>
    </w:p>
  </w:footnote>
  <w:footnote w:id="10">
    <w:p w14:paraId="69814A1A" w14:textId="056CF96C"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2006 m. lapkričio 28 d. Tarybos direktyva 2006/112/EB dėl pridėtinės vertės mokesčio bendros sistemos</w:t>
      </w:r>
    </w:p>
  </w:footnote>
  <w:footnote w:id="11">
    <w:p w14:paraId="072042DA" w14:textId="77777777"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PVM direktyvos 2 straipsnio 1 dalies a punkte nustatyta, kad PVM objektas yra paslaugų teikimas už atlygį valstybės narės teritorijoje, kai paslaugas teikia apmokestinamasis asmuo, veikdamas kaip toks.</w:t>
      </w:r>
    </w:p>
  </w:footnote>
  <w:footnote w:id="12">
    <w:p w14:paraId="785CBF81" w14:textId="77777777"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PVM direktyvos 9 straipsnio 1 dalyje numatyta: „apmokestinamasis asmuo“ – asmuo, kuris savarankiškai bet kurioje vietoje vykdo ekonominę veiklą, neatsižvelgiant į tos veiklos tikslą ir rezultatą. „Ekonominė veikla“ – gamintojų, prekybininkų ar paslaugas teikiančių asmenų veikla, įskaitant kasybą bei žemės ūkio veiklą ir laisvųjų profesijų veiklą. Visų pirma ekonomine veikla laikomas materialiojo ar nematerialiojo turto naudojimas siekiant gauti nuolatinių pajamų.“</w:t>
      </w:r>
    </w:p>
  </w:footnote>
  <w:footnote w:id="13">
    <w:p w14:paraId="43828B6B" w14:textId="77777777" w:rsidR="0099601C" w:rsidRPr="006C6208" w:rsidRDefault="0099601C"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Pagal PVM direktyvos 2 straipsnio 1 dalies d punktą prekių importas apmokestinamas PVM. Pagal šios direktyvos 30 straipsnio pirmą pastraipą prekių importu laikomas prekių, kurios išleistos į laisvą apyvartą, įvežimas į Bendriją iš Bendrijos muitų teritorijai priklausančios trečiosios teritorijos.</w:t>
      </w:r>
    </w:p>
  </w:footnote>
  <w:footnote w:id="14">
    <w:p w14:paraId="022B555A" w14:textId="77777777" w:rsidR="0099601C" w:rsidRPr="006C6208" w:rsidRDefault="0099601C"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Remiantis PVM direktyvos 70 straipsniu, apmokestinimo momentas įvyksta ir prievolė apskaičiuoti PVM atsiranda tada, kai prekės yra importuotos. Šios direktyvos 71 straipsnio 1 dalyje numatyta:</w:t>
      </w:r>
    </w:p>
    <w:p w14:paraId="53760A20" w14:textId="77777777" w:rsidR="0099601C" w:rsidRPr="006C6208" w:rsidRDefault="0099601C" w:rsidP="006C6208">
      <w:pPr>
        <w:pStyle w:val="Puslapioinaostekstas"/>
        <w:rPr>
          <w:rFonts w:asciiTheme="minorHAnsi" w:hAnsiTheme="minorHAnsi" w:cstheme="minorHAnsi"/>
        </w:rPr>
      </w:pPr>
      <w:r w:rsidRPr="006C6208">
        <w:rPr>
          <w:rFonts w:asciiTheme="minorHAnsi" w:hAnsiTheme="minorHAnsi" w:cstheme="minorHAnsi"/>
        </w:rPr>
        <w:t>„Kai į Bendriją įvežamoms prekėms taikoma viena iš 156, 276 ir 277 straipsniuose nurodytų procedūrų ar aplinkybių, arba laikinojo įvežimo visiškai neapmokestinant importo muitais procedūros, arba išorinio tranzito procedūros, apmokestinimo momentas nustatomas ir prievolė apskaičiuoti PVM atsiranda tada, kai prekėms nebetaikomos tos procedūros ar aplinkybė.</w:t>
      </w:r>
    </w:p>
    <w:p w14:paraId="726F62D0" w14:textId="77777777" w:rsidR="0099601C" w:rsidRPr="006C6208" w:rsidRDefault="0099601C" w:rsidP="006C6208">
      <w:pPr>
        <w:pStyle w:val="Puslapioinaostekstas"/>
        <w:rPr>
          <w:rFonts w:asciiTheme="minorHAnsi" w:hAnsiTheme="minorHAnsi" w:cstheme="minorHAnsi"/>
        </w:rPr>
      </w:pPr>
      <w:r w:rsidRPr="006C6208">
        <w:rPr>
          <w:rFonts w:asciiTheme="minorHAnsi" w:hAnsiTheme="minorHAnsi" w:cstheme="minorHAnsi"/>
        </w:rPr>
        <w:t>Tačiau, kai už importuojamas prekes reikia sumokėti muitą, žemės ūkio mokesčius arba pagal bendrąją politiką nustatytas jiems lygiavertes rinkliavas, apmokestinimo momentas ir prievolė apskaičiuoti PVM atsiranda tada, kai įvyksta apmokestinimo tais mokesčiais momentas ir atsiranda prievolė juos apskaičiuoti.“</w:t>
      </w:r>
    </w:p>
  </w:footnote>
  <w:footnote w:id="15">
    <w:p w14:paraId="27D5291D" w14:textId="6A8F838B" w:rsidR="006C6208" w:rsidRPr="006C6208" w:rsidRDefault="006C6208" w:rsidP="006C6208">
      <w:pPr>
        <w:pStyle w:val="Puslapioinaostekstas"/>
        <w:rPr>
          <w:rFonts w:asciiTheme="minorHAnsi" w:hAnsiTheme="minorHAnsi" w:cstheme="minorHAnsi"/>
          <w:lang w:val="en-US"/>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2006 m. lapkričio 28 d. Tarybos direktyva 2006/112/EB dėl pridėtinės vertės mokesčio bendros sistemos</w:t>
      </w:r>
    </w:p>
  </w:footnote>
  <w:footnote w:id="16">
    <w:p w14:paraId="2FA8BE88" w14:textId="57C17082" w:rsidR="006C6208" w:rsidRPr="006C6208" w:rsidRDefault="006C6208" w:rsidP="006C6208">
      <w:pPr>
        <w:pStyle w:val="Puslapioinaostekstas"/>
        <w:rPr>
          <w:rFonts w:asciiTheme="minorHAnsi" w:hAnsiTheme="minorHAnsi" w:cstheme="minorHAnsi"/>
          <w:lang w:val="en-US"/>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 xml:space="preserve">2008 m. gruodžio 16 d. Tarybos direktyva 2008/118/EB dėl bendros akcizų tvarkos, </w:t>
      </w:r>
      <w:r w:rsidRPr="006C6208">
        <w:rPr>
          <w:rFonts w:asciiTheme="minorHAnsi" w:hAnsiTheme="minorHAnsi" w:cstheme="minorHAnsi"/>
          <w:iCs/>
          <w:shd w:val="clear" w:color="auto" w:fill="FFFFFF"/>
        </w:rPr>
        <w:t>panaikinanti</w:t>
      </w:r>
      <w:r w:rsidRPr="006C6208">
        <w:rPr>
          <w:rFonts w:asciiTheme="minorHAnsi" w:hAnsiTheme="minorHAnsi" w:cstheme="minorHAnsi"/>
        </w:rPr>
        <w:t xml:space="preserve"> Direktyvą 92/12/EEB</w:t>
      </w:r>
    </w:p>
  </w:footnote>
  <w:footnote w:id="17">
    <w:p w14:paraId="2EE83414" w14:textId="77777777"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Direktyvos 2008/118 33 straipsnis:</w:t>
      </w:r>
    </w:p>
    <w:p w14:paraId="1D22A162" w14:textId="77777777" w:rsidR="006C6208" w:rsidRPr="006C6208" w:rsidRDefault="006C6208" w:rsidP="006C6208">
      <w:pPr>
        <w:pStyle w:val="Puslapioinaostekstas"/>
        <w:rPr>
          <w:rFonts w:asciiTheme="minorHAnsi" w:hAnsiTheme="minorHAnsi" w:cstheme="minorHAnsi"/>
        </w:rPr>
      </w:pPr>
      <w:r w:rsidRPr="006C6208">
        <w:rPr>
          <w:rFonts w:asciiTheme="minorHAnsi" w:hAnsiTheme="minorHAnsi" w:cstheme="minorHAnsi"/>
        </w:rPr>
        <w:t>„1. Nedarant poveikio 36 straipsnio 1 dalies taikymui, jeigu akcizais apmokestinamos prekės, kurios jau išleistos vartoti vienoje valstybėje narėje, komerciniais tikslais laikomos kitoje valstybėje narėje, siekiant jas ten pristatyti ar naudoti, tai joms taikomi akcizai ir prievolė apskaičiuoti akcizą atsiranda toje kitoje valstybėje narėje.</w:t>
      </w:r>
    </w:p>
    <w:p w14:paraId="5495F654" w14:textId="77777777" w:rsidR="006C6208" w:rsidRPr="006C6208" w:rsidRDefault="006C6208" w:rsidP="006C6208">
      <w:pPr>
        <w:pStyle w:val="Puslapioinaostekstas"/>
        <w:rPr>
          <w:rFonts w:asciiTheme="minorHAnsi" w:hAnsiTheme="minorHAnsi" w:cstheme="minorHAnsi"/>
        </w:rPr>
      </w:pPr>
      <w:r w:rsidRPr="006C6208">
        <w:rPr>
          <w:rFonts w:asciiTheme="minorHAnsi" w:hAnsiTheme="minorHAnsi" w:cstheme="minorHAnsi"/>
        </w:rPr>
        <w:t>Šio straipsnio tikslais „laikymas komerciniais tikslais“ – akcizais apmokestinamų prekių laikymas, kai jas laiko kitas nei privatus fizinis asmuo ar kai jas laiko privatus fizinis asmuo kitiems nei asmeninio naudojimo tikslams ir jas gabena, kaip nurodyta 32 straipsnyje.</w:t>
      </w:r>
    </w:p>
    <w:p w14:paraId="1817EA88" w14:textId="77777777" w:rsidR="006C6208" w:rsidRPr="006C6208" w:rsidRDefault="006C6208" w:rsidP="006C6208">
      <w:pPr>
        <w:pStyle w:val="Puslapioinaostekstas"/>
        <w:rPr>
          <w:rFonts w:asciiTheme="minorHAnsi" w:hAnsiTheme="minorHAnsi" w:cstheme="minorHAnsi"/>
        </w:rPr>
      </w:pPr>
      <w:r w:rsidRPr="006C6208">
        <w:rPr>
          <w:rFonts w:asciiTheme="minorHAnsi" w:hAnsiTheme="minorHAnsi" w:cstheme="minorHAnsi"/>
        </w:rPr>
        <w:t>&lt;…&gt;</w:t>
      </w:r>
    </w:p>
    <w:p w14:paraId="688D1A1A" w14:textId="77777777" w:rsidR="006C6208" w:rsidRPr="006C6208" w:rsidRDefault="006C6208" w:rsidP="006C6208">
      <w:pPr>
        <w:pStyle w:val="Puslapioinaostekstas"/>
        <w:rPr>
          <w:rFonts w:asciiTheme="minorHAnsi" w:hAnsiTheme="minorHAnsi" w:cstheme="minorHAnsi"/>
        </w:rPr>
      </w:pPr>
      <w:r w:rsidRPr="006C6208">
        <w:rPr>
          <w:rFonts w:asciiTheme="minorHAnsi" w:hAnsiTheme="minorHAnsi" w:cstheme="minorHAnsi"/>
        </w:rPr>
        <w:t>3. Asmuo, kuriam tenka prievolė mokėti akcizus, kuriuos apskaičiuoti prievolė atsirado, yra, atsižvelgiant į 1 dalyje nurodytus atvejus, asmuo, pristatantis arba laikantis pristatymui skirtas prekes, ar asmuo, kuriam prekės pristatomos kitoje valstybėje narėje.</w:t>
      </w:r>
    </w:p>
    <w:p w14:paraId="082F4837" w14:textId="77777777" w:rsidR="006C6208" w:rsidRPr="006C6208" w:rsidRDefault="006C6208" w:rsidP="006C6208">
      <w:pPr>
        <w:pStyle w:val="Puslapioinaostekstas"/>
        <w:rPr>
          <w:rFonts w:asciiTheme="minorHAnsi" w:hAnsiTheme="minorHAnsi" w:cstheme="minorHAnsi"/>
        </w:rPr>
      </w:pPr>
      <w:r w:rsidRPr="006C6208">
        <w:rPr>
          <w:rFonts w:asciiTheme="minorHAnsi" w:hAnsiTheme="minorHAnsi" w:cstheme="minorHAnsi"/>
        </w:rPr>
        <w:t>4. Nedarant poveikio 38 straipsnio taikymui, jei akcizais apmokestinamos prekės, kurios jau išleistos vartoti vienoje valstybėje narėje, gabenamos [Sąjungoje] komerciniais tikslais, tai iki jų pristatymo į paskirties valstybę narę nelaikoma, kad šios prekės laikomos tais tikslais, jeigu jos gabenamos laikantis 34 straipsnyje nustatytų formalumų. &lt;…&gt;“</w:t>
      </w:r>
    </w:p>
  </w:footnote>
  <w:footnote w:id="18">
    <w:p w14:paraId="2981767A" w14:textId="19ABA2E3"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2009 m. rugsėjo 16 d. Europos Parlamento ir Tarybos reglamentas (EB) Nr. 987/2009, nustatantis Reglamento (EB) Nr. 883/2004 dėl socialinės apsaugos sistemų koordinavimo įgyvendinimo tvarką</w:t>
      </w:r>
    </w:p>
  </w:footnote>
  <w:footnote w:id="19">
    <w:p w14:paraId="176EB4D2" w14:textId="7724CDCA"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1996 m. birželio 3 d. Tarybos direktyva 96/34/EB dėl Bendrojo susitarimo dėl tėvystės [vaiko priežiūros] atostogų, sudaryto tarp UNICE, CEEP ir ETUC, iš dalies pakeista 1997 m. gruodžio 15 d. Tarybos direktyva 97/75/EB</w:t>
      </w:r>
    </w:p>
  </w:footnote>
  <w:footnote w:id="20">
    <w:p w14:paraId="0B8142E6" w14:textId="7E51B10B"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 xml:space="preserve">2010 m. kovo 8 d. Tarybos direktyva 2010/18/ES, įgyvendinanti patikslintą BUSINESSEUROPE, UEAPME, CEEP ir ETUC sudarytą Bendrąjį susitarimą dėl vaiko priežiūros atostogų ir panaikinanti Direktyvą 96/34 </w:t>
      </w:r>
    </w:p>
  </w:footnote>
  <w:footnote w:id="21">
    <w:p w14:paraId="238A1322" w14:textId="2A9DB88E"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2003 m. lapkričio 4 d. Europos Parlamento ir Tarybos direktyva 2003/88/EB dėl tam tikrų darbo laiko organizavimo aspektų</w:t>
      </w:r>
    </w:p>
  </w:footnote>
  <w:footnote w:id="22">
    <w:p w14:paraId="49C6610C" w14:textId="34EB268D"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1999 m. birželio 28 d. Tarybos direktyva 1999/70/EB dėl Europos profesinių sąjungų konfederacijos (ETUC), Europos pramonės ir darbdavių konfederacijų sąjungos (UNICE) ir Europos įmonių, kuriose dalyvauja valstybė, centro (CEEP) bendrojo susitarimo dėl darbo pagal terminuotas sutartis</w:t>
      </w:r>
    </w:p>
  </w:footnote>
  <w:footnote w:id="23">
    <w:p w14:paraId="62E9ED82" w14:textId="7415696A"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2000 m. lapkričio 27 d. Tarybos direktyva 2000/78/EB, nustatanti vienodo požiūrio užimtumo ir profesinėje srityje bendruosius pagrindus</w:t>
      </w:r>
    </w:p>
  </w:footnote>
  <w:footnote w:id="24">
    <w:p w14:paraId="42DFA29F" w14:textId="4C6F8910"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2009 m. balandžio 23 d. Europos Parlamento ir Tarybos direktyva 2009/28/EB dėl skatinimo naudoti atsinaujinančių išteklių energiją</w:t>
      </w:r>
    </w:p>
  </w:footnote>
  <w:footnote w:id="25">
    <w:p w14:paraId="0DCB5E79" w14:textId="703BD466" w:rsidR="0099601C" w:rsidRPr="006C6208" w:rsidRDefault="0099601C"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color w:val="000000"/>
        </w:rPr>
        <w:t>Pagal 2003 m. sausio 28 d. Europos Parlamento ir Tarybos direktyvos 2003/6/EB dėl prekybos vertybiniais popieriais, pasinaudojant viešai neatskleista informacija, ir manipuliavimo rinka (piktnaudžiavimo rinka)</w:t>
      </w:r>
      <w:r w:rsidR="006C6208">
        <w:rPr>
          <w:rFonts w:asciiTheme="minorHAnsi" w:hAnsiTheme="minorHAnsi" w:cstheme="minorHAnsi"/>
          <w:color w:val="000000"/>
        </w:rPr>
        <w:t xml:space="preserve"> </w:t>
      </w:r>
      <w:r w:rsidRPr="006C6208">
        <w:rPr>
          <w:rFonts w:asciiTheme="minorHAnsi" w:hAnsiTheme="minorHAnsi" w:cstheme="minorHAnsi"/>
          <w:color w:val="000000"/>
        </w:rPr>
        <w:t>14 straipsnio 3 dalį valstybės narės turi nustatyti sankcijas, taikytinas tuo atveju, jei nebendradarbiaujama vykstant tyrimui, priskirtinam šios direktyvos 12 straipsnio taikymo sričiai. Jame patikslina, kad šiuo tikslu kompetentinga institucija turi turėti galimybę pareikalauti informacijos iš bet kurio asmens, ir, jei reikia, pasikviesti ir išklausyti bet kurį tokį asmenį.</w:t>
      </w:r>
    </w:p>
  </w:footnote>
  <w:footnote w:id="26">
    <w:p w14:paraId="1A49B8E2" w14:textId="42504324" w:rsidR="0099601C" w:rsidRPr="006C6208" w:rsidRDefault="0099601C"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color w:val="000000"/>
        </w:rPr>
        <w:t>2014 m. balandžio 16 d. Europos Parlamento ir Tarybos reglamento (ES) Nr. 596/2014 dėl piktnaudžiavimo rinka (Piktnaudžiavimo rinka reglamentas) ir kuriuo panaikinama Direktyva 2003/6 ir Komisijos direktyvos 2003/124/EB, 2003/125/EB ir 2004/72/EB 30 straipsnio 1 dalies b punktas. Šioje nuostatoje įpareigojama imtis administracinių sankcijų, jeigu nebendradarbiaujama arba nevykdomi reikalavimai atliekant tyrimą ar patikrinimą arba nevykdomas šio reglamento 23 straipsnio 2 dalyje nurodytas prašymas; to straipsnio 2 dalies b punkte patikslinta, kad tai apima tokių asmenų apklausą siekiant gauti informacijos.</w:t>
      </w:r>
    </w:p>
  </w:footnote>
  <w:footnote w:id="27">
    <w:p w14:paraId="74450395" w14:textId="77777777" w:rsidR="006C6208" w:rsidRPr="006C6208" w:rsidRDefault="006C6208" w:rsidP="006C6208">
      <w:pPr>
        <w:pStyle w:val="Puslapioinaostekstas"/>
        <w:rPr>
          <w:rFonts w:asciiTheme="minorHAnsi" w:hAnsiTheme="minorHAnsi" w:cstheme="minorHAnsi"/>
          <w:lang w:val="en-US"/>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Apžvalga parengta pagal Europos Sąjungos Teisingumo Teismo svetainėje paskelbtą santrauką.</w:t>
      </w:r>
    </w:p>
  </w:footnote>
  <w:footnote w:id="28">
    <w:p w14:paraId="47A14C04" w14:textId="1C2CA01C" w:rsidR="0099601C" w:rsidRPr="006C6208" w:rsidRDefault="0099601C"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color w:val="000000"/>
        </w:rPr>
        <w:t>2013 m. birželio 26 d. Europos Parlamento ir Tarybos reglamento (ES) Nr. 604/2013, kuriuo išdėstomi valstybės narės, atsakingos už trečiosios šalies piliečio arba asmens be pilietybės vienoje iš valstybių narių pateikto tarptautinės apsaugos prašymo nagrinėjimą, nustatymo kriterijai ir mechanizmai </w:t>
      </w:r>
    </w:p>
  </w:footnote>
  <w:footnote w:id="29">
    <w:p w14:paraId="32A9069A" w14:textId="51618A9B" w:rsidR="0099601C" w:rsidRPr="006C6208" w:rsidRDefault="0099601C"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2013 m. birželio 26 d. Europos Parlamento ir Tarybos direktyvos 2013/32/ES dėl tarptautinės apsaugos suteikimo ir panaikinimo bendros tvarkos</w:t>
      </w:r>
    </w:p>
  </w:footnote>
  <w:footnote w:id="30">
    <w:p w14:paraId="54DA9317" w14:textId="33660168" w:rsidR="0099601C" w:rsidRPr="006C6208" w:rsidRDefault="0099601C"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color w:val="000000"/>
        </w:rPr>
        <w:t>2011 m. gruodžio 13 d. Europos Parlamento ir Tarybos direktyva 2011/95/ES dėl trečiųjų šalių piliečių ar asmenų be pilietybės priskyrimo prie tarptautinės apsaugos gavėjų, vienodo statuso pabėgėliams arba papildomą apsaugą galintiems gauti asmenims ir suteikiamos apsaugos pobūdžio reikalavimų</w:t>
      </w:r>
    </w:p>
  </w:footnote>
  <w:footnote w:id="31">
    <w:p w14:paraId="6A89CF71" w14:textId="1206ACA2" w:rsidR="0099601C" w:rsidRPr="006C6208" w:rsidRDefault="0099601C"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color w:val="000000"/>
        </w:rPr>
        <w:t>2003 m. lapkričio 25 d. Tarybos direktyva 2003/109/EB dėl trečiųjų valstybių piliečių, kurie yra ilgalaikiai gyventojai, statuso</w:t>
      </w:r>
    </w:p>
  </w:footnote>
  <w:footnote w:id="32">
    <w:p w14:paraId="43E8118B" w14:textId="2519713C" w:rsidR="0099601C" w:rsidRPr="006C6208" w:rsidRDefault="0099601C"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color w:val="000000"/>
        </w:rPr>
        <w:t xml:space="preserve">2000 m. birželio 29 d. Tarybos direktyva 2000/43/EB, įgyvendinančios vienodo požiūrio principą asmenims nepriklausomai nuo jų rasės arba etninės priklausomybės [kilmės] </w:t>
      </w:r>
    </w:p>
  </w:footnote>
  <w:footnote w:id="33">
    <w:p w14:paraId="039FB4B4" w14:textId="65265843" w:rsidR="0099601C" w:rsidRPr="006C6208" w:rsidRDefault="0099601C"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2004 m. balandžio 29 d. Europos Parlamento ir Tarybos direktyva 2004/38/EB dėl Sąjungos piliečių ir jų šeimos narių teisės laisvai judėti ir gyventi valstybių narių teritorijoje, iš dalies keičianti Reglamentą (EEB) Nr. 1612/68 ir panaikinanti [d]irektyvas 64/221/EEB, 68/360/EEB, 72/194/EEB, 73/148/EEB, 75/34/EEB, 75/35/EEB, 90/364/EEB, 90/365/EEB ir 93/96/EEB</w:t>
      </w:r>
    </w:p>
  </w:footnote>
  <w:footnote w:id="34">
    <w:p w14:paraId="67FC67B3" w14:textId="01F8EAA6" w:rsidR="00115851" w:rsidRDefault="00115851" w:rsidP="00115851">
      <w:pPr>
        <w:pStyle w:val="Puslapioinaostekstas"/>
      </w:pPr>
      <w:r>
        <w:rPr>
          <w:rStyle w:val="Puslapioinaosnuoroda"/>
        </w:rPr>
        <w:footnoteRef/>
      </w:r>
      <w:r>
        <w:t xml:space="preserve"> </w:t>
      </w:r>
      <w:r>
        <w:t>Direktyvos 2004/38 5 straipsnyje „Įvažiavimo teisė“ numatyta</w:t>
      </w:r>
    </w:p>
    <w:p w14:paraId="35AA4B0A" w14:textId="454E95EE" w:rsidR="00115851" w:rsidRDefault="00115851" w:rsidP="00115851">
      <w:pPr>
        <w:pStyle w:val="Puslapioinaostekstas"/>
      </w:pPr>
      <w:r>
        <w:t>„1.      Nepažeidžiant nuostatų dėl kelionės dokumentų, taikomų nacionaliniam pasienio patikrinimui [taikomų patikrinimui prie nacionalinių sienų], valstybės narės suteikia [galiojančią] tapatybės kortelę ar [galiojantį] pasą turintiems Sąjungos piliečiams ir [galiojantį] pasą turintiems šeimos nariams[, kurie nėra valstybės narės piliečiai,] teisę įvažiuoti į jų teritoriją.</w:t>
      </w:r>
    </w:p>
    <w:p w14:paraId="62B8DEF4" w14:textId="72DAAB12" w:rsidR="00115851" w:rsidRDefault="00115851" w:rsidP="00115851">
      <w:pPr>
        <w:pStyle w:val="Puslapioinaostekstas"/>
      </w:pPr>
      <w:r>
        <w:t>&lt;…&gt;</w:t>
      </w:r>
    </w:p>
    <w:p w14:paraId="25801973" w14:textId="694E2229" w:rsidR="00115851" w:rsidRDefault="00115851" w:rsidP="00115851">
      <w:pPr>
        <w:pStyle w:val="Puslapioinaostekstas"/>
      </w:pPr>
      <w:r>
        <w:t>5.      Valstybės narės gali reikalauti atitinkamo asmens pranešti apie savo buvimą jos teritorijoje per pagrįstą ir nediskriminacinį laikotarpį. Šio reikalavimo nesilaikančiam asmeniui gali būti pritaikytos proporcingos ir nediskriminacinės sankcijos.“</w:t>
      </w:r>
    </w:p>
  </w:footnote>
  <w:footnote w:id="35">
    <w:p w14:paraId="1CB1790F" w14:textId="6EC26B21" w:rsidR="0099601C" w:rsidRPr="006C6208" w:rsidRDefault="0099601C"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2008 m. gruodžio 16 d. Europos Parlamento ir Tarybos direktyva 2008/115/EB dėl bendrų nelegaliai esančių trečiųjų šalių piliečių grąžinimo standartų ir tvarkos valstybėse narėse</w:t>
      </w:r>
    </w:p>
  </w:footnote>
  <w:footnote w:id="36">
    <w:p w14:paraId="62D6D225" w14:textId="6E60DF99" w:rsidR="0099601C" w:rsidRPr="006C6208" w:rsidRDefault="0099601C"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2004 m. balandžio 29 d. Europos Parlamento ir Tarybos direktyva 2004/38/EB dėl Sąjungos piliečių ir jų šeimos narių teisės laisvai judėti ir gyventi valstybių narių teritorijoje, iš dalies keičianti Reglamentą (EEB) Nr. 1612/68 ir panaikinanti direktyvas 64/221/EEB, 68/360/EEB, 72/194/EEB, 73/148/EEB, 75/34/EEB, 75/35/EEB, 90/364/EEB, 90/365/EEB ir 93/96/EEB</w:t>
      </w:r>
    </w:p>
  </w:footnote>
  <w:footnote w:id="37">
    <w:p w14:paraId="184F4962" w14:textId="68DC3511"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2001 m. gegužės 30 d. Europos Parlamento ir Tarybos reglamentas (EB) Nr. 1049/2001 dėl galimybės visuomenei susipažinti su Europos Parlamento, Tarybos ir Komisijos dokumentais</w:t>
      </w:r>
    </w:p>
  </w:footnote>
  <w:footnote w:id="38">
    <w:p w14:paraId="70A5B93F" w14:textId="5A4F1541"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2013 m. gruodžio 17 d. Europos Parlamento ir Tarybos reglamentas (ES) Nr. 1306/2013 dėl bendros žemės ūkio politikos finansavimo, valdymo ir stebėsenos, kuriuo panaikinami Tarybos reglamentai (EEB) Nr. 352/78, (EB) Nr. 165/94, (EB) Nr. 2799/98, (EB) Nr. 814/2000, (EB) Nr. 1290/2005 ir (EB) Nr. 485/2008</w:t>
      </w:r>
    </w:p>
  </w:footnote>
  <w:footnote w:id="39">
    <w:p w14:paraId="732094AA" w14:textId="77777777" w:rsidR="0016248B" w:rsidRPr="006C6208" w:rsidRDefault="0016248B"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„1. 91 straipsnyje numatyta administracinė nuobauda taikoma tais atvejais, kai kuriuo nors atitinkamų vienų kalendorinių metų (toliau – atitinkami kalendoriniai metai) laiku nesilaikoma kompleksinės paramos taisyklių ir dėl šio nesilaikymo yra tiesiogiai atsakingas paramos gavėjas, atitinkamais kalendoriniais metais pateikęs paramos paraišką arba mokėjimo prašymą. &lt;…&gt;“.</w:t>
      </w:r>
    </w:p>
  </w:footnote>
  <w:footnote w:id="40">
    <w:p w14:paraId="43F42C47" w14:textId="77777777" w:rsidR="0016248B" w:rsidRPr="006C6208" w:rsidRDefault="0016248B"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„1. 91 straipsnyje numatyta administracinė nuobauda yra 92 straipsnyje išvardytų išmokų, kurios atitinkamais kalendoriniais metais arba atitinkamais metais skiriamos arba numatytos skirti atitinkamam paramos gavėjui [pagal] paramos paraišk[as], kurias jis pateikė arba pateiks kalendoriniais metais, kuriais reikalavimų nesilaikymas nustatytas, sumažinimas arba visos sumos neskyrimas. &lt;…&gt;“.</w:t>
      </w:r>
    </w:p>
  </w:footnote>
  <w:footnote w:id="41">
    <w:p w14:paraId="166AA635" w14:textId="42BA2749" w:rsidR="006C6208" w:rsidRPr="006C6208" w:rsidRDefault="006C6208"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2014 m. liepos 17 d. Komisijos įgyvendinimo reglamentas (ES) Nr. 809/2014, kuriuo nustatomos Reglamento Nr. 1306/2013 nuostatų dėl integruotos administravimo ir kontrolės sistemos, kaimo plėtros priemonių ir kompleksinės paramos taikymo taisyklės</w:t>
      </w:r>
    </w:p>
  </w:footnote>
  <w:footnote w:id="42">
    <w:p w14:paraId="095376A3" w14:textId="77777777" w:rsidR="0016248B" w:rsidRPr="006C6208" w:rsidRDefault="0016248B" w:rsidP="006C6208">
      <w:pPr>
        <w:pStyle w:val="Puslapioinaostekstas"/>
        <w:rPr>
          <w:rFonts w:asciiTheme="minorHAnsi" w:hAnsiTheme="minorHAnsi" w:cstheme="minorHAnsi"/>
        </w:rPr>
      </w:pPr>
      <w:r w:rsidRPr="006C6208">
        <w:rPr>
          <w:rStyle w:val="Puslapioinaosnuoroda"/>
          <w:rFonts w:asciiTheme="minorHAnsi" w:hAnsiTheme="minorHAnsi" w:cstheme="minorHAnsi"/>
        </w:rPr>
        <w:footnoteRef/>
      </w:r>
      <w:r w:rsidRPr="006C6208">
        <w:rPr>
          <w:rFonts w:asciiTheme="minorHAnsi" w:hAnsiTheme="minorHAnsi" w:cstheme="minorHAnsi"/>
        </w:rPr>
        <w:t xml:space="preserve"> </w:t>
      </w:r>
      <w:r w:rsidRPr="006C6208">
        <w:rPr>
          <w:rFonts w:asciiTheme="minorHAnsi" w:hAnsiTheme="minorHAnsi" w:cstheme="minorHAnsi"/>
        </w:rPr>
        <w:t>„Administracinė nuobauda taikoma bendrai sumai Reglamento (ES) Nr. 1306/2013 92 straipsnyje nurodytų išmokų, skirtų arba skirsimų tam gavėjui pagal: a) pažeidimo nustatymo metais jo pateiktas ar pateiksimas pagalbos paraiškas arba mokėjimo prašymus &lt;…&gt;“.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6937"/>
      <w:gridCol w:w="2309"/>
    </w:tblGrid>
    <w:tr w:rsidR="0099601C" w:rsidRPr="000967FF" w14:paraId="5CF85821" w14:textId="77777777" w:rsidTr="00736158">
      <w:tc>
        <w:tcPr>
          <w:tcW w:w="7230" w:type="dxa"/>
        </w:tcPr>
        <w:p w14:paraId="5AF2E84B" w14:textId="77777777" w:rsidR="0099601C" w:rsidRPr="0021377E" w:rsidRDefault="0099601C" w:rsidP="00736158">
          <w:pPr>
            <w:tabs>
              <w:tab w:val="left" w:pos="4410"/>
            </w:tabs>
            <w:rPr>
              <w:i/>
              <w:color w:val="323E4F" w:themeColor="text2" w:themeShade="BF"/>
              <w:sz w:val="20"/>
              <w:szCs w:val="20"/>
            </w:rPr>
          </w:pPr>
          <w:r w:rsidRPr="0021377E">
            <w:rPr>
              <w:i/>
              <w:color w:val="323E4F" w:themeColor="text2" w:themeShade="BF"/>
              <w:sz w:val="20"/>
              <w:szCs w:val="20"/>
            </w:rPr>
            <w:t>Teis</w:t>
          </w:r>
          <w:r>
            <w:rPr>
              <w:i/>
              <w:color w:val="323E4F" w:themeColor="text2" w:themeShade="BF"/>
              <w:sz w:val="20"/>
              <w:szCs w:val="20"/>
            </w:rPr>
            <w:t xml:space="preserve">mų praktikos </w:t>
          </w:r>
          <w:r w:rsidRPr="0021377E">
            <w:rPr>
              <w:i/>
              <w:color w:val="323E4F" w:themeColor="text2" w:themeShade="BF"/>
              <w:sz w:val="20"/>
              <w:szCs w:val="20"/>
            </w:rPr>
            <w:t>departamentas</w:t>
          </w:r>
          <w:r>
            <w:rPr>
              <w:i/>
              <w:color w:val="323E4F" w:themeColor="text2" w:themeShade="BF"/>
              <w:sz w:val="20"/>
              <w:szCs w:val="20"/>
            </w:rPr>
            <w:tab/>
          </w:r>
        </w:p>
      </w:tc>
      <w:tc>
        <w:tcPr>
          <w:tcW w:w="2409" w:type="dxa"/>
        </w:tcPr>
        <w:p w14:paraId="33C66408" w14:textId="7D630B13" w:rsidR="0099601C" w:rsidRPr="0021377E" w:rsidRDefault="0099601C" w:rsidP="005A7A21">
          <w:pPr>
            <w:rPr>
              <w:color w:val="323E4F" w:themeColor="text2" w:themeShade="BF"/>
              <w:sz w:val="20"/>
              <w:szCs w:val="20"/>
            </w:rPr>
          </w:pPr>
          <w:r>
            <w:rPr>
              <w:color w:val="323E4F" w:themeColor="text2" w:themeShade="BF"/>
              <w:sz w:val="20"/>
              <w:szCs w:val="20"/>
            </w:rPr>
            <w:t>202</w:t>
          </w:r>
          <w:r>
            <w:rPr>
              <w:color w:val="323E4F" w:themeColor="text2" w:themeShade="BF"/>
              <w:sz w:val="20"/>
              <w:szCs w:val="20"/>
              <w:lang w:val="en-US"/>
            </w:rPr>
            <w:t>1</w:t>
          </w:r>
          <w:r>
            <w:rPr>
              <w:color w:val="323E4F" w:themeColor="text2" w:themeShade="BF"/>
              <w:sz w:val="20"/>
              <w:szCs w:val="20"/>
            </w:rPr>
            <w:t xml:space="preserve"> 01</w:t>
          </w:r>
          <w:r w:rsidRPr="0021377E">
            <w:rPr>
              <w:color w:val="323E4F" w:themeColor="text2" w:themeShade="BF"/>
              <w:sz w:val="20"/>
              <w:szCs w:val="20"/>
            </w:rPr>
            <w:t xml:space="preserve"> </w:t>
          </w:r>
          <w:r>
            <w:rPr>
              <w:color w:val="323E4F" w:themeColor="text2" w:themeShade="BF"/>
              <w:sz w:val="20"/>
              <w:szCs w:val="20"/>
            </w:rPr>
            <w:t>0</w:t>
          </w:r>
          <w:r w:rsidRPr="0021377E">
            <w:rPr>
              <w:color w:val="323E4F" w:themeColor="text2" w:themeShade="BF"/>
              <w:sz w:val="20"/>
              <w:szCs w:val="20"/>
            </w:rPr>
            <w:t>1–20</w:t>
          </w:r>
          <w:r>
            <w:rPr>
              <w:color w:val="323E4F" w:themeColor="text2" w:themeShade="BF"/>
              <w:sz w:val="20"/>
              <w:szCs w:val="20"/>
            </w:rPr>
            <w:t>21 06</w:t>
          </w:r>
          <w:r w:rsidRPr="0021377E">
            <w:rPr>
              <w:color w:val="323E4F" w:themeColor="text2" w:themeShade="BF"/>
              <w:sz w:val="20"/>
              <w:szCs w:val="20"/>
            </w:rPr>
            <w:t xml:space="preserve"> </w:t>
          </w:r>
          <w:r>
            <w:rPr>
              <w:color w:val="323E4F" w:themeColor="text2" w:themeShade="BF"/>
              <w:sz w:val="20"/>
              <w:szCs w:val="20"/>
            </w:rPr>
            <w:t>30</w:t>
          </w:r>
        </w:p>
      </w:tc>
    </w:tr>
  </w:tbl>
  <w:p w14:paraId="3E59BFEE" w14:textId="77777777" w:rsidR="0099601C" w:rsidRDefault="0099601C" w:rsidP="00736158">
    <w:pPr>
      <w:pStyle w:val="Antrats"/>
      <w:tabs>
        <w:tab w:val="clear" w:pos="4819"/>
        <w:tab w:val="clear" w:pos="9638"/>
        <w:tab w:val="left" w:pos="69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56A6782"/>
    <w:multiLevelType w:val="singleLevel"/>
    <w:tmpl w:val="856A6782"/>
    <w:lvl w:ilvl="0">
      <w:start w:val="2"/>
      <w:numFmt w:val="decimal"/>
      <w:suff w:val="space"/>
      <w:lvlText w:val="%1."/>
      <w:lvlJc w:val="left"/>
    </w:lvl>
  </w:abstractNum>
  <w:abstractNum w:abstractNumId="1" w15:restartNumberingAfterBreak="0">
    <w:nsid w:val="F9C47357"/>
    <w:multiLevelType w:val="singleLevel"/>
    <w:tmpl w:val="F9C47357"/>
    <w:lvl w:ilvl="0">
      <w:start w:val="1"/>
      <w:numFmt w:val="decimal"/>
      <w:suff w:val="space"/>
      <w:lvlText w:val="%1."/>
      <w:lvlJc w:val="left"/>
    </w:lvl>
  </w:abstractNum>
  <w:abstractNum w:abstractNumId="2" w15:restartNumberingAfterBreak="0">
    <w:nsid w:val="0CB521CF"/>
    <w:multiLevelType w:val="hybridMultilevel"/>
    <w:tmpl w:val="8C3C5990"/>
    <w:lvl w:ilvl="0" w:tplc="2CEA57EC">
      <w:start w:val="1"/>
      <w:numFmt w:val="decimal"/>
      <w:lvlText w:val="%1."/>
      <w:lvlJc w:val="left"/>
      <w:pPr>
        <w:ind w:left="388" w:hanging="360"/>
      </w:pPr>
      <w:rPr>
        <w:rFonts w:hint="default"/>
      </w:rPr>
    </w:lvl>
    <w:lvl w:ilvl="1" w:tplc="04270019" w:tentative="1">
      <w:start w:val="1"/>
      <w:numFmt w:val="lowerLetter"/>
      <w:lvlText w:val="%2."/>
      <w:lvlJc w:val="left"/>
      <w:pPr>
        <w:ind w:left="1108" w:hanging="360"/>
      </w:pPr>
    </w:lvl>
    <w:lvl w:ilvl="2" w:tplc="0427001B" w:tentative="1">
      <w:start w:val="1"/>
      <w:numFmt w:val="lowerRoman"/>
      <w:lvlText w:val="%3."/>
      <w:lvlJc w:val="right"/>
      <w:pPr>
        <w:ind w:left="1828" w:hanging="180"/>
      </w:pPr>
    </w:lvl>
    <w:lvl w:ilvl="3" w:tplc="0427000F" w:tentative="1">
      <w:start w:val="1"/>
      <w:numFmt w:val="decimal"/>
      <w:lvlText w:val="%4."/>
      <w:lvlJc w:val="left"/>
      <w:pPr>
        <w:ind w:left="2548" w:hanging="360"/>
      </w:pPr>
    </w:lvl>
    <w:lvl w:ilvl="4" w:tplc="04270019" w:tentative="1">
      <w:start w:val="1"/>
      <w:numFmt w:val="lowerLetter"/>
      <w:lvlText w:val="%5."/>
      <w:lvlJc w:val="left"/>
      <w:pPr>
        <w:ind w:left="3268" w:hanging="360"/>
      </w:pPr>
    </w:lvl>
    <w:lvl w:ilvl="5" w:tplc="0427001B" w:tentative="1">
      <w:start w:val="1"/>
      <w:numFmt w:val="lowerRoman"/>
      <w:lvlText w:val="%6."/>
      <w:lvlJc w:val="right"/>
      <w:pPr>
        <w:ind w:left="3988" w:hanging="180"/>
      </w:pPr>
    </w:lvl>
    <w:lvl w:ilvl="6" w:tplc="0427000F" w:tentative="1">
      <w:start w:val="1"/>
      <w:numFmt w:val="decimal"/>
      <w:lvlText w:val="%7."/>
      <w:lvlJc w:val="left"/>
      <w:pPr>
        <w:ind w:left="4708" w:hanging="360"/>
      </w:pPr>
    </w:lvl>
    <w:lvl w:ilvl="7" w:tplc="04270019" w:tentative="1">
      <w:start w:val="1"/>
      <w:numFmt w:val="lowerLetter"/>
      <w:lvlText w:val="%8."/>
      <w:lvlJc w:val="left"/>
      <w:pPr>
        <w:ind w:left="5428" w:hanging="360"/>
      </w:pPr>
    </w:lvl>
    <w:lvl w:ilvl="8" w:tplc="0427001B" w:tentative="1">
      <w:start w:val="1"/>
      <w:numFmt w:val="lowerRoman"/>
      <w:lvlText w:val="%9."/>
      <w:lvlJc w:val="right"/>
      <w:pPr>
        <w:ind w:left="6148" w:hanging="180"/>
      </w:pPr>
    </w:lvl>
  </w:abstractNum>
  <w:abstractNum w:abstractNumId="3" w15:restartNumberingAfterBreak="0">
    <w:nsid w:val="11A222CD"/>
    <w:multiLevelType w:val="hybridMultilevel"/>
    <w:tmpl w:val="BF20D8B4"/>
    <w:lvl w:ilvl="0" w:tplc="080066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4A7F46"/>
    <w:multiLevelType w:val="hybridMultilevel"/>
    <w:tmpl w:val="D114862C"/>
    <w:lvl w:ilvl="0" w:tplc="9DD0A9C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24F597B"/>
    <w:multiLevelType w:val="hybridMultilevel"/>
    <w:tmpl w:val="B0CE4EB6"/>
    <w:lvl w:ilvl="0" w:tplc="7CECCF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510208F"/>
    <w:multiLevelType w:val="hybridMultilevel"/>
    <w:tmpl w:val="F14699EE"/>
    <w:lvl w:ilvl="0" w:tplc="7F6A8C90">
      <w:start w:val="1"/>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8" w15:restartNumberingAfterBreak="0">
    <w:nsid w:val="54882EAE"/>
    <w:multiLevelType w:val="hybridMultilevel"/>
    <w:tmpl w:val="A5589E6E"/>
    <w:lvl w:ilvl="0" w:tplc="D7823E40">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9" w15:restartNumberingAfterBreak="0">
    <w:nsid w:val="57AC889E"/>
    <w:multiLevelType w:val="singleLevel"/>
    <w:tmpl w:val="57AC889E"/>
    <w:lvl w:ilvl="0">
      <w:start w:val="1"/>
      <w:numFmt w:val="decimal"/>
      <w:suff w:val="space"/>
      <w:lvlText w:val="%1."/>
      <w:lvlJc w:val="left"/>
    </w:lvl>
  </w:abstractNum>
  <w:abstractNum w:abstractNumId="10" w15:restartNumberingAfterBreak="0">
    <w:nsid w:val="61901736"/>
    <w:multiLevelType w:val="hybridMultilevel"/>
    <w:tmpl w:val="874AA110"/>
    <w:lvl w:ilvl="0" w:tplc="6E2611A0">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1" w15:restartNumberingAfterBreak="0">
    <w:nsid w:val="6443344E"/>
    <w:multiLevelType w:val="hybridMultilevel"/>
    <w:tmpl w:val="D6609B80"/>
    <w:lvl w:ilvl="0" w:tplc="17161A92">
      <w:start w:val="2019"/>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1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39567B"/>
    <w:multiLevelType w:val="hybridMultilevel"/>
    <w:tmpl w:val="2AA43A28"/>
    <w:lvl w:ilvl="0" w:tplc="F5F4415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74BB0DF2"/>
    <w:multiLevelType w:val="hybridMultilevel"/>
    <w:tmpl w:val="029C90B4"/>
    <w:lvl w:ilvl="0" w:tplc="E048CE2C">
      <w:start w:val="2020"/>
      <w:numFmt w:val="bullet"/>
      <w:lvlText w:val="–"/>
      <w:lvlJc w:val="left"/>
      <w:pPr>
        <w:ind w:left="927" w:hanging="360"/>
      </w:pPr>
      <w:rPr>
        <w:rFonts w:ascii="Calibri" w:eastAsia="Times New Roman"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10"/>
  </w:num>
  <w:num w:numId="3">
    <w:abstractNumId w:val="7"/>
  </w:num>
  <w:num w:numId="4">
    <w:abstractNumId w:val="11"/>
  </w:num>
  <w:num w:numId="5">
    <w:abstractNumId w:val="4"/>
  </w:num>
  <w:num w:numId="6">
    <w:abstractNumId w:val="8"/>
  </w:num>
  <w:num w:numId="7">
    <w:abstractNumId w:val="9"/>
  </w:num>
  <w:num w:numId="8">
    <w:abstractNumId w:val="1"/>
  </w:num>
  <w:num w:numId="9">
    <w:abstractNumId w:val="9"/>
    <w:lvlOverride w:ilvl="0">
      <w:startOverride w:val="1"/>
    </w:lvlOverride>
  </w:num>
  <w:num w:numId="10">
    <w:abstractNumId w:val="0"/>
  </w:num>
  <w:num w:numId="11">
    <w:abstractNumId w:val="6"/>
  </w:num>
  <w:num w:numId="12">
    <w:abstractNumId w:val="14"/>
  </w:num>
  <w:num w:numId="13">
    <w:abstractNumId w:val="13"/>
  </w:num>
  <w:num w:numId="14">
    <w:abstractNumId w:val="12"/>
  </w:num>
  <w:num w:numId="15">
    <w:abstractNumId w:val="5"/>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8CD"/>
    <w:rsid w:val="0000101D"/>
    <w:rsid w:val="000016C4"/>
    <w:rsid w:val="000028CD"/>
    <w:rsid w:val="00003825"/>
    <w:rsid w:val="000054F6"/>
    <w:rsid w:val="00005AC8"/>
    <w:rsid w:val="00007E39"/>
    <w:rsid w:val="00007F8E"/>
    <w:rsid w:val="00010C45"/>
    <w:rsid w:val="000167B3"/>
    <w:rsid w:val="00020E12"/>
    <w:rsid w:val="000226C0"/>
    <w:rsid w:val="00022C49"/>
    <w:rsid w:val="00024262"/>
    <w:rsid w:val="00024C28"/>
    <w:rsid w:val="00027F31"/>
    <w:rsid w:val="00031A6D"/>
    <w:rsid w:val="000335F7"/>
    <w:rsid w:val="0003515F"/>
    <w:rsid w:val="00035C5C"/>
    <w:rsid w:val="000367E0"/>
    <w:rsid w:val="000369F2"/>
    <w:rsid w:val="00041250"/>
    <w:rsid w:val="0004127A"/>
    <w:rsid w:val="0004150B"/>
    <w:rsid w:val="000427E6"/>
    <w:rsid w:val="00044B06"/>
    <w:rsid w:val="000501D2"/>
    <w:rsid w:val="000531A2"/>
    <w:rsid w:val="000541E2"/>
    <w:rsid w:val="00056454"/>
    <w:rsid w:val="000600A9"/>
    <w:rsid w:val="0006076F"/>
    <w:rsid w:val="000612A2"/>
    <w:rsid w:val="000647E8"/>
    <w:rsid w:val="0006577C"/>
    <w:rsid w:val="00066063"/>
    <w:rsid w:val="0006750C"/>
    <w:rsid w:val="00067F84"/>
    <w:rsid w:val="00070AC7"/>
    <w:rsid w:val="00071EC5"/>
    <w:rsid w:val="000739DF"/>
    <w:rsid w:val="00074760"/>
    <w:rsid w:val="00076ADF"/>
    <w:rsid w:val="000825EB"/>
    <w:rsid w:val="000829F7"/>
    <w:rsid w:val="00082C77"/>
    <w:rsid w:val="00085476"/>
    <w:rsid w:val="000873EA"/>
    <w:rsid w:val="00090F42"/>
    <w:rsid w:val="00092EDC"/>
    <w:rsid w:val="00093648"/>
    <w:rsid w:val="00093AD3"/>
    <w:rsid w:val="000961C3"/>
    <w:rsid w:val="0009635E"/>
    <w:rsid w:val="00096A17"/>
    <w:rsid w:val="000A2ABB"/>
    <w:rsid w:val="000A56C8"/>
    <w:rsid w:val="000A58AC"/>
    <w:rsid w:val="000A58B1"/>
    <w:rsid w:val="000A7296"/>
    <w:rsid w:val="000B2004"/>
    <w:rsid w:val="000B4A92"/>
    <w:rsid w:val="000B546F"/>
    <w:rsid w:val="000B7303"/>
    <w:rsid w:val="000B7CEB"/>
    <w:rsid w:val="000C2557"/>
    <w:rsid w:val="000C3A69"/>
    <w:rsid w:val="000C6092"/>
    <w:rsid w:val="000E30CB"/>
    <w:rsid w:val="000E4964"/>
    <w:rsid w:val="000E5624"/>
    <w:rsid w:val="000E5A93"/>
    <w:rsid w:val="000E6E39"/>
    <w:rsid w:val="000F432D"/>
    <w:rsid w:val="000F64EE"/>
    <w:rsid w:val="001002D5"/>
    <w:rsid w:val="00100400"/>
    <w:rsid w:val="001035AD"/>
    <w:rsid w:val="00104D60"/>
    <w:rsid w:val="001069BA"/>
    <w:rsid w:val="00112173"/>
    <w:rsid w:val="00113E89"/>
    <w:rsid w:val="00114D14"/>
    <w:rsid w:val="00115851"/>
    <w:rsid w:val="00116665"/>
    <w:rsid w:val="00117031"/>
    <w:rsid w:val="00120CB7"/>
    <w:rsid w:val="0012395D"/>
    <w:rsid w:val="001240AD"/>
    <w:rsid w:val="00125C26"/>
    <w:rsid w:val="00126D28"/>
    <w:rsid w:val="00127C91"/>
    <w:rsid w:val="00131909"/>
    <w:rsid w:val="00133FF5"/>
    <w:rsid w:val="0013714D"/>
    <w:rsid w:val="001373E0"/>
    <w:rsid w:val="00143912"/>
    <w:rsid w:val="001460CF"/>
    <w:rsid w:val="00150238"/>
    <w:rsid w:val="00150D04"/>
    <w:rsid w:val="00160FC7"/>
    <w:rsid w:val="0016248B"/>
    <w:rsid w:val="00162CAE"/>
    <w:rsid w:val="00163B3F"/>
    <w:rsid w:val="00165639"/>
    <w:rsid w:val="00167D11"/>
    <w:rsid w:val="0017163B"/>
    <w:rsid w:val="00173517"/>
    <w:rsid w:val="001738B4"/>
    <w:rsid w:val="00173FF2"/>
    <w:rsid w:val="0017626F"/>
    <w:rsid w:val="00176687"/>
    <w:rsid w:val="00177F84"/>
    <w:rsid w:val="00180D5D"/>
    <w:rsid w:val="001811C1"/>
    <w:rsid w:val="00182063"/>
    <w:rsid w:val="00182587"/>
    <w:rsid w:val="00185094"/>
    <w:rsid w:val="00186F58"/>
    <w:rsid w:val="00187885"/>
    <w:rsid w:val="0019076C"/>
    <w:rsid w:val="00191FB0"/>
    <w:rsid w:val="00193B93"/>
    <w:rsid w:val="00194773"/>
    <w:rsid w:val="00194FF1"/>
    <w:rsid w:val="001A0AD1"/>
    <w:rsid w:val="001A347D"/>
    <w:rsid w:val="001B17EF"/>
    <w:rsid w:val="001B44DB"/>
    <w:rsid w:val="001B5613"/>
    <w:rsid w:val="001B57A7"/>
    <w:rsid w:val="001B7122"/>
    <w:rsid w:val="001B795F"/>
    <w:rsid w:val="001C079F"/>
    <w:rsid w:val="001C1373"/>
    <w:rsid w:val="001C4363"/>
    <w:rsid w:val="001C6C9B"/>
    <w:rsid w:val="001C766B"/>
    <w:rsid w:val="001D10F8"/>
    <w:rsid w:val="001D1376"/>
    <w:rsid w:val="001D17E9"/>
    <w:rsid w:val="001D1BAB"/>
    <w:rsid w:val="001D3B64"/>
    <w:rsid w:val="001D6185"/>
    <w:rsid w:val="001E17E4"/>
    <w:rsid w:val="001E1925"/>
    <w:rsid w:val="001E1D57"/>
    <w:rsid w:val="001E50C2"/>
    <w:rsid w:val="001F0AC4"/>
    <w:rsid w:val="001F3368"/>
    <w:rsid w:val="001F5624"/>
    <w:rsid w:val="002000A6"/>
    <w:rsid w:val="0020111A"/>
    <w:rsid w:val="00203B43"/>
    <w:rsid w:val="002103AD"/>
    <w:rsid w:val="00212842"/>
    <w:rsid w:val="002132F5"/>
    <w:rsid w:val="0021623E"/>
    <w:rsid w:val="00224DAA"/>
    <w:rsid w:val="00225D16"/>
    <w:rsid w:val="002303AE"/>
    <w:rsid w:val="00230D52"/>
    <w:rsid w:val="002353E3"/>
    <w:rsid w:val="00235945"/>
    <w:rsid w:val="0024618F"/>
    <w:rsid w:val="0024728C"/>
    <w:rsid w:val="00247D33"/>
    <w:rsid w:val="0025076A"/>
    <w:rsid w:val="002517AE"/>
    <w:rsid w:val="00253301"/>
    <w:rsid w:val="00253D28"/>
    <w:rsid w:val="00256E6C"/>
    <w:rsid w:val="00262FA3"/>
    <w:rsid w:val="00270C43"/>
    <w:rsid w:val="002713C5"/>
    <w:rsid w:val="00275762"/>
    <w:rsid w:val="00275770"/>
    <w:rsid w:val="00276339"/>
    <w:rsid w:val="0028069C"/>
    <w:rsid w:val="00287E40"/>
    <w:rsid w:val="002923A0"/>
    <w:rsid w:val="00292973"/>
    <w:rsid w:val="002933A9"/>
    <w:rsid w:val="0029340F"/>
    <w:rsid w:val="00293A1A"/>
    <w:rsid w:val="00294443"/>
    <w:rsid w:val="0029445C"/>
    <w:rsid w:val="00296828"/>
    <w:rsid w:val="002A1113"/>
    <w:rsid w:val="002A14B6"/>
    <w:rsid w:val="002A1ED7"/>
    <w:rsid w:val="002A2519"/>
    <w:rsid w:val="002A64B3"/>
    <w:rsid w:val="002A6D4C"/>
    <w:rsid w:val="002A798C"/>
    <w:rsid w:val="002B1F6B"/>
    <w:rsid w:val="002B4105"/>
    <w:rsid w:val="002B5283"/>
    <w:rsid w:val="002B52A0"/>
    <w:rsid w:val="002B71F7"/>
    <w:rsid w:val="002C41B9"/>
    <w:rsid w:val="002C6C8D"/>
    <w:rsid w:val="002C7B91"/>
    <w:rsid w:val="002D14AC"/>
    <w:rsid w:val="002D1B34"/>
    <w:rsid w:val="002D1F7A"/>
    <w:rsid w:val="002D4578"/>
    <w:rsid w:val="002D4BDB"/>
    <w:rsid w:val="002D76E6"/>
    <w:rsid w:val="002E0510"/>
    <w:rsid w:val="002E0A74"/>
    <w:rsid w:val="002E5221"/>
    <w:rsid w:val="002E52BD"/>
    <w:rsid w:val="002F09DA"/>
    <w:rsid w:val="002F2EB7"/>
    <w:rsid w:val="002F456B"/>
    <w:rsid w:val="003024E8"/>
    <w:rsid w:val="00303083"/>
    <w:rsid w:val="0030354A"/>
    <w:rsid w:val="00304D50"/>
    <w:rsid w:val="00304ECD"/>
    <w:rsid w:val="00304F35"/>
    <w:rsid w:val="00307B73"/>
    <w:rsid w:val="00310DD7"/>
    <w:rsid w:val="00311AA2"/>
    <w:rsid w:val="003135AD"/>
    <w:rsid w:val="003137EE"/>
    <w:rsid w:val="00313DD3"/>
    <w:rsid w:val="00315553"/>
    <w:rsid w:val="00315E2D"/>
    <w:rsid w:val="0032027A"/>
    <w:rsid w:val="00320B72"/>
    <w:rsid w:val="00324E19"/>
    <w:rsid w:val="003265B1"/>
    <w:rsid w:val="0033208A"/>
    <w:rsid w:val="00332700"/>
    <w:rsid w:val="003347AD"/>
    <w:rsid w:val="00337C5A"/>
    <w:rsid w:val="00340E3D"/>
    <w:rsid w:val="0034304A"/>
    <w:rsid w:val="003444ED"/>
    <w:rsid w:val="00344A7E"/>
    <w:rsid w:val="00345EAF"/>
    <w:rsid w:val="00347704"/>
    <w:rsid w:val="0035025B"/>
    <w:rsid w:val="003510B8"/>
    <w:rsid w:val="00353B65"/>
    <w:rsid w:val="003550E7"/>
    <w:rsid w:val="00355EE4"/>
    <w:rsid w:val="00360751"/>
    <w:rsid w:val="0036339B"/>
    <w:rsid w:val="0036396E"/>
    <w:rsid w:val="00366E04"/>
    <w:rsid w:val="00367FCF"/>
    <w:rsid w:val="003713B7"/>
    <w:rsid w:val="00373473"/>
    <w:rsid w:val="00374A94"/>
    <w:rsid w:val="0038016D"/>
    <w:rsid w:val="003808C4"/>
    <w:rsid w:val="003919E4"/>
    <w:rsid w:val="0039283F"/>
    <w:rsid w:val="003951E9"/>
    <w:rsid w:val="00397750"/>
    <w:rsid w:val="003A02CF"/>
    <w:rsid w:val="003A0DB4"/>
    <w:rsid w:val="003A10AF"/>
    <w:rsid w:val="003A6726"/>
    <w:rsid w:val="003A6ECF"/>
    <w:rsid w:val="003A7994"/>
    <w:rsid w:val="003A7E3C"/>
    <w:rsid w:val="003B046B"/>
    <w:rsid w:val="003B0EE7"/>
    <w:rsid w:val="003B151B"/>
    <w:rsid w:val="003B2280"/>
    <w:rsid w:val="003B3224"/>
    <w:rsid w:val="003B4AA0"/>
    <w:rsid w:val="003B73EA"/>
    <w:rsid w:val="003B7A20"/>
    <w:rsid w:val="003C01A4"/>
    <w:rsid w:val="003C09A0"/>
    <w:rsid w:val="003C2E76"/>
    <w:rsid w:val="003C7A45"/>
    <w:rsid w:val="003D0E1F"/>
    <w:rsid w:val="003D1273"/>
    <w:rsid w:val="003D15C1"/>
    <w:rsid w:val="003D50AE"/>
    <w:rsid w:val="003D6A3B"/>
    <w:rsid w:val="003D6BA5"/>
    <w:rsid w:val="003D6FD6"/>
    <w:rsid w:val="003E12DF"/>
    <w:rsid w:val="003E2DCB"/>
    <w:rsid w:val="003E3F0F"/>
    <w:rsid w:val="003E4A33"/>
    <w:rsid w:val="003E5B49"/>
    <w:rsid w:val="003E5F38"/>
    <w:rsid w:val="003E626B"/>
    <w:rsid w:val="003F00E4"/>
    <w:rsid w:val="003F03CD"/>
    <w:rsid w:val="003F04DC"/>
    <w:rsid w:val="003F056F"/>
    <w:rsid w:val="003F07C1"/>
    <w:rsid w:val="003F2BE9"/>
    <w:rsid w:val="003F2F27"/>
    <w:rsid w:val="003F2F73"/>
    <w:rsid w:val="003F731D"/>
    <w:rsid w:val="0040040C"/>
    <w:rsid w:val="00400458"/>
    <w:rsid w:val="00400E7C"/>
    <w:rsid w:val="00401F0B"/>
    <w:rsid w:val="00402183"/>
    <w:rsid w:val="00402B3B"/>
    <w:rsid w:val="004038EA"/>
    <w:rsid w:val="00405080"/>
    <w:rsid w:val="00406976"/>
    <w:rsid w:val="00410602"/>
    <w:rsid w:val="004108B2"/>
    <w:rsid w:val="00410FED"/>
    <w:rsid w:val="004146C6"/>
    <w:rsid w:val="00415A0B"/>
    <w:rsid w:val="00416E50"/>
    <w:rsid w:val="00423C21"/>
    <w:rsid w:val="00424AC1"/>
    <w:rsid w:val="00426A8E"/>
    <w:rsid w:val="00426FA2"/>
    <w:rsid w:val="00427FB9"/>
    <w:rsid w:val="00430911"/>
    <w:rsid w:val="004374C6"/>
    <w:rsid w:val="00440561"/>
    <w:rsid w:val="00441527"/>
    <w:rsid w:val="004421E1"/>
    <w:rsid w:val="004424BD"/>
    <w:rsid w:val="00442F3B"/>
    <w:rsid w:val="004442DA"/>
    <w:rsid w:val="00445355"/>
    <w:rsid w:val="0044732A"/>
    <w:rsid w:val="00452026"/>
    <w:rsid w:val="004554DB"/>
    <w:rsid w:val="00460E0E"/>
    <w:rsid w:val="0046296C"/>
    <w:rsid w:val="00462F96"/>
    <w:rsid w:val="00463538"/>
    <w:rsid w:val="0046437B"/>
    <w:rsid w:val="0047132C"/>
    <w:rsid w:val="0047161F"/>
    <w:rsid w:val="00473E4A"/>
    <w:rsid w:val="004741D7"/>
    <w:rsid w:val="00475D15"/>
    <w:rsid w:val="00475FA7"/>
    <w:rsid w:val="0047745B"/>
    <w:rsid w:val="00480AD5"/>
    <w:rsid w:val="00480F1E"/>
    <w:rsid w:val="004820B7"/>
    <w:rsid w:val="0048280B"/>
    <w:rsid w:val="00484BC7"/>
    <w:rsid w:val="00485030"/>
    <w:rsid w:val="00492037"/>
    <w:rsid w:val="00493C73"/>
    <w:rsid w:val="004A18FC"/>
    <w:rsid w:val="004A1EF5"/>
    <w:rsid w:val="004A3D36"/>
    <w:rsid w:val="004A424E"/>
    <w:rsid w:val="004A6684"/>
    <w:rsid w:val="004A7D3F"/>
    <w:rsid w:val="004B3301"/>
    <w:rsid w:val="004C02B9"/>
    <w:rsid w:val="004C1989"/>
    <w:rsid w:val="004C1F66"/>
    <w:rsid w:val="004C3D0E"/>
    <w:rsid w:val="004C6BE5"/>
    <w:rsid w:val="004D384D"/>
    <w:rsid w:val="004D471B"/>
    <w:rsid w:val="004D4CA8"/>
    <w:rsid w:val="004E150E"/>
    <w:rsid w:val="004E67F5"/>
    <w:rsid w:val="004F103F"/>
    <w:rsid w:val="004F118E"/>
    <w:rsid w:val="004F1C89"/>
    <w:rsid w:val="004F3B57"/>
    <w:rsid w:val="004F56F4"/>
    <w:rsid w:val="00501868"/>
    <w:rsid w:val="00503293"/>
    <w:rsid w:val="005071A7"/>
    <w:rsid w:val="00507A1E"/>
    <w:rsid w:val="0051438A"/>
    <w:rsid w:val="00515BCC"/>
    <w:rsid w:val="00520A5A"/>
    <w:rsid w:val="0052243C"/>
    <w:rsid w:val="00523518"/>
    <w:rsid w:val="00525E8C"/>
    <w:rsid w:val="00526A70"/>
    <w:rsid w:val="00527D0D"/>
    <w:rsid w:val="005304D9"/>
    <w:rsid w:val="005330C1"/>
    <w:rsid w:val="00533408"/>
    <w:rsid w:val="005351F7"/>
    <w:rsid w:val="00536190"/>
    <w:rsid w:val="005374BB"/>
    <w:rsid w:val="0054285A"/>
    <w:rsid w:val="00542B4A"/>
    <w:rsid w:val="00544500"/>
    <w:rsid w:val="00545A4B"/>
    <w:rsid w:val="005460CD"/>
    <w:rsid w:val="00552BB7"/>
    <w:rsid w:val="0055387A"/>
    <w:rsid w:val="005547AB"/>
    <w:rsid w:val="005548B7"/>
    <w:rsid w:val="00556F14"/>
    <w:rsid w:val="0056116D"/>
    <w:rsid w:val="00562312"/>
    <w:rsid w:val="005646F3"/>
    <w:rsid w:val="005726E6"/>
    <w:rsid w:val="005729FB"/>
    <w:rsid w:val="00575462"/>
    <w:rsid w:val="00582029"/>
    <w:rsid w:val="005826D2"/>
    <w:rsid w:val="005854A3"/>
    <w:rsid w:val="00591B13"/>
    <w:rsid w:val="00591C56"/>
    <w:rsid w:val="00593AE3"/>
    <w:rsid w:val="00594D0D"/>
    <w:rsid w:val="005A1D64"/>
    <w:rsid w:val="005A3BAA"/>
    <w:rsid w:val="005A5A5D"/>
    <w:rsid w:val="005A7A21"/>
    <w:rsid w:val="005A7D7E"/>
    <w:rsid w:val="005B0607"/>
    <w:rsid w:val="005B0C2C"/>
    <w:rsid w:val="005B0DBF"/>
    <w:rsid w:val="005B263C"/>
    <w:rsid w:val="005B50B5"/>
    <w:rsid w:val="005B7A97"/>
    <w:rsid w:val="005C1696"/>
    <w:rsid w:val="005C4F15"/>
    <w:rsid w:val="005C5C6A"/>
    <w:rsid w:val="005C5D86"/>
    <w:rsid w:val="005C7DAF"/>
    <w:rsid w:val="005D01DA"/>
    <w:rsid w:val="005D1C23"/>
    <w:rsid w:val="005D1F3E"/>
    <w:rsid w:val="005D6968"/>
    <w:rsid w:val="005D71A9"/>
    <w:rsid w:val="005E38BF"/>
    <w:rsid w:val="005E3FA9"/>
    <w:rsid w:val="005E4196"/>
    <w:rsid w:val="005E5E25"/>
    <w:rsid w:val="005E7CA3"/>
    <w:rsid w:val="005F20C1"/>
    <w:rsid w:val="005F2F80"/>
    <w:rsid w:val="005F534F"/>
    <w:rsid w:val="005F61B1"/>
    <w:rsid w:val="005F7B3D"/>
    <w:rsid w:val="006027E6"/>
    <w:rsid w:val="00602A20"/>
    <w:rsid w:val="00603A73"/>
    <w:rsid w:val="00610307"/>
    <w:rsid w:val="00613863"/>
    <w:rsid w:val="006150A7"/>
    <w:rsid w:val="006160B9"/>
    <w:rsid w:val="0061613B"/>
    <w:rsid w:val="006162D7"/>
    <w:rsid w:val="00620683"/>
    <w:rsid w:val="00621F78"/>
    <w:rsid w:val="0063245A"/>
    <w:rsid w:val="00632BE8"/>
    <w:rsid w:val="00632D46"/>
    <w:rsid w:val="0063410D"/>
    <w:rsid w:val="006349F7"/>
    <w:rsid w:val="00637286"/>
    <w:rsid w:val="00640561"/>
    <w:rsid w:val="0064228E"/>
    <w:rsid w:val="00644FB2"/>
    <w:rsid w:val="0064540C"/>
    <w:rsid w:val="006460C0"/>
    <w:rsid w:val="0065013F"/>
    <w:rsid w:val="00657CFD"/>
    <w:rsid w:val="006641FA"/>
    <w:rsid w:val="006676D1"/>
    <w:rsid w:val="00672231"/>
    <w:rsid w:val="00674D4E"/>
    <w:rsid w:val="00675DE8"/>
    <w:rsid w:val="0067624E"/>
    <w:rsid w:val="00680DE9"/>
    <w:rsid w:val="0068181E"/>
    <w:rsid w:val="00681E8B"/>
    <w:rsid w:val="00683D12"/>
    <w:rsid w:val="00686348"/>
    <w:rsid w:val="00687C29"/>
    <w:rsid w:val="00690172"/>
    <w:rsid w:val="00690E33"/>
    <w:rsid w:val="006936A4"/>
    <w:rsid w:val="00693B39"/>
    <w:rsid w:val="006955A2"/>
    <w:rsid w:val="006961AD"/>
    <w:rsid w:val="00697BB5"/>
    <w:rsid w:val="006A0A55"/>
    <w:rsid w:val="006A3D0C"/>
    <w:rsid w:val="006A46A3"/>
    <w:rsid w:val="006B0110"/>
    <w:rsid w:val="006B0782"/>
    <w:rsid w:val="006B1757"/>
    <w:rsid w:val="006B1A16"/>
    <w:rsid w:val="006B27EB"/>
    <w:rsid w:val="006B346C"/>
    <w:rsid w:val="006B34CA"/>
    <w:rsid w:val="006B4794"/>
    <w:rsid w:val="006B4A87"/>
    <w:rsid w:val="006B6EDE"/>
    <w:rsid w:val="006C28D8"/>
    <w:rsid w:val="006C2C99"/>
    <w:rsid w:val="006C6208"/>
    <w:rsid w:val="006C771A"/>
    <w:rsid w:val="006D11BC"/>
    <w:rsid w:val="006D2CC1"/>
    <w:rsid w:val="006E7607"/>
    <w:rsid w:val="006F2981"/>
    <w:rsid w:val="006F4200"/>
    <w:rsid w:val="006F4F2C"/>
    <w:rsid w:val="00706A41"/>
    <w:rsid w:val="00707B37"/>
    <w:rsid w:val="007102E2"/>
    <w:rsid w:val="0071197C"/>
    <w:rsid w:val="0071254A"/>
    <w:rsid w:val="00712802"/>
    <w:rsid w:val="0071486F"/>
    <w:rsid w:val="00716972"/>
    <w:rsid w:val="007226D0"/>
    <w:rsid w:val="007227E8"/>
    <w:rsid w:val="00723391"/>
    <w:rsid w:val="00724D93"/>
    <w:rsid w:val="0073070A"/>
    <w:rsid w:val="007308DD"/>
    <w:rsid w:val="007330F8"/>
    <w:rsid w:val="00735B72"/>
    <w:rsid w:val="00735E9B"/>
    <w:rsid w:val="00736158"/>
    <w:rsid w:val="00740071"/>
    <w:rsid w:val="00744C7F"/>
    <w:rsid w:val="00745646"/>
    <w:rsid w:val="00746042"/>
    <w:rsid w:val="00746359"/>
    <w:rsid w:val="00750406"/>
    <w:rsid w:val="007515BA"/>
    <w:rsid w:val="00755BD0"/>
    <w:rsid w:val="00756427"/>
    <w:rsid w:val="007566FC"/>
    <w:rsid w:val="007578D3"/>
    <w:rsid w:val="0076500A"/>
    <w:rsid w:val="00766462"/>
    <w:rsid w:val="00774FF7"/>
    <w:rsid w:val="007769FF"/>
    <w:rsid w:val="00780889"/>
    <w:rsid w:val="00781985"/>
    <w:rsid w:val="007836E1"/>
    <w:rsid w:val="007848E7"/>
    <w:rsid w:val="00784AA1"/>
    <w:rsid w:val="007923ED"/>
    <w:rsid w:val="007965BF"/>
    <w:rsid w:val="0079700B"/>
    <w:rsid w:val="007A1EB8"/>
    <w:rsid w:val="007A5492"/>
    <w:rsid w:val="007B0818"/>
    <w:rsid w:val="007B54D1"/>
    <w:rsid w:val="007B6380"/>
    <w:rsid w:val="007B6FCC"/>
    <w:rsid w:val="007C1244"/>
    <w:rsid w:val="007C21F4"/>
    <w:rsid w:val="007C2305"/>
    <w:rsid w:val="007C39E3"/>
    <w:rsid w:val="007D20F3"/>
    <w:rsid w:val="007D31B0"/>
    <w:rsid w:val="007D42D4"/>
    <w:rsid w:val="007D6DAA"/>
    <w:rsid w:val="007D6F1E"/>
    <w:rsid w:val="007D76D0"/>
    <w:rsid w:val="007E12EB"/>
    <w:rsid w:val="007E21F5"/>
    <w:rsid w:val="007E4011"/>
    <w:rsid w:val="007F0F6B"/>
    <w:rsid w:val="007F1468"/>
    <w:rsid w:val="0080073B"/>
    <w:rsid w:val="00801AC0"/>
    <w:rsid w:val="00804880"/>
    <w:rsid w:val="008058C5"/>
    <w:rsid w:val="00810403"/>
    <w:rsid w:val="00813294"/>
    <w:rsid w:val="008153A7"/>
    <w:rsid w:val="00816162"/>
    <w:rsid w:val="00816DBC"/>
    <w:rsid w:val="0081757E"/>
    <w:rsid w:val="00820129"/>
    <w:rsid w:val="00821065"/>
    <w:rsid w:val="00821F04"/>
    <w:rsid w:val="00822356"/>
    <w:rsid w:val="00824030"/>
    <w:rsid w:val="00826592"/>
    <w:rsid w:val="0082773D"/>
    <w:rsid w:val="00830705"/>
    <w:rsid w:val="0083092F"/>
    <w:rsid w:val="008323E4"/>
    <w:rsid w:val="00833512"/>
    <w:rsid w:val="008347BC"/>
    <w:rsid w:val="008347E1"/>
    <w:rsid w:val="00834833"/>
    <w:rsid w:val="00835617"/>
    <w:rsid w:val="0084081F"/>
    <w:rsid w:val="0084200D"/>
    <w:rsid w:val="0084417E"/>
    <w:rsid w:val="0084462F"/>
    <w:rsid w:val="008447C7"/>
    <w:rsid w:val="008448DC"/>
    <w:rsid w:val="008476C1"/>
    <w:rsid w:val="00847DA6"/>
    <w:rsid w:val="00850056"/>
    <w:rsid w:val="00850701"/>
    <w:rsid w:val="00850B00"/>
    <w:rsid w:val="00852920"/>
    <w:rsid w:val="00854762"/>
    <w:rsid w:val="0085519E"/>
    <w:rsid w:val="008626C0"/>
    <w:rsid w:val="00865C03"/>
    <w:rsid w:val="00866193"/>
    <w:rsid w:val="00871155"/>
    <w:rsid w:val="00873951"/>
    <w:rsid w:val="00875C5C"/>
    <w:rsid w:val="00880AFF"/>
    <w:rsid w:val="00882528"/>
    <w:rsid w:val="00882925"/>
    <w:rsid w:val="008841A4"/>
    <w:rsid w:val="0088573A"/>
    <w:rsid w:val="00887252"/>
    <w:rsid w:val="0089195A"/>
    <w:rsid w:val="0089231F"/>
    <w:rsid w:val="00895076"/>
    <w:rsid w:val="00895820"/>
    <w:rsid w:val="00896AD7"/>
    <w:rsid w:val="008A0A37"/>
    <w:rsid w:val="008A27A9"/>
    <w:rsid w:val="008A4815"/>
    <w:rsid w:val="008A5FB3"/>
    <w:rsid w:val="008B0B49"/>
    <w:rsid w:val="008B462A"/>
    <w:rsid w:val="008B58BE"/>
    <w:rsid w:val="008B58DB"/>
    <w:rsid w:val="008B6F44"/>
    <w:rsid w:val="008C01BE"/>
    <w:rsid w:val="008C2145"/>
    <w:rsid w:val="008C5529"/>
    <w:rsid w:val="008C5713"/>
    <w:rsid w:val="008C78BA"/>
    <w:rsid w:val="008D19F8"/>
    <w:rsid w:val="008D2E78"/>
    <w:rsid w:val="008D47FD"/>
    <w:rsid w:val="008D4F07"/>
    <w:rsid w:val="008D5E72"/>
    <w:rsid w:val="008E0941"/>
    <w:rsid w:val="008E0E36"/>
    <w:rsid w:val="008E4394"/>
    <w:rsid w:val="008E44BD"/>
    <w:rsid w:val="008E4AE3"/>
    <w:rsid w:val="008E5CE2"/>
    <w:rsid w:val="008E6DBD"/>
    <w:rsid w:val="008E7292"/>
    <w:rsid w:val="008F0B8C"/>
    <w:rsid w:val="008F59FC"/>
    <w:rsid w:val="008F736F"/>
    <w:rsid w:val="0090692D"/>
    <w:rsid w:val="00906F9E"/>
    <w:rsid w:val="00910745"/>
    <w:rsid w:val="00911D7E"/>
    <w:rsid w:val="009127F9"/>
    <w:rsid w:val="00912E9A"/>
    <w:rsid w:val="00913489"/>
    <w:rsid w:val="009137BE"/>
    <w:rsid w:val="00914E63"/>
    <w:rsid w:val="00916AB4"/>
    <w:rsid w:val="00920589"/>
    <w:rsid w:val="0092373B"/>
    <w:rsid w:val="0092562B"/>
    <w:rsid w:val="009259F2"/>
    <w:rsid w:val="00925C25"/>
    <w:rsid w:val="00926C98"/>
    <w:rsid w:val="0092797E"/>
    <w:rsid w:val="0093239A"/>
    <w:rsid w:val="00932B66"/>
    <w:rsid w:val="00934C92"/>
    <w:rsid w:val="00934D33"/>
    <w:rsid w:val="00935F41"/>
    <w:rsid w:val="00936660"/>
    <w:rsid w:val="009404BE"/>
    <w:rsid w:val="0094158D"/>
    <w:rsid w:val="0094198C"/>
    <w:rsid w:val="00942D01"/>
    <w:rsid w:val="00943472"/>
    <w:rsid w:val="00943AF0"/>
    <w:rsid w:val="00944392"/>
    <w:rsid w:val="00945DA3"/>
    <w:rsid w:val="00947CAF"/>
    <w:rsid w:val="00950FE2"/>
    <w:rsid w:val="009515D5"/>
    <w:rsid w:val="009523A7"/>
    <w:rsid w:val="00953F2A"/>
    <w:rsid w:val="0095428C"/>
    <w:rsid w:val="00954C29"/>
    <w:rsid w:val="00955180"/>
    <w:rsid w:val="0095625B"/>
    <w:rsid w:val="00957E32"/>
    <w:rsid w:val="00960F87"/>
    <w:rsid w:val="00963B91"/>
    <w:rsid w:val="009666C6"/>
    <w:rsid w:val="00970226"/>
    <w:rsid w:val="009713FC"/>
    <w:rsid w:val="009715B7"/>
    <w:rsid w:val="009715CC"/>
    <w:rsid w:val="00972E19"/>
    <w:rsid w:val="00974EF4"/>
    <w:rsid w:val="00975371"/>
    <w:rsid w:val="00975566"/>
    <w:rsid w:val="0097578D"/>
    <w:rsid w:val="0097585A"/>
    <w:rsid w:val="009768D7"/>
    <w:rsid w:val="00976D06"/>
    <w:rsid w:val="00981E9B"/>
    <w:rsid w:val="00982F80"/>
    <w:rsid w:val="009836EC"/>
    <w:rsid w:val="00983A33"/>
    <w:rsid w:val="00984AE0"/>
    <w:rsid w:val="00986131"/>
    <w:rsid w:val="00994C74"/>
    <w:rsid w:val="0099601C"/>
    <w:rsid w:val="00997181"/>
    <w:rsid w:val="009A1F4F"/>
    <w:rsid w:val="009A4386"/>
    <w:rsid w:val="009A4D00"/>
    <w:rsid w:val="009A5424"/>
    <w:rsid w:val="009A5BB0"/>
    <w:rsid w:val="009A5E79"/>
    <w:rsid w:val="009A6C89"/>
    <w:rsid w:val="009A730F"/>
    <w:rsid w:val="009A7C9C"/>
    <w:rsid w:val="009B4114"/>
    <w:rsid w:val="009B48F9"/>
    <w:rsid w:val="009C0DCD"/>
    <w:rsid w:val="009C1408"/>
    <w:rsid w:val="009C3BF3"/>
    <w:rsid w:val="009C4463"/>
    <w:rsid w:val="009D7522"/>
    <w:rsid w:val="009D7FC3"/>
    <w:rsid w:val="009E0ADD"/>
    <w:rsid w:val="009E13E6"/>
    <w:rsid w:val="009E570C"/>
    <w:rsid w:val="009E64BC"/>
    <w:rsid w:val="009E6B36"/>
    <w:rsid w:val="009F5A37"/>
    <w:rsid w:val="009F70FE"/>
    <w:rsid w:val="009F7A91"/>
    <w:rsid w:val="00A016CE"/>
    <w:rsid w:val="00A04C9E"/>
    <w:rsid w:val="00A113A5"/>
    <w:rsid w:val="00A11AE7"/>
    <w:rsid w:val="00A11B17"/>
    <w:rsid w:val="00A11F43"/>
    <w:rsid w:val="00A17CA2"/>
    <w:rsid w:val="00A20BC6"/>
    <w:rsid w:val="00A328D0"/>
    <w:rsid w:val="00A336BB"/>
    <w:rsid w:val="00A3505F"/>
    <w:rsid w:val="00A35489"/>
    <w:rsid w:val="00A446DF"/>
    <w:rsid w:val="00A507E9"/>
    <w:rsid w:val="00A565AA"/>
    <w:rsid w:val="00A6253B"/>
    <w:rsid w:val="00A66CF7"/>
    <w:rsid w:val="00A67979"/>
    <w:rsid w:val="00A71FC4"/>
    <w:rsid w:val="00A737A9"/>
    <w:rsid w:val="00A755D7"/>
    <w:rsid w:val="00A75A89"/>
    <w:rsid w:val="00A76C3F"/>
    <w:rsid w:val="00A76D62"/>
    <w:rsid w:val="00A81BB0"/>
    <w:rsid w:val="00A82922"/>
    <w:rsid w:val="00A84A71"/>
    <w:rsid w:val="00A85D0F"/>
    <w:rsid w:val="00A8627A"/>
    <w:rsid w:val="00A8763F"/>
    <w:rsid w:val="00A91C33"/>
    <w:rsid w:val="00A92209"/>
    <w:rsid w:val="00A93883"/>
    <w:rsid w:val="00A965DB"/>
    <w:rsid w:val="00A96C90"/>
    <w:rsid w:val="00A9758E"/>
    <w:rsid w:val="00AA3729"/>
    <w:rsid w:val="00AA4967"/>
    <w:rsid w:val="00AB1B33"/>
    <w:rsid w:val="00AC1FD3"/>
    <w:rsid w:val="00AC4995"/>
    <w:rsid w:val="00AC4B42"/>
    <w:rsid w:val="00AD0B10"/>
    <w:rsid w:val="00AD38B7"/>
    <w:rsid w:val="00AD5612"/>
    <w:rsid w:val="00AD747D"/>
    <w:rsid w:val="00AD7572"/>
    <w:rsid w:val="00AE0936"/>
    <w:rsid w:val="00AE44C4"/>
    <w:rsid w:val="00AE4AF2"/>
    <w:rsid w:val="00AE620F"/>
    <w:rsid w:val="00AF0131"/>
    <w:rsid w:val="00AF1376"/>
    <w:rsid w:val="00AF2834"/>
    <w:rsid w:val="00AF3232"/>
    <w:rsid w:val="00AF39FD"/>
    <w:rsid w:val="00AF3A87"/>
    <w:rsid w:val="00AF4067"/>
    <w:rsid w:val="00AF537D"/>
    <w:rsid w:val="00AF59BE"/>
    <w:rsid w:val="00B0210A"/>
    <w:rsid w:val="00B04ABC"/>
    <w:rsid w:val="00B11850"/>
    <w:rsid w:val="00B13841"/>
    <w:rsid w:val="00B13E9D"/>
    <w:rsid w:val="00B2026C"/>
    <w:rsid w:val="00B22BC0"/>
    <w:rsid w:val="00B30346"/>
    <w:rsid w:val="00B33A97"/>
    <w:rsid w:val="00B33B1F"/>
    <w:rsid w:val="00B34191"/>
    <w:rsid w:val="00B351A0"/>
    <w:rsid w:val="00B36012"/>
    <w:rsid w:val="00B45727"/>
    <w:rsid w:val="00B464F2"/>
    <w:rsid w:val="00B47BC3"/>
    <w:rsid w:val="00B5022C"/>
    <w:rsid w:val="00B52948"/>
    <w:rsid w:val="00B5328A"/>
    <w:rsid w:val="00B546F4"/>
    <w:rsid w:val="00B54B15"/>
    <w:rsid w:val="00B5598F"/>
    <w:rsid w:val="00B56040"/>
    <w:rsid w:val="00B573D8"/>
    <w:rsid w:val="00B57BFC"/>
    <w:rsid w:val="00B63311"/>
    <w:rsid w:val="00B636F4"/>
    <w:rsid w:val="00B63C25"/>
    <w:rsid w:val="00B65AA7"/>
    <w:rsid w:val="00B67109"/>
    <w:rsid w:val="00B67178"/>
    <w:rsid w:val="00B67E39"/>
    <w:rsid w:val="00B7117E"/>
    <w:rsid w:val="00B71D62"/>
    <w:rsid w:val="00B73272"/>
    <w:rsid w:val="00B76C83"/>
    <w:rsid w:val="00B80B18"/>
    <w:rsid w:val="00B83ABE"/>
    <w:rsid w:val="00B83DD2"/>
    <w:rsid w:val="00B9146A"/>
    <w:rsid w:val="00B943CA"/>
    <w:rsid w:val="00B95198"/>
    <w:rsid w:val="00B97152"/>
    <w:rsid w:val="00B97788"/>
    <w:rsid w:val="00BA0E45"/>
    <w:rsid w:val="00BA23AC"/>
    <w:rsid w:val="00BA2D6E"/>
    <w:rsid w:val="00BA327A"/>
    <w:rsid w:val="00BA486F"/>
    <w:rsid w:val="00BA4E27"/>
    <w:rsid w:val="00BA64BB"/>
    <w:rsid w:val="00BA762F"/>
    <w:rsid w:val="00BB3069"/>
    <w:rsid w:val="00BB73E8"/>
    <w:rsid w:val="00BC218A"/>
    <w:rsid w:val="00BC2FCB"/>
    <w:rsid w:val="00BC31FE"/>
    <w:rsid w:val="00BC4DCD"/>
    <w:rsid w:val="00BC69CD"/>
    <w:rsid w:val="00BC6BE7"/>
    <w:rsid w:val="00BC74DC"/>
    <w:rsid w:val="00BD1DF7"/>
    <w:rsid w:val="00BD23C9"/>
    <w:rsid w:val="00BD2C54"/>
    <w:rsid w:val="00BD37AB"/>
    <w:rsid w:val="00BD6456"/>
    <w:rsid w:val="00BE10B7"/>
    <w:rsid w:val="00BE2BC3"/>
    <w:rsid w:val="00BE4C1F"/>
    <w:rsid w:val="00BF36BC"/>
    <w:rsid w:val="00BF4A2C"/>
    <w:rsid w:val="00BF759C"/>
    <w:rsid w:val="00C0036F"/>
    <w:rsid w:val="00C02C5C"/>
    <w:rsid w:val="00C117A3"/>
    <w:rsid w:val="00C11983"/>
    <w:rsid w:val="00C122C2"/>
    <w:rsid w:val="00C1347A"/>
    <w:rsid w:val="00C15879"/>
    <w:rsid w:val="00C175EE"/>
    <w:rsid w:val="00C24990"/>
    <w:rsid w:val="00C25267"/>
    <w:rsid w:val="00C27A52"/>
    <w:rsid w:val="00C27A77"/>
    <w:rsid w:val="00C310C7"/>
    <w:rsid w:val="00C32316"/>
    <w:rsid w:val="00C3307C"/>
    <w:rsid w:val="00C401E6"/>
    <w:rsid w:val="00C40585"/>
    <w:rsid w:val="00C43F8E"/>
    <w:rsid w:val="00C44109"/>
    <w:rsid w:val="00C458D5"/>
    <w:rsid w:val="00C46128"/>
    <w:rsid w:val="00C471D1"/>
    <w:rsid w:val="00C527C1"/>
    <w:rsid w:val="00C52E45"/>
    <w:rsid w:val="00C54C57"/>
    <w:rsid w:val="00C56385"/>
    <w:rsid w:val="00C57D12"/>
    <w:rsid w:val="00C61F04"/>
    <w:rsid w:val="00C628D3"/>
    <w:rsid w:val="00C634F3"/>
    <w:rsid w:val="00C716E8"/>
    <w:rsid w:val="00C72D18"/>
    <w:rsid w:val="00C73B6E"/>
    <w:rsid w:val="00C749C5"/>
    <w:rsid w:val="00C757B5"/>
    <w:rsid w:val="00C75855"/>
    <w:rsid w:val="00C761B1"/>
    <w:rsid w:val="00C77EE2"/>
    <w:rsid w:val="00C808CA"/>
    <w:rsid w:val="00C80B96"/>
    <w:rsid w:val="00C8481B"/>
    <w:rsid w:val="00C87E7D"/>
    <w:rsid w:val="00C915FB"/>
    <w:rsid w:val="00C939E7"/>
    <w:rsid w:val="00C93CC5"/>
    <w:rsid w:val="00C9440B"/>
    <w:rsid w:val="00C953EA"/>
    <w:rsid w:val="00C9787D"/>
    <w:rsid w:val="00C97CA9"/>
    <w:rsid w:val="00CA5C34"/>
    <w:rsid w:val="00CA6033"/>
    <w:rsid w:val="00CA6256"/>
    <w:rsid w:val="00CA6E81"/>
    <w:rsid w:val="00CA79D2"/>
    <w:rsid w:val="00CA7CC5"/>
    <w:rsid w:val="00CB0B9D"/>
    <w:rsid w:val="00CB2278"/>
    <w:rsid w:val="00CB316C"/>
    <w:rsid w:val="00CB3434"/>
    <w:rsid w:val="00CB3607"/>
    <w:rsid w:val="00CB3657"/>
    <w:rsid w:val="00CB42CF"/>
    <w:rsid w:val="00CB5C91"/>
    <w:rsid w:val="00CB6EC1"/>
    <w:rsid w:val="00CC008C"/>
    <w:rsid w:val="00CC05C2"/>
    <w:rsid w:val="00CC2631"/>
    <w:rsid w:val="00CC39C1"/>
    <w:rsid w:val="00CD2120"/>
    <w:rsid w:val="00CD647A"/>
    <w:rsid w:val="00CD723A"/>
    <w:rsid w:val="00CD7A1B"/>
    <w:rsid w:val="00CE06B5"/>
    <w:rsid w:val="00CE1B42"/>
    <w:rsid w:val="00CE1E8A"/>
    <w:rsid w:val="00CE3AE5"/>
    <w:rsid w:val="00CE67D3"/>
    <w:rsid w:val="00CE6964"/>
    <w:rsid w:val="00CE6DB7"/>
    <w:rsid w:val="00CF199B"/>
    <w:rsid w:val="00CF25B8"/>
    <w:rsid w:val="00CF4446"/>
    <w:rsid w:val="00CF4569"/>
    <w:rsid w:val="00CF4E1E"/>
    <w:rsid w:val="00D00E58"/>
    <w:rsid w:val="00D02A0B"/>
    <w:rsid w:val="00D12072"/>
    <w:rsid w:val="00D16090"/>
    <w:rsid w:val="00D168B9"/>
    <w:rsid w:val="00D20B39"/>
    <w:rsid w:val="00D20E16"/>
    <w:rsid w:val="00D22021"/>
    <w:rsid w:val="00D22202"/>
    <w:rsid w:val="00D222EE"/>
    <w:rsid w:val="00D22BFA"/>
    <w:rsid w:val="00D22EE4"/>
    <w:rsid w:val="00D24F92"/>
    <w:rsid w:val="00D25E4F"/>
    <w:rsid w:val="00D26020"/>
    <w:rsid w:val="00D279DC"/>
    <w:rsid w:val="00D34E69"/>
    <w:rsid w:val="00D37A90"/>
    <w:rsid w:val="00D416CD"/>
    <w:rsid w:val="00D4302C"/>
    <w:rsid w:val="00D43699"/>
    <w:rsid w:val="00D44A93"/>
    <w:rsid w:val="00D47A49"/>
    <w:rsid w:val="00D50E31"/>
    <w:rsid w:val="00D511A2"/>
    <w:rsid w:val="00D5377B"/>
    <w:rsid w:val="00D5508D"/>
    <w:rsid w:val="00D55271"/>
    <w:rsid w:val="00D569EA"/>
    <w:rsid w:val="00D62307"/>
    <w:rsid w:val="00D652CB"/>
    <w:rsid w:val="00D65A51"/>
    <w:rsid w:val="00D669E0"/>
    <w:rsid w:val="00D72CF2"/>
    <w:rsid w:val="00D73CD6"/>
    <w:rsid w:val="00D76E46"/>
    <w:rsid w:val="00D829CF"/>
    <w:rsid w:val="00D8385A"/>
    <w:rsid w:val="00D84F3A"/>
    <w:rsid w:val="00D9065E"/>
    <w:rsid w:val="00D92EDC"/>
    <w:rsid w:val="00D960F2"/>
    <w:rsid w:val="00D9677B"/>
    <w:rsid w:val="00D972E8"/>
    <w:rsid w:val="00D97A75"/>
    <w:rsid w:val="00DA1958"/>
    <w:rsid w:val="00DA3F3B"/>
    <w:rsid w:val="00DA6FDF"/>
    <w:rsid w:val="00DA7582"/>
    <w:rsid w:val="00DB0249"/>
    <w:rsid w:val="00DB09F6"/>
    <w:rsid w:val="00DB0DEC"/>
    <w:rsid w:val="00DB257A"/>
    <w:rsid w:val="00DB28E0"/>
    <w:rsid w:val="00DB3BD3"/>
    <w:rsid w:val="00DB65EA"/>
    <w:rsid w:val="00DC1A52"/>
    <w:rsid w:val="00DC1D34"/>
    <w:rsid w:val="00DC2221"/>
    <w:rsid w:val="00DC3149"/>
    <w:rsid w:val="00DC4EC1"/>
    <w:rsid w:val="00DC60D8"/>
    <w:rsid w:val="00DD076F"/>
    <w:rsid w:val="00DD0F7C"/>
    <w:rsid w:val="00DD378E"/>
    <w:rsid w:val="00DD4F81"/>
    <w:rsid w:val="00DD5AAC"/>
    <w:rsid w:val="00DD74DC"/>
    <w:rsid w:val="00DE1666"/>
    <w:rsid w:val="00DE46FC"/>
    <w:rsid w:val="00DE5A4C"/>
    <w:rsid w:val="00DE7D51"/>
    <w:rsid w:val="00DF1E47"/>
    <w:rsid w:val="00DF4AA0"/>
    <w:rsid w:val="00DF6261"/>
    <w:rsid w:val="00E00F16"/>
    <w:rsid w:val="00E018EF"/>
    <w:rsid w:val="00E01912"/>
    <w:rsid w:val="00E02555"/>
    <w:rsid w:val="00E04DD1"/>
    <w:rsid w:val="00E04FA8"/>
    <w:rsid w:val="00E11F9A"/>
    <w:rsid w:val="00E13DEA"/>
    <w:rsid w:val="00E16739"/>
    <w:rsid w:val="00E21444"/>
    <w:rsid w:val="00E23270"/>
    <w:rsid w:val="00E23642"/>
    <w:rsid w:val="00E252B0"/>
    <w:rsid w:val="00E26E18"/>
    <w:rsid w:val="00E2757D"/>
    <w:rsid w:val="00E32D5F"/>
    <w:rsid w:val="00E35F93"/>
    <w:rsid w:val="00E449B7"/>
    <w:rsid w:val="00E46699"/>
    <w:rsid w:val="00E466E7"/>
    <w:rsid w:val="00E46F9F"/>
    <w:rsid w:val="00E477ED"/>
    <w:rsid w:val="00E52F15"/>
    <w:rsid w:val="00E558AA"/>
    <w:rsid w:val="00E559DF"/>
    <w:rsid w:val="00E55AB2"/>
    <w:rsid w:val="00E613EF"/>
    <w:rsid w:val="00E63C4B"/>
    <w:rsid w:val="00E6673B"/>
    <w:rsid w:val="00E67B58"/>
    <w:rsid w:val="00E67E0C"/>
    <w:rsid w:val="00E67F06"/>
    <w:rsid w:val="00E76F93"/>
    <w:rsid w:val="00E80600"/>
    <w:rsid w:val="00E8174E"/>
    <w:rsid w:val="00E81FEB"/>
    <w:rsid w:val="00E83467"/>
    <w:rsid w:val="00E83A39"/>
    <w:rsid w:val="00E84B10"/>
    <w:rsid w:val="00E86436"/>
    <w:rsid w:val="00E869C9"/>
    <w:rsid w:val="00E86A18"/>
    <w:rsid w:val="00E86DDE"/>
    <w:rsid w:val="00E87BB0"/>
    <w:rsid w:val="00E90CCE"/>
    <w:rsid w:val="00E919B5"/>
    <w:rsid w:val="00E92764"/>
    <w:rsid w:val="00E92A0D"/>
    <w:rsid w:val="00E92F78"/>
    <w:rsid w:val="00EA3ED2"/>
    <w:rsid w:val="00EA5DC6"/>
    <w:rsid w:val="00EA7882"/>
    <w:rsid w:val="00EA78E0"/>
    <w:rsid w:val="00EB38E2"/>
    <w:rsid w:val="00EB5439"/>
    <w:rsid w:val="00EB55F2"/>
    <w:rsid w:val="00EB7006"/>
    <w:rsid w:val="00EC107D"/>
    <w:rsid w:val="00EC2F35"/>
    <w:rsid w:val="00EC39E7"/>
    <w:rsid w:val="00EC3D2B"/>
    <w:rsid w:val="00EC44EC"/>
    <w:rsid w:val="00EC57A8"/>
    <w:rsid w:val="00EC6506"/>
    <w:rsid w:val="00EC7240"/>
    <w:rsid w:val="00EC753B"/>
    <w:rsid w:val="00EC7C1F"/>
    <w:rsid w:val="00ED0DC3"/>
    <w:rsid w:val="00ED0E41"/>
    <w:rsid w:val="00ED283A"/>
    <w:rsid w:val="00ED51A1"/>
    <w:rsid w:val="00ED7C96"/>
    <w:rsid w:val="00ED7EFB"/>
    <w:rsid w:val="00EE0279"/>
    <w:rsid w:val="00EE07A2"/>
    <w:rsid w:val="00EE1147"/>
    <w:rsid w:val="00EE3EE4"/>
    <w:rsid w:val="00EE45BB"/>
    <w:rsid w:val="00EE6F5A"/>
    <w:rsid w:val="00EE7786"/>
    <w:rsid w:val="00EF1D6A"/>
    <w:rsid w:val="00EF2341"/>
    <w:rsid w:val="00EF27B7"/>
    <w:rsid w:val="00EF2954"/>
    <w:rsid w:val="00EF328F"/>
    <w:rsid w:val="00EF5463"/>
    <w:rsid w:val="00EF6DF8"/>
    <w:rsid w:val="00EF7E2A"/>
    <w:rsid w:val="00F00199"/>
    <w:rsid w:val="00F013BA"/>
    <w:rsid w:val="00F029D5"/>
    <w:rsid w:val="00F02DEE"/>
    <w:rsid w:val="00F03895"/>
    <w:rsid w:val="00F04AE2"/>
    <w:rsid w:val="00F05D0C"/>
    <w:rsid w:val="00F13A97"/>
    <w:rsid w:val="00F14D50"/>
    <w:rsid w:val="00F157A0"/>
    <w:rsid w:val="00F17A8C"/>
    <w:rsid w:val="00F22A30"/>
    <w:rsid w:val="00F268E9"/>
    <w:rsid w:val="00F27628"/>
    <w:rsid w:val="00F3071C"/>
    <w:rsid w:val="00F34181"/>
    <w:rsid w:val="00F34683"/>
    <w:rsid w:val="00F34DF4"/>
    <w:rsid w:val="00F403FC"/>
    <w:rsid w:val="00F4124A"/>
    <w:rsid w:val="00F416C6"/>
    <w:rsid w:val="00F42215"/>
    <w:rsid w:val="00F42464"/>
    <w:rsid w:val="00F42F3C"/>
    <w:rsid w:val="00F46222"/>
    <w:rsid w:val="00F47029"/>
    <w:rsid w:val="00F52090"/>
    <w:rsid w:val="00F53D35"/>
    <w:rsid w:val="00F614AF"/>
    <w:rsid w:val="00F6197C"/>
    <w:rsid w:val="00F62584"/>
    <w:rsid w:val="00F63F47"/>
    <w:rsid w:val="00F6450E"/>
    <w:rsid w:val="00F65228"/>
    <w:rsid w:val="00F652DD"/>
    <w:rsid w:val="00F70A40"/>
    <w:rsid w:val="00F710BC"/>
    <w:rsid w:val="00F77E77"/>
    <w:rsid w:val="00F82F7A"/>
    <w:rsid w:val="00F86895"/>
    <w:rsid w:val="00F91B65"/>
    <w:rsid w:val="00F92605"/>
    <w:rsid w:val="00F92704"/>
    <w:rsid w:val="00F968D5"/>
    <w:rsid w:val="00FA3C13"/>
    <w:rsid w:val="00FA3ED4"/>
    <w:rsid w:val="00FA52E0"/>
    <w:rsid w:val="00FA68A3"/>
    <w:rsid w:val="00FB0049"/>
    <w:rsid w:val="00FB03D6"/>
    <w:rsid w:val="00FB1885"/>
    <w:rsid w:val="00FB193A"/>
    <w:rsid w:val="00FB1EC7"/>
    <w:rsid w:val="00FB2CDB"/>
    <w:rsid w:val="00FB5CAA"/>
    <w:rsid w:val="00FB66A3"/>
    <w:rsid w:val="00FC1599"/>
    <w:rsid w:val="00FC2622"/>
    <w:rsid w:val="00FC2A67"/>
    <w:rsid w:val="00FC3979"/>
    <w:rsid w:val="00FC5637"/>
    <w:rsid w:val="00FC6088"/>
    <w:rsid w:val="00FD2B6B"/>
    <w:rsid w:val="00FD354D"/>
    <w:rsid w:val="00FD5B16"/>
    <w:rsid w:val="00FD677B"/>
    <w:rsid w:val="00FD76B4"/>
    <w:rsid w:val="00FE29F8"/>
    <w:rsid w:val="00FE7BC9"/>
    <w:rsid w:val="00FF0711"/>
    <w:rsid w:val="00FF0853"/>
    <w:rsid w:val="00FF23A7"/>
    <w:rsid w:val="00FF3664"/>
    <w:rsid w:val="00FF446C"/>
    <w:rsid w:val="00FF6B34"/>
    <w:rsid w:val="00FF7517"/>
    <w:rsid w:val="00FF7D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C89CB"/>
  <w15:chartTrackingRefBased/>
  <w15:docId w15:val="{A3867265-22DB-4866-B207-116583621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028CD"/>
    <w:pPr>
      <w:spacing w:after="0" w:line="240" w:lineRule="auto"/>
      <w:jc w:val="both"/>
    </w:pPr>
    <w:rPr>
      <w:rFonts w:ascii="Calibri" w:eastAsia="Calibri" w:hAnsi="Calibri" w:cs="Times New Roman"/>
    </w:rPr>
  </w:style>
  <w:style w:type="paragraph" w:styleId="Antrat1">
    <w:name w:val="heading 1"/>
    <w:basedOn w:val="prastasis"/>
    <w:next w:val="prastasis"/>
    <w:link w:val="Antrat1Diagrama"/>
    <w:qFormat/>
    <w:rsid w:val="007923ED"/>
    <w:pPr>
      <w:keepNext/>
      <w:tabs>
        <w:tab w:val="right" w:leader="dot" w:pos="9639"/>
      </w:tabs>
      <w:jc w:val="center"/>
      <w:outlineLvl w:val="0"/>
    </w:pPr>
    <w:rPr>
      <w:rFonts w:asciiTheme="minorHAnsi" w:eastAsiaTheme="majorEastAsia" w:hAnsiTheme="minorHAnsi" w:cstheme="minorHAnsi"/>
      <w:b/>
      <w:color w:val="323E4F" w:themeColor="text2" w:themeShade="BF"/>
      <w:szCs w:val="32"/>
    </w:rPr>
  </w:style>
  <w:style w:type="paragraph" w:styleId="Antrat2">
    <w:name w:val="heading 2"/>
    <w:basedOn w:val="prastasis"/>
    <w:next w:val="prastasis"/>
    <w:link w:val="Antrat2Diagrama"/>
    <w:qFormat/>
    <w:rsid w:val="000028CD"/>
    <w:pPr>
      <w:keepNext/>
      <w:jc w:val="center"/>
      <w:outlineLvl w:val="1"/>
    </w:pPr>
    <w:rPr>
      <w:rFonts w:asciiTheme="minorHAnsi" w:eastAsia="Times New Roman" w:hAnsiTheme="minorHAnsi"/>
      <w:b/>
      <w:bCs/>
      <w:iCs/>
      <w:szCs w:val="24"/>
      <w:lang w:eastAsia="lt-LT"/>
    </w:rPr>
  </w:style>
  <w:style w:type="paragraph" w:styleId="Antrat3">
    <w:name w:val="heading 3"/>
    <w:basedOn w:val="prastasis"/>
    <w:next w:val="prastasis"/>
    <w:link w:val="Antrat3Diagrama"/>
    <w:uiPriority w:val="9"/>
    <w:unhideWhenUsed/>
    <w:qFormat/>
    <w:rsid w:val="00963B91"/>
    <w:pPr>
      <w:keepNext/>
      <w:keepLines/>
      <w:tabs>
        <w:tab w:val="left" w:pos="567"/>
      </w:tabs>
      <w:ind w:firstLine="709"/>
      <w:outlineLvl w:val="2"/>
    </w:pPr>
    <w:rPr>
      <w:rFonts w:asciiTheme="minorHAnsi" w:eastAsiaTheme="majorEastAsia" w:hAnsiTheme="minorHAnsi" w:cstheme="majorBidi"/>
      <w:bCs/>
      <w:i/>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923ED"/>
    <w:rPr>
      <w:rFonts w:eastAsiaTheme="majorEastAsia" w:cstheme="minorHAnsi"/>
      <w:b/>
      <w:color w:val="323E4F" w:themeColor="text2" w:themeShade="BF"/>
      <w:szCs w:val="32"/>
    </w:rPr>
  </w:style>
  <w:style w:type="character" w:customStyle="1" w:styleId="Antrat2Diagrama">
    <w:name w:val="Antraštė 2 Diagrama"/>
    <w:basedOn w:val="Numatytasispastraiposriftas"/>
    <w:link w:val="Antrat2"/>
    <w:rsid w:val="000028CD"/>
    <w:rPr>
      <w:rFonts w:eastAsia="Times New Roman" w:cs="Times New Roman"/>
      <w:b/>
      <w:bCs/>
      <w:iCs/>
      <w:szCs w:val="24"/>
      <w:lang w:eastAsia="lt-LT"/>
    </w:rPr>
  </w:style>
  <w:style w:type="character" w:customStyle="1" w:styleId="Antrat3Diagrama">
    <w:name w:val="Antraštė 3 Diagrama"/>
    <w:basedOn w:val="Numatytasispastraiposriftas"/>
    <w:link w:val="Antrat3"/>
    <w:uiPriority w:val="9"/>
    <w:rsid w:val="00963B91"/>
    <w:rPr>
      <w:rFonts w:eastAsiaTheme="majorEastAsia" w:cstheme="majorBidi"/>
      <w:bCs/>
      <w:i/>
    </w:rPr>
  </w:style>
  <w:style w:type="character" w:styleId="Hipersaitas">
    <w:name w:val="Hyperlink"/>
    <w:uiPriority w:val="99"/>
    <w:unhideWhenUsed/>
    <w:rsid w:val="000028CD"/>
    <w:rPr>
      <w:color w:val="0000FF"/>
      <w:u w:val="single"/>
    </w:rPr>
  </w:style>
  <w:style w:type="paragraph" w:customStyle="1" w:styleId="c41dispositifintroduction">
    <w:name w:val="c41dispositifintroduction"/>
    <w:basedOn w:val="prastasis"/>
    <w:rsid w:val="000028CD"/>
    <w:pPr>
      <w:spacing w:before="100" w:beforeAutospacing="1" w:after="100" w:afterAutospacing="1"/>
      <w:ind w:firstLine="720"/>
      <w:jc w:val="left"/>
    </w:pPr>
    <w:rPr>
      <w:rFonts w:ascii="Times New Roman" w:eastAsia="Batang" w:hAnsi="Times New Roman"/>
      <w:sz w:val="24"/>
      <w:szCs w:val="24"/>
      <w:lang w:eastAsia="ko-KR" w:bidi="he-IL"/>
    </w:rPr>
  </w:style>
  <w:style w:type="paragraph" w:customStyle="1" w:styleId="NoSpacing1">
    <w:name w:val="No Spacing1"/>
    <w:link w:val="NoSpacingChar"/>
    <w:uiPriority w:val="99"/>
    <w:rsid w:val="000028C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0028CD"/>
    <w:rPr>
      <w:rFonts w:ascii="Calibri" w:eastAsia="Times New Roman" w:hAnsi="Calibri" w:cs="Times New Roman"/>
    </w:rPr>
  </w:style>
  <w:style w:type="paragraph" w:styleId="Antrats">
    <w:name w:val="header"/>
    <w:basedOn w:val="prastasis"/>
    <w:link w:val="AntratsDiagrama"/>
    <w:uiPriority w:val="99"/>
    <w:unhideWhenUsed/>
    <w:rsid w:val="000028CD"/>
    <w:pPr>
      <w:tabs>
        <w:tab w:val="center" w:pos="4819"/>
        <w:tab w:val="right" w:pos="9638"/>
      </w:tabs>
    </w:pPr>
  </w:style>
  <w:style w:type="character" w:customStyle="1" w:styleId="AntratsDiagrama">
    <w:name w:val="Antraštės Diagrama"/>
    <w:basedOn w:val="Numatytasispastraiposriftas"/>
    <w:link w:val="Antrats"/>
    <w:uiPriority w:val="99"/>
    <w:rsid w:val="000028CD"/>
    <w:rPr>
      <w:rFonts w:ascii="Calibri" w:eastAsia="Calibri" w:hAnsi="Calibri" w:cs="Times New Roman"/>
    </w:rPr>
  </w:style>
  <w:style w:type="paragraph" w:styleId="Porat">
    <w:name w:val="footer"/>
    <w:basedOn w:val="prastasis"/>
    <w:link w:val="PoratDiagrama"/>
    <w:uiPriority w:val="99"/>
    <w:unhideWhenUsed/>
    <w:rsid w:val="000028CD"/>
    <w:pPr>
      <w:tabs>
        <w:tab w:val="center" w:pos="4819"/>
        <w:tab w:val="right" w:pos="9638"/>
      </w:tabs>
    </w:pPr>
  </w:style>
  <w:style w:type="character" w:customStyle="1" w:styleId="PoratDiagrama">
    <w:name w:val="Poraštė Diagrama"/>
    <w:basedOn w:val="Numatytasispastraiposriftas"/>
    <w:link w:val="Porat"/>
    <w:uiPriority w:val="99"/>
    <w:rsid w:val="000028CD"/>
    <w:rPr>
      <w:rFonts w:ascii="Calibri" w:eastAsia="Calibri" w:hAnsi="Calibri" w:cs="Times New Roman"/>
    </w:rPr>
  </w:style>
  <w:style w:type="paragraph" w:styleId="Turinioantrat">
    <w:name w:val="TOC Heading"/>
    <w:basedOn w:val="Antrat1"/>
    <w:next w:val="prastasis"/>
    <w:uiPriority w:val="39"/>
    <w:unhideWhenUsed/>
    <w:qFormat/>
    <w:rsid w:val="000028CD"/>
    <w:pPr>
      <w:spacing w:line="259" w:lineRule="auto"/>
      <w:jc w:val="left"/>
      <w:outlineLvl w:val="9"/>
    </w:pPr>
    <w:rPr>
      <w:lang w:eastAsia="lt-LT"/>
    </w:rPr>
  </w:style>
  <w:style w:type="paragraph" w:styleId="Turinys1">
    <w:name w:val="toc 1"/>
    <w:basedOn w:val="prastasis"/>
    <w:next w:val="prastasis"/>
    <w:autoRedefine/>
    <w:uiPriority w:val="39"/>
    <w:unhideWhenUsed/>
    <w:rsid w:val="006C6208"/>
    <w:pPr>
      <w:tabs>
        <w:tab w:val="right" w:leader="dot" w:pos="9628"/>
      </w:tabs>
      <w:spacing w:after="100"/>
    </w:pPr>
    <w:rPr>
      <w:rFonts w:eastAsia="Times New Roman" w:cstheme="minorHAnsi"/>
      <w:b/>
      <w:bCs/>
      <w:iCs/>
      <w:noProof/>
      <w:color w:val="1F4E79" w:themeColor="accent1" w:themeShade="80"/>
      <w:kern w:val="32"/>
      <w:sz w:val="20"/>
      <w:lang w:eastAsia="lt-LT"/>
    </w:rPr>
  </w:style>
  <w:style w:type="paragraph" w:styleId="Turinys2">
    <w:name w:val="toc 2"/>
    <w:basedOn w:val="prastasis"/>
    <w:next w:val="prastasis"/>
    <w:autoRedefine/>
    <w:uiPriority w:val="39"/>
    <w:unhideWhenUsed/>
    <w:rsid w:val="006C6208"/>
    <w:pPr>
      <w:tabs>
        <w:tab w:val="left" w:pos="6379"/>
        <w:tab w:val="right" w:leader="dot" w:pos="9628"/>
      </w:tabs>
      <w:spacing w:after="100"/>
      <w:ind w:left="220"/>
      <w:jc w:val="center"/>
    </w:pPr>
    <w:rPr>
      <w:rFonts w:asciiTheme="minorHAnsi" w:hAnsiTheme="minorHAnsi" w:cstheme="minorHAnsi"/>
      <w:b/>
      <w:noProof/>
      <w:sz w:val="20"/>
    </w:rPr>
  </w:style>
  <w:style w:type="paragraph" w:styleId="Turinys3">
    <w:name w:val="toc 3"/>
    <w:basedOn w:val="prastasis"/>
    <w:next w:val="prastasis"/>
    <w:autoRedefine/>
    <w:uiPriority w:val="39"/>
    <w:unhideWhenUsed/>
    <w:rsid w:val="006C6208"/>
    <w:pPr>
      <w:tabs>
        <w:tab w:val="right" w:leader="dot" w:pos="9628"/>
      </w:tabs>
      <w:spacing w:after="100"/>
      <w:ind w:left="440"/>
    </w:pPr>
    <w:rPr>
      <w:rFonts w:eastAsia="Times New Roman" w:cstheme="minorHAnsi"/>
      <w:bCs/>
      <w:i/>
      <w:noProof/>
      <w:sz w:val="20"/>
      <w:shd w:val="clear" w:color="auto" w:fill="FFFFFF"/>
      <w:lang w:eastAsia="lt-LT"/>
    </w:rPr>
  </w:style>
  <w:style w:type="character" w:styleId="Perirtashipersaitas">
    <w:name w:val="FollowedHyperlink"/>
    <w:basedOn w:val="Numatytasispastraiposriftas"/>
    <w:uiPriority w:val="99"/>
    <w:semiHidden/>
    <w:unhideWhenUsed/>
    <w:rsid w:val="000028CD"/>
    <w:rPr>
      <w:color w:val="954F72" w:themeColor="followedHyperlink"/>
      <w:u w:val="single"/>
    </w:rPr>
  </w:style>
  <w:style w:type="character" w:styleId="Komentaronuoroda">
    <w:name w:val="annotation reference"/>
    <w:basedOn w:val="Numatytasispastraiposriftas"/>
    <w:uiPriority w:val="99"/>
    <w:semiHidden/>
    <w:unhideWhenUsed/>
    <w:rsid w:val="00A93883"/>
    <w:rPr>
      <w:sz w:val="16"/>
      <w:szCs w:val="16"/>
    </w:rPr>
  </w:style>
  <w:style w:type="paragraph" w:styleId="Komentarotekstas">
    <w:name w:val="annotation text"/>
    <w:basedOn w:val="prastasis"/>
    <w:link w:val="KomentarotekstasDiagrama"/>
    <w:uiPriority w:val="99"/>
    <w:semiHidden/>
    <w:unhideWhenUsed/>
    <w:rsid w:val="00A93883"/>
    <w:rPr>
      <w:sz w:val="20"/>
      <w:szCs w:val="20"/>
    </w:rPr>
  </w:style>
  <w:style w:type="character" w:customStyle="1" w:styleId="KomentarotekstasDiagrama">
    <w:name w:val="Komentaro tekstas Diagrama"/>
    <w:basedOn w:val="Numatytasispastraiposriftas"/>
    <w:link w:val="Komentarotekstas"/>
    <w:uiPriority w:val="99"/>
    <w:semiHidden/>
    <w:rsid w:val="00A93883"/>
    <w:rPr>
      <w:rFonts w:ascii="Calibri" w:eastAsia="Calibri" w:hAnsi="Calibri" w:cs="Times New Roman"/>
      <w:sz w:val="20"/>
      <w:szCs w:val="20"/>
    </w:rPr>
  </w:style>
  <w:style w:type="paragraph" w:styleId="Komentarotema">
    <w:name w:val="annotation subject"/>
    <w:basedOn w:val="Komentarotekstas"/>
    <w:next w:val="Komentarotekstas"/>
    <w:link w:val="KomentarotemaDiagrama"/>
    <w:uiPriority w:val="99"/>
    <w:semiHidden/>
    <w:unhideWhenUsed/>
    <w:rsid w:val="00A93883"/>
    <w:rPr>
      <w:b/>
      <w:bCs/>
    </w:rPr>
  </w:style>
  <w:style w:type="character" w:customStyle="1" w:styleId="KomentarotemaDiagrama">
    <w:name w:val="Komentaro tema Diagrama"/>
    <w:basedOn w:val="KomentarotekstasDiagrama"/>
    <w:link w:val="Komentarotema"/>
    <w:uiPriority w:val="99"/>
    <w:semiHidden/>
    <w:rsid w:val="00A93883"/>
    <w:rPr>
      <w:rFonts w:ascii="Calibri" w:eastAsia="Calibri" w:hAnsi="Calibri" w:cs="Times New Roman"/>
      <w:b/>
      <w:bCs/>
      <w:sz w:val="20"/>
      <w:szCs w:val="20"/>
    </w:rPr>
  </w:style>
  <w:style w:type="paragraph" w:styleId="Debesliotekstas">
    <w:name w:val="Balloon Text"/>
    <w:basedOn w:val="prastasis"/>
    <w:link w:val="DebesliotekstasDiagrama"/>
    <w:uiPriority w:val="99"/>
    <w:semiHidden/>
    <w:unhideWhenUsed/>
    <w:rsid w:val="00A9388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93883"/>
    <w:rPr>
      <w:rFonts w:ascii="Segoe UI" w:eastAsia="Calibri" w:hAnsi="Segoe UI" w:cs="Segoe UI"/>
      <w:sz w:val="18"/>
      <w:szCs w:val="18"/>
    </w:rPr>
  </w:style>
  <w:style w:type="paragraph" w:customStyle="1" w:styleId="c01pointnumerotealtn">
    <w:name w:val="c01pointnumerotealtn"/>
    <w:basedOn w:val="prastasis"/>
    <w:qFormat/>
    <w:rsid w:val="00C32316"/>
    <w:pPr>
      <w:spacing w:before="100" w:beforeAutospacing="1" w:after="240"/>
      <w:ind w:left="567" w:hanging="539"/>
    </w:pPr>
    <w:rPr>
      <w:rFonts w:ascii="Times New Roman" w:eastAsia="Times New Roman" w:hAnsi="Times New Roman"/>
      <w:sz w:val="24"/>
      <w:szCs w:val="24"/>
      <w:lang w:eastAsia="lt-LT"/>
    </w:rPr>
  </w:style>
  <w:style w:type="paragraph" w:styleId="Puslapioinaostekstas">
    <w:name w:val="footnote text"/>
    <w:basedOn w:val="prastasis"/>
    <w:link w:val="PuslapioinaostekstasDiagrama"/>
    <w:uiPriority w:val="99"/>
    <w:unhideWhenUsed/>
    <w:rsid w:val="009C3BF3"/>
    <w:rPr>
      <w:sz w:val="20"/>
      <w:szCs w:val="20"/>
    </w:rPr>
  </w:style>
  <w:style w:type="character" w:customStyle="1" w:styleId="PuslapioinaostekstasDiagrama">
    <w:name w:val="Puslapio išnašos tekstas Diagrama"/>
    <w:basedOn w:val="Numatytasispastraiposriftas"/>
    <w:link w:val="Puslapioinaostekstas"/>
    <w:uiPriority w:val="99"/>
    <w:rsid w:val="009C3BF3"/>
    <w:rPr>
      <w:rFonts w:ascii="Calibri" w:eastAsia="Calibri" w:hAnsi="Calibri" w:cs="Times New Roman"/>
      <w:sz w:val="20"/>
      <w:szCs w:val="20"/>
    </w:rPr>
  </w:style>
  <w:style w:type="character" w:styleId="Puslapioinaosnuoroda">
    <w:name w:val="footnote reference"/>
    <w:basedOn w:val="Numatytasispastraiposriftas"/>
    <w:uiPriority w:val="99"/>
    <w:unhideWhenUsed/>
    <w:rsid w:val="009C3BF3"/>
    <w:rPr>
      <w:vertAlign w:val="superscript"/>
    </w:rPr>
  </w:style>
  <w:style w:type="paragraph" w:styleId="Sraopastraipa">
    <w:name w:val="List Paragraph"/>
    <w:basedOn w:val="prastasis"/>
    <w:uiPriority w:val="34"/>
    <w:qFormat/>
    <w:rsid w:val="0033208A"/>
    <w:pPr>
      <w:ind w:left="720"/>
      <w:contextualSpacing/>
    </w:pPr>
  </w:style>
  <w:style w:type="character" w:customStyle="1" w:styleId="UnresolvedMention1">
    <w:name w:val="Unresolved Mention1"/>
    <w:basedOn w:val="Numatytasispastraiposriftas"/>
    <w:uiPriority w:val="99"/>
    <w:semiHidden/>
    <w:unhideWhenUsed/>
    <w:rsid w:val="00150238"/>
    <w:rPr>
      <w:color w:val="605E5C"/>
      <w:shd w:val="clear" w:color="auto" w:fill="E1DFDD"/>
    </w:rPr>
  </w:style>
  <w:style w:type="character" w:customStyle="1" w:styleId="UnresolvedMention2">
    <w:name w:val="Unresolved Mention2"/>
    <w:basedOn w:val="Numatytasispastraiposriftas"/>
    <w:uiPriority w:val="99"/>
    <w:semiHidden/>
    <w:unhideWhenUsed/>
    <w:rsid w:val="009666C6"/>
    <w:rPr>
      <w:color w:val="605E5C"/>
      <w:shd w:val="clear" w:color="auto" w:fill="E1DFDD"/>
    </w:rPr>
  </w:style>
  <w:style w:type="character" w:customStyle="1" w:styleId="UnresolvedMention3">
    <w:name w:val="Unresolved Mention3"/>
    <w:basedOn w:val="Numatytasispastraiposriftas"/>
    <w:uiPriority w:val="99"/>
    <w:semiHidden/>
    <w:unhideWhenUsed/>
    <w:rsid w:val="00E67E0C"/>
    <w:rPr>
      <w:color w:val="605E5C"/>
      <w:shd w:val="clear" w:color="auto" w:fill="E1DFDD"/>
    </w:rPr>
  </w:style>
  <w:style w:type="character" w:customStyle="1" w:styleId="Neapdorotaspaminjimas1">
    <w:name w:val="Neapdorotas paminėjimas1"/>
    <w:basedOn w:val="Numatytasispastraiposriftas"/>
    <w:uiPriority w:val="99"/>
    <w:semiHidden/>
    <w:unhideWhenUsed/>
    <w:rsid w:val="0004150B"/>
    <w:rPr>
      <w:color w:val="605E5C"/>
      <w:shd w:val="clear" w:color="auto" w:fill="E1DFDD"/>
    </w:rPr>
  </w:style>
  <w:style w:type="paragraph" w:styleId="Turinys4">
    <w:name w:val="toc 4"/>
    <w:basedOn w:val="prastasis"/>
    <w:next w:val="prastasis"/>
    <w:autoRedefine/>
    <w:uiPriority w:val="39"/>
    <w:unhideWhenUsed/>
    <w:rsid w:val="00AD7572"/>
    <w:pPr>
      <w:ind w:left="660"/>
    </w:pPr>
  </w:style>
  <w:style w:type="paragraph" w:styleId="Turinys5">
    <w:name w:val="toc 5"/>
    <w:basedOn w:val="prastasis"/>
    <w:next w:val="prastasis"/>
    <w:autoRedefine/>
    <w:uiPriority w:val="39"/>
    <w:unhideWhenUsed/>
    <w:rsid w:val="00AD7572"/>
    <w:pPr>
      <w:ind w:left="880"/>
    </w:pPr>
  </w:style>
  <w:style w:type="paragraph" w:styleId="Turinys6">
    <w:name w:val="toc 6"/>
    <w:basedOn w:val="prastasis"/>
    <w:next w:val="prastasis"/>
    <w:autoRedefine/>
    <w:uiPriority w:val="39"/>
    <w:unhideWhenUsed/>
    <w:rsid w:val="00AD7572"/>
    <w:pPr>
      <w:ind w:left="1100"/>
    </w:pPr>
  </w:style>
  <w:style w:type="paragraph" w:styleId="Turinys7">
    <w:name w:val="toc 7"/>
    <w:basedOn w:val="prastasis"/>
    <w:next w:val="prastasis"/>
    <w:autoRedefine/>
    <w:uiPriority w:val="39"/>
    <w:unhideWhenUsed/>
    <w:rsid w:val="00AD7572"/>
    <w:pPr>
      <w:ind w:left="1320"/>
    </w:pPr>
  </w:style>
  <w:style w:type="paragraph" w:styleId="Turinys8">
    <w:name w:val="toc 8"/>
    <w:basedOn w:val="prastasis"/>
    <w:next w:val="prastasis"/>
    <w:autoRedefine/>
    <w:uiPriority w:val="39"/>
    <w:unhideWhenUsed/>
    <w:rsid w:val="00AD7572"/>
    <w:pPr>
      <w:ind w:left="1540"/>
    </w:pPr>
  </w:style>
  <w:style w:type="paragraph" w:styleId="Turinys9">
    <w:name w:val="toc 9"/>
    <w:basedOn w:val="prastasis"/>
    <w:next w:val="prastasis"/>
    <w:autoRedefine/>
    <w:uiPriority w:val="39"/>
    <w:unhideWhenUsed/>
    <w:rsid w:val="00AD7572"/>
    <w:pPr>
      <w:ind w:left="1760"/>
    </w:pPr>
  </w:style>
  <w:style w:type="paragraph" w:customStyle="1" w:styleId="c02alineaalta">
    <w:name w:val="c02alineaalta"/>
    <w:basedOn w:val="prastasis"/>
    <w:rsid w:val="00672231"/>
    <w:pPr>
      <w:spacing w:before="100" w:beforeAutospacing="1" w:after="100" w:afterAutospacing="1"/>
      <w:jc w:val="left"/>
    </w:pPr>
    <w:rPr>
      <w:rFonts w:ascii="Times New Roman" w:eastAsia="Times New Roman" w:hAnsi="Times New Roman"/>
      <w:sz w:val="24"/>
      <w:szCs w:val="24"/>
      <w:lang w:eastAsia="lt-LT"/>
    </w:rPr>
  </w:style>
  <w:style w:type="paragraph" w:customStyle="1" w:styleId="c30dispositifalinea">
    <w:name w:val="c30dispositifalinea"/>
    <w:basedOn w:val="prastasis"/>
    <w:rsid w:val="00194FF1"/>
    <w:pPr>
      <w:spacing w:before="100" w:beforeAutospacing="1" w:after="100" w:afterAutospacing="1"/>
      <w:jc w:val="left"/>
    </w:pPr>
    <w:rPr>
      <w:rFonts w:ascii="Times New Roman" w:eastAsia="Times New Roman" w:hAnsi="Times New Roman"/>
      <w:sz w:val="24"/>
      <w:szCs w:val="24"/>
      <w:lang w:eastAsia="lt-LT"/>
    </w:rPr>
  </w:style>
  <w:style w:type="character" w:customStyle="1" w:styleId="UnresolvedMention4">
    <w:name w:val="Unresolved Mention4"/>
    <w:basedOn w:val="Numatytasispastraiposriftas"/>
    <w:uiPriority w:val="99"/>
    <w:rsid w:val="00165639"/>
    <w:rPr>
      <w:color w:val="605E5C"/>
      <w:shd w:val="clear" w:color="auto" w:fill="E1DFDD"/>
    </w:rPr>
  </w:style>
  <w:style w:type="paragraph" w:customStyle="1" w:styleId="c19centre">
    <w:name w:val="c19centre"/>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71indicateur">
    <w:name w:val="c71indicateur"/>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3tiretlong">
    <w:name w:val="c03tiretlong"/>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75debutdesmotifs">
    <w:name w:val="c75debutdesmotifs"/>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4titre1">
    <w:name w:val="c04titre1"/>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5titre2">
    <w:name w:val="c05titre2"/>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9marge0avecretrait">
    <w:name w:val="c09marge0avecretrait"/>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8dispositif">
    <w:name w:val="c08dispositif"/>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Default">
    <w:name w:val="Default"/>
    <w:rsid w:val="00FB1EC7"/>
    <w:pPr>
      <w:autoSpaceDE w:val="0"/>
      <w:autoSpaceDN w:val="0"/>
      <w:adjustRightInd w:val="0"/>
      <w:spacing w:after="0" w:line="240" w:lineRule="auto"/>
    </w:pPr>
    <w:rPr>
      <w:rFonts w:ascii="Arial" w:hAnsi="Arial" w:cs="Arial"/>
      <w:color w:val="000000"/>
      <w:sz w:val="24"/>
      <w:szCs w:val="24"/>
      <w:lang w:val="en-US"/>
    </w:rPr>
  </w:style>
  <w:style w:type="paragraph" w:customStyle="1" w:styleId="Pagrindinis">
    <w:name w:val="Pagrindinis"/>
    <w:basedOn w:val="Sraopastraipa"/>
    <w:link w:val="PagrindinisChar"/>
    <w:qFormat/>
    <w:rsid w:val="007566FC"/>
    <w:pPr>
      <w:numPr>
        <w:numId w:val="15"/>
      </w:numPr>
      <w:tabs>
        <w:tab w:val="left" w:pos="360"/>
        <w:tab w:val="left" w:pos="1080"/>
      </w:tabs>
      <w:ind w:hanging="360"/>
    </w:pPr>
    <w:rPr>
      <w:rFonts w:ascii="Times New Roman" w:eastAsiaTheme="minorHAnsi" w:hAnsi="Times New Roman"/>
      <w:b/>
      <w:color w:val="000000" w:themeColor="text1"/>
      <w:sz w:val="24"/>
      <w:szCs w:val="24"/>
      <w:shd w:val="clear" w:color="auto" w:fill="FFFFFF"/>
      <w:lang w:val="en-GB"/>
    </w:rPr>
  </w:style>
  <w:style w:type="character" w:customStyle="1" w:styleId="PagrindinisChar">
    <w:name w:val="Pagrindinis Char"/>
    <w:basedOn w:val="Numatytasispastraiposriftas"/>
    <w:link w:val="Pagrindinis"/>
    <w:rsid w:val="007566FC"/>
    <w:rPr>
      <w:rFonts w:ascii="Times New Roman" w:hAnsi="Times New Roman" w:cs="Times New Roman"/>
      <w:b/>
      <w:color w:val="000000" w:themeColor="text1"/>
      <w:sz w:val="24"/>
      <w:szCs w:val="24"/>
      <w:lang w:val="en-GB"/>
    </w:rPr>
  </w:style>
  <w:style w:type="paragraph" w:styleId="Betarp">
    <w:name w:val="No Spacing"/>
    <w:uiPriority w:val="1"/>
    <w:qFormat/>
    <w:rsid w:val="007566FC"/>
    <w:pPr>
      <w:spacing w:after="0" w:line="240" w:lineRule="auto"/>
    </w:pPr>
    <w:rPr>
      <w:rFonts w:ascii="Times New Roman" w:hAnsi="Times New Roman"/>
      <w:color w:val="000000" w:themeColor="text1"/>
      <w:sz w:val="24"/>
      <w:lang w:val="en-US"/>
    </w:rPr>
  </w:style>
  <w:style w:type="character" w:customStyle="1" w:styleId="normaltextrun">
    <w:name w:val="normaltextrun"/>
    <w:basedOn w:val="Numatytasispastraiposriftas"/>
    <w:rsid w:val="007566FC"/>
  </w:style>
  <w:style w:type="character" w:customStyle="1" w:styleId="eop">
    <w:name w:val="eop"/>
    <w:basedOn w:val="Numatytasispastraiposriftas"/>
    <w:rsid w:val="007566FC"/>
  </w:style>
  <w:style w:type="character" w:customStyle="1" w:styleId="coj-italic">
    <w:name w:val="coj-italic"/>
    <w:basedOn w:val="Numatytasispastraiposriftas"/>
    <w:rsid w:val="007566FC"/>
  </w:style>
  <w:style w:type="paragraph" w:customStyle="1" w:styleId="coj-normal">
    <w:name w:val="coj-normal"/>
    <w:basedOn w:val="prastasis"/>
    <w:rsid w:val="007566FC"/>
    <w:pPr>
      <w:spacing w:before="100" w:beforeAutospacing="1" w:after="100" w:afterAutospacing="1"/>
      <w:jc w:val="left"/>
    </w:pPr>
    <w:rPr>
      <w:rFonts w:ascii="Times New Roman" w:eastAsia="Times New Roman" w:hAnsi="Times New Roman"/>
      <w:sz w:val="24"/>
      <w:szCs w:val="24"/>
      <w:lang w:val="en-US"/>
    </w:rPr>
  </w:style>
  <w:style w:type="paragraph" w:customStyle="1" w:styleId="coj-count">
    <w:name w:val="coj-count"/>
    <w:basedOn w:val="prastasis"/>
    <w:rsid w:val="007566FC"/>
    <w:pPr>
      <w:spacing w:before="100" w:beforeAutospacing="1" w:after="100" w:afterAutospacing="1"/>
      <w:jc w:val="left"/>
    </w:pPr>
    <w:rPr>
      <w:rFonts w:ascii="Times New Roman" w:eastAsia="Times New Roman" w:hAnsi="Times New Roman"/>
      <w:sz w:val="24"/>
      <w:szCs w:val="24"/>
      <w:lang w:val="en-US"/>
    </w:rPr>
  </w:style>
  <w:style w:type="character" w:customStyle="1" w:styleId="coj-bold">
    <w:name w:val="coj-bold"/>
    <w:basedOn w:val="Numatytasispastraiposriftas"/>
    <w:rsid w:val="007566FC"/>
  </w:style>
  <w:style w:type="paragraph" w:customStyle="1" w:styleId="paragraph">
    <w:name w:val="paragraph"/>
    <w:basedOn w:val="prastasis"/>
    <w:rsid w:val="007566FC"/>
    <w:pPr>
      <w:spacing w:before="100" w:beforeAutospacing="1" w:after="100" w:afterAutospacing="1"/>
      <w:jc w:val="left"/>
    </w:pPr>
    <w:rPr>
      <w:rFonts w:ascii="Times New Roman" w:eastAsia="Times New Roman" w:hAnsi="Times New Roman"/>
      <w:sz w:val="24"/>
      <w:szCs w:val="24"/>
      <w:lang w:val="en-US"/>
    </w:rPr>
  </w:style>
  <w:style w:type="paragraph" w:customStyle="1" w:styleId="c73alineacentregras">
    <w:name w:val="c73alineacentregras"/>
    <w:basedOn w:val="prastasis"/>
    <w:rsid w:val="00C757B5"/>
    <w:pPr>
      <w:spacing w:before="100" w:beforeAutospacing="1" w:after="100" w:afterAutospacing="1"/>
      <w:jc w:val="left"/>
    </w:pPr>
    <w:rPr>
      <w:rFonts w:ascii="Times New Roman" w:eastAsia="Times New Roman" w:hAnsi="Times New Roman"/>
      <w:sz w:val="24"/>
      <w:szCs w:val="24"/>
      <w:lang w:eastAsia="lt-LT"/>
    </w:rPr>
  </w:style>
  <w:style w:type="paragraph" w:customStyle="1" w:styleId="c40titregras">
    <w:name w:val="c40titregras"/>
    <w:basedOn w:val="prastasis"/>
    <w:rsid w:val="00C757B5"/>
    <w:pPr>
      <w:spacing w:before="100" w:beforeAutospacing="1" w:after="100" w:afterAutospacing="1"/>
      <w:jc w:val="left"/>
    </w:pPr>
    <w:rPr>
      <w:rFonts w:ascii="Times New Roman" w:eastAsia="Times New Roman" w:hAnsi="Times New Roman"/>
      <w:sz w:val="24"/>
      <w:szCs w:val="24"/>
      <w:lang w:eastAsia="lt-LT"/>
    </w:rPr>
  </w:style>
  <w:style w:type="paragraph" w:customStyle="1" w:styleId="c35motclenumerote">
    <w:name w:val="c35motclenumerote"/>
    <w:basedOn w:val="prastasis"/>
    <w:rsid w:val="00C757B5"/>
    <w:pPr>
      <w:spacing w:before="100" w:beforeAutospacing="1" w:after="100" w:afterAutospacing="1"/>
      <w:jc w:val="left"/>
    </w:pPr>
    <w:rPr>
      <w:rFonts w:ascii="Times New Roman" w:eastAsia="Times New Roman" w:hAnsi="Times New Roman"/>
      <w:sz w:val="24"/>
      <w:szCs w:val="24"/>
      <w:lang w:eastAsia="lt-LT"/>
    </w:rPr>
  </w:style>
  <w:style w:type="paragraph" w:customStyle="1" w:styleId="c37motclefinretrait1">
    <w:name w:val="c37motclefinretrait1"/>
    <w:basedOn w:val="prastasis"/>
    <w:rsid w:val="00C757B5"/>
    <w:pPr>
      <w:spacing w:before="100" w:beforeAutospacing="1" w:after="100" w:afterAutospacing="1"/>
      <w:jc w:val="left"/>
    </w:pPr>
    <w:rPr>
      <w:rFonts w:ascii="Times New Roman" w:eastAsia="Times New Roman" w:hAnsi="Times New Roman"/>
      <w:sz w:val="24"/>
      <w:szCs w:val="24"/>
      <w:lang w:eastAsia="lt-LT"/>
    </w:rPr>
  </w:style>
  <w:style w:type="paragraph" w:customStyle="1" w:styleId="c36renvoi2">
    <w:name w:val="c36renvoi2"/>
    <w:basedOn w:val="prastasis"/>
    <w:rsid w:val="00C757B5"/>
    <w:pPr>
      <w:spacing w:before="100" w:beforeAutospacing="1" w:after="100" w:afterAutospacing="1"/>
      <w:jc w:val="left"/>
    </w:pPr>
    <w:rPr>
      <w:rFonts w:ascii="Times New Roman" w:eastAsia="Times New Roman" w:hAnsi="Times New Roman"/>
      <w:sz w:val="24"/>
      <w:szCs w:val="24"/>
      <w:lang w:eastAsia="lt-LT"/>
    </w:rPr>
  </w:style>
  <w:style w:type="paragraph" w:customStyle="1" w:styleId="c72alineadroite">
    <w:name w:val="c72alineadroite"/>
    <w:basedOn w:val="prastasis"/>
    <w:rsid w:val="005854A3"/>
    <w:pPr>
      <w:spacing w:before="100" w:beforeAutospacing="1" w:after="100" w:afterAutospacing="1"/>
      <w:jc w:val="left"/>
    </w:pPr>
    <w:rPr>
      <w:rFonts w:ascii="Times New Roman" w:eastAsia="Times New Roman" w:hAnsi="Times New Roman"/>
      <w:sz w:val="24"/>
      <w:szCs w:val="24"/>
      <w:lang w:eastAsia="lt-LT"/>
    </w:rPr>
  </w:style>
  <w:style w:type="character" w:styleId="Neapdorotaspaminjimas">
    <w:name w:val="Unresolved Mention"/>
    <w:basedOn w:val="Numatytasispastraiposriftas"/>
    <w:uiPriority w:val="99"/>
    <w:semiHidden/>
    <w:unhideWhenUsed/>
    <w:rsid w:val="00DC60D8"/>
    <w:rPr>
      <w:color w:val="605E5C"/>
      <w:shd w:val="clear" w:color="auto" w:fill="E1DFDD"/>
    </w:rPr>
  </w:style>
  <w:style w:type="character" w:customStyle="1" w:styleId="apple-converted-space">
    <w:name w:val="apple-converted-space"/>
    <w:basedOn w:val="Numatytasispastraiposriftas"/>
    <w:rsid w:val="006C6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7606">
      <w:bodyDiv w:val="1"/>
      <w:marLeft w:val="0"/>
      <w:marRight w:val="0"/>
      <w:marTop w:val="0"/>
      <w:marBottom w:val="0"/>
      <w:divBdr>
        <w:top w:val="none" w:sz="0" w:space="0" w:color="auto"/>
        <w:left w:val="none" w:sz="0" w:space="0" w:color="auto"/>
        <w:bottom w:val="none" w:sz="0" w:space="0" w:color="auto"/>
        <w:right w:val="none" w:sz="0" w:space="0" w:color="auto"/>
      </w:divBdr>
      <w:divsChild>
        <w:div w:id="461579997">
          <w:marLeft w:val="0"/>
          <w:marRight w:val="0"/>
          <w:marTop w:val="0"/>
          <w:marBottom w:val="0"/>
          <w:divBdr>
            <w:top w:val="none" w:sz="0" w:space="0" w:color="auto"/>
            <w:left w:val="none" w:sz="0" w:space="0" w:color="auto"/>
            <w:bottom w:val="none" w:sz="0" w:space="0" w:color="auto"/>
            <w:right w:val="none" w:sz="0" w:space="0" w:color="auto"/>
          </w:divBdr>
          <w:divsChild>
            <w:div w:id="58210719">
              <w:marLeft w:val="0"/>
              <w:marRight w:val="0"/>
              <w:marTop w:val="0"/>
              <w:marBottom w:val="0"/>
              <w:divBdr>
                <w:top w:val="none" w:sz="0" w:space="0" w:color="auto"/>
                <w:left w:val="none" w:sz="0" w:space="0" w:color="auto"/>
                <w:bottom w:val="none" w:sz="0" w:space="0" w:color="auto"/>
                <w:right w:val="none" w:sz="0" w:space="0" w:color="auto"/>
              </w:divBdr>
              <w:divsChild>
                <w:div w:id="1233849058">
                  <w:marLeft w:val="0"/>
                  <w:marRight w:val="0"/>
                  <w:marTop w:val="0"/>
                  <w:marBottom w:val="0"/>
                  <w:divBdr>
                    <w:top w:val="none" w:sz="0" w:space="0" w:color="auto"/>
                    <w:left w:val="none" w:sz="0" w:space="0" w:color="auto"/>
                    <w:bottom w:val="none" w:sz="0" w:space="0" w:color="auto"/>
                    <w:right w:val="none" w:sz="0" w:space="0" w:color="auto"/>
                  </w:divBdr>
                  <w:divsChild>
                    <w:div w:id="7405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84627">
      <w:bodyDiv w:val="1"/>
      <w:marLeft w:val="0"/>
      <w:marRight w:val="0"/>
      <w:marTop w:val="0"/>
      <w:marBottom w:val="0"/>
      <w:divBdr>
        <w:top w:val="none" w:sz="0" w:space="0" w:color="auto"/>
        <w:left w:val="none" w:sz="0" w:space="0" w:color="auto"/>
        <w:bottom w:val="none" w:sz="0" w:space="0" w:color="auto"/>
        <w:right w:val="none" w:sz="0" w:space="0" w:color="auto"/>
      </w:divBdr>
      <w:divsChild>
        <w:div w:id="525144919">
          <w:marLeft w:val="0"/>
          <w:marRight w:val="0"/>
          <w:marTop w:val="0"/>
          <w:marBottom w:val="0"/>
          <w:divBdr>
            <w:top w:val="none" w:sz="0" w:space="0" w:color="auto"/>
            <w:left w:val="none" w:sz="0" w:space="0" w:color="auto"/>
            <w:bottom w:val="none" w:sz="0" w:space="0" w:color="auto"/>
            <w:right w:val="none" w:sz="0" w:space="0" w:color="auto"/>
          </w:divBdr>
          <w:divsChild>
            <w:div w:id="1139155888">
              <w:marLeft w:val="0"/>
              <w:marRight w:val="0"/>
              <w:marTop w:val="0"/>
              <w:marBottom w:val="0"/>
              <w:divBdr>
                <w:top w:val="none" w:sz="0" w:space="0" w:color="auto"/>
                <w:left w:val="none" w:sz="0" w:space="0" w:color="auto"/>
                <w:bottom w:val="none" w:sz="0" w:space="0" w:color="auto"/>
                <w:right w:val="none" w:sz="0" w:space="0" w:color="auto"/>
              </w:divBdr>
              <w:divsChild>
                <w:div w:id="325405987">
                  <w:marLeft w:val="0"/>
                  <w:marRight w:val="0"/>
                  <w:marTop w:val="0"/>
                  <w:marBottom w:val="0"/>
                  <w:divBdr>
                    <w:top w:val="none" w:sz="0" w:space="0" w:color="auto"/>
                    <w:left w:val="none" w:sz="0" w:space="0" w:color="auto"/>
                    <w:bottom w:val="none" w:sz="0" w:space="0" w:color="auto"/>
                    <w:right w:val="none" w:sz="0" w:space="0" w:color="auto"/>
                  </w:divBdr>
                  <w:divsChild>
                    <w:div w:id="7864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83752">
      <w:bodyDiv w:val="1"/>
      <w:marLeft w:val="0"/>
      <w:marRight w:val="0"/>
      <w:marTop w:val="0"/>
      <w:marBottom w:val="0"/>
      <w:divBdr>
        <w:top w:val="none" w:sz="0" w:space="0" w:color="auto"/>
        <w:left w:val="none" w:sz="0" w:space="0" w:color="auto"/>
        <w:bottom w:val="none" w:sz="0" w:space="0" w:color="auto"/>
        <w:right w:val="none" w:sz="0" w:space="0" w:color="auto"/>
      </w:divBdr>
    </w:div>
    <w:div w:id="214122427">
      <w:bodyDiv w:val="1"/>
      <w:marLeft w:val="0"/>
      <w:marRight w:val="0"/>
      <w:marTop w:val="0"/>
      <w:marBottom w:val="0"/>
      <w:divBdr>
        <w:top w:val="none" w:sz="0" w:space="0" w:color="auto"/>
        <w:left w:val="none" w:sz="0" w:space="0" w:color="auto"/>
        <w:bottom w:val="none" w:sz="0" w:space="0" w:color="auto"/>
        <w:right w:val="none" w:sz="0" w:space="0" w:color="auto"/>
      </w:divBdr>
    </w:div>
    <w:div w:id="236208917">
      <w:bodyDiv w:val="1"/>
      <w:marLeft w:val="0"/>
      <w:marRight w:val="0"/>
      <w:marTop w:val="0"/>
      <w:marBottom w:val="0"/>
      <w:divBdr>
        <w:top w:val="none" w:sz="0" w:space="0" w:color="auto"/>
        <w:left w:val="none" w:sz="0" w:space="0" w:color="auto"/>
        <w:bottom w:val="none" w:sz="0" w:space="0" w:color="auto"/>
        <w:right w:val="none" w:sz="0" w:space="0" w:color="auto"/>
      </w:divBdr>
    </w:div>
    <w:div w:id="287931823">
      <w:bodyDiv w:val="1"/>
      <w:marLeft w:val="0"/>
      <w:marRight w:val="0"/>
      <w:marTop w:val="0"/>
      <w:marBottom w:val="0"/>
      <w:divBdr>
        <w:top w:val="none" w:sz="0" w:space="0" w:color="auto"/>
        <w:left w:val="none" w:sz="0" w:space="0" w:color="auto"/>
        <w:bottom w:val="none" w:sz="0" w:space="0" w:color="auto"/>
        <w:right w:val="none" w:sz="0" w:space="0" w:color="auto"/>
      </w:divBdr>
    </w:div>
    <w:div w:id="294801068">
      <w:bodyDiv w:val="1"/>
      <w:marLeft w:val="0"/>
      <w:marRight w:val="0"/>
      <w:marTop w:val="0"/>
      <w:marBottom w:val="0"/>
      <w:divBdr>
        <w:top w:val="none" w:sz="0" w:space="0" w:color="auto"/>
        <w:left w:val="none" w:sz="0" w:space="0" w:color="auto"/>
        <w:bottom w:val="none" w:sz="0" w:space="0" w:color="auto"/>
        <w:right w:val="none" w:sz="0" w:space="0" w:color="auto"/>
      </w:divBdr>
    </w:div>
    <w:div w:id="397486390">
      <w:bodyDiv w:val="1"/>
      <w:marLeft w:val="0"/>
      <w:marRight w:val="0"/>
      <w:marTop w:val="0"/>
      <w:marBottom w:val="0"/>
      <w:divBdr>
        <w:top w:val="none" w:sz="0" w:space="0" w:color="auto"/>
        <w:left w:val="none" w:sz="0" w:space="0" w:color="auto"/>
        <w:bottom w:val="none" w:sz="0" w:space="0" w:color="auto"/>
        <w:right w:val="none" w:sz="0" w:space="0" w:color="auto"/>
      </w:divBdr>
    </w:div>
    <w:div w:id="487134859">
      <w:bodyDiv w:val="1"/>
      <w:marLeft w:val="0"/>
      <w:marRight w:val="0"/>
      <w:marTop w:val="0"/>
      <w:marBottom w:val="0"/>
      <w:divBdr>
        <w:top w:val="none" w:sz="0" w:space="0" w:color="auto"/>
        <w:left w:val="none" w:sz="0" w:space="0" w:color="auto"/>
        <w:bottom w:val="none" w:sz="0" w:space="0" w:color="auto"/>
        <w:right w:val="none" w:sz="0" w:space="0" w:color="auto"/>
      </w:divBdr>
    </w:div>
    <w:div w:id="520240898">
      <w:bodyDiv w:val="1"/>
      <w:marLeft w:val="0"/>
      <w:marRight w:val="0"/>
      <w:marTop w:val="0"/>
      <w:marBottom w:val="0"/>
      <w:divBdr>
        <w:top w:val="none" w:sz="0" w:space="0" w:color="auto"/>
        <w:left w:val="none" w:sz="0" w:space="0" w:color="auto"/>
        <w:bottom w:val="none" w:sz="0" w:space="0" w:color="auto"/>
        <w:right w:val="none" w:sz="0" w:space="0" w:color="auto"/>
      </w:divBdr>
    </w:div>
    <w:div w:id="523206630">
      <w:bodyDiv w:val="1"/>
      <w:marLeft w:val="0"/>
      <w:marRight w:val="0"/>
      <w:marTop w:val="0"/>
      <w:marBottom w:val="0"/>
      <w:divBdr>
        <w:top w:val="none" w:sz="0" w:space="0" w:color="auto"/>
        <w:left w:val="none" w:sz="0" w:space="0" w:color="auto"/>
        <w:bottom w:val="none" w:sz="0" w:space="0" w:color="auto"/>
        <w:right w:val="none" w:sz="0" w:space="0" w:color="auto"/>
      </w:divBdr>
    </w:div>
    <w:div w:id="564684489">
      <w:bodyDiv w:val="1"/>
      <w:marLeft w:val="0"/>
      <w:marRight w:val="0"/>
      <w:marTop w:val="0"/>
      <w:marBottom w:val="0"/>
      <w:divBdr>
        <w:top w:val="none" w:sz="0" w:space="0" w:color="auto"/>
        <w:left w:val="none" w:sz="0" w:space="0" w:color="auto"/>
        <w:bottom w:val="none" w:sz="0" w:space="0" w:color="auto"/>
        <w:right w:val="none" w:sz="0" w:space="0" w:color="auto"/>
      </w:divBdr>
    </w:div>
    <w:div w:id="647321137">
      <w:bodyDiv w:val="1"/>
      <w:marLeft w:val="0"/>
      <w:marRight w:val="0"/>
      <w:marTop w:val="0"/>
      <w:marBottom w:val="0"/>
      <w:divBdr>
        <w:top w:val="none" w:sz="0" w:space="0" w:color="auto"/>
        <w:left w:val="none" w:sz="0" w:space="0" w:color="auto"/>
        <w:bottom w:val="none" w:sz="0" w:space="0" w:color="auto"/>
        <w:right w:val="none" w:sz="0" w:space="0" w:color="auto"/>
      </w:divBdr>
    </w:div>
    <w:div w:id="659894173">
      <w:bodyDiv w:val="1"/>
      <w:marLeft w:val="0"/>
      <w:marRight w:val="0"/>
      <w:marTop w:val="0"/>
      <w:marBottom w:val="0"/>
      <w:divBdr>
        <w:top w:val="none" w:sz="0" w:space="0" w:color="auto"/>
        <w:left w:val="none" w:sz="0" w:space="0" w:color="auto"/>
        <w:bottom w:val="none" w:sz="0" w:space="0" w:color="auto"/>
        <w:right w:val="none" w:sz="0" w:space="0" w:color="auto"/>
      </w:divBdr>
    </w:div>
    <w:div w:id="765728824">
      <w:bodyDiv w:val="1"/>
      <w:marLeft w:val="0"/>
      <w:marRight w:val="0"/>
      <w:marTop w:val="0"/>
      <w:marBottom w:val="0"/>
      <w:divBdr>
        <w:top w:val="none" w:sz="0" w:space="0" w:color="auto"/>
        <w:left w:val="none" w:sz="0" w:space="0" w:color="auto"/>
        <w:bottom w:val="none" w:sz="0" w:space="0" w:color="auto"/>
        <w:right w:val="none" w:sz="0" w:space="0" w:color="auto"/>
      </w:divBdr>
    </w:div>
    <w:div w:id="792014338">
      <w:bodyDiv w:val="1"/>
      <w:marLeft w:val="0"/>
      <w:marRight w:val="0"/>
      <w:marTop w:val="0"/>
      <w:marBottom w:val="0"/>
      <w:divBdr>
        <w:top w:val="none" w:sz="0" w:space="0" w:color="auto"/>
        <w:left w:val="none" w:sz="0" w:space="0" w:color="auto"/>
        <w:bottom w:val="none" w:sz="0" w:space="0" w:color="auto"/>
        <w:right w:val="none" w:sz="0" w:space="0" w:color="auto"/>
      </w:divBdr>
    </w:div>
    <w:div w:id="801920379">
      <w:bodyDiv w:val="1"/>
      <w:marLeft w:val="0"/>
      <w:marRight w:val="0"/>
      <w:marTop w:val="0"/>
      <w:marBottom w:val="0"/>
      <w:divBdr>
        <w:top w:val="none" w:sz="0" w:space="0" w:color="auto"/>
        <w:left w:val="none" w:sz="0" w:space="0" w:color="auto"/>
        <w:bottom w:val="none" w:sz="0" w:space="0" w:color="auto"/>
        <w:right w:val="none" w:sz="0" w:space="0" w:color="auto"/>
      </w:divBdr>
    </w:div>
    <w:div w:id="814101611">
      <w:bodyDiv w:val="1"/>
      <w:marLeft w:val="0"/>
      <w:marRight w:val="0"/>
      <w:marTop w:val="0"/>
      <w:marBottom w:val="0"/>
      <w:divBdr>
        <w:top w:val="none" w:sz="0" w:space="0" w:color="auto"/>
        <w:left w:val="none" w:sz="0" w:space="0" w:color="auto"/>
        <w:bottom w:val="none" w:sz="0" w:space="0" w:color="auto"/>
        <w:right w:val="none" w:sz="0" w:space="0" w:color="auto"/>
      </w:divBdr>
    </w:div>
    <w:div w:id="886910749">
      <w:bodyDiv w:val="1"/>
      <w:marLeft w:val="0"/>
      <w:marRight w:val="0"/>
      <w:marTop w:val="0"/>
      <w:marBottom w:val="0"/>
      <w:divBdr>
        <w:top w:val="none" w:sz="0" w:space="0" w:color="auto"/>
        <w:left w:val="none" w:sz="0" w:space="0" w:color="auto"/>
        <w:bottom w:val="none" w:sz="0" w:space="0" w:color="auto"/>
        <w:right w:val="none" w:sz="0" w:space="0" w:color="auto"/>
      </w:divBdr>
    </w:div>
    <w:div w:id="900481758">
      <w:bodyDiv w:val="1"/>
      <w:marLeft w:val="0"/>
      <w:marRight w:val="0"/>
      <w:marTop w:val="0"/>
      <w:marBottom w:val="0"/>
      <w:divBdr>
        <w:top w:val="none" w:sz="0" w:space="0" w:color="auto"/>
        <w:left w:val="none" w:sz="0" w:space="0" w:color="auto"/>
        <w:bottom w:val="none" w:sz="0" w:space="0" w:color="auto"/>
        <w:right w:val="none" w:sz="0" w:space="0" w:color="auto"/>
      </w:divBdr>
    </w:div>
    <w:div w:id="941911367">
      <w:bodyDiv w:val="1"/>
      <w:marLeft w:val="0"/>
      <w:marRight w:val="0"/>
      <w:marTop w:val="0"/>
      <w:marBottom w:val="0"/>
      <w:divBdr>
        <w:top w:val="none" w:sz="0" w:space="0" w:color="auto"/>
        <w:left w:val="none" w:sz="0" w:space="0" w:color="auto"/>
        <w:bottom w:val="none" w:sz="0" w:space="0" w:color="auto"/>
        <w:right w:val="none" w:sz="0" w:space="0" w:color="auto"/>
      </w:divBdr>
    </w:div>
    <w:div w:id="956792430">
      <w:bodyDiv w:val="1"/>
      <w:marLeft w:val="0"/>
      <w:marRight w:val="0"/>
      <w:marTop w:val="0"/>
      <w:marBottom w:val="0"/>
      <w:divBdr>
        <w:top w:val="none" w:sz="0" w:space="0" w:color="auto"/>
        <w:left w:val="none" w:sz="0" w:space="0" w:color="auto"/>
        <w:bottom w:val="none" w:sz="0" w:space="0" w:color="auto"/>
        <w:right w:val="none" w:sz="0" w:space="0" w:color="auto"/>
      </w:divBdr>
    </w:div>
    <w:div w:id="981883181">
      <w:bodyDiv w:val="1"/>
      <w:marLeft w:val="0"/>
      <w:marRight w:val="0"/>
      <w:marTop w:val="0"/>
      <w:marBottom w:val="0"/>
      <w:divBdr>
        <w:top w:val="none" w:sz="0" w:space="0" w:color="auto"/>
        <w:left w:val="none" w:sz="0" w:space="0" w:color="auto"/>
        <w:bottom w:val="none" w:sz="0" w:space="0" w:color="auto"/>
        <w:right w:val="none" w:sz="0" w:space="0" w:color="auto"/>
      </w:divBdr>
    </w:div>
    <w:div w:id="1002705390">
      <w:bodyDiv w:val="1"/>
      <w:marLeft w:val="0"/>
      <w:marRight w:val="0"/>
      <w:marTop w:val="0"/>
      <w:marBottom w:val="0"/>
      <w:divBdr>
        <w:top w:val="none" w:sz="0" w:space="0" w:color="auto"/>
        <w:left w:val="none" w:sz="0" w:space="0" w:color="auto"/>
        <w:bottom w:val="none" w:sz="0" w:space="0" w:color="auto"/>
        <w:right w:val="none" w:sz="0" w:space="0" w:color="auto"/>
      </w:divBdr>
    </w:div>
    <w:div w:id="1025911159">
      <w:bodyDiv w:val="1"/>
      <w:marLeft w:val="0"/>
      <w:marRight w:val="0"/>
      <w:marTop w:val="0"/>
      <w:marBottom w:val="0"/>
      <w:divBdr>
        <w:top w:val="none" w:sz="0" w:space="0" w:color="auto"/>
        <w:left w:val="none" w:sz="0" w:space="0" w:color="auto"/>
        <w:bottom w:val="none" w:sz="0" w:space="0" w:color="auto"/>
        <w:right w:val="none" w:sz="0" w:space="0" w:color="auto"/>
      </w:divBdr>
    </w:div>
    <w:div w:id="1043946445">
      <w:bodyDiv w:val="1"/>
      <w:marLeft w:val="0"/>
      <w:marRight w:val="0"/>
      <w:marTop w:val="0"/>
      <w:marBottom w:val="0"/>
      <w:divBdr>
        <w:top w:val="none" w:sz="0" w:space="0" w:color="auto"/>
        <w:left w:val="none" w:sz="0" w:space="0" w:color="auto"/>
        <w:bottom w:val="none" w:sz="0" w:space="0" w:color="auto"/>
        <w:right w:val="none" w:sz="0" w:space="0" w:color="auto"/>
      </w:divBdr>
    </w:div>
    <w:div w:id="1046300932">
      <w:bodyDiv w:val="1"/>
      <w:marLeft w:val="0"/>
      <w:marRight w:val="0"/>
      <w:marTop w:val="0"/>
      <w:marBottom w:val="0"/>
      <w:divBdr>
        <w:top w:val="none" w:sz="0" w:space="0" w:color="auto"/>
        <w:left w:val="none" w:sz="0" w:space="0" w:color="auto"/>
        <w:bottom w:val="none" w:sz="0" w:space="0" w:color="auto"/>
        <w:right w:val="none" w:sz="0" w:space="0" w:color="auto"/>
      </w:divBdr>
    </w:div>
    <w:div w:id="1074930723">
      <w:bodyDiv w:val="1"/>
      <w:marLeft w:val="0"/>
      <w:marRight w:val="0"/>
      <w:marTop w:val="0"/>
      <w:marBottom w:val="0"/>
      <w:divBdr>
        <w:top w:val="none" w:sz="0" w:space="0" w:color="auto"/>
        <w:left w:val="none" w:sz="0" w:space="0" w:color="auto"/>
        <w:bottom w:val="none" w:sz="0" w:space="0" w:color="auto"/>
        <w:right w:val="none" w:sz="0" w:space="0" w:color="auto"/>
      </w:divBdr>
    </w:div>
    <w:div w:id="1083798587">
      <w:bodyDiv w:val="1"/>
      <w:marLeft w:val="0"/>
      <w:marRight w:val="0"/>
      <w:marTop w:val="0"/>
      <w:marBottom w:val="0"/>
      <w:divBdr>
        <w:top w:val="none" w:sz="0" w:space="0" w:color="auto"/>
        <w:left w:val="none" w:sz="0" w:space="0" w:color="auto"/>
        <w:bottom w:val="none" w:sz="0" w:space="0" w:color="auto"/>
        <w:right w:val="none" w:sz="0" w:space="0" w:color="auto"/>
      </w:divBdr>
    </w:div>
    <w:div w:id="1108964417">
      <w:bodyDiv w:val="1"/>
      <w:marLeft w:val="0"/>
      <w:marRight w:val="0"/>
      <w:marTop w:val="0"/>
      <w:marBottom w:val="0"/>
      <w:divBdr>
        <w:top w:val="none" w:sz="0" w:space="0" w:color="auto"/>
        <w:left w:val="none" w:sz="0" w:space="0" w:color="auto"/>
        <w:bottom w:val="none" w:sz="0" w:space="0" w:color="auto"/>
        <w:right w:val="none" w:sz="0" w:space="0" w:color="auto"/>
      </w:divBdr>
    </w:div>
    <w:div w:id="1197043537">
      <w:bodyDiv w:val="1"/>
      <w:marLeft w:val="0"/>
      <w:marRight w:val="0"/>
      <w:marTop w:val="0"/>
      <w:marBottom w:val="0"/>
      <w:divBdr>
        <w:top w:val="none" w:sz="0" w:space="0" w:color="auto"/>
        <w:left w:val="none" w:sz="0" w:space="0" w:color="auto"/>
        <w:bottom w:val="none" w:sz="0" w:space="0" w:color="auto"/>
        <w:right w:val="none" w:sz="0" w:space="0" w:color="auto"/>
      </w:divBdr>
    </w:div>
    <w:div w:id="1237789845">
      <w:bodyDiv w:val="1"/>
      <w:marLeft w:val="0"/>
      <w:marRight w:val="0"/>
      <w:marTop w:val="0"/>
      <w:marBottom w:val="0"/>
      <w:divBdr>
        <w:top w:val="none" w:sz="0" w:space="0" w:color="auto"/>
        <w:left w:val="none" w:sz="0" w:space="0" w:color="auto"/>
        <w:bottom w:val="none" w:sz="0" w:space="0" w:color="auto"/>
        <w:right w:val="none" w:sz="0" w:space="0" w:color="auto"/>
      </w:divBdr>
    </w:div>
    <w:div w:id="1264261275">
      <w:bodyDiv w:val="1"/>
      <w:marLeft w:val="0"/>
      <w:marRight w:val="0"/>
      <w:marTop w:val="0"/>
      <w:marBottom w:val="0"/>
      <w:divBdr>
        <w:top w:val="none" w:sz="0" w:space="0" w:color="auto"/>
        <w:left w:val="none" w:sz="0" w:space="0" w:color="auto"/>
        <w:bottom w:val="none" w:sz="0" w:space="0" w:color="auto"/>
        <w:right w:val="none" w:sz="0" w:space="0" w:color="auto"/>
      </w:divBdr>
    </w:div>
    <w:div w:id="1353149326">
      <w:bodyDiv w:val="1"/>
      <w:marLeft w:val="0"/>
      <w:marRight w:val="0"/>
      <w:marTop w:val="0"/>
      <w:marBottom w:val="0"/>
      <w:divBdr>
        <w:top w:val="none" w:sz="0" w:space="0" w:color="auto"/>
        <w:left w:val="none" w:sz="0" w:space="0" w:color="auto"/>
        <w:bottom w:val="none" w:sz="0" w:space="0" w:color="auto"/>
        <w:right w:val="none" w:sz="0" w:space="0" w:color="auto"/>
      </w:divBdr>
    </w:div>
    <w:div w:id="1370953187">
      <w:bodyDiv w:val="1"/>
      <w:marLeft w:val="0"/>
      <w:marRight w:val="0"/>
      <w:marTop w:val="0"/>
      <w:marBottom w:val="0"/>
      <w:divBdr>
        <w:top w:val="none" w:sz="0" w:space="0" w:color="auto"/>
        <w:left w:val="none" w:sz="0" w:space="0" w:color="auto"/>
        <w:bottom w:val="none" w:sz="0" w:space="0" w:color="auto"/>
        <w:right w:val="none" w:sz="0" w:space="0" w:color="auto"/>
      </w:divBdr>
    </w:div>
    <w:div w:id="1384717203">
      <w:bodyDiv w:val="1"/>
      <w:marLeft w:val="0"/>
      <w:marRight w:val="0"/>
      <w:marTop w:val="0"/>
      <w:marBottom w:val="0"/>
      <w:divBdr>
        <w:top w:val="none" w:sz="0" w:space="0" w:color="auto"/>
        <w:left w:val="none" w:sz="0" w:space="0" w:color="auto"/>
        <w:bottom w:val="none" w:sz="0" w:space="0" w:color="auto"/>
        <w:right w:val="none" w:sz="0" w:space="0" w:color="auto"/>
      </w:divBdr>
    </w:div>
    <w:div w:id="1436049740">
      <w:bodyDiv w:val="1"/>
      <w:marLeft w:val="0"/>
      <w:marRight w:val="0"/>
      <w:marTop w:val="0"/>
      <w:marBottom w:val="0"/>
      <w:divBdr>
        <w:top w:val="none" w:sz="0" w:space="0" w:color="auto"/>
        <w:left w:val="none" w:sz="0" w:space="0" w:color="auto"/>
        <w:bottom w:val="none" w:sz="0" w:space="0" w:color="auto"/>
        <w:right w:val="none" w:sz="0" w:space="0" w:color="auto"/>
      </w:divBdr>
    </w:div>
    <w:div w:id="1451709242">
      <w:bodyDiv w:val="1"/>
      <w:marLeft w:val="0"/>
      <w:marRight w:val="0"/>
      <w:marTop w:val="0"/>
      <w:marBottom w:val="0"/>
      <w:divBdr>
        <w:top w:val="none" w:sz="0" w:space="0" w:color="auto"/>
        <w:left w:val="none" w:sz="0" w:space="0" w:color="auto"/>
        <w:bottom w:val="none" w:sz="0" w:space="0" w:color="auto"/>
        <w:right w:val="none" w:sz="0" w:space="0" w:color="auto"/>
      </w:divBdr>
    </w:div>
    <w:div w:id="1472593990">
      <w:bodyDiv w:val="1"/>
      <w:marLeft w:val="0"/>
      <w:marRight w:val="0"/>
      <w:marTop w:val="0"/>
      <w:marBottom w:val="0"/>
      <w:divBdr>
        <w:top w:val="none" w:sz="0" w:space="0" w:color="auto"/>
        <w:left w:val="none" w:sz="0" w:space="0" w:color="auto"/>
        <w:bottom w:val="none" w:sz="0" w:space="0" w:color="auto"/>
        <w:right w:val="none" w:sz="0" w:space="0" w:color="auto"/>
      </w:divBdr>
    </w:div>
    <w:div w:id="1538196767">
      <w:bodyDiv w:val="1"/>
      <w:marLeft w:val="0"/>
      <w:marRight w:val="0"/>
      <w:marTop w:val="0"/>
      <w:marBottom w:val="0"/>
      <w:divBdr>
        <w:top w:val="none" w:sz="0" w:space="0" w:color="auto"/>
        <w:left w:val="none" w:sz="0" w:space="0" w:color="auto"/>
        <w:bottom w:val="none" w:sz="0" w:space="0" w:color="auto"/>
        <w:right w:val="none" w:sz="0" w:space="0" w:color="auto"/>
      </w:divBdr>
    </w:div>
    <w:div w:id="1611206177">
      <w:bodyDiv w:val="1"/>
      <w:marLeft w:val="0"/>
      <w:marRight w:val="0"/>
      <w:marTop w:val="0"/>
      <w:marBottom w:val="0"/>
      <w:divBdr>
        <w:top w:val="none" w:sz="0" w:space="0" w:color="auto"/>
        <w:left w:val="none" w:sz="0" w:space="0" w:color="auto"/>
        <w:bottom w:val="none" w:sz="0" w:space="0" w:color="auto"/>
        <w:right w:val="none" w:sz="0" w:space="0" w:color="auto"/>
      </w:divBdr>
    </w:div>
    <w:div w:id="1691642934">
      <w:bodyDiv w:val="1"/>
      <w:marLeft w:val="0"/>
      <w:marRight w:val="0"/>
      <w:marTop w:val="0"/>
      <w:marBottom w:val="0"/>
      <w:divBdr>
        <w:top w:val="none" w:sz="0" w:space="0" w:color="auto"/>
        <w:left w:val="none" w:sz="0" w:space="0" w:color="auto"/>
        <w:bottom w:val="none" w:sz="0" w:space="0" w:color="auto"/>
        <w:right w:val="none" w:sz="0" w:space="0" w:color="auto"/>
      </w:divBdr>
    </w:div>
    <w:div w:id="1702512669">
      <w:bodyDiv w:val="1"/>
      <w:marLeft w:val="0"/>
      <w:marRight w:val="0"/>
      <w:marTop w:val="0"/>
      <w:marBottom w:val="0"/>
      <w:divBdr>
        <w:top w:val="none" w:sz="0" w:space="0" w:color="auto"/>
        <w:left w:val="none" w:sz="0" w:space="0" w:color="auto"/>
        <w:bottom w:val="none" w:sz="0" w:space="0" w:color="auto"/>
        <w:right w:val="none" w:sz="0" w:space="0" w:color="auto"/>
      </w:divBdr>
    </w:div>
    <w:div w:id="1767072060">
      <w:bodyDiv w:val="1"/>
      <w:marLeft w:val="0"/>
      <w:marRight w:val="0"/>
      <w:marTop w:val="0"/>
      <w:marBottom w:val="0"/>
      <w:divBdr>
        <w:top w:val="none" w:sz="0" w:space="0" w:color="auto"/>
        <w:left w:val="none" w:sz="0" w:space="0" w:color="auto"/>
        <w:bottom w:val="none" w:sz="0" w:space="0" w:color="auto"/>
        <w:right w:val="none" w:sz="0" w:space="0" w:color="auto"/>
      </w:divBdr>
    </w:div>
    <w:div w:id="1825464933">
      <w:bodyDiv w:val="1"/>
      <w:marLeft w:val="0"/>
      <w:marRight w:val="0"/>
      <w:marTop w:val="0"/>
      <w:marBottom w:val="0"/>
      <w:divBdr>
        <w:top w:val="none" w:sz="0" w:space="0" w:color="auto"/>
        <w:left w:val="none" w:sz="0" w:space="0" w:color="auto"/>
        <w:bottom w:val="none" w:sz="0" w:space="0" w:color="auto"/>
        <w:right w:val="none" w:sz="0" w:space="0" w:color="auto"/>
      </w:divBdr>
    </w:div>
    <w:div w:id="1854301519">
      <w:bodyDiv w:val="1"/>
      <w:marLeft w:val="0"/>
      <w:marRight w:val="0"/>
      <w:marTop w:val="0"/>
      <w:marBottom w:val="0"/>
      <w:divBdr>
        <w:top w:val="none" w:sz="0" w:space="0" w:color="auto"/>
        <w:left w:val="none" w:sz="0" w:space="0" w:color="auto"/>
        <w:bottom w:val="none" w:sz="0" w:space="0" w:color="auto"/>
        <w:right w:val="none" w:sz="0" w:space="0" w:color="auto"/>
      </w:divBdr>
    </w:div>
    <w:div w:id="1875849014">
      <w:bodyDiv w:val="1"/>
      <w:marLeft w:val="0"/>
      <w:marRight w:val="0"/>
      <w:marTop w:val="0"/>
      <w:marBottom w:val="0"/>
      <w:divBdr>
        <w:top w:val="none" w:sz="0" w:space="0" w:color="auto"/>
        <w:left w:val="none" w:sz="0" w:space="0" w:color="auto"/>
        <w:bottom w:val="none" w:sz="0" w:space="0" w:color="auto"/>
        <w:right w:val="none" w:sz="0" w:space="0" w:color="auto"/>
      </w:divBdr>
    </w:div>
    <w:div w:id="1888298363">
      <w:bodyDiv w:val="1"/>
      <w:marLeft w:val="0"/>
      <w:marRight w:val="0"/>
      <w:marTop w:val="0"/>
      <w:marBottom w:val="0"/>
      <w:divBdr>
        <w:top w:val="none" w:sz="0" w:space="0" w:color="auto"/>
        <w:left w:val="none" w:sz="0" w:space="0" w:color="auto"/>
        <w:bottom w:val="none" w:sz="0" w:space="0" w:color="auto"/>
        <w:right w:val="none" w:sz="0" w:space="0" w:color="auto"/>
      </w:divBdr>
    </w:div>
    <w:div w:id="1940066741">
      <w:bodyDiv w:val="1"/>
      <w:marLeft w:val="0"/>
      <w:marRight w:val="0"/>
      <w:marTop w:val="0"/>
      <w:marBottom w:val="0"/>
      <w:divBdr>
        <w:top w:val="none" w:sz="0" w:space="0" w:color="auto"/>
        <w:left w:val="none" w:sz="0" w:space="0" w:color="auto"/>
        <w:bottom w:val="none" w:sz="0" w:space="0" w:color="auto"/>
        <w:right w:val="none" w:sz="0" w:space="0" w:color="auto"/>
      </w:divBdr>
    </w:div>
    <w:div w:id="207226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uria.europa.eu/juris/document/document.jsf?text=&amp;docid=238381&amp;pageIndex=0&amp;doclang=LT&amp;mode=lst&amp;dir=&amp;occ=first&amp;part=1&amp;cid=4633880" TargetMode="External"/><Relationship Id="rId18" Type="http://schemas.openxmlformats.org/officeDocument/2006/relationships/hyperlink" Target="https://curia.europa.eu/juris/document/document.jsf?text=&amp;docid=242565&amp;pageIndex=0&amp;doclang=LT&amp;mode=lst&amp;dir=&amp;occ=first&amp;part=1&amp;cid=3593384" TargetMode="External"/><Relationship Id="rId26" Type="http://schemas.openxmlformats.org/officeDocument/2006/relationships/hyperlink" Target="https://curia.europa.eu/juris/document/document.jsf?text=&amp;docid=237202&amp;pageIndex=0&amp;doclang=LT&amp;mode=req&amp;dir=&amp;occ=first&amp;part=1&amp;cid=3237070" TargetMode="External"/><Relationship Id="rId3" Type="http://schemas.openxmlformats.org/officeDocument/2006/relationships/styles" Target="styles.xml"/><Relationship Id="rId21" Type="http://schemas.openxmlformats.org/officeDocument/2006/relationships/hyperlink" Target="https://curia.europa.eu/juris/document/document.jsf?text=&amp;docid=238662&amp;pageIndex=0&amp;doclang=LT&amp;mode=lst&amp;dir=&amp;occ=first&amp;part=1&amp;cid=12450936"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curia.europa.eu/juris/document/document.jsf?text=&amp;docid=236684&amp;pageIndex=0&amp;doclang=LT&amp;mode=lst&amp;dir=&amp;occ=first&amp;part=1&amp;cid=6812081" TargetMode="External"/><Relationship Id="rId17" Type="http://schemas.openxmlformats.org/officeDocument/2006/relationships/hyperlink" Target="https://curia.europa.eu/juris/document/document.jsf?text=&amp;docid=238443&amp;pageIndex=0&amp;doclang=LT&amp;mode=lst&amp;dir=&amp;occ=first&amp;part=1&amp;cid=3595116" TargetMode="External"/><Relationship Id="rId25" Type="http://schemas.openxmlformats.org/officeDocument/2006/relationships/hyperlink" Target="https://curia.europa.eu/juris/document/document.jsf?text=&amp;docid=237087&amp;pageIndex=0&amp;doclang=LT&amp;mode=lst&amp;dir=&amp;occ=first&amp;part=1&amp;cid=1640801" TargetMode="External"/><Relationship Id="rId33" Type="http://schemas.openxmlformats.org/officeDocument/2006/relationships/hyperlink" Target="https://curia.europa.eu/juris/document/document.jsf?text=&amp;docid=237045&amp;pageIndex=0&amp;doclang=LT&amp;mode=lst&amp;dir=&amp;occ=first&amp;part=1&amp;cid=6495335" TargetMode="External"/><Relationship Id="rId2" Type="http://schemas.openxmlformats.org/officeDocument/2006/relationships/numbering" Target="numbering.xml"/><Relationship Id="rId16" Type="http://schemas.openxmlformats.org/officeDocument/2006/relationships/hyperlink" Target="https://curia.europa.eu/juris/document/document.jsf?text=&amp;docid=236685&amp;pageIndex=0&amp;doclang=LT&amp;mode=lst&amp;dir=&amp;occ=first&amp;part=1&amp;cid=3594949" TargetMode="External"/><Relationship Id="rId20" Type="http://schemas.openxmlformats.org/officeDocument/2006/relationships/hyperlink" Target="https://curia.europa.eu/juris/document/document.jsf?text=&amp;docid=238165&amp;pageIndex=0&amp;doclang=lt&amp;mode=lst&amp;dir=&amp;occ=first&amp;part=1&amp;cid=2487198" TargetMode="External"/><Relationship Id="rId29" Type="http://schemas.openxmlformats.org/officeDocument/2006/relationships/hyperlink" Target="https://curia.europa.eu/juris/document/document.jsf?docid=241463&amp;mode=req&amp;pageIndex=1&amp;dir=&amp;occ=first&amp;part=1&amp;text=&amp;doclang=LT&amp;cid=13004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uria.europa.eu/juris/document/document.jsf?docid=236421&amp;mode=req&amp;pageIndex=1&amp;dir=&amp;occ=first&amp;part=1&amp;text=&amp;doclang=LT&amp;cid=2495972" TargetMode="External"/><Relationship Id="rId24" Type="http://schemas.openxmlformats.org/officeDocument/2006/relationships/hyperlink" Target="https://curia.europa.eu/juris/document/document.jsf?text=&amp;docid=239885&amp;pageIndex=0&amp;doclang=LT&amp;mode=lst&amp;dir=&amp;occ=first&amp;part=1&amp;cid=12450936" TargetMode="External"/><Relationship Id="rId32" Type="http://schemas.openxmlformats.org/officeDocument/2006/relationships/hyperlink" Target="https://curia.europa.eu/juris/document/document.jsf?text=&amp;docid=236723&amp;pageIndex=0&amp;doclang=LT&amp;mode=lst&amp;dir=&amp;occ=first&amp;part=1&amp;cid=6798385"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uria.europa.eu/juris/document/document.jsf?text=&amp;docid=236686&amp;pageIndex=0&amp;doclang=LT&amp;mode=lst&amp;dir=&amp;occ=first&amp;part=1&amp;cid=3594555" TargetMode="External"/><Relationship Id="rId23" Type="http://schemas.openxmlformats.org/officeDocument/2006/relationships/hyperlink" Target="https://curia.europa.eu/juris/document/document.jsf?text=&amp;docid=242025&amp;pageIndex=0&amp;doclang=LT&amp;mode=lst&amp;dir=&amp;occ=first&amp;part=1&amp;cid=12450936" TargetMode="External"/><Relationship Id="rId28" Type="http://schemas.openxmlformats.org/officeDocument/2006/relationships/hyperlink" Target="https://curia.europa.eu/juris/document/document.jsf?docid=239896&amp;mode=req&amp;pageIndex=1&amp;dir=&amp;occ=first&amp;part=1&amp;text=&amp;doclang=LT&amp;cid=1186515" TargetMode="External"/><Relationship Id="rId36" Type="http://schemas.openxmlformats.org/officeDocument/2006/relationships/fontTable" Target="fontTable.xml"/><Relationship Id="rId10" Type="http://schemas.openxmlformats.org/officeDocument/2006/relationships/hyperlink" Target="http://eur-lex.europa.eu/" TargetMode="External"/><Relationship Id="rId19" Type="http://schemas.openxmlformats.org/officeDocument/2006/relationships/hyperlink" Target="https://curia.europa.eu/juris/document/document.jsf?docid=242031&amp;mode=req&amp;pageIndex=1&amp;dir=&amp;occ=first&amp;part=1&amp;text=&amp;doclang=LT&amp;cid=2510822" TargetMode="External"/><Relationship Id="rId31" Type="http://schemas.openxmlformats.org/officeDocument/2006/relationships/hyperlink" Target="https://curia.europa.eu/juris/document/document.jsf?text=&amp;docid=243243&amp;pageIndex=0&amp;doclang=LT&amp;mode=lst&amp;dir=&amp;occ=first&amp;part=1&amp;cid=1197074" TargetMode="External"/><Relationship Id="rId4" Type="http://schemas.openxmlformats.org/officeDocument/2006/relationships/settings" Target="settings.xml"/><Relationship Id="rId9" Type="http://schemas.openxmlformats.org/officeDocument/2006/relationships/hyperlink" Target="http://curia.europa.eu/" TargetMode="External"/><Relationship Id="rId14" Type="http://schemas.openxmlformats.org/officeDocument/2006/relationships/hyperlink" Target="https://curia.europa.eu/juris/document/document.jsf?text=&amp;docid=236687&amp;pageIndex=0&amp;doclang=LT&amp;mode=lst&amp;dir=&amp;occ=first&amp;part=1&amp;cid=3593941" TargetMode="External"/><Relationship Id="rId22" Type="http://schemas.openxmlformats.org/officeDocument/2006/relationships/hyperlink" Target="https://curia.europa.eu/juris/document/document.jsf?text=&amp;docid=242037&amp;pageIndex=0&amp;doclang=LT&amp;mode=lst&amp;dir=&amp;occ=first&amp;part=1&amp;cid=12450936" TargetMode="External"/><Relationship Id="rId27" Type="http://schemas.openxmlformats.org/officeDocument/2006/relationships/hyperlink" Target="https://curia.europa.eu/juris/document/document.jsf?text=&amp;docid=239244&amp;pageIndex=0&amp;doclang=LT&amp;mode=lst&amp;dir=&amp;occ=first&amp;part=1&amp;cid=3568749" TargetMode="External"/><Relationship Id="rId30" Type="http://schemas.openxmlformats.org/officeDocument/2006/relationships/hyperlink" Target="https://curia.europa.eu/juris/document/document.jsf?text=&amp;docid=242564&amp;pageIndex=0&amp;doclang=LT&amp;mode=lst&amp;dir=&amp;occ=first&amp;part=1&amp;cid=839904" TargetMode="External"/><Relationship Id="rId35"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013FE-60C6-4E0E-8C91-CA4FE3E70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35</Pages>
  <Words>19044</Words>
  <Characters>108553</Characters>
  <Application>Microsoft Office Word</Application>
  <DocSecurity>0</DocSecurity>
  <Lines>904</Lines>
  <Paragraphs>254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Jurga Marcinkevičiūtė</cp:lastModifiedBy>
  <cp:revision>3</cp:revision>
  <dcterms:created xsi:type="dcterms:W3CDTF">2021-10-21T07:00:00Z</dcterms:created>
  <dcterms:modified xsi:type="dcterms:W3CDTF">2021-10-28T06:53:00Z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