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D187E2" w14:textId="77777777" w:rsidR="003D4C15" w:rsidRPr="005A0774" w:rsidRDefault="003D4C15" w:rsidP="007A35C3">
      <w:pPr>
        <w:pStyle w:val="Betarp"/>
        <w:spacing w:after="240"/>
        <w:jc w:val="both"/>
        <w:rPr>
          <w:rFonts w:asciiTheme="minorHAnsi" w:hAnsiTheme="minorHAnsi" w:cstheme="minorHAnsi"/>
        </w:rPr>
      </w:pPr>
    </w:p>
    <w:p w14:paraId="17569D08" w14:textId="77777777" w:rsidR="003D4C15" w:rsidRPr="005A0774" w:rsidRDefault="003D4C15" w:rsidP="007A35C3">
      <w:pPr>
        <w:pStyle w:val="Betarp"/>
        <w:spacing w:after="240"/>
        <w:jc w:val="both"/>
        <w:rPr>
          <w:rFonts w:asciiTheme="minorHAnsi" w:hAnsiTheme="minorHAnsi" w:cstheme="minorHAnsi"/>
        </w:rPr>
      </w:pPr>
    </w:p>
    <w:p w14:paraId="70D2EAA9" w14:textId="77777777" w:rsidR="00A4671F" w:rsidRPr="005A0774" w:rsidRDefault="00A4671F" w:rsidP="007A35C3">
      <w:pPr>
        <w:pStyle w:val="Betarp"/>
        <w:spacing w:after="1440"/>
        <w:ind w:left="1296" w:hanging="1296"/>
        <w:jc w:val="center"/>
        <w:rPr>
          <w:rFonts w:asciiTheme="minorHAnsi" w:hAnsiTheme="minorHAnsi" w:cstheme="minorHAnsi"/>
          <w:lang w:eastAsia="lt-LT"/>
        </w:rPr>
      </w:pPr>
    </w:p>
    <w:p w14:paraId="66813C6B" w14:textId="77777777" w:rsidR="003D4C15" w:rsidRPr="005A0774" w:rsidRDefault="003D4C15" w:rsidP="007A35C3">
      <w:pPr>
        <w:pStyle w:val="Betarp"/>
        <w:spacing w:after="1440"/>
        <w:ind w:left="1296" w:hanging="1296"/>
        <w:jc w:val="center"/>
        <w:rPr>
          <w:rFonts w:asciiTheme="minorHAnsi" w:hAnsiTheme="minorHAnsi" w:cstheme="minorHAnsi"/>
        </w:rPr>
      </w:pPr>
      <w:r w:rsidRPr="005A0774">
        <w:rPr>
          <w:rFonts w:asciiTheme="minorHAnsi" w:hAnsiTheme="minorHAnsi" w:cstheme="minorHAnsi"/>
          <w:noProof/>
          <w:lang w:val="en-GB" w:eastAsia="en-GB"/>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5A0774">
        <w:rPr>
          <w:rFonts w:asciiTheme="minorHAnsi" w:hAnsiTheme="minorHAnsi" w:cstheme="minorHAnsi"/>
          <w:noProof/>
          <w:lang w:val="en-GB" w:eastAsia="en-GB"/>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mo="http://schemas.microsoft.com/office/mac/office/2008/main" xmlns:mv="urn:schemas-microsoft-com:mac:vml" xmlns:pic="http://schemas.openxmlformats.org/drawingml/2006/picture" xmlns:a="http://schemas.openxmlformats.org/drawingml/2006/main">
            <w:pict w14:anchorId="517ED665">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5F0ED1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5A0774">
        <w:rPr>
          <w:rFonts w:asciiTheme="minorHAnsi" w:hAnsiTheme="minorHAnsi" w:cstheme="minorHAnsi"/>
          <w:noProof/>
          <w:lang w:val="en-GB" w:eastAsia="en-GB"/>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mo="http://schemas.microsoft.com/office/mac/office/2008/main" xmlns:mv="urn:schemas-microsoft-com:mac:vml" xmlns:pic="http://schemas.openxmlformats.org/drawingml/2006/picture" xmlns:a="http://schemas.openxmlformats.org/drawingml/2006/main">
            <w:pict w14:anchorId="6A1B9C84">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0BB0D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5A0774">
        <w:rPr>
          <w:rFonts w:asciiTheme="minorHAnsi" w:hAnsiTheme="minorHAnsi" w:cstheme="minorHAnsi"/>
          <w:noProof/>
          <w:lang w:val="en-GB" w:eastAsia="en-GB"/>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mo="http://schemas.microsoft.com/office/mac/office/2008/main" xmlns:mv="urn:schemas-microsoft-com:mac:vml" xmlns:pic="http://schemas.openxmlformats.org/drawingml/2006/picture" xmlns:a="http://schemas.openxmlformats.org/drawingml/2006/main">
            <w:pict w14:anchorId="32207BB4">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23502C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5A0774">
        <w:rPr>
          <w:rFonts w:asciiTheme="minorHAnsi" w:hAnsiTheme="minorHAnsi" w:cstheme="minorHAnsi"/>
          <w:noProof/>
          <w:lang w:val="en-GB" w:eastAsia="en-GB"/>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mo="http://schemas.microsoft.com/office/mac/office/2008/main" xmlns:mv="urn:schemas-microsoft-com:mac:vml" xmlns:pic="http://schemas.openxmlformats.org/drawingml/2006/picture" xmlns:a="http://schemas.openxmlformats.org/drawingml/2006/main">
            <w:pict w14:anchorId="191EECB8">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3DE6C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06F7CBC9" w14:textId="77777777" w:rsidR="003D4C15" w:rsidRPr="005A0774" w:rsidRDefault="003D4C15" w:rsidP="007A35C3">
      <w:pPr>
        <w:pStyle w:val="Betarp"/>
        <w:jc w:val="center"/>
        <w:rPr>
          <w:rFonts w:asciiTheme="minorHAnsi" w:hAnsiTheme="minorHAnsi" w:cstheme="minorHAnsi"/>
          <w:smallCaps/>
          <w:sz w:val="52"/>
          <w:szCs w:val="52"/>
        </w:rPr>
      </w:pPr>
      <w:r w:rsidRPr="005A0774">
        <w:rPr>
          <w:rFonts w:asciiTheme="minorHAnsi" w:hAnsiTheme="minorHAnsi" w:cstheme="minorHAnsi"/>
          <w:smallCaps/>
          <w:sz w:val="52"/>
          <w:szCs w:val="52"/>
        </w:rPr>
        <w:t>Lietuvos vyriausiojo administracinio teismo praktikos apžvalga</w:t>
      </w:r>
    </w:p>
    <w:p w14:paraId="6B519B9C" w14:textId="059B8FEC" w:rsidR="003D4C15" w:rsidRPr="005A0774" w:rsidRDefault="003D4C15" w:rsidP="007A35C3">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5A0774">
        <w:rPr>
          <w:rFonts w:asciiTheme="minorHAnsi" w:hAnsiTheme="minorHAnsi" w:cstheme="minorHAnsi"/>
          <w:b/>
          <w:smallCaps/>
          <w:sz w:val="32"/>
          <w:szCs w:val="32"/>
          <w:u w:val="double"/>
        </w:rPr>
        <w:t>20</w:t>
      </w:r>
      <w:r w:rsidR="007E55E3" w:rsidRPr="005A0774">
        <w:rPr>
          <w:rFonts w:asciiTheme="minorHAnsi" w:hAnsiTheme="minorHAnsi" w:cstheme="minorHAnsi"/>
          <w:b/>
          <w:smallCaps/>
          <w:sz w:val="32"/>
          <w:szCs w:val="32"/>
          <w:u w:val="double"/>
        </w:rPr>
        <w:t>20</w:t>
      </w:r>
      <w:r w:rsidRPr="005A0774">
        <w:rPr>
          <w:rFonts w:asciiTheme="minorHAnsi" w:hAnsiTheme="minorHAnsi" w:cstheme="minorHAnsi"/>
          <w:b/>
          <w:smallCaps/>
          <w:sz w:val="32"/>
          <w:szCs w:val="32"/>
          <w:u w:val="double"/>
        </w:rPr>
        <w:t xml:space="preserve"> m. </w:t>
      </w:r>
      <w:r w:rsidR="00EB7508" w:rsidRPr="005A0774">
        <w:rPr>
          <w:rFonts w:asciiTheme="minorHAnsi" w:hAnsiTheme="minorHAnsi" w:cstheme="minorHAnsi"/>
          <w:b/>
          <w:smallCaps/>
          <w:sz w:val="32"/>
          <w:szCs w:val="32"/>
          <w:u w:val="double"/>
        </w:rPr>
        <w:t>lapkrič</w:t>
      </w:r>
      <w:r w:rsidR="007412F7" w:rsidRPr="005A0774">
        <w:rPr>
          <w:rFonts w:asciiTheme="minorHAnsi" w:hAnsiTheme="minorHAnsi" w:cstheme="minorHAnsi"/>
          <w:b/>
          <w:smallCaps/>
          <w:sz w:val="32"/>
          <w:szCs w:val="32"/>
          <w:u w:val="double"/>
        </w:rPr>
        <w:t>io</w:t>
      </w:r>
      <w:r w:rsidR="000F1C77" w:rsidRPr="005A0774">
        <w:rPr>
          <w:rFonts w:asciiTheme="minorHAnsi" w:hAnsiTheme="minorHAnsi" w:cstheme="minorHAnsi"/>
          <w:b/>
          <w:smallCaps/>
          <w:sz w:val="32"/>
          <w:szCs w:val="32"/>
          <w:u w:val="double"/>
        </w:rPr>
        <w:t xml:space="preserve"> </w:t>
      </w:r>
      <w:r w:rsidRPr="005A0774">
        <w:rPr>
          <w:rFonts w:asciiTheme="minorHAnsi" w:hAnsiTheme="minorHAnsi" w:cstheme="minorHAnsi"/>
          <w:b/>
          <w:smallCaps/>
          <w:sz w:val="32"/>
          <w:szCs w:val="32"/>
          <w:u w:val="double"/>
        </w:rPr>
        <w:t>1 d. – 20</w:t>
      </w:r>
      <w:r w:rsidR="007E55E3" w:rsidRPr="005A0774">
        <w:rPr>
          <w:rFonts w:asciiTheme="minorHAnsi" w:hAnsiTheme="minorHAnsi" w:cstheme="minorHAnsi"/>
          <w:b/>
          <w:smallCaps/>
          <w:sz w:val="32"/>
          <w:szCs w:val="32"/>
          <w:u w:val="double"/>
        </w:rPr>
        <w:t>20</w:t>
      </w:r>
      <w:r w:rsidRPr="005A0774">
        <w:rPr>
          <w:rFonts w:asciiTheme="minorHAnsi" w:hAnsiTheme="minorHAnsi" w:cstheme="minorHAnsi"/>
          <w:b/>
          <w:smallCaps/>
          <w:sz w:val="32"/>
          <w:szCs w:val="32"/>
          <w:u w:val="double"/>
        </w:rPr>
        <w:t xml:space="preserve"> m.</w:t>
      </w:r>
      <w:r w:rsidR="000F1C77" w:rsidRPr="005A0774">
        <w:rPr>
          <w:rFonts w:asciiTheme="minorHAnsi" w:hAnsiTheme="minorHAnsi" w:cstheme="minorHAnsi"/>
          <w:b/>
          <w:smallCaps/>
          <w:sz w:val="32"/>
          <w:szCs w:val="32"/>
          <w:u w:val="double"/>
        </w:rPr>
        <w:t xml:space="preserve"> </w:t>
      </w:r>
      <w:r w:rsidR="00EB7508" w:rsidRPr="005A0774">
        <w:rPr>
          <w:rFonts w:asciiTheme="minorHAnsi" w:hAnsiTheme="minorHAnsi" w:cstheme="minorHAnsi"/>
          <w:b/>
          <w:smallCaps/>
          <w:sz w:val="32"/>
          <w:szCs w:val="32"/>
          <w:u w:val="double"/>
        </w:rPr>
        <w:t>lapkrič</w:t>
      </w:r>
      <w:r w:rsidR="007412F7" w:rsidRPr="005A0774">
        <w:rPr>
          <w:rFonts w:asciiTheme="minorHAnsi" w:hAnsiTheme="minorHAnsi" w:cstheme="minorHAnsi"/>
          <w:b/>
          <w:smallCaps/>
          <w:sz w:val="32"/>
          <w:szCs w:val="32"/>
          <w:u w:val="double"/>
        </w:rPr>
        <w:t>io</w:t>
      </w:r>
      <w:r w:rsidR="00E4176B" w:rsidRPr="005A0774">
        <w:rPr>
          <w:rFonts w:asciiTheme="minorHAnsi" w:hAnsiTheme="minorHAnsi" w:cstheme="minorHAnsi"/>
          <w:b/>
          <w:smallCaps/>
          <w:sz w:val="32"/>
          <w:szCs w:val="32"/>
          <w:u w:val="double"/>
        </w:rPr>
        <w:t xml:space="preserve"> 3</w:t>
      </w:r>
      <w:r w:rsidR="00EB7508" w:rsidRPr="005A0774">
        <w:rPr>
          <w:rFonts w:asciiTheme="minorHAnsi" w:hAnsiTheme="minorHAnsi" w:cstheme="minorHAnsi"/>
          <w:b/>
          <w:smallCaps/>
          <w:sz w:val="32"/>
          <w:szCs w:val="32"/>
          <w:u w:val="double"/>
        </w:rPr>
        <w:t>0</w:t>
      </w:r>
      <w:r w:rsidR="000F1C77" w:rsidRPr="005A0774">
        <w:rPr>
          <w:rFonts w:asciiTheme="minorHAnsi" w:hAnsiTheme="minorHAnsi" w:cstheme="minorHAnsi"/>
          <w:b/>
          <w:smallCaps/>
          <w:sz w:val="32"/>
          <w:szCs w:val="32"/>
          <w:u w:val="double"/>
        </w:rPr>
        <w:t xml:space="preserve"> </w:t>
      </w:r>
      <w:r w:rsidRPr="005A0774">
        <w:rPr>
          <w:rFonts w:asciiTheme="minorHAnsi" w:hAnsiTheme="minorHAnsi" w:cstheme="minorHAnsi"/>
          <w:b/>
          <w:smallCaps/>
          <w:sz w:val="32"/>
          <w:szCs w:val="32"/>
          <w:u w:val="double"/>
        </w:rPr>
        <w:t>d.</w:t>
      </w:r>
      <w:bookmarkEnd w:id="0"/>
      <w:bookmarkEnd w:id="1"/>
      <w:bookmarkEnd w:id="2"/>
      <w:bookmarkEnd w:id="3"/>
      <w:bookmarkEnd w:id="4"/>
      <w:bookmarkEnd w:id="5"/>
    </w:p>
    <w:p w14:paraId="34CB955A" w14:textId="77777777" w:rsidR="003D4C15" w:rsidRPr="005A0774" w:rsidRDefault="003D4C15" w:rsidP="007A35C3">
      <w:pPr>
        <w:jc w:val="both"/>
        <w:rPr>
          <w:rFonts w:asciiTheme="minorHAnsi" w:hAnsiTheme="minorHAnsi" w:cstheme="minorHAnsi"/>
          <w:b/>
          <w:smallCaps/>
          <w:sz w:val="32"/>
          <w:szCs w:val="32"/>
        </w:rPr>
      </w:pPr>
    </w:p>
    <w:p w14:paraId="012D63E8" w14:textId="77777777" w:rsidR="003D4C15" w:rsidRPr="005A0774" w:rsidRDefault="003D4C15" w:rsidP="007A35C3">
      <w:pPr>
        <w:jc w:val="both"/>
        <w:rPr>
          <w:rFonts w:asciiTheme="minorHAnsi" w:hAnsiTheme="minorHAnsi" w:cstheme="minorHAnsi"/>
          <w:b/>
          <w:smallCaps/>
          <w:sz w:val="22"/>
          <w:szCs w:val="22"/>
        </w:rPr>
      </w:pPr>
    </w:p>
    <w:p w14:paraId="455E7653" w14:textId="77777777" w:rsidR="003D4C15" w:rsidRPr="005A0774" w:rsidRDefault="003D4C15" w:rsidP="007A35C3">
      <w:pPr>
        <w:jc w:val="both"/>
        <w:rPr>
          <w:rFonts w:asciiTheme="minorHAnsi" w:hAnsiTheme="minorHAnsi" w:cstheme="minorHAnsi"/>
          <w:b/>
          <w:smallCaps/>
          <w:sz w:val="22"/>
          <w:szCs w:val="22"/>
        </w:rPr>
      </w:pPr>
    </w:p>
    <w:p w14:paraId="53EE2D16" w14:textId="77777777" w:rsidR="003D4C15" w:rsidRPr="005A0774" w:rsidRDefault="003D4C15" w:rsidP="007A35C3">
      <w:pPr>
        <w:jc w:val="both"/>
        <w:rPr>
          <w:rFonts w:asciiTheme="minorHAnsi" w:hAnsiTheme="minorHAnsi" w:cstheme="minorHAnsi"/>
          <w:b/>
          <w:smallCaps/>
          <w:sz w:val="22"/>
          <w:szCs w:val="22"/>
        </w:rPr>
      </w:pPr>
    </w:p>
    <w:p w14:paraId="73448F9D" w14:textId="77777777" w:rsidR="003D4C15" w:rsidRPr="005A0774" w:rsidRDefault="003D4C15" w:rsidP="007A35C3">
      <w:pPr>
        <w:jc w:val="both"/>
        <w:rPr>
          <w:rFonts w:asciiTheme="minorHAnsi" w:hAnsiTheme="minorHAnsi" w:cstheme="minorHAnsi"/>
          <w:b/>
          <w:smallCaps/>
          <w:sz w:val="22"/>
          <w:szCs w:val="22"/>
        </w:rPr>
      </w:pPr>
    </w:p>
    <w:p w14:paraId="28466615" w14:textId="77777777" w:rsidR="003D4C15" w:rsidRPr="005A0774" w:rsidRDefault="003D4C15" w:rsidP="007A35C3">
      <w:pPr>
        <w:jc w:val="both"/>
        <w:rPr>
          <w:rFonts w:asciiTheme="minorHAnsi" w:hAnsiTheme="minorHAnsi" w:cstheme="minorHAnsi"/>
          <w:b/>
          <w:smallCaps/>
          <w:sz w:val="22"/>
          <w:szCs w:val="22"/>
        </w:rPr>
      </w:pPr>
    </w:p>
    <w:p w14:paraId="2FC70AC6" w14:textId="77777777" w:rsidR="003D4C15" w:rsidRPr="005A0774" w:rsidRDefault="003D4C15" w:rsidP="007A35C3">
      <w:pPr>
        <w:jc w:val="both"/>
        <w:rPr>
          <w:rFonts w:asciiTheme="minorHAnsi" w:hAnsiTheme="minorHAnsi" w:cstheme="minorHAnsi"/>
          <w:b/>
          <w:smallCaps/>
          <w:sz w:val="22"/>
          <w:szCs w:val="22"/>
        </w:rPr>
      </w:pPr>
    </w:p>
    <w:p w14:paraId="01F50AED" w14:textId="77777777" w:rsidR="003D4C15" w:rsidRPr="005A0774" w:rsidRDefault="003D4C15" w:rsidP="007A35C3">
      <w:pPr>
        <w:jc w:val="both"/>
        <w:rPr>
          <w:rFonts w:asciiTheme="minorHAnsi" w:hAnsiTheme="minorHAnsi" w:cstheme="minorHAnsi"/>
          <w:b/>
          <w:smallCaps/>
          <w:sz w:val="22"/>
          <w:szCs w:val="22"/>
        </w:rPr>
      </w:pPr>
    </w:p>
    <w:p w14:paraId="30B0D408" w14:textId="77777777" w:rsidR="003D4C15" w:rsidRPr="005A0774" w:rsidRDefault="003D4C15" w:rsidP="007A35C3">
      <w:pPr>
        <w:jc w:val="both"/>
        <w:rPr>
          <w:rFonts w:asciiTheme="minorHAnsi" w:hAnsiTheme="minorHAnsi" w:cstheme="minorHAnsi"/>
          <w:b/>
          <w:smallCaps/>
          <w:sz w:val="22"/>
          <w:szCs w:val="22"/>
        </w:rPr>
      </w:pPr>
    </w:p>
    <w:p w14:paraId="0AC2F7A6" w14:textId="77777777" w:rsidR="003D4C15" w:rsidRPr="005A0774" w:rsidRDefault="003D4C15" w:rsidP="007A35C3">
      <w:pPr>
        <w:jc w:val="both"/>
        <w:rPr>
          <w:rFonts w:asciiTheme="minorHAnsi" w:hAnsiTheme="minorHAnsi" w:cstheme="minorHAnsi"/>
          <w:b/>
          <w:smallCaps/>
          <w:sz w:val="22"/>
          <w:szCs w:val="22"/>
        </w:rPr>
      </w:pPr>
    </w:p>
    <w:p w14:paraId="74A36362" w14:textId="77777777" w:rsidR="003D4C15" w:rsidRPr="005A0774" w:rsidRDefault="003D4C15" w:rsidP="007A35C3">
      <w:pPr>
        <w:jc w:val="both"/>
        <w:rPr>
          <w:rFonts w:asciiTheme="minorHAnsi" w:hAnsiTheme="minorHAnsi" w:cstheme="minorHAnsi"/>
          <w:b/>
          <w:smallCaps/>
          <w:sz w:val="22"/>
          <w:szCs w:val="22"/>
        </w:rPr>
      </w:pPr>
    </w:p>
    <w:p w14:paraId="3B289CC4" w14:textId="77777777" w:rsidR="003D4C15" w:rsidRPr="005A0774" w:rsidRDefault="003D4C15" w:rsidP="007A35C3">
      <w:pPr>
        <w:jc w:val="both"/>
        <w:rPr>
          <w:rFonts w:asciiTheme="minorHAnsi" w:hAnsiTheme="minorHAnsi" w:cstheme="minorHAnsi"/>
          <w:b/>
          <w:smallCaps/>
          <w:sz w:val="22"/>
          <w:szCs w:val="22"/>
        </w:rPr>
      </w:pPr>
    </w:p>
    <w:p w14:paraId="2012CFEA" w14:textId="77777777" w:rsidR="003D4C15" w:rsidRPr="005A0774" w:rsidRDefault="003D4C15" w:rsidP="007A35C3">
      <w:pPr>
        <w:jc w:val="both"/>
        <w:rPr>
          <w:rFonts w:asciiTheme="minorHAnsi" w:hAnsiTheme="minorHAnsi" w:cstheme="minorHAnsi"/>
          <w:b/>
          <w:smallCaps/>
          <w:sz w:val="22"/>
          <w:szCs w:val="22"/>
        </w:rPr>
      </w:pPr>
    </w:p>
    <w:p w14:paraId="0CBF0D24" w14:textId="77777777" w:rsidR="003D4C15" w:rsidRPr="005A0774" w:rsidRDefault="003D4C15" w:rsidP="007A35C3">
      <w:pPr>
        <w:jc w:val="both"/>
        <w:rPr>
          <w:rFonts w:asciiTheme="minorHAnsi" w:hAnsiTheme="minorHAnsi" w:cstheme="minorHAnsi"/>
          <w:b/>
          <w:smallCaps/>
          <w:sz w:val="22"/>
          <w:szCs w:val="22"/>
        </w:rPr>
      </w:pPr>
    </w:p>
    <w:p w14:paraId="1867DC59" w14:textId="77777777" w:rsidR="003D4C15" w:rsidRPr="005A0774" w:rsidRDefault="003D4C15" w:rsidP="007A35C3">
      <w:pPr>
        <w:jc w:val="both"/>
        <w:rPr>
          <w:rFonts w:asciiTheme="minorHAnsi" w:hAnsiTheme="minorHAnsi" w:cstheme="minorHAnsi"/>
          <w:b/>
          <w:smallCaps/>
          <w:sz w:val="22"/>
          <w:szCs w:val="22"/>
        </w:rPr>
      </w:pPr>
    </w:p>
    <w:p w14:paraId="637CF3A2" w14:textId="77777777" w:rsidR="003D4C15" w:rsidRPr="005A0774" w:rsidRDefault="003D4C15" w:rsidP="007A35C3">
      <w:pPr>
        <w:jc w:val="center"/>
        <w:rPr>
          <w:rFonts w:asciiTheme="minorHAnsi" w:hAnsiTheme="minorHAnsi" w:cstheme="minorHAnsi"/>
          <w:b/>
          <w:smallCaps/>
          <w:sz w:val="28"/>
          <w:szCs w:val="28"/>
        </w:rPr>
      </w:pPr>
      <w:r w:rsidRPr="005A0774">
        <w:rPr>
          <w:rFonts w:asciiTheme="minorHAnsi" w:hAnsiTheme="minorHAnsi" w:cstheme="minorHAnsi"/>
          <w:b/>
          <w:smallCaps/>
          <w:sz w:val="28"/>
          <w:szCs w:val="28"/>
        </w:rPr>
        <w:t>Apžvalgą parengė Lietuvos vyriausiojo administracinio teismo</w:t>
      </w:r>
    </w:p>
    <w:p w14:paraId="4B9B7B9F" w14:textId="70ED19C7" w:rsidR="003D4C15" w:rsidRPr="005A0774" w:rsidRDefault="003D4C15" w:rsidP="2FED337E">
      <w:pPr>
        <w:jc w:val="center"/>
        <w:rPr>
          <w:rFonts w:asciiTheme="minorHAnsi" w:hAnsiTheme="minorHAnsi" w:cstheme="minorBidi"/>
          <w:sz w:val="22"/>
          <w:szCs w:val="22"/>
        </w:rPr>
      </w:pPr>
      <w:r w:rsidRPr="2FED337E">
        <w:rPr>
          <w:rFonts w:asciiTheme="minorHAnsi" w:hAnsiTheme="minorHAnsi" w:cstheme="minorBidi"/>
          <w:b/>
          <w:bCs/>
          <w:smallCaps/>
          <w:sz w:val="28"/>
          <w:szCs w:val="28"/>
        </w:rPr>
        <w:t>T</w:t>
      </w:r>
      <w:r w:rsidR="0016762E" w:rsidRPr="2FED337E">
        <w:rPr>
          <w:rFonts w:asciiTheme="minorHAnsi" w:hAnsiTheme="minorHAnsi" w:cstheme="minorBidi"/>
          <w:b/>
          <w:bCs/>
          <w:smallCaps/>
          <w:sz w:val="28"/>
          <w:szCs w:val="28"/>
        </w:rPr>
        <w:t xml:space="preserve">eismų praktikos </w:t>
      </w:r>
      <w:r w:rsidRPr="2FED337E">
        <w:rPr>
          <w:rFonts w:asciiTheme="minorHAnsi" w:hAnsiTheme="minorHAnsi" w:cstheme="minorBidi"/>
          <w:b/>
          <w:bCs/>
          <w:smallCaps/>
          <w:sz w:val="28"/>
          <w:szCs w:val="28"/>
        </w:rPr>
        <w:t>departamentas</w:t>
      </w:r>
      <w:r w:rsidRPr="2FED337E">
        <w:rPr>
          <w:rFonts w:asciiTheme="minorHAnsi" w:hAnsiTheme="minorHAnsi" w:cstheme="minorBidi"/>
          <w:smallCaps/>
          <w:sz w:val="22"/>
          <w:szCs w:val="22"/>
        </w:rPr>
        <w:br w:type="page"/>
      </w:r>
      <w:r w:rsidRPr="2FED337E">
        <w:rPr>
          <w:rFonts w:asciiTheme="minorHAnsi" w:hAnsiTheme="minorHAnsi" w:cstheme="minorBidi"/>
          <w:b/>
          <w:bCs/>
          <w:sz w:val="22"/>
          <w:szCs w:val="22"/>
        </w:rPr>
        <w:lastRenderedPageBreak/>
        <w:t>TURINY</w:t>
      </w:r>
      <w:r w:rsidR="00AA4BED" w:rsidRPr="2FED337E">
        <w:rPr>
          <w:rFonts w:asciiTheme="minorHAnsi" w:hAnsiTheme="minorHAnsi" w:cstheme="minorBidi"/>
          <w:b/>
          <w:bCs/>
          <w:sz w:val="22"/>
          <w:szCs w:val="22"/>
        </w:rPr>
        <w:t>S</w:t>
      </w:r>
      <w:bookmarkStart w:id="6" w:name="_Hlk529270320"/>
      <w:bookmarkStart w:id="7" w:name="_Toc120597382"/>
    </w:p>
    <w:p w14:paraId="25DE0F7F" w14:textId="77777777" w:rsidR="00462F0E" w:rsidRDefault="00A364C6">
      <w:pPr>
        <w:pStyle w:val="Turinys1"/>
        <w:rPr>
          <w:rFonts w:eastAsiaTheme="minorEastAsia" w:cstheme="minorBidi"/>
          <w:b w:val="0"/>
          <w:bCs w:val="0"/>
          <w:caps w:val="0"/>
          <w:noProof/>
          <w:sz w:val="24"/>
          <w:szCs w:val="24"/>
          <w:lang w:val="en-GB" w:eastAsia="en-GB"/>
        </w:rPr>
      </w:pPr>
      <w:r w:rsidRPr="005A0774">
        <w:rPr>
          <w:rFonts w:cstheme="minorBidi"/>
        </w:rPr>
        <w:fldChar w:fldCharType="begin"/>
      </w:r>
      <w:r w:rsidR="003D4C15" w:rsidRPr="2FED337E">
        <w:rPr>
          <w:rFonts w:cstheme="minorBidi"/>
        </w:rPr>
        <w:instrText xml:space="preserve"> TOC \o "1-3" \h \z \u </w:instrText>
      </w:r>
      <w:r w:rsidRPr="005A0774">
        <w:rPr>
          <w:rFonts w:cstheme="minorBidi"/>
        </w:rPr>
        <w:fldChar w:fldCharType="separate"/>
      </w:r>
      <w:hyperlink w:anchor="_Toc61261221" w:history="1">
        <w:r w:rsidR="00462F0E" w:rsidRPr="00356CDC">
          <w:rPr>
            <w:rStyle w:val="Hipersaitas"/>
            <w:rFonts w:cstheme="minorHAnsi"/>
            <w:noProof/>
          </w:rPr>
          <w:t>I. Administracinės bylos, kylančios iš ginčų dėl teisės viešojo administravimo srityje</w:t>
        </w:r>
        <w:r w:rsidR="00462F0E">
          <w:rPr>
            <w:noProof/>
            <w:webHidden/>
          </w:rPr>
          <w:tab/>
        </w:r>
        <w:r w:rsidR="00462F0E">
          <w:rPr>
            <w:noProof/>
            <w:webHidden/>
          </w:rPr>
          <w:fldChar w:fldCharType="begin"/>
        </w:r>
        <w:r w:rsidR="00462F0E">
          <w:rPr>
            <w:noProof/>
            <w:webHidden/>
          </w:rPr>
          <w:instrText xml:space="preserve"> PAGEREF _Toc61261221 \h </w:instrText>
        </w:r>
        <w:r w:rsidR="00462F0E">
          <w:rPr>
            <w:noProof/>
            <w:webHidden/>
          </w:rPr>
        </w:r>
        <w:r w:rsidR="00462F0E">
          <w:rPr>
            <w:noProof/>
            <w:webHidden/>
          </w:rPr>
          <w:fldChar w:fldCharType="separate"/>
        </w:r>
        <w:r w:rsidR="00462F0E">
          <w:rPr>
            <w:noProof/>
            <w:webHidden/>
          </w:rPr>
          <w:t>4</w:t>
        </w:r>
        <w:r w:rsidR="00462F0E">
          <w:rPr>
            <w:noProof/>
            <w:webHidden/>
          </w:rPr>
          <w:fldChar w:fldCharType="end"/>
        </w:r>
      </w:hyperlink>
    </w:p>
    <w:p w14:paraId="530551C1" w14:textId="77777777" w:rsidR="00462F0E" w:rsidRDefault="00822FF8">
      <w:pPr>
        <w:pStyle w:val="Turinys1"/>
        <w:rPr>
          <w:rFonts w:eastAsiaTheme="minorEastAsia" w:cstheme="minorBidi"/>
          <w:b w:val="0"/>
          <w:bCs w:val="0"/>
          <w:caps w:val="0"/>
          <w:noProof/>
          <w:sz w:val="24"/>
          <w:szCs w:val="24"/>
          <w:lang w:val="en-GB" w:eastAsia="en-GB"/>
        </w:rPr>
      </w:pPr>
      <w:hyperlink w:anchor="_Toc61261222" w:history="1">
        <w:r w:rsidR="00462F0E" w:rsidRPr="00356CDC">
          <w:rPr>
            <w:rStyle w:val="Hipersaitas"/>
            <w:rFonts w:cstheme="minorHAnsi"/>
            <w:noProof/>
          </w:rPr>
          <w:t>4. Norminių administracinių aktų teisėtumo patikra</w:t>
        </w:r>
        <w:r w:rsidR="00462F0E">
          <w:rPr>
            <w:noProof/>
            <w:webHidden/>
          </w:rPr>
          <w:tab/>
        </w:r>
        <w:r w:rsidR="00462F0E">
          <w:rPr>
            <w:noProof/>
            <w:webHidden/>
          </w:rPr>
          <w:fldChar w:fldCharType="begin"/>
        </w:r>
        <w:r w:rsidR="00462F0E">
          <w:rPr>
            <w:noProof/>
            <w:webHidden/>
          </w:rPr>
          <w:instrText xml:space="preserve"> PAGEREF _Toc61261222 \h </w:instrText>
        </w:r>
        <w:r w:rsidR="00462F0E">
          <w:rPr>
            <w:noProof/>
            <w:webHidden/>
          </w:rPr>
        </w:r>
        <w:r w:rsidR="00462F0E">
          <w:rPr>
            <w:noProof/>
            <w:webHidden/>
          </w:rPr>
          <w:fldChar w:fldCharType="separate"/>
        </w:r>
        <w:r w:rsidR="00462F0E">
          <w:rPr>
            <w:noProof/>
            <w:webHidden/>
          </w:rPr>
          <w:t>4</w:t>
        </w:r>
        <w:r w:rsidR="00462F0E">
          <w:rPr>
            <w:noProof/>
            <w:webHidden/>
          </w:rPr>
          <w:fldChar w:fldCharType="end"/>
        </w:r>
      </w:hyperlink>
    </w:p>
    <w:p w14:paraId="0E1E320E" w14:textId="77777777" w:rsidR="00462F0E" w:rsidRDefault="00822FF8">
      <w:pPr>
        <w:pStyle w:val="Turinys2"/>
        <w:rPr>
          <w:rFonts w:eastAsiaTheme="minorEastAsia" w:cstheme="minorBidi"/>
          <w:i w:val="0"/>
          <w:noProof/>
          <w:sz w:val="24"/>
          <w:szCs w:val="24"/>
          <w:lang w:val="en-GB" w:eastAsia="en-GB"/>
        </w:rPr>
      </w:pPr>
      <w:hyperlink w:anchor="_Toc61261223" w:history="1">
        <w:r w:rsidR="00462F0E" w:rsidRPr="00356CDC">
          <w:rPr>
            <w:rStyle w:val="Hipersaitas"/>
            <w:rFonts w:eastAsia="Calibri"/>
            <w:iCs/>
            <w:noProof/>
          </w:rPr>
          <w:t xml:space="preserve">Dėl </w:t>
        </w:r>
        <w:r w:rsidR="00462F0E" w:rsidRPr="00356CDC">
          <w:rPr>
            <w:rStyle w:val="Hipersaitas"/>
            <w:rFonts w:ascii="Calibri" w:eastAsia="Calibri" w:hAnsi="Calibri" w:cs="Calibri"/>
            <w:iCs/>
            <w:noProof/>
          </w:rPr>
          <w:t>elektroninių nedarbingumo pažymėjimų bei elektroninių nėštumo ir gimdymo atostogų pažymėjimų išdavimo taisyklių</w:t>
        </w:r>
        <w:r w:rsidR="00462F0E">
          <w:rPr>
            <w:noProof/>
            <w:webHidden/>
          </w:rPr>
          <w:tab/>
        </w:r>
        <w:r w:rsidR="00462F0E">
          <w:rPr>
            <w:noProof/>
            <w:webHidden/>
          </w:rPr>
          <w:fldChar w:fldCharType="begin"/>
        </w:r>
        <w:r w:rsidR="00462F0E">
          <w:rPr>
            <w:noProof/>
            <w:webHidden/>
          </w:rPr>
          <w:instrText xml:space="preserve"> PAGEREF _Toc61261223 \h </w:instrText>
        </w:r>
        <w:r w:rsidR="00462F0E">
          <w:rPr>
            <w:noProof/>
            <w:webHidden/>
          </w:rPr>
        </w:r>
        <w:r w:rsidR="00462F0E">
          <w:rPr>
            <w:noProof/>
            <w:webHidden/>
          </w:rPr>
          <w:fldChar w:fldCharType="separate"/>
        </w:r>
        <w:r w:rsidR="00462F0E">
          <w:rPr>
            <w:noProof/>
            <w:webHidden/>
          </w:rPr>
          <w:t>4</w:t>
        </w:r>
        <w:r w:rsidR="00462F0E">
          <w:rPr>
            <w:noProof/>
            <w:webHidden/>
          </w:rPr>
          <w:fldChar w:fldCharType="end"/>
        </w:r>
      </w:hyperlink>
    </w:p>
    <w:p w14:paraId="37730DDD" w14:textId="77777777" w:rsidR="00462F0E" w:rsidRDefault="00822FF8">
      <w:pPr>
        <w:pStyle w:val="Turinys1"/>
        <w:rPr>
          <w:rFonts w:eastAsiaTheme="minorEastAsia" w:cstheme="minorBidi"/>
          <w:b w:val="0"/>
          <w:bCs w:val="0"/>
          <w:caps w:val="0"/>
          <w:noProof/>
          <w:sz w:val="24"/>
          <w:szCs w:val="24"/>
          <w:lang w:val="en-GB" w:eastAsia="en-GB"/>
        </w:rPr>
      </w:pPr>
      <w:hyperlink w:anchor="_Toc61261224" w:history="1">
        <w:r w:rsidR="00462F0E" w:rsidRPr="00356CDC">
          <w:rPr>
            <w:rStyle w:val="Hipersaitas"/>
            <w:rFonts w:ascii="Calibri" w:hAnsi="Calibri" w:cs="Calibri"/>
            <w:noProof/>
          </w:rPr>
          <w:t>8. Užsieniečių teisinė padėtis</w:t>
        </w:r>
        <w:r w:rsidR="00462F0E">
          <w:rPr>
            <w:noProof/>
            <w:webHidden/>
          </w:rPr>
          <w:tab/>
        </w:r>
        <w:r w:rsidR="00462F0E">
          <w:rPr>
            <w:noProof/>
            <w:webHidden/>
          </w:rPr>
          <w:fldChar w:fldCharType="begin"/>
        </w:r>
        <w:r w:rsidR="00462F0E">
          <w:rPr>
            <w:noProof/>
            <w:webHidden/>
          </w:rPr>
          <w:instrText xml:space="preserve"> PAGEREF _Toc61261224 \h </w:instrText>
        </w:r>
        <w:r w:rsidR="00462F0E">
          <w:rPr>
            <w:noProof/>
            <w:webHidden/>
          </w:rPr>
        </w:r>
        <w:r w:rsidR="00462F0E">
          <w:rPr>
            <w:noProof/>
            <w:webHidden/>
          </w:rPr>
          <w:fldChar w:fldCharType="separate"/>
        </w:r>
        <w:r w:rsidR="00462F0E">
          <w:rPr>
            <w:noProof/>
            <w:webHidden/>
          </w:rPr>
          <w:t>5</w:t>
        </w:r>
        <w:r w:rsidR="00462F0E">
          <w:rPr>
            <w:noProof/>
            <w:webHidden/>
          </w:rPr>
          <w:fldChar w:fldCharType="end"/>
        </w:r>
      </w:hyperlink>
    </w:p>
    <w:p w14:paraId="53E7BBC3" w14:textId="77777777" w:rsidR="00462F0E" w:rsidRDefault="00822FF8">
      <w:pPr>
        <w:pStyle w:val="Turinys2"/>
        <w:rPr>
          <w:rFonts w:eastAsiaTheme="minorEastAsia" w:cstheme="minorBidi"/>
          <w:i w:val="0"/>
          <w:noProof/>
          <w:sz w:val="24"/>
          <w:szCs w:val="24"/>
          <w:lang w:val="en-GB" w:eastAsia="en-GB"/>
        </w:rPr>
      </w:pPr>
      <w:hyperlink w:anchor="_Toc61261225" w:history="1">
        <w:r w:rsidR="00462F0E" w:rsidRPr="00356CDC">
          <w:rPr>
            <w:rStyle w:val="Hipersaitas"/>
            <w:rFonts w:eastAsia="Calibri" w:cstheme="minorHAnsi"/>
            <w:noProof/>
          </w:rPr>
          <w:t>Dėl 5 metų draudimo atvykti į Lietuvos Respublikos teritoriją laikotarpio skaičiavimo</w:t>
        </w:r>
        <w:r w:rsidR="00462F0E">
          <w:rPr>
            <w:noProof/>
            <w:webHidden/>
          </w:rPr>
          <w:tab/>
        </w:r>
        <w:r w:rsidR="00462F0E">
          <w:rPr>
            <w:noProof/>
            <w:webHidden/>
          </w:rPr>
          <w:fldChar w:fldCharType="begin"/>
        </w:r>
        <w:r w:rsidR="00462F0E">
          <w:rPr>
            <w:noProof/>
            <w:webHidden/>
          </w:rPr>
          <w:instrText xml:space="preserve"> PAGEREF _Toc61261225 \h </w:instrText>
        </w:r>
        <w:r w:rsidR="00462F0E">
          <w:rPr>
            <w:noProof/>
            <w:webHidden/>
          </w:rPr>
        </w:r>
        <w:r w:rsidR="00462F0E">
          <w:rPr>
            <w:noProof/>
            <w:webHidden/>
          </w:rPr>
          <w:fldChar w:fldCharType="separate"/>
        </w:r>
        <w:r w:rsidR="00462F0E">
          <w:rPr>
            <w:noProof/>
            <w:webHidden/>
          </w:rPr>
          <w:t>5</w:t>
        </w:r>
        <w:r w:rsidR="00462F0E">
          <w:rPr>
            <w:noProof/>
            <w:webHidden/>
          </w:rPr>
          <w:fldChar w:fldCharType="end"/>
        </w:r>
      </w:hyperlink>
    </w:p>
    <w:p w14:paraId="7C1B17EE" w14:textId="77777777" w:rsidR="00462F0E" w:rsidRDefault="00822FF8">
      <w:pPr>
        <w:pStyle w:val="Turinys1"/>
        <w:rPr>
          <w:rFonts w:eastAsiaTheme="minorEastAsia" w:cstheme="minorBidi"/>
          <w:b w:val="0"/>
          <w:bCs w:val="0"/>
          <w:caps w:val="0"/>
          <w:noProof/>
          <w:sz w:val="24"/>
          <w:szCs w:val="24"/>
          <w:lang w:val="en-GB" w:eastAsia="en-GB"/>
        </w:rPr>
      </w:pPr>
      <w:hyperlink w:anchor="_Toc61261226" w:history="1">
        <w:r w:rsidR="00462F0E" w:rsidRPr="00356CDC">
          <w:rPr>
            <w:rStyle w:val="Hipersaitas"/>
            <w:rFonts w:ascii="Calibri" w:hAnsi="Calibri" w:cs="Calibri"/>
            <w:noProof/>
          </w:rPr>
          <w:t>10. Lietuvos Respublikos pilietybė</w:t>
        </w:r>
        <w:r w:rsidR="00462F0E">
          <w:rPr>
            <w:noProof/>
            <w:webHidden/>
          </w:rPr>
          <w:tab/>
        </w:r>
        <w:r w:rsidR="00462F0E">
          <w:rPr>
            <w:noProof/>
            <w:webHidden/>
          </w:rPr>
          <w:fldChar w:fldCharType="begin"/>
        </w:r>
        <w:r w:rsidR="00462F0E">
          <w:rPr>
            <w:noProof/>
            <w:webHidden/>
          </w:rPr>
          <w:instrText xml:space="preserve"> PAGEREF _Toc61261226 \h </w:instrText>
        </w:r>
        <w:r w:rsidR="00462F0E">
          <w:rPr>
            <w:noProof/>
            <w:webHidden/>
          </w:rPr>
        </w:r>
        <w:r w:rsidR="00462F0E">
          <w:rPr>
            <w:noProof/>
            <w:webHidden/>
          </w:rPr>
          <w:fldChar w:fldCharType="separate"/>
        </w:r>
        <w:r w:rsidR="00462F0E">
          <w:rPr>
            <w:noProof/>
            <w:webHidden/>
          </w:rPr>
          <w:t>5</w:t>
        </w:r>
        <w:r w:rsidR="00462F0E">
          <w:rPr>
            <w:noProof/>
            <w:webHidden/>
          </w:rPr>
          <w:fldChar w:fldCharType="end"/>
        </w:r>
      </w:hyperlink>
    </w:p>
    <w:p w14:paraId="3671FB79" w14:textId="77777777" w:rsidR="00462F0E" w:rsidRDefault="00822FF8">
      <w:pPr>
        <w:pStyle w:val="Turinys2"/>
        <w:rPr>
          <w:rFonts w:eastAsiaTheme="minorEastAsia" w:cstheme="minorBidi"/>
          <w:i w:val="0"/>
          <w:noProof/>
          <w:sz w:val="24"/>
          <w:szCs w:val="24"/>
          <w:lang w:val="en-GB" w:eastAsia="en-GB"/>
        </w:rPr>
      </w:pPr>
      <w:hyperlink w:anchor="_Toc61261227" w:history="1">
        <w:r w:rsidR="00462F0E" w:rsidRPr="00356CDC">
          <w:rPr>
            <w:rStyle w:val="Hipersaitas"/>
            <w:rFonts w:ascii="Calibri" w:eastAsia="Calibri" w:hAnsi="Calibri" w:cs="Calibri"/>
            <w:noProof/>
          </w:rPr>
          <w:t>Dėl galimybės skųsti Pilietybės reikalų komisijos raštą, kuriuo informuojama apie atsisakymą suteikti pilietybę</w:t>
        </w:r>
        <w:r w:rsidR="00462F0E">
          <w:rPr>
            <w:noProof/>
            <w:webHidden/>
          </w:rPr>
          <w:tab/>
        </w:r>
        <w:r w:rsidR="00462F0E">
          <w:rPr>
            <w:noProof/>
            <w:webHidden/>
          </w:rPr>
          <w:fldChar w:fldCharType="begin"/>
        </w:r>
        <w:r w:rsidR="00462F0E">
          <w:rPr>
            <w:noProof/>
            <w:webHidden/>
          </w:rPr>
          <w:instrText xml:space="preserve"> PAGEREF _Toc61261227 \h </w:instrText>
        </w:r>
        <w:r w:rsidR="00462F0E">
          <w:rPr>
            <w:noProof/>
            <w:webHidden/>
          </w:rPr>
        </w:r>
        <w:r w:rsidR="00462F0E">
          <w:rPr>
            <w:noProof/>
            <w:webHidden/>
          </w:rPr>
          <w:fldChar w:fldCharType="separate"/>
        </w:r>
        <w:r w:rsidR="00462F0E">
          <w:rPr>
            <w:noProof/>
            <w:webHidden/>
          </w:rPr>
          <w:t>5</w:t>
        </w:r>
        <w:r w:rsidR="00462F0E">
          <w:rPr>
            <w:noProof/>
            <w:webHidden/>
          </w:rPr>
          <w:fldChar w:fldCharType="end"/>
        </w:r>
      </w:hyperlink>
    </w:p>
    <w:p w14:paraId="4DC92E18" w14:textId="77777777" w:rsidR="00462F0E" w:rsidRDefault="00822FF8">
      <w:pPr>
        <w:pStyle w:val="Turinys2"/>
        <w:rPr>
          <w:rFonts w:eastAsiaTheme="minorEastAsia" w:cstheme="minorBidi"/>
          <w:i w:val="0"/>
          <w:noProof/>
          <w:sz w:val="24"/>
          <w:szCs w:val="24"/>
          <w:lang w:val="en-GB" w:eastAsia="en-GB"/>
        </w:rPr>
      </w:pPr>
      <w:hyperlink w:anchor="_Toc61261228" w:history="1">
        <w:r w:rsidR="00462F0E" w:rsidRPr="00356CDC">
          <w:rPr>
            <w:rStyle w:val="Hipersaitas"/>
            <w:rFonts w:ascii="Calibri" w:eastAsia="Calibri" w:hAnsi="Calibri" w:cs="Calibri"/>
            <w:noProof/>
          </w:rPr>
          <w:t>Dėl pareigos vertinti išvykimo iš Lietuvos Respublikos motyvus</w:t>
        </w:r>
        <w:r w:rsidR="00462F0E">
          <w:rPr>
            <w:noProof/>
            <w:webHidden/>
          </w:rPr>
          <w:tab/>
        </w:r>
        <w:r w:rsidR="00462F0E">
          <w:rPr>
            <w:noProof/>
            <w:webHidden/>
          </w:rPr>
          <w:fldChar w:fldCharType="begin"/>
        </w:r>
        <w:r w:rsidR="00462F0E">
          <w:rPr>
            <w:noProof/>
            <w:webHidden/>
          </w:rPr>
          <w:instrText xml:space="preserve"> PAGEREF _Toc61261228 \h </w:instrText>
        </w:r>
        <w:r w:rsidR="00462F0E">
          <w:rPr>
            <w:noProof/>
            <w:webHidden/>
          </w:rPr>
        </w:r>
        <w:r w:rsidR="00462F0E">
          <w:rPr>
            <w:noProof/>
            <w:webHidden/>
          </w:rPr>
          <w:fldChar w:fldCharType="separate"/>
        </w:r>
        <w:r w:rsidR="00462F0E">
          <w:rPr>
            <w:noProof/>
            <w:webHidden/>
          </w:rPr>
          <w:t>7</w:t>
        </w:r>
        <w:r w:rsidR="00462F0E">
          <w:rPr>
            <w:noProof/>
            <w:webHidden/>
          </w:rPr>
          <w:fldChar w:fldCharType="end"/>
        </w:r>
      </w:hyperlink>
    </w:p>
    <w:p w14:paraId="39FA2017" w14:textId="77777777" w:rsidR="00462F0E" w:rsidRDefault="00822FF8">
      <w:pPr>
        <w:pStyle w:val="Turinys1"/>
        <w:rPr>
          <w:rFonts w:eastAsiaTheme="minorEastAsia" w:cstheme="minorBidi"/>
          <w:b w:val="0"/>
          <w:bCs w:val="0"/>
          <w:caps w:val="0"/>
          <w:noProof/>
          <w:sz w:val="24"/>
          <w:szCs w:val="24"/>
          <w:lang w:val="en-GB" w:eastAsia="en-GB"/>
        </w:rPr>
      </w:pPr>
      <w:hyperlink w:anchor="_Toc61261229" w:history="1">
        <w:r w:rsidR="00462F0E" w:rsidRPr="00356CDC">
          <w:rPr>
            <w:rStyle w:val="Hipersaitas"/>
            <w:rFonts w:cstheme="minorHAnsi"/>
            <w:noProof/>
          </w:rPr>
          <w:t>12. Mokesčiai, įmokos ir kiti privalomieji mokėjimai</w:t>
        </w:r>
        <w:r w:rsidR="00462F0E">
          <w:rPr>
            <w:noProof/>
            <w:webHidden/>
          </w:rPr>
          <w:tab/>
        </w:r>
        <w:r w:rsidR="00462F0E">
          <w:rPr>
            <w:noProof/>
            <w:webHidden/>
          </w:rPr>
          <w:fldChar w:fldCharType="begin"/>
        </w:r>
        <w:r w:rsidR="00462F0E">
          <w:rPr>
            <w:noProof/>
            <w:webHidden/>
          </w:rPr>
          <w:instrText xml:space="preserve"> PAGEREF _Toc61261229 \h </w:instrText>
        </w:r>
        <w:r w:rsidR="00462F0E">
          <w:rPr>
            <w:noProof/>
            <w:webHidden/>
          </w:rPr>
        </w:r>
        <w:r w:rsidR="00462F0E">
          <w:rPr>
            <w:noProof/>
            <w:webHidden/>
          </w:rPr>
          <w:fldChar w:fldCharType="separate"/>
        </w:r>
        <w:r w:rsidR="00462F0E">
          <w:rPr>
            <w:noProof/>
            <w:webHidden/>
          </w:rPr>
          <w:t>8</w:t>
        </w:r>
        <w:r w:rsidR="00462F0E">
          <w:rPr>
            <w:noProof/>
            <w:webHidden/>
          </w:rPr>
          <w:fldChar w:fldCharType="end"/>
        </w:r>
      </w:hyperlink>
    </w:p>
    <w:p w14:paraId="4BADF63C" w14:textId="77777777" w:rsidR="00462F0E" w:rsidRDefault="00822FF8">
      <w:pPr>
        <w:pStyle w:val="Turinys2"/>
        <w:rPr>
          <w:rFonts w:eastAsiaTheme="minorEastAsia" w:cstheme="minorBidi"/>
          <w:i w:val="0"/>
          <w:noProof/>
          <w:sz w:val="24"/>
          <w:szCs w:val="24"/>
          <w:lang w:val="en-GB" w:eastAsia="en-GB"/>
        </w:rPr>
      </w:pPr>
      <w:hyperlink w:anchor="_Toc61261230" w:history="1">
        <w:r w:rsidR="00462F0E" w:rsidRPr="00356CDC">
          <w:rPr>
            <w:rStyle w:val="Hipersaitas"/>
            <w:rFonts w:eastAsia="Calibri"/>
            <w:iCs/>
            <w:noProof/>
          </w:rPr>
          <w:t>Dėl</w:t>
        </w:r>
        <w:r w:rsidR="00462F0E" w:rsidRPr="00356CDC">
          <w:rPr>
            <w:rStyle w:val="Hipersaitas"/>
            <w:noProof/>
          </w:rPr>
          <w:t xml:space="preserve"> </w:t>
        </w:r>
        <w:r w:rsidR="00462F0E" w:rsidRPr="00356CDC">
          <w:rPr>
            <w:rStyle w:val="Hipersaitas"/>
            <w:rFonts w:eastAsia="Calibri"/>
            <w:iCs/>
            <w:noProof/>
          </w:rPr>
          <w:t>savivaldybės tarybos teisės įpareigoti savivaldybės administracijos direktorių sudaryti ir tvirtinti apleisto ar neprižiūrimo nekilnojamojo turto sąrašą apmokestinimo nekilnojamojo turto mokesčiu tikslais</w:t>
        </w:r>
        <w:r w:rsidR="00462F0E">
          <w:rPr>
            <w:noProof/>
            <w:webHidden/>
          </w:rPr>
          <w:tab/>
        </w:r>
        <w:r w:rsidR="00462F0E">
          <w:rPr>
            <w:noProof/>
            <w:webHidden/>
          </w:rPr>
          <w:fldChar w:fldCharType="begin"/>
        </w:r>
        <w:r w:rsidR="00462F0E">
          <w:rPr>
            <w:noProof/>
            <w:webHidden/>
          </w:rPr>
          <w:instrText xml:space="preserve"> PAGEREF _Toc61261230 \h </w:instrText>
        </w:r>
        <w:r w:rsidR="00462F0E">
          <w:rPr>
            <w:noProof/>
            <w:webHidden/>
          </w:rPr>
        </w:r>
        <w:r w:rsidR="00462F0E">
          <w:rPr>
            <w:noProof/>
            <w:webHidden/>
          </w:rPr>
          <w:fldChar w:fldCharType="separate"/>
        </w:r>
        <w:r w:rsidR="00462F0E">
          <w:rPr>
            <w:noProof/>
            <w:webHidden/>
          </w:rPr>
          <w:t>8</w:t>
        </w:r>
        <w:r w:rsidR="00462F0E">
          <w:rPr>
            <w:noProof/>
            <w:webHidden/>
          </w:rPr>
          <w:fldChar w:fldCharType="end"/>
        </w:r>
      </w:hyperlink>
    </w:p>
    <w:p w14:paraId="6BCC3A81" w14:textId="77777777" w:rsidR="00462F0E" w:rsidRDefault="00822FF8">
      <w:pPr>
        <w:pStyle w:val="Turinys2"/>
        <w:rPr>
          <w:rFonts w:eastAsiaTheme="minorEastAsia" w:cstheme="minorBidi"/>
          <w:i w:val="0"/>
          <w:noProof/>
          <w:sz w:val="24"/>
          <w:szCs w:val="24"/>
          <w:lang w:val="en-GB" w:eastAsia="en-GB"/>
        </w:rPr>
      </w:pPr>
      <w:hyperlink w:anchor="_Toc61261231" w:history="1">
        <w:r w:rsidR="00462F0E" w:rsidRPr="00356CDC">
          <w:rPr>
            <w:rStyle w:val="Hipersaitas"/>
            <w:rFonts w:eastAsia="Calibri"/>
            <w:iCs/>
            <w:noProof/>
          </w:rPr>
          <w:t>Dėl</w:t>
        </w:r>
        <w:r w:rsidR="00462F0E" w:rsidRPr="00356CDC">
          <w:rPr>
            <w:rStyle w:val="Hipersaitas"/>
            <w:noProof/>
          </w:rPr>
          <w:t xml:space="preserve"> </w:t>
        </w:r>
        <w:r w:rsidR="00462F0E" w:rsidRPr="00356CDC">
          <w:rPr>
            <w:rStyle w:val="Hipersaitas"/>
            <w:rFonts w:eastAsia="Calibri"/>
            <w:iCs/>
            <w:noProof/>
            <w:lang w:val="lt"/>
          </w:rPr>
          <w:t>individualia odontologinės praktikos veikla ketinančio verstis fizinio asmens įregistravimo į Mokesčių mokėtojų registrą</w:t>
        </w:r>
        <w:r w:rsidR="00462F0E">
          <w:rPr>
            <w:noProof/>
            <w:webHidden/>
          </w:rPr>
          <w:tab/>
        </w:r>
        <w:r w:rsidR="00462F0E">
          <w:rPr>
            <w:noProof/>
            <w:webHidden/>
          </w:rPr>
          <w:fldChar w:fldCharType="begin"/>
        </w:r>
        <w:r w:rsidR="00462F0E">
          <w:rPr>
            <w:noProof/>
            <w:webHidden/>
          </w:rPr>
          <w:instrText xml:space="preserve"> PAGEREF _Toc61261231 \h </w:instrText>
        </w:r>
        <w:r w:rsidR="00462F0E">
          <w:rPr>
            <w:noProof/>
            <w:webHidden/>
          </w:rPr>
        </w:r>
        <w:r w:rsidR="00462F0E">
          <w:rPr>
            <w:noProof/>
            <w:webHidden/>
          </w:rPr>
          <w:fldChar w:fldCharType="separate"/>
        </w:r>
        <w:r w:rsidR="00462F0E">
          <w:rPr>
            <w:noProof/>
            <w:webHidden/>
          </w:rPr>
          <w:t>8</w:t>
        </w:r>
        <w:r w:rsidR="00462F0E">
          <w:rPr>
            <w:noProof/>
            <w:webHidden/>
          </w:rPr>
          <w:fldChar w:fldCharType="end"/>
        </w:r>
      </w:hyperlink>
    </w:p>
    <w:p w14:paraId="14ED577C" w14:textId="77777777" w:rsidR="00462F0E" w:rsidRDefault="00822FF8">
      <w:pPr>
        <w:pStyle w:val="Turinys1"/>
        <w:rPr>
          <w:rFonts w:eastAsiaTheme="minorEastAsia" w:cstheme="minorBidi"/>
          <w:b w:val="0"/>
          <w:bCs w:val="0"/>
          <w:caps w:val="0"/>
          <w:noProof/>
          <w:sz w:val="24"/>
          <w:szCs w:val="24"/>
          <w:lang w:val="en-GB" w:eastAsia="en-GB"/>
        </w:rPr>
      </w:pPr>
      <w:hyperlink w:anchor="_Toc61261232" w:history="1">
        <w:r w:rsidR="00462F0E" w:rsidRPr="00356CDC">
          <w:rPr>
            <w:rStyle w:val="Hipersaitas"/>
            <w:rFonts w:cstheme="minorHAnsi"/>
            <w:noProof/>
          </w:rPr>
          <w:t>14. Aplinkos apsauga</w:t>
        </w:r>
        <w:r w:rsidR="00462F0E">
          <w:rPr>
            <w:noProof/>
            <w:webHidden/>
          </w:rPr>
          <w:tab/>
        </w:r>
        <w:r w:rsidR="00462F0E">
          <w:rPr>
            <w:noProof/>
            <w:webHidden/>
          </w:rPr>
          <w:fldChar w:fldCharType="begin"/>
        </w:r>
        <w:r w:rsidR="00462F0E">
          <w:rPr>
            <w:noProof/>
            <w:webHidden/>
          </w:rPr>
          <w:instrText xml:space="preserve"> PAGEREF _Toc61261232 \h </w:instrText>
        </w:r>
        <w:r w:rsidR="00462F0E">
          <w:rPr>
            <w:noProof/>
            <w:webHidden/>
          </w:rPr>
        </w:r>
        <w:r w:rsidR="00462F0E">
          <w:rPr>
            <w:noProof/>
            <w:webHidden/>
          </w:rPr>
          <w:fldChar w:fldCharType="separate"/>
        </w:r>
        <w:r w:rsidR="00462F0E">
          <w:rPr>
            <w:noProof/>
            <w:webHidden/>
          </w:rPr>
          <w:t>10</w:t>
        </w:r>
        <w:r w:rsidR="00462F0E">
          <w:rPr>
            <w:noProof/>
            <w:webHidden/>
          </w:rPr>
          <w:fldChar w:fldCharType="end"/>
        </w:r>
      </w:hyperlink>
    </w:p>
    <w:p w14:paraId="7041E3D2" w14:textId="77777777" w:rsidR="00462F0E" w:rsidRDefault="00822FF8">
      <w:pPr>
        <w:pStyle w:val="Turinys2"/>
        <w:rPr>
          <w:rFonts w:eastAsiaTheme="minorEastAsia" w:cstheme="minorBidi"/>
          <w:i w:val="0"/>
          <w:noProof/>
          <w:sz w:val="24"/>
          <w:szCs w:val="24"/>
          <w:lang w:val="en-GB" w:eastAsia="en-GB"/>
        </w:rPr>
      </w:pPr>
      <w:hyperlink w:anchor="_Toc61261233" w:history="1">
        <w:r w:rsidR="00462F0E" w:rsidRPr="00356CDC">
          <w:rPr>
            <w:rStyle w:val="Hipersaitas"/>
            <w:rFonts w:eastAsia="Calibri" w:cstheme="minorHAnsi"/>
            <w:noProof/>
          </w:rPr>
          <w:t>Dėl didžiausios leidžiamos kvapo koncentracijos ribinės vertės gyvenamosios aplinkos ore nustatymo ir</w:t>
        </w:r>
        <w:r w:rsidR="00462F0E" w:rsidRPr="00356CDC">
          <w:rPr>
            <w:rStyle w:val="Hipersaitas"/>
            <w:rFonts w:cstheme="minorHAnsi"/>
            <w:noProof/>
          </w:rPr>
          <w:t xml:space="preserve"> viešumo principo ūkio subjektų veiklos priežiūros procedūroje</w:t>
        </w:r>
        <w:r w:rsidR="00462F0E">
          <w:rPr>
            <w:noProof/>
            <w:webHidden/>
          </w:rPr>
          <w:tab/>
        </w:r>
        <w:r w:rsidR="00462F0E">
          <w:rPr>
            <w:noProof/>
            <w:webHidden/>
          </w:rPr>
          <w:fldChar w:fldCharType="begin"/>
        </w:r>
        <w:r w:rsidR="00462F0E">
          <w:rPr>
            <w:noProof/>
            <w:webHidden/>
          </w:rPr>
          <w:instrText xml:space="preserve"> PAGEREF _Toc61261233 \h </w:instrText>
        </w:r>
        <w:r w:rsidR="00462F0E">
          <w:rPr>
            <w:noProof/>
            <w:webHidden/>
          </w:rPr>
        </w:r>
        <w:r w:rsidR="00462F0E">
          <w:rPr>
            <w:noProof/>
            <w:webHidden/>
          </w:rPr>
          <w:fldChar w:fldCharType="separate"/>
        </w:r>
        <w:r w:rsidR="00462F0E">
          <w:rPr>
            <w:noProof/>
            <w:webHidden/>
          </w:rPr>
          <w:t>10</w:t>
        </w:r>
        <w:r w:rsidR="00462F0E">
          <w:rPr>
            <w:noProof/>
            <w:webHidden/>
          </w:rPr>
          <w:fldChar w:fldCharType="end"/>
        </w:r>
      </w:hyperlink>
    </w:p>
    <w:p w14:paraId="2ACDDCD6" w14:textId="77777777" w:rsidR="00462F0E" w:rsidRDefault="00822FF8">
      <w:pPr>
        <w:pStyle w:val="Turinys1"/>
        <w:rPr>
          <w:rFonts w:eastAsiaTheme="minorEastAsia" w:cstheme="minorBidi"/>
          <w:b w:val="0"/>
          <w:bCs w:val="0"/>
          <w:caps w:val="0"/>
          <w:noProof/>
          <w:sz w:val="24"/>
          <w:szCs w:val="24"/>
          <w:lang w:val="en-GB" w:eastAsia="en-GB"/>
        </w:rPr>
      </w:pPr>
      <w:hyperlink w:anchor="_Toc61261234" w:history="1">
        <w:r w:rsidR="00462F0E" w:rsidRPr="00356CDC">
          <w:rPr>
            <w:rStyle w:val="Hipersaitas"/>
            <w:rFonts w:cstheme="minorHAnsi"/>
            <w:noProof/>
          </w:rPr>
          <w:t>15. Žemės teisiniai santykiai</w:t>
        </w:r>
        <w:r w:rsidR="00462F0E">
          <w:rPr>
            <w:noProof/>
            <w:webHidden/>
          </w:rPr>
          <w:tab/>
        </w:r>
        <w:r w:rsidR="00462F0E">
          <w:rPr>
            <w:noProof/>
            <w:webHidden/>
          </w:rPr>
          <w:fldChar w:fldCharType="begin"/>
        </w:r>
        <w:r w:rsidR="00462F0E">
          <w:rPr>
            <w:noProof/>
            <w:webHidden/>
          </w:rPr>
          <w:instrText xml:space="preserve"> PAGEREF _Toc61261234 \h </w:instrText>
        </w:r>
        <w:r w:rsidR="00462F0E">
          <w:rPr>
            <w:noProof/>
            <w:webHidden/>
          </w:rPr>
        </w:r>
        <w:r w:rsidR="00462F0E">
          <w:rPr>
            <w:noProof/>
            <w:webHidden/>
          </w:rPr>
          <w:fldChar w:fldCharType="separate"/>
        </w:r>
        <w:r w:rsidR="00462F0E">
          <w:rPr>
            <w:noProof/>
            <w:webHidden/>
          </w:rPr>
          <w:t>11</w:t>
        </w:r>
        <w:r w:rsidR="00462F0E">
          <w:rPr>
            <w:noProof/>
            <w:webHidden/>
          </w:rPr>
          <w:fldChar w:fldCharType="end"/>
        </w:r>
      </w:hyperlink>
    </w:p>
    <w:p w14:paraId="369DC6CC" w14:textId="77777777" w:rsidR="00462F0E" w:rsidRDefault="00822FF8">
      <w:pPr>
        <w:pStyle w:val="Turinys2"/>
        <w:rPr>
          <w:rFonts w:eastAsiaTheme="minorEastAsia" w:cstheme="minorBidi"/>
          <w:i w:val="0"/>
          <w:noProof/>
          <w:sz w:val="24"/>
          <w:szCs w:val="24"/>
          <w:lang w:val="en-GB" w:eastAsia="en-GB"/>
        </w:rPr>
      </w:pPr>
      <w:hyperlink w:anchor="_Toc61261235" w:history="1">
        <w:r w:rsidR="00462F0E" w:rsidRPr="00356CDC">
          <w:rPr>
            <w:rStyle w:val="Hipersaitas"/>
            <w:rFonts w:eastAsia="Calibri" w:cstheme="minorHAnsi"/>
            <w:noProof/>
          </w:rPr>
          <w:t>Dėl miško žemės pavertimo kitomis naudmenomis atstatant buvusią sodybą (formuojant sklypą gyvenamajam namui kartu su priklausiniais)</w:t>
        </w:r>
        <w:r w:rsidR="00462F0E">
          <w:rPr>
            <w:noProof/>
            <w:webHidden/>
          </w:rPr>
          <w:tab/>
        </w:r>
        <w:r w:rsidR="00462F0E">
          <w:rPr>
            <w:noProof/>
            <w:webHidden/>
          </w:rPr>
          <w:fldChar w:fldCharType="begin"/>
        </w:r>
        <w:r w:rsidR="00462F0E">
          <w:rPr>
            <w:noProof/>
            <w:webHidden/>
          </w:rPr>
          <w:instrText xml:space="preserve"> PAGEREF _Toc61261235 \h </w:instrText>
        </w:r>
        <w:r w:rsidR="00462F0E">
          <w:rPr>
            <w:noProof/>
            <w:webHidden/>
          </w:rPr>
        </w:r>
        <w:r w:rsidR="00462F0E">
          <w:rPr>
            <w:noProof/>
            <w:webHidden/>
          </w:rPr>
          <w:fldChar w:fldCharType="separate"/>
        </w:r>
        <w:r w:rsidR="00462F0E">
          <w:rPr>
            <w:noProof/>
            <w:webHidden/>
          </w:rPr>
          <w:t>11</w:t>
        </w:r>
        <w:r w:rsidR="00462F0E">
          <w:rPr>
            <w:noProof/>
            <w:webHidden/>
          </w:rPr>
          <w:fldChar w:fldCharType="end"/>
        </w:r>
      </w:hyperlink>
    </w:p>
    <w:p w14:paraId="5DE05DC5" w14:textId="77777777" w:rsidR="00462F0E" w:rsidRDefault="00822FF8">
      <w:pPr>
        <w:pStyle w:val="Turinys1"/>
        <w:rPr>
          <w:rFonts w:eastAsiaTheme="minorEastAsia" w:cstheme="minorBidi"/>
          <w:b w:val="0"/>
          <w:bCs w:val="0"/>
          <w:caps w:val="0"/>
          <w:noProof/>
          <w:sz w:val="24"/>
          <w:szCs w:val="24"/>
          <w:lang w:val="en-GB" w:eastAsia="en-GB"/>
        </w:rPr>
      </w:pPr>
      <w:hyperlink w:anchor="_Toc61261236" w:history="1">
        <w:r w:rsidR="00462F0E" w:rsidRPr="00356CDC">
          <w:rPr>
            <w:rStyle w:val="Hipersaitas"/>
            <w:rFonts w:cstheme="minorHAnsi"/>
            <w:noProof/>
          </w:rPr>
          <w:t>16. Teritorijų planavimas</w:t>
        </w:r>
        <w:r w:rsidR="00462F0E">
          <w:rPr>
            <w:noProof/>
            <w:webHidden/>
          </w:rPr>
          <w:tab/>
        </w:r>
        <w:r w:rsidR="00462F0E">
          <w:rPr>
            <w:noProof/>
            <w:webHidden/>
          </w:rPr>
          <w:fldChar w:fldCharType="begin"/>
        </w:r>
        <w:r w:rsidR="00462F0E">
          <w:rPr>
            <w:noProof/>
            <w:webHidden/>
          </w:rPr>
          <w:instrText xml:space="preserve"> PAGEREF _Toc61261236 \h </w:instrText>
        </w:r>
        <w:r w:rsidR="00462F0E">
          <w:rPr>
            <w:noProof/>
            <w:webHidden/>
          </w:rPr>
        </w:r>
        <w:r w:rsidR="00462F0E">
          <w:rPr>
            <w:noProof/>
            <w:webHidden/>
          </w:rPr>
          <w:fldChar w:fldCharType="separate"/>
        </w:r>
        <w:r w:rsidR="00462F0E">
          <w:rPr>
            <w:noProof/>
            <w:webHidden/>
          </w:rPr>
          <w:t>12</w:t>
        </w:r>
        <w:r w:rsidR="00462F0E">
          <w:rPr>
            <w:noProof/>
            <w:webHidden/>
          </w:rPr>
          <w:fldChar w:fldCharType="end"/>
        </w:r>
      </w:hyperlink>
    </w:p>
    <w:p w14:paraId="037A2A5C" w14:textId="77777777" w:rsidR="00462F0E" w:rsidRDefault="00822FF8">
      <w:pPr>
        <w:pStyle w:val="Turinys2"/>
        <w:rPr>
          <w:rFonts w:eastAsiaTheme="minorEastAsia" w:cstheme="minorBidi"/>
          <w:i w:val="0"/>
          <w:noProof/>
          <w:sz w:val="24"/>
          <w:szCs w:val="24"/>
          <w:lang w:val="en-GB" w:eastAsia="en-GB"/>
        </w:rPr>
      </w:pPr>
      <w:hyperlink w:anchor="_Toc61261237" w:history="1">
        <w:r w:rsidR="00462F0E" w:rsidRPr="00356CDC">
          <w:rPr>
            <w:rStyle w:val="Hipersaitas"/>
            <w:rFonts w:eastAsia="Calibri" w:cstheme="minorHAnsi"/>
            <w:noProof/>
          </w:rPr>
          <w:t>Dėl galimybės daugiau nei vieną kartą pasinaudoti lengvata ūkininkams statyti ūkininko sodybą nerengiant detaliojo plano</w:t>
        </w:r>
        <w:r w:rsidR="00462F0E">
          <w:rPr>
            <w:noProof/>
            <w:webHidden/>
          </w:rPr>
          <w:tab/>
        </w:r>
        <w:r w:rsidR="00462F0E">
          <w:rPr>
            <w:noProof/>
            <w:webHidden/>
          </w:rPr>
          <w:fldChar w:fldCharType="begin"/>
        </w:r>
        <w:r w:rsidR="00462F0E">
          <w:rPr>
            <w:noProof/>
            <w:webHidden/>
          </w:rPr>
          <w:instrText xml:space="preserve"> PAGEREF _Toc61261237 \h </w:instrText>
        </w:r>
        <w:r w:rsidR="00462F0E">
          <w:rPr>
            <w:noProof/>
            <w:webHidden/>
          </w:rPr>
        </w:r>
        <w:r w:rsidR="00462F0E">
          <w:rPr>
            <w:noProof/>
            <w:webHidden/>
          </w:rPr>
          <w:fldChar w:fldCharType="separate"/>
        </w:r>
        <w:r w:rsidR="00462F0E">
          <w:rPr>
            <w:noProof/>
            <w:webHidden/>
          </w:rPr>
          <w:t>12</w:t>
        </w:r>
        <w:r w:rsidR="00462F0E">
          <w:rPr>
            <w:noProof/>
            <w:webHidden/>
          </w:rPr>
          <w:fldChar w:fldCharType="end"/>
        </w:r>
      </w:hyperlink>
    </w:p>
    <w:p w14:paraId="00B7AC18" w14:textId="77777777" w:rsidR="00462F0E" w:rsidRDefault="00822FF8">
      <w:pPr>
        <w:pStyle w:val="Turinys1"/>
        <w:rPr>
          <w:rFonts w:eastAsiaTheme="minorEastAsia" w:cstheme="minorBidi"/>
          <w:b w:val="0"/>
          <w:bCs w:val="0"/>
          <w:caps w:val="0"/>
          <w:noProof/>
          <w:sz w:val="24"/>
          <w:szCs w:val="24"/>
          <w:lang w:val="en-GB" w:eastAsia="en-GB"/>
        </w:rPr>
      </w:pPr>
      <w:hyperlink w:anchor="_Toc61261238" w:history="1">
        <w:r w:rsidR="00462F0E" w:rsidRPr="00356CDC">
          <w:rPr>
            <w:rStyle w:val="Hipersaitas"/>
            <w:rFonts w:cstheme="minorHAnsi"/>
            <w:noProof/>
          </w:rPr>
          <w:t>17. Statyba</w:t>
        </w:r>
        <w:r w:rsidR="00462F0E">
          <w:rPr>
            <w:noProof/>
            <w:webHidden/>
          </w:rPr>
          <w:tab/>
        </w:r>
        <w:r w:rsidR="00462F0E">
          <w:rPr>
            <w:noProof/>
            <w:webHidden/>
          </w:rPr>
          <w:fldChar w:fldCharType="begin"/>
        </w:r>
        <w:r w:rsidR="00462F0E">
          <w:rPr>
            <w:noProof/>
            <w:webHidden/>
          </w:rPr>
          <w:instrText xml:space="preserve"> PAGEREF _Toc61261238 \h </w:instrText>
        </w:r>
        <w:r w:rsidR="00462F0E">
          <w:rPr>
            <w:noProof/>
            <w:webHidden/>
          </w:rPr>
        </w:r>
        <w:r w:rsidR="00462F0E">
          <w:rPr>
            <w:noProof/>
            <w:webHidden/>
          </w:rPr>
          <w:fldChar w:fldCharType="separate"/>
        </w:r>
        <w:r w:rsidR="00462F0E">
          <w:rPr>
            <w:noProof/>
            <w:webHidden/>
          </w:rPr>
          <w:t>13</w:t>
        </w:r>
        <w:r w:rsidR="00462F0E">
          <w:rPr>
            <w:noProof/>
            <w:webHidden/>
          </w:rPr>
          <w:fldChar w:fldCharType="end"/>
        </w:r>
      </w:hyperlink>
    </w:p>
    <w:p w14:paraId="2151CFB1" w14:textId="77777777" w:rsidR="00462F0E" w:rsidRDefault="00822FF8">
      <w:pPr>
        <w:pStyle w:val="Turinys2"/>
        <w:rPr>
          <w:rFonts w:eastAsiaTheme="minorEastAsia" w:cstheme="minorBidi"/>
          <w:i w:val="0"/>
          <w:noProof/>
          <w:sz w:val="24"/>
          <w:szCs w:val="24"/>
          <w:lang w:val="en-GB" w:eastAsia="en-GB"/>
        </w:rPr>
      </w:pPr>
      <w:hyperlink w:anchor="_Toc61261239" w:history="1">
        <w:r w:rsidR="00462F0E" w:rsidRPr="00356CDC">
          <w:rPr>
            <w:rStyle w:val="Hipersaitas"/>
            <w:rFonts w:eastAsia="Calibri" w:cstheme="minorHAnsi"/>
            <w:noProof/>
          </w:rPr>
          <w:t>Dėl privalomojo nurodymo pašalinti savavališkos statybos padarinius įvykdymo termino pratęsimo, kai asmuo ginčija savavališkos statybos aktą ir privalomąjį nurodymą</w:t>
        </w:r>
        <w:r w:rsidR="00462F0E">
          <w:rPr>
            <w:noProof/>
            <w:webHidden/>
          </w:rPr>
          <w:tab/>
        </w:r>
        <w:r w:rsidR="00462F0E">
          <w:rPr>
            <w:noProof/>
            <w:webHidden/>
          </w:rPr>
          <w:fldChar w:fldCharType="begin"/>
        </w:r>
        <w:r w:rsidR="00462F0E">
          <w:rPr>
            <w:noProof/>
            <w:webHidden/>
          </w:rPr>
          <w:instrText xml:space="preserve"> PAGEREF _Toc61261239 \h </w:instrText>
        </w:r>
        <w:r w:rsidR="00462F0E">
          <w:rPr>
            <w:noProof/>
            <w:webHidden/>
          </w:rPr>
        </w:r>
        <w:r w:rsidR="00462F0E">
          <w:rPr>
            <w:noProof/>
            <w:webHidden/>
          </w:rPr>
          <w:fldChar w:fldCharType="separate"/>
        </w:r>
        <w:r w:rsidR="00462F0E">
          <w:rPr>
            <w:noProof/>
            <w:webHidden/>
          </w:rPr>
          <w:t>13</w:t>
        </w:r>
        <w:r w:rsidR="00462F0E">
          <w:rPr>
            <w:noProof/>
            <w:webHidden/>
          </w:rPr>
          <w:fldChar w:fldCharType="end"/>
        </w:r>
      </w:hyperlink>
    </w:p>
    <w:p w14:paraId="5A996AE7" w14:textId="77777777" w:rsidR="00462F0E" w:rsidRDefault="00822FF8">
      <w:pPr>
        <w:pStyle w:val="Turinys1"/>
        <w:rPr>
          <w:rFonts w:eastAsiaTheme="minorEastAsia" w:cstheme="minorBidi"/>
          <w:b w:val="0"/>
          <w:bCs w:val="0"/>
          <w:caps w:val="0"/>
          <w:noProof/>
          <w:sz w:val="24"/>
          <w:szCs w:val="24"/>
          <w:lang w:val="en-GB" w:eastAsia="en-GB"/>
        </w:rPr>
      </w:pPr>
      <w:hyperlink w:anchor="_Toc61261240" w:history="1">
        <w:r w:rsidR="00462F0E" w:rsidRPr="00356CDC">
          <w:rPr>
            <w:rStyle w:val="Hipersaitas"/>
            <w:rFonts w:cstheme="minorHAnsi"/>
            <w:noProof/>
          </w:rPr>
          <w:t>20. Civilinė atsakomybė už žalą, atsiradusią dėl valdžios institucijų neteisėtų veiksmų</w:t>
        </w:r>
        <w:r w:rsidR="00462F0E">
          <w:rPr>
            <w:noProof/>
            <w:webHidden/>
          </w:rPr>
          <w:tab/>
        </w:r>
        <w:r w:rsidR="00462F0E">
          <w:rPr>
            <w:noProof/>
            <w:webHidden/>
          </w:rPr>
          <w:fldChar w:fldCharType="begin"/>
        </w:r>
        <w:r w:rsidR="00462F0E">
          <w:rPr>
            <w:noProof/>
            <w:webHidden/>
          </w:rPr>
          <w:instrText xml:space="preserve"> PAGEREF _Toc61261240 \h </w:instrText>
        </w:r>
        <w:r w:rsidR="00462F0E">
          <w:rPr>
            <w:noProof/>
            <w:webHidden/>
          </w:rPr>
        </w:r>
        <w:r w:rsidR="00462F0E">
          <w:rPr>
            <w:noProof/>
            <w:webHidden/>
          </w:rPr>
          <w:fldChar w:fldCharType="separate"/>
        </w:r>
        <w:r w:rsidR="00462F0E">
          <w:rPr>
            <w:noProof/>
            <w:webHidden/>
          </w:rPr>
          <w:t>14</w:t>
        </w:r>
        <w:r w:rsidR="00462F0E">
          <w:rPr>
            <w:noProof/>
            <w:webHidden/>
          </w:rPr>
          <w:fldChar w:fldCharType="end"/>
        </w:r>
      </w:hyperlink>
    </w:p>
    <w:p w14:paraId="4AA70EB3" w14:textId="77777777" w:rsidR="00462F0E" w:rsidRDefault="00822FF8">
      <w:pPr>
        <w:pStyle w:val="Turinys2"/>
        <w:rPr>
          <w:rFonts w:eastAsiaTheme="minorEastAsia" w:cstheme="minorBidi"/>
          <w:i w:val="0"/>
          <w:noProof/>
          <w:sz w:val="24"/>
          <w:szCs w:val="24"/>
          <w:lang w:val="en-GB" w:eastAsia="en-GB"/>
        </w:rPr>
      </w:pPr>
      <w:hyperlink w:anchor="_Toc61261241" w:history="1">
        <w:r w:rsidR="00462F0E" w:rsidRPr="00356CDC">
          <w:rPr>
            <w:rStyle w:val="Hipersaitas"/>
            <w:rFonts w:eastAsia="Calibri" w:cstheme="minorHAnsi"/>
            <w:bCs/>
            <w:iCs/>
            <w:noProof/>
            <w:shd w:val="clear" w:color="auto" w:fill="FFFFFF"/>
            <w:lang w:eastAsia="en-US"/>
          </w:rPr>
          <w:t>Dėl administracinio nusižengimo teisenoje (ne teisme) patirtų atstovavimo išlaidų priteisimo</w:t>
        </w:r>
        <w:r w:rsidR="00462F0E">
          <w:rPr>
            <w:noProof/>
            <w:webHidden/>
          </w:rPr>
          <w:tab/>
        </w:r>
        <w:r w:rsidR="00462F0E">
          <w:rPr>
            <w:noProof/>
            <w:webHidden/>
          </w:rPr>
          <w:fldChar w:fldCharType="begin"/>
        </w:r>
        <w:r w:rsidR="00462F0E">
          <w:rPr>
            <w:noProof/>
            <w:webHidden/>
          </w:rPr>
          <w:instrText xml:space="preserve"> PAGEREF _Toc61261241 \h </w:instrText>
        </w:r>
        <w:r w:rsidR="00462F0E">
          <w:rPr>
            <w:noProof/>
            <w:webHidden/>
          </w:rPr>
        </w:r>
        <w:r w:rsidR="00462F0E">
          <w:rPr>
            <w:noProof/>
            <w:webHidden/>
          </w:rPr>
          <w:fldChar w:fldCharType="separate"/>
        </w:r>
        <w:r w:rsidR="00462F0E">
          <w:rPr>
            <w:noProof/>
            <w:webHidden/>
          </w:rPr>
          <w:t>14</w:t>
        </w:r>
        <w:r w:rsidR="00462F0E">
          <w:rPr>
            <w:noProof/>
            <w:webHidden/>
          </w:rPr>
          <w:fldChar w:fldCharType="end"/>
        </w:r>
      </w:hyperlink>
    </w:p>
    <w:p w14:paraId="05EBC50B" w14:textId="77777777" w:rsidR="00462F0E" w:rsidRDefault="00822FF8">
      <w:pPr>
        <w:pStyle w:val="Turinys2"/>
        <w:rPr>
          <w:rFonts w:eastAsiaTheme="minorEastAsia" w:cstheme="minorBidi"/>
          <w:i w:val="0"/>
          <w:noProof/>
          <w:sz w:val="24"/>
          <w:szCs w:val="24"/>
          <w:lang w:val="en-GB" w:eastAsia="en-GB"/>
        </w:rPr>
      </w:pPr>
      <w:hyperlink w:anchor="_Toc61261242" w:history="1">
        <w:r w:rsidR="00462F0E" w:rsidRPr="00356CDC">
          <w:rPr>
            <w:rStyle w:val="Hipersaitas"/>
            <w:rFonts w:eastAsia="Calibri" w:cstheme="minorHAnsi"/>
            <w:bCs/>
            <w:iCs/>
            <w:noProof/>
            <w:shd w:val="clear" w:color="auto" w:fill="FFFFFF"/>
            <w:lang w:eastAsia="en-US"/>
          </w:rPr>
          <w:t>Dėl žalos atlyginimo žuvus asmeniui dėl pareigūno panaudoto šaunamojo ginklo stabdant automobilį</w:t>
        </w:r>
        <w:r w:rsidR="00462F0E">
          <w:rPr>
            <w:noProof/>
            <w:webHidden/>
          </w:rPr>
          <w:tab/>
        </w:r>
        <w:r w:rsidR="00462F0E">
          <w:rPr>
            <w:noProof/>
            <w:webHidden/>
          </w:rPr>
          <w:fldChar w:fldCharType="begin"/>
        </w:r>
        <w:r w:rsidR="00462F0E">
          <w:rPr>
            <w:noProof/>
            <w:webHidden/>
          </w:rPr>
          <w:instrText xml:space="preserve"> PAGEREF _Toc61261242 \h </w:instrText>
        </w:r>
        <w:r w:rsidR="00462F0E">
          <w:rPr>
            <w:noProof/>
            <w:webHidden/>
          </w:rPr>
        </w:r>
        <w:r w:rsidR="00462F0E">
          <w:rPr>
            <w:noProof/>
            <w:webHidden/>
          </w:rPr>
          <w:fldChar w:fldCharType="separate"/>
        </w:r>
        <w:r w:rsidR="00462F0E">
          <w:rPr>
            <w:noProof/>
            <w:webHidden/>
          </w:rPr>
          <w:t>15</w:t>
        </w:r>
        <w:r w:rsidR="00462F0E">
          <w:rPr>
            <w:noProof/>
            <w:webHidden/>
          </w:rPr>
          <w:fldChar w:fldCharType="end"/>
        </w:r>
      </w:hyperlink>
    </w:p>
    <w:p w14:paraId="40F2EC92" w14:textId="77777777" w:rsidR="00462F0E" w:rsidRDefault="00822FF8">
      <w:pPr>
        <w:pStyle w:val="Turinys2"/>
        <w:rPr>
          <w:rFonts w:eastAsiaTheme="minorEastAsia" w:cstheme="minorBidi"/>
          <w:i w:val="0"/>
          <w:noProof/>
          <w:sz w:val="24"/>
          <w:szCs w:val="24"/>
          <w:lang w:val="en-GB" w:eastAsia="en-GB"/>
        </w:rPr>
      </w:pPr>
      <w:hyperlink w:anchor="_Toc61261243" w:history="1">
        <w:r w:rsidR="00462F0E" w:rsidRPr="00356CDC">
          <w:rPr>
            <w:rStyle w:val="Hipersaitas"/>
            <w:rFonts w:eastAsia="Calibri" w:cstheme="minorHAnsi"/>
            <w:bCs/>
            <w:iCs/>
            <w:noProof/>
            <w:shd w:val="clear" w:color="auto" w:fill="FFFFFF"/>
            <w:lang w:eastAsia="en-US"/>
          </w:rPr>
          <w:t>Dėl suimtiesiems leidžiamų perduoti daiktų</w:t>
        </w:r>
        <w:r w:rsidR="00462F0E">
          <w:rPr>
            <w:noProof/>
            <w:webHidden/>
          </w:rPr>
          <w:tab/>
        </w:r>
        <w:r w:rsidR="00462F0E">
          <w:rPr>
            <w:noProof/>
            <w:webHidden/>
          </w:rPr>
          <w:fldChar w:fldCharType="begin"/>
        </w:r>
        <w:r w:rsidR="00462F0E">
          <w:rPr>
            <w:noProof/>
            <w:webHidden/>
          </w:rPr>
          <w:instrText xml:space="preserve"> PAGEREF _Toc61261243 \h </w:instrText>
        </w:r>
        <w:r w:rsidR="00462F0E">
          <w:rPr>
            <w:noProof/>
            <w:webHidden/>
          </w:rPr>
        </w:r>
        <w:r w:rsidR="00462F0E">
          <w:rPr>
            <w:noProof/>
            <w:webHidden/>
          </w:rPr>
          <w:fldChar w:fldCharType="separate"/>
        </w:r>
        <w:r w:rsidR="00462F0E">
          <w:rPr>
            <w:noProof/>
            <w:webHidden/>
          </w:rPr>
          <w:t>16</w:t>
        </w:r>
        <w:r w:rsidR="00462F0E">
          <w:rPr>
            <w:noProof/>
            <w:webHidden/>
          </w:rPr>
          <w:fldChar w:fldCharType="end"/>
        </w:r>
      </w:hyperlink>
    </w:p>
    <w:p w14:paraId="426A7202" w14:textId="77777777" w:rsidR="00462F0E" w:rsidRDefault="00822FF8">
      <w:pPr>
        <w:pStyle w:val="Turinys1"/>
        <w:rPr>
          <w:rFonts w:eastAsiaTheme="minorEastAsia" w:cstheme="minorBidi"/>
          <w:b w:val="0"/>
          <w:bCs w:val="0"/>
          <w:caps w:val="0"/>
          <w:noProof/>
          <w:sz w:val="24"/>
          <w:szCs w:val="24"/>
          <w:lang w:val="en-GB" w:eastAsia="en-GB"/>
        </w:rPr>
      </w:pPr>
      <w:hyperlink w:anchor="_Toc61261244" w:history="1">
        <w:r w:rsidR="00462F0E" w:rsidRPr="00356CDC">
          <w:rPr>
            <w:rStyle w:val="Hipersaitas"/>
            <w:rFonts w:ascii="Calibri" w:hAnsi="Calibri" w:cs="Calibri"/>
            <w:noProof/>
          </w:rPr>
          <w:t>22. Kiti su valstybės tarnyba susiję klausimai</w:t>
        </w:r>
        <w:r w:rsidR="00462F0E">
          <w:rPr>
            <w:noProof/>
            <w:webHidden/>
          </w:rPr>
          <w:tab/>
        </w:r>
        <w:r w:rsidR="00462F0E">
          <w:rPr>
            <w:noProof/>
            <w:webHidden/>
          </w:rPr>
          <w:fldChar w:fldCharType="begin"/>
        </w:r>
        <w:r w:rsidR="00462F0E">
          <w:rPr>
            <w:noProof/>
            <w:webHidden/>
          </w:rPr>
          <w:instrText xml:space="preserve"> PAGEREF _Toc61261244 \h </w:instrText>
        </w:r>
        <w:r w:rsidR="00462F0E">
          <w:rPr>
            <w:noProof/>
            <w:webHidden/>
          </w:rPr>
        </w:r>
        <w:r w:rsidR="00462F0E">
          <w:rPr>
            <w:noProof/>
            <w:webHidden/>
          </w:rPr>
          <w:fldChar w:fldCharType="separate"/>
        </w:r>
        <w:r w:rsidR="00462F0E">
          <w:rPr>
            <w:noProof/>
            <w:webHidden/>
          </w:rPr>
          <w:t>17</w:t>
        </w:r>
        <w:r w:rsidR="00462F0E">
          <w:rPr>
            <w:noProof/>
            <w:webHidden/>
          </w:rPr>
          <w:fldChar w:fldCharType="end"/>
        </w:r>
      </w:hyperlink>
    </w:p>
    <w:p w14:paraId="08A48FD2" w14:textId="77777777" w:rsidR="00462F0E" w:rsidRDefault="00822FF8">
      <w:pPr>
        <w:pStyle w:val="Turinys2"/>
        <w:rPr>
          <w:rFonts w:eastAsiaTheme="minorEastAsia" w:cstheme="minorBidi"/>
          <w:i w:val="0"/>
          <w:noProof/>
          <w:sz w:val="24"/>
          <w:szCs w:val="24"/>
          <w:lang w:val="en-GB" w:eastAsia="en-GB"/>
        </w:rPr>
      </w:pPr>
      <w:hyperlink w:anchor="_Toc61261245" w:history="1">
        <w:r w:rsidR="00462F0E" w:rsidRPr="00356CDC">
          <w:rPr>
            <w:rStyle w:val="Hipersaitas"/>
            <w:rFonts w:ascii="Calibri" w:eastAsia="Calibri" w:hAnsi="Calibri" w:cs="Calibri"/>
            <w:iCs/>
            <w:noProof/>
          </w:rPr>
          <w:t>Dėl valstybės tarnautojo statuso atkūrimo diplomato sutuoktinei, leidžiant užimti aukštesnes pareigas</w:t>
        </w:r>
        <w:r w:rsidR="00462F0E">
          <w:rPr>
            <w:noProof/>
            <w:webHidden/>
          </w:rPr>
          <w:tab/>
        </w:r>
        <w:r w:rsidR="00462F0E">
          <w:rPr>
            <w:noProof/>
            <w:webHidden/>
          </w:rPr>
          <w:fldChar w:fldCharType="begin"/>
        </w:r>
        <w:r w:rsidR="00462F0E">
          <w:rPr>
            <w:noProof/>
            <w:webHidden/>
          </w:rPr>
          <w:instrText xml:space="preserve"> PAGEREF _Toc61261245 \h </w:instrText>
        </w:r>
        <w:r w:rsidR="00462F0E">
          <w:rPr>
            <w:noProof/>
            <w:webHidden/>
          </w:rPr>
        </w:r>
        <w:r w:rsidR="00462F0E">
          <w:rPr>
            <w:noProof/>
            <w:webHidden/>
          </w:rPr>
          <w:fldChar w:fldCharType="separate"/>
        </w:r>
        <w:r w:rsidR="00462F0E">
          <w:rPr>
            <w:noProof/>
            <w:webHidden/>
          </w:rPr>
          <w:t>17</w:t>
        </w:r>
        <w:r w:rsidR="00462F0E">
          <w:rPr>
            <w:noProof/>
            <w:webHidden/>
          </w:rPr>
          <w:fldChar w:fldCharType="end"/>
        </w:r>
      </w:hyperlink>
    </w:p>
    <w:p w14:paraId="2C2E1DA4" w14:textId="77777777" w:rsidR="00462F0E" w:rsidRDefault="00822FF8">
      <w:pPr>
        <w:pStyle w:val="Turinys1"/>
        <w:rPr>
          <w:rFonts w:eastAsiaTheme="minorEastAsia" w:cstheme="minorBidi"/>
          <w:b w:val="0"/>
          <w:bCs w:val="0"/>
          <w:caps w:val="0"/>
          <w:noProof/>
          <w:sz w:val="24"/>
          <w:szCs w:val="24"/>
          <w:lang w:val="en-GB" w:eastAsia="en-GB"/>
        </w:rPr>
      </w:pPr>
      <w:hyperlink w:anchor="_Toc61261246" w:history="1">
        <w:r w:rsidR="00462F0E" w:rsidRPr="00356CDC">
          <w:rPr>
            <w:rStyle w:val="Hipersaitas"/>
            <w:rFonts w:ascii="Calibri" w:hAnsi="Calibri" w:cs="Calibri"/>
            <w:noProof/>
          </w:rPr>
          <w:t>23. Vyriausiosios tarnybinės etikos komisijos sprendimai</w:t>
        </w:r>
        <w:r w:rsidR="00462F0E">
          <w:rPr>
            <w:noProof/>
            <w:webHidden/>
          </w:rPr>
          <w:tab/>
        </w:r>
        <w:r w:rsidR="00462F0E">
          <w:rPr>
            <w:noProof/>
            <w:webHidden/>
          </w:rPr>
          <w:fldChar w:fldCharType="begin"/>
        </w:r>
        <w:r w:rsidR="00462F0E">
          <w:rPr>
            <w:noProof/>
            <w:webHidden/>
          </w:rPr>
          <w:instrText xml:space="preserve"> PAGEREF _Toc61261246 \h </w:instrText>
        </w:r>
        <w:r w:rsidR="00462F0E">
          <w:rPr>
            <w:noProof/>
            <w:webHidden/>
          </w:rPr>
        </w:r>
        <w:r w:rsidR="00462F0E">
          <w:rPr>
            <w:noProof/>
            <w:webHidden/>
          </w:rPr>
          <w:fldChar w:fldCharType="separate"/>
        </w:r>
        <w:r w:rsidR="00462F0E">
          <w:rPr>
            <w:noProof/>
            <w:webHidden/>
          </w:rPr>
          <w:t>19</w:t>
        </w:r>
        <w:r w:rsidR="00462F0E">
          <w:rPr>
            <w:noProof/>
            <w:webHidden/>
          </w:rPr>
          <w:fldChar w:fldCharType="end"/>
        </w:r>
      </w:hyperlink>
    </w:p>
    <w:p w14:paraId="0033F8D2" w14:textId="77777777" w:rsidR="00462F0E" w:rsidRDefault="00822FF8">
      <w:pPr>
        <w:pStyle w:val="Turinys2"/>
        <w:rPr>
          <w:rFonts w:eastAsiaTheme="minorEastAsia" w:cstheme="minorBidi"/>
          <w:i w:val="0"/>
          <w:noProof/>
          <w:sz w:val="24"/>
          <w:szCs w:val="24"/>
          <w:lang w:val="en-GB" w:eastAsia="en-GB"/>
        </w:rPr>
      </w:pPr>
      <w:hyperlink w:anchor="_Toc61261247" w:history="1">
        <w:r w:rsidR="00462F0E" w:rsidRPr="00356CDC">
          <w:rPr>
            <w:rStyle w:val="Hipersaitas"/>
            <w:rFonts w:ascii="Calibri" w:eastAsia="Calibri" w:hAnsi="Calibri" w:cs="Calibri"/>
            <w:noProof/>
          </w:rPr>
          <w:t>Dėl VTEK raštų apskundimo tvarkos</w:t>
        </w:r>
        <w:r w:rsidR="00462F0E">
          <w:rPr>
            <w:noProof/>
            <w:webHidden/>
          </w:rPr>
          <w:tab/>
        </w:r>
        <w:r w:rsidR="00462F0E">
          <w:rPr>
            <w:noProof/>
            <w:webHidden/>
          </w:rPr>
          <w:fldChar w:fldCharType="begin"/>
        </w:r>
        <w:r w:rsidR="00462F0E">
          <w:rPr>
            <w:noProof/>
            <w:webHidden/>
          </w:rPr>
          <w:instrText xml:space="preserve"> PAGEREF _Toc61261247 \h </w:instrText>
        </w:r>
        <w:r w:rsidR="00462F0E">
          <w:rPr>
            <w:noProof/>
            <w:webHidden/>
          </w:rPr>
        </w:r>
        <w:r w:rsidR="00462F0E">
          <w:rPr>
            <w:noProof/>
            <w:webHidden/>
          </w:rPr>
          <w:fldChar w:fldCharType="separate"/>
        </w:r>
        <w:r w:rsidR="00462F0E">
          <w:rPr>
            <w:noProof/>
            <w:webHidden/>
          </w:rPr>
          <w:t>19</w:t>
        </w:r>
        <w:r w:rsidR="00462F0E">
          <w:rPr>
            <w:noProof/>
            <w:webHidden/>
          </w:rPr>
          <w:fldChar w:fldCharType="end"/>
        </w:r>
      </w:hyperlink>
    </w:p>
    <w:p w14:paraId="64DD3467" w14:textId="77777777" w:rsidR="00462F0E" w:rsidRDefault="00822FF8">
      <w:pPr>
        <w:pStyle w:val="Turinys1"/>
        <w:rPr>
          <w:rFonts w:eastAsiaTheme="minorEastAsia" w:cstheme="minorBidi"/>
          <w:b w:val="0"/>
          <w:bCs w:val="0"/>
          <w:caps w:val="0"/>
          <w:noProof/>
          <w:sz w:val="24"/>
          <w:szCs w:val="24"/>
          <w:lang w:val="en-GB" w:eastAsia="en-GB"/>
        </w:rPr>
      </w:pPr>
      <w:hyperlink w:anchor="_Toc61261248" w:history="1">
        <w:r w:rsidR="00462F0E" w:rsidRPr="00356CDC">
          <w:rPr>
            <w:rStyle w:val="Hipersaitas"/>
            <w:rFonts w:ascii="Calibri" w:hAnsi="Calibri" w:cs="Calibri"/>
            <w:noProof/>
          </w:rPr>
          <w:t>28. Valstybės garantuojama teisinė pagalba</w:t>
        </w:r>
        <w:r w:rsidR="00462F0E">
          <w:rPr>
            <w:noProof/>
            <w:webHidden/>
          </w:rPr>
          <w:tab/>
        </w:r>
        <w:r w:rsidR="00462F0E">
          <w:rPr>
            <w:noProof/>
            <w:webHidden/>
          </w:rPr>
          <w:fldChar w:fldCharType="begin"/>
        </w:r>
        <w:r w:rsidR="00462F0E">
          <w:rPr>
            <w:noProof/>
            <w:webHidden/>
          </w:rPr>
          <w:instrText xml:space="preserve"> PAGEREF _Toc61261248 \h </w:instrText>
        </w:r>
        <w:r w:rsidR="00462F0E">
          <w:rPr>
            <w:noProof/>
            <w:webHidden/>
          </w:rPr>
        </w:r>
        <w:r w:rsidR="00462F0E">
          <w:rPr>
            <w:noProof/>
            <w:webHidden/>
          </w:rPr>
          <w:fldChar w:fldCharType="separate"/>
        </w:r>
        <w:r w:rsidR="00462F0E">
          <w:rPr>
            <w:noProof/>
            <w:webHidden/>
          </w:rPr>
          <w:t>20</w:t>
        </w:r>
        <w:r w:rsidR="00462F0E">
          <w:rPr>
            <w:noProof/>
            <w:webHidden/>
          </w:rPr>
          <w:fldChar w:fldCharType="end"/>
        </w:r>
      </w:hyperlink>
    </w:p>
    <w:p w14:paraId="15304264" w14:textId="77777777" w:rsidR="00462F0E" w:rsidRDefault="00822FF8">
      <w:pPr>
        <w:pStyle w:val="Turinys2"/>
        <w:rPr>
          <w:rFonts w:eastAsiaTheme="minorEastAsia" w:cstheme="minorBidi"/>
          <w:i w:val="0"/>
          <w:noProof/>
          <w:sz w:val="24"/>
          <w:szCs w:val="24"/>
          <w:lang w:val="en-GB" w:eastAsia="en-GB"/>
        </w:rPr>
      </w:pPr>
      <w:hyperlink w:anchor="_Toc61261249" w:history="1">
        <w:r w:rsidR="00462F0E" w:rsidRPr="00356CDC">
          <w:rPr>
            <w:rStyle w:val="Hipersaitas"/>
            <w:rFonts w:ascii="Calibri" w:eastAsia="Calibri" w:hAnsi="Calibri" w:cs="Calibri"/>
            <w:noProof/>
          </w:rPr>
          <w:t>Dėl valstybės garantuojamos teisinės pagalbos teikimo nutraukimo pagrįstumo, kai nustatomas pareiškėjo piktnaudžiavimas valstybės garantuojama teisine pagalba</w:t>
        </w:r>
        <w:r w:rsidR="00462F0E">
          <w:rPr>
            <w:noProof/>
            <w:webHidden/>
          </w:rPr>
          <w:tab/>
        </w:r>
        <w:r w:rsidR="00462F0E">
          <w:rPr>
            <w:noProof/>
            <w:webHidden/>
          </w:rPr>
          <w:fldChar w:fldCharType="begin"/>
        </w:r>
        <w:r w:rsidR="00462F0E">
          <w:rPr>
            <w:noProof/>
            <w:webHidden/>
          </w:rPr>
          <w:instrText xml:space="preserve"> PAGEREF _Toc61261249 \h </w:instrText>
        </w:r>
        <w:r w:rsidR="00462F0E">
          <w:rPr>
            <w:noProof/>
            <w:webHidden/>
          </w:rPr>
        </w:r>
        <w:r w:rsidR="00462F0E">
          <w:rPr>
            <w:noProof/>
            <w:webHidden/>
          </w:rPr>
          <w:fldChar w:fldCharType="separate"/>
        </w:r>
        <w:r w:rsidR="00462F0E">
          <w:rPr>
            <w:noProof/>
            <w:webHidden/>
          </w:rPr>
          <w:t>20</w:t>
        </w:r>
        <w:r w:rsidR="00462F0E">
          <w:rPr>
            <w:noProof/>
            <w:webHidden/>
          </w:rPr>
          <w:fldChar w:fldCharType="end"/>
        </w:r>
      </w:hyperlink>
    </w:p>
    <w:p w14:paraId="776FB890" w14:textId="77777777" w:rsidR="00462F0E" w:rsidRDefault="00822FF8">
      <w:pPr>
        <w:pStyle w:val="Turinys1"/>
        <w:rPr>
          <w:rFonts w:eastAsiaTheme="minorEastAsia" w:cstheme="minorBidi"/>
          <w:b w:val="0"/>
          <w:bCs w:val="0"/>
          <w:caps w:val="0"/>
          <w:noProof/>
          <w:sz w:val="24"/>
          <w:szCs w:val="24"/>
          <w:lang w:val="en-GB" w:eastAsia="en-GB"/>
        </w:rPr>
      </w:pPr>
      <w:hyperlink w:anchor="_Toc61261250" w:history="1">
        <w:r w:rsidR="00462F0E" w:rsidRPr="00356CDC">
          <w:rPr>
            <w:rStyle w:val="Hipersaitas"/>
            <w:rFonts w:ascii="Calibri" w:hAnsi="Calibri" w:cs="Calibri"/>
            <w:noProof/>
          </w:rPr>
          <w:t>30. Energetika</w:t>
        </w:r>
        <w:r w:rsidR="00462F0E">
          <w:rPr>
            <w:noProof/>
            <w:webHidden/>
          </w:rPr>
          <w:tab/>
        </w:r>
        <w:r w:rsidR="00462F0E">
          <w:rPr>
            <w:noProof/>
            <w:webHidden/>
          </w:rPr>
          <w:fldChar w:fldCharType="begin"/>
        </w:r>
        <w:r w:rsidR="00462F0E">
          <w:rPr>
            <w:noProof/>
            <w:webHidden/>
          </w:rPr>
          <w:instrText xml:space="preserve"> PAGEREF _Toc61261250 \h </w:instrText>
        </w:r>
        <w:r w:rsidR="00462F0E">
          <w:rPr>
            <w:noProof/>
            <w:webHidden/>
          </w:rPr>
        </w:r>
        <w:r w:rsidR="00462F0E">
          <w:rPr>
            <w:noProof/>
            <w:webHidden/>
          </w:rPr>
          <w:fldChar w:fldCharType="separate"/>
        </w:r>
        <w:r w:rsidR="00462F0E">
          <w:rPr>
            <w:noProof/>
            <w:webHidden/>
          </w:rPr>
          <w:t>21</w:t>
        </w:r>
        <w:r w:rsidR="00462F0E">
          <w:rPr>
            <w:noProof/>
            <w:webHidden/>
          </w:rPr>
          <w:fldChar w:fldCharType="end"/>
        </w:r>
      </w:hyperlink>
    </w:p>
    <w:p w14:paraId="14085C09" w14:textId="77777777" w:rsidR="00462F0E" w:rsidRDefault="00822FF8">
      <w:pPr>
        <w:pStyle w:val="Turinys2"/>
        <w:rPr>
          <w:rFonts w:eastAsiaTheme="minorEastAsia" w:cstheme="minorBidi"/>
          <w:i w:val="0"/>
          <w:noProof/>
          <w:sz w:val="24"/>
          <w:szCs w:val="24"/>
          <w:lang w:val="en-GB" w:eastAsia="en-GB"/>
        </w:rPr>
      </w:pPr>
      <w:hyperlink w:anchor="_Toc61261251" w:history="1">
        <w:r w:rsidR="00462F0E" w:rsidRPr="00356CDC">
          <w:rPr>
            <w:rStyle w:val="Hipersaitas"/>
            <w:rFonts w:ascii="Calibri" w:eastAsia="Calibri" w:hAnsi="Calibri" w:cs="Calibri"/>
            <w:noProof/>
          </w:rPr>
          <w:t>Dėl priežiūros institucijos teisės ir prielaidų taikyti lyginamuosius rodiklius (lyginamosios analizės metodą) sprendžiant dėl šilumos tiekėjo sąnaudų, dengiamų reguliuojamos veiklos pajamomis, pripažinimo būtinomis</w:t>
        </w:r>
        <w:r w:rsidR="00462F0E">
          <w:rPr>
            <w:noProof/>
            <w:webHidden/>
          </w:rPr>
          <w:tab/>
        </w:r>
        <w:r w:rsidR="00462F0E">
          <w:rPr>
            <w:noProof/>
            <w:webHidden/>
          </w:rPr>
          <w:fldChar w:fldCharType="begin"/>
        </w:r>
        <w:r w:rsidR="00462F0E">
          <w:rPr>
            <w:noProof/>
            <w:webHidden/>
          </w:rPr>
          <w:instrText xml:space="preserve"> PAGEREF _Toc61261251 \h </w:instrText>
        </w:r>
        <w:r w:rsidR="00462F0E">
          <w:rPr>
            <w:noProof/>
            <w:webHidden/>
          </w:rPr>
        </w:r>
        <w:r w:rsidR="00462F0E">
          <w:rPr>
            <w:noProof/>
            <w:webHidden/>
          </w:rPr>
          <w:fldChar w:fldCharType="separate"/>
        </w:r>
        <w:r w:rsidR="00462F0E">
          <w:rPr>
            <w:noProof/>
            <w:webHidden/>
          </w:rPr>
          <w:t>21</w:t>
        </w:r>
        <w:r w:rsidR="00462F0E">
          <w:rPr>
            <w:noProof/>
            <w:webHidden/>
          </w:rPr>
          <w:fldChar w:fldCharType="end"/>
        </w:r>
      </w:hyperlink>
    </w:p>
    <w:p w14:paraId="1FBF7227" w14:textId="77777777" w:rsidR="00462F0E" w:rsidRDefault="00822FF8">
      <w:pPr>
        <w:pStyle w:val="Turinys2"/>
        <w:rPr>
          <w:rFonts w:eastAsiaTheme="minorEastAsia" w:cstheme="minorBidi"/>
          <w:i w:val="0"/>
          <w:noProof/>
          <w:sz w:val="24"/>
          <w:szCs w:val="24"/>
          <w:lang w:val="en-GB" w:eastAsia="en-GB"/>
        </w:rPr>
      </w:pPr>
      <w:hyperlink w:anchor="_Toc61261252" w:history="1">
        <w:r w:rsidR="00462F0E" w:rsidRPr="00356CDC">
          <w:rPr>
            <w:rStyle w:val="Hipersaitas"/>
            <w:rFonts w:ascii="Calibri" w:eastAsia="Calibri" w:hAnsi="Calibri" w:cs="Calibri"/>
            <w:noProof/>
          </w:rPr>
          <w:t>Dėl priežiūros institucijos teisės deleguoti dalį su ūkio subjekto veiklos priežiūra susijusių savo įgaliojimų kitiems asmenims</w:t>
        </w:r>
        <w:r w:rsidR="00462F0E">
          <w:rPr>
            <w:noProof/>
            <w:webHidden/>
          </w:rPr>
          <w:tab/>
        </w:r>
        <w:r w:rsidR="00462F0E">
          <w:rPr>
            <w:noProof/>
            <w:webHidden/>
          </w:rPr>
          <w:fldChar w:fldCharType="begin"/>
        </w:r>
        <w:r w:rsidR="00462F0E">
          <w:rPr>
            <w:noProof/>
            <w:webHidden/>
          </w:rPr>
          <w:instrText xml:space="preserve"> PAGEREF _Toc61261252 \h </w:instrText>
        </w:r>
        <w:r w:rsidR="00462F0E">
          <w:rPr>
            <w:noProof/>
            <w:webHidden/>
          </w:rPr>
        </w:r>
        <w:r w:rsidR="00462F0E">
          <w:rPr>
            <w:noProof/>
            <w:webHidden/>
          </w:rPr>
          <w:fldChar w:fldCharType="separate"/>
        </w:r>
        <w:r w:rsidR="00462F0E">
          <w:rPr>
            <w:noProof/>
            <w:webHidden/>
          </w:rPr>
          <w:t>21</w:t>
        </w:r>
        <w:r w:rsidR="00462F0E">
          <w:rPr>
            <w:noProof/>
            <w:webHidden/>
          </w:rPr>
          <w:fldChar w:fldCharType="end"/>
        </w:r>
      </w:hyperlink>
    </w:p>
    <w:p w14:paraId="0E8B1471" w14:textId="77777777" w:rsidR="00462F0E" w:rsidRDefault="00822FF8">
      <w:pPr>
        <w:pStyle w:val="Turinys2"/>
        <w:rPr>
          <w:rFonts w:eastAsiaTheme="minorEastAsia" w:cstheme="minorBidi"/>
          <w:i w:val="0"/>
          <w:noProof/>
          <w:sz w:val="24"/>
          <w:szCs w:val="24"/>
          <w:lang w:val="en-GB" w:eastAsia="en-GB"/>
        </w:rPr>
      </w:pPr>
      <w:hyperlink w:anchor="_Toc61261253" w:history="1">
        <w:r w:rsidR="00462F0E" w:rsidRPr="00356CDC">
          <w:rPr>
            <w:rStyle w:val="Hipersaitas"/>
            <w:rFonts w:ascii="Calibri" w:eastAsia="Calibri" w:hAnsi="Calibri" w:cs="Calibri"/>
            <w:noProof/>
          </w:rPr>
          <w:t>Dėl energetikos įmonių veiklos priežiūrą vykdančios institucijos teisės iš tikrinamo ūkio subjekto reikalauti pateikti patikrinimui atlikti reikalingą informaciją ribojimų</w:t>
        </w:r>
        <w:r w:rsidR="00462F0E">
          <w:rPr>
            <w:noProof/>
            <w:webHidden/>
          </w:rPr>
          <w:tab/>
        </w:r>
        <w:r w:rsidR="00462F0E">
          <w:rPr>
            <w:noProof/>
            <w:webHidden/>
          </w:rPr>
          <w:fldChar w:fldCharType="begin"/>
        </w:r>
        <w:r w:rsidR="00462F0E">
          <w:rPr>
            <w:noProof/>
            <w:webHidden/>
          </w:rPr>
          <w:instrText xml:space="preserve"> PAGEREF _Toc61261253 \h </w:instrText>
        </w:r>
        <w:r w:rsidR="00462F0E">
          <w:rPr>
            <w:noProof/>
            <w:webHidden/>
          </w:rPr>
        </w:r>
        <w:r w:rsidR="00462F0E">
          <w:rPr>
            <w:noProof/>
            <w:webHidden/>
          </w:rPr>
          <w:fldChar w:fldCharType="separate"/>
        </w:r>
        <w:r w:rsidR="00462F0E">
          <w:rPr>
            <w:noProof/>
            <w:webHidden/>
          </w:rPr>
          <w:t>21</w:t>
        </w:r>
        <w:r w:rsidR="00462F0E">
          <w:rPr>
            <w:noProof/>
            <w:webHidden/>
          </w:rPr>
          <w:fldChar w:fldCharType="end"/>
        </w:r>
      </w:hyperlink>
    </w:p>
    <w:p w14:paraId="089BF777" w14:textId="77777777" w:rsidR="00462F0E" w:rsidRDefault="00822FF8">
      <w:pPr>
        <w:pStyle w:val="Turinys1"/>
        <w:rPr>
          <w:rFonts w:eastAsiaTheme="minorEastAsia" w:cstheme="minorBidi"/>
          <w:b w:val="0"/>
          <w:bCs w:val="0"/>
          <w:caps w:val="0"/>
          <w:noProof/>
          <w:sz w:val="24"/>
          <w:szCs w:val="24"/>
          <w:lang w:val="en-GB" w:eastAsia="en-GB"/>
        </w:rPr>
      </w:pPr>
      <w:hyperlink w:anchor="_Toc61261254" w:history="1">
        <w:r w:rsidR="00462F0E" w:rsidRPr="00356CDC">
          <w:rPr>
            <w:rStyle w:val="Hipersaitas"/>
            <w:rFonts w:ascii="Calibri" w:hAnsi="Calibri" w:cs="Calibri"/>
            <w:noProof/>
          </w:rPr>
          <w:t>41. Kiti ginčai viešojo administravimo srityje</w:t>
        </w:r>
        <w:r w:rsidR="00462F0E">
          <w:rPr>
            <w:noProof/>
            <w:webHidden/>
          </w:rPr>
          <w:tab/>
        </w:r>
        <w:r w:rsidR="00462F0E">
          <w:rPr>
            <w:noProof/>
            <w:webHidden/>
          </w:rPr>
          <w:fldChar w:fldCharType="begin"/>
        </w:r>
        <w:r w:rsidR="00462F0E">
          <w:rPr>
            <w:noProof/>
            <w:webHidden/>
          </w:rPr>
          <w:instrText xml:space="preserve"> PAGEREF _Toc61261254 \h </w:instrText>
        </w:r>
        <w:r w:rsidR="00462F0E">
          <w:rPr>
            <w:noProof/>
            <w:webHidden/>
          </w:rPr>
        </w:r>
        <w:r w:rsidR="00462F0E">
          <w:rPr>
            <w:noProof/>
            <w:webHidden/>
          </w:rPr>
          <w:fldChar w:fldCharType="separate"/>
        </w:r>
        <w:r w:rsidR="00462F0E">
          <w:rPr>
            <w:noProof/>
            <w:webHidden/>
          </w:rPr>
          <w:t>25</w:t>
        </w:r>
        <w:r w:rsidR="00462F0E">
          <w:rPr>
            <w:noProof/>
            <w:webHidden/>
          </w:rPr>
          <w:fldChar w:fldCharType="end"/>
        </w:r>
      </w:hyperlink>
    </w:p>
    <w:p w14:paraId="62713D7C" w14:textId="77777777" w:rsidR="00462F0E" w:rsidRDefault="00822FF8">
      <w:pPr>
        <w:pStyle w:val="Turinys2"/>
        <w:rPr>
          <w:rFonts w:eastAsiaTheme="minorEastAsia" w:cstheme="minorBidi"/>
          <w:i w:val="0"/>
          <w:noProof/>
          <w:sz w:val="24"/>
          <w:szCs w:val="24"/>
          <w:lang w:val="en-GB" w:eastAsia="en-GB"/>
        </w:rPr>
      </w:pPr>
      <w:hyperlink w:anchor="_Toc61261255" w:history="1">
        <w:r w:rsidR="00462F0E" w:rsidRPr="00356CDC">
          <w:rPr>
            <w:rStyle w:val="Hipersaitas"/>
            <w:rFonts w:ascii="Calibri" w:eastAsia="Calibri" w:hAnsi="Calibri" w:cs="Calibri"/>
            <w:noProof/>
          </w:rPr>
          <w:t>Dėl termino papildomiems vairuotojų mokymams užbaigti</w:t>
        </w:r>
        <w:r w:rsidR="00462F0E">
          <w:rPr>
            <w:noProof/>
            <w:webHidden/>
          </w:rPr>
          <w:tab/>
        </w:r>
        <w:r w:rsidR="00462F0E">
          <w:rPr>
            <w:noProof/>
            <w:webHidden/>
          </w:rPr>
          <w:fldChar w:fldCharType="begin"/>
        </w:r>
        <w:r w:rsidR="00462F0E">
          <w:rPr>
            <w:noProof/>
            <w:webHidden/>
          </w:rPr>
          <w:instrText xml:space="preserve"> PAGEREF _Toc61261255 \h </w:instrText>
        </w:r>
        <w:r w:rsidR="00462F0E">
          <w:rPr>
            <w:noProof/>
            <w:webHidden/>
          </w:rPr>
        </w:r>
        <w:r w:rsidR="00462F0E">
          <w:rPr>
            <w:noProof/>
            <w:webHidden/>
          </w:rPr>
          <w:fldChar w:fldCharType="separate"/>
        </w:r>
        <w:r w:rsidR="00462F0E">
          <w:rPr>
            <w:noProof/>
            <w:webHidden/>
          </w:rPr>
          <w:t>25</w:t>
        </w:r>
        <w:r w:rsidR="00462F0E">
          <w:rPr>
            <w:noProof/>
            <w:webHidden/>
          </w:rPr>
          <w:fldChar w:fldCharType="end"/>
        </w:r>
      </w:hyperlink>
    </w:p>
    <w:p w14:paraId="2D50B329" w14:textId="77777777" w:rsidR="00462F0E" w:rsidRDefault="00822FF8">
      <w:pPr>
        <w:pStyle w:val="Turinys2"/>
        <w:rPr>
          <w:rFonts w:eastAsiaTheme="minorEastAsia" w:cstheme="minorBidi"/>
          <w:i w:val="0"/>
          <w:noProof/>
          <w:sz w:val="24"/>
          <w:szCs w:val="24"/>
          <w:lang w:val="en-GB" w:eastAsia="en-GB"/>
        </w:rPr>
      </w:pPr>
      <w:hyperlink w:anchor="_Toc61261256" w:history="1">
        <w:r w:rsidR="00462F0E" w:rsidRPr="00356CDC">
          <w:rPr>
            <w:rStyle w:val="Hipersaitas"/>
            <w:rFonts w:eastAsia="Calibri"/>
            <w:iCs/>
            <w:noProof/>
          </w:rPr>
          <w:t>Dėl teisės gauti informaciją apie vaikus, kai teismo sprendimu apribota tėvo valdžia ir uždrausta matytis su vaikais</w:t>
        </w:r>
        <w:r w:rsidR="00462F0E">
          <w:rPr>
            <w:noProof/>
            <w:webHidden/>
          </w:rPr>
          <w:tab/>
        </w:r>
        <w:r w:rsidR="00462F0E">
          <w:rPr>
            <w:noProof/>
            <w:webHidden/>
          </w:rPr>
          <w:fldChar w:fldCharType="begin"/>
        </w:r>
        <w:r w:rsidR="00462F0E">
          <w:rPr>
            <w:noProof/>
            <w:webHidden/>
          </w:rPr>
          <w:instrText xml:space="preserve"> PAGEREF _Toc61261256 \h </w:instrText>
        </w:r>
        <w:r w:rsidR="00462F0E">
          <w:rPr>
            <w:noProof/>
            <w:webHidden/>
          </w:rPr>
        </w:r>
        <w:r w:rsidR="00462F0E">
          <w:rPr>
            <w:noProof/>
            <w:webHidden/>
          </w:rPr>
          <w:fldChar w:fldCharType="separate"/>
        </w:r>
        <w:r w:rsidR="00462F0E">
          <w:rPr>
            <w:noProof/>
            <w:webHidden/>
          </w:rPr>
          <w:t>26</w:t>
        </w:r>
        <w:r w:rsidR="00462F0E">
          <w:rPr>
            <w:noProof/>
            <w:webHidden/>
          </w:rPr>
          <w:fldChar w:fldCharType="end"/>
        </w:r>
      </w:hyperlink>
    </w:p>
    <w:p w14:paraId="0BF60211" w14:textId="77777777" w:rsidR="00462F0E" w:rsidRDefault="00822FF8">
      <w:pPr>
        <w:pStyle w:val="Turinys1"/>
        <w:rPr>
          <w:rFonts w:eastAsiaTheme="minorEastAsia" w:cstheme="minorBidi"/>
          <w:b w:val="0"/>
          <w:bCs w:val="0"/>
          <w:caps w:val="0"/>
          <w:noProof/>
          <w:sz w:val="24"/>
          <w:szCs w:val="24"/>
          <w:lang w:val="en-GB" w:eastAsia="en-GB"/>
        </w:rPr>
      </w:pPr>
      <w:hyperlink w:anchor="_Toc61261257" w:history="1">
        <w:r w:rsidR="00462F0E" w:rsidRPr="00356CDC">
          <w:rPr>
            <w:rStyle w:val="Hipersaitas"/>
            <w:rFonts w:ascii="Calibri" w:hAnsi="Calibri"/>
            <w:noProof/>
          </w:rPr>
          <w:t>II. Administracinių bylų teisena</w:t>
        </w:r>
        <w:r w:rsidR="00462F0E">
          <w:rPr>
            <w:noProof/>
            <w:webHidden/>
          </w:rPr>
          <w:tab/>
        </w:r>
        <w:r w:rsidR="00462F0E">
          <w:rPr>
            <w:noProof/>
            <w:webHidden/>
          </w:rPr>
          <w:fldChar w:fldCharType="begin"/>
        </w:r>
        <w:r w:rsidR="00462F0E">
          <w:rPr>
            <w:noProof/>
            <w:webHidden/>
          </w:rPr>
          <w:instrText xml:space="preserve"> PAGEREF _Toc61261257 \h </w:instrText>
        </w:r>
        <w:r w:rsidR="00462F0E">
          <w:rPr>
            <w:noProof/>
            <w:webHidden/>
          </w:rPr>
        </w:r>
        <w:r w:rsidR="00462F0E">
          <w:rPr>
            <w:noProof/>
            <w:webHidden/>
          </w:rPr>
          <w:fldChar w:fldCharType="separate"/>
        </w:r>
        <w:r w:rsidR="00462F0E">
          <w:rPr>
            <w:noProof/>
            <w:webHidden/>
          </w:rPr>
          <w:t>27</w:t>
        </w:r>
        <w:r w:rsidR="00462F0E">
          <w:rPr>
            <w:noProof/>
            <w:webHidden/>
          </w:rPr>
          <w:fldChar w:fldCharType="end"/>
        </w:r>
      </w:hyperlink>
    </w:p>
    <w:p w14:paraId="77B9F54D" w14:textId="77777777" w:rsidR="00462F0E" w:rsidRDefault="00822FF8">
      <w:pPr>
        <w:pStyle w:val="Turinys1"/>
        <w:rPr>
          <w:rFonts w:eastAsiaTheme="minorEastAsia" w:cstheme="minorBidi"/>
          <w:b w:val="0"/>
          <w:bCs w:val="0"/>
          <w:caps w:val="0"/>
          <w:noProof/>
          <w:sz w:val="24"/>
          <w:szCs w:val="24"/>
          <w:lang w:val="en-GB" w:eastAsia="en-GB"/>
        </w:rPr>
      </w:pPr>
      <w:hyperlink w:anchor="_Toc61261258" w:history="1">
        <w:r w:rsidR="00462F0E" w:rsidRPr="00356CDC">
          <w:rPr>
            <w:rStyle w:val="Hipersaitas"/>
            <w:rFonts w:ascii="Calibri" w:hAnsi="Calibri"/>
            <w:noProof/>
          </w:rPr>
          <w:t>43. Teisė kreiptis į teismą ir jos realizavimas</w:t>
        </w:r>
        <w:r w:rsidR="00462F0E">
          <w:rPr>
            <w:noProof/>
            <w:webHidden/>
          </w:rPr>
          <w:tab/>
        </w:r>
        <w:r w:rsidR="00462F0E">
          <w:rPr>
            <w:noProof/>
            <w:webHidden/>
          </w:rPr>
          <w:fldChar w:fldCharType="begin"/>
        </w:r>
        <w:r w:rsidR="00462F0E">
          <w:rPr>
            <w:noProof/>
            <w:webHidden/>
          </w:rPr>
          <w:instrText xml:space="preserve"> PAGEREF _Toc61261258 \h </w:instrText>
        </w:r>
        <w:r w:rsidR="00462F0E">
          <w:rPr>
            <w:noProof/>
            <w:webHidden/>
          </w:rPr>
        </w:r>
        <w:r w:rsidR="00462F0E">
          <w:rPr>
            <w:noProof/>
            <w:webHidden/>
          </w:rPr>
          <w:fldChar w:fldCharType="separate"/>
        </w:r>
        <w:r w:rsidR="00462F0E">
          <w:rPr>
            <w:noProof/>
            <w:webHidden/>
          </w:rPr>
          <w:t>27</w:t>
        </w:r>
        <w:r w:rsidR="00462F0E">
          <w:rPr>
            <w:noProof/>
            <w:webHidden/>
          </w:rPr>
          <w:fldChar w:fldCharType="end"/>
        </w:r>
      </w:hyperlink>
    </w:p>
    <w:p w14:paraId="340494D7" w14:textId="77777777" w:rsidR="00462F0E" w:rsidRDefault="00822FF8">
      <w:pPr>
        <w:pStyle w:val="Turinys2"/>
        <w:rPr>
          <w:rFonts w:eastAsiaTheme="minorEastAsia" w:cstheme="minorBidi"/>
          <w:i w:val="0"/>
          <w:noProof/>
          <w:sz w:val="24"/>
          <w:szCs w:val="24"/>
          <w:lang w:val="en-GB" w:eastAsia="en-GB"/>
        </w:rPr>
      </w:pPr>
      <w:hyperlink w:anchor="_Toc61261259" w:history="1">
        <w:r w:rsidR="00462F0E" w:rsidRPr="00356CDC">
          <w:rPr>
            <w:rStyle w:val="Hipersaitas"/>
            <w:rFonts w:eastAsia="Calibri" w:cstheme="minorHAnsi"/>
            <w:noProof/>
          </w:rPr>
          <w:t>Dėl Seimo valdybos sprendimų apskundimo negalimumo</w:t>
        </w:r>
        <w:r w:rsidR="00462F0E">
          <w:rPr>
            <w:noProof/>
            <w:webHidden/>
          </w:rPr>
          <w:tab/>
        </w:r>
        <w:r w:rsidR="00462F0E">
          <w:rPr>
            <w:noProof/>
            <w:webHidden/>
          </w:rPr>
          <w:fldChar w:fldCharType="begin"/>
        </w:r>
        <w:r w:rsidR="00462F0E">
          <w:rPr>
            <w:noProof/>
            <w:webHidden/>
          </w:rPr>
          <w:instrText xml:space="preserve"> PAGEREF _Toc61261259 \h </w:instrText>
        </w:r>
        <w:r w:rsidR="00462F0E">
          <w:rPr>
            <w:noProof/>
            <w:webHidden/>
          </w:rPr>
        </w:r>
        <w:r w:rsidR="00462F0E">
          <w:rPr>
            <w:noProof/>
            <w:webHidden/>
          </w:rPr>
          <w:fldChar w:fldCharType="separate"/>
        </w:r>
        <w:r w:rsidR="00462F0E">
          <w:rPr>
            <w:noProof/>
            <w:webHidden/>
          </w:rPr>
          <w:t>27</w:t>
        </w:r>
        <w:r w:rsidR="00462F0E">
          <w:rPr>
            <w:noProof/>
            <w:webHidden/>
          </w:rPr>
          <w:fldChar w:fldCharType="end"/>
        </w:r>
      </w:hyperlink>
    </w:p>
    <w:p w14:paraId="2ECEDE56" w14:textId="77777777" w:rsidR="00462F0E" w:rsidRDefault="00822FF8">
      <w:pPr>
        <w:pStyle w:val="Turinys2"/>
        <w:rPr>
          <w:rFonts w:eastAsiaTheme="minorEastAsia" w:cstheme="minorBidi"/>
          <w:i w:val="0"/>
          <w:noProof/>
          <w:sz w:val="24"/>
          <w:szCs w:val="24"/>
          <w:lang w:val="en-GB" w:eastAsia="en-GB"/>
        </w:rPr>
      </w:pPr>
      <w:hyperlink w:anchor="_Toc61261260" w:history="1">
        <w:r w:rsidR="00462F0E" w:rsidRPr="00356CDC">
          <w:rPr>
            <w:rStyle w:val="Hipersaitas"/>
            <w:rFonts w:eastAsia="Calibri" w:cstheme="minorHAnsi"/>
            <w:noProof/>
          </w:rPr>
          <w:t>Dėl institucijos oficialiai pateiktos neteisingos konsultacijos kaip svarbios priežasties praleistam terminui atnaujinti</w:t>
        </w:r>
        <w:r w:rsidR="00462F0E">
          <w:rPr>
            <w:noProof/>
            <w:webHidden/>
          </w:rPr>
          <w:tab/>
        </w:r>
        <w:r w:rsidR="00462F0E">
          <w:rPr>
            <w:noProof/>
            <w:webHidden/>
          </w:rPr>
          <w:fldChar w:fldCharType="begin"/>
        </w:r>
        <w:r w:rsidR="00462F0E">
          <w:rPr>
            <w:noProof/>
            <w:webHidden/>
          </w:rPr>
          <w:instrText xml:space="preserve"> PAGEREF _Toc61261260 \h </w:instrText>
        </w:r>
        <w:r w:rsidR="00462F0E">
          <w:rPr>
            <w:noProof/>
            <w:webHidden/>
          </w:rPr>
        </w:r>
        <w:r w:rsidR="00462F0E">
          <w:rPr>
            <w:noProof/>
            <w:webHidden/>
          </w:rPr>
          <w:fldChar w:fldCharType="separate"/>
        </w:r>
        <w:r w:rsidR="00462F0E">
          <w:rPr>
            <w:noProof/>
            <w:webHidden/>
          </w:rPr>
          <w:t>28</w:t>
        </w:r>
        <w:r w:rsidR="00462F0E">
          <w:rPr>
            <w:noProof/>
            <w:webHidden/>
          </w:rPr>
          <w:fldChar w:fldCharType="end"/>
        </w:r>
      </w:hyperlink>
    </w:p>
    <w:p w14:paraId="5134681A" w14:textId="77777777" w:rsidR="00462F0E" w:rsidRDefault="00822FF8">
      <w:pPr>
        <w:pStyle w:val="Turinys1"/>
        <w:rPr>
          <w:rFonts w:eastAsiaTheme="minorEastAsia" w:cstheme="minorBidi"/>
          <w:b w:val="0"/>
          <w:bCs w:val="0"/>
          <w:caps w:val="0"/>
          <w:noProof/>
          <w:sz w:val="24"/>
          <w:szCs w:val="24"/>
          <w:lang w:val="en-GB" w:eastAsia="en-GB"/>
        </w:rPr>
      </w:pPr>
      <w:hyperlink w:anchor="_Toc61261261" w:history="1">
        <w:r w:rsidR="00462F0E" w:rsidRPr="00356CDC">
          <w:rPr>
            <w:rStyle w:val="Hipersaitas"/>
            <w:rFonts w:ascii="Calibri" w:hAnsi="Calibri"/>
            <w:noProof/>
          </w:rPr>
          <w:t>57. Bylos nagrinėjimo išlaidos</w:t>
        </w:r>
        <w:r w:rsidR="00462F0E">
          <w:rPr>
            <w:noProof/>
            <w:webHidden/>
          </w:rPr>
          <w:tab/>
        </w:r>
        <w:r w:rsidR="00462F0E">
          <w:rPr>
            <w:noProof/>
            <w:webHidden/>
          </w:rPr>
          <w:fldChar w:fldCharType="begin"/>
        </w:r>
        <w:r w:rsidR="00462F0E">
          <w:rPr>
            <w:noProof/>
            <w:webHidden/>
          </w:rPr>
          <w:instrText xml:space="preserve"> PAGEREF _Toc61261261 \h </w:instrText>
        </w:r>
        <w:r w:rsidR="00462F0E">
          <w:rPr>
            <w:noProof/>
            <w:webHidden/>
          </w:rPr>
        </w:r>
        <w:r w:rsidR="00462F0E">
          <w:rPr>
            <w:noProof/>
            <w:webHidden/>
          </w:rPr>
          <w:fldChar w:fldCharType="separate"/>
        </w:r>
        <w:r w:rsidR="00462F0E">
          <w:rPr>
            <w:noProof/>
            <w:webHidden/>
          </w:rPr>
          <w:t>29</w:t>
        </w:r>
        <w:r w:rsidR="00462F0E">
          <w:rPr>
            <w:noProof/>
            <w:webHidden/>
          </w:rPr>
          <w:fldChar w:fldCharType="end"/>
        </w:r>
      </w:hyperlink>
    </w:p>
    <w:p w14:paraId="628A85A2" w14:textId="77777777" w:rsidR="00462F0E" w:rsidRDefault="00822FF8">
      <w:pPr>
        <w:pStyle w:val="Turinys2"/>
        <w:rPr>
          <w:rFonts w:eastAsiaTheme="minorEastAsia" w:cstheme="minorBidi"/>
          <w:i w:val="0"/>
          <w:noProof/>
          <w:sz w:val="24"/>
          <w:szCs w:val="24"/>
          <w:lang w:val="en-GB" w:eastAsia="en-GB"/>
        </w:rPr>
      </w:pPr>
      <w:hyperlink w:anchor="_Toc61261262" w:history="1">
        <w:r w:rsidR="00462F0E" w:rsidRPr="00356CDC">
          <w:rPr>
            <w:rStyle w:val="Hipersaitas"/>
            <w:noProof/>
          </w:rPr>
          <w:t>Dėl bylinėjimosi išlaidų, patirtų dėl kreipimosi į ESTT, atlyginimo</w:t>
        </w:r>
        <w:r w:rsidR="00462F0E">
          <w:rPr>
            <w:noProof/>
            <w:webHidden/>
          </w:rPr>
          <w:tab/>
        </w:r>
        <w:r w:rsidR="00462F0E">
          <w:rPr>
            <w:noProof/>
            <w:webHidden/>
          </w:rPr>
          <w:fldChar w:fldCharType="begin"/>
        </w:r>
        <w:r w:rsidR="00462F0E">
          <w:rPr>
            <w:noProof/>
            <w:webHidden/>
          </w:rPr>
          <w:instrText xml:space="preserve"> PAGEREF _Toc61261262 \h </w:instrText>
        </w:r>
        <w:r w:rsidR="00462F0E">
          <w:rPr>
            <w:noProof/>
            <w:webHidden/>
          </w:rPr>
        </w:r>
        <w:r w:rsidR="00462F0E">
          <w:rPr>
            <w:noProof/>
            <w:webHidden/>
          </w:rPr>
          <w:fldChar w:fldCharType="separate"/>
        </w:r>
        <w:r w:rsidR="00462F0E">
          <w:rPr>
            <w:noProof/>
            <w:webHidden/>
          </w:rPr>
          <w:t>29</w:t>
        </w:r>
        <w:r w:rsidR="00462F0E">
          <w:rPr>
            <w:noProof/>
            <w:webHidden/>
          </w:rPr>
          <w:fldChar w:fldCharType="end"/>
        </w:r>
      </w:hyperlink>
    </w:p>
    <w:p w14:paraId="77359009" w14:textId="77777777" w:rsidR="00462F0E" w:rsidRDefault="00822FF8">
      <w:pPr>
        <w:pStyle w:val="Turinys2"/>
        <w:rPr>
          <w:rFonts w:eastAsiaTheme="minorEastAsia" w:cstheme="minorBidi"/>
          <w:i w:val="0"/>
          <w:noProof/>
          <w:sz w:val="24"/>
          <w:szCs w:val="24"/>
          <w:lang w:val="en-GB" w:eastAsia="en-GB"/>
        </w:rPr>
      </w:pPr>
      <w:hyperlink w:anchor="_Toc61261263" w:history="1">
        <w:r w:rsidR="00462F0E" w:rsidRPr="00356CDC">
          <w:rPr>
            <w:rStyle w:val="Hipersaitas"/>
            <w:noProof/>
            <w:lang w:val="lt"/>
          </w:rPr>
          <w:t>Dėl proceso atnaujinimo Jungtinių Tautų Žmogaus teisių komitetui konstatavus Tarptautinio pilietinių ir politinių teisių pakto pažeidimą</w:t>
        </w:r>
        <w:r w:rsidR="00462F0E">
          <w:rPr>
            <w:noProof/>
            <w:webHidden/>
          </w:rPr>
          <w:tab/>
        </w:r>
        <w:r w:rsidR="00462F0E">
          <w:rPr>
            <w:noProof/>
            <w:webHidden/>
          </w:rPr>
          <w:fldChar w:fldCharType="begin"/>
        </w:r>
        <w:r w:rsidR="00462F0E">
          <w:rPr>
            <w:noProof/>
            <w:webHidden/>
          </w:rPr>
          <w:instrText xml:space="preserve"> PAGEREF _Toc61261263 \h </w:instrText>
        </w:r>
        <w:r w:rsidR="00462F0E">
          <w:rPr>
            <w:noProof/>
            <w:webHidden/>
          </w:rPr>
        </w:r>
        <w:r w:rsidR="00462F0E">
          <w:rPr>
            <w:noProof/>
            <w:webHidden/>
          </w:rPr>
          <w:fldChar w:fldCharType="separate"/>
        </w:r>
        <w:r w:rsidR="00462F0E">
          <w:rPr>
            <w:noProof/>
            <w:webHidden/>
          </w:rPr>
          <w:t>30</w:t>
        </w:r>
        <w:r w:rsidR="00462F0E">
          <w:rPr>
            <w:noProof/>
            <w:webHidden/>
          </w:rPr>
          <w:fldChar w:fldCharType="end"/>
        </w:r>
      </w:hyperlink>
    </w:p>
    <w:p w14:paraId="19CBDCDB" w14:textId="0D10C8E1" w:rsidR="00520245" w:rsidRPr="005A0774" w:rsidRDefault="00A364C6" w:rsidP="007A35C3">
      <w:pPr>
        <w:spacing w:before="240" w:after="240"/>
        <w:jc w:val="both"/>
        <w:rPr>
          <w:rFonts w:asciiTheme="minorHAnsi" w:hAnsiTheme="minorHAnsi" w:cstheme="minorHAnsi"/>
          <w:sz w:val="22"/>
          <w:szCs w:val="22"/>
        </w:rPr>
      </w:pPr>
      <w:r w:rsidRPr="005A0774">
        <w:rPr>
          <w:rFonts w:asciiTheme="minorHAnsi" w:hAnsiTheme="minorHAnsi" w:cstheme="minorHAnsi"/>
          <w:sz w:val="22"/>
          <w:szCs w:val="22"/>
        </w:rPr>
        <w:fldChar w:fldCharType="end"/>
      </w:r>
      <w:bookmarkEnd w:id="6"/>
    </w:p>
    <w:p w14:paraId="11BC93FC" w14:textId="185262B1" w:rsidR="00293CF6" w:rsidRPr="005A0774" w:rsidRDefault="00293CF6" w:rsidP="007A35C3">
      <w:pPr>
        <w:spacing w:before="240" w:after="240"/>
        <w:jc w:val="both"/>
        <w:rPr>
          <w:rFonts w:asciiTheme="minorHAnsi" w:hAnsiTheme="minorHAnsi" w:cstheme="minorHAnsi"/>
          <w:sz w:val="22"/>
          <w:szCs w:val="22"/>
        </w:rPr>
      </w:pPr>
      <w:r w:rsidRPr="005A0774">
        <w:rPr>
          <w:rFonts w:asciiTheme="minorHAnsi" w:hAnsiTheme="minorHAnsi" w:cstheme="minorHAnsi"/>
          <w:sz w:val="22"/>
          <w:szCs w:val="22"/>
        </w:rPr>
        <w:t xml:space="preserve">Šioje apžvalgoje vartojami </w:t>
      </w:r>
      <w:r w:rsidRPr="005A0774">
        <w:rPr>
          <w:rFonts w:asciiTheme="minorHAnsi" w:hAnsiTheme="minorHAnsi" w:cstheme="minorHAnsi"/>
          <w:b/>
          <w:sz w:val="22"/>
          <w:szCs w:val="22"/>
        </w:rPr>
        <w:t>sutrumpinimai</w:t>
      </w:r>
      <w:r w:rsidRPr="005A0774">
        <w:rPr>
          <w:rFonts w:asciiTheme="minorHAnsi" w:hAnsiTheme="minorHAnsi" w:cstheme="minorHAnsi"/>
          <w:sz w:val="22"/>
          <w:szCs w:val="22"/>
        </w:rPr>
        <w:t>:</w:t>
      </w:r>
    </w:p>
    <w:p w14:paraId="356C2674" w14:textId="04A6D7DA" w:rsidR="002F1CF6" w:rsidRPr="005A0774" w:rsidRDefault="002F1CF6" w:rsidP="007A35C3">
      <w:pPr>
        <w:jc w:val="both"/>
        <w:rPr>
          <w:rFonts w:asciiTheme="minorHAnsi" w:hAnsiTheme="minorHAnsi" w:cstheme="minorHAnsi"/>
          <w:sz w:val="22"/>
          <w:szCs w:val="22"/>
        </w:rPr>
      </w:pPr>
      <w:r w:rsidRPr="005A0774">
        <w:rPr>
          <w:rFonts w:asciiTheme="minorHAnsi" w:hAnsiTheme="minorHAnsi" w:cstheme="minorHAnsi"/>
          <w:sz w:val="22"/>
          <w:szCs w:val="22"/>
        </w:rPr>
        <w:t xml:space="preserve">Lietuvos Respublikos administracinių bylų teisenos įstatymas – </w:t>
      </w:r>
      <w:r w:rsidRPr="005A0774">
        <w:rPr>
          <w:rFonts w:asciiTheme="minorHAnsi" w:hAnsiTheme="minorHAnsi" w:cstheme="minorHAnsi"/>
          <w:b/>
          <w:sz w:val="22"/>
          <w:szCs w:val="22"/>
        </w:rPr>
        <w:t>ABTĮ</w:t>
      </w:r>
      <w:r w:rsidRPr="005A0774">
        <w:rPr>
          <w:rFonts w:asciiTheme="minorHAnsi" w:hAnsiTheme="minorHAnsi" w:cstheme="minorHAnsi"/>
          <w:sz w:val="22"/>
          <w:szCs w:val="22"/>
        </w:rPr>
        <w:t xml:space="preserve"> </w:t>
      </w:r>
    </w:p>
    <w:p w14:paraId="5B11927D" w14:textId="4A007A16" w:rsidR="004B4BEE" w:rsidRDefault="004B4BEE" w:rsidP="004B4BEE">
      <w:pPr>
        <w:jc w:val="both"/>
        <w:rPr>
          <w:rFonts w:asciiTheme="minorHAnsi" w:hAnsiTheme="minorHAnsi" w:cstheme="minorHAnsi"/>
          <w:sz w:val="22"/>
          <w:szCs w:val="22"/>
        </w:rPr>
      </w:pPr>
      <w:r w:rsidRPr="005A0774">
        <w:rPr>
          <w:rFonts w:asciiTheme="minorHAnsi" w:hAnsiTheme="minorHAnsi" w:cstheme="minorHAnsi"/>
          <w:sz w:val="22"/>
          <w:szCs w:val="22"/>
        </w:rPr>
        <w:t xml:space="preserve">Lietuvos Respublikos civilinis kodeksas – </w:t>
      </w:r>
      <w:r w:rsidRPr="005A0774">
        <w:rPr>
          <w:rFonts w:asciiTheme="minorHAnsi" w:hAnsiTheme="minorHAnsi" w:cstheme="minorHAnsi"/>
          <w:b/>
          <w:sz w:val="22"/>
          <w:szCs w:val="22"/>
        </w:rPr>
        <w:t>CK</w:t>
      </w:r>
      <w:r w:rsidRPr="005A0774">
        <w:rPr>
          <w:rFonts w:asciiTheme="minorHAnsi" w:hAnsiTheme="minorHAnsi" w:cstheme="minorHAnsi"/>
          <w:sz w:val="22"/>
          <w:szCs w:val="22"/>
        </w:rPr>
        <w:t xml:space="preserve"> </w:t>
      </w:r>
    </w:p>
    <w:p w14:paraId="2B88EC5A" w14:textId="31ACD05C" w:rsidR="00584F15" w:rsidRPr="005A0774" w:rsidRDefault="00584F15" w:rsidP="004B4BEE">
      <w:pPr>
        <w:jc w:val="both"/>
        <w:rPr>
          <w:rFonts w:asciiTheme="minorHAnsi" w:hAnsiTheme="minorHAnsi" w:cstheme="minorHAnsi"/>
          <w:sz w:val="22"/>
          <w:szCs w:val="22"/>
        </w:rPr>
      </w:pPr>
      <w:r>
        <w:rPr>
          <w:rFonts w:asciiTheme="minorHAnsi" w:hAnsiTheme="minorHAnsi" w:cstheme="minorHAnsi"/>
          <w:sz w:val="22"/>
          <w:szCs w:val="22"/>
        </w:rPr>
        <w:t xml:space="preserve">Europos Sąjungos Teisingumo Teismas – </w:t>
      </w:r>
      <w:r w:rsidRPr="00584F15">
        <w:rPr>
          <w:rFonts w:asciiTheme="minorHAnsi" w:hAnsiTheme="minorHAnsi" w:cstheme="minorHAnsi"/>
          <w:b/>
          <w:sz w:val="22"/>
          <w:szCs w:val="22"/>
        </w:rPr>
        <w:t>ESTT</w:t>
      </w:r>
      <w:r>
        <w:rPr>
          <w:rFonts w:asciiTheme="minorHAnsi" w:hAnsiTheme="minorHAnsi" w:cstheme="minorHAnsi"/>
          <w:sz w:val="22"/>
          <w:szCs w:val="22"/>
        </w:rPr>
        <w:t xml:space="preserve"> </w:t>
      </w:r>
    </w:p>
    <w:p w14:paraId="34837E81" w14:textId="473961E7" w:rsidR="002F1CF6" w:rsidRPr="005A0774" w:rsidRDefault="002F1CF6" w:rsidP="007A35C3">
      <w:pPr>
        <w:jc w:val="both"/>
        <w:rPr>
          <w:rFonts w:asciiTheme="minorHAnsi" w:hAnsiTheme="minorHAnsi" w:cstheme="minorHAnsi"/>
          <w:sz w:val="22"/>
          <w:szCs w:val="22"/>
        </w:rPr>
      </w:pPr>
      <w:r w:rsidRPr="005A0774">
        <w:rPr>
          <w:rFonts w:asciiTheme="minorHAnsi" w:hAnsiTheme="minorHAnsi" w:cstheme="minorHAnsi"/>
          <w:sz w:val="22"/>
          <w:szCs w:val="22"/>
        </w:rPr>
        <w:t xml:space="preserve">Europos Žmogaus Teisių Teismas – </w:t>
      </w:r>
      <w:r w:rsidRPr="005A0774">
        <w:rPr>
          <w:rFonts w:asciiTheme="minorHAnsi" w:hAnsiTheme="minorHAnsi" w:cstheme="minorHAnsi"/>
          <w:b/>
          <w:sz w:val="22"/>
          <w:szCs w:val="22"/>
        </w:rPr>
        <w:t>EŽTT</w:t>
      </w:r>
      <w:r w:rsidRPr="005A0774">
        <w:rPr>
          <w:rFonts w:asciiTheme="minorHAnsi" w:hAnsiTheme="minorHAnsi" w:cstheme="minorHAnsi"/>
          <w:sz w:val="22"/>
          <w:szCs w:val="22"/>
        </w:rPr>
        <w:t xml:space="preserve"> </w:t>
      </w:r>
    </w:p>
    <w:p w14:paraId="50A39EC0" w14:textId="77777777" w:rsidR="007412F7" w:rsidRPr="005A0774" w:rsidRDefault="007412F7" w:rsidP="007412F7">
      <w:pPr>
        <w:jc w:val="both"/>
        <w:rPr>
          <w:rFonts w:asciiTheme="minorHAnsi" w:hAnsiTheme="minorHAnsi" w:cstheme="minorHAnsi"/>
          <w:sz w:val="22"/>
          <w:szCs w:val="22"/>
        </w:rPr>
      </w:pPr>
      <w:r w:rsidRPr="005A0774">
        <w:rPr>
          <w:rFonts w:asciiTheme="minorHAnsi" w:hAnsiTheme="minorHAnsi" w:cstheme="minorHAnsi"/>
          <w:sz w:val="22"/>
          <w:szCs w:val="22"/>
        </w:rPr>
        <w:t xml:space="preserve">Lietuvos vyriausiasis administracinis teismas – </w:t>
      </w:r>
      <w:r w:rsidRPr="005A0774">
        <w:rPr>
          <w:rFonts w:asciiTheme="minorHAnsi" w:hAnsiTheme="minorHAnsi" w:cstheme="minorHAnsi"/>
          <w:b/>
          <w:sz w:val="22"/>
          <w:szCs w:val="22"/>
        </w:rPr>
        <w:t>LVAT</w:t>
      </w:r>
    </w:p>
    <w:p w14:paraId="7F6DAACA" w14:textId="54F11F19" w:rsidR="00445177" w:rsidRPr="005A0774" w:rsidRDefault="00445177" w:rsidP="007A35C3">
      <w:pPr>
        <w:jc w:val="both"/>
        <w:rPr>
          <w:rFonts w:asciiTheme="minorHAnsi" w:hAnsiTheme="minorHAnsi" w:cstheme="minorHAnsi"/>
          <w:sz w:val="22"/>
          <w:szCs w:val="22"/>
        </w:rPr>
      </w:pPr>
      <w:r w:rsidRPr="005A0774">
        <w:rPr>
          <w:rFonts w:asciiTheme="minorHAnsi" w:hAnsiTheme="minorHAnsi" w:cstheme="minorHAnsi"/>
          <w:sz w:val="22"/>
          <w:szCs w:val="22"/>
        </w:rPr>
        <w:t xml:space="preserve">Žmogaus teisių ir pagrindinių laisvių apsaugos konvencija – </w:t>
      </w:r>
      <w:r w:rsidRPr="005A0774">
        <w:rPr>
          <w:rFonts w:asciiTheme="minorHAnsi" w:hAnsiTheme="minorHAnsi" w:cstheme="minorHAnsi"/>
          <w:b/>
          <w:sz w:val="22"/>
          <w:szCs w:val="22"/>
        </w:rPr>
        <w:t>Konvencija</w:t>
      </w:r>
      <w:r w:rsidRPr="005A0774">
        <w:rPr>
          <w:rFonts w:asciiTheme="minorHAnsi" w:hAnsiTheme="minorHAnsi" w:cstheme="minorHAnsi"/>
          <w:sz w:val="22"/>
          <w:szCs w:val="22"/>
        </w:rPr>
        <w:t xml:space="preserve"> </w:t>
      </w:r>
    </w:p>
    <w:p w14:paraId="73F013F5" w14:textId="77777777" w:rsidR="002F1CF6" w:rsidRPr="005A0774" w:rsidRDefault="002F1CF6" w:rsidP="007A35C3">
      <w:pPr>
        <w:jc w:val="both"/>
        <w:rPr>
          <w:rFonts w:asciiTheme="minorHAnsi" w:hAnsiTheme="minorHAnsi" w:cstheme="minorHAnsi"/>
          <w:b/>
          <w:sz w:val="22"/>
          <w:szCs w:val="22"/>
        </w:rPr>
      </w:pPr>
      <w:r w:rsidRPr="005A0774">
        <w:rPr>
          <w:rFonts w:asciiTheme="minorHAnsi" w:hAnsiTheme="minorHAnsi" w:cstheme="minorHAnsi"/>
          <w:sz w:val="22"/>
          <w:szCs w:val="22"/>
        </w:rPr>
        <w:t xml:space="preserve">Uždaroji akcinė bendrovė – </w:t>
      </w:r>
      <w:r w:rsidRPr="005A0774">
        <w:rPr>
          <w:rFonts w:asciiTheme="minorHAnsi" w:hAnsiTheme="minorHAnsi" w:cstheme="minorHAnsi"/>
          <w:b/>
          <w:sz w:val="22"/>
          <w:szCs w:val="22"/>
        </w:rPr>
        <w:t>UAB</w:t>
      </w:r>
    </w:p>
    <w:p w14:paraId="12BA7218" w14:textId="65482B6A" w:rsidR="00F5360E" w:rsidRPr="005A0774" w:rsidRDefault="00F5360E" w:rsidP="007A35C3">
      <w:pPr>
        <w:jc w:val="both"/>
        <w:rPr>
          <w:rFonts w:asciiTheme="minorHAnsi" w:hAnsiTheme="minorHAnsi" w:cstheme="minorHAnsi"/>
          <w:b/>
          <w:sz w:val="22"/>
          <w:szCs w:val="22"/>
        </w:rPr>
      </w:pPr>
    </w:p>
    <w:p w14:paraId="5C0C3A6D" w14:textId="46171B71" w:rsidR="003500F5" w:rsidRPr="005A0774" w:rsidRDefault="003500F5" w:rsidP="007A35C3">
      <w:pPr>
        <w:jc w:val="both"/>
        <w:rPr>
          <w:rFonts w:asciiTheme="minorHAnsi" w:hAnsiTheme="minorHAnsi" w:cstheme="minorHAnsi"/>
          <w:b/>
          <w:sz w:val="22"/>
          <w:szCs w:val="22"/>
        </w:rPr>
      </w:pPr>
    </w:p>
    <w:p w14:paraId="459F4DD8" w14:textId="397B7A58" w:rsidR="004B5E60" w:rsidRPr="005A0774" w:rsidRDefault="00E227FE" w:rsidP="007A35C3">
      <w:pPr>
        <w:spacing w:before="240" w:after="240"/>
        <w:jc w:val="both"/>
        <w:rPr>
          <w:rFonts w:asciiTheme="minorHAnsi" w:hAnsiTheme="minorHAnsi" w:cstheme="minorHAnsi"/>
          <w:sz w:val="22"/>
          <w:szCs w:val="22"/>
        </w:rPr>
      </w:pPr>
      <w:r w:rsidRPr="005A0774">
        <w:rPr>
          <w:rFonts w:asciiTheme="minorHAnsi" w:hAnsiTheme="minorHAnsi" w:cstheme="minorHAnsi"/>
          <w:b/>
          <w:sz w:val="22"/>
          <w:szCs w:val="22"/>
        </w:rPr>
        <w:t>P</w:t>
      </w:r>
      <w:r w:rsidR="003D4C15" w:rsidRPr="005A0774">
        <w:rPr>
          <w:rFonts w:asciiTheme="minorHAnsi" w:hAnsiTheme="minorHAnsi" w:cstheme="minorHAnsi"/>
          <w:b/>
          <w:sz w:val="22"/>
          <w:szCs w:val="22"/>
        </w:rPr>
        <w:t>astaba.</w:t>
      </w:r>
      <w:r w:rsidR="003D4C15" w:rsidRPr="005A0774">
        <w:rPr>
          <w:rFonts w:asciiTheme="minorHAnsi" w:hAnsiTheme="minorHAnsi" w:cstheme="minorHAnsi"/>
          <w:sz w:val="22"/>
          <w:szCs w:val="22"/>
        </w:rPr>
        <w:t xml:space="preserve"> Šioje apžvalgoje pateikiamos neoficialios </w:t>
      </w:r>
      <w:r w:rsidR="0028287C" w:rsidRPr="005A0774">
        <w:rPr>
          <w:rFonts w:asciiTheme="minorHAnsi" w:hAnsiTheme="minorHAnsi" w:cstheme="minorHAnsi"/>
          <w:sz w:val="22"/>
          <w:szCs w:val="22"/>
        </w:rPr>
        <w:t>LVAT</w:t>
      </w:r>
      <w:r w:rsidR="003D4C15" w:rsidRPr="005A0774">
        <w:rPr>
          <w:rFonts w:asciiTheme="minorHAnsi" w:hAnsiTheme="minorHAnsi" w:cstheme="minorHAnsi"/>
          <w:sz w:val="22"/>
          <w:szCs w:val="22"/>
        </w:rPr>
        <w:t xml:space="preserve"> procesinių sprendimų santraukos, kurios LVAT nesaisto. Šis dokumentas yra skirtas tik info</w:t>
      </w:r>
      <w:r w:rsidR="009E6C8D" w:rsidRPr="005A0774">
        <w:rPr>
          <w:rFonts w:asciiTheme="minorHAnsi" w:hAnsiTheme="minorHAnsi" w:cstheme="minorHAnsi"/>
          <w:sz w:val="22"/>
          <w:szCs w:val="22"/>
        </w:rPr>
        <w:t>rm</w:t>
      </w:r>
      <w:r w:rsidR="0001474E" w:rsidRPr="005A0774">
        <w:rPr>
          <w:rFonts w:asciiTheme="minorHAnsi" w:hAnsiTheme="minorHAnsi" w:cstheme="minorHAnsi"/>
          <w:sz w:val="22"/>
          <w:szCs w:val="22"/>
        </w:rPr>
        <w:t>uoti</w:t>
      </w:r>
      <w:r w:rsidR="003D4C15" w:rsidRPr="005A0774">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5A0774">
        <w:rPr>
          <w:rFonts w:asciiTheme="minorHAnsi" w:hAnsiTheme="minorHAnsi" w:cstheme="minorHAnsi"/>
          <w:sz w:val="22"/>
          <w:szCs w:val="22"/>
        </w:rPr>
        <w:t>16</w:t>
      </w:r>
      <w:r w:rsidR="003D4C15" w:rsidRPr="005A0774">
        <w:rPr>
          <w:rFonts w:asciiTheme="minorHAnsi" w:hAnsiTheme="minorHAnsi" w:cstheme="minorHAnsi"/>
          <w:sz w:val="22"/>
          <w:szCs w:val="22"/>
        </w:rPr>
        <w:t xml:space="preserve"> m. </w:t>
      </w:r>
      <w:r w:rsidR="0045102F" w:rsidRPr="005A0774">
        <w:rPr>
          <w:rFonts w:asciiTheme="minorHAnsi" w:hAnsiTheme="minorHAnsi" w:cstheme="minorHAnsi"/>
          <w:sz w:val="22"/>
          <w:szCs w:val="22"/>
        </w:rPr>
        <w:t>rugsėjo 30</w:t>
      </w:r>
      <w:r w:rsidR="009E6C8D" w:rsidRPr="005A0774">
        <w:rPr>
          <w:rFonts w:asciiTheme="minorHAnsi" w:hAnsiTheme="minorHAnsi" w:cstheme="minorHAnsi"/>
          <w:sz w:val="22"/>
          <w:szCs w:val="22"/>
        </w:rPr>
        <w:t> </w:t>
      </w:r>
      <w:r w:rsidR="00291483" w:rsidRPr="005A0774">
        <w:rPr>
          <w:rFonts w:asciiTheme="minorHAnsi" w:hAnsiTheme="minorHAnsi" w:cstheme="minorHAnsi"/>
          <w:sz w:val="22"/>
          <w:szCs w:val="22"/>
        </w:rPr>
        <w:t>d. nutarimu Nr. </w:t>
      </w:r>
      <w:r w:rsidR="003D4C15" w:rsidRPr="005A0774">
        <w:rPr>
          <w:rFonts w:asciiTheme="minorHAnsi" w:hAnsiTheme="minorHAnsi" w:cstheme="minorHAnsi"/>
          <w:sz w:val="22"/>
          <w:szCs w:val="22"/>
        </w:rPr>
        <w:t>13P-</w:t>
      </w:r>
      <w:r w:rsidR="0045102F" w:rsidRPr="005A0774">
        <w:rPr>
          <w:rFonts w:asciiTheme="minorHAnsi" w:hAnsiTheme="minorHAnsi" w:cstheme="minorHAnsi"/>
          <w:sz w:val="22"/>
          <w:szCs w:val="22"/>
        </w:rPr>
        <w:t>102</w:t>
      </w:r>
      <w:r w:rsidR="003D4C15" w:rsidRPr="005A0774">
        <w:rPr>
          <w:rFonts w:asciiTheme="minorHAnsi" w:hAnsiTheme="minorHAnsi" w:cstheme="minorHAnsi"/>
          <w:sz w:val="22"/>
          <w:szCs w:val="22"/>
        </w:rPr>
        <w:t>-(7.1.2) patvirtintu Teismų procesinių sprendimų administracinėse bylose kategorijų klasifikatoriumi</w:t>
      </w:r>
      <w:r w:rsidR="0038475E" w:rsidRPr="005A0774">
        <w:rPr>
          <w:rFonts w:asciiTheme="minorHAnsi" w:hAnsiTheme="minorHAnsi" w:cstheme="minorHAnsi"/>
          <w:sz w:val="22"/>
          <w:szCs w:val="22"/>
        </w:rPr>
        <w:t xml:space="preserve"> (nuo 2019 m. vasario 1 d. galiojanti redakcija)</w:t>
      </w:r>
      <w:r w:rsidR="003D4C15" w:rsidRPr="005A0774">
        <w:rPr>
          <w:rFonts w:asciiTheme="minorHAnsi" w:hAnsiTheme="minorHAnsi" w:cstheme="minorHAnsi"/>
          <w:sz w:val="22"/>
          <w:szCs w:val="22"/>
        </w:rPr>
        <w:t>.</w:t>
      </w:r>
      <w:bookmarkStart w:id="8" w:name="_Toc410389752"/>
      <w:bookmarkStart w:id="9" w:name="_Toc361146890"/>
      <w:bookmarkEnd w:id="7"/>
      <w:r w:rsidR="00CA65D3" w:rsidRPr="005A0774">
        <w:rPr>
          <w:rFonts w:asciiTheme="minorHAnsi" w:hAnsiTheme="minorHAnsi" w:cstheme="minorHAnsi"/>
          <w:sz w:val="22"/>
          <w:szCs w:val="22"/>
        </w:rPr>
        <w:t xml:space="preserve"> </w:t>
      </w:r>
    </w:p>
    <w:p w14:paraId="6AAB4AE5" w14:textId="77777777" w:rsidR="0007050C" w:rsidRPr="005A0774" w:rsidRDefault="0007050C" w:rsidP="007A35C3">
      <w:pPr>
        <w:spacing w:before="240" w:after="240"/>
        <w:jc w:val="both"/>
        <w:rPr>
          <w:rFonts w:asciiTheme="minorHAnsi" w:hAnsiTheme="minorHAnsi" w:cstheme="minorHAnsi"/>
          <w:sz w:val="22"/>
          <w:szCs w:val="22"/>
        </w:rPr>
      </w:pPr>
      <w:r w:rsidRPr="005A0774">
        <w:rPr>
          <w:rFonts w:asciiTheme="minorHAnsi" w:hAnsiTheme="minorHAnsi" w:cstheme="minorHAnsi"/>
          <w:sz w:val="22"/>
          <w:szCs w:val="22"/>
        </w:rPr>
        <w:br w:type="page"/>
      </w:r>
    </w:p>
    <w:p w14:paraId="4865180B" w14:textId="77777777" w:rsidR="00A84D45" w:rsidRPr="005A0774" w:rsidRDefault="00A84D45" w:rsidP="007A35C3">
      <w:pPr>
        <w:pStyle w:val="Apzvalgai1"/>
        <w:rPr>
          <w:rFonts w:asciiTheme="minorHAnsi" w:hAnsiTheme="minorHAnsi" w:cstheme="minorHAnsi"/>
        </w:rPr>
      </w:pPr>
      <w:bookmarkStart w:id="10" w:name="_Toc519600852"/>
      <w:bookmarkStart w:id="11" w:name="_Toc61261221"/>
      <w:r w:rsidRPr="005A0774">
        <w:rPr>
          <w:rFonts w:asciiTheme="minorHAnsi" w:hAnsiTheme="minorHAnsi" w:cstheme="minorHAnsi"/>
        </w:rPr>
        <w:lastRenderedPageBreak/>
        <w:t>I. Administracinės bylos, kylančios iš ginčų dėl teisės viešojo administravimo srityje</w:t>
      </w:r>
      <w:bookmarkEnd w:id="10"/>
      <w:bookmarkEnd w:id="11"/>
    </w:p>
    <w:p w14:paraId="2FCB30EB" w14:textId="3AA4F9A3" w:rsidR="00EB7508" w:rsidRDefault="00EB7508" w:rsidP="007412F7">
      <w:pPr>
        <w:shd w:val="clear" w:color="auto" w:fill="FFFFFF"/>
        <w:tabs>
          <w:tab w:val="left" w:pos="3119"/>
        </w:tabs>
        <w:ind w:right="-1" w:firstLine="567"/>
        <w:jc w:val="both"/>
        <w:rPr>
          <w:rFonts w:ascii="Calibri" w:hAnsi="Calibri" w:cs="Calibri"/>
          <w:b/>
          <w:sz w:val="22"/>
          <w:szCs w:val="22"/>
          <w:u w:val="single"/>
        </w:rPr>
      </w:pPr>
    </w:p>
    <w:p w14:paraId="0F362211" w14:textId="77777777" w:rsidR="005716C2" w:rsidRPr="005716C2" w:rsidRDefault="005716C2" w:rsidP="005716C2">
      <w:pPr>
        <w:keepNext/>
        <w:tabs>
          <w:tab w:val="left" w:pos="567"/>
        </w:tabs>
        <w:jc w:val="both"/>
        <w:outlineLvl w:val="0"/>
        <w:rPr>
          <w:rFonts w:asciiTheme="minorHAnsi" w:hAnsiTheme="minorHAnsi" w:cstheme="minorHAnsi"/>
          <w:b/>
          <w:bCs/>
          <w:sz w:val="22"/>
          <w:szCs w:val="22"/>
          <w:u w:val="single"/>
        </w:rPr>
      </w:pPr>
      <w:bookmarkStart w:id="12" w:name="_Toc61261222"/>
      <w:bookmarkStart w:id="13" w:name="_Toc462149971"/>
      <w:r w:rsidRPr="005716C2">
        <w:rPr>
          <w:rFonts w:asciiTheme="minorHAnsi" w:hAnsiTheme="minorHAnsi" w:cstheme="minorHAnsi"/>
          <w:b/>
          <w:bCs/>
          <w:sz w:val="22"/>
          <w:szCs w:val="22"/>
          <w:u w:val="single"/>
        </w:rPr>
        <w:t>4. Norminių administracinių aktų teisėtumo patikra</w:t>
      </w:r>
      <w:bookmarkEnd w:id="12"/>
    </w:p>
    <w:p w14:paraId="2AC5935C" w14:textId="77777777" w:rsidR="005716C2" w:rsidRPr="00462F0E" w:rsidRDefault="005716C2" w:rsidP="00462F0E">
      <w:pPr>
        <w:ind w:firstLine="567"/>
        <w:jc w:val="both"/>
        <w:rPr>
          <w:rFonts w:ascii="Calibri" w:eastAsia="Calibri" w:hAnsi="Calibri" w:cs="Calibri"/>
          <w:b/>
          <w:sz w:val="22"/>
          <w:szCs w:val="22"/>
          <w:u w:val="single"/>
        </w:rPr>
      </w:pPr>
      <w:r w:rsidRPr="00462F0E">
        <w:rPr>
          <w:rFonts w:ascii="Calibri" w:eastAsia="Calibri" w:hAnsi="Calibri" w:cs="Calibri"/>
          <w:b/>
          <w:sz w:val="22"/>
          <w:szCs w:val="22"/>
          <w:u w:val="single"/>
        </w:rPr>
        <w:t>4.1. Centrinių valstybinio administravimo subjektų norminių administracinių aktų teisėtumas</w:t>
      </w:r>
    </w:p>
    <w:p w14:paraId="78B2F833" w14:textId="77777777" w:rsidR="005716C2" w:rsidRPr="005716C2" w:rsidRDefault="005716C2" w:rsidP="005716C2">
      <w:pPr>
        <w:rPr>
          <w:rFonts w:asciiTheme="minorHAnsi" w:eastAsia="Calibri" w:hAnsiTheme="minorHAnsi" w:cstheme="minorHAnsi"/>
          <w:i/>
          <w:sz w:val="22"/>
          <w:szCs w:val="22"/>
        </w:rPr>
      </w:pPr>
    </w:p>
    <w:p w14:paraId="04E8BD2F" w14:textId="58E58F80" w:rsidR="005716C2" w:rsidRPr="00A7469C" w:rsidRDefault="005716C2" w:rsidP="5FB8FBAC">
      <w:pPr>
        <w:jc w:val="both"/>
        <w:outlineLvl w:val="1"/>
        <w:rPr>
          <w:rFonts w:asciiTheme="minorHAnsi" w:eastAsia="Calibri" w:hAnsiTheme="minorHAnsi" w:cstheme="minorBidi"/>
          <w:i/>
          <w:iCs/>
          <w:sz w:val="22"/>
          <w:szCs w:val="22"/>
        </w:rPr>
      </w:pPr>
      <w:bookmarkStart w:id="14" w:name="_Toc61261223"/>
      <w:r w:rsidRPr="00A7469C">
        <w:rPr>
          <w:rFonts w:asciiTheme="minorHAnsi" w:eastAsia="Calibri" w:hAnsiTheme="minorHAnsi" w:cstheme="minorBidi"/>
          <w:i/>
          <w:iCs/>
          <w:sz w:val="22"/>
          <w:szCs w:val="22"/>
        </w:rPr>
        <w:t>Dė</w:t>
      </w:r>
      <w:r w:rsidR="15C53BC1" w:rsidRPr="00A7469C">
        <w:rPr>
          <w:rFonts w:asciiTheme="minorHAnsi" w:eastAsia="Calibri" w:hAnsiTheme="minorHAnsi" w:cstheme="minorBidi"/>
          <w:i/>
          <w:iCs/>
          <w:sz w:val="22"/>
          <w:szCs w:val="22"/>
        </w:rPr>
        <w:t xml:space="preserve">l </w:t>
      </w:r>
      <w:r w:rsidR="15C53BC1" w:rsidRPr="00A7469C">
        <w:rPr>
          <w:rFonts w:ascii="Calibri" w:eastAsia="Calibri" w:hAnsi="Calibri" w:cs="Calibri"/>
          <w:i/>
          <w:iCs/>
          <w:sz w:val="22"/>
          <w:szCs w:val="22"/>
        </w:rPr>
        <w:t>elektroninių nedarbingumo pažymėjimų bei elektroninių nėštumo ir gimdymo atostogų pažymėjimų išdavimo taisyklių</w:t>
      </w:r>
      <w:bookmarkEnd w:id="14"/>
    </w:p>
    <w:p w14:paraId="6FAE62E7" w14:textId="77777777" w:rsidR="005716C2" w:rsidRPr="005716C2" w:rsidRDefault="005716C2" w:rsidP="005716C2">
      <w:pPr>
        <w:jc w:val="both"/>
        <w:rPr>
          <w:rFonts w:asciiTheme="minorHAnsi" w:hAnsiTheme="minorHAnsi" w:cstheme="minorHAnsi"/>
          <w:sz w:val="22"/>
          <w:szCs w:val="22"/>
        </w:rPr>
      </w:pPr>
    </w:p>
    <w:p w14:paraId="101525EA" w14:textId="77777777" w:rsidR="005716C2" w:rsidRPr="005716C2" w:rsidRDefault="005716C2" w:rsidP="005716C2">
      <w:pPr>
        <w:ind w:firstLine="567"/>
        <w:jc w:val="both"/>
        <w:rPr>
          <w:rFonts w:asciiTheme="minorHAnsi" w:eastAsiaTheme="minorHAnsi" w:hAnsiTheme="minorHAnsi" w:cstheme="minorHAnsi"/>
          <w:sz w:val="22"/>
          <w:szCs w:val="22"/>
        </w:rPr>
      </w:pPr>
      <w:r w:rsidRPr="005716C2">
        <w:rPr>
          <w:rFonts w:asciiTheme="minorHAnsi" w:eastAsiaTheme="minorHAnsi" w:hAnsiTheme="minorHAnsi" w:cstheme="minorHAnsi"/>
          <w:sz w:val="22"/>
          <w:szCs w:val="22"/>
        </w:rPr>
        <w:t>Apžvelgiamoje administracinėje byloje buvo keliamas klausimas, ar Elektroninių nedarbingumo pažymėjimų bei elektroninių nėštumo ir gimdymo atostogų pažymėjimų išdavimo taisyklių, patvirtintų Lietuvos Respublikos sveikatos apsaugos ministro ir Lietuvos Respublikos socialinės apsaugos ir darbo ministro 2005 m. birželio 30 d. įsakymu Nr. V-533/A1-189 (toliau – Taisyklės), 59 punkto dalis, kurioje nustatyta, jog jeigu vieno šeimos nario slaugos metu suserga kiti šeimos nariai, elektroninis pažymėjimas jiems slaugyti ambulatoriškai išduodamas tik vienam slaugančiam asmeniui, neprieštarauja Lietuvos Respublikos Konstitucijos 29 straipsnio 1 dalyje įtvirtinam asmenų lygybės principui, konstituciniam teisinės valstybės principui ir Ligos ir motinystės socialinio draudimo įstatymo (toliau – Įstatymas) 5 straipsnio 2 dalies 2 punktui.</w:t>
      </w:r>
    </w:p>
    <w:p w14:paraId="165C4E5D" w14:textId="364B7388" w:rsidR="005716C2" w:rsidRPr="005716C2" w:rsidRDefault="005716C2" w:rsidP="55FEB3D6">
      <w:pPr>
        <w:ind w:firstLine="567"/>
        <w:jc w:val="both"/>
        <w:rPr>
          <w:rFonts w:asciiTheme="minorHAnsi" w:eastAsiaTheme="minorEastAsia" w:hAnsiTheme="minorHAnsi" w:cstheme="minorBidi"/>
          <w:sz w:val="22"/>
          <w:szCs w:val="22"/>
        </w:rPr>
      </w:pPr>
      <w:r w:rsidRPr="55FEB3D6">
        <w:rPr>
          <w:rFonts w:asciiTheme="minorHAnsi" w:eastAsiaTheme="minorEastAsia" w:hAnsiTheme="minorHAnsi" w:cstheme="minorBidi"/>
          <w:sz w:val="22"/>
          <w:szCs w:val="22"/>
        </w:rPr>
        <w:t xml:space="preserve">Išplėstinė teisėjų kolegija, įvertinusi </w:t>
      </w:r>
      <w:r w:rsidRPr="55FEB3D6">
        <w:rPr>
          <w:rFonts w:asciiTheme="minorHAnsi" w:eastAsiaTheme="minorEastAsia" w:hAnsiTheme="minorHAnsi" w:cstheme="minorBidi"/>
          <w:sz w:val="22"/>
          <w:szCs w:val="22"/>
          <w:lang w:bidi="lt-LT"/>
        </w:rPr>
        <w:t xml:space="preserve">Įstatymo </w:t>
      </w:r>
      <w:r w:rsidRPr="55FEB3D6">
        <w:rPr>
          <w:rFonts w:asciiTheme="minorHAnsi" w:eastAsiaTheme="minorEastAsia" w:hAnsiTheme="minorHAnsi" w:cstheme="minorBidi"/>
          <w:sz w:val="22"/>
          <w:szCs w:val="22"/>
        </w:rPr>
        <w:t>5 straipsnio 1 dalie</w:t>
      </w:r>
      <w:r w:rsidR="4E6DB446" w:rsidRPr="55FEB3D6">
        <w:rPr>
          <w:rFonts w:asciiTheme="minorHAnsi" w:eastAsiaTheme="minorEastAsia" w:hAnsiTheme="minorHAnsi" w:cstheme="minorBidi"/>
          <w:sz w:val="22"/>
          <w:szCs w:val="22"/>
        </w:rPr>
        <w:t>s</w:t>
      </w:r>
      <w:r w:rsidRPr="55FEB3D6">
        <w:rPr>
          <w:rFonts w:asciiTheme="minorHAnsi" w:eastAsiaTheme="minorEastAsia" w:hAnsiTheme="minorHAnsi" w:cstheme="minorBidi"/>
          <w:sz w:val="22"/>
          <w:szCs w:val="22"/>
        </w:rPr>
        <w:t xml:space="preserve"> ir 2 dalies 2 punkto nuostatas, pažymėjo, kad nors pareiškėjas nurodo, jog kitų išlygų ir apribojimų gauti ligos išmoką Įstatymo 5 straipsnio 2 dalies 2 punkte nenumatyta, iš Įstatymo 5 straipsnio 2 dalies formuluotės matyti, jog ligos išmokos skyrimui yra keliamos tokios sąlygos: ji skiriama ne tik tada, kai gydytojo nurodymu būtina slaugyti susirgusį apdraustojo asmens šeimos narį, bet ir tiems asmenims, kurie turi teisę gauti ligos išmoką. Nedarbingumo pažymėjimas yra teisę gauti ligos išmoką patvirtinantis dokumentas, kuris išduodamas pagal Įstatymo ir Taisyklių nuostatas, o ne vien tik gydytojo nurodymu, kai sergančiam šeimos nariui reikalinga slauga.</w:t>
      </w:r>
    </w:p>
    <w:p w14:paraId="6E36FCC8" w14:textId="77777777" w:rsidR="005716C2" w:rsidRPr="005716C2" w:rsidRDefault="005716C2" w:rsidP="005716C2">
      <w:pPr>
        <w:ind w:firstLine="567"/>
        <w:jc w:val="both"/>
        <w:rPr>
          <w:rFonts w:asciiTheme="minorHAnsi" w:eastAsiaTheme="minorHAnsi" w:hAnsiTheme="minorHAnsi" w:cstheme="minorHAnsi"/>
          <w:sz w:val="22"/>
          <w:szCs w:val="22"/>
        </w:rPr>
      </w:pPr>
      <w:r w:rsidRPr="005716C2">
        <w:rPr>
          <w:rFonts w:asciiTheme="minorHAnsi" w:eastAsiaTheme="minorHAnsi" w:hAnsiTheme="minorHAnsi" w:cstheme="minorHAnsi"/>
          <w:sz w:val="22"/>
          <w:szCs w:val="22"/>
        </w:rPr>
        <w:t xml:space="preserve">Išplėstinė teisėjų kolegija vertino, jog Įstatymo 5 straipsnio 2 dalies 2 punkte nėra įtvirtinta tokio reguliavimo, kokį nurodo pareiškėjas, t. y. jog teisė nuspręsti, ar sergančiam asmeniui ne tik reikalinga slauga, bet ir tai, ar apdraustajam turi būti išduodamas nedarbingumo pažymėjimas, suteikta sergantįjį gydančiam gydytojui. </w:t>
      </w:r>
      <w:r w:rsidRPr="005716C2">
        <w:rPr>
          <w:rFonts w:asciiTheme="minorHAnsi" w:eastAsiaTheme="minorHAnsi" w:hAnsiTheme="minorHAnsi" w:cstheme="minorHAnsi"/>
          <w:sz w:val="22"/>
          <w:szCs w:val="22"/>
          <w:lang w:bidi="lt-LT"/>
        </w:rPr>
        <w:t xml:space="preserve">Nors gydytojams pavesta išduoti elektroninius nedarbingumo pažymėjimus, tai jie daro vadovaudamiesi Įstatymu ir Taisyklėmis, t. y. nustatęs, jog </w:t>
      </w:r>
      <w:r w:rsidRPr="005716C2">
        <w:rPr>
          <w:rFonts w:asciiTheme="minorHAnsi" w:eastAsiaTheme="minorHAnsi" w:hAnsiTheme="minorHAnsi" w:cstheme="minorHAnsi"/>
          <w:sz w:val="22"/>
          <w:szCs w:val="22"/>
        </w:rPr>
        <w:t>būtina slaugyti susirgusį apdraustojo asmens šeimos narį, gydytojas vertina, ar apdraustasis turi teisę gauti ligos išmoką ir jam turi būti išduodamas elektroninis nedarbingumo pažymėjimas</w:t>
      </w:r>
      <w:r w:rsidRPr="005716C2">
        <w:rPr>
          <w:rFonts w:asciiTheme="minorHAnsi" w:eastAsiaTheme="minorHAnsi" w:hAnsiTheme="minorHAnsi" w:cstheme="minorHAnsi"/>
          <w:sz w:val="22"/>
          <w:szCs w:val="22"/>
          <w:lang w:bidi="lt-LT"/>
        </w:rPr>
        <w:t xml:space="preserve">. </w:t>
      </w:r>
      <w:r w:rsidRPr="005716C2">
        <w:rPr>
          <w:rFonts w:asciiTheme="minorHAnsi" w:eastAsiaTheme="minorHAnsi" w:hAnsiTheme="minorHAnsi" w:cstheme="minorHAnsi"/>
          <w:sz w:val="22"/>
          <w:szCs w:val="22"/>
        </w:rPr>
        <w:t>Bylos dalis pagal pareiškėjo prašymą dėl Taisyklių 59 punkto dalies atitikties Įstatymo 5 straipsnio 2 dalies 2 punktui dėl tyrimo dalyko nebuvimo nutraukta (ABTĮ 103 str. 1 p., 116 str. 1 d.).</w:t>
      </w:r>
    </w:p>
    <w:p w14:paraId="4E8C6AEF" w14:textId="77777777" w:rsidR="005716C2" w:rsidRPr="005716C2" w:rsidRDefault="005716C2" w:rsidP="005716C2">
      <w:pPr>
        <w:ind w:firstLine="567"/>
        <w:jc w:val="both"/>
        <w:rPr>
          <w:rFonts w:asciiTheme="minorHAnsi" w:eastAsiaTheme="minorHAnsi" w:hAnsiTheme="minorHAnsi" w:cstheme="minorHAnsi"/>
          <w:sz w:val="22"/>
          <w:szCs w:val="22"/>
        </w:rPr>
      </w:pPr>
      <w:r w:rsidRPr="005716C2">
        <w:rPr>
          <w:rFonts w:asciiTheme="minorHAnsi" w:eastAsiaTheme="minorHAnsi" w:hAnsiTheme="minorHAnsi" w:cstheme="minorHAnsi"/>
          <w:sz w:val="22"/>
          <w:szCs w:val="22"/>
          <w:lang w:bidi="lt-LT"/>
        </w:rPr>
        <w:t xml:space="preserve">Pareiškėjas, motyvuodamas Taisyklių 59 punkto dalies prieštaravimą </w:t>
      </w:r>
      <w:r w:rsidRPr="005716C2">
        <w:rPr>
          <w:rFonts w:asciiTheme="minorHAnsi" w:eastAsiaTheme="minorHAnsi" w:hAnsiTheme="minorHAnsi" w:cstheme="minorHAnsi"/>
          <w:sz w:val="22"/>
          <w:szCs w:val="22"/>
        </w:rPr>
        <w:t>Lietuvos Respublikos Konstitucijos 29 straipsnio 1 dalyje įtvirtintam asmenų lygybės principui,</w:t>
      </w:r>
      <w:r w:rsidRPr="005716C2">
        <w:rPr>
          <w:rFonts w:asciiTheme="minorHAnsi" w:eastAsiaTheme="minorHAnsi" w:hAnsiTheme="minorHAnsi" w:cstheme="minorHAnsi"/>
          <w:sz w:val="22"/>
          <w:szCs w:val="22"/>
          <w:lang w:bidi="lt-LT"/>
        </w:rPr>
        <w:t xml:space="preserve"> nurodė, jog kvestionuojama nuostata suponuoja nevienodas vaikų slaugos sąlygas šeimoms, auginančioms daugiau nei vieną vaiką, lyginant jas su šeimomis, auginančiomis vieną vaiką.</w:t>
      </w:r>
    </w:p>
    <w:p w14:paraId="7BEF2A69" w14:textId="77777777" w:rsidR="005716C2" w:rsidRPr="005716C2" w:rsidRDefault="005716C2" w:rsidP="005716C2">
      <w:pPr>
        <w:ind w:firstLine="567"/>
        <w:jc w:val="both"/>
        <w:rPr>
          <w:rFonts w:asciiTheme="minorHAnsi" w:eastAsiaTheme="minorHAnsi" w:hAnsiTheme="minorHAnsi" w:cstheme="minorHAnsi"/>
          <w:sz w:val="22"/>
          <w:szCs w:val="22"/>
        </w:rPr>
      </w:pPr>
      <w:r w:rsidRPr="005716C2">
        <w:rPr>
          <w:rFonts w:asciiTheme="minorHAnsi" w:eastAsiaTheme="minorHAnsi" w:hAnsiTheme="minorHAnsi" w:cstheme="minorHAnsi"/>
          <w:sz w:val="22"/>
          <w:szCs w:val="22"/>
          <w:lang w:bidi="lt-LT"/>
        </w:rPr>
        <w:t xml:space="preserve">Išplėstinė teisėjų kolegija vertino, jog </w:t>
      </w:r>
      <w:r w:rsidRPr="005716C2">
        <w:rPr>
          <w:rFonts w:asciiTheme="minorHAnsi" w:eastAsiaTheme="minorHAnsi" w:hAnsiTheme="minorHAnsi" w:cstheme="minorHAnsi"/>
          <w:sz w:val="22"/>
          <w:szCs w:val="22"/>
        </w:rPr>
        <w:t xml:space="preserve">pareiškėjas neanalizavo ir neatskleidė tarp jo nurodytų asmenų (tarp šeimų, auginančių vieną ir daugiau nei vieną vaiką) esančių skirtumų pobūdžio ir apimties. Taip pat nepateikė argumentų, kodėl, pareiškėjo nuomone, nevienodas traktavimas tarp šeimų, auginančių vieną ir daugiau nei vieną vaiką, esant Taisyklių 59 punkto pirmosios pastraipos situacijai ir daugiau nei du vaikus auginantiems tėvams objektyviai negalint slaugyti ambulatoriškai kiekvieno vaiko atskirai (kai serga daugiau nei du vaikai), yra nepateisinamas ar kodėl jų teisinės padėties skirtumai nesudaro pagrindo pateisinti tokį traktavimą. Išsamių argumentų ir motyvų, sudarančių tyrimo dalyką, trūkumas buvo pagrindas šią bylos dalį nutraukti (ABTĮ 103 str. 1 p., 116 str. 1 d.). </w:t>
      </w:r>
    </w:p>
    <w:p w14:paraId="213B0B50" w14:textId="77777777" w:rsidR="005716C2" w:rsidRPr="005716C2" w:rsidRDefault="005716C2" w:rsidP="005716C2">
      <w:pPr>
        <w:ind w:firstLine="567"/>
        <w:jc w:val="both"/>
        <w:rPr>
          <w:rFonts w:asciiTheme="minorHAnsi" w:eastAsiaTheme="minorHAnsi" w:hAnsiTheme="minorHAnsi" w:cstheme="minorHAnsi"/>
          <w:sz w:val="22"/>
          <w:szCs w:val="22"/>
        </w:rPr>
      </w:pPr>
      <w:r w:rsidRPr="005716C2">
        <w:rPr>
          <w:rFonts w:asciiTheme="minorHAnsi" w:eastAsiaTheme="minorHAnsi" w:hAnsiTheme="minorHAnsi" w:cstheme="minorHAnsi"/>
          <w:sz w:val="22"/>
          <w:szCs w:val="22"/>
          <w:lang w:bidi="lt-LT"/>
        </w:rPr>
        <w:t xml:space="preserve">Pareiškėjas, motyvuodamas Taisyklių 59 punkto prieštaravimą konstituciniam teisinės valstybės principui, nurodė, jog Taisyklių 59 punkto pirmosios pastraipos nuostata, apribojanti visų vienu metu sergančiųjų šeimos narių teisę į slaugą, įtvirtinta ne įstatymu, o poįstatyminiu aktu. </w:t>
      </w:r>
    </w:p>
    <w:p w14:paraId="712DB7A1" w14:textId="77777777" w:rsidR="005716C2" w:rsidRPr="005716C2" w:rsidRDefault="005716C2" w:rsidP="005716C2">
      <w:pPr>
        <w:ind w:firstLine="567"/>
        <w:jc w:val="both"/>
        <w:rPr>
          <w:rFonts w:asciiTheme="minorHAnsi" w:eastAsiaTheme="minorHAnsi" w:hAnsiTheme="minorHAnsi" w:cstheme="minorHAnsi"/>
          <w:sz w:val="22"/>
          <w:szCs w:val="22"/>
        </w:rPr>
      </w:pPr>
      <w:r w:rsidRPr="005716C2">
        <w:rPr>
          <w:rFonts w:asciiTheme="minorHAnsi" w:eastAsiaTheme="minorHAnsi" w:hAnsiTheme="minorHAnsi" w:cstheme="minorHAnsi"/>
          <w:sz w:val="22"/>
          <w:szCs w:val="22"/>
          <w:lang w:bidi="lt-LT"/>
        </w:rPr>
        <w:t xml:space="preserve">Išplėstinė teisėjų kolegija pažymėjo, kad </w:t>
      </w:r>
      <w:r w:rsidRPr="005716C2">
        <w:rPr>
          <w:rFonts w:asciiTheme="minorHAnsi" w:eastAsiaTheme="minorHAnsi" w:hAnsiTheme="minorHAnsi" w:cstheme="minorHAnsi"/>
          <w:sz w:val="22"/>
          <w:szCs w:val="22"/>
        </w:rPr>
        <w:t xml:space="preserve">iš Taisyklių 59 punkto antrosios pastraipos matyti, jog sutuoktiniams, auginantiems du ir daugiau nepilnamečių vaikų, gali būti išduoti elektroniniai nedarbingumo pažymėjimai nepilnamečių vaikų slaugai, „jei tuo pačiu metu serga keli šeimos nariai“, ir tam yra numatyta sąlyga – „kai vienas (ar keli) iš sergančių šeimos narių slaugomas (slaugomi) stacionare ar medicininės reabilitacijos ir sanatorinio gydymo įstaigoje“. Taigi Taisyklių 59 punkte nėra numatyto absoliutaus ribojimo išduoti elektroninius nedarbingumo pažymėjimus skirtingiems sergantiems šeimos nariams slaugyti, o Taisyklių 59 punkto pirmosios pastraipos nėra pagrindo aiškinti atskirai nuo viso Taisyklių 59 punkte numatyto teisinio reguliavimo. </w:t>
      </w:r>
      <w:r w:rsidRPr="005716C2">
        <w:rPr>
          <w:rFonts w:asciiTheme="minorHAnsi" w:eastAsiaTheme="minorHAnsi" w:hAnsiTheme="minorHAnsi" w:cstheme="minorHAnsi"/>
          <w:sz w:val="22"/>
          <w:szCs w:val="22"/>
          <w:lang w:bidi="lt-LT"/>
        </w:rPr>
        <w:t xml:space="preserve">Išdėstyti motyvai sudarė pagrindą spręsti, jog </w:t>
      </w:r>
      <w:r w:rsidRPr="005716C2">
        <w:rPr>
          <w:rFonts w:asciiTheme="minorHAnsi" w:eastAsiaTheme="minorHAnsi" w:hAnsiTheme="minorHAnsi" w:cstheme="minorHAnsi"/>
          <w:sz w:val="22"/>
          <w:szCs w:val="22"/>
        </w:rPr>
        <w:t xml:space="preserve">pareiškėjas nepateikė pakankamų argumentų dėl </w:t>
      </w:r>
      <w:r w:rsidRPr="005716C2">
        <w:rPr>
          <w:rFonts w:asciiTheme="minorHAnsi" w:eastAsiaTheme="minorHAnsi" w:hAnsiTheme="minorHAnsi" w:cstheme="minorHAnsi"/>
          <w:sz w:val="22"/>
          <w:szCs w:val="22"/>
        </w:rPr>
        <w:lastRenderedPageBreak/>
        <w:t>Taisyklių 59 punkto prieštaravimo teisinės valstybės principui ar argumentų, sudarančių pagrindą spręsti dėl teisinio reguliavimo prieštaravimo aukštesnės teisinės galios aktuose įtvirtintam reguliavimui, dėl to bylos dalis nutraukta (ABTĮ 103 str. 1 d. 1 p., 116 str. 1 d.).</w:t>
      </w:r>
    </w:p>
    <w:p w14:paraId="01EA84D7" w14:textId="77777777" w:rsidR="005716C2" w:rsidRPr="005716C2" w:rsidRDefault="005716C2" w:rsidP="005716C2">
      <w:pPr>
        <w:ind w:firstLine="567"/>
        <w:jc w:val="both"/>
        <w:rPr>
          <w:rFonts w:asciiTheme="minorHAnsi" w:eastAsiaTheme="minorHAnsi" w:hAnsiTheme="minorHAnsi" w:cstheme="minorHAnsi"/>
          <w:sz w:val="22"/>
          <w:szCs w:val="22"/>
        </w:rPr>
      </w:pPr>
    </w:p>
    <w:p w14:paraId="1CF6EE92" w14:textId="77777777" w:rsidR="005716C2" w:rsidRPr="005716C2" w:rsidRDefault="005716C2" w:rsidP="005716C2">
      <w:pPr>
        <w:jc w:val="both"/>
        <w:rPr>
          <w:rFonts w:asciiTheme="minorHAnsi" w:hAnsiTheme="minorHAnsi" w:cstheme="minorHAnsi"/>
          <w:sz w:val="22"/>
          <w:szCs w:val="22"/>
        </w:rPr>
      </w:pPr>
      <w:r w:rsidRPr="005716C2">
        <w:rPr>
          <w:rFonts w:asciiTheme="minorHAnsi" w:hAnsiTheme="minorHAnsi" w:cstheme="minorHAnsi"/>
          <w:sz w:val="22"/>
          <w:szCs w:val="22"/>
        </w:rPr>
        <w:t>Išplėstinės teisėjų kolegijos 2020 m. lapkričio 25 d. nutartis administracinėje byloje Nr. eI-2-756/2020</w:t>
      </w:r>
    </w:p>
    <w:p w14:paraId="482B0EF0" w14:textId="77777777" w:rsidR="005716C2" w:rsidRPr="005716C2" w:rsidRDefault="005716C2" w:rsidP="005716C2">
      <w:pPr>
        <w:jc w:val="both"/>
        <w:rPr>
          <w:rFonts w:asciiTheme="minorHAnsi" w:hAnsiTheme="minorHAnsi" w:cstheme="minorHAnsi"/>
          <w:sz w:val="22"/>
          <w:szCs w:val="22"/>
        </w:rPr>
      </w:pPr>
      <w:r w:rsidRPr="005716C2">
        <w:rPr>
          <w:rFonts w:asciiTheme="minorHAnsi" w:hAnsiTheme="minorHAnsi" w:cstheme="minorHAnsi"/>
          <w:sz w:val="22"/>
          <w:szCs w:val="22"/>
        </w:rPr>
        <w:t>Teisminio proceso Nr. 3-61-3-00089-2019-7</w:t>
      </w:r>
    </w:p>
    <w:p w14:paraId="36E8EB00" w14:textId="77777777" w:rsidR="005716C2" w:rsidRPr="005716C2" w:rsidRDefault="005716C2" w:rsidP="005716C2">
      <w:pPr>
        <w:jc w:val="both"/>
        <w:rPr>
          <w:rFonts w:asciiTheme="minorHAnsi" w:hAnsiTheme="minorHAnsi" w:cstheme="minorHAnsi"/>
          <w:sz w:val="22"/>
          <w:szCs w:val="22"/>
        </w:rPr>
      </w:pPr>
      <w:r w:rsidRPr="005716C2">
        <w:rPr>
          <w:rFonts w:asciiTheme="minorHAnsi" w:hAnsiTheme="minorHAnsi" w:cstheme="minorHAnsi"/>
          <w:sz w:val="22"/>
          <w:szCs w:val="22"/>
        </w:rPr>
        <w:t>Procesinio sprendimo kategorija 4.2</w:t>
      </w:r>
    </w:p>
    <w:p w14:paraId="208C225D" w14:textId="77777777" w:rsidR="005716C2" w:rsidRPr="005716C2" w:rsidRDefault="00822FF8" w:rsidP="005716C2">
      <w:pPr>
        <w:jc w:val="both"/>
        <w:rPr>
          <w:rFonts w:asciiTheme="minorHAnsi" w:eastAsiaTheme="minorHAnsi" w:hAnsiTheme="minorHAnsi" w:cstheme="minorBidi"/>
          <w:color w:val="0000FF"/>
          <w:sz w:val="22"/>
          <w:szCs w:val="22"/>
          <w:u w:val="single"/>
          <w:lang w:eastAsia="en-US"/>
        </w:rPr>
      </w:pPr>
      <w:hyperlink r:id="rId12" w:history="1">
        <w:r w:rsidR="005716C2" w:rsidRPr="005716C2">
          <w:rPr>
            <w:rFonts w:asciiTheme="minorHAnsi" w:hAnsiTheme="minorHAnsi" w:cstheme="minorHAnsi"/>
            <w:color w:val="0000FF"/>
            <w:sz w:val="22"/>
            <w:szCs w:val="22"/>
            <w:u w:val="single"/>
          </w:rPr>
          <w:t>Prieiga internete</w:t>
        </w:r>
      </w:hyperlink>
    </w:p>
    <w:bookmarkEnd w:id="13"/>
    <w:p w14:paraId="64F5649E" w14:textId="2572F08E" w:rsidR="005716C2" w:rsidRPr="00553BFF" w:rsidRDefault="005716C2" w:rsidP="00B91B6F">
      <w:pPr>
        <w:jc w:val="both"/>
        <w:rPr>
          <w:rFonts w:ascii="Calibri" w:eastAsia="Calibri" w:hAnsi="Calibri" w:cs="Calibri"/>
          <w:sz w:val="22"/>
          <w:szCs w:val="22"/>
        </w:rPr>
      </w:pPr>
    </w:p>
    <w:p w14:paraId="13B36A92" w14:textId="77777777" w:rsidR="00553BFF" w:rsidRPr="00553BFF" w:rsidRDefault="00553BFF" w:rsidP="00553BFF">
      <w:pPr>
        <w:keepNext/>
        <w:tabs>
          <w:tab w:val="left" w:pos="567"/>
        </w:tabs>
        <w:jc w:val="both"/>
        <w:outlineLvl w:val="0"/>
        <w:rPr>
          <w:rFonts w:ascii="Calibri" w:hAnsi="Calibri" w:cs="Calibri"/>
          <w:b/>
          <w:sz w:val="22"/>
          <w:szCs w:val="22"/>
          <w:u w:val="single"/>
        </w:rPr>
      </w:pPr>
      <w:bookmarkStart w:id="15" w:name="_Toc61261224"/>
      <w:r w:rsidRPr="00553BFF">
        <w:rPr>
          <w:rFonts w:ascii="Calibri" w:hAnsi="Calibri" w:cs="Calibri"/>
          <w:b/>
          <w:sz w:val="22"/>
          <w:szCs w:val="22"/>
          <w:u w:val="single"/>
        </w:rPr>
        <w:t>8. Užsieniečių teisinė padėtis</w:t>
      </w:r>
      <w:bookmarkEnd w:id="15"/>
    </w:p>
    <w:p w14:paraId="650C1C35" w14:textId="77777777" w:rsidR="00553BFF" w:rsidRPr="00553BFF" w:rsidRDefault="00553BFF" w:rsidP="00553BFF">
      <w:pPr>
        <w:ind w:firstLine="567"/>
        <w:jc w:val="both"/>
        <w:rPr>
          <w:rFonts w:ascii="Calibri" w:eastAsia="Calibri" w:hAnsi="Calibri" w:cs="Calibri"/>
          <w:b/>
          <w:sz w:val="22"/>
          <w:szCs w:val="22"/>
          <w:u w:val="single"/>
        </w:rPr>
      </w:pPr>
      <w:r w:rsidRPr="00553BFF">
        <w:rPr>
          <w:rFonts w:ascii="Calibri" w:eastAsia="Calibri" w:hAnsi="Calibri" w:cs="Calibri"/>
          <w:b/>
          <w:sz w:val="22"/>
          <w:szCs w:val="22"/>
          <w:u w:val="single"/>
        </w:rPr>
        <w:t>8.6. Užsieniečių išvykimas iš Lietuvos Respublikos</w:t>
      </w:r>
    </w:p>
    <w:p w14:paraId="1CA30DCC" w14:textId="77777777" w:rsidR="00553BFF" w:rsidRPr="00553BFF" w:rsidRDefault="00553BFF" w:rsidP="00553BFF">
      <w:pPr>
        <w:ind w:firstLine="1296"/>
        <w:jc w:val="both"/>
        <w:rPr>
          <w:rFonts w:ascii="Calibri" w:eastAsia="Calibri" w:hAnsi="Calibri" w:cs="Calibri"/>
          <w:b/>
          <w:sz w:val="22"/>
          <w:szCs w:val="22"/>
          <w:u w:val="single"/>
        </w:rPr>
      </w:pPr>
      <w:r w:rsidRPr="00553BFF">
        <w:rPr>
          <w:rFonts w:ascii="Calibri" w:eastAsia="Calibri" w:hAnsi="Calibri" w:cs="Calibri"/>
          <w:b/>
          <w:sz w:val="22"/>
          <w:szCs w:val="22"/>
          <w:u w:val="single"/>
        </w:rPr>
        <w:t>8.6.4. Draudimas atvykti</w:t>
      </w:r>
    </w:p>
    <w:p w14:paraId="36551E35" w14:textId="77777777" w:rsidR="00553BFF" w:rsidRPr="00553BFF" w:rsidRDefault="00553BFF" w:rsidP="00553BFF">
      <w:pPr>
        <w:ind w:firstLine="567"/>
        <w:jc w:val="both"/>
        <w:rPr>
          <w:rFonts w:ascii="Calibri" w:eastAsia="Calibri" w:hAnsi="Calibri" w:cs="Calibri"/>
          <w:sz w:val="22"/>
          <w:szCs w:val="22"/>
        </w:rPr>
      </w:pPr>
    </w:p>
    <w:p w14:paraId="7A749B96" w14:textId="77777777" w:rsidR="00553BFF" w:rsidRPr="00553BFF" w:rsidRDefault="00553BFF" w:rsidP="00553BFF">
      <w:pPr>
        <w:jc w:val="both"/>
        <w:outlineLvl w:val="1"/>
        <w:rPr>
          <w:rFonts w:asciiTheme="minorHAnsi" w:eastAsia="Calibri" w:hAnsiTheme="minorHAnsi" w:cstheme="minorHAnsi"/>
          <w:i/>
          <w:sz w:val="22"/>
          <w:szCs w:val="22"/>
        </w:rPr>
      </w:pPr>
      <w:bookmarkStart w:id="16" w:name="_Toc61261225"/>
      <w:r w:rsidRPr="00553BFF">
        <w:rPr>
          <w:rFonts w:asciiTheme="minorHAnsi" w:eastAsia="Calibri" w:hAnsiTheme="minorHAnsi" w:cstheme="minorHAnsi"/>
          <w:i/>
          <w:sz w:val="22"/>
          <w:szCs w:val="22"/>
        </w:rPr>
        <w:t>Dėl 5 metų draudimo atvykti į Lietuvos Respublikos teritoriją laikotarpio skaičiavimo</w:t>
      </w:r>
      <w:bookmarkEnd w:id="16"/>
    </w:p>
    <w:p w14:paraId="6681BC81" w14:textId="77777777" w:rsidR="00553BFF" w:rsidRPr="00553BFF" w:rsidRDefault="00553BFF" w:rsidP="00553BFF">
      <w:pPr>
        <w:ind w:firstLine="567"/>
        <w:jc w:val="both"/>
        <w:rPr>
          <w:rFonts w:ascii="Calibri" w:eastAsia="Calibri" w:hAnsi="Calibri" w:cs="Calibri"/>
          <w:b/>
          <w:sz w:val="22"/>
          <w:szCs w:val="22"/>
        </w:rPr>
      </w:pPr>
    </w:p>
    <w:p w14:paraId="1A299A2D" w14:textId="18ACA878" w:rsidR="00553BFF" w:rsidRPr="00553BFF" w:rsidRDefault="00553BFF" w:rsidP="00553BFF">
      <w:pPr>
        <w:ind w:firstLine="567"/>
        <w:jc w:val="both"/>
        <w:rPr>
          <w:rFonts w:ascii="Calibri" w:eastAsia="Calibri" w:hAnsi="Calibri" w:cs="Calibri"/>
          <w:sz w:val="22"/>
          <w:szCs w:val="22"/>
        </w:rPr>
      </w:pPr>
      <w:r w:rsidRPr="3C0484D3">
        <w:rPr>
          <w:rFonts w:ascii="Calibri" w:eastAsia="Calibri" w:hAnsi="Calibri" w:cs="Calibri"/>
          <w:sz w:val="22"/>
          <w:szCs w:val="22"/>
        </w:rPr>
        <w:t>Nagrinė</w:t>
      </w:r>
      <w:r w:rsidR="6A0F2A56" w:rsidRPr="3C0484D3">
        <w:rPr>
          <w:rFonts w:ascii="Calibri" w:eastAsia="Calibri" w:hAnsi="Calibri" w:cs="Calibri"/>
          <w:sz w:val="22"/>
          <w:szCs w:val="22"/>
        </w:rPr>
        <w:t>t</w:t>
      </w:r>
      <w:r w:rsidRPr="3C0484D3">
        <w:rPr>
          <w:rFonts w:ascii="Calibri" w:eastAsia="Calibri" w:hAnsi="Calibri" w:cs="Calibri"/>
          <w:sz w:val="22"/>
          <w:szCs w:val="22"/>
        </w:rPr>
        <w:t>oje byloje ginčas kilo dėl Valstybės sienos apsaugos tarnybos prie Lietuvos Respublikos vidaus reikalų ministerijos ir Migracijos departamento prie Lietuvos Respublikos vidaus reikalų ministerijos (toliau – Migracijos departamentas) sprendimų, kuriais pareiškėjui uždrausta atvykti į Lietuvos Respubliką, taip pat jis neįleistas į Lietuvos Respublikos teritoriją.</w:t>
      </w:r>
    </w:p>
    <w:p w14:paraId="490C66BF" w14:textId="48DD738D" w:rsidR="00553BFF" w:rsidRPr="00553BFF" w:rsidRDefault="00553BFF" w:rsidP="00553BFF">
      <w:pPr>
        <w:ind w:firstLine="567"/>
        <w:jc w:val="both"/>
        <w:rPr>
          <w:rFonts w:ascii="Calibri" w:eastAsia="Calibri" w:hAnsi="Calibri" w:cs="Calibri"/>
          <w:sz w:val="22"/>
          <w:szCs w:val="22"/>
        </w:rPr>
      </w:pPr>
      <w:r w:rsidRPr="55FEB3D6">
        <w:rPr>
          <w:rFonts w:ascii="Calibri" w:eastAsia="Calibri" w:hAnsi="Calibri" w:cs="Calibri"/>
          <w:sz w:val="22"/>
          <w:szCs w:val="22"/>
        </w:rPr>
        <w:t xml:space="preserve">Nagrinėdamas pareiškėjo apeliacinį skundą LVAT nurodė, kad pirmosios instancijos teismas atmetė skundą nenustatęs ir neįvertinęs visų bylai reikšmingų aplinkybių, nepasisakęs dėl visų pareiškėjo pagrindinių argumentų, </w:t>
      </w:r>
      <w:r w:rsidRPr="55FEB3D6">
        <w:rPr>
          <w:rFonts w:ascii="Calibri" w:eastAsia="Calibri" w:hAnsi="Calibri" w:cs="Calibri"/>
          <w:i/>
          <w:iCs/>
          <w:sz w:val="22"/>
          <w:szCs w:val="22"/>
        </w:rPr>
        <w:t>inter alia</w:t>
      </w:r>
      <w:r w:rsidRPr="55FEB3D6">
        <w:rPr>
          <w:rFonts w:ascii="Calibri" w:eastAsia="Calibri" w:hAnsi="Calibri" w:cs="Calibri"/>
          <w:sz w:val="22"/>
          <w:szCs w:val="22"/>
        </w:rPr>
        <w:t xml:space="preserve"> neišnagrinėjęs ir nepasisakęs dėl pareiškėjo argumento, jog Migracijos departamentas viršijo jam įstatymu suteikt</w:t>
      </w:r>
      <w:r w:rsidR="53CBB7F1" w:rsidRPr="55FEB3D6">
        <w:rPr>
          <w:rFonts w:ascii="Calibri" w:eastAsia="Calibri" w:hAnsi="Calibri" w:cs="Calibri"/>
          <w:sz w:val="22"/>
          <w:szCs w:val="22"/>
        </w:rPr>
        <w:t>o</w:t>
      </w:r>
      <w:r w:rsidRPr="55FEB3D6">
        <w:rPr>
          <w:rFonts w:ascii="Calibri" w:eastAsia="Calibri" w:hAnsi="Calibri" w:cs="Calibri"/>
          <w:sz w:val="22"/>
          <w:szCs w:val="22"/>
        </w:rPr>
        <w:t>s kompetencijos ribas, nustatydamas draudimo Europos Sąjungos piliečiui atvykti į Lietuvos Respubliką terminą, kuris viena diena yra ilgesnis nei teisės aktuose nustatytas maksimalus 5 metų laikotarpis.</w:t>
      </w:r>
    </w:p>
    <w:p w14:paraId="7BCE8247" w14:textId="010A5E50" w:rsidR="00553BFF" w:rsidRPr="00553BFF" w:rsidRDefault="00553BFF" w:rsidP="00553BFF">
      <w:pPr>
        <w:ind w:firstLine="567"/>
        <w:jc w:val="both"/>
        <w:rPr>
          <w:rFonts w:ascii="Calibri" w:eastAsia="Calibri" w:hAnsi="Calibri" w:cs="Calibri"/>
          <w:sz w:val="22"/>
          <w:szCs w:val="22"/>
        </w:rPr>
      </w:pPr>
      <w:r w:rsidRPr="55FEB3D6">
        <w:rPr>
          <w:rFonts w:ascii="Calibri" w:eastAsia="Calibri" w:hAnsi="Calibri" w:cs="Calibri"/>
          <w:sz w:val="22"/>
          <w:szCs w:val="22"/>
        </w:rPr>
        <w:t xml:space="preserve">Nagrinėdamas bylą iš naujo, pirmosios instancijos teismas nurodė, kad pagal ginčijamą Migracijos departamento sprendimą draudimas pareiškėjui atvykti į Lietuvos Respubliką galioja nuo 2019 m. gegužės 27 d. iki 2024 m. gegužės 27 d. Atsižvelgęs į procesinių terminų skaičiavimo taisykles, šis teismas sprendė, kad Migracijos departamentas padarė pagrįstą išvadą, jog paskutinė diena, taikant 5 metų draudimo atvykti į Lietuvos Respubliką terminą, yra 2024 m. gegužės 27 d. Tačiau pareiškėjo apeliacinį skundą išnagrinėjęs LVAT šiuo aspektu nurodė, kad Migracijos departamento sprendimas yra individualus teisės taikymo aktas, kurio skelbti </w:t>
      </w:r>
      <w:r w:rsidR="6A93420E" w:rsidRPr="55FEB3D6">
        <w:rPr>
          <w:rFonts w:ascii="Calibri" w:eastAsia="Calibri" w:hAnsi="Calibri" w:cs="Calibri"/>
          <w:sz w:val="22"/>
          <w:szCs w:val="22"/>
        </w:rPr>
        <w:t>T</w:t>
      </w:r>
      <w:r w:rsidRPr="55FEB3D6">
        <w:rPr>
          <w:rFonts w:ascii="Calibri" w:eastAsia="Calibri" w:hAnsi="Calibri" w:cs="Calibri"/>
          <w:sz w:val="22"/>
          <w:szCs w:val="22"/>
        </w:rPr>
        <w:t>eisės aktų registre neprivaloma, todėl jis įsigalioja nuo akto priėmimo momento. Esant šioms aplinkybėms 5 metų draudimo atvykti laikotarpis, skaičiuojant nuo sprendimo priėmimo datos (2019 m. gegužės 27 d.), baigiasi 2024 m. gegužės 26 d. Todėl Migracijos departamento sprendimo pirmame punkte nurodyta draudimo atvykti į Lietuvos Respubliką pabaigos data keistina į 2024 m. gegužės 26 d.</w:t>
      </w:r>
    </w:p>
    <w:p w14:paraId="3C68D647" w14:textId="77777777" w:rsidR="00553BFF" w:rsidRPr="00553BFF" w:rsidRDefault="00553BFF" w:rsidP="00553BFF">
      <w:pPr>
        <w:ind w:firstLine="567"/>
        <w:jc w:val="both"/>
        <w:rPr>
          <w:rFonts w:ascii="Calibri" w:eastAsia="Calibri" w:hAnsi="Calibri" w:cs="Calibri"/>
          <w:sz w:val="22"/>
          <w:szCs w:val="22"/>
        </w:rPr>
      </w:pPr>
      <w:r w:rsidRPr="00553BFF">
        <w:rPr>
          <w:rFonts w:ascii="Calibri" w:eastAsia="Calibri" w:hAnsi="Calibri" w:cs="Calibri"/>
          <w:sz w:val="22"/>
          <w:szCs w:val="22"/>
        </w:rPr>
        <w:t>Pareiškėjo apeliacinis skundas patenkintas iš dalies, pirmosios instancijos teismo sprendimas pakeistas, Migracijos departamento sprendime nurodyta draudimo atvykti į Lietuvos Respubliką pabaigos data pakeista į 2024 m. gegužės 26 d.</w:t>
      </w:r>
    </w:p>
    <w:p w14:paraId="1CF13EA2" w14:textId="77777777" w:rsidR="00553BFF" w:rsidRPr="00553BFF" w:rsidRDefault="00553BFF" w:rsidP="00553BFF">
      <w:pPr>
        <w:ind w:firstLine="567"/>
        <w:jc w:val="both"/>
        <w:rPr>
          <w:rFonts w:ascii="Calibri" w:eastAsia="Calibri" w:hAnsi="Calibri" w:cs="Calibri"/>
          <w:sz w:val="22"/>
          <w:szCs w:val="22"/>
        </w:rPr>
      </w:pPr>
    </w:p>
    <w:p w14:paraId="6DFC8259" w14:textId="77777777" w:rsidR="00553BFF" w:rsidRPr="00553BFF" w:rsidRDefault="00553BFF" w:rsidP="00553BFF">
      <w:pPr>
        <w:jc w:val="both"/>
        <w:rPr>
          <w:rFonts w:asciiTheme="minorHAnsi" w:hAnsiTheme="minorHAnsi" w:cstheme="minorHAnsi"/>
          <w:sz w:val="22"/>
          <w:szCs w:val="22"/>
        </w:rPr>
      </w:pPr>
      <w:r w:rsidRPr="00553BFF">
        <w:rPr>
          <w:rFonts w:asciiTheme="minorHAnsi" w:hAnsiTheme="minorHAnsi" w:cstheme="minorHAnsi"/>
          <w:sz w:val="22"/>
          <w:szCs w:val="22"/>
        </w:rPr>
        <w:t>2020 m. lapkričio 3 d. nutartis administracinėje byloje Nr. eA-4804-261/2020</w:t>
      </w:r>
    </w:p>
    <w:p w14:paraId="0B2184B3" w14:textId="77777777" w:rsidR="00553BFF" w:rsidRPr="00553BFF" w:rsidRDefault="00553BFF" w:rsidP="00553BFF">
      <w:pPr>
        <w:jc w:val="both"/>
        <w:rPr>
          <w:rFonts w:asciiTheme="minorHAnsi" w:hAnsiTheme="minorHAnsi" w:cstheme="minorHAnsi"/>
          <w:sz w:val="22"/>
          <w:szCs w:val="22"/>
        </w:rPr>
      </w:pPr>
      <w:r w:rsidRPr="00553BFF">
        <w:rPr>
          <w:rFonts w:asciiTheme="minorHAnsi" w:hAnsiTheme="minorHAnsi" w:cstheme="minorHAnsi"/>
          <w:sz w:val="22"/>
          <w:szCs w:val="22"/>
        </w:rPr>
        <w:t>Teisminio proceso Nr. 3-61-3-02110-2019-9</w:t>
      </w:r>
    </w:p>
    <w:p w14:paraId="1FEC7DF4" w14:textId="77777777" w:rsidR="00553BFF" w:rsidRPr="00553BFF" w:rsidRDefault="00553BFF" w:rsidP="00553BFF">
      <w:pPr>
        <w:jc w:val="both"/>
        <w:rPr>
          <w:rFonts w:asciiTheme="minorHAnsi" w:hAnsiTheme="minorHAnsi" w:cstheme="minorHAnsi"/>
          <w:sz w:val="22"/>
          <w:szCs w:val="22"/>
        </w:rPr>
      </w:pPr>
      <w:r w:rsidRPr="00553BFF">
        <w:rPr>
          <w:rFonts w:asciiTheme="minorHAnsi" w:hAnsiTheme="minorHAnsi" w:cstheme="minorHAnsi"/>
          <w:sz w:val="22"/>
          <w:szCs w:val="22"/>
        </w:rPr>
        <w:t>Procesinio sprendimo kategorija 8.6.4</w:t>
      </w:r>
    </w:p>
    <w:p w14:paraId="4EA8B296" w14:textId="77777777" w:rsidR="00553BFF" w:rsidRPr="00553BFF" w:rsidRDefault="00822FF8" w:rsidP="00553BFF">
      <w:pPr>
        <w:jc w:val="both"/>
        <w:rPr>
          <w:rFonts w:ascii="Calibri" w:eastAsia="Calibri" w:hAnsi="Calibri" w:cs="Calibri"/>
          <w:sz w:val="22"/>
          <w:szCs w:val="22"/>
        </w:rPr>
      </w:pPr>
      <w:hyperlink r:id="rId13" w:history="1">
        <w:r w:rsidR="00553BFF" w:rsidRPr="00553BFF">
          <w:rPr>
            <w:rStyle w:val="Hipersaitas"/>
            <w:rFonts w:ascii="Calibri" w:eastAsia="Calibri" w:hAnsi="Calibri" w:cs="Calibri"/>
            <w:sz w:val="22"/>
            <w:szCs w:val="22"/>
          </w:rPr>
          <w:t>Prieiga internete</w:t>
        </w:r>
      </w:hyperlink>
    </w:p>
    <w:p w14:paraId="38D80021" w14:textId="77777777" w:rsidR="00553BFF" w:rsidRPr="00553BFF" w:rsidRDefault="00553BFF" w:rsidP="00553BFF">
      <w:pPr>
        <w:ind w:firstLine="567"/>
        <w:jc w:val="both"/>
        <w:rPr>
          <w:rFonts w:ascii="Calibri" w:eastAsia="Calibri" w:hAnsi="Calibri" w:cs="Calibri"/>
          <w:sz w:val="22"/>
          <w:szCs w:val="22"/>
          <w:u w:val="single"/>
        </w:rPr>
      </w:pPr>
    </w:p>
    <w:p w14:paraId="3D275399" w14:textId="77777777" w:rsidR="00D654C5" w:rsidRPr="005A0774" w:rsidRDefault="00D654C5" w:rsidP="00D654C5">
      <w:pPr>
        <w:keepNext/>
        <w:tabs>
          <w:tab w:val="left" w:pos="567"/>
        </w:tabs>
        <w:jc w:val="both"/>
        <w:outlineLvl w:val="0"/>
        <w:rPr>
          <w:rFonts w:ascii="Calibri" w:hAnsi="Calibri" w:cs="Calibri"/>
          <w:b/>
          <w:sz w:val="22"/>
          <w:szCs w:val="22"/>
          <w:u w:val="single"/>
        </w:rPr>
      </w:pPr>
      <w:bookmarkStart w:id="17" w:name="_Toc462149974"/>
      <w:bookmarkStart w:id="18" w:name="_Toc61261226"/>
      <w:r w:rsidRPr="005A0774">
        <w:rPr>
          <w:rFonts w:ascii="Calibri" w:hAnsi="Calibri" w:cs="Calibri"/>
          <w:b/>
          <w:sz w:val="22"/>
          <w:szCs w:val="22"/>
          <w:u w:val="single"/>
        </w:rPr>
        <w:t>10. Lietuvos Respublikos pilietybė</w:t>
      </w:r>
      <w:bookmarkEnd w:id="17"/>
      <w:bookmarkEnd w:id="18"/>
    </w:p>
    <w:p w14:paraId="28BEF0F8" w14:textId="608A8D63" w:rsidR="00D654C5" w:rsidRPr="005A0774" w:rsidRDefault="00D654C5" w:rsidP="00D654C5">
      <w:pPr>
        <w:tabs>
          <w:tab w:val="left" w:pos="567"/>
        </w:tabs>
        <w:ind w:left="567"/>
        <w:rPr>
          <w:rFonts w:ascii="Calibri" w:hAnsi="Calibri" w:cs="Calibri"/>
          <w:b/>
          <w:sz w:val="22"/>
          <w:szCs w:val="22"/>
          <w:u w:val="single"/>
        </w:rPr>
      </w:pPr>
      <w:r w:rsidRPr="005A0774">
        <w:rPr>
          <w:rFonts w:ascii="Calibri" w:hAnsi="Calibri" w:cs="Calibri"/>
          <w:b/>
          <w:sz w:val="22"/>
          <w:szCs w:val="22"/>
          <w:u w:val="single"/>
        </w:rPr>
        <w:t>10.1. Lietuvos Respublikos pilietybės įgijimas</w:t>
      </w:r>
    </w:p>
    <w:p w14:paraId="3E5EEBA7" w14:textId="77777777" w:rsidR="00D654C5" w:rsidRPr="005A0774" w:rsidRDefault="00D654C5" w:rsidP="00D654C5">
      <w:pPr>
        <w:ind w:firstLine="567"/>
        <w:jc w:val="both"/>
        <w:rPr>
          <w:rFonts w:ascii="Calibri" w:eastAsia="Calibri" w:hAnsi="Calibri" w:cs="Calibri"/>
          <w:sz w:val="22"/>
          <w:szCs w:val="22"/>
        </w:rPr>
      </w:pPr>
    </w:p>
    <w:p w14:paraId="560AAF13" w14:textId="66315EBA" w:rsidR="00D654C5" w:rsidRPr="005A0774" w:rsidRDefault="00D654C5" w:rsidP="00D654C5">
      <w:pPr>
        <w:jc w:val="both"/>
        <w:outlineLvl w:val="1"/>
        <w:rPr>
          <w:rFonts w:ascii="Calibri" w:eastAsia="Calibri" w:hAnsi="Calibri" w:cs="Calibri"/>
          <w:i/>
          <w:sz w:val="22"/>
          <w:szCs w:val="22"/>
        </w:rPr>
      </w:pPr>
      <w:bookmarkStart w:id="19" w:name="_Toc61261227"/>
      <w:r w:rsidRPr="005A0774">
        <w:rPr>
          <w:rFonts w:ascii="Calibri" w:eastAsia="Calibri" w:hAnsi="Calibri" w:cs="Calibri"/>
          <w:i/>
          <w:sz w:val="22"/>
          <w:szCs w:val="22"/>
        </w:rPr>
        <w:t>Dėl galimybės skųsti Pilietybės reikalų komisijos raštą, kuriuo informuojama apie atsisakymą suteikti pilietybę</w:t>
      </w:r>
      <w:bookmarkEnd w:id="19"/>
    </w:p>
    <w:p w14:paraId="069FEDCF" w14:textId="5A833398" w:rsidR="00D654C5" w:rsidRPr="005A0774" w:rsidRDefault="00D654C5" w:rsidP="00D654C5">
      <w:pPr>
        <w:ind w:firstLine="567"/>
        <w:jc w:val="both"/>
        <w:rPr>
          <w:rFonts w:ascii="Calibri" w:eastAsia="Calibri" w:hAnsi="Calibri" w:cs="Calibri"/>
          <w:sz w:val="22"/>
          <w:szCs w:val="22"/>
        </w:rPr>
      </w:pPr>
    </w:p>
    <w:p w14:paraId="699BAC20" w14:textId="6DCC25B2" w:rsidR="00D654C5" w:rsidRPr="00D654C5" w:rsidRDefault="005A0774" w:rsidP="005A0774">
      <w:pPr>
        <w:ind w:firstLine="567"/>
        <w:jc w:val="both"/>
        <w:rPr>
          <w:rFonts w:ascii="Calibri" w:eastAsia="Calibri" w:hAnsi="Calibri" w:cs="Calibri"/>
          <w:sz w:val="22"/>
          <w:szCs w:val="22"/>
        </w:rPr>
      </w:pPr>
      <w:r w:rsidRPr="3C0484D3">
        <w:rPr>
          <w:rFonts w:ascii="Calibri" w:eastAsia="Calibri" w:hAnsi="Calibri" w:cs="Calibri"/>
          <w:sz w:val="22"/>
          <w:szCs w:val="22"/>
        </w:rPr>
        <w:t>Apžvelgiamoje b</w:t>
      </w:r>
      <w:r w:rsidR="00D654C5" w:rsidRPr="3C0484D3">
        <w:rPr>
          <w:rFonts w:ascii="Calibri" w:eastAsia="Calibri" w:hAnsi="Calibri" w:cs="Calibri"/>
          <w:sz w:val="22"/>
          <w:szCs w:val="22"/>
        </w:rPr>
        <w:t xml:space="preserve">yloje ginčas kilo dėl Pilietybės reikalų komisijos </w:t>
      </w:r>
      <w:r w:rsidR="2E11EB91" w:rsidRPr="3C0484D3">
        <w:rPr>
          <w:rFonts w:ascii="Calibri" w:eastAsia="Calibri" w:hAnsi="Calibri" w:cs="Calibri"/>
          <w:sz w:val="22"/>
          <w:szCs w:val="22"/>
        </w:rPr>
        <w:t xml:space="preserve">(toliau – Komisija) </w:t>
      </w:r>
      <w:r w:rsidR="00D654C5" w:rsidRPr="3C0484D3">
        <w:rPr>
          <w:rFonts w:ascii="Calibri" w:eastAsia="Calibri" w:hAnsi="Calibri" w:cs="Calibri"/>
          <w:sz w:val="22"/>
          <w:szCs w:val="22"/>
        </w:rPr>
        <w:t>rašto, kuriuo pareiškėjas informuotas, jog atsisakyta tenkinti jo prašymą dėl Lietuvos Respublikos pilietybės suteikimo. Minėtame rašte pareiškėjas taip pat informuotas apie motyvus, kuriais remdamasi Lietuvos Respublikos Prezidentė atsisakė tenkinti jo prašymą.</w:t>
      </w:r>
    </w:p>
    <w:p w14:paraId="14273FE3" w14:textId="62AC98C9" w:rsidR="00D654C5" w:rsidRPr="00D654C5" w:rsidRDefault="00D654C5" w:rsidP="005A0774">
      <w:pPr>
        <w:ind w:firstLine="567"/>
        <w:jc w:val="both"/>
        <w:rPr>
          <w:rFonts w:ascii="Calibri" w:eastAsia="Calibri" w:hAnsi="Calibri" w:cs="Calibri"/>
          <w:sz w:val="22"/>
          <w:szCs w:val="22"/>
        </w:rPr>
      </w:pPr>
      <w:r w:rsidRPr="3C0484D3">
        <w:rPr>
          <w:rFonts w:ascii="Calibri" w:eastAsia="Calibri" w:hAnsi="Calibri" w:cs="Calibri"/>
          <w:sz w:val="22"/>
          <w:szCs w:val="22"/>
        </w:rPr>
        <w:lastRenderedPageBreak/>
        <w:t>Remdamasi suformuota L</w:t>
      </w:r>
      <w:r w:rsidR="29E48906" w:rsidRPr="3C0484D3">
        <w:rPr>
          <w:rFonts w:ascii="Calibri" w:eastAsia="Calibri" w:hAnsi="Calibri" w:cs="Calibri"/>
          <w:sz w:val="22"/>
          <w:szCs w:val="22"/>
        </w:rPr>
        <w:t>VAT</w:t>
      </w:r>
      <w:r w:rsidRPr="3C0484D3">
        <w:rPr>
          <w:rFonts w:ascii="Calibri" w:eastAsia="Calibri" w:hAnsi="Calibri" w:cs="Calibri"/>
          <w:sz w:val="22"/>
          <w:szCs w:val="22"/>
        </w:rPr>
        <w:t xml:space="preserve"> praktika, išplėstinė teisėjų kolegija priminė, jog administracini</w:t>
      </w:r>
      <w:r w:rsidR="005A0774" w:rsidRPr="3C0484D3">
        <w:rPr>
          <w:rFonts w:ascii="Calibri" w:eastAsia="Calibri" w:hAnsi="Calibri" w:cs="Calibri"/>
          <w:sz w:val="22"/>
          <w:szCs w:val="22"/>
        </w:rPr>
        <w:t>uose</w:t>
      </w:r>
      <w:r w:rsidRPr="3C0484D3">
        <w:rPr>
          <w:rFonts w:ascii="Calibri" w:eastAsia="Calibri" w:hAnsi="Calibri" w:cs="Calibri"/>
          <w:sz w:val="22"/>
          <w:szCs w:val="22"/>
        </w:rPr>
        <w:t xml:space="preserve"> teismuose nėra nagrinėjami rekomendacinio, informacinio, konstatuojamojo pobūdžio viešojo administravimo subjektų priimti teisės aktai.</w:t>
      </w:r>
    </w:p>
    <w:p w14:paraId="40CAAF65" w14:textId="351E467E" w:rsidR="00D654C5" w:rsidRPr="00D654C5" w:rsidRDefault="00D654C5" w:rsidP="005A0774">
      <w:pPr>
        <w:ind w:firstLine="567"/>
        <w:jc w:val="both"/>
        <w:rPr>
          <w:rFonts w:ascii="Arial" w:hAnsi="Arial" w:cs="Arial"/>
          <w:color w:val="222222"/>
          <w:lang w:eastAsia="en-029"/>
        </w:rPr>
      </w:pPr>
      <w:r w:rsidRPr="3C0484D3">
        <w:rPr>
          <w:rFonts w:ascii="Calibri" w:eastAsia="Calibri" w:hAnsi="Calibri" w:cs="Calibri"/>
          <w:sz w:val="22"/>
          <w:szCs w:val="22"/>
        </w:rPr>
        <w:t>Išplėstinė teisėjų kolegija pabrėžė, jog pilietybės natūralizacijos tvarka suteikimas priklauso išimtinai Lietuvos Respublikos Prezidento kompetencijai (Pilietybės įstatymo 30 str. 1 d.). Remiantis Pilietybės įstatymo 18 straipsnio 1 dalimi, asmeniui, atitinkančiam šioje teisės normoje numatytas sąlygas</w:t>
      </w:r>
      <w:r w:rsidR="11B092A1" w:rsidRPr="3C0484D3">
        <w:rPr>
          <w:rFonts w:ascii="Calibri" w:eastAsia="Calibri" w:hAnsi="Calibri" w:cs="Calibri"/>
          <w:sz w:val="22"/>
          <w:szCs w:val="22"/>
        </w:rPr>
        <w:t>,</w:t>
      </w:r>
      <w:r w:rsidRPr="3C0484D3">
        <w:rPr>
          <w:rFonts w:ascii="Calibri" w:eastAsia="Calibri" w:hAnsi="Calibri" w:cs="Calibri"/>
          <w:sz w:val="22"/>
          <w:szCs w:val="22"/>
        </w:rPr>
        <w:t xml:space="preserve"> Lietuvos Respublikos pilietybė gali būti suteikiama, t.</w:t>
      </w:r>
      <w:r w:rsidRPr="3C0484D3">
        <w:rPr>
          <w:rFonts w:ascii="Arial" w:hAnsi="Arial" w:cs="Arial"/>
          <w:color w:val="222222"/>
          <w:lang w:eastAsia="en-029"/>
        </w:rPr>
        <w:t xml:space="preserve"> </w:t>
      </w:r>
      <w:r w:rsidRPr="3C0484D3">
        <w:rPr>
          <w:rFonts w:ascii="Calibri" w:eastAsia="Calibri" w:hAnsi="Calibri" w:cs="Calibri"/>
          <w:sz w:val="22"/>
          <w:szCs w:val="22"/>
        </w:rPr>
        <w:t>y. </w:t>
      </w:r>
      <w:r w:rsidRPr="3C0484D3">
        <w:rPr>
          <w:rFonts w:ascii="Calibri" w:eastAsia="Calibri" w:hAnsi="Calibri" w:cs="Calibri"/>
          <w:sz w:val="22"/>
          <w:szCs w:val="22"/>
          <w:u w:val="single"/>
        </w:rPr>
        <w:t>prezidentui suteikiama teisė, o ne pareiga suteikti pilietybę</w:t>
      </w:r>
      <w:r w:rsidRPr="3C0484D3">
        <w:rPr>
          <w:rFonts w:ascii="Calibri" w:eastAsia="Calibri" w:hAnsi="Calibri" w:cs="Calibri"/>
          <w:sz w:val="22"/>
          <w:szCs w:val="22"/>
        </w:rPr>
        <w:t>.</w:t>
      </w:r>
    </w:p>
    <w:p w14:paraId="3AB79DEB" w14:textId="256E8352" w:rsidR="00D654C5" w:rsidRPr="00D654C5" w:rsidRDefault="20E9D0A2" w:rsidP="005A0774">
      <w:pPr>
        <w:ind w:firstLine="567"/>
        <w:jc w:val="both"/>
        <w:rPr>
          <w:rFonts w:ascii="Calibri" w:eastAsia="Calibri" w:hAnsi="Calibri" w:cs="Calibri"/>
          <w:sz w:val="22"/>
          <w:szCs w:val="22"/>
        </w:rPr>
      </w:pPr>
      <w:r w:rsidRPr="5FB8FBAC">
        <w:rPr>
          <w:rFonts w:ascii="Calibri" w:eastAsia="Calibri" w:hAnsi="Calibri" w:cs="Calibri"/>
          <w:sz w:val="22"/>
          <w:szCs w:val="22"/>
        </w:rPr>
        <w:t>Į</w:t>
      </w:r>
      <w:r w:rsidR="00D654C5" w:rsidRPr="5FB8FBAC">
        <w:rPr>
          <w:rFonts w:ascii="Calibri" w:eastAsia="Calibri" w:hAnsi="Calibri" w:cs="Calibri"/>
          <w:sz w:val="22"/>
          <w:szCs w:val="22"/>
        </w:rPr>
        <w:t>vertinusi Pilietybės įstatymo 31 straipsnio 3 ir 4 dalyse įtvirtintų teisės normų turinį, išplėstinė teisėjų kolegija konstatavo, jog </w:t>
      </w:r>
      <w:r w:rsidR="00D654C5" w:rsidRPr="5FB8FBAC">
        <w:rPr>
          <w:rFonts w:ascii="Calibri" w:eastAsia="Calibri" w:hAnsi="Calibri" w:cs="Calibri"/>
          <w:sz w:val="22"/>
          <w:szCs w:val="22"/>
          <w:u w:val="single"/>
        </w:rPr>
        <w:t>Komisija nėra įgaliota priimti privalomo pobūdžio sprendimų, kurie sukeltų teisines pasekmes asmenims. Komisijos išvada – rekomendacinė ir ji nėra privaloma galutinį sprendimą priimančiam Prezidentui</w:t>
      </w:r>
      <w:r w:rsidR="00D654C5" w:rsidRPr="5FB8FBAC">
        <w:rPr>
          <w:rFonts w:ascii="Calibri" w:eastAsia="Calibri" w:hAnsi="Calibri" w:cs="Calibri"/>
          <w:sz w:val="22"/>
          <w:szCs w:val="22"/>
        </w:rPr>
        <w:t>. Tuo tarpu išimtinė teisė spręsti dėl Lietuvos Respublikos pilietybės suteikimo ar nesuteikimo priklauso būtent Lietuvos Respublikos Prezidentui. Taigi akivaizdu, jog teisines pasekmes asmeniui sukelia būtent Prezidento priimami sprendimai (dekretai).</w:t>
      </w:r>
    </w:p>
    <w:p w14:paraId="31320D40" w14:textId="6EF046C2" w:rsidR="00D654C5" w:rsidRPr="00D654C5" w:rsidRDefault="00D654C5" w:rsidP="005A0774">
      <w:pPr>
        <w:ind w:firstLine="567"/>
        <w:jc w:val="both"/>
        <w:rPr>
          <w:rFonts w:ascii="Calibri" w:eastAsia="Calibri" w:hAnsi="Calibri" w:cs="Calibri"/>
          <w:sz w:val="22"/>
          <w:szCs w:val="22"/>
        </w:rPr>
      </w:pPr>
      <w:r w:rsidRPr="3C0484D3">
        <w:rPr>
          <w:rFonts w:ascii="Calibri" w:eastAsia="Calibri" w:hAnsi="Calibri" w:cs="Calibri"/>
          <w:sz w:val="22"/>
          <w:szCs w:val="22"/>
        </w:rPr>
        <w:t>Išplėstinė teisėjų kolegija atkreipė dėmesį, jog LVAT praktikoje yra pasisakyta ir dėl galimybės skųsti būtent Pilietybės reikalų komisijos raštus, kuriais asmuo informuojamas apie jo atžvilgiu priimamą sprendimą. Administracinėje byloje Nr. A</w:t>
      </w:r>
      <w:r w:rsidRPr="3C0484D3">
        <w:rPr>
          <w:rFonts w:ascii="Calibri" w:eastAsia="Calibri" w:hAnsi="Calibri" w:cs="Calibri"/>
          <w:sz w:val="22"/>
          <w:szCs w:val="22"/>
          <w:vertAlign w:val="superscript"/>
        </w:rPr>
        <w:t>858</w:t>
      </w:r>
      <w:r w:rsidRPr="3C0484D3">
        <w:rPr>
          <w:rFonts w:ascii="Calibri" w:eastAsia="Calibri" w:hAnsi="Calibri" w:cs="Calibri"/>
          <w:sz w:val="22"/>
          <w:szCs w:val="22"/>
        </w:rPr>
        <w:t>-2892/2011 L</w:t>
      </w:r>
      <w:r w:rsidR="4369791E" w:rsidRPr="3C0484D3">
        <w:rPr>
          <w:rFonts w:ascii="Calibri" w:eastAsia="Calibri" w:hAnsi="Calibri" w:cs="Calibri"/>
          <w:sz w:val="22"/>
          <w:szCs w:val="22"/>
        </w:rPr>
        <w:t xml:space="preserve">VAT </w:t>
      </w:r>
      <w:r w:rsidRPr="3C0484D3">
        <w:rPr>
          <w:rFonts w:ascii="Calibri" w:eastAsia="Calibri" w:hAnsi="Calibri" w:cs="Calibri"/>
          <w:sz w:val="22"/>
          <w:szCs w:val="22"/>
        </w:rPr>
        <w:t>išaiškino, jog įstatymų leidėjas, įtvirtindamas nuostatą, įpareigojančią Komisiją pateikti asmeniui atsisakymo motyvus, pripažino, kad asmeniui, kuriam atsisakoma suteikti Lietuvos Respublikos pilietybę, gali būti svarbus ne tik pats neigiamas (materialus) sprendimas, bet ir motyvai, dėl kurių Lietuvos Respublikos Prezidentas priėmė neigiamą sprendimą, t. y. teismas išaiškino, jog tokio pobūdžio raštai asmenims sukelia pasekmes tiek, kiek juose yra neįgyvendinama Įstatyme įtvirtinta pareiga nurodyti atsisakymo suteikti Lietuvos Respublikos pilietybę motyvus.</w:t>
      </w:r>
    </w:p>
    <w:p w14:paraId="683311A9" w14:textId="589DEBEB" w:rsidR="00D654C5" w:rsidRPr="00D654C5" w:rsidRDefault="005A0774" w:rsidP="005A0774">
      <w:pPr>
        <w:ind w:firstLine="567"/>
        <w:jc w:val="both"/>
        <w:rPr>
          <w:rFonts w:ascii="Calibri" w:eastAsia="Calibri" w:hAnsi="Calibri" w:cs="Calibri"/>
          <w:sz w:val="22"/>
          <w:szCs w:val="22"/>
        </w:rPr>
      </w:pPr>
      <w:r w:rsidRPr="3C0484D3">
        <w:rPr>
          <w:rFonts w:ascii="Calibri" w:eastAsia="Calibri" w:hAnsi="Calibri" w:cs="Calibri"/>
          <w:sz w:val="22"/>
          <w:szCs w:val="22"/>
        </w:rPr>
        <w:t>Įvertinusi ginčui aktualią jurisprudenciją, išplėstinė teisėjų kolegija padarė</w:t>
      </w:r>
      <w:r w:rsidR="00D654C5" w:rsidRPr="3C0484D3">
        <w:rPr>
          <w:rFonts w:ascii="Calibri" w:eastAsia="Calibri" w:hAnsi="Calibri" w:cs="Calibri"/>
          <w:sz w:val="22"/>
          <w:szCs w:val="22"/>
        </w:rPr>
        <w:t xml:space="preserve"> išvadą, jog kreipdamasis į teismą teisminės gynybos, </w:t>
      </w:r>
      <w:r w:rsidR="00D654C5" w:rsidRPr="3C0484D3">
        <w:rPr>
          <w:rFonts w:ascii="Calibri" w:eastAsia="Calibri" w:hAnsi="Calibri" w:cs="Calibri"/>
          <w:sz w:val="22"/>
          <w:szCs w:val="22"/>
          <w:u w:val="single"/>
        </w:rPr>
        <w:t xml:space="preserve">asmuo gali remtis tuo, jog </w:t>
      </w:r>
      <w:r w:rsidR="7980CF43" w:rsidRPr="3C0484D3">
        <w:rPr>
          <w:rFonts w:ascii="Calibri" w:eastAsia="Calibri" w:hAnsi="Calibri" w:cs="Calibri"/>
          <w:sz w:val="22"/>
          <w:szCs w:val="22"/>
          <w:u w:val="single"/>
        </w:rPr>
        <w:t>Pilietybės į</w:t>
      </w:r>
      <w:r w:rsidR="00D654C5" w:rsidRPr="3C0484D3">
        <w:rPr>
          <w:rFonts w:ascii="Calibri" w:eastAsia="Calibri" w:hAnsi="Calibri" w:cs="Calibri"/>
          <w:sz w:val="22"/>
          <w:szCs w:val="22"/>
          <w:u w:val="single"/>
        </w:rPr>
        <w:t>statyme numatyto pobūdžio Komisijos rašto jis apskritai negavo, arba tuo, jog jo gautame rašte nėra įgyvendinta Pilietybės įstatyme įtvirtinta pareiga nurodyti atsisakymo suteikti Lietuvos Respublikos pilietybę motyvus</w:t>
      </w:r>
      <w:r w:rsidR="00D654C5" w:rsidRPr="3C0484D3">
        <w:rPr>
          <w:rFonts w:ascii="Calibri" w:eastAsia="Calibri" w:hAnsi="Calibri" w:cs="Calibri"/>
          <w:sz w:val="22"/>
          <w:szCs w:val="22"/>
        </w:rPr>
        <w:t>.</w:t>
      </w:r>
    </w:p>
    <w:p w14:paraId="0A397031" w14:textId="77777777" w:rsidR="00D654C5" w:rsidRPr="00D654C5" w:rsidRDefault="00D654C5" w:rsidP="005A0774">
      <w:pPr>
        <w:ind w:firstLine="567"/>
        <w:jc w:val="both"/>
        <w:rPr>
          <w:rFonts w:ascii="Calibri" w:eastAsia="Calibri" w:hAnsi="Calibri" w:cs="Calibri"/>
          <w:sz w:val="22"/>
          <w:szCs w:val="22"/>
        </w:rPr>
      </w:pPr>
      <w:r w:rsidRPr="00D654C5">
        <w:rPr>
          <w:rFonts w:ascii="Calibri" w:eastAsia="Calibri" w:hAnsi="Calibri" w:cs="Calibri"/>
          <w:sz w:val="22"/>
          <w:szCs w:val="22"/>
        </w:rPr>
        <w:t>Pažymėtina, kad </w:t>
      </w:r>
      <w:r w:rsidRPr="00D654C5">
        <w:rPr>
          <w:rFonts w:ascii="Calibri" w:eastAsia="Calibri" w:hAnsi="Calibri" w:cs="Calibri"/>
          <w:sz w:val="22"/>
          <w:szCs w:val="22"/>
          <w:u w:val="single"/>
        </w:rPr>
        <w:t>motyvai, kurie yra išdėstomi Komisijos asmeniui siunčiamame rašte, yra tie motyvai, kuriais remdamasis būtent Lietuvos Respublikos Prezidentas priėmė konkretų sprendimą, t. y. tai yra naudojantis Prezidento diskrecija priimto sprendimo motyvai.</w:t>
      </w:r>
      <w:r w:rsidRPr="00D654C5">
        <w:rPr>
          <w:rFonts w:ascii="Calibri" w:eastAsia="Calibri" w:hAnsi="Calibri" w:cs="Calibri"/>
          <w:sz w:val="22"/>
          <w:szCs w:val="22"/>
        </w:rPr>
        <w:t xml:space="preserve"> Dažnu atveju jie gali sutapti (visiškai ar iš dalies) su patariamosios institucijos (t. y. Komisijos) išvadoje pateiktais argumentais, tačiau po to, kai yra priimamas konkretus sprendimas, šie motyvai tampa būtent Prezidento sprendimo sudedamąja dalimi ir jų teisingumas gali būti kvestionuojamas tik ginčijant Prezidento sprendimą. Tuo tarpu, kaip minėta, Komisijos vaidmuo šiame procese yra tik rekomendacinis ir asmuo, kreipdamasis į teismą gali remtis tik teisės į informaciją pažeidimo aspektu, t. y. 1) jei asmeniui apskritai nebuvo išsiųstas toks raštas arba 2) jei jame būtų nenurodyti motyvai, kuriais remdamasis Prezidentas atsisakė suteikti asmeniui pilietybę.</w:t>
      </w:r>
    </w:p>
    <w:p w14:paraId="5891BB93" w14:textId="77777777" w:rsidR="00D654C5" w:rsidRPr="00D654C5" w:rsidRDefault="00D654C5" w:rsidP="005A0774">
      <w:pPr>
        <w:ind w:firstLine="567"/>
        <w:jc w:val="both"/>
        <w:rPr>
          <w:rFonts w:ascii="Calibri" w:eastAsia="Calibri" w:hAnsi="Calibri" w:cs="Calibri"/>
          <w:sz w:val="22"/>
          <w:szCs w:val="22"/>
        </w:rPr>
      </w:pPr>
      <w:r w:rsidRPr="00D654C5">
        <w:rPr>
          <w:rFonts w:ascii="Calibri" w:eastAsia="Calibri" w:hAnsi="Calibri" w:cs="Calibri"/>
          <w:sz w:val="22"/>
          <w:szCs w:val="22"/>
        </w:rPr>
        <w:t>Kadangi, kaip jau buvo minėta, Komisijos rašto paskirtis – informacijos apie priimtą sprendimą ir jo priėmimo motyvus pateikimas, </w:t>
      </w:r>
      <w:r w:rsidRPr="00D654C5">
        <w:rPr>
          <w:rFonts w:ascii="Calibri" w:eastAsia="Calibri" w:hAnsi="Calibri" w:cs="Calibri"/>
          <w:sz w:val="22"/>
          <w:szCs w:val="22"/>
          <w:u w:val="single"/>
        </w:rPr>
        <w:t xml:space="preserve">bylą nagrinėjantis teismas gali įpareigoti Komisiją veikti tik tuo atveju, kai asmuo negavo jokio atsakymo arba pateiktame atsakyme nėra išdėstyti atsisakymo suteikti pilietybę motyvai. Tuo tarpu administracinio teismo atliekama Komisijos rašto patikra, kai iš asmens skundo akivaizdu, jog suinteresuotas asmuo iš tiesų nesiekia gauti informacijos, susijusios su jo atžvilgiu priimtu neigiamu sprendimu, neduoda tokio rezultato, kurio siekia pareiškėjas, </w:t>
      </w:r>
      <w:r w:rsidRPr="00D654C5">
        <w:rPr>
          <w:rFonts w:ascii="Calibri" w:eastAsia="Calibri" w:hAnsi="Calibri" w:cs="Calibri"/>
          <w:sz w:val="22"/>
          <w:szCs w:val="22"/>
        </w:rPr>
        <w:t>iš esmės reikšdamas pretenzijas dėl Prezidento diskrecijai priskirtų klausimų, ir faktiškai tik sugeneruoja papildomus formalius teisminius ginčus administraciniuose teismuose. Taigi, gavus motyvuotą atsakymą, galimybės skųsti tokį raštą administraciniam teismui nėra, kadangi išnagrinėjus bylą, teismo sprendimas nesukeltų jokių teisinių pasekmių, todėl tokia byla neturi prasmės.</w:t>
      </w:r>
    </w:p>
    <w:p w14:paraId="69D5E3F2" w14:textId="77777777" w:rsidR="00D654C5" w:rsidRPr="00D654C5" w:rsidRDefault="00D654C5" w:rsidP="005A0774">
      <w:pPr>
        <w:ind w:firstLine="567"/>
        <w:jc w:val="both"/>
        <w:rPr>
          <w:rFonts w:ascii="Calibri" w:eastAsia="Calibri" w:hAnsi="Calibri" w:cs="Calibri"/>
          <w:sz w:val="22"/>
          <w:szCs w:val="22"/>
        </w:rPr>
      </w:pPr>
      <w:r w:rsidRPr="00D654C5">
        <w:rPr>
          <w:rFonts w:ascii="Calibri" w:eastAsia="Calibri" w:hAnsi="Calibri" w:cs="Calibri"/>
          <w:sz w:val="22"/>
          <w:szCs w:val="22"/>
        </w:rPr>
        <w:t>Išplėstinė teisėjų kolegija, atsižvelgusi į tai, jog reikalavimo, susijusio būtent su Prezidento atsisakymo suteikti pilietybę panaikinimu, pareiškėjas nesuformulavo, konstatavo, jog neginčijant Prezidento atsisakymo, pats Komisijos raštas, kaip minėta, pareiškėjui teisinių pasekmių nesukelia, o teismas savo iniciatyva negali imtis tokio klausimo sprendimo. Dėl šių priežasčių pareiškėjo apeliacinis skundas atmestas, pirmosios instancijos teismo sprendimas panaikintas ir byla nutraukta.</w:t>
      </w:r>
    </w:p>
    <w:p w14:paraId="081B390E" w14:textId="77777777" w:rsidR="00D654C5" w:rsidRPr="005A0774" w:rsidRDefault="00D654C5" w:rsidP="00D654C5">
      <w:pPr>
        <w:ind w:firstLine="567"/>
        <w:jc w:val="both"/>
        <w:rPr>
          <w:rFonts w:ascii="Calibri" w:eastAsia="Calibri" w:hAnsi="Calibri" w:cs="Calibri"/>
          <w:sz w:val="22"/>
          <w:szCs w:val="22"/>
        </w:rPr>
      </w:pPr>
    </w:p>
    <w:p w14:paraId="3B4E93EB" w14:textId="260B3D17" w:rsidR="00D654C5" w:rsidRPr="005A0774" w:rsidRDefault="00D654C5" w:rsidP="00D654C5">
      <w:pPr>
        <w:jc w:val="both"/>
        <w:rPr>
          <w:rFonts w:ascii="Calibri" w:hAnsi="Calibri" w:cs="Calibri"/>
          <w:sz w:val="22"/>
          <w:szCs w:val="22"/>
        </w:rPr>
      </w:pPr>
      <w:r w:rsidRPr="005A0774">
        <w:rPr>
          <w:rFonts w:ascii="Calibri" w:hAnsi="Calibri" w:cs="Calibri"/>
          <w:sz w:val="22"/>
          <w:szCs w:val="22"/>
        </w:rPr>
        <w:t>Išplėstinės teisėjų kolegijos 2020 m. lapkričio 25 d. nutartis administracinėje byloje Nr. A-3040-502/2020</w:t>
      </w:r>
    </w:p>
    <w:p w14:paraId="508D7FB4" w14:textId="77777777" w:rsidR="00D654C5" w:rsidRPr="005A0774" w:rsidRDefault="00D654C5" w:rsidP="00D654C5">
      <w:pPr>
        <w:jc w:val="both"/>
        <w:rPr>
          <w:rFonts w:ascii="Calibri" w:hAnsi="Calibri" w:cs="Calibri"/>
          <w:sz w:val="22"/>
          <w:szCs w:val="22"/>
        </w:rPr>
      </w:pPr>
      <w:r w:rsidRPr="005A0774">
        <w:rPr>
          <w:rFonts w:ascii="Calibri" w:hAnsi="Calibri" w:cs="Calibri"/>
          <w:sz w:val="22"/>
          <w:szCs w:val="22"/>
        </w:rPr>
        <w:t>Teisminio proceso Nr. 3-61-3-02984-2019-8</w:t>
      </w:r>
    </w:p>
    <w:p w14:paraId="6E758A7C" w14:textId="3A041318" w:rsidR="00D654C5" w:rsidRPr="005A0774" w:rsidRDefault="00D654C5" w:rsidP="00D654C5">
      <w:pPr>
        <w:jc w:val="both"/>
        <w:rPr>
          <w:rFonts w:ascii="Calibri" w:hAnsi="Calibri" w:cs="Calibri"/>
          <w:sz w:val="22"/>
          <w:szCs w:val="22"/>
        </w:rPr>
      </w:pPr>
      <w:r w:rsidRPr="005A0774">
        <w:rPr>
          <w:rFonts w:ascii="Calibri" w:hAnsi="Calibri" w:cs="Calibri"/>
          <w:sz w:val="22"/>
          <w:szCs w:val="22"/>
        </w:rPr>
        <w:t>Procesinio sprendimo kategorija 10.1</w:t>
      </w:r>
    </w:p>
    <w:p w14:paraId="495D6300" w14:textId="7C261CB3" w:rsidR="00D654C5" w:rsidRPr="005A0774" w:rsidRDefault="00822FF8" w:rsidP="00D654C5">
      <w:pPr>
        <w:jc w:val="both"/>
        <w:rPr>
          <w:rFonts w:ascii="Calibri" w:hAnsi="Calibri" w:cs="Calibri"/>
          <w:sz w:val="22"/>
          <w:szCs w:val="22"/>
        </w:rPr>
      </w:pPr>
      <w:hyperlink r:id="rId14" w:history="1">
        <w:r w:rsidR="00D654C5" w:rsidRPr="005A0774">
          <w:rPr>
            <w:rStyle w:val="Hipersaitas"/>
            <w:rFonts w:ascii="Calibri" w:hAnsi="Calibri" w:cs="Calibri"/>
            <w:sz w:val="22"/>
            <w:szCs w:val="22"/>
          </w:rPr>
          <w:t xml:space="preserve">Prieiga internete </w:t>
        </w:r>
      </w:hyperlink>
      <w:r w:rsidR="00D654C5" w:rsidRPr="005A0774">
        <w:rPr>
          <w:rFonts w:ascii="Calibri" w:hAnsi="Calibri" w:cs="Calibri"/>
          <w:sz w:val="22"/>
          <w:szCs w:val="22"/>
        </w:rPr>
        <w:t xml:space="preserve"> </w:t>
      </w:r>
    </w:p>
    <w:p w14:paraId="55CACD6B" w14:textId="0D92F424" w:rsidR="00D654C5" w:rsidRDefault="00D654C5" w:rsidP="00D654C5">
      <w:pPr>
        <w:shd w:val="clear" w:color="auto" w:fill="FFFFFF"/>
        <w:tabs>
          <w:tab w:val="left" w:pos="3119"/>
        </w:tabs>
        <w:ind w:right="-1" w:firstLine="567"/>
        <w:jc w:val="both"/>
        <w:rPr>
          <w:rFonts w:ascii="Calibri" w:hAnsi="Calibri" w:cs="Calibri"/>
          <w:b/>
          <w:sz w:val="22"/>
          <w:szCs w:val="22"/>
          <w:u w:val="single"/>
        </w:rPr>
      </w:pPr>
    </w:p>
    <w:p w14:paraId="0126D36B" w14:textId="77777777" w:rsidR="006F1757" w:rsidRPr="006F1757" w:rsidRDefault="006F1757" w:rsidP="006F1757">
      <w:pPr>
        <w:tabs>
          <w:tab w:val="left" w:pos="567"/>
        </w:tabs>
        <w:ind w:left="567"/>
        <w:rPr>
          <w:rFonts w:ascii="Calibri" w:hAnsi="Calibri" w:cs="Calibri"/>
          <w:b/>
          <w:sz w:val="22"/>
          <w:szCs w:val="22"/>
          <w:u w:val="single"/>
        </w:rPr>
      </w:pPr>
      <w:r w:rsidRPr="006F1757">
        <w:rPr>
          <w:rFonts w:ascii="Calibri" w:hAnsi="Calibri" w:cs="Calibri"/>
          <w:b/>
          <w:sz w:val="22"/>
          <w:szCs w:val="22"/>
          <w:u w:val="single"/>
        </w:rPr>
        <w:lastRenderedPageBreak/>
        <w:t>10.5. Dviguba pilietybė</w:t>
      </w:r>
    </w:p>
    <w:p w14:paraId="59ACB8BB" w14:textId="09E5A733" w:rsidR="006F1757" w:rsidRDefault="006F1757" w:rsidP="006F1757">
      <w:pPr>
        <w:ind w:firstLine="567"/>
        <w:jc w:val="both"/>
        <w:rPr>
          <w:rFonts w:ascii="Calibri" w:eastAsia="Calibri" w:hAnsi="Calibri" w:cs="Calibri"/>
          <w:sz w:val="22"/>
          <w:szCs w:val="22"/>
        </w:rPr>
      </w:pPr>
    </w:p>
    <w:p w14:paraId="4A4BF358" w14:textId="04C9625F" w:rsidR="006F1757" w:rsidRPr="006F1757" w:rsidRDefault="006F1757" w:rsidP="006F1757">
      <w:pPr>
        <w:jc w:val="both"/>
        <w:outlineLvl w:val="1"/>
        <w:rPr>
          <w:rFonts w:ascii="Calibri" w:eastAsia="Calibri" w:hAnsi="Calibri" w:cs="Calibri"/>
          <w:i/>
          <w:sz w:val="22"/>
          <w:szCs w:val="22"/>
        </w:rPr>
      </w:pPr>
      <w:bookmarkStart w:id="20" w:name="_Toc61261228"/>
      <w:r>
        <w:rPr>
          <w:rFonts w:ascii="Calibri" w:eastAsia="Calibri" w:hAnsi="Calibri" w:cs="Calibri"/>
          <w:i/>
          <w:sz w:val="22"/>
          <w:szCs w:val="22"/>
        </w:rPr>
        <w:t>Dėl pareigos vertinti išvykimo iš Lietuvos Respublikos motyvus</w:t>
      </w:r>
      <w:bookmarkEnd w:id="20"/>
    </w:p>
    <w:p w14:paraId="4271193C" w14:textId="77777777" w:rsidR="006F1757" w:rsidRDefault="006F1757" w:rsidP="006F1757">
      <w:pPr>
        <w:ind w:firstLine="567"/>
        <w:jc w:val="both"/>
        <w:rPr>
          <w:rFonts w:ascii="Calibri" w:eastAsia="Calibri" w:hAnsi="Calibri" w:cs="Calibri"/>
          <w:sz w:val="22"/>
          <w:szCs w:val="22"/>
        </w:rPr>
      </w:pPr>
    </w:p>
    <w:p w14:paraId="42AFFFDF" w14:textId="7111FEA9" w:rsidR="006F1757" w:rsidRDefault="006F1757" w:rsidP="006F1757">
      <w:pPr>
        <w:ind w:firstLine="567"/>
        <w:jc w:val="both"/>
        <w:rPr>
          <w:rFonts w:ascii="Calibri" w:eastAsia="Calibri" w:hAnsi="Calibri" w:cs="Calibri"/>
          <w:sz w:val="22"/>
          <w:szCs w:val="22"/>
        </w:rPr>
      </w:pPr>
      <w:r w:rsidRPr="3C0484D3">
        <w:rPr>
          <w:rFonts w:ascii="Calibri" w:eastAsia="Calibri" w:hAnsi="Calibri" w:cs="Calibri"/>
          <w:sz w:val="22"/>
          <w:szCs w:val="22"/>
        </w:rPr>
        <w:t xml:space="preserve">Apžvelgiamoje byloje ginčas kilo dėl vidaus reikalų ministro įsakymo, kuriuo netenkintas pareiškėjo prašymas atkurti Lietuvos Respublikos pilietybę, teisėtumo ir pagrįstumo ir pareiškėjo reikalavimo įpareigoti </w:t>
      </w:r>
      <w:r w:rsidR="6E719D53" w:rsidRPr="3C0484D3">
        <w:rPr>
          <w:rFonts w:ascii="Calibri" w:eastAsia="Calibri" w:hAnsi="Calibri" w:cs="Calibri"/>
          <w:sz w:val="22"/>
          <w:szCs w:val="22"/>
        </w:rPr>
        <w:t>Vidaus reikalų m</w:t>
      </w:r>
      <w:r w:rsidRPr="3C0484D3">
        <w:rPr>
          <w:rFonts w:ascii="Calibri" w:eastAsia="Calibri" w:hAnsi="Calibri" w:cs="Calibri"/>
          <w:sz w:val="22"/>
          <w:szCs w:val="22"/>
        </w:rPr>
        <w:t xml:space="preserve">inisteriją priimti įsakymą atkurti jam Lietuvos Respublikos pilietybę pagrįstumo. </w:t>
      </w:r>
    </w:p>
    <w:p w14:paraId="5ED02D37" w14:textId="1C1C13A5" w:rsidR="006F1757" w:rsidRPr="006F1757" w:rsidRDefault="006F1757" w:rsidP="006F1757">
      <w:pPr>
        <w:ind w:firstLine="567"/>
        <w:jc w:val="both"/>
        <w:rPr>
          <w:rFonts w:ascii="Calibri" w:eastAsia="Calibri" w:hAnsi="Calibri" w:cs="Calibri"/>
          <w:sz w:val="22"/>
          <w:szCs w:val="22"/>
        </w:rPr>
      </w:pPr>
      <w:r>
        <w:rPr>
          <w:rFonts w:ascii="Calibri" w:eastAsia="Calibri" w:hAnsi="Calibri" w:cs="Calibri"/>
          <w:sz w:val="22"/>
          <w:szCs w:val="22"/>
        </w:rPr>
        <w:t xml:space="preserve">Byloje nustatyta, kad </w:t>
      </w:r>
      <w:r w:rsidRPr="006F1757">
        <w:rPr>
          <w:rFonts w:ascii="Calibri" w:eastAsia="Calibri" w:hAnsi="Calibri" w:cs="Calibri"/>
          <w:sz w:val="22"/>
          <w:szCs w:val="22"/>
        </w:rPr>
        <w:t xml:space="preserve">pareiškėjas </w:t>
      </w:r>
      <w:r>
        <w:rPr>
          <w:rFonts w:ascii="Calibri" w:eastAsia="Calibri" w:hAnsi="Calibri" w:cs="Calibri"/>
          <w:sz w:val="22"/>
          <w:szCs w:val="22"/>
        </w:rPr>
        <w:t>atsakovui</w:t>
      </w:r>
      <w:r w:rsidRPr="006F1757">
        <w:rPr>
          <w:rFonts w:ascii="Calibri" w:eastAsia="Calibri" w:hAnsi="Calibri" w:cs="Calibri"/>
          <w:sz w:val="22"/>
          <w:szCs w:val="22"/>
        </w:rPr>
        <w:t xml:space="preserve"> pateikė prašymą atkurti jam Lietuvos Respublikos pilietybę, neatsisakant Brazilijos pilietybės. Prašyme nurodė, kad senelis </w:t>
      </w:r>
      <w:bookmarkStart w:id="21" w:name="Buk_93"/>
      <w:r w:rsidRPr="006F1757">
        <w:rPr>
          <w:rFonts w:ascii="Calibri" w:eastAsia="Calibri" w:hAnsi="Calibri" w:cs="Calibri"/>
          <w:sz w:val="22"/>
          <w:szCs w:val="22"/>
        </w:rPr>
        <w:t xml:space="preserve">J. J. </w:t>
      </w:r>
      <w:bookmarkEnd w:id="21"/>
      <w:r w:rsidRPr="006F1757">
        <w:rPr>
          <w:rFonts w:ascii="Calibri" w:eastAsia="Calibri" w:hAnsi="Calibri" w:cs="Calibri"/>
          <w:sz w:val="22"/>
          <w:szCs w:val="22"/>
        </w:rPr>
        <w:t xml:space="preserve">gimė </w:t>
      </w:r>
      <w:bookmarkStart w:id="22" w:name="_Hlk57288762"/>
      <w:r w:rsidRPr="006F1757">
        <w:rPr>
          <w:rFonts w:ascii="Calibri" w:eastAsia="Calibri" w:hAnsi="Calibri" w:cs="Calibri"/>
          <w:sz w:val="22"/>
          <w:szCs w:val="22"/>
        </w:rPr>
        <w:t>(duomenys neskelbtini)</w:t>
      </w:r>
      <w:bookmarkEnd w:id="22"/>
      <w:r w:rsidRPr="006F1757">
        <w:rPr>
          <w:rFonts w:ascii="Calibri" w:eastAsia="Calibri" w:hAnsi="Calibri" w:cs="Calibri"/>
          <w:sz w:val="22"/>
          <w:szCs w:val="22"/>
        </w:rPr>
        <w:t>, Antrojo pasaulinio karo metu buvo prievarta paimtas į vokiečių kariuomenę ir priverstas kovoti jų pusėje, vėliau rusų buvo paimtas į nelaisvę ir įkalintas. Romoje 1953 m. birželio 3 d. pareiškėjo seneliui Lietuvos pasiuntinybė prie Šventojo Sosto išdavė Lietuvos užsienio pasą ir padėjo jam išvykti į Braziliją. 1953 m. atvyko į Braziliją</w:t>
      </w:r>
      <w:r>
        <w:rPr>
          <w:rFonts w:ascii="Calibri" w:eastAsia="Calibri" w:hAnsi="Calibri" w:cs="Calibri"/>
          <w:sz w:val="22"/>
          <w:szCs w:val="22"/>
        </w:rPr>
        <w:t xml:space="preserve">. Taip pat nurodė, jog </w:t>
      </w:r>
      <w:r w:rsidRPr="006F1757">
        <w:rPr>
          <w:rFonts w:ascii="Calibri" w:eastAsia="Calibri" w:hAnsi="Calibri" w:cs="Calibri"/>
          <w:sz w:val="22"/>
          <w:szCs w:val="22"/>
        </w:rPr>
        <w:t xml:space="preserve">1925–1944 m. </w:t>
      </w:r>
      <w:bookmarkStart w:id="23" w:name="Buk_95"/>
      <w:r w:rsidRPr="006F1757">
        <w:rPr>
          <w:rFonts w:ascii="Calibri" w:eastAsia="Calibri" w:hAnsi="Calibri" w:cs="Calibri"/>
          <w:sz w:val="22"/>
          <w:szCs w:val="22"/>
        </w:rPr>
        <w:t xml:space="preserve">J. J. </w:t>
      </w:r>
      <w:bookmarkEnd w:id="23"/>
      <w:r w:rsidRPr="006F1757">
        <w:rPr>
          <w:rFonts w:ascii="Calibri" w:eastAsia="Calibri" w:hAnsi="Calibri" w:cs="Calibri"/>
          <w:sz w:val="22"/>
          <w:szCs w:val="22"/>
        </w:rPr>
        <w:t>gyveno Lietuvoje, 1944–1945 m. – Minske, o 1945–1952 m. – Lenkijoje, taip pat nurodė, kad jis buvo priverstas tarnauti vokiečių daliniuose Lietuvoje, o vėliau buvo rusų dalinių paimtas į nelaisvę bei kalintas lageryje Minske, kiek vėliau buvo paleistas, o 1953 m. išvyko gyventi į Braziliją</w:t>
      </w:r>
      <w:r w:rsidR="00FE4E5E">
        <w:rPr>
          <w:rFonts w:ascii="Calibri" w:eastAsia="Calibri" w:hAnsi="Calibri" w:cs="Calibri"/>
          <w:sz w:val="22"/>
          <w:szCs w:val="22"/>
        </w:rPr>
        <w:t xml:space="preserve">. </w:t>
      </w:r>
      <w:r w:rsidRPr="006F1757">
        <w:rPr>
          <w:rFonts w:ascii="Calibri" w:eastAsia="Calibri" w:hAnsi="Calibri" w:cs="Calibri"/>
          <w:sz w:val="22"/>
          <w:szCs w:val="22"/>
        </w:rPr>
        <w:t xml:space="preserve">Trečiasis suinteresuotasis asmuo Teikime nustatė, kad pareiškėjo senelio išvykimas po 1940 m. birželio 15 d. iš dabartinės Lietuvos Respublikos teritorijos į Baltarusiją, vėliau – iš Baltarusijos į Lenkiją, iš Lenkijos į Italiją, o iš jos – į Braziliją, t. y. </w:t>
      </w:r>
      <w:bookmarkStart w:id="24" w:name="Buk_77"/>
      <w:r w:rsidRPr="006F1757">
        <w:rPr>
          <w:rFonts w:ascii="Calibri" w:eastAsia="Calibri" w:hAnsi="Calibri" w:cs="Calibri"/>
          <w:sz w:val="22"/>
          <w:szCs w:val="22"/>
        </w:rPr>
        <w:t xml:space="preserve">J. J. </w:t>
      </w:r>
      <w:bookmarkEnd w:id="24"/>
      <w:r w:rsidRPr="006F1757">
        <w:rPr>
          <w:rFonts w:ascii="Calibri" w:eastAsia="Calibri" w:hAnsi="Calibri" w:cs="Calibri"/>
          <w:sz w:val="22"/>
          <w:szCs w:val="22"/>
        </w:rPr>
        <w:t>išvykimas iš Baltarusijos</w:t>
      </w:r>
      <w:r w:rsidR="00FE4E5E">
        <w:rPr>
          <w:rFonts w:ascii="Calibri" w:eastAsia="Calibri" w:hAnsi="Calibri" w:cs="Calibri"/>
          <w:sz w:val="22"/>
          <w:szCs w:val="22"/>
        </w:rPr>
        <w:t xml:space="preserve"> (buvusios Sovietų Sąjungos)</w:t>
      </w:r>
      <w:r w:rsidRPr="006F1757">
        <w:rPr>
          <w:rFonts w:ascii="Calibri" w:eastAsia="Calibri" w:hAnsi="Calibri" w:cs="Calibri"/>
          <w:sz w:val="22"/>
          <w:szCs w:val="22"/>
        </w:rPr>
        <w:t>, o ne iš Lietuvos, į Lenkiją, Italiją ir Braziliją, negali būti laikomas jo išvykimu iš dabartinės Lietuvos Respublikos teritorijos nuolat gyventi į kitą valstybę, todėl jis negali būti laikomas asmeniu, išvykusiu iš Lietuvos iki 1990 m. kovo 11 d. ir dėl to pareiškėjui netaikytinas Įstatymo 7 straipsnio 4 punkte nurodytas atvejis, kai Lietuvos Respublikos pilietis gali būti kartu ir kitos valstybės pilietis. Vidaus reikalų ministras</w:t>
      </w:r>
      <w:r w:rsidR="00FE4E5E">
        <w:rPr>
          <w:rFonts w:ascii="Calibri" w:eastAsia="Calibri" w:hAnsi="Calibri" w:cs="Calibri"/>
          <w:sz w:val="22"/>
          <w:szCs w:val="22"/>
        </w:rPr>
        <w:t xml:space="preserve"> ginčijamu</w:t>
      </w:r>
      <w:r w:rsidRPr="006F1757">
        <w:rPr>
          <w:rFonts w:ascii="Calibri" w:eastAsia="Calibri" w:hAnsi="Calibri" w:cs="Calibri"/>
          <w:sz w:val="22"/>
          <w:szCs w:val="22"/>
        </w:rPr>
        <w:t xml:space="preserve"> Įsakymu, vadovaudamasis Įstatymo 9 straipsnio 2 dalimi bei 32 straipsnio 2 punktu ir atsižvelgdamas į Teikimą, pareiškėjo prašymą bei prie jo pridėtus dokumentus, nusprendė netenkinti pareiškėjo prašymo atkurti Lietuvos Respublikos pilietybę.</w:t>
      </w:r>
      <w:r w:rsidR="00DC66DB">
        <w:rPr>
          <w:rFonts w:ascii="Calibri" w:eastAsia="Calibri" w:hAnsi="Calibri" w:cs="Calibri"/>
          <w:sz w:val="22"/>
          <w:szCs w:val="22"/>
        </w:rPr>
        <w:t xml:space="preserve"> </w:t>
      </w:r>
      <w:r w:rsidRPr="006F1757">
        <w:rPr>
          <w:rFonts w:ascii="Calibri" w:eastAsia="Calibri" w:hAnsi="Calibri" w:cs="Calibri"/>
          <w:sz w:val="22"/>
          <w:szCs w:val="22"/>
        </w:rPr>
        <w:t xml:space="preserve">Pirmosios instancijos teismas, iš esmės sutikęs su vidaus reikalų ministro įsakymo motyvacija, pareiškėjo skundą atmetė. </w:t>
      </w:r>
      <w:r w:rsidR="00DC66DB">
        <w:rPr>
          <w:rFonts w:ascii="Calibri" w:eastAsia="Calibri" w:hAnsi="Calibri" w:cs="Calibri"/>
          <w:sz w:val="22"/>
          <w:szCs w:val="22"/>
        </w:rPr>
        <w:t>P</w:t>
      </w:r>
      <w:r w:rsidRPr="006F1757">
        <w:rPr>
          <w:rFonts w:ascii="Calibri" w:eastAsia="Calibri" w:hAnsi="Calibri" w:cs="Calibri"/>
          <w:sz w:val="22"/>
          <w:szCs w:val="22"/>
        </w:rPr>
        <w:t>areiškėjas pateikė apeliacinį skundą</w:t>
      </w:r>
      <w:r w:rsidR="00DC66DB">
        <w:rPr>
          <w:rFonts w:ascii="Calibri" w:eastAsia="Calibri" w:hAnsi="Calibri" w:cs="Calibri"/>
          <w:sz w:val="22"/>
          <w:szCs w:val="22"/>
        </w:rPr>
        <w:t>.</w:t>
      </w:r>
    </w:p>
    <w:p w14:paraId="2D990202" w14:textId="22C65A0F" w:rsidR="006F1757" w:rsidRPr="006F1757" w:rsidRDefault="00DC66DB" w:rsidP="006F1757">
      <w:pPr>
        <w:ind w:firstLine="567"/>
        <w:jc w:val="both"/>
        <w:rPr>
          <w:rFonts w:ascii="Calibri" w:eastAsia="Calibri" w:hAnsi="Calibri" w:cs="Calibri"/>
          <w:sz w:val="22"/>
          <w:szCs w:val="22"/>
        </w:rPr>
      </w:pPr>
      <w:r>
        <w:rPr>
          <w:rFonts w:ascii="Calibri" w:eastAsia="Calibri" w:hAnsi="Calibri" w:cs="Calibri"/>
          <w:sz w:val="22"/>
          <w:szCs w:val="22"/>
        </w:rPr>
        <w:t xml:space="preserve">LVAT </w:t>
      </w:r>
      <w:r w:rsidR="006F1757" w:rsidRPr="006F1757">
        <w:rPr>
          <w:rFonts w:ascii="Calibri" w:eastAsia="Calibri" w:hAnsi="Calibri" w:cs="Calibri"/>
          <w:sz w:val="22"/>
          <w:szCs w:val="22"/>
        </w:rPr>
        <w:t>iš esmės sutik</w:t>
      </w:r>
      <w:r>
        <w:rPr>
          <w:rFonts w:ascii="Calibri" w:eastAsia="Calibri" w:hAnsi="Calibri" w:cs="Calibri"/>
          <w:sz w:val="22"/>
          <w:szCs w:val="22"/>
        </w:rPr>
        <w:t>o</w:t>
      </w:r>
      <w:r w:rsidR="006F1757" w:rsidRPr="006F1757">
        <w:rPr>
          <w:rFonts w:ascii="Calibri" w:eastAsia="Calibri" w:hAnsi="Calibri" w:cs="Calibri"/>
          <w:sz w:val="22"/>
          <w:szCs w:val="22"/>
        </w:rPr>
        <w:t xml:space="preserve"> su pareiškėjo apeliacinio skundo argumentais dėl netinkamo Pilietybės įstatymo 2 straipsnio 3 dalies aiškinimo: ginčui aktualios redakcijos Pilietybės įstatymo 5 straipsnis, apibrėžiantis, kokie asmenys yra Lietuvos Respublikos piliečiai, nustat</w:t>
      </w:r>
      <w:r w:rsidR="005A01C4">
        <w:rPr>
          <w:rFonts w:ascii="Calibri" w:eastAsia="Calibri" w:hAnsi="Calibri" w:cs="Calibri"/>
          <w:sz w:val="22"/>
          <w:szCs w:val="22"/>
        </w:rPr>
        <w:t>ė</w:t>
      </w:r>
      <w:r w:rsidR="006F1757" w:rsidRPr="006F1757">
        <w:rPr>
          <w:rFonts w:ascii="Calibri" w:eastAsia="Calibri" w:hAnsi="Calibri" w:cs="Calibri"/>
          <w:sz w:val="22"/>
          <w:szCs w:val="22"/>
        </w:rPr>
        <w:t>, kad jais yra ir asmenys, atkūrę Lietuvos Respublikos pilietybę pagal šį įstatymą (Pilietybės įstatymo 5 str. 2 p.).</w:t>
      </w:r>
      <w:r>
        <w:rPr>
          <w:rFonts w:ascii="Calibri" w:eastAsia="Calibri" w:hAnsi="Calibri" w:cs="Calibri"/>
          <w:sz w:val="22"/>
          <w:szCs w:val="22"/>
        </w:rPr>
        <w:t xml:space="preserve"> Įvertin</w:t>
      </w:r>
      <w:r w:rsidR="005A01C4">
        <w:rPr>
          <w:rFonts w:ascii="Calibri" w:eastAsia="Calibri" w:hAnsi="Calibri" w:cs="Calibri"/>
          <w:sz w:val="22"/>
          <w:szCs w:val="22"/>
        </w:rPr>
        <w:t>usi</w:t>
      </w:r>
      <w:r>
        <w:rPr>
          <w:rFonts w:ascii="Calibri" w:eastAsia="Calibri" w:hAnsi="Calibri" w:cs="Calibri"/>
          <w:sz w:val="22"/>
          <w:szCs w:val="22"/>
        </w:rPr>
        <w:t xml:space="preserve"> ginčui aktualias Pilietybės įstatymo nuostatas, LVAT t</w:t>
      </w:r>
      <w:r w:rsidR="006F1757" w:rsidRPr="006F1757">
        <w:rPr>
          <w:rFonts w:ascii="Calibri" w:eastAsia="Calibri" w:hAnsi="Calibri" w:cs="Calibri"/>
          <w:sz w:val="22"/>
          <w:szCs w:val="22"/>
        </w:rPr>
        <w:t>eisėjų kolegija iš esmės suti</w:t>
      </w:r>
      <w:r>
        <w:rPr>
          <w:rFonts w:ascii="Calibri" w:eastAsia="Calibri" w:hAnsi="Calibri" w:cs="Calibri"/>
          <w:sz w:val="22"/>
          <w:szCs w:val="22"/>
        </w:rPr>
        <w:t xml:space="preserve">ko </w:t>
      </w:r>
      <w:r w:rsidR="006F1757" w:rsidRPr="006F1757">
        <w:rPr>
          <w:rFonts w:ascii="Calibri" w:eastAsia="Calibri" w:hAnsi="Calibri" w:cs="Calibri"/>
          <w:sz w:val="22"/>
          <w:szCs w:val="22"/>
        </w:rPr>
        <w:t xml:space="preserve">su apeliacinio skundo argumentais, kad </w:t>
      </w:r>
      <w:r w:rsidR="006F1757" w:rsidRPr="00DC66DB">
        <w:rPr>
          <w:rFonts w:ascii="Calibri" w:eastAsia="Calibri" w:hAnsi="Calibri" w:cs="Calibri"/>
          <w:sz w:val="22"/>
          <w:szCs w:val="22"/>
          <w:u w:val="single"/>
        </w:rPr>
        <w:t>Pilietybės įstatymo 2 straipsnio 3 dalies nuostata, kad „&lt;...&gt; Ši sąvoka neapima asmenų, kurie po 1940 m. birželio 15 d. išvyko iš Lietuvos teritorijos į buvusią Sovietų Sąjungos teritoriją. &lt;...&gt;“, negali būti aiškinama atsietai tiek nuo likusios šios teisės normos dalies nuostatos, įvardijančios išvykimo iš dabartinės Lietuvos Respublikos teritorijos į kitą valstybę tikslo („nuolat gyventi</w:t>
      </w:r>
      <w:r w:rsidR="006F1757" w:rsidRPr="00A12CF6">
        <w:rPr>
          <w:rFonts w:ascii="Calibri" w:eastAsia="Calibri" w:hAnsi="Calibri" w:cs="Calibri"/>
          <w:sz w:val="22"/>
          <w:szCs w:val="22"/>
          <w:u w:val="single"/>
        </w:rPr>
        <w:t>“), tiek nuo viso Pilietybės įstatymo dalies, susijusios su pilietybės atkūrimu, išlaikant kitos valstybės pilietybę, konteksto</w:t>
      </w:r>
      <w:r w:rsidR="006F1757" w:rsidRPr="006F1757">
        <w:rPr>
          <w:rFonts w:ascii="Calibri" w:eastAsia="Calibri" w:hAnsi="Calibri" w:cs="Calibri"/>
          <w:sz w:val="22"/>
          <w:szCs w:val="22"/>
        </w:rPr>
        <w:t>: viena vertus, tuo siek</w:t>
      </w:r>
      <w:r w:rsidR="00A12CF6">
        <w:rPr>
          <w:rFonts w:ascii="Calibri" w:eastAsia="Calibri" w:hAnsi="Calibri" w:cs="Calibri"/>
          <w:sz w:val="22"/>
          <w:szCs w:val="22"/>
        </w:rPr>
        <w:t>t</w:t>
      </w:r>
      <w:r w:rsidR="006F1757" w:rsidRPr="006F1757">
        <w:rPr>
          <w:rFonts w:ascii="Calibri" w:eastAsia="Calibri" w:hAnsi="Calibri" w:cs="Calibri"/>
          <w:sz w:val="22"/>
          <w:szCs w:val="22"/>
        </w:rPr>
        <w:t>a nustatyti teisinį reguliavimą, kuriuo asmenims, iki 1940 m. birželio 15 d. turėjusiems Lietuvos Respublikos pilietybę, iki 1990 m. kovo 11 d., t. y. sudėtingu tiek valstybei, tiek visam regionui laikotarpiu, išvykusiems iš dabartinės Lietuvos Respublikos teritorijos nuolat gyventi į kitą valstybę, jeigu 1990</w:t>
      </w:r>
      <w:r w:rsidR="005A01C4">
        <w:rPr>
          <w:rFonts w:ascii="Calibri" w:eastAsia="Calibri" w:hAnsi="Calibri" w:cs="Calibri"/>
          <w:sz w:val="22"/>
          <w:szCs w:val="22"/>
        </w:rPr>
        <w:t> </w:t>
      </w:r>
      <w:r w:rsidR="006F1757" w:rsidRPr="006F1757">
        <w:rPr>
          <w:rFonts w:ascii="Calibri" w:eastAsia="Calibri" w:hAnsi="Calibri" w:cs="Calibri"/>
          <w:sz w:val="22"/>
          <w:szCs w:val="22"/>
        </w:rPr>
        <w:t xml:space="preserve">m. kovo 11 d. jų nuolatinė gyvenamoji vieta buvo ne Lietuvoje, nustatomos kitokios, t. y. lengvesnės pilietybės atkūrimo sąlygos, </w:t>
      </w:r>
      <w:r w:rsidR="006F1757" w:rsidRPr="005A01C4">
        <w:rPr>
          <w:rFonts w:ascii="Calibri" w:eastAsia="Calibri" w:hAnsi="Calibri" w:cs="Calibri"/>
          <w:i/>
          <w:iCs/>
          <w:sz w:val="22"/>
          <w:szCs w:val="22"/>
        </w:rPr>
        <w:t>inter alia</w:t>
      </w:r>
      <w:r w:rsidR="006F1757" w:rsidRPr="006F1757">
        <w:rPr>
          <w:rFonts w:ascii="Calibri" w:eastAsia="Calibri" w:hAnsi="Calibri" w:cs="Calibri"/>
          <w:sz w:val="22"/>
          <w:szCs w:val="22"/>
        </w:rPr>
        <w:t xml:space="preserve"> galimybė kartu būti ir kitos valstybės piliečiu; kita vertus, toks teisinis reguliavimas nustatytas neignoruojant ir nūdienos realijų, atsižvelgiant į šalies pasirinktos europinės ir transatlantinės integracijos kriterijus. Šiame kontekste pažymėta, kad tarptautinėje teisėje pripažįstama, jog kiekviena valstybė pati savo teisės aktais nustato, kas yra jos piliečiai, t. y. apibrėžia pilietybės įgijimo, atkūrimo, netekimo sąlygas ir tvarką, reguliuoja kitus su pilietybe susijusius santykius. Pilietybė – kiekvienos valstybės nacionalinės teisės institutas (Lietuvos Respublikos Konstitucinio Teismo 2016 m.  lapkričio 13 d. nutarimas).  </w:t>
      </w:r>
    </w:p>
    <w:p w14:paraId="61EEC8F6" w14:textId="7EB4CD0D" w:rsidR="006F1757" w:rsidRPr="006F1757" w:rsidRDefault="005A01C4" w:rsidP="006F1757">
      <w:pPr>
        <w:ind w:firstLine="567"/>
        <w:jc w:val="both"/>
        <w:rPr>
          <w:rFonts w:ascii="Calibri" w:eastAsia="Calibri" w:hAnsi="Calibri" w:cs="Calibri"/>
          <w:sz w:val="22"/>
          <w:szCs w:val="22"/>
        </w:rPr>
      </w:pPr>
      <w:r w:rsidRPr="5FB8FBAC">
        <w:rPr>
          <w:rFonts w:ascii="Calibri" w:eastAsia="Calibri" w:hAnsi="Calibri" w:cs="Calibri"/>
          <w:sz w:val="22"/>
          <w:szCs w:val="22"/>
        </w:rPr>
        <w:t>K</w:t>
      </w:r>
      <w:r w:rsidR="006F1757" w:rsidRPr="5FB8FBAC">
        <w:rPr>
          <w:rFonts w:ascii="Calibri" w:eastAsia="Calibri" w:hAnsi="Calibri" w:cs="Calibri"/>
          <w:sz w:val="22"/>
          <w:szCs w:val="22"/>
        </w:rPr>
        <w:t xml:space="preserve">onstatavus duomenų, patvirtinančių faktą apie </w:t>
      </w:r>
      <w:bookmarkStart w:id="25" w:name="Buk_83"/>
      <w:r w:rsidR="006F1757" w:rsidRPr="5FB8FBAC">
        <w:rPr>
          <w:rFonts w:ascii="Calibri" w:eastAsia="Calibri" w:hAnsi="Calibri" w:cs="Calibri"/>
          <w:sz w:val="22"/>
          <w:szCs w:val="22"/>
        </w:rPr>
        <w:t xml:space="preserve">J. J. </w:t>
      </w:r>
      <w:bookmarkEnd w:id="25"/>
      <w:r w:rsidR="006F1757" w:rsidRPr="5FB8FBAC">
        <w:rPr>
          <w:rFonts w:ascii="Calibri" w:eastAsia="Calibri" w:hAnsi="Calibri" w:cs="Calibri"/>
          <w:sz w:val="22"/>
          <w:szCs w:val="22"/>
        </w:rPr>
        <w:t xml:space="preserve">Lietuvos Respublikos pilietybės turėjimą 1940  m. birželio 15  d., pakankamumą, apeliacinės instancijos teismo vertinimu, </w:t>
      </w:r>
      <w:r w:rsidR="006F1757" w:rsidRPr="5FB8FBAC">
        <w:rPr>
          <w:rFonts w:ascii="Calibri" w:eastAsia="Calibri" w:hAnsi="Calibri" w:cs="Calibri"/>
          <w:sz w:val="22"/>
          <w:szCs w:val="22"/>
          <w:u w:val="single"/>
        </w:rPr>
        <w:t xml:space="preserve">byloje pateiktų duomenų pagrindu spręsti, kad </w:t>
      </w:r>
      <w:bookmarkStart w:id="26" w:name="Buk_99"/>
      <w:r w:rsidR="006F1757" w:rsidRPr="5FB8FBAC">
        <w:rPr>
          <w:rFonts w:ascii="Calibri" w:eastAsia="Calibri" w:hAnsi="Calibri" w:cs="Calibri"/>
          <w:sz w:val="22"/>
          <w:szCs w:val="22"/>
          <w:u w:val="single"/>
        </w:rPr>
        <w:t xml:space="preserve">J. J. </w:t>
      </w:r>
      <w:bookmarkEnd w:id="26"/>
      <w:r w:rsidR="006F1757" w:rsidRPr="5FB8FBAC">
        <w:rPr>
          <w:rFonts w:ascii="Calibri" w:eastAsia="Calibri" w:hAnsi="Calibri" w:cs="Calibri"/>
          <w:sz w:val="22"/>
          <w:szCs w:val="22"/>
          <w:u w:val="single"/>
        </w:rPr>
        <w:t xml:space="preserve">1944 metais iš Lietuvos teritorijos į buvusią Sovietų Sąjungos teritoriją (Baltarusiją) išvyko nuolat gyventi, </w:t>
      </w:r>
      <w:r w:rsidR="006F1757" w:rsidRPr="5FB8FBAC">
        <w:rPr>
          <w:rFonts w:ascii="Calibri" w:eastAsia="Calibri" w:hAnsi="Calibri" w:cs="Calibri"/>
          <w:sz w:val="22"/>
          <w:szCs w:val="22"/>
        </w:rPr>
        <w:t xml:space="preserve">vertinant tiek pareiškėjo paaiškinimą, kad jo senelis Minske buvo laikomas nelaisvėje kaip asmuo, tarnavęs nacistinės Vokietijos kariniuose daliniuose, tiek duomenis apie tolesnį jo keliavimą (Lenkija, Italija, Brazilija), tiek istorinį kontekstą – nuo 1944 m. vidurio ši teritorija pateko į intensyvių karo veiksmų zoną, </w:t>
      </w:r>
      <w:r w:rsidR="006F1757" w:rsidRPr="5FB8FBAC">
        <w:rPr>
          <w:rFonts w:ascii="Calibri" w:eastAsia="Calibri" w:hAnsi="Calibri" w:cs="Calibri"/>
          <w:sz w:val="22"/>
          <w:szCs w:val="22"/>
          <w:u w:val="single"/>
        </w:rPr>
        <w:t>n</w:t>
      </w:r>
      <w:r w:rsidRPr="5FB8FBAC">
        <w:rPr>
          <w:rFonts w:ascii="Calibri" w:eastAsia="Calibri" w:hAnsi="Calibri" w:cs="Calibri"/>
          <w:sz w:val="22"/>
          <w:szCs w:val="22"/>
          <w:u w:val="single"/>
        </w:rPr>
        <w:t>ebuvo</w:t>
      </w:r>
      <w:r w:rsidR="006F1757" w:rsidRPr="5FB8FBAC">
        <w:rPr>
          <w:rFonts w:ascii="Calibri" w:eastAsia="Calibri" w:hAnsi="Calibri" w:cs="Calibri"/>
          <w:sz w:val="22"/>
          <w:szCs w:val="22"/>
          <w:u w:val="single"/>
        </w:rPr>
        <w:t xml:space="preserve"> pagrindo</w:t>
      </w:r>
      <w:r w:rsidR="006F1757" w:rsidRPr="5FB8FBAC">
        <w:rPr>
          <w:rFonts w:ascii="Calibri" w:eastAsia="Calibri" w:hAnsi="Calibri" w:cs="Calibri"/>
          <w:sz w:val="22"/>
          <w:szCs w:val="22"/>
        </w:rPr>
        <w:t>.</w:t>
      </w:r>
    </w:p>
    <w:p w14:paraId="7B6AFAD7" w14:textId="5DAB41E4" w:rsidR="006F1757" w:rsidRPr="006F1757" w:rsidRDefault="006F1757" w:rsidP="006F1757">
      <w:pPr>
        <w:ind w:firstLine="567"/>
        <w:jc w:val="both"/>
        <w:rPr>
          <w:rFonts w:ascii="Calibri" w:eastAsia="Calibri" w:hAnsi="Calibri" w:cs="Calibri"/>
          <w:sz w:val="22"/>
          <w:szCs w:val="22"/>
        </w:rPr>
      </w:pPr>
      <w:r w:rsidRPr="006F1757">
        <w:rPr>
          <w:rFonts w:ascii="Calibri" w:eastAsia="Calibri" w:hAnsi="Calibri" w:cs="Calibri"/>
          <w:sz w:val="22"/>
          <w:szCs w:val="22"/>
        </w:rPr>
        <w:lastRenderedPageBreak/>
        <w:t>Tačiau vertindama antrojo pareiškėjo skundo, kurį jis prašo tenkinti, priimant naują sprendimą, reikalavimo pagrįstumą, teisėjų kolegija konstat</w:t>
      </w:r>
      <w:r w:rsidR="005A01C4">
        <w:rPr>
          <w:rFonts w:ascii="Calibri" w:eastAsia="Calibri" w:hAnsi="Calibri" w:cs="Calibri"/>
          <w:sz w:val="22"/>
          <w:szCs w:val="22"/>
        </w:rPr>
        <w:t>avo</w:t>
      </w:r>
      <w:r w:rsidRPr="006F1757">
        <w:rPr>
          <w:rFonts w:ascii="Calibri" w:eastAsia="Calibri" w:hAnsi="Calibri" w:cs="Calibri"/>
          <w:sz w:val="22"/>
          <w:szCs w:val="22"/>
        </w:rPr>
        <w:t xml:space="preserve">, jog Migracijos departamento išvada apie dokumentų, patvirtinančių </w:t>
      </w:r>
      <w:r w:rsidR="005A01C4">
        <w:rPr>
          <w:rFonts w:ascii="Calibri" w:eastAsia="Calibri" w:hAnsi="Calibri" w:cs="Calibri"/>
          <w:sz w:val="22"/>
          <w:szCs w:val="22"/>
        </w:rPr>
        <w:t>pareiškėjo senelio</w:t>
      </w:r>
      <w:r w:rsidRPr="006F1757">
        <w:rPr>
          <w:rFonts w:ascii="Calibri" w:eastAsia="Calibri" w:hAnsi="Calibri" w:cs="Calibri"/>
          <w:sz w:val="22"/>
          <w:szCs w:val="22"/>
        </w:rPr>
        <w:t xml:space="preserve"> iki 1940 m. birželio 15 d. turėtą Lietuvos Respublikos pilietybę, pakankamumą, nėra pagrįsta pateiktais faktiniais duomenimis, dėl ko visiškai tenkinti šią pareiškėjo skundo dalį n</w:t>
      </w:r>
      <w:r w:rsidR="005A01C4">
        <w:rPr>
          <w:rFonts w:ascii="Calibri" w:eastAsia="Calibri" w:hAnsi="Calibri" w:cs="Calibri"/>
          <w:sz w:val="22"/>
          <w:szCs w:val="22"/>
        </w:rPr>
        <w:t xml:space="preserve">ebuvo </w:t>
      </w:r>
      <w:r w:rsidRPr="006F1757">
        <w:rPr>
          <w:rFonts w:ascii="Calibri" w:eastAsia="Calibri" w:hAnsi="Calibri" w:cs="Calibri"/>
          <w:sz w:val="22"/>
          <w:szCs w:val="22"/>
        </w:rPr>
        <w:t>pagrindo ir klausimas dėl pareiškėjo prašymo išsprendimo grąžin</w:t>
      </w:r>
      <w:r w:rsidR="005A01C4">
        <w:rPr>
          <w:rFonts w:ascii="Calibri" w:eastAsia="Calibri" w:hAnsi="Calibri" w:cs="Calibri"/>
          <w:sz w:val="22"/>
          <w:szCs w:val="22"/>
        </w:rPr>
        <w:t>t</w:t>
      </w:r>
      <w:r w:rsidRPr="006F1757">
        <w:rPr>
          <w:rFonts w:ascii="Calibri" w:eastAsia="Calibri" w:hAnsi="Calibri" w:cs="Calibri"/>
          <w:sz w:val="22"/>
          <w:szCs w:val="22"/>
        </w:rPr>
        <w:t xml:space="preserve">as Ministerijai nagrinėti iš naujo.  </w:t>
      </w:r>
    </w:p>
    <w:p w14:paraId="522603B7" w14:textId="15DD90F0" w:rsidR="006F1757" w:rsidRPr="006F1757" w:rsidRDefault="006F1757" w:rsidP="006F1757">
      <w:pPr>
        <w:ind w:firstLine="567"/>
        <w:jc w:val="both"/>
        <w:rPr>
          <w:rFonts w:ascii="Calibri" w:eastAsia="Calibri" w:hAnsi="Calibri" w:cs="Calibri"/>
          <w:sz w:val="22"/>
          <w:szCs w:val="22"/>
        </w:rPr>
      </w:pPr>
      <w:r w:rsidRPr="006F1757">
        <w:rPr>
          <w:rFonts w:ascii="Calibri" w:eastAsia="Calibri" w:hAnsi="Calibri" w:cs="Calibri"/>
          <w:sz w:val="22"/>
          <w:szCs w:val="22"/>
        </w:rPr>
        <w:t>Atsižvelg</w:t>
      </w:r>
      <w:r w:rsidR="005A01C4">
        <w:rPr>
          <w:rFonts w:ascii="Calibri" w:eastAsia="Calibri" w:hAnsi="Calibri" w:cs="Calibri"/>
          <w:sz w:val="22"/>
          <w:szCs w:val="22"/>
        </w:rPr>
        <w:t xml:space="preserve">us </w:t>
      </w:r>
      <w:r w:rsidRPr="006F1757">
        <w:rPr>
          <w:rFonts w:ascii="Calibri" w:eastAsia="Calibri" w:hAnsi="Calibri" w:cs="Calibri"/>
          <w:sz w:val="22"/>
          <w:szCs w:val="22"/>
        </w:rPr>
        <w:t xml:space="preserve">į tai, kas aptarta, </w:t>
      </w:r>
      <w:r w:rsidR="005A01C4">
        <w:rPr>
          <w:rFonts w:ascii="Calibri" w:eastAsia="Calibri" w:hAnsi="Calibri" w:cs="Calibri"/>
          <w:sz w:val="22"/>
          <w:szCs w:val="22"/>
        </w:rPr>
        <w:t xml:space="preserve">pirmosios instancijos </w:t>
      </w:r>
      <w:r w:rsidRPr="006F1757">
        <w:rPr>
          <w:rFonts w:ascii="Calibri" w:eastAsia="Calibri" w:hAnsi="Calibri" w:cs="Calibri"/>
          <w:sz w:val="22"/>
          <w:szCs w:val="22"/>
        </w:rPr>
        <w:t xml:space="preserve">teismo sprendimas </w:t>
      </w:r>
      <w:r w:rsidR="005A01C4">
        <w:rPr>
          <w:rFonts w:ascii="Calibri" w:eastAsia="Calibri" w:hAnsi="Calibri" w:cs="Calibri"/>
          <w:sz w:val="22"/>
          <w:szCs w:val="22"/>
        </w:rPr>
        <w:t>pa</w:t>
      </w:r>
      <w:r w:rsidRPr="006F1757">
        <w:rPr>
          <w:rFonts w:ascii="Calibri" w:eastAsia="Calibri" w:hAnsi="Calibri" w:cs="Calibri"/>
          <w:sz w:val="22"/>
          <w:szCs w:val="22"/>
        </w:rPr>
        <w:t>kei</w:t>
      </w:r>
      <w:r w:rsidR="005A01C4">
        <w:rPr>
          <w:rFonts w:ascii="Calibri" w:eastAsia="Calibri" w:hAnsi="Calibri" w:cs="Calibri"/>
          <w:sz w:val="22"/>
          <w:szCs w:val="22"/>
        </w:rPr>
        <w:t>st</w:t>
      </w:r>
      <w:r w:rsidRPr="006F1757">
        <w:rPr>
          <w:rFonts w:ascii="Calibri" w:eastAsia="Calibri" w:hAnsi="Calibri" w:cs="Calibri"/>
          <w:sz w:val="22"/>
          <w:szCs w:val="22"/>
        </w:rPr>
        <w:t>as: pareiškėjo skundas tenkin</w:t>
      </w:r>
      <w:r w:rsidR="005A01C4">
        <w:rPr>
          <w:rFonts w:ascii="Calibri" w:eastAsia="Calibri" w:hAnsi="Calibri" w:cs="Calibri"/>
          <w:sz w:val="22"/>
          <w:szCs w:val="22"/>
        </w:rPr>
        <w:t>t</w:t>
      </w:r>
      <w:r w:rsidRPr="006F1757">
        <w:rPr>
          <w:rFonts w:ascii="Calibri" w:eastAsia="Calibri" w:hAnsi="Calibri" w:cs="Calibri"/>
          <w:sz w:val="22"/>
          <w:szCs w:val="22"/>
        </w:rPr>
        <w:t>as iš dalies, panaikinant ginčijamą vidaus reikalų ministro įsakymą, o pilietybės atkūrimo pareiškėjui klausim</w:t>
      </w:r>
      <w:r w:rsidR="005A01C4">
        <w:rPr>
          <w:rFonts w:ascii="Calibri" w:eastAsia="Calibri" w:hAnsi="Calibri" w:cs="Calibri"/>
          <w:sz w:val="22"/>
          <w:szCs w:val="22"/>
        </w:rPr>
        <w:t>as</w:t>
      </w:r>
      <w:r w:rsidRPr="006F1757">
        <w:rPr>
          <w:rFonts w:ascii="Calibri" w:eastAsia="Calibri" w:hAnsi="Calibri" w:cs="Calibri"/>
          <w:sz w:val="22"/>
          <w:szCs w:val="22"/>
        </w:rPr>
        <w:t xml:space="preserve"> grąžin</w:t>
      </w:r>
      <w:r w:rsidR="005A01C4">
        <w:rPr>
          <w:rFonts w:ascii="Calibri" w:eastAsia="Calibri" w:hAnsi="Calibri" w:cs="Calibri"/>
          <w:sz w:val="22"/>
          <w:szCs w:val="22"/>
        </w:rPr>
        <w:t xml:space="preserve">tas </w:t>
      </w:r>
      <w:r w:rsidRPr="006F1757">
        <w:rPr>
          <w:rFonts w:ascii="Calibri" w:eastAsia="Calibri" w:hAnsi="Calibri" w:cs="Calibri"/>
          <w:sz w:val="22"/>
          <w:szCs w:val="22"/>
        </w:rPr>
        <w:t>iš naujo nagrinėti Ministerijai.</w:t>
      </w:r>
      <w:r w:rsidR="005A01C4">
        <w:rPr>
          <w:rFonts w:ascii="Calibri" w:eastAsia="Calibri" w:hAnsi="Calibri" w:cs="Calibri"/>
          <w:sz w:val="22"/>
          <w:szCs w:val="22"/>
        </w:rPr>
        <w:t xml:space="preserve"> </w:t>
      </w:r>
    </w:p>
    <w:p w14:paraId="419455F1" w14:textId="2899A3A3" w:rsidR="006F1757" w:rsidRDefault="006F1757" w:rsidP="006F1757">
      <w:pPr>
        <w:ind w:firstLine="567"/>
        <w:jc w:val="both"/>
        <w:rPr>
          <w:rFonts w:ascii="Calibri" w:eastAsia="Calibri" w:hAnsi="Calibri" w:cs="Calibri"/>
          <w:sz w:val="22"/>
          <w:szCs w:val="22"/>
        </w:rPr>
      </w:pPr>
    </w:p>
    <w:p w14:paraId="644A32FA" w14:textId="105A59A9" w:rsidR="006F1757" w:rsidRPr="006F1757" w:rsidRDefault="006F1757" w:rsidP="006F1757">
      <w:pPr>
        <w:jc w:val="both"/>
        <w:rPr>
          <w:rFonts w:ascii="Calibri" w:hAnsi="Calibri" w:cs="Calibri"/>
          <w:sz w:val="22"/>
          <w:szCs w:val="22"/>
        </w:rPr>
      </w:pPr>
      <w:r>
        <w:rPr>
          <w:rFonts w:ascii="Calibri" w:hAnsi="Calibri" w:cs="Calibri"/>
          <w:sz w:val="22"/>
          <w:szCs w:val="22"/>
        </w:rPr>
        <w:t>2020 m. lapkričio 25 d. nutartis a</w:t>
      </w:r>
      <w:r w:rsidRPr="006F1757">
        <w:rPr>
          <w:rFonts w:ascii="Calibri" w:hAnsi="Calibri" w:cs="Calibri"/>
          <w:sz w:val="22"/>
          <w:szCs w:val="22"/>
        </w:rPr>
        <w:t>dministracinė</w:t>
      </w:r>
      <w:r>
        <w:rPr>
          <w:rFonts w:ascii="Calibri" w:hAnsi="Calibri" w:cs="Calibri"/>
          <w:sz w:val="22"/>
          <w:szCs w:val="22"/>
        </w:rPr>
        <w:t>je</w:t>
      </w:r>
      <w:r w:rsidRPr="006F1757">
        <w:rPr>
          <w:rFonts w:ascii="Calibri" w:hAnsi="Calibri" w:cs="Calibri"/>
          <w:sz w:val="22"/>
          <w:szCs w:val="22"/>
        </w:rPr>
        <w:t xml:space="preserve"> byl</w:t>
      </w:r>
      <w:r>
        <w:rPr>
          <w:rFonts w:ascii="Calibri" w:hAnsi="Calibri" w:cs="Calibri"/>
          <w:sz w:val="22"/>
          <w:szCs w:val="22"/>
        </w:rPr>
        <w:t>oje</w:t>
      </w:r>
      <w:r w:rsidRPr="006F1757">
        <w:rPr>
          <w:rFonts w:ascii="Calibri" w:hAnsi="Calibri" w:cs="Calibri"/>
          <w:sz w:val="22"/>
          <w:szCs w:val="22"/>
        </w:rPr>
        <w:t xml:space="preserve"> Nr. eA-3358-624/2020</w:t>
      </w:r>
    </w:p>
    <w:p w14:paraId="0D929B2E" w14:textId="77777777" w:rsidR="006F1757" w:rsidRPr="006F1757" w:rsidRDefault="006F1757" w:rsidP="006F1757">
      <w:pPr>
        <w:jc w:val="both"/>
        <w:rPr>
          <w:rFonts w:ascii="Calibri" w:hAnsi="Calibri" w:cs="Calibri"/>
          <w:sz w:val="22"/>
          <w:szCs w:val="22"/>
        </w:rPr>
      </w:pPr>
      <w:r w:rsidRPr="006F1757">
        <w:rPr>
          <w:rFonts w:ascii="Calibri" w:hAnsi="Calibri" w:cs="Calibri"/>
          <w:sz w:val="22"/>
          <w:szCs w:val="22"/>
        </w:rPr>
        <w:t>Teisminio proceso Nr. 3-61-3-01622-2019-6</w:t>
      </w:r>
    </w:p>
    <w:p w14:paraId="4C57FEF0" w14:textId="752E6EE6" w:rsidR="006F1757" w:rsidRDefault="006F1757" w:rsidP="006F1757">
      <w:pPr>
        <w:jc w:val="both"/>
        <w:rPr>
          <w:rFonts w:ascii="Calibri" w:hAnsi="Calibri" w:cs="Calibri"/>
          <w:sz w:val="22"/>
          <w:szCs w:val="22"/>
        </w:rPr>
      </w:pPr>
      <w:r w:rsidRPr="006F1757">
        <w:rPr>
          <w:rFonts w:ascii="Calibri" w:hAnsi="Calibri" w:cs="Calibri"/>
          <w:sz w:val="22"/>
          <w:szCs w:val="22"/>
        </w:rPr>
        <w:t>Procesinio sprendimo kategorijos: 10.5; 10.6</w:t>
      </w:r>
    </w:p>
    <w:p w14:paraId="11616AD7" w14:textId="7BA40741" w:rsidR="006F1757" w:rsidRPr="006F1757" w:rsidRDefault="00822FF8" w:rsidP="006F1757">
      <w:pPr>
        <w:jc w:val="both"/>
        <w:rPr>
          <w:rFonts w:ascii="Calibri" w:hAnsi="Calibri" w:cs="Calibri"/>
          <w:sz w:val="22"/>
          <w:szCs w:val="22"/>
        </w:rPr>
      </w:pPr>
      <w:hyperlink r:id="rId15" w:history="1">
        <w:r w:rsidR="006F1757" w:rsidRPr="006F1757">
          <w:rPr>
            <w:rStyle w:val="Hipersaitas"/>
            <w:rFonts w:ascii="Calibri" w:hAnsi="Calibri" w:cs="Calibri"/>
            <w:sz w:val="22"/>
            <w:szCs w:val="22"/>
          </w:rPr>
          <w:t>Prieiga internete</w:t>
        </w:r>
      </w:hyperlink>
    </w:p>
    <w:p w14:paraId="29276913" w14:textId="6153127B" w:rsidR="006F1757" w:rsidRDefault="006F1757" w:rsidP="006F1757">
      <w:pPr>
        <w:ind w:firstLine="567"/>
        <w:jc w:val="both"/>
        <w:rPr>
          <w:rFonts w:ascii="Calibri" w:eastAsia="Calibri" w:hAnsi="Calibri" w:cs="Calibri"/>
          <w:sz w:val="22"/>
          <w:szCs w:val="22"/>
        </w:rPr>
      </w:pPr>
    </w:p>
    <w:p w14:paraId="484B562D" w14:textId="77777777" w:rsidR="00E4686F" w:rsidRPr="00E4686F" w:rsidRDefault="00E4686F" w:rsidP="00E4686F">
      <w:pPr>
        <w:keepNext/>
        <w:keepLines/>
        <w:jc w:val="both"/>
        <w:outlineLvl w:val="0"/>
        <w:rPr>
          <w:rFonts w:asciiTheme="minorHAnsi" w:hAnsiTheme="minorHAnsi" w:cstheme="minorHAnsi"/>
          <w:b/>
          <w:sz w:val="22"/>
          <w:szCs w:val="22"/>
          <w:u w:val="single"/>
        </w:rPr>
      </w:pPr>
      <w:bookmarkStart w:id="27" w:name="_Toc462149976"/>
      <w:bookmarkStart w:id="28" w:name="_Toc61261229"/>
      <w:r w:rsidRPr="00E4686F">
        <w:rPr>
          <w:rFonts w:asciiTheme="minorHAnsi" w:hAnsiTheme="minorHAnsi" w:cstheme="minorHAnsi"/>
          <w:b/>
          <w:sz w:val="22"/>
          <w:szCs w:val="22"/>
          <w:u w:val="single"/>
        </w:rPr>
        <w:t>12. Mokesčiai, įmokos ir kiti privalomieji mokėjimai</w:t>
      </w:r>
      <w:bookmarkEnd w:id="27"/>
      <w:bookmarkEnd w:id="28"/>
    </w:p>
    <w:p w14:paraId="0D35CA6D" w14:textId="77777777" w:rsidR="00E4686F" w:rsidRPr="00E4686F" w:rsidRDefault="00E4686F" w:rsidP="00E4686F">
      <w:pPr>
        <w:ind w:firstLine="567"/>
        <w:rPr>
          <w:rFonts w:asciiTheme="minorHAnsi" w:hAnsiTheme="minorHAnsi" w:cstheme="minorHAnsi"/>
          <w:b/>
          <w:sz w:val="22"/>
          <w:szCs w:val="22"/>
          <w:u w:val="single"/>
        </w:rPr>
      </w:pPr>
      <w:r w:rsidRPr="00E4686F">
        <w:rPr>
          <w:rFonts w:asciiTheme="minorHAnsi" w:hAnsiTheme="minorHAnsi" w:cstheme="minorHAnsi"/>
          <w:b/>
          <w:sz w:val="22"/>
          <w:szCs w:val="22"/>
          <w:u w:val="single"/>
        </w:rPr>
        <w:t>12.17. Nekilnojamojo turto ir žemės mokesčiai</w:t>
      </w:r>
    </w:p>
    <w:p w14:paraId="63A37569" w14:textId="77777777" w:rsidR="00E4686F" w:rsidRPr="00AB466E" w:rsidRDefault="00E4686F" w:rsidP="00E4686F">
      <w:pPr>
        <w:jc w:val="both"/>
        <w:rPr>
          <w:rFonts w:asciiTheme="minorHAnsi" w:hAnsiTheme="minorHAnsi" w:cstheme="minorHAnsi"/>
          <w:i/>
          <w:iCs/>
        </w:rPr>
      </w:pPr>
    </w:p>
    <w:p w14:paraId="10DC37BB" w14:textId="66EAF84F" w:rsidR="00E4686F" w:rsidRPr="00E4686F" w:rsidRDefault="047F647C" w:rsidP="3BFD9C02">
      <w:pPr>
        <w:jc w:val="both"/>
        <w:outlineLvl w:val="1"/>
        <w:rPr>
          <w:rFonts w:asciiTheme="minorHAnsi" w:eastAsia="Calibri" w:hAnsiTheme="minorHAnsi" w:cstheme="minorBidi"/>
          <w:i/>
          <w:iCs/>
          <w:sz w:val="22"/>
          <w:szCs w:val="22"/>
        </w:rPr>
      </w:pPr>
      <w:bookmarkStart w:id="29" w:name="_Toc61261230"/>
      <w:r w:rsidRPr="3BFD9C02">
        <w:rPr>
          <w:rFonts w:asciiTheme="minorHAnsi" w:eastAsia="Calibri" w:hAnsiTheme="minorHAnsi" w:cstheme="minorBidi"/>
          <w:i/>
          <w:iCs/>
          <w:sz w:val="22"/>
          <w:szCs w:val="22"/>
        </w:rPr>
        <w:t>Dėl</w:t>
      </w:r>
      <w:r w:rsidRPr="3BFD9C02">
        <w:rPr>
          <w:rFonts w:asciiTheme="minorHAnsi" w:eastAsiaTheme="minorEastAsia" w:hAnsiTheme="minorHAnsi" w:cstheme="minorBidi"/>
          <w:sz w:val="22"/>
          <w:szCs w:val="22"/>
        </w:rPr>
        <w:t xml:space="preserve"> </w:t>
      </w:r>
      <w:r w:rsidR="00E4686F" w:rsidRPr="3BFD9C02">
        <w:rPr>
          <w:rFonts w:asciiTheme="minorHAnsi" w:eastAsia="Calibri" w:hAnsiTheme="minorHAnsi" w:cstheme="minorBidi"/>
          <w:i/>
          <w:iCs/>
          <w:sz w:val="22"/>
          <w:szCs w:val="22"/>
        </w:rPr>
        <w:t>savivaldybės tarybos teisės įpareigoti savivaldybės administracijos direktorių sudaryti ir tvirtinti apleisto ar neprižiūrimo nekilnojamojo turto sąrašą apmokestinimo nekilnojamojo turto mokesčiu tikslais</w:t>
      </w:r>
      <w:bookmarkEnd w:id="29"/>
    </w:p>
    <w:p w14:paraId="6B52BAB3" w14:textId="77777777" w:rsidR="00E4686F" w:rsidRPr="00E4686F" w:rsidRDefault="00E4686F" w:rsidP="00E4686F">
      <w:pPr>
        <w:ind w:firstLine="567"/>
        <w:jc w:val="both"/>
        <w:rPr>
          <w:rFonts w:ascii="Calibri" w:eastAsia="Calibri" w:hAnsi="Calibri" w:cs="Calibri"/>
          <w:sz w:val="22"/>
          <w:szCs w:val="22"/>
        </w:rPr>
      </w:pPr>
    </w:p>
    <w:p w14:paraId="5FD166F4" w14:textId="7B4D1384" w:rsidR="00E4686F" w:rsidRPr="00E4686F" w:rsidRDefault="00E4686F" w:rsidP="00E4686F">
      <w:pPr>
        <w:ind w:firstLine="567"/>
        <w:jc w:val="both"/>
        <w:rPr>
          <w:rFonts w:ascii="Calibri" w:eastAsia="Calibri" w:hAnsi="Calibri" w:cs="Calibri"/>
          <w:sz w:val="22"/>
          <w:szCs w:val="22"/>
        </w:rPr>
      </w:pPr>
      <w:r w:rsidRPr="3C0484D3">
        <w:rPr>
          <w:rFonts w:ascii="Calibri" w:eastAsia="Calibri" w:hAnsi="Calibri" w:cs="Calibri"/>
          <w:sz w:val="22"/>
          <w:szCs w:val="22"/>
        </w:rPr>
        <w:t>Apžvelgiamoje byloje nagrinėtas ginčas kilo dėl Palangos miesto savivaldybės administracijos direktoriaus 2018 m. rugsėjo 18 d. įsakymo, kuriuo pareiškėjui nuosavybės teise priklausantis statinys buvo įtrauktas į Palangos miesto savivaldybės teritorijoje esančių apleistų ir neprižiūrimų, naudojamų ne pagal paskirtį pastatų ir statinių sąrašą (toliau – Sąrašas). Nustatyta, kad šį individualų administracinį aktą savivaldybės administracijos direktorius patvirtino, be kita ko, vykdydamas Palangos miesto savivaldybės tarybos 2017 m. gegužės 31 d. sprendimo Nr. T2-145 „Dėl nekilnojamojo turto mokesčio tarifų 2018 metams nustatymo“ nustatytą įpareigojimą sudaryti ir patvirtinti aptariamą sąrašą.</w:t>
      </w:r>
    </w:p>
    <w:p w14:paraId="7F677747" w14:textId="77777777" w:rsidR="00E4686F" w:rsidRPr="00E4686F" w:rsidRDefault="00E4686F" w:rsidP="00E4686F">
      <w:pPr>
        <w:ind w:firstLine="567"/>
        <w:jc w:val="both"/>
        <w:rPr>
          <w:rFonts w:ascii="Calibri" w:eastAsia="Calibri" w:hAnsi="Calibri" w:cs="Calibri"/>
          <w:sz w:val="22"/>
          <w:szCs w:val="22"/>
        </w:rPr>
      </w:pPr>
      <w:r w:rsidRPr="00E4686F">
        <w:rPr>
          <w:rFonts w:ascii="Calibri" w:eastAsia="Calibri" w:hAnsi="Calibri" w:cs="Calibri"/>
          <w:sz w:val="22"/>
          <w:szCs w:val="22"/>
        </w:rPr>
        <w:t>Pirmosios instancijos teismas pareiškėjo skundą atmetė kaip nepagrįstą.</w:t>
      </w:r>
    </w:p>
    <w:p w14:paraId="3F57DA6D" w14:textId="270D1C49" w:rsidR="00E4686F" w:rsidRPr="00E4686F" w:rsidRDefault="00E4686F" w:rsidP="00E4686F">
      <w:pPr>
        <w:ind w:firstLine="567"/>
        <w:jc w:val="both"/>
        <w:rPr>
          <w:rFonts w:ascii="Calibri" w:eastAsia="Calibri" w:hAnsi="Calibri" w:cs="Calibri"/>
          <w:sz w:val="22"/>
          <w:szCs w:val="22"/>
        </w:rPr>
      </w:pPr>
      <w:r w:rsidRPr="55FEB3D6">
        <w:rPr>
          <w:rFonts w:ascii="Calibri" w:eastAsia="Calibri" w:hAnsi="Calibri" w:cs="Calibri"/>
          <w:sz w:val="22"/>
          <w:szCs w:val="22"/>
        </w:rPr>
        <w:t>Tačiau LVAT nurodė, kad pagal nuo 2018 m</w:t>
      </w:r>
      <w:r w:rsidR="2F060217" w:rsidRPr="55FEB3D6">
        <w:rPr>
          <w:rFonts w:ascii="Calibri" w:eastAsia="Calibri" w:hAnsi="Calibri" w:cs="Calibri"/>
          <w:sz w:val="22"/>
          <w:szCs w:val="22"/>
        </w:rPr>
        <w:t>.</w:t>
      </w:r>
      <w:r w:rsidRPr="55FEB3D6">
        <w:rPr>
          <w:rFonts w:ascii="Calibri" w:eastAsia="Calibri" w:hAnsi="Calibri" w:cs="Calibri"/>
          <w:sz w:val="22"/>
          <w:szCs w:val="22"/>
        </w:rPr>
        <w:t xml:space="preserve"> sausio 1 d. įsigaliojusią Nekilnojamojo turto mokesčio įstatymo 2 straipsnio 1 dalies redakciją apleisto ar neprižiūrimo nekilnojamojo turto sąrašą kiekvienoje savivaldybėje sudaro ir tvirtina savivaldybės taryba. Savo ruožtu teisėjų kolegija pažymėjo, kad </w:t>
      </w:r>
      <w:r w:rsidRPr="55FEB3D6">
        <w:rPr>
          <w:rFonts w:ascii="Calibri" w:eastAsia="Calibri" w:hAnsi="Calibri" w:cs="Calibri"/>
          <w:sz w:val="22"/>
          <w:szCs w:val="22"/>
          <w:u w:val="single"/>
        </w:rPr>
        <w:t>imperatyvaus pobūdžio pareiga sudaryti ir tvirtinti apleisto ar neprižiūrimo nekilnojamojo turto sąrašą įstatymu nustatyta savivaldybės tarybai. Tai, vadovaujantis Vietos savivaldos įstatymu, priskirtina išimtinei savivaldybės tarybos kompetencijai, kuri negali būti perduota jokiai kitai savivaldybės institucijai ar įstaigai</w:t>
      </w:r>
      <w:r w:rsidRPr="55FEB3D6">
        <w:rPr>
          <w:rFonts w:ascii="Calibri" w:eastAsia="Calibri" w:hAnsi="Calibri" w:cs="Calibri"/>
          <w:sz w:val="22"/>
          <w:szCs w:val="22"/>
        </w:rPr>
        <w:t>.</w:t>
      </w:r>
    </w:p>
    <w:p w14:paraId="28635659" w14:textId="5FBE0830" w:rsidR="00E4686F" w:rsidRPr="00E4686F" w:rsidRDefault="00E4686F" w:rsidP="00E4686F">
      <w:pPr>
        <w:ind w:firstLine="567"/>
        <w:jc w:val="both"/>
        <w:rPr>
          <w:rFonts w:ascii="Calibri" w:eastAsia="Calibri" w:hAnsi="Calibri" w:cs="Calibri"/>
          <w:sz w:val="22"/>
          <w:szCs w:val="22"/>
        </w:rPr>
      </w:pPr>
      <w:r w:rsidRPr="00E4686F">
        <w:rPr>
          <w:rFonts w:ascii="Calibri" w:eastAsia="Calibri" w:hAnsi="Calibri" w:cs="Calibri"/>
          <w:sz w:val="22"/>
          <w:szCs w:val="22"/>
        </w:rPr>
        <w:t xml:space="preserve">Atitinkamai vertinta, kad savivaldybės administracijos direktorius, į Sąrašą įtraukdamas pareiškėjui priklausantį ginčo nekilnojamąjį turtą, veikė </w:t>
      </w:r>
      <w:r w:rsidRPr="00E4686F">
        <w:rPr>
          <w:rFonts w:ascii="Calibri" w:eastAsia="Calibri" w:hAnsi="Calibri" w:cs="Calibri"/>
          <w:i/>
          <w:iCs/>
          <w:sz w:val="22"/>
          <w:szCs w:val="22"/>
        </w:rPr>
        <w:t>ultra vires</w:t>
      </w:r>
      <w:r w:rsidRPr="00E4686F">
        <w:rPr>
          <w:rFonts w:ascii="Calibri" w:eastAsia="Calibri" w:hAnsi="Calibri" w:cs="Calibri"/>
          <w:sz w:val="22"/>
          <w:szCs w:val="22"/>
        </w:rPr>
        <w:t xml:space="preserve"> (viršijant įgaliojimus), nepaisant to, kad tokia direktoriaus kompetencija minėtu Palangos miesto savivaldybės tarybos 2017 m. gegužės 31 d. sprendimu jam buvo nustatyta ir šią kompetenciją nustatantis šio tarybos sprendimo punktas, 2018 m. sausio 1 d. įsigaliojus minėtiems Nekilnojamojo turto mokesčio įstatymo pakeitimams, nebuvo pakeistas ar panaikintas.</w:t>
      </w:r>
    </w:p>
    <w:p w14:paraId="05F46A81" w14:textId="2AF1D38D" w:rsidR="00E4686F" w:rsidRPr="00E4686F" w:rsidRDefault="00E4686F" w:rsidP="00E4686F">
      <w:pPr>
        <w:ind w:firstLine="567"/>
        <w:jc w:val="both"/>
        <w:rPr>
          <w:rFonts w:ascii="Calibri" w:eastAsia="Calibri" w:hAnsi="Calibri" w:cs="Calibri"/>
          <w:sz w:val="22"/>
          <w:szCs w:val="22"/>
        </w:rPr>
      </w:pPr>
      <w:r w:rsidRPr="3C0484D3">
        <w:rPr>
          <w:rFonts w:ascii="Calibri" w:eastAsia="Calibri" w:hAnsi="Calibri" w:cs="Calibri"/>
          <w:sz w:val="22"/>
          <w:szCs w:val="22"/>
        </w:rPr>
        <w:t>LVAT panaikino pirmosios instancijos teismo sprendimą ir priėmė naują sprendimą – pareiškėjo skundą tenkino ir panaikino ginčijamą Sąrašo dalį.</w:t>
      </w:r>
    </w:p>
    <w:p w14:paraId="0CA685FF" w14:textId="77777777" w:rsidR="00E4686F" w:rsidRPr="00E4686F" w:rsidRDefault="00E4686F" w:rsidP="00E4686F">
      <w:pPr>
        <w:ind w:firstLine="567"/>
        <w:jc w:val="both"/>
        <w:rPr>
          <w:rFonts w:ascii="Calibri" w:eastAsia="Calibri" w:hAnsi="Calibri" w:cs="Calibri"/>
          <w:sz w:val="22"/>
          <w:szCs w:val="22"/>
        </w:rPr>
      </w:pPr>
    </w:p>
    <w:p w14:paraId="6B6F44C7" w14:textId="77777777" w:rsidR="00E4686F" w:rsidRPr="00E4686F" w:rsidRDefault="00E4686F" w:rsidP="00E4686F">
      <w:pPr>
        <w:jc w:val="both"/>
        <w:rPr>
          <w:rFonts w:ascii="Calibri" w:hAnsi="Calibri" w:cs="Calibri"/>
          <w:sz w:val="22"/>
          <w:szCs w:val="22"/>
        </w:rPr>
      </w:pPr>
      <w:r w:rsidRPr="00E4686F">
        <w:rPr>
          <w:rFonts w:ascii="Calibri" w:hAnsi="Calibri" w:cs="Calibri"/>
          <w:sz w:val="22"/>
          <w:szCs w:val="22"/>
        </w:rPr>
        <w:t>2020 m. lapkričio 11 d. sprendimas administracinėje byloje Nr. A-2196-415/2020</w:t>
      </w:r>
    </w:p>
    <w:p w14:paraId="26AE6887" w14:textId="77777777" w:rsidR="00E4686F" w:rsidRPr="00E4686F" w:rsidRDefault="00E4686F" w:rsidP="00E4686F">
      <w:pPr>
        <w:jc w:val="both"/>
        <w:rPr>
          <w:rFonts w:ascii="Calibri" w:hAnsi="Calibri" w:cs="Calibri"/>
          <w:sz w:val="22"/>
          <w:szCs w:val="22"/>
        </w:rPr>
      </w:pPr>
      <w:r w:rsidRPr="00E4686F">
        <w:rPr>
          <w:rFonts w:ascii="Calibri" w:hAnsi="Calibri" w:cs="Calibri"/>
          <w:sz w:val="22"/>
          <w:szCs w:val="22"/>
        </w:rPr>
        <w:t>Teisminio proceso Nr. 3-63-3-02328-2018-1</w:t>
      </w:r>
    </w:p>
    <w:p w14:paraId="0BECBB9E" w14:textId="77777777" w:rsidR="00E4686F" w:rsidRPr="00E4686F" w:rsidRDefault="00E4686F" w:rsidP="00E4686F">
      <w:pPr>
        <w:jc w:val="both"/>
        <w:rPr>
          <w:rFonts w:ascii="Calibri" w:hAnsi="Calibri" w:cs="Calibri"/>
          <w:sz w:val="22"/>
          <w:szCs w:val="22"/>
        </w:rPr>
      </w:pPr>
      <w:r w:rsidRPr="00E4686F">
        <w:rPr>
          <w:rFonts w:ascii="Calibri" w:hAnsi="Calibri" w:cs="Calibri"/>
          <w:sz w:val="22"/>
          <w:szCs w:val="22"/>
        </w:rPr>
        <w:t>Procesinio sprendimo kategorijos: 12.17; 24.7</w:t>
      </w:r>
    </w:p>
    <w:p w14:paraId="13E65532" w14:textId="77777777" w:rsidR="00E4686F" w:rsidRPr="00E4686F" w:rsidRDefault="00822FF8" w:rsidP="00E4686F">
      <w:pPr>
        <w:jc w:val="both"/>
        <w:rPr>
          <w:rStyle w:val="Hipersaitas"/>
          <w:rFonts w:ascii="Calibri" w:hAnsi="Calibri" w:cs="Calibri"/>
          <w:sz w:val="22"/>
          <w:szCs w:val="22"/>
        </w:rPr>
      </w:pPr>
      <w:hyperlink r:id="rId16" w:history="1">
        <w:r w:rsidR="00E4686F" w:rsidRPr="00E4686F">
          <w:rPr>
            <w:rStyle w:val="Hipersaitas"/>
            <w:rFonts w:ascii="Calibri" w:hAnsi="Calibri" w:cs="Calibri"/>
            <w:sz w:val="22"/>
            <w:szCs w:val="22"/>
          </w:rPr>
          <w:t>Prieiga internete</w:t>
        </w:r>
      </w:hyperlink>
    </w:p>
    <w:p w14:paraId="39456057" w14:textId="77777777" w:rsidR="00E4686F" w:rsidRDefault="00E4686F" w:rsidP="006F1757">
      <w:pPr>
        <w:ind w:firstLine="567"/>
        <w:jc w:val="both"/>
        <w:rPr>
          <w:rFonts w:ascii="Calibri" w:eastAsia="Calibri" w:hAnsi="Calibri" w:cs="Calibri"/>
          <w:sz w:val="22"/>
          <w:szCs w:val="22"/>
        </w:rPr>
      </w:pPr>
    </w:p>
    <w:p w14:paraId="56402072" w14:textId="20164CC7" w:rsidR="440E4573" w:rsidRDefault="440E4573" w:rsidP="068B709E">
      <w:pPr>
        <w:ind w:firstLine="567"/>
        <w:jc w:val="both"/>
      </w:pPr>
      <w:r w:rsidRPr="068B709E">
        <w:rPr>
          <w:rFonts w:ascii="Calibri" w:eastAsia="Calibri" w:hAnsi="Calibri" w:cs="Calibri"/>
          <w:b/>
          <w:bCs/>
          <w:sz w:val="22"/>
          <w:szCs w:val="22"/>
          <w:u w:val="single"/>
          <w:lang w:val="lt"/>
        </w:rPr>
        <w:t>12.19. Kiti mokesčių, įmokų ir kitų privalomųjų mokėjimų klausimai</w:t>
      </w:r>
    </w:p>
    <w:p w14:paraId="713900E4" w14:textId="01C53D4A" w:rsidR="440E4573" w:rsidRDefault="440E4573" w:rsidP="068B709E">
      <w:pPr>
        <w:jc w:val="both"/>
      </w:pPr>
      <w:r w:rsidRPr="5C9BA631">
        <w:rPr>
          <w:rFonts w:ascii="Calibri" w:eastAsia="Calibri" w:hAnsi="Calibri" w:cs="Calibri"/>
          <w:sz w:val="22"/>
          <w:szCs w:val="22"/>
          <w:lang w:val="lt"/>
        </w:rPr>
        <w:t xml:space="preserve"> </w:t>
      </w:r>
    </w:p>
    <w:p w14:paraId="3C4ED448" w14:textId="241A8638" w:rsidR="440E4573" w:rsidRDefault="1FB9564B" w:rsidP="3BFD9C02">
      <w:pPr>
        <w:jc w:val="both"/>
        <w:outlineLvl w:val="1"/>
        <w:rPr>
          <w:rFonts w:asciiTheme="minorHAnsi" w:eastAsia="Calibri" w:hAnsiTheme="minorHAnsi" w:cstheme="minorBidi"/>
          <w:i/>
          <w:iCs/>
          <w:sz w:val="22"/>
          <w:szCs w:val="22"/>
          <w:lang w:val="lt"/>
        </w:rPr>
      </w:pPr>
      <w:bookmarkStart w:id="30" w:name="_Toc61261231"/>
      <w:r w:rsidRPr="3BFD9C02">
        <w:rPr>
          <w:rFonts w:asciiTheme="minorHAnsi" w:eastAsia="Calibri" w:hAnsiTheme="minorHAnsi" w:cstheme="minorBidi"/>
          <w:i/>
          <w:iCs/>
          <w:sz w:val="22"/>
          <w:szCs w:val="22"/>
        </w:rPr>
        <w:t>Dėl</w:t>
      </w:r>
      <w:r w:rsidRPr="3BFD9C02">
        <w:rPr>
          <w:rFonts w:asciiTheme="minorHAnsi" w:eastAsiaTheme="minorEastAsia" w:hAnsiTheme="minorHAnsi" w:cstheme="minorBidi"/>
          <w:sz w:val="22"/>
          <w:szCs w:val="22"/>
        </w:rPr>
        <w:t xml:space="preserve"> </w:t>
      </w:r>
      <w:r w:rsidR="440E4573" w:rsidRPr="3BFD9C02">
        <w:rPr>
          <w:rFonts w:asciiTheme="minorHAnsi" w:eastAsia="Calibri" w:hAnsiTheme="minorHAnsi" w:cstheme="minorBidi"/>
          <w:i/>
          <w:iCs/>
          <w:sz w:val="22"/>
          <w:szCs w:val="22"/>
          <w:lang w:val="lt"/>
        </w:rPr>
        <w:t>individualia odontologinės praktikos veikla ketinančio verstis fizinio asmens įregistravimo į Mokesčių mokėtojų registrą</w:t>
      </w:r>
      <w:bookmarkEnd w:id="30"/>
    </w:p>
    <w:p w14:paraId="30F60595" w14:textId="75CF811A" w:rsidR="440E4573" w:rsidRDefault="440E4573" w:rsidP="068B709E">
      <w:pPr>
        <w:jc w:val="both"/>
      </w:pPr>
      <w:r w:rsidRPr="068B709E">
        <w:rPr>
          <w:rFonts w:ascii="Calibri" w:eastAsia="Calibri" w:hAnsi="Calibri" w:cs="Calibri"/>
          <w:sz w:val="22"/>
          <w:szCs w:val="22"/>
          <w:lang w:val="lt"/>
        </w:rPr>
        <w:t xml:space="preserve"> </w:t>
      </w:r>
    </w:p>
    <w:p w14:paraId="4347141D" w14:textId="2D9DA458" w:rsidR="440E4573" w:rsidRDefault="440E4573" w:rsidP="068B709E">
      <w:pPr>
        <w:ind w:firstLine="567"/>
        <w:jc w:val="both"/>
      </w:pPr>
      <w:r w:rsidRPr="068B709E">
        <w:rPr>
          <w:rFonts w:ascii="Calibri" w:eastAsia="Calibri" w:hAnsi="Calibri" w:cs="Calibri"/>
          <w:sz w:val="22"/>
          <w:szCs w:val="22"/>
          <w:lang w:val="lt"/>
        </w:rPr>
        <w:t xml:space="preserve">Apžvelgiamoje byloje ginčas kilo dėl Vilniaus apskrities valstybinės mokesčių inspekcijos (toliau – Vilniaus AVMI) sprendimo (toliau – Sprendimas), kuriuo atsisakyta tenkinti pareiškėjos prašymą įregistruoti ją į Mokesčių </w:t>
      </w:r>
      <w:r w:rsidRPr="068B709E">
        <w:rPr>
          <w:rFonts w:ascii="Calibri" w:eastAsia="Calibri" w:hAnsi="Calibri" w:cs="Calibri"/>
          <w:sz w:val="22"/>
          <w:szCs w:val="22"/>
          <w:lang w:val="lt"/>
        </w:rPr>
        <w:lastRenderedPageBreak/>
        <w:t>mokėtojų registrą (toliau – Registras), teisėtumo ir pagrįstumo, taip pat reikalavimo įpareigoti Vilniaus AVMI įregistruoti pareiškėjos individualią veiklą per nuolatinę bazę Lietuvoje.</w:t>
      </w:r>
    </w:p>
    <w:p w14:paraId="20E78BF0" w14:textId="33219D9C" w:rsidR="440E4573" w:rsidRDefault="440E4573" w:rsidP="068B709E">
      <w:pPr>
        <w:ind w:firstLine="567"/>
        <w:jc w:val="both"/>
      </w:pPr>
      <w:r w:rsidRPr="068B709E">
        <w:rPr>
          <w:rFonts w:ascii="Calibri" w:eastAsia="Calibri" w:hAnsi="Calibri" w:cs="Calibri"/>
          <w:sz w:val="22"/>
          <w:szCs w:val="22"/>
          <w:lang w:val="lt"/>
        </w:rPr>
        <w:t>Byloje nustatyta, kad pareiškėja per atstovą Vilniaus AVMI pateikė prašymą įregistruoti ją į Registrą (Fizinio asmens prašymo įregistruoti į Mokesčių mokėtojų registrą REG812 forma), kuriame nurodė, kad klinikoje, esančioje (duomenys neskelbtini), Vilniuje, ketina verstis veikla, pažymėta Klasifikatoriaus kodu 86.23.00 (odontologinės praktikos veikla), kartu su prašymu pateikė Lietuvos Respublikos odontologų rūmų išduotą odontologijos praktikos licenciją, patvirtinančią, kad ji turi teisę verstis odontologijos praktika pagal gydytojo odontologo profesinę kvalifikaciją.</w:t>
      </w:r>
    </w:p>
    <w:p w14:paraId="144E714C" w14:textId="68E48C8C" w:rsidR="440E4573" w:rsidRDefault="440E4573" w:rsidP="068B709E">
      <w:pPr>
        <w:ind w:firstLine="567"/>
        <w:jc w:val="both"/>
      </w:pPr>
      <w:r w:rsidRPr="068B709E">
        <w:rPr>
          <w:rFonts w:ascii="Calibri" w:eastAsia="Calibri" w:hAnsi="Calibri" w:cs="Calibri"/>
          <w:sz w:val="22"/>
          <w:szCs w:val="22"/>
          <w:lang w:val="lt"/>
        </w:rPr>
        <w:t>Tačiau Vilniaus AVMI ginčijamu Sprendimu, be kita ko, vadovaudamasi Sveikatos sistemos įstatymo 8 straipsnio ir Odontologijos praktikos įstatymo 4 straipsnio 1 dalies bei Valstybinės mokesčių inspekcijos prie Finansų ministerijos viršininko 2013 m. birželio 25 d. įsakymu Nr. VA-36 patvirtintų Fizinių asmenų įregistravimo į Mokesčių mokėtojų registrą / išregistravimo iš Mokesčių mokėtojų registro taisyklių 6.1 punkto nuostatomis, pareiškėjos prašymo netenkino, padariusi išvadą, jog sveikatos priežiūros veiklą, įskaitant odontologinės priežiūros, turi teisę vykdyti tik juridiniai asmenys, o fizinis asmuo neturi teisės savarankiškai verstis odontologo veikla, todėl negali būti registruojama ir tokia individuali veikla.</w:t>
      </w:r>
    </w:p>
    <w:p w14:paraId="42C94A76" w14:textId="3AC50E1B" w:rsidR="440E4573" w:rsidRDefault="440E4573" w:rsidP="068B709E">
      <w:pPr>
        <w:ind w:firstLine="567"/>
        <w:jc w:val="both"/>
      </w:pPr>
      <w:r w:rsidRPr="068B709E">
        <w:rPr>
          <w:rFonts w:ascii="Calibri" w:eastAsia="Calibri" w:hAnsi="Calibri" w:cs="Calibri"/>
          <w:sz w:val="22"/>
          <w:szCs w:val="22"/>
          <w:lang w:val="lt"/>
        </w:rPr>
        <w:t>Pirmosios instancijos teismas, įvertinęs ginčui aktualų teisinį reguliavimą ir padaręs išvadą, kad odontologijos praktikos paslaugas gali teikti tik juridiniai asmenys, konstatavo, jog atsakovas priėmė teisėtą ir pagrįstą Sprendimą, todėl pareiškėjos skundą atmetė. Pirmosios instancijos teismas taip pat sprendė, kad atsakovas, priimdamas ginčijamą Sprendimą, neviršijo savo kompetencijos.</w:t>
      </w:r>
    </w:p>
    <w:p w14:paraId="6CC968B3" w14:textId="2693E811" w:rsidR="440E4573" w:rsidRDefault="440E4573" w:rsidP="068B709E">
      <w:pPr>
        <w:ind w:firstLine="567"/>
        <w:jc w:val="both"/>
      </w:pPr>
      <w:r w:rsidRPr="068B709E">
        <w:rPr>
          <w:rFonts w:ascii="Calibri" w:eastAsia="Calibri" w:hAnsi="Calibri" w:cs="Calibri"/>
          <w:sz w:val="22"/>
          <w:szCs w:val="22"/>
          <w:lang w:val="lt"/>
        </w:rPr>
        <w:t xml:space="preserve">Išplėstinė teisėjų kolegija šioms pirmosios instancijos teismo išvadoms pritarė. Sistemiškai įvertinusi fizinių asmenų įregistravimą į Registrą reglamentuojančias teisės normas, išplėstinė teisėjų kolegija konstatavo, kad </w:t>
      </w:r>
      <w:r w:rsidRPr="068B709E">
        <w:rPr>
          <w:rFonts w:ascii="Calibri" w:eastAsia="Calibri" w:hAnsi="Calibri" w:cs="Calibri"/>
          <w:sz w:val="22"/>
          <w:szCs w:val="22"/>
          <w:u w:val="single"/>
          <w:lang w:val="lt"/>
        </w:rPr>
        <w:t>mokesčių administratoriui, gavus Fizinio asmens prašymą įregistruoti į Mokesčių mokėtojų registrą (REG812 forma), kyla pareiga patikrinti, ar prašyme nurodyta ketinama vykdyti veikla nepatenka tarp tų veiklos rūšių, kurias pagal Lietuvos Respublikos teisės aktus gali vykdyti tik juridiniai asmenys</w:t>
      </w:r>
      <w:r w:rsidRPr="068B709E">
        <w:rPr>
          <w:rFonts w:ascii="Calibri" w:eastAsia="Calibri" w:hAnsi="Calibri" w:cs="Calibri"/>
          <w:sz w:val="22"/>
          <w:szCs w:val="22"/>
          <w:lang w:val="lt"/>
        </w:rPr>
        <w:t xml:space="preserve">, kadangi nustačius, jog fizinio asmens ketinamą vykdyti veiklą pagal galiojantį teisinį reguliavimą gali vykdyti tik juridiniai asmenys, nuostatos, reglamentuojančios būtent fizinių asmenų įregistravimą į Registrą, negali būti taikomos. Taip pat pabrėžta, kad </w:t>
      </w:r>
      <w:r w:rsidRPr="068B709E">
        <w:rPr>
          <w:rFonts w:ascii="Calibri" w:eastAsia="Calibri" w:hAnsi="Calibri" w:cs="Calibri"/>
          <w:sz w:val="22"/>
          <w:szCs w:val="22"/>
          <w:u w:val="single"/>
          <w:lang w:val="lt"/>
        </w:rPr>
        <w:t>tokį vertinimą mokesčių administratorius atlieka išimtinai fizinių asmenų registravimo į Mokesčių mokėtojų registrą tikslais</w:t>
      </w:r>
      <w:r w:rsidRPr="068B709E">
        <w:rPr>
          <w:rFonts w:ascii="Calibri" w:eastAsia="Calibri" w:hAnsi="Calibri" w:cs="Calibri"/>
          <w:sz w:val="22"/>
          <w:szCs w:val="22"/>
          <w:lang w:val="lt"/>
        </w:rPr>
        <w:t>.</w:t>
      </w:r>
    </w:p>
    <w:p w14:paraId="6335FD00" w14:textId="51C32731" w:rsidR="440E4573" w:rsidRDefault="440E4573" w:rsidP="068B709E">
      <w:pPr>
        <w:ind w:firstLine="567"/>
        <w:jc w:val="both"/>
      </w:pPr>
      <w:r w:rsidRPr="068B709E">
        <w:rPr>
          <w:rFonts w:ascii="Calibri" w:eastAsia="Calibri" w:hAnsi="Calibri" w:cs="Calibri"/>
          <w:sz w:val="22"/>
          <w:szCs w:val="22"/>
          <w:lang w:val="lt"/>
        </w:rPr>
        <w:t xml:space="preserve">Vertindama pareiškėjos ketinamą vykdyti veiklą reglamentuojančių teisės aktų nuostatas, išplėstinė teisėjų kolegija priėjo prie išvados, kad </w:t>
      </w:r>
      <w:r w:rsidRPr="068B709E">
        <w:rPr>
          <w:rFonts w:ascii="Calibri" w:eastAsia="Calibri" w:hAnsi="Calibri" w:cs="Calibri"/>
          <w:sz w:val="22"/>
          <w:szCs w:val="22"/>
          <w:u w:val="single"/>
          <w:lang w:val="lt"/>
        </w:rPr>
        <w:t>fizinis asmuo neturi teisės savarankiškai (individualiai) vykdyti odontologinės praktikos, kaip asmens sveikatos priežiūros, veiklą</w:t>
      </w:r>
      <w:r w:rsidRPr="068B709E">
        <w:rPr>
          <w:rFonts w:ascii="Calibri" w:eastAsia="Calibri" w:hAnsi="Calibri" w:cs="Calibri"/>
          <w:sz w:val="22"/>
          <w:szCs w:val="22"/>
          <w:lang w:val="lt"/>
        </w:rPr>
        <w:t>. Nors pareiškėja akcentavo galimybę fiziniams asmenims vykdant individualią veiklą sudaryti odontologijos praktikos paslaugų teikimo sutartis ne tiesiogiai su pacientais, bet su sveikatos priežiūros įstaigomis, kurios pacientų atžvilgiu būtų laikomos odontologijos praktikos paslaugų teikėjomis, išplėstinė teisėjų kolegija pažymėjo, kad tai neturi jokios reikšmės sprendžiant byloje kilusį ginčą, kadangi įstatymų leidėjas nenustatė išimčių iš ginčui aktualaus teisinio reguliavimo, pagal kurį savarankiškai teikti odontologinės praktikos paslaugas gali tik juridiniai asmenys, t. y. įstatymų leidėjas šio ribojimo nediferencijuoja atsižvelgiant į tai, ar minėtos paslaugos teikiamos tiesiogiai pacientui, ar tik kitai sveikatos priežiūros įstaigai.</w:t>
      </w:r>
    </w:p>
    <w:p w14:paraId="2872A71B" w14:textId="07420819" w:rsidR="440E4573" w:rsidRDefault="440E4573" w:rsidP="068B709E">
      <w:pPr>
        <w:ind w:firstLine="567"/>
        <w:jc w:val="both"/>
      </w:pPr>
      <w:r w:rsidRPr="068B709E">
        <w:rPr>
          <w:rFonts w:ascii="Calibri" w:eastAsia="Calibri" w:hAnsi="Calibri" w:cs="Calibri"/>
          <w:sz w:val="22"/>
          <w:szCs w:val="22"/>
          <w:lang w:val="lt"/>
        </w:rPr>
        <w:t>Atsižvelgusi į tai, kad odontologinės praktikos veiklos ribojimai nustatyti įstatymo galią turinčiuose teisės aktuose, šiais ribojimais siekiama apsaugoti žmonių ir visuomenės sveikatą, kuri yra konstituciškai svarbus tikslas, viena svarbiausių visuomenės vertybių, be to, pareiškėjai sudarytos įvairios alternatyvos Lietuvoje nuolat teikti pageidaujamas paslaugas (ne tik darbo sutarties pagrindu, bet ir, pavyzdžiui, kaip individualios įmonės savininkei, mažosios bendrijos narei ir pan.), išplėstinė teisėjų kolegija nurodė, jog nėra pagrindo spręsti, kad minėtu ribojimu būtų nepagrįstai ir (ar) neproporcingai varžoma pareiškėjos ūkinės veiklos laisvė. Kartu akcentavo, kad aptartas ribojimas vienodai taikomas visiems nuolat teikti odontologinės priežiūros paslaugas Lietuvoje ketinantiems subjektams, todėl šiuo aspektu nėra jokio pagrindo spręsti ir dėl galimo pareiškėjos diskriminavimo.</w:t>
      </w:r>
    </w:p>
    <w:p w14:paraId="75D99321" w14:textId="26A5C900" w:rsidR="440E4573" w:rsidRDefault="440E4573" w:rsidP="068B709E">
      <w:pPr>
        <w:ind w:firstLine="567"/>
        <w:jc w:val="both"/>
      </w:pPr>
      <w:r w:rsidRPr="068B709E">
        <w:rPr>
          <w:rFonts w:ascii="Calibri" w:eastAsia="Calibri" w:hAnsi="Calibri" w:cs="Calibri"/>
          <w:sz w:val="22"/>
          <w:szCs w:val="22"/>
          <w:lang w:val="lt"/>
        </w:rPr>
        <w:t>Remiantis nurodytomis aplinkybėmis, pirmosios instancijos teismo sprendimas paliktas nepakeistas.</w:t>
      </w:r>
    </w:p>
    <w:p w14:paraId="1523E541" w14:textId="1FA0D16C" w:rsidR="440E4573" w:rsidRDefault="440E4573" w:rsidP="068B709E">
      <w:pPr>
        <w:ind w:firstLine="567"/>
        <w:jc w:val="both"/>
      </w:pPr>
      <w:r w:rsidRPr="068B709E">
        <w:rPr>
          <w:rFonts w:ascii="Calibri" w:eastAsia="Calibri" w:hAnsi="Calibri" w:cs="Calibri"/>
          <w:sz w:val="22"/>
          <w:szCs w:val="22"/>
          <w:lang w:val="lt"/>
        </w:rPr>
        <w:t xml:space="preserve"> </w:t>
      </w:r>
    </w:p>
    <w:p w14:paraId="6DC1196C" w14:textId="767DD82B" w:rsidR="440E4573" w:rsidRDefault="440E4573" w:rsidP="068B709E">
      <w:pPr>
        <w:jc w:val="both"/>
      </w:pPr>
      <w:r w:rsidRPr="068B709E">
        <w:rPr>
          <w:rFonts w:ascii="Calibri" w:eastAsia="Calibri" w:hAnsi="Calibri" w:cs="Calibri"/>
          <w:sz w:val="22"/>
          <w:szCs w:val="22"/>
          <w:lang w:val="lt"/>
        </w:rPr>
        <w:t>Išplėstinės teisėjų kolegijos 2020 m. lapkričio 25 d. nutartis administracinėje byloje Nr. A-26-438/2020</w:t>
      </w:r>
    </w:p>
    <w:p w14:paraId="080B8EAB" w14:textId="16C30FDF" w:rsidR="440E4573" w:rsidRDefault="440E4573" w:rsidP="068B709E">
      <w:pPr>
        <w:jc w:val="both"/>
      </w:pPr>
      <w:r w:rsidRPr="068B709E">
        <w:rPr>
          <w:rFonts w:ascii="Calibri" w:eastAsia="Calibri" w:hAnsi="Calibri" w:cs="Calibri"/>
          <w:sz w:val="22"/>
          <w:szCs w:val="22"/>
          <w:lang w:val="lt"/>
        </w:rPr>
        <w:t>Teisminio proceso Nr. 3-61-3-04358-2017-3</w:t>
      </w:r>
    </w:p>
    <w:p w14:paraId="48435B7E" w14:textId="2048A81B" w:rsidR="440E4573" w:rsidRDefault="440E4573" w:rsidP="068B709E">
      <w:pPr>
        <w:jc w:val="both"/>
      </w:pPr>
      <w:r w:rsidRPr="068B709E">
        <w:rPr>
          <w:rFonts w:ascii="Calibri" w:eastAsia="Calibri" w:hAnsi="Calibri" w:cs="Calibri"/>
          <w:sz w:val="22"/>
          <w:szCs w:val="22"/>
          <w:lang w:val="lt"/>
        </w:rPr>
        <w:t>Procesinio sprendimo kategorijos: 12.13.4; 12.19</w:t>
      </w:r>
    </w:p>
    <w:p w14:paraId="126635C5" w14:textId="276F9240" w:rsidR="440E4573" w:rsidRDefault="00822FF8" w:rsidP="068B709E">
      <w:pPr>
        <w:jc w:val="both"/>
      </w:pPr>
      <w:hyperlink r:id="rId17">
        <w:r w:rsidR="440E4573" w:rsidRPr="068B709E">
          <w:rPr>
            <w:rStyle w:val="Hipersaitas"/>
            <w:rFonts w:ascii="Calibri" w:eastAsia="Calibri" w:hAnsi="Calibri" w:cs="Calibri"/>
            <w:sz w:val="22"/>
            <w:szCs w:val="22"/>
            <w:lang w:val="lt"/>
          </w:rPr>
          <w:t>Prieiga internete</w:t>
        </w:r>
      </w:hyperlink>
    </w:p>
    <w:p w14:paraId="4D12EAE4" w14:textId="61345F6A" w:rsidR="068B709E" w:rsidRDefault="068B709E" w:rsidP="068B709E">
      <w:pPr>
        <w:ind w:firstLine="567"/>
        <w:jc w:val="both"/>
        <w:rPr>
          <w:rFonts w:ascii="Calibri" w:eastAsia="Calibri" w:hAnsi="Calibri" w:cs="Calibri"/>
          <w:sz w:val="22"/>
          <w:szCs w:val="22"/>
        </w:rPr>
      </w:pPr>
    </w:p>
    <w:p w14:paraId="6C04D329" w14:textId="77777777" w:rsidR="005716C2" w:rsidRPr="005716C2" w:rsidRDefault="005716C2" w:rsidP="005716C2">
      <w:pPr>
        <w:keepNext/>
        <w:keepLines/>
        <w:jc w:val="both"/>
        <w:outlineLvl w:val="0"/>
        <w:rPr>
          <w:rFonts w:asciiTheme="minorHAnsi" w:hAnsiTheme="minorHAnsi" w:cstheme="minorHAnsi"/>
          <w:b/>
          <w:sz w:val="22"/>
          <w:szCs w:val="22"/>
          <w:u w:val="single"/>
        </w:rPr>
      </w:pPr>
      <w:bookmarkStart w:id="31" w:name="_Toc462149978"/>
      <w:bookmarkStart w:id="32" w:name="_Toc61261232"/>
      <w:r w:rsidRPr="005716C2">
        <w:rPr>
          <w:rFonts w:asciiTheme="minorHAnsi" w:hAnsiTheme="minorHAnsi" w:cstheme="minorHAnsi"/>
          <w:b/>
          <w:sz w:val="22"/>
          <w:szCs w:val="22"/>
          <w:u w:val="single"/>
        </w:rPr>
        <w:lastRenderedPageBreak/>
        <w:t>14. Aplinkos apsauga</w:t>
      </w:r>
      <w:bookmarkEnd w:id="31"/>
      <w:bookmarkEnd w:id="32"/>
    </w:p>
    <w:p w14:paraId="1025C788" w14:textId="77777777" w:rsidR="005716C2" w:rsidRPr="005716C2" w:rsidRDefault="005716C2" w:rsidP="005716C2">
      <w:pPr>
        <w:ind w:firstLine="567"/>
        <w:rPr>
          <w:rFonts w:asciiTheme="minorHAnsi" w:hAnsiTheme="minorHAnsi" w:cstheme="minorHAnsi"/>
          <w:b/>
          <w:sz w:val="22"/>
          <w:szCs w:val="22"/>
          <w:u w:val="single"/>
        </w:rPr>
      </w:pPr>
      <w:r w:rsidRPr="005716C2">
        <w:rPr>
          <w:rFonts w:asciiTheme="minorHAnsi" w:hAnsiTheme="minorHAnsi" w:cstheme="minorHAnsi"/>
          <w:b/>
          <w:sz w:val="22"/>
          <w:szCs w:val="22"/>
          <w:u w:val="single"/>
        </w:rPr>
        <w:t xml:space="preserve">14.2. Poveikio ir pasekmių aplinkai vertinimas </w:t>
      </w:r>
    </w:p>
    <w:p w14:paraId="146454CC" w14:textId="77777777" w:rsidR="005716C2" w:rsidRPr="005716C2" w:rsidRDefault="005716C2" w:rsidP="005716C2">
      <w:pPr>
        <w:ind w:left="851" w:firstLine="283"/>
        <w:rPr>
          <w:rFonts w:asciiTheme="minorHAnsi" w:hAnsiTheme="minorHAnsi" w:cstheme="minorHAnsi"/>
          <w:b/>
          <w:sz w:val="22"/>
          <w:szCs w:val="22"/>
          <w:u w:val="single"/>
        </w:rPr>
      </w:pPr>
      <w:r w:rsidRPr="005716C2">
        <w:rPr>
          <w:rFonts w:asciiTheme="minorHAnsi" w:hAnsiTheme="minorHAnsi" w:cstheme="minorHAnsi"/>
          <w:b/>
          <w:sz w:val="22"/>
          <w:szCs w:val="22"/>
          <w:u w:val="single"/>
        </w:rPr>
        <w:t>14.2.1. Planuojamos ūkinės veiklos poveikio aplinkai vertinimas</w:t>
      </w:r>
    </w:p>
    <w:p w14:paraId="6815C5E9" w14:textId="77777777" w:rsidR="005716C2" w:rsidRPr="005716C2" w:rsidRDefault="005716C2" w:rsidP="005716C2">
      <w:pPr>
        <w:jc w:val="both"/>
        <w:rPr>
          <w:rFonts w:asciiTheme="minorHAnsi" w:eastAsiaTheme="minorHAnsi" w:hAnsiTheme="minorHAnsi" w:cstheme="minorBidi"/>
          <w:color w:val="0000FF"/>
          <w:sz w:val="22"/>
          <w:szCs w:val="22"/>
          <w:u w:val="single"/>
        </w:rPr>
      </w:pPr>
    </w:p>
    <w:p w14:paraId="26567781" w14:textId="77777777" w:rsidR="005716C2" w:rsidRPr="005716C2" w:rsidRDefault="005716C2" w:rsidP="005716C2">
      <w:pPr>
        <w:jc w:val="both"/>
        <w:outlineLvl w:val="1"/>
        <w:rPr>
          <w:rFonts w:asciiTheme="minorHAnsi" w:hAnsiTheme="minorHAnsi" w:cstheme="minorHAnsi"/>
          <w:i/>
          <w:sz w:val="22"/>
          <w:szCs w:val="22"/>
        </w:rPr>
      </w:pPr>
      <w:bookmarkStart w:id="33" w:name="_Toc61261233"/>
      <w:r w:rsidRPr="005716C2">
        <w:rPr>
          <w:rFonts w:asciiTheme="minorHAnsi" w:eastAsia="Calibri" w:hAnsiTheme="minorHAnsi" w:cstheme="minorHAnsi"/>
          <w:i/>
          <w:sz w:val="22"/>
          <w:szCs w:val="22"/>
        </w:rPr>
        <w:t>Dėl didžiausios leidžiamos kvapo koncentracijos ribinės vertės gyvenamosios aplinkos ore nustatymo ir</w:t>
      </w:r>
      <w:r w:rsidRPr="005716C2">
        <w:rPr>
          <w:rFonts w:asciiTheme="minorHAnsi" w:hAnsiTheme="minorHAnsi" w:cstheme="minorHAnsi"/>
          <w:i/>
          <w:sz w:val="22"/>
          <w:szCs w:val="22"/>
        </w:rPr>
        <w:t xml:space="preserve"> viešumo principo ūkio subjektų veiklos priežiūros procedūroje</w:t>
      </w:r>
      <w:bookmarkEnd w:id="33"/>
      <w:r w:rsidRPr="005716C2">
        <w:rPr>
          <w:rFonts w:asciiTheme="minorHAnsi" w:hAnsiTheme="minorHAnsi" w:cstheme="minorHAnsi"/>
          <w:i/>
          <w:sz w:val="22"/>
          <w:szCs w:val="22"/>
        </w:rPr>
        <w:t xml:space="preserve"> </w:t>
      </w:r>
    </w:p>
    <w:p w14:paraId="5E334D01" w14:textId="77777777" w:rsidR="005716C2" w:rsidRPr="005716C2" w:rsidRDefault="005716C2" w:rsidP="005716C2">
      <w:pPr>
        <w:jc w:val="both"/>
        <w:rPr>
          <w:rFonts w:asciiTheme="minorHAnsi" w:hAnsiTheme="minorHAnsi" w:cstheme="minorHAnsi"/>
          <w:sz w:val="22"/>
          <w:szCs w:val="22"/>
        </w:rPr>
      </w:pPr>
    </w:p>
    <w:p w14:paraId="711E0197" w14:textId="0915D5F3" w:rsidR="005716C2" w:rsidRPr="005716C2" w:rsidRDefault="005716C2" w:rsidP="55FEB3D6">
      <w:pPr>
        <w:ind w:firstLine="567"/>
        <w:jc w:val="both"/>
        <w:rPr>
          <w:rFonts w:asciiTheme="minorHAnsi" w:eastAsiaTheme="minorEastAsia" w:hAnsiTheme="minorHAnsi" w:cstheme="minorBidi"/>
          <w:sz w:val="22"/>
          <w:szCs w:val="22"/>
        </w:rPr>
      </w:pPr>
      <w:r w:rsidRPr="55FEB3D6">
        <w:rPr>
          <w:rFonts w:asciiTheme="minorHAnsi" w:eastAsiaTheme="minorEastAsia" w:hAnsiTheme="minorHAnsi" w:cstheme="minorBidi"/>
          <w:sz w:val="22"/>
          <w:szCs w:val="22"/>
        </w:rPr>
        <w:t xml:space="preserve">Apžvelgiamoje byloje ginčas kilo dėl Nacionalinio visuomenės sveikatos centro prie Sveikatos apsaugos ministerijos (toliau – NVSC) Kauno departamento Jonavos skyriaus patikrinimo akto teisėtumo ir pagrįstumo bei pareiškėjo </w:t>
      </w:r>
      <w:r w:rsidR="44664D28" w:rsidRPr="55FEB3D6">
        <w:rPr>
          <w:rFonts w:asciiTheme="minorHAnsi" w:eastAsiaTheme="minorEastAsia" w:hAnsiTheme="minorHAnsi" w:cstheme="minorBidi"/>
          <w:sz w:val="22"/>
          <w:szCs w:val="22"/>
        </w:rPr>
        <w:t xml:space="preserve">UAB </w:t>
      </w:r>
      <w:r w:rsidR="44664D28" w:rsidRPr="55FEB3D6">
        <w:rPr>
          <w:rFonts w:ascii="Calibri" w:eastAsia="Calibri" w:hAnsi="Calibri" w:cs="Calibri"/>
          <w:sz w:val="22"/>
          <w:szCs w:val="22"/>
        </w:rPr>
        <w:t>„</w:t>
      </w:r>
      <w:r w:rsidR="44664D28" w:rsidRPr="55FEB3D6">
        <w:rPr>
          <w:rFonts w:asciiTheme="minorHAnsi" w:eastAsiaTheme="minorEastAsia" w:hAnsiTheme="minorHAnsi" w:cstheme="minorBidi"/>
          <w:sz w:val="22"/>
          <w:szCs w:val="22"/>
        </w:rPr>
        <w:t xml:space="preserve">Beržų kompleksas“ </w:t>
      </w:r>
      <w:r w:rsidRPr="55FEB3D6">
        <w:rPr>
          <w:rFonts w:asciiTheme="minorHAnsi" w:eastAsiaTheme="minorEastAsia" w:hAnsiTheme="minorHAnsi" w:cstheme="minorBidi"/>
          <w:sz w:val="22"/>
          <w:szCs w:val="22"/>
        </w:rPr>
        <w:t xml:space="preserve">prašymo įpareigoti NVSC iš naujo įvertinti UAB </w:t>
      </w:r>
      <w:r w:rsidR="3F17738A" w:rsidRPr="55FEB3D6">
        <w:rPr>
          <w:rFonts w:ascii="Calibri" w:eastAsia="Calibri" w:hAnsi="Calibri" w:cs="Calibri"/>
          <w:sz w:val="22"/>
          <w:szCs w:val="22"/>
        </w:rPr>
        <w:t>„</w:t>
      </w:r>
      <w:r w:rsidRPr="55FEB3D6">
        <w:rPr>
          <w:rFonts w:asciiTheme="minorHAnsi" w:eastAsiaTheme="minorEastAsia" w:hAnsiTheme="minorHAnsi" w:cstheme="minorBidi"/>
          <w:sz w:val="22"/>
          <w:szCs w:val="22"/>
        </w:rPr>
        <w:t>Beržų kompleksas“ pranešimą dėl kvapo koncentracijos patikrinimo tam tikroje teritorijoje pagrįstumo.</w:t>
      </w:r>
    </w:p>
    <w:p w14:paraId="27300314" w14:textId="77777777" w:rsidR="005716C2" w:rsidRPr="005716C2" w:rsidRDefault="005716C2" w:rsidP="005716C2">
      <w:pPr>
        <w:ind w:firstLine="567"/>
        <w:jc w:val="both"/>
        <w:rPr>
          <w:rFonts w:asciiTheme="minorHAnsi" w:eastAsiaTheme="minorHAnsi" w:hAnsiTheme="minorHAnsi" w:cstheme="minorHAnsi"/>
          <w:sz w:val="22"/>
          <w:szCs w:val="22"/>
        </w:rPr>
      </w:pPr>
      <w:r w:rsidRPr="005716C2">
        <w:rPr>
          <w:rFonts w:asciiTheme="minorHAnsi" w:eastAsiaTheme="minorHAnsi" w:hAnsiTheme="minorHAnsi" w:cstheme="minorHAnsi"/>
          <w:sz w:val="22"/>
          <w:szCs w:val="22"/>
        </w:rPr>
        <w:t>Ginčijamame patikrinimo akte, nustačius, jog gyvenamosios aplinkos ore kvapo koncentracija viršija 8 europinius kvapo vienetus (8 OUE/m</w:t>
      </w:r>
      <w:r w:rsidRPr="00D55305">
        <w:rPr>
          <w:rFonts w:asciiTheme="minorHAnsi" w:eastAsiaTheme="minorHAnsi" w:hAnsiTheme="minorHAnsi" w:cstheme="minorHAnsi"/>
          <w:sz w:val="22"/>
          <w:szCs w:val="22"/>
          <w:vertAlign w:val="superscript"/>
        </w:rPr>
        <w:t>3</w:t>
      </w:r>
      <w:r w:rsidRPr="005716C2">
        <w:rPr>
          <w:rFonts w:asciiTheme="minorHAnsi" w:eastAsiaTheme="minorHAnsi" w:hAnsiTheme="minorHAnsi" w:cstheme="minorHAnsi"/>
          <w:sz w:val="22"/>
          <w:szCs w:val="22"/>
        </w:rPr>
        <w:t xml:space="preserve">), buvo konstatuota, kad UAB „Beržų kompleksas“ priklausanti kiaulių ferma veiklą vykdo pažeisdama atitinkamos higienos normos 5 punkto reikalavimus. Operatyvioji visuomenės sveikatos saugos kontrolė pareiškėjo kiaulių fermoje buvo atlikta siekiant įvertinti fizinio asmens skunde minimus faktus dėl jaučiamo kvapo gyvenamojoje aplinkoje, kuriame buvo nurodyta, jog visame Žeimių miestelyje juntama minėtos fermos skleidžiama smarvė, bei prašoma atlikti kvapų kontrolę ir ištirti, ar neviršijama leistina kvapo koncentracijos ribinė vertė gyvenamosios aplinkos ore. </w:t>
      </w:r>
    </w:p>
    <w:p w14:paraId="77F2EE9A" w14:textId="77777777" w:rsidR="005716C2" w:rsidRPr="005716C2" w:rsidRDefault="005716C2" w:rsidP="005716C2">
      <w:pPr>
        <w:ind w:firstLine="567"/>
        <w:jc w:val="both"/>
        <w:rPr>
          <w:rFonts w:asciiTheme="minorHAnsi" w:eastAsiaTheme="minorHAnsi" w:hAnsiTheme="minorHAnsi" w:cstheme="minorHAnsi"/>
          <w:sz w:val="22"/>
          <w:szCs w:val="22"/>
        </w:rPr>
      </w:pPr>
      <w:r w:rsidRPr="005716C2">
        <w:rPr>
          <w:rFonts w:asciiTheme="minorHAnsi" w:eastAsiaTheme="minorHAnsi" w:hAnsiTheme="minorHAnsi" w:cstheme="minorHAnsi"/>
          <w:sz w:val="22"/>
          <w:szCs w:val="22"/>
        </w:rPr>
        <w:t xml:space="preserve">Įvertinusi teisinio reguliavimo (sveikatos apsaugos ministro 2010 m. spalio 4 d. įsakymu Nr. V-885 patvirtintų Kvapų kontrolės gyvenamosios aplinkos ore taisyklių (toliau – Taisyklės) nuostatas, teisėjų kolegija nustatė, jog </w:t>
      </w:r>
      <w:r w:rsidRPr="005716C2">
        <w:rPr>
          <w:rFonts w:asciiTheme="minorHAnsi" w:eastAsiaTheme="minorHAnsi" w:hAnsiTheme="minorHAnsi" w:cstheme="minorHAnsi"/>
          <w:sz w:val="22"/>
          <w:szCs w:val="22"/>
          <w:u w:val="single"/>
        </w:rPr>
        <w:t>atliekant kvapų kontrolę, be kita ko, imami mėginiai taršos šaltinyje (intensyviausios taršos kvapais vietoje). Todėl pareiškėjas apeliaciniame skunde nepagrįstai teigė, kad šiuo atveju mėginiai turėjo būti imami vien tik iš gyvenamosios teritorijos.</w:t>
      </w:r>
      <w:r w:rsidRPr="005716C2">
        <w:rPr>
          <w:rFonts w:asciiTheme="minorHAnsi" w:eastAsiaTheme="minorHAnsi" w:hAnsiTheme="minorHAnsi" w:cstheme="minorHAnsi"/>
          <w:sz w:val="22"/>
          <w:szCs w:val="22"/>
        </w:rPr>
        <w:t xml:space="preserve"> Padaryta išvada, kad kvapo koncentracijos gyvenamosios aplinkos ore buvo išmatuotos ir apskaičiuotos laikantis Taisyklėse nustatytos procedūros.</w:t>
      </w:r>
    </w:p>
    <w:p w14:paraId="3DB89011" w14:textId="77777777" w:rsidR="005716C2" w:rsidRPr="005716C2" w:rsidRDefault="005716C2" w:rsidP="005716C2">
      <w:pPr>
        <w:ind w:firstLine="567"/>
        <w:jc w:val="both"/>
        <w:rPr>
          <w:rFonts w:asciiTheme="minorHAnsi" w:eastAsiaTheme="minorHAnsi" w:hAnsiTheme="minorHAnsi" w:cstheme="minorHAnsi"/>
          <w:sz w:val="22"/>
          <w:szCs w:val="22"/>
          <w:u w:val="single"/>
        </w:rPr>
      </w:pPr>
      <w:r w:rsidRPr="005716C2">
        <w:rPr>
          <w:rFonts w:asciiTheme="minorHAnsi" w:eastAsiaTheme="minorHAnsi" w:hAnsiTheme="minorHAnsi" w:cstheme="minorHAnsi"/>
          <w:sz w:val="22"/>
          <w:szCs w:val="22"/>
        </w:rPr>
        <w:t>Pagal Taisyklių nuostatas (3 priedas, 10 p.) atlikus kvapų kontrolę iš esmės yra sprendžiama, ar ūkinėje komercinėje veikloje naudojamų stacionarių taršos šaltinių skleidžiami kvapai apskritai viršija nustatytą normą gyvenamosios aplinkos ore. Nagrinėtu atveju buvo nustatyta, kad gyvenamosios aplinkos ore kvapo koncentracija viršijo 8 europinius kvapo vienetus (8 OUE/m</w:t>
      </w:r>
      <w:r w:rsidRPr="00D55305">
        <w:rPr>
          <w:rFonts w:asciiTheme="minorHAnsi" w:eastAsiaTheme="minorHAnsi" w:hAnsiTheme="minorHAnsi" w:cstheme="minorHAnsi"/>
          <w:sz w:val="22"/>
          <w:szCs w:val="22"/>
          <w:vertAlign w:val="superscript"/>
        </w:rPr>
        <w:t>3</w:t>
      </w:r>
      <w:r w:rsidRPr="005716C2">
        <w:rPr>
          <w:rFonts w:asciiTheme="minorHAnsi" w:eastAsiaTheme="minorHAnsi" w:hAnsiTheme="minorHAnsi" w:cstheme="minorHAnsi"/>
          <w:sz w:val="22"/>
          <w:szCs w:val="22"/>
        </w:rPr>
        <w:t>). Teisėjų kolegija pažymėjo</w:t>
      </w:r>
      <w:r w:rsidRPr="005716C2">
        <w:rPr>
          <w:rFonts w:asciiTheme="minorHAnsi" w:eastAsiaTheme="minorHAnsi" w:hAnsiTheme="minorHAnsi" w:cstheme="minorHAnsi"/>
          <w:sz w:val="22"/>
          <w:szCs w:val="22"/>
          <w:lang w:val="en-GB"/>
        </w:rPr>
        <w:t xml:space="preserve">, jog </w:t>
      </w:r>
      <w:r w:rsidRPr="005716C2">
        <w:rPr>
          <w:rFonts w:asciiTheme="minorHAnsi" w:eastAsiaTheme="minorHAnsi" w:hAnsiTheme="minorHAnsi" w:cstheme="minorHAnsi"/>
          <w:sz w:val="22"/>
          <w:szCs w:val="22"/>
          <w:u w:val="single"/>
        </w:rPr>
        <w:t xml:space="preserve">vien tai, kad dėl UAB „Beržų kompleksas“ kiaulių fermos vykdomos veiklos leidžiamos kvapo koncentracijos normos perviršis buvo nustatytas ne skundą padavusio asmens, o kitų asmenų gyvenamojoje aplinkoje, nepaneigia nustatyto higienos normos 5 punkto, įtvirtinančio, kad </w:t>
      </w:r>
      <w:bookmarkStart w:id="34" w:name="_Hlk59009227"/>
      <w:r w:rsidRPr="005716C2">
        <w:rPr>
          <w:rFonts w:asciiTheme="minorHAnsi" w:eastAsiaTheme="minorHAnsi" w:hAnsiTheme="minorHAnsi" w:cstheme="minorHAnsi"/>
          <w:sz w:val="22"/>
          <w:szCs w:val="22"/>
          <w:u w:val="single"/>
        </w:rPr>
        <w:t xml:space="preserve">didžiausia leidžiama kvapo koncentracijos ribinė vertė gyvenamosios aplinkos ore </w:t>
      </w:r>
      <w:bookmarkEnd w:id="34"/>
      <w:r w:rsidRPr="005716C2">
        <w:rPr>
          <w:rFonts w:asciiTheme="minorHAnsi" w:eastAsiaTheme="minorHAnsi" w:hAnsiTheme="minorHAnsi" w:cstheme="minorHAnsi"/>
          <w:sz w:val="22"/>
          <w:szCs w:val="22"/>
          <w:u w:val="single"/>
        </w:rPr>
        <w:t>yra 8 europiniai kvapo vienetai (8 OUE/m</w:t>
      </w:r>
      <w:r w:rsidRPr="00D55305">
        <w:rPr>
          <w:rFonts w:asciiTheme="minorHAnsi" w:eastAsiaTheme="minorHAnsi" w:hAnsiTheme="minorHAnsi" w:cstheme="minorHAnsi"/>
          <w:sz w:val="22"/>
          <w:szCs w:val="22"/>
          <w:u w:val="single"/>
          <w:vertAlign w:val="superscript"/>
        </w:rPr>
        <w:t>3</w:t>
      </w:r>
      <w:r w:rsidRPr="005716C2">
        <w:rPr>
          <w:rFonts w:asciiTheme="minorHAnsi" w:eastAsiaTheme="minorHAnsi" w:hAnsiTheme="minorHAnsi" w:cstheme="minorHAnsi"/>
          <w:sz w:val="22"/>
          <w:szCs w:val="22"/>
          <w:u w:val="single"/>
        </w:rPr>
        <w:t>), pažeidimo.</w:t>
      </w:r>
    </w:p>
    <w:p w14:paraId="6C7BBB68" w14:textId="77777777" w:rsidR="005716C2" w:rsidRPr="005716C2" w:rsidRDefault="005716C2" w:rsidP="005716C2">
      <w:pPr>
        <w:ind w:firstLine="567"/>
        <w:jc w:val="both"/>
        <w:rPr>
          <w:rFonts w:asciiTheme="minorHAnsi" w:eastAsiaTheme="minorHAnsi" w:hAnsiTheme="minorHAnsi" w:cstheme="minorHAnsi"/>
          <w:sz w:val="22"/>
          <w:szCs w:val="22"/>
          <w:u w:val="single"/>
        </w:rPr>
      </w:pPr>
      <w:r w:rsidRPr="005716C2">
        <w:rPr>
          <w:rFonts w:asciiTheme="minorHAnsi" w:eastAsiaTheme="minorHAnsi" w:hAnsiTheme="minorHAnsi" w:cstheme="minorHAnsi"/>
          <w:sz w:val="22"/>
          <w:szCs w:val="22"/>
        </w:rPr>
        <w:t>Dėl pareiškėjo apeliacinio skundo teiginių, susijusių su viešumo principo pažeidimu, pažymėta, kad Viešojo administravimo įstatymo (įstatymo redakcija, galiojusi nuo 2017 m. lapkričio 1 d. iki 2018 m. balandžio 2 d.) 36</w:t>
      </w:r>
      <w:r w:rsidRPr="005716C2">
        <w:rPr>
          <w:rFonts w:asciiTheme="minorHAnsi" w:eastAsiaTheme="minorHAnsi" w:hAnsiTheme="minorHAnsi" w:cstheme="minorHAnsi"/>
          <w:sz w:val="22"/>
          <w:szCs w:val="22"/>
          <w:vertAlign w:val="superscript"/>
        </w:rPr>
        <w:t>2</w:t>
      </w:r>
      <w:r w:rsidRPr="005716C2">
        <w:rPr>
          <w:rFonts w:asciiTheme="minorHAnsi" w:eastAsiaTheme="minorHAnsi" w:hAnsiTheme="minorHAnsi" w:cstheme="minorHAnsi"/>
          <w:sz w:val="22"/>
          <w:szCs w:val="22"/>
        </w:rPr>
        <w:t> straipsnio 1 dalies 4 punkte, kuriuo vadovavosi pareiškėjas, nustatyta, jog ūkio subjektų veiklos priežiūra atliekama vadovaujantis, be kita ko, viešumo principu. Šis principas reiškia, kad informacija apie ūkio subjektų veiklos priežiūros atlikimo principus, procedūras ir rezultatus, atskleidžiamus apibendrinta forma, yra vieša. Šis principas netaikomas, jeigu informacijos atskleidimas trukdo siekti šio įstatymo 36</w:t>
      </w:r>
      <w:r w:rsidRPr="005716C2">
        <w:rPr>
          <w:rFonts w:asciiTheme="minorHAnsi" w:eastAsiaTheme="minorHAnsi" w:hAnsiTheme="minorHAnsi" w:cstheme="minorHAnsi"/>
          <w:sz w:val="22"/>
          <w:szCs w:val="22"/>
          <w:vertAlign w:val="superscript"/>
        </w:rPr>
        <w:t>1</w:t>
      </w:r>
      <w:r w:rsidRPr="005716C2">
        <w:rPr>
          <w:rFonts w:asciiTheme="minorHAnsi" w:eastAsiaTheme="minorHAnsi" w:hAnsiTheme="minorHAnsi" w:cstheme="minorHAnsi"/>
          <w:sz w:val="22"/>
          <w:szCs w:val="22"/>
        </w:rPr>
        <w:t xml:space="preserve"> straipsnio 1 dalyje nurodytų ūkio subjektų veiklos priežiūros tikslų arba gali būti pažeisti kituose teisės aktuose nustatyti konfidencialumo reikalavimai. </w:t>
      </w:r>
    </w:p>
    <w:p w14:paraId="61D17FD0" w14:textId="77777777" w:rsidR="005716C2" w:rsidRPr="005716C2" w:rsidRDefault="005716C2" w:rsidP="005716C2">
      <w:pPr>
        <w:ind w:firstLine="567"/>
        <w:jc w:val="both"/>
        <w:rPr>
          <w:rFonts w:asciiTheme="minorHAnsi" w:eastAsiaTheme="minorHAnsi" w:hAnsiTheme="minorHAnsi" w:cstheme="minorHAnsi"/>
          <w:sz w:val="22"/>
          <w:szCs w:val="22"/>
          <w:u w:val="single"/>
        </w:rPr>
      </w:pPr>
      <w:r w:rsidRPr="005716C2">
        <w:rPr>
          <w:rFonts w:asciiTheme="minorHAnsi" w:eastAsiaTheme="minorHAnsi" w:hAnsiTheme="minorHAnsi" w:cstheme="minorHAnsi"/>
          <w:sz w:val="22"/>
          <w:szCs w:val="22"/>
        </w:rPr>
        <w:t xml:space="preserve">Taigi </w:t>
      </w:r>
      <w:r w:rsidRPr="005716C2">
        <w:rPr>
          <w:rFonts w:asciiTheme="minorHAnsi" w:eastAsiaTheme="minorHAnsi" w:hAnsiTheme="minorHAnsi" w:cstheme="minorHAnsi"/>
          <w:sz w:val="22"/>
          <w:szCs w:val="22"/>
          <w:u w:val="single"/>
        </w:rPr>
        <w:t>viešumo principas netaikomas siekiant ūkio subjektų veiklos priežiūros tikslų, be kita ko, – prižiūrėti, kaip ūkio subjektai laikosi įstatymuose ir kituose teisės aktuose nustatytų reikalavimų, kontroliuoti, ar tinkamai tuos reikalavimus vykdo. Todėl vien tai, kad operatyviosios visuomenės sveikatos saugos kontrolės atlikimo metu pareiškėjas apie ją nebuvo informuotas, nepažeidžia viešumo principo</w:t>
      </w:r>
      <w:r w:rsidRPr="005716C2">
        <w:rPr>
          <w:rFonts w:asciiTheme="minorHAnsi" w:eastAsiaTheme="minorHAnsi" w:hAnsiTheme="minorHAnsi" w:cstheme="minorHAnsi"/>
          <w:sz w:val="22"/>
          <w:szCs w:val="22"/>
        </w:rPr>
        <w:t xml:space="preserve">. Atlikus patikrinimą, pareiškėjas buvo supažindintas su patikrinimo aktu. Pareiškėjas turėjo galimybę ginčyti patikrinimo aktą bei jame nustatytas aplinkybes. </w:t>
      </w:r>
    </w:p>
    <w:p w14:paraId="3D21324B" w14:textId="77777777" w:rsidR="005716C2" w:rsidRPr="005716C2" w:rsidRDefault="005716C2" w:rsidP="005716C2">
      <w:pPr>
        <w:ind w:firstLine="567"/>
        <w:jc w:val="both"/>
        <w:rPr>
          <w:rFonts w:asciiTheme="minorHAnsi" w:eastAsiaTheme="minorHAnsi" w:hAnsiTheme="minorHAnsi" w:cstheme="minorHAnsi"/>
          <w:sz w:val="22"/>
          <w:szCs w:val="22"/>
        </w:rPr>
      </w:pPr>
      <w:r w:rsidRPr="005716C2">
        <w:rPr>
          <w:rFonts w:asciiTheme="minorHAnsi" w:eastAsiaTheme="minorHAnsi" w:hAnsiTheme="minorHAnsi" w:cstheme="minorHAnsi"/>
          <w:sz w:val="22"/>
          <w:szCs w:val="22"/>
        </w:rPr>
        <w:t>Pirmosios instancijos teismo sprendimas paliktas nepakeistas, o apeliacinis skundas atmestas.</w:t>
      </w:r>
    </w:p>
    <w:p w14:paraId="3D933805" w14:textId="77777777" w:rsidR="005716C2" w:rsidRPr="005716C2" w:rsidRDefault="005716C2" w:rsidP="005716C2">
      <w:pPr>
        <w:ind w:firstLine="567"/>
        <w:jc w:val="both"/>
        <w:rPr>
          <w:rFonts w:asciiTheme="minorHAnsi" w:eastAsiaTheme="minorHAnsi" w:hAnsiTheme="minorHAnsi" w:cstheme="minorHAnsi"/>
          <w:sz w:val="22"/>
          <w:szCs w:val="22"/>
        </w:rPr>
      </w:pPr>
    </w:p>
    <w:p w14:paraId="53D8EA50" w14:textId="77777777" w:rsidR="005716C2" w:rsidRPr="005716C2" w:rsidRDefault="005716C2" w:rsidP="005716C2">
      <w:pPr>
        <w:jc w:val="both"/>
        <w:rPr>
          <w:rFonts w:asciiTheme="minorHAnsi" w:hAnsiTheme="minorHAnsi" w:cstheme="minorHAnsi"/>
          <w:b/>
          <w:sz w:val="22"/>
          <w:szCs w:val="22"/>
        </w:rPr>
      </w:pPr>
      <w:r w:rsidRPr="005716C2">
        <w:rPr>
          <w:rFonts w:asciiTheme="minorHAnsi" w:hAnsiTheme="minorHAnsi" w:cstheme="minorHAnsi"/>
          <w:sz w:val="22"/>
          <w:szCs w:val="22"/>
        </w:rPr>
        <w:t>2020 m. lapkričio 11 d. nutartis administracinėje byloje Nr. eA-2013-525/2020</w:t>
      </w:r>
    </w:p>
    <w:p w14:paraId="43A1D861" w14:textId="77777777" w:rsidR="005716C2" w:rsidRPr="005716C2" w:rsidRDefault="005716C2" w:rsidP="005716C2">
      <w:pPr>
        <w:jc w:val="both"/>
        <w:rPr>
          <w:rFonts w:asciiTheme="minorHAnsi" w:hAnsiTheme="minorHAnsi" w:cstheme="minorHAnsi"/>
          <w:sz w:val="22"/>
          <w:szCs w:val="22"/>
        </w:rPr>
      </w:pPr>
      <w:r w:rsidRPr="005716C2">
        <w:rPr>
          <w:rFonts w:asciiTheme="minorHAnsi" w:hAnsiTheme="minorHAnsi" w:cstheme="minorHAnsi"/>
          <w:sz w:val="22"/>
          <w:szCs w:val="22"/>
        </w:rPr>
        <w:t xml:space="preserve">Teisminio proceso Nr. </w:t>
      </w:r>
      <w:r w:rsidRPr="005716C2">
        <w:rPr>
          <w:rFonts w:asciiTheme="minorHAnsi" w:hAnsiTheme="minorHAnsi" w:cstheme="minorHAnsi"/>
          <w:bCs/>
          <w:sz w:val="22"/>
          <w:szCs w:val="22"/>
        </w:rPr>
        <w:t>3-62-3-00758-2018-5</w:t>
      </w:r>
    </w:p>
    <w:p w14:paraId="32F6C87F" w14:textId="77777777" w:rsidR="005716C2" w:rsidRPr="005716C2" w:rsidRDefault="005716C2" w:rsidP="005716C2">
      <w:pPr>
        <w:jc w:val="both"/>
        <w:rPr>
          <w:rFonts w:asciiTheme="minorHAnsi" w:hAnsiTheme="minorHAnsi" w:cstheme="minorHAnsi"/>
          <w:sz w:val="22"/>
          <w:szCs w:val="22"/>
        </w:rPr>
      </w:pPr>
      <w:r w:rsidRPr="005716C2">
        <w:rPr>
          <w:rFonts w:asciiTheme="minorHAnsi" w:hAnsiTheme="minorHAnsi" w:cstheme="minorHAnsi"/>
          <w:sz w:val="22"/>
          <w:szCs w:val="22"/>
        </w:rPr>
        <w:t>Procesinio sprendimo kategorijos: 3.1; 3.3; 3.4; 14.2.3; 14.8; 14.10; 14.15; 41</w:t>
      </w:r>
    </w:p>
    <w:p w14:paraId="1D19BEB2" w14:textId="34507723" w:rsidR="005716C2" w:rsidRPr="005716C2" w:rsidRDefault="00822FF8" w:rsidP="5FB8FBAC">
      <w:pPr>
        <w:jc w:val="both"/>
        <w:rPr>
          <w:rFonts w:asciiTheme="minorHAnsi" w:hAnsiTheme="minorHAnsi" w:cstheme="minorBidi"/>
          <w:color w:val="0000FF"/>
          <w:sz w:val="22"/>
          <w:szCs w:val="22"/>
          <w:u w:val="single"/>
          <w:lang w:eastAsia="en-US"/>
        </w:rPr>
      </w:pPr>
      <w:hyperlink r:id="rId18">
        <w:r w:rsidR="005716C2" w:rsidRPr="5FB8FBAC">
          <w:rPr>
            <w:rFonts w:asciiTheme="minorHAnsi" w:hAnsiTheme="minorHAnsi" w:cstheme="minorBidi"/>
            <w:color w:val="0000FF"/>
            <w:sz w:val="22"/>
            <w:szCs w:val="22"/>
            <w:u w:val="single"/>
          </w:rPr>
          <w:t>Prieiga internete</w:t>
        </w:r>
      </w:hyperlink>
    </w:p>
    <w:p w14:paraId="0B37F5B1" w14:textId="77777777" w:rsidR="005716C2" w:rsidRPr="00D813A2" w:rsidRDefault="005716C2" w:rsidP="00D813A2">
      <w:pPr>
        <w:ind w:firstLine="567"/>
        <w:jc w:val="both"/>
        <w:rPr>
          <w:rFonts w:ascii="Calibri" w:eastAsia="Calibri" w:hAnsi="Calibri" w:cs="Calibri"/>
          <w:sz w:val="22"/>
          <w:szCs w:val="22"/>
        </w:rPr>
      </w:pPr>
    </w:p>
    <w:p w14:paraId="389A1FAB" w14:textId="77777777" w:rsidR="00D813A2" w:rsidRPr="003D5F0B" w:rsidRDefault="00D813A2" w:rsidP="00D813A2">
      <w:pPr>
        <w:keepNext/>
        <w:keepLines/>
        <w:jc w:val="both"/>
        <w:outlineLvl w:val="0"/>
        <w:rPr>
          <w:rFonts w:asciiTheme="minorHAnsi" w:hAnsiTheme="minorHAnsi" w:cstheme="minorHAnsi"/>
          <w:b/>
          <w:sz w:val="22"/>
          <w:szCs w:val="22"/>
          <w:u w:val="single"/>
        </w:rPr>
      </w:pPr>
      <w:bookmarkStart w:id="35" w:name="_Toc61261234"/>
      <w:r w:rsidRPr="003D5F0B">
        <w:rPr>
          <w:rFonts w:asciiTheme="minorHAnsi" w:hAnsiTheme="minorHAnsi" w:cstheme="minorHAnsi"/>
          <w:b/>
          <w:sz w:val="22"/>
          <w:szCs w:val="22"/>
          <w:u w:val="single"/>
        </w:rPr>
        <w:lastRenderedPageBreak/>
        <w:t>15. Žemės teisiniai santykiai</w:t>
      </w:r>
      <w:bookmarkEnd w:id="35"/>
    </w:p>
    <w:p w14:paraId="0BBDC5A8" w14:textId="77777777" w:rsidR="00D813A2" w:rsidRPr="00D813A2" w:rsidRDefault="00D813A2" w:rsidP="00D813A2">
      <w:pPr>
        <w:ind w:firstLine="567"/>
        <w:jc w:val="both"/>
        <w:rPr>
          <w:rFonts w:asciiTheme="minorHAnsi" w:hAnsiTheme="minorHAnsi" w:cstheme="minorHAnsi"/>
          <w:b/>
          <w:sz w:val="22"/>
          <w:szCs w:val="22"/>
          <w:u w:val="single"/>
        </w:rPr>
      </w:pPr>
      <w:r w:rsidRPr="00D813A2">
        <w:rPr>
          <w:rFonts w:asciiTheme="minorHAnsi" w:hAnsiTheme="minorHAnsi" w:cstheme="minorHAnsi"/>
          <w:b/>
          <w:sz w:val="22"/>
          <w:szCs w:val="22"/>
          <w:u w:val="single"/>
        </w:rPr>
        <w:t>15.2. Pagrindinė žemės naudojimo paskirtis ir būdai, jų keitimas</w:t>
      </w:r>
    </w:p>
    <w:p w14:paraId="0A546C0A" w14:textId="77777777" w:rsidR="00D813A2" w:rsidRPr="003D5F0B" w:rsidRDefault="00D813A2" w:rsidP="00D813A2">
      <w:pPr>
        <w:rPr>
          <w:rFonts w:asciiTheme="minorHAnsi" w:hAnsiTheme="minorHAnsi" w:cstheme="minorHAnsi"/>
          <w:bCs/>
          <w:sz w:val="22"/>
          <w:szCs w:val="22"/>
        </w:rPr>
      </w:pPr>
    </w:p>
    <w:p w14:paraId="63C18356" w14:textId="77777777" w:rsidR="00D813A2" w:rsidRPr="00D813A2" w:rsidRDefault="00D813A2" w:rsidP="00D813A2">
      <w:pPr>
        <w:jc w:val="both"/>
        <w:outlineLvl w:val="1"/>
        <w:rPr>
          <w:rFonts w:asciiTheme="minorHAnsi" w:eastAsia="Calibri" w:hAnsiTheme="minorHAnsi" w:cstheme="minorHAnsi"/>
          <w:i/>
          <w:sz w:val="22"/>
          <w:szCs w:val="22"/>
        </w:rPr>
      </w:pPr>
      <w:bookmarkStart w:id="36" w:name="_Toc61261235"/>
      <w:r w:rsidRPr="00D813A2">
        <w:rPr>
          <w:rFonts w:asciiTheme="minorHAnsi" w:eastAsia="Calibri" w:hAnsiTheme="minorHAnsi" w:cstheme="minorHAnsi"/>
          <w:i/>
          <w:sz w:val="22"/>
          <w:szCs w:val="22"/>
        </w:rPr>
        <w:t>Dėl miško žemės pavertimo kitomis naudmenomis atstatant buvusią sodybą (formuojant sklypą gyvenamajam namui kartu su priklausiniais)</w:t>
      </w:r>
      <w:bookmarkEnd w:id="36"/>
    </w:p>
    <w:p w14:paraId="11D873EE" w14:textId="77777777" w:rsidR="00D813A2" w:rsidRPr="00D813A2" w:rsidRDefault="00D813A2" w:rsidP="00D813A2">
      <w:pPr>
        <w:ind w:firstLine="567"/>
        <w:jc w:val="both"/>
        <w:rPr>
          <w:rFonts w:asciiTheme="minorHAnsi" w:eastAsiaTheme="minorHAnsi" w:hAnsiTheme="minorHAnsi" w:cstheme="minorHAnsi"/>
          <w:sz w:val="22"/>
          <w:szCs w:val="22"/>
        </w:rPr>
      </w:pPr>
    </w:p>
    <w:p w14:paraId="37E42457" w14:textId="77777777" w:rsidR="00D813A2" w:rsidRPr="00D813A2" w:rsidRDefault="00D813A2" w:rsidP="00D813A2">
      <w:pPr>
        <w:ind w:firstLine="567"/>
        <w:jc w:val="both"/>
        <w:rPr>
          <w:rFonts w:asciiTheme="minorHAnsi" w:eastAsiaTheme="minorHAnsi" w:hAnsiTheme="minorHAnsi" w:cstheme="minorHAnsi"/>
          <w:sz w:val="22"/>
          <w:szCs w:val="22"/>
        </w:rPr>
      </w:pPr>
      <w:r w:rsidRPr="00D813A2">
        <w:rPr>
          <w:rFonts w:asciiTheme="minorHAnsi" w:eastAsiaTheme="minorHAnsi" w:hAnsiTheme="minorHAnsi" w:cstheme="minorHAnsi"/>
          <w:sz w:val="22"/>
          <w:szCs w:val="22"/>
        </w:rPr>
        <w:t>Nagrinėtu atveju ginčas kilo dėl Nacionalinės žemės tarnybos prie Žemės ūkio ministerijos (toliau – NŽT) 2019 m. sausio 28 d. žemėtvarkos planavimo dokumento patikrinimo akto (toliau – Patikrinimo aktas), kuriame pateikta išvada – nepritarti teikimui tvirtinti pareiškėjui priklausančių žemės sklypų formavimo ir pertvarkymo projektą, teisėtumo ir pagrįstumo.</w:t>
      </w:r>
    </w:p>
    <w:p w14:paraId="4652DDE5" w14:textId="77777777" w:rsidR="00D813A2" w:rsidRPr="00D813A2" w:rsidRDefault="00D813A2" w:rsidP="00D813A2">
      <w:pPr>
        <w:ind w:firstLine="567"/>
        <w:jc w:val="both"/>
        <w:rPr>
          <w:rFonts w:asciiTheme="minorHAnsi" w:eastAsiaTheme="minorHAnsi" w:hAnsiTheme="minorHAnsi" w:cstheme="minorHAnsi"/>
          <w:sz w:val="22"/>
          <w:szCs w:val="22"/>
        </w:rPr>
      </w:pPr>
      <w:r w:rsidRPr="00D813A2">
        <w:rPr>
          <w:rFonts w:asciiTheme="minorHAnsi" w:eastAsiaTheme="minorHAnsi" w:hAnsiTheme="minorHAnsi" w:cstheme="minorHAnsi"/>
          <w:sz w:val="22"/>
          <w:szCs w:val="22"/>
        </w:rPr>
        <w:t>Byloje nustatyta, kad pareiškėjui nuosavybės teise priklauso kitos pagrindinės naudojimo paskirties Žemės sklypas Nr. 1, kuriame yra pastatytas gyvenamasis namas su lauko terasa. Šis žemės sklypas iš visų pusių ribojasi su kitu pareiškėjui priklausančiu miškų ūkio paskirties Žemės sklypu Nr. 2, kuriame yra pirtis ir klėtis. Pareiškėjas nurodytuose žemės sklypuose atkūrė buvusią sodybą, susidedančią iš 4 statinių (gyvenamojo namo, lauko terasos, pirties ir klėties), kurie išsidėstė dviejuose sklypuose, todėl jis pateikė prašymą NŽT Utenos skyriui organizuoti žemės sklypų formavimo ir pertvarkymo projekto rengimą.</w:t>
      </w:r>
    </w:p>
    <w:p w14:paraId="74176E2F" w14:textId="5FE071BF" w:rsidR="00D813A2" w:rsidRPr="00352934" w:rsidRDefault="00D813A2" w:rsidP="00D813A2">
      <w:pPr>
        <w:ind w:firstLine="567"/>
        <w:jc w:val="both"/>
        <w:rPr>
          <w:rFonts w:asciiTheme="minorHAnsi" w:eastAsiaTheme="minorHAnsi" w:hAnsiTheme="minorHAnsi" w:cstheme="minorHAnsi"/>
          <w:sz w:val="22"/>
          <w:szCs w:val="22"/>
        </w:rPr>
      </w:pPr>
      <w:r w:rsidRPr="00352934">
        <w:rPr>
          <w:rFonts w:asciiTheme="minorHAnsi" w:eastAsiaTheme="minorHAnsi" w:hAnsiTheme="minorHAnsi" w:cstheme="minorHAnsi"/>
          <w:sz w:val="22"/>
          <w:szCs w:val="22"/>
        </w:rPr>
        <w:t>NŽT Utenos skyriaus vedėjo įsakymu nuspręsta pradėti rengti Žemės sklypų Nr. 1 ir Nr. 2 formavimo ir pertvarkymo projektą (toliau – Projektas), kurio tikslas – pertvarkyti žemės sklypus, padalinti į du ar daugiau žemės sklypų, numatyti miško žemės pavertimą kitomis naudmenomis, nustatyti ir keisti pagrindinę žemės naudojimo paskirtį ir (ar) žemės sklypo naudojimo būdą (-us), sujungti kelis bendras ribas turinčius tos pačios pagrindinės žemės naudojimo paskirties žemės sklypus į vieną (sujungiant teritoriją su statiniais į vieną sklypą). Tačiau Patikrinimo aktu NŽT nepritarė teikimui tvirtinti Projektą, be kita ko, argumentuojant tuo, jog pirtis ir klėtis Nekilnojamojo turto registre yra įregistruoti ne kaip priklausiniai prie gyvenamojo namo, bet kaip atskiri pastatai miškų ūkio paskirties žemės sklype, be to, Nekilnojamojo turto registre yra galiojantis įrašas dėl įregistruoto juridinio fakto apie iškeltą bylą, susijusią su pirtimi ir klė</w:t>
      </w:r>
      <w:r w:rsidR="00352934">
        <w:rPr>
          <w:rFonts w:asciiTheme="minorHAnsi" w:eastAsiaTheme="minorHAnsi" w:hAnsiTheme="minorHAnsi" w:cstheme="minorHAnsi"/>
          <w:sz w:val="22"/>
          <w:szCs w:val="22"/>
        </w:rPr>
        <w:t>timi</w:t>
      </w:r>
      <w:r w:rsidRPr="00352934">
        <w:rPr>
          <w:rFonts w:asciiTheme="minorHAnsi" w:eastAsiaTheme="minorHAnsi" w:hAnsiTheme="minorHAnsi" w:cstheme="minorHAnsi"/>
          <w:sz w:val="22"/>
          <w:szCs w:val="22"/>
        </w:rPr>
        <w:t>. Atitinkamai šioje byloje nustatyta, kad civilinėje byloje Nr. e2-3-356/2020 Valstybinė teritorijų planavimo ir statybos inspekcija prie Aplinkos ministerijos ginčija pirties ir klėties statybų teisėtumą tuo pagrindu, kad jie pastatyti Žemės sklype Nr. 2, kurio pagrindinė tikslinė žemės naudojimo paskirtis yra miškų ūkio.</w:t>
      </w:r>
    </w:p>
    <w:p w14:paraId="41EAF2AA" w14:textId="77777777" w:rsidR="00D813A2" w:rsidRDefault="00D813A2" w:rsidP="00D813A2">
      <w:pPr>
        <w:ind w:firstLine="567"/>
        <w:jc w:val="both"/>
        <w:rPr>
          <w:rFonts w:asciiTheme="minorHAnsi" w:hAnsiTheme="minorHAnsi" w:cstheme="minorHAnsi"/>
          <w:bCs/>
          <w:sz w:val="22"/>
          <w:szCs w:val="22"/>
          <w:lang w:bidi="lt-LT"/>
        </w:rPr>
      </w:pPr>
      <w:r w:rsidRPr="00352934">
        <w:rPr>
          <w:rFonts w:asciiTheme="minorHAnsi" w:eastAsiaTheme="minorHAnsi" w:hAnsiTheme="minorHAnsi" w:cstheme="minorHAnsi"/>
          <w:sz w:val="22"/>
          <w:szCs w:val="22"/>
        </w:rPr>
        <w:t xml:space="preserve">Teisėjų kolegija, spręsdama dėl Miškų įstatymo (redakcija, galiojusi nuo 2019 m. sausio 1 d. iki 2019 m. rugsėjo 1 d.) 11 straipsnio, reglamentuojančio miško žemės pavertimą kitomis naudmenomis, 1 dalies 7 ir 9 punktuose nustatytų išimtinių atvejų, kai leidžiama miško žemę paversti kitomis naudmenomis (jei atstatoma buvusi sodyba privačioje miško žemėje Vyriausybės nustatyta tvarka; kai formuojamas sklypas teisėtai pastatyto gyvenamojo namo arba gyvenamojo namo kartu su priklausiniais, Nekilnojamojo turto registre įregistruoto kaip atskiro turto objekto (pagrindinio daikto), sklypui suformuoti), pažymėjo, kad turi būti vertinamos aplinkybės, patvirtinančios buvusios sodybos atstatymo privačioje miško žemėje faktą ir (ar) teisėtą pastatų pastatymo faktą. Remdamasi Utenos apylinkės teismo Utenos rūmų nagrinėjamos civilinės bylos Nr. e2-3-356/2020 (teisminio proceso Nr. 2-50-3-01571-2016-3) duomenimis, teisėjų kolegija nustatė, kad Utenos rajono savivaldybės administracija 2007 m. liepos 27 d. išdavė statybos leidimą pagal projektuotojo </w:t>
      </w:r>
      <w:bookmarkStart w:id="37" w:name="Buk_9"/>
      <w:r w:rsidRPr="00352934">
        <w:rPr>
          <w:rFonts w:asciiTheme="minorHAnsi" w:eastAsiaTheme="minorHAnsi" w:hAnsiTheme="minorHAnsi" w:cstheme="minorHAnsi"/>
          <w:sz w:val="22"/>
          <w:szCs w:val="22"/>
        </w:rPr>
        <w:t xml:space="preserve">G. K. </w:t>
      </w:r>
      <w:bookmarkEnd w:id="37"/>
      <w:r w:rsidRPr="00352934">
        <w:rPr>
          <w:rFonts w:asciiTheme="minorHAnsi" w:eastAsiaTheme="minorHAnsi" w:hAnsiTheme="minorHAnsi" w:cstheme="minorHAnsi"/>
          <w:sz w:val="22"/>
          <w:szCs w:val="22"/>
        </w:rPr>
        <w:t>tyrinėjimų ir projektavimo įmonės 2007 m. parengtą projektą „Buvusios sodybos atstatymas: individualus gyvenamasis namas, svirnas, klėtis, pirtis, ūkio pastatas, pavėsinė, lieptas“, sodybos atstatymas buvo suprojektuotas miškų ūkio paskirties žemėje. Taigi, teisėjų kolegija sprendė, kad pirtis ir klėtis yra tos pačios sodybos pastatai, kuriai</w:t>
      </w:r>
      <w:r w:rsidRPr="002257B4">
        <w:rPr>
          <w:rFonts w:asciiTheme="minorHAnsi" w:hAnsiTheme="minorHAnsi" w:cstheme="minorHAnsi"/>
          <w:bCs/>
          <w:sz w:val="22"/>
          <w:szCs w:val="22"/>
          <w:lang w:bidi="lt-LT"/>
        </w:rPr>
        <w:t xml:space="preserve"> priklauso ir gyvenamasis namas. </w:t>
      </w:r>
      <w:r w:rsidRPr="002257B4">
        <w:rPr>
          <w:rFonts w:asciiTheme="minorHAnsi" w:hAnsiTheme="minorHAnsi" w:cstheme="minorHAnsi"/>
          <w:bCs/>
          <w:sz w:val="22"/>
          <w:szCs w:val="22"/>
          <w:u w:val="single"/>
          <w:lang w:bidi="lt-LT"/>
        </w:rPr>
        <w:t>Nepriklausomai nuo to, kad šie pastatai yra įregistruoti kaip atskiri objektai su unikaliais numeriais, jų priskyrimą priklausiniams lemia kriterijai ir požymiai, įtvirtinti daiktinės teisės normose</w:t>
      </w:r>
      <w:r w:rsidRPr="002257B4">
        <w:rPr>
          <w:rFonts w:asciiTheme="minorHAnsi" w:hAnsiTheme="minorHAnsi" w:cstheme="minorHAnsi"/>
          <w:bCs/>
          <w:sz w:val="22"/>
          <w:szCs w:val="22"/>
          <w:lang w:bidi="lt-LT"/>
        </w:rPr>
        <w:t xml:space="preserve">. </w:t>
      </w:r>
      <w:r>
        <w:rPr>
          <w:rFonts w:asciiTheme="minorHAnsi" w:hAnsiTheme="minorHAnsi" w:cstheme="minorHAnsi"/>
          <w:bCs/>
          <w:sz w:val="22"/>
          <w:szCs w:val="22"/>
          <w:lang w:bidi="lt-LT"/>
        </w:rPr>
        <w:t>NŽT</w:t>
      </w:r>
      <w:r w:rsidRPr="002257B4">
        <w:rPr>
          <w:rFonts w:asciiTheme="minorHAnsi" w:hAnsiTheme="minorHAnsi" w:cstheme="minorHAnsi"/>
          <w:bCs/>
          <w:sz w:val="22"/>
          <w:szCs w:val="22"/>
          <w:lang w:bidi="lt-LT"/>
        </w:rPr>
        <w:t xml:space="preserve"> byloje nepateikė argumentų, paneigiančių, kad pagal savo paskirtį pirtis ir klėtis naudojami gyvenamojo namo (pagrindinio daikto) savininko poreikiams tenkinti, šie statiniai funkciniu ryšiu susiję su gyvenamuoju namu, todėl yra namo priklausiniai. </w:t>
      </w:r>
      <w:r w:rsidRPr="002257B4">
        <w:rPr>
          <w:rFonts w:asciiTheme="minorHAnsi" w:hAnsiTheme="minorHAnsi" w:cstheme="minorHAnsi"/>
          <w:bCs/>
          <w:sz w:val="22"/>
          <w:szCs w:val="22"/>
          <w:u w:val="single"/>
          <w:lang w:bidi="lt-LT"/>
        </w:rPr>
        <w:t>Žemės sklypas Nr. 1 buvo suformuotas tik daliai atkurtos sodybos – gyvenamajam namui, tačiau tai savaime nepaneigia teisėto tikslo rengti žemės sklypo pertvarkymo projektą kitiems atkuriamos sodybos pastatams, kurie yra gyvenamojo namo priklausiniai, ir sujungti jį su Žemės sklypu Nr. 1</w:t>
      </w:r>
      <w:r w:rsidRPr="002257B4">
        <w:rPr>
          <w:rFonts w:asciiTheme="minorHAnsi" w:hAnsiTheme="minorHAnsi" w:cstheme="minorHAnsi"/>
          <w:bCs/>
          <w:sz w:val="22"/>
          <w:szCs w:val="22"/>
          <w:lang w:bidi="lt-LT"/>
        </w:rPr>
        <w:t>.</w:t>
      </w:r>
    </w:p>
    <w:p w14:paraId="6D6C4BAE" w14:textId="2861BB85" w:rsidR="00D813A2" w:rsidRDefault="00D813A2" w:rsidP="3C0484D3">
      <w:pPr>
        <w:ind w:firstLine="567"/>
        <w:jc w:val="both"/>
        <w:rPr>
          <w:rFonts w:asciiTheme="minorHAnsi" w:hAnsiTheme="minorHAnsi" w:cstheme="minorBidi"/>
          <w:sz w:val="22"/>
          <w:szCs w:val="22"/>
          <w:lang w:bidi="lt-LT"/>
        </w:rPr>
      </w:pPr>
      <w:r w:rsidRPr="3C0484D3">
        <w:rPr>
          <w:rFonts w:asciiTheme="minorHAnsi" w:hAnsiTheme="minorHAnsi" w:cstheme="minorBidi"/>
          <w:sz w:val="22"/>
          <w:szCs w:val="22"/>
          <w:lang w:bidi="lt-LT"/>
        </w:rPr>
        <w:t xml:space="preserve">Teisėjų kolegija taip pat pažymėjo, kad NŽT Patikrinimo akte nepagrįstai rėmėsi žemės ūkio ministro ir aplinkos ministro 2004 m. spalio 4 d. įsakymu Nr. 3D- 452/D1-513 patvirtintų Žemės sklypų formavimo ir pertvarkymo projektų rengimo ir įgyvendinimo taisyklių (toliau – Taisyklės) 10 punktu, nustatančiu, jog negali būti sujungiami, padalijami, atidalijami ar perdalijimo būdu pertvarkomi areštuoti ar esantys ginčo objektu sklypai. Teisėjų kolegija atkreipė dėmesį, kad </w:t>
      </w:r>
      <w:r w:rsidRPr="3C0484D3">
        <w:rPr>
          <w:rFonts w:asciiTheme="minorHAnsi" w:hAnsiTheme="minorHAnsi" w:cstheme="minorBidi"/>
          <w:sz w:val="22"/>
          <w:szCs w:val="22"/>
          <w:u w:val="single"/>
          <w:lang w:bidi="lt-LT"/>
        </w:rPr>
        <w:t xml:space="preserve">Nekilnojamojo turto registre padarytas įrašas dėl žemės sklypuose </w:t>
      </w:r>
      <w:r w:rsidRPr="3C0484D3">
        <w:rPr>
          <w:rFonts w:asciiTheme="minorHAnsi" w:hAnsiTheme="minorHAnsi" w:cstheme="minorBidi"/>
          <w:sz w:val="22"/>
          <w:szCs w:val="22"/>
          <w:u w:val="single"/>
          <w:lang w:bidi="lt-LT"/>
        </w:rPr>
        <w:lastRenderedPageBreak/>
        <w:t>įregistruoto juridinio fakto apie iškeltą bylą, susijusią su nekilnojamaisiais daiktais (pastatais) reiškia, jog ginčo objektu yra ne patys žemės sklypai, bet juose esantys pastatai, konkrečiu atveju – jų statybos miško žemės sklypuose teisėtumas, todėl įregistruotas juridinis faktas nėra Taisyklių 10 punkte numatyta kliūtimi pertvarkyti šiuos žemės sklypus. Priešingai, toks NŽT argumentas tampa niekuo nepagrįsta formalia kliūtimi teikti tvirtinti Projektą</w:t>
      </w:r>
      <w:r w:rsidRPr="3C0484D3">
        <w:rPr>
          <w:rFonts w:asciiTheme="minorHAnsi" w:hAnsiTheme="minorHAnsi" w:cstheme="minorBidi"/>
          <w:sz w:val="22"/>
          <w:szCs w:val="22"/>
          <w:lang w:bidi="lt-LT"/>
        </w:rPr>
        <w:t>.</w:t>
      </w:r>
    </w:p>
    <w:p w14:paraId="6EA04FF0" w14:textId="77777777" w:rsidR="00D813A2" w:rsidRPr="00663699" w:rsidRDefault="00D813A2" w:rsidP="00D813A2">
      <w:pPr>
        <w:ind w:firstLine="567"/>
        <w:jc w:val="both"/>
        <w:rPr>
          <w:rFonts w:asciiTheme="minorHAnsi" w:hAnsiTheme="minorHAnsi" w:cstheme="minorHAnsi"/>
          <w:bCs/>
          <w:sz w:val="22"/>
          <w:szCs w:val="22"/>
          <w:lang w:bidi="lt-LT"/>
        </w:rPr>
      </w:pPr>
      <w:r>
        <w:rPr>
          <w:rFonts w:asciiTheme="minorHAnsi" w:hAnsiTheme="minorHAnsi" w:cstheme="minorHAnsi"/>
          <w:bCs/>
          <w:sz w:val="22"/>
          <w:szCs w:val="22"/>
          <w:lang w:bidi="lt-LT"/>
        </w:rPr>
        <w:t>Į</w:t>
      </w:r>
      <w:r w:rsidRPr="00663699">
        <w:rPr>
          <w:rFonts w:asciiTheme="minorHAnsi" w:hAnsiTheme="minorHAnsi" w:cstheme="minorHAnsi"/>
          <w:bCs/>
          <w:sz w:val="22"/>
          <w:szCs w:val="22"/>
          <w:lang w:bidi="lt-LT"/>
        </w:rPr>
        <w:t xml:space="preserve">vertinusi </w:t>
      </w:r>
      <w:r>
        <w:rPr>
          <w:rFonts w:asciiTheme="minorHAnsi" w:hAnsiTheme="minorHAnsi" w:cstheme="minorHAnsi"/>
          <w:bCs/>
          <w:sz w:val="22"/>
          <w:szCs w:val="22"/>
          <w:lang w:bidi="lt-LT"/>
        </w:rPr>
        <w:t xml:space="preserve">kitas </w:t>
      </w:r>
      <w:r w:rsidRPr="00663699">
        <w:rPr>
          <w:rFonts w:asciiTheme="minorHAnsi" w:hAnsiTheme="minorHAnsi" w:cstheme="minorHAnsi"/>
          <w:bCs/>
          <w:sz w:val="22"/>
          <w:szCs w:val="22"/>
          <w:lang w:bidi="lt-LT"/>
        </w:rPr>
        <w:t xml:space="preserve">Patikrinimo akte nurodytas </w:t>
      </w:r>
      <w:r>
        <w:rPr>
          <w:rFonts w:asciiTheme="minorHAnsi" w:hAnsiTheme="minorHAnsi" w:cstheme="minorHAnsi"/>
          <w:bCs/>
          <w:sz w:val="22"/>
          <w:szCs w:val="22"/>
          <w:lang w:bidi="lt-LT"/>
        </w:rPr>
        <w:t>NŽT ne</w:t>
      </w:r>
      <w:r w:rsidRPr="00663699">
        <w:rPr>
          <w:rFonts w:asciiTheme="minorHAnsi" w:hAnsiTheme="minorHAnsi" w:cstheme="minorHAnsi"/>
          <w:bCs/>
          <w:sz w:val="22"/>
          <w:szCs w:val="22"/>
          <w:lang w:bidi="lt-LT"/>
        </w:rPr>
        <w:t>pritarimo Projekto tvirtinimui priežastis</w:t>
      </w:r>
      <w:r>
        <w:rPr>
          <w:rFonts w:asciiTheme="minorHAnsi" w:hAnsiTheme="minorHAnsi" w:cstheme="minorHAnsi"/>
          <w:bCs/>
          <w:sz w:val="22"/>
          <w:szCs w:val="22"/>
          <w:lang w:bidi="lt-LT"/>
        </w:rPr>
        <w:t xml:space="preserve"> ir padariusi išvadą, kad jos taip pat ne</w:t>
      </w:r>
      <w:r w:rsidRPr="00663699">
        <w:rPr>
          <w:rFonts w:asciiTheme="minorHAnsi" w:hAnsiTheme="minorHAnsi" w:cstheme="minorHAnsi"/>
          <w:bCs/>
          <w:sz w:val="22"/>
          <w:szCs w:val="22"/>
          <w:lang w:bidi="lt-LT"/>
        </w:rPr>
        <w:t xml:space="preserve">pagrįstos, </w:t>
      </w:r>
      <w:r>
        <w:rPr>
          <w:rFonts w:asciiTheme="minorHAnsi" w:hAnsiTheme="minorHAnsi" w:cstheme="minorHAnsi"/>
          <w:bCs/>
          <w:sz w:val="22"/>
          <w:szCs w:val="22"/>
          <w:lang w:bidi="lt-LT"/>
        </w:rPr>
        <w:t xml:space="preserve">teisėjų kolegija konstatavo, jog </w:t>
      </w:r>
      <w:r w:rsidRPr="00663699">
        <w:rPr>
          <w:rFonts w:asciiTheme="minorHAnsi" w:hAnsiTheme="minorHAnsi" w:cstheme="minorHAnsi"/>
          <w:bCs/>
          <w:sz w:val="22"/>
          <w:szCs w:val="22"/>
          <w:lang w:bidi="lt-LT"/>
        </w:rPr>
        <w:t>Patikrinimo akt</w:t>
      </w:r>
      <w:r>
        <w:rPr>
          <w:rFonts w:asciiTheme="minorHAnsi" w:hAnsiTheme="minorHAnsi" w:cstheme="minorHAnsi"/>
          <w:bCs/>
          <w:sz w:val="22"/>
          <w:szCs w:val="22"/>
          <w:lang w:bidi="lt-LT"/>
        </w:rPr>
        <w:t>as</w:t>
      </w:r>
      <w:r w:rsidRPr="00663699">
        <w:rPr>
          <w:rFonts w:asciiTheme="minorHAnsi" w:hAnsiTheme="minorHAnsi" w:cstheme="minorHAnsi"/>
          <w:bCs/>
          <w:sz w:val="22"/>
          <w:szCs w:val="22"/>
          <w:lang w:bidi="lt-LT"/>
        </w:rPr>
        <w:t xml:space="preserve"> </w:t>
      </w:r>
      <w:r>
        <w:rPr>
          <w:rFonts w:asciiTheme="minorHAnsi" w:hAnsiTheme="minorHAnsi" w:cstheme="minorHAnsi"/>
          <w:bCs/>
          <w:sz w:val="22"/>
          <w:szCs w:val="22"/>
          <w:lang w:bidi="lt-LT"/>
        </w:rPr>
        <w:t xml:space="preserve">nelaikytinas </w:t>
      </w:r>
      <w:r w:rsidRPr="00663699">
        <w:rPr>
          <w:rFonts w:asciiTheme="minorHAnsi" w:hAnsiTheme="minorHAnsi" w:cstheme="minorHAnsi"/>
          <w:bCs/>
          <w:sz w:val="22"/>
          <w:szCs w:val="22"/>
          <w:lang w:bidi="lt-LT"/>
        </w:rPr>
        <w:t>teisėtu, todėl panaikin</w:t>
      </w:r>
      <w:r>
        <w:rPr>
          <w:rFonts w:asciiTheme="minorHAnsi" w:hAnsiTheme="minorHAnsi" w:cstheme="minorHAnsi"/>
          <w:bCs/>
          <w:sz w:val="22"/>
          <w:szCs w:val="22"/>
          <w:lang w:bidi="lt-LT"/>
        </w:rPr>
        <w:t>o</w:t>
      </w:r>
      <w:r w:rsidRPr="00663699">
        <w:rPr>
          <w:rFonts w:asciiTheme="minorHAnsi" w:hAnsiTheme="minorHAnsi" w:cstheme="minorHAnsi"/>
          <w:bCs/>
          <w:sz w:val="22"/>
          <w:szCs w:val="22"/>
          <w:lang w:bidi="lt-LT"/>
        </w:rPr>
        <w:t xml:space="preserve"> pirmosios instancijos teismo sprendimą, kuriuo pareiškėjo skundas buvo atmestas</w:t>
      </w:r>
      <w:r>
        <w:rPr>
          <w:rFonts w:asciiTheme="minorHAnsi" w:hAnsiTheme="minorHAnsi" w:cstheme="minorHAnsi"/>
          <w:bCs/>
          <w:sz w:val="22"/>
          <w:szCs w:val="22"/>
          <w:lang w:bidi="lt-LT"/>
        </w:rPr>
        <w:t>, ir priėmė naują sprendimą – p</w:t>
      </w:r>
      <w:r w:rsidRPr="00663699">
        <w:rPr>
          <w:rFonts w:asciiTheme="minorHAnsi" w:hAnsiTheme="minorHAnsi" w:cstheme="minorHAnsi"/>
          <w:bCs/>
          <w:sz w:val="22"/>
          <w:szCs w:val="22"/>
          <w:lang w:bidi="lt-LT"/>
        </w:rPr>
        <w:t>anaikin</w:t>
      </w:r>
      <w:r>
        <w:rPr>
          <w:rFonts w:asciiTheme="minorHAnsi" w:hAnsiTheme="minorHAnsi" w:cstheme="minorHAnsi"/>
          <w:bCs/>
          <w:sz w:val="22"/>
          <w:szCs w:val="22"/>
          <w:lang w:bidi="lt-LT"/>
        </w:rPr>
        <w:t>o</w:t>
      </w:r>
      <w:r w:rsidRPr="00663699">
        <w:rPr>
          <w:rFonts w:asciiTheme="minorHAnsi" w:hAnsiTheme="minorHAnsi" w:cstheme="minorHAnsi"/>
          <w:bCs/>
          <w:sz w:val="22"/>
          <w:szCs w:val="22"/>
          <w:lang w:bidi="lt-LT"/>
        </w:rPr>
        <w:t xml:space="preserve"> </w:t>
      </w:r>
      <w:r>
        <w:rPr>
          <w:rFonts w:asciiTheme="minorHAnsi" w:hAnsiTheme="minorHAnsi" w:cstheme="minorHAnsi"/>
          <w:bCs/>
          <w:sz w:val="22"/>
          <w:szCs w:val="22"/>
          <w:lang w:bidi="lt-LT"/>
        </w:rPr>
        <w:t>P</w:t>
      </w:r>
      <w:r w:rsidRPr="00663699">
        <w:rPr>
          <w:rFonts w:asciiTheme="minorHAnsi" w:hAnsiTheme="minorHAnsi" w:cstheme="minorHAnsi"/>
          <w:bCs/>
          <w:sz w:val="22"/>
          <w:szCs w:val="22"/>
          <w:lang w:bidi="lt-LT"/>
        </w:rPr>
        <w:t>atikrinimo aktą ir įpareigo</w:t>
      </w:r>
      <w:r>
        <w:rPr>
          <w:rFonts w:asciiTheme="minorHAnsi" w:hAnsiTheme="minorHAnsi" w:cstheme="minorHAnsi"/>
          <w:bCs/>
          <w:sz w:val="22"/>
          <w:szCs w:val="22"/>
          <w:lang w:bidi="lt-LT"/>
        </w:rPr>
        <w:t>jo</w:t>
      </w:r>
      <w:r w:rsidRPr="00663699">
        <w:rPr>
          <w:rFonts w:asciiTheme="minorHAnsi" w:hAnsiTheme="minorHAnsi" w:cstheme="minorHAnsi"/>
          <w:bCs/>
          <w:sz w:val="22"/>
          <w:szCs w:val="22"/>
          <w:lang w:bidi="lt-LT"/>
        </w:rPr>
        <w:t xml:space="preserve"> </w:t>
      </w:r>
      <w:r>
        <w:rPr>
          <w:rFonts w:asciiTheme="minorHAnsi" w:hAnsiTheme="minorHAnsi" w:cstheme="minorHAnsi"/>
          <w:bCs/>
          <w:sz w:val="22"/>
          <w:szCs w:val="22"/>
          <w:lang w:bidi="lt-LT"/>
        </w:rPr>
        <w:t>NŽT Žemės</w:t>
      </w:r>
      <w:r w:rsidRPr="00663699">
        <w:rPr>
          <w:rFonts w:asciiTheme="minorHAnsi" w:hAnsiTheme="minorHAnsi" w:cstheme="minorHAnsi"/>
          <w:bCs/>
          <w:sz w:val="22"/>
          <w:szCs w:val="22"/>
          <w:lang w:bidi="lt-LT"/>
        </w:rPr>
        <w:t xml:space="preserve"> sklypų Nr. </w:t>
      </w:r>
      <w:bookmarkStart w:id="38" w:name="_Hlk55570607"/>
      <w:r>
        <w:rPr>
          <w:rFonts w:asciiTheme="minorHAnsi" w:hAnsiTheme="minorHAnsi" w:cstheme="minorHAnsi"/>
          <w:bCs/>
          <w:sz w:val="22"/>
          <w:szCs w:val="22"/>
          <w:lang w:bidi="lt-LT"/>
        </w:rPr>
        <w:t xml:space="preserve">1 ir </w:t>
      </w:r>
      <w:bookmarkEnd w:id="38"/>
      <w:r w:rsidRPr="00663699">
        <w:rPr>
          <w:rFonts w:asciiTheme="minorHAnsi" w:hAnsiTheme="minorHAnsi" w:cstheme="minorHAnsi"/>
          <w:bCs/>
          <w:sz w:val="22"/>
          <w:szCs w:val="22"/>
          <w:lang w:bidi="lt-LT"/>
        </w:rPr>
        <w:t xml:space="preserve">Nr. </w:t>
      </w:r>
      <w:r>
        <w:rPr>
          <w:rFonts w:asciiTheme="minorHAnsi" w:hAnsiTheme="minorHAnsi" w:cstheme="minorHAnsi"/>
          <w:bCs/>
          <w:sz w:val="22"/>
          <w:szCs w:val="22"/>
          <w:lang w:bidi="lt-LT"/>
        </w:rPr>
        <w:t>2</w:t>
      </w:r>
      <w:r w:rsidRPr="00663699">
        <w:rPr>
          <w:rFonts w:asciiTheme="minorHAnsi" w:hAnsiTheme="minorHAnsi" w:cstheme="minorHAnsi"/>
          <w:bCs/>
          <w:sz w:val="22"/>
          <w:szCs w:val="22"/>
          <w:lang w:bidi="lt-LT"/>
        </w:rPr>
        <w:t xml:space="preserve"> formavimo ir pertvarkymo projektą patikrinti iš naujo</w:t>
      </w:r>
      <w:r>
        <w:rPr>
          <w:rFonts w:asciiTheme="minorHAnsi" w:hAnsiTheme="minorHAnsi" w:cstheme="minorHAnsi"/>
          <w:bCs/>
          <w:sz w:val="22"/>
          <w:szCs w:val="22"/>
          <w:lang w:bidi="lt-LT"/>
        </w:rPr>
        <w:t>.</w:t>
      </w:r>
    </w:p>
    <w:p w14:paraId="1727A29A" w14:textId="77777777" w:rsidR="00D813A2" w:rsidRPr="003D5F0B" w:rsidRDefault="00D813A2" w:rsidP="00D813A2">
      <w:pPr>
        <w:rPr>
          <w:rFonts w:asciiTheme="minorHAnsi" w:hAnsiTheme="minorHAnsi" w:cstheme="minorHAnsi"/>
          <w:bCs/>
          <w:sz w:val="22"/>
          <w:szCs w:val="22"/>
        </w:rPr>
      </w:pPr>
    </w:p>
    <w:p w14:paraId="66959D86" w14:textId="77777777" w:rsidR="00D813A2" w:rsidRPr="003D5F0B" w:rsidRDefault="00D813A2" w:rsidP="00D813A2">
      <w:pPr>
        <w:rPr>
          <w:rFonts w:asciiTheme="minorHAnsi" w:hAnsiTheme="minorHAnsi" w:cstheme="minorHAnsi"/>
          <w:sz w:val="22"/>
          <w:szCs w:val="22"/>
        </w:rPr>
      </w:pPr>
      <w:r w:rsidRPr="003D5F0B">
        <w:rPr>
          <w:rFonts w:asciiTheme="minorHAnsi" w:hAnsiTheme="minorHAnsi" w:cstheme="minorHAnsi"/>
          <w:sz w:val="22"/>
          <w:szCs w:val="22"/>
        </w:rPr>
        <w:t xml:space="preserve">2020 m. </w:t>
      </w:r>
      <w:r>
        <w:rPr>
          <w:rFonts w:asciiTheme="minorHAnsi" w:hAnsiTheme="minorHAnsi" w:cstheme="minorHAnsi"/>
          <w:sz w:val="22"/>
          <w:szCs w:val="22"/>
        </w:rPr>
        <w:t>lapkričio</w:t>
      </w:r>
      <w:r w:rsidRPr="003D5F0B">
        <w:rPr>
          <w:rFonts w:asciiTheme="minorHAnsi" w:hAnsiTheme="minorHAnsi" w:cstheme="minorHAnsi"/>
          <w:sz w:val="22"/>
          <w:szCs w:val="22"/>
        </w:rPr>
        <w:t xml:space="preserve"> </w:t>
      </w:r>
      <w:r>
        <w:rPr>
          <w:rFonts w:asciiTheme="minorHAnsi" w:hAnsiTheme="minorHAnsi" w:cstheme="minorHAnsi"/>
          <w:sz w:val="22"/>
          <w:szCs w:val="22"/>
        </w:rPr>
        <w:t>4</w:t>
      </w:r>
      <w:r w:rsidRPr="003D5F0B">
        <w:rPr>
          <w:rFonts w:asciiTheme="minorHAnsi" w:hAnsiTheme="minorHAnsi" w:cstheme="minorHAnsi"/>
          <w:sz w:val="22"/>
          <w:szCs w:val="22"/>
        </w:rPr>
        <w:t xml:space="preserve"> d. </w:t>
      </w:r>
      <w:r>
        <w:rPr>
          <w:rFonts w:asciiTheme="minorHAnsi" w:hAnsiTheme="minorHAnsi" w:cstheme="minorHAnsi"/>
          <w:sz w:val="22"/>
          <w:szCs w:val="22"/>
        </w:rPr>
        <w:t>sprendimas</w:t>
      </w:r>
      <w:r w:rsidRPr="003D5F0B">
        <w:rPr>
          <w:rFonts w:asciiTheme="minorHAnsi" w:hAnsiTheme="minorHAnsi" w:cstheme="minorHAnsi"/>
          <w:sz w:val="22"/>
          <w:szCs w:val="22"/>
        </w:rPr>
        <w:t xml:space="preserve"> administracinėje byloje Nr. </w:t>
      </w:r>
      <w:r w:rsidRPr="00453F24">
        <w:rPr>
          <w:rFonts w:asciiTheme="minorHAnsi" w:hAnsiTheme="minorHAnsi" w:cstheme="minorHAnsi"/>
          <w:bCs/>
          <w:sz w:val="22"/>
          <w:szCs w:val="22"/>
        </w:rPr>
        <w:t>eA-4883-492/2020</w:t>
      </w:r>
    </w:p>
    <w:p w14:paraId="14C904A2" w14:textId="77777777" w:rsidR="00D813A2" w:rsidRPr="003D5F0B" w:rsidRDefault="00D813A2" w:rsidP="00D813A2">
      <w:pPr>
        <w:rPr>
          <w:rFonts w:asciiTheme="minorHAnsi" w:hAnsiTheme="minorHAnsi" w:cstheme="minorHAnsi"/>
          <w:bCs/>
          <w:sz w:val="22"/>
          <w:szCs w:val="22"/>
          <w:lang w:eastAsia="en-US"/>
        </w:rPr>
      </w:pPr>
      <w:r w:rsidRPr="003D5F0B">
        <w:rPr>
          <w:rFonts w:asciiTheme="minorHAnsi" w:hAnsiTheme="minorHAnsi" w:cstheme="minorHAnsi"/>
          <w:sz w:val="22"/>
          <w:szCs w:val="22"/>
        </w:rPr>
        <w:t xml:space="preserve">Teisminio proceso Nr. </w:t>
      </w:r>
      <w:r w:rsidRPr="00453F24">
        <w:rPr>
          <w:rFonts w:asciiTheme="minorHAnsi" w:hAnsiTheme="minorHAnsi" w:cstheme="minorHAnsi"/>
          <w:bCs/>
          <w:sz w:val="22"/>
          <w:szCs w:val="22"/>
          <w:lang w:eastAsia="en-US"/>
        </w:rPr>
        <w:t>3-61-3-00796-2019-7</w:t>
      </w:r>
    </w:p>
    <w:p w14:paraId="7EC3845A" w14:textId="77777777" w:rsidR="00D813A2" w:rsidRPr="003D5F0B" w:rsidRDefault="00D813A2" w:rsidP="00D813A2">
      <w:pPr>
        <w:rPr>
          <w:rFonts w:asciiTheme="minorHAnsi" w:hAnsiTheme="minorHAnsi" w:cstheme="minorHAnsi"/>
          <w:sz w:val="22"/>
          <w:szCs w:val="22"/>
          <w:lang w:eastAsia="en-US"/>
        </w:rPr>
      </w:pPr>
      <w:r w:rsidRPr="003D5F0B">
        <w:rPr>
          <w:rFonts w:asciiTheme="minorHAnsi" w:hAnsiTheme="minorHAnsi" w:cstheme="minorHAnsi"/>
          <w:sz w:val="22"/>
          <w:szCs w:val="22"/>
        </w:rPr>
        <w:t xml:space="preserve">Procesinio sprendimo </w:t>
      </w:r>
      <w:r w:rsidRPr="003D5F0B">
        <w:rPr>
          <w:rFonts w:asciiTheme="minorHAnsi" w:hAnsiTheme="minorHAnsi" w:cstheme="minorHAnsi"/>
          <w:sz w:val="22"/>
          <w:szCs w:val="22"/>
          <w:lang w:eastAsia="en-US"/>
        </w:rPr>
        <w:t>kategorij</w:t>
      </w:r>
      <w:r>
        <w:rPr>
          <w:rFonts w:asciiTheme="minorHAnsi" w:hAnsiTheme="minorHAnsi" w:cstheme="minorHAnsi"/>
          <w:sz w:val="22"/>
          <w:szCs w:val="22"/>
          <w:lang w:eastAsia="en-US"/>
        </w:rPr>
        <w:t>os:</w:t>
      </w:r>
      <w:r w:rsidRPr="003D5F0B">
        <w:rPr>
          <w:rFonts w:asciiTheme="minorHAnsi" w:hAnsiTheme="minorHAnsi" w:cstheme="minorHAnsi"/>
          <w:sz w:val="22"/>
          <w:szCs w:val="22"/>
          <w:lang w:eastAsia="en-US"/>
        </w:rPr>
        <w:t xml:space="preserve"> </w:t>
      </w:r>
      <w:r w:rsidRPr="00453F24">
        <w:rPr>
          <w:rFonts w:asciiTheme="minorHAnsi" w:hAnsiTheme="minorHAnsi" w:cstheme="minorHAnsi"/>
          <w:bCs/>
          <w:sz w:val="22"/>
          <w:szCs w:val="22"/>
          <w:lang w:eastAsia="en-US"/>
        </w:rPr>
        <w:t>15.2; 15.6; 15.8</w:t>
      </w:r>
    </w:p>
    <w:p w14:paraId="2DB9782B" w14:textId="77777777" w:rsidR="00D813A2" w:rsidRPr="003D5F0B" w:rsidRDefault="00822FF8" w:rsidP="00D813A2">
      <w:pPr>
        <w:rPr>
          <w:rFonts w:asciiTheme="minorHAnsi" w:hAnsiTheme="minorHAnsi" w:cstheme="minorHAnsi"/>
          <w:sz w:val="22"/>
          <w:szCs w:val="22"/>
          <w:u w:val="single"/>
        </w:rPr>
      </w:pPr>
      <w:hyperlink r:id="rId19" w:history="1">
        <w:r w:rsidR="00D813A2" w:rsidRPr="003D5F0B">
          <w:rPr>
            <w:rStyle w:val="Hipersaitas"/>
            <w:rFonts w:asciiTheme="minorHAnsi" w:hAnsiTheme="minorHAnsi" w:cstheme="minorHAnsi"/>
            <w:sz w:val="22"/>
            <w:szCs w:val="22"/>
          </w:rPr>
          <w:t>Prieiga internete</w:t>
        </w:r>
      </w:hyperlink>
    </w:p>
    <w:p w14:paraId="3F43CCAF" w14:textId="77777777" w:rsidR="00D813A2" w:rsidRDefault="00D813A2" w:rsidP="00D813A2">
      <w:pPr>
        <w:rPr>
          <w:rFonts w:asciiTheme="minorHAnsi" w:hAnsiTheme="minorHAnsi" w:cstheme="minorHAnsi"/>
          <w:bCs/>
          <w:sz w:val="22"/>
          <w:szCs w:val="22"/>
        </w:rPr>
      </w:pPr>
    </w:p>
    <w:p w14:paraId="27101EDB" w14:textId="77777777" w:rsidR="00D813A2" w:rsidRPr="00F90363" w:rsidRDefault="00D813A2" w:rsidP="00352934">
      <w:pPr>
        <w:keepNext/>
        <w:keepLines/>
        <w:jc w:val="both"/>
        <w:outlineLvl w:val="0"/>
        <w:rPr>
          <w:rFonts w:asciiTheme="minorHAnsi" w:hAnsiTheme="minorHAnsi" w:cstheme="minorHAnsi"/>
          <w:b/>
          <w:sz w:val="22"/>
          <w:szCs w:val="22"/>
          <w:u w:val="single"/>
        </w:rPr>
      </w:pPr>
      <w:bookmarkStart w:id="39" w:name="_Toc61261236"/>
      <w:r w:rsidRPr="00F90363">
        <w:rPr>
          <w:rFonts w:asciiTheme="minorHAnsi" w:hAnsiTheme="minorHAnsi" w:cstheme="minorHAnsi"/>
          <w:b/>
          <w:sz w:val="22"/>
          <w:szCs w:val="22"/>
          <w:u w:val="single"/>
        </w:rPr>
        <w:t>16. Teritorijų planavimas</w:t>
      </w:r>
      <w:bookmarkEnd w:id="39"/>
    </w:p>
    <w:p w14:paraId="307C83C3" w14:textId="77777777" w:rsidR="00D813A2" w:rsidRPr="00F90363" w:rsidRDefault="00D813A2" w:rsidP="00D813A2">
      <w:pPr>
        <w:ind w:firstLine="567"/>
        <w:rPr>
          <w:rFonts w:ascii="Calibri" w:hAnsi="Calibri"/>
          <w:b/>
          <w:sz w:val="22"/>
          <w:szCs w:val="22"/>
          <w:u w:val="single"/>
        </w:rPr>
      </w:pPr>
      <w:r w:rsidRPr="00F90363">
        <w:rPr>
          <w:rFonts w:ascii="Calibri" w:hAnsi="Calibri"/>
          <w:b/>
          <w:sz w:val="22"/>
          <w:szCs w:val="22"/>
          <w:u w:val="single"/>
        </w:rPr>
        <w:t>16.2. Kompleksinio teritorijų planavimo dokumentai</w:t>
      </w:r>
    </w:p>
    <w:p w14:paraId="33D79F44" w14:textId="77777777" w:rsidR="00D813A2" w:rsidRPr="00F90363" w:rsidRDefault="00D813A2" w:rsidP="00D813A2">
      <w:pPr>
        <w:ind w:firstLine="1134"/>
        <w:rPr>
          <w:rFonts w:asciiTheme="minorHAnsi" w:hAnsiTheme="minorHAnsi" w:cstheme="minorHAnsi"/>
          <w:b/>
          <w:sz w:val="22"/>
          <w:szCs w:val="22"/>
          <w:u w:val="single"/>
        </w:rPr>
      </w:pPr>
      <w:r w:rsidRPr="00F90363">
        <w:rPr>
          <w:rFonts w:asciiTheme="minorHAnsi" w:hAnsiTheme="minorHAnsi" w:cstheme="minorHAnsi"/>
          <w:b/>
          <w:sz w:val="22"/>
          <w:szCs w:val="22"/>
          <w:u w:val="single"/>
        </w:rPr>
        <w:t>16.2.3. Kompleksinio teritorijų planavimo procesas</w:t>
      </w:r>
    </w:p>
    <w:p w14:paraId="7205BBDB" w14:textId="77777777" w:rsidR="00D813A2" w:rsidRPr="00F90363" w:rsidRDefault="00D813A2" w:rsidP="00D813A2">
      <w:pPr>
        <w:ind w:firstLine="1701"/>
        <w:rPr>
          <w:rFonts w:ascii="Calibri" w:hAnsi="Calibri"/>
          <w:b/>
          <w:sz w:val="22"/>
          <w:szCs w:val="22"/>
          <w:u w:val="single"/>
        </w:rPr>
      </w:pPr>
      <w:r w:rsidRPr="00F90363">
        <w:rPr>
          <w:rFonts w:ascii="Calibri" w:hAnsi="Calibri"/>
          <w:b/>
          <w:sz w:val="22"/>
          <w:szCs w:val="22"/>
          <w:u w:val="single"/>
        </w:rPr>
        <w:t>16.2.3.1. Parengiamasis etapas ir planavimo sąlygų išdavimas</w:t>
      </w:r>
    </w:p>
    <w:p w14:paraId="6104BDB0" w14:textId="77777777" w:rsidR="00D813A2" w:rsidRPr="003D5F0B" w:rsidRDefault="00D813A2" w:rsidP="00D813A2">
      <w:pPr>
        <w:rPr>
          <w:rFonts w:asciiTheme="minorHAnsi" w:hAnsiTheme="minorHAnsi" w:cstheme="minorHAnsi"/>
          <w:bCs/>
          <w:sz w:val="22"/>
          <w:szCs w:val="22"/>
        </w:rPr>
      </w:pPr>
    </w:p>
    <w:p w14:paraId="0DEDEFF8" w14:textId="77777777" w:rsidR="00D813A2" w:rsidRPr="00352934" w:rsidRDefault="00D813A2" w:rsidP="00352934">
      <w:pPr>
        <w:jc w:val="both"/>
        <w:outlineLvl w:val="1"/>
        <w:rPr>
          <w:rFonts w:asciiTheme="minorHAnsi" w:eastAsia="Calibri" w:hAnsiTheme="minorHAnsi" w:cstheme="minorHAnsi"/>
          <w:i/>
          <w:sz w:val="22"/>
          <w:szCs w:val="22"/>
        </w:rPr>
      </w:pPr>
      <w:bookmarkStart w:id="40" w:name="_Toc61261237"/>
      <w:r w:rsidRPr="00352934">
        <w:rPr>
          <w:rFonts w:asciiTheme="minorHAnsi" w:eastAsia="Calibri" w:hAnsiTheme="minorHAnsi" w:cstheme="minorHAnsi"/>
          <w:i/>
          <w:sz w:val="22"/>
          <w:szCs w:val="22"/>
        </w:rPr>
        <w:t>Dėl galimybės daugiau nei vieną kartą pasinaudoti lengvata ūkininkams statyti ūkininko sodybą nerengiant detaliojo plano</w:t>
      </w:r>
      <w:bookmarkEnd w:id="40"/>
    </w:p>
    <w:p w14:paraId="7C1BA733" w14:textId="77777777" w:rsidR="00D813A2" w:rsidRPr="003D5F0B" w:rsidRDefault="00D813A2" w:rsidP="00D813A2">
      <w:pPr>
        <w:ind w:firstLine="567"/>
        <w:rPr>
          <w:rFonts w:asciiTheme="minorHAnsi" w:hAnsiTheme="minorHAnsi" w:cstheme="minorHAnsi"/>
          <w:bCs/>
          <w:sz w:val="22"/>
          <w:szCs w:val="22"/>
        </w:rPr>
      </w:pPr>
    </w:p>
    <w:p w14:paraId="4BEA52E0" w14:textId="77777777" w:rsidR="00D813A2" w:rsidRDefault="00D813A2" w:rsidP="00D813A2">
      <w:pPr>
        <w:ind w:firstLine="567"/>
        <w:jc w:val="both"/>
        <w:rPr>
          <w:rFonts w:asciiTheme="minorHAnsi" w:hAnsiTheme="minorHAnsi" w:cstheme="minorHAnsi"/>
          <w:bCs/>
          <w:sz w:val="22"/>
          <w:szCs w:val="22"/>
          <w:lang w:bidi="lt-LT"/>
        </w:rPr>
      </w:pPr>
      <w:r>
        <w:rPr>
          <w:rFonts w:asciiTheme="minorHAnsi" w:hAnsiTheme="minorHAnsi" w:cstheme="minorHAnsi"/>
          <w:bCs/>
          <w:sz w:val="22"/>
          <w:szCs w:val="22"/>
          <w:lang w:bidi="lt-LT"/>
        </w:rPr>
        <w:t>Apžvelgiamoje</w:t>
      </w:r>
      <w:r w:rsidRPr="003D5F0B">
        <w:rPr>
          <w:rFonts w:asciiTheme="minorHAnsi" w:hAnsiTheme="minorHAnsi" w:cstheme="minorHAnsi"/>
          <w:bCs/>
          <w:sz w:val="22"/>
          <w:szCs w:val="22"/>
          <w:lang w:bidi="lt-LT"/>
        </w:rPr>
        <w:t xml:space="preserve"> byloje </w:t>
      </w:r>
      <w:r w:rsidRPr="00011054">
        <w:rPr>
          <w:rFonts w:asciiTheme="minorHAnsi" w:hAnsiTheme="minorHAnsi" w:cstheme="minorHAnsi"/>
          <w:bCs/>
          <w:sz w:val="22"/>
          <w:szCs w:val="22"/>
          <w:lang w:bidi="lt-LT"/>
        </w:rPr>
        <w:t xml:space="preserve">ginčas kilo dėl atsakovo Vilniaus rajono savivaldybės administracijos </w:t>
      </w:r>
      <w:r>
        <w:rPr>
          <w:rFonts w:asciiTheme="minorHAnsi" w:hAnsiTheme="minorHAnsi" w:cstheme="minorHAnsi"/>
          <w:bCs/>
          <w:sz w:val="22"/>
          <w:szCs w:val="22"/>
          <w:lang w:bidi="lt-LT"/>
        </w:rPr>
        <w:t xml:space="preserve">(toliau – Administracija) </w:t>
      </w:r>
      <w:r w:rsidRPr="00011054">
        <w:rPr>
          <w:rFonts w:asciiTheme="minorHAnsi" w:hAnsiTheme="minorHAnsi" w:cstheme="minorHAnsi"/>
          <w:bCs/>
          <w:sz w:val="22"/>
          <w:szCs w:val="22"/>
          <w:lang w:bidi="lt-LT"/>
        </w:rPr>
        <w:t>sprendimo</w:t>
      </w:r>
      <w:r>
        <w:rPr>
          <w:rFonts w:asciiTheme="minorHAnsi" w:hAnsiTheme="minorHAnsi" w:cstheme="minorHAnsi"/>
          <w:bCs/>
          <w:sz w:val="22"/>
          <w:szCs w:val="22"/>
          <w:lang w:bidi="lt-LT"/>
        </w:rPr>
        <w:t xml:space="preserve"> (toliau – Sprendimas)</w:t>
      </w:r>
      <w:r w:rsidRPr="00011054">
        <w:rPr>
          <w:rFonts w:asciiTheme="minorHAnsi" w:hAnsiTheme="minorHAnsi" w:cstheme="minorHAnsi"/>
          <w:bCs/>
          <w:sz w:val="22"/>
          <w:szCs w:val="22"/>
          <w:lang w:bidi="lt-LT"/>
        </w:rPr>
        <w:t xml:space="preserve">, kuriuo atsisakyta pareiškėjui </w:t>
      </w:r>
      <w:bookmarkStart w:id="41" w:name="Buk_34"/>
      <w:r w:rsidRPr="00011054">
        <w:rPr>
          <w:rFonts w:asciiTheme="minorHAnsi" w:hAnsiTheme="minorHAnsi" w:cstheme="minorHAnsi"/>
          <w:bCs/>
          <w:sz w:val="22"/>
          <w:szCs w:val="22"/>
          <w:lang w:bidi="lt-LT"/>
        </w:rPr>
        <w:t xml:space="preserve">T. O. </w:t>
      </w:r>
      <w:bookmarkEnd w:id="41"/>
      <w:r w:rsidRPr="00011054">
        <w:rPr>
          <w:rFonts w:asciiTheme="minorHAnsi" w:hAnsiTheme="minorHAnsi" w:cstheme="minorHAnsi"/>
          <w:bCs/>
          <w:sz w:val="22"/>
          <w:szCs w:val="22"/>
          <w:lang w:bidi="lt-LT"/>
        </w:rPr>
        <w:t xml:space="preserve">išduoti planavimo sąlygas kaimo plėtros žemėtvarkos projektui rengti ūkininko sodybos vietai parinkti </w:t>
      </w:r>
      <w:r>
        <w:rPr>
          <w:rFonts w:asciiTheme="minorHAnsi" w:hAnsiTheme="minorHAnsi" w:cstheme="minorHAnsi"/>
          <w:bCs/>
          <w:sz w:val="22"/>
          <w:szCs w:val="22"/>
          <w:lang w:bidi="lt-LT"/>
        </w:rPr>
        <w:t xml:space="preserve">jam priklausančiame </w:t>
      </w:r>
      <w:r w:rsidRPr="00311835">
        <w:rPr>
          <w:rFonts w:asciiTheme="minorHAnsi" w:hAnsiTheme="minorHAnsi" w:cstheme="minorHAnsi"/>
          <w:bCs/>
          <w:sz w:val="22"/>
          <w:szCs w:val="22"/>
          <w:lang w:bidi="lt-LT"/>
        </w:rPr>
        <w:t xml:space="preserve">0,5169 ha žemės ūkio paskirties </w:t>
      </w:r>
      <w:r w:rsidRPr="00011054">
        <w:rPr>
          <w:rFonts w:asciiTheme="minorHAnsi" w:hAnsiTheme="minorHAnsi" w:cstheme="minorHAnsi"/>
          <w:bCs/>
          <w:sz w:val="22"/>
          <w:szCs w:val="22"/>
          <w:lang w:bidi="lt-LT"/>
        </w:rPr>
        <w:t>žemės sklype</w:t>
      </w:r>
      <w:r>
        <w:rPr>
          <w:rFonts w:asciiTheme="minorHAnsi" w:hAnsiTheme="minorHAnsi" w:cstheme="minorHAnsi"/>
          <w:bCs/>
          <w:sz w:val="22"/>
          <w:szCs w:val="22"/>
          <w:lang w:bidi="lt-LT"/>
        </w:rPr>
        <w:t xml:space="preserve"> (toliau – Sklypas Nr. 1)</w:t>
      </w:r>
      <w:r w:rsidRPr="00011054">
        <w:rPr>
          <w:rFonts w:asciiTheme="minorHAnsi" w:hAnsiTheme="minorHAnsi" w:cstheme="minorHAnsi"/>
          <w:bCs/>
          <w:sz w:val="22"/>
          <w:szCs w:val="22"/>
          <w:lang w:bidi="lt-LT"/>
        </w:rPr>
        <w:t>, pagrįstumo ir teisėtumo</w:t>
      </w:r>
      <w:r>
        <w:rPr>
          <w:rFonts w:asciiTheme="minorHAnsi" w:hAnsiTheme="minorHAnsi" w:cstheme="minorHAnsi"/>
          <w:bCs/>
          <w:sz w:val="22"/>
          <w:szCs w:val="22"/>
          <w:lang w:bidi="lt-LT"/>
        </w:rPr>
        <w:t>.</w:t>
      </w:r>
    </w:p>
    <w:p w14:paraId="777A453F" w14:textId="29ADC1FB" w:rsidR="00D813A2" w:rsidRDefault="00D813A2" w:rsidP="00D813A2">
      <w:pPr>
        <w:ind w:firstLine="567"/>
        <w:jc w:val="both"/>
        <w:rPr>
          <w:rFonts w:asciiTheme="minorHAnsi" w:hAnsiTheme="minorHAnsi" w:cstheme="minorHAnsi"/>
          <w:bCs/>
          <w:sz w:val="22"/>
          <w:szCs w:val="22"/>
          <w:lang w:bidi="lt-LT"/>
        </w:rPr>
      </w:pPr>
      <w:r>
        <w:rPr>
          <w:rFonts w:asciiTheme="minorHAnsi" w:hAnsiTheme="minorHAnsi" w:cstheme="minorHAnsi"/>
          <w:bCs/>
          <w:sz w:val="22"/>
          <w:szCs w:val="22"/>
          <w:lang w:bidi="lt-LT"/>
        </w:rPr>
        <w:t xml:space="preserve">Byloje nustatyta, kad </w:t>
      </w:r>
      <w:r w:rsidRPr="00311835">
        <w:rPr>
          <w:rFonts w:asciiTheme="minorHAnsi" w:hAnsiTheme="minorHAnsi" w:cstheme="minorHAnsi"/>
          <w:bCs/>
          <w:sz w:val="22"/>
          <w:szCs w:val="22"/>
          <w:lang w:bidi="lt-LT"/>
        </w:rPr>
        <w:t xml:space="preserve">pareiškėjas yra ūkininkas, įregistravęs ūkininko ūkį. </w:t>
      </w:r>
      <w:r>
        <w:rPr>
          <w:rFonts w:asciiTheme="minorHAnsi" w:hAnsiTheme="minorHAnsi" w:cstheme="minorHAnsi"/>
          <w:bCs/>
          <w:sz w:val="22"/>
          <w:szCs w:val="22"/>
          <w:lang w:bidi="lt-LT"/>
        </w:rPr>
        <w:t>P</w:t>
      </w:r>
      <w:r w:rsidRPr="00311835">
        <w:rPr>
          <w:rFonts w:asciiTheme="minorHAnsi" w:hAnsiTheme="minorHAnsi" w:cstheme="minorHAnsi"/>
          <w:bCs/>
          <w:sz w:val="22"/>
          <w:szCs w:val="22"/>
          <w:lang w:bidi="lt-LT"/>
        </w:rPr>
        <w:t>areiškėjas</w:t>
      </w:r>
      <w:r>
        <w:rPr>
          <w:rFonts w:asciiTheme="minorHAnsi" w:hAnsiTheme="minorHAnsi" w:cstheme="minorHAnsi"/>
          <w:bCs/>
          <w:sz w:val="22"/>
          <w:szCs w:val="22"/>
          <w:lang w:bidi="lt-LT"/>
        </w:rPr>
        <w:t xml:space="preserve"> </w:t>
      </w:r>
      <w:r w:rsidRPr="00311835">
        <w:rPr>
          <w:rFonts w:asciiTheme="minorHAnsi" w:hAnsiTheme="minorHAnsi" w:cstheme="minorHAnsi"/>
          <w:bCs/>
          <w:sz w:val="22"/>
          <w:szCs w:val="22"/>
          <w:lang w:bidi="lt-LT"/>
        </w:rPr>
        <w:t>2019 m. gegužės 22</w:t>
      </w:r>
      <w:r w:rsidR="00952926">
        <w:rPr>
          <w:rFonts w:asciiTheme="minorHAnsi" w:hAnsiTheme="minorHAnsi" w:cstheme="minorHAnsi"/>
          <w:bCs/>
          <w:sz w:val="22"/>
          <w:szCs w:val="22"/>
          <w:lang w:bidi="lt-LT"/>
        </w:rPr>
        <w:t> </w:t>
      </w:r>
      <w:r w:rsidRPr="00311835">
        <w:rPr>
          <w:rFonts w:asciiTheme="minorHAnsi" w:hAnsiTheme="minorHAnsi" w:cstheme="minorHAnsi"/>
          <w:bCs/>
          <w:sz w:val="22"/>
          <w:szCs w:val="22"/>
          <w:lang w:bidi="lt-LT"/>
        </w:rPr>
        <w:t xml:space="preserve">d. per Žemėtvarkos planavimo dokumentų rengimo informacinę sistemą pateikė atsakovui planavimo darbų programą, kurioje nurodė, kad planavimo tikslas ir uždaviniai – parinkti ūkininko sodybos vietą, nustatyti ūkininko sodybos statinių statybos zoną. Planavimo pagrindas – </w:t>
      </w:r>
      <w:r w:rsidRPr="003D5F0B">
        <w:rPr>
          <w:rFonts w:asciiTheme="minorHAnsi" w:hAnsiTheme="minorHAnsi" w:cstheme="minorHAnsi"/>
          <w:bCs/>
          <w:sz w:val="22"/>
          <w:szCs w:val="22"/>
          <w:lang w:bidi="lt-LT"/>
        </w:rPr>
        <w:t xml:space="preserve">Nacionalinės žemės tarnybos prie Žemės ūkio ministerijos </w:t>
      </w:r>
      <w:r w:rsidRPr="00311835">
        <w:rPr>
          <w:rFonts w:asciiTheme="minorHAnsi" w:hAnsiTheme="minorHAnsi" w:cstheme="minorHAnsi"/>
          <w:bCs/>
          <w:sz w:val="22"/>
          <w:szCs w:val="22"/>
          <w:lang w:bidi="lt-LT"/>
        </w:rPr>
        <w:t>Vilniaus rajono skyriaus vedėj</w:t>
      </w:r>
      <w:r>
        <w:rPr>
          <w:rFonts w:asciiTheme="minorHAnsi" w:hAnsiTheme="minorHAnsi" w:cstheme="minorHAnsi"/>
          <w:bCs/>
          <w:sz w:val="22"/>
          <w:szCs w:val="22"/>
          <w:lang w:bidi="lt-LT"/>
        </w:rPr>
        <w:t>o</w:t>
      </w:r>
      <w:r w:rsidRPr="00311835">
        <w:rPr>
          <w:rFonts w:asciiTheme="minorHAnsi" w:hAnsiTheme="minorHAnsi" w:cstheme="minorHAnsi"/>
          <w:bCs/>
          <w:sz w:val="22"/>
          <w:szCs w:val="22"/>
          <w:lang w:bidi="lt-LT"/>
        </w:rPr>
        <w:t xml:space="preserve"> 2019 m. gegužės 2 d. įsakym</w:t>
      </w:r>
      <w:r>
        <w:rPr>
          <w:rFonts w:asciiTheme="minorHAnsi" w:hAnsiTheme="minorHAnsi" w:cstheme="minorHAnsi"/>
          <w:bCs/>
          <w:sz w:val="22"/>
          <w:szCs w:val="22"/>
          <w:lang w:bidi="lt-LT"/>
        </w:rPr>
        <w:t>as</w:t>
      </w:r>
      <w:r w:rsidRPr="00311835">
        <w:rPr>
          <w:rFonts w:asciiTheme="minorHAnsi" w:hAnsiTheme="minorHAnsi" w:cstheme="minorHAnsi"/>
          <w:bCs/>
          <w:sz w:val="22"/>
          <w:szCs w:val="22"/>
          <w:lang w:bidi="lt-LT"/>
        </w:rPr>
        <w:t xml:space="preserve"> „Dėl kaimo plėtros žemėtvarkos projekto rengimo pradžios ir planavimo tikslų nustatymo“</w:t>
      </w:r>
      <w:r>
        <w:rPr>
          <w:rFonts w:asciiTheme="minorHAnsi" w:hAnsiTheme="minorHAnsi" w:cstheme="minorHAnsi"/>
          <w:bCs/>
          <w:sz w:val="22"/>
          <w:szCs w:val="22"/>
          <w:lang w:bidi="lt-LT"/>
        </w:rPr>
        <w:t>.</w:t>
      </w:r>
    </w:p>
    <w:p w14:paraId="28BF74FA" w14:textId="51FA9227" w:rsidR="00D813A2" w:rsidRDefault="00D813A2" w:rsidP="00D813A2">
      <w:pPr>
        <w:ind w:firstLine="567"/>
        <w:jc w:val="both"/>
        <w:rPr>
          <w:rFonts w:asciiTheme="minorHAnsi" w:hAnsiTheme="minorHAnsi" w:cstheme="minorHAnsi"/>
          <w:bCs/>
          <w:sz w:val="22"/>
          <w:szCs w:val="22"/>
          <w:lang w:bidi="lt-LT"/>
        </w:rPr>
      </w:pPr>
      <w:r w:rsidRPr="001717D9">
        <w:rPr>
          <w:rFonts w:asciiTheme="minorHAnsi" w:hAnsiTheme="minorHAnsi" w:cstheme="minorHAnsi"/>
          <w:bCs/>
          <w:sz w:val="22"/>
          <w:szCs w:val="22"/>
          <w:lang w:bidi="lt-LT"/>
        </w:rPr>
        <w:t>Byloje</w:t>
      </w:r>
      <w:r>
        <w:rPr>
          <w:rFonts w:asciiTheme="minorHAnsi" w:hAnsiTheme="minorHAnsi" w:cstheme="minorHAnsi"/>
          <w:bCs/>
          <w:sz w:val="22"/>
          <w:szCs w:val="22"/>
          <w:lang w:bidi="lt-LT"/>
        </w:rPr>
        <w:t xml:space="preserve"> taip pat </w:t>
      </w:r>
      <w:r w:rsidRPr="001717D9">
        <w:rPr>
          <w:rFonts w:asciiTheme="minorHAnsi" w:hAnsiTheme="minorHAnsi" w:cstheme="minorHAnsi"/>
          <w:bCs/>
          <w:sz w:val="22"/>
          <w:szCs w:val="22"/>
          <w:lang w:bidi="lt-LT"/>
        </w:rPr>
        <w:t xml:space="preserve">nustatyta, kad nuo 2007 m. vasario 21 d. iki 2012 m. gegužės 28 d. </w:t>
      </w:r>
      <w:bookmarkStart w:id="42" w:name="Buk_20"/>
      <w:r>
        <w:rPr>
          <w:rFonts w:asciiTheme="minorHAnsi" w:hAnsiTheme="minorHAnsi" w:cstheme="minorHAnsi"/>
          <w:bCs/>
          <w:sz w:val="22"/>
          <w:szCs w:val="22"/>
          <w:lang w:bidi="lt-LT"/>
        </w:rPr>
        <w:t xml:space="preserve">kitam asmeniui – </w:t>
      </w:r>
      <w:r w:rsidRPr="001717D9">
        <w:rPr>
          <w:rFonts w:asciiTheme="minorHAnsi" w:hAnsiTheme="minorHAnsi" w:cstheme="minorHAnsi"/>
          <w:bCs/>
          <w:sz w:val="22"/>
          <w:szCs w:val="22"/>
          <w:lang w:bidi="lt-LT"/>
        </w:rPr>
        <w:t>M.</w:t>
      </w:r>
      <w:r w:rsidR="00952926">
        <w:rPr>
          <w:rFonts w:asciiTheme="minorHAnsi" w:hAnsiTheme="minorHAnsi" w:cstheme="minorHAnsi"/>
          <w:bCs/>
          <w:sz w:val="22"/>
          <w:szCs w:val="22"/>
          <w:lang w:bidi="lt-LT"/>
        </w:rPr>
        <w:t> </w:t>
      </w:r>
      <w:r w:rsidRPr="001717D9">
        <w:rPr>
          <w:rFonts w:asciiTheme="minorHAnsi" w:hAnsiTheme="minorHAnsi" w:cstheme="minorHAnsi"/>
          <w:bCs/>
          <w:sz w:val="22"/>
          <w:szCs w:val="22"/>
          <w:lang w:bidi="lt-LT"/>
        </w:rPr>
        <w:t>O.</w:t>
      </w:r>
      <w:bookmarkEnd w:id="42"/>
      <w:r>
        <w:rPr>
          <w:rFonts w:asciiTheme="minorHAnsi" w:hAnsiTheme="minorHAnsi" w:cstheme="minorHAnsi"/>
          <w:bCs/>
          <w:sz w:val="22"/>
          <w:szCs w:val="22"/>
          <w:lang w:bidi="lt-LT"/>
        </w:rPr>
        <w:t>,</w:t>
      </w:r>
      <w:r w:rsidRPr="001717D9">
        <w:rPr>
          <w:rFonts w:asciiTheme="minorHAnsi" w:hAnsiTheme="minorHAnsi" w:cstheme="minorHAnsi"/>
          <w:bCs/>
          <w:sz w:val="22"/>
          <w:szCs w:val="22"/>
          <w:lang w:bidi="lt-LT"/>
        </w:rPr>
        <w:t xml:space="preserve"> priklaus</w:t>
      </w:r>
      <w:r>
        <w:rPr>
          <w:rFonts w:asciiTheme="minorHAnsi" w:hAnsiTheme="minorHAnsi" w:cstheme="minorHAnsi"/>
          <w:bCs/>
          <w:sz w:val="22"/>
          <w:szCs w:val="22"/>
          <w:lang w:bidi="lt-LT"/>
        </w:rPr>
        <w:t>ęs</w:t>
      </w:r>
      <w:r w:rsidRPr="001717D9">
        <w:rPr>
          <w:rFonts w:asciiTheme="minorHAnsi" w:hAnsiTheme="minorHAnsi" w:cstheme="minorHAnsi"/>
          <w:bCs/>
          <w:sz w:val="22"/>
          <w:szCs w:val="22"/>
          <w:lang w:bidi="lt-LT"/>
        </w:rPr>
        <w:t xml:space="preserve"> </w:t>
      </w:r>
      <w:r>
        <w:rPr>
          <w:rFonts w:asciiTheme="minorHAnsi" w:hAnsiTheme="minorHAnsi" w:cstheme="minorHAnsi"/>
          <w:bCs/>
          <w:sz w:val="22"/>
          <w:szCs w:val="22"/>
          <w:lang w:bidi="lt-LT"/>
        </w:rPr>
        <w:t>žemės s</w:t>
      </w:r>
      <w:r w:rsidRPr="001717D9">
        <w:rPr>
          <w:rFonts w:asciiTheme="minorHAnsi" w:hAnsiTheme="minorHAnsi" w:cstheme="minorHAnsi"/>
          <w:bCs/>
          <w:sz w:val="22"/>
          <w:szCs w:val="22"/>
          <w:lang w:bidi="lt-LT"/>
        </w:rPr>
        <w:t xml:space="preserve">klypas </w:t>
      </w:r>
      <w:r>
        <w:rPr>
          <w:rFonts w:asciiTheme="minorHAnsi" w:hAnsiTheme="minorHAnsi" w:cstheme="minorHAnsi"/>
          <w:bCs/>
          <w:sz w:val="22"/>
          <w:szCs w:val="22"/>
          <w:lang w:bidi="lt-LT"/>
        </w:rPr>
        <w:t>(toliau – Sklypas Nr. 2)</w:t>
      </w:r>
      <w:r w:rsidRPr="001717D9">
        <w:rPr>
          <w:rFonts w:asciiTheme="minorHAnsi" w:hAnsiTheme="minorHAnsi" w:cstheme="minorHAnsi"/>
          <w:bCs/>
          <w:sz w:val="22"/>
          <w:szCs w:val="22"/>
          <w:lang w:bidi="lt-LT"/>
        </w:rPr>
        <w:t xml:space="preserve"> dovanojimo sutarties pagrindu </w:t>
      </w:r>
      <w:r>
        <w:rPr>
          <w:rFonts w:asciiTheme="minorHAnsi" w:hAnsiTheme="minorHAnsi" w:cstheme="minorHAnsi"/>
          <w:bCs/>
          <w:sz w:val="22"/>
          <w:szCs w:val="22"/>
          <w:lang w:bidi="lt-LT"/>
        </w:rPr>
        <w:t xml:space="preserve">buvo </w:t>
      </w:r>
      <w:r w:rsidRPr="001717D9">
        <w:rPr>
          <w:rFonts w:asciiTheme="minorHAnsi" w:hAnsiTheme="minorHAnsi" w:cstheme="minorHAnsi"/>
          <w:bCs/>
          <w:sz w:val="22"/>
          <w:szCs w:val="22"/>
          <w:lang w:bidi="lt-LT"/>
        </w:rPr>
        <w:t>perleistas pareiškėjui</w:t>
      </w:r>
      <w:r>
        <w:rPr>
          <w:rFonts w:asciiTheme="minorHAnsi" w:hAnsiTheme="minorHAnsi" w:cstheme="minorHAnsi"/>
          <w:bCs/>
          <w:sz w:val="22"/>
          <w:szCs w:val="22"/>
          <w:lang w:bidi="lt-LT"/>
        </w:rPr>
        <w:t xml:space="preserve"> T.</w:t>
      </w:r>
      <w:r w:rsidR="00952926">
        <w:rPr>
          <w:rFonts w:asciiTheme="minorHAnsi" w:hAnsiTheme="minorHAnsi" w:cstheme="minorHAnsi"/>
          <w:bCs/>
          <w:sz w:val="22"/>
          <w:szCs w:val="22"/>
          <w:lang w:bidi="lt-LT"/>
        </w:rPr>
        <w:t> </w:t>
      </w:r>
      <w:r>
        <w:rPr>
          <w:rFonts w:asciiTheme="minorHAnsi" w:hAnsiTheme="minorHAnsi" w:cstheme="minorHAnsi"/>
          <w:bCs/>
          <w:sz w:val="22"/>
          <w:szCs w:val="22"/>
          <w:lang w:bidi="lt-LT"/>
        </w:rPr>
        <w:t>O.</w:t>
      </w:r>
      <w:r w:rsidRPr="001717D9">
        <w:rPr>
          <w:rFonts w:asciiTheme="minorHAnsi" w:hAnsiTheme="minorHAnsi" w:cstheme="minorHAnsi"/>
          <w:bCs/>
          <w:sz w:val="22"/>
          <w:szCs w:val="22"/>
          <w:lang w:bidi="lt-LT"/>
        </w:rPr>
        <w:t xml:space="preserve">, kuriam 2012 m. liepos 25 d. buvo išduotas statybos leidimas </w:t>
      </w:r>
      <w:r>
        <w:rPr>
          <w:rFonts w:asciiTheme="minorHAnsi" w:hAnsiTheme="minorHAnsi" w:cstheme="minorHAnsi"/>
          <w:bCs/>
          <w:sz w:val="22"/>
          <w:szCs w:val="22"/>
          <w:lang w:bidi="lt-LT"/>
        </w:rPr>
        <w:t xml:space="preserve">šiame sklype </w:t>
      </w:r>
      <w:r w:rsidRPr="001717D9">
        <w:rPr>
          <w:rFonts w:asciiTheme="minorHAnsi" w:hAnsiTheme="minorHAnsi" w:cstheme="minorHAnsi"/>
          <w:bCs/>
          <w:sz w:val="22"/>
          <w:szCs w:val="22"/>
          <w:lang w:bidi="lt-LT"/>
        </w:rPr>
        <w:t xml:space="preserve">statyti ūkininko sodybą. Pareiškėjas </w:t>
      </w:r>
      <w:r>
        <w:rPr>
          <w:rFonts w:asciiTheme="minorHAnsi" w:hAnsiTheme="minorHAnsi" w:cstheme="minorHAnsi"/>
          <w:bCs/>
          <w:sz w:val="22"/>
          <w:szCs w:val="22"/>
          <w:lang w:bidi="lt-LT"/>
        </w:rPr>
        <w:t xml:space="preserve">Sklype Nr. 2 </w:t>
      </w:r>
      <w:r w:rsidRPr="001717D9">
        <w:rPr>
          <w:rFonts w:asciiTheme="minorHAnsi" w:hAnsiTheme="minorHAnsi" w:cstheme="minorHAnsi"/>
          <w:bCs/>
          <w:sz w:val="22"/>
          <w:szCs w:val="22"/>
          <w:lang w:bidi="lt-LT"/>
        </w:rPr>
        <w:t>pastatė vienbutį gyvenamąj</w:t>
      </w:r>
      <w:r>
        <w:rPr>
          <w:rFonts w:asciiTheme="minorHAnsi" w:hAnsiTheme="minorHAnsi" w:cstheme="minorHAnsi"/>
          <w:bCs/>
          <w:sz w:val="22"/>
          <w:szCs w:val="22"/>
          <w:lang w:bidi="lt-LT"/>
        </w:rPr>
        <w:t>į</w:t>
      </w:r>
      <w:r w:rsidRPr="001717D9">
        <w:rPr>
          <w:rFonts w:asciiTheme="minorHAnsi" w:hAnsiTheme="minorHAnsi" w:cstheme="minorHAnsi"/>
          <w:bCs/>
          <w:sz w:val="22"/>
          <w:szCs w:val="22"/>
          <w:lang w:bidi="lt-LT"/>
        </w:rPr>
        <w:t xml:space="preserve"> namą, ūkio pastatą ir pirtį, įregistravo juos savo vardu, o po to </w:t>
      </w:r>
      <w:r>
        <w:rPr>
          <w:rFonts w:asciiTheme="minorHAnsi" w:hAnsiTheme="minorHAnsi" w:cstheme="minorHAnsi"/>
          <w:bCs/>
          <w:sz w:val="22"/>
          <w:szCs w:val="22"/>
          <w:lang w:bidi="lt-LT"/>
        </w:rPr>
        <w:t>minėtą s</w:t>
      </w:r>
      <w:r w:rsidRPr="001717D9">
        <w:rPr>
          <w:rFonts w:asciiTheme="minorHAnsi" w:hAnsiTheme="minorHAnsi" w:cstheme="minorHAnsi"/>
          <w:bCs/>
          <w:sz w:val="22"/>
          <w:szCs w:val="22"/>
          <w:lang w:bidi="lt-LT"/>
        </w:rPr>
        <w:t>klypą su pastatyta ir įregistruota ūkininko sodyba bei kitais pastatais dovanojimo sutarties pagrindu</w:t>
      </w:r>
      <w:r>
        <w:rPr>
          <w:rFonts w:asciiTheme="minorHAnsi" w:hAnsiTheme="minorHAnsi" w:cstheme="minorHAnsi"/>
          <w:bCs/>
          <w:sz w:val="22"/>
          <w:szCs w:val="22"/>
          <w:lang w:bidi="lt-LT"/>
        </w:rPr>
        <w:t xml:space="preserve"> </w:t>
      </w:r>
      <w:r w:rsidRPr="001717D9">
        <w:rPr>
          <w:rFonts w:asciiTheme="minorHAnsi" w:hAnsiTheme="minorHAnsi" w:cstheme="minorHAnsi"/>
          <w:bCs/>
          <w:sz w:val="22"/>
          <w:szCs w:val="22"/>
          <w:lang w:bidi="lt-LT"/>
        </w:rPr>
        <w:t xml:space="preserve">2019 m. sausio 28 d. perleido </w:t>
      </w:r>
      <w:bookmarkStart w:id="43" w:name="Buk_21"/>
      <w:r w:rsidRPr="001717D9">
        <w:rPr>
          <w:rFonts w:asciiTheme="minorHAnsi" w:hAnsiTheme="minorHAnsi" w:cstheme="minorHAnsi"/>
          <w:bCs/>
          <w:sz w:val="22"/>
          <w:szCs w:val="22"/>
          <w:lang w:bidi="lt-LT"/>
        </w:rPr>
        <w:t>M. O.</w:t>
      </w:r>
      <w:bookmarkEnd w:id="43"/>
    </w:p>
    <w:p w14:paraId="53F774A9" w14:textId="1DC9050C" w:rsidR="00D813A2" w:rsidRDefault="00D813A2" w:rsidP="00D813A2">
      <w:pPr>
        <w:ind w:firstLine="567"/>
        <w:jc w:val="both"/>
        <w:rPr>
          <w:rFonts w:asciiTheme="minorHAnsi" w:hAnsiTheme="minorHAnsi" w:cstheme="minorHAnsi"/>
          <w:bCs/>
          <w:sz w:val="22"/>
          <w:szCs w:val="22"/>
          <w:lang w:bidi="lt-LT"/>
        </w:rPr>
      </w:pPr>
      <w:r w:rsidRPr="00A80791">
        <w:rPr>
          <w:rFonts w:asciiTheme="minorHAnsi" w:hAnsiTheme="minorHAnsi" w:cstheme="minorHAnsi"/>
          <w:bCs/>
          <w:sz w:val="22"/>
          <w:szCs w:val="22"/>
          <w:lang w:bidi="lt-LT"/>
        </w:rPr>
        <w:t xml:space="preserve">Pirmosios instancijos teismas, išnagrinėjęs pareiškėjo skundo argumentus, atsakovo </w:t>
      </w:r>
      <w:r w:rsidR="00952926">
        <w:rPr>
          <w:rFonts w:asciiTheme="minorHAnsi" w:hAnsiTheme="minorHAnsi" w:cstheme="minorHAnsi"/>
          <w:bCs/>
          <w:sz w:val="22"/>
          <w:szCs w:val="22"/>
          <w:lang w:bidi="lt-LT"/>
        </w:rPr>
        <w:t>atsiliepimą</w:t>
      </w:r>
      <w:r w:rsidRPr="00A80791">
        <w:rPr>
          <w:rFonts w:asciiTheme="minorHAnsi" w:hAnsiTheme="minorHAnsi" w:cstheme="minorHAnsi"/>
          <w:bCs/>
          <w:sz w:val="22"/>
          <w:szCs w:val="22"/>
          <w:lang w:bidi="lt-LT"/>
        </w:rPr>
        <w:t xml:space="preserve"> į skundą, įvertinęs byloje surinktus įrodymus, pareiškėjo skundą atmetė, nes nustatė, kad pareiškėjas jau pasinaudojo Ūkininko ūkio įstatymo 11 straipsnio 1 dalyje įtvirtinta lengvata statyti vieną ūkininko sodybą nerengiant detaliųjų planų, todėl Administracija pagrįstai atsisakė pareiškėjui išduoti planavimo sąlygas kaimo plėtros žemėtvarkos projektui rengti</w:t>
      </w:r>
      <w:r>
        <w:rPr>
          <w:rFonts w:asciiTheme="minorHAnsi" w:hAnsiTheme="minorHAnsi" w:cstheme="minorHAnsi"/>
          <w:bCs/>
          <w:sz w:val="22"/>
          <w:szCs w:val="22"/>
          <w:lang w:bidi="lt-LT"/>
        </w:rPr>
        <w:t>.</w:t>
      </w:r>
    </w:p>
    <w:p w14:paraId="57434911" w14:textId="0B155F08" w:rsidR="00D813A2" w:rsidRDefault="00D813A2" w:rsidP="15BB7CCC">
      <w:pPr>
        <w:ind w:firstLine="567"/>
        <w:jc w:val="both"/>
        <w:rPr>
          <w:rFonts w:asciiTheme="minorHAnsi" w:hAnsiTheme="minorHAnsi" w:cstheme="minorBidi"/>
          <w:sz w:val="22"/>
          <w:szCs w:val="22"/>
          <w:lang w:bidi="lt-LT"/>
        </w:rPr>
      </w:pPr>
      <w:r w:rsidRPr="15BB7CCC">
        <w:rPr>
          <w:rFonts w:asciiTheme="minorHAnsi" w:hAnsiTheme="minorHAnsi" w:cstheme="minorBidi"/>
          <w:sz w:val="22"/>
          <w:szCs w:val="22"/>
          <w:lang w:bidi="lt-LT"/>
        </w:rPr>
        <w:t>Teisėjų kolegija, įvertinusi ginčui aktualų teisinį reglamentavimą, L</w:t>
      </w:r>
      <w:r w:rsidR="5E4504BF" w:rsidRPr="15BB7CCC">
        <w:rPr>
          <w:rFonts w:asciiTheme="minorHAnsi" w:hAnsiTheme="minorHAnsi" w:cstheme="minorBidi"/>
          <w:sz w:val="22"/>
          <w:szCs w:val="22"/>
          <w:lang w:bidi="lt-LT"/>
        </w:rPr>
        <w:t>VAT</w:t>
      </w:r>
      <w:r w:rsidRPr="15BB7CCC">
        <w:rPr>
          <w:rFonts w:asciiTheme="minorHAnsi" w:hAnsiTheme="minorHAnsi" w:cstheme="minorBidi"/>
          <w:sz w:val="22"/>
          <w:szCs w:val="22"/>
          <w:lang w:bidi="lt-LT"/>
        </w:rPr>
        <w:t xml:space="preserve"> praktiką bei byloje nustatytas faktines aplinkybes, sutiko su pirmosios instancijos teismo išvada, kad</w:t>
      </w:r>
      <w:r w:rsidRPr="15BB7CCC">
        <w:rPr>
          <w:rFonts w:asciiTheme="minorHAnsi" w:hAnsiTheme="minorHAnsi" w:cstheme="minorBidi"/>
          <w:sz w:val="22"/>
          <w:szCs w:val="22"/>
        </w:rPr>
        <w:t xml:space="preserve"> </w:t>
      </w:r>
      <w:r w:rsidRPr="15BB7CCC">
        <w:rPr>
          <w:rFonts w:asciiTheme="minorHAnsi" w:hAnsiTheme="minorHAnsi" w:cstheme="minorBidi"/>
          <w:sz w:val="22"/>
          <w:szCs w:val="22"/>
          <w:u w:val="single"/>
        </w:rPr>
        <w:t>pareiškėjas jau pasinaudojo Ūkininko ūkio įstatymo 11 straipsnio 1 dalyje įtvirtinta lengvata statyti vieną ūkininko sodybą nerengiant detaliųjų planų, o aplinkybė, jog pareiškėjas neturi ūkininko sodybos, kurią dovanojimo sutarties pagrindu perleido M. O., nesuteikia jam teisės išimties tvarka statytis dar vieną ūkininko sodybą</w:t>
      </w:r>
      <w:r w:rsidRPr="15BB7CCC">
        <w:rPr>
          <w:rFonts w:asciiTheme="minorHAnsi" w:hAnsiTheme="minorHAnsi" w:cstheme="minorBidi"/>
          <w:sz w:val="22"/>
          <w:szCs w:val="22"/>
        </w:rPr>
        <w:t xml:space="preserve">. Tokios išvados nepaneigia ir pareiškėjo apeliacinio skundo argumentai, jog </w:t>
      </w:r>
      <w:r w:rsidRPr="15BB7CCC">
        <w:rPr>
          <w:rFonts w:asciiTheme="minorHAnsi" w:hAnsiTheme="minorHAnsi" w:cstheme="minorBidi"/>
          <w:sz w:val="22"/>
          <w:szCs w:val="22"/>
          <w:lang w:bidi="lt-LT"/>
        </w:rPr>
        <w:t>žemės ūkio paskirties žemė nėra nei urbanizuota, nei urbanizuojama teritorija, o tai reiškia, kad pareiškėjas, norėdamas pasistatyti ūkininko ūkio sodybą, neturi jokios teisinės galimybės sklype parengti detalųjį planą (Teritorijų planavimo įstatymo 17</w:t>
      </w:r>
      <w:r w:rsidR="00952926" w:rsidRPr="15BB7CCC">
        <w:rPr>
          <w:rFonts w:asciiTheme="minorHAnsi" w:hAnsiTheme="minorHAnsi" w:cstheme="minorBidi"/>
          <w:sz w:val="22"/>
          <w:szCs w:val="22"/>
          <w:lang w:bidi="lt-LT"/>
        </w:rPr>
        <w:t> </w:t>
      </w:r>
      <w:r w:rsidRPr="15BB7CCC">
        <w:rPr>
          <w:rFonts w:asciiTheme="minorHAnsi" w:hAnsiTheme="minorHAnsi" w:cstheme="minorBidi"/>
          <w:sz w:val="22"/>
          <w:szCs w:val="22"/>
          <w:lang w:bidi="lt-LT"/>
        </w:rPr>
        <w:t xml:space="preserve">str. 4 d. 1 p.). Teisėjų kolegija </w:t>
      </w:r>
      <w:r w:rsidRPr="15BB7CCC">
        <w:rPr>
          <w:rFonts w:asciiTheme="minorHAnsi" w:hAnsiTheme="minorHAnsi" w:cstheme="minorBidi"/>
          <w:sz w:val="22"/>
          <w:szCs w:val="22"/>
          <w:lang w:bidi="lt-LT"/>
        </w:rPr>
        <w:lastRenderedPageBreak/>
        <w:t>pažymėjo, kad teisinis reglamentavimas neužkerta kelio ūkininkui planuoti teritoriją ir vykdyti statybos procesą vadovaujantis bendromis taisyklėmis.</w:t>
      </w:r>
    </w:p>
    <w:p w14:paraId="4B56EA91" w14:textId="790560BF" w:rsidR="00D813A2" w:rsidRPr="001717D9" w:rsidRDefault="00D813A2" w:rsidP="00D813A2">
      <w:pPr>
        <w:ind w:firstLine="567"/>
        <w:jc w:val="both"/>
        <w:rPr>
          <w:rFonts w:asciiTheme="minorHAnsi" w:hAnsiTheme="minorHAnsi" w:cstheme="minorHAnsi"/>
          <w:bCs/>
          <w:sz w:val="22"/>
          <w:szCs w:val="22"/>
        </w:rPr>
      </w:pPr>
      <w:r>
        <w:rPr>
          <w:rFonts w:asciiTheme="minorHAnsi" w:hAnsiTheme="minorHAnsi" w:cstheme="minorHAnsi"/>
          <w:bCs/>
          <w:sz w:val="22"/>
          <w:szCs w:val="22"/>
          <w:lang w:bidi="lt-LT"/>
        </w:rPr>
        <w:t xml:space="preserve">Teisėjų kolegija atkreipė dėmesį, kad </w:t>
      </w:r>
      <w:r w:rsidRPr="001717D9">
        <w:rPr>
          <w:rFonts w:asciiTheme="minorHAnsi" w:hAnsiTheme="minorHAnsi" w:cstheme="minorHAnsi"/>
          <w:bCs/>
          <w:sz w:val="22"/>
          <w:szCs w:val="22"/>
          <w:u w:val="single"/>
        </w:rPr>
        <w:t>lengvatos ūkininkams statyti ūkininko sodybą nerengiant detaliojo plano tikslas yra tam tikras ūkininkavimo palengvinimas ir skatinimas, tačiau ne statybos proceso skatinimas</w:t>
      </w:r>
      <w:r>
        <w:rPr>
          <w:rFonts w:asciiTheme="minorHAnsi" w:hAnsiTheme="minorHAnsi" w:cstheme="minorHAnsi"/>
          <w:bCs/>
          <w:sz w:val="22"/>
          <w:szCs w:val="22"/>
        </w:rPr>
        <w:t>,</w:t>
      </w:r>
      <w:r w:rsidRPr="001717D9">
        <w:rPr>
          <w:rFonts w:asciiTheme="minorHAnsi" w:hAnsiTheme="minorHAnsi" w:cstheme="minorHAnsi"/>
          <w:bCs/>
          <w:sz w:val="22"/>
          <w:szCs w:val="22"/>
        </w:rPr>
        <w:t xml:space="preserve"> </w:t>
      </w:r>
      <w:r>
        <w:rPr>
          <w:rFonts w:asciiTheme="minorHAnsi" w:hAnsiTheme="minorHAnsi" w:cstheme="minorHAnsi"/>
          <w:bCs/>
          <w:sz w:val="22"/>
          <w:szCs w:val="22"/>
        </w:rPr>
        <w:t>o</w:t>
      </w:r>
      <w:r w:rsidRPr="001717D9">
        <w:rPr>
          <w:rFonts w:asciiTheme="minorHAnsi" w:hAnsiTheme="minorHAnsi" w:cstheme="minorHAnsi"/>
          <w:bCs/>
          <w:sz w:val="22"/>
          <w:szCs w:val="22"/>
        </w:rPr>
        <w:t xml:space="preserve"> bylai aktualios Ūkininko ūkio įstatymo normos turi būti aiškinamos atsižvelgiant į minėtą tikslą. </w:t>
      </w:r>
      <w:r>
        <w:rPr>
          <w:rFonts w:asciiTheme="minorHAnsi" w:hAnsiTheme="minorHAnsi" w:cstheme="minorHAnsi"/>
          <w:bCs/>
          <w:sz w:val="22"/>
          <w:szCs w:val="22"/>
        </w:rPr>
        <w:t xml:space="preserve">Pasisakydama dėl </w:t>
      </w:r>
      <w:r w:rsidRPr="001717D9">
        <w:rPr>
          <w:rFonts w:asciiTheme="minorHAnsi" w:hAnsiTheme="minorHAnsi" w:cstheme="minorHAnsi"/>
          <w:bCs/>
          <w:sz w:val="22"/>
          <w:szCs w:val="22"/>
        </w:rPr>
        <w:t>pareiškėjo teigin</w:t>
      </w:r>
      <w:r>
        <w:rPr>
          <w:rFonts w:asciiTheme="minorHAnsi" w:hAnsiTheme="minorHAnsi" w:cstheme="minorHAnsi"/>
          <w:bCs/>
          <w:sz w:val="22"/>
          <w:szCs w:val="22"/>
        </w:rPr>
        <w:t>io</w:t>
      </w:r>
      <w:r w:rsidRPr="001717D9">
        <w:rPr>
          <w:rFonts w:asciiTheme="minorHAnsi" w:hAnsiTheme="minorHAnsi" w:cstheme="minorHAnsi"/>
          <w:bCs/>
          <w:sz w:val="22"/>
          <w:szCs w:val="22"/>
        </w:rPr>
        <w:t>, kad</w:t>
      </w:r>
      <w:r>
        <w:rPr>
          <w:rFonts w:asciiTheme="minorHAnsi" w:hAnsiTheme="minorHAnsi" w:cstheme="minorHAnsi"/>
          <w:bCs/>
          <w:sz w:val="22"/>
          <w:szCs w:val="22"/>
        </w:rPr>
        <w:t xml:space="preserve"> pagal </w:t>
      </w:r>
      <w:r w:rsidRPr="00E07D28">
        <w:rPr>
          <w:rFonts w:asciiTheme="minorHAnsi" w:hAnsiTheme="minorHAnsi" w:cstheme="minorHAnsi"/>
          <w:bCs/>
          <w:sz w:val="22"/>
          <w:szCs w:val="22"/>
        </w:rPr>
        <w:t>Kaimo plėtros žemėtvarkos projektų rengimo taisyklių, patvirtintų žemės ūkio ministro ir aplinkos ministro 2004 m. rugpjūčio 11 d. įsakymu Nr. 3D-476/D1-429,</w:t>
      </w:r>
      <w:r>
        <w:rPr>
          <w:rFonts w:asciiTheme="minorHAnsi" w:hAnsiTheme="minorHAnsi" w:cstheme="minorHAnsi"/>
          <w:bCs/>
          <w:sz w:val="22"/>
          <w:szCs w:val="22"/>
        </w:rPr>
        <w:t xml:space="preserve"> </w:t>
      </w:r>
      <w:r w:rsidRPr="001717D9">
        <w:rPr>
          <w:rFonts w:asciiTheme="minorHAnsi" w:hAnsiTheme="minorHAnsi" w:cstheme="minorHAnsi"/>
          <w:bCs/>
          <w:sz w:val="22"/>
          <w:szCs w:val="22"/>
        </w:rPr>
        <w:t>58</w:t>
      </w:r>
      <w:r>
        <w:rPr>
          <w:rFonts w:asciiTheme="minorHAnsi" w:hAnsiTheme="minorHAnsi" w:cstheme="minorHAnsi"/>
          <w:bCs/>
          <w:sz w:val="22"/>
          <w:szCs w:val="22"/>
        </w:rPr>
        <w:t xml:space="preserve"> </w:t>
      </w:r>
      <w:r w:rsidRPr="001717D9">
        <w:rPr>
          <w:rFonts w:asciiTheme="minorHAnsi" w:hAnsiTheme="minorHAnsi" w:cstheme="minorHAnsi"/>
          <w:bCs/>
          <w:sz w:val="22"/>
          <w:szCs w:val="22"/>
        </w:rPr>
        <w:t>punkt</w:t>
      </w:r>
      <w:r>
        <w:rPr>
          <w:rFonts w:asciiTheme="minorHAnsi" w:hAnsiTheme="minorHAnsi" w:cstheme="minorHAnsi"/>
          <w:bCs/>
          <w:sz w:val="22"/>
          <w:szCs w:val="22"/>
        </w:rPr>
        <w:t>ą</w:t>
      </w:r>
      <w:r w:rsidRPr="001717D9">
        <w:rPr>
          <w:rFonts w:asciiTheme="minorHAnsi" w:hAnsiTheme="minorHAnsi" w:cstheme="minorHAnsi"/>
          <w:bCs/>
          <w:sz w:val="22"/>
          <w:szCs w:val="22"/>
        </w:rPr>
        <w:t xml:space="preserve"> apribojimas statyti vieną ūkininko ūkio sodybą siejamas ne su pastatytų sodybų skaičiumi, o su sodybų skaičiumi viename žemės sklype, teisėjų kolegija pažym</w:t>
      </w:r>
      <w:r>
        <w:rPr>
          <w:rFonts w:asciiTheme="minorHAnsi" w:hAnsiTheme="minorHAnsi" w:cstheme="minorHAnsi"/>
          <w:bCs/>
          <w:sz w:val="22"/>
          <w:szCs w:val="22"/>
        </w:rPr>
        <w:t>ėjo</w:t>
      </w:r>
      <w:r w:rsidRPr="001717D9">
        <w:rPr>
          <w:rFonts w:asciiTheme="minorHAnsi" w:hAnsiTheme="minorHAnsi" w:cstheme="minorHAnsi"/>
          <w:bCs/>
          <w:sz w:val="22"/>
          <w:szCs w:val="22"/>
        </w:rPr>
        <w:t>, kad Taisyklėse įtvirtintas reguliavimas turi būti aiškinamas atsižvelgiant į aukštesnės galios teisės aktais (Teritorijų planavimo įstatymo,</w:t>
      </w:r>
      <w:r w:rsidR="00952926">
        <w:rPr>
          <w:rFonts w:asciiTheme="minorHAnsi" w:hAnsiTheme="minorHAnsi" w:cstheme="minorHAnsi"/>
          <w:bCs/>
          <w:sz w:val="22"/>
          <w:szCs w:val="22"/>
        </w:rPr>
        <w:t xml:space="preserve"> </w:t>
      </w:r>
      <w:r w:rsidRPr="001717D9">
        <w:rPr>
          <w:rFonts w:asciiTheme="minorHAnsi" w:hAnsiTheme="minorHAnsi" w:cstheme="minorHAnsi"/>
          <w:bCs/>
          <w:sz w:val="22"/>
          <w:szCs w:val="22"/>
        </w:rPr>
        <w:t>Ūkininko ūkio įstatymo) nustatytą reguliavimą</w:t>
      </w:r>
      <w:r w:rsidRPr="001717D9">
        <w:rPr>
          <w:rFonts w:asciiTheme="minorHAnsi" w:hAnsiTheme="minorHAnsi" w:cstheme="minorHAnsi"/>
          <w:bCs/>
          <w:sz w:val="22"/>
          <w:szCs w:val="22"/>
          <w:lang w:bidi="lt-LT"/>
        </w:rPr>
        <w:t>.</w:t>
      </w:r>
    </w:p>
    <w:p w14:paraId="60718AE6" w14:textId="77777777" w:rsidR="00D813A2" w:rsidRDefault="00D813A2" w:rsidP="00D813A2">
      <w:pPr>
        <w:ind w:firstLine="567"/>
        <w:jc w:val="both"/>
        <w:rPr>
          <w:rFonts w:asciiTheme="minorHAnsi" w:hAnsiTheme="minorHAnsi" w:cstheme="minorHAnsi"/>
          <w:bCs/>
          <w:sz w:val="22"/>
          <w:szCs w:val="22"/>
        </w:rPr>
      </w:pPr>
      <w:r>
        <w:rPr>
          <w:rFonts w:asciiTheme="minorHAnsi" w:hAnsiTheme="minorHAnsi" w:cstheme="minorHAnsi"/>
          <w:bCs/>
          <w:sz w:val="22"/>
          <w:szCs w:val="22"/>
        </w:rPr>
        <w:t>Atsižvelgiant į tai, pareiškėjo apeliacinis skundas atmestas, o pirmosios instancijos teismo sprendimas paliktas nepakeistas.</w:t>
      </w:r>
    </w:p>
    <w:p w14:paraId="7EEA8BAB" w14:textId="77777777" w:rsidR="00D813A2" w:rsidRPr="003D5F0B" w:rsidRDefault="00D813A2" w:rsidP="00D813A2">
      <w:pPr>
        <w:ind w:firstLine="567"/>
        <w:rPr>
          <w:rFonts w:asciiTheme="minorHAnsi" w:hAnsiTheme="minorHAnsi" w:cstheme="minorHAnsi"/>
          <w:bCs/>
          <w:sz w:val="22"/>
          <w:szCs w:val="22"/>
        </w:rPr>
      </w:pPr>
    </w:p>
    <w:p w14:paraId="06FD1177" w14:textId="77777777" w:rsidR="00D813A2" w:rsidRPr="003D5F0B" w:rsidRDefault="00D813A2" w:rsidP="00D813A2">
      <w:pPr>
        <w:rPr>
          <w:rFonts w:asciiTheme="minorHAnsi" w:hAnsiTheme="minorHAnsi" w:cstheme="minorHAnsi"/>
          <w:sz w:val="22"/>
          <w:szCs w:val="22"/>
        </w:rPr>
      </w:pPr>
      <w:r w:rsidRPr="003D5F0B">
        <w:rPr>
          <w:rFonts w:asciiTheme="minorHAnsi" w:hAnsiTheme="minorHAnsi" w:cstheme="minorHAnsi"/>
          <w:sz w:val="22"/>
          <w:szCs w:val="22"/>
        </w:rPr>
        <w:t xml:space="preserve">2020 m. </w:t>
      </w:r>
      <w:r>
        <w:rPr>
          <w:rFonts w:asciiTheme="minorHAnsi" w:hAnsiTheme="minorHAnsi" w:cstheme="minorHAnsi"/>
          <w:sz w:val="22"/>
          <w:szCs w:val="22"/>
        </w:rPr>
        <w:t>lapkričio</w:t>
      </w:r>
      <w:r w:rsidRPr="003D5F0B">
        <w:rPr>
          <w:rFonts w:asciiTheme="minorHAnsi" w:hAnsiTheme="minorHAnsi" w:cstheme="minorHAnsi"/>
          <w:sz w:val="22"/>
          <w:szCs w:val="22"/>
        </w:rPr>
        <w:t xml:space="preserve"> </w:t>
      </w:r>
      <w:r>
        <w:rPr>
          <w:rFonts w:asciiTheme="minorHAnsi" w:hAnsiTheme="minorHAnsi" w:cstheme="minorHAnsi"/>
          <w:sz w:val="22"/>
          <w:szCs w:val="22"/>
        </w:rPr>
        <w:t>25</w:t>
      </w:r>
      <w:r w:rsidRPr="003D5F0B">
        <w:rPr>
          <w:rFonts w:asciiTheme="minorHAnsi" w:hAnsiTheme="minorHAnsi" w:cstheme="minorHAnsi"/>
          <w:sz w:val="22"/>
          <w:szCs w:val="22"/>
        </w:rPr>
        <w:t xml:space="preserve"> d. nutartis administracinėje byloje Nr. </w:t>
      </w:r>
      <w:r w:rsidRPr="00F90363">
        <w:rPr>
          <w:rFonts w:asciiTheme="minorHAnsi" w:hAnsiTheme="minorHAnsi" w:cstheme="minorHAnsi"/>
          <w:sz w:val="22"/>
          <w:szCs w:val="22"/>
          <w:lang w:eastAsia="en-US"/>
        </w:rPr>
        <w:t>eA-2650-520/2020</w:t>
      </w:r>
    </w:p>
    <w:p w14:paraId="3593BCE6" w14:textId="77777777" w:rsidR="00D813A2" w:rsidRPr="003D5F0B" w:rsidRDefault="00D813A2" w:rsidP="00D813A2">
      <w:pPr>
        <w:rPr>
          <w:rFonts w:asciiTheme="minorHAnsi" w:hAnsiTheme="minorHAnsi" w:cstheme="minorHAnsi"/>
          <w:bCs/>
          <w:sz w:val="22"/>
          <w:szCs w:val="22"/>
          <w:lang w:eastAsia="en-US"/>
        </w:rPr>
      </w:pPr>
      <w:r w:rsidRPr="003D5F0B">
        <w:rPr>
          <w:rFonts w:asciiTheme="minorHAnsi" w:hAnsiTheme="minorHAnsi" w:cstheme="minorHAnsi"/>
          <w:sz w:val="22"/>
          <w:szCs w:val="22"/>
        </w:rPr>
        <w:t xml:space="preserve">Teisminio proceso Nr. </w:t>
      </w:r>
      <w:r w:rsidRPr="00F90363">
        <w:rPr>
          <w:rFonts w:asciiTheme="minorHAnsi" w:hAnsiTheme="minorHAnsi" w:cstheme="minorHAnsi"/>
          <w:bCs/>
          <w:sz w:val="22"/>
          <w:szCs w:val="22"/>
          <w:lang w:eastAsia="en-US"/>
        </w:rPr>
        <w:t>3-61-3-02148-2019-0</w:t>
      </w:r>
    </w:p>
    <w:p w14:paraId="7FC2A602" w14:textId="77777777" w:rsidR="00D813A2" w:rsidRPr="003D5F0B" w:rsidRDefault="00D813A2" w:rsidP="00D813A2">
      <w:pPr>
        <w:rPr>
          <w:rFonts w:asciiTheme="minorHAnsi" w:hAnsiTheme="minorHAnsi" w:cstheme="minorHAnsi"/>
          <w:sz w:val="22"/>
          <w:szCs w:val="22"/>
          <w:lang w:eastAsia="en-US"/>
        </w:rPr>
      </w:pPr>
      <w:r w:rsidRPr="003D5F0B">
        <w:rPr>
          <w:rFonts w:asciiTheme="minorHAnsi" w:hAnsiTheme="minorHAnsi" w:cstheme="minorHAnsi"/>
          <w:sz w:val="22"/>
          <w:szCs w:val="22"/>
        </w:rPr>
        <w:t xml:space="preserve">Procesinio sprendimo </w:t>
      </w:r>
      <w:r w:rsidRPr="003D5F0B">
        <w:rPr>
          <w:rFonts w:asciiTheme="minorHAnsi" w:hAnsiTheme="minorHAnsi" w:cstheme="minorHAnsi"/>
          <w:sz w:val="22"/>
          <w:szCs w:val="22"/>
          <w:lang w:eastAsia="en-US"/>
        </w:rPr>
        <w:t>kategorij</w:t>
      </w:r>
      <w:r>
        <w:rPr>
          <w:rFonts w:asciiTheme="minorHAnsi" w:hAnsiTheme="minorHAnsi" w:cstheme="minorHAnsi"/>
          <w:sz w:val="22"/>
          <w:szCs w:val="22"/>
          <w:lang w:eastAsia="en-US"/>
        </w:rPr>
        <w:t>a</w:t>
      </w:r>
      <w:r w:rsidRPr="003D5F0B">
        <w:rPr>
          <w:rFonts w:asciiTheme="minorHAnsi" w:hAnsiTheme="minorHAnsi" w:cstheme="minorHAnsi"/>
          <w:sz w:val="22"/>
          <w:szCs w:val="22"/>
          <w:lang w:eastAsia="en-US"/>
        </w:rPr>
        <w:t xml:space="preserve"> 1</w:t>
      </w:r>
      <w:r>
        <w:rPr>
          <w:rFonts w:asciiTheme="minorHAnsi" w:hAnsiTheme="minorHAnsi" w:cstheme="minorHAnsi"/>
          <w:sz w:val="22"/>
          <w:szCs w:val="22"/>
          <w:lang w:eastAsia="en-US"/>
        </w:rPr>
        <w:t>6</w:t>
      </w:r>
      <w:r w:rsidRPr="003D5F0B">
        <w:rPr>
          <w:rFonts w:asciiTheme="minorHAnsi" w:hAnsiTheme="minorHAnsi" w:cstheme="minorHAnsi"/>
          <w:sz w:val="22"/>
          <w:szCs w:val="22"/>
          <w:lang w:eastAsia="en-US"/>
        </w:rPr>
        <w:t>.</w:t>
      </w:r>
      <w:r>
        <w:rPr>
          <w:rFonts w:asciiTheme="minorHAnsi" w:hAnsiTheme="minorHAnsi" w:cstheme="minorHAnsi"/>
          <w:sz w:val="22"/>
          <w:szCs w:val="22"/>
          <w:lang w:eastAsia="en-US"/>
        </w:rPr>
        <w:t>2.3.1</w:t>
      </w:r>
    </w:p>
    <w:p w14:paraId="69678E7D" w14:textId="77777777" w:rsidR="00D813A2" w:rsidRPr="003D5F0B" w:rsidRDefault="00822FF8" w:rsidP="00D813A2">
      <w:pPr>
        <w:rPr>
          <w:rFonts w:asciiTheme="minorHAnsi" w:hAnsiTheme="minorHAnsi" w:cstheme="minorHAnsi"/>
          <w:sz w:val="22"/>
          <w:szCs w:val="22"/>
          <w:u w:val="single"/>
        </w:rPr>
      </w:pPr>
      <w:hyperlink r:id="rId20" w:history="1">
        <w:r w:rsidR="00D813A2" w:rsidRPr="003D5F0B">
          <w:rPr>
            <w:rStyle w:val="Hipersaitas"/>
            <w:rFonts w:asciiTheme="minorHAnsi" w:hAnsiTheme="minorHAnsi" w:cstheme="minorHAnsi"/>
            <w:sz w:val="22"/>
            <w:szCs w:val="22"/>
          </w:rPr>
          <w:t>Prieiga internete</w:t>
        </w:r>
      </w:hyperlink>
    </w:p>
    <w:p w14:paraId="44D243AD" w14:textId="77777777" w:rsidR="00D813A2" w:rsidRDefault="00D813A2" w:rsidP="00D813A2">
      <w:pPr>
        <w:rPr>
          <w:rFonts w:asciiTheme="minorHAnsi" w:hAnsiTheme="minorHAnsi" w:cstheme="minorHAnsi"/>
          <w:bCs/>
          <w:sz w:val="22"/>
          <w:szCs w:val="22"/>
        </w:rPr>
      </w:pPr>
    </w:p>
    <w:p w14:paraId="517B1DC3" w14:textId="77777777" w:rsidR="00D813A2" w:rsidRPr="003D5F0B" w:rsidRDefault="00D813A2" w:rsidP="00952926">
      <w:pPr>
        <w:keepNext/>
        <w:keepLines/>
        <w:jc w:val="both"/>
        <w:outlineLvl w:val="0"/>
        <w:rPr>
          <w:rFonts w:asciiTheme="minorHAnsi" w:hAnsiTheme="minorHAnsi" w:cstheme="minorHAnsi"/>
          <w:b/>
          <w:sz w:val="22"/>
          <w:szCs w:val="22"/>
          <w:u w:val="single"/>
        </w:rPr>
      </w:pPr>
      <w:bookmarkStart w:id="44" w:name="_Toc61261238"/>
      <w:r w:rsidRPr="003D5F0B">
        <w:rPr>
          <w:rFonts w:asciiTheme="minorHAnsi" w:hAnsiTheme="minorHAnsi" w:cstheme="minorHAnsi"/>
          <w:b/>
          <w:sz w:val="22"/>
          <w:szCs w:val="22"/>
          <w:u w:val="single"/>
        </w:rPr>
        <w:t>17. Statyba</w:t>
      </w:r>
      <w:bookmarkEnd w:id="44"/>
    </w:p>
    <w:p w14:paraId="7B319A7A" w14:textId="77777777" w:rsidR="00D813A2" w:rsidRPr="003D5F0B" w:rsidRDefault="00D813A2" w:rsidP="00D813A2">
      <w:pPr>
        <w:ind w:firstLine="567"/>
        <w:rPr>
          <w:rFonts w:ascii="Calibri" w:hAnsi="Calibri"/>
          <w:b/>
          <w:sz w:val="22"/>
          <w:szCs w:val="22"/>
          <w:u w:val="single"/>
        </w:rPr>
      </w:pPr>
      <w:r w:rsidRPr="003D5F0B">
        <w:rPr>
          <w:rFonts w:ascii="Calibri" w:hAnsi="Calibri"/>
          <w:b/>
          <w:sz w:val="22"/>
          <w:szCs w:val="22"/>
          <w:u w:val="single"/>
        </w:rPr>
        <w:t>17.</w:t>
      </w:r>
      <w:r>
        <w:rPr>
          <w:rFonts w:ascii="Calibri" w:hAnsi="Calibri"/>
          <w:b/>
          <w:sz w:val="22"/>
          <w:szCs w:val="22"/>
          <w:u w:val="single"/>
        </w:rPr>
        <w:t>5</w:t>
      </w:r>
      <w:r w:rsidRPr="003D5F0B">
        <w:rPr>
          <w:rFonts w:ascii="Calibri" w:hAnsi="Calibri"/>
          <w:b/>
          <w:sz w:val="22"/>
          <w:szCs w:val="22"/>
          <w:u w:val="single"/>
        </w:rPr>
        <w:t xml:space="preserve">. </w:t>
      </w:r>
      <w:r w:rsidRPr="00AE4011">
        <w:rPr>
          <w:rFonts w:ascii="Calibri" w:hAnsi="Calibri"/>
          <w:b/>
          <w:sz w:val="22"/>
          <w:szCs w:val="22"/>
          <w:u w:val="single"/>
        </w:rPr>
        <w:t>Savavališkos statybos</w:t>
      </w:r>
    </w:p>
    <w:p w14:paraId="390035F4" w14:textId="77777777" w:rsidR="00D813A2" w:rsidRPr="003D5F0B" w:rsidRDefault="00D813A2" w:rsidP="00D813A2">
      <w:pPr>
        <w:rPr>
          <w:rFonts w:asciiTheme="minorHAnsi" w:hAnsiTheme="minorHAnsi" w:cstheme="minorHAnsi"/>
          <w:bCs/>
          <w:sz w:val="22"/>
          <w:szCs w:val="22"/>
        </w:rPr>
      </w:pPr>
    </w:p>
    <w:p w14:paraId="5822A064" w14:textId="77777777" w:rsidR="00D813A2" w:rsidRPr="00952926" w:rsidRDefault="00D813A2" w:rsidP="00952926">
      <w:pPr>
        <w:jc w:val="both"/>
        <w:outlineLvl w:val="1"/>
        <w:rPr>
          <w:rFonts w:asciiTheme="minorHAnsi" w:eastAsia="Calibri" w:hAnsiTheme="minorHAnsi" w:cstheme="minorHAnsi"/>
          <w:i/>
          <w:sz w:val="22"/>
          <w:szCs w:val="22"/>
        </w:rPr>
      </w:pPr>
      <w:bookmarkStart w:id="45" w:name="_Toc61261239"/>
      <w:r w:rsidRPr="00952926">
        <w:rPr>
          <w:rFonts w:asciiTheme="minorHAnsi" w:eastAsia="Calibri" w:hAnsiTheme="minorHAnsi" w:cstheme="minorHAnsi"/>
          <w:i/>
          <w:sz w:val="22"/>
          <w:szCs w:val="22"/>
        </w:rPr>
        <w:t>Dėl privalomojo nurodymo pašalinti savavališkos statybos padarinius įvykdymo termino pratęsimo, kai asmuo ginčija savavališkos statybos aktą ir privalomąjį nurodymą</w:t>
      </w:r>
      <w:bookmarkEnd w:id="45"/>
    </w:p>
    <w:p w14:paraId="436FF27F" w14:textId="77777777" w:rsidR="00D813A2" w:rsidRPr="003D5F0B" w:rsidRDefault="00D813A2" w:rsidP="00952926">
      <w:pPr>
        <w:ind w:firstLine="567"/>
        <w:jc w:val="both"/>
        <w:rPr>
          <w:rFonts w:asciiTheme="minorHAnsi" w:hAnsiTheme="minorHAnsi" w:cstheme="minorHAnsi"/>
          <w:bCs/>
          <w:sz w:val="22"/>
          <w:szCs w:val="22"/>
        </w:rPr>
      </w:pPr>
    </w:p>
    <w:p w14:paraId="38B6C7A1" w14:textId="77777777" w:rsidR="00D813A2" w:rsidRDefault="00D813A2" w:rsidP="00D813A2">
      <w:pPr>
        <w:ind w:firstLine="567"/>
        <w:jc w:val="both"/>
        <w:rPr>
          <w:rFonts w:asciiTheme="minorHAnsi" w:hAnsiTheme="minorHAnsi" w:cstheme="minorHAnsi"/>
          <w:bCs/>
          <w:sz w:val="22"/>
          <w:szCs w:val="22"/>
        </w:rPr>
      </w:pPr>
      <w:r w:rsidRPr="003D5F0B">
        <w:rPr>
          <w:rFonts w:asciiTheme="minorHAnsi" w:hAnsiTheme="minorHAnsi" w:cstheme="minorHAnsi"/>
          <w:bCs/>
          <w:sz w:val="22"/>
          <w:szCs w:val="22"/>
        </w:rPr>
        <w:t xml:space="preserve">Šioje byloje </w:t>
      </w:r>
      <w:r>
        <w:rPr>
          <w:rFonts w:asciiTheme="minorHAnsi" w:hAnsiTheme="minorHAnsi" w:cstheme="minorHAnsi"/>
          <w:bCs/>
          <w:sz w:val="22"/>
          <w:szCs w:val="22"/>
        </w:rPr>
        <w:t>p</w:t>
      </w:r>
      <w:r w:rsidRPr="00AE4011">
        <w:rPr>
          <w:rFonts w:asciiTheme="minorHAnsi" w:hAnsiTheme="minorHAnsi" w:cstheme="minorHAnsi"/>
          <w:bCs/>
          <w:sz w:val="22"/>
          <w:szCs w:val="22"/>
        </w:rPr>
        <w:t>areiškėja A. K. kreipėsi į teismą su prašymu pratęsti Valstybinės teritorijų planavimo ir statybos inspekcijos prie Aplinkos ministerijos (toliau – Inspekcija) 2018 m. liepos 27 d. privalomųjų nurodymų pašalinti savavališkos statybos padarinius (toliau – Privalomieji nurodymai) įvykdymo terminą.</w:t>
      </w:r>
    </w:p>
    <w:p w14:paraId="57154EFE" w14:textId="220302E0" w:rsidR="00D813A2" w:rsidRDefault="00D813A2" w:rsidP="00D813A2">
      <w:pPr>
        <w:ind w:firstLine="567"/>
        <w:jc w:val="both"/>
        <w:rPr>
          <w:rFonts w:asciiTheme="minorHAnsi" w:hAnsiTheme="minorHAnsi" w:cstheme="minorHAnsi"/>
          <w:bCs/>
          <w:sz w:val="22"/>
          <w:szCs w:val="22"/>
        </w:rPr>
      </w:pPr>
      <w:r>
        <w:rPr>
          <w:rFonts w:asciiTheme="minorHAnsi" w:hAnsiTheme="minorHAnsi" w:cstheme="minorHAnsi"/>
          <w:bCs/>
          <w:sz w:val="22"/>
          <w:szCs w:val="22"/>
        </w:rPr>
        <w:t>P</w:t>
      </w:r>
      <w:r w:rsidRPr="00623BE2">
        <w:rPr>
          <w:rFonts w:asciiTheme="minorHAnsi" w:hAnsiTheme="minorHAnsi" w:cstheme="minorHAnsi"/>
          <w:bCs/>
          <w:sz w:val="22"/>
          <w:szCs w:val="22"/>
        </w:rPr>
        <w:t xml:space="preserve">areiškėjos pateikti duomenys patvirtino, jog </w:t>
      </w:r>
      <w:r>
        <w:rPr>
          <w:rFonts w:asciiTheme="minorHAnsi" w:hAnsiTheme="minorHAnsi" w:cstheme="minorHAnsi"/>
          <w:bCs/>
          <w:sz w:val="22"/>
          <w:szCs w:val="22"/>
        </w:rPr>
        <w:t>siekiant įteisinti savavališką statybą buvo</w:t>
      </w:r>
      <w:r w:rsidRPr="00623BE2">
        <w:rPr>
          <w:rFonts w:asciiTheme="minorHAnsi" w:hAnsiTheme="minorHAnsi" w:cstheme="minorHAnsi"/>
          <w:bCs/>
          <w:sz w:val="22"/>
          <w:szCs w:val="22"/>
        </w:rPr>
        <w:t xml:space="preserve"> pradėta Palangos miesto centrinės dalies detaliojo plano, patvirtinto Palangos miesto savivaldybės tarybos 2000 m. gegužės 25</w:t>
      </w:r>
      <w:r w:rsidR="00952926">
        <w:rPr>
          <w:rFonts w:asciiTheme="minorHAnsi" w:hAnsiTheme="minorHAnsi" w:cstheme="minorHAnsi"/>
          <w:bCs/>
          <w:sz w:val="22"/>
          <w:szCs w:val="22"/>
        </w:rPr>
        <w:t> </w:t>
      </w:r>
      <w:r w:rsidRPr="00623BE2">
        <w:rPr>
          <w:rFonts w:asciiTheme="minorHAnsi" w:hAnsiTheme="minorHAnsi" w:cstheme="minorHAnsi"/>
          <w:bCs/>
          <w:sz w:val="22"/>
          <w:szCs w:val="22"/>
        </w:rPr>
        <w:t>d. sprendimu Nr. 32</w:t>
      </w:r>
      <w:r>
        <w:rPr>
          <w:rFonts w:asciiTheme="minorHAnsi" w:hAnsiTheme="minorHAnsi" w:cstheme="minorHAnsi"/>
          <w:bCs/>
          <w:sz w:val="22"/>
          <w:szCs w:val="22"/>
        </w:rPr>
        <w:t xml:space="preserve"> </w:t>
      </w:r>
      <w:r w:rsidRPr="00623BE2">
        <w:rPr>
          <w:rFonts w:asciiTheme="minorHAnsi" w:hAnsiTheme="minorHAnsi" w:cstheme="minorHAnsi"/>
          <w:bCs/>
          <w:sz w:val="22"/>
          <w:szCs w:val="22"/>
        </w:rPr>
        <w:t xml:space="preserve">(toliau – Detalusis planas), sprendinių </w:t>
      </w:r>
      <w:r>
        <w:rPr>
          <w:rFonts w:asciiTheme="minorHAnsi" w:hAnsiTheme="minorHAnsi" w:cstheme="minorHAnsi"/>
          <w:bCs/>
          <w:sz w:val="22"/>
          <w:szCs w:val="22"/>
        </w:rPr>
        <w:t xml:space="preserve">pareiškėjai priklausančiame </w:t>
      </w:r>
      <w:r w:rsidRPr="00623BE2">
        <w:rPr>
          <w:rFonts w:asciiTheme="minorHAnsi" w:hAnsiTheme="minorHAnsi" w:cstheme="minorHAnsi"/>
          <w:bCs/>
          <w:sz w:val="22"/>
          <w:szCs w:val="22"/>
        </w:rPr>
        <w:t xml:space="preserve">žemės sklype, </w:t>
      </w:r>
      <w:r>
        <w:rPr>
          <w:rFonts w:asciiTheme="minorHAnsi" w:hAnsiTheme="minorHAnsi" w:cstheme="minorHAnsi"/>
          <w:bCs/>
          <w:sz w:val="22"/>
          <w:szCs w:val="22"/>
        </w:rPr>
        <w:t xml:space="preserve">kuriame pastatyti ginčo statiniai, </w:t>
      </w:r>
      <w:r w:rsidRPr="00623BE2">
        <w:rPr>
          <w:rFonts w:asciiTheme="minorHAnsi" w:hAnsiTheme="minorHAnsi" w:cstheme="minorHAnsi"/>
          <w:bCs/>
          <w:sz w:val="22"/>
          <w:szCs w:val="22"/>
        </w:rPr>
        <w:t>koregavimo procedūra</w:t>
      </w:r>
      <w:r>
        <w:rPr>
          <w:rFonts w:asciiTheme="minorHAnsi" w:hAnsiTheme="minorHAnsi" w:cstheme="minorHAnsi"/>
          <w:bCs/>
          <w:sz w:val="22"/>
          <w:szCs w:val="22"/>
        </w:rPr>
        <w:t>.</w:t>
      </w:r>
      <w:r w:rsidRPr="00623BE2">
        <w:rPr>
          <w:rFonts w:asciiTheme="minorHAnsi" w:hAnsiTheme="minorHAnsi" w:cstheme="minorHAnsi"/>
          <w:bCs/>
          <w:sz w:val="22"/>
          <w:szCs w:val="22"/>
        </w:rPr>
        <w:t xml:space="preserve"> </w:t>
      </w:r>
      <w:r>
        <w:rPr>
          <w:rFonts w:asciiTheme="minorHAnsi" w:hAnsiTheme="minorHAnsi" w:cstheme="minorHAnsi"/>
          <w:bCs/>
          <w:sz w:val="22"/>
          <w:szCs w:val="22"/>
        </w:rPr>
        <w:t>T</w:t>
      </w:r>
      <w:r w:rsidRPr="00623BE2">
        <w:rPr>
          <w:rFonts w:asciiTheme="minorHAnsi" w:hAnsiTheme="minorHAnsi" w:cstheme="minorHAnsi"/>
          <w:bCs/>
          <w:sz w:val="22"/>
          <w:szCs w:val="22"/>
        </w:rPr>
        <w:t xml:space="preserve">ačiau </w:t>
      </w:r>
      <w:r>
        <w:rPr>
          <w:rFonts w:asciiTheme="minorHAnsi" w:hAnsiTheme="minorHAnsi" w:cstheme="minorHAnsi"/>
          <w:bCs/>
          <w:sz w:val="22"/>
          <w:szCs w:val="22"/>
        </w:rPr>
        <w:t xml:space="preserve">pirmosios instancijos </w:t>
      </w:r>
      <w:r w:rsidRPr="00623BE2">
        <w:rPr>
          <w:rFonts w:asciiTheme="minorHAnsi" w:hAnsiTheme="minorHAnsi" w:cstheme="minorHAnsi"/>
          <w:bCs/>
          <w:sz w:val="22"/>
          <w:szCs w:val="22"/>
        </w:rPr>
        <w:t xml:space="preserve">teismas iš Lietuvos teismų informacinės sistemos Liteko duomenų nustatė, kad Plungės apylinkės teismo Palangos rūmuose yra nagrinėjama civilinė byla Nr. e2-161-549/2019 pagal ieškovės </w:t>
      </w:r>
      <w:bookmarkStart w:id="46" w:name="Buk_48"/>
      <w:r w:rsidRPr="00623BE2">
        <w:rPr>
          <w:rFonts w:asciiTheme="minorHAnsi" w:hAnsiTheme="minorHAnsi" w:cstheme="minorHAnsi"/>
          <w:bCs/>
          <w:sz w:val="22"/>
          <w:szCs w:val="22"/>
        </w:rPr>
        <w:t xml:space="preserve">A. K. </w:t>
      </w:r>
      <w:bookmarkEnd w:id="46"/>
      <w:r w:rsidRPr="00623BE2">
        <w:rPr>
          <w:rFonts w:asciiTheme="minorHAnsi" w:hAnsiTheme="minorHAnsi" w:cstheme="minorHAnsi"/>
          <w:bCs/>
          <w:sz w:val="22"/>
          <w:szCs w:val="22"/>
        </w:rPr>
        <w:t xml:space="preserve">ieškinį dėl </w:t>
      </w:r>
      <w:r>
        <w:rPr>
          <w:rFonts w:asciiTheme="minorHAnsi" w:hAnsiTheme="minorHAnsi" w:cstheme="minorHAnsi"/>
          <w:bCs/>
          <w:sz w:val="22"/>
          <w:szCs w:val="22"/>
        </w:rPr>
        <w:t>s</w:t>
      </w:r>
      <w:r w:rsidRPr="00623BE2">
        <w:rPr>
          <w:rFonts w:asciiTheme="minorHAnsi" w:hAnsiTheme="minorHAnsi" w:cstheme="minorHAnsi"/>
          <w:bCs/>
          <w:sz w:val="22"/>
          <w:szCs w:val="22"/>
        </w:rPr>
        <w:t>avavališkos statybos aktų</w:t>
      </w:r>
      <w:r>
        <w:rPr>
          <w:rFonts w:asciiTheme="minorHAnsi" w:hAnsiTheme="minorHAnsi" w:cstheme="minorHAnsi"/>
          <w:bCs/>
          <w:sz w:val="22"/>
          <w:szCs w:val="22"/>
        </w:rPr>
        <w:t>,</w:t>
      </w:r>
      <w:r w:rsidRPr="00623BE2">
        <w:rPr>
          <w:rFonts w:asciiTheme="minorHAnsi" w:hAnsiTheme="minorHAnsi" w:cstheme="minorHAnsi"/>
          <w:bCs/>
          <w:sz w:val="22"/>
          <w:szCs w:val="22"/>
        </w:rPr>
        <w:t xml:space="preserve"> kuriuose konstatuota nurodytų statinių savavališka statyba, neturint statybą leidžiančio dokumento</w:t>
      </w:r>
      <w:r>
        <w:rPr>
          <w:rFonts w:asciiTheme="minorHAnsi" w:hAnsiTheme="minorHAnsi" w:cstheme="minorHAnsi"/>
          <w:bCs/>
          <w:sz w:val="22"/>
          <w:szCs w:val="22"/>
        </w:rPr>
        <w:t xml:space="preserve"> (toliau – </w:t>
      </w:r>
      <w:r w:rsidRPr="00623BE2">
        <w:rPr>
          <w:rFonts w:asciiTheme="minorHAnsi" w:hAnsiTheme="minorHAnsi" w:cstheme="minorHAnsi"/>
          <w:bCs/>
          <w:sz w:val="22"/>
          <w:szCs w:val="22"/>
        </w:rPr>
        <w:t>Savavališkos statybos akt</w:t>
      </w:r>
      <w:r>
        <w:rPr>
          <w:rFonts w:asciiTheme="minorHAnsi" w:hAnsiTheme="minorHAnsi" w:cstheme="minorHAnsi"/>
          <w:bCs/>
          <w:sz w:val="22"/>
          <w:szCs w:val="22"/>
        </w:rPr>
        <w:t>ai),</w:t>
      </w:r>
      <w:r w:rsidRPr="00623BE2">
        <w:rPr>
          <w:rFonts w:asciiTheme="minorHAnsi" w:hAnsiTheme="minorHAnsi" w:cstheme="minorHAnsi"/>
          <w:bCs/>
          <w:sz w:val="22"/>
          <w:szCs w:val="22"/>
        </w:rPr>
        <w:t xml:space="preserve"> ir Privalomųjų nurodymų pašalinti savavališkos statybos padarinius panaikinimo</w:t>
      </w:r>
      <w:r>
        <w:rPr>
          <w:rFonts w:asciiTheme="minorHAnsi" w:hAnsiTheme="minorHAnsi" w:cstheme="minorHAnsi"/>
          <w:bCs/>
          <w:sz w:val="22"/>
          <w:szCs w:val="22"/>
        </w:rPr>
        <w:t xml:space="preserve">. Pirmosios instancijos teismas </w:t>
      </w:r>
      <w:r w:rsidRPr="00623BE2">
        <w:rPr>
          <w:rFonts w:asciiTheme="minorHAnsi" w:hAnsiTheme="minorHAnsi" w:cstheme="minorHAnsi"/>
          <w:bCs/>
          <w:sz w:val="22"/>
          <w:szCs w:val="22"/>
        </w:rPr>
        <w:t xml:space="preserve">sprendė, kad pareiškėjos inicijuotas ginčas dėl Savavališkos statybos aktų ir Privalomųjų nurodymų teisėtumo patvirtina, jog pareiškėjos veiksmai nėra nukreipti į savavališkos statybos įteisinimą, todėl </w:t>
      </w:r>
      <w:r>
        <w:rPr>
          <w:rFonts w:asciiTheme="minorHAnsi" w:hAnsiTheme="minorHAnsi" w:cstheme="minorHAnsi"/>
          <w:bCs/>
          <w:sz w:val="22"/>
          <w:szCs w:val="22"/>
        </w:rPr>
        <w:t xml:space="preserve">padarė išvadą, kad pareiškėjos </w:t>
      </w:r>
      <w:r w:rsidRPr="00623BE2">
        <w:rPr>
          <w:rFonts w:asciiTheme="minorHAnsi" w:hAnsiTheme="minorHAnsi" w:cstheme="minorHAnsi"/>
          <w:bCs/>
          <w:sz w:val="22"/>
          <w:szCs w:val="22"/>
        </w:rPr>
        <w:t>prašyme nurodytos priežastys negali būti laikomos svarbiomis</w:t>
      </w:r>
      <w:r>
        <w:rPr>
          <w:rFonts w:asciiTheme="minorHAnsi" w:hAnsiTheme="minorHAnsi" w:cstheme="minorHAnsi"/>
          <w:bCs/>
          <w:sz w:val="22"/>
          <w:szCs w:val="22"/>
        </w:rPr>
        <w:t>,</w:t>
      </w:r>
      <w:r w:rsidRPr="00623BE2">
        <w:rPr>
          <w:rFonts w:asciiTheme="minorHAnsi" w:hAnsiTheme="minorHAnsi" w:cstheme="minorHAnsi"/>
          <w:bCs/>
          <w:sz w:val="22"/>
          <w:szCs w:val="22"/>
        </w:rPr>
        <w:t xml:space="preserve"> ir </w:t>
      </w:r>
      <w:r>
        <w:rPr>
          <w:rFonts w:asciiTheme="minorHAnsi" w:hAnsiTheme="minorHAnsi" w:cstheme="minorHAnsi"/>
          <w:bCs/>
          <w:sz w:val="22"/>
          <w:szCs w:val="22"/>
        </w:rPr>
        <w:t xml:space="preserve">atmetė </w:t>
      </w:r>
      <w:r w:rsidRPr="00623BE2">
        <w:rPr>
          <w:rFonts w:asciiTheme="minorHAnsi" w:hAnsiTheme="minorHAnsi" w:cstheme="minorHAnsi"/>
          <w:bCs/>
          <w:sz w:val="22"/>
          <w:szCs w:val="22"/>
        </w:rPr>
        <w:t>pareiškėjos prašymą</w:t>
      </w:r>
      <w:r>
        <w:rPr>
          <w:rFonts w:asciiTheme="minorHAnsi" w:hAnsiTheme="minorHAnsi" w:cstheme="minorHAnsi"/>
          <w:bCs/>
          <w:sz w:val="22"/>
          <w:szCs w:val="22"/>
        </w:rPr>
        <w:t>.</w:t>
      </w:r>
    </w:p>
    <w:p w14:paraId="67844881" w14:textId="43FC0217" w:rsidR="00D813A2" w:rsidRDefault="00D813A2" w:rsidP="00D813A2">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Tačiau teisėjų kolegija </w:t>
      </w:r>
      <w:r w:rsidRPr="00576721">
        <w:rPr>
          <w:rFonts w:asciiTheme="minorHAnsi" w:hAnsiTheme="minorHAnsi" w:cstheme="minorHAnsi"/>
          <w:bCs/>
          <w:sz w:val="22"/>
          <w:szCs w:val="22"/>
        </w:rPr>
        <w:t>nesutiko su pirmosios instancijos teismo pozicija, kad pareiškėjos prašyme nurodytos priežastys negali būti laikytinos svarbiomis ir terminas savavališkos statybos padariniams pašalinti nepratęstinas vien dėl to, jog pareiškėja inicijavo ginčą dėl Savavališkos statybos aktų ir Privalomųjų nurodymų pašalinti savavališkos statybos padarinius teisėtumo, ir tai patvirtina, jog pareiškėjos veiksmai nėra nukreipti į savavališkos statybos įteisinimą</w:t>
      </w:r>
      <w:r w:rsidRPr="007E375B">
        <w:rPr>
          <w:rFonts w:asciiTheme="minorHAnsi" w:hAnsiTheme="minorHAnsi" w:cstheme="minorHAnsi"/>
          <w:bCs/>
          <w:sz w:val="22"/>
          <w:szCs w:val="22"/>
        </w:rPr>
        <w:t>.</w:t>
      </w:r>
      <w:r>
        <w:rPr>
          <w:rFonts w:asciiTheme="minorHAnsi" w:hAnsiTheme="minorHAnsi" w:cstheme="minorHAnsi"/>
          <w:bCs/>
          <w:sz w:val="22"/>
          <w:szCs w:val="22"/>
        </w:rPr>
        <w:t xml:space="preserve"> </w:t>
      </w:r>
      <w:r w:rsidRPr="00576721">
        <w:rPr>
          <w:rFonts w:asciiTheme="minorHAnsi" w:hAnsiTheme="minorHAnsi" w:cstheme="minorHAnsi"/>
          <w:bCs/>
          <w:sz w:val="22"/>
          <w:szCs w:val="22"/>
        </w:rPr>
        <w:t xml:space="preserve">Teisėjų kolegija atkreipė dėmesį, </w:t>
      </w:r>
      <w:r>
        <w:rPr>
          <w:rFonts w:asciiTheme="minorHAnsi" w:hAnsiTheme="minorHAnsi" w:cstheme="minorHAnsi"/>
          <w:bCs/>
          <w:sz w:val="22"/>
          <w:szCs w:val="22"/>
        </w:rPr>
        <w:t>jog</w:t>
      </w:r>
      <w:r w:rsidRPr="00576721">
        <w:rPr>
          <w:rFonts w:asciiTheme="minorHAnsi" w:hAnsiTheme="minorHAnsi" w:cstheme="minorHAnsi"/>
          <w:bCs/>
          <w:sz w:val="22"/>
          <w:szCs w:val="22"/>
        </w:rPr>
        <w:t xml:space="preserve"> </w:t>
      </w:r>
      <w:r w:rsidRPr="00576721">
        <w:rPr>
          <w:rFonts w:asciiTheme="minorHAnsi" w:hAnsiTheme="minorHAnsi" w:cstheme="minorHAnsi"/>
          <w:bCs/>
          <w:sz w:val="22"/>
          <w:szCs w:val="22"/>
          <w:u w:val="single"/>
        </w:rPr>
        <w:t xml:space="preserve">administracinių teismų praktikoje nėra laikomasi nuostatos, kad vien ta aplinkybė, jog asmuo kreipėsi į bendrosios kompetencijos teismą su ieškiniu, ginčydamas savavališkos statybos aktą ir privalomąjį nurodymą, sudaro pagrindą nepratęsti privalomojo nurodymo </w:t>
      </w:r>
      <w:r>
        <w:rPr>
          <w:rFonts w:asciiTheme="minorHAnsi" w:hAnsiTheme="minorHAnsi" w:cstheme="minorHAnsi"/>
          <w:bCs/>
          <w:sz w:val="22"/>
          <w:szCs w:val="22"/>
          <w:u w:val="single"/>
        </w:rPr>
        <w:t>į</w:t>
      </w:r>
      <w:r w:rsidRPr="00576721">
        <w:rPr>
          <w:rFonts w:asciiTheme="minorHAnsi" w:hAnsiTheme="minorHAnsi" w:cstheme="minorHAnsi"/>
          <w:bCs/>
          <w:sz w:val="22"/>
          <w:szCs w:val="22"/>
          <w:u w:val="single"/>
        </w:rPr>
        <w:t>vykdymo termin</w:t>
      </w:r>
      <w:r w:rsidR="00952926">
        <w:rPr>
          <w:rFonts w:asciiTheme="minorHAnsi" w:hAnsiTheme="minorHAnsi" w:cstheme="minorHAnsi"/>
          <w:bCs/>
          <w:sz w:val="22"/>
          <w:szCs w:val="22"/>
          <w:u w:val="single"/>
        </w:rPr>
        <w:t>o</w:t>
      </w:r>
      <w:r w:rsidRPr="00576721">
        <w:rPr>
          <w:rFonts w:asciiTheme="minorHAnsi" w:hAnsiTheme="minorHAnsi" w:cstheme="minorHAnsi"/>
          <w:bCs/>
          <w:sz w:val="22"/>
          <w:szCs w:val="22"/>
        </w:rPr>
        <w:t xml:space="preserve">, o akcentuojama, kad teismas, konstatavęs ypatingas aplinkybes, kai atliekant procedūras siekiant įteisinti savavališką statybą, asmuo objektyviai negali įvykdyti privalomojo nurodymo nustatytu terminu, turi patęsti privalomojo nurodymo </w:t>
      </w:r>
      <w:r>
        <w:rPr>
          <w:rFonts w:asciiTheme="minorHAnsi" w:hAnsiTheme="minorHAnsi" w:cstheme="minorHAnsi"/>
          <w:bCs/>
          <w:sz w:val="22"/>
          <w:szCs w:val="22"/>
        </w:rPr>
        <w:t>į</w:t>
      </w:r>
      <w:r w:rsidRPr="00576721">
        <w:rPr>
          <w:rFonts w:asciiTheme="minorHAnsi" w:hAnsiTheme="minorHAnsi" w:cstheme="minorHAnsi"/>
          <w:bCs/>
          <w:sz w:val="22"/>
          <w:szCs w:val="22"/>
        </w:rPr>
        <w:t xml:space="preserve">vykdymo terminą, o kai asmuo nepateikia jokių duomenų, pagrindžiančių, kad jis ėmėsi aktyvių veiksmų savavališkos statybos padariniams pašalinti, prašymas netenkinamas. </w:t>
      </w:r>
      <w:r>
        <w:rPr>
          <w:rFonts w:asciiTheme="minorHAnsi" w:hAnsiTheme="minorHAnsi" w:cstheme="minorHAnsi"/>
          <w:bCs/>
          <w:sz w:val="22"/>
          <w:szCs w:val="22"/>
        </w:rPr>
        <w:t>Be to, p</w:t>
      </w:r>
      <w:r w:rsidRPr="00576721">
        <w:rPr>
          <w:rFonts w:asciiTheme="minorHAnsi" w:hAnsiTheme="minorHAnsi" w:cstheme="minorHAnsi"/>
          <w:bCs/>
          <w:sz w:val="22"/>
          <w:szCs w:val="22"/>
        </w:rPr>
        <w:t>ažymė</w:t>
      </w:r>
      <w:r>
        <w:rPr>
          <w:rFonts w:asciiTheme="minorHAnsi" w:hAnsiTheme="minorHAnsi" w:cstheme="minorHAnsi"/>
          <w:bCs/>
          <w:sz w:val="22"/>
          <w:szCs w:val="22"/>
        </w:rPr>
        <w:t>jo</w:t>
      </w:r>
      <w:r w:rsidRPr="00576721">
        <w:rPr>
          <w:rFonts w:asciiTheme="minorHAnsi" w:hAnsiTheme="minorHAnsi" w:cstheme="minorHAnsi"/>
          <w:bCs/>
          <w:sz w:val="22"/>
          <w:szCs w:val="22"/>
        </w:rPr>
        <w:t xml:space="preserve">, kad </w:t>
      </w:r>
      <w:r w:rsidRPr="00576721">
        <w:rPr>
          <w:rFonts w:asciiTheme="minorHAnsi" w:hAnsiTheme="minorHAnsi" w:cstheme="minorHAnsi"/>
          <w:bCs/>
          <w:sz w:val="22"/>
          <w:szCs w:val="22"/>
          <w:u w:val="single"/>
        </w:rPr>
        <w:t xml:space="preserve">teismas, spręsdamas klausimą dėl privalomojo nurodymo </w:t>
      </w:r>
      <w:r>
        <w:rPr>
          <w:rFonts w:asciiTheme="minorHAnsi" w:hAnsiTheme="minorHAnsi" w:cstheme="minorHAnsi"/>
          <w:bCs/>
          <w:sz w:val="22"/>
          <w:szCs w:val="22"/>
          <w:u w:val="single"/>
        </w:rPr>
        <w:t>į</w:t>
      </w:r>
      <w:r w:rsidRPr="00576721">
        <w:rPr>
          <w:rFonts w:asciiTheme="minorHAnsi" w:hAnsiTheme="minorHAnsi" w:cstheme="minorHAnsi"/>
          <w:bCs/>
          <w:sz w:val="22"/>
          <w:szCs w:val="22"/>
          <w:u w:val="single"/>
        </w:rPr>
        <w:t xml:space="preserve">vykdymo termino pratęsimo, nėra saistomas atsakovo argumentų, dėl kurių jis pratęsė privalomojo nurodymo </w:t>
      </w:r>
      <w:r>
        <w:rPr>
          <w:rFonts w:asciiTheme="minorHAnsi" w:hAnsiTheme="minorHAnsi" w:cstheme="minorHAnsi"/>
          <w:bCs/>
          <w:sz w:val="22"/>
          <w:szCs w:val="22"/>
          <w:u w:val="single"/>
        </w:rPr>
        <w:t>į</w:t>
      </w:r>
      <w:r w:rsidRPr="00576721">
        <w:rPr>
          <w:rFonts w:asciiTheme="minorHAnsi" w:hAnsiTheme="minorHAnsi" w:cstheme="minorHAnsi"/>
          <w:bCs/>
          <w:sz w:val="22"/>
          <w:szCs w:val="22"/>
          <w:u w:val="single"/>
        </w:rPr>
        <w:t>vykdymo terminą, o privalo įvertinti, ar sprendžiant šį klausimą yra svarbios priežastys terminui pratęsti</w:t>
      </w:r>
      <w:r w:rsidRPr="00576721">
        <w:rPr>
          <w:rFonts w:asciiTheme="minorHAnsi" w:hAnsiTheme="minorHAnsi" w:cstheme="minorHAnsi"/>
          <w:bCs/>
          <w:sz w:val="22"/>
          <w:szCs w:val="22"/>
        </w:rPr>
        <w:t>.</w:t>
      </w:r>
    </w:p>
    <w:p w14:paraId="58DE5BB9" w14:textId="77777777" w:rsidR="00D813A2" w:rsidRDefault="00D813A2" w:rsidP="00D813A2">
      <w:pPr>
        <w:ind w:firstLine="567"/>
        <w:jc w:val="both"/>
        <w:rPr>
          <w:rFonts w:asciiTheme="minorHAnsi" w:hAnsiTheme="minorHAnsi" w:cstheme="minorHAnsi"/>
          <w:bCs/>
          <w:sz w:val="22"/>
          <w:szCs w:val="22"/>
        </w:rPr>
      </w:pPr>
      <w:r>
        <w:rPr>
          <w:rFonts w:asciiTheme="minorHAnsi" w:hAnsiTheme="minorHAnsi" w:cstheme="minorHAnsi"/>
          <w:bCs/>
          <w:sz w:val="22"/>
          <w:szCs w:val="22"/>
        </w:rPr>
        <w:lastRenderedPageBreak/>
        <w:t xml:space="preserve">Kadangi nagrinėtu </w:t>
      </w:r>
      <w:r w:rsidRPr="007E375B">
        <w:rPr>
          <w:rFonts w:asciiTheme="minorHAnsi" w:hAnsiTheme="minorHAnsi" w:cstheme="minorHAnsi"/>
          <w:bCs/>
          <w:sz w:val="22"/>
          <w:szCs w:val="22"/>
        </w:rPr>
        <w:t>atveju susiklostė tokia teisinė situacija, kad pareiškėja prašyme nurodė priežastis, dėl kurių būtina pratęsti terminą, teikė įrodymus apie jos atliktus veiksmus, siekiant įteisinti savavališkai pastatytus statinius, tačiau pirmosios instancijos teismas nenagrinėjo ir nevertino pareiškėjos nurodytų aplinkybių, kurios sudaro prašymo pagrindą</w:t>
      </w:r>
      <w:r>
        <w:rPr>
          <w:rFonts w:asciiTheme="minorHAnsi" w:hAnsiTheme="minorHAnsi" w:cstheme="minorHAnsi"/>
          <w:bCs/>
          <w:sz w:val="22"/>
          <w:szCs w:val="22"/>
        </w:rPr>
        <w:t>, t. y. nebuvo atskleista bylos esmė, pirmosios instancijos teismo sprendimas panaikintas ir byla grąžinta nagrinėti iš naujo.</w:t>
      </w:r>
    </w:p>
    <w:p w14:paraId="6571A065" w14:textId="77777777" w:rsidR="00D813A2" w:rsidRPr="003D5F0B" w:rsidRDefault="00D813A2" w:rsidP="00D813A2">
      <w:pPr>
        <w:ind w:firstLine="567"/>
        <w:rPr>
          <w:rFonts w:asciiTheme="minorHAnsi" w:hAnsiTheme="minorHAnsi" w:cstheme="minorHAnsi"/>
          <w:bCs/>
          <w:sz w:val="22"/>
          <w:szCs w:val="22"/>
        </w:rPr>
      </w:pPr>
    </w:p>
    <w:p w14:paraId="53233AE0" w14:textId="77777777" w:rsidR="00D813A2" w:rsidRPr="003D5F0B" w:rsidRDefault="00D813A2" w:rsidP="00D813A2">
      <w:pPr>
        <w:rPr>
          <w:rFonts w:asciiTheme="minorHAnsi" w:hAnsiTheme="minorHAnsi" w:cstheme="minorHAnsi"/>
          <w:sz w:val="22"/>
          <w:szCs w:val="22"/>
        </w:rPr>
      </w:pPr>
      <w:r w:rsidRPr="003D5F0B">
        <w:rPr>
          <w:rFonts w:asciiTheme="minorHAnsi" w:hAnsiTheme="minorHAnsi" w:cstheme="minorHAnsi"/>
          <w:sz w:val="22"/>
          <w:szCs w:val="22"/>
        </w:rPr>
        <w:t xml:space="preserve">2020 m. </w:t>
      </w:r>
      <w:r>
        <w:rPr>
          <w:rFonts w:asciiTheme="minorHAnsi" w:hAnsiTheme="minorHAnsi" w:cstheme="minorHAnsi"/>
          <w:sz w:val="22"/>
          <w:szCs w:val="22"/>
        </w:rPr>
        <w:t>lapkričio</w:t>
      </w:r>
      <w:r w:rsidRPr="003D5F0B">
        <w:rPr>
          <w:rFonts w:asciiTheme="minorHAnsi" w:hAnsiTheme="minorHAnsi" w:cstheme="minorHAnsi"/>
          <w:sz w:val="22"/>
          <w:szCs w:val="22"/>
        </w:rPr>
        <w:t xml:space="preserve"> </w:t>
      </w:r>
      <w:r>
        <w:rPr>
          <w:rFonts w:asciiTheme="minorHAnsi" w:hAnsiTheme="minorHAnsi" w:cstheme="minorHAnsi"/>
          <w:sz w:val="22"/>
          <w:szCs w:val="22"/>
        </w:rPr>
        <w:t>25</w:t>
      </w:r>
      <w:r w:rsidRPr="003D5F0B">
        <w:rPr>
          <w:rFonts w:asciiTheme="minorHAnsi" w:hAnsiTheme="minorHAnsi" w:cstheme="minorHAnsi"/>
          <w:sz w:val="22"/>
          <w:szCs w:val="22"/>
        </w:rPr>
        <w:t xml:space="preserve"> d. nutartis administracinėje byloje Nr. </w:t>
      </w:r>
      <w:r w:rsidRPr="00C732F8">
        <w:rPr>
          <w:rFonts w:asciiTheme="minorHAnsi" w:hAnsiTheme="minorHAnsi" w:cstheme="minorHAnsi"/>
          <w:sz w:val="22"/>
          <w:szCs w:val="22"/>
          <w:lang w:val="en-GB" w:eastAsia="en-US"/>
        </w:rPr>
        <w:t>eA-2577-520/2020</w:t>
      </w:r>
    </w:p>
    <w:p w14:paraId="09968AB4" w14:textId="77777777" w:rsidR="00D813A2" w:rsidRPr="003D5F0B" w:rsidRDefault="00D813A2" w:rsidP="00D813A2">
      <w:pPr>
        <w:rPr>
          <w:rFonts w:asciiTheme="minorHAnsi" w:hAnsiTheme="minorHAnsi" w:cstheme="minorHAnsi"/>
          <w:bCs/>
          <w:sz w:val="22"/>
          <w:szCs w:val="22"/>
          <w:lang w:eastAsia="en-US"/>
        </w:rPr>
      </w:pPr>
      <w:r w:rsidRPr="003D5F0B">
        <w:rPr>
          <w:rFonts w:asciiTheme="minorHAnsi" w:hAnsiTheme="minorHAnsi" w:cstheme="minorHAnsi"/>
          <w:sz w:val="22"/>
          <w:szCs w:val="22"/>
        </w:rPr>
        <w:t xml:space="preserve">Teisminio proceso Nr. </w:t>
      </w:r>
      <w:r w:rsidRPr="00C732F8">
        <w:rPr>
          <w:rFonts w:asciiTheme="minorHAnsi" w:hAnsiTheme="minorHAnsi" w:cstheme="minorHAnsi"/>
          <w:bCs/>
          <w:sz w:val="22"/>
          <w:szCs w:val="22"/>
          <w:lang w:val="en-GB" w:eastAsia="en-US"/>
        </w:rPr>
        <w:t>3-63-3-00390-2019-9</w:t>
      </w:r>
    </w:p>
    <w:p w14:paraId="6F53E15F" w14:textId="77777777" w:rsidR="00D813A2" w:rsidRPr="003D5F0B" w:rsidRDefault="00D813A2" w:rsidP="00D813A2">
      <w:pPr>
        <w:rPr>
          <w:rFonts w:asciiTheme="minorHAnsi" w:hAnsiTheme="minorHAnsi" w:cstheme="minorHAnsi"/>
          <w:sz w:val="22"/>
          <w:szCs w:val="22"/>
          <w:lang w:eastAsia="en-US"/>
        </w:rPr>
      </w:pPr>
      <w:r w:rsidRPr="003D5F0B">
        <w:rPr>
          <w:rFonts w:asciiTheme="minorHAnsi" w:hAnsiTheme="minorHAnsi" w:cstheme="minorHAnsi"/>
          <w:sz w:val="22"/>
          <w:szCs w:val="22"/>
        </w:rPr>
        <w:t xml:space="preserve">Procesinio sprendimo </w:t>
      </w:r>
      <w:r w:rsidRPr="003D5F0B">
        <w:rPr>
          <w:rFonts w:asciiTheme="minorHAnsi" w:hAnsiTheme="minorHAnsi" w:cstheme="minorHAnsi"/>
          <w:sz w:val="22"/>
          <w:szCs w:val="22"/>
          <w:lang w:eastAsia="en-US"/>
        </w:rPr>
        <w:t>kategorij</w:t>
      </w:r>
      <w:r>
        <w:rPr>
          <w:rFonts w:asciiTheme="minorHAnsi" w:hAnsiTheme="minorHAnsi" w:cstheme="minorHAnsi"/>
          <w:sz w:val="22"/>
          <w:szCs w:val="22"/>
          <w:lang w:eastAsia="en-US"/>
        </w:rPr>
        <w:t>a</w:t>
      </w:r>
      <w:r w:rsidRPr="003D5F0B">
        <w:rPr>
          <w:rFonts w:asciiTheme="minorHAnsi" w:hAnsiTheme="minorHAnsi" w:cstheme="minorHAnsi"/>
          <w:sz w:val="22"/>
          <w:szCs w:val="22"/>
          <w:lang w:eastAsia="en-US"/>
        </w:rPr>
        <w:t xml:space="preserve"> 17.5</w:t>
      </w:r>
    </w:p>
    <w:p w14:paraId="7FF9EC60" w14:textId="77777777" w:rsidR="00D813A2" w:rsidRPr="003D5F0B" w:rsidRDefault="00822FF8" w:rsidP="00D813A2">
      <w:pPr>
        <w:rPr>
          <w:rFonts w:asciiTheme="minorHAnsi" w:hAnsiTheme="minorHAnsi" w:cstheme="minorHAnsi"/>
          <w:sz w:val="22"/>
          <w:szCs w:val="22"/>
          <w:u w:val="single"/>
        </w:rPr>
      </w:pPr>
      <w:hyperlink r:id="rId21" w:history="1">
        <w:r w:rsidR="00D813A2" w:rsidRPr="003D5F0B">
          <w:rPr>
            <w:rStyle w:val="Hipersaitas"/>
            <w:rFonts w:asciiTheme="minorHAnsi" w:hAnsiTheme="minorHAnsi" w:cstheme="minorHAnsi"/>
            <w:sz w:val="22"/>
            <w:szCs w:val="22"/>
          </w:rPr>
          <w:t>Prieiga internete</w:t>
        </w:r>
      </w:hyperlink>
    </w:p>
    <w:p w14:paraId="31EE0A40" w14:textId="77777777" w:rsidR="00D813A2" w:rsidRDefault="00D813A2" w:rsidP="00D813A2">
      <w:pPr>
        <w:ind w:firstLine="567"/>
        <w:jc w:val="both"/>
        <w:rPr>
          <w:rFonts w:asciiTheme="minorHAnsi" w:hAnsiTheme="minorHAnsi" w:cstheme="minorHAnsi"/>
          <w:bCs/>
          <w:sz w:val="22"/>
          <w:szCs w:val="22"/>
        </w:rPr>
      </w:pPr>
    </w:p>
    <w:p w14:paraId="140BF7F8" w14:textId="77777777" w:rsidR="00D813A2" w:rsidRPr="003D5F0B" w:rsidRDefault="00D813A2" w:rsidP="00952926">
      <w:pPr>
        <w:keepNext/>
        <w:keepLines/>
        <w:jc w:val="both"/>
        <w:outlineLvl w:val="0"/>
        <w:rPr>
          <w:rFonts w:asciiTheme="minorHAnsi" w:hAnsiTheme="minorHAnsi" w:cstheme="minorHAnsi"/>
          <w:b/>
          <w:sz w:val="22"/>
          <w:szCs w:val="22"/>
          <w:u w:val="single"/>
        </w:rPr>
      </w:pPr>
      <w:bookmarkStart w:id="47" w:name="_Toc61261240"/>
      <w:r w:rsidRPr="003D5F0B">
        <w:rPr>
          <w:rFonts w:asciiTheme="minorHAnsi" w:hAnsiTheme="minorHAnsi" w:cstheme="minorHAnsi"/>
          <w:b/>
          <w:sz w:val="22"/>
          <w:szCs w:val="22"/>
          <w:u w:val="single"/>
        </w:rPr>
        <w:t>20. Civilinė atsakomybė už žalą, atsiradusią dėl valdžios institucijų neteisėtų veiksmų</w:t>
      </w:r>
      <w:bookmarkEnd w:id="47"/>
    </w:p>
    <w:p w14:paraId="2A3499D8" w14:textId="77777777" w:rsidR="00D813A2" w:rsidRDefault="00D813A2" w:rsidP="00D813A2">
      <w:pPr>
        <w:ind w:firstLine="567"/>
        <w:rPr>
          <w:rFonts w:ascii="Calibri" w:hAnsi="Calibri"/>
          <w:b/>
          <w:sz w:val="22"/>
          <w:szCs w:val="22"/>
          <w:u w:val="single"/>
        </w:rPr>
      </w:pPr>
      <w:r>
        <w:rPr>
          <w:rFonts w:ascii="Calibri" w:hAnsi="Calibri"/>
          <w:b/>
          <w:sz w:val="22"/>
          <w:szCs w:val="22"/>
          <w:u w:val="single"/>
        </w:rPr>
        <w:t>20.2. Civilinės atsakomybės sąlygos</w:t>
      </w:r>
    </w:p>
    <w:p w14:paraId="3EFEC883" w14:textId="77777777" w:rsidR="00D813A2" w:rsidRDefault="00D813A2" w:rsidP="00D813A2">
      <w:pPr>
        <w:ind w:firstLine="1134"/>
        <w:rPr>
          <w:rFonts w:ascii="Calibri" w:hAnsi="Calibri"/>
          <w:b/>
          <w:sz w:val="22"/>
          <w:szCs w:val="22"/>
          <w:u w:val="single"/>
        </w:rPr>
      </w:pPr>
      <w:r>
        <w:rPr>
          <w:rFonts w:ascii="Calibri" w:hAnsi="Calibri"/>
          <w:b/>
          <w:sz w:val="22"/>
          <w:szCs w:val="22"/>
          <w:u w:val="single"/>
        </w:rPr>
        <w:t>20.2.3. Žala</w:t>
      </w:r>
    </w:p>
    <w:p w14:paraId="4F5F29A6" w14:textId="77777777" w:rsidR="00D813A2" w:rsidRDefault="00D813A2" w:rsidP="00D813A2">
      <w:pPr>
        <w:ind w:firstLine="1701"/>
        <w:rPr>
          <w:rFonts w:ascii="Calibri" w:hAnsi="Calibri"/>
          <w:b/>
          <w:sz w:val="22"/>
          <w:szCs w:val="22"/>
          <w:u w:val="single"/>
        </w:rPr>
      </w:pPr>
      <w:r>
        <w:rPr>
          <w:rFonts w:ascii="Calibri" w:hAnsi="Calibri"/>
          <w:b/>
          <w:sz w:val="22"/>
          <w:szCs w:val="22"/>
          <w:u w:val="single"/>
        </w:rPr>
        <w:t>20.2.3.1. Turtinė žala</w:t>
      </w:r>
    </w:p>
    <w:p w14:paraId="10CD99E7" w14:textId="77777777" w:rsidR="00D813A2" w:rsidRDefault="00D813A2" w:rsidP="00D813A2">
      <w:pPr>
        <w:rPr>
          <w:rFonts w:asciiTheme="minorHAnsi" w:hAnsiTheme="minorHAnsi" w:cstheme="minorHAnsi"/>
          <w:bCs/>
          <w:sz w:val="22"/>
          <w:szCs w:val="22"/>
        </w:rPr>
      </w:pPr>
    </w:p>
    <w:p w14:paraId="3A95E92B" w14:textId="77777777" w:rsidR="00D813A2" w:rsidRDefault="00D813A2" w:rsidP="00D813A2">
      <w:pPr>
        <w:shd w:val="clear" w:color="auto" w:fill="FFFFFF"/>
        <w:tabs>
          <w:tab w:val="left" w:pos="567"/>
        </w:tabs>
        <w:jc w:val="both"/>
        <w:outlineLvl w:val="1"/>
        <w:rPr>
          <w:rFonts w:asciiTheme="minorHAnsi" w:eastAsia="Calibri" w:hAnsiTheme="minorHAnsi" w:cstheme="minorHAnsi"/>
          <w:bCs/>
          <w:i/>
          <w:iCs/>
          <w:sz w:val="22"/>
          <w:szCs w:val="22"/>
          <w:shd w:val="clear" w:color="auto" w:fill="FFFFFF"/>
          <w:lang w:eastAsia="en-US"/>
        </w:rPr>
      </w:pPr>
      <w:bookmarkStart w:id="48" w:name="_Toc28689674"/>
      <w:bookmarkStart w:id="49" w:name="_Toc42719141"/>
      <w:bookmarkStart w:id="50" w:name="_Toc61261241"/>
      <w:r w:rsidRPr="00E36A06">
        <w:rPr>
          <w:rFonts w:asciiTheme="minorHAnsi" w:eastAsia="Calibri" w:hAnsiTheme="minorHAnsi" w:cstheme="minorHAnsi"/>
          <w:bCs/>
          <w:i/>
          <w:iCs/>
          <w:sz w:val="22"/>
          <w:szCs w:val="22"/>
          <w:shd w:val="clear" w:color="auto" w:fill="FFFFFF"/>
          <w:lang w:eastAsia="en-US"/>
        </w:rPr>
        <w:t xml:space="preserve">Dėl </w:t>
      </w:r>
      <w:bookmarkEnd w:id="48"/>
      <w:r w:rsidRPr="00E36A06">
        <w:rPr>
          <w:rFonts w:asciiTheme="minorHAnsi" w:eastAsia="Calibri" w:hAnsiTheme="minorHAnsi" w:cstheme="minorHAnsi"/>
          <w:bCs/>
          <w:i/>
          <w:iCs/>
          <w:sz w:val="22"/>
          <w:szCs w:val="22"/>
          <w:shd w:val="clear" w:color="auto" w:fill="FFFFFF"/>
          <w:lang w:eastAsia="en-US"/>
        </w:rPr>
        <w:t>administracinio nusižengimo teisenoje (ne teisme) patirtų atstovavimo išlaidų priteisimo</w:t>
      </w:r>
      <w:bookmarkEnd w:id="49"/>
      <w:bookmarkEnd w:id="50"/>
    </w:p>
    <w:p w14:paraId="241EDD95" w14:textId="77777777" w:rsidR="00D813A2" w:rsidRDefault="00D813A2" w:rsidP="00D813A2">
      <w:pPr>
        <w:jc w:val="both"/>
        <w:rPr>
          <w:rFonts w:asciiTheme="minorHAnsi" w:hAnsiTheme="minorHAnsi" w:cstheme="minorHAnsi"/>
          <w:i/>
          <w:sz w:val="22"/>
          <w:szCs w:val="22"/>
        </w:rPr>
      </w:pPr>
    </w:p>
    <w:p w14:paraId="4F275121" w14:textId="77777777" w:rsidR="00D813A2" w:rsidRPr="00952926" w:rsidRDefault="00D813A2" w:rsidP="00D813A2">
      <w:pPr>
        <w:ind w:firstLine="567"/>
        <w:jc w:val="both"/>
        <w:rPr>
          <w:rFonts w:asciiTheme="minorHAnsi" w:hAnsiTheme="minorHAnsi" w:cstheme="minorHAnsi"/>
          <w:bCs/>
          <w:sz w:val="22"/>
          <w:szCs w:val="22"/>
        </w:rPr>
      </w:pPr>
      <w:r w:rsidRPr="00952926">
        <w:rPr>
          <w:rFonts w:asciiTheme="minorHAnsi" w:hAnsiTheme="minorHAnsi" w:cstheme="minorHAnsi"/>
          <w:bCs/>
          <w:sz w:val="22"/>
          <w:szCs w:val="22"/>
        </w:rPr>
        <w:t>Apžvelgiamu atveju pareiškėjas kreipėsi į teismą, be kita ko, prašydamas priteisti jam iš atsakovo Lietuvos valstybės, atstovaujamos Tauragės apskrities vyriausiojo policijos komisariato (toliau – Tauragės AVPK), turtinę žalą. Pareiškėjas nurodė, kad paskui jį, naktį važiuojantį kartu su 2 metų vaiku, pradėjo važiuoti kitas automobilis, po kurio laiko įsijungęs švyturėlius. Supratęs, kad yra stabdomas, pareiškėjas sustojo neapšviestame kelio ruože suradęs saugią vietą (autobusų stotelę). Pareigūnai neprisistatė, tačiau nurodė pareiškėjui, jog sustabdymo priežastis buvo prevencija neblaivumo tikrinimui (alkotesterio duomenys parodė 0), vėliau pradėjo šviesti prožektoriumi į automobilio vidų, tokiu būdu pažadindami vaiką, bei patikrino automobilio bagažinę ir pareiškėjo kelioninius krepšius. Galiausiai surašė administracinio nusižengimo protokolą, kuriame nurodė, kad pareiškėjas nepakluso teisėtam policijos pareigūnų reikalavimui sustoti, be to, automobilis, kurį vairavo pareiškėjas, nebuvo apdraustas privalomuoju civilinės atsakomybės draudimu, ir atsisakė grąžinti pareiškėjui jo vairuotojo pažymėjimą, nurodę, jog jam negalima tęsti kelionės; tarstelėję, kad „vienas iš jūsų gali vairuoti“, nuvažiavo. Tauragės AVPK Kelių policijos skyriaus viršininkas nutarime administracinio nusižengimo byloje konstatavo, jog nenustatyta, kad pareiškėjas padarė nusižengimus, numatytus ANK 426 straipsnio 5 dalyje ir 415 straipsnio 1 dalyje, todėl administracinė teisena pagal šiuos straipsnius nutrauktina, tačiau pareiškėjas su savimi neturėjo transporto priemonių civilinės atsakomybės draudimo poliso, todėl padarė nusižengimą, už kurį jam skirtinas įspėjimas. Pareiškėjas nurodė, kad dėl neteisėtų policijos pareigūnų veiksmų jam, be kita ko, teko ginti savo teises ir dėl to jis patyrė išlaidas (pagal teisinių paslaugų sutartį sumokėjo 250 Eur).</w:t>
      </w:r>
    </w:p>
    <w:p w14:paraId="32603B14" w14:textId="77777777" w:rsidR="00D813A2" w:rsidRPr="00952926" w:rsidRDefault="00D813A2" w:rsidP="00D813A2">
      <w:pPr>
        <w:ind w:firstLine="567"/>
        <w:jc w:val="both"/>
        <w:rPr>
          <w:rFonts w:asciiTheme="minorHAnsi" w:hAnsiTheme="minorHAnsi" w:cstheme="minorHAnsi"/>
          <w:bCs/>
          <w:sz w:val="22"/>
          <w:szCs w:val="22"/>
        </w:rPr>
      </w:pPr>
      <w:r w:rsidRPr="00952926">
        <w:rPr>
          <w:rFonts w:asciiTheme="minorHAnsi" w:hAnsiTheme="minorHAnsi" w:cstheme="minorHAnsi"/>
          <w:bCs/>
          <w:sz w:val="22"/>
          <w:szCs w:val="22"/>
        </w:rPr>
        <w:t>Pirmosios instancijos teismas nustatė, kad pareiškėjas patyrė 250 Eur išlaidas už teisines paslaugas administracinio nusižengimo byloje (sumokėjo advokato padėjėjui už atstovavimą, patarimą, kitas teisines paslaugas), kurioje Tauragės AVPK administracinę teiseną nutraukė, nurodytos išlaidos atsirado tiesiogiai dėl atsakovo atstovo neteisėtų veiksmų, todėl priteisė pareiškėjui iš atsakovo Lietuvos valstybės, atstovaujamos Tauragės AVPK, 250 Eur sumą kaip turtinę žalą CK 6.271 straipsnio prasme.</w:t>
      </w:r>
    </w:p>
    <w:p w14:paraId="30C72ACF" w14:textId="77777777" w:rsidR="00D813A2" w:rsidRDefault="00D813A2" w:rsidP="00D813A2">
      <w:pPr>
        <w:ind w:firstLine="567"/>
        <w:jc w:val="both"/>
        <w:rPr>
          <w:rFonts w:asciiTheme="minorHAnsi" w:hAnsiTheme="minorHAnsi" w:cstheme="minorHAnsi"/>
          <w:bCs/>
          <w:sz w:val="22"/>
          <w:szCs w:val="22"/>
          <w:lang w:bidi="lt-LT"/>
        </w:rPr>
      </w:pPr>
      <w:r w:rsidRPr="00ED5A13">
        <w:rPr>
          <w:rFonts w:asciiTheme="minorHAnsi" w:hAnsiTheme="minorHAnsi" w:cstheme="minorHAnsi"/>
          <w:bCs/>
          <w:sz w:val="22"/>
          <w:szCs w:val="22"/>
        </w:rPr>
        <w:t>Atsakovo Lietuvos valstybės atstovas Tauragės AVPK padavė apeliacinį skundą, kuri</w:t>
      </w:r>
      <w:r>
        <w:rPr>
          <w:rFonts w:asciiTheme="minorHAnsi" w:hAnsiTheme="minorHAnsi" w:cstheme="minorHAnsi"/>
          <w:bCs/>
          <w:sz w:val="22"/>
          <w:szCs w:val="22"/>
        </w:rPr>
        <w:t>ame, be kita ko,</w:t>
      </w:r>
      <w:r w:rsidRPr="00ED5A13">
        <w:rPr>
          <w:rFonts w:asciiTheme="minorHAnsi" w:hAnsiTheme="minorHAnsi" w:cstheme="minorHAnsi"/>
          <w:bCs/>
          <w:sz w:val="22"/>
          <w:szCs w:val="22"/>
        </w:rPr>
        <w:t xml:space="preserve"> praš</w:t>
      </w:r>
      <w:r>
        <w:rPr>
          <w:rFonts w:asciiTheme="minorHAnsi" w:hAnsiTheme="minorHAnsi" w:cstheme="minorHAnsi"/>
          <w:bCs/>
          <w:sz w:val="22"/>
          <w:szCs w:val="22"/>
        </w:rPr>
        <w:t>ė</w:t>
      </w:r>
      <w:r w:rsidRPr="00ED5A13">
        <w:rPr>
          <w:rFonts w:asciiTheme="minorHAnsi" w:hAnsiTheme="minorHAnsi" w:cstheme="minorHAnsi"/>
          <w:sz w:val="22"/>
          <w:szCs w:val="22"/>
        </w:rPr>
        <w:t xml:space="preserve"> panaikinti pirmosios instancijos teismo sprendimo</w:t>
      </w:r>
      <w:r w:rsidRPr="00ED5A13">
        <w:rPr>
          <w:rFonts w:asciiTheme="minorHAnsi" w:hAnsiTheme="minorHAnsi" w:cstheme="minorHAnsi"/>
          <w:bCs/>
          <w:sz w:val="22"/>
          <w:szCs w:val="22"/>
          <w:lang w:bidi="lt-LT"/>
        </w:rPr>
        <w:t xml:space="preserve"> dalį dėl 250 Eur turtinės žalos atlyginimo priteisimo pareiškėjui</w:t>
      </w:r>
      <w:r>
        <w:rPr>
          <w:rFonts w:asciiTheme="minorHAnsi" w:hAnsiTheme="minorHAnsi" w:cstheme="minorHAnsi"/>
          <w:bCs/>
          <w:sz w:val="22"/>
          <w:szCs w:val="22"/>
          <w:lang w:bidi="lt-LT"/>
        </w:rPr>
        <w:t xml:space="preserve">. Apeliaciniame skunde </w:t>
      </w:r>
      <w:r>
        <w:rPr>
          <w:rFonts w:asciiTheme="minorHAnsi" w:hAnsiTheme="minorHAnsi" w:cstheme="minorHAnsi"/>
          <w:bCs/>
          <w:i/>
          <w:iCs/>
          <w:sz w:val="22"/>
          <w:szCs w:val="22"/>
          <w:lang w:bidi="lt-LT"/>
        </w:rPr>
        <w:t xml:space="preserve">inter alia </w:t>
      </w:r>
      <w:r>
        <w:rPr>
          <w:rFonts w:asciiTheme="minorHAnsi" w:hAnsiTheme="minorHAnsi" w:cstheme="minorHAnsi"/>
          <w:bCs/>
          <w:sz w:val="22"/>
          <w:szCs w:val="22"/>
          <w:lang w:bidi="lt-LT"/>
        </w:rPr>
        <w:t xml:space="preserve">rėmėsi </w:t>
      </w:r>
      <w:r w:rsidRPr="006127DB">
        <w:rPr>
          <w:rFonts w:asciiTheme="minorHAnsi" w:hAnsiTheme="minorHAnsi" w:cstheme="minorHAnsi"/>
          <w:bCs/>
          <w:sz w:val="22"/>
          <w:szCs w:val="22"/>
          <w:lang w:bidi="lt-LT"/>
        </w:rPr>
        <w:t>L</w:t>
      </w:r>
      <w:r>
        <w:rPr>
          <w:rFonts w:asciiTheme="minorHAnsi" w:hAnsiTheme="minorHAnsi" w:cstheme="minorHAnsi"/>
          <w:bCs/>
          <w:sz w:val="22"/>
          <w:szCs w:val="22"/>
          <w:lang w:bidi="lt-LT"/>
        </w:rPr>
        <w:t>VAT</w:t>
      </w:r>
      <w:r w:rsidRPr="006127DB">
        <w:rPr>
          <w:rFonts w:asciiTheme="minorHAnsi" w:hAnsiTheme="minorHAnsi" w:cstheme="minorHAnsi"/>
          <w:bCs/>
          <w:sz w:val="22"/>
          <w:szCs w:val="22"/>
          <w:lang w:bidi="lt-LT"/>
        </w:rPr>
        <w:t xml:space="preserve"> praktika, </w:t>
      </w:r>
      <w:r>
        <w:rPr>
          <w:rFonts w:asciiTheme="minorHAnsi" w:hAnsiTheme="minorHAnsi" w:cstheme="minorHAnsi"/>
          <w:bCs/>
          <w:sz w:val="22"/>
          <w:szCs w:val="22"/>
          <w:lang w:bidi="lt-LT"/>
        </w:rPr>
        <w:t xml:space="preserve">pagal kurią </w:t>
      </w:r>
      <w:r w:rsidRPr="006127DB">
        <w:rPr>
          <w:rFonts w:asciiTheme="minorHAnsi" w:hAnsiTheme="minorHAnsi" w:cstheme="minorHAnsi"/>
          <w:bCs/>
          <w:sz w:val="22"/>
          <w:szCs w:val="22"/>
          <w:lang w:bidi="lt-LT"/>
        </w:rPr>
        <w:t>administracinių nusižengimų bylų nagrinėjimo teisme išlaidų klausimas turi būti sprendžiamas pagal ANK</w:t>
      </w:r>
      <w:r>
        <w:rPr>
          <w:rFonts w:asciiTheme="minorHAnsi" w:hAnsiTheme="minorHAnsi" w:cstheme="minorHAnsi"/>
          <w:bCs/>
          <w:sz w:val="22"/>
          <w:szCs w:val="22"/>
          <w:lang w:bidi="lt-LT"/>
        </w:rPr>
        <w:t>.</w:t>
      </w:r>
    </w:p>
    <w:p w14:paraId="63C2180C" w14:textId="00367B39" w:rsidR="00D813A2" w:rsidRDefault="00D813A2" w:rsidP="15BB7CCC">
      <w:pPr>
        <w:ind w:firstLine="567"/>
        <w:jc w:val="both"/>
        <w:rPr>
          <w:rFonts w:asciiTheme="minorHAnsi" w:hAnsiTheme="minorHAnsi" w:cstheme="minorBidi"/>
          <w:sz w:val="22"/>
          <w:szCs w:val="22"/>
        </w:rPr>
      </w:pPr>
      <w:r w:rsidRPr="15BB7CCC">
        <w:rPr>
          <w:rFonts w:asciiTheme="minorHAnsi" w:hAnsiTheme="minorHAnsi" w:cstheme="minorBidi"/>
          <w:sz w:val="22"/>
          <w:szCs w:val="22"/>
          <w:lang w:bidi="lt-LT"/>
        </w:rPr>
        <w:t xml:space="preserve">Tačiau teisėjų kolegija su šia atsakovo pozicija nesutiko ir pažymėjo, kad šios bylos aplinkybės ir apeliaciniame skunde nurodytų bylų, t. y. nagrinėtų LVAT išplėstinės teisėjų kolegijos 2020 m. gegužės 27 d. sprendimu administracinėje byloje Nr. eA-3145-575/2020 ir LVAT 2020 m. liepos 1 d. sprendimu administracinėje byloje Nr. eA-1054-624/2020, aplinkybės nesutampa, kadangi šioje byloje, priešingai nei minėtose administracinėse bylose, neaktualus ANK 666 straipsnis, kuriuo vadovaujantis atlyginamos būtent administracinių nusižengimų bylų nagrinėjimo </w:t>
      </w:r>
      <w:r w:rsidRPr="15BB7CCC">
        <w:rPr>
          <w:rFonts w:asciiTheme="minorHAnsi" w:hAnsiTheme="minorHAnsi" w:cstheme="minorBidi"/>
          <w:i/>
          <w:iCs/>
          <w:sz w:val="22"/>
          <w:szCs w:val="22"/>
          <w:lang w:bidi="lt-LT"/>
        </w:rPr>
        <w:t>teisme</w:t>
      </w:r>
      <w:r w:rsidRPr="15BB7CCC">
        <w:rPr>
          <w:rFonts w:asciiTheme="minorHAnsi" w:hAnsiTheme="minorHAnsi" w:cstheme="minorBidi"/>
          <w:sz w:val="22"/>
          <w:szCs w:val="22"/>
          <w:lang w:bidi="lt-LT"/>
        </w:rPr>
        <w:t xml:space="preserve"> išlaidos. Teisėjų kolegija atkreipė dėmesį, kad šiuo atveju </w:t>
      </w:r>
      <w:r w:rsidRPr="15BB7CCC">
        <w:rPr>
          <w:rFonts w:asciiTheme="minorHAnsi" w:hAnsiTheme="minorHAnsi" w:cstheme="minorBidi"/>
          <w:sz w:val="22"/>
          <w:szCs w:val="22"/>
          <w:u w:val="single"/>
        </w:rPr>
        <w:t>pareiškėjui iškelta administracinio nusižengimo byla nebuvo nagrinėjama teisme, t. y. šios bylos procesas užsibaigė administracinio nusižengimo bylą ne teismo tvarka nagrinėjusioje institucijoje</w:t>
      </w:r>
      <w:r w:rsidRPr="15BB7CCC">
        <w:rPr>
          <w:rFonts w:asciiTheme="minorHAnsi" w:hAnsiTheme="minorHAnsi" w:cstheme="minorBidi"/>
          <w:sz w:val="22"/>
          <w:szCs w:val="22"/>
        </w:rPr>
        <w:t xml:space="preserve"> – Tauragės AVPK. Taigi </w:t>
      </w:r>
      <w:r w:rsidRPr="15BB7CCC">
        <w:rPr>
          <w:rFonts w:asciiTheme="minorHAnsi" w:hAnsiTheme="minorHAnsi" w:cstheme="minorBidi"/>
          <w:sz w:val="22"/>
          <w:szCs w:val="22"/>
          <w:u w:val="single"/>
        </w:rPr>
        <w:t xml:space="preserve">pareiškėjas nepatyrė teismo išlaidų administracinio nusižengimo byloje, kurios atlygintinos vadovaujantis ANK </w:t>
      </w:r>
      <w:r w:rsidRPr="15BB7CCC">
        <w:rPr>
          <w:rFonts w:asciiTheme="minorHAnsi" w:hAnsiTheme="minorHAnsi" w:cstheme="minorBidi"/>
          <w:sz w:val="22"/>
          <w:szCs w:val="22"/>
          <w:u w:val="single"/>
        </w:rPr>
        <w:lastRenderedPageBreak/>
        <w:t xml:space="preserve">666 straipsniu, dėl to šioje byloje nėra pagrindo remtis atsakovo apeliaciniame skunde nurodytais </w:t>
      </w:r>
      <w:r w:rsidR="77CAC8A7" w:rsidRPr="15BB7CCC">
        <w:rPr>
          <w:rFonts w:asciiTheme="minorHAnsi" w:hAnsiTheme="minorHAnsi" w:cstheme="minorBidi"/>
          <w:sz w:val="22"/>
          <w:szCs w:val="22"/>
          <w:u w:val="single"/>
        </w:rPr>
        <w:t>LVAT</w:t>
      </w:r>
      <w:r w:rsidRPr="15BB7CCC">
        <w:rPr>
          <w:rFonts w:asciiTheme="minorHAnsi" w:hAnsiTheme="minorHAnsi" w:cstheme="minorBidi"/>
          <w:sz w:val="22"/>
          <w:szCs w:val="22"/>
          <w:u w:val="single"/>
        </w:rPr>
        <w:t xml:space="preserve"> sprendimais, grindžiamais ANK 666 straipsniu</w:t>
      </w:r>
      <w:r w:rsidRPr="15BB7CCC">
        <w:rPr>
          <w:rFonts w:asciiTheme="minorHAnsi" w:hAnsiTheme="minorHAnsi" w:cstheme="minorBidi"/>
          <w:sz w:val="22"/>
          <w:szCs w:val="22"/>
        </w:rPr>
        <w:t>.</w:t>
      </w:r>
      <w:r w:rsidRPr="15BB7CCC">
        <w:rPr>
          <w:rFonts w:asciiTheme="minorHAnsi" w:hAnsiTheme="minorHAnsi" w:cstheme="minorBidi"/>
          <w:sz w:val="22"/>
          <w:szCs w:val="22"/>
          <w:lang w:bidi="lt-LT"/>
        </w:rPr>
        <w:t xml:space="preserve"> </w:t>
      </w:r>
      <w:r w:rsidRPr="15BB7CCC">
        <w:rPr>
          <w:rFonts w:asciiTheme="minorHAnsi" w:hAnsiTheme="minorHAnsi" w:cstheme="minorBidi"/>
          <w:sz w:val="22"/>
          <w:szCs w:val="22"/>
        </w:rPr>
        <w:t>Atsižvelgusi į tai, teisėjų kolegija padarė išvadą, kad šioje byloje nėra pagrindo nesiremti ankščiau suformuota LVAT praktika, kurioje išaiškinta, jog administracinių teisės pažeidimų teisenoje (dabar – administracinių nusižengimų teisenoje) asmeniui valstybės institucijų veiksmais padaryta žala atlyginama pagal CK 6.271 straipsnį.</w:t>
      </w:r>
    </w:p>
    <w:p w14:paraId="28215DD3" w14:textId="4BB57927" w:rsidR="00D813A2" w:rsidRPr="0051513E" w:rsidRDefault="00D813A2" w:rsidP="00D813A2">
      <w:pPr>
        <w:ind w:firstLine="567"/>
        <w:jc w:val="both"/>
        <w:rPr>
          <w:rFonts w:asciiTheme="minorHAnsi" w:hAnsiTheme="minorHAnsi" w:cstheme="minorHAnsi"/>
          <w:sz w:val="22"/>
          <w:szCs w:val="22"/>
        </w:rPr>
      </w:pPr>
      <w:r>
        <w:rPr>
          <w:rFonts w:asciiTheme="minorHAnsi" w:hAnsiTheme="minorHAnsi" w:cstheme="minorHAnsi"/>
          <w:sz w:val="22"/>
          <w:szCs w:val="22"/>
        </w:rPr>
        <w:t xml:space="preserve">Įvertinusi byloje nustatytas aplinkybes, teisėjų kolegija padarė išvadą, kad šiuo atveju egzistuoja visos būtinosios civilinės atsakomybės sąlygos, todėl pirmosios instancijos teismas pagrįstai </w:t>
      </w:r>
      <w:r w:rsidRPr="0051513E">
        <w:rPr>
          <w:rFonts w:asciiTheme="minorHAnsi" w:hAnsiTheme="minorHAnsi" w:cstheme="minorHAnsi"/>
          <w:sz w:val="22"/>
          <w:szCs w:val="22"/>
        </w:rPr>
        <w:t>priteis</w:t>
      </w:r>
      <w:r>
        <w:rPr>
          <w:rFonts w:asciiTheme="minorHAnsi" w:hAnsiTheme="minorHAnsi" w:cstheme="minorHAnsi"/>
          <w:sz w:val="22"/>
          <w:szCs w:val="22"/>
        </w:rPr>
        <w:t>ė pareiškėjui</w:t>
      </w:r>
      <w:r w:rsidRPr="0051513E">
        <w:rPr>
          <w:rFonts w:asciiTheme="minorHAnsi" w:hAnsiTheme="minorHAnsi" w:cstheme="minorHAnsi"/>
          <w:sz w:val="22"/>
          <w:szCs w:val="22"/>
        </w:rPr>
        <w:t xml:space="preserve"> 250</w:t>
      </w:r>
      <w:r w:rsidR="00952926">
        <w:rPr>
          <w:rFonts w:asciiTheme="minorHAnsi" w:hAnsiTheme="minorHAnsi" w:cstheme="minorHAnsi"/>
          <w:sz w:val="22"/>
          <w:szCs w:val="22"/>
        </w:rPr>
        <w:t> </w:t>
      </w:r>
      <w:r w:rsidRPr="0051513E">
        <w:rPr>
          <w:rFonts w:asciiTheme="minorHAnsi" w:hAnsiTheme="minorHAnsi" w:cstheme="minorHAnsi"/>
          <w:sz w:val="22"/>
          <w:szCs w:val="22"/>
        </w:rPr>
        <w:t>Eur turtinės žalos atlyginim</w:t>
      </w:r>
      <w:r>
        <w:rPr>
          <w:rFonts w:asciiTheme="minorHAnsi" w:hAnsiTheme="minorHAnsi" w:cstheme="minorHAnsi"/>
          <w:sz w:val="22"/>
          <w:szCs w:val="22"/>
        </w:rPr>
        <w:t>ą</w:t>
      </w:r>
      <w:r w:rsidRPr="0051513E">
        <w:rPr>
          <w:rFonts w:asciiTheme="minorHAnsi" w:hAnsiTheme="minorHAnsi" w:cstheme="minorHAnsi"/>
          <w:sz w:val="22"/>
          <w:szCs w:val="22"/>
        </w:rPr>
        <w:t xml:space="preserve"> CK </w:t>
      </w:r>
      <w:r>
        <w:rPr>
          <w:rFonts w:asciiTheme="minorHAnsi" w:hAnsiTheme="minorHAnsi" w:cstheme="minorHAnsi"/>
          <w:sz w:val="22"/>
          <w:szCs w:val="22"/>
        </w:rPr>
        <w:t>6.</w:t>
      </w:r>
      <w:r w:rsidRPr="0051513E">
        <w:rPr>
          <w:rFonts w:asciiTheme="minorHAnsi" w:hAnsiTheme="minorHAnsi" w:cstheme="minorHAnsi"/>
          <w:sz w:val="22"/>
          <w:szCs w:val="22"/>
        </w:rPr>
        <w:t>271 straipsnio pagrindu.</w:t>
      </w:r>
      <w:r>
        <w:rPr>
          <w:rFonts w:asciiTheme="minorHAnsi" w:hAnsiTheme="minorHAnsi" w:cstheme="minorHAnsi"/>
          <w:sz w:val="22"/>
          <w:szCs w:val="22"/>
        </w:rPr>
        <w:t xml:space="preserve"> Atsižvelgiant į tai, atsakovo apeliacinis skundas atmestas, o pirmosios instancijos teismo sprendimas paliktas nepakeistas.</w:t>
      </w:r>
    </w:p>
    <w:p w14:paraId="23193CD9" w14:textId="77777777" w:rsidR="00D813A2" w:rsidRDefault="00D813A2" w:rsidP="00D813A2">
      <w:pPr>
        <w:ind w:firstLine="567"/>
        <w:jc w:val="both"/>
        <w:rPr>
          <w:rFonts w:asciiTheme="minorHAnsi" w:hAnsiTheme="minorHAnsi" w:cstheme="minorHAnsi"/>
          <w:sz w:val="22"/>
          <w:szCs w:val="22"/>
        </w:rPr>
      </w:pPr>
    </w:p>
    <w:p w14:paraId="1A401877" w14:textId="77777777" w:rsidR="00D813A2" w:rsidRPr="003D5F0B" w:rsidRDefault="00D813A2" w:rsidP="00D813A2">
      <w:pPr>
        <w:rPr>
          <w:rFonts w:asciiTheme="minorHAnsi" w:hAnsiTheme="minorHAnsi" w:cstheme="minorHAnsi"/>
          <w:sz w:val="22"/>
          <w:szCs w:val="22"/>
        </w:rPr>
      </w:pPr>
      <w:r w:rsidRPr="003D5F0B">
        <w:rPr>
          <w:rFonts w:asciiTheme="minorHAnsi" w:hAnsiTheme="minorHAnsi" w:cstheme="minorHAnsi"/>
          <w:sz w:val="22"/>
          <w:szCs w:val="22"/>
        </w:rPr>
        <w:t xml:space="preserve">2020 m. </w:t>
      </w:r>
      <w:r>
        <w:rPr>
          <w:rFonts w:asciiTheme="minorHAnsi" w:hAnsiTheme="minorHAnsi" w:cstheme="minorHAnsi"/>
          <w:sz w:val="22"/>
          <w:szCs w:val="22"/>
        </w:rPr>
        <w:t>lapkričio</w:t>
      </w:r>
      <w:r w:rsidRPr="003D5F0B">
        <w:rPr>
          <w:rFonts w:asciiTheme="minorHAnsi" w:hAnsiTheme="minorHAnsi" w:cstheme="minorHAnsi"/>
          <w:sz w:val="22"/>
          <w:szCs w:val="22"/>
        </w:rPr>
        <w:t xml:space="preserve"> </w:t>
      </w:r>
      <w:r>
        <w:rPr>
          <w:rFonts w:asciiTheme="minorHAnsi" w:hAnsiTheme="minorHAnsi" w:cstheme="minorHAnsi"/>
          <w:sz w:val="22"/>
          <w:szCs w:val="22"/>
        </w:rPr>
        <w:t>4</w:t>
      </w:r>
      <w:r w:rsidRPr="003D5F0B">
        <w:rPr>
          <w:rFonts w:asciiTheme="minorHAnsi" w:hAnsiTheme="minorHAnsi" w:cstheme="minorHAnsi"/>
          <w:sz w:val="22"/>
          <w:szCs w:val="22"/>
        </w:rPr>
        <w:t xml:space="preserve"> d. nutartis administracinėje byloje Nr. </w:t>
      </w:r>
      <w:r w:rsidRPr="005B3DA7">
        <w:rPr>
          <w:rFonts w:asciiTheme="minorHAnsi" w:hAnsiTheme="minorHAnsi" w:cstheme="minorHAnsi"/>
          <w:sz w:val="22"/>
          <w:szCs w:val="22"/>
          <w:lang w:eastAsia="en-US"/>
        </w:rPr>
        <w:t>eA-4838-492/2020</w:t>
      </w:r>
    </w:p>
    <w:p w14:paraId="27F75996" w14:textId="77777777" w:rsidR="00D813A2" w:rsidRPr="003D5F0B" w:rsidRDefault="00D813A2" w:rsidP="00D813A2">
      <w:pPr>
        <w:rPr>
          <w:rFonts w:asciiTheme="minorHAnsi" w:hAnsiTheme="minorHAnsi" w:cstheme="minorHAnsi"/>
          <w:bCs/>
          <w:sz w:val="22"/>
          <w:szCs w:val="22"/>
          <w:lang w:eastAsia="en-US"/>
        </w:rPr>
      </w:pPr>
      <w:r w:rsidRPr="003D5F0B">
        <w:rPr>
          <w:rFonts w:asciiTheme="minorHAnsi" w:hAnsiTheme="minorHAnsi" w:cstheme="minorHAnsi"/>
          <w:sz w:val="22"/>
          <w:szCs w:val="22"/>
        </w:rPr>
        <w:t xml:space="preserve">Teisminio proceso Nr. </w:t>
      </w:r>
      <w:r w:rsidRPr="005B3DA7">
        <w:rPr>
          <w:rFonts w:asciiTheme="minorHAnsi" w:hAnsiTheme="minorHAnsi" w:cstheme="minorHAnsi"/>
          <w:bCs/>
          <w:sz w:val="22"/>
          <w:szCs w:val="22"/>
          <w:lang w:eastAsia="en-US"/>
        </w:rPr>
        <w:t>3-63-3-00631-2018-6</w:t>
      </w:r>
    </w:p>
    <w:p w14:paraId="5734867D" w14:textId="4825E5D7" w:rsidR="00D813A2" w:rsidRPr="003D5F0B" w:rsidRDefault="00D813A2" w:rsidP="55FEB3D6">
      <w:pPr>
        <w:rPr>
          <w:rFonts w:asciiTheme="minorHAnsi" w:hAnsiTheme="minorHAnsi" w:cstheme="minorBidi"/>
          <w:sz w:val="22"/>
          <w:szCs w:val="22"/>
          <w:lang w:eastAsia="en-US"/>
        </w:rPr>
      </w:pPr>
      <w:r w:rsidRPr="55FEB3D6">
        <w:rPr>
          <w:rFonts w:asciiTheme="minorHAnsi" w:hAnsiTheme="minorHAnsi" w:cstheme="minorBidi"/>
          <w:sz w:val="22"/>
          <w:szCs w:val="22"/>
        </w:rPr>
        <w:t xml:space="preserve">Procesinio sprendimo </w:t>
      </w:r>
      <w:r w:rsidRPr="55FEB3D6">
        <w:rPr>
          <w:rFonts w:asciiTheme="minorHAnsi" w:hAnsiTheme="minorHAnsi" w:cstheme="minorBidi"/>
          <w:sz w:val="22"/>
          <w:szCs w:val="22"/>
          <w:lang w:eastAsia="en-US"/>
        </w:rPr>
        <w:t>kategorijos: 20.2.1.1; 20.2.2; 20.2.3.1; 20.4</w:t>
      </w:r>
    </w:p>
    <w:p w14:paraId="15184FB1" w14:textId="77777777" w:rsidR="00D813A2" w:rsidRPr="003D5F0B" w:rsidRDefault="00822FF8" w:rsidP="00D813A2">
      <w:pPr>
        <w:rPr>
          <w:rFonts w:asciiTheme="minorHAnsi" w:hAnsiTheme="minorHAnsi" w:cstheme="minorHAnsi"/>
          <w:sz w:val="22"/>
          <w:szCs w:val="22"/>
          <w:u w:val="single"/>
        </w:rPr>
      </w:pPr>
      <w:hyperlink r:id="rId22" w:history="1">
        <w:r w:rsidR="00D813A2" w:rsidRPr="003D5F0B">
          <w:rPr>
            <w:rStyle w:val="Hipersaitas"/>
            <w:rFonts w:asciiTheme="minorHAnsi" w:hAnsiTheme="minorHAnsi" w:cstheme="minorHAnsi"/>
            <w:sz w:val="22"/>
            <w:szCs w:val="22"/>
          </w:rPr>
          <w:t>Prieiga internete</w:t>
        </w:r>
      </w:hyperlink>
    </w:p>
    <w:p w14:paraId="60B5EA74" w14:textId="77777777" w:rsidR="00D813A2" w:rsidRDefault="00D813A2" w:rsidP="00D813A2">
      <w:pPr>
        <w:rPr>
          <w:rFonts w:asciiTheme="minorHAnsi" w:hAnsiTheme="minorHAnsi" w:cstheme="minorHAnsi"/>
          <w:bCs/>
          <w:sz w:val="22"/>
          <w:szCs w:val="22"/>
        </w:rPr>
      </w:pPr>
    </w:p>
    <w:p w14:paraId="28070FA9" w14:textId="77777777" w:rsidR="00D813A2" w:rsidRDefault="00D813A2" w:rsidP="00D813A2">
      <w:pPr>
        <w:ind w:firstLine="1701"/>
        <w:rPr>
          <w:rFonts w:ascii="Calibri" w:hAnsi="Calibri"/>
          <w:b/>
          <w:sz w:val="22"/>
          <w:szCs w:val="22"/>
          <w:u w:val="single"/>
        </w:rPr>
      </w:pPr>
      <w:r>
        <w:rPr>
          <w:rFonts w:ascii="Calibri" w:hAnsi="Calibri"/>
          <w:b/>
          <w:sz w:val="22"/>
          <w:szCs w:val="22"/>
          <w:u w:val="single"/>
        </w:rPr>
        <w:t>20.2.3.2. Neturtinė žala</w:t>
      </w:r>
    </w:p>
    <w:p w14:paraId="31F09D63" w14:textId="77777777" w:rsidR="00D813A2" w:rsidRDefault="00D813A2" w:rsidP="00D813A2">
      <w:pPr>
        <w:rPr>
          <w:rFonts w:asciiTheme="minorHAnsi" w:hAnsiTheme="minorHAnsi" w:cstheme="minorHAnsi"/>
          <w:bCs/>
          <w:sz w:val="22"/>
          <w:szCs w:val="22"/>
        </w:rPr>
      </w:pPr>
    </w:p>
    <w:p w14:paraId="76D2B461" w14:textId="77777777" w:rsidR="00D813A2" w:rsidRDefault="00D813A2" w:rsidP="00D813A2">
      <w:pPr>
        <w:shd w:val="clear" w:color="auto" w:fill="FFFFFF"/>
        <w:tabs>
          <w:tab w:val="left" w:pos="567"/>
        </w:tabs>
        <w:jc w:val="both"/>
        <w:outlineLvl w:val="1"/>
        <w:rPr>
          <w:rFonts w:asciiTheme="minorHAnsi" w:eastAsia="Calibri" w:hAnsiTheme="minorHAnsi" w:cstheme="minorHAnsi"/>
          <w:bCs/>
          <w:i/>
          <w:iCs/>
          <w:sz w:val="22"/>
          <w:szCs w:val="22"/>
          <w:shd w:val="clear" w:color="auto" w:fill="FFFFFF"/>
          <w:lang w:eastAsia="en-US"/>
        </w:rPr>
      </w:pPr>
      <w:bookmarkStart w:id="51" w:name="_Toc61261242"/>
      <w:r w:rsidRPr="00E36A06">
        <w:rPr>
          <w:rFonts w:asciiTheme="minorHAnsi" w:eastAsia="Calibri" w:hAnsiTheme="minorHAnsi" w:cstheme="minorHAnsi"/>
          <w:bCs/>
          <w:i/>
          <w:iCs/>
          <w:sz w:val="22"/>
          <w:szCs w:val="22"/>
          <w:shd w:val="clear" w:color="auto" w:fill="FFFFFF"/>
          <w:lang w:eastAsia="en-US"/>
        </w:rPr>
        <w:t xml:space="preserve">Dėl </w:t>
      </w:r>
      <w:r>
        <w:rPr>
          <w:rFonts w:asciiTheme="minorHAnsi" w:eastAsia="Calibri" w:hAnsiTheme="minorHAnsi" w:cstheme="minorHAnsi"/>
          <w:bCs/>
          <w:i/>
          <w:iCs/>
          <w:sz w:val="22"/>
          <w:szCs w:val="22"/>
          <w:shd w:val="clear" w:color="auto" w:fill="FFFFFF"/>
          <w:lang w:eastAsia="en-US"/>
        </w:rPr>
        <w:t>žalos atlyginimo žuvus asmeniui dėl pareigūno panaudoto šaunamojo ginklo stabdant automobilį</w:t>
      </w:r>
      <w:bookmarkEnd w:id="51"/>
    </w:p>
    <w:p w14:paraId="0C5EF024" w14:textId="77777777" w:rsidR="00D813A2" w:rsidRDefault="00D813A2" w:rsidP="00D813A2">
      <w:pPr>
        <w:jc w:val="both"/>
        <w:rPr>
          <w:rFonts w:asciiTheme="minorHAnsi" w:hAnsiTheme="minorHAnsi" w:cstheme="minorHAnsi"/>
          <w:i/>
          <w:sz w:val="22"/>
          <w:szCs w:val="22"/>
        </w:rPr>
      </w:pPr>
    </w:p>
    <w:p w14:paraId="312F5525" w14:textId="165099B1" w:rsidR="00D813A2" w:rsidRDefault="00D813A2" w:rsidP="5FB8FBAC">
      <w:pPr>
        <w:ind w:firstLine="567"/>
        <w:jc w:val="both"/>
        <w:rPr>
          <w:rFonts w:asciiTheme="minorHAnsi" w:hAnsiTheme="minorHAnsi" w:cstheme="minorBidi"/>
          <w:sz w:val="22"/>
          <w:szCs w:val="22"/>
        </w:rPr>
      </w:pPr>
      <w:r w:rsidRPr="5FB8FBAC">
        <w:rPr>
          <w:rFonts w:asciiTheme="minorHAnsi" w:hAnsiTheme="minorHAnsi" w:cstheme="minorBidi"/>
          <w:sz w:val="22"/>
          <w:szCs w:val="22"/>
        </w:rPr>
        <w:t xml:space="preserve">Apžvelgiamoje byloje ginčas kilo dėl turtinės ir neturtinės žalos, kurią pareiškėja </w:t>
      </w:r>
      <w:r w:rsidR="425290B6" w:rsidRPr="5FB8FBAC">
        <w:rPr>
          <w:rFonts w:asciiTheme="minorHAnsi" w:hAnsiTheme="minorHAnsi" w:cstheme="minorBidi"/>
          <w:sz w:val="22"/>
          <w:szCs w:val="22"/>
        </w:rPr>
        <w:t xml:space="preserve">siejo su valstybės atsakomybe, kylančia dėl </w:t>
      </w:r>
      <w:r w:rsidRPr="5FB8FBAC">
        <w:rPr>
          <w:rFonts w:asciiTheme="minorHAnsi" w:hAnsiTheme="minorHAnsi" w:cstheme="minorBidi"/>
          <w:sz w:val="22"/>
          <w:szCs w:val="22"/>
        </w:rPr>
        <w:t>Valstybės sienos apsaugos tarnybos prie Vidaus reikalų ministerijos (toliau – VSAT) pareigūno veiksmų panaudojus šaunamąjį ginklą, dėl ko nuo šautinės žaizdos mirė jos sūnus E. B., atlyginimo.</w:t>
      </w:r>
    </w:p>
    <w:p w14:paraId="7FE22B87" w14:textId="77777777" w:rsidR="00D813A2" w:rsidRDefault="00D813A2" w:rsidP="00D813A2">
      <w:pPr>
        <w:ind w:firstLine="567"/>
        <w:jc w:val="both"/>
        <w:rPr>
          <w:rFonts w:asciiTheme="minorHAnsi" w:hAnsiTheme="minorHAnsi" w:cstheme="minorHAnsi"/>
          <w:sz w:val="22"/>
          <w:szCs w:val="22"/>
        </w:rPr>
      </w:pPr>
      <w:r>
        <w:rPr>
          <w:rFonts w:asciiTheme="minorHAnsi" w:hAnsiTheme="minorHAnsi" w:cstheme="minorHAnsi"/>
          <w:sz w:val="22"/>
          <w:szCs w:val="22"/>
        </w:rPr>
        <w:t>Byloje nustatyta, kad VSAT</w:t>
      </w:r>
      <w:r w:rsidRPr="00626C72">
        <w:rPr>
          <w:rFonts w:asciiTheme="minorHAnsi" w:hAnsiTheme="minorHAnsi" w:cstheme="minorHAnsi"/>
          <w:sz w:val="22"/>
          <w:szCs w:val="22"/>
        </w:rPr>
        <w:t xml:space="preserve"> pareigūnams 2015 m. rugpjūčio 27 d. tarnybiniu automobiliu persekiojant automobilį, kuriame, kaip buvo informuoti pareigūnai, buvo kontrabanda vežamos cigaretės, V</w:t>
      </w:r>
      <w:r>
        <w:rPr>
          <w:rFonts w:asciiTheme="minorHAnsi" w:hAnsiTheme="minorHAnsi" w:cstheme="minorHAnsi"/>
          <w:sz w:val="22"/>
          <w:szCs w:val="22"/>
        </w:rPr>
        <w:t>SAT</w:t>
      </w:r>
      <w:r w:rsidRPr="00626C72">
        <w:rPr>
          <w:rFonts w:asciiTheme="minorHAnsi" w:hAnsiTheme="minorHAnsi" w:cstheme="minorHAnsi"/>
          <w:sz w:val="22"/>
          <w:szCs w:val="22"/>
        </w:rPr>
        <w:t xml:space="preserve"> pareigūnas, panaudojęs tarnybinį šaunamąjį ginklą, mirtinai sužalojo persekioto automobilio keleivį – pareiškėjos sūnų.</w:t>
      </w:r>
    </w:p>
    <w:p w14:paraId="22ACD800" w14:textId="74DF61B0" w:rsidR="00D813A2" w:rsidRDefault="00D813A2" w:rsidP="5FB8FBAC">
      <w:pPr>
        <w:ind w:firstLine="567"/>
        <w:jc w:val="both"/>
        <w:rPr>
          <w:rFonts w:asciiTheme="minorHAnsi" w:hAnsiTheme="minorHAnsi" w:cstheme="minorBidi"/>
          <w:sz w:val="22"/>
          <w:szCs w:val="22"/>
        </w:rPr>
      </w:pPr>
      <w:r w:rsidRPr="5FB8FBAC">
        <w:rPr>
          <w:rFonts w:asciiTheme="minorHAnsi" w:hAnsiTheme="minorHAnsi" w:cstheme="minorBidi"/>
          <w:sz w:val="22"/>
          <w:szCs w:val="22"/>
        </w:rPr>
        <w:t>Pirmosios instancijos teismas, nustatęs, kad pareiškėjos sūnus dalyvavo nusikalstamoje veikoje, slėpėsi automobilyje, ir tai turėjo esminę įtaką VSAT pareigūno priimtam sprendimui panaudoti tarnybinį ginklą stabdant automobilį bei iš esmės lėmė žalos atsiradimą, pareiškėjos skundą atmetė.</w:t>
      </w:r>
    </w:p>
    <w:p w14:paraId="5BE73883" w14:textId="34D85D6D" w:rsidR="00D813A2" w:rsidRDefault="00F447A1" w:rsidP="5FB8FBAC">
      <w:pPr>
        <w:ind w:firstLine="567"/>
        <w:jc w:val="both"/>
        <w:rPr>
          <w:rFonts w:asciiTheme="minorHAnsi" w:hAnsiTheme="minorHAnsi" w:cstheme="minorBidi"/>
          <w:sz w:val="22"/>
          <w:szCs w:val="22"/>
        </w:rPr>
      </w:pPr>
      <w:r w:rsidRPr="5FB8FBAC">
        <w:rPr>
          <w:rFonts w:asciiTheme="minorHAnsi" w:hAnsiTheme="minorHAnsi" w:cstheme="minorBidi"/>
          <w:sz w:val="22"/>
          <w:szCs w:val="22"/>
        </w:rPr>
        <w:t>T</w:t>
      </w:r>
      <w:r w:rsidR="00D813A2" w:rsidRPr="5FB8FBAC">
        <w:rPr>
          <w:rFonts w:asciiTheme="minorHAnsi" w:hAnsiTheme="minorHAnsi" w:cstheme="minorBidi"/>
          <w:sz w:val="22"/>
          <w:szCs w:val="22"/>
        </w:rPr>
        <w:t>eisėjų kolegija su tokiu pirmosios instancijos teismo vertinimu nesutiko ir pažymėjo, kad Konstitucijos 19 straipsnyje nustatyta: „Žmogaus teisę į gyvybę saugo įstatymas“. Asmens teisė į gyvybę taip pat įtvirtinta Konvencijos 2 straipsnyje. Lietuva yra šios Konvencijos dalyvė, todėl prisiimti įsipareigojimai suponuoja tai, kad teisinis reguliavimas, asmenims suteikiamos teisės turi būti aiškinamos atsižvelgiant į tarptautinius Lietuvos valstybės įsipareigojimus, kuriuos ji prisiėmė ratifikavusi Konvenciją.</w:t>
      </w:r>
    </w:p>
    <w:p w14:paraId="506FE27D" w14:textId="77777777" w:rsidR="00D813A2" w:rsidRDefault="00D813A2" w:rsidP="00D813A2">
      <w:pPr>
        <w:ind w:firstLine="567"/>
        <w:jc w:val="both"/>
        <w:rPr>
          <w:rFonts w:asciiTheme="minorHAnsi" w:hAnsiTheme="minorHAnsi" w:cstheme="minorHAnsi"/>
          <w:sz w:val="22"/>
          <w:szCs w:val="22"/>
        </w:rPr>
      </w:pPr>
      <w:r>
        <w:rPr>
          <w:rFonts w:asciiTheme="minorHAnsi" w:hAnsiTheme="minorHAnsi" w:cstheme="minorHAnsi"/>
          <w:sz w:val="22"/>
          <w:szCs w:val="22"/>
        </w:rPr>
        <w:t xml:space="preserve">Teisėjų kolegija nurodė, jog </w:t>
      </w:r>
      <w:r w:rsidRPr="00773CAE">
        <w:rPr>
          <w:rFonts w:asciiTheme="minorHAnsi" w:hAnsiTheme="minorHAnsi" w:cstheme="minorHAnsi"/>
          <w:sz w:val="22"/>
          <w:szCs w:val="22"/>
        </w:rPr>
        <w:t>EŽTT yra išaiškinęs, kad</w:t>
      </w:r>
      <w:r>
        <w:rPr>
          <w:rFonts w:asciiTheme="minorHAnsi" w:hAnsiTheme="minorHAnsi" w:cstheme="minorHAnsi"/>
          <w:sz w:val="22"/>
          <w:szCs w:val="22"/>
        </w:rPr>
        <w:t>,</w:t>
      </w:r>
      <w:r w:rsidRPr="00773CAE">
        <w:rPr>
          <w:rFonts w:asciiTheme="minorHAnsi" w:hAnsiTheme="minorHAnsi" w:cstheme="minorHAnsi"/>
          <w:sz w:val="22"/>
          <w:szCs w:val="22"/>
        </w:rPr>
        <w:t xml:space="preserve"> kaip matyti iš paties Konvencijos 2 straipsnio 2</w:t>
      </w:r>
      <w:r>
        <w:rPr>
          <w:rFonts w:asciiTheme="minorHAnsi" w:hAnsiTheme="minorHAnsi" w:cstheme="minorHAnsi"/>
          <w:sz w:val="22"/>
          <w:szCs w:val="22"/>
        </w:rPr>
        <w:t> </w:t>
      </w:r>
      <w:r w:rsidRPr="00773CAE">
        <w:rPr>
          <w:rFonts w:asciiTheme="minorHAnsi" w:hAnsiTheme="minorHAnsi" w:cstheme="minorHAnsi"/>
          <w:sz w:val="22"/>
          <w:szCs w:val="22"/>
        </w:rPr>
        <w:t>dalies teksto, pareigūnų naudojama mirtiną</w:t>
      </w:r>
      <w:r>
        <w:rPr>
          <w:rFonts w:asciiTheme="minorHAnsi" w:hAnsiTheme="minorHAnsi" w:cstheme="minorHAnsi"/>
          <w:sz w:val="22"/>
          <w:szCs w:val="22"/>
        </w:rPr>
        <w:t xml:space="preserve"> </w:t>
      </w:r>
      <w:r w:rsidRPr="00773CAE">
        <w:rPr>
          <w:rFonts w:asciiTheme="minorHAnsi" w:hAnsiTheme="minorHAnsi" w:cstheme="minorHAnsi"/>
          <w:sz w:val="22"/>
          <w:szCs w:val="22"/>
        </w:rPr>
        <w:t>grėsmę kelianti jėga gali būti pateisinama tam tikromis aplinkybėmis. Tačiau toks jėgos panaudojimas galimas tik tuo atveju, kai tai yra „neišvengiamai būtina“, kitaip tariant, jis turi būti visiškai proporcingas toms aplinkybėms (</w:t>
      </w:r>
      <w:r>
        <w:rPr>
          <w:rFonts w:asciiTheme="minorHAnsi" w:hAnsiTheme="minorHAnsi" w:cstheme="minorHAnsi"/>
          <w:sz w:val="22"/>
          <w:szCs w:val="22"/>
        </w:rPr>
        <w:t xml:space="preserve">angl. </w:t>
      </w:r>
      <w:r w:rsidRPr="00773CAE">
        <w:rPr>
          <w:rFonts w:asciiTheme="minorHAnsi" w:hAnsiTheme="minorHAnsi" w:cstheme="minorHAnsi"/>
          <w:sz w:val="22"/>
          <w:szCs w:val="22"/>
        </w:rPr>
        <w:t>„</w:t>
      </w:r>
      <w:r w:rsidRPr="00773CAE">
        <w:rPr>
          <w:rFonts w:asciiTheme="minorHAnsi" w:hAnsiTheme="minorHAnsi" w:cstheme="minorHAnsi"/>
          <w:i/>
          <w:iCs/>
          <w:sz w:val="22"/>
          <w:szCs w:val="22"/>
        </w:rPr>
        <w:t>no more than absolutely necessary</w:t>
      </w:r>
      <w:r w:rsidRPr="00773CAE">
        <w:rPr>
          <w:rFonts w:asciiTheme="minorHAnsi" w:hAnsiTheme="minorHAnsi" w:cstheme="minorHAnsi"/>
          <w:sz w:val="22"/>
          <w:szCs w:val="22"/>
        </w:rPr>
        <w:t>“, „</w:t>
      </w:r>
      <w:r w:rsidRPr="00773CAE">
        <w:rPr>
          <w:rFonts w:asciiTheme="minorHAnsi" w:hAnsiTheme="minorHAnsi" w:cstheme="minorHAnsi"/>
          <w:i/>
          <w:iCs/>
          <w:sz w:val="22"/>
          <w:szCs w:val="22"/>
        </w:rPr>
        <w:t>must be strictly proportionate in the circumstances</w:t>
      </w:r>
      <w:r w:rsidRPr="00773CAE">
        <w:rPr>
          <w:rFonts w:asciiTheme="minorHAnsi" w:hAnsiTheme="minorHAnsi" w:cstheme="minorHAnsi"/>
          <w:sz w:val="22"/>
          <w:szCs w:val="22"/>
        </w:rPr>
        <w:t xml:space="preserve">“) (žr., pvz., EŽTT 2005 m. liepos 6 d. sprendimo byloje </w:t>
      </w:r>
      <w:r w:rsidRPr="00773CAE">
        <w:rPr>
          <w:rFonts w:asciiTheme="minorHAnsi" w:hAnsiTheme="minorHAnsi" w:cstheme="minorHAnsi"/>
          <w:i/>
          <w:sz w:val="22"/>
          <w:szCs w:val="22"/>
        </w:rPr>
        <w:t>Nachova ir kiti prieš Bulgariją</w:t>
      </w:r>
      <w:r w:rsidRPr="00773CAE">
        <w:rPr>
          <w:rFonts w:asciiTheme="minorHAnsi" w:hAnsiTheme="minorHAnsi" w:cstheme="minorHAnsi"/>
          <w:sz w:val="22"/>
          <w:szCs w:val="22"/>
        </w:rPr>
        <w:t>, 94</w:t>
      </w:r>
      <w:r>
        <w:rPr>
          <w:rFonts w:asciiTheme="minorHAnsi" w:hAnsiTheme="minorHAnsi" w:cstheme="minorHAnsi"/>
          <w:sz w:val="22"/>
          <w:szCs w:val="22"/>
        </w:rPr>
        <w:t xml:space="preserve"> p.</w:t>
      </w:r>
      <w:r w:rsidRPr="00773CAE">
        <w:rPr>
          <w:rFonts w:asciiTheme="minorHAnsi" w:hAnsiTheme="minorHAnsi" w:cstheme="minorHAnsi"/>
          <w:sz w:val="22"/>
          <w:szCs w:val="22"/>
        </w:rPr>
        <w:t xml:space="preserve">; 2008 m. balandžio 24 d. sprendimo byloje </w:t>
      </w:r>
      <w:r w:rsidRPr="00773CAE">
        <w:rPr>
          <w:rFonts w:asciiTheme="minorHAnsi" w:hAnsiTheme="minorHAnsi" w:cstheme="minorHAnsi"/>
          <w:i/>
          <w:sz w:val="22"/>
          <w:szCs w:val="22"/>
        </w:rPr>
        <w:t>Juozaitienė ir Bikulčius</w:t>
      </w:r>
      <w:r w:rsidRPr="00773CAE">
        <w:rPr>
          <w:rFonts w:asciiTheme="minorHAnsi" w:hAnsiTheme="minorHAnsi" w:cstheme="minorHAnsi"/>
          <w:sz w:val="22"/>
          <w:szCs w:val="22"/>
        </w:rPr>
        <w:t xml:space="preserve"> </w:t>
      </w:r>
      <w:r w:rsidRPr="00773CAE">
        <w:rPr>
          <w:rFonts w:asciiTheme="minorHAnsi" w:hAnsiTheme="minorHAnsi" w:cstheme="minorHAnsi"/>
          <w:i/>
          <w:sz w:val="22"/>
          <w:szCs w:val="22"/>
        </w:rPr>
        <w:t>prieš Lietuvą</w:t>
      </w:r>
      <w:r w:rsidRPr="00773CAE">
        <w:rPr>
          <w:rFonts w:asciiTheme="minorHAnsi" w:hAnsiTheme="minorHAnsi" w:cstheme="minorHAnsi"/>
          <w:sz w:val="22"/>
          <w:szCs w:val="22"/>
        </w:rPr>
        <w:t>, 71</w:t>
      </w:r>
      <w:r>
        <w:rPr>
          <w:rFonts w:asciiTheme="minorHAnsi" w:hAnsiTheme="minorHAnsi" w:cstheme="minorHAnsi"/>
          <w:sz w:val="22"/>
          <w:szCs w:val="22"/>
        </w:rPr>
        <w:t xml:space="preserve"> p.</w:t>
      </w:r>
      <w:r w:rsidRPr="00773CAE">
        <w:rPr>
          <w:rFonts w:asciiTheme="minorHAnsi" w:hAnsiTheme="minorHAnsi" w:cstheme="minorHAnsi"/>
          <w:sz w:val="22"/>
          <w:szCs w:val="22"/>
        </w:rPr>
        <w:t xml:space="preserve">). EŽTT ne kartą yra konstatavęs, kad iš esmės tokio būtinumo negali būti, jeigu yra žinoma, kad suimamas asmuo nekelia pavojaus gyvybei arba sveikatai ir nėra įtariamas padaręs smurtinį nusikaltimą, netgi jeigu nepanaudojus mirtiną grėsmę keliančios jėgos bus prarasta galimybė bėglį suimti (žr., pvz., EŽTT 2005 m. liepos 6 d. sprendimo byloje </w:t>
      </w:r>
      <w:r w:rsidRPr="00773CAE">
        <w:rPr>
          <w:rFonts w:asciiTheme="minorHAnsi" w:hAnsiTheme="minorHAnsi" w:cstheme="minorHAnsi"/>
          <w:i/>
          <w:sz w:val="22"/>
          <w:szCs w:val="22"/>
        </w:rPr>
        <w:t>Nachova ir kiti prieš Bulgariją</w:t>
      </w:r>
      <w:r w:rsidRPr="00773CAE">
        <w:rPr>
          <w:rFonts w:asciiTheme="minorHAnsi" w:hAnsiTheme="minorHAnsi" w:cstheme="minorHAnsi"/>
          <w:sz w:val="22"/>
          <w:szCs w:val="22"/>
        </w:rPr>
        <w:t>, 95</w:t>
      </w:r>
      <w:r>
        <w:rPr>
          <w:rFonts w:asciiTheme="minorHAnsi" w:hAnsiTheme="minorHAnsi" w:cstheme="minorHAnsi"/>
          <w:sz w:val="22"/>
          <w:szCs w:val="22"/>
        </w:rPr>
        <w:t> p.</w:t>
      </w:r>
      <w:r w:rsidRPr="00773CAE">
        <w:rPr>
          <w:rFonts w:asciiTheme="minorHAnsi" w:hAnsiTheme="minorHAnsi" w:cstheme="minorHAnsi"/>
          <w:sz w:val="22"/>
          <w:szCs w:val="22"/>
        </w:rPr>
        <w:t xml:space="preserve">; 2008 m. balandžio 24 d. sprendimo byloje </w:t>
      </w:r>
      <w:r w:rsidRPr="00773CAE">
        <w:rPr>
          <w:rFonts w:asciiTheme="minorHAnsi" w:hAnsiTheme="minorHAnsi" w:cstheme="minorHAnsi"/>
          <w:i/>
          <w:sz w:val="22"/>
          <w:szCs w:val="22"/>
        </w:rPr>
        <w:t>Juozaitienė ir Bikulčius</w:t>
      </w:r>
      <w:r w:rsidRPr="00773CAE">
        <w:rPr>
          <w:rFonts w:asciiTheme="minorHAnsi" w:hAnsiTheme="minorHAnsi" w:cstheme="minorHAnsi"/>
          <w:sz w:val="22"/>
          <w:szCs w:val="22"/>
        </w:rPr>
        <w:t xml:space="preserve"> </w:t>
      </w:r>
      <w:r w:rsidRPr="00773CAE">
        <w:rPr>
          <w:rFonts w:asciiTheme="minorHAnsi" w:hAnsiTheme="minorHAnsi" w:cstheme="minorHAnsi"/>
          <w:i/>
          <w:sz w:val="22"/>
          <w:szCs w:val="22"/>
        </w:rPr>
        <w:t>prieš Lietuvą</w:t>
      </w:r>
      <w:r w:rsidRPr="00773CAE">
        <w:rPr>
          <w:rFonts w:asciiTheme="minorHAnsi" w:hAnsiTheme="minorHAnsi" w:cstheme="minorHAnsi"/>
          <w:sz w:val="22"/>
          <w:szCs w:val="22"/>
        </w:rPr>
        <w:t>, 72</w:t>
      </w:r>
      <w:r>
        <w:rPr>
          <w:rFonts w:asciiTheme="minorHAnsi" w:hAnsiTheme="minorHAnsi" w:cstheme="minorHAnsi"/>
          <w:sz w:val="22"/>
          <w:szCs w:val="22"/>
        </w:rPr>
        <w:t xml:space="preserve"> p.</w:t>
      </w:r>
      <w:r w:rsidRPr="00773CAE">
        <w:rPr>
          <w:rFonts w:asciiTheme="minorHAnsi" w:hAnsiTheme="minorHAnsi" w:cstheme="minorHAnsi"/>
          <w:sz w:val="22"/>
          <w:szCs w:val="22"/>
        </w:rPr>
        <w:t>).</w:t>
      </w:r>
    </w:p>
    <w:p w14:paraId="721A8DBE" w14:textId="7F6F5E64" w:rsidR="00D813A2" w:rsidRDefault="00D813A2" w:rsidP="5FB8FBAC">
      <w:pPr>
        <w:ind w:firstLine="567"/>
        <w:jc w:val="both"/>
        <w:rPr>
          <w:rFonts w:asciiTheme="minorHAnsi" w:hAnsiTheme="minorHAnsi" w:cstheme="minorBidi"/>
          <w:sz w:val="22"/>
          <w:szCs w:val="22"/>
        </w:rPr>
      </w:pPr>
      <w:r w:rsidRPr="5FB8FBAC">
        <w:rPr>
          <w:rFonts w:asciiTheme="minorHAnsi" w:hAnsiTheme="minorHAnsi" w:cstheme="minorBidi"/>
          <w:sz w:val="22"/>
          <w:szCs w:val="22"/>
        </w:rPr>
        <w:t xml:space="preserve">Taikydama šias nuostatas nagrinėtoje byloje, teisėjų kolegija priėjo prie išvados, kad pareiškėjos sūnus žuvo dėl to, jog buvo panaudota jėga, kuri nebuvo neišvengiamai būtina, siekiant teisėtai suimti asmenį Konvencijos 2 straipsnio 2 dalies b punkto požiūriu. </w:t>
      </w:r>
    </w:p>
    <w:p w14:paraId="72C00669" w14:textId="3F2811A2" w:rsidR="00D813A2" w:rsidRDefault="00D813A2" w:rsidP="5FB8FBAC">
      <w:pPr>
        <w:ind w:firstLine="567"/>
        <w:jc w:val="both"/>
        <w:rPr>
          <w:rFonts w:asciiTheme="minorHAnsi" w:hAnsiTheme="minorHAnsi" w:cstheme="minorBidi"/>
          <w:sz w:val="22"/>
          <w:szCs w:val="22"/>
        </w:rPr>
      </w:pPr>
      <w:r w:rsidRPr="5FB8FBAC">
        <w:rPr>
          <w:rFonts w:asciiTheme="minorHAnsi" w:hAnsiTheme="minorHAnsi" w:cstheme="minorBidi"/>
          <w:sz w:val="22"/>
          <w:szCs w:val="22"/>
        </w:rPr>
        <w:t xml:space="preserve">Teisėjų kolegija taip pat akcentavo, kad tuo metu, kai buvo mirtinai sužalotas pareiškėjos sūnus, galiojusio Valstybės sienos apsaugos tarnybos įstatymo 23 straipsnio 5 dalies 1 punkte buvo nustatyta, jog šaunamuosius ginklus arba specialiąsias priemones naudoti draudžiama prieš transporto priemones, kuriose yra keleivių, o šioje byloje įrodyta, kad ginklas panaudotas prieš transporto priemonę, kurioje buvo keleivių, t. y. pažeidžiant įstatymus. Teisėjų kolegija nurodė nemananti, kad įstatymų leidėjas, formuluodamas nurodytą teisės normą, turėjo omenyje tai, ką šioje byloje siekė įrodyti atsakovas, t. y., kad šaunamąjį ginklą galima panaudoti prieš transporto priemones, kuriose yra keleivių, jeigu pareigūnas nežino ir negali žinoti, jog keleivių yra. Toks </w:t>
      </w:r>
      <w:r w:rsidRPr="5FB8FBAC">
        <w:rPr>
          <w:rFonts w:asciiTheme="minorHAnsi" w:hAnsiTheme="minorHAnsi" w:cstheme="minorBidi"/>
          <w:sz w:val="22"/>
          <w:szCs w:val="22"/>
        </w:rPr>
        <w:lastRenderedPageBreak/>
        <w:t>atsakovo teikiamas plečiamojo pobūdžio įstatymo aiškinimas nesuderinamas su įstatym</w:t>
      </w:r>
      <w:r w:rsidR="08A2DFD5" w:rsidRPr="5FB8FBAC">
        <w:rPr>
          <w:rFonts w:asciiTheme="minorHAnsi" w:hAnsiTheme="minorHAnsi" w:cstheme="minorBidi"/>
          <w:sz w:val="22"/>
          <w:szCs w:val="22"/>
        </w:rPr>
        <w:t>ų</w:t>
      </w:r>
      <w:r w:rsidRPr="5FB8FBAC">
        <w:rPr>
          <w:rFonts w:asciiTheme="minorHAnsi" w:hAnsiTheme="minorHAnsi" w:cstheme="minorBidi"/>
          <w:sz w:val="22"/>
          <w:szCs w:val="22"/>
        </w:rPr>
        <w:t xml:space="preserve"> leidėjo tikslais ir Konstitucija, aiškiai apibrėžiančia žmogaus gyvybę kaip aukščiausią vertybę.</w:t>
      </w:r>
    </w:p>
    <w:p w14:paraId="4BC2D5D1" w14:textId="77777777" w:rsidR="00D813A2" w:rsidRPr="003A5FAC" w:rsidRDefault="00D813A2" w:rsidP="00D813A2">
      <w:pPr>
        <w:ind w:firstLine="567"/>
        <w:jc w:val="both"/>
        <w:rPr>
          <w:rFonts w:asciiTheme="minorHAnsi" w:hAnsiTheme="minorHAnsi" w:cstheme="minorHAnsi"/>
          <w:sz w:val="22"/>
          <w:szCs w:val="22"/>
        </w:rPr>
      </w:pPr>
      <w:r>
        <w:rPr>
          <w:rFonts w:asciiTheme="minorHAnsi" w:hAnsiTheme="minorHAnsi" w:cstheme="minorHAnsi"/>
          <w:sz w:val="22"/>
          <w:szCs w:val="22"/>
        </w:rPr>
        <w:t xml:space="preserve">Remiantis byloje nustatytomis aplinkybėmis, pareiškėjos apeliacinis skundas buvo tenkintas, </w:t>
      </w:r>
      <w:r w:rsidRPr="003A5FAC">
        <w:rPr>
          <w:rFonts w:asciiTheme="minorHAnsi" w:hAnsiTheme="minorHAnsi" w:cstheme="minorHAnsi"/>
          <w:sz w:val="22"/>
          <w:szCs w:val="22"/>
        </w:rPr>
        <w:t>pirmosios instancijos teismo sprendimas panaikintas ir priimtas naujas sprendimas – priteisti pareiškėjai iš atsakovo Lietuvos valstybės, atstovaujamos VSAT, 1 352,98 Eur turtinės ir 30 000 Eur neturtinės žalos atlyginimą bei 5 proc. dydžio metines palūkanas nuo priteistos sumos nuo bylos iškėlimo teisme dienos iki teismo sprendimo visiško įvykdymo, taip pat 600 Eur bylinėjimosi išlaidoms atlyginti.</w:t>
      </w:r>
    </w:p>
    <w:p w14:paraId="0C918D84" w14:textId="77777777" w:rsidR="00D813A2" w:rsidRDefault="00D813A2" w:rsidP="00D813A2">
      <w:pPr>
        <w:ind w:firstLine="567"/>
        <w:jc w:val="both"/>
        <w:rPr>
          <w:rFonts w:asciiTheme="minorHAnsi" w:hAnsiTheme="minorHAnsi" w:cstheme="minorHAnsi"/>
          <w:sz w:val="22"/>
          <w:szCs w:val="22"/>
        </w:rPr>
      </w:pPr>
    </w:p>
    <w:p w14:paraId="46EECB95" w14:textId="77777777" w:rsidR="00D813A2" w:rsidRPr="003D5F0B" w:rsidRDefault="00D813A2" w:rsidP="00D813A2">
      <w:pPr>
        <w:rPr>
          <w:rFonts w:asciiTheme="minorHAnsi" w:hAnsiTheme="minorHAnsi" w:cstheme="minorHAnsi"/>
          <w:sz w:val="22"/>
          <w:szCs w:val="22"/>
        </w:rPr>
      </w:pPr>
      <w:r w:rsidRPr="003D5F0B">
        <w:rPr>
          <w:rFonts w:asciiTheme="minorHAnsi" w:hAnsiTheme="minorHAnsi" w:cstheme="minorHAnsi"/>
          <w:sz w:val="22"/>
          <w:szCs w:val="22"/>
        </w:rPr>
        <w:t xml:space="preserve">2020 m. </w:t>
      </w:r>
      <w:r>
        <w:rPr>
          <w:rFonts w:asciiTheme="minorHAnsi" w:hAnsiTheme="minorHAnsi" w:cstheme="minorHAnsi"/>
          <w:sz w:val="22"/>
          <w:szCs w:val="22"/>
        </w:rPr>
        <w:t>lapkričio</w:t>
      </w:r>
      <w:r w:rsidRPr="003D5F0B">
        <w:rPr>
          <w:rFonts w:asciiTheme="minorHAnsi" w:hAnsiTheme="minorHAnsi" w:cstheme="minorHAnsi"/>
          <w:sz w:val="22"/>
          <w:szCs w:val="22"/>
        </w:rPr>
        <w:t xml:space="preserve"> </w:t>
      </w:r>
      <w:r>
        <w:rPr>
          <w:rFonts w:asciiTheme="minorHAnsi" w:hAnsiTheme="minorHAnsi" w:cstheme="minorHAnsi"/>
          <w:sz w:val="22"/>
          <w:szCs w:val="22"/>
        </w:rPr>
        <w:t>25</w:t>
      </w:r>
      <w:r w:rsidRPr="003D5F0B">
        <w:rPr>
          <w:rFonts w:asciiTheme="minorHAnsi" w:hAnsiTheme="minorHAnsi" w:cstheme="minorHAnsi"/>
          <w:sz w:val="22"/>
          <w:szCs w:val="22"/>
        </w:rPr>
        <w:t xml:space="preserve"> d. </w:t>
      </w:r>
      <w:r>
        <w:rPr>
          <w:rFonts w:asciiTheme="minorHAnsi" w:hAnsiTheme="minorHAnsi" w:cstheme="minorHAnsi"/>
          <w:sz w:val="22"/>
          <w:szCs w:val="22"/>
        </w:rPr>
        <w:t>sprendimas</w:t>
      </w:r>
      <w:r w:rsidRPr="003D5F0B">
        <w:rPr>
          <w:rFonts w:asciiTheme="minorHAnsi" w:hAnsiTheme="minorHAnsi" w:cstheme="minorHAnsi"/>
          <w:sz w:val="22"/>
          <w:szCs w:val="22"/>
        </w:rPr>
        <w:t xml:space="preserve"> administracinėje byloje Nr. </w:t>
      </w:r>
      <w:r w:rsidRPr="006B0C1A">
        <w:rPr>
          <w:rFonts w:asciiTheme="minorHAnsi" w:hAnsiTheme="minorHAnsi" w:cstheme="minorHAnsi"/>
          <w:sz w:val="22"/>
          <w:szCs w:val="22"/>
          <w:lang w:val="en-GB" w:eastAsia="en-US"/>
        </w:rPr>
        <w:t>eA-2258-575/2020</w:t>
      </w:r>
    </w:p>
    <w:p w14:paraId="5204E9AC" w14:textId="77777777" w:rsidR="00D813A2" w:rsidRPr="003D5F0B" w:rsidRDefault="00D813A2" w:rsidP="00D813A2">
      <w:pPr>
        <w:rPr>
          <w:rFonts w:asciiTheme="minorHAnsi" w:hAnsiTheme="minorHAnsi" w:cstheme="minorHAnsi"/>
          <w:bCs/>
          <w:sz w:val="22"/>
          <w:szCs w:val="22"/>
          <w:lang w:eastAsia="en-US"/>
        </w:rPr>
      </w:pPr>
      <w:r w:rsidRPr="003D5F0B">
        <w:rPr>
          <w:rFonts w:asciiTheme="minorHAnsi" w:hAnsiTheme="minorHAnsi" w:cstheme="minorHAnsi"/>
          <w:sz w:val="22"/>
          <w:szCs w:val="22"/>
        </w:rPr>
        <w:t xml:space="preserve">Teisminio proceso Nr. </w:t>
      </w:r>
      <w:r w:rsidRPr="006B0C1A">
        <w:rPr>
          <w:rFonts w:asciiTheme="minorHAnsi" w:hAnsiTheme="minorHAnsi" w:cstheme="minorHAnsi"/>
          <w:bCs/>
          <w:sz w:val="22"/>
          <w:szCs w:val="22"/>
          <w:lang w:val="en-GB" w:eastAsia="en-US"/>
        </w:rPr>
        <w:t>2-13-3-02789-2018-6</w:t>
      </w:r>
    </w:p>
    <w:p w14:paraId="21853D75" w14:textId="77777777" w:rsidR="00D813A2" w:rsidRPr="003D5F0B" w:rsidRDefault="00D813A2" w:rsidP="00D813A2">
      <w:pPr>
        <w:rPr>
          <w:rFonts w:asciiTheme="minorHAnsi" w:hAnsiTheme="minorHAnsi" w:cstheme="minorHAnsi"/>
          <w:sz w:val="22"/>
          <w:szCs w:val="22"/>
          <w:lang w:eastAsia="en-US"/>
        </w:rPr>
      </w:pPr>
      <w:r w:rsidRPr="003D5F0B">
        <w:rPr>
          <w:rFonts w:asciiTheme="minorHAnsi" w:hAnsiTheme="minorHAnsi" w:cstheme="minorHAnsi"/>
          <w:sz w:val="22"/>
          <w:szCs w:val="22"/>
        </w:rPr>
        <w:t xml:space="preserve">Procesinio sprendimo </w:t>
      </w:r>
      <w:r w:rsidRPr="003D5F0B">
        <w:rPr>
          <w:rFonts w:asciiTheme="minorHAnsi" w:hAnsiTheme="minorHAnsi" w:cstheme="minorHAnsi"/>
          <w:sz w:val="22"/>
          <w:szCs w:val="22"/>
          <w:lang w:eastAsia="en-US"/>
        </w:rPr>
        <w:t>kategorij</w:t>
      </w:r>
      <w:r>
        <w:rPr>
          <w:rFonts w:asciiTheme="minorHAnsi" w:hAnsiTheme="minorHAnsi" w:cstheme="minorHAnsi"/>
          <w:sz w:val="22"/>
          <w:szCs w:val="22"/>
          <w:lang w:eastAsia="en-US"/>
        </w:rPr>
        <w:t>os:</w:t>
      </w:r>
      <w:r w:rsidRPr="003D5F0B">
        <w:rPr>
          <w:rFonts w:asciiTheme="minorHAnsi" w:hAnsiTheme="minorHAnsi" w:cstheme="minorHAnsi"/>
          <w:sz w:val="22"/>
          <w:szCs w:val="22"/>
          <w:lang w:eastAsia="en-US"/>
        </w:rPr>
        <w:t xml:space="preserve"> </w:t>
      </w:r>
      <w:r w:rsidRPr="006B0C1A">
        <w:rPr>
          <w:rFonts w:asciiTheme="minorHAnsi" w:hAnsiTheme="minorHAnsi" w:cstheme="minorHAnsi"/>
          <w:sz w:val="22"/>
          <w:szCs w:val="22"/>
          <w:lang w:val="en-GB" w:eastAsia="en-US"/>
        </w:rPr>
        <w:t>20.2.3.1; 20.2.3.2</w:t>
      </w:r>
    </w:p>
    <w:p w14:paraId="0F938068" w14:textId="77777777" w:rsidR="00D813A2" w:rsidRPr="003D5F0B" w:rsidRDefault="00822FF8" w:rsidP="00D813A2">
      <w:pPr>
        <w:rPr>
          <w:rFonts w:asciiTheme="minorHAnsi" w:hAnsiTheme="minorHAnsi" w:cstheme="minorHAnsi"/>
          <w:sz w:val="22"/>
          <w:szCs w:val="22"/>
          <w:u w:val="single"/>
        </w:rPr>
      </w:pPr>
      <w:hyperlink r:id="rId23" w:history="1">
        <w:r w:rsidR="00D813A2" w:rsidRPr="003D5F0B">
          <w:rPr>
            <w:rStyle w:val="Hipersaitas"/>
            <w:rFonts w:asciiTheme="minorHAnsi" w:hAnsiTheme="minorHAnsi" w:cstheme="minorHAnsi"/>
            <w:sz w:val="22"/>
            <w:szCs w:val="22"/>
          </w:rPr>
          <w:t>Prieiga internete</w:t>
        </w:r>
      </w:hyperlink>
    </w:p>
    <w:p w14:paraId="28B1D386" w14:textId="77777777" w:rsidR="00D813A2" w:rsidRDefault="00D813A2" w:rsidP="00D813A2">
      <w:pPr>
        <w:rPr>
          <w:rFonts w:asciiTheme="minorHAnsi" w:hAnsiTheme="minorHAnsi" w:cstheme="minorHAnsi"/>
          <w:bCs/>
          <w:sz w:val="22"/>
          <w:szCs w:val="22"/>
        </w:rPr>
      </w:pPr>
    </w:p>
    <w:p w14:paraId="490C88EE" w14:textId="77777777" w:rsidR="00D813A2" w:rsidRPr="003D5F0B" w:rsidRDefault="00D813A2" w:rsidP="00D813A2">
      <w:pPr>
        <w:ind w:firstLine="567"/>
        <w:rPr>
          <w:rFonts w:ascii="Calibri" w:hAnsi="Calibri"/>
          <w:b/>
          <w:sz w:val="22"/>
          <w:szCs w:val="22"/>
          <w:u w:val="single"/>
        </w:rPr>
      </w:pPr>
      <w:r w:rsidRPr="003D5F0B">
        <w:rPr>
          <w:rFonts w:ascii="Calibri" w:hAnsi="Calibri"/>
          <w:b/>
          <w:sz w:val="22"/>
          <w:szCs w:val="22"/>
          <w:u w:val="single"/>
        </w:rPr>
        <w:t>20.5. Kiti su civiline atsakomybe susiję klausimai</w:t>
      </w:r>
    </w:p>
    <w:p w14:paraId="00EDF6B8" w14:textId="77777777" w:rsidR="00D813A2" w:rsidRPr="003D5F0B" w:rsidRDefault="00D813A2" w:rsidP="00D813A2">
      <w:pPr>
        <w:ind w:left="1843" w:hanging="709"/>
        <w:jc w:val="both"/>
        <w:rPr>
          <w:rFonts w:ascii="Calibri" w:hAnsi="Calibri"/>
          <w:b/>
          <w:sz w:val="22"/>
          <w:szCs w:val="22"/>
          <w:u w:val="single"/>
        </w:rPr>
      </w:pPr>
      <w:r w:rsidRPr="003D5F0B">
        <w:rPr>
          <w:rFonts w:ascii="Calibri" w:hAnsi="Calibri"/>
          <w:b/>
          <w:sz w:val="22"/>
          <w:szCs w:val="22"/>
          <w:u w:val="single"/>
        </w:rPr>
        <w:t>20.5.1. Laisvės atėmimo bausmę atliekančių asmenų skundų dėl žalos atlyginimo už netinkamas kalinimo sąlygas nagrinėjimas</w:t>
      </w:r>
    </w:p>
    <w:p w14:paraId="441EA5AB" w14:textId="77777777" w:rsidR="00D813A2" w:rsidRDefault="00D813A2" w:rsidP="00D813A2">
      <w:pPr>
        <w:rPr>
          <w:rFonts w:asciiTheme="minorHAnsi" w:hAnsiTheme="minorHAnsi" w:cstheme="minorHAnsi"/>
          <w:bCs/>
          <w:sz w:val="22"/>
          <w:szCs w:val="22"/>
        </w:rPr>
      </w:pPr>
    </w:p>
    <w:p w14:paraId="66C66D22" w14:textId="77777777" w:rsidR="00D813A2" w:rsidRPr="0091575E" w:rsidRDefault="00D813A2" w:rsidP="0091575E">
      <w:pPr>
        <w:shd w:val="clear" w:color="auto" w:fill="FFFFFF"/>
        <w:tabs>
          <w:tab w:val="left" w:pos="567"/>
        </w:tabs>
        <w:jc w:val="both"/>
        <w:outlineLvl w:val="1"/>
        <w:rPr>
          <w:rFonts w:asciiTheme="minorHAnsi" w:eastAsia="Calibri" w:hAnsiTheme="minorHAnsi" w:cstheme="minorHAnsi"/>
          <w:bCs/>
          <w:i/>
          <w:iCs/>
          <w:sz w:val="22"/>
          <w:szCs w:val="22"/>
          <w:shd w:val="clear" w:color="auto" w:fill="FFFFFF"/>
          <w:lang w:eastAsia="en-US"/>
        </w:rPr>
      </w:pPr>
      <w:bookmarkStart w:id="52" w:name="_Toc61261243"/>
      <w:r w:rsidRPr="0091575E">
        <w:rPr>
          <w:rFonts w:asciiTheme="minorHAnsi" w:eastAsia="Calibri" w:hAnsiTheme="minorHAnsi" w:cstheme="minorHAnsi"/>
          <w:bCs/>
          <w:i/>
          <w:iCs/>
          <w:sz w:val="22"/>
          <w:szCs w:val="22"/>
          <w:shd w:val="clear" w:color="auto" w:fill="FFFFFF"/>
          <w:lang w:eastAsia="en-US"/>
        </w:rPr>
        <w:t>Dėl suimtiesiems leidžiamų perduoti daiktų</w:t>
      </w:r>
      <w:bookmarkEnd w:id="52"/>
    </w:p>
    <w:p w14:paraId="655598C0" w14:textId="77777777" w:rsidR="00D813A2" w:rsidRDefault="00D813A2" w:rsidP="00D813A2">
      <w:pPr>
        <w:rPr>
          <w:rFonts w:asciiTheme="minorHAnsi" w:hAnsiTheme="minorHAnsi" w:cstheme="minorHAnsi"/>
          <w:bCs/>
          <w:sz w:val="22"/>
          <w:szCs w:val="22"/>
        </w:rPr>
      </w:pPr>
    </w:p>
    <w:p w14:paraId="1FD1F111" w14:textId="6F5CF9EA" w:rsidR="00D813A2" w:rsidRDefault="00D813A2" w:rsidP="5FB8FBAC">
      <w:pPr>
        <w:ind w:firstLine="567"/>
        <w:jc w:val="both"/>
        <w:rPr>
          <w:rFonts w:asciiTheme="minorHAnsi" w:hAnsiTheme="minorHAnsi" w:cstheme="minorBidi"/>
          <w:sz w:val="22"/>
          <w:szCs w:val="22"/>
        </w:rPr>
      </w:pPr>
      <w:r w:rsidRPr="5FB8FBAC">
        <w:rPr>
          <w:rFonts w:asciiTheme="minorHAnsi" w:hAnsiTheme="minorHAnsi" w:cstheme="minorBidi"/>
          <w:sz w:val="22"/>
          <w:szCs w:val="22"/>
        </w:rPr>
        <w:t xml:space="preserve">Šioje byloje pareiškėjas kreipėsi į teismą, </w:t>
      </w:r>
      <w:r w:rsidR="74BC22A7" w:rsidRPr="5FB8FBAC">
        <w:rPr>
          <w:rFonts w:asciiTheme="minorHAnsi" w:hAnsiTheme="minorHAnsi" w:cstheme="minorBidi"/>
          <w:sz w:val="22"/>
          <w:szCs w:val="22"/>
        </w:rPr>
        <w:t xml:space="preserve">be kita ko, </w:t>
      </w:r>
      <w:r w:rsidRPr="5FB8FBAC">
        <w:rPr>
          <w:rFonts w:asciiTheme="minorHAnsi" w:hAnsiTheme="minorHAnsi" w:cstheme="minorBidi"/>
          <w:sz w:val="22"/>
          <w:szCs w:val="22"/>
        </w:rPr>
        <w:t>prašydamas priteisti jam neturtinės žalos atlyginimą dėl, pareiškėjo manymu, neteisėto Lukiškių tardymo izoliatoriaus-kalėjimo (toliau – Lukiškių TI-K) pareigūno atsisakymo</w:t>
      </w:r>
      <w:r w:rsidRPr="5FB8FBAC">
        <w:rPr>
          <w:lang w:eastAsia="en-US"/>
        </w:rPr>
        <w:t xml:space="preserve"> </w:t>
      </w:r>
      <w:r w:rsidRPr="5FB8FBAC">
        <w:rPr>
          <w:rFonts w:asciiTheme="minorHAnsi" w:hAnsiTheme="minorHAnsi" w:cstheme="minorBidi"/>
          <w:sz w:val="22"/>
          <w:szCs w:val="22"/>
        </w:rPr>
        <w:t>priimti iš pareiškėjo sutuoktinės krepšį ir perduoti jį pareiškėjui.</w:t>
      </w:r>
    </w:p>
    <w:p w14:paraId="5419E18E" w14:textId="77777777" w:rsidR="00D813A2" w:rsidRDefault="00D813A2" w:rsidP="00D813A2">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Pirmosios instancijos teismas, įvertinęs ginčui aktualų teisinį </w:t>
      </w:r>
      <w:r w:rsidRPr="0032428C">
        <w:rPr>
          <w:rFonts w:asciiTheme="minorHAnsi" w:hAnsiTheme="minorHAnsi" w:cstheme="minorHAnsi"/>
          <w:bCs/>
          <w:sz w:val="22"/>
          <w:szCs w:val="22"/>
        </w:rPr>
        <w:t>reglamentavimą</w:t>
      </w:r>
      <w:r>
        <w:rPr>
          <w:rFonts w:asciiTheme="minorHAnsi" w:hAnsiTheme="minorHAnsi" w:cstheme="minorHAnsi"/>
          <w:bCs/>
          <w:sz w:val="22"/>
          <w:szCs w:val="22"/>
        </w:rPr>
        <w:t>,</w:t>
      </w:r>
      <w:r w:rsidRPr="0032428C">
        <w:rPr>
          <w:rFonts w:asciiTheme="minorHAnsi" w:hAnsiTheme="minorHAnsi" w:cstheme="minorHAnsi"/>
          <w:bCs/>
          <w:sz w:val="22"/>
          <w:szCs w:val="22"/>
        </w:rPr>
        <w:t xml:space="preserve"> padarė išvadą, kad</w:t>
      </w:r>
      <w:r>
        <w:rPr>
          <w:rFonts w:asciiTheme="minorHAnsi" w:hAnsiTheme="minorHAnsi" w:cstheme="minorHAnsi"/>
          <w:bCs/>
          <w:sz w:val="22"/>
          <w:szCs w:val="22"/>
        </w:rPr>
        <w:t xml:space="preserve"> </w:t>
      </w:r>
      <w:r w:rsidRPr="0032428C">
        <w:rPr>
          <w:rFonts w:asciiTheme="minorHAnsi" w:hAnsiTheme="minorHAnsi" w:cstheme="minorHAnsi"/>
          <w:bCs/>
          <w:sz w:val="22"/>
          <w:szCs w:val="22"/>
        </w:rPr>
        <w:t xml:space="preserve">teisės aktai nenumato galimybės asmenims, atnešusiems krepšį, perduoti jį suimtajam. </w:t>
      </w:r>
      <w:r>
        <w:rPr>
          <w:rFonts w:asciiTheme="minorHAnsi" w:hAnsiTheme="minorHAnsi" w:cstheme="minorHAnsi"/>
          <w:bCs/>
          <w:sz w:val="22"/>
          <w:szCs w:val="22"/>
        </w:rPr>
        <w:t>Be to</w:t>
      </w:r>
      <w:r w:rsidRPr="0032428C">
        <w:rPr>
          <w:rFonts w:asciiTheme="minorHAnsi" w:hAnsiTheme="minorHAnsi" w:cstheme="minorHAnsi"/>
          <w:bCs/>
          <w:sz w:val="22"/>
          <w:szCs w:val="22"/>
        </w:rPr>
        <w:t>, suimtasis turi galimybę įsigyti krepšį už asmenines lėšas laisvės atėmimo įstaigos teritorijoje esančioje parduotuvėje. T</w:t>
      </w:r>
      <w:r>
        <w:rPr>
          <w:rFonts w:asciiTheme="minorHAnsi" w:hAnsiTheme="minorHAnsi" w:cstheme="minorHAnsi"/>
          <w:bCs/>
          <w:sz w:val="22"/>
          <w:szCs w:val="22"/>
        </w:rPr>
        <w:t>aigi,</w:t>
      </w:r>
      <w:r w:rsidRPr="0032428C">
        <w:rPr>
          <w:rFonts w:asciiTheme="minorHAnsi" w:hAnsiTheme="minorHAnsi" w:cstheme="minorHAnsi"/>
          <w:bCs/>
          <w:sz w:val="22"/>
          <w:szCs w:val="22"/>
        </w:rPr>
        <w:t xml:space="preserve"> </w:t>
      </w:r>
      <w:r>
        <w:rPr>
          <w:rFonts w:asciiTheme="minorHAnsi" w:hAnsiTheme="minorHAnsi" w:cstheme="minorHAnsi"/>
          <w:bCs/>
          <w:sz w:val="22"/>
          <w:szCs w:val="22"/>
        </w:rPr>
        <w:t>pirmosios instancijos teismas</w:t>
      </w:r>
      <w:r w:rsidRPr="0032428C">
        <w:rPr>
          <w:rFonts w:asciiTheme="minorHAnsi" w:hAnsiTheme="minorHAnsi" w:cstheme="minorHAnsi"/>
          <w:bCs/>
          <w:sz w:val="22"/>
          <w:szCs w:val="22"/>
        </w:rPr>
        <w:t xml:space="preserve"> </w:t>
      </w:r>
      <w:r>
        <w:rPr>
          <w:rFonts w:asciiTheme="minorHAnsi" w:hAnsiTheme="minorHAnsi" w:cstheme="minorHAnsi"/>
          <w:bCs/>
          <w:sz w:val="22"/>
          <w:szCs w:val="22"/>
        </w:rPr>
        <w:t xml:space="preserve">sprendė, kad </w:t>
      </w:r>
      <w:r w:rsidRPr="0032428C">
        <w:rPr>
          <w:rFonts w:asciiTheme="minorHAnsi" w:hAnsiTheme="minorHAnsi" w:cstheme="minorHAnsi"/>
          <w:bCs/>
          <w:sz w:val="22"/>
          <w:szCs w:val="22"/>
        </w:rPr>
        <w:t>Lukiškių TI-K pareigūna</w:t>
      </w:r>
      <w:r>
        <w:rPr>
          <w:rFonts w:asciiTheme="minorHAnsi" w:hAnsiTheme="minorHAnsi" w:cstheme="minorHAnsi"/>
          <w:bCs/>
          <w:sz w:val="22"/>
          <w:szCs w:val="22"/>
        </w:rPr>
        <w:t>s</w:t>
      </w:r>
      <w:r w:rsidRPr="0032428C">
        <w:rPr>
          <w:rFonts w:asciiTheme="minorHAnsi" w:hAnsiTheme="minorHAnsi" w:cstheme="minorHAnsi"/>
          <w:bCs/>
          <w:sz w:val="22"/>
          <w:szCs w:val="22"/>
        </w:rPr>
        <w:t xml:space="preserve"> pagrįstai atsisakė perduoti pareiškėjui krepšį</w:t>
      </w:r>
      <w:r>
        <w:rPr>
          <w:rFonts w:asciiTheme="minorHAnsi" w:hAnsiTheme="minorHAnsi" w:cstheme="minorHAnsi"/>
          <w:bCs/>
          <w:sz w:val="22"/>
          <w:szCs w:val="22"/>
        </w:rPr>
        <w:t>, todėl pareiškėjo skundą atmetė.</w:t>
      </w:r>
    </w:p>
    <w:p w14:paraId="7FEEF041" w14:textId="77777777" w:rsidR="00D813A2" w:rsidRDefault="00D813A2" w:rsidP="00D813A2">
      <w:pPr>
        <w:ind w:firstLine="567"/>
        <w:jc w:val="both"/>
        <w:rPr>
          <w:rFonts w:asciiTheme="minorHAnsi" w:hAnsiTheme="minorHAnsi" w:cstheme="minorHAnsi"/>
          <w:bCs/>
          <w:sz w:val="22"/>
          <w:szCs w:val="22"/>
        </w:rPr>
      </w:pPr>
      <w:r>
        <w:rPr>
          <w:rFonts w:asciiTheme="minorHAnsi" w:hAnsiTheme="minorHAnsi" w:cstheme="minorHAnsi"/>
          <w:bCs/>
          <w:sz w:val="22"/>
          <w:szCs w:val="22"/>
        </w:rPr>
        <w:t xml:space="preserve">Tačiau teisėjų kolegija su šia pirmosios instancijos teismo išvada nesutiko ir pažymėjo, kad </w:t>
      </w:r>
      <w:r w:rsidRPr="009621E4">
        <w:rPr>
          <w:rFonts w:asciiTheme="minorHAnsi" w:hAnsiTheme="minorHAnsi" w:cstheme="minorHAnsi"/>
          <w:bCs/>
          <w:sz w:val="22"/>
          <w:szCs w:val="22"/>
        </w:rPr>
        <w:t xml:space="preserve">Suėmimo vykdymo įstatymo 24 straipsnyje (2015 m. birželio 23 d. įstatymo Nr. XII-1819 redakcija, galiojusi iki 2020 m. birželio 19 d.) įtvirtinta, </w:t>
      </w:r>
      <w:r>
        <w:rPr>
          <w:rFonts w:asciiTheme="minorHAnsi" w:hAnsiTheme="minorHAnsi" w:cstheme="minorHAnsi"/>
          <w:bCs/>
          <w:sz w:val="22"/>
          <w:szCs w:val="22"/>
        </w:rPr>
        <w:t>jog</w:t>
      </w:r>
      <w:r w:rsidRPr="009621E4">
        <w:rPr>
          <w:rFonts w:asciiTheme="minorHAnsi" w:hAnsiTheme="minorHAnsi" w:cstheme="minorHAnsi"/>
          <w:bCs/>
          <w:sz w:val="22"/>
          <w:szCs w:val="22"/>
        </w:rPr>
        <w:t xml:space="preserve"> suimtieji turi teisę per tris mėnesius gauti vieną pašto ar perduodamą drabužių, patalynės (išskyrus antklodę, čiužinį ir pagalvę), avalynės siuntinį ir neribotą kiekį smulkiųjų paketų su spauda, vokais, pašto ženklais bei rašymo popieriumi (1 d.); pašto ar perduodamų drabužių, patalynės (išskyrus antklodę, čiužinį ir pagalvę), avalynės siuntinių, smulkiųjų paketų priėmimo ir įteikimo tardymo izoliatoriuose laikomiems asmenims tvarka ir labdaros siuntų priėmimo ir paskirstymo šiems asmenims tvarka nustatyta Tardymo izoliatorių vidaus tvarkos taisyklėse (4 d.). Pagal to paties įstatymo 27 straipsnio 1</w:t>
      </w:r>
      <w:r>
        <w:rPr>
          <w:rFonts w:asciiTheme="minorHAnsi" w:hAnsiTheme="minorHAnsi" w:cstheme="minorHAnsi"/>
          <w:bCs/>
          <w:sz w:val="22"/>
          <w:szCs w:val="22"/>
        </w:rPr>
        <w:t> </w:t>
      </w:r>
      <w:r w:rsidRPr="009621E4">
        <w:rPr>
          <w:rFonts w:asciiTheme="minorHAnsi" w:hAnsiTheme="minorHAnsi" w:cstheme="minorHAnsi"/>
          <w:bCs/>
          <w:sz w:val="22"/>
          <w:szCs w:val="22"/>
        </w:rPr>
        <w:t>dalį, suimtiesiems leidžiama naudotis už asmeninėse sąskaitose turimus pinigus įsigytais ar perduotais Tardymo izoliatorių vidaus tvarkos taisyklėse nurodytais elektros prietaisais ir kitais daiktais.</w:t>
      </w:r>
    </w:p>
    <w:p w14:paraId="0C83EE7E" w14:textId="2EBDE4EF" w:rsidR="00D813A2" w:rsidRDefault="00D813A2" w:rsidP="00D813A2">
      <w:pPr>
        <w:ind w:firstLine="567"/>
        <w:jc w:val="both"/>
        <w:rPr>
          <w:rFonts w:asciiTheme="minorHAnsi" w:hAnsiTheme="minorHAnsi" w:cstheme="minorHAnsi"/>
          <w:bCs/>
          <w:sz w:val="22"/>
          <w:szCs w:val="22"/>
        </w:rPr>
      </w:pPr>
      <w:r>
        <w:rPr>
          <w:rFonts w:asciiTheme="minorHAnsi" w:hAnsiTheme="minorHAnsi" w:cstheme="minorHAnsi"/>
          <w:bCs/>
          <w:sz w:val="22"/>
          <w:szCs w:val="22"/>
        </w:rPr>
        <w:t>T</w:t>
      </w:r>
      <w:r w:rsidRPr="00252188">
        <w:rPr>
          <w:rFonts w:asciiTheme="minorHAnsi" w:hAnsiTheme="minorHAnsi" w:cstheme="minorHAnsi"/>
          <w:bCs/>
          <w:sz w:val="22"/>
          <w:szCs w:val="22"/>
        </w:rPr>
        <w:t xml:space="preserve">eisingumo ministro 2009 m. birželio 1 d. įsakymu Nr. 1R-172 patvirtintų Tardymo izoliatorių vidaus tvarkos taisyklių </w:t>
      </w:r>
      <w:r w:rsidRPr="009621E4">
        <w:rPr>
          <w:rFonts w:asciiTheme="minorHAnsi" w:hAnsiTheme="minorHAnsi" w:cstheme="minorHAnsi"/>
          <w:bCs/>
          <w:sz w:val="22"/>
          <w:szCs w:val="22"/>
        </w:rPr>
        <w:t xml:space="preserve">(redakcija, galiojusi iki 2020 m. sausio 22 d.) </w:t>
      </w:r>
      <w:r w:rsidRPr="00252188">
        <w:rPr>
          <w:rFonts w:asciiTheme="minorHAnsi" w:hAnsiTheme="minorHAnsi" w:cstheme="minorHAnsi"/>
          <w:bCs/>
          <w:sz w:val="22"/>
          <w:szCs w:val="22"/>
        </w:rPr>
        <w:t xml:space="preserve">(toliau – Taisyklės) </w:t>
      </w:r>
      <w:r w:rsidRPr="009621E4">
        <w:rPr>
          <w:rFonts w:asciiTheme="minorHAnsi" w:hAnsiTheme="minorHAnsi" w:cstheme="minorHAnsi"/>
          <w:bCs/>
          <w:sz w:val="22"/>
          <w:szCs w:val="22"/>
        </w:rPr>
        <w:t>53</w:t>
      </w:r>
      <w:r w:rsidRPr="009621E4">
        <w:rPr>
          <w:rFonts w:asciiTheme="minorHAnsi" w:hAnsiTheme="minorHAnsi" w:cstheme="minorHAnsi"/>
          <w:bCs/>
          <w:sz w:val="22"/>
          <w:szCs w:val="22"/>
          <w:vertAlign w:val="superscript"/>
        </w:rPr>
        <w:t>1</w:t>
      </w:r>
      <w:r w:rsidRPr="009621E4">
        <w:rPr>
          <w:rFonts w:asciiTheme="minorHAnsi" w:hAnsiTheme="minorHAnsi" w:cstheme="minorHAnsi"/>
          <w:bCs/>
          <w:sz w:val="22"/>
          <w:szCs w:val="22"/>
        </w:rPr>
        <w:t xml:space="preserve"> punkte nurodyta, kad siuntiniu gali būti perduoti šie daiktai: drabužiai, avalynė, patalynė (išskyrus antklodę, čiužinį ir pagalvę), informacijos laikmena, rankinis arba stalinis laikrodis, pagamintas ne iš brangiųjų metalų, taksofono kortelė, spauda, vokai, pašto ženklai ir rašymo popierius. Taisyklių 15 priede (Suimtiesiems leidžiamų įsigyti ir turėti maisto produktų, būtiniausių reikmenų ir kitų daiktų sąraše) yra numatyti lagaminai, krepšiai ir kuprinės (4.13</w:t>
      </w:r>
      <w:r w:rsidR="0091575E">
        <w:rPr>
          <w:rFonts w:asciiTheme="minorHAnsi" w:hAnsiTheme="minorHAnsi" w:cstheme="minorHAnsi"/>
          <w:bCs/>
          <w:sz w:val="22"/>
          <w:szCs w:val="22"/>
        </w:rPr>
        <w:t> </w:t>
      </w:r>
      <w:r w:rsidRPr="009621E4">
        <w:rPr>
          <w:rFonts w:asciiTheme="minorHAnsi" w:hAnsiTheme="minorHAnsi" w:cstheme="minorHAnsi"/>
          <w:bCs/>
          <w:sz w:val="22"/>
          <w:szCs w:val="22"/>
        </w:rPr>
        <w:t>p.).</w:t>
      </w:r>
    </w:p>
    <w:p w14:paraId="3C611B6F" w14:textId="709AFE72" w:rsidR="00D813A2" w:rsidRDefault="00D813A2" w:rsidP="55FEB3D6">
      <w:pPr>
        <w:ind w:firstLine="567"/>
        <w:jc w:val="both"/>
        <w:rPr>
          <w:rFonts w:asciiTheme="minorHAnsi" w:hAnsiTheme="minorHAnsi" w:cstheme="minorBidi"/>
          <w:sz w:val="22"/>
          <w:szCs w:val="22"/>
        </w:rPr>
      </w:pPr>
      <w:r w:rsidRPr="5FB8FBAC">
        <w:rPr>
          <w:rFonts w:asciiTheme="minorHAnsi" w:hAnsiTheme="minorHAnsi" w:cstheme="minorBidi"/>
          <w:sz w:val="22"/>
          <w:szCs w:val="22"/>
        </w:rPr>
        <w:t>Teisėjų kolegija pabrėžė, kad pareiškėjas procesiniuose dokumentuose pagrįstai atkreipė dėmesį į tai, jog Suėmimo vykdymo įstatymo 24 straipsnyje ir Taisyklių 53</w:t>
      </w:r>
      <w:r w:rsidRPr="5FB8FBAC">
        <w:rPr>
          <w:rFonts w:asciiTheme="minorHAnsi" w:hAnsiTheme="minorHAnsi" w:cstheme="minorBidi"/>
          <w:sz w:val="22"/>
          <w:szCs w:val="22"/>
          <w:vertAlign w:val="superscript"/>
        </w:rPr>
        <w:t>1</w:t>
      </w:r>
      <w:r w:rsidRPr="5FB8FBAC">
        <w:rPr>
          <w:rFonts w:asciiTheme="minorHAnsi" w:hAnsiTheme="minorHAnsi" w:cstheme="minorBidi"/>
          <w:sz w:val="22"/>
          <w:szCs w:val="22"/>
        </w:rPr>
        <w:t xml:space="preserve"> punkte nurodyti daiktų sąrašai nėra identiški, o </w:t>
      </w:r>
      <w:r w:rsidRPr="5FB8FBAC">
        <w:rPr>
          <w:rFonts w:asciiTheme="minorHAnsi" w:hAnsiTheme="minorHAnsi" w:cstheme="minorBidi"/>
          <w:sz w:val="22"/>
          <w:szCs w:val="22"/>
          <w:u w:val="single"/>
        </w:rPr>
        <w:t>teisės aktai neįtvirtina imperatyvaus reikalavimo Suimtiesiems leidžiamų įsigyti ir turėti maisto produktų, būtiniausių reikmenų ir kitų daiktų sąraše nurodytus daiktus, nepaminėtus Suėmimo vykdymo įstatymo 24 straipsnyje ir Taisyklių 53</w:t>
      </w:r>
      <w:r w:rsidRPr="5FB8FBAC">
        <w:rPr>
          <w:rFonts w:asciiTheme="minorHAnsi" w:hAnsiTheme="minorHAnsi" w:cstheme="minorBidi"/>
          <w:sz w:val="22"/>
          <w:szCs w:val="22"/>
          <w:u w:val="single"/>
          <w:vertAlign w:val="superscript"/>
        </w:rPr>
        <w:t>1</w:t>
      </w:r>
      <w:r w:rsidRPr="5FB8FBAC">
        <w:rPr>
          <w:rFonts w:asciiTheme="minorHAnsi" w:hAnsiTheme="minorHAnsi" w:cstheme="minorBidi"/>
          <w:sz w:val="22"/>
          <w:szCs w:val="22"/>
          <w:u w:val="single"/>
        </w:rPr>
        <w:t xml:space="preserve"> punkte, gauti tik įsigijimo pataisos įstaigos teritorijoje veikiančioje parduotuvėje būdu</w:t>
      </w:r>
      <w:r w:rsidRPr="5FB8FBAC">
        <w:rPr>
          <w:rFonts w:asciiTheme="minorHAnsi" w:hAnsiTheme="minorHAnsi" w:cstheme="minorBidi"/>
          <w:sz w:val="22"/>
          <w:szCs w:val="22"/>
        </w:rPr>
        <w:t>. Teisėjų kolegija pažymėjo, kad atsakovo atstovai nepateikė jokių objektyvių priežasčių, dėl kurių krepšys pareiškėjui negalėjo būti perduotas, o jų teiginiai, kad Taisyklių 53</w:t>
      </w:r>
      <w:r w:rsidRPr="5FB8FBAC">
        <w:rPr>
          <w:rFonts w:asciiTheme="minorHAnsi" w:hAnsiTheme="minorHAnsi" w:cstheme="minorBidi"/>
          <w:sz w:val="22"/>
          <w:szCs w:val="22"/>
          <w:vertAlign w:val="superscript"/>
        </w:rPr>
        <w:t>1</w:t>
      </w:r>
      <w:r w:rsidRPr="5FB8FBAC">
        <w:rPr>
          <w:rFonts w:asciiTheme="minorHAnsi" w:hAnsiTheme="minorHAnsi" w:cstheme="minorBidi"/>
          <w:sz w:val="22"/>
          <w:szCs w:val="22"/>
        </w:rPr>
        <w:t xml:space="preserve"> punkte pateiktas perduodamų daiktų sąrašas yra baigtinis, pagrįsti tik subjektyviu vertinimu. Taigi, Lukiškių TI-K pareigūno atsisakymas priimti ir perduoti pareiškėjui krepšį, pasiūlant krepšį įsigyti pataisos įstaigos teritorijoje veikiančioje parduotuvėje, n</w:t>
      </w:r>
      <w:r w:rsidR="68ABF86E" w:rsidRPr="5FB8FBAC">
        <w:rPr>
          <w:rFonts w:asciiTheme="minorHAnsi" w:hAnsiTheme="minorHAnsi" w:cstheme="minorBidi"/>
          <w:sz w:val="22"/>
          <w:szCs w:val="22"/>
        </w:rPr>
        <w:t>ebuvo</w:t>
      </w:r>
      <w:r w:rsidRPr="5FB8FBAC">
        <w:rPr>
          <w:rFonts w:asciiTheme="minorHAnsi" w:hAnsiTheme="minorHAnsi" w:cstheme="minorBidi"/>
          <w:sz w:val="22"/>
          <w:szCs w:val="22"/>
        </w:rPr>
        <w:t xml:space="preserve"> pagrįstas teisės aktų nuostatomis.</w:t>
      </w:r>
    </w:p>
    <w:p w14:paraId="63001FB9" w14:textId="77777777" w:rsidR="00D813A2" w:rsidRDefault="00D813A2" w:rsidP="00D813A2">
      <w:pPr>
        <w:ind w:firstLine="567"/>
        <w:jc w:val="both"/>
        <w:rPr>
          <w:rFonts w:asciiTheme="minorHAnsi" w:hAnsiTheme="minorHAnsi" w:cstheme="minorHAnsi"/>
          <w:bCs/>
          <w:sz w:val="22"/>
          <w:szCs w:val="22"/>
        </w:rPr>
      </w:pPr>
      <w:r>
        <w:rPr>
          <w:rFonts w:asciiTheme="minorHAnsi" w:hAnsiTheme="minorHAnsi" w:cstheme="minorHAnsi"/>
          <w:bCs/>
          <w:sz w:val="22"/>
          <w:szCs w:val="22"/>
        </w:rPr>
        <w:lastRenderedPageBreak/>
        <w:t>Taigi, remdamasi byloje nustatytomis aplinkybėmis</w:t>
      </w:r>
      <w:r w:rsidRPr="0024084A">
        <w:rPr>
          <w:rFonts w:asciiTheme="minorHAnsi" w:hAnsiTheme="minorHAnsi" w:cstheme="minorHAnsi"/>
          <w:bCs/>
          <w:sz w:val="22"/>
          <w:szCs w:val="22"/>
        </w:rPr>
        <w:t>, teisėjų kolegija konstata</w:t>
      </w:r>
      <w:r>
        <w:rPr>
          <w:rFonts w:asciiTheme="minorHAnsi" w:hAnsiTheme="minorHAnsi" w:cstheme="minorHAnsi"/>
          <w:bCs/>
          <w:sz w:val="22"/>
          <w:szCs w:val="22"/>
        </w:rPr>
        <w:t>vo</w:t>
      </w:r>
      <w:r w:rsidRPr="0024084A">
        <w:rPr>
          <w:rFonts w:asciiTheme="minorHAnsi" w:hAnsiTheme="minorHAnsi" w:cstheme="minorHAnsi"/>
          <w:bCs/>
          <w:sz w:val="22"/>
          <w:szCs w:val="22"/>
        </w:rPr>
        <w:t xml:space="preserve">, kad pirmosios instancijos teismas iš esmės netinkamai aiškino ir taikė materialiosios </w:t>
      </w:r>
      <w:r>
        <w:rPr>
          <w:rFonts w:asciiTheme="minorHAnsi" w:hAnsiTheme="minorHAnsi" w:cstheme="minorHAnsi"/>
          <w:bCs/>
          <w:sz w:val="22"/>
          <w:szCs w:val="22"/>
        </w:rPr>
        <w:t>bei</w:t>
      </w:r>
      <w:r w:rsidRPr="0024084A">
        <w:rPr>
          <w:rFonts w:asciiTheme="minorHAnsi" w:hAnsiTheme="minorHAnsi" w:cstheme="minorHAnsi"/>
          <w:bCs/>
          <w:sz w:val="22"/>
          <w:szCs w:val="22"/>
        </w:rPr>
        <w:t xml:space="preserve"> proceso teisės normas, tačiau teisėjų kolegija sutik</w:t>
      </w:r>
      <w:r>
        <w:rPr>
          <w:rFonts w:asciiTheme="minorHAnsi" w:hAnsiTheme="minorHAnsi" w:cstheme="minorHAnsi"/>
          <w:bCs/>
          <w:sz w:val="22"/>
          <w:szCs w:val="22"/>
        </w:rPr>
        <w:t>o</w:t>
      </w:r>
      <w:r w:rsidRPr="0024084A">
        <w:rPr>
          <w:rFonts w:asciiTheme="minorHAnsi" w:hAnsiTheme="minorHAnsi" w:cstheme="minorHAnsi"/>
          <w:bCs/>
          <w:sz w:val="22"/>
          <w:szCs w:val="22"/>
        </w:rPr>
        <w:t xml:space="preserve"> su priimtu galutiniu sprendimu</w:t>
      </w:r>
      <w:r>
        <w:rPr>
          <w:rFonts w:asciiTheme="minorHAnsi" w:hAnsiTheme="minorHAnsi" w:cstheme="minorHAnsi"/>
          <w:bCs/>
          <w:sz w:val="22"/>
          <w:szCs w:val="22"/>
        </w:rPr>
        <w:t>, todėl pareiškėjo apeliacinį skundą atmetė ir paliko pirmosios instancijos teismo sprendimą nepakeistą</w:t>
      </w:r>
      <w:r w:rsidRPr="0024084A">
        <w:rPr>
          <w:rFonts w:asciiTheme="minorHAnsi" w:hAnsiTheme="minorHAnsi" w:cstheme="minorHAnsi"/>
          <w:bCs/>
          <w:sz w:val="22"/>
          <w:szCs w:val="22"/>
        </w:rPr>
        <w:t>.</w:t>
      </w:r>
    </w:p>
    <w:p w14:paraId="16CDD586" w14:textId="77777777" w:rsidR="00D813A2" w:rsidRDefault="00D813A2" w:rsidP="00D813A2">
      <w:pPr>
        <w:ind w:firstLine="567"/>
        <w:jc w:val="both"/>
        <w:rPr>
          <w:rFonts w:asciiTheme="minorHAnsi" w:hAnsiTheme="minorHAnsi" w:cstheme="minorHAnsi"/>
          <w:bCs/>
          <w:sz w:val="22"/>
          <w:szCs w:val="22"/>
        </w:rPr>
      </w:pPr>
    </w:p>
    <w:p w14:paraId="71853CEF" w14:textId="77777777" w:rsidR="00D813A2" w:rsidRPr="003D5F0B" w:rsidRDefault="00D813A2" w:rsidP="00D813A2">
      <w:pPr>
        <w:rPr>
          <w:rFonts w:asciiTheme="minorHAnsi" w:hAnsiTheme="minorHAnsi" w:cstheme="minorHAnsi"/>
          <w:sz w:val="22"/>
          <w:szCs w:val="22"/>
        </w:rPr>
      </w:pPr>
      <w:r w:rsidRPr="003D5F0B">
        <w:rPr>
          <w:rFonts w:asciiTheme="minorHAnsi" w:hAnsiTheme="minorHAnsi" w:cstheme="minorHAnsi"/>
          <w:sz w:val="22"/>
          <w:szCs w:val="22"/>
        </w:rPr>
        <w:t xml:space="preserve">2020 m. </w:t>
      </w:r>
      <w:r>
        <w:rPr>
          <w:rFonts w:asciiTheme="minorHAnsi" w:hAnsiTheme="minorHAnsi" w:cstheme="minorHAnsi"/>
          <w:sz w:val="22"/>
          <w:szCs w:val="22"/>
        </w:rPr>
        <w:t>lapkričio</w:t>
      </w:r>
      <w:r w:rsidRPr="003D5F0B">
        <w:rPr>
          <w:rFonts w:asciiTheme="minorHAnsi" w:hAnsiTheme="minorHAnsi" w:cstheme="minorHAnsi"/>
          <w:sz w:val="22"/>
          <w:szCs w:val="22"/>
        </w:rPr>
        <w:t xml:space="preserve"> </w:t>
      </w:r>
      <w:r>
        <w:rPr>
          <w:rFonts w:asciiTheme="minorHAnsi" w:hAnsiTheme="minorHAnsi" w:cstheme="minorHAnsi"/>
          <w:sz w:val="22"/>
          <w:szCs w:val="22"/>
        </w:rPr>
        <w:t>4</w:t>
      </w:r>
      <w:r w:rsidRPr="003D5F0B">
        <w:rPr>
          <w:rFonts w:asciiTheme="minorHAnsi" w:hAnsiTheme="minorHAnsi" w:cstheme="minorHAnsi"/>
          <w:sz w:val="22"/>
          <w:szCs w:val="22"/>
        </w:rPr>
        <w:t xml:space="preserve"> d. nutartis administracinėje byloje Nr. </w:t>
      </w:r>
      <w:r w:rsidRPr="00C06D2B">
        <w:rPr>
          <w:rFonts w:asciiTheme="minorHAnsi" w:hAnsiTheme="minorHAnsi" w:cstheme="minorHAnsi"/>
          <w:sz w:val="22"/>
          <w:szCs w:val="22"/>
          <w:lang w:eastAsia="en-US"/>
        </w:rPr>
        <w:t>A-2204-415/2020</w:t>
      </w:r>
    </w:p>
    <w:p w14:paraId="1F7F9310" w14:textId="77777777" w:rsidR="00D813A2" w:rsidRPr="003D5F0B" w:rsidRDefault="00D813A2" w:rsidP="00D813A2">
      <w:pPr>
        <w:rPr>
          <w:rFonts w:asciiTheme="minorHAnsi" w:hAnsiTheme="minorHAnsi" w:cstheme="minorHAnsi"/>
          <w:bCs/>
          <w:sz w:val="22"/>
          <w:szCs w:val="22"/>
          <w:lang w:eastAsia="en-US"/>
        </w:rPr>
      </w:pPr>
      <w:r w:rsidRPr="003D5F0B">
        <w:rPr>
          <w:rFonts w:asciiTheme="minorHAnsi" w:hAnsiTheme="minorHAnsi" w:cstheme="minorHAnsi"/>
          <w:sz w:val="22"/>
          <w:szCs w:val="22"/>
        </w:rPr>
        <w:t xml:space="preserve">Teisminio proceso Nr. </w:t>
      </w:r>
      <w:r w:rsidRPr="00C06D2B">
        <w:rPr>
          <w:rFonts w:asciiTheme="minorHAnsi" w:hAnsiTheme="minorHAnsi" w:cstheme="minorHAnsi"/>
          <w:bCs/>
          <w:sz w:val="22"/>
          <w:szCs w:val="22"/>
          <w:lang w:eastAsia="en-US"/>
        </w:rPr>
        <w:t>3-61-3-01040-2019-0</w:t>
      </w:r>
    </w:p>
    <w:p w14:paraId="7C399890" w14:textId="77777777" w:rsidR="00D813A2" w:rsidRPr="003D5F0B" w:rsidRDefault="00D813A2" w:rsidP="00D813A2">
      <w:pPr>
        <w:rPr>
          <w:rFonts w:asciiTheme="minorHAnsi" w:hAnsiTheme="minorHAnsi" w:cstheme="minorHAnsi"/>
          <w:sz w:val="22"/>
          <w:szCs w:val="22"/>
          <w:lang w:eastAsia="en-US"/>
        </w:rPr>
      </w:pPr>
      <w:r w:rsidRPr="003D5F0B">
        <w:rPr>
          <w:rFonts w:asciiTheme="minorHAnsi" w:hAnsiTheme="minorHAnsi" w:cstheme="minorHAnsi"/>
          <w:sz w:val="22"/>
          <w:szCs w:val="22"/>
        </w:rPr>
        <w:t xml:space="preserve">Procesinio sprendimo </w:t>
      </w:r>
      <w:r w:rsidRPr="003D5F0B">
        <w:rPr>
          <w:rFonts w:asciiTheme="minorHAnsi" w:hAnsiTheme="minorHAnsi" w:cstheme="minorHAnsi"/>
          <w:sz w:val="22"/>
          <w:szCs w:val="22"/>
          <w:lang w:eastAsia="en-US"/>
        </w:rPr>
        <w:t>kategorij</w:t>
      </w:r>
      <w:r>
        <w:rPr>
          <w:rFonts w:asciiTheme="minorHAnsi" w:hAnsiTheme="minorHAnsi" w:cstheme="minorHAnsi"/>
          <w:sz w:val="22"/>
          <w:szCs w:val="22"/>
          <w:lang w:eastAsia="en-US"/>
        </w:rPr>
        <w:t>a</w:t>
      </w:r>
      <w:r w:rsidRPr="003D5F0B">
        <w:rPr>
          <w:rFonts w:asciiTheme="minorHAnsi" w:hAnsiTheme="minorHAnsi" w:cstheme="minorHAnsi"/>
          <w:sz w:val="22"/>
          <w:szCs w:val="22"/>
          <w:lang w:eastAsia="en-US"/>
        </w:rPr>
        <w:t xml:space="preserve"> </w:t>
      </w:r>
      <w:r w:rsidRPr="005B3DA7">
        <w:rPr>
          <w:rFonts w:asciiTheme="minorHAnsi" w:hAnsiTheme="minorHAnsi" w:cstheme="minorHAnsi"/>
          <w:sz w:val="22"/>
          <w:szCs w:val="22"/>
          <w:lang w:eastAsia="en-US"/>
        </w:rPr>
        <w:t>20.</w:t>
      </w:r>
      <w:r>
        <w:rPr>
          <w:rFonts w:asciiTheme="minorHAnsi" w:hAnsiTheme="minorHAnsi" w:cstheme="minorHAnsi"/>
          <w:sz w:val="22"/>
          <w:szCs w:val="22"/>
          <w:lang w:eastAsia="en-US"/>
        </w:rPr>
        <w:t>5</w:t>
      </w:r>
      <w:r w:rsidRPr="005B3DA7">
        <w:rPr>
          <w:rFonts w:asciiTheme="minorHAnsi" w:hAnsiTheme="minorHAnsi" w:cstheme="minorHAnsi"/>
          <w:sz w:val="22"/>
          <w:szCs w:val="22"/>
          <w:lang w:eastAsia="en-US"/>
        </w:rPr>
        <w:t>.1</w:t>
      </w:r>
    </w:p>
    <w:p w14:paraId="489EBEA7" w14:textId="77777777" w:rsidR="00D813A2" w:rsidRPr="003D5F0B" w:rsidRDefault="00822FF8" w:rsidP="00D813A2">
      <w:pPr>
        <w:rPr>
          <w:rFonts w:asciiTheme="minorHAnsi" w:hAnsiTheme="minorHAnsi" w:cstheme="minorHAnsi"/>
          <w:sz w:val="22"/>
          <w:szCs w:val="22"/>
          <w:u w:val="single"/>
        </w:rPr>
      </w:pPr>
      <w:hyperlink r:id="rId24" w:history="1">
        <w:r w:rsidR="00D813A2" w:rsidRPr="003D5F0B">
          <w:rPr>
            <w:rStyle w:val="Hipersaitas"/>
            <w:rFonts w:asciiTheme="minorHAnsi" w:hAnsiTheme="minorHAnsi" w:cstheme="minorHAnsi"/>
            <w:sz w:val="22"/>
            <w:szCs w:val="22"/>
          </w:rPr>
          <w:t>Prieiga internete</w:t>
        </w:r>
      </w:hyperlink>
    </w:p>
    <w:p w14:paraId="21326CB5" w14:textId="77777777" w:rsidR="00D813A2" w:rsidRPr="003D5F0B" w:rsidRDefault="00D813A2" w:rsidP="00F933C1">
      <w:pPr>
        <w:jc w:val="both"/>
        <w:rPr>
          <w:rFonts w:asciiTheme="minorHAnsi" w:hAnsiTheme="minorHAnsi" w:cstheme="minorHAnsi"/>
          <w:bCs/>
          <w:sz w:val="22"/>
          <w:szCs w:val="22"/>
        </w:rPr>
      </w:pPr>
    </w:p>
    <w:p w14:paraId="141471CB" w14:textId="77777777" w:rsidR="00C957CF" w:rsidRPr="005A0774" w:rsidRDefault="00C957CF" w:rsidP="00C957CF">
      <w:pPr>
        <w:keepNext/>
        <w:tabs>
          <w:tab w:val="left" w:pos="567"/>
        </w:tabs>
        <w:jc w:val="both"/>
        <w:outlineLvl w:val="0"/>
        <w:rPr>
          <w:rFonts w:ascii="Calibri" w:hAnsi="Calibri" w:cs="Calibri"/>
          <w:b/>
          <w:sz w:val="22"/>
          <w:szCs w:val="22"/>
          <w:u w:val="single"/>
        </w:rPr>
      </w:pPr>
      <w:bookmarkStart w:id="53" w:name="_Toc462149986"/>
      <w:bookmarkStart w:id="54" w:name="_Toc61261244"/>
      <w:r w:rsidRPr="005A0774">
        <w:rPr>
          <w:rFonts w:ascii="Calibri" w:hAnsi="Calibri" w:cs="Calibri"/>
          <w:b/>
          <w:sz w:val="22"/>
          <w:szCs w:val="22"/>
          <w:u w:val="single"/>
        </w:rPr>
        <w:t>22. Kiti su valstybės tarnyba susiję klausimai</w:t>
      </w:r>
      <w:bookmarkEnd w:id="53"/>
      <w:bookmarkEnd w:id="54"/>
    </w:p>
    <w:p w14:paraId="29692029" w14:textId="77777777" w:rsidR="00C957CF" w:rsidRPr="005A0774" w:rsidRDefault="00C957CF" w:rsidP="00C957CF">
      <w:pPr>
        <w:tabs>
          <w:tab w:val="left" w:pos="567"/>
        </w:tabs>
        <w:ind w:left="567"/>
        <w:rPr>
          <w:rFonts w:ascii="Calibri" w:hAnsi="Calibri" w:cs="Calibri"/>
          <w:b/>
          <w:sz w:val="22"/>
          <w:szCs w:val="22"/>
          <w:u w:val="single"/>
        </w:rPr>
      </w:pPr>
      <w:r w:rsidRPr="005A0774">
        <w:rPr>
          <w:rFonts w:ascii="Calibri" w:hAnsi="Calibri" w:cs="Calibri"/>
          <w:b/>
          <w:sz w:val="22"/>
          <w:szCs w:val="22"/>
          <w:u w:val="single"/>
        </w:rPr>
        <w:t>22.4. Valstybės tarnautojų socialinės ir kitos garantijos</w:t>
      </w:r>
    </w:p>
    <w:p w14:paraId="523FF137" w14:textId="77777777" w:rsidR="00C957CF" w:rsidRPr="005A0774" w:rsidRDefault="00C957CF" w:rsidP="00C957CF">
      <w:pPr>
        <w:tabs>
          <w:tab w:val="left" w:pos="1350"/>
        </w:tabs>
        <w:ind w:left="567" w:firstLine="783"/>
        <w:rPr>
          <w:rFonts w:ascii="Calibri" w:hAnsi="Calibri" w:cs="Calibri"/>
          <w:b/>
          <w:sz w:val="22"/>
          <w:szCs w:val="22"/>
          <w:u w:val="single"/>
        </w:rPr>
      </w:pPr>
      <w:r w:rsidRPr="005A0774">
        <w:rPr>
          <w:rFonts w:ascii="Calibri" w:hAnsi="Calibri" w:cs="Calibri"/>
          <w:b/>
          <w:sz w:val="22"/>
          <w:szCs w:val="22"/>
          <w:u w:val="single"/>
        </w:rPr>
        <w:t>22.4.4. Kitos valstybės tarnautojų garantijos</w:t>
      </w:r>
    </w:p>
    <w:p w14:paraId="4B3557D0" w14:textId="69C45B5A" w:rsidR="00EB7508" w:rsidRPr="005A0774" w:rsidRDefault="00EB7508" w:rsidP="007412F7">
      <w:pPr>
        <w:shd w:val="clear" w:color="auto" w:fill="FFFFFF"/>
        <w:tabs>
          <w:tab w:val="left" w:pos="3119"/>
        </w:tabs>
        <w:ind w:right="-1" w:firstLine="567"/>
        <w:jc w:val="both"/>
        <w:rPr>
          <w:rFonts w:ascii="Calibri" w:hAnsi="Calibri" w:cs="Calibri"/>
          <w:b/>
          <w:sz w:val="22"/>
          <w:szCs w:val="22"/>
          <w:u w:val="single"/>
        </w:rPr>
      </w:pPr>
    </w:p>
    <w:p w14:paraId="2CF18BE6" w14:textId="67AF95C5" w:rsidR="00EB7508" w:rsidRPr="005A0774" w:rsidRDefault="00C957CF" w:rsidP="55FEB3D6">
      <w:pPr>
        <w:jc w:val="both"/>
        <w:outlineLvl w:val="1"/>
        <w:rPr>
          <w:rFonts w:ascii="Calibri" w:eastAsia="Calibri" w:hAnsi="Calibri" w:cs="Calibri"/>
          <w:i/>
          <w:iCs/>
          <w:sz w:val="22"/>
          <w:szCs w:val="22"/>
        </w:rPr>
      </w:pPr>
      <w:bookmarkStart w:id="55" w:name="_Toc61261245"/>
      <w:r w:rsidRPr="55FEB3D6">
        <w:rPr>
          <w:rFonts w:ascii="Calibri" w:eastAsia="Calibri" w:hAnsi="Calibri" w:cs="Calibri"/>
          <w:i/>
          <w:iCs/>
          <w:sz w:val="22"/>
          <w:szCs w:val="22"/>
        </w:rPr>
        <w:t>Dėl valstybės tarnautojo statuso atkūrimo diplomato sutuoktin</w:t>
      </w:r>
      <w:r w:rsidR="5426A2E0" w:rsidRPr="55FEB3D6">
        <w:rPr>
          <w:rFonts w:ascii="Calibri" w:eastAsia="Calibri" w:hAnsi="Calibri" w:cs="Calibri"/>
          <w:i/>
          <w:iCs/>
          <w:sz w:val="22"/>
          <w:szCs w:val="22"/>
        </w:rPr>
        <w:t>ei</w:t>
      </w:r>
      <w:r w:rsidRPr="55FEB3D6">
        <w:rPr>
          <w:rFonts w:ascii="Calibri" w:eastAsia="Calibri" w:hAnsi="Calibri" w:cs="Calibri"/>
          <w:i/>
          <w:iCs/>
          <w:sz w:val="22"/>
          <w:szCs w:val="22"/>
        </w:rPr>
        <w:t>, leidžiant užimti aukštesnes pareigas</w:t>
      </w:r>
      <w:bookmarkEnd w:id="55"/>
    </w:p>
    <w:p w14:paraId="00910F7A" w14:textId="605EE019" w:rsidR="00EB7508" w:rsidRPr="005A0774" w:rsidRDefault="00EB7508" w:rsidP="007412F7">
      <w:pPr>
        <w:shd w:val="clear" w:color="auto" w:fill="FFFFFF"/>
        <w:tabs>
          <w:tab w:val="left" w:pos="3119"/>
        </w:tabs>
        <w:ind w:right="-1" w:firstLine="567"/>
        <w:jc w:val="both"/>
        <w:rPr>
          <w:rFonts w:ascii="Calibri" w:hAnsi="Calibri" w:cs="Calibri"/>
          <w:b/>
          <w:sz w:val="22"/>
          <w:szCs w:val="22"/>
          <w:u w:val="single"/>
        </w:rPr>
      </w:pPr>
    </w:p>
    <w:p w14:paraId="175CC033" w14:textId="632B048C" w:rsidR="00C957CF" w:rsidRPr="005A0774" w:rsidRDefault="00C957CF" w:rsidP="00C957CF">
      <w:pPr>
        <w:ind w:firstLine="567"/>
        <w:jc w:val="both"/>
        <w:rPr>
          <w:rFonts w:ascii="Calibri" w:eastAsia="Calibri" w:hAnsi="Calibri" w:cs="Calibri"/>
          <w:sz w:val="22"/>
          <w:szCs w:val="22"/>
        </w:rPr>
      </w:pPr>
      <w:r w:rsidRPr="005A0774">
        <w:rPr>
          <w:rFonts w:ascii="Calibri" w:eastAsia="Calibri" w:hAnsi="Calibri" w:cs="Calibri"/>
          <w:sz w:val="22"/>
          <w:szCs w:val="22"/>
        </w:rPr>
        <w:t>Apžvelgiamoje byloje ginčas kilo dėl: 1) Susisiekimo ministerijos 2018 m. spalio 4 d. rašto, kuriuo atsisakyta pareiškėjai atkurti valstybės karjeros tarnautojo statusą, nepasiūlant jai užimti jokių pareigų be konkurso; 2) Susisiekimo ministerijos įpareigojimo priimti pareiškėją į ne žemesnes kaip A lygio 12 kategorijos valstybės karjeros tarnautojo pareigas; 3) Valstybės tarnybos departament</w:t>
      </w:r>
      <w:r w:rsidR="00307D80" w:rsidRPr="005A0774">
        <w:rPr>
          <w:rFonts w:ascii="Calibri" w:eastAsia="Calibri" w:hAnsi="Calibri" w:cs="Calibri"/>
          <w:sz w:val="22"/>
          <w:szCs w:val="22"/>
        </w:rPr>
        <w:t>o</w:t>
      </w:r>
      <w:r w:rsidRPr="005A0774">
        <w:rPr>
          <w:rFonts w:ascii="Calibri" w:eastAsia="Calibri" w:hAnsi="Calibri" w:cs="Calibri"/>
          <w:sz w:val="22"/>
          <w:szCs w:val="22"/>
        </w:rPr>
        <w:t xml:space="preserve"> prie Lietuvos Respublikos vidaus reikalų ministerijos (toliau – VTD) </w:t>
      </w:r>
      <w:r w:rsidR="00307D80" w:rsidRPr="005A0774">
        <w:rPr>
          <w:rFonts w:ascii="Calibri" w:eastAsia="Calibri" w:hAnsi="Calibri" w:cs="Calibri"/>
          <w:sz w:val="22"/>
          <w:szCs w:val="22"/>
        </w:rPr>
        <w:t xml:space="preserve">įpareigojimo </w:t>
      </w:r>
      <w:r w:rsidRPr="005A0774">
        <w:rPr>
          <w:rFonts w:ascii="Calibri" w:eastAsia="Calibri" w:hAnsi="Calibri" w:cs="Calibri"/>
          <w:sz w:val="22"/>
          <w:szCs w:val="22"/>
        </w:rPr>
        <w:t xml:space="preserve">atstatyti pareiškėjai karjeros valstybės tarnybos statusą netaikant 3 mėn. termino; 4) nesant Susisiekimo ministerijoje ne žemesnių kaip A lygio 12 kategorijos pareigų, </w:t>
      </w:r>
      <w:r w:rsidR="00307D80" w:rsidRPr="005A0774">
        <w:rPr>
          <w:rFonts w:ascii="Calibri" w:eastAsia="Calibri" w:hAnsi="Calibri" w:cs="Calibri"/>
          <w:sz w:val="22"/>
          <w:szCs w:val="22"/>
        </w:rPr>
        <w:t>VTD</w:t>
      </w:r>
      <w:r w:rsidRPr="005A0774">
        <w:rPr>
          <w:rFonts w:ascii="Calibri" w:eastAsia="Calibri" w:hAnsi="Calibri" w:cs="Calibri"/>
          <w:sz w:val="22"/>
          <w:szCs w:val="22"/>
        </w:rPr>
        <w:t xml:space="preserve"> </w:t>
      </w:r>
      <w:r w:rsidR="00307D80" w:rsidRPr="005A0774">
        <w:rPr>
          <w:rFonts w:ascii="Calibri" w:eastAsia="Calibri" w:hAnsi="Calibri" w:cs="Calibri"/>
          <w:sz w:val="22"/>
          <w:szCs w:val="22"/>
        </w:rPr>
        <w:t xml:space="preserve">įpareigojimo </w:t>
      </w:r>
      <w:r w:rsidRPr="005A0774">
        <w:rPr>
          <w:rFonts w:ascii="Calibri" w:eastAsia="Calibri" w:hAnsi="Calibri" w:cs="Calibri"/>
          <w:sz w:val="22"/>
          <w:szCs w:val="22"/>
        </w:rPr>
        <w:t>atkurti karjeros valstybės tarnautojo statusą ir surasti kitas lygiavertes, atitinkančias pareiškėjos kvalifikaciją, darbo stažą, valstybės tarnautojo pareigas ir užtikrinti, jog pareiškėja būtų į jas priimta be konkurso ir be jokių kitų papildomų sąlygų; 5) vidutin</w:t>
      </w:r>
      <w:r w:rsidR="00307D80" w:rsidRPr="005A0774">
        <w:rPr>
          <w:rFonts w:ascii="Calibri" w:eastAsia="Calibri" w:hAnsi="Calibri" w:cs="Calibri"/>
          <w:sz w:val="22"/>
          <w:szCs w:val="22"/>
        </w:rPr>
        <w:t>io</w:t>
      </w:r>
      <w:r w:rsidRPr="005A0774">
        <w:rPr>
          <w:rFonts w:ascii="Calibri" w:eastAsia="Calibri" w:hAnsi="Calibri" w:cs="Calibri"/>
          <w:sz w:val="22"/>
          <w:szCs w:val="22"/>
        </w:rPr>
        <w:t xml:space="preserve"> darbo užmokes</w:t>
      </w:r>
      <w:r w:rsidR="00307D80" w:rsidRPr="005A0774">
        <w:rPr>
          <w:rFonts w:ascii="Calibri" w:eastAsia="Calibri" w:hAnsi="Calibri" w:cs="Calibri"/>
          <w:sz w:val="22"/>
          <w:szCs w:val="22"/>
        </w:rPr>
        <w:t>čio</w:t>
      </w:r>
      <w:r w:rsidRPr="005A0774">
        <w:rPr>
          <w:rFonts w:ascii="Calibri" w:eastAsia="Calibri" w:hAnsi="Calibri" w:cs="Calibri"/>
          <w:sz w:val="22"/>
          <w:szCs w:val="22"/>
        </w:rPr>
        <w:t xml:space="preserve"> už priverstinės pravaikštos laiką </w:t>
      </w:r>
      <w:r w:rsidR="00307D80" w:rsidRPr="005A0774">
        <w:rPr>
          <w:rFonts w:ascii="Calibri" w:eastAsia="Calibri" w:hAnsi="Calibri" w:cs="Calibri"/>
          <w:sz w:val="22"/>
          <w:szCs w:val="22"/>
        </w:rPr>
        <w:t>priteisimo iš Susisiekimo ministerijos</w:t>
      </w:r>
      <w:r w:rsidRPr="005A0774">
        <w:rPr>
          <w:rFonts w:ascii="Calibri" w:eastAsia="Calibri" w:hAnsi="Calibri" w:cs="Calibri"/>
          <w:sz w:val="22"/>
          <w:szCs w:val="22"/>
        </w:rPr>
        <w:t xml:space="preserve">; 6) </w:t>
      </w:r>
      <w:r w:rsidR="00307D80" w:rsidRPr="005A0774">
        <w:rPr>
          <w:rFonts w:ascii="Calibri" w:eastAsia="Calibri" w:hAnsi="Calibri" w:cs="Calibri"/>
          <w:sz w:val="22"/>
          <w:szCs w:val="22"/>
        </w:rPr>
        <w:t xml:space="preserve">bei </w:t>
      </w:r>
      <w:r w:rsidRPr="005A0774">
        <w:rPr>
          <w:rFonts w:ascii="Calibri" w:eastAsia="Calibri" w:hAnsi="Calibri" w:cs="Calibri"/>
          <w:sz w:val="22"/>
          <w:szCs w:val="22"/>
        </w:rPr>
        <w:t>5 000 Eur neturtin</w:t>
      </w:r>
      <w:r w:rsidR="00307D80" w:rsidRPr="005A0774">
        <w:rPr>
          <w:rFonts w:ascii="Calibri" w:eastAsia="Calibri" w:hAnsi="Calibri" w:cs="Calibri"/>
          <w:sz w:val="22"/>
          <w:szCs w:val="22"/>
        </w:rPr>
        <w:t>ės</w:t>
      </w:r>
      <w:r w:rsidRPr="005A0774">
        <w:rPr>
          <w:rFonts w:ascii="Calibri" w:eastAsia="Calibri" w:hAnsi="Calibri" w:cs="Calibri"/>
          <w:sz w:val="22"/>
          <w:szCs w:val="22"/>
        </w:rPr>
        <w:t xml:space="preserve"> žal</w:t>
      </w:r>
      <w:r w:rsidR="00307D80" w:rsidRPr="005A0774">
        <w:rPr>
          <w:rFonts w:ascii="Calibri" w:eastAsia="Calibri" w:hAnsi="Calibri" w:cs="Calibri"/>
          <w:sz w:val="22"/>
          <w:szCs w:val="22"/>
        </w:rPr>
        <w:t>os</w:t>
      </w:r>
      <w:r w:rsidRPr="005A0774">
        <w:rPr>
          <w:rFonts w:ascii="Calibri" w:eastAsia="Calibri" w:hAnsi="Calibri" w:cs="Calibri"/>
          <w:sz w:val="22"/>
          <w:szCs w:val="22"/>
        </w:rPr>
        <w:t xml:space="preserve"> atlygini</w:t>
      </w:r>
      <w:r w:rsidR="00307D80" w:rsidRPr="005A0774">
        <w:rPr>
          <w:rFonts w:ascii="Calibri" w:eastAsia="Calibri" w:hAnsi="Calibri" w:cs="Calibri"/>
          <w:sz w:val="22"/>
          <w:szCs w:val="22"/>
        </w:rPr>
        <w:t>mo priteisimo pareiškėjai iš Susisiekimo ministerijos.</w:t>
      </w:r>
      <w:r w:rsidR="006704A0" w:rsidRPr="005A0774">
        <w:rPr>
          <w:rFonts w:ascii="Calibri" w:eastAsia="Calibri" w:hAnsi="Calibri" w:cs="Calibri"/>
          <w:sz w:val="22"/>
          <w:szCs w:val="22"/>
        </w:rPr>
        <w:t xml:space="preserve"> Pirmosios instancijos teismas pareiškėjos skundą atmetė.</w:t>
      </w:r>
    </w:p>
    <w:p w14:paraId="08ADD1C0" w14:textId="0F37831F" w:rsidR="00C957CF" w:rsidRPr="005A0774" w:rsidRDefault="00C957CF" w:rsidP="00C957CF">
      <w:pPr>
        <w:ind w:firstLine="567"/>
        <w:jc w:val="both"/>
        <w:rPr>
          <w:rFonts w:ascii="Calibri" w:eastAsia="Calibri" w:hAnsi="Calibri" w:cs="Calibri"/>
          <w:sz w:val="22"/>
          <w:szCs w:val="22"/>
        </w:rPr>
      </w:pPr>
      <w:r w:rsidRPr="55FEB3D6">
        <w:rPr>
          <w:rFonts w:ascii="Calibri" w:eastAsia="Calibri" w:hAnsi="Calibri" w:cs="Calibri"/>
          <w:sz w:val="22"/>
          <w:szCs w:val="22"/>
        </w:rPr>
        <w:t xml:space="preserve">Byloje nustatyta, kad pareiškėja – diplomato sutuoktinė. Ji iki 2014 m. rugpjūčio 4 d. ėjo A lygio 12 kategorijos Susisiekimo ministerijos Vandens ir geležinkelių transporto politikos departamento vandens transporto skyriaus vyresniosios specialistės pareigas ir iš šių pareigų buvo atleista pagal jos 2014 m. gegužės 28 d. prašymą. Pareiškėjos sutuoktinis nuo 2014 m. liepos 17 d. iki 2018 m. liepos 12 d. ėjo Lietuvos Respublikos generalinio konsulato patarėjo pareigas. 2018 m. liepos 5 d. pareiškėja pateikė </w:t>
      </w:r>
      <w:r w:rsidR="00307D80" w:rsidRPr="55FEB3D6">
        <w:rPr>
          <w:rFonts w:ascii="Calibri" w:eastAsia="Calibri" w:hAnsi="Calibri" w:cs="Calibri"/>
          <w:sz w:val="22"/>
          <w:szCs w:val="22"/>
        </w:rPr>
        <w:t>VTD</w:t>
      </w:r>
      <w:r w:rsidRPr="55FEB3D6">
        <w:rPr>
          <w:rFonts w:ascii="Calibri" w:eastAsia="Calibri" w:hAnsi="Calibri" w:cs="Calibri"/>
          <w:sz w:val="22"/>
          <w:szCs w:val="22"/>
        </w:rPr>
        <w:t xml:space="preserve"> prašymą dėl valstybės tarnautojo statuso atkūrimo. Prie prašymo pateiktoje anketoje nurodė, kad pageidauja, kad jai būtų siūlomos ne žemesnės kaip A lygio 12 kategorijos pareigos Susisiekimo ministerijoje ir Užsienio reikalų ministerijoje, Vilniaus mieste. 2018 m. spalio 1 d. pareiškėjos atstovė kreipėsi į </w:t>
      </w:r>
      <w:r w:rsidR="00307D80" w:rsidRPr="55FEB3D6">
        <w:rPr>
          <w:rFonts w:ascii="Calibri" w:eastAsia="Calibri" w:hAnsi="Calibri" w:cs="Calibri"/>
          <w:sz w:val="22"/>
          <w:szCs w:val="22"/>
        </w:rPr>
        <w:t>Susisiekimo ministeriją</w:t>
      </w:r>
      <w:r w:rsidRPr="55FEB3D6">
        <w:rPr>
          <w:rFonts w:ascii="Calibri" w:eastAsia="Calibri" w:hAnsi="Calibri" w:cs="Calibri"/>
          <w:sz w:val="22"/>
          <w:szCs w:val="22"/>
        </w:rPr>
        <w:t>, prašydama iki 2018</w:t>
      </w:r>
      <w:r w:rsidR="00307D80" w:rsidRPr="55FEB3D6">
        <w:rPr>
          <w:rFonts w:ascii="Calibri" w:eastAsia="Calibri" w:hAnsi="Calibri" w:cs="Calibri"/>
          <w:sz w:val="22"/>
          <w:szCs w:val="22"/>
        </w:rPr>
        <w:t> </w:t>
      </w:r>
      <w:r w:rsidRPr="55FEB3D6">
        <w:rPr>
          <w:rFonts w:ascii="Calibri" w:eastAsia="Calibri" w:hAnsi="Calibri" w:cs="Calibri"/>
          <w:sz w:val="22"/>
          <w:szCs w:val="22"/>
        </w:rPr>
        <w:t>m. spalio 5 d. pateikti išsamų atsakymą į pareiškėjos prašymą dėl valstybės tarnautojo statuso atkūrimo ir nurodyti visas laisvas ir tinkamas užimti pareigybes Susisiekimo ministerijoje, į kurias teisę sugrįžti turi pareiškėja. S</w:t>
      </w:r>
      <w:r w:rsidR="00307D80" w:rsidRPr="55FEB3D6">
        <w:rPr>
          <w:rFonts w:ascii="Calibri" w:eastAsia="Calibri" w:hAnsi="Calibri" w:cs="Calibri"/>
          <w:sz w:val="22"/>
          <w:szCs w:val="22"/>
        </w:rPr>
        <w:t>usisiekimo ministerija</w:t>
      </w:r>
      <w:r w:rsidRPr="55FEB3D6">
        <w:rPr>
          <w:rFonts w:ascii="Calibri" w:eastAsia="Calibri" w:hAnsi="Calibri" w:cs="Calibri"/>
          <w:sz w:val="22"/>
          <w:szCs w:val="22"/>
        </w:rPr>
        <w:t xml:space="preserve"> 2018 m. spalio 4 d. raštu </w:t>
      </w:r>
      <w:r w:rsidR="00307D80" w:rsidRPr="55FEB3D6">
        <w:rPr>
          <w:rFonts w:ascii="Calibri" w:eastAsia="Calibri" w:hAnsi="Calibri" w:cs="Calibri"/>
          <w:sz w:val="22"/>
          <w:szCs w:val="22"/>
        </w:rPr>
        <w:t>(ginčytu apžvelgiamoje byloje)</w:t>
      </w:r>
      <w:r w:rsidRPr="55FEB3D6">
        <w:rPr>
          <w:rFonts w:ascii="Calibri" w:eastAsia="Calibri" w:hAnsi="Calibri" w:cs="Calibri"/>
          <w:sz w:val="22"/>
          <w:szCs w:val="22"/>
        </w:rPr>
        <w:t xml:space="preserve"> nurodė pareiškėjai, kad 2018 m. rugpjūčio 2 d. raštu informavo VTD, jog neturi galimybės pasiūlyti pareiškėjai jos eitas pareigas ar kitas tos pačios kategorijos pareigas </w:t>
      </w:r>
      <w:r w:rsidR="00307D80" w:rsidRPr="55FEB3D6">
        <w:rPr>
          <w:rFonts w:ascii="Calibri" w:eastAsia="Calibri" w:hAnsi="Calibri" w:cs="Calibri"/>
          <w:sz w:val="22"/>
          <w:szCs w:val="22"/>
        </w:rPr>
        <w:t>Susisiekimo ministerijoje</w:t>
      </w:r>
      <w:r w:rsidRPr="55FEB3D6">
        <w:rPr>
          <w:rFonts w:ascii="Calibri" w:eastAsia="Calibri" w:hAnsi="Calibri" w:cs="Calibri"/>
          <w:sz w:val="22"/>
          <w:szCs w:val="22"/>
        </w:rPr>
        <w:t>. Taip pat atkreipė dėmesį, kad S</w:t>
      </w:r>
      <w:r w:rsidR="00307D80" w:rsidRPr="55FEB3D6">
        <w:rPr>
          <w:rFonts w:ascii="Calibri" w:eastAsia="Calibri" w:hAnsi="Calibri" w:cs="Calibri"/>
          <w:sz w:val="22"/>
          <w:szCs w:val="22"/>
        </w:rPr>
        <w:t>usisiekimo ministerija</w:t>
      </w:r>
      <w:r w:rsidRPr="55FEB3D6">
        <w:rPr>
          <w:rFonts w:ascii="Calibri" w:eastAsia="Calibri" w:hAnsi="Calibri" w:cs="Calibri"/>
          <w:sz w:val="22"/>
          <w:szCs w:val="22"/>
        </w:rPr>
        <w:t xml:space="preserve"> neturi teisės pagal </w:t>
      </w:r>
      <w:r w:rsidR="00307D80" w:rsidRPr="55FEB3D6">
        <w:rPr>
          <w:rFonts w:ascii="Calibri" w:eastAsia="Calibri" w:hAnsi="Calibri" w:cs="Calibri"/>
          <w:sz w:val="22"/>
          <w:szCs w:val="22"/>
        </w:rPr>
        <w:t>Valstybės tarnybos įstatymo (toliau – VTĮ)</w:t>
      </w:r>
      <w:r w:rsidRPr="55FEB3D6">
        <w:rPr>
          <w:rFonts w:ascii="Calibri" w:eastAsia="Calibri" w:hAnsi="Calibri" w:cs="Calibri"/>
          <w:sz w:val="22"/>
          <w:szCs w:val="22"/>
        </w:rPr>
        <w:t xml:space="preserve"> ir</w:t>
      </w:r>
      <w:r w:rsidR="00307D80" w:rsidRPr="55FEB3D6">
        <w:rPr>
          <w:rFonts w:ascii="Calibri" w:eastAsia="Calibri" w:hAnsi="Calibri" w:cs="Calibri"/>
          <w:sz w:val="22"/>
          <w:szCs w:val="22"/>
        </w:rPr>
        <w:t xml:space="preserve"> Lietuvos Respublikos Vyriausybės 2002 m. birželio 24 d. nutarimu Nr. 967 patvirtintų Valstybės tarnautojo statuso atkūrimo ir pareigų siūlymo buvusiam valstybės tarnautojui taisyklių (toliau – Taisyklės)</w:t>
      </w:r>
      <w:r w:rsidRPr="55FEB3D6">
        <w:rPr>
          <w:rFonts w:ascii="Calibri" w:eastAsia="Calibri" w:hAnsi="Calibri" w:cs="Calibri"/>
          <w:sz w:val="22"/>
          <w:szCs w:val="22"/>
        </w:rPr>
        <w:t xml:space="preserve"> nuostatas informuoti asmeniškai pareiškėją apie esamas laisvas A lygio 12 kategorijos karjeros valstybės tarnautojų pareigybes Susisiekimo ministerijoje, tokia informacija yra pateikiama tik Valstybės tarnybos departamentui. Pažymėjo, kad </w:t>
      </w:r>
      <w:r w:rsidR="00307D80" w:rsidRPr="55FEB3D6">
        <w:rPr>
          <w:rFonts w:ascii="Calibri" w:eastAsia="Calibri" w:hAnsi="Calibri" w:cs="Calibri"/>
          <w:sz w:val="22"/>
          <w:szCs w:val="22"/>
        </w:rPr>
        <w:t>atsakymo pateikimo</w:t>
      </w:r>
      <w:r w:rsidRPr="55FEB3D6">
        <w:rPr>
          <w:rFonts w:ascii="Calibri" w:eastAsia="Calibri" w:hAnsi="Calibri" w:cs="Calibri"/>
          <w:sz w:val="22"/>
          <w:szCs w:val="22"/>
        </w:rPr>
        <w:t xml:space="preserve"> metu n</w:t>
      </w:r>
      <w:r w:rsidR="00307D80" w:rsidRPr="55FEB3D6">
        <w:rPr>
          <w:rFonts w:ascii="Calibri" w:eastAsia="Calibri" w:hAnsi="Calibri" w:cs="Calibri"/>
          <w:sz w:val="22"/>
          <w:szCs w:val="22"/>
        </w:rPr>
        <w:t>ebuvo</w:t>
      </w:r>
      <w:r w:rsidRPr="55FEB3D6">
        <w:rPr>
          <w:rFonts w:ascii="Calibri" w:eastAsia="Calibri" w:hAnsi="Calibri" w:cs="Calibri"/>
          <w:sz w:val="22"/>
          <w:szCs w:val="22"/>
        </w:rPr>
        <w:t xml:space="preserve"> galimybių pareiškėjai atkurti valstybės tarnautojo statusą Susisiekimo ministerijoje.</w:t>
      </w:r>
    </w:p>
    <w:p w14:paraId="0F5479A3" w14:textId="4319F984" w:rsidR="00C957CF" w:rsidRPr="005A0774" w:rsidRDefault="00307D80" w:rsidP="00C957CF">
      <w:pPr>
        <w:ind w:firstLine="567"/>
        <w:jc w:val="both"/>
        <w:rPr>
          <w:rFonts w:ascii="Calibri" w:eastAsia="Calibri" w:hAnsi="Calibri" w:cs="Calibri"/>
          <w:sz w:val="22"/>
          <w:szCs w:val="22"/>
        </w:rPr>
      </w:pPr>
      <w:r w:rsidRPr="005A0774">
        <w:rPr>
          <w:rFonts w:ascii="Calibri" w:eastAsia="Calibri" w:hAnsi="Calibri" w:cs="Calibri"/>
          <w:sz w:val="22"/>
          <w:szCs w:val="22"/>
        </w:rPr>
        <w:t>Byloje taip pat nustatyta</w:t>
      </w:r>
      <w:r w:rsidR="00C957CF" w:rsidRPr="005A0774">
        <w:rPr>
          <w:rFonts w:ascii="Calibri" w:eastAsia="Calibri" w:hAnsi="Calibri" w:cs="Calibri"/>
          <w:sz w:val="22"/>
          <w:szCs w:val="22"/>
        </w:rPr>
        <w:t xml:space="preserve">, kad VTD valstybės tarnautojo statuso atkūrimo laikotarpiu pareiškėjai buvo pateikęs 24 pasiūlymus dėl įvairių pareigų kitose įstaigose Vilniaus mieste. Pareiškėja sutiko tik su 2 iš nurodytų pasiūlymų, tačiau į pareigas nebuvo priimta, nes nesurinko reikiamo balų skaičiaus pokalbyje. </w:t>
      </w:r>
    </w:p>
    <w:p w14:paraId="6FD3C515" w14:textId="37B96590" w:rsidR="00C957CF" w:rsidRPr="005A0774" w:rsidRDefault="006704A0" w:rsidP="00C957CF">
      <w:pPr>
        <w:ind w:firstLine="567"/>
        <w:jc w:val="both"/>
        <w:rPr>
          <w:rFonts w:ascii="Calibri" w:eastAsia="Calibri" w:hAnsi="Calibri" w:cs="Calibri"/>
          <w:sz w:val="22"/>
          <w:szCs w:val="22"/>
        </w:rPr>
      </w:pPr>
      <w:r w:rsidRPr="55FEB3D6">
        <w:rPr>
          <w:rFonts w:ascii="Calibri" w:eastAsia="Calibri" w:hAnsi="Calibri" w:cs="Calibri"/>
          <w:sz w:val="22"/>
          <w:szCs w:val="22"/>
        </w:rPr>
        <w:t>Bylą nagrinėjusi LVAT teisėjų kolegija konstatavo, jog g</w:t>
      </w:r>
      <w:r w:rsidR="00C957CF" w:rsidRPr="55FEB3D6">
        <w:rPr>
          <w:rFonts w:ascii="Calibri" w:eastAsia="Calibri" w:hAnsi="Calibri" w:cs="Calibri"/>
          <w:sz w:val="22"/>
          <w:szCs w:val="22"/>
        </w:rPr>
        <w:t xml:space="preserve">inčo teisinius santykius reglamentuoja </w:t>
      </w:r>
      <w:r w:rsidRPr="55FEB3D6">
        <w:rPr>
          <w:rFonts w:ascii="Calibri" w:eastAsia="Calibri" w:hAnsi="Calibri" w:cs="Calibri"/>
          <w:sz w:val="22"/>
          <w:szCs w:val="22"/>
        </w:rPr>
        <w:t>VTĮ</w:t>
      </w:r>
      <w:r w:rsidR="00C957CF" w:rsidRPr="55FEB3D6">
        <w:rPr>
          <w:rFonts w:ascii="Calibri" w:eastAsia="Calibri" w:hAnsi="Calibri" w:cs="Calibri"/>
          <w:sz w:val="22"/>
          <w:szCs w:val="22"/>
        </w:rPr>
        <w:t xml:space="preserve">, Diplomatinės tarnybos įstatymo </w:t>
      </w:r>
      <w:r w:rsidRPr="55FEB3D6">
        <w:rPr>
          <w:rFonts w:ascii="Calibri" w:eastAsia="Calibri" w:hAnsi="Calibri" w:cs="Calibri"/>
          <w:sz w:val="22"/>
          <w:szCs w:val="22"/>
        </w:rPr>
        <w:t xml:space="preserve">(toliau – DTĮ) </w:t>
      </w:r>
      <w:r w:rsidR="00C957CF" w:rsidRPr="55FEB3D6">
        <w:rPr>
          <w:rFonts w:ascii="Calibri" w:eastAsia="Calibri" w:hAnsi="Calibri" w:cs="Calibri"/>
          <w:sz w:val="22"/>
          <w:szCs w:val="22"/>
        </w:rPr>
        <w:t xml:space="preserve">bei </w:t>
      </w:r>
      <w:r w:rsidRPr="55FEB3D6">
        <w:rPr>
          <w:rFonts w:ascii="Calibri" w:eastAsia="Calibri" w:hAnsi="Calibri" w:cs="Calibri"/>
          <w:sz w:val="22"/>
          <w:szCs w:val="22"/>
        </w:rPr>
        <w:t>T</w:t>
      </w:r>
      <w:r w:rsidR="00C957CF" w:rsidRPr="55FEB3D6">
        <w:rPr>
          <w:rFonts w:ascii="Calibri" w:eastAsia="Calibri" w:hAnsi="Calibri" w:cs="Calibri"/>
          <w:sz w:val="22"/>
          <w:szCs w:val="22"/>
        </w:rPr>
        <w:t>aisyklių nuostatos.</w:t>
      </w:r>
      <w:r w:rsidRPr="55FEB3D6">
        <w:rPr>
          <w:rFonts w:ascii="Calibri" w:eastAsia="Calibri" w:hAnsi="Calibri" w:cs="Calibri"/>
          <w:sz w:val="22"/>
          <w:szCs w:val="22"/>
        </w:rPr>
        <w:t xml:space="preserve"> Įvertinusi bylai aktualios redakcijos DTĮ 28 straipsnio 1 dalies, VTĮ 16 straipsnio 3 ir 6 dalių nuostatas, teisėjų kolegija padarė išvadą, jog </w:t>
      </w:r>
      <w:r w:rsidR="00C957CF" w:rsidRPr="55FEB3D6">
        <w:rPr>
          <w:rFonts w:ascii="Calibri" w:eastAsia="Calibri" w:hAnsi="Calibri" w:cs="Calibri"/>
          <w:sz w:val="22"/>
          <w:szCs w:val="22"/>
          <w:u w:val="single"/>
        </w:rPr>
        <w:t xml:space="preserve">diplomato sutuoktinis, išvykęs kartu su diplomatu į Lietuvos Respublikos diplomatinę atstovybę ar konsulinę įstaigą, grįžęs pirmiausia turi teisę grįžti į tas pačias pareigas, kurias ėjo iki išvykimo kartu su diplomatu. Tuo atveju, kai nėra </w:t>
      </w:r>
      <w:r w:rsidR="00C957CF" w:rsidRPr="55FEB3D6">
        <w:rPr>
          <w:rFonts w:ascii="Calibri" w:eastAsia="Calibri" w:hAnsi="Calibri" w:cs="Calibri"/>
          <w:sz w:val="22"/>
          <w:szCs w:val="22"/>
          <w:u w:val="single"/>
        </w:rPr>
        <w:lastRenderedPageBreak/>
        <w:t>galimybės grįžti į tas pačias pareigas, diplomato sutuoktinis turi teisę grįžti į kitas tos pačios kategorijos karjeros valstybės tarnautojo pareigas toje pačioje ar kitoje valstybės ar savivaldybės institucijoje ar įstaigoje</w:t>
      </w:r>
      <w:r w:rsidR="00C957CF" w:rsidRPr="55FEB3D6">
        <w:rPr>
          <w:rFonts w:ascii="Calibri" w:eastAsia="Calibri" w:hAnsi="Calibri" w:cs="Calibri"/>
          <w:sz w:val="22"/>
          <w:szCs w:val="22"/>
        </w:rPr>
        <w:t>.</w:t>
      </w:r>
      <w:r w:rsidRPr="55FEB3D6">
        <w:rPr>
          <w:rFonts w:ascii="Calibri" w:eastAsia="Calibri" w:hAnsi="Calibri" w:cs="Calibri"/>
          <w:sz w:val="22"/>
          <w:szCs w:val="22"/>
        </w:rPr>
        <w:t xml:space="preserve"> Taip pat LVAT pažymėjo, </w:t>
      </w:r>
      <w:r w:rsidR="00C957CF" w:rsidRPr="55FEB3D6">
        <w:rPr>
          <w:rFonts w:ascii="Calibri" w:eastAsia="Calibri" w:hAnsi="Calibri" w:cs="Calibri"/>
          <w:sz w:val="22"/>
          <w:szCs w:val="22"/>
        </w:rPr>
        <w:t xml:space="preserve">kad </w:t>
      </w:r>
      <w:r w:rsidR="00C957CF" w:rsidRPr="55FEB3D6">
        <w:rPr>
          <w:rFonts w:ascii="Calibri" w:eastAsia="Calibri" w:hAnsi="Calibri" w:cs="Calibri"/>
          <w:sz w:val="22"/>
          <w:szCs w:val="22"/>
          <w:u w:val="single"/>
        </w:rPr>
        <w:t>DTĮ yra specialusis įstatymas VTĮ atžvilgiu</w:t>
      </w:r>
      <w:r w:rsidR="00C957CF" w:rsidRPr="55FEB3D6">
        <w:rPr>
          <w:rFonts w:ascii="Calibri" w:eastAsia="Calibri" w:hAnsi="Calibri" w:cs="Calibri"/>
          <w:sz w:val="22"/>
          <w:szCs w:val="22"/>
        </w:rPr>
        <w:t xml:space="preserve">, todėl valstybės tarnybą reglamentuojančių teisės aktų nuostatos šioje byloje nagrinėjamiems teisiniams santykiams taikytinos tiek, kiek nėra sureguliuota Diplomatinės tarnybos įstatymu. Dėl to, </w:t>
      </w:r>
      <w:r w:rsidR="00C957CF" w:rsidRPr="55FEB3D6">
        <w:rPr>
          <w:rFonts w:ascii="Calibri" w:eastAsia="Calibri" w:hAnsi="Calibri" w:cs="Calibri"/>
          <w:sz w:val="22"/>
          <w:szCs w:val="22"/>
          <w:u w:val="single"/>
        </w:rPr>
        <w:t xml:space="preserve">nors VTĮ ir nėra nustatyta sąlyga dėl nemažesnio pareigų, į kurias grįžtama, apmokėjimo nei iki išvykstant, tai nepaneigia </w:t>
      </w:r>
      <w:r w:rsidR="63B399C0" w:rsidRPr="55FEB3D6">
        <w:rPr>
          <w:rFonts w:ascii="Calibri" w:eastAsia="Calibri" w:hAnsi="Calibri" w:cs="Calibri"/>
          <w:sz w:val="22"/>
          <w:szCs w:val="22"/>
          <w:u w:val="single"/>
        </w:rPr>
        <w:t xml:space="preserve">DTĮ </w:t>
      </w:r>
      <w:r w:rsidR="00C957CF" w:rsidRPr="55FEB3D6">
        <w:rPr>
          <w:rFonts w:ascii="Calibri" w:eastAsia="Calibri" w:hAnsi="Calibri" w:cs="Calibri"/>
          <w:sz w:val="22"/>
          <w:szCs w:val="22"/>
          <w:u w:val="single"/>
        </w:rPr>
        <w:t>28 straipsnio 1 dalyje įtvirtintos teisės grįžti į ne mažiau nei iki išvykimo su diplomatu apmokamas pareigas</w:t>
      </w:r>
      <w:r w:rsidR="00C957CF" w:rsidRPr="55FEB3D6">
        <w:rPr>
          <w:rFonts w:ascii="Calibri" w:eastAsia="Calibri" w:hAnsi="Calibri" w:cs="Calibri"/>
          <w:sz w:val="22"/>
          <w:szCs w:val="22"/>
        </w:rPr>
        <w:t xml:space="preserve">. </w:t>
      </w:r>
    </w:p>
    <w:p w14:paraId="0CCB4EB3" w14:textId="44745CD0" w:rsidR="00C957CF" w:rsidRPr="005A0774" w:rsidRDefault="00866B76" w:rsidP="00993858">
      <w:pPr>
        <w:ind w:firstLine="567"/>
        <w:jc w:val="both"/>
        <w:rPr>
          <w:rFonts w:ascii="Calibri" w:eastAsia="Calibri" w:hAnsi="Calibri" w:cs="Calibri"/>
          <w:sz w:val="22"/>
          <w:szCs w:val="22"/>
        </w:rPr>
      </w:pPr>
      <w:r w:rsidRPr="005A0774">
        <w:rPr>
          <w:rFonts w:ascii="Calibri" w:eastAsia="Calibri" w:hAnsi="Calibri" w:cs="Calibri"/>
          <w:sz w:val="22"/>
          <w:szCs w:val="22"/>
        </w:rPr>
        <w:t>Taip pat pareiškėja teigė</w:t>
      </w:r>
      <w:r w:rsidR="00C957CF" w:rsidRPr="005A0774">
        <w:rPr>
          <w:rFonts w:ascii="Calibri" w:eastAsia="Calibri" w:hAnsi="Calibri" w:cs="Calibri"/>
          <w:sz w:val="22"/>
          <w:szCs w:val="22"/>
        </w:rPr>
        <w:t>, jog ginčui aktualiu laikotarpiu Susisiekimo ministerijoje buvo laisva Vandens ir geležinkelių transporto politikos departamento Vandens transporto skyriaus vyriausiojo specialisto pareigybė, kurią pareiškėja užėmė iki jos atleidimo iš valstybės tarnybos</w:t>
      </w:r>
      <w:r w:rsidRPr="005A0774">
        <w:rPr>
          <w:rFonts w:ascii="Calibri" w:eastAsia="Calibri" w:hAnsi="Calibri" w:cs="Calibri"/>
          <w:sz w:val="22"/>
          <w:szCs w:val="22"/>
        </w:rPr>
        <w:t xml:space="preserve"> (p</w:t>
      </w:r>
      <w:r w:rsidR="00C957CF" w:rsidRPr="005A0774">
        <w:rPr>
          <w:rFonts w:ascii="Calibri" w:eastAsia="Calibri" w:hAnsi="Calibri" w:cs="Calibri"/>
          <w:sz w:val="22"/>
          <w:szCs w:val="22"/>
        </w:rPr>
        <w:t>areiškėjos teigimu, ši</w:t>
      </w:r>
      <w:r w:rsidRPr="005A0774">
        <w:rPr>
          <w:rFonts w:ascii="Calibri" w:eastAsia="Calibri" w:hAnsi="Calibri" w:cs="Calibri"/>
          <w:sz w:val="22"/>
          <w:szCs w:val="22"/>
        </w:rPr>
        <w:t>ai</w:t>
      </w:r>
      <w:r w:rsidR="00C957CF" w:rsidRPr="005A0774">
        <w:rPr>
          <w:rFonts w:ascii="Calibri" w:eastAsia="Calibri" w:hAnsi="Calibri" w:cs="Calibri"/>
          <w:sz w:val="22"/>
          <w:szCs w:val="22"/>
        </w:rPr>
        <w:t xml:space="preserve"> pareigyb</w:t>
      </w:r>
      <w:r w:rsidRPr="005A0774">
        <w:rPr>
          <w:rFonts w:ascii="Calibri" w:eastAsia="Calibri" w:hAnsi="Calibri" w:cs="Calibri"/>
          <w:sz w:val="22"/>
          <w:szCs w:val="22"/>
        </w:rPr>
        <w:t>e</w:t>
      </w:r>
      <w:r w:rsidR="00C957CF" w:rsidRPr="005A0774">
        <w:rPr>
          <w:rFonts w:ascii="Calibri" w:eastAsia="Calibri" w:hAnsi="Calibri" w:cs="Calibri"/>
          <w:sz w:val="22"/>
          <w:szCs w:val="22"/>
        </w:rPr>
        <w:t xml:space="preserve">i anksčiau buvo nustatyta A lygio 12 kategorija, </w:t>
      </w:r>
      <w:r w:rsidRPr="005A0774">
        <w:rPr>
          <w:rFonts w:ascii="Calibri" w:eastAsia="Calibri" w:hAnsi="Calibri" w:cs="Calibri"/>
          <w:sz w:val="22"/>
          <w:szCs w:val="22"/>
        </w:rPr>
        <w:t xml:space="preserve">vėliau ji </w:t>
      </w:r>
      <w:r w:rsidR="00C957CF" w:rsidRPr="005A0774">
        <w:rPr>
          <w:rFonts w:ascii="Calibri" w:eastAsia="Calibri" w:hAnsi="Calibri" w:cs="Calibri"/>
          <w:sz w:val="22"/>
          <w:szCs w:val="22"/>
        </w:rPr>
        <w:t>tapo A lygio 14 kategorijos pareigybe, nors iš esmės pareigybė nepasikeitė, naujų funkcijų neatsirado</w:t>
      </w:r>
      <w:r w:rsidRPr="005A0774">
        <w:rPr>
          <w:rFonts w:ascii="Calibri" w:eastAsia="Calibri" w:hAnsi="Calibri" w:cs="Calibri"/>
          <w:sz w:val="22"/>
          <w:szCs w:val="22"/>
        </w:rPr>
        <w:t>) ir</w:t>
      </w:r>
      <w:r w:rsidR="00C957CF" w:rsidRPr="005A0774">
        <w:rPr>
          <w:rFonts w:ascii="Calibri" w:eastAsia="Calibri" w:hAnsi="Calibri" w:cs="Calibri"/>
          <w:sz w:val="22"/>
          <w:szCs w:val="22"/>
        </w:rPr>
        <w:t>, sistemiškai įvertinus pareiškėjos iki išvykimo užimtos pareigybės aprašymo ir kitų pareiškėjos skyriuje esamų (buvusių) laisvų valstybės karjeros tarnautojų pareigybių pokyčius</w:t>
      </w:r>
      <w:r w:rsidRPr="005A0774">
        <w:rPr>
          <w:rFonts w:ascii="Calibri" w:eastAsia="Calibri" w:hAnsi="Calibri" w:cs="Calibri"/>
          <w:sz w:val="22"/>
          <w:szCs w:val="22"/>
        </w:rPr>
        <w:t>,</w:t>
      </w:r>
      <w:r w:rsidR="00C957CF" w:rsidRPr="005A0774">
        <w:rPr>
          <w:rFonts w:ascii="Calibri" w:eastAsia="Calibri" w:hAnsi="Calibri" w:cs="Calibri"/>
          <w:sz w:val="22"/>
          <w:szCs w:val="22"/>
        </w:rPr>
        <w:t xml:space="preserve"> būtų galima įvertinti, ar šie pokyčiai yra esminiai.</w:t>
      </w:r>
    </w:p>
    <w:p w14:paraId="4C8605E0" w14:textId="64C3EBEC" w:rsidR="00866B76" w:rsidRPr="005A0774" w:rsidRDefault="00C957CF" w:rsidP="00866B76">
      <w:pPr>
        <w:ind w:firstLine="567"/>
        <w:jc w:val="both"/>
        <w:rPr>
          <w:rFonts w:ascii="Calibri" w:eastAsia="Calibri" w:hAnsi="Calibri" w:cs="Calibri"/>
          <w:sz w:val="22"/>
          <w:szCs w:val="22"/>
        </w:rPr>
      </w:pPr>
      <w:r w:rsidRPr="55FEB3D6">
        <w:rPr>
          <w:rFonts w:ascii="Calibri" w:eastAsia="Calibri" w:hAnsi="Calibri" w:cs="Calibri"/>
          <w:sz w:val="22"/>
          <w:szCs w:val="22"/>
        </w:rPr>
        <w:t>Nagrinė</w:t>
      </w:r>
      <w:r w:rsidR="00866B76" w:rsidRPr="55FEB3D6">
        <w:rPr>
          <w:rFonts w:ascii="Calibri" w:eastAsia="Calibri" w:hAnsi="Calibri" w:cs="Calibri"/>
          <w:sz w:val="22"/>
          <w:szCs w:val="22"/>
        </w:rPr>
        <w:t xml:space="preserve">dama šiuos </w:t>
      </w:r>
      <w:r w:rsidRPr="55FEB3D6">
        <w:rPr>
          <w:rFonts w:ascii="Calibri" w:eastAsia="Calibri" w:hAnsi="Calibri" w:cs="Calibri"/>
          <w:sz w:val="22"/>
          <w:szCs w:val="22"/>
        </w:rPr>
        <w:t>pareiškėjos skundo argumentus</w:t>
      </w:r>
      <w:r w:rsidR="00866B76" w:rsidRPr="55FEB3D6">
        <w:rPr>
          <w:rFonts w:ascii="Calibri" w:eastAsia="Calibri" w:hAnsi="Calibri" w:cs="Calibri"/>
          <w:sz w:val="22"/>
          <w:szCs w:val="22"/>
        </w:rPr>
        <w:t>, teisėjų kolegija nurodė, jog byloje</w:t>
      </w:r>
      <w:r w:rsidRPr="55FEB3D6">
        <w:rPr>
          <w:rFonts w:ascii="Calibri" w:eastAsia="Calibri" w:hAnsi="Calibri" w:cs="Calibri"/>
          <w:sz w:val="22"/>
          <w:szCs w:val="22"/>
        </w:rPr>
        <w:t xml:space="preserve"> būtina įvertinti </w:t>
      </w:r>
      <w:bookmarkStart w:id="56" w:name="_Hlk55978662"/>
      <w:r w:rsidRPr="55FEB3D6">
        <w:rPr>
          <w:rFonts w:ascii="Calibri" w:eastAsia="Calibri" w:hAnsi="Calibri" w:cs="Calibri"/>
          <w:sz w:val="22"/>
          <w:szCs w:val="22"/>
        </w:rPr>
        <w:t>A</w:t>
      </w:r>
      <w:r w:rsidR="00866B76" w:rsidRPr="55FEB3D6">
        <w:rPr>
          <w:rFonts w:ascii="Calibri" w:eastAsia="Calibri" w:hAnsi="Calibri" w:cs="Calibri"/>
          <w:sz w:val="22"/>
          <w:szCs w:val="22"/>
        </w:rPr>
        <w:t> </w:t>
      </w:r>
      <w:r w:rsidRPr="55FEB3D6">
        <w:rPr>
          <w:rFonts w:ascii="Calibri" w:eastAsia="Calibri" w:hAnsi="Calibri" w:cs="Calibri"/>
          <w:sz w:val="22"/>
          <w:szCs w:val="22"/>
        </w:rPr>
        <w:t xml:space="preserve">lygio 14 kategorijos pareigybės </w:t>
      </w:r>
      <w:bookmarkEnd w:id="56"/>
      <w:r w:rsidRPr="55FEB3D6">
        <w:rPr>
          <w:rFonts w:ascii="Calibri" w:eastAsia="Calibri" w:hAnsi="Calibri" w:cs="Calibri"/>
          <w:sz w:val="22"/>
          <w:szCs w:val="22"/>
        </w:rPr>
        <w:t xml:space="preserve">paskirties, veiklos srities, funkcijų, specialiųjų reikalavimų skirtumus, lyginant su iki atleidimo pareiškėjos užimtomis A lygio 12 kategorijos pareigomis. Toks </w:t>
      </w:r>
      <w:r w:rsidRPr="55FEB3D6">
        <w:rPr>
          <w:rFonts w:ascii="Calibri" w:eastAsia="Calibri" w:hAnsi="Calibri" w:cs="Calibri"/>
          <w:sz w:val="22"/>
          <w:szCs w:val="22"/>
          <w:u w:val="single"/>
        </w:rPr>
        <w:t>naujai įsteigtos ir panaikintos pareiškėjos pareigybės lyginamasis vertinimas yra būtinas, kad būtų nustatyta, ar naujai įsteigtai aukštesnės kategorijos pareigybei priskirtos darbo funkcijos ir joms atlikti būtini specialieji reikalavimai yra pagrindas pripažinti, kad pareiškėja negali užimti šių pareigų įgyvendindama įstatymu jai suteiktą garantiją, nes vien tai, kad pareigybei suteikta aukštesnė kategorija, turint galvoje specifinę faktinę ir teisinę situaciją, kai pareiškėja objektyviai negalėjo pretenduoti į aukštesnės kategorijos pareigybę VTĮ nustatyta tvarka ir pagrindais, teisėjų kolegijos nepripažintina pakankamu pagrindu paneigti jai suteiktą garantiją taikant vien šį formalų (aukštesnės kategorijos) kriterijų</w:t>
      </w:r>
      <w:r w:rsidRPr="55FEB3D6">
        <w:rPr>
          <w:rFonts w:ascii="Calibri" w:eastAsia="Calibri" w:hAnsi="Calibri" w:cs="Calibri"/>
          <w:sz w:val="22"/>
          <w:szCs w:val="22"/>
        </w:rPr>
        <w:t>. Pripažinus, kad įsteigtosios pareigybės funkciniai elementai iš esmės atitinka pareiškėjos iki atleidimo užimtos pareigybės funkcinius kriterijus, būtų teisinis pagrindas prieiti prie išvados, kad šiuo konkrečiu atveju kategorijos skirtumas n</w:t>
      </w:r>
      <w:r w:rsidR="00866B76" w:rsidRPr="55FEB3D6">
        <w:rPr>
          <w:rFonts w:ascii="Calibri" w:eastAsia="Calibri" w:hAnsi="Calibri" w:cs="Calibri"/>
          <w:sz w:val="22"/>
          <w:szCs w:val="22"/>
        </w:rPr>
        <w:t>ebūtų</w:t>
      </w:r>
      <w:r w:rsidRPr="55FEB3D6">
        <w:rPr>
          <w:rFonts w:ascii="Calibri" w:eastAsia="Calibri" w:hAnsi="Calibri" w:cs="Calibri"/>
          <w:sz w:val="22"/>
          <w:szCs w:val="22"/>
        </w:rPr>
        <w:t xml:space="preserve"> lemiantis veiksnys, dėl kurio pareiškėja negalėtų grįžti būtent į šias pareigas. </w:t>
      </w:r>
      <w:r w:rsidR="00866B76" w:rsidRPr="55FEB3D6">
        <w:rPr>
          <w:rFonts w:ascii="Calibri" w:eastAsia="Calibri" w:hAnsi="Calibri" w:cs="Calibri"/>
          <w:sz w:val="22"/>
          <w:szCs w:val="22"/>
        </w:rPr>
        <w:t>LVAT pažymėjo</w:t>
      </w:r>
      <w:r w:rsidRPr="55FEB3D6">
        <w:rPr>
          <w:rFonts w:ascii="Calibri" w:eastAsia="Calibri" w:hAnsi="Calibri" w:cs="Calibri"/>
          <w:sz w:val="22"/>
          <w:szCs w:val="22"/>
        </w:rPr>
        <w:t xml:space="preserve">, kad aukštesnės kategorijos pareigybė aktualiu </w:t>
      </w:r>
      <w:r w:rsidR="00866B76" w:rsidRPr="55FEB3D6">
        <w:rPr>
          <w:rFonts w:ascii="Calibri" w:eastAsia="Calibri" w:hAnsi="Calibri" w:cs="Calibri"/>
          <w:sz w:val="22"/>
          <w:szCs w:val="22"/>
        </w:rPr>
        <w:t xml:space="preserve">apžvelgiamai </w:t>
      </w:r>
      <w:r w:rsidRPr="55FEB3D6">
        <w:rPr>
          <w:rFonts w:ascii="Calibri" w:eastAsia="Calibri" w:hAnsi="Calibri" w:cs="Calibri"/>
          <w:sz w:val="22"/>
          <w:szCs w:val="22"/>
        </w:rPr>
        <w:t>bylai laikotarpiu galėjo būti užimama valstybės tarnautojo vertinimo arba konkurso būdu (VTĮ 18 str., 22 str. 14 d. 2 p.). Akivaizdu, kad nagrinė</w:t>
      </w:r>
      <w:r w:rsidR="00866B76" w:rsidRPr="55FEB3D6">
        <w:rPr>
          <w:rFonts w:ascii="Calibri" w:eastAsia="Calibri" w:hAnsi="Calibri" w:cs="Calibri"/>
          <w:sz w:val="22"/>
          <w:szCs w:val="22"/>
        </w:rPr>
        <w:t>t</w:t>
      </w:r>
      <w:r w:rsidRPr="55FEB3D6">
        <w:rPr>
          <w:rFonts w:ascii="Calibri" w:eastAsia="Calibri" w:hAnsi="Calibri" w:cs="Calibri"/>
          <w:sz w:val="22"/>
          <w:szCs w:val="22"/>
        </w:rPr>
        <w:t>u atveju pareiškėja dėl objektyvių priežasčių – buvimo užsienio valstybėje, nei vienu iš nurodytų būdų įgyvendinti valstybės tarnautojo teisės užimti aukštesnės kategorijos pareigas negalėjo, t. y. objektyviai negalėjo būti atliekamas pareiškėjos, kaip valstybės tarnautojos, vertin</w:t>
      </w:r>
      <w:r w:rsidR="3C45283E" w:rsidRPr="55FEB3D6">
        <w:rPr>
          <w:rFonts w:ascii="Calibri" w:eastAsia="Calibri" w:hAnsi="Calibri" w:cs="Calibri"/>
          <w:sz w:val="22"/>
          <w:szCs w:val="22"/>
        </w:rPr>
        <w:t>i</w:t>
      </w:r>
      <w:r w:rsidRPr="55FEB3D6">
        <w:rPr>
          <w:rFonts w:ascii="Calibri" w:eastAsia="Calibri" w:hAnsi="Calibri" w:cs="Calibri"/>
          <w:sz w:val="22"/>
          <w:szCs w:val="22"/>
        </w:rPr>
        <w:t xml:space="preserve">mas, be to, būdama užsienyje ji faktiškai negalėjo dalyvauti ir konkurse aukštesnės kategorijos pareigoms užimti. Todėl šioje konkrečioje teisinėje situacijoje, užtikrinant ne formalų pareiškėjai įstatymu nustatytų garantijų įgyvendinimą, teisingumo principą atitiktų būtent toks situacijos vertinimas, kad </w:t>
      </w:r>
      <w:r w:rsidRPr="55FEB3D6">
        <w:rPr>
          <w:rFonts w:ascii="Calibri" w:eastAsia="Calibri" w:hAnsi="Calibri" w:cs="Calibri"/>
          <w:sz w:val="22"/>
          <w:szCs w:val="22"/>
          <w:u w:val="single"/>
        </w:rPr>
        <w:t>jeigu būtų nustatyta, jog naujai įsteigtai aukštesnės kategorijos (A lygio 14 kategorijos) pareigybei priskirtos funkcijos iš esmės yra tapačios ar jas pareiškėja de facto (lot. iš tikrųjų) vykdė iki išvykdama, jos teisė grįžti į tas pačias pareigas turėtų būti ginama ir dėl jos specifinės padėties ji turėtų būti grąžinta į A lygio 14 kategorijos pareigas</w:t>
      </w:r>
      <w:r w:rsidRPr="55FEB3D6">
        <w:rPr>
          <w:rFonts w:ascii="Calibri" w:eastAsia="Calibri" w:hAnsi="Calibri" w:cs="Calibri"/>
          <w:sz w:val="22"/>
          <w:szCs w:val="22"/>
        </w:rPr>
        <w:t xml:space="preserve">. </w:t>
      </w:r>
      <w:r w:rsidR="00866B76" w:rsidRPr="55FEB3D6">
        <w:rPr>
          <w:rFonts w:ascii="Calibri" w:eastAsia="Calibri" w:hAnsi="Calibri" w:cs="Calibri"/>
          <w:sz w:val="22"/>
          <w:szCs w:val="22"/>
        </w:rPr>
        <w:t>Tuo tarpu p</w:t>
      </w:r>
      <w:r w:rsidRPr="55FEB3D6">
        <w:rPr>
          <w:rFonts w:ascii="Calibri" w:eastAsia="Calibri" w:hAnsi="Calibri" w:cs="Calibri"/>
          <w:sz w:val="22"/>
          <w:szCs w:val="22"/>
        </w:rPr>
        <w:t>irmosios instancijos teismas tokio vertinimo neatliko</w:t>
      </w:r>
      <w:r w:rsidR="00866B76" w:rsidRPr="55FEB3D6">
        <w:rPr>
          <w:rFonts w:ascii="Calibri" w:eastAsia="Calibri" w:hAnsi="Calibri" w:cs="Calibri"/>
          <w:sz w:val="22"/>
          <w:szCs w:val="22"/>
        </w:rPr>
        <w:t>.</w:t>
      </w:r>
    </w:p>
    <w:p w14:paraId="15FD15AB" w14:textId="3A1906CD" w:rsidR="00C957CF" w:rsidRPr="005A0774" w:rsidRDefault="00866B76" w:rsidP="00C957CF">
      <w:pPr>
        <w:ind w:firstLine="567"/>
        <w:jc w:val="both"/>
        <w:rPr>
          <w:rFonts w:ascii="Calibri" w:eastAsia="Calibri" w:hAnsi="Calibri" w:cs="Calibri"/>
          <w:sz w:val="22"/>
          <w:szCs w:val="22"/>
        </w:rPr>
      </w:pPr>
      <w:r w:rsidRPr="55FEB3D6">
        <w:rPr>
          <w:rFonts w:ascii="Calibri" w:eastAsia="Calibri" w:hAnsi="Calibri" w:cs="Calibri"/>
          <w:sz w:val="22"/>
          <w:szCs w:val="22"/>
        </w:rPr>
        <w:t>LVAT pažymėjo, kad t</w:t>
      </w:r>
      <w:r w:rsidR="00C957CF" w:rsidRPr="55FEB3D6">
        <w:rPr>
          <w:rFonts w:ascii="Calibri" w:eastAsia="Calibri" w:hAnsi="Calibri" w:cs="Calibri"/>
          <w:sz w:val="22"/>
          <w:szCs w:val="22"/>
        </w:rPr>
        <w:t xml:space="preserve">uo atveju, jei būtų nustatyta, kad nėra teisinio pagrindo pareiškėją grąžinti į pareigas Susisiekimo ministerijoje, vertintina, ar buvo užtikrinta pareiškėjos teisė grįžti į kitas tos pačios kategorijos karjeros valstybės tarnautojo pareigas, nei ji ėjo iki išvykdama, toje pačioje ar kitoje valstybės ar savivaldybės institucijoje ar įstaigoje (VTĮ 16 str. 3 d.). </w:t>
      </w:r>
      <w:r w:rsidRPr="55FEB3D6">
        <w:rPr>
          <w:rFonts w:ascii="Calibri" w:eastAsia="Calibri" w:hAnsi="Calibri" w:cs="Calibri"/>
          <w:sz w:val="22"/>
          <w:szCs w:val="22"/>
        </w:rPr>
        <w:t xml:space="preserve">Teismas vertino tai, jog </w:t>
      </w:r>
      <w:r w:rsidR="00C957CF" w:rsidRPr="55FEB3D6">
        <w:rPr>
          <w:rFonts w:ascii="Calibri" w:eastAsia="Calibri" w:hAnsi="Calibri" w:cs="Calibri"/>
          <w:sz w:val="22"/>
          <w:szCs w:val="22"/>
        </w:rPr>
        <w:t>VTD valstybės tarnautojo statuso atkūrimo laikotarpiu pareiškėjai pateikė 24 pasiūlymus dėl pareigų kitose įstaigose Vilniaus mieste. Pareiškėja pati nusprendė dauguma pasiūlymų nepasinaudoti dėl įvairių priežasčių (neatitikimo pareigybės aprašyme nustatyt</w:t>
      </w:r>
      <w:r w:rsidR="1CFD0948" w:rsidRPr="55FEB3D6">
        <w:rPr>
          <w:rFonts w:ascii="Calibri" w:eastAsia="Calibri" w:hAnsi="Calibri" w:cs="Calibri"/>
          <w:sz w:val="22"/>
          <w:szCs w:val="22"/>
        </w:rPr>
        <w:t>ų</w:t>
      </w:r>
      <w:r w:rsidR="00C957CF" w:rsidRPr="55FEB3D6">
        <w:rPr>
          <w:rFonts w:ascii="Calibri" w:eastAsia="Calibri" w:hAnsi="Calibri" w:cs="Calibri"/>
          <w:sz w:val="22"/>
          <w:szCs w:val="22"/>
        </w:rPr>
        <w:t xml:space="preserve"> speciali</w:t>
      </w:r>
      <w:r w:rsidR="4DE0AD13" w:rsidRPr="55FEB3D6">
        <w:rPr>
          <w:rFonts w:ascii="Calibri" w:eastAsia="Calibri" w:hAnsi="Calibri" w:cs="Calibri"/>
          <w:sz w:val="22"/>
          <w:szCs w:val="22"/>
        </w:rPr>
        <w:t xml:space="preserve">ųjų </w:t>
      </w:r>
      <w:r w:rsidR="00C957CF" w:rsidRPr="55FEB3D6">
        <w:rPr>
          <w:rFonts w:ascii="Calibri" w:eastAsia="Calibri" w:hAnsi="Calibri" w:cs="Calibri"/>
          <w:sz w:val="22"/>
          <w:szCs w:val="22"/>
        </w:rPr>
        <w:t>reikalavim</w:t>
      </w:r>
      <w:r w:rsidR="2748AA83" w:rsidRPr="55FEB3D6">
        <w:rPr>
          <w:rFonts w:ascii="Calibri" w:eastAsia="Calibri" w:hAnsi="Calibri" w:cs="Calibri"/>
          <w:sz w:val="22"/>
          <w:szCs w:val="22"/>
        </w:rPr>
        <w:t>ų</w:t>
      </w:r>
      <w:r w:rsidR="00C957CF" w:rsidRPr="55FEB3D6">
        <w:rPr>
          <w:rFonts w:ascii="Calibri" w:eastAsia="Calibri" w:hAnsi="Calibri" w:cs="Calibri"/>
          <w:sz w:val="22"/>
          <w:szCs w:val="22"/>
        </w:rPr>
        <w:t xml:space="preserve">, būsimo institucijos perkėlimo į kitą miestą, mažesnio nei buvęs atlyginimo ir kt.). </w:t>
      </w:r>
      <w:r w:rsidR="00462322" w:rsidRPr="55FEB3D6">
        <w:rPr>
          <w:rFonts w:ascii="Calibri" w:eastAsia="Calibri" w:hAnsi="Calibri" w:cs="Calibri"/>
          <w:sz w:val="22"/>
          <w:szCs w:val="22"/>
        </w:rPr>
        <w:t>P</w:t>
      </w:r>
      <w:r w:rsidR="00C957CF" w:rsidRPr="55FEB3D6">
        <w:rPr>
          <w:rFonts w:ascii="Calibri" w:eastAsia="Calibri" w:hAnsi="Calibri" w:cs="Calibri"/>
          <w:sz w:val="22"/>
          <w:szCs w:val="22"/>
        </w:rPr>
        <w:t xml:space="preserve">areiškėja sutiko su 2 iš jai pateiktų pasiūlymų, tačiau į pareigas nebuvo priimta, nes nesurinko reikiamo balų skaičiaus pokalbiuose. Vis dėlto, </w:t>
      </w:r>
      <w:r w:rsidR="00462322" w:rsidRPr="55FEB3D6">
        <w:rPr>
          <w:rFonts w:ascii="Calibri" w:eastAsia="Calibri" w:hAnsi="Calibri" w:cs="Calibri"/>
          <w:sz w:val="22"/>
          <w:szCs w:val="22"/>
        </w:rPr>
        <w:t>LVAT</w:t>
      </w:r>
      <w:r w:rsidR="00C957CF" w:rsidRPr="55FEB3D6">
        <w:rPr>
          <w:rFonts w:ascii="Calibri" w:eastAsia="Calibri" w:hAnsi="Calibri" w:cs="Calibri"/>
          <w:sz w:val="22"/>
          <w:szCs w:val="22"/>
        </w:rPr>
        <w:t xml:space="preserve"> vertiniu, nagrinė</w:t>
      </w:r>
      <w:r w:rsidR="00462322" w:rsidRPr="55FEB3D6">
        <w:rPr>
          <w:rFonts w:ascii="Calibri" w:eastAsia="Calibri" w:hAnsi="Calibri" w:cs="Calibri"/>
          <w:sz w:val="22"/>
          <w:szCs w:val="22"/>
        </w:rPr>
        <w:t>t</w:t>
      </w:r>
      <w:r w:rsidR="00C957CF" w:rsidRPr="55FEB3D6">
        <w:rPr>
          <w:rFonts w:ascii="Calibri" w:eastAsia="Calibri" w:hAnsi="Calibri" w:cs="Calibri"/>
          <w:sz w:val="22"/>
          <w:szCs w:val="22"/>
        </w:rPr>
        <w:t xml:space="preserve">oje byloje </w:t>
      </w:r>
      <w:r w:rsidR="00C957CF" w:rsidRPr="55FEB3D6">
        <w:rPr>
          <w:rFonts w:ascii="Calibri" w:eastAsia="Calibri" w:hAnsi="Calibri" w:cs="Calibri"/>
          <w:sz w:val="22"/>
          <w:szCs w:val="22"/>
          <w:u w:val="single"/>
        </w:rPr>
        <w:t>tur</w:t>
      </w:r>
      <w:r w:rsidR="00462322" w:rsidRPr="55FEB3D6">
        <w:rPr>
          <w:rFonts w:ascii="Calibri" w:eastAsia="Calibri" w:hAnsi="Calibri" w:cs="Calibri"/>
          <w:sz w:val="22"/>
          <w:szCs w:val="22"/>
          <w:u w:val="single"/>
        </w:rPr>
        <w:t>ėjo</w:t>
      </w:r>
      <w:r w:rsidR="00C957CF" w:rsidRPr="55FEB3D6">
        <w:rPr>
          <w:rFonts w:ascii="Calibri" w:eastAsia="Calibri" w:hAnsi="Calibri" w:cs="Calibri"/>
          <w:sz w:val="22"/>
          <w:szCs w:val="22"/>
          <w:u w:val="single"/>
        </w:rPr>
        <w:t xml:space="preserve"> būti nustatyta ne tik tai, ar VTD apskritai teikė pareiškėjai pasiūlymus dėl įvairių pareigybių, bet ar jis tai darė laikydamasis teisės aktų reikalavimų ir ar nebuvo pažeistos pareiškėjos teisės VTD siūlant jai užimti kitas karjeros valstybės tarnautojo pareigas toje pačioje ar kitoje valstybės ar savivaldybės institucijoje ar įstaigoje</w:t>
      </w:r>
      <w:r w:rsidR="00C957CF" w:rsidRPr="55FEB3D6">
        <w:rPr>
          <w:rFonts w:ascii="Calibri" w:eastAsia="Calibri" w:hAnsi="Calibri" w:cs="Calibri"/>
          <w:sz w:val="22"/>
          <w:szCs w:val="22"/>
        </w:rPr>
        <w:t xml:space="preserve">. </w:t>
      </w:r>
    </w:p>
    <w:p w14:paraId="7769B4D6" w14:textId="343209CA" w:rsidR="00C957CF" w:rsidRPr="005A0774" w:rsidRDefault="002712B9" w:rsidP="00C957CF">
      <w:pPr>
        <w:ind w:firstLine="567"/>
        <w:jc w:val="both"/>
        <w:rPr>
          <w:rFonts w:ascii="Calibri" w:eastAsia="Calibri" w:hAnsi="Calibri" w:cs="Calibri"/>
          <w:sz w:val="22"/>
          <w:szCs w:val="22"/>
        </w:rPr>
      </w:pPr>
      <w:r w:rsidRPr="005A0774">
        <w:rPr>
          <w:rFonts w:ascii="Calibri" w:eastAsia="Calibri" w:hAnsi="Calibri" w:cs="Calibri"/>
          <w:sz w:val="22"/>
          <w:szCs w:val="22"/>
        </w:rPr>
        <w:t xml:space="preserve">Teisėjų kolegija, įvertinusi Taisyklių 2, 6, </w:t>
      </w:r>
      <w:r w:rsidR="00C957CF" w:rsidRPr="005A0774">
        <w:rPr>
          <w:rFonts w:ascii="Calibri" w:eastAsia="Calibri" w:hAnsi="Calibri" w:cs="Calibri"/>
          <w:sz w:val="22"/>
          <w:szCs w:val="22"/>
        </w:rPr>
        <w:t xml:space="preserve">8 punktuose </w:t>
      </w:r>
      <w:r w:rsidRPr="005A0774">
        <w:rPr>
          <w:rFonts w:ascii="Calibri" w:eastAsia="Calibri" w:hAnsi="Calibri" w:cs="Calibri"/>
          <w:sz w:val="22"/>
          <w:szCs w:val="22"/>
        </w:rPr>
        <w:t>įtvirtintą</w:t>
      </w:r>
      <w:r w:rsidR="00C957CF" w:rsidRPr="005A0774">
        <w:rPr>
          <w:rFonts w:ascii="Calibri" w:eastAsia="Calibri" w:hAnsi="Calibri" w:cs="Calibri"/>
          <w:sz w:val="22"/>
          <w:szCs w:val="22"/>
        </w:rPr>
        <w:t xml:space="preserve"> teisin</w:t>
      </w:r>
      <w:r w:rsidRPr="005A0774">
        <w:rPr>
          <w:rFonts w:ascii="Calibri" w:eastAsia="Calibri" w:hAnsi="Calibri" w:cs="Calibri"/>
          <w:sz w:val="22"/>
          <w:szCs w:val="22"/>
        </w:rPr>
        <w:t xml:space="preserve">į </w:t>
      </w:r>
      <w:r w:rsidR="00C957CF" w:rsidRPr="005A0774">
        <w:rPr>
          <w:rFonts w:ascii="Calibri" w:eastAsia="Calibri" w:hAnsi="Calibri" w:cs="Calibri"/>
          <w:sz w:val="22"/>
          <w:szCs w:val="22"/>
        </w:rPr>
        <w:t>reguliavim</w:t>
      </w:r>
      <w:r w:rsidRPr="005A0774">
        <w:rPr>
          <w:rFonts w:ascii="Calibri" w:eastAsia="Calibri" w:hAnsi="Calibri" w:cs="Calibri"/>
          <w:sz w:val="22"/>
          <w:szCs w:val="22"/>
        </w:rPr>
        <w:t>ą</w:t>
      </w:r>
      <w:r w:rsidR="00C957CF" w:rsidRPr="005A0774">
        <w:rPr>
          <w:rFonts w:ascii="Calibri" w:eastAsia="Calibri" w:hAnsi="Calibri" w:cs="Calibri"/>
          <w:sz w:val="22"/>
          <w:szCs w:val="22"/>
        </w:rPr>
        <w:t>,</w:t>
      </w:r>
      <w:r w:rsidRPr="005A0774">
        <w:rPr>
          <w:rFonts w:ascii="Calibri" w:eastAsia="Calibri" w:hAnsi="Calibri" w:cs="Calibri"/>
          <w:sz w:val="22"/>
          <w:szCs w:val="22"/>
        </w:rPr>
        <w:t xml:space="preserve"> konstatavo, jog</w:t>
      </w:r>
      <w:r w:rsidR="00C957CF" w:rsidRPr="005A0774">
        <w:rPr>
          <w:rFonts w:ascii="Calibri" w:eastAsia="Calibri" w:hAnsi="Calibri" w:cs="Calibri"/>
          <w:sz w:val="22"/>
          <w:szCs w:val="22"/>
        </w:rPr>
        <w:t xml:space="preserve"> </w:t>
      </w:r>
      <w:r w:rsidR="00C957CF" w:rsidRPr="005A0774">
        <w:rPr>
          <w:rFonts w:ascii="Calibri" w:eastAsia="Calibri" w:hAnsi="Calibri" w:cs="Calibri"/>
          <w:sz w:val="22"/>
          <w:szCs w:val="22"/>
          <w:u w:val="single"/>
        </w:rPr>
        <w:t>asmens teisė atkurti karjeros valstybės tarnautojo statusą ir atitinkamai VTD pareiga teikti buvusiam valstybės tarnautojui, siekiančiam atkurti karjeros valstybės tarnautojo statusą, rašytinius pasiūlymus grįžti į eitas pareigas arba, jeigu tokios galimybės nėra, eiti kitas tos pačios kategorijos karjeros valstybės tarnautojo pareigas toje pačioje ar kitoje įstaigoje nėra absoliuti ir neterminuota, jai taikomas 3 mėnesių įgyvendinimo terminas</w:t>
      </w:r>
      <w:r w:rsidR="00C957CF" w:rsidRPr="005A0774">
        <w:rPr>
          <w:rFonts w:ascii="Calibri" w:eastAsia="Calibri" w:hAnsi="Calibri" w:cs="Calibri"/>
          <w:sz w:val="22"/>
          <w:szCs w:val="22"/>
        </w:rPr>
        <w:t xml:space="preserve">. </w:t>
      </w:r>
      <w:r w:rsidR="00C957CF" w:rsidRPr="005A0774">
        <w:rPr>
          <w:rFonts w:ascii="Calibri" w:eastAsia="Calibri" w:hAnsi="Calibri" w:cs="Calibri"/>
          <w:sz w:val="22"/>
          <w:szCs w:val="22"/>
        </w:rPr>
        <w:lastRenderedPageBreak/>
        <w:t xml:space="preserve">Todėl svarbu įvertinti, ar visą valstybės tarnautojo statuso atkūrimo laikotarpį VTD tinkamai vykdė pareigas, susijusias su laisvų, kitų nei ji užėmė iki išvykdama, pareigybių pareiškėjai siūlymu. Be kita ko, vertintina, ar po to, kai pareiškėja po pokalbių institucijose, kuriose ji siekė atkurti valstybės tarnautojo statusą be konkurso, tačiau nesurinko pakankamo balų kiekio, pareiškėjai buvo pasiūlytos kitos pareigos, kurių reikalavimus ji atitinka, ir ar ji turėjo galimybę jas rinktis. Tuo atveju, </w:t>
      </w:r>
      <w:r w:rsidR="00C957CF" w:rsidRPr="005A0774">
        <w:rPr>
          <w:rFonts w:ascii="Calibri" w:eastAsia="Calibri" w:hAnsi="Calibri" w:cs="Calibri"/>
          <w:sz w:val="22"/>
          <w:szCs w:val="22"/>
          <w:u w:val="single"/>
        </w:rPr>
        <w:t>jei VTD netinkamai vykdė savo pareigas, susijusias su pareigybių siūlymu pareiškėjai, pirmosios instancijos teismas turėtų svarstyti klausimą dėl valstybės tarnautojo statuso atkūrimo termino atnaujinimo ir naujai nustatomo termino trukmės</w:t>
      </w:r>
      <w:r w:rsidR="00C957CF" w:rsidRPr="005A0774">
        <w:rPr>
          <w:rFonts w:ascii="Calibri" w:eastAsia="Calibri" w:hAnsi="Calibri" w:cs="Calibri"/>
          <w:sz w:val="22"/>
          <w:szCs w:val="22"/>
        </w:rPr>
        <w:t>. Tuo atveju, jeigu pareiškėjos teisės, siūlant jai pareigas, buvo pažeistos tik po to, kai ji dalyvavo pokalbiuose, šiuo konkrečiu atveju naujai nustatomo termino trukmė turėtų atitikti laikotarpį, kuris buvo likęs po paskutinio pokalbio iki valstybės tarnautojo statuso atkūrimo laikotarpio pabaigos. Taip pat turi būti vertinama, ar VTD pareiškėjai pateikė pasiūlymus eiti visas tos pačios kategorijos karjeros valstybės tarnautojo pareigas toje pačioje ar kitoje įstaigoje Vilniaus mieste, dėl kurių Valstybės tarnybos valdymo informacinėje sistemoje ginčui aktualiu laikotarpiu (valstybės tarnautojo statuso atkūrimo laikotarpiu) buvo gautas prašymas paskelbti konkursą valstybės tarnautojo pareigoms, kurių reikalavimus pareiškėja atiti</w:t>
      </w:r>
      <w:r w:rsidRPr="005A0774">
        <w:rPr>
          <w:rFonts w:ascii="Calibri" w:eastAsia="Calibri" w:hAnsi="Calibri" w:cs="Calibri"/>
          <w:sz w:val="22"/>
          <w:szCs w:val="22"/>
        </w:rPr>
        <w:t>ko</w:t>
      </w:r>
      <w:r w:rsidR="00C957CF" w:rsidRPr="005A0774">
        <w:rPr>
          <w:rFonts w:ascii="Calibri" w:eastAsia="Calibri" w:hAnsi="Calibri" w:cs="Calibri"/>
          <w:sz w:val="22"/>
          <w:szCs w:val="22"/>
        </w:rPr>
        <w:t xml:space="preserve"> (VTĮ 16 str. 3 d., Taisyklių 2, 6, 8 p.). Pirmosios instancijos teismas šių aplinkybių nesiaiškino ir neišreikalavo joms nustatyti reikšmingų įrodymų.</w:t>
      </w:r>
    </w:p>
    <w:p w14:paraId="63A0CC54" w14:textId="5CBAC60A" w:rsidR="00C957CF" w:rsidRPr="005A0774" w:rsidRDefault="00C957CF" w:rsidP="00C957CF">
      <w:pPr>
        <w:ind w:firstLine="567"/>
        <w:jc w:val="both"/>
        <w:rPr>
          <w:rFonts w:ascii="Calibri" w:eastAsia="Calibri" w:hAnsi="Calibri" w:cs="Calibri"/>
          <w:sz w:val="22"/>
          <w:szCs w:val="22"/>
        </w:rPr>
      </w:pPr>
      <w:r w:rsidRPr="005A0774">
        <w:rPr>
          <w:rFonts w:ascii="Calibri" w:eastAsia="Calibri" w:hAnsi="Calibri" w:cs="Calibri"/>
          <w:sz w:val="22"/>
          <w:szCs w:val="22"/>
        </w:rPr>
        <w:t>Apibendrin</w:t>
      </w:r>
      <w:r w:rsidR="002712B9" w:rsidRPr="005A0774">
        <w:rPr>
          <w:rFonts w:ascii="Calibri" w:eastAsia="Calibri" w:hAnsi="Calibri" w:cs="Calibri"/>
          <w:sz w:val="22"/>
          <w:szCs w:val="22"/>
        </w:rPr>
        <w:t>usi</w:t>
      </w:r>
      <w:r w:rsidRPr="005A0774">
        <w:rPr>
          <w:rFonts w:ascii="Calibri" w:eastAsia="Calibri" w:hAnsi="Calibri" w:cs="Calibri"/>
          <w:sz w:val="22"/>
          <w:szCs w:val="22"/>
        </w:rPr>
        <w:t xml:space="preserve"> tai, kas išdėstyta,</w:t>
      </w:r>
      <w:r w:rsidR="002712B9" w:rsidRPr="005A0774">
        <w:rPr>
          <w:rFonts w:ascii="Calibri" w:eastAsia="Calibri" w:hAnsi="Calibri" w:cs="Calibri"/>
          <w:sz w:val="22"/>
          <w:szCs w:val="22"/>
        </w:rPr>
        <w:t xml:space="preserve"> teisėjų kolegija</w:t>
      </w:r>
      <w:r w:rsidRPr="005A0774">
        <w:rPr>
          <w:rFonts w:ascii="Calibri" w:eastAsia="Calibri" w:hAnsi="Calibri" w:cs="Calibri"/>
          <w:sz w:val="22"/>
          <w:szCs w:val="22"/>
        </w:rPr>
        <w:t xml:space="preserve"> konstat</w:t>
      </w:r>
      <w:r w:rsidR="002712B9" w:rsidRPr="005A0774">
        <w:rPr>
          <w:rFonts w:ascii="Calibri" w:eastAsia="Calibri" w:hAnsi="Calibri" w:cs="Calibri"/>
          <w:sz w:val="22"/>
          <w:szCs w:val="22"/>
        </w:rPr>
        <w:t>avo</w:t>
      </w:r>
      <w:r w:rsidRPr="005A0774">
        <w:rPr>
          <w:rFonts w:ascii="Calibri" w:eastAsia="Calibri" w:hAnsi="Calibri" w:cs="Calibri"/>
          <w:sz w:val="22"/>
          <w:szCs w:val="22"/>
        </w:rPr>
        <w:t>, kad pirmosios instancijos teismas bylą išnagrinėjo nevisapusiškai, tinkamai nenustatė visų bylai reikšmingų aplinkybių, nesurinko įrodymų, reikšmingų bylai išspręsti, aiškiai nemotyvavo savo išvadų, dėl to galbūt neteisingai išnagrinėjo bylą bei tuo pagrindu galėjo priimti neteisėtą ir nepagrįstą sprendimą. Dėl to pirmosios instancijos teismo sprendimas negal</w:t>
      </w:r>
      <w:r w:rsidR="002712B9" w:rsidRPr="005A0774">
        <w:rPr>
          <w:rFonts w:ascii="Calibri" w:eastAsia="Calibri" w:hAnsi="Calibri" w:cs="Calibri"/>
          <w:sz w:val="22"/>
          <w:szCs w:val="22"/>
        </w:rPr>
        <w:t>ėjo</w:t>
      </w:r>
      <w:r w:rsidRPr="005A0774">
        <w:rPr>
          <w:rFonts w:ascii="Calibri" w:eastAsia="Calibri" w:hAnsi="Calibri" w:cs="Calibri"/>
          <w:sz w:val="22"/>
          <w:szCs w:val="22"/>
        </w:rPr>
        <w:t xml:space="preserve"> būti pripažintas pagrįstu ir teisėtu, todėl panaikintas.</w:t>
      </w:r>
    </w:p>
    <w:p w14:paraId="32C80FB3" w14:textId="7174D8FB" w:rsidR="00EB7508" w:rsidRPr="005A0774" w:rsidRDefault="00EB7508" w:rsidP="00C957CF">
      <w:pPr>
        <w:ind w:firstLine="567"/>
        <w:jc w:val="both"/>
        <w:rPr>
          <w:rFonts w:ascii="Calibri" w:eastAsia="Calibri" w:hAnsi="Calibri" w:cs="Calibri"/>
          <w:sz w:val="22"/>
          <w:szCs w:val="22"/>
        </w:rPr>
      </w:pPr>
    </w:p>
    <w:p w14:paraId="0BAD9A15" w14:textId="7EC3C63F" w:rsidR="006704A0" w:rsidRPr="005A0774" w:rsidRDefault="006704A0" w:rsidP="006704A0">
      <w:pPr>
        <w:jc w:val="both"/>
        <w:rPr>
          <w:rFonts w:ascii="Calibri" w:hAnsi="Calibri" w:cs="Calibri"/>
          <w:sz w:val="22"/>
          <w:szCs w:val="22"/>
        </w:rPr>
      </w:pPr>
      <w:r w:rsidRPr="005A0774">
        <w:rPr>
          <w:rFonts w:ascii="Calibri" w:hAnsi="Calibri" w:cs="Calibri"/>
          <w:sz w:val="22"/>
          <w:szCs w:val="22"/>
        </w:rPr>
        <w:t>2020 m. lapkričio 18 d. nutartis administracinėje byloje Nr. eA-1810-261/2020</w:t>
      </w:r>
    </w:p>
    <w:p w14:paraId="1DFCDFB6" w14:textId="77777777" w:rsidR="006704A0" w:rsidRPr="005A0774" w:rsidRDefault="006704A0" w:rsidP="006704A0">
      <w:pPr>
        <w:jc w:val="both"/>
        <w:rPr>
          <w:rFonts w:ascii="Calibri" w:hAnsi="Calibri" w:cs="Calibri"/>
          <w:sz w:val="22"/>
          <w:szCs w:val="22"/>
        </w:rPr>
      </w:pPr>
      <w:r w:rsidRPr="005A0774">
        <w:rPr>
          <w:rFonts w:ascii="Calibri" w:hAnsi="Calibri" w:cs="Calibri"/>
          <w:sz w:val="22"/>
          <w:szCs w:val="22"/>
        </w:rPr>
        <w:t>Teisminio proceso Nr. 3-61-3-03700-2018-4</w:t>
      </w:r>
    </w:p>
    <w:p w14:paraId="091F18EB" w14:textId="6E635502" w:rsidR="006704A0" w:rsidRPr="005A0774" w:rsidRDefault="006704A0" w:rsidP="006704A0">
      <w:pPr>
        <w:jc w:val="both"/>
        <w:rPr>
          <w:rFonts w:ascii="Calibri" w:hAnsi="Calibri" w:cs="Calibri"/>
          <w:sz w:val="22"/>
          <w:szCs w:val="22"/>
        </w:rPr>
      </w:pPr>
      <w:r w:rsidRPr="005A0774">
        <w:rPr>
          <w:rFonts w:ascii="Calibri" w:hAnsi="Calibri" w:cs="Calibri"/>
          <w:sz w:val="22"/>
          <w:szCs w:val="22"/>
        </w:rPr>
        <w:t>Procesinio sprendimo kategorija 22.4.4</w:t>
      </w:r>
    </w:p>
    <w:p w14:paraId="73C11B32" w14:textId="667EAA11" w:rsidR="006704A0" w:rsidRPr="005A0774" w:rsidRDefault="00822FF8" w:rsidP="006704A0">
      <w:pPr>
        <w:jc w:val="both"/>
        <w:rPr>
          <w:rFonts w:ascii="Calibri" w:hAnsi="Calibri" w:cs="Calibri"/>
          <w:sz w:val="22"/>
          <w:szCs w:val="22"/>
        </w:rPr>
      </w:pPr>
      <w:hyperlink r:id="rId25" w:history="1">
        <w:r w:rsidR="006704A0" w:rsidRPr="005A0774">
          <w:rPr>
            <w:rStyle w:val="Hipersaitas"/>
            <w:rFonts w:ascii="Calibri" w:hAnsi="Calibri" w:cs="Calibri"/>
            <w:sz w:val="22"/>
            <w:szCs w:val="22"/>
          </w:rPr>
          <w:t>Prieiga internete</w:t>
        </w:r>
      </w:hyperlink>
      <w:r w:rsidR="006704A0" w:rsidRPr="005A0774">
        <w:rPr>
          <w:rFonts w:ascii="Calibri" w:hAnsi="Calibri" w:cs="Calibri"/>
          <w:sz w:val="22"/>
          <w:szCs w:val="22"/>
        </w:rPr>
        <w:t xml:space="preserve"> </w:t>
      </w:r>
    </w:p>
    <w:p w14:paraId="2AB519CF" w14:textId="090BB402" w:rsidR="00C957CF" w:rsidRPr="005A0774" w:rsidRDefault="00C957CF" w:rsidP="007412F7">
      <w:pPr>
        <w:shd w:val="clear" w:color="auto" w:fill="FFFFFF"/>
        <w:tabs>
          <w:tab w:val="left" w:pos="3119"/>
        </w:tabs>
        <w:ind w:right="-1" w:firstLine="567"/>
        <w:jc w:val="both"/>
        <w:rPr>
          <w:rFonts w:ascii="Calibri" w:hAnsi="Calibri" w:cs="Calibri"/>
          <w:b/>
          <w:sz w:val="22"/>
          <w:szCs w:val="22"/>
          <w:u w:val="single"/>
        </w:rPr>
      </w:pPr>
    </w:p>
    <w:p w14:paraId="4FECC1C2" w14:textId="77777777" w:rsidR="002A7F25" w:rsidRPr="002A7F25" w:rsidRDefault="002A7F25" w:rsidP="002A7F25">
      <w:pPr>
        <w:keepNext/>
        <w:tabs>
          <w:tab w:val="left" w:pos="567"/>
        </w:tabs>
        <w:jc w:val="both"/>
        <w:outlineLvl w:val="0"/>
        <w:rPr>
          <w:rFonts w:ascii="Calibri" w:hAnsi="Calibri" w:cs="Calibri"/>
          <w:b/>
          <w:sz w:val="22"/>
          <w:szCs w:val="22"/>
          <w:u w:val="single"/>
        </w:rPr>
      </w:pPr>
      <w:bookmarkStart w:id="57" w:name="_Toc462149987"/>
      <w:bookmarkStart w:id="58" w:name="_Toc61261246"/>
      <w:r w:rsidRPr="002A7F25">
        <w:rPr>
          <w:rFonts w:ascii="Calibri" w:hAnsi="Calibri" w:cs="Calibri"/>
          <w:b/>
          <w:sz w:val="22"/>
          <w:szCs w:val="22"/>
          <w:u w:val="single"/>
        </w:rPr>
        <w:t>23. Vyriausiosios tarnybinės etikos komisijos sprendimai</w:t>
      </w:r>
      <w:bookmarkEnd w:id="57"/>
      <w:bookmarkEnd w:id="58"/>
    </w:p>
    <w:p w14:paraId="738163A3" w14:textId="77777777" w:rsidR="002A7F25" w:rsidRPr="002A7F25" w:rsidRDefault="002A7F25" w:rsidP="002A7F25">
      <w:pPr>
        <w:tabs>
          <w:tab w:val="left" w:pos="567"/>
        </w:tabs>
        <w:ind w:left="567"/>
        <w:rPr>
          <w:rFonts w:ascii="Calibri" w:hAnsi="Calibri" w:cs="Calibri"/>
          <w:b/>
          <w:sz w:val="22"/>
          <w:szCs w:val="22"/>
          <w:u w:val="single"/>
        </w:rPr>
      </w:pPr>
      <w:r w:rsidRPr="002A7F25">
        <w:rPr>
          <w:rFonts w:ascii="Calibri" w:hAnsi="Calibri" w:cs="Calibri"/>
          <w:b/>
          <w:sz w:val="22"/>
          <w:szCs w:val="22"/>
          <w:u w:val="single"/>
        </w:rPr>
        <w:t xml:space="preserve">23.4. Kiti su Vyriausiosios tarnybinės etikos komisijos sprendimais susiję klausimai </w:t>
      </w:r>
    </w:p>
    <w:p w14:paraId="5CE995E5" w14:textId="08284E48" w:rsidR="00C957CF" w:rsidRPr="005A0774" w:rsidRDefault="00C957CF" w:rsidP="007412F7">
      <w:pPr>
        <w:shd w:val="clear" w:color="auto" w:fill="FFFFFF"/>
        <w:tabs>
          <w:tab w:val="left" w:pos="3119"/>
        </w:tabs>
        <w:ind w:right="-1" w:firstLine="567"/>
        <w:jc w:val="both"/>
        <w:rPr>
          <w:rFonts w:ascii="Calibri" w:hAnsi="Calibri" w:cs="Calibri"/>
          <w:b/>
          <w:sz w:val="22"/>
          <w:szCs w:val="22"/>
          <w:u w:val="single"/>
        </w:rPr>
      </w:pPr>
    </w:p>
    <w:p w14:paraId="0D4FE82A" w14:textId="2D6EED2F" w:rsidR="00C957CF" w:rsidRPr="002A7F25" w:rsidRDefault="002A7F25" w:rsidP="002A7F25">
      <w:pPr>
        <w:jc w:val="both"/>
        <w:outlineLvl w:val="1"/>
        <w:rPr>
          <w:rFonts w:ascii="Calibri" w:eastAsia="Calibri" w:hAnsi="Calibri" w:cs="Calibri"/>
          <w:i/>
          <w:sz w:val="22"/>
          <w:szCs w:val="22"/>
        </w:rPr>
      </w:pPr>
      <w:bookmarkStart w:id="59" w:name="_Toc61261247"/>
      <w:r>
        <w:rPr>
          <w:rFonts w:ascii="Calibri" w:eastAsia="Calibri" w:hAnsi="Calibri" w:cs="Calibri"/>
          <w:i/>
          <w:sz w:val="22"/>
          <w:szCs w:val="22"/>
        </w:rPr>
        <w:t>Dėl VTEK raštų apskundimo</w:t>
      </w:r>
      <w:r w:rsidR="00A60CBA">
        <w:rPr>
          <w:rFonts w:ascii="Calibri" w:eastAsia="Calibri" w:hAnsi="Calibri" w:cs="Calibri"/>
          <w:i/>
          <w:sz w:val="22"/>
          <w:szCs w:val="22"/>
        </w:rPr>
        <w:t xml:space="preserve"> tvarkos</w:t>
      </w:r>
      <w:bookmarkEnd w:id="59"/>
    </w:p>
    <w:p w14:paraId="1712C88F" w14:textId="77777777" w:rsidR="002A7F25" w:rsidRDefault="002A7F25" w:rsidP="007412F7">
      <w:pPr>
        <w:shd w:val="clear" w:color="auto" w:fill="FFFFFF"/>
        <w:tabs>
          <w:tab w:val="left" w:pos="3119"/>
        </w:tabs>
        <w:ind w:right="-1" w:firstLine="567"/>
        <w:jc w:val="both"/>
        <w:rPr>
          <w:rFonts w:ascii="Calibri" w:hAnsi="Calibri" w:cs="Calibri"/>
          <w:b/>
          <w:sz w:val="22"/>
          <w:szCs w:val="22"/>
          <w:u w:val="single"/>
        </w:rPr>
      </w:pPr>
    </w:p>
    <w:p w14:paraId="32C21216" w14:textId="666FA862" w:rsidR="002A7F25" w:rsidRPr="002A7F25" w:rsidRDefault="002A7F25" w:rsidP="002A7F25">
      <w:pPr>
        <w:ind w:firstLine="567"/>
        <w:jc w:val="both"/>
        <w:rPr>
          <w:rFonts w:ascii="Calibri" w:eastAsia="Calibri" w:hAnsi="Calibri" w:cs="Calibri"/>
          <w:sz w:val="22"/>
          <w:szCs w:val="22"/>
          <w:lang w:bidi="lt-LT"/>
        </w:rPr>
      </w:pPr>
      <w:r w:rsidRPr="002A7F25">
        <w:rPr>
          <w:rFonts w:ascii="Calibri" w:eastAsia="Calibri" w:hAnsi="Calibri" w:cs="Calibri"/>
          <w:sz w:val="22"/>
          <w:szCs w:val="22"/>
          <w:lang w:bidi="lt-LT"/>
        </w:rPr>
        <w:t xml:space="preserve">Ginčas </w:t>
      </w:r>
      <w:r>
        <w:rPr>
          <w:rFonts w:ascii="Calibri" w:eastAsia="Calibri" w:hAnsi="Calibri" w:cs="Calibri"/>
          <w:sz w:val="22"/>
          <w:szCs w:val="22"/>
          <w:lang w:bidi="lt-LT"/>
        </w:rPr>
        <w:t>apžvelgiamoje</w:t>
      </w:r>
      <w:r w:rsidRPr="002A7F25">
        <w:rPr>
          <w:rFonts w:ascii="Calibri" w:eastAsia="Calibri" w:hAnsi="Calibri" w:cs="Calibri"/>
          <w:sz w:val="22"/>
          <w:szCs w:val="22"/>
          <w:lang w:bidi="lt-LT"/>
        </w:rPr>
        <w:t xml:space="preserve"> byloje kilo dėl </w:t>
      </w:r>
      <w:r>
        <w:rPr>
          <w:rFonts w:ascii="Calibri" w:eastAsia="Calibri" w:hAnsi="Calibri" w:cs="Calibri"/>
          <w:sz w:val="22"/>
          <w:szCs w:val="22"/>
          <w:lang w:bidi="lt-LT"/>
        </w:rPr>
        <w:t xml:space="preserve">Lietuvos administracinių ginčų komisijos (toliau – </w:t>
      </w:r>
      <w:r w:rsidRPr="002A7F25">
        <w:rPr>
          <w:rFonts w:ascii="Calibri" w:eastAsia="Calibri" w:hAnsi="Calibri" w:cs="Calibri"/>
          <w:sz w:val="22"/>
          <w:szCs w:val="22"/>
          <w:lang w:bidi="lt-LT"/>
        </w:rPr>
        <w:t>LAGK</w:t>
      </w:r>
      <w:r>
        <w:rPr>
          <w:rFonts w:ascii="Calibri" w:eastAsia="Calibri" w:hAnsi="Calibri" w:cs="Calibri"/>
          <w:sz w:val="22"/>
          <w:szCs w:val="22"/>
          <w:lang w:bidi="lt-LT"/>
        </w:rPr>
        <w:t>)</w:t>
      </w:r>
      <w:r w:rsidRPr="002A7F25">
        <w:rPr>
          <w:rFonts w:ascii="Calibri" w:eastAsia="Calibri" w:hAnsi="Calibri" w:cs="Calibri"/>
          <w:sz w:val="22"/>
          <w:szCs w:val="22"/>
          <w:lang w:bidi="lt-LT"/>
        </w:rPr>
        <w:t xml:space="preserve"> Sprendimo, kuriuo atsisakyta priimti UAB „Alfa Media“ skundą, pagrįstumo ir teisėtumo.</w:t>
      </w:r>
      <w:r>
        <w:rPr>
          <w:rFonts w:ascii="Calibri" w:eastAsia="Calibri" w:hAnsi="Calibri" w:cs="Calibri"/>
          <w:sz w:val="22"/>
          <w:szCs w:val="22"/>
          <w:lang w:bidi="lt-LT"/>
        </w:rPr>
        <w:t xml:space="preserve"> </w:t>
      </w:r>
      <w:r w:rsidRPr="002A7F25">
        <w:rPr>
          <w:rFonts w:ascii="Calibri" w:eastAsia="Calibri" w:hAnsi="Calibri" w:cs="Calibri"/>
          <w:sz w:val="22"/>
          <w:szCs w:val="22"/>
          <w:lang w:bidi="lt-LT"/>
        </w:rPr>
        <w:t xml:space="preserve">Pirmosios instancijos teismas, nustatęs, kad </w:t>
      </w:r>
      <w:r>
        <w:rPr>
          <w:rFonts w:ascii="Calibri" w:eastAsia="Calibri" w:hAnsi="Calibri" w:cs="Calibri"/>
          <w:sz w:val="22"/>
          <w:szCs w:val="22"/>
          <w:lang w:bidi="lt-LT"/>
        </w:rPr>
        <w:t xml:space="preserve">Vyriausiosios tarnybinės etikos komisijos (toliau – </w:t>
      </w:r>
      <w:r w:rsidRPr="002A7F25">
        <w:rPr>
          <w:rFonts w:ascii="Calibri" w:eastAsia="Calibri" w:hAnsi="Calibri" w:cs="Calibri"/>
          <w:sz w:val="22"/>
          <w:szCs w:val="22"/>
          <w:lang w:bidi="lt-LT"/>
        </w:rPr>
        <w:t>VTEK</w:t>
      </w:r>
      <w:r>
        <w:rPr>
          <w:rFonts w:ascii="Calibri" w:eastAsia="Calibri" w:hAnsi="Calibri" w:cs="Calibri"/>
          <w:sz w:val="22"/>
          <w:szCs w:val="22"/>
          <w:lang w:bidi="lt-LT"/>
        </w:rPr>
        <w:t>)</w:t>
      </w:r>
      <w:r w:rsidRPr="002A7F25">
        <w:rPr>
          <w:rFonts w:ascii="Calibri" w:eastAsia="Calibri" w:hAnsi="Calibri" w:cs="Calibri"/>
          <w:sz w:val="22"/>
          <w:szCs w:val="22"/>
          <w:lang w:bidi="lt-LT"/>
        </w:rPr>
        <w:t xml:space="preserve"> atsakymas nelaikytinas VTEK sprendimu </w:t>
      </w:r>
      <w:r>
        <w:rPr>
          <w:rFonts w:ascii="Calibri" w:eastAsia="Calibri" w:hAnsi="Calibri" w:cs="Calibri"/>
          <w:sz w:val="22"/>
          <w:szCs w:val="22"/>
          <w:lang w:bidi="lt-LT"/>
        </w:rPr>
        <w:t xml:space="preserve">Vyriausiosios tarnybinės etikos komisijos įstatymo (toliau – </w:t>
      </w:r>
      <w:r w:rsidRPr="002A7F25">
        <w:rPr>
          <w:rFonts w:ascii="Calibri" w:eastAsia="Calibri" w:hAnsi="Calibri" w:cs="Calibri"/>
          <w:sz w:val="22"/>
          <w:szCs w:val="22"/>
          <w:lang w:bidi="lt-LT"/>
        </w:rPr>
        <w:t>VTEKĮ</w:t>
      </w:r>
      <w:r>
        <w:rPr>
          <w:rFonts w:ascii="Calibri" w:eastAsia="Calibri" w:hAnsi="Calibri" w:cs="Calibri"/>
          <w:sz w:val="22"/>
          <w:szCs w:val="22"/>
          <w:lang w:bidi="lt-LT"/>
        </w:rPr>
        <w:t>)</w:t>
      </w:r>
      <w:r w:rsidRPr="002A7F25">
        <w:rPr>
          <w:rFonts w:ascii="Calibri" w:eastAsia="Calibri" w:hAnsi="Calibri" w:cs="Calibri"/>
          <w:sz w:val="22"/>
          <w:szCs w:val="22"/>
          <w:lang w:bidi="lt-LT"/>
        </w:rPr>
        <w:t xml:space="preserve"> 29 straipsnio prasme, tenkino pareiškėjo skundą – panaikino LAGK Sprendimą ir perdavė pareiškėjo skundą LAGK nagrinėti iš naujo.</w:t>
      </w:r>
      <w:r w:rsidR="00CF435F">
        <w:rPr>
          <w:rFonts w:ascii="Calibri" w:eastAsia="Calibri" w:hAnsi="Calibri" w:cs="Calibri"/>
          <w:sz w:val="22"/>
          <w:szCs w:val="22"/>
          <w:lang w:bidi="lt-LT"/>
        </w:rPr>
        <w:t xml:space="preserve"> </w:t>
      </w:r>
      <w:r w:rsidRPr="002A7F25">
        <w:rPr>
          <w:rFonts w:ascii="Calibri" w:eastAsia="Calibri" w:hAnsi="Calibri" w:cs="Calibri"/>
          <w:sz w:val="22"/>
          <w:szCs w:val="22"/>
          <w:lang w:bidi="lt-LT"/>
        </w:rPr>
        <w:t>Atsakovas VTEK su tokia pirmosios instancijos teismo išvada nesuti</w:t>
      </w:r>
      <w:r w:rsidR="00CF435F">
        <w:rPr>
          <w:rFonts w:ascii="Calibri" w:eastAsia="Calibri" w:hAnsi="Calibri" w:cs="Calibri"/>
          <w:sz w:val="22"/>
          <w:szCs w:val="22"/>
          <w:lang w:bidi="lt-LT"/>
        </w:rPr>
        <w:t>ko</w:t>
      </w:r>
      <w:r w:rsidRPr="002A7F25">
        <w:rPr>
          <w:rFonts w:ascii="Calibri" w:eastAsia="Calibri" w:hAnsi="Calibri" w:cs="Calibri"/>
          <w:sz w:val="22"/>
          <w:szCs w:val="22"/>
          <w:lang w:bidi="lt-LT"/>
        </w:rPr>
        <w:t>, apeliacinį skundą grind</w:t>
      </w:r>
      <w:r w:rsidR="00CF435F">
        <w:rPr>
          <w:rFonts w:ascii="Calibri" w:eastAsia="Calibri" w:hAnsi="Calibri" w:cs="Calibri"/>
          <w:sz w:val="22"/>
          <w:szCs w:val="22"/>
          <w:lang w:bidi="lt-LT"/>
        </w:rPr>
        <w:t>ė</w:t>
      </w:r>
      <w:r w:rsidRPr="002A7F25">
        <w:rPr>
          <w:rFonts w:ascii="Calibri" w:eastAsia="Calibri" w:hAnsi="Calibri" w:cs="Calibri"/>
          <w:sz w:val="22"/>
          <w:szCs w:val="22"/>
          <w:lang w:bidi="lt-LT"/>
        </w:rPr>
        <w:t xml:space="preserve"> </w:t>
      </w:r>
      <w:r w:rsidR="00CF435F">
        <w:rPr>
          <w:rFonts w:ascii="Calibri" w:eastAsia="Calibri" w:hAnsi="Calibri" w:cs="Calibri"/>
          <w:sz w:val="22"/>
          <w:szCs w:val="22"/>
          <w:lang w:bidi="lt-LT"/>
        </w:rPr>
        <w:t>tuo</w:t>
      </w:r>
      <w:r w:rsidRPr="002A7F25">
        <w:rPr>
          <w:rFonts w:ascii="Calibri" w:eastAsia="Calibri" w:hAnsi="Calibri" w:cs="Calibri"/>
          <w:sz w:val="22"/>
          <w:szCs w:val="22"/>
          <w:lang w:bidi="lt-LT"/>
        </w:rPr>
        <w:t xml:space="preserve">, kad pirmosios instancijos teismas nevertino VTEK argumentų, netinkamai aiškino materialiosios teisės normas ir nukrypo nuo administracinių teismų praktikos. </w:t>
      </w:r>
    </w:p>
    <w:p w14:paraId="067196A4" w14:textId="01AA5D7C" w:rsidR="002A7F25" w:rsidRPr="002A7F25" w:rsidRDefault="00CF435F" w:rsidP="002A7F25">
      <w:pPr>
        <w:ind w:firstLine="567"/>
        <w:jc w:val="both"/>
        <w:rPr>
          <w:rFonts w:ascii="Calibri" w:eastAsia="Calibri" w:hAnsi="Calibri" w:cs="Calibri"/>
          <w:sz w:val="22"/>
          <w:szCs w:val="22"/>
          <w:lang w:bidi="lt-LT"/>
        </w:rPr>
      </w:pPr>
      <w:r>
        <w:rPr>
          <w:rFonts w:ascii="Calibri" w:eastAsia="Calibri" w:hAnsi="Calibri" w:cs="Calibri"/>
          <w:sz w:val="22"/>
          <w:szCs w:val="22"/>
          <w:lang w:bidi="lt-LT"/>
        </w:rPr>
        <w:t xml:space="preserve">LVAT teisėjų kolegija, įvertinusi ginčui aktualios redakcijos VTEKĮ nuostatas </w:t>
      </w:r>
      <w:r w:rsidR="002A7F25" w:rsidRPr="002A7F25">
        <w:rPr>
          <w:rFonts w:ascii="Calibri" w:eastAsia="Calibri" w:hAnsi="Calibri" w:cs="Calibri"/>
          <w:sz w:val="22"/>
          <w:szCs w:val="22"/>
          <w:lang w:bidi="lt-LT"/>
        </w:rPr>
        <w:t xml:space="preserve">byloje nustatytų aplinkybių kontekste, </w:t>
      </w:r>
      <w:r>
        <w:rPr>
          <w:rFonts w:ascii="Calibri" w:eastAsia="Calibri" w:hAnsi="Calibri" w:cs="Calibri"/>
          <w:sz w:val="22"/>
          <w:szCs w:val="22"/>
          <w:lang w:bidi="lt-LT"/>
        </w:rPr>
        <w:t>konstatavo</w:t>
      </w:r>
      <w:r w:rsidR="002A7F25" w:rsidRPr="002A7F25">
        <w:rPr>
          <w:rFonts w:ascii="Calibri" w:eastAsia="Calibri" w:hAnsi="Calibri" w:cs="Calibri"/>
          <w:sz w:val="22"/>
          <w:szCs w:val="22"/>
          <w:lang w:bidi="lt-LT"/>
        </w:rPr>
        <w:t xml:space="preserve">, kad </w:t>
      </w:r>
      <w:r w:rsidR="002A7F25" w:rsidRPr="002A7F25">
        <w:rPr>
          <w:rFonts w:ascii="Calibri" w:eastAsia="Calibri" w:hAnsi="Calibri" w:cs="Calibri"/>
          <w:sz w:val="22"/>
          <w:szCs w:val="22"/>
          <w:u w:val="single"/>
          <w:lang w:bidi="lt-LT"/>
        </w:rPr>
        <w:t>VTEK,</w:t>
      </w:r>
      <w:r w:rsidR="002A7F25" w:rsidRPr="002A7F25">
        <w:rPr>
          <w:rFonts w:ascii="Calibri" w:eastAsia="Calibri" w:hAnsi="Calibri" w:cs="Calibri"/>
          <w:sz w:val="22"/>
          <w:szCs w:val="22"/>
          <w:lang w:bidi="lt-LT"/>
        </w:rPr>
        <w:t xml:space="preserve"> kaip valdžios įstaigų ir jose dirbančių asmenų etišką tarnybą žmonėms užtikrinanti institucija, be kita ko, </w:t>
      </w:r>
      <w:r w:rsidR="002A7F25" w:rsidRPr="002A7F25">
        <w:rPr>
          <w:rFonts w:ascii="Calibri" w:eastAsia="Calibri" w:hAnsi="Calibri" w:cs="Calibri"/>
          <w:sz w:val="22"/>
          <w:szCs w:val="22"/>
          <w:u w:val="single"/>
          <w:lang w:bidi="lt-LT"/>
        </w:rPr>
        <w:t>nagrinėja pranešimus ir skundus dėl asmenų veikos atitikties teisės aktų reikalavimams</w:t>
      </w:r>
      <w:r w:rsidR="002A7F25" w:rsidRPr="002A7F25">
        <w:rPr>
          <w:rFonts w:ascii="Calibri" w:eastAsia="Calibri" w:hAnsi="Calibri" w:cs="Calibri"/>
          <w:sz w:val="22"/>
          <w:szCs w:val="22"/>
          <w:lang w:bidi="lt-LT"/>
        </w:rPr>
        <w:t xml:space="preserve">, konkrečiai nurodytus VTEKĮ 17 straipsnio 1 dalies 2, 3, 4 ir 5 punktuose, </w:t>
      </w:r>
      <w:r w:rsidR="002A7F25" w:rsidRPr="002A7F25">
        <w:rPr>
          <w:rFonts w:ascii="Calibri" w:eastAsia="Calibri" w:hAnsi="Calibri" w:cs="Calibri"/>
          <w:sz w:val="22"/>
          <w:szCs w:val="22"/>
          <w:u w:val="single"/>
          <w:lang w:bidi="lt-LT"/>
        </w:rPr>
        <w:t>t. y. dėl skunduose ir pranešimuose nurodytų valstybinėje tarnyboje dirbančių asmenų veikos atitikties Viešųjų ir privačių interesų derinimo valstybinėje tarnyboje įstatymo nuostatoms; fizinių ar juridinių asmenų veikos atitikties Lobistinės veiklos įstatymo nuostatoms; parlamentinių politinių partijų pirmininkų ir jų pavaduotojų, kurie nėra Seimo ar savivaldybių tarybų nariai arba nėra paskirti į Vyriausybės nario pareigas, elgesio; valstybinėje tarnyboje dirbančių asmenų veikos atitikties kitų teisės aktų nuostatoms</w:t>
      </w:r>
      <w:r w:rsidR="002A7F25" w:rsidRPr="002A7F25">
        <w:rPr>
          <w:rFonts w:ascii="Calibri" w:eastAsia="Calibri" w:hAnsi="Calibri" w:cs="Calibri"/>
          <w:sz w:val="22"/>
          <w:szCs w:val="22"/>
          <w:lang w:bidi="lt-LT"/>
        </w:rPr>
        <w:t xml:space="preserve">. Įvertinusi tokių pranešimų formaliuosius kriterijus, VTEK sprendimu gali atsisakyti nagrinėti skundą ar pranešimą (VTEKĮ 24 str.), perduoti gautą pranešimą ištirti ir priimti sprendimą valstybės ar savivaldybės institucijos ar įstaigos, kurioje skundžiamas asmuo dirba, vadovui arba kolegialiai valstybės ar savivaldybės institucijai (VTEKĮ 25 str.) arba gautą pranešimą priimti nagrinėti. Pastaruoju atveju VTEK pradeda specialią tyrimo procedūrą (VTEKĮ 28 str.), organizuoja posėdį, į kurį kviečia dalyvauti asmenį, kurio veika tiriama, ir pranešimą pateikusį asmenį, o baigusi tyrimo procedūrą priima vieną iš VTEKĮ 29 straipsnio 1 dalyje įtvirtintų sprendimų – konstatuoja, ar buvo padarytas Viešųjų ir </w:t>
      </w:r>
      <w:r w:rsidR="002A7F25" w:rsidRPr="002A7F25">
        <w:rPr>
          <w:rFonts w:ascii="Calibri" w:eastAsia="Calibri" w:hAnsi="Calibri" w:cs="Calibri"/>
          <w:sz w:val="22"/>
          <w:szCs w:val="22"/>
          <w:lang w:bidi="lt-LT"/>
        </w:rPr>
        <w:lastRenderedPageBreak/>
        <w:t xml:space="preserve">privačių interesų derinimo valstybinėje tarnyboje įstatymo, Valstybės politikų elgesio kodekso ar kito teisės akto, reglamentuojančio tarnybinės etikos ir elgesio normas, taip pat Lobistinės veiklos įstatymo nuostatų pažeidimas, sustabdo arba nutraukia pagal pranešimą ar skundą VTEKĮ 28 straipsnyje nustatyta tvarka pradėtą tyrimą. </w:t>
      </w:r>
      <w:r w:rsidR="002A7F25" w:rsidRPr="002A7F25">
        <w:rPr>
          <w:rFonts w:ascii="Calibri" w:eastAsia="Calibri" w:hAnsi="Calibri" w:cs="Calibri"/>
          <w:sz w:val="22"/>
          <w:szCs w:val="22"/>
          <w:u w:val="single"/>
          <w:lang w:bidi="lt-LT"/>
        </w:rPr>
        <w:t>Būtent šie VTEKĮ 24 straipsnio 1 dalyje, 25 straipsnio 1 dalyje ir 29 straipsnio 1 dalyje nurodyti VTEK dėl pranešimų ir skundų, nurodytų VTEKĮ 20 straipsnyje, priimami sprendimai yra skundžiami specialia VTEKĮ 30 straipsnyje įtvirtinta tvarka tiesiogiai Vilniaus apygardos administraciniam teismui</w:t>
      </w:r>
      <w:r w:rsidR="002A7F25" w:rsidRPr="002A7F25">
        <w:rPr>
          <w:rFonts w:ascii="Calibri" w:eastAsia="Calibri" w:hAnsi="Calibri" w:cs="Calibri"/>
          <w:sz w:val="22"/>
          <w:szCs w:val="22"/>
          <w:lang w:bidi="lt-LT"/>
        </w:rPr>
        <w:t xml:space="preserve">. </w:t>
      </w:r>
    </w:p>
    <w:p w14:paraId="4EACBD8F" w14:textId="032679C8" w:rsidR="002A7F25" w:rsidRPr="002A7F25" w:rsidRDefault="00CF435F" w:rsidP="002A7F25">
      <w:pPr>
        <w:ind w:firstLine="567"/>
        <w:jc w:val="both"/>
        <w:rPr>
          <w:rFonts w:ascii="Calibri" w:eastAsia="Calibri" w:hAnsi="Calibri" w:cs="Calibri"/>
          <w:sz w:val="22"/>
          <w:szCs w:val="22"/>
          <w:lang w:bidi="lt-LT"/>
        </w:rPr>
      </w:pPr>
      <w:r w:rsidRPr="55FEB3D6">
        <w:rPr>
          <w:rFonts w:ascii="Calibri" w:eastAsia="Calibri" w:hAnsi="Calibri" w:cs="Calibri"/>
          <w:sz w:val="22"/>
          <w:szCs w:val="22"/>
          <w:lang w:bidi="lt-LT"/>
        </w:rPr>
        <w:t>LVAT pažymėjo, jog aptartu teisiniu reguliavimu</w:t>
      </w:r>
      <w:r w:rsidR="002A7F25" w:rsidRPr="55FEB3D6">
        <w:rPr>
          <w:rFonts w:ascii="Calibri" w:eastAsia="Calibri" w:hAnsi="Calibri" w:cs="Calibri"/>
          <w:sz w:val="22"/>
          <w:szCs w:val="22"/>
          <w:lang w:bidi="lt-LT"/>
        </w:rPr>
        <w:t xml:space="preserve"> </w:t>
      </w:r>
      <w:r w:rsidR="002A7F25" w:rsidRPr="55FEB3D6">
        <w:rPr>
          <w:rFonts w:ascii="Calibri" w:eastAsia="Calibri" w:hAnsi="Calibri" w:cs="Calibri"/>
          <w:sz w:val="22"/>
          <w:szCs w:val="22"/>
          <w:u w:val="single"/>
          <w:lang w:bidi="lt-LT"/>
        </w:rPr>
        <w:t>įstatymų leidėjas eksplicitiškai įtvirtino ir kitokio pobūdžio kreipimosi į VTEK atvejus, t. y. prašymus – žodinius ar rašytinius prašymus, kuriuose nepranešama apie galbūt padarytus pažeidimus, o prašoma paaiškinti, suteikti kitą informaciją ar pageidaujamus dokumentus</w:t>
      </w:r>
      <w:r w:rsidR="002A7F25" w:rsidRPr="55FEB3D6">
        <w:rPr>
          <w:rFonts w:ascii="Calibri" w:eastAsia="Calibri" w:hAnsi="Calibri" w:cs="Calibri"/>
          <w:sz w:val="22"/>
          <w:szCs w:val="22"/>
          <w:lang w:bidi="lt-LT"/>
        </w:rPr>
        <w:t xml:space="preserve"> (VTEKĮ 21 str. 3 d.). Taigi VTEK, kaip valstybės institucijos, darbe yra ir kitokios veiklos, kuri nėra tiesiogiai susijusi su Viešųjų ir privačių interesų derinimo valstybinėje tarnyboje įstatymo, Lobistinės veiklos įstatymo, kitų VTEK kompetencijai priskirtų valstybinėje tarnyboje dirbančių asmenų tarnybinės etikos ir elgesio normas reglamentuojančių teisės aktų įgyvendinimo priežiūra ir kontrole, atliekant dėl to tyrimus ir (ar) priimant VTEKĮ konkrečiai numatytus sprendimus. </w:t>
      </w:r>
      <w:r w:rsidR="002A7F25" w:rsidRPr="55FEB3D6">
        <w:rPr>
          <w:rFonts w:ascii="Calibri" w:eastAsia="Calibri" w:hAnsi="Calibri" w:cs="Calibri"/>
          <w:sz w:val="22"/>
          <w:szCs w:val="22"/>
          <w:u w:val="single"/>
          <w:lang w:bidi="lt-LT"/>
        </w:rPr>
        <w:t>Atitinkamai, VTEKĮ 21 straipsnio 3 dalyje nurodytiems žodiniams ir rašytiniams prašymams nagrinėti netaikytina speciali VTEKĮ 28 straipsnyje įtvirtinta tvarka, dėl jų nepradedamas tyrimas ir nepriimamas vienas iš VTEKĮ 24, 25 ar 29 straipsniuose įtvirtintų sprendimų, kuriems nustatyta speciali apskundimo tvarka. Tai, savo ruožtu, reiškia, kad VTEK atsakymai į prašymus (VTEKĮ 21 str. 3 d.) gali būti skundžiami bendra teisės aktuose nustatyta tvarka</w:t>
      </w:r>
      <w:r w:rsidR="002A7F25" w:rsidRPr="55FEB3D6">
        <w:rPr>
          <w:rFonts w:ascii="Calibri" w:eastAsia="Calibri" w:hAnsi="Calibri" w:cs="Calibri"/>
          <w:sz w:val="22"/>
          <w:szCs w:val="22"/>
          <w:lang w:bidi="lt-LT"/>
        </w:rPr>
        <w:t>.</w:t>
      </w:r>
    </w:p>
    <w:p w14:paraId="53F108B1" w14:textId="77777777" w:rsidR="002A7F25" w:rsidRPr="002A7F25" w:rsidRDefault="002A7F25" w:rsidP="002A7F25">
      <w:pPr>
        <w:ind w:firstLine="567"/>
        <w:jc w:val="both"/>
        <w:rPr>
          <w:rFonts w:ascii="Calibri" w:eastAsia="Calibri" w:hAnsi="Calibri" w:cs="Calibri"/>
          <w:sz w:val="22"/>
          <w:szCs w:val="22"/>
          <w:lang w:bidi="lt-LT"/>
        </w:rPr>
      </w:pPr>
      <w:r w:rsidRPr="002A7F25">
        <w:rPr>
          <w:rFonts w:ascii="Calibri" w:eastAsia="Calibri" w:hAnsi="Calibri" w:cs="Calibri"/>
          <w:sz w:val="22"/>
          <w:szCs w:val="22"/>
          <w:lang w:bidi="lt-LT"/>
        </w:rPr>
        <w:t xml:space="preserve">ABTĮ nustatyta, kad prieš kreipiantis į administracinį teismą, viešojo administravimo subjektų priimti individualūs teisės aktai arba veiksmai (neveikimas) ar vilkinimas atlikti veiksmus gali būti, o įstatymų nustatytais atvejais – turi būti ginčijami kreipiantis į išankstinio ginčų nagrinėjimo ne teismo tvarka instituciją (26 str. 1 d.). Jeigu įstatymai nenustato kitaip, administracinius ginčus ne teismo tvarka nagrinėja Lietuvos administracinių ginčų komisija ir jos teritoriniai padaliniai (27 str. 1 d.). </w:t>
      </w:r>
    </w:p>
    <w:p w14:paraId="60E73DCC" w14:textId="64CBF183" w:rsidR="002A7F25" w:rsidRPr="002A7F25" w:rsidRDefault="002A7F25" w:rsidP="002A7F25">
      <w:pPr>
        <w:ind w:firstLine="567"/>
        <w:jc w:val="both"/>
        <w:rPr>
          <w:rFonts w:ascii="Calibri" w:eastAsia="Calibri" w:hAnsi="Calibri" w:cs="Calibri"/>
          <w:sz w:val="22"/>
          <w:szCs w:val="22"/>
          <w:lang w:bidi="lt-LT"/>
        </w:rPr>
      </w:pPr>
      <w:r w:rsidRPr="002A7F25">
        <w:rPr>
          <w:rFonts w:ascii="Calibri" w:eastAsia="Calibri" w:hAnsi="Calibri" w:cs="Calibri"/>
          <w:sz w:val="22"/>
          <w:szCs w:val="22"/>
          <w:lang w:bidi="lt-LT"/>
        </w:rPr>
        <w:t xml:space="preserve">Atsižvelgusi į tai, kas išdėstyta, teisėjų kolegija </w:t>
      </w:r>
      <w:r w:rsidR="00A60CBA">
        <w:rPr>
          <w:rFonts w:ascii="Calibri" w:eastAsia="Calibri" w:hAnsi="Calibri" w:cs="Calibri"/>
          <w:sz w:val="22"/>
          <w:szCs w:val="22"/>
          <w:lang w:bidi="lt-LT"/>
        </w:rPr>
        <w:t>pa</w:t>
      </w:r>
      <w:r w:rsidRPr="002A7F25">
        <w:rPr>
          <w:rFonts w:ascii="Calibri" w:eastAsia="Calibri" w:hAnsi="Calibri" w:cs="Calibri"/>
          <w:sz w:val="22"/>
          <w:szCs w:val="22"/>
          <w:lang w:bidi="lt-LT"/>
        </w:rPr>
        <w:t>dar</w:t>
      </w:r>
      <w:r w:rsidR="00A60CBA">
        <w:rPr>
          <w:rFonts w:ascii="Calibri" w:eastAsia="Calibri" w:hAnsi="Calibri" w:cs="Calibri"/>
          <w:sz w:val="22"/>
          <w:szCs w:val="22"/>
          <w:lang w:bidi="lt-LT"/>
        </w:rPr>
        <w:t>ė</w:t>
      </w:r>
      <w:r w:rsidRPr="002A7F25">
        <w:rPr>
          <w:rFonts w:ascii="Calibri" w:eastAsia="Calibri" w:hAnsi="Calibri" w:cs="Calibri"/>
          <w:sz w:val="22"/>
          <w:szCs w:val="22"/>
          <w:lang w:bidi="lt-LT"/>
        </w:rPr>
        <w:t xml:space="preserve"> išvadą, kad </w:t>
      </w:r>
      <w:r w:rsidRPr="002A7F25">
        <w:rPr>
          <w:rFonts w:ascii="Calibri" w:eastAsia="Calibri" w:hAnsi="Calibri" w:cs="Calibri"/>
          <w:sz w:val="22"/>
          <w:szCs w:val="22"/>
          <w:u w:val="single"/>
          <w:lang w:bidi="lt-LT"/>
        </w:rPr>
        <w:t>dėl VTEKĮ 21 straipsnio 3 dalyje nurodytų kreipimųsi (pavyzdžiui, dėl prašymo suteikti informaciją VTEK kompetencijai priskirtais klausimais), dėl kurių nepriimamas vienas iš VTEKĮ 24, 25 ar 29 straipsniuose nurodytų sprendimų, VTEK priimti administraciniai aktai, tokių aktų adresatų pasirinkimu gali būti skundžiami LAGK arba tiesiogiai Vilniaus apygardos administraciniam teismui</w:t>
      </w:r>
      <w:r w:rsidRPr="002A7F25">
        <w:rPr>
          <w:rFonts w:ascii="Calibri" w:eastAsia="Calibri" w:hAnsi="Calibri" w:cs="Calibri"/>
          <w:sz w:val="22"/>
          <w:szCs w:val="22"/>
          <w:lang w:bidi="lt-LT"/>
        </w:rPr>
        <w:t xml:space="preserve">. Vadinasi, VTEK atsakymas, kuriuo, pareiškėjo teigimu, jam pateikta tik dalis jo prašytos informacijos, pareiškėjo </w:t>
      </w:r>
      <w:r w:rsidR="00A60CBA">
        <w:rPr>
          <w:rFonts w:ascii="Calibri" w:eastAsia="Calibri" w:hAnsi="Calibri" w:cs="Calibri"/>
          <w:sz w:val="22"/>
          <w:szCs w:val="22"/>
          <w:lang w:bidi="lt-LT"/>
        </w:rPr>
        <w:t>pa</w:t>
      </w:r>
      <w:r w:rsidRPr="002A7F25">
        <w:rPr>
          <w:rFonts w:ascii="Calibri" w:eastAsia="Calibri" w:hAnsi="Calibri" w:cs="Calibri"/>
          <w:sz w:val="22"/>
          <w:szCs w:val="22"/>
          <w:lang w:bidi="lt-LT"/>
        </w:rPr>
        <w:t>sirinkimu gal</w:t>
      </w:r>
      <w:r w:rsidR="00A60CBA">
        <w:rPr>
          <w:rFonts w:ascii="Calibri" w:eastAsia="Calibri" w:hAnsi="Calibri" w:cs="Calibri"/>
          <w:sz w:val="22"/>
          <w:szCs w:val="22"/>
          <w:lang w:bidi="lt-LT"/>
        </w:rPr>
        <w:t>ėjo</w:t>
      </w:r>
      <w:r w:rsidRPr="002A7F25">
        <w:rPr>
          <w:rFonts w:ascii="Calibri" w:eastAsia="Calibri" w:hAnsi="Calibri" w:cs="Calibri"/>
          <w:sz w:val="22"/>
          <w:szCs w:val="22"/>
          <w:lang w:bidi="lt-LT"/>
        </w:rPr>
        <w:t xml:space="preserve"> būti skundžiamas LAGK arba Vilniaus apygardos administraciniam teismui. </w:t>
      </w:r>
    </w:p>
    <w:p w14:paraId="4095B03A" w14:textId="13EABF80" w:rsidR="002A7F25" w:rsidRPr="002A7F25" w:rsidRDefault="00A60CBA" w:rsidP="002A7F25">
      <w:pPr>
        <w:ind w:firstLine="567"/>
        <w:jc w:val="both"/>
        <w:rPr>
          <w:rFonts w:ascii="Calibri" w:eastAsia="Calibri" w:hAnsi="Calibri" w:cs="Calibri"/>
          <w:sz w:val="22"/>
          <w:szCs w:val="22"/>
          <w:lang w:bidi="lt-LT"/>
        </w:rPr>
      </w:pPr>
      <w:r>
        <w:rPr>
          <w:rFonts w:ascii="Calibri" w:eastAsia="Calibri" w:hAnsi="Calibri" w:cs="Calibri"/>
          <w:sz w:val="22"/>
          <w:szCs w:val="22"/>
          <w:lang w:bidi="lt-LT"/>
        </w:rPr>
        <w:t xml:space="preserve">LVAT nutartimi pirmosios instancijos teismo sprendimas paliktas </w:t>
      </w:r>
      <w:r w:rsidR="002A7F25" w:rsidRPr="002A7F25">
        <w:rPr>
          <w:rFonts w:ascii="Calibri" w:eastAsia="Calibri" w:hAnsi="Calibri" w:cs="Calibri"/>
          <w:sz w:val="22"/>
          <w:szCs w:val="22"/>
          <w:lang w:bidi="lt-LT"/>
        </w:rPr>
        <w:t>nepakeistas, o apeliacinis skundas atme</w:t>
      </w:r>
      <w:r>
        <w:rPr>
          <w:rFonts w:ascii="Calibri" w:eastAsia="Calibri" w:hAnsi="Calibri" w:cs="Calibri"/>
          <w:sz w:val="22"/>
          <w:szCs w:val="22"/>
          <w:lang w:bidi="lt-LT"/>
        </w:rPr>
        <w:t>st</w:t>
      </w:r>
      <w:r w:rsidR="002A7F25" w:rsidRPr="002A7F25">
        <w:rPr>
          <w:rFonts w:ascii="Calibri" w:eastAsia="Calibri" w:hAnsi="Calibri" w:cs="Calibri"/>
          <w:sz w:val="22"/>
          <w:szCs w:val="22"/>
          <w:lang w:bidi="lt-LT"/>
        </w:rPr>
        <w:t>as.</w:t>
      </w:r>
    </w:p>
    <w:p w14:paraId="7EA562B8" w14:textId="29C92ABA" w:rsidR="00A12CF6" w:rsidRDefault="00A12CF6" w:rsidP="007412F7">
      <w:pPr>
        <w:shd w:val="clear" w:color="auto" w:fill="FFFFFF"/>
        <w:tabs>
          <w:tab w:val="left" w:pos="3119"/>
        </w:tabs>
        <w:ind w:right="-1" w:firstLine="567"/>
        <w:jc w:val="both"/>
        <w:rPr>
          <w:rFonts w:ascii="Calibri" w:hAnsi="Calibri" w:cs="Calibri"/>
          <w:b/>
          <w:sz w:val="22"/>
          <w:szCs w:val="22"/>
          <w:u w:val="single"/>
        </w:rPr>
      </w:pPr>
    </w:p>
    <w:p w14:paraId="28CC0396" w14:textId="75F545A3" w:rsidR="002A7F25" w:rsidRPr="002A7F25" w:rsidRDefault="002A7F25" w:rsidP="002A7F25">
      <w:pPr>
        <w:jc w:val="both"/>
        <w:rPr>
          <w:rFonts w:ascii="Calibri" w:hAnsi="Calibri" w:cs="Calibri"/>
          <w:sz w:val="22"/>
          <w:szCs w:val="22"/>
        </w:rPr>
      </w:pPr>
      <w:r>
        <w:rPr>
          <w:rFonts w:ascii="Calibri" w:hAnsi="Calibri" w:cs="Calibri"/>
          <w:sz w:val="22"/>
          <w:szCs w:val="22"/>
        </w:rPr>
        <w:t>2020 m. lapkričio 4 d. nutartis a</w:t>
      </w:r>
      <w:r w:rsidRPr="002A7F25">
        <w:rPr>
          <w:rFonts w:ascii="Calibri" w:hAnsi="Calibri" w:cs="Calibri"/>
          <w:sz w:val="22"/>
          <w:szCs w:val="22"/>
        </w:rPr>
        <w:t>dministracinė</w:t>
      </w:r>
      <w:r>
        <w:rPr>
          <w:rFonts w:ascii="Calibri" w:hAnsi="Calibri" w:cs="Calibri"/>
          <w:sz w:val="22"/>
          <w:szCs w:val="22"/>
        </w:rPr>
        <w:t>je</w:t>
      </w:r>
      <w:r w:rsidRPr="002A7F25">
        <w:rPr>
          <w:rFonts w:ascii="Calibri" w:hAnsi="Calibri" w:cs="Calibri"/>
          <w:sz w:val="22"/>
          <w:szCs w:val="22"/>
        </w:rPr>
        <w:t xml:space="preserve"> byl</w:t>
      </w:r>
      <w:r>
        <w:rPr>
          <w:rFonts w:ascii="Calibri" w:hAnsi="Calibri" w:cs="Calibri"/>
          <w:sz w:val="22"/>
          <w:szCs w:val="22"/>
        </w:rPr>
        <w:t>oje</w:t>
      </w:r>
      <w:r w:rsidRPr="002A7F25">
        <w:rPr>
          <w:rFonts w:ascii="Calibri" w:hAnsi="Calibri" w:cs="Calibri"/>
          <w:sz w:val="22"/>
          <w:szCs w:val="22"/>
        </w:rPr>
        <w:t xml:space="preserve"> Nr. eA-1531-822/2020</w:t>
      </w:r>
    </w:p>
    <w:p w14:paraId="35B2547B" w14:textId="77777777" w:rsidR="002A7F25" w:rsidRPr="002A7F25" w:rsidRDefault="002A7F25" w:rsidP="002A7F25">
      <w:pPr>
        <w:jc w:val="both"/>
        <w:rPr>
          <w:rFonts w:ascii="Calibri" w:hAnsi="Calibri" w:cs="Calibri"/>
          <w:sz w:val="22"/>
          <w:szCs w:val="22"/>
        </w:rPr>
      </w:pPr>
      <w:r w:rsidRPr="002A7F25">
        <w:rPr>
          <w:rFonts w:ascii="Calibri" w:hAnsi="Calibri" w:cs="Calibri"/>
          <w:sz w:val="22"/>
          <w:szCs w:val="22"/>
        </w:rPr>
        <w:t>Teisminio proceso Nr. 3-61-3-03828-2018-5</w:t>
      </w:r>
    </w:p>
    <w:p w14:paraId="155FB500" w14:textId="5D7D75E0" w:rsidR="002A7F25" w:rsidRDefault="002A7F25" w:rsidP="002A7F25">
      <w:pPr>
        <w:jc w:val="both"/>
        <w:rPr>
          <w:rFonts w:ascii="Calibri" w:hAnsi="Calibri" w:cs="Calibri"/>
          <w:sz w:val="22"/>
          <w:szCs w:val="22"/>
        </w:rPr>
      </w:pPr>
      <w:r w:rsidRPr="002A7F25">
        <w:rPr>
          <w:rFonts w:ascii="Calibri" w:hAnsi="Calibri" w:cs="Calibri"/>
          <w:sz w:val="22"/>
          <w:szCs w:val="22"/>
        </w:rPr>
        <w:t xml:space="preserve">Procesinio sprendimo kategorija 23.4 </w:t>
      </w:r>
    </w:p>
    <w:p w14:paraId="311FEF5D" w14:textId="59EBD7A9" w:rsidR="002A7F25" w:rsidRPr="002A7F25" w:rsidRDefault="002A7F25" w:rsidP="002A7F25">
      <w:pPr>
        <w:jc w:val="both"/>
        <w:rPr>
          <w:rStyle w:val="Hipersaitas"/>
          <w:rFonts w:ascii="Calibri" w:hAnsi="Calibri" w:cs="Calibri"/>
          <w:sz w:val="22"/>
          <w:szCs w:val="22"/>
        </w:rPr>
      </w:pPr>
      <w:r w:rsidRPr="00531900">
        <w:rPr>
          <w:rStyle w:val="Hipersaitas"/>
        </w:rPr>
        <w:fldChar w:fldCharType="begin"/>
      </w:r>
      <w:r w:rsidRPr="5FB8FBAC">
        <w:rPr>
          <w:rStyle w:val="Hipersaitas"/>
        </w:rPr>
        <w:instrText xml:space="preserve"> HYPERLINK "https://www.e-tar.lt/portal/lt/legalAct/ade9c390243f11eb932eb1ed7f923910" </w:instrText>
      </w:r>
      <w:r w:rsidRPr="00531900">
        <w:rPr>
          <w:rStyle w:val="Hipersaitas"/>
        </w:rPr>
        <w:fldChar w:fldCharType="separate"/>
      </w:r>
      <w:r w:rsidRPr="5FB8FBAC">
        <w:rPr>
          <w:rStyle w:val="Hipersaitas"/>
          <w:rFonts w:ascii="Calibri" w:hAnsi="Calibri" w:cs="Calibri"/>
          <w:sz w:val="22"/>
          <w:szCs w:val="22"/>
        </w:rPr>
        <w:t>Prieiga internete</w:t>
      </w:r>
    </w:p>
    <w:p w14:paraId="2578DB0B" w14:textId="076D0418" w:rsidR="00A12CF6" w:rsidRPr="00531900" w:rsidRDefault="002A7F25" w:rsidP="00531900">
      <w:pPr>
        <w:jc w:val="both"/>
        <w:rPr>
          <w:rStyle w:val="Hipersaitas"/>
        </w:rPr>
      </w:pPr>
      <w:r w:rsidRPr="00531900">
        <w:rPr>
          <w:rStyle w:val="Hipersaitas"/>
        </w:rPr>
        <w:fldChar w:fldCharType="end"/>
      </w:r>
    </w:p>
    <w:p w14:paraId="3A9A069E" w14:textId="77777777" w:rsidR="00531900" w:rsidRPr="00531900" w:rsidRDefault="00531900" w:rsidP="00531900">
      <w:pPr>
        <w:keepNext/>
        <w:tabs>
          <w:tab w:val="left" w:pos="567"/>
        </w:tabs>
        <w:jc w:val="both"/>
        <w:outlineLvl w:val="0"/>
        <w:rPr>
          <w:rFonts w:ascii="Calibri" w:hAnsi="Calibri" w:cs="Calibri"/>
          <w:b/>
          <w:sz w:val="22"/>
          <w:szCs w:val="22"/>
          <w:u w:val="single"/>
        </w:rPr>
      </w:pPr>
      <w:bookmarkStart w:id="60" w:name="_Toc61261248"/>
      <w:r w:rsidRPr="00531900">
        <w:rPr>
          <w:rFonts w:ascii="Calibri" w:hAnsi="Calibri" w:cs="Calibri"/>
          <w:b/>
          <w:sz w:val="22"/>
          <w:szCs w:val="22"/>
          <w:u w:val="single"/>
        </w:rPr>
        <w:t>28. Valstybės garantuojama teisinė pagalba</w:t>
      </w:r>
      <w:bookmarkEnd w:id="60"/>
    </w:p>
    <w:p w14:paraId="41FCA2F5" w14:textId="77777777" w:rsidR="00531900" w:rsidRPr="00531900" w:rsidRDefault="00531900" w:rsidP="00531900">
      <w:pPr>
        <w:tabs>
          <w:tab w:val="left" w:pos="567"/>
        </w:tabs>
        <w:ind w:left="567"/>
        <w:rPr>
          <w:rFonts w:ascii="Calibri" w:hAnsi="Calibri" w:cs="Calibri"/>
          <w:b/>
          <w:sz w:val="22"/>
          <w:szCs w:val="22"/>
          <w:u w:val="single"/>
        </w:rPr>
      </w:pPr>
      <w:r w:rsidRPr="00531900">
        <w:rPr>
          <w:rFonts w:ascii="Calibri" w:hAnsi="Calibri" w:cs="Calibri"/>
          <w:b/>
          <w:sz w:val="22"/>
          <w:szCs w:val="22"/>
          <w:u w:val="single"/>
        </w:rPr>
        <w:t>28.4. Valstybės garantuojamos teisinės pagalbos teikimo nutraukimas</w:t>
      </w:r>
    </w:p>
    <w:p w14:paraId="14045664" w14:textId="77777777" w:rsidR="00531900" w:rsidRPr="00531900" w:rsidRDefault="00531900" w:rsidP="00531900">
      <w:pPr>
        <w:rPr>
          <w:rFonts w:ascii="Calibri" w:eastAsia="Calibri" w:hAnsi="Calibri"/>
          <w:b/>
          <w:bCs/>
          <w:sz w:val="22"/>
          <w:szCs w:val="22"/>
          <w:u w:val="single"/>
          <w:lang w:eastAsia="en-US"/>
        </w:rPr>
      </w:pPr>
    </w:p>
    <w:p w14:paraId="0572F573" w14:textId="388891AB" w:rsidR="00531900" w:rsidRPr="00531900" w:rsidRDefault="00531900" w:rsidP="00531900">
      <w:pPr>
        <w:jc w:val="both"/>
        <w:outlineLvl w:val="1"/>
        <w:rPr>
          <w:rFonts w:ascii="Calibri" w:eastAsia="Calibri" w:hAnsi="Calibri" w:cs="Calibri"/>
          <w:i/>
          <w:sz w:val="22"/>
          <w:szCs w:val="22"/>
        </w:rPr>
      </w:pPr>
      <w:bookmarkStart w:id="61" w:name="_Toc61261249"/>
      <w:r w:rsidRPr="00531900">
        <w:rPr>
          <w:rFonts w:ascii="Calibri" w:eastAsia="Calibri" w:hAnsi="Calibri" w:cs="Calibri"/>
          <w:i/>
          <w:sz w:val="22"/>
          <w:szCs w:val="22"/>
        </w:rPr>
        <w:t>Dėl valstybės garantuojamos teisinės pagalbos teikimo nutraukimo pagrįstumo, kai nustatomas pareiškėjo piktnaudžiavimas valstybės garantuojama teisine pagalba</w:t>
      </w:r>
      <w:bookmarkEnd w:id="61"/>
    </w:p>
    <w:p w14:paraId="263EFC52" w14:textId="77777777" w:rsidR="00531900" w:rsidRPr="00531900" w:rsidRDefault="00531900" w:rsidP="00531900">
      <w:pPr>
        <w:ind w:firstLine="567"/>
        <w:jc w:val="both"/>
        <w:rPr>
          <w:rFonts w:ascii="Calibri" w:eastAsia="Calibri" w:hAnsi="Calibri" w:cs="Calibri"/>
          <w:sz w:val="22"/>
          <w:szCs w:val="22"/>
          <w:lang w:bidi="lt-LT"/>
        </w:rPr>
      </w:pPr>
    </w:p>
    <w:p w14:paraId="59628A76" w14:textId="77777777" w:rsidR="00531900" w:rsidRPr="00531900" w:rsidRDefault="00531900" w:rsidP="00531900">
      <w:pPr>
        <w:ind w:firstLine="567"/>
        <w:jc w:val="both"/>
        <w:rPr>
          <w:rFonts w:ascii="Calibri" w:eastAsia="Calibri" w:hAnsi="Calibri" w:cs="Calibri"/>
          <w:sz w:val="22"/>
          <w:szCs w:val="22"/>
          <w:lang w:bidi="lt-LT"/>
        </w:rPr>
      </w:pPr>
      <w:r w:rsidRPr="00531900">
        <w:rPr>
          <w:rFonts w:ascii="Calibri" w:eastAsia="Calibri" w:hAnsi="Calibri" w:cs="Calibri"/>
          <w:sz w:val="22"/>
          <w:szCs w:val="22"/>
          <w:lang w:bidi="lt-LT"/>
        </w:rPr>
        <w:t>Byloje ginčas kilo dėl atsakovo Valstybės garantuojamos teisinės pagalbos tarnybos skyriaus trijų sprendimų, kuriais pareiškėjai buvo nutraukta antrinė teisinė pagalba, taip pat atsisakyta teikti antrinę teisinę pagalbą pareiškėjai, pagrįstumo ir teisėtumo. Pirmosios instancijos teismas pareiškėjos skundą tenkino ir ginčytus sprendimus panaikino.</w:t>
      </w:r>
    </w:p>
    <w:p w14:paraId="3466C54F" w14:textId="77777777" w:rsidR="00531900" w:rsidRPr="00531900" w:rsidRDefault="00531900" w:rsidP="00531900">
      <w:pPr>
        <w:ind w:firstLine="567"/>
        <w:jc w:val="both"/>
        <w:rPr>
          <w:rFonts w:ascii="Calibri" w:eastAsia="Calibri" w:hAnsi="Calibri" w:cs="Calibri"/>
          <w:sz w:val="22"/>
          <w:szCs w:val="22"/>
          <w:lang w:bidi="lt-LT"/>
        </w:rPr>
      </w:pPr>
      <w:r w:rsidRPr="00531900">
        <w:rPr>
          <w:rFonts w:ascii="Calibri" w:eastAsia="Calibri" w:hAnsi="Calibri" w:cs="Calibri"/>
          <w:sz w:val="22"/>
          <w:szCs w:val="22"/>
          <w:lang w:bidi="lt-LT"/>
        </w:rPr>
        <w:t>Pirmasis ginčijamas sprendimas buvo priimtas vadovaujantis Valstybės garantuojamos teisinės pagalbos įstatymo 23 straipsnio 1 dalies 5 punktu, kuris nustato, jog antrinės teisinės pagalbos teikimas nutraukiamas, jeigu pareiškėjas piktnaudžiauja valstybės garantuojama teisine pagalba, savo materialiosiomis ar procesinėmis teisėmis arba reikalauja iš advokato įgyvendinti arba apginti teises neleistinais būdais. Teisėjų kolegija sprendė, jog pirmajame ginčytame sprendime atsakovas pagrįstai konstatavo, kad pareiškėja piktnaudžiavo valstybės garantuojama teisine pagalba.</w:t>
      </w:r>
    </w:p>
    <w:p w14:paraId="65AC2583" w14:textId="77777777" w:rsidR="00531900" w:rsidRPr="00531900" w:rsidRDefault="00531900" w:rsidP="00531900">
      <w:pPr>
        <w:ind w:firstLine="567"/>
        <w:jc w:val="both"/>
        <w:rPr>
          <w:rFonts w:ascii="Calibri" w:eastAsia="Calibri" w:hAnsi="Calibri" w:cs="Calibri"/>
          <w:sz w:val="22"/>
          <w:szCs w:val="22"/>
          <w:lang w:bidi="lt-LT"/>
        </w:rPr>
      </w:pPr>
      <w:r w:rsidRPr="00531900">
        <w:rPr>
          <w:rFonts w:ascii="Calibri" w:eastAsia="Calibri" w:hAnsi="Calibri" w:cs="Calibri"/>
          <w:sz w:val="22"/>
          <w:szCs w:val="22"/>
          <w:lang w:bidi="lt-LT"/>
        </w:rPr>
        <w:lastRenderedPageBreak/>
        <w:t>Dėl antrojo ginčyto sprendimo, teisėjų kolegija konstatavo, kad jis yra susijęs su pirmuoju (iš esmės to paties ginčo dėl to paties komisariato nutarimo nagrinėjimas skirtingose instancijose), todėl jame pagrįstai remtasi pirmuoju sprendimu, ir abu sprendimai pripažinti teisėtais ir pagrįstais.</w:t>
      </w:r>
    </w:p>
    <w:p w14:paraId="18280D2D" w14:textId="77777777" w:rsidR="00531900" w:rsidRPr="00531900" w:rsidRDefault="00531900" w:rsidP="00531900">
      <w:pPr>
        <w:ind w:firstLine="567"/>
        <w:jc w:val="both"/>
        <w:rPr>
          <w:rFonts w:ascii="Calibri" w:eastAsia="Calibri" w:hAnsi="Calibri"/>
          <w:sz w:val="22"/>
          <w:szCs w:val="22"/>
          <w:lang w:eastAsia="en-US"/>
        </w:rPr>
      </w:pPr>
      <w:r w:rsidRPr="00531900">
        <w:rPr>
          <w:rFonts w:ascii="Calibri" w:eastAsia="Calibri" w:hAnsi="Calibri" w:cs="Calibri"/>
          <w:sz w:val="22"/>
          <w:szCs w:val="22"/>
          <w:lang w:bidi="lt-LT"/>
        </w:rPr>
        <w:t xml:space="preserve">Vertindama trečiojo ginčijamo sprendimo teisėtumą, teisėjų kolegija pažymėjo, jog </w:t>
      </w:r>
      <w:r w:rsidRPr="00531900">
        <w:rPr>
          <w:rFonts w:ascii="Calibri" w:eastAsia="Calibri" w:hAnsi="Calibri" w:cs="Calibri"/>
          <w:sz w:val="22"/>
          <w:szCs w:val="22"/>
          <w:u w:val="single"/>
          <w:lang w:bidi="lt-LT"/>
        </w:rPr>
        <w:t>pripažinus, kad</w:t>
      </w:r>
      <w:r w:rsidRPr="00531900">
        <w:rPr>
          <w:rFonts w:ascii="Calibri" w:eastAsia="Calibri" w:hAnsi="Calibri"/>
          <w:sz w:val="22"/>
          <w:szCs w:val="22"/>
          <w:u w:val="single"/>
          <w:lang w:eastAsia="en-US"/>
        </w:rPr>
        <w:t xml:space="preserve"> asmuo piktnaudžiauja valstybės garantuojama teisine pagalba, valstybės garantuojamos teisinės pagalbos teikimas nutraukiamas tik toje konkrečioje situacijoje, kurioje nustatomas piktnaudžiavimas; Valstybės garantuojamos teisinės pagalbos įstatymas nenumato teisinės pagalbos nutraukimo tam tikram laikotarpiui į ateitį, t. y. pagalbos, kuri teiktina kitais, nei konkrečios teisinės pagalbos nutraukimo metu susidariusioje situacijoje, atvejais</w:t>
      </w:r>
      <w:r w:rsidRPr="00531900">
        <w:rPr>
          <w:rFonts w:ascii="Calibri" w:eastAsia="Calibri" w:hAnsi="Calibri"/>
          <w:sz w:val="22"/>
          <w:szCs w:val="22"/>
          <w:lang w:eastAsia="en-US"/>
        </w:rPr>
        <w:t xml:space="preserve">. </w:t>
      </w:r>
      <w:r w:rsidRPr="00531900">
        <w:rPr>
          <w:rFonts w:ascii="Calibri" w:eastAsia="Calibri" w:hAnsi="Calibri"/>
          <w:sz w:val="22"/>
          <w:szCs w:val="22"/>
          <w:u w:val="single"/>
          <w:lang w:eastAsia="en-US"/>
        </w:rPr>
        <w:t>Todėl konkrečios teisinės pagalbos nutraukimas neturėtų būti siejamas su draudimu kreiptis dėl antrinės teisinės pagalbos suteikimo ateityje kitais atvejais, jei asmuo atitinka visas numatytas sąlygas antrinei teisinei pagalbai gauti</w:t>
      </w:r>
      <w:r w:rsidRPr="00531900">
        <w:rPr>
          <w:rFonts w:ascii="Calibri" w:eastAsia="Calibri" w:hAnsi="Calibri"/>
          <w:sz w:val="22"/>
          <w:szCs w:val="22"/>
          <w:lang w:eastAsia="en-US"/>
        </w:rPr>
        <w:t xml:space="preserve">. </w:t>
      </w:r>
    </w:p>
    <w:p w14:paraId="538E311E" w14:textId="77777777" w:rsidR="00531900" w:rsidRPr="00531900" w:rsidRDefault="00531900" w:rsidP="00531900">
      <w:pPr>
        <w:ind w:firstLine="567"/>
        <w:jc w:val="both"/>
        <w:rPr>
          <w:rFonts w:ascii="Calibri" w:eastAsia="Calibri" w:hAnsi="Calibri" w:cs="Calibri"/>
          <w:sz w:val="22"/>
          <w:szCs w:val="22"/>
          <w:lang w:bidi="lt-LT"/>
        </w:rPr>
      </w:pPr>
      <w:r w:rsidRPr="00531900">
        <w:rPr>
          <w:rFonts w:ascii="Calibri" w:eastAsia="Calibri" w:hAnsi="Calibri" w:cs="Calibri"/>
          <w:sz w:val="22"/>
          <w:szCs w:val="22"/>
          <w:lang w:bidi="lt-LT"/>
        </w:rPr>
        <w:t>Teisėjų kolegija konstatavo, kad pirmosios instancijos teismas nevertino aplinkybės, kad trečiasis ginčytas sprendimas yra susijęs su antrinės teisinės pagalbos nutraukimu visiškai kitoje situacijoje, nesusijusioje su pirmaisiais dviem sprendimais; teismas nenustatė, ar buvo aplinkybės, leidžiančios konstatuoti, jog pareiškėja piktnaudžiavo valstybės garantuojama teisine pagalba ir šiuo atveju. Atsižvelgiant į tai, atsakovo apeliacinis skundas tenkintas iš dalies, pareiškėjos skundo dalis dėl trečiojo ginčyto sprendimo grąžinta nagrinėti pirmosios instancijos teismui iš naujo, o likusi pareiškėjos skundo dalis atmesta.</w:t>
      </w:r>
    </w:p>
    <w:p w14:paraId="10FF2777" w14:textId="77777777" w:rsidR="00531900" w:rsidRPr="00531900" w:rsidRDefault="00531900" w:rsidP="00531900">
      <w:pPr>
        <w:ind w:firstLine="567"/>
        <w:jc w:val="both"/>
        <w:rPr>
          <w:rFonts w:ascii="Calibri" w:eastAsia="Calibri" w:hAnsi="Calibri" w:cs="Calibri"/>
          <w:sz w:val="22"/>
          <w:szCs w:val="22"/>
          <w:lang w:bidi="lt-LT"/>
        </w:rPr>
      </w:pPr>
    </w:p>
    <w:p w14:paraId="2799B25C" w14:textId="77777777" w:rsidR="00531900" w:rsidRPr="00531900" w:rsidRDefault="00531900" w:rsidP="00531900">
      <w:pPr>
        <w:jc w:val="both"/>
        <w:rPr>
          <w:rFonts w:ascii="Calibri" w:eastAsia="Calibri" w:hAnsi="Calibri"/>
          <w:sz w:val="22"/>
          <w:szCs w:val="22"/>
          <w:lang w:val="es-ES" w:eastAsia="en-US"/>
        </w:rPr>
      </w:pPr>
      <w:r w:rsidRPr="00531900">
        <w:rPr>
          <w:rFonts w:ascii="Calibri" w:eastAsia="Calibri" w:hAnsi="Calibri"/>
          <w:sz w:val="22"/>
          <w:szCs w:val="22"/>
          <w:lang w:eastAsia="en-US"/>
        </w:rPr>
        <w:t xml:space="preserve">2020 m. lapkričio 4 d. nutartis administracinėje byloje Nr. </w:t>
      </w:r>
      <w:r w:rsidRPr="00531900">
        <w:rPr>
          <w:rFonts w:ascii="Calibri" w:eastAsia="Calibri" w:hAnsi="Calibri"/>
          <w:sz w:val="22"/>
          <w:szCs w:val="22"/>
          <w:lang w:val="es-ES" w:eastAsia="en-US"/>
        </w:rPr>
        <w:t>A-4857-1062/2020</w:t>
      </w:r>
    </w:p>
    <w:p w14:paraId="4E5C3AC1" w14:textId="77777777" w:rsidR="00531900" w:rsidRPr="00531900" w:rsidRDefault="00531900" w:rsidP="00531900">
      <w:pPr>
        <w:jc w:val="both"/>
        <w:rPr>
          <w:rFonts w:ascii="Calibri" w:eastAsia="Calibri" w:hAnsi="Calibri"/>
          <w:sz w:val="22"/>
          <w:szCs w:val="22"/>
          <w:lang w:val="es-ES" w:eastAsia="en-US"/>
        </w:rPr>
      </w:pPr>
      <w:r w:rsidRPr="00531900">
        <w:rPr>
          <w:rFonts w:ascii="Calibri" w:eastAsia="Calibri" w:hAnsi="Calibri"/>
          <w:sz w:val="22"/>
          <w:szCs w:val="22"/>
          <w:lang w:val="es-ES" w:eastAsia="en-US"/>
        </w:rPr>
        <w:t>Teisminio proceso Nr. 3-64-3-00500-2020-5</w:t>
      </w:r>
    </w:p>
    <w:p w14:paraId="4346D4F5" w14:textId="77777777" w:rsidR="00531900" w:rsidRPr="00531900" w:rsidRDefault="00531900" w:rsidP="00531900">
      <w:pPr>
        <w:jc w:val="both"/>
        <w:rPr>
          <w:rFonts w:ascii="Calibri" w:eastAsia="Calibri" w:hAnsi="Calibri"/>
          <w:sz w:val="22"/>
          <w:szCs w:val="22"/>
          <w:lang w:val="es-ES" w:eastAsia="en-US"/>
        </w:rPr>
      </w:pPr>
      <w:r w:rsidRPr="00531900">
        <w:rPr>
          <w:rFonts w:ascii="Calibri" w:eastAsia="Calibri" w:hAnsi="Calibri"/>
          <w:sz w:val="22"/>
          <w:szCs w:val="22"/>
          <w:lang w:val="es-ES" w:eastAsia="en-US"/>
        </w:rPr>
        <w:t>Procesinio sprendimo kategorijos: 28.2; 28.4</w:t>
      </w:r>
    </w:p>
    <w:p w14:paraId="0F64827D" w14:textId="77777777" w:rsidR="00531900" w:rsidRPr="00531900" w:rsidRDefault="00822FF8" w:rsidP="00531900">
      <w:pPr>
        <w:jc w:val="both"/>
        <w:rPr>
          <w:rStyle w:val="Hipersaitas"/>
          <w:rFonts w:ascii="Calibri" w:hAnsi="Calibri" w:cs="Calibri"/>
          <w:sz w:val="22"/>
          <w:szCs w:val="22"/>
        </w:rPr>
      </w:pPr>
      <w:hyperlink r:id="rId26" w:history="1">
        <w:r w:rsidR="00531900" w:rsidRPr="00531900">
          <w:rPr>
            <w:rStyle w:val="Hipersaitas"/>
            <w:rFonts w:ascii="Calibri" w:hAnsi="Calibri" w:cs="Calibri"/>
            <w:sz w:val="22"/>
            <w:szCs w:val="22"/>
          </w:rPr>
          <w:t>Prieiga internete</w:t>
        </w:r>
      </w:hyperlink>
    </w:p>
    <w:p w14:paraId="58A0F346" w14:textId="77777777" w:rsidR="00531900" w:rsidRDefault="00531900" w:rsidP="007412F7">
      <w:pPr>
        <w:shd w:val="clear" w:color="auto" w:fill="FFFFFF"/>
        <w:tabs>
          <w:tab w:val="left" w:pos="3119"/>
        </w:tabs>
        <w:ind w:right="-1" w:firstLine="567"/>
        <w:jc w:val="both"/>
        <w:rPr>
          <w:rFonts w:ascii="Calibri" w:hAnsi="Calibri" w:cs="Calibri"/>
          <w:sz w:val="22"/>
          <w:szCs w:val="22"/>
        </w:rPr>
      </w:pPr>
    </w:p>
    <w:p w14:paraId="36236976" w14:textId="77777777" w:rsidR="00DC0E24" w:rsidRPr="00DC0E24" w:rsidRDefault="00DC0E24" w:rsidP="00DC0E24">
      <w:pPr>
        <w:keepNext/>
        <w:tabs>
          <w:tab w:val="left" w:pos="567"/>
        </w:tabs>
        <w:jc w:val="both"/>
        <w:outlineLvl w:val="0"/>
        <w:rPr>
          <w:rFonts w:ascii="Calibri" w:hAnsi="Calibri" w:cs="Calibri"/>
          <w:b/>
          <w:sz w:val="22"/>
          <w:szCs w:val="22"/>
          <w:u w:val="single"/>
        </w:rPr>
      </w:pPr>
      <w:bookmarkStart w:id="62" w:name="_Toc462149994"/>
      <w:bookmarkStart w:id="63" w:name="_Toc61261250"/>
      <w:r w:rsidRPr="00DC0E24">
        <w:rPr>
          <w:rFonts w:ascii="Calibri" w:hAnsi="Calibri" w:cs="Calibri"/>
          <w:b/>
          <w:sz w:val="22"/>
          <w:szCs w:val="22"/>
          <w:u w:val="single"/>
        </w:rPr>
        <w:t>30. Energetika</w:t>
      </w:r>
      <w:bookmarkEnd w:id="62"/>
      <w:bookmarkEnd w:id="63"/>
    </w:p>
    <w:p w14:paraId="079198A8" w14:textId="77777777" w:rsidR="00DC0E24" w:rsidRPr="00DC0E24" w:rsidRDefault="00DC0E24" w:rsidP="00DC0E24">
      <w:pPr>
        <w:tabs>
          <w:tab w:val="left" w:pos="567"/>
        </w:tabs>
        <w:ind w:left="567"/>
        <w:rPr>
          <w:rFonts w:ascii="Calibri" w:hAnsi="Calibri" w:cs="Calibri"/>
          <w:b/>
          <w:sz w:val="22"/>
          <w:szCs w:val="22"/>
          <w:u w:val="single"/>
        </w:rPr>
      </w:pPr>
      <w:r w:rsidRPr="00DC0E24">
        <w:rPr>
          <w:rFonts w:ascii="Calibri" w:hAnsi="Calibri" w:cs="Calibri"/>
          <w:b/>
          <w:sz w:val="22"/>
          <w:szCs w:val="22"/>
          <w:u w:val="single"/>
        </w:rPr>
        <w:t>30.5. Kiti su energetika susiję klausimai</w:t>
      </w:r>
    </w:p>
    <w:p w14:paraId="779A0EC3" w14:textId="77777777" w:rsidR="00DC0E24" w:rsidRPr="00AB466E" w:rsidRDefault="00DC0E24" w:rsidP="00DC0E24">
      <w:pPr>
        <w:jc w:val="both"/>
        <w:rPr>
          <w:rFonts w:asciiTheme="minorHAnsi" w:hAnsiTheme="minorHAnsi" w:cstheme="minorHAnsi"/>
        </w:rPr>
      </w:pPr>
    </w:p>
    <w:p w14:paraId="6C3555B5" w14:textId="77777777" w:rsidR="00DC0E24" w:rsidRPr="00DC0E24" w:rsidRDefault="00DC0E24" w:rsidP="00DC0E24">
      <w:pPr>
        <w:jc w:val="both"/>
        <w:outlineLvl w:val="1"/>
        <w:rPr>
          <w:rFonts w:ascii="Calibri" w:eastAsia="Calibri" w:hAnsi="Calibri" w:cs="Calibri"/>
          <w:i/>
          <w:sz w:val="22"/>
          <w:szCs w:val="22"/>
        </w:rPr>
      </w:pPr>
      <w:bookmarkStart w:id="64" w:name="_Toc61261251"/>
      <w:r w:rsidRPr="00DC0E24">
        <w:rPr>
          <w:rFonts w:ascii="Calibri" w:eastAsia="Calibri" w:hAnsi="Calibri" w:cs="Calibri"/>
          <w:i/>
          <w:sz w:val="22"/>
          <w:szCs w:val="22"/>
        </w:rPr>
        <w:t>Dėl priežiūros institucijos teisės ir prielaidų taikyti lyginamuosius rodiklius (lyginamosios analizės metodą) sprendžiant dėl šilumos tiekėjo sąnaudų, dengiamų reguliuojamos veiklos pajamomis, pripažinimo būtinomis</w:t>
      </w:r>
      <w:bookmarkEnd w:id="64"/>
    </w:p>
    <w:p w14:paraId="5525FF28" w14:textId="77777777" w:rsidR="00DC0E24" w:rsidRPr="00DC0E24" w:rsidRDefault="00DC0E24" w:rsidP="00DC0E24">
      <w:pPr>
        <w:jc w:val="both"/>
        <w:outlineLvl w:val="1"/>
        <w:rPr>
          <w:rFonts w:ascii="Calibri" w:eastAsia="Calibri" w:hAnsi="Calibri" w:cs="Calibri"/>
          <w:i/>
          <w:sz w:val="22"/>
          <w:szCs w:val="22"/>
        </w:rPr>
      </w:pPr>
      <w:bookmarkStart w:id="65" w:name="_Toc61261252"/>
      <w:r w:rsidRPr="00DC0E24">
        <w:rPr>
          <w:rFonts w:ascii="Calibri" w:eastAsia="Calibri" w:hAnsi="Calibri" w:cs="Calibri"/>
          <w:i/>
          <w:sz w:val="22"/>
          <w:szCs w:val="22"/>
        </w:rPr>
        <w:t>Dėl priežiūros institucijos teisės deleguoti dalį su ūkio subjekto veiklos priežiūra susijusių savo įgaliojimų kitiems asmenims</w:t>
      </w:r>
      <w:bookmarkEnd w:id="65"/>
    </w:p>
    <w:p w14:paraId="2DBA8BDB" w14:textId="77777777" w:rsidR="00DC0E24" w:rsidRPr="00DC0E24" w:rsidRDefault="00DC0E24" w:rsidP="00DC0E24">
      <w:pPr>
        <w:jc w:val="both"/>
        <w:outlineLvl w:val="1"/>
        <w:rPr>
          <w:rFonts w:ascii="Calibri" w:eastAsia="Calibri" w:hAnsi="Calibri" w:cs="Calibri"/>
          <w:i/>
          <w:sz w:val="22"/>
          <w:szCs w:val="22"/>
        </w:rPr>
      </w:pPr>
      <w:bookmarkStart w:id="66" w:name="_Toc61261253"/>
      <w:r w:rsidRPr="00DC0E24">
        <w:rPr>
          <w:rFonts w:ascii="Calibri" w:eastAsia="Calibri" w:hAnsi="Calibri" w:cs="Calibri"/>
          <w:i/>
          <w:sz w:val="22"/>
          <w:szCs w:val="22"/>
        </w:rPr>
        <w:t>Dėl energetikos įmonių veiklos priežiūrą vykdančios institucijos teisės iš tikrinamo ūkio subjekto reikalauti pateikti patikrinimui atlikti reikalingą informaciją ribojimų</w:t>
      </w:r>
      <w:bookmarkEnd w:id="66"/>
    </w:p>
    <w:p w14:paraId="689420BB" w14:textId="77777777" w:rsidR="00DC0E24" w:rsidRPr="00DC0E24" w:rsidRDefault="00DC0E24" w:rsidP="00DC0E24">
      <w:pPr>
        <w:ind w:firstLine="567"/>
        <w:jc w:val="both"/>
        <w:rPr>
          <w:rFonts w:ascii="Calibri" w:eastAsia="Calibri" w:hAnsi="Calibri" w:cs="Calibri"/>
          <w:sz w:val="22"/>
          <w:szCs w:val="22"/>
          <w:lang w:bidi="lt-LT"/>
        </w:rPr>
      </w:pPr>
    </w:p>
    <w:p w14:paraId="15B88D6A" w14:textId="4DAA5302" w:rsidR="00DC0E24" w:rsidRPr="00DC0E24" w:rsidRDefault="00DC0E24" w:rsidP="00DC0E24">
      <w:pPr>
        <w:ind w:firstLine="567"/>
        <w:jc w:val="both"/>
        <w:rPr>
          <w:rFonts w:ascii="Calibri" w:eastAsia="Calibri" w:hAnsi="Calibri" w:cs="Calibri"/>
          <w:sz w:val="22"/>
          <w:szCs w:val="22"/>
          <w:lang w:bidi="lt-LT"/>
        </w:rPr>
      </w:pPr>
      <w:r w:rsidRPr="00DC0E24">
        <w:rPr>
          <w:rFonts w:ascii="Calibri" w:eastAsia="Calibri" w:hAnsi="Calibri" w:cs="Calibri"/>
          <w:sz w:val="22"/>
          <w:szCs w:val="22"/>
          <w:lang w:bidi="lt-LT"/>
        </w:rPr>
        <w:t>Apžvelgiamoje byloje buvo nagrinėjamas ginčas dėl Valstybinės kainų ir energetikos kontrolės komisijos (toliau – Komisija) nutarimo, kuriuo patvirtintas patikrinimo aktas, surašytas atlikus pareiškėjo (energetikos įmonės, šilumos tiekėjo) planinį patikrinimą dėl, be kita ko, 2012–2014 metais iš reguliuojamos veiklos pajamų dengiamų sąnaudų pripažinimo būtinomis ir jų (sąnaudų) tinkamo priskyrimo reguliuojamai veiklai. Ši patikrinimo dalis atlikta iš esmės siekiant įvertinti, ar pareiškėjas laikėsi Energetikos įstatyme ir Šilumos ūkio įstatyme bei juos įgyvendinančiuose teisės aktuose įtvirtinto mažiausių sąnaudų principo ir kad šilumos kainos buvo grindžiamos būtinųjų sąnaudų principu, taip pat tinkamai šias sąnaudas priskyrė reguliuojamai veiklai.</w:t>
      </w:r>
    </w:p>
    <w:p w14:paraId="6415C910" w14:textId="34F131E2" w:rsidR="00DC0E24" w:rsidRPr="00DC0E24" w:rsidRDefault="00DC0E24" w:rsidP="00DC0E24">
      <w:pPr>
        <w:ind w:firstLine="567"/>
        <w:jc w:val="both"/>
        <w:rPr>
          <w:rFonts w:ascii="Calibri" w:eastAsia="Calibri" w:hAnsi="Calibri" w:cs="Calibri"/>
          <w:sz w:val="22"/>
          <w:szCs w:val="22"/>
          <w:lang w:bidi="lt-LT"/>
        </w:rPr>
      </w:pPr>
      <w:r w:rsidRPr="55FEB3D6">
        <w:rPr>
          <w:rFonts w:ascii="Calibri" w:eastAsia="Calibri" w:hAnsi="Calibri" w:cs="Calibri"/>
          <w:sz w:val="22"/>
          <w:szCs w:val="22"/>
          <w:lang w:bidi="lt-LT"/>
        </w:rPr>
        <w:t>Konkrečiai buvo atliktas Viešojo administravimo įstatyme numatytas ūkio subjekto (reguliuojamos) veiklos planinis patikrinimas, kurio atlikimo tvarka buvo detalizuota Energetikos įmonių reguliuojamos veiklos patikrinimų tvarkos apraše, patvirtintame Komisijos 2014 m. gegužės 26 d. nutarimu Nr. O3 140 (toliau –</w:t>
      </w:r>
      <w:r w:rsidR="5E8776D6" w:rsidRPr="55FEB3D6">
        <w:rPr>
          <w:rFonts w:ascii="Calibri" w:eastAsia="Calibri" w:hAnsi="Calibri" w:cs="Calibri"/>
          <w:sz w:val="22"/>
          <w:szCs w:val="22"/>
          <w:lang w:bidi="lt-LT"/>
        </w:rPr>
        <w:t xml:space="preserve"> </w:t>
      </w:r>
      <w:r w:rsidRPr="55FEB3D6">
        <w:rPr>
          <w:rFonts w:ascii="Calibri" w:eastAsia="Calibri" w:hAnsi="Calibri" w:cs="Calibri"/>
          <w:sz w:val="22"/>
          <w:szCs w:val="22"/>
          <w:lang w:bidi="lt-LT"/>
        </w:rPr>
        <w:t>Patikrinimų tvarkos aprašas). Atlikusi šį patikrinimą Komisija iš esmės konstatavo įvairius pažeidimus bei vertino, kad dėl šių pažeidimų pareiškėjas neteisėtai gavo atitinkamų pajamų. Pirmosios instancijos teismas pareiškėjo skundą atmetė ir Komisijos nutarimą paliko nepakeistą.</w:t>
      </w:r>
    </w:p>
    <w:p w14:paraId="32CF5570" w14:textId="2BCC3BB6" w:rsidR="00DC0E24" w:rsidRPr="00DC0E24" w:rsidRDefault="00DC0E24" w:rsidP="00DC0E24">
      <w:pPr>
        <w:ind w:firstLine="567"/>
        <w:jc w:val="both"/>
        <w:rPr>
          <w:rFonts w:ascii="Calibri" w:eastAsia="Calibri" w:hAnsi="Calibri" w:cs="Calibri"/>
          <w:sz w:val="22"/>
          <w:szCs w:val="22"/>
          <w:lang w:bidi="lt-LT"/>
        </w:rPr>
      </w:pPr>
      <w:r w:rsidRPr="55FEB3D6">
        <w:rPr>
          <w:rFonts w:ascii="Calibri" w:eastAsia="Calibri" w:hAnsi="Calibri" w:cs="Calibri"/>
          <w:sz w:val="22"/>
          <w:szCs w:val="22"/>
          <w:lang w:bidi="lt-LT"/>
        </w:rPr>
        <w:t>Ginčui aktual</w:t>
      </w:r>
      <w:r w:rsidR="5CD00198" w:rsidRPr="55FEB3D6">
        <w:rPr>
          <w:rFonts w:ascii="Calibri" w:eastAsia="Calibri" w:hAnsi="Calibri" w:cs="Calibri"/>
          <w:sz w:val="22"/>
          <w:szCs w:val="22"/>
          <w:lang w:bidi="lt-LT"/>
        </w:rPr>
        <w:t>ūs</w:t>
      </w:r>
      <w:r w:rsidRPr="55FEB3D6">
        <w:rPr>
          <w:rFonts w:ascii="Calibri" w:eastAsia="Calibri" w:hAnsi="Calibri" w:cs="Calibri"/>
          <w:sz w:val="22"/>
          <w:szCs w:val="22"/>
          <w:lang w:bidi="lt-LT"/>
        </w:rPr>
        <w:t xml:space="preserve"> Šilumos kainų nustatymo metodikos, patvirtintos Komisijos 2009 m. liepos 8 d. nutarimu Nr. 03-96 (toliau – Šilumos kainų nustatymo metodika), 56.1 ir 56.7 punktai (Komisijos 2013 m. vasario 28 d. nutarimo Nr. O3-73 redakcija) atitinkamai įtvirtino, kad „nustatant šilumos bazinę kainą (kainos dedamąsias), atsižvelgiama į: &lt;...&gt; atitinkamiems verslo vienetams ir atitinkamoms paslaugoms (produktams) faktiškai priskirtų būtinųjų sąnaudų apimtį paskutiniais trejais metais; &lt;...&gt; Komisijos atliktų reguliuojamų paslaugų sąnaudų pagrįstumo (būtinumo) patikrinimų, atliekamų vadovaujantis [Patikrinimų tvarkos aprašu], rezultatus.“ Energetikos įstatymo (toliau tekste remiamasi 2011 m. gruodžio 22 d. įstatymo Nr. XI 1888 redakcija, išskyrus atskirai nurodytus atvejus) 8 straipsnio 9 dalies 7 punkte taip pat nurodyta, kad Komisija, „nustatydama </w:t>
      </w:r>
      <w:r w:rsidRPr="55FEB3D6">
        <w:rPr>
          <w:rFonts w:ascii="Calibri" w:eastAsia="Calibri" w:hAnsi="Calibri" w:cs="Calibri"/>
          <w:sz w:val="22"/>
          <w:szCs w:val="22"/>
          <w:lang w:bidi="lt-LT"/>
        </w:rPr>
        <w:lastRenderedPageBreak/>
        <w:t xml:space="preserve">valstybės reguliuojamas kainas, įvertina teikiamų paslaugų sąnaudas atsižvelgdama į protingumo kriterijus atitinkančią investicijų grąžą“. </w:t>
      </w:r>
    </w:p>
    <w:p w14:paraId="570D6F5F" w14:textId="77777777" w:rsidR="00DC0E24" w:rsidRPr="00DC0E24" w:rsidRDefault="00DC0E24" w:rsidP="00DC0E24">
      <w:pPr>
        <w:ind w:firstLine="567"/>
        <w:jc w:val="both"/>
        <w:rPr>
          <w:rFonts w:ascii="Calibri" w:eastAsia="Calibri" w:hAnsi="Calibri" w:cs="Calibri"/>
          <w:sz w:val="22"/>
          <w:szCs w:val="22"/>
          <w:lang w:bidi="lt-LT"/>
        </w:rPr>
      </w:pPr>
      <w:r w:rsidRPr="00DC0E24">
        <w:rPr>
          <w:rFonts w:ascii="Calibri" w:eastAsia="Calibri" w:hAnsi="Calibri" w:cs="Calibri"/>
          <w:sz w:val="22"/>
          <w:szCs w:val="22"/>
          <w:lang w:bidi="lt-LT"/>
        </w:rPr>
        <w:t>Nagrinėtu atveju dalis nurodytų sąnaudų bei, atitinkamai, normatyvinis pelnas (investicijų grąža) minėtais aspektais buvo įvertinti įprastine tvarka, o dalis – taikant apskaičiuotus lyginamuosius rodiklius. Konkrečiai Komisija vertino, kad dėl duomenų trūkumo ji neturėjo galimybės įsitikinti pareiškėjo sąnaudų būtinumu ir pagrįstumu bei teisingu paskirstymu tarp vykdomų veiklų, todėl ji 2012–2014 m. sąnaudų vertinimui pasirinko palyginamąją analizę, pagrįstą rodiklių palyginimu su kitų šilumos tiekėjų sąnaudomis.</w:t>
      </w:r>
    </w:p>
    <w:p w14:paraId="39766681" w14:textId="77777777" w:rsidR="00DC0E24" w:rsidRPr="00DC0E24" w:rsidRDefault="00DC0E24" w:rsidP="00DC0E24">
      <w:pPr>
        <w:ind w:firstLine="567"/>
        <w:jc w:val="both"/>
        <w:rPr>
          <w:rFonts w:ascii="Calibri" w:eastAsia="Calibri" w:hAnsi="Calibri" w:cs="Calibri"/>
          <w:sz w:val="22"/>
          <w:szCs w:val="22"/>
          <w:lang w:bidi="lt-LT"/>
        </w:rPr>
      </w:pPr>
      <w:r w:rsidRPr="00DC0E24">
        <w:rPr>
          <w:rFonts w:ascii="Calibri" w:eastAsia="Calibri" w:hAnsi="Calibri" w:cs="Calibri"/>
          <w:sz w:val="22"/>
          <w:szCs w:val="22"/>
          <w:lang w:bidi="lt-LT"/>
        </w:rPr>
        <w:t>Šiuo aspektu išplėstinė teisėjų kolegija pažymėjo, kad iš tiesų ginčui aktualiu laikotarpiu galiojusios įstatymų ir kitų norminių aktų nuostatos eksplicitiškai neįtvirtino Komisijos teisės (galimybės) minėtų patirtų sąnaudų būtinumą ir pagrįstumą bei jų paskirstymą atitinkamoms veikloms vertinti taikant lyginamosios analizės metodą, o ne įprastu būdu, t. y. analizuojant (tikrinant, vertinant) sąnaudas ir jų paskirstymą pagrindžiančius dokumentus bei susijusią informaciją.</w:t>
      </w:r>
    </w:p>
    <w:p w14:paraId="0E473849" w14:textId="77777777" w:rsidR="00DC0E24" w:rsidRPr="00DC0E24" w:rsidRDefault="00DC0E24" w:rsidP="00DC0E24">
      <w:pPr>
        <w:ind w:firstLine="567"/>
        <w:jc w:val="both"/>
        <w:rPr>
          <w:rFonts w:ascii="Calibri" w:eastAsia="Calibri" w:hAnsi="Calibri" w:cs="Calibri"/>
          <w:sz w:val="22"/>
          <w:szCs w:val="22"/>
          <w:lang w:bidi="lt-LT"/>
        </w:rPr>
      </w:pPr>
      <w:r w:rsidRPr="00DC0E24">
        <w:rPr>
          <w:rFonts w:ascii="Calibri" w:eastAsia="Calibri" w:hAnsi="Calibri" w:cs="Calibri"/>
          <w:sz w:val="22"/>
          <w:szCs w:val="22"/>
          <w:lang w:bidi="lt-LT"/>
        </w:rPr>
        <w:t xml:space="preserve">Tačiau LVAT teigimu, </w:t>
      </w:r>
      <w:r w:rsidRPr="00DC0E24">
        <w:rPr>
          <w:rFonts w:ascii="Calibri" w:eastAsia="Calibri" w:hAnsi="Calibri" w:cs="Calibri"/>
          <w:sz w:val="22"/>
          <w:szCs w:val="22"/>
          <w:u w:val="single"/>
          <w:lang w:bidi="lt-LT"/>
        </w:rPr>
        <w:t>netoleruotina situacija, kai Komisijos vykdomos ūkio subjekto reguliuojamos veiklos priežiūros tikslai negalėtų būti pasiekti dėl to, kad šis subjektas nevykdo arba netinkamai vykdo savo pareigas, kaip, pavyzdžiui, tinkamai tvarkyti savo (reguliuojamos veiklos) apskaitą, saugoti apskaitos ar kitus dokumentus, bendradarbiauti patikrinimo metu ir kt. Todėl tais atvejais, kai ūkio subjektas nevykdo arba netinkamai vykdo savo pareigas ir dėl to Komisija negali nustatyti ir (ar) įvertinti reikšmingų duomenų ir (ar) aplinkybių, susijusių su patikrinimo tikslais, minėtu įprastiniu būdu, šiuos duomenis ir (ar) aplinkybes Komisija gali nustatyti ir (ar) įvertinti atsižvelgdama į visas įvertinimui reikšmingas aplinkybes, turimą informaciją ir prireikus parinkdama savo nustatytus įvertinimo metodus (būdus), atitinkančius protingumo bei, kiek objektyviai įmanoma, tikslumo reikalavimus</w:t>
      </w:r>
      <w:r w:rsidRPr="00DC0E24">
        <w:rPr>
          <w:rFonts w:ascii="Calibri" w:eastAsia="Calibri" w:hAnsi="Calibri" w:cs="Calibri"/>
          <w:sz w:val="22"/>
          <w:szCs w:val="22"/>
          <w:lang w:bidi="lt-LT"/>
        </w:rPr>
        <w:t>. Be to, pasirinktas metodas (būdas) ir jo taikymas, be kita ko, turi nepažeisti objektyvumo, proporcingumo ir lygiateisiškumo principų.</w:t>
      </w:r>
    </w:p>
    <w:p w14:paraId="5D46FEB1" w14:textId="10271DB9" w:rsidR="00DC0E24" w:rsidRPr="00DC0E24" w:rsidRDefault="00DC0E24" w:rsidP="00DC0E24">
      <w:pPr>
        <w:ind w:firstLine="567"/>
        <w:jc w:val="both"/>
        <w:rPr>
          <w:rFonts w:ascii="Calibri" w:eastAsia="Calibri" w:hAnsi="Calibri" w:cs="Calibri"/>
          <w:sz w:val="22"/>
          <w:szCs w:val="22"/>
          <w:lang w:bidi="lt-LT"/>
        </w:rPr>
      </w:pPr>
      <w:r w:rsidRPr="00DC0E24">
        <w:rPr>
          <w:rFonts w:ascii="Calibri" w:eastAsia="Calibri" w:hAnsi="Calibri" w:cs="Calibri"/>
          <w:sz w:val="22"/>
          <w:szCs w:val="22"/>
          <w:lang w:bidi="lt-LT"/>
        </w:rPr>
        <w:t>Konkrečiai Komisija apskaičiuotus pareiškėjo veiklos rodiklius lygino su kitų ūkio subjektų, kuriems Šilumos ūkio įstatymas numato taikyti privalomąjį reguliavimą šilumos ir karšto vandens kainodaros srityje, „&lt;...&gt; pagal žinomus kriterijus apskaičiuotais lyginamaisiais rodikliais &lt;...&gt;“, t. y. Komisija naudojo vertinamuosius ekonominius rodiklius, apskaičiuotus pagal Šilumos gamybos, perdavimo, pardavimo, karšto vandens tiekimo ir atsiskaitomųjų karšto vandens apskaitos prietaisų aptarnavimo veiklų lyginamosios analizės apraše, patvirtintame Komisijos 2011 m. liepos 29 d. nutarimu Nr. O3-219 (toliau –</w:t>
      </w:r>
      <w:r>
        <w:rPr>
          <w:rFonts w:ascii="Calibri" w:eastAsia="Calibri" w:hAnsi="Calibri" w:cs="Calibri"/>
          <w:sz w:val="22"/>
          <w:szCs w:val="22"/>
          <w:lang w:bidi="lt-LT"/>
        </w:rPr>
        <w:t xml:space="preserve"> </w:t>
      </w:r>
      <w:r w:rsidRPr="00DC0E24">
        <w:rPr>
          <w:rFonts w:ascii="Calibri" w:eastAsia="Calibri" w:hAnsi="Calibri" w:cs="Calibri"/>
          <w:sz w:val="22"/>
          <w:szCs w:val="22"/>
          <w:lang w:bidi="lt-LT"/>
        </w:rPr>
        <w:t>Lyginamosios analizės aprašas), nustatytas taisykles ir principus, remiantis kitų tai pačiai grupei, kaip ir pareiškėjas, priklausančių ūkio subjektų Komisijai pateiktais duomenimis.</w:t>
      </w:r>
    </w:p>
    <w:p w14:paraId="07A5B2A8" w14:textId="79B3097E" w:rsidR="00DC0E24" w:rsidRPr="00DC0E24" w:rsidRDefault="00DC0E24" w:rsidP="00DC0E24">
      <w:pPr>
        <w:ind w:firstLine="567"/>
        <w:jc w:val="both"/>
        <w:rPr>
          <w:rFonts w:ascii="Calibri" w:eastAsia="Calibri" w:hAnsi="Calibri" w:cs="Calibri"/>
          <w:sz w:val="22"/>
          <w:szCs w:val="22"/>
          <w:lang w:bidi="lt-LT"/>
        </w:rPr>
      </w:pPr>
      <w:r w:rsidRPr="55FEB3D6">
        <w:rPr>
          <w:rFonts w:ascii="Calibri" w:eastAsia="Calibri" w:hAnsi="Calibri" w:cs="Calibri"/>
          <w:sz w:val="22"/>
          <w:szCs w:val="22"/>
          <w:lang w:bidi="lt-LT"/>
        </w:rPr>
        <w:t xml:space="preserve">Išplėstinė teisėjų kolegija, įvertinusi lyginamųjų rodiklių nustatymo taisykles ir principus (Lyginamosios analizės aprašo 9, 12–16 p.), neturėjo pagrindo teigti, kad aptariamų rodiklių taikymas savaime pažeistų minėtus reikalavimus ir (ar) kad jų taikymas būtų akivaizdžiai netinkamas siekiant atlikti kiek įmanomą tikslesnį pareiškėjo sąnaudų vertinimą. </w:t>
      </w:r>
      <w:r w:rsidRPr="55FEB3D6">
        <w:rPr>
          <w:rFonts w:ascii="Calibri" w:eastAsia="Calibri" w:hAnsi="Calibri" w:cs="Calibri"/>
          <w:sz w:val="22"/>
          <w:szCs w:val="22"/>
          <w:u w:val="single"/>
          <w:lang w:bidi="lt-LT"/>
        </w:rPr>
        <w:t>Tai bei aplinkybė, kad aptariamas metodo taikymas yra siejamas su tikrin</w:t>
      </w:r>
      <w:r w:rsidR="6BBA81B9" w:rsidRPr="55FEB3D6">
        <w:rPr>
          <w:rFonts w:ascii="Calibri" w:eastAsia="Calibri" w:hAnsi="Calibri" w:cs="Calibri"/>
          <w:sz w:val="22"/>
          <w:szCs w:val="22"/>
          <w:u w:val="single"/>
          <w:lang w:bidi="lt-LT"/>
        </w:rPr>
        <w:t>a</w:t>
      </w:r>
      <w:r w:rsidRPr="55FEB3D6">
        <w:rPr>
          <w:rFonts w:ascii="Calibri" w:eastAsia="Calibri" w:hAnsi="Calibri" w:cs="Calibri"/>
          <w:sz w:val="22"/>
          <w:szCs w:val="22"/>
          <w:u w:val="single"/>
          <w:lang w:bidi="lt-LT"/>
        </w:rPr>
        <w:t>mo ūkio subjekto pareigų nevykdymu ar netinkamu jų vykdymu, implikuoja būtent šio subjekto pareigą įrodyti, kad pats metodas ir (ar) jo taikymas yra netinkamas siekiamam tikslui</w:t>
      </w:r>
      <w:r w:rsidRPr="55FEB3D6">
        <w:rPr>
          <w:rFonts w:ascii="Calibri" w:eastAsia="Calibri" w:hAnsi="Calibri" w:cs="Calibri"/>
          <w:sz w:val="22"/>
          <w:szCs w:val="22"/>
          <w:lang w:bidi="lt-LT"/>
        </w:rPr>
        <w:t>.</w:t>
      </w:r>
    </w:p>
    <w:p w14:paraId="7AC38F26" w14:textId="78FD65BC" w:rsidR="00DC0E24" w:rsidRPr="00DC0E24" w:rsidRDefault="00DC0E24" w:rsidP="00DC0E24">
      <w:pPr>
        <w:ind w:firstLine="567"/>
        <w:jc w:val="both"/>
        <w:rPr>
          <w:rFonts w:asciiTheme="minorHAnsi" w:hAnsiTheme="minorHAnsi" w:cstheme="minorHAnsi"/>
          <w:sz w:val="22"/>
          <w:szCs w:val="22"/>
        </w:rPr>
      </w:pPr>
      <w:r w:rsidRPr="00DC0E24">
        <w:rPr>
          <w:rFonts w:ascii="Calibri" w:eastAsia="Calibri" w:hAnsi="Calibri" w:cs="Calibri"/>
          <w:sz w:val="22"/>
          <w:szCs w:val="22"/>
          <w:lang w:bidi="lt-LT"/>
        </w:rPr>
        <w:t>Vis dėlto, kaip pažymėjo išplėstinė teisėjų kolegija, prieš pasisakant dėl apelianto argumentų, susijusių su netinkamu lyginamųjų rodiklių nustatymu ir jų taikymu, pirmiausia būtina įvertinti, ar apskritai buvo</w:t>
      </w:r>
      <w:r w:rsidRPr="00DC0E24">
        <w:rPr>
          <w:rFonts w:asciiTheme="minorHAnsi" w:hAnsiTheme="minorHAnsi" w:cstheme="minorHAnsi"/>
          <w:sz w:val="22"/>
          <w:szCs w:val="22"/>
          <w:u w:val="single"/>
        </w:rPr>
        <w:t xml:space="preserve"> pagrindas nagrinėjamu atveju taikyti lyginamosios analizės metodą. </w:t>
      </w:r>
      <w:r>
        <w:rPr>
          <w:rFonts w:asciiTheme="minorHAnsi" w:hAnsiTheme="minorHAnsi" w:cstheme="minorHAnsi"/>
          <w:sz w:val="22"/>
          <w:szCs w:val="22"/>
          <w:u w:val="single"/>
        </w:rPr>
        <w:t>LVAT pažymėjo</w:t>
      </w:r>
      <w:r w:rsidRPr="00DC0E24">
        <w:rPr>
          <w:rFonts w:asciiTheme="minorHAnsi" w:hAnsiTheme="minorHAnsi" w:cstheme="minorHAnsi"/>
          <w:sz w:val="22"/>
          <w:szCs w:val="22"/>
          <w:u w:val="single"/>
        </w:rPr>
        <w:t>, jog atsakovo nagrinė</w:t>
      </w:r>
      <w:r>
        <w:rPr>
          <w:rFonts w:asciiTheme="minorHAnsi" w:hAnsiTheme="minorHAnsi" w:cstheme="minorHAnsi"/>
          <w:sz w:val="22"/>
          <w:szCs w:val="22"/>
          <w:u w:val="single"/>
        </w:rPr>
        <w:t>t</w:t>
      </w:r>
      <w:r w:rsidRPr="00DC0E24">
        <w:rPr>
          <w:rFonts w:asciiTheme="minorHAnsi" w:hAnsiTheme="minorHAnsi" w:cstheme="minorHAnsi"/>
          <w:sz w:val="22"/>
          <w:szCs w:val="22"/>
          <w:u w:val="single"/>
        </w:rPr>
        <w:t xml:space="preserve">u atveju pasirinktas sąnaudų įvertinimo būdas (metodas) nebuvo numatytas teisės aktuose, jo taikymas susijęs su poveikiu ūkio subjekto gautų pajamų paskirstymui (t. y. ir poveikiu jo nuosavybei), todėl prielaidos nukrypti nuo bendrų taisyklių turi būti aiškinamos ir taikomos griežtai. Be to, pareiga įrodyti, kad tikrinamas ūkio subjektas nevykdė ar netinkamai vykdė savo pareigas ir dėl to šio subjekto reguliuojamos veiklos patikrinimo tikslai negali būti pasiekti minėtu įprastiniu būdu, tenka patikrinimą atliekančiai institucijai </w:t>
      </w:r>
      <w:r w:rsidRPr="00DC0E24">
        <w:rPr>
          <w:rFonts w:asciiTheme="minorHAnsi" w:hAnsiTheme="minorHAnsi" w:cstheme="minorHAnsi"/>
          <w:sz w:val="22"/>
          <w:szCs w:val="22"/>
        </w:rPr>
        <w:t>(nagrinėtu atveju – atsakovui). LVAT paminėjo ir tai, kad</w:t>
      </w:r>
      <w:r w:rsidRPr="00DC0E24">
        <w:rPr>
          <w:rFonts w:asciiTheme="minorHAnsi" w:hAnsiTheme="minorHAnsi" w:cstheme="minorHAnsi"/>
          <w:sz w:val="22"/>
          <w:szCs w:val="22"/>
          <w:u w:val="single"/>
        </w:rPr>
        <w:t xml:space="preserve"> aptariamos išimties iš bendros taisyklės taikymas yra siejamas ne su aplinkybe, kad pareiškėjas neįrodė, jog sąnaudos yra būtinos ir jos atitinkamoms veikloms paskirstytos teisingai, bet su tuo, kad dėl jo pareigų nevykdymo (netinkamo vykdymo) priežiūros institucija negali šių sąnaudų įvertinti minėta įprastine tvarka</w:t>
      </w:r>
      <w:r w:rsidRPr="00DC0E24">
        <w:rPr>
          <w:rFonts w:asciiTheme="minorHAnsi" w:hAnsiTheme="minorHAnsi" w:cstheme="minorHAnsi"/>
          <w:sz w:val="22"/>
          <w:szCs w:val="22"/>
        </w:rPr>
        <w:t>.</w:t>
      </w:r>
    </w:p>
    <w:p w14:paraId="3B57A6E1" w14:textId="1521E7D0" w:rsidR="00DC0E24" w:rsidRPr="00DC0E24" w:rsidRDefault="00DC0E24" w:rsidP="00DC0E24">
      <w:pPr>
        <w:ind w:firstLine="567"/>
        <w:jc w:val="both"/>
        <w:rPr>
          <w:rFonts w:ascii="Calibri" w:eastAsia="Calibri" w:hAnsi="Calibri" w:cs="Calibri"/>
          <w:sz w:val="22"/>
          <w:szCs w:val="22"/>
          <w:lang w:bidi="lt-LT"/>
        </w:rPr>
      </w:pPr>
      <w:r w:rsidRPr="00DC0E24">
        <w:rPr>
          <w:rFonts w:ascii="Calibri" w:eastAsia="Calibri" w:hAnsi="Calibri" w:cs="Calibri"/>
          <w:sz w:val="22"/>
          <w:szCs w:val="22"/>
          <w:lang w:bidi="lt-LT"/>
        </w:rPr>
        <w:t>Šiuo aspektu patikrinimo akte buvo, be kita ko, nurodyta, jog pareiškėjas: (1) nesutiko tiesiogiai bendrauti su Komisijos pasamdytu nepriklausomu auditoriumi (auditoriui tiesiogiai teikti jo prašomą informaciją) ir su juo nepasirašė konfidencialumo sutarties; (2) beveik viso patikrinimo metu [pareiškėjas] nepaskyrė įgaliotų atsakingų asmenų; (3) nepateikė visos prašytos informacijos nurodyta forma, iš pateiktos abstrakčios, prieštaringos ir neišsamios informacijos Komisija negalėjo daryti reguliuojamoms veikloms priskirtų sąnaudų, dengiamų reguliuojamų veiklų pajamomis, pagrįstumo vertinimų.</w:t>
      </w:r>
    </w:p>
    <w:p w14:paraId="2CA9EC2B" w14:textId="58D58F08" w:rsidR="00DC0E24" w:rsidRPr="00DC0E24" w:rsidRDefault="00DC0E24" w:rsidP="00DC0E24">
      <w:pPr>
        <w:ind w:firstLine="567"/>
        <w:jc w:val="both"/>
        <w:rPr>
          <w:rFonts w:ascii="Calibri" w:eastAsia="Calibri" w:hAnsi="Calibri" w:cs="Calibri"/>
          <w:sz w:val="22"/>
          <w:szCs w:val="22"/>
          <w:lang w:bidi="lt-LT"/>
        </w:rPr>
      </w:pPr>
      <w:r w:rsidRPr="00DC0E24">
        <w:rPr>
          <w:rFonts w:ascii="Calibri" w:eastAsia="Calibri" w:hAnsi="Calibri" w:cs="Calibri"/>
          <w:sz w:val="22"/>
          <w:szCs w:val="22"/>
          <w:lang w:bidi="lt-LT"/>
        </w:rPr>
        <w:lastRenderedPageBreak/>
        <w:t>Pirmuoju aspektu, t. y. dėl bendradarbiavimo su auditoriumi, atsakovas rėmėsi Patikrinimų tvarkos aprašo 30 punktu</w:t>
      </w:r>
      <w:r w:rsidR="00721073">
        <w:rPr>
          <w:rFonts w:ascii="Calibri" w:eastAsia="Calibri" w:hAnsi="Calibri" w:cs="Calibri"/>
          <w:sz w:val="22"/>
          <w:szCs w:val="22"/>
          <w:lang w:bidi="lt-LT"/>
        </w:rPr>
        <w:t>,</w:t>
      </w:r>
      <w:r w:rsidRPr="00DC0E24">
        <w:rPr>
          <w:rFonts w:ascii="Calibri" w:eastAsia="Calibri" w:hAnsi="Calibri" w:cs="Calibri"/>
          <w:sz w:val="22"/>
          <w:szCs w:val="22"/>
          <w:lang w:bidi="lt-LT"/>
        </w:rPr>
        <w:t xml:space="preserve"> kuris nustatė, jog „Komisija patikrinimui atlikti turi teisę pasitelkti ekspertus ar specialistus iš kitų valstybės institucijų bei organizacijų, jeigu reikalingos jų specialios žinios ar patirtis.“</w:t>
      </w:r>
    </w:p>
    <w:p w14:paraId="0DD5ECB7" w14:textId="593929E2" w:rsidR="00DC0E24" w:rsidRPr="00DC0E24" w:rsidRDefault="00DC0E24" w:rsidP="00DC0E24">
      <w:pPr>
        <w:ind w:firstLine="567"/>
        <w:jc w:val="both"/>
        <w:rPr>
          <w:rFonts w:ascii="Calibri" w:eastAsia="Calibri" w:hAnsi="Calibri" w:cs="Calibri"/>
          <w:sz w:val="22"/>
          <w:szCs w:val="22"/>
          <w:lang w:bidi="lt-LT"/>
        </w:rPr>
      </w:pPr>
      <w:r w:rsidRPr="55FEB3D6">
        <w:rPr>
          <w:rFonts w:ascii="Calibri" w:eastAsia="Calibri" w:hAnsi="Calibri" w:cs="Calibri"/>
          <w:sz w:val="22"/>
          <w:szCs w:val="22"/>
          <w:lang w:bidi="lt-LT"/>
        </w:rPr>
        <w:t>Tačiau LVAT pažymėjo, kad aptariama ūkio subjektų veiklos priežiūra – įstatymo nustatyta tvarka</w:t>
      </w:r>
      <w:r w:rsidRPr="55FEB3D6">
        <w:rPr>
          <w:rFonts w:asciiTheme="minorHAnsi" w:hAnsiTheme="minorHAnsi" w:cstheme="minorBidi"/>
          <w:sz w:val="22"/>
          <w:szCs w:val="22"/>
        </w:rPr>
        <w:t xml:space="preserve"> įgaliotų viešojo administravimo subjektų veikla (Viešojo administravimo įstatymo 36</w:t>
      </w:r>
      <w:r w:rsidRPr="55FEB3D6">
        <w:rPr>
          <w:rFonts w:asciiTheme="minorHAnsi" w:hAnsiTheme="minorHAnsi" w:cstheme="minorBidi"/>
          <w:sz w:val="22"/>
          <w:szCs w:val="22"/>
          <w:vertAlign w:val="superscript"/>
        </w:rPr>
        <w:t>1</w:t>
      </w:r>
      <w:r w:rsidRPr="55FEB3D6">
        <w:rPr>
          <w:rFonts w:asciiTheme="minorHAnsi" w:hAnsiTheme="minorHAnsi" w:cstheme="minorBidi"/>
          <w:sz w:val="22"/>
          <w:szCs w:val="22"/>
        </w:rPr>
        <w:t xml:space="preserve"> str. 1 d. (2014 m. lapkričio 11 d. įstatymo Nr. XII-1317 redakcija). </w:t>
      </w:r>
      <w:r w:rsidRPr="55FEB3D6">
        <w:rPr>
          <w:rFonts w:asciiTheme="minorHAnsi" w:hAnsiTheme="minorHAnsi" w:cstheme="minorBidi"/>
          <w:sz w:val="22"/>
          <w:szCs w:val="22"/>
          <w:u w:val="single"/>
        </w:rPr>
        <w:t>Nesant atitinkamų įstatymo nuostatų (kaip buvo nagrinėtu atveju), Patikrinimų tvarkos aprašo 30 punkte minimos kitos institucijos ir organizacijos (ekspertai ir specialistai) neįgyja ir negali įgyti jokių priežiūrą atliekančio subjekto, kaip jis apibrėžiamas Viešojo administravimo 36</w:t>
      </w:r>
      <w:r w:rsidRPr="55FEB3D6">
        <w:rPr>
          <w:rFonts w:asciiTheme="minorHAnsi" w:hAnsiTheme="minorHAnsi" w:cstheme="minorBidi"/>
          <w:sz w:val="22"/>
          <w:szCs w:val="22"/>
          <w:u w:val="single"/>
          <w:vertAlign w:val="superscript"/>
        </w:rPr>
        <w:t>1</w:t>
      </w:r>
      <w:r w:rsidRPr="55FEB3D6">
        <w:rPr>
          <w:rFonts w:asciiTheme="minorHAnsi" w:hAnsiTheme="minorHAnsi" w:cstheme="minorBidi"/>
          <w:sz w:val="22"/>
          <w:szCs w:val="22"/>
          <w:u w:val="single"/>
        </w:rPr>
        <w:t xml:space="preserve"> straipsnio 1 dalyje (2014 m. lapkričio 11 d. įstatymo Nr. XII-1317 redakcija), teisių ir pareigų, įskaitant susijusių su ūkio subjektų veiklos patikrinimu</w:t>
      </w:r>
      <w:r w:rsidRPr="55FEB3D6">
        <w:rPr>
          <w:rFonts w:asciiTheme="minorHAnsi" w:hAnsiTheme="minorHAnsi" w:cstheme="minorBidi"/>
          <w:sz w:val="22"/>
          <w:szCs w:val="22"/>
        </w:rPr>
        <w:t>. Nagrinėtu atveju taikytinos teisės aktų nuostatos nenumatė Komisijos teisės (galimybės) tretiesiems asmenims deleguoti įstatymų ir kitų teisės aktų nustatytus įgaliojimus (jų dalį), įskaitant teisę iš ūkio subjektų tiesiogiai gauti (reikalauti pateikti) dokumentus ir kitą informaciją reguliuojamos veiklos patikrinimo tikslais (Viešojo administravimo įstatymo 36</w:t>
      </w:r>
      <w:r w:rsidRPr="55FEB3D6">
        <w:rPr>
          <w:rFonts w:asciiTheme="minorHAnsi" w:hAnsiTheme="minorHAnsi" w:cstheme="minorBidi"/>
          <w:sz w:val="22"/>
          <w:szCs w:val="22"/>
          <w:vertAlign w:val="superscript"/>
        </w:rPr>
        <w:t>6</w:t>
      </w:r>
      <w:r w:rsidRPr="55FEB3D6">
        <w:rPr>
          <w:rFonts w:asciiTheme="minorHAnsi" w:hAnsiTheme="minorHAnsi" w:cstheme="minorBidi"/>
          <w:sz w:val="22"/>
          <w:szCs w:val="22"/>
        </w:rPr>
        <w:t xml:space="preserve"> str. 1 d. (2010 m. birželio 22 d. įstatymo Nr. XI-934 redakcija); </w:t>
      </w:r>
      <w:r w:rsidRPr="55FEB3D6">
        <w:rPr>
          <w:rFonts w:ascii="Calibri" w:eastAsia="Calibri" w:hAnsi="Calibri" w:cs="Calibri"/>
          <w:sz w:val="22"/>
          <w:szCs w:val="22"/>
          <w:lang w:bidi="lt-LT"/>
        </w:rPr>
        <w:t>Patikrinimų tvarkos aprašo 31.1, 31.3 p.) bei teisę atlikti patikrinimus ūkio subjekto veiklos vietoje</w:t>
      </w:r>
      <w:r w:rsidR="4B0CF452" w:rsidRPr="55FEB3D6">
        <w:rPr>
          <w:rFonts w:ascii="Calibri" w:eastAsia="Calibri" w:hAnsi="Calibri" w:cs="Calibri"/>
          <w:sz w:val="22"/>
          <w:szCs w:val="22"/>
          <w:lang w:bidi="lt-LT"/>
        </w:rPr>
        <w:t>.</w:t>
      </w:r>
    </w:p>
    <w:p w14:paraId="62E6D9B5" w14:textId="699D4B06" w:rsidR="00DC0E24" w:rsidRPr="00DC0E24" w:rsidRDefault="00DC0E24" w:rsidP="55FEB3D6">
      <w:pPr>
        <w:ind w:firstLine="567"/>
        <w:jc w:val="both"/>
        <w:rPr>
          <w:rFonts w:asciiTheme="minorHAnsi" w:hAnsiTheme="minorHAnsi" w:cstheme="minorBidi"/>
          <w:sz w:val="22"/>
          <w:szCs w:val="22"/>
        </w:rPr>
      </w:pPr>
      <w:r w:rsidRPr="55FEB3D6">
        <w:rPr>
          <w:rFonts w:ascii="Calibri" w:eastAsia="Calibri" w:hAnsi="Calibri" w:cs="Calibri"/>
          <w:sz w:val="22"/>
          <w:szCs w:val="22"/>
          <w:lang w:bidi="lt-LT"/>
        </w:rPr>
        <w:t>Nesant norminiuose teisės aktuose įtvirtintų atitinkamų nuostatų, Komisijos teisė pasitelkti auditorių ir juo labiau tikrinamo ūkio subjekto pareigos sudaryti su audito įmone konfidencialumo sutartį, bendrauti su auditoriumi, be kita ko, tiesiogiai teikiant visus jo (auditoriaus) prašomus dokumentus ir informaciją bei sudarant galimybę auditoriui auditą atlikti ūkio subjekto patalpose (ūkinės veiklos vykdymo vietoje), negali būti</w:t>
      </w:r>
      <w:r w:rsidRPr="55FEB3D6">
        <w:rPr>
          <w:rFonts w:asciiTheme="minorHAnsi" w:hAnsiTheme="minorHAnsi" w:cstheme="minorBidi"/>
          <w:sz w:val="22"/>
          <w:szCs w:val="22"/>
        </w:rPr>
        <w:t xml:space="preserve"> kildinama ir iš minimalios ir proporcingos priežiūros naštos principo (Viešojo administravimo įstatymo 36</w:t>
      </w:r>
      <w:r w:rsidRPr="55FEB3D6">
        <w:rPr>
          <w:rFonts w:asciiTheme="minorHAnsi" w:hAnsiTheme="minorHAnsi" w:cstheme="minorBidi"/>
          <w:sz w:val="22"/>
          <w:szCs w:val="22"/>
          <w:vertAlign w:val="superscript"/>
        </w:rPr>
        <w:t>2</w:t>
      </w:r>
      <w:r w:rsidRPr="55FEB3D6">
        <w:rPr>
          <w:rFonts w:asciiTheme="minorHAnsi" w:hAnsiTheme="minorHAnsi" w:cstheme="minorBidi"/>
          <w:sz w:val="22"/>
          <w:szCs w:val="22"/>
        </w:rPr>
        <w:t xml:space="preserve"> str. 1</w:t>
      </w:r>
      <w:r w:rsidR="00721073" w:rsidRPr="55FEB3D6">
        <w:rPr>
          <w:rFonts w:asciiTheme="minorHAnsi" w:hAnsiTheme="minorHAnsi" w:cstheme="minorBidi"/>
          <w:sz w:val="22"/>
          <w:szCs w:val="22"/>
        </w:rPr>
        <w:t> </w:t>
      </w:r>
      <w:r w:rsidRPr="55FEB3D6">
        <w:rPr>
          <w:rFonts w:asciiTheme="minorHAnsi" w:hAnsiTheme="minorHAnsi" w:cstheme="minorBidi"/>
          <w:sz w:val="22"/>
          <w:szCs w:val="22"/>
        </w:rPr>
        <w:t>d. 1 p. (2014 m. lapkričio 11 d. įstatymo Nr. XII-1317 redakcija). Todėl LVAT sprendė, kad atsakovas, reikalaudamas, kad pareiškėjas pasirašytų konfidencialumo sutartį su auditoriumi</w:t>
      </w:r>
      <w:r w:rsidR="52BE3AC4" w:rsidRPr="55FEB3D6">
        <w:rPr>
          <w:rFonts w:asciiTheme="minorHAnsi" w:hAnsiTheme="minorHAnsi" w:cstheme="minorBidi"/>
          <w:sz w:val="22"/>
          <w:szCs w:val="22"/>
        </w:rPr>
        <w:t>,</w:t>
      </w:r>
      <w:r w:rsidRPr="55FEB3D6">
        <w:rPr>
          <w:rFonts w:asciiTheme="minorHAnsi" w:hAnsiTheme="minorHAnsi" w:cstheme="minorBidi"/>
          <w:sz w:val="22"/>
          <w:szCs w:val="22"/>
        </w:rPr>
        <w:t xml:space="preserve"> bei nurodydamas teikti dokumentus ir informaciją tiesiogiai šiai audito įmonei, viršijo savo įgaliojimus.</w:t>
      </w:r>
    </w:p>
    <w:p w14:paraId="4D3ADB8E" w14:textId="77777777" w:rsidR="00DC0E24" w:rsidRPr="00DC0E24" w:rsidRDefault="00DC0E24" w:rsidP="00DC0E24">
      <w:pPr>
        <w:ind w:firstLine="567"/>
        <w:jc w:val="both"/>
        <w:rPr>
          <w:rFonts w:ascii="Calibri" w:eastAsia="Calibri" w:hAnsi="Calibri" w:cs="Calibri"/>
          <w:sz w:val="22"/>
          <w:szCs w:val="22"/>
          <w:lang w:bidi="lt-LT"/>
        </w:rPr>
      </w:pPr>
      <w:r w:rsidRPr="00DC0E24">
        <w:rPr>
          <w:rFonts w:ascii="Calibri" w:eastAsia="Calibri" w:hAnsi="Calibri" w:cs="Calibri"/>
          <w:sz w:val="22"/>
          <w:szCs w:val="22"/>
          <w:lang w:bidi="lt-LT"/>
        </w:rPr>
        <w:t>Minėta, kad Komisija tai, jog nebuvo surinkta pakankamai dokumentų ir informacijos patikrinimui atlikti, be kita ko, siejo su aplinkybe, kad beveik viso patikrinimo metu pareiškėjas nepaskyrė įgaliotų atsakingų asmenų, kas apsunkino patikrinimo vykdymą. Šiuo klausimu Patikrinimų tvarkos aprašo 36.1 punktas nustatė, kad „tikrinama energetikos įmonė privalo &lt;...&gt; paskirti įgaliotus atsakingus asmenis, kurie dalyvautų atliekant patikrinimą ir bendradarbiautų su Tikrinimo komisijos nariais“.</w:t>
      </w:r>
    </w:p>
    <w:p w14:paraId="6605B884" w14:textId="77777777" w:rsidR="00DC0E24" w:rsidRPr="00DC0E24" w:rsidRDefault="00DC0E24" w:rsidP="00DC0E24">
      <w:pPr>
        <w:ind w:firstLine="567"/>
        <w:jc w:val="both"/>
        <w:rPr>
          <w:rFonts w:ascii="Calibri" w:eastAsia="Calibri" w:hAnsi="Calibri" w:cs="Calibri"/>
          <w:sz w:val="22"/>
          <w:szCs w:val="22"/>
          <w:lang w:bidi="lt-LT"/>
        </w:rPr>
      </w:pPr>
      <w:r w:rsidRPr="55FEB3D6">
        <w:rPr>
          <w:rFonts w:ascii="Calibri" w:eastAsia="Calibri" w:hAnsi="Calibri" w:cs="Calibri"/>
          <w:sz w:val="22"/>
          <w:szCs w:val="22"/>
          <w:lang w:bidi="lt-LT"/>
        </w:rPr>
        <w:t xml:space="preserve">Tačiau nagrinėtu atveju aplinkybę, kad pareiškėjas įvykdė šį reikalavimą (šią pareigą), jau buvo konstatuota įsiteisėjusiuose bendrosios kompetencijos teismų sprendimuose administracinių teisės pažeidimų bylose. Be to, kaip pažymėjo išplėstinė teisėjų kolegija, aplinkybė, kad, vykdant Patikrinimų tvarkos aprašo 36.1 punkte nurodytą pareigą, pareiškėjas atsakingu įgaliotu asmeniu paskyrė teisės direktorių (teisininką), kuris susitikimų su tikrinimą atlikusios komisijos nariais pareiškėjo būstinėje metu negalėjo atsakyti į kai kuriuos konkrečius klausimus, susijusius su finansine atskaitomybe ar buhalterine apskaita, niekaip negali būti vertinama kaip patikrinimo apsunkinimas ar nebendradarbiavimas. Iš tiesų, įvertinusi minėtuose bendrosios kompetencijos teismų sprendimuose nurodytas aplinkybes, įskaitant tai, jog į tikrinimą atlikusios komisijos narių klausimus, į kuriuos nebuvo atsakyta žodžiu, atsakymai vėliau buvo pateikti raštu, išplėstinė teisėjų kolegija nurodė, kad nėra jokio pagrindo daryti išvadą, jog dėl paskirto atsakingo asmens buvo paneigta (apribota) Komisijos teisė gauti paaiškinimus „&lt;..&gt; žodžiu ar raštu iš tikrinamų energetikos įmonių vadovų ar jų įgaliotų asmenų“ (Patikrinimų tvarkos aprašo 31.1 p.). </w:t>
      </w:r>
    </w:p>
    <w:p w14:paraId="0484894E" w14:textId="77777777" w:rsidR="00DC0E24" w:rsidRPr="00DC0E24" w:rsidRDefault="00DC0E24" w:rsidP="00DC0E24">
      <w:pPr>
        <w:ind w:firstLine="567"/>
        <w:jc w:val="both"/>
        <w:rPr>
          <w:rFonts w:ascii="Calibri" w:eastAsia="Calibri" w:hAnsi="Calibri" w:cs="Calibri"/>
          <w:sz w:val="22"/>
          <w:szCs w:val="22"/>
          <w:lang w:bidi="lt-LT"/>
        </w:rPr>
      </w:pPr>
      <w:r w:rsidRPr="00DC0E24">
        <w:rPr>
          <w:rFonts w:ascii="Calibri" w:eastAsia="Calibri" w:hAnsi="Calibri" w:cs="Calibri"/>
          <w:sz w:val="22"/>
          <w:szCs w:val="22"/>
          <w:lang w:bidi="lt-LT"/>
        </w:rPr>
        <w:t>Pareiškėjas taip pat nesutiko su patikrinimo akte pateiktu vertinimu, kad jis netinkamai vykdė pareigas teikti dokumentus ir informaciją, reikalingą patikrinimui atlikti, šiuo aspektu, be kita ko, teigdamas, kad jis neprivalėjo tikrinimą atlikusiai komisijai teikti duomenis, nesusijusius su reguliuojama veikla ir (ar) teikti duomenis, kurių rinkimo ir sisteminimo nenumato teisės aktai.</w:t>
      </w:r>
    </w:p>
    <w:p w14:paraId="4EC99433" w14:textId="20934B36" w:rsidR="00DC0E24" w:rsidRDefault="00DC0E24" w:rsidP="55FEB3D6">
      <w:pPr>
        <w:ind w:firstLine="567"/>
        <w:jc w:val="both"/>
        <w:rPr>
          <w:rFonts w:asciiTheme="minorHAnsi" w:hAnsiTheme="minorHAnsi" w:cstheme="minorBidi"/>
          <w:sz w:val="22"/>
          <w:szCs w:val="22"/>
        </w:rPr>
      </w:pPr>
      <w:r w:rsidRPr="55FEB3D6">
        <w:rPr>
          <w:rFonts w:ascii="Calibri" w:eastAsia="Calibri" w:hAnsi="Calibri" w:cs="Calibri"/>
          <w:sz w:val="22"/>
          <w:szCs w:val="22"/>
          <w:lang w:bidi="lt-LT"/>
        </w:rPr>
        <w:t>Dėl Komisijos teisės gauti ir pareiškėjo pareigos teikti informaciją išplėstinė teisėjų kolegija pažymėjo, kad be bendrųjų Energetikos įstatymo ir Šilumos ūkio įstatymo nuostatų, nagrinėtu atveju taip pat buvo aktuali</w:t>
      </w:r>
      <w:r w:rsidRPr="55FEB3D6">
        <w:rPr>
          <w:rFonts w:asciiTheme="minorHAnsi" w:hAnsiTheme="minorHAnsi" w:cstheme="minorBidi"/>
          <w:sz w:val="22"/>
          <w:szCs w:val="22"/>
        </w:rPr>
        <w:t xml:space="preserve"> Viešojo administravimo įstatymo 36</w:t>
      </w:r>
      <w:r w:rsidRPr="55FEB3D6">
        <w:rPr>
          <w:rFonts w:asciiTheme="minorHAnsi" w:hAnsiTheme="minorHAnsi" w:cstheme="minorBidi"/>
          <w:sz w:val="22"/>
          <w:szCs w:val="22"/>
          <w:vertAlign w:val="superscript"/>
        </w:rPr>
        <w:t>6</w:t>
      </w:r>
      <w:r w:rsidRPr="55FEB3D6">
        <w:rPr>
          <w:rFonts w:asciiTheme="minorHAnsi" w:hAnsiTheme="minorHAnsi" w:cstheme="minorBidi"/>
          <w:sz w:val="22"/>
          <w:szCs w:val="22"/>
        </w:rPr>
        <w:t xml:space="preserve"> straipsnio 1 dalis (2010 m. birželio 22 d. įstatymo Nr. XI-934 redakcija), kuri aiškiai nustatė, kad „ūkio subjektai teikia priežiūrą atliekantiems subjektams dokumentus, kuriuos privaloma rengti vadovaujantis teisės aktų reikalavimais, taip pat kitą informaciją ūkio subjekto turima forma. Priežiūrą atliekantis subjektas negali reikalauti ūkio subjekto pateikti konkrečios prašomos formos duomenų ar dokumentų, jeigu jų rengimas nenumatytas teisės aktuose, tam reikėtų sukurti dokumentus ar informacijos rinkmenas ir tai būtų susiję su neproporcingai didelėmis darbo ir laiko sąnaudomis.“ </w:t>
      </w:r>
      <w:r w:rsidRPr="55FEB3D6">
        <w:rPr>
          <w:rFonts w:asciiTheme="minorHAnsi" w:hAnsiTheme="minorHAnsi" w:cstheme="minorBidi"/>
          <w:sz w:val="22"/>
          <w:szCs w:val="22"/>
          <w:u w:val="single"/>
        </w:rPr>
        <w:t>Nesant įstatymų leidėjo nustatytų išimčių (tokiomis iš</w:t>
      </w:r>
      <w:r w:rsidR="01120F47" w:rsidRPr="55FEB3D6">
        <w:rPr>
          <w:rFonts w:asciiTheme="minorHAnsi" w:hAnsiTheme="minorHAnsi" w:cstheme="minorBidi"/>
          <w:sz w:val="22"/>
          <w:szCs w:val="22"/>
          <w:u w:val="single"/>
        </w:rPr>
        <w:t>i</w:t>
      </w:r>
      <w:r w:rsidRPr="55FEB3D6">
        <w:rPr>
          <w:rFonts w:asciiTheme="minorHAnsi" w:hAnsiTheme="minorHAnsi" w:cstheme="minorBidi"/>
          <w:sz w:val="22"/>
          <w:szCs w:val="22"/>
          <w:u w:val="single"/>
        </w:rPr>
        <w:t xml:space="preserve">mtimis negali būti laikomos bendro (abstraktaus) pobūdžio Energetikos įstatymo ir Šilumos ūkio įstatymo nuostatos), šios įstatymo nuostatos privaloma paisyti ir Komisijai atliekant Viešojo </w:t>
      </w:r>
      <w:r w:rsidRPr="55FEB3D6">
        <w:rPr>
          <w:rFonts w:asciiTheme="minorHAnsi" w:hAnsiTheme="minorHAnsi" w:cstheme="minorBidi"/>
          <w:sz w:val="22"/>
          <w:szCs w:val="22"/>
          <w:u w:val="single"/>
        </w:rPr>
        <w:lastRenderedPageBreak/>
        <w:t>administravimo įstatymo 36</w:t>
      </w:r>
      <w:r w:rsidRPr="55FEB3D6">
        <w:rPr>
          <w:rFonts w:asciiTheme="minorHAnsi" w:hAnsiTheme="minorHAnsi" w:cstheme="minorBidi"/>
          <w:sz w:val="22"/>
          <w:szCs w:val="22"/>
          <w:u w:val="single"/>
          <w:vertAlign w:val="superscript"/>
        </w:rPr>
        <w:t>1</w:t>
      </w:r>
      <w:r w:rsidRPr="55FEB3D6">
        <w:rPr>
          <w:rFonts w:asciiTheme="minorHAnsi" w:hAnsiTheme="minorHAnsi" w:cstheme="minorBidi"/>
          <w:sz w:val="22"/>
          <w:szCs w:val="22"/>
          <w:u w:val="single"/>
        </w:rPr>
        <w:t xml:space="preserve"> straipsnio 2 dalies 2 punkte</w:t>
      </w:r>
      <w:r w:rsidRPr="55FEB3D6">
        <w:rPr>
          <w:rFonts w:asciiTheme="minorHAnsi" w:hAnsiTheme="minorHAnsi" w:cstheme="minorBidi"/>
          <w:sz w:val="22"/>
          <w:szCs w:val="22"/>
        </w:rPr>
        <w:t xml:space="preserve"> (2010 m. birželio 22 d. įstatymo Nr. XI-934 redakcija) nurodytą ūkio subjekto veiklos patikrinimą. </w:t>
      </w:r>
    </w:p>
    <w:p w14:paraId="0A8D5A3E" w14:textId="77777777" w:rsidR="00DC0E24" w:rsidRDefault="00DC0E24" w:rsidP="00DC0E24">
      <w:pPr>
        <w:ind w:firstLine="567"/>
        <w:jc w:val="both"/>
        <w:rPr>
          <w:rFonts w:asciiTheme="minorHAnsi" w:hAnsiTheme="minorHAnsi" w:cstheme="minorHAnsi"/>
          <w:sz w:val="22"/>
          <w:szCs w:val="22"/>
        </w:rPr>
      </w:pPr>
      <w:r w:rsidRPr="00DC0E24">
        <w:rPr>
          <w:rFonts w:asciiTheme="minorHAnsi" w:hAnsiTheme="minorHAnsi" w:cstheme="minorHAnsi"/>
          <w:sz w:val="22"/>
          <w:szCs w:val="22"/>
        </w:rPr>
        <w:t xml:space="preserve">Išplėstinė teisėjų kolegija taip pat pažymėjo ir tai, kad </w:t>
      </w:r>
      <w:r w:rsidRPr="00DC0E24">
        <w:rPr>
          <w:rFonts w:asciiTheme="minorHAnsi" w:hAnsiTheme="minorHAnsi" w:cstheme="minorHAnsi"/>
          <w:sz w:val="22"/>
          <w:szCs w:val="22"/>
          <w:u w:val="single"/>
        </w:rPr>
        <w:t>Komisijos teisė gauti paaiškinimus žodžiu ar raštu iš tikrinamų energetikos įmonių vadovų ar jų įgaliotų asmenų (Patikrinimų tvarkos aprašo 31.1 p.) nereiškia teisės reikalauti pateikti paaiškinimus tokia forma, kuri iš esmės implikuotų būtinybę tikrinamam ūkio subjektui atlikti Viešojo administravimo įstatymo 36</w:t>
      </w:r>
      <w:r w:rsidRPr="00DC0E24">
        <w:rPr>
          <w:rFonts w:asciiTheme="minorHAnsi" w:hAnsiTheme="minorHAnsi" w:cstheme="minorHAnsi"/>
          <w:sz w:val="22"/>
          <w:szCs w:val="22"/>
          <w:u w:val="single"/>
          <w:vertAlign w:val="superscript"/>
        </w:rPr>
        <w:t>6</w:t>
      </w:r>
      <w:r w:rsidRPr="00DC0E24">
        <w:rPr>
          <w:rFonts w:asciiTheme="minorHAnsi" w:hAnsiTheme="minorHAnsi" w:cstheme="minorHAnsi"/>
          <w:sz w:val="22"/>
          <w:szCs w:val="22"/>
          <w:u w:val="single"/>
        </w:rPr>
        <w:t xml:space="preserve"> straipsnio 1 dalies (2010 m. birželio 22 d. įstatymo Nr. XI-934 redakcija) antrajame sakinyje nurodytus veiksmus</w:t>
      </w:r>
      <w:r w:rsidRPr="00DC0E24">
        <w:rPr>
          <w:rFonts w:asciiTheme="minorHAnsi" w:hAnsiTheme="minorHAnsi" w:cstheme="minorHAnsi"/>
          <w:sz w:val="22"/>
          <w:szCs w:val="22"/>
        </w:rPr>
        <w:t>.</w:t>
      </w:r>
    </w:p>
    <w:p w14:paraId="31C9C1B5" w14:textId="77777777" w:rsidR="00DC0E24" w:rsidRDefault="00DC0E24" w:rsidP="00DC0E24">
      <w:pPr>
        <w:ind w:firstLine="567"/>
        <w:jc w:val="both"/>
        <w:rPr>
          <w:rFonts w:asciiTheme="minorHAnsi" w:hAnsiTheme="minorHAnsi" w:cstheme="minorHAnsi"/>
          <w:sz w:val="22"/>
          <w:szCs w:val="22"/>
        </w:rPr>
      </w:pPr>
      <w:r w:rsidRPr="00DC0E24">
        <w:rPr>
          <w:rFonts w:asciiTheme="minorHAnsi" w:hAnsiTheme="minorHAnsi" w:cstheme="minorHAnsi"/>
          <w:sz w:val="22"/>
          <w:szCs w:val="22"/>
        </w:rPr>
        <w:t xml:space="preserve">LVAT atskirai akcentavo, kad aptariamą energetikos įmonių patikrinimą reglamentuojančiuose teisės aktuose nurodyta </w:t>
      </w:r>
      <w:r w:rsidRPr="00DC0E24">
        <w:rPr>
          <w:rFonts w:asciiTheme="minorHAnsi" w:hAnsiTheme="minorHAnsi" w:cstheme="minorHAnsi"/>
          <w:sz w:val="22"/>
          <w:szCs w:val="22"/>
          <w:u w:val="single"/>
        </w:rPr>
        <w:t>Komisijos teisė gauti „su reguliuojama veikla susijusią“ informaciją nereiškia, kad ūkinės veiklos priežiūrą vykdanti institucija turi teisę reikalauti tik tiesiogiai su šia veikla susijusios informacijos</w:t>
      </w:r>
      <w:r w:rsidRPr="00DC0E24">
        <w:rPr>
          <w:rFonts w:asciiTheme="minorHAnsi" w:hAnsiTheme="minorHAnsi" w:cstheme="minorHAnsi"/>
          <w:sz w:val="22"/>
          <w:szCs w:val="22"/>
        </w:rPr>
        <w:t xml:space="preserve">. Iš tiesų veiklos priežiūros tikslams pasiekti gali būti reikalinga ir netiesiogiai su šia veikla susijusi informacija, todėl reikalavimas tokią informaciją pateikti nėra savaime neteisėtas. Be to, </w:t>
      </w:r>
      <w:r w:rsidRPr="00DC0E24">
        <w:rPr>
          <w:rFonts w:asciiTheme="minorHAnsi" w:hAnsiTheme="minorHAnsi" w:cstheme="minorHAnsi"/>
          <w:sz w:val="22"/>
          <w:szCs w:val="22"/>
          <w:u w:val="single"/>
        </w:rPr>
        <w:t>ne tikrinamas ūkio subjektas, o patikrinimą atliekanti institucija, be kita ko, atsižvelgdama į patikrinimo tikslus, patikrinimo būdą, pasirinktą taktiką ir kitas aplinkybes, sprendžia dėl to, kokia informacija yra reikalinga patikrinimui atlikti.</w:t>
      </w:r>
      <w:r w:rsidRPr="00DC0E24">
        <w:rPr>
          <w:rFonts w:asciiTheme="minorHAnsi" w:hAnsiTheme="minorHAnsi" w:cstheme="minorHAnsi"/>
          <w:sz w:val="22"/>
          <w:szCs w:val="22"/>
        </w:rPr>
        <w:t xml:space="preserve"> </w:t>
      </w:r>
    </w:p>
    <w:p w14:paraId="04B69E28" w14:textId="7382CEE7" w:rsidR="00DC0E24" w:rsidRDefault="00DC0E24" w:rsidP="55FEB3D6">
      <w:pPr>
        <w:ind w:firstLine="567"/>
        <w:jc w:val="both"/>
        <w:rPr>
          <w:rFonts w:asciiTheme="minorHAnsi" w:hAnsiTheme="minorHAnsi" w:cstheme="minorBidi"/>
          <w:sz w:val="22"/>
          <w:szCs w:val="22"/>
        </w:rPr>
      </w:pPr>
      <w:r w:rsidRPr="55FEB3D6">
        <w:rPr>
          <w:rFonts w:asciiTheme="minorHAnsi" w:hAnsiTheme="minorHAnsi" w:cstheme="minorBidi"/>
          <w:sz w:val="22"/>
          <w:szCs w:val="22"/>
        </w:rPr>
        <w:t>Įvertinusi aplinkybes, kuriomis buvo grindžiamas pareiškėjo tinkamas pareigų teikti informaciją nevykdymas, išplėstinė teisėjų kolegija, be kita ko, nustatė, kad atsakovas, reikalaudamas pateikti informaciją apie ilgalaikį turtą jo nurodyta forma, detalumu ir pjūviais nenurodo jokių ginčui aktualiu laikotarpiu galiojusių nuostatų, kurios būtų įpareigojusios pareiškėjo aptariamo turto apskaitą vesti atsakovo nurodytu detalumu, t.</w:t>
      </w:r>
      <w:r w:rsidR="00721073" w:rsidRPr="55FEB3D6">
        <w:rPr>
          <w:rFonts w:asciiTheme="minorHAnsi" w:hAnsiTheme="minorHAnsi" w:cstheme="minorBidi"/>
          <w:sz w:val="22"/>
          <w:szCs w:val="22"/>
        </w:rPr>
        <w:t> </w:t>
      </w:r>
      <w:r w:rsidRPr="55FEB3D6">
        <w:rPr>
          <w:rFonts w:asciiTheme="minorHAnsi" w:hAnsiTheme="minorHAnsi" w:cstheme="minorBidi"/>
          <w:sz w:val="22"/>
          <w:szCs w:val="22"/>
        </w:rPr>
        <w:t>y. nebuvo jokių argumentų ir vertinimo, jog pareiškėjas netinkamai vykdė savo pareigas, susijusias su ginčo turto apskaitos tvarkymu. Nenurodžius jokių apskaitos tvarkymą, finansinės atskaitomybės ir kitų dokumentų bei ataskaitų rengimą reglamentuojančių nuostatų, implikuojančių pareigą pareiškėjui ilgalaikį turtą apskaityti Komisijos nurodytu detalumu, akivaizdu ir tai, kad reikalavimas retrospektyviai už jau praėjusius laikotarpius ilgalaikio turto sąrašus (duomenis apie kiekvieną turto vienetą) papildyti (patikslinti) aptariama informacija nėra suderinamas ir su jau aptartais Viešojo administravimo įstatymo 36</w:t>
      </w:r>
      <w:r w:rsidRPr="55FEB3D6">
        <w:rPr>
          <w:rFonts w:asciiTheme="minorHAnsi" w:hAnsiTheme="minorHAnsi" w:cstheme="minorBidi"/>
          <w:sz w:val="22"/>
          <w:szCs w:val="22"/>
          <w:vertAlign w:val="superscript"/>
        </w:rPr>
        <w:t>6</w:t>
      </w:r>
      <w:r w:rsidRPr="55FEB3D6">
        <w:rPr>
          <w:rFonts w:asciiTheme="minorHAnsi" w:hAnsiTheme="minorHAnsi" w:cstheme="minorBidi"/>
          <w:sz w:val="22"/>
          <w:szCs w:val="22"/>
        </w:rPr>
        <w:t xml:space="preserve"> straipsnio 1 dalies (2010 m. birželio 22 d. įstatymo Nr. XI-934 redakcija) reikalavimais. Be to, patikrinimo akte iš esmės buvo apsiribojama teiginiais apie pareiškėjo pateiktos informacijos trūkumus Tikrinimo komisijos nurodytais išsamumo (detalumo) aspektais, nurodant, jog nebuvo galima įsitikinti, kad pareiškėjas tinkamai vykdė savo pareigas. Šiuo aspektu, kaip pažymėjo LVAT, nors ir turėdama ilgalaikio turto sąrašus, pareiškėjo pateiktus duomenis ir jų patikslinimus, paaiškinimus bei kitą informaciją, teisę reikalauti pateikti papildomus dokumentus ar atlikti dokumentų patikrinimus vietoje, Komisija apskr</w:t>
      </w:r>
      <w:r w:rsidR="3ED8D006" w:rsidRPr="55FEB3D6">
        <w:rPr>
          <w:rFonts w:asciiTheme="minorHAnsi" w:hAnsiTheme="minorHAnsi" w:cstheme="minorBidi"/>
          <w:sz w:val="22"/>
          <w:szCs w:val="22"/>
        </w:rPr>
        <w:t>i</w:t>
      </w:r>
      <w:r w:rsidRPr="55FEB3D6">
        <w:rPr>
          <w:rFonts w:asciiTheme="minorHAnsi" w:hAnsiTheme="minorHAnsi" w:cstheme="minorBidi"/>
          <w:sz w:val="22"/>
          <w:szCs w:val="22"/>
        </w:rPr>
        <w:t>tai nenurodė jokių požymių ar aplinkybių, leidžianči</w:t>
      </w:r>
      <w:r w:rsidR="00E46449" w:rsidRPr="55FEB3D6">
        <w:rPr>
          <w:rFonts w:asciiTheme="minorHAnsi" w:hAnsiTheme="minorHAnsi" w:cstheme="minorBidi"/>
          <w:sz w:val="22"/>
          <w:szCs w:val="22"/>
        </w:rPr>
        <w:t>ų</w:t>
      </w:r>
      <w:r w:rsidRPr="55FEB3D6">
        <w:rPr>
          <w:rFonts w:asciiTheme="minorHAnsi" w:hAnsiTheme="minorHAnsi" w:cstheme="minorBidi"/>
          <w:sz w:val="22"/>
          <w:szCs w:val="22"/>
        </w:rPr>
        <w:t xml:space="preserve"> objektyviai manyti (pagrįstai įtarti), kad pareiškėjas nesilaikė teisės aktuose nustatytų </w:t>
      </w:r>
      <w:r w:rsidR="00E46449" w:rsidRPr="55FEB3D6">
        <w:rPr>
          <w:rFonts w:asciiTheme="minorHAnsi" w:hAnsiTheme="minorHAnsi" w:cstheme="minorBidi"/>
          <w:sz w:val="22"/>
          <w:szCs w:val="22"/>
        </w:rPr>
        <w:t>p</w:t>
      </w:r>
      <w:r w:rsidRPr="55FEB3D6">
        <w:rPr>
          <w:rFonts w:asciiTheme="minorHAnsi" w:hAnsiTheme="minorHAnsi" w:cstheme="minorBidi"/>
          <w:sz w:val="22"/>
          <w:szCs w:val="22"/>
        </w:rPr>
        <w:t>areigų.</w:t>
      </w:r>
    </w:p>
    <w:p w14:paraId="686280FB" w14:textId="697E0240" w:rsidR="00DC0E24" w:rsidRDefault="00DC0E24" w:rsidP="00DC0E24">
      <w:pPr>
        <w:ind w:firstLine="567"/>
        <w:jc w:val="both"/>
        <w:rPr>
          <w:rFonts w:asciiTheme="minorHAnsi" w:hAnsiTheme="minorHAnsi" w:cstheme="minorHAnsi"/>
          <w:sz w:val="22"/>
          <w:szCs w:val="22"/>
        </w:rPr>
      </w:pPr>
      <w:r w:rsidRPr="00DC0E24">
        <w:rPr>
          <w:rFonts w:asciiTheme="minorHAnsi" w:hAnsiTheme="minorHAnsi" w:cstheme="minorHAnsi"/>
          <w:sz w:val="22"/>
          <w:szCs w:val="22"/>
        </w:rPr>
        <w:t>Išplėstinė teisėjų kolegija nustatė ir tai, kad Komisija, analizuodama pareiškėjo sąnaudas, savo teiginių dėl dalies jų nepagrįstumo nemotyvavo, apsiribodama bendrais teiginiais dėl pateiktos informacijos nepakankamumo, nepateikė jokio vertinimo dėl galimo pareiškėjo pareigų nevykdymo (netinkamo vykdymo) tvarkant apskaitą, paskirstant sąnaudas ar teikiant dokumentus. Be to, iš patikrinimo akto buvo matyti, kad Komisija turėjo informaciją apie konkrečias sąnaudas, tačiau neteikė jokio vertinimo, kuris leistų objektyviai abejoti dėl šių sąnaudų paskirstymo teisingumo ar vertinimo, kad pareiškėjo pasirinkta paskirstymo tvarka (principai) neatitinka teisės aktų reikalavimų.</w:t>
      </w:r>
    </w:p>
    <w:p w14:paraId="6B102C33" w14:textId="77777777" w:rsidR="00DC0E24" w:rsidRDefault="00DC0E24" w:rsidP="00DC0E24">
      <w:pPr>
        <w:ind w:firstLine="567"/>
        <w:jc w:val="both"/>
        <w:rPr>
          <w:rFonts w:asciiTheme="minorHAnsi" w:hAnsiTheme="minorHAnsi" w:cstheme="minorHAnsi"/>
          <w:sz w:val="22"/>
          <w:szCs w:val="22"/>
        </w:rPr>
      </w:pPr>
      <w:r w:rsidRPr="00DC0E24">
        <w:rPr>
          <w:rFonts w:asciiTheme="minorHAnsi" w:hAnsiTheme="minorHAnsi" w:cstheme="minorHAnsi"/>
          <w:sz w:val="22"/>
          <w:szCs w:val="22"/>
        </w:rPr>
        <w:t xml:space="preserve">Kaip priminė išplėstinė teisėjų kolegija, </w:t>
      </w:r>
      <w:r w:rsidRPr="00DC0E24">
        <w:rPr>
          <w:rFonts w:asciiTheme="minorHAnsi" w:hAnsiTheme="minorHAnsi" w:cstheme="minorHAnsi"/>
          <w:sz w:val="22"/>
          <w:szCs w:val="22"/>
          <w:u w:val="single"/>
        </w:rPr>
        <w:t>aptariamo lyginamosios analizės metodo taikymas siejamas ne su bet kokiu pareigų nevykdymu ar netinkamu vykdymu, bet su tokiu, kuris neleidžia pasiekti patikrinimo tikslų. Kitaip tariant, vien pažeidimo konstatavimas savaime nėra pagrindas taikyti aptariamą lyginamosios analizės metodą, jei šio pažeidimo pasekmės gali būti įvertintos įprastu būdu</w:t>
      </w:r>
      <w:r w:rsidRPr="00DC0E24">
        <w:rPr>
          <w:rFonts w:asciiTheme="minorHAnsi" w:hAnsiTheme="minorHAnsi" w:cstheme="minorHAnsi"/>
          <w:sz w:val="22"/>
          <w:szCs w:val="22"/>
        </w:rPr>
        <w:t>. Konkrečiai tam tikrose patikrinimo akto dalyse buvo aiškiai nurodytos konkrečios sąnaudos ir nebuvo jokių duomenų, leidžiančių teigti, kad šių sąnaudų kvalifikavimo (pripažinimo) klausimo Komisija negalėjo spręsti įprasta tvarka. Be to, dėl dalies sąnaudų iš viso jokių pažeidimų nebuvo nustatyta.</w:t>
      </w:r>
    </w:p>
    <w:p w14:paraId="51463591" w14:textId="0E629ED5" w:rsidR="00DC0E24" w:rsidRDefault="00DC0E24" w:rsidP="55FEB3D6">
      <w:pPr>
        <w:ind w:firstLine="567"/>
        <w:jc w:val="both"/>
        <w:rPr>
          <w:rFonts w:asciiTheme="minorHAnsi" w:hAnsiTheme="minorHAnsi" w:cstheme="minorBidi"/>
          <w:sz w:val="22"/>
          <w:szCs w:val="22"/>
        </w:rPr>
      </w:pPr>
      <w:r w:rsidRPr="55FEB3D6">
        <w:rPr>
          <w:rFonts w:asciiTheme="minorHAnsi" w:hAnsiTheme="minorHAnsi" w:cstheme="minorBidi"/>
          <w:sz w:val="22"/>
          <w:szCs w:val="22"/>
        </w:rPr>
        <w:t>Išplėstinė teisėjų kolegija pastebėjo ir tai, jog vertindama, kad duomenų nepakako įsitikinti sąnaudų būtinumu ir jų tinkamu paskirstymu, Komisija: (1) nekonstatavo (iš esmės ir nevertino), kad pareiškėjas pažeidė kokius nors įstatymuose ir kituose norminiuose aktuose nustatytus ar Komisijos patvirtintus reguliuojamos veiklos apskaitos reikalavimus, be kita ko, skaidrumo ir naudingumo principų kontekste; (2) daugeliu atvej</w:t>
      </w:r>
      <w:r w:rsidR="13C1A051" w:rsidRPr="55FEB3D6">
        <w:rPr>
          <w:rFonts w:asciiTheme="minorHAnsi" w:hAnsiTheme="minorHAnsi" w:cstheme="minorBidi"/>
          <w:sz w:val="22"/>
          <w:szCs w:val="22"/>
        </w:rPr>
        <w:t>ų</w:t>
      </w:r>
      <w:r w:rsidRPr="55FEB3D6">
        <w:rPr>
          <w:rFonts w:asciiTheme="minorHAnsi" w:hAnsiTheme="minorHAnsi" w:cstheme="minorBidi"/>
          <w:sz w:val="22"/>
          <w:szCs w:val="22"/>
        </w:rPr>
        <w:t xml:space="preserve"> nenurodė, kokius teisės aktuose nurodytus ar ūkio subjekto veikloje paprastai turimus dokumentus (įrodymus) pareiškėjas turėjo pateikti, siekdamas pagrįsti sąnaudas; (3) iš esmės nekonstatavo (nenurodė), kad pareiškėjo teiktos ataskaitos ir kiti dokumentai neatitiko teisės aktuose nustatytų formos ir turinio reikalavimų. Be to, selektyviai remdamasi tam tikromis pareiškėjo pateiktos nepriklausomo auditoriaus išvados dalimis, Komisija nepasisakė dėl galimo šios išvados netinkamumo (trūkumų), leidžiančių abejoti jos (išvados) pagrįstumu.</w:t>
      </w:r>
    </w:p>
    <w:p w14:paraId="6BF0337B" w14:textId="222943E4" w:rsidR="00DC0E24" w:rsidRDefault="00DC0E24" w:rsidP="00DC0E24">
      <w:pPr>
        <w:ind w:firstLine="567"/>
        <w:jc w:val="both"/>
        <w:rPr>
          <w:rFonts w:asciiTheme="minorHAnsi" w:hAnsiTheme="minorHAnsi" w:cstheme="minorHAnsi"/>
          <w:sz w:val="22"/>
          <w:szCs w:val="22"/>
        </w:rPr>
      </w:pPr>
      <w:r w:rsidRPr="00DC0E24">
        <w:rPr>
          <w:rFonts w:asciiTheme="minorHAnsi" w:hAnsiTheme="minorHAnsi" w:cstheme="minorHAnsi"/>
          <w:sz w:val="22"/>
          <w:szCs w:val="22"/>
        </w:rPr>
        <w:lastRenderedPageBreak/>
        <w:t>Apibendrinusi šias ir kitas aplinkybes, išplėstinė teisėjų kolegija konstatavo, kad nustatyti patikrinimo akto ir jį patvirtinusio nutarimo trūkumai buvo pakankami pripažinti, kad atsakovas neįvykdė (netinkamai įvykdė) pareigos įrodyti, kad dėl pareiškėjo pareigų nevykdymo ar netinkamo jų vykdymo ginčo sąnaudų vertinimas negalėjo būti atliktas įprastine tvarka, todėl tiek aptariamo lyginamosios analizės metodo taikymas, tiek taikant šį metodą apskaičiuotos sumos negalėjo būti pripažintos pagrįstomis.</w:t>
      </w:r>
    </w:p>
    <w:p w14:paraId="276E6E2F" w14:textId="3F6C96F9" w:rsidR="00DC0E24" w:rsidRDefault="00DC0E24" w:rsidP="00DC0E24">
      <w:pPr>
        <w:ind w:firstLine="567"/>
        <w:jc w:val="both"/>
        <w:rPr>
          <w:rFonts w:asciiTheme="minorHAnsi" w:hAnsiTheme="minorHAnsi" w:cstheme="minorHAnsi"/>
          <w:sz w:val="22"/>
          <w:szCs w:val="22"/>
        </w:rPr>
      </w:pPr>
      <w:r w:rsidRPr="00DC0E24">
        <w:rPr>
          <w:rFonts w:asciiTheme="minorHAnsi" w:hAnsiTheme="minorHAnsi" w:cstheme="minorHAnsi"/>
          <w:sz w:val="22"/>
          <w:szCs w:val="22"/>
        </w:rPr>
        <w:t>Išplėstinė teisėjų kolegija pakeitė pirmosios instancijos teismo sprendimą – panaikino ginčyto Komisijos nutarimo dalį ir grąžino atsakovui klausimą dėl su šia dalimi susijusios planinio patikrinimo akto dalies tvirtinimo nagrinėti iš naujo.</w:t>
      </w:r>
    </w:p>
    <w:p w14:paraId="43E89BB5" w14:textId="77777777" w:rsidR="00DC0E24" w:rsidRPr="00DC0E24" w:rsidRDefault="00DC0E24" w:rsidP="00DC0E24">
      <w:pPr>
        <w:ind w:firstLine="567"/>
        <w:jc w:val="both"/>
        <w:rPr>
          <w:rFonts w:asciiTheme="minorHAnsi" w:hAnsiTheme="minorHAnsi" w:cstheme="minorHAnsi"/>
          <w:sz w:val="22"/>
          <w:szCs w:val="22"/>
        </w:rPr>
      </w:pPr>
    </w:p>
    <w:p w14:paraId="5285CFAC" w14:textId="77777777" w:rsidR="00DC0E24" w:rsidRPr="00DC0E24" w:rsidRDefault="00DC0E24" w:rsidP="00DC0E24">
      <w:pPr>
        <w:jc w:val="both"/>
        <w:rPr>
          <w:rFonts w:asciiTheme="minorHAnsi" w:hAnsiTheme="minorHAnsi" w:cstheme="minorHAnsi"/>
          <w:sz w:val="22"/>
          <w:szCs w:val="22"/>
        </w:rPr>
      </w:pPr>
      <w:r w:rsidRPr="00DC0E24">
        <w:rPr>
          <w:rFonts w:asciiTheme="minorHAnsi" w:hAnsiTheme="minorHAnsi" w:cstheme="minorHAnsi"/>
          <w:sz w:val="22"/>
          <w:szCs w:val="22"/>
        </w:rPr>
        <w:t>Išplėstinės teisėjų kolegijos 2020 m. lapkričio 25 d. nutartis administracinėje byloje Nr. eA-20-525/2020</w:t>
      </w:r>
    </w:p>
    <w:p w14:paraId="727CE813" w14:textId="77777777" w:rsidR="00DC0E24" w:rsidRPr="00DC0E24" w:rsidRDefault="00DC0E24" w:rsidP="00DC0E24">
      <w:pPr>
        <w:jc w:val="both"/>
        <w:rPr>
          <w:rFonts w:asciiTheme="minorHAnsi" w:hAnsiTheme="minorHAnsi" w:cstheme="minorHAnsi"/>
          <w:sz w:val="22"/>
          <w:szCs w:val="22"/>
        </w:rPr>
      </w:pPr>
      <w:r w:rsidRPr="00DC0E24">
        <w:rPr>
          <w:rFonts w:asciiTheme="minorHAnsi" w:hAnsiTheme="minorHAnsi" w:cstheme="minorHAnsi"/>
          <w:sz w:val="22"/>
          <w:szCs w:val="22"/>
        </w:rPr>
        <w:t>Teisminio proceso Nr. 3-61-3-04250-2016-3</w:t>
      </w:r>
    </w:p>
    <w:p w14:paraId="3CE02500" w14:textId="77777777" w:rsidR="00DC0E24" w:rsidRPr="00DC0E24" w:rsidRDefault="00DC0E24" w:rsidP="00DC0E24">
      <w:pPr>
        <w:jc w:val="both"/>
        <w:rPr>
          <w:rFonts w:asciiTheme="minorHAnsi" w:hAnsiTheme="minorHAnsi" w:cstheme="minorHAnsi"/>
          <w:sz w:val="22"/>
          <w:szCs w:val="22"/>
        </w:rPr>
      </w:pPr>
      <w:r w:rsidRPr="00DC0E24">
        <w:rPr>
          <w:rFonts w:asciiTheme="minorHAnsi" w:hAnsiTheme="minorHAnsi" w:cstheme="minorHAnsi"/>
          <w:sz w:val="22"/>
          <w:szCs w:val="22"/>
        </w:rPr>
        <w:t>Procesinio sprendimo kategorija 30.5</w:t>
      </w:r>
    </w:p>
    <w:p w14:paraId="7DF853D4" w14:textId="77777777" w:rsidR="00DC0E24" w:rsidRPr="00DC0E24" w:rsidRDefault="00822FF8" w:rsidP="00DC0E24">
      <w:pPr>
        <w:jc w:val="both"/>
        <w:rPr>
          <w:rFonts w:asciiTheme="minorHAnsi" w:hAnsiTheme="minorHAnsi" w:cstheme="minorHAnsi"/>
          <w:sz w:val="22"/>
          <w:szCs w:val="22"/>
        </w:rPr>
      </w:pPr>
      <w:hyperlink r:id="rId27" w:history="1">
        <w:r w:rsidR="00DC0E24" w:rsidRPr="00DC0E24">
          <w:rPr>
            <w:rStyle w:val="Hipersaitas"/>
            <w:rFonts w:asciiTheme="minorHAnsi" w:hAnsiTheme="minorHAnsi" w:cstheme="minorHAnsi"/>
            <w:sz w:val="22"/>
            <w:szCs w:val="22"/>
          </w:rPr>
          <w:t>Prieiga internete</w:t>
        </w:r>
      </w:hyperlink>
    </w:p>
    <w:p w14:paraId="18539BBF" w14:textId="5A8AAF20" w:rsidR="00E4686F" w:rsidRPr="00DC0E24" w:rsidRDefault="00E4686F" w:rsidP="007412F7">
      <w:pPr>
        <w:shd w:val="clear" w:color="auto" w:fill="FFFFFF"/>
        <w:tabs>
          <w:tab w:val="left" w:pos="3119"/>
        </w:tabs>
        <w:ind w:right="-1" w:firstLine="567"/>
        <w:jc w:val="both"/>
        <w:rPr>
          <w:rFonts w:ascii="Calibri" w:hAnsi="Calibri" w:cs="Calibri"/>
          <w:sz w:val="22"/>
          <w:szCs w:val="22"/>
        </w:rPr>
      </w:pPr>
    </w:p>
    <w:p w14:paraId="00253068" w14:textId="77777777" w:rsidR="00DB7370" w:rsidRPr="00DB7370" w:rsidRDefault="00DB7370" w:rsidP="00DB7370">
      <w:pPr>
        <w:keepNext/>
        <w:tabs>
          <w:tab w:val="left" w:pos="567"/>
        </w:tabs>
        <w:jc w:val="both"/>
        <w:outlineLvl w:val="0"/>
        <w:rPr>
          <w:rFonts w:ascii="Calibri" w:hAnsi="Calibri" w:cs="Calibri"/>
          <w:b/>
          <w:sz w:val="22"/>
          <w:szCs w:val="22"/>
          <w:u w:val="single"/>
        </w:rPr>
      </w:pPr>
      <w:bookmarkStart w:id="67" w:name="_Toc462150005"/>
      <w:bookmarkStart w:id="68" w:name="_Toc61261254"/>
      <w:r w:rsidRPr="00DB7370">
        <w:rPr>
          <w:rFonts w:ascii="Calibri" w:hAnsi="Calibri" w:cs="Calibri"/>
          <w:b/>
          <w:sz w:val="22"/>
          <w:szCs w:val="22"/>
          <w:u w:val="single"/>
        </w:rPr>
        <w:t>41. Kiti ginčai viešojo administravimo srityje</w:t>
      </w:r>
      <w:bookmarkEnd w:id="67"/>
      <w:bookmarkEnd w:id="68"/>
    </w:p>
    <w:p w14:paraId="5BCE9792" w14:textId="1F99AC82" w:rsidR="00D654C5" w:rsidRPr="005A0774" w:rsidRDefault="00D654C5" w:rsidP="007412F7">
      <w:pPr>
        <w:shd w:val="clear" w:color="auto" w:fill="FFFFFF"/>
        <w:tabs>
          <w:tab w:val="left" w:pos="3119"/>
        </w:tabs>
        <w:ind w:right="-1" w:firstLine="567"/>
        <w:jc w:val="both"/>
        <w:rPr>
          <w:rFonts w:ascii="Calibri" w:hAnsi="Calibri" w:cs="Calibri"/>
          <w:sz w:val="22"/>
          <w:szCs w:val="22"/>
        </w:rPr>
      </w:pPr>
    </w:p>
    <w:p w14:paraId="657BC35A" w14:textId="0EB4D7BB" w:rsidR="00D654C5" w:rsidRDefault="00DB7370" w:rsidP="00DB7370">
      <w:pPr>
        <w:jc w:val="both"/>
        <w:outlineLvl w:val="1"/>
        <w:rPr>
          <w:rFonts w:ascii="Calibri" w:eastAsia="Calibri" w:hAnsi="Calibri" w:cs="Calibri"/>
          <w:i/>
          <w:sz w:val="22"/>
          <w:szCs w:val="22"/>
        </w:rPr>
      </w:pPr>
      <w:bookmarkStart w:id="69" w:name="_Toc61261255"/>
      <w:r>
        <w:rPr>
          <w:rFonts w:ascii="Calibri" w:eastAsia="Calibri" w:hAnsi="Calibri" w:cs="Calibri"/>
          <w:i/>
          <w:sz w:val="22"/>
          <w:szCs w:val="22"/>
        </w:rPr>
        <w:t>Dėl termino papildomiems vairuotojų mokymams užbaigti</w:t>
      </w:r>
      <w:bookmarkEnd w:id="69"/>
      <w:r>
        <w:rPr>
          <w:rFonts w:ascii="Calibri" w:eastAsia="Calibri" w:hAnsi="Calibri" w:cs="Calibri"/>
          <w:i/>
          <w:sz w:val="22"/>
          <w:szCs w:val="22"/>
        </w:rPr>
        <w:t xml:space="preserve"> </w:t>
      </w:r>
    </w:p>
    <w:p w14:paraId="4AC4DED3" w14:textId="339F3FB7" w:rsidR="00DB7370" w:rsidRDefault="00DB7370" w:rsidP="00DB7370">
      <w:pPr>
        <w:ind w:firstLine="567"/>
        <w:jc w:val="both"/>
        <w:rPr>
          <w:rFonts w:ascii="Calibri" w:eastAsia="Calibri" w:hAnsi="Calibri" w:cs="Calibri"/>
          <w:sz w:val="22"/>
          <w:szCs w:val="22"/>
        </w:rPr>
      </w:pPr>
    </w:p>
    <w:p w14:paraId="098261DD" w14:textId="47DE79F2" w:rsidR="00DB7370" w:rsidRPr="00DB7370" w:rsidRDefault="00DB7370" w:rsidP="00DB7370">
      <w:pPr>
        <w:ind w:firstLine="567"/>
        <w:jc w:val="both"/>
        <w:rPr>
          <w:rFonts w:ascii="Calibri" w:eastAsia="Calibri" w:hAnsi="Calibri" w:cs="Calibri"/>
          <w:bCs/>
          <w:sz w:val="22"/>
          <w:szCs w:val="22"/>
        </w:rPr>
      </w:pPr>
      <w:r w:rsidRPr="00DB7370">
        <w:rPr>
          <w:rFonts w:ascii="Calibri" w:eastAsia="Calibri" w:hAnsi="Calibri" w:cs="Calibri"/>
          <w:bCs/>
          <w:sz w:val="22"/>
          <w:szCs w:val="22"/>
        </w:rPr>
        <w:t>Nagrinė</w:t>
      </w:r>
      <w:r>
        <w:rPr>
          <w:rFonts w:ascii="Calibri" w:eastAsia="Calibri" w:hAnsi="Calibri" w:cs="Calibri"/>
          <w:bCs/>
          <w:sz w:val="22"/>
          <w:szCs w:val="22"/>
        </w:rPr>
        <w:t>t</w:t>
      </w:r>
      <w:r w:rsidRPr="00DB7370">
        <w:rPr>
          <w:rFonts w:ascii="Calibri" w:eastAsia="Calibri" w:hAnsi="Calibri" w:cs="Calibri"/>
          <w:bCs/>
          <w:sz w:val="22"/>
          <w:szCs w:val="22"/>
        </w:rPr>
        <w:t xml:space="preserve">oje byloje ginčas </w:t>
      </w:r>
      <w:r>
        <w:rPr>
          <w:rFonts w:ascii="Calibri" w:eastAsia="Calibri" w:hAnsi="Calibri" w:cs="Calibri"/>
          <w:bCs/>
          <w:sz w:val="22"/>
          <w:szCs w:val="22"/>
        </w:rPr>
        <w:t>kilo</w:t>
      </w:r>
      <w:r w:rsidRPr="00DB7370">
        <w:rPr>
          <w:rFonts w:ascii="Calibri" w:eastAsia="Calibri" w:hAnsi="Calibri" w:cs="Calibri"/>
          <w:bCs/>
          <w:sz w:val="22"/>
          <w:szCs w:val="22"/>
        </w:rPr>
        <w:t xml:space="preserve"> dėl </w:t>
      </w:r>
      <w:r>
        <w:rPr>
          <w:rFonts w:ascii="Calibri" w:eastAsia="Calibri" w:hAnsi="Calibri" w:cs="Calibri"/>
          <w:bCs/>
          <w:sz w:val="22"/>
          <w:szCs w:val="22"/>
        </w:rPr>
        <w:t>VĮ</w:t>
      </w:r>
      <w:r w:rsidRPr="00DB7370">
        <w:rPr>
          <w:rFonts w:ascii="Calibri" w:eastAsia="Calibri" w:hAnsi="Calibri" w:cs="Calibri"/>
          <w:bCs/>
          <w:sz w:val="22"/>
          <w:szCs w:val="22"/>
        </w:rPr>
        <w:t xml:space="preserve"> „Regitra“ sprendimo panaikinimo ir įpareigojimo VĮ „Regitra“ pakeisti pareiškėjo 2 metus galiojantį pažymėjimą į 10 metų galiojantį vairuotojo pažymėjimą.  </w:t>
      </w:r>
    </w:p>
    <w:p w14:paraId="1BC363CA" w14:textId="06AB061B" w:rsidR="00DB7370" w:rsidRPr="00DB7370" w:rsidRDefault="00DB7370" w:rsidP="55FEB3D6">
      <w:pPr>
        <w:ind w:firstLine="567"/>
        <w:jc w:val="both"/>
        <w:rPr>
          <w:rFonts w:ascii="Calibri" w:eastAsia="Calibri" w:hAnsi="Calibri" w:cs="Calibri"/>
          <w:sz w:val="22"/>
          <w:szCs w:val="22"/>
        </w:rPr>
      </w:pPr>
      <w:r w:rsidRPr="55FEB3D6">
        <w:rPr>
          <w:rFonts w:ascii="Calibri" w:eastAsia="Calibri" w:hAnsi="Calibri" w:cs="Calibri"/>
          <w:sz w:val="22"/>
          <w:szCs w:val="22"/>
        </w:rPr>
        <w:t xml:space="preserve">Byloje ginčytas atsakovo sprendimas priimtas 2018 m. spalio 5 d. Tuo metu galiojusio Saugaus eismo automobilių keliais įstatymo 22 straipsnio 5 dalis nustatė, kad pradedantiesiems vairuotojams išduodamas 2 metus galiojantis vairuotojo pažymėjimas, kurį jie vidaus reikalų ministro ar jo įgaliotos institucijos nustatyta tvarka turės teisę pakeisti į 10 metų galiojantį vairuotojo pažymėjimą nebaigę papildomo vairuotojų mokymo, jeigu per 2 metus nepažeidė KET reikalavimo (reikalavimų), už kurį (kuriuos) šiame įstatyme numatytas papildomas vairuotojų mokymas, arba nesukėlė eismo įvykio, dėl kurio buvo sutrikdyta eismo dalyvio sveikata. </w:t>
      </w:r>
      <w:r w:rsidRPr="55FEB3D6">
        <w:rPr>
          <w:rFonts w:ascii="Calibri" w:eastAsia="Calibri" w:hAnsi="Calibri" w:cs="Calibri"/>
          <w:sz w:val="22"/>
          <w:szCs w:val="22"/>
          <w:u w:val="single"/>
        </w:rPr>
        <w:t>Pradedantysis vairuotojas, pažeidęs KET reikalavimą (reikalavimus), už kurį (kuriuos) šiame įstatyme numatytas papildomas vairuotojų mokymas, papildomą vairuotojų mokymą privalo baigti per vien</w:t>
      </w:r>
      <w:r w:rsidR="1E4491F7" w:rsidRPr="55FEB3D6">
        <w:rPr>
          <w:rFonts w:ascii="Calibri" w:eastAsia="Calibri" w:hAnsi="Calibri" w:cs="Calibri"/>
          <w:sz w:val="22"/>
          <w:szCs w:val="22"/>
          <w:u w:val="single"/>
        </w:rPr>
        <w:t>eri</w:t>
      </w:r>
      <w:r w:rsidRPr="55FEB3D6">
        <w:rPr>
          <w:rFonts w:ascii="Calibri" w:eastAsia="Calibri" w:hAnsi="Calibri" w:cs="Calibri"/>
          <w:sz w:val="22"/>
          <w:szCs w:val="22"/>
          <w:u w:val="single"/>
        </w:rPr>
        <w:t>us metus nuo pažeidimo padarymo datos</w:t>
      </w:r>
      <w:r w:rsidRPr="55FEB3D6">
        <w:rPr>
          <w:rFonts w:ascii="Calibri" w:eastAsia="Calibri" w:hAnsi="Calibri" w:cs="Calibri"/>
          <w:sz w:val="22"/>
          <w:szCs w:val="22"/>
        </w:rPr>
        <w:t>.</w:t>
      </w:r>
    </w:p>
    <w:p w14:paraId="45E2A808" w14:textId="7BC59938" w:rsidR="00DB7370" w:rsidRPr="00DB7370" w:rsidRDefault="00DB7370" w:rsidP="00DB7370">
      <w:pPr>
        <w:ind w:firstLine="567"/>
        <w:jc w:val="both"/>
        <w:rPr>
          <w:rFonts w:ascii="Calibri" w:eastAsia="Calibri" w:hAnsi="Calibri" w:cs="Calibri"/>
          <w:bCs/>
          <w:sz w:val="22"/>
          <w:szCs w:val="22"/>
        </w:rPr>
      </w:pPr>
      <w:r>
        <w:rPr>
          <w:rFonts w:ascii="Calibri" w:eastAsia="Calibri" w:hAnsi="Calibri" w:cs="Calibri"/>
          <w:bCs/>
          <w:sz w:val="22"/>
          <w:szCs w:val="22"/>
        </w:rPr>
        <w:t>B</w:t>
      </w:r>
      <w:r w:rsidRPr="00DB7370">
        <w:rPr>
          <w:rFonts w:ascii="Calibri" w:eastAsia="Calibri" w:hAnsi="Calibri" w:cs="Calibri"/>
          <w:bCs/>
          <w:sz w:val="22"/>
          <w:szCs w:val="22"/>
        </w:rPr>
        <w:t>yloje nustatyta, kad pareiškėjui 2016 m. rugsėjo 22 d. buvo išduotas pradedančiojo vairuotojo pažymėjimas, t. y. pažymėjimas, galiojęs 2 metus. Pareiškėjas pradedančiojo vairuotojo pažymėjimo galiojimo metu, t. y. 2017 m. gegužės 30 d. padarė administracinį nusižengimą – vairuodamas automobilį leistiną greitį viršijo 27 km/h.</w:t>
      </w:r>
      <w:r w:rsidR="00EB3D6C">
        <w:rPr>
          <w:rFonts w:ascii="Calibri" w:eastAsia="Calibri" w:hAnsi="Calibri" w:cs="Calibri"/>
          <w:bCs/>
          <w:sz w:val="22"/>
          <w:szCs w:val="22"/>
        </w:rPr>
        <w:t xml:space="preserve"> </w:t>
      </w:r>
      <w:r w:rsidR="00575060">
        <w:rPr>
          <w:rFonts w:ascii="Calibri" w:eastAsia="Calibri" w:hAnsi="Calibri" w:cs="Calibri"/>
          <w:bCs/>
          <w:sz w:val="22"/>
          <w:szCs w:val="22"/>
        </w:rPr>
        <w:t xml:space="preserve">Remiantis </w:t>
      </w:r>
      <w:r w:rsidRPr="00DB7370">
        <w:rPr>
          <w:rFonts w:ascii="Calibri" w:eastAsia="Calibri" w:hAnsi="Calibri" w:cs="Calibri"/>
          <w:bCs/>
          <w:sz w:val="22"/>
          <w:szCs w:val="22"/>
        </w:rPr>
        <w:t>Saugaus eismo automobilių keliais įstatymo 2 straipsnio 45 dali</w:t>
      </w:r>
      <w:r w:rsidR="00575060">
        <w:rPr>
          <w:rFonts w:ascii="Calibri" w:eastAsia="Calibri" w:hAnsi="Calibri" w:cs="Calibri"/>
          <w:bCs/>
          <w:sz w:val="22"/>
          <w:szCs w:val="22"/>
        </w:rPr>
        <w:t xml:space="preserve">mi, </w:t>
      </w:r>
      <w:r w:rsidRPr="00DB7370">
        <w:rPr>
          <w:rFonts w:ascii="Calibri" w:eastAsia="Calibri" w:hAnsi="Calibri" w:cs="Calibri"/>
          <w:bCs/>
          <w:sz w:val="22"/>
          <w:szCs w:val="22"/>
        </w:rPr>
        <w:t xml:space="preserve">papildomas vairuotojų mokymas </w:t>
      </w:r>
      <w:r w:rsidR="00575060">
        <w:rPr>
          <w:rFonts w:ascii="Calibri" w:eastAsia="Calibri" w:hAnsi="Calibri" w:cs="Calibri"/>
          <w:bCs/>
          <w:sz w:val="22"/>
          <w:szCs w:val="22"/>
        </w:rPr>
        <w:t xml:space="preserve">– </w:t>
      </w:r>
      <w:r w:rsidRPr="00DB7370">
        <w:rPr>
          <w:rFonts w:ascii="Calibri" w:eastAsia="Calibri" w:hAnsi="Calibri" w:cs="Calibri"/>
          <w:bCs/>
          <w:sz w:val="22"/>
          <w:szCs w:val="22"/>
        </w:rPr>
        <w:t xml:space="preserve">tai Susisiekimo ministerijos arba jos įgaliotos institucijos nustatyta tvarka organizuojamas ir vykdomas mokymas </w:t>
      </w:r>
      <w:bookmarkStart w:id="70" w:name="part_f3f82260e9f44fb5aa6abfd3c736257e"/>
      <w:bookmarkEnd w:id="70"/>
      <w:r w:rsidRPr="00DB7370">
        <w:rPr>
          <w:rFonts w:ascii="Calibri" w:eastAsia="Calibri" w:hAnsi="Calibri" w:cs="Calibri"/>
          <w:bCs/>
          <w:sz w:val="22"/>
          <w:szCs w:val="22"/>
        </w:rPr>
        <w:t xml:space="preserve">pradedančiųjų vairuotojų, pažeidusių KET reikalavimą </w:t>
      </w:r>
      <w:r w:rsidR="00EB3D6C">
        <w:rPr>
          <w:rFonts w:ascii="Calibri" w:eastAsia="Calibri" w:hAnsi="Calibri" w:cs="Calibri"/>
          <w:bCs/>
          <w:sz w:val="22"/>
          <w:szCs w:val="22"/>
        </w:rPr>
        <w:t>&lt;</w:t>
      </w:r>
      <w:r w:rsidRPr="00DB7370">
        <w:rPr>
          <w:rFonts w:ascii="Calibri" w:eastAsia="Calibri" w:hAnsi="Calibri" w:cs="Calibri"/>
          <w:bCs/>
          <w:sz w:val="22"/>
          <w:szCs w:val="22"/>
        </w:rPr>
        <w:t>…</w:t>
      </w:r>
      <w:r w:rsidR="00EB3D6C">
        <w:rPr>
          <w:rFonts w:ascii="Calibri" w:eastAsia="Calibri" w:hAnsi="Calibri" w:cs="Calibri"/>
          <w:bCs/>
          <w:sz w:val="22"/>
          <w:szCs w:val="22"/>
        </w:rPr>
        <w:t>&gt;</w:t>
      </w:r>
      <w:r w:rsidRPr="00DB7370">
        <w:rPr>
          <w:rFonts w:ascii="Calibri" w:eastAsia="Calibri" w:hAnsi="Calibri" w:cs="Calibri"/>
          <w:bCs/>
          <w:sz w:val="22"/>
          <w:szCs w:val="22"/>
        </w:rPr>
        <w:t xml:space="preserve"> neviršyti nustatyto greičio daugiau kaip 10 km/h </w:t>
      </w:r>
      <w:r w:rsidR="00EB3D6C">
        <w:rPr>
          <w:rFonts w:ascii="Calibri" w:eastAsia="Calibri" w:hAnsi="Calibri" w:cs="Calibri"/>
          <w:bCs/>
          <w:sz w:val="22"/>
          <w:szCs w:val="22"/>
        </w:rPr>
        <w:t>&lt;</w:t>
      </w:r>
      <w:r w:rsidRPr="00DB7370">
        <w:rPr>
          <w:rFonts w:ascii="Calibri" w:eastAsia="Calibri" w:hAnsi="Calibri" w:cs="Calibri"/>
          <w:bCs/>
          <w:sz w:val="22"/>
          <w:szCs w:val="22"/>
        </w:rPr>
        <w:t>…</w:t>
      </w:r>
      <w:r w:rsidR="00EB3D6C">
        <w:rPr>
          <w:rFonts w:ascii="Calibri" w:eastAsia="Calibri" w:hAnsi="Calibri" w:cs="Calibri"/>
          <w:bCs/>
          <w:sz w:val="22"/>
          <w:szCs w:val="22"/>
        </w:rPr>
        <w:t>&gt;</w:t>
      </w:r>
      <w:r w:rsidRPr="00DB7370">
        <w:rPr>
          <w:rFonts w:ascii="Calibri" w:eastAsia="Calibri" w:hAnsi="Calibri" w:cs="Calibri"/>
          <w:bCs/>
          <w:sz w:val="22"/>
          <w:szCs w:val="22"/>
        </w:rPr>
        <w:t>.</w:t>
      </w:r>
    </w:p>
    <w:p w14:paraId="2355113A" w14:textId="57157361" w:rsidR="00DB7370" w:rsidRPr="00DB7370" w:rsidRDefault="00DB7370" w:rsidP="00DB7370">
      <w:pPr>
        <w:ind w:firstLine="567"/>
        <w:jc w:val="both"/>
        <w:rPr>
          <w:rFonts w:ascii="Calibri" w:eastAsia="Calibri" w:hAnsi="Calibri" w:cs="Calibri"/>
          <w:bCs/>
          <w:sz w:val="22"/>
          <w:szCs w:val="22"/>
        </w:rPr>
      </w:pPr>
      <w:r w:rsidRPr="00DB7370">
        <w:rPr>
          <w:rFonts w:ascii="Calibri" w:eastAsia="Calibri" w:hAnsi="Calibri" w:cs="Calibri"/>
          <w:bCs/>
          <w:sz w:val="22"/>
          <w:szCs w:val="22"/>
        </w:rPr>
        <w:t>Atsižvelg</w:t>
      </w:r>
      <w:r w:rsidR="00575060">
        <w:rPr>
          <w:rFonts w:ascii="Calibri" w:eastAsia="Calibri" w:hAnsi="Calibri" w:cs="Calibri"/>
          <w:bCs/>
          <w:sz w:val="22"/>
          <w:szCs w:val="22"/>
        </w:rPr>
        <w:t>ęs</w:t>
      </w:r>
      <w:r w:rsidRPr="00DB7370">
        <w:rPr>
          <w:rFonts w:ascii="Calibri" w:eastAsia="Calibri" w:hAnsi="Calibri" w:cs="Calibri"/>
          <w:bCs/>
          <w:sz w:val="22"/>
          <w:szCs w:val="22"/>
        </w:rPr>
        <w:t xml:space="preserve"> į byloje nustatytas aplinkybes bei nurodytas Saugaus eismo automobilių keliais įstatymo 2 straipsnio 45 dalies bei 22 straipsnio 5 dalies nuostatas </w:t>
      </w:r>
      <w:r w:rsidR="00575060">
        <w:rPr>
          <w:rFonts w:ascii="Calibri" w:eastAsia="Calibri" w:hAnsi="Calibri" w:cs="Calibri"/>
          <w:bCs/>
          <w:sz w:val="22"/>
          <w:szCs w:val="22"/>
        </w:rPr>
        <w:t xml:space="preserve">LVAT </w:t>
      </w:r>
      <w:r w:rsidRPr="00DB7370">
        <w:rPr>
          <w:rFonts w:ascii="Calibri" w:eastAsia="Calibri" w:hAnsi="Calibri" w:cs="Calibri"/>
          <w:bCs/>
          <w:sz w:val="22"/>
          <w:szCs w:val="22"/>
        </w:rPr>
        <w:t>konstat</w:t>
      </w:r>
      <w:r w:rsidR="00575060">
        <w:rPr>
          <w:rFonts w:ascii="Calibri" w:eastAsia="Calibri" w:hAnsi="Calibri" w:cs="Calibri"/>
          <w:bCs/>
          <w:sz w:val="22"/>
          <w:szCs w:val="22"/>
        </w:rPr>
        <w:t>avo</w:t>
      </w:r>
      <w:r w:rsidRPr="00DB7370">
        <w:rPr>
          <w:rFonts w:ascii="Calibri" w:eastAsia="Calibri" w:hAnsi="Calibri" w:cs="Calibri"/>
          <w:bCs/>
          <w:sz w:val="22"/>
          <w:szCs w:val="22"/>
        </w:rPr>
        <w:t xml:space="preserve">, jog </w:t>
      </w:r>
      <w:r w:rsidRPr="00575060">
        <w:rPr>
          <w:rFonts w:ascii="Calibri" w:eastAsia="Calibri" w:hAnsi="Calibri" w:cs="Calibri"/>
          <w:bCs/>
          <w:sz w:val="22"/>
          <w:szCs w:val="22"/>
          <w:u w:val="single"/>
        </w:rPr>
        <w:t>pareiškėjas, siekdamas pakeisti savo 2 metus galiojantį vairuotojo pažymėjimą į 10 metų galiojantį vairuotojo pažymėjimą, turėjo pareigą baigti papildomą vairuotojų mokymą per vienus metus nuo pažeidimo padarymo datos</w:t>
      </w:r>
      <w:r w:rsidRPr="00DB7370">
        <w:rPr>
          <w:rFonts w:ascii="Calibri" w:eastAsia="Calibri" w:hAnsi="Calibri" w:cs="Calibri"/>
          <w:bCs/>
          <w:sz w:val="22"/>
          <w:szCs w:val="22"/>
        </w:rPr>
        <w:t>.</w:t>
      </w:r>
    </w:p>
    <w:p w14:paraId="11829B24" w14:textId="7BAD7F6E" w:rsidR="00DB7370" w:rsidRPr="00DB7370" w:rsidRDefault="00DB7370" w:rsidP="00DB7370">
      <w:pPr>
        <w:ind w:firstLine="567"/>
        <w:jc w:val="both"/>
        <w:rPr>
          <w:rFonts w:ascii="Calibri" w:eastAsia="Calibri" w:hAnsi="Calibri" w:cs="Calibri"/>
          <w:bCs/>
          <w:sz w:val="22"/>
          <w:szCs w:val="22"/>
        </w:rPr>
      </w:pPr>
      <w:r w:rsidRPr="00DB7370">
        <w:rPr>
          <w:rFonts w:ascii="Calibri" w:eastAsia="Calibri" w:hAnsi="Calibri" w:cs="Calibri"/>
          <w:bCs/>
          <w:sz w:val="22"/>
          <w:szCs w:val="22"/>
        </w:rPr>
        <w:t>Saugaus eismo automobilių keliais įstatymo 24 straipsnio 9 dalis nustat</w:t>
      </w:r>
      <w:r w:rsidR="00575060">
        <w:rPr>
          <w:rFonts w:ascii="Calibri" w:eastAsia="Calibri" w:hAnsi="Calibri" w:cs="Calibri"/>
          <w:bCs/>
          <w:sz w:val="22"/>
          <w:szCs w:val="22"/>
        </w:rPr>
        <w:t>ė</w:t>
      </w:r>
      <w:r w:rsidRPr="00DB7370">
        <w:rPr>
          <w:rFonts w:ascii="Calibri" w:eastAsia="Calibri" w:hAnsi="Calibri" w:cs="Calibri"/>
          <w:bCs/>
          <w:sz w:val="22"/>
          <w:szCs w:val="22"/>
        </w:rPr>
        <w:t xml:space="preserve">, kad </w:t>
      </w:r>
      <w:r w:rsidRPr="00575060">
        <w:rPr>
          <w:rFonts w:ascii="Calibri" w:eastAsia="Calibri" w:hAnsi="Calibri" w:cs="Calibri"/>
          <w:bCs/>
          <w:sz w:val="22"/>
          <w:szCs w:val="22"/>
          <w:u w:val="single"/>
        </w:rPr>
        <w:t>pradedantysis vairuotojas, per šio įstatymo 22 straipsnio 5 dalyje nustatytus terminus nebaigęs papildomo vairuotojų mokymo, praranda teisę vairuoti transporto priemones ir jo turimas 2 metus galiojęs vairuotojo pažymėjimas nekeičiamas į 10 metų galiojantį vairuotojo pažymėjimą</w:t>
      </w:r>
      <w:r w:rsidRPr="00DB7370">
        <w:rPr>
          <w:rFonts w:ascii="Calibri" w:eastAsia="Calibri" w:hAnsi="Calibri" w:cs="Calibri"/>
          <w:bCs/>
          <w:sz w:val="22"/>
          <w:szCs w:val="22"/>
        </w:rPr>
        <w:t>. Šiuo atveju pradedančiajam vairuotojui teisė vairuoti transporto priemones grąžinama tik perlaikius vairavimo egzaminą ir išduodamas 2 metus galiojantis vairuotojo pažymėjimas, kurį jis turės teisę pakeisti į 10 metų galiojantį vairuotojo pažymėjimą šio įstatymo 22 straipsnyje nustatyta tvarka.</w:t>
      </w:r>
    </w:p>
    <w:p w14:paraId="5A8668FA" w14:textId="6E6BB667" w:rsidR="00DB7370" w:rsidRPr="00DB7370" w:rsidRDefault="00575060" w:rsidP="00DB7370">
      <w:pPr>
        <w:ind w:firstLine="567"/>
        <w:jc w:val="both"/>
        <w:rPr>
          <w:rFonts w:ascii="Calibri" w:eastAsia="Calibri" w:hAnsi="Calibri" w:cs="Calibri"/>
          <w:bCs/>
          <w:sz w:val="22"/>
          <w:szCs w:val="22"/>
        </w:rPr>
      </w:pPr>
      <w:r>
        <w:rPr>
          <w:rFonts w:ascii="Calibri" w:eastAsia="Calibri" w:hAnsi="Calibri" w:cs="Calibri"/>
          <w:bCs/>
          <w:sz w:val="22"/>
          <w:szCs w:val="22"/>
        </w:rPr>
        <w:t>Nustatęs</w:t>
      </w:r>
      <w:r w:rsidR="00DB7370" w:rsidRPr="00DB7370">
        <w:rPr>
          <w:rFonts w:ascii="Calibri" w:eastAsia="Calibri" w:hAnsi="Calibri" w:cs="Calibri"/>
          <w:bCs/>
          <w:sz w:val="22"/>
          <w:szCs w:val="22"/>
        </w:rPr>
        <w:t xml:space="preserve">, kad pareiškėjas papildomą vairuotojų mokymą baigė tik 2018 m. spalio 2 d., t. y. vėliau nei per vienerius metus nuo administracinio nusižengimo padarymo, </w:t>
      </w:r>
      <w:r>
        <w:rPr>
          <w:rFonts w:ascii="Calibri" w:eastAsia="Calibri" w:hAnsi="Calibri" w:cs="Calibri"/>
          <w:bCs/>
          <w:sz w:val="22"/>
          <w:szCs w:val="22"/>
        </w:rPr>
        <w:t xml:space="preserve">LVAT </w:t>
      </w:r>
      <w:r w:rsidR="00DB7370" w:rsidRPr="00DB7370">
        <w:rPr>
          <w:rFonts w:ascii="Calibri" w:eastAsia="Calibri" w:hAnsi="Calibri" w:cs="Calibri"/>
          <w:bCs/>
          <w:sz w:val="22"/>
          <w:szCs w:val="22"/>
        </w:rPr>
        <w:t>konstat</w:t>
      </w:r>
      <w:r>
        <w:rPr>
          <w:rFonts w:ascii="Calibri" w:eastAsia="Calibri" w:hAnsi="Calibri" w:cs="Calibri"/>
          <w:bCs/>
          <w:sz w:val="22"/>
          <w:szCs w:val="22"/>
        </w:rPr>
        <w:t>avo</w:t>
      </w:r>
      <w:r w:rsidR="00DB7370" w:rsidRPr="00DB7370">
        <w:rPr>
          <w:rFonts w:ascii="Calibri" w:eastAsia="Calibri" w:hAnsi="Calibri" w:cs="Calibri"/>
          <w:bCs/>
          <w:sz w:val="22"/>
          <w:szCs w:val="22"/>
        </w:rPr>
        <w:t xml:space="preserve">, kad 2018 m. spalio 5 d., pareiškėjui kreipiantis į atsakovą dėl vairuotojo pažymėjimo pakeitimo, pareiškėjas jau buvo praradęs teisę vairuoti transporto priemones ir, nesant perlaikyto vairavimo egzamino, atsakovas teisėtai ir pagrįstai šioje byloje ginčijamu sprendimu atsisakė pareiškėjui pakeisti vairuotojo pažymėjimą. </w:t>
      </w:r>
    </w:p>
    <w:p w14:paraId="5C68253A" w14:textId="70D61BAA" w:rsidR="00DB7370" w:rsidRPr="00DB7370" w:rsidRDefault="00575060" w:rsidP="55FEB3D6">
      <w:pPr>
        <w:ind w:firstLine="567"/>
        <w:jc w:val="both"/>
        <w:rPr>
          <w:rFonts w:ascii="Calibri" w:eastAsia="Calibri" w:hAnsi="Calibri" w:cs="Calibri"/>
          <w:sz w:val="22"/>
          <w:szCs w:val="22"/>
        </w:rPr>
      </w:pPr>
      <w:r w:rsidRPr="55FEB3D6">
        <w:rPr>
          <w:rFonts w:ascii="Calibri" w:eastAsia="Calibri" w:hAnsi="Calibri" w:cs="Calibri"/>
          <w:sz w:val="22"/>
          <w:szCs w:val="22"/>
        </w:rPr>
        <w:t xml:space="preserve">LVAT pažymėjo, kad </w:t>
      </w:r>
      <w:r w:rsidR="00DB7370" w:rsidRPr="55FEB3D6">
        <w:rPr>
          <w:rFonts w:ascii="Calibri" w:eastAsia="Calibri" w:hAnsi="Calibri" w:cs="Calibri"/>
          <w:sz w:val="22"/>
          <w:szCs w:val="22"/>
        </w:rPr>
        <w:t>įstatym</w:t>
      </w:r>
      <w:r w:rsidR="62CBDB6A" w:rsidRPr="55FEB3D6">
        <w:rPr>
          <w:rFonts w:ascii="Calibri" w:eastAsia="Calibri" w:hAnsi="Calibri" w:cs="Calibri"/>
          <w:sz w:val="22"/>
          <w:szCs w:val="22"/>
        </w:rPr>
        <w:t>ų</w:t>
      </w:r>
      <w:r w:rsidR="00DB7370" w:rsidRPr="55FEB3D6">
        <w:rPr>
          <w:rFonts w:ascii="Calibri" w:eastAsia="Calibri" w:hAnsi="Calibri" w:cs="Calibri"/>
          <w:sz w:val="22"/>
          <w:szCs w:val="22"/>
        </w:rPr>
        <w:t xml:space="preserve"> leidėjas, 2018</w:t>
      </w:r>
      <w:r w:rsidRPr="55FEB3D6">
        <w:rPr>
          <w:rFonts w:ascii="Calibri" w:eastAsia="Calibri" w:hAnsi="Calibri" w:cs="Calibri"/>
          <w:sz w:val="22"/>
          <w:szCs w:val="22"/>
        </w:rPr>
        <w:t xml:space="preserve"> </w:t>
      </w:r>
      <w:r w:rsidR="00DB7370" w:rsidRPr="55FEB3D6">
        <w:rPr>
          <w:rFonts w:ascii="Calibri" w:eastAsia="Calibri" w:hAnsi="Calibri" w:cs="Calibri"/>
          <w:sz w:val="22"/>
          <w:szCs w:val="22"/>
        </w:rPr>
        <w:t>m. spalio 18</w:t>
      </w:r>
      <w:r w:rsidRPr="55FEB3D6">
        <w:rPr>
          <w:rFonts w:ascii="Calibri" w:eastAsia="Calibri" w:hAnsi="Calibri" w:cs="Calibri"/>
          <w:sz w:val="22"/>
          <w:szCs w:val="22"/>
        </w:rPr>
        <w:t xml:space="preserve"> </w:t>
      </w:r>
      <w:r w:rsidR="00DB7370" w:rsidRPr="55FEB3D6">
        <w:rPr>
          <w:rFonts w:ascii="Calibri" w:eastAsia="Calibri" w:hAnsi="Calibri" w:cs="Calibri"/>
          <w:sz w:val="22"/>
          <w:szCs w:val="22"/>
        </w:rPr>
        <w:t>d. pakeitęs Saugaus eismo automobilių keliais įstatymo 2, 22, 24 ir 27 straipsnius</w:t>
      </w:r>
      <w:r w:rsidRPr="55FEB3D6">
        <w:rPr>
          <w:rFonts w:ascii="Calibri" w:eastAsia="Calibri" w:hAnsi="Calibri" w:cs="Calibri"/>
          <w:sz w:val="22"/>
          <w:szCs w:val="22"/>
        </w:rPr>
        <w:t>,</w:t>
      </w:r>
      <w:r w:rsidR="00DB7370" w:rsidRPr="55FEB3D6">
        <w:rPr>
          <w:rFonts w:ascii="Calibri" w:eastAsia="Calibri" w:hAnsi="Calibri" w:cs="Calibri"/>
          <w:sz w:val="22"/>
          <w:szCs w:val="22"/>
        </w:rPr>
        <w:t xml:space="preserve"> tiesiogiai nustatė ir tuo pačiu patvirtino savo ankstesnį sprendimą dėl termino per kurį reikia baigti papildomą vairuotojų mokymą, t.</w:t>
      </w:r>
      <w:r w:rsidRPr="55FEB3D6">
        <w:rPr>
          <w:rFonts w:ascii="Calibri" w:eastAsia="Calibri" w:hAnsi="Calibri" w:cs="Calibri"/>
          <w:sz w:val="22"/>
          <w:szCs w:val="22"/>
        </w:rPr>
        <w:t xml:space="preserve"> </w:t>
      </w:r>
      <w:r w:rsidR="00DB7370" w:rsidRPr="55FEB3D6">
        <w:rPr>
          <w:rFonts w:ascii="Calibri" w:eastAsia="Calibri" w:hAnsi="Calibri" w:cs="Calibri"/>
          <w:sz w:val="22"/>
          <w:szCs w:val="22"/>
        </w:rPr>
        <w:t xml:space="preserve">y. kad naujos redakcijos </w:t>
      </w:r>
      <w:r w:rsidRPr="55FEB3D6">
        <w:rPr>
          <w:rFonts w:ascii="Calibri" w:eastAsia="Calibri" w:hAnsi="Calibri" w:cs="Calibri"/>
          <w:sz w:val="22"/>
          <w:szCs w:val="22"/>
        </w:rPr>
        <w:t>S</w:t>
      </w:r>
      <w:r w:rsidR="00DB7370" w:rsidRPr="55FEB3D6">
        <w:rPr>
          <w:rFonts w:ascii="Calibri" w:eastAsia="Calibri" w:hAnsi="Calibri" w:cs="Calibri"/>
          <w:sz w:val="22"/>
          <w:szCs w:val="22"/>
        </w:rPr>
        <w:t xml:space="preserve">augaus eismo </w:t>
      </w:r>
      <w:r w:rsidR="00DB7370" w:rsidRPr="55FEB3D6">
        <w:rPr>
          <w:rFonts w:ascii="Calibri" w:eastAsia="Calibri" w:hAnsi="Calibri" w:cs="Calibri"/>
          <w:sz w:val="22"/>
          <w:szCs w:val="22"/>
        </w:rPr>
        <w:lastRenderedPageBreak/>
        <w:t>automobilių keliais įstatymo 22 straipsnio 5 dalies ir 24 straipsnio 9 dalies nuostatos pradedantiesiems vairuotojams, tarp kurių šiuo atveju patenka ir pareiškėjas, n</w:t>
      </w:r>
      <w:r w:rsidRPr="55FEB3D6">
        <w:rPr>
          <w:rFonts w:ascii="Calibri" w:eastAsia="Calibri" w:hAnsi="Calibri" w:cs="Calibri"/>
          <w:sz w:val="22"/>
          <w:szCs w:val="22"/>
        </w:rPr>
        <w:t>e</w:t>
      </w:r>
      <w:r w:rsidR="00DB7370" w:rsidRPr="55FEB3D6">
        <w:rPr>
          <w:rFonts w:ascii="Calibri" w:eastAsia="Calibri" w:hAnsi="Calibri" w:cs="Calibri"/>
          <w:sz w:val="22"/>
          <w:szCs w:val="22"/>
        </w:rPr>
        <w:t>taikomos.</w:t>
      </w:r>
    </w:p>
    <w:p w14:paraId="2268F7A4" w14:textId="5AE51185" w:rsidR="00DB7370" w:rsidRPr="00DB7370" w:rsidRDefault="00575060" w:rsidP="00DB7370">
      <w:pPr>
        <w:ind w:firstLine="567"/>
        <w:jc w:val="both"/>
        <w:rPr>
          <w:rFonts w:ascii="Calibri" w:eastAsia="Calibri" w:hAnsi="Calibri" w:cs="Calibri"/>
          <w:bCs/>
          <w:sz w:val="22"/>
          <w:szCs w:val="22"/>
        </w:rPr>
      </w:pPr>
      <w:r>
        <w:rPr>
          <w:rFonts w:ascii="Calibri" w:eastAsia="Calibri" w:hAnsi="Calibri" w:cs="Calibri"/>
          <w:bCs/>
          <w:sz w:val="22"/>
          <w:szCs w:val="22"/>
        </w:rPr>
        <w:t>LVAT nutartimi</w:t>
      </w:r>
      <w:r w:rsidR="00DB7370" w:rsidRPr="00DB7370">
        <w:rPr>
          <w:rFonts w:ascii="Calibri" w:eastAsia="Calibri" w:hAnsi="Calibri" w:cs="Calibri"/>
          <w:bCs/>
          <w:sz w:val="22"/>
          <w:szCs w:val="22"/>
        </w:rPr>
        <w:t xml:space="preserve"> </w:t>
      </w:r>
      <w:r>
        <w:rPr>
          <w:rFonts w:ascii="Calibri" w:eastAsia="Calibri" w:hAnsi="Calibri" w:cs="Calibri"/>
          <w:bCs/>
          <w:sz w:val="22"/>
          <w:szCs w:val="22"/>
        </w:rPr>
        <w:t xml:space="preserve">pirmosios instancijos teismo sprendimas paliktas nepakeistas, </w:t>
      </w:r>
      <w:r w:rsidR="00DB7370" w:rsidRPr="00DB7370">
        <w:rPr>
          <w:rFonts w:ascii="Calibri" w:eastAsia="Calibri" w:hAnsi="Calibri" w:cs="Calibri"/>
          <w:bCs/>
          <w:sz w:val="22"/>
          <w:szCs w:val="22"/>
        </w:rPr>
        <w:t>pareiškėjo apeliacinis skundas atmestas.</w:t>
      </w:r>
    </w:p>
    <w:p w14:paraId="7F5C1888" w14:textId="0B261D6F" w:rsidR="00DB7370" w:rsidRPr="00DB7370" w:rsidRDefault="00DB7370" w:rsidP="00DB7370">
      <w:pPr>
        <w:ind w:firstLine="567"/>
        <w:jc w:val="both"/>
        <w:rPr>
          <w:rFonts w:ascii="Calibri" w:eastAsia="Calibri" w:hAnsi="Calibri" w:cs="Calibri"/>
          <w:bCs/>
          <w:sz w:val="22"/>
          <w:szCs w:val="22"/>
        </w:rPr>
      </w:pPr>
    </w:p>
    <w:p w14:paraId="6014E128" w14:textId="6C774D6A" w:rsidR="00DB7370" w:rsidRPr="00DB7370" w:rsidRDefault="00DB7370" w:rsidP="00DB7370">
      <w:pPr>
        <w:jc w:val="both"/>
        <w:rPr>
          <w:rFonts w:ascii="Calibri" w:hAnsi="Calibri" w:cs="Calibri"/>
          <w:sz w:val="22"/>
          <w:szCs w:val="22"/>
        </w:rPr>
      </w:pPr>
      <w:bookmarkStart w:id="71" w:name="_Toc519600876"/>
      <w:r>
        <w:rPr>
          <w:rFonts w:ascii="Calibri" w:hAnsi="Calibri" w:cs="Calibri"/>
          <w:sz w:val="22"/>
          <w:szCs w:val="22"/>
        </w:rPr>
        <w:t>2020 m. lapkričio 4 d. nutartis a</w:t>
      </w:r>
      <w:r w:rsidRPr="00DB7370">
        <w:rPr>
          <w:rFonts w:ascii="Calibri" w:hAnsi="Calibri" w:cs="Calibri"/>
          <w:sz w:val="22"/>
          <w:szCs w:val="22"/>
        </w:rPr>
        <w:t>dministracinė</w:t>
      </w:r>
      <w:r>
        <w:rPr>
          <w:rFonts w:ascii="Calibri" w:hAnsi="Calibri" w:cs="Calibri"/>
          <w:sz w:val="22"/>
          <w:szCs w:val="22"/>
        </w:rPr>
        <w:t>je</w:t>
      </w:r>
      <w:r w:rsidRPr="00DB7370">
        <w:rPr>
          <w:rFonts w:ascii="Calibri" w:hAnsi="Calibri" w:cs="Calibri"/>
          <w:sz w:val="22"/>
          <w:szCs w:val="22"/>
        </w:rPr>
        <w:t xml:space="preserve"> byl</w:t>
      </w:r>
      <w:r>
        <w:rPr>
          <w:rFonts w:ascii="Calibri" w:hAnsi="Calibri" w:cs="Calibri"/>
          <w:sz w:val="22"/>
          <w:szCs w:val="22"/>
        </w:rPr>
        <w:t>oje</w:t>
      </w:r>
      <w:r w:rsidRPr="00DB7370">
        <w:rPr>
          <w:rFonts w:ascii="Calibri" w:hAnsi="Calibri" w:cs="Calibri"/>
          <w:sz w:val="22"/>
          <w:szCs w:val="22"/>
        </w:rPr>
        <w:t xml:space="preserve"> Nr. eA-1686-525/2020</w:t>
      </w:r>
    </w:p>
    <w:p w14:paraId="1C0E9AB1" w14:textId="4416A405" w:rsidR="00DB7370" w:rsidRPr="00DB7370" w:rsidRDefault="00DB7370" w:rsidP="00DB7370">
      <w:pPr>
        <w:jc w:val="both"/>
        <w:rPr>
          <w:rFonts w:ascii="Calibri" w:hAnsi="Calibri" w:cs="Calibri"/>
          <w:sz w:val="22"/>
          <w:szCs w:val="22"/>
        </w:rPr>
      </w:pPr>
      <w:r w:rsidRPr="00DB7370">
        <w:rPr>
          <w:rFonts w:ascii="Calibri" w:hAnsi="Calibri" w:cs="Calibri"/>
          <w:sz w:val="22"/>
          <w:szCs w:val="22"/>
        </w:rPr>
        <w:t>Teisminio proceso Nr. 3-61-3-03617-2018-1</w:t>
      </w:r>
    </w:p>
    <w:p w14:paraId="77514600" w14:textId="08E08349" w:rsidR="00DB7370" w:rsidRDefault="00DB7370" w:rsidP="00DB7370">
      <w:pPr>
        <w:jc w:val="both"/>
        <w:rPr>
          <w:rFonts w:ascii="Calibri" w:hAnsi="Calibri" w:cs="Calibri"/>
          <w:sz w:val="22"/>
          <w:szCs w:val="22"/>
        </w:rPr>
      </w:pPr>
      <w:r w:rsidRPr="00DB7370">
        <w:rPr>
          <w:rFonts w:ascii="Calibri" w:hAnsi="Calibri" w:cs="Calibri"/>
          <w:sz w:val="22"/>
          <w:szCs w:val="22"/>
        </w:rPr>
        <w:t>Procesinio sprendimo kategorija 41</w:t>
      </w:r>
    </w:p>
    <w:p w14:paraId="28193D65" w14:textId="2F55F905" w:rsidR="00DB7370" w:rsidRPr="00DB7370" w:rsidRDefault="00822FF8" w:rsidP="00DB7370">
      <w:pPr>
        <w:jc w:val="both"/>
        <w:rPr>
          <w:rFonts w:ascii="Calibri" w:hAnsi="Calibri" w:cs="Calibri"/>
          <w:sz w:val="22"/>
          <w:szCs w:val="22"/>
        </w:rPr>
      </w:pPr>
      <w:hyperlink r:id="rId28" w:history="1">
        <w:r w:rsidR="00DB7370" w:rsidRPr="00DB7370">
          <w:rPr>
            <w:rStyle w:val="Hipersaitas"/>
            <w:rFonts w:ascii="Calibri" w:hAnsi="Calibri" w:cs="Calibri"/>
            <w:sz w:val="22"/>
            <w:szCs w:val="22"/>
          </w:rPr>
          <w:t>Prieiga internete</w:t>
        </w:r>
      </w:hyperlink>
    </w:p>
    <w:p w14:paraId="5A0F9B19" w14:textId="255E5F0F" w:rsidR="00EB7508" w:rsidRDefault="00EB7508" w:rsidP="00DB7370">
      <w:pPr>
        <w:ind w:firstLine="567"/>
        <w:jc w:val="both"/>
        <w:rPr>
          <w:rFonts w:ascii="Calibri" w:eastAsia="Calibri" w:hAnsi="Calibri" w:cs="Calibri"/>
          <w:sz w:val="22"/>
          <w:szCs w:val="22"/>
        </w:rPr>
      </w:pPr>
    </w:p>
    <w:p w14:paraId="0F049166" w14:textId="78197869" w:rsidR="00D55305" w:rsidRPr="00D55305" w:rsidRDefault="00D55305" w:rsidP="55FEB3D6">
      <w:pPr>
        <w:jc w:val="both"/>
        <w:outlineLvl w:val="1"/>
        <w:rPr>
          <w:rFonts w:asciiTheme="minorHAnsi" w:eastAsia="Calibri" w:hAnsiTheme="minorHAnsi" w:cstheme="minorBidi"/>
          <w:i/>
          <w:iCs/>
          <w:sz w:val="22"/>
          <w:szCs w:val="22"/>
        </w:rPr>
      </w:pPr>
      <w:bookmarkStart w:id="72" w:name="_Toc61261256"/>
      <w:r w:rsidRPr="55FEB3D6">
        <w:rPr>
          <w:rFonts w:asciiTheme="minorHAnsi" w:eastAsia="Calibri" w:hAnsiTheme="minorHAnsi" w:cstheme="minorBidi"/>
          <w:i/>
          <w:iCs/>
          <w:sz w:val="22"/>
          <w:szCs w:val="22"/>
        </w:rPr>
        <w:t>Dėl teisės gauti informaciją apie vaik</w:t>
      </w:r>
      <w:r w:rsidR="33C5A62F" w:rsidRPr="55FEB3D6">
        <w:rPr>
          <w:rFonts w:asciiTheme="minorHAnsi" w:eastAsia="Calibri" w:hAnsiTheme="minorHAnsi" w:cstheme="minorBidi"/>
          <w:i/>
          <w:iCs/>
          <w:sz w:val="22"/>
          <w:szCs w:val="22"/>
        </w:rPr>
        <w:t>us</w:t>
      </w:r>
      <w:r w:rsidRPr="55FEB3D6">
        <w:rPr>
          <w:rFonts w:asciiTheme="minorHAnsi" w:eastAsia="Calibri" w:hAnsiTheme="minorHAnsi" w:cstheme="minorBidi"/>
          <w:i/>
          <w:iCs/>
          <w:sz w:val="22"/>
          <w:szCs w:val="22"/>
        </w:rPr>
        <w:t>, kai teismo sprendimu apribota tėvo valdžia ir uždrausta matytis su vaikais</w:t>
      </w:r>
      <w:bookmarkEnd w:id="72"/>
      <w:r w:rsidRPr="55FEB3D6">
        <w:rPr>
          <w:rFonts w:asciiTheme="minorHAnsi" w:eastAsia="Calibri" w:hAnsiTheme="minorHAnsi" w:cstheme="minorBidi"/>
          <w:i/>
          <w:iCs/>
          <w:sz w:val="22"/>
          <w:szCs w:val="22"/>
        </w:rPr>
        <w:t xml:space="preserve"> </w:t>
      </w:r>
    </w:p>
    <w:p w14:paraId="3D4AA75C" w14:textId="77777777" w:rsidR="00D55305" w:rsidRPr="00D55305" w:rsidRDefault="00D55305" w:rsidP="00D55305">
      <w:pPr>
        <w:jc w:val="both"/>
        <w:rPr>
          <w:rFonts w:asciiTheme="minorHAnsi" w:hAnsiTheme="minorHAnsi" w:cstheme="minorHAnsi"/>
          <w:sz w:val="22"/>
          <w:szCs w:val="22"/>
        </w:rPr>
      </w:pPr>
    </w:p>
    <w:p w14:paraId="74033BD3" w14:textId="77777777" w:rsidR="00D55305" w:rsidRPr="00D55305" w:rsidRDefault="00D55305" w:rsidP="00D55305">
      <w:pPr>
        <w:ind w:firstLine="567"/>
        <w:jc w:val="both"/>
        <w:rPr>
          <w:rFonts w:asciiTheme="minorHAnsi" w:eastAsiaTheme="minorHAnsi" w:hAnsiTheme="minorHAnsi" w:cstheme="minorHAnsi"/>
          <w:sz w:val="22"/>
          <w:szCs w:val="22"/>
        </w:rPr>
      </w:pPr>
      <w:r w:rsidRPr="00D55305">
        <w:rPr>
          <w:rFonts w:asciiTheme="minorHAnsi" w:eastAsiaTheme="minorHAnsi" w:hAnsiTheme="minorHAnsi" w:cstheme="minorHAnsi"/>
          <w:sz w:val="22"/>
          <w:szCs w:val="22"/>
        </w:rPr>
        <w:t xml:space="preserve">Apžvelgiamoje byloje ginčas kilo dėl Valstybės vaiko teisių apsaugos ir įvaikinimo tarnybos prie Socialinės apsaugos ir darbo ministerijos (toliau – Tarnyba) rašto, kuriuo atsisakyta pateikti informaciją apie vaikus, nes Vilniaus miesto apylinkės teismas sprendimu civilinėje byloje nustatė pareiškėjo nepilnamečių vaikų gyvenamąją vietą su motina bei laikinai, vienerių metų laikotarpiui, apribojo pareiškėjo tėvo valdžią jo vaikų atžvilgiu, uždraudžiant pareiškėjui matytis su vaikais. </w:t>
      </w:r>
    </w:p>
    <w:p w14:paraId="3B1B11D4" w14:textId="77777777" w:rsidR="00D55305" w:rsidRPr="00D55305" w:rsidRDefault="00D55305" w:rsidP="00D55305">
      <w:pPr>
        <w:ind w:firstLine="567"/>
        <w:jc w:val="both"/>
        <w:rPr>
          <w:rFonts w:asciiTheme="minorHAnsi" w:eastAsiaTheme="minorHAnsi" w:hAnsiTheme="minorHAnsi" w:cstheme="minorHAnsi"/>
          <w:sz w:val="22"/>
          <w:szCs w:val="22"/>
        </w:rPr>
      </w:pPr>
      <w:r w:rsidRPr="00D55305">
        <w:rPr>
          <w:rFonts w:asciiTheme="minorHAnsi" w:eastAsiaTheme="minorHAnsi" w:hAnsiTheme="minorHAnsi" w:cstheme="minorHAnsi"/>
          <w:sz w:val="22"/>
          <w:szCs w:val="22"/>
        </w:rPr>
        <w:t>Pareiškėjas apeliaciniame skunde tvirtino, jog jis turi teisę gauti informaciją apie savo vaikus. Pirmosios instancijos teismas laikėsi nuostatos, kad pareiškėjui yra laikinai apribota tėvo valdžia, uždraudžiant matytis su vaikais, todėl jam yra sustabdoma ir CK 3.170 straipsnio 5 dalyje numatyta teisė gauti informaciją apie vaiką iš visų auklėjimo, ugdymo, gydymo, vaiko teisių apsaugos ir kitų institucijų, kurios turi ryšį su jo vaiku.</w:t>
      </w:r>
    </w:p>
    <w:p w14:paraId="1887B561" w14:textId="77777777" w:rsidR="00D55305" w:rsidRPr="00D55305" w:rsidRDefault="00D55305" w:rsidP="00D55305">
      <w:pPr>
        <w:ind w:firstLine="567"/>
        <w:jc w:val="both"/>
        <w:rPr>
          <w:rFonts w:asciiTheme="minorHAnsi" w:eastAsiaTheme="minorHAnsi" w:hAnsiTheme="minorHAnsi" w:cstheme="minorHAnsi"/>
          <w:sz w:val="22"/>
          <w:szCs w:val="22"/>
          <w:u w:val="single"/>
        </w:rPr>
      </w:pPr>
      <w:r w:rsidRPr="00D55305">
        <w:rPr>
          <w:rFonts w:asciiTheme="minorHAnsi" w:eastAsiaTheme="minorHAnsi" w:hAnsiTheme="minorHAnsi" w:cstheme="minorHAnsi"/>
          <w:sz w:val="22"/>
          <w:szCs w:val="22"/>
        </w:rPr>
        <w:t xml:space="preserve">LVAT teisėjų kolegija nurodė, jog CK 3.155 straipsnio 2 dalyje nustatyta, kad tėvai turi teisę ir pareigą dorai auklėti ir prižiūrėti savo vaikus, rūpintis jų sveikata, išlaikyti juos, atsižvelgdami į jų fizinę ir protinę būklę, sudaryti palankias sąlygas visapusiškai ir harmoningai vystytis, kad vaikas būtų parengtas savarankiškam gyvenimui visuomenėje. CK 3.165 straipsnio 1 dalyje įtvirtinta, kad tėvai turi teisę ir pareigą auklėti savo vaikus ir yra atsakingi už savo vaikų auklėjimą ir vystymą, privalo rūpintis savo vaikų sveikata, jų dvasiniu ir moraliniu ugdymu. Teisėjų kolegija laikėsi nuostatos, kad </w:t>
      </w:r>
      <w:r w:rsidRPr="00D55305">
        <w:rPr>
          <w:rFonts w:asciiTheme="minorHAnsi" w:eastAsiaTheme="minorHAnsi" w:hAnsiTheme="minorHAnsi" w:cstheme="minorHAnsi"/>
          <w:sz w:val="22"/>
          <w:szCs w:val="22"/>
          <w:u w:val="single"/>
        </w:rPr>
        <w:t>neabejotinai minėtos tėvų teisės ir pareigos galioja pareiškėjui net ir tuo laikotarpiu, kai pareiškėjo tėvo valdžia jo vaikų atžvilgiu yra apribota, uždraudžiant jam matytis su vaikais. Žinoma, šios teisės ir pareigos yra ribojamos.</w:t>
      </w:r>
    </w:p>
    <w:p w14:paraId="29460908" w14:textId="77777777" w:rsidR="00D55305" w:rsidRPr="00D55305" w:rsidRDefault="00D55305" w:rsidP="00D55305">
      <w:pPr>
        <w:ind w:firstLine="567"/>
        <w:jc w:val="both"/>
        <w:rPr>
          <w:rFonts w:asciiTheme="minorHAnsi" w:eastAsiaTheme="minorHAnsi" w:hAnsiTheme="minorHAnsi" w:cstheme="minorHAnsi"/>
          <w:sz w:val="22"/>
          <w:szCs w:val="22"/>
          <w:u w:val="single"/>
        </w:rPr>
      </w:pPr>
      <w:r w:rsidRPr="00D55305">
        <w:rPr>
          <w:rFonts w:asciiTheme="minorHAnsi" w:eastAsiaTheme="minorHAnsi" w:hAnsiTheme="minorHAnsi" w:cstheme="minorHAnsi"/>
          <w:sz w:val="22"/>
          <w:szCs w:val="22"/>
        </w:rPr>
        <w:t xml:space="preserve">Teisėjų kolegija, vertindama ginčijamą raštą, kuriuo nesuteikta pareiškėjui tam tikra informacija apie vaikus, pažymėjo, kad šiuo atveju taikomi pagrindiniai gero administravimo principo elementai, kylantys iš konstitucinės nuostatos, jog valdžios įstaigos tarnauja žmonėms. Akivaizdu, kad pareiškėjas, nors jam tuo metu ir buvo apribota jo tėvo valdžia vaikų atžvilgiu, uždraudžiant pareiškėjui matytis su vaikais, tam tikra prasme rūpinasi savo vaikais, t. y. jis yra sunerimęs dėl savo vaikų gyvenimo sąlygų ir siekia, kad Valstybės vaiko teisių apsaugos ir įvaikinimo tarnyba susitiktų su jo vaikais ir išklausytų jų nuomonės, jei reikia – pradėtų tyrimą. Skunde teismui taip pat buvo teigiama, kad atsakovas privalėjo inicijuoti „atvejo vadybos“ procedūras. </w:t>
      </w:r>
      <w:r w:rsidRPr="00D55305">
        <w:rPr>
          <w:rFonts w:asciiTheme="minorHAnsi" w:eastAsiaTheme="minorHAnsi" w:hAnsiTheme="minorHAnsi" w:cstheme="minorHAnsi"/>
          <w:sz w:val="22"/>
          <w:szCs w:val="22"/>
          <w:u w:val="single"/>
        </w:rPr>
        <w:t>Teisėjų kolegijos vertinimu, teisė gauti informaciją, susijusi su siekiu inicijuoti galimą vaikų teisių pažeidimo tyrimą Vaiko teisių apsaugos pagrindų 36 straipsnio prasme, yra teisės į gerą administravimą ir veiksmingos teisinės, prireikus – teisminės, apsaugos esmė. Šios teisės ypač svarbios, nes yra kitų teisių, kurias teisės subjektai turi pagal viešąją teisę, apsaugos išsaugojimo garantas. Teisė į informaciją savo pobūdžiu yra fundamentali administracinės teisės dalis, savo svarba prilygstanti viešojo administravimo principų pobūdžiui.</w:t>
      </w:r>
    </w:p>
    <w:p w14:paraId="7ED5339F" w14:textId="219C31AA" w:rsidR="00D55305" w:rsidRPr="00D55305" w:rsidRDefault="00D55305" w:rsidP="55FEB3D6">
      <w:pPr>
        <w:ind w:firstLine="567"/>
        <w:jc w:val="both"/>
        <w:rPr>
          <w:rFonts w:asciiTheme="minorHAnsi" w:eastAsiaTheme="minorEastAsia" w:hAnsiTheme="minorHAnsi" w:cstheme="minorBidi"/>
          <w:sz w:val="22"/>
          <w:szCs w:val="22"/>
        </w:rPr>
      </w:pPr>
      <w:r w:rsidRPr="55FEB3D6">
        <w:rPr>
          <w:rFonts w:asciiTheme="minorHAnsi" w:eastAsiaTheme="minorEastAsia" w:hAnsiTheme="minorHAnsi" w:cstheme="minorBidi"/>
          <w:sz w:val="22"/>
          <w:szCs w:val="22"/>
        </w:rPr>
        <w:t xml:space="preserve">Teisėjų kolegija nesutiko su pirmosios instancijos teismo išvada, kad Vilniaus miesto apylinkės teismo sprendimas civilinėje byloje leidžia atsakovui neteikti vaikų tėvui (pareiškėjui) informacijos apie vaikus ar netikrinti faktų, kuriuos šis pateikia Valstybės vaiko teisių apsaugos ir įvaikinimo tarnybai apie juos. </w:t>
      </w:r>
      <w:r w:rsidRPr="55FEB3D6">
        <w:rPr>
          <w:rFonts w:asciiTheme="minorHAnsi" w:eastAsiaTheme="minorEastAsia" w:hAnsiTheme="minorHAnsi" w:cstheme="minorBidi"/>
          <w:sz w:val="22"/>
          <w:szCs w:val="22"/>
          <w:u w:val="single"/>
        </w:rPr>
        <w:t xml:space="preserve">Teisėjų kolegijai nekilo abejonių, jog pareiškėjo interesas gauti informacijos apie savo vaikus tam, kad galėtų inicijuoti galimo vaikų teisių pažeidimo tyrimą Vaiko teisių apsaugos pagrindų </w:t>
      </w:r>
      <w:r w:rsidR="52499595" w:rsidRPr="55FEB3D6">
        <w:rPr>
          <w:rFonts w:asciiTheme="minorHAnsi" w:eastAsiaTheme="minorEastAsia" w:hAnsiTheme="minorHAnsi" w:cstheme="minorBidi"/>
          <w:sz w:val="22"/>
          <w:szCs w:val="22"/>
          <w:u w:val="single"/>
        </w:rPr>
        <w:t xml:space="preserve">įstatymo </w:t>
      </w:r>
      <w:r w:rsidRPr="55FEB3D6">
        <w:rPr>
          <w:rFonts w:asciiTheme="minorHAnsi" w:eastAsiaTheme="minorEastAsia" w:hAnsiTheme="minorHAnsi" w:cstheme="minorBidi"/>
          <w:sz w:val="22"/>
          <w:szCs w:val="22"/>
          <w:u w:val="single"/>
        </w:rPr>
        <w:t>36 straipsnio prasme, gali būti kvalifikuojamas kaip teisėtas interesas</w:t>
      </w:r>
      <w:r w:rsidRPr="55FEB3D6">
        <w:rPr>
          <w:rFonts w:asciiTheme="minorHAnsi" w:eastAsiaTheme="minorEastAsia" w:hAnsiTheme="minorHAnsi" w:cstheme="minorBidi"/>
          <w:sz w:val="22"/>
          <w:szCs w:val="22"/>
        </w:rPr>
        <w:t xml:space="preserve">. Tačiau </w:t>
      </w:r>
      <w:r w:rsidRPr="55FEB3D6">
        <w:rPr>
          <w:rFonts w:asciiTheme="minorHAnsi" w:eastAsiaTheme="minorEastAsia" w:hAnsiTheme="minorHAnsi" w:cstheme="minorBidi"/>
          <w:sz w:val="22"/>
          <w:szCs w:val="22"/>
          <w:u w:val="single"/>
        </w:rPr>
        <w:t xml:space="preserve">atsakovas, atsisakydamas teikti informaciją apie pareiškėjo vaikus vien tik Vilniaus miesto apylinkės teismo sprendimo civilinėje byloje pagrindu, neatliko tinkamo vertinimo ir nenustatė tinkamo balanso tarp, viena vertus, pareiškėjo teisėto intereso įsitikinti jo vaikų gerove ir tinkama priežiūra, įgyvendinat savo pareigą rūpintis vaikais (suprantamo kaip siekio gauti asmeninius duomenis, norint nustatyti, įvykdyti ar apginti savo teisinius reikalavimus), ir, kita vertus, teisės į privataus gyvenimo gerbimą apskritai bei konkrečiai teisės į asmens duomenų apsaugą bei vaikų saugumo interesų. Ši konkuruojančių interesų derinimo pareiga yra aiškiai matoma iš 2016 m. balandžio 27 d. Europos Parlamento ir Tarybos </w:t>
      </w:r>
      <w:r w:rsidRPr="55FEB3D6">
        <w:rPr>
          <w:rFonts w:asciiTheme="minorHAnsi" w:eastAsiaTheme="minorEastAsia" w:hAnsiTheme="minorHAnsi" w:cstheme="minorBidi"/>
          <w:sz w:val="22"/>
          <w:szCs w:val="22"/>
          <w:u w:val="single"/>
        </w:rPr>
        <w:lastRenderedPageBreak/>
        <w:t>reglamento (ES) 2016/679 dėl fizinių asmenų apsaugos tvarkant asmens duomenis ir dėl laisvo tokių duomenų judėjimo ir kuriuo panaikinama direktyva 95/46/EB (BDAR) 6 straipsnio f punkto nuostatos. Balansuojant teisėtus interesus, visų pirma, reikėtų tinkamai atsižvelgti į prašomų duomenų pobūdį ir jautrumą, jų išviešinimo apimtį ir kitas svarbias aplinkybes.</w:t>
      </w:r>
      <w:r w:rsidRPr="55FEB3D6">
        <w:rPr>
          <w:rFonts w:asciiTheme="minorHAnsi" w:eastAsiaTheme="minorEastAsia" w:hAnsiTheme="minorHAnsi" w:cstheme="minorBidi"/>
          <w:sz w:val="22"/>
          <w:szCs w:val="22"/>
        </w:rPr>
        <w:t xml:space="preserve"> </w:t>
      </w:r>
    </w:p>
    <w:p w14:paraId="542A520C" w14:textId="77777777" w:rsidR="00D55305" w:rsidRPr="00D55305" w:rsidRDefault="00D55305" w:rsidP="00D55305">
      <w:pPr>
        <w:ind w:firstLine="567"/>
        <w:jc w:val="both"/>
        <w:rPr>
          <w:rFonts w:asciiTheme="minorHAnsi" w:eastAsiaTheme="minorHAnsi" w:hAnsiTheme="minorHAnsi" w:cstheme="minorHAnsi"/>
          <w:sz w:val="22"/>
          <w:szCs w:val="22"/>
        </w:rPr>
      </w:pPr>
      <w:r w:rsidRPr="00D55305">
        <w:rPr>
          <w:rFonts w:asciiTheme="minorHAnsi" w:eastAsiaTheme="minorHAnsi" w:hAnsiTheme="minorHAnsi" w:cstheme="minorHAnsi"/>
          <w:sz w:val="22"/>
          <w:szCs w:val="22"/>
        </w:rPr>
        <w:t xml:space="preserve">Teisėjų kolegijos vertinimu, atsakovas galėjo atskleisti daugiau susijusios informacijos apie pareiškėjo vaikus, nepažeidžiant nei jo vaikų, nei vaikų motinos interesų. Todėl atsakovas teisėjų kolegijos neįtikino savo atliekamų funkcijų skaidrumu bei siekiu prireikus apginti vaikų teises bei teisėtas preferencijas. </w:t>
      </w:r>
    </w:p>
    <w:p w14:paraId="769A76CA" w14:textId="77777777" w:rsidR="00D55305" w:rsidRPr="00D55305" w:rsidRDefault="00D55305" w:rsidP="00D55305">
      <w:pPr>
        <w:ind w:firstLine="567"/>
        <w:jc w:val="both"/>
        <w:rPr>
          <w:rFonts w:asciiTheme="minorHAnsi" w:eastAsiaTheme="minorHAnsi" w:hAnsiTheme="minorHAnsi" w:cstheme="minorHAnsi"/>
          <w:sz w:val="22"/>
          <w:szCs w:val="22"/>
        </w:rPr>
      </w:pPr>
      <w:r w:rsidRPr="00D55305">
        <w:rPr>
          <w:rFonts w:asciiTheme="minorHAnsi" w:eastAsiaTheme="minorHAnsi" w:hAnsiTheme="minorHAnsi" w:cstheme="minorHAnsi"/>
          <w:sz w:val="22"/>
          <w:szCs w:val="22"/>
        </w:rPr>
        <w:t xml:space="preserve">Atsižvelgiant į tai, kad atsakovo prielaida dėl pareiškėjo modeliuojamo elgesio nebuvo pagrįsta jokiais papildomais argumentais, laikyta, kad nėra nustatyta, kaip būtent prašomos pateikti informacijos atskleidimas šiuo konkrečiu atveju galėtų kelti grėsmę vaikams ar jų motinai ar pažeisti teisę į privatumą, teisę į duomenų apsaugą. Padaryta išvada, kad nėra nustatytas pagrindas riboti pareiškėjo teisę susipažinti su informacija apie vaikus tokia apimtimi, kuri buvo taikyta, o Vilniaus miesto apylinkės teismo sprendimu civilinėje byloje nustatytas draudimas matytis su vaikais pats savaime negali būti pakankamas pagrindas neteikti jokios konkrečios informacijos apie juos. </w:t>
      </w:r>
    </w:p>
    <w:p w14:paraId="1ECC1AD2" w14:textId="77777777" w:rsidR="00D55305" w:rsidRPr="00D55305" w:rsidRDefault="00D55305" w:rsidP="00D55305">
      <w:pPr>
        <w:ind w:firstLine="567"/>
        <w:jc w:val="both"/>
        <w:rPr>
          <w:rFonts w:asciiTheme="minorHAnsi" w:eastAsiaTheme="minorHAnsi" w:hAnsiTheme="minorHAnsi" w:cstheme="minorHAnsi"/>
          <w:sz w:val="22"/>
          <w:szCs w:val="22"/>
          <w:u w:val="single"/>
        </w:rPr>
      </w:pPr>
      <w:r w:rsidRPr="00D55305">
        <w:rPr>
          <w:rFonts w:asciiTheme="minorHAnsi" w:eastAsiaTheme="minorHAnsi" w:hAnsiTheme="minorHAnsi" w:cstheme="minorHAnsi"/>
          <w:sz w:val="22"/>
          <w:szCs w:val="22"/>
        </w:rPr>
        <w:t xml:space="preserve">Pirmosios instancijos teismo spendimas panaikintas ir priimtas naujas sprendimas, kuriuo pareiškėjo skundas tenkintas iš dalies, panaikinant ginčijamą sprendimą bei įpareigojant Valstybės vaiko teisių apsaugos ir įvaikinimo tarnybą pareiškėjo prašymą išnagrinėti iš naujo, taip pat atsižvelgiant į galimai pasikeitusias faktines aplinkybes. </w:t>
      </w:r>
    </w:p>
    <w:p w14:paraId="172DB273" w14:textId="77777777" w:rsidR="00D55305" w:rsidRPr="00D55305" w:rsidRDefault="00D55305" w:rsidP="00D55305">
      <w:pPr>
        <w:ind w:firstLine="567"/>
        <w:jc w:val="both"/>
        <w:rPr>
          <w:rFonts w:asciiTheme="minorHAnsi" w:eastAsiaTheme="minorHAnsi" w:hAnsiTheme="minorHAnsi" w:cstheme="minorHAnsi"/>
          <w:sz w:val="22"/>
          <w:szCs w:val="22"/>
        </w:rPr>
      </w:pPr>
    </w:p>
    <w:p w14:paraId="4F23962E" w14:textId="77777777" w:rsidR="00D55305" w:rsidRPr="00D55305" w:rsidRDefault="00D55305" w:rsidP="00D55305">
      <w:pPr>
        <w:jc w:val="both"/>
        <w:rPr>
          <w:rFonts w:asciiTheme="minorHAnsi" w:hAnsiTheme="minorHAnsi" w:cstheme="minorHAnsi"/>
          <w:bCs/>
          <w:sz w:val="22"/>
          <w:szCs w:val="22"/>
        </w:rPr>
      </w:pPr>
      <w:r w:rsidRPr="00D55305">
        <w:rPr>
          <w:rFonts w:asciiTheme="minorHAnsi" w:hAnsiTheme="minorHAnsi" w:cstheme="minorHAnsi"/>
          <w:sz w:val="22"/>
          <w:szCs w:val="22"/>
        </w:rPr>
        <w:t xml:space="preserve">2020 m. lapkričio 11 d. sprendimas administracinėje byloje </w:t>
      </w:r>
      <w:r w:rsidRPr="00D55305">
        <w:rPr>
          <w:rFonts w:asciiTheme="minorHAnsi" w:hAnsiTheme="minorHAnsi" w:cstheme="minorHAnsi"/>
          <w:bCs/>
          <w:sz w:val="22"/>
          <w:szCs w:val="22"/>
        </w:rPr>
        <w:t>Nr. eA-1547-822/2020</w:t>
      </w:r>
    </w:p>
    <w:p w14:paraId="23454997" w14:textId="77777777" w:rsidR="00D55305" w:rsidRPr="00D55305" w:rsidRDefault="00D55305" w:rsidP="00D55305">
      <w:pPr>
        <w:jc w:val="both"/>
        <w:rPr>
          <w:rFonts w:asciiTheme="minorHAnsi" w:hAnsiTheme="minorHAnsi" w:cstheme="minorHAnsi"/>
          <w:sz w:val="22"/>
          <w:szCs w:val="22"/>
        </w:rPr>
      </w:pPr>
      <w:r w:rsidRPr="00D55305">
        <w:rPr>
          <w:rFonts w:asciiTheme="minorHAnsi" w:hAnsiTheme="minorHAnsi" w:cstheme="minorHAnsi"/>
          <w:sz w:val="22"/>
          <w:szCs w:val="22"/>
        </w:rPr>
        <w:t>Teisminio proceso Nr. 3-61-3-04407-2018-9</w:t>
      </w:r>
    </w:p>
    <w:p w14:paraId="3424E865" w14:textId="77777777" w:rsidR="00D55305" w:rsidRPr="00D55305" w:rsidRDefault="00D55305" w:rsidP="00D55305">
      <w:pPr>
        <w:jc w:val="both"/>
        <w:rPr>
          <w:rFonts w:asciiTheme="minorHAnsi" w:hAnsiTheme="minorHAnsi" w:cstheme="minorHAnsi"/>
          <w:bCs/>
          <w:sz w:val="22"/>
          <w:szCs w:val="22"/>
        </w:rPr>
      </w:pPr>
      <w:r w:rsidRPr="00D55305">
        <w:rPr>
          <w:rFonts w:asciiTheme="minorHAnsi" w:hAnsiTheme="minorHAnsi" w:cstheme="minorHAnsi"/>
          <w:bCs/>
          <w:sz w:val="22"/>
          <w:szCs w:val="22"/>
        </w:rPr>
        <w:t xml:space="preserve">Procesinio sprendimo kategorija 41 </w:t>
      </w:r>
    </w:p>
    <w:p w14:paraId="06F4298F" w14:textId="77777777" w:rsidR="00D55305" w:rsidRPr="00D55305" w:rsidRDefault="00822FF8" w:rsidP="00D55305">
      <w:pPr>
        <w:jc w:val="both"/>
        <w:rPr>
          <w:rFonts w:asciiTheme="minorHAnsi" w:hAnsiTheme="minorHAnsi" w:cstheme="minorHAnsi"/>
          <w:color w:val="0000FF"/>
          <w:sz w:val="22"/>
          <w:szCs w:val="22"/>
          <w:u w:val="single"/>
        </w:rPr>
      </w:pPr>
      <w:hyperlink r:id="rId29" w:history="1">
        <w:r w:rsidR="00D55305" w:rsidRPr="00D55305">
          <w:rPr>
            <w:rFonts w:asciiTheme="minorHAnsi" w:hAnsiTheme="minorHAnsi" w:cstheme="minorHAnsi"/>
            <w:color w:val="0000FF"/>
            <w:sz w:val="22"/>
            <w:szCs w:val="22"/>
            <w:u w:val="single"/>
          </w:rPr>
          <w:t>Prieiga internete</w:t>
        </w:r>
      </w:hyperlink>
    </w:p>
    <w:p w14:paraId="5FEB15A2" w14:textId="77777777" w:rsidR="00D55305" w:rsidRPr="00D55305" w:rsidRDefault="00D55305" w:rsidP="00D55305">
      <w:pPr>
        <w:jc w:val="both"/>
        <w:rPr>
          <w:rFonts w:asciiTheme="minorHAnsi" w:eastAsiaTheme="minorHAnsi" w:hAnsiTheme="minorHAnsi" w:cstheme="minorBidi"/>
          <w:color w:val="0000FF"/>
          <w:sz w:val="22"/>
          <w:szCs w:val="22"/>
          <w:u w:val="single"/>
        </w:rPr>
      </w:pPr>
    </w:p>
    <w:p w14:paraId="4A9BA621" w14:textId="3E1F83C9" w:rsidR="00417367" w:rsidRPr="005A0774" w:rsidRDefault="00417367" w:rsidP="00417367">
      <w:pPr>
        <w:jc w:val="both"/>
        <w:outlineLvl w:val="0"/>
        <w:rPr>
          <w:rFonts w:ascii="Calibri" w:hAnsi="Calibri"/>
          <w:b/>
          <w:sz w:val="22"/>
          <w:szCs w:val="22"/>
          <w:u w:val="single"/>
        </w:rPr>
      </w:pPr>
      <w:bookmarkStart w:id="73" w:name="_Toc61261257"/>
      <w:r w:rsidRPr="005A0774">
        <w:rPr>
          <w:rFonts w:ascii="Calibri" w:hAnsi="Calibri"/>
          <w:b/>
          <w:sz w:val="22"/>
          <w:szCs w:val="22"/>
          <w:u w:val="single"/>
        </w:rPr>
        <w:t>II. Administracinių bylų teisena</w:t>
      </w:r>
      <w:bookmarkEnd w:id="71"/>
      <w:bookmarkEnd w:id="73"/>
    </w:p>
    <w:p w14:paraId="10523032" w14:textId="77777777" w:rsidR="00A25C32" w:rsidRPr="005A0774" w:rsidRDefault="00A25C32" w:rsidP="00F933C1">
      <w:pPr>
        <w:shd w:val="clear" w:color="auto" w:fill="FFFFFF" w:themeFill="background1"/>
        <w:tabs>
          <w:tab w:val="left" w:pos="3119"/>
        </w:tabs>
        <w:ind w:right="-1"/>
        <w:jc w:val="both"/>
        <w:rPr>
          <w:rFonts w:ascii="Calibri" w:hAnsi="Calibri" w:cs="Calibri"/>
          <w:sz w:val="22"/>
          <w:szCs w:val="22"/>
          <w:highlight w:val="cyan"/>
        </w:rPr>
      </w:pPr>
    </w:p>
    <w:p w14:paraId="769AFC55" w14:textId="77777777" w:rsidR="00571AF0" w:rsidRPr="005A0774" w:rsidRDefault="00571AF0" w:rsidP="00571AF0">
      <w:pPr>
        <w:jc w:val="both"/>
        <w:outlineLvl w:val="0"/>
        <w:rPr>
          <w:rFonts w:ascii="Calibri" w:hAnsi="Calibri"/>
          <w:b/>
          <w:sz w:val="22"/>
          <w:szCs w:val="22"/>
          <w:u w:val="single"/>
        </w:rPr>
      </w:pPr>
      <w:bookmarkStart w:id="74" w:name="_Toc462150008"/>
      <w:bookmarkStart w:id="75" w:name="_Toc61261258"/>
      <w:r w:rsidRPr="005A0774">
        <w:rPr>
          <w:rFonts w:ascii="Calibri" w:hAnsi="Calibri"/>
          <w:b/>
          <w:sz w:val="22"/>
          <w:szCs w:val="22"/>
          <w:u w:val="single"/>
        </w:rPr>
        <w:t>43. Teisė kreiptis į teismą ir jos realizavimas</w:t>
      </w:r>
      <w:bookmarkEnd w:id="74"/>
      <w:bookmarkEnd w:id="75"/>
    </w:p>
    <w:p w14:paraId="2D23BAF0" w14:textId="2AF89CB0" w:rsidR="00417367" w:rsidRPr="005A0774" w:rsidRDefault="00417367" w:rsidP="00571AF0">
      <w:pPr>
        <w:ind w:firstLine="567"/>
        <w:jc w:val="both"/>
        <w:rPr>
          <w:rFonts w:ascii="Calibri" w:eastAsia="Calibri" w:hAnsi="Calibri"/>
          <w:b/>
          <w:sz w:val="22"/>
          <w:szCs w:val="22"/>
          <w:u w:val="single"/>
          <w:lang w:eastAsia="en-US"/>
        </w:rPr>
      </w:pPr>
      <w:r w:rsidRPr="005A0774">
        <w:rPr>
          <w:rFonts w:ascii="Calibri" w:eastAsia="Calibri" w:hAnsi="Calibri"/>
          <w:b/>
          <w:sz w:val="22"/>
          <w:szCs w:val="22"/>
          <w:u w:val="single"/>
          <w:lang w:eastAsia="en-US"/>
        </w:rPr>
        <w:t>43.5. Atsisakymas priimti skundą</w:t>
      </w:r>
    </w:p>
    <w:p w14:paraId="4EC759E2" w14:textId="77777777" w:rsidR="00417367" w:rsidRPr="005A0774" w:rsidRDefault="00417367" w:rsidP="00571AF0">
      <w:pPr>
        <w:tabs>
          <w:tab w:val="left" w:pos="1350"/>
        </w:tabs>
        <w:ind w:left="567" w:firstLine="783"/>
        <w:rPr>
          <w:rFonts w:ascii="Calibri" w:hAnsi="Calibri" w:cs="Calibri"/>
          <w:b/>
          <w:sz w:val="22"/>
          <w:szCs w:val="22"/>
          <w:u w:val="single"/>
        </w:rPr>
      </w:pPr>
      <w:r w:rsidRPr="005A0774">
        <w:rPr>
          <w:rFonts w:ascii="Calibri" w:hAnsi="Calibri" w:cs="Calibri"/>
          <w:b/>
          <w:sz w:val="22"/>
          <w:szCs w:val="22"/>
          <w:u w:val="single"/>
        </w:rPr>
        <w:t>43.5.1. Kai skundas nenagrinėtinas ABTĮ nustatyta tvarka</w:t>
      </w:r>
    </w:p>
    <w:p w14:paraId="50D024FE" w14:textId="695DFE67" w:rsidR="00417367" w:rsidRPr="005A0774" w:rsidRDefault="00417367" w:rsidP="00571AF0">
      <w:pPr>
        <w:tabs>
          <w:tab w:val="left" w:pos="1350"/>
        </w:tabs>
        <w:ind w:left="567" w:firstLine="1323"/>
        <w:jc w:val="both"/>
        <w:rPr>
          <w:rFonts w:ascii="Calibri" w:hAnsi="Calibri" w:cs="Calibri"/>
          <w:b/>
          <w:sz w:val="22"/>
          <w:szCs w:val="22"/>
          <w:u w:val="single"/>
        </w:rPr>
      </w:pPr>
      <w:r w:rsidRPr="005A0774">
        <w:rPr>
          <w:rFonts w:ascii="Calibri" w:hAnsi="Calibri" w:cs="Calibri"/>
          <w:b/>
          <w:sz w:val="22"/>
          <w:szCs w:val="22"/>
          <w:u w:val="single"/>
        </w:rPr>
        <w:t>43.5.1.1. Aktai ar veiksmai, dėl kurių negalima pateikti skundo administraciniam teismui</w:t>
      </w:r>
    </w:p>
    <w:p w14:paraId="5C2801B5" w14:textId="77777777" w:rsidR="00417367" w:rsidRPr="005808E9" w:rsidRDefault="00417367" w:rsidP="00417367">
      <w:pPr>
        <w:shd w:val="clear" w:color="auto" w:fill="FFFFFF"/>
        <w:tabs>
          <w:tab w:val="left" w:pos="3119"/>
        </w:tabs>
        <w:ind w:right="-1" w:firstLine="567"/>
        <w:jc w:val="both"/>
        <w:rPr>
          <w:rFonts w:ascii="Calibri" w:hAnsi="Calibri" w:cs="Calibri"/>
          <w:sz w:val="22"/>
          <w:szCs w:val="22"/>
        </w:rPr>
      </w:pPr>
    </w:p>
    <w:p w14:paraId="0175CD02" w14:textId="77777777" w:rsidR="00D35A7D" w:rsidRPr="00D35A7D" w:rsidRDefault="00D35A7D" w:rsidP="00D35A7D">
      <w:pPr>
        <w:jc w:val="both"/>
        <w:outlineLvl w:val="1"/>
        <w:rPr>
          <w:rFonts w:asciiTheme="minorHAnsi" w:eastAsia="Calibri" w:hAnsiTheme="minorHAnsi" w:cstheme="minorHAnsi"/>
          <w:i/>
          <w:sz w:val="22"/>
          <w:szCs w:val="22"/>
        </w:rPr>
      </w:pPr>
      <w:bookmarkStart w:id="76" w:name="_Toc61261259"/>
      <w:r w:rsidRPr="00D35A7D">
        <w:rPr>
          <w:rFonts w:asciiTheme="minorHAnsi" w:eastAsia="Calibri" w:hAnsiTheme="minorHAnsi" w:cstheme="minorHAnsi"/>
          <w:i/>
          <w:sz w:val="22"/>
          <w:szCs w:val="22"/>
        </w:rPr>
        <w:t>Dėl Seimo valdybos sprendimų apskundimo negalimumo</w:t>
      </w:r>
      <w:bookmarkEnd w:id="76"/>
    </w:p>
    <w:p w14:paraId="1F467010" w14:textId="77777777" w:rsidR="00D35A7D" w:rsidRPr="00D35A7D" w:rsidRDefault="00D35A7D" w:rsidP="00D35A7D">
      <w:pPr>
        <w:ind w:firstLine="567"/>
        <w:jc w:val="both"/>
        <w:rPr>
          <w:rFonts w:asciiTheme="minorHAnsi" w:eastAsiaTheme="minorHAnsi" w:hAnsiTheme="minorHAnsi" w:cstheme="minorHAnsi"/>
          <w:sz w:val="22"/>
          <w:szCs w:val="22"/>
        </w:rPr>
      </w:pPr>
    </w:p>
    <w:p w14:paraId="6C45E157" w14:textId="45E6B85B" w:rsidR="00D35A7D" w:rsidRPr="00D35A7D" w:rsidRDefault="00D35A7D" w:rsidP="00D35A7D">
      <w:pPr>
        <w:ind w:firstLine="567"/>
        <w:jc w:val="both"/>
        <w:rPr>
          <w:rFonts w:asciiTheme="minorHAnsi" w:eastAsiaTheme="minorHAnsi" w:hAnsiTheme="minorHAnsi" w:cstheme="minorHAnsi"/>
          <w:sz w:val="22"/>
          <w:szCs w:val="22"/>
        </w:rPr>
      </w:pPr>
      <w:r w:rsidRPr="00D35A7D">
        <w:rPr>
          <w:rFonts w:asciiTheme="minorHAnsi" w:eastAsiaTheme="minorHAnsi" w:hAnsiTheme="minorHAnsi" w:cstheme="minorHAnsi"/>
          <w:sz w:val="22"/>
          <w:szCs w:val="22"/>
        </w:rPr>
        <w:t>Bylos dalykas –</w:t>
      </w:r>
      <w:r>
        <w:rPr>
          <w:rFonts w:asciiTheme="minorHAnsi" w:eastAsiaTheme="minorHAnsi" w:hAnsiTheme="minorHAnsi" w:cstheme="minorHAnsi"/>
          <w:sz w:val="22"/>
          <w:szCs w:val="22"/>
        </w:rPr>
        <w:t xml:space="preserve"> </w:t>
      </w:r>
      <w:r w:rsidRPr="00D35A7D">
        <w:rPr>
          <w:rFonts w:asciiTheme="minorHAnsi" w:eastAsiaTheme="minorHAnsi" w:hAnsiTheme="minorHAnsi" w:cstheme="minorHAnsi"/>
          <w:sz w:val="22"/>
          <w:szCs w:val="22"/>
        </w:rPr>
        <w:t>pirmosios instancijos teismo nutarties, kuria atsisakyta priimti pareiškėjo skundą dėl įpareigojimo Lietuvos Respublikos Seimo valdybai (toliau – Seimo valdyba) organizuoti jo 2020 m. birželio 1 d. skundo ir su juo susijusių 2020 m. birželio 30 d. ir 2020 m. liepos 20 d. prašymų nagrinėjimą bei užtikrinti, kad sprendimas dėl skundo būtų priimtas per teismo nustatytą terminą, pagrįstumas ir teisėtumas.</w:t>
      </w:r>
    </w:p>
    <w:p w14:paraId="4FE2AF8B" w14:textId="39180368" w:rsidR="00D35A7D" w:rsidRPr="00D35A7D" w:rsidRDefault="00D35A7D" w:rsidP="55FEB3D6">
      <w:pPr>
        <w:ind w:firstLine="567"/>
        <w:jc w:val="both"/>
        <w:rPr>
          <w:rFonts w:asciiTheme="minorHAnsi" w:eastAsiaTheme="minorEastAsia" w:hAnsiTheme="minorHAnsi" w:cstheme="minorBidi"/>
          <w:sz w:val="22"/>
          <w:szCs w:val="22"/>
        </w:rPr>
      </w:pPr>
      <w:r w:rsidRPr="55FEB3D6">
        <w:rPr>
          <w:rFonts w:asciiTheme="minorHAnsi" w:eastAsiaTheme="minorEastAsia" w:hAnsiTheme="minorHAnsi" w:cstheme="minorBidi"/>
          <w:sz w:val="22"/>
          <w:szCs w:val="22"/>
        </w:rPr>
        <w:t>Pirmosios instancijos teismas, atsisakydamas priimti skundą kaip nenagrinėtiną teismų ABTĮ 33 straipsnio 2 dalies 1 punkt</w:t>
      </w:r>
      <w:r w:rsidR="1941D3E2" w:rsidRPr="55FEB3D6">
        <w:rPr>
          <w:rFonts w:asciiTheme="minorHAnsi" w:eastAsiaTheme="minorEastAsia" w:hAnsiTheme="minorHAnsi" w:cstheme="minorBidi"/>
          <w:sz w:val="22"/>
          <w:szCs w:val="22"/>
        </w:rPr>
        <w:t>o pagrind</w:t>
      </w:r>
      <w:r w:rsidRPr="55FEB3D6">
        <w:rPr>
          <w:rFonts w:asciiTheme="minorHAnsi" w:eastAsiaTheme="minorEastAsia" w:hAnsiTheme="minorHAnsi" w:cstheme="minorBidi"/>
          <w:sz w:val="22"/>
          <w:szCs w:val="22"/>
        </w:rPr>
        <w:t xml:space="preserve">u, skundžiamoje nutartyje nurodė, jog pagal </w:t>
      </w:r>
      <w:bookmarkStart w:id="77" w:name="nd618fd53-6a4d-4a95-b392-63d89f2b5e7a"/>
      <w:r w:rsidRPr="55FEB3D6">
        <w:rPr>
          <w:rFonts w:asciiTheme="minorHAnsi" w:eastAsiaTheme="minorEastAsia" w:hAnsiTheme="minorHAnsi" w:cstheme="minorBidi"/>
          <w:sz w:val="22"/>
          <w:szCs w:val="22"/>
        </w:rPr>
        <w:fldChar w:fldCharType="begin"/>
      </w:r>
      <w:r w:rsidRPr="55FEB3D6">
        <w:rPr>
          <w:rFonts w:asciiTheme="minorHAnsi" w:eastAsiaTheme="minorEastAsia" w:hAnsiTheme="minorHAnsi" w:cstheme="minorBidi"/>
          <w:sz w:val="22"/>
          <w:szCs w:val="22"/>
        </w:rPr>
        <w:instrText xml:space="preserve"> HYPERLINK "https://www.infolex.lt/ta/95049" \o "Lietuvos Respublikos Seimo statutas" \t "_blank" </w:instrText>
      </w:r>
      <w:r w:rsidRPr="55FEB3D6">
        <w:rPr>
          <w:rFonts w:asciiTheme="minorHAnsi" w:eastAsiaTheme="minorEastAsia" w:hAnsiTheme="minorHAnsi" w:cstheme="minorBidi"/>
          <w:sz w:val="22"/>
          <w:szCs w:val="22"/>
        </w:rPr>
        <w:fldChar w:fldCharType="separate"/>
      </w:r>
      <w:r w:rsidRPr="55FEB3D6">
        <w:rPr>
          <w:rFonts w:asciiTheme="minorHAnsi" w:eastAsiaTheme="minorEastAsia" w:hAnsiTheme="minorHAnsi" w:cstheme="minorBidi"/>
          <w:sz w:val="22"/>
          <w:szCs w:val="22"/>
        </w:rPr>
        <w:t>Seimo statuto</w:t>
      </w:r>
      <w:r w:rsidRPr="55FEB3D6">
        <w:rPr>
          <w:rFonts w:asciiTheme="minorHAnsi" w:eastAsiaTheme="minorEastAsia" w:hAnsiTheme="minorHAnsi" w:cstheme="minorBidi"/>
          <w:sz w:val="22"/>
          <w:szCs w:val="22"/>
        </w:rPr>
        <w:fldChar w:fldCharType="end"/>
      </w:r>
      <w:bookmarkStart w:id="78" w:name="pnd618fd53-6a4d-4a95-b392-63d89f2b5e7a"/>
      <w:bookmarkStart w:id="79" w:name="pnf6f4d1e3-b01e-4c8c-8610-6d0dbc61c7d6"/>
      <w:bookmarkStart w:id="80" w:name="n509c53db-b9bd-41e4-b951-0fd7a7300b47"/>
      <w:bookmarkEnd w:id="77"/>
      <w:bookmarkEnd w:id="78"/>
      <w:bookmarkEnd w:id="79"/>
      <w:r w:rsidRPr="55FEB3D6">
        <w:rPr>
          <w:rFonts w:asciiTheme="minorHAnsi" w:eastAsiaTheme="minorEastAsia" w:hAnsiTheme="minorHAnsi" w:cstheme="minorBidi"/>
          <w:sz w:val="22"/>
          <w:szCs w:val="22"/>
        </w:rPr>
        <w:t xml:space="preserve"> </w:t>
      </w:r>
      <w:hyperlink r:id="rId30">
        <w:r w:rsidRPr="55FEB3D6">
          <w:rPr>
            <w:rFonts w:asciiTheme="minorHAnsi" w:eastAsiaTheme="minorEastAsia" w:hAnsiTheme="minorHAnsi" w:cstheme="minorBidi"/>
            <w:sz w:val="22"/>
            <w:szCs w:val="22"/>
          </w:rPr>
          <w:t>32</w:t>
        </w:r>
      </w:hyperlink>
      <w:bookmarkStart w:id="81" w:name="pn509c53db-b9bd-41e4-b951-0fd7a7300b47"/>
      <w:bookmarkEnd w:id="80"/>
      <w:bookmarkEnd w:id="81"/>
      <w:r w:rsidRPr="55FEB3D6">
        <w:rPr>
          <w:rFonts w:asciiTheme="minorHAnsi" w:eastAsiaTheme="minorEastAsia" w:hAnsiTheme="minorHAnsi" w:cstheme="minorBidi"/>
          <w:sz w:val="22"/>
          <w:szCs w:val="22"/>
        </w:rPr>
        <w:t> straipsnio nuostatas Seimo valdybai suteikti įgaliojimai kyla iš Seimo veiklos ir ji įgyvendina valstybės valdžią, dėl ko Seimo valdyba nėra viešojo administravimo subjektas ir administraciniam teismui nėra suteikta kompetencija nagrinėti ginčų, susijusių su Seimo valdybos veikla.</w:t>
      </w:r>
    </w:p>
    <w:p w14:paraId="46753D24" w14:textId="42277566" w:rsidR="00D35A7D" w:rsidRPr="00D35A7D" w:rsidRDefault="00D35A7D" w:rsidP="00D35A7D">
      <w:pPr>
        <w:ind w:firstLine="567"/>
        <w:jc w:val="both"/>
        <w:rPr>
          <w:rFonts w:asciiTheme="minorHAnsi" w:eastAsiaTheme="minorHAnsi" w:hAnsiTheme="minorHAnsi" w:cstheme="minorHAnsi"/>
          <w:sz w:val="22"/>
          <w:szCs w:val="22"/>
        </w:rPr>
      </w:pPr>
      <w:r w:rsidRPr="00D35A7D">
        <w:rPr>
          <w:rFonts w:asciiTheme="minorHAnsi" w:eastAsiaTheme="minorHAnsi" w:hAnsiTheme="minorHAnsi" w:cstheme="minorHAnsi"/>
          <w:sz w:val="22"/>
          <w:szCs w:val="22"/>
        </w:rPr>
        <w:t xml:space="preserve">Pareiškėjas, nesutikdamas su pirmosios instancijos teismo nutartimi, pateikė atskirąjį skundą, kuriame nurodė, jog jo pateiktas skundas susijęs su </w:t>
      </w:r>
      <w:bookmarkStart w:id="82" w:name="nc27a752a-5bfe-44a1-8fc7-b8a7f7c0f44e"/>
      <w:r w:rsidRPr="00D35A7D">
        <w:rPr>
          <w:rFonts w:asciiTheme="minorHAnsi" w:eastAsiaTheme="minorHAnsi" w:hAnsiTheme="minorHAnsi" w:cstheme="minorHAnsi"/>
          <w:sz w:val="22"/>
          <w:szCs w:val="22"/>
        </w:rPr>
        <w:t>Mokslo ir studijų įstatym</w:t>
      </w:r>
      <w:bookmarkEnd w:id="82"/>
      <w:r w:rsidRPr="00D35A7D">
        <w:rPr>
          <w:rFonts w:asciiTheme="minorHAnsi" w:eastAsiaTheme="minorHAnsi" w:hAnsiTheme="minorHAnsi" w:cstheme="minorHAnsi"/>
          <w:sz w:val="22"/>
          <w:szCs w:val="22"/>
        </w:rPr>
        <w:t>e numatytu Seimo valdybos vaidmeniu administracinėje procedūroje. Pažymėjo, jog dėl Seimo valdybos 2020 m. rugsėjo 30 d. sprendimo, kuriuo pripažintas netekusiu galios pačios Seimo valdybos ankstesnis sprendimas dėl Lietuvos mokslo tarybos pirmininko paskyrimo nagrinėti jo skundą, nutrūko jo skundo nagrinėjimas, todėl nesuti</w:t>
      </w:r>
      <w:r>
        <w:rPr>
          <w:rFonts w:asciiTheme="minorHAnsi" w:eastAsiaTheme="minorHAnsi" w:hAnsiTheme="minorHAnsi" w:cstheme="minorHAnsi"/>
          <w:sz w:val="22"/>
          <w:szCs w:val="22"/>
        </w:rPr>
        <w:t>ko</w:t>
      </w:r>
      <w:r w:rsidRPr="00D35A7D">
        <w:rPr>
          <w:rFonts w:asciiTheme="minorHAnsi" w:eastAsiaTheme="minorHAnsi" w:hAnsiTheme="minorHAnsi" w:cstheme="minorHAnsi"/>
          <w:sz w:val="22"/>
          <w:szCs w:val="22"/>
        </w:rPr>
        <w:t>, kad Seimo valdybos sprendimas, kuriuo blokuojama administracinė procedūra, negali būti skundžiamas.</w:t>
      </w:r>
    </w:p>
    <w:p w14:paraId="1AB75929" w14:textId="2BF1FAB0" w:rsidR="00D35A7D" w:rsidRPr="00D35A7D" w:rsidRDefault="00D35A7D" w:rsidP="00D35A7D">
      <w:pPr>
        <w:ind w:firstLine="567"/>
        <w:jc w:val="both"/>
        <w:rPr>
          <w:rFonts w:ascii="Calibri" w:hAnsi="Calibri" w:cs="Calibri"/>
          <w:sz w:val="22"/>
          <w:szCs w:val="22"/>
        </w:rPr>
      </w:pPr>
      <w:r w:rsidRPr="00D35A7D">
        <w:rPr>
          <w:rFonts w:asciiTheme="minorHAnsi" w:eastAsiaTheme="minorHAnsi" w:hAnsiTheme="minorHAnsi" w:cstheme="minorHAnsi"/>
          <w:sz w:val="22"/>
          <w:szCs w:val="22"/>
        </w:rPr>
        <w:t xml:space="preserve">Teisėjų kolegija, nagrinėdama pareiškėjo atskirąjį skundą, nurodė, jog </w:t>
      </w:r>
      <w:bookmarkStart w:id="83" w:name="ned5ea95c-805d-4e2d-8647-d3fb984d1004"/>
      <w:bookmarkStart w:id="84" w:name="nac7df057-2b1f-4f0b-b796-980a6b94a244"/>
      <w:r w:rsidRPr="00D35A7D">
        <w:rPr>
          <w:rFonts w:asciiTheme="minorHAnsi" w:eastAsiaTheme="minorHAnsi" w:hAnsiTheme="minorHAnsi" w:cstheme="minorHAnsi"/>
          <w:sz w:val="22"/>
          <w:szCs w:val="22"/>
        </w:rPr>
        <w:fldChar w:fldCharType="begin"/>
      </w:r>
      <w:r w:rsidRPr="00D35A7D">
        <w:rPr>
          <w:rFonts w:asciiTheme="minorHAnsi" w:eastAsiaTheme="minorHAnsi" w:hAnsiTheme="minorHAnsi" w:cstheme="minorHAnsi"/>
          <w:sz w:val="22"/>
          <w:szCs w:val="22"/>
        </w:rPr>
        <w:instrText xml:space="preserve"> HYPERLINK "https://www.infolex.lt/ta/23225" \o "Lietuvos Respublikos administracinių bylų teisenos įstatymas" \t "_blank" </w:instrText>
      </w:r>
      <w:r w:rsidRPr="00D35A7D">
        <w:rPr>
          <w:rFonts w:asciiTheme="minorHAnsi" w:eastAsiaTheme="minorHAnsi" w:hAnsiTheme="minorHAnsi" w:cstheme="minorHAnsi"/>
          <w:sz w:val="22"/>
          <w:szCs w:val="22"/>
        </w:rPr>
        <w:fldChar w:fldCharType="separate"/>
      </w:r>
      <w:r w:rsidRPr="00D35A7D">
        <w:rPr>
          <w:rFonts w:asciiTheme="minorHAnsi" w:eastAsiaTheme="minorHAnsi" w:hAnsiTheme="minorHAnsi" w:cstheme="minorHAnsi"/>
          <w:sz w:val="22"/>
          <w:szCs w:val="22"/>
        </w:rPr>
        <w:t>ABTĮ</w:t>
      </w:r>
      <w:r w:rsidRPr="00D35A7D">
        <w:rPr>
          <w:rFonts w:asciiTheme="minorHAnsi" w:eastAsiaTheme="minorHAnsi" w:hAnsiTheme="minorHAnsi" w:cstheme="minorHAnsi"/>
          <w:sz w:val="22"/>
          <w:szCs w:val="22"/>
        </w:rPr>
        <w:fldChar w:fldCharType="end"/>
      </w:r>
      <w:bookmarkStart w:id="85" w:name="pned5ea95c-805d-4e2d-8647-d3fb984d1004"/>
      <w:bookmarkEnd w:id="83"/>
      <w:bookmarkEnd w:id="85"/>
      <w:r w:rsidRPr="00D35A7D">
        <w:rPr>
          <w:rFonts w:asciiTheme="minorHAnsi" w:eastAsiaTheme="minorHAnsi" w:hAnsiTheme="minorHAnsi" w:cstheme="minorHAnsi"/>
          <w:sz w:val="22"/>
          <w:szCs w:val="22"/>
        </w:rPr>
        <w:t> </w:t>
      </w:r>
      <w:bookmarkStart w:id="86" w:name="n732a6a99-5a18-49f3-9723-6ee10413f4de"/>
      <w:r w:rsidRPr="00D35A7D">
        <w:rPr>
          <w:rFonts w:asciiTheme="minorHAnsi" w:eastAsiaTheme="minorHAnsi" w:hAnsiTheme="minorHAnsi" w:cstheme="minorHAnsi"/>
          <w:sz w:val="22"/>
          <w:szCs w:val="22"/>
        </w:rPr>
        <w:fldChar w:fldCharType="begin"/>
      </w:r>
      <w:r w:rsidRPr="00D35A7D">
        <w:rPr>
          <w:rFonts w:asciiTheme="minorHAnsi" w:eastAsiaTheme="minorHAnsi" w:hAnsiTheme="minorHAnsi" w:cstheme="minorHAnsi"/>
          <w:sz w:val="22"/>
          <w:szCs w:val="22"/>
        </w:rPr>
        <w:instrText xml:space="preserve"> HYPERLINK "https://www.infolex.lt/tp/1945861" \o "Bylos, nepriskirtos administracinių teismų kompetencijai" \t "_blank" </w:instrText>
      </w:r>
      <w:r w:rsidRPr="00D35A7D">
        <w:rPr>
          <w:rFonts w:asciiTheme="minorHAnsi" w:eastAsiaTheme="minorHAnsi" w:hAnsiTheme="minorHAnsi" w:cstheme="minorHAnsi"/>
          <w:sz w:val="22"/>
          <w:szCs w:val="22"/>
        </w:rPr>
        <w:fldChar w:fldCharType="separate"/>
      </w:r>
      <w:r w:rsidRPr="00D35A7D">
        <w:rPr>
          <w:rFonts w:asciiTheme="minorHAnsi" w:eastAsiaTheme="minorHAnsi" w:hAnsiTheme="minorHAnsi" w:cstheme="minorHAnsi"/>
          <w:sz w:val="22"/>
          <w:szCs w:val="22"/>
        </w:rPr>
        <w:t>18</w:t>
      </w:r>
      <w:r w:rsidRPr="00D35A7D">
        <w:rPr>
          <w:rFonts w:asciiTheme="minorHAnsi" w:eastAsiaTheme="minorHAnsi" w:hAnsiTheme="minorHAnsi" w:cstheme="minorHAnsi"/>
          <w:sz w:val="22"/>
          <w:szCs w:val="22"/>
        </w:rPr>
        <w:fldChar w:fldCharType="end"/>
      </w:r>
      <w:bookmarkStart w:id="87" w:name="pn732a6a99-5a18-49f3-9723-6ee10413f4de"/>
      <w:bookmarkEnd w:id="86"/>
      <w:bookmarkEnd w:id="87"/>
      <w:r w:rsidRPr="00D35A7D">
        <w:rPr>
          <w:rFonts w:asciiTheme="minorHAnsi" w:eastAsiaTheme="minorHAnsi" w:hAnsiTheme="minorHAnsi" w:cstheme="minorHAnsi"/>
          <w:sz w:val="22"/>
          <w:szCs w:val="22"/>
        </w:rPr>
        <w:t xml:space="preserve"> straipsnio 2 dalis nustato, kad administracinių teismų kompetencijai nepriskiriama tirti Seimo ir Seimo narių veiklos. </w:t>
      </w:r>
      <w:hyperlink r:id="rId31" w:tgtFrame="_blank" w:tooltip="Lietuvos Respublikos Seimo statutas" w:history="1">
        <w:r w:rsidRPr="00D35A7D">
          <w:rPr>
            <w:rFonts w:asciiTheme="minorHAnsi" w:eastAsiaTheme="minorHAnsi" w:hAnsiTheme="minorHAnsi" w:cstheme="minorHAnsi"/>
            <w:sz w:val="22"/>
            <w:szCs w:val="22"/>
          </w:rPr>
          <w:t>Seimo statuto</w:t>
        </w:r>
      </w:hyperlink>
      <w:r w:rsidRPr="00D35A7D">
        <w:rPr>
          <w:rFonts w:asciiTheme="minorHAnsi" w:eastAsiaTheme="minorHAnsi" w:hAnsiTheme="minorHAnsi" w:cstheme="minorHAnsi"/>
          <w:sz w:val="22"/>
          <w:szCs w:val="22"/>
        </w:rPr>
        <w:t xml:space="preserve"> </w:t>
      </w:r>
      <w:hyperlink r:id="rId32" w:tgtFrame="_blank" w:tooltip="Seimo valdyba" w:history="1">
        <w:r w:rsidRPr="00D35A7D">
          <w:rPr>
            <w:rFonts w:asciiTheme="minorHAnsi" w:eastAsiaTheme="minorHAnsi" w:hAnsiTheme="minorHAnsi" w:cstheme="minorHAnsi"/>
            <w:sz w:val="22"/>
            <w:szCs w:val="22"/>
          </w:rPr>
          <w:t>27</w:t>
        </w:r>
      </w:hyperlink>
      <w:bookmarkStart w:id="88" w:name="pnac7df057-2b1f-4f0b-b796-980a6b94a244"/>
      <w:bookmarkEnd w:id="84"/>
      <w:bookmarkEnd w:id="88"/>
      <w:r w:rsidRPr="00D35A7D">
        <w:rPr>
          <w:rFonts w:asciiTheme="minorHAnsi" w:eastAsiaTheme="minorHAnsi" w:hAnsiTheme="minorHAnsi" w:cstheme="minorHAnsi"/>
          <w:sz w:val="22"/>
          <w:szCs w:val="22"/>
        </w:rPr>
        <w:t> straipsnyje įtvirtinta, kad Seime veikia Seimo valdyba, kurios pagrindinis uždavinys – spręsti organizacinius Seimo darbo klausimus ir teikti patarimus Seimo Pirmininkui, kai jis to prašo.</w:t>
      </w:r>
      <w:r>
        <w:rPr>
          <w:rFonts w:asciiTheme="minorHAnsi" w:eastAsiaTheme="minorHAnsi" w:hAnsiTheme="minorHAnsi" w:cstheme="minorHAnsi"/>
          <w:sz w:val="22"/>
          <w:szCs w:val="22"/>
        </w:rPr>
        <w:t xml:space="preserve"> </w:t>
      </w:r>
      <w:r w:rsidRPr="00D35A7D">
        <w:rPr>
          <w:rFonts w:asciiTheme="minorHAnsi" w:eastAsiaTheme="minorHAnsi" w:hAnsiTheme="minorHAnsi" w:cstheme="minorHAnsi"/>
          <w:sz w:val="22"/>
          <w:szCs w:val="22"/>
        </w:rPr>
        <w:t>Seimo valdyba sudaroma iš Seimo Pirmininko, jo pavaduotojų ir Seimo opozicijos lyderio.</w:t>
      </w:r>
      <w:r>
        <w:rPr>
          <w:rFonts w:asciiTheme="minorHAnsi" w:eastAsiaTheme="minorHAnsi" w:hAnsiTheme="minorHAnsi" w:cstheme="minorHAnsi"/>
          <w:sz w:val="22"/>
          <w:szCs w:val="22"/>
        </w:rPr>
        <w:t xml:space="preserve"> </w:t>
      </w:r>
      <w:r w:rsidRPr="00D35A7D">
        <w:rPr>
          <w:rFonts w:asciiTheme="minorHAnsi" w:eastAsiaTheme="minorHAnsi" w:hAnsiTheme="minorHAnsi" w:cstheme="minorHAnsi"/>
          <w:sz w:val="22"/>
          <w:szCs w:val="22"/>
        </w:rPr>
        <w:t>Seimo valdybos sudėtį nutarimu tvirtina Seimas.</w:t>
      </w:r>
      <w:r w:rsidR="00A25C32">
        <w:rPr>
          <w:rFonts w:asciiTheme="minorHAnsi" w:eastAsiaTheme="minorHAnsi" w:hAnsiTheme="minorHAnsi" w:cstheme="minorHAnsi"/>
          <w:sz w:val="22"/>
          <w:szCs w:val="22"/>
        </w:rPr>
        <w:t xml:space="preserve"> </w:t>
      </w:r>
      <w:r w:rsidRPr="00D35A7D">
        <w:rPr>
          <w:rFonts w:asciiTheme="minorHAnsi" w:eastAsiaTheme="minorHAnsi" w:hAnsiTheme="minorHAnsi" w:cstheme="minorHAnsi"/>
          <w:sz w:val="22"/>
          <w:szCs w:val="22"/>
        </w:rPr>
        <w:t>Teisėjų</w:t>
      </w:r>
      <w:r w:rsidRPr="00D35A7D">
        <w:rPr>
          <w:rFonts w:ascii="Calibri" w:hAnsi="Calibri" w:cs="Calibri"/>
          <w:sz w:val="22"/>
          <w:szCs w:val="22"/>
        </w:rPr>
        <w:t xml:space="preserve"> kolegija pabrėžė, jog </w:t>
      </w:r>
      <w:r w:rsidRPr="00D35A7D">
        <w:rPr>
          <w:rFonts w:ascii="Calibri" w:hAnsi="Calibri" w:cs="Calibri"/>
          <w:sz w:val="22"/>
          <w:szCs w:val="22"/>
          <w:u w:val="single"/>
        </w:rPr>
        <w:t>iš</w:t>
      </w:r>
      <w:bookmarkStart w:id="89" w:name="n50542877-a381-4f10-abe2-d3376fa59314"/>
      <w:r w:rsidR="00A25C32">
        <w:rPr>
          <w:rFonts w:ascii="Calibri" w:hAnsi="Calibri" w:cs="Calibri"/>
          <w:sz w:val="22"/>
          <w:szCs w:val="22"/>
          <w:u w:val="single"/>
        </w:rPr>
        <w:t xml:space="preserve"> </w:t>
      </w:r>
      <w:hyperlink r:id="rId33" w:tgtFrame="_blank" w:tooltip="Lietuvos Respublikos Seimo statutas" w:history="1">
        <w:r w:rsidRPr="00D35A7D">
          <w:rPr>
            <w:rStyle w:val="Hipersaitas"/>
            <w:rFonts w:ascii="Calibri" w:hAnsi="Calibri" w:cs="Calibri"/>
            <w:color w:val="auto"/>
            <w:sz w:val="22"/>
            <w:szCs w:val="22"/>
          </w:rPr>
          <w:t>Seimo statuto</w:t>
        </w:r>
      </w:hyperlink>
      <w:bookmarkStart w:id="90" w:name="pn50542877-a381-4f10-abe2-d3376fa59314"/>
      <w:bookmarkEnd w:id="89"/>
      <w:bookmarkEnd w:id="90"/>
      <w:r w:rsidRPr="00D35A7D">
        <w:rPr>
          <w:rFonts w:ascii="Calibri" w:hAnsi="Calibri" w:cs="Calibri"/>
          <w:sz w:val="22"/>
          <w:szCs w:val="22"/>
          <w:u w:val="single"/>
        </w:rPr>
        <w:t> </w:t>
      </w:r>
      <w:bookmarkStart w:id="91" w:name="nc0f4e8dd-c438-465b-a8d2-03cc87e7f863"/>
      <w:r w:rsidRPr="00D35A7D">
        <w:rPr>
          <w:rFonts w:ascii="Calibri" w:hAnsi="Calibri" w:cs="Calibri"/>
          <w:sz w:val="22"/>
          <w:szCs w:val="22"/>
          <w:u w:val="single"/>
        </w:rPr>
        <w:fldChar w:fldCharType="begin"/>
      </w:r>
      <w:r w:rsidRPr="00D35A7D">
        <w:rPr>
          <w:rFonts w:ascii="Calibri" w:hAnsi="Calibri" w:cs="Calibri"/>
          <w:sz w:val="22"/>
          <w:szCs w:val="22"/>
          <w:u w:val="single"/>
        </w:rPr>
        <w:instrText xml:space="preserve"> HYPERLINK "https://www.infolex.lt/tp/1945861" \o "Seimo valdybos įgaliojimai" \t "_blank" </w:instrText>
      </w:r>
      <w:r w:rsidRPr="00D35A7D">
        <w:rPr>
          <w:rFonts w:ascii="Calibri" w:hAnsi="Calibri" w:cs="Calibri"/>
          <w:sz w:val="22"/>
          <w:szCs w:val="22"/>
          <w:u w:val="single"/>
        </w:rPr>
        <w:fldChar w:fldCharType="separate"/>
      </w:r>
      <w:r w:rsidRPr="00D35A7D">
        <w:rPr>
          <w:rStyle w:val="Hipersaitas"/>
          <w:rFonts w:ascii="Calibri" w:hAnsi="Calibri" w:cs="Calibri"/>
          <w:color w:val="auto"/>
          <w:sz w:val="22"/>
          <w:szCs w:val="22"/>
        </w:rPr>
        <w:t>32</w:t>
      </w:r>
      <w:r w:rsidRPr="00D35A7D">
        <w:rPr>
          <w:rFonts w:ascii="Calibri" w:hAnsi="Calibri" w:cs="Calibri"/>
          <w:sz w:val="22"/>
          <w:szCs w:val="22"/>
        </w:rPr>
        <w:fldChar w:fldCharType="end"/>
      </w:r>
      <w:bookmarkStart w:id="92" w:name="pnc0f4e8dd-c438-465b-a8d2-03cc87e7f863"/>
      <w:bookmarkEnd w:id="91"/>
      <w:bookmarkEnd w:id="92"/>
      <w:r w:rsidRPr="00D35A7D">
        <w:rPr>
          <w:rFonts w:ascii="Calibri" w:hAnsi="Calibri" w:cs="Calibri"/>
          <w:sz w:val="22"/>
          <w:szCs w:val="22"/>
          <w:u w:val="single"/>
        </w:rPr>
        <w:t xml:space="preserve"> straipsnyje išvardintų Seimo valdybos įgaliojimų matyti, kad jie yra </w:t>
      </w:r>
      <w:r w:rsidRPr="00D35A7D">
        <w:rPr>
          <w:rFonts w:ascii="Calibri" w:hAnsi="Calibri" w:cs="Calibri"/>
          <w:sz w:val="22"/>
          <w:szCs w:val="22"/>
          <w:u w:val="single"/>
        </w:rPr>
        <w:lastRenderedPageBreak/>
        <w:t>susiję su Seimo darbo veiklos organizavimu ir nei</w:t>
      </w:r>
      <w:bookmarkStart w:id="93" w:name="na28f7541-462d-4819-a885-e2fffb11e299"/>
      <w:r w:rsidRPr="00D35A7D">
        <w:rPr>
          <w:rFonts w:ascii="Calibri" w:hAnsi="Calibri" w:cs="Calibri"/>
          <w:sz w:val="22"/>
          <w:szCs w:val="22"/>
          <w:u w:val="single"/>
        </w:rPr>
        <w:t xml:space="preserve"> </w:t>
      </w:r>
      <w:hyperlink r:id="rId34" w:tgtFrame="_blank" w:tooltip="Lietuvos Respublikos Seimo statutas" w:history="1">
        <w:r w:rsidRPr="00D35A7D">
          <w:rPr>
            <w:rStyle w:val="Hipersaitas"/>
            <w:rFonts w:ascii="Calibri" w:hAnsi="Calibri" w:cs="Calibri"/>
            <w:color w:val="auto"/>
            <w:sz w:val="22"/>
            <w:szCs w:val="22"/>
          </w:rPr>
          <w:t>Seimo statute</w:t>
        </w:r>
      </w:hyperlink>
      <w:bookmarkStart w:id="94" w:name="pna28f7541-462d-4819-a885-e2fffb11e299"/>
      <w:bookmarkEnd w:id="93"/>
      <w:bookmarkEnd w:id="94"/>
      <w:r w:rsidRPr="00D35A7D">
        <w:rPr>
          <w:rFonts w:ascii="Calibri" w:hAnsi="Calibri" w:cs="Calibri"/>
          <w:sz w:val="22"/>
          <w:szCs w:val="22"/>
          <w:u w:val="single"/>
        </w:rPr>
        <w:t>, nei Mokslo ir studijų įstatyme nėra įtvirtinti Seimo valdybos įgaliojimai, susiję su Akademinės etikos ir procedūrų kontrolieriaus skundų nagrinėjimo organizavimu</w:t>
      </w:r>
      <w:r w:rsidRPr="00D35A7D">
        <w:rPr>
          <w:rFonts w:ascii="Calibri" w:hAnsi="Calibri" w:cs="Calibri"/>
          <w:sz w:val="22"/>
          <w:szCs w:val="22"/>
        </w:rPr>
        <w:t>.</w:t>
      </w:r>
    </w:p>
    <w:p w14:paraId="06E42D86" w14:textId="18E3BBF5" w:rsidR="00D35A7D" w:rsidRPr="00D35A7D" w:rsidRDefault="00D35A7D" w:rsidP="00D35A7D">
      <w:pPr>
        <w:ind w:firstLine="567"/>
        <w:jc w:val="both"/>
        <w:rPr>
          <w:rFonts w:asciiTheme="minorHAnsi" w:eastAsiaTheme="minorHAnsi" w:hAnsiTheme="minorHAnsi" w:cstheme="minorHAnsi"/>
          <w:sz w:val="22"/>
          <w:szCs w:val="22"/>
        </w:rPr>
      </w:pPr>
      <w:r w:rsidRPr="00D35A7D">
        <w:rPr>
          <w:rFonts w:asciiTheme="minorHAnsi" w:eastAsiaTheme="minorHAnsi" w:hAnsiTheme="minorHAnsi" w:cstheme="minorHAnsi"/>
          <w:sz w:val="22"/>
          <w:szCs w:val="22"/>
        </w:rPr>
        <w:t>Remdamasi tuo, kas išdėstyta, teisėjų kolegija konstatavo, jog skundžiama pirmosios instancijos teismo nutartis yra teisėta ir pagrįsta, o pareiškėjo atskirasis skundas atme</w:t>
      </w:r>
      <w:r w:rsidR="00A25C32">
        <w:rPr>
          <w:rFonts w:asciiTheme="minorHAnsi" w:eastAsiaTheme="minorHAnsi" w:hAnsiTheme="minorHAnsi" w:cstheme="minorHAnsi"/>
          <w:sz w:val="22"/>
          <w:szCs w:val="22"/>
        </w:rPr>
        <w:t>st</w:t>
      </w:r>
      <w:r w:rsidRPr="00D35A7D">
        <w:rPr>
          <w:rFonts w:asciiTheme="minorHAnsi" w:eastAsiaTheme="minorHAnsi" w:hAnsiTheme="minorHAnsi" w:cstheme="minorHAnsi"/>
          <w:sz w:val="22"/>
          <w:szCs w:val="22"/>
        </w:rPr>
        <w:t>as.</w:t>
      </w:r>
    </w:p>
    <w:p w14:paraId="7AB326EC" w14:textId="77777777" w:rsidR="00D35A7D" w:rsidRPr="00D35A7D" w:rsidRDefault="00D35A7D" w:rsidP="00D35A7D">
      <w:pPr>
        <w:shd w:val="clear" w:color="auto" w:fill="FFFFFF"/>
        <w:tabs>
          <w:tab w:val="left" w:pos="3119"/>
        </w:tabs>
        <w:ind w:right="-1" w:firstLine="567"/>
        <w:jc w:val="both"/>
        <w:rPr>
          <w:rFonts w:ascii="Calibri" w:hAnsi="Calibri" w:cs="Calibri"/>
          <w:sz w:val="22"/>
          <w:szCs w:val="22"/>
        </w:rPr>
      </w:pPr>
    </w:p>
    <w:p w14:paraId="45E9233F" w14:textId="12B2EA98" w:rsidR="00D35A7D" w:rsidRPr="00D35A7D" w:rsidRDefault="00D35A7D" w:rsidP="00D35A7D">
      <w:pPr>
        <w:jc w:val="both"/>
        <w:rPr>
          <w:rFonts w:asciiTheme="minorHAnsi" w:hAnsiTheme="minorHAnsi" w:cstheme="minorHAnsi"/>
          <w:sz w:val="22"/>
          <w:szCs w:val="22"/>
        </w:rPr>
      </w:pPr>
      <w:r w:rsidRPr="00D35A7D">
        <w:rPr>
          <w:rFonts w:asciiTheme="minorHAnsi" w:hAnsiTheme="minorHAnsi" w:cstheme="minorHAnsi"/>
          <w:sz w:val="22"/>
          <w:szCs w:val="22"/>
        </w:rPr>
        <w:t>2020 m.</w:t>
      </w:r>
      <w:r w:rsidR="00A25C32">
        <w:rPr>
          <w:rFonts w:asciiTheme="minorHAnsi" w:hAnsiTheme="minorHAnsi" w:cstheme="minorHAnsi"/>
          <w:sz w:val="22"/>
          <w:szCs w:val="22"/>
        </w:rPr>
        <w:t xml:space="preserve"> </w:t>
      </w:r>
      <w:r w:rsidRPr="00D35A7D">
        <w:rPr>
          <w:rFonts w:asciiTheme="minorHAnsi" w:hAnsiTheme="minorHAnsi" w:cstheme="minorHAnsi"/>
          <w:sz w:val="22"/>
          <w:szCs w:val="22"/>
        </w:rPr>
        <w:t>lapkričio 18 d. nutartis</w:t>
      </w:r>
      <w:r w:rsidR="00A25C32">
        <w:rPr>
          <w:rFonts w:asciiTheme="minorHAnsi" w:hAnsiTheme="minorHAnsi" w:cstheme="minorHAnsi"/>
          <w:sz w:val="22"/>
          <w:szCs w:val="22"/>
        </w:rPr>
        <w:t xml:space="preserve"> </w:t>
      </w:r>
      <w:r w:rsidRPr="00D35A7D">
        <w:rPr>
          <w:rFonts w:asciiTheme="minorHAnsi" w:hAnsiTheme="minorHAnsi" w:cstheme="minorHAnsi"/>
          <w:sz w:val="22"/>
          <w:szCs w:val="22"/>
        </w:rPr>
        <w:t>administracinėje byloje</w:t>
      </w:r>
      <w:r w:rsidR="00A25C32">
        <w:rPr>
          <w:rFonts w:asciiTheme="minorHAnsi" w:hAnsiTheme="minorHAnsi" w:cstheme="minorHAnsi"/>
          <w:sz w:val="22"/>
          <w:szCs w:val="22"/>
        </w:rPr>
        <w:t xml:space="preserve"> </w:t>
      </w:r>
      <w:r w:rsidRPr="00D35A7D">
        <w:rPr>
          <w:rFonts w:asciiTheme="minorHAnsi" w:hAnsiTheme="minorHAnsi" w:cstheme="minorHAnsi"/>
          <w:sz w:val="22"/>
          <w:szCs w:val="22"/>
        </w:rPr>
        <w:t>Nr.</w:t>
      </w:r>
      <w:r w:rsidR="00A25C32">
        <w:rPr>
          <w:rFonts w:asciiTheme="minorHAnsi" w:hAnsiTheme="minorHAnsi" w:cstheme="minorHAnsi"/>
          <w:sz w:val="22"/>
          <w:szCs w:val="22"/>
        </w:rPr>
        <w:t xml:space="preserve"> </w:t>
      </w:r>
      <w:r w:rsidRPr="00D35A7D">
        <w:rPr>
          <w:rFonts w:asciiTheme="minorHAnsi" w:hAnsiTheme="minorHAnsi" w:cstheme="minorHAnsi"/>
          <w:sz w:val="22"/>
          <w:szCs w:val="22"/>
        </w:rPr>
        <w:t>eAS-743-624/2020</w:t>
      </w:r>
    </w:p>
    <w:p w14:paraId="1BF9F6F0" w14:textId="77777777" w:rsidR="00D35A7D" w:rsidRPr="00D35A7D" w:rsidRDefault="00D35A7D" w:rsidP="00D35A7D">
      <w:pPr>
        <w:jc w:val="both"/>
        <w:rPr>
          <w:rFonts w:asciiTheme="minorHAnsi" w:hAnsiTheme="minorHAnsi" w:cstheme="minorHAnsi"/>
          <w:sz w:val="22"/>
          <w:szCs w:val="22"/>
        </w:rPr>
      </w:pPr>
      <w:r w:rsidRPr="00D35A7D">
        <w:rPr>
          <w:rFonts w:asciiTheme="minorHAnsi" w:hAnsiTheme="minorHAnsi" w:cstheme="minorHAnsi"/>
          <w:sz w:val="22"/>
          <w:szCs w:val="22"/>
        </w:rPr>
        <w:t>Teisminio proceso Nr. 3-61-3-03261-2020-9</w:t>
      </w:r>
    </w:p>
    <w:p w14:paraId="5F8320DD" w14:textId="77777777" w:rsidR="00D35A7D" w:rsidRPr="00D35A7D" w:rsidRDefault="00D35A7D" w:rsidP="00D35A7D">
      <w:pPr>
        <w:jc w:val="both"/>
        <w:rPr>
          <w:rFonts w:asciiTheme="minorHAnsi" w:hAnsiTheme="minorHAnsi" w:cstheme="minorHAnsi"/>
          <w:sz w:val="22"/>
          <w:szCs w:val="22"/>
        </w:rPr>
      </w:pPr>
      <w:r w:rsidRPr="00D35A7D">
        <w:rPr>
          <w:rFonts w:asciiTheme="minorHAnsi" w:hAnsiTheme="minorHAnsi" w:cstheme="minorHAnsi"/>
          <w:sz w:val="22"/>
          <w:szCs w:val="22"/>
        </w:rPr>
        <w:t>Procesinio sprendimo kategorija 43.5.1.1</w:t>
      </w:r>
    </w:p>
    <w:p w14:paraId="4490A9A8" w14:textId="77777777" w:rsidR="00D35A7D" w:rsidRPr="00D35A7D" w:rsidRDefault="00822FF8" w:rsidP="00D35A7D">
      <w:pPr>
        <w:shd w:val="clear" w:color="auto" w:fill="FFFFFF"/>
        <w:tabs>
          <w:tab w:val="left" w:pos="3119"/>
        </w:tabs>
        <w:ind w:right="-1"/>
        <w:jc w:val="both"/>
        <w:rPr>
          <w:rFonts w:ascii="Calibri" w:hAnsi="Calibri" w:cs="Calibri"/>
          <w:sz w:val="22"/>
          <w:szCs w:val="22"/>
        </w:rPr>
      </w:pPr>
      <w:hyperlink r:id="rId35" w:history="1">
        <w:r w:rsidR="00D35A7D" w:rsidRPr="00D35A7D">
          <w:rPr>
            <w:rStyle w:val="Hipersaitas"/>
            <w:rFonts w:ascii="Calibri" w:hAnsi="Calibri" w:cs="Calibri"/>
            <w:sz w:val="22"/>
            <w:szCs w:val="22"/>
          </w:rPr>
          <w:t>Prieiga internete</w:t>
        </w:r>
      </w:hyperlink>
    </w:p>
    <w:p w14:paraId="7CC97708" w14:textId="77777777" w:rsidR="00D35A7D" w:rsidRPr="00D35A7D" w:rsidRDefault="00D35A7D" w:rsidP="00D35A7D">
      <w:pPr>
        <w:shd w:val="clear" w:color="auto" w:fill="FFFFFF"/>
        <w:tabs>
          <w:tab w:val="left" w:pos="3119"/>
        </w:tabs>
        <w:ind w:right="-1" w:firstLine="567"/>
        <w:jc w:val="both"/>
        <w:rPr>
          <w:rFonts w:ascii="Calibri" w:hAnsi="Calibri" w:cs="Calibri"/>
          <w:b/>
          <w:bCs/>
          <w:sz w:val="22"/>
          <w:szCs w:val="22"/>
          <w:u w:val="single"/>
        </w:rPr>
      </w:pPr>
    </w:p>
    <w:p w14:paraId="3F7E1F10" w14:textId="57322099" w:rsidR="00A25C32" w:rsidRPr="00A25C32" w:rsidRDefault="00A25C32" w:rsidP="00A25C32">
      <w:pPr>
        <w:tabs>
          <w:tab w:val="left" w:pos="1350"/>
        </w:tabs>
        <w:ind w:left="567" w:firstLine="783"/>
        <w:rPr>
          <w:rFonts w:ascii="Calibri" w:hAnsi="Calibri" w:cs="Calibri"/>
          <w:b/>
          <w:sz w:val="22"/>
          <w:szCs w:val="22"/>
          <w:u w:val="single"/>
        </w:rPr>
      </w:pPr>
      <w:r w:rsidRPr="00A25C32">
        <w:rPr>
          <w:rFonts w:ascii="Calibri" w:hAnsi="Calibri" w:cs="Calibri"/>
          <w:b/>
          <w:sz w:val="22"/>
          <w:szCs w:val="22"/>
          <w:u w:val="single"/>
        </w:rPr>
        <w:t>43.5.9. Kai skundas paduotas praleidus nustatytą skundo padavimo terminą ir šis terminas neatnaujinamas</w:t>
      </w:r>
    </w:p>
    <w:p w14:paraId="647A875F" w14:textId="77777777" w:rsidR="00A25C32" w:rsidRPr="00A25C32" w:rsidRDefault="00A25C32" w:rsidP="00A25C32">
      <w:pPr>
        <w:shd w:val="clear" w:color="auto" w:fill="FFFFFF"/>
        <w:tabs>
          <w:tab w:val="left" w:pos="3119"/>
        </w:tabs>
        <w:ind w:right="-1" w:firstLine="567"/>
        <w:jc w:val="both"/>
        <w:rPr>
          <w:rFonts w:ascii="Calibri" w:hAnsi="Calibri" w:cs="Calibri"/>
          <w:b/>
          <w:bCs/>
          <w:sz w:val="22"/>
          <w:szCs w:val="22"/>
          <w:u w:val="single"/>
        </w:rPr>
      </w:pPr>
    </w:p>
    <w:p w14:paraId="4BA82A31" w14:textId="77777777" w:rsidR="00A25C32" w:rsidRPr="00A25C32" w:rsidRDefault="00A25C32" w:rsidP="00A25C32">
      <w:pPr>
        <w:jc w:val="both"/>
        <w:outlineLvl w:val="1"/>
        <w:rPr>
          <w:rFonts w:asciiTheme="minorHAnsi" w:eastAsia="Calibri" w:hAnsiTheme="minorHAnsi" w:cstheme="minorHAnsi"/>
          <w:i/>
          <w:sz w:val="22"/>
          <w:szCs w:val="22"/>
        </w:rPr>
      </w:pPr>
      <w:bookmarkStart w:id="95" w:name="_Toc61261260"/>
      <w:r w:rsidRPr="00A25C32">
        <w:rPr>
          <w:rFonts w:asciiTheme="minorHAnsi" w:eastAsia="Calibri" w:hAnsiTheme="minorHAnsi" w:cstheme="minorHAnsi"/>
          <w:i/>
          <w:sz w:val="22"/>
          <w:szCs w:val="22"/>
        </w:rPr>
        <w:t>Dėl institucijos oficialiai pateiktos neteisingos konsultacijos kaip svarbios priežasties praleistam terminui atnaujinti</w:t>
      </w:r>
      <w:bookmarkEnd w:id="95"/>
    </w:p>
    <w:p w14:paraId="0D677C1C" w14:textId="77777777" w:rsidR="00A25C32" w:rsidRPr="00A25C32" w:rsidRDefault="00A25C32" w:rsidP="00A25C32">
      <w:pPr>
        <w:shd w:val="clear" w:color="auto" w:fill="FFFFFF"/>
        <w:tabs>
          <w:tab w:val="left" w:pos="3119"/>
        </w:tabs>
        <w:ind w:right="-1" w:firstLine="567"/>
        <w:jc w:val="both"/>
        <w:rPr>
          <w:rFonts w:ascii="Calibri" w:hAnsi="Calibri" w:cs="Calibri"/>
          <w:sz w:val="22"/>
          <w:szCs w:val="22"/>
        </w:rPr>
      </w:pPr>
    </w:p>
    <w:p w14:paraId="5610FDA3" w14:textId="5701B877" w:rsidR="00A25C32" w:rsidRPr="00A25C32" w:rsidRDefault="00A25C32" w:rsidP="55FEB3D6">
      <w:pPr>
        <w:shd w:val="clear" w:color="auto" w:fill="FFFFFF" w:themeFill="background1"/>
        <w:tabs>
          <w:tab w:val="left" w:pos="3119"/>
        </w:tabs>
        <w:ind w:right="-1" w:firstLine="567"/>
        <w:jc w:val="both"/>
        <w:rPr>
          <w:rFonts w:ascii="Calibri" w:hAnsi="Calibri" w:cs="Calibri"/>
          <w:sz w:val="22"/>
          <w:szCs w:val="22"/>
        </w:rPr>
      </w:pPr>
      <w:r w:rsidRPr="55FEB3D6">
        <w:rPr>
          <w:rFonts w:ascii="Calibri" w:hAnsi="Calibri" w:cs="Calibri"/>
          <w:sz w:val="22"/>
          <w:szCs w:val="22"/>
        </w:rPr>
        <w:t>Bylos dalykas – pirmosios instancijos teismo nutarties, kuria atsisakyta atnaujinti terminą skundui dėl Mokestinių ginčų komisijos prie Lietuvos Respublikos Vyriausybės (toliau – Komisija) sprendim</w:t>
      </w:r>
      <w:r w:rsidR="11263BC7" w:rsidRPr="55FEB3D6">
        <w:rPr>
          <w:rFonts w:ascii="Calibri" w:hAnsi="Calibri" w:cs="Calibri"/>
          <w:sz w:val="22"/>
          <w:szCs w:val="22"/>
        </w:rPr>
        <w:t xml:space="preserve">o </w:t>
      </w:r>
      <w:r w:rsidRPr="55FEB3D6">
        <w:rPr>
          <w:rFonts w:ascii="Calibri" w:hAnsi="Calibri" w:cs="Calibri"/>
          <w:sz w:val="22"/>
          <w:szCs w:val="22"/>
        </w:rPr>
        <w:t>paduoti ir skundą atsisakyta priimti, teisėtumas ir pagrįstumas. </w:t>
      </w:r>
    </w:p>
    <w:p w14:paraId="64DF2A48" w14:textId="002F4933" w:rsidR="00A25C32" w:rsidRPr="00A25C32" w:rsidRDefault="00A25C32" w:rsidP="00A25C32">
      <w:pPr>
        <w:shd w:val="clear" w:color="auto" w:fill="FFFFFF"/>
        <w:tabs>
          <w:tab w:val="left" w:pos="3119"/>
        </w:tabs>
        <w:ind w:right="-1" w:firstLine="567"/>
        <w:jc w:val="both"/>
        <w:rPr>
          <w:rFonts w:ascii="Calibri" w:hAnsi="Calibri" w:cs="Calibri"/>
          <w:sz w:val="22"/>
          <w:szCs w:val="22"/>
        </w:rPr>
      </w:pPr>
      <w:r w:rsidRPr="00A25C32">
        <w:rPr>
          <w:rFonts w:ascii="Calibri" w:hAnsi="Calibri" w:cs="Calibri"/>
          <w:sz w:val="22"/>
          <w:szCs w:val="22"/>
        </w:rPr>
        <w:t>Pirmosios instancijos teismas</w:t>
      </w:r>
      <w:r>
        <w:rPr>
          <w:rFonts w:ascii="Calibri" w:hAnsi="Calibri" w:cs="Calibri"/>
          <w:sz w:val="22"/>
          <w:szCs w:val="22"/>
        </w:rPr>
        <w:t xml:space="preserve"> </w:t>
      </w:r>
      <w:r w:rsidRPr="00A25C32">
        <w:rPr>
          <w:rFonts w:ascii="Calibri" w:hAnsi="Calibri" w:cs="Calibri"/>
          <w:sz w:val="22"/>
          <w:szCs w:val="22"/>
        </w:rPr>
        <w:t>skundžiamoje nutartyje nurodė, jog pareiškėja pati pripažino, kad skundžiamą sprendimą elektroniniu paštu gavo ir su jo turiniu susipažino dar 2020 m. liepos 20 d., todėl sprendė, kad pareiškėja nepagrįstai sprendimo apskundimo terminą sieja tik su sprendimo originalo, siųsto paštu, gavimo data 2020 m. liepos 27 d. Teismas pažymėjo, jog sprendime aiškiai nurodyta jo apskundimo tvarka, tad šiuo atveju pareiškėja dėl neapdairumo nerealizavo savo teisės paduoti skundą teismui per įstatyme nustatytą terminą, o tai sudar</w:t>
      </w:r>
      <w:r>
        <w:rPr>
          <w:rFonts w:ascii="Calibri" w:hAnsi="Calibri" w:cs="Calibri"/>
          <w:sz w:val="22"/>
          <w:szCs w:val="22"/>
        </w:rPr>
        <w:t>ė</w:t>
      </w:r>
      <w:r w:rsidRPr="00A25C32">
        <w:rPr>
          <w:rFonts w:ascii="Calibri" w:hAnsi="Calibri" w:cs="Calibri"/>
          <w:sz w:val="22"/>
          <w:szCs w:val="22"/>
        </w:rPr>
        <w:t xml:space="preserve"> pagrindą pripažinti, jog skundo padavimo terminas buvo praleistas dėl subjektyvių priežasčių, dėl kurių jis negali būti atnaujintas.</w:t>
      </w:r>
    </w:p>
    <w:p w14:paraId="606604B7" w14:textId="5FF07060" w:rsidR="00A25C32" w:rsidRPr="00A25C32" w:rsidRDefault="00A25C32" w:rsidP="00A25C32">
      <w:pPr>
        <w:shd w:val="clear" w:color="auto" w:fill="FFFFFF"/>
        <w:tabs>
          <w:tab w:val="left" w:pos="3119"/>
        </w:tabs>
        <w:ind w:right="-1" w:firstLine="567"/>
        <w:jc w:val="both"/>
        <w:rPr>
          <w:rFonts w:ascii="Calibri" w:hAnsi="Calibri" w:cs="Calibri"/>
          <w:sz w:val="22"/>
          <w:szCs w:val="22"/>
        </w:rPr>
      </w:pPr>
      <w:r w:rsidRPr="00A25C32">
        <w:rPr>
          <w:rFonts w:ascii="Calibri" w:hAnsi="Calibri" w:cs="Calibri"/>
          <w:sz w:val="22"/>
          <w:szCs w:val="22"/>
        </w:rPr>
        <w:t>Pareiškėja atskirajame skunde nurodė, kad</w:t>
      </w:r>
      <w:r>
        <w:rPr>
          <w:rFonts w:ascii="Calibri" w:hAnsi="Calibri" w:cs="Calibri"/>
          <w:sz w:val="22"/>
          <w:szCs w:val="22"/>
        </w:rPr>
        <w:t xml:space="preserve"> </w:t>
      </w:r>
      <w:r w:rsidRPr="00A25C32">
        <w:rPr>
          <w:rFonts w:ascii="Calibri" w:hAnsi="Calibri" w:cs="Calibri"/>
          <w:sz w:val="22"/>
          <w:szCs w:val="22"/>
        </w:rPr>
        <w:t>elektroniniu paštu gautame 2020 m. liepos 20 d. dokumente nebuvo nurodyta aiški apskundimo tvarka, todėl ji 2020 m. liepos 28 d. kreipėsi į Komisiją ir prašė patikslinti, nuo kada yra skaičiuojamas terminas skundui paduoti.</w:t>
      </w:r>
      <w:r>
        <w:rPr>
          <w:rFonts w:ascii="Calibri" w:hAnsi="Calibri" w:cs="Calibri"/>
          <w:sz w:val="22"/>
          <w:szCs w:val="22"/>
        </w:rPr>
        <w:t xml:space="preserve"> </w:t>
      </w:r>
      <w:r w:rsidRPr="00A25C32">
        <w:rPr>
          <w:rFonts w:ascii="Calibri" w:hAnsi="Calibri" w:cs="Calibri"/>
          <w:sz w:val="22"/>
          <w:szCs w:val="22"/>
        </w:rPr>
        <w:t>Pažymėjo, kad Komisija, atsakydama į jos paklausimą, nurodė, jog termino skaičiavimo eiga prasideda nuo 2020 m. liepos 28 d.</w:t>
      </w:r>
    </w:p>
    <w:p w14:paraId="44CFC449" w14:textId="77777777" w:rsidR="00A25C32" w:rsidRPr="00A25C32" w:rsidRDefault="00A25C32" w:rsidP="00A25C32">
      <w:pPr>
        <w:shd w:val="clear" w:color="auto" w:fill="FFFFFF"/>
        <w:tabs>
          <w:tab w:val="left" w:pos="3119"/>
        </w:tabs>
        <w:ind w:right="-1" w:firstLine="567"/>
        <w:jc w:val="both"/>
        <w:rPr>
          <w:rFonts w:ascii="Calibri" w:hAnsi="Calibri" w:cs="Calibri"/>
          <w:sz w:val="22"/>
          <w:szCs w:val="22"/>
        </w:rPr>
      </w:pPr>
      <w:r w:rsidRPr="00A25C32">
        <w:rPr>
          <w:rFonts w:ascii="Calibri" w:hAnsi="Calibri" w:cs="Calibri"/>
          <w:sz w:val="22"/>
          <w:szCs w:val="22"/>
        </w:rPr>
        <w:t xml:space="preserve">Teisėjų kolegija, nagrinėdama atskirąjį skundą, pažymėjo, jog ginčo dėl to, kad pareiškėjos prašomas panaikinti Komisijos 2020 m. liepos 20 d. sprendimas jai elektroniniu paštu buvo išsiųstas tą pačią dieną ir kad tą pačią dieną jį gavo, nėra. Atsižvelgiant į tai, būtent 2020 m. liepos 20 d. turi būti laikoma minėto sprendimo įteikimo pareiškėjai (jo gavimo) diena, o </w:t>
      </w:r>
      <w:r w:rsidRPr="00A25C32">
        <w:rPr>
          <w:rFonts w:ascii="Calibri" w:hAnsi="Calibri" w:cs="Calibri"/>
          <w:sz w:val="22"/>
          <w:szCs w:val="22"/>
          <w:u w:val="single"/>
        </w:rPr>
        <w:t>aplinkybė, kada asmuo gavo sprendimo originalą, teisinės reikšmės neturi</w:t>
      </w:r>
      <w:r w:rsidRPr="00A25C32">
        <w:rPr>
          <w:rFonts w:ascii="Calibri" w:hAnsi="Calibri" w:cs="Calibri"/>
          <w:sz w:val="22"/>
          <w:szCs w:val="22"/>
        </w:rPr>
        <w:t>. Tad skundas teismui dėl ginčijamo Komisijos sprendimo panaikinimo turėjo būti paduotas iki 2020 m. rugpjūčio 10 d., tačiau teismui išsiųstas 2020 m. rugpjūčio 17 d. </w:t>
      </w:r>
    </w:p>
    <w:p w14:paraId="71A9FC42" w14:textId="0B78D0D1" w:rsidR="00A25C32" w:rsidRPr="00A25C32" w:rsidRDefault="00A25C32" w:rsidP="55FEB3D6">
      <w:pPr>
        <w:shd w:val="clear" w:color="auto" w:fill="FFFFFF" w:themeFill="background1"/>
        <w:tabs>
          <w:tab w:val="left" w:pos="3119"/>
        </w:tabs>
        <w:ind w:right="-1" w:firstLine="567"/>
        <w:jc w:val="both"/>
        <w:rPr>
          <w:rFonts w:ascii="Calibri" w:hAnsi="Calibri" w:cs="Calibri"/>
          <w:sz w:val="22"/>
          <w:szCs w:val="22"/>
        </w:rPr>
      </w:pPr>
      <w:r w:rsidRPr="7C44086E">
        <w:rPr>
          <w:rFonts w:ascii="Calibri" w:hAnsi="Calibri" w:cs="Calibri"/>
          <w:sz w:val="22"/>
          <w:szCs w:val="22"/>
        </w:rPr>
        <w:t xml:space="preserve">Spręsdama dėl praleisto termino atnaujinimo aplinkybių, teisėjų kolegija nustatė, jog pareiškėja 2020 m. liepos 27 d. gavusi 2020 m. liepos 20 d. sprendimo originalą, siekdama išsiaiškinti, nuo kurios dienos turi būti skaičiuojamas terminas skundui paduoti, kitą dieną, t. y. 2020 m. liepos 28 d., kreipėsi į Komisiją ir nurodė, kad sprendimo originalą gavo 2020 m. liepos 27 d., bei prašė atsakyti, nuo kada skaičiuojamas terminas kreiptis į teismą. Atsakydama į šį pareiškėjos paklausimą, Komisijos pirmininkė 2020 m. liepos 29 d. raštu pateikė nuomonę, kad sprendimo apskundimo termino pradžia pradedama skaičiuoti nuo 2020 m. liepos 28 d. Atsižvelgusi į nurodytus argumentus, teisėjų kolegija konstatavo, kad skaičiuodama ginčijamo Komisijos 2020 m. liepos 20 d. sprendimo apskundimo terminą, pareiškėja galėjo sąžiningai klysti, o administracinėje byloje nėra duomenų, leidžiančių abejoti pareiškėjos sąžiningumu, priešingai, jos aktyvus elgesys patvirtina, kad nebuvo piktnaudžiaujama teise. Teisėjų kolegija atkreipė dėmesį į tai, jog </w:t>
      </w:r>
      <w:r w:rsidRPr="7C44086E">
        <w:rPr>
          <w:rFonts w:ascii="Calibri" w:hAnsi="Calibri" w:cs="Calibri"/>
          <w:sz w:val="22"/>
          <w:szCs w:val="22"/>
          <w:u w:val="single"/>
        </w:rPr>
        <w:t>Komisijos pateikta nuomonė dėl taikytinų teisės normų pati savaime negali pateisinti termino praleidimo, tačiau turi būti atsižvelgiama į tai, kad nagrinėjamu atveju galėjo kilti pagrįstų abejonių nuo kurio momento</w:t>
      </w:r>
      <w:r w:rsidRPr="7C44086E">
        <w:rPr>
          <w:rFonts w:ascii="Calibri" w:hAnsi="Calibri" w:cs="Calibri"/>
          <w:sz w:val="22"/>
          <w:szCs w:val="22"/>
        </w:rPr>
        <w:t xml:space="preserve"> – sprendimo kopijos gavimo elektroniniu paštu dienos ar jo originalo gavimo dienos – </w:t>
      </w:r>
      <w:r w:rsidRPr="7C44086E">
        <w:rPr>
          <w:rFonts w:ascii="Calibri" w:hAnsi="Calibri" w:cs="Calibri"/>
          <w:sz w:val="22"/>
          <w:szCs w:val="22"/>
          <w:u w:val="single"/>
        </w:rPr>
        <w:t>turi būti pradedamas skaičiuoti sprendimo apskundimo teismui terminas, ir siekdama jas išsklaidyti, pati pareiškėja kreipėsi į Komisiją</w:t>
      </w:r>
      <w:r w:rsidRPr="7C44086E">
        <w:rPr>
          <w:rFonts w:ascii="Calibri" w:hAnsi="Calibri" w:cs="Calibri"/>
          <w:sz w:val="22"/>
          <w:szCs w:val="22"/>
        </w:rPr>
        <w:t xml:space="preserve"> ir šios institucijos oficialiai pateikta informacija ją galėjo suklaidinti.</w:t>
      </w:r>
    </w:p>
    <w:p w14:paraId="213F64B8" w14:textId="690C4204" w:rsidR="00A25C32" w:rsidRPr="00A25C32" w:rsidRDefault="00A25C32" w:rsidP="00A25C32">
      <w:pPr>
        <w:shd w:val="clear" w:color="auto" w:fill="FFFFFF"/>
        <w:tabs>
          <w:tab w:val="left" w:pos="3119"/>
        </w:tabs>
        <w:ind w:right="-1" w:firstLine="567"/>
        <w:jc w:val="both"/>
        <w:rPr>
          <w:rFonts w:ascii="Calibri" w:hAnsi="Calibri" w:cs="Calibri"/>
          <w:sz w:val="22"/>
          <w:szCs w:val="22"/>
        </w:rPr>
      </w:pPr>
      <w:r w:rsidRPr="00A25C32">
        <w:rPr>
          <w:rFonts w:ascii="Calibri" w:hAnsi="Calibri" w:cs="Calibri"/>
          <w:sz w:val="22"/>
          <w:szCs w:val="22"/>
        </w:rPr>
        <w:t xml:space="preserve">Spręsdama dėl būtinumo atnaujinti praleistą procesinį terminą, teisėjų kolegija taip pat atsižvelgė ir į tai, kad terminas skundui paduoti buvo praleistas santykinai nežymiai, o jo atnaujinimas ir skundo priėmimas </w:t>
      </w:r>
      <w:r w:rsidRPr="00A25C32">
        <w:rPr>
          <w:rFonts w:ascii="Calibri" w:hAnsi="Calibri" w:cs="Calibri"/>
          <w:sz w:val="22"/>
          <w:szCs w:val="22"/>
        </w:rPr>
        <w:lastRenderedPageBreak/>
        <w:t>konkrečiu atveju neprieštaraus teisinio saugumo principui, dėl kurio yra nustatytas procesinių terminų institutas. Be to, formalus įstatymo normų taikymas nagrinėjamu atveju prieštarautų teisingumo principui.</w:t>
      </w:r>
    </w:p>
    <w:p w14:paraId="18079A52" w14:textId="164D7AA2" w:rsidR="00A25C32" w:rsidRPr="00A25C32" w:rsidRDefault="00A25C32" w:rsidP="00A25C32">
      <w:pPr>
        <w:shd w:val="clear" w:color="auto" w:fill="FFFFFF"/>
        <w:tabs>
          <w:tab w:val="left" w:pos="3119"/>
        </w:tabs>
        <w:ind w:right="-1" w:firstLine="567"/>
        <w:jc w:val="both"/>
        <w:rPr>
          <w:rFonts w:ascii="Calibri" w:hAnsi="Calibri" w:cs="Calibri"/>
          <w:sz w:val="22"/>
          <w:szCs w:val="22"/>
        </w:rPr>
      </w:pPr>
      <w:r w:rsidRPr="00A25C32">
        <w:rPr>
          <w:rFonts w:ascii="Calibri" w:hAnsi="Calibri" w:cs="Calibri"/>
          <w:sz w:val="22"/>
          <w:szCs w:val="22"/>
        </w:rPr>
        <w:t>Apibendrinus</w:t>
      </w:r>
      <w:r>
        <w:rPr>
          <w:rFonts w:ascii="Calibri" w:hAnsi="Calibri" w:cs="Calibri"/>
          <w:sz w:val="22"/>
          <w:szCs w:val="22"/>
        </w:rPr>
        <w:t>i</w:t>
      </w:r>
      <w:r w:rsidRPr="00A25C32">
        <w:rPr>
          <w:rFonts w:ascii="Calibri" w:hAnsi="Calibri" w:cs="Calibri"/>
          <w:sz w:val="22"/>
          <w:szCs w:val="22"/>
        </w:rPr>
        <w:t xml:space="preserve"> išdėstytus argumentus, teisėjų kolegija pirmosios instancijos teismo nutartį panaikino, prašymą dėl termino atnaujinimo tenkino ir pareiškėjos skundo priėmimo klausimą perdavė pirmosios instancijos teismui nagrinėti iš naujo.</w:t>
      </w:r>
    </w:p>
    <w:p w14:paraId="76B80D75" w14:textId="77777777" w:rsidR="00A25C32" w:rsidRPr="00A25C32" w:rsidRDefault="00A25C32" w:rsidP="00A25C32">
      <w:pPr>
        <w:shd w:val="clear" w:color="auto" w:fill="FFFFFF"/>
        <w:tabs>
          <w:tab w:val="left" w:pos="3119"/>
        </w:tabs>
        <w:ind w:right="-1" w:firstLine="567"/>
        <w:jc w:val="both"/>
        <w:rPr>
          <w:rFonts w:ascii="Calibri" w:hAnsi="Calibri" w:cs="Calibri"/>
          <w:sz w:val="22"/>
          <w:szCs w:val="22"/>
        </w:rPr>
      </w:pPr>
    </w:p>
    <w:p w14:paraId="0DE94143" w14:textId="77777777" w:rsidR="00A25C32" w:rsidRPr="00A25C32" w:rsidRDefault="00A25C32" w:rsidP="00A25C32">
      <w:pPr>
        <w:rPr>
          <w:rFonts w:ascii="Calibri" w:eastAsia="SimSun" w:hAnsi="Calibri"/>
          <w:sz w:val="22"/>
          <w:szCs w:val="22"/>
          <w:lang w:eastAsia="en-GB"/>
        </w:rPr>
      </w:pPr>
      <w:r w:rsidRPr="00A25C32">
        <w:rPr>
          <w:rFonts w:ascii="Calibri" w:eastAsia="SimSun" w:hAnsi="Calibri"/>
          <w:sz w:val="22"/>
          <w:szCs w:val="22"/>
          <w:lang w:eastAsia="en-GB"/>
        </w:rPr>
        <w:t>2020 m. lapkričio 11 d. nutartis  administracinėje byloje Nr. eAS-677-556/2020</w:t>
      </w:r>
    </w:p>
    <w:p w14:paraId="48794F47" w14:textId="77777777" w:rsidR="00A25C32" w:rsidRPr="00A25C32" w:rsidRDefault="00A25C32" w:rsidP="00A25C32">
      <w:pPr>
        <w:rPr>
          <w:rFonts w:ascii="Calibri" w:eastAsia="SimSun" w:hAnsi="Calibri"/>
          <w:sz w:val="22"/>
          <w:szCs w:val="22"/>
          <w:lang w:eastAsia="en-GB"/>
        </w:rPr>
      </w:pPr>
      <w:r w:rsidRPr="00A25C32">
        <w:rPr>
          <w:rFonts w:ascii="Calibri" w:eastAsia="SimSun" w:hAnsi="Calibri"/>
          <w:sz w:val="22"/>
          <w:szCs w:val="22"/>
          <w:lang w:eastAsia="en-GB"/>
        </w:rPr>
        <w:t>Teisminio proceso Nr. 3-61-3-02797-2020-2</w:t>
      </w:r>
    </w:p>
    <w:p w14:paraId="70E32983" w14:textId="77777777" w:rsidR="00A25C32" w:rsidRPr="00A25C32" w:rsidRDefault="00A25C32" w:rsidP="00A25C32">
      <w:pPr>
        <w:rPr>
          <w:rFonts w:ascii="Calibri" w:eastAsia="SimSun" w:hAnsi="Calibri"/>
          <w:sz w:val="22"/>
          <w:szCs w:val="22"/>
          <w:lang w:eastAsia="en-GB"/>
        </w:rPr>
      </w:pPr>
      <w:r w:rsidRPr="00A25C32">
        <w:rPr>
          <w:rFonts w:ascii="Calibri" w:eastAsia="SimSun" w:hAnsi="Calibri"/>
          <w:sz w:val="22"/>
          <w:szCs w:val="22"/>
          <w:lang w:eastAsia="en-GB"/>
        </w:rPr>
        <w:t>Procesinio sprendimo kategorija 43.5.9</w:t>
      </w:r>
    </w:p>
    <w:p w14:paraId="55BC74CF" w14:textId="77777777" w:rsidR="00A25C32" w:rsidRPr="00A25C32" w:rsidRDefault="00822FF8" w:rsidP="00A25C32">
      <w:pPr>
        <w:shd w:val="clear" w:color="auto" w:fill="FFFFFF"/>
        <w:tabs>
          <w:tab w:val="left" w:pos="3119"/>
        </w:tabs>
        <w:ind w:right="-1"/>
        <w:jc w:val="both"/>
        <w:rPr>
          <w:rFonts w:ascii="Calibri" w:hAnsi="Calibri" w:cs="Calibri"/>
          <w:sz w:val="22"/>
          <w:szCs w:val="22"/>
        </w:rPr>
      </w:pPr>
      <w:hyperlink r:id="rId36">
        <w:r w:rsidR="00A25C32" w:rsidRPr="55FEB3D6">
          <w:rPr>
            <w:rStyle w:val="Hipersaitas"/>
            <w:rFonts w:ascii="Calibri" w:hAnsi="Calibri" w:cs="Calibri"/>
            <w:sz w:val="22"/>
            <w:szCs w:val="22"/>
          </w:rPr>
          <w:t>Prieiga internete</w:t>
        </w:r>
      </w:hyperlink>
    </w:p>
    <w:bookmarkEnd w:id="8"/>
    <w:bookmarkEnd w:id="9"/>
    <w:p w14:paraId="0FA7FFF7" w14:textId="77777777" w:rsidR="007E3DBD" w:rsidRDefault="007E3DBD" w:rsidP="00F933C1">
      <w:pPr>
        <w:shd w:val="clear" w:color="auto" w:fill="FFFFFF"/>
        <w:tabs>
          <w:tab w:val="left" w:pos="3119"/>
        </w:tabs>
        <w:ind w:right="-1"/>
        <w:jc w:val="both"/>
        <w:rPr>
          <w:rFonts w:ascii="Calibri" w:hAnsi="Calibri" w:cs="Calibri"/>
          <w:sz w:val="22"/>
          <w:szCs w:val="22"/>
        </w:rPr>
      </w:pPr>
    </w:p>
    <w:p w14:paraId="0FD217B1" w14:textId="77777777" w:rsidR="00C27ADE" w:rsidRPr="00C27ADE" w:rsidRDefault="00C27ADE" w:rsidP="00C27ADE">
      <w:pPr>
        <w:jc w:val="both"/>
        <w:outlineLvl w:val="0"/>
        <w:rPr>
          <w:rFonts w:ascii="Calibri" w:hAnsi="Calibri"/>
          <w:b/>
          <w:sz w:val="22"/>
          <w:szCs w:val="22"/>
          <w:u w:val="single"/>
        </w:rPr>
      </w:pPr>
      <w:bookmarkStart w:id="96" w:name="_Toc462150022"/>
      <w:bookmarkStart w:id="97" w:name="_Toc61261261"/>
      <w:r w:rsidRPr="00C27ADE">
        <w:rPr>
          <w:rFonts w:ascii="Calibri" w:hAnsi="Calibri"/>
          <w:b/>
          <w:sz w:val="22"/>
          <w:szCs w:val="22"/>
          <w:u w:val="single"/>
        </w:rPr>
        <w:t>57. Bylos nagrinėjimo išlaidos</w:t>
      </w:r>
      <w:bookmarkEnd w:id="96"/>
      <w:bookmarkEnd w:id="97"/>
    </w:p>
    <w:p w14:paraId="382D7B1F" w14:textId="77777777" w:rsidR="00C27ADE" w:rsidRPr="00C27ADE" w:rsidRDefault="00C27ADE" w:rsidP="00C27ADE">
      <w:pPr>
        <w:ind w:firstLine="567"/>
        <w:jc w:val="both"/>
        <w:rPr>
          <w:rFonts w:ascii="Calibri" w:eastAsia="Calibri" w:hAnsi="Calibri"/>
          <w:b/>
          <w:sz w:val="22"/>
          <w:szCs w:val="22"/>
          <w:u w:val="single"/>
          <w:lang w:eastAsia="en-US"/>
        </w:rPr>
      </w:pPr>
      <w:r w:rsidRPr="00C27ADE">
        <w:rPr>
          <w:rFonts w:ascii="Calibri" w:eastAsia="Calibri" w:hAnsi="Calibri"/>
          <w:b/>
          <w:sz w:val="22"/>
          <w:szCs w:val="22"/>
          <w:u w:val="single"/>
          <w:lang w:eastAsia="en-US"/>
        </w:rPr>
        <w:t>57.2. Bylinėjimosi išlaidų paskirstymas</w:t>
      </w:r>
    </w:p>
    <w:p w14:paraId="7AED6E18" w14:textId="77777777" w:rsidR="00C27ADE" w:rsidRPr="00C27ADE" w:rsidRDefault="00C27ADE" w:rsidP="00C27ADE">
      <w:pPr>
        <w:tabs>
          <w:tab w:val="left" w:pos="1350"/>
        </w:tabs>
        <w:ind w:left="567" w:firstLine="783"/>
        <w:rPr>
          <w:rFonts w:ascii="Calibri" w:hAnsi="Calibri" w:cs="Calibri"/>
          <w:b/>
          <w:sz w:val="22"/>
          <w:szCs w:val="22"/>
          <w:u w:val="single"/>
        </w:rPr>
      </w:pPr>
      <w:r w:rsidRPr="00C27ADE">
        <w:rPr>
          <w:rFonts w:ascii="Calibri" w:hAnsi="Calibri" w:cs="Calibri"/>
          <w:b/>
          <w:sz w:val="22"/>
          <w:szCs w:val="22"/>
          <w:u w:val="single"/>
        </w:rPr>
        <w:t>57.2.2. Išlaidų paskirstymas, kai byla užbaigiama nepriėmus teismo sprendimo</w:t>
      </w:r>
    </w:p>
    <w:p w14:paraId="702518AC" w14:textId="6DC78315" w:rsidR="007E3DBD" w:rsidRDefault="007E3DBD" w:rsidP="007E3DBD">
      <w:pPr>
        <w:shd w:val="clear" w:color="auto" w:fill="FFFFFF"/>
        <w:tabs>
          <w:tab w:val="left" w:pos="3119"/>
        </w:tabs>
        <w:ind w:right="-1" w:firstLine="567"/>
        <w:jc w:val="both"/>
        <w:rPr>
          <w:rFonts w:ascii="Calibri" w:hAnsi="Calibri" w:cs="Calibri"/>
          <w:sz w:val="22"/>
          <w:szCs w:val="22"/>
        </w:rPr>
      </w:pPr>
    </w:p>
    <w:p w14:paraId="19FCA994" w14:textId="686BCC16" w:rsidR="00C27ADE" w:rsidRDefault="00C27ADE" w:rsidP="00C27ADE">
      <w:pPr>
        <w:pStyle w:val="Antrat2"/>
      </w:pPr>
      <w:bookmarkStart w:id="98" w:name="_Toc61261262"/>
      <w:r>
        <w:t>Dėl bylinėjimosi išlaidų, patirtų dėl kreipimosi į ESTT, atlyginimo</w:t>
      </w:r>
      <w:bookmarkEnd w:id="98"/>
      <w:r>
        <w:t xml:space="preserve"> </w:t>
      </w:r>
    </w:p>
    <w:p w14:paraId="2BEE82F4" w14:textId="7646D150" w:rsidR="00C27ADE" w:rsidRDefault="00C27ADE" w:rsidP="007E3DBD">
      <w:pPr>
        <w:shd w:val="clear" w:color="auto" w:fill="FFFFFF"/>
        <w:tabs>
          <w:tab w:val="left" w:pos="3119"/>
        </w:tabs>
        <w:ind w:right="-1" w:firstLine="567"/>
        <w:jc w:val="both"/>
        <w:rPr>
          <w:rFonts w:ascii="Calibri" w:hAnsi="Calibri" w:cs="Calibri"/>
          <w:sz w:val="22"/>
          <w:szCs w:val="22"/>
        </w:rPr>
      </w:pPr>
    </w:p>
    <w:p w14:paraId="2B78B08D" w14:textId="755FD7CF" w:rsidR="000362A4" w:rsidRDefault="00467320" w:rsidP="55FEB3D6">
      <w:pPr>
        <w:shd w:val="clear" w:color="auto" w:fill="FFFFFF" w:themeFill="background1"/>
        <w:tabs>
          <w:tab w:val="left" w:pos="3119"/>
        </w:tabs>
        <w:ind w:right="-1" w:firstLine="567"/>
        <w:jc w:val="both"/>
        <w:rPr>
          <w:rFonts w:ascii="Calibri" w:hAnsi="Calibri" w:cs="Calibri"/>
          <w:sz w:val="22"/>
          <w:szCs w:val="22"/>
        </w:rPr>
      </w:pPr>
      <w:r w:rsidRPr="55FEB3D6">
        <w:rPr>
          <w:rFonts w:ascii="Calibri" w:hAnsi="Calibri" w:cs="Calibri"/>
          <w:sz w:val="22"/>
          <w:szCs w:val="22"/>
        </w:rPr>
        <w:t>Apžvelgiamoje byloje buvo nagrinėjamas atskirasis skundas dėl pirmosios instancijos teismo nutarties, kuria nutraukta byla pagal atsakovo prašymą dėl sprendimo panaikinimo ir iš dalies tenkintas pareiškėjo prašymas dėl bylinėjimosi išlaidų priteisimo, teisėtum</w:t>
      </w:r>
      <w:r w:rsidR="4878C026" w:rsidRPr="55FEB3D6">
        <w:rPr>
          <w:rFonts w:ascii="Calibri" w:hAnsi="Calibri" w:cs="Calibri"/>
          <w:sz w:val="22"/>
          <w:szCs w:val="22"/>
        </w:rPr>
        <w:t>o</w:t>
      </w:r>
      <w:r w:rsidRPr="55FEB3D6">
        <w:rPr>
          <w:rFonts w:ascii="Calibri" w:hAnsi="Calibri" w:cs="Calibri"/>
          <w:sz w:val="22"/>
          <w:szCs w:val="22"/>
        </w:rPr>
        <w:t xml:space="preserve"> ir pagrįstum</w:t>
      </w:r>
      <w:r w:rsidR="5820E2E7" w:rsidRPr="55FEB3D6">
        <w:rPr>
          <w:rFonts w:ascii="Calibri" w:hAnsi="Calibri" w:cs="Calibri"/>
          <w:sz w:val="22"/>
          <w:szCs w:val="22"/>
        </w:rPr>
        <w:t>o</w:t>
      </w:r>
      <w:r w:rsidRPr="55FEB3D6">
        <w:rPr>
          <w:rFonts w:ascii="Calibri" w:hAnsi="Calibri" w:cs="Calibri"/>
          <w:sz w:val="22"/>
          <w:szCs w:val="22"/>
        </w:rPr>
        <w:t xml:space="preserve">. Byla nutraukta remiantis ABTĮ 103 straipsnio 1 dalimi kartu su Mokesčių administravimo įstatymo 159 straipsnio 2 dalimi, nustatančia, kad apskųsti Mokestinių ginčų komisijos sprendimą dėl mokestinio ginčo taip pat turi teisę centrinis mokesčių administratorius, tačiau tik tuo atveju, kai centrinis mokesčių administratorius ir Mokestinių ginčų komisija, spręsdami mokestinį ginčą (arba mokestinio ginčo metu), skirtingai interpretavo įstatymų ar kito teisės akto nuostatas. </w:t>
      </w:r>
    </w:p>
    <w:p w14:paraId="6AB0C362" w14:textId="575629CF" w:rsidR="00467320" w:rsidRDefault="000362A4" w:rsidP="00467320">
      <w:pPr>
        <w:shd w:val="clear" w:color="auto" w:fill="FFFFFF"/>
        <w:tabs>
          <w:tab w:val="left" w:pos="3119"/>
        </w:tabs>
        <w:ind w:right="-1" w:firstLine="567"/>
        <w:jc w:val="both"/>
        <w:rPr>
          <w:rFonts w:ascii="Calibri" w:hAnsi="Calibri" w:cs="Calibri"/>
          <w:sz w:val="22"/>
          <w:szCs w:val="22"/>
        </w:rPr>
      </w:pPr>
      <w:r>
        <w:rPr>
          <w:rFonts w:ascii="Calibri" w:hAnsi="Calibri" w:cs="Calibri"/>
          <w:sz w:val="22"/>
          <w:szCs w:val="22"/>
        </w:rPr>
        <w:t>LVAT t</w:t>
      </w:r>
      <w:r w:rsidR="00467320" w:rsidRPr="00467320">
        <w:rPr>
          <w:rFonts w:ascii="Calibri" w:hAnsi="Calibri" w:cs="Calibri"/>
          <w:sz w:val="22"/>
          <w:szCs w:val="22"/>
        </w:rPr>
        <w:t>eisėjų kolegija, įvertinusi nustatytas aplinkybes, suti</w:t>
      </w:r>
      <w:r>
        <w:rPr>
          <w:rFonts w:ascii="Calibri" w:hAnsi="Calibri" w:cs="Calibri"/>
          <w:sz w:val="22"/>
          <w:szCs w:val="22"/>
        </w:rPr>
        <w:t>ko</w:t>
      </w:r>
      <w:r w:rsidR="00467320" w:rsidRPr="00467320">
        <w:rPr>
          <w:rFonts w:ascii="Calibri" w:hAnsi="Calibri" w:cs="Calibri"/>
          <w:sz w:val="22"/>
          <w:szCs w:val="22"/>
        </w:rPr>
        <w:t xml:space="preserve"> su pirmosios instancijos teismo išvada, kad nagrinė</w:t>
      </w:r>
      <w:r>
        <w:rPr>
          <w:rFonts w:ascii="Calibri" w:hAnsi="Calibri" w:cs="Calibri"/>
          <w:sz w:val="22"/>
          <w:szCs w:val="22"/>
        </w:rPr>
        <w:t>t</w:t>
      </w:r>
      <w:r w:rsidR="00467320" w:rsidRPr="00467320">
        <w:rPr>
          <w:rFonts w:ascii="Calibri" w:hAnsi="Calibri" w:cs="Calibri"/>
          <w:sz w:val="22"/>
          <w:szCs w:val="22"/>
        </w:rPr>
        <w:t>oje byloje kilo klausimas, ar mokesčių administratorius surinko pakankamai įrodymų savo įrodinėjamoms aplinkybėms pagrįsti. Byloje kel</w:t>
      </w:r>
      <w:r>
        <w:rPr>
          <w:rFonts w:ascii="Calibri" w:hAnsi="Calibri" w:cs="Calibri"/>
          <w:sz w:val="22"/>
          <w:szCs w:val="22"/>
        </w:rPr>
        <w:t>t</w:t>
      </w:r>
      <w:r w:rsidR="00467320" w:rsidRPr="00467320">
        <w:rPr>
          <w:rFonts w:ascii="Calibri" w:hAnsi="Calibri" w:cs="Calibri"/>
          <w:sz w:val="22"/>
          <w:szCs w:val="22"/>
        </w:rPr>
        <w:t xml:space="preserve">as įrodymų pakankamumo klausimas nelaikytinas skirtinga įstatymo ar kito teisės akto nuostatų interpretacija, kas suteiktų teisę centriniam mokesčių administratoriui skųsti Komisijos sprendimą vadovaujantis Mokesčių administravimo įstatymo 159 straipsnio 2 dalimi. </w:t>
      </w:r>
    </w:p>
    <w:p w14:paraId="1F9C41AF" w14:textId="7DE45401" w:rsidR="00467320" w:rsidRPr="00467320" w:rsidRDefault="000362A4" w:rsidP="00467320">
      <w:pPr>
        <w:shd w:val="clear" w:color="auto" w:fill="FFFFFF"/>
        <w:tabs>
          <w:tab w:val="left" w:pos="3119"/>
        </w:tabs>
        <w:ind w:right="-1" w:firstLine="567"/>
        <w:jc w:val="both"/>
        <w:rPr>
          <w:rFonts w:ascii="Calibri" w:hAnsi="Calibri" w:cs="Calibri"/>
          <w:sz w:val="22"/>
          <w:szCs w:val="22"/>
        </w:rPr>
      </w:pPr>
      <w:r>
        <w:rPr>
          <w:rFonts w:ascii="Calibri" w:hAnsi="Calibri" w:cs="Calibri"/>
          <w:sz w:val="22"/>
          <w:szCs w:val="22"/>
        </w:rPr>
        <w:t>Remdamasis A</w:t>
      </w:r>
      <w:r w:rsidR="00467320" w:rsidRPr="00467320">
        <w:rPr>
          <w:rFonts w:ascii="Calibri" w:hAnsi="Calibri" w:cs="Calibri"/>
          <w:sz w:val="22"/>
          <w:szCs w:val="22"/>
        </w:rPr>
        <w:t xml:space="preserve">BTĮ 40 straipsnio 1 </w:t>
      </w:r>
      <w:r>
        <w:rPr>
          <w:rFonts w:ascii="Calibri" w:hAnsi="Calibri" w:cs="Calibri"/>
          <w:sz w:val="22"/>
          <w:szCs w:val="22"/>
        </w:rPr>
        <w:t xml:space="preserve">ir </w:t>
      </w:r>
      <w:r w:rsidR="00467320" w:rsidRPr="00467320">
        <w:rPr>
          <w:rFonts w:ascii="Calibri" w:hAnsi="Calibri" w:cs="Calibri"/>
          <w:sz w:val="22"/>
          <w:szCs w:val="22"/>
        </w:rPr>
        <w:t>5 dal</w:t>
      </w:r>
      <w:r>
        <w:rPr>
          <w:rFonts w:ascii="Calibri" w:hAnsi="Calibri" w:cs="Calibri"/>
          <w:sz w:val="22"/>
          <w:szCs w:val="22"/>
        </w:rPr>
        <w:t>imis,</w:t>
      </w:r>
      <w:r w:rsidR="00467320" w:rsidRPr="00467320">
        <w:rPr>
          <w:rFonts w:ascii="Calibri" w:hAnsi="Calibri" w:cs="Calibri"/>
          <w:sz w:val="22"/>
          <w:szCs w:val="22"/>
        </w:rPr>
        <w:t xml:space="preserve"> </w:t>
      </w:r>
      <w:r>
        <w:rPr>
          <w:rFonts w:ascii="Calibri" w:hAnsi="Calibri" w:cs="Calibri"/>
          <w:sz w:val="22"/>
          <w:szCs w:val="22"/>
        </w:rPr>
        <w:t xml:space="preserve">LVAT konstatavo, jog </w:t>
      </w:r>
      <w:r w:rsidR="00467320" w:rsidRPr="00467320">
        <w:rPr>
          <w:rFonts w:ascii="Calibri" w:hAnsi="Calibri" w:cs="Calibri"/>
          <w:sz w:val="22"/>
          <w:szCs w:val="22"/>
        </w:rPr>
        <w:t xml:space="preserve">teisme buvo nagrinėjamas ginčas pagal centrinio mokesčių administratoriaus prašymą panaikinti Komisijos sprendimą. </w:t>
      </w:r>
      <w:r w:rsidR="002E79EA">
        <w:rPr>
          <w:rFonts w:ascii="Calibri" w:hAnsi="Calibri" w:cs="Calibri"/>
          <w:sz w:val="22"/>
          <w:szCs w:val="22"/>
        </w:rPr>
        <w:t>K</w:t>
      </w:r>
      <w:r w:rsidR="00467320" w:rsidRPr="00467320">
        <w:rPr>
          <w:rFonts w:ascii="Calibri" w:hAnsi="Calibri" w:cs="Calibri"/>
          <w:sz w:val="22"/>
          <w:szCs w:val="22"/>
        </w:rPr>
        <w:t>onstatav</w:t>
      </w:r>
      <w:r w:rsidR="002E79EA">
        <w:rPr>
          <w:rFonts w:ascii="Calibri" w:hAnsi="Calibri" w:cs="Calibri"/>
          <w:sz w:val="22"/>
          <w:szCs w:val="22"/>
        </w:rPr>
        <w:t>ę</w:t>
      </w:r>
      <w:r w:rsidR="00467320" w:rsidRPr="00467320">
        <w:rPr>
          <w:rFonts w:ascii="Calibri" w:hAnsi="Calibri" w:cs="Calibri"/>
          <w:sz w:val="22"/>
          <w:szCs w:val="22"/>
        </w:rPr>
        <w:t xml:space="preserve">s, kad pirmosios instancijos teismas pagrįstai nutartimi administracinę bylą nutraukė ABTĮ 103 straipsnio 1 punkto pagrindu, </w:t>
      </w:r>
      <w:r>
        <w:rPr>
          <w:rFonts w:ascii="Calibri" w:hAnsi="Calibri" w:cs="Calibri"/>
          <w:sz w:val="22"/>
          <w:szCs w:val="22"/>
        </w:rPr>
        <w:t>LVAT padarė</w:t>
      </w:r>
      <w:r w:rsidR="00467320" w:rsidRPr="00467320">
        <w:rPr>
          <w:rFonts w:ascii="Calibri" w:hAnsi="Calibri" w:cs="Calibri"/>
          <w:sz w:val="22"/>
          <w:szCs w:val="22"/>
        </w:rPr>
        <w:t xml:space="preserve"> išvad</w:t>
      </w:r>
      <w:r>
        <w:rPr>
          <w:rFonts w:ascii="Calibri" w:hAnsi="Calibri" w:cs="Calibri"/>
          <w:sz w:val="22"/>
          <w:szCs w:val="22"/>
        </w:rPr>
        <w:t>ą</w:t>
      </w:r>
      <w:r w:rsidR="00467320" w:rsidRPr="00467320">
        <w:rPr>
          <w:rFonts w:ascii="Calibri" w:hAnsi="Calibri" w:cs="Calibri"/>
          <w:sz w:val="22"/>
          <w:szCs w:val="22"/>
        </w:rPr>
        <w:t xml:space="preserve">, kad galutinis procesinis sprendimas nagrinėjamoje byloje priimtas pareiškėjo naudai. </w:t>
      </w:r>
    </w:p>
    <w:p w14:paraId="1E971E14" w14:textId="659A444D" w:rsidR="00467320" w:rsidRPr="00467320" w:rsidRDefault="00B15DF0" w:rsidP="00467320">
      <w:pPr>
        <w:shd w:val="clear" w:color="auto" w:fill="FFFFFF"/>
        <w:tabs>
          <w:tab w:val="left" w:pos="3119"/>
        </w:tabs>
        <w:ind w:right="-1" w:firstLine="567"/>
        <w:jc w:val="both"/>
        <w:rPr>
          <w:rFonts w:ascii="Calibri" w:hAnsi="Calibri" w:cs="Calibri"/>
          <w:sz w:val="22"/>
          <w:szCs w:val="22"/>
        </w:rPr>
      </w:pPr>
      <w:r>
        <w:rPr>
          <w:rFonts w:ascii="Calibri" w:hAnsi="Calibri" w:cs="Calibri"/>
          <w:sz w:val="22"/>
          <w:szCs w:val="22"/>
        </w:rPr>
        <w:t>Remdamasi LVAT praktika, teisėjų kolegija pažymėjo, kad M</w:t>
      </w:r>
      <w:r w:rsidR="00467320" w:rsidRPr="00467320">
        <w:rPr>
          <w:rFonts w:ascii="Calibri" w:hAnsi="Calibri" w:cs="Calibri"/>
          <w:sz w:val="22"/>
          <w:szCs w:val="22"/>
        </w:rPr>
        <w:t>okesčių administravimo įstatymo 145 straipsnio 1 dalyje nustatyta, kad mokestiniams ginčams šiame įstatyme nustatoma ir reglamentuojama privaloma ikiteisminė jų nagrinėjimo procedūra.</w:t>
      </w:r>
      <w:r>
        <w:rPr>
          <w:rFonts w:ascii="Calibri" w:hAnsi="Calibri" w:cs="Calibri"/>
          <w:sz w:val="22"/>
          <w:szCs w:val="22"/>
        </w:rPr>
        <w:t xml:space="preserve"> </w:t>
      </w:r>
      <w:r w:rsidR="00467320" w:rsidRPr="002E79EA">
        <w:rPr>
          <w:rFonts w:ascii="Calibri" w:hAnsi="Calibri" w:cs="Calibri"/>
          <w:sz w:val="22"/>
          <w:szCs w:val="22"/>
          <w:u w:val="single"/>
        </w:rPr>
        <w:t>Apskundus ikiteisminės mokestinių ginčų nagrinėjimo institucijos sprendimą teismui, šis ginčas toliau nagrinėjamas teisme, t. y. teismo procesas yra ikiteismine tvarka išnagrinėto mokestinio ginčo nagrinėjimo tęsinys. Todėl ABTĮ 39 straipsnio 1 dalies 2 punkte numatytos išlaidos už advokato ar advokato padėjėjo pagalbą rengiant bei paduodant procesinius dokumentus ikiteisminėje mokestinio ginčo nagrinėjimo stadijoje, priskirtinos bylos nagrinėjimo išlaidoms, o jų dydis nustatytinas atsižvelgiant į Rekomendacijų 8.1 punkte nurodytą maksimalų rekomenduojamą užmokesčio už pareiškimą spręsti ginčą ne teisme, jeigu toliau byla nagrinėjama teisme, dydį</w:t>
      </w:r>
      <w:r w:rsidR="00467320" w:rsidRPr="00467320">
        <w:rPr>
          <w:rFonts w:ascii="Calibri" w:hAnsi="Calibri" w:cs="Calibri"/>
          <w:sz w:val="22"/>
          <w:szCs w:val="22"/>
        </w:rPr>
        <w:t>.</w:t>
      </w:r>
      <w:r>
        <w:rPr>
          <w:rFonts w:ascii="Calibri" w:hAnsi="Calibri" w:cs="Calibri"/>
          <w:sz w:val="22"/>
          <w:szCs w:val="22"/>
        </w:rPr>
        <w:t xml:space="preserve"> </w:t>
      </w:r>
    </w:p>
    <w:p w14:paraId="7C35024C" w14:textId="31CAB80A" w:rsidR="00467320" w:rsidRPr="00467320" w:rsidRDefault="00467320" w:rsidP="00467320">
      <w:pPr>
        <w:shd w:val="clear" w:color="auto" w:fill="FFFFFF"/>
        <w:tabs>
          <w:tab w:val="left" w:pos="3119"/>
        </w:tabs>
        <w:ind w:right="-1" w:firstLine="567"/>
        <w:jc w:val="both"/>
        <w:rPr>
          <w:rFonts w:ascii="Calibri" w:hAnsi="Calibri" w:cs="Calibri"/>
          <w:sz w:val="22"/>
          <w:szCs w:val="22"/>
        </w:rPr>
      </w:pPr>
      <w:r w:rsidRPr="00467320">
        <w:rPr>
          <w:rFonts w:ascii="Calibri" w:hAnsi="Calibri" w:cs="Calibri"/>
          <w:sz w:val="22"/>
          <w:szCs w:val="22"/>
        </w:rPr>
        <w:t>Pareiškėjo prašyme nurodyta bylinėjimosi išlaidų detalizacija patvirtin</w:t>
      </w:r>
      <w:r w:rsidR="00BB7D64">
        <w:rPr>
          <w:rFonts w:ascii="Calibri" w:hAnsi="Calibri" w:cs="Calibri"/>
          <w:sz w:val="22"/>
          <w:szCs w:val="22"/>
        </w:rPr>
        <w:t>o</w:t>
      </w:r>
      <w:r w:rsidRPr="00467320">
        <w:rPr>
          <w:rFonts w:ascii="Calibri" w:hAnsi="Calibri" w:cs="Calibri"/>
          <w:sz w:val="22"/>
          <w:szCs w:val="22"/>
        </w:rPr>
        <w:t>, jog pareiškėjas praš</w:t>
      </w:r>
      <w:r w:rsidR="00BB7D64">
        <w:rPr>
          <w:rFonts w:ascii="Calibri" w:hAnsi="Calibri" w:cs="Calibri"/>
          <w:sz w:val="22"/>
          <w:szCs w:val="22"/>
        </w:rPr>
        <w:t>ė</w:t>
      </w:r>
      <w:r w:rsidRPr="00467320">
        <w:rPr>
          <w:rFonts w:ascii="Calibri" w:hAnsi="Calibri" w:cs="Calibri"/>
          <w:sz w:val="22"/>
          <w:szCs w:val="22"/>
        </w:rPr>
        <w:t xml:space="preserve"> priteisti iš atsakovo 24 706,10 Eur bylinėjimosi išlaidų, patirtų nagrinėjant bylą Europos Sąjungos Teisingumo Teisme, kurias sudar</w:t>
      </w:r>
      <w:r w:rsidR="00BB7D64">
        <w:rPr>
          <w:rFonts w:ascii="Calibri" w:hAnsi="Calibri" w:cs="Calibri"/>
          <w:sz w:val="22"/>
          <w:szCs w:val="22"/>
        </w:rPr>
        <w:t>ė</w:t>
      </w:r>
      <w:r w:rsidRPr="00467320">
        <w:rPr>
          <w:rFonts w:ascii="Calibri" w:hAnsi="Calibri" w:cs="Calibri"/>
          <w:sz w:val="22"/>
          <w:szCs w:val="22"/>
        </w:rPr>
        <w:t xml:space="preserve">: rašytinių pastabų ESTT rengimas (3 144,89 Eur), duomenų analizė, prašymo ESTT rengimas (854,94 Eur), prašymo ESTT rengimas (1 397,34 Eur), duomenų analizė, pranešimo ESTT rengimas, atsakymų ESTT rengimas (5 286,97 Eur), atsakymų ESTT rengimas, duomenų analizė, pasirengimas ir dalyvavimas ESTT posėdyje (14 021,96 Eur). </w:t>
      </w:r>
    </w:p>
    <w:p w14:paraId="18A6199E" w14:textId="38E1B467" w:rsidR="00467320" w:rsidRPr="00467320" w:rsidRDefault="00467320" w:rsidP="00467320">
      <w:pPr>
        <w:shd w:val="clear" w:color="auto" w:fill="FFFFFF"/>
        <w:tabs>
          <w:tab w:val="left" w:pos="3119"/>
        </w:tabs>
        <w:ind w:right="-1" w:firstLine="567"/>
        <w:jc w:val="both"/>
        <w:rPr>
          <w:rFonts w:ascii="Calibri" w:hAnsi="Calibri" w:cs="Calibri"/>
          <w:sz w:val="22"/>
          <w:szCs w:val="22"/>
        </w:rPr>
      </w:pPr>
      <w:r w:rsidRPr="00467320">
        <w:rPr>
          <w:rFonts w:ascii="Calibri" w:hAnsi="Calibri" w:cs="Calibri"/>
          <w:sz w:val="22"/>
          <w:szCs w:val="22"/>
        </w:rPr>
        <w:t xml:space="preserve">Rekomendacijų 8 punkte tarp advokato teikiamų paslaugų nėra išskirtos advokato atstovaujant klientui ESTT teikiamos paslaugos (pvz., rašytinių paaiškinimų teikimas, dalyvavimas ESTT posėdyje ir pan.), taigi </w:t>
      </w:r>
      <w:r w:rsidRPr="00BB7D64">
        <w:rPr>
          <w:rFonts w:ascii="Calibri" w:hAnsi="Calibri" w:cs="Calibri"/>
          <w:sz w:val="22"/>
          <w:szCs w:val="22"/>
          <w:u w:val="single"/>
        </w:rPr>
        <w:t>nėra reglamentuota, koks turėtų būti priteistas maksimalus bylą nagrinėjant ESTT turėtų atstovavimo išlaidų atlyginimas</w:t>
      </w:r>
      <w:r w:rsidRPr="00467320">
        <w:rPr>
          <w:rFonts w:ascii="Calibri" w:hAnsi="Calibri" w:cs="Calibri"/>
          <w:sz w:val="22"/>
          <w:szCs w:val="22"/>
        </w:rPr>
        <w:t xml:space="preserve">. Pagal ABTĮ 4 straipsnio 7 dalį, jeigu nėra įstatymo, reglamentuojančio ginčo santykį, teismas taiko įstatymą, reglamentuojantį panašius santykius, o jei ir tokio įstatymo nėra, – vadovaujasi bendraisiais įstatymų </w:t>
      </w:r>
      <w:r w:rsidRPr="00467320">
        <w:rPr>
          <w:rFonts w:ascii="Calibri" w:hAnsi="Calibri" w:cs="Calibri"/>
          <w:sz w:val="22"/>
          <w:szCs w:val="22"/>
        </w:rPr>
        <w:lastRenderedPageBreak/>
        <w:t xml:space="preserve">pradmenimis ir jų prasme, taip pat teisingumo ir protingumo kriterijais (analogiška nuostata įtvirtinta CPK 3 straipsnio 7 dalyje). </w:t>
      </w:r>
      <w:r w:rsidRPr="00BB7D64">
        <w:rPr>
          <w:rFonts w:ascii="Calibri" w:hAnsi="Calibri" w:cs="Calibri"/>
          <w:sz w:val="22"/>
          <w:szCs w:val="22"/>
          <w:u w:val="single"/>
        </w:rPr>
        <w:t>Atsižvelgdama į atstovaujant proceso dalyviui ESTT teiktinų advokato teisinių paslaugų pobūdį, sudėtingumą, paprastai taip pat ir sprendžiamų teisinių klausimų naujumą, teisėjų kolegija vertin</w:t>
      </w:r>
      <w:r w:rsidR="00BB7D64" w:rsidRPr="00BB7D64">
        <w:rPr>
          <w:rFonts w:ascii="Calibri" w:hAnsi="Calibri" w:cs="Calibri"/>
          <w:sz w:val="22"/>
          <w:szCs w:val="22"/>
          <w:u w:val="single"/>
        </w:rPr>
        <w:t>o</w:t>
      </w:r>
      <w:r w:rsidRPr="00BB7D64">
        <w:rPr>
          <w:rFonts w:ascii="Calibri" w:hAnsi="Calibri" w:cs="Calibri"/>
          <w:sz w:val="22"/>
          <w:szCs w:val="22"/>
          <w:u w:val="single"/>
        </w:rPr>
        <w:t>, kad, nustatant išlaidų už rašytinių pastabų ESTT parengimą dydį, įstatymo analogijos pagrindu gali būti taikomas Rekomendacijų 8.2 punkte nustatytas koeficientas už ieškinio, priešieškinio, atsiliepimo į ieškinį ar priešieškinį parengimą, kadangi, kaip buvo nurodyta, specialaus reglamentavimo dėl tokių išlaidų nėra, abi santykių grupės artimos, vienodų koeficientų taikymas atitiktų protingumo ir teisingumo principus</w:t>
      </w:r>
      <w:r w:rsidRPr="00467320">
        <w:rPr>
          <w:rFonts w:ascii="Calibri" w:hAnsi="Calibri" w:cs="Calibri"/>
          <w:sz w:val="22"/>
          <w:szCs w:val="22"/>
        </w:rPr>
        <w:t xml:space="preserve"> (žr., pvz., Lietuvos Aukščiausiojo Teismo 2019 m. sausio 2 d. nutartį civilinėje byloje Nr. e3K-3-32-378/2019, 2019 m. balandžio 24</w:t>
      </w:r>
      <w:r w:rsidR="00BB7D64">
        <w:rPr>
          <w:rFonts w:ascii="Calibri" w:hAnsi="Calibri" w:cs="Calibri"/>
          <w:sz w:val="22"/>
          <w:szCs w:val="22"/>
        </w:rPr>
        <w:t> </w:t>
      </w:r>
      <w:r w:rsidRPr="00467320">
        <w:rPr>
          <w:rFonts w:ascii="Calibri" w:hAnsi="Calibri" w:cs="Calibri"/>
          <w:sz w:val="22"/>
          <w:szCs w:val="22"/>
        </w:rPr>
        <w:t>d. nutartį civilinėje byloje Nr. e3K-3-150-611/2019, Lietuvos vyriausiojo administracinio teismo 2019 m. gegužės 15 d. nutartį administracinėje byloje Nr. A-375-556/2018).</w:t>
      </w:r>
    </w:p>
    <w:p w14:paraId="75CC196B" w14:textId="77777777" w:rsidR="00C27ADE" w:rsidRDefault="00C27ADE" w:rsidP="007E3DBD">
      <w:pPr>
        <w:shd w:val="clear" w:color="auto" w:fill="FFFFFF"/>
        <w:tabs>
          <w:tab w:val="left" w:pos="3119"/>
        </w:tabs>
        <w:ind w:right="-1" w:firstLine="567"/>
        <w:jc w:val="both"/>
        <w:rPr>
          <w:rFonts w:ascii="Calibri" w:hAnsi="Calibri" w:cs="Calibri"/>
          <w:sz w:val="22"/>
          <w:szCs w:val="22"/>
        </w:rPr>
      </w:pPr>
    </w:p>
    <w:p w14:paraId="2AC42A18" w14:textId="29DF1223" w:rsidR="00C27ADE" w:rsidRPr="00C27ADE" w:rsidRDefault="00C27ADE" w:rsidP="00C27ADE">
      <w:pPr>
        <w:rPr>
          <w:rFonts w:ascii="Calibri" w:eastAsia="SimSun" w:hAnsi="Calibri"/>
          <w:sz w:val="22"/>
          <w:szCs w:val="22"/>
          <w:lang w:eastAsia="en-GB"/>
        </w:rPr>
      </w:pPr>
      <w:r>
        <w:rPr>
          <w:rFonts w:ascii="Calibri" w:eastAsia="SimSun" w:hAnsi="Calibri"/>
          <w:sz w:val="22"/>
          <w:szCs w:val="22"/>
          <w:lang w:eastAsia="en-GB"/>
        </w:rPr>
        <w:t>2020 m. lapkričio 25 d. nutartis a</w:t>
      </w:r>
      <w:r w:rsidRPr="00C27ADE">
        <w:rPr>
          <w:rFonts w:ascii="Calibri" w:eastAsia="SimSun" w:hAnsi="Calibri"/>
          <w:sz w:val="22"/>
          <w:szCs w:val="22"/>
          <w:lang w:eastAsia="en-GB"/>
        </w:rPr>
        <w:t>dministracinė</w:t>
      </w:r>
      <w:r>
        <w:rPr>
          <w:rFonts w:ascii="Calibri" w:eastAsia="SimSun" w:hAnsi="Calibri"/>
          <w:sz w:val="22"/>
          <w:szCs w:val="22"/>
          <w:lang w:eastAsia="en-GB"/>
        </w:rPr>
        <w:t>je</w:t>
      </w:r>
      <w:r w:rsidRPr="00C27ADE">
        <w:rPr>
          <w:rFonts w:ascii="Calibri" w:eastAsia="SimSun" w:hAnsi="Calibri"/>
          <w:sz w:val="22"/>
          <w:szCs w:val="22"/>
          <w:lang w:eastAsia="en-GB"/>
        </w:rPr>
        <w:t xml:space="preserve"> byl</w:t>
      </w:r>
      <w:r>
        <w:rPr>
          <w:rFonts w:ascii="Calibri" w:eastAsia="SimSun" w:hAnsi="Calibri"/>
          <w:sz w:val="22"/>
          <w:szCs w:val="22"/>
          <w:lang w:eastAsia="en-GB"/>
        </w:rPr>
        <w:t>oje</w:t>
      </w:r>
      <w:r w:rsidRPr="00C27ADE">
        <w:rPr>
          <w:rFonts w:ascii="Calibri" w:eastAsia="SimSun" w:hAnsi="Calibri"/>
          <w:sz w:val="22"/>
          <w:szCs w:val="22"/>
          <w:lang w:eastAsia="en-GB"/>
        </w:rPr>
        <w:t xml:space="preserve"> Nr. eAS-734-662/2020</w:t>
      </w:r>
    </w:p>
    <w:p w14:paraId="428F9371" w14:textId="77777777" w:rsidR="00C27ADE" w:rsidRPr="00C27ADE" w:rsidRDefault="00C27ADE" w:rsidP="00C27ADE">
      <w:pPr>
        <w:rPr>
          <w:rFonts w:ascii="Calibri" w:eastAsia="SimSun" w:hAnsi="Calibri"/>
          <w:sz w:val="22"/>
          <w:szCs w:val="22"/>
          <w:lang w:eastAsia="en-GB"/>
        </w:rPr>
      </w:pPr>
      <w:r w:rsidRPr="00C27ADE">
        <w:rPr>
          <w:rFonts w:ascii="Calibri" w:eastAsia="SimSun" w:hAnsi="Calibri"/>
          <w:sz w:val="22"/>
          <w:szCs w:val="22"/>
          <w:lang w:eastAsia="en-GB"/>
        </w:rPr>
        <w:t>Teisminio proceso Nr. 3-61-3-02392-2020-3</w:t>
      </w:r>
    </w:p>
    <w:p w14:paraId="19181CC9" w14:textId="7A3A9E4D" w:rsidR="00C27ADE" w:rsidRDefault="00C27ADE" w:rsidP="00C27ADE">
      <w:pPr>
        <w:rPr>
          <w:rFonts w:ascii="Calibri" w:eastAsia="SimSun" w:hAnsi="Calibri"/>
          <w:sz w:val="22"/>
          <w:szCs w:val="22"/>
          <w:lang w:eastAsia="en-GB"/>
        </w:rPr>
      </w:pPr>
      <w:r w:rsidRPr="00C27ADE">
        <w:rPr>
          <w:rFonts w:ascii="Calibri" w:eastAsia="SimSun" w:hAnsi="Calibri"/>
          <w:sz w:val="22"/>
          <w:szCs w:val="22"/>
          <w:lang w:eastAsia="en-GB"/>
        </w:rPr>
        <w:t xml:space="preserve">Procesinio sprendimo kategorijos: 12.10.4; 57.2.2 </w:t>
      </w:r>
    </w:p>
    <w:p w14:paraId="35D7E8E9" w14:textId="75243128" w:rsidR="00B3162D" w:rsidRPr="00C27ADE" w:rsidRDefault="00822FF8" w:rsidP="00C27ADE">
      <w:pPr>
        <w:rPr>
          <w:rFonts w:ascii="Calibri" w:eastAsia="SimSun" w:hAnsi="Calibri"/>
          <w:sz w:val="22"/>
          <w:szCs w:val="22"/>
          <w:lang w:eastAsia="en-GB"/>
        </w:rPr>
      </w:pPr>
      <w:hyperlink r:id="rId37" w:history="1">
        <w:r w:rsidR="00B3162D" w:rsidRPr="00B3162D">
          <w:rPr>
            <w:rStyle w:val="Hipersaitas"/>
            <w:rFonts w:ascii="Calibri" w:eastAsia="SimSun" w:hAnsi="Calibri"/>
            <w:sz w:val="22"/>
            <w:szCs w:val="22"/>
            <w:lang w:eastAsia="en-GB"/>
          </w:rPr>
          <w:t>Prieiga internete</w:t>
        </w:r>
      </w:hyperlink>
      <w:r w:rsidR="00B3162D">
        <w:rPr>
          <w:rFonts w:ascii="Calibri" w:eastAsia="SimSun" w:hAnsi="Calibri"/>
          <w:sz w:val="22"/>
          <w:szCs w:val="22"/>
          <w:lang w:eastAsia="en-GB"/>
        </w:rPr>
        <w:t xml:space="preserve"> </w:t>
      </w:r>
    </w:p>
    <w:p w14:paraId="68F0B06D" w14:textId="5F6085F3" w:rsidR="6CE07B94" w:rsidRDefault="6CE07B94" w:rsidP="00F933C1">
      <w:pPr>
        <w:shd w:val="clear" w:color="auto" w:fill="FFFFFF" w:themeFill="background1"/>
        <w:tabs>
          <w:tab w:val="left" w:pos="3119"/>
        </w:tabs>
        <w:ind w:right="-1"/>
        <w:jc w:val="both"/>
        <w:rPr>
          <w:rFonts w:ascii="Calibri" w:hAnsi="Calibri" w:cs="Calibri"/>
          <w:sz w:val="22"/>
          <w:szCs w:val="22"/>
        </w:rPr>
      </w:pPr>
    </w:p>
    <w:p w14:paraId="020718CA" w14:textId="6AB56166" w:rsidR="2531BDB8" w:rsidRDefault="2531BDB8" w:rsidP="6CE07B94">
      <w:pPr>
        <w:jc w:val="both"/>
        <w:rPr>
          <w:rFonts w:ascii="Calibri" w:hAnsi="Calibri"/>
          <w:b/>
          <w:bCs/>
          <w:sz w:val="22"/>
          <w:szCs w:val="22"/>
          <w:u w:val="single"/>
          <w:lang w:val="lt"/>
        </w:rPr>
      </w:pPr>
      <w:r w:rsidRPr="6CE07B94">
        <w:rPr>
          <w:rFonts w:ascii="Calibri" w:hAnsi="Calibri"/>
          <w:b/>
          <w:bCs/>
          <w:sz w:val="22"/>
          <w:szCs w:val="22"/>
          <w:u w:val="single"/>
          <w:lang w:val="lt"/>
        </w:rPr>
        <w:t>60. Proceso atnaujinimas</w:t>
      </w:r>
    </w:p>
    <w:p w14:paraId="77D27CF9" w14:textId="08669E43" w:rsidR="2531BDB8" w:rsidRDefault="2531BDB8" w:rsidP="00A7469C">
      <w:pPr>
        <w:ind w:firstLine="567"/>
        <w:jc w:val="both"/>
        <w:rPr>
          <w:rFonts w:ascii="Calibri" w:hAnsi="Calibri"/>
          <w:b/>
          <w:bCs/>
          <w:sz w:val="22"/>
          <w:szCs w:val="22"/>
          <w:u w:val="single"/>
          <w:lang w:val="lt"/>
        </w:rPr>
      </w:pPr>
      <w:r w:rsidRPr="6CE07B94">
        <w:rPr>
          <w:rFonts w:ascii="Calibri" w:hAnsi="Calibri"/>
          <w:b/>
          <w:bCs/>
          <w:sz w:val="22"/>
          <w:szCs w:val="22"/>
          <w:u w:val="single"/>
          <w:lang w:val="lt"/>
        </w:rPr>
        <w:t xml:space="preserve">60.3. Proceso </w:t>
      </w:r>
      <w:r w:rsidRPr="00A7469C">
        <w:rPr>
          <w:rFonts w:ascii="Calibri" w:eastAsia="Calibri" w:hAnsi="Calibri"/>
          <w:b/>
          <w:sz w:val="22"/>
          <w:szCs w:val="22"/>
          <w:u w:val="single"/>
          <w:lang w:eastAsia="en-US"/>
        </w:rPr>
        <w:t>atnaujinimo</w:t>
      </w:r>
      <w:r w:rsidRPr="6CE07B94">
        <w:rPr>
          <w:rFonts w:ascii="Calibri" w:hAnsi="Calibri"/>
          <w:b/>
          <w:bCs/>
          <w:sz w:val="22"/>
          <w:szCs w:val="22"/>
          <w:u w:val="single"/>
          <w:lang w:val="lt"/>
        </w:rPr>
        <w:t xml:space="preserve"> pagrindai</w:t>
      </w:r>
    </w:p>
    <w:p w14:paraId="1D1718A2" w14:textId="11A6C51B" w:rsidR="2531BDB8" w:rsidRDefault="2531BDB8" w:rsidP="00A7469C">
      <w:pPr>
        <w:tabs>
          <w:tab w:val="left" w:pos="1350"/>
        </w:tabs>
        <w:ind w:left="567" w:firstLine="783"/>
        <w:rPr>
          <w:rFonts w:ascii="Calibri" w:hAnsi="Calibri"/>
          <w:b/>
          <w:bCs/>
          <w:sz w:val="22"/>
          <w:szCs w:val="22"/>
          <w:u w:val="single"/>
          <w:lang w:val="lt"/>
        </w:rPr>
      </w:pPr>
      <w:r w:rsidRPr="6CE07B94">
        <w:rPr>
          <w:rFonts w:ascii="Calibri" w:hAnsi="Calibri"/>
          <w:b/>
          <w:bCs/>
          <w:sz w:val="22"/>
          <w:szCs w:val="22"/>
          <w:u w:val="single"/>
          <w:lang w:val="lt"/>
        </w:rPr>
        <w:t xml:space="preserve">60.3.1. </w:t>
      </w:r>
      <w:r w:rsidRPr="00A7469C">
        <w:rPr>
          <w:rFonts w:ascii="Calibri" w:hAnsi="Calibri" w:cs="Calibri"/>
          <w:b/>
          <w:sz w:val="22"/>
          <w:szCs w:val="22"/>
          <w:u w:val="single"/>
        </w:rPr>
        <w:t>Sprendimo</w:t>
      </w:r>
      <w:r w:rsidRPr="6CE07B94">
        <w:rPr>
          <w:rFonts w:ascii="Calibri" w:hAnsi="Calibri"/>
          <w:b/>
          <w:bCs/>
          <w:sz w:val="22"/>
          <w:szCs w:val="22"/>
          <w:u w:val="single"/>
          <w:lang w:val="lt"/>
        </w:rPr>
        <w:t xml:space="preserve"> prieštaravimas Žmogaus teisių ir pagrindinių laisvių apsaugos konvencijai ir jos papildomiems protokolams</w:t>
      </w:r>
    </w:p>
    <w:p w14:paraId="5B6D09C6" w14:textId="1ECF8C07" w:rsidR="2531BDB8" w:rsidRDefault="2531BDB8" w:rsidP="6CE07B94">
      <w:pPr>
        <w:ind w:firstLine="567"/>
        <w:jc w:val="both"/>
      </w:pPr>
      <w:r w:rsidRPr="6CE07B94">
        <w:rPr>
          <w:rFonts w:ascii="Calibri" w:eastAsia="Calibri" w:hAnsi="Calibri" w:cs="Calibri"/>
          <w:i/>
          <w:iCs/>
          <w:sz w:val="22"/>
          <w:szCs w:val="22"/>
          <w:lang w:val="lt"/>
        </w:rPr>
        <w:t xml:space="preserve"> </w:t>
      </w:r>
    </w:p>
    <w:p w14:paraId="3622B84F" w14:textId="76713A5D" w:rsidR="2531BDB8" w:rsidRDefault="2531BDB8" w:rsidP="6CE07B94">
      <w:pPr>
        <w:pStyle w:val="Antrat2"/>
      </w:pPr>
      <w:bookmarkStart w:id="99" w:name="_Toc61261263"/>
      <w:r w:rsidRPr="6CE07B94">
        <w:rPr>
          <w:bCs w:val="0"/>
          <w:color w:val="000000" w:themeColor="text1"/>
          <w:lang w:val="lt"/>
        </w:rPr>
        <w:t>Dėl proceso atnaujinimo Jungtinių Tautų Žmogaus teisių komitetui konstatavus Tarptautinio pilietinių ir politinių teisių pakto pažeidimą</w:t>
      </w:r>
      <w:bookmarkEnd w:id="99"/>
    </w:p>
    <w:p w14:paraId="23F4F23A" w14:textId="2441E679" w:rsidR="2531BDB8" w:rsidRDefault="2531BDB8" w:rsidP="6CE07B94">
      <w:pPr>
        <w:jc w:val="both"/>
      </w:pPr>
      <w:r w:rsidRPr="6CE07B94">
        <w:rPr>
          <w:rFonts w:ascii="Calibri" w:eastAsia="Calibri" w:hAnsi="Calibri" w:cs="Calibri"/>
          <w:sz w:val="22"/>
          <w:szCs w:val="22"/>
          <w:lang w:val="lt"/>
        </w:rPr>
        <w:t xml:space="preserve"> </w:t>
      </w:r>
    </w:p>
    <w:p w14:paraId="1543DD17" w14:textId="289231D8" w:rsidR="2531BDB8" w:rsidRDefault="2531BDB8" w:rsidP="6CE07B94">
      <w:pPr>
        <w:ind w:firstLine="567"/>
        <w:jc w:val="both"/>
      </w:pPr>
      <w:r w:rsidRPr="6CE07B94">
        <w:rPr>
          <w:rFonts w:ascii="Calibri" w:eastAsia="Calibri" w:hAnsi="Calibri" w:cs="Calibri"/>
          <w:sz w:val="22"/>
          <w:szCs w:val="22"/>
          <w:lang w:val="lt"/>
        </w:rPr>
        <w:t>Pareiškėjas prašė atnaujinti procesą LVAT 2010 m. spalio 4 d. sprendimu užbaigtoje administracinėje byloje ABTĮ 156 straipsnio 2 dalies 1 punkte įtvirtintu pagrindu. Pareiškėjas nurodė, kad Jungtinių Tautų Žmogaus teisių komiteto (toliau – Komitetas) išvadoje, pateiktoje pagal</w:t>
      </w:r>
      <w:r w:rsidRPr="6CE07B94">
        <w:rPr>
          <w:lang w:val="lt"/>
        </w:rPr>
        <w:t xml:space="preserve"> </w:t>
      </w:r>
      <w:r w:rsidRPr="6CE07B94">
        <w:rPr>
          <w:rFonts w:ascii="Calibri" w:eastAsia="Calibri" w:hAnsi="Calibri" w:cs="Calibri"/>
          <w:sz w:val="22"/>
          <w:szCs w:val="22"/>
          <w:lang w:val="lt"/>
        </w:rPr>
        <w:t>Tarptautinio pilietinių ir politinių teisių pakto (toliau – Paktas) fakultatyvų protokolą konstatuota, jog Lietuvos valstybė pažeidė Pakto 25 straipsnio c punktą – autoriaus teisę bendromis lygybės sąlygomis stoti į valstybės tarnybą, nes autorius atleistas iš pareigų pagal įstatymą, kuris neužtikrino apsaugos nuo savavališko jo taikymo, ir neužtikrinus autoriui realios galimybės ginčyti jo atleidimo pagrindo, kas negali būti laikoma pateisinama ir todėl protinga priemone siekiamo teisėto tikslo ir proporcingumo reikalavimo požiūriu.</w:t>
      </w:r>
    </w:p>
    <w:p w14:paraId="1A1928AB" w14:textId="0F7C4D50" w:rsidR="2531BDB8" w:rsidRDefault="2531BDB8" w:rsidP="6CE07B94">
      <w:pPr>
        <w:ind w:firstLine="567"/>
        <w:jc w:val="both"/>
      </w:pPr>
      <w:r w:rsidRPr="6CE07B94">
        <w:rPr>
          <w:rFonts w:ascii="Calibri" w:eastAsia="Calibri" w:hAnsi="Calibri" w:cs="Calibri"/>
          <w:sz w:val="22"/>
          <w:szCs w:val="22"/>
          <w:lang w:val="lt"/>
        </w:rPr>
        <w:t>Teisėjų kolegija konstatavo, kad nors pareiškėjo prašymo atnaujinti procesą padavimo metu ABTĮ 156 straipsnio 2 dalies 1 punkte nebuvo įtvirtinta proceso atnaujinimo galimybė Komitetui pripažinus, kad Lietuvos Respublikos teismo sprendimu pažeista Pakte nustatyta asmens teisė, LVAT pareiškėjo prašymą kreiptis į Konstitucinį Teismą tenkino ir kreipėsi su prašymu ištirti, ar ABTĮ 156 straipsnio 2 dalis tiek, kiek joje nenumatyta galimybė inicijuoti proceso atnaujinimą, kai Komitetas pripažįsta, kad valstybė, Pakto šalis, padarė Pakto pažeidimą, neprieštarauja Lietuvos Respublikos Konstitucijai. Vis dėlto, Seimas prašytą ištirti nuostatą pakeitė, papildydamas galimybe inicijuoti proceso atnaujinimą nurodytu atveju, dėl ko LVAT atšaukė Konstituciniam Teismui teiktą prašymą ir taikė prašymo nagrinėjimo metu galiojančias ABTĮ nuostatas.</w:t>
      </w:r>
    </w:p>
    <w:p w14:paraId="491A11D5" w14:textId="5FFFBA6C" w:rsidR="2531BDB8" w:rsidRDefault="2531BDB8" w:rsidP="6CE07B94">
      <w:pPr>
        <w:ind w:firstLine="567"/>
        <w:jc w:val="both"/>
      </w:pPr>
      <w:r w:rsidRPr="6CE07B94">
        <w:rPr>
          <w:rFonts w:ascii="Calibri" w:eastAsia="Calibri" w:hAnsi="Calibri" w:cs="Calibri"/>
          <w:sz w:val="22"/>
          <w:szCs w:val="22"/>
          <w:u w:val="single"/>
          <w:lang w:val="lt"/>
        </w:rPr>
        <w:t>Nors, kaip matyti iš ABTĮ 156 straipsnio 2 dalies 1 punkto, EŽTT sprendimas, kuriuo konstatuotas Konvencijos pažeidimas, taip pat Komiteto sprendimas, kuriuo konstatuotas Pakto pažeidimas, pats savaime nėra absoliutus (savarankiškas) bylos atnaujinimo ir priimto teismo sprendimo panaikinimo pagrindas, administracinės bylos atnaujinimo ABTĮ 156 straipsnio 2 dalies 1 punkto pagrindu paskirtis yra užtikrinti galimybę pašalinti Konvencijos ar Pakto pažeidimų padarinius, išlikusius atitinkamai po EŽTT ar Komiteto sprendimų priėmimo.</w:t>
      </w:r>
      <w:r w:rsidRPr="6CE07B94">
        <w:rPr>
          <w:rFonts w:ascii="Calibri" w:eastAsia="Calibri" w:hAnsi="Calibri" w:cs="Calibri"/>
          <w:sz w:val="22"/>
          <w:szCs w:val="22"/>
          <w:lang w:val="lt"/>
        </w:rPr>
        <w:t xml:space="preserve"> Administracinės bylos atnaujinimu siekiama, kad nebūtų paliktas galioti galimai neteisingas ir nepagrįstas teismo sprendimas, priimtas pažeidžiant atitinkamai Konvenciją ar Paktą. </w:t>
      </w:r>
      <w:r w:rsidRPr="6CE07B94">
        <w:rPr>
          <w:rFonts w:ascii="Calibri" w:eastAsia="Calibri" w:hAnsi="Calibri" w:cs="Calibri"/>
          <w:sz w:val="22"/>
          <w:szCs w:val="22"/>
          <w:u w:val="single"/>
          <w:lang w:val="lt"/>
        </w:rPr>
        <w:t>Teisėjų kolegija negali Komiteto išvadų kvestionuoti, nesutikti su jomis ar jomis nesiremti, tačiau turi nuspręsti, ar Komiteto nurodyti pažeidimai kelia pagrįstų abejonių dėl administracinėje byloje priimto sprendimo teisėtumo.</w:t>
      </w:r>
    </w:p>
    <w:p w14:paraId="5210E85D" w14:textId="5AB9106D" w:rsidR="2531BDB8" w:rsidRDefault="2531BDB8" w:rsidP="6CE07B94">
      <w:pPr>
        <w:ind w:firstLine="567"/>
        <w:jc w:val="both"/>
      </w:pPr>
      <w:r w:rsidRPr="55FEB3D6">
        <w:rPr>
          <w:rFonts w:ascii="Calibri" w:eastAsia="Calibri" w:hAnsi="Calibri" w:cs="Calibri"/>
          <w:sz w:val="22"/>
          <w:szCs w:val="22"/>
          <w:lang w:val="lt"/>
        </w:rPr>
        <w:t>Teisėjų kolegija, atsižvelgusi į tai, kad Išvadoje konstatuotas Pakto 25 straipsnio c punkto pažeidimas, o prašomoje atnaujinti administracinėje byloje nebuvo vertintos Komiteto išvadoje nurodytos aplinkybės, t. y. pareiškėjo teisė bendromis lygybės sąlygomis stoti į valstybės tarnybą</w:t>
      </w:r>
      <w:r w:rsidR="13DD21CC" w:rsidRPr="55FEB3D6">
        <w:rPr>
          <w:rFonts w:ascii="Calibri" w:eastAsia="Calibri" w:hAnsi="Calibri" w:cs="Calibri"/>
          <w:sz w:val="22"/>
          <w:szCs w:val="22"/>
          <w:lang w:val="lt"/>
        </w:rPr>
        <w:t>,</w:t>
      </w:r>
      <w:r w:rsidRPr="55FEB3D6">
        <w:rPr>
          <w:rFonts w:ascii="Calibri" w:eastAsia="Calibri" w:hAnsi="Calibri" w:cs="Calibri"/>
          <w:sz w:val="22"/>
          <w:szCs w:val="22"/>
          <w:lang w:val="lt"/>
        </w:rPr>
        <w:t xml:space="preserve"> ir šiuo aspektu nebuvo nustatyta, ar sprendimas atleisti pareiškėją iš tarnybos buvo proporcingas valstybės siekiamam teisėtam tikslui, padarė </w:t>
      </w:r>
      <w:r w:rsidRPr="55FEB3D6">
        <w:rPr>
          <w:rFonts w:ascii="Calibri" w:eastAsia="Calibri" w:hAnsi="Calibri" w:cs="Calibri"/>
          <w:sz w:val="22"/>
          <w:szCs w:val="22"/>
          <w:lang w:val="lt"/>
        </w:rPr>
        <w:lastRenderedPageBreak/>
        <w:t>išvadą, kad yra pagrindas atnaujinti procesą šioje administracinėje byloje ABTĮ 156 straipsnio 2 dalies 1 punkte numatytu pagrindu, bylą perduodant iš naujo nagrinėti LVAT.</w:t>
      </w:r>
    </w:p>
    <w:p w14:paraId="1D2854BC" w14:textId="2B0FB2F0" w:rsidR="2531BDB8" w:rsidRDefault="2531BDB8" w:rsidP="6CE07B94">
      <w:pPr>
        <w:ind w:firstLine="567"/>
        <w:jc w:val="both"/>
      </w:pPr>
      <w:r w:rsidRPr="6CE07B94">
        <w:rPr>
          <w:rFonts w:ascii="Calibri" w:eastAsia="Calibri" w:hAnsi="Calibri" w:cs="Calibri"/>
          <w:color w:val="000000" w:themeColor="text1"/>
          <w:sz w:val="22"/>
          <w:szCs w:val="22"/>
          <w:lang w:val="lt"/>
        </w:rPr>
        <w:t xml:space="preserve"> </w:t>
      </w:r>
    </w:p>
    <w:p w14:paraId="3F5814D0" w14:textId="0CF248C0" w:rsidR="2531BDB8" w:rsidRDefault="2531BDB8" w:rsidP="6CE07B94">
      <w:pPr>
        <w:jc w:val="both"/>
      </w:pPr>
      <w:r w:rsidRPr="6CE07B94">
        <w:rPr>
          <w:rFonts w:ascii="Calibri" w:eastAsia="Calibri" w:hAnsi="Calibri" w:cs="Calibri"/>
          <w:sz w:val="22"/>
          <w:szCs w:val="22"/>
          <w:lang w:val="lt"/>
        </w:rPr>
        <w:t>2020 m. lapkričio 11 d. nutartis administracinėje byloje Nr. P-10-575/2020</w:t>
      </w:r>
    </w:p>
    <w:p w14:paraId="29EC3E5F" w14:textId="167E2F0C" w:rsidR="2531BDB8" w:rsidRDefault="2531BDB8" w:rsidP="6CE07B94">
      <w:pPr>
        <w:jc w:val="both"/>
      </w:pPr>
      <w:r w:rsidRPr="6CE07B94">
        <w:rPr>
          <w:rFonts w:ascii="Calibri" w:eastAsia="Calibri" w:hAnsi="Calibri" w:cs="Calibri"/>
          <w:sz w:val="22"/>
          <w:szCs w:val="22"/>
          <w:lang w:val="lt"/>
        </w:rPr>
        <w:t>Procesinio sprendimo kategorija 60.3.1</w:t>
      </w:r>
    </w:p>
    <w:p w14:paraId="59D70245" w14:textId="7F09FAE5" w:rsidR="2531BDB8" w:rsidRDefault="00822FF8" w:rsidP="6CE07B94">
      <w:pPr>
        <w:jc w:val="both"/>
      </w:pPr>
      <w:hyperlink r:id="rId38">
        <w:r w:rsidR="2531BDB8" w:rsidRPr="6CE07B94">
          <w:rPr>
            <w:rStyle w:val="Hipersaitas"/>
            <w:rFonts w:ascii="Calibri" w:eastAsia="Calibri" w:hAnsi="Calibri" w:cs="Calibri"/>
            <w:sz w:val="22"/>
            <w:szCs w:val="22"/>
            <w:lang w:val="lt"/>
          </w:rPr>
          <w:t>Prieiga internete</w:t>
        </w:r>
      </w:hyperlink>
    </w:p>
    <w:p w14:paraId="04E3F7E6" w14:textId="16A293BC" w:rsidR="6CE07B94" w:rsidRDefault="6CE07B94" w:rsidP="6CE07B94">
      <w:pPr>
        <w:shd w:val="clear" w:color="auto" w:fill="FFFFFF" w:themeFill="background1"/>
        <w:tabs>
          <w:tab w:val="left" w:pos="3119"/>
        </w:tabs>
        <w:ind w:right="-1" w:firstLine="567"/>
        <w:jc w:val="both"/>
        <w:rPr>
          <w:rFonts w:ascii="Calibri" w:hAnsi="Calibri" w:cs="Calibri"/>
          <w:sz w:val="22"/>
          <w:szCs w:val="22"/>
        </w:rPr>
      </w:pPr>
    </w:p>
    <w:p w14:paraId="32BB9F01" w14:textId="3B135809" w:rsidR="000664DB" w:rsidRPr="005A0774" w:rsidRDefault="000664DB" w:rsidP="007A35C3">
      <w:pPr>
        <w:jc w:val="center"/>
        <w:rPr>
          <w:rFonts w:asciiTheme="minorHAnsi" w:hAnsiTheme="minorHAnsi" w:cstheme="minorHAnsi"/>
          <w:sz w:val="22"/>
          <w:szCs w:val="22"/>
        </w:rPr>
      </w:pPr>
      <w:r w:rsidRPr="005A0774">
        <w:rPr>
          <w:rFonts w:asciiTheme="minorHAnsi" w:hAnsiTheme="minorHAnsi" w:cstheme="minorHAnsi"/>
          <w:sz w:val="22"/>
          <w:szCs w:val="22"/>
        </w:rPr>
        <w:t>____________</w:t>
      </w:r>
    </w:p>
    <w:p w14:paraId="62CFBB68" w14:textId="77777777" w:rsidR="000664DB" w:rsidRPr="005A0774" w:rsidRDefault="000664DB" w:rsidP="007A35C3">
      <w:pPr>
        <w:ind w:left="851" w:firstLine="283"/>
        <w:jc w:val="both"/>
        <w:rPr>
          <w:rFonts w:asciiTheme="minorHAnsi" w:hAnsiTheme="minorHAnsi" w:cstheme="minorHAnsi"/>
          <w:b/>
          <w:sz w:val="22"/>
          <w:szCs w:val="22"/>
          <w:u w:val="single"/>
        </w:rPr>
      </w:pPr>
    </w:p>
    <w:sectPr w:rsidR="000664DB" w:rsidRPr="005A0774" w:rsidSect="007B10BF">
      <w:headerReference w:type="default" r:id="rId39"/>
      <w:footerReference w:type="even" r:id="rId40"/>
      <w:footerReference w:type="default" r:id="rId41"/>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4C87E7" w14:textId="77777777" w:rsidR="00822FF8" w:rsidRDefault="00822FF8" w:rsidP="003D4C15">
      <w:r>
        <w:separator/>
      </w:r>
    </w:p>
  </w:endnote>
  <w:endnote w:type="continuationSeparator" w:id="0">
    <w:p w14:paraId="28B0F6B9" w14:textId="77777777" w:rsidR="00822FF8" w:rsidRDefault="00822FF8"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00"/>
    <w:family w:val="auto"/>
    <w:pitch w:val="variable"/>
    <w:sig w:usb0="E1002AFF" w:usb1="C0000002" w:usb2="00000008" w:usb3="00000000" w:csb0="0001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auto"/>
    <w:pitch w:val="variable"/>
    <w:sig w:usb0="00000287" w:usb1="00000800" w:usb2="00000000" w:usb3="00000000" w:csb0="0000009F" w:csb1="00000000"/>
  </w:font>
  <w:font w:name="Palatino Linotype">
    <w:panose1 w:val="02040502050505030304"/>
    <w:charset w:val="00"/>
    <w:family w:val="auto"/>
    <w:pitch w:val="variable"/>
    <w:sig w:usb0="E0000287" w:usb1="40000013" w:usb2="00000000" w:usb3="00000000" w:csb0="0000019F" w:csb1="00000000"/>
  </w:font>
  <w:font w:name="MS Mincho">
    <w:altName w:val="ＭＳ 明朝"/>
    <w:panose1 w:val="02020609040205080304"/>
    <w:charset w:val="80"/>
    <w:family w:val="auto"/>
    <w:pitch w:val="variable"/>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730A6" w14:textId="77777777" w:rsidR="00B462E9" w:rsidRDefault="00B462E9">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820B33" w14:textId="77777777" w:rsidR="00B462E9" w:rsidRDefault="00B462E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272015" w14:textId="77777777" w:rsidR="00B462E9" w:rsidRPr="00386C1C" w:rsidRDefault="00B462E9">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6966DD">
      <w:rPr>
        <w:rStyle w:val="Puslapionumeris"/>
        <w:rFonts w:asciiTheme="minorHAnsi" w:hAnsiTheme="minorHAnsi"/>
        <w:noProof/>
        <w:sz w:val="20"/>
        <w:szCs w:val="20"/>
      </w:rPr>
      <w:t>31</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6966DD">
      <w:rPr>
        <w:rStyle w:val="Puslapionumeris"/>
        <w:rFonts w:asciiTheme="minorHAnsi" w:hAnsiTheme="minorHAnsi"/>
        <w:noProof/>
        <w:sz w:val="20"/>
        <w:szCs w:val="20"/>
      </w:rPr>
      <w:t>31</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E17B21" w14:textId="77777777" w:rsidR="00822FF8" w:rsidRDefault="00822FF8" w:rsidP="003D4C15">
      <w:r>
        <w:separator/>
      </w:r>
    </w:p>
  </w:footnote>
  <w:footnote w:type="continuationSeparator" w:id="0">
    <w:p w14:paraId="2ED635AF" w14:textId="77777777" w:rsidR="00822FF8" w:rsidRDefault="00822FF8" w:rsidP="003D4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B462E9" w:rsidRPr="000967FF" w14:paraId="1A3B950A" w14:textId="77777777" w:rsidTr="00125BDC">
      <w:tc>
        <w:tcPr>
          <w:tcW w:w="7230" w:type="dxa"/>
        </w:tcPr>
        <w:p w14:paraId="2A61BEB6" w14:textId="77777777" w:rsidR="00B462E9" w:rsidRPr="0021377E" w:rsidRDefault="00B462E9"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02DE0391" w14:textId="36E65146" w:rsidR="00B462E9" w:rsidRPr="0021377E" w:rsidRDefault="00B462E9" w:rsidP="002863FF">
          <w:pPr>
            <w:rPr>
              <w:rFonts w:ascii="Calibri" w:hAnsi="Calibri"/>
              <w:color w:val="323E4F" w:themeColor="text2" w:themeShade="BF"/>
              <w:sz w:val="20"/>
              <w:szCs w:val="20"/>
            </w:rPr>
          </w:pPr>
          <w:r>
            <w:rPr>
              <w:rFonts w:ascii="Calibri" w:hAnsi="Calibri"/>
              <w:color w:val="323E4F" w:themeColor="text2" w:themeShade="BF"/>
              <w:sz w:val="20"/>
              <w:szCs w:val="20"/>
            </w:rPr>
            <w:t xml:space="preserve">      2020 11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 xml:space="preserve">20 11 30 </w:t>
          </w:r>
        </w:p>
      </w:tc>
    </w:tr>
  </w:tbl>
  <w:p w14:paraId="7AD15F6C" w14:textId="77777777" w:rsidR="00B462E9" w:rsidRPr="008A0597" w:rsidRDefault="00B462E9">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9FB0BB5A"/>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42FE9DC4">
      <w:start w:val="1"/>
      <w:numFmt w:val="decimal"/>
      <w:suff w:val="space"/>
      <w:lvlText w:val="%1."/>
      <w:lvlJc w:val="left"/>
      <w:pPr>
        <w:ind w:left="1072" w:hanging="363"/>
      </w:pPr>
      <w:rPr>
        <w:rFonts w:ascii="Times New Roman" w:hAnsi="Times New Roman"/>
        <w:sz w:val="24"/>
      </w:rPr>
    </w:lvl>
    <w:lvl w:ilvl="1" w:tplc="0B503ACE">
      <w:start w:val="1"/>
      <w:numFmt w:val="lowerLetter"/>
      <w:lvlText w:val="%2."/>
      <w:lvlJc w:val="left"/>
      <w:pPr>
        <w:ind w:left="2149" w:hanging="360"/>
      </w:pPr>
    </w:lvl>
    <w:lvl w:ilvl="2" w:tplc="5F00EB06">
      <w:start w:val="1"/>
      <w:numFmt w:val="lowerRoman"/>
      <w:lvlText w:val="%3."/>
      <w:lvlJc w:val="right"/>
      <w:pPr>
        <w:ind w:left="2869" w:hanging="180"/>
      </w:pPr>
    </w:lvl>
    <w:lvl w:ilvl="3" w:tplc="F7BCA00C">
      <w:start w:val="1"/>
      <w:numFmt w:val="decimal"/>
      <w:lvlText w:val="%4."/>
      <w:lvlJc w:val="left"/>
      <w:pPr>
        <w:ind w:left="3589" w:hanging="360"/>
      </w:pPr>
    </w:lvl>
    <w:lvl w:ilvl="4" w:tplc="7E0E73C6">
      <w:start w:val="1"/>
      <w:numFmt w:val="lowerLetter"/>
      <w:lvlText w:val="%5."/>
      <w:lvlJc w:val="left"/>
      <w:pPr>
        <w:ind w:left="4309" w:hanging="360"/>
      </w:pPr>
    </w:lvl>
    <w:lvl w:ilvl="5" w:tplc="EF4CBBDE">
      <w:start w:val="1"/>
      <w:numFmt w:val="lowerRoman"/>
      <w:lvlText w:val="%6."/>
      <w:lvlJc w:val="right"/>
      <w:pPr>
        <w:ind w:left="5029" w:hanging="180"/>
      </w:pPr>
    </w:lvl>
    <w:lvl w:ilvl="6" w:tplc="B4F251FC">
      <w:start w:val="1"/>
      <w:numFmt w:val="decimal"/>
      <w:lvlText w:val="%7."/>
      <w:lvlJc w:val="left"/>
      <w:pPr>
        <w:ind w:left="5749" w:hanging="360"/>
      </w:pPr>
    </w:lvl>
    <w:lvl w:ilvl="7" w:tplc="A3F4323C">
      <w:start w:val="1"/>
      <w:numFmt w:val="lowerLetter"/>
      <w:lvlText w:val="%8."/>
      <w:lvlJc w:val="left"/>
      <w:pPr>
        <w:ind w:left="6469" w:hanging="360"/>
      </w:pPr>
    </w:lvl>
    <w:lvl w:ilvl="8" w:tplc="9B0476CE">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DF7AC86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9" w15:restartNumberingAfterBreak="0">
    <w:nsid w:val="19FC1CFB"/>
    <w:multiLevelType w:val="multilevel"/>
    <w:tmpl w:val="766A1FD6"/>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811F29"/>
    <w:multiLevelType w:val="multilevel"/>
    <w:tmpl w:val="D4B6CCD8"/>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2"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3"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4" w15:restartNumberingAfterBreak="0">
    <w:nsid w:val="2EB21AFB"/>
    <w:multiLevelType w:val="multilevel"/>
    <w:tmpl w:val="F208C27C"/>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FC4595A"/>
    <w:multiLevelType w:val="multilevel"/>
    <w:tmpl w:val="911EC5E6"/>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2026ACC"/>
    <w:multiLevelType w:val="multilevel"/>
    <w:tmpl w:val="0427001F"/>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2"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D73920"/>
    <w:multiLevelType w:val="multilevel"/>
    <w:tmpl w:val="A1640C9C"/>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24" w15:restartNumberingAfterBreak="0">
    <w:nsid w:val="75772430"/>
    <w:multiLevelType w:val="multilevel"/>
    <w:tmpl w:val="23B65508"/>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5"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26"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23"/>
  </w:num>
  <w:num w:numId="2">
    <w:abstractNumId w:val="14"/>
  </w:num>
  <w:num w:numId="3">
    <w:abstractNumId w:val="5"/>
  </w:num>
  <w:num w:numId="4">
    <w:abstractNumId w:val="2"/>
  </w:num>
  <w:num w:numId="5">
    <w:abstractNumId w:val="17"/>
  </w:num>
  <w:num w:numId="6">
    <w:abstractNumId w:val="3"/>
    <w:lvlOverride w:ilvl="0">
      <w:lvl w:ilvl="0" w:tplc="2384D57E">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0D2603E">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2C88DA6">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DCA0E32">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DF24E44A">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192CEBC">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8FB47D52">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1E5CF7D0">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556A048">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3"/>
  </w:num>
  <w:num w:numId="8">
    <w:abstractNumId w:val="1"/>
  </w:num>
  <w:num w:numId="9">
    <w:abstractNumId w:val="19"/>
  </w:num>
  <w:num w:numId="10">
    <w:abstractNumId w:val="18"/>
  </w:num>
  <w:num w:numId="11">
    <w:abstractNumId w:val="22"/>
  </w:num>
  <w:num w:numId="12">
    <w:abstractNumId w:val="11"/>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8"/>
  </w:num>
  <w:num w:numId="16">
    <w:abstractNumId w:val="16"/>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num>
  <w:num w:numId="19">
    <w:abstractNumId w:val="24"/>
  </w:num>
  <w:num w:numId="20">
    <w:abstractNumId w:val="7"/>
  </w:num>
  <w:num w:numId="21">
    <w:abstractNumId w:val="20"/>
  </w:num>
  <w:num w:numId="22">
    <w:abstractNumId w:val="15"/>
  </w:num>
  <w:num w:numId="23">
    <w:abstractNumId w:val="0"/>
  </w:num>
  <w:num w:numId="24">
    <w:abstractNumId w:val="25"/>
  </w:num>
  <w:num w:numId="25">
    <w:abstractNumId w:val="6"/>
  </w:num>
  <w:num w:numId="26">
    <w:abstractNumId w:val="21"/>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5391"/>
    <w:rsid w:val="00005618"/>
    <w:rsid w:val="00005A31"/>
    <w:rsid w:val="00005A32"/>
    <w:rsid w:val="00005A36"/>
    <w:rsid w:val="000064C2"/>
    <w:rsid w:val="000067FD"/>
    <w:rsid w:val="00006E86"/>
    <w:rsid w:val="000075AF"/>
    <w:rsid w:val="00007A79"/>
    <w:rsid w:val="00007AE0"/>
    <w:rsid w:val="00010516"/>
    <w:rsid w:val="0001086D"/>
    <w:rsid w:val="000112F0"/>
    <w:rsid w:val="000113E1"/>
    <w:rsid w:val="000130FA"/>
    <w:rsid w:val="0001338B"/>
    <w:rsid w:val="0001374D"/>
    <w:rsid w:val="00013D25"/>
    <w:rsid w:val="00014130"/>
    <w:rsid w:val="00014148"/>
    <w:rsid w:val="0001474E"/>
    <w:rsid w:val="00014C00"/>
    <w:rsid w:val="0001541F"/>
    <w:rsid w:val="00016022"/>
    <w:rsid w:val="00016129"/>
    <w:rsid w:val="00016443"/>
    <w:rsid w:val="00017230"/>
    <w:rsid w:val="0001760A"/>
    <w:rsid w:val="0001772A"/>
    <w:rsid w:val="00017C67"/>
    <w:rsid w:val="00017F45"/>
    <w:rsid w:val="00020A68"/>
    <w:rsid w:val="00020B66"/>
    <w:rsid w:val="00020BE8"/>
    <w:rsid w:val="00021869"/>
    <w:rsid w:val="00021C5E"/>
    <w:rsid w:val="000232BE"/>
    <w:rsid w:val="000238BA"/>
    <w:rsid w:val="00024FF5"/>
    <w:rsid w:val="00025504"/>
    <w:rsid w:val="000256A0"/>
    <w:rsid w:val="00025B99"/>
    <w:rsid w:val="00025BA1"/>
    <w:rsid w:val="000262CF"/>
    <w:rsid w:val="00026349"/>
    <w:rsid w:val="000272EC"/>
    <w:rsid w:val="00027B00"/>
    <w:rsid w:val="00027D76"/>
    <w:rsid w:val="00027DF8"/>
    <w:rsid w:val="000300BD"/>
    <w:rsid w:val="00030179"/>
    <w:rsid w:val="00030614"/>
    <w:rsid w:val="0003198A"/>
    <w:rsid w:val="00031F67"/>
    <w:rsid w:val="00032160"/>
    <w:rsid w:val="00032657"/>
    <w:rsid w:val="00033126"/>
    <w:rsid w:val="00033C55"/>
    <w:rsid w:val="00034291"/>
    <w:rsid w:val="00034C6D"/>
    <w:rsid w:val="00034F46"/>
    <w:rsid w:val="00035916"/>
    <w:rsid w:val="00035BB7"/>
    <w:rsid w:val="00035E28"/>
    <w:rsid w:val="000361AE"/>
    <w:rsid w:val="000362A4"/>
    <w:rsid w:val="00036B29"/>
    <w:rsid w:val="00037C27"/>
    <w:rsid w:val="00037D5F"/>
    <w:rsid w:val="00040EBD"/>
    <w:rsid w:val="0004105D"/>
    <w:rsid w:val="0004324F"/>
    <w:rsid w:val="000437A2"/>
    <w:rsid w:val="00043CD9"/>
    <w:rsid w:val="00043FA6"/>
    <w:rsid w:val="000446AC"/>
    <w:rsid w:val="00044F1B"/>
    <w:rsid w:val="00045020"/>
    <w:rsid w:val="00045822"/>
    <w:rsid w:val="000458C0"/>
    <w:rsid w:val="00045B8E"/>
    <w:rsid w:val="00045C20"/>
    <w:rsid w:val="00046189"/>
    <w:rsid w:val="00046B5B"/>
    <w:rsid w:val="00046E01"/>
    <w:rsid w:val="00047043"/>
    <w:rsid w:val="00047F10"/>
    <w:rsid w:val="00050321"/>
    <w:rsid w:val="00050657"/>
    <w:rsid w:val="00050891"/>
    <w:rsid w:val="00050B91"/>
    <w:rsid w:val="00050CE1"/>
    <w:rsid w:val="0005139C"/>
    <w:rsid w:val="00051F4C"/>
    <w:rsid w:val="00051FCA"/>
    <w:rsid w:val="00052995"/>
    <w:rsid w:val="00052FC4"/>
    <w:rsid w:val="000532AC"/>
    <w:rsid w:val="00053362"/>
    <w:rsid w:val="000536F6"/>
    <w:rsid w:val="000541A7"/>
    <w:rsid w:val="000545FE"/>
    <w:rsid w:val="000546B9"/>
    <w:rsid w:val="000546D1"/>
    <w:rsid w:val="0005480A"/>
    <w:rsid w:val="00055759"/>
    <w:rsid w:val="00055AFB"/>
    <w:rsid w:val="00055F3F"/>
    <w:rsid w:val="0005601D"/>
    <w:rsid w:val="0005610D"/>
    <w:rsid w:val="00057B3C"/>
    <w:rsid w:val="00057DF4"/>
    <w:rsid w:val="000608A3"/>
    <w:rsid w:val="000611FF"/>
    <w:rsid w:val="0006157E"/>
    <w:rsid w:val="0006163D"/>
    <w:rsid w:val="0006177A"/>
    <w:rsid w:val="00061B35"/>
    <w:rsid w:val="00061D97"/>
    <w:rsid w:val="000624EE"/>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FB8"/>
    <w:rsid w:val="0007050C"/>
    <w:rsid w:val="00070614"/>
    <w:rsid w:val="00070B4D"/>
    <w:rsid w:val="00070F1E"/>
    <w:rsid w:val="00071022"/>
    <w:rsid w:val="0007142F"/>
    <w:rsid w:val="000714F2"/>
    <w:rsid w:val="00071C23"/>
    <w:rsid w:val="00072C40"/>
    <w:rsid w:val="00073036"/>
    <w:rsid w:val="000738BB"/>
    <w:rsid w:val="00073A45"/>
    <w:rsid w:val="00073B21"/>
    <w:rsid w:val="00073B99"/>
    <w:rsid w:val="00073F44"/>
    <w:rsid w:val="000744E9"/>
    <w:rsid w:val="00074E76"/>
    <w:rsid w:val="00075230"/>
    <w:rsid w:val="00075247"/>
    <w:rsid w:val="000752AE"/>
    <w:rsid w:val="0007560C"/>
    <w:rsid w:val="00075877"/>
    <w:rsid w:val="000763FB"/>
    <w:rsid w:val="00076882"/>
    <w:rsid w:val="0007691E"/>
    <w:rsid w:val="00076920"/>
    <w:rsid w:val="00076972"/>
    <w:rsid w:val="00076BBD"/>
    <w:rsid w:val="00076D36"/>
    <w:rsid w:val="0007786B"/>
    <w:rsid w:val="000779F9"/>
    <w:rsid w:val="00080B12"/>
    <w:rsid w:val="00080C5A"/>
    <w:rsid w:val="00081450"/>
    <w:rsid w:val="00081734"/>
    <w:rsid w:val="00082131"/>
    <w:rsid w:val="00082913"/>
    <w:rsid w:val="00082A2D"/>
    <w:rsid w:val="0008302F"/>
    <w:rsid w:val="000838C6"/>
    <w:rsid w:val="00083E78"/>
    <w:rsid w:val="000840B3"/>
    <w:rsid w:val="00084172"/>
    <w:rsid w:val="00084279"/>
    <w:rsid w:val="00084D99"/>
    <w:rsid w:val="000853D2"/>
    <w:rsid w:val="0008597D"/>
    <w:rsid w:val="00085E0F"/>
    <w:rsid w:val="00085FBE"/>
    <w:rsid w:val="00086F37"/>
    <w:rsid w:val="00087DA3"/>
    <w:rsid w:val="00087F0A"/>
    <w:rsid w:val="0009023A"/>
    <w:rsid w:val="000903B8"/>
    <w:rsid w:val="000904B8"/>
    <w:rsid w:val="00091B33"/>
    <w:rsid w:val="00091EE2"/>
    <w:rsid w:val="00092011"/>
    <w:rsid w:val="00092976"/>
    <w:rsid w:val="00092E83"/>
    <w:rsid w:val="00094290"/>
    <w:rsid w:val="00094683"/>
    <w:rsid w:val="00094E8E"/>
    <w:rsid w:val="0009591E"/>
    <w:rsid w:val="00095E50"/>
    <w:rsid w:val="00095FE8"/>
    <w:rsid w:val="000962ED"/>
    <w:rsid w:val="00096A7B"/>
    <w:rsid w:val="000977FE"/>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A94"/>
    <w:rsid w:val="000A7F80"/>
    <w:rsid w:val="000B035F"/>
    <w:rsid w:val="000B07AF"/>
    <w:rsid w:val="000B0DB3"/>
    <w:rsid w:val="000B0F24"/>
    <w:rsid w:val="000B0F96"/>
    <w:rsid w:val="000B15D3"/>
    <w:rsid w:val="000B189F"/>
    <w:rsid w:val="000B1AF3"/>
    <w:rsid w:val="000B1B87"/>
    <w:rsid w:val="000B200F"/>
    <w:rsid w:val="000B29D3"/>
    <w:rsid w:val="000B2D36"/>
    <w:rsid w:val="000B2EF7"/>
    <w:rsid w:val="000B466D"/>
    <w:rsid w:val="000B4BA2"/>
    <w:rsid w:val="000B4F48"/>
    <w:rsid w:val="000B53F8"/>
    <w:rsid w:val="000B5CA5"/>
    <w:rsid w:val="000B5F7A"/>
    <w:rsid w:val="000B6099"/>
    <w:rsid w:val="000B630C"/>
    <w:rsid w:val="000B6917"/>
    <w:rsid w:val="000B6970"/>
    <w:rsid w:val="000B7172"/>
    <w:rsid w:val="000B7B87"/>
    <w:rsid w:val="000B7E29"/>
    <w:rsid w:val="000C05E3"/>
    <w:rsid w:val="000C0EFB"/>
    <w:rsid w:val="000C0FC4"/>
    <w:rsid w:val="000C3304"/>
    <w:rsid w:val="000C3364"/>
    <w:rsid w:val="000C338C"/>
    <w:rsid w:val="000C45A4"/>
    <w:rsid w:val="000C45FB"/>
    <w:rsid w:val="000C46F2"/>
    <w:rsid w:val="000C5021"/>
    <w:rsid w:val="000C523F"/>
    <w:rsid w:val="000C5D18"/>
    <w:rsid w:val="000C6090"/>
    <w:rsid w:val="000C6222"/>
    <w:rsid w:val="000C66E5"/>
    <w:rsid w:val="000C6BFD"/>
    <w:rsid w:val="000C7962"/>
    <w:rsid w:val="000C7D39"/>
    <w:rsid w:val="000C7EA9"/>
    <w:rsid w:val="000D0F76"/>
    <w:rsid w:val="000D1BD3"/>
    <w:rsid w:val="000D24DC"/>
    <w:rsid w:val="000D26FC"/>
    <w:rsid w:val="000D282A"/>
    <w:rsid w:val="000D2AD8"/>
    <w:rsid w:val="000D42DA"/>
    <w:rsid w:val="000D607E"/>
    <w:rsid w:val="000D613F"/>
    <w:rsid w:val="000D6259"/>
    <w:rsid w:val="000D641E"/>
    <w:rsid w:val="000D6B6F"/>
    <w:rsid w:val="000D6D2E"/>
    <w:rsid w:val="000D7545"/>
    <w:rsid w:val="000D75DC"/>
    <w:rsid w:val="000D7B2B"/>
    <w:rsid w:val="000D7E2A"/>
    <w:rsid w:val="000E00E4"/>
    <w:rsid w:val="000E05F1"/>
    <w:rsid w:val="000E06F6"/>
    <w:rsid w:val="000E0A69"/>
    <w:rsid w:val="000E0E17"/>
    <w:rsid w:val="000E1021"/>
    <w:rsid w:val="000E124F"/>
    <w:rsid w:val="000E171C"/>
    <w:rsid w:val="000E1BD9"/>
    <w:rsid w:val="000E1F23"/>
    <w:rsid w:val="000E1FB4"/>
    <w:rsid w:val="000E25B0"/>
    <w:rsid w:val="000E2D3D"/>
    <w:rsid w:val="000E3617"/>
    <w:rsid w:val="000E3BCE"/>
    <w:rsid w:val="000E3F0A"/>
    <w:rsid w:val="000E4080"/>
    <w:rsid w:val="000E43AC"/>
    <w:rsid w:val="000E4B13"/>
    <w:rsid w:val="000E4D96"/>
    <w:rsid w:val="000E52D8"/>
    <w:rsid w:val="000E5B1F"/>
    <w:rsid w:val="000E733A"/>
    <w:rsid w:val="000E7A91"/>
    <w:rsid w:val="000E7ECE"/>
    <w:rsid w:val="000F0900"/>
    <w:rsid w:val="000F0AC2"/>
    <w:rsid w:val="000F0C34"/>
    <w:rsid w:val="000F0DB2"/>
    <w:rsid w:val="000F10B9"/>
    <w:rsid w:val="000F12B8"/>
    <w:rsid w:val="000F1736"/>
    <w:rsid w:val="000F1C77"/>
    <w:rsid w:val="000F222F"/>
    <w:rsid w:val="000F2745"/>
    <w:rsid w:val="000F27F0"/>
    <w:rsid w:val="000F2CE7"/>
    <w:rsid w:val="000F32EB"/>
    <w:rsid w:val="000F3F88"/>
    <w:rsid w:val="000F4990"/>
    <w:rsid w:val="000F51E8"/>
    <w:rsid w:val="000F5D10"/>
    <w:rsid w:val="000F6854"/>
    <w:rsid w:val="000F6C25"/>
    <w:rsid w:val="000F6C98"/>
    <w:rsid w:val="000F6E87"/>
    <w:rsid w:val="000F7F53"/>
    <w:rsid w:val="001002EB"/>
    <w:rsid w:val="00100755"/>
    <w:rsid w:val="001014A9"/>
    <w:rsid w:val="001018C5"/>
    <w:rsid w:val="00101B47"/>
    <w:rsid w:val="00101C1A"/>
    <w:rsid w:val="00101C75"/>
    <w:rsid w:val="001025CD"/>
    <w:rsid w:val="0010266D"/>
    <w:rsid w:val="001028C7"/>
    <w:rsid w:val="001029F4"/>
    <w:rsid w:val="00102FB6"/>
    <w:rsid w:val="001035B6"/>
    <w:rsid w:val="001044C5"/>
    <w:rsid w:val="001060AB"/>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A19"/>
    <w:rsid w:val="00114CBE"/>
    <w:rsid w:val="00115A7B"/>
    <w:rsid w:val="0011613B"/>
    <w:rsid w:val="0011627C"/>
    <w:rsid w:val="00117BD5"/>
    <w:rsid w:val="00117D56"/>
    <w:rsid w:val="001200FC"/>
    <w:rsid w:val="001206C8"/>
    <w:rsid w:val="001206FB"/>
    <w:rsid w:val="00121181"/>
    <w:rsid w:val="0012141D"/>
    <w:rsid w:val="0012143E"/>
    <w:rsid w:val="001224BE"/>
    <w:rsid w:val="00122887"/>
    <w:rsid w:val="0012368B"/>
    <w:rsid w:val="001242A9"/>
    <w:rsid w:val="0012444E"/>
    <w:rsid w:val="0012446E"/>
    <w:rsid w:val="00125287"/>
    <w:rsid w:val="00125A02"/>
    <w:rsid w:val="00125BDC"/>
    <w:rsid w:val="00125FC8"/>
    <w:rsid w:val="00126AFD"/>
    <w:rsid w:val="00126DDF"/>
    <w:rsid w:val="001276F1"/>
    <w:rsid w:val="00127767"/>
    <w:rsid w:val="00127D7A"/>
    <w:rsid w:val="001302A3"/>
    <w:rsid w:val="001304C9"/>
    <w:rsid w:val="001305A8"/>
    <w:rsid w:val="00131194"/>
    <w:rsid w:val="00131290"/>
    <w:rsid w:val="001315C0"/>
    <w:rsid w:val="00132328"/>
    <w:rsid w:val="001324EF"/>
    <w:rsid w:val="00132B36"/>
    <w:rsid w:val="00132ED5"/>
    <w:rsid w:val="00134825"/>
    <w:rsid w:val="00134881"/>
    <w:rsid w:val="00134F11"/>
    <w:rsid w:val="0013541C"/>
    <w:rsid w:val="001364B3"/>
    <w:rsid w:val="00137D41"/>
    <w:rsid w:val="00137E2B"/>
    <w:rsid w:val="00137FBD"/>
    <w:rsid w:val="00140059"/>
    <w:rsid w:val="0014071C"/>
    <w:rsid w:val="00140D6D"/>
    <w:rsid w:val="00141524"/>
    <w:rsid w:val="00141536"/>
    <w:rsid w:val="00141DE3"/>
    <w:rsid w:val="00141E16"/>
    <w:rsid w:val="00141ED3"/>
    <w:rsid w:val="00142479"/>
    <w:rsid w:val="00142B27"/>
    <w:rsid w:val="00143256"/>
    <w:rsid w:val="0014360F"/>
    <w:rsid w:val="00144240"/>
    <w:rsid w:val="001448A8"/>
    <w:rsid w:val="00144C08"/>
    <w:rsid w:val="00144CAC"/>
    <w:rsid w:val="00144EAC"/>
    <w:rsid w:val="001450EC"/>
    <w:rsid w:val="001454BB"/>
    <w:rsid w:val="00145540"/>
    <w:rsid w:val="00145AF2"/>
    <w:rsid w:val="00145BCF"/>
    <w:rsid w:val="00145DB6"/>
    <w:rsid w:val="00147A06"/>
    <w:rsid w:val="00147DF2"/>
    <w:rsid w:val="001502B3"/>
    <w:rsid w:val="00150B38"/>
    <w:rsid w:val="00151D5D"/>
    <w:rsid w:val="001521A0"/>
    <w:rsid w:val="00152840"/>
    <w:rsid w:val="00152D73"/>
    <w:rsid w:val="00152FD9"/>
    <w:rsid w:val="00153593"/>
    <w:rsid w:val="0015377A"/>
    <w:rsid w:val="00154014"/>
    <w:rsid w:val="001544D2"/>
    <w:rsid w:val="001547FD"/>
    <w:rsid w:val="00154CBC"/>
    <w:rsid w:val="001556AC"/>
    <w:rsid w:val="00155EAA"/>
    <w:rsid w:val="001566B7"/>
    <w:rsid w:val="00156AFE"/>
    <w:rsid w:val="00157368"/>
    <w:rsid w:val="00157A14"/>
    <w:rsid w:val="00157E05"/>
    <w:rsid w:val="00160700"/>
    <w:rsid w:val="00161759"/>
    <w:rsid w:val="00161F73"/>
    <w:rsid w:val="00162692"/>
    <w:rsid w:val="00162DD2"/>
    <w:rsid w:val="00162DE5"/>
    <w:rsid w:val="00163F5B"/>
    <w:rsid w:val="00165571"/>
    <w:rsid w:val="0016628D"/>
    <w:rsid w:val="00166EB9"/>
    <w:rsid w:val="00167007"/>
    <w:rsid w:val="001671AE"/>
    <w:rsid w:val="0016762E"/>
    <w:rsid w:val="0017058A"/>
    <w:rsid w:val="001707A2"/>
    <w:rsid w:val="00170ABD"/>
    <w:rsid w:val="00170CDB"/>
    <w:rsid w:val="00170D65"/>
    <w:rsid w:val="00171009"/>
    <w:rsid w:val="00171042"/>
    <w:rsid w:val="001719D0"/>
    <w:rsid w:val="00172A8F"/>
    <w:rsid w:val="00172D2B"/>
    <w:rsid w:val="001734EC"/>
    <w:rsid w:val="00173611"/>
    <w:rsid w:val="001738F3"/>
    <w:rsid w:val="0017480C"/>
    <w:rsid w:val="001752B0"/>
    <w:rsid w:val="001756EA"/>
    <w:rsid w:val="00175BDA"/>
    <w:rsid w:val="00177740"/>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1ADC"/>
    <w:rsid w:val="001921AE"/>
    <w:rsid w:val="00192542"/>
    <w:rsid w:val="001927BE"/>
    <w:rsid w:val="00193329"/>
    <w:rsid w:val="00193907"/>
    <w:rsid w:val="001942E9"/>
    <w:rsid w:val="001947F5"/>
    <w:rsid w:val="00195E5C"/>
    <w:rsid w:val="001964BA"/>
    <w:rsid w:val="00196BE4"/>
    <w:rsid w:val="001979F8"/>
    <w:rsid w:val="001A0189"/>
    <w:rsid w:val="001A01BD"/>
    <w:rsid w:val="001A036A"/>
    <w:rsid w:val="001A0565"/>
    <w:rsid w:val="001A0A78"/>
    <w:rsid w:val="001A0B5D"/>
    <w:rsid w:val="001A0CA7"/>
    <w:rsid w:val="001A1122"/>
    <w:rsid w:val="001A12C4"/>
    <w:rsid w:val="001A13F9"/>
    <w:rsid w:val="001A14C1"/>
    <w:rsid w:val="001A1FA5"/>
    <w:rsid w:val="001A2401"/>
    <w:rsid w:val="001A2AFB"/>
    <w:rsid w:val="001A4A43"/>
    <w:rsid w:val="001A4AFC"/>
    <w:rsid w:val="001A5310"/>
    <w:rsid w:val="001A59DF"/>
    <w:rsid w:val="001A6208"/>
    <w:rsid w:val="001A6277"/>
    <w:rsid w:val="001A68BC"/>
    <w:rsid w:val="001A6C29"/>
    <w:rsid w:val="001A7289"/>
    <w:rsid w:val="001A72D2"/>
    <w:rsid w:val="001B04D7"/>
    <w:rsid w:val="001B1824"/>
    <w:rsid w:val="001B1CF4"/>
    <w:rsid w:val="001B22F3"/>
    <w:rsid w:val="001B23D1"/>
    <w:rsid w:val="001B27E9"/>
    <w:rsid w:val="001B2CA1"/>
    <w:rsid w:val="001B2F3C"/>
    <w:rsid w:val="001B3153"/>
    <w:rsid w:val="001B35A1"/>
    <w:rsid w:val="001B3AE0"/>
    <w:rsid w:val="001B3DC8"/>
    <w:rsid w:val="001B4548"/>
    <w:rsid w:val="001B5075"/>
    <w:rsid w:val="001B5307"/>
    <w:rsid w:val="001B53C1"/>
    <w:rsid w:val="001B5FBA"/>
    <w:rsid w:val="001B6E68"/>
    <w:rsid w:val="001B7187"/>
    <w:rsid w:val="001B7319"/>
    <w:rsid w:val="001B7697"/>
    <w:rsid w:val="001C0AF1"/>
    <w:rsid w:val="001C120B"/>
    <w:rsid w:val="001C1E42"/>
    <w:rsid w:val="001C28DD"/>
    <w:rsid w:val="001C296B"/>
    <w:rsid w:val="001C2CF1"/>
    <w:rsid w:val="001C36A5"/>
    <w:rsid w:val="001C3944"/>
    <w:rsid w:val="001C3F98"/>
    <w:rsid w:val="001C40C6"/>
    <w:rsid w:val="001C41A3"/>
    <w:rsid w:val="001C482B"/>
    <w:rsid w:val="001C5364"/>
    <w:rsid w:val="001C55DF"/>
    <w:rsid w:val="001C597B"/>
    <w:rsid w:val="001C5A1C"/>
    <w:rsid w:val="001C5B3C"/>
    <w:rsid w:val="001C5B7F"/>
    <w:rsid w:val="001C656F"/>
    <w:rsid w:val="001C65C6"/>
    <w:rsid w:val="001C6C69"/>
    <w:rsid w:val="001C6DCE"/>
    <w:rsid w:val="001C7EF0"/>
    <w:rsid w:val="001D0441"/>
    <w:rsid w:val="001D1087"/>
    <w:rsid w:val="001D12CB"/>
    <w:rsid w:val="001D134A"/>
    <w:rsid w:val="001D1734"/>
    <w:rsid w:val="001D19F6"/>
    <w:rsid w:val="001D1B05"/>
    <w:rsid w:val="001D1D4D"/>
    <w:rsid w:val="001D2019"/>
    <w:rsid w:val="001D2365"/>
    <w:rsid w:val="001D286F"/>
    <w:rsid w:val="001D2D45"/>
    <w:rsid w:val="001D30B4"/>
    <w:rsid w:val="001D32CA"/>
    <w:rsid w:val="001D3FB2"/>
    <w:rsid w:val="001D4040"/>
    <w:rsid w:val="001D540C"/>
    <w:rsid w:val="001D6103"/>
    <w:rsid w:val="001D636C"/>
    <w:rsid w:val="001D6386"/>
    <w:rsid w:val="001D64D2"/>
    <w:rsid w:val="001D7408"/>
    <w:rsid w:val="001D7992"/>
    <w:rsid w:val="001E01FF"/>
    <w:rsid w:val="001E0CA3"/>
    <w:rsid w:val="001E11D8"/>
    <w:rsid w:val="001E13E4"/>
    <w:rsid w:val="001E15E7"/>
    <w:rsid w:val="001E27E5"/>
    <w:rsid w:val="001E2A1F"/>
    <w:rsid w:val="001E310A"/>
    <w:rsid w:val="001E3F5A"/>
    <w:rsid w:val="001E4460"/>
    <w:rsid w:val="001E44D3"/>
    <w:rsid w:val="001E45B4"/>
    <w:rsid w:val="001E4D6E"/>
    <w:rsid w:val="001E549C"/>
    <w:rsid w:val="001E57E3"/>
    <w:rsid w:val="001E6108"/>
    <w:rsid w:val="001E64EE"/>
    <w:rsid w:val="001E6848"/>
    <w:rsid w:val="001E69FA"/>
    <w:rsid w:val="001E6B93"/>
    <w:rsid w:val="001F0A80"/>
    <w:rsid w:val="001F122F"/>
    <w:rsid w:val="001F12D6"/>
    <w:rsid w:val="001F14F6"/>
    <w:rsid w:val="001F1FA1"/>
    <w:rsid w:val="001F207C"/>
    <w:rsid w:val="001F2A6C"/>
    <w:rsid w:val="001F2C3C"/>
    <w:rsid w:val="001F2E5F"/>
    <w:rsid w:val="001F3487"/>
    <w:rsid w:val="001F35CD"/>
    <w:rsid w:val="001F376B"/>
    <w:rsid w:val="001F3775"/>
    <w:rsid w:val="001F382F"/>
    <w:rsid w:val="001F4C1C"/>
    <w:rsid w:val="001F4C87"/>
    <w:rsid w:val="001F5959"/>
    <w:rsid w:val="001F5990"/>
    <w:rsid w:val="001F5B62"/>
    <w:rsid w:val="001F6068"/>
    <w:rsid w:val="001F6EA2"/>
    <w:rsid w:val="001F7D80"/>
    <w:rsid w:val="0020035C"/>
    <w:rsid w:val="002003FC"/>
    <w:rsid w:val="0020061B"/>
    <w:rsid w:val="002009FF"/>
    <w:rsid w:val="00201ADE"/>
    <w:rsid w:val="002025A7"/>
    <w:rsid w:val="00203176"/>
    <w:rsid w:val="00203A1F"/>
    <w:rsid w:val="00203B59"/>
    <w:rsid w:val="0020434C"/>
    <w:rsid w:val="00205621"/>
    <w:rsid w:val="00207EE9"/>
    <w:rsid w:val="00210172"/>
    <w:rsid w:val="002114C4"/>
    <w:rsid w:val="00211A1D"/>
    <w:rsid w:val="00212775"/>
    <w:rsid w:val="00212E45"/>
    <w:rsid w:val="002134F3"/>
    <w:rsid w:val="002139E6"/>
    <w:rsid w:val="00213D20"/>
    <w:rsid w:val="00214621"/>
    <w:rsid w:val="0021479A"/>
    <w:rsid w:val="00214B03"/>
    <w:rsid w:val="00215358"/>
    <w:rsid w:val="00217251"/>
    <w:rsid w:val="00217AFE"/>
    <w:rsid w:val="00220323"/>
    <w:rsid w:val="002205E6"/>
    <w:rsid w:val="00220926"/>
    <w:rsid w:val="0022124C"/>
    <w:rsid w:val="002212C4"/>
    <w:rsid w:val="0022178B"/>
    <w:rsid w:val="002217CE"/>
    <w:rsid w:val="0022247A"/>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27C5E"/>
    <w:rsid w:val="00230824"/>
    <w:rsid w:val="00231026"/>
    <w:rsid w:val="00231487"/>
    <w:rsid w:val="00231E57"/>
    <w:rsid w:val="0023257B"/>
    <w:rsid w:val="00232754"/>
    <w:rsid w:val="002328D5"/>
    <w:rsid w:val="002328FF"/>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75C1"/>
    <w:rsid w:val="00237873"/>
    <w:rsid w:val="002378C2"/>
    <w:rsid w:val="00237FCA"/>
    <w:rsid w:val="00240307"/>
    <w:rsid w:val="00240690"/>
    <w:rsid w:val="0024110E"/>
    <w:rsid w:val="0024119E"/>
    <w:rsid w:val="002417A7"/>
    <w:rsid w:val="002425B8"/>
    <w:rsid w:val="002427B8"/>
    <w:rsid w:val="00242839"/>
    <w:rsid w:val="00242DA7"/>
    <w:rsid w:val="002433B6"/>
    <w:rsid w:val="00243C8E"/>
    <w:rsid w:val="00243EBD"/>
    <w:rsid w:val="00244840"/>
    <w:rsid w:val="002450A6"/>
    <w:rsid w:val="00245F2C"/>
    <w:rsid w:val="0024642C"/>
    <w:rsid w:val="00246AAC"/>
    <w:rsid w:val="002501D2"/>
    <w:rsid w:val="002507A6"/>
    <w:rsid w:val="0025160A"/>
    <w:rsid w:val="00251841"/>
    <w:rsid w:val="00251873"/>
    <w:rsid w:val="00251889"/>
    <w:rsid w:val="002522BC"/>
    <w:rsid w:val="00252880"/>
    <w:rsid w:val="00252FE9"/>
    <w:rsid w:val="00253D0F"/>
    <w:rsid w:val="00254EF7"/>
    <w:rsid w:val="00255A8F"/>
    <w:rsid w:val="00255CED"/>
    <w:rsid w:val="002563FE"/>
    <w:rsid w:val="00256465"/>
    <w:rsid w:val="00256E93"/>
    <w:rsid w:val="00256EFF"/>
    <w:rsid w:val="00256F1C"/>
    <w:rsid w:val="002571EB"/>
    <w:rsid w:val="00257271"/>
    <w:rsid w:val="002574C5"/>
    <w:rsid w:val="00260C34"/>
    <w:rsid w:val="002617EB"/>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71A"/>
    <w:rsid w:val="00270E53"/>
    <w:rsid w:val="00270F50"/>
    <w:rsid w:val="002712B9"/>
    <w:rsid w:val="002714CD"/>
    <w:rsid w:val="002719FB"/>
    <w:rsid w:val="00271EA9"/>
    <w:rsid w:val="002725C1"/>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E58"/>
    <w:rsid w:val="00277F81"/>
    <w:rsid w:val="00280046"/>
    <w:rsid w:val="00280957"/>
    <w:rsid w:val="0028111D"/>
    <w:rsid w:val="0028146D"/>
    <w:rsid w:val="0028287C"/>
    <w:rsid w:val="00282A32"/>
    <w:rsid w:val="00283359"/>
    <w:rsid w:val="00283A96"/>
    <w:rsid w:val="00283B4B"/>
    <w:rsid w:val="00283C1E"/>
    <w:rsid w:val="00283F23"/>
    <w:rsid w:val="00284255"/>
    <w:rsid w:val="002844FB"/>
    <w:rsid w:val="00284B9B"/>
    <w:rsid w:val="00284C3B"/>
    <w:rsid w:val="00284E43"/>
    <w:rsid w:val="0028506A"/>
    <w:rsid w:val="00285459"/>
    <w:rsid w:val="0028546B"/>
    <w:rsid w:val="002855BC"/>
    <w:rsid w:val="00286051"/>
    <w:rsid w:val="00286052"/>
    <w:rsid w:val="00286145"/>
    <w:rsid w:val="002863FF"/>
    <w:rsid w:val="00287563"/>
    <w:rsid w:val="002878C3"/>
    <w:rsid w:val="00290408"/>
    <w:rsid w:val="00291483"/>
    <w:rsid w:val="00291B20"/>
    <w:rsid w:val="00291F5F"/>
    <w:rsid w:val="00292002"/>
    <w:rsid w:val="00292619"/>
    <w:rsid w:val="002926CC"/>
    <w:rsid w:val="00293CF6"/>
    <w:rsid w:val="002941F8"/>
    <w:rsid w:val="00294EF5"/>
    <w:rsid w:val="002950FA"/>
    <w:rsid w:val="0029551E"/>
    <w:rsid w:val="00295711"/>
    <w:rsid w:val="002961C0"/>
    <w:rsid w:val="00296428"/>
    <w:rsid w:val="00296792"/>
    <w:rsid w:val="00297968"/>
    <w:rsid w:val="002A042D"/>
    <w:rsid w:val="002A1172"/>
    <w:rsid w:val="002A17F8"/>
    <w:rsid w:val="002A18B0"/>
    <w:rsid w:val="002A3987"/>
    <w:rsid w:val="002A5132"/>
    <w:rsid w:val="002A5297"/>
    <w:rsid w:val="002A5726"/>
    <w:rsid w:val="002A575A"/>
    <w:rsid w:val="002A62C6"/>
    <w:rsid w:val="002A7AD6"/>
    <w:rsid w:val="002A7B7C"/>
    <w:rsid w:val="002A7F25"/>
    <w:rsid w:val="002A7FDC"/>
    <w:rsid w:val="002B01D5"/>
    <w:rsid w:val="002B0665"/>
    <w:rsid w:val="002B07E2"/>
    <w:rsid w:val="002B0E53"/>
    <w:rsid w:val="002B11A7"/>
    <w:rsid w:val="002B1C54"/>
    <w:rsid w:val="002B2083"/>
    <w:rsid w:val="002B3FA3"/>
    <w:rsid w:val="002B4371"/>
    <w:rsid w:val="002B498D"/>
    <w:rsid w:val="002B49B9"/>
    <w:rsid w:val="002B4AE4"/>
    <w:rsid w:val="002B4BAE"/>
    <w:rsid w:val="002B4E18"/>
    <w:rsid w:val="002B52C9"/>
    <w:rsid w:val="002B52FE"/>
    <w:rsid w:val="002B57B3"/>
    <w:rsid w:val="002B57EB"/>
    <w:rsid w:val="002B5B05"/>
    <w:rsid w:val="002B62EC"/>
    <w:rsid w:val="002B6379"/>
    <w:rsid w:val="002B672A"/>
    <w:rsid w:val="002B67E6"/>
    <w:rsid w:val="002B6AEA"/>
    <w:rsid w:val="002B6D23"/>
    <w:rsid w:val="002B6DAA"/>
    <w:rsid w:val="002B75FF"/>
    <w:rsid w:val="002B76AD"/>
    <w:rsid w:val="002B777F"/>
    <w:rsid w:val="002C01C9"/>
    <w:rsid w:val="002C10EB"/>
    <w:rsid w:val="002C1E20"/>
    <w:rsid w:val="002C2502"/>
    <w:rsid w:val="002C2CAA"/>
    <w:rsid w:val="002C2D1C"/>
    <w:rsid w:val="002C37D9"/>
    <w:rsid w:val="002C37E7"/>
    <w:rsid w:val="002C413A"/>
    <w:rsid w:val="002C44ED"/>
    <w:rsid w:val="002C556C"/>
    <w:rsid w:val="002C55C3"/>
    <w:rsid w:val="002C55D3"/>
    <w:rsid w:val="002C5898"/>
    <w:rsid w:val="002C6581"/>
    <w:rsid w:val="002C6696"/>
    <w:rsid w:val="002C6F4A"/>
    <w:rsid w:val="002C724F"/>
    <w:rsid w:val="002C78B1"/>
    <w:rsid w:val="002D027C"/>
    <w:rsid w:val="002D03ED"/>
    <w:rsid w:val="002D06D3"/>
    <w:rsid w:val="002D1129"/>
    <w:rsid w:val="002D14DB"/>
    <w:rsid w:val="002D1804"/>
    <w:rsid w:val="002D2319"/>
    <w:rsid w:val="002D2404"/>
    <w:rsid w:val="002D25E7"/>
    <w:rsid w:val="002D298C"/>
    <w:rsid w:val="002D31DA"/>
    <w:rsid w:val="002D3B15"/>
    <w:rsid w:val="002D3B9A"/>
    <w:rsid w:val="002D3D65"/>
    <w:rsid w:val="002D47DE"/>
    <w:rsid w:val="002D47EA"/>
    <w:rsid w:val="002D59B6"/>
    <w:rsid w:val="002D65CE"/>
    <w:rsid w:val="002D67E5"/>
    <w:rsid w:val="002D690D"/>
    <w:rsid w:val="002D6A59"/>
    <w:rsid w:val="002D7086"/>
    <w:rsid w:val="002E0E0E"/>
    <w:rsid w:val="002E180F"/>
    <w:rsid w:val="002E1CD9"/>
    <w:rsid w:val="002E1D17"/>
    <w:rsid w:val="002E2EB2"/>
    <w:rsid w:val="002E467D"/>
    <w:rsid w:val="002E55E3"/>
    <w:rsid w:val="002E67D9"/>
    <w:rsid w:val="002E688F"/>
    <w:rsid w:val="002E6A16"/>
    <w:rsid w:val="002E704F"/>
    <w:rsid w:val="002E79EA"/>
    <w:rsid w:val="002F0DB5"/>
    <w:rsid w:val="002F0EBF"/>
    <w:rsid w:val="002F14AC"/>
    <w:rsid w:val="002F1785"/>
    <w:rsid w:val="002F182D"/>
    <w:rsid w:val="002F1872"/>
    <w:rsid w:val="002F1C5B"/>
    <w:rsid w:val="002F1CF6"/>
    <w:rsid w:val="002F1FCF"/>
    <w:rsid w:val="002F28A2"/>
    <w:rsid w:val="002F353F"/>
    <w:rsid w:val="002F3CC8"/>
    <w:rsid w:val="002F4CE9"/>
    <w:rsid w:val="002F5053"/>
    <w:rsid w:val="002F56D1"/>
    <w:rsid w:val="002F5D43"/>
    <w:rsid w:val="002F64B9"/>
    <w:rsid w:val="002F7489"/>
    <w:rsid w:val="002F7E38"/>
    <w:rsid w:val="0030011E"/>
    <w:rsid w:val="00300253"/>
    <w:rsid w:val="003002D9"/>
    <w:rsid w:val="00301E35"/>
    <w:rsid w:val="003034A4"/>
    <w:rsid w:val="00303D8F"/>
    <w:rsid w:val="003041B4"/>
    <w:rsid w:val="0030435E"/>
    <w:rsid w:val="0030489B"/>
    <w:rsid w:val="00305323"/>
    <w:rsid w:val="00305485"/>
    <w:rsid w:val="003060ED"/>
    <w:rsid w:val="00306897"/>
    <w:rsid w:val="00306A83"/>
    <w:rsid w:val="00306B3B"/>
    <w:rsid w:val="00306E5E"/>
    <w:rsid w:val="0030703C"/>
    <w:rsid w:val="00307269"/>
    <w:rsid w:val="003072D1"/>
    <w:rsid w:val="00307874"/>
    <w:rsid w:val="00307B39"/>
    <w:rsid w:val="00307D80"/>
    <w:rsid w:val="003106B5"/>
    <w:rsid w:val="003106C2"/>
    <w:rsid w:val="00310F4E"/>
    <w:rsid w:val="0031142B"/>
    <w:rsid w:val="003116B7"/>
    <w:rsid w:val="0031264E"/>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7609"/>
    <w:rsid w:val="00317842"/>
    <w:rsid w:val="00317AB4"/>
    <w:rsid w:val="00317E27"/>
    <w:rsid w:val="003203BE"/>
    <w:rsid w:val="00320907"/>
    <w:rsid w:val="003213C1"/>
    <w:rsid w:val="00321763"/>
    <w:rsid w:val="003228AD"/>
    <w:rsid w:val="003230E8"/>
    <w:rsid w:val="00323412"/>
    <w:rsid w:val="00323421"/>
    <w:rsid w:val="003234CC"/>
    <w:rsid w:val="0032355E"/>
    <w:rsid w:val="003235B6"/>
    <w:rsid w:val="00323CE7"/>
    <w:rsid w:val="00323DD6"/>
    <w:rsid w:val="00323FF6"/>
    <w:rsid w:val="00324135"/>
    <w:rsid w:val="003241B0"/>
    <w:rsid w:val="00324717"/>
    <w:rsid w:val="003247F9"/>
    <w:rsid w:val="003249BA"/>
    <w:rsid w:val="00326246"/>
    <w:rsid w:val="003263AE"/>
    <w:rsid w:val="00326706"/>
    <w:rsid w:val="00326CC4"/>
    <w:rsid w:val="0032755B"/>
    <w:rsid w:val="00327989"/>
    <w:rsid w:val="00327AE1"/>
    <w:rsid w:val="00330290"/>
    <w:rsid w:val="00330656"/>
    <w:rsid w:val="00330ACD"/>
    <w:rsid w:val="00331929"/>
    <w:rsid w:val="00331A54"/>
    <w:rsid w:val="00331E71"/>
    <w:rsid w:val="00333C7E"/>
    <w:rsid w:val="00333D04"/>
    <w:rsid w:val="003342E1"/>
    <w:rsid w:val="00334367"/>
    <w:rsid w:val="00334499"/>
    <w:rsid w:val="0033486B"/>
    <w:rsid w:val="00335240"/>
    <w:rsid w:val="00336149"/>
    <w:rsid w:val="003365EF"/>
    <w:rsid w:val="003375D7"/>
    <w:rsid w:val="00337EAA"/>
    <w:rsid w:val="003408B3"/>
    <w:rsid w:val="00341159"/>
    <w:rsid w:val="0034154C"/>
    <w:rsid w:val="00341604"/>
    <w:rsid w:val="00341709"/>
    <w:rsid w:val="00341A92"/>
    <w:rsid w:val="00341D6D"/>
    <w:rsid w:val="00342809"/>
    <w:rsid w:val="00342FB8"/>
    <w:rsid w:val="0034305E"/>
    <w:rsid w:val="003431AF"/>
    <w:rsid w:val="00344227"/>
    <w:rsid w:val="00345F63"/>
    <w:rsid w:val="00347E25"/>
    <w:rsid w:val="00347F37"/>
    <w:rsid w:val="00347FEC"/>
    <w:rsid w:val="003500F5"/>
    <w:rsid w:val="0035019E"/>
    <w:rsid w:val="00351125"/>
    <w:rsid w:val="003517E0"/>
    <w:rsid w:val="00351BAB"/>
    <w:rsid w:val="00351C84"/>
    <w:rsid w:val="00352140"/>
    <w:rsid w:val="00352309"/>
    <w:rsid w:val="00352362"/>
    <w:rsid w:val="00352934"/>
    <w:rsid w:val="003531F4"/>
    <w:rsid w:val="003534DE"/>
    <w:rsid w:val="00353876"/>
    <w:rsid w:val="00353DA0"/>
    <w:rsid w:val="003542B1"/>
    <w:rsid w:val="00354FA7"/>
    <w:rsid w:val="003560F2"/>
    <w:rsid w:val="00356741"/>
    <w:rsid w:val="0035790E"/>
    <w:rsid w:val="00357B24"/>
    <w:rsid w:val="00360377"/>
    <w:rsid w:val="00360428"/>
    <w:rsid w:val="0036064D"/>
    <w:rsid w:val="00360CBB"/>
    <w:rsid w:val="00361B99"/>
    <w:rsid w:val="00361E20"/>
    <w:rsid w:val="00362B25"/>
    <w:rsid w:val="00363C0B"/>
    <w:rsid w:val="00363DFB"/>
    <w:rsid w:val="0036486B"/>
    <w:rsid w:val="003648AD"/>
    <w:rsid w:val="00364B72"/>
    <w:rsid w:val="00365626"/>
    <w:rsid w:val="0036616A"/>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84B"/>
    <w:rsid w:val="00374771"/>
    <w:rsid w:val="003747B8"/>
    <w:rsid w:val="00374FE2"/>
    <w:rsid w:val="00375DFD"/>
    <w:rsid w:val="003763C2"/>
    <w:rsid w:val="0037652F"/>
    <w:rsid w:val="0037703D"/>
    <w:rsid w:val="00377725"/>
    <w:rsid w:val="00377E40"/>
    <w:rsid w:val="003805A7"/>
    <w:rsid w:val="003808A3"/>
    <w:rsid w:val="003808A7"/>
    <w:rsid w:val="00381376"/>
    <w:rsid w:val="003813D4"/>
    <w:rsid w:val="00381934"/>
    <w:rsid w:val="00382AED"/>
    <w:rsid w:val="00383C62"/>
    <w:rsid w:val="00383C95"/>
    <w:rsid w:val="0038475E"/>
    <w:rsid w:val="003851CC"/>
    <w:rsid w:val="00385251"/>
    <w:rsid w:val="0038587D"/>
    <w:rsid w:val="00385D9C"/>
    <w:rsid w:val="003864BE"/>
    <w:rsid w:val="00386896"/>
    <w:rsid w:val="00386EB6"/>
    <w:rsid w:val="00387033"/>
    <w:rsid w:val="003877F6"/>
    <w:rsid w:val="00387860"/>
    <w:rsid w:val="003904A9"/>
    <w:rsid w:val="00390826"/>
    <w:rsid w:val="00390AFC"/>
    <w:rsid w:val="00390FDB"/>
    <w:rsid w:val="00391519"/>
    <w:rsid w:val="0039197D"/>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8C0"/>
    <w:rsid w:val="00397E7E"/>
    <w:rsid w:val="003A013A"/>
    <w:rsid w:val="003A037F"/>
    <w:rsid w:val="003A0965"/>
    <w:rsid w:val="003A1185"/>
    <w:rsid w:val="003A1300"/>
    <w:rsid w:val="003A1342"/>
    <w:rsid w:val="003A1351"/>
    <w:rsid w:val="003A15BC"/>
    <w:rsid w:val="003A1A4F"/>
    <w:rsid w:val="003A1CD4"/>
    <w:rsid w:val="003A31D9"/>
    <w:rsid w:val="003A4135"/>
    <w:rsid w:val="003A46DE"/>
    <w:rsid w:val="003A49A2"/>
    <w:rsid w:val="003A4C9C"/>
    <w:rsid w:val="003A5338"/>
    <w:rsid w:val="003A53BD"/>
    <w:rsid w:val="003A5401"/>
    <w:rsid w:val="003A5671"/>
    <w:rsid w:val="003A5FA5"/>
    <w:rsid w:val="003A7312"/>
    <w:rsid w:val="003B271B"/>
    <w:rsid w:val="003B2ADF"/>
    <w:rsid w:val="003B2D2E"/>
    <w:rsid w:val="003B2EED"/>
    <w:rsid w:val="003B2FB5"/>
    <w:rsid w:val="003B3040"/>
    <w:rsid w:val="003B3330"/>
    <w:rsid w:val="003B3516"/>
    <w:rsid w:val="003B38A2"/>
    <w:rsid w:val="003B4244"/>
    <w:rsid w:val="003B4855"/>
    <w:rsid w:val="003B4A3F"/>
    <w:rsid w:val="003B5269"/>
    <w:rsid w:val="003B542C"/>
    <w:rsid w:val="003B560D"/>
    <w:rsid w:val="003B5C0F"/>
    <w:rsid w:val="003B5D78"/>
    <w:rsid w:val="003B5E15"/>
    <w:rsid w:val="003B6690"/>
    <w:rsid w:val="003B6E9B"/>
    <w:rsid w:val="003B6F45"/>
    <w:rsid w:val="003B6F81"/>
    <w:rsid w:val="003B72D1"/>
    <w:rsid w:val="003B78D9"/>
    <w:rsid w:val="003C099F"/>
    <w:rsid w:val="003C0A06"/>
    <w:rsid w:val="003C0C16"/>
    <w:rsid w:val="003C0DAE"/>
    <w:rsid w:val="003C0DEF"/>
    <w:rsid w:val="003C0E70"/>
    <w:rsid w:val="003C12A9"/>
    <w:rsid w:val="003C1794"/>
    <w:rsid w:val="003C1C50"/>
    <w:rsid w:val="003C1CF6"/>
    <w:rsid w:val="003C27DA"/>
    <w:rsid w:val="003C2BBC"/>
    <w:rsid w:val="003C2FC8"/>
    <w:rsid w:val="003C3338"/>
    <w:rsid w:val="003C380C"/>
    <w:rsid w:val="003C3A92"/>
    <w:rsid w:val="003C3D64"/>
    <w:rsid w:val="003C42D3"/>
    <w:rsid w:val="003C434C"/>
    <w:rsid w:val="003C4F1D"/>
    <w:rsid w:val="003C519C"/>
    <w:rsid w:val="003C5B50"/>
    <w:rsid w:val="003C5DED"/>
    <w:rsid w:val="003C6914"/>
    <w:rsid w:val="003C7A86"/>
    <w:rsid w:val="003C7ABB"/>
    <w:rsid w:val="003C7B94"/>
    <w:rsid w:val="003D0906"/>
    <w:rsid w:val="003D0F12"/>
    <w:rsid w:val="003D1AFE"/>
    <w:rsid w:val="003D1BC1"/>
    <w:rsid w:val="003D1FFC"/>
    <w:rsid w:val="003D21D6"/>
    <w:rsid w:val="003D22DF"/>
    <w:rsid w:val="003D22F4"/>
    <w:rsid w:val="003D2333"/>
    <w:rsid w:val="003D3366"/>
    <w:rsid w:val="003D3997"/>
    <w:rsid w:val="003D3A0E"/>
    <w:rsid w:val="003D3C59"/>
    <w:rsid w:val="003D409B"/>
    <w:rsid w:val="003D42CE"/>
    <w:rsid w:val="003D4945"/>
    <w:rsid w:val="003D4C15"/>
    <w:rsid w:val="003D53FE"/>
    <w:rsid w:val="003D57E0"/>
    <w:rsid w:val="003D58F9"/>
    <w:rsid w:val="003D6170"/>
    <w:rsid w:val="003D751E"/>
    <w:rsid w:val="003D76F9"/>
    <w:rsid w:val="003D7F25"/>
    <w:rsid w:val="003D7FDE"/>
    <w:rsid w:val="003E08ED"/>
    <w:rsid w:val="003E0DC3"/>
    <w:rsid w:val="003E1649"/>
    <w:rsid w:val="003E16F4"/>
    <w:rsid w:val="003E18A8"/>
    <w:rsid w:val="003E2306"/>
    <w:rsid w:val="003E3220"/>
    <w:rsid w:val="003E3488"/>
    <w:rsid w:val="003E4159"/>
    <w:rsid w:val="003E42E1"/>
    <w:rsid w:val="003E462E"/>
    <w:rsid w:val="003E4B77"/>
    <w:rsid w:val="003E4F34"/>
    <w:rsid w:val="003E5ACE"/>
    <w:rsid w:val="003E5D16"/>
    <w:rsid w:val="003E5E95"/>
    <w:rsid w:val="003E5FE5"/>
    <w:rsid w:val="003E6372"/>
    <w:rsid w:val="003E65D0"/>
    <w:rsid w:val="003E67EE"/>
    <w:rsid w:val="003E6E36"/>
    <w:rsid w:val="003E6F34"/>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2E7"/>
    <w:rsid w:val="003F737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775"/>
    <w:rsid w:val="00403923"/>
    <w:rsid w:val="00403A62"/>
    <w:rsid w:val="0040441F"/>
    <w:rsid w:val="00404769"/>
    <w:rsid w:val="0040484E"/>
    <w:rsid w:val="00404995"/>
    <w:rsid w:val="0040499B"/>
    <w:rsid w:val="0040543F"/>
    <w:rsid w:val="0040586F"/>
    <w:rsid w:val="00405B3B"/>
    <w:rsid w:val="00406A4D"/>
    <w:rsid w:val="00407195"/>
    <w:rsid w:val="004072D6"/>
    <w:rsid w:val="00407451"/>
    <w:rsid w:val="0041054B"/>
    <w:rsid w:val="00410574"/>
    <w:rsid w:val="00410BC0"/>
    <w:rsid w:val="00410BEF"/>
    <w:rsid w:val="00411379"/>
    <w:rsid w:val="0041137C"/>
    <w:rsid w:val="004113A8"/>
    <w:rsid w:val="00411845"/>
    <w:rsid w:val="00411E38"/>
    <w:rsid w:val="00411EE2"/>
    <w:rsid w:val="00412280"/>
    <w:rsid w:val="0041249C"/>
    <w:rsid w:val="00412F8F"/>
    <w:rsid w:val="0041300A"/>
    <w:rsid w:val="004130E1"/>
    <w:rsid w:val="00413C16"/>
    <w:rsid w:val="00414C9A"/>
    <w:rsid w:val="00415054"/>
    <w:rsid w:val="004157F5"/>
    <w:rsid w:val="00415F2B"/>
    <w:rsid w:val="00417367"/>
    <w:rsid w:val="00417383"/>
    <w:rsid w:val="00417C69"/>
    <w:rsid w:val="004206A7"/>
    <w:rsid w:val="00420D11"/>
    <w:rsid w:val="00420FBE"/>
    <w:rsid w:val="00421A43"/>
    <w:rsid w:val="00421AC2"/>
    <w:rsid w:val="00422599"/>
    <w:rsid w:val="004228BF"/>
    <w:rsid w:val="0042294F"/>
    <w:rsid w:val="0042457A"/>
    <w:rsid w:val="0042457D"/>
    <w:rsid w:val="00424F97"/>
    <w:rsid w:val="004251BE"/>
    <w:rsid w:val="00425FD2"/>
    <w:rsid w:val="00427118"/>
    <w:rsid w:val="00427469"/>
    <w:rsid w:val="0042749A"/>
    <w:rsid w:val="00430459"/>
    <w:rsid w:val="00430A8A"/>
    <w:rsid w:val="00430E9D"/>
    <w:rsid w:val="00431037"/>
    <w:rsid w:val="004319CA"/>
    <w:rsid w:val="00432416"/>
    <w:rsid w:val="004329FC"/>
    <w:rsid w:val="00432B47"/>
    <w:rsid w:val="00432F65"/>
    <w:rsid w:val="004339FA"/>
    <w:rsid w:val="00433BD2"/>
    <w:rsid w:val="00433E7A"/>
    <w:rsid w:val="00434B6D"/>
    <w:rsid w:val="00434E04"/>
    <w:rsid w:val="00434FDF"/>
    <w:rsid w:val="00435516"/>
    <w:rsid w:val="004356E9"/>
    <w:rsid w:val="0043583D"/>
    <w:rsid w:val="00435E75"/>
    <w:rsid w:val="00435ECC"/>
    <w:rsid w:val="0043602E"/>
    <w:rsid w:val="00436C8F"/>
    <w:rsid w:val="0043755D"/>
    <w:rsid w:val="00437F89"/>
    <w:rsid w:val="00440BB0"/>
    <w:rsid w:val="0044110A"/>
    <w:rsid w:val="004413F3"/>
    <w:rsid w:val="0044153D"/>
    <w:rsid w:val="0044161E"/>
    <w:rsid w:val="00441C5A"/>
    <w:rsid w:val="004431F1"/>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437"/>
    <w:rsid w:val="00447A0A"/>
    <w:rsid w:val="00447E42"/>
    <w:rsid w:val="0045043D"/>
    <w:rsid w:val="0045045E"/>
    <w:rsid w:val="00450E9E"/>
    <w:rsid w:val="00450FD2"/>
    <w:rsid w:val="00450FF8"/>
    <w:rsid w:val="0045102F"/>
    <w:rsid w:val="00451D32"/>
    <w:rsid w:val="0045229B"/>
    <w:rsid w:val="00452BFB"/>
    <w:rsid w:val="00452BFE"/>
    <w:rsid w:val="0045327E"/>
    <w:rsid w:val="00453353"/>
    <w:rsid w:val="0045349D"/>
    <w:rsid w:val="004534B5"/>
    <w:rsid w:val="00453996"/>
    <w:rsid w:val="004539F6"/>
    <w:rsid w:val="00453BF7"/>
    <w:rsid w:val="0045437E"/>
    <w:rsid w:val="0045484A"/>
    <w:rsid w:val="00455127"/>
    <w:rsid w:val="00455EDE"/>
    <w:rsid w:val="00456C71"/>
    <w:rsid w:val="00456EA3"/>
    <w:rsid w:val="00457216"/>
    <w:rsid w:val="0046020B"/>
    <w:rsid w:val="004602FF"/>
    <w:rsid w:val="004605D0"/>
    <w:rsid w:val="00461365"/>
    <w:rsid w:val="00461B2C"/>
    <w:rsid w:val="00461C95"/>
    <w:rsid w:val="00462322"/>
    <w:rsid w:val="00462757"/>
    <w:rsid w:val="00462F0E"/>
    <w:rsid w:val="00463080"/>
    <w:rsid w:val="00463ABF"/>
    <w:rsid w:val="00463F44"/>
    <w:rsid w:val="00464585"/>
    <w:rsid w:val="0046473F"/>
    <w:rsid w:val="00464780"/>
    <w:rsid w:val="004658A0"/>
    <w:rsid w:val="00465FE2"/>
    <w:rsid w:val="00466CDA"/>
    <w:rsid w:val="004671D5"/>
    <w:rsid w:val="00467320"/>
    <w:rsid w:val="004676F9"/>
    <w:rsid w:val="00467BA9"/>
    <w:rsid w:val="004701DC"/>
    <w:rsid w:val="00470ACA"/>
    <w:rsid w:val="00470BA4"/>
    <w:rsid w:val="00470EAF"/>
    <w:rsid w:val="00470F10"/>
    <w:rsid w:val="0047110E"/>
    <w:rsid w:val="00471156"/>
    <w:rsid w:val="004712E6"/>
    <w:rsid w:val="00471673"/>
    <w:rsid w:val="00471B05"/>
    <w:rsid w:val="004722F0"/>
    <w:rsid w:val="004739B7"/>
    <w:rsid w:val="00473FCC"/>
    <w:rsid w:val="00474B7C"/>
    <w:rsid w:val="00474FE7"/>
    <w:rsid w:val="004752AE"/>
    <w:rsid w:val="004758B6"/>
    <w:rsid w:val="00475ACF"/>
    <w:rsid w:val="00475DDF"/>
    <w:rsid w:val="00476323"/>
    <w:rsid w:val="0047662E"/>
    <w:rsid w:val="00476995"/>
    <w:rsid w:val="0047768F"/>
    <w:rsid w:val="00477D6B"/>
    <w:rsid w:val="004802FD"/>
    <w:rsid w:val="00480B1D"/>
    <w:rsid w:val="00481622"/>
    <w:rsid w:val="00481AF1"/>
    <w:rsid w:val="00481C2B"/>
    <w:rsid w:val="00481D41"/>
    <w:rsid w:val="0048200F"/>
    <w:rsid w:val="0048238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98F"/>
    <w:rsid w:val="00487F8E"/>
    <w:rsid w:val="004903E4"/>
    <w:rsid w:val="0049074B"/>
    <w:rsid w:val="00490E4C"/>
    <w:rsid w:val="00490F4A"/>
    <w:rsid w:val="00490FF4"/>
    <w:rsid w:val="004912CF"/>
    <w:rsid w:val="00491974"/>
    <w:rsid w:val="00492166"/>
    <w:rsid w:val="00492369"/>
    <w:rsid w:val="004926E5"/>
    <w:rsid w:val="00492DAB"/>
    <w:rsid w:val="00492F28"/>
    <w:rsid w:val="004933C1"/>
    <w:rsid w:val="00493777"/>
    <w:rsid w:val="00493CBB"/>
    <w:rsid w:val="00493D19"/>
    <w:rsid w:val="0049521F"/>
    <w:rsid w:val="0049523D"/>
    <w:rsid w:val="00495317"/>
    <w:rsid w:val="00495F18"/>
    <w:rsid w:val="00496C0B"/>
    <w:rsid w:val="00496C59"/>
    <w:rsid w:val="00496D59"/>
    <w:rsid w:val="00496E0E"/>
    <w:rsid w:val="004A01E0"/>
    <w:rsid w:val="004A0ABF"/>
    <w:rsid w:val="004A0D21"/>
    <w:rsid w:val="004A10F4"/>
    <w:rsid w:val="004A1ECC"/>
    <w:rsid w:val="004A2AC7"/>
    <w:rsid w:val="004A40C5"/>
    <w:rsid w:val="004A4731"/>
    <w:rsid w:val="004A4F5F"/>
    <w:rsid w:val="004A4FC9"/>
    <w:rsid w:val="004A52B7"/>
    <w:rsid w:val="004A57ED"/>
    <w:rsid w:val="004A5D53"/>
    <w:rsid w:val="004A63CE"/>
    <w:rsid w:val="004A6B77"/>
    <w:rsid w:val="004A6DB0"/>
    <w:rsid w:val="004A7AEF"/>
    <w:rsid w:val="004B0180"/>
    <w:rsid w:val="004B04DE"/>
    <w:rsid w:val="004B07F1"/>
    <w:rsid w:val="004B0ACF"/>
    <w:rsid w:val="004B1006"/>
    <w:rsid w:val="004B146A"/>
    <w:rsid w:val="004B17C7"/>
    <w:rsid w:val="004B1E83"/>
    <w:rsid w:val="004B219C"/>
    <w:rsid w:val="004B2D88"/>
    <w:rsid w:val="004B376E"/>
    <w:rsid w:val="004B3C37"/>
    <w:rsid w:val="004B4BEE"/>
    <w:rsid w:val="004B5190"/>
    <w:rsid w:val="004B591E"/>
    <w:rsid w:val="004B5E60"/>
    <w:rsid w:val="004B6273"/>
    <w:rsid w:val="004B76A5"/>
    <w:rsid w:val="004C00F2"/>
    <w:rsid w:val="004C0A35"/>
    <w:rsid w:val="004C0B1F"/>
    <w:rsid w:val="004C0F1A"/>
    <w:rsid w:val="004C0F42"/>
    <w:rsid w:val="004C172C"/>
    <w:rsid w:val="004C1E57"/>
    <w:rsid w:val="004C2038"/>
    <w:rsid w:val="004C24BB"/>
    <w:rsid w:val="004C353A"/>
    <w:rsid w:val="004C3709"/>
    <w:rsid w:val="004C384F"/>
    <w:rsid w:val="004C3C90"/>
    <w:rsid w:val="004C429F"/>
    <w:rsid w:val="004C4CD4"/>
    <w:rsid w:val="004C554E"/>
    <w:rsid w:val="004C5570"/>
    <w:rsid w:val="004C55DC"/>
    <w:rsid w:val="004C67BA"/>
    <w:rsid w:val="004C6BFE"/>
    <w:rsid w:val="004C7840"/>
    <w:rsid w:val="004C7CC1"/>
    <w:rsid w:val="004D01A7"/>
    <w:rsid w:val="004D0362"/>
    <w:rsid w:val="004D0642"/>
    <w:rsid w:val="004D09C5"/>
    <w:rsid w:val="004D0D46"/>
    <w:rsid w:val="004D0F2D"/>
    <w:rsid w:val="004D1BBF"/>
    <w:rsid w:val="004D1CE4"/>
    <w:rsid w:val="004D1E09"/>
    <w:rsid w:val="004D23E0"/>
    <w:rsid w:val="004D31C5"/>
    <w:rsid w:val="004D34E3"/>
    <w:rsid w:val="004D3596"/>
    <w:rsid w:val="004D3AEE"/>
    <w:rsid w:val="004D3CE0"/>
    <w:rsid w:val="004D3D3A"/>
    <w:rsid w:val="004D425C"/>
    <w:rsid w:val="004D55E5"/>
    <w:rsid w:val="004D5E41"/>
    <w:rsid w:val="004D728C"/>
    <w:rsid w:val="004E00D2"/>
    <w:rsid w:val="004E016F"/>
    <w:rsid w:val="004E04B6"/>
    <w:rsid w:val="004E052B"/>
    <w:rsid w:val="004E06C1"/>
    <w:rsid w:val="004E09F6"/>
    <w:rsid w:val="004E12AE"/>
    <w:rsid w:val="004E15A8"/>
    <w:rsid w:val="004E15E4"/>
    <w:rsid w:val="004E193F"/>
    <w:rsid w:val="004E19C8"/>
    <w:rsid w:val="004E26F0"/>
    <w:rsid w:val="004E285C"/>
    <w:rsid w:val="004E3502"/>
    <w:rsid w:val="004E3CF0"/>
    <w:rsid w:val="004E4993"/>
    <w:rsid w:val="004E65D3"/>
    <w:rsid w:val="004E6606"/>
    <w:rsid w:val="004E68E5"/>
    <w:rsid w:val="004E709D"/>
    <w:rsid w:val="004E764F"/>
    <w:rsid w:val="004E7998"/>
    <w:rsid w:val="004E7B84"/>
    <w:rsid w:val="004E7ED8"/>
    <w:rsid w:val="004F030C"/>
    <w:rsid w:val="004F166D"/>
    <w:rsid w:val="004F197F"/>
    <w:rsid w:val="004F1D78"/>
    <w:rsid w:val="004F1F20"/>
    <w:rsid w:val="004F26AA"/>
    <w:rsid w:val="004F2902"/>
    <w:rsid w:val="004F2950"/>
    <w:rsid w:val="004F2CEA"/>
    <w:rsid w:val="004F3D95"/>
    <w:rsid w:val="004F4A2E"/>
    <w:rsid w:val="004F56CB"/>
    <w:rsid w:val="004F5DE7"/>
    <w:rsid w:val="004F6EE4"/>
    <w:rsid w:val="004F7233"/>
    <w:rsid w:val="004F7D37"/>
    <w:rsid w:val="005008C6"/>
    <w:rsid w:val="00500916"/>
    <w:rsid w:val="00501257"/>
    <w:rsid w:val="0050189E"/>
    <w:rsid w:val="00501B2C"/>
    <w:rsid w:val="00501F18"/>
    <w:rsid w:val="00503093"/>
    <w:rsid w:val="0050498C"/>
    <w:rsid w:val="00504E8E"/>
    <w:rsid w:val="005067A5"/>
    <w:rsid w:val="005068C3"/>
    <w:rsid w:val="00506B5A"/>
    <w:rsid w:val="00506C20"/>
    <w:rsid w:val="00506E99"/>
    <w:rsid w:val="005076B4"/>
    <w:rsid w:val="005102A1"/>
    <w:rsid w:val="00510377"/>
    <w:rsid w:val="005107AE"/>
    <w:rsid w:val="00510A5D"/>
    <w:rsid w:val="00510AAC"/>
    <w:rsid w:val="0051130E"/>
    <w:rsid w:val="0051135B"/>
    <w:rsid w:val="00511755"/>
    <w:rsid w:val="00511ABE"/>
    <w:rsid w:val="00512C11"/>
    <w:rsid w:val="00512F77"/>
    <w:rsid w:val="00513529"/>
    <w:rsid w:val="00514605"/>
    <w:rsid w:val="005149FA"/>
    <w:rsid w:val="0051512E"/>
    <w:rsid w:val="0051527A"/>
    <w:rsid w:val="00516B1F"/>
    <w:rsid w:val="00517D30"/>
    <w:rsid w:val="00520005"/>
    <w:rsid w:val="00520245"/>
    <w:rsid w:val="005202B9"/>
    <w:rsid w:val="00520655"/>
    <w:rsid w:val="0052069E"/>
    <w:rsid w:val="00522C15"/>
    <w:rsid w:val="005230B1"/>
    <w:rsid w:val="00523691"/>
    <w:rsid w:val="005236C0"/>
    <w:rsid w:val="005248C4"/>
    <w:rsid w:val="00525772"/>
    <w:rsid w:val="005261D2"/>
    <w:rsid w:val="00526C8F"/>
    <w:rsid w:val="005273A6"/>
    <w:rsid w:val="005275CB"/>
    <w:rsid w:val="00527CAF"/>
    <w:rsid w:val="00527E81"/>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F8B"/>
    <w:rsid w:val="00536427"/>
    <w:rsid w:val="00536C11"/>
    <w:rsid w:val="00536CB0"/>
    <w:rsid w:val="00536F9F"/>
    <w:rsid w:val="00537155"/>
    <w:rsid w:val="00537C96"/>
    <w:rsid w:val="005401AA"/>
    <w:rsid w:val="0054020C"/>
    <w:rsid w:val="005405F3"/>
    <w:rsid w:val="00540695"/>
    <w:rsid w:val="00540775"/>
    <w:rsid w:val="00540B88"/>
    <w:rsid w:val="00540D00"/>
    <w:rsid w:val="00540EB7"/>
    <w:rsid w:val="0054125B"/>
    <w:rsid w:val="00541934"/>
    <w:rsid w:val="00541BEC"/>
    <w:rsid w:val="00541C6A"/>
    <w:rsid w:val="00541D56"/>
    <w:rsid w:val="00542220"/>
    <w:rsid w:val="005427EA"/>
    <w:rsid w:val="00542D1B"/>
    <w:rsid w:val="005430ED"/>
    <w:rsid w:val="0054439E"/>
    <w:rsid w:val="00545753"/>
    <w:rsid w:val="00545936"/>
    <w:rsid w:val="00546207"/>
    <w:rsid w:val="00546D79"/>
    <w:rsid w:val="00547494"/>
    <w:rsid w:val="0054767E"/>
    <w:rsid w:val="005477D7"/>
    <w:rsid w:val="00547BEA"/>
    <w:rsid w:val="005505E4"/>
    <w:rsid w:val="00550FE3"/>
    <w:rsid w:val="005516CE"/>
    <w:rsid w:val="00551AB7"/>
    <w:rsid w:val="005522F1"/>
    <w:rsid w:val="00552CA9"/>
    <w:rsid w:val="00552D3B"/>
    <w:rsid w:val="005532C3"/>
    <w:rsid w:val="00553BFF"/>
    <w:rsid w:val="0055435B"/>
    <w:rsid w:val="0055483C"/>
    <w:rsid w:val="00554841"/>
    <w:rsid w:val="0055489D"/>
    <w:rsid w:val="0055576E"/>
    <w:rsid w:val="0055577D"/>
    <w:rsid w:val="00555D66"/>
    <w:rsid w:val="005560AA"/>
    <w:rsid w:val="00556774"/>
    <w:rsid w:val="005567C3"/>
    <w:rsid w:val="00556B14"/>
    <w:rsid w:val="005575B8"/>
    <w:rsid w:val="005578C6"/>
    <w:rsid w:val="00560AD2"/>
    <w:rsid w:val="00560F15"/>
    <w:rsid w:val="00561570"/>
    <w:rsid w:val="00561F60"/>
    <w:rsid w:val="005625B8"/>
    <w:rsid w:val="00562657"/>
    <w:rsid w:val="005627EB"/>
    <w:rsid w:val="00562927"/>
    <w:rsid w:val="005629F8"/>
    <w:rsid w:val="00562D1C"/>
    <w:rsid w:val="00562EE8"/>
    <w:rsid w:val="005634BE"/>
    <w:rsid w:val="0056396E"/>
    <w:rsid w:val="00563B50"/>
    <w:rsid w:val="00564490"/>
    <w:rsid w:val="005648CB"/>
    <w:rsid w:val="00564DB6"/>
    <w:rsid w:val="00564EE5"/>
    <w:rsid w:val="005656A9"/>
    <w:rsid w:val="005657D8"/>
    <w:rsid w:val="005660B3"/>
    <w:rsid w:val="00566828"/>
    <w:rsid w:val="00566D2D"/>
    <w:rsid w:val="00566FAB"/>
    <w:rsid w:val="00570196"/>
    <w:rsid w:val="0057099E"/>
    <w:rsid w:val="00570A01"/>
    <w:rsid w:val="0057108C"/>
    <w:rsid w:val="005716C2"/>
    <w:rsid w:val="005717DE"/>
    <w:rsid w:val="00571AF0"/>
    <w:rsid w:val="00571CA9"/>
    <w:rsid w:val="005720C2"/>
    <w:rsid w:val="005722C1"/>
    <w:rsid w:val="00572687"/>
    <w:rsid w:val="00572974"/>
    <w:rsid w:val="00572CC6"/>
    <w:rsid w:val="005730E3"/>
    <w:rsid w:val="00573771"/>
    <w:rsid w:val="00573863"/>
    <w:rsid w:val="0057451B"/>
    <w:rsid w:val="00575060"/>
    <w:rsid w:val="005759A2"/>
    <w:rsid w:val="005769C7"/>
    <w:rsid w:val="00576AEE"/>
    <w:rsid w:val="00576C74"/>
    <w:rsid w:val="00576CE3"/>
    <w:rsid w:val="00576EC2"/>
    <w:rsid w:val="005775EF"/>
    <w:rsid w:val="00577D3D"/>
    <w:rsid w:val="005802C7"/>
    <w:rsid w:val="005808E9"/>
    <w:rsid w:val="00581021"/>
    <w:rsid w:val="00582222"/>
    <w:rsid w:val="005825DF"/>
    <w:rsid w:val="00582E43"/>
    <w:rsid w:val="00583182"/>
    <w:rsid w:val="005831CC"/>
    <w:rsid w:val="005835CE"/>
    <w:rsid w:val="005839DC"/>
    <w:rsid w:val="00584F15"/>
    <w:rsid w:val="005853AC"/>
    <w:rsid w:val="0058565E"/>
    <w:rsid w:val="00585749"/>
    <w:rsid w:val="00585963"/>
    <w:rsid w:val="00585D53"/>
    <w:rsid w:val="00585EAE"/>
    <w:rsid w:val="0058660A"/>
    <w:rsid w:val="0058699F"/>
    <w:rsid w:val="0058740D"/>
    <w:rsid w:val="00587617"/>
    <w:rsid w:val="00587725"/>
    <w:rsid w:val="00587897"/>
    <w:rsid w:val="00587A7D"/>
    <w:rsid w:val="0059030E"/>
    <w:rsid w:val="005926E1"/>
    <w:rsid w:val="00592AF2"/>
    <w:rsid w:val="00592D6F"/>
    <w:rsid w:val="00593161"/>
    <w:rsid w:val="005937CA"/>
    <w:rsid w:val="00593A4A"/>
    <w:rsid w:val="00594017"/>
    <w:rsid w:val="00594302"/>
    <w:rsid w:val="00594BC7"/>
    <w:rsid w:val="00594DA1"/>
    <w:rsid w:val="00595C1F"/>
    <w:rsid w:val="0059624E"/>
    <w:rsid w:val="00596D9C"/>
    <w:rsid w:val="00597394"/>
    <w:rsid w:val="005976CC"/>
    <w:rsid w:val="0059787E"/>
    <w:rsid w:val="00597CF4"/>
    <w:rsid w:val="005A011D"/>
    <w:rsid w:val="005A01C4"/>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85D"/>
    <w:rsid w:val="005A7B9B"/>
    <w:rsid w:val="005B008D"/>
    <w:rsid w:val="005B0561"/>
    <w:rsid w:val="005B05D5"/>
    <w:rsid w:val="005B1796"/>
    <w:rsid w:val="005B327C"/>
    <w:rsid w:val="005B3785"/>
    <w:rsid w:val="005B3B07"/>
    <w:rsid w:val="005B466F"/>
    <w:rsid w:val="005B4CA6"/>
    <w:rsid w:val="005B539C"/>
    <w:rsid w:val="005B56A3"/>
    <w:rsid w:val="005B5CD9"/>
    <w:rsid w:val="005B6521"/>
    <w:rsid w:val="005B6DEA"/>
    <w:rsid w:val="005B77CC"/>
    <w:rsid w:val="005B7840"/>
    <w:rsid w:val="005B7AE8"/>
    <w:rsid w:val="005C0A8B"/>
    <w:rsid w:val="005C0F8E"/>
    <w:rsid w:val="005C2ED2"/>
    <w:rsid w:val="005C2FF9"/>
    <w:rsid w:val="005C4299"/>
    <w:rsid w:val="005C4442"/>
    <w:rsid w:val="005C50DA"/>
    <w:rsid w:val="005C50F1"/>
    <w:rsid w:val="005C58A5"/>
    <w:rsid w:val="005C5DEE"/>
    <w:rsid w:val="005C618A"/>
    <w:rsid w:val="005C632B"/>
    <w:rsid w:val="005C67E3"/>
    <w:rsid w:val="005C6816"/>
    <w:rsid w:val="005C6B95"/>
    <w:rsid w:val="005C6CDA"/>
    <w:rsid w:val="005C6E10"/>
    <w:rsid w:val="005C6F62"/>
    <w:rsid w:val="005C6FFB"/>
    <w:rsid w:val="005C7A09"/>
    <w:rsid w:val="005C7D9F"/>
    <w:rsid w:val="005C7E1E"/>
    <w:rsid w:val="005C7FA2"/>
    <w:rsid w:val="005D013B"/>
    <w:rsid w:val="005D01B3"/>
    <w:rsid w:val="005D045D"/>
    <w:rsid w:val="005D08D3"/>
    <w:rsid w:val="005D1203"/>
    <w:rsid w:val="005D166D"/>
    <w:rsid w:val="005D1675"/>
    <w:rsid w:val="005D230E"/>
    <w:rsid w:val="005D3205"/>
    <w:rsid w:val="005D337D"/>
    <w:rsid w:val="005D3C8D"/>
    <w:rsid w:val="005D4770"/>
    <w:rsid w:val="005D4807"/>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D"/>
    <w:rsid w:val="005E1269"/>
    <w:rsid w:val="005E1A50"/>
    <w:rsid w:val="005E2549"/>
    <w:rsid w:val="005E2F2D"/>
    <w:rsid w:val="005E31F4"/>
    <w:rsid w:val="005E3315"/>
    <w:rsid w:val="005E3BDE"/>
    <w:rsid w:val="005E3EFB"/>
    <w:rsid w:val="005E4055"/>
    <w:rsid w:val="005E4471"/>
    <w:rsid w:val="005E4499"/>
    <w:rsid w:val="005E5326"/>
    <w:rsid w:val="005E5E42"/>
    <w:rsid w:val="005E6140"/>
    <w:rsid w:val="005E65A7"/>
    <w:rsid w:val="005E6E60"/>
    <w:rsid w:val="005E70ED"/>
    <w:rsid w:val="005E7647"/>
    <w:rsid w:val="005E7A49"/>
    <w:rsid w:val="005E7A8F"/>
    <w:rsid w:val="005E7EFC"/>
    <w:rsid w:val="005E7FEB"/>
    <w:rsid w:val="005F2673"/>
    <w:rsid w:val="005F2E3D"/>
    <w:rsid w:val="005F2F6A"/>
    <w:rsid w:val="005F310D"/>
    <w:rsid w:val="005F32CB"/>
    <w:rsid w:val="005F47C0"/>
    <w:rsid w:val="005F4BD8"/>
    <w:rsid w:val="005F4E01"/>
    <w:rsid w:val="005F52A0"/>
    <w:rsid w:val="005F5326"/>
    <w:rsid w:val="005F539A"/>
    <w:rsid w:val="005F5BBA"/>
    <w:rsid w:val="005F62EE"/>
    <w:rsid w:val="005F63E4"/>
    <w:rsid w:val="005F64C2"/>
    <w:rsid w:val="005F675D"/>
    <w:rsid w:val="005F6B6F"/>
    <w:rsid w:val="005F6B9A"/>
    <w:rsid w:val="005F6D3C"/>
    <w:rsid w:val="005F7412"/>
    <w:rsid w:val="005F74C7"/>
    <w:rsid w:val="006004F5"/>
    <w:rsid w:val="00600B6A"/>
    <w:rsid w:val="00600BC9"/>
    <w:rsid w:val="00601146"/>
    <w:rsid w:val="0060196B"/>
    <w:rsid w:val="0060279A"/>
    <w:rsid w:val="006028A1"/>
    <w:rsid w:val="006029D3"/>
    <w:rsid w:val="00602A7D"/>
    <w:rsid w:val="00603233"/>
    <w:rsid w:val="006035A8"/>
    <w:rsid w:val="00603E85"/>
    <w:rsid w:val="0060409F"/>
    <w:rsid w:val="0060460A"/>
    <w:rsid w:val="0060506E"/>
    <w:rsid w:val="00605186"/>
    <w:rsid w:val="006054C7"/>
    <w:rsid w:val="00605679"/>
    <w:rsid w:val="00606901"/>
    <w:rsid w:val="00606AC1"/>
    <w:rsid w:val="00606C38"/>
    <w:rsid w:val="006071FA"/>
    <w:rsid w:val="00607B01"/>
    <w:rsid w:val="00607CB5"/>
    <w:rsid w:val="0061062F"/>
    <w:rsid w:val="00610857"/>
    <w:rsid w:val="006109A4"/>
    <w:rsid w:val="00610A09"/>
    <w:rsid w:val="00610D74"/>
    <w:rsid w:val="00611A59"/>
    <w:rsid w:val="006121C6"/>
    <w:rsid w:val="00612749"/>
    <w:rsid w:val="00612FD4"/>
    <w:rsid w:val="006134AE"/>
    <w:rsid w:val="00614489"/>
    <w:rsid w:val="00614B0B"/>
    <w:rsid w:val="00615CF7"/>
    <w:rsid w:val="006161E3"/>
    <w:rsid w:val="0061681C"/>
    <w:rsid w:val="0061708C"/>
    <w:rsid w:val="00617685"/>
    <w:rsid w:val="006179A3"/>
    <w:rsid w:val="00617A2E"/>
    <w:rsid w:val="00617F13"/>
    <w:rsid w:val="006201D8"/>
    <w:rsid w:val="00620636"/>
    <w:rsid w:val="00620826"/>
    <w:rsid w:val="00620D58"/>
    <w:rsid w:val="0062190D"/>
    <w:rsid w:val="00621F73"/>
    <w:rsid w:val="006225A0"/>
    <w:rsid w:val="006228B1"/>
    <w:rsid w:val="00622BC8"/>
    <w:rsid w:val="0062311B"/>
    <w:rsid w:val="00623672"/>
    <w:rsid w:val="0062369B"/>
    <w:rsid w:val="00623DF9"/>
    <w:rsid w:val="00624D4B"/>
    <w:rsid w:val="00624DBA"/>
    <w:rsid w:val="00625B71"/>
    <w:rsid w:val="00625DDD"/>
    <w:rsid w:val="00625F57"/>
    <w:rsid w:val="00626313"/>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1620"/>
    <w:rsid w:val="0064186E"/>
    <w:rsid w:val="006419CF"/>
    <w:rsid w:val="00641C8C"/>
    <w:rsid w:val="006421FB"/>
    <w:rsid w:val="006426CA"/>
    <w:rsid w:val="00642D78"/>
    <w:rsid w:val="006438B0"/>
    <w:rsid w:val="00643F43"/>
    <w:rsid w:val="006448A6"/>
    <w:rsid w:val="00644B78"/>
    <w:rsid w:val="00644D0B"/>
    <w:rsid w:val="00646C8B"/>
    <w:rsid w:val="00647605"/>
    <w:rsid w:val="00650140"/>
    <w:rsid w:val="006507CC"/>
    <w:rsid w:val="00650AAB"/>
    <w:rsid w:val="00651196"/>
    <w:rsid w:val="0065155B"/>
    <w:rsid w:val="0065190B"/>
    <w:rsid w:val="006520CB"/>
    <w:rsid w:val="00652555"/>
    <w:rsid w:val="00652AF6"/>
    <w:rsid w:val="00652EF1"/>
    <w:rsid w:val="0065381F"/>
    <w:rsid w:val="006538B4"/>
    <w:rsid w:val="006540E2"/>
    <w:rsid w:val="00654BD4"/>
    <w:rsid w:val="00655886"/>
    <w:rsid w:val="0065671D"/>
    <w:rsid w:val="00657160"/>
    <w:rsid w:val="006579B5"/>
    <w:rsid w:val="00660292"/>
    <w:rsid w:val="0066032B"/>
    <w:rsid w:val="006609E4"/>
    <w:rsid w:val="00660B0B"/>
    <w:rsid w:val="00660E1D"/>
    <w:rsid w:val="00660E79"/>
    <w:rsid w:val="00661021"/>
    <w:rsid w:val="006610D6"/>
    <w:rsid w:val="00661189"/>
    <w:rsid w:val="00661B6C"/>
    <w:rsid w:val="0066248C"/>
    <w:rsid w:val="0066463D"/>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E4D"/>
    <w:rsid w:val="00672609"/>
    <w:rsid w:val="006734AC"/>
    <w:rsid w:val="00673C61"/>
    <w:rsid w:val="00673C7E"/>
    <w:rsid w:val="00674C50"/>
    <w:rsid w:val="0067530C"/>
    <w:rsid w:val="00676076"/>
    <w:rsid w:val="006762D4"/>
    <w:rsid w:val="00676716"/>
    <w:rsid w:val="006767D9"/>
    <w:rsid w:val="00676F65"/>
    <w:rsid w:val="006770C5"/>
    <w:rsid w:val="006770E7"/>
    <w:rsid w:val="00677510"/>
    <w:rsid w:val="00677BEF"/>
    <w:rsid w:val="0068158A"/>
    <w:rsid w:val="006817AB"/>
    <w:rsid w:val="006826CC"/>
    <w:rsid w:val="00682D30"/>
    <w:rsid w:val="00682DE5"/>
    <w:rsid w:val="00684D91"/>
    <w:rsid w:val="00685897"/>
    <w:rsid w:val="00686C54"/>
    <w:rsid w:val="00687564"/>
    <w:rsid w:val="00690728"/>
    <w:rsid w:val="006909CF"/>
    <w:rsid w:val="00690A09"/>
    <w:rsid w:val="006915E9"/>
    <w:rsid w:val="0069190D"/>
    <w:rsid w:val="00691D9B"/>
    <w:rsid w:val="00693148"/>
    <w:rsid w:val="00694192"/>
    <w:rsid w:val="006944E7"/>
    <w:rsid w:val="0069463E"/>
    <w:rsid w:val="006953F8"/>
    <w:rsid w:val="0069541C"/>
    <w:rsid w:val="00696578"/>
    <w:rsid w:val="006966DD"/>
    <w:rsid w:val="00696E78"/>
    <w:rsid w:val="006975B9"/>
    <w:rsid w:val="0069785F"/>
    <w:rsid w:val="006A09BC"/>
    <w:rsid w:val="006A0CF1"/>
    <w:rsid w:val="006A1069"/>
    <w:rsid w:val="006A1802"/>
    <w:rsid w:val="006A2576"/>
    <w:rsid w:val="006A4809"/>
    <w:rsid w:val="006A4C3B"/>
    <w:rsid w:val="006A4D40"/>
    <w:rsid w:val="006A648B"/>
    <w:rsid w:val="006A6949"/>
    <w:rsid w:val="006A7017"/>
    <w:rsid w:val="006B04C5"/>
    <w:rsid w:val="006B0A2A"/>
    <w:rsid w:val="006B11F1"/>
    <w:rsid w:val="006B1EAB"/>
    <w:rsid w:val="006B247E"/>
    <w:rsid w:val="006B2E4A"/>
    <w:rsid w:val="006B3F4C"/>
    <w:rsid w:val="006B423B"/>
    <w:rsid w:val="006B44B9"/>
    <w:rsid w:val="006B44EB"/>
    <w:rsid w:val="006B4E65"/>
    <w:rsid w:val="006B6FEA"/>
    <w:rsid w:val="006B74FC"/>
    <w:rsid w:val="006B772F"/>
    <w:rsid w:val="006B7D8C"/>
    <w:rsid w:val="006B7D97"/>
    <w:rsid w:val="006B7FBE"/>
    <w:rsid w:val="006C0EDA"/>
    <w:rsid w:val="006C1096"/>
    <w:rsid w:val="006C12A4"/>
    <w:rsid w:val="006C1C1A"/>
    <w:rsid w:val="006C1FC9"/>
    <w:rsid w:val="006C29E3"/>
    <w:rsid w:val="006C2ED4"/>
    <w:rsid w:val="006C3031"/>
    <w:rsid w:val="006C3C83"/>
    <w:rsid w:val="006C3D47"/>
    <w:rsid w:val="006C3DFF"/>
    <w:rsid w:val="006C3E63"/>
    <w:rsid w:val="006C46E6"/>
    <w:rsid w:val="006C4886"/>
    <w:rsid w:val="006C492D"/>
    <w:rsid w:val="006C59C5"/>
    <w:rsid w:val="006C5FD1"/>
    <w:rsid w:val="006C7064"/>
    <w:rsid w:val="006C7ECD"/>
    <w:rsid w:val="006C7F26"/>
    <w:rsid w:val="006D0061"/>
    <w:rsid w:val="006D0697"/>
    <w:rsid w:val="006D0C77"/>
    <w:rsid w:val="006D1629"/>
    <w:rsid w:val="006D1747"/>
    <w:rsid w:val="006D1B2A"/>
    <w:rsid w:val="006D1B8A"/>
    <w:rsid w:val="006D20C2"/>
    <w:rsid w:val="006D235E"/>
    <w:rsid w:val="006D24D4"/>
    <w:rsid w:val="006D2858"/>
    <w:rsid w:val="006D323D"/>
    <w:rsid w:val="006D36D2"/>
    <w:rsid w:val="006D3E5B"/>
    <w:rsid w:val="006D4687"/>
    <w:rsid w:val="006D4781"/>
    <w:rsid w:val="006D5E0E"/>
    <w:rsid w:val="006D5E90"/>
    <w:rsid w:val="006D63B3"/>
    <w:rsid w:val="006D6E91"/>
    <w:rsid w:val="006D75D8"/>
    <w:rsid w:val="006E038A"/>
    <w:rsid w:val="006E0DFB"/>
    <w:rsid w:val="006E140D"/>
    <w:rsid w:val="006E15AD"/>
    <w:rsid w:val="006E1992"/>
    <w:rsid w:val="006E1E44"/>
    <w:rsid w:val="006E21B8"/>
    <w:rsid w:val="006E2475"/>
    <w:rsid w:val="006E274C"/>
    <w:rsid w:val="006E29A8"/>
    <w:rsid w:val="006E2CF0"/>
    <w:rsid w:val="006E2F4C"/>
    <w:rsid w:val="006E3339"/>
    <w:rsid w:val="006E3C94"/>
    <w:rsid w:val="006E3D19"/>
    <w:rsid w:val="006E4371"/>
    <w:rsid w:val="006E4563"/>
    <w:rsid w:val="006E4A43"/>
    <w:rsid w:val="006E5997"/>
    <w:rsid w:val="006E62E9"/>
    <w:rsid w:val="006E6F4A"/>
    <w:rsid w:val="006E74CA"/>
    <w:rsid w:val="006F005D"/>
    <w:rsid w:val="006F07B4"/>
    <w:rsid w:val="006F0AD2"/>
    <w:rsid w:val="006F0BF6"/>
    <w:rsid w:val="006F0DEB"/>
    <w:rsid w:val="006F0F54"/>
    <w:rsid w:val="006F100A"/>
    <w:rsid w:val="006F1327"/>
    <w:rsid w:val="006F1757"/>
    <w:rsid w:val="006F1B4D"/>
    <w:rsid w:val="006F2E74"/>
    <w:rsid w:val="006F39C3"/>
    <w:rsid w:val="006F4129"/>
    <w:rsid w:val="006F4692"/>
    <w:rsid w:val="006F48DF"/>
    <w:rsid w:val="006F4A95"/>
    <w:rsid w:val="006F4E6C"/>
    <w:rsid w:val="006F4FB8"/>
    <w:rsid w:val="006F4FF9"/>
    <w:rsid w:val="006F5096"/>
    <w:rsid w:val="006F58AD"/>
    <w:rsid w:val="006F6629"/>
    <w:rsid w:val="006F694B"/>
    <w:rsid w:val="006F6F12"/>
    <w:rsid w:val="006F71CA"/>
    <w:rsid w:val="006F78A5"/>
    <w:rsid w:val="006F7B6D"/>
    <w:rsid w:val="006F7CA8"/>
    <w:rsid w:val="006F7F3A"/>
    <w:rsid w:val="00700E79"/>
    <w:rsid w:val="00702761"/>
    <w:rsid w:val="00702E87"/>
    <w:rsid w:val="00704596"/>
    <w:rsid w:val="007048B9"/>
    <w:rsid w:val="00704DE4"/>
    <w:rsid w:val="00704F48"/>
    <w:rsid w:val="007054B1"/>
    <w:rsid w:val="00705529"/>
    <w:rsid w:val="00705545"/>
    <w:rsid w:val="007056D6"/>
    <w:rsid w:val="00705711"/>
    <w:rsid w:val="00705AD1"/>
    <w:rsid w:val="00706CB1"/>
    <w:rsid w:val="007070B2"/>
    <w:rsid w:val="00707427"/>
    <w:rsid w:val="007078D0"/>
    <w:rsid w:val="00707C49"/>
    <w:rsid w:val="007110B4"/>
    <w:rsid w:val="0071124C"/>
    <w:rsid w:val="007118EF"/>
    <w:rsid w:val="0071195D"/>
    <w:rsid w:val="00711A2D"/>
    <w:rsid w:val="00712449"/>
    <w:rsid w:val="007129A3"/>
    <w:rsid w:val="00713110"/>
    <w:rsid w:val="00713111"/>
    <w:rsid w:val="0071336D"/>
    <w:rsid w:val="00713552"/>
    <w:rsid w:val="0071366B"/>
    <w:rsid w:val="007136DE"/>
    <w:rsid w:val="00714C73"/>
    <w:rsid w:val="0071533A"/>
    <w:rsid w:val="00715AA9"/>
    <w:rsid w:val="00715D91"/>
    <w:rsid w:val="00715E86"/>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A88"/>
    <w:rsid w:val="00723B4D"/>
    <w:rsid w:val="00723CC9"/>
    <w:rsid w:val="007240BC"/>
    <w:rsid w:val="00724A4E"/>
    <w:rsid w:val="00724D69"/>
    <w:rsid w:val="0072610B"/>
    <w:rsid w:val="00726E9A"/>
    <w:rsid w:val="00727F44"/>
    <w:rsid w:val="00730837"/>
    <w:rsid w:val="00730DF9"/>
    <w:rsid w:val="007310B1"/>
    <w:rsid w:val="00731905"/>
    <w:rsid w:val="0073242E"/>
    <w:rsid w:val="0073289D"/>
    <w:rsid w:val="00732958"/>
    <w:rsid w:val="0073317B"/>
    <w:rsid w:val="0073374A"/>
    <w:rsid w:val="00733FC4"/>
    <w:rsid w:val="00734107"/>
    <w:rsid w:val="00734323"/>
    <w:rsid w:val="00734C84"/>
    <w:rsid w:val="00734EDE"/>
    <w:rsid w:val="007350FE"/>
    <w:rsid w:val="0073514D"/>
    <w:rsid w:val="0073527E"/>
    <w:rsid w:val="0073556B"/>
    <w:rsid w:val="007357D8"/>
    <w:rsid w:val="00735B38"/>
    <w:rsid w:val="0073646B"/>
    <w:rsid w:val="00736726"/>
    <w:rsid w:val="00737455"/>
    <w:rsid w:val="00737964"/>
    <w:rsid w:val="00737BEC"/>
    <w:rsid w:val="00740B8D"/>
    <w:rsid w:val="007412F7"/>
    <w:rsid w:val="007413C3"/>
    <w:rsid w:val="00742D58"/>
    <w:rsid w:val="00742FC7"/>
    <w:rsid w:val="00743130"/>
    <w:rsid w:val="007434CB"/>
    <w:rsid w:val="00743911"/>
    <w:rsid w:val="00743A86"/>
    <w:rsid w:val="00743B19"/>
    <w:rsid w:val="007450AE"/>
    <w:rsid w:val="0074510A"/>
    <w:rsid w:val="00745112"/>
    <w:rsid w:val="007460A5"/>
    <w:rsid w:val="007463FF"/>
    <w:rsid w:val="00746FFB"/>
    <w:rsid w:val="007471EA"/>
    <w:rsid w:val="0074746E"/>
    <w:rsid w:val="007476CD"/>
    <w:rsid w:val="007477E3"/>
    <w:rsid w:val="00750110"/>
    <w:rsid w:val="007505EE"/>
    <w:rsid w:val="00750BEF"/>
    <w:rsid w:val="00750E90"/>
    <w:rsid w:val="007512D7"/>
    <w:rsid w:val="00751324"/>
    <w:rsid w:val="00751A55"/>
    <w:rsid w:val="00751D8C"/>
    <w:rsid w:val="007528D1"/>
    <w:rsid w:val="00752C0C"/>
    <w:rsid w:val="00752E09"/>
    <w:rsid w:val="0075368E"/>
    <w:rsid w:val="007539DC"/>
    <w:rsid w:val="00753A9F"/>
    <w:rsid w:val="007545F0"/>
    <w:rsid w:val="00754DA7"/>
    <w:rsid w:val="00755366"/>
    <w:rsid w:val="007554B0"/>
    <w:rsid w:val="0075550B"/>
    <w:rsid w:val="00755582"/>
    <w:rsid w:val="007556B2"/>
    <w:rsid w:val="00756500"/>
    <w:rsid w:val="007568D1"/>
    <w:rsid w:val="00756EFA"/>
    <w:rsid w:val="00756F92"/>
    <w:rsid w:val="00757161"/>
    <w:rsid w:val="00757C14"/>
    <w:rsid w:val="00760314"/>
    <w:rsid w:val="00760523"/>
    <w:rsid w:val="007610C7"/>
    <w:rsid w:val="00762606"/>
    <w:rsid w:val="007632E1"/>
    <w:rsid w:val="00764A71"/>
    <w:rsid w:val="00764DF3"/>
    <w:rsid w:val="00764F58"/>
    <w:rsid w:val="00764FC9"/>
    <w:rsid w:val="007651ED"/>
    <w:rsid w:val="00765CDE"/>
    <w:rsid w:val="00765DB8"/>
    <w:rsid w:val="007665D9"/>
    <w:rsid w:val="00766ECE"/>
    <w:rsid w:val="00766FF2"/>
    <w:rsid w:val="00767155"/>
    <w:rsid w:val="00767171"/>
    <w:rsid w:val="0077118A"/>
    <w:rsid w:val="00771D70"/>
    <w:rsid w:val="00771F81"/>
    <w:rsid w:val="00772561"/>
    <w:rsid w:val="007726B2"/>
    <w:rsid w:val="007728B6"/>
    <w:rsid w:val="0077300D"/>
    <w:rsid w:val="0077364E"/>
    <w:rsid w:val="00773B26"/>
    <w:rsid w:val="00773B4A"/>
    <w:rsid w:val="007740E5"/>
    <w:rsid w:val="00776134"/>
    <w:rsid w:val="00776542"/>
    <w:rsid w:val="00776752"/>
    <w:rsid w:val="0077677B"/>
    <w:rsid w:val="00777349"/>
    <w:rsid w:val="0077757C"/>
    <w:rsid w:val="007775F9"/>
    <w:rsid w:val="00777FDE"/>
    <w:rsid w:val="00780481"/>
    <w:rsid w:val="00780792"/>
    <w:rsid w:val="00780F7C"/>
    <w:rsid w:val="00780FF2"/>
    <w:rsid w:val="0078219E"/>
    <w:rsid w:val="00782294"/>
    <w:rsid w:val="0078338D"/>
    <w:rsid w:val="00783C8F"/>
    <w:rsid w:val="00784427"/>
    <w:rsid w:val="00784780"/>
    <w:rsid w:val="00785131"/>
    <w:rsid w:val="0078578C"/>
    <w:rsid w:val="007858EB"/>
    <w:rsid w:val="0078594A"/>
    <w:rsid w:val="00785C7B"/>
    <w:rsid w:val="0078625E"/>
    <w:rsid w:val="00786A02"/>
    <w:rsid w:val="00787462"/>
    <w:rsid w:val="00787614"/>
    <w:rsid w:val="00787756"/>
    <w:rsid w:val="0078783D"/>
    <w:rsid w:val="00790DA3"/>
    <w:rsid w:val="00791116"/>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4C4"/>
    <w:rsid w:val="00796B08"/>
    <w:rsid w:val="0079761E"/>
    <w:rsid w:val="00797651"/>
    <w:rsid w:val="007A01BA"/>
    <w:rsid w:val="007A0356"/>
    <w:rsid w:val="007A1688"/>
    <w:rsid w:val="007A234C"/>
    <w:rsid w:val="007A25C9"/>
    <w:rsid w:val="007A2631"/>
    <w:rsid w:val="007A2828"/>
    <w:rsid w:val="007A283A"/>
    <w:rsid w:val="007A2BA0"/>
    <w:rsid w:val="007A2C4A"/>
    <w:rsid w:val="007A317F"/>
    <w:rsid w:val="007A331D"/>
    <w:rsid w:val="007A35C3"/>
    <w:rsid w:val="007A3895"/>
    <w:rsid w:val="007A3C48"/>
    <w:rsid w:val="007A3F12"/>
    <w:rsid w:val="007A4063"/>
    <w:rsid w:val="007A46EF"/>
    <w:rsid w:val="007A4A55"/>
    <w:rsid w:val="007A5D5F"/>
    <w:rsid w:val="007A6022"/>
    <w:rsid w:val="007A6528"/>
    <w:rsid w:val="007A689D"/>
    <w:rsid w:val="007A68C3"/>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659E"/>
    <w:rsid w:val="007B667D"/>
    <w:rsid w:val="007B6731"/>
    <w:rsid w:val="007B6F7C"/>
    <w:rsid w:val="007B7031"/>
    <w:rsid w:val="007B72E5"/>
    <w:rsid w:val="007B7591"/>
    <w:rsid w:val="007B772C"/>
    <w:rsid w:val="007B7DBA"/>
    <w:rsid w:val="007C065A"/>
    <w:rsid w:val="007C07AC"/>
    <w:rsid w:val="007C0F67"/>
    <w:rsid w:val="007C1709"/>
    <w:rsid w:val="007C1FFB"/>
    <w:rsid w:val="007C2717"/>
    <w:rsid w:val="007C2F22"/>
    <w:rsid w:val="007C3224"/>
    <w:rsid w:val="007C3F4A"/>
    <w:rsid w:val="007C3F6E"/>
    <w:rsid w:val="007C4A7F"/>
    <w:rsid w:val="007C4AC7"/>
    <w:rsid w:val="007C4D8C"/>
    <w:rsid w:val="007C5699"/>
    <w:rsid w:val="007C6259"/>
    <w:rsid w:val="007C62E9"/>
    <w:rsid w:val="007C6DE8"/>
    <w:rsid w:val="007C70CA"/>
    <w:rsid w:val="007C77D8"/>
    <w:rsid w:val="007C7BF4"/>
    <w:rsid w:val="007D1025"/>
    <w:rsid w:val="007D1CA6"/>
    <w:rsid w:val="007D1CF5"/>
    <w:rsid w:val="007D350C"/>
    <w:rsid w:val="007D357B"/>
    <w:rsid w:val="007D3596"/>
    <w:rsid w:val="007D4816"/>
    <w:rsid w:val="007D52BE"/>
    <w:rsid w:val="007D5725"/>
    <w:rsid w:val="007D59DA"/>
    <w:rsid w:val="007D62BB"/>
    <w:rsid w:val="007D6493"/>
    <w:rsid w:val="007D6F58"/>
    <w:rsid w:val="007E04A1"/>
    <w:rsid w:val="007E0BAB"/>
    <w:rsid w:val="007E0EA9"/>
    <w:rsid w:val="007E1059"/>
    <w:rsid w:val="007E11B4"/>
    <w:rsid w:val="007E14BA"/>
    <w:rsid w:val="007E1C9B"/>
    <w:rsid w:val="007E1F71"/>
    <w:rsid w:val="007E26E1"/>
    <w:rsid w:val="007E2BEA"/>
    <w:rsid w:val="007E2C1B"/>
    <w:rsid w:val="007E3531"/>
    <w:rsid w:val="007E3D25"/>
    <w:rsid w:val="007E3DBD"/>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3058"/>
    <w:rsid w:val="007F3134"/>
    <w:rsid w:val="007F3163"/>
    <w:rsid w:val="007F3234"/>
    <w:rsid w:val="007F3C1E"/>
    <w:rsid w:val="007F4147"/>
    <w:rsid w:val="007F4230"/>
    <w:rsid w:val="007F5D34"/>
    <w:rsid w:val="007F6D13"/>
    <w:rsid w:val="00800B88"/>
    <w:rsid w:val="00800E30"/>
    <w:rsid w:val="008015F8"/>
    <w:rsid w:val="008017E8"/>
    <w:rsid w:val="008024B7"/>
    <w:rsid w:val="00802F26"/>
    <w:rsid w:val="0080333D"/>
    <w:rsid w:val="0080345A"/>
    <w:rsid w:val="00803CC8"/>
    <w:rsid w:val="00804507"/>
    <w:rsid w:val="008058C0"/>
    <w:rsid w:val="00805EF4"/>
    <w:rsid w:val="00806202"/>
    <w:rsid w:val="008062F1"/>
    <w:rsid w:val="00806954"/>
    <w:rsid w:val="00806FCB"/>
    <w:rsid w:val="0080761B"/>
    <w:rsid w:val="00807E53"/>
    <w:rsid w:val="00810067"/>
    <w:rsid w:val="008101E6"/>
    <w:rsid w:val="00811541"/>
    <w:rsid w:val="008120BF"/>
    <w:rsid w:val="00812422"/>
    <w:rsid w:val="00812654"/>
    <w:rsid w:val="00812C7B"/>
    <w:rsid w:val="00813258"/>
    <w:rsid w:val="00813512"/>
    <w:rsid w:val="00813E7C"/>
    <w:rsid w:val="0081470A"/>
    <w:rsid w:val="00814EBD"/>
    <w:rsid w:val="008150BD"/>
    <w:rsid w:val="0081523C"/>
    <w:rsid w:val="00815672"/>
    <w:rsid w:val="00816216"/>
    <w:rsid w:val="00816C5A"/>
    <w:rsid w:val="00817611"/>
    <w:rsid w:val="00817645"/>
    <w:rsid w:val="00817DDC"/>
    <w:rsid w:val="0082068D"/>
    <w:rsid w:val="00820A62"/>
    <w:rsid w:val="0082128F"/>
    <w:rsid w:val="0082193D"/>
    <w:rsid w:val="00822015"/>
    <w:rsid w:val="00822B4B"/>
    <w:rsid w:val="00822D2A"/>
    <w:rsid w:val="00822FF8"/>
    <w:rsid w:val="0082325B"/>
    <w:rsid w:val="00823F73"/>
    <w:rsid w:val="008241F7"/>
    <w:rsid w:val="00825A1D"/>
    <w:rsid w:val="00825A38"/>
    <w:rsid w:val="00825E39"/>
    <w:rsid w:val="008263C9"/>
    <w:rsid w:val="008266B5"/>
    <w:rsid w:val="00826BD9"/>
    <w:rsid w:val="0082782E"/>
    <w:rsid w:val="00827F72"/>
    <w:rsid w:val="0083042E"/>
    <w:rsid w:val="00830785"/>
    <w:rsid w:val="0083103A"/>
    <w:rsid w:val="00831288"/>
    <w:rsid w:val="00831B96"/>
    <w:rsid w:val="0083223A"/>
    <w:rsid w:val="008322C9"/>
    <w:rsid w:val="0083272A"/>
    <w:rsid w:val="00833160"/>
    <w:rsid w:val="00833983"/>
    <w:rsid w:val="00833E38"/>
    <w:rsid w:val="00833F78"/>
    <w:rsid w:val="00834E84"/>
    <w:rsid w:val="008355B3"/>
    <w:rsid w:val="00835612"/>
    <w:rsid w:val="00836407"/>
    <w:rsid w:val="008374FB"/>
    <w:rsid w:val="00837545"/>
    <w:rsid w:val="00837F7D"/>
    <w:rsid w:val="0084001D"/>
    <w:rsid w:val="0084078A"/>
    <w:rsid w:val="00840EEF"/>
    <w:rsid w:val="0084131F"/>
    <w:rsid w:val="00841505"/>
    <w:rsid w:val="008416FE"/>
    <w:rsid w:val="00841BF3"/>
    <w:rsid w:val="00841EE9"/>
    <w:rsid w:val="00842A91"/>
    <w:rsid w:val="0084316C"/>
    <w:rsid w:val="008432F7"/>
    <w:rsid w:val="00843D54"/>
    <w:rsid w:val="00844586"/>
    <w:rsid w:val="00844975"/>
    <w:rsid w:val="00844A42"/>
    <w:rsid w:val="00844B2F"/>
    <w:rsid w:val="00844BC8"/>
    <w:rsid w:val="0084503F"/>
    <w:rsid w:val="00845FF8"/>
    <w:rsid w:val="0084619F"/>
    <w:rsid w:val="008466E1"/>
    <w:rsid w:val="00846ABF"/>
    <w:rsid w:val="00846FDF"/>
    <w:rsid w:val="00847CEA"/>
    <w:rsid w:val="00850130"/>
    <w:rsid w:val="008501CD"/>
    <w:rsid w:val="008502FD"/>
    <w:rsid w:val="00850367"/>
    <w:rsid w:val="008505EC"/>
    <w:rsid w:val="008508F4"/>
    <w:rsid w:val="00851655"/>
    <w:rsid w:val="00851BA1"/>
    <w:rsid w:val="00852700"/>
    <w:rsid w:val="008527CD"/>
    <w:rsid w:val="00852880"/>
    <w:rsid w:val="00852DE1"/>
    <w:rsid w:val="00853383"/>
    <w:rsid w:val="00853CE9"/>
    <w:rsid w:val="00854326"/>
    <w:rsid w:val="00854373"/>
    <w:rsid w:val="00854B62"/>
    <w:rsid w:val="00854BC9"/>
    <w:rsid w:val="00854FD3"/>
    <w:rsid w:val="008550C9"/>
    <w:rsid w:val="00855411"/>
    <w:rsid w:val="00855443"/>
    <w:rsid w:val="00855502"/>
    <w:rsid w:val="00855635"/>
    <w:rsid w:val="00855BC8"/>
    <w:rsid w:val="00860921"/>
    <w:rsid w:val="00861DA7"/>
    <w:rsid w:val="00862555"/>
    <w:rsid w:val="0086255B"/>
    <w:rsid w:val="008625E8"/>
    <w:rsid w:val="00862C9B"/>
    <w:rsid w:val="0086364E"/>
    <w:rsid w:val="008646D8"/>
    <w:rsid w:val="0086480D"/>
    <w:rsid w:val="008653C9"/>
    <w:rsid w:val="008653D7"/>
    <w:rsid w:val="00865513"/>
    <w:rsid w:val="00865997"/>
    <w:rsid w:val="00866061"/>
    <w:rsid w:val="0086625E"/>
    <w:rsid w:val="008662C6"/>
    <w:rsid w:val="008662DB"/>
    <w:rsid w:val="00866596"/>
    <w:rsid w:val="00866860"/>
    <w:rsid w:val="008669E3"/>
    <w:rsid w:val="00866B76"/>
    <w:rsid w:val="008713AC"/>
    <w:rsid w:val="008714D9"/>
    <w:rsid w:val="00871E43"/>
    <w:rsid w:val="008722D9"/>
    <w:rsid w:val="0087242D"/>
    <w:rsid w:val="00872AEA"/>
    <w:rsid w:val="00872AED"/>
    <w:rsid w:val="00872C99"/>
    <w:rsid w:val="008730B0"/>
    <w:rsid w:val="008734AF"/>
    <w:rsid w:val="008745C7"/>
    <w:rsid w:val="0087490B"/>
    <w:rsid w:val="00874FD9"/>
    <w:rsid w:val="008751BC"/>
    <w:rsid w:val="00875992"/>
    <w:rsid w:val="00875F4E"/>
    <w:rsid w:val="008772AD"/>
    <w:rsid w:val="00877657"/>
    <w:rsid w:val="00877D02"/>
    <w:rsid w:val="00877E1C"/>
    <w:rsid w:val="008812DE"/>
    <w:rsid w:val="00881A27"/>
    <w:rsid w:val="00881E68"/>
    <w:rsid w:val="008826CF"/>
    <w:rsid w:val="008828CF"/>
    <w:rsid w:val="008831FC"/>
    <w:rsid w:val="00883A14"/>
    <w:rsid w:val="00884619"/>
    <w:rsid w:val="008849FF"/>
    <w:rsid w:val="00884DD2"/>
    <w:rsid w:val="008855AD"/>
    <w:rsid w:val="00886320"/>
    <w:rsid w:val="00886AA1"/>
    <w:rsid w:val="00887183"/>
    <w:rsid w:val="00887ACA"/>
    <w:rsid w:val="00887CCE"/>
    <w:rsid w:val="00887DE5"/>
    <w:rsid w:val="00890514"/>
    <w:rsid w:val="00890786"/>
    <w:rsid w:val="0089166D"/>
    <w:rsid w:val="008919D9"/>
    <w:rsid w:val="00891BAC"/>
    <w:rsid w:val="00892DFB"/>
    <w:rsid w:val="00892E2E"/>
    <w:rsid w:val="00893884"/>
    <w:rsid w:val="00893A9E"/>
    <w:rsid w:val="00893E6F"/>
    <w:rsid w:val="0089418C"/>
    <w:rsid w:val="00894903"/>
    <w:rsid w:val="00894B1D"/>
    <w:rsid w:val="00894BCC"/>
    <w:rsid w:val="00896642"/>
    <w:rsid w:val="00897035"/>
    <w:rsid w:val="00897A3C"/>
    <w:rsid w:val="00897B86"/>
    <w:rsid w:val="00897C7E"/>
    <w:rsid w:val="008A014F"/>
    <w:rsid w:val="008A0601"/>
    <w:rsid w:val="008A087E"/>
    <w:rsid w:val="008A1113"/>
    <w:rsid w:val="008A11C9"/>
    <w:rsid w:val="008A14FE"/>
    <w:rsid w:val="008A1597"/>
    <w:rsid w:val="008A1B44"/>
    <w:rsid w:val="008A1C02"/>
    <w:rsid w:val="008A28FA"/>
    <w:rsid w:val="008A2BA1"/>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B01F0"/>
    <w:rsid w:val="008B020D"/>
    <w:rsid w:val="008B0289"/>
    <w:rsid w:val="008B07CF"/>
    <w:rsid w:val="008B0B37"/>
    <w:rsid w:val="008B0E18"/>
    <w:rsid w:val="008B122E"/>
    <w:rsid w:val="008B1601"/>
    <w:rsid w:val="008B18A3"/>
    <w:rsid w:val="008B223F"/>
    <w:rsid w:val="008B2D4D"/>
    <w:rsid w:val="008B2FD0"/>
    <w:rsid w:val="008B3C63"/>
    <w:rsid w:val="008B410D"/>
    <w:rsid w:val="008B4335"/>
    <w:rsid w:val="008B469E"/>
    <w:rsid w:val="008B6221"/>
    <w:rsid w:val="008B65A5"/>
    <w:rsid w:val="008B6D0A"/>
    <w:rsid w:val="008B6D39"/>
    <w:rsid w:val="008B6D51"/>
    <w:rsid w:val="008B729D"/>
    <w:rsid w:val="008B76BA"/>
    <w:rsid w:val="008B7896"/>
    <w:rsid w:val="008C0A1A"/>
    <w:rsid w:val="008C111C"/>
    <w:rsid w:val="008C2E16"/>
    <w:rsid w:val="008C37F0"/>
    <w:rsid w:val="008C4EEC"/>
    <w:rsid w:val="008C556C"/>
    <w:rsid w:val="008C5E2F"/>
    <w:rsid w:val="008C6E48"/>
    <w:rsid w:val="008C6FE9"/>
    <w:rsid w:val="008D00EA"/>
    <w:rsid w:val="008D0379"/>
    <w:rsid w:val="008D0662"/>
    <w:rsid w:val="008D091B"/>
    <w:rsid w:val="008D1273"/>
    <w:rsid w:val="008D13E6"/>
    <w:rsid w:val="008D18F4"/>
    <w:rsid w:val="008D1E89"/>
    <w:rsid w:val="008D2A54"/>
    <w:rsid w:val="008D2A6C"/>
    <w:rsid w:val="008D2DD7"/>
    <w:rsid w:val="008D3A99"/>
    <w:rsid w:val="008D3C7D"/>
    <w:rsid w:val="008D4115"/>
    <w:rsid w:val="008D4923"/>
    <w:rsid w:val="008D53C9"/>
    <w:rsid w:val="008D5679"/>
    <w:rsid w:val="008D5725"/>
    <w:rsid w:val="008D58A3"/>
    <w:rsid w:val="008D5A54"/>
    <w:rsid w:val="008D5BD2"/>
    <w:rsid w:val="008D64E5"/>
    <w:rsid w:val="008D724C"/>
    <w:rsid w:val="008D7C97"/>
    <w:rsid w:val="008D7DA8"/>
    <w:rsid w:val="008E03B4"/>
    <w:rsid w:val="008E0DED"/>
    <w:rsid w:val="008E1397"/>
    <w:rsid w:val="008E24CC"/>
    <w:rsid w:val="008E263D"/>
    <w:rsid w:val="008E3062"/>
    <w:rsid w:val="008E344F"/>
    <w:rsid w:val="008E347E"/>
    <w:rsid w:val="008E372F"/>
    <w:rsid w:val="008E3815"/>
    <w:rsid w:val="008E3F3E"/>
    <w:rsid w:val="008E4BBE"/>
    <w:rsid w:val="008E4F26"/>
    <w:rsid w:val="008E503C"/>
    <w:rsid w:val="008E544D"/>
    <w:rsid w:val="008E5502"/>
    <w:rsid w:val="008E5F7B"/>
    <w:rsid w:val="008E7687"/>
    <w:rsid w:val="008E7AD6"/>
    <w:rsid w:val="008F00AF"/>
    <w:rsid w:val="008F0744"/>
    <w:rsid w:val="008F13EB"/>
    <w:rsid w:val="008F1BE4"/>
    <w:rsid w:val="008F1F54"/>
    <w:rsid w:val="008F23BF"/>
    <w:rsid w:val="008F27D1"/>
    <w:rsid w:val="008F2C31"/>
    <w:rsid w:val="008F2CD5"/>
    <w:rsid w:val="008F32BE"/>
    <w:rsid w:val="008F345C"/>
    <w:rsid w:val="008F59F1"/>
    <w:rsid w:val="008F5ACD"/>
    <w:rsid w:val="008F5F0D"/>
    <w:rsid w:val="008F6262"/>
    <w:rsid w:val="008F7A6B"/>
    <w:rsid w:val="008F7F33"/>
    <w:rsid w:val="0090104F"/>
    <w:rsid w:val="00901142"/>
    <w:rsid w:val="009011D8"/>
    <w:rsid w:val="00901393"/>
    <w:rsid w:val="00901D29"/>
    <w:rsid w:val="00901E18"/>
    <w:rsid w:val="00902046"/>
    <w:rsid w:val="00902EE8"/>
    <w:rsid w:val="00903819"/>
    <w:rsid w:val="00903F2E"/>
    <w:rsid w:val="009040EC"/>
    <w:rsid w:val="0090420E"/>
    <w:rsid w:val="00904419"/>
    <w:rsid w:val="009045BF"/>
    <w:rsid w:val="0090486F"/>
    <w:rsid w:val="0090542A"/>
    <w:rsid w:val="00905525"/>
    <w:rsid w:val="00905616"/>
    <w:rsid w:val="00905F4D"/>
    <w:rsid w:val="009062D3"/>
    <w:rsid w:val="009067F7"/>
    <w:rsid w:val="0090683E"/>
    <w:rsid w:val="00906A56"/>
    <w:rsid w:val="009074F0"/>
    <w:rsid w:val="00907ADE"/>
    <w:rsid w:val="009108DD"/>
    <w:rsid w:val="00910DC3"/>
    <w:rsid w:val="0091199C"/>
    <w:rsid w:val="00911BC6"/>
    <w:rsid w:val="00912168"/>
    <w:rsid w:val="00912C14"/>
    <w:rsid w:val="00912F57"/>
    <w:rsid w:val="0091339B"/>
    <w:rsid w:val="0091385F"/>
    <w:rsid w:val="00913F3E"/>
    <w:rsid w:val="0091405D"/>
    <w:rsid w:val="00914CD9"/>
    <w:rsid w:val="0091575E"/>
    <w:rsid w:val="009158BE"/>
    <w:rsid w:val="00915C00"/>
    <w:rsid w:val="0091614D"/>
    <w:rsid w:val="00916D1A"/>
    <w:rsid w:val="00916FB6"/>
    <w:rsid w:val="0091705E"/>
    <w:rsid w:val="009170D4"/>
    <w:rsid w:val="00917400"/>
    <w:rsid w:val="009177AD"/>
    <w:rsid w:val="00917AB2"/>
    <w:rsid w:val="009202C7"/>
    <w:rsid w:val="009212CD"/>
    <w:rsid w:val="00921DAD"/>
    <w:rsid w:val="00922A23"/>
    <w:rsid w:val="00922F25"/>
    <w:rsid w:val="0092385C"/>
    <w:rsid w:val="00923FAE"/>
    <w:rsid w:val="009241B5"/>
    <w:rsid w:val="00924260"/>
    <w:rsid w:val="00924502"/>
    <w:rsid w:val="009245D3"/>
    <w:rsid w:val="009255CE"/>
    <w:rsid w:val="009267A6"/>
    <w:rsid w:val="00927037"/>
    <w:rsid w:val="00927230"/>
    <w:rsid w:val="00927673"/>
    <w:rsid w:val="00930430"/>
    <w:rsid w:val="00930748"/>
    <w:rsid w:val="00931E92"/>
    <w:rsid w:val="00932778"/>
    <w:rsid w:val="00933030"/>
    <w:rsid w:val="00933CFF"/>
    <w:rsid w:val="00934914"/>
    <w:rsid w:val="00935A38"/>
    <w:rsid w:val="00935B9F"/>
    <w:rsid w:val="0093657E"/>
    <w:rsid w:val="00937647"/>
    <w:rsid w:val="0093787B"/>
    <w:rsid w:val="00940631"/>
    <w:rsid w:val="00940788"/>
    <w:rsid w:val="00940FCA"/>
    <w:rsid w:val="0094180C"/>
    <w:rsid w:val="00942091"/>
    <w:rsid w:val="009425EE"/>
    <w:rsid w:val="00944928"/>
    <w:rsid w:val="00944A9B"/>
    <w:rsid w:val="0094516F"/>
    <w:rsid w:val="009451DE"/>
    <w:rsid w:val="00945315"/>
    <w:rsid w:val="00946009"/>
    <w:rsid w:val="00946506"/>
    <w:rsid w:val="0095060C"/>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81"/>
    <w:rsid w:val="009554C7"/>
    <w:rsid w:val="009557EE"/>
    <w:rsid w:val="00955EC5"/>
    <w:rsid w:val="009561DC"/>
    <w:rsid w:val="009566DE"/>
    <w:rsid w:val="00957756"/>
    <w:rsid w:val="0095778B"/>
    <w:rsid w:val="009614DF"/>
    <w:rsid w:val="00961D41"/>
    <w:rsid w:val="009623D0"/>
    <w:rsid w:val="009626E1"/>
    <w:rsid w:val="00962AF9"/>
    <w:rsid w:val="00962D0A"/>
    <w:rsid w:val="009632A4"/>
    <w:rsid w:val="00963A33"/>
    <w:rsid w:val="009642AC"/>
    <w:rsid w:val="0096448F"/>
    <w:rsid w:val="00964782"/>
    <w:rsid w:val="00965993"/>
    <w:rsid w:val="0096669C"/>
    <w:rsid w:val="009667B5"/>
    <w:rsid w:val="00966905"/>
    <w:rsid w:val="00966BE3"/>
    <w:rsid w:val="0096707E"/>
    <w:rsid w:val="0096751F"/>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D0"/>
    <w:rsid w:val="00981821"/>
    <w:rsid w:val="009825C4"/>
    <w:rsid w:val="00983365"/>
    <w:rsid w:val="009833C9"/>
    <w:rsid w:val="00984230"/>
    <w:rsid w:val="00985925"/>
    <w:rsid w:val="009863C6"/>
    <w:rsid w:val="009865B4"/>
    <w:rsid w:val="00986C49"/>
    <w:rsid w:val="00986CD7"/>
    <w:rsid w:val="009877FB"/>
    <w:rsid w:val="00990887"/>
    <w:rsid w:val="00991012"/>
    <w:rsid w:val="00991022"/>
    <w:rsid w:val="009913A2"/>
    <w:rsid w:val="00991597"/>
    <w:rsid w:val="00991B71"/>
    <w:rsid w:val="00992AC4"/>
    <w:rsid w:val="00992ED0"/>
    <w:rsid w:val="00993858"/>
    <w:rsid w:val="00993B8A"/>
    <w:rsid w:val="00993FE7"/>
    <w:rsid w:val="00994350"/>
    <w:rsid w:val="00994CF8"/>
    <w:rsid w:val="009950CE"/>
    <w:rsid w:val="00995485"/>
    <w:rsid w:val="00995B17"/>
    <w:rsid w:val="00995C6B"/>
    <w:rsid w:val="00995F45"/>
    <w:rsid w:val="009964F2"/>
    <w:rsid w:val="009968CF"/>
    <w:rsid w:val="00996A2A"/>
    <w:rsid w:val="009A0016"/>
    <w:rsid w:val="009A055F"/>
    <w:rsid w:val="009A17DF"/>
    <w:rsid w:val="009A1B1F"/>
    <w:rsid w:val="009A1FBA"/>
    <w:rsid w:val="009A1FCF"/>
    <w:rsid w:val="009A2DC7"/>
    <w:rsid w:val="009A3486"/>
    <w:rsid w:val="009A34F1"/>
    <w:rsid w:val="009A374E"/>
    <w:rsid w:val="009A486B"/>
    <w:rsid w:val="009A5ABF"/>
    <w:rsid w:val="009A5B39"/>
    <w:rsid w:val="009A5E8F"/>
    <w:rsid w:val="009A6362"/>
    <w:rsid w:val="009A6AF0"/>
    <w:rsid w:val="009A7664"/>
    <w:rsid w:val="009A77F4"/>
    <w:rsid w:val="009A7F41"/>
    <w:rsid w:val="009A7FC5"/>
    <w:rsid w:val="009B03E7"/>
    <w:rsid w:val="009B0627"/>
    <w:rsid w:val="009B09C2"/>
    <w:rsid w:val="009B156B"/>
    <w:rsid w:val="009B16CA"/>
    <w:rsid w:val="009B1B09"/>
    <w:rsid w:val="009B1F90"/>
    <w:rsid w:val="009B22C9"/>
    <w:rsid w:val="009B379A"/>
    <w:rsid w:val="009B4072"/>
    <w:rsid w:val="009B40C4"/>
    <w:rsid w:val="009B4173"/>
    <w:rsid w:val="009B4C40"/>
    <w:rsid w:val="009B4D84"/>
    <w:rsid w:val="009B5682"/>
    <w:rsid w:val="009B5E37"/>
    <w:rsid w:val="009B60B3"/>
    <w:rsid w:val="009B6192"/>
    <w:rsid w:val="009B6E8F"/>
    <w:rsid w:val="009B6E96"/>
    <w:rsid w:val="009B724B"/>
    <w:rsid w:val="009B779B"/>
    <w:rsid w:val="009C078B"/>
    <w:rsid w:val="009C0D58"/>
    <w:rsid w:val="009C115C"/>
    <w:rsid w:val="009C1A62"/>
    <w:rsid w:val="009C1DFA"/>
    <w:rsid w:val="009C23B7"/>
    <w:rsid w:val="009C3697"/>
    <w:rsid w:val="009C3FE7"/>
    <w:rsid w:val="009C51CF"/>
    <w:rsid w:val="009C5585"/>
    <w:rsid w:val="009C6ED6"/>
    <w:rsid w:val="009C6FEA"/>
    <w:rsid w:val="009C7312"/>
    <w:rsid w:val="009C78AD"/>
    <w:rsid w:val="009D14AA"/>
    <w:rsid w:val="009D16B9"/>
    <w:rsid w:val="009D1F1A"/>
    <w:rsid w:val="009D240E"/>
    <w:rsid w:val="009D2BAA"/>
    <w:rsid w:val="009D2D55"/>
    <w:rsid w:val="009D31F2"/>
    <w:rsid w:val="009D374E"/>
    <w:rsid w:val="009D40DE"/>
    <w:rsid w:val="009D456D"/>
    <w:rsid w:val="009D470B"/>
    <w:rsid w:val="009D48D3"/>
    <w:rsid w:val="009D4957"/>
    <w:rsid w:val="009D52E5"/>
    <w:rsid w:val="009D5583"/>
    <w:rsid w:val="009D5905"/>
    <w:rsid w:val="009D5F0D"/>
    <w:rsid w:val="009D5F32"/>
    <w:rsid w:val="009D63C1"/>
    <w:rsid w:val="009D648F"/>
    <w:rsid w:val="009D66B0"/>
    <w:rsid w:val="009D67FF"/>
    <w:rsid w:val="009D6BF3"/>
    <w:rsid w:val="009D7876"/>
    <w:rsid w:val="009D7BBA"/>
    <w:rsid w:val="009D7D11"/>
    <w:rsid w:val="009E068E"/>
    <w:rsid w:val="009E0BB8"/>
    <w:rsid w:val="009E0D53"/>
    <w:rsid w:val="009E1F7F"/>
    <w:rsid w:val="009E24E9"/>
    <w:rsid w:val="009E3164"/>
    <w:rsid w:val="009E33CD"/>
    <w:rsid w:val="009E3FA0"/>
    <w:rsid w:val="009E559A"/>
    <w:rsid w:val="009E5B2C"/>
    <w:rsid w:val="009E5F7E"/>
    <w:rsid w:val="009E6C8D"/>
    <w:rsid w:val="009E7097"/>
    <w:rsid w:val="009F010A"/>
    <w:rsid w:val="009F0309"/>
    <w:rsid w:val="009F0988"/>
    <w:rsid w:val="009F0A7F"/>
    <w:rsid w:val="009F10AC"/>
    <w:rsid w:val="009F192E"/>
    <w:rsid w:val="009F2191"/>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A5"/>
    <w:rsid w:val="00A00CE8"/>
    <w:rsid w:val="00A00FBF"/>
    <w:rsid w:val="00A0112F"/>
    <w:rsid w:val="00A013A2"/>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4C9"/>
    <w:rsid w:val="00A066F9"/>
    <w:rsid w:val="00A07044"/>
    <w:rsid w:val="00A101CE"/>
    <w:rsid w:val="00A102A0"/>
    <w:rsid w:val="00A1040F"/>
    <w:rsid w:val="00A10A36"/>
    <w:rsid w:val="00A10A5F"/>
    <w:rsid w:val="00A1111A"/>
    <w:rsid w:val="00A1141F"/>
    <w:rsid w:val="00A11463"/>
    <w:rsid w:val="00A11E24"/>
    <w:rsid w:val="00A12493"/>
    <w:rsid w:val="00A12CF6"/>
    <w:rsid w:val="00A1362D"/>
    <w:rsid w:val="00A136F5"/>
    <w:rsid w:val="00A13A5A"/>
    <w:rsid w:val="00A13D37"/>
    <w:rsid w:val="00A1543D"/>
    <w:rsid w:val="00A154EE"/>
    <w:rsid w:val="00A155E8"/>
    <w:rsid w:val="00A1594F"/>
    <w:rsid w:val="00A15C6D"/>
    <w:rsid w:val="00A16894"/>
    <w:rsid w:val="00A171EC"/>
    <w:rsid w:val="00A172B7"/>
    <w:rsid w:val="00A17393"/>
    <w:rsid w:val="00A1762D"/>
    <w:rsid w:val="00A208D6"/>
    <w:rsid w:val="00A213E6"/>
    <w:rsid w:val="00A21992"/>
    <w:rsid w:val="00A21AE4"/>
    <w:rsid w:val="00A21C17"/>
    <w:rsid w:val="00A21CC6"/>
    <w:rsid w:val="00A227D1"/>
    <w:rsid w:val="00A22BCB"/>
    <w:rsid w:val="00A22CF7"/>
    <w:rsid w:val="00A22E6B"/>
    <w:rsid w:val="00A23FDC"/>
    <w:rsid w:val="00A2477C"/>
    <w:rsid w:val="00A24BAF"/>
    <w:rsid w:val="00A24F9A"/>
    <w:rsid w:val="00A256B2"/>
    <w:rsid w:val="00A25C32"/>
    <w:rsid w:val="00A26201"/>
    <w:rsid w:val="00A26CE2"/>
    <w:rsid w:val="00A26EB1"/>
    <w:rsid w:val="00A2717F"/>
    <w:rsid w:val="00A2720A"/>
    <w:rsid w:val="00A274A8"/>
    <w:rsid w:val="00A27A86"/>
    <w:rsid w:val="00A30126"/>
    <w:rsid w:val="00A302F9"/>
    <w:rsid w:val="00A304C0"/>
    <w:rsid w:val="00A30627"/>
    <w:rsid w:val="00A30F77"/>
    <w:rsid w:val="00A3119B"/>
    <w:rsid w:val="00A31966"/>
    <w:rsid w:val="00A31C04"/>
    <w:rsid w:val="00A3301E"/>
    <w:rsid w:val="00A3312A"/>
    <w:rsid w:val="00A331AA"/>
    <w:rsid w:val="00A334BF"/>
    <w:rsid w:val="00A336E2"/>
    <w:rsid w:val="00A33852"/>
    <w:rsid w:val="00A34114"/>
    <w:rsid w:val="00A3477B"/>
    <w:rsid w:val="00A34A59"/>
    <w:rsid w:val="00A35151"/>
    <w:rsid w:val="00A35E40"/>
    <w:rsid w:val="00A364C6"/>
    <w:rsid w:val="00A368A9"/>
    <w:rsid w:val="00A36E61"/>
    <w:rsid w:val="00A36E93"/>
    <w:rsid w:val="00A37551"/>
    <w:rsid w:val="00A40C78"/>
    <w:rsid w:val="00A40E5D"/>
    <w:rsid w:val="00A4107C"/>
    <w:rsid w:val="00A41945"/>
    <w:rsid w:val="00A41DB2"/>
    <w:rsid w:val="00A42119"/>
    <w:rsid w:val="00A43051"/>
    <w:rsid w:val="00A43EC3"/>
    <w:rsid w:val="00A448C8"/>
    <w:rsid w:val="00A45076"/>
    <w:rsid w:val="00A456B0"/>
    <w:rsid w:val="00A457FF"/>
    <w:rsid w:val="00A45854"/>
    <w:rsid w:val="00A45997"/>
    <w:rsid w:val="00A45E00"/>
    <w:rsid w:val="00A4650D"/>
    <w:rsid w:val="00A4671F"/>
    <w:rsid w:val="00A46B66"/>
    <w:rsid w:val="00A46F67"/>
    <w:rsid w:val="00A47A42"/>
    <w:rsid w:val="00A501D1"/>
    <w:rsid w:val="00A5082B"/>
    <w:rsid w:val="00A5163A"/>
    <w:rsid w:val="00A51E35"/>
    <w:rsid w:val="00A52170"/>
    <w:rsid w:val="00A53138"/>
    <w:rsid w:val="00A5327A"/>
    <w:rsid w:val="00A53B57"/>
    <w:rsid w:val="00A5434C"/>
    <w:rsid w:val="00A54F96"/>
    <w:rsid w:val="00A54FBF"/>
    <w:rsid w:val="00A55307"/>
    <w:rsid w:val="00A555D1"/>
    <w:rsid w:val="00A57B45"/>
    <w:rsid w:val="00A57CAD"/>
    <w:rsid w:val="00A60CBA"/>
    <w:rsid w:val="00A60E22"/>
    <w:rsid w:val="00A616AA"/>
    <w:rsid w:val="00A617AA"/>
    <w:rsid w:val="00A624B5"/>
    <w:rsid w:val="00A62E16"/>
    <w:rsid w:val="00A630DB"/>
    <w:rsid w:val="00A63467"/>
    <w:rsid w:val="00A63693"/>
    <w:rsid w:val="00A636F2"/>
    <w:rsid w:val="00A639EC"/>
    <w:rsid w:val="00A643C1"/>
    <w:rsid w:val="00A645B2"/>
    <w:rsid w:val="00A6501C"/>
    <w:rsid w:val="00A65089"/>
    <w:rsid w:val="00A65138"/>
    <w:rsid w:val="00A652E8"/>
    <w:rsid w:val="00A65DD7"/>
    <w:rsid w:val="00A66184"/>
    <w:rsid w:val="00A67124"/>
    <w:rsid w:val="00A67CB1"/>
    <w:rsid w:val="00A67EAB"/>
    <w:rsid w:val="00A67EBF"/>
    <w:rsid w:val="00A7000C"/>
    <w:rsid w:val="00A70DFA"/>
    <w:rsid w:val="00A71B28"/>
    <w:rsid w:val="00A72307"/>
    <w:rsid w:val="00A72C40"/>
    <w:rsid w:val="00A7332D"/>
    <w:rsid w:val="00A73C68"/>
    <w:rsid w:val="00A74123"/>
    <w:rsid w:val="00A7412A"/>
    <w:rsid w:val="00A74218"/>
    <w:rsid w:val="00A7469C"/>
    <w:rsid w:val="00A746BE"/>
    <w:rsid w:val="00A74B97"/>
    <w:rsid w:val="00A74F89"/>
    <w:rsid w:val="00A76848"/>
    <w:rsid w:val="00A76A4F"/>
    <w:rsid w:val="00A76C01"/>
    <w:rsid w:val="00A77B15"/>
    <w:rsid w:val="00A77E0B"/>
    <w:rsid w:val="00A8057F"/>
    <w:rsid w:val="00A80936"/>
    <w:rsid w:val="00A80DB0"/>
    <w:rsid w:val="00A81244"/>
    <w:rsid w:val="00A81458"/>
    <w:rsid w:val="00A81501"/>
    <w:rsid w:val="00A8222D"/>
    <w:rsid w:val="00A82368"/>
    <w:rsid w:val="00A826F4"/>
    <w:rsid w:val="00A827BF"/>
    <w:rsid w:val="00A83114"/>
    <w:rsid w:val="00A83A21"/>
    <w:rsid w:val="00A83A24"/>
    <w:rsid w:val="00A83A66"/>
    <w:rsid w:val="00A83B60"/>
    <w:rsid w:val="00A84273"/>
    <w:rsid w:val="00A84761"/>
    <w:rsid w:val="00A84D45"/>
    <w:rsid w:val="00A85A60"/>
    <w:rsid w:val="00A85AC7"/>
    <w:rsid w:val="00A85B7D"/>
    <w:rsid w:val="00A85DA0"/>
    <w:rsid w:val="00A861FF"/>
    <w:rsid w:val="00A86B0C"/>
    <w:rsid w:val="00A86C53"/>
    <w:rsid w:val="00A871A4"/>
    <w:rsid w:val="00A8767B"/>
    <w:rsid w:val="00A87E9C"/>
    <w:rsid w:val="00A903FB"/>
    <w:rsid w:val="00A90540"/>
    <w:rsid w:val="00A9156A"/>
    <w:rsid w:val="00A91A45"/>
    <w:rsid w:val="00A924D2"/>
    <w:rsid w:val="00A92BA0"/>
    <w:rsid w:val="00A93804"/>
    <w:rsid w:val="00A94378"/>
    <w:rsid w:val="00A947AD"/>
    <w:rsid w:val="00A94894"/>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310"/>
    <w:rsid w:val="00AA2AF9"/>
    <w:rsid w:val="00AA2F8E"/>
    <w:rsid w:val="00AA3874"/>
    <w:rsid w:val="00AA3C57"/>
    <w:rsid w:val="00AA4297"/>
    <w:rsid w:val="00AA4724"/>
    <w:rsid w:val="00AA4A36"/>
    <w:rsid w:val="00AA4BED"/>
    <w:rsid w:val="00AA510F"/>
    <w:rsid w:val="00AA5192"/>
    <w:rsid w:val="00AA52DD"/>
    <w:rsid w:val="00AA52FB"/>
    <w:rsid w:val="00AA5AC2"/>
    <w:rsid w:val="00AA5AF2"/>
    <w:rsid w:val="00AA6CF5"/>
    <w:rsid w:val="00AA7610"/>
    <w:rsid w:val="00AB0867"/>
    <w:rsid w:val="00AB10E8"/>
    <w:rsid w:val="00AB1D0C"/>
    <w:rsid w:val="00AB23E5"/>
    <w:rsid w:val="00AB2449"/>
    <w:rsid w:val="00AB2C01"/>
    <w:rsid w:val="00AB2DB1"/>
    <w:rsid w:val="00AB362A"/>
    <w:rsid w:val="00AB444C"/>
    <w:rsid w:val="00AB4B64"/>
    <w:rsid w:val="00AB5B26"/>
    <w:rsid w:val="00AB647E"/>
    <w:rsid w:val="00AB69F4"/>
    <w:rsid w:val="00AB6A10"/>
    <w:rsid w:val="00AB6AC5"/>
    <w:rsid w:val="00AB6C8A"/>
    <w:rsid w:val="00AB73D0"/>
    <w:rsid w:val="00AB7A45"/>
    <w:rsid w:val="00AC011D"/>
    <w:rsid w:val="00AC0408"/>
    <w:rsid w:val="00AC0F10"/>
    <w:rsid w:val="00AC112C"/>
    <w:rsid w:val="00AC1639"/>
    <w:rsid w:val="00AC27E2"/>
    <w:rsid w:val="00AC2BC0"/>
    <w:rsid w:val="00AC2E37"/>
    <w:rsid w:val="00AC314A"/>
    <w:rsid w:val="00AC3369"/>
    <w:rsid w:val="00AC3611"/>
    <w:rsid w:val="00AC3A8C"/>
    <w:rsid w:val="00AC3C18"/>
    <w:rsid w:val="00AC3F37"/>
    <w:rsid w:val="00AC4E40"/>
    <w:rsid w:val="00AC60A6"/>
    <w:rsid w:val="00AC6343"/>
    <w:rsid w:val="00AC65E7"/>
    <w:rsid w:val="00AC6710"/>
    <w:rsid w:val="00AC6CD5"/>
    <w:rsid w:val="00AC6D80"/>
    <w:rsid w:val="00AC73BF"/>
    <w:rsid w:val="00AC74D0"/>
    <w:rsid w:val="00AC7E2D"/>
    <w:rsid w:val="00AD0068"/>
    <w:rsid w:val="00AD01EE"/>
    <w:rsid w:val="00AD0374"/>
    <w:rsid w:val="00AD0483"/>
    <w:rsid w:val="00AD05D3"/>
    <w:rsid w:val="00AD0758"/>
    <w:rsid w:val="00AD0C32"/>
    <w:rsid w:val="00AD0EB1"/>
    <w:rsid w:val="00AD161A"/>
    <w:rsid w:val="00AD1EB2"/>
    <w:rsid w:val="00AD23EA"/>
    <w:rsid w:val="00AD2ABC"/>
    <w:rsid w:val="00AD358D"/>
    <w:rsid w:val="00AD382E"/>
    <w:rsid w:val="00AD3B4D"/>
    <w:rsid w:val="00AD3F6B"/>
    <w:rsid w:val="00AD406C"/>
    <w:rsid w:val="00AD44A7"/>
    <w:rsid w:val="00AD45A9"/>
    <w:rsid w:val="00AD4F42"/>
    <w:rsid w:val="00AD5746"/>
    <w:rsid w:val="00AD595E"/>
    <w:rsid w:val="00AD6CAB"/>
    <w:rsid w:val="00AD6CFC"/>
    <w:rsid w:val="00AD779D"/>
    <w:rsid w:val="00AD7FF1"/>
    <w:rsid w:val="00AE0793"/>
    <w:rsid w:val="00AE07A1"/>
    <w:rsid w:val="00AE0896"/>
    <w:rsid w:val="00AE12B2"/>
    <w:rsid w:val="00AE1676"/>
    <w:rsid w:val="00AE1712"/>
    <w:rsid w:val="00AE245D"/>
    <w:rsid w:val="00AE251D"/>
    <w:rsid w:val="00AE2B40"/>
    <w:rsid w:val="00AE3076"/>
    <w:rsid w:val="00AE3719"/>
    <w:rsid w:val="00AE38AA"/>
    <w:rsid w:val="00AE391A"/>
    <w:rsid w:val="00AE3F2E"/>
    <w:rsid w:val="00AE3F5C"/>
    <w:rsid w:val="00AE41C4"/>
    <w:rsid w:val="00AE4D0A"/>
    <w:rsid w:val="00AE4EF0"/>
    <w:rsid w:val="00AE519F"/>
    <w:rsid w:val="00AE551A"/>
    <w:rsid w:val="00AE56F6"/>
    <w:rsid w:val="00AE6124"/>
    <w:rsid w:val="00AE6B4D"/>
    <w:rsid w:val="00AE6C37"/>
    <w:rsid w:val="00AE73FF"/>
    <w:rsid w:val="00AE7684"/>
    <w:rsid w:val="00AE7F93"/>
    <w:rsid w:val="00AF096E"/>
    <w:rsid w:val="00AF1033"/>
    <w:rsid w:val="00AF13E5"/>
    <w:rsid w:val="00AF1D2A"/>
    <w:rsid w:val="00AF1F76"/>
    <w:rsid w:val="00AF30A5"/>
    <w:rsid w:val="00AF3610"/>
    <w:rsid w:val="00AF4396"/>
    <w:rsid w:val="00AF50C1"/>
    <w:rsid w:val="00AF53E8"/>
    <w:rsid w:val="00AF5451"/>
    <w:rsid w:val="00AF54CE"/>
    <w:rsid w:val="00AF5EF2"/>
    <w:rsid w:val="00AF61E9"/>
    <w:rsid w:val="00AF659D"/>
    <w:rsid w:val="00AF6666"/>
    <w:rsid w:val="00AF7455"/>
    <w:rsid w:val="00B00D0F"/>
    <w:rsid w:val="00B01FF9"/>
    <w:rsid w:val="00B028AE"/>
    <w:rsid w:val="00B034C2"/>
    <w:rsid w:val="00B03B53"/>
    <w:rsid w:val="00B03C68"/>
    <w:rsid w:val="00B03D12"/>
    <w:rsid w:val="00B03F73"/>
    <w:rsid w:val="00B051BF"/>
    <w:rsid w:val="00B057CE"/>
    <w:rsid w:val="00B059CC"/>
    <w:rsid w:val="00B06D3A"/>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4010"/>
    <w:rsid w:val="00B140F7"/>
    <w:rsid w:val="00B143AF"/>
    <w:rsid w:val="00B14AE2"/>
    <w:rsid w:val="00B14E3C"/>
    <w:rsid w:val="00B15391"/>
    <w:rsid w:val="00B159DE"/>
    <w:rsid w:val="00B15A49"/>
    <w:rsid w:val="00B15DBA"/>
    <w:rsid w:val="00B15DF0"/>
    <w:rsid w:val="00B15E9C"/>
    <w:rsid w:val="00B16455"/>
    <w:rsid w:val="00B1689F"/>
    <w:rsid w:val="00B16AB6"/>
    <w:rsid w:val="00B16FFA"/>
    <w:rsid w:val="00B1704B"/>
    <w:rsid w:val="00B22F87"/>
    <w:rsid w:val="00B234F5"/>
    <w:rsid w:val="00B23DEC"/>
    <w:rsid w:val="00B240C0"/>
    <w:rsid w:val="00B242A0"/>
    <w:rsid w:val="00B243FF"/>
    <w:rsid w:val="00B254C2"/>
    <w:rsid w:val="00B260E2"/>
    <w:rsid w:val="00B27BDF"/>
    <w:rsid w:val="00B30249"/>
    <w:rsid w:val="00B30355"/>
    <w:rsid w:val="00B30460"/>
    <w:rsid w:val="00B30A5A"/>
    <w:rsid w:val="00B31023"/>
    <w:rsid w:val="00B314B3"/>
    <w:rsid w:val="00B3162D"/>
    <w:rsid w:val="00B3231D"/>
    <w:rsid w:val="00B32ECC"/>
    <w:rsid w:val="00B3323B"/>
    <w:rsid w:val="00B33902"/>
    <w:rsid w:val="00B34102"/>
    <w:rsid w:val="00B344C5"/>
    <w:rsid w:val="00B348B8"/>
    <w:rsid w:val="00B3715A"/>
    <w:rsid w:val="00B377FF"/>
    <w:rsid w:val="00B37F49"/>
    <w:rsid w:val="00B407D7"/>
    <w:rsid w:val="00B40843"/>
    <w:rsid w:val="00B40ECE"/>
    <w:rsid w:val="00B41FC9"/>
    <w:rsid w:val="00B42053"/>
    <w:rsid w:val="00B420CC"/>
    <w:rsid w:val="00B42228"/>
    <w:rsid w:val="00B42721"/>
    <w:rsid w:val="00B4287A"/>
    <w:rsid w:val="00B42A6F"/>
    <w:rsid w:val="00B43164"/>
    <w:rsid w:val="00B4317A"/>
    <w:rsid w:val="00B433AD"/>
    <w:rsid w:val="00B434C1"/>
    <w:rsid w:val="00B43649"/>
    <w:rsid w:val="00B43CA5"/>
    <w:rsid w:val="00B43ED0"/>
    <w:rsid w:val="00B44563"/>
    <w:rsid w:val="00B449B7"/>
    <w:rsid w:val="00B461A1"/>
    <w:rsid w:val="00B462E9"/>
    <w:rsid w:val="00B46D95"/>
    <w:rsid w:val="00B475D5"/>
    <w:rsid w:val="00B47785"/>
    <w:rsid w:val="00B47A65"/>
    <w:rsid w:val="00B47ECB"/>
    <w:rsid w:val="00B5103A"/>
    <w:rsid w:val="00B51157"/>
    <w:rsid w:val="00B512D4"/>
    <w:rsid w:val="00B51947"/>
    <w:rsid w:val="00B51BEF"/>
    <w:rsid w:val="00B52102"/>
    <w:rsid w:val="00B52481"/>
    <w:rsid w:val="00B52B38"/>
    <w:rsid w:val="00B52E28"/>
    <w:rsid w:val="00B534E1"/>
    <w:rsid w:val="00B53A5A"/>
    <w:rsid w:val="00B548AF"/>
    <w:rsid w:val="00B55123"/>
    <w:rsid w:val="00B5554F"/>
    <w:rsid w:val="00B55BB5"/>
    <w:rsid w:val="00B563D1"/>
    <w:rsid w:val="00B56611"/>
    <w:rsid w:val="00B56B3F"/>
    <w:rsid w:val="00B56D8A"/>
    <w:rsid w:val="00B57A81"/>
    <w:rsid w:val="00B60891"/>
    <w:rsid w:val="00B60F19"/>
    <w:rsid w:val="00B618E7"/>
    <w:rsid w:val="00B61A8A"/>
    <w:rsid w:val="00B62881"/>
    <w:rsid w:val="00B62B73"/>
    <w:rsid w:val="00B63368"/>
    <w:rsid w:val="00B64450"/>
    <w:rsid w:val="00B649F0"/>
    <w:rsid w:val="00B651D1"/>
    <w:rsid w:val="00B65277"/>
    <w:rsid w:val="00B65B0E"/>
    <w:rsid w:val="00B65F58"/>
    <w:rsid w:val="00B65FCB"/>
    <w:rsid w:val="00B6659A"/>
    <w:rsid w:val="00B672BA"/>
    <w:rsid w:val="00B673D1"/>
    <w:rsid w:val="00B67E14"/>
    <w:rsid w:val="00B67E88"/>
    <w:rsid w:val="00B7000C"/>
    <w:rsid w:val="00B70A99"/>
    <w:rsid w:val="00B7127A"/>
    <w:rsid w:val="00B71781"/>
    <w:rsid w:val="00B718DE"/>
    <w:rsid w:val="00B7278F"/>
    <w:rsid w:val="00B72C63"/>
    <w:rsid w:val="00B7368F"/>
    <w:rsid w:val="00B73CBD"/>
    <w:rsid w:val="00B7432A"/>
    <w:rsid w:val="00B74584"/>
    <w:rsid w:val="00B7467E"/>
    <w:rsid w:val="00B755AC"/>
    <w:rsid w:val="00B75A1D"/>
    <w:rsid w:val="00B75B2A"/>
    <w:rsid w:val="00B75BCC"/>
    <w:rsid w:val="00B75F30"/>
    <w:rsid w:val="00B75F79"/>
    <w:rsid w:val="00B76ED1"/>
    <w:rsid w:val="00B7764F"/>
    <w:rsid w:val="00B77B13"/>
    <w:rsid w:val="00B80206"/>
    <w:rsid w:val="00B80328"/>
    <w:rsid w:val="00B8092C"/>
    <w:rsid w:val="00B830BE"/>
    <w:rsid w:val="00B832D8"/>
    <w:rsid w:val="00B83533"/>
    <w:rsid w:val="00B8381C"/>
    <w:rsid w:val="00B83958"/>
    <w:rsid w:val="00B840AA"/>
    <w:rsid w:val="00B84558"/>
    <w:rsid w:val="00B84777"/>
    <w:rsid w:val="00B8498F"/>
    <w:rsid w:val="00B86858"/>
    <w:rsid w:val="00B875E7"/>
    <w:rsid w:val="00B90026"/>
    <w:rsid w:val="00B90269"/>
    <w:rsid w:val="00B91115"/>
    <w:rsid w:val="00B913B5"/>
    <w:rsid w:val="00B91508"/>
    <w:rsid w:val="00B9170D"/>
    <w:rsid w:val="00B91964"/>
    <w:rsid w:val="00B919A0"/>
    <w:rsid w:val="00B91B6F"/>
    <w:rsid w:val="00B91DB9"/>
    <w:rsid w:val="00B921E2"/>
    <w:rsid w:val="00B922D4"/>
    <w:rsid w:val="00B92C67"/>
    <w:rsid w:val="00B92E12"/>
    <w:rsid w:val="00B93284"/>
    <w:rsid w:val="00B93601"/>
    <w:rsid w:val="00B93817"/>
    <w:rsid w:val="00B93EC9"/>
    <w:rsid w:val="00B940D4"/>
    <w:rsid w:val="00B942C7"/>
    <w:rsid w:val="00B942FC"/>
    <w:rsid w:val="00B94A2C"/>
    <w:rsid w:val="00B956B4"/>
    <w:rsid w:val="00B95906"/>
    <w:rsid w:val="00B95A6A"/>
    <w:rsid w:val="00B95E37"/>
    <w:rsid w:val="00B96D01"/>
    <w:rsid w:val="00B96DEB"/>
    <w:rsid w:val="00B96F42"/>
    <w:rsid w:val="00B9755D"/>
    <w:rsid w:val="00B97D07"/>
    <w:rsid w:val="00B97DE6"/>
    <w:rsid w:val="00B97E85"/>
    <w:rsid w:val="00BA04BF"/>
    <w:rsid w:val="00BA0C07"/>
    <w:rsid w:val="00BA0EFB"/>
    <w:rsid w:val="00BA1614"/>
    <w:rsid w:val="00BA21D1"/>
    <w:rsid w:val="00BA354A"/>
    <w:rsid w:val="00BA370C"/>
    <w:rsid w:val="00BA3763"/>
    <w:rsid w:val="00BA3E9E"/>
    <w:rsid w:val="00BA4429"/>
    <w:rsid w:val="00BA45C1"/>
    <w:rsid w:val="00BA49AF"/>
    <w:rsid w:val="00BA4A6D"/>
    <w:rsid w:val="00BA5085"/>
    <w:rsid w:val="00BA5DFC"/>
    <w:rsid w:val="00BA6350"/>
    <w:rsid w:val="00BA63A1"/>
    <w:rsid w:val="00BA7254"/>
    <w:rsid w:val="00BA7560"/>
    <w:rsid w:val="00BA772A"/>
    <w:rsid w:val="00BA7EED"/>
    <w:rsid w:val="00BB0887"/>
    <w:rsid w:val="00BB1387"/>
    <w:rsid w:val="00BB153B"/>
    <w:rsid w:val="00BB1D0F"/>
    <w:rsid w:val="00BB1F2A"/>
    <w:rsid w:val="00BB20C7"/>
    <w:rsid w:val="00BB2972"/>
    <w:rsid w:val="00BB29D1"/>
    <w:rsid w:val="00BB314A"/>
    <w:rsid w:val="00BB3BBF"/>
    <w:rsid w:val="00BB3C87"/>
    <w:rsid w:val="00BB4B42"/>
    <w:rsid w:val="00BB5098"/>
    <w:rsid w:val="00BB64AC"/>
    <w:rsid w:val="00BB677B"/>
    <w:rsid w:val="00BB6D22"/>
    <w:rsid w:val="00BB79E2"/>
    <w:rsid w:val="00BB7D64"/>
    <w:rsid w:val="00BC042A"/>
    <w:rsid w:val="00BC0598"/>
    <w:rsid w:val="00BC0C3E"/>
    <w:rsid w:val="00BC1012"/>
    <w:rsid w:val="00BC1BCD"/>
    <w:rsid w:val="00BC1FDE"/>
    <w:rsid w:val="00BC2021"/>
    <w:rsid w:val="00BC22F0"/>
    <w:rsid w:val="00BC2921"/>
    <w:rsid w:val="00BC29CD"/>
    <w:rsid w:val="00BC29EA"/>
    <w:rsid w:val="00BC34EB"/>
    <w:rsid w:val="00BC4323"/>
    <w:rsid w:val="00BC44C4"/>
    <w:rsid w:val="00BC4DF5"/>
    <w:rsid w:val="00BC5CFC"/>
    <w:rsid w:val="00BC5F59"/>
    <w:rsid w:val="00BC7953"/>
    <w:rsid w:val="00BD0B7D"/>
    <w:rsid w:val="00BD12E7"/>
    <w:rsid w:val="00BD1C50"/>
    <w:rsid w:val="00BD2078"/>
    <w:rsid w:val="00BD2EF2"/>
    <w:rsid w:val="00BD3925"/>
    <w:rsid w:val="00BD3A86"/>
    <w:rsid w:val="00BD4371"/>
    <w:rsid w:val="00BD4542"/>
    <w:rsid w:val="00BD466F"/>
    <w:rsid w:val="00BD5AD0"/>
    <w:rsid w:val="00BD5DA9"/>
    <w:rsid w:val="00BD6B2D"/>
    <w:rsid w:val="00BD6F78"/>
    <w:rsid w:val="00BD70BD"/>
    <w:rsid w:val="00BD719D"/>
    <w:rsid w:val="00BE00E9"/>
    <w:rsid w:val="00BE0172"/>
    <w:rsid w:val="00BE0258"/>
    <w:rsid w:val="00BE0271"/>
    <w:rsid w:val="00BE0B02"/>
    <w:rsid w:val="00BE0EA6"/>
    <w:rsid w:val="00BE1447"/>
    <w:rsid w:val="00BE2148"/>
    <w:rsid w:val="00BE215D"/>
    <w:rsid w:val="00BE27C1"/>
    <w:rsid w:val="00BE2DB1"/>
    <w:rsid w:val="00BE37E5"/>
    <w:rsid w:val="00BE3C1E"/>
    <w:rsid w:val="00BE3C71"/>
    <w:rsid w:val="00BE4DE1"/>
    <w:rsid w:val="00BE4E01"/>
    <w:rsid w:val="00BE51C4"/>
    <w:rsid w:val="00BE5587"/>
    <w:rsid w:val="00BE57DD"/>
    <w:rsid w:val="00BE611E"/>
    <w:rsid w:val="00BE748B"/>
    <w:rsid w:val="00BE76CB"/>
    <w:rsid w:val="00BE7A15"/>
    <w:rsid w:val="00BE7A59"/>
    <w:rsid w:val="00BF0A1F"/>
    <w:rsid w:val="00BF0AF1"/>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71C6"/>
    <w:rsid w:val="00BF72CA"/>
    <w:rsid w:val="00BF7CD8"/>
    <w:rsid w:val="00BF7E2C"/>
    <w:rsid w:val="00BF7E96"/>
    <w:rsid w:val="00C00849"/>
    <w:rsid w:val="00C0119B"/>
    <w:rsid w:val="00C02A11"/>
    <w:rsid w:val="00C02BE9"/>
    <w:rsid w:val="00C02CE1"/>
    <w:rsid w:val="00C0309A"/>
    <w:rsid w:val="00C03141"/>
    <w:rsid w:val="00C035B9"/>
    <w:rsid w:val="00C036F3"/>
    <w:rsid w:val="00C03923"/>
    <w:rsid w:val="00C04497"/>
    <w:rsid w:val="00C04B21"/>
    <w:rsid w:val="00C04C7E"/>
    <w:rsid w:val="00C0563C"/>
    <w:rsid w:val="00C058DD"/>
    <w:rsid w:val="00C06136"/>
    <w:rsid w:val="00C069D8"/>
    <w:rsid w:val="00C06DC5"/>
    <w:rsid w:val="00C07BAE"/>
    <w:rsid w:val="00C07C15"/>
    <w:rsid w:val="00C07D28"/>
    <w:rsid w:val="00C1064A"/>
    <w:rsid w:val="00C122D5"/>
    <w:rsid w:val="00C12A44"/>
    <w:rsid w:val="00C13270"/>
    <w:rsid w:val="00C1346A"/>
    <w:rsid w:val="00C13818"/>
    <w:rsid w:val="00C1406F"/>
    <w:rsid w:val="00C14BA3"/>
    <w:rsid w:val="00C150AD"/>
    <w:rsid w:val="00C156BF"/>
    <w:rsid w:val="00C15F2A"/>
    <w:rsid w:val="00C166C1"/>
    <w:rsid w:val="00C16FFA"/>
    <w:rsid w:val="00C17602"/>
    <w:rsid w:val="00C17C27"/>
    <w:rsid w:val="00C20026"/>
    <w:rsid w:val="00C2023E"/>
    <w:rsid w:val="00C206C7"/>
    <w:rsid w:val="00C208C0"/>
    <w:rsid w:val="00C216C2"/>
    <w:rsid w:val="00C21A66"/>
    <w:rsid w:val="00C21B4F"/>
    <w:rsid w:val="00C21E41"/>
    <w:rsid w:val="00C22CCF"/>
    <w:rsid w:val="00C235EA"/>
    <w:rsid w:val="00C23670"/>
    <w:rsid w:val="00C2371B"/>
    <w:rsid w:val="00C23B52"/>
    <w:rsid w:val="00C2415E"/>
    <w:rsid w:val="00C2552B"/>
    <w:rsid w:val="00C25765"/>
    <w:rsid w:val="00C25DC1"/>
    <w:rsid w:val="00C25ECF"/>
    <w:rsid w:val="00C25FA6"/>
    <w:rsid w:val="00C2601D"/>
    <w:rsid w:val="00C2636C"/>
    <w:rsid w:val="00C265CB"/>
    <w:rsid w:val="00C2685E"/>
    <w:rsid w:val="00C2687B"/>
    <w:rsid w:val="00C26B59"/>
    <w:rsid w:val="00C26DA4"/>
    <w:rsid w:val="00C26F08"/>
    <w:rsid w:val="00C27ADE"/>
    <w:rsid w:val="00C27CB3"/>
    <w:rsid w:val="00C27E89"/>
    <w:rsid w:val="00C309E1"/>
    <w:rsid w:val="00C30A95"/>
    <w:rsid w:val="00C30C59"/>
    <w:rsid w:val="00C31397"/>
    <w:rsid w:val="00C3180A"/>
    <w:rsid w:val="00C325C9"/>
    <w:rsid w:val="00C33493"/>
    <w:rsid w:val="00C34B06"/>
    <w:rsid w:val="00C34F77"/>
    <w:rsid w:val="00C3503E"/>
    <w:rsid w:val="00C35384"/>
    <w:rsid w:val="00C35CA3"/>
    <w:rsid w:val="00C35CA5"/>
    <w:rsid w:val="00C35DDE"/>
    <w:rsid w:val="00C36039"/>
    <w:rsid w:val="00C36163"/>
    <w:rsid w:val="00C36180"/>
    <w:rsid w:val="00C36798"/>
    <w:rsid w:val="00C37CAC"/>
    <w:rsid w:val="00C40212"/>
    <w:rsid w:val="00C40A17"/>
    <w:rsid w:val="00C40C55"/>
    <w:rsid w:val="00C41071"/>
    <w:rsid w:val="00C41B9B"/>
    <w:rsid w:val="00C42B20"/>
    <w:rsid w:val="00C42B7B"/>
    <w:rsid w:val="00C43145"/>
    <w:rsid w:val="00C43441"/>
    <w:rsid w:val="00C43A4B"/>
    <w:rsid w:val="00C44DD6"/>
    <w:rsid w:val="00C450C9"/>
    <w:rsid w:val="00C45DB2"/>
    <w:rsid w:val="00C46745"/>
    <w:rsid w:val="00C46A36"/>
    <w:rsid w:val="00C46F16"/>
    <w:rsid w:val="00C47C07"/>
    <w:rsid w:val="00C47D1C"/>
    <w:rsid w:val="00C47E7A"/>
    <w:rsid w:val="00C501AA"/>
    <w:rsid w:val="00C50961"/>
    <w:rsid w:val="00C50979"/>
    <w:rsid w:val="00C512B1"/>
    <w:rsid w:val="00C517BE"/>
    <w:rsid w:val="00C51F98"/>
    <w:rsid w:val="00C51FE6"/>
    <w:rsid w:val="00C5294A"/>
    <w:rsid w:val="00C535AB"/>
    <w:rsid w:val="00C53CF7"/>
    <w:rsid w:val="00C53E92"/>
    <w:rsid w:val="00C53F04"/>
    <w:rsid w:val="00C54128"/>
    <w:rsid w:val="00C5419F"/>
    <w:rsid w:val="00C54EA5"/>
    <w:rsid w:val="00C55206"/>
    <w:rsid w:val="00C55F0D"/>
    <w:rsid w:val="00C56336"/>
    <w:rsid w:val="00C5688D"/>
    <w:rsid w:val="00C56914"/>
    <w:rsid w:val="00C569CE"/>
    <w:rsid w:val="00C56C93"/>
    <w:rsid w:val="00C56E87"/>
    <w:rsid w:val="00C5754E"/>
    <w:rsid w:val="00C57F83"/>
    <w:rsid w:val="00C60F5B"/>
    <w:rsid w:val="00C612D7"/>
    <w:rsid w:val="00C61C8C"/>
    <w:rsid w:val="00C622DB"/>
    <w:rsid w:val="00C627A6"/>
    <w:rsid w:val="00C6295C"/>
    <w:rsid w:val="00C62A1B"/>
    <w:rsid w:val="00C62C1D"/>
    <w:rsid w:val="00C63381"/>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70E"/>
    <w:rsid w:val="00C67A04"/>
    <w:rsid w:val="00C67D84"/>
    <w:rsid w:val="00C70710"/>
    <w:rsid w:val="00C716B0"/>
    <w:rsid w:val="00C71788"/>
    <w:rsid w:val="00C71ED9"/>
    <w:rsid w:val="00C71F7B"/>
    <w:rsid w:val="00C7255D"/>
    <w:rsid w:val="00C7322E"/>
    <w:rsid w:val="00C73777"/>
    <w:rsid w:val="00C73E3E"/>
    <w:rsid w:val="00C74D0B"/>
    <w:rsid w:val="00C74DE6"/>
    <w:rsid w:val="00C74EAD"/>
    <w:rsid w:val="00C75933"/>
    <w:rsid w:val="00C75CE4"/>
    <w:rsid w:val="00C75D0A"/>
    <w:rsid w:val="00C7653F"/>
    <w:rsid w:val="00C76680"/>
    <w:rsid w:val="00C7746D"/>
    <w:rsid w:val="00C77C8A"/>
    <w:rsid w:val="00C77D06"/>
    <w:rsid w:val="00C8067E"/>
    <w:rsid w:val="00C80FC3"/>
    <w:rsid w:val="00C81881"/>
    <w:rsid w:val="00C81927"/>
    <w:rsid w:val="00C8194F"/>
    <w:rsid w:val="00C81E36"/>
    <w:rsid w:val="00C821B9"/>
    <w:rsid w:val="00C82331"/>
    <w:rsid w:val="00C82C75"/>
    <w:rsid w:val="00C841DD"/>
    <w:rsid w:val="00C84711"/>
    <w:rsid w:val="00C84A03"/>
    <w:rsid w:val="00C85723"/>
    <w:rsid w:val="00C85E07"/>
    <w:rsid w:val="00C86604"/>
    <w:rsid w:val="00C867BB"/>
    <w:rsid w:val="00C8768A"/>
    <w:rsid w:val="00C90597"/>
    <w:rsid w:val="00C90AD6"/>
    <w:rsid w:val="00C90BF4"/>
    <w:rsid w:val="00C90E41"/>
    <w:rsid w:val="00C91632"/>
    <w:rsid w:val="00C920B6"/>
    <w:rsid w:val="00C9277D"/>
    <w:rsid w:val="00C92B09"/>
    <w:rsid w:val="00C92FAE"/>
    <w:rsid w:val="00C93381"/>
    <w:rsid w:val="00C93A35"/>
    <w:rsid w:val="00C9486A"/>
    <w:rsid w:val="00C957CF"/>
    <w:rsid w:val="00C95C27"/>
    <w:rsid w:val="00C95C58"/>
    <w:rsid w:val="00C963EA"/>
    <w:rsid w:val="00C969EE"/>
    <w:rsid w:val="00C96A1F"/>
    <w:rsid w:val="00C96E2E"/>
    <w:rsid w:val="00C970F6"/>
    <w:rsid w:val="00C975D8"/>
    <w:rsid w:val="00C977E1"/>
    <w:rsid w:val="00CA1649"/>
    <w:rsid w:val="00CA16C0"/>
    <w:rsid w:val="00CA2193"/>
    <w:rsid w:val="00CA38F0"/>
    <w:rsid w:val="00CA3D0A"/>
    <w:rsid w:val="00CA46C8"/>
    <w:rsid w:val="00CA4840"/>
    <w:rsid w:val="00CA52AB"/>
    <w:rsid w:val="00CA564E"/>
    <w:rsid w:val="00CA56A3"/>
    <w:rsid w:val="00CA5AD0"/>
    <w:rsid w:val="00CA64CD"/>
    <w:rsid w:val="00CA6571"/>
    <w:rsid w:val="00CA65D3"/>
    <w:rsid w:val="00CB02CD"/>
    <w:rsid w:val="00CB040A"/>
    <w:rsid w:val="00CB0E29"/>
    <w:rsid w:val="00CB17FA"/>
    <w:rsid w:val="00CB1902"/>
    <w:rsid w:val="00CB1AED"/>
    <w:rsid w:val="00CB2E57"/>
    <w:rsid w:val="00CB2F1E"/>
    <w:rsid w:val="00CB46BE"/>
    <w:rsid w:val="00CB5662"/>
    <w:rsid w:val="00CB67F0"/>
    <w:rsid w:val="00CC041D"/>
    <w:rsid w:val="00CC0C38"/>
    <w:rsid w:val="00CC1259"/>
    <w:rsid w:val="00CC153F"/>
    <w:rsid w:val="00CC197F"/>
    <w:rsid w:val="00CC210C"/>
    <w:rsid w:val="00CC2999"/>
    <w:rsid w:val="00CC2C5B"/>
    <w:rsid w:val="00CC39E2"/>
    <w:rsid w:val="00CC3E85"/>
    <w:rsid w:val="00CC5129"/>
    <w:rsid w:val="00CC577A"/>
    <w:rsid w:val="00CC5ADF"/>
    <w:rsid w:val="00CC5DE5"/>
    <w:rsid w:val="00CC5F29"/>
    <w:rsid w:val="00CC6707"/>
    <w:rsid w:val="00CC6D3B"/>
    <w:rsid w:val="00CC71EE"/>
    <w:rsid w:val="00CC729E"/>
    <w:rsid w:val="00CC7A44"/>
    <w:rsid w:val="00CC7E42"/>
    <w:rsid w:val="00CD0B56"/>
    <w:rsid w:val="00CD0D8B"/>
    <w:rsid w:val="00CD1301"/>
    <w:rsid w:val="00CD179E"/>
    <w:rsid w:val="00CD1839"/>
    <w:rsid w:val="00CD1CFE"/>
    <w:rsid w:val="00CD1E63"/>
    <w:rsid w:val="00CD2007"/>
    <w:rsid w:val="00CD2BAD"/>
    <w:rsid w:val="00CD31FF"/>
    <w:rsid w:val="00CD368F"/>
    <w:rsid w:val="00CD3729"/>
    <w:rsid w:val="00CD3ABA"/>
    <w:rsid w:val="00CD3BF2"/>
    <w:rsid w:val="00CD3ED4"/>
    <w:rsid w:val="00CD403A"/>
    <w:rsid w:val="00CD4573"/>
    <w:rsid w:val="00CD508E"/>
    <w:rsid w:val="00CD5846"/>
    <w:rsid w:val="00CD59C8"/>
    <w:rsid w:val="00CD5E7B"/>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852"/>
    <w:rsid w:val="00CE5690"/>
    <w:rsid w:val="00CE61DC"/>
    <w:rsid w:val="00CE651A"/>
    <w:rsid w:val="00CE656C"/>
    <w:rsid w:val="00CE6DDD"/>
    <w:rsid w:val="00CE74F9"/>
    <w:rsid w:val="00CE7702"/>
    <w:rsid w:val="00CF063F"/>
    <w:rsid w:val="00CF1386"/>
    <w:rsid w:val="00CF1C54"/>
    <w:rsid w:val="00CF1F53"/>
    <w:rsid w:val="00CF2169"/>
    <w:rsid w:val="00CF28AE"/>
    <w:rsid w:val="00CF2A56"/>
    <w:rsid w:val="00CF2BD1"/>
    <w:rsid w:val="00CF31D9"/>
    <w:rsid w:val="00CF32F3"/>
    <w:rsid w:val="00CF33D0"/>
    <w:rsid w:val="00CF34DA"/>
    <w:rsid w:val="00CF388F"/>
    <w:rsid w:val="00CF3D3C"/>
    <w:rsid w:val="00CF3D88"/>
    <w:rsid w:val="00CF435F"/>
    <w:rsid w:val="00CF468A"/>
    <w:rsid w:val="00CF4788"/>
    <w:rsid w:val="00CF4F89"/>
    <w:rsid w:val="00CF5BB1"/>
    <w:rsid w:val="00CF6239"/>
    <w:rsid w:val="00CF634E"/>
    <w:rsid w:val="00CF64EB"/>
    <w:rsid w:val="00CF67D9"/>
    <w:rsid w:val="00CF758B"/>
    <w:rsid w:val="00CF7D70"/>
    <w:rsid w:val="00D020F2"/>
    <w:rsid w:val="00D021A3"/>
    <w:rsid w:val="00D02863"/>
    <w:rsid w:val="00D028F2"/>
    <w:rsid w:val="00D03772"/>
    <w:rsid w:val="00D03AD3"/>
    <w:rsid w:val="00D03F6B"/>
    <w:rsid w:val="00D04F40"/>
    <w:rsid w:val="00D052CD"/>
    <w:rsid w:val="00D05A9F"/>
    <w:rsid w:val="00D05B72"/>
    <w:rsid w:val="00D05BF3"/>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53B8"/>
    <w:rsid w:val="00D15F40"/>
    <w:rsid w:val="00D16124"/>
    <w:rsid w:val="00D1709C"/>
    <w:rsid w:val="00D17AEB"/>
    <w:rsid w:val="00D2083A"/>
    <w:rsid w:val="00D21615"/>
    <w:rsid w:val="00D220D2"/>
    <w:rsid w:val="00D22142"/>
    <w:rsid w:val="00D226BA"/>
    <w:rsid w:val="00D22D42"/>
    <w:rsid w:val="00D23ABD"/>
    <w:rsid w:val="00D23CBA"/>
    <w:rsid w:val="00D24B5E"/>
    <w:rsid w:val="00D25E98"/>
    <w:rsid w:val="00D27023"/>
    <w:rsid w:val="00D27330"/>
    <w:rsid w:val="00D311ED"/>
    <w:rsid w:val="00D31576"/>
    <w:rsid w:val="00D316C0"/>
    <w:rsid w:val="00D3187B"/>
    <w:rsid w:val="00D319C5"/>
    <w:rsid w:val="00D31AC9"/>
    <w:rsid w:val="00D328BD"/>
    <w:rsid w:val="00D33058"/>
    <w:rsid w:val="00D3309C"/>
    <w:rsid w:val="00D3378D"/>
    <w:rsid w:val="00D34414"/>
    <w:rsid w:val="00D34E98"/>
    <w:rsid w:val="00D35A7D"/>
    <w:rsid w:val="00D35C5E"/>
    <w:rsid w:val="00D3685D"/>
    <w:rsid w:val="00D3763B"/>
    <w:rsid w:val="00D37ACD"/>
    <w:rsid w:val="00D37ECA"/>
    <w:rsid w:val="00D404CF"/>
    <w:rsid w:val="00D40A4C"/>
    <w:rsid w:val="00D41361"/>
    <w:rsid w:val="00D41511"/>
    <w:rsid w:val="00D41693"/>
    <w:rsid w:val="00D416F4"/>
    <w:rsid w:val="00D427CB"/>
    <w:rsid w:val="00D42BC1"/>
    <w:rsid w:val="00D44AD8"/>
    <w:rsid w:val="00D451B2"/>
    <w:rsid w:val="00D451FA"/>
    <w:rsid w:val="00D45229"/>
    <w:rsid w:val="00D4582D"/>
    <w:rsid w:val="00D458E2"/>
    <w:rsid w:val="00D464FD"/>
    <w:rsid w:val="00D4790F"/>
    <w:rsid w:val="00D47DB5"/>
    <w:rsid w:val="00D47DCF"/>
    <w:rsid w:val="00D50361"/>
    <w:rsid w:val="00D512CF"/>
    <w:rsid w:val="00D513B7"/>
    <w:rsid w:val="00D51A5C"/>
    <w:rsid w:val="00D51BFA"/>
    <w:rsid w:val="00D51EB4"/>
    <w:rsid w:val="00D52663"/>
    <w:rsid w:val="00D52DC7"/>
    <w:rsid w:val="00D52E26"/>
    <w:rsid w:val="00D5350F"/>
    <w:rsid w:val="00D539E3"/>
    <w:rsid w:val="00D53C40"/>
    <w:rsid w:val="00D53ED2"/>
    <w:rsid w:val="00D540A5"/>
    <w:rsid w:val="00D542B6"/>
    <w:rsid w:val="00D54673"/>
    <w:rsid w:val="00D5481B"/>
    <w:rsid w:val="00D54C7D"/>
    <w:rsid w:val="00D55305"/>
    <w:rsid w:val="00D556AE"/>
    <w:rsid w:val="00D559F8"/>
    <w:rsid w:val="00D55ED8"/>
    <w:rsid w:val="00D55F63"/>
    <w:rsid w:val="00D5617F"/>
    <w:rsid w:val="00D567A8"/>
    <w:rsid w:val="00D567E2"/>
    <w:rsid w:val="00D56F2D"/>
    <w:rsid w:val="00D574A8"/>
    <w:rsid w:val="00D579A7"/>
    <w:rsid w:val="00D6054D"/>
    <w:rsid w:val="00D60993"/>
    <w:rsid w:val="00D60C79"/>
    <w:rsid w:val="00D60C9C"/>
    <w:rsid w:val="00D61192"/>
    <w:rsid w:val="00D61381"/>
    <w:rsid w:val="00D61BC0"/>
    <w:rsid w:val="00D62E2C"/>
    <w:rsid w:val="00D63174"/>
    <w:rsid w:val="00D631D5"/>
    <w:rsid w:val="00D637D5"/>
    <w:rsid w:val="00D63974"/>
    <w:rsid w:val="00D63D79"/>
    <w:rsid w:val="00D63E56"/>
    <w:rsid w:val="00D63F70"/>
    <w:rsid w:val="00D642D5"/>
    <w:rsid w:val="00D6443A"/>
    <w:rsid w:val="00D654C5"/>
    <w:rsid w:val="00D66AFC"/>
    <w:rsid w:val="00D66C52"/>
    <w:rsid w:val="00D6753D"/>
    <w:rsid w:val="00D6758D"/>
    <w:rsid w:val="00D67A83"/>
    <w:rsid w:val="00D703F9"/>
    <w:rsid w:val="00D70815"/>
    <w:rsid w:val="00D70848"/>
    <w:rsid w:val="00D70C5F"/>
    <w:rsid w:val="00D70D39"/>
    <w:rsid w:val="00D70DBA"/>
    <w:rsid w:val="00D72EE4"/>
    <w:rsid w:val="00D738EE"/>
    <w:rsid w:val="00D73AB5"/>
    <w:rsid w:val="00D73D6D"/>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F83"/>
    <w:rsid w:val="00D812E2"/>
    <w:rsid w:val="00D81358"/>
    <w:rsid w:val="00D813A2"/>
    <w:rsid w:val="00D8184B"/>
    <w:rsid w:val="00D8236B"/>
    <w:rsid w:val="00D82D3E"/>
    <w:rsid w:val="00D834F1"/>
    <w:rsid w:val="00D83957"/>
    <w:rsid w:val="00D83EFE"/>
    <w:rsid w:val="00D847CF"/>
    <w:rsid w:val="00D84EB3"/>
    <w:rsid w:val="00D85A0F"/>
    <w:rsid w:val="00D85B89"/>
    <w:rsid w:val="00D86F4A"/>
    <w:rsid w:val="00D87081"/>
    <w:rsid w:val="00D871B9"/>
    <w:rsid w:val="00D8791F"/>
    <w:rsid w:val="00D90DC1"/>
    <w:rsid w:val="00D91044"/>
    <w:rsid w:val="00D913EE"/>
    <w:rsid w:val="00D913F3"/>
    <w:rsid w:val="00D917BB"/>
    <w:rsid w:val="00D92232"/>
    <w:rsid w:val="00D92E25"/>
    <w:rsid w:val="00D93252"/>
    <w:rsid w:val="00D9396A"/>
    <w:rsid w:val="00D94756"/>
    <w:rsid w:val="00D94DF5"/>
    <w:rsid w:val="00D96119"/>
    <w:rsid w:val="00D963BB"/>
    <w:rsid w:val="00D9695F"/>
    <w:rsid w:val="00D96D8A"/>
    <w:rsid w:val="00D97A83"/>
    <w:rsid w:val="00D97C27"/>
    <w:rsid w:val="00D97F80"/>
    <w:rsid w:val="00D97FAD"/>
    <w:rsid w:val="00DA01C5"/>
    <w:rsid w:val="00DA09DD"/>
    <w:rsid w:val="00DA10BB"/>
    <w:rsid w:val="00DA1670"/>
    <w:rsid w:val="00DA1F5B"/>
    <w:rsid w:val="00DA2462"/>
    <w:rsid w:val="00DA278E"/>
    <w:rsid w:val="00DA2B0B"/>
    <w:rsid w:val="00DA2E17"/>
    <w:rsid w:val="00DA390A"/>
    <w:rsid w:val="00DA3ED2"/>
    <w:rsid w:val="00DA57C5"/>
    <w:rsid w:val="00DA638C"/>
    <w:rsid w:val="00DA70D4"/>
    <w:rsid w:val="00DA7213"/>
    <w:rsid w:val="00DA7694"/>
    <w:rsid w:val="00DA78A6"/>
    <w:rsid w:val="00DA7B7C"/>
    <w:rsid w:val="00DA7FB3"/>
    <w:rsid w:val="00DB010F"/>
    <w:rsid w:val="00DB01DF"/>
    <w:rsid w:val="00DB0C69"/>
    <w:rsid w:val="00DB1089"/>
    <w:rsid w:val="00DB10DC"/>
    <w:rsid w:val="00DB2689"/>
    <w:rsid w:val="00DB2807"/>
    <w:rsid w:val="00DB2A1B"/>
    <w:rsid w:val="00DB2BE7"/>
    <w:rsid w:val="00DB2E4D"/>
    <w:rsid w:val="00DB438F"/>
    <w:rsid w:val="00DB4FC2"/>
    <w:rsid w:val="00DB5238"/>
    <w:rsid w:val="00DB55E9"/>
    <w:rsid w:val="00DB57DD"/>
    <w:rsid w:val="00DB5859"/>
    <w:rsid w:val="00DB5B21"/>
    <w:rsid w:val="00DB5FF2"/>
    <w:rsid w:val="00DB70E7"/>
    <w:rsid w:val="00DB7370"/>
    <w:rsid w:val="00DC0D99"/>
    <w:rsid w:val="00DC0E24"/>
    <w:rsid w:val="00DC10DE"/>
    <w:rsid w:val="00DC15A3"/>
    <w:rsid w:val="00DC163C"/>
    <w:rsid w:val="00DC1ED0"/>
    <w:rsid w:val="00DC246C"/>
    <w:rsid w:val="00DC273C"/>
    <w:rsid w:val="00DC2E82"/>
    <w:rsid w:val="00DC2FEB"/>
    <w:rsid w:val="00DC3301"/>
    <w:rsid w:val="00DC37CA"/>
    <w:rsid w:val="00DC3C20"/>
    <w:rsid w:val="00DC3E44"/>
    <w:rsid w:val="00DC450B"/>
    <w:rsid w:val="00DC48F0"/>
    <w:rsid w:val="00DC49E4"/>
    <w:rsid w:val="00DC49ED"/>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475"/>
    <w:rsid w:val="00DD2781"/>
    <w:rsid w:val="00DD2F75"/>
    <w:rsid w:val="00DD2F9E"/>
    <w:rsid w:val="00DD3B2F"/>
    <w:rsid w:val="00DD46BE"/>
    <w:rsid w:val="00DD46C7"/>
    <w:rsid w:val="00DD47A3"/>
    <w:rsid w:val="00DD499D"/>
    <w:rsid w:val="00DD4C66"/>
    <w:rsid w:val="00DD4F0A"/>
    <w:rsid w:val="00DD511E"/>
    <w:rsid w:val="00DD57D9"/>
    <w:rsid w:val="00DD6033"/>
    <w:rsid w:val="00DD6275"/>
    <w:rsid w:val="00DD64EF"/>
    <w:rsid w:val="00DD6D01"/>
    <w:rsid w:val="00DD7504"/>
    <w:rsid w:val="00DD7684"/>
    <w:rsid w:val="00DD7941"/>
    <w:rsid w:val="00DE011B"/>
    <w:rsid w:val="00DE03A8"/>
    <w:rsid w:val="00DE03FD"/>
    <w:rsid w:val="00DE10AC"/>
    <w:rsid w:val="00DE12C2"/>
    <w:rsid w:val="00DE2395"/>
    <w:rsid w:val="00DE24D9"/>
    <w:rsid w:val="00DE2BAA"/>
    <w:rsid w:val="00DE2BCD"/>
    <w:rsid w:val="00DE3996"/>
    <w:rsid w:val="00DE47DA"/>
    <w:rsid w:val="00DE4890"/>
    <w:rsid w:val="00DE4C4E"/>
    <w:rsid w:val="00DE4FAB"/>
    <w:rsid w:val="00DE50DD"/>
    <w:rsid w:val="00DE54DE"/>
    <w:rsid w:val="00DE5907"/>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D16"/>
    <w:rsid w:val="00DF3048"/>
    <w:rsid w:val="00DF3051"/>
    <w:rsid w:val="00DF343E"/>
    <w:rsid w:val="00DF36BF"/>
    <w:rsid w:val="00DF3B31"/>
    <w:rsid w:val="00DF3E28"/>
    <w:rsid w:val="00DF3FC2"/>
    <w:rsid w:val="00DF3FFA"/>
    <w:rsid w:val="00DF42A7"/>
    <w:rsid w:val="00DF4391"/>
    <w:rsid w:val="00DF4985"/>
    <w:rsid w:val="00DF4BD2"/>
    <w:rsid w:val="00DF5BB8"/>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734A"/>
    <w:rsid w:val="00E076E9"/>
    <w:rsid w:val="00E078AA"/>
    <w:rsid w:val="00E10CE7"/>
    <w:rsid w:val="00E11E0F"/>
    <w:rsid w:val="00E1216F"/>
    <w:rsid w:val="00E12921"/>
    <w:rsid w:val="00E134EE"/>
    <w:rsid w:val="00E13649"/>
    <w:rsid w:val="00E14714"/>
    <w:rsid w:val="00E150C0"/>
    <w:rsid w:val="00E150FD"/>
    <w:rsid w:val="00E158DB"/>
    <w:rsid w:val="00E1591F"/>
    <w:rsid w:val="00E16377"/>
    <w:rsid w:val="00E16A55"/>
    <w:rsid w:val="00E1700C"/>
    <w:rsid w:val="00E17217"/>
    <w:rsid w:val="00E17934"/>
    <w:rsid w:val="00E17AD2"/>
    <w:rsid w:val="00E17DF9"/>
    <w:rsid w:val="00E2075F"/>
    <w:rsid w:val="00E20A94"/>
    <w:rsid w:val="00E20D99"/>
    <w:rsid w:val="00E22755"/>
    <w:rsid w:val="00E227FE"/>
    <w:rsid w:val="00E2368D"/>
    <w:rsid w:val="00E238A7"/>
    <w:rsid w:val="00E23D8B"/>
    <w:rsid w:val="00E246A7"/>
    <w:rsid w:val="00E246AA"/>
    <w:rsid w:val="00E2509C"/>
    <w:rsid w:val="00E259FF"/>
    <w:rsid w:val="00E25B82"/>
    <w:rsid w:val="00E26014"/>
    <w:rsid w:val="00E26150"/>
    <w:rsid w:val="00E279A9"/>
    <w:rsid w:val="00E279D1"/>
    <w:rsid w:val="00E300B7"/>
    <w:rsid w:val="00E30339"/>
    <w:rsid w:val="00E32DE0"/>
    <w:rsid w:val="00E32E5D"/>
    <w:rsid w:val="00E32F37"/>
    <w:rsid w:val="00E33007"/>
    <w:rsid w:val="00E3377F"/>
    <w:rsid w:val="00E33990"/>
    <w:rsid w:val="00E34122"/>
    <w:rsid w:val="00E34AC0"/>
    <w:rsid w:val="00E34F2E"/>
    <w:rsid w:val="00E37096"/>
    <w:rsid w:val="00E37A7E"/>
    <w:rsid w:val="00E37CAE"/>
    <w:rsid w:val="00E37EEE"/>
    <w:rsid w:val="00E40323"/>
    <w:rsid w:val="00E4176B"/>
    <w:rsid w:val="00E4197C"/>
    <w:rsid w:val="00E43089"/>
    <w:rsid w:val="00E43DC5"/>
    <w:rsid w:val="00E4420E"/>
    <w:rsid w:val="00E443CE"/>
    <w:rsid w:val="00E44F10"/>
    <w:rsid w:val="00E45477"/>
    <w:rsid w:val="00E456B4"/>
    <w:rsid w:val="00E4582D"/>
    <w:rsid w:val="00E45A08"/>
    <w:rsid w:val="00E46449"/>
    <w:rsid w:val="00E4686F"/>
    <w:rsid w:val="00E46A4F"/>
    <w:rsid w:val="00E471B8"/>
    <w:rsid w:val="00E50323"/>
    <w:rsid w:val="00E50882"/>
    <w:rsid w:val="00E50C75"/>
    <w:rsid w:val="00E50D5A"/>
    <w:rsid w:val="00E51895"/>
    <w:rsid w:val="00E51B4D"/>
    <w:rsid w:val="00E51D2C"/>
    <w:rsid w:val="00E51F04"/>
    <w:rsid w:val="00E52A25"/>
    <w:rsid w:val="00E52CB9"/>
    <w:rsid w:val="00E52F40"/>
    <w:rsid w:val="00E53088"/>
    <w:rsid w:val="00E548EA"/>
    <w:rsid w:val="00E55045"/>
    <w:rsid w:val="00E557A5"/>
    <w:rsid w:val="00E558E2"/>
    <w:rsid w:val="00E55966"/>
    <w:rsid w:val="00E55C07"/>
    <w:rsid w:val="00E55CD5"/>
    <w:rsid w:val="00E55FC8"/>
    <w:rsid w:val="00E56970"/>
    <w:rsid w:val="00E56FC4"/>
    <w:rsid w:val="00E577F5"/>
    <w:rsid w:val="00E57B51"/>
    <w:rsid w:val="00E57E79"/>
    <w:rsid w:val="00E600B9"/>
    <w:rsid w:val="00E604AE"/>
    <w:rsid w:val="00E60AD6"/>
    <w:rsid w:val="00E612ED"/>
    <w:rsid w:val="00E61B05"/>
    <w:rsid w:val="00E61F8E"/>
    <w:rsid w:val="00E620F2"/>
    <w:rsid w:val="00E630BE"/>
    <w:rsid w:val="00E6347B"/>
    <w:rsid w:val="00E63CA9"/>
    <w:rsid w:val="00E64075"/>
    <w:rsid w:val="00E6437E"/>
    <w:rsid w:val="00E644C9"/>
    <w:rsid w:val="00E654DC"/>
    <w:rsid w:val="00E65B8E"/>
    <w:rsid w:val="00E65C88"/>
    <w:rsid w:val="00E66022"/>
    <w:rsid w:val="00E66470"/>
    <w:rsid w:val="00E66B52"/>
    <w:rsid w:val="00E67128"/>
    <w:rsid w:val="00E679BB"/>
    <w:rsid w:val="00E70676"/>
    <w:rsid w:val="00E70863"/>
    <w:rsid w:val="00E70CE3"/>
    <w:rsid w:val="00E70FA5"/>
    <w:rsid w:val="00E72409"/>
    <w:rsid w:val="00E735DD"/>
    <w:rsid w:val="00E7393B"/>
    <w:rsid w:val="00E73A85"/>
    <w:rsid w:val="00E73EA5"/>
    <w:rsid w:val="00E74650"/>
    <w:rsid w:val="00E74A2F"/>
    <w:rsid w:val="00E74E8D"/>
    <w:rsid w:val="00E74EE3"/>
    <w:rsid w:val="00E751E5"/>
    <w:rsid w:val="00E7680C"/>
    <w:rsid w:val="00E768C5"/>
    <w:rsid w:val="00E77099"/>
    <w:rsid w:val="00E77259"/>
    <w:rsid w:val="00E77713"/>
    <w:rsid w:val="00E77801"/>
    <w:rsid w:val="00E77D6C"/>
    <w:rsid w:val="00E8082F"/>
    <w:rsid w:val="00E80DE4"/>
    <w:rsid w:val="00E80E8B"/>
    <w:rsid w:val="00E82BB6"/>
    <w:rsid w:val="00E8394A"/>
    <w:rsid w:val="00E83AC5"/>
    <w:rsid w:val="00E9000F"/>
    <w:rsid w:val="00E909E8"/>
    <w:rsid w:val="00E91A95"/>
    <w:rsid w:val="00E91D12"/>
    <w:rsid w:val="00E93001"/>
    <w:rsid w:val="00E931F6"/>
    <w:rsid w:val="00E9375C"/>
    <w:rsid w:val="00E93BFF"/>
    <w:rsid w:val="00E941C0"/>
    <w:rsid w:val="00E9429D"/>
    <w:rsid w:val="00E9466D"/>
    <w:rsid w:val="00E94829"/>
    <w:rsid w:val="00E94D17"/>
    <w:rsid w:val="00E94EE3"/>
    <w:rsid w:val="00E950C5"/>
    <w:rsid w:val="00E9535B"/>
    <w:rsid w:val="00E95406"/>
    <w:rsid w:val="00E9648B"/>
    <w:rsid w:val="00E96936"/>
    <w:rsid w:val="00E96B4D"/>
    <w:rsid w:val="00E970F6"/>
    <w:rsid w:val="00E975C6"/>
    <w:rsid w:val="00E97B5C"/>
    <w:rsid w:val="00EA0DC1"/>
    <w:rsid w:val="00EA11CA"/>
    <w:rsid w:val="00EA1878"/>
    <w:rsid w:val="00EA1DD3"/>
    <w:rsid w:val="00EA31F2"/>
    <w:rsid w:val="00EA34E7"/>
    <w:rsid w:val="00EA36B6"/>
    <w:rsid w:val="00EA388C"/>
    <w:rsid w:val="00EA4781"/>
    <w:rsid w:val="00EA58E4"/>
    <w:rsid w:val="00EA6080"/>
    <w:rsid w:val="00EA6760"/>
    <w:rsid w:val="00EA6CE0"/>
    <w:rsid w:val="00EB0434"/>
    <w:rsid w:val="00EB11F9"/>
    <w:rsid w:val="00EB19B5"/>
    <w:rsid w:val="00EB1D30"/>
    <w:rsid w:val="00EB1F2A"/>
    <w:rsid w:val="00EB26BA"/>
    <w:rsid w:val="00EB28BD"/>
    <w:rsid w:val="00EB2BFC"/>
    <w:rsid w:val="00EB2EE8"/>
    <w:rsid w:val="00EB3C7A"/>
    <w:rsid w:val="00EB3D6C"/>
    <w:rsid w:val="00EB4060"/>
    <w:rsid w:val="00EB4769"/>
    <w:rsid w:val="00EB4EC2"/>
    <w:rsid w:val="00EB51BA"/>
    <w:rsid w:val="00EB5578"/>
    <w:rsid w:val="00EB56F7"/>
    <w:rsid w:val="00EB60DF"/>
    <w:rsid w:val="00EB6EDD"/>
    <w:rsid w:val="00EB73CF"/>
    <w:rsid w:val="00EB7508"/>
    <w:rsid w:val="00EB76DB"/>
    <w:rsid w:val="00EB7706"/>
    <w:rsid w:val="00EB7759"/>
    <w:rsid w:val="00EC03AA"/>
    <w:rsid w:val="00EC063A"/>
    <w:rsid w:val="00EC0773"/>
    <w:rsid w:val="00EC0941"/>
    <w:rsid w:val="00EC0BA7"/>
    <w:rsid w:val="00EC0C40"/>
    <w:rsid w:val="00EC0D17"/>
    <w:rsid w:val="00EC0FA6"/>
    <w:rsid w:val="00EC0FDC"/>
    <w:rsid w:val="00EC1039"/>
    <w:rsid w:val="00EC2144"/>
    <w:rsid w:val="00EC21F3"/>
    <w:rsid w:val="00EC4063"/>
    <w:rsid w:val="00EC46F7"/>
    <w:rsid w:val="00EC4CB3"/>
    <w:rsid w:val="00EC4F87"/>
    <w:rsid w:val="00EC59F7"/>
    <w:rsid w:val="00EC7243"/>
    <w:rsid w:val="00EC7773"/>
    <w:rsid w:val="00EC794D"/>
    <w:rsid w:val="00ED2167"/>
    <w:rsid w:val="00ED3419"/>
    <w:rsid w:val="00ED381B"/>
    <w:rsid w:val="00ED3984"/>
    <w:rsid w:val="00ED5228"/>
    <w:rsid w:val="00ED5CB8"/>
    <w:rsid w:val="00ED688B"/>
    <w:rsid w:val="00ED6F19"/>
    <w:rsid w:val="00ED75A9"/>
    <w:rsid w:val="00ED75F1"/>
    <w:rsid w:val="00EE0351"/>
    <w:rsid w:val="00EE0E00"/>
    <w:rsid w:val="00EE1237"/>
    <w:rsid w:val="00EE1F10"/>
    <w:rsid w:val="00EE292E"/>
    <w:rsid w:val="00EE3234"/>
    <w:rsid w:val="00EE38C2"/>
    <w:rsid w:val="00EE4195"/>
    <w:rsid w:val="00EE4387"/>
    <w:rsid w:val="00EE4556"/>
    <w:rsid w:val="00EE47E6"/>
    <w:rsid w:val="00EE560E"/>
    <w:rsid w:val="00EE5C15"/>
    <w:rsid w:val="00EE5E1B"/>
    <w:rsid w:val="00EE5ED4"/>
    <w:rsid w:val="00EF000F"/>
    <w:rsid w:val="00EF0655"/>
    <w:rsid w:val="00EF105A"/>
    <w:rsid w:val="00EF10CD"/>
    <w:rsid w:val="00EF1271"/>
    <w:rsid w:val="00EF12C1"/>
    <w:rsid w:val="00EF13E6"/>
    <w:rsid w:val="00EF1E9D"/>
    <w:rsid w:val="00EF29E5"/>
    <w:rsid w:val="00EF37F5"/>
    <w:rsid w:val="00EF3BE8"/>
    <w:rsid w:val="00EF402E"/>
    <w:rsid w:val="00EF48A5"/>
    <w:rsid w:val="00EF4FA5"/>
    <w:rsid w:val="00EF5659"/>
    <w:rsid w:val="00EF56A5"/>
    <w:rsid w:val="00EF56C4"/>
    <w:rsid w:val="00EF5FA6"/>
    <w:rsid w:val="00EF63E3"/>
    <w:rsid w:val="00EF6ADC"/>
    <w:rsid w:val="00EF6C67"/>
    <w:rsid w:val="00EF79EE"/>
    <w:rsid w:val="00EF7A60"/>
    <w:rsid w:val="00EF7D4A"/>
    <w:rsid w:val="00F00AA5"/>
    <w:rsid w:val="00F01286"/>
    <w:rsid w:val="00F012C9"/>
    <w:rsid w:val="00F0142B"/>
    <w:rsid w:val="00F01700"/>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10A5"/>
    <w:rsid w:val="00F1152B"/>
    <w:rsid w:val="00F118B4"/>
    <w:rsid w:val="00F11D6A"/>
    <w:rsid w:val="00F11F6C"/>
    <w:rsid w:val="00F124CB"/>
    <w:rsid w:val="00F124E5"/>
    <w:rsid w:val="00F12EEB"/>
    <w:rsid w:val="00F134C1"/>
    <w:rsid w:val="00F13586"/>
    <w:rsid w:val="00F13630"/>
    <w:rsid w:val="00F143CD"/>
    <w:rsid w:val="00F14D63"/>
    <w:rsid w:val="00F1524A"/>
    <w:rsid w:val="00F16031"/>
    <w:rsid w:val="00F16342"/>
    <w:rsid w:val="00F16B34"/>
    <w:rsid w:val="00F173FA"/>
    <w:rsid w:val="00F17769"/>
    <w:rsid w:val="00F179DA"/>
    <w:rsid w:val="00F17C01"/>
    <w:rsid w:val="00F20464"/>
    <w:rsid w:val="00F207BE"/>
    <w:rsid w:val="00F20BF9"/>
    <w:rsid w:val="00F2130B"/>
    <w:rsid w:val="00F21D76"/>
    <w:rsid w:val="00F22641"/>
    <w:rsid w:val="00F2341C"/>
    <w:rsid w:val="00F2370E"/>
    <w:rsid w:val="00F239F8"/>
    <w:rsid w:val="00F23A3E"/>
    <w:rsid w:val="00F24296"/>
    <w:rsid w:val="00F24442"/>
    <w:rsid w:val="00F247B2"/>
    <w:rsid w:val="00F249B6"/>
    <w:rsid w:val="00F24D03"/>
    <w:rsid w:val="00F24F32"/>
    <w:rsid w:val="00F2523D"/>
    <w:rsid w:val="00F25B15"/>
    <w:rsid w:val="00F26326"/>
    <w:rsid w:val="00F2633B"/>
    <w:rsid w:val="00F26E25"/>
    <w:rsid w:val="00F27758"/>
    <w:rsid w:val="00F27B0E"/>
    <w:rsid w:val="00F27D63"/>
    <w:rsid w:val="00F30185"/>
    <w:rsid w:val="00F30C27"/>
    <w:rsid w:val="00F316B6"/>
    <w:rsid w:val="00F3180F"/>
    <w:rsid w:val="00F31A52"/>
    <w:rsid w:val="00F31DA2"/>
    <w:rsid w:val="00F32196"/>
    <w:rsid w:val="00F3260A"/>
    <w:rsid w:val="00F32816"/>
    <w:rsid w:val="00F33832"/>
    <w:rsid w:val="00F33882"/>
    <w:rsid w:val="00F33D1D"/>
    <w:rsid w:val="00F33F81"/>
    <w:rsid w:val="00F34212"/>
    <w:rsid w:val="00F3424A"/>
    <w:rsid w:val="00F34B60"/>
    <w:rsid w:val="00F35D89"/>
    <w:rsid w:val="00F35F8B"/>
    <w:rsid w:val="00F3676B"/>
    <w:rsid w:val="00F3676F"/>
    <w:rsid w:val="00F36ABF"/>
    <w:rsid w:val="00F36CE1"/>
    <w:rsid w:val="00F37455"/>
    <w:rsid w:val="00F37DA5"/>
    <w:rsid w:val="00F40974"/>
    <w:rsid w:val="00F40C34"/>
    <w:rsid w:val="00F4115B"/>
    <w:rsid w:val="00F415E9"/>
    <w:rsid w:val="00F41E76"/>
    <w:rsid w:val="00F41F49"/>
    <w:rsid w:val="00F4206B"/>
    <w:rsid w:val="00F4254B"/>
    <w:rsid w:val="00F4290E"/>
    <w:rsid w:val="00F43108"/>
    <w:rsid w:val="00F447A1"/>
    <w:rsid w:val="00F4547B"/>
    <w:rsid w:val="00F456CE"/>
    <w:rsid w:val="00F45B45"/>
    <w:rsid w:val="00F468EC"/>
    <w:rsid w:val="00F47242"/>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FEA"/>
    <w:rsid w:val="00F57624"/>
    <w:rsid w:val="00F60213"/>
    <w:rsid w:val="00F60F57"/>
    <w:rsid w:val="00F6150D"/>
    <w:rsid w:val="00F61692"/>
    <w:rsid w:val="00F616AB"/>
    <w:rsid w:val="00F61AFD"/>
    <w:rsid w:val="00F61B87"/>
    <w:rsid w:val="00F6208A"/>
    <w:rsid w:val="00F620E1"/>
    <w:rsid w:val="00F62A71"/>
    <w:rsid w:val="00F62B55"/>
    <w:rsid w:val="00F62EAE"/>
    <w:rsid w:val="00F6362D"/>
    <w:rsid w:val="00F637F1"/>
    <w:rsid w:val="00F63C51"/>
    <w:rsid w:val="00F63D64"/>
    <w:rsid w:val="00F64403"/>
    <w:rsid w:val="00F64759"/>
    <w:rsid w:val="00F64927"/>
    <w:rsid w:val="00F64F25"/>
    <w:rsid w:val="00F65246"/>
    <w:rsid w:val="00F6570B"/>
    <w:rsid w:val="00F65A6C"/>
    <w:rsid w:val="00F70297"/>
    <w:rsid w:val="00F702BE"/>
    <w:rsid w:val="00F70E08"/>
    <w:rsid w:val="00F7111A"/>
    <w:rsid w:val="00F718A9"/>
    <w:rsid w:val="00F71B75"/>
    <w:rsid w:val="00F71FC0"/>
    <w:rsid w:val="00F720BB"/>
    <w:rsid w:val="00F7222E"/>
    <w:rsid w:val="00F72E06"/>
    <w:rsid w:val="00F730C6"/>
    <w:rsid w:val="00F73391"/>
    <w:rsid w:val="00F73A4E"/>
    <w:rsid w:val="00F73B7F"/>
    <w:rsid w:val="00F73D6C"/>
    <w:rsid w:val="00F74210"/>
    <w:rsid w:val="00F74B75"/>
    <w:rsid w:val="00F750E0"/>
    <w:rsid w:val="00F7518E"/>
    <w:rsid w:val="00F75829"/>
    <w:rsid w:val="00F762E0"/>
    <w:rsid w:val="00F769DB"/>
    <w:rsid w:val="00F76B31"/>
    <w:rsid w:val="00F76CB6"/>
    <w:rsid w:val="00F777B5"/>
    <w:rsid w:val="00F77968"/>
    <w:rsid w:val="00F80139"/>
    <w:rsid w:val="00F80275"/>
    <w:rsid w:val="00F80372"/>
    <w:rsid w:val="00F824FE"/>
    <w:rsid w:val="00F83201"/>
    <w:rsid w:val="00F83467"/>
    <w:rsid w:val="00F842B8"/>
    <w:rsid w:val="00F844E5"/>
    <w:rsid w:val="00F846FD"/>
    <w:rsid w:val="00F8506D"/>
    <w:rsid w:val="00F850E5"/>
    <w:rsid w:val="00F85151"/>
    <w:rsid w:val="00F85159"/>
    <w:rsid w:val="00F855AC"/>
    <w:rsid w:val="00F858F5"/>
    <w:rsid w:val="00F85C89"/>
    <w:rsid w:val="00F87488"/>
    <w:rsid w:val="00F87BA1"/>
    <w:rsid w:val="00F87CE6"/>
    <w:rsid w:val="00F87F56"/>
    <w:rsid w:val="00F904EC"/>
    <w:rsid w:val="00F90FA1"/>
    <w:rsid w:val="00F91103"/>
    <w:rsid w:val="00F9130B"/>
    <w:rsid w:val="00F91483"/>
    <w:rsid w:val="00F91E56"/>
    <w:rsid w:val="00F9202F"/>
    <w:rsid w:val="00F923D1"/>
    <w:rsid w:val="00F933C1"/>
    <w:rsid w:val="00F933ED"/>
    <w:rsid w:val="00F934DD"/>
    <w:rsid w:val="00F93DF3"/>
    <w:rsid w:val="00F948CB"/>
    <w:rsid w:val="00F94FC9"/>
    <w:rsid w:val="00F94FD7"/>
    <w:rsid w:val="00F95170"/>
    <w:rsid w:val="00F95E16"/>
    <w:rsid w:val="00F963E6"/>
    <w:rsid w:val="00F96912"/>
    <w:rsid w:val="00F96CE3"/>
    <w:rsid w:val="00F97730"/>
    <w:rsid w:val="00F9790B"/>
    <w:rsid w:val="00FA00DC"/>
    <w:rsid w:val="00FA0393"/>
    <w:rsid w:val="00FA07DB"/>
    <w:rsid w:val="00FA0F03"/>
    <w:rsid w:val="00FA115C"/>
    <w:rsid w:val="00FA1392"/>
    <w:rsid w:val="00FA1A02"/>
    <w:rsid w:val="00FA1D37"/>
    <w:rsid w:val="00FA3839"/>
    <w:rsid w:val="00FA4A76"/>
    <w:rsid w:val="00FA4F3D"/>
    <w:rsid w:val="00FA51BF"/>
    <w:rsid w:val="00FA52DE"/>
    <w:rsid w:val="00FA5463"/>
    <w:rsid w:val="00FA5CB1"/>
    <w:rsid w:val="00FA6C0A"/>
    <w:rsid w:val="00FA73BF"/>
    <w:rsid w:val="00FA7897"/>
    <w:rsid w:val="00FA7B2D"/>
    <w:rsid w:val="00FB0593"/>
    <w:rsid w:val="00FB05DF"/>
    <w:rsid w:val="00FB0A21"/>
    <w:rsid w:val="00FB0BF3"/>
    <w:rsid w:val="00FB1DF6"/>
    <w:rsid w:val="00FB1EE0"/>
    <w:rsid w:val="00FB2144"/>
    <w:rsid w:val="00FB2CF2"/>
    <w:rsid w:val="00FB305C"/>
    <w:rsid w:val="00FB308C"/>
    <w:rsid w:val="00FB319A"/>
    <w:rsid w:val="00FB34E9"/>
    <w:rsid w:val="00FB4300"/>
    <w:rsid w:val="00FB51A4"/>
    <w:rsid w:val="00FB56C0"/>
    <w:rsid w:val="00FB57DD"/>
    <w:rsid w:val="00FB5836"/>
    <w:rsid w:val="00FB595F"/>
    <w:rsid w:val="00FB5B90"/>
    <w:rsid w:val="00FB5D08"/>
    <w:rsid w:val="00FB5F00"/>
    <w:rsid w:val="00FB6271"/>
    <w:rsid w:val="00FB6415"/>
    <w:rsid w:val="00FB68B7"/>
    <w:rsid w:val="00FB7462"/>
    <w:rsid w:val="00FC0125"/>
    <w:rsid w:val="00FC0FE2"/>
    <w:rsid w:val="00FC117D"/>
    <w:rsid w:val="00FC119F"/>
    <w:rsid w:val="00FC1F58"/>
    <w:rsid w:val="00FC2177"/>
    <w:rsid w:val="00FC231D"/>
    <w:rsid w:val="00FC2355"/>
    <w:rsid w:val="00FC2474"/>
    <w:rsid w:val="00FC2816"/>
    <w:rsid w:val="00FC2920"/>
    <w:rsid w:val="00FC3A54"/>
    <w:rsid w:val="00FC3A6D"/>
    <w:rsid w:val="00FC4303"/>
    <w:rsid w:val="00FC588D"/>
    <w:rsid w:val="00FC5E3A"/>
    <w:rsid w:val="00FC630D"/>
    <w:rsid w:val="00FC6564"/>
    <w:rsid w:val="00FC6E1C"/>
    <w:rsid w:val="00FD0166"/>
    <w:rsid w:val="00FD07AB"/>
    <w:rsid w:val="00FD0DB1"/>
    <w:rsid w:val="00FD196F"/>
    <w:rsid w:val="00FD1FF0"/>
    <w:rsid w:val="00FD30BE"/>
    <w:rsid w:val="00FD3BE0"/>
    <w:rsid w:val="00FD432F"/>
    <w:rsid w:val="00FD4395"/>
    <w:rsid w:val="00FD4AE4"/>
    <w:rsid w:val="00FD4CA0"/>
    <w:rsid w:val="00FD4DB5"/>
    <w:rsid w:val="00FD55FB"/>
    <w:rsid w:val="00FD5C04"/>
    <w:rsid w:val="00FD5D3C"/>
    <w:rsid w:val="00FD62EA"/>
    <w:rsid w:val="00FD6345"/>
    <w:rsid w:val="00FD6800"/>
    <w:rsid w:val="00FD694E"/>
    <w:rsid w:val="00FD6CB3"/>
    <w:rsid w:val="00FD6CE2"/>
    <w:rsid w:val="00FD6E3E"/>
    <w:rsid w:val="00FD7359"/>
    <w:rsid w:val="00FD7395"/>
    <w:rsid w:val="00FD7C6B"/>
    <w:rsid w:val="00FE088E"/>
    <w:rsid w:val="00FE0B81"/>
    <w:rsid w:val="00FE0D3E"/>
    <w:rsid w:val="00FE10A1"/>
    <w:rsid w:val="00FE10F6"/>
    <w:rsid w:val="00FE180F"/>
    <w:rsid w:val="00FE1DCD"/>
    <w:rsid w:val="00FE209B"/>
    <w:rsid w:val="00FE2667"/>
    <w:rsid w:val="00FE306F"/>
    <w:rsid w:val="00FE316C"/>
    <w:rsid w:val="00FE495D"/>
    <w:rsid w:val="00FE4C64"/>
    <w:rsid w:val="00FE4E5E"/>
    <w:rsid w:val="00FE5244"/>
    <w:rsid w:val="00FE5578"/>
    <w:rsid w:val="00FE5EF0"/>
    <w:rsid w:val="00FE5F5C"/>
    <w:rsid w:val="00FE5FD7"/>
    <w:rsid w:val="00FE5FED"/>
    <w:rsid w:val="00FE6B6C"/>
    <w:rsid w:val="00FE7FA5"/>
    <w:rsid w:val="00FF0AF2"/>
    <w:rsid w:val="00FF0B2E"/>
    <w:rsid w:val="00FF25F8"/>
    <w:rsid w:val="00FF35AF"/>
    <w:rsid w:val="00FF3AD8"/>
    <w:rsid w:val="00FF4B0D"/>
    <w:rsid w:val="00FF5DE5"/>
    <w:rsid w:val="00FF619B"/>
    <w:rsid w:val="00FF6E30"/>
    <w:rsid w:val="00FF7326"/>
    <w:rsid w:val="00FF7705"/>
    <w:rsid w:val="00FF7D63"/>
    <w:rsid w:val="01120F47"/>
    <w:rsid w:val="01AAF084"/>
    <w:rsid w:val="01B0368A"/>
    <w:rsid w:val="01E9F326"/>
    <w:rsid w:val="020D25CB"/>
    <w:rsid w:val="023A9138"/>
    <w:rsid w:val="027B6944"/>
    <w:rsid w:val="02A7F3A8"/>
    <w:rsid w:val="02B6EC6A"/>
    <w:rsid w:val="03211C9D"/>
    <w:rsid w:val="0384114A"/>
    <w:rsid w:val="04297449"/>
    <w:rsid w:val="04374B80"/>
    <w:rsid w:val="047F647C"/>
    <w:rsid w:val="05D0469A"/>
    <w:rsid w:val="05F91F3A"/>
    <w:rsid w:val="06876261"/>
    <w:rsid w:val="068B709E"/>
    <w:rsid w:val="070BAD8E"/>
    <w:rsid w:val="0723FA46"/>
    <w:rsid w:val="0748B4EA"/>
    <w:rsid w:val="07AE10FB"/>
    <w:rsid w:val="07C54D7F"/>
    <w:rsid w:val="08A2DFD5"/>
    <w:rsid w:val="090456CB"/>
    <w:rsid w:val="0942FE98"/>
    <w:rsid w:val="09A59BAA"/>
    <w:rsid w:val="09DE3C84"/>
    <w:rsid w:val="09FB0EBA"/>
    <w:rsid w:val="09FBBD13"/>
    <w:rsid w:val="0A444DE8"/>
    <w:rsid w:val="0A59796E"/>
    <w:rsid w:val="0A8D0004"/>
    <w:rsid w:val="0AB9455E"/>
    <w:rsid w:val="0AE0BDA8"/>
    <w:rsid w:val="0AEB134A"/>
    <w:rsid w:val="0B479F80"/>
    <w:rsid w:val="0B57E92B"/>
    <w:rsid w:val="0B5BAD14"/>
    <w:rsid w:val="0BF50C7D"/>
    <w:rsid w:val="0C8E3FD8"/>
    <w:rsid w:val="0CCBEFE3"/>
    <w:rsid w:val="0CF77D75"/>
    <w:rsid w:val="0D00EDBD"/>
    <w:rsid w:val="0E2A1039"/>
    <w:rsid w:val="0E6DD838"/>
    <w:rsid w:val="0EC41982"/>
    <w:rsid w:val="0EE6FE15"/>
    <w:rsid w:val="0F2109DE"/>
    <w:rsid w:val="0F74688D"/>
    <w:rsid w:val="10669648"/>
    <w:rsid w:val="11263BC7"/>
    <w:rsid w:val="1137C198"/>
    <w:rsid w:val="1143F113"/>
    <w:rsid w:val="11B092A1"/>
    <w:rsid w:val="11BE7EB2"/>
    <w:rsid w:val="124DF87A"/>
    <w:rsid w:val="129DE41E"/>
    <w:rsid w:val="130A93E7"/>
    <w:rsid w:val="13869E30"/>
    <w:rsid w:val="1397E686"/>
    <w:rsid w:val="13C1A051"/>
    <w:rsid w:val="13DD21CC"/>
    <w:rsid w:val="13DEFD66"/>
    <w:rsid w:val="1401C7C8"/>
    <w:rsid w:val="1442ED26"/>
    <w:rsid w:val="144DD8B5"/>
    <w:rsid w:val="14C564FB"/>
    <w:rsid w:val="154F4003"/>
    <w:rsid w:val="1588C00E"/>
    <w:rsid w:val="15BB7CCC"/>
    <w:rsid w:val="15C53BC1"/>
    <w:rsid w:val="15C9D6FB"/>
    <w:rsid w:val="1616726E"/>
    <w:rsid w:val="16BC7A12"/>
    <w:rsid w:val="17D7F26F"/>
    <w:rsid w:val="1800D332"/>
    <w:rsid w:val="185B31DD"/>
    <w:rsid w:val="18783541"/>
    <w:rsid w:val="18ABE3E4"/>
    <w:rsid w:val="1941D3E2"/>
    <w:rsid w:val="1973C2D0"/>
    <w:rsid w:val="1AA570EC"/>
    <w:rsid w:val="1AD7F18B"/>
    <w:rsid w:val="1B0BCDF9"/>
    <w:rsid w:val="1B76971D"/>
    <w:rsid w:val="1C0220B9"/>
    <w:rsid w:val="1C707B34"/>
    <w:rsid w:val="1CD6F1BE"/>
    <w:rsid w:val="1CFD0948"/>
    <w:rsid w:val="1DC827F8"/>
    <w:rsid w:val="1E117777"/>
    <w:rsid w:val="1E149F3E"/>
    <w:rsid w:val="1E4491F7"/>
    <w:rsid w:val="1EE22AD2"/>
    <w:rsid w:val="1EF39967"/>
    <w:rsid w:val="1F243824"/>
    <w:rsid w:val="1F833755"/>
    <w:rsid w:val="1FA859E8"/>
    <w:rsid w:val="1FB9564B"/>
    <w:rsid w:val="206498D4"/>
    <w:rsid w:val="20E9D0A2"/>
    <w:rsid w:val="20F88A55"/>
    <w:rsid w:val="20FAC6FD"/>
    <w:rsid w:val="211DC504"/>
    <w:rsid w:val="214666C6"/>
    <w:rsid w:val="220BB204"/>
    <w:rsid w:val="2211458C"/>
    <w:rsid w:val="2219CB94"/>
    <w:rsid w:val="22A8B0A5"/>
    <w:rsid w:val="22D9DE6C"/>
    <w:rsid w:val="2332C0C4"/>
    <w:rsid w:val="23EE3FBC"/>
    <w:rsid w:val="249450CF"/>
    <w:rsid w:val="25040122"/>
    <w:rsid w:val="2506F201"/>
    <w:rsid w:val="2522F43A"/>
    <w:rsid w:val="2531BDB8"/>
    <w:rsid w:val="258CF34E"/>
    <w:rsid w:val="259DADAA"/>
    <w:rsid w:val="25E65CA6"/>
    <w:rsid w:val="25EA8332"/>
    <w:rsid w:val="261E5E78"/>
    <w:rsid w:val="263872A5"/>
    <w:rsid w:val="265B996E"/>
    <w:rsid w:val="272443CB"/>
    <w:rsid w:val="272F2EB1"/>
    <w:rsid w:val="2747A42E"/>
    <w:rsid w:val="2748AA83"/>
    <w:rsid w:val="276FBF53"/>
    <w:rsid w:val="2784DE61"/>
    <w:rsid w:val="27A9085E"/>
    <w:rsid w:val="281B7649"/>
    <w:rsid w:val="282D19B0"/>
    <w:rsid w:val="28CE92C1"/>
    <w:rsid w:val="29E48906"/>
    <w:rsid w:val="2A43D445"/>
    <w:rsid w:val="2A4A2ADE"/>
    <w:rsid w:val="2A666FB0"/>
    <w:rsid w:val="2AB399BB"/>
    <w:rsid w:val="2B000EED"/>
    <w:rsid w:val="2B0FB553"/>
    <w:rsid w:val="2BC9B642"/>
    <w:rsid w:val="2BE6172F"/>
    <w:rsid w:val="2BF82B39"/>
    <w:rsid w:val="2BFB7CB0"/>
    <w:rsid w:val="2C758142"/>
    <w:rsid w:val="2D06F5F5"/>
    <w:rsid w:val="2D2CDFFE"/>
    <w:rsid w:val="2D417DAD"/>
    <w:rsid w:val="2D62E9A6"/>
    <w:rsid w:val="2D7D2315"/>
    <w:rsid w:val="2E11EB91"/>
    <w:rsid w:val="2E322D55"/>
    <w:rsid w:val="2E773189"/>
    <w:rsid w:val="2E91B77B"/>
    <w:rsid w:val="2F060217"/>
    <w:rsid w:val="2F58D3F3"/>
    <w:rsid w:val="2FED337E"/>
    <w:rsid w:val="30B8ECA4"/>
    <w:rsid w:val="30EF8426"/>
    <w:rsid w:val="30FA57A5"/>
    <w:rsid w:val="3106096A"/>
    <w:rsid w:val="3126F308"/>
    <w:rsid w:val="31350695"/>
    <w:rsid w:val="3142035C"/>
    <w:rsid w:val="314E9378"/>
    <w:rsid w:val="31C55E5B"/>
    <w:rsid w:val="3222D2E8"/>
    <w:rsid w:val="32382CCE"/>
    <w:rsid w:val="3248F610"/>
    <w:rsid w:val="32550AED"/>
    <w:rsid w:val="325BE9FD"/>
    <w:rsid w:val="3296C3CD"/>
    <w:rsid w:val="338253E6"/>
    <w:rsid w:val="33C5A62F"/>
    <w:rsid w:val="3414F7AA"/>
    <w:rsid w:val="34495576"/>
    <w:rsid w:val="34A4BA75"/>
    <w:rsid w:val="34EA3348"/>
    <w:rsid w:val="354E67C3"/>
    <w:rsid w:val="35616416"/>
    <w:rsid w:val="358E51A5"/>
    <w:rsid w:val="3625F55C"/>
    <w:rsid w:val="36B61279"/>
    <w:rsid w:val="36BE9AB2"/>
    <w:rsid w:val="36EA3824"/>
    <w:rsid w:val="376910E7"/>
    <w:rsid w:val="38A0C324"/>
    <w:rsid w:val="395236D2"/>
    <w:rsid w:val="398C77CE"/>
    <w:rsid w:val="399F215C"/>
    <w:rsid w:val="39A8855E"/>
    <w:rsid w:val="39FA774A"/>
    <w:rsid w:val="39FB3458"/>
    <w:rsid w:val="3A3DBDE3"/>
    <w:rsid w:val="3AC9248A"/>
    <w:rsid w:val="3B25F7E4"/>
    <w:rsid w:val="3B69ED48"/>
    <w:rsid w:val="3BC23085"/>
    <w:rsid w:val="3BECA987"/>
    <w:rsid w:val="3BFD9C02"/>
    <w:rsid w:val="3C0484D3"/>
    <w:rsid w:val="3C45283E"/>
    <w:rsid w:val="3CB48478"/>
    <w:rsid w:val="3CD1AF4C"/>
    <w:rsid w:val="3D450D0B"/>
    <w:rsid w:val="3DCD80E0"/>
    <w:rsid w:val="3E6FC560"/>
    <w:rsid w:val="3ED8D006"/>
    <w:rsid w:val="3ED93AA0"/>
    <w:rsid w:val="3F17738A"/>
    <w:rsid w:val="3F21364A"/>
    <w:rsid w:val="3FB721E4"/>
    <w:rsid w:val="3FC129FA"/>
    <w:rsid w:val="40312C90"/>
    <w:rsid w:val="4037BCA4"/>
    <w:rsid w:val="41BBA45D"/>
    <w:rsid w:val="41ED6A0D"/>
    <w:rsid w:val="41F280D6"/>
    <w:rsid w:val="42014923"/>
    <w:rsid w:val="424E5E65"/>
    <w:rsid w:val="425290B6"/>
    <w:rsid w:val="42F93090"/>
    <w:rsid w:val="4338F74F"/>
    <w:rsid w:val="4349D5FC"/>
    <w:rsid w:val="4369791E"/>
    <w:rsid w:val="43B02971"/>
    <w:rsid w:val="43F477F5"/>
    <w:rsid w:val="440E4573"/>
    <w:rsid w:val="44457682"/>
    <w:rsid w:val="44664D28"/>
    <w:rsid w:val="44E0E31B"/>
    <w:rsid w:val="44E5FB72"/>
    <w:rsid w:val="451407A2"/>
    <w:rsid w:val="45BF3864"/>
    <w:rsid w:val="460B187B"/>
    <w:rsid w:val="4712BDE5"/>
    <w:rsid w:val="474C1173"/>
    <w:rsid w:val="47E7026B"/>
    <w:rsid w:val="4835AC61"/>
    <w:rsid w:val="48459DE7"/>
    <w:rsid w:val="48716474"/>
    <w:rsid w:val="4878C026"/>
    <w:rsid w:val="48A565D5"/>
    <w:rsid w:val="48B5F6BC"/>
    <w:rsid w:val="48D27B61"/>
    <w:rsid w:val="48D79AEE"/>
    <w:rsid w:val="48DCBD9C"/>
    <w:rsid w:val="493B6FF6"/>
    <w:rsid w:val="4980CD04"/>
    <w:rsid w:val="4982D2CC"/>
    <w:rsid w:val="4A6F3DD9"/>
    <w:rsid w:val="4A7B5E37"/>
    <w:rsid w:val="4AB71C68"/>
    <w:rsid w:val="4B0CF452"/>
    <w:rsid w:val="4B78E869"/>
    <w:rsid w:val="4BD6140B"/>
    <w:rsid w:val="4BDF1C2E"/>
    <w:rsid w:val="4BF79F94"/>
    <w:rsid w:val="4DA3AE94"/>
    <w:rsid w:val="4DE0AD13"/>
    <w:rsid w:val="4E5B2468"/>
    <w:rsid w:val="4E6DB446"/>
    <w:rsid w:val="4ED4BCA8"/>
    <w:rsid w:val="4EED1B72"/>
    <w:rsid w:val="4F8B5676"/>
    <w:rsid w:val="4F991552"/>
    <w:rsid w:val="50534D03"/>
    <w:rsid w:val="50734440"/>
    <w:rsid w:val="50A921AC"/>
    <w:rsid w:val="50B1FAB1"/>
    <w:rsid w:val="514A7D3C"/>
    <w:rsid w:val="517C86C1"/>
    <w:rsid w:val="518526C3"/>
    <w:rsid w:val="5219C8F5"/>
    <w:rsid w:val="5246D2E7"/>
    <w:rsid w:val="52499595"/>
    <w:rsid w:val="52576BC7"/>
    <w:rsid w:val="52BE3AC4"/>
    <w:rsid w:val="52D51FB7"/>
    <w:rsid w:val="53847D9A"/>
    <w:rsid w:val="53BB2AD4"/>
    <w:rsid w:val="53BE79AC"/>
    <w:rsid w:val="53CBB7F1"/>
    <w:rsid w:val="5421A4FC"/>
    <w:rsid w:val="5426A2E0"/>
    <w:rsid w:val="547E0B3E"/>
    <w:rsid w:val="54A21DB8"/>
    <w:rsid w:val="54C4FF6B"/>
    <w:rsid w:val="557B5167"/>
    <w:rsid w:val="557FDA56"/>
    <w:rsid w:val="558515B2"/>
    <w:rsid w:val="558A9EEE"/>
    <w:rsid w:val="55C9B2D5"/>
    <w:rsid w:val="55D0BE30"/>
    <w:rsid w:val="55FEB3D6"/>
    <w:rsid w:val="564007E6"/>
    <w:rsid w:val="564BB682"/>
    <w:rsid w:val="56525DB3"/>
    <w:rsid w:val="573CED56"/>
    <w:rsid w:val="5820E2E7"/>
    <w:rsid w:val="58DE0A84"/>
    <w:rsid w:val="591958D8"/>
    <w:rsid w:val="5935789D"/>
    <w:rsid w:val="5A14F202"/>
    <w:rsid w:val="5A580E72"/>
    <w:rsid w:val="5A58E7B5"/>
    <w:rsid w:val="5A8A3888"/>
    <w:rsid w:val="5B4EE5D5"/>
    <w:rsid w:val="5C6A0488"/>
    <w:rsid w:val="5C9BA631"/>
    <w:rsid w:val="5CA972B9"/>
    <w:rsid w:val="5CD00198"/>
    <w:rsid w:val="5D2B17CE"/>
    <w:rsid w:val="5E365E40"/>
    <w:rsid w:val="5E4504BF"/>
    <w:rsid w:val="5E8776D6"/>
    <w:rsid w:val="5EDD043E"/>
    <w:rsid w:val="5FA2F1DA"/>
    <w:rsid w:val="5FB8FBAC"/>
    <w:rsid w:val="60BC91EC"/>
    <w:rsid w:val="61872EE3"/>
    <w:rsid w:val="61BBCF17"/>
    <w:rsid w:val="624037E7"/>
    <w:rsid w:val="625E7A6E"/>
    <w:rsid w:val="62CBDB6A"/>
    <w:rsid w:val="63AE3C60"/>
    <w:rsid w:val="63B399C0"/>
    <w:rsid w:val="63FB8A7B"/>
    <w:rsid w:val="641DC49E"/>
    <w:rsid w:val="644F6AEA"/>
    <w:rsid w:val="652B1476"/>
    <w:rsid w:val="653A2D17"/>
    <w:rsid w:val="65F0A3F5"/>
    <w:rsid w:val="6655EE07"/>
    <w:rsid w:val="66D4B1C3"/>
    <w:rsid w:val="67308C3B"/>
    <w:rsid w:val="6737345D"/>
    <w:rsid w:val="6805B97B"/>
    <w:rsid w:val="68388AF4"/>
    <w:rsid w:val="684262B6"/>
    <w:rsid w:val="6844E8ED"/>
    <w:rsid w:val="68ABF86E"/>
    <w:rsid w:val="68FD68A4"/>
    <w:rsid w:val="6931A877"/>
    <w:rsid w:val="69A50B9F"/>
    <w:rsid w:val="6A0F2A56"/>
    <w:rsid w:val="6A93420E"/>
    <w:rsid w:val="6AE84AC3"/>
    <w:rsid w:val="6BBA81B9"/>
    <w:rsid w:val="6CA3B7D1"/>
    <w:rsid w:val="6CE07B94"/>
    <w:rsid w:val="6D19442D"/>
    <w:rsid w:val="6D489C92"/>
    <w:rsid w:val="6DE677DB"/>
    <w:rsid w:val="6DF6D4CE"/>
    <w:rsid w:val="6E719D53"/>
    <w:rsid w:val="6F08B1CF"/>
    <w:rsid w:val="6F3594D9"/>
    <w:rsid w:val="6F4DDE81"/>
    <w:rsid w:val="6FCBD839"/>
    <w:rsid w:val="705C7CDD"/>
    <w:rsid w:val="70E61D74"/>
    <w:rsid w:val="70F4EFFB"/>
    <w:rsid w:val="71799434"/>
    <w:rsid w:val="72ACB012"/>
    <w:rsid w:val="72E6D554"/>
    <w:rsid w:val="73687958"/>
    <w:rsid w:val="738D7209"/>
    <w:rsid w:val="745551B6"/>
    <w:rsid w:val="745B77A3"/>
    <w:rsid w:val="74BC22A7"/>
    <w:rsid w:val="7517FC5C"/>
    <w:rsid w:val="75BBE0F7"/>
    <w:rsid w:val="75DA70AE"/>
    <w:rsid w:val="76180254"/>
    <w:rsid w:val="7685CB4F"/>
    <w:rsid w:val="769CA88D"/>
    <w:rsid w:val="76A2C35A"/>
    <w:rsid w:val="76F14B78"/>
    <w:rsid w:val="77297253"/>
    <w:rsid w:val="77C14650"/>
    <w:rsid w:val="77CAC8A7"/>
    <w:rsid w:val="77EC8282"/>
    <w:rsid w:val="781BC95F"/>
    <w:rsid w:val="781DF487"/>
    <w:rsid w:val="7842D294"/>
    <w:rsid w:val="78453BEE"/>
    <w:rsid w:val="78457F0B"/>
    <w:rsid w:val="785AB84D"/>
    <w:rsid w:val="78B6A87A"/>
    <w:rsid w:val="78E51A69"/>
    <w:rsid w:val="790B9AF4"/>
    <w:rsid w:val="79403A79"/>
    <w:rsid w:val="794282E0"/>
    <w:rsid w:val="796A21CB"/>
    <w:rsid w:val="7980CF43"/>
    <w:rsid w:val="7A43FA28"/>
    <w:rsid w:val="7A542202"/>
    <w:rsid w:val="7ABA7167"/>
    <w:rsid w:val="7AE9228D"/>
    <w:rsid w:val="7B088794"/>
    <w:rsid w:val="7BBD3C58"/>
    <w:rsid w:val="7C44086E"/>
    <w:rsid w:val="7C89B9B3"/>
    <w:rsid w:val="7CB0B6E8"/>
    <w:rsid w:val="7CE43D91"/>
    <w:rsid w:val="7CEBD3F1"/>
    <w:rsid w:val="7DF139F5"/>
    <w:rsid w:val="7E1663B4"/>
    <w:rsid w:val="7E4B744C"/>
    <w:rsid w:val="7E839FBE"/>
    <w:rsid w:val="7EA80C58"/>
    <w:rsid w:val="7F252786"/>
    <w:rsid w:val="7FC2B51C"/>
    <w:rsid w:val="7FFB899F"/>
  </w:rsids>
  <m:mathPr>
    <m:mathFont m:val="Cambria Math"/>
    <m:brkBin m:val="before"/>
    <m:brkBinSub m:val="--"/>
    <m:smallFrac/>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63625"/>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236301"/>
    <w:pPr>
      <w:shd w:val="clear" w:color="auto" w:fill="FFFFFF"/>
      <w:tabs>
        <w:tab w:val="left" w:pos="567"/>
      </w:tabs>
      <w:jc w:val="both"/>
      <w:outlineLvl w:val="1"/>
    </w:pPr>
    <w:rPr>
      <w:rFonts w:ascii="Calibri" w:eastAsia="Calibri" w:hAnsi="Calibri" w:cs="Calibri"/>
      <w:bCs/>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236301"/>
    <w:rPr>
      <w:rFonts w:ascii="Calibri" w:eastAsia="Calibri" w:hAnsi="Calibri" w:cs="Calibri"/>
      <w:bCs/>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uiPriority w:val="99"/>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Neapdorotaspaminjimas4">
    <w:name w:val="Neapdorotas paminėjimas4"/>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tar.lt/portal/lt/legalAct/3e6dabe0237611eb932eb1ed7f923910" TargetMode="External"/><Relationship Id="rId18" Type="http://schemas.openxmlformats.org/officeDocument/2006/relationships/hyperlink" Target="https://www.e-tar.lt/portal/lt/legalAct/a9542b1029bf11eb932eb1ed7f923910" TargetMode="External"/><Relationship Id="rId26" Type="http://schemas.openxmlformats.org/officeDocument/2006/relationships/hyperlink" Target="https://www.e-tar.lt/portal/lt/legalAct/62b7bca0282d11eb932eb1ed7f923910" TargetMode="External"/><Relationship Id="rId39"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e-tar.lt/portal/lt/legalAct/4721d5b0365211eb8d9fe110e148c770" TargetMode="External"/><Relationship Id="rId34" Type="http://schemas.openxmlformats.org/officeDocument/2006/relationships/hyperlink" Target="https://www.infolex.lt/ta/95049"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tar.lt/portal/lt/legalAct/2b27198034c011eb932eb1ed7f923910" TargetMode="External"/><Relationship Id="rId17" Type="http://schemas.openxmlformats.org/officeDocument/2006/relationships/hyperlink" Target="https://www.e-tar.lt/portal/lt/legalAct/e92bc5d034bf11eb932eb1ed7f923910" TargetMode="External"/><Relationship Id="rId25" Type="http://schemas.openxmlformats.org/officeDocument/2006/relationships/hyperlink" Target="https://www.e-tar.lt/portal/lt/legalAct/2d0a308030d211eb932eb1ed7f923910" TargetMode="External"/><Relationship Id="rId33" Type="http://schemas.openxmlformats.org/officeDocument/2006/relationships/hyperlink" Target="https://www.infolex.lt/ta/95049" TargetMode="External"/><Relationship Id="rId38" Type="http://schemas.openxmlformats.org/officeDocument/2006/relationships/hyperlink" Target="https://www.e-tar.lt/portal/lt/legalAct/ca1d6af029bf11eb932eb1ed7f923910" TargetMode="External"/><Relationship Id="rId2" Type="http://schemas.openxmlformats.org/officeDocument/2006/relationships/customXml" Target="../customXml/item2.xml"/><Relationship Id="rId16" Type="http://schemas.openxmlformats.org/officeDocument/2006/relationships/hyperlink" Target="https://www.e-tar.lt/portal/lt/legalAct/e332ed3029bf11eb932eb1ed7f923910" TargetMode="External"/><Relationship Id="rId20" Type="http://schemas.openxmlformats.org/officeDocument/2006/relationships/hyperlink" Target="https://www.e-tar.lt/portal/lt/legalAct/762841a0365211eb8d9fe110e148c770" TargetMode="External"/><Relationship Id="rId29" Type="http://schemas.openxmlformats.org/officeDocument/2006/relationships/hyperlink" Target="https://www.e-tar.lt/portal/lt/legalAct/25faadd02f4011eb932eb1ed7f923910"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tar.lt/portal/lt/legalAct/e6e0b2f029bf11eb932eb1ed7f923910" TargetMode="External"/><Relationship Id="rId32" Type="http://schemas.openxmlformats.org/officeDocument/2006/relationships/hyperlink" Target="https://www.infolex.lt/tp/1945861" TargetMode="External"/><Relationship Id="rId37" Type="http://schemas.openxmlformats.org/officeDocument/2006/relationships/hyperlink" Target="https://www.e-tar.lt/portal/lt/legalAct/043e77a034c011eb932eb1ed7f923910"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e-tar.lt/portal/lt/legalAct/220e0d30358911eb932eb1ed7f923910" TargetMode="External"/><Relationship Id="rId23" Type="http://schemas.openxmlformats.org/officeDocument/2006/relationships/hyperlink" Target="https://www.e-tar.lt/portal/lt/legalAct/75ec1550358911eb932eb1ed7f923910" TargetMode="External"/><Relationship Id="rId28" Type="http://schemas.openxmlformats.org/officeDocument/2006/relationships/hyperlink" Target="https://www.e-tar.lt/portal/lt/legalAct/a765fa70243f11eb932eb1ed7f923910" TargetMode="External"/><Relationship Id="rId36" Type="http://schemas.openxmlformats.org/officeDocument/2006/relationships/hyperlink" Target="https://www.e-tar.lt/portal/lt/legalAct/0285e0c029c011eb932eb1ed7f923910" TargetMode="External"/><Relationship Id="rId10" Type="http://schemas.openxmlformats.org/officeDocument/2006/relationships/endnotes" Target="endnotes.xml"/><Relationship Id="rId19" Type="http://schemas.openxmlformats.org/officeDocument/2006/relationships/hyperlink" Target="https://www.e-tar.lt/portal/lt/legalAct/69663f40282d11eb932eb1ed7f923910" TargetMode="External"/><Relationship Id="rId31" Type="http://schemas.openxmlformats.org/officeDocument/2006/relationships/hyperlink" Target="https://www.infolex.lt/ta/9504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tar.lt/portal/lt/legalAct/53a109c034c011eb932eb1ed7f923910" TargetMode="External"/><Relationship Id="rId22" Type="http://schemas.openxmlformats.org/officeDocument/2006/relationships/hyperlink" Target="https://www.e-tar.lt/portal/lt/legalAct/bbc72a10250811eb932eb1ed7f923910" TargetMode="External"/><Relationship Id="rId27" Type="http://schemas.openxmlformats.org/officeDocument/2006/relationships/hyperlink" Target="https://www.e-tar.lt/portal/lt/legalAct/28e1f6c043ae11eb8d9fe110e148c770" TargetMode="External"/><Relationship Id="rId30" Type="http://schemas.openxmlformats.org/officeDocument/2006/relationships/hyperlink" Target="https://www.infolex.lt/tp/1945861" TargetMode="External"/><Relationship Id="rId35" Type="http://schemas.openxmlformats.org/officeDocument/2006/relationships/hyperlink" Target="https://www.e-tar.lt/portal/lt/legalAct/461321f0300911eb932eb1ed7f923910" TargetMode="External"/><Relationship Id="rId43"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6" ma:contentTypeDescription="Create a new document." ma:contentTypeScope="" ma:versionID="b5c12f5fdf5d9e35e5b91141b811a441">
  <xsd:schema xmlns:xsd="http://www.w3.org/2001/XMLSchema" xmlns:xs="http://www.w3.org/2001/XMLSchema" xmlns:p="http://schemas.microsoft.com/office/2006/metadata/properties" xmlns:ns2="366e1107-8d15-47df-a80d-77ad1bc6b051" targetNamespace="http://schemas.microsoft.com/office/2006/metadata/properties" ma:root="true" ma:fieldsID="96c1f4219d8f3dd3224fc637b4fcdd3e"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C536C8-E74C-5F45-9C7D-6875EA47C0A0}">
  <ds:schemaRefs>
    <ds:schemaRef ds:uri="http://schemas.openxmlformats.org/officeDocument/2006/bibliography"/>
  </ds:schemaRefs>
</ds:datastoreItem>
</file>

<file path=customXml/itemProps2.xml><?xml version="1.0" encoding="utf-8"?>
<ds:datastoreItem xmlns:ds="http://schemas.openxmlformats.org/officeDocument/2006/customXml" ds:itemID="{8411288C-C5A5-49FD-B655-24CCE73D1E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FE46AA7-FA1B-4180-A698-8AF143C7D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BCBC0F-5895-4776-960B-0DD6A7A10C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20975</Words>
  <Characters>119562</Characters>
  <Application>Microsoft Office Word</Application>
  <DocSecurity>0</DocSecurity>
  <Lines>996</Lines>
  <Paragraphs>280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Gudeliauskienė</dc:creator>
  <cp:keywords/>
  <dc:description/>
  <cp:lastModifiedBy>Jurga Marcinkevičiūtė</cp:lastModifiedBy>
  <cp:revision>3</cp:revision>
  <cp:lastPrinted>2018-07-19T07:34:00Z</cp:lastPrinted>
  <dcterms:created xsi:type="dcterms:W3CDTF">2021-01-11T14:02:00Z</dcterms:created>
  <dcterms:modified xsi:type="dcterms:W3CDTF">2021-01-12T07:12:00Z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ContentTypeId">
    <vt:lpwstr>0x010100763AAA30324A7C44901425E96B00F0F7</vt:lpwstr>
  </property>
</Properties>
</file>