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28CD" w:rsidRPr="003D6A3B" w:rsidRDefault="000028CD" w:rsidP="00AD0B10">
      <w:pPr>
        <w:pStyle w:val="NoSpacing1"/>
        <w:ind w:firstLine="0"/>
        <w:jc w:val="center"/>
        <w:rPr>
          <w:rFonts w:asciiTheme="minorHAnsi" w:hAnsiTheme="minorHAnsi" w:cstheme="minorHAnsi"/>
        </w:rPr>
      </w:pPr>
      <w:bookmarkStart w:id="0" w:name="_GoBack"/>
      <w:bookmarkEnd w:id="0"/>
    </w:p>
    <w:p w:rsidR="000028CD" w:rsidRPr="003D6A3B" w:rsidRDefault="000028CD" w:rsidP="00AD0B10">
      <w:pPr>
        <w:pStyle w:val="NoSpacing1"/>
        <w:ind w:firstLine="0"/>
        <w:jc w:val="center"/>
        <w:rPr>
          <w:rFonts w:asciiTheme="minorHAnsi" w:hAnsiTheme="minorHAnsi" w:cstheme="minorHAnsi"/>
        </w:rPr>
      </w:pPr>
      <w:r w:rsidRPr="003D6A3B">
        <w:rPr>
          <w:rFonts w:asciiTheme="minorHAnsi" w:hAnsiTheme="minorHAnsi" w:cstheme="minorHAnsi"/>
          <w:noProof/>
          <w:lang w:eastAsia="lt-LT"/>
        </w:rPr>
        <w:drawing>
          <wp:inline distT="0" distB="0" distL="0" distR="0" wp14:anchorId="06AB0AE5" wp14:editId="6ACD94C2">
            <wp:extent cx="3084195" cy="2087880"/>
            <wp:effectExtent l="19050" t="0" r="1905"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9" cstate="print"/>
                    <a:srcRect/>
                    <a:stretch>
                      <a:fillRect/>
                    </a:stretch>
                  </pic:blipFill>
                  <pic:spPr bwMode="auto">
                    <a:xfrm>
                      <a:off x="0" y="0"/>
                      <a:ext cx="3084195" cy="2087880"/>
                    </a:xfrm>
                    <a:prstGeom prst="rect">
                      <a:avLst/>
                    </a:prstGeom>
                    <a:noFill/>
                    <a:ln w="9525">
                      <a:noFill/>
                      <a:miter lim="800000"/>
                      <a:headEnd/>
                      <a:tailEnd/>
                    </a:ln>
                  </pic:spPr>
                </pic:pic>
              </a:graphicData>
            </a:graphic>
          </wp:inline>
        </w:drawing>
      </w:r>
    </w:p>
    <w:p w:rsidR="000028CD" w:rsidRPr="003D6A3B" w:rsidRDefault="000028CD" w:rsidP="00AD0B10">
      <w:pPr>
        <w:pStyle w:val="NoSpacing1"/>
        <w:ind w:firstLine="0"/>
        <w:jc w:val="center"/>
        <w:rPr>
          <w:rFonts w:asciiTheme="minorHAnsi" w:hAnsiTheme="minorHAnsi" w:cstheme="minorHAnsi"/>
        </w:rPr>
      </w:pPr>
    </w:p>
    <w:p w:rsidR="000028CD" w:rsidRPr="003D6A3B" w:rsidRDefault="000028CD" w:rsidP="00AD0B10">
      <w:pPr>
        <w:pStyle w:val="NoSpacing1"/>
        <w:ind w:firstLine="0"/>
        <w:jc w:val="center"/>
        <w:rPr>
          <w:rFonts w:asciiTheme="minorHAnsi" w:hAnsiTheme="minorHAnsi" w:cstheme="minorHAnsi"/>
        </w:rPr>
      </w:pPr>
    </w:p>
    <w:p w:rsidR="000028CD" w:rsidRPr="003D6A3B" w:rsidRDefault="000028CD" w:rsidP="00AD0B10">
      <w:pPr>
        <w:pStyle w:val="NoSpacing1"/>
        <w:ind w:firstLine="0"/>
        <w:jc w:val="center"/>
        <w:rPr>
          <w:rFonts w:asciiTheme="minorHAnsi" w:hAnsiTheme="minorHAnsi" w:cstheme="minorHAnsi"/>
        </w:rPr>
      </w:pPr>
    </w:p>
    <w:p w:rsidR="000028CD" w:rsidRPr="003D6A3B" w:rsidRDefault="000028CD" w:rsidP="00AD0B10">
      <w:pPr>
        <w:pStyle w:val="NoSpacing1"/>
        <w:ind w:firstLine="0"/>
        <w:jc w:val="center"/>
        <w:rPr>
          <w:rFonts w:asciiTheme="minorHAnsi" w:hAnsiTheme="minorHAnsi" w:cstheme="minorHAnsi"/>
        </w:rPr>
      </w:pPr>
    </w:p>
    <w:p w:rsidR="000028CD" w:rsidRPr="003D6A3B" w:rsidRDefault="000028CD" w:rsidP="00AD0B10">
      <w:pPr>
        <w:pStyle w:val="NoSpacing1"/>
        <w:ind w:firstLine="0"/>
        <w:jc w:val="center"/>
        <w:rPr>
          <w:rFonts w:asciiTheme="minorHAnsi" w:hAnsiTheme="minorHAnsi" w:cstheme="minorHAnsi"/>
        </w:rPr>
      </w:pPr>
    </w:p>
    <w:p w:rsidR="000028CD" w:rsidRPr="003D6A3B" w:rsidRDefault="000028CD" w:rsidP="00AD0B10">
      <w:pPr>
        <w:pStyle w:val="NoSpacing1"/>
        <w:ind w:firstLine="0"/>
        <w:jc w:val="center"/>
        <w:rPr>
          <w:rFonts w:asciiTheme="minorHAnsi" w:hAnsiTheme="minorHAnsi" w:cstheme="minorHAnsi"/>
        </w:rPr>
      </w:pPr>
    </w:p>
    <w:p w:rsidR="000028CD" w:rsidRPr="003D6A3B" w:rsidRDefault="000028CD" w:rsidP="00AD0B10">
      <w:pPr>
        <w:pStyle w:val="NoSpacing1"/>
        <w:ind w:firstLine="0"/>
        <w:jc w:val="center"/>
        <w:rPr>
          <w:rFonts w:asciiTheme="minorHAnsi" w:hAnsiTheme="minorHAnsi" w:cstheme="minorHAnsi"/>
        </w:rPr>
      </w:pPr>
    </w:p>
    <w:p w:rsidR="000028CD" w:rsidRPr="003D6A3B" w:rsidRDefault="000028CD" w:rsidP="00AD0B10">
      <w:pPr>
        <w:pStyle w:val="NoSpacing1"/>
        <w:ind w:firstLine="0"/>
        <w:jc w:val="center"/>
        <w:rPr>
          <w:rFonts w:asciiTheme="minorHAnsi" w:hAnsiTheme="minorHAnsi" w:cstheme="minorHAnsi"/>
        </w:rPr>
      </w:pPr>
      <w:r w:rsidRPr="003D6A3B">
        <w:rPr>
          <w:rFonts w:asciiTheme="minorHAnsi" w:hAnsiTheme="minorHAnsi" w:cstheme="minorHAnsi"/>
          <w:noProof/>
          <w:lang w:eastAsia="lt-LT"/>
        </w:rPr>
        <mc:AlternateContent>
          <mc:Choice Requires="wps">
            <w:drawing>
              <wp:anchor distT="0" distB="0" distL="114300" distR="114300" simplePos="0" relativeHeight="251660288" behindDoc="0" locked="0" layoutInCell="0" allowOverlap="1" wp14:anchorId="6BD0BEB3" wp14:editId="4230CC58">
                <wp:simplePos x="0" y="0"/>
                <wp:positionH relativeFrom="page">
                  <wp:posOffset>-291465</wp:posOffset>
                </wp:positionH>
                <wp:positionV relativeFrom="page">
                  <wp:posOffset>20320</wp:posOffset>
                </wp:positionV>
                <wp:extent cx="7919720" cy="629920"/>
                <wp:effectExtent l="0" t="0" r="24130" b="17780"/>
                <wp:wrapNone/>
                <wp:docPr id="5"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19720" cy="629920"/>
                        </a:xfrm>
                        <a:prstGeom prst="rect">
                          <a:avLst/>
                        </a:prstGeom>
                        <a:solidFill>
                          <a:srgbClr val="365F91"/>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3F9F0A3" id="Rectangle 2" o:spid="_x0000_s1026" style="position:absolute;margin-left:-22.95pt;margin-top:1.6pt;width:623.6pt;height:49.6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6uCmSYCAAA8BAAADgAAAGRycy9lMm9Eb2MueG1srFPbjtMwEH1H4h8sv9M0oe02UdPV0qUIaYEV&#10;Cx/gOk5j4Rtjt2n36xk73dLCGyIP1kzm+HjmzMzi9qAV2Qvw0pqa5qMxJcJw20izren3b+s3c0p8&#10;YKZhyhpR06Pw9Hb5+tWid5UobGdVI4AgifFV72raheCqLPO8E5r5kXXCYLC1oFlAF7ZZA6xHdq2y&#10;YjyeZb2FxoHlwnv8ez8E6TLxt63g4UvbehGIqinmFtIJ6dzEM1suWLUF5jrJT2mwf8hCM2nw0TPV&#10;PQuM7ED+RaUlB+ttG0bc6sy2reQi1YDV5OM/qnnqmBOpFhTHu7NM/v/R8s/7RyCyqemUEsM0tugr&#10;isbMVglSRHl65ytEPblHiAV692D5D0+MXXWIEncAtu8EazCpPOKzqwvR8XiVbPpPtkF2tgs2KXVo&#10;QUdC1IAcUkOO54aIQyAcf96UeXlTYN84xmZFWaIdn2DVy20HPnwQVpNo1BQw98TO9g8+DNAXSMre&#10;KtmspVLJge1mpYDsGQ7H29l0XQ4FYJGXMGVIX9NyWkwT81XMX1Hk80n57pTgFUzLgFOupK7pfBy/&#10;CGJVlO29aZIdmFSDjdUpc9IxSje0YGObI8oIdhhhXDk0OgvPlPQ4vjX1P3cMBCXqo8FWlPlkEuc9&#10;OZNpEhEuI5vLCDMcqWoaKBnMVRh2ZOdAbjt8KU+1G3uH7WtlUja2dsjqlCyOaOrNaZ3iDlz6CfV7&#10;6Ze/AAAA//8DAFBLAwQUAAYACAAAACEAtdgXM+AAAAAKAQAADwAAAGRycy9kb3ducmV2LnhtbEyP&#10;zU7DMBCE70i8g7VI3Fq7bvkLcSqEhIoqBKL0Adx4G1uN1yF20/D2uCe4zWpGM9+Wy9G3bMA+ukAK&#10;ZlMBDKkOxlGjYPv1MrkHFpMmo9tAqOAHIyyry4tSFyac6BOHTWpYLqFYaAU2pa7gPNYWvY7T0CFl&#10;bx96r1M++4abXp9yuW+5FOKWe+0oL1jd4bPF+rA5egXrdNjL7fvbYNeu7u4+vul15VZKXV+NT4/A&#10;Eo7pLwxn/IwOVWbahSOZyFoFk8XNQ44qmEtgZ1+K2RzYLishF8Crkv9/ofoFAAD//wMAUEsBAi0A&#10;FAAGAAgAAAAhAOSZw8D7AAAA4QEAABMAAAAAAAAAAAAAAAAAAAAAAFtDb250ZW50X1R5cGVzXS54&#10;bWxQSwECLQAUAAYACAAAACEAI7Jq4dcAAACUAQAACwAAAAAAAAAAAAAAAAAsAQAAX3JlbHMvLnJl&#10;bHNQSwECLQAUAAYACAAAACEAd6uCmSYCAAA8BAAADgAAAAAAAAAAAAAAAAAsAgAAZHJzL2Uyb0Rv&#10;Yy54bWxQSwECLQAUAAYACAAAACEAtdgXM+AAAAAKAQAADwAAAAAAAAAAAAAAAAB+BAAAZHJzL2Rv&#10;d25yZXYueG1sUEsFBgAAAAAEAAQA8wAAAIsFAAAAAA==&#10;" o:allowincell="f" fillcolor="#365f91" strokecolor="#31849b">
                <w10:wrap anchorx="page" anchory="page"/>
              </v:rect>
            </w:pict>
          </mc:Fallback>
        </mc:AlternateContent>
      </w:r>
      <w:r w:rsidRPr="003D6A3B">
        <w:rPr>
          <w:rFonts w:asciiTheme="minorHAnsi" w:hAnsiTheme="minorHAnsi" w:cstheme="minorHAnsi"/>
          <w:noProof/>
          <w:lang w:eastAsia="lt-LT"/>
        </w:rPr>
        <mc:AlternateContent>
          <mc:Choice Requires="wps">
            <w:drawing>
              <wp:anchor distT="0" distB="0" distL="114300" distR="114300" simplePos="0" relativeHeight="251659264" behindDoc="0" locked="0" layoutInCell="0" allowOverlap="1" wp14:anchorId="651C146C" wp14:editId="014865E1">
                <wp:simplePos x="0" y="0"/>
                <wp:positionH relativeFrom="page">
                  <wp:align>center</wp:align>
                </wp:positionH>
                <wp:positionV relativeFrom="page">
                  <wp:align>bottom</wp:align>
                </wp:positionV>
                <wp:extent cx="7920355" cy="629920"/>
                <wp:effectExtent l="0" t="0" r="23495" b="17780"/>
                <wp:wrapNone/>
                <wp:docPr id="4"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0355" cy="629920"/>
                        </a:xfrm>
                        <a:prstGeom prst="rect">
                          <a:avLst/>
                        </a:prstGeom>
                        <a:solidFill>
                          <a:srgbClr val="365F91"/>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A005D4F" id="Rectangle 3" o:spid="_x0000_s1026" style="position:absolute;margin-left:0;margin-top:0;width:623.65pt;height:49.6pt;z-index:251659264;visibility:visible;mso-wrap-style:square;mso-width-percent:0;mso-height-percent:0;mso-wrap-distance-left:9pt;mso-wrap-distance-top:0;mso-wrap-distance-right:9pt;mso-wrap-distance-bottom:0;mso-position-horizontal:center;mso-position-horizontal-relative:page;mso-position-vertical:bottom;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6bMDSgCAAA8BAAADgAAAGRycy9lMm9Eb2MueG1srFPBjtowEL1X6j9YvpckQGCJCKsVlKrStl11&#10;2w8wjpNYdWx3bAj063fssBTaW9UcrJnM+PnNm5nl/bFT5CDASaNLmo1SSoTmppK6Ken3b9t3d5Q4&#10;z3TFlNGipCfh6P3q7ZtlbwsxNq1RlQCCINoVvS1p670tksTxVnTMjYwVGoO1gY55dKFJKmA9oncq&#10;GafpLOkNVBYMF87h380QpKuIX9eC+y917YQnqqTIzccT4rkLZ7JasqIBZlvJzzTYP7DomNT46AVq&#10;wzwje5B/QXWSg3Gm9iNuusTUteQi1oDVZOkf1Ty3zIpYC4rj7EUm9/9g+efDExBZlXRKiWYdtugr&#10;isZ0owSZBHl66wrMerZPEAp09tHwH45os24xSzwAmL4VrEJSWchPbi4Ex+FVsus/mQrR2d6bqNSx&#10;hi4AogbkGBtyujREHD3h+HO+GKeTPKeEY2w2XqAbn2DF620Lzn8QpiPBKCkg94jODo/OBzaseE2J&#10;7I2S1VYqFR1odmsF5MBwOCazfLsYCsAir9OUJn1JF/k4j8g3MXcNkc0RZHMmeJPWSY9TrmRX0rs0&#10;fCGJFUG297qKtmdSDTZSVvqsY5BuaMHOVCeUEcwwwrhyaLQGflHS4/iW1P3cMxCUqI8aW7HIptMw&#10;79GZ5nMUjsB1ZHcdYZojVEk9JYO59sOO7C3IpsWXsli7Ng/YvlpGZUNrB1ZnsjiiUfDzOoUduPZj&#10;1u+lX70AAAD//wMAUEsDBBQABgAIAAAAIQDuvxQC2wAAAAUBAAAPAAAAZHJzL2Rvd25yZXYueG1s&#10;TI/BTsMwEETvSP0Haytxo04DAhriVFUlENwgRYKjGy9OhL1ObadJ/x6XC1xWGs1o5m25nqxhR/Sh&#10;cyRguciAITVOdaQFvO8er+6BhShJSeMIBZwwwLqaXZSyUG6kNzzWUbNUQqGQAtoY+4Lz0LRoZVi4&#10;Hil5X85bGZP0misvx1RuDc+z7JZb2VFaaGWP2xab73qwAvTyuX4anDfjQR9eafdRv5jPkxCX82nz&#10;ACziFP/CcMZP6FAlpr0bSAVmBKRH4u89e/nN3TWwvYDVKgdelfw/ffUDAAD//wMAUEsBAi0AFAAG&#10;AAgAAAAhAOSZw8D7AAAA4QEAABMAAAAAAAAAAAAAAAAAAAAAAFtDb250ZW50X1R5cGVzXS54bWxQ&#10;SwECLQAUAAYACAAAACEAI7Jq4dcAAACUAQAACwAAAAAAAAAAAAAAAAAsAQAAX3JlbHMvLnJlbHNQ&#10;SwECLQAUAAYACAAAACEAU6bMDSgCAAA8BAAADgAAAAAAAAAAAAAAAAAsAgAAZHJzL2Uyb0RvYy54&#10;bWxQSwECLQAUAAYACAAAACEA7r8UAtsAAAAFAQAADwAAAAAAAAAAAAAAAACABAAAZHJzL2Rvd25y&#10;ZXYueG1sUEsFBgAAAAAEAAQA8wAAAIgFAAAAAA==&#10;" o:allowincell="f" fillcolor="#365f91" strokecolor="#17365d">
                <w10:wrap anchorx="page" anchory="page"/>
              </v:rect>
            </w:pict>
          </mc:Fallback>
        </mc:AlternateContent>
      </w:r>
      <w:r w:rsidRPr="003D6A3B">
        <w:rPr>
          <w:rFonts w:asciiTheme="minorHAnsi" w:hAnsiTheme="minorHAnsi" w:cstheme="minorHAnsi"/>
          <w:noProof/>
          <w:lang w:eastAsia="lt-LT"/>
        </w:rPr>
        <mc:AlternateContent>
          <mc:Choice Requires="wps">
            <w:drawing>
              <wp:anchor distT="0" distB="0" distL="114300" distR="114300" simplePos="0" relativeHeight="251662336" behindDoc="0" locked="0" layoutInCell="0" allowOverlap="1" wp14:anchorId="517918C4" wp14:editId="2DB8019B">
                <wp:simplePos x="0" y="0"/>
                <wp:positionH relativeFrom="page">
                  <wp:posOffset>503555</wp:posOffset>
                </wp:positionH>
                <wp:positionV relativeFrom="page">
                  <wp:posOffset>-248285</wp:posOffset>
                </wp:positionV>
                <wp:extent cx="90805" cy="11205210"/>
                <wp:effectExtent l="0" t="0" r="23495" b="15240"/>
                <wp:wrapNone/>
                <wp:docPr id="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205210"/>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115E996" id="Rectangle 4" o:spid="_x0000_s1026" style="position:absolute;margin-left:39.65pt;margin-top:-19.5pt;width:7.15pt;height:882.3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GqQtyUCAAA8BAAADgAAAGRycy9lMm9Eb2MueG1srFPbjtMwEH1H4h8sv9Nctt3tRk1Xq5YipAVW&#10;LHyA6ziJhW+M3abl6xk73dIFnhB5sGYy4+MzZ2YWdwetyF6Al9bUtJjklAjDbSNNV9OvXzZv5pT4&#10;wEzDlDWipkfh6d3y9avF4CpR2t6qRgBBEOOrwdW0D8FVWeZ5LzTzE+uEwWBrQbOALnRZA2xAdK2y&#10;Ms+vs8FC48By4T3+XY9Bukz4bSt4+NS2XgSiaorcQjohndt4ZssFqzpgrpf8RIP9AwvNpMFHz1Br&#10;FhjZgfwDSksO1ts2TLjVmW1byUWqAasp8t+qeeqZE6kWFMe7s0z+/8Hyj/tHILKp6RUlhmls0WcU&#10;jZlOCTKN8gzOV5j15B4hFujdg+XfPDF21WOWuAewQy9Yg6SKmJ+9uBAdj1fJdvhgG0Rnu2CTUocW&#10;dAREDcghNeR4bog4BMLx520+z2eUcIwURZnPyiJ1LGPV820HPrwTVpNo1BSQe0Jn+wcfIhtWPack&#10;9lbJZiOVSg5025UCsmc4HJv0pQKwyMs0ZciAVGblLCG/iPlLiOLm6nq2/huElgGnXEld03kev5jE&#10;qijbW9MkOzCpRhspK3PSMUo3tmBrmyPKCHYcYVw5NHoLPygZcHxr6r/vGAhK1HuDrbgtptM478mZ&#10;zm5KdOAysr2MMMMRqqaBktFchXFHdg5k1+NLRard2HtsXyuTsrG1I6sTWRzRJPhpneIOXPop69fS&#10;L38CAAD//wMAUEsDBBQABgAIAAAAIQBB6GQv4AAAAAoBAAAPAAAAZHJzL2Rvd25yZXYueG1sTI/L&#10;TsMwEEX3SPyDNUjsWodGpCTEqSii7MojIGDpxkMS4UdkO2n4e4YVLEdzdO+55WY2mk3oQ++sgItl&#10;Agxt41RvWwGvL7vFFbAQpVVSO4sCvjHApjo9KWWh3NE+41THllGIDYUU0MU4FJyHpkMjw9INaOn3&#10;6byRkU7fcuXlkcKN5qskybiRvaWGTg5422HzVY9GwPYxHd92d7x+f7r3+iF+xGm/3QtxfjbfXAOL&#10;OMc/GH71SR0qcjq40arAtIB1nhIpYJHmtImAPM2AHQhcry4z4FXJ/0+ofgAAAP//AwBQSwECLQAU&#10;AAYACAAAACEA5JnDwPsAAADhAQAAEwAAAAAAAAAAAAAAAAAAAAAAW0NvbnRlbnRfVHlwZXNdLnht&#10;bFBLAQItABQABgAIAAAAIQAjsmrh1wAAAJQBAAALAAAAAAAAAAAAAAAAACwBAABfcmVscy8ucmVs&#10;c1BLAQItABQABgAIAAAAIQB0apC3JQIAADwEAAAOAAAAAAAAAAAAAAAAACwCAABkcnMvZTJvRG9j&#10;LnhtbFBLAQItABQABgAIAAAAIQBB6GQv4AAAAAoBAAAPAAAAAAAAAAAAAAAAAH0EAABkcnMvZG93&#10;bnJldi54bWxQSwUGAAAAAAQABADzAAAAigUAAAAA&#10;" o:allowincell="f" strokecolor="#17365d">
                <w10:wrap anchorx="page" anchory="page"/>
              </v:rect>
            </w:pict>
          </mc:Fallback>
        </mc:AlternateContent>
      </w:r>
      <w:r w:rsidRPr="003D6A3B">
        <w:rPr>
          <w:rFonts w:asciiTheme="minorHAnsi" w:hAnsiTheme="minorHAnsi" w:cstheme="minorHAnsi"/>
          <w:noProof/>
          <w:lang w:eastAsia="lt-LT"/>
        </w:rPr>
        <mc:AlternateContent>
          <mc:Choice Requires="wps">
            <w:drawing>
              <wp:anchor distT="0" distB="0" distL="114300" distR="114300" simplePos="0" relativeHeight="251661312" behindDoc="0" locked="0" layoutInCell="0" allowOverlap="1" wp14:anchorId="0722538E" wp14:editId="4AEC238F">
                <wp:simplePos x="0" y="0"/>
                <wp:positionH relativeFrom="page">
                  <wp:posOffset>7250430</wp:posOffset>
                </wp:positionH>
                <wp:positionV relativeFrom="page">
                  <wp:posOffset>-248285</wp:posOffset>
                </wp:positionV>
                <wp:extent cx="90805" cy="11205210"/>
                <wp:effectExtent l="0" t="0" r="23495" b="15240"/>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205210"/>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030EE3D" id="Rectangle 5" o:spid="_x0000_s1026" style="position:absolute;margin-left:570.9pt;margin-top:-19.5pt;width:7.15pt;height:882.3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FxlbiUCAAA8BAAADgAAAGRycy9lMm9Eb2MueG1srFPbjtMwEH1H4h8sv9NcaHa7UdPVqqUIaYEV&#10;Cx/gOk5j4Rtjt2n5+h073dIFnhB5sGYy4+MzZ2bmtwetyF6Al9Y0tJjklAjDbSvNtqHfvq7fzCjx&#10;gZmWKWtEQ4/C09vF61fzwdWitL1VrQCCIMbXg2toH4Krs8zzXmjmJ9YJg8HOgmYBXdhmLbAB0bXK&#10;yjy/ygYLrQPLhff4dzUG6SLhd53g4XPXeRGIaihyC+mEdG7imS3mrN4Cc73kJxrsH1hoJg0+eoZa&#10;scDIDuQfUFpysN52YcKtzmzXSS5SDVhNkf9WzWPPnEi1oDjenWXy/w+Wf9o/AJFtQ0tKDNPYoi8o&#10;GjNbJUgV5RmcrzHr0T1ALNC7e8u/e2LssscscQdgh16wFkkVMT97cSE6Hq+SzfDRtojOdsEmpQ4d&#10;6AiIGpBDasjx3BBxCITjz5t8lleUcIwURZlXZZE6lrH6+bYDH94Lq0k0GgrIPaGz/b0PkQ2rn1MS&#10;e6tku5ZKJQe2m6UCsmc4HOv0pQKwyMs0ZciAVKqySsgvYv4Sorh+e1Wt/gahZcApV1I3dJbHLyax&#10;Osr2zrTJDkyq0UbKypx0jNKNLdjY9ogygh1HGFcOjd7CT0oGHN+G+h87BoIS9cFgK26K6TTOe3Km&#10;1XWJDlxGNpcRZjhCNTRQMprLMO7IzoHc9vhSkWo39g7b18mkbGztyOpEFkc0CX5ap7gDl37K+rX0&#10;iycAAAD//wMAUEsDBBQABgAIAAAAIQBLw++p4wAAAA4BAAAPAAAAZHJzL2Rvd25yZXYueG1sTI/N&#10;TsMwEITvSLyDtUjcWsctDRDiVBRRbuUnIODoxiaJiO3I3qTh7dme4LajHc18k68n27HRhNh6J0HM&#10;E2DGVV63rpbw9rqdXQGLqJxWnXdGwo+JsC5OT3KVaX9wL2YssWYU4mKmJDSIfcZ5rBpjVZz73jj6&#10;fflgFZIMNddBHSjcdnyRJCm3qnXU0Kje3DWm+i4HK2HztBzet/e8/Hh+CN0jfuK42+ykPD+bbm+A&#10;oZnwzwxHfEKHgpj2fnA6so60uBDEjhJmy2tadbSIVSqA7em6XKxS4EXO/88ofgEAAP//AwBQSwEC&#10;LQAUAAYACAAAACEA5JnDwPsAAADhAQAAEwAAAAAAAAAAAAAAAAAAAAAAW0NvbnRlbnRfVHlwZXNd&#10;LnhtbFBLAQItABQABgAIAAAAIQAjsmrh1wAAAJQBAAALAAAAAAAAAAAAAAAAACwBAABfcmVscy8u&#10;cmVsc1BLAQItABQABgAIAAAAIQBwXGVuJQIAADwEAAAOAAAAAAAAAAAAAAAAACwCAABkcnMvZTJv&#10;RG9jLnhtbFBLAQItABQABgAIAAAAIQBLw++p4wAAAA4BAAAPAAAAAAAAAAAAAAAAAH0EAABkcnMv&#10;ZG93bnJldi54bWxQSwUGAAAAAAQABADzAAAAjQUAAAAA&#10;" o:allowincell="f" strokecolor="#17365d">
                <w10:wrap anchorx="page" anchory="page"/>
              </v:rect>
            </w:pict>
          </mc:Fallback>
        </mc:AlternateContent>
      </w:r>
    </w:p>
    <w:p w:rsidR="000028CD" w:rsidRPr="0051438A" w:rsidRDefault="000028CD" w:rsidP="00AD0B10">
      <w:pPr>
        <w:pStyle w:val="NoSpacing1"/>
        <w:ind w:firstLine="0"/>
        <w:jc w:val="center"/>
        <w:rPr>
          <w:rFonts w:asciiTheme="minorHAnsi" w:hAnsiTheme="minorHAnsi" w:cstheme="minorHAnsi"/>
          <w:smallCaps/>
          <w:sz w:val="52"/>
          <w:szCs w:val="52"/>
        </w:rPr>
      </w:pPr>
      <w:r w:rsidRPr="0051438A">
        <w:rPr>
          <w:rFonts w:asciiTheme="minorHAnsi" w:hAnsiTheme="minorHAnsi" w:cstheme="minorHAnsi"/>
          <w:smallCaps/>
          <w:sz w:val="52"/>
          <w:szCs w:val="52"/>
        </w:rPr>
        <w:t xml:space="preserve">Europos Sąjungos Teisingumo Teismo </w:t>
      </w:r>
    </w:p>
    <w:p w:rsidR="000028CD" w:rsidRPr="0051438A" w:rsidRDefault="000028CD" w:rsidP="00AD0B10">
      <w:pPr>
        <w:pStyle w:val="NoSpacing1"/>
        <w:ind w:firstLine="0"/>
        <w:jc w:val="center"/>
        <w:rPr>
          <w:rFonts w:asciiTheme="minorHAnsi" w:hAnsiTheme="minorHAnsi" w:cstheme="minorHAnsi"/>
          <w:smallCaps/>
          <w:sz w:val="52"/>
          <w:szCs w:val="52"/>
        </w:rPr>
      </w:pPr>
      <w:r w:rsidRPr="0051438A">
        <w:rPr>
          <w:rFonts w:asciiTheme="minorHAnsi" w:hAnsiTheme="minorHAnsi" w:cstheme="minorHAnsi"/>
          <w:smallCaps/>
          <w:sz w:val="52"/>
          <w:szCs w:val="52"/>
        </w:rPr>
        <w:t>praktikos apžvalga</w:t>
      </w:r>
    </w:p>
    <w:p w:rsidR="000028CD" w:rsidRPr="0051438A" w:rsidRDefault="0051438A" w:rsidP="0051438A">
      <w:pPr>
        <w:pStyle w:val="NoSpacing1"/>
        <w:tabs>
          <w:tab w:val="left" w:pos="1848"/>
          <w:tab w:val="center" w:pos="4819"/>
        </w:tabs>
        <w:ind w:firstLine="0"/>
        <w:rPr>
          <w:rFonts w:asciiTheme="minorHAnsi" w:hAnsiTheme="minorHAnsi" w:cstheme="minorHAnsi"/>
          <w:b/>
          <w:smallCaps/>
          <w:sz w:val="32"/>
          <w:szCs w:val="32"/>
          <w:u w:val="single"/>
        </w:rPr>
      </w:pPr>
      <w:r w:rsidRPr="0051438A">
        <w:rPr>
          <w:rFonts w:asciiTheme="minorHAnsi" w:hAnsiTheme="minorHAnsi" w:cstheme="minorHAnsi"/>
          <w:b/>
          <w:smallCaps/>
          <w:sz w:val="32"/>
          <w:szCs w:val="32"/>
        </w:rPr>
        <w:tab/>
      </w:r>
      <w:r w:rsidRPr="0051438A">
        <w:rPr>
          <w:rFonts w:asciiTheme="minorHAnsi" w:hAnsiTheme="minorHAnsi" w:cstheme="minorHAnsi"/>
          <w:b/>
          <w:smallCaps/>
          <w:sz w:val="32"/>
          <w:szCs w:val="32"/>
        </w:rPr>
        <w:tab/>
      </w:r>
      <w:r w:rsidR="00735B72" w:rsidRPr="0051438A">
        <w:rPr>
          <w:rFonts w:asciiTheme="minorHAnsi" w:hAnsiTheme="minorHAnsi" w:cstheme="minorHAnsi"/>
          <w:b/>
          <w:smallCaps/>
          <w:sz w:val="32"/>
          <w:szCs w:val="32"/>
          <w:u w:val="single"/>
        </w:rPr>
        <w:t>2019</w:t>
      </w:r>
      <w:r w:rsidR="000028CD" w:rsidRPr="0051438A">
        <w:rPr>
          <w:rFonts w:asciiTheme="minorHAnsi" w:hAnsiTheme="minorHAnsi" w:cstheme="minorHAnsi"/>
          <w:b/>
          <w:smallCaps/>
          <w:sz w:val="32"/>
          <w:szCs w:val="32"/>
          <w:u w:val="single"/>
        </w:rPr>
        <w:t xml:space="preserve"> m. </w:t>
      </w:r>
      <w:r w:rsidR="004146C6" w:rsidRPr="0051438A">
        <w:rPr>
          <w:rFonts w:asciiTheme="minorHAnsi" w:hAnsiTheme="minorHAnsi" w:cstheme="minorHAnsi"/>
          <w:b/>
          <w:smallCaps/>
          <w:sz w:val="32"/>
          <w:szCs w:val="32"/>
          <w:u w:val="single"/>
        </w:rPr>
        <w:t>gegužės</w:t>
      </w:r>
      <w:r w:rsidR="00ED7C96" w:rsidRPr="0051438A">
        <w:rPr>
          <w:rFonts w:asciiTheme="minorHAnsi" w:hAnsiTheme="minorHAnsi" w:cstheme="minorHAnsi"/>
          <w:b/>
          <w:smallCaps/>
          <w:sz w:val="32"/>
          <w:szCs w:val="32"/>
          <w:u w:val="single"/>
        </w:rPr>
        <w:t xml:space="preserve"> 1 d.–201</w:t>
      </w:r>
      <w:r w:rsidR="00735B72" w:rsidRPr="0051438A">
        <w:rPr>
          <w:rFonts w:asciiTheme="minorHAnsi" w:hAnsiTheme="minorHAnsi" w:cstheme="minorHAnsi"/>
          <w:b/>
          <w:smallCaps/>
          <w:sz w:val="32"/>
          <w:szCs w:val="32"/>
          <w:u w:val="single"/>
        </w:rPr>
        <w:t>9</w:t>
      </w:r>
      <w:r w:rsidR="000028CD" w:rsidRPr="0051438A">
        <w:rPr>
          <w:rFonts w:asciiTheme="minorHAnsi" w:hAnsiTheme="minorHAnsi" w:cstheme="minorHAnsi"/>
          <w:b/>
          <w:smallCaps/>
          <w:sz w:val="32"/>
          <w:szCs w:val="32"/>
          <w:u w:val="single"/>
        </w:rPr>
        <w:t xml:space="preserve"> m. </w:t>
      </w:r>
      <w:r w:rsidR="004146C6" w:rsidRPr="0051438A">
        <w:rPr>
          <w:rFonts w:asciiTheme="minorHAnsi" w:hAnsiTheme="minorHAnsi" w:cstheme="minorHAnsi"/>
          <w:b/>
          <w:smallCaps/>
          <w:sz w:val="32"/>
          <w:szCs w:val="32"/>
          <w:u w:val="single"/>
        </w:rPr>
        <w:t>rugpjūčio</w:t>
      </w:r>
      <w:r w:rsidR="000028CD" w:rsidRPr="0051438A">
        <w:rPr>
          <w:rFonts w:asciiTheme="minorHAnsi" w:hAnsiTheme="minorHAnsi" w:cstheme="minorHAnsi"/>
          <w:b/>
          <w:smallCaps/>
          <w:sz w:val="32"/>
          <w:szCs w:val="32"/>
          <w:u w:val="single"/>
        </w:rPr>
        <w:t xml:space="preserve"> 3</w:t>
      </w:r>
      <w:r w:rsidR="004146C6" w:rsidRPr="0051438A">
        <w:rPr>
          <w:rFonts w:asciiTheme="minorHAnsi" w:hAnsiTheme="minorHAnsi" w:cstheme="minorHAnsi"/>
          <w:b/>
          <w:smallCaps/>
          <w:sz w:val="32"/>
          <w:szCs w:val="32"/>
          <w:u w:val="single"/>
        </w:rPr>
        <w:t>1</w:t>
      </w:r>
      <w:r w:rsidR="000028CD" w:rsidRPr="0051438A">
        <w:rPr>
          <w:rFonts w:asciiTheme="minorHAnsi" w:hAnsiTheme="minorHAnsi" w:cstheme="minorHAnsi"/>
          <w:b/>
          <w:smallCaps/>
          <w:sz w:val="32"/>
          <w:szCs w:val="32"/>
          <w:u w:val="single"/>
        </w:rPr>
        <w:t xml:space="preserve"> d.</w:t>
      </w:r>
    </w:p>
    <w:p w:rsidR="000028CD" w:rsidRPr="0051438A" w:rsidRDefault="000028CD" w:rsidP="00AD0B10">
      <w:pPr>
        <w:jc w:val="center"/>
        <w:rPr>
          <w:rFonts w:asciiTheme="minorHAnsi" w:hAnsiTheme="minorHAnsi" w:cstheme="minorHAnsi"/>
          <w:b/>
          <w:smallCaps/>
          <w:sz w:val="32"/>
          <w:szCs w:val="32"/>
        </w:rPr>
      </w:pPr>
    </w:p>
    <w:p w:rsidR="000028CD" w:rsidRPr="003D6A3B" w:rsidRDefault="000028CD" w:rsidP="00AD0B10">
      <w:pPr>
        <w:jc w:val="center"/>
        <w:rPr>
          <w:rFonts w:asciiTheme="minorHAnsi" w:hAnsiTheme="minorHAnsi" w:cstheme="minorHAnsi"/>
          <w:b/>
          <w:smallCaps/>
        </w:rPr>
      </w:pPr>
    </w:p>
    <w:p w:rsidR="000028CD" w:rsidRPr="003D6A3B" w:rsidRDefault="000028CD" w:rsidP="00AD0B10">
      <w:pPr>
        <w:jc w:val="center"/>
        <w:rPr>
          <w:rFonts w:asciiTheme="minorHAnsi" w:hAnsiTheme="minorHAnsi" w:cstheme="minorHAnsi"/>
          <w:b/>
          <w:smallCaps/>
        </w:rPr>
      </w:pPr>
    </w:p>
    <w:p w:rsidR="000028CD" w:rsidRPr="003D6A3B" w:rsidRDefault="000028CD" w:rsidP="00AD0B10">
      <w:pPr>
        <w:jc w:val="center"/>
        <w:rPr>
          <w:rFonts w:asciiTheme="minorHAnsi" w:hAnsiTheme="minorHAnsi" w:cstheme="minorHAnsi"/>
          <w:b/>
          <w:smallCaps/>
        </w:rPr>
      </w:pPr>
    </w:p>
    <w:p w:rsidR="000028CD" w:rsidRPr="003D6A3B" w:rsidRDefault="000028CD" w:rsidP="00AD0B10">
      <w:pPr>
        <w:jc w:val="center"/>
        <w:rPr>
          <w:rFonts w:asciiTheme="minorHAnsi" w:hAnsiTheme="minorHAnsi" w:cstheme="minorHAnsi"/>
          <w:b/>
          <w:smallCaps/>
        </w:rPr>
      </w:pPr>
    </w:p>
    <w:p w:rsidR="000028CD" w:rsidRPr="003D6A3B" w:rsidRDefault="000028CD" w:rsidP="00AD0B10">
      <w:pPr>
        <w:jc w:val="center"/>
        <w:rPr>
          <w:rFonts w:asciiTheme="minorHAnsi" w:hAnsiTheme="minorHAnsi" w:cstheme="minorHAnsi"/>
          <w:b/>
          <w:smallCaps/>
        </w:rPr>
      </w:pPr>
    </w:p>
    <w:p w:rsidR="000028CD" w:rsidRPr="003D6A3B" w:rsidRDefault="000028CD" w:rsidP="00AD0B10">
      <w:pPr>
        <w:jc w:val="center"/>
        <w:rPr>
          <w:rFonts w:asciiTheme="minorHAnsi" w:hAnsiTheme="minorHAnsi" w:cstheme="minorHAnsi"/>
          <w:b/>
          <w:smallCaps/>
        </w:rPr>
      </w:pPr>
    </w:p>
    <w:p w:rsidR="000028CD" w:rsidRPr="003D6A3B" w:rsidRDefault="000028CD" w:rsidP="00AD0B10">
      <w:pPr>
        <w:jc w:val="center"/>
        <w:rPr>
          <w:rFonts w:asciiTheme="minorHAnsi" w:hAnsiTheme="minorHAnsi" w:cstheme="minorHAnsi"/>
          <w:b/>
          <w:smallCaps/>
        </w:rPr>
      </w:pPr>
    </w:p>
    <w:p w:rsidR="000028CD" w:rsidRPr="003D6A3B" w:rsidRDefault="000028CD" w:rsidP="00AD0B10">
      <w:pPr>
        <w:jc w:val="center"/>
        <w:rPr>
          <w:rFonts w:asciiTheme="minorHAnsi" w:hAnsiTheme="minorHAnsi" w:cstheme="minorHAnsi"/>
          <w:b/>
          <w:smallCaps/>
        </w:rPr>
      </w:pPr>
    </w:p>
    <w:p w:rsidR="000028CD" w:rsidRPr="003D6A3B" w:rsidRDefault="000028CD" w:rsidP="00AD0B10">
      <w:pPr>
        <w:jc w:val="center"/>
        <w:rPr>
          <w:rFonts w:asciiTheme="minorHAnsi" w:hAnsiTheme="minorHAnsi" w:cstheme="minorHAnsi"/>
          <w:b/>
          <w:smallCaps/>
        </w:rPr>
      </w:pPr>
    </w:p>
    <w:p w:rsidR="000028CD" w:rsidRPr="003D6A3B" w:rsidRDefault="000028CD" w:rsidP="00AD0B10">
      <w:pPr>
        <w:jc w:val="center"/>
        <w:rPr>
          <w:rFonts w:asciiTheme="minorHAnsi" w:hAnsiTheme="minorHAnsi" w:cstheme="minorHAnsi"/>
          <w:b/>
          <w:smallCaps/>
        </w:rPr>
      </w:pPr>
    </w:p>
    <w:p w:rsidR="000028CD" w:rsidRPr="003D6A3B" w:rsidRDefault="000028CD" w:rsidP="00AD0B10">
      <w:pPr>
        <w:jc w:val="center"/>
        <w:rPr>
          <w:rFonts w:asciiTheme="minorHAnsi" w:hAnsiTheme="minorHAnsi" w:cstheme="minorHAnsi"/>
          <w:b/>
          <w:smallCaps/>
        </w:rPr>
      </w:pPr>
    </w:p>
    <w:p w:rsidR="000028CD" w:rsidRPr="003D6A3B" w:rsidRDefault="000028CD" w:rsidP="00AD0B10">
      <w:pPr>
        <w:jc w:val="center"/>
        <w:rPr>
          <w:rFonts w:asciiTheme="minorHAnsi" w:hAnsiTheme="minorHAnsi" w:cstheme="minorHAnsi"/>
          <w:b/>
          <w:smallCaps/>
        </w:rPr>
      </w:pPr>
    </w:p>
    <w:p w:rsidR="000028CD" w:rsidRPr="003D6A3B" w:rsidRDefault="000028CD" w:rsidP="00AD0B10">
      <w:pPr>
        <w:jc w:val="center"/>
        <w:rPr>
          <w:rFonts w:asciiTheme="minorHAnsi" w:hAnsiTheme="minorHAnsi" w:cstheme="minorHAnsi"/>
          <w:b/>
          <w:smallCaps/>
        </w:rPr>
      </w:pPr>
    </w:p>
    <w:p w:rsidR="000028CD" w:rsidRPr="003D6A3B" w:rsidRDefault="000028CD" w:rsidP="00AD0B10">
      <w:pPr>
        <w:jc w:val="center"/>
        <w:rPr>
          <w:rFonts w:asciiTheme="minorHAnsi" w:hAnsiTheme="minorHAnsi" w:cstheme="minorHAnsi"/>
          <w:b/>
          <w:smallCaps/>
        </w:rPr>
      </w:pPr>
    </w:p>
    <w:p w:rsidR="000028CD" w:rsidRPr="003D6A3B" w:rsidRDefault="000028CD" w:rsidP="00AD0B10">
      <w:pPr>
        <w:jc w:val="center"/>
        <w:rPr>
          <w:rFonts w:asciiTheme="minorHAnsi" w:hAnsiTheme="minorHAnsi" w:cstheme="minorHAnsi"/>
          <w:b/>
          <w:smallCaps/>
        </w:rPr>
      </w:pPr>
    </w:p>
    <w:p w:rsidR="000028CD" w:rsidRPr="003D6A3B" w:rsidRDefault="000028CD" w:rsidP="00AD0B10">
      <w:pPr>
        <w:jc w:val="center"/>
        <w:rPr>
          <w:rFonts w:asciiTheme="minorHAnsi" w:hAnsiTheme="minorHAnsi" w:cstheme="minorHAnsi"/>
          <w:b/>
          <w:smallCaps/>
        </w:rPr>
      </w:pPr>
    </w:p>
    <w:p w:rsidR="000028CD" w:rsidRPr="003D6A3B" w:rsidRDefault="000028CD" w:rsidP="00AD0B10">
      <w:pPr>
        <w:jc w:val="center"/>
        <w:rPr>
          <w:rFonts w:asciiTheme="minorHAnsi" w:hAnsiTheme="minorHAnsi" w:cstheme="minorHAnsi"/>
          <w:b/>
          <w:smallCaps/>
        </w:rPr>
      </w:pPr>
    </w:p>
    <w:p w:rsidR="000028CD" w:rsidRPr="0051438A" w:rsidRDefault="000028CD" w:rsidP="00AD0B10">
      <w:pPr>
        <w:jc w:val="center"/>
        <w:rPr>
          <w:rFonts w:asciiTheme="minorHAnsi" w:hAnsiTheme="minorHAnsi" w:cstheme="minorHAnsi"/>
          <w:b/>
          <w:smallCaps/>
          <w:sz w:val="28"/>
          <w:szCs w:val="28"/>
        </w:rPr>
      </w:pPr>
      <w:r w:rsidRPr="0051438A">
        <w:rPr>
          <w:rFonts w:asciiTheme="minorHAnsi" w:hAnsiTheme="minorHAnsi" w:cstheme="minorHAnsi"/>
          <w:b/>
          <w:smallCaps/>
          <w:sz w:val="28"/>
          <w:szCs w:val="28"/>
        </w:rPr>
        <w:t xml:space="preserve">Apžvalgą parengė </w:t>
      </w:r>
    </w:p>
    <w:p w:rsidR="000028CD" w:rsidRPr="0051438A" w:rsidRDefault="000028CD" w:rsidP="00AD0B10">
      <w:pPr>
        <w:jc w:val="center"/>
        <w:rPr>
          <w:rFonts w:asciiTheme="minorHAnsi" w:hAnsiTheme="minorHAnsi" w:cstheme="minorHAnsi"/>
          <w:b/>
          <w:smallCaps/>
          <w:sz w:val="28"/>
          <w:szCs w:val="28"/>
        </w:rPr>
      </w:pPr>
      <w:r w:rsidRPr="0051438A">
        <w:rPr>
          <w:rFonts w:asciiTheme="minorHAnsi" w:hAnsiTheme="minorHAnsi" w:cstheme="minorHAnsi"/>
          <w:b/>
          <w:smallCaps/>
          <w:sz w:val="28"/>
          <w:szCs w:val="28"/>
        </w:rPr>
        <w:t xml:space="preserve">Lietuvos vyriausiojo administracinio teismo </w:t>
      </w:r>
    </w:p>
    <w:p w:rsidR="000028CD" w:rsidRPr="003D6A3B" w:rsidRDefault="000028CD" w:rsidP="00AD0B10">
      <w:pPr>
        <w:jc w:val="center"/>
        <w:rPr>
          <w:rFonts w:asciiTheme="minorHAnsi" w:hAnsiTheme="minorHAnsi" w:cstheme="minorHAnsi"/>
          <w:b/>
          <w:color w:val="000000"/>
        </w:rPr>
      </w:pPr>
      <w:r w:rsidRPr="0051438A">
        <w:rPr>
          <w:rFonts w:asciiTheme="minorHAnsi" w:hAnsiTheme="minorHAnsi" w:cstheme="minorHAnsi"/>
          <w:b/>
          <w:smallCaps/>
          <w:sz w:val="28"/>
          <w:szCs w:val="28"/>
        </w:rPr>
        <w:t>Teismų praktikos departamentas</w:t>
      </w:r>
      <w:r w:rsidRPr="003D6A3B">
        <w:rPr>
          <w:rFonts w:asciiTheme="minorHAnsi" w:hAnsiTheme="minorHAnsi" w:cstheme="minorHAnsi"/>
          <w:b/>
          <w:smallCaps/>
        </w:rPr>
        <w:t xml:space="preserve"> </w:t>
      </w:r>
      <w:r w:rsidRPr="003D6A3B">
        <w:rPr>
          <w:rFonts w:asciiTheme="minorHAnsi" w:hAnsiTheme="minorHAnsi" w:cstheme="minorHAnsi"/>
          <w:b/>
          <w:color w:val="000000"/>
        </w:rPr>
        <w:br w:type="page"/>
      </w:r>
    </w:p>
    <w:p w:rsidR="000028CD" w:rsidRPr="003D6A3B" w:rsidRDefault="000028CD" w:rsidP="00AD0B10">
      <w:pPr>
        <w:jc w:val="center"/>
        <w:rPr>
          <w:rFonts w:asciiTheme="minorHAnsi" w:hAnsiTheme="minorHAnsi" w:cstheme="minorHAnsi"/>
          <w:b/>
          <w:color w:val="323E4F" w:themeColor="text2" w:themeShade="BF"/>
        </w:rPr>
      </w:pPr>
      <w:r w:rsidRPr="003D6A3B">
        <w:rPr>
          <w:rFonts w:asciiTheme="minorHAnsi" w:hAnsiTheme="minorHAnsi" w:cstheme="minorHAnsi"/>
          <w:b/>
          <w:color w:val="323E4F" w:themeColor="text2" w:themeShade="BF"/>
        </w:rPr>
        <w:lastRenderedPageBreak/>
        <w:t>EUROPOS SĄJUNGOS TEISINGUMO TEISMO PRAKTIKOS APŽVALGA</w:t>
      </w:r>
    </w:p>
    <w:p w:rsidR="000028CD" w:rsidRPr="003D6A3B" w:rsidRDefault="000028CD" w:rsidP="00AD0B10">
      <w:pPr>
        <w:jc w:val="center"/>
        <w:rPr>
          <w:rFonts w:asciiTheme="minorHAnsi" w:hAnsiTheme="minorHAnsi" w:cstheme="minorHAnsi"/>
          <w:color w:val="323E4F" w:themeColor="text2" w:themeShade="BF"/>
        </w:rPr>
      </w:pPr>
      <w:r w:rsidRPr="003D6A3B">
        <w:rPr>
          <w:rFonts w:asciiTheme="minorHAnsi" w:hAnsiTheme="minorHAnsi" w:cstheme="minorHAnsi"/>
          <w:color w:val="323E4F" w:themeColor="text2" w:themeShade="BF"/>
        </w:rPr>
        <w:t>(201</w:t>
      </w:r>
      <w:r w:rsidR="00735B72" w:rsidRPr="003D6A3B">
        <w:rPr>
          <w:rFonts w:asciiTheme="minorHAnsi" w:hAnsiTheme="minorHAnsi" w:cstheme="minorHAnsi"/>
          <w:color w:val="323E4F" w:themeColor="text2" w:themeShade="BF"/>
        </w:rPr>
        <w:t>9</w:t>
      </w:r>
      <w:r w:rsidRPr="003D6A3B">
        <w:rPr>
          <w:rFonts w:asciiTheme="minorHAnsi" w:hAnsiTheme="minorHAnsi" w:cstheme="minorHAnsi"/>
          <w:color w:val="323E4F" w:themeColor="text2" w:themeShade="BF"/>
        </w:rPr>
        <w:t xml:space="preserve"> m. </w:t>
      </w:r>
      <w:r w:rsidR="004146C6" w:rsidRPr="003D6A3B">
        <w:rPr>
          <w:rFonts w:asciiTheme="minorHAnsi" w:hAnsiTheme="minorHAnsi" w:cstheme="minorHAnsi"/>
          <w:color w:val="323E4F" w:themeColor="text2" w:themeShade="BF"/>
        </w:rPr>
        <w:t>gegužės</w:t>
      </w:r>
      <w:r w:rsidR="00735B72" w:rsidRPr="003D6A3B">
        <w:rPr>
          <w:rFonts w:asciiTheme="minorHAnsi" w:hAnsiTheme="minorHAnsi" w:cstheme="minorHAnsi"/>
          <w:color w:val="323E4F" w:themeColor="text2" w:themeShade="BF"/>
        </w:rPr>
        <w:t xml:space="preserve"> 1 d.–2019</w:t>
      </w:r>
      <w:r w:rsidRPr="003D6A3B">
        <w:rPr>
          <w:rFonts w:asciiTheme="minorHAnsi" w:hAnsiTheme="minorHAnsi" w:cstheme="minorHAnsi"/>
          <w:color w:val="323E4F" w:themeColor="text2" w:themeShade="BF"/>
        </w:rPr>
        <w:t xml:space="preserve"> m. </w:t>
      </w:r>
      <w:r w:rsidR="004146C6" w:rsidRPr="003D6A3B">
        <w:rPr>
          <w:rFonts w:asciiTheme="minorHAnsi" w:hAnsiTheme="minorHAnsi" w:cstheme="minorHAnsi"/>
          <w:color w:val="323E4F" w:themeColor="text2" w:themeShade="BF"/>
        </w:rPr>
        <w:t>rugpjūčio</w:t>
      </w:r>
      <w:r w:rsidR="00882925" w:rsidRPr="003D6A3B">
        <w:rPr>
          <w:rFonts w:asciiTheme="minorHAnsi" w:hAnsiTheme="minorHAnsi" w:cstheme="minorHAnsi"/>
          <w:color w:val="323E4F" w:themeColor="text2" w:themeShade="BF"/>
        </w:rPr>
        <w:t xml:space="preserve"> 3</w:t>
      </w:r>
      <w:r w:rsidR="004146C6" w:rsidRPr="003D6A3B">
        <w:rPr>
          <w:rFonts w:asciiTheme="minorHAnsi" w:hAnsiTheme="minorHAnsi" w:cstheme="minorHAnsi"/>
          <w:color w:val="323E4F" w:themeColor="text2" w:themeShade="BF"/>
        </w:rPr>
        <w:t>1</w:t>
      </w:r>
      <w:r w:rsidRPr="003D6A3B">
        <w:rPr>
          <w:rFonts w:asciiTheme="minorHAnsi" w:hAnsiTheme="minorHAnsi" w:cstheme="minorHAnsi"/>
          <w:color w:val="323E4F" w:themeColor="text2" w:themeShade="BF"/>
        </w:rPr>
        <w:t xml:space="preserve"> d.)</w:t>
      </w:r>
    </w:p>
    <w:p w:rsidR="000028CD" w:rsidRPr="003D6A3B" w:rsidRDefault="000028CD" w:rsidP="00126D28">
      <w:pPr>
        <w:pStyle w:val="TOCHeading"/>
        <w:spacing w:before="0" w:line="240" w:lineRule="auto"/>
        <w:rPr>
          <w:rFonts w:cstheme="minorHAnsi"/>
        </w:rPr>
      </w:pPr>
    </w:p>
    <w:sdt>
      <w:sdtPr>
        <w:rPr>
          <w:rFonts w:ascii="Calibri" w:eastAsia="Calibri" w:hAnsi="Calibri" w:cs="Times New Roman"/>
          <w:b w:val="0"/>
          <w:color w:val="auto"/>
          <w:szCs w:val="22"/>
          <w:lang w:eastAsia="en-US"/>
        </w:rPr>
        <w:id w:val="964318455"/>
        <w:docPartObj>
          <w:docPartGallery w:val="Table of Contents"/>
          <w:docPartUnique/>
        </w:docPartObj>
      </w:sdtPr>
      <w:sdtEndPr>
        <w:rPr>
          <w:bCs/>
        </w:rPr>
      </w:sdtEndPr>
      <w:sdtContent>
        <w:p w:rsidR="00126D28" w:rsidRPr="003D6A3B" w:rsidRDefault="00126D28">
          <w:pPr>
            <w:pStyle w:val="TOCHeading"/>
          </w:pPr>
        </w:p>
        <w:bookmarkStart w:id="1" w:name="_Hlk21941982"/>
        <w:p w:rsidR="001362AB" w:rsidRDefault="00126D28">
          <w:pPr>
            <w:pStyle w:val="TOC1"/>
            <w:rPr>
              <w:rFonts w:asciiTheme="minorHAnsi" w:eastAsiaTheme="minorEastAsia" w:hAnsiTheme="minorHAnsi" w:cstheme="minorBidi"/>
              <w:b w:val="0"/>
              <w:bCs w:val="0"/>
              <w:color w:val="auto"/>
              <w:kern w:val="0"/>
              <w:lang w:val="en-US" w:eastAsia="en-US"/>
            </w:rPr>
          </w:pPr>
          <w:r w:rsidRPr="003D6A3B">
            <w:fldChar w:fldCharType="begin"/>
          </w:r>
          <w:r w:rsidRPr="003D6A3B">
            <w:instrText xml:space="preserve"> TOC \o "1-3" \h \z \u </w:instrText>
          </w:r>
          <w:r w:rsidRPr="003D6A3B">
            <w:fldChar w:fldCharType="separate"/>
          </w:r>
          <w:hyperlink w:anchor="_Toc21941937" w:history="1">
            <w:r w:rsidR="001362AB" w:rsidRPr="00A34B4E">
              <w:rPr>
                <w:rStyle w:val="Hyperlink"/>
                <w:rFonts w:cstheme="minorHAnsi"/>
              </w:rPr>
              <w:t>UŽSIENIEČIŲ TEISINĖ PADĖTIS</w:t>
            </w:r>
            <w:r w:rsidR="001362AB">
              <w:rPr>
                <w:webHidden/>
              </w:rPr>
              <w:tab/>
            </w:r>
            <w:r w:rsidR="001362AB">
              <w:rPr>
                <w:webHidden/>
              </w:rPr>
              <w:fldChar w:fldCharType="begin"/>
            </w:r>
            <w:r w:rsidR="001362AB">
              <w:rPr>
                <w:webHidden/>
              </w:rPr>
              <w:instrText xml:space="preserve"> PAGEREF _Toc21941937 \h </w:instrText>
            </w:r>
            <w:r w:rsidR="001362AB">
              <w:rPr>
                <w:webHidden/>
              </w:rPr>
            </w:r>
            <w:r w:rsidR="001362AB">
              <w:rPr>
                <w:webHidden/>
              </w:rPr>
              <w:fldChar w:fldCharType="separate"/>
            </w:r>
            <w:r w:rsidR="001362AB">
              <w:rPr>
                <w:webHidden/>
              </w:rPr>
              <w:t>4</w:t>
            </w:r>
            <w:r w:rsidR="001362AB">
              <w:rPr>
                <w:webHidden/>
              </w:rPr>
              <w:fldChar w:fldCharType="end"/>
            </w:r>
          </w:hyperlink>
        </w:p>
        <w:p w:rsidR="001362AB" w:rsidRDefault="007D413D">
          <w:pPr>
            <w:pStyle w:val="TOC2"/>
            <w:rPr>
              <w:rFonts w:asciiTheme="minorHAnsi" w:eastAsiaTheme="minorEastAsia" w:hAnsiTheme="minorHAnsi" w:cstheme="minorBidi"/>
              <w:b w:val="0"/>
              <w:color w:val="auto"/>
              <w:lang w:val="en-US"/>
            </w:rPr>
          </w:pPr>
          <w:hyperlink w:anchor="_Toc21941938" w:history="1">
            <w:r w:rsidR="001362AB" w:rsidRPr="00A34B4E">
              <w:rPr>
                <w:rStyle w:val="Hyperlink"/>
              </w:rPr>
              <w:t>2019 m. gegužės 14 d. didžiosios kolegijos prejudicinis sprendimas sujungtose bylose C-391/16, C-77/17 ir C-78/17</w:t>
            </w:r>
            <w:r w:rsidR="001362AB">
              <w:rPr>
                <w:webHidden/>
              </w:rPr>
              <w:tab/>
            </w:r>
            <w:r w:rsidR="001362AB">
              <w:rPr>
                <w:webHidden/>
              </w:rPr>
              <w:fldChar w:fldCharType="begin"/>
            </w:r>
            <w:r w:rsidR="001362AB">
              <w:rPr>
                <w:webHidden/>
              </w:rPr>
              <w:instrText xml:space="preserve"> PAGEREF _Toc21941938 \h </w:instrText>
            </w:r>
            <w:r w:rsidR="001362AB">
              <w:rPr>
                <w:webHidden/>
              </w:rPr>
            </w:r>
            <w:r w:rsidR="001362AB">
              <w:rPr>
                <w:webHidden/>
              </w:rPr>
              <w:fldChar w:fldCharType="separate"/>
            </w:r>
            <w:r w:rsidR="001362AB">
              <w:rPr>
                <w:webHidden/>
              </w:rPr>
              <w:t>4</w:t>
            </w:r>
            <w:r w:rsidR="001362AB">
              <w:rPr>
                <w:webHidden/>
              </w:rPr>
              <w:fldChar w:fldCharType="end"/>
            </w:r>
          </w:hyperlink>
        </w:p>
        <w:p w:rsidR="001362AB" w:rsidRDefault="007D413D">
          <w:pPr>
            <w:pStyle w:val="TOC3"/>
            <w:rPr>
              <w:rFonts w:asciiTheme="minorHAnsi" w:eastAsiaTheme="minorEastAsia" w:hAnsiTheme="minorHAnsi" w:cstheme="minorBidi"/>
              <w:lang w:val="en-US" w:eastAsia="en-US"/>
            </w:rPr>
          </w:pPr>
          <w:hyperlink w:anchor="_Toc21941939" w:history="1">
            <w:r w:rsidR="001362AB" w:rsidRPr="00A34B4E">
              <w:rPr>
                <w:rStyle w:val="Hyperlink"/>
              </w:rPr>
              <w:t>Dėl Direktyvoje 2011/95 įtvirtintų sąvokų „pabėgėlis“ ir „pabėgėlio statusas“ aiškinimo</w:t>
            </w:r>
            <w:r w:rsidR="001362AB">
              <w:rPr>
                <w:webHidden/>
              </w:rPr>
              <w:tab/>
            </w:r>
            <w:r w:rsidR="001362AB">
              <w:rPr>
                <w:webHidden/>
              </w:rPr>
              <w:fldChar w:fldCharType="begin"/>
            </w:r>
            <w:r w:rsidR="001362AB">
              <w:rPr>
                <w:webHidden/>
              </w:rPr>
              <w:instrText xml:space="preserve"> PAGEREF _Toc21941939 \h </w:instrText>
            </w:r>
            <w:r w:rsidR="001362AB">
              <w:rPr>
                <w:webHidden/>
              </w:rPr>
            </w:r>
            <w:r w:rsidR="001362AB">
              <w:rPr>
                <w:webHidden/>
              </w:rPr>
              <w:fldChar w:fldCharType="separate"/>
            </w:r>
            <w:r w:rsidR="001362AB">
              <w:rPr>
                <w:webHidden/>
              </w:rPr>
              <w:t>4</w:t>
            </w:r>
            <w:r w:rsidR="001362AB">
              <w:rPr>
                <w:webHidden/>
              </w:rPr>
              <w:fldChar w:fldCharType="end"/>
            </w:r>
          </w:hyperlink>
        </w:p>
        <w:p w:rsidR="001362AB" w:rsidRDefault="007D413D">
          <w:pPr>
            <w:pStyle w:val="TOC3"/>
            <w:rPr>
              <w:rFonts w:asciiTheme="minorHAnsi" w:eastAsiaTheme="minorEastAsia" w:hAnsiTheme="minorHAnsi" w:cstheme="minorBidi"/>
              <w:lang w:val="en-US" w:eastAsia="en-US"/>
            </w:rPr>
          </w:pPr>
          <w:hyperlink w:anchor="_Toc21941940" w:history="1">
            <w:r w:rsidR="001362AB" w:rsidRPr="00A34B4E">
              <w:rPr>
                <w:rStyle w:val="Hyperlink"/>
              </w:rPr>
              <w:t>Dėl valstybės narės teisės panaikinti arba atsisakyti suteikti pabėgėlio statusą vertinimo teisės išsiųsti (grąžinti) kontekste</w:t>
            </w:r>
            <w:r w:rsidR="001362AB">
              <w:rPr>
                <w:webHidden/>
              </w:rPr>
              <w:tab/>
            </w:r>
            <w:r w:rsidR="001362AB">
              <w:rPr>
                <w:webHidden/>
              </w:rPr>
              <w:fldChar w:fldCharType="begin"/>
            </w:r>
            <w:r w:rsidR="001362AB">
              <w:rPr>
                <w:webHidden/>
              </w:rPr>
              <w:instrText xml:space="preserve"> PAGEREF _Toc21941940 \h </w:instrText>
            </w:r>
            <w:r w:rsidR="001362AB">
              <w:rPr>
                <w:webHidden/>
              </w:rPr>
            </w:r>
            <w:r w:rsidR="001362AB">
              <w:rPr>
                <w:webHidden/>
              </w:rPr>
              <w:fldChar w:fldCharType="separate"/>
            </w:r>
            <w:r w:rsidR="001362AB">
              <w:rPr>
                <w:webHidden/>
              </w:rPr>
              <w:t>5</w:t>
            </w:r>
            <w:r w:rsidR="001362AB">
              <w:rPr>
                <w:webHidden/>
              </w:rPr>
              <w:fldChar w:fldCharType="end"/>
            </w:r>
          </w:hyperlink>
        </w:p>
        <w:p w:rsidR="001362AB" w:rsidRDefault="007D413D">
          <w:pPr>
            <w:pStyle w:val="TOC3"/>
            <w:rPr>
              <w:rFonts w:asciiTheme="minorHAnsi" w:eastAsiaTheme="minorEastAsia" w:hAnsiTheme="minorHAnsi" w:cstheme="minorBidi"/>
              <w:lang w:val="en-US" w:eastAsia="en-US"/>
            </w:rPr>
          </w:pPr>
          <w:hyperlink w:anchor="_Toc21941941" w:history="1">
            <w:r w:rsidR="001362AB" w:rsidRPr="00A34B4E">
              <w:rPr>
                <w:rStyle w:val="Hyperlink"/>
              </w:rPr>
              <w:t>Dėl valstybės narės pareigos užtikrinti, kad nebūtų pažeistas minimalus apsaugos lygis</w:t>
            </w:r>
            <w:r w:rsidR="001362AB">
              <w:rPr>
                <w:webHidden/>
              </w:rPr>
              <w:tab/>
            </w:r>
            <w:r w:rsidR="001362AB">
              <w:rPr>
                <w:webHidden/>
              </w:rPr>
              <w:fldChar w:fldCharType="begin"/>
            </w:r>
            <w:r w:rsidR="001362AB">
              <w:rPr>
                <w:webHidden/>
              </w:rPr>
              <w:instrText xml:space="preserve"> PAGEREF _Toc21941941 \h </w:instrText>
            </w:r>
            <w:r w:rsidR="001362AB">
              <w:rPr>
                <w:webHidden/>
              </w:rPr>
            </w:r>
            <w:r w:rsidR="001362AB">
              <w:rPr>
                <w:webHidden/>
              </w:rPr>
              <w:fldChar w:fldCharType="separate"/>
            </w:r>
            <w:r w:rsidR="001362AB">
              <w:rPr>
                <w:webHidden/>
              </w:rPr>
              <w:t>6</w:t>
            </w:r>
            <w:r w:rsidR="001362AB">
              <w:rPr>
                <w:webHidden/>
              </w:rPr>
              <w:fldChar w:fldCharType="end"/>
            </w:r>
          </w:hyperlink>
        </w:p>
        <w:p w:rsidR="001362AB" w:rsidRDefault="007D413D">
          <w:pPr>
            <w:pStyle w:val="TOC2"/>
            <w:rPr>
              <w:rFonts w:asciiTheme="minorHAnsi" w:eastAsiaTheme="minorEastAsia" w:hAnsiTheme="minorHAnsi" w:cstheme="minorBidi"/>
              <w:b w:val="0"/>
              <w:color w:val="auto"/>
              <w:lang w:val="en-US"/>
            </w:rPr>
          </w:pPr>
          <w:hyperlink w:anchor="_Toc21941942" w:history="1">
            <w:r w:rsidR="001362AB" w:rsidRPr="00A34B4E">
              <w:rPr>
                <w:rStyle w:val="Hyperlink"/>
              </w:rPr>
              <w:t>2019 m. liepos 29 d. didžiosios kolegijos prejudicinis sprendimas byloje C-556/17</w:t>
            </w:r>
            <w:r w:rsidR="001362AB">
              <w:rPr>
                <w:webHidden/>
              </w:rPr>
              <w:tab/>
            </w:r>
            <w:r w:rsidR="001362AB">
              <w:rPr>
                <w:webHidden/>
              </w:rPr>
              <w:fldChar w:fldCharType="begin"/>
            </w:r>
            <w:r w:rsidR="001362AB">
              <w:rPr>
                <w:webHidden/>
              </w:rPr>
              <w:instrText xml:space="preserve"> PAGEREF _Toc21941942 \h </w:instrText>
            </w:r>
            <w:r w:rsidR="001362AB">
              <w:rPr>
                <w:webHidden/>
              </w:rPr>
            </w:r>
            <w:r w:rsidR="001362AB">
              <w:rPr>
                <w:webHidden/>
              </w:rPr>
              <w:fldChar w:fldCharType="separate"/>
            </w:r>
            <w:r w:rsidR="001362AB">
              <w:rPr>
                <w:webHidden/>
              </w:rPr>
              <w:t>6</w:t>
            </w:r>
            <w:r w:rsidR="001362AB">
              <w:rPr>
                <w:webHidden/>
              </w:rPr>
              <w:fldChar w:fldCharType="end"/>
            </w:r>
          </w:hyperlink>
        </w:p>
        <w:p w:rsidR="001362AB" w:rsidRDefault="007D413D">
          <w:pPr>
            <w:pStyle w:val="TOC3"/>
            <w:rPr>
              <w:rFonts w:asciiTheme="minorHAnsi" w:eastAsiaTheme="minorEastAsia" w:hAnsiTheme="minorHAnsi" w:cstheme="minorBidi"/>
              <w:lang w:val="en-US" w:eastAsia="en-US"/>
            </w:rPr>
          </w:pPr>
          <w:hyperlink w:anchor="_Toc21941943" w:history="1">
            <w:r w:rsidR="001362AB" w:rsidRPr="00A34B4E">
              <w:rPr>
                <w:rStyle w:val="Hyperlink"/>
              </w:rPr>
              <w:t>Dėl teismo teisės keisti prieglobsčio klausimus kompetentingos spręsti valdžios institucijos administracinius sprendimus nesuteikti tarptautinės apsaugos ir patiems ją suteikti</w:t>
            </w:r>
            <w:r w:rsidR="001362AB">
              <w:rPr>
                <w:webHidden/>
              </w:rPr>
              <w:tab/>
            </w:r>
            <w:r w:rsidR="001362AB">
              <w:rPr>
                <w:webHidden/>
              </w:rPr>
              <w:fldChar w:fldCharType="begin"/>
            </w:r>
            <w:r w:rsidR="001362AB">
              <w:rPr>
                <w:webHidden/>
              </w:rPr>
              <w:instrText xml:space="preserve"> PAGEREF _Toc21941943 \h </w:instrText>
            </w:r>
            <w:r w:rsidR="001362AB">
              <w:rPr>
                <w:webHidden/>
              </w:rPr>
            </w:r>
            <w:r w:rsidR="001362AB">
              <w:rPr>
                <w:webHidden/>
              </w:rPr>
              <w:fldChar w:fldCharType="separate"/>
            </w:r>
            <w:r w:rsidR="001362AB">
              <w:rPr>
                <w:webHidden/>
              </w:rPr>
              <w:t>7</w:t>
            </w:r>
            <w:r w:rsidR="001362AB">
              <w:rPr>
                <w:webHidden/>
              </w:rPr>
              <w:fldChar w:fldCharType="end"/>
            </w:r>
          </w:hyperlink>
        </w:p>
        <w:p w:rsidR="001362AB" w:rsidRDefault="007D413D">
          <w:pPr>
            <w:pStyle w:val="TOC1"/>
            <w:rPr>
              <w:rFonts w:asciiTheme="minorHAnsi" w:eastAsiaTheme="minorEastAsia" w:hAnsiTheme="minorHAnsi" w:cstheme="minorBidi"/>
              <w:b w:val="0"/>
              <w:bCs w:val="0"/>
              <w:color w:val="auto"/>
              <w:kern w:val="0"/>
              <w:lang w:val="en-US" w:eastAsia="en-US"/>
            </w:rPr>
          </w:pPr>
          <w:hyperlink w:anchor="_Toc21941944" w:history="1">
            <w:r w:rsidR="001362AB" w:rsidRPr="00A34B4E">
              <w:rPr>
                <w:rStyle w:val="Hyperlink"/>
                <w:rFonts w:cstheme="minorHAnsi"/>
              </w:rPr>
              <w:t>LAISVAS ASMENŲ JUDĖJIMAS</w:t>
            </w:r>
            <w:r w:rsidR="001362AB">
              <w:rPr>
                <w:webHidden/>
              </w:rPr>
              <w:tab/>
            </w:r>
            <w:r w:rsidR="001362AB">
              <w:rPr>
                <w:webHidden/>
              </w:rPr>
              <w:fldChar w:fldCharType="begin"/>
            </w:r>
            <w:r w:rsidR="001362AB">
              <w:rPr>
                <w:webHidden/>
              </w:rPr>
              <w:instrText xml:space="preserve"> PAGEREF _Toc21941944 \h </w:instrText>
            </w:r>
            <w:r w:rsidR="001362AB">
              <w:rPr>
                <w:webHidden/>
              </w:rPr>
            </w:r>
            <w:r w:rsidR="001362AB">
              <w:rPr>
                <w:webHidden/>
              </w:rPr>
              <w:fldChar w:fldCharType="separate"/>
            </w:r>
            <w:r w:rsidR="001362AB">
              <w:rPr>
                <w:webHidden/>
              </w:rPr>
              <w:t>9</w:t>
            </w:r>
            <w:r w:rsidR="001362AB">
              <w:rPr>
                <w:webHidden/>
              </w:rPr>
              <w:fldChar w:fldCharType="end"/>
            </w:r>
          </w:hyperlink>
        </w:p>
        <w:p w:rsidR="001362AB" w:rsidRDefault="007D413D">
          <w:pPr>
            <w:pStyle w:val="TOC2"/>
            <w:rPr>
              <w:rFonts w:asciiTheme="minorHAnsi" w:eastAsiaTheme="minorEastAsia" w:hAnsiTheme="minorHAnsi" w:cstheme="minorBidi"/>
              <w:b w:val="0"/>
              <w:color w:val="auto"/>
              <w:lang w:val="en-US"/>
            </w:rPr>
          </w:pPr>
          <w:hyperlink w:anchor="_Toc21941945" w:history="1">
            <w:r w:rsidR="001362AB" w:rsidRPr="00A34B4E">
              <w:rPr>
                <w:rStyle w:val="Hyperlink"/>
              </w:rPr>
              <w:t>2019 m. liepos 10 d. prejudicinis sprendimas byloje C</w:t>
            </w:r>
            <w:r w:rsidR="001362AB" w:rsidRPr="00A34B4E">
              <w:rPr>
                <w:rStyle w:val="Hyperlink"/>
              </w:rPr>
              <w:noBreakHyphen/>
              <w:t>89/18</w:t>
            </w:r>
            <w:r w:rsidR="001362AB">
              <w:rPr>
                <w:webHidden/>
              </w:rPr>
              <w:tab/>
            </w:r>
            <w:r w:rsidR="001362AB">
              <w:rPr>
                <w:webHidden/>
              </w:rPr>
              <w:fldChar w:fldCharType="begin"/>
            </w:r>
            <w:r w:rsidR="001362AB">
              <w:rPr>
                <w:webHidden/>
              </w:rPr>
              <w:instrText xml:space="preserve"> PAGEREF _Toc21941945 \h </w:instrText>
            </w:r>
            <w:r w:rsidR="001362AB">
              <w:rPr>
                <w:webHidden/>
              </w:rPr>
            </w:r>
            <w:r w:rsidR="001362AB">
              <w:rPr>
                <w:webHidden/>
              </w:rPr>
              <w:fldChar w:fldCharType="separate"/>
            </w:r>
            <w:r w:rsidR="001362AB">
              <w:rPr>
                <w:webHidden/>
              </w:rPr>
              <w:t>9</w:t>
            </w:r>
            <w:r w:rsidR="001362AB">
              <w:rPr>
                <w:webHidden/>
              </w:rPr>
              <w:fldChar w:fldCharType="end"/>
            </w:r>
          </w:hyperlink>
        </w:p>
        <w:p w:rsidR="001362AB" w:rsidRDefault="007D413D">
          <w:pPr>
            <w:pStyle w:val="TOC3"/>
            <w:rPr>
              <w:rFonts w:asciiTheme="minorHAnsi" w:eastAsiaTheme="minorEastAsia" w:hAnsiTheme="minorHAnsi" w:cstheme="minorBidi"/>
              <w:lang w:val="en-US" w:eastAsia="en-US"/>
            </w:rPr>
          </w:pPr>
          <w:hyperlink w:anchor="_Toc21941946" w:history="1">
            <w:r w:rsidR="001362AB" w:rsidRPr="00A34B4E">
              <w:rPr>
                <w:rStyle w:val="Hyperlink"/>
              </w:rPr>
              <w:t>Dėl nacionalinėje teisėje numatytų apribojimų šeimos susijungimui</w:t>
            </w:r>
            <w:r w:rsidR="001362AB">
              <w:rPr>
                <w:webHidden/>
              </w:rPr>
              <w:tab/>
            </w:r>
            <w:r w:rsidR="001362AB">
              <w:rPr>
                <w:webHidden/>
              </w:rPr>
              <w:fldChar w:fldCharType="begin"/>
            </w:r>
            <w:r w:rsidR="001362AB">
              <w:rPr>
                <w:webHidden/>
              </w:rPr>
              <w:instrText xml:space="preserve"> PAGEREF _Toc21941946 \h </w:instrText>
            </w:r>
            <w:r w:rsidR="001362AB">
              <w:rPr>
                <w:webHidden/>
              </w:rPr>
            </w:r>
            <w:r w:rsidR="001362AB">
              <w:rPr>
                <w:webHidden/>
              </w:rPr>
              <w:fldChar w:fldCharType="separate"/>
            </w:r>
            <w:r w:rsidR="001362AB">
              <w:rPr>
                <w:webHidden/>
              </w:rPr>
              <w:t>10</w:t>
            </w:r>
            <w:r w:rsidR="001362AB">
              <w:rPr>
                <w:webHidden/>
              </w:rPr>
              <w:fldChar w:fldCharType="end"/>
            </w:r>
          </w:hyperlink>
        </w:p>
        <w:p w:rsidR="001362AB" w:rsidRDefault="007D413D">
          <w:pPr>
            <w:pStyle w:val="TOC1"/>
            <w:rPr>
              <w:rFonts w:asciiTheme="minorHAnsi" w:eastAsiaTheme="minorEastAsia" w:hAnsiTheme="minorHAnsi" w:cstheme="minorBidi"/>
              <w:b w:val="0"/>
              <w:bCs w:val="0"/>
              <w:color w:val="auto"/>
              <w:kern w:val="0"/>
              <w:lang w:val="en-US" w:eastAsia="en-US"/>
            </w:rPr>
          </w:pPr>
          <w:hyperlink w:anchor="_Toc21941947" w:history="1">
            <w:r w:rsidR="001362AB" w:rsidRPr="00A34B4E">
              <w:rPr>
                <w:rStyle w:val="Hyperlink"/>
                <w:rFonts w:cstheme="minorHAnsi"/>
              </w:rPr>
              <w:t>MUITINĖS VEIKLA</w:t>
            </w:r>
            <w:r w:rsidR="001362AB">
              <w:rPr>
                <w:webHidden/>
              </w:rPr>
              <w:tab/>
            </w:r>
            <w:r w:rsidR="001362AB">
              <w:rPr>
                <w:webHidden/>
              </w:rPr>
              <w:fldChar w:fldCharType="begin"/>
            </w:r>
            <w:r w:rsidR="001362AB">
              <w:rPr>
                <w:webHidden/>
              </w:rPr>
              <w:instrText xml:space="preserve"> PAGEREF _Toc21941947 \h </w:instrText>
            </w:r>
            <w:r w:rsidR="001362AB">
              <w:rPr>
                <w:webHidden/>
              </w:rPr>
            </w:r>
            <w:r w:rsidR="001362AB">
              <w:rPr>
                <w:webHidden/>
              </w:rPr>
              <w:fldChar w:fldCharType="separate"/>
            </w:r>
            <w:r w:rsidR="001362AB">
              <w:rPr>
                <w:webHidden/>
              </w:rPr>
              <w:t>11</w:t>
            </w:r>
            <w:r w:rsidR="001362AB">
              <w:rPr>
                <w:webHidden/>
              </w:rPr>
              <w:fldChar w:fldCharType="end"/>
            </w:r>
          </w:hyperlink>
        </w:p>
        <w:p w:rsidR="001362AB" w:rsidRDefault="007D413D">
          <w:pPr>
            <w:pStyle w:val="TOC2"/>
            <w:rPr>
              <w:rFonts w:asciiTheme="minorHAnsi" w:eastAsiaTheme="minorEastAsia" w:hAnsiTheme="minorHAnsi" w:cstheme="minorBidi"/>
              <w:b w:val="0"/>
              <w:color w:val="auto"/>
              <w:lang w:val="en-US"/>
            </w:rPr>
          </w:pPr>
          <w:hyperlink w:anchor="_Toc21941948" w:history="1">
            <w:r w:rsidR="001362AB" w:rsidRPr="00A34B4E">
              <w:rPr>
                <w:rStyle w:val="Hyperlink"/>
                <w:rFonts w:eastAsia="Times New Roman" w:cs="Calibri"/>
                <w:lang w:eastAsia="lt-LT"/>
              </w:rPr>
              <w:t>2019 m. birželio 20 d. prejudicinis sprendimas byloje C</w:t>
            </w:r>
            <w:r w:rsidR="001362AB" w:rsidRPr="00A34B4E">
              <w:rPr>
                <w:rStyle w:val="Hyperlink"/>
                <w:rFonts w:ascii="Cambria Math" w:eastAsia="Times New Roman" w:hAnsi="Cambria Math" w:cs="Cambria Math"/>
                <w:lang w:eastAsia="lt-LT"/>
              </w:rPr>
              <w:t>‑</w:t>
            </w:r>
            <w:r w:rsidR="001362AB" w:rsidRPr="00A34B4E">
              <w:rPr>
                <w:rStyle w:val="Hyperlink"/>
                <w:rFonts w:eastAsia="Times New Roman" w:cs="Calibri"/>
                <w:lang w:eastAsia="lt-LT"/>
              </w:rPr>
              <w:t>1/18</w:t>
            </w:r>
            <w:r w:rsidR="001362AB">
              <w:rPr>
                <w:webHidden/>
              </w:rPr>
              <w:tab/>
            </w:r>
            <w:r w:rsidR="001362AB">
              <w:rPr>
                <w:webHidden/>
              </w:rPr>
              <w:fldChar w:fldCharType="begin"/>
            </w:r>
            <w:r w:rsidR="001362AB">
              <w:rPr>
                <w:webHidden/>
              </w:rPr>
              <w:instrText xml:space="preserve"> PAGEREF _Toc21941948 \h </w:instrText>
            </w:r>
            <w:r w:rsidR="001362AB">
              <w:rPr>
                <w:webHidden/>
              </w:rPr>
            </w:r>
            <w:r w:rsidR="001362AB">
              <w:rPr>
                <w:webHidden/>
              </w:rPr>
              <w:fldChar w:fldCharType="separate"/>
            </w:r>
            <w:r w:rsidR="001362AB">
              <w:rPr>
                <w:webHidden/>
              </w:rPr>
              <w:t>11</w:t>
            </w:r>
            <w:r w:rsidR="001362AB">
              <w:rPr>
                <w:webHidden/>
              </w:rPr>
              <w:fldChar w:fldCharType="end"/>
            </w:r>
          </w:hyperlink>
        </w:p>
        <w:p w:rsidR="001362AB" w:rsidRDefault="007D413D">
          <w:pPr>
            <w:pStyle w:val="TOC3"/>
            <w:rPr>
              <w:rFonts w:asciiTheme="minorHAnsi" w:eastAsiaTheme="minorEastAsia" w:hAnsiTheme="minorHAnsi" w:cstheme="minorBidi"/>
              <w:lang w:val="en-US" w:eastAsia="en-US"/>
            </w:rPr>
          </w:pPr>
          <w:hyperlink w:anchor="_Toc21941949" w:history="1">
            <w:r w:rsidR="001362AB" w:rsidRPr="00A34B4E">
              <w:rPr>
                <w:rStyle w:val="Hyperlink"/>
              </w:rPr>
              <w:t xml:space="preserve">Dėl „prekių panašumo“ generinių vaistų </w:t>
            </w:r>
            <w:r w:rsidR="00AC3252">
              <w:rPr>
                <w:rStyle w:val="Hyperlink"/>
              </w:rPr>
              <w:t xml:space="preserve">tuo </w:t>
            </w:r>
            <w:r w:rsidR="001362AB" w:rsidRPr="00A34B4E">
              <w:rPr>
                <w:rStyle w:val="Hyperlink"/>
              </w:rPr>
              <w:t>atveju, kai sprendžiama dėl muitinės vertės nustatymo (apskaičiavimo) taikant dedukcinį metodą</w:t>
            </w:r>
            <w:r w:rsidR="001362AB">
              <w:rPr>
                <w:webHidden/>
              </w:rPr>
              <w:tab/>
            </w:r>
            <w:r w:rsidR="001362AB">
              <w:rPr>
                <w:webHidden/>
              </w:rPr>
              <w:fldChar w:fldCharType="begin"/>
            </w:r>
            <w:r w:rsidR="001362AB">
              <w:rPr>
                <w:webHidden/>
              </w:rPr>
              <w:instrText xml:space="preserve"> PAGEREF _Toc21941949 \h </w:instrText>
            </w:r>
            <w:r w:rsidR="001362AB">
              <w:rPr>
                <w:webHidden/>
              </w:rPr>
            </w:r>
            <w:r w:rsidR="001362AB">
              <w:rPr>
                <w:webHidden/>
              </w:rPr>
              <w:fldChar w:fldCharType="separate"/>
            </w:r>
            <w:r w:rsidR="001362AB">
              <w:rPr>
                <w:webHidden/>
              </w:rPr>
              <w:t>12</w:t>
            </w:r>
            <w:r w:rsidR="001362AB">
              <w:rPr>
                <w:webHidden/>
              </w:rPr>
              <w:fldChar w:fldCharType="end"/>
            </w:r>
          </w:hyperlink>
        </w:p>
        <w:p w:rsidR="001362AB" w:rsidRDefault="007D413D">
          <w:pPr>
            <w:pStyle w:val="TOC3"/>
            <w:rPr>
              <w:rFonts w:asciiTheme="minorHAnsi" w:eastAsiaTheme="minorEastAsia" w:hAnsiTheme="minorHAnsi" w:cstheme="minorBidi"/>
              <w:lang w:val="en-US" w:eastAsia="en-US"/>
            </w:rPr>
          </w:pPr>
          <w:hyperlink w:anchor="_Toc21941950" w:history="1">
            <w:r w:rsidR="001362AB" w:rsidRPr="00A34B4E">
              <w:rPr>
                <w:rStyle w:val="Hyperlink"/>
              </w:rPr>
              <w:t>Dėl būtinybės atsižvelgti į vėlesnius importuotų prekių pardavimo kainos sumažinimus, nustatant šių prekių muitinę vertę</w:t>
            </w:r>
            <w:r w:rsidR="001362AB">
              <w:rPr>
                <w:webHidden/>
              </w:rPr>
              <w:tab/>
            </w:r>
            <w:r w:rsidR="001362AB">
              <w:rPr>
                <w:webHidden/>
              </w:rPr>
              <w:fldChar w:fldCharType="begin"/>
            </w:r>
            <w:r w:rsidR="001362AB">
              <w:rPr>
                <w:webHidden/>
              </w:rPr>
              <w:instrText xml:space="preserve"> PAGEREF _Toc21941950 \h </w:instrText>
            </w:r>
            <w:r w:rsidR="001362AB">
              <w:rPr>
                <w:webHidden/>
              </w:rPr>
            </w:r>
            <w:r w:rsidR="001362AB">
              <w:rPr>
                <w:webHidden/>
              </w:rPr>
              <w:fldChar w:fldCharType="separate"/>
            </w:r>
            <w:r w:rsidR="001362AB">
              <w:rPr>
                <w:webHidden/>
              </w:rPr>
              <w:t>13</w:t>
            </w:r>
            <w:r w:rsidR="001362AB">
              <w:rPr>
                <w:webHidden/>
              </w:rPr>
              <w:fldChar w:fldCharType="end"/>
            </w:r>
          </w:hyperlink>
        </w:p>
        <w:p w:rsidR="001362AB" w:rsidRDefault="007D413D">
          <w:pPr>
            <w:pStyle w:val="TOC1"/>
            <w:rPr>
              <w:rFonts w:asciiTheme="minorHAnsi" w:eastAsiaTheme="minorEastAsia" w:hAnsiTheme="minorHAnsi" w:cstheme="minorBidi"/>
              <w:b w:val="0"/>
              <w:bCs w:val="0"/>
              <w:color w:val="auto"/>
              <w:kern w:val="0"/>
              <w:lang w:val="en-US" w:eastAsia="en-US"/>
            </w:rPr>
          </w:pPr>
          <w:hyperlink w:anchor="_Toc21941951" w:history="1">
            <w:r w:rsidR="001362AB" w:rsidRPr="00A34B4E">
              <w:rPr>
                <w:rStyle w:val="Hyperlink"/>
                <w:rFonts w:cstheme="minorHAnsi"/>
              </w:rPr>
              <w:t>APMOKESTINIMAS</w:t>
            </w:r>
            <w:r w:rsidR="001362AB">
              <w:rPr>
                <w:webHidden/>
              </w:rPr>
              <w:tab/>
            </w:r>
            <w:r w:rsidR="001362AB">
              <w:rPr>
                <w:webHidden/>
              </w:rPr>
              <w:fldChar w:fldCharType="begin"/>
            </w:r>
            <w:r w:rsidR="001362AB">
              <w:rPr>
                <w:webHidden/>
              </w:rPr>
              <w:instrText xml:space="preserve"> PAGEREF _Toc21941951 \h </w:instrText>
            </w:r>
            <w:r w:rsidR="001362AB">
              <w:rPr>
                <w:webHidden/>
              </w:rPr>
            </w:r>
            <w:r w:rsidR="001362AB">
              <w:rPr>
                <w:webHidden/>
              </w:rPr>
              <w:fldChar w:fldCharType="separate"/>
            </w:r>
            <w:r w:rsidR="001362AB">
              <w:rPr>
                <w:webHidden/>
              </w:rPr>
              <w:t>13</w:t>
            </w:r>
            <w:r w:rsidR="001362AB">
              <w:rPr>
                <w:webHidden/>
              </w:rPr>
              <w:fldChar w:fldCharType="end"/>
            </w:r>
          </w:hyperlink>
        </w:p>
        <w:p w:rsidR="001362AB" w:rsidRDefault="007D413D">
          <w:pPr>
            <w:pStyle w:val="TOC2"/>
            <w:rPr>
              <w:rFonts w:asciiTheme="minorHAnsi" w:eastAsiaTheme="minorEastAsia" w:hAnsiTheme="minorHAnsi" w:cstheme="minorBidi"/>
              <w:b w:val="0"/>
              <w:color w:val="auto"/>
              <w:lang w:val="en-US"/>
            </w:rPr>
          </w:pPr>
          <w:hyperlink w:anchor="_Toc21941952" w:history="1">
            <w:r w:rsidR="001362AB" w:rsidRPr="00A34B4E">
              <w:rPr>
                <w:rStyle w:val="Hyperlink"/>
                <w:rFonts w:eastAsia="Times New Roman" w:cs="Calibri"/>
                <w:lang w:eastAsia="lt-LT"/>
              </w:rPr>
              <w:t>2019 m. birželio 13 d. prejudicinis sprendimas byloje C</w:t>
            </w:r>
            <w:r w:rsidR="001362AB" w:rsidRPr="00A34B4E">
              <w:rPr>
                <w:rStyle w:val="Hyperlink"/>
                <w:rFonts w:ascii="Cambria Math" w:eastAsia="Times New Roman" w:hAnsi="Cambria Math" w:cs="Cambria Math"/>
                <w:lang w:eastAsia="lt-LT"/>
              </w:rPr>
              <w:t>‑</w:t>
            </w:r>
            <w:r w:rsidR="001362AB" w:rsidRPr="00A34B4E">
              <w:rPr>
                <w:rStyle w:val="Hyperlink"/>
                <w:rFonts w:eastAsia="Times New Roman" w:cs="Calibri"/>
                <w:lang w:eastAsia="lt-LT"/>
              </w:rPr>
              <w:t>420/18</w:t>
            </w:r>
            <w:r w:rsidR="001362AB">
              <w:rPr>
                <w:webHidden/>
              </w:rPr>
              <w:tab/>
            </w:r>
            <w:r w:rsidR="001362AB">
              <w:rPr>
                <w:webHidden/>
              </w:rPr>
              <w:fldChar w:fldCharType="begin"/>
            </w:r>
            <w:r w:rsidR="001362AB">
              <w:rPr>
                <w:webHidden/>
              </w:rPr>
              <w:instrText xml:space="preserve"> PAGEREF _Toc21941952 \h </w:instrText>
            </w:r>
            <w:r w:rsidR="001362AB">
              <w:rPr>
                <w:webHidden/>
              </w:rPr>
            </w:r>
            <w:r w:rsidR="001362AB">
              <w:rPr>
                <w:webHidden/>
              </w:rPr>
              <w:fldChar w:fldCharType="separate"/>
            </w:r>
            <w:r w:rsidR="001362AB">
              <w:rPr>
                <w:webHidden/>
              </w:rPr>
              <w:t>13</w:t>
            </w:r>
            <w:r w:rsidR="001362AB">
              <w:rPr>
                <w:webHidden/>
              </w:rPr>
              <w:fldChar w:fldCharType="end"/>
            </w:r>
          </w:hyperlink>
        </w:p>
        <w:p w:rsidR="001362AB" w:rsidRDefault="007D413D">
          <w:pPr>
            <w:pStyle w:val="TOC3"/>
            <w:rPr>
              <w:rFonts w:asciiTheme="minorHAnsi" w:eastAsiaTheme="minorEastAsia" w:hAnsiTheme="minorHAnsi" w:cstheme="minorBidi"/>
              <w:lang w:val="en-US" w:eastAsia="en-US"/>
            </w:rPr>
          </w:pPr>
          <w:hyperlink w:anchor="_Toc21941953" w:history="1">
            <w:r w:rsidR="001362AB" w:rsidRPr="00A34B4E">
              <w:rPr>
                <w:rStyle w:val="Hyperlink"/>
              </w:rPr>
              <w:t>Dėl stebėtojų tarybos nario, kuriam mokamas nustatyto dydžio atlygis, pripažinimo vykdančiu savarankišką ekonominę veiklą apmokestinimo PVM tikslais</w:t>
            </w:r>
            <w:r w:rsidR="001362AB">
              <w:rPr>
                <w:webHidden/>
              </w:rPr>
              <w:tab/>
            </w:r>
            <w:r w:rsidR="001362AB">
              <w:rPr>
                <w:webHidden/>
              </w:rPr>
              <w:fldChar w:fldCharType="begin"/>
            </w:r>
            <w:r w:rsidR="001362AB">
              <w:rPr>
                <w:webHidden/>
              </w:rPr>
              <w:instrText xml:space="preserve"> PAGEREF _Toc21941953 \h </w:instrText>
            </w:r>
            <w:r w:rsidR="001362AB">
              <w:rPr>
                <w:webHidden/>
              </w:rPr>
            </w:r>
            <w:r w:rsidR="001362AB">
              <w:rPr>
                <w:webHidden/>
              </w:rPr>
              <w:fldChar w:fldCharType="separate"/>
            </w:r>
            <w:r w:rsidR="001362AB">
              <w:rPr>
                <w:webHidden/>
              </w:rPr>
              <w:t>14</w:t>
            </w:r>
            <w:r w:rsidR="001362AB">
              <w:rPr>
                <w:webHidden/>
              </w:rPr>
              <w:fldChar w:fldCharType="end"/>
            </w:r>
          </w:hyperlink>
        </w:p>
        <w:p w:rsidR="001362AB" w:rsidRDefault="007D413D">
          <w:pPr>
            <w:pStyle w:val="TOC2"/>
            <w:rPr>
              <w:rFonts w:asciiTheme="minorHAnsi" w:eastAsiaTheme="minorEastAsia" w:hAnsiTheme="minorHAnsi" w:cstheme="minorBidi"/>
              <w:b w:val="0"/>
              <w:color w:val="auto"/>
              <w:lang w:val="en-US"/>
            </w:rPr>
          </w:pPr>
          <w:hyperlink w:anchor="_Toc21941954" w:history="1">
            <w:r w:rsidR="001362AB" w:rsidRPr="00A34B4E">
              <w:rPr>
                <w:rStyle w:val="Hyperlink"/>
                <w:rFonts w:eastAsia="Times New Roman" w:cs="Calibri"/>
                <w:lang w:eastAsia="lt-LT"/>
              </w:rPr>
              <w:t>2019 m. gegužės 8 d. prejudicinis sprendimas byloje C</w:t>
            </w:r>
            <w:r w:rsidR="001362AB" w:rsidRPr="00A34B4E">
              <w:rPr>
                <w:rStyle w:val="Hyperlink"/>
                <w:rFonts w:ascii="Cambria Math" w:eastAsia="Times New Roman" w:hAnsi="Cambria Math" w:cs="Cambria Math"/>
                <w:lang w:eastAsia="lt-LT"/>
              </w:rPr>
              <w:t>‑</w:t>
            </w:r>
            <w:r w:rsidR="001362AB" w:rsidRPr="00A34B4E">
              <w:rPr>
                <w:rStyle w:val="Hyperlink"/>
                <w:rFonts w:eastAsia="Times New Roman" w:cs="Calibri"/>
                <w:lang w:eastAsia="lt-LT"/>
              </w:rPr>
              <w:t>127/18</w:t>
            </w:r>
            <w:r w:rsidR="001362AB">
              <w:rPr>
                <w:webHidden/>
              </w:rPr>
              <w:tab/>
            </w:r>
            <w:r w:rsidR="001362AB">
              <w:rPr>
                <w:webHidden/>
              </w:rPr>
              <w:fldChar w:fldCharType="begin"/>
            </w:r>
            <w:r w:rsidR="001362AB">
              <w:rPr>
                <w:webHidden/>
              </w:rPr>
              <w:instrText xml:space="preserve"> PAGEREF _Toc21941954 \h </w:instrText>
            </w:r>
            <w:r w:rsidR="001362AB">
              <w:rPr>
                <w:webHidden/>
              </w:rPr>
            </w:r>
            <w:r w:rsidR="001362AB">
              <w:rPr>
                <w:webHidden/>
              </w:rPr>
              <w:fldChar w:fldCharType="separate"/>
            </w:r>
            <w:r w:rsidR="001362AB">
              <w:rPr>
                <w:webHidden/>
              </w:rPr>
              <w:t>15</w:t>
            </w:r>
            <w:r w:rsidR="001362AB">
              <w:rPr>
                <w:webHidden/>
              </w:rPr>
              <w:fldChar w:fldCharType="end"/>
            </w:r>
          </w:hyperlink>
        </w:p>
        <w:p w:rsidR="001362AB" w:rsidRDefault="007D413D">
          <w:pPr>
            <w:pStyle w:val="TOC3"/>
            <w:rPr>
              <w:rFonts w:asciiTheme="minorHAnsi" w:eastAsiaTheme="minorEastAsia" w:hAnsiTheme="minorHAnsi" w:cstheme="minorBidi"/>
              <w:lang w:val="en-US" w:eastAsia="en-US"/>
            </w:rPr>
          </w:pPr>
          <w:hyperlink w:anchor="_Toc21941955" w:history="1">
            <w:r w:rsidR="001362AB" w:rsidRPr="00A34B4E">
              <w:rPr>
                <w:rStyle w:val="Hyperlink"/>
              </w:rPr>
              <w:t>Dėl teisės sumažinti apmokestinamąją vertę, kai negaunamas PVM sąskaitoje faktūroje nurodytas atlygis dėl pirkėjo bankroto</w:t>
            </w:r>
            <w:r w:rsidR="001362AB">
              <w:rPr>
                <w:webHidden/>
              </w:rPr>
              <w:tab/>
            </w:r>
            <w:r w:rsidR="001362AB">
              <w:rPr>
                <w:webHidden/>
              </w:rPr>
              <w:fldChar w:fldCharType="begin"/>
            </w:r>
            <w:r w:rsidR="001362AB">
              <w:rPr>
                <w:webHidden/>
              </w:rPr>
              <w:instrText xml:space="preserve"> PAGEREF _Toc21941955 \h </w:instrText>
            </w:r>
            <w:r w:rsidR="001362AB">
              <w:rPr>
                <w:webHidden/>
              </w:rPr>
            </w:r>
            <w:r w:rsidR="001362AB">
              <w:rPr>
                <w:webHidden/>
              </w:rPr>
              <w:fldChar w:fldCharType="separate"/>
            </w:r>
            <w:r w:rsidR="001362AB">
              <w:rPr>
                <w:webHidden/>
              </w:rPr>
              <w:t>16</w:t>
            </w:r>
            <w:r w:rsidR="001362AB">
              <w:rPr>
                <w:webHidden/>
              </w:rPr>
              <w:fldChar w:fldCharType="end"/>
            </w:r>
          </w:hyperlink>
        </w:p>
        <w:p w:rsidR="001362AB" w:rsidRDefault="007D413D">
          <w:pPr>
            <w:pStyle w:val="TOC2"/>
            <w:rPr>
              <w:rFonts w:asciiTheme="minorHAnsi" w:eastAsiaTheme="minorEastAsia" w:hAnsiTheme="minorHAnsi" w:cstheme="minorBidi"/>
              <w:b w:val="0"/>
              <w:color w:val="auto"/>
              <w:lang w:val="en-US"/>
            </w:rPr>
          </w:pPr>
          <w:hyperlink w:anchor="_Toc21941956" w:history="1">
            <w:r w:rsidR="001362AB" w:rsidRPr="00A34B4E">
              <w:rPr>
                <w:rStyle w:val="Hyperlink"/>
                <w:rFonts w:eastAsia="Times New Roman" w:cs="Calibri"/>
                <w:lang w:eastAsia="lt-LT"/>
              </w:rPr>
              <w:t>2019 m. gegužės 2 d. prejudicinis sprendimas byloje C</w:t>
            </w:r>
            <w:r w:rsidR="001362AB" w:rsidRPr="00A34B4E">
              <w:rPr>
                <w:rStyle w:val="Hyperlink"/>
                <w:rFonts w:ascii="Cambria Math" w:eastAsia="Times New Roman" w:hAnsi="Cambria Math" w:cs="Cambria Math"/>
                <w:lang w:eastAsia="lt-LT"/>
              </w:rPr>
              <w:t>‑</w:t>
            </w:r>
            <w:r w:rsidR="001362AB" w:rsidRPr="00A34B4E">
              <w:rPr>
                <w:rStyle w:val="Hyperlink"/>
                <w:rFonts w:eastAsia="Times New Roman" w:cs="Calibri"/>
                <w:lang w:eastAsia="lt-LT"/>
              </w:rPr>
              <w:t>133/18</w:t>
            </w:r>
            <w:r w:rsidR="001362AB">
              <w:rPr>
                <w:webHidden/>
              </w:rPr>
              <w:tab/>
            </w:r>
            <w:r w:rsidR="001362AB">
              <w:rPr>
                <w:webHidden/>
              </w:rPr>
              <w:fldChar w:fldCharType="begin"/>
            </w:r>
            <w:r w:rsidR="001362AB">
              <w:rPr>
                <w:webHidden/>
              </w:rPr>
              <w:instrText xml:space="preserve"> PAGEREF _Toc21941956 \h </w:instrText>
            </w:r>
            <w:r w:rsidR="001362AB">
              <w:rPr>
                <w:webHidden/>
              </w:rPr>
            </w:r>
            <w:r w:rsidR="001362AB">
              <w:rPr>
                <w:webHidden/>
              </w:rPr>
              <w:fldChar w:fldCharType="separate"/>
            </w:r>
            <w:r w:rsidR="001362AB">
              <w:rPr>
                <w:webHidden/>
              </w:rPr>
              <w:t>16</w:t>
            </w:r>
            <w:r w:rsidR="001362AB">
              <w:rPr>
                <w:webHidden/>
              </w:rPr>
              <w:fldChar w:fldCharType="end"/>
            </w:r>
          </w:hyperlink>
        </w:p>
        <w:p w:rsidR="001362AB" w:rsidRDefault="007D413D">
          <w:pPr>
            <w:pStyle w:val="TOC3"/>
            <w:rPr>
              <w:rFonts w:asciiTheme="minorHAnsi" w:eastAsiaTheme="minorEastAsia" w:hAnsiTheme="minorHAnsi" w:cstheme="minorBidi"/>
              <w:lang w:val="en-US" w:eastAsia="en-US"/>
            </w:rPr>
          </w:pPr>
          <w:hyperlink w:anchor="_Toc21941957" w:history="1">
            <w:r w:rsidR="001362AB" w:rsidRPr="00A34B4E">
              <w:rPr>
                <w:rStyle w:val="Hyperlink"/>
              </w:rPr>
              <w:t>Dėl kitoje valstybėje narėje įsisteigusiam apmokestinamajam asmeniui, prašančiam grąžinti PVM, nustatyto vieno mėnesio termino (numatyto Direktyvos 2008/9 20 str. 2 d.) papildomai informacijai ar paaiškinimams pateikti nepripažinimo naikinamuoju terminu</w:t>
            </w:r>
            <w:r w:rsidR="001362AB">
              <w:rPr>
                <w:webHidden/>
              </w:rPr>
              <w:tab/>
            </w:r>
            <w:r w:rsidR="001362AB">
              <w:rPr>
                <w:webHidden/>
              </w:rPr>
              <w:fldChar w:fldCharType="begin"/>
            </w:r>
            <w:r w:rsidR="001362AB">
              <w:rPr>
                <w:webHidden/>
              </w:rPr>
              <w:instrText xml:space="preserve"> PAGEREF _Toc21941957 \h </w:instrText>
            </w:r>
            <w:r w:rsidR="001362AB">
              <w:rPr>
                <w:webHidden/>
              </w:rPr>
            </w:r>
            <w:r w:rsidR="001362AB">
              <w:rPr>
                <w:webHidden/>
              </w:rPr>
              <w:fldChar w:fldCharType="separate"/>
            </w:r>
            <w:r w:rsidR="001362AB">
              <w:rPr>
                <w:webHidden/>
              </w:rPr>
              <w:t>17</w:t>
            </w:r>
            <w:r w:rsidR="001362AB">
              <w:rPr>
                <w:webHidden/>
              </w:rPr>
              <w:fldChar w:fldCharType="end"/>
            </w:r>
          </w:hyperlink>
        </w:p>
        <w:p w:rsidR="001362AB" w:rsidRDefault="007D413D">
          <w:pPr>
            <w:pStyle w:val="TOC2"/>
            <w:rPr>
              <w:rFonts w:asciiTheme="minorHAnsi" w:eastAsiaTheme="minorEastAsia" w:hAnsiTheme="minorHAnsi" w:cstheme="minorBidi"/>
              <w:b w:val="0"/>
              <w:color w:val="auto"/>
              <w:lang w:val="en-US"/>
            </w:rPr>
          </w:pPr>
          <w:hyperlink w:anchor="_Toc21941958" w:history="1">
            <w:r w:rsidR="001362AB" w:rsidRPr="00A34B4E">
              <w:rPr>
                <w:rStyle w:val="Hyperlink"/>
                <w:rFonts w:eastAsia="Times New Roman" w:cs="Calibri"/>
                <w:lang w:eastAsia="lt-LT"/>
              </w:rPr>
              <w:t>2019 m. gegužės 2 d. prejudicinis sprendimas byloje C</w:t>
            </w:r>
            <w:r w:rsidR="001362AB" w:rsidRPr="00A34B4E">
              <w:rPr>
                <w:rStyle w:val="Hyperlink"/>
                <w:rFonts w:ascii="Cambria Math" w:eastAsia="Times New Roman" w:hAnsi="Cambria Math" w:cs="Cambria Math"/>
                <w:lang w:eastAsia="lt-LT"/>
              </w:rPr>
              <w:t>‑</w:t>
            </w:r>
            <w:r w:rsidR="001362AB" w:rsidRPr="00A34B4E">
              <w:rPr>
                <w:rStyle w:val="Hyperlink"/>
                <w:rFonts w:eastAsia="Times New Roman" w:cs="Calibri"/>
                <w:lang w:eastAsia="lt-LT"/>
              </w:rPr>
              <w:t>265/18</w:t>
            </w:r>
            <w:r w:rsidR="001362AB">
              <w:rPr>
                <w:webHidden/>
              </w:rPr>
              <w:tab/>
            </w:r>
            <w:r w:rsidR="001362AB">
              <w:rPr>
                <w:webHidden/>
              </w:rPr>
              <w:fldChar w:fldCharType="begin"/>
            </w:r>
            <w:r w:rsidR="001362AB">
              <w:rPr>
                <w:webHidden/>
              </w:rPr>
              <w:instrText xml:space="preserve"> PAGEREF _Toc21941958 \h </w:instrText>
            </w:r>
            <w:r w:rsidR="001362AB">
              <w:rPr>
                <w:webHidden/>
              </w:rPr>
            </w:r>
            <w:r w:rsidR="001362AB">
              <w:rPr>
                <w:webHidden/>
              </w:rPr>
              <w:fldChar w:fldCharType="separate"/>
            </w:r>
            <w:r w:rsidR="001362AB">
              <w:rPr>
                <w:webHidden/>
              </w:rPr>
              <w:t>18</w:t>
            </w:r>
            <w:r w:rsidR="001362AB">
              <w:rPr>
                <w:webHidden/>
              </w:rPr>
              <w:fldChar w:fldCharType="end"/>
            </w:r>
          </w:hyperlink>
        </w:p>
        <w:p w:rsidR="001362AB" w:rsidRDefault="007D413D">
          <w:pPr>
            <w:pStyle w:val="TOC3"/>
            <w:rPr>
              <w:rFonts w:asciiTheme="minorHAnsi" w:eastAsiaTheme="minorEastAsia" w:hAnsiTheme="minorHAnsi" w:cstheme="minorBidi"/>
              <w:lang w:val="en-US" w:eastAsia="en-US"/>
            </w:rPr>
          </w:pPr>
          <w:hyperlink w:anchor="_Toc21941959" w:history="1">
            <w:r w:rsidR="001362AB" w:rsidRPr="00A34B4E">
              <w:rPr>
                <w:rStyle w:val="Hyperlink"/>
              </w:rPr>
              <w:t>Dėl Direktyvos 2006/112 282–292 straipsniuose numatytos galimybės valstybėms narėms neapmokestinti PVM smulkaus verslo įmonių taikymo, kai vienu tiekimu tiekiant dvi prekes yra viršijama nustatyta apyvartos riba</w:t>
            </w:r>
            <w:r w:rsidR="001362AB">
              <w:rPr>
                <w:webHidden/>
              </w:rPr>
              <w:tab/>
            </w:r>
            <w:r w:rsidR="001362AB">
              <w:rPr>
                <w:webHidden/>
              </w:rPr>
              <w:fldChar w:fldCharType="begin"/>
            </w:r>
            <w:r w:rsidR="001362AB">
              <w:rPr>
                <w:webHidden/>
              </w:rPr>
              <w:instrText xml:space="preserve"> PAGEREF _Toc21941959 \h </w:instrText>
            </w:r>
            <w:r w:rsidR="001362AB">
              <w:rPr>
                <w:webHidden/>
              </w:rPr>
            </w:r>
            <w:r w:rsidR="001362AB">
              <w:rPr>
                <w:webHidden/>
              </w:rPr>
              <w:fldChar w:fldCharType="separate"/>
            </w:r>
            <w:r w:rsidR="001362AB">
              <w:rPr>
                <w:webHidden/>
              </w:rPr>
              <w:t>18</w:t>
            </w:r>
            <w:r w:rsidR="001362AB">
              <w:rPr>
                <w:webHidden/>
              </w:rPr>
              <w:fldChar w:fldCharType="end"/>
            </w:r>
          </w:hyperlink>
        </w:p>
        <w:p w:rsidR="001362AB" w:rsidRDefault="007D413D">
          <w:pPr>
            <w:pStyle w:val="TOC2"/>
            <w:rPr>
              <w:rFonts w:asciiTheme="minorHAnsi" w:eastAsiaTheme="minorEastAsia" w:hAnsiTheme="minorHAnsi" w:cstheme="minorBidi"/>
              <w:b w:val="0"/>
              <w:color w:val="auto"/>
              <w:lang w:val="en-US"/>
            </w:rPr>
          </w:pPr>
          <w:hyperlink w:anchor="_Toc21941960" w:history="1">
            <w:r w:rsidR="001362AB" w:rsidRPr="00A34B4E">
              <w:rPr>
                <w:rStyle w:val="Hyperlink"/>
                <w:rFonts w:eastAsia="Times New Roman" w:cs="Calibri"/>
                <w:lang w:eastAsia="lt-LT"/>
              </w:rPr>
              <w:t>2019 m. liepos 29 d. prejudicinis sprendimas byloje C</w:t>
            </w:r>
            <w:r w:rsidR="001362AB" w:rsidRPr="00A34B4E">
              <w:rPr>
                <w:rStyle w:val="Hyperlink"/>
                <w:rFonts w:ascii="Cambria Math" w:eastAsia="Times New Roman" w:hAnsi="Cambria Math" w:cs="Cambria Math"/>
                <w:lang w:eastAsia="lt-LT"/>
              </w:rPr>
              <w:t>‑</w:t>
            </w:r>
            <w:r w:rsidR="001362AB" w:rsidRPr="00A34B4E">
              <w:rPr>
                <w:rStyle w:val="Hyperlink"/>
                <w:rFonts w:eastAsia="Times New Roman" w:cs="Calibri"/>
                <w:lang w:eastAsia="lt-LT"/>
              </w:rPr>
              <w:t>388/18</w:t>
            </w:r>
            <w:r w:rsidR="001362AB">
              <w:rPr>
                <w:webHidden/>
              </w:rPr>
              <w:tab/>
            </w:r>
            <w:r w:rsidR="001362AB">
              <w:rPr>
                <w:webHidden/>
              </w:rPr>
              <w:fldChar w:fldCharType="begin"/>
            </w:r>
            <w:r w:rsidR="001362AB">
              <w:rPr>
                <w:webHidden/>
              </w:rPr>
              <w:instrText xml:space="preserve"> PAGEREF _Toc21941960 \h </w:instrText>
            </w:r>
            <w:r w:rsidR="001362AB">
              <w:rPr>
                <w:webHidden/>
              </w:rPr>
            </w:r>
            <w:r w:rsidR="001362AB">
              <w:rPr>
                <w:webHidden/>
              </w:rPr>
              <w:fldChar w:fldCharType="separate"/>
            </w:r>
            <w:r w:rsidR="001362AB">
              <w:rPr>
                <w:webHidden/>
              </w:rPr>
              <w:t>19</w:t>
            </w:r>
            <w:r w:rsidR="001362AB">
              <w:rPr>
                <w:webHidden/>
              </w:rPr>
              <w:fldChar w:fldCharType="end"/>
            </w:r>
          </w:hyperlink>
        </w:p>
        <w:p w:rsidR="001362AB" w:rsidRDefault="007D413D">
          <w:pPr>
            <w:pStyle w:val="TOC3"/>
            <w:rPr>
              <w:rFonts w:asciiTheme="minorHAnsi" w:eastAsiaTheme="minorEastAsia" w:hAnsiTheme="minorHAnsi" w:cstheme="minorBidi"/>
              <w:lang w:val="en-US" w:eastAsia="en-US"/>
            </w:rPr>
          </w:pPr>
          <w:hyperlink w:anchor="_Toc21941961" w:history="1">
            <w:r w:rsidR="001362AB" w:rsidRPr="00A34B4E">
              <w:rPr>
                <w:rStyle w:val="Hyperlink"/>
              </w:rPr>
              <w:t>Dėl apyvartos, kuria remiamasi taikant smulkiojo verslo įmonėms skirtą schemą, apskaičiavimo, kai apmokestinamajam asmeniui taikoma speciali maržos apmokestinimo schema</w:t>
            </w:r>
            <w:r w:rsidR="001362AB">
              <w:rPr>
                <w:webHidden/>
              </w:rPr>
              <w:tab/>
            </w:r>
            <w:r w:rsidR="001362AB">
              <w:rPr>
                <w:webHidden/>
              </w:rPr>
              <w:fldChar w:fldCharType="begin"/>
            </w:r>
            <w:r w:rsidR="001362AB">
              <w:rPr>
                <w:webHidden/>
              </w:rPr>
              <w:instrText xml:space="preserve"> PAGEREF _Toc21941961 \h </w:instrText>
            </w:r>
            <w:r w:rsidR="001362AB">
              <w:rPr>
                <w:webHidden/>
              </w:rPr>
            </w:r>
            <w:r w:rsidR="001362AB">
              <w:rPr>
                <w:webHidden/>
              </w:rPr>
              <w:fldChar w:fldCharType="separate"/>
            </w:r>
            <w:r w:rsidR="001362AB">
              <w:rPr>
                <w:webHidden/>
              </w:rPr>
              <w:t>20</w:t>
            </w:r>
            <w:r w:rsidR="001362AB">
              <w:rPr>
                <w:webHidden/>
              </w:rPr>
              <w:fldChar w:fldCharType="end"/>
            </w:r>
          </w:hyperlink>
        </w:p>
        <w:p w:rsidR="001362AB" w:rsidRDefault="007D413D">
          <w:pPr>
            <w:pStyle w:val="TOC1"/>
            <w:rPr>
              <w:rFonts w:asciiTheme="minorHAnsi" w:eastAsiaTheme="minorEastAsia" w:hAnsiTheme="minorHAnsi" w:cstheme="minorBidi"/>
              <w:b w:val="0"/>
              <w:bCs w:val="0"/>
              <w:color w:val="auto"/>
              <w:kern w:val="0"/>
              <w:lang w:val="en-US" w:eastAsia="en-US"/>
            </w:rPr>
          </w:pPr>
          <w:hyperlink w:anchor="_Toc21941962" w:history="1">
            <w:r w:rsidR="001362AB" w:rsidRPr="00A34B4E">
              <w:rPr>
                <w:rStyle w:val="Hyperlink"/>
                <w:rFonts w:cstheme="minorHAnsi"/>
              </w:rPr>
              <w:t>SOCIALINĖ POLITIKA</w:t>
            </w:r>
            <w:r w:rsidR="001362AB">
              <w:rPr>
                <w:webHidden/>
              </w:rPr>
              <w:tab/>
            </w:r>
            <w:r w:rsidR="001362AB">
              <w:rPr>
                <w:webHidden/>
              </w:rPr>
              <w:fldChar w:fldCharType="begin"/>
            </w:r>
            <w:r w:rsidR="001362AB">
              <w:rPr>
                <w:webHidden/>
              </w:rPr>
              <w:instrText xml:space="preserve"> PAGEREF _Toc21941962 \h </w:instrText>
            </w:r>
            <w:r w:rsidR="001362AB">
              <w:rPr>
                <w:webHidden/>
              </w:rPr>
            </w:r>
            <w:r w:rsidR="001362AB">
              <w:rPr>
                <w:webHidden/>
              </w:rPr>
              <w:fldChar w:fldCharType="separate"/>
            </w:r>
            <w:r w:rsidR="001362AB">
              <w:rPr>
                <w:webHidden/>
              </w:rPr>
              <w:t>20</w:t>
            </w:r>
            <w:r w:rsidR="001362AB">
              <w:rPr>
                <w:webHidden/>
              </w:rPr>
              <w:fldChar w:fldCharType="end"/>
            </w:r>
          </w:hyperlink>
        </w:p>
        <w:p w:rsidR="001362AB" w:rsidRDefault="007D413D">
          <w:pPr>
            <w:pStyle w:val="TOC2"/>
            <w:rPr>
              <w:rFonts w:asciiTheme="minorHAnsi" w:eastAsiaTheme="minorEastAsia" w:hAnsiTheme="minorHAnsi" w:cstheme="minorBidi"/>
              <w:b w:val="0"/>
              <w:color w:val="auto"/>
              <w:lang w:val="en-US"/>
            </w:rPr>
          </w:pPr>
          <w:hyperlink w:anchor="_Toc21941963" w:history="1">
            <w:r w:rsidR="001362AB" w:rsidRPr="00A34B4E">
              <w:rPr>
                <w:rStyle w:val="Hyperlink"/>
              </w:rPr>
              <w:t>2019 m. birželio 24 d. didžiosios kolegijos sprendimas byloje C</w:t>
            </w:r>
            <w:r w:rsidR="001362AB" w:rsidRPr="00A34B4E">
              <w:rPr>
                <w:rStyle w:val="Hyperlink"/>
              </w:rPr>
              <w:noBreakHyphen/>
              <w:t>619/18</w:t>
            </w:r>
            <w:r w:rsidR="001362AB">
              <w:rPr>
                <w:webHidden/>
              </w:rPr>
              <w:tab/>
            </w:r>
            <w:r w:rsidR="001362AB">
              <w:rPr>
                <w:webHidden/>
              </w:rPr>
              <w:fldChar w:fldCharType="begin"/>
            </w:r>
            <w:r w:rsidR="001362AB">
              <w:rPr>
                <w:webHidden/>
              </w:rPr>
              <w:instrText xml:space="preserve"> PAGEREF _Toc21941963 \h </w:instrText>
            </w:r>
            <w:r w:rsidR="001362AB">
              <w:rPr>
                <w:webHidden/>
              </w:rPr>
            </w:r>
            <w:r w:rsidR="001362AB">
              <w:rPr>
                <w:webHidden/>
              </w:rPr>
              <w:fldChar w:fldCharType="separate"/>
            </w:r>
            <w:r w:rsidR="001362AB">
              <w:rPr>
                <w:webHidden/>
              </w:rPr>
              <w:t>20</w:t>
            </w:r>
            <w:r w:rsidR="001362AB">
              <w:rPr>
                <w:webHidden/>
              </w:rPr>
              <w:fldChar w:fldCharType="end"/>
            </w:r>
          </w:hyperlink>
        </w:p>
        <w:p w:rsidR="001362AB" w:rsidRDefault="007D413D">
          <w:pPr>
            <w:pStyle w:val="TOC3"/>
            <w:rPr>
              <w:rFonts w:asciiTheme="minorHAnsi" w:eastAsiaTheme="minorEastAsia" w:hAnsiTheme="minorHAnsi" w:cstheme="minorBidi"/>
              <w:lang w:val="en-US" w:eastAsia="en-US"/>
            </w:rPr>
          </w:pPr>
          <w:hyperlink w:anchor="_Toc21941964" w:history="1">
            <w:r w:rsidR="001362AB" w:rsidRPr="00A34B4E">
              <w:rPr>
                <w:rStyle w:val="Hyperlink"/>
              </w:rPr>
              <w:t>Dėl teisėjų pensinio amžiaus sutrumpinimo, lemiančio teisėjų teisminių įgaliojimų vykdymo nutraukimą pirma laiko</w:t>
            </w:r>
            <w:r w:rsidR="001362AB">
              <w:rPr>
                <w:webHidden/>
              </w:rPr>
              <w:tab/>
            </w:r>
            <w:r w:rsidR="001362AB">
              <w:rPr>
                <w:webHidden/>
              </w:rPr>
              <w:fldChar w:fldCharType="begin"/>
            </w:r>
            <w:r w:rsidR="001362AB">
              <w:rPr>
                <w:webHidden/>
              </w:rPr>
              <w:instrText xml:space="preserve"> PAGEREF _Toc21941964 \h </w:instrText>
            </w:r>
            <w:r w:rsidR="001362AB">
              <w:rPr>
                <w:webHidden/>
              </w:rPr>
            </w:r>
            <w:r w:rsidR="001362AB">
              <w:rPr>
                <w:webHidden/>
              </w:rPr>
              <w:fldChar w:fldCharType="separate"/>
            </w:r>
            <w:r w:rsidR="001362AB">
              <w:rPr>
                <w:webHidden/>
              </w:rPr>
              <w:t>20</w:t>
            </w:r>
            <w:r w:rsidR="001362AB">
              <w:rPr>
                <w:webHidden/>
              </w:rPr>
              <w:fldChar w:fldCharType="end"/>
            </w:r>
          </w:hyperlink>
        </w:p>
        <w:p w:rsidR="001362AB" w:rsidRDefault="007D413D">
          <w:pPr>
            <w:pStyle w:val="TOC3"/>
            <w:rPr>
              <w:rFonts w:asciiTheme="minorHAnsi" w:eastAsiaTheme="minorEastAsia" w:hAnsiTheme="minorHAnsi" w:cstheme="minorBidi"/>
              <w:lang w:val="en-US" w:eastAsia="en-US"/>
            </w:rPr>
          </w:pPr>
          <w:hyperlink w:anchor="_Toc21941965" w:history="1">
            <w:r w:rsidR="001362AB" w:rsidRPr="00A34B4E">
              <w:rPr>
                <w:rStyle w:val="Hyperlink"/>
              </w:rPr>
              <w:t>Dėl prezidento diskrecijos pratęsti teisėjų pensinio amžiaus terminą</w:t>
            </w:r>
            <w:r w:rsidR="001362AB">
              <w:rPr>
                <w:webHidden/>
              </w:rPr>
              <w:tab/>
            </w:r>
            <w:r w:rsidR="001362AB">
              <w:rPr>
                <w:webHidden/>
              </w:rPr>
              <w:fldChar w:fldCharType="begin"/>
            </w:r>
            <w:r w:rsidR="001362AB">
              <w:rPr>
                <w:webHidden/>
              </w:rPr>
              <w:instrText xml:space="preserve"> PAGEREF _Toc21941965 \h </w:instrText>
            </w:r>
            <w:r w:rsidR="001362AB">
              <w:rPr>
                <w:webHidden/>
              </w:rPr>
            </w:r>
            <w:r w:rsidR="001362AB">
              <w:rPr>
                <w:webHidden/>
              </w:rPr>
              <w:fldChar w:fldCharType="separate"/>
            </w:r>
            <w:r w:rsidR="001362AB">
              <w:rPr>
                <w:webHidden/>
              </w:rPr>
              <w:t>22</w:t>
            </w:r>
            <w:r w:rsidR="001362AB">
              <w:rPr>
                <w:webHidden/>
              </w:rPr>
              <w:fldChar w:fldCharType="end"/>
            </w:r>
          </w:hyperlink>
        </w:p>
        <w:p w:rsidR="001362AB" w:rsidRDefault="007D413D">
          <w:pPr>
            <w:pStyle w:val="TOC1"/>
            <w:rPr>
              <w:rFonts w:asciiTheme="minorHAnsi" w:eastAsiaTheme="minorEastAsia" w:hAnsiTheme="minorHAnsi" w:cstheme="minorBidi"/>
              <w:b w:val="0"/>
              <w:bCs w:val="0"/>
              <w:color w:val="auto"/>
              <w:kern w:val="0"/>
              <w:lang w:val="en-US" w:eastAsia="en-US"/>
            </w:rPr>
          </w:pPr>
          <w:hyperlink w:anchor="_Toc21941966" w:history="1">
            <w:r w:rsidR="001362AB" w:rsidRPr="00A34B4E">
              <w:rPr>
                <w:rStyle w:val="Hyperlink"/>
                <w:rFonts w:cstheme="minorHAnsi"/>
              </w:rPr>
              <w:t>APLINKOS APSAUGA</w:t>
            </w:r>
            <w:r w:rsidR="001362AB">
              <w:rPr>
                <w:webHidden/>
              </w:rPr>
              <w:tab/>
            </w:r>
            <w:r w:rsidR="001362AB">
              <w:rPr>
                <w:webHidden/>
              </w:rPr>
              <w:fldChar w:fldCharType="begin"/>
            </w:r>
            <w:r w:rsidR="001362AB">
              <w:rPr>
                <w:webHidden/>
              </w:rPr>
              <w:instrText xml:space="preserve"> PAGEREF _Toc21941966 \h </w:instrText>
            </w:r>
            <w:r w:rsidR="001362AB">
              <w:rPr>
                <w:webHidden/>
              </w:rPr>
            </w:r>
            <w:r w:rsidR="001362AB">
              <w:rPr>
                <w:webHidden/>
              </w:rPr>
              <w:fldChar w:fldCharType="separate"/>
            </w:r>
            <w:r w:rsidR="001362AB">
              <w:rPr>
                <w:webHidden/>
              </w:rPr>
              <w:t>23</w:t>
            </w:r>
            <w:r w:rsidR="001362AB">
              <w:rPr>
                <w:webHidden/>
              </w:rPr>
              <w:fldChar w:fldCharType="end"/>
            </w:r>
          </w:hyperlink>
        </w:p>
        <w:p w:rsidR="001362AB" w:rsidRDefault="007D413D">
          <w:pPr>
            <w:pStyle w:val="TOC2"/>
            <w:rPr>
              <w:rFonts w:asciiTheme="minorHAnsi" w:eastAsiaTheme="minorEastAsia" w:hAnsiTheme="minorHAnsi" w:cstheme="minorBidi"/>
              <w:b w:val="0"/>
              <w:color w:val="auto"/>
              <w:lang w:val="en-US"/>
            </w:rPr>
          </w:pPr>
          <w:hyperlink w:anchor="_Toc21941967" w:history="1">
            <w:r w:rsidR="001362AB" w:rsidRPr="00A34B4E">
              <w:rPr>
                <w:rStyle w:val="Hyperlink"/>
              </w:rPr>
              <w:t>2019 m. liepos 4 d. prejudicinis sprendimas byloje C</w:t>
            </w:r>
            <w:r w:rsidR="001362AB" w:rsidRPr="00A34B4E">
              <w:rPr>
                <w:rStyle w:val="Hyperlink"/>
              </w:rPr>
              <w:noBreakHyphen/>
              <w:t>624/17</w:t>
            </w:r>
            <w:r w:rsidR="001362AB">
              <w:rPr>
                <w:webHidden/>
              </w:rPr>
              <w:tab/>
            </w:r>
            <w:r w:rsidR="001362AB">
              <w:rPr>
                <w:webHidden/>
              </w:rPr>
              <w:fldChar w:fldCharType="begin"/>
            </w:r>
            <w:r w:rsidR="001362AB">
              <w:rPr>
                <w:webHidden/>
              </w:rPr>
              <w:instrText xml:space="preserve"> PAGEREF _Toc21941967 \h </w:instrText>
            </w:r>
            <w:r w:rsidR="001362AB">
              <w:rPr>
                <w:webHidden/>
              </w:rPr>
            </w:r>
            <w:r w:rsidR="001362AB">
              <w:rPr>
                <w:webHidden/>
              </w:rPr>
              <w:fldChar w:fldCharType="separate"/>
            </w:r>
            <w:r w:rsidR="001362AB">
              <w:rPr>
                <w:webHidden/>
              </w:rPr>
              <w:t>23</w:t>
            </w:r>
            <w:r w:rsidR="001362AB">
              <w:rPr>
                <w:webHidden/>
              </w:rPr>
              <w:fldChar w:fldCharType="end"/>
            </w:r>
          </w:hyperlink>
        </w:p>
        <w:p w:rsidR="001362AB" w:rsidRDefault="007D413D">
          <w:pPr>
            <w:pStyle w:val="TOC3"/>
            <w:rPr>
              <w:rFonts w:asciiTheme="minorHAnsi" w:eastAsiaTheme="minorEastAsia" w:hAnsiTheme="minorHAnsi" w:cstheme="minorBidi"/>
              <w:lang w:val="en-US" w:eastAsia="en-US"/>
            </w:rPr>
          </w:pPr>
          <w:hyperlink w:anchor="_Toc21941968" w:history="1">
            <w:r w:rsidR="001362AB" w:rsidRPr="00A34B4E">
              <w:rPr>
                <w:rStyle w:val="Hyperlink"/>
              </w:rPr>
              <w:t>Dėl vartotojų pagal garantiją pardavėjui grąžintų ir (ar) pardavėjo asortimentui nebereikalingų mažmeninei prekybai skirtų elektronikos prekių priskyrimo atliekoms</w:t>
            </w:r>
            <w:r w:rsidR="001362AB">
              <w:rPr>
                <w:webHidden/>
              </w:rPr>
              <w:tab/>
            </w:r>
            <w:r w:rsidR="001362AB">
              <w:rPr>
                <w:webHidden/>
              </w:rPr>
              <w:fldChar w:fldCharType="begin"/>
            </w:r>
            <w:r w:rsidR="001362AB">
              <w:rPr>
                <w:webHidden/>
              </w:rPr>
              <w:instrText xml:space="preserve"> PAGEREF _Toc21941968 \h </w:instrText>
            </w:r>
            <w:r w:rsidR="001362AB">
              <w:rPr>
                <w:webHidden/>
              </w:rPr>
            </w:r>
            <w:r w:rsidR="001362AB">
              <w:rPr>
                <w:webHidden/>
              </w:rPr>
              <w:fldChar w:fldCharType="separate"/>
            </w:r>
            <w:r w:rsidR="001362AB">
              <w:rPr>
                <w:webHidden/>
              </w:rPr>
              <w:t>23</w:t>
            </w:r>
            <w:r w:rsidR="001362AB">
              <w:rPr>
                <w:webHidden/>
              </w:rPr>
              <w:fldChar w:fldCharType="end"/>
            </w:r>
          </w:hyperlink>
        </w:p>
        <w:p w:rsidR="001362AB" w:rsidRDefault="007D413D">
          <w:pPr>
            <w:pStyle w:val="TOC1"/>
            <w:rPr>
              <w:rFonts w:asciiTheme="minorHAnsi" w:eastAsiaTheme="minorEastAsia" w:hAnsiTheme="minorHAnsi" w:cstheme="minorBidi"/>
              <w:b w:val="0"/>
              <w:bCs w:val="0"/>
              <w:color w:val="auto"/>
              <w:kern w:val="0"/>
              <w:lang w:val="en-US" w:eastAsia="en-US"/>
            </w:rPr>
          </w:pPr>
          <w:hyperlink w:anchor="_Toc21941969" w:history="1">
            <w:r w:rsidR="001362AB" w:rsidRPr="00A34B4E">
              <w:rPr>
                <w:rStyle w:val="Hyperlink"/>
                <w:rFonts w:cstheme="minorHAnsi"/>
              </w:rPr>
              <w:t>ENERGETIKA</w:t>
            </w:r>
            <w:r w:rsidR="001362AB">
              <w:rPr>
                <w:webHidden/>
              </w:rPr>
              <w:tab/>
            </w:r>
            <w:r w:rsidR="001362AB">
              <w:rPr>
                <w:webHidden/>
              </w:rPr>
              <w:fldChar w:fldCharType="begin"/>
            </w:r>
            <w:r w:rsidR="001362AB">
              <w:rPr>
                <w:webHidden/>
              </w:rPr>
              <w:instrText xml:space="preserve"> PAGEREF _Toc21941969 \h </w:instrText>
            </w:r>
            <w:r w:rsidR="001362AB">
              <w:rPr>
                <w:webHidden/>
              </w:rPr>
            </w:r>
            <w:r w:rsidR="001362AB">
              <w:rPr>
                <w:webHidden/>
              </w:rPr>
              <w:fldChar w:fldCharType="separate"/>
            </w:r>
            <w:r w:rsidR="001362AB">
              <w:rPr>
                <w:webHidden/>
              </w:rPr>
              <w:t>25</w:t>
            </w:r>
            <w:r w:rsidR="001362AB">
              <w:rPr>
                <w:webHidden/>
              </w:rPr>
              <w:fldChar w:fldCharType="end"/>
            </w:r>
          </w:hyperlink>
        </w:p>
        <w:p w:rsidR="001362AB" w:rsidRDefault="007D413D">
          <w:pPr>
            <w:pStyle w:val="TOC2"/>
            <w:rPr>
              <w:rFonts w:asciiTheme="minorHAnsi" w:eastAsiaTheme="minorEastAsia" w:hAnsiTheme="minorHAnsi" w:cstheme="minorBidi"/>
              <w:b w:val="0"/>
              <w:color w:val="auto"/>
              <w:lang w:val="en-US"/>
            </w:rPr>
          </w:pPr>
          <w:hyperlink w:anchor="_Toc21941970" w:history="1">
            <w:r w:rsidR="001362AB" w:rsidRPr="00A34B4E">
              <w:rPr>
                <w:rStyle w:val="Hyperlink"/>
                <w:rFonts w:eastAsia="Times New Roman"/>
                <w:bCs/>
                <w:iCs/>
                <w:lang w:eastAsia="lt-LT"/>
              </w:rPr>
              <w:t>2019 m. gegužės 2 d. prejudicinis sprendimas byloje C</w:t>
            </w:r>
            <w:r w:rsidR="001362AB" w:rsidRPr="00A34B4E">
              <w:rPr>
                <w:rStyle w:val="Hyperlink"/>
                <w:rFonts w:eastAsia="Times New Roman"/>
                <w:bCs/>
                <w:iCs/>
                <w:lang w:eastAsia="lt-LT"/>
              </w:rPr>
              <w:noBreakHyphen/>
              <w:t>294/18</w:t>
            </w:r>
            <w:r w:rsidR="001362AB">
              <w:rPr>
                <w:webHidden/>
              </w:rPr>
              <w:tab/>
            </w:r>
            <w:r w:rsidR="001362AB">
              <w:rPr>
                <w:webHidden/>
              </w:rPr>
              <w:fldChar w:fldCharType="begin"/>
            </w:r>
            <w:r w:rsidR="001362AB">
              <w:rPr>
                <w:webHidden/>
              </w:rPr>
              <w:instrText xml:space="preserve"> PAGEREF _Toc21941970 \h </w:instrText>
            </w:r>
            <w:r w:rsidR="001362AB">
              <w:rPr>
                <w:webHidden/>
              </w:rPr>
            </w:r>
            <w:r w:rsidR="001362AB">
              <w:rPr>
                <w:webHidden/>
              </w:rPr>
              <w:fldChar w:fldCharType="separate"/>
            </w:r>
            <w:r w:rsidR="001362AB">
              <w:rPr>
                <w:webHidden/>
              </w:rPr>
              <w:t>25</w:t>
            </w:r>
            <w:r w:rsidR="001362AB">
              <w:rPr>
                <w:webHidden/>
              </w:rPr>
              <w:fldChar w:fldCharType="end"/>
            </w:r>
          </w:hyperlink>
        </w:p>
        <w:p w:rsidR="001362AB" w:rsidRDefault="007D413D">
          <w:pPr>
            <w:pStyle w:val="TOC3"/>
            <w:rPr>
              <w:rFonts w:asciiTheme="minorHAnsi" w:eastAsiaTheme="minorEastAsia" w:hAnsiTheme="minorHAnsi" w:cstheme="minorBidi"/>
              <w:lang w:val="en-US" w:eastAsia="en-US"/>
            </w:rPr>
          </w:pPr>
          <w:hyperlink w:anchor="_Toc21941971" w:history="1">
            <w:r w:rsidR="001362AB" w:rsidRPr="00A34B4E">
              <w:rPr>
                <w:rStyle w:val="Hyperlink"/>
              </w:rPr>
              <w:t>Dėl elektros abonementinio mokesčio nuolaidos suteikimo vartotojams, kurie pasirinko galimybę gauti elektroninę sąskaitą, suderinamumo su siekiu, kad vartotojai sąskaitas už suvartotą energiją gautų nemokamai</w:t>
            </w:r>
            <w:r w:rsidR="001362AB">
              <w:rPr>
                <w:webHidden/>
              </w:rPr>
              <w:tab/>
            </w:r>
            <w:r w:rsidR="001362AB">
              <w:rPr>
                <w:webHidden/>
              </w:rPr>
              <w:fldChar w:fldCharType="begin"/>
            </w:r>
            <w:r w:rsidR="001362AB">
              <w:rPr>
                <w:webHidden/>
              </w:rPr>
              <w:instrText xml:space="preserve"> PAGEREF _Toc21941971 \h </w:instrText>
            </w:r>
            <w:r w:rsidR="001362AB">
              <w:rPr>
                <w:webHidden/>
              </w:rPr>
            </w:r>
            <w:r w:rsidR="001362AB">
              <w:rPr>
                <w:webHidden/>
              </w:rPr>
              <w:fldChar w:fldCharType="separate"/>
            </w:r>
            <w:r w:rsidR="001362AB">
              <w:rPr>
                <w:webHidden/>
              </w:rPr>
              <w:t>25</w:t>
            </w:r>
            <w:r w:rsidR="001362AB">
              <w:rPr>
                <w:webHidden/>
              </w:rPr>
              <w:fldChar w:fldCharType="end"/>
            </w:r>
          </w:hyperlink>
        </w:p>
        <w:p w:rsidR="001362AB" w:rsidRDefault="007D413D">
          <w:pPr>
            <w:pStyle w:val="TOC1"/>
            <w:rPr>
              <w:rFonts w:asciiTheme="minorHAnsi" w:eastAsiaTheme="minorEastAsia" w:hAnsiTheme="minorHAnsi" w:cstheme="minorBidi"/>
              <w:b w:val="0"/>
              <w:bCs w:val="0"/>
              <w:color w:val="auto"/>
              <w:kern w:val="0"/>
              <w:lang w:val="en-US" w:eastAsia="en-US"/>
            </w:rPr>
          </w:pPr>
          <w:hyperlink w:anchor="_Toc21941972" w:history="1">
            <w:r w:rsidR="001362AB" w:rsidRPr="00A34B4E">
              <w:rPr>
                <w:rStyle w:val="Hyperlink"/>
                <w:rFonts w:cstheme="minorHAnsi"/>
              </w:rPr>
              <w:t>ASMENS DUOMENŲ APSAUGA</w:t>
            </w:r>
            <w:r w:rsidR="001362AB">
              <w:rPr>
                <w:webHidden/>
              </w:rPr>
              <w:tab/>
            </w:r>
            <w:r w:rsidR="001362AB">
              <w:rPr>
                <w:webHidden/>
              </w:rPr>
              <w:fldChar w:fldCharType="begin"/>
            </w:r>
            <w:r w:rsidR="001362AB">
              <w:rPr>
                <w:webHidden/>
              </w:rPr>
              <w:instrText xml:space="preserve"> PAGEREF _Toc21941972 \h </w:instrText>
            </w:r>
            <w:r w:rsidR="001362AB">
              <w:rPr>
                <w:webHidden/>
              </w:rPr>
            </w:r>
            <w:r w:rsidR="001362AB">
              <w:rPr>
                <w:webHidden/>
              </w:rPr>
              <w:fldChar w:fldCharType="separate"/>
            </w:r>
            <w:r w:rsidR="001362AB">
              <w:rPr>
                <w:webHidden/>
              </w:rPr>
              <w:t>26</w:t>
            </w:r>
            <w:r w:rsidR="001362AB">
              <w:rPr>
                <w:webHidden/>
              </w:rPr>
              <w:fldChar w:fldCharType="end"/>
            </w:r>
          </w:hyperlink>
        </w:p>
        <w:p w:rsidR="001362AB" w:rsidRDefault="007D413D">
          <w:pPr>
            <w:pStyle w:val="TOC2"/>
            <w:rPr>
              <w:rFonts w:asciiTheme="minorHAnsi" w:eastAsiaTheme="minorEastAsia" w:hAnsiTheme="minorHAnsi" w:cstheme="minorBidi"/>
              <w:b w:val="0"/>
              <w:color w:val="auto"/>
              <w:lang w:val="en-US"/>
            </w:rPr>
          </w:pPr>
          <w:hyperlink w:anchor="_Toc21941973" w:history="1">
            <w:r w:rsidR="001362AB" w:rsidRPr="00A34B4E">
              <w:rPr>
                <w:rStyle w:val="Hyperlink"/>
              </w:rPr>
              <w:t>2019 m. liepos 29 d. prejudicinis sprendimas byloje C</w:t>
            </w:r>
            <w:r w:rsidR="001362AB" w:rsidRPr="00A34B4E">
              <w:rPr>
                <w:rStyle w:val="Hyperlink"/>
              </w:rPr>
              <w:noBreakHyphen/>
              <w:t>40/17</w:t>
            </w:r>
            <w:r w:rsidR="001362AB">
              <w:rPr>
                <w:webHidden/>
              </w:rPr>
              <w:tab/>
            </w:r>
            <w:r w:rsidR="001362AB">
              <w:rPr>
                <w:webHidden/>
              </w:rPr>
              <w:fldChar w:fldCharType="begin"/>
            </w:r>
            <w:r w:rsidR="001362AB">
              <w:rPr>
                <w:webHidden/>
              </w:rPr>
              <w:instrText xml:space="preserve"> PAGEREF _Toc21941973 \h </w:instrText>
            </w:r>
            <w:r w:rsidR="001362AB">
              <w:rPr>
                <w:webHidden/>
              </w:rPr>
            </w:r>
            <w:r w:rsidR="001362AB">
              <w:rPr>
                <w:webHidden/>
              </w:rPr>
              <w:fldChar w:fldCharType="separate"/>
            </w:r>
            <w:r w:rsidR="001362AB">
              <w:rPr>
                <w:webHidden/>
              </w:rPr>
              <w:t>26</w:t>
            </w:r>
            <w:r w:rsidR="001362AB">
              <w:rPr>
                <w:webHidden/>
              </w:rPr>
              <w:fldChar w:fldCharType="end"/>
            </w:r>
          </w:hyperlink>
        </w:p>
        <w:p w:rsidR="001362AB" w:rsidRDefault="007D413D">
          <w:pPr>
            <w:pStyle w:val="TOC3"/>
            <w:rPr>
              <w:rFonts w:asciiTheme="minorHAnsi" w:eastAsiaTheme="minorEastAsia" w:hAnsiTheme="minorHAnsi" w:cstheme="minorBidi"/>
              <w:lang w:val="en-US" w:eastAsia="en-US"/>
            </w:rPr>
          </w:pPr>
          <w:hyperlink w:anchor="_Toc21941974" w:history="1">
            <w:r w:rsidR="001362AB" w:rsidRPr="00A34B4E">
              <w:rPr>
                <w:rStyle w:val="Hyperlink"/>
              </w:rPr>
              <w:t>Dėl vartotojų teisių gynimo asociacijų teisės pareikšti ieškinį tariamam asmens duomenų apsaugos pažeidėjui</w:t>
            </w:r>
            <w:r w:rsidR="001362AB">
              <w:rPr>
                <w:webHidden/>
              </w:rPr>
              <w:tab/>
            </w:r>
            <w:r w:rsidR="001362AB">
              <w:rPr>
                <w:webHidden/>
              </w:rPr>
              <w:fldChar w:fldCharType="begin"/>
            </w:r>
            <w:r w:rsidR="001362AB">
              <w:rPr>
                <w:webHidden/>
              </w:rPr>
              <w:instrText xml:space="preserve"> PAGEREF _Toc21941974 \h </w:instrText>
            </w:r>
            <w:r w:rsidR="001362AB">
              <w:rPr>
                <w:webHidden/>
              </w:rPr>
            </w:r>
            <w:r w:rsidR="001362AB">
              <w:rPr>
                <w:webHidden/>
              </w:rPr>
              <w:fldChar w:fldCharType="separate"/>
            </w:r>
            <w:r w:rsidR="001362AB">
              <w:rPr>
                <w:webHidden/>
              </w:rPr>
              <w:t>27</w:t>
            </w:r>
            <w:r w:rsidR="001362AB">
              <w:rPr>
                <w:webHidden/>
              </w:rPr>
              <w:fldChar w:fldCharType="end"/>
            </w:r>
          </w:hyperlink>
        </w:p>
        <w:p w:rsidR="001362AB" w:rsidRDefault="007D413D">
          <w:pPr>
            <w:pStyle w:val="TOC3"/>
            <w:rPr>
              <w:rFonts w:asciiTheme="minorHAnsi" w:eastAsiaTheme="minorEastAsia" w:hAnsiTheme="minorHAnsi" w:cstheme="minorBidi"/>
              <w:lang w:val="en-US" w:eastAsia="en-US"/>
            </w:rPr>
          </w:pPr>
          <w:hyperlink w:anchor="_Toc21941975" w:history="1">
            <w:r w:rsidR="001362AB" w:rsidRPr="00A34B4E">
              <w:rPr>
                <w:rStyle w:val="Hyperlink"/>
              </w:rPr>
              <w:t>Dėl interneto svetainės administratoriaus laikymo duomenų valdytoju, nors jis neturi jokios įtakos teikėjui perduotų duomenų tvarkymui</w:t>
            </w:r>
            <w:r w:rsidR="001362AB">
              <w:rPr>
                <w:webHidden/>
              </w:rPr>
              <w:tab/>
            </w:r>
            <w:r w:rsidR="001362AB">
              <w:rPr>
                <w:webHidden/>
              </w:rPr>
              <w:fldChar w:fldCharType="begin"/>
            </w:r>
            <w:r w:rsidR="001362AB">
              <w:rPr>
                <w:webHidden/>
              </w:rPr>
              <w:instrText xml:space="preserve"> PAGEREF _Toc21941975 \h </w:instrText>
            </w:r>
            <w:r w:rsidR="001362AB">
              <w:rPr>
                <w:webHidden/>
              </w:rPr>
            </w:r>
            <w:r w:rsidR="001362AB">
              <w:rPr>
                <w:webHidden/>
              </w:rPr>
              <w:fldChar w:fldCharType="separate"/>
            </w:r>
            <w:r w:rsidR="001362AB">
              <w:rPr>
                <w:webHidden/>
              </w:rPr>
              <w:t>27</w:t>
            </w:r>
            <w:r w:rsidR="001362AB">
              <w:rPr>
                <w:webHidden/>
              </w:rPr>
              <w:fldChar w:fldCharType="end"/>
            </w:r>
          </w:hyperlink>
        </w:p>
        <w:p w:rsidR="001362AB" w:rsidRDefault="007D413D">
          <w:pPr>
            <w:pStyle w:val="TOC3"/>
            <w:rPr>
              <w:rFonts w:asciiTheme="minorHAnsi" w:eastAsiaTheme="minorEastAsia" w:hAnsiTheme="minorHAnsi" w:cstheme="minorBidi"/>
              <w:lang w:val="en-US" w:eastAsia="en-US"/>
            </w:rPr>
          </w:pPr>
          <w:hyperlink w:anchor="_Toc21941976" w:history="1">
            <w:r w:rsidR="001362AB" w:rsidRPr="00A34B4E">
              <w:rPr>
                <w:rStyle w:val="Hyperlink"/>
              </w:rPr>
              <w:t>Dėl interneto svetainės administratoriaus pareigos tvarkymo operacijomis siekti teisėtų interesų</w:t>
            </w:r>
            <w:r w:rsidR="001362AB">
              <w:rPr>
                <w:webHidden/>
              </w:rPr>
              <w:tab/>
            </w:r>
            <w:r w:rsidR="001362AB">
              <w:rPr>
                <w:webHidden/>
              </w:rPr>
              <w:fldChar w:fldCharType="begin"/>
            </w:r>
            <w:r w:rsidR="001362AB">
              <w:rPr>
                <w:webHidden/>
              </w:rPr>
              <w:instrText xml:space="preserve"> PAGEREF _Toc21941976 \h </w:instrText>
            </w:r>
            <w:r w:rsidR="001362AB">
              <w:rPr>
                <w:webHidden/>
              </w:rPr>
            </w:r>
            <w:r w:rsidR="001362AB">
              <w:rPr>
                <w:webHidden/>
              </w:rPr>
              <w:fldChar w:fldCharType="separate"/>
            </w:r>
            <w:r w:rsidR="001362AB">
              <w:rPr>
                <w:webHidden/>
              </w:rPr>
              <w:t>28</w:t>
            </w:r>
            <w:r w:rsidR="001362AB">
              <w:rPr>
                <w:webHidden/>
              </w:rPr>
              <w:fldChar w:fldCharType="end"/>
            </w:r>
          </w:hyperlink>
        </w:p>
        <w:p w:rsidR="001362AB" w:rsidRDefault="007D413D">
          <w:pPr>
            <w:pStyle w:val="TOC3"/>
            <w:rPr>
              <w:rFonts w:asciiTheme="minorHAnsi" w:eastAsiaTheme="minorEastAsia" w:hAnsiTheme="minorHAnsi" w:cstheme="minorBidi"/>
              <w:lang w:val="en-US" w:eastAsia="en-US"/>
            </w:rPr>
          </w:pPr>
          <w:hyperlink w:anchor="_Toc21941977" w:history="1">
            <w:r w:rsidR="001362AB" w:rsidRPr="00A34B4E">
              <w:rPr>
                <w:rStyle w:val="Hyperlink"/>
              </w:rPr>
              <w:t>Dėl interneto svetainės administratoriaus pareigos gauti sutikimą tik dėl asmens duomenų tvarkymo operacijos ar operacijų rinkinio, kurių tikslus ir būdus minėtas administratorius realiai nustato</w:t>
            </w:r>
            <w:r w:rsidR="001362AB">
              <w:rPr>
                <w:webHidden/>
              </w:rPr>
              <w:tab/>
            </w:r>
            <w:r w:rsidR="001362AB">
              <w:rPr>
                <w:webHidden/>
              </w:rPr>
              <w:fldChar w:fldCharType="begin"/>
            </w:r>
            <w:r w:rsidR="001362AB">
              <w:rPr>
                <w:webHidden/>
              </w:rPr>
              <w:instrText xml:space="preserve"> PAGEREF _Toc21941977 \h </w:instrText>
            </w:r>
            <w:r w:rsidR="001362AB">
              <w:rPr>
                <w:webHidden/>
              </w:rPr>
            </w:r>
            <w:r w:rsidR="001362AB">
              <w:rPr>
                <w:webHidden/>
              </w:rPr>
              <w:fldChar w:fldCharType="separate"/>
            </w:r>
            <w:r w:rsidR="001362AB">
              <w:rPr>
                <w:webHidden/>
              </w:rPr>
              <w:t>29</w:t>
            </w:r>
            <w:r w:rsidR="001362AB">
              <w:rPr>
                <w:webHidden/>
              </w:rPr>
              <w:fldChar w:fldCharType="end"/>
            </w:r>
          </w:hyperlink>
        </w:p>
        <w:p w:rsidR="001362AB" w:rsidRDefault="007D413D">
          <w:pPr>
            <w:pStyle w:val="TOC1"/>
            <w:rPr>
              <w:rFonts w:asciiTheme="minorHAnsi" w:eastAsiaTheme="minorEastAsia" w:hAnsiTheme="minorHAnsi" w:cstheme="minorBidi"/>
              <w:b w:val="0"/>
              <w:bCs w:val="0"/>
              <w:color w:val="auto"/>
              <w:kern w:val="0"/>
              <w:lang w:val="en-US" w:eastAsia="en-US"/>
            </w:rPr>
          </w:pPr>
          <w:hyperlink w:anchor="_Toc21941978" w:history="1">
            <w:r w:rsidR="001362AB" w:rsidRPr="00A34B4E">
              <w:rPr>
                <w:rStyle w:val="Hyperlink"/>
                <w:rFonts w:cstheme="minorHAnsi"/>
              </w:rPr>
              <w:t>LAISVĖ TEIKTI PASLAUGAS</w:t>
            </w:r>
            <w:r w:rsidR="001362AB">
              <w:rPr>
                <w:webHidden/>
              </w:rPr>
              <w:tab/>
            </w:r>
            <w:r w:rsidR="001362AB">
              <w:rPr>
                <w:webHidden/>
              </w:rPr>
              <w:fldChar w:fldCharType="begin"/>
            </w:r>
            <w:r w:rsidR="001362AB">
              <w:rPr>
                <w:webHidden/>
              </w:rPr>
              <w:instrText xml:space="preserve"> PAGEREF _Toc21941978 \h </w:instrText>
            </w:r>
            <w:r w:rsidR="001362AB">
              <w:rPr>
                <w:webHidden/>
              </w:rPr>
            </w:r>
            <w:r w:rsidR="001362AB">
              <w:rPr>
                <w:webHidden/>
              </w:rPr>
              <w:fldChar w:fldCharType="separate"/>
            </w:r>
            <w:r w:rsidR="001362AB">
              <w:rPr>
                <w:webHidden/>
              </w:rPr>
              <w:t>30</w:t>
            </w:r>
            <w:r w:rsidR="001362AB">
              <w:rPr>
                <w:webHidden/>
              </w:rPr>
              <w:fldChar w:fldCharType="end"/>
            </w:r>
          </w:hyperlink>
        </w:p>
        <w:p w:rsidR="001362AB" w:rsidRDefault="007D413D">
          <w:pPr>
            <w:pStyle w:val="TOC2"/>
            <w:rPr>
              <w:rFonts w:asciiTheme="minorHAnsi" w:eastAsiaTheme="minorEastAsia" w:hAnsiTheme="minorHAnsi" w:cstheme="minorBidi"/>
              <w:b w:val="0"/>
              <w:color w:val="auto"/>
              <w:lang w:val="en-US"/>
            </w:rPr>
          </w:pPr>
          <w:hyperlink w:anchor="_Toc21941979" w:history="1">
            <w:r w:rsidR="001362AB" w:rsidRPr="00A34B4E">
              <w:rPr>
                <w:rStyle w:val="Hyperlink"/>
              </w:rPr>
              <w:t>2019 m. liepos 4 d. prejudicinis sprendimas byloje C-622/17</w:t>
            </w:r>
            <w:r w:rsidR="001362AB">
              <w:rPr>
                <w:webHidden/>
              </w:rPr>
              <w:tab/>
            </w:r>
            <w:r w:rsidR="001362AB">
              <w:rPr>
                <w:webHidden/>
              </w:rPr>
              <w:fldChar w:fldCharType="begin"/>
            </w:r>
            <w:r w:rsidR="001362AB">
              <w:rPr>
                <w:webHidden/>
              </w:rPr>
              <w:instrText xml:space="preserve"> PAGEREF _Toc21941979 \h </w:instrText>
            </w:r>
            <w:r w:rsidR="001362AB">
              <w:rPr>
                <w:webHidden/>
              </w:rPr>
            </w:r>
            <w:r w:rsidR="001362AB">
              <w:rPr>
                <w:webHidden/>
              </w:rPr>
              <w:fldChar w:fldCharType="separate"/>
            </w:r>
            <w:r w:rsidR="001362AB">
              <w:rPr>
                <w:webHidden/>
              </w:rPr>
              <w:t>30</w:t>
            </w:r>
            <w:r w:rsidR="001362AB">
              <w:rPr>
                <w:webHidden/>
              </w:rPr>
              <w:fldChar w:fldCharType="end"/>
            </w:r>
          </w:hyperlink>
        </w:p>
        <w:p w:rsidR="001362AB" w:rsidRDefault="007D413D">
          <w:pPr>
            <w:pStyle w:val="TOC3"/>
            <w:rPr>
              <w:rFonts w:asciiTheme="minorHAnsi" w:eastAsiaTheme="minorEastAsia" w:hAnsiTheme="minorHAnsi" w:cstheme="minorBidi"/>
              <w:lang w:val="en-US" w:eastAsia="en-US"/>
            </w:rPr>
          </w:pPr>
          <w:hyperlink w:anchor="_Toc21941980" w:history="1">
            <w:r w:rsidR="001362AB" w:rsidRPr="00A34B4E">
              <w:rPr>
                <w:rStyle w:val="Hyperlink"/>
              </w:rPr>
              <w:t>Dėl redakcinės atsakomybės</w:t>
            </w:r>
            <w:r w:rsidR="001362AB">
              <w:rPr>
                <w:webHidden/>
              </w:rPr>
              <w:tab/>
            </w:r>
            <w:r w:rsidR="001362AB">
              <w:rPr>
                <w:webHidden/>
              </w:rPr>
              <w:fldChar w:fldCharType="begin"/>
            </w:r>
            <w:r w:rsidR="001362AB">
              <w:rPr>
                <w:webHidden/>
              </w:rPr>
              <w:instrText xml:space="preserve"> PAGEREF _Toc21941980 \h </w:instrText>
            </w:r>
            <w:r w:rsidR="001362AB">
              <w:rPr>
                <w:webHidden/>
              </w:rPr>
            </w:r>
            <w:r w:rsidR="001362AB">
              <w:rPr>
                <w:webHidden/>
              </w:rPr>
              <w:fldChar w:fldCharType="separate"/>
            </w:r>
            <w:r w:rsidR="001362AB">
              <w:rPr>
                <w:webHidden/>
              </w:rPr>
              <w:t>31</w:t>
            </w:r>
            <w:r w:rsidR="001362AB">
              <w:rPr>
                <w:webHidden/>
              </w:rPr>
              <w:fldChar w:fldCharType="end"/>
            </w:r>
          </w:hyperlink>
        </w:p>
        <w:p w:rsidR="001362AB" w:rsidRDefault="007D413D">
          <w:pPr>
            <w:pStyle w:val="TOC3"/>
            <w:rPr>
              <w:rFonts w:asciiTheme="minorHAnsi" w:eastAsiaTheme="minorEastAsia" w:hAnsiTheme="minorHAnsi" w:cstheme="minorBidi"/>
              <w:lang w:val="en-US" w:eastAsia="en-US"/>
            </w:rPr>
          </w:pPr>
          <w:hyperlink w:anchor="_Toc21941981" w:history="1">
            <w:r w:rsidR="001362AB" w:rsidRPr="00A34B4E">
              <w:rPr>
                <w:rStyle w:val="Hyperlink"/>
              </w:rPr>
              <w:t>Dėl valstybės narės įtvirtintos viešosios tvarkos priemonės, kuria nustatyta pareiga transliuoti ar retransliuoti televizijos programą iš kitos valstybės narės tik už papildomą mokestį platinamuose televizijos programų paketuose, vertinimo</w:t>
            </w:r>
            <w:r w:rsidR="001362AB">
              <w:rPr>
                <w:webHidden/>
              </w:rPr>
              <w:tab/>
            </w:r>
            <w:r w:rsidR="001362AB">
              <w:rPr>
                <w:webHidden/>
              </w:rPr>
              <w:fldChar w:fldCharType="begin"/>
            </w:r>
            <w:r w:rsidR="001362AB">
              <w:rPr>
                <w:webHidden/>
              </w:rPr>
              <w:instrText xml:space="preserve"> PAGEREF _Toc21941981 \h </w:instrText>
            </w:r>
            <w:r w:rsidR="001362AB">
              <w:rPr>
                <w:webHidden/>
              </w:rPr>
            </w:r>
            <w:r w:rsidR="001362AB">
              <w:rPr>
                <w:webHidden/>
              </w:rPr>
              <w:fldChar w:fldCharType="separate"/>
            </w:r>
            <w:r w:rsidR="001362AB">
              <w:rPr>
                <w:webHidden/>
              </w:rPr>
              <w:t>32</w:t>
            </w:r>
            <w:r w:rsidR="001362AB">
              <w:rPr>
                <w:webHidden/>
              </w:rPr>
              <w:fldChar w:fldCharType="end"/>
            </w:r>
          </w:hyperlink>
        </w:p>
        <w:p w:rsidR="00126D28" w:rsidRPr="003D6A3B" w:rsidRDefault="00126D28">
          <w:r w:rsidRPr="003D6A3B">
            <w:rPr>
              <w:b/>
              <w:bCs/>
            </w:rPr>
            <w:fldChar w:fldCharType="end"/>
          </w:r>
        </w:p>
      </w:sdtContent>
    </w:sdt>
    <w:bookmarkEnd w:id="1"/>
    <w:p w:rsidR="000028CD" w:rsidRPr="003D6A3B" w:rsidRDefault="000028CD" w:rsidP="00AD0B10">
      <w:pPr>
        <w:rPr>
          <w:rFonts w:asciiTheme="minorHAnsi" w:hAnsiTheme="minorHAnsi" w:cstheme="minorHAnsi"/>
          <w:b/>
          <w:i/>
          <w:color w:val="44546A" w:themeColor="text2"/>
        </w:rPr>
      </w:pPr>
    </w:p>
    <w:p w:rsidR="00BA64BB" w:rsidRPr="003D6A3B" w:rsidRDefault="00BA64BB" w:rsidP="00AD0B10">
      <w:pPr>
        <w:rPr>
          <w:rFonts w:asciiTheme="minorHAnsi" w:hAnsiTheme="minorHAnsi" w:cstheme="minorHAnsi"/>
          <w:b/>
          <w:i/>
          <w:color w:val="44546A" w:themeColor="text2"/>
        </w:rPr>
      </w:pPr>
    </w:p>
    <w:p w:rsidR="00BA64BB" w:rsidRPr="003D6A3B" w:rsidRDefault="00BA64BB" w:rsidP="00AD0B10">
      <w:pPr>
        <w:rPr>
          <w:rFonts w:asciiTheme="minorHAnsi" w:hAnsiTheme="minorHAnsi" w:cstheme="minorHAnsi"/>
          <w:b/>
          <w:i/>
          <w:color w:val="44546A" w:themeColor="text2"/>
        </w:rPr>
      </w:pPr>
    </w:p>
    <w:p w:rsidR="00BA64BB" w:rsidRPr="003D6A3B" w:rsidRDefault="00BA64BB" w:rsidP="00AD0B10">
      <w:pPr>
        <w:rPr>
          <w:rFonts w:asciiTheme="minorHAnsi" w:hAnsiTheme="minorHAnsi" w:cstheme="minorHAnsi"/>
          <w:b/>
          <w:i/>
          <w:color w:val="44546A" w:themeColor="text2"/>
        </w:rPr>
      </w:pPr>
    </w:p>
    <w:p w:rsidR="000028CD" w:rsidRPr="003D6A3B" w:rsidRDefault="000028CD" w:rsidP="00AD0B10">
      <w:pPr>
        <w:rPr>
          <w:rFonts w:asciiTheme="minorHAnsi" w:hAnsiTheme="minorHAnsi" w:cstheme="minorHAnsi"/>
          <w:b/>
        </w:rPr>
      </w:pPr>
      <w:r w:rsidRPr="003D6A3B">
        <w:rPr>
          <w:rFonts w:asciiTheme="minorHAnsi" w:hAnsiTheme="minorHAnsi" w:cstheme="minorHAnsi"/>
          <w:b/>
          <w:i/>
          <w:color w:val="44546A" w:themeColor="text2"/>
        </w:rPr>
        <w:t>Pastaba.</w:t>
      </w:r>
      <w:r w:rsidRPr="003D6A3B">
        <w:rPr>
          <w:rFonts w:asciiTheme="minorHAnsi" w:hAnsiTheme="minorHAnsi" w:cstheme="minorHAnsi"/>
          <w:i/>
        </w:rPr>
        <w:t xml:space="preserve"> Šioje apžvalgoje pateikiamos neoficialios Europos Sąjungos Teisingumo Teismo (toliau – ir Teisingumo Teismas, ESTT) procesinių sprendimų santraukos. Šis dokumentas yra skirtas tik inform</w:t>
      </w:r>
      <w:r w:rsidR="00AC3252">
        <w:rPr>
          <w:rFonts w:asciiTheme="minorHAnsi" w:hAnsiTheme="minorHAnsi" w:cstheme="minorHAnsi"/>
          <w:i/>
        </w:rPr>
        <w:t>uoti</w:t>
      </w:r>
      <w:r w:rsidRPr="003D6A3B">
        <w:rPr>
          <w:rFonts w:asciiTheme="minorHAnsi" w:hAnsiTheme="minorHAnsi" w:cstheme="minorHAnsi"/>
          <w:i/>
        </w:rPr>
        <w:t xml:space="preserve"> ir Lietuvos vyriausiasis administracinis teismas neprisiima atsakomybės už šių procesinių dokumentų vertimus. Oficialius ir išsamius sprendimų tekstus galite rasti Europos Sąjungos Teisingumo Teismo interneto svetainėje </w:t>
      </w:r>
      <w:hyperlink r:id="rId10" w:history="1">
        <w:r w:rsidRPr="003D6A3B">
          <w:rPr>
            <w:rStyle w:val="Hyperlink"/>
            <w:rFonts w:asciiTheme="minorHAnsi" w:hAnsiTheme="minorHAnsi" w:cstheme="minorHAnsi"/>
            <w:i/>
            <w:color w:val="44546A" w:themeColor="text2"/>
          </w:rPr>
          <w:t>http://curia.europa.eu/</w:t>
        </w:r>
      </w:hyperlink>
      <w:r w:rsidRPr="003D6A3B">
        <w:rPr>
          <w:rFonts w:asciiTheme="minorHAnsi" w:hAnsiTheme="minorHAnsi" w:cstheme="minorHAnsi"/>
          <w:i/>
        </w:rPr>
        <w:t xml:space="preserve"> ir Europos Sąjungos teisės interneto svetainėje </w:t>
      </w:r>
      <w:hyperlink r:id="rId11" w:history="1">
        <w:r w:rsidRPr="003D6A3B">
          <w:rPr>
            <w:rStyle w:val="Hyperlink"/>
            <w:rFonts w:asciiTheme="minorHAnsi" w:hAnsiTheme="minorHAnsi" w:cstheme="minorHAnsi"/>
            <w:i/>
            <w:color w:val="44546A" w:themeColor="text2"/>
          </w:rPr>
          <w:t>http://eur-lex.europa.eu/</w:t>
        </w:r>
      </w:hyperlink>
      <w:r w:rsidRPr="003D6A3B">
        <w:rPr>
          <w:rFonts w:asciiTheme="minorHAnsi" w:hAnsiTheme="minorHAnsi" w:cstheme="minorHAnsi"/>
          <w:i/>
          <w:color w:val="44546A" w:themeColor="text2"/>
        </w:rPr>
        <w:t>.</w:t>
      </w:r>
    </w:p>
    <w:p w:rsidR="000028CD" w:rsidRPr="003D6A3B" w:rsidRDefault="000028CD" w:rsidP="00AD0B10">
      <w:pPr>
        <w:jc w:val="left"/>
        <w:rPr>
          <w:rFonts w:asciiTheme="minorHAnsi" w:hAnsiTheme="minorHAnsi" w:cstheme="minorHAnsi"/>
          <w:b/>
        </w:rPr>
      </w:pPr>
      <w:r w:rsidRPr="003D6A3B">
        <w:rPr>
          <w:rFonts w:asciiTheme="minorHAnsi" w:hAnsiTheme="minorHAnsi" w:cstheme="minorHAnsi"/>
          <w:b/>
        </w:rPr>
        <w:br w:type="page"/>
      </w:r>
    </w:p>
    <w:p w:rsidR="00E466E7" w:rsidRDefault="00E466E7" w:rsidP="00E466E7">
      <w:pPr>
        <w:pStyle w:val="Heading1"/>
        <w:keepLines w:val="0"/>
        <w:tabs>
          <w:tab w:val="right" w:leader="dot" w:pos="9639"/>
        </w:tabs>
        <w:spacing w:before="0"/>
        <w:rPr>
          <w:rFonts w:eastAsia="Times New Roman" w:cstheme="minorHAnsi"/>
          <w:bCs/>
          <w:kern w:val="32"/>
          <w:szCs w:val="22"/>
          <w:lang w:eastAsia="lt-LT"/>
        </w:rPr>
      </w:pPr>
      <w:bookmarkStart w:id="2" w:name="_Toc11232448"/>
      <w:bookmarkStart w:id="3" w:name="_Toc11232739"/>
      <w:bookmarkStart w:id="4" w:name="_Toc21941937"/>
      <w:bookmarkStart w:id="5" w:name="_Toc497144232"/>
      <w:r w:rsidRPr="003D6A3B">
        <w:rPr>
          <w:rFonts w:eastAsia="Times New Roman" w:cstheme="minorHAnsi"/>
          <w:bCs/>
          <w:kern w:val="32"/>
          <w:szCs w:val="22"/>
          <w:lang w:eastAsia="lt-LT"/>
        </w:rPr>
        <w:t>UŽSIENIEČIŲ TEISINĖ PADĖTIS</w:t>
      </w:r>
      <w:bookmarkEnd w:id="2"/>
      <w:bookmarkEnd w:id="3"/>
      <w:bookmarkEnd w:id="4"/>
      <w:r w:rsidRPr="003D6A3B">
        <w:rPr>
          <w:rFonts w:eastAsia="Times New Roman" w:cstheme="minorHAnsi"/>
          <w:bCs/>
          <w:kern w:val="32"/>
          <w:szCs w:val="22"/>
          <w:lang w:eastAsia="lt-LT"/>
        </w:rPr>
        <w:t xml:space="preserve"> </w:t>
      </w:r>
    </w:p>
    <w:p w:rsidR="00225D16" w:rsidRDefault="00225D16" w:rsidP="00225D16">
      <w:pPr>
        <w:rPr>
          <w:lang w:eastAsia="lt-LT"/>
        </w:rPr>
      </w:pPr>
    </w:p>
    <w:p w:rsidR="00C72D18" w:rsidRPr="00C72F13" w:rsidRDefault="00C72D18" w:rsidP="00C72D18">
      <w:pPr>
        <w:pStyle w:val="Heading2"/>
        <w:rPr>
          <w:rFonts w:cstheme="minorHAnsi"/>
          <w:bCs w:val="0"/>
          <w:iCs w:val="0"/>
        </w:rPr>
      </w:pPr>
      <w:bookmarkStart w:id="6" w:name="_Toc21941938"/>
      <w:r w:rsidRPr="00C72F13">
        <w:rPr>
          <w:rFonts w:cstheme="minorHAnsi"/>
          <w:bCs w:val="0"/>
          <w:iCs w:val="0"/>
        </w:rPr>
        <w:t xml:space="preserve">2019 m. </w:t>
      </w:r>
      <w:r>
        <w:rPr>
          <w:rFonts w:cstheme="minorHAnsi"/>
          <w:bCs w:val="0"/>
          <w:iCs w:val="0"/>
        </w:rPr>
        <w:t>gegužės</w:t>
      </w:r>
      <w:r w:rsidRPr="00C72F13">
        <w:rPr>
          <w:rFonts w:cstheme="minorHAnsi"/>
          <w:bCs w:val="0"/>
          <w:iCs w:val="0"/>
        </w:rPr>
        <w:t xml:space="preserve"> 1</w:t>
      </w:r>
      <w:r>
        <w:rPr>
          <w:rFonts w:cstheme="minorHAnsi"/>
          <w:bCs w:val="0"/>
          <w:iCs w:val="0"/>
        </w:rPr>
        <w:t>4</w:t>
      </w:r>
      <w:r w:rsidRPr="00C72F13">
        <w:rPr>
          <w:rFonts w:cstheme="minorHAnsi"/>
          <w:bCs w:val="0"/>
          <w:iCs w:val="0"/>
        </w:rPr>
        <w:t xml:space="preserve"> d. didžio</w:t>
      </w:r>
      <w:r>
        <w:rPr>
          <w:rFonts w:cstheme="minorHAnsi"/>
          <w:bCs w:val="0"/>
          <w:iCs w:val="0"/>
        </w:rPr>
        <w:t>sios</w:t>
      </w:r>
      <w:r w:rsidRPr="00C72F13">
        <w:rPr>
          <w:rFonts w:cstheme="minorHAnsi"/>
          <w:bCs w:val="0"/>
          <w:iCs w:val="0"/>
        </w:rPr>
        <w:t xml:space="preserve"> kolegij</w:t>
      </w:r>
      <w:r>
        <w:rPr>
          <w:rFonts w:cstheme="minorHAnsi"/>
          <w:bCs w:val="0"/>
          <w:iCs w:val="0"/>
        </w:rPr>
        <w:t xml:space="preserve">os </w:t>
      </w:r>
      <w:r w:rsidR="00CB0B9D">
        <w:rPr>
          <w:rFonts w:cstheme="minorHAnsi"/>
          <w:bCs w:val="0"/>
          <w:iCs w:val="0"/>
        </w:rPr>
        <w:t xml:space="preserve">prejudicinis </w:t>
      </w:r>
      <w:r w:rsidRPr="00C72F13">
        <w:rPr>
          <w:rFonts w:cstheme="minorHAnsi"/>
          <w:bCs w:val="0"/>
          <w:iCs w:val="0"/>
        </w:rPr>
        <w:t>sprendimas</w:t>
      </w:r>
      <w:r>
        <w:rPr>
          <w:rFonts w:cstheme="minorHAnsi"/>
          <w:bCs w:val="0"/>
          <w:iCs w:val="0"/>
        </w:rPr>
        <w:t xml:space="preserve"> sujungtose bylose C-391/16, C-77/17 ir C-78/17</w:t>
      </w:r>
      <w:bookmarkEnd w:id="6"/>
      <w:r>
        <w:rPr>
          <w:rFonts w:cstheme="minorHAnsi"/>
          <w:bCs w:val="0"/>
          <w:iCs w:val="0"/>
        </w:rPr>
        <w:t xml:space="preserve"> </w:t>
      </w:r>
    </w:p>
    <w:p w:rsidR="00C72D18" w:rsidRPr="001362AB" w:rsidRDefault="00C72D18" w:rsidP="001362AB">
      <w:pPr>
        <w:jc w:val="center"/>
        <w:rPr>
          <w:rFonts w:cstheme="minorHAnsi"/>
          <w:b/>
          <w:i/>
        </w:rPr>
      </w:pPr>
      <w:r w:rsidRPr="00C72D18">
        <w:rPr>
          <w:rFonts w:cstheme="minorHAnsi"/>
          <w:b/>
          <w:i/>
        </w:rPr>
        <w:t xml:space="preserve">M. prieš </w:t>
      </w:r>
      <w:r w:rsidRPr="00C72D18">
        <w:rPr>
          <w:rFonts w:cstheme="minorHAnsi"/>
          <w:b/>
          <w:i/>
          <w:color w:val="000000"/>
        </w:rPr>
        <w:t>Ministerstvo vnitra</w:t>
      </w:r>
      <w:r w:rsidRPr="00C72D18">
        <w:rPr>
          <w:rFonts w:cstheme="minorHAnsi"/>
          <w:b/>
          <w:i/>
          <w:color w:val="000000"/>
          <w:shd w:val="clear" w:color="auto" w:fill="FFFFFF"/>
        </w:rPr>
        <w:t>, X, X prieš Commissaire général aux réfugiés et aux apatrides</w:t>
      </w:r>
    </w:p>
    <w:p w:rsidR="00115D14" w:rsidRPr="007C6489" w:rsidRDefault="00C72D18" w:rsidP="007C6489">
      <w:pPr>
        <w:pStyle w:val="c01pointnumerotealtn"/>
        <w:shd w:val="clear" w:color="auto" w:fill="FFFFFF"/>
        <w:spacing w:after="0"/>
        <w:ind w:left="0" w:firstLine="567"/>
        <w:rPr>
          <w:rFonts w:asciiTheme="minorHAnsi" w:hAnsiTheme="minorHAnsi" w:cstheme="minorHAnsi"/>
          <w:sz w:val="22"/>
          <w:szCs w:val="22"/>
        </w:rPr>
      </w:pPr>
      <w:r w:rsidRPr="00E21DB0">
        <w:rPr>
          <w:rFonts w:asciiTheme="minorHAnsi" w:hAnsiTheme="minorHAnsi" w:cstheme="minorHAnsi"/>
          <w:color w:val="000000"/>
          <w:sz w:val="22"/>
          <w:szCs w:val="22"/>
          <w:shd w:val="clear" w:color="auto" w:fill="FFFFFF"/>
        </w:rPr>
        <w:t>Prašymai priimti prejudicinį sprendimą pateikti dėl 2011 m. gruodžio 13 d. Europos Parlamento ir Tarybos direktyvos 2011/95/ES dėl trečiųjų šalių piliečių ar asmenų be pilietybės priskyrimo prie tarptautinės apsaugos gavėjų, vienodo statuso pabėgėliams arba papildomą apsaugą galintiems gauti asmenims ir suteikiamos apsaugos pobūdžio reikalavimų (OL L 337, 2011, p. 9), įsigaliojusios 2012 m. sausio 9 d., 14 straipsnio 4–6 dalių išaiškinimo ir galiojimo atsižvelgiant į SESV 78 straipsnio 1 dalį, ESS 6 straipsnio 3 dalį ir Europos Sąjungos pagrindinių teisių chartijos (toliau – Chartija) 18 straipsnį.</w:t>
      </w:r>
      <w:r w:rsidRPr="00E21DB0">
        <w:rPr>
          <w:rFonts w:asciiTheme="minorHAnsi" w:hAnsiTheme="minorHAnsi" w:cstheme="minorHAnsi"/>
          <w:sz w:val="22"/>
          <w:szCs w:val="22"/>
        </w:rPr>
        <w:t xml:space="preserve"> </w:t>
      </w:r>
      <w:r w:rsidRPr="00E21DB0">
        <w:rPr>
          <w:rFonts w:asciiTheme="minorHAnsi" w:hAnsiTheme="minorHAnsi" w:cstheme="minorHAnsi"/>
          <w:color w:val="000000"/>
          <w:sz w:val="22"/>
          <w:szCs w:val="22"/>
          <w:shd w:val="clear" w:color="auto" w:fill="FFFFFF"/>
        </w:rPr>
        <w:t>Šie prašymai pateikti nagrinėjant tris ginčus: pirmasis (byla C</w:t>
      </w:r>
      <w:r w:rsidRPr="00E21DB0">
        <w:rPr>
          <w:rFonts w:asciiTheme="minorHAnsi" w:hAnsiTheme="minorHAnsi" w:cstheme="minorHAnsi"/>
          <w:color w:val="000000"/>
          <w:sz w:val="22"/>
          <w:szCs w:val="22"/>
          <w:shd w:val="clear" w:color="auto" w:fill="FFFFFF"/>
        </w:rPr>
        <w:noBreakHyphen/>
        <w:t xml:space="preserve">391/16) kilo tarp M ir </w:t>
      </w:r>
      <w:r w:rsidRPr="003475AF">
        <w:rPr>
          <w:rFonts w:asciiTheme="minorHAnsi" w:hAnsiTheme="minorHAnsi" w:cstheme="minorHAnsi"/>
          <w:color w:val="000000"/>
          <w:sz w:val="22"/>
          <w:szCs w:val="22"/>
        </w:rPr>
        <w:t>Ministerstvo vnitra</w:t>
      </w:r>
      <w:r w:rsidRPr="00E21DB0">
        <w:rPr>
          <w:rFonts w:asciiTheme="minorHAnsi" w:hAnsiTheme="minorHAnsi" w:cstheme="minorHAnsi"/>
          <w:color w:val="000000"/>
          <w:sz w:val="22"/>
          <w:szCs w:val="22"/>
          <w:shd w:val="clear" w:color="auto" w:fill="FFFFFF"/>
        </w:rPr>
        <w:t xml:space="preserve"> (Vidaus reikalų ministerija, Čekijos Respublika) dėl sprendimo, kuriuo buvo panaikinta jo teisė į prieglobstį; antrasis (byla C</w:t>
      </w:r>
      <w:r w:rsidRPr="00E21DB0">
        <w:rPr>
          <w:rFonts w:asciiTheme="minorHAnsi" w:hAnsiTheme="minorHAnsi" w:cstheme="minorHAnsi"/>
          <w:color w:val="000000"/>
          <w:sz w:val="22"/>
          <w:szCs w:val="22"/>
          <w:shd w:val="clear" w:color="auto" w:fill="FFFFFF"/>
        </w:rPr>
        <w:noBreakHyphen/>
        <w:t xml:space="preserve">77/17) – tarp X ir </w:t>
      </w:r>
      <w:r w:rsidRPr="003475AF">
        <w:rPr>
          <w:rFonts w:asciiTheme="minorHAnsi" w:hAnsiTheme="minorHAnsi" w:cstheme="minorHAnsi"/>
          <w:color w:val="000000"/>
          <w:sz w:val="22"/>
          <w:szCs w:val="22"/>
        </w:rPr>
        <w:t>Commissaire général aux réfugiés et aux apatrides</w:t>
      </w:r>
      <w:r w:rsidRPr="00E21DB0">
        <w:rPr>
          <w:rFonts w:asciiTheme="minorHAnsi" w:hAnsiTheme="minorHAnsi" w:cstheme="minorHAnsi"/>
          <w:color w:val="000000"/>
          <w:sz w:val="22"/>
          <w:szCs w:val="22"/>
          <w:shd w:val="clear" w:color="auto" w:fill="FFFFFF"/>
        </w:rPr>
        <w:t xml:space="preserve"> (pabėgėlių ir asmenų be pilietybės generalinis komisaras, Belgija; toliau – generalinis komisaras) dėl sprendimo, kuriuo buvo atsisakyta jam pripažinti pabėgėlio statusą ir suteikti papildomą apsaugą, o trečiasis (byla C</w:t>
      </w:r>
      <w:r w:rsidRPr="00E21DB0">
        <w:rPr>
          <w:rFonts w:asciiTheme="minorHAnsi" w:hAnsiTheme="minorHAnsi" w:cstheme="minorHAnsi"/>
          <w:color w:val="000000"/>
          <w:sz w:val="22"/>
          <w:szCs w:val="22"/>
          <w:shd w:val="clear" w:color="auto" w:fill="FFFFFF"/>
        </w:rPr>
        <w:noBreakHyphen/>
        <w:t>78/17) – tarp X ir generalinio komisaro dėl sprendimo, kuriuo buvo panaikintas jo pabėgėlio statusas</w:t>
      </w:r>
      <w:r>
        <w:rPr>
          <w:rFonts w:asciiTheme="minorHAnsi" w:hAnsiTheme="minorHAnsi" w:cstheme="minorHAnsi"/>
          <w:sz w:val="22"/>
          <w:szCs w:val="22"/>
        </w:rPr>
        <w:t xml:space="preserve"> (1–2 punktai).</w:t>
      </w:r>
      <w:r w:rsidR="00163AAA">
        <w:rPr>
          <w:rFonts w:asciiTheme="minorHAnsi" w:hAnsiTheme="minorHAnsi" w:cstheme="minorHAnsi"/>
          <w:sz w:val="22"/>
          <w:szCs w:val="22"/>
        </w:rPr>
        <w:t xml:space="preserve"> Atitinkamai, </w:t>
      </w:r>
      <w:r w:rsidR="00D80D4A">
        <w:rPr>
          <w:rFonts w:asciiTheme="minorHAnsi" w:hAnsiTheme="minorHAnsi" w:cstheme="minorHAnsi"/>
          <w:sz w:val="22"/>
          <w:szCs w:val="22"/>
        </w:rPr>
        <w:t>pabėgėlio statusas suinteresuotiems asmenims nebuvo suteiktas (buvo panaikintas) dėl jų kelia</w:t>
      </w:r>
      <w:r w:rsidR="00F10AE3">
        <w:rPr>
          <w:rFonts w:asciiTheme="minorHAnsi" w:hAnsiTheme="minorHAnsi" w:cstheme="minorHAnsi"/>
          <w:sz w:val="22"/>
          <w:szCs w:val="22"/>
        </w:rPr>
        <w:t>mos grėsmės valstybės saugumui, vis dėlto dėl galimų pagrindinių teisių pažeidimų jie negalėjo būti grąžinti ir į kilmės valstyb</w:t>
      </w:r>
      <w:r w:rsidR="00FE0144">
        <w:rPr>
          <w:rFonts w:asciiTheme="minorHAnsi" w:hAnsiTheme="minorHAnsi" w:cstheme="minorHAnsi"/>
          <w:sz w:val="22"/>
          <w:szCs w:val="22"/>
        </w:rPr>
        <w:t>es.</w:t>
      </w:r>
      <w:r w:rsidR="00115D14">
        <w:rPr>
          <w:rFonts w:asciiTheme="minorHAnsi" w:hAnsiTheme="minorHAnsi" w:cstheme="minorHAnsi"/>
          <w:sz w:val="22"/>
          <w:szCs w:val="22"/>
        </w:rPr>
        <w:t xml:space="preserve"> Šiomis aplinkybėmis nacionaliniai teismai, pateikę prejudicinius klausimus, pabrėžė, jog nors Ženevos konvencija leidžia suinteresuotų asmenų išsiuntimą ir grąžinimą, ji</w:t>
      </w:r>
      <w:r w:rsidR="00E526F3">
        <w:rPr>
          <w:rFonts w:asciiTheme="minorHAnsi" w:hAnsiTheme="minorHAnsi" w:cstheme="minorHAnsi"/>
          <w:sz w:val="22"/>
          <w:szCs w:val="22"/>
        </w:rPr>
        <w:t xml:space="preserve"> nenustato, kad tokie asmenys nebėra pabėgėliais. Šiame kontekste teismai </w:t>
      </w:r>
      <w:r w:rsidR="006A2A6A">
        <w:rPr>
          <w:rFonts w:asciiTheme="minorHAnsi" w:hAnsiTheme="minorHAnsi" w:cstheme="minorHAnsi"/>
          <w:sz w:val="22"/>
          <w:szCs w:val="22"/>
        </w:rPr>
        <w:t>teiravosi</w:t>
      </w:r>
      <w:r w:rsidR="00E526F3">
        <w:rPr>
          <w:rFonts w:asciiTheme="minorHAnsi" w:hAnsiTheme="minorHAnsi" w:cstheme="minorHAnsi"/>
          <w:sz w:val="22"/>
          <w:szCs w:val="22"/>
        </w:rPr>
        <w:t xml:space="preserve">, ar Direktyvos </w:t>
      </w:r>
      <w:r w:rsidR="00E526F3" w:rsidRPr="00150439">
        <w:rPr>
          <w:rFonts w:asciiTheme="minorHAnsi" w:hAnsiTheme="minorHAnsi" w:cstheme="minorHAnsi"/>
          <w:sz w:val="22"/>
          <w:szCs w:val="22"/>
        </w:rPr>
        <w:t>2011/95 nuostatos, suteikian</w:t>
      </w:r>
      <w:r w:rsidR="00150439">
        <w:rPr>
          <w:rFonts w:asciiTheme="minorHAnsi" w:hAnsiTheme="minorHAnsi" w:cstheme="minorHAnsi"/>
          <w:sz w:val="22"/>
          <w:szCs w:val="22"/>
        </w:rPr>
        <w:t>čios valstybėms narėms teisę atšaukti arba atsisakyti suteikti pabėgė</w:t>
      </w:r>
      <w:r w:rsidR="00363AAF">
        <w:rPr>
          <w:rFonts w:asciiTheme="minorHAnsi" w:hAnsiTheme="minorHAnsi" w:cstheme="minorHAnsi"/>
          <w:sz w:val="22"/>
          <w:szCs w:val="22"/>
        </w:rPr>
        <w:t>lio statusą, taip pat įtvirtina</w:t>
      </w:r>
      <w:r w:rsidR="00D922A4" w:rsidRPr="00D922A4">
        <w:rPr>
          <w:rFonts w:asciiTheme="minorHAnsi" w:hAnsiTheme="minorHAnsi" w:cstheme="minorHAnsi"/>
          <w:sz w:val="22"/>
          <w:szCs w:val="22"/>
        </w:rPr>
        <w:t xml:space="preserve"> naują pabėgėlio statuso nesuteikimo sąlygą, numatytą tos pačios direk</w:t>
      </w:r>
      <w:r w:rsidR="007C6489">
        <w:rPr>
          <w:rFonts w:asciiTheme="minorHAnsi" w:hAnsiTheme="minorHAnsi" w:cstheme="minorHAnsi"/>
          <w:sz w:val="22"/>
          <w:szCs w:val="22"/>
        </w:rPr>
        <w:t>tyvos 13 straipsnyje, taigi ir Ženevos konvencijos 1 straipsnio A skirsnyje.</w:t>
      </w:r>
    </w:p>
    <w:p w:rsidR="00FE0144" w:rsidRDefault="00FE0144" w:rsidP="00C72D18">
      <w:pPr>
        <w:pStyle w:val="c01pointnumerotealtn"/>
        <w:shd w:val="clear" w:color="auto" w:fill="FFFFFF"/>
        <w:spacing w:before="0" w:beforeAutospacing="0" w:after="0"/>
        <w:ind w:left="0" w:firstLine="567"/>
        <w:outlineLvl w:val="2"/>
        <w:rPr>
          <w:rFonts w:asciiTheme="minorHAnsi" w:hAnsiTheme="minorHAnsi" w:cstheme="minorHAnsi"/>
          <w:b/>
          <w:bCs/>
          <w:iCs/>
          <w:sz w:val="22"/>
          <w:szCs w:val="22"/>
        </w:rPr>
      </w:pPr>
    </w:p>
    <w:p w:rsidR="00C72D18" w:rsidRPr="001362AB" w:rsidRDefault="00C72D18" w:rsidP="001362AB">
      <w:pPr>
        <w:pStyle w:val="Heading3"/>
        <w:ind w:firstLine="567"/>
        <w:rPr>
          <w:rFonts w:cstheme="minorHAnsi"/>
        </w:rPr>
      </w:pPr>
      <w:bookmarkStart w:id="7" w:name="_Toc21941939"/>
      <w:r w:rsidRPr="001362AB">
        <w:rPr>
          <w:rFonts w:cstheme="minorHAnsi"/>
        </w:rPr>
        <w:t>Dėl</w:t>
      </w:r>
      <w:r w:rsidR="006A2A6A" w:rsidRPr="001362AB">
        <w:rPr>
          <w:rFonts w:cstheme="minorHAnsi"/>
        </w:rPr>
        <w:t xml:space="preserve"> Direktyvoje 2011/95 įtvirtintų</w:t>
      </w:r>
      <w:r w:rsidRPr="001362AB">
        <w:rPr>
          <w:rFonts w:cstheme="minorHAnsi"/>
        </w:rPr>
        <w:t xml:space="preserve"> sąvokų „pabėgėlis“ ir „pabėgėlio statusas“ aiškinimo</w:t>
      </w:r>
      <w:bookmarkEnd w:id="7"/>
    </w:p>
    <w:p w:rsidR="00C72D18" w:rsidRPr="00576659" w:rsidRDefault="00C72D18" w:rsidP="00C72D18">
      <w:pPr>
        <w:pStyle w:val="c01pointnumerotealtn"/>
        <w:shd w:val="clear" w:color="auto" w:fill="FFFFFF"/>
        <w:spacing w:before="0" w:beforeAutospacing="0" w:after="0"/>
        <w:ind w:left="0" w:firstLine="567"/>
        <w:rPr>
          <w:rFonts w:asciiTheme="minorHAnsi" w:hAnsiTheme="minorHAnsi" w:cstheme="minorHAnsi"/>
          <w:sz w:val="22"/>
          <w:szCs w:val="22"/>
        </w:rPr>
      </w:pPr>
    </w:p>
    <w:p w:rsidR="00C72D18" w:rsidRPr="00CF492C" w:rsidRDefault="00C72D18" w:rsidP="00C72D18">
      <w:pPr>
        <w:pStyle w:val="c01pointnumerotealtn"/>
        <w:shd w:val="clear" w:color="auto" w:fill="FFFFFF"/>
        <w:spacing w:before="0" w:beforeAutospacing="0" w:after="0"/>
        <w:ind w:left="0" w:firstLine="567"/>
        <w:rPr>
          <w:rFonts w:asciiTheme="minorHAnsi" w:hAnsiTheme="minorHAnsi" w:cstheme="minorHAnsi"/>
          <w:color w:val="000000"/>
          <w:sz w:val="22"/>
          <w:szCs w:val="22"/>
          <w:shd w:val="clear" w:color="auto" w:fill="FFFFFF"/>
        </w:rPr>
      </w:pPr>
      <w:r>
        <w:rPr>
          <w:rFonts w:asciiTheme="minorHAnsi" w:hAnsiTheme="minorHAnsi" w:cstheme="minorHAnsi"/>
          <w:sz w:val="22"/>
          <w:szCs w:val="22"/>
        </w:rPr>
        <w:t>Teisingu</w:t>
      </w:r>
      <w:r w:rsidRPr="00591B0A">
        <w:rPr>
          <w:rFonts w:asciiTheme="minorHAnsi" w:hAnsiTheme="minorHAnsi" w:cstheme="minorHAnsi"/>
          <w:sz w:val="22"/>
          <w:szCs w:val="22"/>
        </w:rPr>
        <w:t xml:space="preserve">mo Teismas </w:t>
      </w:r>
      <w:r w:rsidRPr="00591B0A">
        <w:rPr>
          <w:rFonts w:asciiTheme="minorHAnsi" w:hAnsiTheme="minorHAnsi" w:cstheme="minorHAnsi"/>
          <w:color w:val="000000"/>
          <w:sz w:val="22"/>
          <w:szCs w:val="22"/>
          <w:shd w:val="clear" w:color="auto" w:fill="FFFFFF"/>
        </w:rPr>
        <w:t>pažymėjo, kad, kalbant apie sąvoką „pabėgėlis“, šios direktyvos 2 straipsnio d punkte iš esmės perimta Ženevos konvencijos 1 straipsnio A skirsnio 2 dalyje pateikta apibrėžtis. Atsižvelgiant į tai</w:t>
      </w:r>
      <w:r>
        <w:rPr>
          <w:rFonts w:asciiTheme="minorHAnsi" w:hAnsiTheme="minorHAnsi" w:cstheme="minorHAnsi"/>
          <w:color w:val="000000"/>
          <w:sz w:val="22"/>
          <w:szCs w:val="22"/>
          <w:shd w:val="clear" w:color="auto" w:fill="FFFFFF"/>
        </w:rPr>
        <w:t>,</w:t>
      </w:r>
      <w:r w:rsidRPr="00591B0A">
        <w:rPr>
          <w:rFonts w:asciiTheme="minorHAnsi" w:hAnsiTheme="minorHAnsi" w:cstheme="minorHAnsi"/>
          <w:color w:val="000000"/>
          <w:sz w:val="22"/>
          <w:szCs w:val="22"/>
          <w:shd w:val="clear" w:color="auto" w:fill="FFFFFF"/>
        </w:rPr>
        <w:t xml:space="preserve"> Direktyvos 2011/95 III skyriaus „Reikalavimai, taikomi priskyrimui prie pabėgėlių“ nuostatose pateikiami patikslinimai dėl materialių sąlygų, kurių reikia tam, kad trečiosios šalies pilietis ar asmuo be pilietybės galėtų būti laikomas pabėgėliu, kaip tai suprantama pagal šios direktyvos 2 straipsnio d punktą</w:t>
      </w:r>
      <w:r>
        <w:rPr>
          <w:rFonts w:asciiTheme="minorHAnsi" w:hAnsiTheme="minorHAnsi" w:cstheme="minorHAnsi"/>
          <w:color w:val="000000"/>
          <w:sz w:val="22"/>
          <w:szCs w:val="22"/>
          <w:shd w:val="clear" w:color="auto" w:fill="FFFFFF"/>
        </w:rPr>
        <w:t xml:space="preserve">. </w:t>
      </w:r>
      <w:r w:rsidRPr="00591B0A">
        <w:rPr>
          <w:rFonts w:asciiTheme="minorHAnsi" w:hAnsiTheme="minorHAnsi" w:cstheme="minorHAnsi"/>
          <w:color w:val="000000"/>
          <w:sz w:val="22"/>
          <w:szCs w:val="22"/>
          <w:shd w:val="clear" w:color="auto" w:fill="FFFFFF"/>
        </w:rPr>
        <w:t>Direktyvos 2011/95 2 straipsnio e punkte „</w:t>
      </w:r>
      <w:r w:rsidRPr="00591B0A">
        <w:rPr>
          <w:rFonts w:asciiTheme="minorHAnsi" w:hAnsiTheme="minorHAnsi" w:cstheme="minorHAnsi"/>
          <w:color w:val="000000"/>
          <w:sz w:val="22"/>
          <w:szCs w:val="22"/>
          <w:u w:val="single"/>
          <w:shd w:val="clear" w:color="auto" w:fill="FFFFFF"/>
        </w:rPr>
        <w:t>pabėgėlio statusas</w:t>
      </w:r>
      <w:r w:rsidRPr="00D123E3">
        <w:rPr>
          <w:rFonts w:asciiTheme="minorHAnsi" w:hAnsiTheme="minorHAnsi" w:cstheme="minorHAnsi"/>
          <w:color w:val="000000"/>
          <w:sz w:val="22"/>
          <w:szCs w:val="22"/>
          <w:u w:val="single"/>
          <w:shd w:val="clear" w:color="auto" w:fill="FFFFFF"/>
        </w:rPr>
        <w:t xml:space="preserve">“ apibrėžiamas kaip „valstybės narės pripažinimas, kad trečiosios šalies pilietis arba asmuo be pilietybės yra pabėgėlis“. Šis </w:t>
      </w:r>
      <w:r w:rsidRPr="00591B0A">
        <w:rPr>
          <w:rFonts w:asciiTheme="minorHAnsi" w:hAnsiTheme="minorHAnsi" w:cstheme="minorHAnsi"/>
          <w:color w:val="000000"/>
          <w:sz w:val="22"/>
          <w:szCs w:val="22"/>
          <w:u w:val="single"/>
          <w:shd w:val="clear" w:color="auto" w:fill="FFFFFF"/>
        </w:rPr>
        <w:t>pripažinimas, kaip matyti iš šios direktyvos 21 konstatuojamosios dalies, yra deklaratyvus aktas, bet ne suteikiantis pabėgėlio statusą.</w:t>
      </w:r>
      <w:r w:rsidRPr="00D123E3">
        <w:rPr>
          <w:rFonts w:asciiTheme="minorHAnsi" w:hAnsiTheme="minorHAnsi" w:cstheme="minorHAnsi"/>
          <w:color w:val="000000"/>
          <w:sz w:val="22"/>
          <w:szCs w:val="22"/>
          <w:shd w:val="clear" w:color="auto" w:fill="FFFFFF"/>
        </w:rPr>
        <w:t xml:space="preserve"> </w:t>
      </w:r>
      <w:r w:rsidRPr="00591B0A">
        <w:rPr>
          <w:rFonts w:asciiTheme="minorHAnsi" w:hAnsiTheme="minorHAnsi" w:cstheme="minorHAnsi"/>
          <w:color w:val="000000"/>
          <w:sz w:val="22"/>
          <w:szCs w:val="22"/>
          <w:shd w:val="clear" w:color="auto" w:fill="FFFFFF"/>
        </w:rPr>
        <w:t xml:space="preserve">Taigi Direktyvoje 2011/95 įtvirtintoje sistemoje </w:t>
      </w:r>
      <w:r w:rsidRPr="00591B0A">
        <w:rPr>
          <w:rFonts w:asciiTheme="minorHAnsi" w:hAnsiTheme="minorHAnsi" w:cstheme="minorHAnsi"/>
          <w:color w:val="000000"/>
          <w:sz w:val="22"/>
          <w:szCs w:val="22"/>
          <w:u w:val="single"/>
          <w:shd w:val="clear" w:color="auto" w:fill="FFFFFF"/>
        </w:rPr>
        <w:t>trečiosios šalies pilietis ar asmuo be pilietybės</w:t>
      </w:r>
      <w:r w:rsidRPr="00591B0A">
        <w:rPr>
          <w:rFonts w:asciiTheme="minorHAnsi" w:hAnsiTheme="minorHAnsi" w:cstheme="minorHAnsi"/>
          <w:color w:val="000000"/>
          <w:sz w:val="22"/>
          <w:szCs w:val="22"/>
          <w:shd w:val="clear" w:color="auto" w:fill="FFFFFF"/>
        </w:rPr>
        <w:t xml:space="preserve">, </w:t>
      </w:r>
      <w:r w:rsidRPr="00591B0A">
        <w:rPr>
          <w:rFonts w:asciiTheme="minorHAnsi" w:hAnsiTheme="minorHAnsi" w:cstheme="minorHAnsi"/>
          <w:color w:val="000000"/>
          <w:sz w:val="22"/>
          <w:szCs w:val="22"/>
          <w:u w:val="single"/>
          <w:shd w:val="clear" w:color="auto" w:fill="FFFFFF"/>
        </w:rPr>
        <w:t>tenkinantis šios direktyvos III skyriaus materialias sąlygas, vien dėl šios aplinkybės turi pabėgėlio statusą</w:t>
      </w:r>
      <w:r w:rsidRPr="00591B0A">
        <w:rPr>
          <w:rFonts w:asciiTheme="minorHAnsi" w:hAnsiTheme="minorHAnsi" w:cstheme="minorHAnsi"/>
          <w:color w:val="000000"/>
          <w:sz w:val="22"/>
          <w:szCs w:val="22"/>
          <w:shd w:val="clear" w:color="auto" w:fill="FFFFFF"/>
        </w:rPr>
        <w:t>, kaip tai suprantama pagal minėtos direktyvos 2 straipsnio d punktą ir Ženevos konvencijos 1 straipsnio A skirsnį (84–8</w:t>
      </w:r>
      <w:r>
        <w:rPr>
          <w:rFonts w:asciiTheme="minorHAnsi" w:hAnsiTheme="minorHAnsi" w:cstheme="minorHAnsi"/>
          <w:color w:val="000000"/>
          <w:sz w:val="22"/>
          <w:szCs w:val="22"/>
          <w:shd w:val="clear" w:color="auto" w:fill="FFFFFF"/>
        </w:rPr>
        <w:t>6</w:t>
      </w:r>
      <w:r w:rsidRPr="00591B0A">
        <w:rPr>
          <w:rFonts w:asciiTheme="minorHAnsi" w:hAnsiTheme="minorHAnsi" w:cstheme="minorHAnsi"/>
          <w:color w:val="000000"/>
          <w:sz w:val="22"/>
          <w:szCs w:val="22"/>
          <w:shd w:val="clear" w:color="auto" w:fill="FFFFFF"/>
        </w:rPr>
        <w:t xml:space="preserve"> punktai).</w:t>
      </w:r>
    </w:p>
    <w:p w:rsidR="00C72D18" w:rsidRPr="00591B0A" w:rsidRDefault="00C72D18" w:rsidP="00C72D18">
      <w:pPr>
        <w:pStyle w:val="c01pointnumerotealtn"/>
        <w:shd w:val="clear" w:color="auto" w:fill="FFFFFF"/>
        <w:spacing w:before="0" w:beforeAutospacing="0" w:after="0"/>
        <w:ind w:left="0" w:firstLine="567"/>
        <w:rPr>
          <w:rFonts w:asciiTheme="minorHAnsi" w:hAnsiTheme="minorHAnsi" w:cstheme="minorHAnsi"/>
          <w:sz w:val="22"/>
          <w:szCs w:val="22"/>
        </w:rPr>
      </w:pPr>
      <w:r w:rsidRPr="00591B0A">
        <w:rPr>
          <w:rFonts w:asciiTheme="minorHAnsi" w:hAnsiTheme="minorHAnsi" w:cstheme="minorHAnsi"/>
          <w:color w:val="000000"/>
          <w:sz w:val="22"/>
          <w:szCs w:val="22"/>
          <w:shd w:val="clear" w:color="auto" w:fill="FFFFFF"/>
        </w:rPr>
        <w:t>Dėl Direktyvos 2011/95 13 straipsnio Teisingumo Teismas yra nusprendęs, kad pagal šią nuostatą valstybės narės suteikia pabėgėlio statusą trečiosios šalies piliečiui arba asmeniui be pilietybės, kuris priskiriamas pabėgėliams remiantis šios direktyvos II ir III skyriais, šiuo klausimu neturėdam</w:t>
      </w:r>
      <w:r w:rsidRPr="00742201">
        <w:rPr>
          <w:rFonts w:asciiTheme="minorHAnsi" w:hAnsiTheme="minorHAnsi" w:cstheme="minorHAnsi"/>
          <w:color w:val="000000"/>
          <w:sz w:val="22"/>
          <w:szCs w:val="22"/>
          <w:shd w:val="clear" w:color="auto" w:fill="FFFFFF"/>
        </w:rPr>
        <w:t xml:space="preserve">os diskrecijos (šiuo klausimu žr. 2015 m. birželio 24 d. Sprendimo </w:t>
      </w:r>
      <w:r w:rsidRPr="00742201">
        <w:rPr>
          <w:rFonts w:asciiTheme="minorHAnsi" w:hAnsiTheme="minorHAnsi" w:cstheme="minorHAnsi"/>
          <w:i/>
          <w:iCs/>
          <w:color w:val="000000"/>
          <w:sz w:val="22"/>
          <w:szCs w:val="22"/>
        </w:rPr>
        <w:t>H. T.</w:t>
      </w:r>
      <w:r w:rsidRPr="00742201">
        <w:rPr>
          <w:rFonts w:asciiTheme="minorHAnsi" w:hAnsiTheme="minorHAnsi" w:cstheme="minorHAnsi"/>
          <w:color w:val="000000"/>
          <w:sz w:val="22"/>
          <w:szCs w:val="22"/>
          <w:shd w:val="clear" w:color="auto" w:fill="FFFFFF"/>
        </w:rPr>
        <w:t>, C</w:t>
      </w:r>
      <w:r w:rsidRPr="00742201">
        <w:rPr>
          <w:rFonts w:asciiTheme="minorHAnsi" w:hAnsiTheme="minorHAnsi" w:cstheme="minorHAnsi"/>
          <w:color w:val="000000"/>
          <w:sz w:val="22"/>
          <w:szCs w:val="22"/>
          <w:shd w:val="clear" w:color="auto" w:fill="FFFFFF"/>
        </w:rPr>
        <w:noBreakHyphen/>
        <w:t xml:space="preserve">373/13, EU:C:2015:413, 63 punktą ir 2018 m. balandžio 12 d. Sprendimo </w:t>
      </w:r>
      <w:r w:rsidRPr="00742201">
        <w:rPr>
          <w:rFonts w:asciiTheme="minorHAnsi" w:hAnsiTheme="minorHAnsi" w:cstheme="minorHAnsi"/>
          <w:i/>
          <w:iCs/>
          <w:color w:val="000000"/>
          <w:sz w:val="22"/>
          <w:szCs w:val="22"/>
        </w:rPr>
        <w:t>A ir S</w:t>
      </w:r>
      <w:r w:rsidRPr="00742201">
        <w:rPr>
          <w:rFonts w:asciiTheme="minorHAnsi" w:hAnsiTheme="minorHAnsi" w:cstheme="minorHAnsi"/>
          <w:color w:val="000000"/>
          <w:sz w:val="22"/>
          <w:szCs w:val="22"/>
          <w:shd w:val="clear" w:color="auto" w:fill="FFFFFF"/>
        </w:rPr>
        <w:t>, C</w:t>
      </w:r>
      <w:r w:rsidRPr="00742201">
        <w:rPr>
          <w:rFonts w:asciiTheme="minorHAnsi" w:hAnsiTheme="minorHAnsi" w:cstheme="minorHAnsi"/>
          <w:color w:val="000000"/>
          <w:sz w:val="22"/>
          <w:szCs w:val="22"/>
          <w:shd w:val="clear" w:color="auto" w:fill="FFFFFF"/>
        </w:rPr>
        <w:noBreakHyphen/>
        <w:t xml:space="preserve">550/16, EU:C:2018:248, 52 ir 54 punktus). </w:t>
      </w:r>
      <w:r w:rsidRPr="00591B0A">
        <w:rPr>
          <w:rFonts w:asciiTheme="minorHAnsi" w:hAnsiTheme="minorHAnsi" w:cstheme="minorHAnsi"/>
          <w:color w:val="000000"/>
          <w:sz w:val="22"/>
          <w:szCs w:val="22"/>
          <w:shd w:val="clear" w:color="auto" w:fill="FFFFFF"/>
        </w:rPr>
        <w:t xml:space="preserve">Tai, kad „pabėgėlio“ statusas, kaip tai suprantama pagal Direktyvos 2011/95 2 straipsnio d punktą ir Ženevos konvencijos 1 straipsnio A skirsnį, nepriklauso nuo oficialaus šio statuso pripažinimo suteikiant „pabėgėlio statusą“, kaip tai suprantama pagal šios direktyvos 2 straipsnio e punktą, patvirtina minėtos direktyvos 21 straipsnio 2 dalyje vartojami žodžiai, pagal kuriuos </w:t>
      </w:r>
      <w:r w:rsidRPr="00591B0A">
        <w:rPr>
          <w:rFonts w:asciiTheme="minorHAnsi" w:hAnsiTheme="minorHAnsi" w:cstheme="minorHAnsi"/>
          <w:color w:val="000000"/>
          <w:sz w:val="22"/>
          <w:szCs w:val="22"/>
          <w:u w:val="single"/>
          <w:shd w:val="clear" w:color="auto" w:fill="FFFFFF"/>
        </w:rPr>
        <w:t>„pabėgėlis“, laikantis šioje nuostatoje skelbiamų sąlygų, gali būti grąžintas nepaisant to, ar jis „oficialiai [tokiu] pripažintas arba ne“</w:t>
      </w:r>
      <w:r w:rsidRPr="00591B0A">
        <w:rPr>
          <w:rFonts w:asciiTheme="minorHAnsi" w:hAnsiTheme="minorHAnsi" w:cstheme="minorHAnsi"/>
          <w:color w:val="000000"/>
          <w:sz w:val="22"/>
          <w:szCs w:val="22"/>
          <w:shd w:val="clear" w:color="auto" w:fill="FFFFFF"/>
        </w:rPr>
        <w:t xml:space="preserve"> (89</w:t>
      </w:r>
      <w:r>
        <w:rPr>
          <w:rFonts w:asciiTheme="minorHAnsi" w:hAnsiTheme="minorHAnsi" w:cstheme="minorHAnsi"/>
          <w:color w:val="000000"/>
          <w:sz w:val="22"/>
          <w:szCs w:val="22"/>
          <w:shd w:val="clear" w:color="auto" w:fill="FFFFFF"/>
        </w:rPr>
        <w:t>–</w:t>
      </w:r>
      <w:r w:rsidRPr="00591B0A">
        <w:rPr>
          <w:rFonts w:asciiTheme="minorHAnsi" w:hAnsiTheme="minorHAnsi" w:cstheme="minorHAnsi"/>
          <w:color w:val="000000"/>
          <w:sz w:val="22"/>
          <w:szCs w:val="22"/>
          <w:shd w:val="clear" w:color="auto" w:fill="FFFFFF"/>
        </w:rPr>
        <w:t>90 punktai)</w:t>
      </w:r>
      <w:r>
        <w:rPr>
          <w:rFonts w:asciiTheme="minorHAnsi" w:hAnsiTheme="minorHAnsi" w:cstheme="minorHAnsi"/>
          <w:color w:val="000000"/>
          <w:sz w:val="22"/>
          <w:szCs w:val="22"/>
          <w:shd w:val="clear" w:color="auto" w:fill="FFFFFF"/>
        </w:rPr>
        <w:t>.</w:t>
      </w:r>
    </w:p>
    <w:p w:rsidR="00C72D18" w:rsidRDefault="00C72D18" w:rsidP="00C72D18">
      <w:pPr>
        <w:pStyle w:val="c01pointnumerotealtn"/>
        <w:shd w:val="clear" w:color="auto" w:fill="FFFFFF"/>
        <w:spacing w:before="0" w:beforeAutospacing="0" w:after="0"/>
        <w:ind w:left="0" w:firstLine="567"/>
        <w:rPr>
          <w:rFonts w:asciiTheme="minorHAnsi" w:hAnsiTheme="minorHAnsi" w:cstheme="minorHAnsi"/>
          <w:color w:val="000000"/>
          <w:sz w:val="22"/>
          <w:szCs w:val="22"/>
          <w:shd w:val="clear" w:color="auto" w:fill="FFFFFF"/>
        </w:rPr>
      </w:pPr>
      <w:r>
        <w:rPr>
          <w:rFonts w:asciiTheme="minorHAnsi" w:hAnsiTheme="minorHAnsi" w:cstheme="minorHAnsi"/>
          <w:sz w:val="22"/>
          <w:szCs w:val="22"/>
        </w:rPr>
        <w:t xml:space="preserve">Teisingumo Teismas nurodė, kad </w:t>
      </w:r>
      <w:r w:rsidRPr="00591B0A">
        <w:rPr>
          <w:rFonts w:asciiTheme="minorHAnsi" w:hAnsiTheme="minorHAnsi" w:cstheme="minorHAnsi"/>
          <w:color w:val="000000"/>
          <w:sz w:val="22"/>
          <w:szCs w:val="22"/>
          <w:u w:val="single"/>
          <w:shd w:val="clear" w:color="auto" w:fill="FFFFFF"/>
        </w:rPr>
        <w:t>oficialaus pabėgėlio statuso pripažinimo, kurį sudaro pabėgėlio statuso suteikimas, pasekmė yra ta, kad,</w:t>
      </w:r>
      <w:r w:rsidRPr="00591B0A">
        <w:rPr>
          <w:rFonts w:asciiTheme="minorHAnsi" w:hAnsiTheme="minorHAnsi" w:cstheme="minorHAnsi"/>
          <w:color w:val="000000"/>
          <w:sz w:val="22"/>
          <w:szCs w:val="22"/>
          <w:shd w:val="clear" w:color="auto" w:fill="FFFFFF"/>
        </w:rPr>
        <w:t xml:space="preserve"> remiantis Direktyvos 2011/95 2 straipsnio b punktu, atitinkamas </w:t>
      </w:r>
      <w:r w:rsidRPr="00591B0A">
        <w:rPr>
          <w:rFonts w:asciiTheme="minorHAnsi" w:hAnsiTheme="minorHAnsi" w:cstheme="minorHAnsi"/>
          <w:color w:val="000000"/>
          <w:sz w:val="22"/>
          <w:szCs w:val="22"/>
          <w:u w:val="single"/>
          <w:shd w:val="clear" w:color="auto" w:fill="FFFFFF"/>
        </w:rPr>
        <w:t>pabėgėlis naudojasi tarptautine apsauga, kaip tai suprantama pagal šią direktyvą, todėl jis turi</w:t>
      </w:r>
      <w:r w:rsidRPr="00591B0A">
        <w:rPr>
          <w:rFonts w:asciiTheme="minorHAnsi" w:hAnsiTheme="minorHAnsi" w:cstheme="minorHAnsi"/>
          <w:color w:val="000000"/>
          <w:sz w:val="22"/>
          <w:szCs w:val="22"/>
          <w:shd w:val="clear" w:color="auto" w:fill="FFFFFF"/>
        </w:rPr>
        <w:t xml:space="preserve"> </w:t>
      </w:r>
      <w:r w:rsidRPr="00CF492C">
        <w:rPr>
          <w:rFonts w:asciiTheme="minorHAnsi" w:hAnsiTheme="minorHAnsi" w:cstheme="minorHAnsi"/>
          <w:color w:val="000000"/>
          <w:sz w:val="22"/>
          <w:szCs w:val="22"/>
          <w:shd w:val="clear" w:color="auto" w:fill="FFFFFF"/>
        </w:rPr>
        <w:t>&lt;...&gt;</w:t>
      </w:r>
      <w:r w:rsidRPr="00591B0A">
        <w:rPr>
          <w:rFonts w:asciiTheme="minorHAnsi" w:hAnsiTheme="minorHAnsi" w:cstheme="minorHAnsi"/>
          <w:color w:val="000000"/>
          <w:sz w:val="22"/>
          <w:szCs w:val="22"/>
          <w:shd w:val="clear" w:color="auto" w:fill="FFFFFF"/>
        </w:rPr>
        <w:t xml:space="preserve"> </w:t>
      </w:r>
      <w:r w:rsidRPr="0029096E">
        <w:rPr>
          <w:rFonts w:asciiTheme="minorHAnsi" w:hAnsiTheme="minorHAnsi" w:cstheme="minorHAnsi"/>
          <w:color w:val="000000"/>
          <w:sz w:val="22"/>
          <w:szCs w:val="22"/>
          <w:u w:val="single"/>
          <w:shd w:val="clear" w:color="auto" w:fill="FFFFFF"/>
        </w:rPr>
        <w:t>visas teises ir lengvatas</w:t>
      </w:r>
      <w:r w:rsidRPr="00591B0A">
        <w:rPr>
          <w:rFonts w:asciiTheme="minorHAnsi" w:hAnsiTheme="minorHAnsi" w:cstheme="minorHAnsi"/>
          <w:color w:val="000000"/>
          <w:sz w:val="22"/>
          <w:szCs w:val="22"/>
          <w:shd w:val="clear" w:color="auto" w:fill="FFFFFF"/>
        </w:rPr>
        <w:t xml:space="preserve">, numatytas minėtos direktyvos VII skyriuje, kuriame yra įtvirtintos teisės, tapačios įtvirtintoms Ženevos konvencijoje, ir, </w:t>
      </w:r>
      <w:r>
        <w:rPr>
          <w:rFonts w:asciiTheme="minorHAnsi" w:hAnsiTheme="minorHAnsi" w:cstheme="minorHAnsi"/>
          <w:color w:val="000000"/>
          <w:sz w:val="22"/>
          <w:szCs w:val="22"/>
          <w:shd w:val="clear" w:color="auto" w:fill="FFFFFF"/>
        </w:rPr>
        <w:t xml:space="preserve">&lt;...&gt; </w:t>
      </w:r>
      <w:r w:rsidRPr="00591B0A">
        <w:rPr>
          <w:rFonts w:asciiTheme="minorHAnsi" w:hAnsiTheme="minorHAnsi" w:cstheme="minorHAnsi"/>
          <w:color w:val="000000"/>
          <w:sz w:val="22"/>
          <w:szCs w:val="22"/>
          <w:shd w:val="clear" w:color="auto" w:fill="FFFFFF"/>
        </w:rPr>
        <w:t>labiau apsaugančias teises, kurioms lygiaverčių teisių šioje konvencijoje nėra, pavyzdžiui, numatytas Direktyvos 2011/95 24 straipsnio 1 dalyje ir 28 bei 34 straipsniuose</w:t>
      </w:r>
      <w:r w:rsidRPr="0029096E">
        <w:rPr>
          <w:rFonts w:asciiTheme="minorHAnsi" w:hAnsiTheme="minorHAnsi" w:cstheme="minorHAnsi"/>
          <w:color w:val="000000"/>
          <w:sz w:val="22"/>
          <w:szCs w:val="22"/>
          <w:shd w:val="clear" w:color="auto" w:fill="FFFFFF"/>
        </w:rPr>
        <w:t xml:space="preserve">. Iš to, kas išdėstyta </w:t>
      </w:r>
      <w:r>
        <w:rPr>
          <w:rFonts w:asciiTheme="minorHAnsi" w:hAnsiTheme="minorHAnsi" w:cstheme="minorHAnsi"/>
          <w:color w:val="000000"/>
          <w:sz w:val="22"/>
          <w:szCs w:val="22"/>
          <w:shd w:val="clear" w:color="auto" w:fill="FFFFFF"/>
        </w:rPr>
        <w:t>Teisingumo Teismas darė</w:t>
      </w:r>
      <w:r w:rsidRPr="0029096E">
        <w:rPr>
          <w:rFonts w:asciiTheme="minorHAnsi" w:hAnsiTheme="minorHAnsi" w:cstheme="minorHAnsi"/>
          <w:color w:val="000000"/>
          <w:sz w:val="22"/>
          <w:szCs w:val="22"/>
          <w:shd w:val="clear" w:color="auto" w:fill="FFFFFF"/>
        </w:rPr>
        <w:t xml:space="preserve"> išvad</w:t>
      </w:r>
      <w:r>
        <w:rPr>
          <w:rFonts w:asciiTheme="minorHAnsi" w:hAnsiTheme="minorHAnsi" w:cstheme="minorHAnsi"/>
          <w:color w:val="000000"/>
          <w:sz w:val="22"/>
          <w:szCs w:val="22"/>
          <w:shd w:val="clear" w:color="auto" w:fill="FFFFFF"/>
        </w:rPr>
        <w:t>ą</w:t>
      </w:r>
      <w:r w:rsidRPr="0029096E">
        <w:rPr>
          <w:rFonts w:asciiTheme="minorHAnsi" w:hAnsiTheme="minorHAnsi" w:cstheme="minorHAnsi"/>
          <w:color w:val="000000"/>
          <w:sz w:val="22"/>
          <w:szCs w:val="22"/>
          <w:shd w:val="clear" w:color="auto" w:fill="FFFFFF"/>
        </w:rPr>
        <w:t xml:space="preserve">, kad </w:t>
      </w:r>
      <w:r w:rsidRPr="0029096E">
        <w:rPr>
          <w:rFonts w:asciiTheme="minorHAnsi" w:hAnsiTheme="minorHAnsi" w:cstheme="minorHAnsi"/>
          <w:color w:val="000000"/>
          <w:sz w:val="22"/>
          <w:szCs w:val="22"/>
          <w:u w:val="single"/>
          <w:shd w:val="clear" w:color="auto" w:fill="FFFFFF"/>
        </w:rPr>
        <w:t>buvimas „pabėgėliu“,</w:t>
      </w:r>
      <w:r w:rsidRPr="0029096E">
        <w:rPr>
          <w:rFonts w:asciiTheme="minorHAnsi" w:hAnsiTheme="minorHAnsi" w:cstheme="minorHAnsi"/>
          <w:color w:val="000000"/>
          <w:sz w:val="22"/>
          <w:szCs w:val="22"/>
          <w:shd w:val="clear" w:color="auto" w:fill="FFFFFF"/>
        </w:rPr>
        <w:t xml:space="preserve"> kaip tai suprantama pagal Direktyvos 2011/95 2 straipsnio d punktą ir Ženevos konvencijos 1 straipsnio A skirsnį, </w:t>
      </w:r>
      <w:r w:rsidRPr="0029096E">
        <w:rPr>
          <w:rFonts w:asciiTheme="minorHAnsi" w:hAnsiTheme="minorHAnsi" w:cstheme="minorHAnsi"/>
          <w:color w:val="000000"/>
          <w:sz w:val="22"/>
          <w:szCs w:val="22"/>
          <w:u w:val="single"/>
          <w:shd w:val="clear" w:color="auto" w:fill="FFFFFF"/>
        </w:rPr>
        <w:t>nepriklauso nuo oficialaus pripažinimo pabėgėliu suteikiant „pabėgėlio statusą“,</w:t>
      </w:r>
      <w:r w:rsidRPr="0029096E">
        <w:rPr>
          <w:rFonts w:asciiTheme="minorHAnsi" w:hAnsiTheme="minorHAnsi" w:cstheme="minorHAnsi"/>
          <w:color w:val="000000"/>
          <w:sz w:val="22"/>
          <w:szCs w:val="22"/>
          <w:shd w:val="clear" w:color="auto" w:fill="FFFFFF"/>
        </w:rPr>
        <w:t xml:space="preserve"> kaip tai suprantama pagal šios direktyvos 2 straipsnio e punktą, siejamą su direktyvos 13 straipsniu</w:t>
      </w:r>
      <w:r>
        <w:rPr>
          <w:rFonts w:asciiTheme="minorHAnsi" w:hAnsiTheme="minorHAnsi" w:cstheme="minorHAnsi"/>
          <w:color w:val="000000"/>
          <w:sz w:val="22"/>
          <w:szCs w:val="22"/>
          <w:shd w:val="clear" w:color="auto" w:fill="FFFFFF"/>
        </w:rPr>
        <w:t xml:space="preserve"> (91–92 punktai)</w:t>
      </w:r>
      <w:r w:rsidRPr="0029096E">
        <w:rPr>
          <w:rFonts w:asciiTheme="minorHAnsi" w:hAnsiTheme="minorHAnsi" w:cstheme="minorHAnsi"/>
          <w:color w:val="000000"/>
          <w:sz w:val="22"/>
          <w:szCs w:val="22"/>
          <w:shd w:val="clear" w:color="auto" w:fill="FFFFFF"/>
        </w:rPr>
        <w:t>.</w:t>
      </w:r>
    </w:p>
    <w:p w:rsidR="00C72D18" w:rsidRDefault="00C72D18" w:rsidP="00C72D18">
      <w:pPr>
        <w:pStyle w:val="c01pointnumerotealtn"/>
        <w:shd w:val="clear" w:color="auto" w:fill="FFFFFF"/>
        <w:spacing w:before="0" w:beforeAutospacing="0" w:after="0"/>
        <w:ind w:left="0" w:firstLine="567"/>
        <w:rPr>
          <w:rFonts w:asciiTheme="minorHAnsi" w:hAnsiTheme="minorHAnsi" w:cstheme="minorHAnsi"/>
          <w:color w:val="000000"/>
          <w:sz w:val="22"/>
          <w:szCs w:val="22"/>
          <w:shd w:val="clear" w:color="auto" w:fill="FFFFFF"/>
        </w:rPr>
      </w:pPr>
    </w:p>
    <w:p w:rsidR="00C72D18" w:rsidRPr="001362AB" w:rsidRDefault="00C72D18" w:rsidP="001362AB">
      <w:pPr>
        <w:pStyle w:val="Heading3"/>
        <w:ind w:firstLine="567"/>
        <w:rPr>
          <w:rFonts w:cstheme="minorHAnsi"/>
        </w:rPr>
      </w:pPr>
      <w:bookmarkStart w:id="8" w:name="_Toc21941940"/>
      <w:r w:rsidRPr="001362AB">
        <w:rPr>
          <w:rFonts w:cstheme="minorHAnsi"/>
        </w:rPr>
        <w:t>Dėl valstybės narės teisės panaikinti arba atsisakyti suteikti pabėgėlio statusą vertinimo teisės išsiųsti (grąžinti) kontekste</w:t>
      </w:r>
      <w:bookmarkEnd w:id="8"/>
    </w:p>
    <w:p w:rsidR="00C72D18" w:rsidRPr="00576659" w:rsidRDefault="00C72D18" w:rsidP="00C72D18">
      <w:pPr>
        <w:pStyle w:val="c01pointnumerotealtn"/>
        <w:shd w:val="clear" w:color="auto" w:fill="FFFFFF"/>
        <w:spacing w:before="0" w:beforeAutospacing="0" w:after="0"/>
        <w:ind w:left="0" w:firstLine="567"/>
        <w:rPr>
          <w:rFonts w:asciiTheme="minorHAnsi" w:hAnsiTheme="minorHAnsi" w:cstheme="minorHAnsi"/>
          <w:sz w:val="22"/>
          <w:szCs w:val="22"/>
        </w:rPr>
      </w:pPr>
    </w:p>
    <w:p w:rsidR="00C72D18" w:rsidRDefault="00C72D18" w:rsidP="00C72D18">
      <w:pPr>
        <w:pStyle w:val="c01pointnumerotealtn"/>
        <w:shd w:val="clear" w:color="auto" w:fill="FFFFFF"/>
        <w:spacing w:before="0" w:beforeAutospacing="0" w:after="0"/>
        <w:ind w:left="0" w:firstLine="567"/>
        <w:rPr>
          <w:rFonts w:asciiTheme="minorHAnsi" w:hAnsiTheme="minorHAnsi" w:cstheme="minorHAnsi"/>
          <w:sz w:val="22"/>
          <w:szCs w:val="22"/>
        </w:rPr>
      </w:pPr>
      <w:r>
        <w:rPr>
          <w:rFonts w:asciiTheme="minorHAnsi" w:hAnsiTheme="minorHAnsi" w:cstheme="minorHAnsi"/>
          <w:sz w:val="22"/>
          <w:szCs w:val="22"/>
        </w:rPr>
        <w:t xml:space="preserve">Teisingumo Teismas nurodė, </w:t>
      </w:r>
      <w:r w:rsidRPr="0029096E">
        <w:rPr>
          <w:rFonts w:asciiTheme="minorHAnsi" w:hAnsiTheme="minorHAnsi" w:cstheme="minorHAnsi"/>
          <w:sz w:val="22"/>
          <w:szCs w:val="22"/>
        </w:rPr>
        <w:t xml:space="preserve">kad </w:t>
      </w:r>
      <w:r>
        <w:rPr>
          <w:rFonts w:asciiTheme="minorHAnsi" w:hAnsiTheme="minorHAnsi" w:cstheme="minorHAnsi"/>
          <w:color w:val="000000"/>
          <w:sz w:val="22"/>
          <w:szCs w:val="22"/>
          <w:shd w:val="clear" w:color="auto" w:fill="FFFFFF"/>
        </w:rPr>
        <w:t>k</w:t>
      </w:r>
      <w:r w:rsidRPr="0029096E">
        <w:rPr>
          <w:rFonts w:asciiTheme="minorHAnsi" w:hAnsiTheme="minorHAnsi" w:cstheme="minorHAnsi"/>
          <w:color w:val="000000"/>
          <w:sz w:val="22"/>
          <w:szCs w:val="22"/>
          <w:shd w:val="clear" w:color="auto" w:fill="FFFFFF"/>
        </w:rPr>
        <w:t>albant apie situacijas, numatytas Direktyvos 2011/95 14 straipsnio 4 ir 5 dalyse, kurioms esant valstybės narės gali panaikinti arba atsisakyti suteikti pabėgėlio statusą, reikia pažymėti, kad jos</w:t>
      </w:r>
      <w:r>
        <w:rPr>
          <w:rFonts w:asciiTheme="minorHAnsi" w:hAnsiTheme="minorHAnsi" w:cstheme="minorHAnsi"/>
          <w:color w:val="000000"/>
          <w:sz w:val="22"/>
          <w:szCs w:val="22"/>
          <w:shd w:val="clear" w:color="auto" w:fill="FFFFFF"/>
        </w:rPr>
        <w:t xml:space="preserve"> &lt;...&gt; </w:t>
      </w:r>
      <w:r w:rsidRPr="0029096E">
        <w:rPr>
          <w:rFonts w:asciiTheme="minorHAnsi" w:hAnsiTheme="minorHAnsi" w:cstheme="minorHAnsi"/>
          <w:color w:val="000000"/>
          <w:sz w:val="22"/>
          <w:szCs w:val="22"/>
          <w:shd w:val="clear" w:color="auto" w:fill="FFFFFF"/>
        </w:rPr>
        <w:t xml:space="preserve">iš esmės atitinka tas, kurioms esant valstybės narės gali grąžinti pabėgėlį remiantis šios direktyvos 21 straipsnio 2 dalimi ir Ženevos konvencijos 33 straipsnio 2 dalimi. </w:t>
      </w:r>
      <w:r w:rsidRPr="00482CCA">
        <w:rPr>
          <w:rFonts w:asciiTheme="minorHAnsi" w:hAnsiTheme="minorHAnsi" w:cstheme="minorHAnsi"/>
          <w:color w:val="000000"/>
          <w:sz w:val="22"/>
          <w:szCs w:val="22"/>
          <w:shd w:val="clear" w:color="auto" w:fill="FFFFFF"/>
        </w:rPr>
        <w:t>Vis dėlto, visų pirma reikia pažymėti, kad nors Ženevos konvencijos 33 straipsnio 2 dalyje numatyta, jog esant tokioms situacijoms pabėgėlis netenka galimybės pasinaudoti negrąžinimo į valstybę, kurioje kyla pavojus jo gyvybei ar laisvei, principu, Direktyvos 2011/95 21 straipsnio 2 dalis, kaip patvirtina jos 16 konstatuojamoji dalis, turi būti aiškinama ir taikoma taip, kad būtų laikomasi Chartijoje, visų pirma jos 4 straipsnyje ir 19 straipsnio 2 dalyje, kuriuose įtvirtintas bendras kankinimo ir nežmoniško ar žeminamo elgesio ar bausmių draudimas, garantuojamų teisių, kad ir koks būtų susijusio asmens elgesys, taip pat draudimas išsiųsti</w:t>
      </w:r>
      <w:r w:rsidRPr="0029096E">
        <w:rPr>
          <w:rFonts w:asciiTheme="minorHAnsi" w:hAnsiTheme="minorHAnsi" w:cstheme="minorHAnsi"/>
          <w:color w:val="000000"/>
          <w:sz w:val="22"/>
          <w:szCs w:val="22"/>
          <w:shd w:val="clear" w:color="auto" w:fill="FFFFFF"/>
        </w:rPr>
        <w:t xml:space="preserve"> jį į valstybę, kurioje kyla rimtas pavojus, kad su asmeniu bus taip elgiamasi. Todėl </w:t>
      </w:r>
      <w:r w:rsidRPr="0029096E">
        <w:rPr>
          <w:rFonts w:asciiTheme="minorHAnsi" w:hAnsiTheme="minorHAnsi" w:cstheme="minorHAnsi"/>
          <w:color w:val="000000"/>
          <w:sz w:val="22"/>
          <w:szCs w:val="22"/>
          <w:u w:val="single"/>
          <w:shd w:val="clear" w:color="auto" w:fill="FFFFFF"/>
        </w:rPr>
        <w:t>valstybės narės neturėtų išsiųsti, grąžinti ar išduoti užsieniečio, jei yra svarių ir neginčijamų motyvų manyti, kad paskirties valstybėje jam kils realus pavojus susidurti su Chartijos 4 straipsnyje ir 19 straipsnio 2 dalyje draudžiamu elgesiu</w:t>
      </w:r>
      <w:r w:rsidRPr="0029096E">
        <w:rPr>
          <w:rFonts w:asciiTheme="minorHAnsi" w:hAnsiTheme="minorHAnsi" w:cstheme="minorHAnsi"/>
          <w:color w:val="000000"/>
          <w:sz w:val="22"/>
          <w:szCs w:val="22"/>
          <w:shd w:val="clear" w:color="auto" w:fill="FFFFFF"/>
        </w:rPr>
        <w:t xml:space="preserve"> </w:t>
      </w:r>
      <w:r w:rsidRPr="00742201">
        <w:rPr>
          <w:rFonts w:asciiTheme="minorHAnsi" w:hAnsiTheme="minorHAnsi" w:cstheme="minorHAnsi"/>
          <w:color w:val="000000"/>
          <w:sz w:val="22"/>
          <w:szCs w:val="22"/>
          <w:shd w:val="clear" w:color="auto" w:fill="FFFFFF"/>
        </w:rPr>
        <w:t xml:space="preserve">(šiuo klausimu žr. 2016 m. balandžio 5 d. Sprendimo </w:t>
      </w:r>
      <w:r w:rsidRPr="00742201">
        <w:rPr>
          <w:rFonts w:asciiTheme="minorHAnsi" w:hAnsiTheme="minorHAnsi" w:cstheme="minorHAnsi"/>
          <w:i/>
          <w:iCs/>
          <w:color w:val="000000"/>
          <w:sz w:val="22"/>
          <w:szCs w:val="22"/>
        </w:rPr>
        <w:t>Aranyosi ir Căldăraru</w:t>
      </w:r>
      <w:r w:rsidRPr="00742201">
        <w:rPr>
          <w:rFonts w:asciiTheme="minorHAnsi" w:hAnsiTheme="minorHAnsi" w:cstheme="minorHAnsi"/>
          <w:color w:val="000000"/>
          <w:sz w:val="22"/>
          <w:szCs w:val="22"/>
          <w:shd w:val="clear" w:color="auto" w:fill="FFFFFF"/>
        </w:rPr>
        <w:t>, C</w:t>
      </w:r>
      <w:r w:rsidRPr="00742201">
        <w:rPr>
          <w:rFonts w:asciiTheme="minorHAnsi" w:hAnsiTheme="minorHAnsi" w:cstheme="minorHAnsi"/>
          <w:color w:val="000000"/>
          <w:sz w:val="22"/>
          <w:szCs w:val="22"/>
          <w:shd w:val="clear" w:color="auto" w:fill="FFFFFF"/>
        </w:rPr>
        <w:noBreakHyphen/>
        <w:t>404/15 ir C</w:t>
      </w:r>
      <w:r w:rsidRPr="00742201">
        <w:rPr>
          <w:rFonts w:asciiTheme="minorHAnsi" w:hAnsiTheme="minorHAnsi" w:cstheme="minorHAnsi"/>
          <w:color w:val="000000"/>
          <w:sz w:val="22"/>
          <w:szCs w:val="22"/>
          <w:shd w:val="clear" w:color="auto" w:fill="FFFFFF"/>
        </w:rPr>
        <w:noBreakHyphen/>
        <w:t xml:space="preserve">659/15 PPU, EU:C:2016:198, 86–88 punktus ir 2018 m. balandžio 24 d. Sprendimo </w:t>
      </w:r>
      <w:r w:rsidRPr="00742201">
        <w:rPr>
          <w:rFonts w:asciiTheme="minorHAnsi" w:hAnsiTheme="minorHAnsi" w:cstheme="minorHAnsi"/>
          <w:i/>
          <w:iCs/>
          <w:color w:val="000000"/>
          <w:sz w:val="22"/>
          <w:szCs w:val="22"/>
        </w:rPr>
        <w:t>MP</w:t>
      </w:r>
      <w:r w:rsidR="007638BE">
        <w:rPr>
          <w:rFonts w:asciiTheme="minorHAnsi" w:hAnsiTheme="minorHAnsi" w:cstheme="minorHAnsi"/>
          <w:color w:val="000000"/>
          <w:sz w:val="22"/>
          <w:szCs w:val="22"/>
          <w:shd w:val="clear" w:color="auto" w:fill="FFFFFF"/>
        </w:rPr>
        <w:t xml:space="preserve"> (p</w:t>
      </w:r>
      <w:r w:rsidRPr="00742201">
        <w:rPr>
          <w:rFonts w:asciiTheme="minorHAnsi" w:hAnsiTheme="minorHAnsi" w:cstheme="minorHAnsi"/>
          <w:color w:val="000000"/>
          <w:sz w:val="22"/>
          <w:szCs w:val="22"/>
          <w:shd w:val="clear" w:color="auto" w:fill="FFFFFF"/>
        </w:rPr>
        <w:t>apildoma asmens, nukentėjusio nuo kankinimų praeityje, apsauga), C</w:t>
      </w:r>
      <w:r w:rsidRPr="00742201">
        <w:rPr>
          <w:rFonts w:asciiTheme="minorHAnsi" w:hAnsiTheme="minorHAnsi" w:cstheme="minorHAnsi"/>
          <w:color w:val="000000"/>
          <w:sz w:val="22"/>
          <w:szCs w:val="22"/>
          <w:shd w:val="clear" w:color="auto" w:fill="FFFFFF"/>
        </w:rPr>
        <w:noBreakHyphen/>
        <w:t>353/16, EU:C:2018:276, 41 punktą)</w:t>
      </w:r>
      <w:r w:rsidRPr="0029096E">
        <w:rPr>
          <w:rFonts w:asciiTheme="minorHAnsi" w:hAnsiTheme="minorHAnsi" w:cstheme="minorHAnsi"/>
          <w:color w:val="000000"/>
          <w:sz w:val="22"/>
          <w:szCs w:val="22"/>
          <w:shd w:val="clear" w:color="auto" w:fill="FFFFFF"/>
        </w:rPr>
        <w:t xml:space="preserve"> (93–94 punktai).</w:t>
      </w:r>
    </w:p>
    <w:p w:rsidR="00C72D18" w:rsidRPr="00BB2FCF" w:rsidRDefault="00C72D18" w:rsidP="00C72D18">
      <w:pPr>
        <w:pStyle w:val="c01pointnumerotealtn"/>
        <w:shd w:val="clear" w:color="auto" w:fill="FFFFFF"/>
        <w:spacing w:before="0" w:beforeAutospacing="0" w:after="0"/>
        <w:ind w:left="0" w:firstLine="567"/>
        <w:rPr>
          <w:rFonts w:asciiTheme="minorHAnsi" w:hAnsiTheme="minorHAnsi" w:cstheme="minorHAnsi"/>
          <w:sz w:val="22"/>
          <w:szCs w:val="22"/>
        </w:rPr>
      </w:pPr>
      <w:r>
        <w:rPr>
          <w:rFonts w:asciiTheme="minorHAnsi" w:hAnsiTheme="minorHAnsi" w:cstheme="minorHAnsi"/>
          <w:sz w:val="22"/>
          <w:szCs w:val="22"/>
        </w:rPr>
        <w:t>Teisingumo Teismas darė išvadą, kad</w:t>
      </w:r>
      <w:r w:rsidRPr="00F425B8">
        <w:rPr>
          <w:rFonts w:asciiTheme="minorHAnsi" w:hAnsiTheme="minorHAnsi" w:cstheme="minorHAnsi"/>
          <w:color w:val="000000"/>
          <w:sz w:val="22"/>
          <w:szCs w:val="22"/>
          <w:shd w:val="clear" w:color="auto" w:fill="FFFFFF"/>
        </w:rPr>
        <w:t xml:space="preserve"> </w:t>
      </w:r>
      <w:r w:rsidRPr="007A5019">
        <w:rPr>
          <w:rFonts w:asciiTheme="minorHAnsi" w:hAnsiTheme="minorHAnsi" w:cstheme="minorHAnsi"/>
          <w:color w:val="000000"/>
          <w:sz w:val="22"/>
          <w:szCs w:val="22"/>
          <w:shd w:val="clear" w:color="auto" w:fill="FFFFFF"/>
        </w:rPr>
        <w:t>jei dėl grąžinimo pabėgėliui</w:t>
      </w:r>
      <w:r w:rsidRPr="00F425B8">
        <w:rPr>
          <w:rFonts w:asciiTheme="minorHAnsi" w:hAnsiTheme="minorHAnsi" w:cstheme="minorHAnsi"/>
          <w:color w:val="000000"/>
          <w:sz w:val="22"/>
          <w:szCs w:val="22"/>
          <w:shd w:val="clear" w:color="auto" w:fill="FFFFFF"/>
        </w:rPr>
        <w:t xml:space="preserve">, patenkančiam į vieną iš Direktyvos 2011/95 14 straipsnio 4 ir 5 dalyse ir </w:t>
      </w:r>
      <w:r w:rsidRPr="00BB2FCF">
        <w:rPr>
          <w:rFonts w:asciiTheme="minorHAnsi" w:hAnsiTheme="minorHAnsi" w:cstheme="minorHAnsi"/>
          <w:color w:val="000000"/>
          <w:sz w:val="22"/>
          <w:szCs w:val="22"/>
          <w:shd w:val="clear" w:color="auto" w:fill="FFFFFF"/>
        </w:rPr>
        <w:t>21 straipsnio 2 dalyje numatytų situacijų, kiltų pavojus, kad bus pažeistos jo pagrindinės teisės, garantuojamos Chartijos 4 straipsnyje ir 19 straipsnio 2 dalyje, susijusi valstybė narė neturėtų nukrypti nuo Ženevos konvencijos 33 straipsnio 2 dalyje įtvirtinto negrąžinimo principo (95 punktas).</w:t>
      </w:r>
    </w:p>
    <w:p w:rsidR="00C72D18" w:rsidRDefault="00C72D18" w:rsidP="00C72D18">
      <w:pPr>
        <w:pStyle w:val="c01pointnumerotealtn"/>
        <w:shd w:val="clear" w:color="auto" w:fill="FFFFFF"/>
        <w:spacing w:before="0" w:beforeAutospacing="0" w:after="0"/>
        <w:ind w:left="0" w:firstLine="567"/>
        <w:rPr>
          <w:rFonts w:asciiTheme="minorHAnsi" w:hAnsiTheme="minorHAnsi" w:cstheme="minorHAnsi"/>
          <w:color w:val="000000"/>
          <w:sz w:val="22"/>
          <w:szCs w:val="22"/>
          <w:shd w:val="clear" w:color="auto" w:fill="FFFFFF"/>
        </w:rPr>
      </w:pPr>
      <w:r>
        <w:rPr>
          <w:rFonts w:asciiTheme="minorHAnsi" w:hAnsiTheme="minorHAnsi" w:cstheme="minorHAnsi"/>
          <w:sz w:val="22"/>
          <w:szCs w:val="22"/>
        </w:rPr>
        <w:t xml:space="preserve">Teisingumo Teismas nurodė, </w:t>
      </w:r>
      <w:r w:rsidRPr="00F425B8">
        <w:rPr>
          <w:rFonts w:asciiTheme="minorHAnsi" w:hAnsiTheme="minorHAnsi" w:cstheme="minorHAnsi"/>
          <w:sz w:val="22"/>
          <w:szCs w:val="22"/>
        </w:rPr>
        <w:t xml:space="preserve">kad </w:t>
      </w:r>
      <w:r>
        <w:rPr>
          <w:rFonts w:asciiTheme="minorHAnsi" w:hAnsiTheme="minorHAnsi" w:cstheme="minorHAnsi"/>
          <w:color w:val="000000"/>
          <w:sz w:val="22"/>
          <w:szCs w:val="22"/>
          <w:shd w:val="clear" w:color="auto" w:fill="FFFFFF"/>
        </w:rPr>
        <w:t>š</w:t>
      </w:r>
      <w:r w:rsidRPr="00F425B8">
        <w:rPr>
          <w:rFonts w:asciiTheme="minorHAnsi" w:hAnsiTheme="minorHAnsi" w:cstheme="minorHAnsi"/>
          <w:color w:val="000000"/>
          <w:sz w:val="22"/>
          <w:szCs w:val="22"/>
          <w:shd w:val="clear" w:color="auto" w:fill="FFFFFF"/>
        </w:rPr>
        <w:t xml:space="preserve">iomis sąlygomis, kadangi Direktyvos 2011/95 14 straipsnio 4 ir 5 dalyse numatyta galimybė valstybėms narėms esant joje nurodytoms situacijoms panaikinti „pabėgėlio statusą“, kaip tai suprantama pagal šios direktyvos 2 straipsnio e punktą, arba atsisakyti suteikti šį statusą, kai Ženevos konvencijos 33 straipsnio 2 dalyje leidžiama grąžinti pabėgėlį, esant vienai iš šių situacijų, į valstybę, kurioje kyla pavojus jo gyvybei ar laisvei, </w:t>
      </w:r>
      <w:r w:rsidRPr="00F425B8">
        <w:rPr>
          <w:rFonts w:asciiTheme="minorHAnsi" w:hAnsiTheme="minorHAnsi" w:cstheme="minorHAnsi"/>
          <w:color w:val="000000"/>
          <w:sz w:val="22"/>
          <w:szCs w:val="22"/>
          <w:u w:val="single"/>
          <w:shd w:val="clear" w:color="auto" w:fill="FFFFFF"/>
        </w:rPr>
        <w:t>Sąjungos teisėje numatyta platesnė susijusių pabėgėlių tarptautinė apsauga, nei užtikrinama pagal minėtą konvenciją</w:t>
      </w:r>
      <w:r>
        <w:rPr>
          <w:rFonts w:asciiTheme="minorHAnsi" w:hAnsiTheme="minorHAnsi" w:cstheme="minorHAnsi"/>
          <w:color w:val="000000"/>
          <w:sz w:val="22"/>
          <w:szCs w:val="22"/>
          <w:shd w:val="clear" w:color="auto" w:fill="FFFFFF"/>
        </w:rPr>
        <w:t xml:space="preserve"> (96 punktas).</w:t>
      </w:r>
    </w:p>
    <w:p w:rsidR="00C72D18" w:rsidRPr="00F425B8" w:rsidRDefault="00C72D18" w:rsidP="00C72D18">
      <w:pPr>
        <w:pStyle w:val="c01pointnumerotealtn"/>
        <w:shd w:val="clear" w:color="auto" w:fill="FFFFFF"/>
        <w:spacing w:before="0" w:beforeAutospacing="0" w:after="0"/>
        <w:ind w:left="0" w:firstLine="567"/>
        <w:rPr>
          <w:rFonts w:asciiTheme="minorHAnsi" w:hAnsiTheme="minorHAnsi" w:cstheme="minorHAnsi"/>
          <w:sz w:val="22"/>
          <w:szCs w:val="22"/>
        </w:rPr>
      </w:pPr>
      <w:r w:rsidRPr="00F425B8">
        <w:rPr>
          <w:rFonts w:asciiTheme="minorHAnsi" w:hAnsiTheme="minorHAnsi" w:cstheme="minorHAnsi"/>
          <w:color w:val="000000"/>
          <w:sz w:val="22"/>
          <w:szCs w:val="22"/>
          <w:shd w:val="clear" w:color="auto" w:fill="FFFFFF"/>
        </w:rPr>
        <w:t xml:space="preserve">Teisingumo Teismas nurodė, kad </w:t>
      </w:r>
      <w:r>
        <w:rPr>
          <w:rFonts w:asciiTheme="minorHAnsi" w:hAnsiTheme="minorHAnsi" w:cstheme="minorHAnsi"/>
          <w:color w:val="000000"/>
          <w:sz w:val="22"/>
          <w:szCs w:val="22"/>
          <w:shd w:val="clear" w:color="auto" w:fill="FFFFFF"/>
        </w:rPr>
        <w:t xml:space="preserve">&lt;...&gt; </w:t>
      </w:r>
      <w:r w:rsidRPr="00F425B8">
        <w:rPr>
          <w:rFonts w:asciiTheme="minorHAnsi" w:hAnsiTheme="minorHAnsi" w:cstheme="minorHAnsi"/>
          <w:color w:val="000000"/>
          <w:sz w:val="22"/>
          <w:szCs w:val="22"/>
          <w:shd w:val="clear" w:color="auto" w:fill="FFFFFF"/>
        </w:rPr>
        <w:t xml:space="preserve">Direktyvos 2011/95 14 straipsnio 4 ir 5 dalys neturėtų būti aiškinamos taip, kad, atsižvelgiant į šioje direktyvoje įtvirtintos sistemos kontekstą, dėl pabėgėlio statuso panaikinimo ar atsisakymo jį suteikti atitinkamas trečiosios valstybės pilietis ar asmuo be pilietybės, tenkinantis sąlygas, įtvirtintas šios direktyvos 2 straipsnio d punkte, siejamame su jos III skyriumi, nustoja būti pabėgėliu, kaip tai suprantama pagal minėto 2 straipsnio d punktą ir Ženevos konvencijos 1 straipsnio A skirsnį. Iš tiesų, be to, kas buvo išdėstyta šio </w:t>
      </w:r>
      <w:r w:rsidRPr="00F96B38">
        <w:rPr>
          <w:rFonts w:asciiTheme="minorHAnsi" w:hAnsiTheme="minorHAnsi" w:cstheme="minorHAnsi"/>
          <w:color w:val="000000"/>
          <w:sz w:val="22"/>
          <w:szCs w:val="22"/>
          <w:shd w:val="clear" w:color="auto" w:fill="FFFFFF"/>
        </w:rPr>
        <w:t>sprendimo 92 punkte,</w:t>
      </w:r>
      <w:r w:rsidRPr="00F425B8">
        <w:rPr>
          <w:rFonts w:asciiTheme="minorHAnsi" w:hAnsiTheme="minorHAnsi" w:cstheme="minorHAnsi"/>
          <w:color w:val="000000"/>
          <w:sz w:val="22"/>
          <w:szCs w:val="22"/>
          <w:shd w:val="clear" w:color="auto" w:fill="FFFFFF"/>
        </w:rPr>
        <w:t xml:space="preserve"> </w:t>
      </w:r>
      <w:r w:rsidRPr="00F425B8">
        <w:rPr>
          <w:rFonts w:asciiTheme="minorHAnsi" w:hAnsiTheme="minorHAnsi" w:cstheme="minorHAnsi"/>
          <w:color w:val="000000"/>
          <w:sz w:val="22"/>
          <w:szCs w:val="22"/>
          <w:u w:val="single"/>
          <w:shd w:val="clear" w:color="auto" w:fill="FFFFFF"/>
        </w:rPr>
        <w:t>tai, kad atitinkamas asmuo patenka į vieną iš Direktyvos 2011/95 14 straipsnio 4 ir 5 dalyse nurodytų situacijų prielaidų, nereiškia, kad jis nebetenkina materialių sąlygų, nuo kurių priklauso jo buvimas pabėgėliu, susijusių su pagrįsta baime būti persekiojamam savo kilmės valstybėje</w:t>
      </w:r>
      <w:r>
        <w:rPr>
          <w:rFonts w:asciiTheme="minorHAnsi" w:hAnsiTheme="minorHAnsi" w:cstheme="minorHAnsi"/>
          <w:color w:val="000000"/>
          <w:sz w:val="22"/>
          <w:szCs w:val="22"/>
          <w:shd w:val="clear" w:color="auto" w:fill="FFFFFF"/>
        </w:rPr>
        <w:t xml:space="preserve"> (97–98 punktai).</w:t>
      </w:r>
    </w:p>
    <w:p w:rsidR="00C72D18" w:rsidRDefault="00C72D18" w:rsidP="00C72D18">
      <w:pPr>
        <w:pStyle w:val="c01pointnumerotealtn"/>
        <w:shd w:val="clear" w:color="auto" w:fill="FFFFFF"/>
        <w:spacing w:before="0" w:beforeAutospacing="0" w:after="0"/>
        <w:ind w:left="0" w:firstLine="567"/>
        <w:rPr>
          <w:rFonts w:asciiTheme="minorHAnsi" w:hAnsiTheme="minorHAnsi" w:cstheme="minorHAnsi"/>
          <w:sz w:val="22"/>
          <w:szCs w:val="22"/>
        </w:rPr>
      </w:pPr>
      <w:r>
        <w:rPr>
          <w:rFonts w:asciiTheme="minorHAnsi" w:hAnsiTheme="minorHAnsi" w:cstheme="minorHAnsi"/>
          <w:sz w:val="22"/>
          <w:szCs w:val="22"/>
        </w:rPr>
        <w:t>Teisingumo Teis</w:t>
      </w:r>
      <w:r w:rsidRPr="00F425B8">
        <w:rPr>
          <w:rFonts w:asciiTheme="minorHAnsi" w:hAnsiTheme="minorHAnsi" w:cstheme="minorHAnsi"/>
          <w:sz w:val="22"/>
          <w:szCs w:val="22"/>
        </w:rPr>
        <w:t xml:space="preserve">mas darė išvadą, </w:t>
      </w:r>
      <w:r>
        <w:rPr>
          <w:rFonts w:asciiTheme="minorHAnsi" w:hAnsiTheme="minorHAnsi" w:cstheme="minorHAnsi"/>
          <w:sz w:val="22"/>
          <w:szCs w:val="22"/>
        </w:rPr>
        <w:t>jog</w:t>
      </w:r>
      <w:r w:rsidRPr="00F425B8">
        <w:rPr>
          <w:rFonts w:asciiTheme="minorHAnsi" w:hAnsiTheme="minorHAnsi" w:cstheme="minorHAnsi"/>
          <w:sz w:val="22"/>
          <w:szCs w:val="22"/>
        </w:rPr>
        <w:t xml:space="preserve"> </w:t>
      </w:r>
      <w:r w:rsidRPr="00CE68E1">
        <w:rPr>
          <w:rFonts w:asciiTheme="minorHAnsi" w:hAnsiTheme="minorHAnsi" w:cstheme="minorHAnsi"/>
          <w:color w:val="000000"/>
          <w:sz w:val="22"/>
          <w:szCs w:val="22"/>
          <w:u w:val="single"/>
          <w:shd w:val="clear" w:color="auto" w:fill="FFFFFF"/>
        </w:rPr>
        <w:t>Direktyvos 2011/95 14 straipsnio 4–6 dalys neturėtų būti aiškinamos taip, kad dėl pabėgėlio statuso panaikinimo ar atsisakymo suteikti šį statusą atitinkamas trečiosios valstybės pilietis ar asmuo be pilietybės, tenkinantis materialias sąlygas, nustatytas šios direktyvos 2 straipsnio d punkte, siejamame su jos III skyriaus nuostatomis, nustoja būti pabėgėliu</w:t>
      </w:r>
      <w:r w:rsidRPr="002F4EB7">
        <w:rPr>
          <w:rFonts w:asciiTheme="minorHAnsi" w:hAnsiTheme="minorHAnsi" w:cstheme="minorHAnsi"/>
          <w:color w:val="000000"/>
          <w:sz w:val="22"/>
          <w:szCs w:val="22"/>
          <w:u w:val="single"/>
          <w:shd w:val="clear" w:color="auto" w:fill="FFFFFF"/>
        </w:rPr>
        <w:t xml:space="preserve">, </w:t>
      </w:r>
      <w:r w:rsidRPr="00CE68E1">
        <w:rPr>
          <w:rFonts w:asciiTheme="minorHAnsi" w:hAnsiTheme="minorHAnsi" w:cstheme="minorHAnsi"/>
          <w:color w:val="000000"/>
          <w:sz w:val="22"/>
          <w:szCs w:val="22"/>
          <w:u w:val="single"/>
          <w:shd w:val="clear" w:color="auto" w:fill="FFFFFF"/>
        </w:rPr>
        <w:t>kaip tai suprantama pagal Ženevos konvencijos 1 straipsnio A skirsnį, ir todėl jis netenka tarptautinės apsaugos, kurios laikytis įpareigojama Chartijos 18 straipsniu siekiant užtikrinti minėtos konvencijos laikymąsi</w:t>
      </w:r>
      <w:r>
        <w:rPr>
          <w:rFonts w:asciiTheme="minorHAnsi" w:hAnsiTheme="minorHAnsi" w:cstheme="minorHAnsi"/>
          <w:color w:val="000000"/>
          <w:sz w:val="22"/>
          <w:szCs w:val="22"/>
          <w:shd w:val="clear" w:color="auto" w:fill="FFFFFF"/>
        </w:rPr>
        <w:t xml:space="preserve"> (100 punktas).</w:t>
      </w:r>
    </w:p>
    <w:p w:rsidR="00C72D18" w:rsidRDefault="00C72D18" w:rsidP="00C72D18">
      <w:pPr>
        <w:pStyle w:val="c01pointnumerotealtn"/>
        <w:shd w:val="clear" w:color="auto" w:fill="FFFFFF"/>
        <w:spacing w:before="0" w:beforeAutospacing="0" w:after="0"/>
        <w:ind w:left="0" w:firstLine="567"/>
        <w:rPr>
          <w:rFonts w:asciiTheme="minorHAnsi" w:hAnsiTheme="minorHAnsi" w:cstheme="minorHAnsi"/>
          <w:sz w:val="22"/>
          <w:szCs w:val="22"/>
        </w:rPr>
      </w:pPr>
    </w:p>
    <w:p w:rsidR="00C72D18" w:rsidRPr="001362AB" w:rsidRDefault="007A5019" w:rsidP="001362AB">
      <w:pPr>
        <w:pStyle w:val="Heading3"/>
        <w:ind w:firstLine="567"/>
        <w:rPr>
          <w:rFonts w:cstheme="minorHAnsi"/>
        </w:rPr>
      </w:pPr>
      <w:bookmarkStart w:id="9" w:name="_Toc21941941"/>
      <w:r w:rsidRPr="001362AB">
        <w:rPr>
          <w:rFonts w:cstheme="minorHAnsi"/>
        </w:rPr>
        <w:t>D</w:t>
      </w:r>
      <w:r w:rsidR="00C72D18" w:rsidRPr="001362AB">
        <w:rPr>
          <w:rFonts w:cstheme="minorHAnsi"/>
        </w:rPr>
        <w:t>ėl valstybės narės pareigos užtikrinti, kad nebūtų pažeistas minimalus apsaugos lygis</w:t>
      </w:r>
      <w:bookmarkEnd w:id="9"/>
    </w:p>
    <w:p w:rsidR="0009635E" w:rsidRPr="00C72D18" w:rsidRDefault="0009635E" w:rsidP="0009635E">
      <w:pPr>
        <w:pStyle w:val="c01pointnumerotealtn"/>
        <w:shd w:val="clear" w:color="auto" w:fill="FFFFFF"/>
        <w:spacing w:before="0" w:beforeAutospacing="0" w:after="0"/>
        <w:ind w:left="0" w:firstLine="567"/>
        <w:rPr>
          <w:rFonts w:asciiTheme="minorHAnsi" w:hAnsiTheme="minorHAnsi" w:cstheme="minorHAnsi"/>
          <w:sz w:val="22"/>
          <w:szCs w:val="22"/>
        </w:rPr>
      </w:pPr>
    </w:p>
    <w:p w:rsidR="00C72D18" w:rsidRDefault="00C72D18" w:rsidP="00C72D18">
      <w:pPr>
        <w:pStyle w:val="c01pointnumerotealtn"/>
        <w:shd w:val="clear" w:color="auto" w:fill="FFFFFF"/>
        <w:spacing w:before="0" w:beforeAutospacing="0" w:after="0"/>
        <w:ind w:left="0" w:firstLine="567"/>
        <w:rPr>
          <w:rFonts w:asciiTheme="minorHAnsi" w:hAnsiTheme="minorHAnsi" w:cstheme="minorHAnsi"/>
          <w:sz w:val="22"/>
          <w:szCs w:val="22"/>
        </w:rPr>
      </w:pPr>
      <w:r>
        <w:rPr>
          <w:rFonts w:asciiTheme="minorHAnsi" w:hAnsiTheme="minorHAnsi" w:cstheme="minorHAnsi"/>
          <w:sz w:val="22"/>
          <w:szCs w:val="22"/>
        </w:rPr>
        <w:t xml:space="preserve">Teisingumo Teismas </w:t>
      </w:r>
      <w:r w:rsidRPr="00A87558">
        <w:rPr>
          <w:rFonts w:asciiTheme="minorHAnsi" w:hAnsiTheme="minorHAnsi" w:cstheme="minorHAnsi"/>
          <w:sz w:val="22"/>
          <w:szCs w:val="22"/>
        </w:rPr>
        <w:t xml:space="preserve">nurodė, kad </w:t>
      </w:r>
      <w:r w:rsidRPr="00A87558">
        <w:rPr>
          <w:rFonts w:asciiTheme="minorHAnsi" w:hAnsiTheme="minorHAnsi" w:cstheme="minorHAnsi"/>
          <w:color w:val="000000"/>
          <w:sz w:val="22"/>
          <w:szCs w:val="22"/>
          <w:u w:val="single"/>
          <w:shd w:val="clear" w:color="auto" w:fill="FFFFFF"/>
        </w:rPr>
        <w:t>pabėgėlis</w:t>
      </w:r>
      <w:r w:rsidRPr="00A87558">
        <w:rPr>
          <w:rFonts w:asciiTheme="minorHAnsi" w:hAnsiTheme="minorHAnsi" w:cstheme="minorHAnsi"/>
          <w:color w:val="000000"/>
          <w:sz w:val="22"/>
          <w:szCs w:val="22"/>
          <w:shd w:val="clear" w:color="auto" w:fill="FFFFFF"/>
        </w:rPr>
        <w:t xml:space="preserve">, kurio atžvilgiu taikoma priemonė remiantis Direktyvos 2011/95 14 straipsnio 4 ar 5 dalimi, </w:t>
      </w:r>
      <w:r w:rsidRPr="00A87558">
        <w:rPr>
          <w:rFonts w:asciiTheme="minorHAnsi" w:hAnsiTheme="minorHAnsi" w:cstheme="minorHAnsi"/>
          <w:color w:val="000000"/>
          <w:sz w:val="22"/>
          <w:szCs w:val="22"/>
          <w:u w:val="single"/>
          <w:shd w:val="clear" w:color="auto" w:fill="FFFFFF"/>
        </w:rPr>
        <w:t>gali būti laikomas negyvenančiu ar gyvenančiu neteisėtai atitinkamos valstybės narės teritorijoje, siekiant nustatyti teises, kurios jam turi būti suteiktos pagal Ženevos konvencijoje įtvirtintą sistemą</w:t>
      </w:r>
      <w:r w:rsidRPr="00A87558">
        <w:rPr>
          <w:rFonts w:asciiTheme="minorHAnsi" w:hAnsiTheme="minorHAnsi" w:cstheme="minorHAnsi"/>
          <w:color w:val="000000"/>
          <w:sz w:val="22"/>
          <w:szCs w:val="22"/>
          <w:shd w:val="clear" w:color="auto" w:fill="FFFFFF"/>
        </w:rPr>
        <w:t xml:space="preserve">. Todėl reikia manyti, kad </w:t>
      </w:r>
      <w:r w:rsidRPr="00A87558">
        <w:rPr>
          <w:rFonts w:asciiTheme="minorHAnsi" w:hAnsiTheme="minorHAnsi" w:cstheme="minorHAnsi"/>
          <w:color w:val="000000"/>
          <w:sz w:val="22"/>
          <w:szCs w:val="22"/>
          <w:u w:val="single"/>
          <w:shd w:val="clear" w:color="auto" w:fill="FFFFFF"/>
        </w:rPr>
        <w:t>valstybės narės</w:t>
      </w:r>
      <w:r w:rsidRPr="00A87558">
        <w:rPr>
          <w:rFonts w:asciiTheme="minorHAnsi" w:hAnsiTheme="minorHAnsi" w:cstheme="minorHAnsi"/>
          <w:color w:val="000000"/>
          <w:sz w:val="22"/>
          <w:szCs w:val="22"/>
          <w:shd w:val="clear" w:color="auto" w:fill="FFFFFF"/>
        </w:rPr>
        <w:t xml:space="preserve">, kai jos įgyvendina šios direktyvos 14 straipsnio 4 ar 5 dalį, </w:t>
      </w:r>
      <w:r w:rsidRPr="00A87558">
        <w:rPr>
          <w:rFonts w:asciiTheme="minorHAnsi" w:hAnsiTheme="minorHAnsi" w:cstheme="minorHAnsi"/>
          <w:color w:val="000000"/>
          <w:sz w:val="22"/>
          <w:szCs w:val="22"/>
          <w:u w:val="single"/>
          <w:shd w:val="clear" w:color="auto" w:fill="FFFFFF"/>
        </w:rPr>
        <w:t>iš principo privalo pabėgėliams</w:t>
      </w:r>
      <w:r w:rsidRPr="00A87558">
        <w:rPr>
          <w:rFonts w:asciiTheme="minorHAnsi" w:hAnsiTheme="minorHAnsi" w:cstheme="minorHAnsi"/>
          <w:color w:val="000000"/>
          <w:sz w:val="22"/>
          <w:szCs w:val="22"/>
          <w:shd w:val="clear" w:color="auto" w:fill="FFFFFF"/>
        </w:rPr>
        <w:t xml:space="preserve">, kurie yra atitinkamoje jų teritorijoje, </w:t>
      </w:r>
      <w:r w:rsidRPr="00A87558">
        <w:rPr>
          <w:rFonts w:asciiTheme="minorHAnsi" w:hAnsiTheme="minorHAnsi" w:cstheme="minorHAnsi"/>
          <w:color w:val="000000"/>
          <w:sz w:val="22"/>
          <w:szCs w:val="22"/>
          <w:u w:val="single"/>
          <w:shd w:val="clear" w:color="auto" w:fill="FFFFFF"/>
        </w:rPr>
        <w:t>suteikti tik</w:t>
      </w:r>
      <w:r w:rsidRPr="00A87558">
        <w:rPr>
          <w:rFonts w:asciiTheme="minorHAnsi" w:hAnsiTheme="minorHAnsi" w:cstheme="minorHAnsi"/>
          <w:color w:val="000000"/>
          <w:sz w:val="22"/>
          <w:szCs w:val="22"/>
          <w:shd w:val="clear" w:color="auto" w:fill="FFFFFF"/>
        </w:rPr>
        <w:t xml:space="preserve"> minėtos direktyvos 14 straipsnio 6 dalyje </w:t>
      </w:r>
      <w:r w:rsidRPr="00A87558">
        <w:rPr>
          <w:rFonts w:asciiTheme="minorHAnsi" w:hAnsiTheme="minorHAnsi" w:cstheme="minorHAnsi"/>
          <w:color w:val="000000"/>
          <w:sz w:val="22"/>
          <w:szCs w:val="22"/>
          <w:u w:val="single"/>
          <w:shd w:val="clear" w:color="auto" w:fill="FFFFFF"/>
        </w:rPr>
        <w:t>aiškiai nustatytas teises</w:t>
      </w:r>
      <w:r w:rsidRPr="00A87558">
        <w:rPr>
          <w:rFonts w:asciiTheme="minorHAnsi" w:hAnsiTheme="minorHAnsi" w:cstheme="minorHAnsi"/>
          <w:color w:val="000000"/>
          <w:sz w:val="22"/>
          <w:szCs w:val="22"/>
          <w:shd w:val="clear" w:color="auto" w:fill="FFFFFF"/>
        </w:rPr>
        <w:t xml:space="preserve">, </w:t>
      </w:r>
      <w:r w:rsidRPr="00A87558">
        <w:rPr>
          <w:rFonts w:asciiTheme="minorHAnsi" w:hAnsiTheme="minorHAnsi" w:cstheme="minorHAnsi"/>
          <w:color w:val="000000"/>
          <w:sz w:val="22"/>
          <w:szCs w:val="22"/>
          <w:u w:val="single"/>
          <w:shd w:val="clear" w:color="auto" w:fill="FFFFFF"/>
        </w:rPr>
        <w:t>taip pat tas teises</w:t>
      </w:r>
      <w:r w:rsidRPr="00A87558">
        <w:rPr>
          <w:rFonts w:asciiTheme="minorHAnsi" w:hAnsiTheme="minorHAnsi" w:cstheme="minorHAnsi"/>
          <w:color w:val="000000"/>
          <w:sz w:val="22"/>
          <w:szCs w:val="22"/>
          <w:shd w:val="clear" w:color="auto" w:fill="FFFFFF"/>
        </w:rPr>
        <w:t xml:space="preserve">, </w:t>
      </w:r>
      <w:r w:rsidRPr="00A87558">
        <w:rPr>
          <w:rFonts w:asciiTheme="minorHAnsi" w:hAnsiTheme="minorHAnsi" w:cstheme="minorHAnsi"/>
          <w:color w:val="000000"/>
          <w:sz w:val="22"/>
          <w:szCs w:val="22"/>
          <w:u w:val="single"/>
          <w:shd w:val="clear" w:color="auto" w:fill="FFFFFF"/>
        </w:rPr>
        <w:t>kurios skelbiamos Ženevos konvencijoje</w:t>
      </w:r>
      <w:r w:rsidRPr="00A87558">
        <w:rPr>
          <w:rFonts w:asciiTheme="minorHAnsi" w:hAnsiTheme="minorHAnsi" w:cstheme="minorHAnsi"/>
          <w:color w:val="000000"/>
          <w:sz w:val="22"/>
          <w:szCs w:val="22"/>
          <w:shd w:val="clear" w:color="auto" w:fill="FFFFFF"/>
        </w:rPr>
        <w:t xml:space="preserve">, kurios garantuojamos visiems susitariančiosios valstybės teritorijoje esantiems pabėgėliams, </w:t>
      </w:r>
      <w:r w:rsidRPr="00A87558">
        <w:rPr>
          <w:rFonts w:asciiTheme="minorHAnsi" w:hAnsiTheme="minorHAnsi" w:cstheme="minorHAnsi"/>
          <w:color w:val="000000"/>
          <w:sz w:val="22"/>
          <w:szCs w:val="22"/>
          <w:u w:val="single"/>
          <w:shd w:val="clear" w:color="auto" w:fill="FFFFFF"/>
        </w:rPr>
        <w:t>o norint jomis pasinaudoti nebūtina turėti teisėtą gyvenamąją vietą</w:t>
      </w:r>
      <w:r>
        <w:rPr>
          <w:rFonts w:asciiTheme="minorHAnsi" w:hAnsiTheme="minorHAnsi" w:cstheme="minorHAnsi"/>
          <w:color w:val="000000"/>
          <w:sz w:val="22"/>
          <w:szCs w:val="22"/>
          <w:shd w:val="clear" w:color="auto" w:fill="FFFFFF"/>
        </w:rPr>
        <w:t xml:space="preserve"> (104–105 punktai).</w:t>
      </w:r>
    </w:p>
    <w:p w:rsidR="00C72D18" w:rsidRDefault="00C72D18" w:rsidP="00C72D18">
      <w:pPr>
        <w:pStyle w:val="c01pointnumerotealtn"/>
        <w:shd w:val="clear" w:color="auto" w:fill="FFFFFF"/>
        <w:spacing w:before="0" w:beforeAutospacing="0" w:after="0"/>
        <w:ind w:left="0" w:firstLine="567"/>
        <w:rPr>
          <w:rFonts w:asciiTheme="minorHAnsi" w:hAnsiTheme="minorHAnsi" w:cstheme="minorHAnsi"/>
          <w:sz w:val="22"/>
          <w:szCs w:val="22"/>
        </w:rPr>
      </w:pPr>
      <w:r>
        <w:rPr>
          <w:rFonts w:asciiTheme="minorHAnsi" w:hAnsiTheme="minorHAnsi" w:cstheme="minorHAnsi"/>
          <w:sz w:val="22"/>
          <w:szCs w:val="22"/>
        </w:rPr>
        <w:t xml:space="preserve">Teisingumo Teismas darė išvadą, </w:t>
      </w:r>
      <w:r w:rsidRPr="00A87558">
        <w:rPr>
          <w:rFonts w:asciiTheme="minorHAnsi" w:hAnsiTheme="minorHAnsi" w:cstheme="minorHAnsi"/>
          <w:sz w:val="22"/>
          <w:szCs w:val="22"/>
        </w:rPr>
        <w:t xml:space="preserve">kad </w:t>
      </w:r>
      <w:r w:rsidRPr="00A87558">
        <w:rPr>
          <w:rFonts w:asciiTheme="minorHAnsi" w:hAnsiTheme="minorHAnsi" w:cstheme="minorHAnsi"/>
          <w:color w:val="000000"/>
          <w:sz w:val="22"/>
          <w:szCs w:val="22"/>
          <w:shd w:val="clear" w:color="auto" w:fill="FFFFFF"/>
        </w:rPr>
        <w:t xml:space="preserve">Direktyvos 2011/95 14 straipsnio 6 dalį, atsižvelgiant į SESV 78 straipsnio 1 dalį ir Chartijos 18 straipsnį, reikia aiškinti taip, </w:t>
      </w:r>
      <w:r w:rsidRPr="00A87558">
        <w:rPr>
          <w:rFonts w:asciiTheme="minorHAnsi" w:hAnsiTheme="minorHAnsi" w:cstheme="minorHAnsi"/>
          <w:color w:val="000000"/>
          <w:sz w:val="22"/>
          <w:szCs w:val="22"/>
          <w:u w:val="single"/>
          <w:shd w:val="clear" w:color="auto" w:fill="FFFFFF"/>
        </w:rPr>
        <w:t>kad valstybė narė, kuri pasinaudoja šios direktyvos 14 straipsnio 4 ir 5 dalyse numatytomis galimybėmis, turi pabėgėliui, patenkančiam į vieną iš situacijų, nurodytų pastarosiose nuostatose ir esančiam minėtos valstybės narės teritorijoje, bent jau leisti naudotis Ženevos konvencijoje įtvirtintomis teisėmis</w:t>
      </w:r>
      <w:r w:rsidRPr="00A87558">
        <w:rPr>
          <w:rFonts w:asciiTheme="minorHAnsi" w:hAnsiTheme="minorHAnsi" w:cstheme="minorHAnsi"/>
          <w:color w:val="000000"/>
          <w:sz w:val="22"/>
          <w:szCs w:val="22"/>
          <w:shd w:val="clear" w:color="auto" w:fill="FFFFFF"/>
        </w:rPr>
        <w:t xml:space="preserve">, į kurias daroma aiški nuoroda šio 14 straipsnio 6 dalyje, </w:t>
      </w:r>
      <w:r w:rsidRPr="00A87558">
        <w:rPr>
          <w:rFonts w:asciiTheme="minorHAnsi" w:hAnsiTheme="minorHAnsi" w:cstheme="minorHAnsi"/>
          <w:color w:val="000000"/>
          <w:sz w:val="22"/>
          <w:szCs w:val="22"/>
          <w:u w:val="single"/>
          <w:shd w:val="clear" w:color="auto" w:fill="FFFFFF"/>
        </w:rPr>
        <w:t>taip pat minėtoje konvencijoje numatytomis teisėmis, kuriomis naudojimasis nesiejamas su reikalavimu turėti teisėtą gyvenamąją vietą</w:t>
      </w:r>
      <w:r w:rsidRPr="00A87558">
        <w:rPr>
          <w:rFonts w:asciiTheme="minorHAnsi" w:hAnsiTheme="minorHAnsi" w:cstheme="minorHAnsi"/>
          <w:color w:val="000000"/>
          <w:sz w:val="22"/>
          <w:szCs w:val="22"/>
          <w:shd w:val="clear" w:color="auto" w:fill="FFFFFF"/>
        </w:rPr>
        <w:t>; tokiu atveju neturi būti pažeistos šios valstybės narės suformuluotos išlygos remiantis minėtos konvencijos 42 straipsnio 1 dalimi</w:t>
      </w:r>
      <w:r>
        <w:rPr>
          <w:rFonts w:asciiTheme="minorHAnsi" w:hAnsiTheme="minorHAnsi" w:cstheme="minorHAnsi"/>
          <w:color w:val="000000"/>
          <w:sz w:val="22"/>
          <w:szCs w:val="22"/>
          <w:shd w:val="clear" w:color="auto" w:fill="FFFFFF"/>
        </w:rPr>
        <w:t xml:space="preserve">. </w:t>
      </w:r>
      <w:r w:rsidRPr="00A87558">
        <w:rPr>
          <w:rFonts w:asciiTheme="minorHAnsi" w:hAnsiTheme="minorHAnsi" w:cstheme="minorHAnsi"/>
          <w:color w:val="000000"/>
          <w:sz w:val="22"/>
          <w:szCs w:val="22"/>
          <w:shd w:val="clear" w:color="auto" w:fill="FFFFFF"/>
        </w:rPr>
        <w:t>Vis dėlto, kalbant ne tik apie teises, kurias valstybės narės privalo garantuoti susijusiems asmenims taikant Direktyvos 2011/95 14 straipsnio 6 dalį, reikia pažymėti, kad ji neturėtų būti aiškinama taip, kad ja šios valstybės skatinamos nesilaikyti tarptautinių pareigų, kaip antai išplaukiančių iš Ženevos konvencijos, taip apribojant teises, kuriomis šie asmenys naudojasi pagal šią konvenciją (107</w:t>
      </w:r>
      <w:r>
        <w:rPr>
          <w:rFonts w:asciiTheme="minorHAnsi" w:hAnsiTheme="minorHAnsi" w:cstheme="minorHAnsi"/>
          <w:color w:val="000000"/>
          <w:sz w:val="22"/>
          <w:szCs w:val="22"/>
          <w:shd w:val="clear" w:color="auto" w:fill="FFFFFF"/>
        </w:rPr>
        <w:t xml:space="preserve">–108 </w:t>
      </w:r>
      <w:r w:rsidRPr="00A87558">
        <w:rPr>
          <w:rFonts w:asciiTheme="minorHAnsi" w:hAnsiTheme="minorHAnsi" w:cstheme="minorHAnsi"/>
          <w:color w:val="000000"/>
          <w:sz w:val="22"/>
          <w:szCs w:val="22"/>
          <w:shd w:val="clear" w:color="auto" w:fill="FFFFFF"/>
        </w:rPr>
        <w:t>punkta</w:t>
      </w:r>
      <w:r>
        <w:rPr>
          <w:rFonts w:asciiTheme="minorHAnsi" w:hAnsiTheme="minorHAnsi" w:cstheme="minorHAnsi"/>
          <w:color w:val="000000"/>
          <w:sz w:val="22"/>
          <w:szCs w:val="22"/>
          <w:shd w:val="clear" w:color="auto" w:fill="FFFFFF"/>
        </w:rPr>
        <w:t>i</w:t>
      </w:r>
      <w:r w:rsidRPr="00A87558">
        <w:rPr>
          <w:rFonts w:asciiTheme="minorHAnsi" w:hAnsiTheme="minorHAnsi" w:cstheme="minorHAnsi"/>
          <w:color w:val="000000"/>
          <w:sz w:val="22"/>
          <w:szCs w:val="22"/>
          <w:shd w:val="clear" w:color="auto" w:fill="FFFFFF"/>
        </w:rPr>
        <w:t>).</w:t>
      </w:r>
    </w:p>
    <w:p w:rsidR="00C72D18" w:rsidRDefault="00C72D18" w:rsidP="00C72D18">
      <w:pPr>
        <w:pStyle w:val="c01pointnumerotealtn"/>
        <w:shd w:val="clear" w:color="auto" w:fill="FFFFFF"/>
        <w:spacing w:before="0" w:beforeAutospacing="0" w:after="0"/>
        <w:ind w:left="0" w:firstLine="567"/>
        <w:rPr>
          <w:rFonts w:asciiTheme="minorHAnsi" w:hAnsiTheme="minorHAnsi" w:cstheme="minorHAnsi"/>
          <w:sz w:val="22"/>
          <w:szCs w:val="22"/>
        </w:rPr>
      </w:pPr>
      <w:r w:rsidRPr="00576659">
        <w:rPr>
          <w:rFonts w:asciiTheme="minorHAnsi" w:hAnsiTheme="minorHAnsi" w:cstheme="minorHAnsi"/>
          <w:color w:val="000000"/>
          <w:sz w:val="22"/>
          <w:szCs w:val="22"/>
          <w:shd w:val="clear" w:color="auto" w:fill="FFFFFF"/>
        </w:rPr>
        <w:t>Atsižvelg</w:t>
      </w:r>
      <w:r>
        <w:rPr>
          <w:rFonts w:asciiTheme="minorHAnsi" w:hAnsiTheme="minorHAnsi" w:cstheme="minorHAnsi"/>
          <w:color w:val="000000"/>
          <w:sz w:val="22"/>
          <w:szCs w:val="22"/>
          <w:shd w:val="clear" w:color="auto" w:fill="FFFFFF"/>
        </w:rPr>
        <w:t>ęs</w:t>
      </w:r>
      <w:r w:rsidRPr="00576659">
        <w:rPr>
          <w:rFonts w:asciiTheme="minorHAnsi" w:hAnsiTheme="minorHAnsi" w:cstheme="minorHAnsi"/>
          <w:color w:val="000000"/>
          <w:sz w:val="22"/>
          <w:szCs w:val="22"/>
          <w:shd w:val="clear" w:color="auto" w:fill="FFFFFF"/>
        </w:rPr>
        <w:t xml:space="preserve"> į visa tai, kas išdėstyta, </w:t>
      </w:r>
      <w:r>
        <w:rPr>
          <w:rFonts w:asciiTheme="minorHAnsi" w:hAnsiTheme="minorHAnsi" w:cstheme="minorHAnsi"/>
          <w:color w:val="000000"/>
          <w:sz w:val="22"/>
          <w:szCs w:val="22"/>
          <w:shd w:val="clear" w:color="auto" w:fill="FFFFFF"/>
        </w:rPr>
        <w:t xml:space="preserve">Teisingumo Teismas </w:t>
      </w:r>
      <w:r w:rsidRPr="00576659">
        <w:rPr>
          <w:rFonts w:asciiTheme="minorHAnsi" w:hAnsiTheme="minorHAnsi" w:cstheme="minorHAnsi"/>
          <w:color w:val="000000"/>
          <w:sz w:val="22"/>
          <w:szCs w:val="22"/>
          <w:shd w:val="clear" w:color="auto" w:fill="FFFFFF"/>
        </w:rPr>
        <w:t>dar</w:t>
      </w:r>
      <w:r>
        <w:rPr>
          <w:rFonts w:asciiTheme="minorHAnsi" w:hAnsiTheme="minorHAnsi" w:cstheme="minorHAnsi"/>
          <w:color w:val="000000"/>
          <w:sz w:val="22"/>
          <w:szCs w:val="22"/>
          <w:shd w:val="clear" w:color="auto" w:fill="FFFFFF"/>
        </w:rPr>
        <w:t>ė</w:t>
      </w:r>
      <w:r w:rsidRPr="00576659">
        <w:rPr>
          <w:rFonts w:asciiTheme="minorHAnsi" w:hAnsiTheme="minorHAnsi" w:cstheme="minorHAnsi"/>
          <w:color w:val="000000"/>
          <w:sz w:val="22"/>
          <w:szCs w:val="22"/>
          <w:shd w:val="clear" w:color="auto" w:fill="FFFFFF"/>
        </w:rPr>
        <w:t xml:space="preserve"> išvad</w:t>
      </w:r>
      <w:r>
        <w:rPr>
          <w:rFonts w:asciiTheme="minorHAnsi" w:hAnsiTheme="minorHAnsi" w:cstheme="minorHAnsi"/>
          <w:color w:val="000000"/>
          <w:sz w:val="22"/>
          <w:szCs w:val="22"/>
          <w:shd w:val="clear" w:color="auto" w:fill="FFFFFF"/>
        </w:rPr>
        <w:t>ą</w:t>
      </w:r>
      <w:r w:rsidRPr="00576659">
        <w:rPr>
          <w:rFonts w:asciiTheme="minorHAnsi" w:hAnsiTheme="minorHAnsi" w:cstheme="minorHAnsi"/>
          <w:color w:val="000000"/>
          <w:sz w:val="22"/>
          <w:szCs w:val="22"/>
          <w:shd w:val="clear" w:color="auto" w:fill="FFFFFF"/>
        </w:rPr>
        <w:t xml:space="preserve">, kad </w:t>
      </w:r>
      <w:r w:rsidRPr="00576659">
        <w:rPr>
          <w:rFonts w:asciiTheme="minorHAnsi" w:hAnsiTheme="minorHAnsi" w:cstheme="minorHAnsi"/>
          <w:color w:val="000000"/>
          <w:sz w:val="22"/>
          <w:szCs w:val="22"/>
          <w:u w:val="single"/>
          <w:shd w:val="clear" w:color="auto" w:fill="FFFFFF"/>
        </w:rPr>
        <w:t>kai</w:t>
      </w:r>
      <w:r w:rsidRPr="00576659">
        <w:rPr>
          <w:rFonts w:asciiTheme="minorHAnsi" w:hAnsiTheme="minorHAnsi" w:cstheme="minorHAnsi"/>
          <w:color w:val="000000"/>
          <w:sz w:val="22"/>
          <w:szCs w:val="22"/>
          <w:shd w:val="clear" w:color="auto" w:fill="FFFFFF"/>
        </w:rPr>
        <w:t xml:space="preserve"> pagal Ženevos konvenciją </w:t>
      </w:r>
      <w:r w:rsidRPr="00576659">
        <w:rPr>
          <w:rFonts w:asciiTheme="minorHAnsi" w:hAnsiTheme="minorHAnsi" w:cstheme="minorHAnsi"/>
          <w:color w:val="000000"/>
          <w:sz w:val="22"/>
          <w:szCs w:val="22"/>
          <w:u w:val="single"/>
          <w:shd w:val="clear" w:color="auto" w:fill="FFFFFF"/>
        </w:rPr>
        <w:t>asmenims</w:t>
      </w:r>
      <w:r w:rsidRPr="00576659">
        <w:rPr>
          <w:rFonts w:asciiTheme="minorHAnsi" w:hAnsiTheme="minorHAnsi" w:cstheme="minorHAnsi"/>
          <w:color w:val="000000"/>
          <w:sz w:val="22"/>
          <w:szCs w:val="22"/>
          <w:shd w:val="clear" w:color="auto" w:fill="FFFFFF"/>
        </w:rPr>
        <w:t xml:space="preserve">, patenkantiems į vieną iš situacijų, nurodytų Direktyvos 2011/95 14 straipsnio 4 ir 5 dalyse, pagal minėtos konvencijos 33 straipsnio 2 dalį </w:t>
      </w:r>
      <w:r w:rsidRPr="00576659">
        <w:rPr>
          <w:rFonts w:asciiTheme="minorHAnsi" w:hAnsiTheme="minorHAnsi" w:cstheme="minorHAnsi"/>
          <w:color w:val="000000"/>
          <w:sz w:val="22"/>
          <w:szCs w:val="22"/>
          <w:u w:val="single"/>
          <w:shd w:val="clear" w:color="auto" w:fill="FFFFFF"/>
        </w:rPr>
        <w:t>gali būti taikoma grąžinimo ar išsiuntimo į kilmės valstybę priemonė</w:t>
      </w:r>
      <w:r w:rsidRPr="00576659">
        <w:rPr>
          <w:rFonts w:asciiTheme="minorHAnsi" w:hAnsiTheme="minorHAnsi" w:cstheme="minorHAnsi"/>
          <w:color w:val="000000"/>
          <w:sz w:val="22"/>
          <w:szCs w:val="22"/>
          <w:shd w:val="clear" w:color="auto" w:fill="FFFFFF"/>
        </w:rPr>
        <w:t xml:space="preserve">, </w:t>
      </w:r>
      <w:r w:rsidRPr="00576659">
        <w:rPr>
          <w:rFonts w:asciiTheme="minorHAnsi" w:hAnsiTheme="minorHAnsi" w:cstheme="minorHAnsi"/>
          <w:color w:val="000000"/>
          <w:sz w:val="22"/>
          <w:szCs w:val="22"/>
          <w:u w:val="single"/>
          <w:shd w:val="clear" w:color="auto" w:fill="FFFFFF"/>
        </w:rPr>
        <w:t>nepaisant to, kad joje kyla pavojus jų gyvybei ar laisvei, vis dėlto tokie asmenys</w:t>
      </w:r>
      <w:r w:rsidRPr="00576659">
        <w:rPr>
          <w:rFonts w:asciiTheme="minorHAnsi" w:hAnsiTheme="minorHAnsi" w:cstheme="minorHAnsi"/>
          <w:color w:val="000000"/>
          <w:sz w:val="22"/>
          <w:szCs w:val="22"/>
          <w:shd w:val="clear" w:color="auto" w:fill="FFFFFF"/>
        </w:rPr>
        <w:t xml:space="preserve">, remiantis šios direktyvos 21 straipsnio 2 dalimi, </w:t>
      </w:r>
      <w:r w:rsidRPr="00576659">
        <w:rPr>
          <w:rFonts w:asciiTheme="minorHAnsi" w:hAnsiTheme="minorHAnsi" w:cstheme="minorHAnsi"/>
          <w:color w:val="000000"/>
          <w:sz w:val="22"/>
          <w:szCs w:val="22"/>
          <w:u w:val="single"/>
          <w:shd w:val="clear" w:color="auto" w:fill="FFFFFF"/>
        </w:rPr>
        <w:t>negali būti išsiųsti</w:t>
      </w:r>
      <w:r w:rsidRPr="00576659">
        <w:rPr>
          <w:rFonts w:asciiTheme="minorHAnsi" w:hAnsiTheme="minorHAnsi" w:cstheme="minorHAnsi"/>
          <w:color w:val="000000"/>
          <w:sz w:val="22"/>
          <w:szCs w:val="22"/>
          <w:shd w:val="clear" w:color="auto" w:fill="FFFFFF"/>
        </w:rPr>
        <w:t xml:space="preserve">, </w:t>
      </w:r>
      <w:r w:rsidRPr="00576659">
        <w:rPr>
          <w:rFonts w:asciiTheme="minorHAnsi" w:hAnsiTheme="minorHAnsi" w:cstheme="minorHAnsi"/>
          <w:color w:val="000000"/>
          <w:sz w:val="22"/>
          <w:szCs w:val="22"/>
          <w:u w:val="single"/>
          <w:shd w:val="clear" w:color="auto" w:fill="FFFFFF"/>
        </w:rPr>
        <w:t>jei dėl to kiltų pavojus, kad bus pažeistos jų pagrindinės teisės</w:t>
      </w:r>
      <w:r w:rsidRPr="00576659">
        <w:rPr>
          <w:rFonts w:asciiTheme="minorHAnsi" w:hAnsiTheme="minorHAnsi" w:cstheme="minorHAnsi"/>
          <w:color w:val="000000"/>
          <w:sz w:val="22"/>
          <w:szCs w:val="22"/>
          <w:shd w:val="clear" w:color="auto" w:fill="FFFFFF"/>
        </w:rPr>
        <w:t xml:space="preserve">, įtvirtintos Chartijos 19 straipsnio 2 dalyje. </w:t>
      </w:r>
      <w:r w:rsidRPr="00576659">
        <w:rPr>
          <w:rFonts w:asciiTheme="minorHAnsi" w:hAnsiTheme="minorHAnsi" w:cstheme="minorHAnsi"/>
          <w:color w:val="000000"/>
          <w:sz w:val="22"/>
          <w:szCs w:val="22"/>
          <w:u w:val="single"/>
          <w:shd w:val="clear" w:color="auto" w:fill="FFFFFF"/>
        </w:rPr>
        <w:t>Šių asmenų atžvilgiu atitinkamoje valstybėje narėje, žinoma, gali būti priimtas sprendimas panaikinti pabėgėlio statusą</w:t>
      </w:r>
      <w:r w:rsidRPr="00576659">
        <w:rPr>
          <w:rFonts w:asciiTheme="minorHAnsi" w:hAnsiTheme="minorHAnsi" w:cstheme="minorHAnsi"/>
          <w:color w:val="000000"/>
          <w:sz w:val="22"/>
          <w:szCs w:val="22"/>
          <w:shd w:val="clear" w:color="auto" w:fill="FFFFFF"/>
        </w:rPr>
        <w:t xml:space="preserve">, kaip tai suprantama pagal Direktyvos 2011/95 2 straipsnio e punktą, </w:t>
      </w:r>
      <w:r w:rsidRPr="00576659">
        <w:rPr>
          <w:rFonts w:asciiTheme="minorHAnsi" w:hAnsiTheme="minorHAnsi" w:cstheme="minorHAnsi"/>
          <w:color w:val="000000"/>
          <w:sz w:val="22"/>
          <w:szCs w:val="22"/>
          <w:u w:val="single"/>
          <w:shd w:val="clear" w:color="auto" w:fill="FFFFFF"/>
        </w:rPr>
        <w:t>arba sprendimas atsisakyti suteikti šį statusą</w:t>
      </w:r>
      <w:r w:rsidRPr="00576659">
        <w:rPr>
          <w:rFonts w:asciiTheme="minorHAnsi" w:hAnsiTheme="minorHAnsi" w:cstheme="minorHAnsi"/>
          <w:color w:val="000000"/>
          <w:sz w:val="22"/>
          <w:szCs w:val="22"/>
          <w:shd w:val="clear" w:color="auto" w:fill="FFFFFF"/>
        </w:rPr>
        <w:t xml:space="preserve">, </w:t>
      </w:r>
      <w:r w:rsidRPr="00576659">
        <w:rPr>
          <w:rFonts w:asciiTheme="minorHAnsi" w:hAnsiTheme="minorHAnsi" w:cstheme="minorHAnsi"/>
          <w:color w:val="000000"/>
          <w:sz w:val="22"/>
          <w:szCs w:val="22"/>
          <w:u w:val="single"/>
          <w:shd w:val="clear" w:color="auto" w:fill="FFFFFF"/>
        </w:rPr>
        <w:t>tačiau tokiais sprendimais neturėtų būti daromas poveikis jų buvimui pabėgėliais, jei jie tenkina materialias sąlygas</w:t>
      </w:r>
      <w:r w:rsidRPr="00576659">
        <w:rPr>
          <w:rFonts w:asciiTheme="minorHAnsi" w:hAnsiTheme="minorHAnsi" w:cstheme="minorHAnsi"/>
          <w:color w:val="000000"/>
          <w:sz w:val="22"/>
          <w:szCs w:val="22"/>
          <w:shd w:val="clear" w:color="auto" w:fill="FFFFFF"/>
        </w:rPr>
        <w:t>, reikalaujamas, kad jie būtų laikomi pabėgėliais, kaip tai suprantama pagal šios direktyvos 2 straipsnio d punktą, siejamą su jos III skyriaus nuostatomis, taigi Ženevos konvencijos 1 straipsnio A skirsniu</w:t>
      </w:r>
      <w:r>
        <w:rPr>
          <w:rFonts w:asciiTheme="minorHAnsi" w:hAnsiTheme="minorHAnsi" w:cstheme="minorHAnsi"/>
          <w:sz w:val="22"/>
          <w:szCs w:val="22"/>
        </w:rPr>
        <w:t xml:space="preserve"> (110 punktas).</w:t>
      </w:r>
    </w:p>
    <w:p w:rsidR="00C72D18" w:rsidRPr="00C72F13" w:rsidRDefault="00C72D18" w:rsidP="00C72D18">
      <w:pPr>
        <w:pStyle w:val="c01pointnumerotealtn"/>
        <w:shd w:val="clear" w:color="auto" w:fill="FFFFFF"/>
        <w:spacing w:before="0" w:beforeAutospacing="0" w:after="0"/>
        <w:ind w:left="0" w:firstLine="567"/>
        <w:rPr>
          <w:rFonts w:asciiTheme="minorHAnsi" w:hAnsiTheme="minorHAnsi" w:cstheme="minorHAnsi"/>
          <w:sz w:val="22"/>
          <w:szCs w:val="22"/>
        </w:rPr>
      </w:pPr>
    </w:p>
    <w:p w:rsidR="00C72D18" w:rsidRDefault="00C72D18" w:rsidP="00C72D18">
      <w:pPr>
        <w:ind w:firstLine="567"/>
        <w:rPr>
          <w:rFonts w:asciiTheme="minorHAnsi" w:hAnsiTheme="minorHAnsi" w:cstheme="minorHAnsi"/>
          <w:b/>
        </w:rPr>
      </w:pPr>
      <w:r w:rsidRPr="00C72F13">
        <w:rPr>
          <w:rFonts w:asciiTheme="minorHAnsi" w:hAnsiTheme="minorHAnsi" w:cstheme="minorHAnsi"/>
          <w:b/>
        </w:rPr>
        <w:t>Remdamasis šiais motyvais, Teisingumo Teismas (didžioji kolegija) nusprendė:</w:t>
      </w:r>
    </w:p>
    <w:p w:rsidR="00C72D18" w:rsidRPr="00C72F13" w:rsidRDefault="00C72D18" w:rsidP="00C72D18">
      <w:pPr>
        <w:ind w:firstLine="567"/>
        <w:rPr>
          <w:rFonts w:asciiTheme="minorHAnsi" w:hAnsiTheme="minorHAnsi" w:cstheme="minorHAnsi"/>
          <w:b/>
        </w:rPr>
      </w:pPr>
    </w:p>
    <w:p w:rsidR="00C72D18" w:rsidRPr="00576659" w:rsidRDefault="00C72D18" w:rsidP="00C72D18">
      <w:pPr>
        <w:pStyle w:val="c01pointnumerotealtn"/>
        <w:shd w:val="clear" w:color="auto" w:fill="FFFFFF"/>
        <w:spacing w:before="0" w:beforeAutospacing="0" w:after="0"/>
        <w:ind w:left="0" w:firstLine="567"/>
        <w:rPr>
          <w:rFonts w:asciiTheme="minorHAnsi" w:hAnsiTheme="minorHAnsi" w:cstheme="minorHAnsi"/>
          <w:sz w:val="22"/>
          <w:szCs w:val="22"/>
        </w:rPr>
      </w:pPr>
      <w:r w:rsidRPr="00576659">
        <w:rPr>
          <w:rFonts w:asciiTheme="minorHAnsi" w:hAnsiTheme="minorHAnsi" w:cstheme="minorHAnsi"/>
          <w:color w:val="000000"/>
          <w:sz w:val="22"/>
          <w:szCs w:val="22"/>
          <w:shd w:val="clear" w:color="auto" w:fill="FFFFFF"/>
        </w:rPr>
        <w:t>Išnagrinėjus 2011 m. gruodžio 13 d. Europos Parlamento ir Tarybos direktyvos 2011/95/ES dėl trečiųjų šalių piliečių ar asmenų be pilietybės priskyrimo prie tarptautinės apsaugos gavėjų, vienodo statuso pabėgėliams arba papildomą apsaugą galintiems gauti asmenims ir suteikiamos apsaugos pobūdžio reikalavimų 14 straipsnio 4–6 dalis nebuvo nustatyta nieko, kas turėtų įtakos šių nuostatų galiojimui atsižvelgiant į SESV 78 straipsnio 1 dalį ir Europos Sąjungos pagrindinių teisių chartijos 18 straipsnį</w:t>
      </w:r>
      <w:r w:rsidRPr="00576659">
        <w:rPr>
          <w:rFonts w:asciiTheme="minorHAnsi" w:hAnsiTheme="minorHAnsi" w:cstheme="minorHAnsi"/>
          <w:sz w:val="22"/>
          <w:szCs w:val="22"/>
        </w:rPr>
        <w:t>.</w:t>
      </w:r>
    </w:p>
    <w:p w:rsidR="00C72D18" w:rsidRDefault="007D413D" w:rsidP="00C72D18">
      <w:pPr>
        <w:pStyle w:val="c01pointnumerotealtn"/>
        <w:shd w:val="clear" w:color="auto" w:fill="FFFFFF"/>
        <w:spacing w:before="0" w:beforeAutospacing="0" w:after="0"/>
        <w:ind w:firstLine="0"/>
        <w:rPr>
          <w:rFonts w:asciiTheme="minorHAnsi" w:hAnsiTheme="minorHAnsi" w:cstheme="minorHAnsi"/>
          <w:sz w:val="22"/>
          <w:szCs w:val="22"/>
        </w:rPr>
      </w:pPr>
      <w:hyperlink r:id="rId12" w:history="1">
        <w:r w:rsidR="00C72D18" w:rsidRPr="00C72F13">
          <w:rPr>
            <w:rStyle w:val="Hyperlink"/>
            <w:rFonts w:asciiTheme="minorHAnsi" w:hAnsiTheme="minorHAnsi" w:cstheme="minorHAnsi"/>
            <w:sz w:val="22"/>
            <w:szCs w:val="22"/>
          </w:rPr>
          <w:t>Prieiga internete</w:t>
        </w:r>
      </w:hyperlink>
      <w:r w:rsidR="00C72D18">
        <w:rPr>
          <w:rFonts w:asciiTheme="minorHAnsi" w:hAnsiTheme="minorHAnsi" w:cstheme="minorHAnsi"/>
          <w:sz w:val="22"/>
          <w:szCs w:val="22"/>
        </w:rPr>
        <w:t xml:space="preserve"> </w:t>
      </w:r>
    </w:p>
    <w:p w:rsidR="00C72D18" w:rsidRDefault="00C72D18" w:rsidP="00225D16">
      <w:pPr>
        <w:rPr>
          <w:lang w:eastAsia="lt-LT"/>
        </w:rPr>
      </w:pPr>
    </w:p>
    <w:p w:rsidR="00C72D18" w:rsidRPr="00F13F10" w:rsidRDefault="00C72D18" w:rsidP="00C72D18">
      <w:pPr>
        <w:pStyle w:val="Heading2"/>
        <w:rPr>
          <w:rFonts w:cstheme="minorHAnsi"/>
          <w:bCs w:val="0"/>
          <w:iCs w:val="0"/>
        </w:rPr>
      </w:pPr>
      <w:bookmarkStart w:id="10" w:name="_Toc21941942"/>
      <w:r w:rsidRPr="00F13F10">
        <w:rPr>
          <w:rFonts w:cstheme="minorHAnsi"/>
          <w:bCs w:val="0"/>
          <w:iCs w:val="0"/>
        </w:rPr>
        <w:t xml:space="preserve">2019 m. </w:t>
      </w:r>
      <w:r>
        <w:rPr>
          <w:rFonts w:cstheme="minorHAnsi"/>
          <w:bCs w:val="0"/>
          <w:iCs w:val="0"/>
        </w:rPr>
        <w:t>liepos</w:t>
      </w:r>
      <w:r w:rsidRPr="00F13F10">
        <w:rPr>
          <w:rFonts w:cstheme="minorHAnsi"/>
          <w:bCs w:val="0"/>
          <w:iCs w:val="0"/>
        </w:rPr>
        <w:t xml:space="preserve"> 2</w:t>
      </w:r>
      <w:r>
        <w:rPr>
          <w:rFonts w:cstheme="minorHAnsi"/>
          <w:bCs w:val="0"/>
          <w:iCs w:val="0"/>
        </w:rPr>
        <w:t>9</w:t>
      </w:r>
      <w:r w:rsidRPr="00F13F10">
        <w:rPr>
          <w:rFonts w:cstheme="minorHAnsi"/>
          <w:bCs w:val="0"/>
          <w:iCs w:val="0"/>
        </w:rPr>
        <w:t xml:space="preserve"> d. didžio</w:t>
      </w:r>
      <w:r>
        <w:rPr>
          <w:rFonts w:cstheme="minorHAnsi"/>
          <w:bCs w:val="0"/>
          <w:iCs w:val="0"/>
        </w:rPr>
        <w:t>sios</w:t>
      </w:r>
      <w:r w:rsidRPr="00F13F10">
        <w:rPr>
          <w:rFonts w:cstheme="minorHAnsi"/>
          <w:bCs w:val="0"/>
          <w:iCs w:val="0"/>
        </w:rPr>
        <w:t xml:space="preserve"> kolegij</w:t>
      </w:r>
      <w:r>
        <w:rPr>
          <w:rFonts w:cstheme="minorHAnsi"/>
          <w:bCs w:val="0"/>
          <w:iCs w:val="0"/>
        </w:rPr>
        <w:t>os</w:t>
      </w:r>
      <w:r w:rsidR="00CB0B9D" w:rsidRPr="00CB0B9D">
        <w:rPr>
          <w:rFonts w:cstheme="minorHAnsi"/>
          <w:bCs w:val="0"/>
          <w:iCs w:val="0"/>
        </w:rPr>
        <w:t xml:space="preserve"> </w:t>
      </w:r>
      <w:r w:rsidR="00CB0B9D">
        <w:rPr>
          <w:rFonts w:cstheme="minorHAnsi"/>
          <w:bCs w:val="0"/>
          <w:iCs w:val="0"/>
        </w:rPr>
        <w:t>prejudicinis</w:t>
      </w:r>
      <w:r w:rsidRPr="00F13F10">
        <w:rPr>
          <w:rFonts w:cstheme="minorHAnsi"/>
          <w:bCs w:val="0"/>
          <w:iCs w:val="0"/>
        </w:rPr>
        <w:t xml:space="preserve"> sprendimas</w:t>
      </w:r>
      <w:r>
        <w:rPr>
          <w:rFonts w:cstheme="minorHAnsi"/>
          <w:bCs w:val="0"/>
          <w:iCs w:val="0"/>
        </w:rPr>
        <w:t xml:space="preserve"> byloje C-556/17</w:t>
      </w:r>
      <w:bookmarkEnd w:id="10"/>
      <w:r>
        <w:rPr>
          <w:rFonts w:cstheme="minorHAnsi"/>
          <w:bCs w:val="0"/>
          <w:iCs w:val="0"/>
        </w:rPr>
        <w:t xml:space="preserve"> </w:t>
      </w:r>
    </w:p>
    <w:p w:rsidR="00C72D18" w:rsidRPr="006F4F2C" w:rsidRDefault="00C72D18" w:rsidP="006F4F2C">
      <w:pPr>
        <w:jc w:val="center"/>
        <w:rPr>
          <w:rFonts w:cstheme="minorHAnsi"/>
          <w:b/>
          <w:i/>
        </w:rPr>
      </w:pPr>
      <w:r w:rsidRPr="006F4F2C">
        <w:rPr>
          <w:rFonts w:cstheme="minorHAnsi"/>
          <w:b/>
          <w:i/>
        </w:rPr>
        <w:t>Alekszij Torubarov prieš Be</w:t>
      </w:r>
      <w:r w:rsidRPr="006F4F2C">
        <w:rPr>
          <w:rFonts w:cstheme="minorHAnsi"/>
          <w:b/>
          <w:i/>
          <w:color w:val="000000"/>
          <w:shd w:val="clear" w:color="auto" w:fill="FFFFFF"/>
        </w:rPr>
        <w:t>vándorlási és Menekültügyi Hivatal</w:t>
      </w:r>
    </w:p>
    <w:p w:rsidR="00C72D18" w:rsidRDefault="00C72D18" w:rsidP="00C72D18"/>
    <w:p w:rsidR="00C72D18" w:rsidRDefault="00C72D18" w:rsidP="00C72D18">
      <w:pPr>
        <w:pStyle w:val="c01pointnumerotealtn"/>
        <w:shd w:val="clear" w:color="auto" w:fill="FFFFFF"/>
        <w:spacing w:before="0" w:beforeAutospacing="0" w:after="0"/>
        <w:ind w:left="0" w:firstLine="567"/>
        <w:rPr>
          <w:rFonts w:asciiTheme="minorHAnsi" w:hAnsiTheme="minorHAnsi" w:cstheme="minorHAnsi"/>
          <w:sz w:val="22"/>
          <w:szCs w:val="22"/>
        </w:rPr>
      </w:pPr>
      <w:r w:rsidRPr="00DF295B">
        <w:rPr>
          <w:rFonts w:asciiTheme="minorHAnsi" w:hAnsiTheme="minorHAnsi" w:cstheme="minorHAnsi"/>
          <w:color w:val="000000"/>
          <w:sz w:val="22"/>
          <w:szCs w:val="22"/>
          <w:shd w:val="clear" w:color="auto" w:fill="FFFFFF"/>
        </w:rPr>
        <w:t>Prašymas priimti prejudicinį sprendimą pateiktas dėl 2013 m. birželio 26 d. Europos Parlamento ir Tarybos direktyvos 2013/32/ES dėl tarptautinės apsaugos suteikimo ir panaikinimo bendros tvarkos (OL L 180, 2013, p. 60) 46 straipsnio 3 dalies, atsižvelgiant į Europos Sąjungos pagrindinių teisių chartijos (toliau – Chartija) 47 straipsnį, išaiškinimo</w:t>
      </w:r>
      <w:r w:rsidRPr="00DF295B">
        <w:rPr>
          <w:rFonts w:asciiTheme="minorHAnsi" w:hAnsiTheme="minorHAnsi" w:cstheme="minorHAnsi"/>
          <w:sz w:val="22"/>
          <w:szCs w:val="22"/>
        </w:rPr>
        <w:t xml:space="preserve">. </w:t>
      </w:r>
      <w:r w:rsidRPr="00DF295B">
        <w:rPr>
          <w:rFonts w:asciiTheme="minorHAnsi" w:hAnsiTheme="minorHAnsi" w:cstheme="minorHAnsi"/>
          <w:color w:val="000000"/>
          <w:sz w:val="22"/>
          <w:szCs w:val="22"/>
          <w:shd w:val="clear" w:color="auto" w:fill="FFFFFF"/>
        </w:rPr>
        <w:t xml:space="preserve">Šis prašymas pateiktas nagrinėjant Alekszij Torubarov ir </w:t>
      </w:r>
      <w:r w:rsidRPr="009C7006">
        <w:rPr>
          <w:rFonts w:asciiTheme="minorHAnsi" w:hAnsiTheme="minorHAnsi" w:cstheme="minorHAnsi"/>
          <w:color w:val="000000"/>
          <w:sz w:val="22"/>
          <w:szCs w:val="22"/>
        </w:rPr>
        <w:t>Bevándorlási és Menekültügyi Hivatal</w:t>
      </w:r>
      <w:r w:rsidRPr="00DF295B">
        <w:rPr>
          <w:rFonts w:asciiTheme="minorHAnsi" w:hAnsiTheme="minorHAnsi" w:cstheme="minorHAnsi"/>
          <w:color w:val="000000"/>
          <w:sz w:val="22"/>
          <w:szCs w:val="22"/>
          <w:shd w:val="clear" w:color="auto" w:fill="FFFFFF"/>
        </w:rPr>
        <w:t xml:space="preserve"> (Imigracijos ir prieglobsčio tarnyba, Vengrija, toliau – Imigracijos tarnyba) ginčą dėl pastarosios sprendimo atmesti jo tarptautinės apsaugos prašymą</w:t>
      </w:r>
      <w:r>
        <w:rPr>
          <w:rFonts w:asciiTheme="minorHAnsi" w:hAnsiTheme="minorHAnsi" w:cstheme="minorHAnsi"/>
          <w:color w:val="000000"/>
          <w:sz w:val="22"/>
          <w:szCs w:val="22"/>
          <w:shd w:val="clear" w:color="auto" w:fill="FFFFFF"/>
        </w:rPr>
        <w:t xml:space="preserve"> (1</w:t>
      </w:r>
      <w:r>
        <w:rPr>
          <w:rFonts w:asciiTheme="minorHAnsi" w:hAnsiTheme="minorHAnsi" w:cstheme="minorHAnsi"/>
          <w:sz w:val="22"/>
          <w:szCs w:val="22"/>
        </w:rPr>
        <w:t>–</w:t>
      </w:r>
      <w:r>
        <w:rPr>
          <w:rFonts w:asciiTheme="minorHAnsi" w:hAnsiTheme="minorHAnsi" w:cstheme="minorHAnsi"/>
          <w:color w:val="000000"/>
          <w:sz w:val="22"/>
          <w:szCs w:val="22"/>
          <w:shd w:val="clear" w:color="auto" w:fill="FFFFFF"/>
        </w:rPr>
        <w:t>2 punktai)</w:t>
      </w:r>
      <w:r w:rsidRPr="00DF295B">
        <w:rPr>
          <w:rFonts w:asciiTheme="minorHAnsi" w:hAnsiTheme="minorHAnsi" w:cstheme="minorHAnsi"/>
          <w:sz w:val="22"/>
          <w:szCs w:val="22"/>
        </w:rPr>
        <w:t>.</w:t>
      </w:r>
    </w:p>
    <w:p w:rsidR="00C72D18" w:rsidRDefault="00C72D18" w:rsidP="00C72D18">
      <w:pPr>
        <w:pStyle w:val="c01pointnumerotealtn"/>
        <w:shd w:val="clear" w:color="auto" w:fill="FFFFFF"/>
        <w:spacing w:before="0" w:beforeAutospacing="0" w:after="0"/>
        <w:ind w:left="0" w:firstLine="567"/>
        <w:rPr>
          <w:rFonts w:asciiTheme="minorHAnsi" w:hAnsiTheme="minorHAnsi" w:cstheme="minorHAnsi"/>
          <w:color w:val="000000"/>
          <w:sz w:val="22"/>
          <w:szCs w:val="22"/>
          <w:shd w:val="clear" w:color="auto" w:fill="FFFFFF"/>
        </w:rPr>
      </w:pPr>
      <w:r w:rsidRPr="009C7006">
        <w:rPr>
          <w:rFonts w:asciiTheme="minorHAnsi" w:hAnsiTheme="minorHAnsi" w:cstheme="minorHAnsi"/>
          <w:color w:val="000000"/>
          <w:sz w:val="22"/>
          <w:szCs w:val="22"/>
        </w:rPr>
        <w:t>Pécsi Közigazgatási és Munkaügyi Bíróság</w:t>
      </w:r>
      <w:r w:rsidRPr="009C7006">
        <w:rPr>
          <w:rFonts w:asciiTheme="minorHAnsi" w:hAnsiTheme="minorHAnsi" w:cstheme="minorHAnsi"/>
          <w:color w:val="000000"/>
          <w:sz w:val="22"/>
          <w:szCs w:val="22"/>
          <w:shd w:val="clear" w:color="auto" w:fill="FFFFFF"/>
        </w:rPr>
        <w:t xml:space="preserve"> (</w:t>
      </w:r>
      <w:r w:rsidRPr="005863BE">
        <w:rPr>
          <w:rFonts w:asciiTheme="minorHAnsi" w:hAnsiTheme="minorHAnsi" w:cstheme="minorHAnsi"/>
          <w:color w:val="000000"/>
          <w:sz w:val="22"/>
          <w:szCs w:val="22"/>
          <w:shd w:val="clear" w:color="auto" w:fill="FFFFFF"/>
        </w:rPr>
        <w:t>Pėčo administracinis ir darbo teismas, Vengrija)</w:t>
      </w:r>
      <w:r w:rsidR="00DE2289">
        <w:rPr>
          <w:rFonts w:asciiTheme="minorHAnsi" w:hAnsiTheme="minorHAnsi" w:cstheme="minorHAnsi"/>
          <w:color w:val="000000"/>
          <w:sz w:val="22"/>
          <w:szCs w:val="22"/>
          <w:shd w:val="clear" w:color="auto" w:fill="FFFFFF"/>
        </w:rPr>
        <w:t xml:space="preserve"> </w:t>
      </w:r>
      <w:r w:rsidRPr="005863BE">
        <w:rPr>
          <w:rFonts w:asciiTheme="minorHAnsi" w:hAnsiTheme="minorHAnsi" w:cstheme="minorHAnsi"/>
          <w:color w:val="000000"/>
          <w:sz w:val="22"/>
          <w:szCs w:val="22"/>
          <w:shd w:val="clear" w:color="auto" w:fill="FFFFFF"/>
        </w:rPr>
        <w:t xml:space="preserve">2015 m. gegužės 6 d. sprendimu panaikino </w:t>
      </w:r>
      <w:r w:rsidR="00DE2289">
        <w:rPr>
          <w:rFonts w:asciiTheme="minorHAnsi" w:hAnsiTheme="minorHAnsi" w:cstheme="minorHAnsi"/>
          <w:color w:val="000000"/>
          <w:sz w:val="22"/>
          <w:szCs w:val="22"/>
          <w:shd w:val="clear" w:color="auto" w:fill="FFFFFF"/>
        </w:rPr>
        <w:t xml:space="preserve">Imigracijos tarnybos </w:t>
      </w:r>
      <w:r w:rsidRPr="005863BE">
        <w:rPr>
          <w:rFonts w:asciiTheme="minorHAnsi" w:hAnsiTheme="minorHAnsi" w:cstheme="minorHAnsi"/>
          <w:color w:val="000000"/>
          <w:sz w:val="22"/>
          <w:szCs w:val="22"/>
          <w:shd w:val="clear" w:color="auto" w:fill="FFFFFF"/>
        </w:rPr>
        <w:t xml:space="preserve">sprendimą ir įpareigojo </w:t>
      </w:r>
      <w:r w:rsidR="00DE2289">
        <w:rPr>
          <w:rFonts w:asciiTheme="minorHAnsi" w:hAnsiTheme="minorHAnsi" w:cstheme="minorHAnsi"/>
          <w:color w:val="000000"/>
          <w:sz w:val="22"/>
          <w:szCs w:val="22"/>
          <w:shd w:val="clear" w:color="auto" w:fill="FFFFFF"/>
        </w:rPr>
        <w:t>ją</w:t>
      </w:r>
      <w:r w:rsidRPr="005863BE">
        <w:rPr>
          <w:rFonts w:asciiTheme="minorHAnsi" w:hAnsiTheme="minorHAnsi" w:cstheme="minorHAnsi"/>
          <w:color w:val="000000"/>
          <w:sz w:val="22"/>
          <w:szCs w:val="22"/>
          <w:shd w:val="clear" w:color="auto" w:fill="FFFFFF"/>
        </w:rPr>
        <w:t xml:space="preserve"> pradėti naują procedūrą ir priimti naują sprendimą. Sprendimas, dėl kurio pateiktas skundas, buvo panaikintas remiantis tuo, kad tame sprendime būta prieštaravimų ir</w:t>
      </w:r>
      <w:r>
        <w:rPr>
          <w:rFonts w:asciiTheme="minorHAnsi" w:hAnsiTheme="minorHAnsi" w:cstheme="minorHAnsi"/>
          <w:color w:val="000000"/>
          <w:sz w:val="22"/>
          <w:szCs w:val="22"/>
          <w:shd w:val="clear" w:color="auto" w:fill="FFFFFF"/>
        </w:rPr>
        <w:t>,</w:t>
      </w:r>
      <w:r w:rsidRPr="005863BE">
        <w:rPr>
          <w:rFonts w:asciiTheme="minorHAnsi" w:hAnsiTheme="minorHAnsi" w:cstheme="minorHAnsi"/>
          <w:color w:val="000000"/>
          <w:sz w:val="22"/>
          <w:szCs w:val="22"/>
          <w:shd w:val="clear" w:color="auto" w:fill="FFFFFF"/>
        </w:rPr>
        <w:t xml:space="preserve"> kad Imigracijos tarnyba iš esmės neišnagrinėjo jai vertinti pateiktų faktų; arba, jei ir atsižvelgė į kai kuriuos faktus, įvertino juos šališkai, todėl jos sprendimas buvo nepagrįstas ir teismas negalėjo atlikti kontrolės dėl jo esmės. Tas teismas savo sprendime Imigracijos tarnybai taip pat pateikė išsamius nurodymus dėl aplinkybių, kurias ji turėjo išnagrinėti pagal naują procedūrą</w:t>
      </w:r>
      <w:r>
        <w:rPr>
          <w:rFonts w:asciiTheme="minorHAnsi" w:hAnsiTheme="minorHAnsi" w:cstheme="minorHAnsi"/>
          <w:color w:val="000000"/>
          <w:sz w:val="22"/>
          <w:szCs w:val="22"/>
          <w:shd w:val="clear" w:color="auto" w:fill="FFFFFF"/>
        </w:rPr>
        <w:t xml:space="preserve"> (25</w:t>
      </w:r>
      <w:r>
        <w:rPr>
          <w:rFonts w:asciiTheme="minorHAnsi" w:hAnsiTheme="minorHAnsi" w:cstheme="minorHAnsi"/>
          <w:sz w:val="22"/>
          <w:szCs w:val="22"/>
        </w:rPr>
        <w:t>–26 punktai)</w:t>
      </w:r>
      <w:r w:rsidRPr="005863BE">
        <w:rPr>
          <w:rFonts w:asciiTheme="minorHAnsi" w:hAnsiTheme="minorHAnsi" w:cstheme="minorHAnsi"/>
          <w:color w:val="000000"/>
          <w:sz w:val="22"/>
          <w:szCs w:val="22"/>
          <w:shd w:val="clear" w:color="auto" w:fill="FFFFFF"/>
        </w:rPr>
        <w:t>.</w:t>
      </w:r>
    </w:p>
    <w:p w:rsidR="00DE2289" w:rsidRDefault="00C72D18" w:rsidP="00DE2289">
      <w:pPr>
        <w:pStyle w:val="c01pointnumerotealtn"/>
        <w:shd w:val="clear" w:color="auto" w:fill="FFFFFF"/>
        <w:spacing w:before="0" w:beforeAutospacing="0" w:after="0"/>
        <w:ind w:left="0" w:firstLine="567"/>
        <w:rPr>
          <w:rFonts w:asciiTheme="minorHAnsi" w:hAnsiTheme="minorHAnsi" w:cstheme="minorHAnsi"/>
          <w:color w:val="000000"/>
          <w:sz w:val="22"/>
          <w:szCs w:val="22"/>
          <w:shd w:val="clear" w:color="auto" w:fill="FFFFFF"/>
        </w:rPr>
      </w:pPr>
      <w:r w:rsidRPr="005863BE">
        <w:rPr>
          <w:rFonts w:asciiTheme="minorHAnsi" w:hAnsiTheme="minorHAnsi" w:cstheme="minorHAnsi"/>
          <w:color w:val="000000"/>
          <w:sz w:val="22"/>
          <w:szCs w:val="22"/>
          <w:shd w:val="clear" w:color="auto" w:fill="FFFFFF"/>
        </w:rPr>
        <w:t>Imigracijos tarnyba po šios antros administracinės procedūros priimtame 2016 m. birželio 22 d. sprendime vėl atmetė A. Torubarov tarptautinės apsaugos prašymą</w:t>
      </w:r>
      <w:r w:rsidR="00DE2289">
        <w:rPr>
          <w:rFonts w:asciiTheme="minorHAnsi" w:hAnsiTheme="minorHAnsi" w:cstheme="minorHAnsi"/>
          <w:color w:val="000000"/>
          <w:sz w:val="22"/>
          <w:szCs w:val="22"/>
          <w:shd w:val="clear" w:color="auto" w:fill="FFFFFF"/>
        </w:rPr>
        <w:t xml:space="preserve"> </w:t>
      </w:r>
      <w:r>
        <w:rPr>
          <w:rFonts w:asciiTheme="minorHAnsi" w:hAnsiTheme="minorHAnsi" w:cstheme="minorHAnsi"/>
          <w:color w:val="000000"/>
          <w:sz w:val="22"/>
          <w:szCs w:val="22"/>
          <w:shd w:val="clear" w:color="auto" w:fill="FFFFFF"/>
        </w:rPr>
        <w:t>(27</w:t>
      </w:r>
      <w:r>
        <w:rPr>
          <w:rFonts w:asciiTheme="minorHAnsi" w:hAnsiTheme="minorHAnsi" w:cstheme="minorHAnsi"/>
          <w:sz w:val="22"/>
          <w:szCs w:val="22"/>
        </w:rPr>
        <w:t>–28 punktai)</w:t>
      </w:r>
      <w:r w:rsidRPr="005863BE">
        <w:rPr>
          <w:rFonts w:asciiTheme="minorHAnsi" w:hAnsiTheme="minorHAnsi" w:cstheme="minorHAnsi"/>
          <w:color w:val="000000"/>
          <w:sz w:val="22"/>
          <w:szCs w:val="22"/>
          <w:shd w:val="clear" w:color="auto" w:fill="FFFFFF"/>
        </w:rPr>
        <w:t xml:space="preserve">. A. Torubarov teismui </w:t>
      </w:r>
      <w:r w:rsidR="00DE2289">
        <w:rPr>
          <w:rFonts w:asciiTheme="minorHAnsi" w:hAnsiTheme="minorHAnsi" w:cstheme="minorHAnsi"/>
          <w:color w:val="000000"/>
          <w:sz w:val="22"/>
          <w:szCs w:val="22"/>
          <w:shd w:val="clear" w:color="auto" w:fill="FFFFFF"/>
        </w:rPr>
        <w:t xml:space="preserve">vėl </w:t>
      </w:r>
      <w:r w:rsidRPr="005863BE">
        <w:rPr>
          <w:rFonts w:asciiTheme="minorHAnsi" w:hAnsiTheme="minorHAnsi" w:cstheme="minorHAnsi"/>
          <w:color w:val="000000"/>
          <w:sz w:val="22"/>
          <w:szCs w:val="22"/>
          <w:shd w:val="clear" w:color="auto" w:fill="FFFFFF"/>
        </w:rPr>
        <w:t>pateikė skundą dėl 2016 m. birželio 22 d. Imigracijos tarnybos sprendimo. Šis teismas šį sprendimą panaikino 2017 m. vasario 25 d. sprendimu ir įpareigojo Imigracijos tarnybą pradėti naują procedūrą ir priimti naują sprendimą. Teismo nuomone, 2016 m. birželio 22 d. sprendimas buvo neteisėtas dėl akivaizdžios vertinimo klaidos, susijusios su, pirma, informacija apie atitinkamą valstybę ir, antra, Vengrijos Konstitucijos apsaugos tarnybos ekspertizės išvada</w:t>
      </w:r>
      <w:r w:rsidR="00DE2289">
        <w:rPr>
          <w:rFonts w:asciiTheme="minorHAnsi" w:hAnsiTheme="minorHAnsi" w:cstheme="minorHAnsi"/>
          <w:color w:val="000000"/>
          <w:sz w:val="22"/>
          <w:szCs w:val="22"/>
          <w:shd w:val="clear" w:color="auto" w:fill="FFFFFF"/>
        </w:rPr>
        <w:t xml:space="preserve"> </w:t>
      </w:r>
      <w:r>
        <w:rPr>
          <w:rFonts w:asciiTheme="minorHAnsi" w:hAnsiTheme="minorHAnsi" w:cstheme="minorHAnsi"/>
          <w:color w:val="000000"/>
          <w:sz w:val="22"/>
          <w:szCs w:val="22"/>
          <w:shd w:val="clear" w:color="auto" w:fill="FFFFFF"/>
        </w:rPr>
        <w:t>(29</w:t>
      </w:r>
      <w:r>
        <w:rPr>
          <w:rFonts w:asciiTheme="minorHAnsi" w:hAnsiTheme="minorHAnsi" w:cstheme="minorHAnsi"/>
          <w:sz w:val="22"/>
          <w:szCs w:val="22"/>
        </w:rPr>
        <w:t>–30 punktai)</w:t>
      </w:r>
      <w:r w:rsidRPr="00DD7358">
        <w:rPr>
          <w:rFonts w:asciiTheme="minorHAnsi" w:hAnsiTheme="minorHAnsi" w:cstheme="minorHAnsi"/>
          <w:color w:val="000000"/>
          <w:sz w:val="22"/>
          <w:szCs w:val="22"/>
          <w:shd w:val="clear" w:color="auto" w:fill="FFFFFF"/>
        </w:rPr>
        <w:t>.</w:t>
      </w:r>
      <w:r w:rsidR="00DE2289">
        <w:rPr>
          <w:rFonts w:asciiTheme="minorHAnsi" w:hAnsiTheme="minorHAnsi" w:cstheme="minorHAnsi"/>
          <w:color w:val="000000"/>
          <w:sz w:val="22"/>
          <w:szCs w:val="22"/>
          <w:shd w:val="clear" w:color="auto" w:fill="FFFFFF"/>
        </w:rPr>
        <w:t xml:space="preserve"> </w:t>
      </w:r>
    </w:p>
    <w:p w:rsidR="00C72D18" w:rsidRPr="00DD7358" w:rsidRDefault="00C72D18" w:rsidP="00DE2289">
      <w:pPr>
        <w:pStyle w:val="c01pointnumerotealtn"/>
        <w:shd w:val="clear" w:color="auto" w:fill="FFFFFF"/>
        <w:spacing w:before="0" w:beforeAutospacing="0" w:after="0"/>
        <w:ind w:left="0" w:firstLine="567"/>
        <w:rPr>
          <w:rFonts w:asciiTheme="minorHAnsi" w:hAnsiTheme="minorHAnsi" w:cstheme="minorHAnsi"/>
          <w:color w:val="000000"/>
          <w:sz w:val="22"/>
          <w:szCs w:val="22"/>
          <w:shd w:val="clear" w:color="auto" w:fill="FFFFFF"/>
        </w:rPr>
      </w:pPr>
      <w:r w:rsidRPr="00DD7358">
        <w:rPr>
          <w:rFonts w:asciiTheme="minorHAnsi" w:hAnsiTheme="minorHAnsi" w:cstheme="minorHAnsi"/>
          <w:color w:val="000000"/>
          <w:sz w:val="22"/>
          <w:szCs w:val="22"/>
          <w:shd w:val="clear" w:color="auto" w:fill="FFFFFF"/>
        </w:rPr>
        <w:t>2017 m. gegužės 15 d. sprendimu (toliau – ginčijamas sprendimas) Imigracijos tarnyba trečią kartą atmetė A. Torubarov tarptautinės apsaugos prašymą ir dėl pabėgėlio statuso, ir dėl papildomos apsaugos statuso suteikimo, be kita ko, pasirėmusi tuo, kad negalėjo būti įrodyta, kad jis buvo persekiojamas dėl politinių priežasčių. Prašymą priimti prejudicinį sprendimą pateikęs teismas nagrinėja trečią skundą, šįkart susijusį su ginčijamu sprendimu; šiame skunde A. Torubarov prašo, kad tas sprendimas būtų pakeistas taip, kad teismas jam suteiktų pabėgėlio statusą, o nepatenkinus šio prašymo – papildomos apsaugos gavėjo statusą</w:t>
      </w:r>
      <w:r>
        <w:rPr>
          <w:rFonts w:asciiTheme="minorHAnsi" w:hAnsiTheme="minorHAnsi" w:cstheme="minorHAnsi"/>
          <w:color w:val="000000"/>
          <w:sz w:val="22"/>
          <w:szCs w:val="22"/>
          <w:shd w:val="clear" w:color="auto" w:fill="FFFFFF"/>
        </w:rPr>
        <w:t xml:space="preserve"> (31</w:t>
      </w:r>
      <w:r>
        <w:rPr>
          <w:rFonts w:asciiTheme="minorHAnsi" w:hAnsiTheme="minorHAnsi" w:cstheme="minorHAnsi"/>
          <w:sz w:val="22"/>
          <w:szCs w:val="22"/>
        </w:rPr>
        <w:t>–32 punktai)</w:t>
      </w:r>
      <w:r w:rsidRPr="00DD7358">
        <w:rPr>
          <w:rFonts w:asciiTheme="minorHAnsi" w:hAnsiTheme="minorHAnsi" w:cstheme="minorHAnsi"/>
          <w:color w:val="000000"/>
          <w:sz w:val="22"/>
          <w:szCs w:val="22"/>
          <w:shd w:val="clear" w:color="auto" w:fill="FFFFFF"/>
        </w:rPr>
        <w:t>.</w:t>
      </w:r>
    </w:p>
    <w:p w:rsidR="00C72D18" w:rsidRPr="00F13F10" w:rsidRDefault="00C72D18" w:rsidP="00C72D18">
      <w:pPr>
        <w:pStyle w:val="c01pointnumerotealtn"/>
        <w:shd w:val="clear" w:color="auto" w:fill="FFFFFF"/>
        <w:spacing w:before="0" w:beforeAutospacing="0" w:after="0"/>
        <w:ind w:left="0" w:firstLine="567"/>
        <w:rPr>
          <w:rFonts w:asciiTheme="minorHAnsi" w:hAnsiTheme="minorHAnsi" w:cstheme="minorHAnsi"/>
          <w:sz w:val="22"/>
          <w:szCs w:val="22"/>
        </w:rPr>
      </w:pPr>
    </w:p>
    <w:p w:rsidR="00C72D18" w:rsidRPr="00AA6E4E" w:rsidRDefault="00C72D18" w:rsidP="00CB0B9D">
      <w:pPr>
        <w:pStyle w:val="Heading3"/>
        <w:ind w:firstLine="567"/>
        <w:rPr>
          <w:rFonts w:cstheme="minorHAnsi"/>
          <w:b w:val="0"/>
        </w:rPr>
      </w:pPr>
      <w:bookmarkStart w:id="11" w:name="_Toc21941943"/>
      <w:r w:rsidRPr="00F13F10">
        <w:rPr>
          <w:rFonts w:cstheme="minorHAnsi"/>
        </w:rPr>
        <w:t>Dėl</w:t>
      </w:r>
      <w:r>
        <w:rPr>
          <w:rFonts w:cstheme="minorHAnsi"/>
        </w:rPr>
        <w:t xml:space="preserve"> teismo teisės keisti prieglobsčio klausimus kompetentingos spręsti valdžios institucijos administracinius sprendimus nesuteikti tarptautinės apsaugos ir patiems ją suteikti</w:t>
      </w:r>
      <w:bookmarkEnd w:id="11"/>
    </w:p>
    <w:p w:rsidR="00C72D18" w:rsidRPr="00F13F10" w:rsidRDefault="00C72D18" w:rsidP="00C72D18">
      <w:pPr>
        <w:pStyle w:val="c01pointnumerotealtn"/>
        <w:shd w:val="clear" w:color="auto" w:fill="FFFFFF"/>
        <w:spacing w:before="0" w:beforeAutospacing="0" w:after="0"/>
        <w:ind w:left="0" w:firstLine="567"/>
        <w:rPr>
          <w:rFonts w:asciiTheme="minorHAnsi" w:hAnsiTheme="minorHAnsi" w:cstheme="minorHAnsi"/>
          <w:sz w:val="22"/>
          <w:szCs w:val="22"/>
        </w:rPr>
      </w:pPr>
    </w:p>
    <w:p w:rsidR="00C72D18" w:rsidRDefault="00C72D18" w:rsidP="00C72D18">
      <w:pPr>
        <w:pStyle w:val="c01pointnumerotealtn"/>
        <w:shd w:val="clear" w:color="auto" w:fill="FFFFFF"/>
        <w:spacing w:before="0" w:beforeAutospacing="0" w:after="0"/>
        <w:ind w:left="0" w:firstLine="567"/>
        <w:rPr>
          <w:rFonts w:asciiTheme="minorHAnsi" w:hAnsiTheme="minorHAnsi" w:cstheme="minorHAnsi"/>
          <w:sz w:val="22"/>
          <w:szCs w:val="22"/>
        </w:rPr>
      </w:pPr>
      <w:r>
        <w:rPr>
          <w:rFonts w:asciiTheme="minorHAnsi" w:hAnsiTheme="minorHAnsi" w:cstheme="minorHAnsi"/>
          <w:sz w:val="22"/>
          <w:szCs w:val="22"/>
        </w:rPr>
        <w:t>Teisingumo Teismas</w:t>
      </w:r>
      <w:r w:rsidRPr="00F13F10">
        <w:rPr>
          <w:rFonts w:asciiTheme="minorHAnsi" w:hAnsiTheme="minorHAnsi" w:cstheme="minorHAnsi"/>
          <w:sz w:val="22"/>
          <w:szCs w:val="22"/>
        </w:rPr>
        <w:t xml:space="preserve"> </w:t>
      </w:r>
      <w:r w:rsidRPr="00987174">
        <w:rPr>
          <w:rFonts w:asciiTheme="minorHAnsi" w:hAnsiTheme="minorHAnsi" w:cstheme="minorHAnsi"/>
          <w:sz w:val="22"/>
          <w:szCs w:val="22"/>
        </w:rPr>
        <w:t xml:space="preserve">nurodė, kad </w:t>
      </w:r>
      <w:r w:rsidRPr="00987174">
        <w:rPr>
          <w:rFonts w:asciiTheme="minorHAnsi" w:hAnsiTheme="minorHAnsi" w:cstheme="minorHAnsi"/>
          <w:color w:val="000000"/>
          <w:sz w:val="22"/>
          <w:szCs w:val="22"/>
          <w:shd w:val="clear" w:color="auto" w:fill="FFFFFF"/>
        </w:rPr>
        <w:t xml:space="preserve">prašymą priimti prejudicinį sprendimą pateikęs teismas iš esmės siekia išsiaiškinti, ar Direktyvos 2013/32 46 straipsnio 3 dalis kartu su Chartijos 47 straipsniu turi būti aiškinami kaip suteikiantys </w:t>
      </w:r>
      <w:r>
        <w:rPr>
          <w:rFonts w:asciiTheme="minorHAnsi" w:hAnsiTheme="minorHAnsi" w:cstheme="minorHAnsi"/>
          <w:color w:val="000000"/>
          <w:sz w:val="22"/>
          <w:szCs w:val="22"/>
          <w:shd w:val="clear" w:color="auto" w:fill="FFFFFF"/>
        </w:rPr>
        <w:t xml:space="preserve">&lt;...&gt; </w:t>
      </w:r>
      <w:r w:rsidRPr="00987174">
        <w:rPr>
          <w:rFonts w:asciiTheme="minorHAnsi" w:hAnsiTheme="minorHAnsi" w:cstheme="minorHAnsi"/>
          <w:color w:val="000000"/>
          <w:sz w:val="22"/>
          <w:szCs w:val="22"/>
          <w:shd w:val="clear" w:color="auto" w:fill="FFFFFF"/>
        </w:rPr>
        <w:t>skundą dėl sprendimo atmesti tarptautinės apsaugos prašymą nagrinėjančiam pirmosios instancijos teismui įgaliojimus pakeisti šį administracinį sprendimą ir priimti savo sprendimą vietoj jį priėmusios administracinės institucijos</w:t>
      </w:r>
      <w:r>
        <w:rPr>
          <w:rFonts w:asciiTheme="minorHAnsi" w:hAnsiTheme="minorHAnsi" w:cstheme="minorHAnsi"/>
          <w:color w:val="000000"/>
          <w:sz w:val="22"/>
          <w:szCs w:val="22"/>
          <w:shd w:val="clear" w:color="auto" w:fill="FFFFFF"/>
        </w:rPr>
        <w:t xml:space="preserve"> (38 punktas).</w:t>
      </w:r>
    </w:p>
    <w:p w:rsidR="00C72D18" w:rsidRDefault="00C72D18" w:rsidP="00C72D18">
      <w:pPr>
        <w:pStyle w:val="c01pointnumerotealtn"/>
        <w:shd w:val="clear" w:color="auto" w:fill="FFFFFF"/>
        <w:spacing w:before="0" w:beforeAutospacing="0" w:after="0"/>
        <w:ind w:left="0" w:firstLine="567"/>
        <w:rPr>
          <w:rFonts w:asciiTheme="minorHAnsi" w:hAnsiTheme="minorHAnsi" w:cstheme="minorHAnsi"/>
          <w:sz w:val="22"/>
          <w:szCs w:val="22"/>
        </w:rPr>
      </w:pPr>
      <w:r>
        <w:rPr>
          <w:rFonts w:asciiTheme="minorHAnsi" w:hAnsiTheme="minorHAnsi" w:cstheme="minorHAnsi"/>
          <w:color w:val="000000"/>
          <w:sz w:val="22"/>
          <w:szCs w:val="22"/>
          <w:shd w:val="clear" w:color="auto" w:fill="FFFFFF"/>
        </w:rPr>
        <w:t xml:space="preserve">Teisingumo Teismas </w:t>
      </w:r>
      <w:r w:rsidRPr="008033CF">
        <w:rPr>
          <w:rFonts w:asciiTheme="minorHAnsi" w:hAnsiTheme="minorHAnsi" w:cstheme="minorHAnsi"/>
          <w:color w:val="000000"/>
          <w:sz w:val="22"/>
          <w:szCs w:val="22"/>
          <w:shd w:val="clear" w:color="auto" w:fill="FFFFFF"/>
        </w:rPr>
        <w:t>pažymė</w:t>
      </w:r>
      <w:r>
        <w:rPr>
          <w:rFonts w:asciiTheme="minorHAnsi" w:hAnsiTheme="minorHAnsi" w:cstheme="minorHAnsi"/>
          <w:color w:val="000000"/>
          <w:sz w:val="22"/>
          <w:szCs w:val="22"/>
          <w:shd w:val="clear" w:color="auto" w:fill="FFFFFF"/>
        </w:rPr>
        <w:t>jo</w:t>
      </w:r>
      <w:r w:rsidRPr="008033CF">
        <w:rPr>
          <w:rFonts w:asciiTheme="minorHAnsi" w:hAnsiTheme="minorHAnsi" w:cstheme="minorHAnsi"/>
          <w:color w:val="000000"/>
          <w:sz w:val="22"/>
          <w:szCs w:val="22"/>
          <w:shd w:val="clear" w:color="auto" w:fill="FFFFFF"/>
        </w:rPr>
        <w:t>, kad pagal Direktyvos 2013/32 1 straipsnį</w:t>
      </w:r>
      <w:r>
        <w:rPr>
          <w:rFonts w:asciiTheme="minorHAnsi" w:hAnsiTheme="minorHAnsi" w:cstheme="minorHAnsi"/>
          <w:color w:val="000000"/>
          <w:sz w:val="22"/>
          <w:szCs w:val="22"/>
          <w:shd w:val="clear" w:color="auto" w:fill="FFFFFF"/>
        </w:rPr>
        <w:t>,</w:t>
      </w:r>
      <w:r w:rsidRPr="008033CF">
        <w:rPr>
          <w:rFonts w:asciiTheme="minorHAnsi" w:hAnsiTheme="minorHAnsi" w:cstheme="minorHAnsi"/>
          <w:color w:val="000000"/>
          <w:sz w:val="22"/>
          <w:szCs w:val="22"/>
          <w:shd w:val="clear" w:color="auto" w:fill="FFFFFF"/>
        </w:rPr>
        <w:t xml:space="preserve"> šios direktyvos tikslas – nustatyti pagal Direktyvą 2011/95 bendrą tarptautinės apsaugos </w:t>
      </w:r>
      <w:r w:rsidRPr="0070693C">
        <w:rPr>
          <w:rFonts w:asciiTheme="minorHAnsi" w:hAnsiTheme="minorHAnsi" w:cstheme="minorHAnsi"/>
          <w:color w:val="000000"/>
          <w:sz w:val="22"/>
          <w:szCs w:val="22"/>
          <w:shd w:val="clear" w:color="auto" w:fill="FFFFFF"/>
        </w:rPr>
        <w:t>suteikimo ir panaikinimo tvarką. Pastarojoje direktyvoje, vadovaujantis jos 1 straipsniu, numatyti reikalavimai, susiję su, pirma, trečiųjų šalių piliečių ar asmenų be pilietybės priskyrimu prie tarptautinės apsaugos gavėjų, antra, vienodu statusu pabėgėliams arba papildomą apsaugą galintiems gauti asmenims ir galiausiai – suteikiamos apsaugos pobūdžiu</w:t>
      </w:r>
      <w:r>
        <w:rPr>
          <w:rFonts w:asciiTheme="minorHAnsi" w:hAnsiTheme="minorHAnsi" w:cstheme="minorHAnsi"/>
          <w:color w:val="000000"/>
          <w:sz w:val="22"/>
          <w:szCs w:val="22"/>
          <w:shd w:val="clear" w:color="auto" w:fill="FFFFFF"/>
        </w:rPr>
        <w:t xml:space="preserve"> (47</w:t>
      </w:r>
      <w:r>
        <w:rPr>
          <w:rFonts w:asciiTheme="minorHAnsi" w:hAnsiTheme="minorHAnsi" w:cstheme="minorHAnsi"/>
          <w:sz w:val="22"/>
          <w:szCs w:val="22"/>
        </w:rPr>
        <w:t>–48 punktai).</w:t>
      </w:r>
    </w:p>
    <w:p w:rsidR="00C72D18" w:rsidRDefault="00C72D18" w:rsidP="00C72D18">
      <w:pPr>
        <w:pStyle w:val="c01pointnumerotealtn"/>
        <w:shd w:val="clear" w:color="auto" w:fill="FFFFFF"/>
        <w:spacing w:before="0" w:beforeAutospacing="0" w:after="0"/>
        <w:ind w:left="0" w:firstLine="567"/>
        <w:rPr>
          <w:rFonts w:asciiTheme="minorHAnsi" w:hAnsiTheme="minorHAnsi" w:cstheme="minorHAnsi"/>
          <w:color w:val="000000"/>
          <w:sz w:val="22"/>
          <w:szCs w:val="22"/>
          <w:shd w:val="clear" w:color="auto" w:fill="FFFFFF"/>
        </w:rPr>
      </w:pPr>
      <w:r w:rsidRPr="0070693C">
        <w:rPr>
          <w:rFonts w:asciiTheme="minorHAnsi" w:hAnsiTheme="minorHAnsi" w:cstheme="minorHAnsi"/>
          <w:sz w:val="22"/>
          <w:szCs w:val="22"/>
        </w:rPr>
        <w:t xml:space="preserve">Teisingumo </w:t>
      </w:r>
      <w:r>
        <w:rPr>
          <w:rFonts w:asciiTheme="minorHAnsi" w:hAnsiTheme="minorHAnsi" w:cstheme="minorHAnsi"/>
          <w:sz w:val="22"/>
          <w:szCs w:val="22"/>
        </w:rPr>
        <w:t>T</w:t>
      </w:r>
      <w:r w:rsidRPr="0070693C">
        <w:rPr>
          <w:rFonts w:asciiTheme="minorHAnsi" w:hAnsiTheme="minorHAnsi" w:cstheme="minorHAnsi"/>
          <w:sz w:val="22"/>
          <w:szCs w:val="22"/>
        </w:rPr>
        <w:t xml:space="preserve">eismas nurodė, kad </w:t>
      </w:r>
      <w:r w:rsidRPr="0070693C">
        <w:rPr>
          <w:rFonts w:asciiTheme="minorHAnsi" w:hAnsiTheme="minorHAnsi" w:cstheme="minorHAnsi"/>
          <w:color w:val="000000"/>
          <w:sz w:val="22"/>
          <w:szCs w:val="22"/>
          <w:u w:val="single"/>
          <w:shd w:val="clear" w:color="auto" w:fill="FFFFFF"/>
        </w:rPr>
        <w:t xml:space="preserve">kai asmuo atitinka būtiniausius Sąjungos teisėje nustatytus standartus, kad galėtų pasinaudoti kuriuo nors iš šių </w:t>
      </w:r>
      <w:r>
        <w:rPr>
          <w:rFonts w:asciiTheme="minorHAnsi" w:hAnsiTheme="minorHAnsi" w:cstheme="minorHAnsi"/>
          <w:color w:val="000000"/>
          <w:sz w:val="22"/>
          <w:szCs w:val="22"/>
          <w:u w:val="single"/>
          <w:shd w:val="clear" w:color="auto" w:fill="FFFFFF"/>
        </w:rPr>
        <w:t xml:space="preserve">[pabėgėlio arba papildomą apsaugą galinčio gauti asmens] </w:t>
      </w:r>
      <w:r w:rsidRPr="0070693C">
        <w:rPr>
          <w:rFonts w:asciiTheme="minorHAnsi" w:hAnsiTheme="minorHAnsi" w:cstheme="minorHAnsi"/>
          <w:color w:val="000000"/>
          <w:sz w:val="22"/>
          <w:szCs w:val="22"/>
          <w:u w:val="single"/>
          <w:shd w:val="clear" w:color="auto" w:fill="FFFFFF"/>
        </w:rPr>
        <w:t>statusų</w:t>
      </w:r>
      <w:r w:rsidRPr="0070693C">
        <w:rPr>
          <w:rFonts w:asciiTheme="minorHAnsi" w:hAnsiTheme="minorHAnsi" w:cstheme="minorHAnsi"/>
          <w:color w:val="000000"/>
          <w:sz w:val="22"/>
          <w:szCs w:val="22"/>
          <w:shd w:val="clear" w:color="auto" w:fill="FFFFFF"/>
        </w:rPr>
        <w:t xml:space="preserve">, </w:t>
      </w:r>
      <w:r w:rsidRPr="0070693C">
        <w:rPr>
          <w:rFonts w:asciiTheme="minorHAnsi" w:hAnsiTheme="minorHAnsi" w:cstheme="minorHAnsi"/>
          <w:color w:val="000000"/>
          <w:sz w:val="22"/>
          <w:szCs w:val="22"/>
          <w:u w:val="single"/>
          <w:shd w:val="clear" w:color="auto" w:fill="FFFFFF"/>
        </w:rPr>
        <w:t>taip pat, jei atitinka Direktyvos 2011/95 II ir III skyriuose arba II ir V skyriuose nustatytus reikalavimus, valstybės narės, atsižvelgdamos į toje direktyvoje numatytus statusų nesuteikimo pagrindus, privalo suteikti prašomą tarptautinę apsaugą, nes jos šiuo klausimu neturi diskrecijos</w:t>
      </w:r>
      <w:r w:rsidRPr="0070693C">
        <w:rPr>
          <w:rFonts w:asciiTheme="minorHAnsi" w:hAnsiTheme="minorHAnsi" w:cstheme="minorHAnsi"/>
          <w:color w:val="000000"/>
          <w:sz w:val="22"/>
          <w:szCs w:val="22"/>
          <w:shd w:val="clear" w:color="auto" w:fill="FFFFFF"/>
        </w:rPr>
        <w:t xml:space="preserve"> </w:t>
      </w:r>
      <w:r w:rsidRPr="00DB19B4">
        <w:rPr>
          <w:rFonts w:asciiTheme="minorHAnsi" w:hAnsiTheme="minorHAnsi" w:cstheme="minorHAnsi"/>
          <w:color w:val="000000"/>
          <w:sz w:val="22"/>
          <w:szCs w:val="22"/>
          <w:shd w:val="clear" w:color="auto" w:fill="FFFFFF"/>
        </w:rPr>
        <w:t xml:space="preserve">(šiuo klausimu žr. 2015 m. birželio 24 d. Sprendimo </w:t>
      </w:r>
      <w:r w:rsidRPr="00DB19B4">
        <w:rPr>
          <w:rFonts w:asciiTheme="minorHAnsi" w:hAnsiTheme="minorHAnsi" w:cstheme="minorHAnsi"/>
          <w:i/>
          <w:iCs/>
          <w:color w:val="000000"/>
          <w:sz w:val="22"/>
          <w:szCs w:val="22"/>
        </w:rPr>
        <w:t>T.</w:t>
      </w:r>
      <w:r w:rsidRPr="00DB19B4">
        <w:rPr>
          <w:rFonts w:asciiTheme="minorHAnsi" w:hAnsiTheme="minorHAnsi" w:cstheme="minorHAnsi"/>
          <w:color w:val="000000"/>
          <w:sz w:val="22"/>
          <w:szCs w:val="22"/>
          <w:shd w:val="clear" w:color="auto" w:fill="FFFFFF"/>
        </w:rPr>
        <w:t>, C</w:t>
      </w:r>
      <w:r w:rsidRPr="00DB19B4">
        <w:rPr>
          <w:rFonts w:asciiTheme="minorHAnsi" w:hAnsiTheme="minorHAnsi" w:cstheme="minorHAnsi"/>
          <w:color w:val="000000"/>
          <w:sz w:val="22"/>
          <w:szCs w:val="22"/>
          <w:shd w:val="clear" w:color="auto" w:fill="FFFFFF"/>
        </w:rPr>
        <w:noBreakHyphen/>
        <w:t xml:space="preserve">373/13, EU:C:2015:413, 63 punktą; 2018 m. balandžio 12 d. Sprendimo </w:t>
      </w:r>
      <w:r w:rsidRPr="00DB19B4">
        <w:rPr>
          <w:rFonts w:asciiTheme="minorHAnsi" w:hAnsiTheme="minorHAnsi" w:cstheme="minorHAnsi"/>
          <w:i/>
          <w:iCs/>
          <w:color w:val="000000"/>
          <w:sz w:val="22"/>
          <w:szCs w:val="22"/>
        </w:rPr>
        <w:t>A ir S</w:t>
      </w:r>
      <w:r w:rsidRPr="00DB19B4">
        <w:rPr>
          <w:rFonts w:asciiTheme="minorHAnsi" w:hAnsiTheme="minorHAnsi" w:cstheme="minorHAnsi"/>
          <w:color w:val="000000"/>
          <w:sz w:val="22"/>
          <w:szCs w:val="22"/>
          <w:shd w:val="clear" w:color="auto" w:fill="FFFFFF"/>
        </w:rPr>
        <w:t>, C</w:t>
      </w:r>
      <w:r w:rsidRPr="00DB19B4">
        <w:rPr>
          <w:rFonts w:asciiTheme="minorHAnsi" w:hAnsiTheme="minorHAnsi" w:cstheme="minorHAnsi"/>
          <w:color w:val="000000"/>
          <w:sz w:val="22"/>
          <w:szCs w:val="22"/>
          <w:shd w:val="clear" w:color="auto" w:fill="FFFFFF"/>
        </w:rPr>
        <w:noBreakHyphen/>
        <w:t xml:space="preserve">550/16, EU:C:2018:248, 52 punktą ir 2019 m. gegužės 14 d. Sprendimo </w:t>
      </w:r>
      <w:r w:rsidRPr="00DB19B4">
        <w:rPr>
          <w:rFonts w:asciiTheme="minorHAnsi" w:hAnsiTheme="minorHAnsi" w:cstheme="minorHAnsi"/>
          <w:i/>
          <w:iCs/>
          <w:color w:val="000000"/>
          <w:sz w:val="22"/>
          <w:szCs w:val="22"/>
        </w:rPr>
        <w:t>M ir kt. (Pabėgėlio statuso panaikinimas)</w:t>
      </w:r>
      <w:r w:rsidRPr="00DB19B4">
        <w:rPr>
          <w:rFonts w:asciiTheme="minorHAnsi" w:hAnsiTheme="minorHAnsi" w:cstheme="minorHAnsi"/>
          <w:color w:val="000000"/>
          <w:sz w:val="22"/>
          <w:szCs w:val="22"/>
          <w:shd w:val="clear" w:color="auto" w:fill="FFFFFF"/>
        </w:rPr>
        <w:t>, C</w:t>
      </w:r>
      <w:r w:rsidRPr="00DB19B4">
        <w:rPr>
          <w:rFonts w:asciiTheme="minorHAnsi" w:hAnsiTheme="minorHAnsi" w:cstheme="minorHAnsi"/>
          <w:color w:val="000000"/>
          <w:sz w:val="22"/>
          <w:szCs w:val="22"/>
          <w:shd w:val="clear" w:color="auto" w:fill="FFFFFF"/>
        </w:rPr>
        <w:noBreakHyphen/>
        <w:t>391/16, C</w:t>
      </w:r>
      <w:r w:rsidRPr="00DB19B4">
        <w:rPr>
          <w:rFonts w:asciiTheme="minorHAnsi" w:hAnsiTheme="minorHAnsi" w:cstheme="minorHAnsi"/>
          <w:color w:val="000000"/>
          <w:sz w:val="22"/>
          <w:szCs w:val="22"/>
          <w:shd w:val="clear" w:color="auto" w:fill="FFFFFF"/>
        </w:rPr>
        <w:noBreakHyphen/>
        <w:t>77/17 ir C</w:t>
      </w:r>
      <w:r w:rsidRPr="00DB19B4">
        <w:rPr>
          <w:rFonts w:asciiTheme="minorHAnsi" w:hAnsiTheme="minorHAnsi" w:cstheme="minorHAnsi"/>
          <w:color w:val="000000"/>
          <w:sz w:val="22"/>
          <w:szCs w:val="22"/>
          <w:shd w:val="clear" w:color="auto" w:fill="FFFFFF"/>
        </w:rPr>
        <w:noBreakHyphen/>
        <w:t>78/17, EU:C:2019:403, 89 punktą)</w:t>
      </w:r>
      <w:r w:rsidRPr="0070693C">
        <w:rPr>
          <w:rFonts w:asciiTheme="minorHAnsi" w:hAnsiTheme="minorHAnsi" w:cstheme="minorHAnsi"/>
          <w:color w:val="000000"/>
          <w:sz w:val="22"/>
          <w:szCs w:val="22"/>
          <w:shd w:val="clear" w:color="auto" w:fill="FFFFFF"/>
        </w:rPr>
        <w:t xml:space="preserve"> (50 punktas).</w:t>
      </w:r>
    </w:p>
    <w:p w:rsidR="00C72D18" w:rsidRDefault="00C72D18" w:rsidP="00C72D18">
      <w:pPr>
        <w:pStyle w:val="c01pointnumerotealtn"/>
        <w:shd w:val="clear" w:color="auto" w:fill="FFFFFF"/>
        <w:spacing w:before="0" w:beforeAutospacing="0" w:after="0"/>
        <w:ind w:left="0" w:firstLine="567"/>
        <w:rPr>
          <w:rFonts w:asciiTheme="minorHAnsi" w:hAnsiTheme="minorHAnsi" w:cstheme="minorHAnsi"/>
          <w:sz w:val="22"/>
          <w:szCs w:val="22"/>
        </w:rPr>
      </w:pPr>
      <w:r>
        <w:rPr>
          <w:rFonts w:asciiTheme="minorHAnsi" w:hAnsiTheme="minorHAnsi" w:cstheme="minorHAnsi"/>
          <w:color w:val="000000"/>
          <w:sz w:val="22"/>
          <w:szCs w:val="22"/>
          <w:shd w:val="clear" w:color="auto" w:fill="FFFFFF"/>
        </w:rPr>
        <w:t xml:space="preserve">Teisingumo Teismas </w:t>
      </w:r>
      <w:r w:rsidRPr="0070693C">
        <w:rPr>
          <w:rFonts w:asciiTheme="minorHAnsi" w:hAnsiTheme="minorHAnsi" w:cstheme="minorHAnsi"/>
          <w:color w:val="000000"/>
          <w:sz w:val="22"/>
          <w:szCs w:val="22"/>
          <w:shd w:val="clear" w:color="auto" w:fill="FFFFFF"/>
        </w:rPr>
        <w:t xml:space="preserve">nurodė, kad Direktyvos 2013/32 46 straipsnio 1 dalyje tarptautinės apsaugos prašytojams suteikiama teisė į veiksmingą teisių gynimą teisme dėl sprendimų, susijusių su jų prašymais. Šios </w:t>
      </w:r>
      <w:r w:rsidRPr="0070693C">
        <w:rPr>
          <w:rFonts w:asciiTheme="minorHAnsi" w:hAnsiTheme="minorHAnsi" w:cstheme="minorHAnsi"/>
          <w:color w:val="000000"/>
          <w:sz w:val="22"/>
          <w:szCs w:val="22"/>
          <w:u w:val="single"/>
          <w:shd w:val="clear" w:color="auto" w:fill="FFFFFF"/>
        </w:rPr>
        <w:t>direktyvos 46 straipsnio 3 dalyje apibrėžta teisės į veiksmingą teisių gynimą taikymo sritis</w:t>
      </w:r>
      <w:r w:rsidRPr="0070693C">
        <w:rPr>
          <w:rFonts w:asciiTheme="minorHAnsi" w:hAnsiTheme="minorHAnsi" w:cstheme="minorHAnsi"/>
          <w:color w:val="000000"/>
          <w:sz w:val="22"/>
          <w:szCs w:val="22"/>
          <w:shd w:val="clear" w:color="auto" w:fill="FFFFFF"/>
        </w:rPr>
        <w:t xml:space="preserve">, nurodant, kad valstybės narės, kurioms ši direktyva privaloma, turi užtikrinti, kad </w:t>
      </w:r>
      <w:r w:rsidRPr="0070693C">
        <w:rPr>
          <w:rFonts w:asciiTheme="minorHAnsi" w:hAnsiTheme="minorHAnsi" w:cstheme="minorHAnsi"/>
          <w:color w:val="000000"/>
          <w:sz w:val="22"/>
          <w:szCs w:val="22"/>
          <w:u w:val="single"/>
          <w:shd w:val="clear" w:color="auto" w:fill="FFFFFF"/>
        </w:rPr>
        <w:t>teismas</w:t>
      </w:r>
      <w:r w:rsidRPr="0070693C">
        <w:rPr>
          <w:rFonts w:asciiTheme="minorHAnsi" w:hAnsiTheme="minorHAnsi" w:cstheme="minorHAnsi"/>
          <w:color w:val="000000"/>
          <w:sz w:val="22"/>
          <w:szCs w:val="22"/>
          <w:shd w:val="clear" w:color="auto" w:fill="FFFFFF"/>
        </w:rPr>
        <w:t>, kuriam apskųstas sprendimas dėl tarptautinės apsaugos prašymo, „</w:t>
      </w:r>
      <w:r w:rsidRPr="0070693C">
        <w:rPr>
          <w:rFonts w:asciiTheme="minorHAnsi" w:hAnsiTheme="minorHAnsi" w:cstheme="minorHAnsi"/>
          <w:color w:val="000000"/>
          <w:sz w:val="22"/>
          <w:szCs w:val="22"/>
          <w:u w:val="single"/>
          <w:shd w:val="clear" w:color="auto" w:fill="FFFFFF"/>
        </w:rPr>
        <w:t xml:space="preserve">atliktų išsamų ir </w:t>
      </w:r>
      <w:r w:rsidRPr="0070693C">
        <w:rPr>
          <w:rFonts w:asciiTheme="minorHAnsi" w:hAnsiTheme="minorHAnsi" w:cstheme="minorHAnsi"/>
          <w:i/>
          <w:iCs/>
          <w:color w:val="000000"/>
          <w:sz w:val="22"/>
          <w:szCs w:val="22"/>
          <w:u w:val="single"/>
        </w:rPr>
        <w:t>ex nunc</w:t>
      </w:r>
      <w:r w:rsidRPr="0070693C">
        <w:rPr>
          <w:rFonts w:asciiTheme="minorHAnsi" w:hAnsiTheme="minorHAnsi" w:cstheme="minorHAnsi"/>
          <w:color w:val="000000"/>
          <w:sz w:val="22"/>
          <w:szCs w:val="22"/>
          <w:u w:val="single"/>
          <w:shd w:val="clear" w:color="auto" w:fill="FFFFFF"/>
        </w:rPr>
        <w:t xml:space="preserve"> faktinių ir teisinių aplinkybių nagrinėjimą, įskaitant – atitinkamais atvejais – tarptautinės apsaugos poreikių nagrinėjimą pagal Direktyvą 2011/95</w:t>
      </w:r>
      <w:r w:rsidRPr="0070693C">
        <w:rPr>
          <w:rFonts w:asciiTheme="minorHAnsi" w:hAnsiTheme="minorHAnsi" w:cstheme="minorHAnsi"/>
          <w:color w:val="000000"/>
          <w:sz w:val="22"/>
          <w:szCs w:val="22"/>
          <w:shd w:val="clear" w:color="auto" w:fill="FFFFFF"/>
        </w:rPr>
        <w:t>“</w:t>
      </w:r>
      <w:r>
        <w:rPr>
          <w:rFonts w:asciiTheme="minorHAnsi" w:hAnsiTheme="minorHAnsi" w:cstheme="minorHAnsi"/>
          <w:color w:val="000000"/>
          <w:sz w:val="22"/>
          <w:szCs w:val="22"/>
          <w:shd w:val="clear" w:color="auto" w:fill="FFFFFF"/>
        </w:rPr>
        <w:t xml:space="preserve"> </w:t>
      </w:r>
      <w:r w:rsidRPr="00DB19B4">
        <w:rPr>
          <w:rFonts w:asciiTheme="minorHAnsi" w:hAnsiTheme="minorHAnsi" w:cstheme="minorHAnsi"/>
          <w:color w:val="000000"/>
          <w:sz w:val="22"/>
          <w:szCs w:val="22"/>
          <w:shd w:val="clear" w:color="auto" w:fill="FFFFFF"/>
        </w:rPr>
        <w:t xml:space="preserve">(šiuo klausimu žr. 2018 m. liepos 25 d. Sprendimo </w:t>
      </w:r>
      <w:r w:rsidRPr="00DB19B4">
        <w:rPr>
          <w:rFonts w:asciiTheme="minorHAnsi" w:hAnsiTheme="minorHAnsi" w:cstheme="minorHAnsi"/>
          <w:i/>
          <w:iCs/>
          <w:color w:val="000000"/>
          <w:sz w:val="22"/>
          <w:szCs w:val="22"/>
        </w:rPr>
        <w:t>Alheto</w:t>
      </w:r>
      <w:r w:rsidRPr="00DB19B4">
        <w:rPr>
          <w:rFonts w:asciiTheme="minorHAnsi" w:hAnsiTheme="minorHAnsi" w:cstheme="minorHAnsi"/>
          <w:color w:val="000000"/>
          <w:sz w:val="22"/>
          <w:szCs w:val="22"/>
          <w:shd w:val="clear" w:color="auto" w:fill="FFFFFF"/>
        </w:rPr>
        <w:t>, C</w:t>
      </w:r>
      <w:r w:rsidRPr="00DB19B4">
        <w:rPr>
          <w:rFonts w:asciiTheme="minorHAnsi" w:hAnsiTheme="minorHAnsi" w:cstheme="minorHAnsi"/>
          <w:color w:val="000000"/>
          <w:sz w:val="22"/>
          <w:szCs w:val="22"/>
          <w:shd w:val="clear" w:color="auto" w:fill="FFFFFF"/>
        </w:rPr>
        <w:noBreakHyphen/>
        <w:t xml:space="preserve">585/16, EU:C:2018:584, 105 ir 106 punktus). </w:t>
      </w:r>
      <w:r w:rsidRPr="0070693C">
        <w:rPr>
          <w:rFonts w:asciiTheme="minorHAnsi" w:hAnsiTheme="minorHAnsi" w:cstheme="minorHAnsi"/>
          <w:color w:val="000000"/>
          <w:sz w:val="22"/>
          <w:szCs w:val="22"/>
          <w:shd w:val="clear" w:color="auto" w:fill="FFFFFF"/>
        </w:rPr>
        <w:t xml:space="preserve">Terminas „ex nunc“ reiškia, kad </w:t>
      </w:r>
      <w:r w:rsidRPr="008F246B">
        <w:rPr>
          <w:rFonts w:asciiTheme="minorHAnsi" w:hAnsiTheme="minorHAnsi" w:cstheme="minorHAnsi"/>
          <w:color w:val="000000"/>
          <w:sz w:val="22"/>
          <w:szCs w:val="22"/>
          <w:u w:val="single"/>
          <w:shd w:val="clear" w:color="auto" w:fill="FFFFFF"/>
        </w:rPr>
        <w:t>teismas turi pareigą atlikti vertinimą</w:t>
      </w:r>
      <w:r w:rsidRPr="0070693C">
        <w:rPr>
          <w:rFonts w:asciiTheme="minorHAnsi" w:hAnsiTheme="minorHAnsi" w:cstheme="minorHAnsi"/>
          <w:color w:val="000000"/>
          <w:sz w:val="22"/>
          <w:szCs w:val="22"/>
          <w:shd w:val="clear" w:color="auto" w:fill="FFFFFF"/>
        </w:rPr>
        <w:t xml:space="preserve">, kuriame prireikus būtų </w:t>
      </w:r>
      <w:r w:rsidRPr="008F246B">
        <w:rPr>
          <w:rFonts w:asciiTheme="minorHAnsi" w:hAnsiTheme="minorHAnsi" w:cstheme="minorHAnsi"/>
          <w:color w:val="000000"/>
          <w:sz w:val="22"/>
          <w:szCs w:val="22"/>
          <w:u w:val="single"/>
          <w:shd w:val="clear" w:color="auto" w:fill="FFFFFF"/>
        </w:rPr>
        <w:t>atsižvelgta į naujas aplinkybes, susiklosčiusias po to, kai buvo priimtas sprendimas</w:t>
      </w:r>
      <w:r w:rsidRPr="0070693C">
        <w:rPr>
          <w:rFonts w:asciiTheme="minorHAnsi" w:hAnsiTheme="minorHAnsi" w:cstheme="minorHAnsi"/>
          <w:color w:val="000000"/>
          <w:sz w:val="22"/>
          <w:szCs w:val="22"/>
          <w:shd w:val="clear" w:color="auto" w:fill="FFFFFF"/>
        </w:rPr>
        <w:t xml:space="preserve">, dėl kurio vėliau paduotas skundas. Savo ruožtu būdvardis „išsamus“ patvirtina, kad </w:t>
      </w:r>
      <w:r w:rsidRPr="008F246B">
        <w:rPr>
          <w:rFonts w:asciiTheme="minorHAnsi" w:hAnsiTheme="minorHAnsi" w:cstheme="minorHAnsi"/>
          <w:color w:val="000000"/>
          <w:sz w:val="22"/>
          <w:szCs w:val="22"/>
          <w:u w:val="single"/>
          <w:shd w:val="clear" w:color="auto" w:fill="FFFFFF"/>
        </w:rPr>
        <w:t>teismas turi išnagrinėti tiek aplinkybes, į kurias sprendžiančioji institucija atsižvelgė ar būtų galėjusi atsižvelgti, tiek aplinkybes, kurios susiklostė šiai institucijai priėmus sprendimą</w:t>
      </w:r>
      <w:r>
        <w:rPr>
          <w:rFonts w:asciiTheme="minorHAnsi" w:hAnsiTheme="minorHAnsi" w:cstheme="minorHAnsi"/>
          <w:color w:val="000000"/>
          <w:sz w:val="22"/>
          <w:szCs w:val="22"/>
          <w:u w:val="single"/>
          <w:shd w:val="clear" w:color="auto" w:fill="FFFFFF"/>
        </w:rPr>
        <w:t xml:space="preserve"> </w:t>
      </w:r>
      <w:r w:rsidRPr="00DB19B4">
        <w:rPr>
          <w:rFonts w:asciiTheme="minorHAnsi" w:hAnsiTheme="minorHAnsi" w:cstheme="minorHAnsi"/>
          <w:color w:val="000000"/>
          <w:sz w:val="22"/>
          <w:szCs w:val="22"/>
          <w:shd w:val="clear" w:color="auto" w:fill="FFFFFF"/>
        </w:rPr>
        <w:t xml:space="preserve">(šiuo klausimu žr. 2018 m. liepos 25 d. Sprendimo </w:t>
      </w:r>
      <w:r w:rsidRPr="00DB19B4">
        <w:rPr>
          <w:rFonts w:asciiTheme="minorHAnsi" w:hAnsiTheme="minorHAnsi" w:cstheme="minorHAnsi"/>
          <w:i/>
          <w:iCs/>
          <w:color w:val="000000"/>
          <w:sz w:val="22"/>
          <w:szCs w:val="22"/>
        </w:rPr>
        <w:t>Alheto</w:t>
      </w:r>
      <w:r w:rsidRPr="00DB19B4">
        <w:rPr>
          <w:rFonts w:asciiTheme="minorHAnsi" w:hAnsiTheme="minorHAnsi" w:cstheme="minorHAnsi"/>
          <w:color w:val="000000"/>
          <w:sz w:val="22"/>
          <w:szCs w:val="22"/>
          <w:shd w:val="clear" w:color="auto" w:fill="FFFFFF"/>
        </w:rPr>
        <w:t>, C</w:t>
      </w:r>
      <w:r w:rsidRPr="00DB19B4">
        <w:rPr>
          <w:rFonts w:asciiTheme="minorHAnsi" w:hAnsiTheme="minorHAnsi" w:cstheme="minorHAnsi"/>
          <w:color w:val="000000"/>
          <w:sz w:val="22"/>
          <w:szCs w:val="22"/>
          <w:shd w:val="clear" w:color="auto" w:fill="FFFFFF"/>
        </w:rPr>
        <w:noBreakHyphen/>
        <w:t>585/16, EU:C:2018:584, 111 ir 113 punktus).</w:t>
      </w:r>
      <w:r w:rsidRPr="0070693C">
        <w:rPr>
          <w:rFonts w:asciiTheme="minorHAnsi" w:hAnsiTheme="minorHAnsi" w:cstheme="minorHAnsi"/>
          <w:color w:val="000000"/>
          <w:sz w:val="22"/>
          <w:szCs w:val="22"/>
          <w:shd w:val="clear" w:color="auto" w:fill="FFFFFF"/>
        </w:rPr>
        <w:t xml:space="preserve"> T</w:t>
      </w:r>
      <w:r>
        <w:rPr>
          <w:rFonts w:asciiTheme="minorHAnsi" w:hAnsiTheme="minorHAnsi" w:cstheme="minorHAnsi"/>
          <w:color w:val="000000"/>
          <w:sz w:val="22"/>
          <w:szCs w:val="22"/>
          <w:shd w:val="clear" w:color="auto" w:fill="FFFFFF"/>
        </w:rPr>
        <w:t xml:space="preserve">eisingumo Teismas </w:t>
      </w:r>
      <w:r w:rsidRPr="0070693C">
        <w:rPr>
          <w:rFonts w:asciiTheme="minorHAnsi" w:hAnsiTheme="minorHAnsi" w:cstheme="minorHAnsi"/>
          <w:color w:val="000000"/>
          <w:sz w:val="22"/>
          <w:szCs w:val="22"/>
          <w:shd w:val="clear" w:color="auto" w:fill="FFFFFF"/>
        </w:rPr>
        <w:t>dar</w:t>
      </w:r>
      <w:r>
        <w:rPr>
          <w:rFonts w:asciiTheme="minorHAnsi" w:hAnsiTheme="minorHAnsi" w:cstheme="minorHAnsi"/>
          <w:color w:val="000000"/>
          <w:sz w:val="22"/>
          <w:szCs w:val="22"/>
          <w:shd w:val="clear" w:color="auto" w:fill="FFFFFF"/>
        </w:rPr>
        <w:t>ė</w:t>
      </w:r>
      <w:r w:rsidRPr="0070693C">
        <w:rPr>
          <w:rFonts w:asciiTheme="minorHAnsi" w:hAnsiTheme="minorHAnsi" w:cstheme="minorHAnsi"/>
          <w:color w:val="000000"/>
          <w:sz w:val="22"/>
          <w:szCs w:val="22"/>
          <w:shd w:val="clear" w:color="auto" w:fill="FFFFFF"/>
        </w:rPr>
        <w:t xml:space="preserve"> išvad</w:t>
      </w:r>
      <w:r>
        <w:rPr>
          <w:rFonts w:asciiTheme="minorHAnsi" w:hAnsiTheme="minorHAnsi" w:cstheme="minorHAnsi"/>
          <w:color w:val="000000"/>
          <w:sz w:val="22"/>
          <w:szCs w:val="22"/>
          <w:shd w:val="clear" w:color="auto" w:fill="FFFFFF"/>
        </w:rPr>
        <w:t>ą</w:t>
      </w:r>
      <w:r w:rsidRPr="0070693C">
        <w:rPr>
          <w:rFonts w:asciiTheme="minorHAnsi" w:hAnsiTheme="minorHAnsi" w:cstheme="minorHAnsi"/>
          <w:color w:val="000000"/>
          <w:sz w:val="22"/>
          <w:szCs w:val="22"/>
          <w:shd w:val="clear" w:color="auto" w:fill="FFFFFF"/>
        </w:rPr>
        <w:t xml:space="preserve">, kad laikydamosi Direktyvos 2013/32 46 straipsnio 3 dalies </w:t>
      </w:r>
      <w:r w:rsidRPr="008F246B">
        <w:rPr>
          <w:rFonts w:asciiTheme="minorHAnsi" w:hAnsiTheme="minorHAnsi" w:cstheme="minorHAnsi"/>
          <w:color w:val="000000"/>
          <w:sz w:val="22"/>
          <w:szCs w:val="22"/>
          <w:u w:val="single"/>
          <w:shd w:val="clear" w:color="auto" w:fill="FFFFFF"/>
        </w:rPr>
        <w:t>valstybės narės savo nacionalinę teisę turi pritaikyti taip, kad nagrinėdamas nurodytus skundus teismas išnagrinėtų visas faktines ir teisines aplinkybes, kurios suteiktų jam galimybę konkretų atvejį įvertinti pagal tuo metu esamą situaciją</w:t>
      </w:r>
      <w:r w:rsidRPr="0070693C">
        <w:rPr>
          <w:rFonts w:asciiTheme="minorHAnsi" w:hAnsiTheme="minorHAnsi" w:cstheme="minorHAnsi"/>
          <w:color w:val="000000"/>
          <w:sz w:val="22"/>
          <w:szCs w:val="22"/>
          <w:shd w:val="clear" w:color="auto" w:fill="FFFFFF"/>
        </w:rPr>
        <w:t xml:space="preserve">, taigi tarptautinės apsaugos prašymą būtų galima nagrinėti išsamiai, nereikalaujant grąžinti bylos minėtai institucijai. Taip aiškinant atsižvelgiama į Direktyva 2013/32 siekiamą tikslą užtikrinti, kad tokie prašymai būtų nagrinėjami kuo greičiau, nedarant poveikio tinkamai ir išsamiai atliktam </w:t>
      </w:r>
      <w:r w:rsidRPr="00DB19B4">
        <w:rPr>
          <w:rFonts w:asciiTheme="minorHAnsi" w:hAnsiTheme="minorHAnsi" w:cstheme="minorHAnsi"/>
          <w:color w:val="000000"/>
          <w:sz w:val="22"/>
          <w:szCs w:val="22"/>
          <w:shd w:val="clear" w:color="auto" w:fill="FFFFFF"/>
        </w:rPr>
        <w:t xml:space="preserve">nagrinėjimui (šiuo klausimu žr. 2018 m. liepos 25 d. Sprendimo </w:t>
      </w:r>
      <w:r w:rsidRPr="00DB19B4">
        <w:rPr>
          <w:rFonts w:asciiTheme="minorHAnsi" w:hAnsiTheme="minorHAnsi" w:cstheme="minorHAnsi"/>
          <w:i/>
          <w:iCs/>
          <w:color w:val="000000"/>
          <w:sz w:val="22"/>
          <w:szCs w:val="22"/>
        </w:rPr>
        <w:t>Alheto</w:t>
      </w:r>
      <w:r w:rsidRPr="00DB19B4">
        <w:rPr>
          <w:rFonts w:asciiTheme="minorHAnsi" w:hAnsiTheme="minorHAnsi" w:cstheme="minorHAnsi"/>
          <w:color w:val="000000"/>
          <w:sz w:val="22"/>
          <w:szCs w:val="22"/>
          <w:shd w:val="clear" w:color="auto" w:fill="FFFFFF"/>
        </w:rPr>
        <w:t>, C</w:t>
      </w:r>
      <w:r w:rsidRPr="00DB19B4">
        <w:rPr>
          <w:rFonts w:asciiTheme="minorHAnsi" w:hAnsiTheme="minorHAnsi" w:cstheme="minorHAnsi"/>
          <w:color w:val="000000"/>
          <w:sz w:val="22"/>
          <w:szCs w:val="22"/>
          <w:shd w:val="clear" w:color="auto" w:fill="FFFFFF"/>
        </w:rPr>
        <w:noBreakHyphen/>
        <w:t>585/16, EU:C:2018:584, 109–112 punktus)</w:t>
      </w:r>
      <w:r w:rsidRPr="0070693C">
        <w:rPr>
          <w:rFonts w:asciiTheme="minorHAnsi" w:hAnsiTheme="minorHAnsi" w:cstheme="minorHAnsi"/>
          <w:color w:val="000000"/>
          <w:sz w:val="22"/>
          <w:szCs w:val="22"/>
          <w:shd w:val="clear" w:color="auto" w:fill="FFFFFF"/>
        </w:rPr>
        <w:t xml:space="preserve"> (5</w:t>
      </w:r>
      <w:r>
        <w:rPr>
          <w:rFonts w:asciiTheme="minorHAnsi" w:hAnsiTheme="minorHAnsi" w:cstheme="minorHAnsi"/>
          <w:color w:val="000000"/>
          <w:sz w:val="22"/>
          <w:szCs w:val="22"/>
          <w:shd w:val="clear" w:color="auto" w:fill="FFFFFF"/>
        </w:rPr>
        <w:t>1</w:t>
      </w:r>
      <w:r w:rsidRPr="0070693C">
        <w:rPr>
          <w:rFonts w:asciiTheme="minorHAnsi" w:hAnsiTheme="minorHAnsi" w:cstheme="minorHAnsi"/>
          <w:sz w:val="22"/>
          <w:szCs w:val="22"/>
        </w:rPr>
        <w:t>–53 punktai).</w:t>
      </w:r>
    </w:p>
    <w:p w:rsidR="00C72D18" w:rsidRDefault="00C72D18" w:rsidP="00C72D18">
      <w:pPr>
        <w:pStyle w:val="c01pointnumerotealtn"/>
        <w:shd w:val="clear" w:color="auto" w:fill="FFFFFF"/>
        <w:spacing w:before="0" w:beforeAutospacing="0" w:after="0"/>
        <w:ind w:left="0" w:firstLine="567"/>
        <w:rPr>
          <w:rFonts w:asciiTheme="minorHAnsi" w:hAnsiTheme="minorHAnsi" w:cstheme="minorHAnsi"/>
          <w:color w:val="000000"/>
          <w:sz w:val="22"/>
          <w:szCs w:val="22"/>
          <w:shd w:val="clear" w:color="auto" w:fill="FFFFFF"/>
        </w:rPr>
      </w:pPr>
      <w:r w:rsidRPr="008F246B">
        <w:rPr>
          <w:rFonts w:asciiTheme="minorHAnsi" w:hAnsiTheme="minorHAnsi" w:cstheme="minorHAnsi"/>
          <w:sz w:val="22"/>
          <w:szCs w:val="22"/>
        </w:rPr>
        <w:t xml:space="preserve">Teisingumo Teismas atkreipė dėmesį, kad </w:t>
      </w:r>
      <w:r w:rsidRPr="008F246B">
        <w:rPr>
          <w:rFonts w:asciiTheme="minorHAnsi" w:hAnsiTheme="minorHAnsi" w:cstheme="minorHAnsi"/>
          <w:color w:val="000000"/>
          <w:sz w:val="22"/>
          <w:szCs w:val="22"/>
          <w:shd w:val="clear" w:color="auto" w:fill="FFFFFF"/>
        </w:rPr>
        <w:t xml:space="preserve">direktyvos 46 straipsnio 3 dalyje nurodytas tik skundo nagrinėjimas ir juo nereglamentuojami galimo sprendimo, dėl kurio šis skundas pateiktas, panaikinimo padariniai. Taigi, priimdamas Direktyvą 2013/32 Sąjungos teisės aktų leidėjas neketino įtvirtinti bendros nuostatos, pagal kurią šios direktyvos 2 straipsnio f punkte numatyta kvaziteisminė ar administracinė institucija prarastų kompetenciją, jeigu būtų panaikintas jos pirminis sprendimas dėl tarptautinės apsaugos prašymo, todėl </w:t>
      </w:r>
      <w:r w:rsidRPr="00844EA0">
        <w:rPr>
          <w:rFonts w:asciiTheme="minorHAnsi" w:hAnsiTheme="minorHAnsi" w:cstheme="minorHAnsi"/>
          <w:color w:val="000000"/>
          <w:sz w:val="22"/>
          <w:szCs w:val="22"/>
          <w:u w:val="single"/>
          <w:shd w:val="clear" w:color="auto" w:fill="FFFFFF"/>
        </w:rPr>
        <w:t>valstybėms narėms leidžiama numatyti, jog po tokio panaikinimo byla turi būti grąžinta tai įstaigai, kad ji priimtų naują sprendimą</w:t>
      </w:r>
      <w:r w:rsidRPr="008F246B">
        <w:rPr>
          <w:rFonts w:asciiTheme="minorHAnsi" w:hAnsiTheme="minorHAnsi" w:cstheme="minorHAnsi"/>
          <w:color w:val="000000"/>
          <w:sz w:val="22"/>
          <w:szCs w:val="22"/>
          <w:shd w:val="clear" w:color="auto" w:fill="FFFFFF"/>
        </w:rPr>
        <w:t xml:space="preserve"> </w:t>
      </w:r>
      <w:r w:rsidRPr="00C84E88">
        <w:rPr>
          <w:rFonts w:asciiTheme="minorHAnsi" w:hAnsiTheme="minorHAnsi" w:cstheme="minorHAnsi"/>
          <w:color w:val="000000"/>
          <w:sz w:val="22"/>
          <w:szCs w:val="22"/>
          <w:shd w:val="clear" w:color="auto" w:fill="FFFFFF"/>
        </w:rPr>
        <w:t xml:space="preserve">(šiuo klausimu žr. 2018 m. liepos 25 d. Sprendimo </w:t>
      </w:r>
      <w:r w:rsidRPr="00C84E88">
        <w:rPr>
          <w:rFonts w:asciiTheme="minorHAnsi" w:hAnsiTheme="minorHAnsi" w:cstheme="minorHAnsi"/>
          <w:i/>
          <w:iCs/>
          <w:color w:val="000000"/>
          <w:sz w:val="22"/>
          <w:szCs w:val="22"/>
        </w:rPr>
        <w:t>Alheto</w:t>
      </w:r>
      <w:r w:rsidRPr="00C84E88">
        <w:rPr>
          <w:rFonts w:asciiTheme="minorHAnsi" w:hAnsiTheme="minorHAnsi" w:cstheme="minorHAnsi"/>
          <w:color w:val="000000"/>
          <w:sz w:val="22"/>
          <w:szCs w:val="22"/>
          <w:shd w:val="clear" w:color="auto" w:fill="FFFFFF"/>
        </w:rPr>
        <w:t>, C</w:t>
      </w:r>
      <w:r w:rsidRPr="00C84E88">
        <w:rPr>
          <w:rFonts w:asciiTheme="minorHAnsi" w:hAnsiTheme="minorHAnsi" w:cstheme="minorHAnsi"/>
          <w:color w:val="000000"/>
          <w:sz w:val="22"/>
          <w:szCs w:val="22"/>
          <w:shd w:val="clear" w:color="auto" w:fill="FFFFFF"/>
        </w:rPr>
        <w:noBreakHyphen/>
        <w:t xml:space="preserve">585/16, EU:C:2018:584, 145 ir 146 punktus) </w:t>
      </w:r>
      <w:r w:rsidRPr="008F246B">
        <w:rPr>
          <w:rFonts w:asciiTheme="minorHAnsi" w:hAnsiTheme="minorHAnsi" w:cstheme="minorHAnsi"/>
          <w:color w:val="000000"/>
          <w:sz w:val="22"/>
          <w:szCs w:val="22"/>
          <w:shd w:val="clear" w:color="auto" w:fill="FFFFFF"/>
        </w:rPr>
        <w:t>(54 punktas).</w:t>
      </w:r>
    </w:p>
    <w:p w:rsidR="00C72D18" w:rsidRPr="0052293D" w:rsidRDefault="00C72D18" w:rsidP="00C72D18">
      <w:pPr>
        <w:pStyle w:val="c01pointnumerotealtn"/>
        <w:shd w:val="clear" w:color="auto" w:fill="FFFFFF"/>
        <w:spacing w:before="0" w:beforeAutospacing="0" w:after="0"/>
        <w:ind w:left="0" w:firstLine="567"/>
        <w:rPr>
          <w:rFonts w:asciiTheme="minorHAnsi" w:hAnsiTheme="minorHAnsi" w:cstheme="minorHAnsi"/>
          <w:color w:val="000000"/>
          <w:sz w:val="22"/>
          <w:szCs w:val="22"/>
          <w:shd w:val="clear" w:color="auto" w:fill="FFFFFF"/>
        </w:rPr>
      </w:pPr>
      <w:r>
        <w:rPr>
          <w:rFonts w:asciiTheme="minorHAnsi" w:hAnsiTheme="minorHAnsi" w:cstheme="minorHAnsi"/>
          <w:color w:val="000000"/>
          <w:sz w:val="22"/>
          <w:szCs w:val="22"/>
          <w:shd w:val="clear" w:color="auto" w:fill="FFFFFF"/>
        </w:rPr>
        <w:t>Teisingumo Teismas akcentavo, jog n</w:t>
      </w:r>
      <w:r w:rsidRPr="0052293D">
        <w:rPr>
          <w:rFonts w:asciiTheme="minorHAnsi" w:hAnsiTheme="minorHAnsi" w:cstheme="minorHAnsi"/>
          <w:color w:val="000000"/>
          <w:sz w:val="22"/>
          <w:szCs w:val="22"/>
          <w:shd w:val="clear" w:color="auto" w:fill="FFFFFF"/>
        </w:rPr>
        <w:t xml:space="preserve">ors Direktyva 2013/32 valstybėms narėms suteikia tam tikrą diskreciją, be kita ko, nustatyti taisykles, susijusias su tarptautinės apsaugos prašymo nagrinėjimu, kai pradinis tokios institucijos sprendimas buvo panaikintas teismo, vis dėlto svarbu pažymėti, kad, pirma, nepaisant tokios diskrecijos, valstybės narės, įgyvendindamos šią direktyvą, privalo laikytis Chartijos 47 straipsnio, kuriame įtvirtinta, kad bet kuris asmuo, kurio teisės ir laisvės, garantuojamos Sąjungos teisės, buvo pažeistos, turi teisę į veiksmingą jų gynimą teisme (šiuo klausimu žr. 2017 m. liepos 26 d. Sprendimo </w:t>
      </w:r>
      <w:r w:rsidRPr="0052293D">
        <w:rPr>
          <w:rFonts w:asciiTheme="minorHAnsi" w:hAnsiTheme="minorHAnsi" w:cstheme="minorHAnsi"/>
          <w:i/>
          <w:iCs/>
          <w:color w:val="000000"/>
          <w:sz w:val="22"/>
          <w:szCs w:val="22"/>
        </w:rPr>
        <w:t>Sacko</w:t>
      </w:r>
      <w:r w:rsidRPr="0052293D">
        <w:rPr>
          <w:rFonts w:asciiTheme="minorHAnsi" w:hAnsiTheme="minorHAnsi" w:cstheme="minorHAnsi"/>
          <w:color w:val="000000"/>
          <w:sz w:val="22"/>
          <w:szCs w:val="22"/>
          <w:shd w:val="clear" w:color="auto" w:fill="FFFFFF"/>
        </w:rPr>
        <w:t>, C</w:t>
      </w:r>
      <w:r w:rsidRPr="0052293D">
        <w:rPr>
          <w:rFonts w:asciiTheme="minorHAnsi" w:hAnsiTheme="minorHAnsi" w:cstheme="minorHAnsi"/>
          <w:color w:val="000000"/>
          <w:sz w:val="22"/>
          <w:szCs w:val="22"/>
          <w:shd w:val="clear" w:color="auto" w:fill="FFFFFF"/>
        </w:rPr>
        <w:noBreakHyphen/>
        <w:t xml:space="preserve">348/16, EU:C:2017:591, 30 punktą ir jame nurodytą jurisprudenciją). Taigi, nustatant, kas turi būti būdinga Direktyvos 2013/32 46 straipsnyje numatytam skundui, reikia atsižvelgti į Chartijos 47 straipsnį, kuriame patvirtintas veiksmingos teisminės gynybos principas (šiuo klausimu žr. 2017 m. liepos 26 d. Sprendimo </w:t>
      </w:r>
      <w:r w:rsidRPr="0052293D">
        <w:rPr>
          <w:rFonts w:asciiTheme="minorHAnsi" w:hAnsiTheme="minorHAnsi" w:cstheme="minorHAnsi"/>
          <w:i/>
          <w:iCs/>
          <w:color w:val="000000"/>
          <w:sz w:val="22"/>
          <w:szCs w:val="22"/>
        </w:rPr>
        <w:t>Sacko</w:t>
      </w:r>
      <w:r w:rsidRPr="0052293D">
        <w:rPr>
          <w:rFonts w:asciiTheme="minorHAnsi" w:hAnsiTheme="minorHAnsi" w:cstheme="minorHAnsi"/>
          <w:color w:val="000000"/>
          <w:sz w:val="22"/>
          <w:szCs w:val="22"/>
          <w:shd w:val="clear" w:color="auto" w:fill="FFFFFF"/>
        </w:rPr>
        <w:t>, C</w:t>
      </w:r>
      <w:r w:rsidRPr="0052293D">
        <w:rPr>
          <w:rFonts w:asciiTheme="minorHAnsi" w:hAnsiTheme="minorHAnsi" w:cstheme="minorHAnsi"/>
          <w:color w:val="000000"/>
          <w:sz w:val="22"/>
          <w:szCs w:val="22"/>
          <w:shd w:val="clear" w:color="auto" w:fill="FFFFFF"/>
        </w:rPr>
        <w:noBreakHyphen/>
        <w:t xml:space="preserve">348/16, EU:C:2017:591, 31 punktą ir 2018 m. liepos 25 d. Sprendimo </w:t>
      </w:r>
      <w:r w:rsidRPr="0052293D">
        <w:rPr>
          <w:rFonts w:asciiTheme="minorHAnsi" w:hAnsiTheme="minorHAnsi" w:cstheme="minorHAnsi"/>
          <w:i/>
          <w:iCs/>
          <w:color w:val="000000"/>
          <w:sz w:val="22"/>
          <w:szCs w:val="22"/>
        </w:rPr>
        <w:t>Alheto</w:t>
      </w:r>
      <w:r w:rsidRPr="0052293D">
        <w:rPr>
          <w:rFonts w:asciiTheme="minorHAnsi" w:hAnsiTheme="minorHAnsi" w:cstheme="minorHAnsi"/>
          <w:color w:val="000000"/>
          <w:sz w:val="22"/>
          <w:szCs w:val="22"/>
          <w:shd w:val="clear" w:color="auto" w:fill="FFFFFF"/>
        </w:rPr>
        <w:t>, C</w:t>
      </w:r>
      <w:r w:rsidRPr="0052293D">
        <w:rPr>
          <w:rFonts w:asciiTheme="minorHAnsi" w:hAnsiTheme="minorHAnsi" w:cstheme="minorHAnsi"/>
          <w:color w:val="000000"/>
          <w:sz w:val="22"/>
          <w:szCs w:val="22"/>
          <w:shd w:val="clear" w:color="auto" w:fill="FFFFFF"/>
        </w:rPr>
        <w:noBreakHyphen/>
        <w:t>585/16, EU:C:2018:584, 114 punktą)</w:t>
      </w:r>
      <w:r>
        <w:rPr>
          <w:rFonts w:asciiTheme="minorHAnsi" w:hAnsiTheme="minorHAnsi" w:cstheme="minorHAnsi"/>
          <w:color w:val="000000"/>
          <w:sz w:val="22"/>
          <w:szCs w:val="22"/>
          <w:shd w:val="clear" w:color="auto" w:fill="FFFFFF"/>
        </w:rPr>
        <w:t xml:space="preserve"> (55 punktas).</w:t>
      </w:r>
    </w:p>
    <w:p w:rsidR="00C72D18" w:rsidRDefault="00C72D18" w:rsidP="00C72D18">
      <w:pPr>
        <w:pStyle w:val="c01pointnumerotealtn"/>
        <w:shd w:val="clear" w:color="auto" w:fill="FFFFFF"/>
        <w:spacing w:before="0" w:beforeAutospacing="0" w:after="0"/>
        <w:ind w:left="0" w:firstLine="567"/>
        <w:rPr>
          <w:rFonts w:asciiTheme="minorHAnsi" w:hAnsiTheme="minorHAnsi" w:cstheme="minorHAnsi"/>
          <w:color w:val="000000"/>
          <w:sz w:val="22"/>
          <w:szCs w:val="22"/>
          <w:u w:val="single"/>
          <w:shd w:val="clear" w:color="auto" w:fill="FFFFFF"/>
        </w:rPr>
      </w:pPr>
      <w:r w:rsidRPr="00844EA0">
        <w:rPr>
          <w:rFonts w:asciiTheme="minorHAnsi" w:hAnsiTheme="minorHAnsi" w:cstheme="minorHAnsi"/>
          <w:color w:val="000000"/>
          <w:sz w:val="22"/>
          <w:szCs w:val="22"/>
          <w:shd w:val="clear" w:color="auto" w:fill="FFFFFF"/>
        </w:rPr>
        <w:t xml:space="preserve">Teisingumo Teismas nusprendė, kad </w:t>
      </w:r>
      <w:r w:rsidRPr="00844EA0">
        <w:rPr>
          <w:rFonts w:asciiTheme="minorHAnsi" w:hAnsiTheme="minorHAnsi" w:cstheme="minorHAnsi"/>
          <w:color w:val="000000"/>
          <w:sz w:val="22"/>
          <w:szCs w:val="22"/>
          <w:u w:val="single"/>
          <w:shd w:val="clear" w:color="auto" w:fill="FFFFFF"/>
        </w:rPr>
        <w:t>Direktyvos 2013/32 46 straipsnio 3 dalis visiškai netektų veiksmingo poveikio</w:t>
      </w:r>
      <w:r w:rsidRPr="00844EA0">
        <w:rPr>
          <w:rFonts w:asciiTheme="minorHAnsi" w:hAnsiTheme="minorHAnsi" w:cstheme="minorHAnsi"/>
          <w:color w:val="000000"/>
          <w:sz w:val="22"/>
          <w:szCs w:val="22"/>
          <w:shd w:val="clear" w:color="auto" w:fill="FFFFFF"/>
        </w:rPr>
        <w:t xml:space="preserve">, </w:t>
      </w:r>
      <w:r w:rsidRPr="00844EA0">
        <w:rPr>
          <w:rFonts w:asciiTheme="minorHAnsi" w:hAnsiTheme="minorHAnsi" w:cstheme="minorHAnsi"/>
          <w:color w:val="000000"/>
          <w:sz w:val="22"/>
          <w:szCs w:val="22"/>
          <w:u w:val="single"/>
          <w:shd w:val="clear" w:color="auto" w:fill="FFFFFF"/>
        </w:rPr>
        <w:t xml:space="preserve">jeigu paskelbus sprendimą, priimtą pirmosios instancijos teismui išsamiai ir </w:t>
      </w:r>
      <w:r w:rsidRPr="00844EA0">
        <w:rPr>
          <w:rFonts w:asciiTheme="minorHAnsi" w:hAnsiTheme="minorHAnsi" w:cstheme="minorHAnsi"/>
          <w:i/>
          <w:iCs/>
          <w:color w:val="000000"/>
          <w:sz w:val="22"/>
          <w:szCs w:val="22"/>
          <w:u w:val="single"/>
        </w:rPr>
        <w:t>ex nunc</w:t>
      </w:r>
      <w:r w:rsidRPr="00844EA0">
        <w:rPr>
          <w:rFonts w:asciiTheme="minorHAnsi" w:hAnsiTheme="minorHAnsi" w:cstheme="minorHAnsi"/>
          <w:color w:val="000000"/>
          <w:sz w:val="22"/>
          <w:szCs w:val="22"/>
          <w:u w:val="single"/>
          <w:shd w:val="clear" w:color="auto" w:fill="FFFFFF"/>
        </w:rPr>
        <w:t xml:space="preserve"> įvertinus prašytojo tarptautinės apsaugos poreikius pagal Direktyvą 2011/95</w:t>
      </w:r>
      <w:r w:rsidRPr="00844EA0">
        <w:rPr>
          <w:rFonts w:asciiTheme="minorHAnsi" w:hAnsiTheme="minorHAnsi" w:cstheme="minorHAnsi"/>
          <w:color w:val="000000"/>
          <w:sz w:val="22"/>
          <w:szCs w:val="22"/>
          <w:shd w:val="clear" w:color="auto" w:fill="FFFFFF"/>
        </w:rPr>
        <w:t xml:space="preserve">, kaip to reikalaujama pagal šią nuostatą, </w:t>
      </w:r>
      <w:r w:rsidRPr="00844EA0">
        <w:rPr>
          <w:rFonts w:asciiTheme="minorHAnsi" w:hAnsiTheme="minorHAnsi" w:cstheme="minorHAnsi"/>
          <w:color w:val="000000"/>
          <w:sz w:val="22"/>
          <w:szCs w:val="22"/>
          <w:u w:val="single"/>
          <w:shd w:val="clear" w:color="auto" w:fill="FFFFFF"/>
        </w:rPr>
        <w:t>kvaziteisminė arba administracinė institucija</w:t>
      </w:r>
      <w:r w:rsidRPr="00844EA0">
        <w:rPr>
          <w:rFonts w:asciiTheme="minorHAnsi" w:hAnsiTheme="minorHAnsi" w:cstheme="minorHAnsi"/>
          <w:color w:val="000000"/>
          <w:sz w:val="22"/>
          <w:szCs w:val="22"/>
          <w:shd w:val="clear" w:color="auto" w:fill="FFFFFF"/>
        </w:rPr>
        <w:t xml:space="preserve">, nurodyta Direktyvos 2013/32 2 straipsnio f punkte, </w:t>
      </w:r>
      <w:r w:rsidRPr="00844EA0">
        <w:rPr>
          <w:rFonts w:asciiTheme="minorHAnsi" w:hAnsiTheme="minorHAnsi" w:cstheme="minorHAnsi"/>
          <w:color w:val="000000"/>
          <w:sz w:val="22"/>
          <w:szCs w:val="22"/>
          <w:u w:val="single"/>
          <w:shd w:val="clear" w:color="auto" w:fill="FFFFFF"/>
        </w:rPr>
        <w:t>galėtų priimti tokiam vertinimui prieštaraujantį sprendimą</w:t>
      </w:r>
      <w:r w:rsidRPr="00844EA0">
        <w:rPr>
          <w:rFonts w:asciiTheme="minorHAnsi" w:hAnsiTheme="minorHAnsi" w:cstheme="minorHAnsi"/>
          <w:color w:val="000000"/>
          <w:sz w:val="22"/>
          <w:szCs w:val="22"/>
          <w:shd w:val="clear" w:color="auto" w:fill="FFFFFF"/>
        </w:rPr>
        <w:t xml:space="preserve"> (58 punktas).</w:t>
      </w:r>
    </w:p>
    <w:p w:rsidR="00C72D18" w:rsidRDefault="00D65D6A" w:rsidP="00C72D18">
      <w:pPr>
        <w:pStyle w:val="c01pointnumerotealtn"/>
        <w:shd w:val="clear" w:color="auto" w:fill="FFFFFF"/>
        <w:spacing w:before="0" w:beforeAutospacing="0" w:after="0"/>
        <w:ind w:left="0" w:firstLine="567"/>
        <w:rPr>
          <w:rFonts w:asciiTheme="minorHAnsi" w:hAnsiTheme="minorHAnsi" w:cstheme="minorHAnsi"/>
          <w:color w:val="000000"/>
          <w:sz w:val="22"/>
          <w:szCs w:val="22"/>
          <w:shd w:val="clear" w:color="auto" w:fill="FFFFFF"/>
        </w:rPr>
      </w:pPr>
      <w:r>
        <w:rPr>
          <w:rFonts w:asciiTheme="minorHAnsi" w:hAnsiTheme="minorHAnsi" w:cstheme="minorHAnsi"/>
          <w:color w:val="000000"/>
          <w:sz w:val="22"/>
          <w:szCs w:val="22"/>
          <w:shd w:val="clear" w:color="auto" w:fill="FFFFFF"/>
        </w:rPr>
        <w:t>Teisingumo Teismas darė išvadą</w:t>
      </w:r>
      <w:r w:rsidR="00C72D18" w:rsidRPr="00844EA0">
        <w:rPr>
          <w:rFonts w:asciiTheme="minorHAnsi" w:hAnsiTheme="minorHAnsi" w:cstheme="minorHAnsi"/>
          <w:color w:val="000000"/>
          <w:sz w:val="22"/>
          <w:szCs w:val="22"/>
          <w:shd w:val="clear" w:color="auto" w:fill="FFFFFF"/>
        </w:rPr>
        <w:t xml:space="preserve">, kad nors Direktyva 2013/32 nesiekiama tiksliai ir išsamiai nustatyti vienodų procedūrinių taisyklių, kurias valstybės narės privalo taikyti, kai panaikinus pirminį administracinį sprendimą atmesti tarptautinės apsaugos prašymą priimamas naujas sprendimas dėl tokio prašymo, vis dėlto, remiantis šia direktyva siekiamu tikslu užtikrinti kuo skubesnį tokių prašymų nagrinėjimą, pareiga garantuoti minėtos direktyvos 46 straipsnio 3 dalies veiksmingumą ir Chartijos 47 straipsniu pagrįstu poreikiu užtikrinti veiksmingą teisės gynybą, kiekviena valstybė narė, kuriai ši direktyva privaloma, </w:t>
      </w:r>
      <w:r w:rsidR="00C72D18" w:rsidRPr="00844EA0">
        <w:rPr>
          <w:rFonts w:asciiTheme="minorHAnsi" w:hAnsiTheme="minorHAnsi" w:cstheme="minorHAnsi"/>
          <w:color w:val="000000"/>
          <w:sz w:val="22"/>
          <w:szCs w:val="22"/>
          <w:u w:val="single"/>
          <w:shd w:val="clear" w:color="auto" w:fill="FFFFFF"/>
        </w:rPr>
        <w:t>turi pritaikyti savo nacionalinę teisę taip, kad, panaikinus tokį pirminį sprendimą ir grąžinus bylą nagrinėti šiai kvaziteisminei ar administracinei institucijai, naujas sprendimas būtų priimtas per trumpą laiką ir atitiktų teismo sprendime dėl panaikinimo nurodytą vertinimą</w:t>
      </w:r>
      <w:r w:rsidR="00C72D18" w:rsidRPr="00844EA0">
        <w:rPr>
          <w:rFonts w:asciiTheme="minorHAnsi" w:hAnsiTheme="minorHAnsi" w:cstheme="minorHAnsi"/>
          <w:color w:val="000000"/>
          <w:sz w:val="22"/>
          <w:szCs w:val="22"/>
          <w:shd w:val="clear" w:color="auto" w:fill="FFFFFF"/>
        </w:rPr>
        <w:t xml:space="preserve"> </w:t>
      </w:r>
      <w:r w:rsidR="00C72D18" w:rsidRPr="00C84E88">
        <w:rPr>
          <w:rFonts w:asciiTheme="minorHAnsi" w:hAnsiTheme="minorHAnsi" w:cstheme="minorHAnsi"/>
          <w:color w:val="000000"/>
          <w:sz w:val="22"/>
          <w:szCs w:val="22"/>
          <w:shd w:val="clear" w:color="auto" w:fill="FFFFFF"/>
        </w:rPr>
        <w:t xml:space="preserve">(šiuo klausimu žr. 2018 m. liepos 25 d. Sprendimo </w:t>
      </w:r>
      <w:r w:rsidR="00C72D18" w:rsidRPr="00C84E88">
        <w:rPr>
          <w:rFonts w:asciiTheme="minorHAnsi" w:hAnsiTheme="minorHAnsi" w:cstheme="minorHAnsi"/>
          <w:i/>
          <w:iCs/>
          <w:color w:val="000000"/>
          <w:sz w:val="22"/>
          <w:szCs w:val="22"/>
        </w:rPr>
        <w:t>Alheto</w:t>
      </w:r>
      <w:r w:rsidR="00C72D18" w:rsidRPr="00C84E88">
        <w:rPr>
          <w:rFonts w:asciiTheme="minorHAnsi" w:hAnsiTheme="minorHAnsi" w:cstheme="minorHAnsi"/>
          <w:color w:val="000000"/>
          <w:sz w:val="22"/>
          <w:szCs w:val="22"/>
          <w:shd w:val="clear" w:color="auto" w:fill="FFFFFF"/>
        </w:rPr>
        <w:t>, C</w:t>
      </w:r>
      <w:r w:rsidR="00C72D18" w:rsidRPr="00C84E88">
        <w:rPr>
          <w:rFonts w:asciiTheme="minorHAnsi" w:hAnsiTheme="minorHAnsi" w:cstheme="minorHAnsi"/>
          <w:color w:val="000000"/>
          <w:sz w:val="22"/>
          <w:szCs w:val="22"/>
          <w:shd w:val="clear" w:color="auto" w:fill="FFFFFF"/>
        </w:rPr>
        <w:noBreakHyphen/>
        <w:t xml:space="preserve">585/16, EU:C:2018:584, 148 punktą) </w:t>
      </w:r>
      <w:r w:rsidR="00C72D18" w:rsidRPr="00844EA0">
        <w:rPr>
          <w:rFonts w:asciiTheme="minorHAnsi" w:hAnsiTheme="minorHAnsi" w:cstheme="minorHAnsi"/>
          <w:color w:val="000000"/>
          <w:sz w:val="22"/>
          <w:szCs w:val="22"/>
          <w:shd w:val="clear" w:color="auto" w:fill="FFFFFF"/>
        </w:rPr>
        <w:t>(59 punktas)</w:t>
      </w:r>
      <w:r w:rsidR="00C72D18">
        <w:rPr>
          <w:rFonts w:asciiTheme="minorHAnsi" w:hAnsiTheme="minorHAnsi" w:cstheme="minorHAnsi"/>
          <w:color w:val="000000"/>
          <w:sz w:val="22"/>
          <w:szCs w:val="22"/>
          <w:shd w:val="clear" w:color="auto" w:fill="FFFFFF"/>
        </w:rPr>
        <w:t>.</w:t>
      </w:r>
    </w:p>
    <w:p w:rsidR="00C72D18" w:rsidRDefault="00C72D18" w:rsidP="00C72D18">
      <w:pPr>
        <w:pStyle w:val="c01pointnumerotealtn"/>
        <w:shd w:val="clear" w:color="auto" w:fill="FFFFFF"/>
        <w:spacing w:before="0" w:beforeAutospacing="0" w:after="0"/>
        <w:ind w:left="0" w:firstLine="567"/>
        <w:rPr>
          <w:rFonts w:asciiTheme="minorHAnsi" w:hAnsiTheme="minorHAnsi" w:cstheme="minorHAnsi"/>
          <w:color w:val="000000"/>
          <w:sz w:val="22"/>
          <w:szCs w:val="22"/>
          <w:shd w:val="clear" w:color="auto" w:fill="FFFFFF"/>
        </w:rPr>
      </w:pPr>
      <w:r>
        <w:rPr>
          <w:rFonts w:asciiTheme="minorHAnsi" w:hAnsiTheme="minorHAnsi" w:cstheme="minorHAnsi"/>
          <w:color w:val="000000"/>
          <w:sz w:val="22"/>
          <w:szCs w:val="22"/>
          <w:shd w:val="clear" w:color="auto" w:fill="FFFFFF"/>
        </w:rPr>
        <w:t xml:space="preserve">Teisingumo Teismas </w:t>
      </w:r>
      <w:r w:rsidRPr="00285597">
        <w:rPr>
          <w:rFonts w:asciiTheme="minorHAnsi" w:hAnsiTheme="minorHAnsi" w:cstheme="minorHAnsi"/>
          <w:color w:val="000000"/>
          <w:sz w:val="22"/>
          <w:szCs w:val="22"/>
          <w:shd w:val="clear" w:color="auto" w:fill="FFFFFF"/>
        </w:rPr>
        <w:t xml:space="preserve">nurodė, kad </w:t>
      </w:r>
      <w:r>
        <w:rPr>
          <w:rFonts w:asciiTheme="minorHAnsi" w:hAnsiTheme="minorHAnsi" w:cstheme="minorHAnsi"/>
          <w:color w:val="000000"/>
          <w:sz w:val="22"/>
          <w:szCs w:val="22"/>
          <w:shd w:val="clear" w:color="auto" w:fill="FFFFFF"/>
        </w:rPr>
        <w:t xml:space="preserve">&lt;...&gt; </w:t>
      </w:r>
      <w:r w:rsidRPr="00285597">
        <w:rPr>
          <w:rFonts w:asciiTheme="minorHAnsi" w:hAnsiTheme="minorHAnsi" w:cstheme="minorHAnsi"/>
          <w:color w:val="000000"/>
          <w:sz w:val="22"/>
          <w:szCs w:val="22"/>
          <w:u w:val="single"/>
          <w:shd w:val="clear" w:color="auto" w:fill="FFFFFF"/>
        </w:rPr>
        <w:t>kai išsamiai nagrinėdamas tarptautinės apsaugos prašytojo pateiktą skundą</w:t>
      </w:r>
      <w:r w:rsidRPr="00285597">
        <w:rPr>
          <w:rFonts w:asciiTheme="minorHAnsi" w:hAnsiTheme="minorHAnsi" w:cstheme="minorHAnsi"/>
          <w:color w:val="000000"/>
          <w:sz w:val="22"/>
          <w:szCs w:val="22"/>
          <w:shd w:val="clear" w:color="auto" w:fill="FFFFFF"/>
        </w:rPr>
        <w:t xml:space="preserve"> ir</w:t>
      </w:r>
      <w:r>
        <w:rPr>
          <w:rFonts w:asciiTheme="minorHAnsi" w:hAnsiTheme="minorHAnsi" w:cstheme="minorHAnsi"/>
          <w:color w:val="000000"/>
          <w:sz w:val="22"/>
          <w:szCs w:val="22"/>
          <w:shd w:val="clear" w:color="auto" w:fill="FFFFFF"/>
        </w:rPr>
        <w:t>,</w:t>
      </w:r>
      <w:r w:rsidRPr="00285597">
        <w:rPr>
          <w:rFonts w:asciiTheme="minorHAnsi" w:hAnsiTheme="minorHAnsi" w:cstheme="minorHAnsi"/>
          <w:color w:val="000000"/>
          <w:sz w:val="22"/>
          <w:szCs w:val="22"/>
          <w:shd w:val="clear" w:color="auto" w:fill="FFFFFF"/>
        </w:rPr>
        <w:t xml:space="preserve"> atsižvelgęs į visas reikšmingas faktines ir teisines aplinkybes</w:t>
      </w:r>
      <w:r>
        <w:rPr>
          <w:rFonts w:asciiTheme="minorHAnsi" w:hAnsiTheme="minorHAnsi" w:cstheme="minorHAnsi"/>
          <w:color w:val="000000"/>
          <w:sz w:val="22"/>
          <w:szCs w:val="22"/>
          <w:shd w:val="clear" w:color="auto" w:fill="FFFFFF"/>
        </w:rPr>
        <w:t>,</w:t>
      </w:r>
      <w:r w:rsidRPr="00285597">
        <w:rPr>
          <w:rFonts w:asciiTheme="minorHAnsi" w:hAnsiTheme="minorHAnsi" w:cstheme="minorHAnsi"/>
          <w:color w:val="000000"/>
          <w:sz w:val="22"/>
          <w:szCs w:val="22"/>
          <w:shd w:val="clear" w:color="auto" w:fill="FFFFFF"/>
        </w:rPr>
        <w:t xml:space="preserve"> atlikdamas atnaujintą šio prašytojo „tarptautinės apsaugos poreikių“ nagrinėjimą, po kurio įsitikina, kad pagal Direktyvoje 2011/95 nustatytus kriterijus minėtam prašytojui dėl pagrindų, kuriais šis grindžia savo prašymą, turėtų būti pripažintas pabėgėlio arba papildomos apsaugos gavėjo statusas, </w:t>
      </w:r>
      <w:r w:rsidRPr="00285597">
        <w:rPr>
          <w:rFonts w:asciiTheme="minorHAnsi" w:hAnsiTheme="minorHAnsi" w:cstheme="minorHAnsi"/>
          <w:color w:val="000000"/>
          <w:sz w:val="22"/>
          <w:szCs w:val="22"/>
          <w:u w:val="single"/>
          <w:shd w:val="clear" w:color="auto" w:fill="FFFFFF"/>
        </w:rPr>
        <w:t>teismas panaikina administracinės arba kvaziteisminės institucijos sprendimą atmesti tą prašymą ir priima sprendimą grąžinti bylą tai institucijai, ji privalo laikytis teismo sprendimo ir jį pagrindžiančių motyvų, jei neatsiranda naujų faktinių arba teisinių aplinkybių, dėl kurių objektyviai prireiktų atnaujinti vertinimą</w:t>
      </w:r>
      <w:r w:rsidRPr="00285597">
        <w:rPr>
          <w:rFonts w:asciiTheme="minorHAnsi" w:hAnsiTheme="minorHAnsi" w:cstheme="minorHAnsi"/>
          <w:color w:val="000000"/>
          <w:sz w:val="22"/>
          <w:szCs w:val="22"/>
          <w:shd w:val="clear" w:color="auto" w:fill="FFFFFF"/>
        </w:rPr>
        <w:t>. Taigi</w:t>
      </w:r>
      <w:r>
        <w:rPr>
          <w:rFonts w:asciiTheme="minorHAnsi" w:hAnsiTheme="minorHAnsi" w:cstheme="minorHAnsi"/>
          <w:color w:val="000000"/>
          <w:sz w:val="22"/>
          <w:szCs w:val="22"/>
          <w:shd w:val="clear" w:color="auto" w:fill="FFFFFF"/>
        </w:rPr>
        <w:t>,</w:t>
      </w:r>
      <w:r w:rsidRPr="00285597">
        <w:rPr>
          <w:rFonts w:asciiTheme="minorHAnsi" w:hAnsiTheme="minorHAnsi" w:cstheme="minorHAnsi"/>
          <w:color w:val="000000"/>
          <w:sz w:val="22"/>
          <w:szCs w:val="22"/>
          <w:shd w:val="clear" w:color="auto" w:fill="FFFFFF"/>
        </w:rPr>
        <w:t xml:space="preserve"> </w:t>
      </w:r>
      <w:r w:rsidRPr="00285597">
        <w:rPr>
          <w:rFonts w:asciiTheme="minorHAnsi" w:hAnsiTheme="minorHAnsi" w:cstheme="minorHAnsi"/>
          <w:color w:val="000000"/>
          <w:sz w:val="22"/>
          <w:szCs w:val="22"/>
          <w:u w:val="single"/>
          <w:shd w:val="clear" w:color="auto" w:fill="FFFFFF"/>
        </w:rPr>
        <w:t>grąžinus bylą, minėta institucija neturi teisės savo nuožiūra nuspręsti, ar suteikti prašomą apsaugą, atsižvelgdama į tuos pačius pagrindus, kurie buvo pateikti tam teismui, antraip Direktyvos 2013/32 46 straipsnio 3 dalis, atsižvelgiant į Chartijos 47 straipsnį, ir Direktyvos 2011/95 13 ir 18 straipsniai netektų veiksmingumo</w:t>
      </w:r>
      <w:r w:rsidRPr="00285597">
        <w:rPr>
          <w:rFonts w:asciiTheme="minorHAnsi" w:hAnsiTheme="minorHAnsi" w:cstheme="minorHAnsi"/>
          <w:color w:val="000000"/>
          <w:sz w:val="22"/>
          <w:szCs w:val="22"/>
          <w:shd w:val="clear" w:color="auto" w:fill="FFFFFF"/>
        </w:rPr>
        <w:t xml:space="preserve"> (66 punktas).</w:t>
      </w:r>
    </w:p>
    <w:p w:rsidR="00C72D18" w:rsidRDefault="00C72D18" w:rsidP="00C72D18">
      <w:pPr>
        <w:pStyle w:val="c01pointnumerotealtn"/>
        <w:shd w:val="clear" w:color="auto" w:fill="FFFFFF"/>
        <w:spacing w:before="0" w:beforeAutospacing="0" w:after="0"/>
        <w:ind w:left="0" w:firstLine="567"/>
        <w:rPr>
          <w:rFonts w:asciiTheme="minorHAnsi" w:hAnsiTheme="minorHAnsi" w:cstheme="minorHAnsi"/>
          <w:color w:val="000000"/>
          <w:sz w:val="22"/>
          <w:szCs w:val="22"/>
          <w:shd w:val="clear" w:color="auto" w:fill="FFFFFF"/>
        </w:rPr>
      </w:pPr>
      <w:r>
        <w:rPr>
          <w:rFonts w:asciiTheme="minorHAnsi" w:hAnsiTheme="minorHAnsi" w:cstheme="minorHAnsi"/>
          <w:color w:val="000000"/>
          <w:sz w:val="22"/>
          <w:szCs w:val="22"/>
          <w:shd w:val="clear" w:color="auto" w:fill="FFFFFF"/>
        </w:rPr>
        <w:t xml:space="preserve">Teisingumo Teismas nurodė, </w:t>
      </w:r>
      <w:r w:rsidRPr="00285597">
        <w:rPr>
          <w:rFonts w:asciiTheme="minorHAnsi" w:hAnsiTheme="minorHAnsi" w:cstheme="minorHAnsi"/>
          <w:color w:val="000000"/>
          <w:sz w:val="22"/>
          <w:szCs w:val="22"/>
          <w:shd w:val="clear" w:color="auto" w:fill="FFFFFF"/>
        </w:rPr>
        <w:t>kad prašymą priimti prejudicinį sprendimą pateikęs teismas pabrėž</w:t>
      </w:r>
      <w:r>
        <w:rPr>
          <w:rFonts w:asciiTheme="minorHAnsi" w:hAnsiTheme="minorHAnsi" w:cstheme="minorHAnsi"/>
          <w:color w:val="000000"/>
          <w:sz w:val="22"/>
          <w:szCs w:val="22"/>
          <w:shd w:val="clear" w:color="auto" w:fill="FFFFFF"/>
        </w:rPr>
        <w:t>ė</w:t>
      </w:r>
      <w:r w:rsidRPr="00285597">
        <w:rPr>
          <w:rFonts w:asciiTheme="minorHAnsi" w:hAnsiTheme="minorHAnsi" w:cstheme="minorHAnsi"/>
          <w:color w:val="000000"/>
          <w:sz w:val="22"/>
          <w:szCs w:val="22"/>
          <w:shd w:val="clear" w:color="auto" w:fill="FFFFFF"/>
        </w:rPr>
        <w:t>, kad nacionalinėje teisėje nėra numatyta jo sprendimo vykdymo užtikrinimo priemonių – vienintelė pagal tokią teisę galima sankcija yra Imigracijos tarnybos sprendimo negaliojimas, todėl pateikiant skundus teismui administraciniai sprendimai būtų vienas po kito panaikinami, dėl ko galėtų tęstis prašytoj</w:t>
      </w:r>
      <w:r w:rsidR="00D12FB0">
        <w:rPr>
          <w:rFonts w:asciiTheme="minorHAnsi" w:hAnsiTheme="minorHAnsi" w:cstheme="minorHAnsi"/>
          <w:color w:val="000000"/>
          <w:sz w:val="22"/>
          <w:szCs w:val="22"/>
          <w:shd w:val="clear" w:color="auto" w:fill="FFFFFF"/>
        </w:rPr>
        <w:t>o teisinio netikrumo situacija</w:t>
      </w:r>
      <w:r>
        <w:rPr>
          <w:rFonts w:asciiTheme="minorHAnsi" w:hAnsiTheme="minorHAnsi" w:cstheme="minorHAnsi"/>
          <w:color w:val="000000"/>
          <w:sz w:val="22"/>
          <w:szCs w:val="22"/>
          <w:shd w:val="clear" w:color="auto" w:fill="FFFFFF"/>
        </w:rPr>
        <w:t xml:space="preserve"> (68 punktas).</w:t>
      </w:r>
    </w:p>
    <w:p w:rsidR="00C72D18" w:rsidRDefault="00C72D18" w:rsidP="00C72D18">
      <w:pPr>
        <w:pStyle w:val="c01pointnumerotealtn"/>
        <w:shd w:val="clear" w:color="auto" w:fill="FFFFFF"/>
        <w:spacing w:before="0" w:beforeAutospacing="0" w:after="0"/>
        <w:ind w:left="0" w:firstLine="567"/>
        <w:rPr>
          <w:rFonts w:asciiTheme="minorHAnsi" w:hAnsiTheme="minorHAnsi" w:cstheme="minorHAnsi"/>
          <w:color w:val="000000"/>
          <w:sz w:val="22"/>
          <w:szCs w:val="22"/>
          <w:shd w:val="clear" w:color="auto" w:fill="FFFFFF"/>
        </w:rPr>
      </w:pPr>
      <w:r>
        <w:rPr>
          <w:rFonts w:asciiTheme="minorHAnsi" w:hAnsiTheme="minorHAnsi" w:cstheme="minorHAnsi"/>
          <w:color w:val="000000"/>
          <w:sz w:val="22"/>
          <w:szCs w:val="22"/>
          <w:shd w:val="clear" w:color="auto" w:fill="FFFFFF"/>
        </w:rPr>
        <w:t xml:space="preserve">Teisingumo Teismas </w:t>
      </w:r>
      <w:r w:rsidRPr="008A7692">
        <w:rPr>
          <w:rFonts w:asciiTheme="minorHAnsi" w:hAnsiTheme="minorHAnsi" w:cstheme="minorHAnsi"/>
          <w:color w:val="000000"/>
          <w:sz w:val="22"/>
          <w:szCs w:val="22"/>
          <w:shd w:val="clear" w:color="auto" w:fill="FFFFFF"/>
        </w:rPr>
        <w:t xml:space="preserve">nurodė, jog dėl nacionalinio įstatymo, dėl kurio susidaro tokia faktinė padėtis, tarptautinės apsaugos prašytojas netenka veiksmingos teisės gynimo priemonės, kaip tai suprantama pagal Direktyvos 2013/32 46 straipsnio 3 dalį, ir pažeidžiama Chartijos 47 straipsnyje įtvirtintos teisės į veiksmingą teisių gynimą esmė, </w:t>
      </w:r>
      <w:r w:rsidRPr="008A7692">
        <w:rPr>
          <w:rFonts w:asciiTheme="minorHAnsi" w:hAnsiTheme="minorHAnsi" w:cstheme="minorHAnsi"/>
          <w:color w:val="000000"/>
          <w:sz w:val="22"/>
          <w:szCs w:val="22"/>
          <w:u w:val="single"/>
          <w:shd w:val="clear" w:color="auto" w:fill="FFFFFF"/>
        </w:rPr>
        <w:t>kai po minėto 46 straipsnio 3 dalies reikalavimus atitinkančio nagrinėjimo priimtas</w:t>
      </w:r>
      <w:r w:rsidRPr="008A7692">
        <w:rPr>
          <w:rFonts w:asciiTheme="minorHAnsi" w:hAnsiTheme="minorHAnsi" w:cstheme="minorHAnsi"/>
          <w:color w:val="000000"/>
          <w:sz w:val="22"/>
          <w:szCs w:val="22"/>
          <w:shd w:val="clear" w:color="auto" w:fill="FFFFFF"/>
        </w:rPr>
        <w:t xml:space="preserve"> </w:t>
      </w:r>
      <w:r w:rsidRPr="008A7692">
        <w:rPr>
          <w:rFonts w:asciiTheme="minorHAnsi" w:hAnsiTheme="minorHAnsi" w:cstheme="minorHAnsi"/>
          <w:color w:val="000000"/>
          <w:sz w:val="22"/>
          <w:szCs w:val="22"/>
          <w:u w:val="single"/>
          <w:shd w:val="clear" w:color="auto" w:fill="FFFFFF"/>
        </w:rPr>
        <w:t>teismo sprendimas</w:t>
      </w:r>
      <w:r w:rsidRPr="008A7692">
        <w:rPr>
          <w:rFonts w:asciiTheme="minorHAnsi" w:hAnsiTheme="minorHAnsi" w:cstheme="minorHAnsi"/>
          <w:color w:val="000000"/>
          <w:sz w:val="22"/>
          <w:szCs w:val="22"/>
          <w:shd w:val="clear" w:color="auto" w:fill="FFFFFF"/>
        </w:rPr>
        <w:t xml:space="preserve">, kuriame teismas nusprendė, kad tas prašytojas atitinka Direktyvoje 2011/95 nustatytas pabėgėlio arba papildomos apsaugos statuso suteikimo sąlygas, </w:t>
      </w:r>
      <w:r w:rsidRPr="008A7692">
        <w:rPr>
          <w:rFonts w:asciiTheme="minorHAnsi" w:hAnsiTheme="minorHAnsi" w:cstheme="minorHAnsi"/>
          <w:color w:val="000000"/>
          <w:sz w:val="22"/>
          <w:szCs w:val="22"/>
          <w:u w:val="single"/>
          <w:shd w:val="clear" w:color="auto" w:fill="FFFFFF"/>
        </w:rPr>
        <w:t>nevykdomas, nes minėtas teismas neturi priemonių savo sprendimo vykdymui užtikrinti</w:t>
      </w:r>
      <w:r w:rsidRPr="008A7692">
        <w:rPr>
          <w:rFonts w:asciiTheme="minorHAnsi" w:hAnsiTheme="minorHAnsi" w:cstheme="minorHAnsi"/>
          <w:color w:val="000000"/>
          <w:sz w:val="22"/>
          <w:szCs w:val="22"/>
          <w:shd w:val="clear" w:color="auto" w:fill="FFFFFF"/>
        </w:rPr>
        <w:t xml:space="preserve">. Tokiomis aplinkybėmis </w:t>
      </w:r>
      <w:r w:rsidRPr="008A7692">
        <w:rPr>
          <w:rFonts w:asciiTheme="minorHAnsi" w:hAnsiTheme="minorHAnsi" w:cstheme="minorHAnsi"/>
          <w:color w:val="000000"/>
          <w:sz w:val="22"/>
          <w:szCs w:val="22"/>
          <w:u w:val="single"/>
          <w:shd w:val="clear" w:color="auto" w:fill="FFFFFF"/>
        </w:rPr>
        <w:t xml:space="preserve">pačiai Sąjungos teisės prigimčiai būdingiems reikalavimams prieštarautų bet kuri nacionalinės teisės nuostata arba teisėkūros, administracinė ar teisminė praktika, dėl kurios Sąjungos teisės veiksmingumas sumažėtų atsisakius suteikti įgaliojimus šią teisę kompetentingam taikyti teisėjui tokio taikymo metu imtis visų būtinų priemonių netaikyti nacionalinių įstatymų nuostatų, galinčių kliudyti visiškam </w:t>
      </w:r>
      <w:r w:rsidRPr="0093388B">
        <w:rPr>
          <w:rFonts w:asciiTheme="minorHAnsi" w:hAnsiTheme="minorHAnsi" w:cstheme="minorHAnsi"/>
          <w:b/>
          <w:color w:val="000000"/>
          <w:sz w:val="22"/>
          <w:szCs w:val="22"/>
          <w:u w:val="single"/>
          <w:shd w:val="clear" w:color="auto" w:fill="FFFFFF"/>
        </w:rPr>
        <w:t>tiesiogiai veikiančių</w:t>
      </w:r>
      <w:r w:rsidRPr="008A7692">
        <w:rPr>
          <w:rFonts w:asciiTheme="minorHAnsi" w:hAnsiTheme="minorHAnsi" w:cstheme="minorHAnsi"/>
          <w:color w:val="000000"/>
          <w:sz w:val="22"/>
          <w:szCs w:val="22"/>
          <w:u w:val="single"/>
          <w:shd w:val="clear" w:color="auto" w:fill="FFFFFF"/>
        </w:rPr>
        <w:t xml:space="preserve"> Sąjungos teisės normų, kaip antai Direktyvos 2013/32 46 straipsnio 3 dalies, atsižvelgiant į Chartijos 47 straipsnį, veiksmingumui</w:t>
      </w:r>
      <w:r>
        <w:rPr>
          <w:rFonts w:asciiTheme="minorHAnsi" w:hAnsiTheme="minorHAnsi" w:cstheme="minorHAnsi"/>
          <w:color w:val="000000"/>
          <w:sz w:val="22"/>
          <w:szCs w:val="22"/>
          <w:shd w:val="clear" w:color="auto" w:fill="FFFFFF"/>
        </w:rPr>
        <w:t xml:space="preserve"> </w:t>
      </w:r>
      <w:r w:rsidRPr="00C84E88">
        <w:rPr>
          <w:rFonts w:asciiTheme="minorHAnsi" w:hAnsiTheme="minorHAnsi" w:cstheme="minorHAnsi"/>
          <w:color w:val="000000"/>
          <w:sz w:val="22"/>
          <w:szCs w:val="22"/>
          <w:shd w:val="clear" w:color="auto" w:fill="FFFFFF"/>
        </w:rPr>
        <w:t xml:space="preserve">(šiuo klausimu žr. 1978 m. kovo 9 d. Sprendimo </w:t>
      </w:r>
      <w:r w:rsidRPr="00C84E88">
        <w:rPr>
          <w:rFonts w:asciiTheme="minorHAnsi" w:hAnsiTheme="minorHAnsi" w:cstheme="minorHAnsi"/>
          <w:i/>
          <w:iCs/>
          <w:color w:val="000000"/>
          <w:sz w:val="22"/>
          <w:szCs w:val="22"/>
        </w:rPr>
        <w:t>Simmenthal</w:t>
      </w:r>
      <w:r w:rsidRPr="00C84E88">
        <w:rPr>
          <w:rFonts w:asciiTheme="minorHAnsi" w:hAnsiTheme="minorHAnsi" w:cstheme="minorHAnsi"/>
          <w:color w:val="000000"/>
          <w:sz w:val="22"/>
          <w:szCs w:val="22"/>
          <w:shd w:val="clear" w:color="auto" w:fill="FFFFFF"/>
        </w:rPr>
        <w:t xml:space="preserve">, 106/77, EU:C:1978:49, 22 punktą ir 2019 m. birželio 24 d. Sprendimo </w:t>
      </w:r>
      <w:r w:rsidRPr="00C84E88">
        <w:rPr>
          <w:rFonts w:asciiTheme="minorHAnsi" w:hAnsiTheme="minorHAnsi" w:cstheme="minorHAnsi"/>
          <w:i/>
          <w:iCs/>
          <w:color w:val="000000"/>
          <w:sz w:val="22"/>
          <w:szCs w:val="22"/>
        </w:rPr>
        <w:t>Popławski</w:t>
      </w:r>
      <w:r w:rsidRPr="00C84E88">
        <w:rPr>
          <w:rFonts w:asciiTheme="minorHAnsi" w:hAnsiTheme="minorHAnsi" w:cstheme="minorHAnsi"/>
          <w:color w:val="000000"/>
          <w:sz w:val="22"/>
          <w:szCs w:val="22"/>
          <w:shd w:val="clear" w:color="auto" w:fill="FFFFFF"/>
        </w:rPr>
        <w:t>, C</w:t>
      </w:r>
      <w:r w:rsidRPr="00C84E88">
        <w:rPr>
          <w:rFonts w:asciiTheme="minorHAnsi" w:hAnsiTheme="minorHAnsi" w:cstheme="minorHAnsi"/>
          <w:color w:val="000000"/>
          <w:sz w:val="22"/>
          <w:szCs w:val="22"/>
          <w:shd w:val="clear" w:color="auto" w:fill="FFFFFF"/>
        </w:rPr>
        <w:noBreakHyphen/>
        <w:t xml:space="preserve">573/17, EU:C:2019:530, 52–62 punktus). </w:t>
      </w:r>
      <w:r w:rsidRPr="008A7692">
        <w:rPr>
          <w:rFonts w:asciiTheme="minorHAnsi" w:hAnsiTheme="minorHAnsi" w:cstheme="minorHAnsi"/>
          <w:color w:val="000000"/>
          <w:sz w:val="22"/>
          <w:szCs w:val="22"/>
          <w:shd w:val="clear" w:color="auto" w:fill="FFFFFF"/>
        </w:rPr>
        <w:t xml:space="preserve">Taigi, siekiant užtikrinti veiksmingą tarptautinės apsaugos prašytojo teisminę gynybą, kaip tai suprantama pagal Chartijos 47 straipsnį, ir laikantis ESS 4 straipsnio 3 dalyje įtvirtinto lojalaus bendradarbiavimo principo, </w:t>
      </w:r>
      <w:r w:rsidRPr="008A7692">
        <w:rPr>
          <w:rFonts w:asciiTheme="minorHAnsi" w:hAnsiTheme="minorHAnsi" w:cstheme="minorHAnsi"/>
          <w:color w:val="000000"/>
          <w:sz w:val="22"/>
          <w:szCs w:val="22"/>
          <w:u w:val="single"/>
          <w:shd w:val="clear" w:color="auto" w:fill="FFFFFF"/>
        </w:rPr>
        <w:t>skundą nagrinėjantis nacionalinis teismas privalo pakeisti jo ankstesnio sprendimo neatitinkantį administracinės arba kvaziteisminės institucijos (nagrinėjamu atveju – Imigracijos tarnybos) sprendimą ir priimti savo sprendimą dėl suinteresuotojo asmens tarptautinės apsaugos prašymo, netaikydamas, jei reikia, nacionalinių taisyklių, pagal kurias jam taip veikti būtų uždrausta</w:t>
      </w:r>
      <w:r w:rsidRPr="008A7692">
        <w:rPr>
          <w:rFonts w:asciiTheme="minorHAnsi" w:hAnsiTheme="minorHAnsi" w:cstheme="minorHAnsi"/>
          <w:color w:val="000000"/>
          <w:sz w:val="22"/>
          <w:szCs w:val="22"/>
          <w:shd w:val="clear" w:color="auto" w:fill="FFFFFF"/>
        </w:rPr>
        <w:t xml:space="preserve"> </w:t>
      </w:r>
      <w:r w:rsidRPr="00C84E88">
        <w:rPr>
          <w:rFonts w:asciiTheme="minorHAnsi" w:hAnsiTheme="minorHAnsi" w:cstheme="minorHAnsi"/>
          <w:color w:val="000000"/>
          <w:sz w:val="22"/>
          <w:szCs w:val="22"/>
          <w:shd w:val="clear" w:color="auto" w:fill="FFFFFF"/>
        </w:rPr>
        <w:t xml:space="preserve">(pagal analogiją žr. 2014 m. birželio 5 d. Sprendimo </w:t>
      </w:r>
      <w:r w:rsidRPr="00C84E88">
        <w:rPr>
          <w:rFonts w:asciiTheme="minorHAnsi" w:hAnsiTheme="minorHAnsi" w:cstheme="minorHAnsi"/>
          <w:i/>
          <w:iCs/>
          <w:color w:val="000000"/>
          <w:sz w:val="22"/>
          <w:szCs w:val="22"/>
        </w:rPr>
        <w:t>Mahdi</w:t>
      </w:r>
      <w:r w:rsidRPr="00C84E88">
        <w:rPr>
          <w:rFonts w:asciiTheme="minorHAnsi" w:hAnsiTheme="minorHAnsi" w:cstheme="minorHAnsi"/>
          <w:color w:val="000000"/>
          <w:sz w:val="22"/>
          <w:szCs w:val="22"/>
          <w:shd w:val="clear" w:color="auto" w:fill="FFFFFF"/>
        </w:rPr>
        <w:t>, C</w:t>
      </w:r>
      <w:r w:rsidRPr="00C84E88">
        <w:rPr>
          <w:rFonts w:asciiTheme="minorHAnsi" w:hAnsiTheme="minorHAnsi" w:cstheme="minorHAnsi"/>
          <w:color w:val="000000"/>
          <w:sz w:val="22"/>
          <w:szCs w:val="22"/>
          <w:shd w:val="clear" w:color="auto" w:fill="FFFFFF"/>
        </w:rPr>
        <w:noBreakHyphen/>
        <w:t xml:space="preserve">146/14 PPU, EU:C:2014:1320, 62 punktą) </w:t>
      </w:r>
      <w:r w:rsidRPr="008A7692">
        <w:rPr>
          <w:rFonts w:asciiTheme="minorHAnsi" w:hAnsiTheme="minorHAnsi" w:cstheme="minorHAnsi"/>
          <w:color w:val="000000"/>
          <w:sz w:val="22"/>
          <w:szCs w:val="22"/>
          <w:shd w:val="clear" w:color="auto" w:fill="FFFFFF"/>
        </w:rPr>
        <w:t>(72</w:t>
      </w:r>
      <w:r w:rsidRPr="008A7692">
        <w:rPr>
          <w:rFonts w:asciiTheme="minorHAnsi" w:hAnsiTheme="minorHAnsi" w:cstheme="minorHAnsi"/>
          <w:sz w:val="22"/>
          <w:szCs w:val="22"/>
        </w:rPr>
        <w:t xml:space="preserve">–74 </w:t>
      </w:r>
      <w:r w:rsidRPr="008A7692">
        <w:rPr>
          <w:rFonts w:asciiTheme="minorHAnsi" w:hAnsiTheme="minorHAnsi" w:cstheme="minorHAnsi"/>
          <w:color w:val="000000"/>
          <w:sz w:val="22"/>
          <w:szCs w:val="22"/>
          <w:shd w:val="clear" w:color="auto" w:fill="FFFFFF"/>
        </w:rPr>
        <w:t>punktai).</w:t>
      </w:r>
    </w:p>
    <w:p w:rsidR="00C72D18" w:rsidRPr="00842331" w:rsidRDefault="00C72D18" w:rsidP="00C72D18">
      <w:pPr>
        <w:pStyle w:val="c01pointnumerotealtn"/>
        <w:shd w:val="clear" w:color="auto" w:fill="FFFFFF"/>
        <w:spacing w:before="0" w:beforeAutospacing="0" w:after="0"/>
        <w:ind w:left="0" w:firstLine="567"/>
        <w:rPr>
          <w:rFonts w:asciiTheme="minorHAnsi" w:hAnsiTheme="minorHAnsi" w:cstheme="minorHAnsi"/>
          <w:color w:val="000000"/>
          <w:sz w:val="22"/>
          <w:szCs w:val="22"/>
          <w:shd w:val="clear" w:color="auto" w:fill="FFFFFF"/>
        </w:rPr>
      </w:pPr>
      <w:r w:rsidRPr="00842331">
        <w:rPr>
          <w:rFonts w:asciiTheme="minorHAnsi" w:hAnsiTheme="minorHAnsi" w:cstheme="minorHAnsi"/>
          <w:color w:val="000000"/>
          <w:sz w:val="22"/>
          <w:szCs w:val="22"/>
          <w:shd w:val="clear" w:color="auto" w:fill="FFFFFF"/>
        </w:rPr>
        <w:t>T</w:t>
      </w:r>
      <w:r>
        <w:rPr>
          <w:rFonts w:asciiTheme="minorHAnsi" w:hAnsiTheme="minorHAnsi" w:cstheme="minorHAnsi"/>
          <w:color w:val="000000"/>
          <w:sz w:val="22"/>
          <w:szCs w:val="22"/>
          <w:shd w:val="clear" w:color="auto" w:fill="FFFFFF"/>
        </w:rPr>
        <w:t>eisingumo Teismas nurodė, jog t</w:t>
      </w:r>
      <w:r w:rsidRPr="00842331">
        <w:rPr>
          <w:rFonts w:asciiTheme="minorHAnsi" w:hAnsiTheme="minorHAnsi" w:cstheme="minorHAnsi"/>
          <w:color w:val="000000"/>
          <w:sz w:val="22"/>
          <w:szCs w:val="22"/>
          <w:shd w:val="clear" w:color="auto" w:fill="FFFFFF"/>
        </w:rPr>
        <w:t xml:space="preserve">oks Direktyvos 2013/32 46 straipsnio 3 dalies, atsižvelgiant į Chartijos 47 straipsnį, aiškinimas visų pirma taikomas remiantis tuo, kad, kaip matyti iš šio sprendimo 50 punkto, </w:t>
      </w:r>
      <w:r w:rsidRPr="00842331">
        <w:rPr>
          <w:rFonts w:asciiTheme="minorHAnsi" w:hAnsiTheme="minorHAnsi" w:cstheme="minorHAnsi"/>
          <w:color w:val="000000"/>
          <w:sz w:val="22"/>
          <w:szCs w:val="22"/>
          <w:u w:val="single"/>
          <w:shd w:val="clear" w:color="auto" w:fill="FFFFFF"/>
        </w:rPr>
        <w:t xml:space="preserve">kai tarptautinės apsaugos prašytojas atitinka Direktyvoje 2011/95 nustatytas pabėgėlio arba papildomos apsaugos statuso suteikimo sąlygas, valstybės narės privalo jam suteikti minėtą statusą ir jos neturi diskrecijos šiuo klausimu, nes tokį sprendimą suteikti statusą pagal Direktyvos 2011/95 14 straipsnio 1 ir 4 dalis ir 19 straipsnio 1 ir 2 dalis </w:t>
      </w:r>
      <w:r w:rsidRPr="00C8271F">
        <w:rPr>
          <w:rFonts w:asciiTheme="minorHAnsi" w:hAnsiTheme="minorHAnsi" w:cstheme="minorHAnsi"/>
          <w:b/>
          <w:color w:val="000000"/>
          <w:sz w:val="22"/>
          <w:szCs w:val="22"/>
          <w:u w:val="single"/>
          <w:shd w:val="clear" w:color="auto" w:fill="FFFFFF"/>
        </w:rPr>
        <w:t>faktiškai gali priimti teisminė institucija</w:t>
      </w:r>
      <w:r>
        <w:rPr>
          <w:rFonts w:asciiTheme="minorHAnsi" w:hAnsiTheme="minorHAnsi" w:cstheme="minorHAnsi"/>
          <w:color w:val="000000"/>
          <w:sz w:val="22"/>
          <w:szCs w:val="22"/>
          <w:shd w:val="clear" w:color="auto" w:fill="FFFFFF"/>
        </w:rPr>
        <w:t xml:space="preserve"> (75 punktas).</w:t>
      </w:r>
    </w:p>
    <w:p w:rsidR="00C72D18" w:rsidRDefault="00C72D18" w:rsidP="00C72D18">
      <w:pPr>
        <w:pStyle w:val="c01pointnumerotealtn"/>
        <w:shd w:val="clear" w:color="auto" w:fill="FFFFFF"/>
        <w:spacing w:before="0" w:beforeAutospacing="0" w:after="0"/>
        <w:ind w:left="0" w:firstLine="567"/>
        <w:rPr>
          <w:rFonts w:asciiTheme="minorHAnsi" w:hAnsiTheme="minorHAnsi" w:cstheme="minorHAnsi"/>
          <w:sz w:val="22"/>
          <w:szCs w:val="22"/>
        </w:rPr>
      </w:pPr>
    </w:p>
    <w:p w:rsidR="00C72D18" w:rsidRDefault="00C72D18" w:rsidP="00C72D18">
      <w:pPr>
        <w:ind w:firstLine="567"/>
        <w:rPr>
          <w:rFonts w:asciiTheme="minorHAnsi" w:hAnsiTheme="minorHAnsi" w:cstheme="minorHAnsi"/>
          <w:b/>
        </w:rPr>
      </w:pPr>
      <w:r w:rsidRPr="00F13F10">
        <w:rPr>
          <w:rFonts w:asciiTheme="minorHAnsi" w:hAnsiTheme="minorHAnsi" w:cstheme="minorHAnsi"/>
          <w:b/>
        </w:rPr>
        <w:t>Remdamasis šiais motyvais, Teisingumo Teismas (didžioji kolegija) nusprend</w:t>
      </w:r>
      <w:r>
        <w:rPr>
          <w:rFonts w:asciiTheme="minorHAnsi" w:hAnsiTheme="minorHAnsi" w:cstheme="minorHAnsi"/>
          <w:b/>
        </w:rPr>
        <w:t>ė</w:t>
      </w:r>
      <w:r w:rsidRPr="00F13F10">
        <w:rPr>
          <w:rFonts w:asciiTheme="minorHAnsi" w:hAnsiTheme="minorHAnsi" w:cstheme="minorHAnsi"/>
          <w:b/>
        </w:rPr>
        <w:t>:</w:t>
      </w:r>
    </w:p>
    <w:p w:rsidR="00C72D18" w:rsidRPr="00F13F10" w:rsidRDefault="00C72D18" w:rsidP="00C72D18">
      <w:pPr>
        <w:ind w:firstLine="567"/>
        <w:rPr>
          <w:rFonts w:asciiTheme="minorHAnsi" w:hAnsiTheme="minorHAnsi" w:cstheme="minorHAnsi"/>
          <w:b/>
        </w:rPr>
      </w:pPr>
    </w:p>
    <w:p w:rsidR="00C72D18" w:rsidRPr="008033CF" w:rsidRDefault="00C72D18" w:rsidP="00C72D18">
      <w:pPr>
        <w:pStyle w:val="c01pointnumerotealtn"/>
        <w:shd w:val="clear" w:color="auto" w:fill="FFFFFF"/>
        <w:spacing w:before="0" w:beforeAutospacing="0" w:after="0"/>
        <w:ind w:left="0" w:firstLine="567"/>
        <w:rPr>
          <w:rFonts w:asciiTheme="minorHAnsi" w:hAnsiTheme="minorHAnsi" w:cstheme="minorHAnsi"/>
          <w:sz w:val="22"/>
          <w:szCs w:val="22"/>
        </w:rPr>
      </w:pPr>
      <w:r w:rsidRPr="008033CF">
        <w:rPr>
          <w:rFonts w:asciiTheme="minorHAnsi" w:hAnsiTheme="minorHAnsi" w:cstheme="minorHAnsi"/>
          <w:color w:val="000000"/>
          <w:sz w:val="22"/>
          <w:szCs w:val="22"/>
        </w:rPr>
        <w:t>2013 m. birželio 26 d. Europos Parlamento ir Tarybos direktyvos 2013/32/ES dėl tarptautinės apsaugos suteikimo ir panaikinimo bendros tvarkos 46 straipsnio 3 dalis, atsižvelgiant į Europos Sąjungos pagrindinių teisių chartijos 47 straipsnį, turi būti aiškinama taip, kad tokiomis aplinkybėmis, kaip nagrinėjamos pagrindinėje byloje, kai pirmosios instancijos teismas, išsamiai ir</w:t>
      </w:r>
      <w:r w:rsidRPr="008033CF">
        <w:rPr>
          <w:rFonts w:asciiTheme="minorHAnsi" w:hAnsiTheme="minorHAnsi" w:cstheme="minorHAnsi"/>
          <w:i/>
          <w:iCs/>
          <w:color w:val="000000"/>
          <w:sz w:val="22"/>
          <w:szCs w:val="22"/>
        </w:rPr>
        <w:t xml:space="preserve"> ex nunc</w:t>
      </w:r>
      <w:r w:rsidRPr="008033CF">
        <w:rPr>
          <w:rFonts w:asciiTheme="minorHAnsi" w:hAnsiTheme="minorHAnsi" w:cstheme="minorHAnsi"/>
          <w:color w:val="000000"/>
          <w:sz w:val="22"/>
          <w:szCs w:val="22"/>
        </w:rPr>
        <w:t xml:space="preserve"> išnagrinėjęs visas tarptautinės apsaugos prašytojo pateiktas reikšmingas faktines ir teisines aplinkybes, konstatavo, kad pagal 2011 m. gruodžio 13 d. Europos Parlamento ir Tarybos direktyvoje 2011/95/ES dėl trečiųjų šalių piliečių ar asmenų be pilietybės priskyrimo prie tarptautinės apsaugos gavėjų, vienodo statuso pabėgėliams arba papildomą apsaugą galintiems gauti asmenims ir suteikiamos apsaugos pobūdžio reikalavimų numatytus kriterijus šiam prašytojui jo prašyme nurodytu pagrindu turi būti suteikta tokia apsauga, o vėliau administracinė arba kvaziteisminė institucija, nenustačiusi naujų aplinkybių, pateisinančių prašytojo tarptautinės apsaugos poreikių naują įvertinimą, priima priešingą sprendimą, šis teismas turi pakeisti šį sprendimą, kuris neatitinka jo ankstesnio sprendimo, ir priimti savo sprendimą dėl tarptautinės apsaugos prašymo, prireikus netaikydamas nacionalinio įstatymo, pagal kurį taip veikti jam draudžiama.</w:t>
      </w:r>
    </w:p>
    <w:p w:rsidR="00C72D18" w:rsidRDefault="007D413D" w:rsidP="00C72D18">
      <w:pPr>
        <w:pStyle w:val="c01pointnumerotealtn"/>
        <w:shd w:val="clear" w:color="auto" w:fill="FFFFFF"/>
        <w:spacing w:before="0" w:beforeAutospacing="0" w:after="0"/>
        <w:ind w:firstLine="0"/>
        <w:rPr>
          <w:rFonts w:asciiTheme="minorHAnsi" w:hAnsiTheme="minorHAnsi" w:cstheme="minorHAnsi"/>
          <w:sz w:val="22"/>
          <w:szCs w:val="22"/>
        </w:rPr>
      </w:pPr>
      <w:hyperlink r:id="rId13" w:history="1">
        <w:r w:rsidR="00C72D18" w:rsidRPr="00F13F10">
          <w:rPr>
            <w:rStyle w:val="Hyperlink"/>
            <w:rFonts w:asciiTheme="minorHAnsi" w:hAnsiTheme="minorHAnsi" w:cstheme="minorHAnsi"/>
            <w:sz w:val="22"/>
            <w:szCs w:val="22"/>
          </w:rPr>
          <w:t>Prieiga internete</w:t>
        </w:r>
      </w:hyperlink>
      <w:r w:rsidR="00C72D18">
        <w:rPr>
          <w:rFonts w:asciiTheme="minorHAnsi" w:hAnsiTheme="minorHAnsi" w:cstheme="minorHAnsi"/>
          <w:sz w:val="22"/>
          <w:szCs w:val="22"/>
        </w:rPr>
        <w:t xml:space="preserve"> </w:t>
      </w:r>
    </w:p>
    <w:p w:rsidR="00C72D18" w:rsidRPr="00225D16" w:rsidRDefault="00C72D18" w:rsidP="00225D16">
      <w:pPr>
        <w:rPr>
          <w:lang w:eastAsia="lt-LT"/>
        </w:rPr>
      </w:pPr>
    </w:p>
    <w:p w:rsidR="00225D16" w:rsidRDefault="00225D16" w:rsidP="00225D16">
      <w:pPr>
        <w:keepNext/>
        <w:jc w:val="center"/>
        <w:outlineLvl w:val="0"/>
        <w:rPr>
          <w:rFonts w:asciiTheme="minorHAnsi" w:eastAsia="Times New Roman" w:hAnsiTheme="minorHAnsi" w:cstheme="minorHAnsi"/>
          <w:b/>
          <w:bCs/>
          <w:color w:val="323E4F" w:themeColor="text2" w:themeShade="BF"/>
          <w:kern w:val="32"/>
          <w:lang w:eastAsia="lt-LT"/>
        </w:rPr>
      </w:pPr>
      <w:bookmarkStart w:id="12" w:name="_Toc21941944"/>
      <w:r>
        <w:rPr>
          <w:rFonts w:asciiTheme="minorHAnsi" w:eastAsia="Times New Roman" w:hAnsiTheme="minorHAnsi" w:cstheme="minorHAnsi"/>
          <w:b/>
          <w:bCs/>
          <w:color w:val="323E4F" w:themeColor="text2" w:themeShade="BF"/>
          <w:kern w:val="32"/>
          <w:lang w:eastAsia="lt-LT"/>
        </w:rPr>
        <w:t>LAISVAS ASMENŲ JUDĖJIMAS</w:t>
      </w:r>
      <w:bookmarkEnd w:id="12"/>
    </w:p>
    <w:p w:rsidR="00225D16" w:rsidRDefault="00225D16" w:rsidP="00225D16">
      <w:pPr>
        <w:rPr>
          <w:rFonts w:asciiTheme="minorHAnsi" w:eastAsia="Times New Roman" w:hAnsiTheme="minorHAnsi" w:cstheme="minorHAnsi"/>
          <w:b/>
          <w:bCs/>
          <w:color w:val="323E4F" w:themeColor="text2" w:themeShade="BF"/>
          <w:kern w:val="32"/>
          <w:lang w:eastAsia="lt-LT"/>
        </w:rPr>
      </w:pPr>
    </w:p>
    <w:p w:rsidR="00225D16" w:rsidRPr="00986131" w:rsidRDefault="00225D16" w:rsidP="00225D16">
      <w:pPr>
        <w:pStyle w:val="Heading2"/>
        <w:rPr>
          <w:rFonts w:cstheme="minorHAnsi"/>
          <w:szCs w:val="22"/>
        </w:rPr>
      </w:pPr>
      <w:bookmarkStart w:id="13" w:name="_Toc497144233"/>
      <w:bookmarkStart w:id="14" w:name="_Toc11232457"/>
      <w:bookmarkStart w:id="15" w:name="_Toc11232748"/>
      <w:bookmarkStart w:id="16" w:name="_Toc11757984"/>
      <w:bookmarkStart w:id="17" w:name="_Toc21941945"/>
      <w:r w:rsidRPr="00986131">
        <w:rPr>
          <w:rFonts w:cstheme="minorHAnsi"/>
          <w:szCs w:val="22"/>
        </w:rPr>
        <w:t xml:space="preserve">2019 m. </w:t>
      </w:r>
      <w:r>
        <w:rPr>
          <w:rFonts w:cstheme="minorHAnsi"/>
          <w:szCs w:val="22"/>
        </w:rPr>
        <w:t>liepos 10</w:t>
      </w:r>
      <w:r w:rsidRPr="00986131">
        <w:rPr>
          <w:rFonts w:cstheme="minorHAnsi"/>
          <w:szCs w:val="22"/>
        </w:rPr>
        <w:t xml:space="preserve"> d. prejudicinis sprendimas byloje </w:t>
      </w:r>
      <w:bookmarkEnd w:id="13"/>
      <w:r w:rsidRPr="00986131">
        <w:rPr>
          <w:rFonts w:cstheme="minorHAnsi"/>
          <w:szCs w:val="22"/>
        </w:rPr>
        <w:t>C</w:t>
      </w:r>
      <w:r w:rsidR="00DA0939">
        <w:rPr>
          <w:rFonts w:cstheme="minorHAnsi"/>
          <w:szCs w:val="22"/>
        </w:rPr>
        <w:t>-</w:t>
      </w:r>
      <w:r>
        <w:rPr>
          <w:rFonts w:cstheme="minorHAnsi"/>
          <w:szCs w:val="22"/>
        </w:rPr>
        <w:t>89</w:t>
      </w:r>
      <w:r w:rsidRPr="00986131">
        <w:rPr>
          <w:rFonts w:cstheme="minorHAnsi"/>
          <w:szCs w:val="22"/>
        </w:rPr>
        <w:t>/1</w:t>
      </w:r>
      <w:bookmarkEnd w:id="14"/>
      <w:bookmarkEnd w:id="15"/>
      <w:bookmarkEnd w:id="16"/>
      <w:r>
        <w:rPr>
          <w:rFonts w:cstheme="minorHAnsi"/>
          <w:szCs w:val="22"/>
        </w:rPr>
        <w:t>8</w:t>
      </w:r>
      <w:bookmarkEnd w:id="17"/>
    </w:p>
    <w:p w:rsidR="00225D16" w:rsidRDefault="00225D16" w:rsidP="00225D16">
      <w:pPr>
        <w:jc w:val="center"/>
        <w:rPr>
          <w:rFonts w:asciiTheme="minorHAnsi" w:hAnsiTheme="minorHAnsi" w:cstheme="minorHAnsi"/>
          <w:b/>
          <w:bCs/>
          <w:i/>
        </w:rPr>
      </w:pPr>
      <w:r>
        <w:rPr>
          <w:rFonts w:asciiTheme="minorHAnsi" w:hAnsiTheme="minorHAnsi" w:cstheme="minorHAnsi"/>
          <w:b/>
          <w:bCs/>
          <w:i/>
        </w:rPr>
        <w:t>A</w:t>
      </w:r>
      <w:r w:rsidRPr="00986131">
        <w:rPr>
          <w:rFonts w:asciiTheme="minorHAnsi" w:hAnsiTheme="minorHAnsi" w:cstheme="minorHAnsi"/>
          <w:b/>
          <w:bCs/>
          <w:i/>
        </w:rPr>
        <w:t xml:space="preserve"> </w:t>
      </w:r>
      <w:r w:rsidRPr="00986131">
        <w:rPr>
          <w:rFonts w:asciiTheme="minorHAnsi" w:hAnsiTheme="minorHAnsi" w:cstheme="minorHAnsi"/>
          <w:b/>
          <w:i/>
        </w:rPr>
        <w:t xml:space="preserve">prieš </w:t>
      </w:r>
      <w:r w:rsidRPr="00A80423">
        <w:rPr>
          <w:rFonts w:asciiTheme="minorHAnsi" w:hAnsiTheme="minorHAnsi" w:cstheme="minorHAnsi"/>
          <w:b/>
          <w:bCs/>
          <w:i/>
        </w:rPr>
        <w:t>Udlændinge</w:t>
      </w:r>
      <w:r w:rsidRPr="00A80423">
        <w:rPr>
          <w:rFonts w:ascii="Cambria Math" w:hAnsi="Cambria Math" w:cs="Cambria Math"/>
          <w:b/>
          <w:bCs/>
          <w:i/>
        </w:rPr>
        <w:t>‑</w:t>
      </w:r>
      <w:r w:rsidRPr="00A80423">
        <w:rPr>
          <w:rFonts w:asciiTheme="minorHAnsi" w:hAnsiTheme="minorHAnsi" w:cstheme="minorHAnsi"/>
          <w:b/>
          <w:bCs/>
          <w:i/>
        </w:rPr>
        <w:t xml:space="preserve"> og Integrationsministeriet</w:t>
      </w:r>
      <w:bookmarkStart w:id="18" w:name="_Toc11232458"/>
      <w:bookmarkStart w:id="19" w:name="_Toc11232749"/>
      <w:bookmarkStart w:id="20" w:name="_Toc11757985"/>
    </w:p>
    <w:p w:rsidR="00225D16" w:rsidRDefault="00225D16" w:rsidP="00225D16">
      <w:pPr>
        <w:ind w:firstLine="567"/>
        <w:rPr>
          <w:rFonts w:cstheme="minorHAnsi"/>
        </w:rPr>
      </w:pPr>
    </w:p>
    <w:p w:rsidR="00225D16" w:rsidRDefault="00225D16" w:rsidP="00225D16">
      <w:pPr>
        <w:ind w:firstLine="567"/>
        <w:rPr>
          <w:rFonts w:cstheme="minorHAnsi"/>
        </w:rPr>
      </w:pPr>
      <w:r w:rsidRPr="00A80423">
        <w:rPr>
          <w:rFonts w:cstheme="minorHAnsi"/>
        </w:rPr>
        <w:t>A yra Turkijoje gimusi Turkijos pilietė, 1983 m. susituokusi su B, kuris taip pat yra Turkijos pilietis. Sutuoktiniai Turkijoje susilaukė keturių vaikų, o vėliau, 1998 m. jų santuoka buvo nutraukta.</w:t>
      </w:r>
    </w:p>
    <w:p w:rsidR="00225D16" w:rsidRDefault="00225D16" w:rsidP="00225D16">
      <w:pPr>
        <w:ind w:firstLine="567"/>
        <w:rPr>
          <w:rFonts w:cstheme="minorHAnsi"/>
        </w:rPr>
      </w:pPr>
      <w:r w:rsidRPr="00A80423">
        <w:rPr>
          <w:rFonts w:cstheme="minorHAnsi"/>
        </w:rPr>
        <w:t>1999 m. B susituokė su Danijoje gyvenančia Vokietijos piliete. Kaip Sąjungos pilietės sutuoktinis B nuo 1999 m. įgijo teisę gyventi Danijoje. 2006 m. jam buvo išduotas leidimas gyventi šalyje remiantis 2004 m. balandžio 29 d. Europos Parlamento ir Tarybos direktyvos 2004/38/EB dėl Sąjungos piliečių ir jų šeimos narių teisės laisvai judėti ir gyventi valstybių narių teritorijoje nuostatomis.</w:t>
      </w:r>
      <w:r>
        <w:rPr>
          <w:rFonts w:cstheme="minorHAnsi"/>
        </w:rPr>
        <w:t xml:space="preserve"> </w:t>
      </w:r>
      <w:r w:rsidRPr="00A80423">
        <w:rPr>
          <w:rFonts w:cstheme="minorHAnsi"/>
        </w:rPr>
        <w:t>Visiems keturiems vaikams, kurių B susilaukė kartu su A, šeimos susijungimo su B tikslu taip pat buvo išduoti leidimai gyventi Danijoje.</w:t>
      </w:r>
    </w:p>
    <w:p w:rsidR="00225D16" w:rsidRDefault="00225D16" w:rsidP="00225D16">
      <w:pPr>
        <w:ind w:firstLine="567"/>
        <w:rPr>
          <w:rFonts w:cstheme="minorHAnsi"/>
        </w:rPr>
      </w:pPr>
      <w:r w:rsidRPr="00A80423">
        <w:rPr>
          <w:rFonts w:cstheme="minorHAnsi"/>
        </w:rPr>
        <w:t>2009 m. B santuoka buvo nutraukta. Vėliau</w:t>
      </w:r>
      <w:r>
        <w:rPr>
          <w:rFonts w:cstheme="minorHAnsi"/>
        </w:rPr>
        <w:t xml:space="preserve"> tais pačiais metais </w:t>
      </w:r>
      <w:r w:rsidRPr="00A80423">
        <w:rPr>
          <w:rFonts w:cstheme="minorHAnsi"/>
        </w:rPr>
        <w:t>Danijoje A ir B susituokė antrą kartą. 2009 m. rugsėjo 3 d., remdamasi savo santuoka su B, samdomu darbuotoju šioje valstybėje narėje, A Danijos imigracijos tarnyba</w:t>
      </w:r>
      <w:r>
        <w:rPr>
          <w:rFonts w:cstheme="minorHAnsi"/>
        </w:rPr>
        <w:t>i</w:t>
      </w:r>
      <w:r w:rsidRPr="00A80423">
        <w:rPr>
          <w:rFonts w:cstheme="minorHAnsi"/>
        </w:rPr>
        <w:t xml:space="preserve"> pateikė prašymą išduoti leidimą gyventi Danijoje</w:t>
      </w:r>
      <w:r>
        <w:rPr>
          <w:rFonts w:cstheme="minorHAnsi"/>
        </w:rPr>
        <w:t>, tačiau tarnyba</w:t>
      </w:r>
      <w:r w:rsidRPr="00A80423">
        <w:rPr>
          <w:rFonts w:cstheme="minorHAnsi"/>
        </w:rPr>
        <w:t xml:space="preserve"> atmetė šį prašymą pagal Įstatymo dėl užsieniečių nuostatas.</w:t>
      </w:r>
      <w:r>
        <w:rPr>
          <w:rFonts w:cstheme="minorHAnsi"/>
        </w:rPr>
        <w:t xml:space="preserve"> </w:t>
      </w:r>
      <w:r w:rsidRPr="00A80423">
        <w:rPr>
          <w:rFonts w:cstheme="minorHAnsi"/>
        </w:rPr>
        <w:t xml:space="preserve">2010 m. Užsieniečių ir integracijos ministerija atmetė A skundą, pateiktą dėl </w:t>
      </w:r>
      <w:r>
        <w:rPr>
          <w:rFonts w:cstheme="minorHAnsi"/>
        </w:rPr>
        <w:t xml:space="preserve">tarnybos </w:t>
      </w:r>
      <w:r w:rsidRPr="00A80423">
        <w:rPr>
          <w:rFonts w:cstheme="minorHAnsi"/>
        </w:rPr>
        <w:t xml:space="preserve">sprendimo, motyvuodama tuo, kad A ir B neatitiko Įstatymo dėl užsieniečių nustatytos sąlygos. </w:t>
      </w:r>
      <w:r>
        <w:rPr>
          <w:rFonts w:cstheme="minorHAnsi"/>
        </w:rPr>
        <w:t>Š</w:t>
      </w:r>
      <w:r w:rsidRPr="00A80423">
        <w:rPr>
          <w:rFonts w:cstheme="minorHAnsi"/>
        </w:rPr>
        <w:t>ios ministerijos manymu, A ir B ryšiai su Turkija buvo stipresni nei jų turimi ryšiai su Danija.</w:t>
      </w:r>
    </w:p>
    <w:p w:rsidR="00225D16" w:rsidRDefault="00225D16" w:rsidP="00225D16">
      <w:pPr>
        <w:ind w:firstLine="567"/>
        <w:rPr>
          <w:rFonts w:cstheme="minorHAnsi"/>
        </w:rPr>
      </w:pPr>
      <w:r w:rsidRPr="00A80423">
        <w:rPr>
          <w:rFonts w:cstheme="minorHAnsi"/>
        </w:rPr>
        <w:t>A pateikė skundą</w:t>
      </w:r>
      <w:r>
        <w:rPr>
          <w:rFonts w:cstheme="minorHAnsi"/>
        </w:rPr>
        <w:t xml:space="preserve"> teismui</w:t>
      </w:r>
      <w:r w:rsidRPr="00A80423">
        <w:rPr>
          <w:rFonts w:cstheme="minorHAnsi"/>
        </w:rPr>
        <w:t>, prašydama panaikinti 2010 m. sprendimą ir pakartotinai išnagrinėti jos prašymą dėl šeimos susijungimo.</w:t>
      </w:r>
      <w:r>
        <w:rPr>
          <w:rFonts w:cstheme="minorHAnsi"/>
        </w:rPr>
        <w:t xml:space="preserve"> </w:t>
      </w:r>
      <w:r w:rsidRPr="00A80423">
        <w:rPr>
          <w:rFonts w:cstheme="minorHAnsi"/>
        </w:rPr>
        <w:t>Pašymą priimti prejudicinį sprendimą pateikęs teismas iš esmės man</w:t>
      </w:r>
      <w:r>
        <w:rPr>
          <w:rFonts w:cstheme="minorHAnsi"/>
        </w:rPr>
        <w:t>ė</w:t>
      </w:r>
      <w:r w:rsidRPr="00A80423">
        <w:rPr>
          <w:rFonts w:cstheme="minorHAnsi"/>
        </w:rPr>
        <w:t xml:space="preserve">, kad nagrinėjamas nacionalinės teisės aktas reiškia „naują apribojimą“, </w:t>
      </w:r>
      <w:r>
        <w:rPr>
          <w:rFonts w:cstheme="minorHAnsi"/>
        </w:rPr>
        <w:t>kuris nebuvo</w:t>
      </w:r>
      <w:r w:rsidRPr="00A80423">
        <w:rPr>
          <w:rFonts w:cstheme="minorHAnsi"/>
        </w:rPr>
        <w:t xml:space="preserve"> proporcinga</w:t>
      </w:r>
      <w:r>
        <w:rPr>
          <w:rFonts w:cstheme="minorHAnsi"/>
        </w:rPr>
        <w:t>s</w:t>
      </w:r>
      <w:r w:rsidRPr="00A80423">
        <w:rPr>
          <w:rFonts w:cstheme="minorHAnsi"/>
        </w:rPr>
        <w:t xml:space="preserve"> siekiamam tikslui.</w:t>
      </w:r>
    </w:p>
    <w:p w:rsidR="00225D16" w:rsidRDefault="00225D16" w:rsidP="00225D16">
      <w:pPr>
        <w:ind w:firstLine="567"/>
        <w:rPr>
          <w:rFonts w:cstheme="minorHAnsi"/>
          <w:b/>
          <w:bCs/>
        </w:rPr>
      </w:pPr>
    </w:p>
    <w:p w:rsidR="00225D16" w:rsidRPr="00986131" w:rsidRDefault="00225D16" w:rsidP="00225D16">
      <w:pPr>
        <w:pStyle w:val="Heading3"/>
        <w:ind w:firstLine="567"/>
        <w:rPr>
          <w:rFonts w:cstheme="minorHAnsi"/>
        </w:rPr>
      </w:pPr>
      <w:bookmarkStart w:id="21" w:name="_Toc21941946"/>
      <w:r w:rsidRPr="00986131">
        <w:rPr>
          <w:rFonts w:cstheme="minorHAnsi"/>
        </w:rPr>
        <w:t>Dėl nacionalinė</w:t>
      </w:r>
      <w:r>
        <w:rPr>
          <w:rFonts w:cstheme="minorHAnsi"/>
        </w:rPr>
        <w:t>je</w:t>
      </w:r>
      <w:r w:rsidRPr="00986131">
        <w:rPr>
          <w:rFonts w:cstheme="minorHAnsi"/>
        </w:rPr>
        <w:t xml:space="preserve"> teisė</w:t>
      </w:r>
      <w:r>
        <w:rPr>
          <w:rFonts w:cstheme="minorHAnsi"/>
        </w:rPr>
        <w:t xml:space="preserve">je </w:t>
      </w:r>
      <w:bookmarkEnd w:id="18"/>
      <w:bookmarkEnd w:id="19"/>
      <w:bookmarkEnd w:id="20"/>
      <w:r>
        <w:rPr>
          <w:rFonts w:cstheme="minorHAnsi"/>
        </w:rPr>
        <w:t>numatytų apribojimų šeimos susijungimui</w:t>
      </w:r>
      <w:bookmarkEnd w:id="21"/>
    </w:p>
    <w:p w:rsidR="00225D16" w:rsidRPr="00986131" w:rsidRDefault="00225D16" w:rsidP="00225D16">
      <w:pPr>
        <w:ind w:firstLine="567"/>
        <w:rPr>
          <w:rFonts w:asciiTheme="minorHAnsi" w:hAnsiTheme="minorHAnsi" w:cstheme="minorHAnsi"/>
          <w:b/>
        </w:rPr>
      </w:pPr>
    </w:p>
    <w:p w:rsidR="00225D16" w:rsidRDefault="00225D16" w:rsidP="00225D16">
      <w:pPr>
        <w:ind w:firstLine="567"/>
        <w:rPr>
          <w:rFonts w:asciiTheme="minorHAnsi" w:hAnsiTheme="minorHAnsi" w:cstheme="minorHAnsi"/>
        </w:rPr>
      </w:pPr>
      <w:r>
        <w:rPr>
          <w:rFonts w:asciiTheme="minorHAnsi" w:hAnsiTheme="minorHAnsi" w:cstheme="minorHAnsi"/>
        </w:rPr>
        <w:t>Teisingumo Teismas vertino</w:t>
      </w:r>
      <w:r w:rsidRPr="0030523E">
        <w:rPr>
          <w:rFonts w:asciiTheme="minorHAnsi" w:hAnsiTheme="minorHAnsi" w:cstheme="minorHAnsi"/>
        </w:rPr>
        <w:t>, ar Sprendimo Nr. 1/80 13 straipsnis turi būti aiškinamas taip, kad nacionalinė priemonė, pagal kurią atitinkamoje valstybėje narėje teisėtai gyvenančio darbuotojo turko ir jo sutuoktinės šeimos susijungimas yra galimas tik tuomet, kai jų ryšys su šia valstybe nare yra stipresnis nei ryšys su trečiąja valstybe, yra „naujas apribojimas“, kaip jis suprantamas pagal šią nuostatą, ir, jei taip, ar tokia priemonė gali būti pagrįsta siekiu užtikrinti sėkmingą trečiųjų šalių piliečių integraciją atitinkamoje valstybėje narėje.</w:t>
      </w:r>
    </w:p>
    <w:p w:rsidR="00225D16" w:rsidRPr="0030523E" w:rsidRDefault="00225D16" w:rsidP="00225D16">
      <w:pPr>
        <w:ind w:firstLine="567"/>
        <w:rPr>
          <w:rFonts w:asciiTheme="minorHAnsi" w:hAnsiTheme="minorHAnsi" w:cstheme="minorHAnsi"/>
        </w:rPr>
      </w:pPr>
      <w:r w:rsidRPr="0030523E">
        <w:rPr>
          <w:rFonts w:asciiTheme="minorHAnsi" w:hAnsiTheme="minorHAnsi" w:cstheme="minorHAnsi"/>
        </w:rPr>
        <w:t>Pagal suformuotą Teisingumo Teismo jurisprudenciją Sprendimo Nr. 1/80 13 straipsnyje įtvirtinta „</w:t>
      </w:r>
      <w:r w:rsidRPr="00C34304">
        <w:rPr>
          <w:rFonts w:asciiTheme="minorHAnsi" w:hAnsiTheme="minorHAnsi" w:cstheme="minorHAnsi"/>
          <w:i/>
          <w:iCs/>
        </w:rPr>
        <w:t>status quo</w:t>
      </w:r>
      <w:r w:rsidRPr="0030523E">
        <w:rPr>
          <w:rFonts w:asciiTheme="minorHAnsi" w:hAnsiTheme="minorHAnsi" w:cstheme="minorHAnsi"/>
        </w:rPr>
        <w:t>“ išlyga apskritai draudžia bet kokią naują vidaus priemonę, kurios tikslas ar pasekmė būtų tai, jog Turkijos piliečio naudojimasis laisvu darbuotojų judėjimu nacionalinėje teritorijoje būtų siejamas su labiau ribojančiomis sąlygomis nei tos, kurios jam taikytos atitinkamoje valstybėje narėje minėto sprendimo įsigaliojimo momentu.</w:t>
      </w:r>
      <w:r>
        <w:rPr>
          <w:rFonts w:asciiTheme="minorHAnsi" w:hAnsiTheme="minorHAnsi" w:cstheme="minorHAnsi"/>
        </w:rPr>
        <w:t xml:space="preserve"> </w:t>
      </w:r>
      <w:r w:rsidRPr="0030523E">
        <w:rPr>
          <w:rFonts w:asciiTheme="minorHAnsi" w:hAnsiTheme="minorHAnsi" w:cstheme="minorHAnsi"/>
        </w:rPr>
        <w:t>Šiuo atveju neginčijama, kad nacionalinė priemonė</w:t>
      </w:r>
      <w:r>
        <w:rPr>
          <w:rFonts w:asciiTheme="minorHAnsi" w:hAnsiTheme="minorHAnsi" w:cstheme="minorHAnsi"/>
        </w:rPr>
        <w:t xml:space="preserve"> </w:t>
      </w:r>
      <w:r w:rsidRPr="0030523E">
        <w:rPr>
          <w:rFonts w:asciiTheme="minorHAnsi" w:hAnsiTheme="minorHAnsi" w:cstheme="minorHAnsi"/>
        </w:rPr>
        <w:t>buvo nustatyta po Sprendimo Nr.</w:t>
      </w:r>
      <w:r>
        <w:rPr>
          <w:rFonts w:asciiTheme="minorHAnsi" w:hAnsiTheme="minorHAnsi" w:cstheme="minorHAnsi"/>
        </w:rPr>
        <w:t> </w:t>
      </w:r>
      <w:r w:rsidRPr="0030523E">
        <w:rPr>
          <w:rFonts w:asciiTheme="minorHAnsi" w:hAnsiTheme="minorHAnsi" w:cstheme="minorHAnsi"/>
        </w:rPr>
        <w:t>1/80 įsigaliojimo Danijoje ir kad ja šeimos susijungimo srityje buvo sugriežtintos Turkijos piliečių, teisėtai gyvenančių šioje valstybėje narėje, sutuoktinių pirmojo atvykimo į Danijos teritoriją sąlygos, palyginti su sąlygomis, kurios jam taikytos toje valstybėje narėje Sprendimo Nr. 1/80 įsigaliojimo momentu</w:t>
      </w:r>
      <w:r>
        <w:rPr>
          <w:rFonts w:asciiTheme="minorHAnsi" w:hAnsiTheme="minorHAnsi" w:cstheme="minorHAnsi"/>
        </w:rPr>
        <w:t xml:space="preserve"> (23–24 punktai)</w:t>
      </w:r>
      <w:r w:rsidRPr="0030523E">
        <w:rPr>
          <w:rFonts w:asciiTheme="minorHAnsi" w:hAnsiTheme="minorHAnsi" w:cstheme="minorHAnsi"/>
        </w:rPr>
        <w:t>.</w:t>
      </w:r>
    </w:p>
    <w:p w:rsidR="00225D16" w:rsidRDefault="00225D16" w:rsidP="00225D16">
      <w:pPr>
        <w:ind w:firstLine="567"/>
        <w:rPr>
          <w:rFonts w:asciiTheme="minorHAnsi" w:hAnsiTheme="minorHAnsi" w:cstheme="minorHAnsi"/>
        </w:rPr>
      </w:pPr>
      <w:r w:rsidRPr="0030523E">
        <w:rPr>
          <w:rFonts w:asciiTheme="minorHAnsi" w:hAnsiTheme="minorHAnsi" w:cstheme="minorHAnsi"/>
        </w:rPr>
        <w:t>Kadangi darbuotojo turko, kuris teisėtai integravosi į Danijos darbo rinką, situacija yra susijusi su ekonomine laisve – šiuo atveju laisvu darbuotojų judėjimu, –</w:t>
      </w:r>
      <w:r>
        <w:rPr>
          <w:rFonts w:asciiTheme="minorHAnsi" w:hAnsiTheme="minorHAnsi" w:cstheme="minorHAnsi"/>
        </w:rPr>
        <w:t xml:space="preserve"> </w:t>
      </w:r>
      <w:r w:rsidRPr="0030523E">
        <w:rPr>
          <w:rFonts w:asciiTheme="minorHAnsi" w:hAnsiTheme="minorHAnsi" w:cstheme="minorHAnsi"/>
        </w:rPr>
        <w:t>ji patenka į Sprendimo Nr. 1/80 13 straipsnio taikymo sritį</w:t>
      </w:r>
      <w:r>
        <w:rPr>
          <w:rFonts w:asciiTheme="minorHAnsi" w:hAnsiTheme="minorHAnsi" w:cstheme="minorHAnsi"/>
        </w:rPr>
        <w:t>, t</w:t>
      </w:r>
      <w:r w:rsidRPr="0030523E">
        <w:rPr>
          <w:rFonts w:asciiTheme="minorHAnsi" w:hAnsiTheme="minorHAnsi" w:cstheme="minorHAnsi"/>
        </w:rPr>
        <w:t>odėl reikia atsižvelgti tik į darbuotojo turko, šiuo atveju B, gyvenančio atitinkamoje valstybėje narėje, situaciją siekiant nustatyti, ar, remiantis Sprendimo Nr. 1/80 13 straipsnyje nustatyta „</w:t>
      </w:r>
      <w:r w:rsidRPr="00C34304">
        <w:rPr>
          <w:rFonts w:asciiTheme="minorHAnsi" w:hAnsiTheme="minorHAnsi" w:cstheme="minorHAnsi"/>
          <w:i/>
          <w:iCs/>
        </w:rPr>
        <w:t>status quo</w:t>
      </w:r>
      <w:r w:rsidRPr="0030523E">
        <w:rPr>
          <w:rFonts w:asciiTheme="minorHAnsi" w:hAnsiTheme="minorHAnsi" w:cstheme="minorHAnsi"/>
        </w:rPr>
        <w:t xml:space="preserve">“ išlyga, reikia netaikyti nacionalinės priemonės, jeigu paaiškėja, jog ji gali paveikti jo laisvę dirbti samdomą darbą šioje valstybėje narėje </w:t>
      </w:r>
      <w:r>
        <w:rPr>
          <w:rFonts w:asciiTheme="minorHAnsi" w:hAnsiTheme="minorHAnsi" w:cstheme="minorHAnsi"/>
        </w:rPr>
        <w:t>(26–27 punktai)</w:t>
      </w:r>
      <w:r w:rsidRPr="0030523E">
        <w:rPr>
          <w:rFonts w:asciiTheme="minorHAnsi" w:hAnsiTheme="minorHAnsi" w:cstheme="minorHAnsi"/>
        </w:rPr>
        <w:t>.</w:t>
      </w:r>
    </w:p>
    <w:p w:rsidR="00225D16" w:rsidRPr="0030523E" w:rsidRDefault="00225D16" w:rsidP="00225D16">
      <w:pPr>
        <w:ind w:firstLine="567"/>
        <w:rPr>
          <w:rFonts w:asciiTheme="minorHAnsi" w:hAnsiTheme="minorHAnsi" w:cstheme="minorHAnsi"/>
        </w:rPr>
      </w:pPr>
      <w:r w:rsidRPr="0030523E">
        <w:rPr>
          <w:rFonts w:asciiTheme="minorHAnsi" w:hAnsiTheme="minorHAnsi" w:cstheme="minorHAnsi"/>
        </w:rPr>
        <w:t>Turkijos piliečio apsisprendimą atvykti į valstybę narę siekiant joje dirbti samdomą darbą gali neigiamai paveikti šios valstybės narės įstatymai, kuriais apsunkinamas arba padaromas neįmanomas šeimos susijungimas</w:t>
      </w:r>
      <w:r>
        <w:rPr>
          <w:rFonts w:asciiTheme="minorHAnsi" w:hAnsiTheme="minorHAnsi" w:cstheme="minorHAnsi"/>
        </w:rPr>
        <w:t>.</w:t>
      </w:r>
      <w:r w:rsidRPr="0030523E">
        <w:rPr>
          <w:rFonts w:asciiTheme="minorHAnsi" w:hAnsiTheme="minorHAnsi" w:cstheme="minorHAnsi"/>
        </w:rPr>
        <w:t xml:space="preserve"> Šiuo atveju sugriežtindama darbuotojo turko, kuris yra teisėtas Danijos darbo rinkos dalyvis, sutuoktinės atvykimo šeimos susijungimo tikslais sąlygas, nacionalinė priemonė laikytina nustatančia „naują apribojimą“</w:t>
      </w:r>
      <w:r>
        <w:rPr>
          <w:rFonts w:asciiTheme="minorHAnsi" w:hAnsiTheme="minorHAnsi" w:cstheme="minorHAnsi"/>
        </w:rPr>
        <w:t xml:space="preserve"> </w:t>
      </w:r>
      <w:r w:rsidRPr="0030523E">
        <w:rPr>
          <w:rFonts w:asciiTheme="minorHAnsi" w:hAnsiTheme="minorHAnsi" w:cstheme="minorHAnsi"/>
        </w:rPr>
        <w:t>B įgyvendinant savo darbuotojų judėjimo laisvę atitinkamoje valstybėje narėje</w:t>
      </w:r>
      <w:r>
        <w:rPr>
          <w:rFonts w:asciiTheme="minorHAnsi" w:hAnsiTheme="minorHAnsi" w:cstheme="minorHAnsi"/>
        </w:rPr>
        <w:t xml:space="preserve"> (29–30 punktai)</w:t>
      </w:r>
      <w:r w:rsidRPr="0030523E">
        <w:rPr>
          <w:rFonts w:asciiTheme="minorHAnsi" w:hAnsiTheme="minorHAnsi" w:cstheme="minorHAnsi"/>
        </w:rPr>
        <w:t>.</w:t>
      </w:r>
    </w:p>
    <w:p w:rsidR="00225D16" w:rsidRPr="0030523E" w:rsidRDefault="00225D16" w:rsidP="00225D16">
      <w:pPr>
        <w:ind w:firstLine="567"/>
        <w:rPr>
          <w:rFonts w:asciiTheme="minorHAnsi" w:hAnsiTheme="minorHAnsi" w:cstheme="minorHAnsi"/>
        </w:rPr>
      </w:pPr>
      <w:r w:rsidRPr="0030523E">
        <w:rPr>
          <w:rFonts w:asciiTheme="minorHAnsi" w:hAnsiTheme="minorHAnsi" w:cstheme="minorHAnsi"/>
        </w:rPr>
        <w:t>Be to, kaip tai išplaukia iš Teisingumo Teismo jurisprudencijos, apribojimas, kurio tikslas ar pasekmė būtų tai, jog Turkijos piliečio naudojimasis laisvu darbuotojų judėjimu nacionalinėje teritorijoje būtų siejamas su labiau ribojančiomis sąlygomis nei tos, kurios jam taikytos atitinkamoje valstybėje narėje Sprendimo Nr.</w:t>
      </w:r>
      <w:r>
        <w:rPr>
          <w:rFonts w:asciiTheme="minorHAnsi" w:hAnsiTheme="minorHAnsi" w:cstheme="minorHAnsi"/>
        </w:rPr>
        <w:t> </w:t>
      </w:r>
      <w:r w:rsidRPr="0030523E">
        <w:rPr>
          <w:rFonts w:asciiTheme="minorHAnsi" w:hAnsiTheme="minorHAnsi" w:cstheme="minorHAnsi"/>
        </w:rPr>
        <w:t>1/80 įsigaliojimo momentu, yra draudžiamas, išskyrus atvejus, kai šis apribojimas patenka į šio sprendimo 14 straipsnyje nurodytus apribojimus, kai jis pateisinamas privalomu bendrojo intereso pagrindu arba yra tinkamas užtikrinti, kad būtų pasiektas teisėtas tikslas, ir neviršija to, kas būtina jam pasiekti</w:t>
      </w:r>
      <w:r>
        <w:rPr>
          <w:rFonts w:asciiTheme="minorHAnsi" w:hAnsiTheme="minorHAnsi" w:cstheme="minorHAnsi"/>
        </w:rPr>
        <w:t>.</w:t>
      </w:r>
      <w:r w:rsidRPr="0030523E">
        <w:rPr>
          <w:rFonts w:asciiTheme="minorHAnsi" w:hAnsiTheme="minorHAnsi" w:cstheme="minorHAnsi"/>
        </w:rPr>
        <w:t xml:space="preserve"> Šiuo klausimu neginčijama, kad nagrinėjamai nacionalinei priemonei netaikomi Sprendimo Nr. 1/80 14</w:t>
      </w:r>
      <w:r>
        <w:rPr>
          <w:rFonts w:asciiTheme="minorHAnsi" w:hAnsiTheme="minorHAnsi" w:cstheme="minorHAnsi"/>
        </w:rPr>
        <w:t> </w:t>
      </w:r>
      <w:r w:rsidRPr="0030523E">
        <w:rPr>
          <w:rFonts w:asciiTheme="minorHAnsi" w:hAnsiTheme="minorHAnsi" w:cstheme="minorHAnsi"/>
        </w:rPr>
        <w:t>straipsnyje nurodyti apribojimai</w:t>
      </w:r>
      <w:r>
        <w:rPr>
          <w:rFonts w:asciiTheme="minorHAnsi" w:hAnsiTheme="minorHAnsi" w:cstheme="minorHAnsi"/>
        </w:rPr>
        <w:t xml:space="preserve"> (31–32 punktai)</w:t>
      </w:r>
      <w:r w:rsidRPr="0030523E">
        <w:rPr>
          <w:rFonts w:asciiTheme="minorHAnsi" w:hAnsiTheme="minorHAnsi" w:cstheme="minorHAnsi"/>
        </w:rPr>
        <w:t>.</w:t>
      </w:r>
    </w:p>
    <w:p w:rsidR="00225D16" w:rsidRPr="0030523E" w:rsidRDefault="00225D16" w:rsidP="00225D16">
      <w:pPr>
        <w:ind w:firstLine="567"/>
        <w:rPr>
          <w:rFonts w:asciiTheme="minorHAnsi" w:hAnsiTheme="minorHAnsi" w:cstheme="minorHAnsi"/>
        </w:rPr>
      </w:pPr>
      <w:r>
        <w:rPr>
          <w:rFonts w:asciiTheme="minorHAnsi" w:hAnsiTheme="minorHAnsi" w:cstheme="minorHAnsi"/>
        </w:rPr>
        <w:t>D</w:t>
      </w:r>
      <w:r w:rsidRPr="0030523E">
        <w:rPr>
          <w:rFonts w:asciiTheme="minorHAnsi" w:hAnsiTheme="minorHAnsi" w:cstheme="minorHAnsi"/>
        </w:rPr>
        <w:t>ėl sėkmingo trečiųjų šalių piliečių integracijos užtikrinimo tikslo Teisingumo Teismas jau yra nusprendęs, kad toks tikslas gali būti privalomas bendrojo intereso pagrindas Sprendimo Nr. 1/80 13</w:t>
      </w:r>
      <w:r>
        <w:rPr>
          <w:rFonts w:asciiTheme="minorHAnsi" w:hAnsiTheme="minorHAnsi" w:cstheme="minorHAnsi"/>
        </w:rPr>
        <w:t> </w:t>
      </w:r>
      <w:r w:rsidRPr="0030523E">
        <w:rPr>
          <w:rFonts w:asciiTheme="minorHAnsi" w:hAnsiTheme="minorHAnsi" w:cstheme="minorHAnsi"/>
        </w:rPr>
        <w:t xml:space="preserve">straipsnio tikslais. </w:t>
      </w:r>
      <w:r>
        <w:rPr>
          <w:rFonts w:asciiTheme="minorHAnsi" w:hAnsiTheme="minorHAnsi" w:cstheme="minorHAnsi"/>
        </w:rPr>
        <w:t>Bet</w:t>
      </w:r>
      <w:r w:rsidRPr="0030523E">
        <w:rPr>
          <w:rFonts w:asciiTheme="minorHAnsi" w:hAnsiTheme="minorHAnsi" w:cstheme="minorHAnsi"/>
        </w:rPr>
        <w:t xml:space="preserve"> </w:t>
      </w:r>
      <w:r>
        <w:rPr>
          <w:rFonts w:asciiTheme="minorHAnsi" w:hAnsiTheme="minorHAnsi" w:cstheme="minorHAnsi"/>
        </w:rPr>
        <w:t>apribojimas</w:t>
      </w:r>
      <w:r w:rsidRPr="0030523E">
        <w:rPr>
          <w:rFonts w:asciiTheme="minorHAnsi" w:hAnsiTheme="minorHAnsi" w:cstheme="minorHAnsi"/>
        </w:rPr>
        <w:t xml:space="preserve"> </w:t>
      </w:r>
      <w:r>
        <w:rPr>
          <w:rFonts w:asciiTheme="minorHAnsi" w:hAnsiTheme="minorHAnsi" w:cstheme="minorHAnsi"/>
        </w:rPr>
        <w:t>turi būti</w:t>
      </w:r>
      <w:r w:rsidRPr="0030523E">
        <w:rPr>
          <w:rFonts w:asciiTheme="minorHAnsi" w:hAnsiTheme="minorHAnsi" w:cstheme="minorHAnsi"/>
        </w:rPr>
        <w:t xml:space="preserve"> tinkama</w:t>
      </w:r>
      <w:r>
        <w:rPr>
          <w:rFonts w:asciiTheme="minorHAnsi" w:hAnsiTheme="minorHAnsi" w:cstheme="minorHAnsi"/>
        </w:rPr>
        <w:t>s</w:t>
      </w:r>
      <w:r w:rsidRPr="0030523E">
        <w:rPr>
          <w:rFonts w:asciiTheme="minorHAnsi" w:hAnsiTheme="minorHAnsi" w:cstheme="minorHAnsi"/>
        </w:rPr>
        <w:t xml:space="preserve"> siekiant užtikrinti užsibrėžto tikslo įgyvendinimą ir nevirš</w:t>
      </w:r>
      <w:r>
        <w:rPr>
          <w:rFonts w:asciiTheme="minorHAnsi" w:hAnsiTheme="minorHAnsi" w:cstheme="minorHAnsi"/>
        </w:rPr>
        <w:t>yti</w:t>
      </w:r>
      <w:r w:rsidRPr="0030523E">
        <w:rPr>
          <w:rFonts w:asciiTheme="minorHAnsi" w:hAnsiTheme="minorHAnsi" w:cstheme="minorHAnsi"/>
        </w:rPr>
        <w:t xml:space="preserve"> to, kas būtina jam pasiekti</w:t>
      </w:r>
      <w:r>
        <w:rPr>
          <w:rFonts w:asciiTheme="minorHAnsi" w:hAnsiTheme="minorHAnsi" w:cstheme="minorHAnsi"/>
        </w:rPr>
        <w:t xml:space="preserve"> (34 punktas)</w:t>
      </w:r>
      <w:r w:rsidRPr="0030523E">
        <w:rPr>
          <w:rFonts w:asciiTheme="minorHAnsi" w:hAnsiTheme="minorHAnsi" w:cstheme="minorHAnsi"/>
        </w:rPr>
        <w:t>.</w:t>
      </w:r>
    </w:p>
    <w:p w:rsidR="00225D16" w:rsidRPr="0030523E" w:rsidRDefault="00225D16" w:rsidP="00225D16">
      <w:pPr>
        <w:ind w:firstLine="567"/>
        <w:rPr>
          <w:rFonts w:asciiTheme="minorHAnsi" w:hAnsiTheme="minorHAnsi" w:cstheme="minorHAnsi"/>
        </w:rPr>
      </w:pPr>
      <w:r>
        <w:rPr>
          <w:rFonts w:asciiTheme="minorHAnsi" w:hAnsiTheme="minorHAnsi" w:cstheme="minorHAnsi"/>
        </w:rPr>
        <w:t>P</w:t>
      </w:r>
      <w:r w:rsidRPr="0030523E">
        <w:rPr>
          <w:rFonts w:asciiTheme="minorHAnsi" w:hAnsiTheme="minorHAnsi" w:cstheme="minorHAnsi"/>
        </w:rPr>
        <w:t>agal minėtą</w:t>
      </w:r>
      <w:r>
        <w:rPr>
          <w:rFonts w:asciiTheme="minorHAnsi" w:hAnsiTheme="minorHAnsi" w:cstheme="minorHAnsi"/>
        </w:rPr>
        <w:t xml:space="preserve"> nacionalinę</w:t>
      </w:r>
      <w:r w:rsidRPr="0030523E">
        <w:rPr>
          <w:rFonts w:asciiTheme="minorHAnsi" w:hAnsiTheme="minorHAnsi" w:cstheme="minorHAnsi"/>
        </w:rPr>
        <w:t xml:space="preserve"> nuostatą darbuotojo turko, teisėtai gyvenančio priimančiojoje valstybėje narėje, sutuoktinės sėkminga integracija šioje valstybėje narėje negali būti užtikrinta, jeigu jų ryšiai su trečiąja valstybe yra stipresni nei ryšiai su Danij</w:t>
      </w:r>
      <w:r>
        <w:rPr>
          <w:rFonts w:asciiTheme="minorHAnsi" w:hAnsiTheme="minorHAnsi" w:cstheme="minorHAnsi"/>
        </w:rPr>
        <w:t xml:space="preserve">a. </w:t>
      </w:r>
      <w:r w:rsidRPr="0030523E">
        <w:rPr>
          <w:rFonts w:asciiTheme="minorHAnsi" w:hAnsiTheme="minorHAnsi" w:cstheme="minorHAnsi"/>
        </w:rPr>
        <w:t>Vis dėlto, kadangi tiek sutuoktinio</w:t>
      </w:r>
      <w:r>
        <w:rPr>
          <w:rFonts w:asciiTheme="minorHAnsi" w:hAnsiTheme="minorHAnsi" w:cstheme="minorHAnsi"/>
        </w:rPr>
        <w:t xml:space="preserve"> B</w:t>
      </w:r>
      <w:r w:rsidRPr="0030523E">
        <w:rPr>
          <w:rFonts w:asciiTheme="minorHAnsi" w:hAnsiTheme="minorHAnsi" w:cstheme="minorHAnsi"/>
        </w:rPr>
        <w:t xml:space="preserve">, kuris jau yra Danijos teritorijoje, tiek </w:t>
      </w:r>
      <w:r>
        <w:rPr>
          <w:rFonts w:asciiTheme="minorHAnsi" w:hAnsiTheme="minorHAnsi" w:cstheme="minorHAnsi"/>
        </w:rPr>
        <w:t>A</w:t>
      </w:r>
      <w:r w:rsidRPr="0030523E">
        <w:rPr>
          <w:rFonts w:asciiTheme="minorHAnsi" w:hAnsiTheme="minorHAnsi" w:cstheme="minorHAnsi"/>
        </w:rPr>
        <w:t xml:space="preserve"> ryšiai su trečiąja valstybe turi nedidelį poveikį jos galimybėms sėkmingai integruotis šioje valstybėje narėje, nagrinėjama nacionalinė priemonė prašymo išduoti leidimą gyventi šalyje šeimos susijungimo nagrinėjimo stadijoje neleidžia įrodyti, kad pareiškėjo sėkminga integracija Danijoje negali būti užtikrinama</w:t>
      </w:r>
      <w:r>
        <w:rPr>
          <w:rFonts w:asciiTheme="minorHAnsi" w:hAnsiTheme="minorHAnsi" w:cstheme="minorHAnsi"/>
        </w:rPr>
        <w:t xml:space="preserve"> (36–37 punktai)</w:t>
      </w:r>
      <w:r w:rsidRPr="0030523E">
        <w:rPr>
          <w:rFonts w:asciiTheme="minorHAnsi" w:hAnsiTheme="minorHAnsi" w:cstheme="minorHAnsi"/>
        </w:rPr>
        <w:t>.</w:t>
      </w:r>
    </w:p>
    <w:p w:rsidR="00225D16" w:rsidRPr="0030523E" w:rsidRDefault="00225D16" w:rsidP="00225D16">
      <w:pPr>
        <w:ind w:firstLine="567"/>
        <w:rPr>
          <w:rFonts w:asciiTheme="minorHAnsi" w:hAnsiTheme="minorHAnsi" w:cstheme="minorHAnsi"/>
        </w:rPr>
      </w:pPr>
      <w:r w:rsidRPr="00DE2289">
        <w:rPr>
          <w:rFonts w:asciiTheme="minorHAnsi" w:hAnsiTheme="minorHAnsi" w:cstheme="minorHAnsi"/>
          <w:u w:val="single"/>
        </w:rPr>
        <w:t>B yra teisėtai į Danijos darbo rinką integruotas darbuotojas turkas, kuris jau daug metų teisėtai gyvena šioje valstybėje narėje. Iš to išplaukia, kad ryšiai su savo kilmės valstybe negali apriboti integracijos perspektyvų, nes ryšiai su šia valstybe ir priimančiąja valstybe nare vieni kitiems nekenkia</w:t>
      </w:r>
      <w:r w:rsidRPr="0030523E">
        <w:rPr>
          <w:rFonts w:asciiTheme="minorHAnsi" w:hAnsiTheme="minorHAnsi" w:cstheme="minorHAnsi"/>
        </w:rPr>
        <w:t>.</w:t>
      </w:r>
      <w:r>
        <w:rPr>
          <w:rFonts w:asciiTheme="minorHAnsi" w:hAnsiTheme="minorHAnsi" w:cstheme="minorHAnsi"/>
        </w:rPr>
        <w:t xml:space="preserve"> </w:t>
      </w:r>
      <w:r w:rsidRPr="0030523E">
        <w:rPr>
          <w:rFonts w:asciiTheme="minorHAnsi" w:hAnsiTheme="minorHAnsi" w:cstheme="minorHAnsi"/>
        </w:rPr>
        <w:t>Be to, viena vertus, Įstatym</w:t>
      </w:r>
      <w:r>
        <w:rPr>
          <w:rFonts w:asciiTheme="minorHAnsi" w:hAnsiTheme="minorHAnsi" w:cstheme="minorHAnsi"/>
        </w:rPr>
        <w:t>e</w:t>
      </w:r>
      <w:r w:rsidRPr="0030523E">
        <w:rPr>
          <w:rFonts w:asciiTheme="minorHAnsi" w:hAnsiTheme="minorHAnsi" w:cstheme="minorHAnsi"/>
        </w:rPr>
        <w:t xml:space="preserve"> dėl užsieniečių nenumatyta jokios integracijos priemonės, kuri galėtų pagerinti darbuotojo turko, teisėtai gyvenančio priimančiojoje valstybėje narėje, sutuoktinės, norinčios prie jo prisijungti šioje valstybėje narėje, integracijos perspektyvas.</w:t>
      </w:r>
      <w:r>
        <w:rPr>
          <w:rFonts w:asciiTheme="minorHAnsi" w:hAnsiTheme="minorHAnsi" w:cstheme="minorHAnsi"/>
        </w:rPr>
        <w:t xml:space="preserve"> </w:t>
      </w:r>
      <w:r w:rsidRPr="0030523E">
        <w:rPr>
          <w:rFonts w:asciiTheme="minorHAnsi" w:hAnsiTheme="minorHAnsi" w:cstheme="minorHAnsi"/>
        </w:rPr>
        <w:t>Kita vertus</w:t>
      </w:r>
      <w:r>
        <w:rPr>
          <w:rFonts w:asciiTheme="minorHAnsi" w:hAnsiTheme="minorHAnsi" w:cstheme="minorHAnsi"/>
        </w:rPr>
        <w:t>,</w:t>
      </w:r>
      <w:r w:rsidRPr="0030523E">
        <w:rPr>
          <w:rFonts w:asciiTheme="minorHAnsi" w:hAnsiTheme="minorHAnsi" w:cstheme="minorHAnsi"/>
        </w:rPr>
        <w:t xml:space="preserve"> kompetentingų nacionalinių valdžios institucijų atliktas vertinimas, susijęs su Įstatymo dėl užsieniečių nustatyta sąlyga, grindžiamas neapibrėžtais ir netiksliais kriterijais, lemiančiais įvairias ir nenuspėjamas praktikas, pažeidžia teisinio saugumo principą.</w:t>
      </w:r>
      <w:r>
        <w:rPr>
          <w:rFonts w:asciiTheme="minorHAnsi" w:hAnsiTheme="minorHAnsi" w:cstheme="minorHAnsi"/>
        </w:rPr>
        <w:t xml:space="preserve"> Atsižvelgdamas į tai</w:t>
      </w:r>
      <w:r w:rsidR="00DE2289">
        <w:rPr>
          <w:rFonts w:asciiTheme="minorHAnsi" w:hAnsiTheme="minorHAnsi" w:cstheme="minorHAnsi"/>
        </w:rPr>
        <w:t>,</w:t>
      </w:r>
      <w:r>
        <w:rPr>
          <w:rFonts w:asciiTheme="minorHAnsi" w:hAnsiTheme="minorHAnsi" w:cstheme="minorHAnsi"/>
        </w:rPr>
        <w:t xml:space="preserve"> Teismas padarė </w:t>
      </w:r>
      <w:r w:rsidRPr="0030523E">
        <w:rPr>
          <w:rFonts w:asciiTheme="minorHAnsi" w:hAnsiTheme="minorHAnsi" w:cstheme="minorHAnsi"/>
        </w:rPr>
        <w:t>išvad</w:t>
      </w:r>
      <w:r>
        <w:rPr>
          <w:rFonts w:asciiTheme="minorHAnsi" w:hAnsiTheme="minorHAnsi" w:cstheme="minorHAnsi"/>
        </w:rPr>
        <w:t>ą</w:t>
      </w:r>
      <w:r w:rsidRPr="0030523E">
        <w:rPr>
          <w:rFonts w:asciiTheme="minorHAnsi" w:hAnsiTheme="minorHAnsi" w:cstheme="minorHAnsi"/>
        </w:rPr>
        <w:t>, kad nagrinėjama nacionalinė priemonė nėra tinkama siekiant užtikrinti sėkmingą trečiųjų šalių piliečių integraciją Danijoje</w:t>
      </w:r>
      <w:r>
        <w:rPr>
          <w:rFonts w:asciiTheme="minorHAnsi" w:hAnsiTheme="minorHAnsi" w:cstheme="minorHAnsi"/>
        </w:rPr>
        <w:t xml:space="preserve"> (39–42 punktai)</w:t>
      </w:r>
      <w:r w:rsidRPr="0030523E">
        <w:rPr>
          <w:rFonts w:asciiTheme="minorHAnsi" w:hAnsiTheme="minorHAnsi" w:cstheme="minorHAnsi"/>
        </w:rPr>
        <w:t>.</w:t>
      </w:r>
    </w:p>
    <w:p w:rsidR="00225D16" w:rsidRPr="0030523E" w:rsidRDefault="00225D16" w:rsidP="00225D16">
      <w:pPr>
        <w:rPr>
          <w:rFonts w:asciiTheme="minorHAnsi" w:hAnsiTheme="minorHAnsi" w:cstheme="minorHAnsi"/>
        </w:rPr>
      </w:pPr>
    </w:p>
    <w:p w:rsidR="00225D16" w:rsidRPr="00986131" w:rsidRDefault="00225D16" w:rsidP="00225D16">
      <w:pPr>
        <w:ind w:firstLine="567"/>
        <w:rPr>
          <w:rFonts w:asciiTheme="minorHAnsi" w:hAnsiTheme="minorHAnsi" w:cstheme="minorHAnsi"/>
        </w:rPr>
      </w:pPr>
      <w:r w:rsidRPr="00986131">
        <w:rPr>
          <w:rFonts w:asciiTheme="minorHAnsi" w:hAnsiTheme="minorHAnsi" w:cstheme="minorHAnsi"/>
          <w:b/>
        </w:rPr>
        <w:t>Remdamasis šiais motyvais, Teisingumo Teismas nusprendė:</w:t>
      </w:r>
    </w:p>
    <w:p w:rsidR="00225D16" w:rsidRPr="00986131" w:rsidRDefault="00225D16" w:rsidP="00225D16">
      <w:pPr>
        <w:ind w:firstLine="567"/>
        <w:rPr>
          <w:rFonts w:asciiTheme="minorHAnsi" w:eastAsia="Times New Roman" w:hAnsiTheme="minorHAnsi" w:cstheme="minorHAnsi"/>
          <w:bCs/>
          <w:lang w:eastAsia="lt-LT"/>
        </w:rPr>
      </w:pPr>
      <w:r w:rsidRPr="00B35888">
        <w:rPr>
          <w:rFonts w:asciiTheme="minorHAnsi" w:eastAsia="Times New Roman" w:hAnsiTheme="minorHAnsi" w:cstheme="minorHAnsi"/>
          <w:bCs/>
          <w:lang w:eastAsia="lt-LT"/>
        </w:rPr>
        <w:t>1980 m. rugsėjo 19 d. Sprendimo Nr. 1/80 dėl asociacijos plėtros, kurį priėmė Asociacijos taryba, įkurta Susitarimu, kuriuo įsteigiama Europos ekonominės bendrijos ir Turkijos asociacija, kurį 1963 m. rugsėjo 12 d. Ankaroje pasirašė Turkijos Respublika su EEB valstybės narėmis ir Bendrija ir kuris Bendrijos vardu buvo sudarytas, aprobuotas ir patvirtintas 1963 m. gruodžio 23 d. Tarybos sprendimu 64/732/EEB, 13 straipsnį reikia aiškinti taip, kad nacionalinė priemonė, pagal kurią atitinkamoje valstybėje narėje teisėtai gyvenančio darbuotojo turko ir jo sutuoktinės šeimos susijungimas yra galimas tik tuomet, kai jų ryšys su šia valstybe nare yra stipresnis nei ryšys su trečiąja valstybe, yra „naujas apribojimas“, kaip jis suprantamas pagal šią nuostatą. Toks apribojimas nėra pateisinamas.</w:t>
      </w:r>
    </w:p>
    <w:p w:rsidR="00225D16" w:rsidRPr="00986131" w:rsidRDefault="007D413D" w:rsidP="00225D16">
      <w:pPr>
        <w:pStyle w:val="c01pointnumerotealtn"/>
        <w:spacing w:before="0" w:beforeAutospacing="0" w:after="0"/>
        <w:ind w:left="0" w:firstLine="567"/>
        <w:rPr>
          <w:rFonts w:asciiTheme="minorHAnsi" w:hAnsiTheme="minorHAnsi" w:cstheme="minorHAnsi"/>
          <w:bCs/>
          <w:sz w:val="22"/>
          <w:szCs w:val="22"/>
        </w:rPr>
      </w:pPr>
      <w:hyperlink r:id="rId14" w:history="1">
        <w:r w:rsidR="00225D16" w:rsidRPr="00986131">
          <w:rPr>
            <w:rStyle w:val="Hyperlink"/>
            <w:rFonts w:asciiTheme="minorHAnsi" w:hAnsiTheme="minorHAnsi" w:cstheme="minorHAnsi"/>
            <w:bCs/>
            <w:sz w:val="22"/>
            <w:szCs w:val="22"/>
          </w:rPr>
          <w:t>Prieiga internete</w:t>
        </w:r>
      </w:hyperlink>
    </w:p>
    <w:p w:rsidR="00225D16" w:rsidRPr="00986131" w:rsidRDefault="00225D16" w:rsidP="00225D16">
      <w:pPr>
        <w:pStyle w:val="c01pointnumerotealtn"/>
        <w:spacing w:before="0" w:beforeAutospacing="0" w:after="0"/>
        <w:ind w:left="0" w:firstLine="567"/>
        <w:rPr>
          <w:rStyle w:val="Hyperlink"/>
          <w:rFonts w:asciiTheme="minorHAnsi" w:hAnsiTheme="minorHAnsi" w:cstheme="minorHAnsi"/>
          <w:bCs/>
          <w:sz w:val="22"/>
          <w:szCs w:val="22"/>
        </w:rPr>
      </w:pPr>
    </w:p>
    <w:p w:rsidR="00DC2221" w:rsidRPr="00DC2221" w:rsidRDefault="00DC2221" w:rsidP="00DC2221">
      <w:pPr>
        <w:keepNext/>
        <w:jc w:val="center"/>
        <w:outlineLvl w:val="0"/>
        <w:rPr>
          <w:rFonts w:asciiTheme="minorHAnsi" w:eastAsia="Times New Roman" w:hAnsiTheme="minorHAnsi" w:cstheme="minorHAnsi"/>
          <w:b/>
          <w:bCs/>
          <w:color w:val="323E4F" w:themeColor="text2" w:themeShade="BF"/>
          <w:kern w:val="32"/>
          <w:lang w:eastAsia="lt-LT"/>
        </w:rPr>
      </w:pPr>
      <w:bookmarkStart w:id="22" w:name="_Toc19278738"/>
      <w:bookmarkStart w:id="23" w:name="_Toc21941947"/>
      <w:r w:rsidRPr="00DC2221">
        <w:rPr>
          <w:rFonts w:asciiTheme="minorHAnsi" w:eastAsia="Times New Roman" w:hAnsiTheme="minorHAnsi" w:cstheme="minorHAnsi"/>
          <w:b/>
          <w:bCs/>
          <w:color w:val="323E4F" w:themeColor="text2" w:themeShade="BF"/>
          <w:kern w:val="32"/>
          <w:lang w:eastAsia="lt-LT"/>
        </w:rPr>
        <w:t>MUITINĖS VEIKLA</w:t>
      </w:r>
      <w:bookmarkEnd w:id="22"/>
      <w:bookmarkEnd w:id="23"/>
    </w:p>
    <w:p w:rsidR="00DC2221" w:rsidRPr="00DC2221" w:rsidRDefault="00DC2221" w:rsidP="00DC2221">
      <w:pPr>
        <w:ind w:firstLine="540"/>
        <w:rPr>
          <w:rFonts w:eastAsia="Times New Roman" w:cs="Calibri"/>
          <w:lang w:eastAsia="lt-LT"/>
        </w:rPr>
      </w:pPr>
    </w:p>
    <w:p w:rsidR="00DC2221" w:rsidRPr="00DC2221" w:rsidRDefault="00DC2221" w:rsidP="00DC2221">
      <w:pPr>
        <w:jc w:val="center"/>
        <w:outlineLvl w:val="1"/>
        <w:rPr>
          <w:rFonts w:eastAsia="Times New Roman" w:cs="Calibri"/>
          <w:b/>
          <w:lang w:eastAsia="lt-LT"/>
        </w:rPr>
      </w:pPr>
      <w:bookmarkStart w:id="24" w:name="_Toc19278739"/>
      <w:bookmarkStart w:id="25" w:name="_Toc21941948"/>
      <w:r w:rsidRPr="00DC2221">
        <w:rPr>
          <w:rFonts w:eastAsia="Times New Roman" w:cs="Calibri"/>
          <w:b/>
          <w:lang w:eastAsia="lt-LT"/>
        </w:rPr>
        <w:t>2019 m. birželio 20 d. prejudicinis sprendimas byloje C</w:t>
      </w:r>
      <w:r w:rsidRPr="00DC2221">
        <w:rPr>
          <w:rFonts w:ascii="Cambria Math" w:eastAsia="Times New Roman" w:hAnsi="Cambria Math" w:cs="Cambria Math"/>
          <w:b/>
          <w:lang w:eastAsia="lt-LT"/>
        </w:rPr>
        <w:t>‑</w:t>
      </w:r>
      <w:r w:rsidRPr="00DC2221">
        <w:rPr>
          <w:rFonts w:eastAsia="Times New Roman" w:cs="Calibri"/>
          <w:b/>
          <w:lang w:eastAsia="lt-LT"/>
        </w:rPr>
        <w:t>1/18</w:t>
      </w:r>
      <w:bookmarkEnd w:id="24"/>
      <w:bookmarkEnd w:id="25"/>
    </w:p>
    <w:p w:rsidR="00DC2221" w:rsidRPr="00DC2221" w:rsidRDefault="00DC2221" w:rsidP="00DC2221">
      <w:pPr>
        <w:jc w:val="center"/>
        <w:rPr>
          <w:rFonts w:eastAsia="Times New Roman" w:cs="Calibri"/>
          <w:b/>
          <w:i/>
          <w:iCs/>
          <w:lang w:eastAsia="lt-LT"/>
        </w:rPr>
      </w:pPr>
      <w:r w:rsidRPr="00DC2221">
        <w:rPr>
          <w:rFonts w:eastAsia="Times New Roman" w:cs="Calibri"/>
          <w:b/>
          <w:i/>
          <w:iCs/>
          <w:lang w:eastAsia="lt-LT"/>
        </w:rPr>
        <w:t>„Oribalt Rīga“ SIA, buvusi „Oriola Rīga“ SIA</w:t>
      </w:r>
      <w:r w:rsidR="004442DA">
        <w:rPr>
          <w:rFonts w:eastAsia="Times New Roman" w:cs="Calibri"/>
          <w:b/>
          <w:i/>
          <w:iCs/>
          <w:lang w:eastAsia="lt-LT"/>
        </w:rPr>
        <w:t>,</w:t>
      </w:r>
      <w:r w:rsidRPr="00DC2221">
        <w:rPr>
          <w:rFonts w:eastAsia="Times New Roman" w:cs="Calibri"/>
          <w:b/>
          <w:lang w:eastAsia="lt-LT"/>
        </w:rPr>
        <w:t xml:space="preserve"> </w:t>
      </w:r>
      <w:r w:rsidRPr="00DC2221">
        <w:rPr>
          <w:rFonts w:eastAsia="Times New Roman" w:cs="Calibri"/>
          <w:b/>
          <w:bCs/>
          <w:i/>
          <w:lang w:eastAsia="lt-LT"/>
        </w:rPr>
        <w:t>prieš</w:t>
      </w:r>
      <w:r w:rsidRPr="00DC2221">
        <w:rPr>
          <w:rFonts w:eastAsia="Times New Roman" w:cs="Calibri"/>
          <w:b/>
          <w:lang w:eastAsia="lt-LT"/>
        </w:rPr>
        <w:t xml:space="preserve"> </w:t>
      </w:r>
      <w:r w:rsidRPr="00DC2221">
        <w:rPr>
          <w:rFonts w:eastAsia="Times New Roman" w:cs="Calibri"/>
          <w:b/>
          <w:i/>
          <w:iCs/>
          <w:lang w:eastAsia="lt-LT"/>
        </w:rPr>
        <w:t>Valsts ieņēmumu dienests</w:t>
      </w:r>
    </w:p>
    <w:p w:rsidR="00DC2221" w:rsidRPr="00DC2221" w:rsidRDefault="00DC2221" w:rsidP="00DC2221">
      <w:pPr>
        <w:ind w:firstLine="540"/>
        <w:rPr>
          <w:rFonts w:eastAsia="Times New Roman" w:cs="Calibri"/>
          <w:lang w:eastAsia="lt-LT"/>
        </w:rPr>
      </w:pPr>
    </w:p>
    <w:p w:rsidR="00DC2221" w:rsidRPr="00DC2221" w:rsidRDefault="00DC2221" w:rsidP="00DC2221">
      <w:pPr>
        <w:ind w:firstLine="540"/>
        <w:rPr>
          <w:rFonts w:eastAsia="Times New Roman" w:cs="Calibri"/>
          <w:lang w:eastAsia="lt-LT"/>
        </w:rPr>
      </w:pPr>
      <w:r w:rsidRPr="00DC2221">
        <w:rPr>
          <w:rFonts w:eastAsia="Times New Roman" w:cs="Calibri"/>
          <w:lang w:eastAsia="lt-LT"/>
        </w:rPr>
        <w:t>Prašymas priimti prejudicinį sprendimą buvo pateiktas dėl 1992 m. spalio 12 d. Tarybos reglamento (EEB) Nr. 2913/92, nustatančio Bendrijos muitinės kodeksą, iš dalies pakeisto 1996 m. gruodžio 19 d. Europos Parlamento ir Tarybos reglamentu (EB) Nr. 82/97, (toliau – Muitinės kodeksas) 30 straipsnio 2 </w:t>
      </w:r>
      <w:r w:rsidR="004442DA">
        <w:rPr>
          <w:rFonts w:eastAsia="Times New Roman" w:cs="Calibri"/>
          <w:lang w:eastAsia="lt-LT"/>
        </w:rPr>
        <w:t>dalies b ir c </w:t>
      </w:r>
      <w:r w:rsidRPr="00DC2221">
        <w:rPr>
          <w:rFonts w:eastAsia="Times New Roman" w:cs="Calibri"/>
          <w:lang w:eastAsia="lt-LT"/>
        </w:rPr>
        <w:t xml:space="preserve">punktų ir 1993 m. liepos 2 d. Komisijos reglamento (EEB) Nr. 2454/93, išdėstančio Reglamento Nr. 2913/92 įgyvendinimo nuostatas (toliau – Įgyvendinimo reglamentas), 151 straipsnio 4 dalies ir 152 straipsnio 1 dalies b punkto išaiškinimo. Šis prašymas pateiktas nagrinėjant </w:t>
      </w:r>
      <w:r w:rsidRPr="00DC2221">
        <w:rPr>
          <w:rFonts w:eastAsia="Times New Roman" w:cs="Calibri"/>
          <w:i/>
          <w:lang w:eastAsia="lt-LT"/>
        </w:rPr>
        <w:t>„Oribalt Rīga“ SIA</w:t>
      </w:r>
      <w:r w:rsidRPr="00DC2221">
        <w:rPr>
          <w:rFonts w:eastAsia="Times New Roman" w:cs="Calibri"/>
          <w:lang w:eastAsia="lt-LT"/>
        </w:rPr>
        <w:t xml:space="preserve"> ir </w:t>
      </w:r>
      <w:r w:rsidR="001E17E4">
        <w:rPr>
          <w:rFonts w:eastAsia="Times New Roman" w:cs="Calibri"/>
          <w:lang w:eastAsia="lt-LT"/>
        </w:rPr>
        <w:t>mokesčių</w:t>
      </w:r>
      <w:r w:rsidRPr="00DC2221">
        <w:rPr>
          <w:rFonts w:eastAsia="Times New Roman" w:cs="Calibri"/>
          <w:lang w:eastAsia="lt-LT"/>
        </w:rPr>
        <w:t xml:space="preserve"> administratoriaus ginčą dėl pastarosios generalinio direktoriaus sprendimo nurodyti šiai bendrovei į valstybės biudžetą papildomai sumokėti pridėtinės vertės mokestį (PVM) (1 ir 2 punktai).</w:t>
      </w:r>
    </w:p>
    <w:p w:rsidR="00DC2221" w:rsidRPr="00DC2221" w:rsidRDefault="00DC2221" w:rsidP="00DC2221">
      <w:pPr>
        <w:ind w:firstLine="540"/>
        <w:rPr>
          <w:rFonts w:eastAsia="Times New Roman" w:cs="Calibri"/>
          <w:lang w:eastAsia="lt-LT"/>
        </w:rPr>
      </w:pPr>
      <w:r w:rsidRPr="00DC2221">
        <w:rPr>
          <w:rFonts w:eastAsia="Times New Roman" w:cs="Calibri"/>
          <w:lang w:eastAsia="lt-LT"/>
        </w:rPr>
        <w:t>Pagrindin</w:t>
      </w:r>
      <w:r w:rsidR="001E17E4">
        <w:rPr>
          <w:rFonts w:eastAsia="Times New Roman" w:cs="Calibri"/>
          <w:lang w:eastAsia="lt-LT"/>
        </w:rPr>
        <w:t>ė</w:t>
      </w:r>
      <w:r w:rsidRPr="00DC2221">
        <w:rPr>
          <w:rFonts w:eastAsia="Times New Roman" w:cs="Calibri"/>
          <w:lang w:eastAsia="lt-LT"/>
        </w:rPr>
        <w:t xml:space="preserve">je byloje nustatyta, kad 2005 m. </w:t>
      </w:r>
      <w:r w:rsidRPr="00DC2221">
        <w:rPr>
          <w:rFonts w:eastAsia="Times New Roman" w:cs="Calibri"/>
          <w:i/>
          <w:lang w:eastAsia="lt-LT"/>
        </w:rPr>
        <w:t>Oribalt Rīga</w:t>
      </w:r>
      <w:r w:rsidRPr="00DC2221">
        <w:rPr>
          <w:rFonts w:eastAsia="Times New Roman" w:cs="Calibri"/>
          <w:lang w:eastAsia="lt-LT"/>
        </w:rPr>
        <w:t xml:space="preserve"> sudarė su Indijos bendrove </w:t>
      </w:r>
      <w:r w:rsidRPr="00DC2221">
        <w:rPr>
          <w:rFonts w:eastAsia="Times New Roman" w:cs="Calibri"/>
          <w:i/>
          <w:lang w:eastAsia="lt-LT"/>
        </w:rPr>
        <w:t>Ranbaxy Laboratories Ltd</w:t>
      </w:r>
      <w:r w:rsidRPr="00DC2221">
        <w:rPr>
          <w:rFonts w:eastAsia="Times New Roman" w:cs="Calibri"/>
          <w:lang w:eastAsia="lt-LT"/>
        </w:rPr>
        <w:t xml:space="preserve"> konsignacijos sutartį, pagal kurią </w:t>
      </w:r>
      <w:r w:rsidRPr="00DC2221">
        <w:rPr>
          <w:rFonts w:eastAsia="Times New Roman" w:cs="Calibri"/>
          <w:i/>
          <w:lang w:eastAsia="lt-LT"/>
        </w:rPr>
        <w:t>Ranbaxy Laboratories</w:t>
      </w:r>
      <w:r w:rsidRPr="00DC2221">
        <w:rPr>
          <w:rFonts w:eastAsia="Times New Roman" w:cs="Calibri"/>
          <w:lang w:eastAsia="lt-LT"/>
        </w:rPr>
        <w:t xml:space="preserve"> paskyrė </w:t>
      </w:r>
      <w:r w:rsidRPr="00DC2221">
        <w:rPr>
          <w:rFonts w:eastAsia="Times New Roman" w:cs="Calibri"/>
          <w:i/>
          <w:lang w:eastAsia="lt-LT"/>
        </w:rPr>
        <w:t>Oribalt Rīga</w:t>
      </w:r>
      <w:r w:rsidRPr="00DC2221">
        <w:rPr>
          <w:rFonts w:eastAsia="Times New Roman" w:cs="Calibri"/>
          <w:lang w:eastAsia="lt-LT"/>
        </w:rPr>
        <w:t xml:space="preserve"> išimtine savo importuojamų generinių vaistų (toliau – aptariami vaistai) konsignacinio sandėliavimo paslaugų teikėja Latvijoje, Lietuvoje ir Estijoje ir pavedė šiai bendrovei juos deklaruoti, kad būtų išleisti į laisvą apyvartą. </w:t>
      </w:r>
      <w:r w:rsidRPr="00DC2221">
        <w:rPr>
          <w:rFonts w:eastAsia="Times New Roman" w:cs="Calibri"/>
          <w:i/>
          <w:lang w:eastAsia="lt-LT"/>
        </w:rPr>
        <w:t>Oribalt Rīga</w:t>
      </w:r>
      <w:r w:rsidRPr="00DC2221">
        <w:rPr>
          <w:rFonts w:eastAsia="Times New Roman" w:cs="Calibri"/>
          <w:lang w:eastAsia="lt-LT"/>
        </w:rPr>
        <w:t xml:space="preserve"> įsipareigojo užtikrinti pakankamai sandėliavimo vietos ir teikti aptarnavimo paslaugas, skirtas </w:t>
      </w:r>
      <w:r w:rsidRPr="00DC2221">
        <w:rPr>
          <w:rFonts w:eastAsia="Times New Roman" w:cs="Calibri"/>
          <w:i/>
          <w:lang w:eastAsia="lt-LT"/>
        </w:rPr>
        <w:t>Ranbaxy Laboratories</w:t>
      </w:r>
      <w:r w:rsidRPr="00DC2221">
        <w:rPr>
          <w:rFonts w:eastAsia="Times New Roman" w:cs="Calibri"/>
          <w:lang w:eastAsia="lt-LT"/>
        </w:rPr>
        <w:t xml:space="preserve"> klientų užsakymams vykdyti, </w:t>
      </w:r>
      <w:r w:rsidRPr="00DC2221">
        <w:rPr>
          <w:rFonts w:eastAsia="Times New Roman" w:cs="Calibri"/>
          <w:u w:val="single"/>
          <w:lang w:eastAsia="lt-LT"/>
        </w:rPr>
        <w:t>neįgyjant aptariamų vaistų nuosavybės teisių</w:t>
      </w:r>
      <w:r w:rsidRPr="00DC2221">
        <w:rPr>
          <w:rFonts w:eastAsia="Times New Roman" w:cs="Calibri"/>
          <w:lang w:eastAsia="lt-LT"/>
        </w:rPr>
        <w:t>.</w:t>
      </w:r>
    </w:p>
    <w:p w:rsidR="00DC2221" w:rsidRPr="00DC2221" w:rsidRDefault="00DC2221" w:rsidP="00DC2221">
      <w:pPr>
        <w:ind w:firstLine="540"/>
        <w:rPr>
          <w:rFonts w:eastAsia="Times New Roman" w:cs="Calibri"/>
          <w:lang w:eastAsia="lt-LT"/>
        </w:rPr>
      </w:pPr>
      <w:r w:rsidRPr="00DC2221">
        <w:rPr>
          <w:rFonts w:eastAsia="Times New Roman" w:cs="Calibri"/>
          <w:lang w:eastAsia="lt-LT"/>
        </w:rPr>
        <w:t>Pateikdama aptariamus vaistus muitinei,</w:t>
      </w:r>
      <w:r w:rsidRPr="00DC2221">
        <w:rPr>
          <w:rFonts w:eastAsia="Times New Roman" w:cs="Calibri"/>
          <w:i/>
          <w:lang w:eastAsia="lt-LT"/>
        </w:rPr>
        <w:t xml:space="preserve"> Oribalt Rīga</w:t>
      </w:r>
      <w:r w:rsidRPr="00DC2221">
        <w:rPr>
          <w:rFonts w:eastAsia="Times New Roman" w:cs="Calibri"/>
          <w:lang w:eastAsia="lt-LT"/>
        </w:rPr>
        <w:t xml:space="preserve"> užpildė muitinės deklaracijas, kur save nurodė ir kaip šių vaistų gavėją, ir kaip deklaracijos pateikėją. Aptariamų vaistų muitinę vertę </w:t>
      </w:r>
      <w:r w:rsidRPr="00DC2221">
        <w:rPr>
          <w:rFonts w:eastAsia="Times New Roman" w:cs="Calibri"/>
          <w:i/>
          <w:lang w:eastAsia="lt-LT"/>
        </w:rPr>
        <w:t xml:space="preserve">Oribalt Rīga </w:t>
      </w:r>
      <w:r w:rsidRPr="00DC2221">
        <w:rPr>
          <w:rFonts w:eastAsia="Times New Roman" w:cs="Calibri"/>
          <w:lang w:eastAsia="lt-LT"/>
        </w:rPr>
        <w:t xml:space="preserve">apskaičiavo taikydama Muitinės kodekso 29 straipsnio 1 dalyje apibrėžtą vadinamąjį sandorio vertės metodą. Ši muitinė vertė buvo nustatyta naudojantis muitinei pateiktomis pro forma sąskaitomis, kurias </w:t>
      </w:r>
      <w:r w:rsidRPr="00DC2221">
        <w:rPr>
          <w:rFonts w:eastAsia="Times New Roman" w:cs="Calibri"/>
          <w:i/>
          <w:lang w:eastAsia="lt-LT"/>
        </w:rPr>
        <w:t>Ranbaxy Laboratories</w:t>
      </w:r>
      <w:r w:rsidRPr="00DC2221">
        <w:rPr>
          <w:rFonts w:eastAsia="Times New Roman" w:cs="Calibri"/>
          <w:lang w:eastAsia="lt-LT"/>
        </w:rPr>
        <w:t xml:space="preserve"> išrašė muitinės procedūroms atlikti; tose sąskaitose pateikta informacija apie importuotų prekių rūšį, tokios sąskaitos išrašymo metu egzistuojančią vieneto rinkos kainą ir bendrą kainą. </w:t>
      </w:r>
      <w:r w:rsidRPr="00DC2221">
        <w:rPr>
          <w:rFonts w:eastAsia="Times New Roman" w:cs="Calibri"/>
          <w:i/>
          <w:lang w:eastAsia="lt-LT"/>
        </w:rPr>
        <w:t>Ranbaxy Laboratories</w:t>
      </w:r>
      <w:r w:rsidRPr="00DC2221">
        <w:rPr>
          <w:rFonts w:eastAsia="Times New Roman" w:cs="Calibri"/>
          <w:lang w:eastAsia="lt-LT"/>
        </w:rPr>
        <w:t xml:space="preserve"> nustatė, kam, kokiomis sąlygomis ir už kokią kainą parduoti aptariamus vaistus, taip pat, kokias nuolaidas taikyti. Įvykdžiusi užsakymus </w:t>
      </w:r>
      <w:r w:rsidRPr="00DC2221">
        <w:rPr>
          <w:rFonts w:eastAsia="Times New Roman" w:cs="Calibri"/>
          <w:i/>
          <w:lang w:eastAsia="lt-LT"/>
        </w:rPr>
        <w:t>Oribalt Rīga</w:t>
      </w:r>
      <w:r w:rsidRPr="00DC2221">
        <w:rPr>
          <w:rFonts w:eastAsia="Times New Roman" w:cs="Calibri"/>
          <w:lang w:eastAsia="lt-LT"/>
        </w:rPr>
        <w:t xml:space="preserve"> išrašydavo sąskaitas faktūras pagal </w:t>
      </w:r>
      <w:r w:rsidRPr="00DC2221">
        <w:rPr>
          <w:rFonts w:eastAsia="Times New Roman" w:cs="Calibri"/>
          <w:i/>
          <w:lang w:eastAsia="lt-LT"/>
        </w:rPr>
        <w:t>Ranbaxy Laboratories</w:t>
      </w:r>
      <w:r w:rsidRPr="00DC2221">
        <w:rPr>
          <w:rFonts w:eastAsia="Times New Roman" w:cs="Calibri"/>
          <w:lang w:eastAsia="lt-LT"/>
        </w:rPr>
        <w:t xml:space="preserve"> nustatytą pardavimo kainą.</w:t>
      </w:r>
    </w:p>
    <w:p w:rsidR="00DC2221" w:rsidRPr="00DC2221" w:rsidRDefault="00DC2221" w:rsidP="00DC2221">
      <w:pPr>
        <w:ind w:firstLine="540"/>
        <w:rPr>
          <w:rFonts w:eastAsia="Times New Roman" w:cs="Calibri"/>
          <w:lang w:eastAsia="lt-LT"/>
        </w:rPr>
      </w:pPr>
      <w:r w:rsidRPr="00DC2221">
        <w:rPr>
          <w:rFonts w:eastAsia="Times New Roman" w:cs="Calibri"/>
          <w:lang w:eastAsia="lt-LT"/>
        </w:rPr>
        <w:t xml:space="preserve">Aptariamus vaistus </w:t>
      </w:r>
      <w:r w:rsidRPr="00DC2221">
        <w:rPr>
          <w:rFonts w:eastAsia="Times New Roman" w:cs="Calibri"/>
          <w:i/>
          <w:lang w:eastAsia="lt-LT"/>
        </w:rPr>
        <w:t>Oribalt Rīga</w:t>
      </w:r>
      <w:r w:rsidRPr="00DC2221">
        <w:rPr>
          <w:rFonts w:eastAsia="Times New Roman" w:cs="Calibri"/>
          <w:lang w:eastAsia="lt-LT"/>
        </w:rPr>
        <w:t xml:space="preserve"> laikė savo sandėlyje ir pirmiausia turėjo parduoti tuos, kurių galiojimo laikas trumpiausias. Taigi nuo šių vaistų importo iki pardavimo galutiniams klientams galėjo praeiti keli mėnesiai, todėl jų kaina pardavimo metu galėjo skirtis nuo jų rinkos kainos importo metu. Taip pat vaistų pardavimo kainai turėjo įtakos </w:t>
      </w:r>
      <w:r w:rsidRPr="00DC2221">
        <w:rPr>
          <w:rFonts w:eastAsia="Times New Roman" w:cs="Calibri"/>
          <w:i/>
          <w:lang w:eastAsia="lt-LT"/>
        </w:rPr>
        <w:t>Ranbaxy Laboratories</w:t>
      </w:r>
      <w:r w:rsidRPr="00DC2221">
        <w:rPr>
          <w:rFonts w:eastAsia="Times New Roman" w:cs="Calibri"/>
          <w:lang w:eastAsia="lt-LT"/>
        </w:rPr>
        <w:t xml:space="preserve"> klientams taikomos nuolaidos. Pardavus prekes, </w:t>
      </w:r>
      <w:r w:rsidRPr="00DC2221">
        <w:rPr>
          <w:rFonts w:eastAsia="Times New Roman" w:cs="Calibri"/>
          <w:i/>
          <w:lang w:eastAsia="lt-LT"/>
        </w:rPr>
        <w:t>Ranbaxy Laboratories</w:t>
      </w:r>
      <w:r w:rsidRPr="00DC2221">
        <w:rPr>
          <w:rFonts w:eastAsia="Times New Roman" w:cs="Calibri"/>
          <w:lang w:eastAsia="lt-LT"/>
        </w:rPr>
        <w:t xml:space="preserve"> išrašydavo naujas sąskaitas faktūras </w:t>
      </w:r>
      <w:r w:rsidRPr="00DC2221">
        <w:rPr>
          <w:rFonts w:eastAsia="Times New Roman" w:cs="Calibri"/>
          <w:i/>
          <w:lang w:eastAsia="lt-LT"/>
        </w:rPr>
        <w:t>Oribalt Rīga</w:t>
      </w:r>
      <w:r w:rsidRPr="00DC2221">
        <w:rPr>
          <w:rFonts w:eastAsia="Times New Roman" w:cs="Calibri"/>
          <w:lang w:eastAsia="lt-LT"/>
        </w:rPr>
        <w:t xml:space="preserve">, kuriomis remdamasi ši apmokėdavo </w:t>
      </w:r>
      <w:r w:rsidRPr="00DC2221">
        <w:rPr>
          <w:rFonts w:eastAsia="Times New Roman" w:cs="Calibri"/>
          <w:i/>
          <w:lang w:eastAsia="lt-LT"/>
        </w:rPr>
        <w:t>Ranbaxy Laboratories</w:t>
      </w:r>
      <w:r w:rsidRPr="00DC2221">
        <w:rPr>
          <w:rFonts w:eastAsia="Times New Roman" w:cs="Calibri"/>
          <w:lang w:eastAsia="lt-LT"/>
        </w:rPr>
        <w:t xml:space="preserve"> už importuotas prekes, skirtas pateikti į laisvą apyvartą Europos Sąjungos teritorijoje. </w:t>
      </w:r>
      <w:r w:rsidRPr="00DC2221">
        <w:rPr>
          <w:rFonts w:eastAsia="Times New Roman" w:cs="Calibri"/>
          <w:i/>
          <w:lang w:eastAsia="lt-LT"/>
        </w:rPr>
        <w:t>Oribalt Rīga</w:t>
      </w:r>
      <w:r w:rsidRPr="00DC2221">
        <w:rPr>
          <w:rFonts w:eastAsia="Times New Roman" w:cs="Calibri"/>
          <w:lang w:eastAsia="lt-LT"/>
        </w:rPr>
        <w:t xml:space="preserve"> gaudavo komisinį atlyginimą už tarpininkavimą.</w:t>
      </w:r>
    </w:p>
    <w:p w:rsidR="00DC2221" w:rsidRPr="00DC2221" w:rsidRDefault="00DC2221" w:rsidP="00DC2221">
      <w:pPr>
        <w:ind w:firstLine="540"/>
        <w:rPr>
          <w:rFonts w:eastAsia="Times New Roman" w:cs="Calibri"/>
          <w:lang w:eastAsia="lt-LT"/>
        </w:rPr>
      </w:pPr>
      <w:r w:rsidRPr="00DC2221">
        <w:rPr>
          <w:rFonts w:eastAsia="Times New Roman" w:cs="Calibri"/>
          <w:lang w:eastAsia="lt-LT"/>
        </w:rPr>
        <w:t xml:space="preserve">Latvijos muitinės audito direkcijai patikrinus, kaip buvo apskaičiuoti, sumokėti ir apskaityti muitai ir kiti muitinės administruojami mokesčiai, kuriuos </w:t>
      </w:r>
      <w:r w:rsidRPr="00DC2221">
        <w:rPr>
          <w:rFonts w:eastAsia="Times New Roman" w:cs="Calibri"/>
          <w:i/>
          <w:lang w:eastAsia="lt-LT"/>
        </w:rPr>
        <w:t>Oribalt Rīga</w:t>
      </w:r>
      <w:r w:rsidRPr="00DC2221">
        <w:rPr>
          <w:rFonts w:eastAsia="Times New Roman" w:cs="Calibri"/>
          <w:lang w:eastAsia="lt-LT"/>
        </w:rPr>
        <w:t xml:space="preserve"> turėjo sumokėti už laikotarpį nuo 2008 m. vasario 1 d. iki 2010 m. rugpjūčio 31 d., mokesčių administratorius atmetė per šį laikotarpį importuotų aptariamų vaistų muitinę vertę,</w:t>
      </w:r>
      <w:r w:rsidRPr="00DC2221">
        <w:rPr>
          <w:rFonts w:eastAsia="Times New Roman" w:cs="Calibri"/>
          <w:i/>
          <w:lang w:eastAsia="lt-LT"/>
        </w:rPr>
        <w:t xml:space="preserve"> Oribalt Rīga</w:t>
      </w:r>
      <w:r w:rsidRPr="00DC2221">
        <w:rPr>
          <w:rFonts w:eastAsia="Times New Roman" w:cs="Calibri"/>
          <w:lang w:eastAsia="lt-LT"/>
        </w:rPr>
        <w:t xml:space="preserve"> apskaičiuotą taikant sandorio vertės metodą. Mokesčių administratorius laikėsi pozicijos, kad importuotų prekių vertė turėjo būti nustatyta taikant dedukcinį metodą, numatytą Muitinės kodekso 30 straipsnio 2 dalies c punkte, remiantis aptariamų vaistų kaina, nurodyta </w:t>
      </w:r>
      <w:r w:rsidRPr="00DC2221">
        <w:rPr>
          <w:rFonts w:eastAsia="Times New Roman" w:cs="Calibri"/>
          <w:i/>
          <w:lang w:eastAsia="lt-LT"/>
        </w:rPr>
        <w:t>Ranbaxy Laboratories</w:t>
      </w:r>
      <w:r w:rsidRPr="00DC2221">
        <w:rPr>
          <w:rFonts w:eastAsia="Times New Roman" w:cs="Calibri"/>
          <w:lang w:eastAsia="lt-LT"/>
        </w:rPr>
        <w:t xml:space="preserve"> klientams skirtose sąskaitose faktūrose, neatsižvelgiant į taikytas nuolaidas. Todėl Latvijos valstybinės mokesčių inspekcijos generalinis direktorius nurodė </w:t>
      </w:r>
      <w:r w:rsidRPr="00DC2221">
        <w:rPr>
          <w:rFonts w:eastAsia="Times New Roman" w:cs="Calibri"/>
          <w:i/>
          <w:lang w:eastAsia="lt-LT"/>
        </w:rPr>
        <w:t xml:space="preserve">Oribalt Rīga </w:t>
      </w:r>
      <w:r w:rsidRPr="00DC2221">
        <w:rPr>
          <w:rFonts w:eastAsia="Times New Roman" w:cs="Calibri"/>
          <w:lang w:eastAsia="lt-LT"/>
        </w:rPr>
        <w:t>papildomai sumokėti PVM su palūkanomis ir baudą (10–16 punktai).</w:t>
      </w:r>
    </w:p>
    <w:p w:rsidR="00DC2221" w:rsidRPr="00DC2221" w:rsidRDefault="00DC2221" w:rsidP="00DC2221">
      <w:pPr>
        <w:ind w:firstLine="540"/>
        <w:rPr>
          <w:rFonts w:eastAsia="Times New Roman" w:cs="Calibri"/>
          <w:lang w:eastAsia="lt-LT"/>
        </w:rPr>
      </w:pPr>
      <w:r w:rsidRPr="00DC2221">
        <w:rPr>
          <w:rFonts w:eastAsia="Times New Roman" w:cs="Calibri"/>
          <w:lang w:eastAsia="lt-LT"/>
        </w:rPr>
        <w:t>Ginčui pasiekus kasacinės instancijos teismą, šis nutarė sustabdyti bylos nagrinėjimą ir kreiptis į Teisingumo Teismą su prašymu išaiškinti, į kokius veiksnius reikia atsižvelgti siekiant identifikuoti „panašias prekes“, kai importuotų prekių, kaip antai aptariamų vaistų, muitinė vertė apskaičiuojama taikant Muitinės kodekso 30 straipsnio 2 dalies b punkte nustatytą dedukcinį metodą (20 punktas). Prašymą priimti prejudicinį sprendimą pateikęs teismas kėlė šį klausimą, kad sužinotų, ar vertinant vaistų panašumą svarbu atsižvelgti tik į jų sudėtį, ar ir į aplinkybes, susijusias su šių vaistų ir jų gamintojų padėtimi atitinkamoje farmacijos rinkoje (21 punktas).</w:t>
      </w:r>
    </w:p>
    <w:p w:rsidR="00DC2221" w:rsidRPr="00DC2221" w:rsidRDefault="00DC2221" w:rsidP="00DC2221">
      <w:pPr>
        <w:ind w:firstLine="540"/>
        <w:rPr>
          <w:rFonts w:eastAsia="Times New Roman" w:cs="Calibri"/>
          <w:lang w:eastAsia="lt-LT"/>
        </w:rPr>
      </w:pPr>
    </w:p>
    <w:p w:rsidR="00DC2221" w:rsidRPr="001362AB" w:rsidRDefault="00DC2221" w:rsidP="001362AB">
      <w:pPr>
        <w:pStyle w:val="Heading3"/>
        <w:ind w:firstLine="567"/>
        <w:rPr>
          <w:rFonts w:cstheme="minorHAnsi"/>
        </w:rPr>
      </w:pPr>
      <w:bookmarkStart w:id="26" w:name="_Toc19278740"/>
      <w:bookmarkStart w:id="27" w:name="_Toc21941949"/>
      <w:r w:rsidRPr="001362AB">
        <w:rPr>
          <w:rFonts w:cstheme="minorHAnsi"/>
        </w:rPr>
        <w:t xml:space="preserve">Dėl „prekių panašumo“ generinių vaistų </w:t>
      </w:r>
      <w:r w:rsidR="00AC3252">
        <w:rPr>
          <w:rFonts w:cstheme="minorHAnsi"/>
        </w:rPr>
        <w:t xml:space="preserve">tuo </w:t>
      </w:r>
      <w:r w:rsidRPr="001362AB">
        <w:rPr>
          <w:rFonts w:cstheme="minorHAnsi"/>
        </w:rPr>
        <w:t>atveju, kai sprendžiama dėl muitinės ve</w:t>
      </w:r>
      <w:r w:rsidR="0006577C" w:rsidRPr="001362AB">
        <w:rPr>
          <w:rFonts w:cstheme="minorHAnsi"/>
        </w:rPr>
        <w:t xml:space="preserve">rtės nustatymo (apskaičiavimo) </w:t>
      </w:r>
      <w:r w:rsidRPr="001362AB">
        <w:rPr>
          <w:rFonts w:cstheme="minorHAnsi"/>
        </w:rPr>
        <w:t>taikant dedukcinį metodą</w:t>
      </w:r>
      <w:bookmarkEnd w:id="26"/>
      <w:bookmarkEnd w:id="27"/>
    </w:p>
    <w:p w:rsidR="00DC2221" w:rsidRPr="00DC2221" w:rsidRDefault="00DC2221" w:rsidP="00DC2221">
      <w:pPr>
        <w:ind w:firstLine="540"/>
        <w:rPr>
          <w:rFonts w:eastAsia="Times New Roman" w:cs="Calibri"/>
          <w:i/>
          <w:iCs/>
          <w:lang w:eastAsia="lt-LT"/>
        </w:rPr>
      </w:pPr>
    </w:p>
    <w:p w:rsidR="00DC2221" w:rsidRPr="00DC2221" w:rsidRDefault="0039283F" w:rsidP="00DC2221">
      <w:pPr>
        <w:ind w:firstLine="540"/>
        <w:rPr>
          <w:rFonts w:eastAsia="Times New Roman" w:cs="Calibri"/>
          <w:lang w:eastAsia="lt-LT"/>
        </w:rPr>
      </w:pPr>
      <w:r>
        <w:rPr>
          <w:rFonts w:eastAsia="Times New Roman" w:cs="Calibri"/>
          <w:lang w:eastAsia="lt-LT"/>
        </w:rPr>
        <w:t>Dėl minėto Muitinės kodekso</w:t>
      </w:r>
      <w:r w:rsidR="00DC2221" w:rsidRPr="00DC2221">
        <w:rPr>
          <w:rFonts w:eastAsia="Times New Roman" w:cs="Calibri"/>
          <w:lang w:eastAsia="lt-LT"/>
        </w:rPr>
        <w:t xml:space="preserve"> 30 straipsnio taikymo Sąjungos teisminė institucija pažymėjo, jog iš Įgyvendinimo reglamento 23 priede pateiktos su Muitinės kodekso 30 s</w:t>
      </w:r>
      <w:r w:rsidR="0006577C">
        <w:rPr>
          <w:rFonts w:eastAsia="Times New Roman" w:cs="Calibri"/>
          <w:lang w:eastAsia="lt-LT"/>
        </w:rPr>
        <w:t>traipsnio 2 dalimi susijusios 1 </w:t>
      </w:r>
      <w:r w:rsidR="00DC2221" w:rsidRPr="00DC2221">
        <w:rPr>
          <w:rFonts w:eastAsia="Times New Roman" w:cs="Calibri"/>
          <w:lang w:eastAsia="lt-LT"/>
        </w:rPr>
        <w:t xml:space="preserve">pastabos matyti, kad, kai tik įmanoma, muitinė remiasi atvejais, kai parduodamos panašios prekės, kurių apyvartos lygmuo esant maždaug tokiam pačiam parduotų prekių kiekiui yra toks pat kaip ir prekių, kurių muitinė vertė turi būti nustatyta (25 punktas). Be to, </w:t>
      </w:r>
      <w:r w:rsidR="00DC2221" w:rsidRPr="00DC2221">
        <w:rPr>
          <w:rFonts w:eastAsia="Times New Roman" w:cs="Calibri"/>
          <w:u w:val="single"/>
          <w:lang w:eastAsia="lt-LT"/>
        </w:rPr>
        <w:t>„panašios prekės“, kurių sąvoka vartojama 30 straipsnio 2 dalies b punkte, Įgyvendinimo reglamento 142 straipsnio 1 dalies d punkte apibrėžtos kaip toje pačioje valstybėje pagamintos prekės, kurios, nors ir nėra visais atžvilgiais vienodos, yra panašių charakteristikų ir pagamintos iš panašių sudėtinių medžiagų, gali atlikti tas pačias funkcijas ir komerciškai viena kitą pakeist</w:t>
      </w:r>
      <w:r w:rsidR="00DC2221" w:rsidRPr="00DE2289">
        <w:rPr>
          <w:rFonts w:eastAsia="Times New Roman" w:cs="Calibri"/>
          <w:u w:val="single"/>
          <w:lang w:eastAsia="lt-LT"/>
        </w:rPr>
        <w:t>i</w:t>
      </w:r>
      <w:r w:rsidR="00DC2221" w:rsidRPr="00DC2221">
        <w:rPr>
          <w:rFonts w:eastAsia="Times New Roman" w:cs="Calibri"/>
          <w:lang w:eastAsia="lt-LT"/>
        </w:rPr>
        <w:t>. Šioje nuostatoje patikslinama, kad nustatant, ar prekės panašios, be kita ko, reikia atsižvelgti į prekių kokybę, reputaciją ar prekės ženklą (26 punktas).</w:t>
      </w:r>
    </w:p>
    <w:p w:rsidR="00DC2221" w:rsidRPr="00DC2221" w:rsidRDefault="00DC2221" w:rsidP="00DC2221">
      <w:pPr>
        <w:ind w:firstLine="540"/>
        <w:rPr>
          <w:rFonts w:eastAsia="Times New Roman" w:cs="Calibri"/>
          <w:lang w:eastAsia="lt-LT"/>
        </w:rPr>
      </w:pPr>
      <w:r w:rsidRPr="00DC2221">
        <w:rPr>
          <w:rFonts w:eastAsia="Times New Roman" w:cs="Calibri"/>
          <w:lang w:eastAsia="lt-LT"/>
        </w:rPr>
        <w:t xml:space="preserve">Atitinkamai, kaip pažymėjo Teisingumo Teismas, </w:t>
      </w:r>
      <w:r w:rsidRPr="00DE2289">
        <w:rPr>
          <w:rFonts w:eastAsia="Times New Roman" w:cs="Calibri"/>
          <w:u w:val="single"/>
          <w:lang w:eastAsia="lt-LT"/>
        </w:rPr>
        <w:t>atsižvelgiant į plačią „panašių prekių“ sąvokos apibrėžtį</w:t>
      </w:r>
      <w:r w:rsidRPr="00DC2221">
        <w:rPr>
          <w:rFonts w:eastAsia="Times New Roman" w:cs="Calibri"/>
          <w:lang w:eastAsia="lt-LT"/>
        </w:rPr>
        <w:t xml:space="preserve">, kurioje nurodomas faktinis prekių įvertinimas remiantis veiksnių, kurių pavyzdžiai paminėti, visuma, reikia manyti, kad </w:t>
      </w:r>
      <w:r w:rsidRPr="00DC2221">
        <w:rPr>
          <w:rFonts w:eastAsia="Times New Roman" w:cs="Calibri"/>
          <w:u w:val="single"/>
          <w:lang w:eastAsia="lt-LT"/>
        </w:rPr>
        <w:t>tokia sąvoka taikoma visų rūšių prekėms, taip pat ir tokiems vaistams, kokie aptariami šiuo atveju</w:t>
      </w:r>
      <w:r w:rsidRPr="00DC2221">
        <w:rPr>
          <w:rFonts w:eastAsia="Times New Roman" w:cs="Calibri"/>
          <w:lang w:eastAsia="lt-LT"/>
        </w:rPr>
        <w:t xml:space="preserve">. Todėl, kad nustatytų panašias prekes, kompetentingai nacionalinei muitinės administracijai būtina galimybė naudotis visais turimais duomenimis, kad nustatyta muitinė vertė būtų kuo tikslesnė ir kuo artimesnė realybei (27 punktas). </w:t>
      </w:r>
      <w:r w:rsidRPr="00DC2221">
        <w:rPr>
          <w:rFonts w:eastAsia="Times New Roman" w:cs="Calibri"/>
          <w:u w:val="single"/>
          <w:lang w:eastAsia="lt-LT"/>
        </w:rPr>
        <w:t>Dėl generinių vaistų – reikia atsižvelgti į visus svarbius veiksnius, kaip antai šių vaistų sudėtį, pakeičiamumą, atsižvelgiant į jų poveikį, ir komercinį tarpusavio pakeičiamumą. Taigi kompetentinga nacionalinė muitinės administracija turi atlikti faktinį vertinimą, atsižvelgdama į bet kokį galimą poveikį tikrajai minėtų vaistų ekonominei vertei, įskaitant importuoto vaisto ir jo gamintojo padėtį rinkoje</w:t>
      </w:r>
      <w:r w:rsidRPr="00DC2221">
        <w:rPr>
          <w:rFonts w:eastAsia="Times New Roman" w:cs="Calibri"/>
          <w:i/>
          <w:iCs/>
          <w:lang w:eastAsia="lt-LT"/>
        </w:rPr>
        <w:t xml:space="preserve"> </w:t>
      </w:r>
      <w:r w:rsidRPr="00DC2221">
        <w:rPr>
          <w:rFonts w:eastAsia="Times New Roman" w:cs="Calibri"/>
          <w:lang w:eastAsia="lt-LT"/>
        </w:rPr>
        <w:t>(28 punktas).</w:t>
      </w:r>
    </w:p>
    <w:p w:rsidR="00DC2221" w:rsidRPr="00DC2221" w:rsidRDefault="00DC2221" w:rsidP="00DC2221">
      <w:pPr>
        <w:ind w:firstLine="540"/>
        <w:rPr>
          <w:rFonts w:eastAsia="Times New Roman" w:cs="Calibri"/>
          <w:lang w:eastAsia="lt-LT"/>
        </w:rPr>
      </w:pPr>
    </w:p>
    <w:p w:rsidR="00DC2221" w:rsidRPr="001362AB" w:rsidRDefault="00DC2221" w:rsidP="001362AB">
      <w:pPr>
        <w:pStyle w:val="Heading3"/>
        <w:ind w:firstLine="567"/>
        <w:rPr>
          <w:rFonts w:cstheme="minorHAnsi"/>
        </w:rPr>
      </w:pPr>
      <w:bookmarkStart w:id="28" w:name="_Toc19278741"/>
      <w:bookmarkStart w:id="29" w:name="_Toc21941950"/>
      <w:r w:rsidRPr="001362AB">
        <w:rPr>
          <w:rFonts w:cstheme="minorHAnsi"/>
        </w:rPr>
        <w:t>Dėl būtinybės atsižvelgti į vėlesnius importuotų prekių pardavimo kainos sumažinimus, nustatant šių prekių muitinę vertę</w:t>
      </w:r>
      <w:bookmarkEnd w:id="28"/>
      <w:bookmarkEnd w:id="29"/>
    </w:p>
    <w:p w:rsidR="00DC2221" w:rsidRPr="00DC2221" w:rsidRDefault="00DC2221" w:rsidP="00DC2221">
      <w:pPr>
        <w:ind w:firstLine="540"/>
        <w:rPr>
          <w:rFonts w:eastAsia="Times New Roman" w:cs="Calibri"/>
          <w:lang w:eastAsia="lt-LT"/>
        </w:rPr>
      </w:pPr>
    </w:p>
    <w:p w:rsidR="00DC2221" w:rsidRPr="00DC2221" w:rsidRDefault="00DC2221" w:rsidP="00DC2221">
      <w:pPr>
        <w:ind w:firstLine="540"/>
        <w:rPr>
          <w:rFonts w:eastAsia="Times New Roman" w:cs="Calibri"/>
          <w:lang w:eastAsia="lt-LT"/>
        </w:rPr>
      </w:pPr>
      <w:r w:rsidRPr="00DC2221">
        <w:rPr>
          <w:rFonts w:eastAsia="Times New Roman" w:cs="Calibri"/>
          <w:lang w:eastAsia="lt-LT"/>
        </w:rPr>
        <w:t>Nacionalinis teismas taip pat siekė sužinoti, ar Muitinės kodekso 30 straipsnio 2 dalies c punktą reikia aiškinti taip: pagal šią nuostatą turi būti atsižvelgiama į importuotų prekių pardavimo kainos sumažinimus, nustatant šių prekių muitinę vertę (40 punktas).</w:t>
      </w:r>
    </w:p>
    <w:p w:rsidR="00DC2221" w:rsidRPr="00DC2221" w:rsidRDefault="00DC2221" w:rsidP="00DC2221">
      <w:pPr>
        <w:ind w:firstLine="540"/>
        <w:rPr>
          <w:rFonts w:eastAsia="Times New Roman" w:cs="Calibri"/>
          <w:lang w:eastAsia="lt-LT"/>
        </w:rPr>
      </w:pPr>
      <w:r w:rsidRPr="00DC2221">
        <w:rPr>
          <w:rFonts w:eastAsia="Times New Roman" w:cs="Calibri"/>
          <w:lang w:eastAsia="lt-LT"/>
        </w:rPr>
        <w:t xml:space="preserve">Šioje nuostatoje numatyta, kad importuotų prekių muitinė vertė nustatoma pagal prekių vieneto kainą, už kurią Sąjungoje su pardavėjais nesusijusiems asmenims parduotas didžiausias bendras importuotų prekių ar tapačių arba panašių importuotų prekių kiekis (41 punktas). Be to, Įgyvendinimo reglamento 152 straipsnio 1 dalies a punkto i–iii papunkčiuose numatyta, kad turi būti atsižvelgiama į tam tikrus atskaitymus, tarp kurių – tam tikri komisiniai, įprastos transporto ir draudimo išlaidos bei importo muitai. Pardavėjo taikomos komercinės nuolaidos neminimos šiame straipsnyje. Vis dėlto iš šios nuostatos formuluotės matyti, kad šis atskaitymų sąrašas nėra išsamus (42 punktas). </w:t>
      </w:r>
      <w:r w:rsidRPr="00DC2221">
        <w:rPr>
          <w:rFonts w:eastAsia="Times New Roman" w:cs="Calibri"/>
          <w:u w:val="single"/>
          <w:lang w:eastAsia="lt-LT"/>
        </w:rPr>
        <w:t>Tai, kad atsižvelgiama į didžiausio importuotų prekių kiekio vieneto kainą, reiškia, jog pagal Muitinės kodekso 30 straipsnio 2 dalies c punktą jau numatyta atsižvelgti į tam tikrą su kiekiu susijusį kainos sumažinimą</w:t>
      </w:r>
      <w:r w:rsidRPr="00DC2221">
        <w:rPr>
          <w:rFonts w:eastAsia="Times New Roman" w:cs="Calibri"/>
          <w:lang w:eastAsia="lt-LT"/>
        </w:rPr>
        <w:t xml:space="preserve"> (43 punktas). Galiausiai, kaip pažymėjo Teisingumo Teismas, </w:t>
      </w:r>
      <w:r w:rsidRPr="00DC2221">
        <w:rPr>
          <w:rFonts w:eastAsia="Times New Roman" w:cs="Calibri"/>
          <w:u w:val="single"/>
          <w:lang w:eastAsia="lt-LT"/>
        </w:rPr>
        <w:t>jei būtų atsižvelgiama į komercines nuolaidas nustatant muitinę vertę, atsirastų rizika, kad ši vertė bus dar labiau nutolusi nuo importuotų prekių, kurioms taikomas toks vertinimas, faktinės ekonominės vertės</w:t>
      </w:r>
      <w:r w:rsidR="0006577C">
        <w:rPr>
          <w:rFonts w:eastAsia="Times New Roman" w:cs="Calibri"/>
          <w:lang w:eastAsia="lt-LT"/>
        </w:rPr>
        <w:t xml:space="preserve"> (44 </w:t>
      </w:r>
      <w:r w:rsidRPr="00DC2221">
        <w:rPr>
          <w:rFonts w:eastAsia="Times New Roman" w:cs="Calibri"/>
          <w:lang w:eastAsia="lt-LT"/>
        </w:rPr>
        <w:t>punktas).</w:t>
      </w:r>
    </w:p>
    <w:p w:rsidR="00DC2221" w:rsidRPr="00DC2221" w:rsidRDefault="00DC2221" w:rsidP="00DC2221">
      <w:pPr>
        <w:ind w:firstLine="540"/>
        <w:rPr>
          <w:rFonts w:eastAsia="Times New Roman" w:cs="Calibri"/>
          <w:lang w:eastAsia="lt-LT"/>
        </w:rPr>
      </w:pPr>
    </w:p>
    <w:p w:rsidR="00DC2221" w:rsidRPr="00DC2221" w:rsidRDefault="00DC2221" w:rsidP="00DC2221">
      <w:pPr>
        <w:ind w:firstLine="540"/>
        <w:rPr>
          <w:rFonts w:eastAsia="Times New Roman" w:cs="Calibri"/>
          <w:b/>
          <w:lang w:eastAsia="lt-LT"/>
        </w:rPr>
      </w:pPr>
      <w:r w:rsidRPr="00DC2221">
        <w:rPr>
          <w:rFonts w:eastAsia="Times New Roman" w:cs="Calibri"/>
          <w:b/>
          <w:lang w:eastAsia="lt-LT"/>
        </w:rPr>
        <w:t>Remdamasis šiais motyvais, Teisingumo Teismas (penktoji kolegija) nusprendė:</w:t>
      </w:r>
    </w:p>
    <w:p w:rsidR="00DC2221" w:rsidRPr="00DC2221" w:rsidRDefault="00DC2221" w:rsidP="00DC2221">
      <w:pPr>
        <w:ind w:firstLine="540"/>
        <w:rPr>
          <w:rFonts w:eastAsia="Times New Roman" w:cs="Calibri"/>
          <w:lang w:eastAsia="lt-LT"/>
        </w:rPr>
      </w:pPr>
    </w:p>
    <w:p w:rsidR="00DC2221" w:rsidRPr="00DC2221" w:rsidRDefault="00DC2221" w:rsidP="00DC2221">
      <w:pPr>
        <w:ind w:firstLine="540"/>
        <w:rPr>
          <w:rFonts w:eastAsia="Times New Roman" w:cs="Calibri"/>
          <w:lang w:eastAsia="lt-LT"/>
        </w:rPr>
      </w:pPr>
      <w:r w:rsidRPr="00DC2221">
        <w:rPr>
          <w:rFonts w:eastAsia="Times New Roman" w:cs="Calibri"/>
          <w:lang w:eastAsia="lt-LT"/>
        </w:rPr>
        <w:t>Muitinės kodekso 30 straipsnio 2 dalies b punktą reikia aiškinti taip: kai prekių, kaip antai aptariamų vaistų, muitinė vertė apskaičiuojama taikant toje nuostatoje numatytą dedukcinį metodą, siekdama identifikuoti „panašias prekes“ nacionalinė muitinės administracija turi atsižvelgti į visus svarbius veiksnius, kaip antai atitinkamą tų prekių sudėtį, pakeičiamumą dėl jų poveikio ir komercinį tarpusavio pakeičiamumą, taigi ji turi atlikti faktinį vertinimą, atsižvelgdama į bet kokį galimą poveikį tikrajai minėtų prekių ekonominei vertei, įskaitant importuotos prekės ir jos gamintojo padėtį rinkoje.</w:t>
      </w:r>
    </w:p>
    <w:p w:rsidR="00DC2221" w:rsidRPr="00DC2221" w:rsidRDefault="00DC2221" w:rsidP="00DC2221">
      <w:pPr>
        <w:ind w:firstLine="540"/>
        <w:rPr>
          <w:rFonts w:eastAsia="Times New Roman" w:cs="Calibri"/>
          <w:lang w:eastAsia="lt-LT"/>
        </w:rPr>
      </w:pPr>
      <w:r w:rsidRPr="00DC2221">
        <w:rPr>
          <w:rFonts w:eastAsia="Times New Roman" w:cs="Calibri"/>
          <w:lang w:eastAsia="lt-LT"/>
        </w:rPr>
        <w:t>&lt;...&gt;</w:t>
      </w:r>
    </w:p>
    <w:p w:rsidR="00DC2221" w:rsidRPr="00DC2221" w:rsidRDefault="00DC2221" w:rsidP="00DC2221">
      <w:pPr>
        <w:ind w:firstLine="540"/>
        <w:rPr>
          <w:rFonts w:eastAsia="Times New Roman" w:cs="Calibri"/>
          <w:lang w:eastAsia="lt-LT"/>
        </w:rPr>
      </w:pPr>
      <w:r w:rsidRPr="00DC2221">
        <w:rPr>
          <w:rFonts w:eastAsia="Times New Roman" w:cs="Calibri"/>
          <w:lang w:eastAsia="lt-LT"/>
        </w:rPr>
        <w:t>Muitinės reglamento, iš dalies pakeisto Reglamentu Nr. 82/97, 30 straipsnio 2 dalies c punktą reikia aiškinti taip: pagal šią nuostatą negali būti atsižvelgiama į importuotų prekių pardavimo kainos sumažinimus, nustatant šių prekių muitinę vertę.</w:t>
      </w:r>
    </w:p>
    <w:p w:rsidR="00DC2221" w:rsidRPr="00DC2221" w:rsidRDefault="007D413D" w:rsidP="00DC2221">
      <w:pPr>
        <w:ind w:firstLine="540"/>
        <w:rPr>
          <w:rFonts w:eastAsia="Times New Roman" w:cs="Calibri"/>
          <w:lang w:eastAsia="lt-LT"/>
        </w:rPr>
      </w:pPr>
      <w:hyperlink r:id="rId15" w:history="1">
        <w:r w:rsidR="00DC2221" w:rsidRPr="004442DA">
          <w:rPr>
            <w:rStyle w:val="Hyperlink"/>
            <w:rFonts w:eastAsia="Times New Roman" w:cs="Calibri"/>
            <w:lang w:eastAsia="lt-LT"/>
          </w:rPr>
          <w:t>Prieiga internete</w:t>
        </w:r>
      </w:hyperlink>
    </w:p>
    <w:p w:rsidR="00DC2221" w:rsidRPr="00DC2221" w:rsidRDefault="00DC2221" w:rsidP="00DC2221">
      <w:pPr>
        <w:rPr>
          <w:rFonts w:eastAsia="Times New Roman" w:cs="Calibri"/>
          <w:b/>
          <w:bCs/>
          <w:kern w:val="32"/>
          <w:lang w:eastAsia="lt-LT"/>
        </w:rPr>
      </w:pPr>
    </w:p>
    <w:p w:rsidR="00DC2221" w:rsidRPr="00DC2221" w:rsidRDefault="00DC2221" w:rsidP="00DC2221">
      <w:pPr>
        <w:keepNext/>
        <w:jc w:val="center"/>
        <w:outlineLvl w:val="0"/>
        <w:rPr>
          <w:rFonts w:asciiTheme="minorHAnsi" w:eastAsia="Times New Roman" w:hAnsiTheme="minorHAnsi" w:cstheme="minorHAnsi"/>
          <w:b/>
          <w:bCs/>
          <w:color w:val="323E4F" w:themeColor="text2" w:themeShade="BF"/>
          <w:kern w:val="32"/>
          <w:lang w:eastAsia="lt-LT"/>
        </w:rPr>
      </w:pPr>
      <w:bookmarkStart w:id="30" w:name="_Toc19278742"/>
      <w:bookmarkStart w:id="31" w:name="_Toc21941951"/>
      <w:r w:rsidRPr="00DC2221">
        <w:rPr>
          <w:rFonts w:asciiTheme="minorHAnsi" w:eastAsia="Times New Roman" w:hAnsiTheme="minorHAnsi" w:cstheme="minorHAnsi"/>
          <w:b/>
          <w:bCs/>
          <w:color w:val="323E4F" w:themeColor="text2" w:themeShade="BF"/>
          <w:kern w:val="32"/>
          <w:lang w:eastAsia="lt-LT"/>
        </w:rPr>
        <w:t>APMOKESTINIMAS</w:t>
      </w:r>
      <w:bookmarkEnd w:id="30"/>
      <w:bookmarkEnd w:id="31"/>
    </w:p>
    <w:p w:rsidR="00DC2221" w:rsidRPr="00DC2221" w:rsidRDefault="00DC2221" w:rsidP="00DC2221">
      <w:pPr>
        <w:ind w:firstLine="540"/>
        <w:rPr>
          <w:rFonts w:eastAsia="Times New Roman" w:cs="Calibri"/>
          <w:lang w:eastAsia="lt-LT"/>
        </w:rPr>
      </w:pPr>
    </w:p>
    <w:p w:rsidR="00DC2221" w:rsidRPr="00DC2221" w:rsidRDefault="00DC2221" w:rsidP="00DC2221">
      <w:pPr>
        <w:jc w:val="center"/>
        <w:outlineLvl w:val="1"/>
        <w:rPr>
          <w:rFonts w:eastAsia="Times New Roman" w:cs="Calibri"/>
          <w:b/>
          <w:lang w:eastAsia="lt-LT"/>
        </w:rPr>
      </w:pPr>
      <w:bookmarkStart w:id="32" w:name="_Toc19278743"/>
      <w:bookmarkStart w:id="33" w:name="_Toc21941952"/>
      <w:r w:rsidRPr="00DC2221">
        <w:rPr>
          <w:rFonts w:eastAsia="Times New Roman" w:cs="Calibri"/>
          <w:b/>
          <w:lang w:eastAsia="lt-LT"/>
        </w:rPr>
        <w:t>2019 m. birželio 13 d. prejudicinis sprendimas byloje C</w:t>
      </w:r>
      <w:r w:rsidRPr="00DC2221">
        <w:rPr>
          <w:rFonts w:ascii="Cambria Math" w:eastAsia="Times New Roman" w:hAnsi="Cambria Math" w:cs="Cambria Math"/>
          <w:b/>
          <w:lang w:eastAsia="lt-LT"/>
        </w:rPr>
        <w:t>‑</w:t>
      </w:r>
      <w:r w:rsidRPr="00DC2221">
        <w:rPr>
          <w:rFonts w:eastAsia="Times New Roman" w:cs="Calibri"/>
          <w:b/>
          <w:lang w:eastAsia="lt-LT"/>
        </w:rPr>
        <w:t>420/18</w:t>
      </w:r>
      <w:bookmarkEnd w:id="32"/>
      <w:bookmarkEnd w:id="33"/>
    </w:p>
    <w:p w:rsidR="00DC2221" w:rsidRPr="00DC2221" w:rsidRDefault="00DC2221" w:rsidP="00DC2221">
      <w:pPr>
        <w:jc w:val="center"/>
        <w:rPr>
          <w:rFonts w:eastAsia="Times New Roman" w:cs="Calibri"/>
          <w:b/>
          <w:i/>
          <w:iCs/>
          <w:lang w:eastAsia="lt-LT"/>
        </w:rPr>
      </w:pPr>
      <w:r w:rsidRPr="00DC2221">
        <w:rPr>
          <w:rFonts w:eastAsia="Times New Roman" w:cs="Calibri"/>
          <w:b/>
          <w:i/>
          <w:iCs/>
          <w:lang w:eastAsia="lt-LT"/>
        </w:rPr>
        <w:t>IO</w:t>
      </w:r>
      <w:r w:rsidRPr="00DC2221">
        <w:rPr>
          <w:rFonts w:eastAsia="Times New Roman" w:cs="Calibri"/>
          <w:b/>
          <w:i/>
          <w:lang w:eastAsia="lt-LT"/>
        </w:rPr>
        <w:t xml:space="preserve"> </w:t>
      </w:r>
      <w:r w:rsidRPr="00DC2221">
        <w:rPr>
          <w:rFonts w:eastAsia="Times New Roman" w:cs="Calibri"/>
          <w:b/>
          <w:bCs/>
          <w:i/>
          <w:lang w:eastAsia="lt-LT"/>
        </w:rPr>
        <w:t>prieš</w:t>
      </w:r>
      <w:r w:rsidRPr="00DC2221">
        <w:rPr>
          <w:rFonts w:eastAsia="Times New Roman" w:cs="Calibri"/>
          <w:b/>
          <w:i/>
          <w:lang w:eastAsia="lt-LT"/>
        </w:rPr>
        <w:t xml:space="preserve"> </w:t>
      </w:r>
      <w:r w:rsidRPr="00DC2221">
        <w:rPr>
          <w:rFonts w:eastAsia="Times New Roman" w:cs="Calibri"/>
          <w:b/>
          <w:i/>
          <w:iCs/>
          <w:lang w:eastAsia="lt-LT"/>
        </w:rPr>
        <w:t>Inspecteur van de rijksbelastingdienst</w:t>
      </w:r>
    </w:p>
    <w:p w:rsidR="00DC2221" w:rsidRPr="00DC2221" w:rsidRDefault="00DC2221" w:rsidP="00DC2221">
      <w:pPr>
        <w:ind w:firstLine="540"/>
        <w:rPr>
          <w:rFonts w:eastAsia="Times New Roman" w:cs="Calibri"/>
          <w:lang w:eastAsia="lt-LT"/>
        </w:rPr>
      </w:pPr>
    </w:p>
    <w:p w:rsidR="00DC2221" w:rsidRPr="00DC2221" w:rsidRDefault="00DC2221" w:rsidP="00DC2221">
      <w:pPr>
        <w:ind w:firstLine="540"/>
        <w:rPr>
          <w:rFonts w:eastAsia="Times New Roman" w:cs="Calibri"/>
          <w:lang w:eastAsia="lt-LT"/>
        </w:rPr>
      </w:pPr>
      <w:r w:rsidRPr="00DC2221">
        <w:rPr>
          <w:rFonts w:eastAsia="Times New Roman" w:cs="Calibri"/>
          <w:lang w:eastAsia="lt-LT"/>
        </w:rPr>
        <w:t xml:space="preserve">Prašymas priimti prejudicinį sprendimą pateiktas dėl 2006 m. lapkričio 28 d. Tarybos direktyvos 2006/112/EB dėl pridėtinės vertės mokesčio bendros sistemos (toliau – PVM direktyva) 9 ir 10 straipsnių išaiškinimo. Šis prašymas pateiktas nagrinėjant </w:t>
      </w:r>
      <w:r w:rsidRPr="00DC2221">
        <w:rPr>
          <w:rFonts w:eastAsia="Times New Roman" w:cs="Calibri"/>
          <w:i/>
          <w:lang w:eastAsia="lt-LT"/>
        </w:rPr>
        <w:t>IO</w:t>
      </w:r>
      <w:r w:rsidRPr="00DC2221">
        <w:rPr>
          <w:rFonts w:eastAsia="Times New Roman" w:cs="Calibri"/>
          <w:lang w:eastAsia="lt-LT"/>
        </w:rPr>
        <w:t xml:space="preserve"> ir Nyderlandų mokesčių administratoriaus ginčą dėl suinteresuotojo asmens, kaip fondo stebėtojų tarybos nario, apmokestinimo PVM (1 ir 2 punktai).</w:t>
      </w:r>
    </w:p>
    <w:p w:rsidR="00DC2221" w:rsidRPr="00DC2221" w:rsidRDefault="00DC2221" w:rsidP="00DC2221">
      <w:pPr>
        <w:ind w:firstLine="540"/>
        <w:rPr>
          <w:rFonts w:eastAsia="Times New Roman" w:cs="Calibri"/>
          <w:lang w:eastAsia="lt-LT"/>
        </w:rPr>
      </w:pPr>
      <w:r w:rsidRPr="00DC2221">
        <w:rPr>
          <w:rFonts w:eastAsia="Times New Roman" w:cs="Calibri"/>
          <w:lang w:eastAsia="lt-LT"/>
        </w:rPr>
        <w:t xml:space="preserve">Pagrindinėje byloje nustatyta, kad </w:t>
      </w:r>
      <w:r w:rsidRPr="00DC2221">
        <w:rPr>
          <w:rFonts w:eastAsia="Times New Roman" w:cs="Calibri"/>
          <w:i/>
          <w:lang w:eastAsia="lt-LT"/>
        </w:rPr>
        <w:t>IO</w:t>
      </w:r>
      <w:r w:rsidRPr="00DC2221">
        <w:rPr>
          <w:rFonts w:eastAsia="Times New Roman" w:cs="Calibri"/>
          <w:lang w:eastAsia="lt-LT"/>
        </w:rPr>
        <w:t xml:space="preserve"> yra fondo, kurio tikslas – suteikti būstą už palankią kainą žmonėms, kurie negali patys apsirūpinti būstu, stebėtojų tarybos narys. Šio fondo įstatuose numatyta, kad šią tarybą sudaro mažiausiai penki ir daugiausia dešimt narių, kurie skiriami ketverių metų kadencijai. Asmuo, sudaręs darbo sutartį su fondu, negali priklausyti jam. Minėtos stebėtojų tarybos narių mandatas gali būti sustabdytas arba atšauktas dėl nerūpestingumo vykdant savo funkcijas ir dėl kitos rimtos priežasties tos pačios tarybos sprendimu, priimtu bent trijų ketvirtadalių balsų dauguma dalyvaujant trims ketvirtadaliams narių, išskyrus aptariamą narį arba narius. Minėto fondo stebėtojų tarybos įgaliojimai visų pirma apima valdymo organo narių paskyrimą, jų mandato sustabdymą, jų atšaukimą ir jų darbo sąlygų nustatymą, šio organo sprendimų vykdymo sustabdymą, patarimų minėtam organui davimą, metinių finansinių ataskaitų patvirtinimą, stebėtojų tarybos narių paskyrimą, jų mandato sustabdymą, jų atšaukimą ir atlyginimo stebėtojų tarybos nariams nustatymą. Nors atitinkamam fondui palaikant teisinius ir neteisiniu santykius atstovauja jo valdymo organas, jo atstovavimas apskritai yra užtikrinamas stebėtojų tarybos pirmininko ir vieno arba kelių jo narių, jeigu kyla interesų konfliktas tarp valdymo organo arba jo nario ir šio fondo. Be to, jeigu nėra nė vieno valdymo organo nario, minėto fondo valdymą užtikrina jo stebėtojų taryba iki naujo valdymo organo paskyrimo.</w:t>
      </w:r>
    </w:p>
    <w:p w:rsidR="00DC2221" w:rsidRPr="00DC2221" w:rsidRDefault="00DC2221" w:rsidP="00DC2221">
      <w:pPr>
        <w:ind w:firstLine="540"/>
        <w:rPr>
          <w:rFonts w:eastAsia="Times New Roman" w:cs="Calibri"/>
          <w:lang w:eastAsia="lt-LT"/>
        </w:rPr>
      </w:pPr>
      <w:r w:rsidRPr="00DC2221">
        <w:rPr>
          <w:rFonts w:eastAsia="Times New Roman" w:cs="Calibri"/>
          <w:lang w:eastAsia="lt-LT"/>
        </w:rPr>
        <w:t xml:space="preserve">Už savo, kaip atitinkamo fondo stebėtojų tarybos nario, veiklą </w:t>
      </w:r>
      <w:r w:rsidRPr="00DC2221">
        <w:rPr>
          <w:rFonts w:eastAsia="Times New Roman" w:cs="Calibri"/>
          <w:i/>
          <w:iCs/>
          <w:lang w:eastAsia="lt-LT"/>
        </w:rPr>
        <w:t>IO</w:t>
      </w:r>
      <w:r w:rsidRPr="00DC2221">
        <w:rPr>
          <w:rFonts w:eastAsia="Times New Roman" w:cs="Calibri"/>
          <w:lang w:eastAsia="lt-LT"/>
        </w:rPr>
        <w:t xml:space="preserve"> gauna 14 912 EUR dydžio bruto metinį atlyginimą, kuriam taikomi darbo užmokesčio mokesčiai. Stebėtojų taryba nustatė šį atlyginimą remdamasi taisyklėmis, įtvirtintomis Įstatyme, kuriuo reguliuojami viešojo ir pusiau viešo sektoriaus aukštų pareigūnų atlygiai, ir šis atlyginimas nepriklauso nei nuo suinteresuotojo asmens dalyvavimo susirinkimuose, nei nuo faktiškai išdirbtų darbo valandų (6–12 punktai).</w:t>
      </w:r>
    </w:p>
    <w:p w:rsidR="00DC2221" w:rsidRPr="00DC2221" w:rsidRDefault="00DC2221" w:rsidP="00DC2221">
      <w:pPr>
        <w:ind w:firstLine="540"/>
        <w:rPr>
          <w:rFonts w:eastAsia="Times New Roman" w:cs="Calibri"/>
          <w:lang w:eastAsia="lt-LT"/>
        </w:rPr>
      </w:pPr>
      <w:r w:rsidRPr="00DC2221">
        <w:rPr>
          <w:rFonts w:eastAsia="Times New Roman" w:cs="Calibri"/>
          <w:lang w:eastAsia="lt-LT"/>
        </w:rPr>
        <w:t xml:space="preserve">Pagal 2006 m. spalio 5 d. mokesčių administratoriaus sprendimą iki 2013 m. sausio 1 d. </w:t>
      </w:r>
      <w:r w:rsidRPr="00DC2221">
        <w:rPr>
          <w:rFonts w:eastAsia="Times New Roman" w:cs="Calibri"/>
          <w:i/>
          <w:iCs/>
          <w:lang w:eastAsia="lt-LT"/>
        </w:rPr>
        <w:t>IO</w:t>
      </w:r>
      <w:r w:rsidRPr="00DC2221">
        <w:rPr>
          <w:rFonts w:eastAsia="Times New Roman" w:cs="Calibri"/>
          <w:lang w:eastAsia="lt-LT"/>
        </w:rPr>
        <w:t xml:space="preserve"> nebuvo laikomas apmokestinamu PVM asmeniu už savo, kaip minėto fondo stebėtojų tarybos nario, veiklą. Tačiau šis sprendimas buvo atšauktas. Atitinkamai 2014 m. liepos 8 d.</w:t>
      </w:r>
      <w:r w:rsidRPr="00DC2221">
        <w:rPr>
          <w:rFonts w:eastAsia="Times New Roman" w:cs="Calibri"/>
          <w:i/>
          <w:iCs/>
          <w:lang w:eastAsia="lt-LT"/>
        </w:rPr>
        <w:t xml:space="preserve"> IO</w:t>
      </w:r>
      <w:r w:rsidRPr="00DC2221">
        <w:rPr>
          <w:rFonts w:eastAsia="Times New Roman" w:cs="Calibri"/>
          <w:lang w:eastAsia="lt-LT"/>
        </w:rPr>
        <w:t xml:space="preserve"> deklaravo 782 EUR PVM, kurį sumokėjo už šio fondo stebėtojų tarybos nario veiklą. Vis dėlto 2014 m. liepos 9 d. jis pateikė skundą dėl šio mokesčio, mokesčių administratoriaus sprendimu jis buvo atmestas (13–19 punktai). </w:t>
      </w:r>
    </w:p>
    <w:p w:rsidR="00DC2221" w:rsidRPr="00DC2221" w:rsidRDefault="00DC2221" w:rsidP="00DC2221">
      <w:pPr>
        <w:ind w:firstLine="540"/>
        <w:rPr>
          <w:rFonts w:eastAsia="Times New Roman" w:cs="Calibri"/>
          <w:lang w:eastAsia="lt-LT"/>
        </w:rPr>
      </w:pPr>
      <w:r w:rsidRPr="00DC2221">
        <w:rPr>
          <w:rFonts w:eastAsia="Times New Roman" w:cs="Calibri"/>
          <w:lang w:eastAsia="lt-LT"/>
        </w:rPr>
        <w:t>Ginčui pasiekus teismą, šis nutarė kreiptis į Teisingumo Teismą su prašymu išaiškinti, ar PVM direktyvos 9 ir 10 straipsniai turi būti aiškinami taip, kad fondo stebėtojų tarybos narys, kaip antai ieškovas pagrindinėje byloje, vykdo ekonominę veiklą savarankiškai, kaip tai suprantama pagal šias nuostatas, ir todėl turi būti laikomas PVM apmokestinamu asmeniu (20 punktas).</w:t>
      </w:r>
    </w:p>
    <w:p w:rsidR="00DC2221" w:rsidRPr="00DC2221" w:rsidRDefault="00DC2221" w:rsidP="00DC2221">
      <w:pPr>
        <w:ind w:firstLine="540"/>
        <w:rPr>
          <w:rFonts w:eastAsia="Times New Roman" w:cs="Calibri"/>
          <w:lang w:eastAsia="lt-LT"/>
        </w:rPr>
      </w:pPr>
    </w:p>
    <w:p w:rsidR="00DC2221" w:rsidRPr="001362AB" w:rsidRDefault="00DC2221" w:rsidP="001362AB">
      <w:pPr>
        <w:pStyle w:val="Heading3"/>
        <w:ind w:firstLine="567"/>
        <w:rPr>
          <w:rFonts w:cstheme="minorHAnsi"/>
        </w:rPr>
      </w:pPr>
      <w:bookmarkStart w:id="34" w:name="_Toc19278744"/>
      <w:bookmarkStart w:id="35" w:name="_Toc21941953"/>
      <w:r w:rsidRPr="001362AB">
        <w:rPr>
          <w:rFonts w:cstheme="minorHAnsi"/>
        </w:rPr>
        <w:t>Dėl stebėtojų tarybos nario, kuriam mokamas nustatyto dydžio atlygis, pripažinimo vykdančiu savarankišką ekonominę veiklą apmokestinimo PVM tikslais</w:t>
      </w:r>
      <w:bookmarkEnd w:id="34"/>
      <w:bookmarkEnd w:id="35"/>
    </w:p>
    <w:p w:rsidR="00DC2221" w:rsidRPr="00DC2221" w:rsidRDefault="00DC2221" w:rsidP="00DC2221">
      <w:pPr>
        <w:ind w:firstLine="540"/>
        <w:rPr>
          <w:rFonts w:eastAsia="Times New Roman" w:cs="Calibri"/>
          <w:lang w:eastAsia="lt-LT"/>
        </w:rPr>
      </w:pPr>
    </w:p>
    <w:p w:rsidR="00DC2221" w:rsidRPr="00DC2221" w:rsidRDefault="00DC2221" w:rsidP="00DC2221">
      <w:pPr>
        <w:ind w:firstLine="540"/>
        <w:rPr>
          <w:rFonts w:eastAsia="Times New Roman" w:cs="Calibri"/>
          <w:lang w:eastAsia="lt-LT"/>
        </w:rPr>
      </w:pPr>
      <w:r w:rsidRPr="00DC2221">
        <w:rPr>
          <w:rFonts w:eastAsia="Times New Roman" w:cs="Calibri"/>
          <w:lang w:eastAsia="lt-LT"/>
        </w:rPr>
        <w:t>Teisingumo Teismas pirmiausia pažymėjo būtinybę išnagrinėti, ar fondo stebėtojų tarybos nario veikla, tokia, kaip ieškovo pagrindinėje byloje, turi būti laikoma „ekonomine“ ir, jei taip, ar ji vykdoma „savarankiškai“ (23 punktas).</w:t>
      </w:r>
    </w:p>
    <w:p w:rsidR="00DC2221" w:rsidRPr="00DC2221" w:rsidRDefault="00DC2221" w:rsidP="00DC2221">
      <w:pPr>
        <w:ind w:firstLine="540"/>
        <w:rPr>
          <w:rFonts w:eastAsia="Times New Roman" w:cs="Calibri"/>
          <w:lang w:eastAsia="lt-LT"/>
        </w:rPr>
      </w:pPr>
      <w:r w:rsidRPr="00DC2221">
        <w:rPr>
          <w:rFonts w:eastAsia="Times New Roman" w:cs="Calibri"/>
          <w:lang w:eastAsia="lt-LT"/>
        </w:rPr>
        <w:t xml:space="preserve">Dėl veiklos „ekonominio“ pobūdžio ši Sąjungos teisminė institucija pažymėjo, kad nagrinėtu atveju nė viena iš šalių pagrindinėje byloje neginčijo to, kad tokia veikla, kokia nagrinėjama, turi būti laikoma „ekonomine“, nes ji yra nuolatinė ir vykdoma už atlygį, kurį gauna sandorio vykdytojas (24 punktas). Iš tiesų ieškovas pagrindinėje byloje gauna 14 912 EUR dydžio bruto metinį atlyginimą už savo, kaip atitinkamo fondo stebėtojų tarybos nario, veiklą. Šiuo klausimu </w:t>
      </w:r>
      <w:r w:rsidRPr="00DC2221">
        <w:rPr>
          <w:rFonts w:eastAsia="Times New Roman" w:cs="Calibri"/>
          <w:u w:val="single"/>
          <w:lang w:eastAsia="lt-LT"/>
        </w:rPr>
        <w:t>tai, jog minėtas atlyginimas nustatomas ne pagal konkrečiai suteiktas paslaugas, bet mokant nustatytą sumą per metus, yra nesvarbu</w:t>
      </w:r>
      <w:r w:rsidRPr="00DC2221">
        <w:rPr>
          <w:rFonts w:eastAsia="Times New Roman" w:cs="Calibri"/>
          <w:lang w:eastAsia="lt-LT"/>
        </w:rPr>
        <w:t xml:space="preserve"> (25 punktas). Be to, kadangi šis atlyginimas yra nustatytas remiantis taisyklėmis, įtvirtintomis įstatyme, kuriuo reguliuojami viešojo ir pusiau viešo sektoriaus aukštų pareigūnų atlygiai, sąlygos, kuriomis ieškovas pagrindinėje byloje teikia nagrinėjamas paslaugas, </w:t>
      </w:r>
      <w:r w:rsidRPr="00DC2221">
        <w:rPr>
          <w:rFonts w:eastAsia="Times New Roman" w:cs="Calibri"/>
          <w:u w:val="single"/>
          <w:lang w:eastAsia="lt-LT"/>
        </w:rPr>
        <w:t>atitinka tas, kuriomis šios paslaugos yra įprastai teikiamos</w:t>
      </w:r>
      <w:r w:rsidRPr="00DC2221">
        <w:rPr>
          <w:rFonts w:eastAsia="Times New Roman" w:cs="Calibri"/>
          <w:lang w:eastAsia="lt-LT"/>
        </w:rPr>
        <w:t xml:space="preserve"> (26 punktas). Be to, kaip matyti iš atitinkamo fondo įstatų, jo stebėtojų tarybos nariai yra skiriami ketverių metų kadencijai; </w:t>
      </w:r>
      <w:r w:rsidRPr="00DC2221">
        <w:rPr>
          <w:rFonts w:eastAsia="Times New Roman" w:cs="Calibri"/>
          <w:u w:val="single"/>
          <w:lang w:eastAsia="lt-LT"/>
        </w:rPr>
        <w:t>toks terminas suteikia gautam atlygiui pastovumo</w:t>
      </w:r>
      <w:r w:rsidRPr="00DC2221">
        <w:rPr>
          <w:rFonts w:eastAsia="Times New Roman" w:cs="Calibri"/>
          <w:lang w:eastAsia="lt-LT"/>
        </w:rPr>
        <w:t xml:space="preserve"> (27 punktas).</w:t>
      </w:r>
    </w:p>
    <w:p w:rsidR="00DC2221" w:rsidRPr="00DC2221" w:rsidRDefault="00DC2221" w:rsidP="00DC2221">
      <w:pPr>
        <w:ind w:firstLine="540"/>
        <w:rPr>
          <w:rFonts w:eastAsia="Times New Roman" w:cs="Calibri"/>
          <w:lang w:eastAsia="lt-LT"/>
        </w:rPr>
      </w:pPr>
      <w:r w:rsidRPr="00DC2221">
        <w:rPr>
          <w:rFonts w:eastAsia="Times New Roman" w:cs="Calibri"/>
          <w:lang w:eastAsia="lt-LT"/>
        </w:rPr>
        <w:t>Dėl savarankiško veiklos vykdymo Teisingumo Teismas pažymėjo, kad pirmiausia reikia įvertinti, ar asmuo, kaip antai ieškovas pagrindinėje byloje, yra neapmokestinamas pagal PVM direktyvos 10 straipsnį kaip darbuotojas ar kitas asmuo, susijęs su savo darbdaviu pagal darbo sutartį, arba remiantis kitu teisiniu santykiu, sukuriančiu pavaldumą, kiek tai susiję su darbo ir atlyginimo sąlygomis ir darbdavio atsakomybe</w:t>
      </w:r>
      <w:r w:rsidR="00C749C5">
        <w:rPr>
          <w:rFonts w:eastAsia="Times New Roman" w:cs="Calibri"/>
          <w:lang w:eastAsia="lt-LT"/>
        </w:rPr>
        <w:t xml:space="preserve"> (32 </w:t>
      </w:r>
      <w:r w:rsidRPr="00DC2221">
        <w:rPr>
          <w:rFonts w:eastAsia="Times New Roman" w:cs="Calibri"/>
          <w:lang w:eastAsia="lt-LT"/>
        </w:rPr>
        <w:t xml:space="preserve">punktas). Šiuo klausimu nustatyta, kad ieškovas pagrindinėje byloje savo veiklą vykdo ne pagal darbo sutartį, bet pagal paslaugų teikimo sutartį (34 punktas); nėra pavaldumo ryšio, susijusio su darbo sąlygomis, nes tokios stebėtojų tarybos nariai nėra saistomi atitinkamo fondo valdymo organo nurodymų, ypač kai jie patvirtina tvarką dėl šių narių veiklos vykdymo (35 punktas). </w:t>
      </w:r>
      <w:r w:rsidRPr="00DC2221">
        <w:rPr>
          <w:rFonts w:eastAsia="Times New Roman" w:cs="Calibri"/>
          <w:u w:val="single"/>
          <w:lang w:eastAsia="lt-LT"/>
        </w:rPr>
        <w:t>Taigi nesant pavaldumo santykių, susijusių su darbo sąlygomis, šios stebėtojų tarybos nariai nėra saistomi jokių kitų teisinių santykių, kuriais nustatomas pavaldumo ryšys, kaip apibrėžta PVM direktyvos 10 straipsnyje. Vadinasi, at</w:t>
      </w:r>
      <w:r w:rsidR="00C749C5">
        <w:rPr>
          <w:rFonts w:eastAsia="Times New Roman" w:cs="Calibri"/>
          <w:u w:val="single"/>
          <w:lang w:eastAsia="lt-LT"/>
        </w:rPr>
        <w:t>sižvelgiant į šios direktyvos 9 </w:t>
      </w:r>
      <w:r w:rsidRPr="00DC2221">
        <w:rPr>
          <w:rFonts w:eastAsia="Times New Roman" w:cs="Calibri"/>
          <w:u w:val="single"/>
          <w:lang w:eastAsia="lt-LT"/>
        </w:rPr>
        <w:t>straipsnį, turėtų būti nagrinėjamas klausimas, ar veikla, kaip antai aptariama pagrindinėje byloje, turi būti laikoma vykdoma savarankiškai</w:t>
      </w:r>
      <w:r w:rsidRPr="00DC2221">
        <w:rPr>
          <w:rFonts w:eastAsia="Times New Roman" w:cs="Calibri"/>
          <w:lang w:eastAsia="lt-LT"/>
        </w:rPr>
        <w:t xml:space="preserve"> (37 punktas).</w:t>
      </w:r>
    </w:p>
    <w:p w:rsidR="00DC2221" w:rsidRPr="00DC2221" w:rsidRDefault="00DC2221" w:rsidP="00DC2221">
      <w:pPr>
        <w:ind w:firstLine="540"/>
        <w:rPr>
          <w:rFonts w:eastAsia="Times New Roman" w:cs="Calibri"/>
          <w:lang w:eastAsia="lt-LT"/>
        </w:rPr>
      </w:pPr>
      <w:r w:rsidRPr="00DC2221">
        <w:rPr>
          <w:rFonts w:eastAsia="Times New Roman" w:cs="Calibri"/>
          <w:lang w:eastAsia="lt-LT"/>
        </w:rPr>
        <w:t>Šiuo klausimu iš Teisingumo Teismas priminė, kad</w:t>
      </w:r>
      <w:r w:rsidRPr="00DC2221">
        <w:rPr>
          <w:rFonts w:eastAsia="Times New Roman" w:cs="Calibri"/>
          <w:u w:val="single"/>
          <w:lang w:eastAsia="lt-LT"/>
        </w:rPr>
        <w:t xml:space="preserve"> siekiant nustatyti, ar asmuo vykdo ekonominę veiklą savarankiškai, būtina patikrinti, ar vykdant tą veiklą yra pavaldumo ryšys</w:t>
      </w:r>
      <w:r w:rsidRPr="00DC2221">
        <w:rPr>
          <w:rFonts w:eastAsia="Times New Roman" w:cs="Calibri"/>
          <w:lang w:eastAsia="lt-LT"/>
        </w:rPr>
        <w:t xml:space="preserve"> (38 punktas). </w:t>
      </w:r>
      <w:r w:rsidRPr="00DC2221">
        <w:rPr>
          <w:rFonts w:eastAsia="Times New Roman" w:cs="Calibri"/>
          <w:u w:val="single"/>
          <w:lang w:eastAsia="lt-LT"/>
        </w:rPr>
        <w:t>Siekiant nustatyti, ar yra šis pavaldumo ryšys, reikia patikrinti, ar atitinkamas asmuo vykdo veiklą savo vardu, sąskaita ir atsakomybe ir ar jis pats prisiima su savo veikla susijusią ekonominę riziką</w:t>
      </w:r>
      <w:r w:rsidRPr="00DC2221">
        <w:rPr>
          <w:rFonts w:eastAsia="Times New Roman" w:cs="Calibri"/>
          <w:lang w:eastAsia="lt-LT"/>
        </w:rPr>
        <w:t>. Siekiant nustatyti nagrinėjamos veiklos savarankiškumą, atsižvelgtina į tai, kad nėra jokio hierarchinio pavaldumo ryšio, ir į tai, kad atitinkamas asmuo veikia savo sąskaita ir savo atsakomybe, jis laisvai organizuoja savo darbo atlikimo būdą ir pats gauna išmokas, kurios sudaro jo pajamas (39 punktas).</w:t>
      </w:r>
    </w:p>
    <w:p w:rsidR="00DC2221" w:rsidRPr="00DC2221" w:rsidRDefault="00DC2221" w:rsidP="00DC2221">
      <w:pPr>
        <w:ind w:firstLine="540"/>
        <w:rPr>
          <w:rFonts w:eastAsia="Times New Roman" w:cs="Calibri"/>
          <w:lang w:eastAsia="lt-LT"/>
        </w:rPr>
      </w:pPr>
      <w:r w:rsidRPr="00DC2221">
        <w:rPr>
          <w:rFonts w:eastAsia="Times New Roman" w:cs="Calibri"/>
          <w:lang w:eastAsia="lt-LT"/>
        </w:rPr>
        <w:t xml:space="preserve">Nagrinėtu atveju tokio fondo stebėtojų tarybos nario, kaip ieškovas pagrindinėje byloje, padėčiai būdinga tai, kad nėra hierarchinio pavaldumo ryšio su šio fondo valdymo organu ir šia stebėtojų taryba, kiek tai susiję su minėtos stebėtojų tarybos nario veiklos vykdymu (40 punktas). Atlikdamas savo, kaip atitinkamo fondo stebėtojų tarybos nario, pareigas, ieškovas pagrindinėje byloje nesiima veiksmų savo vardu, savo sąskaita arba savo atsakomybe. Kaip matyti iš šio fondo įstatų, stebėtojų tarybos nario veikla tam tikrais atvejais apima fondo teisinį atstovavimą, o tai reiškia, kad yra įgaliojimų įpareigoti fondą. Be to, stebėtojų tarybos nariai negali savarankiškai naudotis tos tarybos suteiktais įgaliojimais ir kad jie veikia tos pačios tarybos sąskaita ir atsakomybe. Taigi Teisingumo Teismas konstatavo, kad atitinkamo fondo stebėtojų tarybos nariai savarankiškai neprisiima nei atsakomybės, kylančios iš stebėtojų tarybos aktų, priimtų teisiškai atstovaujant minėtam fondui, nei atsakomybės tretiesiems asmenims už nuostolius, patirtus jiems vykdant funkcijas, ir todėl jie neprisiima atsakomybės (41 punktas). </w:t>
      </w:r>
      <w:r w:rsidRPr="00DC2221">
        <w:rPr>
          <w:rFonts w:eastAsia="Times New Roman" w:cs="Calibri"/>
          <w:u w:val="single"/>
          <w:lang w:eastAsia="lt-LT"/>
        </w:rPr>
        <w:t>Be to, fondo stebėtojų tarybos nario, kaip ieškovas pagrindinėje byloje, padėčiai, skirtingai nei verslininko, būdinga tai, kad nėra jokios ekonominės rizikos, kylančios iš vykdomos veiklos</w:t>
      </w:r>
      <w:r w:rsidRPr="00DC2221">
        <w:rPr>
          <w:rFonts w:eastAsia="Times New Roman" w:cs="Calibri"/>
          <w:lang w:eastAsia="lt-LT"/>
        </w:rPr>
        <w:t xml:space="preserve"> (42 punktas), o </w:t>
      </w:r>
      <w:r w:rsidRPr="00DC2221">
        <w:rPr>
          <w:rFonts w:eastAsia="Times New Roman" w:cs="Calibri"/>
          <w:u w:val="single"/>
          <w:lang w:eastAsia="lt-LT"/>
        </w:rPr>
        <w:t>asmuo, kuris nepatiria tokios ekonominės rizikos, negali būti laikomas vykdančiu ekonominę veiklą savarankiškai</w:t>
      </w:r>
      <w:r w:rsidRPr="00DC2221">
        <w:rPr>
          <w:rFonts w:eastAsia="Times New Roman" w:cs="Calibri"/>
          <w:lang w:eastAsia="lt-LT"/>
        </w:rPr>
        <w:t>, kaip tai suprantama pagal PVM direktyvos 9 straipsnį (43 punktas).</w:t>
      </w:r>
    </w:p>
    <w:p w:rsidR="00DC2221" w:rsidRPr="00DC2221" w:rsidRDefault="00DC2221" w:rsidP="00DC2221">
      <w:pPr>
        <w:ind w:firstLine="540"/>
        <w:rPr>
          <w:rFonts w:eastAsia="Times New Roman" w:cs="Calibri"/>
          <w:lang w:eastAsia="lt-LT"/>
        </w:rPr>
      </w:pPr>
    </w:p>
    <w:p w:rsidR="00DC2221" w:rsidRPr="00DC2221" w:rsidRDefault="00DC2221" w:rsidP="00DC2221">
      <w:pPr>
        <w:ind w:firstLine="540"/>
        <w:rPr>
          <w:rFonts w:eastAsia="Times New Roman" w:cs="Calibri"/>
          <w:b/>
          <w:lang w:eastAsia="lt-LT"/>
        </w:rPr>
      </w:pPr>
      <w:r w:rsidRPr="00DC2221">
        <w:rPr>
          <w:rFonts w:eastAsia="Times New Roman" w:cs="Calibri"/>
          <w:b/>
          <w:lang w:eastAsia="lt-LT"/>
        </w:rPr>
        <w:t>Remdamasis šiais motyvais, Teisingumo Teismas (antroji kolegija) nusprendė:</w:t>
      </w:r>
    </w:p>
    <w:p w:rsidR="00DC2221" w:rsidRPr="00DC2221" w:rsidRDefault="00DC2221" w:rsidP="00DC2221">
      <w:pPr>
        <w:ind w:firstLine="540"/>
        <w:rPr>
          <w:rFonts w:eastAsia="Times New Roman" w:cs="Calibri"/>
          <w:lang w:eastAsia="lt-LT"/>
        </w:rPr>
      </w:pPr>
      <w:r w:rsidRPr="00DC2221">
        <w:rPr>
          <w:rFonts w:eastAsia="Times New Roman" w:cs="Calibri"/>
          <w:lang w:eastAsia="lt-LT"/>
        </w:rPr>
        <w:t xml:space="preserve"> </w:t>
      </w:r>
    </w:p>
    <w:p w:rsidR="00DC2221" w:rsidRPr="00DC2221" w:rsidRDefault="00DC2221" w:rsidP="00DC2221">
      <w:pPr>
        <w:ind w:firstLine="540"/>
        <w:rPr>
          <w:rFonts w:eastAsia="Times New Roman" w:cs="Calibri"/>
          <w:lang w:eastAsia="lt-LT"/>
        </w:rPr>
      </w:pPr>
      <w:r w:rsidRPr="00DC2221">
        <w:rPr>
          <w:rFonts w:eastAsia="Times New Roman" w:cs="Calibri"/>
          <w:lang w:eastAsia="lt-LT"/>
        </w:rPr>
        <w:t>PVM direktyvos 9 ir 10 straipsniai turi būti aiškinami taip, kad fondo stebėtojų tarybos narys, kaip antai ieškovas pagrindinėje byloje, kurio nesieja joks hierarchinis pavaldumo ryšys nei su šio fondo valdymo organu, nei su minėto fondo stebėtojų taryba, kiek tai susiję su jo, kaip šios tarybos nario, veiklos vykdymu, kuris neveikia nei savo vardu, nei savo sąskaita, nei savo atsakomybe, bet veikia tos pačios tarybos sąskaita ir atsakomybe ir kuris taip pat neprisiima jokios ekonominės rizikos dėl savo veiklos, nevykdo ekonominės veiklos savarankiškai, nes gauna fiksuotą atlyginimą, kuris nepriklauso nei nuo dalyvavimo susirinkimuose, nei nuo faktiškai išdirbtų darbo valandų.</w:t>
      </w:r>
    </w:p>
    <w:p w:rsidR="00DC2221" w:rsidRPr="00DC2221" w:rsidRDefault="007D413D" w:rsidP="00DC2221">
      <w:pPr>
        <w:ind w:firstLine="540"/>
        <w:rPr>
          <w:rFonts w:eastAsia="Times New Roman" w:cs="Calibri"/>
          <w:lang w:eastAsia="lt-LT"/>
        </w:rPr>
      </w:pPr>
      <w:hyperlink r:id="rId16" w:history="1">
        <w:r w:rsidR="00DC2221" w:rsidRPr="00FF7D11">
          <w:rPr>
            <w:rStyle w:val="Hyperlink"/>
            <w:rFonts w:eastAsia="Times New Roman" w:cs="Calibri"/>
            <w:lang w:eastAsia="lt-LT"/>
          </w:rPr>
          <w:t>Prieiga internete</w:t>
        </w:r>
      </w:hyperlink>
    </w:p>
    <w:p w:rsidR="00DC2221" w:rsidRPr="00DC2221" w:rsidRDefault="00DC2221" w:rsidP="00DC2221">
      <w:pPr>
        <w:ind w:firstLine="540"/>
        <w:rPr>
          <w:rFonts w:eastAsia="Times New Roman" w:cs="Calibri"/>
          <w:lang w:eastAsia="lt-LT"/>
        </w:rPr>
      </w:pPr>
    </w:p>
    <w:p w:rsidR="00DC2221" w:rsidRPr="00DC2221" w:rsidRDefault="00DC2221" w:rsidP="00DC2221">
      <w:pPr>
        <w:jc w:val="center"/>
        <w:outlineLvl w:val="1"/>
        <w:rPr>
          <w:rFonts w:eastAsia="Times New Roman" w:cs="Calibri"/>
          <w:b/>
          <w:lang w:eastAsia="lt-LT"/>
        </w:rPr>
      </w:pPr>
      <w:bookmarkStart w:id="36" w:name="_Toc19278745"/>
      <w:bookmarkStart w:id="37" w:name="_Toc21941954"/>
      <w:r w:rsidRPr="00DC2221">
        <w:rPr>
          <w:rFonts w:eastAsia="Times New Roman" w:cs="Calibri"/>
          <w:b/>
          <w:lang w:eastAsia="lt-LT"/>
        </w:rPr>
        <w:t>2019 m. gegužės 8 d. prejudicinis sprendimas byloje C</w:t>
      </w:r>
      <w:r w:rsidRPr="00DC2221">
        <w:rPr>
          <w:rFonts w:ascii="Cambria Math" w:eastAsia="Times New Roman" w:hAnsi="Cambria Math" w:cs="Cambria Math"/>
          <w:b/>
          <w:lang w:eastAsia="lt-LT"/>
        </w:rPr>
        <w:t>‑</w:t>
      </w:r>
      <w:r w:rsidRPr="00DC2221">
        <w:rPr>
          <w:rFonts w:eastAsia="Times New Roman" w:cs="Calibri"/>
          <w:b/>
          <w:lang w:eastAsia="lt-LT"/>
        </w:rPr>
        <w:t>127/18</w:t>
      </w:r>
      <w:bookmarkEnd w:id="36"/>
      <w:bookmarkEnd w:id="37"/>
    </w:p>
    <w:p w:rsidR="00DC2221" w:rsidRPr="00DC2221" w:rsidRDefault="00DC2221" w:rsidP="00DC2221">
      <w:pPr>
        <w:jc w:val="center"/>
        <w:rPr>
          <w:rFonts w:eastAsia="Times New Roman" w:cs="Calibri"/>
          <w:b/>
          <w:i/>
          <w:iCs/>
          <w:lang w:eastAsia="lt-LT"/>
        </w:rPr>
      </w:pPr>
      <w:r w:rsidRPr="00DC2221">
        <w:rPr>
          <w:rFonts w:eastAsia="Times New Roman" w:cs="Calibri"/>
          <w:b/>
          <w:i/>
          <w:iCs/>
          <w:lang w:eastAsia="lt-LT"/>
        </w:rPr>
        <w:t>A</w:t>
      </w:r>
      <w:r w:rsidRPr="00DC2221">
        <w:rPr>
          <w:rFonts w:ascii="Cambria Math" w:eastAsia="Times New Roman" w:hAnsi="Cambria Math" w:cs="Cambria Math"/>
          <w:b/>
          <w:i/>
          <w:iCs/>
          <w:lang w:eastAsia="lt-LT"/>
        </w:rPr>
        <w:t>‑</w:t>
      </w:r>
      <w:r w:rsidRPr="00DC2221">
        <w:rPr>
          <w:rFonts w:eastAsia="Times New Roman" w:cs="Calibri"/>
          <w:b/>
          <w:i/>
          <w:iCs/>
          <w:lang w:eastAsia="lt-LT"/>
        </w:rPr>
        <w:t xml:space="preserve">PACK CZ s. r. o. </w:t>
      </w:r>
      <w:r w:rsidRPr="00DC2221">
        <w:rPr>
          <w:rFonts w:eastAsia="Times New Roman" w:cs="Calibri"/>
          <w:b/>
          <w:bCs/>
          <w:i/>
          <w:lang w:eastAsia="lt-LT"/>
        </w:rPr>
        <w:t>prieš</w:t>
      </w:r>
      <w:r w:rsidRPr="00DC2221">
        <w:rPr>
          <w:rFonts w:eastAsia="Times New Roman" w:cs="Calibri"/>
          <w:b/>
          <w:i/>
          <w:lang w:eastAsia="lt-LT"/>
        </w:rPr>
        <w:t xml:space="preserve"> </w:t>
      </w:r>
      <w:r w:rsidRPr="00DC2221">
        <w:rPr>
          <w:rFonts w:eastAsia="Times New Roman" w:cs="Calibri"/>
          <w:b/>
          <w:i/>
          <w:iCs/>
          <w:lang w:eastAsia="lt-LT"/>
        </w:rPr>
        <w:t>Odvolací finanční ředitelství</w:t>
      </w:r>
    </w:p>
    <w:p w:rsidR="00DC2221" w:rsidRPr="00DC2221" w:rsidRDefault="00DC2221" w:rsidP="00DC2221">
      <w:pPr>
        <w:ind w:firstLine="540"/>
        <w:rPr>
          <w:rFonts w:eastAsia="Times New Roman" w:cs="Calibri"/>
          <w:i/>
          <w:lang w:eastAsia="lt-LT"/>
        </w:rPr>
      </w:pPr>
    </w:p>
    <w:p w:rsidR="00DC2221" w:rsidRPr="00DC2221" w:rsidRDefault="00DC2221" w:rsidP="00DC2221">
      <w:pPr>
        <w:ind w:firstLine="540"/>
        <w:rPr>
          <w:rFonts w:eastAsia="Times New Roman" w:cs="Calibri"/>
          <w:lang w:eastAsia="lt-LT"/>
        </w:rPr>
      </w:pPr>
      <w:r w:rsidRPr="00DC2221">
        <w:rPr>
          <w:rFonts w:eastAsia="Times New Roman" w:cs="Calibri"/>
          <w:lang w:eastAsia="lt-LT"/>
        </w:rPr>
        <w:t>Prašymas priimti prejudicinį sprendimą pateiktas dėl mokesčių neutralumo ir proporcingumo principų ir 2006 m. lapkričio 28 d. Tarybos direktyvos 2006/112/EB dėl pridėtinės vertės mokesči</w:t>
      </w:r>
      <w:r w:rsidR="0039283F">
        <w:rPr>
          <w:rFonts w:eastAsia="Times New Roman" w:cs="Calibri"/>
          <w:lang w:eastAsia="lt-LT"/>
        </w:rPr>
        <w:t xml:space="preserve">o bendros sistemos (toliau – </w:t>
      </w:r>
      <w:r w:rsidRPr="00DC2221">
        <w:rPr>
          <w:rFonts w:eastAsia="Times New Roman" w:cs="Calibri"/>
          <w:lang w:eastAsia="lt-LT"/>
        </w:rPr>
        <w:t xml:space="preserve">ir PVM direktyva) 90 straipsnio išaiškinimo. Šis prašymas pateiktas nagrinėjant </w:t>
      </w:r>
      <w:r w:rsidRPr="00DC2221">
        <w:rPr>
          <w:rFonts w:eastAsia="Times New Roman" w:cs="Calibri"/>
          <w:i/>
          <w:lang w:eastAsia="lt-LT"/>
        </w:rPr>
        <w:t>A</w:t>
      </w:r>
      <w:r w:rsidRPr="00DC2221">
        <w:rPr>
          <w:rFonts w:ascii="Cambria Math" w:eastAsia="Times New Roman" w:hAnsi="Cambria Math" w:cs="Cambria Math"/>
          <w:i/>
          <w:lang w:eastAsia="lt-LT"/>
        </w:rPr>
        <w:t>‑</w:t>
      </w:r>
      <w:r w:rsidRPr="00DC2221">
        <w:rPr>
          <w:rFonts w:eastAsia="Times New Roman" w:cs="Calibri"/>
          <w:i/>
          <w:lang w:eastAsia="lt-LT"/>
        </w:rPr>
        <w:t>PACK CZ s. r. o</w:t>
      </w:r>
      <w:r w:rsidRPr="00DC2221">
        <w:rPr>
          <w:rFonts w:eastAsia="Times New Roman" w:cs="Calibri"/>
          <w:lang w:eastAsia="lt-LT"/>
        </w:rPr>
        <w:t>. ir Čekijos mokesčių administratoriaus ginčą dėl pastarosios atsisakymo leisti patikslinti sumokėto pridėtinės vertės mokesčio (PVM), susijusio su negrąžintomis ir dėl skolininko nemokumo beviltiškomis pripažintomis skolomis, sumą (1 ir 2 punktai).</w:t>
      </w:r>
    </w:p>
    <w:p w:rsidR="00DC2221" w:rsidRPr="00DC2221" w:rsidRDefault="00DC2221" w:rsidP="00DC2221">
      <w:pPr>
        <w:ind w:firstLine="540"/>
        <w:rPr>
          <w:rFonts w:eastAsia="Times New Roman" w:cs="Calibri"/>
          <w:lang w:eastAsia="lt-LT"/>
        </w:rPr>
      </w:pPr>
      <w:r w:rsidRPr="00DC2221">
        <w:rPr>
          <w:rFonts w:eastAsia="Times New Roman" w:cs="Calibri"/>
          <w:lang w:eastAsia="lt-LT"/>
        </w:rPr>
        <w:t xml:space="preserve">Pagrindinėje byloje nustatyta, kad vienam iš </w:t>
      </w:r>
      <w:r w:rsidRPr="00DC2221">
        <w:rPr>
          <w:rFonts w:eastAsia="Times New Roman" w:cs="Calibri"/>
          <w:i/>
          <w:lang w:eastAsia="lt-LT"/>
        </w:rPr>
        <w:t>A</w:t>
      </w:r>
      <w:r w:rsidRPr="00DC2221">
        <w:rPr>
          <w:rFonts w:ascii="Cambria Math" w:eastAsia="Times New Roman" w:hAnsi="Cambria Math" w:cs="Cambria Math"/>
          <w:i/>
          <w:lang w:eastAsia="lt-LT"/>
        </w:rPr>
        <w:t>‑</w:t>
      </w:r>
      <w:r w:rsidRPr="00DC2221">
        <w:rPr>
          <w:rFonts w:eastAsia="Times New Roman" w:cs="Calibri"/>
          <w:i/>
          <w:lang w:eastAsia="lt-LT"/>
        </w:rPr>
        <w:t>PACK CZ</w:t>
      </w:r>
      <w:r w:rsidRPr="00DC2221">
        <w:rPr>
          <w:rFonts w:eastAsia="Times New Roman" w:cs="Calibri"/>
          <w:lang w:eastAsia="lt-LT"/>
        </w:rPr>
        <w:t xml:space="preserve"> klientų – </w:t>
      </w:r>
      <w:r w:rsidRPr="00DC2221">
        <w:rPr>
          <w:rFonts w:eastAsia="Times New Roman" w:cs="Calibri"/>
          <w:i/>
          <w:lang w:eastAsia="lt-LT"/>
        </w:rPr>
        <w:t>Delpharmea Nutraceuticals a.s.</w:t>
      </w:r>
      <w:r w:rsidR="007B0818">
        <w:rPr>
          <w:rFonts w:eastAsia="Times New Roman" w:cs="Calibri"/>
          <w:lang w:eastAsia="lt-LT"/>
        </w:rPr>
        <w:t xml:space="preserve"> – 2009 </w:t>
      </w:r>
      <w:r w:rsidRPr="00DC2221">
        <w:rPr>
          <w:rFonts w:eastAsia="Times New Roman" w:cs="Calibri"/>
          <w:lang w:eastAsia="lt-LT"/>
        </w:rPr>
        <w:t xml:space="preserve">m. gegužės 27 d. buvo iškelta bankroto byla. Mokesčių deklaracijoje už ketvirtą 2011 mokestinių metų ketvirtį </w:t>
      </w:r>
      <w:r w:rsidRPr="00DC2221">
        <w:rPr>
          <w:rFonts w:eastAsia="Times New Roman" w:cs="Calibri"/>
          <w:i/>
          <w:lang w:eastAsia="lt-LT"/>
        </w:rPr>
        <w:t>A</w:t>
      </w:r>
      <w:r w:rsidRPr="00DC2221">
        <w:rPr>
          <w:rFonts w:ascii="Cambria Math" w:eastAsia="Times New Roman" w:hAnsi="Cambria Math" w:cs="Cambria Math"/>
          <w:i/>
          <w:lang w:eastAsia="lt-LT"/>
        </w:rPr>
        <w:t>‑</w:t>
      </w:r>
      <w:r w:rsidRPr="00DC2221">
        <w:rPr>
          <w:rFonts w:eastAsia="Times New Roman" w:cs="Calibri"/>
          <w:i/>
          <w:lang w:eastAsia="lt-LT"/>
        </w:rPr>
        <w:t>PACK CZ</w:t>
      </w:r>
      <w:r w:rsidRPr="00DC2221">
        <w:rPr>
          <w:rFonts w:eastAsia="Times New Roman" w:cs="Calibri"/>
          <w:lang w:eastAsia="lt-LT"/>
        </w:rPr>
        <w:t xml:space="preserve"> paprašė grąžinti 539 822 Čekijos kronų (CZK) (maždaug 21 000 EUR) daugiausia dėl PVM sumos patikslinimo, susijusio su šios bendrovės nesumokėtomis skolomis už patiektas prekes ir suteiktas paslaugas per laikotarpį nuo 2008 m. spalio 30 d. iki 2009 m. vasario 2 d.</w:t>
      </w:r>
    </w:p>
    <w:p w:rsidR="00DC2221" w:rsidRPr="00DC2221" w:rsidRDefault="00DC2221" w:rsidP="00DC2221">
      <w:pPr>
        <w:ind w:firstLine="540"/>
        <w:rPr>
          <w:rFonts w:eastAsia="Times New Roman" w:cs="Calibri"/>
          <w:lang w:eastAsia="lt-LT"/>
        </w:rPr>
      </w:pPr>
      <w:r w:rsidRPr="00DC2221">
        <w:rPr>
          <w:rFonts w:eastAsia="Times New Roman" w:cs="Calibri"/>
          <w:lang w:eastAsia="lt-LT"/>
        </w:rPr>
        <w:t xml:space="preserve">2012 m. balandžio 17 d. mokesčių administratoriaus sprendimu </w:t>
      </w:r>
      <w:r w:rsidRPr="00DC2221">
        <w:rPr>
          <w:rFonts w:eastAsia="Times New Roman" w:cs="Calibri"/>
          <w:i/>
          <w:lang w:eastAsia="lt-LT"/>
        </w:rPr>
        <w:t>A</w:t>
      </w:r>
      <w:r w:rsidRPr="00DC2221">
        <w:rPr>
          <w:rFonts w:ascii="Cambria Math" w:eastAsia="Times New Roman" w:hAnsi="Cambria Math" w:cs="Cambria Math"/>
          <w:i/>
          <w:lang w:eastAsia="lt-LT"/>
        </w:rPr>
        <w:t>‑</w:t>
      </w:r>
      <w:r w:rsidRPr="00DC2221">
        <w:rPr>
          <w:rFonts w:eastAsia="Times New Roman" w:cs="Calibri"/>
          <w:i/>
          <w:lang w:eastAsia="lt-LT"/>
        </w:rPr>
        <w:t>PACK CZ</w:t>
      </w:r>
      <w:r w:rsidRPr="00DC2221">
        <w:rPr>
          <w:rFonts w:eastAsia="Times New Roman" w:cs="Calibri"/>
          <w:lang w:eastAsia="lt-LT"/>
        </w:rPr>
        <w:t xml:space="preserve"> prašoma suma buvo sumažinta iki 41 211 CZK (maždaug 1 600 EUR), nes pagal nacionalinę teisę nebuvo leidžiama patikslinti mokesčio sumos, jei skolininkas nustojo būti apmokestinamuoju asmeniu, ir taip buvo </w:t>
      </w:r>
      <w:r w:rsidRPr="00DC2221">
        <w:rPr>
          <w:rFonts w:eastAsia="Times New Roman" w:cs="Calibri"/>
          <w:i/>
          <w:lang w:eastAsia="lt-LT"/>
        </w:rPr>
        <w:t>Delpharmea Nutraceuticals</w:t>
      </w:r>
      <w:r w:rsidRPr="00DC2221">
        <w:rPr>
          <w:rFonts w:eastAsia="Times New Roman" w:cs="Calibri"/>
          <w:lang w:eastAsia="lt-LT"/>
        </w:rPr>
        <w:t xml:space="preserve"> atveju nuo 2011 m. lapkričio 3 d. (8–10 punktai).</w:t>
      </w:r>
    </w:p>
    <w:p w:rsidR="00DC2221" w:rsidRPr="00DC2221" w:rsidRDefault="00DC2221" w:rsidP="00DC2221">
      <w:pPr>
        <w:ind w:firstLine="540"/>
        <w:rPr>
          <w:rFonts w:eastAsia="Times New Roman" w:cs="Calibri"/>
          <w:lang w:eastAsia="lt-LT"/>
        </w:rPr>
      </w:pPr>
      <w:r w:rsidRPr="00DC2221">
        <w:rPr>
          <w:rFonts w:eastAsia="Times New Roman" w:cs="Calibri"/>
          <w:lang w:eastAsia="lt-LT"/>
        </w:rPr>
        <w:t>Ginčui dėl tokio mokesčių administratoriaus sprendimo pasiekus teismą, šis nutarė sustabdyti bylos nagrinėjimą ir kreiptis į Teisingumo Teismą su prašymu išaiškinti, ar PVM direktyvos 90 straipsnis, siejamas su mokesčių neutralumo ir proporcingumo principais, turi būti aiškinamas taip, kad pagal jį draudžiamas nacionalinės teisės aktas, kaip antai nagrinėjamas pagrindinėje byloje, kuriame numatyta, jog apmokestinamasis asmuo negali patikslinti PVM apmokestinamosios vertės, kai jo skolininkas visiškai arba iš dalies nesumoka sumos, mokėtinos dėl šiuo mokesčiu apmokestinamo sandorio, jei minėtas skolininkas nebėra apmokestinamasis PVM asmuo (16 punktas).</w:t>
      </w:r>
    </w:p>
    <w:p w:rsidR="00DC2221" w:rsidRPr="00DC2221" w:rsidRDefault="00DC2221" w:rsidP="00DC2221">
      <w:pPr>
        <w:ind w:firstLine="540"/>
        <w:rPr>
          <w:rFonts w:eastAsia="Times New Roman" w:cs="Calibri"/>
          <w:lang w:eastAsia="lt-LT"/>
        </w:rPr>
      </w:pPr>
    </w:p>
    <w:p w:rsidR="00DC2221" w:rsidRPr="001362AB" w:rsidRDefault="00DC2221" w:rsidP="001362AB">
      <w:pPr>
        <w:pStyle w:val="Heading3"/>
        <w:ind w:firstLine="567"/>
        <w:rPr>
          <w:rFonts w:cstheme="minorHAnsi"/>
        </w:rPr>
      </w:pPr>
      <w:bookmarkStart w:id="38" w:name="_Toc19278746"/>
      <w:bookmarkStart w:id="39" w:name="_Toc21941955"/>
      <w:r w:rsidRPr="001362AB">
        <w:rPr>
          <w:rFonts w:cstheme="minorHAnsi"/>
        </w:rPr>
        <w:t>Dėl teisės sumažinti apmokestinamąją vertę, kai negaunamas PVM sąskaitoje faktūroje nurodytas atlygis dėl pirkėjo bankroto</w:t>
      </w:r>
      <w:bookmarkEnd w:id="38"/>
      <w:bookmarkEnd w:id="39"/>
    </w:p>
    <w:p w:rsidR="00DC2221" w:rsidRPr="00DC2221" w:rsidRDefault="00DC2221" w:rsidP="00DC2221">
      <w:pPr>
        <w:ind w:firstLine="540"/>
        <w:rPr>
          <w:rFonts w:eastAsia="Times New Roman" w:cs="Calibri"/>
          <w:lang w:eastAsia="lt-LT"/>
        </w:rPr>
      </w:pPr>
    </w:p>
    <w:p w:rsidR="00DC2221" w:rsidRPr="00DC2221" w:rsidRDefault="00DC2221" w:rsidP="00DC2221">
      <w:pPr>
        <w:ind w:firstLine="540"/>
        <w:rPr>
          <w:rFonts w:eastAsia="Times New Roman" w:cs="Calibri"/>
          <w:lang w:eastAsia="lt-LT"/>
        </w:rPr>
      </w:pPr>
      <w:r w:rsidRPr="00DC2221">
        <w:rPr>
          <w:rFonts w:eastAsia="Times New Roman" w:cs="Calibri"/>
          <w:lang w:eastAsia="lt-LT"/>
        </w:rPr>
        <w:t xml:space="preserve">Šiuo klausimu Teisingumo Teismas pirmiausia priminė, kad Direktyvos 2006/112 90 straipsnio 1 dalimi, kurioje nurodyti anuliavimo, atšaukimo, nutraukimo, visiško ar dalinio nesumokėjimo arba kainos sumažinimo įvykdžius sandorį, dėl kurio buvo sumokėtas mokestis, atvejai, valstybės narės įpareigojamos sumažinti apmokestinamąją vertę ir dėl to apmokestinamojo asmens mokėtino PVM sumą kiekvieną kartą, kai sudarius sandorį apmokestinamasis asmuo negauna dalies ar viso atlygio. Šia nuostata įtvirtinamas pagrindinis Direktyvos 2006/112 principas, pagal kurį apmokestinamąją vertę sudaro faktiškai gautas atlygis ir dėl kurio mokesčių administratorius negali gauti didesnės PVM sumos nei ta, kurią gavo apmokestinamasis asmuo (17 punktas). </w:t>
      </w:r>
    </w:p>
    <w:p w:rsidR="00DC2221" w:rsidRPr="00DC2221" w:rsidRDefault="00DC2221" w:rsidP="00DC2221">
      <w:pPr>
        <w:ind w:firstLine="540"/>
        <w:rPr>
          <w:rFonts w:eastAsia="Times New Roman" w:cs="Calibri"/>
          <w:lang w:eastAsia="lt-LT"/>
        </w:rPr>
      </w:pPr>
      <w:r w:rsidRPr="00DC2221">
        <w:rPr>
          <w:rFonts w:eastAsia="Times New Roman" w:cs="Calibri"/>
          <w:lang w:eastAsia="lt-LT"/>
        </w:rPr>
        <w:t xml:space="preserve">Šios direktyvos 90 straipsnio 2 dalyje sandorio kainos visiško ar dalinio nesumokėjimo atveju valstybėms narėms leidžiama nukrypti nuo šios taisyklės (18 punktas). Vis dėlto, kaip nusprendė Teisingumo Teismas, </w:t>
      </w:r>
      <w:r w:rsidRPr="00DC2221">
        <w:rPr>
          <w:rFonts w:eastAsia="Times New Roman" w:cs="Calibri"/>
          <w:u w:val="single"/>
          <w:lang w:eastAsia="lt-LT"/>
        </w:rPr>
        <w:t>ši teisė nukrypti viso ar dalinio nesumokėjimo atvejais, pagrįsta mintimi, kad tam tikrais atvejais ir dėl atitinkamos valstybės narės teisinės situacijos atlygio nesumokėjimą gali būti sunku patikrinti arba jis gali būti tik laikinas</w:t>
      </w:r>
      <w:r w:rsidRPr="00DC2221">
        <w:rPr>
          <w:rFonts w:eastAsia="Times New Roman" w:cs="Calibri"/>
          <w:lang w:eastAsia="lt-LT"/>
        </w:rPr>
        <w:t xml:space="preserve"> (19 punktas). Tokios galimybės nukrypti taikymas turi būti pateisintas tam, kad valstybių narių priimtos priemonės jai įgyvendinti nesužlugdytų Direktyvos 2006/112 mokesčių derinimo tikslo ir kad </w:t>
      </w:r>
      <w:r w:rsidRPr="00DC2221">
        <w:rPr>
          <w:rFonts w:eastAsia="Times New Roman" w:cs="Calibri"/>
          <w:u w:val="single"/>
          <w:lang w:eastAsia="lt-LT"/>
        </w:rPr>
        <w:t>valstybės narės negalėtų paprasčiausiai neleisti sumažinti PVM apmokestinamosios vertės nesumokėjimo atveju</w:t>
      </w:r>
      <w:r w:rsidRPr="00DC2221">
        <w:rPr>
          <w:rFonts w:eastAsia="Times New Roman" w:cs="Calibri"/>
          <w:lang w:eastAsia="lt-LT"/>
        </w:rPr>
        <w:t xml:space="preserve"> (20 punktas). Be to, valstybėms narėms suteikus galimybę neleisti mažinti vertės būtų pažeistas PVM neutralumo principas, kuris reiškia, kad įmonė, kaip mokesčių rinkėja valstybės naudai, iš esmės turi būti atleidžiama nuo vykdant veiklą mokėtino ar sumokėto mokesčio naštos, jei pati įmonės veikla skirta apmokestinamiesiems sandoriams sudaryti (22 punktas).</w:t>
      </w:r>
    </w:p>
    <w:p w:rsidR="00DC2221" w:rsidRPr="00DC2221" w:rsidRDefault="00DC2221" w:rsidP="00DC2221">
      <w:pPr>
        <w:ind w:firstLine="540"/>
        <w:rPr>
          <w:rFonts w:eastAsia="Times New Roman" w:cs="Calibri"/>
          <w:lang w:eastAsia="lt-LT"/>
        </w:rPr>
      </w:pPr>
      <w:r w:rsidRPr="00DC2221">
        <w:rPr>
          <w:rFonts w:eastAsia="Times New Roman" w:cs="Calibri"/>
          <w:lang w:eastAsia="lt-LT"/>
        </w:rPr>
        <w:t>Atitinkamai Teisingumo Teismas nurodė, kad nagrinėtu atveju toks reikalavimas, kaip nustatytasis pagrindinėje byloje nagrinėjamose nacionalinės teisės normose, pagal kurį PVM apmokestinamajai vertei patikslinti įtvirtin</w:t>
      </w:r>
      <w:r w:rsidR="00DE2289">
        <w:rPr>
          <w:rFonts w:eastAsia="Times New Roman" w:cs="Calibri"/>
          <w:lang w:eastAsia="lt-LT"/>
        </w:rPr>
        <w:t>t</w:t>
      </w:r>
      <w:r w:rsidRPr="00DC2221">
        <w:rPr>
          <w:rFonts w:eastAsia="Times New Roman" w:cs="Calibri"/>
          <w:lang w:eastAsia="lt-LT"/>
        </w:rPr>
        <w:t xml:space="preserve">a sąlyga, kad skolininkas tebebūtų apmokestinamasis asmuo, negali būti pateisinamas būtinybe atsižvelgti į netikrumą dėl to, ar nesumokėjimas yra galutinis (23 punktas). Iš tiesų, </w:t>
      </w:r>
      <w:r w:rsidRPr="00DC2221">
        <w:rPr>
          <w:rFonts w:eastAsia="Times New Roman" w:cs="Calibri"/>
          <w:u w:val="single"/>
          <w:lang w:eastAsia="lt-LT"/>
        </w:rPr>
        <w:t>tai, kad skolininkas nustojo būti apmokestinamuoju asmeniu vykstant bankroto procedūrai, veikiau, priešingai, yra elementas, patvirtinantis, kad nesumokėjimas yra galutinis</w:t>
      </w:r>
      <w:r w:rsidRPr="00DC2221">
        <w:rPr>
          <w:rFonts w:eastAsia="Times New Roman" w:cs="Calibri"/>
          <w:lang w:eastAsia="lt-LT"/>
        </w:rPr>
        <w:t xml:space="preserve"> (24 punktas)</w:t>
      </w:r>
    </w:p>
    <w:p w:rsidR="00DC2221" w:rsidRPr="00DC2221" w:rsidRDefault="00DC2221" w:rsidP="00DC2221">
      <w:pPr>
        <w:ind w:firstLine="540"/>
        <w:rPr>
          <w:rFonts w:eastAsia="Times New Roman" w:cs="Calibri"/>
          <w:lang w:eastAsia="lt-LT"/>
        </w:rPr>
      </w:pPr>
    </w:p>
    <w:p w:rsidR="00DC2221" w:rsidRPr="00DC2221" w:rsidRDefault="00DC2221" w:rsidP="00DC2221">
      <w:pPr>
        <w:ind w:firstLine="540"/>
        <w:rPr>
          <w:rFonts w:eastAsia="Times New Roman" w:cs="Calibri"/>
          <w:b/>
          <w:lang w:eastAsia="lt-LT"/>
        </w:rPr>
      </w:pPr>
      <w:r w:rsidRPr="00DC2221">
        <w:rPr>
          <w:rFonts w:eastAsia="Times New Roman" w:cs="Calibri"/>
          <w:b/>
          <w:lang w:eastAsia="lt-LT"/>
        </w:rPr>
        <w:t>Remdamasis šiais motyvais, Teisingumo Teismas (pirmoji kolegija) nusprendė:</w:t>
      </w:r>
    </w:p>
    <w:p w:rsidR="00DC2221" w:rsidRPr="00DC2221" w:rsidRDefault="00DC2221" w:rsidP="00DC2221">
      <w:pPr>
        <w:ind w:firstLine="540"/>
        <w:rPr>
          <w:rFonts w:eastAsia="Times New Roman" w:cs="Calibri"/>
          <w:lang w:eastAsia="lt-LT"/>
        </w:rPr>
      </w:pPr>
    </w:p>
    <w:p w:rsidR="00DC2221" w:rsidRPr="00DC2221" w:rsidRDefault="00DC2221" w:rsidP="00DC2221">
      <w:pPr>
        <w:ind w:firstLine="540"/>
        <w:rPr>
          <w:rFonts w:eastAsia="Times New Roman" w:cs="Calibri"/>
          <w:lang w:eastAsia="lt-LT"/>
        </w:rPr>
      </w:pPr>
      <w:r w:rsidRPr="00DC2221">
        <w:rPr>
          <w:rFonts w:eastAsia="Times New Roman" w:cs="Calibri"/>
          <w:lang w:eastAsia="lt-LT"/>
        </w:rPr>
        <w:t>PVM direktyvos 90 straipsnis turi būti aiškinamas taip, kad pagal jį draudžiamas nacionalinės teisės aktas, kaip antai nagrinėjamas pagrindinėje byloje, kuriame numatyta, jog apmokestinamasis asmuo negali patikslinti pridėtinės vertės mokesčio (PVM) apmokestinamosios vertės, kai jo skolininkas visiškai arba iš dalies nesumoka sumos, mokėtinos dėl šiuo mokesčiu apmokestinamo sandorio, jei minėtas skolininkas nebėra apmokestinamasis PVM asmuo.</w:t>
      </w:r>
    </w:p>
    <w:p w:rsidR="00DC2221" w:rsidRPr="00DC2221" w:rsidRDefault="007D413D" w:rsidP="00DC2221">
      <w:pPr>
        <w:ind w:firstLine="540"/>
        <w:rPr>
          <w:rFonts w:eastAsia="Times New Roman" w:cs="Calibri"/>
          <w:lang w:eastAsia="lt-LT"/>
        </w:rPr>
      </w:pPr>
      <w:hyperlink r:id="rId17" w:history="1">
        <w:r w:rsidR="00DC2221" w:rsidRPr="007B0818">
          <w:rPr>
            <w:rStyle w:val="Hyperlink"/>
            <w:rFonts w:eastAsia="Times New Roman" w:cs="Calibri"/>
            <w:lang w:eastAsia="lt-LT"/>
          </w:rPr>
          <w:t>Prieiga internete</w:t>
        </w:r>
      </w:hyperlink>
    </w:p>
    <w:p w:rsidR="00DC2221" w:rsidRPr="00DC2221" w:rsidRDefault="00DC2221" w:rsidP="00DC2221">
      <w:pPr>
        <w:ind w:firstLine="540"/>
        <w:rPr>
          <w:rFonts w:eastAsia="Times New Roman" w:cs="Calibri"/>
          <w:lang w:eastAsia="lt-LT"/>
        </w:rPr>
      </w:pPr>
    </w:p>
    <w:p w:rsidR="00DC2221" w:rsidRPr="00DC2221" w:rsidRDefault="00DC2221" w:rsidP="00DC2221">
      <w:pPr>
        <w:jc w:val="center"/>
        <w:outlineLvl w:val="1"/>
        <w:rPr>
          <w:rFonts w:eastAsia="Times New Roman" w:cs="Calibri"/>
          <w:b/>
          <w:lang w:eastAsia="lt-LT"/>
        </w:rPr>
      </w:pPr>
      <w:bookmarkStart w:id="40" w:name="_Toc19278747"/>
      <w:bookmarkStart w:id="41" w:name="_Toc21941956"/>
      <w:r w:rsidRPr="00DC2221">
        <w:rPr>
          <w:rFonts w:eastAsia="Times New Roman" w:cs="Calibri"/>
          <w:b/>
          <w:lang w:eastAsia="lt-LT"/>
        </w:rPr>
        <w:t>2019 m. gegužės 2 d. prejudicinis sprendimas byloje C</w:t>
      </w:r>
      <w:r w:rsidRPr="00DC2221">
        <w:rPr>
          <w:rFonts w:ascii="Cambria Math" w:eastAsia="Times New Roman" w:hAnsi="Cambria Math" w:cs="Cambria Math"/>
          <w:b/>
          <w:lang w:eastAsia="lt-LT"/>
        </w:rPr>
        <w:t>‑</w:t>
      </w:r>
      <w:r w:rsidRPr="00DC2221">
        <w:rPr>
          <w:rFonts w:eastAsia="Times New Roman" w:cs="Calibri"/>
          <w:b/>
          <w:lang w:eastAsia="lt-LT"/>
        </w:rPr>
        <w:t>133/18</w:t>
      </w:r>
      <w:bookmarkEnd w:id="40"/>
      <w:bookmarkEnd w:id="41"/>
    </w:p>
    <w:p w:rsidR="00DC2221" w:rsidRPr="00DC2221" w:rsidRDefault="00DC2221" w:rsidP="00DC2221">
      <w:pPr>
        <w:jc w:val="center"/>
        <w:rPr>
          <w:rFonts w:eastAsia="Times New Roman" w:cs="Calibri"/>
          <w:b/>
          <w:i/>
          <w:iCs/>
          <w:lang w:eastAsia="lt-LT"/>
        </w:rPr>
      </w:pPr>
      <w:r w:rsidRPr="00DC2221">
        <w:rPr>
          <w:rFonts w:eastAsia="Times New Roman" w:cs="Calibri"/>
          <w:b/>
          <w:i/>
          <w:iCs/>
          <w:lang w:eastAsia="lt-LT"/>
        </w:rPr>
        <w:t xml:space="preserve">Sea Chefs Cruise Services GmbH </w:t>
      </w:r>
      <w:r w:rsidRPr="00DC2221">
        <w:rPr>
          <w:rFonts w:eastAsia="Times New Roman" w:cs="Calibri"/>
          <w:b/>
          <w:bCs/>
          <w:i/>
          <w:lang w:eastAsia="lt-LT"/>
        </w:rPr>
        <w:t xml:space="preserve">prieš </w:t>
      </w:r>
      <w:r w:rsidRPr="00DC2221">
        <w:rPr>
          <w:rFonts w:eastAsia="Times New Roman" w:cs="Calibri"/>
          <w:b/>
          <w:i/>
          <w:iCs/>
          <w:lang w:eastAsia="lt-LT"/>
        </w:rPr>
        <w:t>Ministre de l’Action et des Comptes publics</w:t>
      </w:r>
    </w:p>
    <w:p w:rsidR="00DC2221" w:rsidRPr="00DC2221" w:rsidRDefault="00DC2221" w:rsidP="00DC2221">
      <w:pPr>
        <w:ind w:firstLine="540"/>
        <w:rPr>
          <w:rFonts w:eastAsia="Times New Roman" w:cs="Calibri"/>
          <w:lang w:eastAsia="lt-LT"/>
        </w:rPr>
      </w:pPr>
    </w:p>
    <w:p w:rsidR="00DC2221" w:rsidRPr="00DC2221" w:rsidRDefault="00DC2221" w:rsidP="00DC2221">
      <w:pPr>
        <w:ind w:firstLine="540"/>
        <w:rPr>
          <w:rFonts w:eastAsia="Times New Roman" w:cs="Calibri"/>
          <w:lang w:eastAsia="lt-LT"/>
        </w:rPr>
      </w:pPr>
      <w:r w:rsidRPr="00DC2221">
        <w:rPr>
          <w:rFonts w:eastAsia="Times New Roman" w:cs="Calibri"/>
          <w:lang w:eastAsia="lt-LT"/>
        </w:rPr>
        <w:t xml:space="preserve">Prašymas priimti prejudicinį sprendimą pateiktas dėl 2008 m. vasario 12 d. Tarybos direktyvos 2008/9/EB, nustatančios Direktyvoje 2006/112/EB numatyto pridėtinės vertės mokesčio grąžinimo apmokestinamiesiems asmenims, kurie nėra įsisteigę PVM grąžinančioje valstybėje narėje, o yra įsisteigę kitoje valstybėje narėje, išsamias taisykles, 20 straipsnio 2 dalies išaiškinimo. Šis prašymas buvo pateiktas nagrinėjant </w:t>
      </w:r>
      <w:r w:rsidRPr="00DC2221">
        <w:rPr>
          <w:rFonts w:eastAsia="Times New Roman" w:cs="Calibri"/>
          <w:i/>
          <w:lang w:eastAsia="lt-LT"/>
        </w:rPr>
        <w:t>Sea Chefs Cruise Services GmbH</w:t>
      </w:r>
      <w:r w:rsidRPr="00DC2221">
        <w:rPr>
          <w:rFonts w:eastAsia="Times New Roman" w:cs="Calibri"/>
          <w:lang w:eastAsia="lt-LT"/>
        </w:rPr>
        <w:t xml:space="preserve"> (toliau – </w:t>
      </w:r>
      <w:r w:rsidRPr="00DC2221">
        <w:rPr>
          <w:rFonts w:eastAsia="Times New Roman" w:cs="Calibri"/>
          <w:i/>
          <w:lang w:eastAsia="lt-LT"/>
        </w:rPr>
        <w:t>Sea Chefs</w:t>
      </w:r>
      <w:r w:rsidRPr="00DC2221">
        <w:rPr>
          <w:rFonts w:eastAsia="Times New Roman" w:cs="Calibri"/>
          <w:lang w:eastAsia="lt-LT"/>
        </w:rPr>
        <w:t xml:space="preserve">), Vokietijoje įsteigtos bendrovės, ir Prancūzijos mokesčių administratoriaus ginčą dėl pastarojo sprendimo atmesti </w:t>
      </w:r>
      <w:r w:rsidRPr="00DC2221">
        <w:rPr>
          <w:rFonts w:eastAsia="Times New Roman" w:cs="Calibri"/>
          <w:i/>
          <w:lang w:eastAsia="lt-LT"/>
        </w:rPr>
        <w:t xml:space="preserve">Sea Chefs </w:t>
      </w:r>
      <w:r w:rsidRPr="00DC2221">
        <w:rPr>
          <w:rFonts w:eastAsia="Times New Roman" w:cs="Calibri"/>
          <w:lang w:eastAsia="lt-LT"/>
        </w:rPr>
        <w:t>prašymą grąžinti pridėtinės vertės mokestį (PVM), kurį ši bendrovė sumokėjo už 2014 m. (1 ir 2 punktai).</w:t>
      </w:r>
    </w:p>
    <w:p w:rsidR="00DC2221" w:rsidRPr="00DC2221" w:rsidRDefault="00DC2221" w:rsidP="00DC2221">
      <w:pPr>
        <w:ind w:firstLine="540"/>
        <w:rPr>
          <w:rFonts w:eastAsia="Times New Roman" w:cs="Calibri"/>
          <w:lang w:eastAsia="lt-LT"/>
        </w:rPr>
      </w:pPr>
      <w:r w:rsidRPr="00DC2221">
        <w:rPr>
          <w:rFonts w:eastAsia="Times New Roman" w:cs="Calibri"/>
          <w:lang w:eastAsia="lt-LT"/>
        </w:rPr>
        <w:t xml:space="preserve">Pagrindinėje byloje nustatyta, kad 2015 m. rugsėjo 17 d. </w:t>
      </w:r>
      <w:r w:rsidRPr="00DC2221">
        <w:rPr>
          <w:rFonts w:eastAsia="Times New Roman" w:cs="Calibri"/>
          <w:i/>
          <w:lang w:eastAsia="lt-LT"/>
        </w:rPr>
        <w:t>Sea Chefs</w:t>
      </w:r>
      <w:r w:rsidRPr="00DC2221">
        <w:rPr>
          <w:rFonts w:eastAsia="Times New Roman" w:cs="Calibri"/>
          <w:lang w:eastAsia="lt-LT"/>
        </w:rPr>
        <w:t xml:space="preserve">, bendrovė, įsteigta Vokietijoje, pateikė prašymą grąžinti PVM kreditą, kurį ji turėjo už laikotarpį nuo 2014 m. sausio 1 d. iki gruodžio 31 d., per elektroninį portalą, kuriuo galėjo naudotis savo įsisteigimo valstybėje narėje. 2015 m. gruodžio 14 d. Prancūzijos mokesčių administratorius (toliau – mokesčių administratorius) išsiuntė elektroninį laišką ir paprašė </w:t>
      </w:r>
      <w:r w:rsidRPr="00DC2221">
        <w:rPr>
          <w:rFonts w:eastAsia="Times New Roman" w:cs="Calibri"/>
          <w:i/>
          <w:lang w:eastAsia="lt-LT"/>
        </w:rPr>
        <w:t>Sea Chefs</w:t>
      </w:r>
      <w:r w:rsidRPr="00DC2221">
        <w:rPr>
          <w:rFonts w:eastAsia="Times New Roman" w:cs="Calibri"/>
          <w:lang w:eastAsia="lt-LT"/>
        </w:rPr>
        <w:t xml:space="preserve"> papildomos informacijos. Negavęs atsakymo iš šios bendrovės per nustatytą vieno mėnesio terminą, šis administratorius 2016 m. sausio 29 d. atmetė šios bendrovės pateiktą prašymą grąžinti PVM (25–27 punktai).</w:t>
      </w:r>
    </w:p>
    <w:p w:rsidR="00DC2221" w:rsidRPr="00DC2221" w:rsidRDefault="00DC2221" w:rsidP="00DC2221">
      <w:pPr>
        <w:ind w:firstLine="540"/>
        <w:rPr>
          <w:rFonts w:eastAsia="Times New Roman" w:cs="Calibri"/>
          <w:lang w:eastAsia="lt-LT"/>
        </w:rPr>
      </w:pPr>
      <w:r w:rsidRPr="00DC2221">
        <w:rPr>
          <w:rFonts w:eastAsia="Times New Roman" w:cs="Calibri"/>
          <w:lang w:eastAsia="lt-LT"/>
        </w:rPr>
        <w:t xml:space="preserve">Ginčui pasiekus teismą, šis nutarė užduoti Teisingumo Teismui klausimą, </w:t>
      </w:r>
      <w:r w:rsidR="007B0818">
        <w:rPr>
          <w:rFonts w:eastAsia="Times New Roman" w:cs="Calibri"/>
          <w:lang w:eastAsia="lt-LT"/>
        </w:rPr>
        <w:t>ar Direktyvos 2008/9 20 </w:t>
      </w:r>
      <w:r w:rsidRPr="00DC2221">
        <w:rPr>
          <w:rFonts w:eastAsia="Times New Roman" w:cs="Calibri"/>
          <w:lang w:eastAsia="lt-LT"/>
        </w:rPr>
        <w:t>straipsnio 2 dalį reikia aiškinti taip, kad šioje nuostatoje numatytas vieno mėnesio laikotarpis, skirtas pateikti PVM grąžinančiai valstybei papildomos informacijos, kurios ji prašo, yra naikinamasis terminas, kuris reiškia, kad, jei šis terminas viršytas arba atsakymo nėra, apmokestinamasis asmuo prarado galimybę patikslinti prašymą grąžinti PVM tiesiogiai nacionaliniam teismui pateikdamas papildomos informacijos, įrodančios, kad egzistuoja jo teisė į PVM grąžinimą (32 punktas).</w:t>
      </w:r>
    </w:p>
    <w:p w:rsidR="00DC2221" w:rsidRPr="00DC2221" w:rsidRDefault="00DC2221" w:rsidP="00DC2221">
      <w:pPr>
        <w:ind w:firstLine="540"/>
        <w:rPr>
          <w:rFonts w:eastAsia="Times New Roman" w:cs="Calibri"/>
          <w:lang w:eastAsia="lt-LT"/>
        </w:rPr>
      </w:pPr>
    </w:p>
    <w:p w:rsidR="00DC2221" w:rsidRPr="001362AB" w:rsidRDefault="007B0818" w:rsidP="001362AB">
      <w:pPr>
        <w:pStyle w:val="Heading3"/>
        <w:ind w:firstLine="567"/>
        <w:rPr>
          <w:rFonts w:cstheme="minorHAnsi"/>
        </w:rPr>
      </w:pPr>
      <w:bookmarkStart w:id="42" w:name="_Toc19278748"/>
      <w:bookmarkStart w:id="43" w:name="_Toc21941957"/>
      <w:r w:rsidRPr="001362AB">
        <w:rPr>
          <w:rFonts w:cstheme="minorHAnsi"/>
        </w:rPr>
        <w:t xml:space="preserve">Dėl </w:t>
      </w:r>
      <w:r w:rsidR="00DC2221" w:rsidRPr="001362AB">
        <w:rPr>
          <w:rFonts w:cstheme="minorHAnsi"/>
        </w:rPr>
        <w:t>kitoje valstybėje narėje įsisteigusiam apmokestinamajam asmeniui</w:t>
      </w:r>
      <w:r w:rsidR="00E252B0" w:rsidRPr="001362AB">
        <w:rPr>
          <w:rFonts w:cstheme="minorHAnsi"/>
        </w:rPr>
        <w:t>,</w:t>
      </w:r>
      <w:r w:rsidR="00DC2221" w:rsidRPr="001362AB">
        <w:rPr>
          <w:rFonts w:cstheme="minorHAnsi"/>
        </w:rPr>
        <w:t xml:space="preserve"> </w:t>
      </w:r>
      <w:r w:rsidR="00E252B0" w:rsidRPr="001362AB">
        <w:rPr>
          <w:rFonts w:cstheme="minorHAnsi"/>
        </w:rPr>
        <w:t xml:space="preserve">prašančiam grąžinti PVM, </w:t>
      </w:r>
      <w:r w:rsidR="00DC2221" w:rsidRPr="001362AB">
        <w:rPr>
          <w:rFonts w:cstheme="minorHAnsi"/>
        </w:rPr>
        <w:t xml:space="preserve">nustatyto vieno mėnesio termino (numatyto Direktyvos 2008/9 20 str. 2 d.) papildomai informacijai ar paaiškinimams pateikti </w:t>
      </w:r>
      <w:r w:rsidR="00DE2289" w:rsidRPr="001362AB">
        <w:rPr>
          <w:rFonts w:cstheme="minorHAnsi"/>
        </w:rPr>
        <w:t>ne</w:t>
      </w:r>
      <w:r w:rsidR="00DC2221" w:rsidRPr="001362AB">
        <w:rPr>
          <w:rFonts w:cstheme="minorHAnsi"/>
        </w:rPr>
        <w:t>pripažinimo naikinamuoju terminu</w:t>
      </w:r>
      <w:bookmarkEnd w:id="42"/>
      <w:bookmarkEnd w:id="43"/>
    </w:p>
    <w:p w:rsidR="00DC2221" w:rsidRPr="00DC2221" w:rsidRDefault="00DC2221" w:rsidP="00DC2221">
      <w:pPr>
        <w:ind w:firstLine="540"/>
        <w:rPr>
          <w:rFonts w:eastAsia="Times New Roman" w:cs="Calibri"/>
          <w:lang w:eastAsia="lt-LT"/>
        </w:rPr>
      </w:pPr>
    </w:p>
    <w:p w:rsidR="00DC2221" w:rsidRPr="00DC2221" w:rsidRDefault="00DC2221" w:rsidP="00DC2221">
      <w:pPr>
        <w:ind w:firstLine="540"/>
        <w:rPr>
          <w:rFonts w:eastAsia="Times New Roman" w:cs="Calibri"/>
          <w:lang w:eastAsia="lt-LT"/>
        </w:rPr>
      </w:pPr>
      <w:r w:rsidRPr="00DC2221">
        <w:rPr>
          <w:rFonts w:eastAsia="Times New Roman" w:cs="Calibri"/>
          <w:lang w:eastAsia="lt-LT"/>
        </w:rPr>
        <w:t xml:space="preserve">Pagal PVM direktyvos 170 straipsnio a punktą kartu su direktyvos 169 straipsniu ir Direktyvos 2008/9 3 ir 5 straipsniais kiekvienas apmokestinamasis asmuo, kuris nėra įsisteigęs toje valstybėje narėje, kurioje jis perka prekes ir paslaugas arba į kurią importuoja PVM apmokestinamas prekes, turi teisę susigrąžinti šį PVM, jei prekės ir paslaugos naudojamos sandoriams, susijusiems su veikla, </w:t>
      </w:r>
      <w:r w:rsidR="007B0818">
        <w:rPr>
          <w:rFonts w:eastAsia="Times New Roman" w:cs="Calibri"/>
          <w:lang w:eastAsia="lt-LT"/>
        </w:rPr>
        <w:t>nurodyta pirmosios direktyvos 9 </w:t>
      </w:r>
      <w:r w:rsidRPr="00DC2221">
        <w:rPr>
          <w:rFonts w:eastAsia="Times New Roman" w:cs="Calibri"/>
          <w:lang w:eastAsia="lt-LT"/>
        </w:rPr>
        <w:t>straipsnio 1 dalies antroje pastraipoje, atliekamiems ne valstybėje narėje, kurioje šis mokestis yra mokėtinas arba sumokėtas, už kuriuos būtų galima atskaityti PVM, jei jie būtų vykdomi toje valstybėje narėje, arba neapmokestinamiesiems sandoriams, nurodytiems 169 straipsnio b ir c punktuose. Kita vertus, PVM direktyvos 171 straipsnyje daroma nuoroda į Direktyvą 2008/9, kiek tai susiję su naudojimosi šia teise tvarka (33 punktas).</w:t>
      </w:r>
    </w:p>
    <w:p w:rsidR="00DC2221" w:rsidRPr="00DC2221" w:rsidRDefault="00DC2221" w:rsidP="00DC2221">
      <w:pPr>
        <w:ind w:firstLine="540"/>
        <w:rPr>
          <w:rFonts w:eastAsia="Times New Roman" w:cs="Calibri"/>
          <w:lang w:eastAsia="lt-LT"/>
        </w:rPr>
      </w:pPr>
      <w:r w:rsidRPr="00DC2221">
        <w:rPr>
          <w:rFonts w:eastAsia="Times New Roman" w:cs="Calibri"/>
          <w:lang w:eastAsia="lt-LT"/>
        </w:rPr>
        <w:t>Kalbėdamas apie pasinaudojimo teise į PVM grąžinimą tvarką Teisingumo Teismas pažymėjo, viena vertus, kad Direktyvos 2008/9 15 straipsnio 1 dalyje nustatyta nemažai įpareigojimų, kuriuos apmokestinamasis asmuo, patenkantis į šios direktyvos taikymo sritį, turi įvykdyti, kad galėtų pasinaudoti grąžinimu, t. y. jis savo įsisteigimo valstybei narei turi pateikti prašymą grąžinti PVM „ne vėliau kaip“ šioje nuostatoje numatytą dieną ir pateikti informaciją, kurios reikalaujama p</w:t>
      </w:r>
      <w:r w:rsidR="007B0818">
        <w:rPr>
          <w:rFonts w:eastAsia="Times New Roman" w:cs="Calibri"/>
          <w:lang w:eastAsia="lt-LT"/>
        </w:rPr>
        <w:t>agal šios direktyvos 8, 9 ir 11 </w:t>
      </w:r>
      <w:r w:rsidRPr="00DC2221">
        <w:rPr>
          <w:rFonts w:eastAsia="Times New Roman" w:cs="Calibri"/>
          <w:lang w:eastAsia="lt-LT"/>
        </w:rPr>
        <w:t>straipsnius. Kita vertus, pagal šios direktyvos 20 straipsnį, kai PVM grąžinanti valstybė narė mano, kad ji neturi visos reikalingos informacijos, kuria remdamasi ji priimtų sprendimą dėl viso prašymo grąžinti PVM ar jo dalies, ji gali paprašyti visų pirma pareiškėjo arba įsisteigimo valstybės narės kompetentingų institucijų pateikti papildomos informacijos per nurodytą vieno mėnesio terminą nuo dienos, kai prašymo pateikti informacijos adresatas šį prašymą gavo (37 punktas).</w:t>
      </w:r>
    </w:p>
    <w:p w:rsidR="00DC2221" w:rsidRPr="00DC2221" w:rsidRDefault="00DC2221" w:rsidP="004246C1">
      <w:pPr>
        <w:ind w:firstLine="540"/>
        <w:rPr>
          <w:rFonts w:eastAsia="Times New Roman" w:cs="Calibri"/>
          <w:lang w:eastAsia="lt-LT"/>
        </w:rPr>
      </w:pPr>
      <w:r w:rsidRPr="00DC2221">
        <w:rPr>
          <w:rFonts w:eastAsia="Times New Roman" w:cs="Calibri"/>
          <w:lang w:eastAsia="lt-LT"/>
        </w:rPr>
        <w:t xml:space="preserve">Iš pastarosios nuostatos formuluotės savaime neaišku, ar joje numatytas terminas yra naikinamasis, ar ne. </w:t>
      </w:r>
      <w:r w:rsidRPr="00DC2221">
        <w:rPr>
          <w:rFonts w:eastAsia="Times New Roman" w:cs="Calibri"/>
          <w:u w:val="single"/>
          <w:lang w:eastAsia="lt-LT"/>
        </w:rPr>
        <w:t>Vis dėlto iš šios nuostatos konteksto Direktyvoje 2008/9 matyti, kad šis terminas nėra privalomas</w:t>
      </w:r>
      <w:r w:rsidR="007B0818">
        <w:rPr>
          <w:rFonts w:eastAsia="Times New Roman" w:cs="Calibri"/>
          <w:lang w:eastAsia="lt-LT"/>
        </w:rPr>
        <w:t xml:space="preserve"> (38 </w:t>
      </w:r>
      <w:r w:rsidRPr="00DC2221">
        <w:rPr>
          <w:rFonts w:eastAsia="Times New Roman" w:cs="Calibri"/>
          <w:lang w:eastAsia="lt-LT"/>
        </w:rPr>
        <w:t>punktas).</w:t>
      </w:r>
      <w:r w:rsidR="004246C1">
        <w:rPr>
          <w:rFonts w:eastAsia="Times New Roman" w:cs="Calibri"/>
          <w:lang w:eastAsia="lt-LT"/>
        </w:rPr>
        <w:t xml:space="preserve"> </w:t>
      </w:r>
      <w:r w:rsidR="004246C1" w:rsidRPr="004246C1">
        <w:rPr>
          <w:rFonts w:eastAsia="Times New Roman" w:cs="Calibri"/>
          <w:lang w:eastAsia="lt-LT"/>
        </w:rPr>
        <w:t>Visų pirma, skirtingai nei Direktyvos 2008/9 15 straipsnio 1 dalyje, šios direktyvos 20 straipsnio 2 dalyje nėra formuluotės „ne vėliau kaip“</w:t>
      </w:r>
      <w:r w:rsidR="004246C1">
        <w:rPr>
          <w:rFonts w:eastAsia="Times New Roman" w:cs="Calibri"/>
          <w:lang w:eastAsia="lt-LT"/>
        </w:rPr>
        <w:t xml:space="preserve"> (40 punktas)</w:t>
      </w:r>
      <w:r w:rsidR="004246C1" w:rsidRPr="004246C1">
        <w:rPr>
          <w:rFonts w:eastAsia="Times New Roman" w:cs="Calibri"/>
          <w:lang w:eastAsia="lt-LT"/>
        </w:rPr>
        <w:t>.</w:t>
      </w:r>
      <w:r w:rsidR="004246C1">
        <w:rPr>
          <w:rFonts w:eastAsia="Times New Roman" w:cs="Calibri"/>
          <w:lang w:eastAsia="lt-LT"/>
        </w:rPr>
        <w:t xml:space="preserve"> T</w:t>
      </w:r>
      <w:r w:rsidR="004246C1" w:rsidRPr="004246C1">
        <w:rPr>
          <w:rFonts w:eastAsia="Times New Roman" w:cs="Calibri"/>
          <w:lang w:eastAsia="lt-LT"/>
        </w:rPr>
        <w:t>ai, kad nėra tokios formuluotės, Direktyvos 2008/9 aplinkybėmis reiškia, kad Sąjungos teisės aktų leidėjas neketino nustatyti naikinamojo termino šios direktyvos 20 straipsnio 2 dalyje</w:t>
      </w:r>
      <w:r w:rsidR="004246C1">
        <w:rPr>
          <w:rFonts w:eastAsia="Times New Roman" w:cs="Calibri"/>
          <w:lang w:eastAsia="lt-LT"/>
        </w:rPr>
        <w:t xml:space="preserve"> (41 punktas)</w:t>
      </w:r>
      <w:r w:rsidR="004246C1" w:rsidRPr="004246C1">
        <w:rPr>
          <w:rFonts w:eastAsia="Times New Roman" w:cs="Calibri"/>
          <w:lang w:eastAsia="lt-LT"/>
        </w:rPr>
        <w:t>.</w:t>
      </w:r>
      <w:r w:rsidR="004246C1">
        <w:rPr>
          <w:rFonts w:eastAsia="Times New Roman" w:cs="Calibri"/>
          <w:lang w:eastAsia="lt-LT"/>
        </w:rPr>
        <w:t xml:space="preserve"> </w:t>
      </w:r>
      <w:r w:rsidR="004246C1">
        <w:t xml:space="preserve">Antra, dėl Direktyvos 2008/9 26 straipsnio, kuriuo kartu su jos 3 konstatuojamąja dalimi siekiama sustiprinti apmokestinamojo asmens poziciją, be kita ko, jam skiriant delspinigius, jei PVM grąžinamas pavėluotai, iš to straipsnio antros pastraipos matyti, kad tais atvejais, kai PVM grąžinamas pavėluotai dėl to, kad apmokestinamasis asmuo nepateikė grąžinančiai valstybei narei per nustatytą terminą prašomos papildomos informacijos, ši valstybė narė šiam apmokestinamajam asmeniui neprivalo mokėti delspinigių. Tuo atveju, jei vieno mėnesio laikotarpis, nurodytas šios direktyvos 20 straipsnio 2 dalyje, būtų naikinamasis terminas, pavėluotas atsakymas į prašymą pateikti papildomos informacijos neišvengiamai reikštų prašymo grąžinti PVM atmetimą, o ne pavėluotą PVM grąžinimą be delspinigių. Iš to matyti, kad 20 straipsnio 2 dalį aiškinant taip, kad šis terminas yra naikinamasis, tos pačios direktyvos 26 straipsnio antra pastraipa netektų prasmės (45 punktas). </w:t>
      </w:r>
      <w:r w:rsidRPr="00DC2221">
        <w:rPr>
          <w:rFonts w:eastAsia="Times New Roman" w:cs="Calibri"/>
          <w:u w:val="single"/>
          <w:lang w:eastAsia="lt-LT"/>
        </w:rPr>
        <w:t>Vieno mėnesio laikotarpis, numatytas Direktyvos 2008/9 20 straipsnio 2 dalyje, skirtas pateikti PVM grąžinančiai valstybei narei papildomos informacijos, kurios ji prašo, nėra naikinamasis terminas</w:t>
      </w:r>
      <w:r w:rsidR="007B0818">
        <w:rPr>
          <w:rFonts w:eastAsia="Times New Roman" w:cs="Calibri"/>
          <w:lang w:eastAsia="lt-LT"/>
        </w:rPr>
        <w:t xml:space="preserve"> (46 </w:t>
      </w:r>
      <w:r w:rsidRPr="00DC2221">
        <w:rPr>
          <w:rFonts w:eastAsia="Times New Roman" w:cs="Calibri"/>
          <w:lang w:eastAsia="lt-LT"/>
        </w:rPr>
        <w:t>punktas).</w:t>
      </w:r>
    </w:p>
    <w:p w:rsidR="00DC2221" w:rsidRPr="00DC2221" w:rsidRDefault="00DC2221" w:rsidP="00DC2221">
      <w:pPr>
        <w:ind w:firstLine="540"/>
        <w:rPr>
          <w:rFonts w:eastAsia="Times New Roman" w:cs="Calibri"/>
          <w:b/>
          <w:lang w:eastAsia="lt-LT"/>
        </w:rPr>
      </w:pPr>
    </w:p>
    <w:p w:rsidR="00DC2221" w:rsidRPr="00DC2221" w:rsidRDefault="00DC2221" w:rsidP="00DC2221">
      <w:pPr>
        <w:ind w:firstLine="540"/>
        <w:rPr>
          <w:rFonts w:eastAsia="Times New Roman" w:cs="Calibri"/>
          <w:b/>
          <w:lang w:eastAsia="lt-LT"/>
        </w:rPr>
      </w:pPr>
      <w:r w:rsidRPr="00DC2221">
        <w:rPr>
          <w:rFonts w:eastAsia="Times New Roman" w:cs="Calibri"/>
          <w:b/>
          <w:lang w:eastAsia="lt-LT"/>
        </w:rPr>
        <w:t>Remdamasis šiais motyvais, Teisingumo Teismas (trečioji kolegija) nusprendė:</w:t>
      </w:r>
    </w:p>
    <w:p w:rsidR="00DC2221" w:rsidRPr="00DC2221" w:rsidRDefault="00DC2221" w:rsidP="00DC2221">
      <w:pPr>
        <w:ind w:firstLine="540"/>
        <w:rPr>
          <w:rFonts w:eastAsia="Times New Roman" w:cs="Calibri"/>
          <w:lang w:eastAsia="lt-LT"/>
        </w:rPr>
      </w:pPr>
    </w:p>
    <w:p w:rsidR="00DC2221" w:rsidRPr="00DC2221" w:rsidRDefault="00DC2221" w:rsidP="00DC2221">
      <w:pPr>
        <w:ind w:firstLine="540"/>
        <w:rPr>
          <w:rFonts w:eastAsia="Times New Roman" w:cs="Calibri"/>
          <w:lang w:eastAsia="lt-LT"/>
        </w:rPr>
      </w:pPr>
      <w:r w:rsidRPr="00DC2221">
        <w:rPr>
          <w:rFonts w:eastAsia="Times New Roman" w:cs="Calibri"/>
          <w:lang w:eastAsia="lt-LT"/>
        </w:rPr>
        <w:t xml:space="preserve">Direktyvos 2008/9 20 straipsnio 2 dalį reikia aiškinti taip, kad šioje nuostatoje numatytas vieno mėnesio terminas pateikti PVM grąžinančiai valstybei narei papildomos informacijos, kurios ji prašo, </w:t>
      </w:r>
      <w:r w:rsidRPr="00DC2221">
        <w:rPr>
          <w:rFonts w:eastAsia="Times New Roman" w:cs="Calibri"/>
          <w:u w:val="single"/>
          <w:lang w:eastAsia="lt-LT"/>
        </w:rPr>
        <w:t>nėra naikinamasis terminas</w:t>
      </w:r>
      <w:r w:rsidRPr="00DC2221">
        <w:rPr>
          <w:rFonts w:eastAsia="Times New Roman" w:cs="Calibri"/>
          <w:lang w:eastAsia="lt-LT"/>
        </w:rPr>
        <w:t>, kuris reiškia, kad, viršijus šį terminą arba nepateikus atsakymo, apmokestinamasis asmuo praranda galimybę tikslinti savo prašymą grąžinti PVM pateikdamas tiesiogiai nacionaliniam teismui papildomos informacijos, galinčios įrodyti, kad egzistuoja jo teisė susigrąžinti PVM.</w:t>
      </w:r>
    </w:p>
    <w:p w:rsidR="00DC2221" w:rsidRPr="00DC2221" w:rsidRDefault="007D413D" w:rsidP="00DC2221">
      <w:pPr>
        <w:ind w:firstLine="540"/>
        <w:rPr>
          <w:rFonts w:eastAsia="Times New Roman" w:cs="Calibri"/>
          <w:lang w:eastAsia="lt-LT"/>
        </w:rPr>
      </w:pPr>
      <w:hyperlink r:id="rId18" w:history="1">
        <w:r w:rsidR="00DC2221" w:rsidRPr="007B0818">
          <w:rPr>
            <w:rStyle w:val="Hyperlink"/>
            <w:rFonts w:eastAsia="Times New Roman" w:cs="Calibri"/>
            <w:lang w:eastAsia="lt-LT"/>
          </w:rPr>
          <w:t>Prieiga internete</w:t>
        </w:r>
      </w:hyperlink>
    </w:p>
    <w:p w:rsidR="00DC2221" w:rsidRPr="00DC2221" w:rsidRDefault="00DC2221" w:rsidP="00DC2221">
      <w:pPr>
        <w:ind w:firstLine="540"/>
        <w:rPr>
          <w:rFonts w:eastAsia="Times New Roman" w:cs="Calibri"/>
          <w:lang w:eastAsia="lt-LT"/>
        </w:rPr>
      </w:pPr>
    </w:p>
    <w:p w:rsidR="00DC2221" w:rsidRPr="00DC2221" w:rsidRDefault="00DC2221" w:rsidP="00DC2221">
      <w:pPr>
        <w:jc w:val="center"/>
        <w:outlineLvl w:val="1"/>
        <w:rPr>
          <w:rFonts w:eastAsia="Times New Roman" w:cs="Calibri"/>
          <w:b/>
          <w:lang w:eastAsia="lt-LT"/>
        </w:rPr>
      </w:pPr>
      <w:bookmarkStart w:id="44" w:name="_Toc19278749"/>
      <w:bookmarkStart w:id="45" w:name="_Toc21941958"/>
      <w:r w:rsidRPr="00DC2221">
        <w:rPr>
          <w:rFonts w:eastAsia="Times New Roman" w:cs="Calibri"/>
          <w:b/>
          <w:lang w:eastAsia="lt-LT"/>
        </w:rPr>
        <w:t>2019 m. gegužės 2 d. prejudicinis sprendimas byloje C</w:t>
      </w:r>
      <w:r w:rsidRPr="00DC2221">
        <w:rPr>
          <w:rFonts w:ascii="Cambria Math" w:eastAsia="Times New Roman" w:hAnsi="Cambria Math" w:cs="Cambria Math"/>
          <w:b/>
          <w:lang w:eastAsia="lt-LT"/>
        </w:rPr>
        <w:t>‑</w:t>
      </w:r>
      <w:r w:rsidRPr="00DC2221">
        <w:rPr>
          <w:rFonts w:eastAsia="Times New Roman" w:cs="Calibri"/>
          <w:b/>
          <w:lang w:eastAsia="lt-LT"/>
        </w:rPr>
        <w:t>265/18</w:t>
      </w:r>
      <w:bookmarkEnd w:id="44"/>
      <w:bookmarkEnd w:id="45"/>
    </w:p>
    <w:p w:rsidR="00DC2221" w:rsidRPr="00DC2221" w:rsidRDefault="00DC2221" w:rsidP="00DC2221">
      <w:pPr>
        <w:ind w:firstLine="540"/>
        <w:jc w:val="center"/>
        <w:rPr>
          <w:rFonts w:eastAsia="Times New Roman" w:cs="Calibri"/>
          <w:b/>
          <w:i/>
          <w:iCs/>
          <w:lang w:eastAsia="lt-LT"/>
        </w:rPr>
      </w:pPr>
      <w:r w:rsidRPr="00DC2221">
        <w:rPr>
          <w:rFonts w:eastAsia="Times New Roman" w:cs="Calibri"/>
          <w:b/>
          <w:i/>
          <w:iCs/>
          <w:lang w:eastAsia="lt-LT"/>
        </w:rPr>
        <w:t>Valstybinė mokesčių inspekcija prie Lietuvos Respublikos finansų ministerijos</w:t>
      </w:r>
      <w:r w:rsidRPr="00DC2221">
        <w:rPr>
          <w:rFonts w:eastAsia="Times New Roman" w:cs="Calibri"/>
          <w:b/>
          <w:bCs/>
          <w:i/>
          <w:lang w:eastAsia="lt-LT"/>
        </w:rPr>
        <w:t xml:space="preserve"> prieš</w:t>
      </w:r>
      <w:r w:rsidRPr="00DC2221">
        <w:rPr>
          <w:rFonts w:eastAsia="Times New Roman" w:cs="Calibri"/>
          <w:b/>
          <w:i/>
          <w:lang w:eastAsia="lt-LT"/>
        </w:rPr>
        <w:t xml:space="preserve"> </w:t>
      </w:r>
      <w:r w:rsidRPr="00DC2221">
        <w:rPr>
          <w:rFonts w:eastAsia="Times New Roman" w:cs="Calibri"/>
          <w:b/>
          <w:i/>
          <w:iCs/>
          <w:lang w:eastAsia="lt-LT"/>
        </w:rPr>
        <w:t>A. J.</w:t>
      </w:r>
    </w:p>
    <w:p w:rsidR="00DC2221" w:rsidRPr="00DC2221" w:rsidRDefault="00DC2221" w:rsidP="00DC2221">
      <w:pPr>
        <w:ind w:firstLine="540"/>
        <w:rPr>
          <w:rFonts w:eastAsia="Times New Roman" w:cs="Calibri"/>
          <w:lang w:eastAsia="lt-LT"/>
        </w:rPr>
      </w:pPr>
    </w:p>
    <w:p w:rsidR="00DC2221" w:rsidRPr="00DC2221" w:rsidRDefault="00DC2221" w:rsidP="00DC2221">
      <w:pPr>
        <w:ind w:firstLine="540"/>
        <w:rPr>
          <w:rFonts w:eastAsia="Times New Roman" w:cs="Calibri"/>
          <w:lang w:eastAsia="lt-LT"/>
        </w:rPr>
      </w:pPr>
      <w:r w:rsidRPr="00DC2221">
        <w:rPr>
          <w:rFonts w:eastAsia="Times New Roman" w:cs="Calibri"/>
          <w:lang w:eastAsia="lt-LT"/>
        </w:rPr>
        <w:t>Prašymas priimti prejudicinį sprendimą buvo pateiktas dėl 2006 m. lapkričio 28 d. Tarybos direktyvos 2006/112/EB dėl pridėtinės vertės mokesčio bendros sistemos (toliau – ir PVM direktyva) 282–292 straipsnių išaiškinimo. Šis prašymas pateiktas nagrinėjant ginčą tarp Valstybinės mokesčių inspekcijos prie Lietuvos Respublikos fi</w:t>
      </w:r>
      <w:r w:rsidR="007D6DAA">
        <w:rPr>
          <w:rFonts w:eastAsia="Times New Roman" w:cs="Calibri"/>
          <w:lang w:eastAsia="lt-LT"/>
        </w:rPr>
        <w:t xml:space="preserve">nansų ministerijos (toliau – </w:t>
      </w:r>
      <w:r w:rsidRPr="00DC2221">
        <w:rPr>
          <w:rFonts w:eastAsia="Times New Roman" w:cs="Calibri"/>
          <w:lang w:eastAsia="lt-LT"/>
        </w:rPr>
        <w:t>Inspekcija) ir A. J. dėl atsisakymo neapmokestinti pridėtin</w:t>
      </w:r>
      <w:r w:rsidR="007D6DAA">
        <w:rPr>
          <w:rFonts w:eastAsia="Times New Roman" w:cs="Calibri"/>
          <w:lang w:eastAsia="lt-LT"/>
        </w:rPr>
        <w:t xml:space="preserve">ės vertės mokesčiu (toliau – </w:t>
      </w:r>
      <w:r w:rsidRPr="00DC2221">
        <w:rPr>
          <w:rFonts w:eastAsia="Times New Roman" w:cs="Calibri"/>
          <w:lang w:eastAsia="lt-LT"/>
        </w:rPr>
        <w:t>PVM) verslo sandorio, susijusio su namo ir sklypo, kuriame jis pastatytas, tiekimu.</w:t>
      </w:r>
    </w:p>
    <w:p w:rsidR="00DC2221" w:rsidRPr="00DC2221" w:rsidRDefault="00DC2221" w:rsidP="00DC2221">
      <w:pPr>
        <w:ind w:firstLine="540"/>
        <w:rPr>
          <w:rFonts w:eastAsia="Times New Roman" w:cs="Calibri"/>
          <w:lang w:eastAsia="lt-LT"/>
        </w:rPr>
      </w:pPr>
      <w:r w:rsidRPr="00DC2221">
        <w:rPr>
          <w:rFonts w:eastAsia="Times New Roman" w:cs="Calibri"/>
          <w:lang w:eastAsia="lt-LT"/>
        </w:rPr>
        <w:t>Pagrindinėje byloje nustatyta, kad A. J. kartu su kitu fiziniu asmeniu (bendraturčiu) pagal 2011 m. vasario 10 d. pirkimo–pardavimo sutartį įsigijo žemės ūkio paskirties žemės sklypą. 2011 m. liepos 4 d. pareiškėja gavo leidimą statyboms šiame sklype. Vėliau įsigytame žemės sklype buvo įregistruoti gyvenamasis namas ir du kaimo turizmo pastatai. A. J. kartu su bendraturčiu 2012 m. gruodžio 28 d. pardavė gyvenamąjį namą su žemės sklypo dalimi už 450 000 litų (apie 130 329 EUR) (toliau – ginčo sandoris). Pardavus tokia kaina, A. J. gavo 112 500 litų (apie 32 437 EUR) už dalį žemės sklypo ir 150 000 litų (apie 43 443 EUR) už sklype įregistruotą gyvenamojo namo dalį.</w:t>
      </w:r>
    </w:p>
    <w:p w:rsidR="00DC2221" w:rsidRPr="00DC2221" w:rsidRDefault="00DC2221" w:rsidP="00DC2221">
      <w:pPr>
        <w:ind w:firstLine="540"/>
        <w:rPr>
          <w:rFonts w:eastAsia="Times New Roman" w:cs="Calibri"/>
          <w:lang w:eastAsia="lt-LT"/>
        </w:rPr>
      </w:pPr>
      <w:r w:rsidRPr="00DC2221">
        <w:rPr>
          <w:rFonts w:eastAsia="Times New Roman" w:cs="Calibri"/>
          <w:lang w:eastAsia="lt-LT"/>
        </w:rPr>
        <w:t>Po patikrinimo, susijusio su PVM už 2012–2013 metų laikotarpį, 2015 m. spalio 23 d. sprendime vietos mokesčių administratorius nustatė, kad minėti nekilnojamojo turto sandoriai nebuvo vienkartiniai ar atsitiktiniai ir kad A. J. vykdė ekonominę veiklą. Anot šio administratoriaus, dėl šios priežasties ji turėjo deklaruoti PVM, apskaičiuotą nuo visos sumos, kurią ji gavo už ginčo sandorį A. J. dėl šio sprendimo pateikė skundą Inspekcijai, kuri patvirtino vietos mokesčių administratoriaus apskaičiuotas PVM sumas.</w:t>
      </w:r>
    </w:p>
    <w:p w:rsidR="00DC2221" w:rsidRPr="00DC2221" w:rsidRDefault="00DC2221" w:rsidP="00DC2221">
      <w:pPr>
        <w:ind w:firstLine="540"/>
        <w:rPr>
          <w:rFonts w:eastAsia="Times New Roman" w:cs="Calibri"/>
          <w:lang w:eastAsia="lt-LT"/>
        </w:rPr>
      </w:pPr>
      <w:r w:rsidRPr="00DC2221">
        <w:rPr>
          <w:rFonts w:eastAsia="Times New Roman" w:cs="Calibri"/>
          <w:lang w:eastAsia="lt-LT"/>
        </w:rPr>
        <w:t>A. J. pateikė skundą Mokestinių ginčų komisijai, kuri panaikino Inspekcijos sprendimą ir grąžino jai skundą nagrinėti iš naujo. Grįsdama savo sprendimą Mokestinių ginčų komisija teigė, kad pagal ginčo sandorį A. J. pardavė du atskirus objektus – t. y. žemės sklypo dalį ir gyvenamojo namo dalį, todėl vietos mokesčių administratorius klaidingai manė, jog šių nekilnojamojo turto objektų pardavimas vykdant šį sandorį sudarė vieną ir tą patį prekių tiekimą. Anot Mokestinių ginčų komisijos, PVM buvo apmokestinami tik tie prekių tiekimai, dėl kurių buvo viršijama PVM įstatyme nustatyta riba. Taigi nagrinėjamu atveju tik dėl vieno iš objektų pardavimų, sudarančių ginčo sandorį, buvo viršyta ši riba. Savo ruožtu Inspekcija kreipėsi į teismą su skundu dėl Mokestinių ginčų komisijos sprendimo ir teigė, kad A. J. pagal ginčo sandorį atliko vieną prekių tiekimą, nes aptariamos prekės negalėjo būti patiektos atskirai, jos buvo neatsiejamai susijusios ir sudarė visumą ekonominiu požiūriu (13–18 punktai).</w:t>
      </w:r>
    </w:p>
    <w:p w:rsidR="00DC2221" w:rsidRPr="00DC2221" w:rsidRDefault="00DC2221" w:rsidP="00DC2221">
      <w:pPr>
        <w:ind w:firstLine="540"/>
        <w:rPr>
          <w:rFonts w:eastAsia="Times New Roman" w:cs="Calibri"/>
          <w:lang w:eastAsia="lt-LT"/>
        </w:rPr>
      </w:pPr>
      <w:r w:rsidRPr="00DC2221">
        <w:rPr>
          <w:rFonts w:eastAsia="Times New Roman" w:cs="Calibri"/>
          <w:lang w:eastAsia="lt-LT"/>
        </w:rPr>
        <w:t>Mokestiniam ginčui pasiekus Lietuvos vyriausi</w:t>
      </w:r>
      <w:r w:rsidR="007D6DAA">
        <w:rPr>
          <w:rFonts w:eastAsia="Times New Roman" w:cs="Calibri"/>
          <w:lang w:eastAsia="lt-LT"/>
        </w:rPr>
        <w:t>ąjį administracinį teismą, pastarasis</w:t>
      </w:r>
      <w:r w:rsidRPr="00DC2221">
        <w:rPr>
          <w:rFonts w:eastAsia="Times New Roman" w:cs="Calibri"/>
          <w:lang w:eastAsia="lt-LT"/>
        </w:rPr>
        <w:t xml:space="preserve"> nutarė sustabdyti bylos nagrinėjimą ir pateikti Teisingumo Teismui šį prejudicinį klau</w:t>
      </w:r>
      <w:r w:rsidR="007D6DAA">
        <w:rPr>
          <w:rFonts w:eastAsia="Times New Roman" w:cs="Calibri"/>
          <w:lang w:eastAsia="lt-LT"/>
        </w:rPr>
        <w:t>simą, ar PVM direktyvos 282–292 </w:t>
      </w:r>
      <w:r w:rsidRPr="00DC2221">
        <w:rPr>
          <w:rFonts w:eastAsia="Times New Roman" w:cs="Calibri"/>
          <w:lang w:eastAsia="lt-LT"/>
        </w:rPr>
        <w:t>straipsniai turi būti aiškinami taip, kad kai tiekimą tam pačiam pirkėjui sudaro du nekilnojamojo turto objektai, kurie yra susiję savo pobūdžiu ir dėl kurių sudaryta viena pirkimo–pardavimo sutartis, ir kai viršijama šioje direktyvoje įtvirtintai specialiai smulkaus verslo įmonėms skirtai schemai taikyti numatyta metinės apyvartos riba, apmokestinamasis asmuo turi sumokėti mokestį nuo viso ginčo tiekimo vertės, t. y. atsižvelgdamas į šį tiekimą sudarančių dviejų objektų vertę, net jei atsižvelgus į vieno iš šių objektų vertę minėta metinė riba nebūtų viršyta (24 punktas).</w:t>
      </w:r>
    </w:p>
    <w:p w:rsidR="00DC2221" w:rsidRPr="00DC2221" w:rsidRDefault="00DC2221" w:rsidP="00DC2221">
      <w:pPr>
        <w:ind w:firstLine="540"/>
        <w:rPr>
          <w:rFonts w:eastAsia="Times New Roman" w:cs="Calibri"/>
          <w:lang w:eastAsia="lt-LT"/>
        </w:rPr>
      </w:pPr>
    </w:p>
    <w:p w:rsidR="00DC2221" w:rsidRPr="001362AB" w:rsidRDefault="00DC2221" w:rsidP="001362AB">
      <w:pPr>
        <w:pStyle w:val="Heading3"/>
        <w:ind w:firstLine="567"/>
        <w:rPr>
          <w:rFonts w:cstheme="minorHAnsi"/>
        </w:rPr>
      </w:pPr>
      <w:bookmarkStart w:id="46" w:name="_Toc19278750"/>
      <w:bookmarkStart w:id="47" w:name="_Toc21941959"/>
      <w:r w:rsidRPr="001362AB">
        <w:rPr>
          <w:rFonts w:cstheme="minorHAnsi"/>
        </w:rPr>
        <w:t>Dėl Direktyvos 2006/112 282–292 straipsniuose numatytos galimybė</w:t>
      </w:r>
      <w:r w:rsidR="0063245A" w:rsidRPr="001362AB">
        <w:rPr>
          <w:rFonts w:cstheme="minorHAnsi"/>
        </w:rPr>
        <w:t>s</w:t>
      </w:r>
      <w:r w:rsidRPr="001362AB">
        <w:rPr>
          <w:rFonts w:cstheme="minorHAnsi"/>
        </w:rPr>
        <w:t xml:space="preserve"> valstybėms narėms neapmokestinti PVM smulkaus verslo įmonių taikymo, kai vienu tiekimu tiekiant dvi prekes yra viršijama nustatyta apyvartos riba</w:t>
      </w:r>
      <w:bookmarkEnd w:id="46"/>
      <w:bookmarkEnd w:id="47"/>
    </w:p>
    <w:p w:rsidR="00DC2221" w:rsidRPr="00DC2221" w:rsidRDefault="00DC2221" w:rsidP="00DC2221">
      <w:pPr>
        <w:ind w:firstLine="540"/>
        <w:rPr>
          <w:rFonts w:eastAsia="Times New Roman" w:cs="Calibri"/>
          <w:lang w:eastAsia="lt-LT"/>
        </w:rPr>
      </w:pPr>
    </w:p>
    <w:p w:rsidR="00DC2221" w:rsidRPr="00DC2221" w:rsidRDefault="00DC2221" w:rsidP="00DC2221">
      <w:pPr>
        <w:ind w:firstLine="540"/>
        <w:rPr>
          <w:rFonts w:eastAsia="Times New Roman" w:cs="Calibri"/>
          <w:lang w:eastAsia="lt-LT"/>
        </w:rPr>
      </w:pPr>
      <w:r w:rsidRPr="00DC2221">
        <w:rPr>
          <w:rFonts w:eastAsia="Times New Roman" w:cs="Calibri"/>
          <w:lang w:eastAsia="lt-LT"/>
        </w:rPr>
        <w:t xml:space="preserve">Pagal PVM direktyvos 287 straipsnį valstybės narės, kurios į Sąjungą įstojo po 1978 m. sausio 1 d., gali neapmokestinti apmokestinamųjų asmenų, kurių metinė apyvarta yra ne didesnė kaip pateiktoms sumoms lygiavertė suma nacionaline valiuta, atitinkamai nurodyta šiame straipsnyje išvardytoms valstybėms narėms (26 punktas). Kaip PVM direktyvoje įtvirtintos bendros sistemos išimtis </w:t>
      </w:r>
      <w:r w:rsidRPr="00DC2221">
        <w:rPr>
          <w:rFonts w:eastAsia="Times New Roman" w:cs="Calibri"/>
          <w:u w:val="single"/>
          <w:lang w:eastAsia="lt-LT"/>
        </w:rPr>
        <w:t>speciali smulkaus verslo įmonėms skirta schema turi būti taikoma tik tiek, kiek tai reikalinga jos tikslui pasiekti, o ir pati schema turi būti aiškinama siaurai</w:t>
      </w:r>
      <w:r w:rsidRPr="00DC2221">
        <w:rPr>
          <w:rFonts w:eastAsia="Times New Roman" w:cs="Calibri"/>
          <w:lang w:eastAsia="lt-LT"/>
        </w:rPr>
        <w:t xml:space="preserve"> (27 punktas).</w:t>
      </w:r>
    </w:p>
    <w:p w:rsidR="00DC2221" w:rsidRPr="00DC2221" w:rsidRDefault="00DC2221" w:rsidP="00DC2221">
      <w:pPr>
        <w:ind w:firstLine="540"/>
        <w:rPr>
          <w:rFonts w:eastAsia="Times New Roman" w:cs="Calibri"/>
          <w:lang w:eastAsia="lt-LT"/>
        </w:rPr>
      </w:pPr>
      <w:r w:rsidRPr="00DC2221">
        <w:rPr>
          <w:rFonts w:eastAsia="Times New Roman" w:cs="Calibri"/>
          <w:lang w:eastAsia="lt-LT"/>
        </w:rPr>
        <w:t>Iš nutarties dėl prašymo priimti prejudicinį sprendimą buvo matyti, kad pagrindinėje byloje aptariamo namo dalis ir sklypas po juo buvo parduoti tam pačiam pirkėjui pagal vieną sutartį. Be to, matyti, kad už šių nekilnojamojo turto objektų tiekimą gautas bendras atlygis. Nors atveju pirkimo–pardavimo sutartyje buvo išskirtos namo ir sklypo kainos, kaip pažymėjo Teisingumo Teismas, taip pat buvo matyti, kad šios prekės yra glaudžiai susijusios tiek savo pobūdžiu, tiek kiekvienos iš jų kainomis, k</w:t>
      </w:r>
      <w:r w:rsidR="00740071">
        <w:rPr>
          <w:rFonts w:eastAsia="Times New Roman" w:cs="Calibri"/>
          <w:lang w:eastAsia="lt-LT"/>
        </w:rPr>
        <w:t>urios buvo nustatytos kartu (31 </w:t>
      </w:r>
      <w:r w:rsidRPr="00DC2221">
        <w:rPr>
          <w:rFonts w:eastAsia="Times New Roman" w:cs="Calibri"/>
          <w:lang w:eastAsia="lt-LT"/>
        </w:rPr>
        <w:t>punktas).</w:t>
      </w:r>
    </w:p>
    <w:p w:rsidR="00DC2221" w:rsidRPr="00DC2221" w:rsidRDefault="00DC2221" w:rsidP="00DC2221">
      <w:pPr>
        <w:ind w:firstLine="540"/>
        <w:rPr>
          <w:rFonts w:eastAsia="Times New Roman" w:cs="Calibri"/>
          <w:lang w:eastAsia="lt-LT"/>
        </w:rPr>
      </w:pPr>
      <w:r w:rsidRPr="00DC2221">
        <w:rPr>
          <w:rFonts w:eastAsia="Times New Roman" w:cs="Calibri"/>
          <w:lang w:eastAsia="lt-LT"/>
        </w:rPr>
        <w:t xml:space="preserve">Šiuo klausimu Teisingumo Teismas nurodė, kad pagal PVM direktyvos 14 straipsnio 1 dalį „prekių tiekimas“ – </w:t>
      </w:r>
      <w:r w:rsidR="00740071" w:rsidRPr="00740071">
        <w:rPr>
          <w:rFonts w:eastAsia="Times New Roman" w:cs="Calibri"/>
          <w:lang w:eastAsia="lt-LT"/>
        </w:rPr>
        <w:t>teisės kaip savininkui disponuoti materialiuoju turtu perdavimas</w:t>
      </w:r>
      <w:r w:rsidR="00740071">
        <w:rPr>
          <w:rFonts w:eastAsia="Times New Roman" w:cs="Calibri"/>
          <w:lang w:eastAsia="lt-LT"/>
        </w:rPr>
        <w:t xml:space="preserve"> (32 punktas)</w:t>
      </w:r>
      <w:r w:rsidR="00740071" w:rsidRPr="00740071">
        <w:rPr>
          <w:rFonts w:eastAsia="Times New Roman" w:cs="Calibri"/>
          <w:lang w:eastAsia="lt-LT"/>
        </w:rPr>
        <w:t>.</w:t>
      </w:r>
      <w:r w:rsidRPr="00DC2221">
        <w:rPr>
          <w:rFonts w:eastAsia="Times New Roman" w:cs="Calibri"/>
          <w:lang w:eastAsia="lt-LT"/>
        </w:rPr>
        <w:t xml:space="preserve"> </w:t>
      </w:r>
      <w:r w:rsidRPr="00DC2221">
        <w:rPr>
          <w:rFonts w:eastAsia="Times New Roman" w:cs="Calibri"/>
          <w:u w:val="single"/>
          <w:lang w:eastAsia="lt-LT"/>
        </w:rPr>
        <w:t>Taigi pagrindinėje byloje teisės disponuoti visu materialiuoju turtu perdavimas buvo įvykdytas tuo pačiu teisiniu aktu</w:t>
      </w:r>
      <w:r w:rsidR="00740071">
        <w:rPr>
          <w:rFonts w:eastAsia="Times New Roman" w:cs="Calibri"/>
          <w:lang w:eastAsia="lt-LT"/>
        </w:rPr>
        <w:t xml:space="preserve"> (33 </w:t>
      </w:r>
      <w:r w:rsidRPr="00DC2221">
        <w:rPr>
          <w:rFonts w:eastAsia="Times New Roman" w:cs="Calibri"/>
          <w:lang w:eastAsia="lt-LT"/>
        </w:rPr>
        <w:t>punktas). Nagrinėtu atveju egzistavo tik vienas tiekimas, kaip tai sup</w:t>
      </w:r>
      <w:r w:rsidR="005B50B5">
        <w:rPr>
          <w:rFonts w:eastAsia="Times New Roman" w:cs="Calibri"/>
          <w:lang w:eastAsia="lt-LT"/>
        </w:rPr>
        <w:t>rantama pagal PVM direktyvos 14 </w:t>
      </w:r>
      <w:r w:rsidRPr="00DC2221">
        <w:rPr>
          <w:rFonts w:eastAsia="Times New Roman" w:cs="Calibri"/>
          <w:lang w:eastAsia="lt-LT"/>
        </w:rPr>
        <w:t xml:space="preserve">straipsnio 1 dalį, nors jis ir atliktas dėl dviejų prekių (34 punktas). </w:t>
      </w:r>
      <w:r w:rsidRPr="00DC2221">
        <w:rPr>
          <w:rFonts w:eastAsia="Times New Roman" w:cs="Calibri"/>
          <w:u w:val="single"/>
          <w:lang w:eastAsia="lt-LT"/>
        </w:rPr>
        <w:t>Iš tiesų šio vieno tiekimo sudedamosios dalys negali būti atskirtos, nes tai būtų nenatūralu atsižvelgiant į PVM sistemą</w:t>
      </w:r>
      <w:r w:rsidRPr="00DC2221">
        <w:rPr>
          <w:rFonts w:eastAsia="Times New Roman" w:cs="Calibri"/>
          <w:lang w:eastAsia="lt-LT"/>
        </w:rPr>
        <w:t xml:space="preserve"> (35 punktas). Todėl Teisingumo Teismas darė išvadą, kad </w:t>
      </w:r>
      <w:r w:rsidRPr="00DC2221">
        <w:rPr>
          <w:rFonts w:eastAsia="Times New Roman" w:cs="Calibri"/>
          <w:u w:val="single"/>
          <w:lang w:eastAsia="lt-LT"/>
        </w:rPr>
        <w:t>PVM mokėtinas nuo visos ginčo sandorio sumos</w:t>
      </w:r>
      <w:r w:rsidRPr="00DC2221">
        <w:rPr>
          <w:rFonts w:eastAsia="Times New Roman" w:cs="Calibri"/>
          <w:lang w:eastAsia="lt-LT"/>
        </w:rPr>
        <w:t xml:space="preserve"> (36 punktas).</w:t>
      </w:r>
    </w:p>
    <w:p w:rsidR="00DC2221" w:rsidRPr="00DC2221" w:rsidRDefault="00DC2221" w:rsidP="00DC2221">
      <w:pPr>
        <w:ind w:firstLine="540"/>
        <w:rPr>
          <w:rFonts w:eastAsia="Times New Roman" w:cs="Calibri"/>
          <w:lang w:eastAsia="lt-LT"/>
        </w:rPr>
      </w:pPr>
      <w:r w:rsidRPr="00DC2221">
        <w:rPr>
          <w:rFonts w:eastAsia="Times New Roman" w:cs="Calibri"/>
          <w:lang w:eastAsia="lt-LT"/>
        </w:rPr>
        <w:t>Ši išvada, kaip pažymėjo Sąjungos teisminė institucija, pagrindžiama ir specialia smulkaus verslo įmonėms skirta schema siekiamu tikslu. Iš tiesų ja numatytos supaprastintos administracinės procedūros, skirtos smulkaus verslo įmonių steigimui, veiklai ir konkurencingumui sustiprinti ir protingam santykiui tarp administracinių mokesčių kontrolės išlaidų ir tikėtinų mažų mokestinių pajamų išlaikyti. Taigi šia schema siekiama sutaupyti smulkaus verslo įmonių ir mokesčių administratorių tokias administracines išlaidas (</w:t>
      </w:r>
      <w:r w:rsidR="005D01DA">
        <w:rPr>
          <w:rFonts w:eastAsia="Times New Roman" w:cs="Calibri"/>
          <w:lang w:eastAsia="lt-LT"/>
        </w:rPr>
        <w:t>37 </w:t>
      </w:r>
      <w:r w:rsidRPr="00DC2221">
        <w:rPr>
          <w:rFonts w:eastAsia="Times New Roman" w:cs="Calibri"/>
          <w:lang w:eastAsia="lt-LT"/>
        </w:rPr>
        <w:t xml:space="preserve">punktas). Atitinkamos </w:t>
      </w:r>
      <w:r w:rsidRPr="00DC2221">
        <w:rPr>
          <w:rFonts w:eastAsia="Times New Roman" w:cs="Calibri"/>
          <w:u w:val="single"/>
          <w:lang w:eastAsia="lt-LT"/>
        </w:rPr>
        <w:t>mokesčių institucijos ir apmokestinamojo asmens administracinės išlaidos nesumažėtų, jeigu reikėtų atlikti atskirus skaičiavimus, susijusius su toje pačioje pirkimo–pardavimo sutartyje numatyto vieno ir to paties tiekimo skirtingomis prekėmis</w:t>
      </w:r>
      <w:r w:rsidRPr="00DC2221">
        <w:rPr>
          <w:rFonts w:eastAsia="Times New Roman" w:cs="Calibri"/>
          <w:lang w:eastAsia="lt-LT"/>
        </w:rPr>
        <w:t xml:space="preserve"> (38 punktas).</w:t>
      </w:r>
    </w:p>
    <w:p w:rsidR="00DC2221" w:rsidRPr="00DC2221" w:rsidRDefault="00DC2221" w:rsidP="00DC2221">
      <w:pPr>
        <w:ind w:firstLine="540"/>
        <w:rPr>
          <w:rFonts w:eastAsia="Times New Roman" w:cs="Calibri"/>
          <w:lang w:eastAsia="lt-LT"/>
        </w:rPr>
      </w:pPr>
    </w:p>
    <w:p w:rsidR="00DC2221" w:rsidRPr="00DC2221" w:rsidRDefault="00DC2221" w:rsidP="00DC2221">
      <w:pPr>
        <w:ind w:firstLine="540"/>
        <w:rPr>
          <w:rFonts w:eastAsia="Times New Roman" w:cs="Calibri"/>
          <w:b/>
          <w:lang w:eastAsia="lt-LT"/>
        </w:rPr>
      </w:pPr>
      <w:r w:rsidRPr="00DC2221">
        <w:rPr>
          <w:rFonts w:eastAsia="Times New Roman" w:cs="Calibri"/>
          <w:b/>
          <w:lang w:eastAsia="lt-LT"/>
        </w:rPr>
        <w:t>Remdamasis šiais motyvais, Teisingumo Teismas (dešimtoji kolegija) nusprend</w:t>
      </w:r>
      <w:r w:rsidR="004246C1">
        <w:rPr>
          <w:rFonts w:eastAsia="Times New Roman" w:cs="Calibri"/>
          <w:b/>
          <w:lang w:eastAsia="lt-LT"/>
        </w:rPr>
        <w:t>ė</w:t>
      </w:r>
      <w:r w:rsidRPr="00DC2221">
        <w:rPr>
          <w:rFonts w:eastAsia="Times New Roman" w:cs="Calibri"/>
          <w:b/>
          <w:lang w:eastAsia="lt-LT"/>
        </w:rPr>
        <w:t>:</w:t>
      </w:r>
    </w:p>
    <w:p w:rsidR="00DC2221" w:rsidRPr="00DC2221" w:rsidRDefault="00DC2221" w:rsidP="00DC2221">
      <w:pPr>
        <w:ind w:firstLine="540"/>
        <w:rPr>
          <w:rFonts w:eastAsia="Times New Roman" w:cs="Calibri"/>
          <w:lang w:eastAsia="lt-LT"/>
        </w:rPr>
      </w:pPr>
    </w:p>
    <w:p w:rsidR="00DC2221" w:rsidRPr="00DC2221" w:rsidRDefault="00DC2221" w:rsidP="00DC2221">
      <w:pPr>
        <w:ind w:firstLine="540"/>
        <w:rPr>
          <w:rFonts w:eastAsia="Times New Roman" w:cs="Calibri"/>
          <w:lang w:eastAsia="lt-LT"/>
        </w:rPr>
      </w:pPr>
      <w:r w:rsidRPr="00DC2221">
        <w:rPr>
          <w:rFonts w:eastAsia="Times New Roman" w:cs="Calibri"/>
          <w:lang w:eastAsia="lt-LT"/>
        </w:rPr>
        <w:t>2006 m. lapkričio 28 d. Tarybos direktyvos 2006/112/EB dėl pridėtinės vertės mokesčio bendros sistemos 282–292 straipsniai turi būti aiškinami taip, kad kai tiekimą tam pačiam pirkėjui sudaro du nekilnojamojo turto objektai, kurie yra susiję savo pobūdžiu ir dėl kurių sudaryta viena pirkimo</w:t>
      </w:r>
      <w:r w:rsidR="004246C1">
        <w:rPr>
          <w:rFonts w:eastAsia="Times New Roman" w:cs="Calibri"/>
          <w:lang w:eastAsia="lt-LT"/>
        </w:rPr>
        <w:t>–</w:t>
      </w:r>
      <w:r w:rsidRPr="00DC2221">
        <w:rPr>
          <w:rFonts w:eastAsia="Times New Roman" w:cs="Calibri"/>
          <w:lang w:eastAsia="lt-LT"/>
        </w:rPr>
        <w:t>pardavimo sutartis, ir kai viršijama šioje direktyvoje įtvirtintai specialiai smulkaus verslo įmonėms skirtai schemai taikyti numatyta metinės apyvartos riba, apmokestinamasis asmuo turi sumokėti mokestį nuo viso ginčo tiekimo vertės, t. y. atsižvelgdamas į šį tiekimą sudarančių dviejų objektų vertę, net jei atsižvelgus į vieno iš šių objektų vertę minėta metinė riba nebūtų viršyta.</w:t>
      </w:r>
    </w:p>
    <w:p w:rsidR="00DC2221" w:rsidRPr="00DC2221" w:rsidRDefault="007D413D" w:rsidP="00DC2221">
      <w:pPr>
        <w:ind w:firstLine="540"/>
        <w:rPr>
          <w:rFonts w:eastAsia="Times New Roman" w:cs="Calibri"/>
          <w:lang w:eastAsia="lt-LT"/>
        </w:rPr>
      </w:pPr>
      <w:hyperlink r:id="rId19" w:history="1">
        <w:r w:rsidR="00DC2221" w:rsidRPr="00D569EA">
          <w:rPr>
            <w:rStyle w:val="Hyperlink"/>
            <w:rFonts w:eastAsia="Times New Roman" w:cs="Calibri"/>
            <w:lang w:eastAsia="lt-LT"/>
          </w:rPr>
          <w:t>Prieiga internete</w:t>
        </w:r>
      </w:hyperlink>
    </w:p>
    <w:p w:rsidR="00DC2221" w:rsidRPr="00DC2221" w:rsidRDefault="00DC2221" w:rsidP="00DC2221">
      <w:pPr>
        <w:ind w:firstLine="540"/>
        <w:rPr>
          <w:rFonts w:eastAsia="Times New Roman" w:cs="Calibri"/>
          <w:lang w:eastAsia="lt-LT"/>
        </w:rPr>
      </w:pPr>
    </w:p>
    <w:p w:rsidR="00DC2221" w:rsidRPr="00DC2221" w:rsidRDefault="00DC2221" w:rsidP="00DC2221">
      <w:pPr>
        <w:jc w:val="center"/>
        <w:outlineLvl w:val="1"/>
        <w:rPr>
          <w:rFonts w:eastAsia="Times New Roman" w:cs="Calibri"/>
          <w:b/>
          <w:lang w:eastAsia="lt-LT"/>
        </w:rPr>
      </w:pPr>
      <w:bookmarkStart w:id="48" w:name="_Toc19278751"/>
      <w:bookmarkStart w:id="49" w:name="_Toc21941960"/>
      <w:r w:rsidRPr="00DC2221">
        <w:rPr>
          <w:rFonts w:eastAsia="Times New Roman" w:cs="Calibri"/>
          <w:b/>
          <w:lang w:eastAsia="lt-LT"/>
        </w:rPr>
        <w:t>2019 m. liepos 29 d. prejudicinis sprendimas byloje C</w:t>
      </w:r>
      <w:r w:rsidRPr="00DC2221">
        <w:rPr>
          <w:rFonts w:ascii="Cambria Math" w:eastAsia="Times New Roman" w:hAnsi="Cambria Math" w:cs="Cambria Math"/>
          <w:b/>
          <w:lang w:eastAsia="lt-LT"/>
        </w:rPr>
        <w:t>‑</w:t>
      </w:r>
      <w:r w:rsidRPr="00DC2221">
        <w:rPr>
          <w:rFonts w:eastAsia="Times New Roman" w:cs="Calibri"/>
          <w:b/>
          <w:lang w:eastAsia="lt-LT"/>
        </w:rPr>
        <w:t>388/18</w:t>
      </w:r>
      <w:bookmarkEnd w:id="48"/>
      <w:bookmarkEnd w:id="49"/>
    </w:p>
    <w:p w:rsidR="00DC2221" w:rsidRPr="00DC2221" w:rsidRDefault="00DC2221" w:rsidP="00DC2221">
      <w:pPr>
        <w:jc w:val="center"/>
        <w:rPr>
          <w:rFonts w:eastAsia="Times New Roman" w:cs="Calibri"/>
          <w:b/>
          <w:i/>
          <w:lang w:eastAsia="lt-LT"/>
        </w:rPr>
      </w:pPr>
      <w:r w:rsidRPr="00DC2221">
        <w:rPr>
          <w:rFonts w:eastAsia="Times New Roman" w:cs="Calibri"/>
          <w:b/>
          <w:i/>
          <w:lang w:eastAsia="lt-LT"/>
        </w:rPr>
        <w:t>Finanzamt A prieš B</w:t>
      </w:r>
    </w:p>
    <w:p w:rsidR="00DC2221" w:rsidRPr="00DC2221" w:rsidRDefault="00DC2221" w:rsidP="00DC2221">
      <w:pPr>
        <w:ind w:firstLine="540"/>
        <w:rPr>
          <w:rFonts w:eastAsia="Times New Roman" w:cs="Calibri"/>
          <w:lang w:eastAsia="lt-LT"/>
        </w:rPr>
      </w:pPr>
    </w:p>
    <w:p w:rsidR="00DC2221" w:rsidRPr="00DC2221" w:rsidRDefault="00DC2221" w:rsidP="00DC2221">
      <w:pPr>
        <w:ind w:firstLine="540"/>
        <w:rPr>
          <w:rFonts w:eastAsia="Times New Roman" w:cs="Calibri"/>
          <w:lang w:eastAsia="lt-LT"/>
        </w:rPr>
      </w:pPr>
      <w:r w:rsidRPr="00DC2221">
        <w:rPr>
          <w:rFonts w:eastAsia="Times New Roman" w:cs="Calibri"/>
          <w:lang w:eastAsia="lt-LT"/>
        </w:rPr>
        <w:t>Prašymas priimti prejudicinį sprendimą pateiktas dėl 2006 m. lapkričio 28 d. Tarybos direktyvos 2006/112/EB dėl pridėtinės vertės mokesčio bendros sistemos (OL L 347, 2006, p. 1, toliau – PVM direktyva) 288 straipsnio pirmos pastraipos 1 punkto išaiškinimo. Šis prašymas buvo pateiktas nagrinėjant Finanzamt A (mokesčių inspekcija A, Vokietija) ir B, kuris vykdo naudotų automobilių prekybininko veiklą, ginčą dėl jo metinės apyvartos apskaičiavimo metodo taikant PVM direktyvoje numatytą specialią smulkiojo verslo įmonėms skirtą schemą (1 ir 2 punktai).</w:t>
      </w:r>
    </w:p>
    <w:p w:rsidR="00DC2221" w:rsidRPr="00DC2221" w:rsidRDefault="00DC2221" w:rsidP="00DC2221">
      <w:pPr>
        <w:ind w:firstLine="540"/>
        <w:rPr>
          <w:rFonts w:eastAsia="Times New Roman" w:cs="Calibri"/>
          <w:lang w:eastAsia="lt-LT"/>
        </w:rPr>
      </w:pPr>
      <w:r w:rsidRPr="00DC2221">
        <w:rPr>
          <w:rFonts w:eastAsia="Times New Roman" w:cs="Calibri"/>
          <w:lang w:eastAsia="lt-LT"/>
        </w:rPr>
        <w:t>Pagrindinėje byloje nustatyta, kad B, kaip naudotų transporto priemonių prekybininkas, atliko apmokestinamuosius sandorius, kuriems taikoma maržos apmokestinimo schema. Jo apyvarta, apskaičiuota remiantis gautomis pajamomis, sudarė 27 358 EUR ir 25 115 EUR atitinkam</w:t>
      </w:r>
      <w:r w:rsidR="005B50B5">
        <w:rPr>
          <w:rFonts w:eastAsia="Times New Roman" w:cs="Calibri"/>
          <w:lang w:eastAsia="lt-LT"/>
        </w:rPr>
        <w:t>ai 2009 m. ir 2010 m. Savo 2010 </w:t>
      </w:r>
      <w:r w:rsidRPr="00DC2221">
        <w:rPr>
          <w:rFonts w:eastAsia="Times New Roman" w:cs="Calibri"/>
          <w:lang w:eastAsia="lt-LT"/>
        </w:rPr>
        <w:t>m. vasario 10 d. (už 2009 m.) ir 2011 m. kovo 23 d. (už 2010 m.) PVM deklaracijose B nurodė, kad jis gali remtis „smulkiojo verslininko“ statusu, nes jo apyvarta 2009 m. ir 2010 m. buvo a</w:t>
      </w:r>
      <w:r w:rsidR="005B50B5">
        <w:rPr>
          <w:rFonts w:eastAsia="Times New Roman" w:cs="Calibri"/>
          <w:lang w:eastAsia="lt-LT"/>
        </w:rPr>
        <w:t>titinkamai 17 328 EUR ir 17 470 </w:t>
      </w:r>
      <w:r w:rsidRPr="00DC2221">
        <w:rPr>
          <w:rFonts w:eastAsia="Times New Roman" w:cs="Calibri"/>
          <w:lang w:eastAsia="lt-LT"/>
        </w:rPr>
        <w:t>EUR. B apskaičiavo apyvartą, remdamasis ne gautomis pajamomis, o savo marža.</w:t>
      </w:r>
    </w:p>
    <w:p w:rsidR="00DC2221" w:rsidRPr="00DC2221" w:rsidRDefault="00DC2221" w:rsidP="00DC2221">
      <w:pPr>
        <w:ind w:firstLine="540"/>
        <w:rPr>
          <w:rFonts w:eastAsia="Times New Roman" w:cs="Calibri"/>
          <w:lang w:eastAsia="lt-LT"/>
        </w:rPr>
      </w:pPr>
      <w:r w:rsidRPr="00DC2221">
        <w:rPr>
          <w:rFonts w:eastAsia="Times New Roman" w:cs="Calibri"/>
          <w:lang w:eastAsia="lt-LT"/>
        </w:rPr>
        <w:t>Kalbant apie pirmąją PVM deklaraciją, mokesčių administratorius pripažino, kad metinė apyvarta, kuria remiamasi taikant smulkiojo verslo įmonėms skirtą schemą, galėjo būti nustatyta remiantis maržos suma, todėl sutiko, kad B gali pasinaudoti specialia smulkiojo</w:t>
      </w:r>
      <w:r w:rsidR="005B50B5">
        <w:rPr>
          <w:rFonts w:eastAsia="Times New Roman" w:cs="Calibri"/>
          <w:lang w:eastAsia="lt-LT"/>
        </w:rPr>
        <w:t xml:space="preserve"> verslo įmonėms skirta schema. </w:t>
      </w:r>
      <w:r w:rsidRPr="00DC2221">
        <w:rPr>
          <w:rFonts w:eastAsia="Times New Roman" w:cs="Calibri"/>
          <w:lang w:eastAsia="lt-LT"/>
        </w:rPr>
        <w:t xml:space="preserve">Tačiau, kalbant apie antrą PVM deklaraciją, 2012 m. spalio 4 d. pranešime dėl mokesčių </w:t>
      </w:r>
      <w:r w:rsidRPr="00DC2221">
        <w:rPr>
          <w:rFonts w:eastAsia="Times New Roman" w:cs="Calibri"/>
          <w:i/>
          <w:lang w:eastAsia="lt-LT"/>
        </w:rPr>
        <w:t>Finanzamt A</w:t>
      </w:r>
      <w:r w:rsidRPr="00DC2221">
        <w:rPr>
          <w:rFonts w:eastAsia="Times New Roman" w:cs="Calibri"/>
          <w:lang w:eastAsia="lt-LT"/>
        </w:rPr>
        <w:t xml:space="preserve"> atsisakė taikyti B smulkiojo verslo įmonėms skirtą schemą 2010 mokestiniais metais (17–20 punktai).</w:t>
      </w:r>
    </w:p>
    <w:p w:rsidR="00DC2221" w:rsidRPr="00DC2221" w:rsidRDefault="00DC2221" w:rsidP="00DC2221">
      <w:pPr>
        <w:ind w:firstLine="540"/>
        <w:rPr>
          <w:rFonts w:eastAsia="Times New Roman" w:cs="Calibri"/>
          <w:lang w:eastAsia="lt-LT"/>
        </w:rPr>
      </w:pPr>
      <w:r w:rsidRPr="00DC2221">
        <w:rPr>
          <w:rFonts w:eastAsia="Times New Roman" w:cs="Calibri"/>
          <w:lang w:eastAsia="lt-LT"/>
        </w:rPr>
        <w:t>Ginčui pasiekus kasacinės instancijos teismą, šis nutarė sustabdyti bylos nagrinėjimą ir kreiptis į Teisingumo Teismą su klausimu, ar PVM direktyvos 288 straipsnio pirmos pastraipos 1 punktas turi būti aiškinamas taip, kad pagal jį draudžiamas nacionalinės teisės aktas arba administracinė praktika, pagal kuriuos apyvarta, kuria remiamasi taikant smulkiojo verslo įmonėms skirtą schemą apmokestinamajam asmeniui, kuriam taikoma speciali apmokestinamiesiems prekybininkams numatyta maržos apmokestinimo schema, apskaičiuojama pagal šios direktyvos 315 straipsnį atsižvelgiant tik į uždirbtą maržą (28 punktas).</w:t>
      </w:r>
    </w:p>
    <w:p w:rsidR="00DC2221" w:rsidRPr="00DC2221" w:rsidRDefault="00DC2221" w:rsidP="00DC2221">
      <w:pPr>
        <w:ind w:firstLine="540"/>
        <w:rPr>
          <w:rFonts w:eastAsia="Times New Roman" w:cs="Calibri"/>
          <w:lang w:eastAsia="lt-LT"/>
        </w:rPr>
      </w:pPr>
    </w:p>
    <w:p w:rsidR="00DC2221" w:rsidRPr="001362AB" w:rsidRDefault="00DC2221" w:rsidP="001362AB">
      <w:pPr>
        <w:pStyle w:val="Heading3"/>
        <w:ind w:firstLine="567"/>
        <w:rPr>
          <w:rFonts w:cstheme="minorHAnsi"/>
        </w:rPr>
      </w:pPr>
      <w:bookmarkStart w:id="50" w:name="_Toc19278752"/>
      <w:bookmarkStart w:id="51" w:name="_Toc21941961"/>
      <w:r w:rsidRPr="001362AB">
        <w:rPr>
          <w:rFonts w:cstheme="minorHAnsi"/>
        </w:rPr>
        <w:t>Dėl apyvart</w:t>
      </w:r>
      <w:r w:rsidR="00A71FC4" w:rsidRPr="001362AB">
        <w:rPr>
          <w:rFonts w:cstheme="minorHAnsi"/>
        </w:rPr>
        <w:t>os</w:t>
      </w:r>
      <w:r w:rsidRPr="001362AB">
        <w:rPr>
          <w:rFonts w:cstheme="minorHAnsi"/>
        </w:rPr>
        <w:t>, kuria remiamasi taikant smulkiojo verslo įmonėms s</w:t>
      </w:r>
      <w:r w:rsidR="00A71FC4" w:rsidRPr="001362AB">
        <w:rPr>
          <w:rFonts w:cstheme="minorHAnsi"/>
        </w:rPr>
        <w:t xml:space="preserve">kirtą schemą, apskaičiavimo, kai </w:t>
      </w:r>
      <w:r w:rsidRPr="001362AB">
        <w:rPr>
          <w:rFonts w:cstheme="minorHAnsi"/>
        </w:rPr>
        <w:t>apmokestinamajam asmeniui taikoma speciali maržos apmokestinimo schema</w:t>
      </w:r>
      <w:bookmarkEnd w:id="50"/>
      <w:bookmarkEnd w:id="51"/>
    </w:p>
    <w:p w:rsidR="00DC2221" w:rsidRPr="00DC2221" w:rsidRDefault="00DC2221" w:rsidP="00DC2221">
      <w:pPr>
        <w:ind w:firstLine="540"/>
        <w:rPr>
          <w:rFonts w:eastAsia="Times New Roman" w:cs="Calibri"/>
          <w:lang w:eastAsia="lt-LT"/>
        </w:rPr>
      </w:pPr>
    </w:p>
    <w:p w:rsidR="00DC2221" w:rsidRPr="00DC2221" w:rsidRDefault="00DC2221" w:rsidP="00DC2221">
      <w:pPr>
        <w:ind w:firstLine="540"/>
        <w:rPr>
          <w:rFonts w:eastAsia="Times New Roman" w:cs="Calibri"/>
          <w:lang w:eastAsia="lt-LT"/>
        </w:rPr>
      </w:pPr>
      <w:r w:rsidRPr="00DC2221">
        <w:rPr>
          <w:rFonts w:eastAsia="Times New Roman" w:cs="Calibri"/>
          <w:lang w:eastAsia="lt-LT"/>
        </w:rPr>
        <w:t>Pagal PVM direktyvos 288 straipsnio pirmos pastraipos 1 punktą apyvarta, kuria remiamasi taikant smulkiojo verslo įmonėms skirtą schemą, apima sumą be PVM už tiekiamas prekes ir teikiamas paslaugas, jeigu šis tiekimas ir teikimas yra apmokestinami (29 punktas).</w:t>
      </w:r>
    </w:p>
    <w:p w:rsidR="00DC2221" w:rsidRPr="00DC2221" w:rsidRDefault="00DC2221" w:rsidP="00DC2221">
      <w:pPr>
        <w:ind w:firstLine="540"/>
        <w:rPr>
          <w:rFonts w:eastAsia="Times New Roman" w:cs="Calibri"/>
          <w:lang w:eastAsia="lt-LT"/>
        </w:rPr>
      </w:pPr>
      <w:r w:rsidRPr="00DC2221">
        <w:rPr>
          <w:rFonts w:eastAsia="Times New Roman" w:cs="Calibri"/>
          <w:lang w:eastAsia="lt-LT"/>
        </w:rPr>
        <w:t xml:space="preserve">Kalbėdamas apie visų pirma pažodinį direktyvos 288 straipsnio pirmos pastraipos 1 punkto aiškinimą, Teisingumo Teismas pažymėjo, kad, viena vertus, visa apmokestinamo prekių tiekimo ir paslaugų teikimo be PVM vertė pagal šios nuostatos sąlygas yra apmokestinamojo asmens apyvarta, tačiau, kita vertus, terminas „apmokestinamo“ yra susijęs su „tiekimu“ arba „teikimu“, o ne su terminu „vertė“ (31 punktas). </w:t>
      </w:r>
      <w:r w:rsidRPr="00DC2221">
        <w:rPr>
          <w:rFonts w:eastAsia="Times New Roman" w:cs="Calibri"/>
          <w:u w:val="single"/>
          <w:lang w:eastAsia="lt-LT"/>
        </w:rPr>
        <w:t>Iš to išplaukia, kad pagal minėtą nuostatą ši nuostata reikalauja, jog tam, kad suma būtų įtraukta į apmokestinamojo asmens apyvartą, prekių tiekimas arba paslaugų teikimas turi būti apmokestinami kaip tokie nenurodant, kokiu būdu jie turi būti apmokestinami, t. y. nenurodant, kokių nuostatų laikantis jie turi būti apmokestinami</w:t>
      </w:r>
      <w:r w:rsidRPr="00DC2221">
        <w:rPr>
          <w:rFonts w:eastAsia="Times New Roman" w:cs="Calibri"/>
          <w:lang w:eastAsia="lt-LT"/>
        </w:rPr>
        <w:t xml:space="preserve"> (32 punktas). Be to, iš šios formuluotės nematyti, kad visais </w:t>
      </w:r>
      <w:r w:rsidRPr="00DC2221">
        <w:rPr>
          <w:rFonts w:eastAsia="Times New Roman" w:cs="Calibri"/>
          <w:u w:val="single"/>
          <w:lang w:eastAsia="lt-LT"/>
        </w:rPr>
        <w:t>atvejais turi būti apmokestintas visas prekių tiekimas arba paslaugų teikimas (33 punktas). Taigi neginčijama, kad apmokestinamojo prekybininko prekių tiekimas apmokestinamas net ir tuo atveju, jei jis apmokestinamas pagal specialią schemą</w:t>
      </w:r>
      <w:r w:rsidRPr="00DC2221">
        <w:rPr>
          <w:rFonts w:eastAsia="Times New Roman" w:cs="Calibri"/>
          <w:lang w:eastAsia="lt-LT"/>
        </w:rPr>
        <w:t xml:space="preserve"> (34 punktas).</w:t>
      </w:r>
    </w:p>
    <w:p w:rsidR="00DC2221" w:rsidRPr="00DC2221" w:rsidRDefault="00DC2221" w:rsidP="00DC2221">
      <w:pPr>
        <w:ind w:firstLine="540"/>
        <w:rPr>
          <w:rFonts w:eastAsia="Times New Roman" w:cs="Calibri"/>
          <w:lang w:eastAsia="lt-LT"/>
        </w:rPr>
      </w:pPr>
    </w:p>
    <w:p w:rsidR="00DC2221" w:rsidRPr="00DC2221" w:rsidRDefault="00DC2221" w:rsidP="00DC2221">
      <w:pPr>
        <w:ind w:firstLine="540"/>
        <w:rPr>
          <w:rFonts w:eastAsia="Times New Roman" w:cs="Calibri"/>
          <w:b/>
          <w:lang w:eastAsia="lt-LT"/>
        </w:rPr>
      </w:pPr>
      <w:r w:rsidRPr="00DC2221">
        <w:rPr>
          <w:rFonts w:eastAsia="Times New Roman" w:cs="Calibri"/>
          <w:b/>
          <w:lang w:eastAsia="lt-LT"/>
        </w:rPr>
        <w:t>Remdamasis šiais motyvais, Teisingumo Teismas (dešimtoji kolegija) nusprendė:</w:t>
      </w:r>
    </w:p>
    <w:p w:rsidR="00DC2221" w:rsidRPr="00DC2221" w:rsidRDefault="00DC2221" w:rsidP="00DC2221">
      <w:pPr>
        <w:ind w:firstLine="540"/>
        <w:rPr>
          <w:rFonts w:eastAsia="Times New Roman" w:cs="Calibri"/>
          <w:lang w:eastAsia="lt-LT"/>
        </w:rPr>
      </w:pPr>
    </w:p>
    <w:p w:rsidR="00DC2221" w:rsidRPr="00DC2221" w:rsidRDefault="00DC2221" w:rsidP="00DC2221">
      <w:pPr>
        <w:ind w:firstLine="540"/>
        <w:rPr>
          <w:rFonts w:eastAsia="Times New Roman" w:cs="Calibri"/>
          <w:lang w:eastAsia="lt-LT"/>
        </w:rPr>
      </w:pPr>
      <w:r w:rsidRPr="00DC2221">
        <w:rPr>
          <w:rFonts w:eastAsia="Times New Roman" w:cs="Calibri"/>
          <w:lang w:eastAsia="lt-LT"/>
        </w:rPr>
        <w:t>PVM direktyvos 288 straipsnio pirmos pastraipos 1 punktas turi būti aiškinamas taip, kad pagal jį draudžiamas nacionalinės teisės aktas arba administracinė praktika, pagal kuriuos apyvarta, kuria remiamasi taikant smulkiojo verslo įmonėms skirtą schemą apmokestinamajam asmeniui, kuriam taikoma speciali apmokestinamiesiems prekybininkams numatyta maržos apmokestinimo schema, apskaičiuojama pagal šios direktyvos 315 straipsnį atsižvelgiant tik į uždirbtą maržą. Ši apyvarta turi būti nustatoma pagal visas šio apmokestinamojo prekybininko gautas arba gautinas sumas be pridėtinės vertės mokesčio, neatsižvelgiant į tai, pagal kokią tvarką šios sumos yra faktiškai apmokestinamos.</w:t>
      </w:r>
    </w:p>
    <w:p w:rsidR="00DC2221" w:rsidRPr="00DC2221" w:rsidRDefault="007D413D" w:rsidP="00DC2221">
      <w:pPr>
        <w:ind w:firstLine="540"/>
        <w:rPr>
          <w:rFonts w:eastAsia="Times New Roman" w:cs="Calibri"/>
          <w:lang w:eastAsia="lt-LT"/>
        </w:rPr>
      </w:pPr>
      <w:hyperlink r:id="rId20" w:history="1">
        <w:r w:rsidR="00DC2221" w:rsidRPr="005D01DA">
          <w:rPr>
            <w:rStyle w:val="Hyperlink"/>
            <w:rFonts w:eastAsia="Times New Roman" w:cs="Calibri"/>
            <w:lang w:eastAsia="lt-LT"/>
          </w:rPr>
          <w:t>Prieiga internete</w:t>
        </w:r>
      </w:hyperlink>
    </w:p>
    <w:p w:rsidR="00DC2221" w:rsidRPr="003D6A3B" w:rsidRDefault="00DC2221" w:rsidP="0047132C">
      <w:pPr>
        <w:rPr>
          <w:lang w:eastAsia="lt-LT"/>
        </w:rPr>
      </w:pPr>
    </w:p>
    <w:p w:rsidR="002F456B" w:rsidRPr="003D6A3B" w:rsidRDefault="002F456B" w:rsidP="00C527C1">
      <w:pPr>
        <w:pStyle w:val="Heading1"/>
        <w:spacing w:before="0"/>
        <w:rPr>
          <w:rFonts w:eastAsia="Times New Roman" w:cstheme="minorHAnsi"/>
          <w:bCs/>
          <w:kern w:val="32"/>
          <w:szCs w:val="22"/>
          <w:lang w:eastAsia="lt-LT"/>
        </w:rPr>
      </w:pPr>
      <w:bookmarkStart w:id="52" w:name="_Toc11232456"/>
      <w:bookmarkStart w:id="53" w:name="_Toc11232747"/>
      <w:bookmarkStart w:id="54" w:name="_Toc21941962"/>
      <w:r w:rsidRPr="003D6A3B">
        <w:rPr>
          <w:rFonts w:eastAsia="Times New Roman" w:cstheme="minorHAnsi"/>
          <w:bCs/>
          <w:kern w:val="32"/>
          <w:szCs w:val="22"/>
          <w:lang w:eastAsia="lt-LT"/>
        </w:rPr>
        <w:t>SOCIALINĖ POLITIKA</w:t>
      </w:r>
      <w:bookmarkEnd w:id="5"/>
      <w:bookmarkEnd w:id="52"/>
      <w:bookmarkEnd w:id="53"/>
      <w:bookmarkEnd w:id="54"/>
    </w:p>
    <w:p w:rsidR="00F70A40" w:rsidRPr="003D6A3B" w:rsidRDefault="00F70A40" w:rsidP="00AD0B10">
      <w:pPr>
        <w:rPr>
          <w:rFonts w:asciiTheme="minorHAnsi" w:hAnsiTheme="minorHAnsi" w:cstheme="minorHAnsi"/>
          <w:lang w:eastAsia="lt-LT"/>
        </w:rPr>
      </w:pPr>
    </w:p>
    <w:p w:rsidR="004D471B" w:rsidRPr="003D6A3B" w:rsidRDefault="004D471B" w:rsidP="004D471B">
      <w:pPr>
        <w:pStyle w:val="Heading2"/>
        <w:rPr>
          <w:rFonts w:cstheme="minorHAnsi"/>
          <w:szCs w:val="22"/>
        </w:rPr>
      </w:pPr>
      <w:bookmarkStart w:id="55" w:name="_Toc11232460"/>
      <w:bookmarkStart w:id="56" w:name="_Toc11232751"/>
      <w:bookmarkStart w:id="57" w:name="_Toc21941963"/>
      <w:r w:rsidRPr="003D6A3B">
        <w:rPr>
          <w:rFonts w:cstheme="minorHAnsi"/>
          <w:szCs w:val="22"/>
        </w:rPr>
        <w:t xml:space="preserve">2019 m. </w:t>
      </w:r>
      <w:r w:rsidR="00AF4067" w:rsidRPr="003D6A3B">
        <w:rPr>
          <w:rFonts w:cstheme="minorHAnsi"/>
          <w:szCs w:val="22"/>
        </w:rPr>
        <w:t>birželio 24</w:t>
      </w:r>
      <w:r w:rsidRPr="003D6A3B">
        <w:rPr>
          <w:rFonts w:cstheme="minorHAnsi"/>
          <w:szCs w:val="22"/>
        </w:rPr>
        <w:t xml:space="preserve"> d. </w:t>
      </w:r>
      <w:r w:rsidR="00AF4067" w:rsidRPr="003D6A3B">
        <w:rPr>
          <w:rFonts w:cstheme="minorHAnsi"/>
          <w:szCs w:val="22"/>
        </w:rPr>
        <w:t xml:space="preserve">didžiosios kolegijos </w:t>
      </w:r>
      <w:r w:rsidRPr="003D6A3B">
        <w:rPr>
          <w:rFonts w:cstheme="minorHAnsi"/>
          <w:szCs w:val="22"/>
        </w:rPr>
        <w:t>sprendimas byloje C</w:t>
      </w:r>
      <w:r w:rsidRPr="003D6A3B">
        <w:rPr>
          <w:rFonts w:cstheme="minorHAnsi"/>
          <w:szCs w:val="22"/>
        </w:rPr>
        <w:noBreakHyphen/>
      </w:r>
      <w:r w:rsidR="00AF4067" w:rsidRPr="003D6A3B">
        <w:rPr>
          <w:rFonts w:cstheme="minorHAnsi"/>
          <w:szCs w:val="22"/>
        </w:rPr>
        <w:t>619</w:t>
      </w:r>
      <w:r w:rsidRPr="003D6A3B">
        <w:rPr>
          <w:rFonts w:cstheme="minorHAnsi"/>
          <w:szCs w:val="22"/>
        </w:rPr>
        <w:t>/1</w:t>
      </w:r>
      <w:bookmarkEnd w:id="55"/>
      <w:bookmarkEnd w:id="56"/>
      <w:r w:rsidR="00AF4067" w:rsidRPr="003D6A3B">
        <w:rPr>
          <w:rFonts w:cstheme="minorHAnsi"/>
          <w:szCs w:val="22"/>
        </w:rPr>
        <w:t>8</w:t>
      </w:r>
      <w:bookmarkEnd w:id="57"/>
    </w:p>
    <w:p w:rsidR="004D471B" w:rsidRPr="003D6A3B" w:rsidRDefault="00AF4067" w:rsidP="004D471B">
      <w:pPr>
        <w:jc w:val="center"/>
        <w:rPr>
          <w:rFonts w:asciiTheme="minorHAnsi" w:hAnsiTheme="minorHAnsi" w:cstheme="minorHAnsi"/>
          <w:b/>
          <w:bCs/>
          <w:i/>
        </w:rPr>
      </w:pPr>
      <w:r w:rsidRPr="003D6A3B">
        <w:rPr>
          <w:rFonts w:asciiTheme="minorHAnsi" w:hAnsiTheme="minorHAnsi" w:cstheme="minorHAnsi"/>
          <w:b/>
          <w:bCs/>
          <w:i/>
        </w:rPr>
        <w:t>Europos Komisija</w:t>
      </w:r>
      <w:r w:rsidR="004D471B" w:rsidRPr="003D6A3B">
        <w:rPr>
          <w:rFonts w:asciiTheme="minorHAnsi" w:hAnsiTheme="minorHAnsi" w:cstheme="minorHAnsi"/>
          <w:b/>
          <w:bCs/>
          <w:i/>
        </w:rPr>
        <w:t xml:space="preserve"> </w:t>
      </w:r>
      <w:r w:rsidR="004D471B" w:rsidRPr="003D6A3B">
        <w:rPr>
          <w:rFonts w:asciiTheme="minorHAnsi" w:hAnsiTheme="minorHAnsi" w:cstheme="minorHAnsi"/>
          <w:b/>
          <w:i/>
        </w:rPr>
        <w:t xml:space="preserve">prieš </w:t>
      </w:r>
      <w:r w:rsidRPr="003D6A3B">
        <w:rPr>
          <w:rFonts w:asciiTheme="minorHAnsi" w:hAnsiTheme="minorHAnsi" w:cstheme="minorHAnsi"/>
          <w:b/>
          <w:bCs/>
          <w:i/>
        </w:rPr>
        <w:t>Lenkijos Respubliką</w:t>
      </w:r>
    </w:p>
    <w:p w:rsidR="004D471B" w:rsidRPr="003D6A3B" w:rsidRDefault="004D471B" w:rsidP="004D471B">
      <w:pPr>
        <w:ind w:firstLine="540"/>
        <w:rPr>
          <w:rFonts w:asciiTheme="minorHAnsi" w:hAnsiTheme="minorHAnsi" w:cstheme="minorHAnsi"/>
        </w:rPr>
      </w:pPr>
    </w:p>
    <w:p w:rsidR="004D471B" w:rsidRPr="003D6A3B" w:rsidRDefault="00AF4067" w:rsidP="004D471B">
      <w:pPr>
        <w:ind w:firstLine="567"/>
        <w:rPr>
          <w:rFonts w:asciiTheme="minorHAnsi" w:hAnsiTheme="minorHAnsi" w:cstheme="minorHAnsi"/>
        </w:rPr>
      </w:pPr>
      <w:r w:rsidRPr="003D6A3B">
        <w:rPr>
          <w:rFonts w:asciiTheme="minorHAnsi" w:hAnsiTheme="minorHAnsi" w:cstheme="minorHAnsi"/>
        </w:rPr>
        <w:t xml:space="preserve"> Savo ieškiniu Europos Komisija prašė Teisingumo Teismo pripažinti, kad Lenkijos Respublika, pirma, sutrumpindama </w:t>
      </w:r>
      <w:r w:rsidRPr="003D6A3B">
        <w:rPr>
          <w:rFonts w:asciiTheme="minorHAnsi" w:hAnsiTheme="minorHAnsi" w:cstheme="minorHAnsi"/>
          <w:i/>
          <w:iCs/>
        </w:rPr>
        <w:t>Sąd Najwyższy</w:t>
      </w:r>
      <w:r w:rsidRPr="003D6A3B">
        <w:rPr>
          <w:rFonts w:asciiTheme="minorHAnsi" w:hAnsiTheme="minorHAnsi" w:cstheme="minorHAnsi"/>
        </w:rPr>
        <w:t xml:space="preserve"> (Aukščiausiasis Teismas, Lenkija) teisėjų pensinį amžių ir taikydama šią priemonę iki 2018 m. balandžio 3 d. į šį teismą paskirtiems pareigas einantiems teisėjams ir, antra, suteikdama Respublikos Prezidentui diskreciją pratęsti to teismo teisėjų teisminių įgaliojimų vykdymo sulaukus naujai nustatyto pensinio amžiaus terminą, neįvykdė įsipareigojimų pagal </w:t>
      </w:r>
      <w:r w:rsidR="00934D33" w:rsidRPr="003D6A3B">
        <w:rPr>
          <w:rFonts w:asciiTheme="minorHAnsi" w:hAnsiTheme="minorHAnsi" w:cstheme="minorHAnsi"/>
        </w:rPr>
        <w:t xml:space="preserve">Europos Sąjungos sutarties (toliau – </w:t>
      </w:r>
      <w:r w:rsidRPr="003D6A3B">
        <w:rPr>
          <w:rFonts w:asciiTheme="minorHAnsi" w:hAnsiTheme="minorHAnsi" w:cstheme="minorHAnsi"/>
        </w:rPr>
        <w:t>ESS</w:t>
      </w:r>
      <w:r w:rsidR="00934D33" w:rsidRPr="003D6A3B">
        <w:rPr>
          <w:rFonts w:asciiTheme="minorHAnsi" w:hAnsiTheme="minorHAnsi" w:cstheme="minorHAnsi"/>
        </w:rPr>
        <w:t>)</w:t>
      </w:r>
      <w:r w:rsidRPr="003D6A3B">
        <w:rPr>
          <w:rFonts w:asciiTheme="minorHAnsi" w:hAnsiTheme="minorHAnsi" w:cstheme="minorHAnsi"/>
        </w:rPr>
        <w:t xml:space="preserve"> 19 straipsnio 1 dalies antrą pastraipą, siejamą su Europos Sąjungos pagrindinių teisių chartijos (toliau – Chartija) 47 straipsniu (1 punktas).</w:t>
      </w:r>
    </w:p>
    <w:p w:rsidR="00AF4067" w:rsidRPr="003D6A3B" w:rsidRDefault="00AF4067" w:rsidP="004D471B">
      <w:pPr>
        <w:ind w:firstLine="567"/>
        <w:rPr>
          <w:rFonts w:asciiTheme="minorHAnsi" w:hAnsiTheme="minorHAnsi" w:cstheme="minorHAnsi"/>
        </w:rPr>
      </w:pPr>
    </w:p>
    <w:p w:rsidR="004D471B" w:rsidRPr="003D6A3B" w:rsidRDefault="004D471B" w:rsidP="004D471B">
      <w:pPr>
        <w:pStyle w:val="Heading3"/>
        <w:ind w:firstLine="567"/>
        <w:rPr>
          <w:rFonts w:cstheme="minorHAnsi"/>
        </w:rPr>
      </w:pPr>
      <w:bookmarkStart w:id="58" w:name="_Toc11232461"/>
      <w:bookmarkStart w:id="59" w:name="_Toc11232752"/>
      <w:bookmarkStart w:id="60" w:name="_Toc21941964"/>
      <w:r w:rsidRPr="003D6A3B">
        <w:rPr>
          <w:rFonts w:cstheme="minorHAnsi"/>
        </w:rPr>
        <w:t xml:space="preserve">Dėl </w:t>
      </w:r>
      <w:bookmarkEnd w:id="58"/>
      <w:bookmarkEnd w:id="59"/>
      <w:r w:rsidR="00AF4067" w:rsidRPr="003D6A3B">
        <w:rPr>
          <w:rFonts w:cstheme="minorHAnsi"/>
        </w:rPr>
        <w:t>teisėjų pensinio amžiaus sutrumpinimo</w:t>
      </w:r>
      <w:r w:rsidR="000C3A69" w:rsidRPr="003D6A3B">
        <w:rPr>
          <w:rFonts w:cstheme="minorHAnsi"/>
        </w:rPr>
        <w:t>, lemiančio teisėjų teisminių įgaliojimų vykdymo nutraukimą pirma laiko</w:t>
      </w:r>
      <w:bookmarkEnd w:id="60"/>
    </w:p>
    <w:p w:rsidR="004D471B" w:rsidRPr="003D6A3B" w:rsidRDefault="004D471B" w:rsidP="004D471B">
      <w:pPr>
        <w:ind w:firstLine="567"/>
        <w:rPr>
          <w:rFonts w:asciiTheme="minorHAnsi" w:hAnsiTheme="minorHAnsi" w:cstheme="minorHAnsi"/>
          <w:b/>
        </w:rPr>
      </w:pPr>
    </w:p>
    <w:p w:rsidR="004D471B" w:rsidRPr="003D6A3B" w:rsidRDefault="0039283F" w:rsidP="004146C6">
      <w:pPr>
        <w:ind w:firstLine="567"/>
        <w:rPr>
          <w:rFonts w:asciiTheme="minorHAnsi" w:hAnsiTheme="minorHAnsi" w:cstheme="minorHAnsi"/>
        </w:rPr>
      </w:pPr>
      <w:r>
        <w:rPr>
          <w:rFonts w:asciiTheme="minorHAnsi" w:hAnsiTheme="minorHAnsi" w:cstheme="minorHAnsi"/>
        </w:rPr>
        <w:t xml:space="preserve">Teisingumo Teismas nurodė, kad </w:t>
      </w:r>
      <w:r w:rsidR="004741D7" w:rsidRPr="003D6A3B">
        <w:rPr>
          <w:rFonts w:asciiTheme="minorHAnsi" w:hAnsiTheme="minorHAnsi" w:cstheme="minorHAnsi"/>
          <w:u w:val="single"/>
        </w:rPr>
        <w:t>teismų nepriklausomumo reikalavimas</w:t>
      </w:r>
      <w:r w:rsidR="004741D7" w:rsidRPr="003D6A3B">
        <w:rPr>
          <w:rFonts w:asciiTheme="minorHAnsi" w:hAnsiTheme="minorHAnsi" w:cstheme="minorHAnsi"/>
        </w:rPr>
        <w:t xml:space="preserve">, kurio laikymąsi pagal ESS 19 straipsnio 1 dalies antrą pastraipą turi užtikrinti valstybės narės, kiek tai susiję su nacionaliniais teismais, kurie, kaip ir </w:t>
      </w:r>
      <w:r w:rsidR="004741D7" w:rsidRPr="003D6A3B">
        <w:rPr>
          <w:rFonts w:asciiTheme="minorHAnsi" w:hAnsiTheme="minorHAnsi" w:cstheme="minorHAnsi"/>
          <w:i/>
          <w:iCs/>
        </w:rPr>
        <w:t>Sąd Najwyższy</w:t>
      </w:r>
      <w:r w:rsidR="004741D7" w:rsidRPr="003D6A3B">
        <w:rPr>
          <w:rFonts w:asciiTheme="minorHAnsi" w:hAnsiTheme="minorHAnsi" w:cstheme="minorHAnsi"/>
        </w:rPr>
        <w:t xml:space="preserve"> (Aukščiausiasis Teismas), priima sprendimus dėl Sąjungos teisės aiškinimo ir taikymo klausimų, </w:t>
      </w:r>
      <w:r w:rsidR="004741D7" w:rsidRPr="003D6A3B">
        <w:rPr>
          <w:rFonts w:asciiTheme="minorHAnsi" w:hAnsiTheme="minorHAnsi" w:cstheme="minorHAnsi"/>
          <w:u w:val="single"/>
        </w:rPr>
        <w:t>apima du aspektus</w:t>
      </w:r>
      <w:r w:rsidR="004741D7" w:rsidRPr="003D6A3B">
        <w:rPr>
          <w:rFonts w:asciiTheme="minorHAnsi" w:hAnsiTheme="minorHAnsi" w:cstheme="minorHAnsi"/>
        </w:rPr>
        <w:t>.</w:t>
      </w:r>
      <w:r w:rsidR="00A84A71" w:rsidRPr="003D6A3B">
        <w:rPr>
          <w:rFonts w:asciiTheme="minorHAnsi" w:hAnsiTheme="minorHAnsi" w:cstheme="minorHAnsi"/>
        </w:rPr>
        <w:t xml:space="preserve"> </w:t>
      </w:r>
      <w:r w:rsidR="00A84A71" w:rsidRPr="003D6A3B">
        <w:rPr>
          <w:rFonts w:asciiTheme="minorHAnsi" w:hAnsiTheme="minorHAnsi" w:cstheme="minorHAnsi"/>
          <w:u w:val="single"/>
        </w:rPr>
        <w:t>Pagal pirmąjį, išorinį, aspektą reikalaujama, kad atitinkama institucija savo funkcijas vykdytų visiškai autonomiškai, jos nesaistytų jokie hierarchijos ar pavaldumo ryšiai, ji negautų jokių nurodymų ar įpareigojimų, taigi būtų apsaugota nuo išorinio poveikio ar spaudimo, kurie gali kelti grėsmę jos narių nepriklausomam sprendimų priėmimui ir turėti įtakos jų sprendimams</w:t>
      </w:r>
      <w:r w:rsidR="0063245A">
        <w:rPr>
          <w:rFonts w:asciiTheme="minorHAnsi" w:hAnsiTheme="minorHAnsi" w:cstheme="minorHAnsi"/>
        </w:rPr>
        <w:t xml:space="preserve"> (2018 m. vasario 27 </w:t>
      </w:r>
      <w:r w:rsidR="00A84A71" w:rsidRPr="003D6A3B">
        <w:rPr>
          <w:rFonts w:asciiTheme="minorHAnsi" w:hAnsiTheme="minorHAnsi" w:cstheme="minorHAnsi"/>
        </w:rPr>
        <w:t xml:space="preserve">d. Sprendimo </w:t>
      </w:r>
      <w:r w:rsidR="00A84A71" w:rsidRPr="003D6A3B">
        <w:rPr>
          <w:rFonts w:asciiTheme="minorHAnsi" w:hAnsiTheme="minorHAnsi" w:cstheme="minorHAnsi"/>
          <w:i/>
        </w:rPr>
        <w:t>Associação Sindical dos Juízes Portugueses</w:t>
      </w:r>
      <w:r w:rsidR="00A84A71" w:rsidRPr="003D6A3B">
        <w:rPr>
          <w:rFonts w:asciiTheme="minorHAnsi" w:hAnsiTheme="minorHAnsi" w:cstheme="minorHAnsi"/>
        </w:rPr>
        <w:t>, C</w:t>
      </w:r>
      <w:r w:rsidR="00A84A71" w:rsidRPr="003D6A3B">
        <w:rPr>
          <w:rFonts w:ascii="Cambria Math" w:hAnsi="Cambria Math" w:cs="Cambria Math"/>
        </w:rPr>
        <w:t>‑</w:t>
      </w:r>
      <w:r w:rsidR="00A84A71" w:rsidRPr="003D6A3B">
        <w:rPr>
          <w:rFonts w:asciiTheme="minorHAnsi" w:hAnsiTheme="minorHAnsi" w:cstheme="minorHAnsi"/>
        </w:rPr>
        <w:t>64/16, EU:C:2018:117, 44 punktas ir jame nurodyta jurisprudencija).</w:t>
      </w:r>
      <w:r w:rsidR="00A84A71" w:rsidRPr="003D6A3B">
        <w:rPr>
          <w:rFonts w:ascii="Verdana" w:hAnsi="Verdana"/>
          <w:color w:val="333333"/>
          <w:sz w:val="18"/>
          <w:szCs w:val="18"/>
          <w:shd w:val="clear" w:color="auto" w:fill="FFFFFF"/>
        </w:rPr>
        <w:t xml:space="preserve"> </w:t>
      </w:r>
      <w:r w:rsidR="00A84A71" w:rsidRPr="003D6A3B">
        <w:rPr>
          <w:rFonts w:asciiTheme="minorHAnsi" w:hAnsiTheme="minorHAnsi" w:cstheme="minorHAnsi"/>
          <w:u w:val="single"/>
        </w:rPr>
        <w:t>Antrasis, vidinis, aspektas susijęs su nešališkumo sąvoka ir reikalauja vienodai atsiriboti nuo bylos šalių ir jų atitinkamų interesų, susijusių su nagrinėjamos bylos dalyku. Šis aspektas reikalauja objektyvumo ir jokio suinteresuotumo bylos baigtimi nebuvimo, išskyrus siekį, kad ginčas būtų išspręstas griežtai laikantis teisės normų</w:t>
      </w:r>
      <w:r w:rsidR="00A84A71" w:rsidRPr="003D6A3B">
        <w:rPr>
          <w:rFonts w:asciiTheme="minorHAnsi" w:hAnsiTheme="minorHAnsi" w:cstheme="minorHAnsi"/>
        </w:rPr>
        <w:t xml:space="preserve"> (2018 m. liepos 25 d. Sprendimo </w:t>
      </w:r>
      <w:r w:rsidR="00A84A71" w:rsidRPr="003D6A3B">
        <w:rPr>
          <w:rFonts w:asciiTheme="minorHAnsi" w:hAnsiTheme="minorHAnsi" w:cstheme="minorHAnsi"/>
          <w:i/>
          <w:iCs/>
        </w:rPr>
        <w:t>Minister for Justice and Equality (Teismų sistemos trūkumai)</w:t>
      </w:r>
      <w:r w:rsidR="00A84A71" w:rsidRPr="003D6A3B">
        <w:rPr>
          <w:rFonts w:asciiTheme="minorHAnsi" w:hAnsiTheme="minorHAnsi" w:cstheme="minorHAnsi"/>
        </w:rPr>
        <w:t>, C</w:t>
      </w:r>
      <w:r w:rsidR="00A84A71" w:rsidRPr="003D6A3B">
        <w:rPr>
          <w:rFonts w:asciiTheme="minorHAnsi" w:hAnsiTheme="minorHAnsi" w:cstheme="minorHAnsi"/>
        </w:rPr>
        <w:noBreakHyphen/>
        <w:t xml:space="preserve">216/18 PPU, EU:C:2018:586, 65 punktas ir jame nurodyta jurisprudencija). </w:t>
      </w:r>
      <w:r w:rsidR="00A84A71" w:rsidRPr="003D6A3B">
        <w:rPr>
          <w:rFonts w:asciiTheme="minorHAnsi" w:hAnsiTheme="minorHAnsi" w:cstheme="minorHAnsi"/>
          <w:u w:val="single"/>
        </w:rPr>
        <w:t>Šios nepriklausomumo ir nešališkumo garantijos susijusios su reikalavimu, kad egzistuotų taisyklės, be kita ko, dėl teismo sudėties, jo narių skyrimo, įgaliojimų trukmės ir nusišalinimo, nušalinimo ir atšaukimo priežasčių, kad teisės subjektams nekiltų jokių pagrįstų abejonių dėl to, ar teismui nedaro įtakos išorės veiksniai, ir dėl jo neutralumo, kai susikerta interesai</w:t>
      </w:r>
      <w:r w:rsidR="00A84A71" w:rsidRPr="003D6A3B">
        <w:rPr>
          <w:rFonts w:asciiTheme="minorHAnsi" w:hAnsiTheme="minorHAnsi" w:cstheme="minorHAnsi"/>
        </w:rPr>
        <w:t xml:space="preserve"> (2006 m. rugsėjo 19 d. Sprendimo </w:t>
      </w:r>
      <w:r w:rsidR="00A84A71" w:rsidRPr="003D6A3B">
        <w:rPr>
          <w:rFonts w:asciiTheme="minorHAnsi" w:hAnsiTheme="minorHAnsi" w:cstheme="minorHAnsi"/>
          <w:i/>
          <w:iCs/>
        </w:rPr>
        <w:t>Wilson</w:t>
      </w:r>
      <w:r w:rsidR="00A84A71" w:rsidRPr="003D6A3B">
        <w:rPr>
          <w:rFonts w:asciiTheme="minorHAnsi" w:hAnsiTheme="minorHAnsi" w:cstheme="minorHAnsi"/>
        </w:rPr>
        <w:t>, C</w:t>
      </w:r>
      <w:r w:rsidR="00A84A71" w:rsidRPr="003D6A3B">
        <w:rPr>
          <w:rFonts w:asciiTheme="minorHAnsi" w:hAnsiTheme="minorHAnsi" w:cstheme="minorHAnsi"/>
        </w:rPr>
        <w:noBreakHyphen/>
        <w:t xml:space="preserve">506/04, EU:C:2006:587, 53 punktas ir jame nurodyta jurisprudencija ir 2018 m. liepos 25 d. Sprendimo </w:t>
      </w:r>
      <w:r w:rsidR="00A84A71" w:rsidRPr="003D6A3B">
        <w:rPr>
          <w:rFonts w:asciiTheme="minorHAnsi" w:hAnsiTheme="minorHAnsi" w:cstheme="minorHAnsi"/>
          <w:i/>
          <w:iCs/>
        </w:rPr>
        <w:t>Minister for Justice and Equality (Teismų sistemos trūkumai)</w:t>
      </w:r>
      <w:r w:rsidR="00A84A71" w:rsidRPr="003D6A3B">
        <w:rPr>
          <w:rFonts w:asciiTheme="minorHAnsi" w:hAnsiTheme="minorHAnsi" w:cstheme="minorHAnsi"/>
        </w:rPr>
        <w:t>, C</w:t>
      </w:r>
      <w:r w:rsidR="00A84A71" w:rsidRPr="003D6A3B">
        <w:rPr>
          <w:rFonts w:asciiTheme="minorHAnsi" w:hAnsiTheme="minorHAnsi" w:cstheme="minorHAnsi"/>
        </w:rPr>
        <w:noBreakHyphen/>
        <w:t>216/18 PPU, EU:C:2018:586, 66 punktas ir jame nurodyta jurisprudencija) (71–74 punktai).</w:t>
      </w:r>
    </w:p>
    <w:p w:rsidR="00A84A71" w:rsidRPr="003D6A3B" w:rsidRDefault="00A84A71" w:rsidP="004146C6">
      <w:pPr>
        <w:ind w:firstLine="567"/>
        <w:rPr>
          <w:rFonts w:asciiTheme="minorHAnsi" w:hAnsiTheme="minorHAnsi" w:cstheme="minorHAnsi"/>
        </w:rPr>
      </w:pPr>
      <w:r w:rsidRPr="003D6A3B">
        <w:rPr>
          <w:rFonts w:asciiTheme="minorHAnsi" w:hAnsiTheme="minorHAnsi" w:cstheme="minorHAnsi"/>
        </w:rPr>
        <w:t> </w:t>
      </w:r>
      <w:r w:rsidR="003808C4" w:rsidRPr="003D6A3B">
        <w:rPr>
          <w:rFonts w:asciiTheme="minorHAnsi" w:hAnsiTheme="minorHAnsi" w:cstheme="minorHAnsi"/>
        </w:rPr>
        <w:t>Š</w:t>
      </w:r>
      <w:r w:rsidRPr="003D6A3B">
        <w:rPr>
          <w:rFonts w:asciiTheme="minorHAnsi" w:hAnsiTheme="minorHAnsi" w:cstheme="minorHAnsi"/>
        </w:rPr>
        <w:t xml:space="preserve">i būtina teisėjų laisvė nuo bet kokio išorinio poveikio ar spaudimo reikalauja nepašalinamumo garantijos. </w:t>
      </w:r>
      <w:r w:rsidRPr="003D6A3B">
        <w:rPr>
          <w:rFonts w:asciiTheme="minorHAnsi" w:hAnsiTheme="minorHAnsi" w:cstheme="minorHAnsi"/>
          <w:u w:val="single"/>
        </w:rPr>
        <w:t>Pagal nepašalinamumo principą, be kita ko, reikalaujama, kad teisėjai galėtų eiti savo pareigas, kol sulauks privalomo pensinio amžiaus arba kol baigsis jų įgaliojimai, jeigu nustatyta šių įgaliojimų trukmė</w:t>
      </w:r>
      <w:r w:rsidRPr="003D6A3B">
        <w:rPr>
          <w:rFonts w:asciiTheme="minorHAnsi" w:hAnsiTheme="minorHAnsi" w:cstheme="minorHAnsi"/>
        </w:rPr>
        <w:t>. Nors minėtas principas nėra absoliutus, jo išimtys gali būti taikomos tik kai tai pateisinama teisėtais ir privalomaisiais pagrindais, laikantis proporcingumo principo. Visuotinai pripažįstama, kad teisėjai gali būti atšaukti iš pareigų laikantis atitinkamos tvarkos, jei jie nebetinkami pareigoms dėl nedarbingumo arba šiurkštaus pažeidimo (75–</w:t>
      </w:r>
      <w:r w:rsidR="00910745" w:rsidRPr="003D6A3B">
        <w:rPr>
          <w:rFonts w:asciiTheme="minorHAnsi" w:hAnsiTheme="minorHAnsi" w:cstheme="minorHAnsi"/>
        </w:rPr>
        <w:t>76 punktai).</w:t>
      </w:r>
    </w:p>
    <w:p w:rsidR="00910745" w:rsidRPr="003D6A3B" w:rsidRDefault="005F20C1" w:rsidP="004146C6">
      <w:pPr>
        <w:ind w:firstLine="567"/>
        <w:rPr>
          <w:rFonts w:asciiTheme="minorHAnsi" w:hAnsiTheme="minorHAnsi" w:cstheme="minorHAnsi"/>
        </w:rPr>
      </w:pPr>
      <w:r w:rsidRPr="003D6A3B">
        <w:rPr>
          <w:rFonts w:asciiTheme="minorHAnsi" w:hAnsiTheme="minorHAnsi" w:cstheme="minorHAnsi"/>
        </w:rPr>
        <w:t xml:space="preserve">Ginčijama reforma, pagal kurią numatyta taikyti </w:t>
      </w:r>
      <w:r w:rsidRPr="003D6A3B">
        <w:rPr>
          <w:rFonts w:asciiTheme="minorHAnsi" w:hAnsiTheme="minorHAnsi" w:cstheme="minorHAnsi"/>
          <w:i/>
          <w:iCs/>
        </w:rPr>
        <w:t>Sąd Najwyższy</w:t>
      </w:r>
      <w:r w:rsidRPr="003D6A3B">
        <w:rPr>
          <w:rFonts w:asciiTheme="minorHAnsi" w:hAnsiTheme="minorHAnsi" w:cstheme="minorHAnsi"/>
        </w:rPr>
        <w:t xml:space="preserve"> (Aukščiausiasis Teismas) teisėjų pensinio amžiaus sutrumpinimo priemonę šiame teisme pareigas einantiems teisėjams, lemia šių teisėjų teisminių įgaliojimų vykdymo nutraukimą pirma laiko, taigi ji gali sukelti pagrįstų abejonių dėl teisėjų nepašalinamumo principo laikymosi (78 punktas).</w:t>
      </w:r>
    </w:p>
    <w:p w:rsidR="0030354A" w:rsidRPr="003D6A3B" w:rsidRDefault="00A11F43" w:rsidP="004146C6">
      <w:pPr>
        <w:ind w:firstLine="567"/>
        <w:rPr>
          <w:rFonts w:asciiTheme="minorHAnsi" w:hAnsiTheme="minorHAnsi" w:cstheme="minorHAnsi"/>
        </w:rPr>
      </w:pPr>
      <w:r w:rsidRPr="003D6A3B">
        <w:rPr>
          <w:rFonts w:asciiTheme="minorHAnsi" w:hAnsiTheme="minorHAnsi" w:cstheme="minorHAnsi"/>
        </w:rPr>
        <w:t xml:space="preserve">Teisingumo Teismas yra aiškiai pripažinęs, jog užimtumo politikos srityje teisėti gali būti tikslai, kuriais siekiama suvienodinti profesijų valstybės tarnyboje atstovų amžiaus ribą, kurią pasiekus privaloma nutraukti veiklą, arba sukurti labiau suderintą amžiaus struktūrą ir taip palengvinti jaunų žmonių priėmimą, be kita ko, į teisėjo pareigas (šiuo klausimu žr. 2011 m. liepos 21 d. Sprendimo </w:t>
      </w:r>
      <w:r w:rsidRPr="003D6A3B">
        <w:rPr>
          <w:rFonts w:asciiTheme="minorHAnsi" w:hAnsiTheme="minorHAnsi" w:cstheme="minorHAnsi"/>
          <w:i/>
          <w:iCs/>
        </w:rPr>
        <w:t>Fuchs ir Köhler</w:t>
      </w:r>
      <w:r w:rsidRPr="003D6A3B">
        <w:rPr>
          <w:rFonts w:asciiTheme="minorHAnsi" w:hAnsiTheme="minorHAnsi" w:cstheme="minorHAnsi"/>
        </w:rPr>
        <w:t>, C</w:t>
      </w:r>
      <w:r w:rsidRPr="003D6A3B">
        <w:rPr>
          <w:rFonts w:asciiTheme="minorHAnsi" w:hAnsiTheme="minorHAnsi" w:cstheme="minorHAnsi"/>
        </w:rPr>
        <w:noBreakHyphen/>
        <w:t>159/10 ir C</w:t>
      </w:r>
      <w:r w:rsidRPr="003D6A3B">
        <w:rPr>
          <w:rFonts w:asciiTheme="minorHAnsi" w:hAnsiTheme="minorHAnsi" w:cstheme="minorHAnsi"/>
        </w:rPr>
        <w:noBreakHyphen/>
        <w:t xml:space="preserve">160/10, EU:C:2011:508, 50 punktą ir 2012 m. lapkričio 6 d. Sprendimo </w:t>
      </w:r>
      <w:r w:rsidRPr="003D6A3B">
        <w:rPr>
          <w:rFonts w:asciiTheme="minorHAnsi" w:hAnsiTheme="minorHAnsi" w:cstheme="minorHAnsi"/>
          <w:i/>
          <w:iCs/>
        </w:rPr>
        <w:t>Komisija / Vengrija</w:t>
      </w:r>
      <w:r w:rsidRPr="003D6A3B">
        <w:rPr>
          <w:rFonts w:asciiTheme="minorHAnsi" w:hAnsiTheme="minorHAnsi" w:cstheme="minorHAnsi"/>
        </w:rPr>
        <w:t>, C</w:t>
      </w:r>
      <w:r w:rsidRPr="003D6A3B">
        <w:rPr>
          <w:rFonts w:asciiTheme="minorHAnsi" w:hAnsiTheme="minorHAnsi" w:cstheme="minorHAnsi"/>
        </w:rPr>
        <w:noBreakHyphen/>
        <w:t>286/12, EU:C:2012:687, 61 ir 62 punktus) (81 punktas).</w:t>
      </w:r>
      <w:r w:rsidRPr="003D6A3B">
        <w:rPr>
          <w:rFonts w:ascii="Verdana" w:hAnsi="Verdana"/>
          <w:color w:val="333333"/>
          <w:sz w:val="18"/>
          <w:szCs w:val="18"/>
          <w:shd w:val="clear" w:color="auto" w:fill="FFFFFF"/>
        </w:rPr>
        <w:t xml:space="preserve"> </w:t>
      </w:r>
      <w:r w:rsidRPr="003D6A3B">
        <w:rPr>
          <w:rFonts w:asciiTheme="minorHAnsi" w:hAnsiTheme="minorHAnsi" w:cstheme="minorHAnsi"/>
        </w:rPr>
        <w:t> </w:t>
      </w:r>
    </w:p>
    <w:p w:rsidR="005F20C1" w:rsidRPr="003D6A3B" w:rsidRDefault="00A11F43" w:rsidP="004146C6">
      <w:pPr>
        <w:ind w:firstLine="567"/>
        <w:rPr>
          <w:rFonts w:asciiTheme="minorHAnsi" w:hAnsiTheme="minorHAnsi" w:cstheme="minorHAnsi"/>
        </w:rPr>
      </w:pPr>
      <w:r w:rsidRPr="003D6A3B">
        <w:rPr>
          <w:rFonts w:asciiTheme="minorHAnsi" w:hAnsiTheme="minorHAnsi" w:cstheme="minorHAnsi"/>
        </w:rPr>
        <w:t>Vis dėlto pažymėta, kad</w:t>
      </w:r>
      <w:r w:rsidR="0030354A" w:rsidRPr="003D6A3B">
        <w:rPr>
          <w:rFonts w:asciiTheme="minorHAnsi" w:hAnsiTheme="minorHAnsi" w:cstheme="minorHAnsi"/>
        </w:rPr>
        <w:t>, pirma,</w:t>
      </w:r>
      <w:r w:rsidRPr="003D6A3B">
        <w:rPr>
          <w:rFonts w:asciiTheme="minorHAnsi" w:hAnsiTheme="minorHAnsi" w:cstheme="minorHAnsi"/>
        </w:rPr>
        <w:t xml:space="preserve"> naujo Aukščiausiojo Teismo įstatymo projekto aiškinamajame rašte pateikta informacija kelia didelių abejonių dėl to, ar pareigas einančių </w:t>
      </w:r>
      <w:r w:rsidRPr="003D6A3B">
        <w:rPr>
          <w:rFonts w:asciiTheme="minorHAnsi" w:hAnsiTheme="minorHAnsi" w:cstheme="minorHAnsi"/>
          <w:i/>
          <w:iCs/>
        </w:rPr>
        <w:t>Sąd Najwyższy</w:t>
      </w:r>
      <w:r w:rsidRPr="003D6A3B">
        <w:rPr>
          <w:rFonts w:asciiTheme="minorHAnsi" w:hAnsiTheme="minorHAnsi" w:cstheme="minorHAnsi"/>
        </w:rPr>
        <w:t xml:space="preserve"> (Aukščiausiasis Teismas) teisėjų pensinio amžiaus reforma buvo vykdoma vadovaujantis tokiais tikslais, o ne siekiu pašalinti tam tikrą šio teismo teisėjų grupę</w:t>
      </w:r>
      <w:r w:rsidR="0030354A" w:rsidRPr="003D6A3B">
        <w:rPr>
          <w:rFonts w:asciiTheme="minorHAnsi" w:hAnsiTheme="minorHAnsi" w:cstheme="minorHAnsi"/>
        </w:rPr>
        <w:t xml:space="preserve"> (82 punktas)</w:t>
      </w:r>
      <w:r w:rsidRPr="003D6A3B">
        <w:rPr>
          <w:rFonts w:asciiTheme="minorHAnsi" w:hAnsiTheme="minorHAnsi" w:cstheme="minorHAnsi"/>
        </w:rPr>
        <w:t>.</w:t>
      </w:r>
      <w:r w:rsidR="0030354A" w:rsidRPr="003D6A3B">
        <w:rPr>
          <w:rFonts w:asciiTheme="minorHAnsi" w:hAnsiTheme="minorHAnsi" w:cstheme="minorHAnsi"/>
        </w:rPr>
        <w:t xml:space="preserve"> Antra, sutrumpinant </w:t>
      </w:r>
      <w:r w:rsidR="0030354A" w:rsidRPr="003D6A3B">
        <w:rPr>
          <w:rFonts w:asciiTheme="minorHAnsi" w:hAnsiTheme="minorHAnsi" w:cstheme="minorHAnsi"/>
          <w:i/>
          <w:iCs/>
        </w:rPr>
        <w:t>Sąd Najwyższy</w:t>
      </w:r>
      <w:r w:rsidR="0030354A" w:rsidRPr="003D6A3B">
        <w:rPr>
          <w:rFonts w:asciiTheme="minorHAnsi" w:hAnsiTheme="minorHAnsi" w:cstheme="minorHAnsi"/>
        </w:rPr>
        <w:t xml:space="preserve"> (Aukščiausiasis Teismas) teisėjų, ėjusių pareigas tada, kai įsigaliojo naujas Aukščiausiojo Teismo įstatymas, pensinį amžių kartu buvo nustatytas naujas mechanizmas, kuris leido Respublikos Prezidentui savo nuožiūra nuspręsti dėl taip sutrumpinto teisėjų įgaliojimų vykdymo termino pratęsimo iš eilės du kartus po trejus metus. Dėl abiejų šių kartu taikomų priemonių taip pat sustiprinamas įspūdis, kad iš tikrųjų taip galėjo būti siekiama pašalinti iš anksto nustatytą </w:t>
      </w:r>
      <w:r w:rsidR="0030354A" w:rsidRPr="003D6A3B">
        <w:rPr>
          <w:rFonts w:asciiTheme="minorHAnsi" w:hAnsiTheme="minorHAnsi" w:cstheme="minorHAnsi"/>
          <w:i/>
          <w:iCs/>
        </w:rPr>
        <w:t>Sąd Najwyższy</w:t>
      </w:r>
      <w:r w:rsidR="0030354A" w:rsidRPr="003D6A3B">
        <w:rPr>
          <w:rFonts w:asciiTheme="minorHAnsi" w:hAnsiTheme="minorHAnsi" w:cstheme="minorHAnsi"/>
        </w:rPr>
        <w:t xml:space="preserve"> (Aukščiausiasis Teismas) teisėjų dalį, nes, nors pensinio amžiaus sutrumpinimo priemonės buvo taikomos visiems šio teismo teisėjams, ėjusiems pareigas tada, kai įsigaliojo naujas Aukščiausiojo Teismo įstatymas, Respublikos Prezidentas išsaugojo diskreciją palikti toliau eiti pareigas dalį suinteresuotųjų asmenų (83–58 punktai).</w:t>
      </w:r>
      <w:r w:rsidR="0030354A" w:rsidRPr="003D6A3B">
        <w:rPr>
          <w:rFonts w:ascii="Verdana" w:hAnsi="Verdana"/>
          <w:color w:val="333333"/>
          <w:sz w:val="18"/>
          <w:szCs w:val="18"/>
          <w:shd w:val="clear" w:color="auto" w:fill="FFFFFF"/>
        </w:rPr>
        <w:t xml:space="preserve"> </w:t>
      </w:r>
      <w:r w:rsidR="0030354A" w:rsidRPr="003D6A3B">
        <w:rPr>
          <w:rFonts w:asciiTheme="minorHAnsi" w:hAnsiTheme="minorHAnsi" w:cstheme="minorHAnsi"/>
        </w:rPr>
        <w:t xml:space="preserve">Trečia, </w:t>
      </w:r>
      <w:r w:rsidR="0030354A" w:rsidRPr="003D6A3B">
        <w:rPr>
          <w:rFonts w:asciiTheme="minorHAnsi" w:hAnsiTheme="minorHAnsi" w:cstheme="minorHAnsi"/>
          <w:i/>
          <w:iCs/>
        </w:rPr>
        <w:t>Sąd Najwyższy</w:t>
      </w:r>
      <w:r w:rsidR="0030354A" w:rsidRPr="003D6A3B">
        <w:rPr>
          <w:rFonts w:asciiTheme="minorHAnsi" w:hAnsiTheme="minorHAnsi" w:cstheme="minorHAnsi"/>
        </w:rPr>
        <w:t xml:space="preserve"> (Aukščiausiasis Teismas) teisėjų pensinio amžiaus sutrumpinimo penkeriais metais priemonė ir dėl to sutrumpėjusi šių teisėjų įgaliojimų vykdymo trukmė iš karto turėjo įtakos beveik trečdaliui pareigas einančių šio teismo narių, tarp jų, be kita ko, to teismo pirmajai pirmininkei, kurios šešerių metų kadencija, garantuojama pagal Konstituciją, taip pat dėl to sutrumpėjo</w:t>
      </w:r>
      <w:r w:rsidR="003808C4" w:rsidRPr="003D6A3B">
        <w:rPr>
          <w:rFonts w:asciiTheme="minorHAnsi" w:hAnsiTheme="minorHAnsi" w:cstheme="minorHAnsi"/>
        </w:rPr>
        <w:t xml:space="preserve">; </w:t>
      </w:r>
      <w:r w:rsidR="0030354A" w:rsidRPr="003D6A3B">
        <w:rPr>
          <w:rFonts w:asciiTheme="minorHAnsi" w:hAnsiTheme="minorHAnsi" w:cstheme="minorHAnsi"/>
        </w:rPr>
        <w:t xml:space="preserve">reforma galėjo turėti didelį poveikį </w:t>
      </w:r>
      <w:r w:rsidR="0030354A" w:rsidRPr="003D6A3B">
        <w:rPr>
          <w:rFonts w:asciiTheme="minorHAnsi" w:hAnsiTheme="minorHAnsi" w:cstheme="minorHAnsi"/>
          <w:i/>
          <w:iCs/>
        </w:rPr>
        <w:t>Sąd Najwyższy</w:t>
      </w:r>
      <w:r w:rsidR="0030354A" w:rsidRPr="003D6A3B">
        <w:rPr>
          <w:rFonts w:asciiTheme="minorHAnsi" w:hAnsiTheme="minorHAnsi" w:cstheme="minorHAnsi"/>
        </w:rPr>
        <w:t xml:space="preserve"> (Aukščiausiasis Teismas) sudėčiai ir veiklos tęstinumui (86 punktas).</w:t>
      </w:r>
    </w:p>
    <w:p w:rsidR="00337C5A" w:rsidRPr="003D6A3B" w:rsidRDefault="00337C5A" w:rsidP="004146C6">
      <w:pPr>
        <w:ind w:firstLine="567"/>
        <w:rPr>
          <w:rFonts w:asciiTheme="minorHAnsi" w:hAnsiTheme="minorHAnsi" w:cstheme="minorHAnsi"/>
        </w:rPr>
      </w:pPr>
      <w:r w:rsidRPr="003D6A3B">
        <w:rPr>
          <w:rFonts w:asciiTheme="minorHAnsi" w:hAnsiTheme="minorHAnsi" w:cstheme="minorHAnsi"/>
        </w:rPr>
        <w:t xml:space="preserve">Teismas laikė, jog </w:t>
      </w:r>
      <w:r w:rsidRPr="003D6A3B">
        <w:rPr>
          <w:rFonts w:asciiTheme="minorHAnsi" w:hAnsiTheme="minorHAnsi" w:cstheme="minorHAnsi"/>
          <w:u w:val="single"/>
        </w:rPr>
        <w:t>Lenkijos Respublika neįrodė, kad ginčijama priemonė yra tinkama priemonė sumažinti amžiaus ribų, kurias pasiekę visi atitinkamos profesijos atstovai privalo nutraukti veiklą, įvairovę</w:t>
      </w:r>
      <w:r w:rsidRPr="003D6A3B">
        <w:rPr>
          <w:rFonts w:asciiTheme="minorHAnsi" w:hAnsiTheme="minorHAnsi" w:cstheme="minorHAnsi"/>
        </w:rPr>
        <w:t xml:space="preserve">. Konkrečiai ši valstybė narė nenurodė objektyvios priežasties, dėl kurios, siekiant suvienodinti </w:t>
      </w:r>
      <w:r w:rsidRPr="003D6A3B">
        <w:rPr>
          <w:rFonts w:asciiTheme="minorHAnsi" w:hAnsiTheme="minorHAnsi" w:cstheme="minorHAnsi"/>
          <w:i/>
          <w:iCs/>
        </w:rPr>
        <w:t>Sąd Najwyższy</w:t>
      </w:r>
      <w:r w:rsidRPr="003D6A3B">
        <w:rPr>
          <w:rFonts w:asciiTheme="minorHAnsi" w:hAnsiTheme="minorHAnsi" w:cstheme="minorHAnsi"/>
        </w:rPr>
        <w:t xml:space="preserve"> (Aukščiausiasis Teismas) teisėjų pensinį amžių su bendru visiems darbuotojams Lenkijoje taikomu pensiniu amžiumi, buvo būtina numatyti privalomą tų teisėjų išėjimą į pensiją su išlyga, kad Respublikos Prezidentas, pasinaudojęs diskrecija, priėmė sprendimą dėl tolesnio jų pareigų vykdymo, nors likusiems darbuotojams įstatyme nustatytas pensinis amžius nėra privalomas (90 punktas).</w:t>
      </w:r>
      <w:r w:rsidRPr="003D6A3B">
        <w:rPr>
          <w:rFonts w:ascii="Verdana" w:hAnsi="Verdana"/>
          <w:color w:val="333333"/>
          <w:sz w:val="18"/>
          <w:szCs w:val="18"/>
          <w:shd w:val="clear" w:color="auto" w:fill="FFFFFF"/>
        </w:rPr>
        <w:t xml:space="preserve"> </w:t>
      </w:r>
      <w:r w:rsidRPr="003D6A3B">
        <w:rPr>
          <w:rFonts w:asciiTheme="minorHAnsi" w:hAnsiTheme="minorHAnsi" w:cstheme="minorHAnsi"/>
          <w:u w:val="single"/>
        </w:rPr>
        <w:t xml:space="preserve">Konstatuota, kad </w:t>
      </w:r>
      <w:r w:rsidRPr="003D6A3B">
        <w:rPr>
          <w:rFonts w:asciiTheme="minorHAnsi" w:hAnsiTheme="minorHAnsi" w:cstheme="minorHAnsi"/>
          <w:i/>
          <w:iCs/>
          <w:u w:val="single"/>
        </w:rPr>
        <w:t>Sąd Najwyższy</w:t>
      </w:r>
      <w:r w:rsidRPr="003D6A3B">
        <w:rPr>
          <w:rFonts w:asciiTheme="minorHAnsi" w:hAnsiTheme="minorHAnsi" w:cstheme="minorHAnsi"/>
          <w:u w:val="single"/>
        </w:rPr>
        <w:t xml:space="preserve"> (Aukščiausiasis Teismas) teisėjų pensinio amžiaus sutrumpinimo priemonės taikymas pareigas šiame teisme einantiems teisėjams nėra pateisinamas teisėtu tikslu. Todėl ją taikant pažeidžiamas teisėjų nepašalinamumo principas, kuris yra neatsiejamas nuo jų nepriklausomumo</w:t>
      </w:r>
      <w:r w:rsidRPr="003D6A3B">
        <w:rPr>
          <w:rFonts w:asciiTheme="minorHAnsi" w:hAnsiTheme="minorHAnsi" w:cstheme="minorHAnsi"/>
        </w:rPr>
        <w:t xml:space="preserve"> (96 punktas).</w:t>
      </w:r>
    </w:p>
    <w:p w:rsidR="00AF4067" w:rsidRPr="003D6A3B" w:rsidRDefault="00AF4067" w:rsidP="004146C6">
      <w:pPr>
        <w:ind w:firstLine="567"/>
        <w:rPr>
          <w:rFonts w:asciiTheme="minorHAnsi" w:hAnsiTheme="minorHAnsi" w:cstheme="minorHAnsi"/>
        </w:rPr>
      </w:pPr>
    </w:p>
    <w:p w:rsidR="00AF4067" w:rsidRPr="003D6A3B" w:rsidRDefault="00AF4067" w:rsidP="00AF4067">
      <w:pPr>
        <w:pStyle w:val="Heading3"/>
        <w:ind w:firstLine="567"/>
        <w:rPr>
          <w:rFonts w:cstheme="minorHAnsi"/>
        </w:rPr>
      </w:pPr>
      <w:bookmarkStart w:id="61" w:name="_Toc21941965"/>
      <w:r w:rsidRPr="003D6A3B">
        <w:rPr>
          <w:rFonts w:cstheme="minorHAnsi"/>
        </w:rPr>
        <w:t xml:space="preserve">Dėl </w:t>
      </w:r>
      <w:r w:rsidR="007C39E3" w:rsidRPr="003D6A3B">
        <w:rPr>
          <w:rFonts w:cstheme="minorHAnsi"/>
        </w:rPr>
        <w:t>prezidento diskrecijos pratęsti teisėjų pensinio amžiaus terminą</w:t>
      </w:r>
      <w:bookmarkEnd w:id="61"/>
    </w:p>
    <w:p w:rsidR="004741D7" w:rsidRPr="003D6A3B" w:rsidRDefault="004741D7" w:rsidP="004741D7"/>
    <w:p w:rsidR="00DB09F6" w:rsidRPr="003D6A3B" w:rsidRDefault="00D44A93" w:rsidP="004741D7">
      <w:pPr>
        <w:ind w:firstLine="567"/>
        <w:rPr>
          <w:rFonts w:asciiTheme="minorHAnsi" w:hAnsiTheme="minorHAnsi" w:cstheme="minorHAnsi"/>
        </w:rPr>
      </w:pPr>
      <w:r w:rsidRPr="003D6A3B">
        <w:rPr>
          <w:rFonts w:asciiTheme="minorHAnsi" w:hAnsiTheme="minorHAnsi" w:cstheme="minorHAnsi"/>
        </w:rPr>
        <w:t xml:space="preserve">Teisingumo Teismas pažymėjo, kad </w:t>
      </w:r>
      <w:r w:rsidRPr="003D6A3B">
        <w:rPr>
          <w:rFonts w:asciiTheme="minorHAnsi" w:hAnsiTheme="minorHAnsi" w:cstheme="minorHAnsi"/>
          <w:u w:val="single"/>
        </w:rPr>
        <w:t>nors tik valstybės narės turi nuspręsti, ar leisti taip pratęsti teisminių įgaliojimų vykdymo sulaukus įprasto pensinio amžiaus terminą, vis dėlto pasirinkdamos tokį mechanizmą jos privalo užtikrinti, kad tokio pratęsimo sąlygos ir tvarka nepažeistų teisėjų nepriklausomumo principo</w:t>
      </w:r>
      <w:r w:rsidRPr="003D6A3B">
        <w:rPr>
          <w:rFonts w:asciiTheme="minorHAnsi" w:hAnsiTheme="minorHAnsi" w:cstheme="minorHAnsi"/>
        </w:rPr>
        <w:t xml:space="preserve"> (110 punktas).</w:t>
      </w:r>
      <w:r w:rsidRPr="003D6A3B">
        <w:rPr>
          <w:rFonts w:ascii="Verdana" w:hAnsi="Verdana"/>
          <w:color w:val="333333"/>
          <w:sz w:val="18"/>
          <w:szCs w:val="18"/>
          <w:shd w:val="clear" w:color="auto" w:fill="FFFFFF"/>
        </w:rPr>
        <w:t xml:space="preserve"> </w:t>
      </w:r>
      <w:r w:rsidRPr="003D6A3B">
        <w:rPr>
          <w:rFonts w:asciiTheme="minorHAnsi" w:hAnsiTheme="minorHAnsi" w:cstheme="minorHAnsi"/>
        </w:rPr>
        <w:t xml:space="preserve">Šiuo klausimu akivaizdu, kad </w:t>
      </w:r>
      <w:r w:rsidRPr="003D6A3B">
        <w:rPr>
          <w:rFonts w:asciiTheme="minorHAnsi" w:hAnsiTheme="minorHAnsi" w:cstheme="minorHAnsi"/>
          <w:u w:val="single"/>
        </w:rPr>
        <w:t>vien aplinkybės, jog tokiai institucijai, kaip Respublikos Prezidentas, suteikiami įgaliojimai nuspręsti dėl šio galimo pratęsimo, nepakanka, kad būtų galima konstatuoti to principo pažeidimą.</w:t>
      </w:r>
      <w:r w:rsidRPr="003D6A3B">
        <w:rPr>
          <w:rFonts w:asciiTheme="minorHAnsi" w:hAnsiTheme="minorHAnsi" w:cstheme="minorHAnsi"/>
        </w:rPr>
        <w:t xml:space="preserve"> Vis dėlto</w:t>
      </w:r>
      <w:r w:rsidRPr="003D6A3B">
        <w:rPr>
          <w:rFonts w:asciiTheme="minorHAnsi" w:hAnsiTheme="minorHAnsi" w:cstheme="minorHAnsi"/>
          <w:u w:val="single"/>
        </w:rPr>
        <w:t xml:space="preserve"> svarbu įsitikinti, kad šių sprendimų priėmimo materialinės sąlygos ir procedūrinės taisyklės būtų tokios, kad teisės subjektams negalėtų kilti jokių pagrįstų abejonių dėl to, ar atitinkamiems teisėjams nedaro įtakos išorės veiksniai, ir dėl šių teisėjų neutralumo, kai susikerta interesai </w:t>
      </w:r>
      <w:r w:rsidR="0039283F">
        <w:rPr>
          <w:rFonts w:asciiTheme="minorHAnsi" w:hAnsiTheme="minorHAnsi" w:cstheme="minorHAnsi"/>
        </w:rPr>
        <w:t xml:space="preserve">(111 punktas). </w:t>
      </w:r>
      <w:r w:rsidRPr="003D6A3B">
        <w:rPr>
          <w:rFonts w:asciiTheme="minorHAnsi" w:hAnsiTheme="minorHAnsi" w:cstheme="minorHAnsi"/>
        </w:rPr>
        <w:t xml:space="preserve">To siekiant svarbu, be kita ko, kad minėtos sąlygos ir taisyklės būtų nustatytos taip, kad šie teisėjai būtų apsaugoti nuo galimų mėginimų daryti poveikį ar spaudimą iš išorės, kurie gali kelti grėsmę jų nepriklausomumui (šiuo klausimu žr. 2013 m. sausio 31 d. Sprendimo </w:t>
      </w:r>
      <w:r w:rsidRPr="003D6A3B">
        <w:rPr>
          <w:rFonts w:asciiTheme="minorHAnsi" w:hAnsiTheme="minorHAnsi" w:cstheme="minorHAnsi"/>
          <w:i/>
          <w:iCs/>
        </w:rPr>
        <w:t>D. ir A.</w:t>
      </w:r>
      <w:r w:rsidRPr="003D6A3B">
        <w:rPr>
          <w:rFonts w:asciiTheme="minorHAnsi" w:hAnsiTheme="minorHAnsi" w:cstheme="minorHAnsi"/>
        </w:rPr>
        <w:t>, C</w:t>
      </w:r>
      <w:r w:rsidRPr="003D6A3B">
        <w:rPr>
          <w:rFonts w:asciiTheme="minorHAnsi" w:hAnsiTheme="minorHAnsi" w:cstheme="minorHAnsi"/>
        </w:rPr>
        <w:noBreakHyphen/>
        <w:t xml:space="preserve">175/11, EU:C:2013:45, 103 punktą). Taigi tokios </w:t>
      </w:r>
      <w:r w:rsidRPr="003D6A3B">
        <w:rPr>
          <w:rFonts w:asciiTheme="minorHAnsi" w:hAnsiTheme="minorHAnsi" w:cstheme="minorHAnsi"/>
          <w:u w:val="single"/>
        </w:rPr>
        <w:t>taisyklės turi visų pirma leisti užkirsti kelią ne tik bet kokiai tiesioginei įtakai, daromai teikiant nurodymus, bet ir netiesioginei įtakai, galinčiai pakreipti atitinkamų teisėjų sprendimus kuria nors linkme</w:t>
      </w:r>
      <w:r w:rsidRPr="003D6A3B">
        <w:rPr>
          <w:rFonts w:asciiTheme="minorHAnsi" w:hAnsiTheme="minorHAnsi" w:cstheme="minorHAnsi"/>
        </w:rPr>
        <w:t xml:space="preserve"> (pagal analogiją žr. 2012 m. spalio 16 d. Sprendimo </w:t>
      </w:r>
      <w:r w:rsidRPr="003D6A3B">
        <w:rPr>
          <w:rFonts w:asciiTheme="minorHAnsi" w:hAnsiTheme="minorHAnsi" w:cstheme="minorHAnsi"/>
          <w:i/>
          <w:iCs/>
        </w:rPr>
        <w:t>Komisija / Austrija</w:t>
      </w:r>
      <w:r w:rsidRPr="003D6A3B">
        <w:rPr>
          <w:rFonts w:asciiTheme="minorHAnsi" w:hAnsiTheme="minorHAnsi" w:cstheme="minorHAnsi"/>
        </w:rPr>
        <w:t>, C</w:t>
      </w:r>
      <w:r w:rsidRPr="003D6A3B">
        <w:rPr>
          <w:rFonts w:asciiTheme="minorHAnsi" w:hAnsiTheme="minorHAnsi" w:cstheme="minorHAnsi"/>
        </w:rPr>
        <w:noBreakHyphen/>
        <w:t xml:space="preserve">614/10, EU:C:2012:631, 43 punktą ir 2014 m. balandžio 8 d. Sprendimo </w:t>
      </w:r>
      <w:r w:rsidRPr="003D6A3B">
        <w:rPr>
          <w:rFonts w:asciiTheme="minorHAnsi" w:hAnsiTheme="minorHAnsi" w:cstheme="minorHAnsi"/>
          <w:i/>
          <w:iCs/>
        </w:rPr>
        <w:t>Komisija / Vengrija</w:t>
      </w:r>
      <w:r w:rsidRPr="003D6A3B">
        <w:rPr>
          <w:rFonts w:asciiTheme="minorHAnsi" w:hAnsiTheme="minorHAnsi" w:cstheme="minorHAnsi"/>
        </w:rPr>
        <w:t>, C</w:t>
      </w:r>
      <w:r w:rsidRPr="003D6A3B">
        <w:rPr>
          <w:rFonts w:asciiTheme="minorHAnsi" w:hAnsiTheme="minorHAnsi" w:cstheme="minorHAnsi"/>
        </w:rPr>
        <w:noBreakHyphen/>
        <w:t>288/12, EU:C:2014:237, 51 punktą) (112 punktas).</w:t>
      </w:r>
      <w:r w:rsidR="00292973" w:rsidRPr="003D6A3B">
        <w:rPr>
          <w:rFonts w:asciiTheme="minorHAnsi" w:hAnsiTheme="minorHAnsi" w:cstheme="minorHAnsi"/>
        </w:rPr>
        <w:t xml:space="preserve"> </w:t>
      </w:r>
    </w:p>
    <w:p w:rsidR="00D44A93" w:rsidRPr="003D6A3B" w:rsidRDefault="00292973" w:rsidP="004741D7">
      <w:pPr>
        <w:ind w:firstLine="567"/>
        <w:rPr>
          <w:rFonts w:asciiTheme="minorHAnsi" w:hAnsiTheme="minorHAnsi" w:cstheme="minorHAnsi"/>
        </w:rPr>
      </w:pPr>
      <w:r w:rsidRPr="003D6A3B">
        <w:rPr>
          <w:rFonts w:asciiTheme="minorHAnsi" w:hAnsiTheme="minorHAnsi" w:cstheme="minorHAnsi"/>
        </w:rPr>
        <w:t xml:space="preserve">Teisingumo Teismas konstatavo, kad </w:t>
      </w:r>
      <w:r w:rsidRPr="003D6A3B">
        <w:rPr>
          <w:rFonts w:asciiTheme="minorHAnsi" w:hAnsiTheme="minorHAnsi" w:cstheme="minorHAnsi"/>
          <w:u w:val="single"/>
        </w:rPr>
        <w:t xml:space="preserve">sąlygos ir procedūrinės taisyklės, kurių pagal naują Aukščiausiojo Teismo įstatymą turi būti laikomasi pratęsiant </w:t>
      </w:r>
      <w:r w:rsidRPr="003D6A3B">
        <w:rPr>
          <w:rFonts w:asciiTheme="minorHAnsi" w:hAnsiTheme="minorHAnsi" w:cstheme="minorHAnsi"/>
          <w:i/>
          <w:iCs/>
          <w:u w:val="single"/>
        </w:rPr>
        <w:t>Sąd Najwyższy</w:t>
      </w:r>
      <w:r w:rsidRPr="003D6A3B">
        <w:rPr>
          <w:rFonts w:asciiTheme="minorHAnsi" w:hAnsiTheme="minorHAnsi" w:cstheme="minorHAnsi"/>
          <w:u w:val="single"/>
        </w:rPr>
        <w:t xml:space="preserve"> (Aukščiausiasis Teismas) teisėjo įgaliojimų vykdymo sulaukus įprasto pensinio amžiaus terminą, neatitinka tokių reikalavimų</w:t>
      </w:r>
      <w:r w:rsidRPr="003D6A3B">
        <w:rPr>
          <w:rFonts w:asciiTheme="minorHAnsi" w:hAnsiTheme="minorHAnsi" w:cstheme="minorHAnsi"/>
        </w:rPr>
        <w:t xml:space="preserve"> (113 punktas).</w:t>
      </w:r>
      <w:r w:rsidR="00DB09F6" w:rsidRPr="003D6A3B">
        <w:rPr>
          <w:rFonts w:ascii="Verdana" w:hAnsi="Verdana"/>
          <w:color w:val="333333"/>
          <w:sz w:val="18"/>
          <w:szCs w:val="18"/>
          <w:shd w:val="clear" w:color="auto" w:fill="FFFFFF"/>
        </w:rPr>
        <w:t xml:space="preserve"> </w:t>
      </w:r>
      <w:r w:rsidR="00DB09F6" w:rsidRPr="003D6A3B">
        <w:rPr>
          <w:rFonts w:asciiTheme="minorHAnsi" w:hAnsiTheme="minorHAnsi" w:cstheme="minorHAnsi"/>
        </w:rPr>
        <w:t>Pirma, kad pagal naują Aukščiausiojo Teismo įstatymą sprendimą dėl tokio pratęsimo turi priimti Respublikos Prezidentas, toks sprendimas yra diskrecinio pobūdžio, nes nenustatyti jokie objektyvūs ir patikrinami jo priėmimo kriterijai, ir jis neprivalo būti motyvuotas. Be to, toks sprendimas negali būti skundžiamas teismine tvarka (114 punktas).</w:t>
      </w:r>
      <w:r w:rsidR="00DB09F6" w:rsidRPr="003D6A3B">
        <w:rPr>
          <w:rFonts w:ascii="Verdana" w:hAnsi="Verdana"/>
          <w:color w:val="333333"/>
          <w:sz w:val="18"/>
          <w:szCs w:val="18"/>
          <w:shd w:val="clear" w:color="auto" w:fill="FFFFFF"/>
        </w:rPr>
        <w:t xml:space="preserve"> </w:t>
      </w:r>
      <w:r w:rsidR="00DB09F6" w:rsidRPr="003D6A3B">
        <w:rPr>
          <w:rFonts w:asciiTheme="minorHAnsi" w:hAnsiTheme="minorHAnsi" w:cstheme="minorHAnsi"/>
        </w:rPr>
        <w:t>Antra, dėl aplinkybės, jog naujame Aukščiausiojo Teismo įstatyme numatyta, kad Nacionalinė teisėjų taryba turi pateikti išvadą Respublikos Prezidentui, kol jis nėra priėmęs savo sprendimo, pažymėta, kad iš tiesų atrodo, jog dėl tokios institucijos dalyvavimo teisėjo įgaliojimų vykdymo sulaukus įprasto pensinio amžiaus termino pratęsimo procedūroje ši procedūra iš esmės gali būti objektyvesnė</w:t>
      </w:r>
      <w:r w:rsidR="0071197C" w:rsidRPr="003D6A3B">
        <w:rPr>
          <w:rFonts w:asciiTheme="minorHAnsi" w:hAnsiTheme="minorHAnsi" w:cstheme="minorHAnsi"/>
        </w:rPr>
        <w:t>; vis tik</w:t>
      </w:r>
      <w:r w:rsidR="0071197C" w:rsidRPr="003D6A3B">
        <w:rPr>
          <w:rFonts w:ascii="Verdana" w:hAnsi="Verdana"/>
          <w:color w:val="333333"/>
          <w:sz w:val="18"/>
          <w:szCs w:val="18"/>
          <w:shd w:val="clear" w:color="auto" w:fill="FFFFFF"/>
        </w:rPr>
        <w:t xml:space="preserve"> </w:t>
      </w:r>
      <w:r w:rsidR="0071197C" w:rsidRPr="003D6A3B">
        <w:rPr>
          <w:rFonts w:asciiTheme="minorHAnsi" w:hAnsiTheme="minorHAnsi" w:cstheme="minorHAnsi"/>
        </w:rPr>
        <w:t xml:space="preserve">konstatuota, kad tokios išvados negali padėti Respublikos Prezidentui objektyviai išsiaiškinti, kaip įgyvendinti jam suteiktą diskreciją duoti sutikimą toliau vykdyti </w:t>
      </w:r>
      <w:r w:rsidR="0071197C" w:rsidRPr="003D6A3B">
        <w:rPr>
          <w:rFonts w:asciiTheme="minorHAnsi" w:hAnsiTheme="minorHAnsi" w:cstheme="minorHAnsi"/>
          <w:i/>
          <w:iCs/>
        </w:rPr>
        <w:t>Sąd Najwyższy</w:t>
      </w:r>
      <w:r w:rsidR="0071197C" w:rsidRPr="003D6A3B">
        <w:rPr>
          <w:rFonts w:asciiTheme="minorHAnsi" w:hAnsiTheme="minorHAnsi" w:cstheme="minorHAnsi"/>
        </w:rPr>
        <w:t xml:space="preserve"> (Aukščiausiasis Teismas) teisėjo įgaliojimus sulaukus įprasto pensinio amžiaus arba atsisakyti jį duoti</w:t>
      </w:r>
      <w:r w:rsidR="00DB09F6" w:rsidRPr="003D6A3B">
        <w:rPr>
          <w:rFonts w:asciiTheme="minorHAnsi" w:hAnsiTheme="minorHAnsi" w:cstheme="minorHAnsi"/>
        </w:rPr>
        <w:t xml:space="preserve"> (115</w:t>
      </w:r>
      <w:r w:rsidR="0071197C" w:rsidRPr="003D6A3B">
        <w:rPr>
          <w:rFonts w:asciiTheme="minorHAnsi" w:hAnsiTheme="minorHAnsi" w:cstheme="minorHAnsi"/>
        </w:rPr>
        <w:t>–117 punktai</w:t>
      </w:r>
      <w:r w:rsidR="00DB09F6" w:rsidRPr="003D6A3B">
        <w:rPr>
          <w:rFonts w:asciiTheme="minorHAnsi" w:hAnsiTheme="minorHAnsi" w:cstheme="minorHAnsi"/>
        </w:rPr>
        <w:t>).</w:t>
      </w:r>
    </w:p>
    <w:p w:rsidR="00E86DDE" w:rsidRPr="003D6A3B" w:rsidRDefault="00E86DDE" w:rsidP="004741D7">
      <w:pPr>
        <w:ind w:firstLine="567"/>
        <w:rPr>
          <w:rFonts w:asciiTheme="minorHAnsi" w:hAnsiTheme="minorHAnsi" w:cstheme="minorHAnsi"/>
        </w:rPr>
      </w:pPr>
      <w:r w:rsidRPr="003D6A3B">
        <w:rPr>
          <w:rFonts w:asciiTheme="minorHAnsi" w:hAnsiTheme="minorHAnsi" w:cstheme="minorHAnsi"/>
        </w:rPr>
        <w:t xml:space="preserve">Teisingumo Teismas laikė, kad </w:t>
      </w:r>
      <w:r w:rsidRPr="003D6A3B">
        <w:rPr>
          <w:rFonts w:asciiTheme="minorHAnsi" w:hAnsiTheme="minorHAnsi" w:cstheme="minorHAnsi"/>
          <w:u w:val="single"/>
        </w:rPr>
        <w:t xml:space="preserve">Respublikos Prezidentui suteikta diskrecija du kartus, kiekvieną kartą – trejiems metams, duoti sutikimą toliau nuo 65 iki 71 metų amžiaus vykdyti nacionalinio aukščiausiosios instancijos teismo, kaip antai </w:t>
      </w:r>
      <w:r w:rsidRPr="003D6A3B">
        <w:rPr>
          <w:rFonts w:asciiTheme="minorHAnsi" w:hAnsiTheme="minorHAnsi" w:cstheme="minorHAnsi"/>
          <w:i/>
          <w:iCs/>
          <w:u w:val="single"/>
        </w:rPr>
        <w:t>Sąd Najwyższy</w:t>
      </w:r>
      <w:r w:rsidRPr="003D6A3B">
        <w:rPr>
          <w:rFonts w:asciiTheme="minorHAnsi" w:hAnsiTheme="minorHAnsi" w:cstheme="minorHAnsi"/>
          <w:u w:val="single"/>
        </w:rPr>
        <w:t xml:space="preserve"> (Aukščiausiasis Teismas), teisėjo įgaliojimus gali sukelti pagrįstų abejonių, be kita ko, teisės subjektams dėl to, ar atitinkamiems teisėjams nedaro įtakos išorės veiksniai, ir dėl šių teisėjų neutralumo, kai jų nagrinėjamoje byloje susikerta interesai</w:t>
      </w:r>
      <w:r w:rsidRPr="003D6A3B">
        <w:rPr>
          <w:rFonts w:asciiTheme="minorHAnsi" w:hAnsiTheme="minorHAnsi" w:cstheme="minorHAnsi"/>
        </w:rPr>
        <w:t xml:space="preserve"> (118 punktas).</w:t>
      </w:r>
    </w:p>
    <w:p w:rsidR="00D24F92" w:rsidRPr="003D6A3B" w:rsidRDefault="00D24F92" w:rsidP="004D471B">
      <w:pPr>
        <w:rPr>
          <w:rFonts w:asciiTheme="minorHAnsi" w:hAnsiTheme="minorHAnsi" w:cstheme="minorHAnsi"/>
        </w:rPr>
      </w:pPr>
    </w:p>
    <w:p w:rsidR="004D471B" w:rsidRPr="003D6A3B" w:rsidRDefault="004D471B" w:rsidP="004D471B">
      <w:pPr>
        <w:ind w:firstLine="567"/>
        <w:rPr>
          <w:rFonts w:asciiTheme="minorHAnsi" w:hAnsiTheme="minorHAnsi" w:cstheme="minorHAnsi"/>
        </w:rPr>
      </w:pPr>
      <w:r w:rsidRPr="003D6A3B">
        <w:rPr>
          <w:rFonts w:asciiTheme="minorHAnsi" w:hAnsiTheme="minorHAnsi" w:cstheme="minorHAnsi"/>
          <w:b/>
        </w:rPr>
        <w:t>Remdamasis šiais motyvais, Teisingumo Teismas (</w:t>
      </w:r>
      <w:r w:rsidR="007C39E3" w:rsidRPr="003D6A3B">
        <w:rPr>
          <w:rFonts w:asciiTheme="minorHAnsi" w:hAnsiTheme="minorHAnsi" w:cstheme="minorHAnsi"/>
          <w:b/>
        </w:rPr>
        <w:t>didžioji</w:t>
      </w:r>
      <w:r w:rsidRPr="003D6A3B">
        <w:rPr>
          <w:rFonts w:asciiTheme="minorHAnsi" w:hAnsiTheme="minorHAnsi" w:cstheme="minorHAnsi"/>
          <w:b/>
        </w:rPr>
        <w:t xml:space="preserve"> kolegija) nusprendė:</w:t>
      </w:r>
    </w:p>
    <w:p w:rsidR="001362AB" w:rsidRDefault="001362AB" w:rsidP="007C39E3">
      <w:pPr>
        <w:ind w:firstLine="567"/>
        <w:rPr>
          <w:rFonts w:asciiTheme="minorHAnsi" w:eastAsia="Times New Roman" w:hAnsiTheme="minorHAnsi" w:cstheme="minorHAnsi"/>
          <w:bCs/>
          <w:lang w:eastAsia="lt-LT"/>
        </w:rPr>
      </w:pPr>
    </w:p>
    <w:p w:rsidR="000501D2" w:rsidRPr="003D6A3B" w:rsidRDefault="007C39E3" w:rsidP="007C39E3">
      <w:pPr>
        <w:ind w:firstLine="567"/>
        <w:rPr>
          <w:rFonts w:asciiTheme="minorHAnsi" w:eastAsia="Times New Roman" w:hAnsiTheme="minorHAnsi" w:cstheme="minorHAnsi"/>
          <w:bCs/>
          <w:lang w:eastAsia="lt-LT"/>
        </w:rPr>
      </w:pPr>
      <w:r w:rsidRPr="003D6A3B">
        <w:rPr>
          <w:rFonts w:asciiTheme="minorHAnsi" w:eastAsia="Times New Roman" w:hAnsiTheme="minorHAnsi" w:cstheme="minorHAnsi"/>
          <w:bCs/>
          <w:lang w:eastAsia="lt-LT"/>
        </w:rPr>
        <w:t>Lenkijos Respublika, pirma, taikydama</w:t>
      </w:r>
      <w:r w:rsidRPr="003D6A3B">
        <w:rPr>
          <w:rFonts w:asciiTheme="minorHAnsi" w:eastAsia="Times New Roman" w:hAnsiTheme="minorHAnsi" w:cstheme="minorHAnsi"/>
          <w:bCs/>
          <w:i/>
          <w:iCs/>
          <w:lang w:eastAsia="lt-LT"/>
        </w:rPr>
        <w:t xml:space="preserve"> Sąd Najwyższy</w:t>
      </w:r>
      <w:r w:rsidRPr="003D6A3B">
        <w:rPr>
          <w:rFonts w:asciiTheme="minorHAnsi" w:eastAsia="Times New Roman" w:hAnsiTheme="minorHAnsi" w:cstheme="minorHAnsi"/>
          <w:bCs/>
          <w:lang w:eastAsia="lt-LT"/>
        </w:rPr>
        <w:t xml:space="preserve"> (Aukščiausiasis Teismas, Lenkija) teisėjų pensinio amžiaus sutrumpinimo priemonę iki 2018 m. balandžio 3 d. į šį teismą paskirtiems pareigas einantiems teisėjams ir, antra, suteikdama Respublikos Prezidentui diskreciją pratęsti to teismo teisėjų teisminių įgaliojimų vykdymo sulaukus naujai nustatyto pensinio amžiaus terminą, neįvykdė įsipareigojimų pagal ESS 19 straipsnio 1 dalies antrą pastraipą.</w:t>
      </w:r>
    </w:p>
    <w:p w:rsidR="00DA3F3B" w:rsidRPr="003D6A3B" w:rsidRDefault="007D413D" w:rsidP="007C39E3">
      <w:pPr>
        <w:ind w:firstLine="567"/>
        <w:rPr>
          <w:rStyle w:val="Hyperlink"/>
          <w:rFonts w:eastAsia="Times New Roman" w:cstheme="minorHAnsi"/>
          <w:bCs/>
          <w:lang w:eastAsia="lt-LT"/>
        </w:rPr>
      </w:pPr>
      <w:hyperlink r:id="rId21" w:history="1">
        <w:r w:rsidR="00DA3F3B" w:rsidRPr="003D6A3B">
          <w:rPr>
            <w:rStyle w:val="Hyperlink"/>
            <w:rFonts w:asciiTheme="minorHAnsi" w:eastAsia="Times New Roman" w:hAnsiTheme="minorHAnsi" w:cstheme="minorHAnsi"/>
            <w:bCs/>
            <w:lang w:eastAsia="lt-LT"/>
          </w:rPr>
          <w:t>Prieiga internete</w:t>
        </w:r>
      </w:hyperlink>
    </w:p>
    <w:p w:rsidR="005F534F" w:rsidRPr="003D6A3B" w:rsidRDefault="005F534F" w:rsidP="000501D2">
      <w:pPr>
        <w:rPr>
          <w:rStyle w:val="Hyperlink"/>
          <w:rFonts w:eastAsia="Times New Roman" w:cstheme="minorHAnsi"/>
          <w:b/>
          <w:bCs/>
          <w:lang w:eastAsia="lt-LT"/>
        </w:rPr>
      </w:pPr>
    </w:p>
    <w:p w:rsidR="00416E50" w:rsidRPr="006C771A" w:rsidRDefault="004A3D36" w:rsidP="00AD0B10">
      <w:pPr>
        <w:pStyle w:val="Heading1"/>
        <w:spacing w:before="0"/>
        <w:rPr>
          <w:rFonts w:eastAsia="Times New Roman" w:cstheme="minorHAnsi"/>
          <w:bCs/>
          <w:color w:val="17365D"/>
          <w:kern w:val="32"/>
          <w:szCs w:val="22"/>
          <w:lang w:eastAsia="lt-LT"/>
        </w:rPr>
      </w:pPr>
      <w:bookmarkStart w:id="62" w:name="_Toc11232483"/>
      <w:bookmarkStart w:id="63" w:name="_Toc11232774"/>
      <w:bookmarkStart w:id="64" w:name="_Toc21941966"/>
      <w:r w:rsidRPr="006C771A">
        <w:rPr>
          <w:rFonts w:eastAsia="Times New Roman" w:cstheme="minorHAnsi"/>
          <w:bCs/>
          <w:color w:val="17365D"/>
          <w:kern w:val="32"/>
          <w:szCs w:val="22"/>
          <w:lang w:eastAsia="lt-LT"/>
        </w:rPr>
        <w:t>A</w:t>
      </w:r>
      <w:bookmarkEnd w:id="62"/>
      <w:bookmarkEnd w:id="63"/>
      <w:r w:rsidR="007D31B0">
        <w:rPr>
          <w:rFonts w:eastAsia="Times New Roman" w:cstheme="minorHAnsi"/>
          <w:bCs/>
          <w:color w:val="17365D"/>
          <w:kern w:val="32"/>
          <w:szCs w:val="22"/>
          <w:lang w:eastAsia="lt-LT"/>
        </w:rPr>
        <w:t>PLINKOS APSAUGA</w:t>
      </w:r>
      <w:bookmarkEnd w:id="64"/>
      <w:r w:rsidR="006C771A">
        <w:rPr>
          <w:rFonts w:eastAsia="Times New Roman" w:cstheme="minorHAnsi"/>
          <w:bCs/>
          <w:color w:val="17365D"/>
          <w:kern w:val="32"/>
          <w:szCs w:val="22"/>
          <w:lang w:eastAsia="lt-LT"/>
        </w:rPr>
        <w:t xml:space="preserve"> </w:t>
      </w:r>
    </w:p>
    <w:p w:rsidR="00416E50" w:rsidRPr="00936660" w:rsidRDefault="00416E50" w:rsidP="00AD0B10">
      <w:pPr>
        <w:rPr>
          <w:rFonts w:asciiTheme="minorHAnsi" w:hAnsiTheme="minorHAnsi" w:cstheme="minorHAnsi"/>
          <w:highlight w:val="yellow"/>
          <w:lang w:eastAsia="lt-LT"/>
        </w:rPr>
      </w:pPr>
    </w:p>
    <w:p w:rsidR="006C771A" w:rsidRPr="00F36AB0" w:rsidRDefault="006C771A" w:rsidP="006C771A">
      <w:pPr>
        <w:pStyle w:val="Heading2"/>
        <w:rPr>
          <w:rFonts w:cstheme="minorHAnsi"/>
          <w:szCs w:val="22"/>
        </w:rPr>
      </w:pPr>
      <w:bookmarkStart w:id="65" w:name="_Toc467573926"/>
      <w:bookmarkStart w:id="66" w:name="_Toc436400438"/>
      <w:bookmarkStart w:id="67" w:name="_Toc439688571"/>
      <w:bookmarkStart w:id="68" w:name="_Toc21941967"/>
      <w:bookmarkEnd w:id="65"/>
      <w:bookmarkEnd w:id="66"/>
      <w:bookmarkEnd w:id="67"/>
      <w:r w:rsidRPr="00F36AB0">
        <w:rPr>
          <w:rFonts w:cstheme="minorHAnsi"/>
          <w:szCs w:val="22"/>
        </w:rPr>
        <w:t>2019</w:t>
      </w:r>
      <w:r>
        <w:rPr>
          <w:rFonts w:cstheme="minorHAnsi"/>
          <w:szCs w:val="22"/>
        </w:rPr>
        <w:t xml:space="preserve"> </w:t>
      </w:r>
      <w:r w:rsidRPr="00F36AB0">
        <w:rPr>
          <w:rFonts w:cstheme="minorHAnsi"/>
          <w:szCs w:val="22"/>
        </w:rPr>
        <w:t xml:space="preserve">m. </w:t>
      </w:r>
      <w:r>
        <w:rPr>
          <w:rFonts w:cstheme="minorHAnsi"/>
          <w:szCs w:val="22"/>
        </w:rPr>
        <w:t>liepos</w:t>
      </w:r>
      <w:r w:rsidRPr="00F36AB0">
        <w:rPr>
          <w:rFonts w:cstheme="minorHAnsi"/>
          <w:szCs w:val="22"/>
        </w:rPr>
        <w:t xml:space="preserve"> </w:t>
      </w:r>
      <w:r>
        <w:rPr>
          <w:rFonts w:cstheme="minorHAnsi"/>
          <w:szCs w:val="22"/>
        </w:rPr>
        <w:t xml:space="preserve">4 </w:t>
      </w:r>
      <w:r w:rsidRPr="00F36AB0">
        <w:rPr>
          <w:rFonts w:cstheme="minorHAnsi"/>
          <w:szCs w:val="22"/>
        </w:rPr>
        <w:t>d. prejudicinis sprendimas byloje C</w:t>
      </w:r>
      <w:r w:rsidRPr="00F36AB0">
        <w:rPr>
          <w:rFonts w:cstheme="minorHAnsi"/>
          <w:szCs w:val="22"/>
        </w:rPr>
        <w:noBreakHyphen/>
      </w:r>
      <w:r>
        <w:rPr>
          <w:rFonts w:cstheme="minorHAnsi"/>
          <w:szCs w:val="22"/>
        </w:rPr>
        <w:t>624</w:t>
      </w:r>
      <w:r w:rsidRPr="00F36AB0">
        <w:rPr>
          <w:rFonts w:cstheme="minorHAnsi"/>
          <w:szCs w:val="22"/>
        </w:rPr>
        <w:t>/1</w:t>
      </w:r>
      <w:r>
        <w:rPr>
          <w:rFonts w:cstheme="minorHAnsi"/>
          <w:szCs w:val="22"/>
        </w:rPr>
        <w:t>7</w:t>
      </w:r>
      <w:bookmarkEnd w:id="68"/>
    </w:p>
    <w:p w:rsidR="006C771A" w:rsidRPr="00F36AB0" w:rsidRDefault="006C771A" w:rsidP="006C771A">
      <w:pPr>
        <w:jc w:val="center"/>
        <w:rPr>
          <w:rFonts w:asciiTheme="minorHAnsi" w:hAnsiTheme="minorHAnsi" w:cstheme="minorHAnsi"/>
          <w:b/>
          <w:bCs/>
          <w:i/>
          <w:shd w:val="clear" w:color="auto" w:fill="FFFFFF"/>
        </w:rPr>
      </w:pPr>
      <w:r w:rsidRPr="00545695">
        <w:rPr>
          <w:rFonts w:asciiTheme="minorHAnsi" w:hAnsiTheme="minorHAnsi" w:cstheme="minorHAnsi"/>
          <w:b/>
          <w:bCs/>
          <w:i/>
          <w:shd w:val="clear" w:color="auto" w:fill="FFFFFF"/>
        </w:rPr>
        <w:t>Tronex BV</w:t>
      </w:r>
    </w:p>
    <w:p w:rsidR="006C771A" w:rsidRPr="00F36AB0" w:rsidRDefault="006C771A" w:rsidP="006C771A">
      <w:pPr>
        <w:jc w:val="center"/>
        <w:rPr>
          <w:rFonts w:asciiTheme="minorHAnsi" w:hAnsiTheme="minorHAnsi" w:cstheme="minorHAnsi"/>
          <w:b/>
          <w:bCs/>
          <w:i/>
          <w:shd w:val="clear" w:color="auto" w:fill="FFFFFF"/>
        </w:rPr>
      </w:pPr>
    </w:p>
    <w:p w:rsidR="006C771A" w:rsidRDefault="006C771A" w:rsidP="006C771A">
      <w:pPr>
        <w:pStyle w:val="c01pointnumerotealtn"/>
        <w:shd w:val="clear" w:color="auto" w:fill="FFFFFF"/>
        <w:spacing w:before="0" w:beforeAutospacing="0" w:after="0"/>
        <w:ind w:left="0" w:firstLine="567"/>
        <w:rPr>
          <w:rFonts w:asciiTheme="minorHAnsi" w:hAnsiTheme="minorHAnsi" w:cstheme="minorHAnsi"/>
          <w:sz w:val="22"/>
          <w:szCs w:val="22"/>
        </w:rPr>
      </w:pPr>
      <w:r w:rsidRPr="00F36AB0">
        <w:rPr>
          <w:rFonts w:asciiTheme="minorHAnsi" w:hAnsiTheme="minorHAnsi" w:cstheme="minorHAnsi"/>
          <w:sz w:val="22"/>
          <w:szCs w:val="22"/>
        </w:rPr>
        <w:t>Prašymas priimti prejudicinį sprendimą pateiktas dėl</w:t>
      </w:r>
      <w:r>
        <w:rPr>
          <w:rFonts w:asciiTheme="minorHAnsi" w:hAnsiTheme="minorHAnsi" w:cstheme="minorHAnsi"/>
          <w:sz w:val="22"/>
          <w:szCs w:val="22"/>
        </w:rPr>
        <w:t xml:space="preserve"> </w:t>
      </w:r>
      <w:r w:rsidRPr="00050EC4">
        <w:rPr>
          <w:rFonts w:asciiTheme="minorHAnsi" w:hAnsiTheme="minorHAnsi" w:cstheme="minorHAnsi"/>
          <w:sz w:val="22"/>
          <w:szCs w:val="22"/>
        </w:rPr>
        <w:t xml:space="preserve">2006 m. birželio 14 d. Europos Parlamento ir Tarybos reglamento (EB) Nr. 1013/2006 dėl atliekų vežimo (OL L 190, 2006, p. 1) </w:t>
      </w:r>
      <w:r>
        <w:rPr>
          <w:rFonts w:asciiTheme="minorHAnsi" w:hAnsiTheme="minorHAnsi" w:cstheme="minorHAnsi"/>
          <w:sz w:val="22"/>
          <w:szCs w:val="22"/>
        </w:rPr>
        <w:t>(toliau – Reglamentas Nr. </w:t>
      </w:r>
      <w:r w:rsidRPr="004F0BBE">
        <w:rPr>
          <w:rFonts w:asciiTheme="minorHAnsi" w:hAnsiTheme="minorHAnsi" w:cstheme="minorHAnsi"/>
          <w:sz w:val="22"/>
          <w:szCs w:val="22"/>
        </w:rPr>
        <w:t>1013/2006</w:t>
      </w:r>
      <w:r>
        <w:rPr>
          <w:rFonts w:asciiTheme="minorHAnsi" w:hAnsiTheme="minorHAnsi" w:cstheme="minorHAnsi"/>
          <w:sz w:val="22"/>
          <w:szCs w:val="22"/>
        </w:rPr>
        <w:t xml:space="preserve">) </w:t>
      </w:r>
      <w:r w:rsidRPr="00050EC4">
        <w:rPr>
          <w:rFonts w:asciiTheme="minorHAnsi" w:hAnsiTheme="minorHAnsi" w:cstheme="minorHAnsi"/>
          <w:sz w:val="22"/>
          <w:szCs w:val="22"/>
        </w:rPr>
        <w:t>2 straipsnio 1 punkto, siejamo su 2008 m. lapkričio 19 d. Europos Parlamento ir Tarybos direktyvos 2008/98/EB dėl atliekų ir panaikinančios kai kurias direktyvas (OL L 312, 2008, p. 3)</w:t>
      </w:r>
      <w:r>
        <w:rPr>
          <w:rFonts w:asciiTheme="minorHAnsi" w:hAnsiTheme="minorHAnsi" w:cstheme="minorHAnsi"/>
          <w:sz w:val="22"/>
          <w:szCs w:val="22"/>
        </w:rPr>
        <w:t xml:space="preserve"> (toliau – </w:t>
      </w:r>
      <w:r w:rsidRPr="00A934FF">
        <w:rPr>
          <w:rFonts w:asciiTheme="minorHAnsi" w:hAnsiTheme="minorHAnsi" w:cstheme="minorHAnsi"/>
          <w:sz w:val="22"/>
          <w:szCs w:val="22"/>
        </w:rPr>
        <w:t>Direktyv</w:t>
      </w:r>
      <w:r>
        <w:rPr>
          <w:rFonts w:asciiTheme="minorHAnsi" w:hAnsiTheme="minorHAnsi" w:cstheme="minorHAnsi"/>
          <w:sz w:val="22"/>
          <w:szCs w:val="22"/>
        </w:rPr>
        <w:t>a</w:t>
      </w:r>
      <w:r w:rsidRPr="00A934FF">
        <w:rPr>
          <w:rFonts w:asciiTheme="minorHAnsi" w:hAnsiTheme="minorHAnsi" w:cstheme="minorHAnsi"/>
          <w:sz w:val="22"/>
          <w:szCs w:val="22"/>
        </w:rPr>
        <w:t xml:space="preserve"> 2008/98</w:t>
      </w:r>
      <w:r>
        <w:rPr>
          <w:rFonts w:asciiTheme="minorHAnsi" w:hAnsiTheme="minorHAnsi" w:cstheme="minorHAnsi"/>
          <w:sz w:val="22"/>
          <w:szCs w:val="22"/>
        </w:rPr>
        <w:t>)</w:t>
      </w:r>
      <w:r w:rsidRPr="00050EC4">
        <w:rPr>
          <w:rFonts w:asciiTheme="minorHAnsi" w:hAnsiTheme="minorHAnsi" w:cstheme="minorHAnsi"/>
          <w:sz w:val="22"/>
          <w:szCs w:val="22"/>
        </w:rPr>
        <w:t xml:space="preserve"> 3 straipsnio 1 punktu</w:t>
      </w:r>
      <w:r>
        <w:rPr>
          <w:rFonts w:asciiTheme="minorHAnsi" w:hAnsiTheme="minorHAnsi" w:cstheme="minorHAnsi"/>
          <w:sz w:val="22"/>
          <w:szCs w:val="22"/>
        </w:rPr>
        <w:t>.</w:t>
      </w:r>
    </w:p>
    <w:p w:rsidR="006C771A" w:rsidRDefault="006C771A" w:rsidP="006C771A">
      <w:pPr>
        <w:pStyle w:val="c01pointnumerotealtn"/>
        <w:shd w:val="clear" w:color="auto" w:fill="FFFFFF"/>
        <w:spacing w:before="0" w:beforeAutospacing="0" w:after="0"/>
        <w:ind w:left="0" w:firstLine="567"/>
        <w:rPr>
          <w:rFonts w:asciiTheme="minorHAnsi" w:hAnsiTheme="minorHAnsi" w:cstheme="minorHAnsi"/>
          <w:sz w:val="22"/>
          <w:szCs w:val="22"/>
        </w:rPr>
      </w:pPr>
      <w:r w:rsidRPr="004F0BBE">
        <w:rPr>
          <w:rFonts w:asciiTheme="minorHAnsi" w:hAnsiTheme="minorHAnsi" w:cstheme="minorHAnsi"/>
          <w:sz w:val="22"/>
          <w:szCs w:val="22"/>
        </w:rPr>
        <w:t>Šis prašymas pateiktas nagrinėjant baudžiamąją bylą prieš Tronex BV, kaltinamą tuo, kad vežė atliekų partiją iš Nyderlandų į Tanzaniją, pažeisdama Reglamento Nr. 1013/2006 nuostatas.</w:t>
      </w:r>
      <w:r w:rsidRPr="002D5208">
        <w:rPr>
          <w:rFonts w:asciiTheme="minorHAnsi" w:hAnsiTheme="minorHAnsi" w:cstheme="minorHAnsi"/>
          <w:sz w:val="22"/>
          <w:szCs w:val="22"/>
        </w:rPr>
        <w:t xml:space="preserve"> </w:t>
      </w:r>
      <w:r>
        <w:rPr>
          <w:rFonts w:asciiTheme="minorHAnsi" w:hAnsiTheme="minorHAnsi" w:cstheme="minorHAnsi"/>
          <w:sz w:val="22"/>
          <w:szCs w:val="22"/>
        </w:rPr>
        <w:t>Buvo nustatyta</w:t>
      </w:r>
      <w:r w:rsidRPr="00A934FF">
        <w:rPr>
          <w:rFonts w:asciiTheme="minorHAnsi" w:hAnsiTheme="minorHAnsi" w:cstheme="minorHAnsi"/>
          <w:sz w:val="22"/>
          <w:szCs w:val="22"/>
        </w:rPr>
        <w:t>, kad ši bendrovė planavo gabenti elektros įrangos partiją (toliau – aptariama partija) Tanzanijoje įsisteigusiam trečiajam asmeniui. Aptariamą partiją sudarė elektriniai vandens virduliai, gariniai lygintuvai, ventiliatoriai ir elektriniai skutimosi aparatai; š</w:t>
      </w:r>
      <w:r>
        <w:rPr>
          <w:rFonts w:asciiTheme="minorHAnsi" w:hAnsiTheme="minorHAnsi" w:cstheme="minorHAnsi"/>
          <w:sz w:val="22"/>
          <w:szCs w:val="22"/>
        </w:rPr>
        <w:t>i partija nupirkta už 2 396,01 E</w:t>
      </w:r>
      <w:r w:rsidRPr="00A934FF">
        <w:rPr>
          <w:rFonts w:asciiTheme="minorHAnsi" w:hAnsiTheme="minorHAnsi" w:cstheme="minorHAnsi"/>
          <w:sz w:val="22"/>
          <w:szCs w:val="22"/>
        </w:rPr>
        <w:t>ur. Didžioji prietaisų dalis buvo originaliose pakuotėse, tačiau kai kurie prietaisai buvo nesupakuoti. Partiją sudarė, pirma, vartotojų remiantis atitinkamo produkto garantija grąžinti prietaisai ir, antra, prekės, kuriomis pardavėjas nebeprekiavo, pavyzdžiui, dėl pakeisto asortimento. Be to, kai kurie prietaisai turėjo defektų. Vežimas atliktas nepranešus arba neturint leidimo, kaip reikalaujama pagal Reglamentą Nr. 1013/2006</w:t>
      </w:r>
      <w:r>
        <w:rPr>
          <w:rFonts w:asciiTheme="minorHAnsi" w:hAnsiTheme="minorHAnsi" w:cstheme="minorHAnsi"/>
          <w:sz w:val="22"/>
          <w:szCs w:val="22"/>
        </w:rPr>
        <w:t xml:space="preserve"> (2, 10 punktai)</w:t>
      </w:r>
      <w:r w:rsidRPr="00A934FF">
        <w:rPr>
          <w:rFonts w:asciiTheme="minorHAnsi" w:hAnsiTheme="minorHAnsi" w:cstheme="minorHAnsi"/>
          <w:sz w:val="22"/>
          <w:szCs w:val="22"/>
        </w:rPr>
        <w:t>.</w:t>
      </w:r>
    </w:p>
    <w:p w:rsidR="006C771A" w:rsidRPr="00A934FF" w:rsidRDefault="006C771A" w:rsidP="006C771A">
      <w:pPr>
        <w:pStyle w:val="c01pointnumerotealtn"/>
        <w:shd w:val="clear" w:color="auto" w:fill="FFFFFF"/>
        <w:spacing w:before="0" w:beforeAutospacing="0" w:after="0"/>
        <w:ind w:left="0" w:firstLine="567"/>
        <w:rPr>
          <w:rFonts w:asciiTheme="minorHAnsi" w:hAnsiTheme="minorHAnsi" w:cstheme="minorHAnsi"/>
          <w:sz w:val="22"/>
          <w:szCs w:val="22"/>
        </w:rPr>
      </w:pPr>
      <w:r w:rsidRPr="00A934FF">
        <w:rPr>
          <w:rFonts w:asciiTheme="minorHAnsi" w:hAnsiTheme="minorHAnsi" w:cstheme="minorHAnsi"/>
          <w:sz w:val="22"/>
          <w:szCs w:val="22"/>
        </w:rPr>
        <w:t>Prašymą priimti prejudicinį sprendimą pateikusiame teisme Openbaar Ministerie (prokuratūra, Nyderlandai) tvirtin</w:t>
      </w:r>
      <w:r>
        <w:rPr>
          <w:rFonts w:asciiTheme="minorHAnsi" w:hAnsiTheme="minorHAnsi" w:cstheme="minorHAnsi"/>
          <w:sz w:val="22"/>
          <w:szCs w:val="22"/>
        </w:rPr>
        <w:t>o</w:t>
      </w:r>
      <w:r w:rsidRPr="00A934FF">
        <w:rPr>
          <w:rFonts w:asciiTheme="minorHAnsi" w:hAnsiTheme="minorHAnsi" w:cstheme="minorHAnsi"/>
          <w:sz w:val="22"/>
          <w:szCs w:val="22"/>
        </w:rPr>
        <w:t>, kad aptariamą partiją sudarantys prietaisai nebegalėjo būti įprastai parduodami vartotojams, todėl Tronex tiekėjai jų „atsikratė“. Taigi tai yra „atliekos“, kaip jos suprantamos pagal Direktyvos 2008/98 3 straipsnio 1 punktą. Tai, kad šie prietaisai dar turėjo likutinę vertę ir kad Tronex už juos iš tikrųjų sumokėjo tam tikrą pinigų sumą, atitinkančią šią vertę, neturi reikšmės. Taigi šios „atliekų“ partijos vežimas trečiajam asmeniui į Tanzaniją turėjo atitikti Reglamente Nr. 1013/2006 įtvirtintus reikalavimus</w:t>
      </w:r>
      <w:r>
        <w:rPr>
          <w:rFonts w:asciiTheme="minorHAnsi" w:hAnsiTheme="minorHAnsi" w:cstheme="minorHAnsi"/>
          <w:sz w:val="22"/>
          <w:szCs w:val="22"/>
        </w:rPr>
        <w:t xml:space="preserve"> (11 punktas)</w:t>
      </w:r>
      <w:r w:rsidRPr="00A934FF">
        <w:rPr>
          <w:rFonts w:asciiTheme="minorHAnsi" w:hAnsiTheme="minorHAnsi" w:cstheme="minorHAnsi"/>
          <w:sz w:val="22"/>
          <w:szCs w:val="22"/>
        </w:rPr>
        <w:t>.</w:t>
      </w:r>
    </w:p>
    <w:p w:rsidR="006C771A" w:rsidRPr="00A934FF" w:rsidRDefault="006C771A" w:rsidP="006C771A">
      <w:pPr>
        <w:pStyle w:val="c01pointnumerotealtn"/>
        <w:shd w:val="clear" w:color="auto" w:fill="FFFFFF"/>
        <w:spacing w:before="0" w:beforeAutospacing="0" w:after="0"/>
        <w:ind w:left="0" w:firstLine="567"/>
        <w:rPr>
          <w:rFonts w:asciiTheme="minorHAnsi" w:hAnsiTheme="minorHAnsi" w:cstheme="minorHAnsi"/>
          <w:sz w:val="22"/>
          <w:szCs w:val="22"/>
        </w:rPr>
      </w:pPr>
      <w:r>
        <w:rPr>
          <w:rFonts w:asciiTheme="minorHAnsi" w:hAnsiTheme="minorHAnsi" w:cstheme="minorHAnsi"/>
          <w:sz w:val="22"/>
          <w:szCs w:val="22"/>
        </w:rPr>
        <w:t>Tronex nesuti</w:t>
      </w:r>
      <w:r w:rsidRPr="00A934FF">
        <w:rPr>
          <w:rFonts w:asciiTheme="minorHAnsi" w:hAnsiTheme="minorHAnsi" w:cstheme="minorHAnsi"/>
          <w:sz w:val="22"/>
          <w:szCs w:val="22"/>
        </w:rPr>
        <w:t>k</w:t>
      </w:r>
      <w:r>
        <w:rPr>
          <w:rFonts w:asciiTheme="minorHAnsi" w:hAnsiTheme="minorHAnsi" w:cstheme="minorHAnsi"/>
          <w:sz w:val="22"/>
          <w:szCs w:val="22"/>
        </w:rPr>
        <w:t>o</w:t>
      </w:r>
      <w:r w:rsidRPr="00A934FF">
        <w:rPr>
          <w:rFonts w:asciiTheme="minorHAnsi" w:hAnsiTheme="minorHAnsi" w:cstheme="minorHAnsi"/>
          <w:sz w:val="22"/>
          <w:szCs w:val="22"/>
        </w:rPr>
        <w:t xml:space="preserve"> su prokuratūros pateiktu aptariamą partiją sudarančių prietaisų vertinimu kaip „atliekų“. Šios bendrovės teigimu, jos tiekėjai ne „atsikratė“ šių prietaisų, kaip tai suprantama pagal Direktyvos 2008/98 3 straipsnio 1 punktą, bet jai pardavė juos kaip įprastas prekes, turinčias konkrečią rinkos vertę</w:t>
      </w:r>
      <w:r>
        <w:rPr>
          <w:rFonts w:asciiTheme="minorHAnsi" w:hAnsiTheme="minorHAnsi" w:cstheme="minorHAnsi"/>
          <w:sz w:val="22"/>
          <w:szCs w:val="22"/>
        </w:rPr>
        <w:t xml:space="preserve"> (12 punktas)</w:t>
      </w:r>
      <w:r w:rsidRPr="00A934FF">
        <w:rPr>
          <w:rFonts w:asciiTheme="minorHAnsi" w:hAnsiTheme="minorHAnsi" w:cstheme="minorHAnsi"/>
          <w:sz w:val="22"/>
          <w:szCs w:val="22"/>
        </w:rPr>
        <w:t>.</w:t>
      </w:r>
    </w:p>
    <w:p w:rsidR="006C771A" w:rsidRPr="00A934FF" w:rsidRDefault="006C771A" w:rsidP="006C771A">
      <w:pPr>
        <w:pStyle w:val="c01pointnumerotealtn"/>
        <w:shd w:val="clear" w:color="auto" w:fill="FFFFFF"/>
        <w:spacing w:before="0" w:beforeAutospacing="0" w:after="0"/>
        <w:ind w:left="0" w:firstLine="567"/>
        <w:rPr>
          <w:rFonts w:asciiTheme="minorHAnsi" w:hAnsiTheme="minorHAnsi" w:cstheme="minorHAnsi"/>
          <w:sz w:val="22"/>
          <w:szCs w:val="22"/>
        </w:rPr>
      </w:pPr>
      <w:r w:rsidRPr="00A934FF">
        <w:rPr>
          <w:rFonts w:asciiTheme="minorHAnsi" w:hAnsiTheme="minorHAnsi" w:cstheme="minorHAnsi"/>
          <w:sz w:val="22"/>
          <w:szCs w:val="22"/>
        </w:rPr>
        <w:t>Šiomis aplinkybėmis Gerechtshof Den Haag (Hagos apeliacinis teismas, Nyderlandai) nusprendė sustabdyti bylos nagrinėjimą ir pateikti Teisingumo Teismui prejudicinius klausimus</w:t>
      </w:r>
      <w:r w:rsidR="004246C1">
        <w:rPr>
          <w:rFonts w:asciiTheme="minorHAnsi" w:hAnsiTheme="minorHAnsi" w:cstheme="minorHAnsi"/>
          <w:sz w:val="22"/>
          <w:szCs w:val="22"/>
        </w:rPr>
        <w:t>.</w:t>
      </w:r>
    </w:p>
    <w:p w:rsidR="006C771A" w:rsidRDefault="006C771A" w:rsidP="006C771A">
      <w:pPr>
        <w:pStyle w:val="c01pointnumerotealtn"/>
        <w:shd w:val="clear" w:color="auto" w:fill="FFFFFF"/>
        <w:spacing w:before="0" w:beforeAutospacing="0" w:after="0"/>
        <w:ind w:left="0" w:firstLine="567"/>
        <w:rPr>
          <w:rFonts w:asciiTheme="minorHAnsi" w:hAnsiTheme="minorHAnsi" w:cstheme="minorHAnsi"/>
          <w:sz w:val="22"/>
          <w:szCs w:val="22"/>
        </w:rPr>
      </w:pPr>
    </w:p>
    <w:p w:rsidR="006C771A" w:rsidRPr="001362AB" w:rsidRDefault="006C771A" w:rsidP="001362AB">
      <w:pPr>
        <w:pStyle w:val="Heading3"/>
        <w:ind w:firstLine="567"/>
        <w:rPr>
          <w:rFonts w:cstheme="minorHAnsi"/>
        </w:rPr>
      </w:pPr>
      <w:bookmarkStart w:id="69" w:name="_Toc21941968"/>
      <w:r w:rsidRPr="001362AB">
        <w:rPr>
          <w:rFonts w:cstheme="minorHAnsi"/>
        </w:rPr>
        <w:t>Dėl vartotojų pagal garantiją pardavėjui grąžintų ir (ar) pardavėjo asortimentui nebereikalingų mažmeninei prekybai skirtų elektronikos prekių priskyrimo atliekoms</w:t>
      </w:r>
      <w:bookmarkEnd w:id="69"/>
    </w:p>
    <w:p w:rsidR="006C771A" w:rsidRDefault="006C771A" w:rsidP="006C771A">
      <w:pPr>
        <w:pStyle w:val="c01pointnumerotealtn"/>
        <w:shd w:val="clear" w:color="auto" w:fill="FFFFFF"/>
        <w:spacing w:before="0" w:beforeAutospacing="0" w:after="0"/>
        <w:ind w:left="0" w:firstLine="567"/>
        <w:rPr>
          <w:rFonts w:asciiTheme="minorHAnsi" w:hAnsiTheme="minorHAnsi" w:cstheme="minorHAnsi"/>
          <w:sz w:val="22"/>
          <w:szCs w:val="22"/>
        </w:rPr>
      </w:pPr>
    </w:p>
    <w:p w:rsidR="006C771A" w:rsidRDefault="004246C1" w:rsidP="004246C1">
      <w:pPr>
        <w:pStyle w:val="c01pointnumerotealtn"/>
        <w:shd w:val="clear" w:color="auto" w:fill="FFFFFF"/>
        <w:spacing w:before="0" w:beforeAutospacing="0" w:after="0"/>
        <w:ind w:left="0" w:firstLine="567"/>
        <w:rPr>
          <w:rFonts w:asciiTheme="minorHAnsi" w:hAnsiTheme="minorHAnsi" w:cstheme="minorHAnsi"/>
          <w:sz w:val="22"/>
          <w:szCs w:val="22"/>
        </w:rPr>
      </w:pPr>
      <w:r>
        <w:rPr>
          <w:rFonts w:asciiTheme="minorHAnsi" w:hAnsiTheme="minorHAnsi" w:cstheme="minorHAnsi"/>
          <w:sz w:val="22"/>
          <w:szCs w:val="22"/>
        </w:rPr>
        <w:t>Teisingumo Teismas, apžvelgęs suformuotą juriprudenciją, pažymėjo, jog n</w:t>
      </w:r>
      <w:r w:rsidR="006C771A" w:rsidRPr="00F94283">
        <w:rPr>
          <w:rFonts w:asciiTheme="minorHAnsi" w:hAnsiTheme="minorHAnsi" w:cstheme="minorHAnsi"/>
          <w:sz w:val="22"/>
          <w:szCs w:val="22"/>
        </w:rPr>
        <w:t>agrinėjamu atveju reikia išnagrinėti, ar aptariamą partiją sudarantys elektros prietaisai turėjo būti laikomi „atliekomis“ tuo momentu, kai apie juos išsiaiškino Nyderlandų muitinė.</w:t>
      </w:r>
      <w:r w:rsidR="006C771A" w:rsidRPr="00BC2A62">
        <w:rPr>
          <w:rFonts w:asciiTheme="minorHAnsi" w:hAnsiTheme="minorHAnsi" w:cstheme="minorHAnsi"/>
          <w:sz w:val="22"/>
          <w:szCs w:val="22"/>
        </w:rPr>
        <w:t xml:space="preserve"> </w:t>
      </w:r>
      <w:r w:rsidR="006C771A" w:rsidRPr="00F94283">
        <w:rPr>
          <w:rFonts w:asciiTheme="minorHAnsi" w:hAnsiTheme="minorHAnsi" w:cstheme="minorHAnsi"/>
          <w:sz w:val="22"/>
          <w:szCs w:val="22"/>
        </w:rPr>
        <w:t xml:space="preserve">Šiuo klausimu </w:t>
      </w:r>
      <w:r w:rsidR="006C771A">
        <w:rPr>
          <w:rFonts w:asciiTheme="minorHAnsi" w:hAnsiTheme="minorHAnsi" w:cstheme="minorHAnsi"/>
          <w:sz w:val="22"/>
          <w:szCs w:val="22"/>
        </w:rPr>
        <w:t>Teisingumo Teismas akcentavo</w:t>
      </w:r>
      <w:r w:rsidR="006C771A" w:rsidRPr="00F94283">
        <w:rPr>
          <w:rFonts w:asciiTheme="minorHAnsi" w:hAnsiTheme="minorHAnsi" w:cstheme="minorHAnsi"/>
          <w:sz w:val="22"/>
          <w:szCs w:val="22"/>
        </w:rPr>
        <w:t>, kad tuo atveju, jei Tronex įsigijo prietaisus, kurie jau ankstesniame etape tapo atliekomis, ir jų nepašalino ir nepanaudojo, reikėtų daryti išvadą, kad ji vežė atliekas pažeisdama atitinkamas Reglamento Nr. 1013/2006 nuostatas.</w:t>
      </w:r>
      <w:r w:rsidR="006C771A" w:rsidRPr="00BC2A62">
        <w:rPr>
          <w:rFonts w:asciiTheme="minorHAnsi" w:hAnsiTheme="minorHAnsi" w:cstheme="minorHAnsi"/>
          <w:sz w:val="22"/>
          <w:szCs w:val="22"/>
        </w:rPr>
        <w:t xml:space="preserve"> </w:t>
      </w:r>
      <w:r w:rsidR="006C771A">
        <w:rPr>
          <w:rFonts w:asciiTheme="minorHAnsi" w:hAnsiTheme="minorHAnsi" w:cstheme="minorHAnsi"/>
          <w:sz w:val="22"/>
          <w:szCs w:val="22"/>
        </w:rPr>
        <w:t>K</w:t>
      </w:r>
      <w:r w:rsidR="006C771A" w:rsidRPr="00F94283">
        <w:rPr>
          <w:rFonts w:asciiTheme="minorHAnsi" w:hAnsiTheme="minorHAnsi" w:cstheme="minorHAnsi"/>
          <w:sz w:val="22"/>
          <w:szCs w:val="22"/>
        </w:rPr>
        <w:t xml:space="preserve">iek tai susiję su prašymą priimti prejudicinį sprendimą pateikusio teismo nurodyta aplinkybe, kad aptariamą partiją sudarantys prietaisai jų turėtojams – naujais tokiais prietaisais prekiaujantiems mažmenininkams, didmenininkams ir jos importuotojams – buvo nebetinkami naudoti pagal pirminę paskirtį, </w:t>
      </w:r>
      <w:r w:rsidR="006C771A">
        <w:rPr>
          <w:rFonts w:asciiTheme="minorHAnsi" w:hAnsiTheme="minorHAnsi" w:cstheme="minorHAnsi"/>
          <w:sz w:val="22"/>
          <w:szCs w:val="22"/>
        </w:rPr>
        <w:t xml:space="preserve">Teisingumo Teismas </w:t>
      </w:r>
      <w:r w:rsidR="006C771A" w:rsidRPr="00F94283">
        <w:rPr>
          <w:rFonts w:asciiTheme="minorHAnsi" w:hAnsiTheme="minorHAnsi" w:cstheme="minorHAnsi"/>
          <w:sz w:val="22"/>
          <w:szCs w:val="22"/>
        </w:rPr>
        <w:t>pažymė</w:t>
      </w:r>
      <w:r w:rsidR="006C771A">
        <w:rPr>
          <w:rFonts w:asciiTheme="minorHAnsi" w:hAnsiTheme="minorHAnsi" w:cstheme="minorHAnsi"/>
          <w:sz w:val="22"/>
          <w:szCs w:val="22"/>
        </w:rPr>
        <w:t>jo</w:t>
      </w:r>
      <w:r w:rsidR="006C771A" w:rsidRPr="00F94283">
        <w:rPr>
          <w:rFonts w:asciiTheme="minorHAnsi" w:hAnsiTheme="minorHAnsi" w:cstheme="minorHAnsi"/>
          <w:sz w:val="22"/>
          <w:szCs w:val="22"/>
        </w:rPr>
        <w:t>, kad ši aplinkybė gali reikšti, jog aptariama partija buvo našta ir tiekėjai mėgino jos „atsikratyti“</w:t>
      </w:r>
      <w:r w:rsidR="006C771A">
        <w:rPr>
          <w:rFonts w:asciiTheme="minorHAnsi" w:hAnsiTheme="minorHAnsi" w:cstheme="minorHAnsi"/>
          <w:sz w:val="22"/>
          <w:szCs w:val="22"/>
        </w:rPr>
        <w:t xml:space="preserve">. </w:t>
      </w:r>
      <w:r w:rsidR="006C771A" w:rsidRPr="00F94283">
        <w:rPr>
          <w:rFonts w:asciiTheme="minorHAnsi" w:hAnsiTheme="minorHAnsi" w:cstheme="minorHAnsi"/>
          <w:sz w:val="22"/>
          <w:szCs w:val="22"/>
        </w:rPr>
        <w:t xml:space="preserve">Dėl to, kad šie prietaisai dar turėjo likutinę vertę ir kad Tronex už juos iš tikrųjų sumokėjo tam tikrą pinigų sumą, atitinkančią šią vertę, </w:t>
      </w:r>
      <w:r w:rsidR="006C771A">
        <w:rPr>
          <w:rFonts w:asciiTheme="minorHAnsi" w:hAnsiTheme="minorHAnsi" w:cstheme="minorHAnsi"/>
          <w:sz w:val="22"/>
          <w:szCs w:val="22"/>
        </w:rPr>
        <w:t>Teisingumo Teismas nurodė</w:t>
      </w:r>
      <w:r w:rsidR="006C771A" w:rsidRPr="00F94283">
        <w:rPr>
          <w:rFonts w:asciiTheme="minorHAnsi" w:hAnsiTheme="minorHAnsi" w:cstheme="minorHAnsi"/>
          <w:sz w:val="22"/>
          <w:szCs w:val="22"/>
        </w:rPr>
        <w:t xml:space="preserve">, jog </w:t>
      </w:r>
      <w:r w:rsidR="006C771A" w:rsidRPr="00D402C8">
        <w:rPr>
          <w:rFonts w:asciiTheme="minorHAnsi" w:hAnsiTheme="minorHAnsi" w:cstheme="minorHAnsi"/>
          <w:sz w:val="22"/>
          <w:szCs w:val="22"/>
          <w:u w:val="single"/>
        </w:rPr>
        <w:t>sąvokos „atliekos“ nereikia suprasti taip, kad ji neapima komercinę vertę turinčių medžiagų ir daiktų, kurie gali būti panaudojami iš naujo sudarant ekonominius sandorius</w:t>
      </w:r>
      <w:r w:rsidR="006C771A" w:rsidRPr="00F94283">
        <w:rPr>
          <w:rFonts w:asciiTheme="minorHAnsi" w:hAnsiTheme="minorHAnsi" w:cstheme="minorHAnsi"/>
          <w:sz w:val="22"/>
          <w:szCs w:val="22"/>
        </w:rPr>
        <w:t xml:space="preserve"> (</w:t>
      </w:r>
      <w:r w:rsidR="006C771A">
        <w:rPr>
          <w:rFonts w:asciiTheme="minorHAnsi" w:hAnsiTheme="minorHAnsi" w:cstheme="minorHAnsi"/>
          <w:sz w:val="22"/>
          <w:szCs w:val="22"/>
        </w:rPr>
        <w:t xml:space="preserve">žr. </w:t>
      </w:r>
      <w:r w:rsidR="006C771A" w:rsidRPr="00F94283">
        <w:rPr>
          <w:rFonts w:asciiTheme="minorHAnsi" w:hAnsiTheme="minorHAnsi" w:cstheme="minorHAnsi"/>
          <w:sz w:val="22"/>
          <w:szCs w:val="22"/>
        </w:rPr>
        <w:t xml:space="preserve">2013 m. gruodžio 12 d. </w:t>
      </w:r>
      <w:r w:rsidR="006C771A">
        <w:rPr>
          <w:rFonts w:asciiTheme="minorHAnsi" w:hAnsiTheme="minorHAnsi" w:cstheme="minorHAnsi"/>
          <w:sz w:val="22"/>
          <w:szCs w:val="22"/>
        </w:rPr>
        <w:t>s</w:t>
      </w:r>
      <w:r w:rsidR="006C771A" w:rsidRPr="00F94283">
        <w:rPr>
          <w:rFonts w:asciiTheme="minorHAnsi" w:hAnsiTheme="minorHAnsi" w:cstheme="minorHAnsi"/>
          <w:sz w:val="22"/>
          <w:szCs w:val="22"/>
        </w:rPr>
        <w:t>prendimo Shell Nederland, C</w:t>
      </w:r>
      <w:r w:rsidR="006C771A" w:rsidRPr="00F94283">
        <w:rPr>
          <w:rFonts w:ascii="Cambria Math" w:hAnsi="Cambria Math" w:cs="Cambria Math"/>
          <w:sz w:val="22"/>
          <w:szCs w:val="22"/>
        </w:rPr>
        <w:t>‑</w:t>
      </w:r>
      <w:r w:rsidR="006C771A" w:rsidRPr="00F94283">
        <w:rPr>
          <w:rFonts w:asciiTheme="minorHAnsi" w:hAnsiTheme="minorHAnsi" w:cstheme="minorHAnsi"/>
          <w:sz w:val="22"/>
          <w:szCs w:val="22"/>
        </w:rPr>
        <w:t>241/12 ir C</w:t>
      </w:r>
      <w:r w:rsidR="006C771A" w:rsidRPr="00F94283">
        <w:rPr>
          <w:rFonts w:ascii="Cambria Math" w:hAnsi="Cambria Math" w:cs="Cambria Math"/>
          <w:sz w:val="22"/>
          <w:szCs w:val="22"/>
        </w:rPr>
        <w:t>‑</w:t>
      </w:r>
      <w:r w:rsidR="006C771A" w:rsidRPr="00F94283">
        <w:rPr>
          <w:rFonts w:asciiTheme="minorHAnsi" w:hAnsiTheme="minorHAnsi" w:cstheme="minorHAnsi"/>
          <w:sz w:val="22"/>
          <w:szCs w:val="22"/>
        </w:rPr>
        <w:t>242/12, EU:C:2013:821, 50 p</w:t>
      </w:r>
      <w:r w:rsidR="006C771A">
        <w:rPr>
          <w:rFonts w:asciiTheme="minorHAnsi" w:hAnsiTheme="minorHAnsi" w:cstheme="minorHAnsi"/>
          <w:sz w:val="22"/>
          <w:szCs w:val="22"/>
        </w:rPr>
        <w:t>. ir jame nurodytą</w:t>
      </w:r>
      <w:r w:rsidR="006C771A" w:rsidRPr="00F94283">
        <w:rPr>
          <w:rFonts w:asciiTheme="minorHAnsi" w:hAnsiTheme="minorHAnsi" w:cstheme="minorHAnsi"/>
          <w:sz w:val="22"/>
          <w:szCs w:val="22"/>
        </w:rPr>
        <w:t xml:space="preserve"> jurispru</w:t>
      </w:r>
      <w:r w:rsidR="006C771A">
        <w:rPr>
          <w:rFonts w:asciiTheme="minorHAnsi" w:hAnsiTheme="minorHAnsi" w:cstheme="minorHAnsi"/>
          <w:sz w:val="22"/>
          <w:szCs w:val="22"/>
        </w:rPr>
        <w:t>denciją</w:t>
      </w:r>
      <w:r w:rsidR="006C771A" w:rsidRPr="00F94283">
        <w:rPr>
          <w:rFonts w:asciiTheme="minorHAnsi" w:hAnsiTheme="minorHAnsi" w:cstheme="minorHAnsi"/>
          <w:sz w:val="22"/>
          <w:szCs w:val="22"/>
        </w:rPr>
        <w:t>)</w:t>
      </w:r>
      <w:r w:rsidR="006C771A">
        <w:rPr>
          <w:rFonts w:asciiTheme="minorHAnsi" w:hAnsiTheme="minorHAnsi" w:cstheme="minorHAnsi"/>
          <w:sz w:val="22"/>
          <w:szCs w:val="22"/>
        </w:rPr>
        <w:t xml:space="preserve"> (26–29 punktai)</w:t>
      </w:r>
      <w:r w:rsidR="006C771A" w:rsidRPr="00F94283">
        <w:rPr>
          <w:rFonts w:asciiTheme="minorHAnsi" w:hAnsiTheme="minorHAnsi" w:cstheme="minorHAnsi"/>
          <w:sz w:val="22"/>
          <w:szCs w:val="22"/>
        </w:rPr>
        <w:t>.</w:t>
      </w:r>
    </w:p>
    <w:p w:rsidR="006C771A" w:rsidRDefault="006C771A" w:rsidP="006C771A">
      <w:pPr>
        <w:pStyle w:val="c01pointnumerotealtn"/>
        <w:shd w:val="clear" w:color="auto" w:fill="FFFFFF"/>
        <w:spacing w:before="0" w:beforeAutospacing="0" w:after="0"/>
        <w:ind w:left="0" w:firstLine="567"/>
        <w:rPr>
          <w:rFonts w:asciiTheme="minorHAnsi" w:hAnsiTheme="minorHAnsi" w:cstheme="minorHAnsi"/>
          <w:sz w:val="22"/>
          <w:szCs w:val="22"/>
        </w:rPr>
      </w:pPr>
      <w:r>
        <w:rPr>
          <w:rFonts w:asciiTheme="minorHAnsi" w:hAnsiTheme="minorHAnsi" w:cstheme="minorHAnsi"/>
          <w:sz w:val="22"/>
          <w:szCs w:val="22"/>
        </w:rPr>
        <w:t xml:space="preserve">Teisingumo Teismas taip pat akcentavo, kad </w:t>
      </w:r>
      <w:r w:rsidRPr="00D402C8">
        <w:rPr>
          <w:rFonts w:asciiTheme="minorHAnsi" w:hAnsiTheme="minorHAnsi" w:cstheme="minorHAnsi"/>
          <w:sz w:val="22"/>
          <w:szCs w:val="22"/>
          <w:u w:val="single"/>
        </w:rPr>
        <w:t>vien aplinkybė, jog pardavėjas ir pirkėjas pardavimą laikė partijos pardavimu ir šioje partijoje yra atliekomis laikytinų prietaisų, nereiškia, kad visi šią partiją sudarantys prietaisai yra atliekos</w:t>
      </w:r>
      <w:r w:rsidRPr="00F94283">
        <w:rPr>
          <w:rFonts w:asciiTheme="minorHAnsi" w:hAnsiTheme="minorHAnsi" w:cstheme="minorHAnsi"/>
          <w:sz w:val="22"/>
          <w:szCs w:val="22"/>
        </w:rPr>
        <w:t>.</w:t>
      </w:r>
      <w:r w:rsidRPr="00FD272A">
        <w:rPr>
          <w:rFonts w:asciiTheme="minorHAnsi" w:hAnsiTheme="minorHAnsi" w:cstheme="minorHAnsi"/>
          <w:sz w:val="22"/>
          <w:szCs w:val="22"/>
        </w:rPr>
        <w:t xml:space="preserve"> </w:t>
      </w:r>
      <w:r w:rsidRPr="00F94283">
        <w:rPr>
          <w:rFonts w:asciiTheme="minorHAnsi" w:hAnsiTheme="minorHAnsi" w:cstheme="minorHAnsi"/>
          <w:sz w:val="22"/>
          <w:szCs w:val="22"/>
        </w:rPr>
        <w:t xml:space="preserve">Pirma, </w:t>
      </w:r>
      <w:r w:rsidRPr="00D402C8">
        <w:rPr>
          <w:rFonts w:asciiTheme="minorHAnsi" w:hAnsiTheme="minorHAnsi" w:cstheme="minorHAnsi"/>
          <w:sz w:val="22"/>
          <w:szCs w:val="22"/>
          <w:u w:val="single"/>
        </w:rPr>
        <w:t>kiek tai susiję su mažmenininko, didmenininko ar importuotojo asortimentui nebereikalingomis prekėmis, kurios vis dar buvo nepažeistose originaliose pakuotose, galima teigti, kad tai yra naujos prekės, ir daryti prielaidą, kad jos yra veikiančios. Tokie elektros prietaisai gali būti laikomi rinkos prekėmis, kurios gali būti įprastos prekybos objektas ir iš principo nėra našta jų turėtojams</w:t>
      </w:r>
      <w:r w:rsidRPr="00F94283">
        <w:rPr>
          <w:rFonts w:asciiTheme="minorHAnsi" w:hAnsiTheme="minorHAnsi" w:cstheme="minorHAnsi"/>
          <w:sz w:val="22"/>
          <w:szCs w:val="22"/>
        </w:rPr>
        <w:t>, kaip nurodyta šio sprendimo 22 punkte primintoje jurisprudencijoje.</w:t>
      </w:r>
      <w:r w:rsidRPr="00FD272A">
        <w:rPr>
          <w:rFonts w:asciiTheme="minorHAnsi" w:hAnsiTheme="minorHAnsi" w:cstheme="minorHAnsi"/>
          <w:sz w:val="22"/>
          <w:szCs w:val="22"/>
        </w:rPr>
        <w:t xml:space="preserve"> </w:t>
      </w:r>
      <w:r>
        <w:rPr>
          <w:rFonts w:asciiTheme="minorHAnsi" w:hAnsiTheme="minorHAnsi" w:cstheme="minorHAnsi"/>
          <w:sz w:val="22"/>
          <w:szCs w:val="22"/>
        </w:rPr>
        <w:t>Teisingumo Teismas nurodė, kad jo</w:t>
      </w:r>
      <w:r w:rsidRPr="00F94283">
        <w:rPr>
          <w:rFonts w:asciiTheme="minorHAnsi" w:hAnsiTheme="minorHAnsi" w:cstheme="minorHAnsi"/>
          <w:sz w:val="22"/>
          <w:szCs w:val="22"/>
        </w:rPr>
        <w:t xml:space="preserve"> turimoje bylos medžiagoje nėra nieko, kas leistų manyti, </w:t>
      </w:r>
      <w:r>
        <w:rPr>
          <w:rFonts w:asciiTheme="minorHAnsi" w:hAnsiTheme="minorHAnsi" w:cstheme="minorHAnsi"/>
          <w:sz w:val="22"/>
          <w:szCs w:val="22"/>
        </w:rPr>
        <w:t>jog</w:t>
      </w:r>
      <w:r w:rsidRPr="00F94283">
        <w:rPr>
          <w:rFonts w:asciiTheme="minorHAnsi" w:hAnsiTheme="minorHAnsi" w:cstheme="minorHAnsi"/>
          <w:sz w:val="22"/>
          <w:szCs w:val="22"/>
        </w:rPr>
        <w:t xml:space="preserve"> šių prietaisų turėtojas ketino jų „atsikratyti“, kaip tai suprantama pagal Direktyvos 2008/98 3 straipsnio 1 punktą. Vis dėlto prašymą priimti prejudicinį sprendimą pateikęs teismas turi patikrinti, ar nėra aplinkybių, leidžiančių suabejoti, ar šios prekės tinkamai veikia</w:t>
      </w:r>
      <w:r>
        <w:rPr>
          <w:rFonts w:asciiTheme="minorHAnsi" w:hAnsiTheme="minorHAnsi" w:cstheme="minorHAnsi"/>
          <w:sz w:val="22"/>
          <w:szCs w:val="22"/>
        </w:rPr>
        <w:t xml:space="preserve"> (31–33 punktai)</w:t>
      </w:r>
      <w:r w:rsidRPr="00F94283">
        <w:rPr>
          <w:rFonts w:asciiTheme="minorHAnsi" w:hAnsiTheme="minorHAnsi" w:cstheme="minorHAnsi"/>
          <w:sz w:val="22"/>
          <w:szCs w:val="22"/>
        </w:rPr>
        <w:t>.</w:t>
      </w:r>
    </w:p>
    <w:p w:rsidR="006C771A" w:rsidRDefault="006C771A" w:rsidP="006C771A">
      <w:pPr>
        <w:pStyle w:val="c01pointnumerotealtn"/>
        <w:shd w:val="clear" w:color="auto" w:fill="FFFFFF"/>
        <w:spacing w:before="0" w:beforeAutospacing="0" w:after="0"/>
        <w:ind w:left="0" w:firstLine="567"/>
        <w:rPr>
          <w:rFonts w:asciiTheme="minorHAnsi" w:hAnsiTheme="minorHAnsi" w:cstheme="minorHAnsi"/>
          <w:sz w:val="22"/>
          <w:szCs w:val="22"/>
        </w:rPr>
      </w:pPr>
      <w:r w:rsidRPr="00F94283">
        <w:rPr>
          <w:rFonts w:asciiTheme="minorHAnsi" w:hAnsiTheme="minorHAnsi" w:cstheme="minorHAnsi"/>
          <w:sz w:val="22"/>
          <w:szCs w:val="22"/>
        </w:rPr>
        <w:t xml:space="preserve">Antra, dėl remiantis produkto garantija grąžintų elektroninių prietaisų </w:t>
      </w:r>
      <w:r>
        <w:rPr>
          <w:rFonts w:asciiTheme="minorHAnsi" w:hAnsiTheme="minorHAnsi" w:cstheme="minorHAnsi"/>
          <w:sz w:val="22"/>
          <w:szCs w:val="22"/>
        </w:rPr>
        <w:t xml:space="preserve">Teisingumo Teismas </w:t>
      </w:r>
      <w:r w:rsidRPr="00F94283">
        <w:rPr>
          <w:rFonts w:asciiTheme="minorHAnsi" w:hAnsiTheme="minorHAnsi" w:cstheme="minorHAnsi"/>
          <w:sz w:val="22"/>
          <w:szCs w:val="22"/>
        </w:rPr>
        <w:t>pažymė</w:t>
      </w:r>
      <w:r>
        <w:rPr>
          <w:rFonts w:asciiTheme="minorHAnsi" w:hAnsiTheme="minorHAnsi" w:cstheme="minorHAnsi"/>
          <w:sz w:val="22"/>
          <w:szCs w:val="22"/>
        </w:rPr>
        <w:t>jo</w:t>
      </w:r>
      <w:r w:rsidRPr="00F94283">
        <w:rPr>
          <w:rFonts w:asciiTheme="minorHAnsi" w:hAnsiTheme="minorHAnsi" w:cstheme="minorHAnsi"/>
          <w:sz w:val="22"/>
          <w:szCs w:val="22"/>
        </w:rPr>
        <w:t xml:space="preserve">, kad </w:t>
      </w:r>
      <w:r w:rsidRPr="00D402C8">
        <w:rPr>
          <w:rFonts w:asciiTheme="minorHAnsi" w:hAnsiTheme="minorHAnsi" w:cstheme="minorHAnsi"/>
          <w:sz w:val="22"/>
          <w:szCs w:val="22"/>
          <w:u w:val="single"/>
        </w:rPr>
        <w:t>pagal sutarties sąlygas atliktas grąžinimas ir už tai atgauta pirkimo kainos suma negali būti prilyginti šalinimui</w:t>
      </w:r>
      <w:r w:rsidRPr="00F94283">
        <w:rPr>
          <w:rFonts w:asciiTheme="minorHAnsi" w:hAnsiTheme="minorHAnsi" w:cstheme="minorHAnsi"/>
          <w:sz w:val="22"/>
          <w:szCs w:val="22"/>
        </w:rPr>
        <w:t xml:space="preserve">. Iš tiesų tais atvejais, </w:t>
      </w:r>
      <w:r w:rsidRPr="00D402C8">
        <w:rPr>
          <w:rFonts w:asciiTheme="minorHAnsi" w:hAnsiTheme="minorHAnsi" w:cstheme="minorHAnsi"/>
          <w:sz w:val="22"/>
          <w:szCs w:val="22"/>
          <w:u w:val="single"/>
        </w:rPr>
        <w:t>jei vartotojas grąžina netinkamą daiktą, už tai siekdamas atgauti sumokėtą pinigų sumą remdamasis garantija, suteikta pagal to daikto pirkimo–pardavimo sutartį, šis vartotojas negali būti laikomas norinčiu pašalinti ar panaudoti daiktą, kurio ketino „atsikratyti“, kaip tai suprantama pagal Direktyvos 2008/98 3 straipsnio 1 punktą</w:t>
      </w:r>
      <w:r w:rsidRPr="00F94283">
        <w:rPr>
          <w:rFonts w:asciiTheme="minorHAnsi" w:hAnsiTheme="minorHAnsi" w:cstheme="minorHAnsi"/>
          <w:sz w:val="22"/>
          <w:szCs w:val="22"/>
        </w:rPr>
        <w:t xml:space="preserve">. Galiausiai reikia pridurti, kad tokiomis kaip pagrindinės bylos aplinkybėmis rizika, kad vartotojas atsikratys šio daikto tokiu būdu, kuris padarys žalos aplinkai, yra nedidelė (šiuo klausimu žr. 2013 m. gruodžio 12 d. </w:t>
      </w:r>
      <w:r>
        <w:rPr>
          <w:rFonts w:asciiTheme="minorHAnsi" w:hAnsiTheme="minorHAnsi" w:cstheme="minorHAnsi"/>
          <w:sz w:val="22"/>
          <w:szCs w:val="22"/>
        </w:rPr>
        <w:t>s</w:t>
      </w:r>
      <w:r w:rsidRPr="00F94283">
        <w:rPr>
          <w:rFonts w:asciiTheme="minorHAnsi" w:hAnsiTheme="minorHAnsi" w:cstheme="minorHAnsi"/>
          <w:sz w:val="22"/>
          <w:szCs w:val="22"/>
        </w:rPr>
        <w:t>prendimo Shell Nederland, C</w:t>
      </w:r>
      <w:r w:rsidRPr="00F94283">
        <w:rPr>
          <w:rFonts w:ascii="Cambria Math" w:hAnsi="Cambria Math" w:cs="Cambria Math"/>
          <w:sz w:val="22"/>
          <w:szCs w:val="22"/>
        </w:rPr>
        <w:t>‑</w:t>
      </w:r>
      <w:r w:rsidRPr="00F94283">
        <w:rPr>
          <w:rFonts w:asciiTheme="minorHAnsi" w:hAnsiTheme="minorHAnsi" w:cstheme="minorHAnsi"/>
          <w:sz w:val="22"/>
          <w:szCs w:val="22"/>
        </w:rPr>
        <w:t>241/12 ir C</w:t>
      </w:r>
      <w:r w:rsidRPr="00F94283">
        <w:rPr>
          <w:rFonts w:ascii="Cambria Math" w:hAnsi="Cambria Math" w:cs="Cambria Math"/>
          <w:sz w:val="22"/>
          <w:szCs w:val="22"/>
        </w:rPr>
        <w:t>‑</w:t>
      </w:r>
      <w:r w:rsidRPr="00F94283">
        <w:rPr>
          <w:rFonts w:asciiTheme="minorHAnsi" w:hAnsiTheme="minorHAnsi" w:cstheme="minorHAnsi"/>
          <w:sz w:val="22"/>
          <w:szCs w:val="22"/>
        </w:rPr>
        <w:t>242/12, EU:C:2013:821, 46 p</w:t>
      </w:r>
      <w:r>
        <w:rPr>
          <w:rFonts w:asciiTheme="minorHAnsi" w:hAnsiTheme="minorHAnsi" w:cstheme="minorHAnsi"/>
          <w:sz w:val="22"/>
          <w:szCs w:val="22"/>
        </w:rPr>
        <w:t>.</w:t>
      </w:r>
      <w:r w:rsidRPr="00F94283">
        <w:rPr>
          <w:rFonts w:asciiTheme="minorHAnsi" w:hAnsiTheme="minorHAnsi" w:cstheme="minorHAnsi"/>
          <w:sz w:val="22"/>
          <w:szCs w:val="22"/>
        </w:rPr>
        <w:t>).</w:t>
      </w:r>
      <w:r w:rsidRPr="000F5381">
        <w:rPr>
          <w:rFonts w:asciiTheme="minorHAnsi" w:hAnsiTheme="minorHAnsi" w:cstheme="minorHAnsi"/>
          <w:sz w:val="22"/>
          <w:szCs w:val="22"/>
        </w:rPr>
        <w:t xml:space="preserve"> </w:t>
      </w:r>
      <w:r w:rsidRPr="00F94283">
        <w:rPr>
          <w:rFonts w:asciiTheme="minorHAnsi" w:hAnsiTheme="minorHAnsi" w:cstheme="minorHAnsi"/>
          <w:sz w:val="22"/>
          <w:szCs w:val="22"/>
        </w:rPr>
        <w:t xml:space="preserve">Vis dėlto toks grąžinimas remiantis garantija neleidžia nustatyti, ar tokiomis aplinkybėmis šioje prekybos grandinėje atitinkamų elektros prietaisų pakartotinis panaudojimas yra užtikrintas, kaip reikalaujama pagal šio sprendimo 24 punkte primintą jurisprudenciją. Taigi </w:t>
      </w:r>
      <w:r w:rsidRPr="00D402C8">
        <w:rPr>
          <w:rFonts w:asciiTheme="minorHAnsi" w:hAnsiTheme="minorHAnsi" w:cstheme="minorHAnsi"/>
          <w:sz w:val="22"/>
          <w:szCs w:val="22"/>
          <w:u w:val="single"/>
        </w:rPr>
        <w:t>siekiant nustatyti riziką, kad turėtojas atsikratys šių prietaisų tokiu būdu, kuris padarys žalos aplinkai, reikia patikrinti, ar remiantis produkto garantija grąžinti elektros prietaisai, jei turi defektų, dar gali būti parduoti nesutaisyti, kad galėtų būti naudojami pagal pirminę paskirtį, ir ar toks pakartotinis naudojimas yra užtikrintas</w:t>
      </w:r>
      <w:r>
        <w:rPr>
          <w:rFonts w:asciiTheme="minorHAnsi" w:hAnsiTheme="minorHAnsi" w:cstheme="minorHAnsi"/>
          <w:sz w:val="22"/>
          <w:szCs w:val="22"/>
        </w:rPr>
        <w:t xml:space="preserve"> (34–35 punktai)</w:t>
      </w:r>
      <w:r w:rsidRPr="00F94283">
        <w:rPr>
          <w:rFonts w:asciiTheme="minorHAnsi" w:hAnsiTheme="minorHAnsi" w:cstheme="minorHAnsi"/>
          <w:sz w:val="22"/>
          <w:szCs w:val="22"/>
        </w:rPr>
        <w:t>.</w:t>
      </w:r>
    </w:p>
    <w:p w:rsidR="006C771A" w:rsidRPr="00F94283" w:rsidRDefault="006C771A" w:rsidP="006C771A">
      <w:pPr>
        <w:pStyle w:val="c01pointnumerotealtn"/>
        <w:shd w:val="clear" w:color="auto" w:fill="FFFFFF"/>
        <w:spacing w:before="0" w:beforeAutospacing="0" w:after="0"/>
        <w:ind w:left="0" w:firstLine="567"/>
        <w:rPr>
          <w:rFonts w:asciiTheme="minorHAnsi" w:hAnsiTheme="minorHAnsi" w:cstheme="minorHAnsi"/>
          <w:sz w:val="22"/>
          <w:szCs w:val="22"/>
        </w:rPr>
      </w:pPr>
      <w:r w:rsidRPr="00D402C8">
        <w:rPr>
          <w:rFonts w:asciiTheme="minorHAnsi" w:hAnsiTheme="minorHAnsi" w:cstheme="minorHAnsi"/>
          <w:sz w:val="22"/>
          <w:szCs w:val="22"/>
          <w:u w:val="single"/>
        </w:rPr>
        <w:t>Jei prietaisų defektai, kuriuos reikia pašalinti, yra tokie, kad prietaisai nebegali būti naudojami pagal pirminę paskirtį, šie prietaisai yra našta turėtojui, taigi laikytini atliekomis</w:t>
      </w:r>
      <w:r w:rsidRPr="00F94283">
        <w:rPr>
          <w:rFonts w:asciiTheme="minorHAnsi" w:hAnsiTheme="minorHAnsi" w:cstheme="minorHAnsi"/>
          <w:sz w:val="22"/>
          <w:szCs w:val="22"/>
        </w:rPr>
        <w:t xml:space="preserve">, nes nėra užtikrintumo, kad turėtojas iš tikrųjų juos sutaisys. Kaip pažymėjo Europos Komisija savo rašytinėse pastabose, </w:t>
      </w:r>
      <w:r w:rsidRPr="00AE4026">
        <w:rPr>
          <w:rFonts w:asciiTheme="minorHAnsi" w:hAnsiTheme="minorHAnsi" w:cstheme="minorHAnsi"/>
          <w:sz w:val="22"/>
          <w:szCs w:val="22"/>
          <w:u w:val="single"/>
        </w:rPr>
        <w:t>nustatant, ar daiktas yra „atliekos“, abejonės dėl to, ar šis daiktas dar galės būti parduotas ir tinkamai naudojamas pagal pirminę paskirtį, yra lemiamos. T</w:t>
      </w:r>
      <w:r w:rsidRPr="00A95B41">
        <w:rPr>
          <w:rFonts w:asciiTheme="minorHAnsi" w:hAnsiTheme="minorHAnsi" w:cstheme="minorHAnsi"/>
          <w:sz w:val="22"/>
          <w:szCs w:val="22"/>
          <w:u w:val="single"/>
        </w:rPr>
        <w:t>aisymo, būtino tam, kad atitinkamą daiktą vėl būtų galima naudoti pagal pirminę paskirtį, kaina nesvarbi, nes, pirma, jau vien dėl to, kad daiktas neveikia, jis tampa našta jo turėtojui ir, antra, daikto naudojimas pagal pirminę paskirtį ateityje nėra užtikrintas</w:t>
      </w:r>
      <w:r w:rsidRPr="00F94283">
        <w:rPr>
          <w:rFonts w:asciiTheme="minorHAnsi" w:hAnsiTheme="minorHAnsi" w:cstheme="minorHAnsi"/>
          <w:sz w:val="22"/>
          <w:szCs w:val="22"/>
        </w:rPr>
        <w:t>.</w:t>
      </w:r>
      <w:r w:rsidRPr="009418A2">
        <w:rPr>
          <w:rFonts w:asciiTheme="minorHAnsi" w:hAnsiTheme="minorHAnsi" w:cstheme="minorHAnsi"/>
          <w:sz w:val="22"/>
          <w:szCs w:val="22"/>
        </w:rPr>
        <w:t xml:space="preserve"> </w:t>
      </w:r>
      <w:r w:rsidRPr="00F94283">
        <w:rPr>
          <w:rFonts w:asciiTheme="minorHAnsi" w:hAnsiTheme="minorHAnsi" w:cstheme="minorHAnsi"/>
          <w:sz w:val="22"/>
          <w:szCs w:val="22"/>
        </w:rPr>
        <w:t xml:space="preserve">Taigi manytina, kad </w:t>
      </w:r>
      <w:r w:rsidRPr="000D2403">
        <w:rPr>
          <w:rFonts w:asciiTheme="minorHAnsi" w:hAnsiTheme="minorHAnsi" w:cstheme="minorHAnsi"/>
          <w:sz w:val="22"/>
          <w:szCs w:val="22"/>
          <w:u w:val="single"/>
        </w:rPr>
        <w:t>defektas, dėl kurio atitinkamas daiktas nebegali būti naudojamas pagal pirminę paskirtį, reiškia, kad tokio daikto pakartotinis naudojimas nėra užtikrintas</w:t>
      </w:r>
      <w:r>
        <w:rPr>
          <w:rFonts w:asciiTheme="minorHAnsi" w:hAnsiTheme="minorHAnsi" w:cstheme="minorHAnsi"/>
          <w:sz w:val="22"/>
          <w:szCs w:val="22"/>
        </w:rPr>
        <w:t xml:space="preserve"> (36–38 punktai)</w:t>
      </w:r>
      <w:r w:rsidRPr="00F94283">
        <w:rPr>
          <w:rFonts w:asciiTheme="minorHAnsi" w:hAnsiTheme="minorHAnsi" w:cstheme="minorHAnsi"/>
          <w:sz w:val="22"/>
          <w:szCs w:val="22"/>
        </w:rPr>
        <w:t>.</w:t>
      </w:r>
    </w:p>
    <w:p w:rsidR="006C771A" w:rsidRPr="00F94283" w:rsidRDefault="006C771A" w:rsidP="006C771A">
      <w:pPr>
        <w:pStyle w:val="c01pointnumerotealtn"/>
        <w:shd w:val="clear" w:color="auto" w:fill="FFFFFF"/>
        <w:spacing w:before="0" w:beforeAutospacing="0" w:after="0"/>
        <w:ind w:left="0" w:firstLine="567"/>
        <w:rPr>
          <w:rFonts w:asciiTheme="minorHAnsi" w:hAnsiTheme="minorHAnsi" w:cstheme="minorHAnsi"/>
          <w:sz w:val="22"/>
          <w:szCs w:val="22"/>
        </w:rPr>
      </w:pPr>
      <w:r w:rsidRPr="00F94283">
        <w:rPr>
          <w:rFonts w:asciiTheme="minorHAnsi" w:hAnsiTheme="minorHAnsi" w:cstheme="minorHAnsi"/>
          <w:sz w:val="22"/>
          <w:szCs w:val="22"/>
        </w:rPr>
        <w:t xml:space="preserve">Šiuo klausimu </w:t>
      </w:r>
      <w:r>
        <w:rPr>
          <w:rFonts w:asciiTheme="minorHAnsi" w:hAnsiTheme="minorHAnsi" w:cstheme="minorHAnsi"/>
          <w:sz w:val="22"/>
          <w:szCs w:val="22"/>
        </w:rPr>
        <w:t xml:space="preserve">Teisingumo Teismas </w:t>
      </w:r>
      <w:r w:rsidRPr="00F94283">
        <w:rPr>
          <w:rFonts w:asciiTheme="minorHAnsi" w:hAnsiTheme="minorHAnsi" w:cstheme="minorHAnsi"/>
          <w:sz w:val="22"/>
          <w:szCs w:val="22"/>
        </w:rPr>
        <w:t>pažymė</w:t>
      </w:r>
      <w:r>
        <w:rPr>
          <w:rFonts w:asciiTheme="minorHAnsi" w:hAnsiTheme="minorHAnsi" w:cstheme="minorHAnsi"/>
          <w:sz w:val="22"/>
          <w:szCs w:val="22"/>
        </w:rPr>
        <w:t>jo</w:t>
      </w:r>
      <w:r w:rsidRPr="00F94283">
        <w:rPr>
          <w:rFonts w:asciiTheme="minorHAnsi" w:hAnsiTheme="minorHAnsi" w:cstheme="minorHAnsi"/>
          <w:sz w:val="22"/>
          <w:szCs w:val="22"/>
        </w:rPr>
        <w:t>, kad tai, kaip turėtojas vertina trūkumą ar defektą, gali būti įrodymas, jog jis atsikrato, ketina ar privalo atsikratyti atitinkamo daikto. Jei jis parduoda arba perleidžia šį daiktą trečiajam asmeniui nepatikrinęs, ar daiktas veikia, manytina, kad šis daiktas turėtojui yra našta, kurios jis atsikrato, taigi toks daiktas laikytinas „atliekomis“, kaip jos suprantamos pagal Direktyvą 2008/98.</w:t>
      </w:r>
      <w:r w:rsidRPr="000D168D">
        <w:rPr>
          <w:rFonts w:asciiTheme="minorHAnsi" w:hAnsiTheme="minorHAnsi" w:cstheme="minorHAnsi"/>
          <w:sz w:val="22"/>
          <w:szCs w:val="22"/>
        </w:rPr>
        <w:t xml:space="preserve"> </w:t>
      </w:r>
      <w:r w:rsidRPr="000D168D">
        <w:rPr>
          <w:rFonts w:asciiTheme="minorHAnsi" w:hAnsiTheme="minorHAnsi" w:cstheme="minorHAnsi"/>
          <w:sz w:val="22"/>
          <w:szCs w:val="22"/>
          <w:u w:val="single"/>
        </w:rPr>
        <w:t>Siekdamas pagrįsti, kad defektų turintys prietaisai nėra atliekos, šių prekių turėtojas turi įrodyti, kad jų pakartotinis panaudojimas yra ne tik galimas, bet ir užtikrintas, ir įsitikinti, kad iš anksto atlikti tam reikalingi patikrinimai ar net taisymai. Be to, turėtojas, ketinantis trečiajam asmeniui gabenti tokius prietaisus, kaip nagrinėjami pagrindinėje byloje, turi pasirūpinti, kad šie prietaisai būtų tinkamai supakuoti, ir taip apsaugoti nuo apgadinimo transportuojant. Jei prietaisai nesupakuoti, manytina, kad turėtojas ketina jų atsikratyti, nes supranta riziką, jog vežami prietaisai bus apgadinti</w:t>
      </w:r>
      <w:r w:rsidRPr="00F94283">
        <w:rPr>
          <w:rFonts w:asciiTheme="minorHAnsi" w:hAnsiTheme="minorHAnsi" w:cstheme="minorHAnsi"/>
          <w:sz w:val="22"/>
          <w:szCs w:val="22"/>
        </w:rPr>
        <w:t>.</w:t>
      </w:r>
      <w:r w:rsidRPr="000D168D">
        <w:rPr>
          <w:rFonts w:asciiTheme="minorHAnsi" w:hAnsiTheme="minorHAnsi" w:cstheme="minorHAnsi"/>
          <w:sz w:val="22"/>
          <w:szCs w:val="22"/>
        </w:rPr>
        <w:t xml:space="preserve"> </w:t>
      </w:r>
      <w:r w:rsidRPr="00F94283">
        <w:rPr>
          <w:rFonts w:asciiTheme="minorHAnsi" w:hAnsiTheme="minorHAnsi" w:cstheme="minorHAnsi"/>
          <w:sz w:val="22"/>
          <w:szCs w:val="22"/>
        </w:rPr>
        <w:t>Kaip pažymėjo gene</w:t>
      </w:r>
      <w:r>
        <w:rPr>
          <w:rFonts w:asciiTheme="minorHAnsi" w:hAnsiTheme="minorHAnsi" w:cstheme="minorHAnsi"/>
          <w:sz w:val="22"/>
          <w:szCs w:val="22"/>
        </w:rPr>
        <w:t>ralinė advokatė savo išvados 42 </w:t>
      </w:r>
      <w:r w:rsidRPr="00F94283">
        <w:rPr>
          <w:rFonts w:asciiTheme="minorHAnsi" w:hAnsiTheme="minorHAnsi" w:cstheme="minorHAnsi"/>
          <w:sz w:val="22"/>
          <w:szCs w:val="22"/>
        </w:rPr>
        <w:t xml:space="preserve">punkte, </w:t>
      </w:r>
      <w:r w:rsidRPr="000D168D">
        <w:rPr>
          <w:rFonts w:asciiTheme="minorHAnsi" w:hAnsiTheme="minorHAnsi" w:cstheme="minorHAnsi"/>
          <w:sz w:val="22"/>
          <w:szCs w:val="22"/>
          <w:u w:val="single"/>
        </w:rPr>
        <w:t>įpareigojimas patikrinti ir prireikus pataisyti prekę, taip pat ją supakuoti yra Direktyvos 2008/98 tikslui proporcinga priemonė</w:t>
      </w:r>
      <w:r>
        <w:rPr>
          <w:rFonts w:asciiTheme="minorHAnsi" w:hAnsiTheme="minorHAnsi" w:cstheme="minorHAnsi"/>
          <w:sz w:val="22"/>
          <w:szCs w:val="22"/>
        </w:rPr>
        <w:t xml:space="preserve"> (39–42 punktai)</w:t>
      </w:r>
      <w:r w:rsidRPr="00F94283">
        <w:rPr>
          <w:rFonts w:asciiTheme="minorHAnsi" w:hAnsiTheme="minorHAnsi" w:cstheme="minorHAnsi"/>
          <w:sz w:val="22"/>
          <w:szCs w:val="22"/>
        </w:rPr>
        <w:t>.</w:t>
      </w:r>
    </w:p>
    <w:p w:rsidR="006C771A" w:rsidRPr="00F36AB0" w:rsidRDefault="006C771A" w:rsidP="006C771A">
      <w:pPr>
        <w:shd w:val="clear" w:color="auto" w:fill="FFFFFF"/>
        <w:ind w:firstLine="567"/>
        <w:rPr>
          <w:rFonts w:asciiTheme="minorHAnsi" w:hAnsiTheme="minorHAnsi" w:cstheme="minorHAnsi"/>
        </w:rPr>
      </w:pPr>
    </w:p>
    <w:p w:rsidR="006C771A" w:rsidRPr="00F36AB0" w:rsidRDefault="006C771A" w:rsidP="006C771A">
      <w:pPr>
        <w:shd w:val="clear" w:color="auto" w:fill="FFFFFF"/>
        <w:ind w:firstLine="567"/>
        <w:rPr>
          <w:rFonts w:asciiTheme="minorHAnsi" w:hAnsiTheme="minorHAnsi" w:cstheme="minorHAnsi"/>
          <w:b/>
        </w:rPr>
      </w:pPr>
      <w:r w:rsidRPr="00F36AB0">
        <w:rPr>
          <w:rFonts w:asciiTheme="minorHAnsi" w:hAnsiTheme="minorHAnsi" w:cstheme="minorHAnsi"/>
          <w:b/>
        </w:rPr>
        <w:t>Remdamasis šiais motyvais, Teisingumo Teismas (</w:t>
      </w:r>
      <w:r>
        <w:rPr>
          <w:rFonts w:asciiTheme="minorHAnsi" w:hAnsiTheme="minorHAnsi" w:cstheme="minorHAnsi"/>
          <w:b/>
        </w:rPr>
        <w:t>aštu</w:t>
      </w:r>
      <w:r w:rsidRPr="0057471C">
        <w:rPr>
          <w:rFonts w:asciiTheme="minorHAnsi" w:hAnsiTheme="minorHAnsi" w:cstheme="minorHAnsi"/>
          <w:b/>
        </w:rPr>
        <w:t>ntoji kolegija</w:t>
      </w:r>
      <w:r w:rsidRPr="00F36AB0">
        <w:rPr>
          <w:rFonts w:asciiTheme="minorHAnsi" w:hAnsiTheme="minorHAnsi" w:cstheme="minorHAnsi"/>
          <w:b/>
        </w:rPr>
        <w:t>) nusprendė:</w:t>
      </w:r>
    </w:p>
    <w:p w:rsidR="006C771A" w:rsidRPr="00F36AB0" w:rsidRDefault="006C771A" w:rsidP="006C771A">
      <w:pPr>
        <w:ind w:firstLine="567"/>
        <w:rPr>
          <w:rFonts w:asciiTheme="minorHAnsi" w:eastAsia="Times New Roman" w:hAnsiTheme="minorHAnsi" w:cstheme="minorHAnsi"/>
          <w:bCs/>
          <w:lang w:eastAsia="lt-LT"/>
        </w:rPr>
      </w:pPr>
    </w:p>
    <w:p w:rsidR="006C771A" w:rsidRPr="00F36AB0" w:rsidRDefault="006C771A" w:rsidP="006C771A">
      <w:pPr>
        <w:ind w:firstLine="567"/>
        <w:rPr>
          <w:rFonts w:asciiTheme="minorHAnsi" w:eastAsia="Times New Roman" w:hAnsiTheme="minorHAnsi" w:cstheme="minorHAnsi"/>
          <w:bCs/>
          <w:lang w:eastAsia="lt-LT"/>
        </w:rPr>
      </w:pPr>
      <w:r w:rsidRPr="000C7C36">
        <w:rPr>
          <w:rFonts w:asciiTheme="minorHAnsi" w:eastAsia="Times New Roman" w:hAnsiTheme="minorHAnsi" w:cstheme="minorHAnsi"/>
          <w:bCs/>
          <w:lang w:eastAsia="lt-LT"/>
        </w:rPr>
        <w:t>Elektros įrangos (kaip pagrindinėje byloje nagrinėjami prietaisai), kuri iš pradžių buvo skirta mažmeninei prekybai, bet vėliau vartotojai ją grąžino, arba kurią dėl įvairių priežasčių mažmenininkas grąžino tiekėjui, partijos gabenimas į trečiąją šalį laikytinas „atliekų vežimu“, kaip tai suprantama pagal 2006 m. birželio 14 d. Europos Parlamento ir Tarybos reglamento (EB) Nr. 1013/2006 dėl atliekų vežimo 1 straipsnio 1 dalį, siejamą su šio reglamento 2 straipsnio 1 punktu ir 2008 m. lapkričio 19 d. Europos Parlamento ir Tarybos direktyvos 2008/98/EB dėl atliekų ir panaikinančios kai kurias direktyvas 3 straipsnio 1 punktu, jei šioje partijoje yra prietaisų, kurių veikimo galimybės nebuvo iš anksto nustatytos, arba jei vežami prietaisai nebuvo tinkamai apsaugoti nuo apgadinimo. O pardavėjo asortimentui nebereikalingi prietaisai, supakuoti nepažeistose originaliose pakuotėse, nesant priešingų įrodymų, nelaikytini atliekomis</w:t>
      </w:r>
      <w:r>
        <w:rPr>
          <w:rFonts w:asciiTheme="minorHAnsi" w:eastAsia="Times New Roman" w:hAnsiTheme="minorHAnsi" w:cstheme="minorHAnsi"/>
          <w:bCs/>
          <w:lang w:eastAsia="lt-LT"/>
        </w:rPr>
        <w:t>.</w:t>
      </w:r>
    </w:p>
    <w:p w:rsidR="006C771A" w:rsidRPr="00F36AB0" w:rsidRDefault="007D413D" w:rsidP="006C771A">
      <w:pPr>
        <w:ind w:firstLine="567"/>
        <w:rPr>
          <w:rFonts w:asciiTheme="minorHAnsi" w:hAnsiTheme="minorHAnsi" w:cstheme="minorHAnsi"/>
        </w:rPr>
      </w:pPr>
      <w:hyperlink r:id="rId22" w:history="1">
        <w:r w:rsidR="006C771A" w:rsidRPr="00F36AB0">
          <w:rPr>
            <w:rStyle w:val="Hyperlink"/>
            <w:rFonts w:asciiTheme="minorHAnsi" w:hAnsiTheme="minorHAnsi" w:cstheme="minorHAnsi"/>
          </w:rPr>
          <w:t>Prieiga internete</w:t>
        </w:r>
      </w:hyperlink>
    </w:p>
    <w:p w:rsidR="00D65A51" w:rsidRPr="003D6A3B" w:rsidRDefault="00D65A51" w:rsidP="0029340F">
      <w:pPr>
        <w:tabs>
          <w:tab w:val="right" w:leader="dot" w:pos="9639"/>
        </w:tabs>
        <w:ind w:firstLine="567"/>
        <w:rPr>
          <w:rFonts w:asciiTheme="minorHAnsi" w:hAnsiTheme="minorHAnsi" w:cstheme="minorHAnsi"/>
        </w:rPr>
      </w:pPr>
    </w:p>
    <w:p w:rsidR="00E63C4B" w:rsidRPr="003D6A3B" w:rsidRDefault="00E63C4B" w:rsidP="00E63C4B">
      <w:pPr>
        <w:keepNext/>
        <w:tabs>
          <w:tab w:val="right" w:leader="dot" w:pos="9639"/>
        </w:tabs>
        <w:jc w:val="center"/>
        <w:outlineLvl w:val="0"/>
        <w:rPr>
          <w:rFonts w:asciiTheme="minorHAnsi" w:eastAsia="Times New Roman" w:hAnsiTheme="minorHAnsi" w:cstheme="minorHAnsi"/>
          <w:bCs/>
          <w:color w:val="323E4F" w:themeColor="text2" w:themeShade="BF"/>
          <w:kern w:val="32"/>
          <w:lang w:eastAsia="lt-LT"/>
        </w:rPr>
      </w:pPr>
      <w:bookmarkStart w:id="70" w:name="_Toc21941969"/>
      <w:bookmarkStart w:id="71" w:name="_Toc526411626"/>
      <w:r w:rsidRPr="003D6A3B">
        <w:rPr>
          <w:rFonts w:asciiTheme="minorHAnsi" w:eastAsia="Times New Roman" w:hAnsiTheme="minorHAnsi" w:cstheme="minorHAnsi"/>
          <w:b/>
          <w:bCs/>
          <w:color w:val="323E4F" w:themeColor="text2" w:themeShade="BF"/>
          <w:kern w:val="32"/>
          <w:lang w:eastAsia="lt-LT"/>
        </w:rPr>
        <w:t>ENERGETIKA</w:t>
      </w:r>
      <w:bookmarkEnd w:id="70"/>
    </w:p>
    <w:p w:rsidR="00E63C4B" w:rsidRPr="003D6A3B" w:rsidRDefault="00E63C4B" w:rsidP="00E63C4B">
      <w:pPr>
        <w:jc w:val="center"/>
        <w:rPr>
          <w:rFonts w:asciiTheme="minorHAnsi" w:hAnsiTheme="minorHAnsi" w:cstheme="minorHAnsi"/>
          <w:b/>
        </w:rPr>
      </w:pPr>
    </w:p>
    <w:p w:rsidR="00E63C4B" w:rsidRPr="003D6A3B" w:rsidRDefault="00E63C4B" w:rsidP="00E63C4B">
      <w:pPr>
        <w:keepNext/>
        <w:jc w:val="center"/>
        <w:outlineLvl w:val="1"/>
        <w:rPr>
          <w:rFonts w:asciiTheme="minorHAnsi" w:eastAsia="Times New Roman" w:hAnsiTheme="minorHAnsi" w:cstheme="minorHAnsi"/>
          <w:i/>
          <w:iCs/>
          <w:color w:val="000000" w:themeColor="text1"/>
          <w:lang w:eastAsia="lt-LT"/>
        </w:rPr>
      </w:pPr>
      <w:bookmarkStart w:id="72" w:name="_Toc526411627"/>
      <w:bookmarkStart w:id="73" w:name="_Toc21941970"/>
      <w:r w:rsidRPr="003D6A3B">
        <w:rPr>
          <w:rFonts w:asciiTheme="minorHAnsi" w:eastAsia="Times New Roman" w:hAnsiTheme="minorHAnsi" w:cstheme="minorHAnsi"/>
          <w:b/>
          <w:bCs/>
          <w:iCs/>
          <w:color w:val="000000" w:themeColor="text1"/>
          <w:lang w:eastAsia="lt-LT"/>
        </w:rPr>
        <w:t>2019 m. gegužės 2 d. prejudicinis sprendimas byloje C</w:t>
      </w:r>
      <w:r w:rsidRPr="003D6A3B">
        <w:rPr>
          <w:rFonts w:asciiTheme="minorHAnsi" w:eastAsia="Times New Roman" w:hAnsiTheme="minorHAnsi" w:cstheme="minorHAnsi"/>
          <w:b/>
          <w:bCs/>
          <w:iCs/>
          <w:color w:val="000000" w:themeColor="text1"/>
          <w:lang w:eastAsia="lt-LT"/>
        </w:rPr>
        <w:noBreakHyphen/>
        <w:t>294/1</w:t>
      </w:r>
      <w:bookmarkEnd w:id="72"/>
      <w:r w:rsidRPr="003D6A3B">
        <w:rPr>
          <w:rFonts w:asciiTheme="minorHAnsi" w:eastAsia="Times New Roman" w:hAnsiTheme="minorHAnsi" w:cstheme="minorHAnsi"/>
          <w:b/>
          <w:bCs/>
          <w:iCs/>
          <w:color w:val="000000" w:themeColor="text1"/>
          <w:lang w:eastAsia="lt-LT"/>
        </w:rPr>
        <w:t>8</w:t>
      </w:r>
      <w:bookmarkEnd w:id="73"/>
    </w:p>
    <w:p w:rsidR="00E63C4B" w:rsidRPr="003D6A3B" w:rsidRDefault="00E63C4B" w:rsidP="00E63C4B">
      <w:pPr>
        <w:jc w:val="center"/>
        <w:rPr>
          <w:rFonts w:asciiTheme="minorHAnsi" w:hAnsiTheme="minorHAnsi" w:cstheme="minorHAnsi"/>
          <w:b/>
          <w:bCs/>
          <w:i/>
          <w:iCs/>
          <w:color w:val="000000" w:themeColor="text1"/>
        </w:rPr>
      </w:pPr>
      <w:r w:rsidRPr="003D6A3B">
        <w:rPr>
          <w:rFonts w:asciiTheme="minorHAnsi" w:hAnsiTheme="minorHAnsi" w:cstheme="minorHAnsi"/>
          <w:b/>
          <w:bCs/>
          <w:i/>
          <w:iCs/>
          <w:color w:val="000000" w:themeColor="text1"/>
        </w:rPr>
        <w:t xml:space="preserve">Oulun Sähkönmyynti Oy </w:t>
      </w:r>
    </w:p>
    <w:p w:rsidR="00E63C4B" w:rsidRPr="003D6A3B" w:rsidRDefault="00E63C4B" w:rsidP="00E63C4B">
      <w:pPr>
        <w:ind w:firstLine="567"/>
        <w:jc w:val="center"/>
        <w:rPr>
          <w:rFonts w:asciiTheme="minorHAnsi" w:hAnsiTheme="minorHAnsi" w:cstheme="minorHAnsi"/>
          <w:b/>
          <w:color w:val="000000" w:themeColor="text1"/>
          <w:highlight w:val="yellow"/>
        </w:rPr>
      </w:pPr>
    </w:p>
    <w:p w:rsidR="00E63C4B" w:rsidRPr="003D6A3B" w:rsidRDefault="00E63C4B" w:rsidP="00E63C4B">
      <w:pPr>
        <w:shd w:val="clear" w:color="auto" w:fill="FFFFFF"/>
        <w:ind w:firstLine="567"/>
        <w:rPr>
          <w:rFonts w:asciiTheme="minorHAnsi" w:eastAsia="Times New Roman" w:hAnsiTheme="minorHAnsi" w:cstheme="minorHAnsi"/>
          <w:color w:val="000000" w:themeColor="text1"/>
          <w:lang w:eastAsia="lt-LT"/>
        </w:rPr>
      </w:pPr>
      <w:r w:rsidRPr="003D6A3B">
        <w:rPr>
          <w:rFonts w:asciiTheme="minorHAnsi" w:eastAsia="Times New Roman" w:hAnsiTheme="minorHAnsi" w:cstheme="minorHAnsi"/>
          <w:color w:val="000000" w:themeColor="text1"/>
          <w:lang w:eastAsia="lt-LT"/>
        </w:rPr>
        <w:t>Prašymas priimti prejudicinį sprendimą pateiktas dėl 2012 m. spalio 25 d. Europos Parlamento ir Tarybos direktyvos 2012/27/ES dėl energijos vartojimo efektyvumo, kuria iš dalies keičiamos direktyvos 2009/125/EB ir 2010/30/ES bei kuria panaikinamos direktyvos 2004/8/EB ir 2006/32/EB (OL L 315, 2012, p. 1, ir klaidų ištaisymas OL L 113, 2013, p. 24), 11 straipsnio 1 dalies išaiškinimo</w:t>
      </w:r>
      <w:r w:rsidR="007C21F4">
        <w:rPr>
          <w:rFonts w:asciiTheme="minorHAnsi" w:eastAsia="Times New Roman" w:hAnsiTheme="minorHAnsi" w:cstheme="minorHAnsi"/>
          <w:color w:val="000000" w:themeColor="text1"/>
          <w:lang w:eastAsia="lt-LT"/>
        </w:rPr>
        <w:t xml:space="preserve"> (1 punktas)</w:t>
      </w:r>
      <w:r w:rsidRPr="003D6A3B">
        <w:rPr>
          <w:rFonts w:asciiTheme="minorHAnsi" w:eastAsia="Times New Roman" w:hAnsiTheme="minorHAnsi" w:cstheme="minorHAnsi"/>
          <w:color w:val="000000" w:themeColor="text1"/>
          <w:lang w:eastAsia="lt-LT"/>
        </w:rPr>
        <w:t>.</w:t>
      </w:r>
    </w:p>
    <w:p w:rsidR="00E63C4B" w:rsidRPr="003D6A3B" w:rsidRDefault="00E63C4B" w:rsidP="00E63C4B">
      <w:pPr>
        <w:shd w:val="clear" w:color="auto" w:fill="FFFFFF"/>
        <w:ind w:firstLine="567"/>
        <w:rPr>
          <w:rFonts w:asciiTheme="minorHAnsi" w:eastAsia="Times New Roman" w:hAnsiTheme="minorHAnsi" w:cstheme="minorHAnsi"/>
          <w:color w:val="000000" w:themeColor="text1"/>
          <w:lang w:eastAsia="lt-LT"/>
        </w:rPr>
      </w:pPr>
      <w:r w:rsidRPr="003D6A3B">
        <w:rPr>
          <w:rFonts w:asciiTheme="minorHAnsi" w:eastAsia="Times New Roman" w:hAnsiTheme="minorHAnsi" w:cstheme="minorHAnsi"/>
          <w:color w:val="000000" w:themeColor="text1"/>
          <w:lang w:eastAsia="lt-LT"/>
        </w:rPr>
        <w:t>Šis prašymas pateiktas nagrinėjant bylą, kurią inicijavo mažmeninės prekybos elektros energija įmonė </w:t>
      </w:r>
      <w:r w:rsidRPr="003D6A3B">
        <w:rPr>
          <w:rFonts w:asciiTheme="minorHAnsi" w:eastAsia="Times New Roman" w:hAnsiTheme="minorHAnsi" w:cstheme="minorHAnsi"/>
          <w:i/>
          <w:iCs/>
          <w:color w:val="000000" w:themeColor="text1"/>
          <w:lang w:eastAsia="lt-LT"/>
        </w:rPr>
        <w:t>Oulun Sähkönmyynti Oy</w:t>
      </w:r>
      <w:r w:rsidRPr="003D6A3B">
        <w:rPr>
          <w:rFonts w:asciiTheme="minorHAnsi" w:eastAsia="Times New Roman" w:hAnsiTheme="minorHAnsi" w:cstheme="minorHAnsi"/>
          <w:color w:val="000000" w:themeColor="text1"/>
          <w:lang w:eastAsia="lt-LT"/>
        </w:rPr>
        <w:t>, dėl </w:t>
      </w:r>
      <w:r w:rsidRPr="003D6A3B">
        <w:rPr>
          <w:rFonts w:asciiTheme="minorHAnsi" w:eastAsia="Times New Roman" w:hAnsiTheme="minorHAnsi" w:cstheme="minorHAnsi"/>
          <w:i/>
          <w:iCs/>
          <w:color w:val="000000" w:themeColor="text1"/>
          <w:lang w:eastAsia="lt-LT"/>
        </w:rPr>
        <w:t>Energiavirasto</w:t>
      </w:r>
      <w:r w:rsidRPr="003D6A3B">
        <w:rPr>
          <w:rFonts w:asciiTheme="minorHAnsi" w:eastAsia="Times New Roman" w:hAnsiTheme="minorHAnsi" w:cstheme="minorHAnsi"/>
          <w:color w:val="000000" w:themeColor="text1"/>
          <w:lang w:eastAsia="lt-LT"/>
        </w:rPr>
        <w:t> (Energetikos įstaiga, Suomija) sprendimo dėl elektros abonementinio mokesčio mėnesinės nuolaidos, suteikiamos galutiniams vartotojams, kurie pasirinko galimybę gauti elektroninę sąskaitą (2 punktas).</w:t>
      </w:r>
    </w:p>
    <w:p w:rsidR="00E63C4B" w:rsidRPr="003D6A3B" w:rsidRDefault="00E63C4B" w:rsidP="00E63C4B">
      <w:pPr>
        <w:shd w:val="clear" w:color="auto" w:fill="FFFFFF"/>
        <w:ind w:firstLine="567"/>
        <w:rPr>
          <w:rFonts w:asciiTheme="minorHAnsi" w:eastAsia="Times New Roman" w:hAnsiTheme="minorHAnsi" w:cstheme="minorHAnsi"/>
          <w:color w:val="000000" w:themeColor="text1"/>
          <w:lang w:eastAsia="lt-LT"/>
        </w:rPr>
      </w:pPr>
      <w:r w:rsidRPr="003D6A3B">
        <w:rPr>
          <w:rFonts w:asciiTheme="minorHAnsi" w:eastAsia="Times New Roman" w:hAnsiTheme="minorHAnsi" w:cstheme="minorHAnsi"/>
          <w:i/>
          <w:iCs/>
          <w:color w:val="000000" w:themeColor="text1"/>
          <w:lang w:eastAsia="lt-LT"/>
        </w:rPr>
        <w:t>Oulun Sähkönmyynti</w:t>
      </w:r>
      <w:r w:rsidRPr="003D6A3B">
        <w:rPr>
          <w:rFonts w:asciiTheme="minorHAnsi" w:eastAsia="Times New Roman" w:hAnsiTheme="minorHAnsi" w:cstheme="minorHAnsi"/>
          <w:color w:val="000000" w:themeColor="text1"/>
          <w:lang w:eastAsia="lt-LT"/>
        </w:rPr>
        <w:t> parduodamos elektros energijos kainą sudaro fiksuoto dydžio mėnesinis abonementinis mokestis ir pagal suvartotą elektros energijos kiekį apskaičiuojama elektros kaina. Abonementinis mokestis paprastai sudaro 2,50 EUR per mėnesį. Nuo 2016 m. sausio 1 d. </w:t>
      </w:r>
      <w:r w:rsidRPr="003D6A3B">
        <w:rPr>
          <w:rFonts w:asciiTheme="minorHAnsi" w:eastAsia="Times New Roman" w:hAnsiTheme="minorHAnsi" w:cstheme="minorHAnsi"/>
          <w:i/>
          <w:iCs/>
          <w:color w:val="000000" w:themeColor="text1"/>
          <w:lang w:eastAsia="lt-LT"/>
        </w:rPr>
        <w:t>Oulun Sähkönmyynti</w:t>
      </w:r>
      <w:r w:rsidRPr="003D6A3B">
        <w:rPr>
          <w:rFonts w:asciiTheme="minorHAnsi" w:eastAsia="Times New Roman" w:hAnsiTheme="minorHAnsi" w:cstheme="minorHAnsi"/>
          <w:color w:val="000000" w:themeColor="text1"/>
          <w:lang w:eastAsia="lt-LT"/>
        </w:rPr>
        <w:t> vartotojams, pasirinkusiems galimybę gauti elektroninę sąskaitą, bet ne vartotojams, pasirinkusiems kitus sąskaitų išrašymo būdus, kaip antai popierines sąskaitas, tiesioginį debetą, o verslo klientų atveju – elektronines sąskaitas faktūras, sumažino mėnesinį abonementinį mokestį 1 EUR (9 punktas).</w:t>
      </w:r>
    </w:p>
    <w:p w:rsidR="00E63C4B" w:rsidRPr="003D6A3B" w:rsidRDefault="00E63C4B" w:rsidP="00E63C4B">
      <w:pPr>
        <w:shd w:val="clear" w:color="auto" w:fill="FFFFFF"/>
        <w:ind w:firstLine="567"/>
        <w:rPr>
          <w:rFonts w:asciiTheme="minorHAnsi" w:eastAsia="Times New Roman" w:hAnsiTheme="minorHAnsi" w:cstheme="minorHAnsi"/>
          <w:color w:val="000000" w:themeColor="text1"/>
          <w:lang w:eastAsia="lt-LT"/>
        </w:rPr>
      </w:pPr>
      <w:r w:rsidRPr="003D6A3B">
        <w:rPr>
          <w:rFonts w:asciiTheme="minorHAnsi" w:eastAsia="Times New Roman" w:hAnsiTheme="minorHAnsi" w:cstheme="minorHAnsi"/>
          <w:color w:val="000000" w:themeColor="text1"/>
          <w:lang w:eastAsia="lt-LT"/>
        </w:rPr>
        <w:t>2017 m. birželio 20 d. sprendime Energetikos įstaiga pripažino, kad dėl šios nuolaidos elektroninės sąskaitos nepasirinkusiems vartotojams tenka mokėti 1 EUR už jų pačių sąskaitas. Todėl ji įpareigojo </w:t>
      </w:r>
      <w:r w:rsidRPr="003D6A3B">
        <w:rPr>
          <w:rFonts w:asciiTheme="minorHAnsi" w:eastAsia="Times New Roman" w:hAnsiTheme="minorHAnsi" w:cstheme="minorHAnsi"/>
          <w:i/>
          <w:iCs/>
          <w:color w:val="000000" w:themeColor="text1"/>
          <w:lang w:eastAsia="lt-LT"/>
        </w:rPr>
        <w:t>Oulun Sähkönmyynti</w:t>
      </w:r>
      <w:r w:rsidRPr="003D6A3B">
        <w:rPr>
          <w:rFonts w:asciiTheme="minorHAnsi" w:eastAsia="Times New Roman" w:hAnsiTheme="minorHAnsi" w:cstheme="minorHAnsi"/>
          <w:color w:val="000000" w:themeColor="text1"/>
          <w:lang w:eastAsia="lt-LT"/>
        </w:rPr>
        <w:t> pakeisti savo sąskaitų išrašymo praktiką ir užtikrinti vartotojų teisę nemokamai gauti sąskaitas. Be to, tuo pačiu sprendimu ji paragino </w:t>
      </w:r>
      <w:r w:rsidRPr="003D6A3B">
        <w:rPr>
          <w:rFonts w:asciiTheme="minorHAnsi" w:eastAsia="Times New Roman" w:hAnsiTheme="minorHAnsi" w:cstheme="minorHAnsi"/>
          <w:i/>
          <w:iCs/>
          <w:color w:val="000000" w:themeColor="text1"/>
          <w:lang w:eastAsia="lt-LT"/>
        </w:rPr>
        <w:t>Oulun Sähkönmyynti</w:t>
      </w:r>
      <w:r w:rsidRPr="003D6A3B">
        <w:rPr>
          <w:rFonts w:asciiTheme="minorHAnsi" w:eastAsia="Times New Roman" w:hAnsiTheme="minorHAnsi" w:cstheme="minorHAnsi"/>
          <w:color w:val="000000" w:themeColor="text1"/>
          <w:lang w:eastAsia="lt-LT"/>
        </w:rPr>
        <w:t> grąžinti mokesčio dalį, nuo 2016 m. sausio 1 d. neteisėtai pradėtą rinkti iš vartotojų, kurie nepasirinko galimybės gauti elektroninę sąskaitą (10 punktas).</w:t>
      </w:r>
    </w:p>
    <w:p w:rsidR="00E63C4B" w:rsidRPr="003D6A3B" w:rsidRDefault="00E63C4B" w:rsidP="00E63C4B">
      <w:pPr>
        <w:shd w:val="clear" w:color="auto" w:fill="FFFFFF"/>
        <w:rPr>
          <w:rFonts w:asciiTheme="minorHAnsi" w:eastAsia="Times New Roman" w:hAnsiTheme="minorHAnsi" w:cstheme="minorHAnsi"/>
          <w:color w:val="000000" w:themeColor="text1"/>
          <w:lang w:eastAsia="lt-LT"/>
        </w:rPr>
      </w:pPr>
    </w:p>
    <w:p w:rsidR="00E63C4B" w:rsidRPr="003D6A3B" w:rsidRDefault="00E63C4B" w:rsidP="007C21F4">
      <w:pPr>
        <w:pStyle w:val="Heading3"/>
        <w:ind w:firstLine="540"/>
        <w:rPr>
          <w:rFonts w:cstheme="minorHAnsi"/>
          <w:color w:val="000000" w:themeColor="text1"/>
        </w:rPr>
      </w:pPr>
      <w:bookmarkStart w:id="74" w:name="_Toc21941971"/>
      <w:r w:rsidRPr="003D6A3B">
        <w:rPr>
          <w:rFonts w:cstheme="minorHAnsi"/>
          <w:color w:val="000000" w:themeColor="text1"/>
        </w:rPr>
        <w:t>Dėl elektros abonementinio mokesčio nuolaidos suteikimo vartotojams, kurie pasirinko galimybę gauti elektroninę sąskaitą, suderinamumo su siekiu, kad vartotojai sąskaitas už suvartotą energiją gautų nemokamai</w:t>
      </w:r>
      <w:bookmarkEnd w:id="74"/>
    </w:p>
    <w:p w:rsidR="00E63C4B" w:rsidRPr="003D6A3B" w:rsidRDefault="00E63C4B" w:rsidP="00E63C4B">
      <w:pPr>
        <w:shd w:val="clear" w:color="auto" w:fill="FFFFFF"/>
        <w:ind w:firstLine="567"/>
        <w:rPr>
          <w:rFonts w:asciiTheme="minorHAnsi" w:eastAsia="Times New Roman" w:hAnsiTheme="minorHAnsi" w:cstheme="minorHAnsi"/>
          <w:color w:val="000000" w:themeColor="text1"/>
          <w:lang w:eastAsia="lt-LT"/>
        </w:rPr>
      </w:pPr>
    </w:p>
    <w:p w:rsidR="00E63C4B" w:rsidRPr="003D6A3B" w:rsidRDefault="00E63C4B" w:rsidP="00E63C4B">
      <w:pPr>
        <w:shd w:val="clear" w:color="auto" w:fill="FFFFFF"/>
        <w:ind w:firstLine="567"/>
        <w:rPr>
          <w:rFonts w:asciiTheme="minorHAnsi" w:eastAsia="Times New Roman" w:hAnsiTheme="minorHAnsi" w:cstheme="minorHAnsi"/>
          <w:color w:val="000000" w:themeColor="text1"/>
          <w:lang w:eastAsia="lt-LT"/>
        </w:rPr>
      </w:pPr>
      <w:r w:rsidRPr="003D6A3B">
        <w:rPr>
          <w:rFonts w:asciiTheme="minorHAnsi" w:eastAsia="Times New Roman" w:hAnsiTheme="minorHAnsi" w:cstheme="minorHAnsi"/>
          <w:color w:val="000000" w:themeColor="text1"/>
          <w:lang w:eastAsia="lt-LT"/>
        </w:rPr>
        <w:t>Nacionalinis teismas prejudicinius klausimus iškėlė todėl</w:t>
      </w:r>
      <w:r w:rsidR="007C21F4">
        <w:rPr>
          <w:rFonts w:asciiTheme="minorHAnsi" w:eastAsia="Times New Roman" w:hAnsiTheme="minorHAnsi" w:cstheme="minorHAnsi"/>
          <w:color w:val="000000" w:themeColor="text1"/>
          <w:lang w:eastAsia="lt-LT"/>
        </w:rPr>
        <w:t>,</w:t>
      </w:r>
      <w:r w:rsidRPr="003D6A3B">
        <w:rPr>
          <w:rFonts w:asciiTheme="minorHAnsi" w:eastAsia="Times New Roman" w:hAnsiTheme="minorHAnsi" w:cstheme="minorHAnsi"/>
          <w:color w:val="000000" w:themeColor="text1"/>
          <w:lang w:eastAsia="lt-LT"/>
        </w:rPr>
        <w:t xml:space="preserve"> kad elektros abonementinio mokesčio </w:t>
      </w:r>
      <w:r w:rsidRPr="003D6A3B">
        <w:rPr>
          <w:rFonts w:asciiTheme="minorHAnsi" w:eastAsia="Times New Roman" w:hAnsiTheme="minorHAnsi" w:cstheme="minorHAnsi"/>
          <w:color w:val="000000" w:themeColor="text1"/>
          <w:u w:val="single"/>
          <w:lang w:eastAsia="lt-LT"/>
        </w:rPr>
        <w:t>nuolaidos suteikimas galutiniams vartotojams, pasirinkusiems galimybę gauti elektroninę sąskaitą, kaip jis mano, galėtų reikšti, kad kiti vartotojai sąskaitų negauna nemokamai</w:t>
      </w:r>
      <w:r w:rsidRPr="003D6A3B">
        <w:rPr>
          <w:rFonts w:asciiTheme="minorHAnsi" w:eastAsia="Times New Roman" w:hAnsiTheme="minorHAnsi" w:cstheme="minorHAnsi"/>
          <w:color w:val="000000" w:themeColor="text1"/>
          <w:lang w:eastAsia="lt-LT"/>
        </w:rPr>
        <w:t xml:space="preserve"> (19 punktas).</w:t>
      </w:r>
    </w:p>
    <w:p w:rsidR="00E63C4B" w:rsidRPr="003D6A3B" w:rsidRDefault="00E63C4B" w:rsidP="00E63C4B">
      <w:pPr>
        <w:shd w:val="clear" w:color="auto" w:fill="FFFFFF"/>
        <w:ind w:firstLine="567"/>
        <w:rPr>
          <w:rFonts w:asciiTheme="minorHAnsi" w:eastAsia="Times New Roman" w:hAnsiTheme="minorHAnsi" w:cstheme="minorHAnsi"/>
          <w:color w:val="000000" w:themeColor="text1"/>
          <w:lang w:eastAsia="lt-LT"/>
        </w:rPr>
      </w:pPr>
      <w:r w:rsidRPr="003D6A3B">
        <w:rPr>
          <w:rFonts w:asciiTheme="minorHAnsi" w:eastAsia="Times New Roman" w:hAnsiTheme="minorHAnsi" w:cstheme="minorHAnsi"/>
          <w:color w:val="000000" w:themeColor="text1"/>
          <w:lang w:eastAsia="lt-LT"/>
        </w:rPr>
        <w:t>Direktyvos 2012/27 11 straipsnio 1 dalyje numatyta, kad „[</w:t>
      </w:r>
      <w:r w:rsidRPr="003D6A3B">
        <w:rPr>
          <w:rFonts w:asciiTheme="minorHAnsi" w:eastAsia="Times New Roman" w:hAnsiTheme="minorHAnsi" w:cstheme="minorHAnsi"/>
          <w:color w:val="000000" w:themeColor="text1"/>
          <w:u w:val="single"/>
          <w:lang w:eastAsia="lt-LT"/>
        </w:rPr>
        <w:t>v]alstybės narės užtikrina, kad galutiniai vartotojai sąskaitas už suvartotą energiją ir sąskaitose pateikiamą informaciją gautų nemokamai</w:t>
      </w:r>
      <w:r w:rsidRPr="003D6A3B">
        <w:rPr>
          <w:rFonts w:asciiTheme="minorHAnsi" w:eastAsia="Times New Roman" w:hAnsiTheme="minorHAnsi" w:cstheme="minorHAnsi"/>
          <w:color w:val="000000" w:themeColor="text1"/>
          <w:lang w:eastAsia="lt-LT"/>
        </w:rPr>
        <w:t xml:space="preserve"> ir kad galutiniams vartotojams taip pat būtų suteikta galimybė tinkamu būdu ir nemokamai susipažinti su duomenimis apie suvartojimą“. Teisingumo Teismas, aiškindamas šią nuostatą, kontekstualiai atsižvelgė į Direktyvoje keliamus tikslus (20 punktas).</w:t>
      </w:r>
    </w:p>
    <w:p w:rsidR="00E63C4B" w:rsidRPr="003D6A3B" w:rsidRDefault="00E63C4B" w:rsidP="00E63C4B">
      <w:pPr>
        <w:shd w:val="clear" w:color="auto" w:fill="FFFFFF"/>
        <w:ind w:firstLine="567"/>
        <w:rPr>
          <w:rFonts w:asciiTheme="minorHAnsi" w:eastAsia="Times New Roman" w:hAnsiTheme="minorHAnsi" w:cstheme="minorHAnsi"/>
          <w:color w:val="000000" w:themeColor="text1"/>
          <w:lang w:eastAsia="lt-LT"/>
        </w:rPr>
      </w:pPr>
      <w:r w:rsidRPr="003D6A3B">
        <w:rPr>
          <w:rFonts w:asciiTheme="minorHAnsi" w:eastAsia="Times New Roman" w:hAnsiTheme="minorHAnsi" w:cstheme="minorHAnsi"/>
          <w:color w:val="000000" w:themeColor="text1"/>
          <w:lang w:eastAsia="lt-LT"/>
        </w:rPr>
        <w:t>Teismas pažymėjo, kad šioje formuluotėje tik numatyta valstybių narių pareiga užtikrinti, kad mažmeninės prekybos elektros energija įmonės garantuotų, jog jų galutiniai vartotojai nemokamai gautų sąskaitas už suvartotą energiją ir sąskaitose pateikiamą informaciją, o šiai pareigai nenustatyta jokių papildomų reikalavimų. Kadangi sąskaitos ir sąskaitose pateikiama informacija galutiniams vartotojams pateikiamos nemokamai, minėta nuostata neužkerta kelio atitinkamam vartotojui taikyti abonementinio mokesčio nuolaidos (22 punktas).</w:t>
      </w:r>
    </w:p>
    <w:p w:rsidR="00E63C4B" w:rsidRPr="003D6A3B" w:rsidRDefault="00E63C4B" w:rsidP="00E63C4B">
      <w:pPr>
        <w:shd w:val="clear" w:color="auto" w:fill="FFFFFF"/>
        <w:ind w:firstLine="567"/>
        <w:rPr>
          <w:rFonts w:asciiTheme="minorHAnsi" w:eastAsia="Times New Roman" w:hAnsiTheme="minorHAnsi" w:cstheme="minorHAnsi"/>
          <w:color w:val="000000" w:themeColor="text1"/>
          <w:lang w:eastAsia="lt-LT"/>
        </w:rPr>
      </w:pPr>
      <w:r w:rsidRPr="003D6A3B">
        <w:rPr>
          <w:rFonts w:asciiTheme="minorHAnsi" w:eastAsia="Times New Roman" w:hAnsiTheme="minorHAnsi" w:cstheme="minorHAnsi"/>
          <w:color w:val="000000" w:themeColor="text1"/>
          <w:lang w:eastAsia="lt-LT"/>
        </w:rPr>
        <w:t>Direktyva 2012/27 faktiškai tik siekiama, kaip nustatyta jos 1 straipsnyje, priimti bendrą priemonių paketą, skirtą energijos vartojimo efektyvumui Sąjungoje skatinti, kad būtų užtikrintas Sąjungos nustatytas tikslas 20 % padidinti energijos vartojimo efektyvumą iki 2020 m. ir sudaryti sąlygas naujiems energijos vartojimo efektyvumo patobulinimams po šios datos (2018 m. rugpjūčio 7 d. Sprendimo </w:t>
      </w:r>
      <w:r w:rsidRPr="003D6A3B">
        <w:rPr>
          <w:rFonts w:asciiTheme="minorHAnsi" w:eastAsia="Times New Roman" w:hAnsiTheme="minorHAnsi" w:cstheme="minorHAnsi"/>
          <w:i/>
          <w:iCs/>
          <w:color w:val="000000" w:themeColor="text1"/>
          <w:lang w:eastAsia="lt-LT"/>
        </w:rPr>
        <w:t>Saras Energía</w:t>
      </w:r>
      <w:r w:rsidRPr="003D6A3B">
        <w:rPr>
          <w:rFonts w:asciiTheme="minorHAnsi" w:eastAsia="Times New Roman" w:hAnsiTheme="minorHAnsi" w:cstheme="minorHAnsi"/>
          <w:color w:val="000000" w:themeColor="text1"/>
          <w:lang w:eastAsia="lt-LT"/>
        </w:rPr>
        <w:t>, C</w:t>
      </w:r>
      <w:r w:rsidRPr="003D6A3B">
        <w:rPr>
          <w:rFonts w:asciiTheme="minorHAnsi" w:eastAsia="Times New Roman" w:hAnsiTheme="minorHAnsi" w:cstheme="minorHAnsi"/>
          <w:color w:val="000000" w:themeColor="text1"/>
          <w:lang w:eastAsia="lt-LT"/>
        </w:rPr>
        <w:noBreakHyphen/>
        <w:t>561/16, EU:C:2018:633, 24 punktas) (24 punktas).</w:t>
      </w:r>
    </w:p>
    <w:p w:rsidR="00E63C4B" w:rsidRPr="003D6A3B" w:rsidRDefault="00E63C4B" w:rsidP="00E63C4B">
      <w:pPr>
        <w:shd w:val="clear" w:color="auto" w:fill="FFFFFF"/>
        <w:ind w:firstLine="567"/>
        <w:rPr>
          <w:rFonts w:asciiTheme="minorHAnsi" w:eastAsia="Times New Roman" w:hAnsiTheme="minorHAnsi" w:cstheme="minorHAnsi"/>
          <w:color w:val="000000" w:themeColor="text1"/>
          <w:lang w:eastAsia="lt-LT"/>
        </w:rPr>
      </w:pPr>
      <w:r w:rsidRPr="003D6A3B">
        <w:rPr>
          <w:rFonts w:asciiTheme="minorHAnsi" w:eastAsia="Times New Roman" w:hAnsiTheme="minorHAnsi" w:cstheme="minorHAnsi"/>
          <w:color w:val="000000" w:themeColor="text1"/>
          <w:lang w:eastAsia="lt-LT"/>
        </w:rPr>
        <w:t xml:space="preserve">Konkrečiai iš šios direktyvos 32 ir 33 konstatuojamųjų dalių matyti, kad iš esmės joje visų pirma pabrėžiami tokie aspektai, kaip būtinybė suteikti galutiniams vartotojams geresnių galimybių gauti matavimo sistemų informaciją ir sąskaitas už individualų energijos suvartojimą, pažangių matavimo sistemų diegimas, dažnas sąskaitų, grindžiamų faktiniu suvartojimu, išrašymas, galimybė gauti informaciją ir sąžiningos bei tikslios sąskaitos. Be to, iš minėtos direktyvos 10 straipsnio 3 dalies b punkto, pagal kurį valstybės narės „užtikrina, kad galutiniai vartotojai turėtų galimybę susipažinti su sąskaitose pateikiama informacija elektroniniu būdu ir gauti elektronines sąskaitas“, matyti siekis skatinti elektronines sąskaitas. Taigi, </w:t>
      </w:r>
      <w:r w:rsidRPr="003D6A3B">
        <w:rPr>
          <w:rFonts w:asciiTheme="minorHAnsi" w:eastAsia="Times New Roman" w:hAnsiTheme="minorHAnsi" w:cstheme="minorHAnsi"/>
          <w:color w:val="000000" w:themeColor="text1"/>
          <w:u w:val="single"/>
          <w:lang w:eastAsia="lt-LT"/>
        </w:rPr>
        <w:t>elektroninės sąskaitos teikiama galimybė lengviau ir dažniau gauti informaciją apie sąskaitas ir individualų energijos suvartojimą gali padėti pasiekti Direktyvos 2012/27 tikslus energijos vartojimo efektyvumo srityje</w:t>
      </w:r>
      <w:r w:rsidRPr="003D6A3B">
        <w:rPr>
          <w:rFonts w:asciiTheme="minorHAnsi" w:eastAsia="Times New Roman" w:hAnsiTheme="minorHAnsi" w:cstheme="minorHAnsi"/>
          <w:color w:val="000000" w:themeColor="text1"/>
          <w:lang w:eastAsia="lt-LT"/>
        </w:rPr>
        <w:t xml:space="preserve"> ir dėl to abonementinio mokesčio nuolaidos taikymas laikantis visų reikalavimų, nustatytų Direktyvos 2012/27 11 straipsnio 1 dalyje, pagal kurią sąskaitos už suvartotą energiją ir sąskaitose pateikiama informacija galutiniams vartotojams teikiamos nemokamai, neprieštarauja šia direktyva siekiamiems tikslams (25–27 punktai).</w:t>
      </w:r>
    </w:p>
    <w:p w:rsidR="00E63C4B" w:rsidRPr="003D6A3B" w:rsidRDefault="00E63C4B" w:rsidP="00E63C4B">
      <w:pPr>
        <w:shd w:val="clear" w:color="auto" w:fill="FFFFFF"/>
        <w:ind w:firstLine="567"/>
        <w:rPr>
          <w:rFonts w:eastAsia="Times New Roman" w:cstheme="minorHAnsi"/>
          <w:color w:val="000000" w:themeColor="text1"/>
          <w:lang w:eastAsia="lt-LT"/>
        </w:rPr>
      </w:pPr>
      <w:r w:rsidRPr="003D6A3B">
        <w:rPr>
          <w:rFonts w:asciiTheme="minorHAnsi" w:eastAsia="Times New Roman" w:hAnsiTheme="minorHAnsi" w:cstheme="minorHAnsi"/>
          <w:color w:val="000000" w:themeColor="text1"/>
          <w:lang w:eastAsia="lt-LT"/>
        </w:rPr>
        <w:t xml:space="preserve">Taip pat tai, kad galutiniams vartotojams, kurie pasirinko galimybę gauti elektroninę sąskaitą, taikoma abonementinio mokesčio nuolaida, tokiomis aplinkybėmis, kokios susiklostė pagrindinėje byloje, negali būti laikoma Direktyvos 2012/27 11 straipsnio 1 dalyje nustatytos taisyklės, pagal kurią sąskaitos ir sąskaitose pateikiama informacija teikiama nemokamai, apėjimu. </w:t>
      </w:r>
      <w:r w:rsidRPr="003D6A3B">
        <w:rPr>
          <w:rFonts w:asciiTheme="minorHAnsi" w:eastAsia="Times New Roman" w:hAnsiTheme="minorHAnsi" w:cstheme="minorHAnsi"/>
          <w:i/>
          <w:iCs/>
          <w:color w:val="000000" w:themeColor="text1"/>
          <w:lang w:eastAsia="lt-LT"/>
        </w:rPr>
        <w:t>Oulun Sähkönmyynti</w:t>
      </w:r>
      <w:r w:rsidRPr="003D6A3B">
        <w:rPr>
          <w:rFonts w:asciiTheme="minorHAnsi" w:eastAsia="Times New Roman" w:hAnsiTheme="minorHAnsi" w:cstheme="minorHAnsi"/>
          <w:color w:val="000000" w:themeColor="text1"/>
          <w:lang w:eastAsia="lt-LT"/>
        </w:rPr>
        <w:t> nuolaidą galutiniams vartotojams, kurie pasirinko galimybę gauti elektroninę sąskaitą, taikė nuo jau esamo abonementinio mokesčio ir kad iki šios nuolaidos taikymo </w:t>
      </w:r>
      <w:r w:rsidRPr="003D6A3B">
        <w:rPr>
          <w:rFonts w:asciiTheme="minorHAnsi" w:eastAsia="Times New Roman" w:hAnsiTheme="minorHAnsi" w:cstheme="minorHAnsi"/>
          <w:i/>
          <w:iCs/>
          <w:color w:val="000000" w:themeColor="text1"/>
          <w:lang w:eastAsia="lt-LT"/>
        </w:rPr>
        <w:t>Oulun Sähkönmyynti</w:t>
      </w:r>
      <w:r w:rsidRPr="003D6A3B">
        <w:rPr>
          <w:rFonts w:asciiTheme="minorHAnsi" w:eastAsia="Times New Roman" w:hAnsiTheme="minorHAnsi" w:cstheme="minorHAnsi"/>
          <w:color w:val="000000" w:themeColor="text1"/>
          <w:lang w:eastAsia="lt-LT"/>
        </w:rPr>
        <w:t xml:space="preserve"> niekada nebuvo kaltinama pažeidusi šią pareigą sąskaitas ir sąskaitose pateikiamą informaciją teikti nemokamai. </w:t>
      </w:r>
      <w:r w:rsidRPr="003D6A3B">
        <w:rPr>
          <w:rFonts w:asciiTheme="minorHAnsi" w:eastAsia="Times New Roman" w:hAnsiTheme="minorHAnsi" w:cstheme="minorHAnsi"/>
          <w:color w:val="000000" w:themeColor="text1"/>
          <w:u w:val="single"/>
          <w:lang w:eastAsia="lt-LT"/>
        </w:rPr>
        <w:t>Be to, pradėjus taikyti minėtą nuolaidą, galutiniai vartotojai, kurie pasirinko ne elektroninę sąskaitą, o kitą sąskaitų išrašymo būdą, visas sąskaitas už suvartotą energiją ir sąskaitose pateikiamą informaciją ir toliau gavo nemokamai ir mokėjo tokio paties dydžio elektros abonementinį mokestį</w:t>
      </w:r>
      <w:r w:rsidRPr="003D6A3B">
        <w:rPr>
          <w:rFonts w:asciiTheme="minorHAnsi" w:eastAsia="Times New Roman" w:hAnsiTheme="minorHAnsi" w:cstheme="minorHAnsi"/>
          <w:color w:val="000000" w:themeColor="text1"/>
          <w:lang w:eastAsia="lt-LT"/>
        </w:rPr>
        <w:t xml:space="preserve">. Taip pat matyti, kad vartotojai abonementinį mokestį moka neatsižvelgiant į tai, ar sąskaitas ir sąskaitose pateikiamą informaciją pageidauja gauti keturis, šešis ar dvylika kartų per metus. Todėl </w:t>
      </w:r>
      <w:r w:rsidRPr="003D6A3B">
        <w:rPr>
          <w:rFonts w:eastAsia="Times New Roman" w:cstheme="minorHAnsi"/>
          <w:color w:val="000000" w:themeColor="text1"/>
          <w:lang w:eastAsia="lt-LT"/>
        </w:rPr>
        <w:t>tokiomis aplinkybėmis, kokios nagrinėjamos pagrindinėje byloje, elektros abonementinio mokesčio nuolaida galutiniams vartotojams, kurie pasirinko galimybę gauti elektroninę sąskaitą, negali būti laikoma faktiniu, kitiems galutiniams vartotojams nustatytu mokesčiu</w:t>
      </w:r>
      <w:r w:rsidRPr="003D6A3B">
        <w:rPr>
          <w:rFonts w:eastAsia="Times New Roman"/>
          <w:color w:val="000000" w:themeColor="text1"/>
          <w:lang w:eastAsia="lt-LT"/>
        </w:rPr>
        <w:t>, taigi ir Direktyvos 2012/27 11 straipsnio 1 dalyje nustatytos pareigos apėjimu</w:t>
      </w:r>
      <w:r w:rsidRPr="003D6A3B">
        <w:rPr>
          <w:rFonts w:asciiTheme="minorHAnsi" w:eastAsia="Times New Roman" w:hAnsiTheme="minorHAnsi" w:cstheme="minorHAnsi"/>
          <w:color w:val="000000" w:themeColor="text1"/>
          <w:lang w:eastAsia="lt-LT"/>
        </w:rPr>
        <w:t xml:space="preserve"> (30</w:t>
      </w:r>
      <w:r w:rsidR="007C21F4">
        <w:rPr>
          <w:rFonts w:asciiTheme="minorHAnsi" w:eastAsia="Times New Roman" w:hAnsiTheme="minorHAnsi" w:cstheme="minorHAnsi"/>
          <w:color w:val="000000" w:themeColor="text1"/>
          <w:lang w:eastAsia="lt-LT"/>
        </w:rPr>
        <w:t>–</w:t>
      </w:r>
      <w:r w:rsidRPr="003D6A3B">
        <w:rPr>
          <w:rFonts w:asciiTheme="minorHAnsi" w:eastAsia="Times New Roman" w:hAnsiTheme="minorHAnsi" w:cstheme="minorHAnsi"/>
          <w:color w:val="000000" w:themeColor="text1"/>
          <w:lang w:eastAsia="lt-LT"/>
        </w:rPr>
        <w:t>31 punktai).</w:t>
      </w:r>
    </w:p>
    <w:p w:rsidR="00E63C4B" w:rsidRPr="003D6A3B" w:rsidRDefault="00E63C4B" w:rsidP="00E63C4B">
      <w:pPr>
        <w:shd w:val="clear" w:color="auto" w:fill="FFFFFF"/>
        <w:ind w:firstLine="567"/>
        <w:rPr>
          <w:rFonts w:eastAsia="Times New Roman" w:cstheme="minorHAnsi"/>
          <w:color w:val="000000" w:themeColor="text1"/>
          <w:lang w:eastAsia="lt-LT"/>
        </w:rPr>
      </w:pPr>
    </w:p>
    <w:p w:rsidR="00E63C4B" w:rsidRPr="003D6A3B" w:rsidRDefault="00E63C4B" w:rsidP="00E63C4B">
      <w:pPr>
        <w:shd w:val="clear" w:color="auto" w:fill="FFFFFF"/>
        <w:ind w:firstLine="567"/>
        <w:rPr>
          <w:rFonts w:cstheme="minorHAnsi"/>
          <w:b/>
          <w:color w:val="000000" w:themeColor="text1"/>
        </w:rPr>
      </w:pPr>
      <w:r w:rsidRPr="003D6A3B">
        <w:rPr>
          <w:rFonts w:cstheme="minorHAnsi"/>
          <w:b/>
          <w:color w:val="000000" w:themeColor="text1"/>
        </w:rPr>
        <w:t>Remdamasis šiais motyvais, Teisingumo Teismas (dešimtoji kolegija) nusprendė:</w:t>
      </w:r>
    </w:p>
    <w:p w:rsidR="00E63C4B" w:rsidRPr="003D6A3B" w:rsidRDefault="00E63C4B" w:rsidP="00E63C4B">
      <w:pPr>
        <w:shd w:val="clear" w:color="auto" w:fill="FFFFFF"/>
        <w:ind w:firstLine="567"/>
        <w:rPr>
          <w:rFonts w:eastAsia="Times New Roman" w:cstheme="minorHAnsi"/>
          <w:color w:val="000000" w:themeColor="text1"/>
          <w:lang w:eastAsia="lt-LT"/>
        </w:rPr>
      </w:pPr>
    </w:p>
    <w:p w:rsidR="00E63C4B" w:rsidRPr="003D6A3B" w:rsidRDefault="00E63C4B" w:rsidP="00E63C4B">
      <w:pPr>
        <w:shd w:val="clear" w:color="auto" w:fill="FFFFFF"/>
        <w:ind w:firstLine="567"/>
        <w:rPr>
          <w:rFonts w:asciiTheme="minorHAnsi" w:eastAsia="Times New Roman" w:hAnsiTheme="minorHAnsi" w:cstheme="minorHAnsi"/>
          <w:color w:val="000000" w:themeColor="text1"/>
          <w:lang w:eastAsia="lt-LT"/>
        </w:rPr>
      </w:pPr>
      <w:r w:rsidRPr="003D6A3B">
        <w:rPr>
          <w:rFonts w:eastAsia="Times New Roman" w:cstheme="minorHAnsi"/>
          <w:color w:val="000000" w:themeColor="text1"/>
          <w:lang w:eastAsia="lt-LT"/>
        </w:rPr>
        <w:t>2012 m. spalio 25 d. Europos Parlamento ir Tarybos direktyvos 2012/27/ES dėl energijos vartojimo efektyvumo, kuria iš dalies keičiamos direktyvos 2009/125/EB ir 2010/30/ES bei kuria panaikinamos direktyvos 2004/8/EB ir 2006/32/EB, 11 straipsnio</w:t>
      </w:r>
      <w:r w:rsidRPr="003D6A3B">
        <w:rPr>
          <w:rFonts w:asciiTheme="minorHAnsi" w:eastAsia="Times New Roman" w:hAnsiTheme="minorHAnsi" w:cstheme="minorHAnsi"/>
          <w:color w:val="000000" w:themeColor="text1"/>
          <w:lang w:eastAsia="lt-LT"/>
        </w:rPr>
        <w:t xml:space="preserve"> 1 dalį reikia aiškinti kaip nedraudžiančią tokiomis aplinkybėmis, kokios nagrinėjamos pagrindinėje byloje, elektros abonementinio mokesčio nuolaidos, kurią mažmeninės prekybos elektros energija įmonė suteikia tik galutiniams vartotojams, pasirinkusiems galimybę gauti elektroninę sąskaitą.</w:t>
      </w:r>
    </w:p>
    <w:p w:rsidR="00E63C4B" w:rsidRPr="003D6A3B" w:rsidRDefault="007D413D" w:rsidP="00E63C4B">
      <w:pPr>
        <w:ind w:firstLine="567"/>
        <w:rPr>
          <w:rFonts w:asciiTheme="minorHAnsi" w:hAnsiTheme="minorHAnsi" w:cstheme="minorHAnsi"/>
          <w:color w:val="0000FF"/>
          <w:u w:val="single"/>
        </w:rPr>
      </w:pPr>
      <w:hyperlink r:id="rId23" w:history="1">
        <w:r w:rsidR="00E63C4B" w:rsidRPr="003D6A3B">
          <w:rPr>
            <w:rFonts w:asciiTheme="minorHAnsi" w:hAnsiTheme="minorHAnsi" w:cstheme="minorHAnsi"/>
            <w:color w:val="0000FF"/>
            <w:u w:val="single"/>
          </w:rPr>
          <w:t>Prieiga internete</w:t>
        </w:r>
      </w:hyperlink>
    </w:p>
    <w:p w:rsidR="00E63C4B" w:rsidRDefault="00E63C4B" w:rsidP="00E63C4B">
      <w:pPr>
        <w:tabs>
          <w:tab w:val="right" w:leader="dot" w:pos="9639"/>
        </w:tabs>
        <w:ind w:firstLine="567"/>
        <w:rPr>
          <w:rFonts w:asciiTheme="minorHAnsi" w:hAnsiTheme="minorHAnsi" w:cstheme="minorHAnsi"/>
        </w:rPr>
      </w:pPr>
    </w:p>
    <w:p w:rsidR="00F22A30" w:rsidRPr="003D6A3B" w:rsidRDefault="00F22A30" w:rsidP="00F22A30">
      <w:pPr>
        <w:keepNext/>
        <w:tabs>
          <w:tab w:val="right" w:leader="dot" w:pos="9639"/>
        </w:tabs>
        <w:jc w:val="center"/>
        <w:outlineLvl w:val="0"/>
        <w:rPr>
          <w:rFonts w:asciiTheme="minorHAnsi" w:eastAsia="Times New Roman" w:hAnsiTheme="minorHAnsi" w:cstheme="minorHAnsi"/>
          <w:b/>
          <w:bCs/>
          <w:color w:val="323E4F" w:themeColor="text2" w:themeShade="BF"/>
          <w:kern w:val="32"/>
          <w:lang w:eastAsia="lt-LT"/>
        </w:rPr>
      </w:pPr>
      <w:bookmarkStart w:id="75" w:name="_Toc21941972"/>
      <w:r>
        <w:rPr>
          <w:rFonts w:asciiTheme="minorHAnsi" w:eastAsia="Times New Roman" w:hAnsiTheme="minorHAnsi" w:cstheme="minorHAnsi"/>
          <w:b/>
          <w:bCs/>
          <w:color w:val="323E4F" w:themeColor="text2" w:themeShade="BF"/>
          <w:kern w:val="32"/>
          <w:lang w:eastAsia="lt-LT"/>
        </w:rPr>
        <w:t>ASMENS DUOMENŲ APSAUGA</w:t>
      </w:r>
      <w:bookmarkEnd w:id="75"/>
    </w:p>
    <w:p w:rsidR="00F22A30" w:rsidRDefault="00F22A30" w:rsidP="00E63C4B">
      <w:pPr>
        <w:tabs>
          <w:tab w:val="right" w:leader="dot" w:pos="9639"/>
        </w:tabs>
        <w:ind w:firstLine="567"/>
        <w:rPr>
          <w:rFonts w:asciiTheme="minorHAnsi" w:hAnsiTheme="minorHAnsi" w:cstheme="minorHAnsi"/>
        </w:rPr>
      </w:pPr>
    </w:p>
    <w:p w:rsidR="00F22A30" w:rsidRPr="00CB6EC1" w:rsidRDefault="00F22A30" w:rsidP="00F22A30">
      <w:pPr>
        <w:pStyle w:val="Heading2"/>
        <w:rPr>
          <w:rFonts w:cstheme="minorHAnsi"/>
          <w:bCs w:val="0"/>
          <w:iCs w:val="0"/>
        </w:rPr>
      </w:pPr>
      <w:bookmarkStart w:id="76" w:name="_Toc21941973"/>
      <w:r w:rsidRPr="00CB6EC1">
        <w:rPr>
          <w:rFonts w:cstheme="minorHAnsi"/>
        </w:rPr>
        <w:t xml:space="preserve">2019 m. </w:t>
      </w:r>
      <w:r w:rsidRPr="00B520C0">
        <w:rPr>
          <w:rFonts w:cstheme="minorHAnsi"/>
        </w:rPr>
        <w:t xml:space="preserve">liepos </w:t>
      </w:r>
      <w:r w:rsidR="00F53D35">
        <w:rPr>
          <w:rFonts w:cstheme="minorHAnsi"/>
        </w:rPr>
        <w:t>29</w:t>
      </w:r>
      <w:r w:rsidRPr="00CB6EC1">
        <w:rPr>
          <w:rFonts w:cstheme="minorHAnsi"/>
        </w:rPr>
        <w:t xml:space="preserve"> d. </w:t>
      </w:r>
      <w:r>
        <w:rPr>
          <w:rFonts w:cstheme="minorHAnsi"/>
        </w:rPr>
        <w:t xml:space="preserve">prejudicinis </w:t>
      </w:r>
      <w:r w:rsidRPr="00CB6EC1">
        <w:rPr>
          <w:rFonts w:cstheme="minorHAnsi"/>
        </w:rPr>
        <w:t xml:space="preserve">sprendimas byloje </w:t>
      </w:r>
      <w:r w:rsidR="00F53D35" w:rsidRPr="00F53D35">
        <w:rPr>
          <w:rFonts w:cstheme="minorHAnsi"/>
        </w:rPr>
        <w:t>C</w:t>
      </w:r>
      <w:r w:rsidR="00F53D35" w:rsidRPr="00F53D35">
        <w:rPr>
          <w:rFonts w:cstheme="minorHAnsi"/>
        </w:rPr>
        <w:noBreakHyphen/>
        <w:t>40/17</w:t>
      </w:r>
      <w:bookmarkEnd w:id="76"/>
    </w:p>
    <w:p w:rsidR="00F22A30" w:rsidRDefault="00F53D35" w:rsidP="00F22A30">
      <w:pPr>
        <w:jc w:val="center"/>
        <w:rPr>
          <w:rFonts w:cstheme="minorHAnsi"/>
          <w:b/>
          <w:i/>
        </w:rPr>
      </w:pPr>
      <w:r w:rsidRPr="00F53D35">
        <w:rPr>
          <w:rFonts w:cstheme="minorHAnsi"/>
          <w:b/>
          <w:bCs/>
          <w:i/>
        </w:rPr>
        <w:t>Fashion ID GmbH &amp; Co. KG</w:t>
      </w:r>
      <w:r w:rsidR="00F22A30">
        <w:rPr>
          <w:rFonts w:cstheme="minorHAnsi"/>
          <w:b/>
          <w:i/>
        </w:rPr>
        <w:t xml:space="preserve"> prieš </w:t>
      </w:r>
      <w:r w:rsidRPr="00F53D35">
        <w:rPr>
          <w:rFonts w:cstheme="minorHAnsi"/>
          <w:b/>
          <w:bCs/>
          <w:i/>
        </w:rPr>
        <w:t>Verbraucherzentrale NRW eV</w:t>
      </w:r>
    </w:p>
    <w:p w:rsidR="00F22A30" w:rsidRPr="00986131" w:rsidRDefault="00F22A30" w:rsidP="00F22A30">
      <w:pPr>
        <w:jc w:val="center"/>
        <w:rPr>
          <w:rFonts w:cstheme="minorHAnsi"/>
          <w:b/>
          <w:i/>
        </w:rPr>
      </w:pPr>
    </w:p>
    <w:p w:rsidR="00F53D35" w:rsidRDefault="00C175EE" w:rsidP="00F22A30">
      <w:pPr>
        <w:tabs>
          <w:tab w:val="right" w:leader="dot" w:pos="9639"/>
        </w:tabs>
        <w:ind w:firstLine="567"/>
        <w:rPr>
          <w:rFonts w:asciiTheme="minorHAnsi" w:hAnsiTheme="minorHAnsi" w:cstheme="minorHAnsi"/>
        </w:rPr>
      </w:pPr>
      <w:r w:rsidRPr="00C175EE">
        <w:rPr>
          <w:rFonts w:asciiTheme="minorHAnsi" w:hAnsiTheme="minorHAnsi" w:cstheme="minorHAnsi"/>
        </w:rPr>
        <w:t xml:space="preserve">Prašymas priimti prejudicinį sprendimą susijęs su 1995 m. spalio 24 d. Europos Parlamento ir Tarybos direktyvos 95/46/EB </w:t>
      </w:r>
      <w:r>
        <w:rPr>
          <w:rFonts w:asciiTheme="minorHAnsi" w:hAnsiTheme="minorHAnsi" w:cstheme="minorHAnsi"/>
        </w:rPr>
        <w:t xml:space="preserve">(toliau – Direktyva 95/46) </w:t>
      </w:r>
      <w:r w:rsidRPr="00C175EE">
        <w:rPr>
          <w:rFonts w:asciiTheme="minorHAnsi" w:hAnsiTheme="minorHAnsi" w:cstheme="minorHAnsi"/>
        </w:rPr>
        <w:t>dėl asmenų apsaugos tvarkant asmens duomenis ir dėl laisvo tokių duomenų judėjimo (OL L 281, 1995, p. 31; 2004 m. specialusis leidimas lietuvių k., 13 sk., 15 t., p. 355) 2, 7, 10, 22–24 straipsnių išaiškinimu.</w:t>
      </w:r>
      <w:r w:rsidRPr="00C175EE">
        <w:rPr>
          <w:rFonts w:ascii="Arial" w:hAnsi="Arial" w:cs="Arial"/>
          <w:color w:val="000000"/>
          <w:sz w:val="18"/>
          <w:szCs w:val="18"/>
        </w:rPr>
        <w:t xml:space="preserve"> </w:t>
      </w:r>
      <w:r w:rsidRPr="00C175EE">
        <w:rPr>
          <w:rFonts w:asciiTheme="minorHAnsi" w:hAnsiTheme="minorHAnsi" w:cstheme="minorHAnsi"/>
        </w:rPr>
        <w:t>Šis prašymas buvo pateiktas nagrinėjant </w:t>
      </w:r>
      <w:r w:rsidRPr="00C175EE">
        <w:rPr>
          <w:rFonts w:asciiTheme="minorHAnsi" w:hAnsiTheme="minorHAnsi" w:cstheme="minorHAnsi"/>
          <w:i/>
          <w:iCs/>
        </w:rPr>
        <w:t>Fashion ID GmbH &amp; Co. KG</w:t>
      </w:r>
      <w:r w:rsidRPr="00C175EE">
        <w:rPr>
          <w:rFonts w:asciiTheme="minorHAnsi" w:hAnsiTheme="minorHAnsi" w:cstheme="minorHAnsi"/>
        </w:rPr>
        <w:t> ir </w:t>
      </w:r>
      <w:r w:rsidRPr="00C175EE">
        <w:rPr>
          <w:rFonts w:asciiTheme="minorHAnsi" w:hAnsiTheme="minorHAnsi" w:cstheme="minorHAnsi"/>
          <w:i/>
          <w:iCs/>
        </w:rPr>
        <w:t>Verbraucherzentrale NRW eV</w:t>
      </w:r>
      <w:r w:rsidRPr="00C175EE">
        <w:rPr>
          <w:rFonts w:asciiTheme="minorHAnsi" w:hAnsiTheme="minorHAnsi" w:cstheme="minorHAnsi"/>
        </w:rPr>
        <w:t> ginčą, kilusį dėl to, kad </w:t>
      </w:r>
      <w:r w:rsidRPr="00C175EE">
        <w:rPr>
          <w:rFonts w:asciiTheme="minorHAnsi" w:hAnsiTheme="minorHAnsi" w:cstheme="minorHAnsi"/>
          <w:i/>
          <w:iCs/>
        </w:rPr>
        <w:t>Fashion ID </w:t>
      </w:r>
      <w:r w:rsidRPr="00C175EE">
        <w:rPr>
          <w:rFonts w:asciiTheme="minorHAnsi" w:hAnsiTheme="minorHAnsi" w:cstheme="minorHAnsi"/>
        </w:rPr>
        <w:t>į savo interneto svetainę integravo </w:t>
      </w:r>
      <w:r w:rsidRPr="00C175EE">
        <w:rPr>
          <w:rFonts w:asciiTheme="minorHAnsi" w:hAnsiTheme="minorHAnsi" w:cstheme="minorHAnsi"/>
          <w:i/>
          <w:iCs/>
        </w:rPr>
        <w:t>Facebook Ireland Ltd</w:t>
      </w:r>
      <w:r w:rsidRPr="00C175EE">
        <w:rPr>
          <w:rFonts w:asciiTheme="minorHAnsi" w:hAnsiTheme="minorHAnsi" w:cstheme="minorHAnsi"/>
        </w:rPr>
        <w:t> socialinį modulį</w:t>
      </w:r>
      <w:r>
        <w:rPr>
          <w:rFonts w:asciiTheme="minorHAnsi" w:hAnsiTheme="minorHAnsi" w:cstheme="minorHAnsi"/>
        </w:rPr>
        <w:t xml:space="preserve"> (1–2 punktai)</w:t>
      </w:r>
      <w:r w:rsidRPr="00C175EE">
        <w:rPr>
          <w:rFonts w:asciiTheme="minorHAnsi" w:hAnsiTheme="minorHAnsi" w:cstheme="minorHAnsi"/>
        </w:rPr>
        <w:t>.</w:t>
      </w:r>
    </w:p>
    <w:p w:rsidR="00C175EE" w:rsidRDefault="00C175EE" w:rsidP="00C175EE">
      <w:pPr>
        <w:tabs>
          <w:tab w:val="right" w:leader="dot" w:pos="9639"/>
        </w:tabs>
        <w:ind w:firstLine="567"/>
        <w:rPr>
          <w:rFonts w:asciiTheme="minorHAnsi" w:hAnsiTheme="minorHAnsi" w:cstheme="minorHAnsi"/>
        </w:rPr>
      </w:pPr>
      <w:r>
        <w:rPr>
          <w:rFonts w:asciiTheme="minorHAnsi" w:hAnsiTheme="minorHAnsi" w:cstheme="minorHAnsi"/>
        </w:rPr>
        <w:t>Byloje susiklostė tokios faktinės aplinkybės:</w:t>
      </w:r>
      <w:r w:rsidRPr="00C175EE">
        <w:rPr>
          <w:rFonts w:asciiTheme="minorHAnsi" w:hAnsiTheme="minorHAnsi" w:cstheme="minorHAnsi"/>
        </w:rPr>
        <w:t> </w:t>
      </w:r>
      <w:r w:rsidRPr="00C175EE">
        <w:rPr>
          <w:rFonts w:asciiTheme="minorHAnsi" w:hAnsiTheme="minorHAnsi" w:cstheme="minorHAnsi"/>
          <w:i/>
          <w:iCs/>
        </w:rPr>
        <w:t>Fashion ID</w:t>
      </w:r>
      <w:r w:rsidRPr="00C175EE">
        <w:rPr>
          <w:rFonts w:asciiTheme="minorHAnsi" w:hAnsiTheme="minorHAnsi" w:cstheme="minorHAnsi"/>
        </w:rPr>
        <w:t>, elektroninės prekybos mados prekėmis įmonė, į savo interneto svetainę integravo socialinio tinklo </w:t>
      </w:r>
      <w:r w:rsidRPr="00C175EE">
        <w:rPr>
          <w:rFonts w:asciiTheme="minorHAnsi" w:hAnsiTheme="minorHAnsi" w:cstheme="minorHAnsi"/>
          <w:i/>
          <w:iCs/>
        </w:rPr>
        <w:t>Facebook</w:t>
      </w:r>
      <w:r w:rsidRPr="00C175EE">
        <w:rPr>
          <w:rFonts w:asciiTheme="minorHAnsi" w:hAnsiTheme="minorHAnsi" w:cstheme="minorHAnsi"/>
        </w:rPr>
        <w:t> socialinį modulį „Patinka“ (toliau – </w:t>
      </w:r>
      <w:r w:rsidRPr="00C175EE">
        <w:rPr>
          <w:rFonts w:asciiTheme="minorHAnsi" w:hAnsiTheme="minorHAnsi" w:cstheme="minorHAnsi"/>
          <w:i/>
          <w:iCs/>
        </w:rPr>
        <w:t>Facebook</w:t>
      </w:r>
      <w:r w:rsidRPr="00C175EE">
        <w:rPr>
          <w:rFonts w:asciiTheme="minorHAnsi" w:hAnsiTheme="minorHAnsi" w:cstheme="minorHAnsi"/>
        </w:rPr>
        <w:t> mygtukas „Patinka“)</w:t>
      </w:r>
      <w:r>
        <w:rPr>
          <w:rFonts w:asciiTheme="minorHAnsi" w:hAnsiTheme="minorHAnsi" w:cstheme="minorHAnsi"/>
        </w:rPr>
        <w:t xml:space="preserve"> (25 punktas).</w:t>
      </w:r>
      <w:r w:rsidRPr="00C175EE">
        <w:rPr>
          <w:rFonts w:asciiTheme="minorHAnsi" w:hAnsiTheme="minorHAnsi" w:cstheme="minorHAnsi"/>
        </w:rPr>
        <w:t> Kalbant apie </w:t>
      </w:r>
      <w:r w:rsidRPr="00C175EE">
        <w:rPr>
          <w:rFonts w:asciiTheme="minorHAnsi" w:hAnsiTheme="minorHAnsi" w:cstheme="minorHAnsi"/>
          <w:i/>
          <w:iCs/>
        </w:rPr>
        <w:t>Facebook</w:t>
      </w:r>
      <w:r w:rsidRPr="00C175EE">
        <w:rPr>
          <w:rFonts w:asciiTheme="minorHAnsi" w:hAnsiTheme="minorHAnsi" w:cstheme="minorHAnsi"/>
        </w:rPr>
        <w:t xml:space="preserve"> mygtuką „Patinka“, iš sprendimo dėl prašymo priimti prejudicinį sprendimą </w:t>
      </w:r>
      <w:r w:rsidR="00F92605">
        <w:rPr>
          <w:rFonts w:asciiTheme="minorHAnsi" w:hAnsiTheme="minorHAnsi" w:cstheme="minorHAnsi"/>
        </w:rPr>
        <w:t xml:space="preserve">buvo </w:t>
      </w:r>
      <w:r w:rsidRPr="00C175EE">
        <w:rPr>
          <w:rFonts w:asciiTheme="minorHAnsi" w:hAnsiTheme="minorHAnsi" w:cstheme="minorHAnsi"/>
        </w:rPr>
        <w:t>matyti, kad kai lankytojas prisijungia prie </w:t>
      </w:r>
      <w:r w:rsidRPr="00C175EE">
        <w:rPr>
          <w:rFonts w:asciiTheme="minorHAnsi" w:hAnsiTheme="minorHAnsi" w:cstheme="minorHAnsi"/>
          <w:i/>
          <w:iCs/>
        </w:rPr>
        <w:t>Fashion ID</w:t>
      </w:r>
      <w:r w:rsidRPr="00C175EE">
        <w:rPr>
          <w:rFonts w:asciiTheme="minorHAnsi" w:hAnsiTheme="minorHAnsi" w:cstheme="minorHAnsi"/>
        </w:rPr>
        <w:t> svetainės, šio lankytojo asmens duomenys dėl to, kad šioje svetainėje integruotas minėtas mygtukas, perduodami </w:t>
      </w:r>
      <w:r w:rsidRPr="00C175EE">
        <w:rPr>
          <w:rFonts w:asciiTheme="minorHAnsi" w:hAnsiTheme="minorHAnsi" w:cstheme="minorHAnsi"/>
          <w:i/>
          <w:iCs/>
        </w:rPr>
        <w:t>Facebook Ireland</w:t>
      </w:r>
      <w:r w:rsidR="008D19F8">
        <w:rPr>
          <w:rFonts w:asciiTheme="minorHAnsi" w:hAnsiTheme="minorHAnsi" w:cstheme="minorHAnsi"/>
        </w:rPr>
        <w:t>. Atrodė</w:t>
      </w:r>
      <w:r w:rsidRPr="00C175EE">
        <w:rPr>
          <w:rFonts w:asciiTheme="minorHAnsi" w:hAnsiTheme="minorHAnsi" w:cstheme="minorHAnsi"/>
        </w:rPr>
        <w:t>, kad toks perdavimas vyksta minėtam lankytojui to nežinant ir neatsižvelgiant į tai, ar jis yra socialinio tinklo </w:t>
      </w:r>
      <w:r w:rsidRPr="00C175EE">
        <w:rPr>
          <w:rFonts w:asciiTheme="minorHAnsi" w:hAnsiTheme="minorHAnsi" w:cstheme="minorHAnsi"/>
          <w:i/>
          <w:iCs/>
        </w:rPr>
        <w:t>Facebook</w:t>
      </w:r>
      <w:r w:rsidRPr="00C175EE">
        <w:rPr>
          <w:rFonts w:asciiTheme="minorHAnsi" w:hAnsiTheme="minorHAnsi" w:cstheme="minorHAnsi"/>
        </w:rPr>
        <w:t> narys ir ar jis spustelėjo </w:t>
      </w:r>
      <w:r w:rsidRPr="00C175EE">
        <w:rPr>
          <w:rFonts w:asciiTheme="minorHAnsi" w:hAnsiTheme="minorHAnsi" w:cstheme="minorHAnsi"/>
          <w:i/>
          <w:iCs/>
        </w:rPr>
        <w:t>Facebook</w:t>
      </w:r>
      <w:r w:rsidRPr="00C175EE">
        <w:rPr>
          <w:rFonts w:asciiTheme="minorHAnsi" w:hAnsiTheme="minorHAnsi" w:cstheme="minorHAnsi"/>
        </w:rPr>
        <w:t> mygtuką „Patinka“</w:t>
      </w:r>
      <w:r>
        <w:rPr>
          <w:rFonts w:asciiTheme="minorHAnsi" w:hAnsiTheme="minorHAnsi" w:cstheme="minorHAnsi"/>
        </w:rPr>
        <w:t xml:space="preserve"> (27 punktas)</w:t>
      </w:r>
      <w:r w:rsidRPr="00C175EE">
        <w:rPr>
          <w:rFonts w:asciiTheme="minorHAnsi" w:hAnsiTheme="minorHAnsi" w:cstheme="minorHAnsi"/>
        </w:rPr>
        <w:t>.</w:t>
      </w:r>
    </w:p>
    <w:p w:rsidR="00F92605" w:rsidRDefault="00F92605" w:rsidP="00C175EE">
      <w:pPr>
        <w:tabs>
          <w:tab w:val="right" w:leader="dot" w:pos="9639"/>
        </w:tabs>
        <w:ind w:firstLine="567"/>
        <w:rPr>
          <w:rFonts w:asciiTheme="minorHAnsi" w:hAnsiTheme="minorHAnsi" w:cstheme="minorHAnsi"/>
        </w:rPr>
      </w:pPr>
      <w:r w:rsidRPr="00F92605">
        <w:rPr>
          <w:rFonts w:asciiTheme="minorHAnsi" w:hAnsiTheme="minorHAnsi" w:cstheme="minorHAnsi"/>
          <w:i/>
          <w:iCs/>
        </w:rPr>
        <w:t>Verbraucherzentrale NRW</w:t>
      </w:r>
      <w:r w:rsidRPr="00F92605">
        <w:rPr>
          <w:rFonts w:asciiTheme="minorHAnsi" w:hAnsiTheme="minorHAnsi" w:cstheme="minorHAnsi"/>
        </w:rPr>
        <w:t>, visuomeninė vartotojų teisių gynimo asociacija, kaltin</w:t>
      </w:r>
      <w:r>
        <w:rPr>
          <w:rFonts w:asciiTheme="minorHAnsi" w:hAnsiTheme="minorHAnsi" w:cstheme="minorHAnsi"/>
        </w:rPr>
        <w:t>o</w:t>
      </w:r>
      <w:r w:rsidRPr="00F92605">
        <w:rPr>
          <w:rFonts w:asciiTheme="minorHAnsi" w:hAnsiTheme="minorHAnsi" w:cstheme="minorHAnsi"/>
        </w:rPr>
        <w:t> </w:t>
      </w:r>
      <w:r w:rsidRPr="00F92605">
        <w:rPr>
          <w:rFonts w:asciiTheme="minorHAnsi" w:hAnsiTheme="minorHAnsi" w:cstheme="minorHAnsi"/>
          <w:i/>
          <w:iCs/>
        </w:rPr>
        <w:t>Fashion ID</w:t>
      </w:r>
      <w:r w:rsidR="0039283F" w:rsidRPr="0039283F">
        <w:rPr>
          <w:rFonts w:asciiTheme="minorHAnsi" w:hAnsiTheme="minorHAnsi" w:cstheme="minorHAnsi"/>
          <w:bCs/>
        </w:rPr>
        <w:t>,</w:t>
      </w:r>
      <w:r w:rsidRPr="00F92605">
        <w:rPr>
          <w:rFonts w:asciiTheme="minorHAnsi" w:hAnsiTheme="minorHAnsi" w:cstheme="minorHAnsi"/>
          <w:i/>
          <w:iCs/>
        </w:rPr>
        <w:t> </w:t>
      </w:r>
      <w:r w:rsidRPr="00F92605">
        <w:rPr>
          <w:rFonts w:asciiTheme="minorHAnsi" w:hAnsiTheme="minorHAnsi" w:cstheme="minorHAnsi"/>
        </w:rPr>
        <w:t xml:space="preserve">kad </w:t>
      </w:r>
      <w:r w:rsidR="008D19F8">
        <w:rPr>
          <w:rFonts w:asciiTheme="minorHAnsi" w:hAnsiTheme="minorHAnsi" w:cstheme="minorHAnsi"/>
        </w:rPr>
        <w:t xml:space="preserve">ji </w:t>
      </w:r>
      <w:r w:rsidRPr="00F92605">
        <w:rPr>
          <w:rFonts w:asciiTheme="minorHAnsi" w:hAnsiTheme="minorHAnsi" w:cstheme="minorHAnsi"/>
        </w:rPr>
        <w:t>savo interneto svetainės lankytojų asmens duomenis perdavė </w:t>
      </w:r>
      <w:r w:rsidRPr="00F92605">
        <w:rPr>
          <w:rFonts w:asciiTheme="minorHAnsi" w:hAnsiTheme="minorHAnsi" w:cstheme="minorHAnsi"/>
          <w:i/>
          <w:iCs/>
        </w:rPr>
        <w:t>Facebook Ireland</w:t>
      </w:r>
      <w:r w:rsidRPr="00F92605">
        <w:rPr>
          <w:rFonts w:asciiTheme="minorHAnsi" w:hAnsiTheme="minorHAnsi" w:cstheme="minorHAnsi"/>
        </w:rPr>
        <w:t>, viena vertus, be jų sutikimo ir, kita vertus, pažeisdama informavimo reikalavimus, nustatytus asmens duomenų apsaugos nuostatose.</w:t>
      </w:r>
      <w:r w:rsidRPr="00F92605">
        <w:rPr>
          <w:rFonts w:ascii="Arial" w:hAnsi="Arial" w:cs="Arial"/>
          <w:i/>
          <w:iCs/>
          <w:color w:val="000000"/>
          <w:sz w:val="18"/>
          <w:szCs w:val="18"/>
        </w:rPr>
        <w:t xml:space="preserve"> </w:t>
      </w:r>
      <w:r w:rsidRPr="00F92605">
        <w:rPr>
          <w:rFonts w:asciiTheme="minorHAnsi" w:hAnsiTheme="minorHAnsi" w:cstheme="minorHAnsi"/>
          <w:i/>
          <w:iCs/>
        </w:rPr>
        <w:t>Verbraucherzentrale NRW</w:t>
      </w:r>
      <w:r w:rsidRPr="00F92605">
        <w:rPr>
          <w:rFonts w:asciiTheme="minorHAnsi" w:hAnsiTheme="minorHAnsi" w:cstheme="minorHAnsi"/>
        </w:rPr>
        <w:t> pareiškė </w:t>
      </w:r>
      <w:r w:rsidRPr="00F92605">
        <w:rPr>
          <w:rFonts w:asciiTheme="minorHAnsi" w:hAnsiTheme="minorHAnsi" w:cstheme="minorHAnsi"/>
          <w:i/>
          <w:iCs/>
        </w:rPr>
        <w:t>Fashion ID</w:t>
      </w:r>
      <w:r w:rsidRPr="00F92605">
        <w:rPr>
          <w:rFonts w:asciiTheme="minorHAnsi" w:hAnsiTheme="minorHAnsi" w:cstheme="minorHAnsi"/>
        </w:rPr>
        <w:t> ieškinį dėl veiksmų nutraukimo </w:t>
      </w:r>
      <w:r w:rsidRPr="00F92605">
        <w:rPr>
          <w:rFonts w:asciiTheme="minorHAnsi" w:hAnsiTheme="minorHAnsi" w:cstheme="minorHAnsi"/>
          <w:i/>
          <w:iCs/>
        </w:rPr>
        <w:t>Landgericht Düsseldorf</w:t>
      </w:r>
      <w:r w:rsidRPr="00F92605">
        <w:rPr>
          <w:rFonts w:asciiTheme="minorHAnsi" w:hAnsiTheme="minorHAnsi" w:cstheme="minorHAnsi"/>
        </w:rPr>
        <w:t> (Diuseldorfo apygardos teismas, Vokietija) siekdama, kad </w:t>
      </w:r>
      <w:r w:rsidRPr="00F92605">
        <w:rPr>
          <w:rFonts w:asciiTheme="minorHAnsi" w:hAnsiTheme="minorHAnsi" w:cstheme="minorHAnsi"/>
          <w:i/>
          <w:iCs/>
        </w:rPr>
        <w:t>Fashion ID</w:t>
      </w:r>
      <w:r w:rsidRPr="00F92605">
        <w:rPr>
          <w:rFonts w:asciiTheme="minorHAnsi" w:hAnsiTheme="minorHAnsi" w:cstheme="minorHAnsi"/>
        </w:rPr>
        <w:t> nutrauktų šią praktiką</w:t>
      </w:r>
      <w:r>
        <w:rPr>
          <w:rFonts w:asciiTheme="minorHAnsi" w:hAnsiTheme="minorHAnsi" w:cstheme="minorHAnsi"/>
        </w:rPr>
        <w:t xml:space="preserve"> (28–29 punktai)</w:t>
      </w:r>
      <w:r w:rsidRPr="00F92605">
        <w:rPr>
          <w:rFonts w:asciiTheme="minorHAnsi" w:hAnsiTheme="minorHAnsi" w:cstheme="minorHAnsi"/>
        </w:rPr>
        <w:t>.</w:t>
      </w:r>
    </w:p>
    <w:p w:rsidR="00C175EE" w:rsidRDefault="00C175EE" w:rsidP="00C175EE">
      <w:pPr>
        <w:tabs>
          <w:tab w:val="right" w:leader="dot" w:pos="9639"/>
        </w:tabs>
        <w:ind w:firstLine="567"/>
        <w:rPr>
          <w:rFonts w:asciiTheme="minorHAnsi" w:hAnsiTheme="minorHAnsi" w:cstheme="minorHAnsi"/>
        </w:rPr>
      </w:pPr>
      <w:r>
        <w:rPr>
          <w:rFonts w:asciiTheme="minorHAnsi" w:hAnsiTheme="minorHAnsi" w:cstheme="minorHAnsi"/>
        </w:rPr>
        <w:t xml:space="preserve">Ginčui pasiekus teismą, </w:t>
      </w:r>
      <w:r w:rsidRPr="00C175EE">
        <w:rPr>
          <w:rFonts w:asciiTheme="minorHAnsi" w:hAnsiTheme="minorHAnsi" w:cstheme="minorHAnsi"/>
          <w:i/>
          <w:iCs/>
        </w:rPr>
        <w:t>Oberlandesgericht Düsseldorf</w:t>
      </w:r>
      <w:r w:rsidRPr="00C175EE">
        <w:rPr>
          <w:rFonts w:asciiTheme="minorHAnsi" w:hAnsiTheme="minorHAnsi" w:cstheme="minorHAnsi"/>
        </w:rPr>
        <w:t> (Diuseldorfo aukštesnysis apygardos teismas) nutarė sustabdyti bylos nagrinėjimą ir pateikti Teisingumo Teismui prejudicinius klausimus</w:t>
      </w:r>
      <w:r>
        <w:rPr>
          <w:rFonts w:asciiTheme="minorHAnsi" w:hAnsiTheme="minorHAnsi" w:cstheme="minorHAnsi"/>
        </w:rPr>
        <w:t xml:space="preserve"> (42 punktas).</w:t>
      </w:r>
    </w:p>
    <w:p w:rsidR="00F53D35" w:rsidRDefault="00F53D35" w:rsidP="00F22A30">
      <w:pPr>
        <w:tabs>
          <w:tab w:val="right" w:leader="dot" w:pos="9639"/>
        </w:tabs>
        <w:ind w:firstLine="567"/>
        <w:rPr>
          <w:rFonts w:asciiTheme="minorHAnsi" w:hAnsiTheme="minorHAnsi" w:cstheme="minorHAnsi"/>
        </w:rPr>
      </w:pPr>
    </w:p>
    <w:p w:rsidR="00193B93" w:rsidRPr="00193B93" w:rsidRDefault="00193B93" w:rsidP="00193B93">
      <w:pPr>
        <w:pStyle w:val="Heading3"/>
        <w:ind w:firstLine="567"/>
        <w:rPr>
          <w:rFonts w:cstheme="minorHAnsi"/>
          <w:bCs w:val="0"/>
          <w:color w:val="000000" w:themeColor="text1"/>
        </w:rPr>
      </w:pPr>
      <w:bookmarkStart w:id="77" w:name="_Toc21941974"/>
      <w:r w:rsidRPr="00193B93">
        <w:rPr>
          <w:rFonts w:cstheme="minorHAnsi"/>
          <w:bCs w:val="0"/>
          <w:color w:val="000000" w:themeColor="text1"/>
        </w:rPr>
        <w:t>Dėl vartotojų teisių gynimo asociacijų teisės pareikšti ieškinį tariamam asmens duomenų apsaugos pažeidėjui</w:t>
      </w:r>
      <w:bookmarkEnd w:id="77"/>
    </w:p>
    <w:p w:rsidR="00193B93" w:rsidRPr="00193B93" w:rsidRDefault="00193B93" w:rsidP="00F22A30">
      <w:pPr>
        <w:tabs>
          <w:tab w:val="right" w:leader="dot" w:pos="9639"/>
        </w:tabs>
        <w:ind w:firstLine="567"/>
        <w:rPr>
          <w:rFonts w:asciiTheme="minorHAnsi" w:eastAsiaTheme="majorEastAsia" w:hAnsiTheme="minorHAnsi" w:cstheme="minorHAnsi"/>
          <w:b/>
          <w:bCs/>
          <w:color w:val="000000" w:themeColor="text1"/>
        </w:rPr>
      </w:pPr>
    </w:p>
    <w:p w:rsidR="00193B93" w:rsidRDefault="00193B93" w:rsidP="00F22A30">
      <w:pPr>
        <w:tabs>
          <w:tab w:val="right" w:leader="dot" w:pos="9639"/>
        </w:tabs>
        <w:ind w:firstLine="567"/>
        <w:rPr>
          <w:rFonts w:asciiTheme="minorHAnsi" w:hAnsiTheme="minorHAnsi" w:cstheme="minorHAnsi"/>
        </w:rPr>
      </w:pPr>
      <w:r w:rsidRPr="00193B93">
        <w:rPr>
          <w:rFonts w:asciiTheme="minorHAnsi" w:hAnsiTheme="minorHAnsi" w:cstheme="minorHAnsi"/>
        </w:rPr>
        <w:t>Pirmuoju klausimu prašymą priimti prejudicinį sprendimą</w:t>
      </w:r>
      <w:r w:rsidR="0065013F">
        <w:rPr>
          <w:rFonts w:asciiTheme="minorHAnsi" w:hAnsiTheme="minorHAnsi" w:cstheme="minorHAnsi"/>
        </w:rPr>
        <w:t xml:space="preserve"> pateikęs teismas iš esmės prašė</w:t>
      </w:r>
      <w:r w:rsidRPr="00193B93">
        <w:rPr>
          <w:rFonts w:asciiTheme="minorHAnsi" w:hAnsiTheme="minorHAnsi" w:cstheme="minorHAnsi"/>
        </w:rPr>
        <w:t xml:space="preserve"> išaiškinti, ar Direktyvos 95/46 22–24 straipsniai turi būti aiškinami kaip draudžiantys nacionalines taisykles, pagal kurias vartotojų teisių gynimo asociacijoms leidžiama pareikšti ieškinį tariamam asmens duomenų apsaugos pažeidėjui</w:t>
      </w:r>
      <w:r>
        <w:rPr>
          <w:rFonts w:asciiTheme="minorHAnsi" w:hAnsiTheme="minorHAnsi" w:cstheme="minorHAnsi"/>
        </w:rPr>
        <w:t xml:space="preserve"> (43 punktas)</w:t>
      </w:r>
      <w:r w:rsidRPr="00193B93">
        <w:rPr>
          <w:rFonts w:asciiTheme="minorHAnsi" w:hAnsiTheme="minorHAnsi" w:cstheme="minorHAnsi"/>
        </w:rPr>
        <w:t>.</w:t>
      </w:r>
    </w:p>
    <w:p w:rsidR="00193B93" w:rsidRDefault="00193B93" w:rsidP="00F22A30">
      <w:pPr>
        <w:tabs>
          <w:tab w:val="right" w:leader="dot" w:pos="9639"/>
        </w:tabs>
        <w:ind w:firstLine="567"/>
        <w:rPr>
          <w:rFonts w:asciiTheme="minorHAnsi" w:hAnsiTheme="minorHAnsi" w:cstheme="minorHAnsi"/>
        </w:rPr>
      </w:pPr>
      <w:r w:rsidRPr="00193B93">
        <w:rPr>
          <w:rFonts w:asciiTheme="minorHAnsi" w:hAnsiTheme="minorHAnsi" w:cstheme="minorHAnsi"/>
        </w:rPr>
        <w:t> </w:t>
      </w:r>
      <w:r w:rsidR="00503293">
        <w:rPr>
          <w:rFonts w:asciiTheme="minorHAnsi" w:hAnsiTheme="minorHAnsi" w:cstheme="minorHAnsi"/>
        </w:rPr>
        <w:t>Teismas priminė</w:t>
      </w:r>
      <w:r w:rsidRPr="00193B93">
        <w:rPr>
          <w:rFonts w:asciiTheme="minorHAnsi" w:hAnsiTheme="minorHAnsi" w:cstheme="minorHAnsi"/>
        </w:rPr>
        <w:t xml:space="preserve">, </w:t>
      </w:r>
      <w:r w:rsidR="00503293">
        <w:rPr>
          <w:rFonts w:asciiTheme="minorHAnsi" w:hAnsiTheme="minorHAnsi" w:cstheme="minorHAnsi"/>
        </w:rPr>
        <w:t>jog</w:t>
      </w:r>
      <w:r w:rsidRPr="00193B93">
        <w:rPr>
          <w:rFonts w:asciiTheme="minorHAnsi" w:hAnsiTheme="minorHAnsi" w:cstheme="minorHAnsi"/>
        </w:rPr>
        <w:t xml:space="preserve"> pagal Direktyvos 95/46 22 straipsnį valstybės narės numato, kad kiekvienas asmuo turi teisę kreiptis į teismą dėl teisių, kurias jam garantuoja aptariamam tvarkymui taikomos nacionalinės nuostatos, pažeidimo</w:t>
      </w:r>
      <w:r>
        <w:rPr>
          <w:rFonts w:asciiTheme="minorHAnsi" w:hAnsiTheme="minorHAnsi" w:cstheme="minorHAnsi"/>
        </w:rPr>
        <w:t xml:space="preserve"> (44 punktas)</w:t>
      </w:r>
      <w:r w:rsidRPr="00193B93">
        <w:rPr>
          <w:rFonts w:asciiTheme="minorHAnsi" w:hAnsiTheme="minorHAnsi" w:cstheme="minorHAnsi"/>
        </w:rPr>
        <w:t>.</w:t>
      </w:r>
      <w:r w:rsidRPr="00193B93">
        <w:rPr>
          <w:rFonts w:ascii="Arial" w:hAnsi="Arial" w:cs="Arial"/>
          <w:color w:val="000000"/>
          <w:sz w:val="18"/>
          <w:szCs w:val="18"/>
        </w:rPr>
        <w:t xml:space="preserve"> </w:t>
      </w:r>
      <w:r w:rsidRPr="00193B93">
        <w:rPr>
          <w:rFonts w:asciiTheme="minorHAnsi" w:hAnsiTheme="minorHAnsi" w:cstheme="minorHAnsi"/>
        </w:rPr>
        <w:t>Direktyvos 95/46 28 straipsnio 4 dalyje nustatyta, kad priežiūros institucija nagrinėja duomenų subjektui, kaip tai suprantama pagal šios direktyvos 2 straipsnio a punktą, atstovaujančios asociacijos iškeltus ieškinius dėl jo teisių ir laisvių apsaugos tvarkant asmens duomenis</w:t>
      </w:r>
      <w:r>
        <w:rPr>
          <w:rFonts w:asciiTheme="minorHAnsi" w:hAnsiTheme="minorHAnsi" w:cstheme="minorHAnsi"/>
        </w:rPr>
        <w:t xml:space="preserve"> (46 punktas)</w:t>
      </w:r>
      <w:r w:rsidRPr="00193B93">
        <w:rPr>
          <w:rFonts w:asciiTheme="minorHAnsi" w:hAnsiTheme="minorHAnsi" w:cstheme="minorHAnsi"/>
        </w:rPr>
        <w:t>. Tačiau nė vienoje šios direktyvos nuostatoje valstybėms narėms nenustatyta pareiga ir aiškiai nesuteikta teisė savo nacionalinėje teisėje numatyti galimybę asociacijai atstovauti tokiam asmeniui teisme arba savo iniciatyva pareikšti ieškinį tariamam asmens duomenų apsaugos pažeidėjui</w:t>
      </w:r>
      <w:r>
        <w:rPr>
          <w:rFonts w:asciiTheme="minorHAnsi" w:hAnsiTheme="minorHAnsi" w:cstheme="minorHAnsi"/>
        </w:rPr>
        <w:t xml:space="preserve"> (47 punktas)</w:t>
      </w:r>
      <w:r w:rsidRPr="00193B93">
        <w:rPr>
          <w:rFonts w:asciiTheme="minorHAnsi" w:hAnsiTheme="minorHAnsi" w:cstheme="minorHAnsi"/>
        </w:rPr>
        <w:t xml:space="preserve">. </w:t>
      </w:r>
    </w:p>
    <w:p w:rsidR="00C93CC5" w:rsidRDefault="00C93CC5" w:rsidP="00F22A30">
      <w:pPr>
        <w:tabs>
          <w:tab w:val="right" w:leader="dot" w:pos="9639"/>
        </w:tabs>
        <w:ind w:firstLine="567"/>
        <w:rPr>
          <w:rFonts w:asciiTheme="minorHAnsi" w:hAnsiTheme="minorHAnsi" w:cstheme="minorHAnsi"/>
        </w:rPr>
      </w:pPr>
      <w:r>
        <w:rPr>
          <w:rFonts w:asciiTheme="minorHAnsi" w:hAnsiTheme="minorHAnsi" w:cstheme="minorHAnsi"/>
        </w:rPr>
        <w:t xml:space="preserve">Teismas įvertino, jog tai, kad </w:t>
      </w:r>
      <w:r w:rsidRPr="00C93CC5">
        <w:rPr>
          <w:rFonts w:asciiTheme="minorHAnsi" w:hAnsiTheme="minorHAnsi" w:cstheme="minorHAnsi"/>
          <w:u w:val="single"/>
        </w:rPr>
        <w:t>valstybė narė savo nacionalinėse taisyklėse gali numatyti galimybę vartotojų teisių gynimo asociacijoms pareikšti ieškinį tariamam asmens duomenų apsaugos pažeidėjui, jokiu būdu nepažeidžia direktyvos tikslų, o, priešingai, padeda juos įgyvendinti</w:t>
      </w:r>
      <w:r>
        <w:rPr>
          <w:rFonts w:asciiTheme="minorHAnsi" w:hAnsiTheme="minorHAnsi" w:cstheme="minorHAnsi"/>
        </w:rPr>
        <w:t xml:space="preserve"> (51 punktas)</w:t>
      </w:r>
      <w:r w:rsidRPr="00C93CC5">
        <w:rPr>
          <w:rFonts w:asciiTheme="minorHAnsi" w:hAnsiTheme="minorHAnsi" w:cstheme="minorHAnsi"/>
        </w:rPr>
        <w:t>.</w:t>
      </w:r>
      <w:r w:rsidRPr="00C93CC5">
        <w:rPr>
          <w:rFonts w:ascii="Arial" w:hAnsi="Arial" w:cs="Arial"/>
          <w:color w:val="000000"/>
          <w:sz w:val="18"/>
          <w:szCs w:val="18"/>
        </w:rPr>
        <w:t xml:space="preserve"> </w:t>
      </w:r>
    </w:p>
    <w:p w:rsidR="00193B93" w:rsidRDefault="00C93CC5" w:rsidP="00F22A30">
      <w:pPr>
        <w:tabs>
          <w:tab w:val="right" w:leader="dot" w:pos="9639"/>
        </w:tabs>
        <w:ind w:firstLine="567"/>
        <w:rPr>
          <w:rFonts w:asciiTheme="minorHAnsi" w:hAnsiTheme="minorHAnsi" w:cstheme="minorHAnsi"/>
        </w:rPr>
      </w:pPr>
      <w:r>
        <w:rPr>
          <w:rFonts w:asciiTheme="minorHAnsi" w:hAnsiTheme="minorHAnsi" w:cstheme="minorHAnsi"/>
        </w:rPr>
        <w:t>T</w:t>
      </w:r>
      <w:r w:rsidRPr="00C93CC5">
        <w:rPr>
          <w:rFonts w:asciiTheme="minorHAnsi" w:hAnsiTheme="minorHAnsi" w:cstheme="minorHAnsi"/>
        </w:rPr>
        <w:t>ai, kad Reglamento 2016/679, kuriuo panaikinta ir pakeista Direktyva 95/46 ir kuris taikomas nuo 2018 m. gegužės 25 d., 80 straipsnio 2 dalyje valstybėms narėms aiškiai leidžiama leisti vartotojų teisių gynimo asociacijoms pareikšti ieškinį tariamam asmens duomenų apsaugos pažeidėjui, jokiu būdu nereiškia, kad valstybės narės negalėjo joms suteikti šios teisės pagal Direktyvą 95/46, tačiau patvirtina, kad šiame sprendime pateiktas direktyvos aiškinimas atspindi Sąjungos teisės aktų leidėjo valią</w:t>
      </w:r>
      <w:r>
        <w:rPr>
          <w:rFonts w:asciiTheme="minorHAnsi" w:hAnsiTheme="minorHAnsi" w:cstheme="minorHAnsi"/>
        </w:rPr>
        <w:t xml:space="preserve"> (62 punktas)</w:t>
      </w:r>
      <w:r w:rsidRPr="00C93CC5">
        <w:rPr>
          <w:rFonts w:asciiTheme="minorHAnsi" w:hAnsiTheme="minorHAnsi" w:cstheme="minorHAnsi"/>
        </w:rPr>
        <w:t>.</w:t>
      </w:r>
    </w:p>
    <w:p w:rsidR="00C93CC5" w:rsidRDefault="00C93CC5" w:rsidP="00F22A30">
      <w:pPr>
        <w:tabs>
          <w:tab w:val="right" w:leader="dot" w:pos="9639"/>
        </w:tabs>
        <w:ind w:firstLine="567"/>
        <w:rPr>
          <w:rFonts w:asciiTheme="minorHAnsi" w:hAnsiTheme="minorHAnsi" w:cstheme="minorHAnsi"/>
        </w:rPr>
      </w:pPr>
    </w:p>
    <w:p w:rsidR="00716972" w:rsidRDefault="00716972" w:rsidP="00024C28">
      <w:pPr>
        <w:pStyle w:val="Heading3"/>
        <w:ind w:firstLine="567"/>
        <w:rPr>
          <w:rFonts w:cstheme="minorHAnsi"/>
          <w:bCs w:val="0"/>
          <w:color w:val="000000" w:themeColor="text1"/>
        </w:rPr>
      </w:pPr>
      <w:bookmarkStart w:id="78" w:name="_Toc21941975"/>
      <w:r w:rsidRPr="00193B93">
        <w:rPr>
          <w:rFonts w:cstheme="minorHAnsi"/>
          <w:bCs w:val="0"/>
          <w:color w:val="000000" w:themeColor="text1"/>
        </w:rPr>
        <w:t xml:space="preserve">Dėl </w:t>
      </w:r>
      <w:r w:rsidRPr="00716972">
        <w:rPr>
          <w:rFonts w:cstheme="minorHAnsi"/>
          <w:bCs w:val="0"/>
          <w:color w:val="000000" w:themeColor="text1"/>
        </w:rPr>
        <w:t>interneto svetainės administratori</w:t>
      </w:r>
      <w:r>
        <w:rPr>
          <w:rFonts w:cstheme="minorHAnsi"/>
          <w:bCs w:val="0"/>
          <w:color w:val="000000" w:themeColor="text1"/>
        </w:rPr>
        <w:t>a</w:t>
      </w:r>
      <w:r w:rsidRPr="00716972">
        <w:rPr>
          <w:rFonts w:cstheme="minorHAnsi"/>
          <w:bCs w:val="0"/>
          <w:color w:val="000000" w:themeColor="text1"/>
        </w:rPr>
        <w:t>us</w:t>
      </w:r>
      <w:r>
        <w:rPr>
          <w:rFonts w:cstheme="minorHAnsi"/>
          <w:bCs w:val="0"/>
          <w:color w:val="000000" w:themeColor="text1"/>
        </w:rPr>
        <w:t xml:space="preserve"> laikymo</w:t>
      </w:r>
      <w:r w:rsidRPr="00716972">
        <w:rPr>
          <w:rFonts w:cstheme="minorHAnsi"/>
          <w:bCs w:val="0"/>
          <w:color w:val="000000" w:themeColor="text1"/>
        </w:rPr>
        <w:t xml:space="preserve"> duomenų valdytoju, </w:t>
      </w:r>
      <w:r w:rsidR="00024C28" w:rsidRPr="00024C28">
        <w:rPr>
          <w:rFonts w:cstheme="minorHAnsi"/>
          <w:bCs w:val="0"/>
          <w:color w:val="000000" w:themeColor="text1"/>
        </w:rPr>
        <w:t xml:space="preserve">nors </w:t>
      </w:r>
      <w:r w:rsidR="00024C28">
        <w:rPr>
          <w:rFonts w:cstheme="minorHAnsi"/>
          <w:bCs w:val="0"/>
          <w:color w:val="000000" w:themeColor="text1"/>
        </w:rPr>
        <w:t>jis</w:t>
      </w:r>
      <w:r w:rsidR="00024C28" w:rsidRPr="00024C28">
        <w:rPr>
          <w:rFonts w:cstheme="minorHAnsi"/>
          <w:bCs w:val="0"/>
          <w:color w:val="000000" w:themeColor="text1"/>
        </w:rPr>
        <w:t xml:space="preserve"> neturi jokios įtakos teikėjui perduotų duomenų tvarkymui</w:t>
      </w:r>
      <w:bookmarkEnd w:id="78"/>
    </w:p>
    <w:p w:rsidR="00024C28" w:rsidRPr="00024C28" w:rsidRDefault="00024C28" w:rsidP="00024C28"/>
    <w:p w:rsidR="00716972" w:rsidRDefault="00716972" w:rsidP="00716972">
      <w:pPr>
        <w:tabs>
          <w:tab w:val="right" w:leader="dot" w:pos="9639"/>
        </w:tabs>
        <w:ind w:firstLine="567"/>
        <w:rPr>
          <w:rFonts w:asciiTheme="minorHAnsi" w:hAnsiTheme="minorHAnsi" w:cstheme="minorHAnsi"/>
        </w:rPr>
      </w:pPr>
      <w:r w:rsidRPr="00716972">
        <w:rPr>
          <w:rFonts w:asciiTheme="minorHAnsi" w:hAnsiTheme="minorHAnsi" w:cstheme="minorHAnsi"/>
        </w:rPr>
        <w:t>Antruoju klausimu prašymą priimti prejudicinį sprendimą p</w:t>
      </w:r>
      <w:r w:rsidR="00503293">
        <w:rPr>
          <w:rFonts w:asciiTheme="minorHAnsi" w:hAnsiTheme="minorHAnsi" w:cstheme="minorHAnsi"/>
        </w:rPr>
        <w:t>ateikęs teismas iš esmės klausė</w:t>
      </w:r>
      <w:r w:rsidRPr="00716972">
        <w:rPr>
          <w:rFonts w:asciiTheme="minorHAnsi" w:hAnsiTheme="minorHAnsi" w:cstheme="minorHAnsi"/>
        </w:rPr>
        <w:t>, ar interneto svetainės administratorius, kaip antai </w:t>
      </w:r>
      <w:r w:rsidRPr="00716972">
        <w:rPr>
          <w:rFonts w:asciiTheme="minorHAnsi" w:hAnsiTheme="minorHAnsi" w:cstheme="minorHAnsi"/>
          <w:i/>
          <w:iCs/>
        </w:rPr>
        <w:t>Fashion ID</w:t>
      </w:r>
      <w:r w:rsidRPr="00716972">
        <w:rPr>
          <w:rFonts w:asciiTheme="minorHAnsi" w:hAnsiTheme="minorHAnsi" w:cstheme="minorHAnsi"/>
        </w:rPr>
        <w:t>, kuris toje interneto svetainėje įterpia socialinį modulį, leidžiantį šios svetainės lankytojo naršyklei prašyti minėto modulio teikėjo turinio ir perduoti šiam teikėjui lankytojo asmens duomenis, gali būti laikomas duomenų valdytoju, kaip apibrėžta Direktyvos 95/46 2 straipsnio d punkte, nors tas valdytojas neturi jokios įtakos taip minėtam teikėjui perduotų duomenų tvarkymui</w:t>
      </w:r>
      <w:r>
        <w:rPr>
          <w:rFonts w:asciiTheme="minorHAnsi" w:hAnsiTheme="minorHAnsi" w:cstheme="minorHAnsi"/>
        </w:rPr>
        <w:t xml:space="preserve"> (64 punktas)</w:t>
      </w:r>
      <w:r w:rsidRPr="00716972">
        <w:rPr>
          <w:rFonts w:asciiTheme="minorHAnsi" w:hAnsiTheme="minorHAnsi" w:cstheme="minorHAnsi"/>
        </w:rPr>
        <w:t>.</w:t>
      </w:r>
    </w:p>
    <w:p w:rsidR="00906F9E" w:rsidRDefault="00906F9E" w:rsidP="00906F9E">
      <w:pPr>
        <w:tabs>
          <w:tab w:val="right" w:leader="dot" w:pos="9639"/>
        </w:tabs>
        <w:ind w:firstLine="567"/>
        <w:rPr>
          <w:rFonts w:asciiTheme="minorHAnsi" w:hAnsiTheme="minorHAnsi" w:cstheme="minorHAnsi"/>
        </w:rPr>
      </w:pPr>
      <w:r>
        <w:rPr>
          <w:rFonts w:asciiTheme="minorHAnsi" w:hAnsiTheme="minorHAnsi" w:cstheme="minorHAnsi"/>
        </w:rPr>
        <w:t xml:space="preserve">Teismas </w:t>
      </w:r>
      <w:r w:rsidR="00503293">
        <w:rPr>
          <w:rFonts w:asciiTheme="minorHAnsi" w:hAnsiTheme="minorHAnsi" w:cstheme="minorHAnsi"/>
        </w:rPr>
        <w:t>pažymėjo</w:t>
      </w:r>
      <w:r>
        <w:rPr>
          <w:rFonts w:asciiTheme="minorHAnsi" w:hAnsiTheme="minorHAnsi" w:cstheme="minorHAnsi"/>
        </w:rPr>
        <w:t xml:space="preserve">, kad </w:t>
      </w:r>
      <w:r w:rsidRPr="00906F9E">
        <w:rPr>
          <w:rFonts w:asciiTheme="minorHAnsi" w:hAnsiTheme="minorHAnsi" w:cstheme="minorHAnsi"/>
        </w:rPr>
        <w:t xml:space="preserve">kadangi, kaip aiškiai nurodyta Direktyvos 95/46 2 straipsnio d punkte, </w:t>
      </w:r>
      <w:r w:rsidRPr="00906F9E">
        <w:rPr>
          <w:rFonts w:asciiTheme="minorHAnsi" w:hAnsiTheme="minorHAnsi" w:cstheme="minorHAnsi"/>
          <w:u w:val="single"/>
        </w:rPr>
        <w:t xml:space="preserve">sąvoka „duomenų valdytojas“ reiškia subjektą, kuris „vienas ar drauge su kitais“ nustato asmens duomenų tvarkymo tikslus ir būdus, ši sąvoka nebūtinai reiškia vieną subjektą ir gali apimti kelis tokiame tvarkyme dalyvaujančius subjektus, kurių kiekvienam atitinkamai galioja duomenų apsaugai taikomos teisės normos </w:t>
      </w:r>
      <w:r w:rsidRPr="00906F9E">
        <w:rPr>
          <w:rFonts w:asciiTheme="minorHAnsi" w:hAnsiTheme="minorHAnsi" w:cstheme="minorHAnsi"/>
        </w:rPr>
        <w:t>(šiuo klausimu žr. 2018 m. birželio 5 d. Sprendimo </w:t>
      </w:r>
      <w:r w:rsidRPr="00906F9E">
        <w:rPr>
          <w:rFonts w:asciiTheme="minorHAnsi" w:hAnsiTheme="minorHAnsi" w:cstheme="minorHAnsi"/>
          <w:i/>
          <w:iCs/>
        </w:rPr>
        <w:t>Wirtschaftsakademie Schleswig-Holstein</w:t>
      </w:r>
      <w:r w:rsidRPr="00906F9E">
        <w:rPr>
          <w:rFonts w:asciiTheme="minorHAnsi" w:hAnsiTheme="minorHAnsi" w:cstheme="minorHAnsi"/>
        </w:rPr>
        <w:t>, C</w:t>
      </w:r>
      <w:r w:rsidRPr="00906F9E">
        <w:rPr>
          <w:rFonts w:asciiTheme="minorHAnsi" w:hAnsiTheme="minorHAnsi" w:cstheme="minorHAnsi"/>
        </w:rPr>
        <w:noBreakHyphen/>
        <w:t>210/16, EU:C:2018:388, 29 punktą ir 2018 m. liepos 10 d. Sprendimo </w:t>
      </w:r>
      <w:r w:rsidRPr="00906F9E">
        <w:rPr>
          <w:rFonts w:asciiTheme="minorHAnsi" w:hAnsiTheme="minorHAnsi" w:cstheme="minorHAnsi"/>
          <w:i/>
          <w:iCs/>
        </w:rPr>
        <w:t>Jehovan todistajat</w:t>
      </w:r>
      <w:r w:rsidRPr="00906F9E">
        <w:rPr>
          <w:rFonts w:asciiTheme="minorHAnsi" w:hAnsiTheme="minorHAnsi" w:cstheme="minorHAnsi"/>
        </w:rPr>
        <w:t>, C</w:t>
      </w:r>
      <w:r w:rsidRPr="00906F9E">
        <w:rPr>
          <w:rFonts w:asciiTheme="minorHAnsi" w:hAnsiTheme="minorHAnsi" w:cstheme="minorHAnsi"/>
        </w:rPr>
        <w:noBreakHyphen/>
        <w:t>25/17, EU:C:2018:551, 65 punktą)</w:t>
      </w:r>
      <w:r>
        <w:rPr>
          <w:rFonts w:asciiTheme="minorHAnsi" w:hAnsiTheme="minorHAnsi" w:cstheme="minorHAnsi"/>
        </w:rPr>
        <w:t xml:space="preserve"> (67 punktas)</w:t>
      </w:r>
      <w:r w:rsidRPr="00906F9E">
        <w:rPr>
          <w:rFonts w:asciiTheme="minorHAnsi" w:hAnsiTheme="minorHAnsi" w:cstheme="minorHAnsi"/>
        </w:rPr>
        <w:t>.</w:t>
      </w:r>
      <w:r>
        <w:rPr>
          <w:rFonts w:asciiTheme="minorHAnsi" w:hAnsiTheme="minorHAnsi" w:cstheme="minorHAnsi"/>
        </w:rPr>
        <w:t xml:space="preserve"> </w:t>
      </w:r>
      <w:r w:rsidR="007308DD">
        <w:rPr>
          <w:rFonts w:asciiTheme="minorHAnsi" w:hAnsiTheme="minorHAnsi" w:cstheme="minorHAnsi"/>
        </w:rPr>
        <w:t>I</w:t>
      </w:r>
      <w:r w:rsidR="007308DD" w:rsidRPr="007308DD">
        <w:rPr>
          <w:rFonts w:asciiTheme="minorHAnsi" w:hAnsiTheme="minorHAnsi" w:cstheme="minorHAnsi"/>
        </w:rPr>
        <w:t>š „duomenų valdytojo“ apibrėžties, pateiktos Direktyvos 95/46 2 straipsnio d punkte ir primintos šio sprendimo 65 punkte, galima daryti išvadą, kad tais atvejais, kai keli subjektai bendrai nustato asmens duomenų tvarkymo tikslus ir būdus, jie šiame tvarkymo procese dalyvauja kaip valdytojai</w:t>
      </w:r>
      <w:r w:rsidR="007308DD">
        <w:rPr>
          <w:rFonts w:asciiTheme="minorHAnsi" w:hAnsiTheme="minorHAnsi" w:cstheme="minorHAnsi"/>
        </w:rPr>
        <w:t xml:space="preserve"> (73 punktas)</w:t>
      </w:r>
      <w:r w:rsidR="007308DD" w:rsidRPr="007308DD">
        <w:rPr>
          <w:rFonts w:asciiTheme="minorHAnsi" w:hAnsiTheme="minorHAnsi" w:cstheme="minorHAnsi"/>
        </w:rPr>
        <w:t>.</w:t>
      </w:r>
      <w:r w:rsidR="007308DD" w:rsidRPr="007308DD">
        <w:rPr>
          <w:rFonts w:ascii="Arial" w:hAnsi="Arial" w:cs="Arial"/>
          <w:color w:val="000000"/>
          <w:sz w:val="18"/>
          <w:szCs w:val="18"/>
        </w:rPr>
        <w:t xml:space="preserve"> </w:t>
      </w:r>
      <w:r w:rsidR="007308DD">
        <w:rPr>
          <w:rFonts w:ascii="Arial" w:hAnsi="Arial" w:cs="Arial"/>
          <w:color w:val="000000"/>
          <w:sz w:val="18"/>
          <w:szCs w:val="18"/>
        </w:rPr>
        <w:t>A</w:t>
      </w:r>
      <w:r w:rsidR="007308DD" w:rsidRPr="007308DD">
        <w:rPr>
          <w:rFonts w:asciiTheme="minorHAnsi" w:hAnsiTheme="minorHAnsi" w:cstheme="minorHAnsi"/>
        </w:rPr>
        <w:t>smens duomenų tvarkymo operacijos, kurių tikslus ir būdus </w:t>
      </w:r>
      <w:r w:rsidR="007308DD" w:rsidRPr="007308DD">
        <w:rPr>
          <w:rFonts w:asciiTheme="minorHAnsi" w:hAnsiTheme="minorHAnsi" w:cstheme="minorHAnsi"/>
          <w:i/>
          <w:iCs/>
        </w:rPr>
        <w:t>Fashion ID </w:t>
      </w:r>
      <w:r w:rsidR="007308DD" w:rsidRPr="007308DD">
        <w:rPr>
          <w:rFonts w:asciiTheme="minorHAnsi" w:hAnsiTheme="minorHAnsi" w:cstheme="minorHAnsi"/>
        </w:rPr>
        <w:t>gali nustatyti kartu su </w:t>
      </w:r>
      <w:r w:rsidR="007308DD" w:rsidRPr="007308DD">
        <w:rPr>
          <w:rFonts w:asciiTheme="minorHAnsi" w:hAnsiTheme="minorHAnsi" w:cstheme="minorHAnsi"/>
          <w:i/>
          <w:iCs/>
        </w:rPr>
        <w:t>Facebook Ireland</w:t>
      </w:r>
      <w:r w:rsidR="007308DD" w:rsidRPr="007308DD">
        <w:rPr>
          <w:rFonts w:asciiTheme="minorHAnsi" w:hAnsiTheme="minorHAnsi" w:cstheme="minorHAnsi"/>
        </w:rPr>
        <w:t>, yra, atsižvelgiant į Direktyvos 95/46 2 straipsnio b punkte pateiktą sąvokos „asmens duomenų tvarkymas“ apibrėžtį, jos interneto svetainės lankytojų asmens duomenų rinkimas ir perdavimas. Tačiau, remiantis minėta informacija, </w:t>
      </w:r>
      <w:r w:rsidR="007308DD" w:rsidRPr="007308DD">
        <w:rPr>
          <w:rFonts w:asciiTheme="minorHAnsi" w:hAnsiTheme="minorHAnsi" w:cstheme="minorHAnsi"/>
          <w:i/>
          <w:iCs/>
        </w:rPr>
        <w:t>prima facie</w:t>
      </w:r>
      <w:r w:rsidR="007308DD" w:rsidRPr="007308DD">
        <w:rPr>
          <w:rFonts w:asciiTheme="minorHAnsi" w:hAnsiTheme="minorHAnsi" w:cstheme="minorHAnsi"/>
        </w:rPr>
        <w:t> </w:t>
      </w:r>
      <w:r w:rsidR="007308DD" w:rsidRPr="007308DD">
        <w:rPr>
          <w:rFonts w:asciiTheme="minorHAnsi" w:hAnsiTheme="minorHAnsi" w:cstheme="minorHAnsi"/>
          <w:u w:val="single"/>
        </w:rPr>
        <w:t>neatrodo, kad </w:t>
      </w:r>
      <w:r w:rsidR="007308DD" w:rsidRPr="007308DD">
        <w:rPr>
          <w:rFonts w:asciiTheme="minorHAnsi" w:hAnsiTheme="minorHAnsi" w:cstheme="minorHAnsi"/>
          <w:i/>
          <w:iCs/>
          <w:u w:val="single"/>
        </w:rPr>
        <w:t>Fashion ID</w:t>
      </w:r>
      <w:r w:rsidR="007308DD" w:rsidRPr="007308DD">
        <w:rPr>
          <w:rFonts w:asciiTheme="minorHAnsi" w:hAnsiTheme="minorHAnsi" w:cstheme="minorHAnsi"/>
          <w:u w:val="single"/>
        </w:rPr>
        <w:t> nustato vėlesnių asmens duomenų tvarkymo operacijų, kurias atlieka </w:t>
      </w:r>
      <w:r w:rsidR="007308DD" w:rsidRPr="007308DD">
        <w:rPr>
          <w:rFonts w:asciiTheme="minorHAnsi" w:hAnsiTheme="minorHAnsi" w:cstheme="minorHAnsi"/>
          <w:i/>
          <w:iCs/>
          <w:u w:val="single"/>
        </w:rPr>
        <w:t>Facebook Ireland</w:t>
      </w:r>
      <w:r w:rsidR="007308DD" w:rsidRPr="007308DD">
        <w:rPr>
          <w:rFonts w:asciiTheme="minorHAnsi" w:hAnsiTheme="minorHAnsi" w:cstheme="minorHAnsi"/>
          <w:u w:val="single"/>
        </w:rPr>
        <w:t> po to, kai jai perduodami minėti duomenys, tikslus ir būdus, todėl </w:t>
      </w:r>
      <w:r w:rsidR="007308DD" w:rsidRPr="007308DD">
        <w:rPr>
          <w:rFonts w:asciiTheme="minorHAnsi" w:hAnsiTheme="minorHAnsi" w:cstheme="minorHAnsi"/>
          <w:i/>
          <w:iCs/>
          <w:u w:val="single"/>
        </w:rPr>
        <w:t>Fashion ID</w:t>
      </w:r>
      <w:r w:rsidR="007308DD" w:rsidRPr="007308DD">
        <w:rPr>
          <w:rFonts w:asciiTheme="minorHAnsi" w:hAnsiTheme="minorHAnsi" w:cstheme="minorHAnsi"/>
          <w:u w:val="single"/>
        </w:rPr>
        <w:t> neturėtų būti laikoma atsakinga už šias operacijas, kaip tai suprantama pagal šio 2 straipsnio d punktą</w:t>
      </w:r>
      <w:r w:rsidR="007308DD">
        <w:rPr>
          <w:rFonts w:asciiTheme="minorHAnsi" w:hAnsiTheme="minorHAnsi" w:cstheme="minorHAnsi"/>
          <w:u w:val="single"/>
        </w:rPr>
        <w:t xml:space="preserve"> </w:t>
      </w:r>
      <w:r w:rsidR="007308DD" w:rsidRPr="007308DD">
        <w:rPr>
          <w:rFonts w:asciiTheme="minorHAnsi" w:hAnsiTheme="minorHAnsi" w:cstheme="minorHAnsi"/>
        </w:rPr>
        <w:t>(76 punktas).</w:t>
      </w:r>
    </w:p>
    <w:p w:rsidR="00B57BFC" w:rsidRDefault="00B57BFC" w:rsidP="000873EA">
      <w:pPr>
        <w:tabs>
          <w:tab w:val="right" w:leader="dot" w:pos="9639"/>
        </w:tabs>
        <w:ind w:firstLine="567"/>
        <w:rPr>
          <w:rFonts w:asciiTheme="minorHAnsi" w:hAnsiTheme="minorHAnsi" w:cstheme="minorHAnsi"/>
        </w:rPr>
      </w:pPr>
      <w:r w:rsidRPr="00B57BFC">
        <w:rPr>
          <w:rFonts w:asciiTheme="minorHAnsi" w:hAnsiTheme="minorHAnsi" w:cstheme="minorHAnsi"/>
        </w:rPr>
        <w:t> Tai, kad </w:t>
      </w:r>
      <w:r w:rsidRPr="00B57BFC">
        <w:rPr>
          <w:rFonts w:asciiTheme="minorHAnsi" w:hAnsiTheme="minorHAnsi" w:cstheme="minorHAnsi"/>
          <w:i/>
          <w:iCs/>
        </w:rPr>
        <w:t>Fashion ID</w:t>
      </w:r>
      <w:r w:rsidRPr="00B57BFC">
        <w:rPr>
          <w:rFonts w:asciiTheme="minorHAnsi" w:hAnsiTheme="minorHAnsi" w:cstheme="minorHAnsi"/>
        </w:rPr>
        <w:t> integravo socialinį modulį į savo interneto svetainę, reiškia, be kita ko, kad ji padarė lemiamą įtaką minėtos svetainės lankytojų asmens duomenų rinkimui ir perdavimui minėto modulio paslaugų teikėjui, šiuo atveju </w:t>
      </w:r>
      <w:r w:rsidRPr="00B57BFC">
        <w:rPr>
          <w:rFonts w:asciiTheme="minorHAnsi" w:hAnsiTheme="minorHAnsi" w:cstheme="minorHAnsi"/>
          <w:i/>
          <w:iCs/>
        </w:rPr>
        <w:t>Facebook Ireland</w:t>
      </w:r>
      <w:r w:rsidRPr="00B57BFC">
        <w:rPr>
          <w:rFonts w:asciiTheme="minorHAnsi" w:hAnsiTheme="minorHAnsi" w:cstheme="minorHAnsi"/>
        </w:rPr>
        <w:t>, o tai nebūtų įvykę, jei minėtas modulis nebūtų integruotas</w:t>
      </w:r>
      <w:r>
        <w:rPr>
          <w:rFonts w:asciiTheme="minorHAnsi" w:hAnsiTheme="minorHAnsi" w:cstheme="minorHAnsi"/>
        </w:rPr>
        <w:t xml:space="preserve"> (78 punktas)</w:t>
      </w:r>
      <w:r w:rsidRPr="00B57BFC">
        <w:rPr>
          <w:rFonts w:asciiTheme="minorHAnsi" w:hAnsiTheme="minorHAnsi" w:cstheme="minorHAnsi"/>
        </w:rPr>
        <w:t xml:space="preserve">. Tokiomis aplinkybėmis ir su sąlyga, kad prašymą priimti prejudicinį sprendimą pateikęs teismas atliks atitinkamą patikrinimą, </w:t>
      </w:r>
      <w:r w:rsidRPr="000873EA">
        <w:rPr>
          <w:rFonts w:asciiTheme="minorHAnsi" w:hAnsiTheme="minorHAnsi" w:cstheme="minorHAnsi"/>
          <w:u w:val="single"/>
        </w:rPr>
        <w:t>manytina, kad </w:t>
      </w:r>
      <w:r w:rsidRPr="000873EA">
        <w:rPr>
          <w:rFonts w:asciiTheme="minorHAnsi" w:hAnsiTheme="minorHAnsi" w:cstheme="minorHAnsi"/>
          <w:i/>
          <w:iCs/>
          <w:u w:val="single"/>
        </w:rPr>
        <w:t>Facebook Ireland</w:t>
      </w:r>
      <w:r w:rsidRPr="000873EA">
        <w:rPr>
          <w:rFonts w:asciiTheme="minorHAnsi" w:hAnsiTheme="minorHAnsi" w:cstheme="minorHAnsi"/>
          <w:u w:val="single"/>
        </w:rPr>
        <w:t> ir </w:t>
      </w:r>
      <w:r w:rsidRPr="000873EA">
        <w:rPr>
          <w:rFonts w:asciiTheme="minorHAnsi" w:hAnsiTheme="minorHAnsi" w:cstheme="minorHAnsi"/>
          <w:i/>
          <w:iCs/>
          <w:u w:val="single"/>
        </w:rPr>
        <w:t>Fashion ID</w:t>
      </w:r>
      <w:r w:rsidRPr="000873EA">
        <w:rPr>
          <w:rFonts w:asciiTheme="minorHAnsi" w:hAnsiTheme="minorHAnsi" w:cstheme="minorHAnsi"/>
          <w:u w:val="single"/>
        </w:rPr>
        <w:t> kartu nustato </w:t>
      </w:r>
      <w:r w:rsidRPr="000873EA">
        <w:rPr>
          <w:rFonts w:asciiTheme="minorHAnsi" w:hAnsiTheme="minorHAnsi" w:cstheme="minorHAnsi"/>
          <w:i/>
          <w:iCs/>
          <w:u w:val="single"/>
        </w:rPr>
        <w:t>Fashion ID</w:t>
      </w:r>
      <w:r w:rsidRPr="000873EA">
        <w:rPr>
          <w:rFonts w:asciiTheme="minorHAnsi" w:hAnsiTheme="minorHAnsi" w:cstheme="minorHAnsi"/>
          <w:u w:val="single"/>
        </w:rPr>
        <w:t> interneto svetainės lankytojų asmeninių duomenų rinkimo ir perdavimo operacijų būdus</w:t>
      </w:r>
      <w:r>
        <w:rPr>
          <w:rFonts w:asciiTheme="minorHAnsi" w:hAnsiTheme="minorHAnsi" w:cstheme="minorHAnsi"/>
        </w:rPr>
        <w:t xml:space="preserve"> (79 punktas)</w:t>
      </w:r>
      <w:r w:rsidRPr="00B57BFC">
        <w:rPr>
          <w:rFonts w:asciiTheme="minorHAnsi" w:hAnsiTheme="minorHAnsi" w:cstheme="minorHAnsi"/>
        </w:rPr>
        <w:t>.</w:t>
      </w:r>
    </w:p>
    <w:p w:rsidR="00B57BFC" w:rsidRDefault="00B57BFC" w:rsidP="00716972">
      <w:pPr>
        <w:tabs>
          <w:tab w:val="right" w:leader="dot" w:pos="9639"/>
        </w:tabs>
        <w:ind w:firstLine="567"/>
        <w:rPr>
          <w:rFonts w:asciiTheme="minorHAnsi" w:hAnsiTheme="minorHAnsi" w:cstheme="minorHAnsi"/>
        </w:rPr>
      </w:pPr>
      <w:r w:rsidRPr="00B57BFC">
        <w:rPr>
          <w:rFonts w:asciiTheme="minorHAnsi" w:hAnsiTheme="minorHAnsi" w:cstheme="minorHAnsi"/>
        </w:rPr>
        <w:t>Kalbant apie minėtų asmens duomenų tvarkymo operacijų tikslus, matyti, kad, į savo interneto svetainę integravusi </w:t>
      </w:r>
      <w:r w:rsidRPr="00B57BFC">
        <w:rPr>
          <w:rFonts w:asciiTheme="minorHAnsi" w:hAnsiTheme="minorHAnsi" w:cstheme="minorHAnsi"/>
          <w:i/>
          <w:iCs/>
        </w:rPr>
        <w:t>Facebook</w:t>
      </w:r>
      <w:r w:rsidRPr="00B57BFC">
        <w:rPr>
          <w:rFonts w:asciiTheme="minorHAnsi" w:hAnsiTheme="minorHAnsi" w:cstheme="minorHAnsi"/>
        </w:rPr>
        <w:t> mygtuką „Patinka“, </w:t>
      </w:r>
      <w:r w:rsidRPr="00B57BFC">
        <w:rPr>
          <w:rFonts w:asciiTheme="minorHAnsi" w:hAnsiTheme="minorHAnsi" w:cstheme="minorHAnsi"/>
          <w:i/>
          <w:iCs/>
        </w:rPr>
        <w:t>Fashion ID</w:t>
      </w:r>
      <w:r w:rsidRPr="00B57BFC">
        <w:rPr>
          <w:rFonts w:asciiTheme="minorHAnsi" w:hAnsiTheme="minorHAnsi" w:cstheme="minorHAnsi"/>
        </w:rPr>
        <w:t> optimizavo savo produktų, kurie tampa labiau matomi socialiniame tinkle </w:t>
      </w:r>
      <w:r w:rsidRPr="00B57BFC">
        <w:rPr>
          <w:rFonts w:asciiTheme="minorHAnsi" w:hAnsiTheme="minorHAnsi" w:cstheme="minorHAnsi"/>
          <w:i/>
          <w:iCs/>
        </w:rPr>
        <w:t>Facebook</w:t>
      </w:r>
      <w:r w:rsidRPr="00B57BFC">
        <w:rPr>
          <w:rFonts w:asciiTheme="minorHAnsi" w:hAnsiTheme="minorHAnsi" w:cstheme="minorHAnsi"/>
        </w:rPr>
        <w:t>, kai jos interneto svetainės lankytojas paspaudžia minėtą mygtuką, reklamą. Siekdama pasinaudoti šia komercine nauda, kurią sudaro didesnė jos produktų reklama, </w:t>
      </w:r>
      <w:r w:rsidRPr="00B57BFC">
        <w:rPr>
          <w:rFonts w:asciiTheme="minorHAnsi" w:hAnsiTheme="minorHAnsi" w:cstheme="minorHAnsi"/>
          <w:i/>
          <w:iCs/>
        </w:rPr>
        <w:t>Fashion ID</w:t>
      </w:r>
      <w:r w:rsidRPr="00B57BFC">
        <w:rPr>
          <w:rFonts w:asciiTheme="minorHAnsi" w:hAnsiTheme="minorHAnsi" w:cstheme="minorHAnsi"/>
        </w:rPr>
        <w:t> integravo tokį mygtuką savo interneto svetainėje ir, atrodo, bent jau netiesiogiai leido rinkti ir perduoti savo svetainės lankytojų asmens duomenis; šios tvarkymo operacijos ekonomiškai naudingos tiek </w:t>
      </w:r>
      <w:r w:rsidRPr="00B57BFC">
        <w:rPr>
          <w:rFonts w:asciiTheme="minorHAnsi" w:hAnsiTheme="minorHAnsi" w:cstheme="minorHAnsi"/>
          <w:i/>
          <w:iCs/>
        </w:rPr>
        <w:t>Fashion ID</w:t>
      </w:r>
      <w:r w:rsidRPr="00B57BFC">
        <w:rPr>
          <w:rFonts w:asciiTheme="minorHAnsi" w:hAnsiTheme="minorHAnsi" w:cstheme="minorHAnsi"/>
        </w:rPr>
        <w:t>, tiek ir </w:t>
      </w:r>
      <w:r w:rsidRPr="00B57BFC">
        <w:rPr>
          <w:rFonts w:asciiTheme="minorHAnsi" w:hAnsiTheme="minorHAnsi" w:cstheme="minorHAnsi"/>
          <w:i/>
          <w:iCs/>
        </w:rPr>
        <w:t>Facebook Ireland</w:t>
      </w:r>
      <w:r w:rsidRPr="00B57BFC">
        <w:rPr>
          <w:rFonts w:asciiTheme="minorHAnsi" w:hAnsiTheme="minorHAnsi" w:cstheme="minorHAnsi"/>
        </w:rPr>
        <w:t>, kuriai galimybė naudotis šiais duomenimis savo komerciniais tikslais yra atlygis už </w:t>
      </w:r>
      <w:r w:rsidRPr="00B57BFC">
        <w:rPr>
          <w:rFonts w:asciiTheme="minorHAnsi" w:hAnsiTheme="minorHAnsi" w:cstheme="minorHAnsi"/>
          <w:i/>
          <w:iCs/>
        </w:rPr>
        <w:t>Fashion ID</w:t>
      </w:r>
      <w:r w:rsidRPr="00B57BFC">
        <w:rPr>
          <w:rFonts w:asciiTheme="minorHAnsi" w:hAnsiTheme="minorHAnsi" w:cstheme="minorHAnsi"/>
        </w:rPr>
        <w:t> gautą naudą</w:t>
      </w:r>
      <w:r>
        <w:rPr>
          <w:rFonts w:asciiTheme="minorHAnsi" w:hAnsiTheme="minorHAnsi" w:cstheme="minorHAnsi"/>
        </w:rPr>
        <w:t xml:space="preserve"> (80 punktas)</w:t>
      </w:r>
      <w:r w:rsidRPr="00B57BFC">
        <w:rPr>
          <w:rFonts w:asciiTheme="minorHAnsi" w:hAnsiTheme="minorHAnsi" w:cstheme="minorHAnsi"/>
        </w:rPr>
        <w:t>.</w:t>
      </w:r>
      <w:r w:rsidR="000873EA">
        <w:rPr>
          <w:rFonts w:asciiTheme="minorHAnsi" w:hAnsiTheme="minorHAnsi" w:cstheme="minorHAnsi"/>
        </w:rPr>
        <w:t xml:space="preserve"> </w:t>
      </w:r>
      <w:r w:rsidRPr="00B57BFC">
        <w:rPr>
          <w:rFonts w:asciiTheme="minorHAnsi" w:hAnsiTheme="minorHAnsi" w:cstheme="minorHAnsi"/>
        </w:rPr>
        <w:t>Tokioms aplinkybėms gali būti manoma su sąlyga, kad prašymą priimti prejudicinį sprendimą pateikęs teismas atliks atitinkamą patikrinimą, kad </w:t>
      </w:r>
      <w:r w:rsidRPr="000873EA">
        <w:rPr>
          <w:rFonts w:asciiTheme="minorHAnsi" w:hAnsiTheme="minorHAnsi" w:cstheme="minorHAnsi"/>
          <w:i/>
          <w:iCs/>
          <w:u w:val="single"/>
        </w:rPr>
        <w:t>Fashion ID</w:t>
      </w:r>
      <w:r w:rsidRPr="000873EA">
        <w:rPr>
          <w:rFonts w:asciiTheme="minorHAnsi" w:hAnsiTheme="minorHAnsi" w:cstheme="minorHAnsi"/>
          <w:u w:val="single"/>
        </w:rPr>
        <w:t> ir </w:t>
      </w:r>
      <w:r w:rsidRPr="000873EA">
        <w:rPr>
          <w:rFonts w:asciiTheme="minorHAnsi" w:hAnsiTheme="minorHAnsi" w:cstheme="minorHAnsi"/>
          <w:i/>
          <w:iCs/>
          <w:u w:val="single"/>
        </w:rPr>
        <w:t>Facebook Ireland</w:t>
      </w:r>
      <w:r w:rsidRPr="000873EA">
        <w:rPr>
          <w:rFonts w:asciiTheme="minorHAnsi" w:hAnsiTheme="minorHAnsi" w:cstheme="minorHAnsi"/>
          <w:u w:val="single"/>
        </w:rPr>
        <w:t> kartu nustato pagrindinėje byloje nagrinėjamų asmens duomenų rinkimo ir perdavimo operacijų tikslus</w:t>
      </w:r>
      <w:r w:rsidR="00F6450E">
        <w:rPr>
          <w:rFonts w:asciiTheme="minorHAnsi" w:hAnsiTheme="minorHAnsi" w:cstheme="minorHAnsi"/>
        </w:rPr>
        <w:t xml:space="preserve"> (81 punktas)</w:t>
      </w:r>
      <w:r w:rsidRPr="00B57BFC">
        <w:rPr>
          <w:rFonts w:asciiTheme="minorHAnsi" w:hAnsiTheme="minorHAnsi" w:cstheme="minorHAnsi"/>
        </w:rPr>
        <w:t>.</w:t>
      </w:r>
    </w:p>
    <w:p w:rsidR="00173517" w:rsidRDefault="00173517" w:rsidP="00716972">
      <w:pPr>
        <w:tabs>
          <w:tab w:val="right" w:leader="dot" w:pos="9639"/>
        </w:tabs>
        <w:ind w:firstLine="567"/>
        <w:rPr>
          <w:rFonts w:asciiTheme="minorHAnsi" w:hAnsiTheme="minorHAnsi" w:cstheme="minorHAnsi"/>
        </w:rPr>
      </w:pPr>
      <w:r>
        <w:rPr>
          <w:rFonts w:asciiTheme="minorHAnsi" w:hAnsiTheme="minorHAnsi" w:cstheme="minorHAnsi"/>
        </w:rPr>
        <w:t>Pabrėžta</w:t>
      </w:r>
      <w:r w:rsidRPr="00173517">
        <w:rPr>
          <w:rFonts w:asciiTheme="minorHAnsi" w:hAnsiTheme="minorHAnsi" w:cstheme="minorHAnsi"/>
        </w:rPr>
        <w:t>, kad interneto svetainėje, kaip antai </w:t>
      </w:r>
      <w:r w:rsidRPr="00173517">
        <w:rPr>
          <w:rFonts w:asciiTheme="minorHAnsi" w:hAnsiTheme="minorHAnsi" w:cstheme="minorHAnsi"/>
          <w:i/>
          <w:iCs/>
        </w:rPr>
        <w:t>Fashion ID</w:t>
      </w:r>
      <w:r w:rsidRPr="00173517">
        <w:rPr>
          <w:rFonts w:asciiTheme="minorHAnsi" w:hAnsiTheme="minorHAnsi" w:cstheme="minorHAnsi"/>
        </w:rPr>
        <w:t> interneto svetainėje, lankosi tiek asmenys, kurie yra socialinio tinklo </w:t>
      </w:r>
      <w:r w:rsidRPr="00173517">
        <w:rPr>
          <w:rFonts w:asciiTheme="minorHAnsi" w:hAnsiTheme="minorHAnsi" w:cstheme="minorHAnsi"/>
          <w:i/>
          <w:iCs/>
        </w:rPr>
        <w:t>Facebook</w:t>
      </w:r>
      <w:r w:rsidRPr="00173517">
        <w:rPr>
          <w:rFonts w:asciiTheme="minorHAnsi" w:hAnsiTheme="minorHAnsi" w:cstheme="minorHAnsi"/>
        </w:rPr>
        <w:t> nariai, turintys paskyrą šiame socialiniame tinkle, tiek ir asmenys, kurie tokios paskyros neturi. Pastaruoju atveju interneto svetainės administratoriaus, kaip antai </w:t>
      </w:r>
      <w:r w:rsidRPr="00173517">
        <w:rPr>
          <w:rFonts w:asciiTheme="minorHAnsi" w:hAnsiTheme="minorHAnsi" w:cstheme="minorHAnsi"/>
          <w:i/>
          <w:iCs/>
        </w:rPr>
        <w:t>Fashion ID</w:t>
      </w:r>
      <w:r w:rsidRPr="00173517">
        <w:rPr>
          <w:rFonts w:asciiTheme="minorHAnsi" w:hAnsiTheme="minorHAnsi" w:cstheme="minorHAnsi"/>
        </w:rPr>
        <w:t>, atsakomybė už šių asmenų duomenų tvarkymą yra dar didesnė, nes atrodo, kad vien tik apsilankius tokioje svetainėje, kurioje yra </w:t>
      </w:r>
      <w:r w:rsidRPr="00173517">
        <w:rPr>
          <w:rFonts w:asciiTheme="minorHAnsi" w:hAnsiTheme="minorHAnsi" w:cstheme="minorHAnsi"/>
          <w:i/>
          <w:iCs/>
        </w:rPr>
        <w:t>Facebook</w:t>
      </w:r>
      <w:r w:rsidRPr="00173517">
        <w:rPr>
          <w:rFonts w:asciiTheme="minorHAnsi" w:hAnsiTheme="minorHAnsi" w:cstheme="minorHAnsi"/>
        </w:rPr>
        <w:t> mygtukas „Patinka“, </w:t>
      </w:r>
      <w:r w:rsidRPr="00173517">
        <w:rPr>
          <w:rFonts w:asciiTheme="minorHAnsi" w:hAnsiTheme="minorHAnsi" w:cstheme="minorHAnsi"/>
          <w:i/>
          <w:iCs/>
        </w:rPr>
        <w:t>Facebook Ireland </w:t>
      </w:r>
      <w:r w:rsidRPr="00173517">
        <w:rPr>
          <w:rFonts w:asciiTheme="minorHAnsi" w:hAnsiTheme="minorHAnsi" w:cstheme="minorHAnsi"/>
        </w:rPr>
        <w:t>pradeda jų asmens duomenų tvarkymą (šiuo klausimu žr. 2018 m. birželio 5 d. Sprendimo </w:t>
      </w:r>
      <w:r w:rsidRPr="00173517">
        <w:rPr>
          <w:rFonts w:asciiTheme="minorHAnsi" w:hAnsiTheme="minorHAnsi" w:cstheme="minorHAnsi"/>
          <w:i/>
          <w:iCs/>
        </w:rPr>
        <w:t>Wirtschaftsakademie Schleswig-Holstein</w:t>
      </w:r>
      <w:r w:rsidRPr="00173517">
        <w:rPr>
          <w:rFonts w:asciiTheme="minorHAnsi" w:hAnsiTheme="minorHAnsi" w:cstheme="minorHAnsi"/>
        </w:rPr>
        <w:t>, C</w:t>
      </w:r>
      <w:r w:rsidRPr="00173517">
        <w:rPr>
          <w:rFonts w:asciiTheme="minorHAnsi" w:hAnsiTheme="minorHAnsi" w:cstheme="minorHAnsi"/>
        </w:rPr>
        <w:noBreakHyphen/>
        <w:t>210/16, EU:C:2018:388, 41 punktą)</w:t>
      </w:r>
      <w:r>
        <w:rPr>
          <w:rFonts w:asciiTheme="minorHAnsi" w:hAnsiTheme="minorHAnsi" w:cstheme="minorHAnsi"/>
        </w:rPr>
        <w:t xml:space="preserve"> (83 punktas)</w:t>
      </w:r>
      <w:r w:rsidRPr="00173517">
        <w:rPr>
          <w:rFonts w:asciiTheme="minorHAnsi" w:hAnsiTheme="minorHAnsi" w:cstheme="minorHAnsi"/>
        </w:rPr>
        <w:t>.</w:t>
      </w:r>
    </w:p>
    <w:p w:rsidR="00173517" w:rsidRDefault="00173517" w:rsidP="00716972">
      <w:pPr>
        <w:tabs>
          <w:tab w:val="right" w:leader="dot" w:pos="9639"/>
        </w:tabs>
        <w:ind w:firstLine="567"/>
        <w:rPr>
          <w:rFonts w:asciiTheme="minorHAnsi" w:hAnsiTheme="minorHAnsi" w:cstheme="minorHAnsi"/>
        </w:rPr>
      </w:pPr>
      <w:r w:rsidRPr="00173517">
        <w:rPr>
          <w:rFonts w:asciiTheme="minorHAnsi" w:hAnsiTheme="minorHAnsi" w:cstheme="minorHAnsi"/>
        </w:rPr>
        <w:t> </w:t>
      </w:r>
      <w:r>
        <w:rPr>
          <w:rFonts w:asciiTheme="minorHAnsi" w:hAnsiTheme="minorHAnsi" w:cstheme="minorHAnsi"/>
        </w:rPr>
        <w:t>Padaryta išvada</w:t>
      </w:r>
      <w:r w:rsidRPr="00173517">
        <w:rPr>
          <w:rFonts w:asciiTheme="minorHAnsi" w:hAnsiTheme="minorHAnsi" w:cstheme="minorHAnsi"/>
        </w:rPr>
        <w:t>, kad </w:t>
      </w:r>
      <w:r w:rsidRPr="00173517">
        <w:rPr>
          <w:rFonts w:asciiTheme="minorHAnsi" w:hAnsiTheme="minorHAnsi" w:cstheme="minorHAnsi"/>
          <w:i/>
          <w:iCs/>
          <w:u w:val="single"/>
        </w:rPr>
        <w:t>Fashion ID</w:t>
      </w:r>
      <w:r w:rsidRPr="00173517">
        <w:rPr>
          <w:rFonts w:asciiTheme="minorHAnsi" w:hAnsiTheme="minorHAnsi" w:cstheme="minorHAnsi"/>
          <w:u w:val="single"/>
        </w:rPr>
        <w:t> kartu su </w:t>
      </w:r>
      <w:r w:rsidRPr="00173517">
        <w:rPr>
          <w:rFonts w:asciiTheme="minorHAnsi" w:hAnsiTheme="minorHAnsi" w:cstheme="minorHAnsi"/>
          <w:i/>
          <w:iCs/>
          <w:u w:val="single"/>
        </w:rPr>
        <w:t>Facebook Ireland</w:t>
      </w:r>
      <w:r w:rsidRPr="00173517">
        <w:rPr>
          <w:rFonts w:asciiTheme="minorHAnsi" w:hAnsiTheme="minorHAnsi" w:cstheme="minorHAnsi"/>
          <w:u w:val="single"/>
        </w:rPr>
        <w:t> gali būti laikoma atsakinga, kaip tai apibrėžta Direktyvos 95/46 2 straipsnio d punkte, už jos interneto svetainės lankytojų asmens duomenų rinkimo ir perdavimo operacijas</w:t>
      </w:r>
      <w:r>
        <w:rPr>
          <w:rFonts w:asciiTheme="minorHAnsi" w:hAnsiTheme="minorHAnsi" w:cstheme="minorHAnsi"/>
          <w:u w:val="single"/>
        </w:rPr>
        <w:t xml:space="preserve"> </w:t>
      </w:r>
      <w:r w:rsidRPr="00173517">
        <w:rPr>
          <w:rFonts w:asciiTheme="minorHAnsi" w:hAnsiTheme="minorHAnsi" w:cstheme="minorHAnsi"/>
        </w:rPr>
        <w:t>(84 punktas).</w:t>
      </w:r>
    </w:p>
    <w:p w:rsidR="00296828" w:rsidRDefault="00296828" w:rsidP="00296828">
      <w:pPr>
        <w:tabs>
          <w:tab w:val="right" w:leader="dot" w:pos="9639"/>
        </w:tabs>
        <w:ind w:firstLine="567"/>
        <w:rPr>
          <w:rFonts w:asciiTheme="minorHAnsi" w:hAnsiTheme="minorHAnsi" w:cstheme="minorHAnsi"/>
        </w:rPr>
      </w:pPr>
    </w:p>
    <w:p w:rsidR="00296828" w:rsidRDefault="00296828" w:rsidP="00296828">
      <w:pPr>
        <w:pStyle w:val="Heading3"/>
        <w:ind w:firstLine="567"/>
        <w:rPr>
          <w:rFonts w:cstheme="minorHAnsi"/>
          <w:bCs w:val="0"/>
          <w:color w:val="000000" w:themeColor="text1"/>
        </w:rPr>
      </w:pPr>
      <w:bookmarkStart w:id="79" w:name="_Toc21941976"/>
      <w:r w:rsidRPr="00193B93">
        <w:rPr>
          <w:rFonts w:cstheme="minorHAnsi"/>
          <w:bCs w:val="0"/>
          <w:color w:val="000000" w:themeColor="text1"/>
        </w:rPr>
        <w:t xml:space="preserve">Dėl </w:t>
      </w:r>
      <w:r w:rsidRPr="00296828">
        <w:rPr>
          <w:rFonts w:cstheme="minorHAnsi"/>
        </w:rPr>
        <w:t>interneto svetainės administratori</w:t>
      </w:r>
      <w:r>
        <w:rPr>
          <w:rFonts w:cstheme="minorHAnsi"/>
        </w:rPr>
        <w:t>a</w:t>
      </w:r>
      <w:r w:rsidRPr="00296828">
        <w:rPr>
          <w:rFonts w:cstheme="minorHAnsi"/>
        </w:rPr>
        <w:t>us</w:t>
      </w:r>
      <w:r>
        <w:rPr>
          <w:rFonts w:cstheme="minorHAnsi"/>
        </w:rPr>
        <w:t xml:space="preserve"> pareigos tvarkymo operacijomis siekti </w:t>
      </w:r>
      <w:r w:rsidRPr="00296828">
        <w:rPr>
          <w:rFonts w:cstheme="minorHAnsi"/>
        </w:rPr>
        <w:t>teisėt</w:t>
      </w:r>
      <w:r>
        <w:rPr>
          <w:rFonts w:cstheme="minorHAnsi"/>
        </w:rPr>
        <w:t>ų</w:t>
      </w:r>
      <w:r w:rsidRPr="00296828">
        <w:rPr>
          <w:rFonts w:cstheme="minorHAnsi"/>
        </w:rPr>
        <w:t xml:space="preserve"> interes</w:t>
      </w:r>
      <w:r>
        <w:rPr>
          <w:rFonts w:cstheme="minorHAnsi"/>
        </w:rPr>
        <w:t>ų</w:t>
      </w:r>
      <w:bookmarkEnd w:id="79"/>
    </w:p>
    <w:p w:rsidR="00296828" w:rsidRPr="00024C28" w:rsidRDefault="00296828" w:rsidP="00296828"/>
    <w:p w:rsidR="00296828" w:rsidRDefault="00296828" w:rsidP="00296828">
      <w:pPr>
        <w:tabs>
          <w:tab w:val="right" w:leader="dot" w:pos="9639"/>
        </w:tabs>
        <w:ind w:firstLine="567"/>
        <w:rPr>
          <w:rFonts w:asciiTheme="minorHAnsi" w:hAnsiTheme="minorHAnsi" w:cstheme="minorHAnsi"/>
        </w:rPr>
      </w:pPr>
      <w:r w:rsidRPr="00296828">
        <w:rPr>
          <w:rFonts w:asciiTheme="minorHAnsi" w:hAnsiTheme="minorHAnsi" w:cstheme="minorHAnsi"/>
        </w:rPr>
        <w:t>Ketvirtuoju klausimu prašymą priimti prejudicinį sprendimą p</w:t>
      </w:r>
      <w:r w:rsidR="00503293">
        <w:rPr>
          <w:rFonts w:asciiTheme="minorHAnsi" w:hAnsiTheme="minorHAnsi" w:cstheme="minorHAnsi"/>
        </w:rPr>
        <w:t>ateikęs teismas iš esmės klausė</w:t>
      </w:r>
      <w:r w:rsidRPr="00296828">
        <w:rPr>
          <w:rFonts w:asciiTheme="minorHAnsi" w:hAnsiTheme="minorHAnsi" w:cstheme="minorHAnsi"/>
        </w:rPr>
        <w:t>, ar tokioje situacijoje, kokia nagrinėjama pagrindinėje byloje, kai interneto svetainės administratorius į minėtą svetainę integruoja socialinį modulį, leidžiantį šios svetainės lankytojo naršyklei prašyti minėto modulio teikėjo turinio ir perduoti šiam teikėjui lankytojo asmens duomenis, taikant Direktyvos 95/46 7 straipsnio f punktą turi būti atsižvelgta į to administratoriaus teisėtą interesą arba minėto teikėjo teisėtą interesą</w:t>
      </w:r>
      <w:r>
        <w:rPr>
          <w:rFonts w:asciiTheme="minorHAnsi" w:hAnsiTheme="minorHAnsi" w:cstheme="minorHAnsi"/>
        </w:rPr>
        <w:t xml:space="preserve"> (87 punktas)</w:t>
      </w:r>
      <w:r w:rsidRPr="00296828">
        <w:rPr>
          <w:rFonts w:asciiTheme="minorHAnsi" w:hAnsiTheme="minorHAnsi" w:cstheme="minorHAnsi"/>
        </w:rPr>
        <w:t>.</w:t>
      </w:r>
    </w:p>
    <w:p w:rsidR="00296828" w:rsidRDefault="00296828" w:rsidP="00296828">
      <w:pPr>
        <w:tabs>
          <w:tab w:val="right" w:leader="dot" w:pos="9639"/>
        </w:tabs>
        <w:ind w:firstLine="567"/>
        <w:rPr>
          <w:rFonts w:asciiTheme="minorHAnsi" w:hAnsiTheme="minorHAnsi" w:cstheme="minorHAnsi"/>
        </w:rPr>
      </w:pPr>
      <w:r>
        <w:rPr>
          <w:rFonts w:asciiTheme="minorHAnsi" w:hAnsiTheme="minorHAnsi" w:cstheme="minorHAnsi"/>
        </w:rPr>
        <w:t>Primint</w:t>
      </w:r>
      <w:r w:rsidRPr="00296828">
        <w:rPr>
          <w:rFonts w:asciiTheme="minorHAnsi" w:hAnsiTheme="minorHAnsi" w:cstheme="minorHAnsi"/>
        </w:rPr>
        <w:t xml:space="preserve">a, kad pagal Direktyvos 95/46 II skyriaus „Bendrosios asmens duomenų tvarkymo teisėtumo taisyklės“ nuostatas, atsižvelgiant į pagal šios direktyvos 13 straipsnį leidžiamas išimtis, </w:t>
      </w:r>
      <w:r w:rsidRPr="00296828">
        <w:rPr>
          <w:rFonts w:asciiTheme="minorHAnsi" w:hAnsiTheme="minorHAnsi" w:cstheme="minorHAnsi"/>
          <w:u w:val="single"/>
        </w:rPr>
        <w:t>bet koks asmens duomenų tvarkymas turi, be kita ko, atitikti vieną iš minėtos direktyvos 7 straipsnyje išvardytų duomenų tvarkymo teisėtumo principų</w:t>
      </w:r>
      <w:r w:rsidRPr="00296828">
        <w:rPr>
          <w:rFonts w:asciiTheme="minorHAnsi" w:hAnsiTheme="minorHAnsi" w:cstheme="minorHAnsi"/>
        </w:rPr>
        <w:t xml:space="preserve"> (šiuo klausimu žr. 2014 m. gegužės 13 d. Sprendimo </w:t>
      </w:r>
      <w:r w:rsidRPr="00296828">
        <w:rPr>
          <w:rFonts w:asciiTheme="minorHAnsi" w:hAnsiTheme="minorHAnsi" w:cstheme="minorHAnsi"/>
          <w:i/>
          <w:iCs/>
        </w:rPr>
        <w:t>Google Spain ir Google</w:t>
      </w:r>
      <w:r w:rsidRPr="00296828">
        <w:rPr>
          <w:rFonts w:asciiTheme="minorHAnsi" w:hAnsiTheme="minorHAnsi" w:cstheme="minorHAnsi"/>
        </w:rPr>
        <w:t>, C</w:t>
      </w:r>
      <w:r w:rsidRPr="00296828">
        <w:rPr>
          <w:rFonts w:asciiTheme="minorHAnsi" w:hAnsiTheme="minorHAnsi" w:cstheme="minorHAnsi"/>
        </w:rPr>
        <w:noBreakHyphen/>
        <w:t>131/12, EU:C:2014:317, 71 punktą ir 2015 m. spalio 1 d. Sprendimo </w:t>
      </w:r>
      <w:r w:rsidRPr="00296828">
        <w:rPr>
          <w:rFonts w:asciiTheme="minorHAnsi" w:hAnsiTheme="minorHAnsi" w:cstheme="minorHAnsi"/>
          <w:i/>
          <w:iCs/>
        </w:rPr>
        <w:t>Bara ir kt.</w:t>
      </w:r>
      <w:r w:rsidRPr="00296828">
        <w:rPr>
          <w:rFonts w:asciiTheme="minorHAnsi" w:hAnsiTheme="minorHAnsi" w:cstheme="minorHAnsi"/>
        </w:rPr>
        <w:t>, C</w:t>
      </w:r>
      <w:r w:rsidRPr="00296828">
        <w:rPr>
          <w:rFonts w:asciiTheme="minorHAnsi" w:hAnsiTheme="minorHAnsi" w:cstheme="minorHAnsi"/>
        </w:rPr>
        <w:noBreakHyphen/>
        <w:t>201/14, EU:C:2015:638, 30 punktą)</w:t>
      </w:r>
      <w:r>
        <w:rPr>
          <w:rFonts w:asciiTheme="minorHAnsi" w:hAnsiTheme="minorHAnsi" w:cstheme="minorHAnsi"/>
        </w:rPr>
        <w:t xml:space="preserve"> (93 punktas)</w:t>
      </w:r>
      <w:r w:rsidRPr="00296828">
        <w:rPr>
          <w:rFonts w:asciiTheme="minorHAnsi" w:hAnsiTheme="minorHAnsi" w:cstheme="minorHAnsi"/>
        </w:rPr>
        <w:t>.</w:t>
      </w:r>
    </w:p>
    <w:p w:rsidR="00296828" w:rsidRDefault="00296828" w:rsidP="00296828">
      <w:pPr>
        <w:tabs>
          <w:tab w:val="right" w:leader="dot" w:pos="9639"/>
        </w:tabs>
        <w:ind w:firstLine="567"/>
        <w:rPr>
          <w:rFonts w:asciiTheme="minorHAnsi" w:hAnsiTheme="minorHAnsi" w:cstheme="minorHAnsi"/>
        </w:rPr>
      </w:pPr>
      <w:r w:rsidRPr="00296828">
        <w:rPr>
          <w:rFonts w:asciiTheme="minorHAnsi" w:hAnsiTheme="minorHAnsi" w:cstheme="minorHAnsi"/>
        </w:rPr>
        <w:t> Direktyvos 95/46 7 straipsnio f punkte numatytos trys kumuliacinės sąlygos, kad asmens duomenų tvarkymas būtų teisėtas, t. y. pirma, jei tvarkyti asmens duomenis reikia dėl teisėtų interesų, kurių siekia duomenų valdytojas arba trečioji šalis (trečiosios šalys), kuriai (kurioms) atskleidžiami duomenys, antra, kai asmens duomenis tvarkyti būtina siekiant įgyvendinti teisėtą interesą, trečia, kai duomenų subjekto pagrindinės teisės ir laisvės nėra viršesnės nei šie interesai (2017 m. gegužės 4 d. Sprendimo </w:t>
      </w:r>
      <w:r w:rsidRPr="00296828">
        <w:rPr>
          <w:rFonts w:asciiTheme="minorHAnsi" w:hAnsiTheme="minorHAnsi" w:cstheme="minorHAnsi"/>
          <w:i/>
          <w:iCs/>
        </w:rPr>
        <w:t>Rīgas satiksme</w:t>
      </w:r>
      <w:r w:rsidRPr="00296828">
        <w:rPr>
          <w:rFonts w:asciiTheme="minorHAnsi" w:hAnsiTheme="minorHAnsi" w:cstheme="minorHAnsi"/>
        </w:rPr>
        <w:t>, C</w:t>
      </w:r>
      <w:r w:rsidRPr="00296828">
        <w:rPr>
          <w:rFonts w:asciiTheme="minorHAnsi" w:hAnsiTheme="minorHAnsi" w:cstheme="minorHAnsi"/>
        </w:rPr>
        <w:noBreakHyphen/>
        <w:t>13/16, EU:C:2017:336, 28 punktas)</w:t>
      </w:r>
      <w:r>
        <w:rPr>
          <w:rFonts w:asciiTheme="minorHAnsi" w:hAnsiTheme="minorHAnsi" w:cstheme="minorHAnsi"/>
        </w:rPr>
        <w:t xml:space="preserve"> (95 punktas)</w:t>
      </w:r>
      <w:r w:rsidRPr="00296828">
        <w:rPr>
          <w:rFonts w:asciiTheme="minorHAnsi" w:hAnsiTheme="minorHAnsi" w:cstheme="minorHAnsi"/>
        </w:rPr>
        <w:t>.</w:t>
      </w:r>
    </w:p>
    <w:p w:rsidR="00296828" w:rsidRDefault="00296828" w:rsidP="00296828">
      <w:pPr>
        <w:tabs>
          <w:tab w:val="right" w:leader="dot" w:pos="9639"/>
        </w:tabs>
        <w:ind w:firstLine="567"/>
        <w:rPr>
          <w:rFonts w:asciiTheme="minorHAnsi" w:hAnsiTheme="minorHAnsi" w:cstheme="minorHAnsi"/>
        </w:rPr>
      </w:pPr>
      <w:r w:rsidRPr="00296828">
        <w:rPr>
          <w:rFonts w:asciiTheme="minorHAnsi" w:hAnsiTheme="minorHAnsi" w:cstheme="minorHAnsi"/>
        </w:rPr>
        <w:t xml:space="preserve"> Kadangi, atsižvelgiant į atsakymą į antrąjį klausimą, atrodo, jog esant tokiai situacijai, kokia nagrinėjama pagrindinėje byloje, interneto svetainės administratorius, kuris į minėtą svetainę integruoja socialinį modulį, leidžiantį šios svetainės lankytojo naršyklei prašyti minėto modulio teikėjo turinio ir perduoti šiam teikėjui lankytojo asmens duomenis, kartu su tuo tiekėju gali būti laikomas atsakingu už jo interneto svetainės lankytojų asmens duomenų tvarkymo operacijas, t. y. duomenų rinkimą ir perdavimą, </w:t>
      </w:r>
      <w:r w:rsidRPr="00296828">
        <w:rPr>
          <w:rFonts w:asciiTheme="minorHAnsi" w:hAnsiTheme="minorHAnsi" w:cstheme="minorHAnsi"/>
          <w:u w:val="single"/>
        </w:rPr>
        <w:t>kiekvienas iš šių atsakingų asmenų šiomis tvarkymo operacijomis turi siekti teisėtų interesų, kaip apibrėžta Direktyvos 95/46 7 straipsnio f punkte, kad tokios operacijos galėtų būti pagrįstos šiuo atžvilgiu</w:t>
      </w:r>
      <w:r>
        <w:rPr>
          <w:rFonts w:asciiTheme="minorHAnsi" w:hAnsiTheme="minorHAnsi" w:cstheme="minorHAnsi"/>
        </w:rPr>
        <w:t xml:space="preserve"> (96 punktas)</w:t>
      </w:r>
      <w:r w:rsidRPr="00296828">
        <w:rPr>
          <w:rFonts w:asciiTheme="minorHAnsi" w:hAnsiTheme="minorHAnsi" w:cstheme="minorHAnsi"/>
        </w:rPr>
        <w:t>.</w:t>
      </w:r>
    </w:p>
    <w:p w:rsidR="00296828" w:rsidRDefault="00296828" w:rsidP="00296828">
      <w:pPr>
        <w:tabs>
          <w:tab w:val="right" w:leader="dot" w:pos="9639"/>
        </w:tabs>
        <w:ind w:firstLine="567"/>
        <w:rPr>
          <w:rFonts w:asciiTheme="minorHAnsi" w:hAnsiTheme="minorHAnsi" w:cstheme="minorHAnsi"/>
        </w:rPr>
      </w:pPr>
    </w:p>
    <w:p w:rsidR="00750406" w:rsidRDefault="00750406" w:rsidP="00750406">
      <w:pPr>
        <w:pStyle w:val="Heading3"/>
        <w:ind w:firstLine="567"/>
        <w:rPr>
          <w:rFonts w:cstheme="minorHAnsi"/>
          <w:bCs w:val="0"/>
          <w:color w:val="000000" w:themeColor="text1"/>
        </w:rPr>
      </w:pPr>
      <w:bookmarkStart w:id="80" w:name="_Toc21941977"/>
      <w:r w:rsidRPr="00193B93">
        <w:rPr>
          <w:rFonts w:cstheme="minorHAnsi"/>
          <w:bCs w:val="0"/>
          <w:color w:val="000000" w:themeColor="text1"/>
        </w:rPr>
        <w:t xml:space="preserve">Dėl </w:t>
      </w:r>
      <w:r w:rsidR="00B33B1F" w:rsidRPr="00B33B1F">
        <w:rPr>
          <w:rFonts w:cstheme="minorHAnsi"/>
          <w:bCs w:val="0"/>
          <w:color w:val="000000" w:themeColor="text1"/>
        </w:rPr>
        <w:t>interneto svetainės administratori</w:t>
      </w:r>
      <w:r w:rsidR="00B33B1F">
        <w:rPr>
          <w:rFonts w:cstheme="minorHAnsi"/>
          <w:bCs w:val="0"/>
          <w:color w:val="000000" w:themeColor="text1"/>
        </w:rPr>
        <w:t>a</w:t>
      </w:r>
      <w:r w:rsidR="00B33B1F" w:rsidRPr="00B33B1F">
        <w:rPr>
          <w:rFonts w:cstheme="minorHAnsi"/>
          <w:bCs w:val="0"/>
          <w:color w:val="000000" w:themeColor="text1"/>
        </w:rPr>
        <w:t xml:space="preserve">us </w:t>
      </w:r>
      <w:r w:rsidR="00B33B1F">
        <w:rPr>
          <w:rFonts w:cstheme="minorHAnsi"/>
          <w:bCs w:val="0"/>
          <w:color w:val="000000" w:themeColor="text1"/>
        </w:rPr>
        <w:t>pareigos</w:t>
      </w:r>
      <w:r w:rsidR="00B33B1F" w:rsidRPr="00B33B1F">
        <w:rPr>
          <w:rFonts w:cstheme="minorHAnsi"/>
          <w:bCs w:val="0"/>
          <w:color w:val="000000" w:themeColor="text1"/>
        </w:rPr>
        <w:t xml:space="preserve"> gauti </w:t>
      </w:r>
      <w:r w:rsidR="00B33B1F">
        <w:rPr>
          <w:rFonts w:cstheme="minorHAnsi"/>
          <w:bCs w:val="0"/>
          <w:color w:val="000000" w:themeColor="text1"/>
        </w:rPr>
        <w:t xml:space="preserve">sutikimą </w:t>
      </w:r>
      <w:r w:rsidR="00B33B1F" w:rsidRPr="00B33B1F">
        <w:rPr>
          <w:rFonts w:cstheme="minorHAnsi"/>
          <w:bCs w:val="0"/>
          <w:color w:val="000000" w:themeColor="text1"/>
        </w:rPr>
        <w:t>tik dėl asmens duomenų tvarkymo operacijos ar operacijų rinkinio, kurių tikslus ir būdus minėtas administratorius realiai nustato</w:t>
      </w:r>
      <w:bookmarkEnd w:id="80"/>
    </w:p>
    <w:p w:rsidR="00750406" w:rsidRPr="00024C28" w:rsidRDefault="00750406" w:rsidP="00750406"/>
    <w:p w:rsidR="00750406" w:rsidRDefault="00EE7786" w:rsidP="00750406">
      <w:pPr>
        <w:tabs>
          <w:tab w:val="right" w:leader="dot" w:pos="9639"/>
        </w:tabs>
        <w:ind w:firstLine="567"/>
        <w:rPr>
          <w:rFonts w:asciiTheme="minorHAnsi" w:hAnsiTheme="minorHAnsi" w:cstheme="minorHAnsi"/>
        </w:rPr>
      </w:pPr>
      <w:r w:rsidRPr="00EE7786">
        <w:rPr>
          <w:rFonts w:asciiTheme="minorHAnsi" w:hAnsiTheme="minorHAnsi" w:cstheme="minorHAnsi"/>
        </w:rPr>
        <w:t> Prašymą priimti prejudicinį sprendimą pateikęs teismas savo penktuoju ir šeštuoju klausimu</w:t>
      </w:r>
      <w:r w:rsidR="00503293">
        <w:rPr>
          <w:rFonts w:asciiTheme="minorHAnsi" w:hAnsiTheme="minorHAnsi" w:cstheme="minorHAnsi"/>
        </w:rPr>
        <w:t xml:space="preserve"> iš esmės siekė</w:t>
      </w:r>
      <w:r w:rsidRPr="00EE7786">
        <w:rPr>
          <w:rFonts w:asciiTheme="minorHAnsi" w:hAnsiTheme="minorHAnsi" w:cstheme="minorHAnsi"/>
        </w:rPr>
        <w:t xml:space="preserve"> išsiaiškinti, ar, viena vertus, Direktyvos 95/46 2 straipsnio h punktas ir 7 straipsnio a punktas turi būti aiškinami taip, kad, esant tokiai situacijai, kokia nagrinėjama pagrindinėje byloje, kai interneto svetainės administratorius integruoja į minėtą svetainę socialinį modulį, leidžiantį šios svetainės lankytojo naršyklei prašyti minėto modulio teikėjo turinio ir perduoti šiam teikėjui lankytojo asmens duomenis, minėtas administratorius arba šis teikėjas turi gauti šiose nuostatose nurodytą sutikimą, ir, kita vertus, ar šios direktyvos 10 straipsnis turi būti aiškinamas taip, kad tokioje situacijoje šioje nuostatoje numatyta informavimo pareiga tenka šiam administratoriui</w:t>
      </w:r>
      <w:r>
        <w:rPr>
          <w:rFonts w:asciiTheme="minorHAnsi" w:hAnsiTheme="minorHAnsi" w:cstheme="minorHAnsi"/>
        </w:rPr>
        <w:t xml:space="preserve"> (98 punktas)</w:t>
      </w:r>
      <w:r w:rsidRPr="00EE7786">
        <w:rPr>
          <w:rFonts w:asciiTheme="minorHAnsi" w:hAnsiTheme="minorHAnsi" w:cstheme="minorHAnsi"/>
        </w:rPr>
        <w:t>.</w:t>
      </w:r>
    </w:p>
    <w:p w:rsidR="00503293" w:rsidRDefault="00503293" w:rsidP="00750406">
      <w:pPr>
        <w:tabs>
          <w:tab w:val="right" w:leader="dot" w:pos="9639"/>
        </w:tabs>
        <w:ind w:firstLine="567"/>
        <w:rPr>
          <w:rFonts w:asciiTheme="minorHAnsi" w:hAnsiTheme="minorHAnsi" w:cstheme="minorHAnsi"/>
        </w:rPr>
      </w:pPr>
      <w:r w:rsidRPr="00503293">
        <w:rPr>
          <w:rFonts w:asciiTheme="minorHAnsi" w:hAnsiTheme="minorHAnsi" w:cstheme="minorHAnsi"/>
        </w:rPr>
        <w:t>Atrodo, kad pareigos, pagal Direktyvą 95/46 galinčios tekti šiam duomenų valdytojui, kaip antai pareiga gauti duomenų subjekto sutikimą, nurodytą šios direktyvos 2 straipsnio h punkte ir 7 straipsnio a punkte, taip pat šios direktyvos 10 straipsnyje numatyta pareiga pateikti informaciją, turi būti susijusios su duomenų tvarkymo operacija arba operacijų rinkiniu, kurių tikslus ir būdus jis realiai nustatė</w:t>
      </w:r>
      <w:r>
        <w:rPr>
          <w:rFonts w:asciiTheme="minorHAnsi" w:hAnsiTheme="minorHAnsi" w:cstheme="minorHAnsi"/>
        </w:rPr>
        <w:t xml:space="preserve"> (100 punktas)</w:t>
      </w:r>
      <w:r w:rsidRPr="00503293">
        <w:rPr>
          <w:rFonts w:asciiTheme="minorHAnsi" w:hAnsiTheme="minorHAnsi" w:cstheme="minorHAnsi"/>
        </w:rPr>
        <w:t>.</w:t>
      </w:r>
    </w:p>
    <w:p w:rsidR="0092373B" w:rsidRDefault="0092373B" w:rsidP="00750406">
      <w:pPr>
        <w:tabs>
          <w:tab w:val="right" w:leader="dot" w:pos="9639"/>
        </w:tabs>
        <w:ind w:firstLine="567"/>
        <w:rPr>
          <w:rFonts w:asciiTheme="minorHAnsi" w:hAnsiTheme="minorHAnsi" w:cstheme="minorHAnsi"/>
        </w:rPr>
      </w:pPr>
      <w:r>
        <w:rPr>
          <w:rFonts w:asciiTheme="minorHAnsi" w:hAnsiTheme="minorHAnsi" w:cstheme="minorHAnsi"/>
        </w:rPr>
        <w:t>Teismas nurodė, kad</w:t>
      </w:r>
      <w:r w:rsidRPr="0092373B">
        <w:rPr>
          <w:rFonts w:asciiTheme="minorHAnsi" w:hAnsiTheme="minorHAnsi" w:cstheme="minorHAnsi"/>
          <w:u w:val="single"/>
        </w:rPr>
        <w:t xml:space="preserve"> kalbant apie Direktyvos 95/46 2 straipsnio h punkte ir 7 straipsnio a punkte nurodytą sutikimą, atrodo, kad jis turi būti duotas iki duomenų subjekto duomenų </w:t>
      </w:r>
      <w:r w:rsidRPr="0051438A">
        <w:rPr>
          <w:rFonts w:asciiTheme="minorHAnsi" w:hAnsiTheme="minorHAnsi" w:cstheme="minorHAnsi"/>
          <w:u w:val="single"/>
        </w:rPr>
        <w:t>rinkimo ir perdavimo</w:t>
      </w:r>
      <w:r w:rsidRPr="0092373B">
        <w:rPr>
          <w:rFonts w:asciiTheme="minorHAnsi" w:hAnsiTheme="minorHAnsi" w:cstheme="minorHAnsi"/>
        </w:rPr>
        <w:t xml:space="preserve">. Esant tokioms aplinkybėms, </w:t>
      </w:r>
      <w:r w:rsidRPr="0092373B">
        <w:rPr>
          <w:rFonts w:asciiTheme="minorHAnsi" w:hAnsiTheme="minorHAnsi" w:cstheme="minorHAnsi"/>
          <w:u w:val="single"/>
        </w:rPr>
        <w:t>interneto svetainės administratorius, o ne socialinio modulio teikėjas turi gauti šį sutikimą</w:t>
      </w:r>
      <w:r w:rsidRPr="0092373B">
        <w:rPr>
          <w:rFonts w:asciiTheme="minorHAnsi" w:hAnsiTheme="minorHAnsi" w:cstheme="minorHAnsi"/>
        </w:rPr>
        <w:t xml:space="preserve">, nes lankytojas apsilanko šioje interneto svetainėje, kurioje pradedamas asmens duomenų tvarkymas. </w:t>
      </w:r>
      <w:r>
        <w:rPr>
          <w:rFonts w:asciiTheme="minorHAnsi" w:hAnsiTheme="minorHAnsi" w:cstheme="minorHAnsi"/>
        </w:rPr>
        <w:t>D</w:t>
      </w:r>
      <w:r w:rsidRPr="0092373B">
        <w:rPr>
          <w:rFonts w:asciiTheme="minorHAnsi" w:hAnsiTheme="minorHAnsi" w:cstheme="minorHAnsi"/>
        </w:rPr>
        <w:t>uomenų subjekto teisės nebūtų veiksmingai ir laiku apsaugotos, jei sutikimas būtų duotas tik vienam bendrai už tvarkymą atsakingam ir vėliau pradedančiam veikti subjektui, t. y. minėto modulio teikėjui. Sutikimas, kuris turi būti duotas administratoriui, yra susijęs tik su asmens duomenų tvarkymo operacija arba operacijų rinkiniu, kurių tikslus ir būdus šis administratorius realiai nustato</w:t>
      </w:r>
      <w:r>
        <w:rPr>
          <w:rFonts w:asciiTheme="minorHAnsi" w:hAnsiTheme="minorHAnsi" w:cstheme="minorHAnsi"/>
        </w:rPr>
        <w:t xml:space="preserve"> (102 punktas)</w:t>
      </w:r>
      <w:r w:rsidRPr="0092373B">
        <w:rPr>
          <w:rFonts w:asciiTheme="minorHAnsi" w:hAnsiTheme="minorHAnsi" w:cstheme="minorHAnsi"/>
        </w:rPr>
        <w:t>.</w:t>
      </w:r>
    </w:p>
    <w:p w:rsidR="00B33B1F" w:rsidRDefault="00826592" w:rsidP="00750406">
      <w:pPr>
        <w:tabs>
          <w:tab w:val="right" w:leader="dot" w:pos="9639"/>
        </w:tabs>
        <w:ind w:firstLine="567"/>
        <w:rPr>
          <w:rFonts w:asciiTheme="minorHAnsi" w:hAnsiTheme="minorHAnsi" w:cstheme="minorHAnsi"/>
        </w:rPr>
      </w:pPr>
      <w:r w:rsidRPr="00826592">
        <w:rPr>
          <w:rFonts w:asciiTheme="minorHAnsi" w:hAnsiTheme="minorHAnsi" w:cstheme="minorHAnsi"/>
        </w:rPr>
        <w:t>Tą patį galima pasakyti ir apie Direktyvos 95/46 10 straipsnyje nustaty</w:t>
      </w:r>
      <w:r w:rsidR="00503293">
        <w:rPr>
          <w:rFonts w:asciiTheme="minorHAnsi" w:hAnsiTheme="minorHAnsi" w:cstheme="minorHAnsi"/>
        </w:rPr>
        <w:t xml:space="preserve">tą pareigą pateikti informaciją – </w:t>
      </w:r>
      <w:r w:rsidRPr="00826592">
        <w:rPr>
          <w:rFonts w:asciiTheme="minorHAnsi" w:hAnsiTheme="minorHAnsi" w:cstheme="minorHAnsi"/>
        </w:rPr>
        <w:t>duomenų valdytojas arba jo atstovas privalo suteikti asmeniui, kurio duomenis jis renka, bent jau minėtoje nuostatoje nurodytą informaciją. Šią informaciją duomenų valdytojas privalo pateikti nedelsdamas, t. y. duomenų rinkimo momentu (šiuo klausimu žr. 2009 m. gegužės 7 d. Sprendimo </w:t>
      </w:r>
      <w:r w:rsidRPr="00826592">
        <w:rPr>
          <w:rFonts w:asciiTheme="minorHAnsi" w:hAnsiTheme="minorHAnsi" w:cstheme="minorHAnsi"/>
          <w:i/>
          <w:iCs/>
        </w:rPr>
        <w:t>Rijkeboer</w:t>
      </w:r>
      <w:r w:rsidRPr="00826592">
        <w:rPr>
          <w:rFonts w:asciiTheme="minorHAnsi" w:hAnsiTheme="minorHAnsi" w:cstheme="minorHAnsi"/>
        </w:rPr>
        <w:t>, C</w:t>
      </w:r>
      <w:r w:rsidRPr="00826592">
        <w:rPr>
          <w:rFonts w:asciiTheme="minorHAnsi" w:hAnsiTheme="minorHAnsi" w:cstheme="minorHAnsi"/>
        </w:rPr>
        <w:noBreakHyphen/>
        <w:t>553/07, EU:C:2009:293, 68 punktą ir 2013 m. lapkričio 7 d. Sprendimo </w:t>
      </w:r>
      <w:r w:rsidRPr="00826592">
        <w:rPr>
          <w:rFonts w:asciiTheme="minorHAnsi" w:hAnsiTheme="minorHAnsi" w:cstheme="minorHAnsi"/>
          <w:i/>
          <w:iCs/>
        </w:rPr>
        <w:t>IPI</w:t>
      </w:r>
      <w:r w:rsidRPr="00826592">
        <w:rPr>
          <w:rFonts w:asciiTheme="minorHAnsi" w:hAnsiTheme="minorHAnsi" w:cstheme="minorHAnsi"/>
        </w:rPr>
        <w:t>, C</w:t>
      </w:r>
      <w:r w:rsidRPr="00826592">
        <w:rPr>
          <w:rFonts w:asciiTheme="minorHAnsi" w:hAnsiTheme="minorHAnsi" w:cstheme="minorHAnsi"/>
        </w:rPr>
        <w:noBreakHyphen/>
        <w:t>473/12, EU:C:2013:715, 23 punktą)</w:t>
      </w:r>
      <w:r w:rsidR="00503293">
        <w:rPr>
          <w:rFonts w:asciiTheme="minorHAnsi" w:hAnsiTheme="minorHAnsi" w:cstheme="minorHAnsi"/>
        </w:rPr>
        <w:t xml:space="preserve"> (103 </w:t>
      </w:r>
      <w:r>
        <w:rPr>
          <w:rFonts w:asciiTheme="minorHAnsi" w:hAnsiTheme="minorHAnsi" w:cstheme="minorHAnsi"/>
        </w:rPr>
        <w:t>punktas)</w:t>
      </w:r>
      <w:r w:rsidRPr="00826592">
        <w:rPr>
          <w:rFonts w:asciiTheme="minorHAnsi" w:hAnsiTheme="minorHAnsi" w:cstheme="minorHAnsi"/>
        </w:rPr>
        <w:t>.</w:t>
      </w:r>
    </w:p>
    <w:p w:rsidR="00B33B1F" w:rsidRPr="00B33B1F" w:rsidRDefault="00B33B1F" w:rsidP="00B33B1F">
      <w:pPr>
        <w:tabs>
          <w:tab w:val="right" w:leader="dot" w:pos="9639"/>
        </w:tabs>
        <w:ind w:firstLine="567"/>
        <w:rPr>
          <w:rFonts w:asciiTheme="minorHAnsi" w:hAnsiTheme="minorHAnsi" w:cstheme="minorHAnsi"/>
        </w:rPr>
      </w:pPr>
      <w:r w:rsidRPr="00B33B1F">
        <w:rPr>
          <w:rFonts w:asciiTheme="minorHAnsi" w:hAnsiTheme="minorHAnsi" w:cstheme="minorHAnsi"/>
        </w:rPr>
        <w:t xml:space="preserve">Vadinasi, esant tokiai situacijai, kokia nagrinėjama pagrindinėje byloje, </w:t>
      </w:r>
      <w:r w:rsidRPr="00826592">
        <w:rPr>
          <w:rFonts w:asciiTheme="minorHAnsi" w:hAnsiTheme="minorHAnsi" w:cstheme="minorHAnsi"/>
          <w:u w:val="single"/>
        </w:rPr>
        <w:t>Direktyvos 95/46 10 straipsnyje nustatyta pareiga teikti informaciją tenka ir interneto svetainės administratoriui</w:t>
      </w:r>
      <w:r w:rsidRPr="00B33B1F">
        <w:rPr>
          <w:rFonts w:asciiTheme="minorHAnsi" w:hAnsiTheme="minorHAnsi" w:cstheme="minorHAnsi"/>
        </w:rPr>
        <w:t xml:space="preserve">; </w:t>
      </w:r>
      <w:r w:rsidRPr="00826592">
        <w:rPr>
          <w:rFonts w:asciiTheme="minorHAnsi" w:hAnsiTheme="minorHAnsi" w:cstheme="minorHAnsi"/>
          <w:u w:val="single"/>
        </w:rPr>
        <w:t>vis dėlto informacija, kurią jis privalo pateikti duomenų subjektui, turi būti susijusi tik su asmens duomenų tvarkymo operacija ar operacijų rinkiniu, kurių tikslus ir būdus šis administratorius realiai nustato</w:t>
      </w:r>
      <w:r>
        <w:rPr>
          <w:rFonts w:asciiTheme="minorHAnsi" w:hAnsiTheme="minorHAnsi" w:cstheme="minorHAnsi"/>
        </w:rPr>
        <w:t xml:space="preserve"> (105 punktas)</w:t>
      </w:r>
      <w:r w:rsidRPr="00B33B1F">
        <w:rPr>
          <w:rFonts w:asciiTheme="minorHAnsi" w:hAnsiTheme="minorHAnsi" w:cstheme="minorHAnsi"/>
        </w:rPr>
        <w:t>.</w:t>
      </w:r>
    </w:p>
    <w:p w:rsidR="00EE7786" w:rsidRDefault="00EE7786" w:rsidP="00750406">
      <w:pPr>
        <w:tabs>
          <w:tab w:val="right" w:leader="dot" w:pos="9639"/>
        </w:tabs>
        <w:ind w:firstLine="567"/>
        <w:rPr>
          <w:rFonts w:asciiTheme="minorHAnsi" w:hAnsiTheme="minorHAnsi" w:cstheme="minorHAnsi"/>
        </w:rPr>
      </w:pPr>
    </w:p>
    <w:p w:rsidR="00F53D35" w:rsidRPr="003D6A3B" w:rsidRDefault="00F53D35" w:rsidP="00F53D35">
      <w:pPr>
        <w:shd w:val="clear" w:color="auto" w:fill="FFFFFF"/>
        <w:ind w:firstLine="567"/>
        <w:rPr>
          <w:rFonts w:cstheme="minorHAnsi"/>
          <w:b/>
          <w:color w:val="000000" w:themeColor="text1"/>
        </w:rPr>
      </w:pPr>
      <w:r w:rsidRPr="003D6A3B">
        <w:rPr>
          <w:rFonts w:cstheme="minorHAnsi"/>
          <w:b/>
          <w:color w:val="000000" w:themeColor="text1"/>
        </w:rPr>
        <w:t>Remdamasis šiais motyvais, Teisingumo Teismas (</w:t>
      </w:r>
      <w:r>
        <w:rPr>
          <w:rFonts w:cstheme="minorHAnsi"/>
          <w:b/>
          <w:color w:val="000000" w:themeColor="text1"/>
        </w:rPr>
        <w:t>antroji</w:t>
      </w:r>
      <w:r w:rsidRPr="003D6A3B">
        <w:rPr>
          <w:rFonts w:cstheme="minorHAnsi"/>
          <w:b/>
          <w:color w:val="000000" w:themeColor="text1"/>
        </w:rPr>
        <w:t xml:space="preserve"> kolegija) nusprendė:</w:t>
      </w:r>
    </w:p>
    <w:p w:rsidR="00F53D35" w:rsidRPr="003D6A3B" w:rsidRDefault="00F53D35" w:rsidP="00F53D35">
      <w:pPr>
        <w:shd w:val="clear" w:color="auto" w:fill="FFFFFF"/>
        <w:ind w:firstLine="567"/>
        <w:rPr>
          <w:rFonts w:eastAsia="Times New Roman" w:cstheme="minorHAnsi"/>
          <w:color w:val="000000" w:themeColor="text1"/>
          <w:lang w:eastAsia="lt-LT"/>
        </w:rPr>
      </w:pPr>
    </w:p>
    <w:p w:rsidR="00F53D35" w:rsidRPr="00F53D35" w:rsidRDefault="00F53D35" w:rsidP="00F53D35">
      <w:pPr>
        <w:shd w:val="clear" w:color="auto" w:fill="FFFFFF"/>
        <w:ind w:firstLine="567"/>
        <w:rPr>
          <w:rFonts w:eastAsia="Times New Roman" w:cstheme="minorHAnsi"/>
          <w:bCs/>
          <w:color w:val="000000" w:themeColor="text1"/>
          <w:lang w:eastAsia="lt-LT"/>
        </w:rPr>
      </w:pPr>
      <w:r>
        <w:rPr>
          <w:rFonts w:eastAsia="Times New Roman" w:cstheme="minorHAnsi"/>
          <w:bCs/>
          <w:color w:val="000000" w:themeColor="text1"/>
          <w:lang w:eastAsia="lt-LT"/>
        </w:rPr>
        <w:t>1. </w:t>
      </w:r>
      <w:r w:rsidRPr="00F53D35">
        <w:rPr>
          <w:rFonts w:eastAsia="Times New Roman" w:cstheme="minorHAnsi"/>
          <w:bCs/>
          <w:color w:val="000000" w:themeColor="text1"/>
          <w:lang w:eastAsia="lt-LT"/>
        </w:rPr>
        <w:t>1995 m. spalio 24 d. Europos Parlamento ir Tarybos direktyvos 95/46/EB dėl asmenų apsaugos tvarkant asmens duomenis ir dėl laisvo tokių duomenų judėjimo 22–24 straipsniai turi būti aiškinami taip, kad jais nedraudžiamos nacionalinės taisyklės, leidžiančios vartotojų teisių gynimo asociacijoms pareikšti ieškinį tariamam asmens duomenų apsaugos pažeidėjui.</w:t>
      </w:r>
    </w:p>
    <w:p w:rsidR="00F53D35" w:rsidRPr="00F53D35" w:rsidRDefault="00F53D35" w:rsidP="00F53D35">
      <w:pPr>
        <w:shd w:val="clear" w:color="auto" w:fill="FFFFFF"/>
        <w:ind w:firstLine="567"/>
        <w:rPr>
          <w:rFonts w:eastAsia="Times New Roman" w:cstheme="minorHAnsi"/>
          <w:bCs/>
          <w:color w:val="000000" w:themeColor="text1"/>
          <w:lang w:eastAsia="lt-LT"/>
        </w:rPr>
      </w:pPr>
      <w:r>
        <w:rPr>
          <w:rFonts w:eastAsia="Times New Roman" w:cstheme="minorHAnsi"/>
          <w:bCs/>
          <w:color w:val="000000" w:themeColor="text1"/>
          <w:lang w:eastAsia="lt-LT"/>
        </w:rPr>
        <w:t>2. </w:t>
      </w:r>
      <w:r w:rsidRPr="00F53D35">
        <w:rPr>
          <w:rFonts w:eastAsia="Times New Roman" w:cstheme="minorHAnsi"/>
          <w:bCs/>
          <w:color w:val="000000" w:themeColor="text1"/>
          <w:lang w:eastAsia="lt-LT"/>
        </w:rPr>
        <w:t xml:space="preserve">Interneto svetainės administratorius, kaip antai </w:t>
      </w:r>
      <w:r w:rsidRPr="00F53D35">
        <w:rPr>
          <w:rFonts w:eastAsia="Times New Roman" w:cstheme="minorHAnsi"/>
          <w:bCs/>
          <w:i/>
          <w:iCs/>
          <w:color w:val="000000" w:themeColor="text1"/>
          <w:lang w:eastAsia="lt-LT"/>
        </w:rPr>
        <w:t>Fashion ID GmbH &amp; Co. KG</w:t>
      </w:r>
      <w:r w:rsidRPr="00F53D35">
        <w:rPr>
          <w:rFonts w:eastAsia="Times New Roman" w:cstheme="minorHAnsi"/>
          <w:bCs/>
          <w:color w:val="000000" w:themeColor="text1"/>
          <w:lang w:eastAsia="lt-LT"/>
        </w:rPr>
        <w:t>, kuris toje interneto svetainėje įterpia socialinį modulį, leidžiantį šios svetainės lankytojo naršyklei prašyti minėto modulio teikėjo turinio ir perduoti šiam teikėjui lankytojo asmens duomenis, gali būti laikomas duomenų valdytoju, kaip tai suprantama pagal Direktyvos 95/46 2 straipsnio d punktą. Vis dėlto tokia atsakomybė jam tenka tik už tą asmens duomenų tvarkymo operaciją arba operacijų rinkinį, kurių tikslus ir būdus jis realiai nustatė, t. y. už nagrinėjamą duomenų rinkimą ir perdavimą.</w:t>
      </w:r>
    </w:p>
    <w:p w:rsidR="00F53D35" w:rsidRPr="00F53D35" w:rsidRDefault="00F53D35" w:rsidP="00F53D35">
      <w:pPr>
        <w:shd w:val="clear" w:color="auto" w:fill="FFFFFF"/>
        <w:ind w:firstLine="567"/>
        <w:rPr>
          <w:rFonts w:eastAsia="Times New Roman" w:cstheme="minorHAnsi"/>
          <w:bCs/>
          <w:color w:val="000000" w:themeColor="text1"/>
          <w:lang w:eastAsia="lt-LT"/>
        </w:rPr>
      </w:pPr>
      <w:r>
        <w:rPr>
          <w:rFonts w:eastAsia="Times New Roman" w:cstheme="minorHAnsi"/>
          <w:bCs/>
          <w:color w:val="000000" w:themeColor="text1"/>
          <w:lang w:eastAsia="lt-LT"/>
        </w:rPr>
        <w:t>3. </w:t>
      </w:r>
      <w:r w:rsidRPr="00F53D35">
        <w:rPr>
          <w:rFonts w:eastAsia="Times New Roman" w:cstheme="minorHAnsi"/>
          <w:bCs/>
          <w:color w:val="000000" w:themeColor="text1"/>
          <w:lang w:eastAsia="lt-LT"/>
        </w:rPr>
        <w:t>Esant tokiai situacijai, kokia nagrinėjama pagrindinėje byloje, kai interneto svetainės administratorius į minėtą svetainę integruoja socialinį modulį, leidžiantį šios svetainės lankytojo naršyklei prašyti minėto modulio teikėjo turinio ir perduoti šiam teikėjui lankytojo asmens duomenis, būtina, kad ir šis administratorius, ir šis teikėjas tokiomis tvarkymo operacijomis siektų teisėtų interesų, kaip apibrėžta Direktyvos 95/46 7 straipsnio f punkte, kad tokios operacijos galėtų būtų pagrįstos šiuo atžvilgiu.</w:t>
      </w:r>
    </w:p>
    <w:p w:rsidR="00F53D35" w:rsidRPr="00F53D35" w:rsidRDefault="00F53D35" w:rsidP="00F53D35">
      <w:pPr>
        <w:shd w:val="clear" w:color="auto" w:fill="FFFFFF"/>
        <w:ind w:firstLine="567"/>
        <w:rPr>
          <w:rFonts w:eastAsia="Times New Roman" w:cstheme="minorHAnsi"/>
          <w:bCs/>
          <w:color w:val="000000" w:themeColor="text1"/>
          <w:lang w:eastAsia="lt-LT"/>
        </w:rPr>
      </w:pPr>
      <w:r>
        <w:rPr>
          <w:rFonts w:eastAsia="Times New Roman" w:cstheme="minorHAnsi"/>
          <w:bCs/>
          <w:color w:val="000000" w:themeColor="text1"/>
          <w:lang w:eastAsia="lt-LT"/>
        </w:rPr>
        <w:t>4. </w:t>
      </w:r>
      <w:r w:rsidRPr="00F53D35">
        <w:rPr>
          <w:rFonts w:eastAsia="Times New Roman" w:cstheme="minorHAnsi"/>
          <w:bCs/>
          <w:color w:val="000000" w:themeColor="text1"/>
          <w:lang w:eastAsia="lt-LT"/>
        </w:rPr>
        <w:t>Direktyvos 95/46 2 straipsnio h punktas ir 7 straipsnio a punktas turi būti aiškinami taip, kad esant tokiai situacijai, kokia nagrinėjama pagrindinėje byloje, kai interneto svetainės administratorius integruoja į minėtą svetainę socialinį modulį, leidžiantį šios svetainės lankytojo naršyklei prašyti minėto modulio teikėjo turinio ir perduoti šiam teikėjui lankytojo asmens duomenis, šiose nuostatose nurodytą sutikimą šis administratorius privalo gauti tik dėl asmens duomenų tvarkymo operacijos ar operacijų rinkinio, kurių tikslus ir būdus minėtas administratorius realiai nustato. Be to, šios direktyvos 10 straipsnis turi būti aiškinamas taip, kad tokiu atveju šioje nuostatoje numatyta pareiga pateikti informaciją tenka ir minėtam administratoriui; vis dėlto informacija, kurią jis privalo pateikti duomenų subjektui, turi būti susijusi tik su asmens duomenų tvarkymo operacija ar operacijų rinkiniu, kurių tikslus ir būdus jis realiai nustato.</w:t>
      </w:r>
    </w:p>
    <w:p w:rsidR="00F53D35" w:rsidRPr="003D6A3B" w:rsidRDefault="007D413D" w:rsidP="00F53D35">
      <w:pPr>
        <w:ind w:firstLine="567"/>
        <w:rPr>
          <w:rFonts w:asciiTheme="minorHAnsi" w:hAnsiTheme="minorHAnsi" w:cstheme="minorHAnsi"/>
          <w:color w:val="0000FF"/>
          <w:u w:val="single"/>
        </w:rPr>
      </w:pPr>
      <w:hyperlink r:id="rId24" w:history="1">
        <w:r w:rsidR="00F53D35" w:rsidRPr="00C175EE">
          <w:rPr>
            <w:rStyle w:val="Hyperlink"/>
            <w:rFonts w:asciiTheme="minorHAnsi" w:hAnsiTheme="minorHAnsi" w:cstheme="minorHAnsi"/>
          </w:rPr>
          <w:t>Prieiga internete</w:t>
        </w:r>
      </w:hyperlink>
    </w:p>
    <w:p w:rsidR="00F53D35" w:rsidRPr="003D6A3B" w:rsidRDefault="00F53D35" w:rsidP="00F22A30">
      <w:pPr>
        <w:tabs>
          <w:tab w:val="right" w:leader="dot" w:pos="9639"/>
        </w:tabs>
        <w:ind w:firstLine="567"/>
        <w:rPr>
          <w:rFonts w:asciiTheme="minorHAnsi" w:hAnsiTheme="minorHAnsi" w:cstheme="minorHAnsi"/>
        </w:rPr>
      </w:pPr>
    </w:p>
    <w:p w:rsidR="00CB0B9D" w:rsidRDefault="00CB0B9D" w:rsidP="00CB0B9D">
      <w:pPr>
        <w:keepNext/>
        <w:tabs>
          <w:tab w:val="right" w:leader="dot" w:pos="9639"/>
        </w:tabs>
        <w:jc w:val="center"/>
        <w:outlineLvl w:val="0"/>
        <w:rPr>
          <w:rFonts w:asciiTheme="minorHAnsi" w:eastAsia="Times New Roman" w:hAnsiTheme="minorHAnsi" w:cstheme="minorHAnsi"/>
          <w:b/>
          <w:bCs/>
          <w:color w:val="323E4F" w:themeColor="text2" w:themeShade="BF"/>
          <w:kern w:val="32"/>
          <w:lang w:eastAsia="lt-LT"/>
        </w:rPr>
      </w:pPr>
      <w:bookmarkStart w:id="81" w:name="_Toc21941978"/>
      <w:r>
        <w:rPr>
          <w:rFonts w:asciiTheme="minorHAnsi" w:eastAsia="Times New Roman" w:hAnsiTheme="minorHAnsi" w:cstheme="minorHAnsi"/>
          <w:b/>
          <w:bCs/>
          <w:color w:val="323E4F" w:themeColor="text2" w:themeShade="BF"/>
          <w:kern w:val="32"/>
          <w:lang w:eastAsia="lt-LT"/>
        </w:rPr>
        <w:t>LAISVĖ TEIKTI PASLAUGAS</w:t>
      </w:r>
      <w:bookmarkEnd w:id="81"/>
    </w:p>
    <w:p w:rsidR="005460CD" w:rsidRDefault="005460CD" w:rsidP="005460CD">
      <w:pPr>
        <w:rPr>
          <w:rFonts w:asciiTheme="minorHAnsi" w:eastAsia="Times New Roman" w:hAnsiTheme="minorHAnsi" w:cstheme="minorHAnsi"/>
          <w:b/>
          <w:bCs/>
          <w:color w:val="323E4F" w:themeColor="text2" w:themeShade="BF"/>
          <w:kern w:val="32"/>
          <w:lang w:eastAsia="lt-LT"/>
        </w:rPr>
      </w:pPr>
    </w:p>
    <w:p w:rsidR="00CB0B9D" w:rsidRDefault="00CB0B9D" w:rsidP="00CB0B9D">
      <w:pPr>
        <w:pStyle w:val="Heading2"/>
        <w:rPr>
          <w:rFonts w:cstheme="minorHAnsi"/>
          <w:bCs w:val="0"/>
          <w:iCs w:val="0"/>
        </w:rPr>
      </w:pPr>
      <w:bookmarkStart w:id="82" w:name="_Toc21941979"/>
      <w:r>
        <w:rPr>
          <w:rFonts w:cstheme="minorHAnsi"/>
          <w:bCs w:val="0"/>
          <w:iCs w:val="0"/>
        </w:rPr>
        <w:t>2019 m. liepos 4 d. prejudicinis sprendimas byloje C-622/17</w:t>
      </w:r>
      <w:bookmarkEnd w:id="82"/>
    </w:p>
    <w:p w:rsidR="00CB0B9D" w:rsidRPr="00CB0B9D" w:rsidRDefault="00CB0B9D" w:rsidP="00CB0B9D">
      <w:pPr>
        <w:jc w:val="center"/>
        <w:rPr>
          <w:rFonts w:cstheme="minorHAnsi"/>
          <w:b/>
          <w:i/>
        </w:rPr>
      </w:pPr>
      <w:r w:rsidRPr="00CB0B9D">
        <w:rPr>
          <w:rFonts w:cstheme="minorHAnsi"/>
          <w:b/>
          <w:i/>
        </w:rPr>
        <w:t>Baltic Media Alliance Ltd prieš Lietuvos radijo ir televizijos komisiją</w:t>
      </w:r>
    </w:p>
    <w:p w:rsidR="00CB0B9D" w:rsidRPr="008B23D7" w:rsidRDefault="00CB0B9D" w:rsidP="00CB0B9D">
      <w:pPr>
        <w:pStyle w:val="c01pointnumerotealtn"/>
        <w:shd w:val="clear" w:color="auto" w:fill="FFFFFF"/>
        <w:spacing w:before="0" w:beforeAutospacing="0" w:after="0"/>
        <w:ind w:left="0" w:firstLine="567"/>
        <w:rPr>
          <w:rFonts w:asciiTheme="minorHAnsi" w:hAnsiTheme="minorHAnsi" w:cstheme="minorHAnsi"/>
          <w:sz w:val="22"/>
          <w:szCs w:val="22"/>
        </w:rPr>
      </w:pPr>
    </w:p>
    <w:p w:rsidR="00CB0B9D" w:rsidRDefault="00CB0B9D" w:rsidP="00CB0B9D">
      <w:pPr>
        <w:pStyle w:val="c01pointnumerotealtn"/>
        <w:shd w:val="clear" w:color="auto" w:fill="FFFFFF"/>
        <w:spacing w:before="0" w:beforeAutospacing="0" w:after="0"/>
        <w:ind w:left="0" w:firstLine="567"/>
        <w:rPr>
          <w:rFonts w:asciiTheme="minorHAnsi" w:hAnsiTheme="minorHAnsi" w:cstheme="minorHAnsi"/>
          <w:color w:val="000000"/>
          <w:sz w:val="22"/>
          <w:szCs w:val="22"/>
          <w:shd w:val="clear" w:color="auto" w:fill="FFFFFF"/>
        </w:rPr>
      </w:pPr>
      <w:r w:rsidRPr="00816EBF">
        <w:rPr>
          <w:rFonts w:asciiTheme="minorHAnsi" w:hAnsiTheme="minorHAnsi" w:cstheme="minorHAnsi"/>
          <w:color w:val="000000"/>
          <w:sz w:val="22"/>
          <w:szCs w:val="22"/>
          <w:shd w:val="clear" w:color="auto" w:fill="FFFFFF"/>
        </w:rPr>
        <w:t xml:space="preserve">Prašymas priimti prejudicinį sprendimą pateiktas dėl 2010 m. kovo 10 d. Europos Parlamento ir Tarybos direktyvos 2010/13/ES dėl valstybių narių įstatymuose ir kituose teisės aktuose išdėstytų tam tikrų nuostatų, susijusių su audiovizualinės žiniasklaidos paslaugų teikimu, derinimo (Audiovizualinės žiniasklaidos paslaugų direktyva) (OL L 95, 2010, p. 1) 3 straipsnio 1 ir 2 dalių išaiškinimo. Šis prašymas pateiktas nagrinėjant </w:t>
      </w:r>
      <w:r w:rsidRPr="00816EBF">
        <w:rPr>
          <w:rFonts w:asciiTheme="minorHAnsi" w:hAnsiTheme="minorHAnsi" w:cstheme="minorHAnsi"/>
          <w:i/>
          <w:iCs/>
          <w:color w:val="000000"/>
          <w:sz w:val="22"/>
          <w:szCs w:val="22"/>
        </w:rPr>
        <w:t>Baltic Media Alliance Ltd</w:t>
      </w:r>
      <w:r w:rsidRPr="00816EBF">
        <w:rPr>
          <w:rFonts w:asciiTheme="minorHAnsi" w:hAnsiTheme="minorHAnsi" w:cstheme="minorHAnsi"/>
          <w:color w:val="000000"/>
          <w:sz w:val="22"/>
          <w:szCs w:val="22"/>
          <w:shd w:val="clear" w:color="auto" w:fill="FFFFFF"/>
        </w:rPr>
        <w:t xml:space="preserve"> (toliau – BMA) ir Lietuvos radijo ir televizijos komisijos (toliau – LRTK) ginčą dėl 2016 m. gegužės 18 d. LRTK sprendimo (toliau – 2016 m. gegužės 18 d. sprendimas), kuriuo Lietuvos teritorijoje veiklą vykdantys žiniasklaidos paslaugų teikėjai ir kiti asmenys, kurie Lietuvos vartotojams teikia televizijos programų ar atskirų programų platinimo internetu paslaugą, buvo įpareigoti 12 mėnesių nuo šio sprendimo įsigaliojimo televizijos programą „NTV Mir Lithuania“ Lietuvos teritorijoje transliuoti ar retransliuoti tik už papildomą mokestį platinamuose televizijos programų paketuose</w:t>
      </w:r>
      <w:r>
        <w:rPr>
          <w:rFonts w:asciiTheme="minorHAnsi" w:hAnsiTheme="minorHAnsi" w:cstheme="minorHAnsi"/>
          <w:color w:val="000000"/>
          <w:sz w:val="22"/>
          <w:szCs w:val="22"/>
          <w:shd w:val="clear" w:color="auto" w:fill="FFFFFF"/>
        </w:rPr>
        <w:t xml:space="preserve"> (1–2 punktai).</w:t>
      </w:r>
    </w:p>
    <w:p w:rsidR="00CB0B9D" w:rsidRDefault="00CB0B9D" w:rsidP="00CB0B9D">
      <w:pPr>
        <w:pStyle w:val="c01pointnumerotealtn"/>
        <w:shd w:val="clear" w:color="auto" w:fill="FFFFFF"/>
        <w:spacing w:before="0" w:beforeAutospacing="0" w:after="0"/>
        <w:ind w:left="0" w:firstLine="567"/>
        <w:rPr>
          <w:rFonts w:asciiTheme="minorHAnsi" w:hAnsiTheme="minorHAnsi" w:cstheme="minorHAnsi"/>
          <w:color w:val="000000"/>
          <w:sz w:val="22"/>
          <w:szCs w:val="22"/>
          <w:shd w:val="clear" w:color="auto" w:fill="FFFFFF"/>
        </w:rPr>
      </w:pPr>
      <w:r w:rsidRPr="007A5B04">
        <w:rPr>
          <w:rFonts w:asciiTheme="minorHAnsi" w:hAnsiTheme="minorHAnsi" w:cstheme="minorHAnsi"/>
          <w:color w:val="000000"/>
          <w:sz w:val="22"/>
          <w:szCs w:val="22"/>
          <w:shd w:val="clear" w:color="auto" w:fill="FFFFFF"/>
        </w:rPr>
        <w:t xml:space="preserve">BMA, Jungtinėje Karalystėje įsteigta įmonė, turi </w:t>
      </w:r>
      <w:r w:rsidRPr="005E71F6">
        <w:rPr>
          <w:rFonts w:asciiTheme="minorHAnsi" w:hAnsiTheme="minorHAnsi" w:cstheme="minorHAnsi"/>
          <w:color w:val="000000"/>
          <w:sz w:val="22"/>
          <w:szCs w:val="22"/>
        </w:rPr>
        <w:t>Office of Communications</w:t>
      </w:r>
      <w:r w:rsidRPr="007A5B04">
        <w:rPr>
          <w:rFonts w:asciiTheme="minorHAnsi" w:hAnsiTheme="minorHAnsi" w:cstheme="minorHAnsi"/>
          <w:color w:val="000000"/>
          <w:sz w:val="22"/>
          <w:szCs w:val="22"/>
          <w:shd w:val="clear" w:color="auto" w:fill="FFFFFF"/>
        </w:rPr>
        <w:t xml:space="preserve"> (Ryšių tarnyba, Jungtinė Karalystė) išduotą licenciją transliuoti televizijos programą „NTV Mir Lithuania“. Remdamasi Visuomenės informavimo įstatymo 33 straipsnio 11 dalimi ir 12 straipsnio 1 punktu LRTK priėmė 2016 m. gegužės 18 d. sprendimą. Šis sprendimas buvo grindžiamas tuo, kad 2016 m. balandžio 15 d. „NTV Mir Lithuania“ programoje „Ypatingas įvykis. Tyrimas“ buvo pateikta informacija, kuri kurstė tautinę neapykantą ir yra draudžiama pagal minėto įstatymo 19 straipsnio 1 dalies 3 punktą</w:t>
      </w:r>
      <w:r>
        <w:rPr>
          <w:rFonts w:asciiTheme="minorHAnsi" w:hAnsiTheme="minorHAnsi" w:cstheme="minorHAnsi"/>
          <w:color w:val="000000"/>
          <w:sz w:val="22"/>
          <w:szCs w:val="22"/>
          <w:shd w:val="clear" w:color="auto" w:fill="FFFFFF"/>
        </w:rPr>
        <w:t xml:space="preserve"> (17–18 punktai).</w:t>
      </w:r>
    </w:p>
    <w:p w:rsidR="00CB0B9D" w:rsidRDefault="00CB0B9D" w:rsidP="00CB0B9D">
      <w:pPr>
        <w:pStyle w:val="c01pointnumerotealtn"/>
        <w:shd w:val="clear" w:color="auto" w:fill="FFFFFF"/>
        <w:spacing w:before="0" w:beforeAutospacing="0" w:after="0"/>
        <w:ind w:left="0" w:firstLine="567"/>
        <w:rPr>
          <w:rFonts w:asciiTheme="minorHAnsi" w:hAnsiTheme="minorHAnsi" w:cstheme="minorHAnsi"/>
          <w:color w:val="000000"/>
          <w:sz w:val="22"/>
          <w:szCs w:val="22"/>
          <w:shd w:val="clear" w:color="auto" w:fill="FFFFFF"/>
        </w:rPr>
      </w:pPr>
      <w:r w:rsidRPr="007A5B04">
        <w:rPr>
          <w:rFonts w:asciiTheme="minorHAnsi" w:hAnsiTheme="minorHAnsi" w:cstheme="minorHAnsi"/>
          <w:color w:val="000000"/>
          <w:sz w:val="22"/>
          <w:szCs w:val="22"/>
          <w:shd w:val="clear" w:color="auto" w:fill="FFFFFF"/>
        </w:rPr>
        <w:t>2016 m. birželio 22 d. LRTK priėmė naują sprendimą, kuriuo iš dalies pakeitė 2016 m. gegužės 18 d. sprendimą. Ji panaikino įpareigojimą televizijos programą „NTV Mir Lithuania“ platinti tik už papildomą mokestį platinamuose televizijos programų paketuose ir nusprendė pradėti šios televizijos programos laikino sustabdymo procedūrą pagal Visuomenės informavimo įstatymo 34</w:t>
      </w:r>
      <w:r w:rsidRPr="007A5B04">
        <w:rPr>
          <w:rFonts w:asciiTheme="minorHAnsi" w:hAnsiTheme="minorHAnsi" w:cstheme="minorHAnsi"/>
          <w:color w:val="000000"/>
          <w:sz w:val="22"/>
          <w:szCs w:val="22"/>
          <w:vertAlign w:val="superscript"/>
        </w:rPr>
        <w:t>1</w:t>
      </w:r>
      <w:r w:rsidRPr="007A5B04">
        <w:rPr>
          <w:rFonts w:asciiTheme="minorHAnsi" w:hAnsiTheme="minorHAnsi" w:cstheme="minorHAnsi"/>
          <w:color w:val="000000"/>
          <w:sz w:val="22"/>
          <w:szCs w:val="22"/>
          <w:shd w:val="clear" w:color="auto" w:fill="FFFFFF"/>
        </w:rPr>
        <w:t> straipsnio 3 dalį. Dėl to ji pranešė BMA apie 2016 m. gegužės 18 d. sprendime konstatuotą pažeidimą ir priemones, kurių ketino imtis tokio pažeidimo pasikartojimo atveju. Apie minėtą pažeidimą LRTK taip pat pranešė Ryšių tarnybai</w:t>
      </w:r>
      <w:r>
        <w:rPr>
          <w:rFonts w:asciiTheme="minorHAnsi" w:hAnsiTheme="minorHAnsi" w:cstheme="minorHAnsi"/>
          <w:color w:val="000000"/>
          <w:sz w:val="22"/>
          <w:szCs w:val="22"/>
          <w:shd w:val="clear" w:color="auto" w:fill="FFFFFF"/>
        </w:rPr>
        <w:t xml:space="preserve"> (19 punktas).</w:t>
      </w:r>
    </w:p>
    <w:p w:rsidR="00CB0B9D" w:rsidRPr="007A5B04" w:rsidRDefault="00CB0B9D" w:rsidP="00CB0B9D">
      <w:pPr>
        <w:pStyle w:val="c01pointnumerotealtn"/>
        <w:shd w:val="clear" w:color="auto" w:fill="FFFFFF"/>
        <w:spacing w:before="0" w:beforeAutospacing="0" w:after="0"/>
        <w:ind w:left="0" w:firstLine="567"/>
        <w:rPr>
          <w:rFonts w:asciiTheme="minorHAnsi" w:hAnsiTheme="minorHAnsi" w:cstheme="minorHAnsi"/>
          <w:color w:val="000000"/>
          <w:sz w:val="22"/>
          <w:szCs w:val="22"/>
          <w:shd w:val="clear" w:color="auto" w:fill="FFFFFF"/>
        </w:rPr>
      </w:pPr>
      <w:r w:rsidRPr="007A5B04">
        <w:rPr>
          <w:rFonts w:asciiTheme="minorHAnsi" w:hAnsiTheme="minorHAnsi" w:cstheme="minorHAnsi"/>
          <w:color w:val="000000"/>
          <w:sz w:val="22"/>
          <w:szCs w:val="22"/>
          <w:shd w:val="clear" w:color="auto" w:fill="FFFFFF"/>
        </w:rPr>
        <w:t>Tą pačią dieną BMA Vilniaus apygardos administraciniam teismui pateikė skundą, jame prašė panaikinti 2016 m. gegužės 18 d. sprendimą. Šiuo klausimu BMA, be kita ko, tvirtin</w:t>
      </w:r>
      <w:r>
        <w:rPr>
          <w:rFonts w:asciiTheme="minorHAnsi" w:hAnsiTheme="minorHAnsi" w:cstheme="minorHAnsi"/>
          <w:color w:val="000000"/>
          <w:sz w:val="22"/>
          <w:szCs w:val="22"/>
          <w:shd w:val="clear" w:color="auto" w:fill="FFFFFF"/>
        </w:rPr>
        <w:t>o</w:t>
      </w:r>
      <w:r w:rsidRPr="007A5B04">
        <w:rPr>
          <w:rFonts w:asciiTheme="minorHAnsi" w:hAnsiTheme="minorHAnsi" w:cstheme="minorHAnsi"/>
          <w:color w:val="000000"/>
          <w:sz w:val="22"/>
          <w:szCs w:val="22"/>
          <w:shd w:val="clear" w:color="auto" w:fill="FFFFFF"/>
        </w:rPr>
        <w:t>, kad sprendimas buvo priimtas pažeidžiant Direktyvos 2010/13 3 straipsnio 2 dalį ir</w:t>
      </w:r>
      <w:r>
        <w:rPr>
          <w:rFonts w:asciiTheme="minorHAnsi" w:hAnsiTheme="minorHAnsi" w:cstheme="minorHAnsi"/>
          <w:color w:val="000000"/>
          <w:sz w:val="22"/>
          <w:szCs w:val="22"/>
          <w:shd w:val="clear" w:color="auto" w:fill="FFFFFF"/>
        </w:rPr>
        <w:t>,</w:t>
      </w:r>
      <w:r w:rsidRPr="007A5B04">
        <w:rPr>
          <w:rFonts w:asciiTheme="minorHAnsi" w:hAnsiTheme="minorHAnsi" w:cstheme="minorHAnsi"/>
          <w:color w:val="000000"/>
          <w:sz w:val="22"/>
          <w:szCs w:val="22"/>
          <w:shd w:val="clear" w:color="auto" w:fill="FFFFFF"/>
        </w:rPr>
        <w:t xml:space="preserve"> kad jis apribojo galimybę retransliuoti televizijos programą iš valstybės narės. Taigi šį apribojimą pateisinančios priežastys ir procedūra, kurią vykdant priimtas tas sprendimas, turėjo atitikti šią nuostatą. Tačiau šiuo atveju taip nebuvo</w:t>
      </w:r>
      <w:r>
        <w:rPr>
          <w:rFonts w:asciiTheme="minorHAnsi" w:hAnsiTheme="minorHAnsi" w:cstheme="minorHAnsi"/>
          <w:color w:val="000000"/>
          <w:sz w:val="22"/>
          <w:szCs w:val="22"/>
          <w:shd w:val="clear" w:color="auto" w:fill="FFFFFF"/>
        </w:rPr>
        <w:t xml:space="preserve"> (20 punktas).</w:t>
      </w:r>
    </w:p>
    <w:p w:rsidR="001362AB" w:rsidRDefault="00CB0B9D" w:rsidP="001362AB">
      <w:pPr>
        <w:pStyle w:val="c01pointnumerotealtn"/>
        <w:shd w:val="clear" w:color="auto" w:fill="FFFFFF"/>
        <w:spacing w:before="0" w:beforeAutospacing="0" w:after="0"/>
        <w:ind w:left="0" w:firstLine="567"/>
        <w:rPr>
          <w:rFonts w:asciiTheme="minorHAnsi" w:hAnsiTheme="minorHAnsi" w:cstheme="minorHAnsi"/>
          <w:color w:val="000000"/>
          <w:sz w:val="22"/>
          <w:szCs w:val="22"/>
          <w:shd w:val="clear" w:color="auto" w:fill="FFFFFF"/>
        </w:rPr>
      </w:pPr>
      <w:r w:rsidRPr="007A5B04">
        <w:rPr>
          <w:rFonts w:asciiTheme="minorHAnsi" w:hAnsiTheme="minorHAnsi" w:cstheme="minorHAnsi"/>
          <w:color w:val="000000"/>
          <w:sz w:val="22"/>
          <w:szCs w:val="22"/>
          <w:shd w:val="clear" w:color="auto" w:fill="FFFFFF"/>
        </w:rPr>
        <w:t xml:space="preserve">Vilniaus apygardos administracinis teismas nutarė sustabdyti bylos nagrinėjimą ir </w:t>
      </w:r>
      <w:r w:rsidR="001362AB">
        <w:rPr>
          <w:rFonts w:asciiTheme="minorHAnsi" w:hAnsiTheme="minorHAnsi" w:cstheme="minorHAnsi"/>
          <w:color w:val="000000"/>
          <w:sz w:val="22"/>
          <w:szCs w:val="22"/>
          <w:shd w:val="clear" w:color="auto" w:fill="FFFFFF"/>
        </w:rPr>
        <w:t xml:space="preserve">kreipėsi į </w:t>
      </w:r>
      <w:r w:rsidRPr="007A5B04">
        <w:rPr>
          <w:rFonts w:asciiTheme="minorHAnsi" w:hAnsiTheme="minorHAnsi" w:cstheme="minorHAnsi"/>
          <w:color w:val="000000"/>
          <w:sz w:val="22"/>
          <w:szCs w:val="22"/>
          <w:shd w:val="clear" w:color="auto" w:fill="FFFFFF"/>
        </w:rPr>
        <w:t>Teisingumo Teism</w:t>
      </w:r>
      <w:r w:rsidR="001362AB">
        <w:rPr>
          <w:rFonts w:asciiTheme="minorHAnsi" w:hAnsiTheme="minorHAnsi" w:cstheme="minorHAnsi"/>
          <w:color w:val="000000"/>
          <w:sz w:val="22"/>
          <w:szCs w:val="22"/>
          <w:shd w:val="clear" w:color="auto" w:fill="FFFFFF"/>
        </w:rPr>
        <w:t xml:space="preserve">ą dėl </w:t>
      </w:r>
      <w:r w:rsidRPr="007A5B04">
        <w:rPr>
          <w:rFonts w:asciiTheme="minorHAnsi" w:hAnsiTheme="minorHAnsi" w:cstheme="minorHAnsi"/>
          <w:color w:val="000000"/>
          <w:sz w:val="22"/>
          <w:szCs w:val="22"/>
          <w:shd w:val="clear" w:color="auto" w:fill="FFFFFF"/>
        </w:rPr>
        <w:t xml:space="preserve">Direktyvos 2010/13 3 straipsnio </w:t>
      </w:r>
      <w:r w:rsidR="001362AB">
        <w:rPr>
          <w:rFonts w:asciiTheme="minorHAnsi" w:hAnsiTheme="minorHAnsi" w:cstheme="minorHAnsi"/>
          <w:color w:val="000000"/>
          <w:sz w:val="22"/>
          <w:szCs w:val="22"/>
          <w:shd w:val="clear" w:color="auto" w:fill="FFFFFF"/>
        </w:rPr>
        <w:t>nuostatų išaiškinimo.</w:t>
      </w:r>
    </w:p>
    <w:p w:rsidR="00CB0B9D" w:rsidRDefault="00CB0B9D" w:rsidP="00CB0B9D">
      <w:pPr>
        <w:pStyle w:val="c01pointnumerotealtn"/>
        <w:shd w:val="clear" w:color="auto" w:fill="FFFFFF"/>
        <w:spacing w:before="0" w:beforeAutospacing="0" w:after="0"/>
        <w:ind w:left="0" w:firstLine="567"/>
        <w:rPr>
          <w:rFonts w:asciiTheme="minorHAnsi" w:hAnsiTheme="minorHAnsi" w:cstheme="minorHAnsi"/>
          <w:color w:val="000000"/>
          <w:sz w:val="22"/>
          <w:szCs w:val="22"/>
          <w:shd w:val="clear" w:color="auto" w:fill="FFFFFF"/>
        </w:rPr>
      </w:pPr>
    </w:p>
    <w:p w:rsidR="00CB0B9D" w:rsidRPr="001362AB" w:rsidRDefault="00CB0B9D" w:rsidP="001362AB">
      <w:pPr>
        <w:pStyle w:val="Heading3"/>
        <w:ind w:firstLine="567"/>
        <w:rPr>
          <w:rFonts w:cstheme="minorHAnsi"/>
        </w:rPr>
      </w:pPr>
      <w:bookmarkStart w:id="83" w:name="_Toc21941980"/>
      <w:r w:rsidRPr="001362AB">
        <w:rPr>
          <w:rFonts w:cstheme="minorHAnsi"/>
        </w:rPr>
        <w:t>Dėl redakcinės atsakomybės</w:t>
      </w:r>
      <w:bookmarkEnd w:id="83"/>
    </w:p>
    <w:p w:rsidR="00CB0B9D" w:rsidRPr="00800D62" w:rsidRDefault="00CB0B9D" w:rsidP="00CB0B9D">
      <w:pPr>
        <w:pStyle w:val="c01pointnumerotealtn"/>
        <w:shd w:val="clear" w:color="auto" w:fill="FFFFFF"/>
        <w:spacing w:before="0" w:beforeAutospacing="0" w:after="0"/>
        <w:ind w:left="0" w:firstLine="567"/>
        <w:rPr>
          <w:rFonts w:asciiTheme="minorHAnsi" w:hAnsiTheme="minorHAnsi" w:cstheme="minorHAnsi"/>
          <w:b/>
          <w:bCs/>
          <w:i/>
          <w:iCs/>
          <w:color w:val="000000"/>
          <w:sz w:val="22"/>
          <w:szCs w:val="22"/>
          <w:shd w:val="clear" w:color="auto" w:fill="FFFFFF"/>
        </w:rPr>
      </w:pPr>
    </w:p>
    <w:p w:rsidR="00CB0B9D" w:rsidRDefault="00CB0B9D" w:rsidP="00CB0B9D">
      <w:pPr>
        <w:pStyle w:val="c01pointnumerotealtn"/>
        <w:shd w:val="clear" w:color="auto" w:fill="FFFFFF"/>
        <w:spacing w:before="0" w:beforeAutospacing="0" w:after="0"/>
        <w:ind w:left="0" w:firstLine="567"/>
        <w:rPr>
          <w:rFonts w:asciiTheme="minorHAnsi" w:hAnsiTheme="minorHAnsi" w:cstheme="minorHAnsi"/>
          <w:color w:val="000000"/>
          <w:sz w:val="22"/>
          <w:szCs w:val="22"/>
          <w:shd w:val="clear" w:color="auto" w:fill="FFFFFF"/>
        </w:rPr>
      </w:pPr>
      <w:r w:rsidRPr="009850A8">
        <w:rPr>
          <w:rFonts w:asciiTheme="minorHAnsi" w:hAnsiTheme="minorHAnsi" w:cstheme="minorHAnsi"/>
          <w:color w:val="000000"/>
          <w:sz w:val="22"/>
          <w:szCs w:val="22"/>
          <w:shd w:val="clear" w:color="auto" w:fill="FFFFFF"/>
        </w:rPr>
        <w:t>Lietuvos vyriausybė tvirtin</w:t>
      </w:r>
      <w:r>
        <w:rPr>
          <w:rFonts w:asciiTheme="minorHAnsi" w:hAnsiTheme="minorHAnsi" w:cstheme="minorHAnsi"/>
          <w:color w:val="000000"/>
          <w:sz w:val="22"/>
          <w:szCs w:val="22"/>
          <w:shd w:val="clear" w:color="auto" w:fill="FFFFFF"/>
        </w:rPr>
        <w:t>o</w:t>
      </w:r>
      <w:r w:rsidRPr="009850A8">
        <w:rPr>
          <w:rFonts w:asciiTheme="minorHAnsi" w:hAnsiTheme="minorHAnsi" w:cstheme="minorHAnsi"/>
          <w:color w:val="000000"/>
          <w:sz w:val="22"/>
          <w:szCs w:val="22"/>
          <w:shd w:val="clear" w:color="auto" w:fill="FFFFFF"/>
        </w:rPr>
        <w:t>, kad televizijos programos „NTV Mir Lithuania“ atskiras programas kuria Rusijoje įsteigta įmonė, o Jungtinėje Karalystėje įsteigta BMA tik teikia šios televizijos programos transliavimo Lietuvos teritorijoje paslaugas, tačiau neprisiima jokios redakcinės atsakomybės už jos turinį</w:t>
      </w:r>
      <w:r>
        <w:rPr>
          <w:rFonts w:asciiTheme="minorHAnsi" w:hAnsiTheme="minorHAnsi" w:cstheme="minorHAnsi"/>
          <w:color w:val="000000"/>
          <w:sz w:val="22"/>
          <w:szCs w:val="22"/>
          <w:shd w:val="clear" w:color="auto" w:fill="FFFFFF"/>
        </w:rPr>
        <w:t xml:space="preserve"> (36 punktas).</w:t>
      </w:r>
    </w:p>
    <w:p w:rsidR="00CB0B9D" w:rsidRDefault="00CB0B9D" w:rsidP="00CB0B9D">
      <w:pPr>
        <w:pStyle w:val="c01pointnumerotealtn"/>
        <w:shd w:val="clear" w:color="auto" w:fill="FFFFFF"/>
        <w:spacing w:before="0" w:beforeAutospacing="0" w:after="0"/>
        <w:ind w:left="0" w:firstLine="567"/>
        <w:rPr>
          <w:rFonts w:asciiTheme="minorHAnsi" w:hAnsiTheme="minorHAnsi" w:cstheme="minorHAnsi"/>
          <w:color w:val="000000"/>
          <w:sz w:val="22"/>
          <w:szCs w:val="22"/>
          <w:shd w:val="clear" w:color="auto" w:fill="FFFFFF"/>
        </w:rPr>
      </w:pPr>
      <w:r>
        <w:rPr>
          <w:rFonts w:asciiTheme="minorHAnsi" w:hAnsiTheme="minorHAnsi" w:cstheme="minorHAnsi"/>
          <w:color w:val="000000"/>
          <w:sz w:val="22"/>
          <w:szCs w:val="22"/>
          <w:shd w:val="clear" w:color="auto" w:fill="FFFFFF"/>
        </w:rPr>
        <w:t xml:space="preserve">Teisingumo Teismas </w:t>
      </w:r>
      <w:r w:rsidRPr="00AB3865">
        <w:rPr>
          <w:rFonts w:asciiTheme="minorHAnsi" w:hAnsiTheme="minorHAnsi" w:cstheme="minorHAnsi"/>
          <w:color w:val="000000"/>
          <w:sz w:val="22"/>
          <w:szCs w:val="22"/>
          <w:shd w:val="clear" w:color="auto" w:fill="FFFFFF"/>
        </w:rPr>
        <w:t xml:space="preserve">pažymėjo, </w:t>
      </w:r>
      <w:r>
        <w:rPr>
          <w:rFonts w:asciiTheme="minorHAnsi" w:hAnsiTheme="minorHAnsi" w:cstheme="minorHAnsi"/>
          <w:color w:val="000000"/>
          <w:sz w:val="22"/>
          <w:szCs w:val="22"/>
          <w:shd w:val="clear" w:color="auto" w:fill="FFFFFF"/>
        </w:rPr>
        <w:t>jog</w:t>
      </w:r>
      <w:r w:rsidRPr="00AB3865">
        <w:rPr>
          <w:rFonts w:asciiTheme="minorHAnsi" w:hAnsiTheme="minorHAnsi" w:cstheme="minorHAnsi"/>
          <w:color w:val="000000"/>
          <w:sz w:val="22"/>
          <w:szCs w:val="22"/>
          <w:shd w:val="clear" w:color="auto" w:fill="FFFFFF"/>
        </w:rPr>
        <w:t xml:space="preserve"> Direktyvos 2010/13 2 straipsnio 2 dalies a punkte numatyta, kad valstybių narių jurisdikcijai priklauso žiniasklaidos paslaugų teikėjai, kaip jie suprantami pagal šios direktyvos 1 straipsnio 1 dalies d punktą, kurie laikomi įsisteigusiais toje valstybėje narėje pagal minėto 2 straipsnio 3 dalį. Sąvoka „redakcinė atsakomybė“ šios direktyvos 1 straipsnio 1 dalies c punkte apibrėžta kaip „veiksminga kontrolė tiek atrenkant programas, tiek ir jas išdėstant chronologine tvarka televizijos programų transliavimo atveju, ar pateikiant kataloge užsakomųjų audiovizualinės žiniasklaidos paslaugų teikimo atveju“. Minėtos direktyvos 1 straipsnio 1 dalies d punkte apibrėžtą </w:t>
      </w:r>
      <w:r w:rsidRPr="00AB3865">
        <w:rPr>
          <w:rFonts w:asciiTheme="minorHAnsi" w:hAnsiTheme="minorHAnsi" w:cstheme="minorHAnsi"/>
          <w:color w:val="000000"/>
          <w:sz w:val="22"/>
          <w:szCs w:val="22"/>
          <w:u w:val="single"/>
          <w:shd w:val="clear" w:color="auto" w:fill="FFFFFF"/>
        </w:rPr>
        <w:t>žiniasklaidos paslaugų teikėją apibūdina šios kontrolės vykdymas, lemiantis redakcinių sprendimų priėmimą, ir aplinkybė, kad jis prisiima su tuo susijusią redakcinę atsakomybę</w:t>
      </w:r>
      <w:r w:rsidRPr="00AB3865">
        <w:rPr>
          <w:rFonts w:asciiTheme="minorHAnsi" w:hAnsiTheme="minorHAnsi" w:cstheme="minorHAnsi"/>
          <w:color w:val="000000"/>
          <w:sz w:val="22"/>
          <w:szCs w:val="22"/>
          <w:shd w:val="clear" w:color="auto" w:fill="FFFFFF"/>
        </w:rPr>
        <w:t xml:space="preserve">. Taigi valstybėje narėje gyvenantis fizinis arba joje įsisteigęs juridinis asmuo </w:t>
      </w:r>
      <w:r w:rsidRPr="00AB3865">
        <w:rPr>
          <w:rFonts w:asciiTheme="minorHAnsi" w:hAnsiTheme="minorHAnsi" w:cstheme="minorHAnsi"/>
          <w:color w:val="000000"/>
          <w:sz w:val="22"/>
          <w:szCs w:val="22"/>
          <w:u w:val="single"/>
          <w:shd w:val="clear" w:color="auto" w:fill="FFFFFF"/>
        </w:rPr>
        <w:t>prisiima redakcinę atsakomybę</w:t>
      </w:r>
      <w:r w:rsidRPr="00AB3865">
        <w:rPr>
          <w:rFonts w:asciiTheme="minorHAnsi" w:hAnsiTheme="minorHAnsi" w:cstheme="minorHAnsi"/>
          <w:color w:val="000000"/>
          <w:sz w:val="22"/>
          <w:szCs w:val="22"/>
          <w:shd w:val="clear" w:color="auto" w:fill="FFFFFF"/>
        </w:rPr>
        <w:t xml:space="preserve">, kaip ji suprantama pagal Direktyvos 2010/13 1 straipsnio 1 dalies c punktą, dėl transliuojamos televizijos programos atskirų programų, </w:t>
      </w:r>
      <w:r w:rsidRPr="00AB3865">
        <w:rPr>
          <w:rFonts w:asciiTheme="minorHAnsi" w:hAnsiTheme="minorHAnsi" w:cstheme="minorHAnsi"/>
          <w:color w:val="000000"/>
          <w:sz w:val="22"/>
          <w:szCs w:val="22"/>
          <w:u w:val="single"/>
          <w:shd w:val="clear" w:color="auto" w:fill="FFFFFF"/>
        </w:rPr>
        <w:t>jeigu jis tokios televizijos programos atskiras programas atrenka ir išdėsto chronologine tvarka. Tad tokiu atveju jis yra žiniasklaidos paslaugų teikėjas</w:t>
      </w:r>
      <w:r w:rsidRPr="00AB3865">
        <w:rPr>
          <w:rFonts w:asciiTheme="minorHAnsi" w:hAnsiTheme="minorHAnsi" w:cstheme="minorHAnsi"/>
          <w:color w:val="000000"/>
          <w:sz w:val="22"/>
          <w:szCs w:val="22"/>
          <w:shd w:val="clear" w:color="auto" w:fill="FFFFFF"/>
        </w:rPr>
        <w:t>, kaip tai suprantama pagal šios direktyvos 1 straipsnio 1 dalies d punktą</w:t>
      </w:r>
      <w:r>
        <w:rPr>
          <w:rFonts w:asciiTheme="minorHAnsi" w:hAnsiTheme="minorHAnsi" w:cstheme="minorHAnsi"/>
          <w:color w:val="000000"/>
          <w:sz w:val="22"/>
          <w:szCs w:val="22"/>
          <w:shd w:val="clear" w:color="auto" w:fill="FFFFFF"/>
        </w:rPr>
        <w:t xml:space="preserve"> (37, 40–41 punktai)</w:t>
      </w:r>
      <w:r w:rsidRPr="00AB3865">
        <w:rPr>
          <w:rFonts w:asciiTheme="minorHAnsi" w:hAnsiTheme="minorHAnsi" w:cstheme="minorHAnsi"/>
          <w:color w:val="000000"/>
          <w:sz w:val="22"/>
          <w:szCs w:val="22"/>
          <w:shd w:val="clear" w:color="auto" w:fill="FFFFFF"/>
        </w:rPr>
        <w:t>.</w:t>
      </w:r>
    </w:p>
    <w:p w:rsidR="00CB0B9D" w:rsidRDefault="00CB0B9D" w:rsidP="00CB0B9D">
      <w:pPr>
        <w:pStyle w:val="c01pointnumerotealtn"/>
        <w:shd w:val="clear" w:color="auto" w:fill="FFFFFF"/>
        <w:spacing w:before="0" w:beforeAutospacing="0" w:after="0"/>
        <w:ind w:left="0" w:firstLine="567"/>
        <w:rPr>
          <w:rFonts w:asciiTheme="minorHAnsi" w:hAnsiTheme="minorHAnsi" w:cstheme="minorHAnsi"/>
          <w:color w:val="000000"/>
          <w:sz w:val="22"/>
          <w:szCs w:val="22"/>
          <w:shd w:val="clear" w:color="auto" w:fill="FFFFFF"/>
        </w:rPr>
      </w:pPr>
      <w:r>
        <w:rPr>
          <w:rFonts w:asciiTheme="minorHAnsi" w:hAnsiTheme="minorHAnsi" w:cstheme="minorHAnsi"/>
          <w:color w:val="000000"/>
          <w:sz w:val="22"/>
          <w:szCs w:val="22"/>
          <w:shd w:val="clear" w:color="auto" w:fill="FFFFFF"/>
        </w:rPr>
        <w:t xml:space="preserve">Teisingumo Teismas pabrėžė, </w:t>
      </w:r>
      <w:r w:rsidRPr="00AB3865">
        <w:rPr>
          <w:rFonts w:asciiTheme="minorHAnsi" w:hAnsiTheme="minorHAnsi" w:cstheme="minorHAnsi"/>
          <w:color w:val="000000"/>
          <w:sz w:val="22"/>
          <w:szCs w:val="22"/>
          <w:shd w:val="clear" w:color="auto" w:fill="FFFFFF"/>
        </w:rPr>
        <w:t xml:space="preserve">kad </w:t>
      </w:r>
      <w:r>
        <w:rPr>
          <w:rFonts w:asciiTheme="minorHAnsi" w:hAnsiTheme="minorHAnsi" w:cstheme="minorHAnsi"/>
          <w:color w:val="000000"/>
          <w:sz w:val="22"/>
          <w:szCs w:val="22"/>
          <w:shd w:val="clear" w:color="auto" w:fill="FFFFFF"/>
        </w:rPr>
        <w:t>v</w:t>
      </w:r>
      <w:r w:rsidRPr="00AB3865">
        <w:rPr>
          <w:rFonts w:asciiTheme="minorHAnsi" w:hAnsiTheme="minorHAnsi" w:cstheme="minorHAnsi"/>
          <w:color w:val="000000"/>
          <w:sz w:val="22"/>
          <w:szCs w:val="22"/>
          <w:shd w:val="clear" w:color="auto" w:fill="FFFFFF"/>
        </w:rPr>
        <w:t>is dėlto, kaip matyti iš Direktyvos 2010/13 26 konstatuojamosios dalies, žiniasklaidos paslaugų teikėjo apibrėžtis neapima fizinių ar juridinių asmenų, tik perduodančių programas, už kurias redakcinė atsakomybė tenka trečiosioms šalims</w:t>
      </w:r>
      <w:r>
        <w:rPr>
          <w:rFonts w:asciiTheme="minorHAnsi" w:hAnsiTheme="minorHAnsi" w:cstheme="minorHAnsi"/>
          <w:color w:val="000000"/>
          <w:sz w:val="22"/>
          <w:szCs w:val="22"/>
          <w:shd w:val="clear" w:color="auto" w:fill="FFFFFF"/>
        </w:rPr>
        <w:t xml:space="preserve"> (42 punktas).</w:t>
      </w:r>
    </w:p>
    <w:p w:rsidR="00CB0B9D" w:rsidRDefault="00CB0B9D" w:rsidP="00CB0B9D">
      <w:pPr>
        <w:pStyle w:val="c01pointnumerotealtn"/>
        <w:shd w:val="clear" w:color="auto" w:fill="FFFFFF"/>
        <w:spacing w:before="0" w:beforeAutospacing="0" w:after="0"/>
        <w:ind w:left="0" w:firstLine="567"/>
        <w:rPr>
          <w:rFonts w:asciiTheme="minorHAnsi" w:hAnsiTheme="minorHAnsi" w:cstheme="minorHAnsi"/>
          <w:color w:val="000000"/>
          <w:sz w:val="22"/>
          <w:szCs w:val="22"/>
          <w:shd w:val="clear" w:color="auto" w:fill="FFFFFF"/>
        </w:rPr>
      </w:pPr>
      <w:r w:rsidRPr="002C46DA">
        <w:rPr>
          <w:rFonts w:asciiTheme="minorHAnsi" w:hAnsiTheme="minorHAnsi" w:cstheme="minorHAnsi"/>
          <w:color w:val="000000"/>
          <w:sz w:val="22"/>
          <w:szCs w:val="22"/>
          <w:shd w:val="clear" w:color="auto" w:fill="FFFFFF"/>
        </w:rPr>
        <w:t xml:space="preserve">Kalbant apie įvairius veiksnius, į kuriuos šiuo klausimu reikia atsižvelgti, </w:t>
      </w:r>
      <w:r>
        <w:rPr>
          <w:rFonts w:asciiTheme="minorHAnsi" w:hAnsiTheme="minorHAnsi" w:cstheme="minorHAnsi"/>
          <w:color w:val="000000"/>
          <w:sz w:val="22"/>
          <w:szCs w:val="22"/>
          <w:shd w:val="clear" w:color="auto" w:fill="FFFFFF"/>
        </w:rPr>
        <w:t xml:space="preserve">Teisingumo Teismas </w:t>
      </w:r>
      <w:r w:rsidRPr="002C46DA">
        <w:rPr>
          <w:rFonts w:asciiTheme="minorHAnsi" w:hAnsiTheme="minorHAnsi" w:cstheme="minorHAnsi"/>
          <w:color w:val="000000"/>
          <w:sz w:val="22"/>
          <w:szCs w:val="22"/>
          <w:shd w:val="clear" w:color="auto" w:fill="FFFFFF"/>
        </w:rPr>
        <w:t>pažymė</w:t>
      </w:r>
      <w:r>
        <w:rPr>
          <w:rFonts w:asciiTheme="minorHAnsi" w:hAnsiTheme="minorHAnsi" w:cstheme="minorHAnsi"/>
          <w:color w:val="000000"/>
          <w:sz w:val="22"/>
          <w:szCs w:val="22"/>
          <w:shd w:val="clear" w:color="auto" w:fill="FFFFFF"/>
        </w:rPr>
        <w:t>jo</w:t>
      </w:r>
      <w:r w:rsidRPr="002C46DA">
        <w:rPr>
          <w:rFonts w:asciiTheme="minorHAnsi" w:hAnsiTheme="minorHAnsi" w:cstheme="minorHAnsi"/>
          <w:color w:val="000000"/>
          <w:sz w:val="22"/>
          <w:szCs w:val="22"/>
          <w:shd w:val="clear" w:color="auto" w:fill="FFFFFF"/>
        </w:rPr>
        <w:t xml:space="preserve">, jog </w:t>
      </w:r>
      <w:r w:rsidRPr="002C46DA">
        <w:rPr>
          <w:rFonts w:asciiTheme="minorHAnsi" w:hAnsiTheme="minorHAnsi" w:cstheme="minorHAnsi"/>
          <w:color w:val="000000"/>
          <w:sz w:val="22"/>
          <w:szCs w:val="22"/>
          <w:u w:val="single"/>
          <w:shd w:val="clear" w:color="auto" w:fill="FFFFFF"/>
        </w:rPr>
        <w:t>nors aplinkybė, kad atitinkamas asmuo gavo valstybės narės reguliavimo institucijos licenciją, gali būti veiksnys, rodantis, kad toks asmuo prisiėmė redakcinę atsakomybę už transliuojamos televizijos programos atskiras programas</w:t>
      </w:r>
      <w:r w:rsidRPr="002C46DA">
        <w:rPr>
          <w:rFonts w:asciiTheme="minorHAnsi" w:hAnsiTheme="minorHAnsi" w:cstheme="minorHAnsi"/>
          <w:color w:val="000000"/>
          <w:sz w:val="22"/>
          <w:szCs w:val="22"/>
          <w:shd w:val="clear" w:color="auto" w:fill="FFFFFF"/>
        </w:rPr>
        <w:t xml:space="preserve">, vis dėlto </w:t>
      </w:r>
      <w:r>
        <w:rPr>
          <w:rFonts w:asciiTheme="minorHAnsi" w:hAnsiTheme="minorHAnsi" w:cstheme="minorHAnsi"/>
          <w:color w:val="000000"/>
          <w:sz w:val="22"/>
          <w:szCs w:val="22"/>
          <w:shd w:val="clear" w:color="auto" w:fill="FFFFFF"/>
        </w:rPr>
        <w:t>&lt;...&gt;</w:t>
      </w:r>
      <w:r w:rsidRPr="002C46DA">
        <w:rPr>
          <w:rFonts w:asciiTheme="minorHAnsi" w:hAnsiTheme="minorHAnsi" w:cstheme="minorHAnsi"/>
          <w:color w:val="000000"/>
          <w:sz w:val="22"/>
          <w:szCs w:val="22"/>
          <w:shd w:val="clear" w:color="auto" w:fill="FFFFFF"/>
        </w:rPr>
        <w:t xml:space="preserve"> </w:t>
      </w:r>
      <w:r w:rsidRPr="002C46DA">
        <w:rPr>
          <w:rFonts w:asciiTheme="minorHAnsi" w:hAnsiTheme="minorHAnsi" w:cstheme="minorHAnsi"/>
          <w:color w:val="000000"/>
          <w:sz w:val="22"/>
          <w:szCs w:val="22"/>
          <w:u w:val="single"/>
          <w:shd w:val="clear" w:color="auto" w:fill="FFFFFF"/>
        </w:rPr>
        <w:t>toks veiksnys negali būti lemiamas, Sąjungos teisės aktų leidėjui Direktyvoje 2010/13 nesuderinus licencijų ar administracinių leidimų teikti audiovizualinės žiniasklaidos paslaugas išdavimo tvarkos</w:t>
      </w:r>
      <w:r w:rsidRPr="002C46DA">
        <w:rPr>
          <w:rFonts w:asciiTheme="minorHAnsi" w:hAnsiTheme="minorHAnsi" w:cstheme="minorHAnsi"/>
          <w:color w:val="000000"/>
          <w:sz w:val="22"/>
          <w:szCs w:val="22"/>
          <w:shd w:val="clear" w:color="auto" w:fill="FFFFFF"/>
        </w:rPr>
        <w:t>. Be to, reikia įvertinti, ar atitinkamas asmuo turi įgaliojimus priimti galutinį sprendimą dėl pačios audiovizualinės žiniasklaidos paslaugos pasiūlymo, o tai reiškia, kad jis turi turėti pakankamai materialinių ir žmogiškųjų išteklių, kad galėtų prisiimti tokią atsakomybę</w:t>
      </w:r>
      <w:r>
        <w:rPr>
          <w:rFonts w:asciiTheme="minorHAnsi" w:hAnsiTheme="minorHAnsi" w:cstheme="minorHAnsi"/>
          <w:color w:val="000000"/>
          <w:sz w:val="22"/>
          <w:szCs w:val="22"/>
          <w:shd w:val="clear" w:color="auto" w:fill="FFFFFF"/>
        </w:rPr>
        <w:t xml:space="preserve"> &lt;...&gt; (43 punktas).</w:t>
      </w:r>
    </w:p>
    <w:p w:rsidR="00CB0B9D" w:rsidRDefault="00CB0B9D" w:rsidP="00CB0B9D">
      <w:pPr>
        <w:pStyle w:val="c01pointnumerotealtn"/>
        <w:shd w:val="clear" w:color="auto" w:fill="FFFFFF"/>
        <w:spacing w:before="0" w:beforeAutospacing="0" w:after="0"/>
        <w:ind w:left="0" w:firstLine="567"/>
        <w:rPr>
          <w:rFonts w:asciiTheme="minorHAnsi" w:hAnsiTheme="minorHAnsi" w:cstheme="minorHAnsi"/>
          <w:color w:val="000000"/>
          <w:sz w:val="22"/>
          <w:szCs w:val="22"/>
          <w:shd w:val="clear" w:color="auto" w:fill="FFFFFF"/>
        </w:rPr>
      </w:pPr>
      <w:r w:rsidRPr="002C46DA">
        <w:rPr>
          <w:rFonts w:asciiTheme="minorHAnsi" w:hAnsiTheme="minorHAnsi" w:cstheme="minorHAnsi"/>
          <w:color w:val="000000"/>
          <w:sz w:val="22"/>
          <w:szCs w:val="22"/>
          <w:shd w:val="clear" w:color="auto" w:fill="FFFFFF"/>
        </w:rPr>
        <w:t xml:space="preserve">Teisingumo Teismas nurodė, kad Direktyvos 2010/13 2 straipsnio 3 dalies a–c punktuose išvardyti atvejai, kai </w:t>
      </w:r>
      <w:r w:rsidRPr="00DF02CA">
        <w:rPr>
          <w:rFonts w:asciiTheme="minorHAnsi" w:hAnsiTheme="minorHAnsi" w:cstheme="minorHAnsi"/>
          <w:color w:val="000000"/>
          <w:sz w:val="22"/>
          <w:szCs w:val="22"/>
          <w:u w:val="single"/>
          <w:shd w:val="clear" w:color="auto" w:fill="FFFFFF"/>
        </w:rPr>
        <w:t>žiniasklaidos paslaugų teikėjas laikomas įsisteigusiu valstybėje narėje, taigi, patenka į šios direktyvos taikymo sritį</w:t>
      </w:r>
      <w:r w:rsidRPr="002C46DA">
        <w:rPr>
          <w:rFonts w:asciiTheme="minorHAnsi" w:hAnsiTheme="minorHAnsi" w:cstheme="minorHAnsi"/>
          <w:color w:val="000000"/>
          <w:sz w:val="22"/>
          <w:szCs w:val="22"/>
          <w:shd w:val="clear" w:color="auto" w:fill="FFFFFF"/>
        </w:rPr>
        <w:t xml:space="preserve">. Iš Direktyvos 2010/13 2 straipsnio 3 dalies a punkto matyti, kad žiniasklaidos paslaugų teikėjas laikomas įsisteigusiu valstybėje narėje tuo atveju, kai </w:t>
      </w:r>
      <w:r w:rsidRPr="00DF02CA">
        <w:rPr>
          <w:rFonts w:asciiTheme="minorHAnsi" w:hAnsiTheme="minorHAnsi" w:cstheme="minorHAnsi"/>
          <w:color w:val="000000"/>
          <w:sz w:val="22"/>
          <w:szCs w:val="22"/>
          <w:u w:val="single"/>
          <w:shd w:val="clear" w:color="auto" w:fill="FFFFFF"/>
        </w:rPr>
        <w:t>jo pagrindinė buveinė yra toje valstybėje narėje</w:t>
      </w:r>
      <w:r w:rsidRPr="002C46DA">
        <w:rPr>
          <w:rFonts w:asciiTheme="minorHAnsi" w:hAnsiTheme="minorHAnsi" w:cstheme="minorHAnsi"/>
          <w:color w:val="000000"/>
          <w:sz w:val="22"/>
          <w:szCs w:val="22"/>
          <w:shd w:val="clear" w:color="auto" w:fill="FFFFFF"/>
        </w:rPr>
        <w:t xml:space="preserve"> </w:t>
      </w:r>
      <w:r w:rsidRPr="00DF02CA">
        <w:rPr>
          <w:rFonts w:asciiTheme="minorHAnsi" w:hAnsiTheme="minorHAnsi" w:cstheme="minorHAnsi"/>
          <w:color w:val="000000"/>
          <w:sz w:val="22"/>
          <w:szCs w:val="22"/>
          <w:u w:val="single"/>
          <w:shd w:val="clear" w:color="auto" w:fill="FFFFFF"/>
        </w:rPr>
        <w:t>ir</w:t>
      </w:r>
      <w:r w:rsidRPr="002C46DA">
        <w:rPr>
          <w:rFonts w:asciiTheme="minorHAnsi" w:hAnsiTheme="minorHAnsi" w:cstheme="minorHAnsi"/>
          <w:color w:val="000000"/>
          <w:sz w:val="22"/>
          <w:szCs w:val="22"/>
          <w:shd w:val="clear" w:color="auto" w:fill="FFFFFF"/>
        </w:rPr>
        <w:t xml:space="preserve"> „</w:t>
      </w:r>
      <w:r w:rsidRPr="00DF02CA">
        <w:rPr>
          <w:rFonts w:asciiTheme="minorHAnsi" w:hAnsiTheme="minorHAnsi" w:cstheme="minorHAnsi"/>
          <w:color w:val="000000"/>
          <w:sz w:val="22"/>
          <w:szCs w:val="22"/>
          <w:u w:val="single"/>
          <w:shd w:val="clear" w:color="auto" w:fill="FFFFFF"/>
        </w:rPr>
        <w:t>redakciniai sprendimai dėl audiovizualinės žiniasklaidos paslaugų yra priimami toje valstybėje narėje</w:t>
      </w:r>
      <w:r w:rsidRPr="002C46DA">
        <w:rPr>
          <w:rFonts w:asciiTheme="minorHAnsi" w:hAnsiTheme="minorHAnsi" w:cstheme="minorHAnsi"/>
          <w:color w:val="000000"/>
          <w:sz w:val="22"/>
          <w:szCs w:val="22"/>
          <w:shd w:val="clear" w:color="auto" w:fill="FFFFFF"/>
        </w:rPr>
        <w:t>“. Tai reiškia, kad siekiant nustatyti, ar fizinis arba juridinis asmuo patenka į Direktyvos 2010/13 taikymo sritį pagal šios direktyvos 2 straipsnio 3 dalies a punktą, svarbu patikrinti ne tik tai, ar atitinkamas asmuo, kuris prisiima redakcinę atsakomybę dėl teikiamų audiovizualinės žiniasklaidos paslaugų, turi pagrindinę buveinę valstybėje narėje, bet ir tai, ar šioje valstybėje narėje priimami su tokiomis paslaugomis susiję redakciniai sprendimai</w:t>
      </w:r>
      <w:r>
        <w:rPr>
          <w:rFonts w:asciiTheme="minorHAnsi" w:hAnsiTheme="minorHAnsi" w:cstheme="minorHAnsi"/>
          <w:color w:val="000000"/>
          <w:sz w:val="22"/>
          <w:szCs w:val="22"/>
          <w:shd w:val="clear" w:color="auto" w:fill="FFFFFF"/>
        </w:rPr>
        <w:t xml:space="preserve"> (44–46 punktai)</w:t>
      </w:r>
      <w:r w:rsidRPr="002C46DA">
        <w:rPr>
          <w:rFonts w:asciiTheme="minorHAnsi" w:hAnsiTheme="minorHAnsi" w:cstheme="minorHAnsi"/>
          <w:color w:val="000000"/>
          <w:sz w:val="22"/>
          <w:szCs w:val="22"/>
          <w:shd w:val="clear" w:color="auto" w:fill="FFFFFF"/>
        </w:rPr>
        <w:t>.</w:t>
      </w:r>
    </w:p>
    <w:p w:rsidR="00CB0B9D" w:rsidRPr="002C46DA" w:rsidRDefault="00CB0B9D" w:rsidP="00CB0B9D">
      <w:pPr>
        <w:pStyle w:val="c01pointnumerotealtn"/>
        <w:shd w:val="clear" w:color="auto" w:fill="FFFFFF"/>
        <w:spacing w:before="0" w:beforeAutospacing="0" w:after="0"/>
        <w:ind w:left="0" w:firstLine="567"/>
        <w:rPr>
          <w:rFonts w:asciiTheme="minorHAnsi" w:hAnsiTheme="minorHAnsi" w:cstheme="minorHAnsi"/>
          <w:color w:val="000000"/>
          <w:sz w:val="22"/>
          <w:szCs w:val="22"/>
          <w:shd w:val="clear" w:color="auto" w:fill="FFFFFF"/>
        </w:rPr>
      </w:pPr>
      <w:r>
        <w:rPr>
          <w:rFonts w:asciiTheme="minorHAnsi" w:hAnsiTheme="minorHAnsi" w:cstheme="minorHAnsi"/>
          <w:color w:val="000000"/>
          <w:sz w:val="22"/>
          <w:szCs w:val="22"/>
          <w:shd w:val="clear" w:color="auto" w:fill="FFFFFF"/>
        </w:rPr>
        <w:t>Teisingumo Teismas pažymėjo,</w:t>
      </w:r>
      <w:r w:rsidRPr="00DF02CA">
        <w:rPr>
          <w:rFonts w:asciiTheme="minorHAnsi" w:hAnsiTheme="minorHAnsi" w:cstheme="minorHAnsi"/>
          <w:color w:val="000000"/>
          <w:sz w:val="22"/>
          <w:szCs w:val="22"/>
          <w:shd w:val="clear" w:color="auto" w:fill="FFFFFF"/>
        </w:rPr>
        <w:t xml:space="preserve"> kad</w:t>
      </w:r>
      <w:r>
        <w:rPr>
          <w:rFonts w:asciiTheme="minorHAnsi" w:hAnsiTheme="minorHAnsi" w:cstheme="minorHAnsi"/>
          <w:color w:val="000000"/>
          <w:sz w:val="22"/>
          <w:szCs w:val="22"/>
          <w:shd w:val="clear" w:color="auto" w:fill="FFFFFF"/>
        </w:rPr>
        <w:t>,</w:t>
      </w:r>
      <w:r w:rsidRPr="00DF02CA">
        <w:rPr>
          <w:rFonts w:asciiTheme="minorHAnsi" w:hAnsiTheme="minorHAnsi" w:cstheme="minorHAnsi"/>
          <w:color w:val="000000"/>
          <w:sz w:val="22"/>
          <w:szCs w:val="22"/>
          <w:shd w:val="clear" w:color="auto" w:fill="FFFFFF"/>
        </w:rPr>
        <w:t xml:space="preserve"> viena vertus, iš Direktyvos 2010/13 2 straipsnio 3 dalies b punkto pirmo sakinio matyti, kad „kai žiniasklaidos paslaugų teikėjo pagrindinė buveinė yra vienoje valstybėje narėje, o redakciniai sprendimai dėl audiovizualinės žiniasklaidos paslaugų yra priimami kitoje valstybėje narėje, jis yra laikomas įsisteigusiu toje valstybėje narėje, kurioje žymi jo audiovizualinės žiniasklaidos paslaugų veikla užsiimančių darbuotojų dalis vykdo veiklą“. Kita vertus, Direktyvos 2010/13 2 straipsnio 3 dalies c punkte nustatyta, kad „kai žiniasklaidos paslaugų teikėjo pagrindinė buveinė yra valstybėje narėje, tačiau sprendimai dėl audiovizualinės žiniasklaidos paslaugų yra priimami trečiojoje šalyje arba atvirkščiai, jis laikomas įsisteigusiu atitinkamoje valstybėje narėje, jeigu didžioji audiovizualinės žiniasklaidos paslaugų veikla užsiimančių darbuotojų dalis vykdo veiklą toje valstybėje narėje“. Be to, kaip matyti iš atitinkamai Direktyvos 2010/13 2 straipsnio 3 dalies b punkto ir šios direktyvos 2 straipsnio 3 dalies c punkto, taikant šias nuostatas taip pat yra svarbios žiniasklaidos paslaugų teikėjo pagrindinės buveinės vieta ir vieta, kur šių paslaugų veikla užsiimantys darbuotojai vykdo veiklą</w:t>
      </w:r>
      <w:r>
        <w:rPr>
          <w:rFonts w:asciiTheme="minorHAnsi" w:hAnsiTheme="minorHAnsi" w:cstheme="minorHAnsi"/>
          <w:color w:val="000000"/>
          <w:sz w:val="22"/>
          <w:szCs w:val="22"/>
          <w:shd w:val="clear" w:color="auto" w:fill="FFFFFF"/>
        </w:rPr>
        <w:t xml:space="preserve"> (50–51 punktai).</w:t>
      </w:r>
    </w:p>
    <w:p w:rsidR="00CB0B9D" w:rsidRPr="009850A8" w:rsidRDefault="00CB0B9D" w:rsidP="00CB0B9D">
      <w:pPr>
        <w:pStyle w:val="c01pointnumerotealtn"/>
        <w:shd w:val="clear" w:color="auto" w:fill="FFFFFF"/>
        <w:spacing w:before="0" w:beforeAutospacing="0" w:after="0"/>
        <w:ind w:left="0" w:firstLine="567"/>
        <w:rPr>
          <w:rFonts w:asciiTheme="minorHAnsi" w:hAnsiTheme="minorHAnsi" w:cstheme="minorHAnsi"/>
          <w:color w:val="000000"/>
          <w:sz w:val="22"/>
          <w:szCs w:val="22"/>
          <w:shd w:val="clear" w:color="auto" w:fill="FFFFFF"/>
        </w:rPr>
      </w:pPr>
      <w:r>
        <w:rPr>
          <w:rFonts w:asciiTheme="minorHAnsi" w:hAnsiTheme="minorHAnsi" w:cstheme="minorHAnsi"/>
          <w:color w:val="000000"/>
          <w:sz w:val="22"/>
          <w:szCs w:val="22"/>
          <w:shd w:val="clear" w:color="auto" w:fill="FFFFFF"/>
        </w:rPr>
        <w:t>Teisingumo Teismas akcentavo</w:t>
      </w:r>
      <w:r w:rsidRPr="00800D62">
        <w:rPr>
          <w:rFonts w:asciiTheme="minorHAnsi" w:hAnsiTheme="minorHAnsi" w:cstheme="minorHAnsi"/>
          <w:color w:val="000000"/>
          <w:sz w:val="22"/>
          <w:szCs w:val="22"/>
          <w:shd w:val="clear" w:color="auto" w:fill="FFFFFF"/>
        </w:rPr>
        <w:t xml:space="preserve">, kad </w:t>
      </w:r>
      <w:r>
        <w:rPr>
          <w:rFonts w:asciiTheme="minorHAnsi" w:hAnsiTheme="minorHAnsi" w:cstheme="minorHAnsi"/>
          <w:color w:val="000000"/>
          <w:sz w:val="22"/>
          <w:szCs w:val="22"/>
          <w:shd w:val="clear" w:color="auto" w:fill="FFFFFF"/>
        </w:rPr>
        <w:t>&lt;...&gt;</w:t>
      </w:r>
      <w:r w:rsidRPr="00800D62">
        <w:rPr>
          <w:rFonts w:asciiTheme="minorHAnsi" w:hAnsiTheme="minorHAnsi" w:cstheme="minorHAnsi"/>
          <w:color w:val="000000"/>
          <w:sz w:val="22"/>
          <w:szCs w:val="22"/>
          <w:shd w:val="clear" w:color="auto" w:fill="FFFFFF"/>
        </w:rPr>
        <w:t xml:space="preserve"> </w:t>
      </w:r>
      <w:r w:rsidRPr="00800D62">
        <w:rPr>
          <w:rFonts w:asciiTheme="minorHAnsi" w:hAnsiTheme="minorHAnsi" w:cstheme="minorHAnsi"/>
          <w:color w:val="000000"/>
          <w:sz w:val="22"/>
          <w:szCs w:val="22"/>
          <w:u w:val="single"/>
          <w:shd w:val="clear" w:color="auto" w:fill="FFFFFF"/>
        </w:rPr>
        <w:t>redakcinės atsakomybės už audiovizualinės žiniasklaidos paslaugas prisiėmimas yra būdingas tokių paslaugų teikėjui, kaip jis suprantamas pagal Direktyvos 2010/13 1 straipsnio 1 dalies d punktą. Be to, vieta, kur yra žiniasklaidos paslaugų teikėjo pagrindinė buveinė, ir vieta, kurioje priimami su minėtomis paslaugomis susiję redakciniai sprendimai, taip pat prireikus – vieta, kur tokių paslaugų veikla užsiimantys darbuotojai vykdo veiklą, yra svarbūs kriterijai siekiant patikrinti, ar toks teikėjas yra įsisteigęs valstybėje narėje pagal šios</w:t>
      </w:r>
      <w:r w:rsidRPr="00800D62">
        <w:rPr>
          <w:rFonts w:asciiTheme="minorHAnsi" w:hAnsiTheme="minorHAnsi" w:cstheme="minorHAnsi"/>
          <w:color w:val="000000"/>
          <w:sz w:val="22"/>
          <w:szCs w:val="22"/>
          <w:shd w:val="clear" w:color="auto" w:fill="FFFFFF"/>
        </w:rPr>
        <w:t xml:space="preserve"> </w:t>
      </w:r>
      <w:r w:rsidRPr="00800D62">
        <w:rPr>
          <w:rFonts w:asciiTheme="minorHAnsi" w:hAnsiTheme="minorHAnsi" w:cstheme="minorHAnsi"/>
          <w:color w:val="000000"/>
          <w:sz w:val="22"/>
          <w:szCs w:val="22"/>
          <w:u w:val="single"/>
          <w:shd w:val="clear" w:color="auto" w:fill="FFFFFF"/>
        </w:rPr>
        <w:t>direktyvos 2 straipsnio 3 dalį, taigi jo teikiamos paslaugos patenka į Direktyvos 2010/13 taikymo sritį</w:t>
      </w:r>
      <w:r w:rsidRPr="00800D62">
        <w:rPr>
          <w:rFonts w:asciiTheme="minorHAnsi" w:hAnsiTheme="minorHAnsi" w:cstheme="minorHAnsi"/>
          <w:color w:val="000000"/>
          <w:sz w:val="22"/>
          <w:szCs w:val="22"/>
          <w:shd w:val="clear" w:color="auto" w:fill="FFFFFF"/>
        </w:rPr>
        <w:t>. Vis dėlto tai, kad valstybėje narėje transliuojamos televizijos programos atskiros programos gali būti rengiamos trečiojoje valstybėje, šiuo atžvilgiu neturi reikšmės</w:t>
      </w:r>
      <w:r>
        <w:rPr>
          <w:rFonts w:asciiTheme="minorHAnsi" w:hAnsiTheme="minorHAnsi" w:cstheme="minorHAnsi"/>
          <w:color w:val="000000"/>
          <w:sz w:val="22"/>
          <w:szCs w:val="22"/>
          <w:shd w:val="clear" w:color="auto" w:fill="FFFFFF"/>
        </w:rPr>
        <w:t xml:space="preserve"> (52 punktas)</w:t>
      </w:r>
    </w:p>
    <w:p w:rsidR="00CB0B9D" w:rsidRDefault="00CB0B9D" w:rsidP="00CB0B9D">
      <w:pPr>
        <w:pStyle w:val="c01pointnumerotealtn"/>
        <w:shd w:val="clear" w:color="auto" w:fill="FFFFFF"/>
        <w:spacing w:before="0" w:beforeAutospacing="0" w:after="0"/>
        <w:ind w:left="0" w:firstLine="567"/>
        <w:rPr>
          <w:rFonts w:asciiTheme="minorHAnsi" w:hAnsiTheme="minorHAnsi" w:cstheme="minorHAnsi"/>
          <w:color w:val="000000"/>
          <w:sz w:val="22"/>
          <w:szCs w:val="22"/>
          <w:shd w:val="clear" w:color="auto" w:fill="FFFFFF"/>
        </w:rPr>
      </w:pPr>
    </w:p>
    <w:p w:rsidR="00CB0B9D" w:rsidRPr="001362AB" w:rsidRDefault="00CB0B9D" w:rsidP="001362AB">
      <w:pPr>
        <w:pStyle w:val="Heading3"/>
        <w:ind w:firstLine="567"/>
        <w:rPr>
          <w:rFonts w:cstheme="minorHAnsi"/>
        </w:rPr>
      </w:pPr>
      <w:bookmarkStart w:id="84" w:name="_Toc21941981"/>
      <w:r w:rsidRPr="001362AB">
        <w:rPr>
          <w:rFonts w:cstheme="minorHAnsi"/>
        </w:rPr>
        <w:t>Dėl valstybės narės įtvirtintos viešosios tvarkos priemonės, kuria nustatyta pareiga transliuoti ar retransliuoti televizijos programą iš kitos valstybės narės tik už papildomą mokestį platinamuose televizijos programų paketuose</w:t>
      </w:r>
      <w:r w:rsidR="005460CD" w:rsidRPr="001362AB">
        <w:rPr>
          <w:rFonts w:cstheme="minorHAnsi"/>
        </w:rPr>
        <w:t>,</w:t>
      </w:r>
      <w:r w:rsidRPr="001362AB">
        <w:rPr>
          <w:rFonts w:cstheme="minorHAnsi"/>
        </w:rPr>
        <w:t xml:space="preserve"> vertinimo</w:t>
      </w:r>
      <w:bookmarkEnd w:id="84"/>
    </w:p>
    <w:p w:rsidR="00CB0B9D" w:rsidRPr="0096684D" w:rsidRDefault="00CB0B9D" w:rsidP="00CB0B9D">
      <w:pPr>
        <w:pStyle w:val="c01pointnumerotealtn"/>
        <w:shd w:val="clear" w:color="auto" w:fill="FFFFFF"/>
        <w:spacing w:before="0" w:beforeAutospacing="0" w:after="0"/>
        <w:ind w:left="0" w:firstLine="567"/>
        <w:rPr>
          <w:rFonts w:asciiTheme="minorHAnsi" w:hAnsiTheme="minorHAnsi" w:cstheme="minorHAnsi"/>
          <w:b/>
          <w:bCs/>
          <w:i/>
          <w:iCs/>
          <w:color w:val="000000"/>
          <w:sz w:val="22"/>
          <w:szCs w:val="22"/>
          <w:shd w:val="clear" w:color="auto" w:fill="FFFFFF"/>
        </w:rPr>
      </w:pPr>
    </w:p>
    <w:p w:rsidR="00CB0B9D" w:rsidRDefault="00CB0B9D" w:rsidP="00CB0B9D">
      <w:pPr>
        <w:pStyle w:val="c01pointnumerotealtn"/>
        <w:shd w:val="clear" w:color="auto" w:fill="FFFFFF"/>
        <w:spacing w:before="0" w:beforeAutospacing="0" w:after="0"/>
        <w:ind w:left="0" w:firstLine="567"/>
        <w:rPr>
          <w:rFonts w:asciiTheme="minorHAnsi" w:hAnsiTheme="minorHAnsi" w:cstheme="minorHAnsi"/>
          <w:color w:val="000000"/>
          <w:sz w:val="22"/>
          <w:szCs w:val="22"/>
          <w:shd w:val="clear" w:color="auto" w:fill="FFFFFF"/>
        </w:rPr>
      </w:pPr>
      <w:r>
        <w:rPr>
          <w:rFonts w:asciiTheme="minorHAnsi" w:hAnsiTheme="minorHAnsi" w:cstheme="minorHAnsi"/>
          <w:color w:val="000000"/>
          <w:sz w:val="22"/>
          <w:szCs w:val="22"/>
          <w:shd w:val="clear" w:color="auto" w:fill="FFFFFF"/>
        </w:rPr>
        <w:t xml:space="preserve">Teisingumo Teismas nustatė, jog </w:t>
      </w:r>
      <w:r w:rsidRPr="00DA09F1">
        <w:rPr>
          <w:rFonts w:asciiTheme="minorHAnsi" w:hAnsiTheme="minorHAnsi" w:cstheme="minorHAnsi"/>
          <w:color w:val="000000"/>
          <w:sz w:val="22"/>
          <w:szCs w:val="22"/>
          <w:shd w:val="clear" w:color="auto" w:fill="FFFFFF"/>
        </w:rPr>
        <w:t>pirmuoju klausimu prašymą priimti prejudicinį sprendimą pateikęs teismas iš esmės siek</w:t>
      </w:r>
      <w:r>
        <w:rPr>
          <w:rFonts w:asciiTheme="minorHAnsi" w:hAnsiTheme="minorHAnsi" w:cstheme="minorHAnsi"/>
          <w:color w:val="000000"/>
          <w:sz w:val="22"/>
          <w:szCs w:val="22"/>
          <w:shd w:val="clear" w:color="auto" w:fill="FFFFFF"/>
        </w:rPr>
        <w:t>ė</w:t>
      </w:r>
      <w:r w:rsidRPr="00DA09F1">
        <w:rPr>
          <w:rFonts w:asciiTheme="minorHAnsi" w:hAnsiTheme="minorHAnsi" w:cstheme="minorHAnsi"/>
          <w:color w:val="000000"/>
          <w:sz w:val="22"/>
          <w:szCs w:val="22"/>
          <w:shd w:val="clear" w:color="auto" w:fill="FFFFFF"/>
        </w:rPr>
        <w:t xml:space="preserve"> išsiaiškinti, ar Direktyvos 2010/13 3 straipsnio 1 ir 2 dalys turi būti aiškinamos taip, kad valstybės narės nustatyta viešosios tvarkos priemonė, kuria žiniasklaidos paslaugų teikėjams, kurių programos skirtos šios valstybės narės teritorijai, ir kitiems asmenims, kurie tos valstybės narės vartotojams teikia televizijos programų ar atskirų programų platinimo internete paslaugą, nustatyta pareiga šios valstybės narės teritorijoje per 12 mėnesių laikotarpį transliuoti ar retransliuoti televizijos programą iš kitos valstybės narės tik už papildomą mokestį platinamuose televizijos programų paketuose, patenka į šių nuostatų taikymo sritį (57 punktas).</w:t>
      </w:r>
    </w:p>
    <w:p w:rsidR="00CB0B9D" w:rsidRPr="00A82483" w:rsidRDefault="00CB0B9D" w:rsidP="00CB0B9D">
      <w:pPr>
        <w:pStyle w:val="c01pointnumerotealtn"/>
        <w:shd w:val="clear" w:color="auto" w:fill="FFFFFF"/>
        <w:spacing w:before="0" w:beforeAutospacing="0" w:after="0"/>
        <w:ind w:left="0" w:firstLine="567"/>
        <w:rPr>
          <w:rFonts w:asciiTheme="minorHAnsi" w:hAnsiTheme="minorHAnsi" w:cstheme="minorHAnsi"/>
          <w:color w:val="000000"/>
          <w:sz w:val="22"/>
          <w:szCs w:val="22"/>
          <w:shd w:val="clear" w:color="auto" w:fill="FFFFFF"/>
        </w:rPr>
      </w:pPr>
      <w:r>
        <w:rPr>
          <w:rFonts w:asciiTheme="minorHAnsi" w:hAnsiTheme="minorHAnsi" w:cstheme="minorHAnsi"/>
          <w:color w:val="000000"/>
          <w:sz w:val="22"/>
          <w:szCs w:val="22"/>
          <w:shd w:val="clear" w:color="auto" w:fill="FFFFFF"/>
        </w:rPr>
        <w:t>T</w:t>
      </w:r>
      <w:r w:rsidRPr="00A82483">
        <w:rPr>
          <w:rFonts w:asciiTheme="minorHAnsi" w:hAnsiTheme="minorHAnsi" w:cstheme="minorHAnsi"/>
          <w:color w:val="000000"/>
          <w:sz w:val="22"/>
          <w:szCs w:val="22"/>
          <w:shd w:val="clear" w:color="auto" w:fill="FFFFFF"/>
        </w:rPr>
        <w:t>eisingumo Teism</w:t>
      </w:r>
      <w:r>
        <w:rPr>
          <w:rFonts w:asciiTheme="minorHAnsi" w:hAnsiTheme="minorHAnsi" w:cstheme="minorHAnsi"/>
          <w:color w:val="000000"/>
          <w:sz w:val="22"/>
          <w:szCs w:val="22"/>
          <w:shd w:val="clear" w:color="auto" w:fill="FFFFFF"/>
        </w:rPr>
        <w:t>as nurodė, kad jo</w:t>
      </w:r>
      <w:r w:rsidRPr="00A82483">
        <w:rPr>
          <w:rFonts w:asciiTheme="minorHAnsi" w:hAnsiTheme="minorHAnsi" w:cstheme="minorHAnsi"/>
          <w:color w:val="000000"/>
          <w:sz w:val="22"/>
          <w:szCs w:val="22"/>
          <w:shd w:val="clear" w:color="auto" w:fill="FFFFFF"/>
        </w:rPr>
        <w:t xml:space="preserve"> atsakymas į šį klausimą paremtas prielaida, kad BMA</w:t>
      </w:r>
      <w:r>
        <w:rPr>
          <w:rFonts w:asciiTheme="minorHAnsi" w:hAnsiTheme="minorHAnsi" w:cstheme="minorHAnsi"/>
          <w:color w:val="000000"/>
          <w:sz w:val="22"/>
          <w:szCs w:val="22"/>
          <w:shd w:val="clear" w:color="auto" w:fill="FFFFFF"/>
        </w:rPr>
        <w:t xml:space="preserve"> &lt;...&gt; </w:t>
      </w:r>
      <w:r w:rsidRPr="00A82483">
        <w:rPr>
          <w:rFonts w:asciiTheme="minorHAnsi" w:hAnsiTheme="minorHAnsi" w:cstheme="minorHAnsi"/>
          <w:color w:val="000000"/>
          <w:sz w:val="22"/>
          <w:szCs w:val="22"/>
          <w:shd w:val="clear" w:color="auto" w:fill="FFFFFF"/>
        </w:rPr>
        <w:t>yra žiniasklaidos paslaugų teikėja, įsisteigusi ne Lietuvos Respublikoje, bet kitoje valstybėje narėje, būtent – Jungtinėje Didžiosios Britanijos ir Šiaurės Airijos Karalystėje, patenka į Direktyvos 2010/13 taikymo sritį pagal jos 1 ir 2 straipsnius</w:t>
      </w:r>
      <w:r>
        <w:rPr>
          <w:rFonts w:asciiTheme="minorHAnsi" w:hAnsiTheme="minorHAnsi" w:cstheme="minorHAnsi"/>
          <w:color w:val="000000"/>
          <w:sz w:val="22"/>
          <w:szCs w:val="22"/>
          <w:shd w:val="clear" w:color="auto" w:fill="FFFFFF"/>
        </w:rPr>
        <w:t xml:space="preserve"> &lt;...&gt; (58 punktas)</w:t>
      </w:r>
      <w:r w:rsidRPr="00A82483">
        <w:rPr>
          <w:rFonts w:asciiTheme="minorHAnsi" w:hAnsiTheme="minorHAnsi" w:cstheme="minorHAnsi"/>
          <w:color w:val="000000"/>
          <w:sz w:val="22"/>
          <w:szCs w:val="22"/>
          <w:shd w:val="clear" w:color="auto" w:fill="FFFFFF"/>
        </w:rPr>
        <w:t>.</w:t>
      </w:r>
    </w:p>
    <w:p w:rsidR="00CB0B9D" w:rsidRDefault="00CB0B9D" w:rsidP="00CB0B9D">
      <w:pPr>
        <w:pStyle w:val="c01pointnumerotealtn"/>
        <w:shd w:val="clear" w:color="auto" w:fill="FFFFFF"/>
        <w:spacing w:before="0" w:beforeAutospacing="0" w:after="0"/>
        <w:ind w:left="0" w:firstLine="567"/>
        <w:rPr>
          <w:rFonts w:asciiTheme="minorHAnsi" w:hAnsiTheme="minorHAnsi" w:cstheme="minorHAnsi"/>
          <w:color w:val="000000"/>
          <w:sz w:val="22"/>
          <w:szCs w:val="22"/>
          <w:shd w:val="clear" w:color="auto" w:fill="FFFFFF"/>
        </w:rPr>
      </w:pPr>
      <w:r>
        <w:rPr>
          <w:rFonts w:asciiTheme="minorHAnsi" w:hAnsiTheme="minorHAnsi" w:cstheme="minorHAnsi"/>
          <w:color w:val="000000"/>
          <w:sz w:val="22"/>
          <w:szCs w:val="22"/>
          <w:shd w:val="clear" w:color="auto" w:fill="FFFFFF"/>
        </w:rPr>
        <w:t>Teisingumo Teismas priminė</w:t>
      </w:r>
      <w:r w:rsidRPr="00DA09F1">
        <w:rPr>
          <w:rFonts w:asciiTheme="minorHAnsi" w:hAnsiTheme="minorHAnsi" w:cstheme="minorHAnsi"/>
          <w:color w:val="000000"/>
          <w:sz w:val="22"/>
          <w:szCs w:val="22"/>
          <w:shd w:val="clear" w:color="auto" w:fill="FFFFFF"/>
        </w:rPr>
        <w:t>, kad Direktyvos 2010/13 3 straipsnio 1 dalyje numatyta, jog valstybės narės užtikrina audiovizualinės žiniasklaidos paslaugų priėmimo laisvę ir savo teritorijoje neriboja jų perdavimo iš kitų valstybių narių dėl priežasčių, kurios patenka į šios direktyvos koordinuojamas sritis, tarp kurių – šios direktyvos 6 straipsnyje nurodytos priemonės, užtikrinančios, kad nebūtų kurstoma neapykanta. Vis dėlto, kiek tai susiję su televizijos programų transliavimu, tos pačios direktyvos 3 straipsnio 2 dalyje valstybėms narėms leidžiama laikinai nesilaikyti 3 straipsnio 1 dalies, laikantis tam tikrų materialinių ir procedūrinių sąlygų</w:t>
      </w:r>
      <w:r>
        <w:rPr>
          <w:rFonts w:asciiTheme="minorHAnsi" w:hAnsiTheme="minorHAnsi" w:cstheme="minorHAnsi"/>
          <w:color w:val="000000"/>
          <w:sz w:val="22"/>
          <w:szCs w:val="22"/>
          <w:shd w:val="clear" w:color="auto" w:fill="FFFFFF"/>
        </w:rPr>
        <w:t xml:space="preserve"> (61 punktas)</w:t>
      </w:r>
      <w:r w:rsidRPr="00DA09F1">
        <w:rPr>
          <w:rFonts w:asciiTheme="minorHAnsi" w:hAnsiTheme="minorHAnsi" w:cstheme="minorHAnsi"/>
          <w:color w:val="000000"/>
          <w:sz w:val="22"/>
          <w:szCs w:val="22"/>
          <w:shd w:val="clear" w:color="auto" w:fill="FFFFFF"/>
        </w:rPr>
        <w:t>.</w:t>
      </w:r>
    </w:p>
    <w:p w:rsidR="00CB0B9D" w:rsidRDefault="00CB0B9D" w:rsidP="00CB0B9D">
      <w:pPr>
        <w:pStyle w:val="c01pointnumerotealtn"/>
        <w:shd w:val="clear" w:color="auto" w:fill="FFFFFF"/>
        <w:spacing w:before="0" w:beforeAutospacing="0" w:after="0"/>
        <w:ind w:left="0" w:firstLine="567"/>
        <w:rPr>
          <w:rFonts w:ascii="Arial" w:hAnsi="Arial" w:cs="Arial"/>
          <w:color w:val="000000"/>
          <w:sz w:val="18"/>
          <w:szCs w:val="18"/>
          <w:shd w:val="clear" w:color="auto" w:fill="FFFFFF"/>
        </w:rPr>
      </w:pPr>
      <w:r w:rsidRPr="00A82483">
        <w:rPr>
          <w:rFonts w:asciiTheme="minorHAnsi" w:hAnsiTheme="minorHAnsi" w:cstheme="minorHAnsi"/>
          <w:color w:val="000000"/>
          <w:sz w:val="22"/>
          <w:szCs w:val="22"/>
          <w:shd w:val="clear" w:color="auto" w:fill="FFFFFF"/>
        </w:rPr>
        <w:t xml:space="preserve">Teisingumo Teismas nurodė, </w:t>
      </w:r>
      <w:r w:rsidR="0039283F">
        <w:rPr>
          <w:rFonts w:asciiTheme="minorHAnsi" w:hAnsiTheme="minorHAnsi" w:cstheme="minorHAnsi"/>
          <w:color w:val="000000"/>
          <w:sz w:val="22"/>
          <w:szCs w:val="22"/>
          <w:shd w:val="clear" w:color="auto" w:fill="FFFFFF"/>
        </w:rPr>
        <w:t xml:space="preserve">kad </w:t>
      </w:r>
      <w:r>
        <w:rPr>
          <w:rFonts w:asciiTheme="minorHAnsi" w:hAnsiTheme="minorHAnsi" w:cstheme="minorHAnsi"/>
          <w:color w:val="000000"/>
          <w:sz w:val="22"/>
          <w:szCs w:val="22"/>
          <w:shd w:val="clear" w:color="auto" w:fill="FFFFFF"/>
        </w:rPr>
        <w:t>i</w:t>
      </w:r>
      <w:r w:rsidRPr="007841C5">
        <w:rPr>
          <w:rFonts w:asciiTheme="minorHAnsi" w:hAnsiTheme="minorHAnsi" w:cstheme="minorHAnsi"/>
          <w:color w:val="000000"/>
          <w:sz w:val="22"/>
          <w:szCs w:val="22"/>
          <w:shd w:val="clear" w:color="auto" w:fill="FFFFFF"/>
        </w:rPr>
        <w:t xml:space="preserve">š nutarties dėl prašymo priimti prejudicinį sprendimą matyti, kad </w:t>
      </w:r>
      <w:r>
        <w:rPr>
          <w:rFonts w:asciiTheme="minorHAnsi" w:hAnsiTheme="minorHAnsi" w:cstheme="minorHAnsi"/>
          <w:color w:val="000000"/>
          <w:sz w:val="22"/>
          <w:szCs w:val="22"/>
          <w:shd w:val="clear" w:color="auto" w:fill="FFFFFF"/>
        </w:rPr>
        <w:t>&lt;...&gt;</w:t>
      </w:r>
      <w:r w:rsidRPr="007841C5">
        <w:rPr>
          <w:rFonts w:asciiTheme="minorHAnsi" w:hAnsiTheme="minorHAnsi" w:cstheme="minorHAnsi"/>
          <w:color w:val="000000"/>
          <w:sz w:val="22"/>
          <w:szCs w:val="22"/>
          <w:shd w:val="clear" w:color="auto" w:fill="FFFFFF"/>
        </w:rPr>
        <w:t xml:space="preserve"> nesutaria</w:t>
      </w:r>
      <w:r>
        <w:rPr>
          <w:rFonts w:asciiTheme="minorHAnsi" w:hAnsiTheme="minorHAnsi" w:cstheme="minorHAnsi"/>
          <w:color w:val="000000"/>
          <w:sz w:val="22"/>
          <w:szCs w:val="22"/>
          <w:shd w:val="clear" w:color="auto" w:fill="FFFFFF"/>
        </w:rPr>
        <w:t>ma</w:t>
      </w:r>
      <w:r w:rsidRPr="007841C5">
        <w:rPr>
          <w:rFonts w:asciiTheme="minorHAnsi" w:hAnsiTheme="minorHAnsi" w:cstheme="minorHAnsi"/>
          <w:color w:val="000000"/>
          <w:sz w:val="22"/>
          <w:szCs w:val="22"/>
          <w:shd w:val="clear" w:color="auto" w:fill="FFFFFF"/>
        </w:rPr>
        <w:t xml:space="preserve"> </w:t>
      </w:r>
      <w:r>
        <w:rPr>
          <w:rFonts w:asciiTheme="minorHAnsi" w:hAnsiTheme="minorHAnsi" w:cstheme="minorHAnsi"/>
          <w:color w:val="000000"/>
          <w:sz w:val="22"/>
          <w:szCs w:val="22"/>
          <w:shd w:val="clear" w:color="auto" w:fill="FFFFFF"/>
        </w:rPr>
        <w:t>&lt;...&gt;</w:t>
      </w:r>
      <w:r w:rsidRPr="007841C5">
        <w:rPr>
          <w:rFonts w:asciiTheme="minorHAnsi" w:hAnsiTheme="minorHAnsi" w:cstheme="minorHAnsi"/>
          <w:color w:val="000000"/>
          <w:sz w:val="22"/>
          <w:szCs w:val="22"/>
          <w:shd w:val="clear" w:color="auto" w:fill="FFFFFF"/>
        </w:rPr>
        <w:t xml:space="preserve"> dėl Direktyvos 2010/13 3 straipsnio 1 ir 2 dalių taikymo srities. BMA tvirtin</w:t>
      </w:r>
      <w:r>
        <w:rPr>
          <w:rFonts w:asciiTheme="minorHAnsi" w:hAnsiTheme="minorHAnsi" w:cstheme="minorHAnsi"/>
          <w:color w:val="000000"/>
          <w:sz w:val="22"/>
          <w:szCs w:val="22"/>
          <w:shd w:val="clear" w:color="auto" w:fill="FFFFFF"/>
        </w:rPr>
        <w:t>o</w:t>
      </w:r>
      <w:r w:rsidRPr="007841C5">
        <w:rPr>
          <w:rFonts w:asciiTheme="minorHAnsi" w:hAnsiTheme="minorHAnsi" w:cstheme="minorHAnsi"/>
          <w:color w:val="000000"/>
          <w:sz w:val="22"/>
          <w:szCs w:val="22"/>
          <w:shd w:val="clear" w:color="auto" w:fill="FFFFFF"/>
        </w:rPr>
        <w:t>, kad šios nuostatos taikomos bet kokiam valstybės narės nustatytam televizijos programų priėmimo ir retransliavimo laisvės apribojimui; šis apribojimas turi būti suprantamas kaip patenkantis į apribojimo sąvoką pagal SESV 56 straipsnį. LRTK ir Lietuvos vyriausybė man</w:t>
      </w:r>
      <w:r>
        <w:rPr>
          <w:rFonts w:asciiTheme="minorHAnsi" w:hAnsiTheme="minorHAnsi" w:cstheme="minorHAnsi"/>
          <w:color w:val="000000"/>
          <w:sz w:val="22"/>
          <w:szCs w:val="22"/>
          <w:shd w:val="clear" w:color="auto" w:fill="FFFFFF"/>
        </w:rPr>
        <w:t>ė</w:t>
      </w:r>
      <w:r w:rsidRPr="007841C5">
        <w:rPr>
          <w:rFonts w:asciiTheme="minorHAnsi" w:hAnsiTheme="minorHAnsi" w:cstheme="minorHAnsi"/>
          <w:color w:val="000000"/>
          <w:sz w:val="22"/>
          <w:szCs w:val="22"/>
          <w:shd w:val="clear" w:color="auto" w:fill="FFFFFF"/>
        </w:rPr>
        <w:t>, kad minėtos nuostatos apima tik visiško televizijos programų priėmimo ir retransliavimo sustabdymo atvejus</w:t>
      </w:r>
      <w:r>
        <w:rPr>
          <w:rFonts w:asciiTheme="minorHAnsi" w:hAnsiTheme="minorHAnsi" w:cstheme="minorHAnsi"/>
          <w:color w:val="000000"/>
          <w:sz w:val="22"/>
          <w:szCs w:val="22"/>
          <w:shd w:val="clear" w:color="auto" w:fill="FFFFFF"/>
        </w:rPr>
        <w:t xml:space="preserve"> (62 punktas)</w:t>
      </w:r>
      <w:r w:rsidRPr="007841C5">
        <w:rPr>
          <w:rFonts w:asciiTheme="minorHAnsi" w:hAnsiTheme="minorHAnsi" w:cstheme="minorHAnsi"/>
          <w:color w:val="000000"/>
          <w:sz w:val="22"/>
          <w:szCs w:val="22"/>
          <w:shd w:val="clear" w:color="auto" w:fill="FFFFFF"/>
        </w:rPr>
        <w:t>.</w:t>
      </w:r>
    </w:p>
    <w:p w:rsidR="00CB0B9D" w:rsidRDefault="00CB0B9D" w:rsidP="00CB0B9D">
      <w:pPr>
        <w:pStyle w:val="c01pointnumerotealtn"/>
        <w:shd w:val="clear" w:color="auto" w:fill="FFFFFF"/>
        <w:spacing w:before="0" w:beforeAutospacing="0" w:after="0"/>
        <w:ind w:left="0" w:firstLine="567"/>
        <w:rPr>
          <w:rFonts w:asciiTheme="minorHAnsi" w:hAnsiTheme="minorHAnsi" w:cstheme="minorHAnsi"/>
          <w:color w:val="000000"/>
          <w:sz w:val="22"/>
          <w:szCs w:val="22"/>
          <w:shd w:val="clear" w:color="auto" w:fill="FFFFFF"/>
        </w:rPr>
      </w:pPr>
      <w:r>
        <w:rPr>
          <w:rFonts w:asciiTheme="minorHAnsi" w:hAnsiTheme="minorHAnsi" w:cstheme="minorHAnsi"/>
          <w:color w:val="000000"/>
          <w:sz w:val="22"/>
          <w:szCs w:val="22"/>
          <w:shd w:val="clear" w:color="auto" w:fill="FFFFFF"/>
        </w:rPr>
        <w:t>K</w:t>
      </w:r>
      <w:r w:rsidRPr="00A82483">
        <w:rPr>
          <w:rFonts w:asciiTheme="minorHAnsi" w:hAnsiTheme="minorHAnsi" w:cstheme="minorHAnsi"/>
          <w:color w:val="000000"/>
          <w:sz w:val="22"/>
          <w:szCs w:val="22"/>
          <w:shd w:val="clear" w:color="auto" w:fill="FFFFFF"/>
        </w:rPr>
        <w:t xml:space="preserve">iek tai susiję su Direktyvos 2010/13 3 straipsnio 1 ir 2 dalių formuluote, </w:t>
      </w:r>
      <w:r>
        <w:rPr>
          <w:rFonts w:asciiTheme="minorHAnsi" w:hAnsiTheme="minorHAnsi" w:cstheme="minorHAnsi"/>
          <w:color w:val="000000"/>
          <w:sz w:val="22"/>
          <w:szCs w:val="22"/>
          <w:shd w:val="clear" w:color="auto" w:fill="FFFFFF"/>
        </w:rPr>
        <w:t xml:space="preserve">Teisingumo Teismas </w:t>
      </w:r>
      <w:r w:rsidRPr="00A82483">
        <w:rPr>
          <w:rFonts w:asciiTheme="minorHAnsi" w:hAnsiTheme="minorHAnsi" w:cstheme="minorHAnsi"/>
          <w:color w:val="000000"/>
          <w:sz w:val="22"/>
          <w:szCs w:val="22"/>
          <w:shd w:val="clear" w:color="auto" w:fill="FFFFFF"/>
        </w:rPr>
        <w:t>pažymė</w:t>
      </w:r>
      <w:r>
        <w:rPr>
          <w:rFonts w:asciiTheme="minorHAnsi" w:hAnsiTheme="minorHAnsi" w:cstheme="minorHAnsi"/>
          <w:color w:val="000000"/>
          <w:sz w:val="22"/>
          <w:szCs w:val="22"/>
          <w:shd w:val="clear" w:color="auto" w:fill="FFFFFF"/>
        </w:rPr>
        <w:t>jo</w:t>
      </w:r>
      <w:r w:rsidRPr="00A82483">
        <w:rPr>
          <w:rFonts w:asciiTheme="minorHAnsi" w:hAnsiTheme="minorHAnsi" w:cstheme="minorHAnsi"/>
          <w:color w:val="000000"/>
          <w:sz w:val="22"/>
          <w:szCs w:val="22"/>
          <w:shd w:val="clear" w:color="auto" w:fill="FFFFFF"/>
        </w:rPr>
        <w:t xml:space="preserve">, kad ji pati neleidžia nustatyti į šių nuostatų taikymo sritį patenkančių priemonių pobūdžio. </w:t>
      </w:r>
      <w:r>
        <w:rPr>
          <w:rFonts w:asciiTheme="minorHAnsi" w:hAnsiTheme="minorHAnsi" w:cstheme="minorHAnsi"/>
          <w:color w:val="000000"/>
          <w:sz w:val="22"/>
          <w:szCs w:val="22"/>
          <w:shd w:val="clear" w:color="auto" w:fill="FFFFFF"/>
        </w:rPr>
        <w:t>A</w:t>
      </w:r>
      <w:r w:rsidRPr="00A82483">
        <w:rPr>
          <w:rFonts w:asciiTheme="minorHAnsi" w:hAnsiTheme="minorHAnsi" w:cstheme="minorHAnsi"/>
          <w:color w:val="000000"/>
          <w:sz w:val="22"/>
          <w:szCs w:val="22"/>
          <w:shd w:val="clear" w:color="auto" w:fill="FFFFFF"/>
        </w:rPr>
        <w:t>tsižvelg</w:t>
      </w:r>
      <w:r>
        <w:rPr>
          <w:rFonts w:asciiTheme="minorHAnsi" w:hAnsiTheme="minorHAnsi" w:cstheme="minorHAnsi"/>
          <w:color w:val="000000"/>
          <w:sz w:val="22"/>
          <w:szCs w:val="22"/>
          <w:shd w:val="clear" w:color="auto" w:fill="FFFFFF"/>
        </w:rPr>
        <w:t>ęs</w:t>
      </w:r>
      <w:r w:rsidRPr="00A82483">
        <w:rPr>
          <w:rFonts w:asciiTheme="minorHAnsi" w:hAnsiTheme="minorHAnsi" w:cstheme="minorHAnsi"/>
          <w:color w:val="000000"/>
          <w:sz w:val="22"/>
          <w:szCs w:val="22"/>
          <w:shd w:val="clear" w:color="auto" w:fill="FFFFFF"/>
        </w:rPr>
        <w:t xml:space="preserve"> į Direktyvos 2010/13 3 straipsnio 1 ir 2 dalių kontekstą ir šia direktyva siekiamus tikslus, </w:t>
      </w:r>
      <w:r>
        <w:rPr>
          <w:rFonts w:asciiTheme="minorHAnsi" w:hAnsiTheme="minorHAnsi" w:cstheme="minorHAnsi"/>
          <w:color w:val="000000"/>
          <w:sz w:val="22"/>
          <w:szCs w:val="22"/>
          <w:shd w:val="clear" w:color="auto" w:fill="FFFFFF"/>
        </w:rPr>
        <w:t>Teisingumo Teismas</w:t>
      </w:r>
      <w:r w:rsidRPr="00A82483">
        <w:rPr>
          <w:rFonts w:asciiTheme="minorHAnsi" w:hAnsiTheme="minorHAnsi" w:cstheme="minorHAnsi"/>
          <w:color w:val="000000"/>
          <w:sz w:val="22"/>
          <w:szCs w:val="22"/>
          <w:shd w:val="clear" w:color="auto" w:fill="FFFFFF"/>
        </w:rPr>
        <w:t xml:space="preserve"> pažymė</w:t>
      </w:r>
      <w:r>
        <w:rPr>
          <w:rFonts w:asciiTheme="minorHAnsi" w:hAnsiTheme="minorHAnsi" w:cstheme="minorHAnsi"/>
          <w:color w:val="000000"/>
          <w:sz w:val="22"/>
          <w:szCs w:val="22"/>
          <w:shd w:val="clear" w:color="auto" w:fill="FFFFFF"/>
        </w:rPr>
        <w:t>jo</w:t>
      </w:r>
      <w:r w:rsidRPr="00A82483">
        <w:rPr>
          <w:rFonts w:asciiTheme="minorHAnsi" w:hAnsiTheme="minorHAnsi" w:cstheme="minorHAnsi"/>
          <w:color w:val="000000"/>
          <w:sz w:val="22"/>
          <w:szCs w:val="22"/>
          <w:shd w:val="clear" w:color="auto" w:fill="FFFFFF"/>
        </w:rPr>
        <w:t xml:space="preserve">, kad, </w:t>
      </w:r>
      <w:r>
        <w:rPr>
          <w:rFonts w:asciiTheme="minorHAnsi" w:hAnsiTheme="minorHAnsi" w:cstheme="minorHAnsi"/>
          <w:color w:val="000000"/>
          <w:sz w:val="22"/>
          <w:szCs w:val="22"/>
          <w:shd w:val="clear" w:color="auto" w:fill="FFFFFF"/>
        </w:rPr>
        <w:t xml:space="preserve">&lt;...&gt; </w:t>
      </w:r>
      <w:r w:rsidRPr="007841C5">
        <w:rPr>
          <w:rFonts w:asciiTheme="minorHAnsi" w:hAnsiTheme="minorHAnsi" w:cstheme="minorHAnsi"/>
          <w:color w:val="000000"/>
          <w:sz w:val="22"/>
          <w:szCs w:val="22"/>
          <w:u w:val="single"/>
          <w:shd w:val="clear" w:color="auto" w:fill="FFFFFF"/>
        </w:rPr>
        <w:t>nors ja audiovizualinės žiniasklaidos paslaugų srityje sukonkretinama laisvė teikti paslaugas</w:t>
      </w:r>
      <w:r w:rsidRPr="00A82483">
        <w:rPr>
          <w:rFonts w:asciiTheme="minorHAnsi" w:hAnsiTheme="minorHAnsi" w:cstheme="minorHAnsi"/>
          <w:color w:val="000000"/>
          <w:sz w:val="22"/>
          <w:szCs w:val="22"/>
          <w:shd w:val="clear" w:color="auto" w:fill="FFFFFF"/>
        </w:rPr>
        <w:t xml:space="preserve">, kurią užtikrina SESV 56 straipsnis, </w:t>
      </w:r>
      <w:r w:rsidRPr="007841C5">
        <w:rPr>
          <w:rFonts w:asciiTheme="minorHAnsi" w:hAnsiTheme="minorHAnsi" w:cstheme="minorHAnsi"/>
          <w:color w:val="000000"/>
          <w:sz w:val="22"/>
          <w:szCs w:val="22"/>
          <w:u w:val="single"/>
          <w:shd w:val="clear" w:color="auto" w:fill="FFFFFF"/>
        </w:rPr>
        <w:t>nustatant</w:t>
      </w:r>
      <w:r w:rsidRPr="00A82483">
        <w:rPr>
          <w:rFonts w:asciiTheme="minorHAnsi" w:hAnsiTheme="minorHAnsi" w:cstheme="minorHAnsi"/>
          <w:color w:val="000000"/>
          <w:sz w:val="22"/>
          <w:szCs w:val="22"/>
          <w:shd w:val="clear" w:color="auto" w:fill="FFFFFF"/>
        </w:rPr>
        <w:t xml:space="preserve">, kaip matyti iš minėtos direktyvos 104 konstatuojamosios dalies, </w:t>
      </w:r>
      <w:r w:rsidRPr="007841C5">
        <w:rPr>
          <w:rFonts w:asciiTheme="minorHAnsi" w:hAnsiTheme="minorHAnsi" w:cstheme="minorHAnsi"/>
          <w:color w:val="000000"/>
          <w:sz w:val="22"/>
          <w:szCs w:val="22"/>
          <w:u w:val="single"/>
          <w:shd w:val="clear" w:color="auto" w:fill="FFFFFF"/>
        </w:rPr>
        <w:t>šioms paslaugoms „erdvę be vidaus sienų“,</w:t>
      </w:r>
      <w:r w:rsidRPr="00A82483">
        <w:rPr>
          <w:rFonts w:asciiTheme="minorHAnsi" w:hAnsiTheme="minorHAnsi" w:cstheme="minorHAnsi"/>
          <w:color w:val="000000"/>
          <w:sz w:val="22"/>
          <w:szCs w:val="22"/>
          <w:shd w:val="clear" w:color="auto" w:fill="FFFFFF"/>
        </w:rPr>
        <w:t xml:space="preserve"> kartu, kaip matyti iš jos 5 konstatuojamosios dalies, </w:t>
      </w:r>
      <w:r w:rsidRPr="0048279F">
        <w:rPr>
          <w:rFonts w:asciiTheme="minorHAnsi" w:hAnsiTheme="minorHAnsi" w:cstheme="minorHAnsi"/>
          <w:color w:val="000000"/>
          <w:sz w:val="22"/>
          <w:szCs w:val="22"/>
          <w:u w:val="single"/>
          <w:shd w:val="clear" w:color="auto" w:fill="FFFFFF"/>
        </w:rPr>
        <w:t>atsižvelgiama į tokių paslaugų kultūrinį bei ekonominį pobūdį ir į jų svarbą demokratijai, švietimui ir kultūrai, o tai pateisina šioms paslaugoms taikomas specialias taisykles.</w:t>
      </w:r>
      <w:r w:rsidRPr="00A82483">
        <w:rPr>
          <w:rFonts w:asciiTheme="minorHAnsi" w:hAnsiTheme="minorHAnsi" w:cstheme="minorHAnsi"/>
          <w:color w:val="000000"/>
          <w:sz w:val="22"/>
          <w:szCs w:val="22"/>
          <w:shd w:val="clear" w:color="auto" w:fill="FFFFFF"/>
        </w:rPr>
        <w:t xml:space="preserve"> Be to, Direktyvos 89/552 9 ir 10 konstatuojamosiose dalyse buvo numatyta, kad kliūtys, kurias Sąjungos teisės aktų leidėjas siekė pašalinti, buvo kliūtys, kurias lėmė valstybių narių nacionalinės teisės nuostatų skirtumai, kiek tai susiję su televizijos programų transliavimu ir platinimu. Taigi </w:t>
      </w:r>
      <w:r w:rsidRPr="007841C5">
        <w:rPr>
          <w:rFonts w:asciiTheme="minorHAnsi" w:hAnsiTheme="minorHAnsi" w:cstheme="minorHAnsi"/>
          <w:color w:val="000000"/>
          <w:sz w:val="22"/>
          <w:szCs w:val="22"/>
          <w:u w:val="single"/>
          <w:shd w:val="clear" w:color="auto" w:fill="FFFFFF"/>
        </w:rPr>
        <w:t>šia direktyva derinamos tik tos sritys, kurios susijusios su televizijos programų transliavimu tiesiogine prasme</w:t>
      </w:r>
      <w:r w:rsidRPr="00A82483">
        <w:rPr>
          <w:rFonts w:asciiTheme="minorHAnsi" w:hAnsiTheme="minorHAnsi" w:cstheme="minorHAnsi"/>
          <w:color w:val="000000"/>
          <w:sz w:val="22"/>
          <w:szCs w:val="22"/>
          <w:shd w:val="clear" w:color="auto" w:fill="FFFFFF"/>
        </w:rPr>
        <w:t xml:space="preserve">, kaip jis apibrėžtas minėtos direktyvos 1 straipsnio a punkte (šiuo klausimu žr. 2011 m. rugsėjo 22 d. Sprendimo </w:t>
      </w:r>
      <w:r w:rsidRPr="001362AB">
        <w:rPr>
          <w:rFonts w:asciiTheme="minorHAnsi" w:hAnsiTheme="minorHAnsi" w:cstheme="minorHAnsi"/>
          <w:i/>
          <w:iCs/>
          <w:color w:val="000000"/>
          <w:sz w:val="22"/>
          <w:szCs w:val="22"/>
        </w:rPr>
        <w:t>Mesopotamia Broadcast ir Roj TV</w:t>
      </w:r>
      <w:r w:rsidRPr="007841C5">
        <w:rPr>
          <w:rFonts w:asciiTheme="minorHAnsi" w:hAnsiTheme="minorHAnsi" w:cstheme="minorHAnsi"/>
          <w:color w:val="000000"/>
          <w:sz w:val="22"/>
          <w:szCs w:val="22"/>
          <w:shd w:val="clear" w:color="auto" w:fill="FFFFFF"/>
        </w:rPr>
        <w:t>,</w:t>
      </w:r>
      <w:r w:rsidRPr="00A82483">
        <w:rPr>
          <w:rFonts w:asciiTheme="minorHAnsi" w:hAnsiTheme="minorHAnsi" w:cstheme="minorHAnsi"/>
          <w:color w:val="000000"/>
          <w:sz w:val="22"/>
          <w:szCs w:val="22"/>
          <w:shd w:val="clear" w:color="auto" w:fill="FFFFFF"/>
        </w:rPr>
        <w:t xml:space="preserve"> C</w:t>
      </w:r>
      <w:r w:rsidRPr="00A82483">
        <w:rPr>
          <w:rFonts w:asciiTheme="minorHAnsi" w:hAnsiTheme="minorHAnsi" w:cstheme="minorHAnsi"/>
          <w:color w:val="000000"/>
          <w:sz w:val="22"/>
          <w:szCs w:val="22"/>
          <w:shd w:val="clear" w:color="auto" w:fill="FFFFFF"/>
        </w:rPr>
        <w:noBreakHyphen/>
        <w:t>244/10 ir C</w:t>
      </w:r>
      <w:r w:rsidRPr="00A82483">
        <w:rPr>
          <w:rFonts w:asciiTheme="minorHAnsi" w:hAnsiTheme="minorHAnsi" w:cstheme="minorHAnsi"/>
          <w:color w:val="000000"/>
          <w:sz w:val="22"/>
          <w:szCs w:val="22"/>
          <w:shd w:val="clear" w:color="auto" w:fill="FFFFFF"/>
        </w:rPr>
        <w:noBreakHyphen/>
        <w:t>245/10, EU:C:2011:607, 31 ir 32 punktus)</w:t>
      </w:r>
      <w:r>
        <w:rPr>
          <w:rFonts w:asciiTheme="minorHAnsi" w:hAnsiTheme="minorHAnsi" w:cstheme="minorHAnsi"/>
          <w:color w:val="000000"/>
          <w:sz w:val="22"/>
          <w:szCs w:val="22"/>
          <w:shd w:val="clear" w:color="auto" w:fill="FFFFFF"/>
        </w:rPr>
        <w:t xml:space="preserve"> (64–66 punktai).</w:t>
      </w:r>
    </w:p>
    <w:p w:rsidR="00CB0B9D" w:rsidRPr="00DA09F1" w:rsidRDefault="00CB0B9D" w:rsidP="00CB0B9D">
      <w:pPr>
        <w:pStyle w:val="c01pointnumerotealtn"/>
        <w:shd w:val="clear" w:color="auto" w:fill="FFFFFF"/>
        <w:spacing w:before="0" w:beforeAutospacing="0" w:after="0"/>
        <w:ind w:left="0" w:firstLine="567"/>
        <w:rPr>
          <w:rFonts w:asciiTheme="minorHAnsi" w:hAnsiTheme="minorHAnsi" w:cstheme="minorHAnsi"/>
          <w:color w:val="000000"/>
          <w:sz w:val="22"/>
          <w:szCs w:val="22"/>
          <w:shd w:val="clear" w:color="auto" w:fill="FFFFFF"/>
        </w:rPr>
      </w:pPr>
      <w:r w:rsidRPr="00DA09F1">
        <w:rPr>
          <w:rFonts w:asciiTheme="minorHAnsi" w:hAnsiTheme="minorHAnsi" w:cstheme="minorHAnsi"/>
          <w:color w:val="000000"/>
          <w:sz w:val="22"/>
          <w:szCs w:val="22"/>
          <w:shd w:val="clear" w:color="auto" w:fill="FFFFFF"/>
        </w:rPr>
        <w:t xml:space="preserve">Teisingumo Teismas pažymėjo, kad, kiek tai susiję su Direktyva 89/552, iš dalies pakeista Direktyva 97/36, kurios 2a straipsnio 1 ir 2 dalys iš esmės atitinka Direktyvos 2010/13 3 straipsnio 1 ir 2 dalis, Teisingumo Teismas yra nusprendęs, jog Direktyva 89/552 nustatė principą, pagal kurį </w:t>
      </w:r>
      <w:r w:rsidRPr="0048279F">
        <w:rPr>
          <w:rFonts w:asciiTheme="minorHAnsi" w:hAnsiTheme="minorHAnsi" w:cstheme="minorHAnsi"/>
          <w:color w:val="000000"/>
          <w:sz w:val="22"/>
          <w:szCs w:val="22"/>
          <w:u w:val="single"/>
          <w:shd w:val="clear" w:color="auto" w:fill="FFFFFF"/>
        </w:rPr>
        <w:t>priimančioji valstybė narė pripažįsta kilmės valstybės narės turimą kontrolės funkciją jos jurisdikcijai priklausančių transliuotojų teikiamų audiovizualinės žiniasklaidos paslaugų atžvilgiu</w:t>
      </w:r>
      <w:r w:rsidRPr="00DA09F1">
        <w:rPr>
          <w:rFonts w:asciiTheme="minorHAnsi" w:hAnsiTheme="minorHAnsi" w:cstheme="minorHAnsi"/>
          <w:color w:val="000000"/>
          <w:sz w:val="22"/>
          <w:szCs w:val="22"/>
          <w:shd w:val="clear" w:color="auto" w:fill="FFFFFF"/>
        </w:rPr>
        <w:t xml:space="preserve"> (šiuo klausimu žr. 2011 m. rugsėjo 22 d. Sprendimo </w:t>
      </w:r>
      <w:r w:rsidRPr="001362AB">
        <w:rPr>
          <w:rFonts w:asciiTheme="minorHAnsi" w:hAnsiTheme="minorHAnsi" w:cstheme="minorHAnsi"/>
          <w:i/>
          <w:iCs/>
          <w:color w:val="000000"/>
          <w:sz w:val="22"/>
          <w:szCs w:val="22"/>
        </w:rPr>
        <w:t>Mesopotamia Broadcast ir Roj TV</w:t>
      </w:r>
      <w:r w:rsidRPr="00DA09F1">
        <w:rPr>
          <w:rFonts w:asciiTheme="minorHAnsi" w:hAnsiTheme="minorHAnsi" w:cstheme="minorHAnsi"/>
          <w:color w:val="000000"/>
          <w:sz w:val="22"/>
          <w:szCs w:val="22"/>
          <w:shd w:val="clear" w:color="auto" w:fill="FFFFFF"/>
        </w:rPr>
        <w:t>, C</w:t>
      </w:r>
      <w:r w:rsidRPr="00DA09F1">
        <w:rPr>
          <w:rFonts w:asciiTheme="minorHAnsi" w:hAnsiTheme="minorHAnsi" w:cstheme="minorHAnsi"/>
          <w:color w:val="000000"/>
          <w:sz w:val="22"/>
          <w:szCs w:val="22"/>
          <w:shd w:val="clear" w:color="auto" w:fill="FFFFFF"/>
        </w:rPr>
        <w:noBreakHyphen/>
        <w:t>244/10 ir C</w:t>
      </w:r>
      <w:r w:rsidRPr="00DA09F1">
        <w:rPr>
          <w:rFonts w:asciiTheme="minorHAnsi" w:hAnsiTheme="minorHAnsi" w:cstheme="minorHAnsi"/>
          <w:color w:val="000000"/>
          <w:sz w:val="22"/>
          <w:szCs w:val="22"/>
          <w:shd w:val="clear" w:color="auto" w:fill="FFFFFF"/>
        </w:rPr>
        <w:noBreakHyphen/>
        <w:t>245/10, EU:C:2011:607, 35 punktą</w:t>
      </w:r>
      <w:r w:rsidRPr="00E31EAF">
        <w:rPr>
          <w:rFonts w:asciiTheme="minorHAnsi" w:hAnsiTheme="minorHAnsi" w:cstheme="minorHAnsi"/>
          <w:color w:val="000000"/>
          <w:sz w:val="22"/>
          <w:szCs w:val="22"/>
          <w:shd w:val="clear" w:color="auto" w:fill="FFFFFF"/>
        </w:rPr>
        <w:t xml:space="preserve">). Šiuo klausimu Teisingumo Teismas pabrėžė, kad kilmės valstybės narės teisės, taikytinos </w:t>
      </w:r>
      <w:r w:rsidRPr="0048279F">
        <w:rPr>
          <w:rFonts w:asciiTheme="minorHAnsi" w:hAnsiTheme="minorHAnsi" w:cstheme="minorHAnsi"/>
          <w:color w:val="000000"/>
          <w:sz w:val="22"/>
          <w:szCs w:val="22"/>
          <w:u w:val="single"/>
          <w:shd w:val="clear" w:color="auto" w:fill="FFFFFF"/>
        </w:rPr>
        <w:t>audiovizualinės žiniasklaidos paslaugoms, taikymo</w:t>
      </w:r>
      <w:r w:rsidRPr="00E31EAF">
        <w:rPr>
          <w:rFonts w:asciiTheme="minorHAnsi" w:hAnsiTheme="minorHAnsi" w:cstheme="minorHAnsi"/>
          <w:color w:val="000000"/>
          <w:sz w:val="22"/>
          <w:szCs w:val="22"/>
          <w:shd w:val="clear" w:color="auto" w:fill="FFFFFF"/>
        </w:rPr>
        <w:t xml:space="preserve"> ir Direktyvos 89/552, iš dalies pakeistos Direktyva 97/36, </w:t>
      </w:r>
      <w:r w:rsidRPr="0048279F">
        <w:rPr>
          <w:rFonts w:asciiTheme="minorHAnsi" w:hAnsiTheme="minorHAnsi" w:cstheme="minorHAnsi"/>
          <w:color w:val="000000"/>
          <w:sz w:val="22"/>
          <w:szCs w:val="22"/>
          <w:u w:val="single"/>
          <w:shd w:val="clear" w:color="auto" w:fill="FFFFFF"/>
        </w:rPr>
        <w:t>nuostatų laikymosi kontrolę turi vykdyti tik valstybė narė, iš kurios šios paslaugos teikiamos, ir kad priimančioji valstybė narė neturi teisės pati vykdyti kontrolės dėl priežasčių, priklausančių nuo šios direktyvos koordinuojamų sričių</w:t>
      </w:r>
      <w:r w:rsidRPr="00E31EAF">
        <w:rPr>
          <w:rFonts w:asciiTheme="minorHAnsi" w:hAnsiTheme="minorHAnsi" w:cstheme="minorHAnsi"/>
          <w:color w:val="000000"/>
          <w:sz w:val="22"/>
          <w:szCs w:val="22"/>
          <w:shd w:val="clear" w:color="auto" w:fill="FFFFFF"/>
        </w:rPr>
        <w:t xml:space="preserve"> (šiuo klausimu žr. 2011 m. rugsėjo 22 d. Sprendimo </w:t>
      </w:r>
      <w:r w:rsidRPr="001362AB">
        <w:rPr>
          <w:rFonts w:asciiTheme="minorHAnsi" w:hAnsiTheme="minorHAnsi" w:cstheme="minorHAnsi"/>
          <w:i/>
          <w:iCs/>
          <w:color w:val="000000"/>
          <w:sz w:val="22"/>
          <w:szCs w:val="22"/>
        </w:rPr>
        <w:t>Mesopotamia Broadcast ir Roj</w:t>
      </w:r>
      <w:r w:rsidRPr="00E31EAF">
        <w:rPr>
          <w:rFonts w:asciiTheme="minorHAnsi" w:hAnsiTheme="minorHAnsi" w:cstheme="minorHAnsi"/>
          <w:i/>
          <w:iCs/>
          <w:color w:val="000000"/>
          <w:sz w:val="22"/>
          <w:szCs w:val="22"/>
        </w:rPr>
        <w:t xml:space="preserve"> </w:t>
      </w:r>
      <w:r w:rsidRPr="007841C5">
        <w:rPr>
          <w:rFonts w:asciiTheme="minorHAnsi" w:hAnsiTheme="minorHAnsi" w:cstheme="minorHAnsi"/>
          <w:color w:val="000000"/>
          <w:sz w:val="22"/>
          <w:szCs w:val="22"/>
        </w:rPr>
        <w:t>TV</w:t>
      </w:r>
      <w:r w:rsidRPr="00E31EAF">
        <w:rPr>
          <w:rFonts w:asciiTheme="minorHAnsi" w:hAnsiTheme="minorHAnsi" w:cstheme="minorHAnsi"/>
          <w:color w:val="000000"/>
          <w:sz w:val="22"/>
          <w:szCs w:val="22"/>
          <w:shd w:val="clear" w:color="auto" w:fill="FFFFFF"/>
        </w:rPr>
        <w:t>, C</w:t>
      </w:r>
      <w:r w:rsidRPr="00E31EAF">
        <w:rPr>
          <w:rFonts w:asciiTheme="minorHAnsi" w:hAnsiTheme="minorHAnsi" w:cstheme="minorHAnsi"/>
          <w:color w:val="000000"/>
          <w:sz w:val="22"/>
          <w:szCs w:val="22"/>
          <w:shd w:val="clear" w:color="auto" w:fill="FFFFFF"/>
        </w:rPr>
        <w:noBreakHyphen/>
        <w:t>244/10 ir C</w:t>
      </w:r>
      <w:r w:rsidRPr="00E31EAF">
        <w:rPr>
          <w:rFonts w:asciiTheme="minorHAnsi" w:hAnsiTheme="minorHAnsi" w:cstheme="minorHAnsi"/>
          <w:color w:val="000000"/>
          <w:sz w:val="22"/>
          <w:szCs w:val="22"/>
          <w:shd w:val="clear" w:color="auto" w:fill="FFFFFF"/>
        </w:rPr>
        <w:noBreakHyphen/>
        <w:t xml:space="preserve">245/10, EU:C:2011:607, 36 punktą ir jame nurodytą jurisprudenciją). Vis dėlto pagal Direktyvą 2010/13 </w:t>
      </w:r>
      <w:r w:rsidRPr="0048279F">
        <w:rPr>
          <w:rFonts w:asciiTheme="minorHAnsi" w:hAnsiTheme="minorHAnsi" w:cstheme="minorHAnsi"/>
          <w:color w:val="000000"/>
          <w:sz w:val="22"/>
          <w:szCs w:val="22"/>
          <w:u w:val="single"/>
          <w:shd w:val="clear" w:color="auto" w:fill="FFFFFF"/>
        </w:rPr>
        <w:t>iš principo nedraudžiama taikyti nacionalinės teisės normos, kuria bendrai siekiama bendrojo intereso tikslo, nenustatant televizijos programų antrinės kontrolės greta kontrolės, kurią turi atlikti perduodančioji valstybė narė</w:t>
      </w:r>
      <w:r w:rsidRPr="00E31EAF">
        <w:rPr>
          <w:rFonts w:asciiTheme="minorHAnsi" w:hAnsiTheme="minorHAnsi" w:cstheme="minorHAnsi"/>
          <w:color w:val="000000"/>
          <w:sz w:val="22"/>
          <w:szCs w:val="22"/>
          <w:shd w:val="clear" w:color="auto" w:fill="FFFFFF"/>
        </w:rPr>
        <w:t xml:space="preserve"> (šiuo klausimu žr.</w:t>
      </w:r>
      <w:r>
        <w:rPr>
          <w:rFonts w:asciiTheme="minorHAnsi" w:hAnsiTheme="minorHAnsi" w:cstheme="minorHAnsi"/>
          <w:color w:val="000000"/>
          <w:sz w:val="22"/>
          <w:szCs w:val="22"/>
          <w:shd w:val="clear" w:color="auto" w:fill="FFFFFF"/>
        </w:rPr>
        <w:t> </w:t>
      </w:r>
      <w:r w:rsidRPr="00E31EAF">
        <w:rPr>
          <w:rFonts w:asciiTheme="minorHAnsi" w:hAnsiTheme="minorHAnsi" w:cstheme="minorHAnsi"/>
          <w:color w:val="000000"/>
          <w:sz w:val="22"/>
          <w:szCs w:val="22"/>
          <w:shd w:val="clear" w:color="auto" w:fill="FFFFFF"/>
        </w:rPr>
        <w:t xml:space="preserve">1997 m. liepos 9 d. Sprendimo </w:t>
      </w:r>
      <w:r w:rsidRPr="001362AB">
        <w:rPr>
          <w:rFonts w:asciiTheme="minorHAnsi" w:hAnsiTheme="minorHAnsi" w:cstheme="minorHAnsi"/>
          <w:i/>
          <w:iCs/>
          <w:color w:val="000000"/>
          <w:sz w:val="22"/>
          <w:szCs w:val="22"/>
        </w:rPr>
        <w:t>De Agostini ir TV-Shop</w:t>
      </w:r>
      <w:r w:rsidRPr="00E31EAF">
        <w:rPr>
          <w:rFonts w:asciiTheme="minorHAnsi" w:hAnsiTheme="minorHAnsi" w:cstheme="minorHAnsi"/>
          <w:color w:val="000000"/>
          <w:sz w:val="22"/>
          <w:szCs w:val="22"/>
          <w:shd w:val="clear" w:color="auto" w:fill="FFFFFF"/>
        </w:rPr>
        <w:t>, C</w:t>
      </w:r>
      <w:r w:rsidRPr="00E31EAF">
        <w:rPr>
          <w:rFonts w:asciiTheme="minorHAnsi" w:hAnsiTheme="minorHAnsi" w:cstheme="minorHAnsi"/>
          <w:color w:val="000000"/>
          <w:sz w:val="22"/>
          <w:szCs w:val="22"/>
          <w:shd w:val="clear" w:color="auto" w:fill="FFFFFF"/>
        </w:rPr>
        <w:noBreakHyphen/>
        <w:t>34/95–C</w:t>
      </w:r>
      <w:r w:rsidRPr="00E31EAF">
        <w:rPr>
          <w:rFonts w:asciiTheme="minorHAnsi" w:hAnsiTheme="minorHAnsi" w:cstheme="minorHAnsi"/>
          <w:color w:val="000000"/>
          <w:sz w:val="22"/>
          <w:szCs w:val="22"/>
          <w:shd w:val="clear" w:color="auto" w:fill="FFFFFF"/>
        </w:rPr>
        <w:noBreakHyphen/>
        <w:t>36/95, EU:C:1997:344, 34 punktą) (71</w:t>
      </w:r>
      <w:r>
        <w:rPr>
          <w:rFonts w:asciiTheme="minorHAnsi" w:hAnsiTheme="minorHAnsi" w:cstheme="minorHAnsi"/>
          <w:color w:val="000000"/>
          <w:sz w:val="22"/>
          <w:szCs w:val="22"/>
          <w:shd w:val="clear" w:color="auto" w:fill="FFFFFF"/>
        </w:rPr>
        <w:t>–</w:t>
      </w:r>
      <w:r w:rsidRPr="00E31EAF">
        <w:rPr>
          <w:rFonts w:asciiTheme="minorHAnsi" w:hAnsiTheme="minorHAnsi" w:cstheme="minorHAnsi"/>
          <w:color w:val="000000"/>
          <w:sz w:val="22"/>
          <w:szCs w:val="22"/>
          <w:shd w:val="clear" w:color="auto" w:fill="FFFFFF"/>
        </w:rPr>
        <w:t>73</w:t>
      </w:r>
      <w:r>
        <w:rPr>
          <w:rFonts w:asciiTheme="minorHAnsi" w:hAnsiTheme="minorHAnsi" w:cstheme="minorHAnsi"/>
          <w:color w:val="000000"/>
          <w:sz w:val="22"/>
          <w:szCs w:val="22"/>
          <w:shd w:val="clear" w:color="auto" w:fill="FFFFFF"/>
        </w:rPr>
        <w:t> </w:t>
      </w:r>
      <w:r w:rsidRPr="00E31EAF">
        <w:rPr>
          <w:rFonts w:asciiTheme="minorHAnsi" w:hAnsiTheme="minorHAnsi" w:cstheme="minorHAnsi"/>
          <w:color w:val="000000"/>
          <w:sz w:val="22"/>
          <w:szCs w:val="22"/>
          <w:shd w:val="clear" w:color="auto" w:fill="FFFFFF"/>
        </w:rPr>
        <w:t>punktai).</w:t>
      </w:r>
    </w:p>
    <w:p w:rsidR="00CB0B9D" w:rsidRPr="002577E8" w:rsidRDefault="00CB0B9D" w:rsidP="00CB0B9D">
      <w:pPr>
        <w:pStyle w:val="c01pointnumerotealtn"/>
        <w:shd w:val="clear" w:color="auto" w:fill="FFFFFF"/>
        <w:spacing w:before="0" w:beforeAutospacing="0" w:after="0"/>
        <w:ind w:left="0" w:firstLine="567"/>
        <w:rPr>
          <w:rFonts w:asciiTheme="minorHAnsi" w:hAnsiTheme="minorHAnsi" w:cstheme="minorHAnsi"/>
          <w:color w:val="000000"/>
          <w:sz w:val="22"/>
          <w:szCs w:val="22"/>
          <w:shd w:val="clear" w:color="auto" w:fill="FFFFFF"/>
        </w:rPr>
      </w:pPr>
      <w:r>
        <w:rPr>
          <w:rFonts w:asciiTheme="minorHAnsi" w:hAnsiTheme="minorHAnsi" w:cstheme="minorHAnsi"/>
          <w:color w:val="000000"/>
          <w:sz w:val="22"/>
          <w:szCs w:val="22"/>
          <w:shd w:val="clear" w:color="auto" w:fill="FFFFFF"/>
        </w:rPr>
        <w:t>Teisingumo Teismas priminė</w:t>
      </w:r>
      <w:r w:rsidRPr="00456F33">
        <w:rPr>
          <w:rFonts w:asciiTheme="minorHAnsi" w:hAnsiTheme="minorHAnsi" w:cstheme="minorHAnsi"/>
          <w:color w:val="000000"/>
          <w:sz w:val="22"/>
          <w:szCs w:val="22"/>
          <w:shd w:val="clear" w:color="auto" w:fill="FFFFFF"/>
        </w:rPr>
        <w:t xml:space="preserve">, kad 2011 m. rugsėjo 22 d. Sprendimo </w:t>
      </w:r>
      <w:r w:rsidRPr="001362AB">
        <w:rPr>
          <w:rFonts w:asciiTheme="minorHAnsi" w:hAnsiTheme="minorHAnsi" w:cstheme="minorHAnsi"/>
          <w:color w:val="000000"/>
          <w:sz w:val="22"/>
          <w:szCs w:val="22"/>
          <w:u w:val="single"/>
        </w:rPr>
        <w:t>Mesopotamia Broadcast ir Roj TV</w:t>
      </w:r>
      <w:r w:rsidRPr="00456F33">
        <w:rPr>
          <w:rFonts w:asciiTheme="minorHAnsi" w:hAnsiTheme="minorHAnsi" w:cstheme="minorHAnsi"/>
          <w:color w:val="000000"/>
          <w:sz w:val="22"/>
          <w:szCs w:val="22"/>
          <w:shd w:val="clear" w:color="auto" w:fill="FFFFFF"/>
        </w:rPr>
        <w:t xml:space="preserve"> (C</w:t>
      </w:r>
      <w:r w:rsidRPr="00456F33">
        <w:rPr>
          <w:rFonts w:asciiTheme="minorHAnsi" w:hAnsiTheme="minorHAnsi" w:cstheme="minorHAnsi"/>
          <w:color w:val="000000"/>
          <w:sz w:val="22"/>
          <w:szCs w:val="22"/>
          <w:shd w:val="clear" w:color="auto" w:fill="FFFFFF"/>
        </w:rPr>
        <w:noBreakHyphen/>
        <w:t>244/10 ir C</w:t>
      </w:r>
      <w:r w:rsidRPr="00456F33">
        <w:rPr>
          <w:rFonts w:asciiTheme="minorHAnsi" w:hAnsiTheme="minorHAnsi" w:cstheme="minorHAnsi"/>
          <w:color w:val="000000"/>
          <w:sz w:val="22"/>
          <w:szCs w:val="22"/>
          <w:shd w:val="clear" w:color="auto" w:fill="FFFFFF"/>
        </w:rPr>
        <w:noBreakHyphen/>
        <w:t>245/10, EU:C:2011:607) 50 punkte Teisingumo Teismas nurodė, kad į Direktyvos 89/552, iš dalies pakeistos Direktyva 97/36, taikymo sritį nepatenka valstybės narės teisės normos, kuriomis konkrečiai nereglamentuojamas programų transliavimas ir platinimas ir kuriomis bendrai siekiama viešosios tvarkos tikslo, nesudarant kliūčių audiovizualinės žiniasklaidos paslaugų iš kitų valstybių narių perdavimui, kaip tai suprantama tiesiogine prasme, jos teritorijoje.</w:t>
      </w:r>
      <w:r>
        <w:rPr>
          <w:rFonts w:asciiTheme="minorHAnsi" w:hAnsiTheme="minorHAnsi" w:cstheme="minorHAnsi"/>
          <w:color w:val="000000"/>
          <w:sz w:val="22"/>
          <w:szCs w:val="22"/>
          <w:shd w:val="clear" w:color="auto" w:fill="FFFFFF"/>
        </w:rPr>
        <w:t xml:space="preserve"> Teisingumo Teismas </w:t>
      </w:r>
      <w:r w:rsidRPr="002577E8">
        <w:rPr>
          <w:rFonts w:asciiTheme="minorHAnsi" w:hAnsiTheme="minorHAnsi" w:cstheme="minorHAnsi"/>
          <w:color w:val="000000"/>
          <w:sz w:val="22"/>
          <w:szCs w:val="22"/>
          <w:shd w:val="clear" w:color="auto" w:fill="FFFFFF"/>
        </w:rPr>
        <w:t xml:space="preserve">akcentavo, kad 2011 m. rugsėjo 22 d. Sprendimo </w:t>
      </w:r>
      <w:r w:rsidRPr="001362AB">
        <w:rPr>
          <w:rFonts w:asciiTheme="minorHAnsi" w:hAnsiTheme="minorHAnsi" w:cstheme="minorHAnsi"/>
          <w:i/>
          <w:iCs/>
          <w:color w:val="000000"/>
          <w:sz w:val="22"/>
          <w:szCs w:val="22"/>
        </w:rPr>
        <w:t>Mesopotamia Broadcast ir Roj TV</w:t>
      </w:r>
      <w:r w:rsidRPr="002577E8">
        <w:rPr>
          <w:rFonts w:asciiTheme="minorHAnsi" w:hAnsiTheme="minorHAnsi" w:cstheme="minorHAnsi"/>
          <w:color w:val="000000"/>
          <w:sz w:val="22"/>
          <w:szCs w:val="22"/>
          <w:shd w:val="clear" w:color="auto" w:fill="FFFFFF"/>
        </w:rPr>
        <w:t xml:space="preserve"> (C</w:t>
      </w:r>
      <w:r w:rsidRPr="002577E8">
        <w:rPr>
          <w:rFonts w:asciiTheme="minorHAnsi" w:hAnsiTheme="minorHAnsi" w:cstheme="minorHAnsi"/>
          <w:color w:val="000000"/>
          <w:sz w:val="22"/>
          <w:szCs w:val="22"/>
          <w:shd w:val="clear" w:color="auto" w:fill="FFFFFF"/>
        </w:rPr>
        <w:noBreakHyphen/>
        <w:t>244/10 ir C</w:t>
      </w:r>
      <w:r w:rsidRPr="002577E8">
        <w:rPr>
          <w:rFonts w:asciiTheme="minorHAnsi" w:hAnsiTheme="minorHAnsi" w:cstheme="minorHAnsi"/>
          <w:color w:val="000000"/>
          <w:sz w:val="22"/>
          <w:szCs w:val="22"/>
          <w:shd w:val="clear" w:color="auto" w:fill="FFFFFF"/>
        </w:rPr>
        <w:noBreakHyphen/>
        <w:t xml:space="preserve">245/10, EU:C:2011:607) 50 punkto </w:t>
      </w:r>
      <w:r w:rsidRPr="00EE080E">
        <w:rPr>
          <w:rFonts w:asciiTheme="minorHAnsi" w:hAnsiTheme="minorHAnsi" w:cstheme="minorHAnsi"/>
          <w:color w:val="000000"/>
          <w:sz w:val="22"/>
          <w:szCs w:val="22"/>
          <w:u w:val="single"/>
          <w:shd w:val="clear" w:color="auto" w:fill="FFFFFF"/>
        </w:rPr>
        <w:t>nereikia aiškinti taip, kad nacionalinė priemonė yra ribojimas</w:t>
      </w:r>
      <w:r w:rsidRPr="002577E8">
        <w:rPr>
          <w:rFonts w:asciiTheme="minorHAnsi" w:hAnsiTheme="minorHAnsi" w:cstheme="minorHAnsi"/>
          <w:color w:val="000000"/>
          <w:sz w:val="22"/>
          <w:szCs w:val="22"/>
          <w:shd w:val="clear" w:color="auto" w:fill="FFFFFF"/>
        </w:rPr>
        <w:t xml:space="preserve">, kaip tai suprantama pagal Direktyvos 2010/13 3 straipsnio 1 dalį, nes teisės normos, kuriomis remiantis ji nustatyta, reglamentuoja tam tikrus audiovizualinės žiniasklaidos paslaugų platinimo ar paskirstymo aspektus, kaip antai tvarką, kurios laikantis šios paslaugos platinamos arba paskirstomos. </w:t>
      </w:r>
      <w:r w:rsidRPr="00EE080E">
        <w:rPr>
          <w:rFonts w:asciiTheme="minorHAnsi" w:hAnsiTheme="minorHAnsi" w:cstheme="minorHAnsi"/>
          <w:color w:val="000000"/>
          <w:sz w:val="22"/>
          <w:szCs w:val="22"/>
          <w:u w:val="single"/>
          <w:shd w:val="clear" w:color="auto" w:fill="FFFFFF"/>
        </w:rPr>
        <w:t>Tokio apribojimo nesukuria nacionalinė priemonė, kuria bendrai siekiama viešosios tvarkos tikslo ir kuri reglamentuoja televizijos programos platinimo tvarką priimančiosios valstybės narės vartotojams, jeigu tokia tvarka netrukdo tokios programos perdavimo tiesiogine prasme.</w:t>
      </w:r>
      <w:r w:rsidRPr="002577E8">
        <w:rPr>
          <w:rFonts w:asciiTheme="minorHAnsi" w:hAnsiTheme="minorHAnsi" w:cstheme="minorHAnsi"/>
          <w:color w:val="000000"/>
          <w:sz w:val="22"/>
          <w:szCs w:val="22"/>
          <w:shd w:val="clear" w:color="auto" w:fill="FFFFFF"/>
        </w:rPr>
        <w:t xml:space="preserve"> Iš tiesų tokia priemonė nesukuria antrinės nagrinėjamos programos perdavimo kontrolės, kuri prisidėtų prie kontrolės, kurią turi atlikti perduodančioji valstybė narė</w:t>
      </w:r>
      <w:r>
        <w:rPr>
          <w:rFonts w:asciiTheme="minorHAnsi" w:hAnsiTheme="minorHAnsi" w:cstheme="minorHAnsi"/>
          <w:color w:val="000000"/>
          <w:sz w:val="22"/>
          <w:szCs w:val="22"/>
          <w:shd w:val="clear" w:color="auto" w:fill="FFFFFF"/>
        </w:rPr>
        <w:t xml:space="preserve"> (75–77 punktai).</w:t>
      </w:r>
    </w:p>
    <w:p w:rsidR="00CB0B9D" w:rsidRPr="002577E8" w:rsidRDefault="00CB0B9D" w:rsidP="00CB0B9D">
      <w:pPr>
        <w:pStyle w:val="c01pointnumerotealtn"/>
        <w:shd w:val="clear" w:color="auto" w:fill="FFFFFF"/>
        <w:spacing w:before="0" w:beforeAutospacing="0" w:after="0"/>
        <w:ind w:left="0" w:firstLine="567"/>
        <w:rPr>
          <w:rFonts w:asciiTheme="minorHAnsi" w:hAnsiTheme="minorHAnsi" w:cstheme="minorHAnsi"/>
          <w:color w:val="000000"/>
          <w:sz w:val="22"/>
          <w:szCs w:val="22"/>
          <w:shd w:val="clear" w:color="auto" w:fill="FFFFFF"/>
        </w:rPr>
      </w:pPr>
      <w:r>
        <w:rPr>
          <w:rFonts w:asciiTheme="minorHAnsi" w:hAnsiTheme="minorHAnsi" w:cstheme="minorHAnsi"/>
          <w:color w:val="000000"/>
          <w:sz w:val="22"/>
          <w:szCs w:val="22"/>
          <w:shd w:val="clear" w:color="auto" w:fill="FFFFFF"/>
        </w:rPr>
        <w:t>Teisingumo Teismas</w:t>
      </w:r>
      <w:r w:rsidRPr="002577E8">
        <w:rPr>
          <w:rFonts w:asciiTheme="minorHAnsi" w:hAnsiTheme="minorHAnsi" w:cstheme="minorHAnsi"/>
          <w:color w:val="000000"/>
          <w:sz w:val="22"/>
          <w:szCs w:val="22"/>
          <w:shd w:val="clear" w:color="auto" w:fill="FFFFFF"/>
        </w:rPr>
        <w:t xml:space="preserve"> pabrėž</w:t>
      </w:r>
      <w:r>
        <w:rPr>
          <w:rFonts w:asciiTheme="minorHAnsi" w:hAnsiTheme="minorHAnsi" w:cstheme="minorHAnsi"/>
          <w:color w:val="000000"/>
          <w:sz w:val="22"/>
          <w:szCs w:val="22"/>
          <w:shd w:val="clear" w:color="auto" w:fill="FFFFFF"/>
        </w:rPr>
        <w:t>ė</w:t>
      </w:r>
      <w:r w:rsidRPr="002577E8">
        <w:rPr>
          <w:rFonts w:asciiTheme="minorHAnsi" w:hAnsiTheme="minorHAnsi" w:cstheme="minorHAnsi"/>
          <w:color w:val="000000"/>
          <w:sz w:val="22"/>
          <w:szCs w:val="22"/>
          <w:shd w:val="clear" w:color="auto" w:fill="FFFFFF"/>
        </w:rPr>
        <w:t xml:space="preserve">, kad </w:t>
      </w:r>
      <w:r>
        <w:rPr>
          <w:rFonts w:asciiTheme="minorHAnsi" w:hAnsiTheme="minorHAnsi" w:cstheme="minorHAnsi"/>
          <w:color w:val="000000"/>
          <w:sz w:val="22"/>
          <w:szCs w:val="22"/>
          <w:shd w:val="clear" w:color="auto" w:fill="FFFFFF"/>
        </w:rPr>
        <w:t xml:space="preserve">&lt;...&gt; </w:t>
      </w:r>
      <w:r w:rsidRPr="002577E8">
        <w:rPr>
          <w:rFonts w:asciiTheme="minorHAnsi" w:hAnsiTheme="minorHAnsi" w:cstheme="minorHAnsi"/>
          <w:color w:val="000000"/>
          <w:sz w:val="22"/>
          <w:szCs w:val="22"/>
          <w:shd w:val="clear" w:color="auto" w:fill="FFFFFF"/>
        </w:rPr>
        <w:t xml:space="preserve">priimdamas Visuomenės informavimo įstatymo 33 straipsnio 11 dalį ir 12 dalies 1 punktą, kuriais remiantis buvo priimtas 2016 m. gegužės 18 d. sprendimas, </w:t>
      </w:r>
      <w:r w:rsidRPr="002577E8">
        <w:rPr>
          <w:rFonts w:asciiTheme="minorHAnsi" w:hAnsiTheme="minorHAnsi" w:cstheme="minorHAnsi"/>
          <w:color w:val="000000"/>
          <w:sz w:val="22"/>
          <w:szCs w:val="22"/>
          <w:u w:val="single"/>
          <w:shd w:val="clear" w:color="auto" w:fill="FFFFFF"/>
        </w:rPr>
        <w:t>nacionalinės teisės aktų leidėjas siekė kovoti su aktyviu Lietuvos valstybę menkinančios ir Lietuvos Respublikos valstybingumui grėsmę keliančios informacijos platinimu, atsižvelgiant į itin reikšmingą televizijos poveikį visuomenės nuomonės formavimui, apsaugoti Lietuvos informacinę erdvę ir garantuoti bei apsaugoti visuomenės interesą būti tinkamai informuotai</w:t>
      </w:r>
      <w:r w:rsidRPr="002577E8">
        <w:rPr>
          <w:rFonts w:asciiTheme="minorHAnsi" w:hAnsiTheme="minorHAnsi" w:cstheme="minorHAnsi"/>
          <w:color w:val="000000"/>
          <w:sz w:val="22"/>
          <w:szCs w:val="22"/>
          <w:shd w:val="clear" w:color="auto" w:fill="FFFFFF"/>
        </w:rPr>
        <w:t>. Šioje nuostatoje nurodyta informacija apima informaciją, kuriai taikomas minėto įstatymo 19 straipsnyje nustatytas draudimas, įskaitant informaciją, kuri ragina prievarta keisti Lietuvos Respublikos konstitucinę santvarką, kėsintis į Lietuvos Respublikos suverenitetą, jos teritorijos vientisumą ir politinę nepriklausomybę, kuria skleidžiama karo propaganda, kurstomas karas ar neapykanta, tyčiojimasis, niekinimas, diskriminacija, smurtas, fizinis susidorojimas su žmonių grupe ar jai priklausančiu asmeniu, be kita ko, dėl tautybės</w:t>
      </w:r>
      <w:r>
        <w:rPr>
          <w:rFonts w:asciiTheme="minorHAnsi" w:hAnsiTheme="minorHAnsi" w:cstheme="minorHAnsi"/>
          <w:color w:val="000000"/>
          <w:sz w:val="22"/>
          <w:szCs w:val="22"/>
          <w:shd w:val="clear" w:color="auto" w:fill="FFFFFF"/>
        </w:rPr>
        <w:t>. &lt;...&gt; Teisingumo Teismas laikė, kad &lt;...&gt; nagrinėjama priemone siekiama viešosios tvarkos tikslo (78, 80 punktai).</w:t>
      </w:r>
    </w:p>
    <w:p w:rsidR="00CB0B9D" w:rsidRDefault="00CB0B9D" w:rsidP="00CB0B9D">
      <w:pPr>
        <w:pStyle w:val="c01pointnumerotealtn"/>
        <w:shd w:val="clear" w:color="auto" w:fill="FFFFFF"/>
        <w:spacing w:before="0" w:beforeAutospacing="0" w:after="0"/>
        <w:ind w:left="0" w:firstLine="567"/>
        <w:rPr>
          <w:rFonts w:asciiTheme="minorHAnsi" w:hAnsiTheme="minorHAnsi" w:cstheme="minorHAnsi"/>
          <w:color w:val="000000"/>
          <w:sz w:val="22"/>
          <w:szCs w:val="22"/>
          <w:shd w:val="clear" w:color="auto" w:fill="FFFFFF"/>
        </w:rPr>
      </w:pPr>
      <w:r w:rsidRPr="00456F33">
        <w:rPr>
          <w:rFonts w:asciiTheme="minorHAnsi" w:hAnsiTheme="minorHAnsi" w:cstheme="minorHAnsi"/>
          <w:color w:val="000000"/>
          <w:sz w:val="22"/>
          <w:szCs w:val="22"/>
          <w:shd w:val="clear" w:color="auto" w:fill="FFFFFF"/>
        </w:rPr>
        <w:t xml:space="preserve">Teisingumo Teismas nurodė, kad </w:t>
      </w:r>
      <w:r>
        <w:rPr>
          <w:rFonts w:asciiTheme="minorHAnsi" w:hAnsiTheme="minorHAnsi" w:cstheme="minorHAnsi"/>
          <w:color w:val="000000"/>
          <w:sz w:val="22"/>
          <w:szCs w:val="22"/>
          <w:shd w:val="clear" w:color="auto" w:fill="FFFFFF"/>
        </w:rPr>
        <w:t xml:space="preserve">&lt;...&gt; </w:t>
      </w:r>
      <w:r w:rsidRPr="00456F33">
        <w:rPr>
          <w:rFonts w:asciiTheme="minorHAnsi" w:hAnsiTheme="minorHAnsi" w:cstheme="minorHAnsi"/>
          <w:color w:val="000000"/>
          <w:sz w:val="22"/>
          <w:szCs w:val="22"/>
          <w:shd w:val="clear" w:color="auto" w:fill="FFFFFF"/>
        </w:rPr>
        <w:t>2016 m. gegužės 18 d. sprendimas,</w:t>
      </w:r>
      <w:r w:rsidRPr="002577E8">
        <w:rPr>
          <w:rFonts w:asciiTheme="minorHAnsi" w:hAnsiTheme="minorHAnsi" w:cstheme="minorHAnsi"/>
          <w:color w:val="000000"/>
          <w:sz w:val="22"/>
          <w:szCs w:val="22"/>
          <w:shd w:val="clear" w:color="auto" w:fill="FFFFFF"/>
        </w:rPr>
        <w:t xml:space="preserve"> kuriuo žiniasklaidos paslaugų teikėjams, kurių programos skirtos Lietuvos teritorijai, ir kitiems asmenims, kurie Lietuvos vartotojams teikia televizijos programų ar atskirų programų platinimo internete paslaugą, nustatyta pareiga šioje teritorijoje per 12 mėnesių laikotarpį transliuoti ar retransliuoti televizijos programą „NTV Mir Lithuania“ tik už papildomą mokestį platinamuose televizijos programų paketuose, </w:t>
      </w:r>
      <w:r w:rsidRPr="00EE080E">
        <w:rPr>
          <w:rFonts w:asciiTheme="minorHAnsi" w:hAnsiTheme="minorHAnsi" w:cstheme="minorHAnsi"/>
          <w:color w:val="000000"/>
          <w:sz w:val="22"/>
          <w:szCs w:val="22"/>
          <w:u w:val="single"/>
          <w:shd w:val="clear" w:color="auto" w:fill="FFFFFF"/>
        </w:rPr>
        <w:t>nustato tik šios televizijos programos platinimo Lietuvos vartotojams tvarką</w:t>
      </w:r>
      <w:r w:rsidRPr="002577E8">
        <w:rPr>
          <w:rFonts w:asciiTheme="minorHAnsi" w:hAnsiTheme="minorHAnsi" w:cstheme="minorHAnsi"/>
          <w:color w:val="000000"/>
          <w:sz w:val="22"/>
          <w:szCs w:val="22"/>
          <w:shd w:val="clear" w:color="auto" w:fill="FFFFFF"/>
        </w:rPr>
        <w:t xml:space="preserve">. </w:t>
      </w:r>
      <w:r>
        <w:rPr>
          <w:rFonts w:asciiTheme="minorHAnsi" w:hAnsiTheme="minorHAnsi" w:cstheme="minorHAnsi"/>
          <w:color w:val="000000"/>
          <w:sz w:val="22"/>
          <w:szCs w:val="22"/>
          <w:shd w:val="clear" w:color="auto" w:fill="FFFFFF"/>
        </w:rPr>
        <w:t xml:space="preserve">&lt;...&gt; </w:t>
      </w:r>
      <w:r w:rsidRPr="00EE080E">
        <w:rPr>
          <w:rFonts w:asciiTheme="minorHAnsi" w:hAnsiTheme="minorHAnsi" w:cstheme="minorHAnsi"/>
          <w:color w:val="000000"/>
          <w:sz w:val="22"/>
          <w:szCs w:val="22"/>
          <w:u w:val="single"/>
          <w:shd w:val="clear" w:color="auto" w:fill="FFFFFF"/>
        </w:rPr>
        <w:t>2016 m. gegužės 18 d. sprendimu nėra sustabdomas ar uždraudžiamas šios televizijos programos perdavimas Lietuvos teritorijoje, nes ji, nepaisant šio sprendimo, vis dar gali būti teisėtai transliuojama šioje teritorijoje, ir Lietuvos vartotojai vis dar gali ją žiūrėti, jeigu užsisako už papildomą mokestį platinamą televizijos programų paketą</w:t>
      </w:r>
      <w:r w:rsidRPr="002577E8">
        <w:rPr>
          <w:rFonts w:asciiTheme="minorHAnsi" w:hAnsiTheme="minorHAnsi" w:cstheme="minorHAnsi"/>
          <w:color w:val="000000"/>
          <w:sz w:val="22"/>
          <w:szCs w:val="22"/>
          <w:shd w:val="clear" w:color="auto" w:fill="FFFFFF"/>
        </w:rPr>
        <w:t xml:space="preserve">. </w:t>
      </w:r>
      <w:r w:rsidRPr="00EE080E">
        <w:rPr>
          <w:rFonts w:asciiTheme="minorHAnsi" w:hAnsiTheme="minorHAnsi" w:cstheme="minorHAnsi"/>
          <w:color w:val="000000"/>
          <w:sz w:val="22"/>
          <w:szCs w:val="22"/>
          <w:u w:val="single"/>
          <w:shd w:val="clear" w:color="auto" w:fill="FFFFFF"/>
        </w:rPr>
        <w:t>Taigi priemonė</w:t>
      </w:r>
      <w:r>
        <w:rPr>
          <w:rFonts w:asciiTheme="minorHAnsi" w:hAnsiTheme="minorHAnsi" w:cstheme="minorHAnsi"/>
          <w:color w:val="000000"/>
          <w:sz w:val="22"/>
          <w:szCs w:val="22"/>
          <w:u w:val="single"/>
          <w:shd w:val="clear" w:color="auto" w:fill="FFFFFF"/>
        </w:rPr>
        <w:t xml:space="preserve"> &lt;...&gt;</w:t>
      </w:r>
      <w:r w:rsidRPr="002577E8">
        <w:rPr>
          <w:rFonts w:asciiTheme="minorHAnsi" w:hAnsiTheme="minorHAnsi" w:cstheme="minorHAnsi"/>
          <w:color w:val="000000"/>
          <w:sz w:val="22"/>
          <w:szCs w:val="22"/>
          <w:shd w:val="clear" w:color="auto" w:fill="FFFFFF"/>
        </w:rPr>
        <w:t xml:space="preserve"> </w:t>
      </w:r>
      <w:r w:rsidRPr="00EE080E">
        <w:rPr>
          <w:rFonts w:asciiTheme="minorHAnsi" w:hAnsiTheme="minorHAnsi" w:cstheme="minorHAnsi"/>
          <w:color w:val="000000"/>
          <w:sz w:val="22"/>
          <w:szCs w:val="22"/>
          <w:u w:val="single"/>
          <w:shd w:val="clear" w:color="auto" w:fill="FFFFFF"/>
        </w:rPr>
        <w:t>neužkerta kelio televizijos programos iš kitos valstybės narės, kuriai taikoma tokia priemonė, atskirų programų perdavimui, kaip tai suprantama tiesiogine prasme, priimančiosios valstybės narės teritorijoje</w:t>
      </w:r>
      <w:r w:rsidRPr="002577E8">
        <w:rPr>
          <w:rFonts w:asciiTheme="minorHAnsi" w:hAnsiTheme="minorHAnsi" w:cstheme="minorHAnsi"/>
          <w:color w:val="000000"/>
          <w:sz w:val="22"/>
          <w:szCs w:val="22"/>
          <w:shd w:val="clear" w:color="auto" w:fill="FFFFFF"/>
        </w:rPr>
        <w:t>.</w:t>
      </w:r>
      <w:r>
        <w:rPr>
          <w:rFonts w:asciiTheme="minorHAnsi" w:hAnsiTheme="minorHAnsi" w:cstheme="minorHAnsi"/>
          <w:color w:val="000000"/>
          <w:sz w:val="22"/>
          <w:szCs w:val="22"/>
          <w:shd w:val="clear" w:color="auto" w:fill="FFFFFF"/>
        </w:rPr>
        <w:t xml:space="preserve"> Teisingumo </w:t>
      </w:r>
      <w:r w:rsidRPr="002577E8">
        <w:rPr>
          <w:rFonts w:asciiTheme="minorHAnsi" w:hAnsiTheme="minorHAnsi" w:cstheme="minorHAnsi"/>
          <w:color w:val="000000"/>
          <w:sz w:val="22"/>
          <w:szCs w:val="22"/>
          <w:shd w:val="clear" w:color="auto" w:fill="FFFFFF"/>
        </w:rPr>
        <w:t>teismas darė išvadą, kad tokia priemonė nepatenka į Direktyvos 2010/13 3 straipsnio 1 ir 2 dalių taikymo sritį</w:t>
      </w:r>
      <w:r>
        <w:rPr>
          <w:rFonts w:asciiTheme="minorHAnsi" w:hAnsiTheme="minorHAnsi" w:cstheme="minorHAnsi"/>
          <w:color w:val="000000"/>
          <w:sz w:val="22"/>
          <w:szCs w:val="22"/>
          <w:shd w:val="clear" w:color="auto" w:fill="FFFFFF"/>
        </w:rPr>
        <w:t xml:space="preserve"> (81–83 punktai)</w:t>
      </w:r>
      <w:r w:rsidRPr="002577E8">
        <w:rPr>
          <w:rFonts w:asciiTheme="minorHAnsi" w:hAnsiTheme="minorHAnsi" w:cstheme="minorHAnsi"/>
          <w:color w:val="000000"/>
          <w:sz w:val="22"/>
          <w:szCs w:val="22"/>
          <w:shd w:val="clear" w:color="auto" w:fill="FFFFFF"/>
        </w:rPr>
        <w:t>.</w:t>
      </w:r>
    </w:p>
    <w:p w:rsidR="00CB0B9D" w:rsidRPr="008B23D7" w:rsidRDefault="00CB0B9D" w:rsidP="00CB0B9D">
      <w:pPr>
        <w:pStyle w:val="c01pointnumerotealtn"/>
        <w:shd w:val="clear" w:color="auto" w:fill="FFFFFF"/>
        <w:spacing w:before="0" w:beforeAutospacing="0" w:after="0"/>
        <w:ind w:left="0" w:firstLine="0"/>
        <w:rPr>
          <w:rFonts w:asciiTheme="minorHAnsi" w:hAnsiTheme="minorHAnsi" w:cstheme="minorHAnsi"/>
          <w:sz w:val="22"/>
          <w:szCs w:val="22"/>
        </w:rPr>
      </w:pPr>
    </w:p>
    <w:p w:rsidR="00CB0B9D" w:rsidRDefault="00CB0B9D" w:rsidP="00CB0B9D">
      <w:pPr>
        <w:ind w:firstLine="567"/>
        <w:rPr>
          <w:rFonts w:asciiTheme="minorHAnsi" w:hAnsiTheme="minorHAnsi" w:cstheme="minorHAnsi"/>
          <w:b/>
        </w:rPr>
      </w:pPr>
      <w:r w:rsidRPr="008B23D7">
        <w:rPr>
          <w:rFonts w:asciiTheme="minorHAnsi" w:hAnsiTheme="minorHAnsi" w:cstheme="minorHAnsi"/>
          <w:b/>
        </w:rPr>
        <w:t>Remdamasis šiais motyvais, Teisingumo Teismas (</w:t>
      </w:r>
      <w:r>
        <w:rPr>
          <w:rFonts w:asciiTheme="minorHAnsi" w:hAnsiTheme="minorHAnsi" w:cstheme="minorHAnsi"/>
          <w:b/>
        </w:rPr>
        <w:t>antroji</w:t>
      </w:r>
      <w:r w:rsidRPr="008B23D7">
        <w:rPr>
          <w:rFonts w:asciiTheme="minorHAnsi" w:hAnsiTheme="minorHAnsi" w:cstheme="minorHAnsi"/>
          <w:b/>
        </w:rPr>
        <w:t xml:space="preserve"> kolegija) nusprend</w:t>
      </w:r>
      <w:r>
        <w:rPr>
          <w:rFonts w:asciiTheme="minorHAnsi" w:hAnsiTheme="minorHAnsi" w:cstheme="minorHAnsi"/>
          <w:b/>
        </w:rPr>
        <w:t>ė</w:t>
      </w:r>
      <w:r w:rsidRPr="008B23D7">
        <w:rPr>
          <w:rFonts w:asciiTheme="minorHAnsi" w:hAnsiTheme="minorHAnsi" w:cstheme="minorHAnsi"/>
          <w:b/>
        </w:rPr>
        <w:t>:</w:t>
      </w:r>
    </w:p>
    <w:p w:rsidR="00CB0B9D" w:rsidRPr="008B23D7" w:rsidRDefault="00CB0B9D" w:rsidP="00CB0B9D">
      <w:pPr>
        <w:ind w:firstLine="567"/>
        <w:rPr>
          <w:rFonts w:asciiTheme="minorHAnsi" w:hAnsiTheme="minorHAnsi" w:cstheme="minorHAnsi"/>
          <w:b/>
        </w:rPr>
      </w:pPr>
    </w:p>
    <w:p w:rsidR="00CB0B9D" w:rsidRPr="002577E8" w:rsidRDefault="00CB0B9D" w:rsidP="00CB0B9D">
      <w:pPr>
        <w:pStyle w:val="c01pointnumerotealtn"/>
        <w:shd w:val="clear" w:color="auto" w:fill="FFFFFF"/>
        <w:spacing w:before="0" w:beforeAutospacing="0" w:after="0"/>
        <w:ind w:left="0" w:firstLine="567"/>
        <w:rPr>
          <w:rFonts w:asciiTheme="minorHAnsi" w:hAnsiTheme="minorHAnsi" w:cstheme="minorHAnsi"/>
          <w:sz w:val="22"/>
          <w:szCs w:val="22"/>
        </w:rPr>
      </w:pPr>
      <w:r w:rsidRPr="002577E8">
        <w:rPr>
          <w:rFonts w:asciiTheme="minorHAnsi" w:hAnsiTheme="minorHAnsi" w:cstheme="minorHAnsi"/>
          <w:color w:val="000000"/>
          <w:sz w:val="22"/>
          <w:szCs w:val="22"/>
          <w:shd w:val="clear" w:color="auto" w:fill="FFFFFF"/>
        </w:rPr>
        <w:t>2010 m. kovo 10 d. Europos Parlamento ir Tarybos direktyvos 2010/13/ES dėl valstybių narių įstatymuose ir kituose teisės aktuose išdėstytų tam tikrų nuostatų, susijusių su audiovizualinės žiniasklaidos paslaugų teikimu, derinimo (Audiovizualinės žiniasklaidos paslaugų direktyva) 3 straipsnio 1 ir 2 dalis reikia aiškinti tai</w:t>
      </w:r>
      <w:r w:rsidRPr="00B84741">
        <w:rPr>
          <w:rFonts w:asciiTheme="minorHAnsi" w:hAnsiTheme="minorHAnsi" w:cstheme="minorHAnsi"/>
          <w:color w:val="000000"/>
          <w:sz w:val="22"/>
          <w:szCs w:val="22"/>
          <w:shd w:val="clear" w:color="auto" w:fill="FFFFFF"/>
        </w:rPr>
        <w:t>p, kad valstybės narės nustatyta viešosios tvarkos priemonė, kuria žiniasklaidos paslaugų teikėjams, kurių programos skirtos šios valstybės narės teritorijai, ir kitiems asmenims, kurie tos valstybės narės vartotojams teikia televizijos programų ar atskirų programų platinimo internete paslaugą, nustatyta pareiga šios valstybės narės teritorijoje per 12 mėnesių laikotarpį transliuoti ar retransliuoti televizijos programą iš kitos valstybės narės tik už papildomą mokestį platinamuose televizijos programų paketuose, nesudarant šios televizijos programos atskirų programų perdavimo, kaip jis suprantamas tiesiogine prasme, kliūčių pirmosios valstybės narės teritorijoje, nepatenka į šių nuostatų taikymo sritį.</w:t>
      </w:r>
    </w:p>
    <w:p w:rsidR="00CB0B9D" w:rsidRPr="008B23D7" w:rsidRDefault="007D413D" w:rsidP="00CB0B9D">
      <w:pPr>
        <w:pStyle w:val="c01pointnumerotealtn"/>
        <w:shd w:val="clear" w:color="auto" w:fill="FFFFFF"/>
        <w:spacing w:before="0" w:beforeAutospacing="0" w:after="0"/>
        <w:ind w:firstLine="0"/>
        <w:rPr>
          <w:rFonts w:asciiTheme="minorHAnsi" w:hAnsiTheme="minorHAnsi" w:cstheme="minorHAnsi"/>
          <w:sz w:val="22"/>
          <w:szCs w:val="22"/>
        </w:rPr>
      </w:pPr>
      <w:hyperlink r:id="rId25" w:history="1">
        <w:r w:rsidR="00CB0B9D" w:rsidRPr="002C4D8D">
          <w:rPr>
            <w:rStyle w:val="Hyperlink"/>
            <w:rFonts w:asciiTheme="minorHAnsi" w:hAnsiTheme="minorHAnsi" w:cstheme="minorHAnsi"/>
            <w:sz w:val="22"/>
            <w:szCs w:val="22"/>
          </w:rPr>
          <w:t>Prieiga internete</w:t>
        </w:r>
      </w:hyperlink>
      <w:r w:rsidR="00CB0B9D">
        <w:rPr>
          <w:rFonts w:asciiTheme="minorHAnsi" w:hAnsiTheme="minorHAnsi" w:cstheme="minorHAnsi"/>
          <w:sz w:val="22"/>
          <w:szCs w:val="22"/>
        </w:rPr>
        <w:t xml:space="preserve"> </w:t>
      </w:r>
    </w:p>
    <w:bookmarkEnd w:id="71"/>
    <w:p w:rsidR="00275762" w:rsidRPr="003D6A3B" w:rsidRDefault="00275762" w:rsidP="003D6A3B">
      <w:pPr>
        <w:rPr>
          <w:rFonts w:asciiTheme="minorHAnsi" w:eastAsia="Times New Roman" w:hAnsiTheme="minorHAnsi" w:cstheme="minorHAnsi"/>
          <w:b/>
          <w:bCs/>
          <w:color w:val="323E4F" w:themeColor="text2" w:themeShade="BF"/>
          <w:kern w:val="32"/>
          <w:lang w:eastAsia="lt-LT"/>
        </w:rPr>
      </w:pPr>
    </w:p>
    <w:sectPr w:rsidR="00275762" w:rsidRPr="003D6A3B" w:rsidSect="00736158">
      <w:headerReference w:type="default" r:id="rId26"/>
      <w:footerReference w:type="default" r:id="rId27"/>
      <w:pgSz w:w="11906" w:h="16838"/>
      <w:pgMar w:top="1134" w:right="567" w:bottom="1134" w:left="1701" w:header="567" w:footer="567" w:gutter="0"/>
      <w:cols w:space="1296"/>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5F07" w:rsidRDefault="007A5F07">
      <w:r>
        <w:separator/>
      </w:r>
    </w:p>
  </w:endnote>
  <w:endnote w:type="continuationSeparator" w:id="0">
    <w:p w:rsidR="007A5F07" w:rsidRDefault="007A5F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AFF" w:usb1="C0007841" w:usb2="00000009" w:usb3="00000000" w:csb0="000001FF" w:csb1="00000000"/>
  </w:font>
  <w:font w:name="Calibri">
    <w:panose1 w:val="020F0502020204030204"/>
    <w:charset w:val="BA"/>
    <w:family w:val="swiss"/>
    <w:pitch w:val="variable"/>
    <w:sig w:usb0="E00002FF" w:usb1="4000ACFF" w:usb2="00000001" w:usb3="00000000" w:csb0="0000019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auto"/>
    <w:notTrueType/>
    <w:pitch w:val="fixed"/>
    <w:sig w:usb0="00000001" w:usb1="09060000" w:usb2="00000010" w:usb3="00000000" w:csb0="00080000" w:csb1="00000000"/>
  </w:font>
  <w:font w:name="Segoe UI">
    <w:altName w:val="Calibri"/>
    <w:panose1 w:val="020B0502040204020203"/>
    <w:charset w:val="BA"/>
    <w:family w:val="swiss"/>
    <w:pitch w:val="variable"/>
    <w:sig w:usb0="E4002EFF" w:usb1="C000E47F" w:usb2="00000009" w:usb3="00000000" w:csb0="000001FF" w:csb1="00000000"/>
  </w:font>
  <w:font w:name="Cambria Math">
    <w:panose1 w:val="02040503050406030204"/>
    <w:charset w:val="BA"/>
    <w:family w:val="roman"/>
    <w:pitch w:val="variable"/>
    <w:sig w:usb0="E00002FF" w:usb1="420024FF" w:usb2="00000000" w:usb3="00000000" w:csb0="0000019F" w:csb1="00000000"/>
  </w:font>
  <w:font w:name="Verdana">
    <w:panose1 w:val="020B0604030504040204"/>
    <w:charset w:val="BA"/>
    <w:family w:val="swiss"/>
    <w:pitch w:val="variable"/>
    <w:sig w:usb0="A00006FF" w:usb1="4000205B" w:usb2="00000010" w:usb3="00000000" w:csb0="0000019F" w:csb1="00000000"/>
  </w:font>
  <w:font w:name="Arial">
    <w:panose1 w:val="020B0604020202020204"/>
    <w:charset w:val="BA"/>
    <w:family w:val="swiss"/>
    <w:pitch w:val="variable"/>
    <w:sig w:usb0="E0002AFF" w:usb1="C0007843" w:usb2="00000009" w:usb3="00000000" w:csb0="000001FF" w:csb1="00000000"/>
  </w:font>
  <w:font w:name="Calibri Light">
    <w:panose1 w:val="020F0302020204030204"/>
    <w:charset w:val="BA"/>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inorHAnsi" w:hAnsiTheme="minorHAnsi"/>
        <w:sz w:val="20"/>
        <w:szCs w:val="20"/>
      </w:rPr>
      <w:id w:val="-951236842"/>
      <w:docPartObj>
        <w:docPartGallery w:val="Page Numbers (Bottom of Page)"/>
        <w:docPartUnique/>
      </w:docPartObj>
    </w:sdtPr>
    <w:sdtEndPr/>
    <w:sdtContent>
      <w:sdt>
        <w:sdtPr>
          <w:rPr>
            <w:rFonts w:asciiTheme="minorHAnsi" w:hAnsiTheme="minorHAnsi"/>
            <w:sz w:val="20"/>
            <w:szCs w:val="20"/>
          </w:rPr>
          <w:id w:val="1588040077"/>
          <w:docPartObj>
            <w:docPartGallery w:val="Page Numbers (Top of Page)"/>
            <w:docPartUnique/>
          </w:docPartObj>
        </w:sdtPr>
        <w:sdtEndPr/>
        <w:sdtContent>
          <w:p w:rsidR="00AC3252" w:rsidRPr="0078181C" w:rsidRDefault="00AC3252" w:rsidP="00736158">
            <w:pPr>
              <w:pStyle w:val="Footer"/>
              <w:jc w:val="center"/>
              <w:rPr>
                <w:rFonts w:asciiTheme="minorHAnsi" w:hAnsiTheme="minorHAnsi"/>
                <w:sz w:val="20"/>
                <w:szCs w:val="20"/>
              </w:rPr>
            </w:pPr>
            <w:r w:rsidRPr="00F15916">
              <w:rPr>
                <w:rFonts w:asciiTheme="minorHAnsi" w:hAnsiTheme="minorHAnsi"/>
                <w:sz w:val="20"/>
                <w:szCs w:val="20"/>
              </w:rPr>
              <w:t xml:space="preserve"> </w:t>
            </w:r>
            <w:r w:rsidRPr="00F15916">
              <w:rPr>
                <w:rFonts w:asciiTheme="minorHAnsi" w:hAnsiTheme="minorHAnsi"/>
                <w:bCs/>
                <w:sz w:val="20"/>
                <w:szCs w:val="20"/>
              </w:rPr>
              <w:fldChar w:fldCharType="begin"/>
            </w:r>
            <w:r w:rsidRPr="00F15916">
              <w:rPr>
                <w:rFonts w:asciiTheme="minorHAnsi" w:hAnsiTheme="minorHAnsi"/>
                <w:bCs/>
                <w:sz w:val="20"/>
                <w:szCs w:val="20"/>
              </w:rPr>
              <w:instrText>PAGE</w:instrText>
            </w:r>
            <w:r w:rsidRPr="00F15916">
              <w:rPr>
                <w:rFonts w:asciiTheme="minorHAnsi" w:hAnsiTheme="minorHAnsi"/>
                <w:bCs/>
                <w:sz w:val="20"/>
                <w:szCs w:val="20"/>
              </w:rPr>
              <w:fldChar w:fldCharType="separate"/>
            </w:r>
            <w:r w:rsidR="007D413D">
              <w:rPr>
                <w:rFonts w:asciiTheme="minorHAnsi" w:hAnsiTheme="minorHAnsi"/>
                <w:bCs/>
                <w:noProof/>
                <w:sz w:val="20"/>
                <w:szCs w:val="20"/>
              </w:rPr>
              <w:t>1</w:t>
            </w:r>
            <w:r w:rsidRPr="00F15916">
              <w:rPr>
                <w:rFonts w:asciiTheme="minorHAnsi" w:hAnsiTheme="minorHAnsi"/>
                <w:bCs/>
                <w:sz w:val="20"/>
                <w:szCs w:val="20"/>
              </w:rPr>
              <w:fldChar w:fldCharType="end"/>
            </w:r>
            <w:r w:rsidRPr="00F15916">
              <w:rPr>
                <w:rFonts w:asciiTheme="minorHAnsi" w:hAnsiTheme="minorHAnsi"/>
                <w:sz w:val="20"/>
                <w:szCs w:val="20"/>
              </w:rPr>
              <w:t xml:space="preserve"> </w:t>
            </w:r>
            <w:r>
              <w:rPr>
                <w:rFonts w:asciiTheme="minorHAnsi" w:hAnsiTheme="minorHAnsi"/>
                <w:sz w:val="20"/>
                <w:szCs w:val="20"/>
              </w:rPr>
              <w:t>/</w:t>
            </w:r>
            <w:r w:rsidRPr="00F15916">
              <w:rPr>
                <w:rFonts w:asciiTheme="minorHAnsi" w:hAnsiTheme="minorHAnsi"/>
                <w:sz w:val="20"/>
                <w:szCs w:val="20"/>
              </w:rPr>
              <w:t xml:space="preserve"> </w:t>
            </w:r>
            <w:r w:rsidRPr="00F15916">
              <w:rPr>
                <w:rFonts w:asciiTheme="minorHAnsi" w:hAnsiTheme="minorHAnsi"/>
                <w:bCs/>
                <w:sz w:val="20"/>
                <w:szCs w:val="20"/>
              </w:rPr>
              <w:fldChar w:fldCharType="begin"/>
            </w:r>
            <w:r w:rsidRPr="00F15916">
              <w:rPr>
                <w:rFonts w:asciiTheme="minorHAnsi" w:hAnsiTheme="minorHAnsi"/>
                <w:bCs/>
                <w:sz w:val="20"/>
                <w:szCs w:val="20"/>
              </w:rPr>
              <w:instrText>NUMPAGES</w:instrText>
            </w:r>
            <w:r w:rsidRPr="00F15916">
              <w:rPr>
                <w:rFonts w:asciiTheme="minorHAnsi" w:hAnsiTheme="minorHAnsi"/>
                <w:bCs/>
                <w:sz w:val="20"/>
                <w:szCs w:val="20"/>
              </w:rPr>
              <w:fldChar w:fldCharType="separate"/>
            </w:r>
            <w:r w:rsidR="007D413D">
              <w:rPr>
                <w:rFonts w:asciiTheme="minorHAnsi" w:hAnsiTheme="minorHAnsi"/>
                <w:bCs/>
                <w:noProof/>
                <w:sz w:val="20"/>
                <w:szCs w:val="20"/>
              </w:rPr>
              <w:t>3</w:t>
            </w:r>
            <w:r w:rsidRPr="00F15916">
              <w:rPr>
                <w:rFonts w:asciiTheme="minorHAnsi" w:hAnsiTheme="minorHAnsi"/>
                <w:bCs/>
                <w:sz w:val="20"/>
                <w:szCs w:val="20"/>
              </w:rPr>
              <w:fldChar w:fldCharType="end"/>
            </w:r>
          </w:p>
        </w:sdtContent>
      </w:sdt>
    </w:sdtContent>
  </w:sdt>
  <w:p w:rsidR="00AC3252" w:rsidRDefault="00AC325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5F07" w:rsidRDefault="007A5F07">
      <w:r>
        <w:separator/>
      </w:r>
    </w:p>
  </w:footnote>
  <w:footnote w:type="continuationSeparator" w:id="0">
    <w:p w:rsidR="007A5F07" w:rsidRDefault="007A5F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8" w:type="dxa"/>
      <w:tblBorders>
        <w:bottom w:val="single" w:sz="4" w:space="0" w:color="44546A" w:themeColor="text2"/>
      </w:tblBorders>
      <w:tblLook w:val="04A0" w:firstRow="1" w:lastRow="0" w:firstColumn="1" w:lastColumn="0" w:noHBand="0" w:noVBand="1"/>
    </w:tblPr>
    <w:tblGrid>
      <w:gridCol w:w="7230"/>
      <w:gridCol w:w="2409"/>
    </w:tblGrid>
    <w:tr w:rsidR="00AC3252" w:rsidRPr="000967FF" w:rsidTr="00736158">
      <w:tc>
        <w:tcPr>
          <w:tcW w:w="7230" w:type="dxa"/>
        </w:tcPr>
        <w:p w:rsidR="00AC3252" w:rsidRPr="0021377E" w:rsidRDefault="00AC3252" w:rsidP="00736158">
          <w:pPr>
            <w:tabs>
              <w:tab w:val="left" w:pos="4410"/>
            </w:tabs>
            <w:rPr>
              <w:i/>
              <w:color w:val="323E4F" w:themeColor="text2" w:themeShade="BF"/>
              <w:sz w:val="20"/>
              <w:szCs w:val="20"/>
            </w:rPr>
          </w:pPr>
          <w:r w:rsidRPr="0021377E">
            <w:rPr>
              <w:i/>
              <w:color w:val="323E4F" w:themeColor="text2" w:themeShade="BF"/>
              <w:sz w:val="20"/>
              <w:szCs w:val="20"/>
            </w:rPr>
            <w:t>Teis</w:t>
          </w:r>
          <w:r>
            <w:rPr>
              <w:i/>
              <w:color w:val="323E4F" w:themeColor="text2" w:themeShade="BF"/>
              <w:sz w:val="20"/>
              <w:szCs w:val="20"/>
            </w:rPr>
            <w:t xml:space="preserve">mų praktikos </w:t>
          </w:r>
          <w:r w:rsidRPr="0021377E">
            <w:rPr>
              <w:i/>
              <w:color w:val="323E4F" w:themeColor="text2" w:themeShade="BF"/>
              <w:sz w:val="20"/>
              <w:szCs w:val="20"/>
            </w:rPr>
            <w:t>departamentas</w:t>
          </w:r>
          <w:r>
            <w:rPr>
              <w:i/>
              <w:color w:val="323E4F" w:themeColor="text2" w:themeShade="BF"/>
              <w:sz w:val="20"/>
              <w:szCs w:val="20"/>
            </w:rPr>
            <w:tab/>
          </w:r>
        </w:p>
      </w:tc>
      <w:tc>
        <w:tcPr>
          <w:tcW w:w="2409" w:type="dxa"/>
        </w:tcPr>
        <w:p w:rsidR="00AC3252" w:rsidRPr="0021377E" w:rsidRDefault="00AC3252" w:rsidP="004146C6">
          <w:pPr>
            <w:rPr>
              <w:color w:val="323E4F" w:themeColor="text2" w:themeShade="BF"/>
              <w:sz w:val="20"/>
              <w:szCs w:val="20"/>
            </w:rPr>
          </w:pPr>
          <w:r>
            <w:rPr>
              <w:color w:val="323E4F" w:themeColor="text2" w:themeShade="BF"/>
              <w:sz w:val="20"/>
              <w:szCs w:val="20"/>
            </w:rPr>
            <w:t>2019 05</w:t>
          </w:r>
          <w:r w:rsidRPr="0021377E">
            <w:rPr>
              <w:color w:val="323E4F" w:themeColor="text2" w:themeShade="BF"/>
              <w:sz w:val="20"/>
              <w:szCs w:val="20"/>
            </w:rPr>
            <w:t xml:space="preserve"> </w:t>
          </w:r>
          <w:r>
            <w:rPr>
              <w:color w:val="323E4F" w:themeColor="text2" w:themeShade="BF"/>
              <w:sz w:val="20"/>
              <w:szCs w:val="20"/>
            </w:rPr>
            <w:t>0</w:t>
          </w:r>
          <w:r w:rsidRPr="0021377E">
            <w:rPr>
              <w:color w:val="323E4F" w:themeColor="text2" w:themeShade="BF"/>
              <w:sz w:val="20"/>
              <w:szCs w:val="20"/>
            </w:rPr>
            <w:t>1–201</w:t>
          </w:r>
          <w:r>
            <w:rPr>
              <w:color w:val="323E4F" w:themeColor="text2" w:themeShade="BF"/>
              <w:sz w:val="20"/>
              <w:szCs w:val="20"/>
            </w:rPr>
            <w:t>9 08</w:t>
          </w:r>
          <w:r w:rsidRPr="0021377E">
            <w:rPr>
              <w:color w:val="323E4F" w:themeColor="text2" w:themeShade="BF"/>
              <w:sz w:val="20"/>
              <w:szCs w:val="20"/>
            </w:rPr>
            <w:t xml:space="preserve"> </w:t>
          </w:r>
          <w:r>
            <w:rPr>
              <w:color w:val="323E4F" w:themeColor="text2" w:themeShade="BF"/>
              <w:sz w:val="20"/>
              <w:szCs w:val="20"/>
            </w:rPr>
            <w:t>31</w:t>
          </w:r>
        </w:p>
      </w:tc>
    </w:tr>
  </w:tbl>
  <w:p w:rsidR="00AC3252" w:rsidRDefault="00AC3252" w:rsidP="00736158">
    <w:pPr>
      <w:pStyle w:val="Header"/>
      <w:tabs>
        <w:tab w:val="clear" w:pos="4819"/>
        <w:tab w:val="clear" w:pos="9638"/>
        <w:tab w:val="left" w:pos="6945"/>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B521CF"/>
    <w:multiLevelType w:val="hybridMultilevel"/>
    <w:tmpl w:val="8C3C5990"/>
    <w:lvl w:ilvl="0" w:tplc="2CEA57EC">
      <w:start w:val="1"/>
      <w:numFmt w:val="decimal"/>
      <w:lvlText w:val="%1."/>
      <w:lvlJc w:val="left"/>
      <w:pPr>
        <w:ind w:left="388" w:hanging="360"/>
      </w:pPr>
      <w:rPr>
        <w:rFonts w:hint="default"/>
      </w:rPr>
    </w:lvl>
    <w:lvl w:ilvl="1" w:tplc="04270019" w:tentative="1">
      <w:start w:val="1"/>
      <w:numFmt w:val="lowerLetter"/>
      <w:lvlText w:val="%2."/>
      <w:lvlJc w:val="left"/>
      <w:pPr>
        <w:ind w:left="1108" w:hanging="360"/>
      </w:pPr>
    </w:lvl>
    <w:lvl w:ilvl="2" w:tplc="0427001B" w:tentative="1">
      <w:start w:val="1"/>
      <w:numFmt w:val="lowerRoman"/>
      <w:lvlText w:val="%3."/>
      <w:lvlJc w:val="right"/>
      <w:pPr>
        <w:ind w:left="1828" w:hanging="180"/>
      </w:pPr>
    </w:lvl>
    <w:lvl w:ilvl="3" w:tplc="0427000F" w:tentative="1">
      <w:start w:val="1"/>
      <w:numFmt w:val="decimal"/>
      <w:lvlText w:val="%4."/>
      <w:lvlJc w:val="left"/>
      <w:pPr>
        <w:ind w:left="2548" w:hanging="360"/>
      </w:pPr>
    </w:lvl>
    <w:lvl w:ilvl="4" w:tplc="04270019" w:tentative="1">
      <w:start w:val="1"/>
      <w:numFmt w:val="lowerLetter"/>
      <w:lvlText w:val="%5."/>
      <w:lvlJc w:val="left"/>
      <w:pPr>
        <w:ind w:left="3268" w:hanging="360"/>
      </w:pPr>
    </w:lvl>
    <w:lvl w:ilvl="5" w:tplc="0427001B" w:tentative="1">
      <w:start w:val="1"/>
      <w:numFmt w:val="lowerRoman"/>
      <w:lvlText w:val="%6."/>
      <w:lvlJc w:val="right"/>
      <w:pPr>
        <w:ind w:left="3988" w:hanging="180"/>
      </w:pPr>
    </w:lvl>
    <w:lvl w:ilvl="6" w:tplc="0427000F" w:tentative="1">
      <w:start w:val="1"/>
      <w:numFmt w:val="decimal"/>
      <w:lvlText w:val="%7."/>
      <w:lvlJc w:val="left"/>
      <w:pPr>
        <w:ind w:left="4708" w:hanging="360"/>
      </w:pPr>
    </w:lvl>
    <w:lvl w:ilvl="7" w:tplc="04270019" w:tentative="1">
      <w:start w:val="1"/>
      <w:numFmt w:val="lowerLetter"/>
      <w:lvlText w:val="%8."/>
      <w:lvlJc w:val="left"/>
      <w:pPr>
        <w:ind w:left="5428" w:hanging="360"/>
      </w:pPr>
    </w:lvl>
    <w:lvl w:ilvl="8" w:tplc="0427001B" w:tentative="1">
      <w:start w:val="1"/>
      <w:numFmt w:val="lowerRoman"/>
      <w:lvlText w:val="%9."/>
      <w:lvlJc w:val="right"/>
      <w:pPr>
        <w:ind w:left="6148" w:hanging="180"/>
      </w:pPr>
    </w:lvl>
  </w:abstractNum>
  <w:abstractNum w:abstractNumId="1">
    <w:nsid w:val="1C4A7F46"/>
    <w:multiLevelType w:val="hybridMultilevel"/>
    <w:tmpl w:val="D114862C"/>
    <w:lvl w:ilvl="0" w:tplc="9DD0A9C0">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
    <w:nsid w:val="2510208F"/>
    <w:multiLevelType w:val="hybridMultilevel"/>
    <w:tmpl w:val="F14699EE"/>
    <w:lvl w:ilvl="0" w:tplc="7F6A8C90">
      <w:start w:val="1"/>
      <w:numFmt w:val="decimal"/>
      <w:lvlText w:val="%1."/>
      <w:lvlJc w:val="left"/>
      <w:pPr>
        <w:ind w:left="900" w:hanging="360"/>
      </w:pPr>
      <w:rPr>
        <w:rFonts w:hint="default"/>
      </w:rPr>
    </w:lvl>
    <w:lvl w:ilvl="1" w:tplc="04270019" w:tentative="1">
      <w:start w:val="1"/>
      <w:numFmt w:val="lowerLetter"/>
      <w:lvlText w:val="%2."/>
      <w:lvlJc w:val="left"/>
      <w:pPr>
        <w:ind w:left="1620" w:hanging="360"/>
      </w:pPr>
    </w:lvl>
    <w:lvl w:ilvl="2" w:tplc="0427001B" w:tentative="1">
      <w:start w:val="1"/>
      <w:numFmt w:val="lowerRoman"/>
      <w:lvlText w:val="%3."/>
      <w:lvlJc w:val="right"/>
      <w:pPr>
        <w:ind w:left="2340" w:hanging="180"/>
      </w:pPr>
    </w:lvl>
    <w:lvl w:ilvl="3" w:tplc="0427000F" w:tentative="1">
      <w:start w:val="1"/>
      <w:numFmt w:val="decimal"/>
      <w:lvlText w:val="%4."/>
      <w:lvlJc w:val="left"/>
      <w:pPr>
        <w:ind w:left="3060" w:hanging="360"/>
      </w:pPr>
    </w:lvl>
    <w:lvl w:ilvl="4" w:tplc="04270019" w:tentative="1">
      <w:start w:val="1"/>
      <w:numFmt w:val="lowerLetter"/>
      <w:lvlText w:val="%5."/>
      <w:lvlJc w:val="left"/>
      <w:pPr>
        <w:ind w:left="3780" w:hanging="360"/>
      </w:pPr>
    </w:lvl>
    <w:lvl w:ilvl="5" w:tplc="0427001B" w:tentative="1">
      <w:start w:val="1"/>
      <w:numFmt w:val="lowerRoman"/>
      <w:lvlText w:val="%6."/>
      <w:lvlJc w:val="right"/>
      <w:pPr>
        <w:ind w:left="4500" w:hanging="180"/>
      </w:pPr>
    </w:lvl>
    <w:lvl w:ilvl="6" w:tplc="0427000F" w:tentative="1">
      <w:start w:val="1"/>
      <w:numFmt w:val="decimal"/>
      <w:lvlText w:val="%7."/>
      <w:lvlJc w:val="left"/>
      <w:pPr>
        <w:ind w:left="5220" w:hanging="360"/>
      </w:pPr>
    </w:lvl>
    <w:lvl w:ilvl="7" w:tplc="04270019" w:tentative="1">
      <w:start w:val="1"/>
      <w:numFmt w:val="lowerLetter"/>
      <w:lvlText w:val="%8."/>
      <w:lvlJc w:val="left"/>
      <w:pPr>
        <w:ind w:left="5940" w:hanging="360"/>
      </w:pPr>
    </w:lvl>
    <w:lvl w:ilvl="8" w:tplc="0427001B" w:tentative="1">
      <w:start w:val="1"/>
      <w:numFmt w:val="lowerRoman"/>
      <w:lvlText w:val="%9."/>
      <w:lvlJc w:val="right"/>
      <w:pPr>
        <w:ind w:left="6660" w:hanging="180"/>
      </w:pPr>
    </w:lvl>
  </w:abstractNum>
  <w:abstractNum w:abstractNumId="3">
    <w:nsid w:val="61901736"/>
    <w:multiLevelType w:val="hybridMultilevel"/>
    <w:tmpl w:val="874AA110"/>
    <w:lvl w:ilvl="0" w:tplc="6E2611A0">
      <w:start w:val="1"/>
      <w:numFmt w:val="decimal"/>
      <w:lvlText w:val="%1."/>
      <w:lvlJc w:val="left"/>
      <w:pPr>
        <w:ind w:left="927" w:hanging="360"/>
      </w:pPr>
      <w:rPr>
        <w:rFonts w:hint="default"/>
        <w:b/>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4">
    <w:nsid w:val="6443344E"/>
    <w:multiLevelType w:val="hybridMultilevel"/>
    <w:tmpl w:val="D6609B80"/>
    <w:lvl w:ilvl="0" w:tplc="17161A92">
      <w:start w:val="2019"/>
      <w:numFmt w:val="bullet"/>
      <w:lvlText w:val="–"/>
      <w:lvlJc w:val="left"/>
      <w:pPr>
        <w:ind w:left="900" w:hanging="360"/>
      </w:pPr>
      <w:rPr>
        <w:rFonts w:ascii="Calibri" w:eastAsia="Times New Roman" w:hAnsi="Calibri" w:cs="Calibri" w:hint="default"/>
      </w:rPr>
    </w:lvl>
    <w:lvl w:ilvl="1" w:tplc="04270003" w:tentative="1">
      <w:start w:val="1"/>
      <w:numFmt w:val="bullet"/>
      <w:lvlText w:val="o"/>
      <w:lvlJc w:val="left"/>
      <w:pPr>
        <w:ind w:left="1620" w:hanging="360"/>
      </w:pPr>
      <w:rPr>
        <w:rFonts w:ascii="Courier New" w:hAnsi="Courier New" w:cs="Courier New" w:hint="default"/>
      </w:rPr>
    </w:lvl>
    <w:lvl w:ilvl="2" w:tplc="04270005" w:tentative="1">
      <w:start w:val="1"/>
      <w:numFmt w:val="bullet"/>
      <w:lvlText w:val=""/>
      <w:lvlJc w:val="left"/>
      <w:pPr>
        <w:ind w:left="2340" w:hanging="360"/>
      </w:pPr>
      <w:rPr>
        <w:rFonts w:ascii="Wingdings" w:hAnsi="Wingdings" w:hint="default"/>
      </w:rPr>
    </w:lvl>
    <w:lvl w:ilvl="3" w:tplc="04270001" w:tentative="1">
      <w:start w:val="1"/>
      <w:numFmt w:val="bullet"/>
      <w:lvlText w:val=""/>
      <w:lvlJc w:val="left"/>
      <w:pPr>
        <w:ind w:left="3060" w:hanging="360"/>
      </w:pPr>
      <w:rPr>
        <w:rFonts w:ascii="Symbol" w:hAnsi="Symbol" w:hint="default"/>
      </w:rPr>
    </w:lvl>
    <w:lvl w:ilvl="4" w:tplc="04270003" w:tentative="1">
      <w:start w:val="1"/>
      <w:numFmt w:val="bullet"/>
      <w:lvlText w:val="o"/>
      <w:lvlJc w:val="left"/>
      <w:pPr>
        <w:ind w:left="3780" w:hanging="360"/>
      </w:pPr>
      <w:rPr>
        <w:rFonts w:ascii="Courier New" w:hAnsi="Courier New" w:cs="Courier New" w:hint="default"/>
      </w:rPr>
    </w:lvl>
    <w:lvl w:ilvl="5" w:tplc="04270005" w:tentative="1">
      <w:start w:val="1"/>
      <w:numFmt w:val="bullet"/>
      <w:lvlText w:val=""/>
      <w:lvlJc w:val="left"/>
      <w:pPr>
        <w:ind w:left="4500" w:hanging="360"/>
      </w:pPr>
      <w:rPr>
        <w:rFonts w:ascii="Wingdings" w:hAnsi="Wingdings" w:hint="default"/>
      </w:rPr>
    </w:lvl>
    <w:lvl w:ilvl="6" w:tplc="04270001" w:tentative="1">
      <w:start w:val="1"/>
      <w:numFmt w:val="bullet"/>
      <w:lvlText w:val=""/>
      <w:lvlJc w:val="left"/>
      <w:pPr>
        <w:ind w:left="5220" w:hanging="360"/>
      </w:pPr>
      <w:rPr>
        <w:rFonts w:ascii="Symbol" w:hAnsi="Symbol" w:hint="default"/>
      </w:rPr>
    </w:lvl>
    <w:lvl w:ilvl="7" w:tplc="04270003" w:tentative="1">
      <w:start w:val="1"/>
      <w:numFmt w:val="bullet"/>
      <w:lvlText w:val="o"/>
      <w:lvlJc w:val="left"/>
      <w:pPr>
        <w:ind w:left="5940" w:hanging="360"/>
      </w:pPr>
      <w:rPr>
        <w:rFonts w:ascii="Courier New" w:hAnsi="Courier New" w:cs="Courier New" w:hint="default"/>
      </w:rPr>
    </w:lvl>
    <w:lvl w:ilvl="8" w:tplc="04270005" w:tentative="1">
      <w:start w:val="1"/>
      <w:numFmt w:val="bullet"/>
      <w:lvlText w:val=""/>
      <w:lvlJc w:val="left"/>
      <w:pPr>
        <w:ind w:left="6660" w:hanging="360"/>
      </w:pPr>
      <w:rPr>
        <w:rFonts w:ascii="Wingdings" w:hAnsi="Wingdings" w:hint="default"/>
      </w:rPr>
    </w:lvl>
  </w:abstractNum>
  <w:num w:numId="1">
    <w:abstractNumId w:val="0"/>
  </w:num>
  <w:num w:numId="2">
    <w:abstractNumId w:val="3"/>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hideSpellingErrors/>
  <w:hideGrammaticalErrors/>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28CD"/>
    <w:rsid w:val="000028CD"/>
    <w:rsid w:val="00007E39"/>
    <w:rsid w:val="00010C45"/>
    <w:rsid w:val="000226C0"/>
    <w:rsid w:val="00024262"/>
    <w:rsid w:val="00024C28"/>
    <w:rsid w:val="00031A6D"/>
    <w:rsid w:val="000367E0"/>
    <w:rsid w:val="000501D2"/>
    <w:rsid w:val="000541E2"/>
    <w:rsid w:val="0006076F"/>
    <w:rsid w:val="000647E8"/>
    <w:rsid w:val="0006577C"/>
    <w:rsid w:val="00066063"/>
    <w:rsid w:val="00067F84"/>
    <w:rsid w:val="000739DF"/>
    <w:rsid w:val="00074760"/>
    <w:rsid w:val="000825EB"/>
    <w:rsid w:val="00082C77"/>
    <w:rsid w:val="00085476"/>
    <w:rsid w:val="000873EA"/>
    <w:rsid w:val="00090F42"/>
    <w:rsid w:val="00093AD3"/>
    <w:rsid w:val="000961C3"/>
    <w:rsid w:val="0009635E"/>
    <w:rsid w:val="000A58AC"/>
    <w:rsid w:val="000A7296"/>
    <w:rsid w:val="000B2004"/>
    <w:rsid w:val="000B4A92"/>
    <w:rsid w:val="000B546F"/>
    <w:rsid w:val="000B7303"/>
    <w:rsid w:val="000B7CEB"/>
    <w:rsid w:val="000C2557"/>
    <w:rsid w:val="000C3A69"/>
    <w:rsid w:val="000C6092"/>
    <w:rsid w:val="000E30CB"/>
    <w:rsid w:val="000E4964"/>
    <w:rsid w:val="000E5A93"/>
    <w:rsid w:val="000F64EE"/>
    <w:rsid w:val="001035AD"/>
    <w:rsid w:val="001069BA"/>
    <w:rsid w:val="00113E89"/>
    <w:rsid w:val="00115D14"/>
    <w:rsid w:val="00116665"/>
    <w:rsid w:val="00117031"/>
    <w:rsid w:val="00125C26"/>
    <w:rsid w:val="00126D28"/>
    <w:rsid w:val="00133FF5"/>
    <w:rsid w:val="001362AB"/>
    <w:rsid w:val="0013714D"/>
    <w:rsid w:val="00143912"/>
    <w:rsid w:val="001460CF"/>
    <w:rsid w:val="00150238"/>
    <w:rsid w:val="00150439"/>
    <w:rsid w:val="00160FC7"/>
    <w:rsid w:val="00162CAE"/>
    <w:rsid w:val="00163AAA"/>
    <w:rsid w:val="00167D11"/>
    <w:rsid w:val="00173517"/>
    <w:rsid w:val="001738B4"/>
    <w:rsid w:val="00176687"/>
    <w:rsid w:val="00180D5D"/>
    <w:rsid w:val="00186F58"/>
    <w:rsid w:val="00187885"/>
    <w:rsid w:val="00193B93"/>
    <w:rsid w:val="00194773"/>
    <w:rsid w:val="001A347D"/>
    <w:rsid w:val="001A593E"/>
    <w:rsid w:val="001B5613"/>
    <w:rsid w:val="001B57A7"/>
    <w:rsid w:val="001C4363"/>
    <w:rsid w:val="001D1376"/>
    <w:rsid w:val="001D1BAB"/>
    <w:rsid w:val="001D3B64"/>
    <w:rsid w:val="001D6185"/>
    <w:rsid w:val="001E17E4"/>
    <w:rsid w:val="001E50C2"/>
    <w:rsid w:val="001F3368"/>
    <w:rsid w:val="001F5624"/>
    <w:rsid w:val="002000A6"/>
    <w:rsid w:val="0020111A"/>
    <w:rsid w:val="00203B43"/>
    <w:rsid w:val="002103AD"/>
    <w:rsid w:val="00212842"/>
    <w:rsid w:val="0021623E"/>
    <w:rsid w:val="00225D16"/>
    <w:rsid w:val="002303AE"/>
    <w:rsid w:val="00230D52"/>
    <w:rsid w:val="0024618F"/>
    <w:rsid w:val="00247D33"/>
    <w:rsid w:val="00256E6C"/>
    <w:rsid w:val="00275762"/>
    <w:rsid w:val="002923A0"/>
    <w:rsid w:val="00292973"/>
    <w:rsid w:val="0029340F"/>
    <w:rsid w:val="00296828"/>
    <w:rsid w:val="002A1113"/>
    <w:rsid w:val="002A6D4C"/>
    <w:rsid w:val="002A798C"/>
    <w:rsid w:val="002B1F6B"/>
    <w:rsid w:val="002B4105"/>
    <w:rsid w:val="002B5283"/>
    <w:rsid w:val="002C7B91"/>
    <w:rsid w:val="002D14AC"/>
    <w:rsid w:val="002D1F7A"/>
    <w:rsid w:val="002D76E6"/>
    <w:rsid w:val="002E0510"/>
    <w:rsid w:val="002E52BD"/>
    <w:rsid w:val="002F09DA"/>
    <w:rsid w:val="002F2EB7"/>
    <w:rsid w:val="002F456B"/>
    <w:rsid w:val="002F4EB7"/>
    <w:rsid w:val="0030354A"/>
    <w:rsid w:val="00304ECD"/>
    <w:rsid w:val="00311AA2"/>
    <w:rsid w:val="003135AD"/>
    <w:rsid w:val="003137EE"/>
    <w:rsid w:val="00313DD3"/>
    <w:rsid w:val="00315553"/>
    <w:rsid w:val="0032027A"/>
    <w:rsid w:val="003265B1"/>
    <w:rsid w:val="0033208A"/>
    <w:rsid w:val="00332700"/>
    <w:rsid w:val="00337C5A"/>
    <w:rsid w:val="00344A7E"/>
    <w:rsid w:val="00345EAF"/>
    <w:rsid w:val="0035025B"/>
    <w:rsid w:val="003510B8"/>
    <w:rsid w:val="003550E7"/>
    <w:rsid w:val="0036339B"/>
    <w:rsid w:val="0036396E"/>
    <w:rsid w:val="00363AAF"/>
    <w:rsid w:val="00366E04"/>
    <w:rsid w:val="00373473"/>
    <w:rsid w:val="00374A94"/>
    <w:rsid w:val="003763C3"/>
    <w:rsid w:val="003808C4"/>
    <w:rsid w:val="00390C74"/>
    <w:rsid w:val="0039283F"/>
    <w:rsid w:val="00397750"/>
    <w:rsid w:val="003A02CF"/>
    <w:rsid w:val="003A0DB4"/>
    <w:rsid w:val="003A6ECF"/>
    <w:rsid w:val="003B0EE7"/>
    <w:rsid w:val="003B151B"/>
    <w:rsid w:val="003B2280"/>
    <w:rsid w:val="003B7A20"/>
    <w:rsid w:val="003C2E76"/>
    <w:rsid w:val="003D1273"/>
    <w:rsid w:val="003D6A3B"/>
    <w:rsid w:val="003D6FD6"/>
    <w:rsid w:val="003E12DF"/>
    <w:rsid w:val="003E2DCB"/>
    <w:rsid w:val="003E3F0F"/>
    <w:rsid w:val="003E4A33"/>
    <w:rsid w:val="003E5F38"/>
    <w:rsid w:val="003F03CD"/>
    <w:rsid w:val="003F04DC"/>
    <w:rsid w:val="003F2BE9"/>
    <w:rsid w:val="0040040C"/>
    <w:rsid w:val="00401F0B"/>
    <w:rsid w:val="00402183"/>
    <w:rsid w:val="00402B3B"/>
    <w:rsid w:val="004038EA"/>
    <w:rsid w:val="00410602"/>
    <w:rsid w:val="004108B2"/>
    <w:rsid w:val="004146C6"/>
    <w:rsid w:val="00416E50"/>
    <w:rsid w:val="004246C1"/>
    <w:rsid w:val="0042648F"/>
    <w:rsid w:val="00426A8E"/>
    <w:rsid w:val="00427FB9"/>
    <w:rsid w:val="00430911"/>
    <w:rsid w:val="004374C6"/>
    <w:rsid w:val="00440561"/>
    <w:rsid w:val="004421E1"/>
    <w:rsid w:val="004442DA"/>
    <w:rsid w:val="00445355"/>
    <w:rsid w:val="004554DB"/>
    <w:rsid w:val="0046437B"/>
    <w:rsid w:val="0047132C"/>
    <w:rsid w:val="00473E4A"/>
    <w:rsid w:val="004741D7"/>
    <w:rsid w:val="00475FA7"/>
    <w:rsid w:val="0048280B"/>
    <w:rsid w:val="00482CCA"/>
    <w:rsid w:val="00485030"/>
    <w:rsid w:val="004A18FC"/>
    <w:rsid w:val="004A3D36"/>
    <w:rsid w:val="004A7D3F"/>
    <w:rsid w:val="004C6BE5"/>
    <w:rsid w:val="004D384D"/>
    <w:rsid w:val="004D471B"/>
    <w:rsid w:val="004E150E"/>
    <w:rsid w:val="004F118E"/>
    <w:rsid w:val="004F1C89"/>
    <w:rsid w:val="00503293"/>
    <w:rsid w:val="005071A7"/>
    <w:rsid w:val="0051438A"/>
    <w:rsid w:val="00520A5A"/>
    <w:rsid w:val="0052243C"/>
    <w:rsid w:val="00523518"/>
    <w:rsid w:val="00527D0D"/>
    <w:rsid w:val="005330C1"/>
    <w:rsid w:val="00533408"/>
    <w:rsid w:val="00544500"/>
    <w:rsid w:val="005460CD"/>
    <w:rsid w:val="0055387A"/>
    <w:rsid w:val="0056116D"/>
    <w:rsid w:val="00562312"/>
    <w:rsid w:val="005646F3"/>
    <w:rsid w:val="005726E6"/>
    <w:rsid w:val="005729FB"/>
    <w:rsid w:val="00575462"/>
    <w:rsid w:val="005826D2"/>
    <w:rsid w:val="00591B13"/>
    <w:rsid w:val="00591C56"/>
    <w:rsid w:val="00593AE3"/>
    <w:rsid w:val="005B0C2C"/>
    <w:rsid w:val="005B0DBF"/>
    <w:rsid w:val="005B263C"/>
    <w:rsid w:val="005B50B5"/>
    <w:rsid w:val="005B7A97"/>
    <w:rsid w:val="005C1696"/>
    <w:rsid w:val="005D01DA"/>
    <w:rsid w:val="005D1F3E"/>
    <w:rsid w:val="005E3FA9"/>
    <w:rsid w:val="005E4196"/>
    <w:rsid w:val="005E5E25"/>
    <w:rsid w:val="005E7CA3"/>
    <w:rsid w:val="005F20C1"/>
    <w:rsid w:val="005F2F80"/>
    <w:rsid w:val="005F534F"/>
    <w:rsid w:val="005F61B1"/>
    <w:rsid w:val="00602A20"/>
    <w:rsid w:val="00610307"/>
    <w:rsid w:val="006150A7"/>
    <w:rsid w:val="0061613B"/>
    <w:rsid w:val="00621F78"/>
    <w:rsid w:val="0063245A"/>
    <w:rsid w:val="00632D46"/>
    <w:rsid w:val="006349F7"/>
    <w:rsid w:val="00637286"/>
    <w:rsid w:val="0064228E"/>
    <w:rsid w:val="0065013F"/>
    <w:rsid w:val="00675DE8"/>
    <w:rsid w:val="00681E8B"/>
    <w:rsid w:val="00683D12"/>
    <w:rsid w:val="00686348"/>
    <w:rsid w:val="00687C29"/>
    <w:rsid w:val="00690E33"/>
    <w:rsid w:val="006936A4"/>
    <w:rsid w:val="006955A2"/>
    <w:rsid w:val="006961AD"/>
    <w:rsid w:val="00697BB5"/>
    <w:rsid w:val="006A2A6A"/>
    <w:rsid w:val="006A3D0C"/>
    <w:rsid w:val="006B4794"/>
    <w:rsid w:val="006B6EDE"/>
    <w:rsid w:val="006C28D8"/>
    <w:rsid w:val="006C771A"/>
    <w:rsid w:val="006D11BC"/>
    <w:rsid w:val="006F4F2C"/>
    <w:rsid w:val="00706A41"/>
    <w:rsid w:val="0071197C"/>
    <w:rsid w:val="00716972"/>
    <w:rsid w:val="007227E8"/>
    <w:rsid w:val="007308DD"/>
    <w:rsid w:val="00735B72"/>
    <w:rsid w:val="00736158"/>
    <w:rsid w:val="00740071"/>
    <w:rsid w:val="00744C7F"/>
    <w:rsid w:val="00746042"/>
    <w:rsid w:val="00750406"/>
    <w:rsid w:val="00755BD0"/>
    <w:rsid w:val="007638BE"/>
    <w:rsid w:val="00774FF7"/>
    <w:rsid w:val="007769FF"/>
    <w:rsid w:val="00781985"/>
    <w:rsid w:val="00784AA1"/>
    <w:rsid w:val="007A5019"/>
    <w:rsid w:val="007A5F07"/>
    <w:rsid w:val="007B0818"/>
    <w:rsid w:val="007B54D1"/>
    <w:rsid w:val="007B6FCC"/>
    <w:rsid w:val="007C1244"/>
    <w:rsid w:val="007C21F4"/>
    <w:rsid w:val="007C39E3"/>
    <w:rsid w:val="007C6489"/>
    <w:rsid w:val="007D31B0"/>
    <w:rsid w:val="007D413D"/>
    <w:rsid w:val="007D42D4"/>
    <w:rsid w:val="007D6DAA"/>
    <w:rsid w:val="007D6F1E"/>
    <w:rsid w:val="007D76D0"/>
    <w:rsid w:val="007F0F6B"/>
    <w:rsid w:val="007F1468"/>
    <w:rsid w:val="0080073B"/>
    <w:rsid w:val="00801AC0"/>
    <w:rsid w:val="00813294"/>
    <w:rsid w:val="00816162"/>
    <w:rsid w:val="00820129"/>
    <w:rsid w:val="00821F04"/>
    <w:rsid w:val="00824030"/>
    <w:rsid w:val="00826592"/>
    <w:rsid w:val="0083092F"/>
    <w:rsid w:val="008347E1"/>
    <w:rsid w:val="00834833"/>
    <w:rsid w:val="00835617"/>
    <w:rsid w:val="0084081F"/>
    <w:rsid w:val="008448DC"/>
    <w:rsid w:val="008476C1"/>
    <w:rsid w:val="00854762"/>
    <w:rsid w:val="0085519E"/>
    <w:rsid w:val="008626C0"/>
    <w:rsid w:val="00871155"/>
    <w:rsid w:val="00882528"/>
    <w:rsid w:val="00882925"/>
    <w:rsid w:val="008841A4"/>
    <w:rsid w:val="0089231F"/>
    <w:rsid w:val="008A5FB3"/>
    <w:rsid w:val="008B0B49"/>
    <w:rsid w:val="008B462A"/>
    <w:rsid w:val="008B58BE"/>
    <w:rsid w:val="008B58DB"/>
    <w:rsid w:val="008D19F8"/>
    <w:rsid w:val="008D2E78"/>
    <w:rsid w:val="008E0941"/>
    <w:rsid w:val="008E4394"/>
    <w:rsid w:val="008E44BD"/>
    <w:rsid w:val="008E4AE3"/>
    <w:rsid w:val="008E6DBD"/>
    <w:rsid w:val="0090692D"/>
    <w:rsid w:val="00906F9E"/>
    <w:rsid w:val="00910745"/>
    <w:rsid w:val="00911D7E"/>
    <w:rsid w:val="00912E9A"/>
    <w:rsid w:val="00913489"/>
    <w:rsid w:val="009137BE"/>
    <w:rsid w:val="00914E63"/>
    <w:rsid w:val="0092373B"/>
    <w:rsid w:val="009259F2"/>
    <w:rsid w:val="0093388B"/>
    <w:rsid w:val="00934D33"/>
    <w:rsid w:val="00936660"/>
    <w:rsid w:val="009404BE"/>
    <w:rsid w:val="0094158D"/>
    <w:rsid w:val="00943AF0"/>
    <w:rsid w:val="00944392"/>
    <w:rsid w:val="00947CAF"/>
    <w:rsid w:val="009523A7"/>
    <w:rsid w:val="0095428C"/>
    <w:rsid w:val="00954C29"/>
    <w:rsid w:val="00955180"/>
    <w:rsid w:val="0095625B"/>
    <w:rsid w:val="009666C6"/>
    <w:rsid w:val="009713FC"/>
    <w:rsid w:val="009715B7"/>
    <w:rsid w:val="00972E19"/>
    <w:rsid w:val="00975371"/>
    <w:rsid w:val="00976D06"/>
    <w:rsid w:val="00982F80"/>
    <w:rsid w:val="00984AE0"/>
    <w:rsid w:val="00986131"/>
    <w:rsid w:val="00994C74"/>
    <w:rsid w:val="009A4D00"/>
    <w:rsid w:val="009A5424"/>
    <w:rsid w:val="009A5E79"/>
    <w:rsid w:val="009A6C89"/>
    <w:rsid w:val="009C0DCD"/>
    <w:rsid w:val="009C3BF3"/>
    <w:rsid w:val="009C4E8D"/>
    <w:rsid w:val="009C7F1C"/>
    <w:rsid w:val="009D7FC3"/>
    <w:rsid w:val="009E0ADD"/>
    <w:rsid w:val="009E64BC"/>
    <w:rsid w:val="009E6B36"/>
    <w:rsid w:val="009F70FE"/>
    <w:rsid w:val="009F7A91"/>
    <w:rsid w:val="00A04C9E"/>
    <w:rsid w:val="00A113A5"/>
    <w:rsid w:val="00A11AE7"/>
    <w:rsid w:val="00A11B17"/>
    <w:rsid w:val="00A11F43"/>
    <w:rsid w:val="00A17CA2"/>
    <w:rsid w:val="00A336BB"/>
    <w:rsid w:val="00A35489"/>
    <w:rsid w:val="00A446DF"/>
    <w:rsid w:val="00A565AA"/>
    <w:rsid w:val="00A67979"/>
    <w:rsid w:val="00A71FC4"/>
    <w:rsid w:val="00A737A9"/>
    <w:rsid w:val="00A755D7"/>
    <w:rsid w:val="00A81BB0"/>
    <w:rsid w:val="00A82922"/>
    <w:rsid w:val="00A84A71"/>
    <w:rsid w:val="00A93883"/>
    <w:rsid w:val="00A965DB"/>
    <w:rsid w:val="00A96C90"/>
    <w:rsid w:val="00A9758E"/>
    <w:rsid w:val="00AA3729"/>
    <w:rsid w:val="00AB1B33"/>
    <w:rsid w:val="00AC3252"/>
    <w:rsid w:val="00AC4995"/>
    <w:rsid w:val="00AC4B42"/>
    <w:rsid w:val="00AD0B10"/>
    <w:rsid w:val="00AD38B7"/>
    <w:rsid w:val="00AD5612"/>
    <w:rsid w:val="00AD747D"/>
    <w:rsid w:val="00AE0936"/>
    <w:rsid w:val="00AE620F"/>
    <w:rsid w:val="00AF0131"/>
    <w:rsid w:val="00AF1376"/>
    <w:rsid w:val="00AF3232"/>
    <w:rsid w:val="00AF39FD"/>
    <w:rsid w:val="00AF4067"/>
    <w:rsid w:val="00AF537D"/>
    <w:rsid w:val="00AF59BE"/>
    <w:rsid w:val="00B04ABC"/>
    <w:rsid w:val="00B11850"/>
    <w:rsid w:val="00B22BC0"/>
    <w:rsid w:val="00B30346"/>
    <w:rsid w:val="00B33B1F"/>
    <w:rsid w:val="00B34191"/>
    <w:rsid w:val="00B351A0"/>
    <w:rsid w:val="00B45727"/>
    <w:rsid w:val="00B47BC3"/>
    <w:rsid w:val="00B54B15"/>
    <w:rsid w:val="00B56040"/>
    <w:rsid w:val="00B573D8"/>
    <w:rsid w:val="00B57BFC"/>
    <w:rsid w:val="00B636F4"/>
    <w:rsid w:val="00B67178"/>
    <w:rsid w:val="00B7117E"/>
    <w:rsid w:val="00B71D62"/>
    <w:rsid w:val="00B73272"/>
    <w:rsid w:val="00B83ABE"/>
    <w:rsid w:val="00B95198"/>
    <w:rsid w:val="00B97152"/>
    <w:rsid w:val="00BA0E45"/>
    <w:rsid w:val="00BA23AC"/>
    <w:rsid w:val="00BA327A"/>
    <w:rsid w:val="00BA64BB"/>
    <w:rsid w:val="00BA762F"/>
    <w:rsid w:val="00BB2FCF"/>
    <w:rsid w:val="00BB3069"/>
    <w:rsid w:val="00BC218A"/>
    <w:rsid w:val="00BD2C54"/>
    <w:rsid w:val="00BE10B7"/>
    <w:rsid w:val="00BE2BC3"/>
    <w:rsid w:val="00BF36BC"/>
    <w:rsid w:val="00BF4A2C"/>
    <w:rsid w:val="00BF759C"/>
    <w:rsid w:val="00C0036F"/>
    <w:rsid w:val="00C117A3"/>
    <w:rsid w:val="00C122C2"/>
    <w:rsid w:val="00C1347A"/>
    <w:rsid w:val="00C15879"/>
    <w:rsid w:val="00C175EE"/>
    <w:rsid w:val="00C25267"/>
    <w:rsid w:val="00C27A77"/>
    <w:rsid w:val="00C310C7"/>
    <w:rsid w:val="00C32316"/>
    <w:rsid w:val="00C458D5"/>
    <w:rsid w:val="00C46128"/>
    <w:rsid w:val="00C527C1"/>
    <w:rsid w:val="00C54C57"/>
    <w:rsid w:val="00C56385"/>
    <w:rsid w:val="00C72D18"/>
    <w:rsid w:val="00C749C5"/>
    <w:rsid w:val="00C75855"/>
    <w:rsid w:val="00C761B1"/>
    <w:rsid w:val="00C77EE2"/>
    <w:rsid w:val="00C808CA"/>
    <w:rsid w:val="00C8271F"/>
    <w:rsid w:val="00C8481B"/>
    <w:rsid w:val="00C87E7D"/>
    <w:rsid w:val="00C93CC5"/>
    <w:rsid w:val="00C9440B"/>
    <w:rsid w:val="00C94542"/>
    <w:rsid w:val="00CA6033"/>
    <w:rsid w:val="00CA6256"/>
    <w:rsid w:val="00CA6E81"/>
    <w:rsid w:val="00CA79D2"/>
    <w:rsid w:val="00CB0B9D"/>
    <w:rsid w:val="00CB316C"/>
    <w:rsid w:val="00CB3434"/>
    <w:rsid w:val="00CB3657"/>
    <w:rsid w:val="00CB42CF"/>
    <w:rsid w:val="00CB6EC1"/>
    <w:rsid w:val="00CC05C2"/>
    <w:rsid w:val="00CC2631"/>
    <w:rsid w:val="00CD2120"/>
    <w:rsid w:val="00CE06B5"/>
    <w:rsid w:val="00CE67D3"/>
    <w:rsid w:val="00CE6964"/>
    <w:rsid w:val="00CF4569"/>
    <w:rsid w:val="00CF4E1E"/>
    <w:rsid w:val="00D02A0B"/>
    <w:rsid w:val="00D12072"/>
    <w:rsid w:val="00D123E3"/>
    <w:rsid w:val="00D12FB0"/>
    <w:rsid w:val="00D16090"/>
    <w:rsid w:val="00D168B9"/>
    <w:rsid w:val="00D20E16"/>
    <w:rsid w:val="00D22202"/>
    <w:rsid w:val="00D22BFA"/>
    <w:rsid w:val="00D22EE4"/>
    <w:rsid w:val="00D24F92"/>
    <w:rsid w:val="00D25E4F"/>
    <w:rsid w:val="00D26020"/>
    <w:rsid w:val="00D37A90"/>
    <w:rsid w:val="00D416CD"/>
    <w:rsid w:val="00D4302C"/>
    <w:rsid w:val="00D44A93"/>
    <w:rsid w:val="00D47A49"/>
    <w:rsid w:val="00D569EA"/>
    <w:rsid w:val="00D65A51"/>
    <w:rsid w:val="00D65D6A"/>
    <w:rsid w:val="00D73CD6"/>
    <w:rsid w:val="00D76E46"/>
    <w:rsid w:val="00D80D4A"/>
    <w:rsid w:val="00D922A4"/>
    <w:rsid w:val="00D92EDC"/>
    <w:rsid w:val="00D972E8"/>
    <w:rsid w:val="00DA0939"/>
    <w:rsid w:val="00DA1958"/>
    <w:rsid w:val="00DA3F3B"/>
    <w:rsid w:val="00DA7582"/>
    <w:rsid w:val="00DB0249"/>
    <w:rsid w:val="00DB09F6"/>
    <w:rsid w:val="00DB0DEC"/>
    <w:rsid w:val="00DB28E0"/>
    <w:rsid w:val="00DB3BD3"/>
    <w:rsid w:val="00DC2221"/>
    <w:rsid w:val="00DC3149"/>
    <w:rsid w:val="00DC4EC1"/>
    <w:rsid w:val="00DC550C"/>
    <w:rsid w:val="00DD076F"/>
    <w:rsid w:val="00DD0F7C"/>
    <w:rsid w:val="00DD5AAC"/>
    <w:rsid w:val="00DE1666"/>
    <w:rsid w:val="00DE2289"/>
    <w:rsid w:val="00DE46FC"/>
    <w:rsid w:val="00DF6261"/>
    <w:rsid w:val="00E00F16"/>
    <w:rsid w:val="00E018EF"/>
    <w:rsid w:val="00E04FA8"/>
    <w:rsid w:val="00E13DEA"/>
    <w:rsid w:val="00E16739"/>
    <w:rsid w:val="00E23270"/>
    <w:rsid w:val="00E23642"/>
    <w:rsid w:val="00E252B0"/>
    <w:rsid w:val="00E32D5F"/>
    <w:rsid w:val="00E365A7"/>
    <w:rsid w:val="00E46699"/>
    <w:rsid w:val="00E466E7"/>
    <w:rsid w:val="00E526F3"/>
    <w:rsid w:val="00E52F15"/>
    <w:rsid w:val="00E558AA"/>
    <w:rsid w:val="00E559DF"/>
    <w:rsid w:val="00E613EF"/>
    <w:rsid w:val="00E63C4B"/>
    <w:rsid w:val="00E6673B"/>
    <w:rsid w:val="00E81FEB"/>
    <w:rsid w:val="00E86436"/>
    <w:rsid w:val="00E86A18"/>
    <w:rsid w:val="00E86DDE"/>
    <w:rsid w:val="00E90CCE"/>
    <w:rsid w:val="00E92F78"/>
    <w:rsid w:val="00EA5DC6"/>
    <w:rsid w:val="00EA78E0"/>
    <w:rsid w:val="00EB38E2"/>
    <w:rsid w:val="00EB5439"/>
    <w:rsid w:val="00EB7986"/>
    <w:rsid w:val="00EC3D2B"/>
    <w:rsid w:val="00EC44EC"/>
    <w:rsid w:val="00EC6506"/>
    <w:rsid w:val="00ED51A1"/>
    <w:rsid w:val="00ED7C96"/>
    <w:rsid w:val="00ED7EFB"/>
    <w:rsid w:val="00EE0279"/>
    <w:rsid w:val="00EE45BB"/>
    <w:rsid w:val="00EE7786"/>
    <w:rsid w:val="00EF1D6A"/>
    <w:rsid w:val="00EF27B7"/>
    <w:rsid w:val="00EF6DF8"/>
    <w:rsid w:val="00EF7E2A"/>
    <w:rsid w:val="00F00199"/>
    <w:rsid w:val="00F029D5"/>
    <w:rsid w:val="00F02DEE"/>
    <w:rsid w:val="00F05D0C"/>
    <w:rsid w:val="00F10AE3"/>
    <w:rsid w:val="00F13A97"/>
    <w:rsid w:val="00F14D50"/>
    <w:rsid w:val="00F17A8C"/>
    <w:rsid w:val="00F22A30"/>
    <w:rsid w:val="00F27628"/>
    <w:rsid w:val="00F3071C"/>
    <w:rsid w:val="00F403FC"/>
    <w:rsid w:val="00F416C6"/>
    <w:rsid w:val="00F42F3C"/>
    <w:rsid w:val="00F47029"/>
    <w:rsid w:val="00F52090"/>
    <w:rsid w:val="00F53D35"/>
    <w:rsid w:val="00F614AF"/>
    <w:rsid w:val="00F63F47"/>
    <w:rsid w:val="00F6450E"/>
    <w:rsid w:val="00F70A40"/>
    <w:rsid w:val="00F710BC"/>
    <w:rsid w:val="00F82F7A"/>
    <w:rsid w:val="00F86895"/>
    <w:rsid w:val="00F92605"/>
    <w:rsid w:val="00FA3C13"/>
    <w:rsid w:val="00FA52E0"/>
    <w:rsid w:val="00FB0049"/>
    <w:rsid w:val="00FB03D6"/>
    <w:rsid w:val="00FB1885"/>
    <w:rsid w:val="00FB5CAA"/>
    <w:rsid w:val="00FB66A3"/>
    <w:rsid w:val="00FC2622"/>
    <w:rsid w:val="00FC5637"/>
    <w:rsid w:val="00FD76B4"/>
    <w:rsid w:val="00FE0144"/>
    <w:rsid w:val="00FE29F8"/>
    <w:rsid w:val="00FF0711"/>
    <w:rsid w:val="00FF0853"/>
    <w:rsid w:val="00FF23A7"/>
    <w:rsid w:val="00FF3664"/>
    <w:rsid w:val="00FF446C"/>
    <w:rsid w:val="00FF6B34"/>
    <w:rsid w:val="00FF7517"/>
    <w:rsid w:val="00FF7D1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28CD"/>
    <w:pPr>
      <w:spacing w:after="0" w:line="240" w:lineRule="auto"/>
      <w:jc w:val="both"/>
    </w:pPr>
    <w:rPr>
      <w:rFonts w:ascii="Calibri" w:eastAsia="Calibri" w:hAnsi="Calibri" w:cs="Times New Roman"/>
    </w:rPr>
  </w:style>
  <w:style w:type="paragraph" w:styleId="Heading1">
    <w:name w:val="heading 1"/>
    <w:basedOn w:val="Normal"/>
    <w:next w:val="Normal"/>
    <w:link w:val="Heading1Char"/>
    <w:qFormat/>
    <w:rsid w:val="00706A41"/>
    <w:pPr>
      <w:keepNext/>
      <w:keepLines/>
      <w:spacing w:before="240"/>
      <w:jc w:val="center"/>
      <w:outlineLvl w:val="0"/>
    </w:pPr>
    <w:rPr>
      <w:rFonts w:asciiTheme="minorHAnsi" w:eastAsiaTheme="majorEastAsia" w:hAnsiTheme="minorHAnsi" w:cstheme="majorBidi"/>
      <w:b/>
      <w:color w:val="323E4F" w:themeColor="text2" w:themeShade="BF"/>
      <w:szCs w:val="32"/>
    </w:rPr>
  </w:style>
  <w:style w:type="paragraph" w:styleId="Heading2">
    <w:name w:val="heading 2"/>
    <w:basedOn w:val="Normal"/>
    <w:next w:val="Normal"/>
    <w:link w:val="Heading2Char"/>
    <w:qFormat/>
    <w:rsid w:val="000028CD"/>
    <w:pPr>
      <w:keepNext/>
      <w:jc w:val="center"/>
      <w:outlineLvl w:val="1"/>
    </w:pPr>
    <w:rPr>
      <w:rFonts w:asciiTheme="minorHAnsi" w:eastAsia="Times New Roman" w:hAnsiTheme="minorHAnsi"/>
      <w:b/>
      <w:bCs/>
      <w:iCs/>
      <w:szCs w:val="24"/>
      <w:lang w:eastAsia="lt-LT"/>
    </w:rPr>
  </w:style>
  <w:style w:type="paragraph" w:styleId="Heading3">
    <w:name w:val="heading 3"/>
    <w:basedOn w:val="Normal"/>
    <w:next w:val="Normal"/>
    <w:link w:val="Heading3Char"/>
    <w:uiPriority w:val="9"/>
    <w:unhideWhenUsed/>
    <w:qFormat/>
    <w:rsid w:val="000028CD"/>
    <w:pPr>
      <w:keepNext/>
      <w:keepLines/>
      <w:tabs>
        <w:tab w:val="left" w:pos="567"/>
      </w:tabs>
      <w:ind w:firstLine="709"/>
      <w:outlineLvl w:val="2"/>
    </w:pPr>
    <w:rPr>
      <w:rFonts w:asciiTheme="minorHAnsi" w:eastAsiaTheme="majorEastAsia" w:hAnsiTheme="minorHAnsi"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06A41"/>
    <w:rPr>
      <w:rFonts w:eastAsiaTheme="majorEastAsia" w:cstheme="majorBidi"/>
      <w:b/>
      <w:color w:val="323E4F" w:themeColor="text2" w:themeShade="BF"/>
      <w:szCs w:val="32"/>
    </w:rPr>
  </w:style>
  <w:style w:type="character" w:customStyle="1" w:styleId="Heading2Char">
    <w:name w:val="Heading 2 Char"/>
    <w:basedOn w:val="DefaultParagraphFont"/>
    <w:link w:val="Heading2"/>
    <w:rsid w:val="000028CD"/>
    <w:rPr>
      <w:rFonts w:eastAsia="Times New Roman" w:cs="Times New Roman"/>
      <w:b/>
      <w:bCs/>
      <w:iCs/>
      <w:szCs w:val="24"/>
      <w:lang w:eastAsia="lt-LT"/>
    </w:rPr>
  </w:style>
  <w:style w:type="character" w:customStyle="1" w:styleId="Heading3Char">
    <w:name w:val="Heading 3 Char"/>
    <w:basedOn w:val="DefaultParagraphFont"/>
    <w:link w:val="Heading3"/>
    <w:uiPriority w:val="9"/>
    <w:rsid w:val="000028CD"/>
    <w:rPr>
      <w:rFonts w:eastAsiaTheme="majorEastAsia" w:cstheme="majorBidi"/>
      <w:b/>
      <w:bCs/>
    </w:rPr>
  </w:style>
  <w:style w:type="character" w:styleId="Hyperlink">
    <w:name w:val="Hyperlink"/>
    <w:uiPriority w:val="99"/>
    <w:unhideWhenUsed/>
    <w:rsid w:val="000028CD"/>
    <w:rPr>
      <w:color w:val="0000FF"/>
      <w:u w:val="single"/>
    </w:rPr>
  </w:style>
  <w:style w:type="paragraph" w:customStyle="1" w:styleId="c41dispositifintroduction">
    <w:name w:val="c41dispositifintroduction"/>
    <w:basedOn w:val="Normal"/>
    <w:rsid w:val="000028CD"/>
    <w:pPr>
      <w:spacing w:before="100" w:beforeAutospacing="1" w:after="100" w:afterAutospacing="1"/>
      <w:ind w:firstLine="720"/>
      <w:jc w:val="left"/>
    </w:pPr>
    <w:rPr>
      <w:rFonts w:ascii="Times New Roman" w:eastAsia="Batang" w:hAnsi="Times New Roman"/>
      <w:sz w:val="24"/>
      <w:szCs w:val="24"/>
      <w:lang w:eastAsia="ko-KR" w:bidi="he-IL"/>
    </w:rPr>
  </w:style>
  <w:style w:type="paragraph" w:customStyle="1" w:styleId="NoSpacing1">
    <w:name w:val="No Spacing1"/>
    <w:link w:val="NoSpacingChar"/>
    <w:uiPriority w:val="99"/>
    <w:rsid w:val="000028CD"/>
    <w:pPr>
      <w:spacing w:after="0" w:line="240" w:lineRule="auto"/>
      <w:ind w:firstLine="720"/>
    </w:pPr>
    <w:rPr>
      <w:rFonts w:ascii="Calibri" w:eastAsia="Times New Roman" w:hAnsi="Calibri" w:cs="Times New Roman"/>
    </w:rPr>
  </w:style>
  <w:style w:type="character" w:customStyle="1" w:styleId="NoSpacingChar">
    <w:name w:val="No Spacing Char"/>
    <w:link w:val="NoSpacing1"/>
    <w:uiPriority w:val="99"/>
    <w:locked/>
    <w:rsid w:val="000028CD"/>
    <w:rPr>
      <w:rFonts w:ascii="Calibri" w:eastAsia="Times New Roman" w:hAnsi="Calibri" w:cs="Times New Roman"/>
    </w:rPr>
  </w:style>
  <w:style w:type="paragraph" w:styleId="Header">
    <w:name w:val="header"/>
    <w:basedOn w:val="Normal"/>
    <w:link w:val="HeaderChar"/>
    <w:uiPriority w:val="99"/>
    <w:unhideWhenUsed/>
    <w:rsid w:val="000028CD"/>
    <w:pPr>
      <w:tabs>
        <w:tab w:val="center" w:pos="4819"/>
        <w:tab w:val="right" w:pos="9638"/>
      </w:tabs>
    </w:pPr>
  </w:style>
  <w:style w:type="character" w:customStyle="1" w:styleId="HeaderChar">
    <w:name w:val="Header Char"/>
    <w:basedOn w:val="DefaultParagraphFont"/>
    <w:link w:val="Header"/>
    <w:uiPriority w:val="99"/>
    <w:rsid w:val="000028CD"/>
    <w:rPr>
      <w:rFonts w:ascii="Calibri" w:eastAsia="Calibri" w:hAnsi="Calibri" w:cs="Times New Roman"/>
    </w:rPr>
  </w:style>
  <w:style w:type="paragraph" w:styleId="Footer">
    <w:name w:val="footer"/>
    <w:basedOn w:val="Normal"/>
    <w:link w:val="FooterChar"/>
    <w:uiPriority w:val="99"/>
    <w:unhideWhenUsed/>
    <w:rsid w:val="000028CD"/>
    <w:pPr>
      <w:tabs>
        <w:tab w:val="center" w:pos="4819"/>
        <w:tab w:val="right" w:pos="9638"/>
      </w:tabs>
    </w:pPr>
  </w:style>
  <w:style w:type="character" w:customStyle="1" w:styleId="FooterChar">
    <w:name w:val="Footer Char"/>
    <w:basedOn w:val="DefaultParagraphFont"/>
    <w:link w:val="Footer"/>
    <w:uiPriority w:val="99"/>
    <w:rsid w:val="000028CD"/>
    <w:rPr>
      <w:rFonts w:ascii="Calibri" w:eastAsia="Calibri" w:hAnsi="Calibri" w:cs="Times New Roman"/>
    </w:rPr>
  </w:style>
  <w:style w:type="paragraph" w:styleId="TOCHeading">
    <w:name w:val="TOC Heading"/>
    <w:basedOn w:val="Heading1"/>
    <w:next w:val="Normal"/>
    <w:uiPriority w:val="39"/>
    <w:unhideWhenUsed/>
    <w:qFormat/>
    <w:rsid w:val="000028CD"/>
    <w:pPr>
      <w:spacing w:line="259" w:lineRule="auto"/>
      <w:jc w:val="left"/>
      <w:outlineLvl w:val="9"/>
    </w:pPr>
    <w:rPr>
      <w:lang w:eastAsia="lt-LT"/>
    </w:rPr>
  </w:style>
  <w:style w:type="paragraph" w:styleId="TOC1">
    <w:name w:val="toc 1"/>
    <w:basedOn w:val="Normal"/>
    <w:next w:val="Normal"/>
    <w:autoRedefine/>
    <w:uiPriority w:val="39"/>
    <w:unhideWhenUsed/>
    <w:rsid w:val="000028CD"/>
    <w:pPr>
      <w:tabs>
        <w:tab w:val="right" w:leader="dot" w:pos="9628"/>
      </w:tabs>
      <w:spacing w:after="100"/>
    </w:pPr>
    <w:rPr>
      <w:rFonts w:eastAsia="Times New Roman"/>
      <w:b/>
      <w:bCs/>
      <w:noProof/>
      <w:color w:val="323E4F" w:themeColor="text2" w:themeShade="BF"/>
      <w:kern w:val="32"/>
      <w:lang w:eastAsia="lt-LT"/>
    </w:rPr>
  </w:style>
  <w:style w:type="paragraph" w:styleId="TOC2">
    <w:name w:val="toc 2"/>
    <w:basedOn w:val="Normal"/>
    <w:next w:val="Normal"/>
    <w:autoRedefine/>
    <w:uiPriority w:val="39"/>
    <w:unhideWhenUsed/>
    <w:rsid w:val="00126D28"/>
    <w:pPr>
      <w:tabs>
        <w:tab w:val="right" w:leader="dot" w:pos="9628"/>
      </w:tabs>
      <w:spacing w:after="100"/>
      <w:ind w:left="220"/>
    </w:pPr>
    <w:rPr>
      <w:rFonts w:cstheme="minorHAnsi"/>
      <w:b/>
      <w:noProof/>
      <w:color w:val="44546A" w:themeColor="text2"/>
    </w:rPr>
  </w:style>
  <w:style w:type="paragraph" w:styleId="TOC3">
    <w:name w:val="toc 3"/>
    <w:basedOn w:val="Normal"/>
    <w:next w:val="Normal"/>
    <w:autoRedefine/>
    <w:uiPriority w:val="39"/>
    <w:unhideWhenUsed/>
    <w:rsid w:val="0039283F"/>
    <w:pPr>
      <w:tabs>
        <w:tab w:val="right" w:leader="dot" w:pos="9628"/>
      </w:tabs>
      <w:spacing w:after="100"/>
      <w:ind w:left="440"/>
    </w:pPr>
    <w:rPr>
      <w:rFonts w:eastAsia="Times New Roman" w:cstheme="minorHAnsi"/>
      <w:noProof/>
      <w:lang w:eastAsia="lt-LT"/>
    </w:rPr>
  </w:style>
  <w:style w:type="character" w:styleId="FollowedHyperlink">
    <w:name w:val="FollowedHyperlink"/>
    <w:basedOn w:val="DefaultParagraphFont"/>
    <w:uiPriority w:val="99"/>
    <w:semiHidden/>
    <w:unhideWhenUsed/>
    <w:rsid w:val="000028CD"/>
    <w:rPr>
      <w:color w:val="954F72" w:themeColor="followedHyperlink"/>
      <w:u w:val="single"/>
    </w:rPr>
  </w:style>
  <w:style w:type="character" w:styleId="CommentReference">
    <w:name w:val="annotation reference"/>
    <w:basedOn w:val="DefaultParagraphFont"/>
    <w:uiPriority w:val="99"/>
    <w:semiHidden/>
    <w:unhideWhenUsed/>
    <w:rsid w:val="00A93883"/>
    <w:rPr>
      <w:sz w:val="16"/>
      <w:szCs w:val="16"/>
    </w:rPr>
  </w:style>
  <w:style w:type="paragraph" w:styleId="CommentText">
    <w:name w:val="annotation text"/>
    <w:basedOn w:val="Normal"/>
    <w:link w:val="CommentTextChar"/>
    <w:uiPriority w:val="99"/>
    <w:semiHidden/>
    <w:unhideWhenUsed/>
    <w:rsid w:val="00A93883"/>
    <w:rPr>
      <w:sz w:val="20"/>
      <w:szCs w:val="20"/>
    </w:rPr>
  </w:style>
  <w:style w:type="character" w:customStyle="1" w:styleId="CommentTextChar">
    <w:name w:val="Comment Text Char"/>
    <w:basedOn w:val="DefaultParagraphFont"/>
    <w:link w:val="CommentText"/>
    <w:uiPriority w:val="99"/>
    <w:semiHidden/>
    <w:rsid w:val="00A93883"/>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A93883"/>
    <w:rPr>
      <w:b/>
      <w:bCs/>
    </w:rPr>
  </w:style>
  <w:style w:type="character" w:customStyle="1" w:styleId="CommentSubjectChar">
    <w:name w:val="Comment Subject Char"/>
    <w:basedOn w:val="CommentTextChar"/>
    <w:link w:val="CommentSubject"/>
    <w:uiPriority w:val="99"/>
    <w:semiHidden/>
    <w:rsid w:val="00A93883"/>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A9388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93883"/>
    <w:rPr>
      <w:rFonts w:ascii="Segoe UI" w:eastAsia="Calibri" w:hAnsi="Segoe UI" w:cs="Segoe UI"/>
      <w:sz w:val="18"/>
      <w:szCs w:val="18"/>
    </w:rPr>
  </w:style>
  <w:style w:type="paragraph" w:customStyle="1" w:styleId="c01pointnumerotealtn">
    <w:name w:val="c01pointnumerotealtn"/>
    <w:basedOn w:val="Normal"/>
    <w:rsid w:val="00C32316"/>
    <w:pPr>
      <w:spacing w:before="100" w:beforeAutospacing="1" w:after="240"/>
      <w:ind w:left="567" w:hanging="539"/>
    </w:pPr>
    <w:rPr>
      <w:rFonts w:ascii="Times New Roman" w:eastAsia="Times New Roman" w:hAnsi="Times New Roman"/>
      <w:sz w:val="24"/>
      <w:szCs w:val="24"/>
      <w:lang w:eastAsia="lt-LT"/>
    </w:rPr>
  </w:style>
  <w:style w:type="paragraph" w:styleId="FootnoteText">
    <w:name w:val="footnote text"/>
    <w:basedOn w:val="Normal"/>
    <w:link w:val="FootnoteTextChar"/>
    <w:semiHidden/>
    <w:unhideWhenUsed/>
    <w:rsid w:val="009C3BF3"/>
    <w:rPr>
      <w:sz w:val="20"/>
      <w:szCs w:val="20"/>
    </w:rPr>
  </w:style>
  <w:style w:type="character" w:customStyle="1" w:styleId="FootnoteTextChar">
    <w:name w:val="Footnote Text Char"/>
    <w:basedOn w:val="DefaultParagraphFont"/>
    <w:link w:val="FootnoteText"/>
    <w:uiPriority w:val="99"/>
    <w:semiHidden/>
    <w:rsid w:val="009C3BF3"/>
    <w:rPr>
      <w:rFonts w:ascii="Calibri" w:eastAsia="Calibri" w:hAnsi="Calibri" w:cs="Times New Roman"/>
      <w:sz w:val="20"/>
      <w:szCs w:val="20"/>
    </w:rPr>
  </w:style>
  <w:style w:type="character" w:styleId="FootnoteReference">
    <w:name w:val="footnote reference"/>
    <w:basedOn w:val="DefaultParagraphFont"/>
    <w:semiHidden/>
    <w:unhideWhenUsed/>
    <w:rsid w:val="009C3BF3"/>
    <w:rPr>
      <w:vertAlign w:val="superscript"/>
    </w:rPr>
  </w:style>
  <w:style w:type="paragraph" w:styleId="ListParagraph">
    <w:name w:val="List Paragraph"/>
    <w:basedOn w:val="Normal"/>
    <w:uiPriority w:val="34"/>
    <w:qFormat/>
    <w:rsid w:val="0033208A"/>
    <w:pPr>
      <w:ind w:left="720"/>
      <w:contextualSpacing/>
    </w:pPr>
  </w:style>
  <w:style w:type="character" w:customStyle="1" w:styleId="UnresolvedMention1">
    <w:name w:val="Unresolved Mention1"/>
    <w:basedOn w:val="DefaultParagraphFont"/>
    <w:uiPriority w:val="99"/>
    <w:semiHidden/>
    <w:unhideWhenUsed/>
    <w:rsid w:val="00150238"/>
    <w:rPr>
      <w:color w:val="605E5C"/>
      <w:shd w:val="clear" w:color="auto" w:fill="E1DFDD"/>
    </w:rPr>
  </w:style>
  <w:style w:type="character" w:customStyle="1" w:styleId="Neapdorotaspaminjimas1">
    <w:name w:val="Neapdorotas paminėjimas1"/>
    <w:basedOn w:val="DefaultParagraphFont"/>
    <w:uiPriority w:val="99"/>
    <w:semiHidden/>
    <w:unhideWhenUsed/>
    <w:rsid w:val="009666C6"/>
    <w:rPr>
      <w:color w:val="605E5C"/>
      <w:shd w:val="clear" w:color="auto" w:fill="E1DFDD"/>
    </w:rPr>
  </w:style>
  <w:style w:type="paragraph" w:styleId="NormalWeb">
    <w:name w:val="Normal (Web)"/>
    <w:basedOn w:val="Normal"/>
    <w:uiPriority w:val="99"/>
    <w:semiHidden/>
    <w:unhideWhenUsed/>
    <w:rsid w:val="00115D14"/>
    <w:pPr>
      <w:spacing w:before="100" w:beforeAutospacing="1" w:after="100" w:afterAutospacing="1"/>
      <w:jc w:val="left"/>
    </w:pPr>
    <w:rPr>
      <w:rFonts w:ascii="Times New Roman" w:eastAsiaTheme="minorHAnsi" w:hAnsi="Times New Roman"/>
      <w:sz w:val="24"/>
      <w:szCs w:val="24"/>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28CD"/>
    <w:pPr>
      <w:spacing w:after="0" w:line="240" w:lineRule="auto"/>
      <w:jc w:val="both"/>
    </w:pPr>
    <w:rPr>
      <w:rFonts w:ascii="Calibri" w:eastAsia="Calibri" w:hAnsi="Calibri" w:cs="Times New Roman"/>
    </w:rPr>
  </w:style>
  <w:style w:type="paragraph" w:styleId="Heading1">
    <w:name w:val="heading 1"/>
    <w:basedOn w:val="Normal"/>
    <w:next w:val="Normal"/>
    <w:link w:val="Heading1Char"/>
    <w:qFormat/>
    <w:rsid w:val="00706A41"/>
    <w:pPr>
      <w:keepNext/>
      <w:keepLines/>
      <w:spacing w:before="240"/>
      <w:jc w:val="center"/>
      <w:outlineLvl w:val="0"/>
    </w:pPr>
    <w:rPr>
      <w:rFonts w:asciiTheme="minorHAnsi" w:eastAsiaTheme="majorEastAsia" w:hAnsiTheme="minorHAnsi" w:cstheme="majorBidi"/>
      <w:b/>
      <w:color w:val="323E4F" w:themeColor="text2" w:themeShade="BF"/>
      <w:szCs w:val="32"/>
    </w:rPr>
  </w:style>
  <w:style w:type="paragraph" w:styleId="Heading2">
    <w:name w:val="heading 2"/>
    <w:basedOn w:val="Normal"/>
    <w:next w:val="Normal"/>
    <w:link w:val="Heading2Char"/>
    <w:qFormat/>
    <w:rsid w:val="000028CD"/>
    <w:pPr>
      <w:keepNext/>
      <w:jc w:val="center"/>
      <w:outlineLvl w:val="1"/>
    </w:pPr>
    <w:rPr>
      <w:rFonts w:asciiTheme="minorHAnsi" w:eastAsia="Times New Roman" w:hAnsiTheme="minorHAnsi"/>
      <w:b/>
      <w:bCs/>
      <w:iCs/>
      <w:szCs w:val="24"/>
      <w:lang w:eastAsia="lt-LT"/>
    </w:rPr>
  </w:style>
  <w:style w:type="paragraph" w:styleId="Heading3">
    <w:name w:val="heading 3"/>
    <w:basedOn w:val="Normal"/>
    <w:next w:val="Normal"/>
    <w:link w:val="Heading3Char"/>
    <w:uiPriority w:val="9"/>
    <w:unhideWhenUsed/>
    <w:qFormat/>
    <w:rsid w:val="000028CD"/>
    <w:pPr>
      <w:keepNext/>
      <w:keepLines/>
      <w:tabs>
        <w:tab w:val="left" w:pos="567"/>
      </w:tabs>
      <w:ind w:firstLine="709"/>
      <w:outlineLvl w:val="2"/>
    </w:pPr>
    <w:rPr>
      <w:rFonts w:asciiTheme="minorHAnsi" w:eastAsiaTheme="majorEastAsia" w:hAnsiTheme="minorHAnsi"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06A41"/>
    <w:rPr>
      <w:rFonts w:eastAsiaTheme="majorEastAsia" w:cstheme="majorBidi"/>
      <w:b/>
      <w:color w:val="323E4F" w:themeColor="text2" w:themeShade="BF"/>
      <w:szCs w:val="32"/>
    </w:rPr>
  </w:style>
  <w:style w:type="character" w:customStyle="1" w:styleId="Heading2Char">
    <w:name w:val="Heading 2 Char"/>
    <w:basedOn w:val="DefaultParagraphFont"/>
    <w:link w:val="Heading2"/>
    <w:rsid w:val="000028CD"/>
    <w:rPr>
      <w:rFonts w:eastAsia="Times New Roman" w:cs="Times New Roman"/>
      <w:b/>
      <w:bCs/>
      <w:iCs/>
      <w:szCs w:val="24"/>
      <w:lang w:eastAsia="lt-LT"/>
    </w:rPr>
  </w:style>
  <w:style w:type="character" w:customStyle="1" w:styleId="Heading3Char">
    <w:name w:val="Heading 3 Char"/>
    <w:basedOn w:val="DefaultParagraphFont"/>
    <w:link w:val="Heading3"/>
    <w:uiPriority w:val="9"/>
    <w:rsid w:val="000028CD"/>
    <w:rPr>
      <w:rFonts w:eastAsiaTheme="majorEastAsia" w:cstheme="majorBidi"/>
      <w:b/>
      <w:bCs/>
    </w:rPr>
  </w:style>
  <w:style w:type="character" w:styleId="Hyperlink">
    <w:name w:val="Hyperlink"/>
    <w:uiPriority w:val="99"/>
    <w:unhideWhenUsed/>
    <w:rsid w:val="000028CD"/>
    <w:rPr>
      <w:color w:val="0000FF"/>
      <w:u w:val="single"/>
    </w:rPr>
  </w:style>
  <w:style w:type="paragraph" w:customStyle="1" w:styleId="c41dispositifintroduction">
    <w:name w:val="c41dispositifintroduction"/>
    <w:basedOn w:val="Normal"/>
    <w:rsid w:val="000028CD"/>
    <w:pPr>
      <w:spacing w:before="100" w:beforeAutospacing="1" w:after="100" w:afterAutospacing="1"/>
      <w:ind w:firstLine="720"/>
      <w:jc w:val="left"/>
    </w:pPr>
    <w:rPr>
      <w:rFonts w:ascii="Times New Roman" w:eastAsia="Batang" w:hAnsi="Times New Roman"/>
      <w:sz w:val="24"/>
      <w:szCs w:val="24"/>
      <w:lang w:eastAsia="ko-KR" w:bidi="he-IL"/>
    </w:rPr>
  </w:style>
  <w:style w:type="paragraph" w:customStyle="1" w:styleId="NoSpacing1">
    <w:name w:val="No Spacing1"/>
    <w:link w:val="NoSpacingChar"/>
    <w:uiPriority w:val="99"/>
    <w:rsid w:val="000028CD"/>
    <w:pPr>
      <w:spacing w:after="0" w:line="240" w:lineRule="auto"/>
      <w:ind w:firstLine="720"/>
    </w:pPr>
    <w:rPr>
      <w:rFonts w:ascii="Calibri" w:eastAsia="Times New Roman" w:hAnsi="Calibri" w:cs="Times New Roman"/>
    </w:rPr>
  </w:style>
  <w:style w:type="character" w:customStyle="1" w:styleId="NoSpacingChar">
    <w:name w:val="No Spacing Char"/>
    <w:link w:val="NoSpacing1"/>
    <w:uiPriority w:val="99"/>
    <w:locked/>
    <w:rsid w:val="000028CD"/>
    <w:rPr>
      <w:rFonts w:ascii="Calibri" w:eastAsia="Times New Roman" w:hAnsi="Calibri" w:cs="Times New Roman"/>
    </w:rPr>
  </w:style>
  <w:style w:type="paragraph" w:styleId="Header">
    <w:name w:val="header"/>
    <w:basedOn w:val="Normal"/>
    <w:link w:val="HeaderChar"/>
    <w:uiPriority w:val="99"/>
    <w:unhideWhenUsed/>
    <w:rsid w:val="000028CD"/>
    <w:pPr>
      <w:tabs>
        <w:tab w:val="center" w:pos="4819"/>
        <w:tab w:val="right" w:pos="9638"/>
      </w:tabs>
    </w:pPr>
  </w:style>
  <w:style w:type="character" w:customStyle="1" w:styleId="HeaderChar">
    <w:name w:val="Header Char"/>
    <w:basedOn w:val="DefaultParagraphFont"/>
    <w:link w:val="Header"/>
    <w:uiPriority w:val="99"/>
    <w:rsid w:val="000028CD"/>
    <w:rPr>
      <w:rFonts w:ascii="Calibri" w:eastAsia="Calibri" w:hAnsi="Calibri" w:cs="Times New Roman"/>
    </w:rPr>
  </w:style>
  <w:style w:type="paragraph" w:styleId="Footer">
    <w:name w:val="footer"/>
    <w:basedOn w:val="Normal"/>
    <w:link w:val="FooterChar"/>
    <w:uiPriority w:val="99"/>
    <w:unhideWhenUsed/>
    <w:rsid w:val="000028CD"/>
    <w:pPr>
      <w:tabs>
        <w:tab w:val="center" w:pos="4819"/>
        <w:tab w:val="right" w:pos="9638"/>
      </w:tabs>
    </w:pPr>
  </w:style>
  <w:style w:type="character" w:customStyle="1" w:styleId="FooterChar">
    <w:name w:val="Footer Char"/>
    <w:basedOn w:val="DefaultParagraphFont"/>
    <w:link w:val="Footer"/>
    <w:uiPriority w:val="99"/>
    <w:rsid w:val="000028CD"/>
    <w:rPr>
      <w:rFonts w:ascii="Calibri" w:eastAsia="Calibri" w:hAnsi="Calibri" w:cs="Times New Roman"/>
    </w:rPr>
  </w:style>
  <w:style w:type="paragraph" w:styleId="TOCHeading">
    <w:name w:val="TOC Heading"/>
    <w:basedOn w:val="Heading1"/>
    <w:next w:val="Normal"/>
    <w:uiPriority w:val="39"/>
    <w:unhideWhenUsed/>
    <w:qFormat/>
    <w:rsid w:val="000028CD"/>
    <w:pPr>
      <w:spacing w:line="259" w:lineRule="auto"/>
      <w:jc w:val="left"/>
      <w:outlineLvl w:val="9"/>
    </w:pPr>
    <w:rPr>
      <w:lang w:eastAsia="lt-LT"/>
    </w:rPr>
  </w:style>
  <w:style w:type="paragraph" w:styleId="TOC1">
    <w:name w:val="toc 1"/>
    <w:basedOn w:val="Normal"/>
    <w:next w:val="Normal"/>
    <w:autoRedefine/>
    <w:uiPriority w:val="39"/>
    <w:unhideWhenUsed/>
    <w:rsid w:val="000028CD"/>
    <w:pPr>
      <w:tabs>
        <w:tab w:val="right" w:leader="dot" w:pos="9628"/>
      </w:tabs>
      <w:spacing w:after="100"/>
    </w:pPr>
    <w:rPr>
      <w:rFonts w:eastAsia="Times New Roman"/>
      <w:b/>
      <w:bCs/>
      <w:noProof/>
      <w:color w:val="323E4F" w:themeColor="text2" w:themeShade="BF"/>
      <w:kern w:val="32"/>
      <w:lang w:eastAsia="lt-LT"/>
    </w:rPr>
  </w:style>
  <w:style w:type="paragraph" w:styleId="TOC2">
    <w:name w:val="toc 2"/>
    <w:basedOn w:val="Normal"/>
    <w:next w:val="Normal"/>
    <w:autoRedefine/>
    <w:uiPriority w:val="39"/>
    <w:unhideWhenUsed/>
    <w:rsid w:val="00126D28"/>
    <w:pPr>
      <w:tabs>
        <w:tab w:val="right" w:leader="dot" w:pos="9628"/>
      </w:tabs>
      <w:spacing w:after="100"/>
      <w:ind w:left="220"/>
    </w:pPr>
    <w:rPr>
      <w:rFonts w:cstheme="minorHAnsi"/>
      <w:b/>
      <w:noProof/>
      <w:color w:val="44546A" w:themeColor="text2"/>
    </w:rPr>
  </w:style>
  <w:style w:type="paragraph" w:styleId="TOC3">
    <w:name w:val="toc 3"/>
    <w:basedOn w:val="Normal"/>
    <w:next w:val="Normal"/>
    <w:autoRedefine/>
    <w:uiPriority w:val="39"/>
    <w:unhideWhenUsed/>
    <w:rsid w:val="0039283F"/>
    <w:pPr>
      <w:tabs>
        <w:tab w:val="right" w:leader="dot" w:pos="9628"/>
      </w:tabs>
      <w:spacing w:after="100"/>
      <w:ind w:left="440"/>
    </w:pPr>
    <w:rPr>
      <w:rFonts w:eastAsia="Times New Roman" w:cstheme="minorHAnsi"/>
      <w:noProof/>
      <w:lang w:eastAsia="lt-LT"/>
    </w:rPr>
  </w:style>
  <w:style w:type="character" w:styleId="FollowedHyperlink">
    <w:name w:val="FollowedHyperlink"/>
    <w:basedOn w:val="DefaultParagraphFont"/>
    <w:uiPriority w:val="99"/>
    <w:semiHidden/>
    <w:unhideWhenUsed/>
    <w:rsid w:val="000028CD"/>
    <w:rPr>
      <w:color w:val="954F72" w:themeColor="followedHyperlink"/>
      <w:u w:val="single"/>
    </w:rPr>
  </w:style>
  <w:style w:type="character" w:styleId="CommentReference">
    <w:name w:val="annotation reference"/>
    <w:basedOn w:val="DefaultParagraphFont"/>
    <w:uiPriority w:val="99"/>
    <w:semiHidden/>
    <w:unhideWhenUsed/>
    <w:rsid w:val="00A93883"/>
    <w:rPr>
      <w:sz w:val="16"/>
      <w:szCs w:val="16"/>
    </w:rPr>
  </w:style>
  <w:style w:type="paragraph" w:styleId="CommentText">
    <w:name w:val="annotation text"/>
    <w:basedOn w:val="Normal"/>
    <w:link w:val="CommentTextChar"/>
    <w:uiPriority w:val="99"/>
    <w:semiHidden/>
    <w:unhideWhenUsed/>
    <w:rsid w:val="00A93883"/>
    <w:rPr>
      <w:sz w:val="20"/>
      <w:szCs w:val="20"/>
    </w:rPr>
  </w:style>
  <w:style w:type="character" w:customStyle="1" w:styleId="CommentTextChar">
    <w:name w:val="Comment Text Char"/>
    <w:basedOn w:val="DefaultParagraphFont"/>
    <w:link w:val="CommentText"/>
    <w:uiPriority w:val="99"/>
    <w:semiHidden/>
    <w:rsid w:val="00A93883"/>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A93883"/>
    <w:rPr>
      <w:b/>
      <w:bCs/>
    </w:rPr>
  </w:style>
  <w:style w:type="character" w:customStyle="1" w:styleId="CommentSubjectChar">
    <w:name w:val="Comment Subject Char"/>
    <w:basedOn w:val="CommentTextChar"/>
    <w:link w:val="CommentSubject"/>
    <w:uiPriority w:val="99"/>
    <w:semiHidden/>
    <w:rsid w:val="00A93883"/>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A9388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93883"/>
    <w:rPr>
      <w:rFonts w:ascii="Segoe UI" w:eastAsia="Calibri" w:hAnsi="Segoe UI" w:cs="Segoe UI"/>
      <w:sz w:val="18"/>
      <w:szCs w:val="18"/>
    </w:rPr>
  </w:style>
  <w:style w:type="paragraph" w:customStyle="1" w:styleId="c01pointnumerotealtn">
    <w:name w:val="c01pointnumerotealtn"/>
    <w:basedOn w:val="Normal"/>
    <w:rsid w:val="00C32316"/>
    <w:pPr>
      <w:spacing w:before="100" w:beforeAutospacing="1" w:after="240"/>
      <w:ind w:left="567" w:hanging="539"/>
    </w:pPr>
    <w:rPr>
      <w:rFonts w:ascii="Times New Roman" w:eastAsia="Times New Roman" w:hAnsi="Times New Roman"/>
      <w:sz w:val="24"/>
      <w:szCs w:val="24"/>
      <w:lang w:eastAsia="lt-LT"/>
    </w:rPr>
  </w:style>
  <w:style w:type="paragraph" w:styleId="FootnoteText">
    <w:name w:val="footnote text"/>
    <w:basedOn w:val="Normal"/>
    <w:link w:val="FootnoteTextChar"/>
    <w:semiHidden/>
    <w:unhideWhenUsed/>
    <w:rsid w:val="009C3BF3"/>
    <w:rPr>
      <w:sz w:val="20"/>
      <w:szCs w:val="20"/>
    </w:rPr>
  </w:style>
  <w:style w:type="character" w:customStyle="1" w:styleId="FootnoteTextChar">
    <w:name w:val="Footnote Text Char"/>
    <w:basedOn w:val="DefaultParagraphFont"/>
    <w:link w:val="FootnoteText"/>
    <w:uiPriority w:val="99"/>
    <w:semiHidden/>
    <w:rsid w:val="009C3BF3"/>
    <w:rPr>
      <w:rFonts w:ascii="Calibri" w:eastAsia="Calibri" w:hAnsi="Calibri" w:cs="Times New Roman"/>
      <w:sz w:val="20"/>
      <w:szCs w:val="20"/>
    </w:rPr>
  </w:style>
  <w:style w:type="character" w:styleId="FootnoteReference">
    <w:name w:val="footnote reference"/>
    <w:basedOn w:val="DefaultParagraphFont"/>
    <w:semiHidden/>
    <w:unhideWhenUsed/>
    <w:rsid w:val="009C3BF3"/>
    <w:rPr>
      <w:vertAlign w:val="superscript"/>
    </w:rPr>
  </w:style>
  <w:style w:type="paragraph" w:styleId="ListParagraph">
    <w:name w:val="List Paragraph"/>
    <w:basedOn w:val="Normal"/>
    <w:uiPriority w:val="34"/>
    <w:qFormat/>
    <w:rsid w:val="0033208A"/>
    <w:pPr>
      <w:ind w:left="720"/>
      <w:contextualSpacing/>
    </w:pPr>
  </w:style>
  <w:style w:type="character" w:customStyle="1" w:styleId="UnresolvedMention1">
    <w:name w:val="Unresolved Mention1"/>
    <w:basedOn w:val="DefaultParagraphFont"/>
    <w:uiPriority w:val="99"/>
    <w:semiHidden/>
    <w:unhideWhenUsed/>
    <w:rsid w:val="00150238"/>
    <w:rPr>
      <w:color w:val="605E5C"/>
      <w:shd w:val="clear" w:color="auto" w:fill="E1DFDD"/>
    </w:rPr>
  </w:style>
  <w:style w:type="character" w:customStyle="1" w:styleId="Neapdorotaspaminjimas1">
    <w:name w:val="Neapdorotas paminėjimas1"/>
    <w:basedOn w:val="DefaultParagraphFont"/>
    <w:uiPriority w:val="99"/>
    <w:semiHidden/>
    <w:unhideWhenUsed/>
    <w:rsid w:val="009666C6"/>
    <w:rPr>
      <w:color w:val="605E5C"/>
      <w:shd w:val="clear" w:color="auto" w:fill="E1DFDD"/>
    </w:rPr>
  </w:style>
  <w:style w:type="paragraph" w:styleId="NormalWeb">
    <w:name w:val="Normal (Web)"/>
    <w:basedOn w:val="Normal"/>
    <w:uiPriority w:val="99"/>
    <w:semiHidden/>
    <w:unhideWhenUsed/>
    <w:rsid w:val="00115D14"/>
    <w:pPr>
      <w:spacing w:before="100" w:beforeAutospacing="1" w:after="100" w:afterAutospacing="1"/>
      <w:jc w:val="left"/>
    </w:pPr>
    <w:rPr>
      <w:rFonts w:ascii="Times New Roman" w:eastAsiaTheme="minorHAnsi" w:hAnsi="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831286">
      <w:bodyDiv w:val="1"/>
      <w:marLeft w:val="0"/>
      <w:marRight w:val="0"/>
      <w:marTop w:val="0"/>
      <w:marBottom w:val="0"/>
      <w:divBdr>
        <w:top w:val="none" w:sz="0" w:space="0" w:color="auto"/>
        <w:left w:val="none" w:sz="0" w:space="0" w:color="auto"/>
        <w:bottom w:val="none" w:sz="0" w:space="0" w:color="auto"/>
        <w:right w:val="none" w:sz="0" w:space="0" w:color="auto"/>
      </w:divBdr>
      <w:divsChild>
        <w:div w:id="990253928">
          <w:marLeft w:val="0"/>
          <w:marRight w:val="0"/>
          <w:marTop w:val="0"/>
          <w:marBottom w:val="0"/>
          <w:divBdr>
            <w:top w:val="none" w:sz="0" w:space="0" w:color="auto"/>
            <w:left w:val="none" w:sz="0" w:space="0" w:color="auto"/>
            <w:bottom w:val="none" w:sz="0" w:space="0" w:color="auto"/>
            <w:right w:val="none" w:sz="0" w:space="0" w:color="auto"/>
          </w:divBdr>
          <w:divsChild>
            <w:div w:id="1728455774">
              <w:marLeft w:val="0"/>
              <w:marRight w:val="0"/>
              <w:marTop w:val="0"/>
              <w:marBottom w:val="0"/>
              <w:divBdr>
                <w:top w:val="none" w:sz="0" w:space="0" w:color="auto"/>
                <w:left w:val="none" w:sz="0" w:space="0" w:color="auto"/>
                <w:bottom w:val="none" w:sz="0" w:space="0" w:color="auto"/>
                <w:right w:val="none" w:sz="0" w:space="0" w:color="auto"/>
              </w:divBdr>
              <w:divsChild>
                <w:div w:id="1047221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784627">
      <w:bodyDiv w:val="1"/>
      <w:marLeft w:val="0"/>
      <w:marRight w:val="0"/>
      <w:marTop w:val="0"/>
      <w:marBottom w:val="0"/>
      <w:divBdr>
        <w:top w:val="none" w:sz="0" w:space="0" w:color="auto"/>
        <w:left w:val="none" w:sz="0" w:space="0" w:color="auto"/>
        <w:bottom w:val="none" w:sz="0" w:space="0" w:color="auto"/>
        <w:right w:val="none" w:sz="0" w:space="0" w:color="auto"/>
      </w:divBdr>
      <w:divsChild>
        <w:div w:id="525144919">
          <w:marLeft w:val="0"/>
          <w:marRight w:val="0"/>
          <w:marTop w:val="0"/>
          <w:marBottom w:val="0"/>
          <w:divBdr>
            <w:top w:val="none" w:sz="0" w:space="0" w:color="auto"/>
            <w:left w:val="none" w:sz="0" w:space="0" w:color="auto"/>
            <w:bottom w:val="none" w:sz="0" w:space="0" w:color="auto"/>
            <w:right w:val="none" w:sz="0" w:space="0" w:color="auto"/>
          </w:divBdr>
          <w:divsChild>
            <w:div w:id="1139155888">
              <w:marLeft w:val="0"/>
              <w:marRight w:val="0"/>
              <w:marTop w:val="0"/>
              <w:marBottom w:val="0"/>
              <w:divBdr>
                <w:top w:val="none" w:sz="0" w:space="0" w:color="auto"/>
                <w:left w:val="none" w:sz="0" w:space="0" w:color="auto"/>
                <w:bottom w:val="none" w:sz="0" w:space="0" w:color="auto"/>
                <w:right w:val="none" w:sz="0" w:space="0" w:color="auto"/>
              </w:divBdr>
              <w:divsChild>
                <w:div w:id="325405987">
                  <w:marLeft w:val="0"/>
                  <w:marRight w:val="0"/>
                  <w:marTop w:val="0"/>
                  <w:marBottom w:val="0"/>
                  <w:divBdr>
                    <w:top w:val="none" w:sz="0" w:space="0" w:color="auto"/>
                    <w:left w:val="none" w:sz="0" w:space="0" w:color="auto"/>
                    <w:bottom w:val="none" w:sz="0" w:space="0" w:color="auto"/>
                    <w:right w:val="none" w:sz="0" w:space="0" w:color="auto"/>
                  </w:divBdr>
                  <w:divsChild>
                    <w:div w:id="78645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0240898">
      <w:bodyDiv w:val="1"/>
      <w:marLeft w:val="0"/>
      <w:marRight w:val="0"/>
      <w:marTop w:val="0"/>
      <w:marBottom w:val="0"/>
      <w:divBdr>
        <w:top w:val="none" w:sz="0" w:space="0" w:color="auto"/>
        <w:left w:val="none" w:sz="0" w:space="0" w:color="auto"/>
        <w:bottom w:val="none" w:sz="0" w:space="0" w:color="auto"/>
        <w:right w:val="none" w:sz="0" w:space="0" w:color="auto"/>
      </w:divBdr>
    </w:div>
    <w:div w:id="564684489">
      <w:bodyDiv w:val="1"/>
      <w:marLeft w:val="0"/>
      <w:marRight w:val="0"/>
      <w:marTop w:val="0"/>
      <w:marBottom w:val="0"/>
      <w:divBdr>
        <w:top w:val="none" w:sz="0" w:space="0" w:color="auto"/>
        <w:left w:val="none" w:sz="0" w:space="0" w:color="auto"/>
        <w:bottom w:val="none" w:sz="0" w:space="0" w:color="auto"/>
        <w:right w:val="none" w:sz="0" w:space="0" w:color="auto"/>
      </w:divBdr>
    </w:div>
    <w:div w:id="647321137">
      <w:bodyDiv w:val="1"/>
      <w:marLeft w:val="0"/>
      <w:marRight w:val="0"/>
      <w:marTop w:val="0"/>
      <w:marBottom w:val="0"/>
      <w:divBdr>
        <w:top w:val="none" w:sz="0" w:space="0" w:color="auto"/>
        <w:left w:val="none" w:sz="0" w:space="0" w:color="auto"/>
        <w:bottom w:val="none" w:sz="0" w:space="0" w:color="auto"/>
        <w:right w:val="none" w:sz="0" w:space="0" w:color="auto"/>
      </w:divBdr>
    </w:div>
    <w:div w:id="659894173">
      <w:bodyDiv w:val="1"/>
      <w:marLeft w:val="0"/>
      <w:marRight w:val="0"/>
      <w:marTop w:val="0"/>
      <w:marBottom w:val="0"/>
      <w:divBdr>
        <w:top w:val="none" w:sz="0" w:space="0" w:color="auto"/>
        <w:left w:val="none" w:sz="0" w:space="0" w:color="auto"/>
        <w:bottom w:val="none" w:sz="0" w:space="0" w:color="auto"/>
        <w:right w:val="none" w:sz="0" w:space="0" w:color="auto"/>
      </w:divBdr>
    </w:div>
    <w:div w:id="765728824">
      <w:bodyDiv w:val="1"/>
      <w:marLeft w:val="0"/>
      <w:marRight w:val="0"/>
      <w:marTop w:val="0"/>
      <w:marBottom w:val="0"/>
      <w:divBdr>
        <w:top w:val="none" w:sz="0" w:space="0" w:color="auto"/>
        <w:left w:val="none" w:sz="0" w:space="0" w:color="auto"/>
        <w:bottom w:val="none" w:sz="0" w:space="0" w:color="auto"/>
        <w:right w:val="none" w:sz="0" w:space="0" w:color="auto"/>
      </w:divBdr>
    </w:div>
    <w:div w:id="819689358">
      <w:bodyDiv w:val="1"/>
      <w:marLeft w:val="0"/>
      <w:marRight w:val="0"/>
      <w:marTop w:val="0"/>
      <w:marBottom w:val="0"/>
      <w:divBdr>
        <w:top w:val="none" w:sz="0" w:space="0" w:color="auto"/>
        <w:left w:val="none" w:sz="0" w:space="0" w:color="auto"/>
        <w:bottom w:val="none" w:sz="0" w:space="0" w:color="auto"/>
        <w:right w:val="none" w:sz="0" w:space="0" w:color="auto"/>
      </w:divBdr>
    </w:div>
    <w:div w:id="941911367">
      <w:bodyDiv w:val="1"/>
      <w:marLeft w:val="0"/>
      <w:marRight w:val="0"/>
      <w:marTop w:val="0"/>
      <w:marBottom w:val="0"/>
      <w:divBdr>
        <w:top w:val="none" w:sz="0" w:space="0" w:color="auto"/>
        <w:left w:val="none" w:sz="0" w:space="0" w:color="auto"/>
        <w:bottom w:val="none" w:sz="0" w:space="0" w:color="auto"/>
        <w:right w:val="none" w:sz="0" w:space="0" w:color="auto"/>
      </w:divBdr>
    </w:div>
    <w:div w:id="1002705390">
      <w:bodyDiv w:val="1"/>
      <w:marLeft w:val="0"/>
      <w:marRight w:val="0"/>
      <w:marTop w:val="0"/>
      <w:marBottom w:val="0"/>
      <w:divBdr>
        <w:top w:val="none" w:sz="0" w:space="0" w:color="auto"/>
        <w:left w:val="none" w:sz="0" w:space="0" w:color="auto"/>
        <w:bottom w:val="none" w:sz="0" w:space="0" w:color="auto"/>
        <w:right w:val="none" w:sz="0" w:space="0" w:color="auto"/>
      </w:divBdr>
    </w:div>
    <w:div w:id="1046300932">
      <w:bodyDiv w:val="1"/>
      <w:marLeft w:val="0"/>
      <w:marRight w:val="0"/>
      <w:marTop w:val="0"/>
      <w:marBottom w:val="0"/>
      <w:divBdr>
        <w:top w:val="none" w:sz="0" w:space="0" w:color="auto"/>
        <w:left w:val="none" w:sz="0" w:space="0" w:color="auto"/>
        <w:bottom w:val="none" w:sz="0" w:space="0" w:color="auto"/>
        <w:right w:val="none" w:sz="0" w:space="0" w:color="auto"/>
      </w:divBdr>
    </w:div>
    <w:div w:id="1237789845">
      <w:bodyDiv w:val="1"/>
      <w:marLeft w:val="0"/>
      <w:marRight w:val="0"/>
      <w:marTop w:val="0"/>
      <w:marBottom w:val="0"/>
      <w:divBdr>
        <w:top w:val="none" w:sz="0" w:space="0" w:color="auto"/>
        <w:left w:val="none" w:sz="0" w:space="0" w:color="auto"/>
        <w:bottom w:val="none" w:sz="0" w:space="0" w:color="auto"/>
        <w:right w:val="none" w:sz="0" w:space="0" w:color="auto"/>
      </w:divBdr>
    </w:div>
    <w:div w:id="1436049740">
      <w:bodyDiv w:val="1"/>
      <w:marLeft w:val="0"/>
      <w:marRight w:val="0"/>
      <w:marTop w:val="0"/>
      <w:marBottom w:val="0"/>
      <w:divBdr>
        <w:top w:val="none" w:sz="0" w:space="0" w:color="auto"/>
        <w:left w:val="none" w:sz="0" w:space="0" w:color="auto"/>
        <w:bottom w:val="none" w:sz="0" w:space="0" w:color="auto"/>
        <w:right w:val="none" w:sz="0" w:space="0" w:color="auto"/>
      </w:divBdr>
    </w:div>
    <w:div w:id="1667518449">
      <w:bodyDiv w:val="1"/>
      <w:marLeft w:val="0"/>
      <w:marRight w:val="0"/>
      <w:marTop w:val="0"/>
      <w:marBottom w:val="0"/>
      <w:divBdr>
        <w:top w:val="none" w:sz="0" w:space="0" w:color="auto"/>
        <w:left w:val="none" w:sz="0" w:space="0" w:color="auto"/>
        <w:bottom w:val="none" w:sz="0" w:space="0" w:color="auto"/>
        <w:right w:val="none" w:sz="0" w:space="0" w:color="auto"/>
      </w:divBdr>
    </w:div>
    <w:div w:id="1702512669">
      <w:bodyDiv w:val="1"/>
      <w:marLeft w:val="0"/>
      <w:marRight w:val="0"/>
      <w:marTop w:val="0"/>
      <w:marBottom w:val="0"/>
      <w:divBdr>
        <w:top w:val="none" w:sz="0" w:space="0" w:color="auto"/>
        <w:left w:val="none" w:sz="0" w:space="0" w:color="auto"/>
        <w:bottom w:val="none" w:sz="0" w:space="0" w:color="auto"/>
        <w:right w:val="none" w:sz="0" w:space="0" w:color="auto"/>
      </w:divBdr>
    </w:div>
    <w:div w:id="1854301519">
      <w:bodyDiv w:val="1"/>
      <w:marLeft w:val="0"/>
      <w:marRight w:val="0"/>
      <w:marTop w:val="0"/>
      <w:marBottom w:val="0"/>
      <w:divBdr>
        <w:top w:val="none" w:sz="0" w:space="0" w:color="auto"/>
        <w:left w:val="none" w:sz="0" w:space="0" w:color="auto"/>
        <w:bottom w:val="none" w:sz="0" w:space="0" w:color="auto"/>
        <w:right w:val="none" w:sz="0" w:space="0" w:color="auto"/>
      </w:divBdr>
    </w:div>
    <w:div w:id="2072269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curia.europa.eu/juris/document/document.jsf;jsessionid=5F721221064DC367CF4FAEEAD346F59D?text=&amp;docid=216550&amp;pageIndex=0&amp;doclang=LT&amp;mode=lst&amp;dir=&amp;occ=first&amp;part=1&amp;cid=99986" TargetMode="External"/><Relationship Id="rId18" Type="http://schemas.openxmlformats.org/officeDocument/2006/relationships/hyperlink" Target="http://curia.europa.eu/juris/document/document.jsf?text=&amp;docid=213586&amp;pageIndex=0&amp;doclang=LT&amp;mode=lst&amp;dir=&amp;occ=first&amp;part=1&amp;cid=14155404"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curia.europa.eu/juris/document/document.jsf?text=&amp;docid=215341&amp;pageIndex=0&amp;doclang=LT&amp;mode=req&amp;dir=&amp;occ=first&amp;part=1&amp;cid=3902195" TargetMode="External"/><Relationship Id="rId7" Type="http://schemas.openxmlformats.org/officeDocument/2006/relationships/footnotes" Target="footnotes.xml"/><Relationship Id="rId12" Type="http://schemas.openxmlformats.org/officeDocument/2006/relationships/hyperlink" Target="http://curia.europa.eu/juris/document/document.jsf?text=&amp;docid=214042&amp;pageIndex=0&amp;doclang=LT&amp;mode=lst&amp;dir=&amp;occ=first&amp;part=1&amp;cid=441967" TargetMode="External"/><Relationship Id="rId17" Type="http://schemas.openxmlformats.org/officeDocument/2006/relationships/hyperlink" Target="http://curia.europa.eu/juris/document/document.jsf?text=&amp;docid=213864&amp;pageIndex=0&amp;doclang=LT&amp;mode=lst&amp;dir=&amp;occ=first&amp;part=1&amp;cid=14155404" TargetMode="External"/><Relationship Id="rId25" Type="http://schemas.openxmlformats.org/officeDocument/2006/relationships/hyperlink" Target="http://curia.europa.eu/juris/document/document.jsf?text=&amp;docid=215786&amp;pageIndex=0&amp;doclang=LT&amp;mode=lst&amp;dir=&amp;occ=first&amp;part=1&amp;cid=501298" TargetMode="External"/><Relationship Id="rId2" Type="http://schemas.openxmlformats.org/officeDocument/2006/relationships/numbering" Target="numbering.xml"/><Relationship Id="rId16" Type="http://schemas.openxmlformats.org/officeDocument/2006/relationships/hyperlink" Target="http://curia.europa.eu/juris/document/document.jsf?text=&amp;docid=214942&amp;pageIndex=0&amp;doclang=LT&amp;mode=lst&amp;dir=&amp;occ=first&amp;part=1&amp;cid=14155404" TargetMode="External"/><Relationship Id="rId20" Type="http://schemas.openxmlformats.org/officeDocument/2006/relationships/hyperlink" Target="http://curia.europa.eu/juris/document/document.jsf?text=&amp;docid=216551&amp;pageIndex=0&amp;doclang=lt&amp;mode=lst&amp;dir=&amp;occ=first&amp;part=1&amp;cid=14155404"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eur-lex.europa.eu/" TargetMode="External"/><Relationship Id="rId24" Type="http://schemas.openxmlformats.org/officeDocument/2006/relationships/hyperlink" Target="http://curia.europa.eu/juris/document/document.jsf?text=&amp;docid=216555&amp;pageIndex=0&amp;doclang=lt&amp;mode=lst&amp;dir=&amp;occ=first&amp;part=1&amp;cid=1317594" TargetMode="External"/><Relationship Id="rId5" Type="http://schemas.openxmlformats.org/officeDocument/2006/relationships/settings" Target="settings.xml"/><Relationship Id="rId15" Type="http://schemas.openxmlformats.org/officeDocument/2006/relationships/hyperlink" Target="http://curia.europa.eu/juris/document/document.jsf?text=&amp;docid=215247&amp;pageIndex=0&amp;doclang=LT&amp;mode=lst&amp;dir=&amp;occ=first&amp;part=1&amp;cid=14155404" TargetMode="External"/><Relationship Id="rId23" Type="http://schemas.openxmlformats.org/officeDocument/2006/relationships/hyperlink" Target="http://curia.europa.eu/juris/document/document.jsf?text=&amp;docid=213588&amp;pageIndex=0&amp;doclang=lt&amp;mode=lst&amp;dir=&amp;occ=first&amp;part=1&amp;cid=3772838" TargetMode="External"/><Relationship Id="rId28" Type="http://schemas.openxmlformats.org/officeDocument/2006/relationships/fontTable" Target="fontTable.xml"/><Relationship Id="rId10" Type="http://schemas.openxmlformats.org/officeDocument/2006/relationships/hyperlink" Target="http://curia.europa.eu/" TargetMode="External"/><Relationship Id="rId19" Type="http://schemas.openxmlformats.org/officeDocument/2006/relationships/hyperlink" Target="http://curia.europa.eu/juris/document/document.jsf?text=&amp;docid=213582&amp;pageIndex=0&amp;doclang=lt&amp;mode=lst&amp;dir=&amp;occ=first&amp;part=1&amp;cid=14155404"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curia.europa.eu/juris/document/document.jsf?text=&amp;docid=216036&amp;pageIndex=0&amp;doclang=lt&amp;mode=req&amp;dir=&amp;occ=first&amp;part=1&amp;cid=748950" TargetMode="External"/><Relationship Id="rId22" Type="http://schemas.openxmlformats.org/officeDocument/2006/relationships/hyperlink" Target="http://curia.europa.eu/juris/document/document.jsf?text=&amp;docid=215788&amp;pageIndex=0&amp;doclang=lt&amp;mode=lst&amp;dir=&amp;occ=first&amp;part=1&amp;cid=667918" TargetMode="External"/><Relationship Id="rId27"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0CF7D5-D572-4A0C-B338-47F7FFF9B5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99690</Words>
  <Characters>56824</Characters>
  <Application>Microsoft Office Word</Application>
  <DocSecurity>4</DocSecurity>
  <Lines>473</Lines>
  <Paragraphs>312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156202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Eimantė Šilvaitė</dc:creator>
  <cp:lastModifiedBy>marius</cp:lastModifiedBy>
  <cp:revision>2</cp:revision>
  <dcterms:created xsi:type="dcterms:W3CDTF">2019-11-04T06:11:00Z</dcterms:created>
  <dcterms:modified xsi:type="dcterms:W3CDTF">2019-11-04T06:11:00Z</dcterms:modified>
</cp:coreProperties>
</file>